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312813" w:rsidRDefault="009F59C2" w:rsidP="00D66CC3">
      <w:pPr>
        <w:jc w:val="right"/>
        <w:rPr>
          <w:rFonts w:ascii="Arial" w:hAnsi="Arial" w:cs="Arial"/>
          <w:b/>
          <w:sz w:val="16"/>
          <w:szCs w:val="16"/>
          <w:lang w:eastAsia="es-ES"/>
        </w:rPr>
      </w:pPr>
      <w:bookmarkStart w:id="0" w:name="_Hlk28946138"/>
      <w:bookmarkStart w:id="1" w:name="_Hlk29548183"/>
      <w:r w:rsidRPr="00312813">
        <w:rPr>
          <w:rFonts w:ascii="Arial" w:hAnsi="Arial" w:cs="Arial"/>
          <w:b/>
          <w:sz w:val="16"/>
          <w:szCs w:val="16"/>
          <w:lang w:eastAsia="es-ES"/>
        </w:rPr>
        <w:tab/>
      </w:r>
      <w:r w:rsidR="0034177C" w:rsidRPr="00312813">
        <w:rPr>
          <w:rFonts w:ascii="Arial" w:hAnsi="Arial" w:cs="Arial"/>
          <w:b/>
          <w:sz w:val="16"/>
          <w:szCs w:val="16"/>
          <w:lang w:eastAsia="es-ES"/>
        </w:rPr>
        <w:t>CCE-DES-FM-17</w:t>
      </w:r>
    </w:p>
    <w:p w14:paraId="33FF83A2" w14:textId="77777777" w:rsidR="0034177C" w:rsidRPr="00312813" w:rsidRDefault="0034177C" w:rsidP="00D66CC3">
      <w:pPr>
        <w:jc w:val="both"/>
        <w:rPr>
          <w:rFonts w:ascii="Arial" w:eastAsia="Calibri" w:hAnsi="Arial" w:cs="Arial"/>
          <w:b/>
          <w:sz w:val="21"/>
          <w:szCs w:val="21"/>
        </w:rPr>
      </w:pPr>
    </w:p>
    <w:p w14:paraId="721AC8FB" w14:textId="01985E14" w:rsidR="00056AFD" w:rsidRPr="00312813" w:rsidRDefault="00056AFD" w:rsidP="00D66CC3">
      <w:pPr>
        <w:jc w:val="both"/>
        <w:rPr>
          <w:rFonts w:ascii="Arial" w:eastAsia="Calibri" w:hAnsi="Arial" w:cs="Arial"/>
          <w:sz w:val="20"/>
          <w:szCs w:val="20"/>
          <w:lang w:val="es-ES_tradnl"/>
        </w:rPr>
      </w:pPr>
    </w:p>
    <w:p w14:paraId="5A8FF909" w14:textId="2F6CE669" w:rsidR="00312813" w:rsidRPr="00312813" w:rsidRDefault="00312813" w:rsidP="00D66CC3">
      <w:pPr>
        <w:jc w:val="both"/>
        <w:rPr>
          <w:rFonts w:ascii="Arial" w:eastAsia="Calibri" w:hAnsi="Arial" w:cs="Arial"/>
          <w:sz w:val="22"/>
          <w:lang w:val="es-ES_tradnl"/>
        </w:rPr>
      </w:pPr>
      <w:r w:rsidRPr="00312813">
        <w:rPr>
          <w:rFonts w:ascii="Arial" w:eastAsia="Calibri" w:hAnsi="Arial" w:cs="Arial"/>
          <w:b/>
          <w:bCs/>
          <w:sz w:val="22"/>
          <w:lang w:val="es-ES_tradnl"/>
        </w:rPr>
        <w:t xml:space="preserve">INHABILIDADES E INCOMPATIBILIDADES – Carácter sancionatorio – Restricción </w:t>
      </w:r>
    </w:p>
    <w:p w14:paraId="3B48A234" w14:textId="77777777" w:rsidR="00312813" w:rsidRPr="00312813" w:rsidRDefault="00312813" w:rsidP="00D66CC3">
      <w:pPr>
        <w:jc w:val="both"/>
        <w:rPr>
          <w:rFonts w:ascii="Arial" w:eastAsia="Calibri" w:hAnsi="Arial" w:cs="Arial"/>
          <w:sz w:val="20"/>
          <w:szCs w:val="20"/>
          <w:lang w:val="es-ES_tradnl"/>
        </w:rPr>
      </w:pPr>
    </w:p>
    <w:p w14:paraId="1BEB52EE" w14:textId="77777777" w:rsidR="00244069" w:rsidRPr="00244069" w:rsidRDefault="00244069" w:rsidP="00244069">
      <w:pPr>
        <w:jc w:val="both"/>
        <w:rPr>
          <w:rFonts w:ascii="Arial" w:eastAsia="Calibri" w:hAnsi="Arial" w:cs="Arial"/>
          <w:sz w:val="20"/>
          <w:szCs w:val="20"/>
          <w:lang w:val="es-ES_tradnl"/>
        </w:rPr>
      </w:pPr>
      <w:r w:rsidRPr="00244069">
        <w:rPr>
          <w:rFonts w:ascii="Arial" w:eastAsia="Calibri" w:hAnsi="Arial" w:cs="Arial"/>
          <w:sz w:val="20"/>
          <w:szCs w:val="20"/>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w:t>
      </w:r>
      <w:proofErr w:type="spellStart"/>
      <w:r w:rsidRPr="00244069">
        <w:rPr>
          <w:rFonts w:ascii="Arial" w:eastAsia="Calibri" w:hAnsi="Arial" w:cs="Arial"/>
          <w:sz w:val="20"/>
          <w:szCs w:val="20"/>
          <w:lang w:val="es-ES_tradnl"/>
        </w:rPr>
        <w:t>neopunitivo</w:t>
      </w:r>
      <w:proofErr w:type="spellEnd"/>
      <w:proofErr w:type="gramStart"/>
      <w:r w:rsidRPr="00244069">
        <w:rPr>
          <w:rFonts w:ascii="Arial" w:eastAsia="Calibri" w:hAnsi="Arial" w:cs="Arial"/>
          <w:sz w:val="20"/>
          <w:szCs w:val="20"/>
          <w:lang w:val="es-ES_tradnl"/>
        </w:rPr>
        <w:t>» .</w:t>
      </w:r>
      <w:proofErr w:type="gramEnd"/>
      <w:r w:rsidRPr="00244069">
        <w:rPr>
          <w:rFonts w:ascii="Arial" w:eastAsia="Calibri" w:hAnsi="Arial" w:cs="Arial"/>
          <w:sz w:val="20"/>
          <w:szCs w:val="20"/>
          <w:lang w:val="es-ES_tradnl"/>
        </w:rPr>
        <w:t xml:space="preserve">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479EE70" w14:textId="77777777" w:rsidR="00244069" w:rsidRDefault="00244069" w:rsidP="00D66CC3">
      <w:pPr>
        <w:jc w:val="both"/>
        <w:rPr>
          <w:rFonts w:ascii="Arial" w:eastAsia="Calibri" w:hAnsi="Arial" w:cs="Arial"/>
          <w:b/>
          <w:bCs/>
          <w:sz w:val="22"/>
          <w:lang w:val="es-ES_tradnl"/>
        </w:rPr>
      </w:pPr>
    </w:p>
    <w:p w14:paraId="4D5DDFC9" w14:textId="7E3CFB19" w:rsidR="00056AFD" w:rsidRPr="00312813" w:rsidRDefault="00312813" w:rsidP="00D66CC3">
      <w:pPr>
        <w:jc w:val="both"/>
        <w:rPr>
          <w:rFonts w:ascii="Arial" w:eastAsia="Calibri" w:hAnsi="Arial" w:cs="Arial"/>
          <w:sz w:val="22"/>
          <w:lang w:val="es-ES_tradnl"/>
        </w:rPr>
      </w:pPr>
      <w:r w:rsidRPr="00312813">
        <w:rPr>
          <w:rFonts w:ascii="Arial" w:eastAsia="Calibri" w:hAnsi="Arial" w:cs="Arial"/>
          <w:b/>
          <w:bCs/>
          <w:sz w:val="22"/>
          <w:lang w:val="es-ES_tradnl"/>
        </w:rPr>
        <w:t>INHABILIDADES E INCOMPATIBILIDADES – Principio de legalidad – Interpretación restrictiva</w:t>
      </w:r>
    </w:p>
    <w:p w14:paraId="4DC4E846" w14:textId="77777777" w:rsidR="00312813" w:rsidRPr="00312813" w:rsidRDefault="00312813" w:rsidP="00D66CC3">
      <w:pPr>
        <w:jc w:val="both"/>
        <w:rPr>
          <w:rFonts w:ascii="Arial" w:eastAsia="Calibri" w:hAnsi="Arial" w:cs="Arial"/>
          <w:sz w:val="20"/>
          <w:szCs w:val="20"/>
          <w:lang w:val="es-ES_tradnl"/>
        </w:rPr>
      </w:pPr>
    </w:p>
    <w:p w14:paraId="0E092756" w14:textId="495E938E" w:rsidR="00244069" w:rsidRPr="00244069" w:rsidRDefault="00244069" w:rsidP="00244069">
      <w:pPr>
        <w:spacing w:after="120"/>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Pr="00244069">
        <w:rPr>
          <w:rFonts w:ascii="Arial" w:eastAsia="Calibri" w:hAnsi="Arial" w:cs="Arial"/>
          <w:sz w:val="20"/>
          <w:szCs w:val="20"/>
          <w:lang w:val="es-ES_tradnl"/>
        </w:rPr>
        <w:t xml:space="preserve">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proofErr w:type="gramStart"/>
      <w:r w:rsidRPr="00244069">
        <w:rPr>
          <w:rFonts w:ascii="Arial" w:eastAsia="Calibri" w:hAnsi="Arial" w:cs="Arial"/>
          <w:sz w:val="20"/>
          <w:szCs w:val="20"/>
          <w:lang w:val="es-ES_tradnl"/>
        </w:rPr>
        <w:t>restrictiva  y</w:t>
      </w:r>
      <w:proofErr w:type="gramEnd"/>
      <w:r w:rsidRPr="00244069">
        <w:rPr>
          <w:rFonts w:ascii="Arial" w:eastAsia="Calibri" w:hAnsi="Arial" w:cs="Arial"/>
          <w:sz w:val="20"/>
          <w:szCs w:val="20"/>
          <w:lang w:val="es-ES_tradnl"/>
        </w:rPr>
        <w:t xml:space="preserve"> apegada al texto normativo.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614334D4" w14:textId="77777777" w:rsidR="00244069" w:rsidRDefault="00244069" w:rsidP="00244069">
      <w:pPr>
        <w:jc w:val="both"/>
        <w:rPr>
          <w:rFonts w:ascii="Arial" w:eastAsia="Calibri" w:hAnsi="Arial" w:cs="Arial"/>
          <w:sz w:val="20"/>
          <w:szCs w:val="20"/>
          <w:lang w:val="es-ES_tradnl"/>
        </w:rPr>
      </w:pPr>
      <w:r>
        <w:rPr>
          <w:rFonts w:ascii="Arial" w:eastAsia="Calibri" w:hAnsi="Arial" w:cs="Arial"/>
          <w:sz w:val="20"/>
          <w:szCs w:val="20"/>
          <w:lang w:val="es-ES_tradnl"/>
        </w:rPr>
        <w:t>[…]</w:t>
      </w:r>
      <w:r w:rsidRPr="00244069">
        <w:rPr>
          <w:rFonts w:ascii="Arial" w:eastAsia="Calibri" w:hAnsi="Arial" w:cs="Arial"/>
          <w:sz w:val="20"/>
          <w:szCs w:val="20"/>
          <w:lang w:val="es-ES_tradnl"/>
        </w:rPr>
        <w:t xml:space="preserve">el principio pro </w:t>
      </w:r>
      <w:proofErr w:type="spellStart"/>
      <w:r w:rsidRPr="00244069">
        <w:rPr>
          <w:rFonts w:ascii="Arial" w:eastAsia="Calibri" w:hAnsi="Arial" w:cs="Arial"/>
          <w:sz w:val="20"/>
          <w:szCs w:val="20"/>
          <w:lang w:val="es-ES_tradnl"/>
        </w:rPr>
        <w:t>libertate</w:t>
      </w:r>
      <w:proofErr w:type="spellEnd"/>
      <w:r w:rsidRPr="00244069">
        <w:rPr>
          <w:rFonts w:ascii="Arial" w:eastAsia="Calibri" w:hAnsi="Arial" w:cs="Arial"/>
          <w:sz w:val="20"/>
          <w:szCs w:val="20"/>
          <w:lang w:val="es-ES_tradnl"/>
        </w:rPr>
        <w:t xml:space="preserve"> es el que debe dirigir la interpretación de las disposiciones normativas que consagran restricciones de derechos, como sucede con las causales de inhabilidad e incompatibilidad en la contratación estatal. En conclusión, el régimen de inhabilidades e incompatibilidades está concebido como un conjunto de restricciones a la capacidad para presentar ofertas y contratar con el Estado, por lo que ninguna persona natural o jurídica que se encuentre incurso en alguna causal 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14:paraId="632F6403" w14:textId="77777777" w:rsidR="00244069" w:rsidRDefault="00244069" w:rsidP="00244069">
      <w:pPr>
        <w:jc w:val="both"/>
        <w:rPr>
          <w:rFonts w:ascii="Arial" w:eastAsia="Calibri" w:hAnsi="Arial" w:cs="Arial"/>
          <w:sz w:val="20"/>
          <w:szCs w:val="20"/>
          <w:lang w:val="es-ES_tradnl"/>
        </w:rPr>
      </w:pPr>
    </w:p>
    <w:p w14:paraId="6A7B49AE" w14:textId="6A4E9177" w:rsidR="00312813" w:rsidRPr="00312813" w:rsidRDefault="00312813" w:rsidP="00244069">
      <w:pPr>
        <w:jc w:val="both"/>
        <w:rPr>
          <w:rFonts w:ascii="Arial" w:eastAsia="Calibri" w:hAnsi="Arial" w:cs="Arial"/>
          <w:b/>
          <w:bCs/>
          <w:sz w:val="22"/>
          <w:lang w:val="es-ES_tradnl"/>
        </w:rPr>
      </w:pPr>
      <w:r w:rsidRPr="00312813">
        <w:rPr>
          <w:rFonts w:ascii="Arial" w:eastAsia="Calibri" w:hAnsi="Arial" w:cs="Arial"/>
          <w:b/>
          <w:bCs/>
          <w:sz w:val="22"/>
          <w:lang w:val="es-ES_tradnl"/>
        </w:rPr>
        <w:t xml:space="preserve">APLICACIÓN DE LA LEY – Conflictos – Aplicación en el tiempo </w:t>
      </w:r>
    </w:p>
    <w:p w14:paraId="69CDD04A" w14:textId="77777777" w:rsidR="00312813" w:rsidRPr="00312813" w:rsidRDefault="00312813" w:rsidP="00312813">
      <w:pPr>
        <w:jc w:val="both"/>
        <w:rPr>
          <w:rFonts w:ascii="Arial" w:eastAsia="Calibri" w:hAnsi="Arial" w:cs="Arial"/>
          <w:sz w:val="20"/>
          <w:szCs w:val="20"/>
          <w:lang w:val="es-ES_tradnl"/>
        </w:rPr>
      </w:pPr>
    </w:p>
    <w:p w14:paraId="75440AC2" w14:textId="06E18F41" w:rsidR="00244069" w:rsidRDefault="00244069" w:rsidP="00312813">
      <w:pPr>
        <w:jc w:val="both"/>
        <w:rPr>
          <w:rFonts w:ascii="Arial" w:eastAsia="Calibri" w:hAnsi="Arial" w:cs="Arial"/>
          <w:sz w:val="20"/>
          <w:szCs w:val="20"/>
          <w:lang w:val="es-ES_tradnl"/>
        </w:rPr>
      </w:pPr>
      <w:r w:rsidRPr="00244069">
        <w:rPr>
          <w:rFonts w:ascii="Arial" w:eastAsia="Calibri" w:hAnsi="Arial" w:cs="Arial"/>
          <w:sz w:val="20"/>
          <w:szCs w:val="20"/>
          <w:lang w:val="es-ES_tradnl"/>
        </w:rPr>
        <w:t>Ahora bien, tal modificación, conlleva, en principio, un problema hermenéutico relativo a la aplicación de la ley en el tiempo. Al respecto conviene recordar que los efectos de una ley se producen a partir de su vigencia, lo que quiere decir que, por regla general, en las leyes colombianas opera la irretroactividad. Así se desprende de la Ley 153 de 1887, que dispuso que la ley posterior prevalece sobre la ley anterior y en el evento en que existan discrepancias entre las mismas se debe aplicar la ley posterior.</w:t>
      </w:r>
      <w:r>
        <w:rPr>
          <w:rFonts w:ascii="Arial" w:eastAsia="Calibri" w:hAnsi="Arial" w:cs="Arial"/>
          <w:sz w:val="20"/>
          <w:szCs w:val="20"/>
          <w:lang w:val="es-ES_tradnl"/>
        </w:rPr>
        <w:t xml:space="preserve"> </w:t>
      </w:r>
      <w:r w:rsidRPr="00244069">
        <w:rPr>
          <w:rFonts w:ascii="Arial" w:eastAsia="Calibri" w:hAnsi="Arial" w:cs="Arial"/>
          <w:sz w:val="20"/>
          <w:szCs w:val="20"/>
          <w:lang w:val="es-ES_tradnl"/>
        </w:rPr>
        <w:t xml:space="preserve">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w:t>
      </w:r>
      <w:proofErr w:type="gramStart"/>
      <w:r w:rsidRPr="00244069">
        <w:rPr>
          <w:rFonts w:ascii="Arial" w:eastAsia="Calibri" w:hAnsi="Arial" w:cs="Arial"/>
          <w:sz w:val="20"/>
          <w:szCs w:val="20"/>
          <w:lang w:val="es-ES_tradnl"/>
        </w:rPr>
        <w:t>social .</w:t>
      </w:r>
      <w:proofErr w:type="gramEnd"/>
    </w:p>
    <w:p w14:paraId="57D29A38" w14:textId="22BAD9D8" w:rsidR="00312813" w:rsidRPr="00312813" w:rsidRDefault="00312813" w:rsidP="00312813">
      <w:pPr>
        <w:jc w:val="both"/>
        <w:rPr>
          <w:rFonts w:ascii="Arial" w:eastAsia="Calibri" w:hAnsi="Arial" w:cs="Arial"/>
          <w:sz w:val="20"/>
          <w:szCs w:val="20"/>
          <w:lang w:val="es-ES_tradnl"/>
        </w:rPr>
      </w:pPr>
      <w:r w:rsidRPr="00312813">
        <w:rPr>
          <w:rFonts w:ascii="Arial" w:eastAsia="Calibri" w:hAnsi="Arial" w:cs="Arial"/>
          <w:sz w:val="20"/>
          <w:szCs w:val="20"/>
          <w:lang w:val="es-ES_tradnl"/>
        </w:rPr>
        <w:lastRenderedPageBreak/>
        <w:t>Conforme a lo anterior, el conflicto sobre la aplicación de una ley se presenta cuando en vigencia de la ley anterior nace un hecho allí previsto, sin que se consolide situación jurídica alguna, pero los efectos se producen bajo la vigencia de la ley posterior, o cuando se realiza un hecho jurídico bajo la ley anterior pero la ley posterior contempla nuevas condiciones para el reconocimiento de sus efectos; es decir, en vigencia de la ley anterior solo se presentaron situaciones que generaron una simple expectativa</w:t>
      </w:r>
    </w:p>
    <w:p w14:paraId="0F3E0934" w14:textId="77777777" w:rsidR="00312813" w:rsidRPr="00312813" w:rsidRDefault="00312813" w:rsidP="00312813">
      <w:pPr>
        <w:jc w:val="both"/>
        <w:rPr>
          <w:rFonts w:ascii="Arial" w:eastAsia="Calibri" w:hAnsi="Arial" w:cs="Arial"/>
          <w:b/>
          <w:bCs/>
          <w:sz w:val="22"/>
          <w:lang w:val="es-ES_tradnl"/>
        </w:rPr>
      </w:pPr>
    </w:p>
    <w:p w14:paraId="2C8C3EA5" w14:textId="1C7352D9" w:rsidR="00312813" w:rsidRPr="00312813" w:rsidRDefault="00312813" w:rsidP="00312813">
      <w:pPr>
        <w:jc w:val="both"/>
        <w:rPr>
          <w:rFonts w:ascii="Arial" w:eastAsia="Calibri" w:hAnsi="Arial" w:cs="Arial"/>
          <w:sz w:val="22"/>
          <w:lang w:val="es-ES_tradnl"/>
        </w:rPr>
      </w:pPr>
      <w:r w:rsidRPr="00312813">
        <w:rPr>
          <w:rFonts w:ascii="Arial" w:eastAsia="Calibri" w:hAnsi="Arial" w:cs="Arial"/>
          <w:b/>
          <w:bCs/>
          <w:sz w:val="22"/>
          <w:lang w:val="es-ES_tradnl"/>
        </w:rPr>
        <w:t>INHABILIDADES E INCOMPATIBILIDADES – Incumplimiento reiterado – Modificación – Ley 1955 de 2019 – Aplicación – Irretroactividad</w:t>
      </w:r>
    </w:p>
    <w:p w14:paraId="63F441C6" w14:textId="77777777" w:rsidR="00312813" w:rsidRPr="00312813" w:rsidRDefault="00312813" w:rsidP="00312813">
      <w:pPr>
        <w:jc w:val="both"/>
        <w:rPr>
          <w:rFonts w:ascii="Arial" w:eastAsia="Calibri" w:hAnsi="Arial" w:cs="Arial"/>
          <w:sz w:val="20"/>
          <w:szCs w:val="20"/>
          <w:lang w:val="es-ES_tradnl"/>
        </w:rPr>
      </w:pPr>
    </w:p>
    <w:p w14:paraId="15CDEEE7" w14:textId="77777777" w:rsidR="00244069" w:rsidRPr="00244069" w:rsidRDefault="00244069" w:rsidP="00244069">
      <w:pPr>
        <w:spacing w:after="120"/>
        <w:jc w:val="both"/>
        <w:rPr>
          <w:rFonts w:ascii="Arial" w:eastAsia="Calibri" w:hAnsi="Arial" w:cs="Arial"/>
          <w:sz w:val="20"/>
          <w:szCs w:val="20"/>
          <w:lang w:val="es-ES_tradnl"/>
        </w:rPr>
      </w:pPr>
      <w:r w:rsidRPr="00244069">
        <w:rPr>
          <w:rFonts w:ascii="Arial" w:eastAsia="Calibri" w:hAnsi="Arial" w:cs="Arial"/>
          <w:sz w:val="20"/>
          <w:szCs w:val="20"/>
          <w:lang w:val="es-ES_tradnl"/>
        </w:rPr>
        <w:t>El artículo 43 de la Ley 1955 de 2019, que modificó el artículo 90 de la Ley 1474 de 2011, rige a partir de su expedición, lo que implica que las sanciones anteriores al 25 de mayo de 2019 no se deben acumular para configurar la inhabilidad por incumplimiento reiterado, a menos que durante la vigencia del artículo 90 de la Ley 1474 de 2011 -original- se haya consolidado la respectiva situación jurídica, dando lugar a la configuración de la inhabilidad. En este sentido, las sanciones impuestas y declaratorias de incumplimiento consolidadas con anterioridad a dicha fecha no deben tenerse en cuenta para determinar la configuración de la inhabilidad bajo el artículo 43 de la Ley 1955 de 2019.</w:t>
      </w:r>
    </w:p>
    <w:p w14:paraId="1A7FB2ED" w14:textId="1852D7B6" w:rsidR="00056AFD" w:rsidRPr="00312813" w:rsidRDefault="00244069" w:rsidP="00244069">
      <w:pPr>
        <w:jc w:val="both"/>
        <w:rPr>
          <w:rFonts w:ascii="Arial" w:eastAsia="Calibri" w:hAnsi="Arial" w:cs="Arial"/>
          <w:sz w:val="20"/>
          <w:szCs w:val="20"/>
          <w:lang w:val="es-ES_tradnl"/>
        </w:rPr>
      </w:pPr>
      <w:r w:rsidRPr="00244069">
        <w:rPr>
          <w:rFonts w:ascii="Arial" w:eastAsia="Calibri" w:hAnsi="Arial" w:cs="Arial"/>
          <w:sz w:val="20"/>
          <w:szCs w:val="20"/>
          <w:lang w:val="es-ES_tradnl"/>
        </w:rPr>
        <w:t xml:space="preserve">En este orden, la inhabilidad por incumplimiento reiterado, prescrita en el artículo 90 de la Ley 1474 de 2011, modificado por el artículo 43 de la Ley 1955 de 2019, de conformidad con la posición hermenéutica explicada por e la Agencia Nacional de Contratación Pública, aplica frente a incumplimientos y sanciones impuestas con </w:t>
      </w:r>
      <w:proofErr w:type="gramStart"/>
      <w:r w:rsidRPr="00244069">
        <w:rPr>
          <w:rFonts w:ascii="Arial" w:eastAsia="Calibri" w:hAnsi="Arial" w:cs="Arial"/>
          <w:sz w:val="20"/>
          <w:szCs w:val="20"/>
          <w:lang w:val="es-ES_tradnl"/>
        </w:rPr>
        <w:t>posterioridad  al</w:t>
      </w:r>
      <w:proofErr w:type="gramEnd"/>
      <w:r w:rsidRPr="00244069">
        <w:rPr>
          <w:rFonts w:ascii="Arial" w:eastAsia="Calibri" w:hAnsi="Arial" w:cs="Arial"/>
          <w:sz w:val="20"/>
          <w:szCs w:val="20"/>
          <w:lang w:val="es-ES_tradnl"/>
        </w:rPr>
        <w:t xml:space="preserve"> 25 de mayo de 2019, fecha de entrada en vigencia de la Ley 1955 de 2019.</w:t>
      </w:r>
    </w:p>
    <w:p w14:paraId="25B4823B" w14:textId="7CE5EF70" w:rsidR="00907404" w:rsidRDefault="00907404" w:rsidP="00907404">
      <w:pPr>
        <w:autoSpaceDE w:val="0"/>
        <w:autoSpaceDN w:val="0"/>
        <w:adjustRightInd w:val="0"/>
        <w:rPr>
          <w:rFonts w:ascii="Arial" w:hAnsi="Arial" w:cs="Arial"/>
          <w:color w:val="000000"/>
          <w:szCs w:val="24"/>
          <w:lang w:val="es-CO"/>
        </w:rPr>
      </w:pPr>
      <w:bookmarkStart w:id="2" w:name="_Hlk58263829"/>
    </w:p>
    <w:p w14:paraId="1C1FA376" w14:textId="77777777" w:rsidR="001A663E" w:rsidRPr="00907404" w:rsidRDefault="001A663E" w:rsidP="00907404">
      <w:pPr>
        <w:autoSpaceDE w:val="0"/>
        <w:autoSpaceDN w:val="0"/>
        <w:adjustRightInd w:val="0"/>
        <w:rPr>
          <w:rFonts w:ascii="Arial" w:hAnsi="Arial" w:cs="Arial"/>
          <w:color w:val="000000"/>
          <w:szCs w:val="24"/>
          <w:lang w:val="es-CO"/>
        </w:rPr>
      </w:pPr>
    </w:p>
    <w:p w14:paraId="18F4E714" w14:textId="19B1C82B" w:rsidR="00907404" w:rsidRPr="001A663E" w:rsidRDefault="00907404" w:rsidP="00907404">
      <w:pPr>
        <w:autoSpaceDE w:val="0"/>
        <w:autoSpaceDN w:val="0"/>
        <w:adjustRightInd w:val="0"/>
        <w:rPr>
          <w:rFonts w:ascii="Arial" w:hAnsi="Arial" w:cs="Arial"/>
          <w:color w:val="000000"/>
          <w:sz w:val="22"/>
          <w:lang w:val="pt-BR"/>
        </w:rPr>
      </w:pPr>
      <w:r w:rsidRPr="001A663E">
        <w:rPr>
          <w:rFonts w:ascii="Arial" w:hAnsi="Arial" w:cs="Arial"/>
          <w:color w:val="000000"/>
          <w:sz w:val="22"/>
          <w:lang w:val="pt-BR"/>
        </w:rPr>
        <w:t xml:space="preserve">Bogotá D.C., </w:t>
      </w:r>
      <w:r w:rsidRPr="001A663E">
        <w:rPr>
          <w:rFonts w:ascii="Arial" w:hAnsi="Arial" w:cs="Arial"/>
          <w:b/>
          <w:bCs/>
          <w:color w:val="000000"/>
          <w:sz w:val="22"/>
          <w:lang w:val="pt-BR"/>
        </w:rPr>
        <w:t xml:space="preserve">07/12/2020 Hora 20:7:19s </w:t>
      </w:r>
    </w:p>
    <w:p w14:paraId="7E80B7C1" w14:textId="0651B559" w:rsidR="00A37FB6" w:rsidRPr="001A663E" w:rsidRDefault="00907404" w:rsidP="00907404">
      <w:pPr>
        <w:tabs>
          <w:tab w:val="left" w:pos="3374"/>
        </w:tabs>
        <w:spacing w:line="276" w:lineRule="auto"/>
        <w:jc w:val="right"/>
        <w:rPr>
          <w:rFonts w:ascii="Arial" w:eastAsia="Calibri" w:hAnsi="Arial" w:cs="Arial"/>
          <w:sz w:val="22"/>
          <w:lang w:val="pt-BR"/>
        </w:rPr>
      </w:pPr>
      <w:r w:rsidRPr="001A663E">
        <w:rPr>
          <w:rFonts w:ascii="Arial" w:hAnsi="Arial" w:cs="Arial"/>
          <w:b/>
          <w:bCs/>
          <w:color w:val="000000"/>
          <w:sz w:val="22"/>
          <w:lang w:val="pt-BR"/>
        </w:rPr>
        <w:t>N° Radicado: 2202013000011948</w:t>
      </w:r>
      <w:r w:rsidR="00A37FB6" w:rsidRPr="001A663E">
        <w:rPr>
          <w:rFonts w:ascii="Arial" w:eastAsia="Calibri" w:hAnsi="Arial" w:cs="Arial"/>
          <w:sz w:val="22"/>
          <w:lang w:val="pt-BR"/>
        </w:rPr>
        <w:tab/>
      </w:r>
    </w:p>
    <w:p w14:paraId="20B0C9A6" w14:textId="77777777" w:rsidR="0046281F" w:rsidRPr="001A663E" w:rsidRDefault="0046281F" w:rsidP="00D1044A">
      <w:pPr>
        <w:rPr>
          <w:rFonts w:ascii="Arial" w:eastAsia="Calibri" w:hAnsi="Arial" w:cs="Arial"/>
          <w:sz w:val="22"/>
          <w:szCs w:val="20"/>
          <w:lang w:val="pt-BR"/>
        </w:rPr>
      </w:pPr>
    </w:p>
    <w:p w14:paraId="69990749" w14:textId="68F8826F" w:rsidR="00D1044A" w:rsidRPr="00312813" w:rsidRDefault="00D1044A" w:rsidP="00D1044A">
      <w:pPr>
        <w:rPr>
          <w:rFonts w:ascii="Arial" w:eastAsia="Calibri" w:hAnsi="Arial" w:cs="Arial"/>
          <w:sz w:val="22"/>
          <w:szCs w:val="20"/>
          <w:lang w:val="es-ES_tradnl"/>
        </w:rPr>
      </w:pPr>
      <w:r w:rsidRPr="00312813">
        <w:rPr>
          <w:rFonts w:ascii="Arial" w:eastAsia="Calibri" w:hAnsi="Arial" w:cs="Arial"/>
          <w:sz w:val="22"/>
          <w:szCs w:val="20"/>
          <w:lang w:val="es-ES_tradnl"/>
        </w:rPr>
        <w:t>Señor</w:t>
      </w:r>
    </w:p>
    <w:p w14:paraId="6651E83C" w14:textId="27E1C098" w:rsidR="00263A8B" w:rsidRPr="00312813" w:rsidRDefault="00263A8B" w:rsidP="00D1044A">
      <w:pPr>
        <w:rPr>
          <w:rFonts w:ascii="Arial" w:eastAsia="Calibri" w:hAnsi="Arial" w:cs="Arial"/>
          <w:b/>
          <w:sz w:val="22"/>
          <w:szCs w:val="20"/>
          <w:lang w:val="es-ES_tradnl"/>
        </w:rPr>
      </w:pPr>
      <w:r w:rsidRPr="00312813">
        <w:rPr>
          <w:rFonts w:ascii="Arial" w:eastAsia="Calibri" w:hAnsi="Arial" w:cs="Arial"/>
          <w:b/>
          <w:sz w:val="22"/>
          <w:szCs w:val="20"/>
          <w:lang w:val="es-ES_tradnl"/>
        </w:rPr>
        <w:t>Fredy Javier Aguilera Vergara</w:t>
      </w:r>
    </w:p>
    <w:p w14:paraId="1D19D664" w14:textId="5603D053" w:rsidR="00D1044A" w:rsidRPr="00312813" w:rsidRDefault="00D1044A" w:rsidP="00D1044A">
      <w:pPr>
        <w:rPr>
          <w:rFonts w:ascii="Arial" w:eastAsia="Calibri" w:hAnsi="Arial" w:cs="Arial"/>
          <w:b/>
          <w:sz w:val="22"/>
          <w:szCs w:val="20"/>
          <w:lang w:val="es-ES_tradnl"/>
        </w:rPr>
      </w:pPr>
      <w:r w:rsidRPr="00312813">
        <w:rPr>
          <w:rFonts w:ascii="Arial" w:eastAsia="Calibri" w:hAnsi="Arial" w:cs="Arial"/>
          <w:sz w:val="22"/>
          <w:szCs w:val="20"/>
          <w:lang w:val="es-ES_tradnl"/>
        </w:rPr>
        <w:t>Ciudad</w:t>
      </w:r>
    </w:p>
    <w:p w14:paraId="0342712E" w14:textId="77777777" w:rsidR="00D1044A" w:rsidRPr="00312813" w:rsidRDefault="00D1044A" w:rsidP="00D1044A">
      <w:pPr>
        <w:jc w:val="center"/>
        <w:rPr>
          <w:rFonts w:ascii="Arial" w:eastAsia="Calibri" w:hAnsi="Arial" w:cs="Arial"/>
          <w:b/>
          <w:sz w:val="22"/>
          <w:lang w:val="es-ES_tradnl"/>
        </w:rPr>
      </w:pPr>
    </w:p>
    <w:p w14:paraId="26FCA3B1" w14:textId="0A4F0909" w:rsidR="00D1044A" w:rsidRPr="00312813" w:rsidRDefault="00D1044A" w:rsidP="00D1044A">
      <w:pPr>
        <w:jc w:val="center"/>
        <w:rPr>
          <w:rFonts w:ascii="Arial" w:eastAsia="Calibri" w:hAnsi="Arial" w:cs="Arial"/>
          <w:b/>
          <w:sz w:val="22"/>
          <w:lang w:val="es-ES_tradnl"/>
        </w:rPr>
      </w:pPr>
      <w:r w:rsidRPr="00312813">
        <w:rPr>
          <w:rFonts w:ascii="Arial" w:eastAsia="Calibri" w:hAnsi="Arial" w:cs="Arial"/>
          <w:b/>
          <w:sz w:val="22"/>
          <w:lang w:val="es-ES_tradnl"/>
        </w:rPr>
        <w:t xml:space="preserve">Concepto C ─ </w:t>
      </w:r>
      <w:r w:rsidR="00263A8B" w:rsidRPr="00312813">
        <w:rPr>
          <w:rFonts w:ascii="Arial" w:eastAsia="Calibri" w:hAnsi="Arial" w:cs="Arial"/>
          <w:b/>
          <w:sz w:val="22"/>
          <w:lang w:val="es-ES_tradnl"/>
        </w:rPr>
        <w:t>709</w:t>
      </w:r>
      <w:r w:rsidRPr="00312813">
        <w:rPr>
          <w:rFonts w:ascii="Arial" w:eastAsia="Calibri" w:hAnsi="Arial" w:cs="Arial"/>
          <w:b/>
          <w:sz w:val="22"/>
          <w:lang w:val="es-ES_tradnl"/>
        </w:rPr>
        <w:t xml:space="preserve"> de 2020</w:t>
      </w:r>
    </w:p>
    <w:p w14:paraId="452076B3" w14:textId="77777777" w:rsidR="00D1044A" w:rsidRPr="00312813" w:rsidRDefault="00D1044A" w:rsidP="00D1044A">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3A8B" w:rsidRPr="00312813" w14:paraId="27E96D21" w14:textId="77777777" w:rsidTr="008751F1">
        <w:tc>
          <w:tcPr>
            <w:tcW w:w="2689" w:type="dxa"/>
            <w:hideMark/>
          </w:tcPr>
          <w:p w14:paraId="097680C1" w14:textId="77777777" w:rsidR="00D1044A" w:rsidRPr="00312813" w:rsidRDefault="00D1044A" w:rsidP="008751F1">
            <w:pPr>
              <w:rPr>
                <w:rFonts w:ascii="Arial" w:eastAsia="Calibri" w:hAnsi="Arial" w:cs="Arial"/>
                <w:sz w:val="22"/>
                <w:lang w:val="es-ES_tradnl"/>
              </w:rPr>
            </w:pPr>
            <w:r w:rsidRPr="00312813">
              <w:rPr>
                <w:rFonts w:ascii="Arial" w:eastAsia="Calibri" w:hAnsi="Arial" w:cs="Arial"/>
                <w:b/>
                <w:sz w:val="22"/>
                <w:lang w:val="es-ES_tradnl"/>
              </w:rPr>
              <w:t>Temas:</w:t>
            </w:r>
            <w:r w:rsidRPr="00312813">
              <w:rPr>
                <w:rFonts w:ascii="Arial" w:eastAsia="Calibri" w:hAnsi="Arial" w:cs="Arial"/>
                <w:sz w:val="22"/>
                <w:lang w:val="es-ES_tradnl"/>
              </w:rPr>
              <w:t xml:space="preserve">           </w:t>
            </w:r>
          </w:p>
          <w:p w14:paraId="223629C8" w14:textId="77777777" w:rsidR="00D1044A" w:rsidRPr="00312813" w:rsidRDefault="00D1044A" w:rsidP="008751F1">
            <w:pPr>
              <w:rPr>
                <w:rFonts w:ascii="Arial" w:eastAsia="Calibri" w:hAnsi="Arial" w:cs="Arial"/>
                <w:sz w:val="22"/>
                <w:lang w:val="es-ES_tradnl"/>
              </w:rPr>
            </w:pPr>
            <w:r w:rsidRPr="00312813">
              <w:rPr>
                <w:rFonts w:ascii="Arial" w:eastAsia="Calibri" w:hAnsi="Arial" w:cs="Arial"/>
                <w:sz w:val="22"/>
                <w:lang w:val="es-ES_tradnl"/>
              </w:rPr>
              <w:t xml:space="preserve">                           </w:t>
            </w:r>
          </w:p>
        </w:tc>
        <w:tc>
          <w:tcPr>
            <w:tcW w:w="6237" w:type="dxa"/>
            <w:hideMark/>
          </w:tcPr>
          <w:p w14:paraId="3F059B77" w14:textId="4FEAD353" w:rsidR="00312813" w:rsidRPr="00312813" w:rsidRDefault="00244069" w:rsidP="00312813">
            <w:pPr>
              <w:jc w:val="both"/>
              <w:rPr>
                <w:rFonts w:ascii="Arial" w:eastAsia="Calibri" w:hAnsi="Arial" w:cs="Arial"/>
                <w:sz w:val="22"/>
                <w:lang w:val="es-ES_tradnl"/>
              </w:rPr>
            </w:pPr>
            <w:r>
              <w:rPr>
                <w:rFonts w:ascii="Arial" w:eastAsia="Calibri" w:hAnsi="Arial" w:cs="Arial"/>
                <w:sz w:val="22"/>
                <w:lang w:val="es-ES_tradnl"/>
              </w:rPr>
              <w:t>I</w:t>
            </w:r>
            <w:r w:rsidR="00312813" w:rsidRPr="00312813">
              <w:rPr>
                <w:rFonts w:ascii="Arial" w:eastAsia="Calibri" w:hAnsi="Arial" w:cs="Arial"/>
                <w:sz w:val="22"/>
                <w:lang w:val="es-ES_tradnl"/>
              </w:rPr>
              <w:t>NHABILIDADES E INCOMPATIBILIDADES – Carácter sancionatorio – Restricción</w:t>
            </w:r>
            <w:r w:rsidR="00312813" w:rsidRPr="00312813">
              <w:rPr>
                <w:rFonts w:ascii="Arial" w:eastAsia="Calibri" w:hAnsi="Arial" w:cs="Arial"/>
                <w:b/>
                <w:bCs/>
                <w:sz w:val="22"/>
                <w:lang w:val="es-ES_tradnl"/>
              </w:rPr>
              <w:t xml:space="preserve"> / </w:t>
            </w:r>
            <w:r w:rsidR="00312813" w:rsidRPr="00312813">
              <w:rPr>
                <w:rFonts w:ascii="Arial" w:eastAsia="Calibri" w:hAnsi="Arial" w:cs="Arial"/>
                <w:sz w:val="22"/>
                <w:lang w:val="es-ES_tradnl"/>
              </w:rPr>
              <w:t>INHABILIDADES E INCOMPATIBILIDADES – Principio de legalidad – Interpretación restrictiva / APLICACIÓN DE LA LEY – Conflictos – Aplicación en el tiempo / INHABILIDADES E INCOMPATIBILIDADES – Incumplimiento reiterado – Modificación – Ley 1955 de 2019 – Aplicación – Irretroactividad</w:t>
            </w:r>
          </w:p>
          <w:p w14:paraId="41B71690" w14:textId="5529E7E4" w:rsidR="00D1044A" w:rsidRPr="00312813" w:rsidRDefault="00D1044A" w:rsidP="007E0383">
            <w:pPr>
              <w:jc w:val="both"/>
              <w:rPr>
                <w:rFonts w:ascii="Arial" w:eastAsia="Calibri" w:hAnsi="Arial" w:cs="Arial"/>
                <w:sz w:val="22"/>
                <w:lang w:val="es-ES_tradnl"/>
              </w:rPr>
            </w:pPr>
          </w:p>
        </w:tc>
      </w:tr>
      <w:tr w:rsidR="00DE5B33" w:rsidRPr="00312813" w14:paraId="1D3FE300" w14:textId="77777777" w:rsidTr="009B2EE5">
        <w:trPr>
          <w:trHeight w:val="578"/>
        </w:trPr>
        <w:tc>
          <w:tcPr>
            <w:tcW w:w="2689" w:type="dxa"/>
          </w:tcPr>
          <w:p w14:paraId="410C4429" w14:textId="77777777" w:rsidR="00D1044A" w:rsidRPr="00312813" w:rsidRDefault="00D1044A" w:rsidP="008751F1">
            <w:pPr>
              <w:rPr>
                <w:rFonts w:ascii="Arial" w:eastAsia="Calibri" w:hAnsi="Arial" w:cs="Arial"/>
                <w:b/>
                <w:sz w:val="22"/>
                <w:lang w:val="es-ES_tradnl"/>
              </w:rPr>
            </w:pPr>
            <w:r w:rsidRPr="00312813">
              <w:rPr>
                <w:rFonts w:ascii="Arial" w:eastAsia="Calibri" w:hAnsi="Arial" w:cs="Arial"/>
                <w:b/>
                <w:sz w:val="22"/>
                <w:lang w:val="es-ES_tradnl"/>
              </w:rPr>
              <w:t>Radicación:</w:t>
            </w:r>
            <w:r w:rsidRPr="00312813">
              <w:rPr>
                <w:rFonts w:ascii="Arial" w:eastAsia="Calibri" w:hAnsi="Arial" w:cs="Arial"/>
                <w:sz w:val="22"/>
                <w:lang w:val="es-ES_tradnl"/>
              </w:rPr>
              <w:t xml:space="preserve">                              </w:t>
            </w:r>
          </w:p>
        </w:tc>
        <w:tc>
          <w:tcPr>
            <w:tcW w:w="6237" w:type="dxa"/>
          </w:tcPr>
          <w:p w14:paraId="0E9FA314" w14:textId="57BA0330" w:rsidR="00D1044A" w:rsidRPr="00312813" w:rsidRDefault="00D1044A" w:rsidP="008751F1">
            <w:pPr>
              <w:jc w:val="both"/>
              <w:rPr>
                <w:rFonts w:ascii="Arial" w:eastAsia="Calibri" w:hAnsi="Arial" w:cs="Arial"/>
                <w:sz w:val="22"/>
                <w:lang w:val="es-ES_tradnl"/>
              </w:rPr>
            </w:pPr>
            <w:r w:rsidRPr="00312813">
              <w:rPr>
                <w:rFonts w:ascii="Arial" w:eastAsia="Calibri" w:hAnsi="Arial" w:cs="Arial"/>
                <w:sz w:val="22"/>
                <w:lang w:val="es-ES_tradnl"/>
              </w:rPr>
              <w:t>Respuesta a consulta # 420201</w:t>
            </w:r>
            <w:r w:rsidR="009B2EE5" w:rsidRPr="00312813">
              <w:rPr>
                <w:rFonts w:ascii="Arial" w:eastAsia="Calibri" w:hAnsi="Arial" w:cs="Arial"/>
                <w:sz w:val="22"/>
                <w:lang w:val="es-ES_tradnl"/>
              </w:rPr>
              <w:t>3</w:t>
            </w:r>
            <w:r w:rsidRPr="00312813">
              <w:rPr>
                <w:rFonts w:ascii="Arial" w:eastAsia="Calibri" w:hAnsi="Arial" w:cs="Arial"/>
                <w:sz w:val="22"/>
                <w:lang w:val="es-ES_tradnl"/>
              </w:rPr>
              <w:t>00000</w:t>
            </w:r>
            <w:r w:rsidR="00263A8B" w:rsidRPr="00312813">
              <w:rPr>
                <w:rFonts w:ascii="Arial" w:eastAsia="Calibri" w:hAnsi="Arial" w:cs="Arial"/>
                <w:sz w:val="22"/>
                <w:lang w:val="es-ES_tradnl"/>
              </w:rPr>
              <w:t>9659</w:t>
            </w:r>
          </w:p>
        </w:tc>
      </w:tr>
    </w:tbl>
    <w:p w14:paraId="36F43B56" w14:textId="77777777" w:rsidR="00D1044A" w:rsidRPr="00312813" w:rsidRDefault="00D1044A" w:rsidP="00D1044A">
      <w:pPr>
        <w:jc w:val="both"/>
        <w:rPr>
          <w:rFonts w:ascii="Arial" w:eastAsia="Calibri" w:hAnsi="Arial" w:cs="Arial"/>
          <w:sz w:val="22"/>
          <w:lang w:val="es-ES_tradnl"/>
        </w:rPr>
      </w:pPr>
    </w:p>
    <w:p w14:paraId="52951EE5" w14:textId="77777777" w:rsidR="00D1044A" w:rsidRPr="00312813" w:rsidRDefault="00D1044A" w:rsidP="00D1044A">
      <w:pPr>
        <w:jc w:val="both"/>
        <w:rPr>
          <w:rFonts w:ascii="Arial" w:eastAsia="Calibri" w:hAnsi="Arial" w:cs="Arial"/>
          <w:sz w:val="22"/>
          <w:lang w:val="es-ES_tradnl"/>
        </w:rPr>
      </w:pPr>
    </w:p>
    <w:p w14:paraId="3DCF0A10" w14:textId="48700EF1" w:rsidR="00D1044A" w:rsidRPr="00312813" w:rsidRDefault="00D1044A" w:rsidP="00D1044A">
      <w:pPr>
        <w:rPr>
          <w:rFonts w:ascii="Arial" w:eastAsia="Calibri" w:hAnsi="Arial" w:cs="Arial"/>
          <w:sz w:val="22"/>
          <w:lang w:val="es-ES_tradnl"/>
        </w:rPr>
      </w:pPr>
      <w:r w:rsidRPr="00312813">
        <w:rPr>
          <w:rFonts w:ascii="Arial" w:eastAsia="Calibri" w:hAnsi="Arial" w:cs="Arial"/>
          <w:sz w:val="22"/>
          <w:lang w:val="es-ES_tradnl"/>
        </w:rPr>
        <w:t>Estimad</w:t>
      </w:r>
      <w:r w:rsidR="009B2EE5" w:rsidRPr="00312813">
        <w:rPr>
          <w:rFonts w:ascii="Arial" w:eastAsia="Calibri" w:hAnsi="Arial" w:cs="Arial"/>
          <w:sz w:val="22"/>
          <w:lang w:val="es-ES_tradnl"/>
        </w:rPr>
        <w:t>o</w:t>
      </w:r>
      <w:r w:rsidRPr="00312813">
        <w:rPr>
          <w:rFonts w:ascii="Arial" w:eastAsia="Calibri" w:hAnsi="Arial" w:cs="Arial"/>
          <w:sz w:val="22"/>
          <w:lang w:val="es-ES_tradnl"/>
        </w:rPr>
        <w:t xml:space="preserve"> señor </w:t>
      </w:r>
      <w:r w:rsidR="00263A8B" w:rsidRPr="00312813">
        <w:rPr>
          <w:rFonts w:ascii="Arial" w:eastAsia="Calibri" w:hAnsi="Arial" w:cs="Arial"/>
          <w:sz w:val="22"/>
          <w:lang w:val="es-ES_tradnl"/>
        </w:rPr>
        <w:t>Aguilera</w:t>
      </w:r>
      <w:r w:rsidRPr="00312813">
        <w:rPr>
          <w:rFonts w:ascii="Arial" w:eastAsia="Calibri" w:hAnsi="Arial" w:cs="Arial"/>
          <w:sz w:val="22"/>
          <w:lang w:val="es-ES_tradnl"/>
        </w:rPr>
        <w:t>,</w:t>
      </w:r>
    </w:p>
    <w:p w14:paraId="4AC1DD9B" w14:textId="77777777" w:rsidR="00D1044A" w:rsidRPr="00312813" w:rsidRDefault="00D1044A" w:rsidP="00D1044A">
      <w:pPr>
        <w:rPr>
          <w:rFonts w:ascii="Arial" w:eastAsia="Calibri" w:hAnsi="Arial" w:cs="Arial"/>
          <w:sz w:val="22"/>
          <w:lang w:val="es-ES_tradnl"/>
        </w:rPr>
      </w:pPr>
    </w:p>
    <w:p w14:paraId="0A5F5C54" w14:textId="0CF47A9B" w:rsidR="00D1044A" w:rsidRPr="00312813" w:rsidRDefault="00D1044A" w:rsidP="00D1044A">
      <w:pPr>
        <w:spacing w:line="276" w:lineRule="auto"/>
        <w:ind w:right="49"/>
        <w:jc w:val="both"/>
        <w:rPr>
          <w:rFonts w:ascii="Arial" w:eastAsia="Calibri" w:hAnsi="Arial" w:cs="Arial"/>
          <w:sz w:val="22"/>
          <w:lang w:val="es-ES_tradnl"/>
        </w:rPr>
      </w:pPr>
      <w:r w:rsidRPr="00312813">
        <w:rPr>
          <w:rFonts w:ascii="Arial" w:eastAsia="Calibri" w:hAnsi="Arial" w:cs="Arial"/>
          <w:sz w:val="22"/>
          <w:lang w:val="es-ES_tradnl"/>
        </w:rPr>
        <w:lastRenderedPageBreak/>
        <w:t>La Agencia Nacional de Contratación Pública ―</w:t>
      </w:r>
      <w:r w:rsidR="00D16FA8" w:rsidRPr="00312813">
        <w:rPr>
          <w:rFonts w:ascii="Arial" w:eastAsia="Calibri" w:hAnsi="Arial" w:cs="Arial"/>
          <w:sz w:val="22"/>
          <w:lang w:val="es-ES_tradnl"/>
        </w:rPr>
        <w:t xml:space="preserve"> </w:t>
      </w:r>
      <w:r w:rsidRPr="00312813">
        <w:rPr>
          <w:rFonts w:ascii="Arial" w:eastAsia="Calibri" w:hAnsi="Arial" w:cs="Arial"/>
          <w:sz w:val="22"/>
          <w:lang w:val="es-ES_tradnl"/>
        </w:rPr>
        <w:t>Colombia Compra Eficiente en ejercicio de la competencia otorgada por el numeral 8 del artículo 11 y el numeral 5 del artículo 3 del Decreto Ley 4170 de 2011</w:t>
      </w:r>
      <w:r w:rsidR="009B2EE5" w:rsidRPr="00312813">
        <w:rPr>
          <w:rFonts w:ascii="Arial" w:eastAsia="Calibri" w:hAnsi="Arial" w:cs="Arial"/>
          <w:sz w:val="22"/>
          <w:lang w:val="es-ES_tradnl"/>
        </w:rPr>
        <w:t xml:space="preserve">, responde a su consulta </w:t>
      </w:r>
      <w:r w:rsidR="00263A8B" w:rsidRPr="00312813">
        <w:rPr>
          <w:rFonts w:ascii="Arial" w:eastAsia="Calibri" w:hAnsi="Arial" w:cs="Arial"/>
          <w:sz w:val="22"/>
          <w:lang w:val="es-ES_tradnl"/>
        </w:rPr>
        <w:t>d</w:t>
      </w:r>
      <w:r w:rsidR="009B2EE5" w:rsidRPr="00312813">
        <w:rPr>
          <w:rFonts w:ascii="Arial" w:eastAsia="Calibri" w:hAnsi="Arial" w:cs="Arial"/>
          <w:sz w:val="22"/>
          <w:lang w:val="es-ES_tradnl"/>
        </w:rPr>
        <w:t>el</w:t>
      </w:r>
      <w:r w:rsidR="00263A8B" w:rsidRPr="00312813">
        <w:rPr>
          <w:rFonts w:ascii="Arial" w:eastAsia="Calibri" w:hAnsi="Arial" w:cs="Arial"/>
          <w:sz w:val="22"/>
          <w:lang w:val="es-ES_tradnl"/>
        </w:rPr>
        <w:t xml:space="preserve"> 23 </w:t>
      </w:r>
      <w:r w:rsidR="009B2EE5" w:rsidRPr="00312813">
        <w:rPr>
          <w:rFonts w:ascii="Arial" w:eastAsia="Calibri" w:hAnsi="Arial" w:cs="Arial"/>
          <w:sz w:val="22"/>
          <w:lang w:val="es-ES_tradnl"/>
        </w:rPr>
        <w:t xml:space="preserve">de </w:t>
      </w:r>
      <w:r w:rsidR="00263A8B" w:rsidRPr="00312813">
        <w:rPr>
          <w:rFonts w:ascii="Arial" w:eastAsia="Calibri" w:hAnsi="Arial" w:cs="Arial"/>
          <w:sz w:val="22"/>
          <w:lang w:val="es-ES_tradnl"/>
        </w:rPr>
        <w:t>octubre</w:t>
      </w:r>
      <w:r w:rsidR="009B2EE5" w:rsidRPr="00312813">
        <w:rPr>
          <w:rFonts w:ascii="Arial" w:eastAsia="Calibri" w:hAnsi="Arial" w:cs="Arial"/>
          <w:sz w:val="22"/>
          <w:lang w:val="es-ES_tradnl"/>
        </w:rPr>
        <w:t xml:space="preserve"> de 2020</w:t>
      </w:r>
      <w:r w:rsidR="00263A8B" w:rsidRPr="00312813">
        <w:rPr>
          <w:rFonts w:ascii="Arial" w:eastAsia="Calibri" w:hAnsi="Arial" w:cs="Arial"/>
          <w:sz w:val="22"/>
          <w:lang w:val="es-ES_tradnl"/>
        </w:rPr>
        <w:t>.</w:t>
      </w:r>
    </w:p>
    <w:p w14:paraId="7FA1EEB3" w14:textId="77777777" w:rsidR="00263A8B" w:rsidRPr="00312813" w:rsidRDefault="00263A8B" w:rsidP="00F23E3A">
      <w:pPr>
        <w:spacing w:line="276" w:lineRule="auto"/>
        <w:jc w:val="both"/>
        <w:rPr>
          <w:rFonts w:ascii="Arial" w:eastAsia="Calibri" w:hAnsi="Arial" w:cs="Arial"/>
          <w:sz w:val="22"/>
          <w:lang w:val="es-ES_tradnl"/>
        </w:rPr>
      </w:pPr>
    </w:p>
    <w:p w14:paraId="737E2623" w14:textId="07C14AF0" w:rsidR="00A37FB6" w:rsidRPr="00312813" w:rsidRDefault="00A37FB6" w:rsidP="00F23E3A">
      <w:pPr>
        <w:pStyle w:val="Prrafodelista"/>
        <w:numPr>
          <w:ilvl w:val="0"/>
          <w:numId w:val="6"/>
        </w:numPr>
        <w:tabs>
          <w:tab w:val="left" w:pos="284"/>
        </w:tabs>
        <w:spacing w:line="276" w:lineRule="auto"/>
        <w:ind w:left="0" w:firstLine="0"/>
        <w:jc w:val="both"/>
        <w:rPr>
          <w:rFonts w:ascii="Arial" w:eastAsia="Calibri" w:hAnsi="Arial" w:cs="Arial"/>
          <w:b/>
          <w:sz w:val="22"/>
        </w:rPr>
      </w:pPr>
      <w:r w:rsidRPr="00312813">
        <w:rPr>
          <w:rFonts w:ascii="Arial" w:eastAsia="Calibri" w:hAnsi="Arial" w:cs="Arial"/>
          <w:b/>
          <w:sz w:val="22"/>
        </w:rPr>
        <w:t xml:space="preserve">Problema planteado </w:t>
      </w:r>
    </w:p>
    <w:p w14:paraId="498A026D" w14:textId="77777777" w:rsidR="00A37FB6" w:rsidRPr="00312813" w:rsidRDefault="00A37FB6" w:rsidP="00F23E3A">
      <w:pPr>
        <w:tabs>
          <w:tab w:val="left" w:pos="426"/>
        </w:tabs>
        <w:spacing w:line="276" w:lineRule="auto"/>
        <w:jc w:val="both"/>
        <w:rPr>
          <w:rFonts w:ascii="Arial" w:eastAsia="Calibri" w:hAnsi="Arial" w:cs="Arial"/>
          <w:b/>
          <w:sz w:val="22"/>
        </w:rPr>
      </w:pPr>
    </w:p>
    <w:p w14:paraId="06AA2BC2" w14:textId="634CAF18" w:rsidR="00263A8B" w:rsidRPr="00312813" w:rsidRDefault="00A37FB6" w:rsidP="00263A8B">
      <w:pPr>
        <w:pStyle w:val="Default"/>
        <w:spacing w:line="276" w:lineRule="auto"/>
        <w:jc w:val="both"/>
        <w:rPr>
          <w:rFonts w:ascii="Arial" w:eastAsia="Calibri" w:hAnsi="Arial" w:cs="Arial"/>
          <w:color w:val="auto"/>
          <w:sz w:val="22"/>
        </w:rPr>
      </w:pPr>
      <w:r w:rsidRPr="00312813">
        <w:rPr>
          <w:rFonts w:ascii="Arial" w:eastAsia="Calibri" w:hAnsi="Arial" w:cs="Arial"/>
          <w:color w:val="auto"/>
          <w:sz w:val="22"/>
        </w:rPr>
        <w:t xml:space="preserve">Usted realiza la siguiente </w:t>
      </w:r>
      <w:r w:rsidR="00263A8B" w:rsidRPr="00312813">
        <w:rPr>
          <w:rFonts w:ascii="Arial" w:eastAsia="Calibri" w:hAnsi="Arial" w:cs="Arial"/>
          <w:color w:val="auto"/>
          <w:sz w:val="22"/>
        </w:rPr>
        <w:t>consulta, relacionada con la aplicación de la inhabilidad por incumplimiento reiterado consagrada en el artículo 90 de la Ley 1474 de 2011, modificado por el artículo 43 de la Ley 1955 de 2019:</w:t>
      </w:r>
    </w:p>
    <w:p w14:paraId="1C58F473" w14:textId="77777777" w:rsidR="00263A8B" w:rsidRPr="00312813" w:rsidRDefault="00263A8B" w:rsidP="00263A8B">
      <w:pPr>
        <w:pStyle w:val="Default"/>
        <w:rPr>
          <w:rFonts w:ascii="Arial" w:eastAsia="Calibri" w:hAnsi="Arial" w:cs="Arial"/>
          <w:color w:val="auto"/>
          <w:sz w:val="22"/>
        </w:rPr>
      </w:pPr>
    </w:p>
    <w:p w14:paraId="4E8BF739" w14:textId="357F02F1" w:rsidR="00A37FB6" w:rsidRPr="00312813" w:rsidRDefault="009B2EE5" w:rsidP="00263A8B">
      <w:pPr>
        <w:pStyle w:val="Default"/>
        <w:ind w:left="709" w:right="709"/>
        <w:jc w:val="both"/>
        <w:rPr>
          <w:rFonts w:ascii="Arial" w:eastAsia="Calibri" w:hAnsi="Arial" w:cs="Arial"/>
          <w:color w:val="auto"/>
          <w:sz w:val="21"/>
          <w:szCs w:val="21"/>
        </w:rPr>
      </w:pPr>
      <w:r w:rsidRPr="00312813">
        <w:rPr>
          <w:rFonts w:ascii="Arial" w:eastAsia="Calibri" w:hAnsi="Arial" w:cs="Arial"/>
          <w:color w:val="auto"/>
          <w:sz w:val="21"/>
          <w:szCs w:val="21"/>
        </w:rPr>
        <w:t>«</w:t>
      </w:r>
      <w:r w:rsidR="00263A8B" w:rsidRPr="00312813">
        <w:rPr>
          <w:rFonts w:ascii="Arial" w:hAnsi="Arial" w:cs="Arial"/>
          <w:color w:val="auto"/>
          <w:sz w:val="21"/>
          <w:szCs w:val="21"/>
        </w:rPr>
        <w:t>Atendiendo principios generales del derecho como la irretroactividad de la ley y la interpretación restrictiva de las disposiciones legales referidas a inhabilidades, solicitamos que se precise la aplicación correcta del artículo 90 de la Ley 1474, modificado por el artículo 43 de la Ley 1955, cuando en el literal b señala “</w:t>
      </w:r>
      <w:r w:rsidR="00263A8B" w:rsidRPr="00312813">
        <w:rPr>
          <w:rFonts w:ascii="Arial" w:hAnsi="Arial" w:cs="Arial"/>
          <w:i/>
          <w:iCs/>
          <w:color w:val="auto"/>
          <w:sz w:val="21"/>
          <w:szCs w:val="21"/>
        </w:rPr>
        <w:t>Haber sido objeto de declaratorias de incumplimiento contractual en por lo menos dos (2) contratos, con una o varias entidades estatales, durante los últimos tres (3) años</w:t>
      </w:r>
      <w:r w:rsidR="00263A8B" w:rsidRPr="00312813">
        <w:rPr>
          <w:rFonts w:ascii="Arial" w:hAnsi="Arial" w:cs="Arial"/>
          <w:color w:val="auto"/>
          <w:sz w:val="21"/>
          <w:szCs w:val="21"/>
        </w:rPr>
        <w:t xml:space="preserve">”; en el sentido de establecer si los incumplimientos declarados con anterioridad a la vigencia de la Ley 1955, pueden ser tenidos en cuenta para que se configure la inhabilidad descrita. </w:t>
      </w:r>
      <w:proofErr w:type="gramStart"/>
      <w:r w:rsidR="00263A8B" w:rsidRPr="00312813">
        <w:rPr>
          <w:rFonts w:ascii="Arial" w:hAnsi="Arial" w:cs="Arial"/>
          <w:color w:val="auto"/>
          <w:sz w:val="21"/>
          <w:szCs w:val="21"/>
        </w:rPr>
        <w:t>O</w:t>
      </w:r>
      <w:proofErr w:type="gramEnd"/>
      <w:r w:rsidR="00263A8B" w:rsidRPr="00312813">
        <w:rPr>
          <w:rFonts w:ascii="Arial" w:hAnsi="Arial" w:cs="Arial"/>
          <w:color w:val="auto"/>
          <w:sz w:val="21"/>
          <w:szCs w:val="21"/>
        </w:rPr>
        <w:t xml:space="preserve"> por el contrario, los incumplimientos en por lo menos dos (2) contratos, para que se configure la inhabilidad, deben ser posteriores a la citada ley, y por ende los tres años se cuentan de igual forma, entre el 25 de mayo de 2019 y 25 de mayo de 2022</w:t>
      </w:r>
      <w:r w:rsidR="00DC06A6" w:rsidRPr="00312813">
        <w:rPr>
          <w:rFonts w:ascii="Arial" w:eastAsia="Calibri" w:hAnsi="Arial" w:cs="Arial"/>
          <w:color w:val="auto"/>
          <w:sz w:val="21"/>
          <w:szCs w:val="21"/>
        </w:rPr>
        <w:t>».</w:t>
      </w:r>
      <w:r w:rsidR="00BE194E" w:rsidRPr="00312813">
        <w:rPr>
          <w:rFonts w:ascii="Arial" w:eastAsia="Calibri" w:hAnsi="Arial" w:cs="Arial"/>
          <w:color w:val="auto"/>
          <w:sz w:val="21"/>
          <w:szCs w:val="21"/>
        </w:rPr>
        <w:t xml:space="preserve">  </w:t>
      </w:r>
    </w:p>
    <w:p w14:paraId="6A982790" w14:textId="77777777" w:rsidR="00A37FB6" w:rsidRPr="00312813" w:rsidRDefault="00A37FB6" w:rsidP="00F23E3A">
      <w:pPr>
        <w:tabs>
          <w:tab w:val="left" w:pos="426"/>
        </w:tabs>
        <w:spacing w:line="276" w:lineRule="auto"/>
        <w:jc w:val="both"/>
        <w:rPr>
          <w:rFonts w:ascii="Arial" w:eastAsia="Calibri" w:hAnsi="Arial" w:cs="Arial"/>
          <w:sz w:val="22"/>
        </w:rPr>
      </w:pPr>
    </w:p>
    <w:p w14:paraId="6A32A1B1" w14:textId="18BEF58D" w:rsidR="00A37FB6" w:rsidRPr="00312813" w:rsidRDefault="00A37FB6" w:rsidP="00F23E3A">
      <w:pPr>
        <w:pStyle w:val="Prrafodelista"/>
        <w:numPr>
          <w:ilvl w:val="0"/>
          <w:numId w:val="6"/>
        </w:numPr>
        <w:tabs>
          <w:tab w:val="left" w:pos="426"/>
        </w:tabs>
        <w:spacing w:line="276" w:lineRule="auto"/>
        <w:ind w:left="284" w:hanging="284"/>
        <w:jc w:val="both"/>
        <w:rPr>
          <w:rFonts w:ascii="Arial" w:eastAsia="Calibri" w:hAnsi="Arial" w:cs="Arial"/>
          <w:b/>
          <w:sz w:val="22"/>
        </w:rPr>
      </w:pPr>
      <w:r w:rsidRPr="00312813">
        <w:rPr>
          <w:rFonts w:ascii="Arial" w:eastAsia="Calibri" w:hAnsi="Arial" w:cs="Arial"/>
          <w:b/>
          <w:sz w:val="22"/>
        </w:rPr>
        <w:t>Consideraciones</w:t>
      </w:r>
    </w:p>
    <w:bookmarkEnd w:id="0"/>
    <w:bookmarkEnd w:id="1"/>
    <w:p w14:paraId="5D8BAB86" w14:textId="77777777" w:rsidR="00D94962" w:rsidRPr="00312813" w:rsidRDefault="00D94962" w:rsidP="006E3288">
      <w:pPr>
        <w:jc w:val="both"/>
        <w:rPr>
          <w:rFonts w:ascii="Arial" w:hAnsi="Arial" w:cs="Arial"/>
          <w:sz w:val="22"/>
          <w:lang w:val="es-ES_tradnl"/>
        </w:rPr>
      </w:pPr>
    </w:p>
    <w:p w14:paraId="35E500F3" w14:textId="175D2883" w:rsidR="006978FD" w:rsidRDefault="006D10B1" w:rsidP="00244069">
      <w:pPr>
        <w:spacing w:after="120" w:line="276" w:lineRule="auto"/>
        <w:jc w:val="both"/>
        <w:rPr>
          <w:rFonts w:ascii="Arial" w:eastAsia="Calibri" w:hAnsi="Arial" w:cs="Arial"/>
          <w:sz w:val="22"/>
        </w:rPr>
      </w:pPr>
      <w:r w:rsidRPr="00312813">
        <w:rPr>
          <w:rFonts w:ascii="Arial" w:hAnsi="Arial" w:cs="Arial"/>
          <w:sz w:val="22"/>
        </w:rPr>
        <w:t xml:space="preserve">La </w:t>
      </w:r>
      <w:r w:rsidRPr="00312813">
        <w:rPr>
          <w:rFonts w:ascii="Arial" w:eastAsia="Calibri" w:hAnsi="Arial" w:cs="Arial"/>
          <w:sz w:val="22"/>
        </w:rPr>
        <w:t>Agencia Nacional de Contratación Pública ― Colombia Compra Eficiente se ha pronunciado</w:t>
      </w:r>
      <w:r w:rsidR="00070501" w:rsidRPr="00312813">
        <w:rPr>
          <w:rFonts w:ascii="Arial" w:eastAsia="Calibri" w:hAnsi="Arial" w:cs="Arial"/>
          <w:sz w:val="22"/>
        </w:rPr>
        <w:t xml:space="preserve"> sobre</w:t>
      </w:r>
      <w:r w:rsidRPr="00312813">
        <w:rPr>
          <w:rFonts w:ascii="Arial" w:eastAsia="Calibri" w:hAnsi="Arial" w:cs="Arial"/>
          <w:sz w:val="22"/>
        </w:rPr>
        <w:t xml:space="preserve"> </w:t>
      </w:r>
      <w:r w:rsidR="00503206" w:rsidRPr="00312813">
        <w:rPr>
          <w:rFonts w:ascii="Arial" w:eastAsia="Calibri" w:hAnsi="Arial" w:cs="Arial"/>
          <w:sz w:val="22"/>
        </w:rPr>
        <w:t>el régimen de inhabilidades e incompatibilidades</w:t>
      </w:r>
      <w:r w:rsidRPr="00312813">
        <w:rPr>
          <w:rFonts w:ascii="Arial" w:eastAsia="Calibri" w:hAnsi="Arial" w:cs="Arial"/>
          <w:sz w:val="22"/>
        </w:rPr>
        <w:t xml:space="preserve"> </w:t>
      </w:r>
      <w:r w:rsidR="00503206" w:rsidRPr="00312813">
        <w:rPr>
          <w:rFonts w:ascii="Arial" w:eastAsia="Calibri" w:hAnsi="Arial" w:cs="Arial"/>
          <w:sz w:val="22"/>
        </w:rPr>
        <w:t>en</w:t>
      </w:r>
      <w:r w:rsidRPr="00312813">
        <w:rPr>
          <w:rFonts w:ascii="Arial" w:eastAsia="Calibri" w:hAnsi="Arial" w:cs="Arial"/>
          <w:sz w:val="22"/>
        </w:rPr>
        <w:t xml:space="preserve"> los contratos estatales, en los conceptos </w:t>
      </w:r>
      <w:r w:rsidR="00503206" w:rsidRPr="00312813">
        <w:rPr>
          <w:rFonts w:ascii="Arial" w:eastAsia="Calibri" w:hAnsi="Arial" w:cs="Arial"/>
          <w:sz w:val="22"/>
        </w:rPr>
        <w:t>con radicados Nos.</w:t>
      </w:r>
      <w:r w:rsidR="00070501" w:rsidRPr="00312813">
        <w:rPr>
          <w:rFonts w:ascii="Arial" w:eastAsia="Calibri" w:hAnsi="Arial" w:cs="Arial"/>
          <w:sz w:val="22"/>
        </w:rPr>
        <w:t xml:space="preserve"> 4201912000003368 del 21 de mayo de 2019,</w:t>
      </w:r>
      <w:r w:rsidR="00503206" w:rsidRPr="00312813">
        <w:rPr>
          <w:rFonts w:ascii="Arial" w:hAnsi="Arial" w:cs="Arial"/>
          <w:sz w:val="22"/>
        </w:rPr>
        <w:t xml:space="preserve"> 4201912000003592 del 28 de agosto de 2019, </w:t>
      </w:r>
      <w:r w:rsidR="00503206" w:rsidRPr="00312813">
        <w:rPr>
          <w:rFonts w:ascii="Arial" w:eastAsia="Calibri" w:hAnsi="Arial" w:cs="Arial"/>
          <w:sz w:val="22"/>
        </w:rPr>
        <w:t>4201913000005649 del 17 de septiembre de 2019,</w:t>
      </w:r>
      <w:r w:rsidR="00070501" w:rsidRPr="00312813">
        <w:rPr>
          <w:rFonts w:ascii="Arial" w:eastAsia="Calibri" w:hAnsi="Arial" w:cs="Arial"/>
          <w:sz w:val="22"/>
        </w:rPr>
        <w:t xml:space="preserve"> 4201913000006917 del 7 de octubre de 2019, </w:t>
      </w:r>
      <w:r w:rsidR="00503206" w:rsidRPr="00312813">
        <w:rPr>
          <w:rFonts w:ascii="Arial" w:eastAsia="Calibri" w:hAnsi="Arial" w:cs="Arial"/>
          <w:sz w:val="22"/>
        </w:rPr>
        <w:t>4201912000006692 del 12 de noviembre de 2019</w:t>
      </w:r>
      <w:r w:rsidR="00D536D4">
        <w:rPr>
          <w:rFonts w:ascii="Arial" w:eastAsia="Calibri" w:hAnsi="Arial" w:cs="Arial"/>
          <w:sz w:val="22"/>
        </w:rPr>
        <w:t>. De igual forma</w:t>
      </w:r>
      <w:r w:rsidR="001A09AC">
        <w:rPr>
          <w:rFonts w:ascii="Arial" w:eastAsia="Calibri" w:hAnsi="Arial" w:cs="Arial"/>
          <w:sz w:val="22"/>
        </w:rPr>
        <w:t>,</w:t>
      </w:r>
      <w:r w:rsidR="00070501" w:rsidRPr="00312813">
        <w:rPr>
          <w:rFonts w:ascii="Arial" w:eastAsia="Calibri" w:hAnsi="Arial" w:cs="Arial"/>
          <w:sz w:val="22"/>
        </w:rPr>
        <w:t xml:space="preserve"> en los conceptos</w:t>
      </w:r>
      <w:r w:rsidR="00B35A63" w:rsidRPr="00312813">
        <w:rPr>
          <w:rFonts w:ascii="Arial" w:eastAsia="Calibri" w:hAnsi="Arial" w:cs="Arial"/>
          <w:sz w:val="22"/>
        </w:rPr>
        <w:t xml:space="preserve"> C - 90 del 24 de febrero de 2020, C - 125 del 3 de marzo de 2020,</w:t>
      </w:r>
      <w:r w:rsidR="00070501" w:rsidRPr="00312813">
        <w:rPr>
          <w:rFonts w:ascii="Arial" w:eastAsia="Calibri" w:hAnsi="Arial" w:cs="Arial"/>
          <w:sz w:val="22"/>
        </w:rPr>
        <w:t xml:space="preserve"> C - 085 de</w:t>
      </w:r>
      <w:r w:rsidR="00B35A63" w:rsidRPr="00312813">
        <w:rPr>
          <w:rFonts w:ascii="Arial" w:eastAsia="Calibri" w:hAnsi="Arial" w:cs="Arial"/>
          <w:sz w:val="22"/>
        </w:rPr>
        <w:t>l 4 de marzo de</w:t>
      </w:r>
      <w:r w:rsidR="00070501" w:rsidRPr="00312813">
        <w:rPr>
          <w:rFonts w:ascii="Arial" w:eastAsia="Calibri" w:hAnsi="Arial" w:cs="Arial"/>
          <w:sz w:val="22"/>
        </w:rPr>
        <w:t xml:space="preserve"> 2020,</w:t>
      </w:r>
      <w:r w:rsidR="00B35A63" w:rsidRPr="00312813">
        <w:rPr>
          <w:rFonts w:ascii="Arial" w:eastAsia="Calibri" w:hAnsi="Arial" w:cs="Arial"/>
          <w:sz w:val="22"/>
        </w:rPr>
        <w:t xml:space="preserve"> C - 246 del 3 de abril de 2020, C - 273 del 21 de mayo de 2020, C - 402 de 22 de junio de 2020, C-585 y C- 592 del 14 de septiembre de 2020 y C – 580 del 21 de septiembre de 2020, entre otros. </w:t>
      </w:r>
    </w:p>
    <w:p w14:paraId="5C186F40" w14:textId="46BBE474" w:rsidR="00503206" w:rsidRPr="00312813" w:rsidRDefault="001D7C8A" w:rsidP="00244069">
      <w:pPr>
        <w:spacing w:line="276" w:lineRule="auto"/>
        <w:ind w:firstLine="708"/>
        <w:jc w:val="both"/>
        <w:rPr>
          <w:rFonts w:ascii="Arial" w:eastAsia="Calibri" w:hAnsi="Arial" w:cs="Arial"/>
          <w:sz w:val="22"/>
        </w:rPr>
      </w:pPr>
      <w:r w:rsidRPr="00312813">
        <w:rPr>
          <w:rFonts w:ascii="Arial" w:eastAsia="Calibri" w:hAnsi="Arial" w:cs="Arial"/>
          <w:sz w:val="22"/>
        </w:rPr>
        <w:t>Asimismo,</w:t>
      </w:r>
      <w:r w:rsidR="00B35A63" w:rsidRPr="00312813">
        <w:rPr>
          <w:rFonts w:ascii="Arial" w:eastAsia="Calibri" w:hAnsi="Arial" w:cs="Arial"/>
          <w:sz w:val="22"/>
        </w:rPr>
        <w:t xml:space="preserve"> en los conceptos con radicados</w:t>
      </w:r>
      <w:r w:rsidR="009E3277" w:rsidRPr="00312813">
        <w:rPr>
          <w:rFonts w:ascii="Arial" w:eastAsia="Calibri" w:hAnsi="Arial" w:cs="Arial"/>
          <w:sz w:val="22"/>
        </w:rPr>
        <w:t xml:space="preserve"> Nos.</w:t>
      </w:r>
      <w:r w:rsidR="00B35A63" w:rsidRPr="00312813">
        <w:rPr>
          <w:rFonts w:ascii="Arial" w:eastAsia="Calibri" w:hAnsi="Arial" w:cs="Arial"/>
          <w:sz w:val="22"/>
        </w:rPr>
        <w:t xml:space="preserve"> 4201913000005694 del 3 de octubre de 2019, 4201912000006259 del 13 de noviembre de 2019</w:t>
      </w:r>
      <w:r w:rsidR="009E3277" w:rsidRPr="00312813">
        <w:rPr>
          <w:rFonts w:ascii="Arial" w:eastAsia="Calibri" w:hAnsi="Arial" w:cs="Arial"/>
          <w:sz w:val="22"/>
        </w:rPr>
        <w:t xml:space="preserve">, </w:t>
      </w:r>
      <w:r w:rsidR="00B35A63" w:rsidRPr="00312813">
        <w:rPr>
          <w:rFonts w:ascii="Arial" w:eastAsia="Calibri" w:hAnsi="Arial" w:cs="Arial"/>
          <w:sz w:val="22"/>
        </w:rPr>
        <w:t>4201912000007281 del 5 de diciembre de 2019 y 4201912000007060 del 11 de diciembre de 2019,</w:t>
      </w:r>
      <w:r w:rsidR="009E3277" w:rsidRPr="00312813">
        <w:rPr>
          <w:rFonts w:ascii="Arial" w:eastAsia="Calibri" w:hAnsi="Arial" w:cs="Arial"/>
          <w:sz w:val="22"/>
        </w:rPr>
        <w:t xml:space="preserve"> se </w:t>
      </w:r>
      <w:r w:rsidR="006978FD">
        <w:rPr>
          <w:rFonts w:ascii="Arial" w:eastAsia="Calibri" w:hAnsi="Arial" w:cs="Arial"/>
          <w:sz w:val="22"/>
        </w:rPr>
        <w:t>analizó</w:t>
      </w:r>
      <w:r w:rsidR="009E3277" w:rsidRPr="00312813">
        <w:rPr>
          <w:rFonts w:ascii="Arial" w:eastAsia="Calibri" w:hAnsi="Arial" w:cs="Arial"/>
          <w:sz w:val="22"/>
        </w:rPr>
        <w:t xml:space="preserve"> la aplicación de la inhabilidad por incumplimiento reiterado consagrada en el artículo 90 de la Ley 1474 de 2011, tras la modificación introducida por la Ley 1955 de 2019</w:t>
      </w:r>
      <w:r w:rsidR="00070501" w:rsidRPr="00312813">
        <w:rPr>
          <w:rFonts w:ascii="Arial" w:eastAsia="Calibri" w:hAnsi="Arial" w:cs="Arial"/>
          <w:sz w:val="22"/>
        </w:rPr>
        <w:t xml:space="preserve">. </w:t>
      </w:r>
      <w:r w:rsidRPr="00312813">
        <w:rPr>
          <w:rFonts w:ascii="Arial" w:eastAsia="Calibri" w:hAnsi="Arial" w:cs="Arial"/>
          <w:sz w:val="22"/>
        </w:rPr>
        <w:t>Algunos de los argumentos entonces expuesto</w:t>
      </w:r>
      <w:r w:rsidR="00064065" w:rsidRPr="00312813">
        <w:rPr>
          <w:rFonts w:ascii="Arial" w:eastAsia="Calibri" w:hAnsi="Arial" w:cs="Arial"/>
          <w:sz w:val="22"/>
        </w:rPr>
        <w:t>s</w:t>
      </w:r>
      <w:r w:rsidRPr="00312813">
        <w:rPr>
          <w:rFonts w:ascii="Arial" w:eastAsia="Calibri" w:hAnsi="Arial" w:cs="Arial"/>
          <w:sz w:val="22"/>
        </w:rPr>
        <w:t xml:space="preserve"> se reiteran a continuación.</w:t>
      </w:r>
    </w:p>
    <w:p w14:paraId="3BBB72CD" w14:textId="77777777" w:rsidR="001D7C8A" w:rsidRPr="00312813" w:rsidRDefault="001D7C8A" w:rsidP="001D7C8A">
      <w:pPr>
        <w:spacing w:line="276" w:lineRule="auto"/>
        <w:jc w:val="both"/>
        <w:rPr>
          <w:rFonts w:ascii="Arial" w:hAnsi="Arial" w:cs="Arial"/>
          <w:b/>
          <w:bCs/>
          <w:sz w:val="22"/>
        </w:rPr>
      </w:pPr>
    </w:p>
    <w:p w14:paraId="5A2BD6F4" w14:textId="32B73552" w:rsidR="001D7C8A" w:rsidRDefault="001D7C8A" w:rsidP="00244069">
      <w:pPr>
        <w:spacing w:line="276" w:lineRule="auto"/>
        <w:jc w:val="both"/>
        <w:rPr>
          <w:rFonts w:ascii="Arial" w:hAnsi="Arial" w:cs="Arial"/>
          <w:b/>
          <w:bCs/>
          <w:sz w:val="22"/>
        </w:rPr>
      </w:pPr>
      <w:r w:rsidRPr="00312813">
        <w:rPr>
          <w:rFonts w:ascii="Arial" w:hAnsi="Arial" w:cs="Arial"/>
          <w:b/>
          <w:bCs/>
          <w:sz w:val="22"/>
        </w:rPr>
        <w:t>2.1. El régimen de inhabilidades e incompatibilidades en la contratación estatal</w:t>
      </w:r>
    </w:p>
    <w:p w14:paraId="39856C6C" w14:textId="77777777" w:rsidR="006978FD" w:rsidRPr="00312813" w:rsidRDefault="006978FD" w:rsidP="00244069">
      <w:pPr>
        <w:spacing w:line="276" w:lineRule="auto"/>
        <w:jc w:val="both"/>
        <w:rPr>
          <w:rFonts w:ascii="Arial" w:hAnsi="Arial" w:cs="Arial"/>
          <w:b/>
          <w:bCs/>
          <w:sz w:val="22"/>
        </w:rPr>
      </w:pPr>
    </w:p>
    <w:p w14:paraId="1A8179DD" w14:textId="0BC68C51" w:rsidR="0096318D" w:rsidRPr="00312813" w:rsidRDefault="0096318D" w:rsidP="00244069">
      <w:pPr>
        <w:spacing w:after="120" w:line="276" w:lineRule="auto"/>
        <w:jc w:val="both"/>
        <w:rPr>
          <w:rFonts w:ascii="Arial" w:eastAsia="Calibri" w:hAnsi="Arial" w:cs="Arial"/>
          <w:sz w:val="22"/>
          <w:lang w:val="es-ES_tradnl"/>
        </w:rPr>
      </w:pPr>
      <w:r w:rsidRPr="00312813">
        <w:rPr>
          <w:rFonts w:ascii="Arial" w:eastAsia="Calibri" w:hAnsi="Arial" w:cs="Arial"/>
          <w:sz w:val="22"/>
          <w:lang w:val="es-ES_tradnl"/>
        </w:rPr>
        <w:t xml:space="preserve">En la contratación estatal, la </w:t>
      </w:r>
      <w:r w:rsidRPr="00312813">
        <w:rPr>
          <w:rFonts w:ascii="Arial" w:eastAsia="Calibri" w:hAnsi="Arial" w:cs="Arial"/>
          <w:i/>
          <w:iCs/>
          <w:sz w:val="22"/>
          <w:lang w:val="es-ES_tradnl"/>
        </w:rPr>
        <w:t>capacidad</w:t>
      </w:r>
      <w:r w:rsidRPr="00312813">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12813">
        <w:rPr>
          <w:rFonts w:ascii="Arial" w:eastAsia="Calibri" w:hAnsi="Arial" w:cs="Arial"/>
          <w:sz w:val="22"/>
          <w:vertAlign w:val="superscript"/>
          <w:lang w:val="es-ES_tradnl"/>
        </w:rPr>
        <w:footnoteReference w:id="1"/>
      </w:r>
      <w:r w:rsidRPr="00312813">
        <w:rPr>
          <w:rFonts w:ascii="Arial" w:eastAsia="Calibri" w:hAnsi="Arial" w:cs="Arial"/>
          <w:sz w:val="22"/>
          <w:lang w:val="es-ES_tradnl"/>
        </w:rPr>
        <w:t xml:space="preserve"> como en el de las exceptuadas de aquel</w:t>
      </w:r>
      <w:r w:rsidRPr="00312813">
        <w:rPr>
          <w:rFonts w:ascii="Arial" w:eastAsia="Calibri" w:hAnsi="Arial" w:cs="Arial"/>
          <w:sz w:val="22"/>
          <w:vertAlign w:val="superscript"/>
          <w:lang w:val="es-ES_tradnl"/>
        </w:rPr>
        <w:footnoteReference w:id="2"/>
      </w:r>
      <w:r w:rsidRPr="00312813">
        <w:rPr>
          <w:rFonts w:ascii="Arial" w:eastAsia="Calibri" w:hAnsi="Arial" w:cs="Arial"/>
          <w:sz w:val="22"/>
          <w:lang w:val="es-ES_tradnl"/>
        </w:rPr>
        <w:t xml:space="preserve">. </w:t>
      </w:r>
      <w:r w:rsidR="00ED7C47">
        <w:rPr>
          <w:rFonts w:ascii="Arial" w:eastAsia="Calibri" w:hAnsi="Arial" w:cs="Arial"/>
          <w:sz w:val="22"/>
          <w:lang w:val="es-ES_tradnl"/>
        </w:rPr>
        <w:t>En relación con la capacidad jurídica</w:t>
      </w:r>
      <w:r w:rsidRPr="00312813">
        <w:rPr>
          <w:rFonts w:ascii="Arial" w:eastAsia="Calibri" w:hAnsi="Arial" w:cs="Arial"/>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312813">
        <w:rPr>
          <w:rFonts w:ascii="Arial" w:eastAsia="Calibri" w:hAnsi="Arial" w:cs="Arial"/>
          <w:sz w:val="22"/>
          <w:vertAlign w:val="superscript"/>
          <w:lang w:val="es-ES_tradnl"/>
        </w:rPr>
        <w:footnoteReference w:id="3"/>
      </w:r>
      <w:r w:rsidRPr="00312813">
        <w:rPr>
          <w:rFonts w:ascii="Arial" w:eastAsia="Calibri" w:hAnsi="Arial" w:cs="Arial"/>
          <w:sz w:val="22"/>
          <w:lang w:val="es-ES_tradnl"/>
        </w:rPr>
        <w:t>.</w:t>
      </w:r>
    </w:p>
    <w:p w14:paraId="7630A8BB" w14:textId="507BA80C" w:rsidR="0096318D" w:rsidRPr="00312813" w:rsidRDefault="0096318D" w:rsidP="00B75B2B">
      <w:pPr>
        <w:spacing w:before="120" w:after="120" w:line="276" w:lineRule="auto"/>
        <w:ind w:firstLine="709"/>
        <w:jc w:val="both"/>
        <w:rPr>
          <w:rFonts w:ascii="Arial" w:eastAsia="Calibri" w:hAnsi="Arial" w:cs="Arial"/>
          <w:sz w:val="22"/>
          <w:lang w:val="es-ES_tradnl"/>
        </w:rPr>
      </w:pPr>
      <w:r w:rsidRPr="00312813">
        <w:rPr>
          <w:rFonts w:ascii="Arial" w:eastAsia="Calibri" w:hAnsi="Arial" w:cs="Arial"/>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w:t>
      </w:r>
      <w:proofErr w:type="spellStart"/>
      <w:r w:rsidRPr="00312813">
        <w:rPr>
          <w:rFonts w:ascii="Arial" w:eastAsia="Calibri" w:hAnsi="Arial" w:cs="Arial"/>
          <w:sz w:val="22"/>
          <w:lang w:val="es-ES_tradnl"/>
        </w:rPr>
        <w:t>neopunitivo</w:t>
      </w:r>
      <w:proofErr w:type="spellEnd"/>
      <w:r w:rsidRPr="00312813">
        <w:rPr>
          <w:rFonts w:ascii="Arial" w:eastAsia="Calibri" w:hAnsi="Arial" w:cs="Arial"/>
          <w:sz w:val="22"/>
          <w:lang w:val="es-ES_tradnl"/>
        </w:rPr>
        <w:t>»</w:t>
      </w:r>
      <w:r w:rsidRPr="00312813">
        <w:rPr>
          <w:rFonts w:ascii="Arial" w:eastAsia="Calibri" w:hAnsi="Arial" w:cs="Arial"/>
          <w:sz w:val="22"/>
          <w:vertAlign w:val="superscript"/>
          <w:lang w:val="es-ES_tradnl"/>
        </w:rPr>
        <w:footnoteReference w:id="4"/>
      </w:r>
      <w:r w:rsidRPr="00312813">
        <w:rPr>
          <w:rFonts w:ascii="Arial" w:eastAsia="Calibri" w:hAnsi="Arial" w:cs="Arial"/>
          <w:sz w:val="22"/>
          <w:lang w:val="es-ES_tradnl"/>
        </w:rPr>
        <w:t xml:space="preserve">. Si bien no todas las causales de inhabilidad y de incompatibilidad son consecuencia de una medida de reproche ni de una sanción previa, es indiscutible que en los años más recientes los lamentables hechos de corrupción han </w:t>
      </w:r>
      <w:r w:rsidRPr="00312813">
        <w:rPr>
          <w:rFonts w:ascii="Arial" w:eastAsia="Calibri" w:hAnsi="Arial" w:cs="Arial"/>
          <w:sz w:val="22"/>
          <w:lang w:val="es-ES_tradnl"/>
        </w:rPr>
        <w:lastRenderedPageBreak/>
        <w:t>generado, como respuesta del legislador, un incremento de las restricciones a la capacidad contractual, dirigidas a prevenir este tipo de situaciones o a sancionar tales conductas.</w:t>
      </w:r>
    </w:p>
    <w:p w14:paraId="43C609A4" w14:textId="37E1EB64" w:rsidR="0096318D" w:rsidRPr="00312813" w:rsidRDefault="0096318D" w:rsidP="00B75B2B">
      <w:pPr>
        <w:spacing w:before="120" w:after="120" w:line="276" w:lineRule="auto"/>
        <w:ind w:firstLine="709"/>
        <w:jc w:val="both"/>
        <w:rPr>
          <w:rFonts w:ascii="Arial" w:eastAsia="Calibri" w:hAnsi="Arial" w:cs="Arial"/>
          <w:sz w:val="22"/>
          <w:lang w:val="es-ES_tradnl"/>
        </w:rPr>
      </w:pPr>
      <w:r w:rsidRPr="00312813">
        <w:rPr>
          <w:rFonts w:ascii="Arial" w:eastAsia="Calibri" w:hAnsi="Arial" w:cs="Arial"/>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12813">
        <w:rPr>
          <w:rFonts w:ascii="Arial" w:eastAsia="Calibri" w:hAnsi="Arial" w:cs="Arial"/>
          <w:i/>
          <w:iCs/>
          <w:sz w:val="22"/>
          <w:lang w:val="es-ES_tradnl"/>
        </w:rPr>
        <w:t>restrictiva</w:t>
      </w:r>
      <w:r w:rsidRPr="00312813">
        <w:rPr>
          <w:rFonts w:ascii="Arial" w:eastAsia="Calibri" w:hAnsi="Arial" w:cs="Arial"/>
          <w:sz w:val="22"/>
          <w:vertAlign w:val="superscript"/>
          <w:lang w:val="es-ES_tradnl"/>
        </w:rPr>
        <w:footnoteReference w:id="5"/>
      </w:r>
      <w:r w:rsidR="00876480">
        <w:rPr>
          <w:rFonts w:ascii="Arial" w:eastAsia="Calibri" w:hAnsi="Arial" w:cs="Arial"/>
          <w:i/>
          <w:iCs/>
          <w:sz w:val="22"/>
          <w:lang w:val="es-ES_tradnl"/>
        </w:rPr>
        <w:t xml:space="preserve"> </w:t>
      </w:r>
      <w:r w:rsidR="00876480">
        <w:rPr>
          <w:rFonts w:ascii="Arial" w:eastAsia="Calibri" w:hAnsi="Arial" w:cs="Arial"/>
          <w:sz w:val="22"/>
          <w:lang w:val="es-ES_tradnl"/>
        </w:rPr>
        <w:t xml:space="preserve">y </w:t>
      </w:r>
      <w:r w:rsidR="00105467">
        <w:rPr>
          <w:rFonts w:ascii="Arial" w:eastAsia="Calibri" w:hAnsi="Arial" w:cs="Arial"/>
          <w:sz w:val="22"/>
          <w:lang w:val="es-ES_tradnl"/>
        </w:rPr>
        <w:t>apegada al texto normativo.</w:t>
      </w:r>
      <w:r w:rsidRPr="00312813">
        <w:rPr>
          <w:rFonts w:ascii="Arial" w:eastAsia="Calibri" w:hAnsi="Arial" w:cs="Arial"/>
          <w:sz w:val="22"/>
          <w:lang w:val="es-ES_tradnl"/>
        </w:rPr>
        <w:t xml:space="preserve"> </w:t>
      </w:r>
      <w:r w:rsidR="00105467">
        <w:rPr>
          <w:rFonts w:ascii="Arial" w:eastAsia="Calibri" w:hAnsi="Arial" w:cs="Arial"/>
          <w:sz w:val="22"/>
          <w:lang w:val="es-ES_tradnl"/>
        </w:rPr>
        <w:t>S</w:t>
      </w:r>
      <w:r w:rsidRPr="00312813">
        <w:rPr>
          <w:rFonts w:ascii="Arial" w:eastAsia="Calibri" w:hAnsi="Arial" w:cs="Arial"/>
          <w:sz w:val="22"/>
          <w:lang w:val="es-ES_tradnl"/>
        </w:rPr>
        <w:t>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jurisprudencia</w:t>
      </w:r>
      <w:r w:rsidR="00032B71">
        <w:rPr>
          <w:rFonts w:ascii="Arial" w:eastAsia="Calibri" w:hAnsi="Arial" w:cs="Arial"/>
          <w:sz w:val="22"/>
          <w:lang w:val="es-ES_tradnl"/>
        </w:rPr>
        <w:t>l</w:t>
      </w:r>
      <w:r w:rsidRPr="00312813">
        <w:rPr>
          <w:rFonts w:ascii="Arial" w:eastAsia="Calibri" w:hAnsi="Arial" w:cs="Arial"/>
          <w:sz w:val="22"/>
          <w:lang w:val="es-ES_tradnl"/>
        </w:rPr>
        <w:t xml:space="preserve">, tanto de la Corte Constitucional como de la Sección Tercera del Consejo de Estado. </w:t>
      </w:r>
    </w:p>
    <w:p w14:paraId="1F6CAE39" w14:textId="77777777" w:rsidR="0096318D" w:rsidRPr="00312813" w:rsidRDefault="0096318D" w:rsidP="00B75B2B">
      <w:pPr>
        <w:spacing w:before="120" w:line="276" w:lineRule="auto"/>
        <w:ind w:firstLine="709"/>
        <w:jc w:val="both"/>
        <w:rPr>
          <w:rFonts w:ascii="Arial" w:eastAsia="Calibri" w:hAnsi="Arial" w:cs="Arial"/>
          <w:sz w:val="22"/>
          <w:lang w:val="es-ES_tradnl"/>
        </w:rPr>
      </w:pPr>
      <w:r w:rsidRPr="00312813">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12813">
        <w:rPr>
          <w:rFonts w:ascii="Arial" w:eastAsia="Calibri" w:hAnsi="Arial" w:cs="Arial"/>
          <w:sz w:val="22"/>
          <w:vertAlign w:val="superscript"/>
          <w:lang w:val="es-ES_tradnl"/>
        </w:rPr>
        <w:footnoteReference w:id="6"/>
      </w:r>
      <w:r w:rsidRPr="00312813">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12813">
        <w:rPr>
          <w:rFonts w:ascii="Arial" w:eastAsia="Calibri" w:hAnsi="Arial" w:cs="Arial"/>
          <w:sz w:val="22"/>
          <w:vertAlign w:val="superscript"/>
          <w:lang w:val="es-ES_tradnl"/>
        </w:rPr>
        <w:footnoteReference w:id="7"/>
      </w:r>
      <w:r w:rsidRPr="00312813">
        <w:rPr>
          <w:rFonts w:ascii="Arial" w:eastAsia="Calibri" w:hAnsi="Arial" w:cs="Arial"/>
          <w:sz w:val="22"/>
          <w:lang w:val="es-ES_tradnl"/>
        </w:rPr>
        <w:t>. En tal sentido, la Sección Tercera ha señalado que:</w:t>
      </w:r>
    </w:p>
    <w:p w14:paraId="27648BC9" w14:textId="77777777" w:rsidR="0096318D" w:rsidRPr="00312813" w:rsidRDefault="0096318D" w:rsidP="00F23E3A">
      <w:pPr>
        <w:spacing w:line="276" w:lineRule="auto"/>
        <w:ind w:firstLine="709"/>
        <w:jc w:val="both"/>
        <w:rPr>
          <w:rFonts w:ascii="Arial" w:eastAsia="Calibri" w:hAnsi="Arial" w:cs="Arial"/>
          <w:sz w:val="22"/>
          <w:lang w:val="es-ES_tradnl"/>
        </w:rPr>
      </w:pPr>
    </w:p>
    <w:p w14:paraId="382FC456" w14:textId="3FEE3D83" w:rsidR="0096318D" w:rsidRPr="00312813" w:rsidRDefault="0096318D" w:rsidP="00150BAE">
      <w:pPr>
        <w:ind w:left="709" w:right="709"/>
        <w:jc w:val="both"/>
        <w:rPr>
          <w:rFonts w:ascii="Arial" w:hAnsi="Arial" w:cs="Arial"/>
          <w:sz w:val="21"/>
          <w:szCs w:val="21"/>
          <w:lang w:val="es-ES_tradnl"/>
        </w:rPr>
      </w:pPr>
      <w:r w:rsidRPr="00312813">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12813">
        <w:rPr>
          <w:rFonts w:ascii="Arial" w:hAnsi="Arial" w:cs="Arial"/>
          <w:sz w:val="21"/>
          <w:szCs w:val="21"/>
          <w:vertAlign w:val="superscript"/>
          <w:lang w:val="es-ES_tradnl"/>
        </w:rPr>
        <w:footnoteReference w:id="8"/>
      </w:r>
      <w:r w:rsidRPr="00312813">
        <w:rPr>
          <w:rFonts w:ascii="Arial" w:hAnsi="Arial" w:cs="Arial"/>
          <w:sz w:val="21"/>
          <w:szCs w:val="21"/>
          <w:lang w:val="es-ES_tradnl"/>
        </w:rPr>
        <w:t>.</w:t>
      </w:r>
    </w:p>
    <w:p w14:paraId="31BAA1A8" w14:textId="77777777" w:rsidR="00F23E3A" w:rsidRPr="00312813" w:rsidRDefault="00F23E3A" w:rsidP="00150BAE">
      <w:pPr>
        <w:ind w:left="709" w:right="709"/>
        <w:jc w:val="both"/>
        <w:rPr>
          <w:rFonts w:ascii="Arial" w:hAnsi="Arial" w:cs="Arial"/>
          <w:bCs/>
          <w:sz w:val="21"/>
          <w:szCs w:val="21"/>
          <w:lang w:val="es-ES_tradnl"/>
        </w:rPr>
      </w:pPr>
    </w:p>
    <w:p w14:paraId="615F134D" w14:textId="5FD8866B" w:rsidR="0096318D" w:rsidRPr="00312813" w:rsidRDefault="0096318D" w:rsidP="00150BAE">
      <w:pPr>
        <w:spacing w:line="276" w:lineRule="auto"/>
        <w:ind w:firstLine="709"/>
        <w:jc w:val="both"/>
        <w:rPr>
          <w:rFonts w:ascii="Arial" w:eastAsia="Calibri" w:hAnsi="Arial" w:cs="Arial"/>
          <w:sz w:val="22"/>
          <w:lang w:val="es-ES_tradnl"/>
        </w:rPr>
      </w:pPr>
      <w:r w:rsidRPr="00312813">
        <w:rPr>
          <w:rFonts w:ascii="Arial" w:eastAsia="Calibri" w:hAnsi="Arial" w:cs="Arial"/>
          <w:sz w:val="22"/>
          <w:lang w:val="es-ES_tradnl"/>
        </w:rPr>
        <w:t>También ha dicho que:</w:t>
      </w:r>
    </w:p>
    <w:p w14:paraId="10A98F4A" w14:textId="77777777" w:rsidR="00F23E3A" w:rsidRPr="00312813" w:rsidRDefault="00F23E3A" w:rsidP="00150BAE">
      <w:pPr>
        <w:ind w:firstLine="709"/>
        <w:jc w:val="both"/>
        <w:rPr>
          <w:rFonts w:ascii="Arial" w:eastAsia="Calibri" w:hAnsi="Arial" w:cs="Arial"/>
          <w:sz w:val="21"/>
          <w:szCs w:val="21"/>
          <w:lang w:val="es-ES_tradnl"/>
        </w:rPr>
      </w:pPr>
    </w:p>
    <w:p w14:paraId="65FC017D" w14:textId="53EACA3F" w:rsidR="0096318D" w:rsidRPr="00312813" w:rsidRDefault="0096318D" w:rsidP="00150BAE">
      <w:pPr>
        <w:ind w:left="709" w:right="709"/>
        <w:jc w:val="both"/>
        <w:rPr>
          <w:rFonts w:ascii="Arial" w:hAnsi="Arial" w:cs="Arial"/>
          <w:sz w:val="21"/>
          <w:szCs w:val="21"/>
          <w:lang w:val="es-ES_tradnl"/>
        </w:rPr>
      </w:pPr>
      <w:r w:rsidRPr="00312813">
        <w:rPr>
          <w:rFonts w:ascii="Arial" w:hAnsi="Arial" w:cs="Arial"/>
          <w:sz w:val="21"/>
          <w:szCs w:val="21"/>
          <w:lang w:val="es-ES_tradnl"/>
        </w:rPr>
        <w:t xml:space="preserve">[…] la aplicación de estos preceptos exige una interpretación restrictiva, dado que según el principio </w:t>
      </w:r>
      <w:bookmarkStart w:id="3" w:name="_Hlk36113778"/>
      <w:r w:rsidRPr="00312813">
        <w:rPr>
          <w:rFonts w:ascii="Arial" w:hAnsi="Arial" w:cs="Arial"/>
          <w:sz w:val="21"/>
          <w:szCs w:val="21"/>
          <w:lang w:val="es-ES_tradnl"/>
        </w:rPr>
        <w:t xml:space="preserve">hermenéutico </w:t>
      </w:r>
      <w:r w:rsidRPr="00312813">
        <w:rPr>
          <w:rFonts w:ascii="Arial" w:hAnsi="Arial" w:cs="Arial"/>
          <w:i/>
          <w:iCs/>
          <w:sz w:val="21"/>
          <w:szCs w:val="21"/>
          <w:lang w:val="es-ES_tradnl"/>
        </w:rPr>
        <w:t xml:space="preserve">pro </w:t>
      </w:r>
      <w:proofErr w:type="spellStart"/>
      <w:r w:rsidRPr="00312813">
        <w:rPr>
          <w:rFonts w:ascii="Arial" w:hAnsi="Arial" w:cs="Arial"/>
          <w:i/>
          <w:iCs/>
          <w:sz w:val="21"/>
          <w:szCs w:val="21"/>
          <w:lang w:val="es-ES_tradnl"/>
        </w:rPr>
        <w:t>libertate</w:t>
      </w:r>
      <w:proofErr w:type="spellEnd"/>
      <w:r w:rsidRPr="00312813">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w:t>
      </w:r>
      <w:bookmarkEnd w:id="3"/>
      <w:r w:rsidRPr="00312813">
        <w:rPr>
          <w:rFonts w:ascii="Arial" w:hAnsi="Arial" w:cs="Arial"/>
          <w:sz w:val="21"/>
          <w:szCs w:val="21"/>
          <w:lang w:val="es-ES_tradnl"/>
        </w:rPr>
        <w:t>, toda vez que las palabras de la ley son la frontera que no se puede traspasar en el ejercicio hermenéutico de las mismas, pues de hacerlo se vulnerarían los derechos fundamentales al debido proceso (art. 29 CN) y a la igualdad (art. 13 Ibid.); […]</w:t>
      </w:r>
      <w:r w:rsidRPr="00312813">
        <w:rPr>
          <w:rFonts w:ascii="Arial" w:hAnsi="Arial" w:cs="Arial"/>
          <w:sz w:val="21"/>
          <w:szCs w:val="21"/>
          <w:vertAlign w:val="superscript"/>
          <w:lang w:val="es-ES_tradnl"/>
        </w:rPr>
        <w:footnoteReference w:id="9"/>
      </w:r>
      <w:r w:rsidRPr="00312813">
        <w:rPr>
          <w:rFonts w:ascii="Arial" w:hAnsi="Arial" w:cs="Arial"/>
          <w:sz w:val="21"/>
          <w:szCs w:val="21"/>
          <w:lang w:val="es-ES_tradnl"/>
        </w:rPr>
        <w:t>.</w:t>
      </w:r>
    </w:p>
    <w:p w14:paraId="715DADD9" w14:textId="77777777" w:rsidR="00F23E3A" w:rsidRPr="00312813" w:rsidRDefault="00F23E3A" w:rsidP="00F23E3A">
      <w:pPr>
        <w:spacing w:line="276" w:lineRule="auto"/>
        <w:ind w:left="709" w:right="709"/>
        <w:jc w:val="both"/>
        <w:rPr>
          <w:rFonts w:ascii="Arial" w:hAnsi="Arial" w:cs="Arial"/>
          <w:sz w:val="21"/>
          <w:szCs w:val="21"/>
          <w:lang w:val="es-ES_tradnl"/>
        </w:rPr>
      </w:pPr>
    </w:p>
    <w:p w14:paraId="0FD1FD0B" w14:textId="77777777" w:rsidR="0096318D" w:rsidRPr="00312813" w:rsidRDefault="0096318D" w:rsidP="00B75B2B">
      <w:pPr>
        <w:spacing w:after="120" w:line="276" w:lineRule="auto"/>
        <w:ind w:firstLine="709"/>
        <w:jc w:val="both"/>
        <w:rPr>
          <w:rFonts w:ascii="Arial" w:eastAsia="Calibri" w:hAnsi="Arial" w:cs="Arial"/>
          <w:sz w:val="22"/>
          <w:lang w:val="es-ES_tradnl"/>
        </w:rPr>
      </w:pPr>
      <w:r w:rsidRPr="00312813">
        <w:rPr>
          <w:rFonts w:ascii="Arial" w:eastAsia="Calibri" w:hAnsi="Arial" w:cs="Arial"/>
          <w:sz w:val="22"/>
          <w:lang w:val="es-ES_tradnl"/>
        </w:rPr>
        <w:t xml:space="preserve">Como se aprecia, el principio </w:t>
      </w:r>
      <w:r w:rsidRPr="00312813">
        <w:rPr>
          <w:rFonts w:ascii="Arial" w:eastAsia="Calibri" w:hAnsi="Arial" w:cs="Arial"/>
          <w:i/>
          <w:iCs/>
          <w:sz w:val="22"/>
          <w:lang w:val="es-ES_tradnl"/>
        </w:rPr>
        <w:t xml:space="preserve">pro </w:t>
      </w:r>
      <w:proofErr w:type="spellStart"/>
      <w:r w:rsidRPr="00312813">
        <w:rPr>
          <w:rFonts w:ascii="Arial" w:eastAsia="Calibri" w:hAnsi="Arial" w:cs="Arial"/>
          <w:i/>
          <w:iCs/>
          <w:sz w:val="22"/>
          <w:lang w:val="es-ES_tradnl"/>
        </w:rPr>
        <w:t>libertate</w:t>
      </w:r>
      <w:proofErr w:type="spellEnd"/>
      <w:r w:rsidRPr="00312813">
        <w:rPr>
          <w:rFonts w:ascii="Arial" w:eastAsia="Calibri" w:hAnsi="Arial" w:cs="Arial"/>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76B45479" w14:textId="5A8822A3" w:rsidR="00F72043" w:rsidRPr="00312813" w:rsidRDefault="00F72043" w:rsidP="00B75B2B">
      <w:pPr>
        <w:spacing w:before="120" w:line="276" w:lineRule="auto"/>
        <w:jc w:val="both"/>
        <w:rPr>
          <w:rFonts w:ascii="Arial" w:eastAsia="Calibri" w:hAnsi="Arial" w:cs="Arial"/>
          <w:sz w:val="22"/>
          <w:lang w:val="es-ES_tradnl"/>
        </w:rPr>
      </w:pPr>
      <w:r w:rsidRPr="00312813">
        <w:rPr>
          <w:rFonts w:ascii="Arial" w:eastAsia="Calibri" w:hAnsi="Arial" w:cs="Arial"/>
          <w:sz w:val="22"/>
          <w:lang w:val="es-ES_tradnl"/>
        </w:rPr>
        <w:t xml:space="preserve"> </w:t>
      </w:r>
      <w:r w:rsidR="00172581" w:rsidRPr="00312813">
        <w:rPr>
          <w:rFonts w:ascii="Arial" w:eastAsia="Calibri" w:hAnsi="Arial" w:cs="Arial"/>
          <w:sz w:val="22"/>
          <w:lang w:val="es-ES_tradnl"/>
        </w:rPr>
        <w:tab/>
        <w:t xml:space="preserve">En </w:t>
      </w:r>
      <w:r w:rsidR="007E0383" w:rsidRPr="00312813">
        <w:rPr>
          <w:rFonts w:ascii="Arial" w:eastAsia="Calibri" w:hAnsi="Arial" w:cs="Arial"/>
          <w:sz w:val="22"/>
          <w:lang w:val="es-ES_tradnl"/>
        </w:rPr>
        <w:t>conclusión</w:t>
      </w:r>
      <w:r w:rsidR="00172581" w:rsidRPr="00312813">
        <w:rPr>
          <w:rFonts w:ascii="Arial" w:eastAsia="Calibri" w:hAnsi="Arial" w:cs="Arial"/>
          <w:sz w:val="22"/>
          <w:lang w:val="es-ES_tradnl"/>
        </w:rPr>
        <w:t xml:space="preserve">, el régimen de inhabilidades e incompatibilidades está concebido como un conjunto de restricciones a la capacidad para presentar ofertas y contratar con el Estado, por lo que ninguna persona natural o jurídica que se encuentre incurso en alguna causal </w:t>
      </w:r>
      <w:r w:rsidR="007E0383" w:rsidRPr="00312813">
        <w:rPr>
          <w:rFonts w:ascii="Arial" w:eastAsia="Calibri" w:hAnsi="Arial" w:cs="Arial"/>
          <w:sz w:val="22"/>
          <w:lang w:val="es-ES_tradnl"/>
        </w:rPr>
        <w:t>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14:paraId="57CB424E" w14:textId="77777777" w:rsidR="00064065" w:rsidRPr="00312813" w:rsidRDefault="00064065" w:rsidP="00064065">
      <w:pPr>
        <w:spacing w:line="276" w:lineRule="auto"/>
        <w:jc w:val="both"/>
        <w:rPr>
          <w:rFonts w:ascii="Arial" w:eastAsia="Calibri" w:hAnsi="Arial" w:cs="Arial"/>
          <w:b/>
          <w:bCs/>
          <w:sz w:val="22"/>
          <w:lang w:val="es-ES_tradnl"/>
        </w:rPr>
      </w:pPr>
    </w:p>
    <w:p w14:paraId="33A5A793" w14:textId="26E91B5B" w:rsidR="00064065" w:rsidRPr="00312813" w:rsidRDefault="00064065" w:rsidP="00064065">
      <w:pPr>
        <w:spacing w:line="276" w:lineRule="auto"/>
        <w:jc w:val="both"/>
        <w:rPr>
          <w:rFonts w:ascii="Arial" w:eastAsia="Calibri" w:hAnsi="Arial" w:cs="Arial"/>
          <w:b/>
          <w:bCs/>
          <w:sz w:val="22"/>
          <w:lang w:val="es-ES_tradnl"/>
        </w:rPr>
      </w:pPr>
      <w:r w:rsidRPr="00312813">
        <w:rPr>
          <w:rFonts w:ascii="Arial" w:eastAsia="Calibri" w:hAnsi="Arial" w:cs="Arial"/>
          <w:b/>
          <w:bCs/>
          <w:sz w:val="22"/>
          <w:lang w:val="es-ES_tradnl"/>
        </w:rPr>
        <w:t>2.2. Aplicación de la inhabilidad por incumplimiento reiterado tras la modificación introducida por la Ley 1955 de 2019</w:t>
      </w:r>
    </w:p>
    <w:p w14:paraId="010CFF36" w14:textId="77777777" w:rsidR="0063147A" w:rsidRPr="00312813" w:rsidRDefault="0063147A" w:rsidP="00EF5645">
      <w:pPr>
        <w:widowControl w:val="0"/>
        <w:autoSpaceDE w:val="0"/>
        <w:autoSpaceDN w:val="0"/>
        <w:ind w:right="105"/>
        <w:jc w:val="both"/>
        <w:rPr>
          <w:rFonts w:ascii="Arial" w:eastAsia="Arial" w:hAnsi="Arial" w:cs="Arial"/>
          <w:sz w:val="22"/>
          <w:lang w:val="es-ES"/>
        </w:rPr>
      </w:pPr>
    </w:p>
    <w:p w14:paraId="6BC940DA" w14:textId="71103D7B" w:rsidR="0063147A" w:rsidRPr="00312813" w:rsidRDefault="0063147A" w:rsidP="007C3E51">
      <w:pPr>
        <w:widowControl w:val="0"/>
        <w:autoSpaceDE w:val="0"/>
        <w:autoSpaceDN w:val="0"/>
        <w:spacing w:after="120" w:line="276" w:lineRule="auto"/>
        <w:ind w:right="49"/>
        <w:jc w:val="both"/>
        <w:rPr>
          <w:rFonts w:ascii="Arial" w:eastAsia="Arial" w:hAnsi="Arial" w:cs="Arial"/>
          <w:sz w:val="22"/>
          <w:lang w:val="es-ES"/>
        </w:rPr>
      </w:pPr>
      <w:r w:rsidRPr="00312813">
        <w:rPr>
          <w:rFonts w:ascii="Arial" w:eastAsia="Arial" w:hAnsi="Arial" w:cs="Arial"/>
          <w:sz w:val="22"/>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Pr="00312813">
        <w:rPr>
          <w:rFonts w:ascii="Arial" w:eastAsia="Arial" w:hAnsi="Arial" w:cs="Arial"/>
          <w:spacing w:val="34"/>
          <w:sz w:val="22"/>
          <w:lang w:val="es-ES"/>
        </w:rPr>
        <w:t xml:space="preserve"> </w:t>
      </w:r>
      <w:r w:rsidRPr="00312813">
        <w:rPr>
          <w:rFonts w:ascii="Arial" w:eastAsia="Arial" w:hAnsi="Arial" w:cs="Arial"/>
          <w:sz w:val="22"/>
          <w:lang w:val="es-ES"/>
        </w:rPr>
        <w:t>más</w:t>
      </w:r>
      <w:r w:rsidRPr="00312813">
        <w:rPr>
          <w:rFonts w:ascii="Arial" w:eastAsia="Arial" w:hAnsi="Arial" w:cs="Arial"/>
          <w:spacing w:val="35"/>
          <w:sz w:val="22"/>
          <w:lang w:val="es-ES"/>
        </w:rPr>
        <w:t xml:space="preserve"> </w:t>
      </w:r>
      <w:r w:rsidRPr="00312813">
        <w:rPr>
          <w:rFonts w:ascii="Arial" w:eastAsia="Arial" w:hAnsi="Arial" w:cs="Arial"/>
          <w:sz w:val="22"/>
          <w:lang w:val="es-ES"/>
        </w:rPr>
        <w:t>allá</w:t>
      </w:r>
      <w:r w:rsidRPr="00312813">
        <w:rPr>
          <w:rFonts w:ascii="Arial" w:eastAsia="Arial" w:hAnsi="Arial" w:cs="Arial"/>
          <w:spacing w:val="33"/>
          <w:sz w:val="22"/>
          <w:lang w:val="es-ES"/>
        </w:rPr>
        <w:t xml:space="preserve"> </w:t>
      </w:r>
      <w:r w:rsidRPr="00312813">
        <w:rPr>
          <w:rFonts w:ascii="Arial" w:eastAsia="Arial" w:hAnsi="Arial" w:cs="Arial"/>
          <w:sz w:val="22"/>
          <w:lang w:val="es-ES"/>
        </w:rPr>
        <w:t>del</w:t>
      </w:r>
      <w:r w:rsidRPr="00312813">
        <w:rPr>
          <w:rFonts w:ascii="Arial" w:eastAsia="Arial" w:hAnsi="Arial" w:cs="Arial"/>
          <w:spacing w:val="32"/>
          <w:sz w:val="22"/>
          <w:lang w:val="es-ES"/>
        </w:rPr>
        <w:t xml:space="preserve"> </w:t>
      </w:r>
      <w:r w:rsidRPr="00312813">
        <w:rPr>
          <w:rFonts w:ascii="Arial" w:eastAsia="Arial" w:hAnsi="Arial" w:cs="Arial"/>
          <w:sz w:val="22"/>
          <w:lang w:val="es-ES"/>
        </w:rPr>
        <w:t>marco</w:t>
      </w:r>
      <w:r w:rsidRPr="00312813">
        <w:rPr>
          <w:rFonts w:ascii="Arial" w:eastAsia="Arial" w:hAnsi="Arial" w:cs="Arial"/>
          <w:spacing w:val="35"/>
          <w:sz w:val="22"/>
          <w:lang w:val="es-ES"/>
        </w:rPr>
        <w:t xml:space="preserve"> </w:t>
      </w:r>
      <w:r w:rsidRPr="00312813">
        <w:rPr>
          <w:rFonts w:ascii="Arial" w:eastAsia="Arial" w:hAnsi="Arial" w:cs="Arial"/>
          <w:sz w:val="22"/>
          <w:lang w:val="es-ES"/>
        </w:rPr>
        <w:t>del</w:t>
      </w:r>
      <w:r w:rsidRPr="00312813">
        <w:rPr>
          <w:rFonts w:ascii="Arial" w:eastAsia="Arial" w:hAnsi="Arial" w:cs="Arial"/>
          <w:spacing w:val="34"/>
          <w:sz w:val="22"/>
          <w:lang w:val="es-ES"/>
        </w:rPr>
        <w:t xml:space="preserve"> </w:t>
      </w:r>
      <w:r w:rsidRPr="00312813">
        <w:rPr>
          <w:rFonts w:ascii="Arial" w:eastAsia="Arial" w:hAnsi="Arial" w:cs="Arial"/>
          <w:sz w:val="22"/>
          <w:lang w:val="es-ES"/>
        </w:rPr>
        <w:t>contrato</w:t>
      </w:r>
      <w:r w:rsidRPr="00312813">
        <w:rPr>
          <w:rFonts w:ascii="Arial" w:eastAsia="Arial" w:hAnsi="Arial" w:cs="Arial"/>
          <w:spacing w:val="35"/>
          <w:sz w:val="22"/>
          <w:lang w:val="es-ES"/>
        </w:rPr>
        <w:t xml:space="preserve"> </w:t>
      </w:r>
      <w:r w:rsidRPr="00312813">
        <w:rPr>
          <w:rFonts w:ascii="Arial" w:eastAsia="Arial" w:hAnsi="Arial" w:cs="Arial"/>
          <w:sz w:val="22"/>
          <w:lang w:val="es-ES"/>
        </w:rPr>
        <w:t>en</w:t>
      </w:r>
      <w:r w:rsidRPr="00312813">
        <w:rPr>
          <w:rFonts w:ascii="Arial" w:eastAsia="Arial" w:hAnsi="Arial" w:cs="Arial"/>
          <w:spacing w:val="35"/>
          <w:sz w:val="22"/>
          <w:lang w:val="es-ES"/>
        </w:rPr>
        <w:t xml:space="preserve"> </w:t>
      </w:r>
      <w:r w:rsidRPr="00312813">
        <w:rPr>
          <w:rFonts w:ascii="Arial" w:eastAsia="Arial" w:hAnsi="Arial" w:cs="Arial"/>
          <w:sz w:val="22"/>
          <w:lang w:val="es-ES"/>
        </w:rPr>
        <w:t>el</w:t>
      </w:r>
      <w:r w:rsidRPr="00312813">
        <w:rPr>
          <w:rFonts w:ascii="Arial" w:eastAsia="Arial" w:hAnsi="Arial" w:cs="Arial"/>
          <w:spacing w:val="34"/>
          <w:sz w:val="22"/>
          <w:lang w:val="es-ES"/>
        </w:rPr>
        <w:t xml:space="preserve"> </w:t>
      </w:r>
      <w:r w:rsidRPr="00312813">
        <w:rPr>
          <w:rFonts w:ascii="Arial" w:eastAsia="Arial" w:hAnsi="Arial" w:cs="Arial"/>
          <w:sz w:val="22"/>
          <w:lang w:val="es-ES"/>
        </w:rPr>
        <w:t>que</w:t>
      </w:r>
      <w:r w:rsidRPr="00312813">
        <w:rPr>
          <w:rFonts w:ascii="Arial" w:eastAsia="Arial" w:hAnsi="Arial" w:cs="Arial"/>
          <w:spacing w:val="33"/>
          <w:sz w:val="22"/>
          <w:lang w:val="es-ES"/>
        </w:rPr>
        <w:t xml:space="preserve"> </w:t>
      </w:r>
      <w:r w:rsidRPr="00312813">
        <w:rPr>
          <w:rFonts w:ascii="Arial" w:eastAsia="Arial" w:hAnsi="Arial" w:cs="Arial"/>
          <w:sz w:val="22"/>
          <w:lang w:val="es-ES"/>
        </w:rPr>
        <w:t>fueron</w:t>
      </w:r>
      <w:r w:rsidRPr="00312813">
        <w:rPr>
          <w:rFonts w:ascii="Arial" w:eastAsia="Arial" w:hAnsi="Arial" w:cs="Arial"/>
          <w:spacing w:val="35"/>
          <w:sz w:val="22"/>
          <w:lang w:val="es-ES"/>
        </w:rPr>
        <w:t xml:space="preserve"> </w:t>
      </w:r>
      <w:r w:rsidRPr="00312813">
        <w:rPr>
          <w:rFonts w:ascii="Arial" w:eastAsia="Arial" w:hAnsi="Arial" w:cs="Arial"/>
          <w:sz w:val="22"/>
          <w:lang w:val="es-ES"/>
        </w:rPr>
        <w:t>impuestas.</w:t>
      </w:r>
      <w:r w:rsidRPr="00312813">
        <w:rPr>
          <w:rFonts w:ascii="Arial" w:eastAsia="Arial" w:hAnsi="Arial" w:cs="Arial"/>
          <w:spacing w:val="31"/>
          <w:sz w:val="22"/>
          <w:lang w:val="es-ES"/>
        </w:rPr>
        <w:t xml:space="preserve"> </w:t>
      </w:r>
      <w:r w:rsidRPr="00312813">
        <w:rPr>
          <w:rFonts w:ascii="Arial" w:eastAsia="Arial" w:hAnsi="Arial" w:cs="Arial"/>
          <w:sz w:val="22"/>
          <w:lang w:val="es-ES"/>
        </w:rPr>
        <w:t>No</w:t>
      </w:r>
      <w:r w:rsidRPr="00312813">
        <w:rPr>
          <w:rFonts w:ascii="Arial" w:eastAsia="Arial" w:hAnsi="Arial" w:cs="Arial"/>
          <w:spacing w:val="35"/>
          <w:sz w:val="22"/>
          <w:lang w:val="es-ES"/>
        </w:rPr>
        <w:t xml:space="preserve"> </w:t>
      </w:r>
      <w:r w:rsidRPr="00312813">
        <w:rPr>
          <w:rFonts w:ascii="Arial" w:eastAsia="Arial" w:hAnsi="Arial" w:cs="Arial"/>
          <w:sz w:val="22"/>
          <w:lang w:val="es-ES"/>
        </w:rPr>
        <w:t xml:space="preserve">obstante, en aras de hacer prevalecer los principios </w:t>
      </w:r>
      <w:r w:rsidR="00FF65DB">
        <w:rPr>
          <w:rFonts w:ascii="Arial" w:eastAsia="Arial" w:hAnsi="Arial" w:cs="Arial"/>
          <w:sz w:val="22"/>
          <w:lang w:val="es-ES"/>
        </w:rPr>
        <w:t xml:space="preserve">de </w:t>
      </w:r>
      <w:r w:rsidRPr="00312813">
        <w:rPr>
          <w:rFonts w:ascii="Arial" w:eastAsia="Arial" w:hAnsi="Arial" w:cs="Arial"/>
          <w:sz w:val="22"/>
          <w:lang w:val="es-ES"/>
        </w:rPr>
        <w:t>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w:t>
      </w:r>
      <w:r w:rsidR="002C5EA2">
        <w:rPr>
          <w:rFonts w:ascii="Arial" w:eastAsia="Arial" w:hAnsi="Arial" w:cs="Arial"/>
          <w:sz w:val="22"/>
          <w:lang w:val="es-ES"/>
        </w:rPr>
        <w:t>s</w:t>
      </w:r>
      <w:r w:rsidRPr="00312813">
        <w:rPr>
          <w:rFonts w:ascii="Arial" w:eastAsia="Arial" w:hAnsi="Arial" w:cs="Arial"/>
          <w:sz w:val="22"/>
          <w:lang w:val="es-ES"/>
        </w:rPr>
        <w:t xml:space="preserve"> </w:t>
      </w:r>
      <w:r w:rsidR="002C5EA2">
        <w:rPr>
          <w:rFonts w:ascii="Arial" w:eastAsia="Arial" w:hAnsi="Arial" w:cs="Arial"/>
          <w:sz w:val="22"/>
          <w:lang w:val="es-ES"/>
        </w:rPr>
        <w:t xml:space="preserve">incumplimientos </w:t>
      </w:r>
      <w:r w:rsidRPr="00312813">
        <w:rPr>
          <w:rFonts w:ascii="Arial" w:eastAsia="Arial" w:hAnsi="Arial" w:cs="Arial"/>
          <w:sz w:val="22"/>
          <w:lang w:val="es-ES"/>
        </w:rPr>
        <w:t>contra</w:t>
      </w:r>
      <w:r w:rsidR="00AE3988">
        <w:rPr>
          <w:rFonts w:ascii="Arial" w:eastAsia="Arial" w:hAnsi="Arial" w:cs="Arial"/>
          <w:sz w:val="22"/>
          <w:lang w:val="es-ES"/>
        </w:rPr>
        <w:t>c</w:t>
      </w:r>
      <w:r w:rsidRPr="00312813">
        <w:rPr>
          <w:rFonts w:ascii="Arial" w:eastAsia="Arial" w:hAnsi="Arial" w:cs="Arial"/>
          <w:sz w:val="22"/>
          <w:lang w:val="es-ES"/>
        </w:rPr>
        <w:t>t</w:t>
      </w:r>
      <w:r w:rsidR="00AE3988">
        <w:rPr>
          <w:rFonts w:ascii="Arial" w:eastAsia="Arial" w:hAnsi="Arial" w:cs="Arial"/>
          <w:sz w:val="22"/>
          <w:lang w:val="es-ES"/>
        </w:rPr>
        <w:t>uale</w:t>
      </w:r>
      <w:r w:rsidRPr="00312813">
        <w:rPr>
          <w:rFonts w:ascii="Arial" w:eastAsia="Arial" w:hAnsi="Arial" w:cs="Arial"/>
          <w:sz w:val="22"/>
          <w:lang w:val="es-ES"/>
        </w:rPr>
        <w:t xml:space="preserve">s que las generaron. </w:t>
      </w:r>
    </w:p>
    <w:p w14:paraId="660AFF7A" w14:textId="5B9F8728" w:rsidR="0063147A" w:rsidRPr="00312813" w:rsidRDefault="0063147A" w:rsidP="007C3E51">
      <w:pPr>
        <w:widowControl w:val="0"/>
        <w:autoSpaceDE w:val="0"/>
        <w:autoSpaceDN w:val="0"/>
        <w:spacing w:line="276" w:lineRule="auto"/>
        <w:ind w:right="49" w:firstLine="708"/>
        <w:jc w:val="both"/>
        <w:rPr>
          <w:rFonts w:ascii="Arial" w:eastAsia="Arial" w:hAnsi="Arial" w:cs="Arial"/>
          <w:sz w:val="22"/>
          <w:lang w:val="es-ES"/>
        </w:rPr>
      </w:pPr>
      <w:r w:rsidRPr="00312813">
        <w:rPr>
          <w:rFonts w:ascii="Arial" w:eastAsia="Arial" w:hAnsi="Arial" w:cs="Arial"/>
          <w:sz w:val="22"/>
          <w:lang w:val="es-ES"/>
        </w:rPr>
        <w:lastRenderedPageBreak/>
        <w:t>En ese sentido, dentro del conjunto de medidas administrativas, fiscales y penales adoptadas por la Ley 1474 de 2011, conocida como Estatuto Anticorrupción,</w:t>
      </w:r>
      <w:r w:rsidR="007C3E51" w:rsidRPr="00312813">
        <w:rPr>
          <w:rFonts w:ascii="Arial" w:eastAsia="Arial" w:hAnsi="Arial" w:cs="Arial"/>
          <w:sz w:val="22"/>
          <w:lang w:val="es-ES"/>
        </w:rPr>
        <w:t xml:space="preserve"> se incluyó la creación de</w:t>
      </w:r>
      <w:r w:rsidRPr="00312813">
        <w:rPr>
          <w:rFonts w:ascii="Arial" w:eastAsia="Arial" w:hAnsi="Arial" w:cs="Arial"/>
          <w:sz w:val="22"/>
          <w:lang w:val="es-ES"/>
        </w:rPr>
        <w:t xml:space="preserve"> un</w:t>
      </w:r>
      <w:r w:rsidR="007C3E51" w:rsidRPr="00312813">
        <w:rPr>
          <w:rFonts w:ascii="Arial" w:eastAsia="Arial" w:hAnsi="Arial" w:cs="Arial"/>
          <w:sz w:val="22"/>
          <w:lang w:val="es-ES"/>
        </w:rPr>
        <w:t>a</w:t>
      </w:r>
      <w:r w:rsidRPr="00312813">
        <w:rPr>
          <w:rFonts w:ascii="Arial" w:eastAsia="Arial" w:hAnsi="Arial" w:cs="Arial"/>
          <w:sz w:val="22"/>
          <w:lang w:val="es-ES"/>
        </w:rPr>
        <w:t xml:space="preserve"> inhabilidad para contratar en razón del incumplimiento reiterado de los oferentes en la ejecución de otros contratos estatales.</w:t>
      </w:r>
      <w:r w:rsidR="007C3E51" w:rsidRPr="00312813">
        <w:rPr>
          <w:rFonts w:ascii="Arial" w:eastAsia="Arial" w:hAnsi="Arial" w:cs="Arial"/>
          <w:sz w:val="22"/>
          <w:lang w:val="es-ES"/>
        </w:rPr>
        <w:t xml:space="preserve"> Conforme a esto, el</w:t>
      </w:r>
      <w:r w:rsidRPr="00312813">
        <w:rPr>
          <w:rFonts w:ascii="Arial" w:eastAsia="Arial" w:hAnsi="Arial" w:cs="Arial"/>
          <w:sz w:val="22"/>
          <w:lang w:val="es-ES"/>
        </w:rPr>
        <w:t xml:space="preserve"> artículo 90 de la Ley 1474 de 2011 estableció la inhabilidad de 3 años, que se configura bajo las siguientes tres causales:</w:t>
      </w:r>
    </w:p>
    <w:p w14:paraId="30956C15" w14:textId="6F603579" w:rsidR="007C3E51" w:rsidRPr="00312813" w:rsidRDefault="007C3E51" w:rsidP="007C3E51">
      <w:pPr>
        <w:widowControl w:val="0"/>
        <w:autoSpaceDE w:val="0"/>
        <w:autoSpaceDN w:val="0"/>
        <w:spacing w:line="276" w:lineRule="auto"/>
        <w:ind w:right="105" w:firstLine="708"/>
        <w:jc w:val="both"/>
        <w:rPr>
          <w:rFonts w:ascii="Arial" w:eastAsia="Arial" w:hAnsi="Arial" w:cs="Arial"/>
          <w:sz w:val="22"/>
          <w:lang w:val="es-ES"/>
        </w:rPr>
      </w:pPr>
    </w:p>
    <w:p w14:paraId="58F0469C" w14:textId="06E621B5" w:rsidR="007C3E51" w:rsidRPr="00312813" w:rsidRDefault="007C3E51" w:rsidP="004C758D">
      <w:pPr>
        <w:widowControl w:val="0"/>
        <w:autoSpaceDE w:val="0"/>
        <w:autoSpaceDN w:val="0"/>
        <w:ind w:left="709" w:right="709"/>
        <w:jc w:val="both"/>
        <w:rPr>
          <w:rFonts w:ascii="Arial" w:eastAsia="Arial" w:hAnsi="Arial" w:cs="Arial"/>
          <w:sz w:val="21"/>
          <w:szCs w:val="21"/>
          <w:lang w:val="es-ES"/>
        </w:rPr>
      </w:pPr>
      <w:r w:rsidRPr="00312813">
        <w:rPr>
          <w:rFonts w:ascii="Arial" w:eastAsia="Arial" w:hAnsi="Arial" w:cs="Arial"/>
          <w:sz w:val="21"/>
          <w:szCs w:val="21"/>
          <w:lang w:val="es-ES"/>
        </w:rPr>
        <w:t xml:space="preserve">Artículo 90. Inhabilidad por incumplimiento reiterado. Quedará inhabilitado el contratista que incurra en alguna de las siguientes conductas:  </w:t>
      </w:r>
    </w:p>
    <w:p w14:paraId="4EF7CB74" w14:textId="77777777" w:rsidR="0063147A" w:rsidRPr="00312813" w:rsidRDefault="0063147A" w:rsidP="004C758D">
      <w:pPr>
        <w:widowControl w:val="0"/>
        <w:autoSpaceDE w:val="0"/>
        <w:autoSpaceDN w:val="0"/>
        <w:spacing w:before="3"/>
        <w:ind w:left="709" w:right="709"/>
        <w:rPr>
          <w:rFonts w:ascii="Arial" w:eastAsia="Arial" w:hAnsi="Arial" w:cs="Arial"/>
          <w:sz w:val="21"/>
          <w:szCs w:val="21"/>
          <w:lang w:val="es-ES"/>
        </w:rPr>
      </w:pPr>
    </w:p>
    <w:p w14:paraId="1344FCB5" w14:textId="77777777" w:rsidR="0063147A" w:rsidRPr="00312813" w:rsidRDefault="0063147A" w:rsidP="004C758D">
      <w:pPr>
        <w:widowControl w:val="0"/>
        <w:numPr>
          <w:ilvl w:val="2"/>
          <w:numId w:val="8"/>
        </w:numPr>
        <w:tabs>
          <w:tab w:val="left" w:pos="1078"/>
        </w:tabs>
        <w:autoSpaceDE w:val="0"/>
        <w:autoSpaceDN w:val="0"/>
        <w:ind w:left="709" w:right="709" w:firstLine="0"/>
        <w:jc w:val="both"/>
        <w:rPr>
          <w:rFonts w:ascii="Arial" w:eastAsia="Arial" w:hAnsi="Arial" w:cs="Arial"/>
          <w:sz w:val="21"/>
          <w:szCs w:val="21"/>
          <w:lang w:val="es-ES"/>
        </w:rPr>
      </w:pPr>
      <w:r w:rsidRPr="00312813">
        <w:rPr>
          <w:rFonts w:ascii="Arial" w:eastAsia="Arial" w:hAnsi="Arial" w:cs="Arial"/>
          <w:sz w:val="21"/>
          <w:szCs w:val="21"/>
          <w:lang w:val="es-ES"/>
        </w:rPr>
        <w:t>Haber sido objeto de imposición de cinco (5) o más multas durante la ejecución de uno o varios contratos, durante una misma vigencia fiscal con una o varias entidades</w:t>
      </w:r>
      <w:r w:rsidRPr="00312813">
        <w:rPr>
          <w:rFonts w:ascii="Arial" w:eastAsia="Arial" w:hAnsi="Arial" w:cs="Arial"/>
          <w:spacing w:val="-3"/>
          <w:sz w:val="21"/>
          <w:szCs w:val="21"/>
          <w:lang w:val="es-ES"/>
        </w:rPr>
        <w:t xml:space="preserve"> </w:t>
      </w:r>
      <w:r w:rsidRPr="00312813">
        <w:rPr>
          <w:rFonts w:ascii="Arial" w:eastAsia="Arial" w:hAnsi="Arial" w:cs="Arial"/>
          <w:sz w:val="21"/>
          <w:szCs w:val="21"/>
          <w:lang w:val="es-ES"/>
        </w:rPr>
        <w:t>estatales;</w:t>
      </w:r>
    </w:p>
    <w:p w14:paraId="589F5DE1" w14:textId="77777777" w:rsidR="0063147A" w:rsidRPr="00312813" w:rsidRDefault="0063147A" w:rsidP="004C758D">
      <w:pPr>
        <w:widowControl w:val="0"/>
        <w:autoSpaceDE w:val="0"/>
        <w:autoSpaceDN w:val="0"/>
        <w:spacing w:before="1"/>
        <w:ind w:left="709" w:right="709"/>
        <w:rPr>
          <w:rFonts w:ascii="Arial" w:eastAsia="Arial" w:hAnsi="Arial" w:cs="Arial"/>
          <w:sz w:val="21"/>
          <w:szCs w:val="21"/>
          <w:lang w:val="es-ES"/>
        </w:rPr>
      </w:pPr>
    </w:p>
    <w:p w14:paraId="74E16E6E" w14:textId="77777777" w:rsidR="0063147A" w:rsidRPr="00312813" w:rsidRDefault="0063147A" w:rsidP="004C758D">
      <w:pPr>
        <w:widowControl w:val="0"/>
        <w:numPr>
          <w:ilvl w:val="2"/>
          <w:numId w:val="8"/>
        </w:numPr>
        <w:tabs>
          <w:tab w:val="left" w:pos="1118"/>
        </w:tabs>
        <w:autoSpaceDE w:val="0"/>
        <w:autoSpaceDN w:val="0"/>
        <w:ind w:left="709" w:right="709" w:firstLine="0"/>
        <w:jc w:val="both"/>
        <w:rPr>
          <w:rFonts w:ascii="Arial" w:eastAsia="Arial" w:hAnsi="Arial" w:cs="Arial"/>
          <w:sz w:val="21"/>
          <w:szCs w:val="21"/>
          <w:lang w:val="es-ES"/>
        </w:rPr>
      </w:pPr>
      <w:r w:rsidRPr="00312813">
        <w:rPr>
          <w:rFonts w:ascii="Arial" w:eastAsia="Arial" w:hAnsi="Arial" w:cs="Arial"/>
          <w:sz w:val="21"/>
          <w:szCs w:val="21"/>
          <w:lang w:val="es-ES"/>
        </w:rPr>
        <w:t>Haber sido objeto de declaratorias de incumplimiento contractual en por los menos dos (2) contratos durante una misma vigencia fiscal, con una o varias entidades</w:t>
      </w:r>
      <w:r w:rsidRPr="00312813">
        <w:rPr>
          <w:rFonts w:ascii="Arial" w:eastAsia="Arial" w:hAnsi="Arial" w:cs="Arial"/>
          <w:spacing w:val="-3"/>
          <w:sz w:val="21"/>
          <w:szCs w:val="21"/>
          <w:lang w:val="es-ES"/>
        </w:rPr>
        <w:t xml:space="preserve"> </w:t>
      </w:r>
      <w:r w:rsidRPr="00312813">
        <w:rPr>
          <w:rFonts w:ascii="Arial" w:eastAsia="Arial" w:hAnsi="Arial" w:cs="Arial"/>
          <w:sz w:val="21"/>
          <w:szCs w:val="21"/>
          <w:lang w:val="es-ES"/>
        </w:rPr>
        <w:t>estatales;</w:t>
      </w:r>
    </w:p>
    <w:p w14:paraId="07566F2B" w14:textId="77777777" w:rsidR="0063147A" w:rsidRPr="00312813" w:rsidRDefault="0063147A" w:rsidP="004C758D">
      <w:pPr>
        <w:widowControl w:val="0"/>
        <w:autoSpaceDE w:val="0"/>
        <w:autoSpaceDN w:val="0"/>
        <w:spacing w:before="9"/>
        <w:ind w:left="709" w:right="709"/>
        <w:rPr>
          <w:rFonts w:ascii="Arial" w:eastAsia="Arial" w:hAnsi="Arial" w:cs="Arial"/>
          <w:sz w:val="21"/>
          <w:szCs w:val="21"/>
          <w:lang w:val="es-ES"/>
        </w:rPr>
      </w:pPr>
    </w:p>
    <w:p w14:paraId="19F38C2E" w14:textId="77777777" w:rsidR="0063147A" w:rsidRPr="00312813" w:rsidRDefault="0063147A" w:rsidP="004C758D">
      <w:pPr>
        <w:widowControl w:val="0"/>
        <w:numPr>
          <w:ilvl w:val="2"/>
          <w:numId w:val="8"/>
        </w:numPr>
        <w:tabs>
          <w:tab w:val="left" w:pos="1108"/>
        </w:tabs>
        <w:autoSpaceDE w:val="0"/>
        <w:autoSpaceDN w:val="0"/>
        <w:spacing w:before="1"/>
        <w:ind w:left="709" w:right="709" w:firstLine="0"/>
        <w:jc w:val="both"/>
        <w:rPr>
          <w:rFonts w:ascii="Arial" w:eastAsia="Arial" w:hAnsi="Arial" w:cs="Arial"/>
          <w:sz w:val="21"/>
          <w:szCs w:val="21"/>
          <w:lang w:val="es-ES"/>
        </w:rPr>
      </w:pPr>
      <w:r w:rsidRPr="00312813">
        <w:rPr>
          <w:rFonts w:ascii="Arial" w:eastAsia="Arial" w:hAnsi="Arial" w:cs="Arial"/>
          <w:sz w:val="21"/>
          <w:szCs w:val="21"/>
          <w:lang w:val="es-ES"/>
        </w:rPr>
        <w:t>Haber sido objeto de imposición de dos (2) multas y un (1) incumplimiento durante una misma vigencia fiscal, con una o varias entidades</w:t>
      </w:r>
      <w:r w:rsidRPr="00312813">
        <w:rPr>
          <w:rFonts w:ascii="Arial" w:eastAsia="Arial" w:hAnsi="Arial" w:cs="Arial"/>
          <w:spacing w:val="-24"/>
          <w:sz w:val="21"/>
          <w:szCs w:val="21"/>
          <w:lang w:val="es-ES"/>
        </w:rPr>
        <w:t xml:space="preserve"> </w:t>
      </w:r>
      <w:r w:rsidRPr="00312813">
        <w:rPr>
          <w:rFonts w:ascii="Arial" w:eastAsia="Arial" w:hAnsi="Arial" w:cs="Arial"/>
          <w:sz w:val="21"/>
          <w:szCs w:val="21"/>
          <w:lang w:val="es-ES"/>
        </w:rPr>
        <w:t>estatales.</w:t>
      </w:r>
    </w:p>
    <w:p w14:paraId="2F558619" w14:textId="77777777" w:rsidR="0063147A" w:rsidRPr="00312813" w:rsidRDefault="0063147A" w:rsidP="004C758D">
      <w:pPr>
        <w:widowControl w:val="0"/>
        <w:autoSpaceDE w:val="0"/>
        <w:autoSpaceDN w:val="0"/>
        <w:ind w:left="709" w:right="709"/>
        <w:rPr>
          <w:rFonts w:ascii="Arial" w:eastAsia="Arial" w:hAnsi="Arial" w:cs="Arial"/>
          <w:sz w:val="21"/>
          <w:szCs w:val="21"/>
          <w:lang w:val="es-ES"/>
        </w:rPr>
      </w:pPr>
    </w:p>
    <w:p w14:paraId="7F062832" w14:textId="77777777" w:rsidR="0063147A" w:rsidRPr="00312813" w:rsidRDefault="0063147A" w:rsidP="004C758D">
      <w:pPr>
        <w:widowControl w:val="0"/>
        <w:autoSpaceDE w:val="0"/>
        <w:autoSpaceDN w:val="0"/>
        <w:spacing w:before="1"/>
        <w:ind w:left="709" w:right="709"/>
        <w:jc w:val="both"/>
        <w:rPr>
          <w:rFonts w:ascii="Arial" w:eastAsia="Arial" w:hAnsi="Arial" w:cs="Arial"/>
          <w:sz w:val="21"/>
          <w:szCs w:val="21"/>
          <w:lang w:val="es-ES"/>
        </w:rPr>
      </w:pPr>
      <w:r w:rsidRPr="00312813">
        <w:rPr>
          <w:rFonts w:ascii="Arial" w:eastAsia="Arial" w:hAnsi="Arial" w:cs="Arial"/>
          <w:sz w:val="21"/>
          <w:szCs w:val="21"/>
          <w:lang w:val="es-ES"/>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w:t>
      </w:r>
      <w:r w:rsidRPr="00312813">
        <w:rPr>
          <w:rFonts w:ascii="Arial" w:eastAsia="Arial" w:hAnsi="Arial" w:cs="Arial"/>
          <w:spacing w:val="-25"/>
          <w:sz w:val="21"/>
          <w:szCs w:val="21"/>
          <w:lang w:val="es-ES"/>
        </w:rPr>
        <w:t xml:space="preserve"> </w:t>
      </w:r>
      <w:r w:rsidRPr="00312813">
        <w:rPr>
          <w:rFonts w:ascii="Arial" w:eastAsia="Arial" w:hAnsi="Arial" w:cs="Arial"/>
          <w:sz w:val="21"/>
          <w:szCs w:val="21"/>
          <w:lang w:val="es-ES"/>
        </w:rPr>
        <w:t>certificado.</w:t>
      </w:r>
    </w:p>
    <w:p w14:paraId="2A41126E" w14:textId="77777777" w:rsidR="0063147A" w:rsidRPr="00312813" w:rsidRDefault="0063147A" w:rsidP="004C758D">
      <w:pPr>
        <w:widowControl w:val="0"/>
        <w:autoSpaceDE w:val="0"/>
        <w:autoSpaceDN w:val="0"/>
        <w:ind w:left="709" w:right="709"/>
        <w:rPr>
          <w:rFonts w:ascii="Arial" w:eastAsia="Arial" w:hAnsi="Arial" w:cs="Arial"/>
          <w:sz w:val="21"/>
          <w:szCs w:val="21"/>
          <w:lang w:val="es-ES"/>
        </w:rPr>
      </w:pPr>
    </w:p>
    <w:p w14:paraId="1D6CE100" w14:textId="51EF18FA" w:rsidR="0063147A" w:rsidRPr="00312813" w:rsidRDefault="0063147A" w:rsidP="004C758D">
      <w:pPr>
        <w:widowControl w:val="0"/>
        <w:autoSpaceDE w:val="0"/>
        <w:autoSpaceDN w:val="0"/>
        <w:ind w:left="709" w:right="709"/>
        <w:jc w:val="both"/>
        <w:rPr>
          <w:rFonts w:ascii="Arial" w:eastAsia="Arial" w:hAnsi="Arial" w:cs="Arial"/>
          <w:sz w:val="21"/>
          <w:szCs w:val="21"/>
          <w:lang w:val="es-ES"/>
        </w:rPr>
      </w:pPr>
      <w:r w:rsidRPr="00312813">
        <w:rPr>
          <w:rFonts w:ascii="Arial" w:eastAsia="Arial" w:hAnsi="Arial" w:cs="Arial"/>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0132B24A" w14:textId="77777777" w:rsidR="004C758D" w:rsidRPr="00312813" w:rsidRDefault="004C758D" w:rsidP="004C758D">
      <w:pPr>
        <w:widowControl w:val="0"/>
        <w:autoSpaceDE w:val="0"/>
        <w:autoSpaceDN w:val="0"/>
        <w:spacing w:line="276" w:lineRule="auto"/>
        <w:ind w:left="100" w:right="108" w:firstLine="608"/>
        <w:jc w:val="both"/>
        <w:rPr>
          <w:rFonts w:ascii="Arial" w:eastAsia="Arial" w:hAnsi="Arial" w:cs="Arial"/>
          <w:sz w:val="22"/>
          <w:lang w:val="es-ES"/>
        </w:rPr>
      </w:pPr>
    </w:p>
    <w:p w14:paraId="706E38A8" w14:textId="171395F1" w:rsidR="004C758D" w:rsidRPr="00312813" w:rsidRDefault="004C758D" w:rsidP="004E73BB">
      <w:pPr>
        <w:widowControl w:val="0"/>
        <w:autoSpaceDE w:val="0"/>
        <w:autoSpaceDN w:val="0"/>
        <w:spacing w:after="120" w:line="276" w:lineRule="auto"/>
        <w:ind w:left="102" w:right="108" w:firstLine="607"/>
        <w:jc w:val="both"/>
        <w:rPr>
          <w:rFonts w:ascii="Arial" w:eastAsia="Arial" w:hAnsi="Arial" w:cs="Arial"/>
          <w:sz w:val="22"/>
          <w:lang w:val="es-ES"/>
        </w:rPr>
      </w:pPr>
      <w:r w:rsidRPr="00312813">
        <w:rPr>
          <w:rFonts w:ascii="Arial" w:eastAsia="Arial" w:hAnsi="Arial" w:cs="Arial"/>
          <w:sz w:val="22"/>
          <w:lang w:val="es-ES"/>
        </w:rPr>
        <w:t xml:space="preserve">Como se aprecia, el texto original de la Ley 1474 de 2011, contempla tres </w:t>
      </w:r>
      <w:r w:rsidR="00FD56EF">
        <w:rPr>
          <w:rFonts w:ascii="Arial" w:eastAsia="Arial" w:hAnsi="Arial" w:cs="Arial"/>
          <w:sz w:val="22"/>
          <w:lang w:val="es-ES"/>
        </w:rPr>
        <w:t>su</w:t>
      </w:r>
      <w:r w:rsidRPr="00312813">
        <w:rPr>
          <w:rFonts w:ascii="Arial" w:eastAsia="Arial" w:hAnsi="Arial" w:cs="Arial"/>
          <w:sz w:val="22"/>
          <w:lang w:val="es-ES"/>
        </w:rPr>
        <w:t>puestos de hecho que dan lugar a la configuración de la inhabilidad: a) el primero relativo a</w:t>
      </w:r>
      <w:r w:rsidR="004E73BB" w:rsidRPr="00312813">
        <w:rPr>
          <w:rFonts w:ascii="Arial" w:eastAsia="Arial" w:hAnsi="Arial" w:cs="Arial"/>
          <w:sz w:val="22"/>
          <w:lang w:val="es-ES"/>
        </w:rPr>
        <w:t xml:space="preserve"> imposición de cinco (5) multas por incumplimiento –parcial– durante una misma vigencia fiscal, con una o varias entidades estatales;</w:t>
      </w:r>
      <w:r w:rsidRPr="00312813">
        <w:rPr>
          <w:rFonts w:ascii="Arial" w:eastAsia="Arial" w:hAnsi="Arial" w:cs="Arial"/>
          <w:sz w:val="22"/>
          <w:lang w:val="es-ES"/>
        </w:rPr>
        <w:t xml:space="preserve"> b) un segundo supuesto que consiste en la </w:t>
      </w:r>
      <w:r w:rsidR="004E73BB" w:rsidRPr="00312813">
        <w:rPr>
          <w:rFonts w:ascii="Arial" w:eastAsia="Arial" w:hAnsi="Arial" w:cs="Arial"/>
          <w:sz w:val="22"/>
          <w:lang w:val="es-ES"/>
        </w:rPr>
        <w:t>concurrencia de dos (2) declaratorias de incumplimiento –definitivo</w:t>
      </w:r>
      <w:r w:rsidR="004E73BB" w:rsidRPr="00312813">
        <w:rPr>
          <w:rFonts w:ascii="Arial" w:eastAsia="Arial" w:hAnsi="Arial" w:cs="Arial"/>
          <w:sz w:val="22"/>
          <w:lang w:val="es-ES"/>
        </w:rPr>
        <w:softHyphen/>
        <w:t>– de contratos durante una misma vigencia fiscal, con una o varias vigencias fiscales; y c) un tercer supuesto alusivo a la imposición de dos (2) multas y una (1) declaratoria de incumplimiento–definitivo–, durante una misma vigencia fiscal con una o varias entidades estatales</w:t>
      </w:r>
      <w:r w:rsidR="004E73BB" w:rsidRPr="00312813">
        <w:rPr>
          <w:rStyle w:val="Refdenotaalpie"/>
          <w:rFonts w:ascii="Arial" w:eastAsia="Arial" w:hAnsi="Arial" w:cs="Arial"/>
          <w:sz w:val="22"/>
          <w:lang w:val="es-ES"/>
        </w:rPr>
        <w:footnoteReference w:id="10"/>
      </w:r>
      <w:r w:rsidR="004E73BB" w:rsidRPr="00312813">
        <w:rPr>
          <w:rFonts w:ascii="Arial" w:eastAsia="Arial" w:hAnsi="Arial" w:cs="Arial"/>
          <w:sz w:val="22"/>
          <w:lang w:val="es-ES"/>
        </w:rPr>
        <w:t xml:space="preserve">. </w:t>
      </w:r>
      <w:r w:rsidR="00EF5645" w:rsidRPr="00312813">
        <w:rPr>
          <w:rFonts w:ascii="Arial" w:eastAsia="Arial" w:hAnsi="Arial" w:cs="Arial"/>
          <w:sz w:val="22"/>
          <w:lang w:val="es-ES"/>
        </w:rPr>
        <w:t xml:space="preserve">Ante la configuración de cualquiera de tales supuestos, la persona incursa en </w:t>
      </w:r>
      <w:r w:rsidR="00EF5645" w:rsidRPr="00312813">
        <w:rPr>
          <w:rFonts w:ascii="Arial" w:eastAsia="Arial" w:hAnsi="Arial" w:cs="Arial"/>
          <w:sz w:val="22"/>
          <w:lang w:val="es-ES"/>
        </w:rPr>
        <w:lastRenderedPageBreak/>
        <w:t>los mismos quedar</w:t>
      </w:r>
      <w:r w:rsidR="007346AD">
        <w:rPr>
          <w:rFonts w:ascii="Arial" w:eastAsia="Arial" w:hAnsi="Arial" w:cs="Arial"/>
          <w:sz w:val="22"/>
          <w:lang w:val="es-ES"/>
        </w:rPr>
        <w:t>ía</w:t>
      </w:r>
      <w:r w:rsidR="00EF5645" w:rsidRPr="00312813">
        <w:rPr>
          <w:rFonts w:ascii="Arial" w:eastAsia="Arial" w:hAnsi="Arial" w:cs="Arial"/>
          <w:sz w:val="22"/>
          <w:lang w:val="es-ES"/>
        </w:rPr>
        <w:t xml:space="preserve"> inhabilitada por un periodo de tres (3) años contados a partir de la fecha de inscripción en el RUP de la última multa o declaratoria de incumplimiento.</w:t>
      </w:r>
    </w:p>
    <w:p w14:paraId="30E43C15" w14:textId="62F27FEC" w:rsidR="0063147A" w:rsidRPr="00312813" w:rsidRDefault="006A2AF8" w:rsidP="004C758D">
      <w:pPr>
        <w:widowControl w:val="0"/>
        <w:autoSpaceDE w:val="0"/>
        <w:autoSpaceDN w:val="0"/>
        <w:spacing w:line="276" w:lineRule="auto"/>
        <w:ind w:left="100" w:right="108" w:firstLine="608"/>
        <w:jc w:val="both"/>
        <w:rPr>
          <w:rFonts w:ascii="Arial" w:eastAsia="Arial" w:hAnsi="Arial" w:cs="Arial"/>
          <w:sz w:val="22"/>
          <w:lang w:val="es-ES"/>
        </w:rPr>
      </w:pPr>
      <w:r w:rsidRPr="00312813">
        <w:rPr>
          <w:rFonts w:ascii="Arial" w:eastAsia="Arial" w:hAnsi="Arial" w:cs="Arial"/>
          <w:sz w:val="22"/>
          <w:lang w:val="es-ES"/>
        </w:rPr>
        <w:t>R</w:t>
      </w:r>
      <w:r w:rsidR="0063147A" w:rsidRPr="00312813">
        <w:rPr>
          <w:rFonts w:ascii="Arial" w:eastAsia="Arial" w:hAnsi="Arial" w:cs="Arial"/>
          <w:sz w:val="22"/>
          <w:lang w:val="es-ES"/>
        </w:rPr>
        <w:t>ecientemente, los literales a) y b) transcritos fueron modificados por el artículo 43 de la Ley 1955 de 2019,</w:t>
      </w:r>
      <w:r w:rsidR="004E73BB" w:rsidRPr="00312813">
        <w:rPr>
          <w:rFonts w:ascii="Arial" w:eastAsia="Arial" w:hAnsi="Arial" w:cs="Arial"/>
          <w:sz w:val="22"/>
          <w:lang w:val="es-ES"/>
        </w:rPr>
        <w:t xml:space="preserve"> </w:t>
      </w:r>
      <w:r w:rsidR="00EF5645" w:rsidRPr="00312813">
        <w:rPr>
          <w:rFonts w:ascii="Arial" w:eastAsia="Arial" w:hAnsi="Arial" w:cs="Arial"/>
          <w:sz w:val="22"/>
          <w:lang w:val="es-ES"/>
        </w:rPr>
        <w:t>en lo atinente al intervalo de tiempo dentro del que se deben presentar las multas y declaratorias de incumplimiento para que se configure los dos primeros supuestos que dan lugar a la configuración de la inhabilidad por incumplimiento reiterado. Lo</w:t>
      </w:r>
      <w:r w:rsidR="003470D1">
        <w:rPr>
          <w:rFonts w:ascii="Arial" w:eastAsia="Arial" w:hAnsi="Arial" w:cs="Arial"/>
          <w:sz w:val="22"/>
          <w:lang w:val="es-ES"/>
        </w:rPr>
        <w:t>s</w:t>
      </w:r>
      <w:r w:rsidR="00EF5645" w:rsidRPr="00312813">
        <w:rPr>
          <w:rFonts w:ascii="Arial" w:eastAsia="Arial" w:hAnsi="Arial" w:cs="Arial"/>
          <w:sz w:val="22"/>
          <w:lang w:val="es-ES"/>
        </w:rPr>
        <w:t xml:space="preserve"> literales a) y b) quedaron </w:t>
      </w:r>
      <w:r w:rsidR="0063147A" w:rsidRPr="00312813">
        <w:rPr>
          <w:rFonts w:ascii="Arial" w:eastAsia="Arial" w:hAnsi="Arial" w:cs="Arial"/>
          <w:sz w:val="22"/>
          <w:lang w:val="es-ES"/>
        </w:rPr>
        <w:t>así:</w:t>
      </w:r>
    </w:p>
    <w:p w14:paraId="3EE1C5EC" w14:textId="77777777" w:rsidR="0063147A" w:rsidRPr="00312813" w:rsidRDefault="0063147A" w:rsidP="0063147A">
      <w:pPr>
        <w:widowControl w:val="0"/>
        <w:autoSpaceDE w:val="0"/>
        <w:autoSpaceDN w:val="0"/>
        <w:spacing w:before="3"/>
        <w:rPr>
          <w:rFonts w:ascii="Arial" w:eastAsia="Arial" w:hAnsi="Arial" w:cs="Arial"/>
          <w:sz w:val="25"/>
          <w:lang w:val="es-ES"/>
        </w:rPr>
      </w:pPr>
    </w:p>
    <w:p w14:paraId="7672D5D5" w14:textId="77777777" w:rsidR="0063147A" w:rsidRPr="00312813" w:rsidRDefault="0063147A" w:rsidP="00EF5645">
      <w:pPr>
        <w:widowControl w:val="0"/>
        <w:numPr>
          <w:ilvl w:val="0"/>
          <w:numId w:val="9"/>
        </w:numPr>
        <w:tabs>
          <w:tab w:val="left" w:pos="1078"/>
        </w:tabs>
        <w:autoSpaceDE w:val="0"/>
        <w:autoSpaceDN w:val="0"/>
        <w:spacing w:before="1"/>
        <w:ind w:left="709" w:right="709" w:firstLine="0"/>
        <w:jc w:val="both"/>
        <w:rPr>
          <w:rFonts w:ascii="Arial" w:eastAsia="Arial" w:hAnsi="Arial" w:cs="Arial"/>
          <w:sz w:val="21"/>
          <w:szCs w:val="21"/>
          <w:lang w:val="es-ES"/>
        </w:rPr>
      </w:pPr>
      <w:r w:rsidRPr="00312813">
        <w:rPr>
          <w:rFonts w:ascii="Arial" w:eastAsia="Arial" w:hAnsi="Arial" w:cs="Arial"/>
          <w:sz w:val="21"/>
          <w:szCs w:val="21"/>
          <w:lang w:val="es-ES"/>
        </w:rPr>
        <w:t xml:space="preserve">Haber sido objeto de imposición de cinco (5) o más multas durante la ejecución de uno o varios contratos, con una o varias entidades estatales, </w:t>
      </w:r>
      <w:r w:rsidRPr="00312813">
        <w:rPr>
          <w:rFonts w:ascii="Arial" w:eastAsia="Arial" w:hAnsi="Arial" w:cs="Arial"/>
          <w:i/>
          <w:sz w:val="21"/>
          <w:szCs w:val="21"/>
          <w:lang w:val="es-ES"/>
        </w:rPr>
        <w:t>durante los últimos tres (3)</w:t>
      </w:r>
      <w:r w:rsidRPr="00312813">
        <w:rPr>
          <w:rFonts w:ascii="Arial" w:eastAsia="Arial" w:hAnsi="Arial" w:cs="Arial"/>
          <w:i/>
          <w:spacing w:val="-4"/>
          <w:sz w:val="21"/>
          <w:szCs w:val="21"/>
          <w:lang w:val="es-ES"/>
        </w:rPr>
        <w:t xml:space="preserve"> </w:t>
      </w:r>
      <w:r w:rsidRPr="00312813">
        <w:rPr>
          <w:rFonts w:ascii="Arial" w:eastAsia="Arial" w:hAnsi="Arial" w:cs="Arial"/>
          <w:i/>
          <w:sz w:val="21"/>
          <w:szCs w:val="21"/>
          <w:lang w:val="es-ES"/>
        </w:rPr>
        <w:t>años</w:t>
      </w:r>
      <w:r w:rsidRPr="00312813">
        <w:rPr>
          <w:rFonts w:ascii="Arial" w:eastAsia="Arial" w:hAnsi="Arial" w:cs="Arial"/>
          <w:sz w:val="21"/>
          <w:szCs w:val="21"/>
          <w:lang w:val="es-ES"/>
        </w:rPr>
        <w:t>;</w:t>
      </w:r>
    </w:p>
    <w:p w14:paraId="2E824A2F" w14:textId="77777777" w:rsidR="0063147A" w:rsidRPr="00312813" w:rsidRDefault="0063147A" w:rsidP="00EF5645">
      <w:pPr>
        <w:widowControl w:val="0"/>
        <w:autoSpaceDE w:val="0"/>
        <w:autoSpaceDN w:val="0"/>
        <w:ind w:left="709" w:right="709"/>
        <w:rPr>
          <w:rFonts w:ascii="Arial" w:eastAsia="Arial" w:hAnsi="Arial" w:cs="Arial"/>
          <w:sz w:val="21"/>
          <w:szCs w:val="21"/>
          <w:lang w:val="es-ES"/>
        </w:rPr>
      </w:pPr>
    </w:p>
    <w:p w14:paraId="5764C603" w14:textId="6014979A" w:rsidR="0063147A" w:rsidRPr="00312813" w:rsidRDefault="0063147A" w:rsidP="00EF5645">
      <w:pPr>
        <w:widowControl w:val="0"/>
        <w:numPr>
          <w:ilvl w:val="0"/>
          <w:numId w:val="9"/>
        </w:numPr>
        <w:tabs>
          <w:tab w:val="left" w:pos="1063"/>
        </w:tabs>
        <w:autoSpaceDE w:val="0"/>
        <w:autoSpaceDN w:val="0"/>
        <w:spacing w:before="1"/>
        <w:ind w:left="709" w:right="709" w:firstLine="0"/>
        <w:jc w:val="both"/>
        <w:rPr>
          <w:rFonts w:ascii="Arial" w:eastAsia="Arial" w:hAnsi="Arial" w:cs="Arial"/>
          <w:sz w:val="21"/>
          <w:szCs w:val="21"/>
          <w:lang w:val="es-ES"/>
        </w:rPr>
      </w:pPr>
      <w:r w:rsidRPr="00312813">
        <w:rPr>
          <w:rFonts w:ascii="Arial" w:eastAsia="Arial" w:hAnsi="Arial" w:cs="Arial"/>
          <w:sz w:val="21"/>
          <w:szCs w:val="21"/>
          <w:lang w:val="es-ES"/>
        </w:rPr>
        <w:t xml:space="preserve">Haber sido objeto de declaratorias de incumplimiento contractual en por lo menos dos (2) contratos, con una o varias entidades estatales, </w:t>
      </w:r>
      <w:r w:rsidRPr="00312813">
        <w:rPr>
          <w:rFonts w:ascii="Arial" w:eastAsia="Arial" w:hAnsi="Arial" w:cs="Arial"/>
          <w:i/>
          <w:sz w:val="21"/>
          <w:szCs w:val="21"/>
          <w:lang w:val="es-ES"/>
        </w:rPr>
        <w:t xml:space="preserve">durante los últimos tres (3) años </w:t>
      </w:r>
      <w:r w:rsidR="00D45539" w:rsidRPr="00312813">
        <w:rPr>
          <w:rFonts w:ascii="Arial" w:eastAsia="Arial" w:hAnsi="Arial" w:cs="Arial"/>
          <w:sz w:val="21"/>
          <w:szCs w:val="21"/>
          <w:lang w:val="es-ES"/>
        </w:rPr>
        <w:t>[</w:t>
      </w:r>
      <w:r w:rsidRPr="00312813">
        <w:rPr>
          <w:rFonts w:ascii="Arial" w:eastAsia="Arial" w:hAnsi="Arial" w:cs="Arial"/>
          <w:sz w:val="21"/>
          <w:szCs w:val="21"/>
          <w:lang w:val="es-ES"/>
        </w:rPr>
        <w:t>…</w:t>
      </w:r>
      <w:r w:rsidR="00D45539" w:rsidRPr="00312813">
        <w:rPr>
          <w:rFonts w:ascii="Arial" w:eastAsia="Arial" w:hAnsi="Arial" w:cs="Arial"/>
          <w:sz w:val="21"/>
          <w:szCs w:val="21"/>
          <w:lang w:val="es-ES"/>
        </w:rPr>
        <w:t>]</w:t>
      </w:r>
      <w:r w:rsidRPr="00312813">
        <w:rPr>
          <w:rFonts w:ascii="Arial" w:eastAsia="Arial" w:hAnsi="Arial" w:cs="Arial"/>
          <w:sz w:val="21"/>
          <w:szCs w:val="21"/>
          <w:lang w:val="es-ES"/>
        </w:rPr>
        <w:t>. (Cursivas fuera de</w:t>
      </w:r>
      <w:r w:rsidRPr="00312813">
        <w:rPr>
          <w:rFonts w:ascii="Arial" w:eastAsia="Arial" w:hAnsi="Arial" w:cs="Arial"/>
          <w:spacing w:val="-6"/>
          <w:sz w:val="21"/>
          <w:szCs w:val="21"/>
          <w:lang w:val="es-ES"/>
        </w:rPr>
        <w:t xml:space="preserve"> </w:t>
      </w:r>
      <w:r w:rsidRPr="00312813">
        <w:rPr>
          <w:rFonts w:ascii="Arial" w:eastAsia="Arial" w:hAnsi="Arial" w:cs="Arial"/>
          <w:sz w:val="21"/>
          <w:szCs w:val="21"/>
          <w:lang w:val="es-ES"/>
        </w:rPr>
        <w:t>texto).</w:t>
      </w:r>
    </w:p>
    <w:p w14:paraId="500D523B" w14:textId="77777777" w:rsidR="0063147A" w:rsidRPr="00312813" w:rsidRDefault="0063147A" w:rsidP="0063147A">
      <w:pPr>
        <w:widowControl w:val="0"/>
        <w:autoSpaceDE w:val="0"/>
        <w:autoSpaceDN w:val="0"/>
        <w:rPr>
          <w:rFonts w:ascii="Arial" w:eastAsia="Arial" w:hAnsi="Arial" w:cs="Arial"/>
          <w:sz w:val="22"/>
          <w:lang w:val="es-ES"/>
        </w:rPr>
      </w:pPr>
    </w:p>
    <w:p w14:paraId="2A1885EA" w14:textId="5BA57632" w:rsidR="0063147A" w:rsidRPr="00312813" w:rsidRDefault="00EF5645" w:rsidP="006A2AF8">
      <w:pPr>
        <w:widowControl w:val="0"/>
        <w:autoSpaceDE w:val="0"/>
        <w:autoSpaceDN w:val="0"/>
        <w:spacing w:line="276" w:lineRule="auto"/>
        <w:ind w:right="114" w:firstLine="708"/>
        <w:jc w:val="both"/>
        <w:rPr>
          <w:rFonts w:ascii="Arial" w:eastAsia="Arial" w:hAnsi="Arial" w:cs="Arial"/>
          <w:sz w:val="22"/>
          <w:lang w:val="es-ES"/>
        </w:rPr>
      </w:pPr>
      <w:r w:rsidRPr="00312813">
        <w:rPr>
          <w:rFonts w:ascii="Arial" w:eastAsia="Arial" w:hAnsi="Arial" w:cs="Arial"/>
          <w:sz w:val="22"/>
          <w:lang w:val="es-ES"/>
        </w:rPr>
        <w:t>En ese orden, a la luz del texto original</w:t>
      </w:r>
      <w:r w:rsidR="0063147A" w:rsidRPr="00312813">
        <w:rPr>
          <w:rFonts w:ascii="Arial" w:eastAsia="Arial" w:hAnsi="Arial" w:cs="Arial"/>
          <w:sz w:val="22"/>
          <w:lang w:val="es-ES"/>
        </w:rPr>
        <w:t xml:space="preserve"> de la Ley 1474 de 2011, para que se configurara la inhabilidad era necesario que las cinco multas </w:t>
      </w:r>
      <w:r w:rsidR="004C597C">
        <w:rPr>
          <w:rFonts w:ascii="Arial" w:eastAsia="Arial" w:hAnsi="Arial" w:cs="Arial"/>
          <w:sz w:val="22"/>
          <w:lang w:val="es-ES"/>
        </w:rPr>
        <w:t>–</w:t>
      </w:r>
      <w:r w:rsidR="0063147A" w:rsidRPr="00312813">
        <w:rPr>
          <w:rFonts w:ascii="Arial" w:eastAsia="Arial" w:hAnsi="Arial" w:cs="Arial"/>
          <w:sz w:val="22"/>
          <w:lang w:val="es-ES"/>
        </w:rPr>
        <w:t>literal a)</w:t>
      </w:r>
      <w:r w:rsidR="004C597C">
        <w:rPr>
          <w:rFonts w:ascii="Arial" w:eastAsia="Arial" w:hAnsi="Arial" w:cs="Arial"/>
          <w:sz w:val="22"/>
          <w:lang w:val="es-ES"/>
        </w:rPr>
        <w:t>–</w:t>
      </w:r>
      <w:r w:rsidR="0063147A" w:rsidRPr="00312813">
        <w:rPr>
          <w:rFonts w:ascii="Arial" w:eastAsia="Arial" w:hAnsi="Arial" w:cs="Arial"/>
          <w:sz w:val="22"/>
          <w:lang w:val="es-ES"/>
        </w:rPr>
        <w:t xml:space="preserve"> o los dos incumplimientos </w:t>
      </w:r>
      <w:r w:rsidR="004C597C">
        <w:rPr>
          <w:rFonts w:ascii="Arial" w:eastAsia="Arial" w:hAnsi="Arial" w:cs="Arial"/>
          <w:sz w:val="22"/>
          <w:lang w:val="es-ES"/>
        </w:rPr>
        <w:t>–</w:t>
      </w:r>
      <w:r w:rsidR="0063147A" w:rsidRPr="00312813">
        <w:rPr>
          <w:rFonts w:ascii="Arial" w:eastAsia="Arial" w:hAnsi="Arial" w:cs="Arial"/>
          <w:sz w:val="22"/>
          <w:lang w:val="es-ES"/>
        </w:rPr>
        <w:t>literal b)</w:t>
      </w:r>
      <w:r w:rsidR="004C597C">
        <w:rPr>
          <w:rFonts w:ascii="Arial" w:eastAsia="Arial" w:hAnsi="Arial" w:cs="Arial"/>
          <w:sz w:val="22"/>
          <w:lang w:val="es-ES"/>
        </w:rPr>
        <w:t>–</w:t>
      </w:r>
      <w:r w:rsidR="0063147A" w:rsidRPr="00312813">
        <w:rPr>
          <w:rFonts w:ascii="Arial" w:eastAsia="Arial" w:hAnsi="Arial" w:cs="Arial"/>
          <w:sz w:val="22"/>
          <w:lang w:val="es-ES"/>
        </w:rPr>
        <w:t xml:space="preserve"> fueran </w:t>
      </w:r>
      <w:r w:rsidR="004C597C">
        <w:rPr>
          <w:rFonts w:ascii="Arial" w:eastAsia="Arial" w:hAnsi="Arial" w:cs="Arial"/>
          <w:sz w:val="22"/>
          <w:lang w:val="es-ES"/>
        </w:rPr>
        <w:t>declarados</w:t>
      </w:r>
      <w:r w:rsidR="004C597C" w:rsidRPr="00312813">
        <w:rPr>
          <w:rFonts w:ascii="Arial" w:eastAsia="Arial" w:hAnsi="Arial" w:cs="Arial"/>
          <w:sz w:val="22"/>
          <w:lang w:val="es-ES"/>
        </w:rPr>
        <w:t xml:space="preserve"> </w:t>
      </w:r>
      <w:r w:rsidR="0063147A" w:rsidRPr="00312813">
        <w:rPr>
          <w:rFonts w:ascii="Arial" w:eastAsia="Arial" w:hAnsi="Arial" w:cs="Arial"/>
          <w:sz w:val="22"/>
          <w:lang w:val="es-ES"/>
        </w:rPr>
        <w:t xml:space="preserve">en la misma vigencia fiscal, esto es, en el mismo año. </w:t>
      </w:r>
      <w:r w:rsidR="006C014E">
        <w:rPr>
          <w:rFonts w:ascii="Arial" w:eastAsia="Arial" w:hAnsi="Arial" w:cs="Arial"/>
          <w:sz w:val="22"/>
          <w:lang w:val="es-ES"/>
        </w:rPr>
        <w:t>Después</w:t>
      </w:r>
      <w:r w:rsidR="00353C4C">
        <w:rPr>
          <w:rFonts w:ascii="Arial" w:eastAsia="Arial" w:hAnsi="Arial" w:cs="Arial"/>
          <w:sz w:val="22"/>
          <w:lang w:val="es-ES"/>
        </w:rPr>
        <w:t xml:space="preserve"> de</w:t>
      </w:r>
      <w:r w:rsidRPr="00312813">
        <w:rPr>
          <w:rFonts w:ascii="Arial" w:eastAsia="Arial" w:hAnsi="Arial" w:cs="Arial"/>
          <w:sz w:val="22"/>
          <w:lang w:val="es-ES"/>
        </w:rPr>
        <w:t xml:space="preserve"> la modificación introducida por</w:t>
      </w:r>
      <w:r w:rsidR="0063147A" w:rsidRPr="00312813">
        <w:rPr>
          <w:rFonts w:ascii="Arial" w:eastAsia="Arial" w:hAnsi="Arial" w:cs="Arial"/>
          <w:sz w:val="22"/>
          <w:lang w:val="es-ES"/>
        </w:rPr>
        <w:t xml:space="preserve"> la Ley 1955 de 2019, basta que las dos declaratorias de incumplimiento o las cinco multas se hayan impuesto dentro de los últimos tres años.</w:t>
      </w:r>
    </w:p>
    <w:p w14:paraId="5537DE22" w14:textId="1CB0FFBD" w:rsidR="00D37E9B" w:rsidRPr="00312813" w:rsidRDefault="006A2AF8" w:rsidP="00D37E9B">
      <w:pPr>
        <w:spacing w:before="120" w:line="276" w:lineRule="auto"/>
        <w:jc w:val="both"/>
        <w:rPr>
          <w:rFonts w:ascii="Arial" w:hAnsi="Arial" w:cs="Arial"/>
          <w:sz w:val="22"/>
        </w:rPr>
      </w:pPr>
      <w:r w:rsidRPr="00312813">
        <w:rPr>
          <w:rFonts w:ascii="Arial" w:eastAsia="Calibri" w:hAnsi="Arial" w:cs="Arial"/>
          <w:sz w:val="22"/>
          <w:lang w:val="es-ES_tradnl"/>
        </w:rPr>
        <w:tab/>
        <w:t>Ahora bien,</w:t>
      </w:r>
      <w:r w:rsidR="00D37E9B" w:rsidRPr="00312813">
        <w:rPr>
          <w:rFonts w:ascii="Arial" w:eastAsia="Calibri" w:hAnsi="Arial" w:cs="Arial"/>
          <w:sz w:val="22"/>
          <w:lang w:val="es-ES_tradnl"/>
        </w:rPr>
        <w:t xml:space="preserve"> tal modificación, conlleva, en principio, un problema hermenéutico relativo a la aplicación de la ley en el tiempo. Al respecto conviene recordar que </w:t>
      </w:r>
      <w:r w:rsidR="00D37E9B" w:rsidRPr="00312813">
        <w:rPr>
          <w:rFonts w:ascii="Arial" w:hAnsi="Arial" w:cs="Arial"/>
          <w:sz w:val="22"/>
        </w:rPr>
        <w:t>los efectos de una ley se producen a partir de su vigencia, lo que quiere decir que</w:t>
      </w:r>
      <w:r w:rsidR="004C597C">
        <w:rPr>
          <w:rFonts w:ascii="Arial" w:hAnsi="Arial" w:cs="Arial"/>
          <w:sz w:val="22"/>
        </w:rPr>
        <w:t>,</w:t>
      </w:r>
      <w:r w:rsidR="00D37E9B" w:rsidRPr="00312813">
        <w:rPr>
          <w:rFonts w:ascii="Arial" w:hAnsi="Arial" w:cs="Arial"/>
          <w:sz w:val="22"/>
        </w:rPr>
        <w:t xml:space="preserve"> por regla general</w:t>
      </w:r>
      <w:r w:rsidR="004C597C">
        <w:rPr>
          <w:rFonts w:ascii="Arial" w:hAnsi="Arial" w:cs="Arial"/>
          <w:sz w:val="22"/>
        </w:rPr>
        <w:t xml:space="preserve">, </w:t>
      </w:r>
      <w:r w:rsidR="00D37E9B" w:rsidRPr="00312813">
        <w:rPr>
          <w:rFonts w:ascii="Arial" w:hAnsi="Arial" w:cs="Arial"/>
          <w:sz w:val="22"/>
        </w:rPr>
        <w:t>en las leyes colombianas opera la irretroactividad. Así se desprende de la Ley 153 de 1887, que dispuso que la ley posterior prevalece sobre la ley anterior y en el evento en que existan discrepancias entre las mismas se debe aplicar la ley posterior</w:t>
      </w:r>
      <w:r w:rsidR="00D37E9B" w:rsidRPr="00312813">
        <w:rPr>
          <w:rStyle w:val="Refdenotaalpie"/>
          <w:rFonts w:ascii="Arial" w:hAnsi="Arial" w:cs="Arial"/>
          <w:sz w:val="22"/>
        </w:rPr>
        <w:footnoteReference w:id="11"/>
      </w:r>
      <w:r w:rsidR="00D37E9B" w:rsidRPr="00312813">
        <w:rPr>
          <w:rFonts w:ascii="Arial" w:hAnsi="Arial" w:cs="Arial"/>
          <w:sz w:val="22"/>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00D37E9B" w:rsidRPr="00312813">
        <w:rPr>
          <w:rStyle w:val="Refdenotaalpie"/>
          <w:rFonts w:ascii="Arial" w:hAnsi="Arial" w:cs="Arial"/>
          <w:sz w:val="22"/>
        </w:rPr>
        <w:footnoteReference w:id="12"/>
      </w:r>
      <w:r w:rsidR="00D37E9B" w:rsidRPr="00312813">
        <w:rPr>
          <w:rFonts w:ascii="Arial" w:hAnsi="Arial" w:cs="Arial"/>
          <w:sz w:val="22"/>
        </w:rPr>
        <w:t>.</w:t>
      </w:r>
    </w:p>
    <w:p w14:paraId="5AAD317E" w14:textId="045D7249" w:rsidR="00D37E9B" w:rsidRPr="00312813" w:rsidRDefault="00D37E9B" w:rsidP="00D37E9B">
      <w:pPr>
        <w:pStyle w:val="Textoindependiente"/>
        <w:spacing w:after="120" w:line="274" w:lineRule="auto"/>
        <w:ind w:right="51" w:firstLine="709"/>
        <w:jc w:val="both"/>
      </w:pPr>
      <w:r w:rsidRPr="00312813">
        <w:lastRenderedPageBreak/>
        <w:t>Conforme a lo anterior, el conflicto sobre la aplicación de una ley se presenta cuando en vigencia de la ley anterior nace un hecho allí previsto, sin que se consolide situación jurídica alguna, pero los efectos se producen bajo la vigencia de la ley posterior</w:t>
      </w:r>
      <w:r w:rsidR="007F0724">
        <w:t>. De igual forma,</w:t>
      </w:r>
      <w:r w:rsidRPr="00312813">
        <w:t xml:space="preserve"> cuando se realiza un hecho jurídico bajo la ley anterior pero la ley posterior contempla nuevas condiciones para el reconocimiento de sus efectos</w:t>
      </w:r>
      <w:r w:rsidR="005C157D">
        <w:t>,</w:t>
      </w:r>
      <w:r w:rsidRPr="00312813">
        <w:t xml:space="preserve"> es decir, en vigencia de la ley anterior solo se presentaron situaciones que generaron una simple expectativa</w:t>
      </w:r>
      <w:r w:rsidRPr="00312813">
        <w:rPr>
          <w:rStyle w:val="Refdenotaalpie"/>
        </w:rPr>
        <w:footnoteReference w:id="13"/>
      </w:r>
      <w:r w:rsidRPr="00312813">
        <w:t>.</w:t>
      </w:r>
    </w:p>
    <w:p w14:paraId="4592AC2F" w14:textId="572A0E2D" w:rsidR="00D37E9B" w:rsidRPr="00312813" w:rsidRDefault="00D37E9B" w:rsidP="00E64541">
      <w:pPr>
        <w:pStyle w:val="Textoindependiente"/>
        <w:spacing w:line="276" w:lineRule="auto"/>
        <w:ind w:right="49" w:firstLine="708"/>
        <w:jc w:val="both"/>
      </w:pPr>
      <w:r w:rsidRPr="00312813">
        <w:t>En ese sentido,</w:t>
      </w:r>
      <w:r w:rsidR="00E64541" w:rsidRPr="00312813">
        <w:t xml:space="preserve"> el objeto de la consulta está dirigido a determinar c</w:t>
      </w:r>
      <w:r w:rsidR="004C597C">
        <w:t>ó</w:t>
      </w:r>
      <w:r w:rsidR="00E64541" w:rsidRPr="00312813">
        <w:t xml:space="preserve">mo debe resolverse el conflicto de la aplicación de la ley en el tiempo en lo relativo </w:t>
      </w:r>
      <w:r w:rsidR="003337A1" w:rsidRPr="00312813">
        <w:t>al</w:t>
      </w:r>
      <w:r w:rsidR="00E64541" w:rsidRPr="00312813">
        <w:t xml:space="preserve"> supuesto de hecho del literal b</w:t>
      </w:r>
      <w:r w:rsidR="004C597C">
        <w:t>)</w:t>
      </w:r>
      <w:r w:rsidR="00E64541" w:rsidRPr="00312813">
        <w:t xml:space="preserve"> del artículo 90 de la Ley 1474 de 2011, tras su modificación por cuenta del artículo 43 de la Ley 1955 de 2019</w:t>
      </w:r>
      <w:r w:rsidR="001D3CC4">
        <w:t>. Lo anterior</w:t>
      </w:r>
      <w:r w:rsidR="00F126A2">
        <w:t xml:space="preserve"> obliga </w:t>
      </w:r>
      <w:r w:rsidR="00E64541" w:rsidRPr="00312813">
        <w:t xml:space="preserve">a determinar a partir de </w:t>
      </w:r>
      <w:proofErr w:type="spellStart"/>
      <w:r w:rsidR="00E64541" w:rsidRPr="00312813">
        <w:t>cuando</w:t>
      </w:r>
      <w:proofErr w:type="spellEnd"/>
      <w:r w:rsidR="00E64541" w:rsidRPr="00312813">
        <w:t xml:space="preserve"> debe contarse el t</w:t>
      </w:r>
      <w:r w:rsidR="004C597C">
        <w:t>é</w:t>
      </w:r>
      <w:r w:rsidR="00E64541" w:rsidRPr="00312813">
        <w:t>rmino de tres (3)</w:t>
      </w:r>
      <w:r w:rsidR="003337A1" w:rsidRPr="00312813">
        <w:t xml:space="preserve"> años</w:t>
      </w:r>
      <w:r w:rsidR="00E64541" w:rsidRPr="00312813">
        <w:t>, o si para la configuración de la inhabilidad</w:t>
      </w:r>
      <w:r w:rsidR="003337A1" w:rsidRPr="00312813">
        <w:t xml:space="preserve"> resulta v</w:t>
      </w:r>
      <w:r w:rsidR="004C597C">
        <w:t>á</w:t>
      </w:r>
      <w:r w:rsidR="003337A1" w:rsidRPr="00312813">
        <w:t>lido tener en cuenta declaratorias de incumplimiento consolidadas antes de la entrada en vigencia de la Ley 1955 de 2019. Sobre este particular ya se ha pronunciado esta Agencia, que, en concepto de 3 de octubre de 2019, manifestó lo siguiente:</w:t>
      </w:r>
    </w:p>
    <w:p w14:paraId="2D4C4AA6" w14:textId="62D8A06A" w:rsidR="003337A1" w:rsidRPr="00312813" w:rsidRDefault="003337A1" w:rsidP="00E64541">
      <w:pPr>
        <w:pStyle w:val="Textoindependiente"/>
        <w:spacing w:line="276" w:lineRule="auto"/>
        <w:ind w:right="49" w:firstLine="708"/>
        <w:jc w:val="both"/>
      </w:pPr>
    </w:p>
    <w:p w14:paraId="66B6291F" w14:textId="77777777" w:rsidR="003337A1" w:rsidRPr="00312813" w:rsidRDefault="003337A1" w:rsidP="00244069">
      <w:pPr>
        <w:pStyle w:val="Textoindependiente"/>
        <w:spacing w:after="120"/>
        <w:ind w:left="709" w:right="709"/>
        <w:jc w:val="both"/>
        <w:rPr>
          <w:sz w:val="21"/>
          <w:szCs w:val="21"/>
        </w:rPr>
      </w:pPr>
      <w:r w:rsidRPr="00312813">
        <w:rPr>
          <w:sz w:val="21"/>
          <w:szCs w:val="21"/>
        </w:rPr>
        <w:t>El 25 de mayo del presente año entró a regir la Ley 1955 de 2019, la cual modificó lo dispuesto en el artículo 90 de la Ley 1474 de 2011, ampliando el plazo durante el cual se deben declarar las sanciones a un contratista para que se configure la inhabilidad por incumplimiento reiterado.</w:t>
      </w:r>
    </w:p>
    <w:p w14:paraId="4742698C" w14:textId="77777777" w:rsidR="003337A1" w:rsidRPr="00312813" w:rsidRDefault="003337A1" w:rsidP="00244069">
      <w:pPr>
        <w:pStyle w:val="Textoindependiente"/>
        <w:spacing w:after="120"/>
        <w:ind w:left="709" w:right="709"/>
        <w:jc w:val="both"/>
        <w:rPr>
          <w:sz w:val="21"/>
          <w:szCs w:val="21"/>
        </w:rPr>
      </w:pPr>
      <w:r w:rsidRPr="00312813">
        <w:rPr>
          <w:sz w:val="21"/>
          <w:szCs w:val="21"/>
        </w:rPr>
        <w:t xml:space="preserve">El legislador no contemplo excepción frente a la aplicación retroactiva de la Ley 1955 de 2019, y si bien la inhabilidad del artículo 43 es de carácter sancionatorio, </w:t>
      </w:r>
      <w:r w:rsidRPr="00312813">
        <w:rPr>
          <w:sz w:val="21"/>
          <w:szCs w:val="21"/>
        </w:rPr>
        <w:lastRenderedPageBreak/>
        <w:t>por tratarse de la potestad punitiva del Estado, el principio de favorabilidad es aplicable al proceso sancionatorio administrativo en virtud de lo establecido en el artículo 29 de la Constitución Política y en la Ley 1437 de 2011.</w:t>
      </w:r>
    </w:p>
    <w:p w14:paraId="509B36C8" w14:textId="77777777" w:rsidR="003337A1" w:rsidRPr="00312813" w:rsidRDefault="003337A1" w:rsidP="00244069">
      <w:pPr>
        <w:pStyle w:val="Textoindependiente"/>
        <w:spacing w:after="120"/>
        <w:ind w:left="709" w:right="709"/>
        <w:jc w:val="both"/>
        <w:rPr>
          <w:sz w:val="21"/>
          <w:szCs w:val="21"/>
        </w:rPr>
      </w:pPr>
      <w:r w:rsidRPr="00312813">
        <w:rPr>
          <w:sz w:val="21"/>
          <w:szCs w:val="21"/>
        </w:rPr>
        <w:t xml:space="preserve">Ahora, la Ley en mención tampoco contempló su aplicación retrospectiva a las situaciones de hecho que tuvieron lugar antes de su entrada en vigencia, porque sencillamente si dichas situaciones se hubiesen presentado en vigencia del artículo 90 de la Ley 1474 de 2011 se hubiera configurado la inhabilidad; en este sentido sus efectos tampoco serían </w:t>
      </w:r>
      <w:proofErr w:type="spellStart"/>
      <w:r w:rsidRPr="00312813">
        <w:rPr>
          <w:sz w:val="21"/>
          <w:szCs w:val="21"/>
        </w:rPr>
        <w:t>ultraactivos</w:t>
      </w:r>
      <w:proofErr w:type="spellEnd"/>
      <w:r w:rsidRPr="00312813">
        <w:rPr>
          <w:sz w:val="21"/>
          <w:szCs w:val="21"/>
        </w:rPr>
        <w:t>.</w:t>
      </w:r>
    </w:p>
    <w:p w14:paraId="2696F222" w14:textId="036EC5A5" w:rsidR="00056AFD" w:rsidRPr="00312813" w:rsidRDefault="003337A1" w:rsidP="00244069">
      <w:pPr>
        <w:pStyle w:val="Textoindependiente"/>
        <w:spacing w:after="120"/>
        <w:ind w:left="709" w:right="709"/>
        <w:jc w:val="both"/>
        <w:rPr>
          <w:sz w:val="21"/>
          <w:szCs w:val="21"/>
        </w:rPr>
      </w:pPr>
      <w:r w:rsidRPr="00312813">
        <w:rPr>
          <w:sz w:val="21"/>
          <w:szCs w:val="21"/>
        </w:rPr>
        <w:t>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de esta fecha se deberá contabilizar los tres (3) años durante los cuales al contratista le han sido impuestas cinco (5) o más multas, o declaratorias de incumplimiento contractual en por lo menos dos (2) contratos. Esto quiere decir que no es posible acumular las sanciones anteriores ni tampoco los años durante los cuales aquellas fueron impuestas</w:t>
      </w:r>
      <w:r w:rsidR="009E2240">
        <w:rPr>
          <w:sz w:val="21"/>
          <w:szCs w:val="21"/>
        </w:rPr>
        <w:t>.</w:t>
      </w:r>
    </w:p>
    <w:p w14:paraId="2B8EE1BE" w14:textId="2C0AB61F" w:rsidR="003337A1" w:rsidRPr="00312813" w:rsidRDefault="00056AFD" w:rsidP="00056AFD">
      <w:pPr>
        <w:pStyle w:val="Textoindependiente"/>
        <w:ind w:left="709" w:right="709"/>
        <w:jc w:val="both"/>
        <w:rPr>
          <w:sz w:val="21"/>
          <w:szCs w:val="21"/>
        </w:rPr>
      </w:pPr>
      <w:r w:rsidRPr="00312813">
        <w:rPr>
          <w:sz w:val="21"/>
          <w:szCs w:val="21"/>
        </w:rPr>
        <w:t>[…] la Constitución Política dispone en materia del derecho al debido proceso, que nadie podrá ser juzgado sino conforme a leyes preexistentes al acto que se le imputa,</w:t>
      </w:r>
      <w:r w:rsidR="00B022A4">
        <w:rPr>
          <w:sz w:val="21"/>
          <w:szCs w:val="21"/>
        </w:rPr>
        <w:t xml:space="preserve"> </w:t>
      </w:r>
      <w:r w:rsidRPr="00312813">
        <w:rPr>
          <w:sz w:val="21"/>
          <w:szCs w:val="21"/>
        </w:rPr>
        <w:t>lo cual aplica para el caso de las inhabilidades de naturaleza sancionatoria, pues como se anotó en precedencia, estas limitan derechos subjetivos. Por lo anterior, la inhabilidad por incumplimiento reiterado después del 25 de mayo de 2019 se debe configurar según lo indicado en el artículo 43 de la Ley 1955 de 2019, a menos que antes de su entrada en vigencia se hubiese consolidado la situación jurídica prevista en el artículo 90 de la Ley 1474 de 2011</w:t>
      </w:r>
      <w:r w:rsidR="003337A1" w:rsidRPr="00312813">
        <w:rPr>
          <w:rStyle w:val="Refdenotaalpie"/>
          <w:sz w:val="21"/>
          <w:szCs w:val="21"/>
        </w:rPr>
        <w:footnoteReference w:id="14"/>
      </w:r>
      <w:r w:rsidR="003337A1" w:rsidRPr="00312813">
        <w:rPr>
          <w:sz w:val="21"/>
          <w:szCs w:val="21"/>
        </w:rPr>
        <w:t>.</w:t>
      </w:r>
    </w:p>
    <w:p w14:paraId="238BF57E" w14:textId="77777777" w:rsidR="00D37E9B" w:rsidRPr="00312813" w:rsidRDefault="00D37E9B" w:rsidP="00D37E9B">
      <w:pPr>
        <w:pStyle w:val="Textoindependiente"/>
        <w:spacing w:line="273" w:lineRule="auto"/>
        <w:ind w:right="49" w:firstLine="708"/>
        <w:jc w:val="both"/>
      </w:pPr>
    </w:p>
    <w:p w14:paraId="4CB19099" w14:textId="4BA0F0A1" w:rsidR="006D26D0" w:rsidRPr="00312813" w:rsidRDefault="00280F7C" w:rsidP="00244069">
      <w:pPr>
        <w:spacing w:after="120" w:line="276" w:lineRule="auto"/>
        <w:jc w:val="both"/>
        <w:rPr>
          <w:rFonts w:ascii="Arial" w:hAnsi="Arial" w:cs="Arial"/>
          <w:sz w:val="22"/>
        </w:rPr>
      </w:pPr>
      <w:r w:rsidRPr="00312813">
        <w:rPr>
          <w:rFonts w:ascii="Arial" w:hAnsi="Arial" w:cs="Arial"/>
          <w:sz w:val="22"/>
        </w:rPr>
        <w:tab/>
        <w:t>De acuerdo con tales consideraciones, comoquiera que los efectos del artículo 43 de la Ley 1955 de 2019 se producen hacia al futuro, y al haberse derogado el texto original de los literales a y b del artículo 90 de la Ley 1474 de 2011</w:t>
      </w:r>
      <w:r w:rsidR="004C597C">
        <w:rPr>
          <w:rFonts w:ascii="Arial" w:hAnsi="Arial" w:cs="Arial"/>
          <w:sz w:val="22"/>
        </w:rPr>
        <w:t xml:space="preserve"> </w:t>
      </w:r>
      <w:r w:rsidRPr="00312813">
        <w:rPr>
          <w:rFonts w:ascii="Arial" w:hAnsi="Arial" w:cs="Arial"/>
          <w:sz w:val="22"/>
        </w:rPr>
        <w:t>–ni haberse dispuesto</w:t>
      </w:r>
      <w:r w:rsidR="006D26D0" w:rsidRPr="00312813">
        <w:rPr>
          <w:rFonts w:ascii="Arial" w:hAnsi="Arial" w:cs="Arial"/>
          <w:sz w:val="22"/>
        </w:rPr>
        <w:t xml:space="preserve"> efectos </w:t>
      </w:r>
      <w:proofErr w:type="spellStart"/>
      <w:r w:rsidR="006D26D0" w:rsidRPr="00312813">
        <w:rPr>
          <w:rFonts w:ascii="Arial" w:hAnsi="Arial" w:cs="Arial"/>
          <w:sz w:val="22"/>
        </w:rPr>
        <w:t>ultractivos</w:t>
      </w:r>
      <w:proofErr w:type="spellEnd"/>
      <w:r w:rsidR="006D26D0" w:rsidRPr="00312813">
        <w:rPr>
          <w:rFonts w:ascii="Arial" w:hAnsi="Arial" w:cs="Arial"/>
          <w:sz w:val="22"/>
        </w:rPr>
        <w:t>–</w:t>
      </w:r>
      <w:r w:rsidRPr="00312813">
        <w:rPr>
          <w:rFonts w:ascii="Arial" w:hAnsi="Arial" w:cs="Arial"/>
          <w:sz w:val="22"/>
        </w:rPr>
        <w:t>, para que se configure la causal de inhabilidad aludida, es necesario que las declaratorias de incumplimiento se hayan consolidado con posterioridad a la entrada en vigencia de la Ley 1955 de 2019, esto es, del 25 de mayo de 2019 en adelante</w:t>
      </w:r>
      <w:r w:rsidR="006D26D0" w:rsidRPr="00312813">
        <w:rPr>
          <w:rFonts w:ascii="Arial" w:hAnsi="Arial" w:cs="Arial"/>
          <w:sz w:val="22"/>
        </w:rPr>
        <w:t>.</w:t>
      </w:r>
    </w:p>
    <w:p w14:paraId="17EF8425" w14:textId="18BE652C" w:rsidR="00D37E9B" w:rsidRPr="00312813" w:rsidRDefault="006D26D0" w:rsidP="008C283B">
      <w:pPr>
        <w:spacing w:after="120" w:line="276" w:lineRule="auto"/>
        <w:jc w:val="both"/>
        <w:rPr>
          <w:rFonts w:ascii="Arial" w:hAnsi="Arial" w:cs="Arial"/>
          <w:sz w:val="22"/>
        </w:rPr>
      </w:pPr>
      <w:r w:rsidRPr="00312813">
        <w:rPr>
          <w:rFonts w:ascii="Arial" w:hAnsi="Arial" w:cs="Arial"/>
          <w:sz w:val="22"/>
        </w:rPr>
        <w:tab/>
        <w:t xml:space="preserve">Tal interpretación además se impone con ocasión del carácter sancionador o </w:t>
      </w:r>
      <w:r w:rsidRPr="00E45327">
        <w:rPr>
          <w:rFonts w:ascii="Arial" w:hAnsi="Arial" w:cs="Arial"/>
          <w:i/>
          <w:iCs/>
          <w:sz w:val="22"/>
        </w:rPr>
        <w:t>punitivo</w:t>
      </w:r>
      <w:r w:rsidR="008751F1" w:rsidRPr="00312813">
        <w:rPr>
          <w:rStyle w:val="Refdenotaalpie"/>
          <w:rFonts w:ascii="Arial" w:hAnsi="Arial" w:cs="Arial"/>
          <w:sz w:val="22"/>
        </w:rPr>
        <w:footnoteReference w:id="15"/>
      </w:r>
      <w:r w:rsidRPr="00312813">
        <w:rPr>
          <w:rFonts w:ascii="Arial" w:hAnsi="Arial" w:cs="Arial"/>
          <w:sz w:val="22"/>
        </w:rPr>
        <w:t xml:space="preserve"> de la inhabilidad por incumplimiento reiterado, que implica que su aplicación deba </w:t>
      </w:r>
      <w:r w:rsidRPr="00312813">
        <w:rPr>
          <w:rFonts w:ascii="Arial" w:hAnsi="Arial" w:cs="Arial"/>
          <w:sz w:val="22"/>
        </w:rPr>
        <w:lastRenderedPageBreak/>
        <w:t>ser respetuosa del</w:t>
      </w:r>
      <w:r w:rsidR="008751F1" w:rsidRPr="00312813">
        <w:rPr>
          <w:rFonts w:ascii="Arial" w:hAnsi="Arial" w:cs="Arial"/>
          <w:sz w:val="22"/>
        </w:rPr>
        <w:t xml:space="preserve"> debido proceso</w:t>
      </w:r>
      <w:r w:rsidR="008751F1" w:rsidRPr="00312813">
        <w:rPr>
          <w:rStyle w:val="Refdenotaalpie"/>
          <w:rFonts w:ascii="Arial" w:hAnsi="Arial" w:cs="Arial"/>
          <w:sz w:val="22"/>
        </w:rPr>
        <w:footnoteReference w:id="16"/>
      </w:r>
      <w:r w:rsidR="008751F1" w:rsidRPr="00312813">
        <w:rPr>
          <w:rFonts w:ascii="Arial" w:hAnsi="Arial" w:cs="Arial"/>
          <w:sz w:val="22"/>
        </w:rPr>
        <w:t xml:space="preserve"> y el</w:t>
      </w:r>
      <w:r w:rsidRPr="00312813">
        <w:rPr>
          <w:rFonts w:ascii="Arial" w:hAnsi="Arial" w:cs="Arial"/>
          <w:sz w:val="22"/>
        </w:rPr>
        <w:t xml:space="preserve"> principio de legalidad de las faltas y de las sanciones</w:t>
      </w:r>
      <w:r w:rsidR="009F0642" w:rsidRPr="00312813">
        <w:rPr>
          <w:rStyle w:val="Refdenotaalpie"/>
          <w:rFonts w:ascii="Arial" w:hAnsi="Arial" w:cs="Arial"/>
          <w:sz w:val="22"/>
        </w:rPr>
        <w:footnoteReference w:id="17"/>
      </w:r>
      <w:r w:rsidRPr="00312813">
        <w:rPr>
          <w:rFonts w:ascii="Arial" w:hAnsi="Arial" w:cs="Arial"/>
          <w:sz w:val="22"/>
        </w:rPr>
        <w:t xml:space="preserve">, por lo que circunstancias consolidadas con anterioridad a la entrada en vigencia de la Ley 1955 de 2019 no pueden ser tenidas en cuenta a efectos de configurar la referida inhabilidad, en la medida que el contenido del supuesto de hecho de la falta sancionada con la inhabilidad cambió </w:t>
      </w:r>
      <w:r w:rsidR="008C283B" w:rsidRPr="00312813">
        <w:rPr>
          <w:rFonts w:ascii="Arial" w:hAnsi="Arial" w:cs="Arial"/>
          <w:sz w:val="22"/>
        </w:rPr>
        <w:t>con la entrada en vigencia de la Ley 1955 de 2019</w:t>
      </w:r>
      <w:r w:rsidR="000170F8">
        <w:rPr>
          <w:rFonts w:ascii="Arial" w:hAnsi="Arial" w:cs="Arial"/>
          <w:sz w:val="22"/>
        </w:rPr>
        <w:t>. En tal sentido,</w:t>
      </w:r>
      <w:r w:rsidR="006837FC" w:rsidRPr="00312813">
        <w:rPr>
          <w:rFonts w:ascii="Arial" w:hAnsi="Arial" w:cs="Arial"/>
          <w:sz w:val="22"/>
        </w:rPr>
        <w:t xml:space="preserve">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w:t>
      </w:r>
      <w:r w:rsidR="008C283B" w:rsidRPr="00312813">
        <w:rPr>
          <w:rFonts w:ascii="Arial" w:hAnsi="Arial" w:cs="Arial"/>
          <w:sz w:val="22"/>
        </w:rPr>
        <w:t xml:space="preserve"> </w:t>
      </w:r>
    </w:p>
    <w:p w14:paraId="5A1B147E" w14:textId="647BC0E2" w:rsidR="008C283B" w:rsidRPr="00312813" w:rsidRDefault="000170F8" w:rsidP="008C283B">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La postura anterior</w:t>
      </w:r>
      <w:r w:rsidR="008C283B" w:rsidRPr="00312813">
        <w:rPr>
          <w:rFonts w:ascii="Arial" w:eastAsia="Calibri" w:hAnsi="Arial" w:cs="Arial"/>
          <w:sz w:val="22"/>
          <w:lang w:val="es-ES_tradnl"/>
        </w:rPr>
        <w:t xml:space="preserve"> además se encuentra de acuerdo con el principio </w:t>
      </w:r>
      <w:r w:rsidR="008C283B" w:rsidRPr="00312813">
        <w:rPr>
          <w:rFonts w:ascii="Arial" w:eastAsia="Calibri" w:hAnsi="Arial" w:cs="Arial"/>
          <w:i/>
          <w:iCs/>
          <w:sz w:val="22"/>
          <w:lang w:val="es-ES_tradnl"/>
        </w:rPr>
        <w:t xml:space="preserve">pro </w:t>
      </w:r>
      <w:proofErr w:type="spellStart"/>
      <w:r w:rsidR="008C283B" w:rsidRPr="00312813">
        <w:rPr>
          <w:rFonts w:ascii="Arial" w:eastAsia="Calibri" w:hAnsi="Arial" w:cs="Arial"/>
          <w:i/>
          <w:iCs/>
          <w:sz w:val="22"/>
          <w:lang w:val="es-ES_tradnl"/>
        </w:rPr>
        <w:t>libertate</w:t>
      </w:r>
      <w:proofErr w:type="spellEnd"/>
      <w:r w:rsidR="008C283B" w:rsidRPr="00312813">
        <w:rPr>
          <w:rFonts w:ascii="Arial" w:eastAsia="Calibri" w:hAnsi="Arial" w:cs="Arial"/>
          <w:sz w:val="22"/>
          <w:lang w:val="es-ES_tradnl"/>
        </w:rPr>
        <w:t xml:space="preserve"> que debe dirigir la interpretación de las disposiciones normativas que consagran restricciones de derechos, como son las inhabilidades. Esto en la medida que </w:t>
      </w:r>
      <w:r w:rsidR="009F0642" w:rsidRPr="00312813">
        <w:rPr>
          <w:rFonts w:ascii="Arial" w:eastAsia="Calibri" w:hAnsi="Arial" w:cs="Arial"/>
          <w:sz w:val="22"/>
          <w:lang w:val="es-ES_tradnl"/>
        </w:rPr>
        <w:t>asumir</w:t>
      </w:r>
      <w:r w:rsidR="008C283B" w:rsidRPr="00312813">
        <w:rPr>
          <w:rFonts w:ascii="Arial" w:eastAsia="Calibri" w:hAnsi="Arial" w:cs="Arial"/>
          <w:sz w:val="22"/>
          <w:lang w:val="es-ES_tradnl"/>
        </w:rPr>
        <w:t xml:space="preserve"> la interpretación contraria a la esbozada, esto es, la que indicaría que para la configuración de</w:t>
      </w:r>
      <w:r w:rsidR="009F0642" w:rsidRPr="00312813">
        <w:rPr>
          <w:rFonts w:ascii="Arial" w:eastAsia="Calibri" w:hAnsi="Arial" w:cs="Arial"/>
          <w:sz w:val="22"/>
          <w:lang w:val="es-ES_tradnl"/>
        </w:rPr>
        <w:t xml:space="preserve"> la causal de inhabilidad en comento resultaría v</w:t>
      </w:r>
      <w:r>
        <w:rPr>
          <w:rFonts w:ascii="Arial" w:eastAsia="Calibri" w:hAnsi="Arial" w:cs="Arial"/>
          <w:sz w:val="22"/>
          <w:lang w:val="es-ES_tradnl"/>
        </w:rPr>
        <w:t>á</w:t>
      </w:r>
      <w:r w:rsidR="009F0642" w:rsidRPr="00312813">
        <w:rPr>
          <w:rFonts w:ascii="Arial" w:eastAsia="Calibri" w:hAnsi="Arial" w:cs="Arial"/>
          <w:sz w:val="22"/>
          <w:lang w:val="es-ES_tradnl"/>
        </w:rPr>
        <w:t>lido considerar hechos ocurridos –en un intervalo de 3 años–, antes de la entrada en vigencia de la Ley 1955 de 2019, implicaría un</w:t>
      </w:r>
      <w:r w:rsidR="006837FC" w:rsidRPr="00312813">
        <w:rPr>
          <w:rFonts w:ascii="Arial" w:eastAsia="Calibri" w:hAnsi="Arial" w:cs="Arial"/>
          <w:sz w:val="22"/>
          <w:lang w:val="es-ES_tradnl"/>
        </w:rPr>
        <w:t>a</w:t>
      </w:r>
      <w:r w:rsidR="009F0642" w:rsidRPr="00312813">
        <w:rPr>
          <w:rFonts w:ascii="Arial" w:eastAsia="Calibri" w:hAnsi="Arial" w:cs="Arial"/>
          <w:sz w:val="22"/>
          <w:lang w:val="es-ES_tradnl"/>
        </w:rPr>
        <w:t xml:space="preserve"> mayor restricción de derechos, ya que se extenderían los efectos de la norma a un mayor </w:t>
      </w:r>
      <w:r w:rsidR="006837FC" w:rsidRPr="00312813">
        <w:rPr>
          <w:rFonts w:ascii="Arial" w:eastAsia="Calibri" w:hAnsi="Arial" w:cs="Arial"/>
          <w:sz w:val="22"/>
          <w:lang w:val="es-ES_tradnl"/>
        </w:rPr>
        <w:t>número</w:t>
      </w:r>
      <w:r w:rsidR="009F0642" w:rsidRPr="00312813">
        <w:rPr>
          <w:rFonts w:ascii="Arial" w:eastAsia="Calibri" w:hAnsi="Arial" w:cs="Arial"/>
          <w:sz w:val="22"/>
          <w:lang w:val="es-ES_tradnl"/>
        </w:rPr>
        <w:t xml:space="preserve"> de </w:t>
      </w:r>
      <w:r w:rsidR="006837FC" w:rsidRPr="00312813">
        <w:rPr>
          <w:rFonts w:ascii="Arial" w:eastAsia="Calibri" w:hAnsi="Arial" w:cs="Arial"/>
          <w:sz w:val="22"/>
          <w:lang w:val="es-ES_tradnl"/>
        </w:rPr>
        <w:t>casos particulares</w:t>
      </w:r>
      <w:r w:rsidR="009F0642" w:rsidRPr="00312813">
        <w:rPr>
          <w:rFonts w:ascii="Arial" w:eastAsia="Calibri" w:hAnsi="Arial" w:cs="Arial"/>
          <w:sz w:val="22"/>
          <w:lang w:val="es-ES_tradnl"/>
        </w:rPr>
        <w:t>, lo cual resultaría contrario a la interpretación restrictiva que amerita la norma bajo estudio.</w:t>
      </w:r>
      <w:r w:rsidR="008C283B" w:rsidRPr="00312813">
        <w:rPr>
          <w:rFonts w:ascii="Arial" w:eastAsia="Calibri" w:hAnsi="Arial" w:cs="Arial"/>
          <w:sz w:val="22"/>
          <w:lang w:val="es-ES_tradnl"/>
        </w:rPr>
        <w:t xml:space="preserve"> </w:t>
      </w:r>
    </w:p>
    <w:p w14:paraId="67D83F99" w14:textId="2A43BFC4" w:rsidR="006837FC" w:rsidRPr="00312813" w:rsidRDefault="00B84425" w:rsidP="00B84425">
      <w:pPr>
        <w:spacing w:after="120" w:line="276" w:lineRule="auto"/>
        <w:ind w:firstLine="709"/>
        <w:jc w:val="both"/>
        <w:rPr>
          <w:rFonts w:ascii="Arial" w:hAnsi="Arial" w:cs="Arial"/>
          <w:sz w:val="22"/>
        </w:rPr>
      </w:pPr>
      <w:r w:rsidRPr="00312813">
        <w:rPr>
          <w:rFonts w:ascii="Arial" w:eastAsia="Calibri" w:hAnsi="Arial" w:cs="Arial"/>
          <w:sz w:val="22"/>
          <w:lang w:val="es-ES_tradnl"/>
        </w:rPr>
        <w:t xml:space="preserve">De otra parte, conviene recordar </w:t>
      </w:r>
      <w:r w:rsidRPr="00312813">
        <w:rPr>
          <w:rFonts w:ascii="Arial" w:hAnsi="Arial" w:cs="Arial"/>
          <w:sz w:val="22"/>
        </w:rPr>
        <w:t xml:space="preserve">que de conformidad con el inciso anterior al parágrafo del </w:t>
      </w:r>
      <w:r w:rsidR="006837FC" w:rsidRPr="00312813">
        <w:rPr>
          <w:rFonts w:ascii="Arial" w:hAnsi="Arial" w:cs="Arial"/>
          <w:sz w:val="22"/>
        </w:rPr>
        <w:t>artículo 90 de la Ley 1474 de 2011</w:t>
      </w:r>
      <w:r w:rsidRPr="00312813">
        <w:rPr>
          <w:rFonts w:ascii="Arial" w:hAnsi="Arial" w:cs="Arial"/>
          <w:sz w:val="22"/>
        </w:rPr>
        <w:t>,</w:t>
      </w:r>
      <w:r w:rsidR="006837FC" w:rsidRPr="00312813">
        <w:rPr>
          <w:rFonts w:ascii="Arial" w:hAnsi="Arial" w:cs="Arial"/>
          <w:sz w:val="22"/>
        </w:rPr>
        <w:t xml:space="preserve"> la inhabilidad por incumplimiento reiterado </w:t>
      </w:r>
      <w:r w:rsidRPr="00312813">
        <w:rPr>
          <w:rFonts w:ascii="Arial" w:hAnsi="Arial" w:cs="Arial"/>
          <w:sz w:val="22"/>
        </w:rPr>
        <w:lastRenderedPageBreak/>
        <w:t>se configura a partir de la inscripción en el R</w:t>
      </w:r>
      <w:r w:rsidR="00DA208F" w:rsidRPr="00312813">
        <w:rPr>
          <w:rFonts w:ascii="Arial" w:hAnsi="Arial" w:cs="Arial"/>
          <w:sz w:val="22"/>
        </w:rPr>
        <w:t xml:space="preserve">egistro Único de </w:t>
      </w:r>
      <w:r w:rsidRPr="00312813">
        <w:rPr>
          <w:rFonts w:ascii="Arial" w:hAnsi="Arial" w:cs="Arial"/>
          <w:sz w:val="22"/>
        </w:rPr>
        <w:t>P</w:t>
      </w:r>
      <w:r w:rsidR="00DA208F" w:rsidRPr="00312813">
        <w:rPr>
          <w:rFonts w:ascii="Arial" w:hAnsi="Arial" w:cs="Arial"/>
          <w:sz w:val="22"/>
        </w:rPr>
        <w:t>roponentes</w:t>
      </w:r>
      <w:r w:rsidRPr="00312813">
        <w:rPr>
          <w:rFonts w:ascii="Arial" w:hAnsi="Arial" w:cs="Arial"/>
          <w:sz w:val="22"/>
        </w:rPr>
        <w:t xml:space="preserve"> de la última multa o decl</w:t>
      </w:r>
      <w:r w:rsidR="000170F8">
        <w:rPr>
          <w:rFonts w:ascii="Arial" w:hAnsi="Arial" w:cs="Arial"/>
          <w:sz w:val="22"/>
        </w:rPr>
        <w:t>ar</w:t>
      </w:r>
      <w:r w:rsidRPr="00312813">
        <w:rPr>
          <w:rFonts w:ascii="Arial" w:hAnsi="Arial" w:cs="Arial"/>
          <w:sz w:val="22"/>
        </w:rPr>
        <w:t>ator</w:t>
      </w:r>
      <w:r w:rsidR="000170F8">
        <w:rPr>
          <w:rFonts w:ascii="Arial" w:hAnsi="Arial" w:cs="Arial"/>
          <w:sz w:val="22"/>
        </w:rPr>
        <w:t>i</w:t>
      </w:r>
      <w:r w:rsidRPr="00312813">
        <w:rPr>
          <w:rFonts w:ascii="Arial" w:hAnsi="Arial" w:cs="Arial"/>
          <w:sz w:val="22"/>
        </w:rPr>
        <w:t>a de incumplimiento requerida para su configuración</w:t>
      </w:r>
      <w:r w:rsidR="006837FC" w:rsidRPr="00312813">
        <w:rPr>
          <w:rFonts w:ascii="Arial" w:hAnsi="Arial" w:cs="Arial"/>
          <w:sz w:val="22"/>
        </w:rPr>
        <w:t xml:space="preserve">. Por lo tanto, no se podrá extender la inhabilidad desde que se declaró la sanción por parte de la entidad, </w:t>
      </w:r>
      <w:r w:rsidR="00C76E54">
        <w:rPr>
          <w:rFonts w:ascii="Arial" w:hAnsi="Arial" w:cs="Arial"/>
          <w:sz w:val="22"/>
        </w:rPr>
        <w:t>pues</w:t>
      </w:r>
      <w:r w:rsidR="006837FC" w:rsidRPr="00312813">
        <w:rPr>
          <w:rFonts w:ascii="Arial" w:hAnsi="Arial" w:cs="Arial"/>
          <w:sz w:val="22"/>
        </w:rPr>
        <w:t xml:space="preserve"> esto implicar</w:t>
      </w:r>
      <w:r w:rsidR="00C76E54">
        <w:rPr>
          <w:rFonts w:ascii="Arial" w:hAnsi="Arial" w:cs="Arial"/>
          <w:sz w:val="22"/>
        </w:rPr>
        <w:t>ía</w:t>
      </w:r>
      <w:r w:rsidR="006837FC" w:rsidRPr="00312813">
        <w:rPr>
          <w:rFonts w:ascii="Arial" w:hAnsi="Arial" w:cs="Arial"/>
          <w:sz w:val="22"/>
        </w:rPr>
        <w:t xml:space="preserve"> afectar la interpretación restrictiva que rige en el régimen de inhabilidad</w:t>
      </w:r>
      <w:r w:rsidR="000170F8">
        <w:rPr>
          <w:rFonts w:ascii="Arial" w:hAnsi="Arial" w:cs="Arial"/>
          <w:sz w:val="22"/>
        </w:rPr>
        <w:t>es</w:t>
      </w:r>
      <w:r w:rsidR="006837FC" w:rsidRPr="00312813">
        <w:rPr>
          <w:rFonts w:ascii="Arial" w:hAnsi="Arial" w:cs="Arial"/>
          <w:sz w:val="22"/>
        </w:rPr>
        <w:t xml:space="preserve"> e incompatibilidad</w:t>
      </w:r>
      <w:r w:rsidR="000170F8">
        <w:rPr>
          <w:rFonts w:ascii="Arial" w:hAnsi="Arial" w:cs="Arial"/>
          <w:sz w:val="22"/>
        </w:rPr>
        <w:t>es</w:t>
      </w:r>
      <w:r w:rsidR="006837FC" w:rsidRPr="00312813">
        <w:rPr>
          <w:rFonts w:ascii="Arial" w:hAnsi="Arial" w:cs="Arial"/>
          <w:sz w:val="22"/>
        </w:rPr>
        <w:t>.</w:t>
      </w:r>
    </w:p>
    <w:p w14:paraId="5B78E298" w14:textId="6B675E44" w:rsidR="006837FC" w:rsidRPr="00312813" w:rsidRDefault="00B84425" w:rsidP="00DA208F">
      <w:pPr>
        <w:pStyle w:val="Textoindependiente"/>
        <w:spacing w:after="120" w:line="274" w:lineRule="auto"/>
        <w:ind w:right="51" w:firstLine="709"/>
        <w:jc w:val="both"/>
      </w:pPr>
      <w:r w:rsidRPr="00312813">
        <w:t xml:space="preserve"> </w:t>
      </w:r>
      <w:r w:rsidR="00DA208F" w:rsidRPr="00312813">
        <w:t>R</w:t>
      </w:r>
      <w:r w:rsidRPr="00312813">
        <w:t>esulta relevante</w:t>
      </w:r>
      <w:r w:rsidR="00DA208F" w:rsidRPr="00312813">
        <w:t xml:space="preserve"> poner esto de presente</w:t>
      </w:r>
      <w:r w:rsidRPr="00312813">
        <w:t xml:space="preserve"> ya que </w:t>
      </w:r>
      <w:r w:rsidR="006837FC" w:rsidRPr="00312813">
        <w:t>frente otras causales de inhabilidad e incompatibilidad,</w:t>
      </w:r>
      <w:r w:rsidRPr="00312813">
        <w:t xml:space="preserve"> el legislador</w:t>
      </w:r>
      <w:r w:rsidR="006837FC" w:rsidRPr="00312813">
        <w:t xml:space="preserve"> sí previó que la inhabilidad se cuente desde el momento </w:t>
      </w:r>
      <w:r w:rsidRPr="00312813">
        <w:t>en que se materializa</w:t>
      </w:r>
      <w:r w:rsidR="00DA208F" w:rsidRPr="00312813">
        <w:t xml:space="preserve"> en un acto administrativo ejecutoriado</w:t>
      </w:r>
      <w:r w:rsidRPr="00312813">
        <w:t xml:space="preserve"> el hecho sancionado con la inhabilidad, como en los casos de</w:t>
      </w:r>
      <w:r w:rsidR="006837FC" w:rsidRPr="00312813">
        <w:t xml:space="preserve"> la declaratoria de la caducidad del contrato o cuando se declara el incumplimiento del interventor</w:t>
      </w:r>
      <w:r w:rsidRPr="00312813">
        <w:t xml:space="preserve">. </w:t>
      </w:r>
      <w:r w:rsidR="006837FC" w:rsidRPr="00312813">
        <w:t>Es así como el literal c) del numeral 1, del artículo 8 de la Ley 80 de 1993, referido a la declaratoria de caducidad, señala que la inhabilidad de cinco (5) años empezará a contar a partir de la ejecutoria del acto administrativo que declara la caducidad del contrato</w:t>
      </w:r>
      <w:r w:rsidRPr="00312813">
        <w:rPr>
          <w:rStyle w:val="Refdenotaalpie"/>
        </w:rPr>
        <w:footnoteReference w:id="18"/>
      </w:r>
      <w:r w:rsidR="006837FC" w:rsidRPr="00312813">
        <w:t>; y el literal k) establece que la inhabilidad se extenderá por cinco (5) años, contados a partir de la ejecutoria del acto administrativo que declare el incumplimiento por parte del interventor al deber de entregar información a la entidad contratante</w:t>
      </w:r>
      <w:r w:rsidR="00DA208F" w:rsidRPr="00312813">
        <w:rPr>
          <w:rStyle w:val="Refdenotaalpie"/>
        </w:rPr>
        <w:footnoteReference w:id="19"/>
      </w:r>
      <w:r w:rsidR="006837FC" w:rsidRPr="00312813">
        <w:t>.</w:t>
      </w:r>
      <w:r w:rsidR="00DA208F" w:rsidRPr="00312813">
        <w:t xml:space="preserve"> Conforme a esto,</w:t>
      </w:r>
      <w:r w:rsidR="006837FC" w:rsidRPr="00312813">
        <w:t xml:space="preserve"> no fue accidental que el legislador, en el artículo 90 de la Ley 1474 de 2011, </w:t>
      </w:r>
      <w:r w:rsidR="000170F8">
        <w:t>dispusiera</w:t>
      </w:r>
      <w:r w:rsidR="006837FC" w:rsidRPr="00312813">
        <w:t xml:space="preserve"> que la inhabilidad se configura con la </w:t>
      </w:r>
      <w:r w:rsidR="006837FC" w:rsidRPr="00244069">
        <w:rPr>
          <w:i/>
          <w:iCs/>
        </w:rPr>
        <w:t>publicación</w:t>
      </w:r>
      <w:r w:rsidR="006837FC" w:rsidRPr="00312813">
        <w:t xml:space="preserve"> del acto administrativo que impone la inscripción de la última multa o incumplimiento en el Registro Único de Proponentes y no cuando la entidad lo declara </w:t>
      </w:r>
      <w:r w:rsidR="000170F8">
        <w:t>en el</w:t>
      </w:r>
      <w:r w:rsidR="006837FC" w:rsidRPr="00312813">
        <w:t xml:space="preserve"> acto administrativo.</w:t>
      </w:r>
    </w:p>
    <w:p w14:paraId="6357B70C" w14:textId="1228845D" w:rsidR="00BF6D5B" w:rsidRPr="00312813" w:rsidRDefault="006837FC" w:rsidP="00E35B91">
      <w:pPr>
        <w:pStyle w:val="Textoindependiente"/>
        <w:spacing w:before="93" w:line="278" w:lineRule="auto"/>
        <w:ind w:right="49" w:firstLine="708"/>
        <w:jc w:val="both"/>
        <w:rPr>
          <w:sz w:val="21"/>
        </w:rPr>
      </w:pPr>
      <w:r w:rsidRPr="00312813">
        <w:t xml:space="preserve">En este orden, la inhabilidad por incumplimiento reiterado, prescrita en la Ley 1474 de 2011, se configura una vez se cumplan los supuestos del artículo 90 </w:t>
      </w:r>
      <w:r w:rsidRPr="00312813">
        <w:rPr>
          <w:i/>
        </w:rPr>
        <w:t>ibidem</w:t>
      </w:r>
      <w:r w:rsidRPr="00312813">
        <w:t>, modificado por el artículo 43 de la Ley 1955 de 2019, es decir, para el caso de la consulta, que la persona haya sido objeto de declaratoria de incumplimiento contractual en por lo menos dos</w:t>
      </w:r>
      <w:r w:rsidRPr="00312813">
        <w:rPr>
          <w:spacing w:val="5"/>
        </w:rPr>
        <w:t xml:space="preserve"> </w:t>
      </w:r>
      <w:r w:rsidRPr="00312813">
        <w:t>(2)</w:t>
      </w:r>
      <w:r w:rsidRPr="00312813">
        <w:rPr>
          <w:spacing w:val="6"/>
        </w:rPr>
        <w:t xml:space="preserve"> </w:t>
      </w:r>
      <w:r w:rsidRPr="00312813">
        <w:t>contratos,</w:t>
      </w:r>
      <w:r w:rsidRPr="00312813">
        <w:rPr>
          <w:spacing w:val="5"/>
        </w:rPr>
        <w:t xml:space="preserve"> </w:t>
      </w:r>
      <w:r w:rsidRPr="00312813">
        <w:t>con</w:t>
      </w:r>
      <w:r w:rsidRPr="00312813">
        <w:rPr>
          <w:spacing w:val="8"/>
        </w:rPr>
        <w:t xml:space="preserve"> </w:t>
      </w:r>
      <w:r w:rsidRPr="00312813">
        <w:t>una</w:t>
      </w:r>
      <w:r w:rsidRPr="00312813">
        <w:rPr>
          <w:spacing w:val="6"/>
        </w:rPr>
        <w:t xml:space="preserve"> </w:t>
      </w:r>
      <w:r w:rsidRPr="00312813">
        <w:t>o</w:t>
      </w:r>
      <w:r w:rsidRPr="00312813">
        <w:rPr>
          <w:spacing w:val="9"/>
        </w:rPr>
        <w:t xml:space="preserve"> </w:t>
      </w:r>
      <w:r w:rsidRPr="00312813">
        <w:t>varias</w:t>
      </w:r>
      <w:r w:rsidRPr="00312813">
        <w:rPr>
          <w:spacing w:val="6"/>
        </w:rPr>
        <w:t xml:space="preserve"> </w:t>
      </w:r>
      <w:r w:rsidRPr="00312813">
        <w:t>entidades</w:t>
      </w:r>
      <w:r w:rsidRPr="00312813">
        <w:rPr>
          <w:spacing w:val="5"/>
        </w:rPr>
        <w:t xml:space="preserve"> </w:t>
      </w:r>
      <w:r w:rsidRPr="00312813">
        <w:t>estatales,</w:t>
      </w:r>
      <w:r w:rsidRPr="00312813">
        <w:rPr>
          <w:spacing w:val="5"/>
        </w:rPr>
        <w:t xml:space="preserve"> </w:t>
      </w:r>
      <w:r w:rsidRPr="00312813">
        <w:t>durante</w:t>
      </w:r>
      <w:r w:rsidRPr="00312813">
        <w:rPr>
          <w:spacing w:val="6"/>
        </w:rPr>
        <w:t xml:space="preserve"> </w:t>
      </w:r>
      <w:r w:rsidRPr="00312813">
        <w:t>los</w:t>
      </w:r>
      <w:r w:rsidRPr="00312813">
        <w:rPr>
          <w:spacing w:val="6"/>
        </w:rPr>
        <w:t xml:space="preserve"> </w:t>
      </w:r>
      <w:r w:rsidRPr="00312813">
        <w:t>últimos</w:t>
      </w:r>
      <w:r w:rsidRPr="00312813">
        <w:rPr>
          <w:spacing w:val="5"/>
        </w:rPr>
        <w:t xml:space="preserve"> </w:t>
      </w:r>
      <w:r w:rsidRPr="00312813">
        <w:t>tres</w:t>
      </w:r>
      <w:r w:rsidRPr="00312813">
        <w:rPr>
          <w:spacing w:val="15"/>
        </w:rPr>
        <w:t xml:space="preserve"> </w:t>
      </w:r>
      <w:r w:rsidRPr="00312813">
        <w:t>(3)</w:t>
      </w:r>
      <w:r w:rsidRPr="00312813">
        <w:rPr>
          <w:spacing w:val="8"/>
        </w:rPr>
        <w:t xml:space="preserve"> </w:t>
      </w:r>
      <w:r w:rsidRPr="00312813">
        <w:t>años</w:t>
      </w:r>
      <w:r w:rsidR="000170F8">
        <w:t>;</w:t>
      </w:r>
      <w:r w:rsidRPr="00312813">
        <w:rPr>
          <w:spacing w:val="9"/>
        </w:rPr>
        <w:t xml:space="preserve"> </w:t>
      </w:r>
      <w:r w:rsidRPr="00312813">
        <w:lastRenderedPageBreak/>
        <w:t xml:space="preserve">y que el acto administrativo que la impone haya sido publicado en el Registro </w:t>
      </w:r>
      <w:r w:rsidR="00BF6D5B">
        <w:t>Ú</w:t>
      </w:r>
      <w:r w:rsidRPr="00312813">
        <w:t>nico de Proponentes</w:t>
      </w:r>
      <w:r w:rsidR="00E35B91" w:rsidRPr="00312813">
        <w:t xml:space="preserve">. Tales incumplimientos, de conformidad con la posición hermenéutica explicada y adoptada por el la Agencia Nacional de Contratación Pública, deberán ser posteriores al 25 de mayo de 2019, fecha de entrada en vigencia de la Ley 1955 de 2019. </w:t>
      </w:r>
    </w:p>
    <w:p w14:paraId="4C38EB51" w14:textId="376AAF2A" w:rsidR="00B75B2B" w:rsidRPr="00312813" w:rsidRDefault="00B75B2B" w:rsidP="00244069">
      <w:pPr>
        <w:pStyle w:val="Textoindependiente"/>
        <w:spacing w:before="93" w:line="278" w:lineRule="auto"/>
        <w:ind w:right="49" w:firstLine="708"/>
        <w:jc w:val="both"/>
        <w:rPr>
          <w:rFonts w:eastAsia="Calibri"/>
          <w:lang w:val="es-ES_tradnl"/>
        </w:rPr>
      </w:pPr>
    </w:p>
    <w:p w14:paraId="687CB649" w14:textId="77777777" w:rsidR="00A37FB6" w:rsidRPr="00312813" w:rsidRDefault="00A37FB6" w:rsidP="00F23E3A">
      <w:pPr>
        <w:pStyle w:val="Prrafodelista"/>
        <w:numPr>
          <w:ilvl w:val="0"/>
          <w:numId w:val="6"/>
        </w:numPr>
        <w:tabs>
          <w:tab w:val="left" w:pos="284"/>
        </w:tabs>
        <w:spacing w:line="276" w:lineRule="auto"/>
        <w:ind w:left="0" w:hanging="142"/>
        <w:jc w:val="both"/>
        <w:rPr>
          <w:rFonts w:ascii="Arial" w:eastAsia="Calibri" w:hAnsi="Arial" w:cs="Arial"/>
          <w:sz w:val="22"/>
        </w:rPr>
      </w:pPr>
      <w:r w:rsidRPr="00312813">
        <w:rPr>
          <w:rFonts w:ascii="Arial" w:eastAsia="Calibri" w:hAnsi="Arial" w:cs="Arial"/>
          <w:b/>
          <w:sz w:val="22"/>
        </w:rPr>
        <w:t>Respuestas</w:t>
      </w:r>
    </w:p>
    <w:p w14:paraId="1369FD7E" w14:textId="77777777" w:rsidR="00A37FB6" w:rsidRPr="00312813" w:rsidRDefault="00A37FB6" w:rsidP="00E35B91">
      <w:pPr>
        <w:ind w:left="709" w:right="709"/>
        <w:jc w:val="both"/>
        <w:rPr>
          <w:rFonts w:ascii="Arial" w:eastAsia="Calibri" w:hAnsi="Arial" w:cs="Arial"/>
          <w:iCs/>
          <w:sz w:val="22"/>
        </w:rPr>
      </w:pPr>
    </w:p>
    <w:p w14:paraId="5DC02FD3" w14:textId="77777777" w:rsidR="00E35B91" w:rsidRPr="00312813" w:rsidRDefault="00E35B91" w:rsidP="00E35B91">
      <w:pPr>
        <w:pStyle w:val="Default"/>
        <w:ind w:left="709" w:right="709"/>
        <w:jc w:val="both"/>
        <w:rPr>
          <w:rFonts w:ascii="Arial" w:eastAsia="Calibri" w:hAnsi="Arial" w:cs="Arial"/>
          <w:color w:val="auto"/>
          <w:sz w:val="21"/>
          <w:szCs w:val="21"/>
        </w:rPr>
      </w:pPr>
      <w:r w:rsidRPr="00312813">
        <w:rPr>
          <w:rFonts w:ascii="Arial" w:eastAsia="Calibri" w:hAnsi="Arial" w:cs="Arial"/>
          <w:color w:val="auto"/>
          <w:sz w:val="21"/>
          <w:szCs w:val="21"/>
        </w:rPr>
        <w:t>«</w:t>
      </w:r>
      <w:r w:rsidRPr="00312813">
        <w:rPr>
          <w:rFonts w:ascii="Arial" w:hAnsi="Arial" w:cs="Arial"/>
          <w:color w:val="auto"/>
          <w:sz w:val="21"/>
          <w:szCs w:val="21"/>
        </w:rPr>
        <w:t>Atendiendo principios generales del derecho como la irretroactividad de la ley y la interpretación restrictiva de las disposiciones legales referidas a inhabilidades, solicitamos que se precise la aplicación correcta del artículo 90 de la Ley 1474, modificado por el artículo 43 de la Ley 1955, cuando en el literal b señala “</w:t>
      </w:r>
      <w:r w:rsidRPr="00312813">
        <w:rPr>
          <w:rFonts w:ascii="Arial" w:hAnsi="Arial" w:cs="Arial"/>
          <w:i/>
          <w:iCs/>
          <w:color w:val="auto"/>
          <w:sz w:val="21"/>
          <w:szCs w:val="21"/>
        </w:rPr>
        <w:t>Haber sido objeto de declaratorias de incumplimiento contractual en por lo menos dos (2) contratos, con una o varias entidades estatales, durante los últimos tres (3) años</w:t>
      </w:r>
      <w:r w:rsidRPr="00312813">
        <w:rPr>
          <w:rFonts w:ascii="Arial" w:hAnsi="Arial" w:cs="Arial"/>
          <w:color w:val="auto"/>
          <w:sz w:val="21"/>
          <w:szCs w:val="21"/>
        </w:rPr>
        <w:t xml:space="preserve">”; en el sentido de establecer si los incumplimientos declarados con anterioridad a la vigencia de la Ley 1955, pueden ser tenidos en cuenta para que se configure la inhabilidad descrita. </w:t>
      </w:r>
      <w:proofErr w:type="gramStart"/>
      <w:r w:rsidRPr="00312813">
        <w:rPr>
          <w:rFonts w:ascii="Arial" w:hAnsi="Arial" w:cs="Arial"/>
          <w:color w:val="auto"/>
          <w:sz w:val="21"/>
          <w:szCs w:val="21"/>
        </w:rPr>
        <w:t>O</w:t>
      </w:r>
      <w:proofErr w:type="gramEnd"/>
      <w:r w:rsidRPr="00312813">
        <w:rPr>
          <w:rFonts w:ascii="Arial" w:hAnsi="Arial" w:cs="Arial"/>
          <w:color w:val="auto"/>
          <w:sz w:val="21"/>
          <w:szCs w:val="21"/>
        </w:rPr>
        <w:t xml:space="preserve"> por el contrario, los incumplimientos en por lo menos dos (2) contratos, para que se configure la inhabilidad, deben ser posteriores a la citada ley, y por ende los tres años se cuentan de igual forma, entre el 25 de mayo de 2019 y 25 de mayo de 2022</w:t>
      </w:r>
      <w:r w:rsidRPr="00312813">
        <w:rPr>
          <w:rFonts w:ascii="Arial" w:eastAsia="Calibri" w:hAnsi="Arial" w:cs="Arial"/>
          <w:color w:val="auto"/>
          <w:sz w:val="21"/>
          <w:szCs w:val="21"/>
        </w:rPr>
        <w:t xml:space="preserve">».  </w:t>
      </w:r>
    </w:p>
    <w:p w14:paraId="1D8EC610" w14:textId="354A8EC9" w:rsidR="00FA19FB" w:rsidRPr="00312813" w:rsidRDefault="007E0383" w:rsidP="007E0383">
      <w:pPr>
        <w:spacing w:line="276" w:lineRule="auto"/>
        <w:ind w:left="709" w:right="709"/>
        <w:jc w:val="both"/>
        <w:rPr>
          <w:rFonts w:ascii="Arial" w:eastAsia="Calibri" w:hAnsi="Arial" w:cs="Arial"/>
          <w:sz w:val="22"/>
          <w:lang w:val="es-ES_tradnl"/>
        </w:rPr>
      </w:pPr>
      <w:r w:rsidRPr="00312813">
        <w:rPr>
          <w:rFonts w:ascii="Arial" w:eastAsia="Calibri" w:hAnsi="Arial" w:cs="Arial"/>
          <w:sz w:val="22"/>
        </w:rPr>
        <w:t xml:space="preserve">  </w:t>
      </w:r>
    </w:p>
    <w:p w14:paraId="67A919B8" w14:textId="08CCAF10" w:rsidR="00E35B91" w:rsidRPr="00312813" w:rsidRDefault="00E35B91" w:rsidP="00E35B91">
      <w:pPr>
        <w:pStyle w:val="Textoindependiente"/>
        <w:spacing w:after="120" w:line="276" w:lineRule="auto"/>
        <w:jc w:val="both"/>
        <w:rPr>
          <w:i/>
        </w:rPr>
      </w:pPr>
      <w:r w:rsidRPr="00312813">
        <w:t xml:space="preserve">El artículo 43 de la Ley 1955 de 2019, que modificó el artículo 90 de la Ley 1474 de 2011, rige a partir de su </w:t>
      </w:r>
      <w:r w:rsidR="00A47A82">
        <w:t>expedición</w:t>
      </w:r>
      <w:r w:rsidRPr="00312813">
        <w:t>, lo que implica que las sanciones anteriores al 25 de mayo de 2019 no se deben acumular para configurar la inhabilidad por incumplimiento reiterado, a menos que durante la vigencia del artículo 90 de la Ley 1474 de 2011</w:t>
      </w:r>
      <w:r w:rsidR="00A47A82">
        <w:t xml:space="preserve"> -original- </w:t>
      </w:r>
      <w:r w:rsidRPr="00312813">
        <w:t>se haya consolidado la respectiva situación jurídica</w:t>
      </w:r>
      <w:r w:rsidR="00BF6D5B">
        <w:t>, dando lugar a la configuración de la inhabilidad</w:t>
      </w:r>
      <w:r w:rsidRPr="00312813">
        <w:t xml:space="preserve">. En este sentido, las sanciones impuestas y declaratorias de incumplimiento consolidadas con anterioridad a dicha fecha no deben tenerse en cuenta para determinar la configuración de la inhabilidad </w:t>
      </w:r>
      <w:r w:rsidR="002252E2">
        <w:t>bajo</w:t>
      </w:r>
      <w:r w:rsidR="00A47A82">
        <w:t xml:space="preserve"> </w:t>
      </w:r>
      <w:r w:rsidRPr="00312813">
        <w:t>el artículo 43</w:t>
      </w:r>
      <w:r w:rsidR="00EC187C">
        <w:t xml:space="preserve"> de la Ley 1955 de 2019</w:t>
      </w:r>
      <w:r w:rsidRPr="00312813">
        <w:rPr>
          <w:i/>
        </w:rPr>
        <w:t>.</w:t>
      </w:r>
    </w:p>
    <w:p w14:paraId="68A74D91" w14:textId="41A90D59" w:rsidR="00BF6D5B" w:rsidRDefault="00BF6D5B">
      <w:pPr>
        <w:pStyle w:val="Textoindependiente"/>
        <w:tabs>
          <w:tab w:val="left" w:pos="8505"/>
        </w:tabs>
        <w:spacing w:line="276" w:lineRule="auto"/>
        <w:ind w:firstLine="709"/>
        <w:jc w:val="both"/>
        <w:rPr>
          <w:rFonts w:asciiTheme="minorHAnsi" w:eastAsiaTheme="minorHAnsi" w:hAnsiTheme="minorHAnsi" w:cstheme="minorBidi"/>
          <w:sz w:val="24"/>
          <w:lang w:val="es-MX" w:eastAsia="en-US" w:bidi="ar-SA"/>
        </w:rPr>
      </w:pPr>
      <w:r w:rsidRPr="00244069">
        <w:t xml:space="preserve">En este orden, la inhabilidad por incumplimiento reiterado, prescrita en el artículo 90 de la Ley 1474 de 2011, modificado por el artículo 43 de la Ley 1955 de 2019, de conformidad con la posición hermenéutica explicada </w:t>
      </w:r>
      <w:r w:rsidR="00183832">
        <w:t>por</w:t>
      </w:r>
      <w:r w:rsidR="00D71042">
        <w:t xml:space="preserve"> </w:t>
      </w:r>
      <w:r w:rsidRPr="00244069">
        <w:t xml:space="preserve">e la Agencia Nacional de Contratación Pública, </w:t>
      </w:r>
      <w:r w:rsidR="00EC187C" w:rsidRPr="00244069">
        <w:t xml:space="preserve">aplica </w:t>
      </w:r>
      <w:r w:rsidR="002252E2" w:rsidRPr="00244069">
        <w:t>frente a</w:t>
      </w:r>
      <w:r w:rsidR="00EC187C" w:rsidRPr="00244069">
        <w:t xml:space="preserve"> </w:t>
      </w:r>
      <w:r w:rsidR="002252E2" w:rsidRPr="00244069">
        <w:t xml:space="preserve">incumplimientos y sanciones impuestas </w:t>
      </w:r>
      <w:r w:rsidR="00AB54B0">
        <w:t>con posterioridad</w:t>
      </w:r>
      <w:r w:rsidRPr="00244069">
        <w:t xml:space="preserve"> </w:t>
      </w:r>
      <w:r w:rsidR="00AB54B0">
        <w:t xml:space="preserve">al </w:t>
      </w:r>
      <w:r w:rsidRPr="00244069">
        <w:t>25 de mayo de 2019, fecha de entrada en vigencia de la Ley 1955 de 2019</w:t>
      </w:r>
      <w:r w:rsidR="009314A3" w:rsidRPr="00244069">
        <w:t>.</w:t>
      </w:r>
      <w:r w:rsidRPr="00244069">
        <w:t xml:space="preserve"> </w:t>
      </w:r>
    </w:p>
    <w:p w14:paraId="4F54478B" w14:textId="77777777" w:rsidR="00BF6D5B" w:rsidRDefault="00BF6D5B" w:rsidP="00056AFD">
      <w:pPr>
        <w:spacing w:line="276" w:lineRule="auto"/>
        <w:jc w:val="both"/>
        <w:rPr>
          <w:rFonts w:ascii="Arial" w:eastAsia="Calibri" w:hAnsi="Arial" w:cs="Arial"/>
          <w:sz w:val="22"/>
        </w:rPr>
      </w:pPr>
    </w:p>
    <w:p w14:paraId="5F0897B9" w14:textId="39B77D72" w:rsidR="00056AFD" w:rsidRPr="00312813" w:rsidRDefault="00A37FB6" w:rsidP="00056AFD">
      <w:pPr>
        <w:spacing w:line="276" w:lineRule="auto"/>
        <w:jc w:val="both"/>
        <w:rPr>
          <w:rFonts w:ascii="Arial" w:eastAsia="Arial" w:hAnsi="Arial" w:cs="Arial"/>
          <w:sz w:val="22"/>
          <w:lang w:val="es-ES" w:eastAsia="es-ES" w:bidi="es-ES"/>
        </w:rPr>
      </w:pPr>
      <w:r w:rsidRPr="00312813">
        <w:rPr>
          <w:rFonts w:ascii="Arial" w:eastAsia="Calibri" w:hAnsi="Arial" w:cs="Arial"/>
          <w:sz w:val="22"/>
        </w:rPr>
        <w:t>Este concepto tiene el alcance previsto en el artículo 28 del Código de Procedimiento Administrativo y de lo Contencioso Administrativo.</w:t>
      </w:r>
    </w:p>
    <w:p w14:paraId="67B1844C" w14:textId="5C8EC12C" w:rsidR="00056AFD" w:rsidRPr="00056AFD" w:rsidRDefault="00056AFD" w:rsidP="00056AFD">
      <w:pPr>
        <w:widowControl w:val="0"/>
        <w:autoSpaceDE w:val="0"/>
        <w:autoSpaceDN w:val="0"/>
        <w:spacing w:line="276" w:lineRule="auto"/>
        <w:rPr>
          <w:rFonts w:ascii="Arial" w:eastAsia="Arial" w:hAnsi="Arial" w:cs="Arial"/>
          <w:sz w:val="22"/>
          <w:lang w:val="es-ES" w:eastAsia="es-ES" w:bidi="es-ES"/>
        </w:rPr>
      </w:pPr>
    </w:p>
    <w:p w14:paraId="0507A9D4" w14:textId="1417F2B6" w:rsidR="00056AFD" w:rsidRPr="00056AFD" w:rsidRDefault="00056AFD" w:rsidP="00D112B4">
      <w:pPr>
        <w:widowControl w:val="0"/>
        <w:autoSpaceDE w:val="0"/>
        <w:autoSpaceDN w:val="0"/>
        <w:spacing w:line="276" w:lineRule="auto"/>
        <w:jc w:val="both"/>
        <w:rPr>
          <w:rFonts w:ascii="Arial" w:eastAsia="Arial" w:hAnsi="Arial" w:cs="Arial"/>
          <w:sz w:val="22"/>
          <w:lang w:val="es-ES" w:eastAsia="es-CO" w:bidi="es-ES"/>
        </w:rPr>
      </w:pPr>
      <w:bookmarkStart w:id="4" w:name="_Hlk50370367"/>
      <w:r w:rsidRPr="00056AFD">
        <w:rPr>
          <w:rFonts w:ascii="Arial" w:eastAsia="Arial" w:hAnsi="Arial" w:cs="Arial"/>
          <w:sz w:val="22"/>
          <w:lang w:val="es-ES" w:eastAsia="es-CO" w:bidi="es-ES"/>
        </w:rPr>
        <w:t>Atentamente,</w:t>
      </w:r>
      <w:bookmarkEnd w:id="4"/>
    </w:p>
    <w:p w14:paraId="120ACE0F" w14:textId="77777777" w:rsidR="00056AFD" w:rsidRPr="00056AFD" w:rsidRDefault="00056AFD" w:rsidP="00056AFD">
      <w:pPr>
        <w:widowControl w:val="0"/>
        <w:autoSpaceDE w:val="0"/>
        <w:autoSpaceDN w:val="0"/>
        <w:spacing w:after="18"/>
        <w:jc w:val="center"/>
        <w:rPr>
          <w:rFonts w:ascii="Arial" w:eastAsia="Arial" w:hAnsi="Arial" w:cs="Arial"/>
          <w:sz w:val="22"/>
          <w:lang w:val="es-ES" w:eastAsia="es-CO" w:bidi="es-ES"/>
        </w:rPr>
      </w:pPr>
    </w:p>
    <w:p w14:paraId="438FD716" w14:textId="6B958DD9" w:rsidR="00056AFD" w:rsidRPr="00056AFD" w:rsidRDefault="00D112B4" w:rsidP="00056AFD">
      <w:pPr>
        <w:widowControl w:val="0"/>
        <w:autoSpaceDE w:val="0"/>
        <w:autoSpaceDN w:val="0"/>
        <w:spacing w:after="18"/>
        <w:jc w:val="center"/>
        <w:rPr>
          <w:rFonts w:ascii="Arial" w:eastAsia="Arial" w:hAnsi="Arial" w:cs="Arial"/>
          <w:sz w:val="22"/>
          <w:lang w:val="es-ES" w:eastAsia="es-CO" w:bidi="es-ES"/>
        </w:rPr>
      </w:pPr>
      <w:r>
        <w:rPr>
          <w:noProof/>
        </w:rPr>
        <w:lastRenderedPageBreak/>
        <w:drawing>
          <wp:inline distT="0" distB="0" distL="0" distR="0" wp14:anchorId="636FA801" wp14:editId="4D8D170A">
            <wp:extent cx="2371725" cy="1000125"/>
            <wp:effectExtent l="0" t="0" r="0" b="0"/>
            <wp:docPr id="668156037" name="Imagen 66815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536DC263" w14:textId="77777777" w:rsidR="00056AFD" w:rsidRPr="00056AFD" w:rsidRDefault="00056AFD" w:rsidP="00056AFD">
      <w:pPr>
        <w:widowControl w:val="0"/>
        <w:autoSpaceDE w:val="0"/>
        <w:autoSpaceDN w:val="0"/>
        <w:spacing w:after="18"/>
        <w:jc w:val="center"/>
        <w:rPr>
          <w:rFonts w:ascii="Arial" w:eastAsia="Arial" w:hAnsi="Arial" w:cs="Arial"/>
          <w:sz w:val="22"/>
          <w:lang w:val="es-ES" w:eastAsia="es-CO"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312813" w:rsidRPr="00056AFD" w14:paraId="463D1F7B" w14:textId="77777777" w:rsidTr="001A2C62">
        <w:trPr>
          <w:trHeight w:val="286"/>
        </w:trPr>
        <w:tc>
          <w:tcPr>
            <w:tcW w:w="817" w:type="dxa"/>
            <w:vAlign w:val="center"/>
            <w:hideMark/>
          </w:tcPr>
          <w:p w14:paraId="34C730C6"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Elaboró:</w:t>
            </w:r>
          </w:p>
        </w:tc>
        <w:tc>
          <w:tcPr>
            <w:tcW w:w="4003" w:type="dxa"/>
            <w:tcBorders>
              <w:top w:val="nil"/>
              <w:left w:val="nil"/>
              <w:bottom w:val="dotted" w:sz="4" w:space="0" w:color="7F7F7F"/>
              <w:right w:val="nil"/>
            </w:tcBorders>
            <w:vAlign w:val="center"/>
            <w:hideMark/>
          </w:tcPr>
          <w:p w14:paraId="58A6E97B"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Alejandro Sarmiento Cantillo</w:t>
            </w:r>
          </w:p>
          <w:p w14:paraId="1657ED73"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Gestor T1-11 de la Subdirección de Gestión Contractual</w:t>
            </w:r>
          </w:p>
        </w:tc>
      </w:tr>
      <w:tr w:rsidR="00312813" w:rsidRPr="00056AFD" w14:paraId="4DDEFF27" w14:textId="77777777" w:rsidTr="001A2C62">
        <w:trPr>
          <w:trHeight w:val="299"/>
        </w:trPr>
        <w:tc>
          <w:tcPr>
            <w:tcW w:w="817" w:type="dxa"/>
            <w:vAlign w:val="center"/>
            <w:hideMark/>
          </w:tcPr>
          <w:p w14:paraId="31ED8F32"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019B3F05"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Sebastián Ramírez Grisales</w:t>
            </w:r>
          </w:p>
          <w:p w14:paraId="3BCD4BBA"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 xml:space="preserve">Gestor T1-15 de la Subdirección de Gestión Contractual  </w:t>
            </w:r>
          </w:p>
        </w:tc>
      </w:tr>
      <w:tr w:rsidR="00312813" w:rsidRPr="00056AFD" w14:paraId="501701A7" w14:textId="77777777" w:rsidTr="001A2C62">
        <w:trPr>
          <w:trHeight w:val="272"/>
        </w:trPr>
        <w:tc>
          <w:tcPr>
            <w:tcW w:w="817" w:type="dxa"/>
            <w:vAlign w:val="center"/>
            <w:hideMark/>
          </w:tcPr>
          <w:p w14:paraId="7EEF65A3"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Aprobó:</w:t>
            </w:r>
          </w:p>
        </w:tc>
        <w:tc>
          <w:tcPr>
            <w:tcW w:w="4003" w:type="dxa"/>
            <w:tcBorders>
              <w:top w:val="dotted" w:sz="4" w:space="0" w:color="7F7F7F"/>
              <w:left w:val="nil"/>
              <w:bottom w:val="dotted" w:sz="4" w:space="0" w:color="7F7F7F"/>
              <w:right w:val="nil"/>
            </w:tcBorders>
            <w:vAlign w:val="center"/>
            <w:hideMark/>
          </w:tcPr>
          <w:p w14:paraId="411B22B0"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Jorge Augusto Tirado Navarro</w:t>
            </w:r>
          </w:p>
          <w:p w14:paraId="490E992C" w14:textId="77777777" w:rsidR="00056AFD" w:rsidRPr="00056AFD" w:rsidRDefault="00056AFD" w:rsidP="00056AFD">
            <w:pPr>
              <w:rPr>
                <w:rFonts w:ascii="Arial" w:eastAsia="Arial" w:hAnsi="Arial" w:cs="Arial"/>
                <w:sz w:val="14"/>
                <w:szCs w:val="14"/>
                <w:lang w:val="es-ES" w:eastAsia="es-ES" w:bidi="es-ES"/>
              </w:rPr>
            </w:pPr>
            <w:r w:rsidRPr="00056AFD">
              <w:rPr>
                <w:rFonts w:ascii="Arial" w:eastAsia="Arial" w:hAnsi="Arial" w:cs="Arial"/>
                <w:sz w:val="14"/>
                <w:szCs w:val="14"/>
                <w:lang w:val="es-ES" w:eastAsia="es-ES" w:bidi="es-ES"/>
              </w:rPr>
              <w:t>Subdirector de Gestión Contractual</w:t>
            </w:r>
          </w:p>
        </w:tc>
      </w:tr>
    </w:tbl>
    <w:p w14:paraId="1DA74740" w14:textId="77777777" w:rsidR="00056AFD" w:rsidRPr="00056AFD" w:rsidRDefault="00056AFD" w:rsidP="00056AFD">
      <w:pPr>
        <w:widowControl w:val="0"/>
        <w:autoSpaceDE w:val="0"/>
        <w:autoSpaceDN w:val="0"/>
        <w:spacing w:after="18"/>
        <w:jc w:val="center"/>
        <w:rPr>
          <w:rFonts w:ascii="Arial" w:eastAsia="Arial" w:hAnsi="Arial" w:cs="Arial"/>
          <w:sz w:val="22"/>
          <w:lang w:val="es-ES" w:eastAsia="es-CO" w:bidi="es-ES"/>
        </w:rPr>
      </w:pPr>
    </w:p>
    <w:p w14:paraId="35652516" w14:textId="77777777" w:rsidR="00056AFD" w:rsidRPr="00056AFD" w:rsidRDefault="00056AFD" w:rsidP="00056AFD">
      <w:pPr>
        <w:widowControl w:val="0"/>
        <w:autoSpaceDE w:val="0"/>
        <w:autoSpaceDN w:val="0"/>
        <w:rPr>
          <w:rFonts w:ascii="Arial" w:eastAsia="Arial" w:hAnsi="Arial" w:cs="Arial"/>
          <w:sz w:val="22"/>
          <w:lang w:val="es-ES" w:eastAsia="es-ES" w:bidi="es-ES"/>
        </w:rPr>
      </w:pPr>
    </w:p>
    <w:p w14:paraId="044C97BC" w14:textId="77777777" w:rsidR="00056AFD" w:rsidRPr="00056AFD" w:rsidRDefault="00056AFD" w:rsidP="00056AFD">
      <w:pPr>
        <w:widowControl w:val="0"/>
        <w:autoSpaceDE w:val="0"/>
        <w:autoSpaceDN w:val="0"/>
        <w:rPr>
          <w:rFonts w:ascii="Arial" w:eastAsia="Arial" w:hAnsi="Arial" w:cs="Arial"/>
          <w:sz w:val="22"/>
          <w:lang w:val="es-ES" w:eastAsia="es-ES" w:bidi="es-ES"/>
        </w:rPr>
      </w:pPr>
    </w:p>
    <w:p w14:paraId="0965B981" w14:textId="77777777" w:rsidR="00056AFD" w:rsidRPr="00056AFD" w:rsidRDefault="00056AFD" w:rsidP="00056AFD">
      <w:pPr>
        <w:widowControl w:val="0"/>
        <w:autoSpaceDE w:val="0"/>
        <w:autoSpaceDN w:val="0"/>
        <w:spacing w:line="276" w:lineRule="auto"/>
        <w:jc w:val="both"/>
        <w:rPr>
          <w:rFonts w:ascii="Arial" w:eastAsia="Times New Roman" w:hAnsi="Arial" w:cs="Arial"/>
          <w:sz w:val="18"/>
          <w:szCs w:val="18"/>
          <w:lang w:val="es-ES_tradnl" w:eastAsia="es-CO" w:bidi="es-ES"/>
        </w:rPr>
      </w:pPr>
    </w:p>
    <w:p w14:paraId="1E8A31CD" w14:textId="77777777" w:rsidR="00056AFD" w:rsidRPr="00056AFD" w:rsidRDefault="00056AFD" w:rsidP="00056AFD">
      <w:pPr>
        <w:widowControl w:val="0"/>
        <w:autoSpaceDE w:val="0"/>
        <w:autoSpaceDN w:val="0"/>
        <w:spacing w:line="276" w:lineRule="auto"/>
        <w:jc w:val="both"/>
        <w:rPr>
          <w:rFonts w:ascii="Arial" w:eastAsia="Times New Roman" w:hAnsi="Arial" w:cs="Arial"/>
          <w:sz w:val="18"/>
          <w:szCs w:val="18"/>
          <w:lang w:val="es-ES_tradnl" w:eastAsia="es-CO" w:bidi="es-ES"/>
        </w:rPr>
      </w:pPr>
    </w:p>
    <w:bookmarkEnd w:id="2"/>
    <w:p w14:paraId="35B56F46" w14:textId="36A55832" w:rsidR="00746E08" w:rsidRPr="00312813" w:rsidRDefault="00746E08" w:rsidP="00056AFD">
      <w:pPr>
        <w:spacing w:line="276" w:lineRule="auto"/>
        <w:jc w:val="both"/>
        <w:rPr>
          <w:rFonts w:ascii="Arial" w:eastAsia="Times New Roman" w:hAnsi="Arial" w:cs="Arial"/>
          <w:sz w:val="16"/>
          <w:szCs w:val="16"/>
          <w:lang w:eastAsia="es-ES"/>
        </w:rPr>
      </w:pPr>
    </w:p>
    <w:sectPr w:rsidR="00746E08" w:rsidRPr="0031281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869E1" w14:textId="77777777" w:rsidR="006E096A" w:rsidRDefault="006E096A">
      <w:r>
        <w:separator/>
      </w:r>
    </w:p>
  </w:endnote>
  <w:endnote w:type="continuationSeparator" w:id="0">
    <w:p w14:paraId="1AD4C43D" w14:textId="77777777" w:rsidR="006E096A" w:rsidRDefault="006E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751F1" w:rsidRDefault="008751F1" w:rsidP="00322937">
    <w:pPr>
      <w:pStyle w:val="Sinespaciado"/>
      <w:jc w:val="right"/>
      <w:rPr>
        <w:rFonts w:ascii="Arial" w:hAnsi="Arial" w:cs="Arial"/>
        <w:sz w:val="18"/>
        <w:szCs w:val="18"/>
      </w:rPr>
    </w:pPr>
  </w:p>
  <w:p w14:paraId="7A3785F3" w14:textId="2EF28465" w:rsidR="008751F1" w:rsidRPr="008217B7" w:rsidRDefault="008751F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8751F1" w:rsidRDefault="008751F1"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751F1" w:rsidRDefault="008751F1" w:rsidP="007B0854">
    <w:pPr>
      <w:pStyle w:val="Piedepgina"/>
      <w:jc w:val="center"/>
      <w:rPr>
        <w:lang w:val="es-ES"/>
      </w:rPr>
    </w:pPr>
  </w:p>
  <w:p w14:paraId="6C0EFC49" w14:textId="77777777" w:rsidR="008751F1" w:rsidRPr="007B0854" w:rsidRDefault="008751F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7FC0" w14:textId="77777777" w:rsidR="006E096A" w:rsidRDefault="006E096A">
      <w:r>
        <w:separator/>
      </w:r>
    </w:p>
  </w:footnote>
  <w:footnote w:type="continuationSeparator" w:id="0">
    <w:p w14:paraId="58B02694" w14:textId="77777777" w:rsidR="006E096A" w:rsidRDefault="006E096A">
      <w:r>
        <w:continuationSeparator/>
      </w:r>
    </w:p>
  </w:footnote>
  <w:footnote w:id="1">
    <w:p w14:paraId="05E5404E" w14:textId="77777777" w:rsidR="008751F1" w:rsidRPr="00312813" w:rsidRDefault="008751F1" w:rsidP="003337A1">
      <w:pPr>
        <w:pStyle w:val="Textonotapie"/>
        <w:ind w:firstLine="709"/>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46E09161" w14:textId="77777777" w:rsidR="008751F1" w:rsidRPr="00312813" w:rsidRDefault="008751F1" w:rsidP="003337A1">
      <w:pPr>
        <w:pStyle w:val="Textonotapie"/>
        <w:ind w:firstLine="709"/>
        <w:jc w:val="both"/>
        <w:rPr>
          <w:rFonts w:ascii="Arial" w:hAnsi="Arial" w:cs="Arial"/>
          <w:sz w:val="19"/>
          <w:szCs w:val="19"/>
        </w:rPr>
      </w:pPr>
      <w:proofErr w:type="gramStart"/>
      <w:r w:rsidRPr="00312813">
        <w:rPr>
          <w:rFonts w:ascii="Arial" w:hAnsi="Arial" w:cs="Arial"/>
          <w:sz w:val="19"/>
          <w:szCs w:val="19"/>
        </w:rPr>
        <w:t>»Las</w:t>
      </w:r>
      <w:proofErr w:type="gramEnd"/>
      <w:r w:rsidRPr="00312813">
        <w:rPr>
          <w:rFonts w:ascii="Arial" w:hAnsi="Arial" w:cs="Arial"/>
          <w:sz w:val="19"/>
          <w:szCs w:val="19"/>
        </w:rPr>
        <w:t xml:space="preserve"> personas jurídicas nacionales y extranjeras deberán acreditar que su duración no será inferior a la del plazo del contrato y un año más».</w:t>
      </w:r>
    </w:p>
    <w:p w14:paraId="3036140D" w14:textId="77777777" w:rsidR="008751F1" w:rsidRPr="00312813" w:rsidRDefault="008751F1" w:rsidP="003337A1">
      <w:pPr>
        <w:pStyle w:val="Textonotapie"/>
        <w:ind w:firstLine="709"/>
        <w:jc w:val="both"/>
        <w:rPr>
          <w:rFonts w:ascii="Arial" w:hAnsi="Arial" w:cs="Arial"/>
          <w:sz w:val="19"/>
          <w:szCs w:val="19"/>
        </w:rPr>
      </w:pPr>
    </w:p>
  </w:footnote>
  <w:footnote w:id="2">
    <w:p w14:paraId="25ABFA16" w14:textId="77777777" w:rsidR="008751F1" w:rsidRPr="00312813" w:rsidRDefault="008751F1" w:rsidP="003337A1">
      <w:pPr>
        <w:pStyle w:val="Textonotapie"/>
        <w:ind w:firstLine="709"/>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51A5DCC8" w14:textId="77777777" w:rsidR="008751F1" w:rsidRPr="00312813" w:rsidRDefault="008751F1" w:rsidP="003337A1">
      <w:pPr>
        <w:pStyle w:val="Textonotapie"/>
        <w:ind w:firstLine="709"/>
        <w:jc w:val="both"/>
        <w:rPr>
          <w:rFonts w:ascii="Arial" w:hAnsi="Arial" w:cs="Arial"/>
          <w:sz w:val="19"/>
          <w:szCs w:val="19"/>
        </w:rPr>
      </w:pPr>
      <w:proofErr w:type="gramStart"/>
      <w:r w:rsidRPr="00312813">
        <w:rPr>
          <w:rFonts w:ascii="Arial" w:hAnsi="Arial" w:cs="Arial"/>
          <w:sz w:val="19"/>
          <w:szCs w:val="19"/>
        </w:rPr>
        <w:t>»1o.</w:t>
      </w:r>
      <w:proofErr w:type="gramEnd"/>
      <w:r w:rsidRPr="00312813">
        <w:rPr>
          <w:rFonts w:ascii="Arial" w:hAnsi="Arial" w:cs="Arial"/>
          <w:sz w:val="19"/>
          <w:szCs w:val="19"/>
        </w:rPr>
        <w:t>) que sea legalmente capaz.</w:t>
      </w:r>
    </w:p>
    <w:p w14:paraId="6313C6BC" w14:textId="77777777" w:rsidR="008751F1" w:rsidRPr="00312813" w:rsidRDefault="008751F1" w:rsidP="003337A1">
      <w:pPr>
        <w:pStyle w:val="Textonotapie"/>
        <w:ind w:firstLine="709"/>
        <w:jc w:val="both"/>
        <w:rPr>
          <w:rFonts w:ascii="Arial" w:hAnsi="Arial" w:cs="Arial"/>
          <w:sz w:val="19"/>
          <w:szCs w:val="19"/>
        </w:rPr>
      </w:pPr>
      <w:r w:rsidRPr="00312813">
        <w:rPr>
          <w:rFonts w:ascii="Arial" w:hAnsi="Arial" w:cs="Arial"/>
          <w:sz w:val="19"/>
          <w:szCs w:val="19"/>
        </w:rPr>
        <w:t>[…]</w:t>
      </w:r>
    </w:p>
    <w:p w14:paraId="08BC1196" w14:textId="77777777" w:rsidR="008751F1" w:rsidRPr="00312813" w:rsidRDefault="008751F1" w:rsidP="003337A1">
      <w:pPr>
        <w:pStyle w:val="Textonotapie"/>
        <w:ind w:firstLine="709"/>
        <w:jc w:val="both"/>
        <w:rPr>
          <w:rFonts w:ascii="Arial" w:hAnsi="Arial" w:cs="Arial"/>
          <w:sz w:val="19"/>
          <w:szCs w:val="19"/>
        </w:rPr>
      </w:pPr>
      <w:proofErr w:type="gramStart"/>
      <w:r w:rsidRPr="00312813">
        <w:rPr>
          <w:rFonts w:ascii="Arial" w:hAnsi="Arial" w:cs="Arial"/>
          <w:sz w:val="19"/>
          <w:szCs w:val="19"/>
        </w:rPr>
        <w:t>»La</w:t>
      </w:r>
      <w:proofErr w:type="gramEnd"/>
      <w:r w:rsidRPr="00312813">
        <w:rPr>
          <w:rFonts w:ascii="Arial" w:hAnsi="Arial" w:cs="Arial"/>
          <w:sz w:val="19"/>
          <w:szCs w:val="19"/>
        </w:rPr>
        <w:t xml:space="preserve"> capacidad legal de una persona consiste en poderse obligar por sí misma, sin el ministerio o la autorización de otra».</w:t>
      </w:r>
    </w:p>
    <w:p w14:paraId="31FB6190" w14:textId="77777777" w:rsidR="008751F1" w:rsidRPr="00312813" w:rsidRDefault="008751F1" w:rsidP="003337A1">
      <w:pPr>
        <w:pStyle w:val="Textonotapie"/>
        <w:ind w:firstLine="709"/>
        <w:jc w:val="both"/>
        <w:rPr>
          <w:rFonts w:ascii="Arial" w:hAnsi="Arial" w:cs="Arial"/>
          <w:sz w:val="19"/>
          <w:szCs w:val="19"/>
          <w:lang w:val="es-CO"/>
        </w:rPr>
      </w:pPr>
    </w:p>
  </w:footnote>
  <w:footnote w:id="3">
    <w:p w14:paraId="726D63A3" w14:textId="77777777" w:rsidR="008751F1" w:rsidRPr="00312813" w:rsidRDefault="008751F1" w:rsidP="003337A1">
      <w:pPr>
        <w:pStyle w:val="Textonotapie"/>
        <w:ind w:firstLine="709"/>
        <w:jc w:val="both"/>
        <w:rPr>
          <w:rFonts w:ascii="Arial" w:hAnsi="Arial" w:cs="Arial"/>
          <w:sz w:val="19"/>
          <w:szCs w:val="19"/>
          <w:lang w:val="es-ES"/>
        </w:rPr>
      </w:pPr>
      <w:r w:rsidRPr="00312813">
        <w:rPr>
          <w:rStyle w:val="Refdenotaalpie"/>
          <w:rFonts w:ascii="Arial" w:hAnsi="Arial" w:cs="Arial"/>
          <w:sz w:val="19"/>
          <w:szCs w:val="19"/>
        </w:rPr>
        <w:footnoteRef/>
      </w:r>
      <w:r w:rsidRPr="00312813">
        <w:rPr>
          <w:rFonts w:ascii="Arial" w:hAnsi="Arial" w:cs="Arial"/>
          <w:sz w:val="19"/>
          <w:szCs w:val="19"/>
        </w:rPr>
        <w:t xml:space="preserve"> </w:t>
      </w:r>
      <w:r w:rsidRPr="00312813">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312813">
        <w:rPr>
          <w:rFonts w:ascii="Arial" w:hAnsi="Arial" w:cs="Arial"/>
          <w:i/>
          <w:iCs/>
          <w:sz w:val="19"/>
          <w:szCs w:val="19"/>
          <w:lang w:val="es-ES"/>
        </w:rPr>
        <w:t>el régimen de inhabilidades e incompatibilidades</w:t>
      </w:r>
      <w:r w:rsidRPr="00312813">
        <w:rPr>
          <w:rFonts w:ascii="Arial" w:hAnsi="Arial" w:cs="Arial"/>
          <w:sz w:val="19"/>
          <w:szCs w:val="19"/>
          <w:lang w:val="es-ES"/>
        </w:rPr>
        <w:t xml:space="preserve"> (1) y la obligación de ciertos proponentes de inscribirse en el </w:t>
      </w:r>
      <w:r w:rsidRPr="00312813">
        <w:rPr>
          <w:rFonts w:ascii="Arial" w:hAnsi="Arial" w:cs="Arial"/>
          <w:i/>
          <w:iCs/>
          <w:sz w:val="19"/>
          <w:szCs w:val="19"/>
          <w:lang w:val="es-ES"/>
        </w:rPr>
        <w:t>registro único</w:t>
      </w:r>
      <w:r w:rsidRPr="00312813">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69944C70" w14:textId="77777777" w:rsidR="008751F1" w:rsidRPr="00312813" w:rsidRDefault="008751F1" w:rsidP="003337A1">
      <w:pPr>
        <w:pStyle w:val="Textonotapie"/>
        <w:ind w:firstLine="709"/>
        <w:jc w:val="both"/>
        <w:rPr>
          <w:rFonts w:ascii="Arial" w:hAnsi="Arial" w:cs="Arial"/>
          <w:sz w:val="19"/>
          <w:szCs w:val="19"/>
          <w:lang w:val="es-ES"/>
        </w:rPr>
      </w:pPr>
    </w:p>
  </w:footnote>
  <w:footnote w:id="4">
    <w:p w14:paraId="55D9CD2C" w14:textId="77777777" w:rsidR="008751F1" w:rsidRPr="00312813" w:rsidRDefault="008751F1" w:rsidP="003337A1">
      <w:pPr>
        <w:pStyle w:val="Textonotapie"/>
        <w:ind w:firstLine="709"/>
        <w:jc w:val="both"/>
        <w:rPr>
          <w:rFonts w:ascii="Arial" w:hAnsi="Arial" w:cs="Arial"/>
          <w:sz w:val="19"/>
          <w:szCs w:val="19"/>
          <w:lang w:val="es-ES"/>
        </w:rPr>
      </w:pPr>
      <w:r w:rsidRPr="00312813">
        <w:rPr>
          <w:rStyle w:val="Refdenotaalpie"/>
          <w:rFonts w:ascii="Arial" w:hAnsi="Arial" w:cs="Arial"/>
          <w:sz w:val="19"/>
          <w:szCs w:val="19"/>
        </w:rPr>
        <w:footnoteRef/>
      </w:r>
      <w:r w:rsidRPr="00312813">
        <w:rPr>
          <w:rFonts w:ascii="Arial" w:hAnsi="Arial" w:cs="Arial"/>
          <w:sz w:val="19"/>
          <w:szCs w:val="19"/>
        </w:rPr>
        <w:t xml:space="preserve"> </w:t>
      </w:r>
      <w:r w:rsidRPr="00312813">
        <w:rPr>
          <w:rFonts w:ascii="Arial" w:hAnsi="Arial" w:cs="Arial"/>
          <w:sz w:val="19"/>
          <w:szCs w:val="19"/>
          <w:lang w:val="es-ES"/>
        </w:rPr>
        <w:t xml:space="preserve">BARRETO ROZO, Antonio Alejandro. Inhabilidades de la contratación estatal, efectos y </w:t>
      </w:r>
      <w:proofErr w:type="spellStart"/>
      <w:r w:rsidRPr="00312813">
        <w:rPr>
          <w:rFonts w:ascii="Arial" w:hAnsi="Arial" w:cs="Arial"/>
          <w:sz w:val="19"/>
          <w:szCs w:val="19"/>
          <w:lang w:val="es-ES"/>
        </w:rPr>
        <w:t>neopunitivismo</w:t>
      </w:r>
      <w:proofErr w:type="spellEnd"/>
      <w:r w:rsidRPr="00312813">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p w14:paraId="1FA0F325" w14:textId="77777777" w:rsidR="008751F1" w:rsidRPr="00312813" w:rsidRDefault="008751F1" w:rsidP="003337A1">
      <w:pPr>
        <w:pStyle w:val="Textonotapie"/>
        <w:ind w:firstLine="709"/>
        <w:jc w:val="both"/>
        <w:rPr>
          <w:rFonts w:ascii="Arial" w:hAnsi="Arial" w:cs="Arial"/>
          <w:sz w:val="19"/>
          <w:szCs w:val="19"/>
          <w:lang w:val="es-ES"/>
        </w:rPr>
      </w:pPr>
    </w:p>
  </w:footnote>
  <w:footnote w:id="5">
    <w:p w14:paraId="7C9C83F7" w14:textId="77777777" w:rsidR="008751F1" w:rsidRPr="00312813" w:rsidRDefault="008751F1" w:rsidP="003337A1">
      <w:pPr>
        <w:pStyle w:val="Textonotapie"/>
        <w:ind w:firstLine="709"/>
        <w:jc w:val="both"/>
        <w:rPr>
          <w:rFonts w:ascii="Arial" w:hAnsi="Arial" w:cs="Arial"/>
          <w:sz w:val="19"/>
          <w:szCs w:val="19"/>
          <w:lang w:val="es-ES"/>
        </w:rPr>
      </w:pPr>
      <w:r w:rsidRPr="00312813">
        <w:rPr>
          <w:rStyle w:val="Refdenotaalpie"/>
          <w:rFonts w:ascii="Arial" w:hAnsi="Arial" w:cs="Arial"/>
          <w:sz w:val="19"/>
          <w:szCs w:val="19"/>
        </w:rPr>
        <w:footnoteRef/>
      </w:r>
      <w:r w:rsidRPr="00312813">
        <w:rPr>
          <w:rFonts w:ascii="Arial" w:hAnsi="Arial" w:cs="Arial"/>
          <w:sz w:val="19"/>
          <w:szCs w:val="19"/>
        </w:rPr>
        <w:t xml:space="preserve"> </w:t>
      </w:r>
      <w:proofErr w:type="spellStart"/>
      <w:r w:rsidRPr="00312813">
        <w:rPr>
          <w:rFonts w:ascii="Arial" w:hAnsi="Arial" w:cs="Arial"/>
          <w:sz w:val="19"/>
          <w:szCs w:val="19"/>
          <w:lang w:val="es-ES"/>
        </w:rPr>
        <w:t>Ibíd</w:t>
      </w:r>
      <w:proofErr w:type="spellEnd"/>
      <w:r w:rsidRPr="00312813">
        <w:rPr>
          <w:rFonts w:ascii="Arial" w:hAnsi="Arial" w:cs="Arial"/>
          <w:sz w:val="19"/>
          <w:szCs w:val="19"/>
          <w:lang w:val="es-ES"/>
        </w:rPr>
        <w:t>., p. 69.</w:t>
      </w:r>
    </w:p>
    <w:p w14:paraId="1B7F9D68" w14:textId="77777777" w:rsidR="008751F1" w:rsidRPr="00312813" w:rsidRDefault="008751F1" w:rsidP="003337A1">
      <w:pPr>
        <w:pStyle w:val="Textonotapie"/>
        <w:ind w:firstLine="709"/>
        <w:jc w:val="both"/>
        <w:rPr>
          <w:rFonts w:ascii="Arial" w:hAnsi="Arial" w:cs="Arial"/>
          <w:sz w:val="19"/>
          <w:szCs w:val="19"/>
          <w:lang w:val="es-ES"/>
        </w:rPr>
      </w:pPr>
    </w:p>
  </w:footnote>
  <w:footnote w:id="6">
    <w:p w14:paraId="09C6703B" w14:textId="19731D08" w:rsidR="008751F1" w:rsidRPr="00312813" w:rsidRDefault="008751F1" w:rsidP="003337A1">
      <w:pPr>
        <w:pStyle w:val="Textonotapie"/>
        <w:ind w:firstLine="709"/>
        <w:jc w:val="both"/>
        <w:rPr>
          <w:rFonts w:ascii="Arial" w:hAnsi="Arial" w:cs="Arial"/>
          <w:sz w:val="19"/>
          <w:szCs w:val="19"/>
          <w:lang w:val="es-ES"/>
        </w:rPr>
      </w:pPr>
      <w:r w:rsidRPr="00312813">
        <w:rPr>
          <w:rStyle w:val="Refdenotaalpie"/>
          <w:rFonts w:ascii="Arial" w:hAnsi="Arial" w:cs="Arial"/>
          <w:sz w:val="19"/>
          <w:szCs w:val="19"/>
        </w:rPr>
        <w:footnoteRef/>
      </w:r>
      <w:r w:rsidRPr="00312813">
        <w:rPr>
          <w:rFonts w:ascii="Arial" w:hAnsi="Arial" w:cs="Arial"/>
          <w:sz w:val="19"/>
          <w:szCs w:val="19"/>
        </w:rPr>
        <w:t xml:space="preserve"> </w:t>
      </w:r>
      <w:r w:rsidRPr="00312813">
        <w:rPr>
          <w:rFonts w:ascii="Arial" w:hAnsi="Arial" w:cs="Arial"/>
          <w:sz w:val="19"/>
          <w:szCs w:val="19"/>
          <w:lang w:val="es-ES"/>
        </w:rPr>
        <w:t xml:space="preserve">CORTE CONSTITUCIONAL. Sentencia T-1039 de 2006. M.P. Humberto Sierra Porto. La Corte ha mantenido este criterio en las sentencias: C-903 de 2008. M.P. Jaime Araujo Rentería; C-101 de 2018. M. P. Gloria Stella Ortiz Delgado; entre otras. </w:t>
      </w:r>
    </w:p>
    <w:p w14:paraId="1CCC4BEC" w14:textId="77777777" w:rsidR="008751F1" w:rsidRPr="00312813" w:rsidRDefault="008751F1" w:rsidP="003337A1">
      <w:pPr>
        <w:pStyle w:val="Textonotapie"/>
        <w:ind w:firstLine="709"/>
        <w:jc w:val="both"/>
        <w:rPr>
          <w:rFonts w:ascii="Arial" w:hAnsi="Arial" w:cs="Arial"/>
          <w:sz w:val="19"/>
          <w:szCs w:val="19"/>
          <w:lang w:val="es-ES"/>
        </w:rPr>
      </w:pPr>
    </w:p>
  </w:footnote>
  <w:footnote w:id="7">
    <w:p w14:paraId="648950F5" w14:textId="56E10074" w:rsidR="008751F1" w:rsidRPr="00312813" w:rsidRDefault="008751F1" w:rsidP="003337A1">
      <w:pPr>
        <w:pStyle w:val="Textonotapie"/>
        <w:ind w:firstLine="709"/>
        <w:jc w:val="both"/>
        <w:rPr>
          <w:rFonts w:ascii="Arial" w:hAnsi="Arial" w:cs="Arial"/>
          <w:sz w:val="19"/>
          <w:szCs w:val="19"/>
          <w:lang w:val="es-ES"/>
        </w:rPr>
      </w:pPr>
      <w:r w:rsidRPr="00312813">
        <w:rPr>
          <w:rStyle w:val="Refdenotaalpie"/>
          <w:rFonts w:ascii="Arial" w:hAnsi="Arial" w:cs="Arial"/>
          <w:sz w:val="19"/>
          <w:szCs w:val="19"/>
        </w:rPr>
        <w:footnoteRef/>
      </w:r>
      <w:r w:rsidRPr="00312813">
        <w:rPr>
          <w:rFonts w:ascii="Arial" w:hAnsi="Arial" w:cs="Arial"/>
          <w:sz w:val="19"/>
          <w:szCs w:val="19"/>
        </w:rPr>
        <w:t xml:space="preserve"> </w:t>
      </w:r>
      <w:r w:rsidRPr="00312813">
        <w:rPr>
          <w:rFonts w:ascii="Arial" w:hAnsi="Arial" w:cs="Arial"/>
          <w:sz w:val="19"/>
          <w:szCs w:val="19"/>
          <w:lang w:val="es-ES"/>
        </w:rPr>
        <w:t xml:space="preserve">CONSEJO DE ESTADO. Sala de Consulta y Servicio Civil. Concepto del 30 de abril de 2015. Expediente: 2251. Consejero Ponente: Álvaro </w:t>
      </w:r>
      <w:proofErr w:type="spellStart"/>
      <w:r w:rsidRPr="00312813">
        <w:rPr>
          <w:rFonts w:ascii="Arial" w:hAnsi="Arial" w:cs="Arial"/>
          <w:sz w:val="19"/>
          <w:szCs w:val="19"/>
          <w:lang w:val="es-ES"/>
        </w:rPr>
        <w:t>Namén</w:t>
      </w:r>
      <w:proofErr w:type="spellEnd"/>
      <w:r w:rsidRPr="00312813">
        <w:rPr>
          <w:rFonts w:ascii="Arial" w:hAnsi="Arial" w:cs="Arial"/>
          <w:sz w:val="19"/>
          <w:szCs w:val="19"/>
          <w:lang w:val="es-ES"/>
        </w:rPr>
        <w:t xml:space="preserve"> Vargas.</w:t>
      </w:r>
    </w:p>
    <w:p w14:paraId="02F3B800" w14:textId="77777777" w:rsidR="008751F1" w:rsidRPr="00312813" w:rsidRDefault="008751F1" w:rsidP="003337A1">
      <w:pPr>
        <w:pStyle w:val="Textonotapie"/>
        <w:ind w:firstLine="709"/>
        <w:jc w:val="both"/>
        <w:rPr>
          <w:rFonts w:ascii="Arial" w:hAnsi="Arial" w:cs="Arial"/>
          <w:sz w:val="19"/>
          <w:szCs w:val="19"/>
          <w:lang w:val="es-ES"/>
        </w:rPr>
      </w:pPr>
    </w:p>
  </w:footnote>
  <w:footnote w:id="8">
    <w:p w14:paraId="5AE6882D" w14:textId="482B203D" w:rsidR="008751F1" w:rsidRPr="00312813" w:rsidRDefault="008751F1" w:rsidP="003337A1">
      <w:pPr>
        <w:pStyle w:val="Textonotapie"/>
        <w:ind w:firstLine="709"/>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CONSEJO DE ESTADO. Sección Tercera. Subsección A. Sentencia del 24 de junio de 2015. </w:t>
      </w:r>
      <w:proofErr w:type="spellStart"/>
      <w:r w:rsidRPr="00312813">
        <w:rPr>
          <w:rFonts w:ascii="Arial" w:hAnsi="Arial" w:cs="Arial"/>
          <w:sz w:val="19"/>
          <w:szCs w:val="19"/>
        </w:rPr>
        <w:t>Exp</w:t>
      </w:r>
      <w:proofErr w:type="spellEnd"/>
      <w:r w:rsidRPr="00312813">
        <w:rPr>
          <w:rFonts w:ascii="Arial" w:hAnsi="Arial" w:cs="Arial"/>
          <w:sz w:val="19"/>
          <w:szCs w:val="19"/>
        </w:rPr>
        <w:t>. 40.635. Consejero Ponente: Hernán Andrade Rincón (E).</w:t>
      </w:r>
    </w:p>
    <w:p w14:paraId="59031EAF" w14:textId="77777777" w:rsidR="008751F1" w:rsidRPr="00312813" w:rsidRDefault="008751F1" w:rsidP="003337A1">
      <w:pPr>
        <w:pStyle w:val="Textonotapie"/>
        <w:ind w:firstLine="709"/>
        <w:jc w:val="both"/>
        <w:rPr>
          <w:rFonts w:ascii="Arial" w:hAnsi="Arial" w:cs="Arial"/>
          <w:sz w:val="19"/>
          <w:szCs w:val="19"/>
          <w:lang w:val="es-ES"/>
        </w:rPr>
      </w:pPr>
    </w:p>
  </w:footnote>
  <w:footnote w:id="9">
    <w:p w14:paraId="67BD0579" w14:textId="1FB5D85C" w:rsidR="008751F1" w:rsidRPr="00312813" w:rsidRDefault="008751F1" w:rsidP="003337A1">
      <w:pPr>
        <w:pStyle w:val="Textonotapie"/>
        <w:ind w:firstLine="709"/>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CONSEJO DE ESTADO. Sección Tercera. Subsección C. Sentencia del 22 de mayo de 2013. </w:t>
      </w:r>
      <w:proofErr w:type="spellStart"/>
      <w:r w:rsidRPr="00312813">
        <w:rPr>
          <w:rFonts w:ascii="Arial" w:hAnsi="Arial" w:cs="Arial"/>
          <w:sz w:val="19"/>
          <w:szCs w:val="19"/>
        </w:rPr>
        <w:t>Exp</w:t>
      </w:r>
      <w:proofErr w:type="spellEnd"/>
      <w:r w:rsidRPr="00312813">
        <w:rPr>
          <w:rFonts w:ascii="Arial" w:hAnsi="Arial" w:cs="Arial"/>
          <w:sz w:val="19"/>
          <w:szCs w:val="19"/>
        </w:rPr>
        <w:t xml:space="preserve">. 24.057. C.P. Olga </w:t>
      </w:r>
      <w:proofErr w:type="spellStart"/>
      <w:r w:rsidRPr="00312813">
        <w:rPr>
          <w:rFonts w:ascii="Arial" w:hAnsi="Arial" w:cs="Arial"/>
          <w:sz w:val="19"/>
          <w:szCs w:val="19"/>
        </w:rPr>
        <w:t>Melida</w:t>
      </w:r>
      <w:proofErr w:type="spellEnd"/>
      <w:r w:rsidRPr="00312813">
        <w:rPr>
          <w:rFonts w:ascii="Arial" w:hAnsi="Arial" w:cs="Arial"/>
          <w:sz w:val="19"/>
          <w:szCs w:val="19"/>
        </w:rPr>
        <w:t xml:space="preserve"> Valle De </w:t>
      </w:r>
      <w:proofErr w:type="spellStart"/>
      <w:r w:rsidRPr="00312813">
        <w:rPr>
          <w:rFonts w:ascii="Arial" w:hAnsi="Arial" w:cs="Arial"/>
          <w:sz w:val="19"/>
          <w:szCs w:val="19"/>
        </w:rPr>
        <w:t>De</w:t>
      </w:r>
      <w:proofErr w:type="spellEnd"/>
      <w:r w:rsidRPr="00312813">
        <w:rPr>
          <w:rFonts w:ascii="Arial" w:hAnsi="Arial" w:cs="Arial"/>
          <w:sz w:val="19"/>
          <w:szCs w:val="19"/>
        </w:rPr>
        <w:t xml:space="preserve"> La Hoz.</w:t>
      </w:r>
    </w:p>
    <w:p w14:paraId="5987F45B" w14:textId="77777777" w:rsidR="008751F1" w:rsidRPr="00312813" w:rsidRDefault="008751F1" w:rsidP="003337A1">
      <w:pPr>
        <w:pStyle w:val="Textonotapie"/>
        <w:ind w:firstLine="709"/>
        <w:jc w:val="both"/>
        <w:rPr>
          <w:rFonts w:ascii="Arial" w:hAnsi="Arial" w:cs="Arial"/>
          <w:sz w:val="19"/>
          <w:szCs w:val="19"/>
          <w:lang w:val="es-ES"/>
        </w:rPr>
      </w:pPr>
    </w:p>
  </w:footnote>
  <w:footnote w:id="10">
    <w:p w14:paraId="2711EE85" w14:textId="6780FED8" w:rsidR="008751F1" w:rsidRPr="00312813" w:rsidRDefault="008751F1" w:rsidP="003337A1">
      <w:pPr>
        <w:pStyle w:val="Textonotapie"/>
        <w:ind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AGENCIA NACIONAL DE CONTRATACIÓN PÚBLICA, Concepto de 11 de diciembre de 2019. Radicado de entrada No. 4201912000007060, Radicado de salida No. 2201913000009165. </w:t>
      </w:r>
    </w:p>
    <w:p w14:paraId="5ABD8400" w14:textId="77777777" w:rsidR="00312813" w:rsidRPr="00312813" w:rsidRDefault="00312813" w:rsidP="003337A1">
      <w:pPr>
        <w:pStyle w:val="Textonotapie"/>
        <w:ind w:firstLine="708"/>
        <w:jc w:val="both"/>
        <w:rPr>
          <w:rFonts w:ascii="Arial" w:hAnsi="Arial" w:cs="Arial"/>
          <w:sz w:val="19"/>
          <w:szCs w:val="19"/>
          <w:lang w:val="es-CO"/>
        </w:rPr>
      </w:pPr>
    </w:p>
  </w:footnote>
  <w:footnote w:id="11">
    <w:p w14:paraId="5B51A54D" w14:textId="52CE994A" w:rsidR="008751F1" w:rsidRPr="00312813" w:rsidRDefault="008751F1" w:rsidP="003337A1">
      <w:pPr>
        <w:pStyle w:val="Textonotapie"/>
        <w:ind w:firstLine="720"/>
        <w:jc w:val="both"/>
        <w:rPr>
          <w:rFonts w:ascii="Arial" w:hAnsi="Arial" w:cs="Arial"/>
          <w:sz w:val="19"/>
          <w:szCs w:val="19"/>
          <w:lang w:val="es-CO"/>
        </w:rPr>
      </w:pPr>
      <w:r w:rsidRPr="00312813">
        <w:rPr>
          <w:rStyle w:val="Refdenotaalpie"/>
          <w:rFonts w:ascii="Arial" w:hAnsi="Arial" w:cs="Arial"/>
          <w:sz w:val="19"/>
          <w:szCs w:val="19"/>
        </w:rPr>
        <w:footnoteRef/>
      </w:r>
      <w:r w:rsidRPr="00312813">
        <w:rPr>
          <w:rFonts w:ascii="Arial" w:hAnsi="Arial" w:cs="Arial"/>
          <w:sz w:val="19"/>
          <w:szCs w:val="19"/>
        </w:rPr>
        <w:t xml:space="preserve"> Ley 153 de 1887 «Artículo 2. La ley posterior prevalece sobre la ley anterior. En caso de que una ley posterior sea contraria a otra anterior, y ambas preexistentes al hecho que se juzga, se aplicará la ley posterior».</w:t>
      </w:r>
    </w:p>
  </w:footnote>
  <w:footnote w:id="12">
    <w:p w14:paraId="663F6AD7" w14:textId="24224064" w:rsidR="008751F1" w:rsidRPr="00312813" w:rsidRDefault="008751F1" w:rsidP="003337A1">
      <w:pPr>
        <w:spacing w:before="97"/>
        <w:ind w:firstLine="600"/>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Constitución Política de Colombia «Artículo 29. El debido proceso se aplicará a toda clase de actuaciones judiciales y administrativas.</w:t>
      </w:r>
    </w:p>
    <w:p w14:paraId="1F1FF00A" w14:textId="77777777" w:rsidR="008751F1" w:rsidRPr="00312813" w:rsidRDefault="008751F1" w:rsidP="003337A1">
      <w:pPr>
        <w:ind w:left="600" w:firstLine="408"/>
        <w:jc w:val="both"/>
        <w:rPr>
          <w:rFonts w:ascii="Arial" w:hAnsi="Arial" w:cs="Arial"/>
          <w:sz w:val="19"/>
          <w:szCs w:val="19"/>
        </w:rPr>
      </w:pPr>
      <w:r w:rsidRPr="00312813">
        <w:rPr>
          <w:rFonts w:ascii="Arial" w:hAnsi="Arial" w:cs="Arial"/>
          <w:sz w:val="19"/>
          <w:szCs w:val="19"/>
        </w:rPr>
        <w:t>[…]</w:t>
      </w:r>
    </w:p>
    <w:p w14:paraId="40C07F47" w14:textId="2748638D" w:rsidR="008751F1" w:rsidRPr="00312813" w:rsidRDefault="008751F1" w:rsidP="003337A1">
      <w:pPr>
        <w:ind w:firstLine="600"/>
        <w:jc w:val="both"/>
        <w:rPr>
          <w:rFonts w:ascii="Arial" w:hAnsi="Arial" w:cs="Arial"/>
          <w:sz w:val="19"/>
          <w:szCs w:val="19"/>
        </w:rPr>
      </w:pPr>
      <w:proofErr w:type="gramStart"/>
      <w:r w:rsidRPr="00312813">
        <w:rPr>
          <w:rFonts w:ascii="Arial" w:hAnsi="Arial" w:cs="Arial"/>
          <w:sz w:val="19"/>
          <w:szCs w:val="19"/>
        </w:rPr>
        <w:t>»Nadie</w:t>
      </w:r>
      <w:proofErr w:type="gramEnd"/>
      <w:r w:rsidRPr="00312813">
        <w:rPr>
          <w:rFonts w:ascii="Arial" w:hAnsi="Arial" w:cs="Arial"/>
          <w:sz w:val="19"/>
          <w:szCs w:val="19"/>
        </w:rPr>
        <w:t xml:space="preserve"> podrá ser juzgado sino conforme a leyes preexistentes al acto que se le imputa, ante juez o tribunal competente y con observancia de la plenitud de las formas propias de cada juicio».</w:t>
      </w:r>
    </w:p>
    <w:p w14:paraId="23171010" w14:textId="709D9BAA" w:rsidR="008751F1" w:rsidRPr="00312813" w:rsidRDefault="008751F1" w:rsidP="003337A1">
      <w:pPr>
        <w:ind w:left="300" w:firstLine="300"/>
        <w:jc w:val="both"/>
        <w:rPr>
          <w:rFonts w:ascii="Arial" w:hAnsi="Arial" w:cs="Arial"/>
          <w:sz w:val="19"/>
          <w:szCs w:val="19"/>
        </w:rPr>
      </w:pPr>
      <w:proofErr w:type="gramStart"/>
      <w:r w:rsidRPr="00312813">
        <w:rPr>
          <w:rFonts w:ascii="Arial" w:hAnsi="Arial" w:cs="Arial"/>
          <w:sz w:val="19"/>
          <w:szCs w:val="19"/>
        </w:rPr>
        <w:t>»En</w:t>
      </w:r>
      <w:proofErr w:type="gramEnd"/>
      <w:r w:rsidRPr="00312813">
        <w:rPr>
          <w:rFonts w:ascii="Arial" w:hAnsi="Arial" w:cs="Arial"/>
          <w:sz w:val="19"/>
          <w:szCs w:val="19"/>
        </w:rPr>
        <w:t xml:space="preserve"> materia penal, la ley permisiva o favorable, aun cuando sea posterior, se aplicará de preferencia a la restrictiva o desfavorable.</w:t>
      </w:r>
    </w:p>
    <w:p w14:paraId="46CFFDF8" w14:textId="799DAFA6" w:rsidR="008751F1" w:rsidRPr="00312813" w:rsidRDefault="008751F1" w:rsidP="003337A1">
      <w:pPr>
        <w:pStyle w:val="Textoindependiente"/>
        <w:spacing w:before="8"/>
        <w:ind w:left="708"/>
        <w:jc w:val="both"/>
        <w:rPr>
          <w:sz w:val="19"/>
          <w:szCs w:val="19"/>
        </w:rPr>
      </w:pPr>
      <w:r w:rsidRPr="00312813">
        <w:rPr>
          <w:sz w:val="19"/>
          <w:szCs w:val="19"/>
        </w:rPr>
        <w:t xml:space="preserve">      […]</w:t>
      </w:r>
    </w:p>
    <w:p w14:paraId="526E83CC" w14:textId="1CCD75C3" w:rsidR="008751F1" w:rsidRPr="00312813" w:rsidRDefault="008751F1" w:rsidP="003337A1">
      <w:pPr>
        <w:ind w:firstLine="600"/>
        <w:jc w:val="both"/>
        <w:rPr>
          <w:rFonts w:ascii="Arial" w:hAnsi="Arial" w:cs="Arial"/>
          <w:sz w:val="19"/>
          <w:szCs w:val="19"/>
        </w:rPr>
      </w:pPr>
      <w:proofErr w:type="gramStart"/>
      <w:r w:rsidRPr="00312813">
        <w:rPr>
          <w:rFonts w:ascii="Arial" w:hAnsi="Arial" w:cs="Arial"/>
          <w:sz w:val="19"/>
          <w:szCs w:val="19"/>
        </w:rPr>
        <w:t>»Artículo</w:t>
      </w:r>
      <w:proofErr w:type="gramEnd"/>
      <w:r w:rsidRPr="00312813">
        <w:rPr>
          <w:rFonts w:ascii="Arial" w:hAnsi="Arial" w:cs="Arial"/>
          <w:sz w:val="19"/>
          <w:szCs w:val="19"/>
        </w:rPr>
        <w:t xml:space="preserve">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112B7B7B" w14:textId="77777777" w:rsidR="008751F1" w:rsidRPr="00312813" w:rsidRDefault="008751F1" w:rsidP="003337A1">
      <w:pPr>
        <w:ind w:firstLine="600"/>
        <w:jc w:val="both"/>
        <w:rPr>
          <w:rFonts w:ascii="Arial" w:hAnsi="Arial" w:cs="Arial"/>
          <w:sz w:val="19"/>
          <w:szCs w:val="19"/>
          <w:lang w:val="es-CO"/>
        </w:rPr>
      </w:pPr>
    </w:p>
  </w:footnote>
  <w:footnote w:id="13">
    <w:p w14:paraId="41509580" w14:textId="036D8C8D" w:rsidR="008751F1" w:rsidRPr="00312813" w:rsidRDefault="008751F1" w:rsidP="003337A1">
      <w:pPr>
        <w:ind w:right="49"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312813">
        <w:rPr>
          <w:rFonts w:ascii="Arial" w:hAnsi="Arial" w:cs="Arial"/>
          <w:spacing w:val="-4"/>
          <w:sz w:val="19"/>
          <w:szCs w:val="19"/>
        </w:rPr>
        <w:t xml:space="preserve"> </w:t>
      </w:r>
      <w:r w:rsidRPr="00312813">
        <w:rPr>
          <w:rFonts w:ascii="Arial" w:hAnsi="Arial" w:cs="Arial"/>
          <w:sz w:val="19"/>
          <w:szCs w:val="19"/>
        </w:rPr>
        <w:t>él,</w:t>
      </w:r>
      <w:r w:rsidRPr="00312813">
        <w:rPr>
          <w:rFonts w:ascii="Arial" w:hAnsi="Arial" w:cs="Arial"/>
          <w:spacing w:val="-3"/>
          <w:sz w:val="19"/>
          <w:szCs w:val="19"/>
        </w:rPr>
        <w:t xml:space="preserve"> </w:t>
      </w:r>
      <w:r w:rsidRPr="00312813">
        <w:rPr>
          <w:rFonts w:ascii="Arial" w:hAnsi="Arial" w:cs="Arial"/>
          <w:sz w:val="19"/>
          <w:szCs w:val="19"/>
        </w:rPr>
        <w:t>y</w:t>
      </w:r>
      <w:r w:rsidRPr="00312813">
        <w:rPr>
          <w:rFonts w:ascii="Arial" w:hAnsi="Arial" w:cs="Arial"/>
          <w:spacing w:val="-6"/>
          <w:sz w:val="19"/>
          <w:szCs w:val="19"/>
        </w:rPr>
        <w:t xml:space="preserve"> </w:t>
      </w:r>
      <w:proofErr w:type="gramStart"/>
      <w:r w:rsidRPr="00312813">
        <w:rPr>
          <w:rFonts w:ascii="Arial" w:hAnsi="Arial" w:cs="Arial"/>
          <w:sz w:val="19"/>
          <w:szCs w:val="19"/>
        </w:rPr>
        <w:t>que</w:t>
      </w:r>
      <w:proofErr w:type="gramEnd"/>
      <w:r w:rsidRPr="00312813">
        <w:rPr>
          <w:rFonts w:ascii="Arial" w:hAnsi="Arial" w:cs="Arial"/>
          <w:spacing w:val="-3"/>
          <w:sz w:val="19"/>
          <w:szCs w:val="19"/>
        </w:rPr>
        <w:t xml:space="preserve"> </w:t>
      </w:r>
      <w:r w:rsidRPr="00312813">
        <w:rPr>
          <w:rFonts w:ascii="Arial" w:hAnsi="Arial" w:cs="Arial"/>
          <w:sz w:val="19"/>
          <w:szCs w:val="19"/>
        </w:rPr>
        <w:t>por</w:t>
      </w:r>
      <w:r w:rsidRPr="00312813">
        <w:rPr>
          <w:rFonts w:ascii="Arial" w:hAnsi="Arial" w:cs="Arial"/>
          <w:spacing w:val="-3"/>
          <w:sz w:val="19"/>
          <w:szCs w:val="19"/>
        </w:rPr>
        <w:t xml:space="preserve"> </w:t>
      </w:r>
      <w:r w:rsidRPr="00312813">
        <w:rPr>
          <w:rFonts w:ascii="Arial" w:hAnsi="Arial" w:cs="Arial"/>
          <w:sz w:val="19"/>
          <w:szCs w:val="19"/>
        </w:rPr>
        <w:t>lo</w:t>
      </w:r>
      <w:r w:rsidRPr="00312813">
        <w:rPr>
          <w:rFonts w:ascii="Arial" w:hAnsi="Arial" w:cs="Arial"/>
          <w:spacing w:val="-1"/>
          <w:sz w:val="19"/>
          <w:szCs w:val="19"/>
        </w:rPr>
        <w:t xml:space="preserve"> </w:t>
      </w:r>
      <w:r w:rsidRPr="00312813">
        <w:rPr>
          <w:rFonts w:ascii="Arial" w:hAnsi="Arial" w:cs="Arial"/>
          <w:sz w:val="19"/>
          <w:szCs w:val="19"/>
        </w:rPr>
        <w:t>mismo,</w:t>
      </w:r>
      <w:r w:rsidRPr="00312813">
        <w:rPr>
          <w:rFonts w:ascii="Arial" w:hAnsi="Arial" w:cs="Arial"/>
          <w:spacing w:val="-3"/>
          <w:sz w:val="19"/>
          <w:szCs w:val="19"/>
        </w:rPr>
        <w:t xml:space="preserve"> </w:t>
      </w:r>
      <w:r w:rsidRPr="00312813">
        <w:rPr>
          <w:rFonts w:ascii="Arial" w:hAnsi="Arial" w:cs="Arial"/>
          <w:sz w:val="19"/>
          <w:szCs w:val="19"/>
        </w:rPr>
        <w:t>no</w:t>
      </w:r>
      <w:r w:rsidRPr="00312813">
        <w:rPr>
          <w:rFonts w:ascii="Arial" w:hAnsi="Arial" w:cs="Arial"/>
          <w:spacing w:val="-1"/>
          <w:sz w:val="19"/>
          <w:szCs w:val="19"/>
        </w:rPr>
        <w:t xml:space="preserve"> </w:t>
      </w:r>
      <w:r w:rsidRPr="00312813">
        <w:rPr>
          <w:rFonts w:ascii="Arial" w:hAnsi="Arial" w:cs="Arial"/>
          <w:sz w:val="19"/>
          <w:szCs w:val="19"/>
        </w:rPr>
        <w:t>puede</w:t>
      </w:r>
      <w:r w:rsidRPr="00312813">
        <w:rPr>
          <w:rFonts w:ascii="Arial" w:hAnsi="Arial" w:cs="Arial"/>
          <w:spacing w:val="-3"/>
          <w:sz w:val="19"/>
          <w:szCs w:val="19"/>
        </w:rPr>
        <w:t xml:space="preserve"> </w:t>
      </w:r>
      <w:r w:rsidRPr="00312813">
        <w:rPr>
          <w:rFonts w:ascii="Arial" w:hAnsi="Arial" w:cs="Arial"/>
          <w:sz w:val="19"/>
          <w:szCs w:val="19"/>
        </w:rPr>
        <w:t>ser</w:t>
      </w:r>
      <w:r w:rsidRPr="00312813">
        <w:rPr>
          <w:rFonts w:ascii="Arial" w:hAnsi="Arial" w:cs="Arial"/>
          <w:spacing w:val="-4"/>
          <w:sz w:val="19"/>
          <w:szCs w:val="19"/>
        </w:rPr>
        <w:t xml:space="preserve"> </w:t>
      </w:r>
      <w:r w:rsidRPr="00312813">
        <w:rPr>
          <w:rFonts w:ascii="Arial" w:hAnsi="Arial" w:cs="Arial"/>
          <w:sz w:val="19"/>
          <w:szCs w:val="19"/>
        </w:rPr>
        <w:t>arrebatado</w:t>
      </w:r>
      <w:r w:rsidRPr="00312813">
        <w:rPr>
          <w:rFonts w:ascii="Arial" w:hAnsi="Arial" w:cs="Arial"/>
          <w:spacing w:val="-3"/>
          <w:sz w:val="19"/>
          <w:szCs w:val="19"/>
        </w:rPr>
        <w:t xml:space="preserve"> </w:t>
      </w:r>
      <w:r w:rsidRPr="00312813">
        <w:rPr>
          <w:rFonts w:ascii="Arial" w:hAnsi="Arial" w:cs="Arial"/>
          <w:sz w:val="19"/>
          <w:szCs w:val="19"/>
        </w:rPr>
        <w:t>o</w:t>
      </w:r>
      <w:r w:rsidRPr="00312813">
        <w:rPr>
          <w:rFonts w:ascii="Arial" w:hAnsi="Arial" w:cs="Arial"/>
          <w:spacing w:val="-3"/>
          <w:sz w:val="19"/>
          <w:szCs w:val="19"/>
        </w:rPr>
        <w:t xml:space="preserve"> </w:t>
      </w:r>
      <w:r w:rsidRPr="00312813">
        <w:rPr>
          <w:rFonts w:ascii="Arial" w:hAnsi="Arial" w:cs="Arial"/>
          <w:sz w:val="19"/>
          <w:szCs w:val="19"/>
        </w:rPr>
        <w:t>vulnerado</w:t>
      </w:r>
      <w:r w:rsidRPr="00312813">
        <w:rPr>
          <w:rFonts w:ascii="Arial" w:hAnsi="Arial" w:cs="Arial"/>
          <w:spacing w:val="-4"/>
          <w:sz w:val="19"/>
          <w:szCs w:val="19"/>
        </w:rPr>
        <w:t xml:space="preserve"> </w:t>
      </w:r>
      <w:r w:rsidRPr="00312813">
        <w:rPr>
          <w:rFonts w:ascii="Arial" w:hAnsi="Arial" w:cs="Arial"/>
          <w:sz w:val="19"/>
          <w:szCs w:val="19"/>
        </w:rPr>
        <w:t>por</w:t>
      </w:r>
      <w:r w:rsidRPr="00312813">
        <w:rPr>
          <w:rFonts w:ascii="Arial" w:hAnsi="Arial" w:cs="Arial"/>
          <w:spacing w:val="-3"/>
          <w:sz w:val="19"/>
          <w:szCs w:val="19"/>
        </w:rPr>
        <w:t xml:space="preserve"> </w:t>
      </w:r>
      <w:r w:rsidRPr="00312813">
        <w:rPr>
          <w:rFonts w:ascii="Arial" w:hAnsi="Arial" w:cs="Arial"/>
          <w:sz w:val="19"/>
          <w:szCs w:val="19"/>
        </w:rPr>
        <w:t>quien</w:t>
      </w:r>
      <w:r w:rsidRPr="00312813">
        <w:rPr>
          <w:rFonts w:ascii="Arial" w:hAnsi="Arial" w:cs="Arial"/>
          <w:spacing w:val="-3"/>
          <w:sz w:val="19"/>
          <w:szCs w:val="19"/>
        </w:rPr>
        <w:t xml:space="preserve"> </w:t>
      </w:r>
      <w:r w:rsidRPr="00312813">
        <w:rPr>
          <w:rFonts w:ascii="Arial" w:hAnsi="Arial" w:cs="Arial"/>
          <w:sz w:val="19"/>
          <w:szCs w:val="19"/>
        </w:rPr>
        <w:t>lo</w:t>
      </w:r>
      <w:r w:rsidRPr="00312813">
        <w:rPr>
          <w:rFonts w:ascii="Arial" w:hAnsi="Arial" w:cs="Arial"/>
          <w:spacing w:val="-4"/>
          <w:sz w:val="19"/>
          <w:szCs w:val="19"/>
        </w:rPr>
        <w:t xml:space="preserve"> </w:t>
      </w:r>
      <w:r w:rsidRPr="00312813">
        <w:rPr>
          <w:rFonts w:ascii="Arial" w:hAnsi="Arial" w:cs="Arial"/>
          <w:sz w:val="19"/>
          <w:szCs w:val="19"/>
        </w:rPr>
        <w:t>creó</w:t>
      </w:r>
      <w:r w:rsidRPr="00312813">
        <w:rPr>
          <w:rFonts w:ascii="Arial" w:hAnsi="Arial" w:cs="Arial"/>
          <w:spacing w:val="-3"/>
          <w:sz w:val="19"/>
          <w:szCs w:val="19"/>
        </w:rPr>
        <w:t xml:space="preserve"> </w:t>
      </w:r>
      <w:r w:rsidRPr="00312813">
        <w:rPr>
          <w:rFonts w:ascii="Arial" w:hAnsi="Arial" w:cs="Arial"/>
          <w:sz w:val="19"/>
          <w:szCs w:val="19"/>
        </w:rPr>
        <w:t>o</w:t>
      </w:r>
      <w:r w:rsidRPr="00312813">
        <w:rPr>
          <w:rFonts w:ascii="Arial" w:hAnsi="Arial" w:cs="Arial"/>
          <w:spacing w:val="-4"/>
          <w:sz w:val="19"/>
          <w:szCs w:val="19"/>
        </w:rPr>
        <w:t xml:space="preserve"> </w:t>
      </w:r>
      <w:r w:rsidRPr="00312813">
        <w:rPr>
          <w:rFonts w:ascii="Arial" w:hAnsi="Arial" w:cs="Arial"/>
          <w:sz w:val="19"/>
          <w:szCs w:val="19"/>
        </w:rPr>
        <w:t>reconoció legítimamente.</w:t>
      </w:r>
    </w:p>
    <w:p w14:paraId="285DDE57" w14:textId="00F81853" w:rsidR="008751F1" w:rsidRPr="00312813" w:rsidRDefault="008751F1" w:rsidP="003337A1">
      <w:pPr>
        <w:spacing w:before="1"/>
        <w:ind w:right="49" w:firstLine="708"/>
        <w:jc w:val="both"/>
        <w:rPr>
          <w:rFonts w:ascii="Arial" w:hAnsi="Arial" w:cs="Arial"/>
          <w:sz w:val="19"/>
          <w:szCs w:val="19"/>
        </w:rPr>
      </w:pPr>
      <w:proofErr w:type="gramStart"/>
      <w:r w:rsidRPr="00312813">
        <w:rPr>
          <w:rFonts w:ascii="Arial" w:hAnsi="Arial" w:cs="Arial"/>
          <w:sz w:val="19"/>
          <w:szCs w:val="19"/>
        </w:rPr>
        <w:t>»Lo</w:t>
      </w:r>
      <w:proofErr w:type="gramEnd"/>
      <w:r w:rsidRPr="00312813">
        <w:rPr>
          <w:rFonts w:ascii="Arial" w:hAnsi="Arial" w:cs="Arial"/>
          <w:sz w:val="19"/>
          <w:szCs w:val="19"/>
        </w:rPr>
        <w:t xml:space="preserve"> anterior conduce a afirmar que el derecho adquirido es la ventaja o el beneficio cuya conservación o integridad, está garantizada, en favor del titular del derecho, por una acción o por una excepción.</w:t>
      </w:r>
    </w:p>
    <w:p w14:paraId="683BB557" w14:textId="0286798F" w:rsidR="008751F1" w:rsidRPr="00312813" w:rsidRDefault="008751F1" w:rsidP="003337A1">
      <w:pPr>
        <w:spacing w:before="1"/>
        <w:ind w:right="49" w:firstLine="708"/>
        <w:jc w:val="both"/>
        <w:rPr>
          <w:rFonts w:ascii="Arial" w:hAnsi="Arial" w:cs="Arial"/>
          <w:sz w:val="19"/>
          <w:szCs w:val="19"/>
        </w:rPr>
      </w:pPr>
      <w:proofErr w:type="gramStart"/>
      <w:r w:rsidRPr="00312813">
        <w:rPr>
          <w:rFonts w:ascii="Arial" w:hAnsi="Arial" w:cs="Arial"/>
          <w:sz w:val="19"/>
          <w:szCs w:val="19"/>
        </w:rPr>
        <w:t>»Ajusta</w:t>
      </w:r>
      <w:proofErr w:type="gramEnd"/>
      <w:r w:rsidRPr="00312813">
        <w:rPr>
          <w:rFonts w:ascii="Arial" w:hAnsi="Arial" w:cs="Arial"/>
          <w:sz w:val="19"/>
          <w:szCs w:val="19"/>
        </w:rPr>
        <w:t xml:space="preserve">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p w14:paraId="55A8AE42" w14:textId="77777777" w:rsidR="008751F1" w:rsidRPr="00312813" w:rsidRDefault="008751F1" w:rsidP="003337A1">
      <w:pPr>
        <w:pStyle w:val="Textonotapie"/>
        <w:jc w:val="both"/>
        <w:rPr>
          <w:rFonts w:ascii="Arial" w:hAnsi="Arial" w:cs="Arial"/>
          <w:sz w:val="19"/>
          <w:szCs w:val="19"/>
          <w:lang w:val="es-CO"/>
        </w:rPr>
      </w:pPr>
    </w:p>
  </w:footnote>
  <w:footnote w:id="14">
    <w:p w14:paraId="32DACAB5" w14:textId="07F8E5B2" w:rsidR="008751F1" w:rsidRPr="00312813" w:rsidRDefault="008751F1" w:rsidP="003337A1">
      <w:pPr>
        <w:pStyle w:val="Textonotapie"/>
        <w:ind w:firstLine="708"/>
        <w:jc w:val="both"/>
        <w:rPr>
          <w:rFonts w:ascii="Arial" w:hAnsi="Arial" w:cs="Arial"/>
          <w:sz w:val="19"/>
          <w:szCs w:val="19"/>
          <w:lang w:val="es-CO"/>
        </w:rPr>
      </w:pPr>
      <w:r w:rsidRPr="00312813">
        <w:rPr>
          <w:rStyle w:val="Refdenotaalpie"/>
          <w:rFonts w:ascii="Arial" w:hAnsi="Arial" w:cs="Arial"/>
          <w:sz w:val="19"/>
          <w:szCs w:val="19"/>
        </w:rPr>
        <w:footnoteRef/>
      </w:r>
      <w:r w:rsidRPr="00312813">
        <w:rPr>
          <w:rFonts w:ascii="Arial" w:hAnsi="Arial" w:cs="Arial"/>
          <w:sz w:val="19"/>
          <w:szCs w:val="19"/>
        </w:rPr>
        <w:t xml:space="preserve"> </w:t>
      </w:r>
      <w:r w:rsidRPr="00312813">
        <w:rPr>
          <w:rFonts w:ascii="Arial" w:hAnsi="Arial" w:cs="Arial"/>
          <w:sz w:val="19"/>
          <w:szCs w:val="19"/>
          <w:lang w:val="es-CO"/>
        </w:rPr>
        <w:t xml:space="preserve">AGENCIA NACIONAL DE CONTRATACIÓN PÚBLICA, Concepto de 3 de octubre de 2019, Radicado de entrada No. </w:t>
      </w:r>
      <w:r w:rsidRPr="00312813">
        <w:rPr>
          <w:rFonts w:ascii="Arial" w:hAnsi="Arial" w:cs="Arial"/>
          <w:sz w:val="19"/>
          <w:szCs w:val="19"/>
        </w:rPr>
        <w:t>4201913000005694, Radicado de salida No. 2201913000007385.</w:t>
      </w:r>
    </w:p>
  </w:footnote>
  <w:footnote w:id="15">
    <w:p w14:paraId="6DF816BA" w14:textId="77777777" w:rsidR="008751F1" w:rsidRPr="00312813" w:rsidRDefault="008751F1" w:rsidP="008751F1">
      <w:pPr>
        <w:pStyle w:val="Textonotapie"/>
        <w:ind w:firstLine="708"/>
        <w:jc w:val="both"/>
        <w:rPr>
          <w:rFonts w:ascii="Arial" w:hAnsi="Arial" w:cs="Arial"/>
          <w:sz w:val="19"/>
          <w:szCs w:val="19"/>
        </w:rPr>
      </w:pPr>
    </w:p>
    <w:p w14:paraId="208B12F3" w14:textId="30D2F502" w:rsidR="008751F1" w:rsidRPr="00312813" w:rsidRDefault="008751F1" w:rsidP="008751F1">
      <w:pPr>
        <w:pStyle w:val="Textonotapie"/>
        <w:ind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 </w:t>
      </w:r>
    </w:p>
    <w:p w14:paraId="1262B552" w14:textId="77777777" w:rsidR="008751F1" w:rsidRPr="00312813" w:rsidRDefault="008751F1" w:rsidP="008751F1">
      <w:pPr>
        <w:pStyle w:val="Textonotapie"/>
        <w:ind w:firstLine="708"/>
        <w:jc w:val="both"/>
        <w:rPr>
          <w:rFonts w:ascii="Arial" w:hAnsi="Arial" w:cs="Arial"/>
          <w:sz w:val="19"/>
          <w:szCs w:val="19"/>
        </w:rPr>
      </w:pPr>
      <w:proofErr w:type="gramStart"/>
      <w:r w:rsidRPr="00312813">
        <w:rPr>
          <w:rFonts w:ascii="Arial" w:hAnsi="Arial" w:cs="Arial"/>
          <w:sz w:val="19"/>
          <w:szCs w:val="19"/>
        </w:rPr>
        <w:t>»</w:t>
      </w:r>
      <w:proofErr w:type="spellStart"/>
      <w:r w:rsidRPr="00312813">
        <w:rPr>
          <w:rFonts w:ascii="Arial" w:hAnsi="Arial" w:cs="Arial"/>
          <w:sz w:val="19"/>
          <w:szCs w:val="19"/>
        </w:rPr>
        <w:t>Exceptúanse</w:t>
      </w:r>
      <w:proofErr w:type="spellEnd"/>
      <w:proofErr w:type="gramEnd"/>
      <w:r w:rsidRPr="00312813">
        <w:rPr>
          <w:rFonts w:ascii="Arial" w:hAnsi="Arial" w:cs="Arial"/>
          <w:sz w:val="19"/>
          <w:szCs w:val="19"/>
        </w:rPr>
        <w:t xml:space="preserve"> de esta disposición: </w:t>
      </w:r>
    </w:p>
    <w:p w14:paraId="6FD2BFC3" w14:textId="77777777" w:rsidR="008751F1" w:rsidRPr="00312813" w:rsidRDefault="008751F1" w:rsidP="008751F1">
      <w:pPr>
        <w:pStyle w:val="Textonotapie"/>
        <w:ind w:firstLine="708"/>
        <w:jc w:val="both"/>
        <w:rPr>
          <w:rFonts w:ascii="Arial" w:hAnsi="Arial" w:cs="Arial"/>
          <w:sz w:val="19"/>
          <w:szCs w:val="19"/>
        </w:rPr>
      </w:pPr>
      <w:r w:rsidRPr="00312813">
        <w:rPr>
          <w:rFonts w:ascii="Arial" w:hAnsi="Arial" w:cs="Arial"/>
          <w:sz w:val="19"/>
          <w:szCs w:val="19"/>
        </w:rPr>
        <w:t xml:space="preserve">»1. Las leyes concernientes al modo de reclamar en juicio los derechos que resultaren del contrato, y </w:t>
      </w:r>
    </w:p>
    <w:p w14:paraId="031385CB" w14:textId="77777777" w:rsidR="008751F1" w:rsidRPr="00312813" w:rsidRDefault="008751F1" w:rsidP="008751F1">
      <w:pPr>
        <w:pStyle w:val="Textonotapie"/>
        <w:ind w:firstLine="708"/>
        <w:jc w:val="both"/>
        <w:rPr>
          <w:rFonts w:ascii="Arial" w:hAnsi="Arial" w:cs="Arial"/>
          <w:sz w:val="19"/>
          <w:szCs w:val="19"/>
          <w:lang w:val="es-CO"/>
        </w:rPr>
      </w:pPr>
      <w:r w:rsidRPr="00312813">
        <w:rPr>
          <w:rFonts w:ascii="Arial" w:hAnsi="Arial" w:cs="Arial"/>
          <w:sz w:val="19"/>
          <w:szCs w:val="19"/>
        </w:rPr>
        <w:t xml:space="preserve">»2. Las que señalan penas para el caso de infracción de lo estipulado; la cual infracción será castigada con arreglo </w:t>
      </w:r>
      <w:proofErr w:type="spellStart"/>
      <w:r w:rsidRPr="00312813">
        <w:rPr>
          <w:rFonts w:ascii="Arial" w:hAnsi="Arial" w:cs="Arial"/>
          <w:sz w:val="19"/>
          <w:szCs w:val="19"/>
        </w:rPr>
        <w:t>á</w:t>
      </w:r>
      <w:proofErr w:type="spellEnd"/>
      <w:r w:rsidRPr="00312813">
        <w:rPr>
          <w:rFonts w:ascii="Arial" w:hAnsi="Arial" w:cs="Arial"/>
          <w:sz w:val="19"/>
          <w:szCs w:val="19"/>
        </w:rPr>
        <w:t xml:space="preserve"> la ley bajo la cual se hubiere cometido».</w:t>
      </w:r>
    </w:p>
  </w:footnote>
  <w:footnote w:id="16">
    <w:p w14:paraId="08DBB7CE" w14:textId="2B97304C" w:rsidR="008751F1" w:rsidRPr="00312813" w:rsidRDefault="008751F1" w:rsidP="008751F1">
      <w:pPr>
        <w:pStyle w:val="Textonotapie"/>
        <w:ind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Constitución Política de Colombia «Artículo 29. El debido proceso se aplicará a toda clase de actuaciones judiciales y administrativas.   </w:t>
      </w:r>
    </w:p>
    <w:p w14:paraId="28360535" w14:textId="1E9E0FEA" w:rsidR="008751F1" w:rsidRPr="00312813" w:rsidRDefault="008751F1" w:rsidP="008751F1">
      <w:pPr>
        <w:pStyle w:val="Textonotapie"/>
        <w:ind w:firstLine="708"/>
        <w:jc w:val="both"/>
        <w:rPr>
          <w:rFonts w:ascii="Arial" w:hAnsi="Arial" w:cs="Arial"/>
          <w:sz w:val="19"/>
          <w:szCs w:val="19"/>
        </w:rPr>
      </w:pPr>
      <w:proofErr w:type="gramStart"/>
      <w:r w:rsidRPr="00312813">
        <w:rPr>
          <w:rFonts w:ascii="Arial" w:hAnsi="Arial" w:cs="Arial"/>
          <w:sz w:val="19"/>
          <w:szCs w:val="19"/>
        </w:rPr>
        <w:t>»Nadie</w:t>
      </w:r>
      <w:proofErr w:type="gramEnd"/>
      <w:r w:rsidRPr="00312813">
        <w:rPr>
          <w:rFonts w:ascii="Arial" w:hAnsi="Arial" w:cs="Arial"/>
          <w:sz w:val="19"/>
          <w:szCs w:val="19"/>
        </w:rPr>
        <w:t xml:space="preserve"> podrá ser juzgado sino conforme a leyes preexistentes al acto que se le imputa, ante juez o tribunal competente y con observancia de la plenitud de las formas propias de cada juicio. </w:t>
      </w:r>
    </w:p>
    <w:p w14:paraId="17E3611A" w14:textId="4182625A" w:rsidR="008751F1" w:rsidRPr="00312813" w:rsidRDefault="008751F1" w:rsidP="008751F1">
      <w:pPr>
        <w:pStyle w:val="Textonotapie"/>
        <w:ind w:firstLine="708"/>
        <w:jc w:val="both"/>
        <w:rPr>
          <w:rFonts w:ascii="Arial" w:hAnsi="Arial" w:cs="Arial"/>
          <w:sz w:val="19"/>
          <w:szCs w:val="19"/>
          <w:lang w:val="es-CO"/>
        </w:rPr>
      </w:pPr>
      <w:proofErr w:type="gramStart"/>
      <w:r w:rsidRPr="00312813">
        <w:rPr>
          <w:rFonts w:ascii="Arial" w:hAnsi="Arial" w:cs="Arial"/>
          <w:sz w:val="19"/>
          <w:szCs w:val="19"/>
        </w:rPr>
        <w:t>»En</w:t>
      </w:r>
      <w:proofErr w:type="gramEnd"/>
      <w:r w:rsidRPr="00312813">
        <w:rPr>
          <w:rFonts w:ascii="Arial" w:hAnsi="Arial" w:cs="Arial"/>
          <w:sz w:val="19"/>
          <w:szCs w:val="19"/>
        </w:rPr>
        <w:t xml:space="preserve"> materia penal, la ley permisiva o favorable, aun cuando sea posterior, se aplicará de preferencia a la restrictiva o desfavorable […]».  </w:t>
      </w:r>
    </w:p>
  </w:footnote>
  <w:footnote w:id="17">
    <w:p w14:paraId="26DF8BB6" w14:textId="77777777" w:rsidR="008751F1" w:rsidRPr="00312813" w:rsidRDefault="008751F1">
      <w:pPr>
        <w:pStyle w:val="Textonotapie"/>
        <w:rPr>
          <w:rFonts w:ascii="Arial" w:hAnsi="Arial" w:cs="Arial"/>
          <w:sz w:val="19"/>
          <w:szCs w:val="19"/>
        </w:rPr>
      </w:pPr>
    </w:p>
    <w:p w14:paraId="2FA2B446" w14:textId="296C737C" w:rsidR="008751F1" w:rsidRPr="00312813" w:rsidRDefault="008751F1" w:rsidP="009F0642">
      <w:pPr>
        <w:pStyle w:val="Textonotapie"/>
        <w:ind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 </w:t>
      </w:r>
    </w:p>
    <w:p w14:paraId="0D9D739A" w14:textId="3DA362BC" w:rsidR="008751F1" w:rsidRPr="00312813" w:rsidRDefault="008751F1" w:rsidP="009F0642">
      <w:pPr>
        <w:pStyle w:val="Textonotapie"/>
        <w:ind w:firstLine="708"/>
        <w:jc w:val="both"/>
        <w:rPr>
          <w:rFonts w:ascii="Arial" w:hAnsi="Arial" w:cs="Arial"/>
          <w:sz w:val="19"/>
          <w:szCs w:val="19"/>
        </w:rPr>
      </w:pPr>
      <w:proofErr w:type="gramStart"/>
      <w:r w:rsidRPr="00312813">
        <w:rPr>
          <w:rFonts w:ascii="Arial" w:hAnsi="Arial" w:cs="Arial"/>
          <w:sz w:val="19"/>
          <w:szCs w:val="19"/>
        </w:rPr>
        <w:t>»Las</w:t>
      </w:r>
      <w:proofErr w:type="gramEnd"/>
      <w:r w:rsidRPr="00312813">
        <w:rPr>
          <w:rFonts w:ascii="Arial" w:hAnsi="Arial" w:cs="Arial"/>
          <w:sz w:val="19"/>
          <w:szCs w:val="19"/>
        </w:rPr>
        <w:t xml:space="preserve"> actuaciones administrativas se desarrollarán, especialmente, con arreglo a los principios del debido proceso, igualdad, imparcialidad, buena fe, moralidad, participación, responsabilidad, transparencia, publicidad, coordinación, eficacia, economía y celeridad. </w:t>
      </w:r>
    </w:p>
    <w:p w14:paraId="7198B992" w14:textId="33C9F067" w:rsidR="008751F1" w:rsidRPr="00312813" w:rsidRDefault="008751F1" w:rsidP="009F0642">
      <w:pPr>
        <w:pStyle w:val="Textonotapie"/>
        <w:ind w:firstLine="708"/>
        <w:jc w:val="both"/>
        <w:rPr>
          <w:rFonts w:ascii="Arial" w:hAnsi="Arial" w:cs="Arial"/>
          <w:sz w:val="19"/>
          <w:szCs w:val="19"/>
        </w:rPr>
      </w:pPr>
      <w:r w:rsidRPr="00312813">
        <w:rPr>
          <w:rFonts w:ascii="Arial" w:hAnsi="Arial" w:cs="Arial"/>
          <w:sz w:val="19"/>
          <w:szCs w:val="19"/>
        </w:rPr>
        <w:t xml:space="preserve">»1. En virtud del principio del debido proceso, las actuaciones administrativas se adelantarán de conformidad con las normas de procedimiento y competencia establecidas en la Constitución y la ley, con plena garantía de los derechos de representación, defensa y contradicción. </w:t>
      </w:r>
    </w:p>
    <w:p w14:paraId="2EE063FF" w14:textId="6B640DBE" w:rsidR="008751F1" w:rsidRPr="00312813" w:rsidRDefault="008751F1" w:rsidP="009F0642">
      <w:pPr>
        <w:pStyle w:val="Textonotapie"/>
        <w:ind w:firstLine="708"/>
        <w:jc w:val="both"/>
        <w:rPr>
          <w:rFonts w:ascii="Arial" w:hAnsi="Arial" w:cs="Arial"/>
          <w:sz w:val="19"/>
          <w:szCs w:val="19"/>
          <w:lang w:val="es-CO"/>
        </w:rPr>
      </w:pPr>
      <w:proofErr w:type="gramStart"/>
      <w:r w:rsidRPr="00312813">
        <w:rPr>
          <w:rFonts w:ascii="Arial" w:hAnsi="Arial" w:cs="Arial"/>
          <w:sz w:val="19"/>
          <w:szCs w:val="19"/>
        </w:rPr>
        <w:t>»En</w:t>
      </w:r>
      <w:proofErr w:type="gramEnd"/>
      <w:r w:rsidRPr="00312813">
        <w:rPr>
          <w:rFonts w:ascii="Arial" w:hAnsi="Arial" w:cs="Arial"/>
          <w:sz w:val="19"/>
          <w:szCs w:val="19"/>
        </w:rPr>
        <w:t xml:space="preserve"> materia administrativa sancionatoria, se observarán adicionalmente los principios de legalidad de las faltas y de las sanciones, de presunción de inocencia, de no </w:t>
      </w:r>
      <w:proofErr w:type="spellStart"/>
      <w:r w:rsidRPr="00312813">
        <w:rPr>
          <w:rFonts w:ascii="Arial" w:hAnsi="Arial" w:cs="Arial"/>
          <w:sz w:val="19"/>
          <w:szCs w:val="19"/>
        </w:rPr>
        <w:t>reformatio</w:t>
      </w:r>
      <w:proofErr w:type="spellEnd"/>
      <w:r w:rsidRPr="00312813">
        <w:rPr>
          <w:rFonts w:ascii="Arial" w:hAnsi="Arial" w:cs="Arial"/>
          <w:sz w:val="19"/>
          <w:szCs w:val="19"/>
        </w:rPr>
        <w:t xml:space="preserve"> in </w:t>
      </w:r>
      <w:proofErr w:type="spellStart"/>
      <w:r w:rsidRPr="00312813">
        <w:rPr>
          <w:rFonts w:ascii="Arial" w:hAnsi="Arial" w:cs="Arial"/>
          <w:sz w:val="19"/>
          <w:szCs w:val="19"/>
        </w:rPr>
        <w:t>pejus</w:t>
      </w:r>
      <w:proofErr w:type="spellEnd"/>
      <w:r w:rsidRPr="00312813">
        <w:rPr>
          <w:rFonts w:ascii="Arial" w:hAnsi="Arial" w:cs="Arial"/>
          <w:sz w:val="19"/>
          <w:szCs w:val="19"/>
        </w:rPr>
        <w:t xml:space="preserve"> y non bis in </w:t>
      </w:r>
      <w:proofErr w:type="spellStart"/>
      <w:r w:rsidRPr="00312813">
        <w:rPr>
          <w:rFonts w:ascii="Arial" w:hAnsi="Arial" w:cs="Arial"/>
          <w:sz w:val="19"/>
          <w:szCs w:val="19"/>
        </w:rPr>
        <w:t>idem</w:t>
      </w:r>
      <w:proofErr w:type="spellEnd"/>
      <w:r w:rsidRPr="00312813">
        <w:rPr>
          <w:rFonts w:ascii="Arial" w:hAnsi="Arial" w:cs="Arial"/>
          <w:sz w:val="19"/>
          <w:szCs w:val="19"/>
        </w:rPr>
        <w:t xml:space="preserve"> […]».  </w:t>
      </w:r>
    </w:p>
  </w:footnote>
  <w:footnote w:id="18">
    <w:p w14:paraId="09DF99ED" w14:textId="654D3025" w:rsidR="00DA208F" w:rsidRPr="00312813" w:rsidRDefault="00B84425" w:rsidP="00DA208F">
      <w:pPr>
        <w:ind w:right="49"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Ley 80 de 1993: </w:t>
      </w:r>
      <w:r w:rsidR="00DA208F" w:rsidRPr="00312813">
        <w:rPr>
          <w:rFonts w:ascii="Arial" w:hAnsi="Arial" w:cs="Arial"/>
          <w:sz w:val="19"/>
          <w:szCs w:val="19"/>
        </w:rPr>
        <w:t>«</w:t>
      </w:r>
      <w:r w:rsidRPr="00312813">
        <w:rPr>
          <w:rFonts w:ascii="Arial" w:hAnsi="Arial" w:cs="Arial"/>
          <w:sz w:val="19"/>
          <w:szCs w:val="19"/>
        </w:rPr>
        <w:t>Artículo 8 De las inhabilidades e incompatibilidades para contratar</w:t>
      </w:r>
      <w:r w:rsidR="00DA208F" w:rsidRPr="00312813">
        <w:rPr>
          <w:rFonts w:ascii="Arial" w:hAnsi="Arial" w:cs="Arial"/>
          <w:sz w:val="19"/>
          <w:szCs w:val="19"/>
        </w:rPr>
        <w:t>:</w:t>
      </w:r>
    </w:p>
    <w:p w14:paraId="5D3CEA42" w14:textId="792A70AB" w:rsidR="00DA208F" w:rsidRPr="00312813" w:rsidRDefault="00DA208F" w:rsidP="00DA208F">
      <w:pPr>
        <w:ind w:right="49" w:firstLine="708"/>
        <w:jc w:val="both"/>
        <w:rPr>
          <w:rFonts w:ascii="Arial" w:hAnsi="Arial" w:cs="Arial"/>
          <w:sz w:val="19"/>
          <w:szCs w:val="19"/>
        </w:rPr>
      </w:pPr>
      <w:r w:rsidRPr="00312813">
        <w:rPr>
          <w:rFonts w:ascii="Arial" w:hAnsi="Arial" w:cs="Arial"/>
          <w:sz w:val="19"/>
          <w:szCs w:val="19"/>
        </w:rPr>
        <w:t>[…]</w:t>
      </w:r>
    </w:p>
    <w:p w14:paraId="7EFCA377" w14:textId="56705D32" w:rsidR="00B84425" w:rsidRPr="00312813" w:rsidRDefault="00DA208F" w:rsidP="00DA208F">
      <w:pPr>
        <w:ind w:right="49" w:firstLine="708"/>
        <w:jc w:val="both"/>
        <w:rPr>
          <w:rFonts w:ascii="Arial" w:hAnsi="Arial" w:cs="Arial"/>
          <w:sz w:val="19"/>
          <w:szCs w:val="19"/>
        </w:rPr>
      </w:pPr>
      <w:r w:rsidRPr="00312813">
        <w:rPr>
          <w:rFonts w:ascii="Arial" w:hAnsi="Arial" w:cs="Arial"/>
          <w:sz w:val="19"/>
          <w:szCs w:val="19"/>
        </w:rPr>
        <w:t>»</w:t>
      </w:r>
      <w:r w:rsidR="00B84425" w:rsidRPr="00312813">
        <w:rPr>
          <w:rFonts w:ascii="Arial" w:hAnsi="Arial" w:cs="Arial"/>
          <w:sz w:val="19"/>
          <w:szCs w:val="19"/>
        </w:rPr>
        <w:t>c) Quienes dieron lugar a la declaratoria de caducidad.</w:t>
      </w:r>
    </w:p>
    <w:p w14:paraId="5F52E1FE" w14:textId="6D045AE3" w:rsidR="00B84425" w:rsidRPr="00312813" w:rsidRDefault="00B84425" w:rsidP="00DA208F">
      <w:pPr>
        <w:pStyle w:val="Textonotapie"/>
        <w:ind w:right="49" w:firstLine="708"/>
        <w:jc w:val="both"/>
        <w:rPr>
          <w:rFonts w:ascii="Arial" w:hAnsi="Arial" w:cs="Arial"/>
          <w:sz w:val="19"/>
          <w:szCs w:val="19"/>
          <w:lang w:val="es-CO"/>
        </w:rPr>
      </w:pPr>
      <w:r w:rsidRPr="00312813">
        <w:rPr>
          <w:rFonts w:ascii="Arial" w:hAnsi="Arial" w:cs="Arial"/>
          <w:sz w:val="19"/>
          <w:szCs w:val="19"/>
          <w:lang w:val="es-CO"/>
        </w:rPr>
        <w:t>[…]</w:t>
      </w:r>
    </w:p>
    <w:p w14:paraId="5B1FAD60" w14:textId="1FFE3F54" w:rsidR="00B84425" w:rsidRPr="00312813" w:rsidRDefault="00DA208F" w:rsidP="00D112B4">
      <w:pPr>
        <w:ind w:right="49" w:firstLine="708"/>
        <w:jc w:val="both"/>
        <w:rPr>
          <w:rFonts w:ascii="Arial" w:hAnsi="Arial" w:cs="Arial"/>
          <w:sz w:val="19"/>
          <w:szCs w:val="19"/>
          <w:lang w:val="es-CO"/>
        </w:rPr>
      </w:pPr>
      <w:r w:rsidRPr="00312813">
        <w:rPr>
          <w:rFonts w:ascii="Arial" w:hAnsi="Arial" w:cs="Arial"/>
          <w:sz w:val="19"/>
          <w:szCs w:val="19"/>
        </w:rPr>
        <w:t>»</w:t>
      </w:r>
      <w:r w:rsidR="00B84425" w:rsidRPr="00312813">
        <w:rPr>
          <w:rFonts w:ascii="Arial" w:hAnsi="Arial" w:cs="Arial"/>
          <w:sz w:val="19"/>
          <w:szCs w:val="19"/>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00B84425" w:rsidRPr="00312813">
        <w:rPr>
          <w:rFonts w:ascii="Arial" w:hAnsi="Arial" w:cs="Arial"/>
          <w:spacing w:val="-19"/>
          <w:sz w:val="19"/>
          <w:szCs w:val="19"/>
        </w:rPr>
        <w:t xml:space="preserve"> </w:t>
      </w:r>
      <w:r w:rsidR="00B84425" w:rsidRPr="00312813">
        <w:rPr>
          <w:rFonts w:ascii="Arial" w:hAnsi="Arial" w:cs="Arial"/>
          <w:sz w:val="19"/>
          <w:szCs w:val="19"/>
        </w:rPr>
        <w:t>firma</w:t>
      </w:r>
      <w:r w:rsidRPr="00312813">
        <w:rPr>
          <w:rFonts w:ascii="Arial" w:hAnsi="Arial" w:cs="Arial"/>
          <w:sz w:val="19"/>
          <w:szCs w:val="19"/>
        </w:rPr>
        <w:t>»</w:t>
      </w:r>
      <w:r w:rsidR="00B84425" w:rsidRPr="00312813">
        <w:rPr>
          <w:rFonts w:ascii="Arial" w:hAnsi="Arial" w:cs="Arial"/>
          <w:sz w:val="19"/>
          <w:szCs w:val="19"/>
        </w:rPr>
        <w:t>.</w:t>
      </w:r>
    </w:p>
  </w:footnote>
  <w:footnote w:id="19">
    <w:p w14:paraId="50BC8CDB" w14:textId="59197643" w:rsidR="00DA208F" w:rsidRPr="00312813" w:rsidRDefault="00DA208F" w:rsidP="00DA208F">
      <w:pPr>
        <w:ind w:right="49" w:firstLine="708"/>
        <w:jc w:val="both"/>
        <w:rPr>
          <w:rFonts w:ascii="Arial" w:hAnsi="Arial" w:cs="Arial"/>
          <w:sz w:val="19"/>
          <w:szCs w:val="19"/>
        </w:rPr>
      </w:pPr>
      <w:r w:rsidRPr="00312813">
        <w:rPr>
          <w:rStyle w:val="Refdenotaalpie"/>
          <w:rFonts w:ascii="Arial" w:hAnsi="Arial" w:cs="Arial"/>
          <w:sz w:val="19"/>
          <w:szCs w:val="19"/>
        </w:rPr>
        <w:footnoteRef/>
      </w:r>
      <w:r w:rsidRPr="00312813">
        <w:rPr>
          <w:rFonts w:ascii="Arial" w:hAnsi="Arial" w:cs="Arial"/>
          <w:sz w:val="19"/>
          <w:szCs w:val="19"/>
        </w:rPr>
        <w:t xml:space="preserve"> Ley 80 de 1993</w:t>
      </w:r>
      <w:proofErr w:type="gramStart"/>
      <w:r w:rsidRPr="00312813">
        <w:rPr>
          <w:rFonts w:ascii="Arial" w:hAnsi="Arial" w:cs="Arial"/>
          <w:sz w:val="19"/>
          <w:szCs w:val="19"/>
        </w:rPr>
        <w:t>: »Artículo</w:t>
      </w:r>
      <w:proofErr w:type="gramEnd"/>
      <w:r w:rsidRPr="00312813">
        <w:rPr>
          <w:rFonts w:ascii="Arial" w:hAnsi="Arial" w:cs="Arial"/>
          <w:sz w:val="19"/>
          <w:szCs w:val="19"/>
        </w:rPr>
        <w:t xml:space="preserve"> 8 De las inhabilidades e incompatibilidades para contratar</w:t>
      </w:r>
    </w:p>
    <w:p w14:paraId="4BA0E8B4" w14:textId="6B2A9DEA" w:rsidR="00DA208F" w:rsidRPr="00312813" w:rsidRDefault="00DA208F" w:rsidP="00DA208F">
      <w:pPr>
        <w:spacing w:before="1"/>
        <w:ind w:right="49" w:firstLine="708"/>
        <w:jc w:val="both"/>
        <w:rPr>
          <w:rFonts w:ascii="Arial" w:hAnsi="Arial" w:cs="Arial"/>
          <w:sz w:val="19"/>
          <w:szCs w:val="19"/>
        </w:rPr>
      </w:pPr>
      <w:proofErr w:type="gramStart"/>
      <w:r w:rsidRPr="00312813">
        <w:rPr>
          <w:rFonts w:ascii="Arial" w:hAnsi="Arial" w:cs="Arial"/>
          <w:sz w:val="19"/>
          <w:szCs w:val="19"/>
        </w:rPr>
        <w:t>»k</w:t>
      </w:r>
      <w:proofErr w:type="gramEnd"/>
      <w:r w:rsidRPr="00312813">
        <w:rPr>
          <w:rFonts w:ascii="Arial" w:hAnsi="Arial" w:cs="Arial"/>
          <w:sz w:val="19"/>
          <w:szCs w:val="19"/>
        </w:rPr>
        <w: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2530071C" w14:textId="10825B43" w:rsidR="00DA208F" w:rsidRPr="00312813" w:rsidRDefault="00DA208F" w:rsidP="00DA208F">
      <w:pPr>
        <w:spacing w:before="1"/>
        <w:ind w:right="49" w:firstLine="708"/>
        <w:jc w:val="both"/>
        <w:rPr>
          <w:rFonts w:ascii="Arial" w:hAnsi="Arial" w:cs="Arial"/>
          <w:sz w:val="19"/>
          <w:szCs w:val="19"/>
        </w:rPr>
      </w:pPr>
      <w:proofErr w:type="gramStart"/>
      <w:r w:rsidRPr="00312813">
        <w:rPr>
          <w:rFonts w:ascii="Arial" w:hAnsi="Arial" w:cs="Arial"/>
          <w:sz w:val="19"/>
          <w:szCs w:val="19"/>
        </w:rPr>
        <w:t>»Esta</w:t>
      </w:r>
      <w:proofErr w:type="gramEnd"/>
      <w:r w:rsidRPr="00312813">
        <w:rPr>
          <w:rFonts w:ascii="Arial" w:hAnsi="Arial" w:cs="Arial"/>
          <w:sz w:val="19"/>
          <w:szCs w:val="19"/>
        </w:rPr>
        <w:t xml:space="preserve"> inhabilidad se extenderá por un término de cinco (5) años, contados a partir de la ejecutoria del acto administrativo que así lo declare, previa la actuación administrativa correspondiente».</w:t>
      </w:r>
    </w:p>
    <w:p w14:paraId="41580834" w14:textId="3E8D8208" w:rsidR="00DA208F" w:rsidRPr="00312813" w:rsidRDefault="00DA208F" w:rsidP="00DA208F">
      <w:pPr>
        <w:pStyle w:val="Textonotapie"/>
        <w:jc w:val="both"/>
        <w:rPr>
          <w:rFonts w:ascii="Arial" w:hAnsi="Arial" w:cs="Arial"/>
          <w:sz w:val="19"/>
          <w:szCs w:val="19"/>
          <w:lang w:val="es-CO"/>
        </w:rPr>
      </w:pPr>
      <w:r w:rsidRPr="00312813">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751F1" w:rsidRDefault="008751F1">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6AF8"/>
    <w:rsid w:val="00010D84"/>
    <w:rsid w:val="000170F8"/>
    <w:rsid w:val="00027C8A"/>
    <w:rsid w:val="00032B71"/>
    <w:rsid w:val="00052E6D"/>
    <w:rsid w:val="00056AFD"/>
    <w:rsid w:val="00062363"/>
    <w:rsid w:val="00064065"/>
    <w:rsid w:val="00070501"/>
    <w:rsid w:val="00083BF8"/>
    <w:rsid w:val="00084AA0"/>
    <w:rsid w:val="00084B97"/>
    <w:rsid w:val="00085147"/>
    <w:rsid w:val="000921C6"/>
    <w:rsid w:val="000942EB"/>
    <w:rsid w:val="00096EE0"/>
    <w:rsid w:val="000B103F"/>
    <w:rsid w:val="000B6F0F"/>
    <w:rsid w:val="000B71E4"/>
    <w:rsid w:val="000C0D40"/>
    <w:rsid w:val="000E3936"/>
    <w:rsid w:val="000F14E8"/>
    <w:rsid w:val="00103915"/>
    <w:rsid w:val="00105467"/>
    <w:rsid w:val="00122B23"/>
    <w:rsid w:val="00137FFA"/>
    <w:rsid w:val="00150BAE"/>
    <w:rsid w:val="00155152"/>
    <w:rsid w:val="00157A04"/>
    <w:rsid w:val="001659D9"/>
    <w:rsid w:val="001704FF"/>
    <w:rsid w:val="00170956"/>
    <w:rsid w:val="00172581"/>
    <w:rsid w:val="00172D04"/>
    <w:rsid w:val="00181317"/>
    <w:rsid w:val="00183832"/>
    <w:rsid w:val="001858BE"/>
    <w:rsid w:val="00191592"/>
    <w:rsid w:val="001A09AC"/>
    <w:rsid w:val="001A663E"/>
    <w:rsid w:val="001A7081"/>
    <w:rsid w:val="001A7A90"/>
    <w:rsid w:val="001B0444"/>
    <w:rsid w:val="001D3CC4"/>
    <w:rsid w:val="001D7C8A"/>
    <w:rsid w:val="001E60CB"/>
    <w:rsid w:val="001F34D4"/>
    <w:rsid w:val="001F7D57"/>
    <w:rsid w:val="0020632A"/>
    <w:rsid w:val="002110EB"/>
    <w:rsid w:val="00211338"/>
    <w:rsid w:val="002233B1"/>
    <w:rsid w:val="002252E2"/>
    <w:rsid w:val="00234B84"/>
    <w:rsid w:val="00244069"/>
    <w:rsid w:val="00260F08"/>
    <w:rsid w:val="00263A8B"/>
    <w:rsid w:val="00280F7C"/>
    <w:rsid w:val="002A11F2"/>
    <w:rsid w:val="002C4C0C"/>
    <w:rsid w:val="002C5EA2"/>
    <w:rsid w:val="002C6274"/>
    <w:rsid w:val="002C7F9C"/>
    <w:rsid w:val="002D5D05"/>
    <w:rsid w:val="002D6C6B"/>
    <w:rsid w:val="002F0EFC"/>
    <w:rsid w:val="002F1A14"/>
    <w:rsid w:val="002F454C"/>
    <w:rsid w:val="00301184"/>
    <w:rsid w:val="003033BA"/>
    <w:rsid w:val="003074AE"/>
    <w:rsid w:val="00312813"/>
    <w:rsid w:val="00322937"/>
    <w:rsid w:val="00325E6F"/>
    <w:rsid w:val="003337A1"/>
    <w:rsid w:val="00336972"/>
    <w:rsid w:val="0034177C"/>
    <w:rsid w:val="0034677C"/>
    <w:rsid w:val="0034680A"/>
    <w:rsid w:val="003470D1"/>
    <w:rsid w:val="003471B0"/>
    <w:rsid w:val="00347C19"/>
    <w:rsid w:val="00353C4C"/>
    <w:rsid w:val="00353DD5"/>
    <w:rsid w:val="00386456"/>
    <w:rsid w:val="00396FE0"/>
    <w:rsid w:val="003A0878"/>
    <w:rsid w:val="003A2753"/>
    <w:rsid w:val="003A46FC"/>
    <w:rsid w:val="003A581E"/>
    <w:rsid w:val="003C63A9"/>
    <w:rsid w:val="003D000D"/>
    <w:rsid w:val="003D2E2C"/>
    <w:rsid w:val="004042CB"/>
    <w:rsid w:val="00412C63"/>
    <w:rsid w:val="00423F9F"/>
    <w:rsid w:val="00427331"/>
    <w:rsid w:val="004422D6"/>
    <w:rsid w:val="004569DB"/>
    <w:rsid w:val="0046281F"/>
    <w:rsid w:val="004644A2"/>
    <w:rsid w:val="00473979"/>
    <w:rsid w:val="0048136F"/>
    <w:rsid w:val="0049094E"/>
    <w:rsid w:val="0049241A"/>
    <w:rsid w:val="004A34D2"/>
    <w:rsid w:val="004C597C"/>
    <w:rsid w:val="004C758D"/>
    <w:rsid w:val="004E0E0D"/>
    <w:rsid w:val="004E5EAC"/>
    <w:rsid w:val="004E73BB"/>
    <w:rsid w:val="00503206"/>
    <w:rsid w:val="0051074C"/>
    <w:rsid w:val="00513AF2"/>
    <w:rsid w:val="005178B0"/>
    <w:rsid w:val="0054413A"/>
    <w:rsid w:val="00552845"/>
    <w:rsid w:val="005564CA"/>
    <w:rsid w:val="0056182B"/>
    <w:rsid w:val="005756AA"/>
    <w:rsid w:val="00596405"/>
    <w:rsid w:val="005B4FDD"/>
    <w:rsid w:val="005C0573"/>
    <w:rsid w:val="005C157D"/>
    <w:rsid w:val="005D0F03"/>
    <w:rsid w:val="005D3341"/>
    <w:rsid w:val="005D51FA"/>
    <w:rsid w:val="005D791B"/>
    <w:rsid w:val="005F2818"/>
    <w:rsid w:val="005F418B"/>
    <w:rsid w:val="006010F7"/>
    <w:rsid w:val="00611B77"/>
    <w:rsid w:val="00614817"/>
    <w:rsid w:val="00617FF2"/>
    <w:rsid w:val="0063147A"/>
    <w:rsid w:val="00633DBF"/>
    <w:rsid w:val="006344B7"/>
    <w:rsid w:val="00640AEF"/>
    <w:rsid w:val="006426BC"/>
    <w:rsid w:val="00644C0A"/>
    <w:rsid w:val="00655371"/>
    <w:rsid w:val="00660B1A"/>
    <w:rsid w:val="006636B5"/>
    <w:rsid w:val="00665AA7"/>
    <w:rsid w:val="0067348A"/>
    <w:rsid w:val="006837FC"/>
    <w:rsid w:val="006911AD"/>
    <w:rsid w:val="006967F3"/>
    <w:rsid w:val="00697665"/>
    <w:rsid w:val="006978FD"/>
    <w:rsid w:val="006A2AF8"/>
    <w:rsid w:val="006A7CB5"/>
    <w:rsid w:val="006A7FD0"/>
    <w:rsid w:val="006B60C8"/>
    <w:rsid w:val="006C014E"/>
    <w:rsid w:val="006C1C9E"/>
    <w:rsid w:val="006D10B1"/>
    <w:rsid w:val="006D26D0"/>
    <w:rsid w:val="006D687F"/>
    <w:rsid w:val="006D7687"/>
    <w:rsid w:val="006E0572"/>
    <w:rsid w:val="006E096A"/>
    <w:rsid w:val="006E3288"/>
    <w:rsid w:val="006F2A69"/>
    <w:rsid w:val="00705631"/>
    <w:rsid w:val="00715EAA"/>
    <w:rsid w:val="0072288F"/>
    <w:rsid w:val="007346AD"/>
    <w:rsid w:val="00742DD2"/>
    <w:rsid w:val="00746E08"/>
    <w:rsid w:val="00747C96"/>
    <w:rsid w:val="0075094E"/>
    <w:rsid w:val="00751504"/>
    <w:rsid w:val="007522E8"/>
    <w:rsid w:val="0075647A"/>
    <w:rsid w:val="007634AD"/>
    <w:rsid w:val="0078122E"/>
    <w:rsid w:val="00790122"/>
    <w:rsid w:val="00795647"/>
    <w:rsid w:val="007A4609"/>
    <w:rsid w:val="007A5F3E"/>
    <w:rsid w:val="007B0854"/>
    <w:rsid w:val="007B6F1D"/>
    <w:rsid w:val="007C3E51"/>
    <w:rsid w:val="007D7BD9"/>
    <w:rsid w:val="007E0383"/>
    <w:rsid w:val="007F0724"/>
    <w:rsid w:val="007F4562"/>
    <w:rsid w:val="007F6B46"/>
    <w:rsid w:val="007F72CB"/>
    <w:rsid w:val="00811CB5"/>
    <w:rsid w:val="0081537B"/>
    <w:rsid w:val="008217B7"/>
    <w:rsid w:val="0083119B"/>
    <w:rsid w:val="00836EAB"/>
    <w:rsid w:val="0085092D"/>
    <w:rsid w:val="00850F79"/>
    <w:rsid w:val="00854CFC"/>
    <w:rsid w:val="00870F20"/>
    <w:rsid w:val="00871FD2"/>
    <w:rsid w:val="008751F1"/>
    <w:rsid w:val="00876480"/>
    <w:rsid w:val="0089774F"/>
    <w:rsid w:val="008A55BC"/>
    <w:rsid w:val="008B5B04"/>
    <w:rsid w:val="008C283B"/>
    <w:rsid w:val="008C6F27"/>
    <w:rsid w:val="008D13DB"/>
    <w:rsid w:val="008D56A7"/>
    <w:rsid w:val="008D6DE0"/>
    <w:rsid w:val="008E1C15"/>
    <w:rsid w:val="008E2E09"/>
    <w:rsid w:val="008E7B50"/>
    <w:rsid w:val="008F538E"/>
    <w:rsid w:val="008F6999"/>
    <w:rsid w:val="009047C5"/>
    <w:rsid w:val="009058E3"/>
    <w:rsid w:val="00907404"/>
    <w:rsid w:val="00917BB0"/>
    <w:rsid w:val="00923BCA"/>
    <w:rsid w:val="009256D5"/>
    <w:rsid w:val="009314A3"/>
    <w:rsid w:val="0094362D"/>
    <w:rsid w:val="0095385A"/>
    <w:rsid w:val="00953E0F"/>
    <w:rsid w:val="00960D5C"/>
    <w:rsid w:val="00962E23"/>
    <w:rsid w:val="0096318D"/>
    <w:rsid w:val="00985EFB"/>
    <w:rsid w:val="0099575F"/>
    <w:rsid w:val="009A7824"/>
    <w:rsid w:val="009B2EE5"/>
    <w:rsid w:val="009D0BBF"/>
    <w:rsid w:val="009E1BE1"/>
    <w:rsid w:val="009E2240"/>
    <w:rsid w:val="009E3277"/>
    <w:rsid w:val="009F0642"/>
    <w:rsid w:val="009F0BB6"/>
    <w:rsid w:val="009F5081"/>
    <w:rsid w:val="009F59C2"/>
    <w:rsid w:val="009F5D34"/>
    <w:rsid w:val="009F5F31"/>
    <w:rsid w:val="009F7F06"/>
    <w:rsid w:val="00A114A5"/>
    <w:rsid w:val="00A114CB"/>
    <w:rsid w:val="00A24560"/>
    <w:rsid w:val="00A278BD"/>
    <w:rsid w:val="00A34004"/>
    <w:rsid w:val="00A34538"/>
    <w:rsid w:val="00A346CD"/>
    <w:rsid w:val="00A37FB6"/>
    <w:rsid w:val="00A47A82"/>
    <w:rsid w:val="00A579BB"/>
    <w:rsid w:val="00A754E3"/>
    <w:rsid w:val="00A87553"/>
    <w:rsid w:val="00A910CB"/>
    <w:rsid w:val="00A97D21"/>
    <w:rsid w:val="00AA08E7"/>
    <w:rsid w:val="00AA442B"/>
    <w:rsid w:val="00AA669D"/>
    <w:rsid w:val="00AB54B0"/>
    <w:rsid w:val="00AC7720"/>
    <w:rsid w:val="00AD666C"/>
    <w:rsid w:val="00AE3988"/>
    <w:rsid w:val="00AE6036"/>
    <w:rsid w:val="00AE70B1"/>
    <w:rsid w:val="00AF6DAE"/>
    <w:rsid w:val="00B022A4"/>
    <w:rsid w:val="00B030B1"/>
    <w:rsid w:val="00B05A55"/>
    <w:rsid w:val="00B05E3A"/>
    <w:rsid w:val="00B073F3"/>
    <w:rsid w:val="00B13EC0"/>
    <w:rsid w:val="00B22024"/>
    <w:rsid w:val="00B22E22"/>
    <w:rsid w:val="00B23041"/>
    <w:rsid w:val="00B25ADA"/>
    <w:rsid w:val="00B35A63"/>
    <w:rsid w:val="00B460E5"/>
    <w:rsid w:val="00B525CB"/>
    <w:rsid w:val="00B6189A"/>
    <w:rsid w:val="00B63872"/>
    <w:rsid w:val="00B63CB2"/>
    <w:rsid w:val="00B64EDB"/>
    <w:rsid w:val="00B7315F"/>
    <w:rsid w:val="00B75A9B"/>
    <w:rsid w:val="00B75B2B"/>
    <w:rsid w:val="00B84425"/>
    <w:rsid w:val="00B91B8E"/>
    <w:rsid w:val="00B92156"/>
    <w:rsid w:val="00BA1266"/>
    <w:rsid w:val="00BD2DDD"/>
    <w:rsid w:val="00BD3394"/>
    <w:rsid w:val="00BD3D51"/>
    <w:rsid w:val="00BD78FE"/>
    <w:rsid w:val="00BD7ABD"/>
    <w:rsid w:val="00BE194E"/>
    <w:rsid w:val="00BE33E3"/>
    <w:rsid w:val="00BE5842"/>
    <w:rsid w:val="00BF4D87"/>
    <w:rsid w:val="00BF6B43"/>
    <w:rsid w:val="00BF6D5B"/>
    <w:rsid w:val="00C11942"/>
    <w:rsid w:val="00C16250"/>
    <w:rsid w:val="00C40E3E"/>
    <w:rsid w:val="00C410B5"/>
    <w:rsid w:val="00C46188"/>
    <w:rsid w:val="00C60414"/>
    <w:rsid w:val="00C61D16"/>
    <w:rsid w:val="00C634EA"/>
    <w:rsid w:val="00C653AC"/>
    <w:rsid w:val="00C707CB"/>
    <w:rsid w:val="00C76E54"/>
    <w:rsid w:val="00C91FB2"/>
    <w:rsid w:val="00C93443"/>
    <w:rsid w:val="00CA3543"/>
    <w:rsid w:val="00CC00CD"/>
    <w:rsid w:val="00CD078A"/>
    <w:rsid w:val="00D01760"/>
    <w:rsid w:val="00D1044A"/>
    <w:rsid w:val="00D112B4"/>
    <w:rsid w:val="00D16E39"/>
    <w:rsid w:val="00D16FA8"/>
    <w:rsid w:val="00D20AD0"/>
    <w:rsid w:val="00D223B6"/>
    <w:rsid w:val="00D26A74"/>
    <w:rsid w:val="00D27FCD"/>
    <w:rsid w:val="00D361BF"/>
    <w:rsid w:val="00D37E9B"/>
    <w:rsid w:val="00D45539"/>
    <w:rsid w:val="00D4557E"/>
    <w:rsid w:val="00D536D4"/>
    <w:rsid w:val="00D60327"/>
    <w:rsid w:val="00D622AF"/>
    <w:rsid w:val="00D66CC3"/>
    <w:rsid w:val="00D71042"/>
    <w:rsid w:val="00D72E9D"/>
    <w:rsid w:val="00D746FD"/>
    <w:rsid w:val="00D76E0D"/>
    <w:rsid w:val="00D82CE5"/>
    <w:rsid w:val="00D91951"/>
    <w:rsid w:val="00D94852"/>
    <w:rsid w:val="00D94962"/>
    <w:rsid w:val="00DA208F"/>
    <w:rsid w:val="00DA5AB1"/>
    <w:rsid w:val="00DB04D4"/>
    <w:rsid w:val="00DB6633"/>
    <w:rsid w:val="00DC06A6"/>
    <w:rsid w:val="00DC62E5"/>
    <w:rsid w:val="00DC6DF2"/>
    <w:rsid w:val="00DD6ABE"/>
    <w:rsid w:val="00DD735D"/>
    <w:rsid w:val="00DE3119"/>
    <w:rsid w:val="00DE5B33"/>
    <w:rsid w:val="00DE6E0C"/>
    <w:rsid w:val="00DE74A8"/>
    <w:rsid w:val="00DF236B"/>
    <w:rsid w:val="00DF40DF"/>
    <w:rsid w:val="00E04179"/>
    <w:rsid w:val="00E10A7E"/>
    <w:rsid w:val="00E11C35"/>
    <w:rsid w:val="00E13AB8"/>
    <w:rsid w:val="00E22816"/>
    <w:rsid w:val="00E25CB3"/>
    <w:rsid w:val="00E33B62"/>
    <w:rsid w:val="00E35B91"/>
    <w:rsid w:val="00E4143A"/>
    <w:rsid w:val="00E45327"/>
    <w:rsid w:val="00E6039E"/>
    <w:rsid w:val="00E605C4"/>
    <w:rsid w:val="00E61AEE"/>
    <w:rsid w:val="00E64541"/>
    <w:rsid w:val="00EA0B3F"/>
    <w:rsid w:val="00EC187C"/>
    <w:rsid w:val="00EC6C6C"/>
    <w:rsid w:val="00ED069A"/>
    <w:rsid w:val="00ED7C47"/>
    <w:rsid w:val="00EE59B5"/>
    <w:rsid w:val="00EF5645"/>
    <w:rsid w:val="00F126A2"/>
    <w:rsid w:val="00F132C2"/>
    <w:rsid w:val="00F16A2E"/>
    <w:rsid w:val="00F23E3A"/>
    <w:rsid w:val="00F31A6E"/>
    <w:rsid w:val="00F431BE"/>
    <w:rsid w:val="00F5291B"/>
    <w:rsid w:val="00F603CC"/>
    <w:rsid w:val="00F72043"/>
    <w:rsid w:val="00F84899"/>
    <w:rsid w:val="00F859F0"/>
    <w:rsid w:val="00FA039C"/>
    <w:rsid w:val="00FA19FB"/>
    <w:rsid w:val="00FB1417"/>
    <w:rsid w:val="00FB7FA5"/>
    <w:rsid w:val="00FC1D2E"/>
    <w:rsid w:val="00FC53F2"/>
    <w:rsid w:val="00FD56EF"/>
    <w:rsid w:val="00FD74A6"/>
    <w:rsid w:val="00FE141E"/>
    <w:rsid w:val="00FE180D"/>
    <w:rsid w:val="00FE36B6"/>
    <w:rsid w:val="00FE42ED"/>
    <w:rsid w:val="00FE5201"/>
    <w:rsid w:val="00FF0706"/>
    <w:rsid w:val="00FF65D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263A8B"/>
    <w:pPr>
      <w:autoSpaceDE w:val="0"/>
      <w:autoSpaceDN w:val="0"/>
      <w:adjustRightInd w:val="0"/>
      <w:spacing w:after="0" w:line="240" w:lineRule="auto"/>
    </w:pPr>
    <w:rPr>
      <w:rFonts w:ascii="Cambria" w:hAnsi="Cambria" w:cs="Cambria"/>
      <w:color w:val="000000"/>
      <w:sz w:val="24"/>
      <w:szCs w:val="24"/>
    </w:rPr>
  </w:style>
  <w:style w:type="character" w:styleId="Hipervnculovisitado">
    <w:name w:val="FollowedHyperlink"/>
    <w:basedOn w:val="Fuentedeprrafopredeter"/>
    <w:uiPriority w:val="99"/>
    <w:semiHidden/>
    <w:unhideWhenUsed/>
    <w:rsid w:val="00B35A63"/>
    <w:rPr>
      <w:color w:val="F2F2F2" w:themeColor="followedHyperlink"/>
      <w:u w:val="single"/>
    </w:rPr>
  </w:style>
  <w:style w:type="paragraph" w:styleId="Textoindependiente">
    <w:name w:val="Body Text"/>
    <w:basedOn w:val="Normal"/>
    <w:link w:val="TextoindependienteCar"/>
    <w:uiPriority w:val="1"/>
    <w:qFormat/>
    <w:rsid w:val="00D37E9B"/>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37E9B"/>
    <w:rPr>
      <w:rFonts w:ascii="Arial" w:eastAsia="Arial" w:hAnsi="Arial" w:cs="Arial"/>
      <w:lang w:val="es-ES" w:eastAsia="es-ES" w:bidi="es-ES"/>
    </w:rPr>
  </w:style>
  <w:style w:type="table" w:customStyle="1" w:styleId="Tablaconcuadrcula11">
    <w:name w:val="Tabla con cuadrícula11"/>
    <w:basedOn w:val="Tablanormal"/>
    <w:next w:val="Tablaconcuadrcula"/>
    <w:uiPriority w:val="59"/>
    <w:rsid w:val="00056AF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6387979">
      <w:bodyDiv w:val="1"/>
      <w:marLeft w:val="0"/>
      <w:marRight w:val="0"/>
      <w:marTop w:val="0"/>
      <w:marBottom w:val="0"/>
      <w:divBdr>
        <w:top w:val="none" w:sz="0" w:space="0" w:color="auto"/>
        <w:left w:val="none" w:sz="0" w:space="0" w:color="auto"/>
        <w:bottom w:val="none" w:sz="0" w:space="0" w:color="auto"/>
        <w:right w:val="none" w:sz="0" w:space="0" w:color="auto"/>
      </w:divBdr>
    </w:div>
    <w:div w:id="701637801">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91293391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270622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85089887">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40F8E-6F7E-474D-8CAB-F00EB40DFF63}">
  <ds:schemaRefs>
    <ds:schemaRef ds:uri="http://schemas.openxmlformats.org/officeDocument/2006/bibliography"/>
  </ds:schemaRefs>
</ds:datastoreItem>
</file>

<file path=customXml/itemProps2.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255B2E5-B180-4B75-9BE1-E7C28351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4807</Words>
  <Characters>26442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2020-12-10T15:25:00Z</dcterms:created>
  <dcterms:modified xsi:type="dcterms:W3CDTF">2020-12-10T15:25:00Z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