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6C15D5" w:rsidRDefault="00BE1E33" w:rsidP="00BE1E33">
      <w:pPr>
        <w:jc w:val="right"/>
        <w:rPr>
          <w:rFonts w:ascii="Arial" w:hAnsi="Arial" w:cs="Arial"/>
          <w:bCs/>
          <w:color w:val="000000" w:themeColor="text1"/>
          <w:sz w:val="16"/>
          <w:szCs w:val="16"/>
          <w:lang w:eastAsia="es-ES"/>
        </w:rPr>
      </w:pPr>
      <w:bookmarkStart w:id="0" w:name="_Hlk28946138"/>
      <w:bookmarkStart w:id="1" w:name="_Hlk29548183"/>
      <w:r w:rsidRPr="006C15D5">
        <w:rPr>
          <w:rFonts w:ascii="Arial" w:hAnsi="Arial" w:cs="Arial"/>
          <w:b/>
          <w:color w:val="000000" w:themeColor="text1"/>
          <w:sz w:val="16"/>
          <w:szCs w:val="16"/>
          <w:lang w:eastAsia="es-ES"/>
        </w:rPr>
        <w:tab/>
      </w:r>
      <w:r w:rsidRPr="006C15D5">
        <w:rPr>
          <w:rFonts w:ascii="Arial" w:hAnsi="Arial" w:cs="Arial"/>
          <w:bCs/>
          <w:color w:val="000000" w:themeColor="text1"/>
          <w:sz w:val="16"/>
          <w:szCs w:val="16"/>
          <w:lang w:eastAsia="es-ES"/>
        </w:rPr>
        <w:t>CCE-DES-FM-17</w:t>
      </w:r>
    </w:p>
    <w:p w14:paraId="488878EC" w14:textId="77777777" w:rsidR="008322B1" w:rsidRPr="008322B1" w:rsidRDefault="008322B1" w:rsidP="008322B1">
      <w:pPr>
        <w:jc w:val="both"/>
        <w:rPr>
          <w:rFonts w:ascii="Arial" w:eastAsia="Arial" w:hAnsi="Arial" w:cs="Arial"/>
          <w:b/>
          <w:bCs/>
          <w:color w:val="000000" w:themeColor="text1"/>
          <w:sz w:val="20"/>
          <w:szCs w:val="20"/>
        </w:rPr>
      </w:pPr>
    </w:p>
    <w:p w14:paraId="78AE86D3" w14:textId="77777777" w:rsidR="000F7783" w:rsidRPr="00DC2C79" w:rsidRDefault="000F7783" w:rsidP="000F7783">
      <w:pPr>
        <w:jc w:val="both"/>
        <w:rPr>
          <w:rFonts w:ascii="Arial" w:eastAsia="Calibri" w:hAnsi="Arial" w:cs="Arial"/>
          <w:color w:val="000000" w:themeColor="text1"/>
          <w:sz w:val="22"/>
          <w:lang w:val="es-ES_tradnl"/>
        </w:rPr>
      </w:pPr>
      <w:r w:rsidRPr="00DC2C79">
        <w:rPr>
          <w:rFonts w:ascii="Arial" w:eastAsia="Calibri" w:hAnsi="Arial" w:cs="Arial"/>
          <w:b/>
          <w:color w:val="000000" w:themeColor="text1"/>
          <w:sz w:val="22"/>
          <w:lang w:val="es-ES_tradnl"/>
        </w:rPr>
        <w:t xml:space="preserve">PRINCIPIO DE SELECCIÓN OBJETIVA </w:t>
      </w:r>
      <w:bookmarkStart w:id="2" w:name="_Hlk39479884"/>
      <w:r>
        <w:rPr>
          <w:rFonts w:ascii="Arial" w:eastAsia="Calibri" w:hAnsi="Arial" w:cs="Arial"/>
          <w:b/>
          <w:bCs/>
          <w:color w:val="000000" w:themeColor="text1"/>
          <w:sz w:val="20"/>
          <w:szCs w:val="20"/>
        </w:rPr>
        <w:t>–</w:t>
      </w:r>
      <w:bookmarkEnd w:id="2"/>
      <w:r w:rsidRPr="00DC2C79">
        <w:rPr>
          <w:rFonts w:ascii="Arial" w:eastAsia="Calibri" w:hAnsi="Arial" w:cs="Arial"/>
          <w:b/>
          <w:color w:val="000000" w:themeColor="text1"/>
          <w:sz w:val="22"/>
          <w:lang w:val="es-ES_tradnl"/>
        </w:rPr>
        <w:t xml:space="preserve"> Fundamento </w:t>
      </w:r>
      <w:r>
        <w:rPr>
          <w:rFonts w:ascii="Arial" w:eastAsia="Calibri" w:hAnsi="Arial" w:cs="Arial"/>
          <w:b/>
          <w:bCs/>
          <w:color w:val="000000" w:themeColor="text1"/>
          <w:sz w:val="20"/>
          <w:szCs w:val="20"/>
        </w:rPr>
        <w:t>–</w:t>
      </w:r>
      <w:r w:rsidRPr="00DC2C79">
        <w:rPr>
          <w:rFonts w:ascii="Arial" w:eastAsia="Calibri" w:hAnsi="Arial" w:cs="Arial"/>
          <w:b/>
          <w:color w:val="000000" w:themeColor="text1"/>
          <w:sz w:val="22"/>
          <w:lang w:val="es-ES_tradnl"/>
        </w:rPr>
        <w:t xml:space="preserve"> Alcance</w:t>
      </w:r>
    </w:p>
    <w:p w14:paraId="5A774283" w14:textId="77777777" w:rsidR="000F7783" w:rsidRPr="00DC2C79" w:rsidRDefault="000F7783" w:rsidP="000F7783">
      <w:pPr>
        <w:jc w:val="both"/>
        <w:rPr>
          <w:rFonts w:ascii="Arial" w:eastAsia="Calibri" w:hAnsi="Arial" w:cs="Arial"/>
          <w:color w:val="000000" w:themeColor="text1"/>
          <w:sz w:val="22"/>
          <w:lang w:val="es-ES_tradnl"/>
        </w:rPr>
      </w:pPr>
    </w:p>
    <w:p w14:paraId="2C3F9127" w14:textId="77777777" w:rsidR="000F7783" w:rsidRPr="00DC2C79" w:rsidRDefault="000F7783" w:rsidP="000F7783">
      <w:pPr>
        <w:jc w:val="both"/>
        <w:rPr>
          <w:rFonts w:ascii="Arial" w:eastAsia="Calibri" w:hAnsi="Arial" w:cs="Arial"/>
          <w:color w:val="000000" w:themeColor="text1"/>
          <w:sz w:val="20"/>
          <w:lang w:val="es-ES_tradnl"/>
        </w:rPr>
      </w:pPr>
      <w:r w:rsidRPr="00DC2C79">
        <w:rPr>
          <w:rFonts w:ascii="Arial" w:eastAsia="Calibri" w:hAnsi="Arial" w:cs="Arial"/>
          <w:color w:val="000000" w:themeColor="text1"/>
          <w:sz w:val="20"/>
          <w:lang w:val="es-ES_tradnl"/>
        </w:rPr>
        <w:t>El principio de selección objetiva es un postulado que debe orientar la escogencia del futuro contratista del Estado en los procedimientos de selección adelantados por las entidades públicas, que se traduce en la exigencia de que la elección no esté basada en apreciaciones o factores subjetivos, sino en criterios objetivos, de carácter técnico, jurídico y financiero. En tal sentido, se trata de un principio que se deriva, en el ordenamiento jurídico colombiano, de principios como la igualdad (art. 13, C.P.) y la buena fe –manifestada en la confianza legítima– (art. 83 C.P.), así como de los principios de la función administrativa y de la gestión fiscal (arts. 209 y 267 C.P.). Dicho principio rector de los procedimientos de selección, además, encuentra fundamentación legal expresa en disposiciones como el artículo 24, numeral 5º, literal a) de la Ley 80 de 1993, que exige incorporar requisitos objetivos en los pliegos de condiciones; el artículo 24, numeral 5º, literal b) de la misma Ley, que manda que en el pliego se definan «reglas objetivas, justas, claras y completas que permitan la confección de ofrecimientos de la misma índole, aseguren una escogencia objetiva y eviten la declaratoria de desierta de la licitación»; y, de forma más clara profunda y clara, el artículo 5º de la Ley 1150 de 2007, cuyo primer inciso dispone que «Es objetiva la selección en la cual la escogencia se haga al ofrecimiento más favorable a la entidad y a los fines que ella busca, sin tener en consideración factores de afecto o de interés y, en general, cualquier clase de motivación subjetiva». La subsanabilidad de las ofertas fortalece la garantía del principio de selección objetiva, porque permite que se le otorgue prevalencia, como criterio de selección, a la favorabilidad del ofrecimiento, por sus ventajas objetivas para la entidad estatal, sobre los errores formales que se adviertan en los requisitos habilitantes.</w:t>
      </w:r>
      <w:r w:rsidRPr="00DC2C79">
        <w:rPr>
          <w:rFonts w:ascii="Arial" w:eastAsia="Calibri" w:hAnsi="Arial" w:cs="Arial"/>
          <w:color w:val="000000" w:themeColor="text1"/>
          <w:sz w:val="20"/>
          <w:lang w:val="es-ES_tradnl"/>
        </w:rPr>
        <w:tab/>
      </w:r>
    </w:p>
    <w:p w14:paraId="1DB05EC9" w14:textId="77777777" w:rsidR="000F7783" w:rsidRPr="00DC2C79" w:rsidRDefault="000F7783" w:rsidP="000F7783">
      <w:pPr>
        <w:jc w:val="both"/>
        <w:rPr>
          <w:rFonts w:ascii="Arial" w:eastAsia="Calibri" w:hAnsi="Arial" w:cs="Arial"/>
          <w:color w:val="000000" w:themeColor="text1"/>
          <w:sz w:val="22"/>
          <w:lang w:val="es-ES_tradnl"/>
        </w:rPr>
      </w:pPr>
    </w:p>
    <w:p w14:paraId="123101CA" w14:textId="4B43BC7B" w:rsidR="000F7783" w:rsidRPr="00DC2C79" w:rsidRDefault="000F7783" w:rsidP="000F7783">
      <w:pPr>
        <w:jc w:val="both"/>
        <w:rPr>
          <w:rFonts w:ascii="Arial" w:eastAsia="Calibri" w:hAnsi="Arial" w:cs="Arial"/>
          <w:b/>
          <w:bCs/>
          <w:color w:val="000000" w:themeColor="text1"/>
          <w:sz w:val="22"/>
          <w:lang w:val="es-ES"/>
        </w:rPr>
      </w:pPr>
      <w:r w:rsidRPr="7725D498">
        <w:rPr>
          <w:rFonts w:ascii="Arial" w:eastAsia="Calibri" w:hAnsi="Arial" w:cs="Arial"/>
          <w:b/>
          <w:bCs/>
          <w:color w:val="000000" w:themeColor="text1"/>
          <w:sz w:val="22"/>
          <w:lang w:val="es-ES"/>
        </w:rPr>
        <w:t xml:space="preserve">SUBSANABILIDAD </w:t>
      </w:r>
      <w:r w:rsidRPr="7725D498">
        <w:rPr>
          <w:rFonts w:ascii="Arial" w:eastAsia="Calibri" w:hAnsi="Arial" w:cs="Arial"/>
          <w:b/>
          <w:bCs/>
          <w:color w:val="000000" w:themeColor="text1"/>
          <w:sz w:val="20"/>
          <w:szCs w:val="20"/>
        </w:rPr>
        <w:t>–</w:t>
      </w:r>
      <w:r w:rsidR="0046018B">
        <w:rPr>
          <w:rFonts w:ascii="Arial" w:eastAsia="Calibri" w:hAnsi="Arial" w:cs="Arial"/>
          <w:b/>
          <w:bCs/>
          <w:color w:val="000000" w:themeColor="text1"/>
          <w:sz w:val="20"/>
          <w:szCs w:val="20"/>
        </w:rPr>
        <w:t xml:space="preserve"> </w:t>
      </w:r>
      <w:r w:rsidRPr="7725D498">
        <w:rPr>
          <w:rFonts w:ascii="Arial" w:eastAsia="Calibri" w:hAnsi="Arial" w:cs="Arial"/>
          <w:b/>
          <w:bCs/>
          <w:color w:val="000000" w:themeColor="text1"/>
          <w:sz w:val="22"/>
          <w:lang w:val="es-ES"/>
        </w:rPr>
        <w:t xml:space="preserve">Aplicación </w:t>
      </w:r>
      <w:r w:rsidRPr="7725D498">
        <w:rPr>
          <w:rFonts w:ascii="Arial" w:eastAsia="Calibri" w:hAnsi="Arial" w:cs="Arial"/>
          <w:b/>
          <w:bCs/>
          <w:color w:val="000000" w:themeColor="text1"/>
          <w:sz w:val="20"/>
          <w:szCs w:val="20"/>
        </w:rPr>
        <w:t>–</w:t>
      </w:r>
      <w:r w:rsidRPr="7725D498">
        <w:rPr>
          <w:rFonts w:ascii="Arial" w:eastAsia="Calibri" w:hAnsi="Arial" w:cs="Arial"/>
          <w:b/>
          <w:bCs/>
          <w:color w:val="000000" w:themeColor="text1"/>
          <w:sz w:val="22"/>
          <w:lang w:val="es-ES"/>
        </w:rPr>
        <w:t xml:space="preserve"> Improcedencia </w:t>
      </w:r>
      <w:r w:rsidRPr="7725D498">
        <w:rPr>
          <w:rFonts w:ascii="Arial" w:eastAsia="Calibri" w:hAnsi="Arial" w:cs="Arial"/>
          <w:b/>
          <w:bCs/>
          <w:color w:val="000000" w:themeColor="text1"/>
          <w:sz w:val="20"/>
          <w:szCs w:val="20"/>
        </w:rPr>
        <w:t>–</w:t>
      </w:r>
      <w:r w:rsidRPr="7725D498">
        <w:rPr>
          <w:rFonts w:ascii="Arial" w:eastAsia="Calibri" w:hAnsi="Arial" w:cs="Arial"/>
          <w:b/>
          <w:bCs/>
          <w:color w:val="000000" w:themeColor="text1"/>
          <w:sz w:val="22"/>
          <w:lang w:val="es-ES"/>
        </w:rPr>
        <w:t xml:space="preserve"> Circunstancias posteriores </w:t>
      </w:r>
      <w:r w:rsidRPr="7725D498">
        <w:rPr>
          <w:rFonts w:ascii="Arial" w:eastAsia="Calibri" w:hAnsi="Arial" w:cs="Arial"/>
          <w:b/>
          <w:bCs/>
          <w:color w:val="000000" w:themeColor="text1"/>
          <w:sz w:val="20"/>
          <w:szCs w:val="20"/>
        </w:rPr>
        <w:t>–</w:t>
      </w:r>
      <w:r w:rsidRPr="7725D498">
        <w:rPr>
          <w:rFonts w:ascii="Arial" w:eastAsia="Calibri" w:hAnsi="Arial" w:cs="Arial"/>
          <w:b/>
          <w:bCs/>
          <w:color w:val="000000" w:themeColor="text1"/>
          <w:sz w:val="22"/>
          <w:lang w:val="es-ES"/>
        </w:rPr>
        <w:t xml:space="preserve"> Cierre del proceso</w:t>
      </w:r>
    </w:p>
    <w:p w14:paraId="7D1E61C5" w14:textId="77777777" w:rsidR="000F7783" w:rsidRPr="00DC2C79" w:rsidRDefault="000F7783" w:rsidP="000F7783">
      <w:pPr>
        <w:jc w:val="both"/>
        <w:rPr>
          <w:rFonts w:ascii="Arial" w:eastAsia="Calibri" w:hAnsi="Arial" w:cs="Arial"/>
          <w:color w:val="000000" w:themeColor="text1"/>
          <w:sz w:val="22"/>
          <w:lang w:val="es-ES_tradnl"/>
        </w:rPr>
      </w:pPr>
    </w:p>
    <w:p w14:paraId="1199B609" w14:textId="77777777" w:rsidR="000F7783" w:rsidRPr="00DC2C79" w:rsidRDefault="000F7783" w:rsidP="000F7783">
      <w:pPr>
        <w:jc w:val="both"/>
        <w:rPr>
          <w:rFonts w:ascii="Arial" w:eastAsia="Calibri" w:hAnsi="Arial" w:cs="Arial"/>
          <w:color w:val="000000" w:themeColor="text1"/>
          <w:sz w:val="20"/>
          <w:lang w:val="es-ES_tradnl"/>
        </w:rPr>
      </w:pPr>
      <w:r w:rsidRPr="00DC2C79">
        <w:rPr>
          <w:rFonts w:ascii="Arial" w:eastAsia="Calibri" w:hAnsi="Arial" w:cs="Arial"/>
          <w:color w:val="000000" w:themeColor="text1"/>
          <w:sz w:val="20"/>
          <w:lang w:val="es-ES_tradnl"/>
        </w:rPr>
        <w:t xml:space="preserve">La regla de la subsanabilidad de las ofertas en los procedimientos de selección, prevista actualmente en los parágrafos 1o. y 4o. del artículo 5 de la Ley 1150 de 2007, modificado por el artículo 5 de la Ley 1882 de 2018, </w:t>
      </w:r>
      <w:r w:rsidRPr="005B02E6">
        <w:rPr>
          <w:rFonts w:ascii="Arial" w:eastAsia="Calibri" w:hAnsi="Arial" w:cs="Arial"/>
          <w:color w:val="000000" w:themeColor="text1"/>
          <w:sz w:val="20"/>
          <w:lang w:val="es-ES_tradnl"/>
        </w:rPr>
        <w:t>es el mandato normativo que ordena que las entidades estatales, al verificar la acreditación de los requisitos habilitantes por parte de los proponentes, permitan, por regla general, que los oferentes aporten o corrijan aquella información relacionada con tales requisitos de participación, de manera que no opere un rechazo de plano de las ofertas</w:t>
      </w:r>
      <w:r w:rsidRPr="00DC2C79">
        <w:rPr>
          <w:rFonts w:ascii="Arial" w:eastAsia="Calibri" w:hAnsi="Arial" w:cs="Arial"/>
          <w:color w:val="000000" w:themeColor="text1"/>
          <w:sz w:val="20"/>
          <w:lang w:val="es-ES_tradnl"/>
        </w:rPr>
        <w:t>. En tal sentido, el primero de los parágrafos mencionados señala que «La ausencia de requisitos o la falta de documentos referentes a la futura contratación o al proponente, no necesarios para la comparación de las propuestas no servirán de título suficiente para el rechazo de los ofrecimientos hechos» y que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Si bien esta regla encuentra algunos límites, como por ejemplo, el previsto en el segundo inciso del mismo parágrafo, que establece que «Durante el término otorgado para subsanar las ofertas, los proponentes no podrán acreditar circunstancias ocurridas con posterioridad al cierre del proceso» o el consagrado en el parágrafo 3o., adicionado por el artículo 5 de la Ley 1882 de 2018, según el cual «La no entrega de la garantía de seriedad junto con la propuesta no será subsanable y será causal de rechazo de la misma», lo cierto es que la subsanabilidad de las ofertas debe interpretarse como una regla general en relación con la falta de entrega o con los defectos de los requisitos habilitantes.</w:t>
      </w:r>
    </w:p>
    <w:p w14:paraId="50E9274C" w14:textId="77777777" w:rsidR="000F7783" w:rsidRPr="00DC2C79" w:rsidRDefault="000F7783" w:rsidP="000F7783">
      <w:pPr>
        <w:jc w:val="both"/>
        <w:rPr>
          <w:rFonts w:ascii="Arial" w:eastAsia="Calibri" w:hAnsi="Arial" w:cs="Arial"/>
          <w:color w:val="000000" w:themeColor="text1"/>
          <w:sz w:val="20"/>
          <w:lang w:val="es-ES_tradnl"/>
        </w:rPr>
      </w:pPr>
    </w:p>
    <w:p w14:paraId="1B957903" w14:textId="77777777" w:rsidR="000F7783" w:rsidRPr="00DC2C79" w:rsidRDefault="000F7783" w:rsidP="000F7783">
      <w:pPr>
        <w:jc w:val="both"/>
        <w:rPr>
          <w:rFonts w:ascii="Arial" w:eastAsia="Calibri" w:hAnsi="Arial" w:cs="Arial"/>
          <w:color w:val="000000" w:themeColor="text1"/>
          <w:sz w:val="22"/>
          <w:lang w:val="es-ES_tradnl"/>
        </w:rPr>
      </w:pPr>
      <w:r w:rsidRPr="00DC2C79">
        <w:rPr>
          <w:rFonts w:ascii="Arial" w:eastAsia="Calibri" w:hAnsi="Arial" w:cs="Arial"/>
          <w:b/>
          <w:color w:val="000000" w:themeColor="text1"/>
          <w:sz w:val="22"/>
          <w:lang w:val="es-ES_tradnl"/>
        </w:rPr>
        <w:lastRenderedPageBreak/>
        <w:t xml:space="preserve">SUBSANABILIDAD </w:t>
      </w:r>
      <w:r>
        <w:rPr>
          <w:rFonts w:ascii="Arial" w:eastAsia="Calibri" w:hAnsi="Arial" w:cs="Arial"/>
          <w:b/>
          <w:bCs/>
          <w:color w:val="000000" w:themeColor="text1"/>
          <w:sz w:val="20"/>
          <w:szCs w:val="20"/>
        </w:rPr>
        <w:t>–</w:t>
      </w:r>
      <w:r w:rsidRPr="00DC2C79">
        <w:rPr>
          <w:rFonts w:ascii="Arial" w:eastAsia="Calibri" w:hAnsi="Arial" w:cs="Arial"/>
          <w:b/>
          <w:color w:val="000000" w:themeColor="text1"/>
          <w:sz w:val="22"/>
          <w:lang w:val="es-ES_tradnl"/>
        </w:rPr>
        <w:t xml:space="preserve"> Oportunidad </w:t>
      </w:r>
      <w:r>
        <w:rPr>
          <w:rFonts w:ascii="Arial" w:eastAsia="Calibri" w:hAnsi="Arial" w:cs="Arial"/>
          <w:b/>
          <w:bCs/>
          <w:color w:val="000000" w:themeColor="text1"/>
          <w:sz w:val="20"/>
          <w:szCs w:val="20"/>
        </w:rPr>
        <w:t>–</w:t>
      </w:r>
      <w:r w:rsidRPr="00DC2C79">
        <w:rPr>
          <w:rFonts w:ascii="Arial" w:eastAsia="Calibri" w:hAnsi="Arial" w:cs="Arial"/>
          <w:b/>
          <w:color w:val="000000" w:themeColor="text1"/>
          <w:sz w:val="22"/>
          <w:lang w:val="es-ES_tradnl"/>
        </w:rPr>
        <w:t xml:space="preserve"> Traslado </w:t>
      </w:r>
      <w:r>
        <w:rPr>
          <w:rFonts w:ascii="Arial" w:eastAsia="Calibri" w:hAnsi="Arial" w:cs="Arial"/>
          <w:b/>
          <w:bCs/>
          <w:color w:val="000000" w:themeColor="text1"/>
          <w:sz w:val="20"/>
          <w:szCs w:val="20"/>
        </w:rPr>
        <w:t>–</w:t>
      </w:r>
      <w:r w:rsidRPr="00DC2C79">
        <w:rPr>
          <w:rFonts w:ascii="Arial" w:eastAsia="Calibri" w:hAnsi="Arial" w:cs="Arial"/>
          <w:b/>
          <w:color w:val="000000" w:themeColor="text1"/>
          <w:sz w:val="22"/>
          <w:lang w:val="es-ES_tradnl"/>
        </w:rPr>
        <w:t xml:space="preserve"> Informe de evaluación </w:t>
      </w:r>
    </w:p>
    <w:p w14:paraId="505018DE" w14:textId="77777777" w:rsidR="000F7783" w:rsidRPr="00DC2C79" w:rsidRDefault="000F7783" w:rsidP="000F7783">
      <w:pPr>
        <w:jc w:val="both"/>
        <w:rPr>
          <w:rFonts w:ascii="Arial" w:eastAsia="Calibri" w:hAnsi="Arial" w:cs="Arial"/>
          <w:color w:val="000000" w:themeColor="text1"/>
          <w:sz w:val="20"/>
          <w:lang w:val="es-ES_tradnl"/>
        </w:rPr>
      </w:pPr>
    </w:p>
    <w:p w14:paraId="2BD6E001" w14:textId="5056C494" w:rsidR="000F7783" w:rsidRDefault="000F7783" w:rsidP="000F7783">
      <w:pPr>
        <w:spacing w:after="120"/>
        <w:jc w:val="both"/>
        <w:rPr>
          <w:rFonts w:ascii="Arial" w:eastAsia="Calibri" w:hAnsi="Arial" w:cs="Arial"/>
          <w:color w:val="000000" w:themeColor="text1"/>
          <w:sz w:val="20"/>
          <w:lang w:val="es-ES_tradnl"/>
        </w:rPr>
      </w:pPr>
      <w:r w:rsidRPr="00DC2C79">
        <w:rPr>
          <w:rFonts w:ascii="Arial" w:eastAsia="Calibri" w:hAnsi="Arial" w:cs="Arial"/>
          <w:color w:val="000000" w:themeColor="text1"/>
          <w:sz w:val="20"/>
          <w:lang w:val="es-ES_tradnl"/>
        </w:rPr>
        <w:t>No obstante, de la lectura de este aparte podrían, en la práctica, darse dos interpretaciones que dan lugar a dos formas de proceder en los procesos de selección, en lo que se refiere a la subsanabilidad de las ofertas. Primera, que la posibilidad de los oferentes para subsanar es el término del traslado del informe de evaluación, ya que en este documento es donde la Administración establece los requisitos o documentos omitidos que los oferentes deben subsanar, so pena de rechazo</w:t>
      </w:r>
      <w:r w:rsidR="00CA430D">
        <w:rPr>
          <w:rFonts w:ascii="Arial" w:eastAsia="Calibri" w:hAnsi="Arial" w:cs="Arial"/>
          <w:color w:val="000000" w:themeColor="text1"/>
          <w:sz w:val="20"/>
          <w:lang w:val="es-ES_tradnl"/>
        </w:rPr>
        <w:t>.</w:t>
      </w:r>
      <w:r w:rsidRPr="00DC2C79">
        <w:rPr>
          <w:rFonts w:ascii="Arial" w:eastAsia="Calibri" w:hAnsi="Arial" w:cs="Arial"/>
          <w:color w:val="000000" w:themeColor="text1"/>
          <w:sz w:val="20"/>
          <w:lang w:val="es-ES_tradnl"/>
        </w:rPr>
        <w:t xml:space="preserve"> </w:t>
      </w:r>
      <w:r w:rsidR="00CA430D">
        <w:rPr>
          <w:rFonts w:ascii="Arial" w:eastAsia="Calibri" w:hAnsi="Arial" w:cs="Arial"/>
          <w:color w:val="000000" w:themeColor="text1"/>
          <w:sz w:val="20"/>
          <w:lang w:val="es-ES_tradnl"/>
        </w:rPr>
        <w:t>S</w:t>
      </w:r>
      <w:r w:rsidRPr="00DC2C79">
        <w:rPr>
          <w:rFonts w:ascii="Arial" w:eastAsia="Calibri" w:hAnsi="Arial" w:cs="Arial"/>
          <w:color w:val="000000" w:themeColor="text1"/>
          <w:sz w:val="20"/>
          <w:lang w:val="es-ES_tradnl"/>
        </w:rPr>
        <w:t>egunda, que el término del traslado del informe de evaluación es el límite para la subsanación de ofertas, pero no el único momento para hacerlo.</w:t>
      </w:r>
    </w:p>
    <w:p w14:paraId="6D5C5AA8" w14:textId="77777777" w:rsidR="000F7783" w:rsidRDefault="000F7783" w:rsidP="000F7783">
      <w:pPr>
        <w:spacing w:after="120"/>
        <w:jc w:val="both"/>
        <w:rPr>
          <w:rFonts w:ascii="Arial" w:eastAsia="Calibri" w:hAnsi="Arial" w:cs="Arial"/>
          <w:color w:val="000000" w:themeColor="text1"/>
          <w:sz w:val="20"/>
          <w:lang w:val="es-ES_tradnl"/>
        </w:rPr>
      </w:pPr>
      <w:r w:rsidRPr="00DC2C79">
        <w:rPr>
          <w:rFonts w:ascii="Arial" w:eastAsia="Calibri" w:hAnsi="Arial" w:cs="Arial"/>
          <w:color w:val="000000" w:themeColor="text1"/>
          <w:sz w:val="20"/>
          <w:lang w:val="es-ES_tradnl"/>
        </w:rPr>
        <w:t>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w:t>
      </w:r>
    </w:p>
    <w:p w14:paraId="0B0EC623" w14:textId="77777777" w:rsidR="000F7783" w:rsidRDefault="000F7783" w:rsidP="000F7783">
      <w:pPr>
        <w:spacing w:after="120"/>
        <w:jc w:val="both"/>
        <w:rPr>
          <w:rFonts w:ascii="Arial" w:eastAsia="Calibri" w:hAnsi="Arial" w:cs="Arial"/>
          <w:color w:val="000000" w:themeColor="text1"/>
          <w:sz w:val="20"/>
          <w:lang w:val="es-ES_tradnl"/>
        </w:rPr>
      </w:pPr>
      <w:r w:rsidRPr="00DC2C79">
        <w:rPr>
          <w:rFonts w:ascii="Arial" w:eastAsia="Calibri" w:hAnsi="Arial" w:cs="Arial"/>
          <w:color w:val="000000" w:themeColor="text1"/>
          <w:sz w:val="20"/>
          <w:lang w:val="es-ES_tradnl"/>
        </w:rPr>
        <w:t>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w:t>
      </w:r>
    </w:p>
    <w:p w14:paraId="4814074F" w14:textId="3F0A01C4" w:rsidR="008322B1" w:rsidRPr="000F7783" w:rsidRDefault="000F7783" w:rsidP="005F42ED">
      <w:pPr>
        <w:jc w:val="both"/>
        <w:rPr>
          <w:rFonts w:ascii="Arial" w:eastAsia="Calibri" w:hAnsi="Arial" w:cs="Arial"/>
          <w:color w:val="000000" w:themeColor="text1"/>
          <w:sz w:val="20"/>
          <w:lang w:val="es-ES_tradnl"/>
        </w:rPr>
      </w:pPr>
      <w:r w:rsidRPr="00DC2C79">
        <w:rPr>
          <w:rFonts w:ascii="Arial" w:eastAsia="Calibri" w:hAnsi="Arial" w:cs="Arial"/>
          <w:color w:val="000000" w:themeColor="text1"/>
          <w:sz w:val="20"/>
          <w:lang w:val="es-ES_tradnl"/>
        </w:rPr>
        <w:t>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w:t>
      </w:r>
      <w:r w:rsidR="00E267D7" w:rsidRPr="00E267D7">
        <w:rPr>
          <w:rFonts w:ascii="Arial" w:eastAsia="Arial" w:hAnsi="Arial" w:cs="Arial"/>
          <w:color w:val="000000"/>
          <w:sz w:val="20"/>
          <w:szCs w:val="20"/>
        </w:rPr>
        <w:t>.</w:t>
      </w:r>
    </w:p>
    <w:p w14:paraId="37038558" w14:textId="7455F221" w:rsidR="00825FD3" w:rsidRPr="005C5B7C" w:rsidRDefault="00825FD3" w:rsidP="005C5B7C">
      <w:pPr>
        <w:jc w:val="both"/>
        <w:rPr>
          <w:rFonts w:ascii="Arial" w:eastAsia="Calibri" w:hAnsi="Arial" w:cs="Arial"/>
          <w:color w:val="000000" w:themeColor="text1"/>
          <w:sz w:val="22"/>
        </w:rPr>
      </w:pPr>
    </w:p>
    <w:p w14:paraId="2036CB1C" w14:textId="77777777" w:rsidR="005C5B7C" w:rsidRPr="005C5B7C" w:rsidRDefault="005C5B7C" w:rsidP="005C5B7C">
      <w:pPr>
        <w:jc w:val="both"/>
        <w:rPr>
          <w:rFonts w:ascii="Arial" w:eastAsia="Calibri" w:hAnsi="Arial" w:cs="Arial"/>
          <w:color w:val="000000" w:themeColor="text1"/>
          <w:sz w:val="22"/>
        </w:rPr>
      </w:pPr>
    </w:p>
    <w:p w14:paraId="03256DB6" w14:textId="2D7F8A91" w:rsidR="008F51F6" w:rsidRPr="006C15D5" w:rsidRDefault="008F51F6" w:rsidP="008F51F6">
      <w:pPr>
        <w:rPr>
          <w:rFonts w:ascii="Arial" w:hAnsi="Arial" w:cs="Arial"/>
          <w:b/>
          <w:color w:val="000000" w:themeColor="text1"/>
          <w:sz w:val="22"/>
        </w:rPr>
      </w:pPr>
      <w:r w:rsidRPr="006C15D5">
        <w:rPr>
          <w:rFonts w:ascii="Arial" w:hAnsi="Arial" w:cs="Arial"/>
          <w:color w:val="000000" w:themeColor="text1"/>
          <w:sz w:val="22"/>
        </w:rPr>
        <w:t xml:space="preserve">Bogotá D.C., </w:t>
      </w:r>
      <w:r w:rsidR="001E584C" w:rsidRPr="001E584C">
        <w:rPr>
          <w:rFonts w:ascii="Arial" w:hAnsi="Arial" w:cs="Arial"/>
          <w:b/>
          <w:color w:val="000000" w:themeColor="text1"/>
          <w:sz w:val="22"/>
        </w:rPr>
        <w:t>21/10/2020 Hora 15:46:26s</w:t>
      </w:r>
    </w:p>
    <w:p w14:paraId="4DEE97D6" w14:textId="77777777" w:rsidR="008F51F6" w:rsidRDefault="008F51F6" w:rsidP="008F51F6">
      <w:pPr>
        <w:jc w:val="right"/>
        <w:rPr>
          <w:rFonts w:ascii="Arial" w:hAnsi="Arial" w:cs="Arial"/>
          <w:b/>
          <w:color w:val="000000" w:themeColor="text1"/>
          <w:sz w:val="22"/>
        </w:rPr>
      </w:pPr>
    </w:p>
    <w:p w14:paraId="5543D9D7" w14:textId="3BA802A4" w:rsidR="008F51F6" w:rsidRPr="006C15D5" w:rsidRDefault="008F51F6" w:rsidP="008F51F6">
      <w:pPr>
        <w:jc w:val="right"/>
        <w:rPr>
          <w:rFonts w:ascii="Arial" w:hAnsi="Arial" w:cs="Arial"/>
          <w:b/>
          <w:color w:val="000000" w:themeColor="text1"/>
          <w:sz w:val="22"/>
        </w:rPr>
      </w:pPr>
      <w:r w:rsidRPr="006C15D5">
        <w:rPr>
          <w:rFonts w:ascii="Arial" w:hAnsi="Arial" w:cs="Arial"/>
          <w:b/>
          <w:color w:val="000000" w:themeColor="text1"/>
          <w:sz w:val="22"/>
        </w:rPr>
        <w:t xml:space="preserve">N° Radicado: </w:t>
      </w:r>
      <w:r w:rsidR="001E584C" w:rsidRPr="001E584C">
        <w:rPr>
          <w:rFonts w:ascii="Arial" w:hAnsi="Arial" w:cs="Arial"/>
          <w:b/>
          <w:color w:val="000000" w:themeColor="text1"/>
          <w:sz w:val="22"/>
        </w:rPr>
        <w:t>2202013000010375</w:t>
      </w:r>
    </w:p>
    <w:p w14:paraId="4ED669B5" w14:textId="77777777" w:rsidR="00BE1E33" w:rsidRPr="006C15D5" w:rsidRDefault="00BE1E33" w:rsidP="00BE1E33">
      <w:pPr>
        <w:rPr>
          <w:rFonts w:ascii="Arial" w:eastAsia="Calibri" w:hAnsi="Arial" w:cs="Arial"/>
          <w:color w:val="000000" w:themeColor="text1"/>
          <w:sz w:val="22"/>
        </w:rPr>
      </w:pPr>
    </w:p>
    <w:p w14:paraId="12A234ED" w14:textId="77777777" w:rsidR="00BE1E33" w:rsidRPr="006C15D5" w:rsidRDefault="00BE1E33" w:rsidP="00BE1E33">
      <w:pPr>
        <w:rPr>
          <w:rFonts w:ascii="Arial" w:eastAsia="Calibri" w:hAnsi="Arial" w:cs="Arial"/>
          <w:color w:val="000000" w:themeColor="text1"/>
          <w:sz w:val="22"/>
        </w:rPr>
      </w:pPr>
    </w:p>
    <w:p w14:paraId="73D51859" w14:textId="1932EA1B" w:rsidR="00BE1E33" w:rsidRPr="006C15D5" w:rsidRDefault="00E6266E" w:rsidP="00BE1E33">
      <w:pPr>
        <w:rPr>
          <w:rFonts w:ascii="Arial" w:eastAsia="Calibri" w:hAnsi="Arial" w:cs="Arial"/>
          <w:color w:val="000000" w:themeColor="text1"/>
          <w:sz w:val="22"/>
        </w:rPr>
      </w:pPr>
      <w:r>
        <w:rPr>
          <w:rFonts w:ascii="Arial" w:eastAsia="Calibri" w:hAnsi="Arial" w:cs="Arial"/>
          <w:color w:val="000000" w:themeColor="text1"/>
          <w:sz w:val="22"/>
        </w:rPr>
        <w:t>Señor</w:t>
      </w:r>
      <w:r w:rsidR="00D22040">
        <w:rPr>
          <w:rFonts w:ascii="Arial" w:eastAsia="Calibri" w:hAnsi="Arial" w:cs="Arial"/>
          <w:color w:val="000000" w:themeColor="text1"/>
          <w:sz w:val="22"/>
        </w:rPr>
        <w:t>es</w:t>
      </w:r>
    </w:p>
    <w:p w14:paraId="215BF0F8" w14:textId="5B8591E9" w:rsidR="00CF282F" w:rsidRDefault="00D22040" w:rsidP="00BE1E33">
      <w:pPr>
        <w:rPr>
          <w:rFonts w:ascii="Arial" w:eastAsia="Calibri" w:hAnsi="Arial" w:cs="Arial"/>
          <w:b/>
          <w:color w:val="000000" w:themeColor="text1"/>
          <w:sz w:val="22"/>
        </w:rPr>
      </w:pPr>
      <w:r>
        <w:rPr>
          <w:rFonts w:ascii="Arial" w:eastAsia="Calibri" w:hAnsi="Arial" w:cs="Arial"/>
          <w:b/>
          <w:color w:val="000000" w:themeColor="text1"/>
          <w:sz w:val="22"/>
        </w:rPr>
        <w:t>Corporación Control Caribe</w:t>
      </w:r>
    </w:p>
    <w:p w14:paraId="04EF8353" w14:textId="058A7E31" w:rsidR="00BE1E33" w:rsidRPr="006C15D5" w:rsidRDefault="001D59C7" w:rsidP="00BE1E33">
      <w:pPr>
        <w:rPr>
          <w:rFonts w:ascii="Arial" w:eastAsia="Calibri" w:hAnsi="Arial" w:cs="Arial"/>
          <w:color w:val="000000" w:themeColor="text1"/>
          <w:sz w:val="22"/>
        </w:rPr>
      </w:pPr>
      <w:r>
        <w:rPr>
          <w:rFonts w:ascii="Arial" w:eastAsia="Calibri" w:hAnsi="Arial" w:cs="Arial"/>
          <w:color w:val="000000" w:themeColor="text1"/>
          <w:sz w:val="22"/>
        </w:rPr>
        <w:t>Bogotá D.C.</w:t>
      </w:r>
      <w:r w:rsidR="00224D5C">
        <w:rPr>
          <w:rFonts w:ascii="Arial" w:eastAsia="Calibri" w:hAnsi="Arial" w:cs="Arial"/>
          <w:color w:val="000000" w:themeColor="text1"/>
          <w:sz w:val="22"/>
        </w:rPr>
        <w:t xml:space="preserve"> </w:t>
      </w:r>
    </w:p>
    <w:p w14:paraId="738DBA53" w14:textId="541DE0AD" w:rsidR="00BE1E33" w:rsidRDefault="00BE1E33" w:rsidP="00BE1E33">
      <w:pPr>
        <w:rPr>
          <w:rFonts w:ascii="Arial" w:eastAsia="Calibri" w:hAnsi="Arial" w:cs="Arial"/>
          <w:color w:val="000000" w:themeColor="text1"/>
          <w:sz w:val="22"/>
        </w:rPr>
      </w:pPr>
    </w:p>
    <w:p w14:paraId="19414064" w14:textId="77777777" w:rsidR="008C3ACC" w:rsidRPr="006C15D5" w:rsidRDefault="008C3ACC" w:rsidP="00BE1E33">
      <w:pPr>
        <w:rPr>
          <w:rFonts w:ascii="Arial" w:eastAsia="Calibri" w:hAnsi="Arial" w:cs="Arial"/>
          <w:color w:val="000000" w:themeColor="text1"/>
          <w:sz w:val="22"/>
        </w:rPr>
      </w:pPr>
    </w:p>
    <w:p w14:paraId="5CEA4ADF" w14:textId="14C01975" w:rsidR="00BE1E33" w:rsidRPr="006C15D5" w:rsidRDefault="00BE1E33" w:rsidP="00BE1E33">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sidR="00490DBF">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390B86">
        <w:rPr>
          <w:rFonts w:ascii="Arial" w:eastAsia="Calibri" w:hAnsi="Arial" w:cs="Arial"/>
          <w:b/>
          <w:color w:val="000000" w:themeColor="text1"/>
          <w:sz w:val="22"/>
        </w:rPr>
        <w:t>634</w:t>
      </w:r>
      <w:r w:rsidR="000100E8">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de 2020</w:t>
      </w:r>
    </w:p>
    <w:p w14:paraId="234727AD" w14:textId="77777777" w:rsidR="00BE1E33" w:rsidRPr="006C15D5"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F6D32" w14:paraId="2553E4F3" w14:textId="77777777" w:rsidTr="00AC43E7">
        <w:tc>
          <w:tcPr>
            <w:tcW w:w="2689" w:type="dxa"/>
            <w:hideMark/>
          </w:tcPr>
          <w:p w14:paraId="7BC9E971"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0C0D8CD7"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0F35FDBD" w14:textId="57CAC8F7" w:rsidR="00BE1E33" w:rsidRPr="006C15D5" w:rsidRDefault="000F7783">
            <w:pPr>
              <w:jc w:val="both"/>
              <w:rPr>
                <w:rFonts w:ascii="Arial" w:eastAsia="Calibri" w:hAnsi="Arial" w:cs="Arial"/>
                <w:color w:val="000000" w:themeColor="text1"/>
                <w:sz w:val="22"/>
              </w:rPr>
            </w:pPr>
            <w:r w:rsidRPr="000F7783">
              <w:rPr>
                <w:rFonts w:ascii="Arial" w:eastAsia="Calibri" w:hAnsi="Arial" w:cs="Arial"/>
                <w:color w:val="000000" w:themeColor="text1"/>
                <w:sz w:val="22"/>
              </w:rPr>
              <w:t xml:space="preserve">PRINCIPIO DE SELECCIÓN OBJETIVA </w:t>
            </w:r>
            <w:r w:rsidR="0046018B">
              <w:rPr>
                <w:rFonts w:ascii="Arial" w:eastAsia="Calibri" w:hAnsi="Arial" w:cs="Arial"/>
                <w:color w:val="000000" w:themeColor="text1"/>
                <w:sz w:val="22"/>
              </w:rPr>
              <w:t>–</w:t>
            </w:r>
            <w:r w:rsidRPr="000F7783">
              <w:rPr>
                <w:rFonts w:ascii="Arial" w:eastAsia="Calibri" w:hAnsi="Arial" w:cs="Arial"/>
                <w:color w:val="000000" w:themeColor="text1"/>
                <w:sz w:val="22"/>
              </w:rPr>
              <w:t xml:space="preserve"> Fundamento </w:t>
            </w:r>
            <w:r w:rsidR="0046018B">
              <w:rPr>
                <w:rFonts w:ascii="Arial" w:eastAsia="Calibri" w:hAnsi="Arial" w:cs="Arial"/>
                <w:color w:val="000000" w:themeColor="text1"/>
                <w:sz w:val="22"/>
              </w:rPr>
              <w:t>–</w:t>
            </w:r>
            <w:r w:rsidRPr="000F7783">
              <w:rPr>
                <w:rFonts w:ascii="Arial" w:eastAsia="Calibri" w:hAnsi="Arial" w:cs="Arial"/>
                <w:color w:val="000000" w:themeColor="text1"/>
                <w:sz w:val="22"/>
              </w:rPr>
              <w:t xml:space="preserve"> Alcance / SUBSANABILIDAD </w:t>
            </w:r>
            <w:r w:rsidR="0046018B">
              <w:rPr>
                <w:rFonts w:ascii="Arial" w:eastAsia="Calibri" w:hAnsi="Arial" w:cs="Arial"/>
                <w:color w:val="000000" w:themeColor="text1"/>
                <w:sz w:val="22"/>
              </w:rPr>
              <w:t>–</w:t>
            </w:r>
            <w:r w:rsidRPr="000F7783">
              <w:rPr>
                <w:rFonts w:ascii="Arial" w:eastAsia="Calibri" w:hAnsi="Arial" w:cs="Arial"/>
                <w:color w:val="000000" w:themeColor="text1"/>
                <w:sz w:val="22"/>
              </w:rPr>
              <w:t xml:space="preserve"> Concepto de unificación </w:t>
            </w:r>
            <w:r w:rsidR="0046018B">
              <w:rPr>
                <w:rFonts w:ascii="Arial" w:eastAsia="Calibri" w:hAnsi="Arial" w:cs="Arial"/>
                <w:color w:val="000000" w:themeColor="text1"/>
                <w:sz w:val="22"/>
              </w:rPr>
              <w:t>–</w:t>
            </w:r>
            <w:r w:rsidRPr="000F7783">
              <w:rPr>
                <w:rFonts w:ascii="Arial" w:eastAsia="Calibri" w:hAnsi="Arial" w:cs="Arial"/>
                <w:color w:val="000000" w:themeColor="text1"/>
                <w:sz w:val="22"/>
              </w:rPr>
              <w:t xml:space="preserve"> Aplicación </w:t>
            </w:r>
            <w:r w:rsidR="0046018B">
              <w:rPr>
                <w:rFonts w:ascii="Arial" w:eastAsia="Calibri" w:hAnsi="Arial" w:cs="Arial"/>
                <w:color w:val="000000" w:themeColor="text1"/>
                <w:sz w:val="22"/>
              </w:rPr>
              <w:t>–</w:t>
            </w:r>
            <w:r w:rsidRPr="000F7783">
              <w:rPr>
                <w:rFonts w:ascii="Arial" w:eastAsia="Calibri" w:hAnsi="Arial" w:cs="Arial"/>
                <w:color w:val="000000" w:themeColor="text1"/>
                <w:sz w:val="22"/>
              </w:rPr>
              <w:t xml:space="preserve"> Improcedencia </w:t>
            </w:r>
            <w:r w:rsidR="0046018B">
              <w:rPr>
                <w:rFonts w:ascii="Arial" w:eastAsia="Calibri" w:hAnsi="Arial" w:cs="Arial"/>
                <w:color w:val="000000" w:themeColor="text1"/>
                <w:sz w:val="22"/>
              </w:rPr>
              <w:t>–</w:t>
            </w:r>
            <w:r w:rsidRPr="000F7783">
              <w:rPr>
                <w:rFonts w:ascii="Arial" w:eastAsia="Calibri" w:hAnsi="Arial" w:cs="Arial"/>
                <w:color w:val="000000" w:themeColor="text1"/>
                <w:sz w:val="22"/>
              </w:rPr>
              <w:t xml:space="preserve"> Circunstancias posteriores al cierre / SUBSANABILIDAD </w:t>
            </w:r>
            <w:r w:rsidR="0046018B">
              <w:rPr>
                <w:rFonts w:ascii="Arial" w:eastAsia="Calibri" w:hAnsi="Arial" w:cs="Arial"/>
                <w:color w:val="000000" w:themeColor="text1"/>
                <w:sz w:val="22"/>
              </w:rPr>
              <w:t>–</w:t>
            </w:r>
            <w:r w:rsidRPr="000F7783">
              <w:rPr>
                <w:rFonts w:ascii="Arial" w:eastAsia="Calibri" w:hAnsi="Arial" w:cs="Arial"/>
                <w:color w:val="000000" w:themeColor="text1"/>
                <w:sz w:val="22"/>
              </w:rPr>
              <w:t xml:space="preserve"> Oportunidad </w:t>
            </w:r>
            <w:r w:rsidR="0046018B">
              <w:rPr>
                <w:rFonts w:ascii="Arial" w:eastAsia="Calibri" w:hAnsi="Arial" w:cs="Arial"/>
                <w:color w:val="000000" w:themeColor="text1"/>
                <w:sz w:val="22"/>
              </w:rPr>
              <w:t>–</w:t>
            </w:r>
            <w:r w:rsidRPr="000F7783">
              <w:rPr>
                <w:rFonts w:ascii="Arial" w:eastAsia="Calibri" w:hAnsi="Arial" w:cs="Arial"/>
                <w:color w:val="000000" w:themeColor="text1"/>
                <w:sz w:val="22"/>
              </w:rPr>
              <w:t xml:space="preserve"> Traslado </w:t>
            </w:r>
            <w:r w:rsidR="0046018B">
              <w:rPr>
                <w:rFonts w:ascii="Arial" w:eastAsia="Calibri" w:hAnsi="Arial" w:cs="Arial"/>
                <w:color w:val="000000" w:themeColor="text1"/>
                <w:sz w:val="22"/>
              </w:rPr>
              <w:t>–</w:t>
            </w:r>
            <w:r w:rsidRPr="000F7783">
              <w:rPr>
                <w:rFonts w:ascii="Arial" w:eastAsia="Calibri" w:hAnsi="Arial" w:cs="Arial"/>
                <w:color w:val="000000" w:themeColor="text1"/>
                <w:sz w:val="22"/>
              </w:rPr>
              <w:t xml:space="preserve"> Informe de evaluación</w:t>
            </w:r>
          </w:p>
        </w:tc>
      </w:tr>
      <w:tr w:rsidR="003F6D32" w:rsidRPr="003F6D32" w14:paraId="20F2A3B6" w14:textId="77777777" w:rsidTr="00AC43E7">
        <w:tc>
          <w:tcPr>
            <w:tcW w:w="2689" w:type="dxa"/>
          </w:tcPr>
          <w:p w14:paraId="1E82F4FA" w14:textId="77777777" w:rsidR="00BE1E33" w:rsidRPr="006C15D5" w:rsidRDefault="00BE1E33" w:rsidP="00AC43E7">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20FCE53A" w14:textId="5EB62150" w:rsidR="00BE1E33" w:rsidRPr="006C15D5" w:rsidRDefault="00BE1E33" w:rsidP="00AC43E7">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Respuesta a consulta </w:t>
            </w:r>
            <w:r w:rsidR="00D22040" w:rsidRPr="00D22040">
              <w:rPr>
                <w:rFonts w:ascii="Arial" w:eastAsia="Calibri" w:hAnsi="Arial" w:cs="Arial"/>
                <w:color w:val="000000" w:themeColor="text1"/>
                <w:sz w:val="22"/>
              </w:rPr>
              <w:t>4202013000008171</w:t>
            </w:r>
          </w:p>
        </w:tc>
      </w:tr>
      <w:tr w:rsidR="00770D7D" w:rsidRPr="003F6D32" w14:paraId="27C2F130" w14:textId="77777777" w:rsidTr="00AC43E7">
        <w:tc>
          <w:tcPr>
            <w:tcW w:w="2689" w:type="dxa"/>
          </w:tcPr>
          <w:p w14:paraId="2CAB0965" w14:textId="77777777" w:rsidR="00770D7D" w:rsidRPr="006C15D5" w:rsidRDefault="00770D7D" w:rsidP="00AC43E7">
            <w:pPr>
              <w:spacing w:before="120"/>
              <w:rPr>
                <w:rFonts w:ascii="Arial" w:eastAsia="Calibri" w:hAnsi="Arial" w:cs="Arial"/>
                <w:b/>
                <w:color w:val="000000" w:themeColor="text1"/>
                <w:sz w:val="22"/>
              </w:rPr>
            </w:pPr>
          </w:p>
        </w:tc>
        <w:tc>
          <w:tcPr>
            <w:tcW w:w="6237" w:type="dxa"/>
          </w:tcPr>
          <w:p w14:paraId="38942E59" w14:textId="77777777" w:rsidR="00770D7D" w:rsidRPr="006C15D5" w:rsidRDefault="00770D7D" w:rsidP="00AC43E7">
            <w:pPr>
              <w:spacing w:before="120"/>
              <w:jc w:val="both"/>
              <w:rPr>
                <w:rFonts w:ascii="Arial" w:eastAsia="Calibri" w:hAnsi="Arial" w:cs="Arial"/>
                <w:color w:val="000000" w:themeColor="text1"/>
                <w:sz w:val="22"/>
              </w:rPr>
            </w:pPr>
          </w:p>
        </w:tc>
      </w:tr>
    </w:tbl>
    <w:p w14:paraId="177F3517" w14:textId="77777777" w:rsidR="00BE1E33" w:rsidRPr="006C15D5" w:rsidRDefault="00BE1E33" w:rsidP="00BE1E33">
      <w:pPr>
        <w:spacing w:before="120"/>
        <w:jc w:val="both"/>
        <w:rPr>
          <w:rFonts w:ascii="Arial" w:eastAsia="Calibri" w:hAnsi="Arial" w:cs="Arial"/>
          <w:color w:val="000000" w:themeColor="text1"/>
          <w:sz w:val="22"/>
        </w:rPr>
      </w:pPr>
    </w:p>
    <w:p w14:paraId="06248123" w14:textId="77777777" w:rsidR="00BE1E33" w:rsidRPr="006C15D5" w:rsidRDefault="00BE1E33" w:rsidP="00BE1E33">
      <w:pPr>
        <w:jc w:val="both"/>
        <w:rPr>
          <w:rFonts w:ascii="Arial" w:eastAsia="Calibri" w:hAnsi="Arial" w:cs="Arial"/>
          <w:color w:val="000000" w:themeColor="text1"/>
          <w:sz w:val="22"/>
        </w:rPr>
      </w:pPr>
    </w:p>
    <w:p w14:paraId="417ABDA8" w14:textId="462D447D"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Estimad</w:t>
      </w:r>
      <w:r w:rsidR="008C3ACC">
        <w:rPr>
          <w:rFonts w:ascii="Arial" w:eastAsia="Calibri" w:hAnsi="Arial" w:cs="Arial"/>
          <w:color w:val="000000" w:themeColor="text1"/>
          <w:sz w:val="22"/>
        </w:rPr>
        <w:t>o</w:t>
      </w:r>
      <w:r w:rsidR="00D22040">
        <w:rPr>
          <w:rFonts w:ascii="Arial" w:eastAsia="Calibri" w:hAnsi="Arial" w:cs="Arial"/>
          <w:color w:val="000000" w:themeColor="text1"/>
          <w:sz w:val="22"/>
        </w:rPr>
        <w:t>s</w:t>
      </w:r>
      <w:r w:rsidR="009C27A9">
        <w:rPr>
          <w:rFonts w:ascii="Arial" w:eastAsia="Calibri" w:hAnsi="Arial" w:cs="Arial"/>
          <w:color w:val="000000" w:themeColor="text1"/>
          <w:sz w:val="22"/>
        </w:rPr>
        <w:t xml:space="preserve"> </w:t>
      </w:r>
      <w:r w:rsidR="008C3ACC">
        <w:rPr>
          <w:rFonts w:ascii="Arial" w:eastAsia="Calibri" w:hAnsi="Arial" w:cs="Arial"/>
          <w:color w:val="000000" w:themeColor="text1"/>
          <w:sz w:val="22"/>
        </w:rPr>
        <w:t>señor</w:t>
      </w:r>
      <w:r w:rsidR="00D22040">
        <w:rPr>
          <w:rFonts w:ascii="Arial" w:eastAsia="Calibri" w:hAnsi="Arial" w:cs="Arial"/>
          <w:color w:val="000000" w:themeColor="text1"/>
          <w:sz w:val="22"/>
        </w:rPr>
        <w:t>es</w:t>
      </w:r>
      <w:r w:rsidR="006C483E">
        <w:rPr>
          <w:rFonts w:ascii="Arial" w:eastAsia="Calibri" w:hAnsi="Arial" w:cs="Arial"/>
          <w:color w:val="000000" w:themeColor="text1"/>
          <w:sz w:val="22"/>
        </w:rPr>
        <w:t>,</w:t>
      </w:r>
      <w:r w:rsidR="006005BB">
        <w:rPr>
          <w:rFonts w:ascii="Arial" w:eastAsia="Calibri" w:hAnsi="Arial" w:cs="Arial"/>
          <w:color w:val="000000" w:themeColor="text1"/>
          <w:sz w:val="22"/>
        </w:rPr>
        <w:t xml:space="preserve"> </w:t>
      </w:r>
      <w:r w:rsidR="00D22040">
        <w:rPr>
          <w:rFonts w:ascii="Arial" w:eastAsia="Calibri" w:hAnsi="Arial" w:cs="Arial"/>
          <w:color w:val="000000" w:themeColor="text1"/>
          <w:sz w:val="22"/>
        </w:rPr>
        <w:t xml:space="preserve">Corporación </w:t>
      </w:r>
      <w:r w:rsidR="006C483E">
        <w:rPr>
          <w:rFonts w:ascii="Arial" w:eastAsia="Calibri" w:hAnsi="Arial" w:cs="Arial"/>
          <w:color w:val="000000" w:themeColor="text1"/>
          <w:sz w:val="22"/>
        </w:rPr>
        <w:t xml:space="preserve">Control </w:t>
      </w:r>
      <w:r w:rsidR="00D22040">
        <w:rPr>
          <w:rFonts w:ascii="Arial" w:eastAsia="Calibri" w:hAnsi="Arial" w:cs="Arial"/>
          <w:color w:val="000000" w:themeColor="text1"/>
          <w:sz w:val="22"/>
        </w:rPr>
        <w:t>Caribe</w:t>
      </w:r>
      <w:r w:rsidRPr="006C15D5">
        <w:rPr>
          <w:rFonts w:ascii="Arial" w:eastAsia="Calibri" w:hAnsi="Arial" w:cs="Arial"/>
          <w:color w:val="000000" w:themeColor="text1"/>
          <w:sz w:val="22"/>
        </w:rPr>
        <w:t>:</w:t>
      </w:r>
    </w:p>
    <w:p w14:paraId="1CCABABD" w14:textId="77777777" w:rsidR="00BE1E33" w:rsidRPr="006C15D5" w:rsidRDefault="00BE1E33" w:rsidP="00BE1E33">
      <w:pPr>
        <w:rPr>
          <w:rFonts w:ascii="Arial" w:eastAsia="Calibri" w:hAnsi="Arial" w:cs="Arial"/>
          <w:color w:val="000000" w:themeColor="text1"/>
          <w:sz w:val="22"/>
        </w:rPr>
      </w:pPr>
    </w:p>
    <w:p w14:paraId="286A9CEF" w14:textId="607DB0AC" w:rsidR="00BE1E33" w:rsidRPr="006C15D5" w:rsidRDefault="00BE1E33" w:rsidP="00BE1E3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w:t>
      </w:r>
      <w:r w:rsidR="00C15574">
        <w:rPr>
          <w:rFonts w:ascii="Arial" w:eastAsia="Calibri" w:hAnsi="Arial" w:cs="Arial"/>
          <w:color w:val="000000" w:themeColor="text1"/>
          <w:sz w:val="22"/>
        </w:rPr>
        <w:t>la consulta realiza</w:t>
      </w:r>
      <w:r w:rsidR="007D6205">
        <w:rPr>
          <w:rFonts w:ascii="Arial" w:eastAsia="Calibri" w:hAnsi="Arial" w:cs="Arial"/>
          <w:color w:val="000000" w:themeColor="text1"/>
          <w:sz w:val="22"/>
        </w:rPr>
        <w:t>da</w:t>
      </w:r>
      <w:r w:rsidR="00C15574">
        <w:rPr>
          <w:rFonts w:ascii="Arial" w:eastAsia="Calibri" w:hAnsi="Arial" w:cs="Arial"/>
          <w:color w:val="000000" w:themeColor="text1"/>
          <w:sz w:val="22"/>
        </w:rPr>
        <w:t xml:space="preserve"> </w:t>
      </w:r>
      <w:r w:rsidRPr="006C15D5">
        <w:rPr>
          <w:rFonts w:ascii="Arial" w:eastAsia="Calibri" w:hAnsi="Arial" w:cs="Arial"/>
          <w:color w:val="000000" w:themeColor="text1"/>
          <w:sz w:val="22"/>
        </w:rPr>
        <w:t xml:space="preserve">el </w:t>
      </w:r>
      <w:r w:rsidR="00A72F24">
        <w:rPr>
          <w:rFonts w:ascii="Arial" w:eastAsia="Calibri" w:hAnsi="Arial" w:cs="Arial"/>
          <w:color w:val="000000" w:themeColor="text1"/>
          <w:sz w:val="22"/>
        </w:rPr>
        <w:t>1</w:t>
      </w:r>
      <w:r w:rsidR="00D22040">
        <w:rPr>
          <w:rFonts w:ascii="Arial" w:eastAsia="Calibri" w:hAnsi="Arial" w:cs="Arial"/>
          <w:color w:val="000000" w:themeColor="text1"/>
          <w:sz w:val="22"/>
        </w:rPr>
        <w:t>7</w:t>
      </w:r>
      <w:r w:rsidR="00A72F24">
        <w:rPr>
          <w:rFonts w:ascii="Arial" w:eastAsia="Calibri" w:hAnsi="Arial" w:cs="Arial"/>
          <w:color w:val="000000" w:themeColor="text1"/>
          <w:sz w:val="22"/>
        </w:rPr>
        <w:t xml:space="preserve"> de septiembre</w:t>
      </w:r>
      <w:r w:rsidR="006005BB">
        <w:rPr>
          <w:rFonts w:ascii="Arial" w:eastAsia="Calibri" w:hAnsi="Arial" w:cs="Arial"/>
          <w:color w:val="000000" w:themeColor="text1"/>
          <w:sz w:val="22"/>
        </w:rPr>
        <w:t xml:space="preserve"> de 2020</w:t>
      </w:r>
      <w:r w:rsidRPr="006C15D5">
        <w:rPr>
          <w:rFonts w:ascii="Arial" w:eastAsia="Calibri" w:hAnsi="Arial" w:cs="Arial"/>
          <w:color w:val="000000" w:themeColor="text1"/>
          <w:sz w:val="22"/>
        </w:rPr>
        <w:t xml:space="preserve">. </w:t>
      </w:r>
    </w:p>
    <w:p w14:paraId="1D13401D" w14:textId="77777777" w:rsidR="00BE1E33" w:rsidRPr="006C15D5" w:rsidRDefault="00BE1E33" w:rsidP="00BE1E33">
      <w:pPr>
        <w:spacing w:line="276" w:lineRule="auto"/>
        <w:jc w:val="both"/>
        <w:rPr>
          <w:rFonts w:ascii="Arial" w:eastAsia="Calibri" w:hAnsi="Arial" w:cs="Arial"/>
          <w:color w:val="000000" w:themeColor="text1"/>
          <w:sz w:val="22"/>
        </w:rPr>
      </w:pPr>
    </w:p>
    <w:p w14:paraId="068F505C" w14:textId="7193DF4E" w:rsidR="00BE1E33" w:rsidRPr="006C15D5"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 planteado </w:t>
      </w:r>
    </w:p>
    <w:p w14:paraId="430A9943" w14:textId="77777777" w:rsidR="00BE1E33" w:rsidRPr="006C15D5" w:rsidRDefault="00BE1E33" w:rsidP="00BE1E33">
      <w:pPr>
        <w:tabs>
          <w:tab w:val="left" w:pos="426"/>
        </w:tabs>
        <w:spacing w:line="276" w:lineRule="auto"/>
        <w:jc w:val="both"/>
        <w:rPr>
          <w:rFonts w:ascii="Arial" w:eastAsia="Calibri" w:hAnsi="Arial" w:cs="Arial"/>
          <w:b/>
          <w:color w:val="000000" w:themeColor="text1"/>
          <w:sz w:val="22"/>
        </w:rPr>
      </w:pPr>
    </w:p>
    <w:p w14:paraId="199B2883" w14:textId="1419B33E" w:rsidR="00F103DC" w:rsidRPr="006C15D5" w:rsidRDefault="00D22040" w:rsidP="00186615">
      <w:pPr>
        <w:tabs>
          <w:tab w:val="left" w:pos="426"/>
        </w:tabs>
        <w:spacing w:line="276" w:lineRule="auto"/>
        <w:jc w:val="both"/>
        <w:rPr>
          <w:rFonts w:ascii="Arial" w:eastAsia="Calibri" w:hAnsi="Arial" w:cs="Arial"/>
          <w:color w:val="000000" w:themeColor="text1"/>
          <w:sz w:val="22"/>
        </w:rPr>
      </w:pPr>
      <w:bookmarkStart w:id="3" w:name="_Hlk49352499"/>
      <w:bookmarkStart w:id="4" w:name="_Hlk41142281"/>
      <w:bookmarkStart w:id="5" w:name="_Hlk41043439"/>
      <w:bookmarkStart w:id="6" w:name="_Hlk51854674"/>
      <w:r>
        <w:rPr>
          <w:rFonts w:ascii="Arial" w:eastAsia="Calibri" w:hAnsi="Arial" w:cs="Arial"/>
          <w:color w:val="000000" w:themeColor="text1"/>
          <w:sz w:val="22"/>
        </w:rPr>
        <w:t>Usted realiza la siguiente pregunta</w:t>
      </w:r>
      <w:r w:rsidR="00950763">
        <w:rPr>
          <w:rFonts w:ascii="Arial" w:eastAsia="Calibri" w:hAnsi="Arial" w:cs="Arial"/>
          <w:color w:val="000000" w:themeColor="text1"/>
          <w:sz w:val="22"/>
        </w:rPr>
        <w:t xml:space="preserve">: </w:t>
      </w:r>
      <w:bookmarkStart w:id="7" w:name="_Hlk51861170"/>
      <w:bookmarkEnd w:id="3"/>
      <w:bookmarkEnd w:id="4"/>
      <w:bookmarkEnd w:id="5"/>
      <w:bookmarkEnd w:id="6"/>
      <w:r>
        <w:rPr>
          <w:rFonts w:ascii="Arial" w:eastAsia="Calibri" w:hAnsi="Arial" w:cs="Arial"/>
          <w:color w:val="000000" w:themeColor="text1"/>
          <w:sz w:val="22"/>
        </w:rPr>
        <w:t>«¿puede un proponente subsanar el registro único de proponentes con fecha posterior al cierre, siempre y cuando la información consignada tenga vigencia desde antes del cierre?»</w:t>
      </w:r>
      <w:r w:rsidR="00186615">
        <w:rPr>
          <w:rFonts w:ascii="Arial" w:eastAsia="Calibri" w:hAnsi="Arial" w:cs="Arial"/>
          <w:color w:val="000000" w:themeColor="text1"/>
          <w:sz w:val="22"/>
        </w:rPr>
        <w:t>.</w:t>
      </w:r>
      <w:bookmarkEnd w:id="7"/>
      <w:r w:rsidR="00186615" w:rsidRPr="00186615">
        <w:rPr>
          <w:rFonts w:ascii="Arial" w:eastAsia="Calibri" w:hAnsi="Arial" w:cs="Arial"/>
          <w:color w:val="000000" w:themeColor="text1"/>
          <w:sz w:val="22"/>
        </w:rPr>
        <w:cr/>
      </w:r>
    </w:p>
    <w:p w14:paraId="4FA382BE" w14:textId="3E67759C" w:rsidR="001D59C7" w:rsidRDefault="00BE1E33" w:rsidP="001D59C7">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2217C81A" w14:textId="77777777" w:rsidR="001D59C7" w:rsidRPr="001D59C7" w:rsidRDefault="001D59C7" w:rsidP="001D59C7">
      <w:pPr>
        <w:tabs>
          <w:tab w:val="left" w:pos="426"/>
        </w:tabs>
        <w:spacing w:line="276" w:lineRule="auto"/>
        <w:jc w:val="both"/>
        <w:rPr>
          <w:rFonts w:ascii="Arial" w:eastAsia="Calibri" w:hAnsi="Arial" w:cs="Arial"/>
          <w:bCs/>
          <w:color w:val="000000" w:themeColor="text1"/>
          <w:sz w:val="22"/>
        </w:rPr>
      </w:pPr>
    </w:p>
    <w:p w14:paraId="52FCF0B5" w14:textId="5361900F" w:rsidR="005F12D3" w:rsidRDefault="005F12D3" w:rsidP="005F12D3">
      <w:pPr>
        <w:tabs>
          <w:tab w:val="left" w:pos="0"/>
        </w:tabs>
        <w:spacing w:after="120" w:line="276" w:lineRule="auto"/>
        <w:jc w:val="both"/>
        <w:rPr>
          <w:rFonts w:ascii="Arial" w:eastAsia="Calibri" w:hAnsi="Arial" w:cs="Arial"/>
          <w:bCs/>
          <w:color w:val="000000" w:themeColor="text1"/>
          <w:sz w:val="22"/>
        </w:rPr>
      </w:pPr>
      <w:r w:rsidRPr="005F12D3">
        <w:rPr>
          <w:rFonts w:ascii="Arial" w:eastAsia="Calibri" w:hAnsi="Arial" w:cs="Arial"/>
          <w:bCs/>
          <w:color w:val="000000" w:themeColor="text1"/>
          <w:sz w:val="22"/>
        </w:rPr>
        <w:t xml:space="preserve">Para </w:t>
      </w:r>
      <w:r>
        <w:rPr>
          <w:rFonts w:ascii="Arial" w:eastAsia="Calibri" w:hAnsi="Arial" w:cs="Arial"/>
          <w:bCs/>
          <w:color w:val="000000" w:themeColor="text1"/>
          <w:sz w:val="22"/>
        </w:rPr>
        <w:t>resolver el problema planteado</w:t>
      </w:r>
      <w:r w:rsidRPr="005F12D3">
        <w:rPr>
          <w:rFonts w:ascii="Arial" w:eastAsia="Calibri" w:hAnsi="Arial" w:cs="Arial"/>
          <w:bCs/>
          <w:color w:val="000000" w:themeColor="text1"/>
          <w:sz w:val="22"/>
        </w:rPr>
        <w:t>, en primer lugar</w:t>
      </w:r>
      <w:r>
        <w:rPr>
          <w:rFonts w:ascii="Arial" w:eastAsia="Calibri" w:hAnsi="Arial" w:cs="Arial"/>
          <w:bCs/>
          <w:color w:val="000000" w:themeColor="text1"/>
          <w:sz w:val="22"/>
        </w:rPr>
        <w:t>,</w:t>
      </w:r>
      <w:r w:rsidRPr="005F12D3">
        <w:rPr>
          <w:rFonts w:ascii="Arial" w:eastAsia="Calibri" w:hAnsi="Arial" w:cs="Arial"/>
          <w:bCs/>
          <w:color w:val="000000" w:themeColor="text1"/>
          <w:sz w:val="22"/>
        </w:rPr>
        <w:t xml:space="preserve"> se </w:t>
      </w:r>
      <w:r>
        <w:rPr>
          <w:rFonts w:ascii="Arial" w:eastAsia="Calibri" w:hAnsi="Arial" w:cs="Arial"/>
          <w:bCs/>
          <w:color w:val="000000" w:themeColor="text1"/>
          <w:sz w:val="22"/>
        </w:rPr>
        <w:t>analizará</w:t>
      </w:r>
      <w:r w:rsidRPr="005F12D3">
        <w:rPr>
          <w:rFonts w:ascii="Arial" w:eastAsia="Calibri" w:hAnsi="Arial" w:cs="Arial"/>
          <w:bCs/>
          <w:color w:val="000000" w:themeColor="text1"/>
          <w:sz w:val="22"/>
        </w:rPr>
        <w:t xml:space="preserve"> el </w:t>
      </w:r>
      <w:r>
        <w:rPr>
          <w:rFonts w:ascii="Arial" w:eastAsia="Calibri" w:hAnsi="Arial" w:cs="Arial"/>
          <w:bCs/>
          <w:color w:val="000000" w:themeColor="text1"/>
          <w:sz w:val="22"/>
        </w:rPr>
        <w:t xml:space="preserve">principio </w:t>
      </w:r>
      <w:r w:rsidRPr="005F12D3">
        <w:rPr>
          <w:rFonts w:ascii="Arial" w:eastAsia="Calibri" w:hAnsi="Arial" w:cs="Arial"/>
          <w:bCs/>
          <w:color w:val="000000" w:themeColor="text1"/>
          <w:sz w:val="22"/>
        </w:rPr>
        <w:t xml:space="preserve">constitucional y legal </w:t>
      </w:r>
      <w:r>
        <w:rPr>
          <w:rFonts w:ascii="Arial" w:eastAsia="Calibri" w:hAnsi="Arial" w:cs="Arial"/>
          <w:bCs/>
          <w:color w:val="000000" w:themeColor="text1"/>
          <w:sz w:val="22"/>
        </w:rPr>
        <w:t>de la</w:t>
      </w:r>
      <w:r w:rsidRPr="005F12D3">
        <w:rPr>
          <w:rFonts w:ascii="Arial" w:eastAsia="Calibri" w:hAnsi="Arial" w:cs="Arial"/>
          <w:bCs/>
          <w:color w:val="000000" w:themeColor="text1"/>
          <w:sz w:val="22"/>
        </w:rPr>
        <w:t xml:space="preserve"> selección objetiva </w:t>
      </w:r>
      <w:r>
        <w:rPr>
          <w:rFonts w:ascii="Arial" w:eastAsia="Calibri" w:hAnsi="Arial" w:cs="Arial"/>
          <w:bCs/>
          <w:color w:val="000000" w:themeColor="text1"/>
          <w:sz w:val="22"/>
        </w:rPr>
        <w:t>como</w:t>
      </w:r>
      <w:r w:rsidRPr="005F12D3">
        <w:rPr>
          <w:rFonts w:ascii="Arial" w:eastAsia="Calibri" w:hAnsi="Arial" w:cs="Arial"/>
          <w:bCs/>
          <w:color w:val="000000" w:themeColor="text1"/>
          <w:sz w:val="22"/>
        </w:rPr>
        <w:t xml:space="preserve"> fundamento </w:t>
      </w:r>
      <w:r>
        <w:rPr>
          <w:rFonts w:ascii="Arial" w:eastAsia="Calibri" w:hAnsi="Arial" w:cs="Arial"/>
          <w:bCs/>
          <w:color w:val="000000" w:themeColor="text1"/>
          <w:sz w:val="22"/>
        </w:rPr>
        <w:t>de la subsanación y, e</w:t>
      </w:r>
      <w:r w:rsidRPr="005F12D3">
        <w:rPr>
          <w:rFonts w:ascii="Arial" w:eastAsia="Calibri" w:hAnsi="Arial" w:cs="Arial"/>
          <w:bCs/>
          <w:color w:val="000000" w:themeColor="text1"/>
          <w:sz w:val="22"/>
        </w:rPr>
        <w:t xml:space="preserve">n segundo lugar, se </w:t>
      </w:r>
      <w:r w:rsidR="00647AA7">
        <w:rPr>
          <w:rFonts w:ascii="Arial" w:eastAsia="Calibri" w:hAnsi="Arial" w:cs="Arial"/>
          <w:bCs/>
          <w:color w:val="000000" w:themeColor="text1"/>
          <w:sz w:val="22"/>
        </w:rPr>
        <w:t>examinará</w:t>
      </w:r>
      <w:r w:rsidR="00647AA7" w:rsidRPr="005F12D3">
        <w:rPr>
          <w:rFonts w:ascii="Arial" w:eastAsia="Calibri" w:hAnsi="Arial" w:cs="Arial"/>
          <w:bCs/>
          <w:color w:val="000000" w:themeColor="text1"/>
          <w:sz w:val="22"/>
        </w:rPr>
        <w:t xml:space="preserve"> </w:t>
      </w:r>
      <w:r w:rsidRPr="005F12D3">
        <w:rPr>
          <w:rFonts w:ascii="Arial" w:eastAsia="Calibri" w:hAnsi="Arial" w:cs="Arial"/>
          <w:bCs/>
          <w:color w:val="000000" w:themeColor="text1"/>
          <w:sz w:val="22"/>
        </w:rPr>
        <w:t>el alcance de la regla de la subsanabilidad de las ofertas en los procedimientos de selección.</w:t>
      </w:r>
    </w:p>
    <w:p w14:paraId="1129E446" w14:textId="41101A56" w:rsidR="00914F0A" w:rsidRDefault="005F12D3" w:rsidP="00914F0A">
      <w:pPr>
        <w:tabs>
          <w:tab w:val="left" w:pos="0"/>
        </w:tabs>
        <w:spacing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 xml:space="preserve">Para estos efectos, la Agencia reitera </w:t>
      </w:r>
      <w:r w:rsidRPr="005F12D3">
        <w:rPr>
          <w:rFonts w:ascii="Arial" w:eastAsia="Calibri" w:hAnsi="Arial" w:cs="Arial"/>
          <w:bCs/>
          <w:color w:val="000000" w:themeColor="text1"/>
          <w:sz w:val="22"/>
        </w:rPr>
        <w:t>la</w:t>
      </w:r>
      <w:r>
        <w:rPr>
          <w:rFonts w:ascii="Arial" w:eastAsia="Calibri" w:hAnsi="Arial" w:cs="Arial"/>
          <w:bCs/>
          <w:color w:val="000000" w:themeColor="text1"/>
          <w:sz w:val="22"/>
        </w:rPr>
        <w:t>s</w:t>
      </w:r>
      <w:r w:rsidRPr="005F12D3">
        <w:rPr>
          <w:rFonts w:ascii="Arial" w:eastAsia="Calibri" w:hAnsi="Arial" w:cs="Arial"/>
          <w:bCs/>
          <w:color w:val="000000" w:themeColor="text1"/>
          <w:sz w:val="22"/>
        </w:rPr>
        <w:t xml:space="preserve"> tesis expuesta</w:t>
      </w:r>
      <w:r>
        <w:rPr>
          <w:rFonts w:ascii="Arial" w:eastAsia="Calibri" w:hAnsi="Arial" w:cs="Arial"/>
          <w:bCs/>
          <w:color w:val="000000" w:themeColor="text1"/>
          <w:sz w:val="22"/>
        </w:rPr>
        <w:t>s</w:t>
      </w:r>
      <w:r w:rsidRPr="005F12D3">
        <w:rPr>
          <w:rFonts w:ascii="Arial" w:eastAsia="Calibri" w:hAnsi="Arial" w:cs="Arial"/>
          <w:bCs/>
          <w:color w:val="000000" w:themeColor="text1"/>
          <w:sz w:val="22"/>
        </w:rPr>
        <w:t xml:space="preserve"> en los </w:t>
      </w:r>
      <w:r w:rsidR="00647AA7">
        <w:rPr>
          <w:rFonts w:ascii="Arial" w:eastAsia="Calibri" w:hAnsi="Arial" w:cs="Arial"/>
          <w:bCs/>
          <w:color w:val="000000" w:themeColor="text1"/>
          <w:sz w:val="22"/>
        </w:rPr>
        <w:t>c</w:t>
      </w:r>
      <w:r w:rsidRPr="005F12D3">
        <w:rPr>
          <w:rFonts w:ascii="Arial" w:eastAsia="Calibri" w:hAnsi="Arial" w:cs="Arial"/>
          <w:bCs/>
          <w:color w:val="000000" w:themeColor="text1"/>
          <w:sz w:val="22"/>
        </w:rPr>
        <w:t>onceptos con radicado No.</w:t>
      </w:r>
      <w:r w:rsidR="00647AA7">
        <w:rPr>
          <w:rFonts w:ascii="Arial" w:eastAsia="Calibri" w:hAnsi="Arial" w:cs="Arial"/>
          <w:bCs/>
          <w:color w:val="000000" w:themeColor="text1"/>
          <w:sz w:val="22"/>
        </w:rPr>
        <w:t>:</w:t>
      </w:r>
      <w:r w:rsidRPr="005F12D3">
        <w:rPr>
          <w:rFonts w:ascii="Arial" w:eastAsia="Calibri" w:hAnsi="Arial" w:cs="Arial"/>
          <w:bCs/>
          <w:color w:val="000000" w:themeColor="text1"/>
          <w:sz w:val="22"/>
        </w:rPr>
        <w:t xml:space="preserve"> 4201913000006471 del 28 de octubre de 2019, 4201912000006711 del 12 de noviembre de 2019 y 4201912000006496 del 15 de noviembre de 2019</w:t>
      </w:r>
      <w:r w:rsidR="00647AA7">
        <w:rPr>
          <w:rFonts w:ascii="Arial" w:eastAsia="Calibri" w:hAnsi="Arial" w:cs="Arial"/>
          <w:bCs/>
          <w:color w:val="000000" w:themeColor="text1"/>
          <w:sz w:val="22"/>
        </w:rPr>
        <w:t>;</w:t>
      </w:r>
      <w:r>
        <w:rPr>
          <w:rFonts w:ascii="Arial" w:eastAsia="Calibri" w:hAnsi="Arial" w:cs="Arial"/>
          <w:bCs/>
          <w:color w:val="000000" w:themeColor="text1"/>
          <w:sz w:val="22"/>
        </w:rPr>
        <w:t xml:space="preserve"> las cuales se unificaron en el Concepto CU-060 del 24 de febrero de 2020</w:t>
      </w:r>
      <w:r w:rsidR="00647AA7">
        <w:rPr>
          <w:rFonts w:ascii="Arial" w:eastAsia="Calibri" w:hAnsi="Arial" w:cs="Arial"/>
          <w:bCs/>
          <w:color w:val="000000" w:themeColor="text1"/>
          <w:sz w:val="22"/>
        </w:rPr>
        <w:t>,</w:t>
      </w:r>
      <w:r w:rsidR="00914F0A">
        <w:rPr>
          <w:rFonts w:ascii="Arial" w:eastAsia="Calibri" w:hAnsi="Arial" w:cs="Arial"/>
          <w:bCs/>
          <w:color w:val="000000" w:themeColor="text1"/>
          <w:sz w:val="22"/>
        </w:rPr>
        <w:t xml:space="preserve"> que se reitera </w:t>
      </w:r>
      <w:r w:rsidR="001223E4">
        <w:rPr>
          <w:rFonts w:ascii="Arial" w:eastAsia="Calibri" w:hAnsi="Arial" w:cs="Arial"/>
          <w:bCs/>
          <w:color w:val="000000" w:themeColor="text1"/>
          <w:sz w:val="22"/>
        </w:rPr>
        <w:t xml:space="preserve">en forma </w:t>
      </w:r>
      <w:r>
        <w:rPr>
          <w:rFonts w:ascii="Arial" w:eastAsia="Calibri" w:hAnsi="Arial" w:cs="Arial"/>
          <w:bCs/>
          <w:color w:val="000000" w:themeColor="text1"/>
          <w:sz w:val="22"/>
        </w:rPr>
        <w:t>pacífica</w:t>
      </w:r>
      <w:r w:rsidR="00914F0A">
        <w:rPr>
          <w:rFonts w:ascii="Arial" w:eastAsia="Calibri" w:hAnsi="Arial" w:cs="Arial"/>
          <w:bCs/>
          <w:color w:val="000000" w:themeColor="text1"/>
          <w:sz w:val="22"/>
        </w:rPr>
        <w:t xml:space="preserve">, entre otros, en los </w:t>
      </w:r>
      <w:r w:rsidR="00647AA7">
        <w:rPr>
          <w:rFonts w:ascii="Arial" w:eastAsia="Calibri" w:hAnsi="Arial" w:cs="Arial"/>
          <w:bCs/>
          <w:color w:val="000000" w:themeColor="text1"/>
          <w:sz w:val="22"/>
        </w:rPr>
        <w:t>c</w:t>
      </w:r>
      <w:r w:rsidR="00914F0A">
        <w:rPr>
          <w:rFonts w:ascii="Arial" w:eastAsia="Calibri" w:hAnsi="Arial" w:cs="Arial"/>
          <w:bCs/>
          <w:color w:val="000000" w:themeColor="text1"/>
          <w:sz w:val="22"/>
        </w:rPr>
        <w:t>onceptos</w:t>
      </w:r>
      <w:r w:rsidR="00647AA7">
        <w:rPr>
          <w:rFonts w:ascii="Arial" w:eastAsia="Calibri" w:hAnsi="Arial" w:cs="Arial"/>
          <w:bCs/>
          <w:color w:val="000000" w:themeColor="text1"/>
          <w:sz w:val="22"/>
        </w:rPr>
        <w:t>:</w:t>
      </w:r>
      <w:r>
        <w:rPr>
          <w:rFonts w:ascii="Arial" w:eastAsia="Calibri" w:hAnsi="Arial" w:cs="Arial"/>
          <w:bCs/>
          <w:color w:val="000000" w:themeColor="text1"/>
          <w:sz w:val="22"/>
        </w:rPr>
        <w:t xml:space="preserve"> </w:t>
      </w:r>
      <w:r w:rsidRPr="005F12D3">
        <w:rPr>
          <w:rFonts w:ascii="Arial" w:eastAsia="Calibri" w:hAnsi="Arial" w:cs="Arial"/>
          <w:bCs/>
          <w:color w:val="000000" w:themeColor="text1"/>
          <w:sz w:val="22"/>
        </w:rPr>
        <w:t>C</w:t>
      </w:r>
      <w:r>
        <w:rPr>
          <w:rFonts w:ascii="Arial" w:eastAsia="Calibri" w:hAnsi="Arial" w:cs="Arial"/>
          <w:bCs/>
          <w:color w:val="000000" w:themeColor="text1"/>
          <w:sz w:val="22"/>
        </w:rPr>
        <w:t>-</w:t>
      </w:r>
      <w:r w:rsidRPr="005F12D3">
        <w:rPr>
          <w:rFonts w:ascii="Arial" w:eastAsia="Calibri" w:hAnsi="Arial" w:cs="Arial"/>
          <w:bCs/>
          <w:color w:val="000000" w:themeColor="text1"/>
          <w:sz w:val="22"/>
        </w:rPr>
        <w:t>121 del 3 de marzo de 2020, C</w:t>
      </w:r>
      <w:r>
        <w:rPr>
          <w:rFonts w:ascii="Arial" w:eastAsia="Calibri" w:hAnsi="Arial" w:cs="Arial"/>
          <w:bCs/>
          <w:color w:val="000000" w:themeColor="text1"/>
          <w:sz w:val="22"/>
        </w:rPr>
        <w:t>-</w:t>
      </w:r>
      <w:r w:rsidRPr="005F12D3">
        <w:rPr>
          <w:rFonts w:ascii="Arial" w:eastAsia="Calibri" w:hAnsi="Arial" w:cs="Arial"/>
          <w:bCs/>
          <w:color w:val="000000" w:themeColor="text1"/>
          <w:sz w:val="22"/>
        </w:rPr>
        <w:t>160 del 3 de abril de 2020,  C-013 del 17 de abril de 2020,  C-465 del 27 de julio de 2020,  C-557 del 21 de agosto de 2020</w:t>
      </w:r>
      <w:r>
        <w:rPr>
          <w:rFonts w:ascii="Arial" w:eastAsia="Calibri" w:hAnsi="Arial" w:cs="Arial"/>
          <w:bCs/>
          <w:color w:val="000000" w:themeColor="text1"/>
          <w:sz w:val="22"/>
        </w:rPr>
        <w:t>,</w:t>
      </w:r>
      <w:r w:rsidRPr="005F12D3">
        <w:rPr>
          <w:rFonts w:ascii="Arial" w:eastAsia="Calibri" w:hAnsi="Arial" w:cs="Arial"/>
          <w:bCs/>
          <w:color w:val="000000" w:themeColor="text1"/>
          <w:sz w:val="22"/>
        </w:rPr>
        <w:t xml:space="preserve"> C-573 del 27 de agosto de 2020</w:t>
      </w:r>
      <w:r>
        <w:rPr>
          <w:rFonts w:ascii="Arial" w:eastAsia="Calibri" w:hAnsi="Arial" w:cs="Arial"/>
          <w:bCs/>
          <w:color w:val="000000" w:themeColor="text1"/>
          <w:sz w:val="22"/>
        </w:rPr>
        <w:t xml:space="preserve"> y C-595 del 21 de septiembre de 2020</w:t>
      </w:r>
      <w:r w:rsidR="00914F0A">
        <w:rPr>
          <w:rFonts w:ascii="Arial" w:eastAsia="Calibri" w:hAnsi="Arial" w:cs="Arial"/>
          <w:bCs/>
          <w:color w:val="000000" w:themeColor="text1"/>
          <w:sz w:val="22"/>
        </w:rPr>
        <w:t>.</w:t>
      </w:r>
      <w:r>
        <w:rPr>
          <w:rFonts w:ascii="Arial" w:eastAsia="Calibri" w:hAnsi="Arial" w:cs="Arial"/>
          <w:bCs/>
          <w:color w:val="000000" w:themeColor="text1"/>
          <w:sz w:val="22"/>
        </w:rPr>
        <w:t xml:space="preserve"> </w:t>
      </w:r>
    </w:p>
    <w:p w14:paraId="6AC7BD97" w14:textId="2C95FD79" w:rsidR="005F12D3" w:rsidRDefault="005F12D3" w:rsidP="00914F0A">
      <w:pPr>
        <w:tabs>
          <w:tab w:val="left" w:pos="0"/>
        </w:tabs>
        <w:spacing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 xml:space="preserve"> </w:t>
      </w:r>
    </w:p>
    <w:p w14:paraId="447FFCEE" w14:textId="77777777" w:rsidR="00914F0A" w:rsidRPr="00DC2C79" w:rsidRDefault="00914F0A" w:rsidP="00914F0A">
      <w:pPr>
        <w:spacing w:line="276" w:lineRule="auto"/>
        <w:jc w:val="both"/>
        <w:rPr>
          <w:rFonts w:ascii="Arial" w:eastAsia="Calibri" w:hAnsi="Arial" w:cs="Arial"/>
          <w:b/>
          <w:bCs/>
          <w:color w:val="000000" w:themeColor="text1"/>
          <w:sz w:val="22"/>
          <w:lang w:val="es-ES_tradnl"/>
        </w:rPr>
      </w:pPr>
      <w:r w:rsidRPr="00DC2C79">
        <w:rPr>
          <w:rFonts w:ascii="Arial" w:eastAsia="Calibri" w:hAnsi="Arial" w:cs="Arial"/>
          <w:b/>
          <w:bCs/>
          <w:color w:val="000000" w:themeColor="text1"/>
          <w:sz w:val="22"/>
          <w:lang w:val="es-ES_tradnl"/>
        </w:rPr>
        <w:t>2.1. Principio de selección objetiva en la contratación estatal</w:t>
      </w:r>
    </w:p>
    <w:p w14:paraId="7D16FCD1" w14:textId="77777777" w:rsidR="00914F0A" w:rsidRPr="00DC2C79" w:rsidRDefault="00914F0A" w:rsidP="00914F0A">
      <w:pPr>
        <w:spacing w:line="276" w:lineRule="auto"/>
        <w:jc w:val="both"/>
        <w:rPr>
          <w:rFonts w:ascii="Arial" w:eastAsia="Calibri" w:hAnsi="Arial" w:cs="Arial"/>
          <w:color w:val="000000" w:themeColor="text1"/>
          <w:sz w:val="22"/>
          <w:lang w:val="es-ES_tradnl"/>
        </w:rPr>
      </w:pPr>
    </w:p>
    <w:p w14:paraId="4391C8D9" w14:textId="4AD30D31" w:rsidR="0046018B" w:rsidRPr="00DC2C79" w:rsidRDefault="00914F0A" w:rsidP="00914F0A">
      <w:pPr>
        <w:spacing w:line="276" w:lineRule="auto"/>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Uno de los principios transversales de los procedimientos de selección es el de </w:t>
      </w:r>
      <w:r w:rsidRPr="00DC2C79">
        <w:rPr>
          <w:rFonts w:ascii="Arial" w:eastAsia="Calibri" w:hAnsi="Arial" w:cs="Arial"/>
          <w:i/>
          <w:iCs/>
          <w:color w:val="000000" w:themeColor="text1"/>
          <w:sz w:val="22"/>
          <w:lang w:val="es-ES_tradnl"/>
        </w:rPr>
        <w:t>selección objetiva</w:t>
      </w:r>
      <w:r w:rsidRPr="00DC2C79">
        <w:rPr>
          <w:rFonts w:ascii="Arial" w:eastAsia="Calibri" w:hAnsi="Arial" w:cs="Arial"/>
          <w:color w:val="000000" w:themeColor="text1"/>
          <w:sz w:val="22"/>
          <w:lang w:val="es-ES_tradnl"/>
        </w:rPr>
        <w:t xml:space="preserve">.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3EE8A6E9" w14:textId="609569C9" w:rsidR="00914F0A" w:rsidRPr="00DC2C79" w:rsidRDefault="00914F0A" w:rsidP="00914F0A">
      <w:pPr>
        <w:spacing w:before="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Si bien dentro de la historia de la contratación pública en Colombia, se vislumbran antecedentes normativos que consagraban </w:t>
      </w:r>
      <w:r>
        <w:rPr>
          <w:rFonts w:ascii="Arial" w:eastAsia="Calibri" w:hAnsi="Arial" w:cs="Arial"/>
          <w:color w:val="000000" w:themeColor="text1"/>
          <w:sz w:val="22"/>
          <w:lang w:val="es-ES_tradnl"/>
        </w:rPr>
        <w:t>este</w:t>
      </w:r>
      <w:r w:rsidRPr="00DC2C79">
        <w:rPr>
          <w:rFonts w:ascii="Arial" w:eastAsia="Calibri" w:hAnsi="Arial" w:cs="Arial"/>
          <w:color w:val="000000" w:themeColor="text1"/>
          <w:sz w:val="22"/>
          <w:lang w:val="es-ES_tradnl"/>
        </w:rPr>
        <w:t xml:space="preserve"> principio</w:t>
      </w:r>
      <w:r w:rsidRPr="00DC2C79">
        <w:rPr>
          <w:rStyle w:val="Refdenotaalpie"/>
          <w:rFonts w:ascii="Arial" w:eastAsia="Calibri" w:hAnsi="Arial" w:cs="Arial"/>
          <w:color w:val="000000" w:themeColor="text1"/>
          <w:sz w:val="22"/>
          <w:lang w:val="es-ES_tradnl"/>
        </w:rPr>
        <w:footnoteReference w:id="1"/>
      </w:r>
      <w:r w:rsidRPr="00DC2C79">
        <w:rPr>
          <w:rFonts w:ascii="Arial" w:eastAsia="Calibri" w:hAnsi="Arial" w:cs="Arial"/>
          <w:color w:val="000000" w:themeColor="text1"/>
          <w:sz w:val="22"/>
          <w:lang w:val="es-ES_tradnl"/>
        </w:rPr>
        <w:t xml:space="preserve">, en la actualidad la disposición </w:t>
      </w:r>
      <w:r w:rsidRPr="00DC2C79">
        <w:rPr>
          <w:rFonts w:ascii="Arial" w:eastAsia="Calibri" w:hAnsi="Arial" w:cs="Arial"/>
          <w:color w:val="000000" w:themeColor="text1"/>
          <w:sz w:val="22"/>
          <w:lang w:val="es-ES_tradnl"/>
        </w:rPr>
        <w:lastRenderedPageBreak/>
        <w:t>legal que lo prevé de manera contundente es el artículo 5 de la Ley 1150 de 2007, modificado por el artículo 88 de la Ley 1474 de 2011 y por el artículo 5 de la Ley 1882 de 2018</w:t>
      </w:r>
      <w:r>
        <w:rPr>
          <w:rFonts w:ascii="Arial" w:eastAsia="Calibri" w:hAnsi="Arial" w:cs="Arial"/>
          <w:color w:val="000000" w:themeColor="text1"/>
          <w:sz w:val="22"/>
          <w:lang w:val="es-ES_tradnl"/>
        </w:rPr>
        <w:t>,</w:t>
      </w:r>
      <w:r w:rsidRPr="00DC2C79">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el cual dispone lo siguiente</w:t>
      </w:r>
      <w:r w:rsidRPr="00DC2C79">
        <w:rPr>
          <w:rFonts w:ascii="Arial" w:eastAsia="Calibri" w:hAnsi="Arial" w:cs="Arial"/>
          <w:color w:val="000000" w:themeColor="text1"/>
          <w:sz w:val="22"/>
          <w:lang w:val="es-ES_tradnl"/>
        </w:rPr>
        <w:t>:</w:t>
      </w:r>
    </w:p>
    <w:p w14:paraId="7E580033" w14:textId="77777777" w:rsidR="00914F0A" w:rsidRPr="00DC2C79" w:rsidRDefault="00914F0A" w:rsidP="00914F0A">
      <w:pPr>
        <w:spacing w:line="276" w:lineRule="auto"/>
        <w:jc w:val="both"/>
        <w:rPr>
          <w:rFonts w:ascii="Arial" w:eastAsia="Calibri" w:hAnsi="Arial" w:cs="Arial"/>
          <w:color w:val="000000" w:themeColor="text1"/>
          <w:sz w:val="22"/>
          <w:lang w:val="es-ES_tradnl"/>
        </w:rPr>
      </w:pPr>
    </w:p>
    <w:p w14:paraId="2A07AF10" w14:textId="11715D49" w:rsidR="00914F0A" w:rsidRPr="00DC2C79" w:rsidRDefault="00914F0A" w:rsidP="00914F0A">
      <w:pPr>
        <w:spacing w:after="120"/>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6E6AD7AD" w14:textId="45146F9E" w:rsidR="00914F0A" w:rsidRPr="00DC2C79" w:rsidRDefault="00914F0A" w:rsidP="00914F0A">
      <w:pPr>
        <w:spacing w:after="120"/>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39581F68" w14:textId="3C0ADFC8" w:rsidR="00914F0A" w:rsidRPr="00DC2C79" w:rsidRDefault="00914F0A" w:rsidP="00914F0A">
      <w:pPr>
        <w:spacing w:after="120"/>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2. &lt;Numeral modificado por el artículo 88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61C17E0C" w14:textId="0837DE44" w:rsidR="00914F0A" w:rsidRPr="00DC2C79" w:rsidRDefault="00914F0A" w:rsidP="00914F0A">
      <w:pPr>
        <w:spacing w:after="120"/>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lastRenderedPageBreak/>
        <w:t>En los procesos de selección en los que se tenga en cuenta los factores técnicos y económicos, la oferta más ventajosa será la que resulte de aplicar alguna de las siguientes alternativas:</w:t>
      </w:r>
    </w:p>
    <w:p w14:paraId="39B789CB" w14:textId="62568BAD" w:rsidR="00914F0A" w:rsidRPr="00DC2C79" w:rsidRDefault="00914F0A" w:rsidP="00914F0A">
      <w:pPr>
        <w:spacing w:after="120"/>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a) La ponderación de los elementos de calidad y precio soportados en puntajes o fórmulas señaladas en el pliego de condiciones; o</w:t>
      </w:r>
    </w:p>
    <w:p w14:paraId="6E618DC6" w14:textId="2D3955CC" w:rsidR="00914F0A" w:rsidRPr="00DC2C79" w:rsidRDefault="00914F0A" w:rsidP="00914F0A">
      <w:pPr>
        <w:spacing w:after="120"/>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b) La ponderación de los elementos de calidad y precio que representen la mejor relación de costo-beneficio para la entidad.</w:t>
      </w:r>
    </w:p>
    <w:p w14:paraId="2FDF9124" w14:textId="0B9D46CF" w:rsidR="00914F0A" w:rsidRPr="00DC2C79" w:rsidRDefault="00914F0A" w:rsidP="00914F0A">
      <w:pPr>
        <w:spacing w:after="120"/>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p>
    <w:p w14:paraId="75E8B297" w14:textId="2BB2228E" w:rsidR="00914F0A" w:rsidRPr="00DC2C79" w:rsidRDefault="00914F0A" w:rsidP="00914F0A">
      <w:pPr>
        <w:spacing w:after="120"/>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14:paraId="6A2A5C7A" w14:textId="6BE473A1" w:rsidR="00914F0A" w:rsidRPr="00DC2C79" w:rsidRDefault="00914F0A" w:rsidP="00914F0A">
      <w:pPr>
        <w:spacing w:after="120"/>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En ningún caso se podrá incluir el precio, como factor de escogencia para la selección de consultores.</w:t>
      </w:r>
    </w:p>
    <w:p w14:paraId="5E6AD537" w14:textId="3634E3B8" w:rsidR="00914F0A" w:rsidRPr="00DC2C79" w:rsidRDefault="00914F0A" w:rsidP="00914F0A">
      <w:pPr>
        <w:spacing w:after="120"/>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PARÁGRAFO 1o. &lt;Parágrafo modificado por el artículo 5 de la Ley 1882 de 2018. El nuevo texto es el siguiente:&gt;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7F78E0EC" w14:textId="2610E9FB" w:rsidR="00914F0A" w:rsidRPr="00DC2C79" w:rsidRDefault="00914F0A" w:rsidP="00914F0A">
      <w:pPr>
        <w:spacing w:after="120"/>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Durante el término otorgado para subsanar las ofertas, los proponentes no podrán acreditar circunstancias ocurridas con posterioridad al cierre del proceso.</w:t>
      </w:r>
    </w:p>
    <w:p w14:paraId="1D962967" w14:textId="71ECF761" w:rsidR="00914F0A" w:rsidRPr="00DC2C79" w:rsidRDefault="00914F0A" w:rsidP="00914F0A">
      <w:pPr>
        <w:spacing w:after="120"/>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PARÁGRAFO 2o. Las certificaciones de sistemas de gestión de calidad no serán objeto de calificación, ni podrán establecerse como documento habilitante para participar en licitaciones o concursos.</w:t>
      </w:r>
    </w:p>
    <w:p w14:paraId="5014888F" w14:textId="2ADB4318" w:rsidR="00914F0A" w:rsidRPr="00DC2C79" w:rsidRDefault="00914F0A" w:rsidP="00914F0A">
      <w:pPr>
        <w:spacing w:after="120"/>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PARÁGRAFO 3o. &lt;Parágrafo adicionado por el artículo 5 de la Ley 1882 de 2018. El nuevo texto es el siguiente:&gt; La no entrega de la garantía de seriedad junto con la propuesta no será subsanable y será causal de rechazo de la misma.</w:t>
      </w:r>
    </w:p>
    <w:p w14:paraId="110B2364" w14:textId="38A9B720" w:rsidR="00914F0A" w:rsidRPr="00DC2C79" w:rsidRDefault="00914F0A" w:rsidP="00914F0A">
      <w:pPr>
        <w:spacing w:after="120"/>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 xml:space="preserve">PARÁGRAFO 4o. &lt;Parágrafo adicionado por el artículo 5 de la Ley 1882 de 2018. El nuevo texto es el siguiente:&gt; En aquellos procesos de selección en los que se utilice el mecanismo de subasta, los documentos referentes a la futura </w:t>
      </w:r>
      <w:r w:rsidRPr="00DC2C79">
        <w:rPr>
          <w:rFonts w:ascii="Arial" w:eastAsia="Calibri" w:hAnsi="Arial" w:cs="Arial"/>
          <w:color w:val="000000" w:themeColor="text1"/>
          <w:sz w:val="21"/>
          <w:szCs w:val="21"/>
          <w:lang w:val="es-ES_tradnl"/>
        </w:rPr>
        <w:lastRenderedPageBreak/>
        <w:t>contratación o al proponente, no necesarios para la comparación de las propuestas, deberán ser solicitados hasta el momento previo a su realización.</w:t>
      </w:r>
    </w:p>
    <w:p w14:paraId="735961C8" w14:textId="77777777" w:rsidR="00914F0A" w:rsidRPr="00DC2C79" w:rsidRDefault="00914F0A" w:rsidP="00914F0A">
      <w:pPr>
        <w:ind w:left="709" w:right="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1"/>
          <w:szCs w:val="21"/>
          <w:lang w:val="es-ES_tradnl"/>
        </w:rPr>
        <w:t>PARÁGRAFO 5o. &lt;Parágrafo adicionado por el artículo 5 de la Ley 1882 de 2018. El nuevo texto es el siguiente:&gt; En los procesos de contratación, las entidades estatales deberán aceptar la experiencia adquirida por los proponentes a través de la ejecución de contratos con particulares.</w:t>
      </w:r>
      <w:r w:rsidRPr="00DC2C79">
        <w:rPr>
          <w:rFonts w:ascii="Arial" w:eastAsia="Calibri" w:hAnsi="Arial" w:cs="Arial"/>
          <w:color w:val="000000" w:themeColor="text1"/>
          <w:sz w:val="22"/>
          <w:lang w:val="es-ES_tradnl"/>
        </w:rPr>
        <w:t xml:space="preserve"> </w:t>
      </w:r>
    </w:p>
    <w:p w14:paraId="4709272C" w14:textId="77777777" w:rsidR="00914F0A" w:rsidRPr="00DC2C79" w:rsidRDefault="00914F0A" w:rsidP="00914F0A">
      <w:pPr>
        <w:spacing w:line="276" w:lineRule="auto"/>
        <w:jc w:val="both"/>
        <w:rPr>
          <w:rFonts w:ascii="Arial" w:eastAsia="Calibri" w:hAnsi="Arial" w:cs="Arial"/>
          <w:color w:val="000000" w:themeColor="text1"/>
          <w:sz w:val="22"/>
          <w:lang w:val="es-ES_tradnl"/>
        </w:rPr>
      </w:pPr>
    </w:p>
    <w:p w14:paraId="61F98661" w14:textId="00CAE76D" w:rsidR="00E620A5" w:rsidRDefault="00914F0A" w:rsidP="005B02E6">
      <w:pPr>
        <w:spacing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Así mismo, la Ley 80 de 1993 se refiere a la </w:t>
      </w:r>
      <w:r w:rsidRPr="00DC2C79">
        <w:rPr>
          <w:rFonts w:ascii="Arial" w:eastAsia="Calibri" w:hAnsi="Arial" w:cs="Arial"/>
          <w:i/>
          <w:iCs/>
          <w:color w:val="000000" w:themeColor="text1"/>
          <w:sz w:val="22"/>
          <w:lang w:val="es-ES_tradnl"/>
        </w:rPr>
        <w:t>selección objetiva</w:t>
      </w:r>
      <w:r w:rsidRPr="00DC2C79">
        <w:rPr>
          <w:rFonts w:ascii="Arial" w:eastAsia="Calibri" w:hAnsi="Arial" w:cs="Arial"/>
          <w:color w:val="000000" w:themeColor="text1"/>
          <w:sz w:val="22"/>
          <w:lang w:val="es-ES_tradnl"/>
        </w:rPr>
        <w:t xml:space="preserve"> en varios apartados, como</w:t>
      </w:r>
      <w:r w:rsidR="00300303">
        <w:rPr>
          <w:rFonts w:ascii="Arial" w:eastAsia="Calibri" w:hAnsi="Arial" w:cs="Arial"/>
          <w:color w:val="000000" w:themeColor="text1"/>
          <w:sz w:val="22"/>
          <w:lang w:val="es-ES_tradnl"/>
        </w:rPr>
        <w:t xml:space="preserve"> </w:t>
      </w:r>
      <w:r w:rsidRPr="00DC2C79">
        <w:rPr>
          <w:rFonts w:ascii="Arial" w:eastAsia="Calibri" w:hAnsi="Arial" w:cs="Arial"/>
          <w:color w:val="000000" w:themeColor="text1"/>
          <w:sz w:val="22"/>
          <w:lang w:val="es-ES_tradnl"/>
        </w:rPr>
        <w:t>el primer inciso del artículo 21, que obliga a las entidades estatales a tener en cuenta la selección objetiva, al garantizar la participación de los oferentes de bienes y servicios de origen nacional</w:t>
      </w:r>
      <w:r w:rsidR="00300303">
        <w:rPr>
          <w:rFonts w:ascii="Arial" w:eastAsia="Calibri" w:hAnsi="Arial" w:cs="Arial"/>
          <w:color w:val="000000" w:themeColor="text1"/>
          <w:sz w:val="22"/>
          <w:lang w:val="es-ES_tradnl"/>
        </w:rPr>
        <w:t>;</w:t>
      </w:r>
      <w:r w:rsidRPr="00DC2C79">
        <w:rPr>
          <w:rFonts w:ascii="Arial" w:eastAsia="Calibri" w:hAnsi="Arial" w:cs="Arial"/>
          <w:color w:val="000000" w:themeColor="text1"/>
          <w:sz w:val="22"/>
          <w:lang w:val="es-ES_tradnl"/>
        </w:rPr>
        <w:t xml:space="preserve"> el artículo 24, numeral 5º, literal a), que manda que en los pliegos de condiciones se indiquen «[…] los requisitos objetivos necesarios para participar en el correspondiente proceso de selección»</w:t>
      </w:r>
      <w:r w:rsidR="00300303">
        <w:rPr>
          <w:rFonts w:ascii="Arial" w:eastAsia="Calibri" w:hAnsi="Arial" w:cs="Arial"/>
          <w:color w:val="000000" w:themeColor="text1"/>
          <w:sz w:val="22"/>
          <w:lang w:val="es-ES_tradnl"/>
        </w:rPr>
        <w:t>;</w:t>
      </w:r>
      <w:r w:rsidRPr="00DC2C79">
        <w:rPr>
          <w:rFonts w:ascii="Arial" w:eastAsia="Calibri" w:hAnsi="Arial" w:cs="Arial"/>
          <w:color w:val="000000" w:themeColor="text1"/>
          <w:sz w:val="22"/>
          <w:lang w:val="es-ES_tradnl"/>
        </w:rPr>
        <w:t xml:space="preserve">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w:t>
      </w:r>
      <w:r w:rsidR="00300303">
        <w:rPr>
          <w:rFonts w:ascii="Arial" w:eastAsia="Calibri" w:hAnsi="Arial" w:cs="Arial"/>
          <w:color w:val="000000" w:themeColor="text1"/>
          <w:sz w:val="22"/>
          <w:lang w:val="es-ES_tradnl"/>
        </w:rPr>
        <w:t xml:space="preserve">; </w:t>
      </w:r>
      <w:r w:rsidRPr="00DC2C79">
        <w:rPr>
          <w:rFonts w:ascii="Arial" w:eastAsia="Calibri" w:hAnsi="Arial" w:cs="Arial"/>
          <w:color w:val="000000" w:themeColor="text1"/>
          <w:sz w:val="22"/>
          <w:lang w:val="es-ES_tradnl"/>
        </w:rPr>
        <w:t>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w:t>
      </w:r>
      <w:r w:rsidR="00300303">
        <w:rPr>
          <w:rFonts w:ascii="Arial" w:eastAsia="Calibri" w:hAnsi="Arial" w:cs="Arial"/>
          <w:color w:val="000000" w:themeColor="text1"/>
          <w:sz w:val="22"/>
          <w:lang w:val="es-ES_tradnl"/>
        </w:rPr>
        <w:t>.</w:t>
      </w:r>
    </w:p>
    <w:p w14:paraId="4530A404" w14:textId="54702E07" w:rsidR="00914F0A" w:rsidRPr="00DC2C79" w:rsidRDefault="00E620A5" w:rsidP="00914F0A">
      <w:pPr>
        <w:spacing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De igual forma, </w:t>
      </w:r>
      <w:r w:rsidR="00300303">
        <w:rPr>
          <w:rFonts w:ascii="Arial" w:eastAsia="Calibri" w:hAnsi="Arial" w:cs="Arial"/>
          <w:color w:val="000000" w:themeColor="text1"/>
          <w:sz w:val="22"/>
          <w:lang w:val="es-ES_tradnl"/>
        </w:rPr>
        <w:t>este principio también se menciona en</w:t>
      </w:r>
      <w:r w:rsidR="00914F0A" w:rsidRPr="00DC2C79">
        <w:rPr>
          <w:rFonts w:ascii="Arial" w:eastAsia="Calibri" w:hAnsi="Arial" w:cs="Arial"/>
          <w:color w:val="000000" w:themeColor="text1"/>
          <w:sz w:val="22"/>
          <w:lang w:val="es-ES_tradnl"/>
        </w:rPr>
        <w:t xml:space="preserve"> el segundo inciso del parágrafo 3º del artículo 24, que exige tener en cuenta la selección objetiva de la entidad veedora para el procedimiento de venta de bienes de las entidades estatales por el sistema de martillo; el numeral 18 del artículo 25, el cual señala que «La declaratoria de desierta de la licitación únicamente procederá por motivos o causas que impidan la escogencia objetiva», 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w:t>
      </w:r>
      <w:r w:rsidR="005B02E6">
        <w:rPr>
          <w:rFonts w:ascii="Arial" w:eastAsia="Calibri" w:hAnsi="Arial" w:cs="Arial"/>
          <w:color w:val="000000" w:themeColor="text1"/>
          <w:sz w:val="22"/>
          <w:lang w:val="es-ES_tradnl"/>
        </w:rPr>
        <w:t>;</w:t>
      </w:r>
      <w:r w:rsidR="00914F0A" w:rsidRPr="00DC2C79">
        <w:rPr>
          <w:rFonts w:ascii="Arial" w:eastAsia="Calibri" w:hAnsi="Arial" w:cs="Arial"/>
          <w:color w:val="000000" w:themeColor="text1"/>
          <w:sz w:val="22"/>
          <w:lang w:val="es-ES_tradnl"/>
        </w:rPr>
        <w:t xml:space="preserve"> el inciso final del artículo 38, que obliga a las entidades estatales que tengan como objeto la prestación de servicios y actividades de telecomunicaciones a respetar el principio de selección objetiva</w:t>
      </w:r>
      <w:r w:rsidR="005B02E6">
        <w:rPr>
          <w:rFonts w:ascii="Arial" w:eastAsia="Calibri" w:hAnsi="Arial" w:cs="Arial"/>
          <w:color w:val="000000" w:themeColor="text1"/>
          <w:sz w:val="22"/>
          <w:lang w:val="es-ES_tradnl"/>
        </w:rPr>
        <w:t>;</w:t>
      </w:r>
      <w:r w:rsidR="00914F0A" w:rsidRPr="00DC2C79">
        <w:rPr>
          <w:rFonts w:ascii="Arial" w:eastAsia="Calibri" w:hAnsi="Arial" w:cs="Arial"/>
          <w:color w:val="000000" w:themeColor="text1"/>
          <w:sz w:val="22"/>
          <w:lang w:val="es-ES_tradnl"/>
        </w:rPr>
        <w:t xml:space="preserve"> y el segundo inciso del artículo 76, que ordena cumplir también con dicho principio a las entidades que tengan por objeto la exploración, explotación y comercialización de recursos naturales renovables y no renovables. </w:t>
      </w:r>
    </w:p>
    <w:p w14:paraId="76110FE8" w14:textId="2401896F" w:rsidR="00914F0A" w:rsidRPr="00DC2C79" w:rsidRDefault="00914F0A" w:rsidP="00914F0A">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Por su parte, a nivel reglamentario, el Decreto 1082 de 2015 también hace referencia a la selección objetiva como postulado esencial de los procedimientos de selección. Así se infiere de </w:t>
      </w:r>
      <w:r>
        <w:rPr>
          <w:rFonts w:ascii="Arial" w:eastAsia="Calibri" w:hAnsi="Arial" w:cs="Arial"/>
          <w:color w:val="000000" w:themeColor="text1"/>
          <w:sz w:val="22"/>
          <w:lang w:val="es-ES_tradnl"/>
        </w:rPr>
        <w:t xml:space="preserve">normas </w:t>
      </w:r>
      <w:r w:rsidRPr="00DC2C79">
        <w:rPr>
          <w:rFonts w:ascii="Arial" w:eastAsia="Calibri" w:hAnsi="Arial" w:cs="Arial"/>
          <w:color w:val="000000" w:themeColor="text1"/>
          <w:sz w:val="22"/>
          <w:lang w:val="es-ES_tradnl"/>
        </w:rPr>
        <w:t xml:space="preserve">como: i) el numeral 4º del artículo 2.2.1.1.2.1.3., que indica que dentro de la información del pliego de condiciones se deben definir «Las condiciones de costo y/o </w:t>
      </w:r>
      <w:r w:rsidRPr="00DC2C79">
        <w:rPr>
          <w:rFonts w:ascii="Arial" w:eastAsia="Calibri" w:hAnsi="Arial" w:cs="Arial"/>
          <w:color w:val="000000" w:themeColor="text1"/>
          <w:sz w:val="22"/>
          <w:lang w:val="es-ES_tradnl"/>
        </w:rPr>
        <w:lastRenderedPageBreak/>
        <w:t>calidad que la Entidad Estatal debe tener en cuenta para la selección objetiva, de acuerdo con la modalidad de selección del contratista»; ii) el numeral 8º del artículo 2.2.1.2.1.3.13., que establece como obligación del jurado calificador en los concurso</w:t>
      </w:r>
      <w:r w:rsidR="006C562A">
        <w:rPr>
          <w:rFonts w:ascii="Arial" w:eastAsia="Calibri" w:hAnsi="Arial" w:cs="Arial"/>
          <w:color w:val="000000" w:themeColor="text1"/>
          <w:sz w:val="22"/>
          <w:lang w:val="es-ES_tradnl"/>
        </w:rPr>
        <w:t>s</w:t>
      </w:r>
      <w:r w:rsidRPr="00DC2C79">
        <w:rPr>
          <w:rFonts w:ascii="Arial" w:eastAsia="Calibri" w:hAnsi="Arial" w:cs="Arial"/>
          <w:color w:val="000000" w:themeColor="text1"/>
          <w:sz w:val="22"/>
          <w:lang w:val="es-ES_tradnl"/>
        </w:rPr>
        <w:t xml:space="preserve"> de méritos para la selección de consultores de diseño, planos, anteproyectos y proyectos arquitectónicos, «Manifestar a la Entidad Estatal promotora la declaratoria de desierto </w:t>
      </w:r>
      <w:r w:rsidR="00AA2F3B">
        <w:rPr>
          <w:rFonts w:ascii="Arial" w:eastAsia="Calibri" w:hAnsi="Arial" w:cs="Arial"/>
          <w:color w:val="000000" w:themeColor="text1"/>
          <w:sz w:val="22"/>
          <w:lang w:val="es-ES_tradnl"/>
        </w:rPr>
        <w:t>d</w:t>
      </w:r>
      <w:r w:rsidRPr="00DC2C79">
        <w:rPr>
          <w:rFonts w:ascii="Arial" w:eastAsia="Calibri" w:hAnsi="Arial" w:cs="Arial"/>
          <w:color w:val="000000" w:themeColor="text1"/>
          <w:sz w:val="22"/>
          <w:lang w:val="es-ES_tradnl"/>
        </w:rPr>
        <w:t>el concurso de arquitectura, en caso que se presente el impedimento de la escogencia objetiva de que trata el numeral 18 del artículo 25 de la Ley 80 de 1993»; o iii) el numeral 7º del artículo 2.2.1.2.6.1.3., que consagra, como obligación de la Agencia de Contratación Pública – Colombia Compra Eficiente, fijar en los documentos tipo «[…] alternativas para la ponderación de los elementos de calidad con el fin de que la entidad estatal contratante seleccione la opción adecuada para evaluar las condiciones técnicas de manera objetiva de acuerdo con el objeto de la contratación».</w:t>
      </w:r>
    </w:p>
    <w:p w14:paraId="079C2B0D" w14:textId="34D46C7D" w:rsidR="00914F0A" w:rsidRPr="00DC2C79" w:rsidRDefault="00914F0A" w:rsidP="00914F0A">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La jurisprudencia también ha reconocido la preponderancia de este deber en la etapa precontractual, indicando que su garantía es imprescindible para satisfacer adecuadamente las necesidades de la sociedad a través del contrato</w:t>
      </w:r>
      <w:r w:rsidR="004A5929">
        <w:rPr>
          <w:rFonts w:ascii="Arial" w:eastAsia="Calibri" w:hAnsi="Arial" w:cs="Arial"/>
          <w:color w:val="000000" w:themeColor="text1"/>
          <w:sz w:val="22"/>
          <w:lang w:val="es-ES_tradnl"/>
        </w:rPr>
        <w:t xml:space="preserve"> estatal</w:t>
      </w:r>
      <w:r w:rsidRPr="00DC2C79">
        <w:rPr>
          <w:rFonts w:ascii="Arial" w:eastAsia="Calibri" w:hAnsi="Arial" w:cs="Arial"/>
          <w:color w:val="000000" w:themeColor="text1"/>
          <w:sz w:val="22"/>
          <w:lang w:val="es-ES_tradnl"/>
        </w:rPr>
        <w:t>. A este respecto, la Sección Tercera del Consejo de Estado ha dicho que «la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r w:rsidRPr="00DC2C79">
        <w:rPr>
          <w:rStyle w:val="Refdenotaalpie"/>
          <w:rFonts w:ascii="Arial" w:eastAsia="Calibri" w:hAnsi="Arial" w:cs="Arial"/>
          <w:color w:val="000000" w:themeColor="text1"/>
          <w:sz w:val="22"/>
          <w:lang w:val="es-ES_tradnl"/>
        </w:rPr>
        <w:footnoteReference w:id="2"/>
      </w:r>
      <w:r w:rsidRPr="00DC2C79">
        <w:rPr>
          <w:rFonts w:ascii="Arial" w:eastAsia="Calibri" w:hAnsi="Arial" w:cs="Arial"/>
          <w:color w:val="000000" w:themeColor="text1"/>
          <w:sz w:val="22"/>
          <w:lang w:val="es-ES_tradnl"/>
        </w:rPr>
        <w:t>. Igualmente, ha señalado que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r w:rsidRPr="00DC2C79">
        <w:rPr>
          <w:rStyle w:val="Refdenotaalpie"/>
          <w:rFonts w:ascii="Arial" w:eastAsia="Calibri" w:hAnsi="Arial" w:cs="Arial"/>
          <w:color w:val="000000" w:themeColor="text1"/>
          <w:sz w:val="22"/>
          <w:lang w:val="es-ES_tradnl"/>
        </w:rPr>
        <w:footnoteReference w:id="3"/>
      </w:r>
      <w:r w:rsidRPr="00DC2C79">
        <w:rPr>
          <w:rFonts w:ascii="Arial" w:eastAsia="Calibri" w:hAnsi="Arial" w:cs="Arial"/>
          <w:color w:val="000000" w:themeColor="text1"/>
          <w:sz w:val="22"/>
          <w:lang w:val="es-ES_tradnl"/>
        </w:rPr>
        <w:t>.</w:t>
      </w:r>
    </w:p>
    <w:p w14:paraId="7450DF40" w14:textId="63DA5F99" w:rsidR="00914F0A" w:rsidRPr="00914F0A" w:rsidRDefault="00C849B0" w:rsidP="0074592A">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De igual forma</w:t>
      </w:r>
      <w:r w:rsidR="00914F0A" w:rsidRPr="00DC2C79">
        <w:rPr>
          <w:rFonts w:ascii="Arial" w:eastAsia="Calibri" w:hAnsi="Arial" w:cs="Arial"/>
          <w:color w:val="000000" w:themeColor="text1"/>
          <w:sz w:val="22"/>
          <w:lang w:val="es-ES_tradnl"/>
        </w:rPr>
        <w:t xml:space="preserve">, para garantizar el principio de selección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w:t>
      </w:r>
      <w:r w:rsidR="00914F0A" w:rsidRPr="00DC2C79">
        <w:rPr>
          <w:rFonts w:ascii="Arial" w:eastAsia="Calibri" w:hAnsi="Arial" w:cs="Arial"/>
          <w:color w:val="000000" w:themeColor="text1"/>
          <w:sz w:val="22"/>
          <w:lang w:val="es-ES_tradnl"/>
        </w:rPr>
        <w:lastRenderedPageBreak/>
        <w:t xml:space="preserve">entidades estatales de </w:t>
      </w:r>
      <w:r w:rsidR="00914F0A">
        <w:rPr>
          <w:rFonts w:ascii="Arial" w:eastAsia="Calibri" w:hAnsi="Arial" w:cs="Arial"/>
          <w:color w:val="000000" w:themeColor="text1"/>
          <w:sz w:val="22"/>
          <w:lang w:val="es-ES_tradnl"/>
        </w:rPr>
        <w:t>permitir</w:t>
      </w:r>
      <w:r w:rsidR="00914F0A" w:rsidRPr="00DC2C79">
        <w:rPr>
          <w:rFonts w:ascii="Arial" w:eastAsia="Calibri" w:hAnsi="Arial" w:cs="Arial"/>
          <w:color w:val="000000" w:themeColor="text1"/>
          <w:sz w:val="22"/>
          <w:lang w:val="es-ES_tradnl"/>
        </w:rPr>
        <w:t xml:space="preserve"> la subsanación de los requisitos de participación, bajo las condiciones indicadas en la ley, antes de tomar la decisión de rechazar las propuestas que hayan omitido la observancia de los requisitos habilitantes</w:t>
      </w:r>
      <w:r w:rsidR="003F1D2B">
        <w:rPr>
          <w:rFonts w:ascii="Arial" w:eastAsia="Calibri" w:hAnsi="Arial" w:cs="Arial"/>
          <w:color w:val="000000" w:themeColor="text1"/>
          <w:sz w:val="22"/>
          <w:lang w:val="es-ES_tradnl"/>
        </w:rPr>
        <w:t>. Lo anterior</w:t>
      </w:r>
      <w:r w:rsidR="00783079">
        <w:rPr>
          <w:rFonts w:ascii="Arial" w:eastAsia="Calibri" w:hAnsi="Arial" w:cs="Arial"/>
          <w:color w:val="000000" w:themeColor="text1"/>
          <w:sz w:val="22"/>
          <w:lang w:val="es-ES_tradnl"/>
        </w:rPr>
        <w:t>, teniendo en cuenta que la</w:t>
      </w:r>
      <w:r w:rsidR="00914F0A" w:rsidRPr="00DC2C79">
        <w:rPr>
          <w:rFonts w:ascii="Arial" w:eastAsia="Calibri" w:hAnsi="Arial" w:cs="Arial"/>
          <w:color w:val="000000" w:themeColor="text1"/>
          <w:sz w:val="22"/>
          <w:lang w:val="es-ES_tradnl"/>
        </w:rPr>
        <w:t xml:space="preserve"> decisión </w:t>
      </w:r>
      <w:r w:rsidR="00783079">
        <w:rPr>
          <w:rFonts w:ascii="Arial" w:eastAsia="Calibri" w:hAnsi="Arial" w:cs="Arial"/>
          <w:color w:val="000000" w:themeColor="text1"/>
          <w:sz w:val="22"/>
          <w:lang w:val="es-ES_tradnl"/>
        </w:rPr>
        <w:t>de rechazar una</w:t>
      </w:r>
      <w:r w:rsidR="00653ECE">
        <w:rPr>
          <w:rFonts w:ascii="Arial" w:eastAsia="Calibri" w:hAnsi="Arial" w:cs="Arial"/>
          <w:color w:val="000000" w:themeColor="text1"/>
          <w:sz w:val="22"/>
          <w:lang w:val="es-ES_tradnl"/>
        </w:rPr>
        <w:t xml:space="preserve"> </w:t>
      </w:r>
      <w:r w:rsidR="00783079">
        <w:rPr>
          <w:rFonts w:ascii="Arial" w:eastAsia="Calibri" w:hAnsi="Arial" w:cs="Arial"/>
          <w:color w:val="000000" w:themeColor="text1"/>
          <w:sz w:val="22"/>
          <w:lang w:val="es-ES_tradnl"/>
        </w:rPr>
        <w:t>propuesta</w:t>
      </w:r>
      <w:r w:rsidR="00914F0A" w:rsidRPr="00DC2C79">
        <w:rPr>
          <w:rFonts w:ascii="Arial" w:eastAsia="Calibri" w:hAnsi="Arial" w:cs="Arial"/>
          <w:color w:val="000000" w:themeColor="text1"/>
          <w:sz w:val="22"/>
          <w:lang w:val="es-ES_tradnl"/>
        </w:rPr>
        <w:t>, por regla general –salvo en los casos específicos previstos en la ley, como el de la imposibilidad de subsanar la no entrega de la garantía de seriedad de la oferta o de acreditar circunstancias ocurridas con posterioridad al cierre del procedimiento de selección (art. 5, par. 1º y 3º, Ley 1150 de 2007)– solo puede tomarse si, previamente, se ha permitido que los proponentes completen o corrijan la información relacionada con los requisitos que no asignan puntaje, como mecanismo para hacer prevalecer el derecho sustancial sobre las formalidades.</w:t>
      </w:r>
      <w:r w:rsidR="00914F0A">
        <w:rPr>
          <w:rFonts w:ascii="Arial" w:eastAsia="Calibri" w:hAnsi="Arial" w:cs="Arial"/>
          <w:color w:val="000000" w:themeColor="text1"/>
          <w:sz w:val="22"/>
          <w:lang w:val="es-ES_tradnl"/>
        </w:rPr>
        <w:t xml:space="preserve"> </w:t>
      </w:r>
      <w:r w:rsidR="00914F0A" w:rsidRPr="00DC2C79">
        <w:rPr>
          <w:rFonts w:ascii="Arial" w:eastAsia="Calibri" w:hAnsi="Arial" w:cs="Arial"/>
          <w:color w:val="000000" w:themeColor="text1"/>
          <w:sz w:val="22"/>
          <w:lang w:val="es-ES_tradnl"/>
        </w:rPr>
        <w:t>Esta regla se explica a continuación.</w:t>
      </w:r>
    </w:p>
    <w:p w14:paraId="5D919941" w14:textId="77777777" w:rsidR="00914F0A" w:rsidRPr="00DC2C79" w:rsidRDefault="00914F0A" w:rsidP="00914F0A">
      <w:pPr>
        <w:spacing w:line="276" w:lineRule="auto"/>
        <w:jc w:val="both"/>
        <w:rPr>
          <w:rFonts w:ascii="Arial" w:eastAsia="Calibri" w:hAnsi="Arial" w:cs="Arial"/>
          <w:color w:val="000000" w:themeColor="text1"/>
          <w:sz w:val="22"/>
          <w:lang w:val="es-ES_tradnl"/>
        </w:rPr>
      </w:pPr>
    </w:p>
    <w:p w14:paraId="35B127F5" w14:textId="0528FBED" w:rsidR="00914F0A" w:rsidRPr="00DC2C79" w:rsidRDefault="00914F0A" w:rsidP="00914F0A">
      <w:pPr>
        <w:spacing w:line="276" w:lineRule="auto"/>
        <w:jc w:val="both"/>
        <w:rPr>
          <w:rFonts w:ascii="Arial" w:eastAsia="Calibri" w:hAnsi="Arial" w:cs="Arial"/>
          <w:b/>
          <w:bCs/>
          <w:color w:val="000000" w:themeColor="text1"/>
          <w:sz w:val="22"/>
          <w:lang w:val="es-ES_tradnl"/>
        </w:rPr>
      </w:pPr>
      <w:r w:rsidRPr="00DC2C79">
        <w:rPr>
          <w:rFonts w:ascii="Arial" w:eastAsia="Calibri" w:hAnsi="Arial" w:cs="Arial"/>
          <w:b/>
          <w:bCs/>
          <w:color w:val="000000" w:themeColor="text1"/>
          <w:sz w:val="22"/>
          <w:lang w:val="es-ES_tradnl"/>
        </w:rPr>
        <w:t xml:space="preserve">2.2. Alcance de la regla de la subsanabilidad de las ofertas en los procedimientos de selección. </w:t>
      </w:r>
    </w:p>
    <w:p w14:paraId="6856B792" w14:textId="77777777" w:rsidR="00914F0A" w:rsidRPr="00DC2C79" w:rsidRDefault="00914F0A" w:rsidP="00914F0A">
      <w:pPr>
        <w:spacing w:line="276" w:lineRule="auto"/>
        <w:jc w:val="both"/>
        <w:rPr>
          <w:rFonts w:ascii="Arial" w:eastAsia="Calibri" w:hAnsi="Arial" w:cs="Arial"/>
          <w:color w:val="000000" w:themeColor="text1"/>
          <w:sz w:val="22"/>
          <w:lang w:val="es-ES_tradnl"/>
        </w:rPr>
      </w:pPr>
    </w:p>
    <w:p w14:paraId="61CD4683" w14:textId="1D677A5E" w:rsidR="00914F0A" w:rsidRPr="00DC2C79" w:rsidRDefault="00914F0A" w:rsidP="00914F0A">
      <w:pPr>
        <w:spacing w:line="276" w:lineRule="auto"/>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A continuación se </w:t>
      </w:r>
      <w:r>
        <w:rPr>
          <w:rFonts w:ascii="Arial" w:hAnsi="Arial" w:cs="Arial"/>
          <w:color w:val="000000" w:themeColor="text1"/>
          <w:sz w:val="22"/>
          <w:lang w:val="es-ES_tradnl"/>
        </w:rPr>
        <w:t>reitera</w:t>
      </w:r>
      <w:r w:rsidRPr="00DC2C79">
        <w:rPr>
          <w:rFonts w:ascii="Arial" w:hAnsi="Arial" w:cs="Arial"/>
          <w:color w:val="000000" w:themeColor="text1"/>
          <w:sz w:val="22"/>
          <w:lang w:val="es-ES_tradnl"/>
        </w:rPr>
        <w:t xml:space="preserve"> el concepto de esta Subdirección en torno al alcance de la regla de la subsanabilidad, contenida actualmente en el artículo 5 de la Ley 1150 de 2007. Al respecto, la postura que se </w:t>
      </w:r>
      <w:r>
        <w:rPr>
          <w:rFonts w:ascii="Arial" w:hAnsi="Arial" w:cs="Arial"/>
          <w:color w:val="000000" w:themeColor="text1"/>
          <w:sz w:val="22"/>
          <w:lang w:val="es-ES_tradnl"/>
        </w:rPr>
        <w:t>explica</w:t>
      </w:r>
      <w:r w:rsidRPr="00DC2C79">
        <w:rPr>
          <w:rFonts w:ascii="Arial" w:hAnsi="Arial" w:cs="Arial"/>
          <w:color w:val="000000" w:themeColor="text1"/>
          <w:sz w:val="22"/>
          <w:lang w:val="es-ES_tradnl"/>
        </w:rPr>
        <w:t xml:space="preserve"> en el presente concepto es la siguiente: por regla general, i) la falta de entrega o ii) los defectos, de los requisitos habilitantes, son subsanables. La excepción se encuentra en los casos, previstos en la ley, que limitan la subsanabilidad, es decir, en la prohibición de permitir la entrega de la garantía de seriedad de la oferta que no fue aportada con la propuesta y de valer la acreditación de circunstancias ocurridas con posterioridad al cierre del proceso. </w:t>
      </w:r>
    </w:p>
    <w:p w14:paraId="61E79E02" w14:textId="368198F3" w:rsidR="00914F0A" w:rsidRPr="00DC2C79" w:rsidRDefault="00914F0A" w:rsidP="00914F0A">
      <w:pPr>
        <w:spacing w:before="120" w:after="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Al respecto, l</w:t>
      </w:r>
      <w:r w:rsidRPr="00DC2C79">
        <w:rPr>
          <w:rFonts w:ascii="Arial" w:hAnsi="Arial" w:cs="Arial"/>
          <w:color w:val="000000" w:themeColor="text1"/>
          <w:sz w:val="22"/>
          <w:lang w:val="es-ES_tradnl"/>
        </w:rPr>
        <w:t xml:space="preserve">a posibilidad de enmendar, corregir o subsanar los errores en los que se incurre en los documentos contentivos de la oferta es un tema que ha tenido diferentes momentos o etapas en el ordenamiento jurídico colombiano. En un </w:t>
      </w:r>
      <w:r w:rsidRPr="00DC2C79">
        <w:rPr>
          <w:rFonts w:ascii="Arial" w:hAnsi="Arial" w:cs="Arial"/>
          <w:i/>
          <w:color w:val="000000" w:themeColor="text1"/>
          <w:sz w:val="22"/>
          <w:lang w:val="es-ES_tradnl"/>
        </w:rPr>
        <w:t>primer momento</w:t>
      </w:r>
      <w:r w:rsidRPr="00DC2C79">
        <w:rPr>
          <w:rFonts w:ascii="Arial" w:hAnsi="Arial" w:cs="Arial"/>
          <w:color w:val="000000" w:themeColor="text1"/>
          <w:sz w:val="22"/>
          <w:lang w:val="es-ES_tradnl"/>
        </w:rPr>
        <w:t xml:space="preserve">, antes de la entrada en vigencia de la Constitución Política de 1991, el régimen jurídico de la subsanabilidad de las ofertas estaba compuesto por el Decreto-ley 150 de 1976 y el Decreto-ley 222 de 1983. Bajo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2484178A" w14:textId="18717AD2" w:rsidR="00914F0A" w:rsidRPr="00DC2C79" w:rsidRDefault="00914F0A" w:rsidP="00914F0A">
      <w:pPr>
        <w:spacing w:before="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En un </w:t>
      </w:r>
      <w:r w:rsidRPr="00DC2C79">
        <w:rPr>
          <w:rFonts w:ascii="Arial" w:hAnsi="Arial" w:cs="Arial"/>
          <w:i/>
          <w:color w:val="000000" w:themeColor="text1"/>
          <w:sz w:val="22"/>
          <w:lang w:val="es-ES_tradnl"/>
        </w:rPr>
        <w:t>segundo momento</w:t>
      </w:r>
      <w:r w:rsidRPr="00DC2C79">
        <w:rPr>
          <w:rFonts w:ascii="Arial" w:hAnsi="Arial" w:cs="Arial"/>
          <w:color w:val="000000" w:themeColor="text1"/>
          <w:sz w:val="22"/>
          <w:lang w:val="es-ES_tradnl"/>
        </w:rPr>
        <w:t xml:space="preserve"> se expidió la Ley 80 de 1993, bajo el paradigma que supuso la Constitución de 1991, particularmente en la </w:t>
      </w:r>
      <w:r w:rsidR="006461BC">
        <w:rPr>
          <w:rFonts w:ascii="Arial" w:hAnsi="Arial" w:cs="Arial"/>
          <w:color w:val="000000" w:themeColor="text1"/>
          <w:sz w:val="22"/>
          <w:lang w:val="es-ES_tradnl"/>
        </w:rPr>
        <w:t>manera</w:t>
      </w:r>
      <w:r w:rsidRPr="00DC2C79">
        <w:rPr>
          <w:rFonts w:ascii="Arial" w:hAnsi="Arial" w:cs="Arial"/>
          <w:color w:val="000000" w:themeColor="text1"/>
          <w:sz w:val="22"/>
          <w:lang w:val="es-ES_tradnl"/>
        </w:rPr>
        <w:t xml:space="preserve"> como se relaciona lo formal y lo sustancial en las actuaciones judiciales y administrativas. Este cambio ideológico quedó consignado en el artículo 228, que introdujo el principio de supremacía o prevalencia del derecho sustancial sobre el procedimental.</w:t>
      </w:r>
      <w:r>
        <w:rPr>
          <w:rFonts w:ascii="Arial" w:hAnsi="Arial" w:cs="Arial"/>
          <w:color w:val="000000" w:themeColor="text1"/>
          <w:sz w:val="22"/>
          <w:lang w:val="es-ES_tradnl"/>
        </w:rPr>
        <w:t xml:space="preserve"> </w:t>
      </w:r>
      <w:r w:rsidRPr="00DC2C79">
        <w:rPr>
          <w:rFonts w:ascii="Arial" w:hAnsi="Arial" w:cs="Arial"/>
          <w:color w:val="000000" w:themeColor="text1"/>
          <w:sz w:val="22"/>
          <w:lang w:val="es-ES_tradnl"/>
        </w:rPr>
        <w:t xml:space="preserve">En este nuevo escenario constitucional, el numeral 15 del artículo 25 de la Ley 80 de 1993 dispuso lo siguiente: </w:t>
      </w:r>
    </w:p>
    <w:p w14:paraId="7A87BD81" w14:textId="77777777" w:rsidR="00914F0A" w:rsidRPr="00DC2C79" w:rsidRDefault="00914F0A" w:rsidP="00914F0A">
      <w:pPr>
        <w:spacing w:line="276" w:lineRule="auto"/>
        <w:jc w:val="both"/>
        <w:rPr>
          <w:rFonts w:ascii="Arial" w:hAnsi="Arial" w:cs="Arial"/>
          <w:color w:val="000000" w:themeColor="text1"/>
          <w:sz w:val="22"/>
          <w:lang w:val="es-ES_tradnl"/>
        </w:rPr>
      </w:pPr>
    </w:p>
    <w:p w14:paraId="3057C633" w14:textId="028116CD" w:rsidR="00914F0A" w:rsidRPr="00DC2C79" w:rsidRDefault="00914F0A" w:rsidP="00914F0A">
      <w:pPr>
        <w:spacing w:after="120"/>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lastRenderedPageBreak/>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325B4CD3" w14:textId="77777777" w:rsidR="00914F0A" w:rsidRPr="00DC2C79" w:rsidRDefault="00914F0A" w:rsidP="00914F0A">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La ausencia de requisitos o la falta de documentos referentes a la futura contratación o al proponente, no necesarios para la comparación de propuestas, no servirá de título suficiente para el rechazo de los ofrecimientos hechos. </w:t>
      </w:r>
    </w:p>
    <w:p w14:paraId="739EFA43" w14:textId="77777777" w:rsidR="00914F0A" w:rsidRPr="00DC2C79" w:rsidRDefault="00914F0A" w:rsidP="00914F0A">
      <w:pPr>
        <w:spacing w:line="276" w:lineRule="auto"/>
        <w:jc w:val="both"/>
        <w:rPr>
          <w:rFonts w:ascii="Arial" w:hAnsi="Arial" w:cs="Arial"/>
          <w:b/>
          <w:color w:val="000000" w:themeColor="text1"/>
          <w:sz w:val="22"/>
          <w:lang w:val="es-ES_tradnl"/>
        </w:rPr>
      </w:pPr>
    </w:p>
    <w:p w14:paraId="34F3E4B6" w14:textId="4C676B06" w:rsidR="00914F0A" w:rsidRPr="00DC2C79" w:rsidRDefault="006461BC" w:rsidP="00914F0A">
      <w:pPr>
        <w:spacing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E</w:t>
      </w:r>
      <w:r w:rsidR="00914F0A" w:rsidRPr="00DC2C79">
        <w:rPr>
          <w:rFonts w:ascii="Arial" w:hAnsi="Arial" w:cs="Arial"/>
          <w:color w:val="000000" w:themeColor="text1"/>
          <w:sz w:val="22"/>
          <w:lang w:val="es-ES_tradnl"/>
        </w:rPr>
        <w:t>l régimen jurídico de subsanabilidad de las ofertas sufre un cambio fundamental</w:t>
      </w:r>
      <w:r>
        <w:rPr>
          <w:rFonts w:ascii="Arial" w:hAnsi="Arial" w:cs="Arial"/>
          <w:color w:val="000000" w:themeColor="text1"/>
          <w:sz w:val="22"/>
          <w:lang w:val="es-ES_tradnl"/>
        </w:rPr>
        <w:t xml:space="preserve"> bajo esta norma</w:t>
      </w:r>
      <w:r w:rsidR="00914F0A" w:rsidRPr="00DC2C79">
        <w:rPr>
          <w:rFonts w:ascii="Arial" w:hAnsi="Arial" w:cs="Arial"/>
          <w:color w:val="000000" w:themeColor="text1"/>
          <w:sz w:val="22"/>
          <w:lang w:val="es-ES_tradnl"/>
        </w:rPr>
        <w:t xml:space="preserve">, pues ya no era posible rechazar las ofertas por falta de requisitos o documentos que no fueran </w:t>
      </w:r>
      <w:r>
        <w:rPr>
          <w:rFonts w:ascii="Arial" w:hAnsi="Arial" w:cs="Arial"/>
          <w:color w:val="000000" w:themeColor="text1"/>
          <w:sz w:val="22"/>
          <w:lang w:val="es-ES_tradnl"/>
        </w:rPr>
        <w:t>«</w:t>
      </w:r>
      <w:r w:rsidR="00914F0A" w:rsidRPr="006461BC">
        <w:rPr>
          <w:rFonts w:ascii="Arial" w:hAnsi="Arial" w:cs="Arial"/>
          <w:iCs/>
          <w:color w:val="000000" w:themeColor="text1"/>
          <w:sz w:val="22"/>
          <w:lang w:val="es-ES_tradnl"/>
        </w:rPr>
        <w:t>necesarios para la comparación de propuestas</w:t>
      </w:r>
      <w:r>
        <w:rPr>
          <w:rFonts w:ascii="Arial" w:hAnsi="Arial" w:cs="Arial"/>
          <w:color w:val="000000" w:themeColor="text1"/>
          <w:sz w:val="22"/>
          <w:lang w:val="es-ES_tradnl"/>
        </w:rPr>
        <w:t>»</w:t>
      </w:r>
      <w:r w:rsidR="00914F0A" w:rsidRPr="00DC2C79">
        <w:rPr>
          <w:rFonts w:ascii="Arial" w:hAnsi="Arial" w:cs="Arial"/>
          <w:color w:val="000000" w:themeColor="text1"/>
          <w:sz w:val="22"/>
          <w:lang w:val="es-ES_tradnl"/>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0B99E413" w14:textId="4350EADC" w:rsidR="00914F0A" w:rsidRPr="00DC2C79" w:rsidRDefault="00914F0A" w:rsidP="00914F0A">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Esta norma debía leerse en conjunto con otras de la Ley 80 de 1993, particularmente con el artículo 30.7, que ordena a la entidad señalar un plazo razonable para evaluar las propuestas y pedir a los proponentes, de ser necesario, que aclaren o expliquen aspectos que ofrezcan dudas y resulten indispensables para hacer la evaluación</w:t>
      </w:r>
      <w:r w:rsidR="006461BC" w:rsidRPr="00DC2C79">
        <w:rPr>
          <w:rStyle w:val="Refdenotaalpie"/>
          <w:rFonts w:ascii="Arial" w:hAnsi="Arial" w:cs="Arial"/>
          <w:color w:val="000000" w:themeColor="text1"/>
          <w:sz w:val="22"/>
          <w:lang w:val="es-ES_tradnl"/>
        </w:rPr>
        <w:footnoteReference w:id="4"/>
      </w:r>
      <w:r w:rsidR="001A33C7">
        <w:rPr>
          <w:rFonts w:ascii="Arial" w:hAnsi="Arial" w:cs="Arial"/>
          <w:color w:val="000000" w:themeColor="text1"/>
          <w:sz w:val="22"/>
          <w:lang w:val="es-ES_tradnl"/>
        </w:rPr>
        <w:t>. En igual sentido,</w:t>
      </w:r>
      <w:r w:rsidRPr="00DC2C79">
        <w:rPr>
          <w:rFonts w:ascii="Arial" w:hAnsi="Arial" w:cs="Arial"/>
          <w:color w:val="000000" w:themeColor="text1"/>
          <w:sz w:val="22"/>
          <w:lang w:val="es-ES_tradnl"/>
        </w:rPr>
        <w:t xml:space="preserve"> el artículo 30.8, consagró el término de 5 días hábiles para que los oferentes presenten observaciones al informe de evaluación de las propuestas, sin que sea posible completar, adicionar, modificar o mejorar la oferta</w:t>
      </w:r>
      <w:r w:rsidR="006461BC" w:rsidRPr="00DC2C79">
        <w:rPr>
          <w:rStyle w:val="Refdenotaalpie"/>
          <w:rFonts w:ascii="Arial" w:hAnsi="Arial" w:cs="Arial"/>
          <w:color w:val="000000" w:themeColor="text1"/>
          <w:sz w:val="22"/>
          <w:lang w:val="es-ES_tradnl"/>
        </w:rPr>
        <w:footnoteReference w:id="5"/>
      </w:r>
      <w:r w:rsidRPr="00DC2C79">
        <w:rPr>
          <w:rFonts w:ascii="Arial" w:hAnsi="Arial" w:cs="Arial"/>
          <w:color w:val="000000" w:themeColor="text1"/>
          <w:sz w:val="22"/>
          <w:lang w:val="es-ES_tradnl"/>
        </w:rPr>
        <w:t xml:space="preserve">.  </w:t>
      </w:r>
    </w:p>
    <w:p w14:paraId="29CF6B18" w14:textId="77777777" w:rsidR="00914F0A" w:rsidRPr="00DC2C79" w:rsidRDefault="00914F0A" w:rsidP="00914F0A">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A partir de la lectura integrada de estas tres normas debía concluirse que con la Ley 80 de 1993 era posible subsanar las propuestas, y la omisión o el error en algún aspecto de la misma no podía llevar a su rechazo, sin antes verificar que lo omitido fuera un aspecto necesario para la comparación. </w:t>
      </w:r>
    </w:p>
    <w:p w14:paraId="154C486B" w14:textId="2769132E" w:rsidR="00914F0A" w:rsidRPr="00DC2C79" w:rsidRDefault="00914F0A" w:rsidP="00914F0A">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En un </w:t>
      </w:r>
      <w:r w:rsidRPr="00DC2C79">
        <w:rPr>
          <w:rFonts w:ascii="Arial" w:hAnsi="Arial" w:cs="Arial"/>
          <w:i/>
          <w:color w:val="000000" w:themeColor="text1"/>
          <w:sz w:val="22"/>
          <w:lang w:val="es-ES_tradnl"/>
        </w:rPr>
        <w:t>tercer momento</w:t>
      </w:r>
      <w:r w:rsidRPr="00DC2C79">
        <w:rPr>
          <w:rFonts w:ascii="Arial" w:hAnsi="Arial" w:cs="Arial"/>
          <w:color w:val="000000" w:themeColor="text1"/>
          <w:sz w:val="22"/>
          <w:lang w:val="es-ES_tradnl"/>
        </w:rPr>
        <w:t>,</w:t>
      </w:r>
      <w:r w:rsidR="00181576">
        <w:rPr>
          <w:rFonts w:ascii="Arial" w:hAnsi="Arial" w:cs="Arial"/>
          <w:color w:val="000000" w:themeColor="text1"/>
          <w:sz w:val="22"/>
          <w:lang w:val="es-ES_tradnl"/>
        </w:rPr>
        <w:t xml:space="preserve"> </w:t>
      </w:r>
      <w:r w:rsidRPr="00DC2C79">
        <w:rPr>
          <w:rFonts w:ascii="Arial" w:hAnsi="Arial" w:cs="Arial"/>
          <w:color w:val="000000" w:themeColor="text1"/>
          <w:sz w:val="22"/>
          <w:lang w:val="es-ES_tradnl"/>
        </w:rPr>
        <w:t xml:space="preserve">siguiendo la línea trazada por la Ley 80 de 1993, el legislador expidió la Ley 1150 de 2007, que, en el parágrafo 1º del artículo 5, </w:t>
      </w:r>
      <w:r w:rsidR="00181576">
        <w:rPr>
          <w:rFonts w:ascii="Arial" w:hAnsi="Arial" w:cs="Arial"/>
          <w:color w:val="000000" w:themeColor="text1"/>
          <w:sz w:val="22"/>
          <w:lang w:val="es-ES_tradnl"/>
        </w:rPr>
        <w:t>prescribió</w:t>
      </w:r>
      <w:r w:rsidRPr="00DC2C79">
        <w:rPr>
          <w:rFonts w:ascii="Arial" w:hAnsi="Arial" w:cs="Arial"/>
          <w:color w:val="000000" w:themeColor="text1"/>
          <w:sz w:val="22"/>
          <w:lang w:val="es-ES_tradnl"/>
        </w:rPr>
        <w:t xml:space="preserve"> lo siguiente: </w:t>
      </w:r>
    </w:p>
    <w:p w14:paraId="2A82FC67" w14:textId="77777777" w:rsidR="00914F0A" w:rsidRPr="00DC2C79" w:rsidRDefault="00914F0A" w:rsidP="00914F0A">
      <w:pPr>
        <w:spacing w:line="276" w:lineRule="auto"/>
        <w:jc w:val="both"/>
        <w:rPr>
          <w:rFonts w:ascii="Arial" w:hAnsi="Arial" w:cs="Arial"/>
          <w:color w:val="000000" w:themeColor="text1"/>
          <w:sz w:val="22"/>
          <w:lang w:val="es-ES_tradnl"/>
        </w:rPr>
      </w:pPr>
    </w:p>
    <w:p w14:paraId="7E19B27D" w14:textId="77777777" w:rsidR="00914F0A" w:rsidRPr="00181576" w:rsidRDefault="00914F0A" w:rsidP="00914F0A">
      <w:pPr>
        <w:ind w:left="709" w:right="709"/>
        <w:jc w:val="both"/>
        <w:rPr>
          <w:rFonts w:ascii="Arial" w:hAnsi="Arial" w:cs="Arial"/>
          <w:color w:val="000000" w:themeColor="text1"/>
          <w:sz w:val="21"/>
          <w:szCs w:val="21"/>
          <w:lang w:val="es-ES_tradnl"/>
        </w:rPr>
      </w:pPr>
      <w:r w:rsidRPr="00181576">
        <w:rPr>
          <w:rFonts w:ascii="Arial" w:hAnsi="Arial" w:cs="Arial"/>
          <w:color w:val="000000" w:themeColor="text1"/>
          <w:sz w:val="21"/>
          <w:szCs w:val="21"/>
          <w:lang w:val="es-ES_tradnl"/>
        </w:rPr>
        <w:lastRenderedPageBreak/>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181576">
        <w:rPr>
          <w:rFonts w:ascii="Arial" w:hAnsi="Arial" w:cs="Arial"/>
          <w:b/>
          <w:color w:val="000000" w:themeColor="text1"/>
          <w:sz w:val="21"/>
          <w:szCs w:val="21"/>
          <w:lang w:val="es-ES_tradnl"/>
        </w:rPr>
        <w:t xml:space="preserve">, </w:t>
      </w:r>
      <w:r w:rsidRPr="00181576">
        <w:rPr>
          <w:rFonts w:ascii="Arial" w:hAnsi="Arial" w:cs="Arial"/>
          <w:color w:val="000000" w:themeColor="text1"/>
          <w:sz w:val="21"/>
          <w:szCs w:val="21"/>
          <w:lang w:val="es-ES_tradnl"/>
        </w:rPr>
        <w:t xml:space="preserve">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 </w:t>
      </w:r>
    </w:p>
    <w:p w14:paraId="3AE152A8" w14:textId="77777777" w:rsidR="00914F0A" w:rsidRPr="00DC2C79" w:rsidRDefault="00914F0A" w:rsidP="00914F0A">
      <w:pPr>
        <w:spacing w:line="276" w:lineRule="auto"/>
        <w:jc w:val="both"/>
        <w:rPr>
          <w:rFonts w:ascii="Arial" w:hAnsi="Arial" w:cs="Arial"/>
          <w:b/>
          <w:color w:val="000000" w:themeColor="text1"/>
          <w:sz w:val="22"/>
          <w:lang w:val="es-ES_tradnl"/>
        </w:rPr>
      </w:pPr>
    </w:p>
    <w:p w14:paraId="712CCA93" w14:textId="53FDDD8D" w:rsidR="00914F0A" w:rsidRPr="00DC2C79" w:rsidRDefault="00181576" w:rsidP="00914F0A">
      <w:pPr>
        <w:spacing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E</w:t>
      </w:r>
      <w:r w:rsidR="00914F0A" w:rsidRPr="00DC2C79">
        <w:rPr>
          <w:rFonts w:ascii="Arial" w:hAnsi="Arial" w:cs="Arial"/>
          <w:color w:val="000000" w:themeColor="text1"/>
          <w:sz w:val="22"/>
          <w:lang w:val="es-ES_tradnl"/>
        </w:rPr>
        <w:t xml:space="preserv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4A7F704C" w14:textId="75D9891A" w:rsidR="00914F0A" w:rsidRPr="00DC2C79" w:rsidRDefault="00914F0A" w:rsidP="00181576">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al verificar la Administración encuentra que lo omitido por el proponente es un aspecto que otorga puntaje, no es posible subsanarlo</w:t>
      </w:r>
      <w:r w:rsidR="00463C78">
        <w:rPr>
          <w:rFonts w:ascii="Arial" w:hAnsi="Arial" w:cs="Arial"/>
          <w:color w:val="000000" w:themeColor="text1"/>
          <w:sz w:val="22"/>
          <w:lang w:val="es-ES_tradnl"/>
        </w:rPr>
        <w:t>,</w:t>
      </w:r>
      <w:r w:rsidRPr="00DC2C79">
        <w:rPr>
          <w:rFonts w:ascii="Arial" w:hAnsi="Arial" w:cs="Arial"/>
          <w:color w:val="000000" w:themeColor="text1"/>
          <w:sz w:val="22"/>
          <w:lang w:val="es-ES_tradnl"/>
        </w:rPr>
        <w:t xml:space="preserve"> pero si no otorga puntaje la Administración debe requerir al proponente para que lo subsane.  </w:t>
      </w:r>
    </w:p>
    <w:p w14:paraId="1603F6AB" w14:textId="77777777" w:rsidR="00914F0A" w:rsidRPr="00DC2C79" w:rsidRDefault="00914F0A" w:rsidP="00914F0A">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El artículo 5 de la Ley 1150 de 2007, además de consagrar un criterio más claro, y, de paso, reducir la discrecionalidad de la Administración, fijó un ámbito temporal para la subsanación de las ofertas: “</w:t>
      </w:r>
      <w:r w:rsidRPr="00DC2C79">
        <w:rPr>
          <w:rFonts w:ascii="Arial" w:hAnsi="Arial" w:cs="Arial"/>
          <w:i/>
          <w:color w:val="000000" w:themeColor="text1"/>
          <w:sz w:val="22"/>
          <w:lang w:val="es-ES_tradnl"/>
        </w:rPr>
        <w:t>en cualquier momento, hasta la adjudicación</w:t>
      </w:r>
      <w:r w:rsidRPr="00DC2C79">
        <w:rPr>
          <w:rFonts w:ascii="Arial" w:hAnsi="Arial" w:cs="Arial"/>
          <w:color w:val="000000" w:themeColor="text1"/>
          <w:sz w:val="22"/>
          <w:lang w:val="es-ES_tradnl"/>
        </w:rPr>
        <w:t xml:space="preserve">”.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14:paraId="311AB68B" w14:textId="77777777" w:rsidR="00914F0A" w:rsidRPr="00DC2C79" w:rsidRDefault="00914F0A" w:rsidP="00914F0A">
      <w:pPr>
        <w:spacing w:line="276" w:lineRule="auto"/>
        <w:jc w:val="both"/>
        <w:rPr>
          <w:rFonts w:ascii="Arial" w:hAnsi="Arial" w:cs="Arial"/>
          <w:color w:val="000000" w:themeColor="text1"/>
          <w:sz w:val="22"/>
          <w:lang w:val="es-ES_tradnl"/>
        </w:rPr>
      </w:pPr>
    </w:p>
    <w:p w14:paraId="68D9C3B7" w14:textId="77777777" w:rsidR="00914F0A" w:rsidRPr="00DC2C79" w:rsidRDefault="00914F0A" w:rsidP="00914F0A">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DC2C79">
        <w:rPr>
          <w:rStyle w:val="Refdenotaalpie"/>
          <w:rFonts w:ascii="Arial" w:hAnsi="Arial" w:cs="Arial"/>
          <w:color w:val="000000" w:themeColor="text1"/>
          <w:sz w:val="21"/>
          <w:szCs w:val="21"/>
          <w:lang w:val="es-ES_tradnl"/>
        </w:rPr>
        <w:footnoteReference w:id="6"/>
      </w:r>
      <w:r w:rsidRPr="00DC2C79">
        <w:rPr>
          <w:rFonts w:ascii="Arial" w:hAnsi="Arial" w:cs="Arial"/>
          <w:color w:val="000000" w:themeColor="text1"/>
          <w:sz w:val="21"/>
          <w:szCs w:val="21"/>
          <w:lang w:val="es-ES_tradnl"/>
        </w:rPr>
        <w:t>.</w:t>
      </w:r>
    </w:p>
    <w:p w14:paraId="05363FCA" w14:textId="77777777" w:rsidR="00914F0A" w:rsidRPr="00DC2C79" w:rsidRDefault="00914F0A" w:rsidP="00914F0A">
      <w:pPr>
        <w:spacing w:line="276" w:lineRule="auto"/>
        <w:jc w:val="both"/>
        <w:rPr>
          <w:rFonts w:ascii="Arial" w:hAnsi="Arial" w:cs="Arial"/>
          <w:b/>
          <w:color w:val="000000" w:themeColor="text1"/>
          <w:sz w:val="22"/>
          <w:lang w:val="es-ES_tradnl"/>
        </w:rPr>
      </w:pPr>
    </w:p>
    <w:p w14:paraId="0D39E8F9" w14:textId="77777777" w:rsidR="00914F0A" w:rsidRPr="00DC2C79" w:rsidRDefault="00914F0A" w:rsidP="00181576">
      <w:pPr>
        <w:pStyle w:val="Textoindependiente"/>
        <w:tabs>
          <w:tab w:val="left" w:pos="284"/>
        </w:tabs>
        <w:spacing w:line="276" w:lineRule="auto"/>
        <w:ind w:firstLine="709"/>
        <w:jc w:val="both"/>
        <w:rPr>
          <w:rFonts w:eastAsiaTheme="minorHAnsi"/>
          <w:color w:val="000000" w:themeColor="text1"/>
          <w:lang w:val="es-ES_tradnl"/>
        </w:rPr>
      </w:pPr>
      <w:r w:rsidRPr="00DC2C79">
        <w:rPr>
          <w:rFonts w:eastAsiaTheme="minorHAnsi"/>
          <w:color w:val="000000" w:themeColor="text1"/>
          <w:lang w:val="es-ES_tradnl"/>
        </w:rPr>
        <w:t xml:space="preserve">Esa interpretación fue compartida por la </w:t>
      </w:r>
      <w:r w:rsidRPr="00DC2C79">
        <w:rPr>
          <w:color w:val="000000" w:themeColor="text1"/>
          <w:lang w:val="es-ES_tradnl"/>
        </w:rPr>
        <w:t>Agencia Nacional de Contratación Pública – Colombia Compra Eficiente</w:t>
      </w:r>
      <w:r w:rsidRPr="00DC2C79">
        <w:rPr>
          <w:rFonts w:eastAsiaTheme="minorHAnsi"/>
          <w:color w:val="000000" w:themeColor="text1"/>
          <w:lang w:val="es-ES_tradnl"/>
        </w:rPr>
        <w:t xml:space="preserve">, pues en la Circular Externa Única se precisó que si durante </w:t>
      </w:r>
      <w:r w:rsidRPr="00DC2C79">
        <w:rPr>
          <w:rFonts w:eastAsiaTheme="minorHAnsi"/>
          <w:color w:val="000000" w:themeColor="text1"/>
          <w:lang w:val="es-ES_tradnl"/>
        </w:rPr>
        <w:lastRenderedPageBreak/>
        <w:t>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14:paraId="01AB61F7" w14:textId="5CB61D8E" w:rsidR="00914F0A" w:rsidRPr="00DC2C79" w:rsidRDefault="00914F0A" w:rsidP="00181576">
      <w:pPr>
        <w:pStyle w:val="Textoindependiente"/>
        <w:tabs>
          <w:tab w:val="left" w:pos="284"/>
        </w:tabs>
        <w:spacing w:before="120" w:line="276" w:lineRule="auto"/>
        <w:ind w:firstLine="709"/>
        <w:jc w:val="both"/>
        <w:rPr>
          <w:rFonts w:eastAsiaTheme="minorHAnsi"/>
          <w:color w:val="000000" w:themeColor="text1"/>
          <w:lang w:val="es-ES_tradnl"/>
        </w:rPr>
      </w:pPr>
      <w:r w:rsidRPr="00DC2C79">
        <w:rPr>
          <w:color w:val="000000" w:themeColor="text1"/>
          <w:lang w:val="es-ES_tradnl"/>
        </w:rPr>
        <w:t xml:space="preserve">En un </w:t>
      </w:r>
      <w:r w:rsidRPr="00DC2C79">
        <w:rPr>
          <w:i/>
          <w:color w:val="000000" w:themeColor="text1"/>
          <w:lang w:val="es-ES_tradnl"/>
        </w:rPr>
        <w:t>cuarto momento</w:t>
      </w:r>
      <w:r w:rsidRPr="00DC2C79">
        <w:rPr>
          <w:color w:val="000000" w:themeColor="text1"/>
          <w:lang w:val="es-ES_tradnl"/>
        </w:rPr>
        <w:t xml:space="preserve">, el legislador expidió la Ley 1882 de 2018, con la finalidad de introducir cambios y ajustes para fortalecer la contratación pública. </w:t>
      </w:r>
      <w:r w:rsidR="002D643D">
        <w:rPr>
          <w:color w:val="000000" w:themeColor="text1"/>
          <w:lang w:val="es-ES_tradnl"/>
        </w:rPr>
        <w:t>Particularmente, e</w:t>
      </w:r>
      <w:r w:rsidRPr="00DC2C79">
        <w:rPr>
          <w:color w:val="000000" w:themeColor="text1"/>
          <w:lang w:val="es-ES_tradnl"/>
        </w:rPr>
        <w:t xml:space="preserve">l artículo 5 modificó el parágrafo 1º del artículo 5 de la Ley 1150 de 2007: </w:t>
      </w:r>
    </w:p>
    <w:p w14:paraId="26D9FB7A" w14:textId="77777777" w:rsidR="00914F0A" w:rsidRPr="00DC2C79" w:rsidRDefault="00914F0A" w:rsidP="00914F0A">
      <w:pPr>
        <w:spacing w:line="276" w:lineRule="auto"/>
        <w:jc w:val="both"/>
        <w:rPr>
          <w:rFonts w:ascii="Arial" w:hAnsi="Arial" w:cs="Arial"/>
          <w:color w:val="000000" w:themeColor="text1"/>
          <w:sz w:val="22"/>
          <w:lang w:val="es-ES_tradnl"/>
        </w:rPr>
      </w:pPr>
    </w:p>
    <w:p w14:paraId="13913A63" w14:textId="77777777" w:rsidR="00914F0A" w:rsidRPr="00DC2C79" w:rsidRDefault="00914F0A" w:rsidP="00914F0A">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Artículo 5°. De la selección objetiva. </w:t>
      </w:r>
    </w:p>
    <w:p w14:paraId="66444499" w14:textId="02D1E626" w:rsidR="00914F0A" w:rsidRPr="00DC2C79" w:rsidRDefault="002D643D" w:rsidP="002D643D">
      <w:pPr>
        <w:spacing w:after="120"/>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914F0A" w:rsidRPr="00DC2C79">
        <w:rPr>
          <w:rFonts w:ascii="Arial" w:hAnsi="Arial" w:cs="Arial"/>
          <w:color w:val="000000" w:themeColor="text1"/>
          <w:sz w:val="21"/>
          <w:szCs w:val="21"/>
          <w:lang w:val="es-ES_tradnl"/>
        </w:rPr>
        <w:t>...</w:t>
      </w:r>
      <w:r>
        <w:rPr>
          <w:rFonts w:ascii="Arial" w:hAnsi="Arial" w:cs="Arial"/>
          <w:color w:val="000000" w:themeColor="text1"/>
          <w:sz w:val="21"/>
          <w:szCs w:val="21"/>
          <w:lang w:val="es-ES_tradnl"/>
        </w:rPr>
        <w:t>]</w:t>
      </w:r>
      <w:r w:rsidR="00914F0A" w:rsidRPr="00DC2C79">
        <w:rPr>
          <w:rFonts w:ascii="Arial" w:hAnsi="Arial" w:cs="Arial"/>
          <w:color w:val="000000" w:themeColor="text1"/>
          <w:sz w:val="21"/>
          <w:szCs w:val="21"/>
          <w:lang w:val="es-ES_tradnl"/>
        </w:rPr>
        <w:t xml:space="preserve"> </w:t>
      </w:r>
    </w:p>
    <w:p w14:paraId="64089831" w14:textId="77777777" w:rsidR="00914F0A" w:rsidRPr="00DC2C79" w:rsidRDefault="00914F0A" w:rsidP="00914F0A">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38C37E3F" w14:textId="77777777" w:rsidR="00914F0A" w:rsidRPr="00DC2C79" w:rsidRDefault="00914F0A" w:rsidP="00914F0A">
      <w:pPr>
        <w:spacing w:line="276" w:lineRule="auto"/>
        <w:jc w:val="both"/>
        <w:rPr>
          <w:rFonts w:ascii="Arial" w:hAnsi="Arial" w:cs="Arial"/>
          <w:b/>
          <w:color w:val="000000" w:themeColor="text1"/>
          <w:sz w:val="22"/>
          <w:lang w:val="es-ES_tradnl"/>
        </w:rPr>
      </w:pPr>
    </w:p>
    <w:p w14:paraId="3ECF06B0" w14:textId="75353DB7" w:rsidR="00914F0A" w:rsidRPr="00DC2C79" w:rsidRDefault="00914F0A" w:rsidP="00914F0A">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w:t>
      </w:r>
      <w:r w:rsidR="002D643D">
        <w:rPr>
          <w:rFonts w:ascii="Arial" w:hAnsi="Arial" w:cs="Arial"/>
          <w:color w:val="000000" w:themeColor="text1"/>
          <w:sz w:val="22"/>
          <w:lang w:val="es-ES_tradnl"/>
        </w:rPr>
        <w:t>y</w:t>
      </w:r>
      <w:r w:rsidRPr="00DC2C79">
        <w:rPr>
          <w:rFonts w:ascii="Arial" w:hAnsi="Arial" w:cs="Arial"/>
          <w:color w:val="000000" w:themeColor="text1"/>
          <w:sz w:val="22"/>
          <w:lang w:val="es-ES_tradnl"/>
        </w:rPr>
        <w:t xml:space="preserve"> iii) introduce modificaciones en relación con </w:t>
      </w:r>
      <w:r w:rsidR="00B964DD">
        <w:rPr>
          <w:rFonts w:ascii="Arial" w:hAnsi="Arial" w:cs="Arial"/>
          <w:color w:val="000000" w:themeColor="text1"/>
          <w:sz w:val="22"/>
          <w:lang w:val="es-ES_tradnl"/>
        </w:rPr>
        <w:t>tres</w:t>
      </w:r>
      <w:r w:rsidRPr="00DC2C79">
        <w:rPr>
          <w:rFonts w:ascii="Arial" w:hAnsi="Arial" w:cs="Arial"/>
          <w:color w:val="000000" w:themeColor="text1"/>
          <w:sz w:val="22"/>
          <w:lang w:val="es-ES_tradnl"/>
        </w:rPr>
        <w:t xml:space="preserve"> aspectos que se analizarán a continuación. </w:t>
      </w:r>
    </w:p>
    <w:p w14:paraId="27405293" w14:textId="4B4113BD" w:rsidR="00914F0A" w:rsidRPr="00DC2C79" w:rsidRDefault="00914F0A" w:rsidP="00914F0A">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w:t>
      </w:r>
      <w:r w:rsidRPr="00DC2C79">
        <w:rPr>
          <w:rFonts w:ascii="Arial" w:eastAsia="Calibri" w:hAnsi="Arial" w:cs="Arial"/>
          <w:color w:val="000000" w:themeColor="text1"/>
          <w:sz w:val="22"/>
          <w:lang w:val="es-ES_tradnl"/>
        </w:rPr>
        <w:t>de selección a través del sistema de subasta</w:t>
      </w:r>
      <w:r w:rsidR="00256EDD">
        <w:rPr>
          <w:rFonts w:ascii="Arial" w:eastAsia="Calibri" w:hAnsi="Arial" w:cs="Arial"/>
          <w:color w:val="000000" w:themeColor="text1"/>
          <w:sz w:val="22"/>
          <w:lang w:val="es-ES_tradnl"/>
        </w:rPr>
        <w:t>, pues</w:t>
      </w:r>
      <w:r w:rsidRPr="00DC2C79">
        <w:rPr>
          <w:rFonts w:ascii="Arial" w:eastAsia="Calibri" w:hAnsi="Arial" w:cs="Arial"/>
          <w:color w:val="000000" w:themeColor="text1"/>
          <w:sz w:val="22"/>
          <w:lang w:val="es-ES_tradnl"/>
        </w:rPr>
        <w:t xml:space="preserve"> en e</w:t>
      </w:r>
      <w:r w:rsidR="00256EDD">
        <w:rPr>
          <w:rFonts w:ascii="Arial" w:eastAsia="Calibri" w:hAnsi="Arial" w:cs="Arial"/>
          <w:color w:val="000000" w:themeColor="text1"/>
          <w:sz w:val="22"/>
          <w:lang w:val="es-ES_tradnl"/>
        </w:rPr>
        <w:t xml:space="preserve">ste </w:t>
      </w:r>
      <w:r w:rsidRPr="00DC2C79">
        <w:rPr>
          <w:rFonts w:ascii="Arial" w:eastAsia="Calibri" w:hAnsi="Arial" w:cs="Arial"/>
          <w:color w:val="000000" w:themeColor="text1"/>
          <w:sz w:val="22"/>
          <w:lang w:val="es-ES_tradnl"/>
        </w:rPr>
        <w:t>último los documentos o requisitos subsanables pueden y deben solicitarse hasta el momento previo a su realización</w:t>
      </w:r>
      <w:r w:rsidR="00B964DD" w:rsidRPr="00DC2C79">
        <w:rPr>
          <w:rStyle w:val="Refdenotaalpie"/>
          <w:rFonts w:ascii="Arial" w:eastAsia="Calibri" w:hAnsi="Arial" w:cs="Arial"/>
          <w:color w:val="000000" w:themeColor="text1"/>
          <w:sz w:val="22"/>
          <w:lang w:val="es-ES_tradnl"/>
        </w:rPr>
        <w:footnoteReference w:id="7"/>
      </w:r>
      <w:r w:rsidRPr="00DC2C79">
        <w:rPr>
          <w:rFonts w:ascii="Arial" w:eastAsia="Calibri" w:hAnsi="Arial" w:cs="Arial"/>
          <w:color w:val="000000" w:themeColor="text1"/>
          <w:sz w:val="22"/>
          <w:lang w:val="es-ES_tradnl"/>
        </w:rPr>
        <w:t xml:space="preserve">.  </w:t>
      </w:r>
    </w:p>
    <w:p w14:paraId="1CA5E411" w14:textId="0913BFA5" w:rsidR="00914F0A" w:rsidRPr="00DC2C79" w:rsidRDefault="00914F0A" w:rsidP="00B964DD">
      <w:pPr>
        <w:spacing w:before="120" w:after="120" w:line="276" w:lineRule="auto"/>
        <w:ind w:firstLine="709"/>
        <w:jc w:val="both"/>
        <w:rPr>
          <w:rFonts w:ascii="Arial" w:hAnsi="Arial" w:cs="Arial"/>
          <w:color w:val="000000" w:themeColor="text1"/>
          <w:sz w:val="22"/>
          <w:lang w:val="es-ES_tradnl"/>
        </w:rPr>
      </w:pPr>
      <w:r w:rsidRPr="00DC2C79">
        <w:rPr>
          <w:rFonts w:ascii="Arial" w:eastAsia="Calibri" w:hAnsi="Arial" w:cs="Arial"/>
          <w:color w:val="000000" w:themeColor="text1"/>
          <w:sz w:val="22"/>
          <w:lang w:val="es-ES_tradnl"/>
        </w:rPr>
        <w:lastRenderedPageBreak/>
        <w:t>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w:t>
      </w:r>
      <w:r w:rsidR="00B964DD">
        <w:rPr>
          <w:rFonts w:ascii="Arial" w:eastAsia="Calibri" w:hAnsi="Arial" w:cs="Arial"/>
          <w:color w:val="000000" w:themeColor="text1"/>
          <w:sz w:val="22"/>
          <w:lang w:val="es-ES_tradnl"/>
        </w:rPr>
        <w:t>, ya que</w:t>
      </w:r>
      <w:r w:rsidRPr="00DC2C79">
        <w:rPr>
          <w:rFonts w:ascii="Arial" w:eastAsia="Calibri" w:hAnsi="Arial" w:cs="Arial"/>
          <w:color w:val="000000" w:themeColor="text1"/>
          <w:sz w:val="22"/>
          <w:lang w:val="es-ES_tradnl"/>
        </w:rPr>
        <w:t xml:space="preserve"> </w:t>
      </w:r>
      <w:r w:rsidR="00B964DD">
        <w:rPr>
          <w:rFonts w:ascii="Arial" w:eastAsia="Calibri" w:hAnsi="Arial" w:cs="Arial"/>
          <w:color w:val="000000" w:themeColor="text1"/>
          <w:sz w:val="22"/>
          <w:lang w:val="es-ES_tradnl"/>
        </w:rPr>
        <w:t>«</w:t>
      </w:r>
      <w:r w:rsidRPr="00B964DD">
        <w:rPr>
          <w:rFonts w:ascii="Arial" w:hAnsi="Arial" w:cs="Arial"/>
          <w:iCs/>
          <w:color w:val="000000" w:themeColor="text1"/>
          <w:sz w:val="22"/>
          <w:lang w:val="es-ES_tradnl"/>
        </w:rPr>
        <w:t>deberán ser solicitados por las entidades estatales y deberán ser entregados por los proponentes hasta el término de traslado del informe de evaluación que corresponda a cada modalidad de selección</w:t>
      </w:r>
      <w:r w:rsidR="00B964DD" w:rsidRPr="00B964DD">
        <w:rPr>
          <w:rFonts w:ascii="Arial" w:hAnsi="Arial" w:cs="Arial"/>
          <w:iCs/>
          <w:color w:val="000000" w:themeColor="text1"/>
          <w:sz w:val="22"/>
          <w:lang w:val="es-ES_tradnl"/>
        </w:rPr>
        <w:t>»</w:t>
      </w:r>
      <w:r w:rsidRPr="00DC2C79">
        <w:rPr>
          <w:rFonts w:ascii="Arial" w:hAnsi="Arial" w:cs="Arial"/>
          <w:color w:val="000000" w:themeColor="text1"/>
          <w:sz w:val="22"/>
          <w:lang w:val="es-ES_tradnl"/>
        </w:rPr>
        <w:t xml:space="preserve">. </w:t>
      </w:r>
    </w:p>
    <w:p w14:paraId="232B111B" w14:textId="63E7053B" w:rsidR="00914F0A" w:rsidRPr="00DC2C79" w:rsidRDefault="00914F0A" w:rsidP="00914F0A">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No obstante, de la lectura de este aparte podrían, en la práctica, darse dos interpretaciones que dan lugar a dos formas de proceder en los procesos de selección, en lo que se refiere a la subsanabilidad de las ofertas. </w:t>
      </w:r>
      <w:r w:rsidRPr="00DC2C79">
        <w:rPr>
          <w:rFonts w:ascii="Arial" w:hAnsi="Arial" w:cs="Arial"/>
          <w:i/>
          <w:iCs/>
          <w:color w:val="000000" w:themeColor="text1"/>
          <w:sz w:val="22"/>
          <w:lang w:val="es-ES_tradnl"/>
        </w:rPr>
        <w:t>Primera</w:t>
      </w:r>
      <w:r w:rsidRPr="00DC2C79">
        <w:rPr>
          <w:rFonts w:ascii="Arial" w:hAnsi="Arial" w:cs="Arial"/>
          <w:color w:val="000000" w:themeColor="text1"/>
          <w:sz w:val="22"/>
          <w:lang w:val="es-ES_tradnl"/>
        </w:rPr>
        <w:t>, que la posibilidad de los oferentes para subsanar es el término del traslado del informe de evaluación, ya que en este documento es donde la Administración establece los requisitos o documentos omitidos que los oferentes deben subsanar, so pena de rechazo</w:t>
      </w:r>
      <w:r w:rsidR="00956F78">
        <w:rPr>
          <w:rFonts w:ascii="Arial" w:hAnsi="Arial" w:cs="Arial"/>
          <w:color w:val="000000" w:themeColor="text1"/>
          <w:sz w:val="22"/>
          <w:lang w:val="es-ES_tradnl"/>
        </w:rPr>
        <w:t>.</w:t>
      </w:r>
      <w:r w:rsidRPr="00DC2C79">
        <w:rPr>
          <w:rFonts w:ascii="Arial" w:hAnsi="Arial" w:cs="Arial"/>
          <w:color w:val="000000" w:themeColor="text1"/>
          <w:sz w:val="22"/>
          <w:lang w:val="es-ES_tradnl"/>
        </w:rPr>
        <w:t xml:space="preserve"> </w:t>
      </w:r>
      <w:r w:rsidR="00956F78">
        <w:rPr>
          <w:rFonts w:ascii="Arial" w:hAnsi="Arial" w:cs="Arial"/>
          <w:i/>
          <w:iCs/>
          <w:color w:val="000000" w:themeColor="text1"/>
          <w:sz w:val="22"/>
          <w:lang w:val="es-ES_tradnl"/>
        </w:rPr>
        <w:t>S</w:t>
      </w:r>
      <w:r w:rsidRPr="00DC2C79">
        <w:rPr>
          <w:rFonts w:ascii="Arial" w:hAnsi="Arial" w:cs="Arial"/>
          <w:i/>
          <w:iCs/>
          <w:color w:val="000000" w:themeColor="text1"/>
          <w:sz w:val="22"/>
          <w:lang w:val="es-ES_tradnl"/>
        </w:rPr>
        <w:t>egunda</w:t>
      </w:r>
      <w:r w:rsidRPr="00DC2C79">
        <w:rPr>
          <w:rFonts w:ascii="Arial" w:hAnsi="Arial" w:cs="Arial"/>
          <w:color w:val="000000" w:themeColor="text1"/>
          <w:sz w:val="22"/>
          <w:lang w:val="es-ES_tradnl"/>
        </w:rPr>
        <w:t xml:space="preserve">, que el término del traslado del informe de evaluación es el límite para la subsanación de ofertas, pero no el único momento para hacerlo. </w:t>
      </w:r>
    </w:p>
    <w:p w14:paraId="463C03BD" w14:textId="77777777" w:rsidR="00914F0A" w:rsidRPr="00DC2C79" w:rsidRDefault="00914F0A" w:rsidP="00914F0A">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  </w:t>
      </w:r>
    </w:p>
    <w:p w14:paraId="076835B7" w14:textId="77777777" w:rsidR="00914F0A" w:rsidRPr="00DC2C79" w:rsidRDefault="00914F0A" w:rsidP="00914F0A">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w:t>
      </w:r>
    </w:p>
    <w:p w14:paraId="43E16EF8" w14:textId="667D5024" w:rsidR="00914F0A" w:rsidRPr="00DC2C79" w:rsidRDefault="00914F0A" w:rsidP="00914F0A">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w:t>
      </w:r>
      <w:r w:rsidR="00C117E8">
        <w:rPr>
          <w:rFonts w:ascii="Arial" w:hAnsi="Arial" w:cs="Arial"/>
          <w:color w:val="000000" w:themeColor="text1"/>
          <w:sz w:val="22"/>
          <w:lang w:val="es-ES_tradnl"/>
        </w:rPr>
        <w:t>desde el punto de vista</w:t>
      </w:r>
      <w:r w:rsidRPr="00DC2C79">
        <w:rPr>
          <w:rFonts w:ascii="Arial" w:hAnsi="Arial" w:cs="Arial"/>
          <w:color w:val="000000" w:themeColor="text1"/>
          <w:sz w:val="22"/>
          <w:lang w:val="es-ES_tradnl"/>
        </w:rPr>
        <w:t xml:space="preserve"> formal. </w:t>
      </w:r>
      <w:r w:rsidR="00C117E8">
        <w:rPr>
          <w:rFonts w:ascii="Arial" w:hAnsi="Arial" w:cs="Arial"/>
          <w:color w:val="000000" w:themeColor="text1"/>
          <w:sz w:val="22"/>
          <w:lang w:val="es-ES_tradnl"/>
        </w:rPr>
        <w:t>La posibilidad de s</w:t>
      </w:r>
      <w:r w:rsidRPr="00DC2C79">
        <w:rPr>
          <w:rFonts w:ascii="Arial" w:hAnsi="Arial" w:cs="Arial"/>
          <w:color w:val="000000" w:themeColor="text1"/>
          <w:sz w:val="22"/>
          <w:lang w:val="es-ES_tradnl"/>
        </w:rPr>
        <w:t xml:space="preserve">ubsanar antes del informe de evaluación ofrece mayor seguridad y certeza al proceso de selección, a la Administración y a los oferentes. </w:t>
      </w:r>
    </w:p>
    <w:p w14:paraId="3A6AF07E" w14:textId="707858BB" w:rsidR="00914F0A" w:rsidRPr="00DC2C79" w:rsidRDefault="00914F0A" w:rsidP="00914F0A">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lastRenderedPageBreak/>
        <w:t>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w:t>
      </w:r>
      <w:r w:rsidR="00926B62">
        <w:rPr>
          <w:rFonts w:ascii="Arial" w:hAnsi="Arial" w:cs="Arial"/>
          <w:color w:val="000000" w:themeColor="text1"/>
          <w:sz w:val="22"/>
          <w:lang w:val="es-ES_tradnl"/>
        </w:rPr>
        <w:t>. Lo anterior,</w:t>
      </w:r>
      <w:r w:rsidRPr="00DC2C79">
        <w:rPr>
          <w:rFonts w:ascii="Arial" w:hAnsi="Arial" w:cs="Arial"/>
          <w:color w:val="000000" w:themeColor="text1"/>
          <w:sz w:val="22"/>
          <w:lang w:val="es-ES_tradnl"/>
        </w:rPr>
        <w:t xml:space="preserv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w:t>
      </w:r>
    </w:p>
    <w:p w14:paraId="3398E7CB" w14:textId="53F0EE1A" w:rsidR="00914F0A" w:rsidRPr="00DC2C79" w:rsidRDefault="00914F0A" w:rsidP="00914F0A">
      <w:pPr>
        <w:spacing w:before="120" w:after="120" w:line="276" w:lineRule="auto"/>
        <w:ind w:firstLine="709"/>
        <w:jc w:val="both"/>
        <w:rPr>
          <w:rFonts w:ascii="Arial" w:hAnsi="Arial" w:cs="Arial"/>
          <w:color w:val="000000" w:themeColor="text1"/>
          <w:sz w:val="22"/>
          <w:lang w:val="es-ES_tradnl"/>
        </w:rPr>
      </w:pPr>
      <w:r w:rsidRPr="00DC2C79">
        <w:rPr>
          <w:rFonts w:ascii="Arial" w:eastAsia="Calibri" w:hAnsi="Arial" w:cs="Arial"/>
          <w:color w:val="000000" w:themeColor="text1"/>
          <w:sz w:val="22"/>
          <w:lang w:val="es-ES_tradnl"/>
        </w:rPr>
        <w:t>De otro lado, el segundo cambio importante de la Ley 1882 de 2018 fue la in</w:t>
      </w:r>
      <w:r w:rsidR="000F5889">
        <w:rPr>
          <w:rFonts w:ascii="Arial" w:eastAsia="Calibri" w:hAnsi="Arial" w:cs="Arial"/>
          <w:color w:val="000000" w:themeColor="text1"/>
          <w:sz w:val="22"/>
          <w:lang w:val="es-ES_tradnl"/>
        </w:rPr>
        <w:t>clusión</w:t>
      </w:r>
      <w:r w:rsidRPr="00DC2C79">
        <w:rPr>
          <w:rFonts w:ascii="Arial" w:eastAsia="Calibri" w:hAnsi="Arial" w:cs="Arial"/>
          <w:color w:val="000000" w:themeColor="text1"/>
          <w:sz w:val="22"/>
          <w:lang w:val="es-ES_tradnl"/>
        </w:rPr>
        <w:t xml:space="preserve"> de un criterio material, directamente relacionado con los aspectos subsanables</w:t>
      </w:r>
      <w:r w:rsidR="00B964DD">
        <w:rPr>
          <w:rFonts w:ascii="Arial" w:eastAsia="Calibri" w:hAnsi="Arial" w:cs="Arial"/>
          <w:color w:val="000000" w:themeColor="text1"/>
          <w:sz w:val="22"/>
          <w:lang w:val="es-ES_tradnl"/>
        </w:rPr>
        <w:t>, ya que</w:t>
      </w:r>
      <w:r w:rsidRPr="00DC2C79">
        <w:rPr>
          <w:rFonts w:ascii="Arial" w:eastAsia="Calibri" w:hAnsi="Arial" w:cs="Arial"/>
          <w:color w:val="000000" w:themeColor="text1"/>
          <w:sz w:val="22"/>
          <w:lang w:val="es-ES_tradnl"/>
        </w:rPr>
        <w:t xml:space="preserve"> </w:t>
      </w:r>
      <w:r w:rsidR="00B964DD" w:rsidRPr="00B964DD">
        <w:rPr>
          <w:rFonts w:ascii="Arial" w:eastAsia="Calibri" w:hAnsi="Arial" w:cs="Arial"/>
          <w:color w:val="000000" w:themeColor="text1"/>
          <w:sz w:val="22"/>
          <w:lang w:val="es-ES_tradnl"/>
        </w:rPr>
        <w:t>«</w:t>
      </w:r>
      <w:r w:rsidR="00B964DD" w:rsidRPr="00B964DD">
        <w:rPr>
          <w:rFonts w:ascii="Arial" w:hAnsi="Arial" w:cs="Arial"/>
          <w:color w:val="000000" w:themeColor="text1"/>
          <w:sz w:val="22"/>
          <w:lang w:val="es-ES_tradnl"/>
        </w:rPr>
        <w:t>los proponentes no podrán acreditar circunstancias ocurridas con posterioridad al cierre del proceso»</w:t>
      </w:r>
      <w:r w:rsidRPr="00DC2C79">
        <w:rPr>
          <w:rFonts w:ascii="Arial" w:hAnsi="Arial" w:cs="Arial"/>
          <w:b/>
          <w:i/>
          <w:iCs/>
          <w:color w:val="000000" w:themeColor="text1"/>
          <w:sz w:val="22"/>
          <w:lang w:val="es-ES_tradnl"/>
        </w:rPr>
        <w:t>.</w:t>
      </w:r>
      <w:r w:rsidRPr="00DC2C79">
        <w:rPr>
          <w:rFonts w:ascii="Arial" w:hAnsi="Arial" w:cs="Arial"/>
          <w:b/>
          <w:color w:val="000000" w:themeColor="text1"/>
          <w:sz w:val="22"/>
          <w:lang w:val="es-ES_tradnl"/>
        </w:rPr>
        <w:t xml:space="preserve"> </w:t>
      </w:r>
      <w:r w:rsidRPr="00DC2C79">
        <w:rPr>
          <w:rFonts w:ascii="Arial" w:hAnsi="Arial" w:cs="Arial"/>
          <w:color w:val="000000" w:themeColor="text1"/>
          <w:sz w:val="22"/>
          <w:lang w:val="es-ES_tradnl"/>
        </w:rPr>
        <w:t xml:space="preserve">Lo anterior ofrece dos aspectos que merecen clarificación: </w:t>
      </w:r>
      <w:r w:rsidRPr="00DC2C79">
        <w:rPr>
          <w:rFonts w:ascii="Arial" w:hAnsi="Arial" w:cs="Arial"/>
          <w:i/>
          <w:iCs/>
          <w:color w:val="000000" w:themeColor="text1"/>
          <w:sz w:val="22"/>
          <w:lang w:val="es-ES_tradnl"/>
        </w:rPr>
        <w:t>primero</w:t>
      </w:r>
      <w:r w:rsidRPr="00DC2C79">
        <w:rPr>
          <w:rFonts w:ascii="Arial" w:hAnsi="Arial" w:cs="Arial"/>
          <w:color w:val="000000" w:themeColor="text1"/>
          <w:sz w:val="22"/>
          <w:lang w:val="es-ES_tradnl"/>
        </w:rPr>
        <w:t xml:space="preserve">, qué debe entenderse por circunstancias ocurridas con posterioridad; y </w:t>
      </w:r>
      <w:r w:rsidRPr="00DC2C79">
        <w:rPr>
          <w:rFonts w:ascii="Arial" w:hAnsi="Arial" w:cs="Arial"/>
          <w:i/>
          <w:iCs/>
          <w:color w:val="000000" w:themeColor="text1"/>
          <w:sz w:val="22"/>
          <w:lang w:val="es-ES_tradnl"/>
        </w:rPr>
        <w:t>segundo</w:t>
      </w:r>
      <w:r w:rsidRPr="00DC2C79">
        <w:rPr>
          <w:rFonts w:ascii="Arial" w:hAnsi="Arial" w:cs="Arial"/>
          <w:color w:val="000000" w:themeColor="text1"/>
          <w:sz w:val="22"/>
          <w:lang w:val="es-ES_tradnl"/>
        </w:rPr>
        <w:t>, qué es el cierre del proceso.</w:t>
      </w:r>
    </w:p>
    <w:p w14:paraId="0C011E4E" w14:textId="77777777" w:rsidR="00914F0A" w:rsidRPr="00DC2C79" w:rsidRDefault="00914F0A" w:rsidP="00914F0A">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La Sala de Consulta y Servicio Civil del Consejo de Estado ya había tenido la oportunidad de precisar estas expresiones, a propósito de un concepto en el que se refirió al artículo 10 del derogado Decreto 2474 de 2008</w:t>
      </w:r>
      <w:r w:rsidRPr="00DC2C79">
        <w:rPr>
          <w:rStyle w:val="Refdenotaalpie"/>
          <w:rFonts w:ascii="Arial" w:hAnsi="Arial" w:cs="Arial"/>
          <w:color w:val="000000" w:themeColor="text1"/>
          <w:sz w:val="22"/>
          <w:lang w:val="es-ES_tradnl"/>
        </w:rPr>
        <w:footnoteReference w:id="8"/>
      </w:r>
      <w:r w:rsidRPr="00DC2C79">
        <w:rPr>
          <w:rFonts w:ascii="Arial" w:hAnsi="Arial" w:cs="Arial"/>
          <w:color w:val="000000" w:themeColor="text1"/>
          <w:sz w:val="22"/>
          <w:lang w:val="es-ES_tradnl"/>
        </w:rPr>
        <w:t xml:space="preserve">,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 </w:t>
      </w:r>
    </w:p>
    <w:p w14:paraId="21F45BB9" w14:textId="77777777" w:rsidR="00914F0A" w:rsidRPr="00B964DD" w:rsidRDefault="00914F0A" w:rsidP="00B964DD">
      <w:pPr>
        <w:spacing w:line="276" w:lineRule="auto"/>
        <w:ind w:left="709" w:right="709"/>
        <w:jc w:val="both"/>
        <w:rPr>
          <w:rFonts w:ascii="Arial" w:hAnsi="Arial" w:cs="Arial"/>
          <w:color w:val="000000" w:themeColor="text1"/>
          <w:sz w:val="22"/>
          <w:lang w:val="es-ES_tradnl"/>
        </w:rPr>
      </w:pPr>
    </w:p>
    <w:p w14:paraId="6F0DED0D" w14:textId="31463B49" w:rsidR="00914F0A" w:rsidRPr="00DC2C79" w:rsidRDefault="00914F0A" w:rsidP="00B964DD">
      <w:pPr>
        <w:spacing w:after="120"/>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lastRenderedPageBreak/>
        <w:t>Sin embargo, debe tenerse en cuenta que la última norma en cita -Decreto 2474 de 2008, aparte subrayado-, establece un límite a la subsanabilidad, puesto que en cualquier caso debe referirse o recaer sobre circunstancias ocurridas antes del cierre del respectivo proceso, esto es, del vencimiento del plazo para presentar ofertas.</w:t>
      </w:r>
    </w:p>
    <w:p w14:paraId="044C0D21" w14:textId="77777777" w:rsidR="00914F0A" w:rsidRPr="00DC2C79" w:rsidRDefault="00914F0A" w:rsidP="00914F0A">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w:t>
      </w:r>
      <w:r w:rsidRPr="00DC2C79">
        <w:rPr>
          <w:rStyle w:val="Refdenotaalpie"/>
          <w:rFonts w:ascii="Arial" w:hAnsi="Arial" w:cs="Arial"/>
          <w:color w:val="000000" w:themeColor="text1"/>
          <w:sz w:val="21"/>
          <w:szCs w:val="21"/>
          <w:lang w:val="es-ES_tradnl"/>
        </w:rPr>
        <w:footnoteReference w:id="9"/>
      </w:r>
      <w:r w:rsidRPr="00DC2C79">
        <w:rPr>
          <w:rFonts w:ascii="Arial" w:hAnsi="Arial" w:cs="Arial"/>
          <w:color w:val="000000" w:themeColor="text1"/>
          <w:sz w:val="21"/>
          <w:szCs w:val="21"/>
          <w:lang w:val="es-ES_tradnl"/>
        </w:rPr>
        <w:t>.</w:t>
      </w:r>
    </w:p>
    <w:p w14:paraId="74A052C6" w14:textId="77777777" w:rsidR="00914F0A" w:rsidRPr="00DC2C79" w:rsidRDefault="00914F0A" w:rsidP="00B964DD">
      <w:pPr>
        <w:spacing w:line="276" w:lineRule="auto"/>
        <w:jc w:val="both"/>
        <w:rPr>
          <w:rFonts w:ascii="Arial" w:hAnsi="Arial" w:cs="Arial"/>
          <w:color w:val="000000" w:themeColor="text1"/>
          <w:sz w:val="22"/>
          <w:lang w:val="es-ES_tradnl"/>
        </w:rPr>
      </w:pPr>
    </w:p>
    <w:p w14:paraId="45946114" w14:textId="45EF489F" w:rsidR="00914F0A" w:rsidRPr="00DC2C79" w:rsidRDefault="00B964DD" w:rsidP="00914F0A">
      <w:pPr>
        <w:spacing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Conforme e</w:t>
      </w:r>
      <w:r w:rsidR="00914F0A" w:rsidRPr="00DC2C79">
        <w:rPr>
          <w:rFonts w:ascii="Arial" w:eastAsia="Calibri" w:hAnsi="Arial" w:cs="Arial"/>
          <w:color w:val="000000" w:themeColor="text1"/>
          <w:sz w:val="22"/>
          <w:lang w:val="es-ES_tradnl"/>
        </w:rPr>
        <w:t>l artículo 5 de la Ley 1882 de 2018, lo subsanable es la prueba de todas las circunstancias ocurridas antes del vencimiento del término para presentar las ofertas</w:t>
      </w:r>
      <w:r w:rsidR="00E816EA">
        <w:rPr>
          <w:rFonts w:ascii="Arial" w:eastAsia="Calibri" w:hAnsi="Arial" w:cs="Arial"/>
          <w:color w:val="000000" w:themeColor="text1"/>
          <w:sz w:val="22"/>
          <w:lang w:val="es-ES_tradnl"/>
        </w:rPr>
        <w:t>, por lo que ese el alcance</w:t>
      </w:r>
      <w:r w:rsidR="00FF7E5E">
        <w:rPr>
          <w:rFonts w:ascii="Arial" w:eastAsia="Calibri" w:hAnsi="Arial" w:cs="Arial"/>
          <w:color w:val="000000" w:themeColor="text1"/>
          <w:sz w:val="22"/>
          <w:lang w:val="es-ES_tradnl"/>
        </w:rPr>
        <w:t xml:space="preserve"> y significado</w:t>
      </w:r>
      <w:r w:rsidR="00914F0A" w:rsidRPr="00DC2C79">
        <w:rPr>
          <w:rFonts w:ascii="Arial" w:eastAsia="Calibri" w:hAnsi="Arial" w:cs="Arial"/>
          <w:color w:val="000000" w:themeColor="text1"/>
          <w:sz w:val="22"/>
          <w:lang w:val="es-ES_tradnl"/>
        </w:rPr>
        <w:t xml:space="preserve"> </w:t>
      </w:r>
      <w:r w:rsidR="00FF7E5E">
        <w:rPr>
          <w:rFonts w:ascii="Arial" w:eastAsia="Calibri" w:hAnsi="Arial" w:cs="Arial"/>
          <w:color w:val="000000" w:themeColor="text1"/>
          <w:sz w:val="22"/>
          <w:lang w:val="es-ES_tradnl"/>
        </w:rPr>
        <w:t xml:space="preserve">que tiene </w:t>
      </w:r>
      <w:r w:rsidR="00914F0A" w:rsidRPr="00DC2C79">
        <w:rPr>
          <w:rFonts w:ascii="Arial" w:eastAsia="Calibri" w:hAnsi="Arial" w:cs="Arial"/>
          <w:color w:val="000000" w:themeColor="text1"/>
          <w:sz w:val="22"/>
          <w:lang w:val="es-ES_tradnl"/>
        </w:rPr>
        <w:t xml:space="preserve">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54B5EC09" w14:textId="648ED0BD" w:rsidR="00914F0A" w:rsidRPr="00DC2C79" w:rsidRDefault="00914F0A" w:rsidP="00914F0A">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Un mejor entendimiento del significado de la expresión «circunstancias ocurridas con posterioridad al cierre del proceso» lleva necesariamente a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Por ejemplo: </w:t>
      </w:r>
    </w:p>
    <w:p w14:paraId="622CE511" w14:textId="77777777" w:rsidR="00914F0A" w:rsidRPr="00DC2C79" w:rsidRDefault="00914F0A" w:rsidP="00914F0A">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i) </w:t>
      </w:r>
      <w:bookmarkStart w:id="8" w:name="_Hlk52901112"/>
      <w:r w:rsidRPr="00DC2C79">
        <w:rPr>
          <w:rFonts w:ascii="Arial" w:eastAsia="Calibri" w:hAnsi="Arial" w:cs="Arial"/>
          <w:color w:val="000000" w:themeColor="text1"/>
          <w:sz w:val="22"/>
          <w:lang w:val="es-ES_tradnl"/>
        </w:rPr>
        <w:t xml:space="preserve">si un oferente olvidó adjuntar con su propuesta el certificado que da cuenta de su inscripción en el RUP, el requisito será subsanable siempre que la prueba allegada </w:t>
      </w:r>
      <w:r w:rsidRPr="00DC2C79">
        <w:rPr>
          <w:rFonts w:ascii="Arial" w:eastAsia="Calibri" w:hAnsi="Arial" w:cs="Arial"/>
          <w:color w:val="000000" w:themeColor="text1"/>
          <w:sz w:val="22"/>
          <w:lang w:val="es-ES_tradnl"/>
        </w:rPr>
        <w:lastRenderedPageBreak/>
        <w:t>demuestre que el hecho, esto es, la inscripción en el registro, ocurrió con anterioridad al cierre del proceso</w:t>
      </w:r>
      <w:bookmarkEnd w:id="8"/>
      <w:r w:rsidRPr="00DC2C79">
        <w:rPr>
          <w:rFonts w:ascii="Arial" w:eastAsia="Calibri" w:hAnsi="Arial" w:cs="Arial"/>
          <w:color w:val="000000" w:themeColor="text1"/>
          <w:sz w:val="22"/>
          <w:lang w:val="es-ES_tradnl"/>
        </w:rPr>
        <w:t xml:space="preserve">; </w:t>
      </w:r>
    </w:p>
    <w:p w14:paraId="6F5CA82C" w14:textId="77777777" w:rsidR="00914F0A" w:rsidRPr="00DC2C79" w:rsidRDefault="00914F0A" w:rsidP="00914F0A">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ii) si un oferente presentó la propuesta sin aportar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DC2C79">
        <w:rPr>
          <w:rStyle w:val="Refdenotaalpie"/>
          <w:rFonts w:ascii="Arial" w:eastAsia="Calibri" w:hAnsi="Arial" w:cs="Arial"/>
          <w:color w:val="000000" w:themeColor="text1"/>
          <w:sz w:val="22"/>
          <w:lang w:val="es-ES_tradnl"/>
        </w:rPr>
        <w:footnoteReference w:id="10"/>
      </w:r>
      <w:r w:rsidRPr="00DC2C79">
        <w:rPr>
          <w:rFonts w:ascii="Arial" w:eastAsia="Calibri" w:hAnsi="Arial" w:cs="Arial"/>
          <w:color w:val="000000" w:themeColor="text1"/>
          <w:sz w:val="22"/>
          <w:lang w:val="es-ES_tradnl"/>
        </w:rPr>
        <w:t xml:space="preserve">; </w:t>
      </w:r>
    </w:p>
    <w:p w14:paraId="50AC8882" w14:textId="77777777" w:rsidR="00914F0A" w:rsidRPr="00DC2C79" w:rsidRDefault="00914F0A" w:rsidP="00914F0A">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iii) si un oferente no anexó el certificado de existencia y representación legal, el documento aportado con posterioridad debe dar cuenta de que la sociedad existe desde antes del cierre del proceso</w:t>
      </w:r>
      <w:r w:rsidRPr="00DC2C79">
        <w:rPr>
          <w:rStyle w:val="Refdenotaalpie"/>
          <w:rFonts w:ascii="Arial" w:eastAsia="Calibri" w:hAnsi="Arial" w:cs="Arial"/>
          <w:color w:val="000000" w:themeColor="text1"/>
          <w:sz w:val="22"/>
          <w:lang w:val="es-ES_tradnl"/>
        </w:rPr>
        <w:footnoteReference w:id="11"/>
      </w:r>
      <w:r w:rsidRPr="00DC2C79">
        <w:rPr>
          <w:rFonts w:ascii="Arial" w:eastAsia="Calibri" w:hAnsi="Arial" w:cs="Arial"/>
          <w:color w:val="000000" w:themeColor="text1"/>
          <w:sz w:val="22"/>
          <w:lang w:val="es-ES_tradnl"/>
        </w:rPr>
        <w:t xml:space="preserve">; </w:t>
      </w:r>
    </w:p>
    <w:p w14:paraId="05FDCC0E" w14:textId="77777777" w:rsidR="00914F0A" w:rsidRPr="00DC2C79" w:rsidRDefault="00914F0A" w:rsidP="00914F0A">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iv) si un oferente olvidó adjuntar un certificado que demuestra un título universitario, el documento, aunque tenga fecha posterior al cierre del proceso, debe acreditar que el título académico se obtuvo con anterioridad al cierre del proceso; </w:t>
      </w:r>
    </w:p>
    <w:p w14:paraId="7489ECFB" w14:textId="77777777" w:rsidR="00914F0A" w:rsidRPr="00DC2C79" w:rsidRDefault="00914F0A" w:rsidP="00914F0A">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v) si un oferente no aportó un certificado de experiencia, el documento que subsana –sin importar que tenga fecha posterior– debe demostrar que la experiencia que se pretende hacer valer se obtuvo antes de vencerse el término para presentar ofertas, y </w:t>
      </w:r>
    </w:p>
    <w:p w14:paraId="6A55465A" w14:textId="77777777" w:rsidR="00914F0A" w:rsidRPr="00DC2C79" w:rsidRDefault="00914F0A" w:rsidP="00914F0A">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vi) si el oferente olvidó firmar la propuesta o presentar una copia de ella, puede subsanar sin que se entienda que acreditó una circunstancia ocurrida con posterioridad al cierre del proceso. </w:t>
      </w:r>
    </w:p>
    <w:p w14:paraId="6478DD8F" w14:textId="77777777" w:rsidR="00914F0A" w:rsidRPr="00DC2C79" w:rsidRDefault="00914F0A" w:rsidP="00914F0A">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Lo anterior quiere decir que no es la prueba –usualmente un documento– lo que debe ser anterior al cierre del proceso, sino el hecho que ella acredita, es decir, ante la solicitud de la Administración de subsanar un requisito, el documento podría estar fechado con posterioridad al vencimiento del término para recibir propuestas, siempre y cuando el hecho que acredite haya ocurrido antes, esto es, que no sea una circunstancia ocurrida con posterioridad al cierre del proceso. </w:t>
      </w:r>
    </w:p>
    <w:p w14:paraId="0BD8A240" w14:textId="0F6B7588" w:rsidR="00914F0A" w:rsidRPr="00DC2C79" w:rsidRDefault="00914F0A" w:rsidP="00914F0A">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Es por ello que el Consejo de Estado sostiene que «lo que se subsana es la prueba y no la condición habilitante o un elemento de la propuesta </w:t>
      </w:r>
      <w:r w:rsidR="00B964DD">
        <w:rPr>
          <w:rFonts w:ascii="Arial" w:eastAsia="Calibri" w:hAnsi="Arial" w:cs="Arial"/>
          <w:color w:val="000000" w:themeColor="text1"/>
          <w:sz w:val="22"/>
          <w:lang w:val="es-ES_tradnl"/>
        </w:rPr>
        <w:t>[</w:t>
      </w:r>
      <w:r w:rsidRPr="00DC2C79">
        <w:rPr>
          <w:rFonts w:ascii="Arial" w:eastAsia="Calibri" w:hAnsi="Arial" w:cs="Arial"/>
          <w:color w:val="000000" w:themeColor="text1"/>
          <w:sz w:val="22"/>
          <w:lang w:val="es-ES_tradnl"/>
        </w:rPr>
        <w:t>...</w:t>
      </w:r>
      <w:r w:rsidR="00B964DD">
        <w:rPr>
          <w:rFonts w:ascii="Arial" w:eastAsia="Calibri" w:hAnsi="Arial" w:cs="Arial"/>
          <w:color w:val="000000" w:themeColor="text1"/>
          <w:sz w:val="22"/>
          <w:lang w:val="es-ES_tradnl"/>
        </w:rPr>
        <w:t>]</w:t>
      </w:r>
      <w:r w:rsidRPr="00DC2C79">
        <w:rPr>
          <w:rFonts w:ascii="Arial" w:eastAsia="Calibri" w:hAnsi="Arial" w:cs="Arial"/>
          <w:color w:val="000000" w:themeColor="text1"/>
          <w:sz w:val="22"/>
          <w:lang w:val="es-ES_tradnl"/>
        </w:rPr>
        <w:t xml:space="preserve"> lo que se puede remediar es la prueba y no el requisito: La posibilidad debe recaer exclusivamente sobre circunstancias acaecidas antes del cierre del respectivo proceso, esto es, del vencimiento del plazo para presentar ofertas»</w:t>
      </w:r>
      <w:r w:rsidRPr="00DC2C79">
        <w:rPr>
          <w:rFonts w:ascii="Arial" w:eastAsia="Calibri" w:hAnsi="Arial" w:cs="Arial"/>
          <w:color w:val="000000" w:themeColor="text1"/>
          <w:sz w:val="22"/>
          <w:vertAlign w:val="superscript"/>
          <w:lang w:val="es-ES_tradnl"/>
        </w:rPr>
        <w:footnoteReference w:id="12"/>
      </w:r>
      <w:r w:rsidRPr="00DC2C79">
        <w:rPr>
          <w:rFonts w:ascii="Arial" w:eastAsia="Calibri" w:hAnsi="Arial" w:cs="Arial"/>
          <w:color w:val="000000" w:themeColor="text1"/>
          <w:sz w:val="22"/>
          <w:lang w:val="es-ES_tradnl"/>
        </w:rPr>
        <w:t xml:space="preserve">. En tal sentido, esta Subdirección, en concepto emitido </w:t>
      </w:r>
      <w:r w:rsidRPr="00DC2C79">
        <w:rPr>
          <w:rFonts w:ascii="Arial" w:eastAsia="Calibri" w:hAnsi="Arial" w:cs="Arial"/>
          <w:color w:val="000000" w:themeColor="text1"/>
          <w:sz w:val="22"/>
          <w:lang w:val="es-ES_tradnl"/>
        </w:rPr>
        <w:lastRenderedPageBreak/>
        <w:t>en respuesta a la Consulta 4201912000007418 del 30 de octubre de 2019, analizó si era o no posible subsanar el RUP vencido, para lo cual precisó el alcance de la prohibición de permitir subsanar circunstancias ocurridas con posterioridad al cierre del procedimiento de selección. En tal sentido, indicó que no es relevante que, al subsanar dichos documentos, su fecha de actualización sea posterior a la del cierre, sino que las circunstancias que acrediten hayan ocurrido antes.</w:t>
      </w:r>
    </w:p>
    <w:p w14:paraId="10D528ED" w14:textId="77777777" w:rsidR="00914F0A" w:rsidRPr="00DC2C79" w:rsidRDefault="00914F0A" w:rsidP="00914F0A">
      <w:pPr>
        <w:spacing w:before="120" w:after="120" w:line="276" w:lineRule="auto"/>
        <w:ind w:firstLine="709"/>
        <w:jc w:val="both"/>
        <w:rPr>
          <w:rFonts w:ascii="Arial" w:eastAsia="Calibri" w:hAnsi="Arial" w:cs="Arial"/>
          <w:color w:val="000000" w:themeColor="text1"/>
          <w:sz w:val="22"/>
        </w:rPr>
      </w:pPr>
      <w:r w:rsidRPr="00DC2C79">
        <w:rPr>
          <w:rFonts w:ascii="Arial" w:eastAsia="Calibri" w:hAnsi="Arial" w:cs="Arial"/>
          <w:color w:val="000000" w:themeColor="text1"/>
          <w:sz w:val="22"/>
          <w:lang w:val="es-ES_tradnl"/>
        </w:rPr>
        <w:t xml:space="preserve">Esta tesis fue reiterada por la Agencia Nacional de Contratación Pública – Colombia Compra Eficiente en el concepto con radicado </w:t>
      </w:r>
      <w:r w:rsidRPr="00DC2C79">
        <w:rPr>
          <w:rFonts w:ascii="Arial" w:eastAsia="Calibri" w:hAnsi="Arial" w:cs="Arial"/>
          <w:color w:val="000000" w:themeColor="text1"/>
          <w:sz w:val="22"/>
        </w:rPr>
        <w:t xml:space="preserve">4201912000008198, en el que indicó que las certificaciones de experiencia que no otorgaran puntaje podían aportarse corregidos o incluso, en reemplazo de las que no cumplieran el requisito habilitante, siempre que en los documentos aportados en la etapa de subsanabilidad no se acreditara experiencia adquirida con posterioridad al cierre del procedimiento de selección. Por tanto, señaló que «[…] el oferente podrá acreditar su experiencia con certificaciones de contratos diferentes a los inicialmente aportados, siempre que acrediten la experiencia adquirida antes del cierre del proceso», pero que «Si las certificaciones prueban que la experiencia del proponente se adquirió con posterioridad al cierre del proceso no se podrá aportar, porque esto implicaría una mejora, adición o complemento de la oferta». </w:t>
      </w:r>
    </w:p>
    <w:p w14:paraId="5C8FBE00" w14:textId="07C1E8C9" w:rsidR="00914F0A" w:rsidRPr="00DC2C79" w:rsidRDefault="00914F0A" w:rsidP="00914F0A">
      <w:pPr>
        <w:spacing w:before="120" w:after="120" w:line="276" w:lineRule="auto"/>
        <w:ind w:firstLine="709"/>
        <w:jc w:val="both"/>
        <w:rPr>
          <w:rFonts w:ascii="Arial" w:eastAsia="Calibri" w:hAnsi="Arial" w:cs="Arial"/>
          <w:color w:val="000000" w:themeColor="text1"/>
          <w:sz w:val="22"/>
          <w:lang w:val="es-CO"/>
        </w:rPr>
      </w:pPr>
      <w:r w:rsidRPr="00DC2C79">
        <w:rPr>
          <w:rFonts w:ascii="Arial" w:eastAsia="Calibri" w:hAnsi="Arial" w:cs="Arial"/>
          <w:color w:val="000000" w:themeColor="text1"/>
          <w:sz w:val="22"/>
        </w:rPr>
        <w:t xml:space="preserve">Una reiteración de la postura de esta Subdirección, según la cual la subsanabilidad procede sobre todos aquellos requisitos que no otorguen puntaje, siempre que no se trate de entregar la garantía de seriedad de la oferta no aportada antes del cierre del procedimiento de selección, y bajo la condición de que no se acrediten hechos ocurridos con posterioridad a dicho momento, se encuentra en los conceptos: 2201913000008048 del 28 de octubre de 2019 –que indicó que no era posible, so pretexto de subsanar, modificar el porcentaje de participación en un consorcio o unión temporal, porque esto comportaba cambiar la oferta, acreditando circunstancias posteriores al cierre–; 2201913000008850 del 29 de noviembre de 2019 –en el que sostuvo que un proponente podría subsanar la experiencia, en tanto requisito habilitante, o sea, que no otorgara puntaje, aportando nuevas certificaciones, siempre que con ellas no se probara una experiencia que no se tenía antes del cierre–; 2201913000009373 del 17 de diciembre de 2019 –en el cual se expresó que la carta de conformación de un consorcio es un documento subsanable, bajo la condición de que el documento aportado permita constatar que el consorcio se conformó antes del vencimiento del término para la presentación de las propuestas–; 2201913000008049 del 28 de octubre de 2019 –en el que se </w:t>
      </w:r>
      <w:r w:rsidR="003D09D7">
        <w:rPr>
          <w:rFonts w:ascii="Arial" w:eastAsia="Calibri" w:hAnsi="Arial" w:cs="Arial"/>
          <w:color w:val="000000" w:themeColor="text1"/>
          <w:sz w:val="22"/>
        </w:rPr>
        <w:t>señaló</w:t>
      </w:r>
      <w:r w:rsidRPr="00DC2C79">
        <w:rPr>
          <w:rFonts w:ascii="Arial" w:eastAsia="Calibri" w:hAnsi="Arial" w:cs="Arial"/>
          <w:color w:val="000000" w:themeColor="text1"/>
          <w:sz w:val="22"/>
        </w:rPr>
        <w:t xml:space="preserve"> que no es posible variar el porcentaje de participación en una unión temporal, porque implicaría una modificación de la oferta y la acreditación de un aspecto que es posterior al cierre del procedimiento de selección–. </w:t>
      </w:r>
    </w:p>
    <w:p w14:paraId="1178DECB" w14:textId="77777777" w:rsidR="00914F0A" w:rsidRPr="00DC2C79" w:rsidRDefault="00914F0A" w:rsidP="00914F0A">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Visto lo anterior, una vez verificada la ausencia de requisitos y/o documentos de la oferta, para saber si se puede subsanar, la Administración se debe preguntar, en primer lugar, si lo que hace falta es un </w:t>
      </w:r>
      <w:r w:rsidRPr="00DC2C79">
        <w:rPr>
          <w:rFonts w:ascii="Arial" w:eastAsia="Calibri" w:hAnsi="Arial" w:cs="Arial"/>
          <w:iCs/>
          <w:color w:val="000000" w:themeColor="text1"/>
          <w:sz w:val="22"/>
          <w:lang w:val="es-ES_tradnl"/>
        </w:rPr>
        <w:t>documento o información</w:t>
      </w:r>
      <w:r w:rsidRPr="00DC2C79">
        <w:rPr>
          <w:rFonts w:ascii="Arial" w:eastAsia="Calibri" w:hAnsi="Arial" w:cs="Arial"/>
          <w:color w:val="000000" w:themeColor="text1"/>
          <w:sz w:val="22"/>
          <w:lang w:val="es-ES_tradnl"/>
        </w:rPr>
        <w:t xml:space="preserve"> que otorga puntaje o no y, en </w:t>
      </w:r>
      <w:r w:rsidRPr="00DC2C79">
        <w:rPr>
          <w:rFonts w:ascii="Arial" w:eastAsia="Calibri" w:hAnsi="Arial" w:cs="Arial"/>
          <w:color w:val="000000" w:themeColor="text1"/>
          <w:sz w:val="22"/>
          <w:lang w:val="es-ES_tradnl"/>
        </w:rPr>
        <w:lastRenderedPageBreak/>
        <w:t xml:space="preserve">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14:paraId="4871D95A" w14:textId="44C4AEEA" w:rsidR="00455758" w:rsidRDefault="00914F0A" w:rsidP="00455758">
      <w:pPr>
        <w:spacing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Finalmente, el parágrafo 3 del artículo 5 de la Ley 1882 de 2018 determinó, de manera expresa,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p>
    <w:p w14:paraId="67305708" w14:textId="77777777" w:rsidR="005F12D3" w:rsidRPr="00A148CF" w:rsidRDefault="005F12D3" w:rsidP="00710BD2">
      <w:pPr>
        <w:tabs>
          <w:tab w:val="left" w:pos="0"/>
        </w:tabs>
        <w:spacing w:line="276" w:lineRule="auto"/>
        <w:jc w:val="both"/>
        <w:rPr>
          <w:rFonts w:ascii="Arial" w:eastAsia="Calibri" w:hAnsi="Arial" w:cs="Arial"/>
          <w:bCs/>
          <w:color w:val="000000" w:themeColor="text1"/>
          <w:sz w:val="22"/>
        </w:rPr>
      </w:pPr>
    </w:p>
    <w:p w14:paraId="4DAE4437" w14:textId="77777777" w:rsidR="00BE1E33" w:rsidRPr="006C15D5"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 xml:space="preserve">Respuesta </w:t>
      </w:r>
    </w:p>
    <w:p w14:paraId="317BE2F9" w14:textId="77777777" w:rsidR="00BE1E33" w:rsidRPr="002C352C" w:rsidRDefault="00BE1E33" w:rsidP="00BE1E33">
      <w:pPr>
        <w:spacing w:line="276" w:lineRule="auto"/>
        <w:ind w:right="709"/>
        <w:jc w:val="both"/>
        <w:rPr>
          <w:rFonts w:ascii="Arial" w:hAnsi="Arial" w:cs="Arial"/>
          <w:color w:val="000000" w:themeColor="text1"/>
          <w:sz w:val="22"/>
          <w:lang w:val="es-CO"/>
        </w:rPr>
      </w:pPr>
    </w:p>
    <w:p w14:paraId="7DEC95C8" w14:textId="5D36A30B" w:rsidR="00A13B60" w:rsidRDefault="00455758" w:rsidP="00A13B60">
      <w:pPr>
        <w:ind w:left="709" w:right="709"/>
        <w:jc w:val="both"/>
        <w:rPr>
          <w:rFonts w:ascii="Arial" w:eastAsia="Calibri" w:hAnsi="Arial" w:cs="Arial"/>
          <w:color w:val="000000" w:themeColor="text1"/>
          <w:sz w:val="21"/>
          <w:szCs w:val="21"/>
        </w:rPr>
      </w:pPr>
      <w:r w:rsidRPr="00455758">
        <w:rPr>
          <w:rFonts w:ascii="Arial" w:eastAsia="Calibri" w:hAnsi="Arial" w:cs="Arial"/>
          <w:color w:val="000000" w:themeColor="text1"/>
          <w:sz w:val="21"/>
          <w:szCs w:val="21"/>
        </w:rPr>
        <w:t>«¿puede un proponente subsanar el registro único de proponentes con fecha posterior al cierre, siempre y cuando la información consignada tenga vigencia desde antes del cierre?»</w:t>
      </w:r>
      <w:r w:rsidR="00563974" w:rsidRPr="007D6D97">
        <w:rPr>
          <w:rFonts w:ascii="Arial" w:eastAsia="Calibri" w:hAnsi="Arial" w:cs="Arial"/>
          <w:color w:val="000000" w:themeColor="text1"/>
          <w:sz w:val="21"/>
          <w:szCs w:val="21"/>
        </w:rPr>
        <w:t>.</w:t>
      </w:r>
    </w:p>
    <w:p w14:paraId="54A2DF66" w14:textId="77777777" w:rsidR="00A13B60" w:rsidRPr="002C352C" w:rsidRDefault="00A13B60" w:rsidP="002C352C">
      <w:pPr>
        <w:spacing w:line="276" w:lineRule="auto"/>
        <w:ind w:left="709" w:right="709"/>
        <w:jc w:val="both"/>
        <w:rPr>
          <w:rFonts w:ascii="Arial" w:eastAsia="Calibri" w:hAnsi="Arial" w:cs="Arial"/>
          <w:color w:val="000000" w:themeColor="text1"/>
          <w:sz w:val="22"/>
        </w:rPr>
      </w:pPr>
    </w:p>
    <w:p w14:paraId="7A4D12B5" w14:textId="350C2583" w:rsidR="00455758" w:rsidRDefault="00315AB7" w:rsidP="00455758">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Conforme</w:t>
      </w:r>
      <w:r w:rsidR="00AB37A5">
        <w:rPr>
          <w:rFonts w:ascii="Arial" w:eastAsia="Calibri" w:hAnsi="Arial" w:cs="Arial"/>
          <w:color w:val="000000" w:themeColor="text1"/>
          <w:sz w:val="22"/>
        </w:rPr>
        <w:t xml:space="preserve"> </w:t>
      </w:r>
      <w:r w:rsidR="00455758">
        <w:rPr>
          <w:rFonts w:ascii="Arial" w:eastAsia="Calibri" w:hAnsi="Arial" w:cs="Arial"/>
          <w:color w:val="000000" w:themeColor="text1"/>
          <w:sz w:val="22"/>
        </w:rPr>
        <w:t xml:space="preserve">a lo explicado en el presente concepto, </w:t>
      </w:r>
      <w:r w:rsidR="00455758" w:rsidRPr="00455758">
        <w:rPr>
          <w:rFonts w:ascii="Arial" w:eastAsia="Calibri" w:hAnsi="Arial" w:cs="Arial"/>
          <w:color w:val="000000" w:themeColor="text1"/>
          <w:sz w:val="22"/>
        </w:rPr>
        <w:t xml:space="preserve">la regla prevista actualmente en los parágrafos 1o. y 4o. del artículo 5 de la Ley 1150 de 2007, modificado por el artículo 5 de la Ley 1882 de 2018, es el mandato normativo que ordena que las entidades estatales, al verificar la acreditación de los requisitos habilitantes por parte de los proponentes, </w:t>
      </w:r>
      <w:r w:rsidR="0019126D" w:rsidRPr="00455758">
        <w:rPr>
          <w:rFonts w:ascii="Arial" w:eastAsia="Calibri" w:hAnsi="Arial" w:cs="Arial"/>
          <w:color w:val="000000" w:themeColor="text1"/>
          <w:sz w:val="22"/>
        </w:rPr>
        <w:t>permit</w:t>
      </w:r>
      <w:r w:rsidR="0019126D">
        <w:rPr>
          <w:rFonts w:ascii="Arial" w:eastAsia="Calibri" w:hAnsi="Arial" w:cs="Arial"/>
          <w:color w:val="000000" w:themeColor="text1"/>
          <w:sz w:val="22"/>
        </w:rPr>
        <w:t>an</w:t>
      </w:r>
      <w:r w:rsidR="00455758" w:rsidRPr="00455758">
        <w:rPr>
          <w:rFonts w:ascii="Arial" w:eastAsia="Calibri" w:hAnsi="Arial" w:cs="Arial"/>
          <w:color w:val="000000" w:themeColor="text1"/>
          <w:sz w:val="22"/>
        </w:rPr>
        <w:t xml:space="preserve">, por regla general, que los oferentes aporten o corrijan aquella información relacionada con tales requisitos de participación, de manera que no se rechace de plano de las ofertas. </w:t>
      </w:r>
    </w:p>
    <w:p w14:paraId="536D098D" w14:textId="77777777" w:rsidR="00CF498E" w:rsidRDefault="00455758" w:rsidP="00CF498E">
      <w:pPr>
        <w:spacing w:after="120" w:line="276" w:lineRule="auto"/>
        <w:ind w:firstLine="709"/>
        <w:jc w:val="both"/>
        <w:rPr>
          <w:rFonts w:ascii="Arial" w:hAnsi="Arial" w:cs="Arial"/>
          <w:sz w:val="22"/>
        </w:rPr>
      </w:pPr>
      <w:r w:rsidRPr="00455758">
        <w:rPr>
          <w:rFonts w:ascii="Arial" w:eastAsia="Calibri" w:hAnsi="Arial" w:cs="Arial"/>
          <w:color w:val="000000" w:themeColor="text1"/>
          <w:sz w:val="22"/>
        </w:rPr>
        <w:t>Si bien esta regla encuentra algunos límites, por ejemplo, el previsto en el segundo inciso del mismo parágrafo, que establece que «Durante el término otorgado para subsanar las ofertas, los proponentes no podrán acreditar circunstancias ocurridas con posterioridad al cierre del proceso» o el consagrado en el parágrafo 3o., adicionado por el artículo 5 de la Ley 1882 de 2018, según el cual «La no entrega de la garantía de seriedad junto con la propuesta no será subsanable y será causal de rechazo de la misma», lo cierto es que la subsanabilidad de las ofertas debe interpretarse como una regla general en relación con la falta de entrega o con los defectos de los requisitos habilitantes</w:t>
      </w:r>
      <w:r w:rsidR="008A63B7">
        <w:rPr>
          <w:rFonts w:ascii="Arial" w:hAnsi="Arial" w:cs="Arial"/>
          <w:sz w:val="22"/>
        </w:rPr>
        <w:t>.</w:t>
      </w:r>
      <w:r w:rsidR="003C3971">
        <w:rPr>
          <w:rFonts w:ascii="Arial" w:hAnsi="Arial" w:cs="Arial"/>
          <w:sz w:val="22"/>
        </w:rPr>
        <w:t xml:space="preserve"> </w:t>
      </w:r>
    </w:p>
    <w:p w14:paraId="0DF54EFE" w14:textId="2F0D40C0" w:rsidR="00673E73" w:rsidRDefault="008C38C5" w:rsidP="00CF498E">
      <w:pPr>
        <w:spacing w:after="120" w:line="276" w:lineRule="auto"/>
        <w:ind w:firstLine="709"/>
        <w:jc w:val="both"/>
        <w:rPr>
          <w:rFonts w:ascii="Arial" w:hAnsi="Arial" w:cs="Arial"/>
          <w:sz w:val="22"/>
        </w:rPr>
      </w:pPr>
      <w:r>
        <w:rPr>
          <w:rFonts w:ascii="Arial" w:hAnsi="Arial" w:cs="Arial"/>
          <w:sz w:val="22"/>
        </w:rPr>
        <w:t>De esta manera</w:t>
      </w:r>
      <w:r w:rsidR="00CF498E">
        <w:rPr>
          <w:rFonts w:ascii="Arial" w:hAnsi="Arial" w:cs="Arial"/>
          <w:sz w:val="22"/>
        </w:rPr>
        <w:t>,</w:t>
      </w:r>
      <w:r w:rsidR="00091494">
        <w:rPr>
          <w:rFonts w:ascii="Arial" w:hAnsi="Arial" w:cs="Arial"/>
          <w:sz w:val="22"/>
        </w:rPr>
        <w:t xml:space="preserve"> mientras </w:t>
      </w:r>
      <w:r>
        <w:rPr>
          <w:rFonts w:ascii="Arial" w:hAnsi="Arial" w:cs="Arial"/>
          <w:sz w:val="22"/>
        </w:rPr>
        <w:t>sea un requisito de verificación</w:t>
      </w:r>
      <w:r w:rsidR="00091494">
        <w:rPr>
          <w:rFonts w:ascii="Arial" w:hAnsi="Arial" w:cs="Arial"/>
          <w:sz w:val="22"/>
        </w:rPr>
        <w:t xml:space="preserve"> que no implique la asignación de </w:t>
      </w:r>
      <w:r w:rsidR="00AC7CE4">
        <w:rPr>
          <w:rFonts w:ascii="Arial" w:hAnsi="Arial" w:cs="Arial"/>
          <w:sz w:val="22"/>
        </w:rPr>
        <w:t>puntaje</w:t>
      </w:r>
      <w:r w:rsidR="00091494">
        <w:rPr>
          <w:rFonts w:ascii="Arial" w:hAnsi="Arial" w:cs="Arial"/>
          <w:sz w:val="22"/>
        </w:rPr>
        <w:t xml:space="preserve">, </w:t>
      </w:r>
      <w:r>
        <w:rPr>
          <w:rFonts w:ascii="Arial" w:hAnsi="Arial" w:cs="Arial"/>
          <w:sz w:val="22"/>
        </w:rPr>
        <w:t>los proponentes pueden</w:t>
      </w:r>
      <w:r w:rsidR="00091494">
        <w:rPr>
          <w:rFonts w:ascii="Arial" w:hAnsi="Arial" w:cs="Arial"/>
          <w:sz w:val="22"/>
        </w:rPr>
        <w:t xml:space="preserve"> subsanar</w:t>
      </w:r>
      <w:r w:rsidR="00CF498E">
        <w:rPr>
          <w:rFonts w:ascii="Arial" w:hAnsi="Arial" w:cs="Arial"/>
          <w:sz w:val="22"/>
        </w:rPr>
        <w:t xml:space="preserve"> la </w:t>
      </w:r>
      <w:r w:rsidR="00091494">
        <w:rPr>
          <w:rFonts w:ascii="Arial" w:hAnsi="Arial" w:cs="Arial"/>
          <w:sz w:val="22"/>
        </w:rPr>
        <w:t>ausencia</w:t>
      </w:r>
      <w:r w:rsidR="00CF498E">
        <w:rPr>
          <w:rFonts w:ascii="Arial" w:hAnsi="Arial" w:cs="Arial"/>
          <w:sz w:val="22"/>
        </w:rPr>
        <w:t xml:space="preserve"> del </w:t>
      </w:r>
      <w:r w:rsidR="00091494">
        <w:rPr>
          <w:rFonts w:ascii="Arial" w:hAnsi="Arial" w:cs="Arial"/>
          <w:sz w:val="22"/>
        </w:rPr>
        <w:t>RUP</w:t>
      </w:r>
      <w:r w:rsidR="00CF498E">
        <w:rPr>
          <w:rFonts w:ascii="Arial" w:hAnsi="Arial" w:cs="Arial"/>
          <w:sz w:val="22"/>
        </w:rPr>
        <w:t xml:space="preserve"> o la entrega de este documento con</w:t>
      </w:r>
      <w:r w:rsidR="00091494">
        <w:rPr>
          <w:rFonts w:ascii="Arial" w:hAnsi="Arial" w:cs="Arial"/>
          <w:sz w:val="22"/>
        </w:rPr>
        <w:t xml:space="preserve"> una fecha de expedición mayor a treinta (30) días</w:t>
      </w:r>
      <w:r w:rsidR="005F6FFB">
        <w:rPr>
          <w:rFonts w:ascii="Arial" w:hAnsi="Arial" w:cs="Arial"/>
          <w:sz w:val="22"/>
        </w:rPr>
        <w:t>,</w:t>
      </w:r>
      <w:r w:rsidR="00091494">
        <w:rPr>
          <w:rFonts w:ascii="Arial" w:hAnsi="Arial" w:cs="Arial"/>
          <w:sz w:val="22"/>
        </w:rPr>
        <w:t xml:space="preserve"> siempre que la información acreditada en el registro sea anterior al cierre del procedimiento de selección.</w:t>
      </w:r>
      <w:r>
        <w:rPr>
          <w:rFonts w:ascii="Arial" w:hAnsi="Arial" w:cs="Arial"/>
          <w:sz w:val="22"/>
        </w:rPr>
        <w:t xml:space="preserve"> En contraste, si acreditan circunstancias posteriores al cierre, estas son insubsanables conforme al parágrafo </w:t>
      </w:r>
      <w:r w:rsidR="007A395D">
        <w:rPr>
          <w:rFonts w:ascii="Arial" w:hAnsi="Arial" w:cs="Arial"/>
          <w:sz w:val="22"/>
        </w:rPr>
        <w:t>1</w:t>
      </w:r>
      <w:r>
        <w:rPr>
          <w:rFonts w:ascii="Arial" w:hAnsi="Arial" w:cs="Arial"/>
          <w:sz w:val="22"/>
        </w:rPr>
        <w:t xml:space="preserve">, inciso 2, de la Ley 1150 de 2007. </w:t>
      </w:r>
    </w:p>
    <w:p w14:paraId="01248ECB" w14:textId="00A6C87D" w:rsidR="000F7783" w:rsidRDefault="000F7783" w:rsidP="00CF498E">
      <w:pPr>
        <w:spacing w:after="120" w:line="276" w:lineRule="auto"/>
        <w:ind w:firstLine="709"/>
        <w:jc w:val="both"/>
        <w:rPr>
          <w:rFonts w:ascii="Arial" w:hAnsi="Arial" w:cs="Arial"/>
          <w:sz w:val="22"/>
        </w:rPr>
      </w:pPr>
      <w:r>
        <w:rPr>
          <w:rFonts w:ascii="Arial" w:eastAsia="Calibri" w:hAnsi="Arial" w:cs="Arial"/>
          <w:color w:val="000000" w:themeColor="text1"/>
          <w:sz w:val="22"/>
          <w:lang w:val="es-ES_tradnl"/>
        </w:rPr>
        <w:lastRenderedPageBreak/>
        <w:t xml:space="preserve">Para estos efectos es necesario </w:t>
      </w:r>
      <w:r w:rsidRPr="00DC2C79">
        <w:rPr>
          <w:rFonts w:ascii="Arial" w:eastAsia="Calibri" w:hAnsi="Arial" w:cs="Arial"/>
          <w:color w:val="000000" w:themeColor="text1"/>
          <w:sz w:val="22"/>
          <w:lang w:val="es-ES_tradnl"/>
        </w:rPr>
        <w:t>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w:t>
      </w:r>
      <w:r>
        <w:rPr>
          <w:rFonts w:ascii="Arial" w:eastAsia="Calibri" w:hAnsi="Arial" w:cs="Arial"/>
          <w:color w:val="000000" w:themeColor="text1"/>
          <w:sz w:val="22"/>
          <w:lang w:val="es-ES_tradnl"/>
        </w:rPr>
        <w:t xml:space="preserve">. Por ello, </w:t>
      </w:r>
      <w:r w:rsidRPr="000F7783">
        <w:rPr>
          <w:rFonts w:ascii="Arial" w:eastAsia="Calibri" w:hAnsi="Arial" w:cs="Arial"/>
          <w:color w:val="000000" w:themeColor="text1"/>
          <w:sz w:val="22"/>
          <w:lang w:val="es-ES_tradnl"/>
        </w:rPr>
        <w:t>si un oferente olvidó adjuntar con su propuesta el certificado que da cuenta de su inscripción en el RUP, el requisito será subsanable</w:t>
      </w:r>
      <w:r w:rsidR="00E11833">
        <w:rPr>
          <w:rFonts w:ascii="Arial" w:eastAsia="Calibri" w:hAnsi="Arial" w:cs="Arial"/>
          <w:color w:val="000000" w:themeColor="text1"/>
          <w:sz w:val="22"/>
          <w:lang w:val="es-ES_tradnl"/>
        </w:rPr>
        <w:t>,</w:t>
      </w:r>
      <w:r w:rsidRPr="000F7783">
        <w:rPr>
          <w:rFonts w:ascii="Arial" w:eastAsia="Calibri" w:hAnsi="Arial" w:cs="Arial"/>
          <w:color w:val="000000" w:themeColor="text1"/>
          <w:sz w:val="22"/>
          <w:lang w:val="es-ES_tradnl"/>
        </w:rPr>
        <w:t xml:space="preserve"> siempre que la prueba allegada demuestre que el hecho, esto es, la inscripción en el registro, ocurrió con anterioridad al cierre del proceso</w:t>
      </w:r>
    </w:p>
    <w:p w14:paraId="5B0B1E86" w14:textId="7F086B1F" w:rsidR="00185441" w:rsidRPr="00D14450" w:rsidRDefault="00185441" w:rsidP="001D2BDC">
      <w:pPr>
        <w:spacing w:line="276" w:lineRule="auto"/>
        <w:jc w:val="both"/>
        <w:rPr>
          <w:rFonts w:ascii="Arial" w:eastAsia="Calibri" w:hAnsi="Arial" w:cs="Arial"/>
          <w:color w:val="000000" w:themeColor="text1"/>
          <w:sz w:val="22"/>
          <w:lang w:val="es-ES"/>
        </w:rPr>
      </w:pPr>
    </w:p>
    <w:p w14:paraId="66CE4DD8" w14:textId="3E176CEC" w:rsidR="00BE1E33" w:rsidRPr="006C15D5" w:rsidRDefault="00E05344" w:rsidP="00604CF2">
      <w:pPr>
        <w:spacing w:line="276" w:lineRule="auto"/>
        <w:jc w:val="both"/>
        <w:rPr>
          <w:rFonts w:ascii="Arial" w:eastAsia="Calibri" w:hAnsi="Arial" w:cs="Arial"/>
          <w:color w:val="000000" w:themeColor="text1"/>
          <w:sz w:val="22"/>
        </w:rPr>
      </w:pPr>
      <w:r w:rsidRPr="00E05344">
        <w:rPr>
          <w:rFonts w:ascii="Arial" w:eastAsia="Calibri" w:hAnsi="Arial" w:cs="Arial"/>
          <w:color w:val="000000" w:themeColor="text1"/>
          <w:sz w:val="22"/>
        </w:rPr>
        <w:t>Este concepto tiene el alcance previsto en el artículo 28 del Código de Procedimiento Administrativo y de lo Contencioso Administrativo</w:t>
      </w:r>
      <w:r w:rsidR="00BE1E33" w:rsidRPr="006C15D5">
        <w:rPr>
          <w:rFonts w:ascii="Arial" w:eastAsia="Calibri" w:hAnsi="Arial" w:cs="Arial"/>
          <w:color w:val="000000" w:themeColor="text1"/>
          <w:sz w:val="22"/>
        </w:rPr>
        <w:t>.</w:t>
      </w:r>
    </w:p>
    <w:p w14:paraId="138D33A2" w14:textId="77777777" w:rsidR="00BE1E33" w:rsidRPr="006C15D5" w:rsidRDefault="00BE1E33" w:rsidP="00BE1E33">
      <w:pPr>
        <w:ind w:firstLine="709"/>
        <w:jc w:val="both"/>
        <w:rPr>
          <w:rFonts w:ascii="Arial" w:eastAsia="Calibri" w:hAnsi="Arial" w:cs="Arial"/>
          <w:color w:val="000000" w:themeColor="text1"/>
          <w:sz w:val="22"/>
        </w:rPr>
      </w:pPr>
    </w:p>
    <w:p w14:paraId="2B02915D" w14:textId="77777777" w:rsidR="00BE1E33" w:rsidRPr="006C15D5" w:rsidRDefault="00BE1E33" w:rsidP="00BE1E33">
      <w:pPr>
        <w:jc w:val="both"/>
        <w:rPr>
          <w:rFonts w:ascii="Arial" w:eastAsia="Times New Roman" w:hAnsi="Arial" w:cs="Arial"/>
          <w:color w:val="000000" w:themeColor="text1"/>
          <w:sz w:val="22"/>
          <w:lang w:eastAsia="es-CO"/>
        </w:rPr>
      </w:pPr>
      <w:r w:rsidRPr="006C15D5">
        <w:rPr>
          <w:rFonts w:ascii="Arial" w:eastAsia="Times New Roman" w:hAnsi="Arial" w:cs="Arial"/>
          <w:color w:val="000000" w:themeColor="text1"/>
          <w:sz w:val="22"/>
          <w:lang w:eastAsia="es-CO"/>
        </w:rPr>
        <w:t>Atentamente,</w:t>
      </w:r>
    </w:p>
    <w:bookmarkEnd w:id="0"/>
    <w:bookmarkEnd w:id="1"/>
    <w:p w14:paraId="1C8F6984" w14:textId="470D699F" w:rsidR="00BE1E33" w:rsidRDefault="00E53C3C" w:rsidP="00BE1E33">
      <w:pPr>
        <w:jc w:val="center"/>
        <w:rPr>
          <w:rFonts w:ascii="Arial" w:eastAsia="Times New Roman" w:hAnsi="Arial" w:cs="Arial"/>
          <w:color w:val="000000" w:themeColor="text1"/>
          <w:sz w:val="18"/>
          <w:szCs w:val="20"/>
          <w:lang w:eastAsia="es-CO"/>
        </w:rPr>
      </w:pPr>
      <w:r>
        <w:rPr>
          <w:noProof/>
        </w:rPr>
        <w:drawing>
          <wp:inline distT="0" distB="0" distL="0" distR="0" wp14:anchorId="6899CCC1" wp14:editId="6F50F9B4">
            <wp:extent cx="2514600" cy="11144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stretch>
                      <a:fillRect/>
                    </a:stretch>
                  </pic:blipFill>
                  <pic:spPr>
                    <a:xfrm>
                      <a:off x="0" y="0"/>
                      <a:ext cx="2514600" cy="1114425"/>
                    </a:xfrm>
                    <a:prstGeom prst="rect">
                      <a:avLst/>
                    </a:prstGeom>
                  </pic:spPr>
                </pic:pic>
              </a:graphicData>
            </a:graphic>
          </wp:inline>
        </w:drawing>
      </w:r>
    </w:p>
    <w:p w14:paraId="724B0300" w14:textId="77777777" w:rsidR="00730CDB" w:rsidRPr="006C15D5" w:rsidRDefault="00730CDB" w:rsidP="00BE1E33">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F6D32" w:rsidRPr="003F6D32" w14:paraId="7E5CB93D" w14:textId="77777777" w:rsidTr="00AC43E7">
        <w:trPr>
          <w:trHeight w:val="315"/>
        </w:trPr>
        <w:tc>
          <w:tcPr>
            <w:tcW w:w="812" w:type="dxa"/>
            <w:vAlign w:val="center"/>
            <w:hideMark/>
          </w:tcPr>
          <w:p w14:paraId="44CFA06E"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D7561C" w14:textId="41DB6AA3" w:rsidR="00BE1E33" w:rsidRPr="006C15D5" w:rsidRDefault="00D418AD" w:rsidP="00AC43E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David Montoya Penagos</w:t>
            </w:r>
          </w:p>
          <w:p w14:paraId="6C4A6DA1" w14:textId="47DC8D79" w:rsidR="00982E99" w:rsidRPr="006C15D5" w:rsidRDefault="00186615" w:rsidP="00AC43E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Gestor T1-15</w:t>
            </w:r>
            <w:r w:rsidR="005B02E6">
              <w:rPr>
                <w:rFonts w:ascii="Arial" w:eastAsia="Times New Roman" w:hAnsi="Arial" w:cs="Arial"/>
                <w:color w:val="000000" w:themeColor="text1"/>
                <w:sz w:val="16"/>
                <w:szCs w:val="16"/>
                <w:lang w:eastAsia="es-ES"/>
              </w:rPr>
              <w:t xml:space="preserve"> de la </w:t>
            </w:r>
            <w:r w:rsidR="005B02E6" w:rsidRPr="006C15D5">
              <w:rPr>
                <w:rFonts w:ascii="Arial" w:eastAsia="Times New Roman" w:hAnsi="Arial" w:cs="Arial"/>
                <w:color w:val="000000" w:themeColor="text1"/>
                <w:sz w:val="16"/>
                <w:szCs w:val="16"/>
                <w:lang w:eastAsia="es-ES"/>
              </w:rPr>
              <w:t>Subdirec</w:t>
            </w:r>
            <w:r w:rsidR="005B02E6">
              <w:rPr>
                <w:rFonts w:ascii="Arial" w:eastAsia="Times New Roman" w:hAnsi="Arial" w:cs="Arial"/>
                <w:color w:val="000000" w:themeColor="text1"/>
                <w:sz w:val="16"/>
                <w:szCs w:val="16"/>
                <w:lang w:eastAsia="es-ES"/>
              </w:rPr>
              <w:t>ción</w:t>
            </w:r>
            <w:r w:rsidR="005B02E6" w:rsidRPr="006C15D5">
              <w:rPr>
                <w:rFonts w:ascii="Arial" w:eastAsia="Times New Roman" w:hAnsi="Arial" w:cs="Arial"/>
                <w:color w:val="000000" w:themeColor="text1"/>
                <w:sz w:val="16"/>
                <w:szCs w:val="16"/>
                <w:lang w:eastAsia="es-ES"/>
              </w:rPr>
              <w:t xml:space="preserve"> de Gestión Contractual</w:t>
            </w:r>
          </w:p>
        </w:tc>
      </w:tr>
      <w:tr w:rsidR="00DE1E41" w:rsidRPr="003F6D32" w14:paraId="092BCD16" w14:textId="77777777" w:rsidTr="00AC43E7">
        <w:trPr>
          <w:trHeight w:val="330"/>
        </w:trPr>
        <w:tc>
          <w:tcPr>
            <w:tcW w:w="812" w:type="dxa"/>
            <w:vAlign w:val="center"/>
            <w:hideMark/>
          </w:tcPr>
          <w:p w14:paraId="463B4DD3" w14:textId="77777777" w:rsidR="00DE1E41" w:rsidRPr="006C15D5" w:rsidRDefault="00DE1E41" w:rsidP="00DE1E41">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A28FF74" w14:textId="2E07D8CD" w:rsidR="001D59C7" w:rsidRPr="006C15D5" w:rsidRDefault="00323F84" w:rsidP="001D59C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Cristian Andrés Díaz Díez</w:t>
            </w:r>
          </w:p>
          <w:p w14:paraId="72718C99" w14:textId="039C05E4" w:rsidR="00DE1E41" w:rsidRPr="006C15D5" w:rsidRDefault="00323F84" w:rsidP="001D59C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Contratista de la </w:t>
            </w:r>
            <w:r w:rsidR="001D59C7" w:rsidRPr="006C15D5">
              <w:rPr>
                <w:rFonts w:ascii="Arial" w:eastAsia="Times New Roman" w:hAnsi="Arial" w:cs="Arial"/>
                <w:color w:val="000000" w:themeColor="text1"/>
                <w:sz w:val="16"/>
                <w:szCs w:val="16"/>
                <w:lang w:eastAsia="es-ES"/>
              </w:rPr>
              <w:t>Subdirec</w:t>
            </w:r>
            <w:r>
              <w:rPr>
                <w:rFonts w:ascii="Arial" w:eastAsia="Times New Roman" w:hAnsi="Arial" w:cs="Arial"/>
                <w:color w:val="000000" w:themeColor="text1"/>
                <w:sz w:val="16"/>
                <w:szCs w:val="16"/>
                <w:lang w:eastAsia="es-ES"/>
              </w:rPr>
              <w:t>ción</w:t>
            </w:r>
            <w:r w:rsidR="001D59C7" w:rsidRPr="006C15D5">
              <w:rPr>
                <w:rFonts w:ascii="Arial" w:eastAsia="Times New Roman" w:hAnsi="Arial" w:cs="Arial"/>
                <w:color w:val="000000" w:themeColor="text1"/>
                <w:sz w:val="16"/>
                <w:szCs w:val="16"/>
                <w:lang w:eastAsia="es-ES"/>
              </w:rPr>
              <w:t xml:space="preserve"> de Gestión Contractual</w:t>
            </w:r>
          </w:p>
        </w:tc>
      </w:tr>
      <w:tr w:rsidR="00DE1E41" w:rsidRPr="003F6D32" w14:paraId="57DAFEF9" w14:textId="77777777" w:rsidTr="00AC43E7">
        <w:trPr>
          <w:trHeight w:val="300"/>
        </w:trPr>
        <w:tc>
          <w:tcPr>
            <w:tcW w:w="812" w:type="dxa"/>
            <w:vAlign w:val="center"/>
            <w:hideMark/>
          </w:tcPr>
          <w:p w14:paraId="70677013" w14:textId="77777777" w:rsidR="00DE1E41" w:rsidRPr="006C15D5" w:rsidRDefault="00DE1E41" w:rsidP="00DE1E41">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31130BB3" w:rsidR="00DE1E41" w:rsidRPr="006C15D5" w:rsidRDefault="00507610" w:rsidP="00DE1E4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Jorge Tirado Navarro</w:t>
            </w:r>
            <w:r w:rsidR="00DE1E41">
              <w:rPr>
                <w:rFonts w:ascii="Arial" w:eastAsia="Times New Roman" w:hAnsi="Arial" w:cs="Arial"/>
                <w:color w:val="000000" w:themeColor="text1"/>
                <w:sz w:val="16"/>
                <w:szCs w:val="16"/>
                <w:lang w:eastAsia="es-ES"/>
              </w:rPr>
              <w:t xml:space="preserve"> </w:t>
            </w:r>
          </w:p>
          <w:p w14:paraId="75BC677C" w14:textId="42B48F3E" w:rsidR="00DE1E41" w:rsidRPr="006C15D5" w:rsidRDefault="00DE1E41" w:rsidP="00DE1E41">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Subdirector de Gestión Contractual</w:t>
            </w:r>
          </w:p>
        </w:tc>
      </w:tr>
    </w:tbl>
    <w:p w14:paraId="085A31AB" w14:textId="77777777" w:rsidR="006C5955" w:rsidRPr="006C15D5" w:rsidRDefault="006C5955" w:rsidP="003D4BD3">
      <w:pPr>
        <w:rPr>
          <w:color w:val="000000" w:themeColor="text1"/>
        </w:rPr>
      </w:pPr>
    </w:p>
    <w:sectPr w:rsidR="006C5955" w:rsidRPr="006C15D5" w:rsidSect="00AC43E7">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DB2B5" w14:textId="77777777" w:rsidR="006271CB" w:rsidRDefault="006271CB" w:rsidP="008C487C">
      <w:r>
        <w:separator/>
      </w:r>
    </w:p>
  </w:endnote>
  <w:endnote w:type="continuationSeparator" w:id="0">
    <w:p w14:paraId="75BEB7FB" w14:textId="77777777" w:rsidR="006271CB" w:rsidRDefault="006271CB"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59A" w14:textId="3A65DB1A" w:rsidR="00C419F4" w:rsidRDefault="00C419F4" w:rsidP="00AC43E7">
    <w:pPr>
      <w:pStyle w:val="Sinespaciado"/>
      <w:jc w:val="right"/>
      <w:rPr>
        <w:rFonts w:ascii="Arial" w:hAnsi="Arial" w:cs="Arial"/>
        <w:sz w:val="18"/>
        <w:szCs w:val="18"/>
      </w:rPr>
    </w:pPr>
  </w:p>
  <w:p w14:paraId="709352A1" w14:textId="77777777" w:rsidR="00C419F4" w:rsidRDefault="00C419F4" w:rsidP="00AC43E7">
    <w:pPr>
      <w:pStyle w:val="Sinespaciado"/>
      <w:jc w:val="right"/>
      <w:rPr>
        <w:rFonts w:ascii="Arial" w:hAnsi="Arial" w:cs="Arial"/>
        <w:sz w:val="18"/>
        <w:szCs w:val="18"/>
      </w:rPr>
    </w:pPr>
  </w:p>
  <w:p w14:paraId="3D3EB348" w14:textId="77777777" w:rsidR="00C419F4" w:rsidRPr="008217B7" w:rsidRDefault="00C419F4"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C419F4" w:rsidRDefault="00C419F4" w:rsidP="00AC43E7">
    <w:pPr>
      <w:pStyle w:val="Piedepgina"/>
      <w:jc w:val="center"/>
      <w:rPr>
        <w:lang w:val="es-ES"/>
      </w:rPr>
    </w:pPr>
    <w:r>
      <w:rPr>
        <w:noProof/>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C419F4" w:rsidRPr="00E756AC" w:rsidRDefault="00C419F4" w:rsidP="00AC43E7">
    <w:pPr>
      <w:pStyle w:val="Piedepgina"/>
      <w:jc w:val="center"/>
      <w:rPr>
        <w:sz w:val="18"/>
        <w:szCs w:val="18"/>
        <w:lang w:val="es-ES"/>
      </w:rPr>
    </w:pPr>
  </w:p>
  <w:p w14:paraId="428179B1" w14:textId="77777777" w:rsidR="00C419F4" w:rsidRPr="00E756AC" w:rsidRDefault="00C419F4"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05C23" w14:textId="77777777" w:rsidR="006271CB" w:rsidRDefault="006271CB" w:rsidP="008C487C">
      <w:r>
        <w:separator/>
      </w:r>
    </w:p>
  </w:footnote>
  <w:footnote w:type="continuationSeparator" w:id="0">
    <w:p w14:paraId="2BAE9717" w14:textId="77777777" w:rsidR="006271CB" w:rsidRDefault="006271CB" w:rsidP="008C487C">
      <w:r>
        <w:continuationSeparator/>
      </w:r>
    </w:p>
  </w:footnote>
  <w:footnote w:id="1">
    <w:p w14:paraId="778D3D36" w14:textId="77777777" w:rsidR="00914F0A" w:rsidRPr="00DC2C79" w:rsidRDefault="00914F0A" w:rsidP="00914F0A">
      <w:pPr>
        <w:pStyle w:val="Textonotapie"/>
        <w:ind w:firstLine="709"/>
        <w:jc w:val="both"/>
        <w:rPr>
          <w:rFonts w:ascii="Arial" w:hAnsi="Arial" w:cs="Arial"/>
          <w:color w:val="000000" w:themeColor="text1"/>
          <w:sz w:val="19"/>
          <w:szCs w:val="19"/>
          <w:lang w:val="es-ES"/>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w:t>
      </w:r>
      <w:r w:rsidRPr="00DC2C79">
        <w:rPr>
          <w:rFonts w:ascii="Arial" w:hAnsi="Arial" w:cs="Arial"/>
          <w:color w:val="000000" w:themeColor="text1"/>
          <w:sz w:val="19"/>
          <w:szCs w:val="19"/>
          <w:lang w:val="es-ES"/>
        </w:rPr>
        <w:t>Al respecto, conviene recordar el artículo 29 de la Ley 80 de 1993, derogado por el artículo 32 de la Ley 1150 de 2007, que establecía: «La selección de contratistas será objetiva.</w:t>
      </w:r>
    </w:p>
    <w:p w14:paraId="00722FF7" w14:textId="77777777" w:rsidR="00914F0A" w:rsidRPr="00DC2C79" w:rsidRDefault="00914F0A" w:rsidP="00914F0A">
      <w:pPr>
        <w:pStyle w:val="Textonotapie"/>
        <w:ind w:firstLine="709"/>
        <w:jc w:val="both"/>
        <w:rPr>
          <w:rFonts w:ascii="Arial" w:hAnsi="Arial" w:cs="Arial"/>
          <w:color w:val="000000" w:themeColor="text1"/>
          <w:sz w:val="19"/>
          <w:szCs w:val="19"/>
          <w:lang w:val="es-ES"/>
        </w:rPr>
      </w:pPr>
      <w:r w:rsidRPr="00DC2C79">
        <w:rPr>
          <w:rFonts w:ascii="Arial" w:hAnsi="Arial" w:cs="Arial"/>
          <w:color w:val="000000" w:themeColor="text1"/>
          <w:sz w:val="19"/>
          <w:szCs w:val="19"/>
          <w:lang w:val="es-ES"/>
        </w:rPr>
        <w:t>»Es objetiva la selección en la cual la escogencia se hace al ofrecimiento más favorable a la entidad y a los fines que ella busca, sin tener en consideración factores de afecto o de interés y, en general, cualquier clase de motivación subjetiva.</w:t>
      </w:r>
    </w:p>
    <w:p w14:paraId="37A6C736" w14:textId="77777777" w:rsidR="00914F0A" w:rsidRPr="00DC2C79" w:rsidRDefault="00914F0A" w:rsidP="00914F0A">
      <w:pPr>
        <w:pStyle w:val="Textonotapie"/>
        <w:ind w:firstLine="709"/>
        <w:jc w:val="both"/>
        <w:rPr>
          <w:rFonts w:ascii="Arial" w:hAnsi="Arial" w:cs="Arial"/>
          <w:color w:val="000000" w:themeColor="text1"/>
          <w:sz w:val="19"/>
          <w:szCs w:val="19"/>
          <w:lang w:val="es-ES"/>
        </w:rPr>
      </w:pPr>
      <w:r w:rsidRPr="00DC2C79">
        <w:rPr>
          <w:rFonts w:ascii="Arial" w:hAnsi="Arial" w:cs="Arial"/>
          <w:color w:val="000000" w:themeColor="text1"/>
          <w:sz w:val="19"/>
          <w:szCs w:val="19"/>
          <w:lang w:val="es-ES"/>
        </w:rPr>
        <w:t>»Ofrecimiento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pliegos, no será objeto de evaluación».</w:t>
      </w:r>
    </w:p>
    <w:p w14:paraId="14352A1A" w14:textId="77777777" w:rsidR="00914F0A" w:rsidRPr="00DC2C79" w:rsidRDefault="00914F0A" w:rsidP="00914F0A">
      <w:pPr>
        <w:pStyle w:val="Textonotapie"/>
        <w:ind w:firstLine="709"/>
        <w:jc w:val="both"/>
        <w:rPr>
          <w:rFonts w:ascii="Arial" w:hAnsi="Arial" w:cs="Arial"/>
          <w:color w:val="000000" w:themeColor="text1"/>
          <w:sz w:val="19"/>
          <w:szCs w:val="19"/>
          <w:lang w:val="es-ES"/>
        </w:rPr>
      </w:pPr>
      <w:r w:rsidRPr="00DC2C79">
        <w:rPr>
          <w:rFonts w:ascii="Arial" w:hAnsi="Arial" w:cs="Arial"/>
          <w:color w:val="000000" w:themeColor="text1"/>
          <w:sz w:val="19"/>
          <w:szCs w:val="19"/>
          <w:lang w:val="es-ES"/>
        </w:rPr>
        <w:t>»El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569CF153" w14:textId="77777777" w:rsidR="00914F0A" w:rsidRPr="00DC2C79" w:rsidRDefault="00914F0A" w:rsidP="00914F0A">
      <w:pPr>
        <w:pStyle w:val="Textonotapie"/>
        <w:ind w:firstLine="709"/>
        <w:jc w:val="both"/>
        <w:rPr>
          <w:rFonts w:ascii="Arial" w:hAnsi="Arial" w:cs="Arial"/>
          <w:color w:val="000000" w:themeColor="text1"/>
          <w:sz w:val="19"/>
          <w:szCs w:val="19"/>
          <w:lang w:val="es-ES"/>
        </w:rPr>
      </w:pPr>
      <w:r w:rsidRPr="00DC2C79">
        <w:rPr>
          <w:rFonts w:ascii="Arial" w:hAnsi="Arial" w:cs="Arial"/>
          <w:color w:val="000000" w:themeColor="text1"/>
          <w:sz w:val="19"/>
          <w:szCs w:val="19"/>
          <w:lang w:val="es-ES"/>
        </w:rPr>
        <w:t>»En caso de comparación de propuestas nacionales y extranjeras, se incluirán los costos necesarios para la entrega del producto terminado en el lugar de su utilización».</w:t>
      </w:r>
    </w:p>
  </w:footnote>
  <w:footnote w:id="2">
    <w:p w14:paraId="5DE2DABC" w14:textId="5A103CDE" w:rsidR="00914F0A" w:rsidRDefault="00914F0A" w:rsidP="00914F0A">
      <w:pPr>
        <w:pStyle w:val="Textonotapie"/>
        <w:ind w:firstLine="709"/>
        <w:jc w:val="both"/>
        <w:rPr>
          <w:rFonts w:ascii="Arial" w:hAnsi="Arial" w:cs="Arial"/>
          <w:color w:val="000000" w:themeColor="text1"/>
          <w:sz w:val="19"/>
          <w:szCs w:val="19"/>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Consejo de Estado. Sección Tercera. Subsección A. Sentencia del 25 de octubre de 2019. Exp. 39.945. Consejera Ponente: María Adriana Marín.</w:t>
      </w:r>
    </w:p>
    <w:p w14:paraId="3BFBEF95" w14:textId="77777777" w:rsidR="006461BC" w:rsidRPr="00DC2C79" w:rsidRDefault="006461BC" w:rsidP="00914F0A">
      <w:pPr>
        <w:pStyle w:val="Textonotapie"/>
        <w:ind w:firstLine="709"/>
        <w:jc w:val="both"/>
        <w:rPr>
          <w:rFonts w:ascii="Arial" w:hAnsi="Arial" w:cs="Arial"/>
          <w:color w:val="000000" w:themeColor="text1"/>
          <w:sz w:val="19"/>
          <w:szCs w:val="19"/>
          <w:lang w:val="es-ES"/>
        </w:rPr>
      </w:pPr>
    </w:p>
  </w:footnote>
  <w:footnote w:id="3">
    <w:p w14:paraId="62EE597A" w14:textId="77777777" w:rsidR="00914F0A" w:rsidRPr="00DC2C79" w:rsidRDefault="00914F0A" w:rsidP="00914F0A">
      <w:pPr>
        <w:pStyle w:val="Textonotapie"/>
        <w:ind w:firstLine="709"/>
        <w:jc w:val="both"/>
        <w:rPr>
          <w:rFonts w:ascii="Arial" w:hAnsi="Arial" w:cs="Arial"/>
          <w:color w:val="000000" w:themeColor="text1"/>
          <w:sz w:val="19"/>
          <w:szCs w:val="19"/>
          <w:lang w:val="es-ES"/>
        </w:rPr>
      </w:pPr>
      <w:r w:rsidRPr="00DC2C79">
        <w:rPr>
          <w:rStyle w:val="Refdenotaalpie"/>
          <w:rFonts w:ascii="Arial" w:hAnsi="Arial" w:cs="Arial"/>
          <w:color w:val="000000" w:themeColor="text1"/>
          <w:sz w:val="19"/>
          <w:szCs w:val="19"/>
        </w:rPr>
        <w:footnoteRef/>
      </w:r>
      <w:r w:rsidRPr="00DC2C79">
        <w:rPr>
          <w:rStyle w:val="Refdenotaalpie"/>
          <w:rFonts w:ascii="Arial" w:hAnsi="Arial" w:cs="Arial"/>
          <w:color w:val="000000" w:themeColor="text1"/>
          <w:sz w:val="19"/>
          <w:szCs w:val="19"/>
        </w:rPr>
        <w:t xml:space="preserve"> </w:t>
      </w:r>
      <w:r w:rsidRPr="00DC2C79">
        <w:rPr>
          <w:rFonts w:ascii="Arial" w:hAnsi="Arial" w:cs="Arial"/>
          <w:color w:val="000000" w:themeColor="text1"/>
          <w:sz w:val="19"/>
          <w:szCs w:val="19"/>
        </w:rPr>
        <w:t>Consejo de Estado. Sección Tercera. Subsección A. Sentencia del 5 de julio de 2018. Exp. 37.834. Consejero Ponente: Carlos Alberto Zambrano Barrera.</w:t>
      </w:r>
    </w:p>
  </w:footnote>
  <w:footnote w:id="4">
    <w:p w14:paraId="50B62DD6" w14:textId="77777777" w:rsidR="006461BC" w:rsidRPr="00DC2C79" w:rsidRDefault="006461BC" w:rsidP="006461BC">
      <w:pPr>
        <w:pStyle w:val="Textonotapie"/>
        <w:ind w:firstLine="709"/>
        <w:jc w:val="both"/>
        <w:rPr>
          <w:rFonts w:ascii="Arial" w:hAnsi="Arial" w:cs="Arial"/>
          <w:color w:val="000000" w:themeColor="text1"/>
          <w:sz w:val="19"/>
          <w:szCs w:val="19"/>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78095AC2" w14:textId="77777777" w:rsidR="006461BC" w:rsidRPr="00DC2C79" w:rsidRDefault="006461BC" w:rsidP="006461BC">
      <w:pPr>
        <w:pStyle w:val="Textonotapie"/>
        <w:ind w:firstLine="709"/>
        <w:jc w:val="both"/>
        <w:rPr>
          <w:rFonts w:ascii="Arial" w:hAnsi="Arial" w:cs="Arial"/>
          <w:b/>
          <w:color w:val="000000" w:themeColor="text1"/>
          <w:sz w:val="19"/>
          <w:szCs w:val="19"/>
        </w:rPr>
      </w:pPr>
    </w:p>
  </w:footnote>
  <w:footnote w:id="5">
    <w:p w14:paraId="58E165EE" w14:textId="77777777" w:rsidR="006461BC" w:rsidRPr="00DC2C79" w:rsidRDefault="006461BC" w:rsidP="006461BC">
      <w:pPr>
        <w:pStyle w:val="Textonotapie"/>
        <w:ind w:firstLine="709"/>
        <w:jc w:val="both"/>
        <w:rPr>
          <w:rFonts w:ascii="Arial" w:hAnsi="Arial" w:cs="Arial"/>
          <w:color w:val="000000" w:themeColor="text1"/>
          <w:sz w:val="19"/>
          <w:szCs w:val="19"/>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6">
    <w:p w14:paraId="20E25738" w14:textId="77777777" w:rsidR="00914F0A" w:rsidRPr="00DC2C79" w:rsidRDefault="00914F0A" w:rsidP="00914F0A">
      <w:pPr>
        <w:pStyle w:val="Textonotapie"/>
        <w:ind w:firstLine="709"/>
        <w:jc w:val="both"/>
        <w:rPr>
          <w:rFonts w:ascii="Arial" w:hAnsi="Arial" w:cs="Arial"/>
          <w:color w:val="000000" w:themeColor="text1"/>
          <w:sz w:val="19"/>
          <w:szCs w:val="19"/>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Consejo de Estado. Sección Tercera, Subsección C. Sentencia del 26 de febrero de 2014. C.P. Enrique Gil Botero, Rad. 1999-00113-01 (25.804). </w:t>
      </w:r>
    </w:p>
  </w:footnote>
  <w:footnote w:id="7">
    <w:p w14:paraId="4EE49DEA" w14:textId="77777777" w:rsidR="00B964DD" w:rsidRPr="00DC2C79" w:rsidRDefault="00B964DD" w:rsidP="00B964DD">
      <w:pPr>
        <w:pStyle w:val="Textonotapie"/>
        <w:ind w:firstLine="709"/>
        <w:jc w:val="both"/>
        <w:rPr>
          <w:rFonts w:ascii="Arial" w:hAnsi="Arial" w:cs="Arial"/>
          <w:color w:val="000000" w:themeColor="text1"/>
          <w:sz w:val="19"/>
          <w:szCs w:val="19"/>
          <w:lang w:val="es-CO"/>
        </w:rPr>
      </w:pPr>
      <w:r w:rsidRPr="00DC2C79">
        <w:rPr>
          <w:rStyle w:val="Refdenotaalpie"/>
          <w:rFonts w:ascii="Arial" w:hAnsi="Arial" w:cs="Arial"/>
          <w:color w:val="000000" w:themeColor="text1"/>
          <w:sz w:val="19"/>
          <w:szCs w:val="19"/>
        </w:rPr>
        <w:footnoteRef/>
      </w:r>
      <w:r w:rsidRPr="00DC2C79">
        <w:rPr>
          <w:rStyle w:val="Refdenotaalpie"/>
          <w:rFonts w:ascii="Arial" w:hAnsi="Arial" w:cs="Arial"/>
          <w:color w:val="000000" w:themeColor="text1"/>
          <w:sz w:val="19"/>
          <w:szCs w:val="19"/>
        </w:rPr>
        <w:t xml:space="preserve"> </w:t>
      </w:r>
      <w:r w:rsidRPr="00DC2C79">
        <w:rPr>
          <w:rFonts w:ascii="Arial" w:hAnsi="Arial" w:cs="Arial"/>
          <w:color w:val="000000" w:themeColor="text1"/>
          <w:sz w:val="19"/>
          <w:szCs w:val="19"/>
          <w:lang w:val="es-CO"/>
        </w:rPr>
        <w:t>Ley 1150 de 2007, artículo 5, parágrafo 4°: «</w:t>
      </w:r>
      <w:r w:rsidRPr="00DC2C79">
        <w:rPr>
          <w:rFonts w:ascii="Arial" w:hAnsi="Arial" w:cs="Arial"/>
          <w:color w:val="000000" w:themeColor="text1"/>
          <w:sz w:val="19"/>
          <w:szCs w:val="19"/>
        </w:rPr>
        <w:t>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8">
    <w:p w14:paraId="6A8C98CD" w14:textId="77777777" w:rsidR="00914F0A" w:rsidRPr="00DC2C79" w:rsidRDefault="00914F0A" w:rsidP="00914F0A">
      <w:pPr>
        <w:ind w:firstLine="709"/>
        <w:jc w:val="both"/>
        <w:rPr>
          <w:rFonts w:ascii="Arial" w:hAnsi="Arial" w:cs="Arial"/>
          <w:color w:val="000000" w:themeColor="text1"/>
          <w:sz w:val="19"/>
          <w:szCs w:val="19"/>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Decreto 2474 de 2008 (DEROGADO): «art. 10. Reglas de subsanabilidad.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 w:tooltip="Haga clic para abrir TODA la Ley 1150 de 2007" w:history="1">
        <w:r w:rsidRPr="00DC2C79">
          <w:rPr>
            <w:rFonts w:ascii="Arial" w:hAnsi="Arial" w:cs="Arial"/>
            <w:color w:val="000000" w:themeColor="text1"/>
            <w:sz w:val="19"/>
            <w:szCs w:val="19"/>
          </w:rPr>
          <w:t>Ley 1150 de 2007</w:t>
        </w:r>
      </w:hyperlink>
      <w:r w:rsidRPr="00DC2C79">
        <w:rPr>
          <w:rFonts w:ascii="Arial" w:hAnsi="Arial" w:cs="Arial"/>
          <w:color w:val="000000" w:themeColor="text1"/>
          <w:sz w:val="19"/>
          <w:szCs w:val="19"/>
        </w:rPr>
        <w:t> y en el presente decreto.</w:t>
      </w:r>
    </w:p>
    <w:p w14:paraId="2ECEDACC" w14:textId="77777777" w:rsidR="00914F0A" w:rsidRPr="00DC2C79" w:rsidRDefault="00914F0A" w:rsidP="00914F0A">
      <w:pPr>
        <w:ind w:firstLine="709"/>
        <w:jc w:val="both"/>
        <w:rPr>
          <w:rFonts w:ascii="Arial" w:hAnsi="Arial" w:cs="Arial"/>
          <w:color w:val="000000" w:themeColor="text1"/>
          <w:sz w:val="19"/>
          <w:szCs w:val="19"/>
        </w:rPr>
      </w:pPr>
      <w:r w:rsidRPr="00DC2C79">
        <w:rPr>
          <w:rFonts w:ascii="Arial" w:hAnsi="Arial" w:cs="Arial"/>
          <w:color w:val="000000" w:themeColor="text1"/>
          <w:sz w:val="19"/>
          <w:szCs w:val="19"/>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50AC9448" w14:textId="77777777" w:rsidR="00914F0A" w:rsidRPr="00DC2C79" w:rsidRDefault="00914F0A" w:rsidP="00914F0A">
      <w:pPr>
        <w:ind w:firstLine="709"/>
        <w:jc w:val="both"/>
        <w:rPr>
          <w:rFonts w:ascii="Arial" w:hAnsi="Arial" w:cs="Arial"/>
          <w:color w:val="000000" w:themeColor="text1"/>
          <w:sz w:val="19"/>
          <w:szCs w:val="19"/>
        </w:rPr>
      </w:pPr>
      <w:r w:rsidRPr="00DC2C79">
        <w:rPr>
          <w:rFonts w:ascii="Arial" w:hAnsi="Arial" w:cs="Arial"/>
          <w:color w:val="000000" w:themeColor="text1"/>
          <w:sz w:val="19"/>
          <w:szCs w:val="19"/>
        </w:rPr>
        <w:t>»Será rechazada la oferta del proponente que dentro del término previsto en el pliego o en la solicitud, no responda al requerimiento que le haga la entidad para subsanarla.</w:t>
      </w:r>
    </w:p>
    <w:p w14:paraId="07C175A3" w14:textId="77777777" w:rsidR="00914F0A" w:rsidRPr="00DC2C79" w:rsidRDefault="00914F0A" w:rsidP="00914F0A">
      <w:pPr>
        <w:ind w:firstLine="709"/>
        <w:jc w:val="both"/>
        <w:rPr>
          <w:rFonts w:ascii="Arial" w:hAnsi="Arial" w:cs="Arial"/>
          <w:color w:val="000000" w:themeColor="text1"/>
          <w:sz w:val="19"/>
          <w:szCs w:val="19"/>
        </w:rPr>
      </w:pPr>
      <w:r w:rsidRPr="00DC2C79">
        <w:rPr>
          <w:rFonts w:ascii="Arial" w:hAnsi="Arial" w:cs="Arial"/>
          <w:color w:val="000000" w:themeColor="text1"/>
          <w:sz w:val="19"/>
          <w:szCs w:val="19"/>
        </w:rPr>
        <w:t>»Cuando se utilice el mecanismo de subasta esta posibilidad deberá ejercerse hasta el momento previo a su realización, de conformidad con el artículo 22 del presente decreto.</w:t>
      </w:r>
    </w:p>
    <w:p w14:paraId="23CA9BC6" w14:textId="77777777" w:rsidR="00914F0A" w:rsidRPr="00DC2C79" w:rsidRDefault="00914F0A" w:rsidP="00914F0A">
      <w:pPr>
        <w:ind w:firstLine="709"/>
        <w:jc w:val="both"/>
        <w:rPr>
          <w:rFonts w:ascii="Arial" w:hAnsi="Arial" w:cs="Arial"/>
          <w:color w:val="000000" w:themeColor="text1"/>
          <w:sz w:val="19"/>
          <w:szCs w:val="19"/>
        </w:rPr>
      </w:pPr>
      <w:r w:rsidRPr="00DC2C79">
        <w:rPr>
          <w:rFonts w:ascii="Arial" w:hAnsi="Arial" w:cs="Arial"/>
          <w:color w:val="000000" w:themeColor="text1"/>
          <w:sz w:val="19"/>
          <w:szCs w:val="19"/>
        </w:rPr>
        <w:t xml:space="preserve">»En ningún caso la entidad podrá señalar taxativamente los requisitos o documentos subsanables o no subsanables en el pliego de condiciones, </w:t>
      </w:r>
      <w:r w:rsidRPr="00DC2C79">
        <w:rPr>
          <w:rFonts w:ascii="Arial" w:hAnsi="Arial" w:cs="Arial"/>
          <w:bCs/>
          <w:i/>
          <w:iCs/>
          <w:color w:val="000000" w:themeColor="text1"/>
          <w:sz w:val="19"/>
          <w:szCs w:val="19"/>
        </w:rPr>
        <w:t>ni permitir que se subsane la falta de capacidad para presentar la oferta, ni que se acrediten circunstancias ocurridas con posterioridad al cierre del proceso</w:t>
      </w:r>
      <w:r w:rsidRPr="00DC2C79">
        <w:rPr>
          <w:rFonts w:ascii="Arial" w:hAnsi="Arial" w:cs="Arial"/>
          <w:color w:val="000000" w:themeColor="text1"/>
          <w:sz w:val="19"/>
          <w:szCs w:val="19"/>
        </w:rPr>
        <w:t xml:space="preserve">». (Cursivas fuera de texto). </w:t>
      </w:r>
    </w:p>
    <w:p w14:paraId="2EC6BF31" w14:textId="77777777" w:rsidR="00914F0A" w:rsidRPr="00DC2C79" w:rsidRDefault="00914F0A" w:rsidP="00914F0A">
      <w:pPr>
        <w:pStyle w:val="Textonotapie"/>
        <w:ind w:firstLine="709"/>
        <w:jc w:val="both"/>
        <w:rPr>
          <w:rFonts w:ascii="Arial" w:hAnsi="Arial" w:cs="Arial"/>
          <w:color w:val="000000" w:themeColor="text1"/>
          <w:sz w:val="19"/>
          <w:szCs w:val="19"/>
        </w:rPr>
      </w:pPr>
    </w:p>
  </w:footnote>
  <w:footnote w:id="9">
    <w:p w14:paraId="19A1807D" w14:textId="77777777" w:rsidR="00914F0A" w:rsidRPr="00DC2C79" w:rsidRDefault="00914F0A" w:rsidP="00914F0A">
      <w:pPr>
        <w:pStyle w:val="Textonotapie"/>
        <w:ind w:firstLine="709"/>
        <w:jc w:val="both"/>
        <w:rPr>
          <w:rFonts w:ascii="Arial" w:hAnsi="Arial" w:cs="Arial"/>
          <w:color w:val="000000" w:themeColor="text1"/>
          <w:sz w:val="19"/>
          <w:szCs w:val="19"/>
          <w:lang w:val="es-CO"/>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w:t>
      </w:r>
      <w:r w:rsidRPr="00DC2C79">
        <w:rPr>
          <w:rFonts w:ascii="Arial" w:hAnsi="Arial" w:cs="Arial"/>
          <w:color w:val="000000" w:themeColor="text1"/>
          <w:sz w:val="19"/>
          <w:szCs w:val="19"/>
          <w:lang w:val="es-CO"/>
        </w:rPr>
        <w:t>Consejo de Estado, Sala de Consulta y Servicio Civil, concepto del 6 de noviembre de 2008. C.P. William Zambrano Cetina. Rad. 2008-00079-00(1927).</w:t>
      </w:r>
    </w:p>
    <w:p w14:paraId="63CAEC09" w14:textId="77777777" w:rsidR="00914F0A" w:rsidRPr="00DC2C79" w:rsidRDefault="00914F0A" w:rsidP="00914F0A">
      <w:pPr>
        <w:pStyle w:val="Textonotapie"/>
        <w:ind w:firstLine="709"/>
        <w:jc w:val="both"/>
        <w:rPr>
          <w:rFonts w:ascii="Arial" w:hAnsi="Arial" w:cs="Arial"/>
          <w:color w:val="000000" w:themeColor="text1"/>
          <w:sz w:val="19"/>
          <w:szCs w:val="19"/>
        </w:rPr>
      </w:pPr>
      <w:r w:rsidRPr="00DC2C79">
        <w:rPr>
          <w:rFonts w:ascii="Arial" w:hAnsi="Arial" w:cs="Arial"/>
          <w:color w:val="000000" w:themeColor="text1"/>
          <w:sz w:val="19"/>
          <w:szCs w:val="19"/>
        </w:rPr>
        <w:t xml:space="preserve">  </w:t>
      </w:r>
    </w:p>
  </w:footnote>
  <w:footnote w:id="10">
    <w:p w14:paraId="7ACE110C" w14:textId="77777777" w:rsidR="00914F0A" w:rsidRPr="00DC2C79" w:rsidRDefault="00914F0A" w:rsidP="00914F0A">
      <w:pPr>
        <w:pStyle w:val="Textonotapie"/>
        <w:ind w:firstLine="709"/>
        <w:jc w:val="both"/>
        <w:rPr>
          <w:rFonts w:ascii="Arial" w:hAnsi="Arial" w:cs="Arial"/>
          <w:color w:val="000000" w:themeColor="text1"/>
          <w:sz w:val="19"/>
          <w:szCs w:val="19"/>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w:t>
      </w:r>
      <w:r w:rsidRPr="00DC2C79">
        <w:rPr>
          <w:rFonts w:ascii="Arial" w:hAnsi="Arial" w:cs="Arial"/>
          <w:color w:val="000000" w:themeColor="text1"/>
          <w:sz w:val="19"/>
          <w:szCs w:val="19"/>
          <w:lang w:val="es-CO"/>
        </w:rPr>
        <w:t>Ver Consejo de Estado, Sección Tercera, Subsección C. Sentencia del 26 de febrero de 2011. C.P. Jaime Orlando Santofimio. Rad. 36.408.</w:t>
      </w:r>
      <w:r w:rsidRPr="00DC2C79">
        <w:rPr>
          <w:rFonts w:ascii="Arial" w:hAnsi="Arial" w:cs="Arial"/>
          <w:color w:val="000000" w:themeColor="text1"/>
          <w:sz w:val="19"/>
          <w:szCs w:val="19"/>
        </w:rPr>
        <w:t xml:space="preserve">  </w:t>
      </w:r>
    </w:p>
    <w:p w14:paraId="4E70FC42" w14:textId="77777777" w:rsidR="00914F0A" w:rsidRPr="00DC2C79" w:rsidRDefault="00914F0A" w:rsidP="00914F0A">
      <w:pPr>
        <w:pStyle w:val="Textonotapie"/>
        <w:ind w:firstLine="709"/>
        <w:jc w:val="both"/>
        <w:rPr>
          <w:rFonts w:ascii="Arial" w:hAnsi="Arial" w:cs="Arial"/>
          <w:color w:val="000000" w:themeColor="text1"/>
          <w:sz w:val="19"/>
          <w:szCs w:val="19"/>
        </w:rPr>
      </w:pPr>
    </w:p>
  </w:footnote>
  <w:footnote w:id="11">
    <w:p w14:paraId="5F8A5667" w14:textId="77777777" w:rsidR="00914F0A" w:rsidRPr="00DC2C79" w:rsidRDefault="00914F0A" w:rsidP="00914F0A">
      <w:pPr>
        <w:pStyle w:val="Textonotapie"/>
        <w:ind w:firstLine="709"/>
        <w:jc w:val="both"/>
        <w:rPr>
          <w:rFonts w:ascii="Arial" w:hAnsi="Arial" w:cs="Arial"/>
          <w:color w:val="000000" w:themeColor="text1"/>
          <w:sz w:val="19"/>
          <w:szCs w:val="19"/>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w:t>
      </w:r>
      <w:r w:rsidRPr="00DC2C79">
        <w:rPr>
          <w:rFonts w:ascii="Arial" w:hAnsi="Arial" w:cs="Arial"/>
          <w:color w:val="000000" w:themeColor="text1"/>
          <w:sz w:val="19"/>
          <w:szCs w:val="19"/>
          <w:lang w:val="es-CO"/>
        </w:rPr>
        <w:t>Ver Consejo de Estado, Sección Tercera, Subsección C. Sentencia del 26 de febrero de 2014. C.P. Enrique Gil Botero. Rad. 25.804.</w:t>
      </w:r>
      <w:r w:rsidRPr="00DC2C79">
        <w:rPr>
          <w:rFonts w:ascii="Arial" w:hAnsi="Arial" w:cs="Arial"/>
          <w:color w:val="000000" w:themeColor="text1"/>
          <w:sz w:val="19"/>
          <w:szCs w:val="19"/>
        </w:rPr>
        <w:t xml:space="preserve">  </w:t>
      </w:r>
    </w:p>
    <w:p w14:paraId="592192DF" w14:textId="77777777" w:rsidR="00914F0A" w:rsidRPr="00DC2C79" w:rsidRDefault="00914F0A" w:rsidP="00914F0A">
      <w:pPr>
        <w:pStyle w:val="Textonotapie"/>
        <w:ind w:firstLine="709"/>
        <w:jc w:val="both"/>
        <w:rPr>
          <w:rFonts w:ascii="Arial" w:hAnsi="Arial" w:cs="Arial"/>
          <w:color w:val="000000" w:themeColor="text1"/>
          <w:sz w:val="19"/>
          <w:szCs w:val="19"/>
        </w:rPr>
      </w:pPr>
    </w:p>
  </w:footnote>
  <w:footnote w:id="12">
    <w:p w14:paraId="780C4C9A" w14:textId="77777777" w:rsidR="00914F0A" w:rsidRPr="00DC2C79" w:rsidRDefault="00914F0A" w:rsidP="00914F0A">
      <w:pPr>
        <w:pStyle w:val="Textonotapie"/>
        <w:ind w:firstLine="709"/>
        <w:jc w:val="both"/>
        <w:rPr>
          <w:rFonts w:ascii="Arial" w:hAnsi="Arial" w:cs="Arial"/>
          <w:color w:val="000000" w:themeColor="text1"/>
          <w:sz w:val="19"/>
          <w:szCs w:val="19"/>
          <w:lang w:val="es-CO"/>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w:t>
      </w:r>
      <w:r w:rsidRPr="00DC2C79">
        <w:rPr>
          <w:rFonts w:ascii="Arial" w:hAnsi="Arial" w:cs="Arial"/>
          <w:color w:val="000000" w:themeColor="text1"/>
          <w:sz w:val="19"/>
          <w:szCs w:val="19"/>
          <w:lang w:val="es-CO"/>
        </w:rPr>
        <w:t>Consejo de Estado, Sala de Consulta y Servicio Civil, concepto del 20 de mayo de 2010. C.P. Enrique José Arboleda Perdomo. Rad. 2010-00034-00(1992).</w:t>
      </w:r>
    </w:p>
    <w:p w14:paraId="0AE396C0" w14:textId="77777777" w:rsidR="00914F0A" w:rsidRPr="00DC2C79" w:rsidRDefault="00914F0A" w:rsidP="00914F0A">
      <w:pPr>
        <w:pStyle w:val="Textonotapie"/>
        <w:ind w:firstLine="709"/>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C419F4" w:rsidRDefault="00C419F4">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BE0"/>
    <w:rsid w:val="00001E3D"/>
    <w:rsid w:val="000031FE"/>
    <w:rsid w:val="000047EA"/>
    <w:rsid w:val="000072CE"/>
    <w:rsid w:val="000100E8"/>
    <w:rsid w:val="00010A06"/>
    <w:rsid w:val="00010D30"/>
    <w:rsid w:val="00013780"/>
    <w:rsid w:val="000137A9"/>
    <w:rsid w:val="00021180"/>
    <w:rsid w:val="00023057"/>
    <w:rsid w:val="00024771"/>
    <w:rsid w:val="00026A6E"/>
    <w:rsid w:val="0003091B"/>
    <w:rsid w:val="000324C9"/>
    <w:rsid w:val="000333A2"/>
    <w:rsid w:val="00034108"/>
    <w:rsid w:val="00034853"/>
    <w:rsid w:val="0003601F"/>
    <w:rsid w:val="0003625C"/>
    <w:rsid w:val="00036E73"/>
    <w:rsid w:val="00037414"/>
    <w:rsid w:val="00040C88"/>
    <w:rsid w:val="00040D6E"/>
    <w:rsid w:val="00042C0C"/>
    <w:rsid w:val="000439E9"/>
    <w:rsid w:val="00043A4D"/>
    <w:rsid w:val="000445B5"/>
    <w:rsid w:val="00044FF2"/>
    <w:rsid w:val="000466AB"/>
    <w:rsid w:val="000466AC"/>
    <w:rsid w:val="00047050"/>
    <w:rsid w:val="00051D31"/>
    <w:rsid w:val="00053D7E"/>
    <w:rsid w:val="00054B43"/>
    <w:rsid w:val="00054E9A"/>
    <w:rsid w:val="000563ED"/>
    <w:rsid w:val="00056B40"/>
    <w:rsid w:val="00056F1A"/>
    <w:rsid w:val="00057B7C"/>
    <w:rsid w:val="00061E34"/>
    <w:rsid w:val="00061EE4"/>
    <w:rsid w:val="00062512"/>
    <w:rsid w:val="00062B0D"/>
    <w:rsid w:val="0006519B"/>
    <w:rsid w:val="00070FE3"/>
    <w:rsid w:val="00072EB9"/>
    <w:rsid w:val="000757B4"/>
    <w:rsid w:val="000763E2"/>
    <w:rsid w:val="00076F69"/>
    <w:rsid w:val="00082242"/>
    <w:rsid w:val="00083BE1"/>
    <w:rsid w:val="00086A16"/>
    <w:rsid w:val="00091039"/>
    <w:rsid w:val="00091494"/>
    <w:rsid w:val="00091570"/>
    <w:rsid w:val="0009161E"/>
    <w:rsid w:val="00091D8F"/>
    <w:rsid w:val="00091F2D"/>
    <w:rsid w:val="000929DE"/>
    <w:rsid w:val="00093E58"/>
    <w:rsid w:val="00095C76"/>
    <w:rsid w:val="00097CD6"/>
    <w:rsid w:val="000A1DBA"/>
    <w:rsid w:val="000A2BEF"/>
    <w:rsid w:val="000A3B96"/>
    <w:rsid w:val="000A4C83"/>
    <w:rsid w:val="000A6338"/>
    <w:rsid w:val="000A6B6F"/>
    <w:rsid w:val="000A70D5"/>
    <w:rsid w:val="000A71FE"/>
    <w:rsid w:val="000B4A19"/>
    <w:rsid w:val="000C0E39"/>
    <w:rsid w:val="000C3BD4"/>
    <w:rsid w:val="000C3D66"/>
    <w:rsid w:val="000C4A2C"/>
    <w:rsid w:val="000C51AF"/>
    <w:rsid w:val="000C5830"/>
    <w:rsid w:val="000C5C37"/>
    <w:rsid w:val="000C5D09"/>
    <w:rsid w:val="000C6E52"/>
    <w:rsid w:val="000C79F1"/>
    <w:rsid w:val="000D088F"/>
    <w:rsid w:val="000D1766"/>
    <w:rsid w:val="000D6C6D"/>
    <w:rsid w:val="000E0AB3"/>
    <w:rsid w:val="000E284C"/>
    <w:rsid w:val="000E4A3C"/>
    <w:rsid w:val="000E57DB"/>
    <w:rsid w:val="000E5BB2"/>
    <w:rsid w:val="000E6867"/>
    <w:rsid w:val="000E68C2"/>
    <w:rsid w:val="000F1B34"/>
    <w:rsid w:val="000F1E3D"/>
    <w:rsid w:val="000F211E"/>
    <w:rsid w:val="000F3EC2"/>
    <w:rsid w:val="000F5340"/>
    <w:rsid w:val="000F5889"/>
    <w:rsid w:val="000F7783"/>
    <w:rsid w:val="00100AEC"/>
    <w:rsid w:val="00103CA7"/>
    <w:rsid w:val="001056C0"/>
    <w:rsid w:val="00105A2E"/>
    <w:rsid w:val="00107607"/>
    <w:rsid w:val="00107C8D"/>
    <w:rsid w:val="00110B59"/>
    <w:rsid w:val="00112597"/>
    <w:rsid w:val="00114431"/>
    <w:rsid w:val="0011538C"/>
    <w:rsid w:val="0011544E"/>
    <w:rsid w:val="0012074A"/>
    <w:rsid w:val="00120C8D"/>
    <w:rsid w:val="0012181C"/>
    <w:rsid w:val="00122311"/>
    <w:rsid w:val="001223E4"/>
    <w:rsid w:val="00123543"/>
    <w:rsid w:val="00123797"/>
    <w:rsid w:val="001240CD"/>
    <w:rsid w:val="00127F76"/>
    <w:rsid w:val="001321AB"/>
    <w:rsid w:val="0013282D"/>
    <w:rsid w:val="00132DBE"/>
    <w:rsid w:val="00136D6E"/>
    <w:rsid w:val="0013709F"/>
    <w:rsid w:val="00140285"/>
    <w:rsid w:val="00140E57"/>
    <w:rsid w:val="00141B19"/>
    <w:rsid w:val="00141C64"/>
    <w:rsid w:val="001427B1"/>
    <w:rsid w:val="001427E8"/>
    <w:rsid w:val="00142E4E"/>
    <w:rsid w:val="00143498"/>
    <w:rsid w:val="0014462B"/>
    <w:rsid w:val="0014660B"/>
    <w:rsid w:val="00146D5B"/>
    <w:rsid w:val="001501ED"/>
    <w:rsid w:val="00150DA3"/>
    <w:rsid w:val="00151596"/>
    <w:rsid w:val="00152F17"/>
    <w:rsid w:val="0015466A"/>
    <w:rsid w:val="00154EC0"/>
    <w:rsid w:val="001573F8"/>
    <w:rsid w:val="00162BA0"/>
    <w:rsid w:val="00163EED"/>
    <w:rsid w:val="00164E79"/>
    <w:rsid w:val="00165D29"/>
    <w:rsid w:val="00166C81"/>
    <w:rsid w:val="0017603D"/>
    <w:rsid w:val="001764B9"/>
    <w:rsid w:val="00181576"/>
    <w:rsid w:val="00181A3E"/>
    <w:rsid w:val="00183447"/>
    <w:rsid w:val="00183A65"/>
    <w:rsid w:val="00185441"/>
    <w:rsid w:val="001865DB"/>
    <w:rsid w:val="00186615"/>
    <w:rsid w:val="00190C2F"/>
    <w:rsid w:val="0019126D"/>
    <w:rsid w:val="00193074"/>
    <w:rsid w:val="00193C83"/>
    <w:rsid w:val="00194C50"/>
    <w:rsid w:val="00196FB5"/>
    <w:rsid w:val="001972D2"/>
    <w:rsid w:val="001A0AEB"/>
    <w:rsid w:val="001A2D72"/>
    <w:rsid w:val="001A33C7"/>
    <w:rsid w:val="001A496D"/>
    <w:rsid w:val="001A535A"/>
    <w:rsid w:val="001B0364"/>
    <w:rsid w:val="001B1FBB"/>
    <w:rsid w:val="001B2E5D"/>
    <w:rsid w:val="001B53BD"/>
    <w:rsid w:val="001B5E36"/>
    <w:rsid w:val="001B6FB9"/>
    <w:rsid w:val="001C1354"/>
    <w:rsid w:val="001C1D25"/>
    <w:rsid w:val="001C2AE5"/>
    <w:rsid w:val="001C462B"/>
    <w:rsid w:val="001C6E3F"/>
    <w:rsid w:val="001D0924"/>
    <w:rsid w:val="001D2BDC"/>
    <w:rsid w:val="001D38A0"/>
    <w:rsid w:val="001D59C7"/>
    <w:rsid w:val="001D5ECE"/>
    <w:rsid w:val="001D7073"/>
    <w:rsid w:val="001D7420"/>
    <w:rsid w:val="001D7FD4"/>
    <w:rsid w:val="001E123B"/>
    <w:rsid w:val="001E1735"/>
    <w:rsid w:val="001E1C6D"/>
    <w:rsid w:val="001E20C2"/>
    <w:rsid w:val="001E3F37"/>
    <w:rsid w:val="001E44A9"/>
    <w:rsid w:val="001E5745"/>
    <w:rsid w:val="001E584C"/>
    <w:rsid w:val="001E5DBB"/>
    <w:rsid w:val="001E685F"/>
    <w:rsid w:val="001E7044"/>
    <w:rsid w:val="001F1051"/>
    <w:rsid w:val="001F1A2D"/>
    <w:rsid w:val="001F311C"/>
    <w:rsid w:val="001F34A8"/>
    <w:rsid w:val="001F40B2"/>
    <w:rsid w:val="001F4B99"/>
    <w:rsid w:val="001F680B"/>
    <w:rsid w:val="001F7005"/>
    <w:rsid w:val="001F70F8"/>
    <w:rsid w:val="00200F92"/>
    <w:rsid w:val="00202680"/>
    <w:rsid w:val="00202ECA"/>
    <w:rsid w:val="002034AD"/>
    <w:rsid w:val="00203BF1"/>
    <w:rsid w:val="00203F46"/>
    <w:rsid w:val="002042F7"/>
    <w:rsid w:val="002057A7"/>
    <w:rsid w:val="00206D9D"/>
    <w:rsid w:val="00207033"/>
    <w:rsid w:val="00210D66"/>
    <w:rsid w:val="00211C6F"/>
    <w:rsid w:val="00212E91"/>
    <w:rsid w:val="00213B1E"/>
    <w:rsid w:val="00217339"/>
    <w:rsid w:val="00222204"/>
    <w:rsid w:val="0022306C"/>
    <w:rsid w:val="002230F7"/>
    <w:rsid w:val="002239B4"/>
    <w:rsid w:val="00224D5C"/>
    <w:rsid w:val="002261C4"/>
    <w:rsid w:val="00227C2D"/>
    <w:rsid w:val="00227D08"/>
    <w:rsid w:val="0023008F"/>
    <w:rsid w:val="0023180C"/>
    <w:rsid w:val="00234C6C"/>
    <w:rsid w:val="0023576D"/>
    <w:rsid w:val="0023728A"/>
    <w:rsid w:val="00237522"/>
    <w:rsid w:val="00241CDE"/>
    <w:rsid w:val="002430D1"/>
    <w:rsid w:val="00244A28"/>
    <w:rsid w:val="002466F4"/>
    <w:rsid w:val="00247EBA"/>
    <w:rsid w:val="0025095A"/>
    <w:rsid w:val="00250A60"/>
    <w:rsid w:val="00251547"/>
    <w:rsid w:val="00251997"/>
    <w:rsid w:val="002532DE"/>
    <w:rsid w:val="00254030"/>
    <w:rsid w:val="00256337"/>
    <w:rsid w:val="00256893"/>
    <w:rsid w:val="00256EDD"/>
    <w:rsid w:val="002628A5"/>
    <w:rsid w:val="00265031"/>
    <w:rsid w:val="0026520C"/>
    <w:rsid w:val="00266277"/>
    <w:rsid w:val="00270009"/>
    <w:rsid w:val="002711ED"/>
    <w:rsid w:val="002723C7"/>
    <w:rsid w:val="00273277"/>
    <w:rsid w:val="00273DA3"/>
    <w:rsid w:val="002764BA"/>
    <w:rsid w:val="00277272"/>
    <w:rsid w:val="002807AD"/>
    <w:rsid w:val="00282D8F"/>
    <w:rsid w:val="00283163"/>
    <w:rsid w:val="0028403E"/>
    <w:rsid w:val="00284C12"/>
    <w:rsid w:val="0028617E"/>
    <w:rsid w:val="00286834"/>
    <w:rsid w:val="00286FAD"/>
    <w:rsid w:val="0029247F"/>
    <w:rsid w:val="0029290B"/>
    <w:rsid w:val="002930DB"/>
    <w:rsid w:val="00295636"/>
    <w:rsid w:val="002969F8"/>
    <w:rsid w:val="00296DBA"/>
    <w:rsid w:val="00297358"/>
    <w:rsid w:val="002A153A"/>
    <w:rsid w:val="002A29CE"/>
    <w:rsid w:val="002A2A80"/>
    <w:rsid w:val="002A6417"/>
    <w:rsid w:val="002A6631"/>
    <w:rsid w:val="002B282F"/>
    <w:rsid w:val="002B3689"/>
    <w:rsid w:val="002B45AD"/>
    <w:rsid w:val="002B4B30"/>
    <w:rsid w:val="002B4F96"/>
    <w:rsid w:val="002B56DF"/>
    <w:rsid w:val="002B79E1"/>
    <w:rsid w:val="002B7D1F"/>
    <w:rsid w:val="002C004E"/>
    <w:rsid w:val="002C1969"/>
    <w:rsid w:val="002C352C"/>
    <w:rsid w:val="002C3CAC"/>
    <w:rsid w:val="002C441F"/>
    <w:rsid w:val="002C4D8A"/>
    <w:rsid w:val="002C756C"/>
    <w:rsid w:val="002C7A63"/>
    <w:rsid w:val="002D00EA"/>
    <w:rsid w:val="002D06BB"/>
    <w:rsid w:val="002D2B71"/>
    <w:rsid w:val="002D413A"/>
    <w:rsid w:val="002D643D"/>
    <w:rsid w:val="002D6514"/>
    <w:rsid w:val="002D7211"/>
    <w:rsid w:val="002E320B"/>
    <w:rsid w:val="002E4348"/>
    <w:rsid w:val="002E5AEA"/>
    <w:rsid w:val="002E67C5"/>
    <w:rsid w:val="002E7BC2"/>
    <w:rsid w:val="002F1C33"/>
    <w:rsid w:val="002F2416"/>
    <w:rsid w:val="002F2DB4"/>
    <w:rsid w:val="002F47DB"/>
    <w:rsid w:val="002F63BB"/>
    <w:rsid w:val="002F6C10"/>
    <w:rsid w:val="002F6DBB"/>
    <w:rsid w:val="002F6EF8"/>
    <w:rsid w:val="002F701E"/>
    <w:rsid w:val="003001AC"/>
    <w:rsid w:val="00300303"/>
    <w:rsid w:val="00302F9F"/>
    <w:rsid w:val="00303EC5"/>
    <w:rsid w:val="00304386"/>
    <w:rsid w:val="00307469"/>
    <w:rsid w:val="00312164"/>
    <w:rsid w:val="00312203"/>
    <w:rsid w:val="00312A01"/>
    <w:rsid w:val="00312B8F"/>
    <w:rsid w:val="0031560E"/>
    <w:rsid w:val="00315AB7"/>
    <w:rsid w:val="00321E05"/>
    <w:rsid w:val="00322FD9"/>
    <w:rsid w:val="00323F84"/>
    <w:rsid w:val="00326B54"/>
    <w:rsid w:val="00331B41"/>
    <w:rsid w:val="0033366E"/>
    <w:rsid w:val="00334E97"/>
    <w:rsid w:val="0033718D"/>
    <w:rsid w:val="003373C2"/>
    <w:rsid w:val="003401FE"/>
    <w:rsid w:val="00340A7A"/>
    <w:rsid w:val="003417F0"/>
    <w:rsid w:val="00341835"/>
    <w:rsid w:val="00341924"/>
    <w:rsid w:val="00341ECA"/>
    <w:rsid w:val="003445AA"/>
    <w:rsid w:val="003446E3"/>
    <w:rsid w:val="00344791"/>
    <w:rsid w:val="00346ACB"/>
    <w:rsid w:val="00350A47"/>
    <w:rsid w:val="003535D2"/>
    <w:rsid w:val="00356B57"/>
    <w:rsid w:val="0036125C"/>
    <w:rsid w:val="003637C4"/>
    <w:rsid w:val="00363D0D"/>
    <w:rsid w:val="00377CD3"/>
    <w:rsid w:val="00381DFA"/>
    <w:rsid w:val="003825A4"/>
    <w:rsid w:val="0038787B"/>
    <w:rsid w:val="00387D0F"/>
    <w:rsid w:val="00390B86"/>
    <w:rsid w:val="00390DCF"/>
    <w:rsid w:val="00392D65"/>
    <w:rsid w:val="00396821"/>
    <w:rsid w:val="00397F95"/>
    <w:rsid w:val="003A06BB"/>
    <w:rsid w:val="003A2944"/>
    <w:rsid w:val="003A5040"/>
    <w:rsid w:val="003B0DEF"/>
    <w:rsid w:val="003B712F"/>
    <w:rsid w:val="003B7185"/>
    <w:rsid w:val="003C01B5"/>
    <w:rsid w:val="003C12E6"/>
    <w:rsid w:val="003C2074"/>
    <w:rsid w:val="003C2C44"/>
    <w:rsid w:val="003C335A"/>
    <w:rsid w:val="003C3971"/>
    <w:rsid w:val="003C3ADB"/>
    <w:rsid w:val="003C4F6C"/>
    <w:rsid w:val="003C611C"/>
    <w:rsid w:val="003C6749"/>
    <w:rsid w:val="003C6AE8"/>
    <w:rsid w:val="003C702D"/>
    <w:rsid w:val="003C7207"/>
    <w:rsid w:val="003D0670"/>
    <w:rsid w:val="003D09D7"/>
    <w:rsid w:val="003D0E4A"/>
    <w:rsid w:val="003D0E7D"/>
    <w:rsid w:val="003D11B5"/>
    <w:rsid w:val="003D134C"/>
    <w:rsid w:val="003D4164"/>
    <w:rsid w:val="003D4BD3"/>
    <w:rsid w:val="003D50C3"/>
    <w:rsid w:val="003D69A5"/>
    <w:rsid w:val="003D6F07"/>
    <w:rsid w:val="003D6FFB"/>
    <w:rsid w:val="003E14F9"/>
    <w:rsid w:val="003F17D5"/>
    <w:rsid w:val="003F1D2B"/>
    <w:rsid w:val="003F309F"/>
    <w:rsid w:val="003F3119"/>
    <w:rsid w:val="003F4E8A"/>
    <w:rsid w:val="003F6D32"/>
    <w:rsid w:val="0040085D"/>
    <w:rsid w:val="004077AE"/>
    <w:rsid w:val="00407B6E"/>
    <w:rsid w:val="00411760"/>
    <w:rsid w:val="00413A53"/>
    <w:rsid w:val="004161D4"/>
    <w:rsid w:val="0041633C"/>
    <w:rsid w:val="00417723"/>
    <w:rsid w:val="0041784E"/>
    <w:rsid w:val="00417922"/>
    <w:rsid w:val="00417F88"/>
    <w:rsid w:val="004208F0"/>
    <w:rsid w:val="00421EA9"/>
    <w:rsid w:val="00424512"/>
    <w:rsid w:val="004266E5"/>
    <w:rsid w:val="0042703E"/>
    <w:rsid w:val="00430B5A"/>
    <w:rsid w:val="00431C20"/>
    <w:rsid w:val="004344F0"/>
    <w:rsid w:val="00434F58"/>
    <w:rsid w:val="0044207D"/>
    <w:rsid w:val="004429ED"/>
    <w:rsid w:val="004439E2"/>
    <w:rsid w:val="00447FE5"/>
    <w:rsid w:val="00451231"/>
    <w:rsid w:val="004526D3"/>
    <w:rsid w:val="00452E90"/>
    <w:rsid w:val="00455758"/>
    <w:rsid w:val="00456D35"/>
    <w:rsid w:val="00457CF2"/>
    <w:rsid w:val="0046018B"/>
    <w:rsid w:val="004604D7"/>
    <w:rsid w:val="00460FAC"/>
    <w:rsid w:val="004610DA"/>
    <w:rsid w:val="004617B8"/>
    <w:rsid w:val="00462A87"/>
    <w:rsid w:val="00463C78"/>
    <w:rsid w:val="00463CA6"/>
    <w:rsid w:val="00463E5F"/>
    <w:rsid w:val="00464D59"/>
    <w:rsid w:val="0046504E"/>
    <w:rsid w:val="00467620"/>
    <w:rsid w:val="00467C7C"/>
    <w:rsid w:val="0047166A"/>
    <w:rsid w:val="004758FE"/>
    <w:rsid w:val="0047635A"/>
    <w:rsid w:val="00476C17"/>
    <w:rsid w:val="00480836"/>
    <w:rsid w:val="004830C8"/>
    <w:rsid w:val="004837AB"/>
    <w:rsid w:val="00483A2F"/>
    <w:rsid w:val="004865F9"/>
    <w:rsid w:val="00486ECC"/>
    <w:rsid w:val="00490DBF"/>
    <w:rsid w:val="004910BB"/>
    <w:rsid w:val="00491C25"/>
    <w:rsid w:val="00491F16"/>
    <w:rsid w:val="0049357E"/>
    <w:rsid w:val="00494396"/>
    <w:rsid w:val="00494840"/>
    <w:rsid w:val="0049739C"/>
    <w:rsid w:val="004A128C"/>
    <w:rsid w:val="004A1C13"/>
    <w:rsid w:val="004A1DD4"/>
    <w:rsid w:val="004A3964"/>
    <w:rsid w:val="004A4ECE"/>
    <w:rsid w:val="004A5929"/>
    <w:rsid w:val="004A5E72"/>
    <w:rsid w:val="004A6EE1"/>
    <w:rsid w:val="004B0107"/>
    <w:rsid w:val="004B07EC"/>
    <w:rsid w:val="004B1BEC"/>
    <w:rsid w:val="004B1BEE"/>
    <w:rsid w:val="004B2AB8"/>
    <w:rsid w:val="004B5B9E"/>
    <w:rsid w:val="004C0E5D"/>
    <w:rsid w:val="004C3F61"/>
    <w:rsid w:val="004D05B1"/>
    <w:rsid w:val="004D1293"/>
    <w:rsid w:val="004D1ADE"/>
    <w:rsid w:val="004D770C"/>
    <w:rsid w:val="004E0D21"/>
    <w:rsid w:val="004E1A93"/>
    <w:rsid w:val="004E370E"/>
    <w:rsid w:val="004E7442"/>
    <w:rsid w:val="004E7EAE"/>
    <w:rsid w:val="004F2563"/>
    <w:rsid w:val="004F31BC"/>
    <w:rsid w:val="004F4387"/>
    <w:rsid w:val="004F5D59"/>
    <w:rsid w:val="004F6F82"/>
    <w:rsid w:val="005000FC"/>
    <w:rsid w:val="00502EBB"/>
    <w:rsid w:val="005056D6"/>
    <w:rsid w:val="00507610"/>
    <w:rsid w:val="00510BF5"/>
    <w:rsid w:val="00510EDC"/>
    <w:rsid w:val="00513233"/>
    <w:rsid w:val="005148D1"/>
    <w:rsid w:val="00515597"/>
    <w:rsid w:val="00515A5B"/>
    <w:rsid w:val="005204A7"/>
    <w:rsid w:val="00521BA7"/>
    <w:rsid w:val="005227FC"/>
    <w:rsid w:val="005237BA"/>
    <w:rsid w:val="00524924"/>
    <w:rsid w:val="005252E2"/>
    <w:rsid w:val="005268CB"/>
    <w:rsid w:val="00530C01"/>
    <w:rsid w:val="0053325A"/>
    <w:rsid w:val="00535C6F"/>
    <w:rsid w:val="00535D5D"/>
    <w:rsid w:val="005379AD"/>
    <w:rsid w:val="0054595C"/>
    <w:rsid w:val="00546341"/>
    <w:rsid w:val="00546920"/>
    <w:rsid w:val="00546A42"/>
    <w:rsid w:val="0054785D"/>
    <w:rsid w:val="005505C3"/>
    <w:rsid w:val="005511D5"/>
    <w:rsid w:val="00552A39"/>
    <w:rsid w:val="00552C4D"/>
    <w:rsid w:val="0055492B"/>
    <w:rsid w:val="00554A31"/>
    <w:rsid w:val="005609D5"/>
    <w:rsid w:val="00563974"/>
    <w:rsid w:val="00565145"/>
    <w:rsid w:val="005678B1"/>
    <w:rsid w:val="005716A8"/>
    <w:rsid w:val="00571A94"/>
    <w:rsid w:val="005725CA"/>
    <w:rsid w:val="005727F6"/>
    <w:rsid w:val="00575DC6"/>
    <w:rsid w:val="00575FF2"/>
    <w:rsid w:val="005760C8"/>
    <w:rsid w:val="00577CD4"/>
    <w:rsid w:val="005820AB"/>
    <w:rsid w:val="00585FB5"/>
    <w:rsid w:val="00587D22"/>
    <w:rsid w:val="00590EE1"/>
    <w:rsid w:val="00591586"/>
    <w:rsid w:val="005929DC"/>
    <w:rsid w:val="00592DB1"/>
    <w:rsid w:val="00595363"/>
    <w:rsid w:val="00595A2B"/>
    <w:rsid w:val="005A006F"/>
    <w:rsid w:val="005A17D2"/>
    <w:rsid w:val="005A3C39"/>
    <w:rsid w:val="005A5E4A"/>
    <w:rsid w:val="005A7787"/>
    <w:rsid w:val="005A7E8F"/>
    <w:rsid w:val="005B02E6"/>
    <w:rsid w:val="005B04FB"/>
    <w:rsid w:val="005B5766"/>
    <w:rsid w:val="005B7357"/>
    <w:rsid w:val="005B77BE"/>
    <w:rsid w:val="005C0309"/>
    <w:rsid w:val="005C1D36"/>
    <w:rsid w:val="005C5055"/>
    <w:rsid w:val="005C5B7C"/>
    <w:rsid w:val="005C673B"/>
    <w:rsid w:val="005D1E09"/>
    <w:rsid w:val="005D2BF2"/>
    <w:rsid w:val="005D4CDB"/>
    <w:rsid w:val="005D5105"/>
    <w:rsid w:val="005E247C"/>
    <w:rsid w:val="005E2E13"/>
    <w:rsid w:val="005E3D4F"/>
    <w:rsid w:val="005E7BBC"/>
    <w:rsid w:val="005F029C"/>
    <w:rsid w:val="005F08FA"/>
    <w:rsid w:val="005F12C4"/>
    <w:rsid w:val="005F12D3"/>
    <w:rsid w:val="005F16DD"/>
    <w:rsid w:val="005F19B1"/>
    <w:rsid w:val="005F3319"/>
    <w:rsid w:val="005F42ED"/>
    <w:rsid w:val="005F4324"/>
    <w:rsid w:val="005F5D14"/>
    <w:rsid w:val="005F5D19"/>
    <w:rsid w:val="005F65B9"/>
    <w:rsid w:val="005F6CBF"/>
    <w:rsid w:val="005F6FFB"/>
    <w:rsid w:val="006005BB"/>
    <w:rsid w:val="006005DC"/>
    <w:rsid w:val="00600E42"/>
    <w:rsid w:val="006018AA"/>
    <w:rsid w:val="00603C7F"/>
    <w:rsid w:val="00604CF2"/>
    <w:rsid w:val="006100F4"/>
    <w:rsid w:val="00611C06"/>
    <w:rsid w:val="00612550"/>
    <w:rsid w:val="00612D14"/>
    <w:rsid w:val="00612D4B"/>
    <w:rsid w:val="006135E6"/>
    <w:rsid w:val="00614771"/>
    <w:rsid w:val="0061747D"/>
    <w:rsid w:val="006253B7"/>
    <w:rsid w:val="006271CB"/>
    <w:rsid w:val="006276B8"/>
    <w:rsid w:val="00632E10"/>
    <w:rsid w:val="00632E92"/>
    <w:rsid w:val="00632EA5"/>
    <w:rsid w:val="00635CBC"/>
    <w:rsid w:val="00637F5E"/>
    <w:rsid w:val="00644F4B"/>
    <w:rsid w:val="00644F52"/>
    <w:rsid w:val="00645FCF"/>
    <w:rsid w:val="006461BC"/>
    <w:rsid w:val="00647AA7"/>
    <w:rsid w:val="006517C3"/>
    <w:rsid w:val="006520A9"/>
    <w:rsid w:val="006525FD"/>
    <w:rsid w:val="00653B17"/>
    <w:rsid w:val="00653ECE"/>
    <w:rsid w:val="00654483"/>
    <w:rsid w:val="00655EAE"/>
    <w:rsid w:val="006563B5"/>
    <w:rsid w:val="0065701C"/>
    <w:rsid w:val="006604A6"/>
    <w:rsid w:val="00662792"/>
    <w:rsid w:val="006631E8"/>
    <w:rsid w:val="00664620"/>
    <w:rsid w:val="00664EDD"/>
    <w:rsid w:val="00667868"/>
    <w:rsid w:val="006700A4"/>
    <w:rsid w:val="00671B54"/>
    <w:rsid w:val="0067265E"/>
    <w:rsid w:val="00673DB8"/>
    <w:rsid w:val="00673E73"/>
    <w:rsid w:val="006754AC"/>
    <w:rsid w:val="00675BFE"/>
    <w:rsid w:val="00676722"/>
    <w:rsid w:val="0067691D"/>
    <w:rsid w:val="006818B6"/>
    <w:rsid w:val="006824B8"/>
    <w:rsid w:val="0068288E"/>
    <w:rsid w:val="006832D2"/>
    <w:rsid w:val="006843B8"/>
    <w:rsid w:val="006852EB"/>
    <w:rsid w:val="00687167"/>
    <w:rsid w:val="006929BA"/>
    <w:rsid w:val="00692ABF"/>
    <w:rsid w:val="00692BBD"/>
    <w:rsid w:val="00693313"/>
    <w:rsid w:val="0069332A"/>
    <w:rsid w:val="00694209"/>
    <w:rsid w:val="00697056"/>
    <w:rsid w:val="00697718"/>
    <w:rsid w:val="00697A99"/>
    <w:rsid w:val="006A1226"/>
    <w:rsid w:val="006A172E"/>
    <w:rsid w:val="006A2035"/>
    <w:rsid w:val="006A3329"/>
    <w:rsid w:val="006A35E4"/>
    <w:rsid w:val="006A7743"/>
    <w:rsid w:val="006A7E26"/>
    <w:rsid w:val="006B13E2"/>
    <w:rsid w:val="006B150B"/>
    <w:rsid w:val="006B1785"/>
    <w:rsid w:val="006B317D"/>
    <w:rsid w:val="006B45AB"/>
    <w:rsid w:val="006B67E2"/>
    <w:rsid w:val="006B6C6A"/>
    <w:rsid w:val="006B7F25"/>
    <w:rsid w:val="006C15D5"/>
    <w:rsid w:val="006C1C02"/>
    <w:rsid w:val="006C234F"/>
    <w:rsid w:val="006C2D0C"/>
    <w:rsid w:val="006C375B"/>
    <w:rsid w:val="006C3D0C"/>
    <w:rsid w:val="006C483E"/>
    <w:rsid w:val="006C533B"/>
    <w:rsid w:val="006C53D0"/>
    <w:rsid w:val="006C562A"/>
    <w:rsid w:val="006C5955"/>
    <w:rsid w:val="006C5EBD"/>
    <w:rsid w:val="006D0131"/>
    <w:rsid w:val="006D12BD"/>
    <w:rsid w:val="006D1375"/>
    <w:rsid w:val="006D2335"/>
    <w:rsid w:val="006D2BE9"/>
    <w:rsid w:val="006D3570"/>
    <w:rsid w:val="006D3624"/>
    <w:rsid w:val="006D39A8"/>
    <w:rsid w:val="006D4391"/>
    <w:rsid w:val="006D4A25"/>
    <w:rsid w:val="006D519D"/>
    <w:rsid w:val="006D61A8"/>
    <w:rsid w:val="006E0BE4"/>
    <w:rsid w:val="006E13EF"/>
    <w:rsid w:val="006E140C"/>
    <w:rsid w:val="006E20AA"/>
    <w:rsid w:val="006E4EE7"/>
    <w:rsid w:val="006E65C2"/>
    <w:rsid w:val="006E7418"/>
    <w:rsid w:val="006F248F"/>
    <w:rsid w:val="006F31BC"/>
    <w:rsid w:val="006F3802"/>
    <w:rsid w:val="006F39D0"/>
    <w:rsid w:val="006F3B66"/>
    <w:rsid w:val="006F4E05"/>
    <w:rsid w:val="006F4E88"/>
    <w:rsid w:val="006F64D1"/>
    <w:rsid w:val="006F661B"/>
    <w:rsid w:val="006F7746"/>
    <w:rsid w:val="006F77AE"/>
    <w:rsid w:val="00700E33"/>
    <w:rsid w:val="00702DAA"/>
    <w:rsid w:val="0070582B"/>
    <w:rsid w:val="007066FB"/>
    <w:rsid w:val="00707A9D"/>
    <w:rsid w:val="00710BD2"/>
    <w:rsid w:val="00710FD2"/>
    <w:rsid w:val="00711157"/>
    <w:rsid w:val="007119E2"/>
    <w:rsid w:val="00714800"/>
    <w:rsid w:val="00715B7E"/>
    <w:rsid w:val="00715F0D"/>
    <w:rsid w:val="00717930"/>
    <w:rsid w:val="00720A28"/>
    <w:rsid w:val="0072152F"/>
    <w:rsid w:val="00721C21"/>
    <w:rsid w:val="007229FD"/>
    <w:rsid w:val="00730CDB"/>
    <w:rsid w:val="007323E9"/>
    <w:rsid w:val="00736945"/>
    <w:rsid w:val="00736C89"/>
    <w:rsid w:val="00741408"/>
    <w:rsid w:val="00741707"/>
    <w:rsid w:val="0074177D"/>
    <w:rsid w:val="00741965"/>
    <w:rsid w:val="00742ADC"/>
    <w:rsid w:val="0074421C"/>
    <w:rsid w:val="00745744"/>
    <w:rsid w:val="0074592A"/>
    <w:rsid w:val="00745A21"/>
    <w:rsid w:val="007464B2"/>
    <w:rsid w:val="00746876"/>
    <w:rsid w:val="0075032A"/>
    <w:rsid w:val="00750C12"/>
    <w:rsid w:val="00752A7D"/>
    <w:rsid w:val="00754433"/>
    <w:rsid w:val="00755996"/>
    <w:rsid w:val="00763652"/>
    <w:rsid w:val="00763A36"/>
    <w:rsid w:val="00764602"/>
    <w:rsid w:val="00764BF7"/>
    <w:rsid w:val="00764EA5"/>
    <w:rsid w:val="007650D8"/>
    <w:rsid w:val="00766030"/>
    <w:rsid w:val="00766CBE"/>
    <w:rsid w:val="00767030"/>
    <w:rsid w:val="00767B80"/>
    <w:rsid w:val="00770D7D"/>
    <w:rsid w:val="00770E2C"/>
    <w:rsid w:val="00771030"/>
    <w:rsid w:val="00772497"/>
    <w:rsid w:val="007745AE"/>
    <w:rsid w:val="007754C3"/>
    <w:rsid w:val="0077638E"/>
    <w:rsid w:val="007768FE"/>
    <w:rsid w:val="00780C18"/>
    <w:rsid w:val="00783079"/>
    <w:rsid w:val="00787284"/>
    <w:rsid w:val="007902C3"/>
    <w:rsid w:val="00790BB8"/>
    <w:rsid w:val="00791377"/>
    <w:rsid w:val="007915BB"/>
    <w:rsid w:val="00795C86"/>
    <w:rsid w:val="007A01A1"/>
    <w:rsid w:val="007A0B25"/>
    <w:rsid w:val="007A395D"/>
    <w:rsid w:val="007A45E7"/>
    <w:rsid w:val="007A5D42"/>
    <w:rsid w:val="007A7263"/>
    <w:rsid w:val="007A73BE"/>
    <w:rsid w:val="007B1754"/>
    <w:rsid w:val="007B4AAA"/>
    <w:rsid w:val="007B5AE5"/>
    <w:rsid w:val="007C6431"/>
    <w:rsid w:val="007C6894"/>
    <w:rsid w:val="007D02F0"/>
    <w:rsid w:val="007D0D1E"/>
    <w:rsid w:val="007D2E00"/>
    <w:rsid w:val="007D3035"/>
    <w:rsid w:val="007D35C4"/>
    <w:rsid w:val="007D3B8C"/>
    <w:rsid w:val="007D5652"/>
    <w:rsid w:val="007D57EF"/>
    <w:rsid w:val="007D6205"/>
    <w:rsid w:val="007D62C7"/>
    <w:rsid w:val="007D66B6"/>
    <w:rsid w:val="007D6B53"/>
    <w:rsid w:val="007D6D97"/>
    <w:rsid w:val="007D7ABE"/>
    <w:rsid w:val="007E001D"/>
    <w:rsid w:val="007F1B9C"/>
    <w:rsid w:val="007F2142"/>
    <w:rsid w:val="007F5F0C"/>
    <w:rsid w:val="007F6028"/>
    <w:rsid w:val="007F63BA"/>
    <w:rsid w:val="007F7AC6"/>
    <w:rsid w:val="008007EE"/>
    <w:rsid w:val="008012DE"/>
    <w:rsid w:val="00803061"/>
    <w:rsid w:val="008057D4"/>
    <w:rsid w:val="00805AB4"/>
    <w:rsid w:val="00807EEE"/>
    <w:rsid w:val="008103E9"/>
    <w:rsid w:val="00811110"/>
    <w:rsid w:val="00811DAC"/>
    <w:rsid w:val="0081329F"/>
    <w:rsid w:val="008135F4"/>
    <w:rsid w:val="00813893"/>
    <w:rsid w:val="00813F60"/>
    <w:rsid w:val="00814330"/>
    <w:rsid w:val="0082266E"/>
    <w:rsid w:val="008234E2"/>
    <w:rsid w:val="00823927"/>
    <w:rsid w:val="00824361"/>
    <w:rsid w:val="008243E2"/>
    <w:rsid w:val="008250B0"/>
    <w:rsid w:val="00825FD3"/>
    <w:rsid w:val="00826793"/>
    <w:rsid w:val="0083146F"/>
    <w:rsid w:val="008322B1"/>
    <w:rsid w:val="008327EE"/>
    <w:rsid w:val="008331BA"/>
    <w:rsid w:val="00833F8E"/>
    <w:rsid w:val="0083539E"/>
    <w:rsid w:val="00836E22"/>
    <w:rsid w:val="00836E71"/>
    <w:rsid w:val="00837EBE"/>
    <w:rsid w:val="00842E74"/>
    <w:rsid w:val="00843BE5"/>
    <w:rsid w:val="00844E88"/>
    <w:rsid w:val="008532D8"/>
    <w:rsid w:val="008535C9"/>
    <w:rsid w:val="008543FB"/>
    <w:rsid w:val="008546FE"/>
    <w:rsid w:val="008561E0"/>
    <w:rsid w:val="00856B64"/>
    <w:rsid w:val="00860A39"/>
    <w:rsid w:val="0086177D"/>
    <w:rsid w:val="00862463"/>
    <w:rsid w:val="00863DD9"/>
    <w:rsid w:val="00865960"/>
    <w:rsid w:val="00866446"/>
    <w:rsid w:val="008665FF"/>
    <w:rsid w:val="0086741B"/>
    <w:rsid w:val="00870933"/>
    <w:rsid w:val="00870B16"/>
    <w:rsid w:val="00870E92"/>
    <w:rsid w:val="00871568"/>
    <w:rsid w:val="00872D25"/>
    <w:rsid w:val="00874E17"/>
    <w:rsid w:val="0087510D"/>
    <w:rsid w:val="00876A87"/>
    <w:rsid w:val="0087712D"/>
    <w:rsid w:val="00881CD2"/>
    <w:rsid w:val="00882A05"/>
    <w:rsid w:val="00884103"/>
    <w:rsid w:val="00885C88"/>
    <w:rsid w:val="00886E66"/>
    <w:rsid w:val="00886F29"/>
    <w:rsid w:val="00887704"/>
    <w:rsid w:val="00887A55"/>
    <w:rsid w:val="00887AE5"/>
    <w:rsid w:val="00890B23"/>
    <w:rsid w:val="008917A3"/>
    <w:rsid w:val="00891A49"/>
    <w:rsid w:val="00892CC1"/>
    <w:rsid w:val="0089319F"/>
    <w:rsid w:val="00897DAB"/>
    <w:rsid w:val="008A0633"/>
    <w:rsid w:val="008A275F"/>
    <w:rsid w:val="008A3386"/>
    <w:rsid w:val="008A53F2"/>
    <w:rsid w:val="008A5766"/>
    <w:rsid w:val="008A63B7"/>
    <w:rsid w:val="008B09B1"/>
    <w:rsid w:val="008B6430"/>
    <w:rsid w:val="008B66F0"/>
    <w:rsid w:val="008B727C"/>
    <w:rsid w:val="008B7A53"/>
    <w:rsid w:val="008C24B6"/>
    <w:rsid w:val="008C38C5"/>
    <w:rsid w:val="008C3ACC"/>
    <w:rsid w:val="008C3FB6"/>
    <w:rsid w:val="008C487C"/>
    <w:rsid w:val="008C4C28"/>
    <w:rsid w:val="008D11E3"/>
    <w:rsid w:val="008D28AD"/>
    <w:rsid w:val="008D3473"/>
    <w:rsid w:val="008D539C"/>
    <w:rsid w:val="008D575A"/>
    <w:rsid w:val="008D7A9D"/>
    <w:rsid w:val="008E034E"/>
    <w:rsid w:val="008E0FCC"/>
    <w:rsid w:val="008E21A3"/>
    <w:rsid w:val="008E2FE3"/>
    <w:rsid w:val="008E3012"/>
    <w:rsid w:val="008E5698"/>
    <w:rsid w:val="008E5F34"/>
    <w:rsid w:val="008E6B88"/>
    <w:rsid w:val="008E7D3F"/>
    <w:rsid w:val="008F00CF"/>
    <w:rsid w:val="008F0E10"/>
    <w:rsid w:val="008F2267"/>
    <w:rsid w:val="008F2F63"/>
    <w:rsid w:val="008F3EE2"/>
    <w:rsid w:val="008F4B08"/>
    <w:rsid w:val="008F51F6"/>
    <w:rsid w:val="008F5D4C"/>
    <w:rsid w:val="008F6030"/>
    <w:rsid w:val="008F67FD"/>
    <w:rsid w:val="008F6D40"/>
    <w:rsid w:val="009008B3"/>
    <w:rsid w:val="00903844"/>
    <w:rsid w:val="00903E02"/>
    <w:rsid w:val="00904226"/>
    <w:rsid w:val="0090575E"/>
    <w:rsid w:val="00905A7E"/>
    <w:rsid w:val="00905B18"/>
    <w:rsid w:val="00905B2F"/>
    <w:rsid w:val="00907300"/>
    <w:rsid w:val="00907C59"/>
    <w:rsid w:val="00914F0A"/>
    <w:rsid w:val="009211CB"/>
    <w:rsid w:val="009231E0"/>
    <w:rsid w:val="00923548"/>
    <w:rsid w:val="00923B70"/>
    <w:rsid w:val="00925293"/>
    <w:rsid w:val="00926241"/>
    <w:rsid w:val="00926B0D"/>
    <w:rsid w:val="00926B62"/>
    <w:rsid w:val="00930B6C"/>
    <w:rsid w:val="00930E4B"/>
    <w:rsid w:val="00931485"/>
    <w:rsid w:val="00942C91"/>
    <w:rsid w:val="00942F7D"/>
    <w:rsid w:val="009436DA"/>
    <w:rsid w:val="00943862"/>
    <w:rsid w:val="0094508D"/>
    <w:rsid w:val="00945F32"/>
    <w:rsid w:val="00946E85"/>
    <w:rsid w:val="0094787E"/>
    <w:rsid w:val="00947C5C"/>
    <w:rsid w:val="009506A7"/>
    <w:rsid w:val="00950763"/>
    <w:rsid w:val="0095113A"/>
    <w:rsid w:val="00952E50"/>
    <w:rsid w:val="00954CF5"/>
    <w:rsid w:val="00955D20"/>
    <w:rsid w:val="00956630"/>
    <w:rsid w:val="00956F78"/>
    <w:rsid w:val="009605FA"/>
    <w:rsid w:val="0096368F"/>
    <w:rsid w:val="009646AE"/>
    <w:rsid w:val="00964883"/>
    <w:rsid w:val="0096502A"/>
    <w:rsid w:val="0096646C"/>
    <w:rsid w:val="00966BE5"/>
    <w:rsid w:val="00967230"/>
    <w:rsid w:val="00967BCD"/>
    <w:rsid w:val="00970176"/>
    <w:rsid w:val="00972087"/>
    <w:rsid w:val="00972C13"/>
    <w:rsid w:val="0097420F"/>
    <w:rsid w:val="0097456D"/>
    <w:rsid w:val="00974A47"/>
    <w:rsid w:val="00976BF4"/>
    <w:rsid w:val="00980920"/>
    <w:rsid w:val="009812D7"/>
    <w:rsid w:val="00982E99"/>
    <w:rsid w:val="009841EF"/>
    <w:rsid w:val="00990391"/>
    <w:rsid w:val="00992151"/>
    <w:rsid w:val="00993220"/>
    <w:rsid w:val="009947D1"/>
    <w:rsid w:val="00994B40"/>
    <w:rsid w:val="00996159"/>
    <w:rsid w:val="009961B3"/>
    <w:rsid w:val="009A12B9"/>
    <w:rsid w:val="009A3AC9"/>
    <w:rsid w:val="009A3C25"/>
    <w:rsid w:val="009A4BF0"/>
    <w:rsid w:val="009A5714"/>
    <w:rsid w:val="009A5DA7"/>
    <w:rsid w:val="009B0CF0"/>
    <w:rsid w:val="009B1AEC"/>
    <w:rsid w:val="009B2E1A"/>
    <w:rsid w:val="009B326F"/>
    <w:rsid w:val="009B4506"/>
    <w:rsid w:val="009B65A2"/>
    <w:rsid w:val="009B7329"/>
    <w:rsid w:val="009B78F8"/>
    <w:rsid w:val="009C0F6B"/>
    <w:rsid w:val="009C1FFE"/>
    <w:rsid w:val="009C27A9"/>
    <w:rsid w:val="009C3485"/>
    <w:rsid w:val="009C68EF"/>
    <w:rsid w:val="009C6F83"/>
    <w:rsid w:val="009D11B7"/>
    <w:rsid w:val="009D16ED"/>
    <w:rsid w:val="009D1D57"/>
    <w:rsid w:val="009D4F8F"/>
    <w:rsid w:val="009D79AA"/>
    <w:rsid w:val="009E2544"/>
    <w:rsid w:val="009E2770"/>
    <w:rsid w:val="009E467C"/>
    <w:rsid w:val="009E4710"/>
    <w:rsid w:val="009E4A43"/>
    <w:rsid w:val="009E6225"/>
    <w:rsid w:val="009F0069"/>
    <w:rsid w:val="009F2261"/>
    <w:rsid w:val="009F2933"/>
    <w:rsid w:val="009F3537"/>
    <w:rsid w:val="009F6ADC"/>
    <w:rsid w:val="009F6BF1"/>
    <w:rsid w:val="009F78A4"/>
    <w:rsid w:val="009F796E"/>
    <w:rsid w:val="00A00D59"/>
    <w:rsid w:val="00A019A5"/>
    <w:rsid w:val="00A032F8"/>
    <w:rsid w:val="00A04A6A"/>
    <w:rsid w:val="00A10347"/>
    <w:rsid w:val="00A12DBA"/>
    <w:rsid w:val="00A13B60"/>
    <w:rsid w:val="00A148CF"/>
    <w:rsid w:val="00A14C36"/>
    <w:rsid w:val="00A158AB"/>
    <w:rsid w:val="00A24DBA"/>
    <w:rsid w:val="00A24F53"/>
    <w:rsid w:val="00A25657"/>
    <w:rsid w:val="00A262AF"/>
    <w:rsid w:val="00A2731B"/>
    <w:rsid w:val="00A304BE"/>
    <w:rsid w:val="00A329B6"/>
    <w:rsid w:val="00A367A1"/>
    <w:rsid w:val="00A40178"/>
    <w:rsid w:val="00A415D2"/>
    <w:rsid w:val="00A44EF8"/>
    <w:rsid w:val="00A460BA"/>
    <w:rsid w:val="00A46CF8"/>
    <w:rsid w:val="00A46FE1"/>
    <w:rsid w:val="00A510F6"/>
    <w:rsid w:val="00A54828"/>
    <w:rsid w:val="00A57F74"/>
    <w:rsid w:val="00A57F88"/>
    <w:rsid w:val="00A61A04"/>
    <w:rsid w:val="00A62588"/>
    <w:rsid w:val="00A627B3"/>
    <w:rsid w:val="00A648E0"/>
    <w:rsid w:val="00A651C9"/>
    <w:rsid w:val="00A67D0F"/>
    <w:rsid w:val="00A70E2D"/>
    <w:rsid w:val="00A72F24"/>
    <w:rsid w:val="00A73161"/>
    <w:rsid w:val="00A740E7"/>
    <w:rsid w:val="00A74621"/>
    <w:rsid w:val="00A80739"/>
    <w:rsid w:val="00A83829"/>
    <w:rsid w:val="00A862C0"/>
    <w:rsid w:val="00A862CB"/>
    <w:rsid w:val="00A87EE1"/>
    <w:rsid w:val="00A9000F"/>
    <w:rsid w:val="00A906FE"/>
    <w:rsid w:val="00A91A20"/>
    <w:rsid w:val="00A9229F"/>
    <w:rsid w:val="00A92B47"/>
    <w:rsid w:val="00A944AC"/>
    <w:rsid w:val="00A94D81"/>
    <w:rsid w:val="00A95100"/>
    <w:rsid w:val="00A97A15"/>
    <w:rsid w:val="00AA0652"/>
    <w:rsid w:val="00AA1162"/>
    <w:rsid w:val="00AA2A39"/>
    <w:rsid w:val="00AA2C16"/>
    <w:rsid w:val="00AA2F3B"/>
    <w:rsid w:val="00AA501F"/>
    <w:rsid w:val="00AA5AEE"/>
    <w:rsid w:val="00AA615B"/>
    <w:rsid w:val="00AA6272"/>
    <w:rsid w:val="00AB0DED"/>
    <w:rsid w:val="00AB14AB"/>
    <w:rsid w:val="00AB37A5"/>
    <w:rsid w:val="00AB45BD"/>
    <w:rsid w:val="00AB5263"/>
    <w:rsid w:val="00AC0C81"/>
    <w:rsid w:val="00AC1622"/>
    <w:rsid w:val="00AC1B48"/>
    <w:rsid w:val="00AC29D6"/>
    <w:rsid w:val="00AC3DCF"/>
    <w:rsid w:val="00AC43E7"/>
    <w:rsid w:val="00AC69F6"/>
    <w:rsid w:val="00AC7CE4"/>
    <w:rsid w:val="00AD1E1B"/>
    <w:rsid w:val="00AD2C29"/>
    <w:rsid w:val="00AD4BD5"/>
    <w:rsid w:val="00AD54C3"/>
    <w:rsid w:val="00AD6339"/>
    <w:rsid w:val="00AD7725"/>
    <w:rsid w:val="00AE0018"/>
    <w:rsid w:val="00AE00EC"/>
    <w:rsid w:val="00AE0522"/>
    <w:rsid w:val="00AE668A"/>
    <w:rsid w:val="00AE6858"/>
    <w:rsid w:val="00AE7EF0"/>
    <w:rsid w:val="00AF0A55"/>
    <w:rsid w:val="00AF2EFF"/>
    <w:rsid w:val="00AF3236"/>
    <w:rsid w:val="00AF387F"/>
    <w:rsid w:val="00AF41B6"/>
    <w:rsid w:val="00AF497F"/>
    <w:rsid w:val="00AF5C62"/>
    <w:rsid w:val="00AF643C"/>
    <w:rsid w:val="00AF6B2F"/>
    <w:rsid w:val="00AF7270"/>
    <w:rsid w:val="00AF727E"/>
    <w:rsid w:val="00B00055"/>
    <w:rsid w:val="00B04C69"/>
    <w:rsid w:val="00B07013"/>
    <w:rsid w:val="00B1075A"/>
    <w:rsid w:val="00B11F92"/>
    <w:rsid w:val="00B120A7"/>
    <w:rsid w:val="00B13C71"/>
    <w:rsid w:val="00B14450"/>
    <w:rsid w:val="00B1586E"/>
    <w:rsid w:val="00B16AAC"/>
    <w:rsid w:val="00B17BC5"/>
    <w:rsid w:val="00B2045A"/>
    <w:rsid w:val="00B20582"/>
    <w:rsid w:val="00B2158C"/>
    <w:rsid w:val="00B217CA"/>
    <w:rsid w:val="00B24E57"/>
    <w:rsid w:val="00B26584"/>
    <w:rsid w:val="00B30A67"/>
    <w:rsid w:val="00B30D96"/>
    <w:rsid w:val="00B336AC"/>
    <w:rsid w:val="00B34281"/>
    <w:rsid w:val="00B3678E"/>
    <w:rsid w:val="00B3795F"/>
    <w:rsid w:val="00B4135D"/>
    <w:rsid w:val="00B42262"/>
    <w:rsid w:val="00B425E4"/>
    <w:rsid w:val="00B42B2C"/>
    <w:rsid w:val="00B5123E"/>
    <w:rsid w:val="00B51B58"/>
    <w:rsid w:val="00B522C4"/>
    <w:rsid w:val="00B52B0E"/>
    <w:rsid w:val="00B52FDB"/>
    <w:rsid w:val="00B5337D"/>
    <w:rsid w:val="00B533F4"/>
    <w:rsid w:val="00B5433B"/>
    <w:rsid w:val="00B54444"/>
    <w:rsid w:val="00B566A4"/>
    <w:rsid w:val="00B57E0C"/>
    <w:rsid w:val="00B57FC4"/>
    <w:rsid w:val="00B600E1"/>
    <w:rsid w:val="00B604F8"/>
    <w:rsid w:val="00B62BEA"/>
    <w:rsid w:val="00B63732"/>
    <w:rsid w:val="00B64B90"/>
    <w:rsid w:val="00B65290"/>
    <w:rsid w:val="00B70E26"/>
    <w:rsid w:val="00B71364"/>
    <w:rsid w:val="00B726D5"/>
    <w:rsid w:val="00B72758"/>
    <w:rsid w:val="00B7319C"/>
    <w:rsid w:val="00B7517F"/>
    <w:rsid w:val="00B76871"/>
    <w:rsid w:val="00B80E36"/>
    <w:rsid w:val="00B85AB7"/>
    <w:rsid w:val="00B861DA"/>
    <w:rsid w:val="00B86CB5"/>
    <w:rsid w:val="00B86D58"/>
    <w:rsid w:val="00B8744D"/>
    <w:rsid w:val="00B8745F"/>
    <w:rsid w:val="00B9066A"/>
    <w:rsid w:val="00B90754"/>
    <w:rsid w:val="00B90BBE"/>
    <w:rsid w:val="00B91B78"/>
    <w:rsid w:val="00B93013"/>
    <w:rsid w:val="00B936F7"/>
    <w:rsid w:val="00B9416B"/>
    <w:rsid w:val="00B94FEB"/>
    <w:rsid w:val="00B9572C"/>
    <w:rsid w:val="00B95A93"/>
    <w:rsid w:val="00B96020"/>
    <w:rsid w:val="00B964DD"/>
    <w:rsid w:val="00B9782C"/>
    <w:rsid w:val="00B97D95"/>
    <w:rsid w:val="00B97E3C"/>
    <w:rsid w:val="00BA0158"/>
    <w:rsid w:val="00BA04F9"/>
    <w:rsid w:val="00BA0695"/>
    <w:rsid w:val="00BA7E78"/>
    <w:rsid w:val="00BB0833"/>
    <w:rsid w:val="00BB0EA7"/>
    <w:rsid w:val="00BB1223"/>
    <w:rsid w:val="00BB3527"/>
    <w:rsid w:val="00BB3CAB"/>
    <w:rsid w:val="00BB4CDF"/>
    <w:rsid w:val="00BB595B"/>
    <w:rsid w:val="00BB59F9"/>
    <w:rsid w:val="00BB5B0E"/>
    <w:rsid w:val="00BC15B8"/>
    <w:rsid w:val="00BC5279"/>
    <w:rsid w:val="00BC6C4E"/>
    <w:rsid w:val="00BC7B6A"/>
    <w:rsid w:val="00BD0EAC"/>
    <w:rsid w:val="00BD31AB"/>
    <w:rsid w:val="00BD49D0"/>
    <w:rsid w:val="00BD4AA0"/>
    <w:rsid w:val="00BD58A7"/>
    <w:rsid w:val="00BD6EE4"/>
    <w:rsid w:val="00BE1E33"/>
    <w:rsid w:val="00BE2AD3"/>
    <w:rsid w:val="00BE35F3"/>
    <w:rsid w:val="00BE36F7"/>
    <w:rsid w:val="00BE4E3F"/>
    <w:rsid w:val="00BE65AD"/>
    <w:rsid w:val="00BF19F3"/>
    <w:rsid w:val="00BF2443"/>
    <w:rsid w:val="00BF34FD"/>
    <w:rsid w:val="00BF39E3"/>
    <w:rsid w:val="00C01BC4"/>
    <w:rsid w:val="00C04114"/>
    <w:rsid w:val="00C0550E"/>
    <w:rsid w:val="00C07755"/>
    <w:rsid w:val="00C07B5E"/>
    <w:rsid w:val="00C07C4E"/>
    <w:rsid w:val="00C10D3E"/>
    <w:rsid w:val="00C10DE8"/>
    <w:rsid w:val="00C117E8"/>
    <w:rsid w:val="00C12201"/>
    <w:rsid w:val="00C12946"/>
    <w:rsid w:val="00C12AD2"/>
    <w:rsid w:val="00C12C83"/>
    <w:rsid w:val="00C134EE"/>
    <w:rsid w:val="00C1405A"/>
    <w:rsid w:val="00C14E7D"/>
    <w:rsid w:val="00C14F61"/>
    <w:rsid w:val="00C15574"/>
    <w:rsid w:val="00C2018B"/>
    <w:rsid w:val="00C2021F"/>
    <w:rsid w:val="00C2197A"/>
    <w:rsid w:val="00C22D1C"/>
    <w:rsid w:val="00C30E1E"/>
    <w:rsid w:val="00C31412"/>
    <w:rsid w:val="00C3189D"/>
    <w:rsid w:val="00C362A0"/>
    <w:rsid w:val="00C365AF"/>
    <w:rsid w:val="00C367CD"/>
    <w:rsid w:val="00C40139"/>
    <w:rsid w:val="00C419F4"/>
    <w:rsid w:val="00C42740"/>
    <w:rsid w:val="00C43C6C"/>
    <w:rsid w:val="00C4526C"/>
    <w:rsid w:val="00C50B1B"/>
    <w:rsid w:val="00C50C99"/>
    <w:rsid w:val="00C52801"/>
    <w:rsid w:val="00C5395E"/>
    <w:rsid w:val="00C53B7D"/>
    <w:rsid w:val="00C60C0C"/>
    <w:rsid w:val="00C61205"/>
    <w:rsid w:val="00C61C54"/>
    <w:rsid w:val="00C6210F"/>
    <w:rsid w:val="00C631DC"/>
    <w:rsid w:val="00C67E1B"/>
    <w:rsid w:val="00C703AD"/>
    <w:rsid w:val="00C745C6"/>
    <w:rsid w:val="00C750BA"/>
    <w:rsid w:val="00C75839"/>
    <w:rsid w:val="00C7706E"/>
    <w:rsid w:val="00C77811"/>
    <w:rsid w:val="00C81AB7"/>
    <w:rsid w:val="00C826EF"/>
    <w:rsid w:val="00C82FB4"/>
    <w:rsid w:val="00C8308A"/>
    <w:rsid w:val="00C8442D"/>
    <w:rsid w:val="00C849B0"/>
    <w:rsid w:val="00C85287"/>
    <w:rsid w:val="00C85FA6"/>
    <w:rsid w:val="00C868B5"/>
    <w:rsid w:val="00C9170B"/>
    <w:rsid w:val="00C95AC9"/>
    <w:rsid w:val="00C964DE"/>
    <w:rsid w:val="00C969C2"/>
    <w:rsid w:val="00C96F18"/>
    <w:rsid w:val="00C975C9"/>
    <w:rsid w:val="00CA270A"/>
    <w:rsid w:val="00CA304F"/>
    <w:rsid w:val="00CA430D"/>
    <w:rsid w:val="00CA4545"/>
    <w:rsid w:val="00CA51AC"/>
    <w:rsid w:val="00CA51DE"/>
    <w:rsid w:val="00CA5790"/>
    <w:rsid w:val="00CA634C"/>
    <w:rsid w:val="00CA652B"/>
    <w:rsid w:val="00CA75F5"/>
    <w:rsid w:val="00CA7BFF"/>
    <w:rsid w:val="00CB003C"/>
    <w:rsid w:val="00CB0C4E"/>
    <w:rsid w:val="00CB12E5"/>
    <w:rsid w:val="00CB3684"/>
    <w:rsid w:val="00CB59D4"/>
    <w:rsid w:val="00CC0C56"/>
    <w:rsid w:val="00CC11B6"/>
    <w:rsid w:val="00CC4245"/>
    <w:rsid w:val="00CC6782"/>
    <w:rsid w:val="00CD0C0D"/>
    <w:rsid w:val="00CD23FE"/>
    <w:rsid w:val="00CD319D"/>
    <w:rsid w:val="00CD33C1"/>
    <w:rsid w:val="00CD5B4D"/>
    <w:rsid w:val="00CE15BE"/>
    <w:rsid w:val="00CE35D5"/>
    <w:rsid w:val="00CE530A"/>
    <w:rsid w:val="00CE6E64"/>
    <w:rsid w:val="00CF09D9"/>
    <w:rsid w:val="00CF182A"/>
    <w:rsid w:val="00CF1BF9"/>
    <w:rsid w:val="00CF1F1E"/>
    <w:rsid w:val="00CF282F"/>
    <w:rsid w:val="00CF326B"/>
    <w:rsid w:val="00CF47EC"/>
    <w:rsid w:val="00CF498E"/>
    <w:rsid w:val="00CF5CC1"/>
    <w:rsid w:val="00CF5FDD"/>
    <w:rsid w:val="00CF7D98"/>
    <w:rsid w:val="00D029D8"/>
    <w:rsid w:val="00D02A84"/>
    <w:rsid w:val="00D0300E"/>
    <w:rsid w:val="00D04CE5"/>
    <w:rsid w:val="00D054B2"/>
    <w:rsid w:val="00D0763E"/>
    <w:rsid w:val="00D11186"/>
    <w:rsid w:val="00D122AA"/>
    <w:rsid w:val="00D12644"/>
    <w:rsid w:val="00D134CC"/>
    <w:rsid w:val="00D142E0"/>
    <w:rsid w:val="00D14450"/>
    <w:rsid w:val="00D14C1E"/>
    <w:rsid w:val="00D15C1A"/>
    <w:rsid w:val="00D20C1D"/>
    <w:rsid w:val="00D22040"/>
    <w:rsid w:val="00D24682"/>
    <w:rsid w:val="00D24F06"/>
    <w:rsid w:val="00D25AEF"/>
    <w:rsid w:val="00D2679B"/>
    <w:rsid w:val="00D279FE"/>
    <w:rsid w:val="00D31785"/>
    <w:rsid w:val="00D32391"/>
    <w:rsid w:val="00D349EE"/>
    <w:rsid w:val="00D35298"/>
    <w:rsid w:val="00D36296"/>
    <w:rsid w:val="00D36DC3"/>
    <w:rsid w:val="00D4126F"/>
    <w:rsid w:val="00D418AD"/>
    <w:rsid w:val="00D42C1B"/>
    <w:rsid w:val="00D44227"/>
    <w:rsid w:val="00D46629"/>
    <w:rsid w:val="00D51312"/>
    <w:rsid w:val="00D51D54"/>
    <w:rsid w:val="00D527DA"/>
    <w:rsid w:val="00D54DF5"/>
    <w:rsid w:val="00D554BA"/>
    <w:rsid w:val="00D56D47"/>
    <w:rsid w:val="00D57835"/>
    <w:rsid w:val="00D60CF3"/>
    <w:rsid w:val="00D613F3"/>
    <w:rsid w:val="00D655FB"/>
    <w:rsid w:val="00D70FB4"/>
    <w:rsid w:val="00D73854"/>
    <w:rsid w:val="00D73A38"/>
    <w:rsid w:val="00D74A1C"/>
    <w:rsid w:val="00D7563D"/>
    <w:rsid w:val="00D761DB"/>
    <w:rsid w:val="00D7703D"/>
    <w:rsid w:val="00D7769B"/>
    <w:rsid w:val="00D8146F"/>
    <w:rsid w:val="00D815C1"/>
    <w:rsid w:val="00D82E7D"/>
    <w:rsid w:val="00D850F4"/>
    <w:rsid w:val="00D85C85"/>
    <w:rsid w:val="00D85E33"/>
    <w:rsid w:val="00D866EC"/>
    <w:rsid w:val="00D9096A"/>
    <w:rsid w:val="00D928CF"/>
    <w:rsid w:val="00D92F6C"/>
    <w:rsid w:val="00D93514"/>
    <w:rsid w:val="00D93AED"/>
    <w:rsid w:val="00D94695"/>
    <w:rsid w:val="00D9530A"/>
    <w:rsid w:val="00D95879"/>
    <w:rsid w:val="00D97A6B"/>
    <w:rsid w:val="00DA0770"/>
    <w:rsid w:val="00DA1F59"/>
    <w:rsid w:val="00DA2FA3"/>
    <w:rsid w:val="00DA546F"/>
    <w:rsid w:val="00DA65B2"/>
    <w:rsid w:val="00DA7875"/>
    <w:rsid w:val="00DB0AD7"/>
    <w:rsid w:val="00DB2A4B"/>
    <w:rsid w:val="00DB3513"/>
    <w:rsid w:val="00DB751D"/>
    <w:rsid w:val="00DC09BD"/>
    <w:rsid w:val="00DC133D"/>
    <w:rsid w:val="00DC162E"/>
    <w:rsid w:val="00DC35CE"/>
    <w:rsid w:val="00DC3B1E"/>
    <w:rsid w:val="00DC432A"/>
    <w:rsid w:val="00DC4C93"/>
    <w:rsid w:val="00DC679E"/>
    <w:rsid w:val="00DD0E98"/>
    <w:rsid w:val="00DD14BC"/>
    <w:rsid w:val="00DD259F"/>
    <w:rsid w:val="00DD4D47"/>
    <w:rsid w:val="00DD565E"/>
    <w:rsid w:val="00DD76AF"/>
    <w:rsid w:val="00DE1E41"/>
    <w:rsid w:val="00DE3F87"/>
    <w:rsid w:val="00DE5013"/>
    <w:rsid w:val="00DE54BD"/>
    <w:rsid w:val="00DE57DA"/>
    <w:rsid w:val="00DE64DE"/>
    <w:rsid w:val="00DE73B4"/>
    <w:rsid w:val="00DE787B"/>
    <w:rsid w:val="00DE7AB4"/>
    <w:rsid w:val="00DF2E8B"/>
    <w:rsid w:val="00DF4D86"/>
    <w:rsid w:val="00DF63E3"/>
    <w:rsid w:val="00DF6B09"/>
    <w:rsid w:val="00E007E6"/>
    <w:rsid w:val="00E00B41"/>
    <w:rsid w:val="00E01D84"/>
    <w:rsid w:val="00E048AB"/>
    <w:rsid w:val="00E052D3"/>
    <w:rsid w:val="00E05344"/>
    <w:rsid w:val="00E05DA1"/>
    <w:rsid w:val="00E104CD"/>
    <w:rsid w:val="00E1067F"/>
    <w:rsid w:val="00E111AA"/>
    <w:rsid w:val="00E11833"/>
    <w:rsid w:val="00E137BB"/>
    <w:rsid w:val="00E13FDD"/>
    <w:rsid w:val="00E14099"/>
    <w:rsid w:val="00E15A72"/>
    <w:rsid w:val="00E20266"/>
    <w:rsid w:val="00E205F2"/>
    <w:rsid w:val="00E235DD"/>
    <w:rsid w:val="00E23B80"/>
    <w:rsid w:val="00E261CD"/>
    <w:rsid w:val="00E26266"/>
    <w:rsid w:val="00E267D7"/>
    <w:rsid w:val="00E30356"/>
    <w:rsid w:val="00E3199C"/>
    <w:rsid w:val="00E3352E"/>
    <w:rsid w:val="00E34732"/>
    <w:rsid w:val="00E40987"/>
    <w:rsid w:val="00E41E74"/>
    <w:rsid w:val="00E4201C"/>
    <w:rsid w:val="00E42D0B"/>
    <w:rsid w:val="00E43A1A"/>
    <w:rsid w:val="00E441BF"/>
    <w:rsid w:val="00E5029D"/>
    <w:rsid w:val="00E51679"/>
    <w:rsid w:val="00E528C8"/>
    <w:rsid w:val="00E5311A"/>
    <w:rsid w:val="00E53C3C"/>
    <w:rsid w:val="00E54CD1"/>
    <w:rsid w:val="00E56980"/>
    <w:rsid w:val="00E56B59"/>
    <w:rsid w:val="00E61551"/>
    <w:rsid w:val="00E620A5"/>
    <w:rsid w:val="00E6266E"/>
    <w:rsid w:val="00E62D29"/>
    <w:rsid w:val="00E64988"/>
    <w:rsid w:val="00E64A38"/>
    <w:rsid w:val="00E66B43"/>
    <w:rsid w:val="00E66FFF"/>
    <w:rsid w:val="00E719F6"/>
    <w:rsid w:val="00E725EE"/>
    <w:rsid w:val="00E72ACE"/>
    <w:rsid w:val="00E7345E"/>
    <w:rsid w:val="00E756AC"/>
    <w:rsid w:val="00E777CB"/>
    <w:rsid w:val="00E77EDC"/>
    <w:rsid w:val="00E80334"/>
    <w:rsid w:val="00E8168D"/>
    <w:rsid w:val="00E816EA"/>
    <w:rsid w:val="00E8381A"/>
    <w:rsid w:val="00E847F2"/>
    <w:rsid w:val="00E86FB8"/>
    <w:rsid w:val="00E87596"/>
    <w:rsid w:val="00E87794"/>
    <w:rsid w:val="00E9480E"/>
    <w:rsid w:val="00E96422"/>
    <w:rsid w:val="00E97B21"/>
    <w:rsid w:val="00EA0BF0"/>
    <w:rsid w:val="00EA5A59"/>
    <w:rsid w:val="00EA62F1"/>
    <w:rsid w:val="00EA6693"/>
    <w:rsid w:val="00EA7CAC"/>
    <w:rsid w:val="00EB331D"/>
    <w:rsid w:val="00EB34E7"/>
    <w:rsid w:val="00EB3D8F"/>
    <w:rsid w:val="00EB6BD3"/>
    <w:rsid w:val="00EC3B89"/>
    <w:rsid w:val="00EC52AE"/>
    <w:rsid w:val="00EC634C"/>
    <w:rsid w:val="00ED047B"/>
    <w:rsid w:val="00ED0FE3"/>
    <w:rsid w:val="00ED1DBA"/>
    <w:rsid w:val="00ED2910"/>
    <w:rsid w:val="00ED3482"/>
    <w:rsid w:val="00ED3526"/>
    <w:rsid w:val="00ED3F7E"/>
    <w:rsid w:val="00ED4715"/>
    <w:rsid w:val="00ED47DC"/>
    <w:rsid w:val="00ED7ACF"/>
    <w:rsid w:val="00EE3B97"/>
    <w:rsid w:val="00EE6AAE"/>
    <w:rsid w:val="00EF02BC"/>
    <w:rsid w:val="00EF2CA6"/>
    <w:rsid w:val="00EF2D0D"/>
    <w:rsid w:val="00EF4EAB"/>
    <w:rsid w:val="00EF5B40"/>
    <w:rsid w:val="00EF7502"/>
    <w:rsid w:val="00F00432"/>
    <w:rsid w:val="00F02034"/>
    <w:rsid w:val="00F03884"/>
    <w:rsid w:val="00F03E21"/>
    <w:rsid w:val="00F0411C"/>
    <w:rsid w:val="00F041F6"/>
    <w:rsid w:val="00F046A8"/>
    <w:rsid w:val="00F0556F"/>
    <w:rsid w:val="00F103DC"/>
    <w:rsid w:val="00F117B1"/>
    <w:rsid w:val="00F12002"/>
    <w:rsid w:val="00F128A4"/>
    <w:rsid w:val="00F134F9"/>
    <w:rsid w:val="00F151A1"/>
    <w:rsid w:val="00F157AD"/>
    <w:rsid w:val="00F20979"/>
    <w:rsid w:val="00F21D1D"/>
    <w:rsid w:val="00F232CF"/>
    <w:rsid w:val="00F2461C"/>
    <w:rsid w:val="00F24C62"/>
    <w:rsid w:val="00F24FC8"/>
    <w:rsid w:val="00F2664F"/>
    <w:rsid w:val="00F26D0F"/>
    <w:rsid w:val="00F30C1E"/>
    <w:rsid w:val="00F331F0"/>
    <w:rsid w:val="00F34138"/>
    <w:rsid w:val="00F35E57"/>
    <w:rsid w:val="00F36F83"/>
    <w:rsid w:val="00F44566"/>
    <w:rsid w:val="00F460A6"/>
    <w:rsid w:val="00F4673F"/>
    <w:rsid w:val="00F47ACE"/>
    <w:rsid w:val="00F47FCE"/>
    <w:rsid w:val="00F501D2"/>
    <w:rsid w:val="00F518BA"/>
    <w:rsid w:val="00F5266F"/>
    <w:rsid w:val="00F52BC9"/>
    <w:rsid w:val="00F53D1E"/>
    <w:rsid w:val="00F557C0"/>
    <w:rsid w:val="00F56447"/>
    <w:rsid w:val="00F56A1D"/>
    <w:rsid w:val="00F5798C"/>
    <w:rsid w:val="00F61A04"/>
    <w:rsid w:val="00F625EB"/>
    <w:rsid w:val="00F64055"/>
    <w:rsid w:val="00F6564C"/>
    <w:rsid w:val="00F65D1F"/>
    <w:rsid w:val="00F710C6"/>
    <w:rsid w:val="00F7142A"/>
    <w:rsid w:val="00F71E7D"/>
    <w:rsid w:val="00F722BD"/>
    <w:rsid w:val="00F72873"/>
    <w:rsid w:val="00F735C8"/>
    <w:rsid w:val="00F73620"/>
    <w:rsid w:val="00F758ED"/>
    <w:rsid w:val="00F81854"/>
    <w:rsid w:val="00F8243A"/>
    <w:rsid w:val="00F82ED9"/>
    <w:rsid w:val="00F83C51"/>
    <w:rsid w:val="00F87415"/>
    <w:rsid w:val="00F91CF0"/>
    <w:rsid w:val="00F9481A"/>
    <w:rsid w:val="00F956D1"/>
    <w:rsid w:val="00F95742"/>
    <w:rsid w:val="00F9687F"/>
    <w:rsid w:val="00F97F15"/>
    <w:rsid w:val="00FA08DE"/>
    <w:rsid w:val="00FA0CF5"/>
    <w:rsid w:val="00FA2D9D"/>
    <w:rsid w:val="00FA770D"/>
    <w:rsid w:val="00FA77B7"/>
    <w:rsid w:val="00FB01C6"/>
    <w:rsid w:val="00FB328E"/>
    <w:rsid w:val="00FB3430"/>
    <w:rsid w:val="00FB5E18"/>
    <w:rsid w:val="00FB67C7"/>
    <w:rsid w:val="00FC007C"/>
    <w:rsid w:val="00FC1567"/>
    <w:rsid w:val="00FC2626"/>
    <w:rsid w:val="00FC33B7"/>
    <w:rsid w:val="00FC3766"/>
    <w:rsid w:val="00FC4572"/>
    <w:rsid w:val="00FC755D"/>
    <w:rsid w:val="00FD1C8B"/>
    <w:rsid w:val="00FD386C"/>
    <w:rsid w:val="00FD3922"/>
    <w:rsid w:val="00FD6452"/>
    <w:rsid w:val="00FE2B90"/>
    <w:rsid w:val="00FF0A4E"/>
    <w:rsid w:val="00FF14A6"/>
    <w:rsid w:val="00FF285D"/>
    <w:rsid w:val="00FF37A3"/>
    <w:rsid w:val="00FF3B28"/>
    <w:rsid w:val="00FF3F9C"/>
    <w:rsid w:val="00FF63A1"/>
    <w:rsid w:val="00FF7E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6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R"/>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semiHidden/>
    <w:unhideWhenUsed/>
    <w:rsid w:val="00B54444"/>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B54444"/>
    <w:rPr>
      <w:b/>
      <w:bCs/>
    </w:rPr>
  </w:style>
  <w:style w:type="character" w:styleId="nfasis">
    <w:name w:val="Emphasis"/>
    <w:basedOn w:val="Fuentedeprrafopredeter"/>
    <w:uiPriority w:val="20"/>
    <w:qFormat/>
    <w:rsid w:val="00B54444"/>
    <w:rPr>
      <w:i/>
      <w:iCs/>
    </w:rPr>
  </w:style>
  <w:style w:type="paragraph" w:styleId="Textoindependiente">
    <w:name w:val="Body Text"/>
    <w:basedOn w:val="Normal"/>
    <w:link w:val="TextoindependienteCar"/>
    <w:uiPriority w:val="1"/>
    <w:qFormat/>
    <w:rsid w:val="00813F60"/>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813F60"/>
    <w:rPr>
      <w:rFonts w:ascii="Arial" w:eastAsia="Arial" w:hAnsi="Arial" w:cs="Arial"/>
      <w:lang w:val="es-ES"/>
    </w:rPr>
  </w:style>
  <w:style w:type="paragraph" w:customStyle="1" w:styleId="Appelnotedebasde">
    <w:name w:val="Appel note de bas de..."/>
    <w:basedOn w:val="Normal"/>
    <w:link w:val="Refdenotaalpie"/>
    <w:uiPriority w:val="99"/>
    <w:rsid w:val="0074177D"/>
    <w:pPr>
      <w:spacing w:after="160" w:line="240" w:lineRule="exact"/>
    </w:pPr>
    <w:rPr>
      <w:sz w:val="22"/>
      <w:vertAlign w:val="superscript"/>
      <w:lang w:val="es-CO"/>
    </w:rPr>
  </w:style>
  <w:style w:type="character" w:customStyle="1" w:styleId="normaltextrun">
    <w:name w:val="normaltextrun"/>
    <w:basedOn w:val="Fuentedeprrafopredeter"/>
    <w:rsid w:val="008E0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40239">
      <w:bodyDiv w:val="1"/>
      <w:marLeft w:val="0"/>
      <w:marRight w:val="0"/>
      <w:marTop w:val="0"/>
      <w:marBottom w:val="0"/>
      <w:divBdr>
        <w:top w:val="none" w:sz="0" w:space="0" w:color="auto"/>
        <w:left w:val="none" w:sz="0" w:space="0" w:color="auto"/>
        <w:bottom w:val="none" w:sz="0" w:space="0" w:color="auto"/>
        <w:right w:val="none" w:sz="0" w:space="0" w:color="auto"/>
      </w:divBdr>
    </w:div>
    <w:div w:id="350184025">
      <w:bodyDiv w:val="1"/>
      <w:marLeft w:val="0"/>
      <w:marRight w:val="0"/>
      <w:marTop w:val="0"/>
      <w:marBottom w:val="0"/>
      <w:divBdr>
        <w:top w:val="none" w:sz="0" w:space="0" w:color="auto"/>
        <w:left w:val="none" w:sz="0" w:space="0" w:color="auto"/>
        <w:bottom w:val="none" w:sz="0" w:space="0" w:color="auto"/>
        <w:right w:val="none" w:sz="0" w:space="0" w:color="auto"/>
      </w:divBdr>
    </w:div>
    <w:div w:id="387456528">
      <w:bodyDiv w:val="1"/>
      <w:marLeft w:val="0"/>
      <w:marRight w:val="0"/>
      <w:marTop w:val="0"/>
      <w:marBottom w:val="0"/>
      <w:divBdr>
        <w:top w:val="none" w:sz="0" w:space="0" w:color="auto"/>
        <w:left w:val="none" w:sz="0" w:space="0" w:color="auto"/>
        <w:bottom w:val="none" w:sz="0" w:space="0" w:color="auto"/>
        <w:right w:val="none" w:sz="0" w:space="0" w:color="auto"/>
      </w:divBdr>
    </w:div>
    <w:div w:id="650404190">
      <w:bodyDiv w:val="1"/>
      <w:marLeft w:val="0"/>
      <w:marRight w:val="0"/>
      <w:marTop w:val="0"/>
      <w:marBottom w:val="0"/>
      <w:divBdr>
        <w:top w:val="none" w:sz="0" w:space="0" w:color="auto"/>
        <w:left w:val="none" w:sz="0" w:space="0" w:color="auto"/>
        <w:bottom w:val="none" w:sz="0" w:space="0" w:color="auto"/>
        <w:right w:val="none" w:sz="0" w:space="0" w:color="auto"/>
      </w:divBdr>
    </w:div>
    <w:div w:id="966741851">
      <w:bodyDiv w:val="1"/>
      <w:marLeft w:val="0"/>
      <w:marRight w:val="0"/>
      <w:marTop w:val="0"/>
      <w:marBottom w:val="0"/>
      <w:divBdr>
        <w:top w:val="none" w:sz="0" w:space="0" w:color="auto"/>
        <w:left w:val="none" w:sz="0" w:space="0" w:color="auto"/>
        <w:bottom w:val="none" w:sz="0" w:space="0" w:color="auto"/>
        <w:right w:val="none" w:sz="0" w:space="0" w:color="auto"/>
      </w:divBdr>
    </w:div>
    <w:div w:id="1036271008">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224413492">
      <w:bodyDiv w:val="1"/>
      <w:marLeft w:val="0"/>
      <w:marRight w:val="0"/>
      <w:marTop w:val="0"/>
      <w:marBottom w:val="0"/>
      <w:divBdr>
        <w:top w:val="none" w:sz="0" w:space="0" w:color="auto"/>
        <w:left w:val="none" w:sz="0" w:space="0" w:color="auto"/>
        <w:bottom w:val="none" w:sz="0" w:space="0" w:color="auto"/>
        <w:right w:val="none" w:sz="0" w:space="0" w:color="auto"/>
      </w:divBdr>
    </w:div>
    <w:div w:id="1776485066">
      <w:bodyDiv w:val="1"/>
      <w:marLeft w:val="0"/>
      <w:marRight w:val="0"/>
      <w:marTop w:val="0"/>
      <w:marBottom w:val="0"/>
      <w:divBdr>
        <w:top w:val="none" w:sz="0" w:space="0" w:color="auto"/>
        <w:left w:val="none" w:sz="0" w:space="0" w:color="auto"/>
        <w:bottom w:val="none" w:sz="0" w:space="0" w:color="auto"/>
        <w:right w:val="none" w:sz="0" w:space="0" w:color="auto"/>
      </w:divBdr>
    </w:div>
    <w:div w:id="1871409429">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lexbase.biz/lexbase/normas/leyes/2007/L1150de200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2B8A85D-C4C6-9049-A8EB-2692A3D634C9}">
  <ds:schemaRefs>
    <ds:schemaRef ds:uri="http://schemas.openxmlformats.org/officeDocument/2006/bibliography"/>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18</Pages>
  <Words>7373</Words>
  <Characters>40555</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Juan David Montoya Penagos</cp:lastModifiedBy>
  <cp:revision>37</cp:revision>
  <cp:lastPrinted>2020-03-17T17:42:00Z</cp:lastPrinted>
  <dcterms:created xsi:type="dcterms:W3CDTF">2020-10-20T16:48:00Z</dcterms:created>
  <dcterms:modified xsi:type="dcterms:W3CDTF">2020-10-21T20:50:00Z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