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D41E6" w14:textId="77777777" w:rsidR="00914C81" w:rsidRPr="00021C75" w:rsidRDefault="00914C81" w:rsidP="00914C81">
      <w:pPr>
        <w:spacing w:line="276" w:lineRule="auto"/>
        <w:jc w:val="right"/>
        <w:rPr>
          <w:rFonts w:ascii="Arial" w:eastAsia="Times New Roman" w:hAnsi="Arial" w:cs="Arial"/>
          <w:b/>
          <w:bCs/>
          <w:color w:val="000000" w:themeColor="text1"/>
          <w:sz w:val="16"/>
          <w:szCs w:val="16"/>
          <w:lang w:eastAsia="es-ES"/>
        </w:rPr>
      </w:pPr>
      <w:r w:rsidRPr="00021C75">
        <w:rPr>
          <w:rFonts w:ascii="Arial" w:eastAsia="Times New Roman" w:hAnsi="Arial" w:cs="Arial"/>
          <w:b/>
          <w:bCs/>
          <w:color w:val="000000" w:themeColor="text1"/>
          <w:sz w:val="16"/>
          <w:szCs w:val="16"/>
          <w:lang w:eastAsia="es-ES"/>
        </w:rPr>
        <w:t>CCE-DES-FM-17</w:t>
      </w:r>
    </w:p>
    <w:p w14:paraId="4715CC14" w14:textId="77777777" w:rsidR="00914C81" w:rsidRPr="00050CA0" w:rsidRDefault="00914C81" w:rsidP="00914C81">
      <w:pPr>
        <w:spacing w:line="276" w:lineRule="auto"/>
        <w:jc w:val="right"/>
        <w:rPr>
          <w:rFonts w:ascii="Arial" w:eastAsia="Calibri" w:hAnsi="Arial" w:cs="Arial"/>
          <w:b/>
          <w:bCs/>
          <w:color w:val="000000" w:themeColor="text1"/>
          <w:sz w:val="16"/>
          <w:szCs w:val="16"/>
        </w:rPr>
      </w:pPr>
    </w:p>
    <w:p w14:paraId="01917B01" w14:textId="54F62B0C" w:rsidR="001518A0" w:rsidRPr="00BE0F85" w:rsidRDefault="001518A0" w:rsidP="001518A0">
      <w:pPr>
        <w:jc w:val="both"/>
        <w:rPr>
          <w:rFonts w:ascii="Arial" w:eastAsia="Calibri" w:hAnsi="Arial" w:cs="Arial"/>
          <w:sz w:val="22"/>
        </w:rPr>
      </w:pPr>
      <w:r w:rsidRPr="13855A36">
        <w:rPr>
          <w:rFonts w:ascii="Arial" w:eastAsia="Calibri" w:hAnsi="Arial" w:cs="Arial"/>
          <w:b/>
          <w:bCs/>
          <w:sz w:val="22"/>
        </w:rPr>
        <w:t>FUNCIÓN CONSULTIVA – Alcance</w:t>
      </w:r>
      <w:r w:rsidRPr="00751B9D">
        <w:rPr>
          <w:rFonts w:ascii="Arial" w:eastAsia="Calibri" w:hAnsi="Arial" w:cs="Arial"/>
          <w:b/>
          <w:sz w:val="22"/>
        </w:rPr>
        <w:t xml:space="preserve"> –</w:t>
      </w:r>
      <w:r>
        <w:rPr>
          <w:rFonts w:ascii="Arial" w:eastAsia="Calibri" w:hAnsi="Arial" w:cs="Arial"/>
          <w:b/>
          <w:sz w:val="22"/>
        </w:rPr>
        <w:t xml:space="preserve"> Objeto</w:t>
      </w:r>
    </w:p>
    <w:p w14:paraId="452897F9" w14:textId="77777777" w:rsidR="001518A0" w:rsidRPr="00250FBA" w:rsidRDefault="001518A0" w:rsidP="001518A0">
      <w:pPr>
        <w:jc w:val="both"/>
        <w:rPr>
          <w:rFonts w:ascii="Arial" w:hAnsi="Arial" w:cs="Arial"/>
          <w:sz w:val="20"/>
          <w:szCs w:val="20"/>
        </w:rPr>
      </w:pPr>
    </w:p>
    <w:p w14:paraId="743CCD71" w14:textId="72C36C61" w:rsidR="00BE0F85" w:rsidRDefault="00BE0F85" w:rsidP="00BE0F85">
      <w:pPr>
        <w:jc w:val="both"/>
        <w:rPr>
          <w:rFonts w:ascii="Arial" w:eastAsia="Calibri" w:hAnsi="Arial" w:cs="Arial"/>
          <w:bCs/>
          <w:sz w:val="20"/>
          <w:szCs w:val="20"/>
          <w:lang w:val="es-ES_tradnl"/>
        </w:rPr>
      </w:pPr>
      <w:r w:rsidRPr="00BE0F85">
        <w:rPr>
          <w:rFonts w:ascii="Arial" w:eastAsia="Calibri" w:hAnsi="Arial" w:cs="Arial"/>
          <w:bCs/>
          <w:sz w:val="20"/>
          <w:szCs w:val="20"/>
          <w:lang w:val="es-ES_tradnl"/>
        </w:rPr>
        <w:t>Sobre ello, es preciso advertir que las respuestas emitidas como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Ello explica que la Agencia, reiteradamente, se haya negado a absolver este tipo de consultas</w:t>
      </w:r>
      <w:r>
        <w:rPr>
          <w:rFonts w:ascii="Arial" w:eastAsia="Calibri" w:hAnsi="Arial" w:cs="Arial"/>
          <w:bCs/>
          <w:sz w:val="20"/>
          <w:szCs w:val="20"/>
          <w:lang w:val="es-ES_tradnl"/>
        </w:rPr>
        <w:t>.</w:t>
      </w:r>
    </w:p>
    <w:p w14:paraId="2EEDC5A1" w14:textId="77777777" w:rsidR="00BE0F85" w:rsidRPr="00BE0F85" w:rsidRDefault="00BE0F85" w:rsidP="00BE0F85">
      <w:pPr>
        <w:jc w:val="both"/>
        <w:rPr>
          <w:rFonts w:ascii="Arial" w:eastAsia="Calibri" w:hAnsi="Arial" w:cs="Arial"/>
          <w:bCs/>
          <w:sz w:val="20"/>
          <w:szCs w:val="20"/>
          <w:lang w:val="es-ES_tradnl"/>
        </w:rPr>
      </w:pPr>
    </w:p>
    <w:p w14:paraId="4E21BC99" w14:textId="77777777" w:rsidR="00BE0F85" w:rsidRDefault="00BE0F85" w:rsidP="00BE0F85">
      <w:pPr>
        <w:jc w:val="both"/>
        <w:rPr>
          <w:rFonts w:ascii="Arial" w:eastAsia="Calibri" w:hAnsi="Arial" w:cs="Arial"/>
          <w:bCs/>
          <w:sz w:val="20"/>
          <w:szCs w:val="20"/>
          <w:lang w:val="es-ES_tradnl"/>
        </w:rPr>
      </w:pPr>
      <w:r w:rsidRPr="00BE0F85">
        <w:rPr>
          <w:rFonts w:ascii="Arial" w:eastAsia="Calibri" w:hAnsi="Arial" w:cs="Arial"/>
          <w:bCs/>
          <w:sz w:val="20"/>
          <w:szCs w:val="20"/>
          <w:lang w:val="es-ES_tradnl"/>
        </w:rPr>
        <w:t>[…]</w:t>
      </w:r>
    </w:p>
    <w:p w14:paraId="5BA25B97" w14:textId="7F4D210E" w:rsidR="00BE0F85" w:rsidRPr="00BE0F85" w:rsidRDefault="00BE0F85" w:rsidP="00BE0F85">
      <w:pPr>
        <w:jc w:val="both"/>
        <w:rPr>
          <w:rFonts w:ascii="Arial" w:eastAsia="Calibri" w:hAnsi="Arial" w:cs="Arial"/>
          <w:bCs/>
          <w:sz w:val="20"/>
          <w:szCs w:val="20"/>
          <w:lang w:val="es-ES_tradnl"/>
        </w:rPr>
      </w:pPr>
      <w:r w:rsidRPr="00BE0F85">
        <w:rPr>
          <w:rFonts w:ascii="Arial" w:eastAsia="Calibri" w:hAnsi="Arial" w:cs="Arial"/>
          <w:bCs/>
          <w:sz w:val="20"/>
          <w:szCs w:val="20"/>
          <w:lang w:val="es-ES_tradnl"/>
        </w:rPr>
        <w:t xml:space="preserve"> </w:t>
      </w:r>
    </w:p>
    <w:p w14:paraId="7EA08D4A" w14:textId="77777777" w:rsidR="00BE0F85" w:rsidRDefault="00BE0F85" w:rsidP="00BE0F85">
      <w:pPr>
        <w:jc w:val="both"/>
        <w:rPr>
          <w:rFonts w:ascii="Arial" w:eastAsia="Calibri" w:hAnsi="Arial" w:cs="Arial"/>
          <w:bCs/>
          <w:sz w:val="20"/>
          <w:szCs w:val="20"/>
          <w:lang w:val="es-ES_tradnl"/>
        </w:rPr>
      </w:pPr>
      <w:r w:rsidRPr="00BE0F85">
        <w:rPr>
          <w:rFonts w:ascii="Arial" w:eastAsia="Calibri" w:hAnsi="Arial" w:cs="Arial"/>
          <w:bCs/>
          <w:sz w:val="20"/>
          <w:szCs w:val="20"/>
          <w:lang w:val="es-ES_tradnl"/>
        </w:rPr>
        <w:t xml:space="preserve">Así las cosas, Colombia Compra Eficiente considera que no hay lugar a la rectificación de los conceptos, pues no son actos administrativos, no tienen efectos vinculantes en relación con una situación jurídica particular y concreta, y exponen un criterio que, aunque jurídicamente fundamentado, no es obligatorio para el destinatario del concepto. </w:t>
      </w:r>
    </w:p>
    <w:p w14:paraId="2A8AEE89" w14:textId="77777777" w:rsidR="00BE0F85" w:rsidRPr="00BE0F85" w:rsidRDefault="00BE0F85" w:rsidP="00BE0F85">
      <w:pPr>
        <w:jc w:val="both"/>
        <w:rPr>
          <w:rFonts w:ascii="Arial" w:eastAsia="Calibri" w:hAnsi="Arial" w:cs="Arial"/>
          <w:bCs/>
          <w:sz w:val="20"/>
          <w:szCs w:val="20"/>
          <w:lang w:val="es-ES_tradnl"/>
        </w:rPr>
      </w:pPr>
    </w:p>
    <w:p w14:paraId="36D9C109" w14:textId="4CFA105E" w:rsidR="006E4B21" w:rsidRDefault="00BE0F85" w:rsidP="00BE0F85">
      <w:pPr>
        <w:jc w:val="both"/>
        <w:rPr>
          <w:rFonts w:ascii="Arial" w:eastAsia="Calibri" w:hAnsi="Arial" w:cs="Arial"/>
          <w:bCs/>
          <w:sz w:val="20"/>
          <w:szCs w:val="20"/>
          <w:lang w:val="es-ES_tradnl"/>
        </w:rPr>
      </w:pPr>
      <w:r w:rsidRPr="00BE0F85">
        <w:rPr>
          <w:rFonts w:ascii="Arial" w:eastAsia="Calibri" w:hAnsi="Arial" w:cs="Arial"/>
          <w:bCs/>
          <w:sz w:val="20"/>
          <w:szCs w:val="20"/>
          <w:lang w:val="es-ES_tradnl"/>
        </w:rPr>
        <w:t>Lo anterior no implica que la Agencia Nacional de Contratación Pública – Colombia Compra Eficiente considere inalterables sus posturas, pues, de ser necesario, podría replantear una tesis previamente expuesta, bajo estrictos estándares argumentativos, al emitir otro concepto. Pese a ello, en este caso se señalarán las razones por las cuales esta Agencia mantiene su postura emitida en conceptos anteriores</w:t>
      </w:r>
      <w:r>
        <w:rPr>
          <w:rFonts w:ascii="Arial" w:eastAsia="Calibri" w:hAnsi="Arial" w:cs="Arial"/>
          <w:bCs/>
          <w:sz w:val="20"/>
          <w:szCs w:val="20"/>
          <w:lang w:val="es-ES_tradnl"/>
        </w:rPr>
        <w:t xml:space="preserve">. </w:t>
      </w:r>
    </w:p>
    <w:p w14:paraId="3052D0C6" w14:textId="77777777" w:rsidR="00BE0F85" w:rsidRPr="00BE0F85" w:rsidRDefault="00BE0F85" w:rsidP="00BE0F85">
      <w:pPr>
        <w:jc w:val="both"/>
        <w:rPr>
          <w:rFonts w:ascii="Arial" w:eastAsia="Calibri" w:hAnsi="Arial" w:cs="Arial"/>
          <w:bCs/>
          <w:sz w:val="20"/>
          <w:szCs w:val="20"/>
        </w:rPr>
      </w:pPr>
    </w:p>
    <w:p w14:paraId="5ACF422C" w14:textId="77777777" w:rsidR="001518A0" w:rsidRPr="00021C75" w:rsidRDefault="001518A0" w:rsidP="001518A0">
      <w:pPr>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 xml:space="preserve">DOCUMENTOS TIPO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021C75">
        <w:rPr>
          <w:rFonts w:ascii="Arial" w:hAnsi="Arial" w:cs="Arial"/>
          <w:b/>
          <w:bCs/>
          <w:color w:val="000000" w:themeColor="text1"/>
          <w:sz w:val="22"/>
          <w:lang w:val="es-ES"/>
        </w:rPr>
        <w:t>Régimen jurídico</w:t>
      </w:r>
    </w:p>
    <w:p w14:paraId="5C2A6BE6" w14:textId="77777777" w:rsidR="001518A0" w:rsidRPr="00021C75" w:rsidRDefault="001518A0" w:rsidP="001518A0">
      <w:pPr>
        <w:jc w:val="both"/>
        <w:rPr>
          <w:rFonts w:ascii="Arial" w:hAnsi="Arial" w:cs="Arial"/>
          <w:b/>
          <w:bCs/>
          <w:color w:val="000000" w:themeColor="text1"/>
          <w:sz w:val="20"/>
          <w:szCs w:val="20"/>
          <w:lang w:val="es-ES"/>
        </w:rPr>
      </w:pPr>
    </w:p>
    <w:p w14:paraId="1792233F" w14:textId="031AA9D5" w:rsidR="005E7FAB" w:rsidRPr="005E7FAB" w:rsidRDefault="005E7FAB" w:rsidP="005E7FAB">
      <w:p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Pr="005E7FAB">
        <w:rPr>
          <w:rFonts w:ascii="Arial" w:hAnsi="Arial" w:cs="Arial"/>
          <w:color w:val="000000" w:themeColor="text1"/>
          <w:sz w:val="20"/>
          <w:szCs w:val="20"/>
          <w:lang w:val="es-ES"/>
        </w:rPr>
        <w:t>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w:t>
      </w:r>
    </w:p>
    <w:p w14:paraId="4746C001" w14:textId="5C5EF729" w:rsidR="001518A0" w:rsidRDefault="005E7FAB" w:rsidP="005E7FAB">
      <w:pPr>
        <w:jc w:val="both"/>
        <w:rPr>
          <w:rFonts w:ascii="Arial" w:hAnsi="Arial" w:cs="Arial"/>
          <w:color w:val="000000" w:themeColor="text1"/>
          <w:sz w:val="20"/>
          <w:szCs w:val="20"/>
          <w:lang w:val="es-ES"/>
        </w:rPr>
      </w:pPr>
      <w:r w:rsidRPr="005E7FAB">
        <w:rPr>
          <w:rFonts w:ascii="Arial" w:hAnsi="Arial" w:cs="Arial"/>
          <w:color w:val="000000" w:themeColor="text1"/>
          <w:sz w:val="20"/>
          <w:szCs w:val="20"/>
          <w:lang w:val="es-ES"/>
        </w:rPr>
        <w:t>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la Sección 6 y la Subsección 1 al Capítulo 2 del Título 1 de la Parte 2 del Libro 2 del Decreto 1082 de 2015, Decreto Único Reglamentario del Sector Administrativo de Planeación Nacional.</w:t>
      </w:r>
    </w:p>
    <w:p w14:paraId="490B325F" w14:textId="77777777" w:rsidR="005E7FAB" w:rsidRPr="005E7FAB" w:rsidRDefault="005E7FAB" w:rsidP="005E7FAB">
      <w:pPr>
        <w:jc w:val="both"/>
        <w:rPr>
          <w:rFonts w:ascii="Arial" w:eastAsia="Calibri" w:hAnsi="Arial" w:cs="Arial"/>
          <w:bCs/>
          <w:color w:val="000000" w:themeColor="text1"/>
          <w:sz w:val="20"/>
          <w:szCs w:val="20"/>
          <w:lang w:val="es-ES"/>
        </w:rPr>
      </w:pPr>
    </w:p>
    <w:p w14:paraId="0040CFCB" w14:textId="77777777" w:rsidR="001518A0" w:rsidRPr="00021C75" w:rsidRDefault="001518A0" w:rsidP="001518A0">
      <w:pPr>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 xml:space="preserve">DOCUMENTOS TIPO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Desarrollo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Implementación</w:t>
      </w:r>
    </w:p>
    <w:p w14:paraId="517041A9" w14:textId="77777777" w:rsidR="001518A0" w:rsidRPr="00021C75" w:rsidRDefault="001518A0" w:rsidP="001518A0">
      <w:pPr>
        <w:jc w:val="both"/>
        <w:rPr>
          <w:rFonts w:ascii="Arial" w:hAnsi="Arial" w:cs="Arial"/>
          <w:b/>
          <w:bCs/>
          <w:color w:val="000000" w:themeColor="text1"/>
          <w:sz w:val="20"/>
          <w:szCs w:val="20"/>
          <w:lang w:val="es-ES"/>
        </w:rPr>
      </w:pPr>
    </w:p>
    <w:p w14:paraId="525361D8" w14:textId="77777777" w:rsidR="005E7FAB" w:rsidRDefault="005E7FAB" w:rsidP="005E7FAB">
      <w:pPr>
        <w:jc w:val="both"/>
        <w:rPr>
          <w:rFonts w:ascii="Arial" w:hAnsi="Arial" w:cs="Arial"/>
          <w:color w:val="000000" w:themeColor="text1"/>
          <w:sz w:val="20"/>
          <w:szCs w:val="20"/>
          <w:lang w:val="es-ES"/>
        </w:rPr>
      </w:pPr>
      <w:r w:rsidRPr="005E7FAB">
        <w:rPr>
          <w:rFonts w:ascii="Arial" w:hAnsi="Arial" w:cs="Arial"/>
          <w:color w:val="000000" w:themeColor="text1"/>
          <w:sz w:val="20"/>
          <w:szCs w:val="20"/>
          <w:lang w:val="es-ES"/>
        </w:rPr>
        <w:t>En las resoluciones anteriormente citadas, Colombia Compra Eficiente –además de implementar los documentos base de los pliegos de condiciones correspondientes a las modalidades de selección de contratitas mencionadas, sus anexos, formatos, matrices y formularios– también precisó su alcance, señalando que las entidades estatales no pueden incluir condiciones ni modificar las previstas en los documentos tipo, salvo aquellos casos en que los mismos expresamente las autorice para ello –principio de inalterabilidad–; y, finalmente señaló la fecha a partir de la cual las entidades estatales tienen la obligación de implementar los documentos tipo en los procesos de contratación que tengan por objeto obras públicas de infraestructura de transporte.</w:t>
      </w:r>
    </w:p>
    <w:p w14:paraId="433D10FC" w14:textId="77777777" w:rsidR="005E7FAB" w:rsidRPr="005E7FAB" w:rsidRDefault="005E7FAB" w:rsidP="005E7FAB">
      <w:pPr>
        <w:jc w:val="both"/>
        <w:rPr>
          <w:rFonts w:ascii="Arial" w:hAnsi="Arial" w:cs="Arial"/>
          <w:color w:val="000000" w:themeColor="text1"/>
          <w:sz w:val="20"/>
          <w:szCs w:val="20"/>
          <w:lang w:val="es-ES"/>
        </w:rPr>
      </w:pPr>
    </w:p>
    <w:p w14:paraId="47DD0912" w14:textId="63DD7D79" w:rsidR="001518A0" w:rsidRDefault="005E7FAB" w:rsidP="005E7FAB">
      <w:pPr>
        <w:jc w:val="both"/>
        <w:rPr>
          <w:rFonts w:ascii="Arial" w:hAnsi="Arial" w:cs="Arial"/>
          <w:color w:val="000000" w:themeColor="text1"/>
          <w:sz w:val="20"/>
          <w:szCs w:val="20"/>
          <w:lang w:val="es-ES"/>
        </w:rPr>
      </w:pPr>
      <w:r w:rsidRPr="005E7FAB">
        <w:rPr>
          <w:rFonts w:ascii="Arial" w:hAnsi="Arial" w:cs="Arial"/>
          <w:color w:val="000000" w:themeColor="text1"/>
          <w:sz w:val="20"/>
          <w:szCs w:val="20"/>
          <w:lang w:val="es-ES"/>
        </w:rPr>
        <w:t>En suma, los documentos tipo para la mínima cuantía, selección abreviada de menor cuantía y licitación de obra pública de infraestructura de transporte son de aplicación obligatoria, por lo que las entidades estatales sometidas al Estatuto General de la Contratación de la Administración Pública no pueden reusar su cumplimiento.</w:t>
      </w:r>
    </w:p>
    <w:p w14:paraId="43237B46" w14:textId="77777777" w:rsidR="005E7FAB" w:rsidRPr="00050CA0" w:rsidRDefault="005E7FAB" w:rsidP="005E7FAB">
      <w:pPr>
        <w:jc w:val="both"/>
        <w:rPr>
          <w:rFonts w:ascii="Arial" w:hAnsi="Arial" w:cs="Arial"/>
          <w:color w:val="000000" w:themeColor="text1"/>
          <w:sz w:val="20"/>
          <w:szCs w:val="20"/>
          <w:lang w:val="es-ES"/>
        </w:rPr>
      </w:pPr>
    </w:p>
    <w:p w14:paraId="05B1DCC5" w14:textId="77777777" w:rsidR="001518A0" w:rsidRPr="00021C75" w:rsidRDefault="001518A0" w:rsidP="001518A0">
      <w:pPr>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 xml:space="preserve">VISITA </w:t>
      </w:r>
      <w:r>
        <w:rPr>
          <w:rFonts w:ascii="Arial" w:hAnsi="Arial" w:cs="Arial"/>
          <w:b/>
          <w:bCs/>
          <w:color w:val="000000" w:themeColor="text1"/>
          <w:sz w:val="22"/>
          <w:lang w:val="es-ES"/>
        </w:rPr>
        <w:t xml:space="preserve">AL SITIO DE LA </w:t>
      </w:r>
      <w:r w:rsidRPr="00021C75">
        <w:rPr>
          <w:rFonts w:ascii="Arial" w:hAnsi="Arial" w:cs="Arial"/>
          <w:b/>
          <w:bCs/>
          <w:color w:val="000000" w:themeColor="text1"/>
          <w:sz w:val="22"/>
          <w:lang w:val="es-ES"/>
        </w:rPr>
        <w:t>OBRA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w:t>
      </w:r>
      <w:r>
        <w:rPr>
          <w:rFonts w:ascii="Arial" w:hAnsi="Arial" w:cs="Arial"/>
          <w:b/>
          <w:bCs/>
          <w:color w:val="000000" w:themeColor="text1"/>
          <w:sz w:val="22"/>
          <w:lang w:val="es-ES"/>
        </w:rPr>
        <w:t xml:space="preserve"> Requisitos habilitantes</w:t>
      </w:r>
    </w:p>
    <w:p w14:paraId="136F3441" w14:textId="77777777" w:rsidR="001518A0" w:rsidRPr="00021C75" w:rsidRDefault="001518A0" w:rsidP="001518A0">
      <w:pPr>
        <w:jc w:val="both"/>
        <w:rPr>
          <w:rFonts w:ascii="Arial" w:hAnsi="Arial" w:cs="Arial"/>
          <w:color w:val="000000" w:themeColor="text1"/>
          <w:sz w:val="20"/>
          <w:szCs w:val="20"/>
          <w:lang w:val="es-ES"/>
        </w:rPr>
      </w:pPr>
    </w:p>
    <w:p w14:paraId="4B9DB782" w14:textId="11F559E3" w:rsidR="005E7FAB" w:rsidRDefault="005E7FAB" w:rsidP="005E7FAB">
      <w:pPr>
        <w:jc w:val="both"/>
        <w:rPr>
          <w:rFonts w:ascii="Arial" w:hAnsi="Arial" w:cs="Arial"/>
          <w:color w:val="000000" w:themeColor="text1"/>
          <w:sz w:val="20"/>
          <w:szCs w:val="20"/>
          <w:lang w:val="es-ES"/>
        </w:rPr>
      </w:pPr>
      <w:r>
        <w:rPr>
          <w:rFonts w:ascii="Arial" w:hAnsi="Arial" w:cs="Arial"/>
          <w:color w:val="000000" w:themeColor="text1"/>
          <w:sz w:val="20"/>
          <w:szCs w:val="20"/>
          <w:lang w:val="es-ES"/>
        </w:rPr>
        <w:t>[…]</w:t>
      </w:r>
      <w:r w:rsidRPr="005E7FAB">
        <w:rPr>
          <w:rFonts w:ascii="Arial" w:hAnsi="Arial" w:cs="Arial"/>
          <w:color w:val="000000" w:themeColor="text1"/>
          <w:sz w:val="20"/>
          <w:szCs w:val="20"/>
          <w:lang w:val="es-ES"/>
        </w:rPr>
        <w:t xml:space="preserve"> la jurisprudencia reconoce la importancia de visitar la obra y la capacidad de las entidades de exigirla como requisito habilitante en los pliegos de condiciones, pues permite que los proponentes conozcan e inspeccionen la zona para investigar la disponibilidad de los materiales de construcción, mano de obra, transporte y las fuentes de abastecimiento de materiales para su explotación y elaboración de agregados, lo cual permite que cuenten con mejor información sobre sus capacidades reales para ejecutar la obra. </w:t>
      </w:r>
    </w:p>
    <w:p w14:paraId="31E80489" w14:textId="77777777" w:rsidR="005E7FAB" w:rsidRPr="005E7FAB" w:rsidRDefault="005E7FAB" w:rsidP="005E7FAB">
      <w:pPr>
        <w:jc w:val="both"/>
        <w:rPr>
          <w:rFonts w:ascii="Arial" w:hAnsi="Arial" w:cs="Arial"/>
          <w:color w:val="000000" w:themeColor="text1"/>
          <w:sz w:val="20"/>
          <w:szCs w:val="20"/>
          <w:lang w:val="es-ES"/>
        </w:rPr>
      </w:pPr>
    </w:p>
    <w:p w14:paraId="727CB950" w14:textId="6C8C20B8" w:rsidR="001518A0" w:rsidRDefault="005E7FAB" w:rsidP="005E7FAB">
      <w:pPr>
        <w:jc w:val="both"/>
        <w:rPr>
          <w:rFonts w:ascii="Arial" w:hAnsi="Arial" w:cs="Arial"/>
          <w:color w:val="000000" w:themeColor="text1"/>
          <w:sz w:val="20"/>
          <w:szCs w:val="20"/>
          <w:lang w:val="es-ES"/>
        </w:rPr>
      </w:pPr>
      <w:r w:rsidRPr="005E7FAB">
        <w:rPr>
          <w:rFonts w:ascii="Arial" w:hAnsi="Arial" w:cs="Arial"/>
          <w:color w:val="000000" w:themeColor="text1"/>
          <w:sz w:val="20"/>
          <w:szCs w:val="20"/>
          <w:lang w:val="es-ES"/>
        </w:rPr>
        <w:t xml:space="preserve">Por ello, en el pliego de los documentos tipo implementados por las Resoluciones No. 044 y 045 de 2020, denominados «Documentos Tipo para procesos de menor cuantía de Infraestructura de Transporte» y «Versión 02 </w:t>
      </w:r>
      <w:r>
        <w:rPr>
          <w:rFonts w:ascii="Arial" w:hAnsi="Arial" w:cs="Arial"/>
          <w:color w:val="000000" w:themeColor="text1"/>
          <w:sz w:val="20"/>
          <w:szCs w:val="20"/>
          <w:lang w:val="es-ES"/>
        </w:rPr>
        <w:t>–</w:t>
      </w:r>
      <w:r w:rsidRPr="005E7FAB">
        <w:rPr>
          <w:rFonts w:ascii="Arial" w:hAnsi="Arial" w:cs="Arial"/>
          <w:color w:val="000000" w:themeColor="text1"/>
          <w:sz w:val="20"/>
          <w:szCs w:val="20"/>
          <w:lang w:val="es-ES"/>
        </w:rPr>
        <w:t xml:space="preserve"> Documentos Tipo para Licitación de Obra Pública de Infraestructura de Transporte», respectivamente, en su Capítulo III, correspondiente a los requisitos habilitantes, además de los requisitos mencionados en líneas anteriores, incluyó la «Visita al sitio de la obra»</w:t>
      </w:r>
      <w:r>
        <w:rPr>
          <w:rFonts w:ascii="Arial" w:hAnsi="Arial" w:cs="Arial"/>
          <w:color w:val="000000" w:themeColor="text1"/>
          <w:sz w:val="20"/>
          <w:szCs w:val="20"/>
          <w:lang w:val="es-ES"/>
        </w:rPr>
        <w:t>.</w:t>
      </w:r>
    </w:p>
    <w:p w14:paraId="2FF700D7" w14:textId="77777777" w:rsidR="005E7FAB" w:rsidRPr="00021C75" w:rsidRDefault="005E7FAB" w:rsidP="005E7FAB">
      <w:pPr>
        <w:jc w:val="both"/>
        <w:rPr>
          <w:rFonts w:ascii="Arial" w:hAnsi="Arial" w:cs="Arial"/>
          <w:color w:val="000000" w:themeColor="text1"/>
          <w:sz w:val="20"/>
          <w:szCs w:val="20"/>
          <w:lang w:val="es-ES_tradnl"/>
        </w:rPr>
      </w:pPr>
    </w:p>
    <w:p w14:paraId="35DE25FA" w14:textId="77777777" w:rsidR="001518A0" w:rsidRPr="00021C75" w:rsidRDefault="001518A0" w:rsidP="001518A0">
      <w:pPr>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 xml:space="preserve">VISITA </w:t>
      </w:r>
      <w:r>
        <w:rPr>
          <w:rFonts w:ascii="Arial" w:hAnsi="Arial" w:cs="Arial"/>
          <w:b/>
          <w:bCs/>
          <w:color w:val="000000" w:themeColor="text1"/>
          <w:sz w:val="22"/>
          <w:lang w:val="es-ES"/>
        </w:rPr>
        <w:t xml:space="preserve">AL SITIO DE LA </w:t>
      </w:r>
      <w:r w:rsidRPr="00021C75">
        <w:rPr>
          <w:rFonts w:ascii="Arial" w:hAnsi="Arial" w:cs="Arial"/>
          <w:b/>
          <w:bCs/>
          <w:color w:val="000000" w:themeColor="text1"/>
          <w:sz w:val="22"/>
          <w:lang w:val="es-ES"/>
        </w:rPr>
        <w:t>OBRA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Justificación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Obligatoriedad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Finalidad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w:t>
      </w:r>
      <w:r>
        <w:rPr>
          <w:rFonts w:ascii="Arial" w:hAnsi="Arial" w:cs="Arial"/>
          <w:b/>
          <w:bCs/>
          <w:color w:val="000000" w:themeColor="text1"/>
          <w:sz w:val="22"/>
          <w:lang w:val="es-ES"/>
        </w:rPr>
        <w:t xml:space="preserve">Evaluación condiciones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Ponderación económica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Ponderación riesgos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Cronograma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Modificación vista</w:t>
      </w:r>
    </w:p>
    <w:p w14:paraId="2663C1A9" w14:textId="77777777" w:rsidR="001518A0" w:rsidRPr="00021C75" w:rsidRDefault="001518A0" w:rsidP="001518A0">
      <w:pPr>
        <w:jc w:val="both"/>
        <w:rPr>
          <w:rFonts w:ascii="Arial" w:hAnsi="Arial" w:cs="Arial"/>
          <w:color w:val="000000" w:themeColor="text1"/>
          <w:sz w:val="20"/>
          <w:szCs w:val="20"/>
          <w:lang w:val="es-ES"/>
        </w:rPr>
      </w:pPr>
    </w:p>
    <w:p w14:paraId="5C094211" w14:textId="77777777" w:rsidR="001518A0" w:rsidRDefault="001518A0" w:rsidP="001518A0">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w:t>
      </w:r>
      <w:r>
        <w:rPr>
          <w:rFonts w:ascii="Arial" w:hAnsi="Arial" w:cs="Arial"/>
          <w:color w:val="000000" w:themeColor="text1"/>
          <w:sz w:val="20"/>
          <w:szCs w:val="20"/>
          <w:lang w:val="es-ES"/>
        </w:rPr>
        <w:t xml:space="preserve"> </w:t>
      </w:r>
      <w:r w:rsidRPr="00021C75">
        <w:rPr>
          <w:rFonts w:ascii="Arial" w:hAnsi="Arial" w:cs="Arial"/>
          <w:color w:val="000000" w:themeColor="text1"/>
          <w:sz w:val="20"/>
          <w:szCs w:val="20"/>
          <w:lang w:val="es-ES"/>
        </w:rPr>
        <w:t>la entidad estatal tiene la facultad de establecer la necesidad del mismo, es decir, puede incluir o no en su proyecto de pliego de condiciones la visita al sitio de la obra; dado el caso que decida incluirla, la entidad estatal tiene la obligación de justificar su necesidad desde los estudios previos.</w:t>
      </w:r>
    </w:p>
    <w:p w14:paraId="6A385F90" w14:textId="77777777" w:rsidR="001518A0" w:rsidRDefault="001518A0" w:rsidP="001518A0">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A su vez, en el evento que se incluya la visita al sitio de la obra en el proyecto de pliego de condiciones, corresponde a la entidad estatal determinar la obligatoriedad de la asistencia o no a la misma por parte de los posibles oferentes o interesados en el negocio jurídico.</w:t>
      </w:r>
    </w:p>
    <w:p w14:paraId="0FB70BE7" w14:textId="77777777" w:rsidR="001518A0" w:rsidRDefault="001518A0" w:rsidP="001518A0">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En segundo lugar, la visita al sitio de la obra tiene por finalidad que los proponentes evalúen todas las condiciones de tiempo, modo y lugar donde se ejecutará el contrato estatal, para que, de esta manera, realicen una ponderación adecuada de los aspectos económicos del proyecto, así como de los riesgos asociados al mismo; a partir de esas consideraciones los oferentes tendrán mejores elementos de juicio para construir la propuesta a presentar ante la Entidad estatal.</w:t>
      </w:r>
    </w:p>
    <w:p w14:paraId="7C5068AB" w14:textId="77777777" w:rsidR="001518A0" w:rsidRPr="00021C75" w:rsidRDefault="001518A0" w:rsidP="001518A0">
      <w:pPr>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En tercer lugar, corresponde a la entidad estatal establecer en el cronograma del Proceso de Contratación la fecha y hora en las que se llevará a cabo la Visita al sitio de la obra; sobre el particular, la entidad estatal obligatoriamente deberá tener en cuenta que: i) no se puede modificar la fecha de esa vista, salvo por circunstancias de fuerza mayor o caso fortuito, ii) si se modifica la fecha por las razones anotadas, esa modificación deberá realizarse al menos con un (1) día hábil de antelación y deberá programarse, nuevamente, como mínimo siete (7) días hábiles después de la programada inicialmente, iii) corresponde a la entidad estatal garantizar las condiciones de seguridad en la zona de los asistentes a la visita al sitio de la obra, y, iv) los costos asociados a la vista los asume el interesado en el proceso de contratación.</w:t>
      </w:r>
    </w:p>
    <w:p w14:paraId="33CC5A76" w14:textId="77777777" w:rsidR="001518A0" w:rsidRPr="00021C75" w:rsidRDefault="001518A0" w:rsidP="001518A0">
      <w:pPr>
        <w:jc w:val="both"/>
        <w:rPr>
          <w:rFonts w:ascii="Arial" w:hAnsi="Arial" w:cs="Arial"/>
          <w:color w:val="000000" w:themeColor="text1"/>
          <w:sz w:val="20"/>
          <w:szCs w:val="20"/>
          <w:lang w:val="es-ES"/>
        </w:rPr>
      </w:pPr>
    </w:p>
    <w:p w14:paraId="41B741E6" w14:textId="77777777" w:rsidR="001518A0" w:rsidRPr="00021C75" w:rsidRDefault="001518A0" w:rsidP="001518A0">
      <w:pPr>
        <w:jc w:val="both"/>
        <w:rPr>
          <w:rFonts w:ascii="Arial" w:hAnsi="Arial" w:cs="Arial"/>
          <w:color w:val="000000" w:themeColor="text1"/>
          <w:sz w:val="22"/>
          <w:lang w:val="es-ES"/>
        </w:rPr>
      </w:pPr>
      <w:r w:rsidRPr="00021C75">
        <w:rPr>
          <w:rFonts w:ascii="Arial" w:hAnsi="Arial" w:cs="Arial"/>
          <w:b/>
          <w:bCs/>
          <w:color w:val="000000" w:themeColor="text1"/>
          <w:sz w:val="22"/>
          <w:lang w:val="es-ES"/>
        </w:rPr>
        <w:t xml:space="preserve">ASISTENTES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Representante legal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021C75">
        <w:rPr>
          <w:rFonts w:ascii="Arial" w:hAnsi="Arial" w:cs="Arial"/>
          <w:b/>
          <w:bCs/>
          <w:color w:val="000000" w:themeColor="text1"/>
          <w:sz w:val="22"/>
          <w:lang w:val="es-ES"/>
        </w:rPr>
        <w:t xml:space="preserve">Representación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Proponente plural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Acta registro</w:t>
      </w:r>
    </w:p>
    <w:p w14:paraId="2E67F703" w14:textId="77777777" w:rsidR="001518A0" w:rsidRPr="00021C75" w:rsidRDefault="001518A0" w:rsidP="001518A0">
      <w:pPr>
        <w:jc w:val="both"/>
        <w:rPr>
          <w:rFonts w:ascii="Arial" w:hAnsi="Arial" w:cs="Arial"/>
          <w:color w:val="000000" w:themeColor="text1"/>
          <w:sz w:val="20"/>
          <w:szCs w:val="20"/>
          <w:lang w:val="es-ES"/>
        </w:rPr>
      </w:pPr>
    </w:p>
    <w:p w14:paraId="657BFB7D" w14:textId="77777777" w:rsidR="001518A0" w:rsidRDefault="001518A0" w:rsidP="001518A0">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w:t>
      </w:r>
      <w:r>
        <w:rPr>
          <w:rFonts w:ascii="Arial" w:hAnsi="Arial" w:cs="Arial"/>
          <w:color w:val="000000" w:themeColor="text1"/>
          <w:sz w:val="20"/>
          <w:szCs w:val="20"/>
          <w:lang w:val="es-ES"/>
        </w:rPr>
        <w:t xml:space="preserve"> </w:t>
      </w:r>
      <w:r w:rsidRPr="00021C75">
        <w:rPr>
          <w:rFonts w:ascii="Arial" w:hAnsi="Arial" w:cs="Arial"/>
          <w:color w:val="000000" w:themeColor="text1"/>
          <w:sz w:val="20"/>
          <w:szCs w:val="20"/>
          <w:lang w:val="es-ES"/>
        </w:rPr>
        <w:t>tratándose de los asistentes a la visita al sitio de la obra, se tiene que pueden concurrir el representante legal de la persona jurídica o la persona natural que presentarán la propuesta o en su defecto, aquellas personas mediante autorización por ellas suscrita, pueden delegar la asistencia a la visita al sitio de la obra en otra persona, siempre y cuando esta última tenga el título de ingeniero; es decir, quien asiste en representación de otros debe cumplir con una condición cualificada que acredita su competencia e idoneidad para la visita.</w:t>
      </w:r>
    </w:p>
    <w:p w14:paraId="606BDC99" w14:textId="77777777" w:rsidR="001518A0" w:rsidRPr="00021C75" w:rsidRDefault="001518A0" w:rsidP="001518A0">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lastRenderedPageBreak/>
        <w:t>Si el proponente es plural, basta con que al menos uno de los futuros integrantes cumpla con la obligación de asistir a la visita al sitio de la obra; igualmente, los representantes legales de las personas jurídicas o personas naturales integrantes del proponente plural puede asistir personalmente a esa vista o podrán delegar la asistencia a la misma siempre y cuando se cumpla con la condición atrás anotada.</w:t>
      </w:r>
    </w:p>
    <w:p w14:paraId="24FAD2E5" w14:textId="77777777" w:rsidR="001518A0" w:rsidRDefault="001518A0" w:rsidP="001518A0">
      <w:pPr>
        <w:spacing w:after="120"/>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Se debe resaltar que, el acto de delegación o autorización de asistencia a la visita al sitio de la obra no requiere de formalidad o solemnidad alguna; no es necesario que a ese documento se le realice acto de presentación personal o autenticación ante notario.</w:t>
      </w:r>
    </w:p>
    <w:p w14:paraId="45795197" w14:textId="77777777" w:rsidR="001518A0" w:rsidRPr="00021C75" w:rsidRDefault="001518A0" w:rsidP="001518A0">
      <w:pPr>
        <w:jc w:val="both"/>
        <w:rPr>
          <w:rFonts w:ascii="Arial" w:hAnsi="Arial" w:cs="Arial"/>
          <w:color w:val="000000" w:themeColor="text1"/>
          <w:sz w:val="20"/>
          <w:szCs w:val="20"/>
          <w:lang w:val="es-ES"/>
        </w:rPr>
      </w:pPr>
      <w:r w:rsidRPr="00021C75">
        <w:rPr>
          <w:rFonts w:ascii="Arial" w:hAnsi="Arial" w:cs="Arial"/>
          <w:color w:val="000000" w:themeColor="text1"/>
          <w:sz w:val="20"/>
          <w:szCs w:val="20"/>
          <w:lang w:val="es-ES"/>
        </w:rPr>
        <w:t>[…]</w:t>
      </w:r>
      <w:r>
        <w:rPr>
          <w:rFonts w:ascii="Arial" w:hAnsi="Arial" w:cs="Arial"/>
          <w:color w:val="000000" w:themeColor="text1"/>
          <w:sz w:val="20"/>
          <w:szCs w:val="20"/>
          <w:lang w:val="es-ES"/>
        </w:rPr>
        <w:t xml:space="preserve"> </w:t>
      </w:r>
      <w:r w:rsidRPr="00021C75">
        <w:rPr>
          <w:rFonts w:ascii="Arial" w:hAnsi="Arial" w:cs="Arial"/>
          <w:color w:val="000000" w:themeColor="text1"/>
          <w:sz w:val="20"/>
          <w:szCs w:val="20"/>
          <w:lang w:val="es-ES"/>
        </w:rPr>
        <w:t>una vez realizada la visita al sitio de la obra, la entidad estatal deberá levantar un acta en la que se registrará, entre otros, i) el nombre de las personas que participan en representación de la entidad estatal y ii) el nombre de las personas que participan en condición de proponentes o representantes de los proponentes; esa asistencia se verificará con la cédula de ciudadanía y la tarjeta profesional que acredite la condición de ingeniero; esta última cuando el asistente actúe por delegación o autorización de un proponente.</w:t>
      </w:r>
    </w:p>
    <w:p w14:paraId="5A3BE2BF" w14:textId="77777777" w:rsidR="001518A0" w:rsidRPr="00021C75" w:rsidRDefault="001518A0" w:rsidP="001518A0">
      <w:pPr>
        <w:jc w:val="both"/>
        <w:rPr>
          <w:rFonts w:ascii="Arial" w:hAnsi="Arial" w:cs="Arial"/>
          <w:color w:val="000000" w:themeColor="text1"/>
          <w:sz w:val="20"/>
          <w:szCs w:val="20"/>
          <w:lang w:val="es-ES"/>
        </w:rPr>
      </w:pPr>
    </w:p>
    <w:p w14:paraId="4676B1DF" w14:textId="77777777" w:rsidR="001518A0" w:rsidRDefault="001518A0" w:rsidP="001518A0">
      <w:pPr>
        <w:jc w:val="both"/>
        <w:rPr>
          <w:rFonts w:ascii="Arial" w:hAnsi="Arial" w:cs="Arial"/>
          <w:b/>
          <w:bCs/>
          <w:color w:val="000000" w:themeColor="text1"/>
          <w:sz w:val="22"/>
          <w:lang w:val="es-ES"/>
        </w:rPr>
      </w:pPr>
      <w:r w:rsidRPr="00021C75">
        <w:rPr>
          <w:rFonts w:ascii="Arial" w:hAnsi="Arial" w:cs="Arial"/>
          <w:b/>
          <w:bCs/>
          <w:color w:val="000000" w:themeColor="text1"/>
          <w:sz w:val="22"/>
          <w:lang w:val="es-ES"/>
        </w:rPr>
        <w:t>CAUSAL</w:t>
      </w:r>
      <w:r>
        <w:rPr>
          <w:rFonts w:ascii="Arial" w:hAnsi="Arial" w:cs="Arial"/>
          <w:b/>
          <w:bCs/>
          <w:color w:val="000000" w:themeColor="text1"/>
          <w:sz w:val="22"/>
          <w:lang w:val="es-ES"/>
        </w:rPr>
        <w:t>ES</w:t>
      </w:r>
      <w:r w:rsidRPr="00021C75">
        <w:rPr>
          <w:rFonts w:ascii="Arial" w:hAnsi="Arial" w:cs="Arial"/>
          <w:b/>
          <w:bCs/>
          <w:color w:val="000000" w:themeColor="text1"/>
          <w:sz w:val="22"/>
          <w:lang w:val="es-ES"/>
        </w:rPr>
        <w:t xml:space="preserve"> DE RECHAZO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Documentos tipo </w:t>
      </w:r>
      <w:r w:rsidRPr="006C15D5">
        <w:rPr>
          <w:rFonts w:ascii="Arial" w:eastAsia="Calibri" w:hAnsi="Arial" w:cs="Arial"/>
          <w:b/>
          <w:color w:val="000000" w:themeColor="text1"/>
          <w:sz w:val="22"/>
        </w:rPr>
        <w:t>–</w:t>
      </w:r>
      <w:r w:rsidRPr="00021C75">
        <w:rPr>
          <w:rFonts w:ascii="Arial" w:hAnsi="Arial" w:cs="Arial"/>
          <w:b/>
          <w:bCs/>
          <w:color w:val="000000" w:themeColor="text1"/>
          <w:sz w:val="22"/>
          <w:lang w:val="es-ES"/>
        </w:rPr>
        <w:t xml:space="preserve"> Inasistencia visita</w:t>
      </w:r>
    </w:p>
    <w:p w14:paraId="60324255" w14:textId="77777777" w:rsidR="005E7FAB" w:rsidRPr="00021C75" w:rsidRDefault="005E7FAB" w:rsidP="001518A0">
      <w:pPr>
        <w:jc w:val="both"/>
        <w:rPr>
          <w:rFonts w:ascii="Arial" w:hAnsi="Arial" w:cs="Arial"/>
          <w:b/>
          <w:bCs/>
          <w:color w:val="000000" w:themeColor="text1"/>
          <w:sz w:val="22"/>
          <w:lang w:val="es-ES"/>
        </w:rPr>
      </w:pPr>
    </w:p>
    <w:p w14:paraId="2F3D8EAA" w14:textId="521A8D4A" w:rsidR="001518A0" w:rsidRPr="005E7FAB" w:rsidRDefault="005E7FAB" w:rsidP="00914C81">
      <w:pPr>
        <w:jc w:val="both"/>
        <w:rPr>
          <w:rFonts w:ascii="Arial" w:hAnsi="Arial" w:cs="Arial"/>
          <w:b/>
          <w:bCs/>
          <w:color w:val="000000" w:themeColor="text1"/>
          <w:sz w:val="22"/>
          <w:lang w:val="es-ES"/>
        </w:rPr>
      </w:pPr>
      <w:r>
        <w:rPr>
          <w:rFonts w:ascii="Arial" w:hAnsi="Arial" w:cs="Arial"/>
          <w:color w:val="000000" w:themeColor="text1"/>
          <w:sz w:val="20"/>
          <w:szCs w:val="20"/>
          <w:lang w:val="es-ES"/>
        </w:rPr>
        <w:t xml:space="preserve">[…] </w:t>
      </w:r>
      <w:r w:rsidRPr="005E7FAB">
        <w:rPr>
          <w:rFonts w:ascii="Arial" w:hAnsi="Arial" w:cs="Arial"/>
          <w:color w:val="000000" w:themeColor="text1"/>
          <w:sz w:val="20"/>
          <w:szCs w:val="20"/>
          <w:lang w:val="es-ES"/>
        </w:rPr>
        <w:t>la entidad estatal de manera discrecional y en los términos establecidos en los pliegos tipo podrá establecer la necesidad de la visita al sitio de la obra, así como la obligatoriedad de la asistencia a esa visita en los Procesos de Contratación de obras de infraestructura de transporte en las modalidades de selección del contratista correspondiente a licitación pública o selección abreviada de menor cuantía; en el caso que se establezca como obligatoria y no se asista da lugar a la configuración de la causal de rechazo contenida en el literal w) del documento base.</w:t>
      </w:r>
    </w:p>
    <w:p w14:paraId="6796ECF7" w14:textId="77777777" w:rsidR="00914C81" w:rsidRPr="00250FBA" w:rsidRDefault="00914C81" w:rsidP="00914C81">
      <w:pPr>
        <w:jc w:val="both"/>
        <w:rPr>
          <w:rFonts w:ascii="Arial" w:hAnsi="Arial" w:cs="Arial"/>
          <w:color w:val="000000" w:themeColor="text1"/>
          <w:sz w:val="22"/>
        </w:rPr>
      </w:pPr>
    </w:p>
    <w:p w14:paraId="240DBE70" w14:textId="61356205" w:rsidR="00914C81" w:rsidRDefault="00914C81" w:rsidP="00914C81">
      <w:pPr>
        <w:pStyle w:val="Default"/>
        <w:rPr>
          <w:b/>
          <w:bCs/>
          <w:sz w:val="22"/>
          <w:szCs w:val="22"/>
        </w:rPr>
      </w:pPr>
      <w:r w:rsidRPr="00021C75">
        <w:rPr>
          <w:color w:val="000000" w:themeColor="text1"/>
          <w:sz w:val="22"/>
        </w:rPr>
        <w:t xml:space="preserve">Bogotá D.C., </w:t>
      </w:r>
      <w:r w:rsidR="00812814">
        <w:rPr>
          <w:color w:val="000000" w:themeColor="text1"/>
          <w:sz w:val="22"/>
        </w:rPr>
        <w:t>18</w:t>
      </w:r>
      <w:r w:rsidRPr="00021C75">
        <w:rPr>
          <w:b/>
          <w:bCs/>
          <w:color w:val="000000" w:themeColor="text1"/>
          <w:sz w:val="22"/>
        </w:rPr>
        <w:t>/</w:t>
      </w:r>
      <w:r w:rsidR="00812814">
        <w:rPr>
          <w:b/>
          <w:bCs/>
          <w:color w:val="000000" w:themeColor="text1"/>
          <w:sz w:val="22"/>
        </w:rPr>
        <w:t>09/2020</w:t>
      </w:r>
      <w:r>
        <w:rPr>
          <w:b/>
          <w:bCs/>
          <w:color w:val="000000" w:themeColor="text1"/>
          <w:sz w:val="22"/>
        </w:rPr>
        <w:t xml:space="preserve"> </w:t>
      </w:r>
      <w:r w:rsidR="000467E0">
        <w:rPr>
          <w:b/>
          <w:bCs/>
          <w:sz w:val="22"/>
          <w:szCs w:val="22"/>
        </w:rPr>
        <w:t xml:space="preserve">Hora </w:t>
      </w:r>
      <w:r w:rsidR="00812814">
        <w:rPr>
          <w:b/>
          <w:bCs/>
          <w:sz w:val="22"/>
          <w:szCs w:val="22"/>
        </w:rPr>
        <w:t>13</w:t>
      </w:r>
      <w:r>
        <w:rPr>
          <w:b/>
          <w:bCs/>
          <w:sz w:val="22"/>
          <w:szCs w:val="22"/>
        </w:rPr>
        <w:t>:</w:t>
      </w:r>
      <w:r w:rsidR="00812814">
        <w:rPr>
          <w:b/>
          <w:bCs/>
          <w:sz w:val="22"/>
          <w:szCs w:val="22"/>
        </w:rPr>
        <w:t>42</w:t>
      </w:r>
      <w:r>
        <w:rPr>
          <w:b/>
          <w:bCs/>
          <w:sz w:val="22"/>
          <w:szCs w:val="22"/>
        </w:rPr>
        <w:t>:</w:t>
      </w:r>
      <w:r w:rsidR="00812814">
        <w:rPr>
          <w:b/>
          <w:bCs/>
          <w:sz w:val="22"/>
          <w:szCs w:val="22"/>
        </w:rPr>
        <w:t>30</w:t>
      </w:r>
    </w:p>
    <w:p w14:paraId="66782196" w14:textId="77777777" w:rsidR="00511838" w:rsidRPr="00250FBA" w:rsidRDefault="00511838" w:rsidP="00914C81">
      <w:pPr>
        <w:pStyle w:val="Default"/>
        <w:rPr>
          <w:rFonts w:eastAsia="Calibri"/>
          <w:color w:val="000000" w:themeColor="text1"/>
          <w:sz w:val="22"/>
          <w:szCs w:val="22"/>
        </w:rPr>
      </w:pPr>
    </w:p>
    <w:p w14:paraId="3E4F8815" w14:textId="4EE4137B" w:rsidR="00914C81" w:rsidRDefault="00914C81" w:rsidP="00914C81">
      <w:pPr>
        <w:jc w:val="right"/>
        <w:rPr>
          <w:rFonts w:ascii="Arial" w:hAnsi="Arial" w:cs="Arial"/>
          <w:b/>
          <w:color w:val="000000" w:themeColor="text1"/>
          <w:sz w:val="22"/>
        </w:rPr>
      </w:pPr>
      <w:r w:rsidRPr="00021C75">
        <w:rPr>
          <w:rFonts w:ascii="Arial" w:hAnsi="Arial" w:cs="Arial"/>
          <w:b/>
          <w:color w:val="000000" w:themeColor="text1"/>
          <w:sz w:val="22"/>
        </w:rPr>
        <w:t>N° Radicado:</w:t>
      </w:r>
      <w:r w:rsidR="000467E0">
        <w:rPr>
          <w:rFonts w:ascii="Arial" w:hAnsi="Arial" w:cs="Arial"/>
          <w:b/>
          <w:color w:val="000000" w:themeColor="text1"/>
          <w:sz w:val="22"/>
        </w:rPr>
        <w:t xml:space="preserve"> </w:t>
      </w:r>
      <w:r w:rsidR="00C71B3F" w:rsidRPr="00C71B3F">
        <w:rPr>
          <w:rFonts w:ascii="Arial" w:hAnsi="Arial" w:cs="Arial"/>
          <w:b/>
          <w:color w:val="000000" w:themeColor="text1"/>
          <w:sz w:val="22"/>
        </w:rPr>
        <w:t>2202013000008950</w:t>
      </w:r>
    </w:p>
    <w:p w14:paraId="7E5CFEC4" w14:textId="77777777" w:rsidR="00511838" w:rsidRDefault="00511838" w:rsidP="00914C81">
      <w:pPr>
        <w:rPr>
          <w:rFonts w:ascii="Arial" w:eastAsia="Calibri" w:hAnsi="Arial" w:cs="Arial"/>
          <w:color w:val="000000" w:themeColor="text1"/>
          <w:sz w:val="22"/>
        </w:rPr>
      </w:pPr>
    </w:p>
    <w:p w14:paraId="6C6B6F36" w14:textId="77777777" w:rsidR="00914C81" w:rsidRPr="00021C75" w:rsidRDefault="00A1171D" w:rsidP="00914C81">
      <w:pPr>
        <w:rPr>
          <w:rFonts w:ascii="Arial" w:eastAsia="Calibri" w:hAnsi="Arial" w:cs="Arial"/>
          <w:color w:val="000000" w:themeColor="text1"/>
          <w:sz w:val="22"/>
        </w:rPr>
      </w:pPr>
      <w:r>
        <w:rPr>
          <w:rFonts w:ascii="Arial" w:eastAsia="Calibri" w:hAnsi="Arial" w:cs="Arial"/>
          <w:color w:val="000000" w:themeColor="text1"/>
          <w:sz w:val="22"/>
        </w:rPr>
        <w:t>Señor</w:t>
      </w:r>
    </w:p>
    <w:p w14:paraId="70965670" w14:textId="77777777" w:rsidR="00914C81" w:rsidRDefault="00A1171D" w:rsidP="00914C81">
      <w:pPr>
        <w:rPr>
          <w:rFonts w:ascii="Arial" w:eastAsia="Calibri" w:hAnsi="Arial" w:cs="Arial"/>
          <w:b/>
          <w:color w:val="000000" w:themeColor="text1"/>
          <w:sz w:val="22"/>
        </w:rPr>
      </w:pPr>
      <w:r>
        <w:rPr>
          <w:rFonts w:ascii="Arial" w:eastAsia="Calibri" w:hAnsi="Arial" w:cs="Arial"/>
          <w:b/>
          <w:color w:val="000000" w:themeColor="text1"/>
          <w:sz w:val="22"/>
        </w:rPr>
        <w:t>John Domínguez</w:t>
      </w:r>
    </w:p>
    <w:p w14:paraId="527EEF36" w14:textId="77777777" w:rsidR="00914C81" w:rsidRDefault="00914C81" w:rsidP="00914C81">
      <w:pPr>
        <w:rPr>
          <w:rFonts w:ascii="Arial" w:eastAsia="Calibri" w:hAnsi="Arial" w:cs="Arial"/>
          <w:color w:val="000000" w:themeColor="text1"/>
          <w:sz w:val="22"/>
        </w:rPr>
      </w:pPr>
      <w:r w:rsidRPr="00021C75">
        <w:rPr>
          <w:rFonts w:ascii="Arial" w:eastAsia="Calibri" w:hAnsi="Arial" w:cs="Arial"/>
          <w:color w:val="000000" w:themeColor="text1"/>
          <w:sz w:val="22"/>
        </w:rPr>
        <w:t>Ciudad</w:t>
      </w:r>
    </w:p>
    <w:p w14:paraId="6AABD371" w14:textId="3FDB16C1" w:rsidR="00914C81" w:rsidRDefault="00914C81" w:rsidP="00914C81">
      <w:pPr>
        <w:rPr>
          <w:rFonts w:ascii="Arial" w:eastAsia="Calibri" w:hAnsi="Arial" w:cs="Arial"/>
          <w:color w:val="000000" w:themeColor="text1"/>
          <w:sz w:val="22"/>
        </w:rPr>
      </w:pPr>
    </w:p>
    <w:p w14:paraId="5304BA5C" w14:textId="77777777" w:rsidR="00511838" w:rsidRDefault="00511838" w:rsidP="00914C81">
      <w:pPr>
        <w:rPr>
          <w:rFonts w:ascii="Arial" w:eastAsia="Calibri" w:hAnsi="Arial" w:cs="Arial"/>
          <w:color w:val="000000" w:themeColor="text1"/>
          <w:sz w:val="22"/>
        </w:rPr>
      </w:pPr>
    </w:p>
    <w:p w14:paraId="5CDB744F" w14:textId="14D85CBE" w:rsidR="00914C81" w:rsidRPr="00021C75" w:rsidRDefault="00511838" w:rsidP="00250FBA">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225357">
        <w:rPr>
          <w:rFonts w:ascii="Arial" w:eastAsia="Calibri" w:hAnsi="Arial" w:cs="Arial"/>
          <w:b/>
          <w:color w:val="000000" w:themeColor="text1"/>
          <w:sz w:val="22"/>
        </w:rPr>
        <w:t xml:space="preserve">Concepto C </w:t>
      </w:r>
      <w:r w:rsidR="00DB7E62">
        <w:rPr>
          <w:rFonts w:ascii="Arial" w:eastAsia="Calibri" w:hAnsi="Arial" w:cs="Arial"/>
          <w:b/>
          <w:color w:val="000000" w:themeColor="text1"/>
          <w:sz w:val="22"/>
        </w:rPr>
        <w:t>–</w:t>
      </w:r>
      <w:r w:rsidR="00225357">
        <w:rPr>
          <w:rFonts w:ascii="Arial" w:eastAsia="Calibri" w:hAnsi="Arial" w:cs="Arial"/>
          <w:b/>
          <w:color w:val="000000" w:themeColor="text1"/>
          <w:sz w:val="22"/>
        </w:rPr>
        <w:t xml:space="preserve"> 602</w:t>
      </w:r>
      <w:r w:rsidR="00914C81" w:rsidRPr="00021C75">
        <w:rPr>
          <w:rFonts w:ascii="Arial" w:eastAsia="Calibri" w:hAnsi="Arial" w:cs="Arial"/>
          <w:b/>
          <w:color w:val="000000" w:themeColor="text1"/>
          <w:sz w:val="22"/>
        </w:rPr>
        <w:t xml:space="preserve"> de 2020</w:t>
      </w:r>
    </w:p>
    <w:p w14:paraId="6A09E7DE" w14:textId="77777777" w:rsidR="00914C81" w:rsidRPr="00021C75" w:rsidRDefault="00914C81" w:rsidP="00914C8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14C81" w:rsidRPr="00021C75" w14:paraId="72149192" w14:textId="77777777" w:rsidTr="00A5539C">
        <w:tc>
          <w:tcPr>
            <w:tcW w:w="2689" w:type="dxa"/>
            <w:hideMark/>
          </w:tcPr>
          <w:p w14:paraId="19112271" w14:textId="77777777" w:rsidR="00914C81" w:rsidRPr="00021C75" w:rsidRDefault="00914C81" w:rsidP="00A5539C">
            <w:pPr>
              <w:rPr>
                <w:rFonts w:ascii="Arial" w:eastAsia="Calibri" w:hAnsi="Arial" w:cs="Arial"/>
                <w:color w:val="000000" w:themeColor="text1"/>
                <w:sz w:val="22"/>
              </w:rPr>
            </w:pPr>
            <w:r w:rsidRPr="00021C75">
              <w:rPr>
                <w:rFonts w:ascii="Arial" w:eastAsia="Calibri" w:hAnsi="Arial" w:cs="Arial"/>
                <w:b/>
                <w:color w:val="000000" w:themeColor="text1"/>
                <w:sz w:val="22"/>
              </w:rPr>
              <w:t>Temas:</w:t>
            </w:r>
            <w:r w:rsidRPr="00021C75">
              <w:rPr>
                <w:rFonts w:ascii="Arial" w:eastAsia="Calibri" w:hAnsi="Arial" w:cs="Arial"/>
                <w:color w:val="000000" w:themeColor="text1"/>
                <w:sz w:val="22"/>
              </w:rPr>
              <w:t xml:space="preserve">           </w:t>
            </w:r>
          </w:p>
          <w:p w14:paraId="41630704" w14:textId="77777777" w:rsidR="00914C81" w:rsidRPr="00021C75" w:rsidRDefault="00914C81" w:rsidP="00A5539C">
            <w:pPr>
              <w:rPr>
                <w:rFonts w:ascii="Arial" w:eastAsia="Calibri" w:hAnsi="Arial" w:cs="Arial"/>
                <w:color w:val="000000" w:themeColor="text1"/>
                <w:sz w:val="22"/>
              </w:rPr>
            </w:pPr>
            <w:r w:rsidRPr="00021C75">
              <w:rPr>
                <w:rFonts w:ascii="Arial" w:eastAsia="Calibri" w:hAnsi="Arial" w:cs="Arial"/>
                <w:color w:val="000000" w:themeColor="text1"/>
                <w:sz w:val="22"/>
              </w:rPr>
              <w:t xml:space="preserve">                           </w:t>
            </w:r>
          </w:p>
        </w:tc>
        <w:tc>
          <w:tcPr>
            <w:tcW w:w="6237" w:type="dxa"/>
            <w:hideMark/>
          </w:tcPr>
          <w:p w14:paraId="1B376691" w14:textId="1D0EB716" w:rsidR="00914C81" w:rsidRDefault="001518A0" w:rsidP="00250FBA">
            <w:pPr>
              <w:spacing w:after="120"/>
              <w:jc w:val="both"/>
              <w:rPr>
                <w:rFonts w:ascii="Arial" w:hAnsi="Arial" w:cs="Arial"/>
                <w:color w:val="000000" w:themeColor="text1"/>
                <w:sz w:val="22"/>
                <w:lang w:val="es-ES"/>
              </w:rPr>
            </w:pPr>
            <w:r w:rsidRPr="00A71B85">
              <w:rPr>
                <w:rFonts w:ascii="Arial" w:eastAsia="Calibri" w:hAnsi="Arial" w:cs="Arial"/>
                <w:sz w:val="22"/>
                <w:lang w:val="es-ES_tradnl"/>
              </w:rPr>
              <w:t xml:space="preserve">FUNCIÓN CONSULTIVA </w:t>
            </w:r>
            <w:r>
              <w:rPr>
                <w:rFonts w:ascii="Arial" w:eastAsia="Calibri" w:hAnsi="Arial" w:cs="Arial"/>
                <w:sz w:val="22"/>
                <w:lang w:val="es-ES_tradnl"/>
              </w:rPr>
              <w:t>–</w:t>
            </w:r>
            <w:r w:rsidRPr="00A71B85">
              <w:rPr>
                <w:rFonts w:ascii="Arial" w:eastAsia="Calibri" w:hAnsi="Arial" w:cs="Arial"/>
                <w:sz w:val="22"/>
                <w:lang w:val="es-ES_tradnl"/>
              </w:rPr>
              <w:t xml:space="preserve"> Alcance</w:t>
            </w:r>
            <w:r w:rsidR="002E013D">
              <w:rPr>
                <w:rFonts w:ascii="Arial" w:eastAsia="Calibri" w:hAnsi="Arial" w:cs="Arial"/>
                <w:sz w:val="22"/>
                <w:lang w:val="es-ES_tradnl"/>
              </w:rPr>
              <w:t xml:space="preserve"> </w:t>
            </w:r>
            <w:r w:rsidRPr="001E0FC7">
              <w:rPr>
                <w:rFonts w:ascii="Arial" w:eastAsia="Calibri" w:hAnsi="Arial" w:cs="Arial"/>
                <w:sz w:val="22"/>
                <w:lang w:val="es-ES_tradnl"/>
              </w:rPr>
              <w:t>– Objeto</w:t>
            </w:r>
            <w:r w:rsidR="002E013D">
              <w:rPr>
                <w:rFonts w:ascii="Arial" w:eastAsia="Calibri" w:hAnsi="Arial" w:cs="Arial"/>
                <w:sz w:val="22"/>
                <w:lang w:val="es-ES_tradnl"/>
              </w:rPr>
              <w:t xml:space="preserve"> /</w:t>
            </w:r>
            <w:r w:rsidRPr="00021C75">
              <w:rPr>
                <w:rFonts w:ascii="Arial" w:hAnsi="Arial" w:cs="Arial"/>
                <w:color w:val="000000" w:themeColor="text1"/>
                <w:sz w:val="22"/>
                <w:lang w:val="es-ES"/>
              </w:rPr>
              <w:t xml:space="preserve"> </w:t>
            </w:r>
            <w:r w:rsidR="00914C81" w:rsidRPr="00021C75">
              <w:rPr>
                <w:rFonts w:ascii="Arial" w:hAnsi="Arial" w:cs="Arial"/>
                <w:color w:val="000000" w:themeColor="text1"/>
                <w:sz w:val="22"/>
                <w:lang w:val="es-ES"/>
              </w:rPr>
              <w:t>DOCUMENTOS TIPO ─ Régimen jurídico / DOCUMENTOS TIPO ─ Desarrollo ─ Implementación</w:t>
            </w:r>
            <w:r w:rsidR="00914C81" w:rsidRPr="00021C75">
              <w:rPr>
                <w:rFonts w:ascii="Arial" w:eastAsia="Calibri" w:hAnsi="Arial" w:cs="Arial"/>
                <w:color w:val="000000" w:themeColor="text1"/>
                <w:sz w:val="22"/>
              </w:rPr>
              <w:t xml:space="preserve"> / </w:t>
            </w:r>
            <w:r w:rsidR="00914C81" w:rsidRPr="00021C75">
              <w:rPr>
                <w:rFonts w:ascii="Arial" w:hAnsi="Arial" w:cs="Arial"/>
                <w:color w:val="000000" w:themeColor="text1"/>
                <w:sz w:val="22"/>
                <w:lang w:val="es-ES"/>
              </w:rPr>
              <w:t xml:space="preserve">VISITA </w:t>
            </w:r>
            <w:r w:rsidR="00914C81">
              <w:rPr>
                <w:rFonts w:ascii="Arial" w:hAnsi="Arial" w:cs="Arial"/>
                <w:color w:val="000000" w:themeColor="text1"/>
                <w:sz w:val="22"/>
                <w:lang w:val="es-ES"/>
              </w:rPr>
              <w:t xml:space="preserve">AL SITIO DE LA </w:t>
            </w:r>
            <w:r w:rsidR="00914C81" w:rsidRPr="00021C75">
              <w:rPr>
                <w:rFonts w:ascii="Arial" w:hAnsi="Arial" w:cs="Arial"/>
                <w:color w:val="000000" w:themeColor="text1"/>
                <w:sz w:val="22"/>
                <w:lang w:val="es-ES"/>
              </w:rPr>
              <w:t xml:space="preserve">OBRA ─ Documento base ─ Requisitos habilitantes ─ Visita sitio obra / VISITA </w:t>
            </w:r>
            <w:r w:rsidR="00914C81">
              <w:rPr>
                <w:rFonts w:ascii="Arial" w:hAnsi="Arial" w:cs="Arial"/>
                <w:color w:val="000000" w:themeColor="text1"/>
                <w:sz w:val="22"/>
                <w:lang w:val="es-ES"/>
              </w:rPr>
              <w:t xml:space="preserve">AL SITIO DE LA </w:t>
            </w:r>
            <w:r w:rsidR="00914C81" w:rsidRPr="00021C75">
              <w:rPr>
                <w:rFonts w:ascii="Arial" w:hAnsi="Arial" w:cs="Arial"/>
                <w:color w:val="000000" w:themeColor="text1"/>
                <w:sz w:val="22"/>
                <w:lang w:val="es-ES"/>
              </w:rPr>
              <w:t>OBRA ─ Justificación ─ Obligatoriedad ─ Finalidad ─ Evaluación condiciones ─ Ponderación económica ─ Ponderación riesgos ─ Cronograma ─ Modificación vista / ASISTENTES ─ Representante legal ─ Representación ─ Proponente plural ─ Acta registro / CAUSAL</w:t>
            </w:r>
            <w:r w:rsidR="00914C81">
              <w:rPr>
                <w:rFonts w:ascii="Arial" w:hAnsi="Arial" w:cs="Arial"/>
                <w:color w:val="000000" w:themeColor="text1"/>
                <w:sz w:val="22"/>
                <w:lang w:val="es-ES"/>
              </w:rPr>
              <w:t>ES</w:t>
            </w:r>
            <w:r w:rsidR="00914C81" w:rsidRPr="00021C75">
              <w:rPr>
                <w:rFonts w:ascii="Arial" w:hAnsi="Arial" w:cs="Arial"/>
                <w:color w:val="000000" w:themeColor="text1"/>
                <w:sz w:val="22"/>
                <w:lang w:val="es-ES"/>
              </w:rPr>
              <w:t xml:space="preserve"> DE RECHAZO ─ Documentos tipo ─ Inasistencia visita</w:t>
            </w:r>
          </w:p>
          <w:p w14:paraId="37667EA0" w14:textId="77777777" w:rsidR="00914C81" w:rsidRPr="00021C75" w:rsidRDefault="00914C81" w:rsidP="00A5539C">
            <w:pPr>
              <w:jc w:val="both"/>
              <w:rPr>
                <w:rFonts w:ascii="Arial" w:eastAsia="Calibri" w:hAnsi="Arial" w:cs="Arial"/>
                <w:color w:val="000000" w:themeColor="text1"/>
                <w:sz w:val="22"/>
              </w:rPr>
            </w:pPr>
          </w:p>
        </w:tc>
      </w:tr>
      <w:tr w:rsidR="00914C81" w:rsidRPr="00021C75" w14:paraId="65A6FCCD" w14:textId="77777777" w:rsidTr="00A5539C">
        <w:tc>
          <w:tcPr>
            <w:tcW w:w="2689" w:type="dxa"/>
          </w:tcPr>
          <w:p w14:paraId="1A2178E4" w14:textId="77777777" w:rsidR="00914C81" w:rsidRPr="00021C75" w:rsidRDefault="00914C81" w:rsidP="00A5539C">
            <w:pPr>
              <w:rPr>
                <w:rFonts w:ascii="Arial" w:eastAsia="Calibri" w:hAnsi="Arial" w:cs="Arial"/>
                <w:b/>
                <w:color w:val="000000" w:themeColor="text1"/>
                <w:sz w:val="22"/>
              </w:rPr>
            </w:pPr>
            <w:r w:rsidRPr="00021C75">
              <w:rPr>
                <w:rFonts w:ascii="Arial" w:eastAsia="Calibri" w:hAnsi="Arial" w:cs="Arial"/>
                <w:b/>
                <w:color w:val="000000" w:themeColor="text1"/>
                <w:sz w:val="22"/>
              </w:rPr>
              <w:t>Radicación:</w:t>
            </w:r>
            <w:r w:rsidRPr="00021C75">
              <w:rPr>
                <w:rFonts w:ascii="Arial" w:eastAsia="Calibri" w:hAnsi="Arial" w:cs="Arial"/>
                <w:color w:val="000000" w:themeColor="text1"/>
                <w:sz w:val="22"/>
              </w:rPr>
              <w:t xml:space="preserve">                             </w:t>
            </w:r>
          </w:p>
        </w:tc>
        <w:tc>
          <w:tcPr>
            <w:tcW w:w="6237" w:type="dxa"/>
          </w:tcPr>
          <w:p w14:paraId="11277735" w14:textId="77777777" w:rsidR="00914C81" w:rsidRDefault="00914C81" w:rsidP="00A5539C">
            <w:pPr>
              <w:jc w:val="both"/>
              <w:rPr>
                <w:rFonts w:ascii="Arial" w:eastAsia="Calibri" w:hAnsi="Arial" w:cs="Arial"/>
                <w:color w:val="000000" w:themeColor="text1"/>
                <w:sz w:val="22"/>
              </w:rPr>
            </w:pPr>
            <w:r w:rsidRPr="00021C75">
              <w:rPr>
                <w:rFonts w:ascii="Arial" w:eastAsia="Calibri" w:hAnsi="Arial" w:cs="Arial"/>
                <w:color w:val="000000" w:themeColor="text1"/>
                <w:sz w:val="22"/>
              </w:rPr>
              <w:t xml:space="preserve">Respuesta a consulta # </w:t>
            </w:r>
            <w:r w:rsidR="00A1171D" w:rsidRPr="00A1171D">
              <w:rPr>
                <w:rFonts w:ascii="Arial" w:eastAsia="Calibri" w:hAnsi="Arial" w:cs="Arial"/>
                <w:color w:val="000000" w:themeColor="text1"/>
                <w:sz w:val="22"/>
              </w:rPr>
              <w:t>4202013000007710</w:t>
            </w:r>
          </w:p>
          <w:p w14:paraId="3214DE75" w14:textId="77777777" w:rsidR="00914C81" w:rsidRPr="00021C75" w:rsidRDefault="00914C81" w:rsidP="00A5539C">
            <w:pPr>
              <w:jc w:val="both"/>
              <w:rPr>
                <w:rFonts w:ascii="Arial" w:eastAsia="Calibri" w:hAnsi="Arial" w:cs="Arial"/>
                <w:color w:val="000000" w:themeColor="text1"/>
                <w:sz w:val="22"/>
              </w:rPr>
            </w:pPr>
          </w:p>
        </w:tc>
      </w:tr>
    </w:tbl>
    <w:p w14:paraId="523D3D8E" w14:textId="77777777" w:rsidR="006E4B21" w:rsidRDefault="006E4B21" w:rsidP="00914C81">
      <w:pPr>
        <w:rPr>
          <w:rFonts w:ascii="Arial" w:eastAsia="Calibri" w:hAnsi="Arial" w:cs="Arial"/>
          <w:color w:val="000000" w:themeColor="text1"/>
          <w:sz w:val="22"/>
        </w:rPr>
      </w:pPr>
    </w:p>
    <w:p w14:paraId="126F5ECF" w14:textId="77777777" w:rsidR="00914C81" w:rsidRPr="00021C75" w:rsidRDefault="00914C81" w:rsidP="00914C81">
      <w:pPr>
        <w:rPr>
          <w:rFonts w:ascii="Arial" w:eastAsia="Calibri" w:hAnsi="Arial" w:cs="Arial"/>
          <w:color w:val="000000" w:themeColor="text1"/>
          <w:sz w:val="22"/>
        </w:rPr>
      </w:pPr>
      <w:r w:rsidRPr="00021C75">
        <w:rPr>
          <w:rFonts w:ascii="Arial" w:eastAsia="Calibri" w:hAnsi="Arial" w:cs="Arial"/>
          <w:color w:val="000000" w:themeColor="text1"/>
          <w:sz w:val="22"/>
        </w:rPr>
        <w:t>Estimad</w:t>
      </w:r>
      <w:r w:rsidR="00A1171D">
        <w:rPr>
          <w:rFonts w:ascii="Arial" w:eastAsia="Calibri" w:hAnsi="Arial" w:cs="Arial"/>
          <w:color w:val="000000" w:themeColor="text1"/>
          <w:sz w:val="22"/>
        </w:rPr>
        <w:t>o</w:t>
      </w:r>
      <w:r w:rsidRPr="00021C75">
        <w:rPr>
          <w:rFonts w:ascii="Arial" w:eastAsia="Calibri" w:hAnsi="Arial" w:cs="Arial"/>
          <w:color w:val="000000" w:themeColor="text1"/>
          <w:sz w:val="22"/>
        </w:rPr>
        <w:t xml:space="preserve"> señor </w:t>
      </w:r>
      <w:r w:rsidR="00A1171D">
        <w:rPr>
          <w:rFonts w:ascii="Arial" w:eastAsia="Calibri" w:hAnsi="Arial" w:cs="Arial"/>
          <w:color w:val="000000" w:themeColor="text1"/>
          <w:sz w:val="22"/>
        </w:rPr>
        <w:t>Domínguez</w:t>
      </w:r>
      <w:r w:rsidRPr="00021C75">
        <w:rPr>
          <w:rFonts w:ascii="Arial" w:eastAsia="Calibri" w:hAnsi="Arial" w:cs="Arial"/>
          <w:color w:val="000000" w:themeColor="text1"/>
          <w:sz w:val="22"/>
        </w:rPr>
        <w:t>,</w:t>
      </w:r>
    </w:p>
    <w:p w14:paraId="5594E618" w14:textId="77777777" w:rsidR="00914C81" w:rsidRPr="00021C75" w:rsidRDefault="00914C81" w:rsidP="00914C81">
      <w:pPr>
        <w:rPr>
          <w:rFonts w:ascii="Arial" w:eastAsia="Calibri" w:hAnsi="Arial" w:cs="Arial"/>
          <w:color w:val="000000" w:themeColor="text1"/>
          <w:sz w:val="22"/>
        </w:rPr>
      </w:pPr>
    </w:p>
    <w:p w14:paraId="4C4BF7B7" w14:textId="77777777" w:rsidR="00914C81" w:rsidRPr="00021C75" w:rsidRDefault="00914C81" w:rsidP="00914C81">
      <w:pPr>
        <w:spacing w:line="276" w:lineRule="auto"/>
        <w:ind w:right="49"/>
        <w:jc w:val="both"/>
        <w:rPr>
          <w:rFonts w:ascii="Arial" w:eastAsia="Calibri" w:hAnsi="Arial" w:cs="Arial"/>
          <w:color w:val="000000" w:themeColor="text1"/>
          <w:sz w:val="22"/>
        </w:rPr>
      </w:pPr>
      <w:r w:rsidRPr="00021C75">
        <w:rPr>
          <w:rFonts w:ascii="Arial" w:eastAsia="Calibri" w:hAnsi="Arial" w:cs="Arial"/>
          <w:color w:val="000000" w:themeColor="text1"/>
          <w:sz w:val="22"/>
        </w:rPr>
        <w:t xml:space="preserve">La Agencia Nacional de Contratación Pública ―Colombia Compra Eficiente― responde su consulta del </w:t>
      </w:r>
      <w:r w:rsidR="00A1171D">
        <w:rPr>
          <w:rFonts w:ascii="Arial" w:eastAsia="Calibri" w:hAnsi="Arial" w:cs="Arial"/>
          <w:color w:val="000000" w:themeColor="text1"/>
          <w:sz w:val="22"/>
        </w:rPr>
        <w:t>3</w:t>
      </w:r>
      <w:r w:rsidRPr="00021C75">
        <w:rPr>
          <w:rFonts w:ascii="Arial" w:eastAsia="Calibri" w:hAnsi="Arial" w:cs="Arial"/>
          <w:color w:val="000000" w:themeColor="text1"/>
          <w:sz w:val="22"/>
        </w:rPr>
        <w:t xml:space="preserve"> de </w:t>
      </w:r>
      <w:r w:rsidR="00A1171D">
        <w:rPr>
          <w:rFonts w:ascii="Arial" w:eastAsia="Calibri" w:hAnsi="Arial" w:cs="Arial"/>
          <w:color w:val="000000" w:themeColor="text1"/>
          <w:sz w:val="22"/>
        </w:rPr>
        <w:t xml:space="preserve">septiembre </w:t>
      </w:r>
      <w:r w:rsidRPr="00021C75">
        <w:rPr>
          <w:rFonts w:ascii="Arial" w:eastAsia="Calibri" w:hAnsi="Arial" w:cs="Arial"/>
          <w:color w:val="000000" w:themeColor="text1"/>
          <w:sz w:val="22"/>
        </w:rPr>
        <w:t xml:space="preserve">de 2020, en ejercicio de la competencia otorgada por el numeral 8 del artículo 11 y el numeral 5 del artículo 3 del Decreto Ley 4170 de 2011. </w:t>
      </w:r>
    </w:p>
    <w:p w14:paraId="196B0EE2" w14:textId="77777777" w:rsidR="00914C81" w:rsidRPr="00E00BFD" w:rsidRDefault="00914C81" w:rsidP="00914C81">
      <w:pPr>
        <w:spacing w:line="276" w:lineRule="auto"/>
        <w:jc w:val="both"/>
        <w:rPr>
          <w:rFonts w:ascii="Arial" w:eastAsia="Calibri" w:hAnsi="Arial" w:cs="Arial"/>
          <w:color w:val="000000" w:themeColor="text1"/>
          <w:sz w:val="16"/>
          <w:szCs w:val="16"/>
        </w:rPr>
      </w:pPr>
    </w:p>
    <w:p w14:paraId="3B26C10E" w14:textId="77777777" w:rsidR="00914C81" w:rsidRPr="00021C75" w:rsidRDefault="00914C81" w:rsidP="00914C81">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021C75">
        <w:rPr>
          <w:rFonts w:ascii="Arial" w:eastAsia="Calibri" w:hAnsi="Arial" w:cs="Arial"/>
          <w:b/>
          <w:color w:val="000000" w:themeColor="text1"/>
          <w:sz w:val="22"/>
        </w:rPr>
        <w:t xml:space="preserve">Problemas planteados </w:t>
      </w:r>
    </w:p>
    <w:p w14:paraId="58C8FE77" w14:textId="77777777" w:rsidR="00914C81" w:rsidRPr="00E00BFD" w:rsidRDefault="00914C81" w:rsidP="00914C81">
      <w:pPr>
        <w:tabs>
          <w:tab w:val="left" w:pos="426"/>
        </w:tabs>
        <w:spacing w:line="276" w:lineRule="auto"/>
        <w:jc w:val="both"/>
        <w:rPr>
          <w:rFonts w:ascii="Arial" w:eastAsia="Calibri" w:hAnsi="Arial" w:cs="Arial"/>
          <w:b/>
          <w:color w:val="000000" w:themeColor="text1"/>
          <w:sz w:val="16"/>
          <w:szCs w:val="16"/>
        </w:rPr>
      </w:pPr>
    </w:p>
    <w:p w14:paraId="31D706E7" w14:textId="77777777" w:rsidR="00914C81" w:rsidRPr="00021C75" w:rsidRDefault="00914C81" w:rsidP="00914C81">
      <w:pPr>
        <w:tabs>
          <w:tab w:val="left" w:pos="426"/>
        </w:tabs>
        <w:spacing w:line="276" w:lineRule="auto"/>
        <w:jc w:val="both"/>
        <w:rPr>
          <w:rFonts w:ascii="Arial" w:eastAsia="Calibri" w:hAnsi="Arial" w:cs="Arial"/>
          <w:color w:val="000000" w:themeColor="text1"/>
          <w:sz w:val="22"/>
        </w:rPr>
      </w:pPr>
      <w:r w:rsidRPr="00021C75">
        <w:rPr>
          <w:rFonts w:ascii="Arial" w:eastAsia="Calibri" w:hAnsi="Arial" w:cs="Arial"/>
          <w:color w:val="000000" w:themeColor="text1"/>
          <w:sz w:val="22"/>
        </w:rPr>
        <w:t>Usted realiza las siguientes preguntas:</w:t>
      </w:r>
    </w:p>
    <w:p w14:paraId="2130A66F" w14:textId="77777777" w:rsidR="00914C81" w:rsidRPr="00021C75" w:rsidRDefault="00914C81" w:rsidP="00914C81">
      <w:pPr>
        <w:tabs>
          <w:tab w:val="left" w:pos="426"/>
        </w:tabs>
        <w:spacing w:line="276" w:lineRule="auto"/>
        <w:jc w:val="both"/>
        <w:rPr>
          <w:rFonts w:ascii="Arial" w:eastAsia="Calibri" w:hAnsi="Arial" w:cs="Arial"/>
          <w:color w:val="000000" w:themeColor="text1"/>
          <w:sz w:val="22"/>
        </w:rPr>
      </w:pPr>
    </w:p>
    <w:p w14:paraId="626DB3FC" w14:textId="51EDC93E" w:rsidR="00A1171D" w:rsidRDefault="00A1171D" w:rsidP="00250FBA">
      <w:pPr>
        <w:tabs>
          <w:tab w:val="left" w:pos="426"/>
        </w:tabs>
        <w:spacing w:after="120"/>
        <w:ind w:left="709" w:right="709"/>
        <w:jc w:val="both"/>
        <w:rPr>
          <w:rFonts w:ascii="Arial" w:eastAsia="Calibri" w:hAnsi="Arial" w:cs="Arial"/>
          <w:color w:val="000000" w:themeColor="text1"/>
          <w:sz w:val="21"/>
          <w:szCs w:val="21"/>
        </w:rPr>
      </w:pPr>
      <w:r w:rsidRPr="00A1171D">
        <w:rPr>
          <w:rFonts w:ascii="Arial" w:eastAsia="Calibri" w:hAnsi="Arial" w:cs="Arial"/>
          <w:color w:val="000000" w:themeColor="text1"/>
          <w:sz w:val="21"/>
          <w:szCs w:val="21"/>
        </w:rPr>
        <w:t xml:space="preserve">1. LA VISITA AL SITIO DE LA OBRA, QUE FACULTA LA VERSIÓN 2 DEL DOCUMENTO TIPO, LA ENTIDAD ESTATAL PUEDE DARLE CARACTER DE OBLIGATORIO CUMPLIMIENTO POR PARTE DEL OFERENTE QUE PRESENTA PROPUESTA? </w:t>
      </w:r>
    </w:p>
    <w:p w14:paraId="259EA536" w14:textId="77777777" w:rsidR="00A1171D" w:rsidRDefault="00A1171D" w:rsidP="00250FBA">
      <w:pPr>
        <w:tabs>
          <w:tab w:val="left" w:pos="426"/>
        </w:tabs>
        <w:spacing w:after="120"/>
        <w:ind w:left="709" w:right="709"/>
        <w:jc w:val="both"/>
        <w:rPr>
          <w:rFonts w:ascii="Arial" w:eastAsia="Calibri" w:hAnsi="Arial" w:cs="Arial"/>
          <w:color w:val="000000" w:themeColor="text1"/>
          <w:sz w:val="21"/>
          <w:szCs w:val="21"/>
        </w:rPr>
      </w:pPr>
      <w:r w:rsidRPr="00A1171D">
        <w:rPr>
          <w:rFonts w:ascii="Arial" w:eastAsia="Calibri" w:hAnsi="Arial" w:cs="Arial"/>
          <w:color w:val="000000" w:themeColor="text1"/>
          <w:sz w:val="21"/>
          <w:szCs w:val="21"/>
        </w:rPr>
        <w:t xml:space="preserve">2. PUEDE LA ENTIDAD ESTATAL, CATALOGAR LA NO VISITA REALIZADA COMO CAUSAL DE RECHAZO DE LA PROPUESTA? </w:t>
      </w:r>
    </w:p>
    <w:p w14:paraId="5234DA37" w14:textId="2A4E2FCF" w:rsidR="00914C81" w:rsidRPr="00021C75" w:rsidRDefault="00A1171D" w:rsidP="00914C81">
      <w:pPr>
        <w:tabs>
          <w:tab w:val="left" w:pos="426"/>
        </w:tabs>
        <w:ind w:left="709" w:right="709"/>
        <w:jc w:val="both"/>
        <w:rPr>
          <w:rFonts w:ascii="Arial" w:eastAsia="Calibri" w:hAnsi="Arial" w:cs="Arial"/>
          <w:color w:val="000000" w:themeColor="text1"/>
          <w:sz w:val="21"/>
          <w:szCs w:val="21"/>
        </w:rPr>
      </w:pPr>
      <w:r w:rsidRPr="00A1171D">
        <w:rPr>
          <w:rFonts w:ascii="Arial" w:eastAsia="Calibri" w:hAnsi="Arial" w:cs="Arial"/>
          <w:color w:val="000000" w:themeColor="text1"/>
          <w:sz w:val="21"/>
          <w:szCs w:val="21"/>
        </w:rPr>
        <w:t xml:space="preserve">3. EN CASO DE HABER UNA RESPUESTA AFIRMATIVA DE ALGÚN NUMERAL ANTERIOR (1 O 2), NO HAY UNA CONTRADICCION AL DOCUMENTO RESPUESTA A CONSULTA #416130000218, CUYO RADICADO ES EL No. 216130000746 DEL 29/02/2016, QUE EL SUBDIRECTOR DE GESTION CONTRACTUAL, DE LA AGENCIA NACIONAL DE CONTRATACIÓN PUBLICA EMITIÓ? TENIENDO EN CUENTA QUE LA NORMATIVA EN QUE BASO SUS RESPUESTA NO HA SIDO OBJETO </w:t>
      </w:r>
      <w:r>
        <w:rPr>
          <w:rFonts w:ascii="Arial" w:eastAsia="Calibri" w:hAnsi="Arial" w:cs="Arial"/>
          <w:color w:val="000000" w:themeColor="text1"/>
          <w:sz w:val="21"/>
          <w:szCs w:val="21"/>
        </w:rPr>
        <w:t>DE MODIFICACIÓN O DE DEROGACIÓN</w:t>
      </w:r>
      <w:r w:rsidR="00511838">
        <w:rPr>
          <w:rFonts w:ascii="Arial" w:eastAsia="Calibri" w:hAnsi="Arial" w:cs="Arial"/>
          <w:color w:val="000000" w:themeColor="text1"/>
          <w:sz w:val="21"/>
          <w:szCs w:val="21"/>
        </w:rPr>
        <w:t>.</w:t>
      </w:r>
    </w:p>
    <w:p w14:paraId="50A44267" w14:textId="77777777" w:rsidR="00914C81" w:rsidRPr="00021C75" w:rsidRDefault="00914C81" w:rsidP="00914C81">
      <w:pPr>
        <w:tabs>
          <w:tab w:val="left" w:pos="426"/>
        </w:tabs>
        <w:spacing w:line="276" w:lineRule="auto"/>
        <w:jc w:val="both"/>
        <w:rPr>
          <w:rFonts w:ascii="Arial" w:eastAsia="Calibri" w:hAnsi="Arial" w:cs="Arial"/>
          <w:color w:val="000000" w:themeColor="text1"/>
          <w:sz w:val="22"/>
        </w:rPr>
      </w:pPr>
    </w:p>
    <w:p w14:paraId="48943BC4" w14:textId="277F21A1" w:rsidR="00914C81" w:rsidRDefault="00914C81" w:rsidP="00914C8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021C75">
        <w:rPr>
          <w:rFonts w:ascii="Arial" w:eastAsia="Calibri" w:hAnsi="Arial" w:cs="Arial"/>
          <w:b/>
          <w:color w:val="000000" w:themeColor="text1"/>
          <w:sz w:val="22"/>
        </w:rPr>
        <w:t>Consideraciones</w:t>
      </w:r>
    </w:p>
    <w:p w14:paraId="5339F634" w14:textId="77777777" w:rsidR="000E0A85" w:rsidRPr="00021C75" w:rsidRDefault="000E0A85" w:rsidP="00250FBA">
      <w:pPr>
        <w:pStyle w:val="Prrafodelista"/>
        <w:tabs>
          <w:tab w:val="left" w:pos="426"/>
        </w:tabs>
        <w:spacing w:line="276" w:lineRule="auto"/>
        <w:ind w:left="284"/>
        <w:jc w:val="both"/>
        <w:rPr>
          <w:rFonts w:ascii="Arial" w:eastAsia="Calibri" w:hAnsi="Arial" w:cs="Arial"/>
          <w:b/>
          <w:color w:val="000000" w:themeColor="text1"/>
          <w:sz w:val="22"/>
        </w:rPr>
      </w:pPr>
    </w:p>
    <w:p w14:paraId="79C59994" w14:textId="01422F44" w:rsidR="000B579A" w:rsidRDefault="00914C81" w:rsidP="00250FBA">
      <w:pPr>
        <w:spacing w:line="276" w:lineRule="auto"/>
        <w:jc w:val="both"/>
        <w:rPr>
          <w:rFonts w:ascii="Arial" w:eastAsia="Calibri" w:hAnsi="Arial" w:cs="Arial"/>
          <w:sz w:val="22"/>
        </w:rPr>
      </w:pPr>
      <w:r w:rsidRPr="00021C75">
        <w:rPr>
          <w:rFonts w:ascii="Arial" w:eastAsia="Calibri" w:hAnsi="Arial" w:cs="Arial"/>
          <w:color w:val="000000" w:themeColor="text1"/>
          <w:sz w:val="22"/>
        </w:rPr>
        <w:t>Previo a resolver la citada consulta</w:t>
      </w:r>
      <w:r w:rsidR="00610B2C">
        <w:rPr>
          <w:rFonts w:ascii="Arial" w:eastAsia="Calibri" w:hAnsi="Arial" w:cs="Arial"/>
          <w:color w:val="000000" w:themeColor="text1"/>
          <w:sz w:val="22"/>
        </w:rPr>
        <w:t xml:space="preserve"> se e</w:t>
      </w:r>
      <w:r w:rsidR="0032161B" w:rsidRPr="00DC759C">
        <w:rPr>
          <w:rFonts w:ascii="Arial" w:eastAsia="Calibri" w:hAnsi="Arial" w:cs="Arial"/>
          <w:sz w:val="22"/>
        </w:rPr>
        <w:t>xplicará</w:t>
      </w:r>
      <w:r w:rsidR="0032161B">
        <w:rPr>
          <w:rFonts w:ascii="Arial" w:eastAsia="Calibri" w:hAnsi="Arial" w:cs="Arial"/>
          <w:sz w:val="22"/>
        </w:rPr>
        <w:t>n</w:t>
      </w:r>
      <w:r w:rsidR="00610B2C">
        <w:rPr>
          <w:rFonts w:ascii="Arial" w:eastAsia="Calibri" w:hAnsi="Arial" w:cs="Arial"/>
          <w:sz w:val="22"/>
        </w:rPr>
        <w:t xml:space="preserve"> </w:t>
      </w:r>
      <w:r w:rsidR="0032161B">
        <w:rPr>
          <w:rFonts w:ascii="Arial" w:eastAsia="Calibri" w:hAnsi="Arial" w:cs="Arial"/>
          <w:sz w:val="22"/>
        </w:rPr>
        <w:t>los efectos jurídicos de los conceptos emitidos por Colombia Compra Eficiente</w:t>
      </w:r>
      <w:r w:rsidR="004527AB">
        <w:rPr>
          <w:rFonts w:ascii="Arial" w:eastAsia="Calibri" w:hAnsi="Arial" w:cs="Arial"/>
          <w:sz w:val="22"/>
        </w:rPr>
        <w:t xml:space="preserve"> tesis desarrollada, entre otros por los conceptos C-317 del 10 de junio de 2020, C-337 del 26 de junio de 2020</w:t>
      </w:r>
      <w:r w:rsidR="00D74DD7">
        <w:rPr>
          <w:rFonts w:ascii="Arial" w:eastAsia="Calibri" w:hAnsi="Arial" w:cs="Arial"/>
          <w:sz w:val="22"/>
        </w:rPr>
        <w:t xml:space="preserve">, C-353 del </w:t>
      </w:r>
      <w:r w:rsidR="003E27EA">
        <w:rPr>
          <w:rFonts w:ascii="Arial" w:eastAsia="Calibri" w:hAnsi="Arial" w:cs="Arial"/>
          <w:sz w:val="22"/>
        </w:rPr>
        <w:t>30 de junio de 2020, C-439 del 27 de julio de 2020 y C-511 del 10 de agosto de 2020;</w:t>
      </w:r>
      <w:r w:rsidR="000B579A">
        <w:rPr>
          <w:rFonts w:ascii="Arial" w:eastAsia="Calibri" w:hAnsi="Arial" w:cs="Arial"/>
          <w:sz w:val="22"/>
        </w:rPr>
        <w:t xml:space="preserve"> posteriormente </w:t>
      </w:r>
      <w:r w:rsidR="000B579A" w:rsidRPr="00021C75">
        <w:rPr>
          <w:rFonts w:ascii="Arial" w:eastAsia="Calibri" w:hAnsi="Arial" w:cs="Arial"/>
          <w:color w:val="000000" w:themeColor="text1"/>
          <w:sz w:val="22"/>
        </w:rPr>
        <w:t xml:space="preserve">se analizará el régimen jurídico de los </w:t>
      </w:r>
      <w:r w:rsidR="000E0A85" w:rsidRPr="00021C75">
        <w:rPr>
          <w:rFonts w:ascii="Arial" w:eastAsia="Calibri" w:hAnsi="Arial" w:cs="Arial"/>
          <w:color w:val="000000" w:themeColor="text1"/>
          <w:sz w:val="22"/>
        </w:rPr>
        <w:t>documentos tipo</w:t>
      </w:r>
      <w:r w:rsidR="003E27EA">
        <w:rPr>
          <w:rFonts w:ascii="Arial" w:eastAsia="Calibri" w:hAnsi="Arial" w:cs="Arial"/>
          <w:color w:val="000000" w:themeColor="text1"/>
          <w:sz w:val="22"/>
        </w:rPr>
        <w:t xml:space="preserve">, tesis desarrollada en, entre otros, los conceptos, C-541 del </w:t>
      </w:r>
      <w:r w:rsidR="00BE0F85">
        <w:rPr>
          <w:rFonts w:ascii="Arial" w:eastAsia="Calibri" w:hAnsi="Arial" w:cs="Arial"/>
          <w:color w:val="000000" w:themeColor="text1"/>
          <w:sz w:val="22"/>
        </w:rPr>
        <w:t xml:space="preserve">21 de agosto de 2020 </w:t>
      </w:r>
      <w:r w:rsidR="000E0A85" w:rsidRPr="00021C75">
        <w:rPr>
          <w:rFonts w:ascii="Arial" w:eastAsia="Calibri" w:hAnsi="Arial" w:cs="Arial"/>
          <w:color w:val="000000" w:themeColor="text1"/>
          <w:sz w:val="22"/>
        </w:rPr>
        <w:t>y la visita</w:t>
      </w:r>
      <w:r w:rsidR="000B579A" w:rsidRPr="00021C75">
        <w:rPr>
          <w:rFonts w:ascii="Arial" w:eastAsia="Calibri" w:hAnsi="Arial" w:cs="Arial"/>
          <w:color w:val="000000" w:themeColor="text1"/>
          <w:sz w:val="22"/>
        </w:rPr>
        <w:t xml:space="preserve"> al sitio de la obra contemplada en los mismos</w:t>
      </w:r>
      <w:r w:rsidR="000B579A">
        <w:rPr>
          <w:rFonts w:ascii="Arial" w:eastAsia="Calibri" w:hAnsi="Arial" w:cs="Arial"/>
          <w:color w:val="000000" w:themeColor="text1"/>
          <w:sz w:val="22"/>
        </w:rPr>
        <w:t>,</w:t>
      </w:r>
      <w:r w:rsidR="00FF105E">
        <w:rPr>
          <w:rFonts w:ascii="Arial" w:eastAsia="Calibri" w:hAnsi="Arial" w:cs="Arial"/>
          <w:color w:val="000000" w:themeColor="text1"/>
          <w:sz w:val="22"/>
        </w:rPr>
        <w:t xml:space="preserve"> desarrollada en los conceptos </w:t>
      </w:r>
      <w:r w:rsidR="00FF105E">
        <w:rPr>
          <w:rFonts w:ascii="Arial" w:eastAsia="Calibri" w:hAnsi="Arial" w:cs="Arial"/>
          <w:color w:val="000000" w:themeColor="text1"/>
          <w:sz w:val="22"/>
        </w:rPr>
        <w:t xml:space="preserve">C-363 </w:t>
      </w:r>
      <w:r w:rsidR="00FF105E">
        <w:rPr>
          <w:rFonts w:ascii="Arial" w:eastAsia="Calibri" w:hAnsi="Arial" w:cs="Arial"/>
          <w:color w:val="000000" w:themeColor="text1"/>
          <w:sz w:val="22"/>
        </w:rPr>
        <w:t xml:space="preserve">del 23 de junio de 2020, </w:t>
      </w:r>
      <w:r w:rsidR="00FF105E">
        <w:rPr>
          <w:rFonts w:ascii="Arial" w:eastAsia="Calibri" w:hAnsi="Arial" w:cs="Arial"/>
          <w:color w:val="000000" w:themeColor="text1"/>
          <w:sz w:val="22"/>
        </w:rPr>
        <w:t xml:space="preserve">C-368 </w:t>
      </w:r>
      <w:r w:rsidR="00FF105E">
        <w:rPr>
          <w:rFonts w:ascii="Arial" w:eastAsia="Calibri" w:hAnsi="Arial" w:cs="Arial"/>
          <w:color w:val="000000" w:themeColor="text1"/>
          <w:sz w:val="22"/>
        </w:rPr>
        <w:t xml:space="preserve">del 23 de junio de 2020, C-415 del 7 de julio de 2020, C-429 del 24 de julio de 2020, C-476 del 24 de julio de 2020, C-505 del 28 de julio de 2020, C-533 del 19 de agosto de 2020, </w:t>
      </w:r>
      <w:r w:rsidR="00610B2C">
        <w:rPr>
          <w:rFonts w:ascii="Arial" w:eastAsia="Calibri" w:hAnsi="Arial" w:cs="Arial"/>
          <w:sz w:val="22"/>
        </w:rPr>
        <w:t xml:space="preserve">para </w:t>
      </w:r>
      <w:r w:rsidR="00DB7E62">
        <w:rPr>
          <w:rFonts w:ascii="Arial" w:eastAsia="Calibri" w:hAnsi="Arial" w:cs="Arial"/>
          <w:sz w:val="22"/>
        </w:rPr>
        <w:t>responder las cuestiones planteadas</w:t>
      </w:r>
      <w:r w:rsidR="00610B2C">
        <w:rPr>
          <w:rFonts w:ascii="Arial" w:eastAsia="Calibri" w:hAnsi="Arial" w:cs="Arial"/>
          <w:sz w:val="22"/>
        </w:rPr>
        <w:t>.</w:t>
      </w:r>
    </w:p>
    <w:p w14:paraId="2CA1B8A1" w14:textId="77777777" w:rsidR="000B579A" w:rsidRDefault="000B579A" w:rsidP="00250FBA">
      <w:pPr>
        <w:spacing w:line="276" w:lineRule="auto"/>
        <w:jc w:val="both"/>
        <w:rPr>
          <w:rFonts w:ascii="Arial" w:eastAsia="Calibri" w:hAnsi="Arial" w:cs="Arial"/>
          <w:sz w:val="22"/>
        </w:rPr>
      </w:pPr>
    </w:p>
    <w:p w14:paraId="5334C7B0" w14:textId="77777777" w:rsidR="00610B2C" w:rsidRDefault="00610B2C" w:rsidP="00610B2C">
      <w:pPr>
        <w:tabs>
          <w:tab w:val="left" w:pos="426"/>
        </w:tabs>
        <w:spacing w:line="276" w:lineRule="auto"/>
        <w:jc w:val="both"/>
        <w:rPr>
          <w:rFonts w:ascii="Arial" w:eastAsia="Calibri" w:hAnsi="Arial" w:cs="Arial"/>
          <w:b/>
          <w:sz w:val="22"/>
          <w:lang w:val="es-ES_tradnl"/>
        </w:rPr>
      </w:pPr>
      <w:r w:rsidRPr="00DC759C">
        <w:rPr>
          <w:rFonts w:ascii="Arial" w:eastAsia="Calibri" w:hAnsi="Arial" w:cs="Arial"/>
          <w:b/>
          <w:sz w:val="22"/>
          <w:lang w:val="es-ES_tradnl"/>
        </w:rPr>
        <w:t>2.</w:t>
      </w:r>
      <w:r w:rsidR="000B579A">
        <w:rPr>
          <w:rFonts w:ascii="Arial" w:eastAsia="Calibri" w:hAnsi="Arial" w:cs="Arial"/>
          <w:b/>
          <w:sz w:val="22"/>
          <w:lang w:val="es-ES_tradnl"/>
        </w:rPr>
        <w:t>1</w:t>
      </w:r>
      <w:r>
        <w:rPr>
          <w:rFonts w:ascii="Arial" w:eastAsia="Calibri" w:hAnsi="Arial" w:cs="Arial"/>
          <w:b/>
          <w:sz w:val="22"/>
          <w:lang w:val="es-ES_tradnl"/>
        </w:rPr>
        <w:t>. Efectos de los conceptos emitidos por Colombia Compra Eficiente</w:t>
      </w:r>
    </w:p>
    <w:p w14:paraId="2ADD848E" w14:textId="77777777" w:rsidR="00610B2C" w:rsidRDefault="00610B2C" w:rsidP="00610B2C">
      <w:pPr>
        <w:tabs>
          <w:tab w:val="left" w:pos="426"/>
        </w:tabs>
        <w:spacing w:line="276" w:lineRule="auto"/>
        <w:jc w:val="both"/>
        <w:rPr>
          <w:rFonts w:ascii="Arial" w:eastAsia="Calibri" w:hAnsi="Arial" w:cs="Arial"/>
          <w:b/>
          <w:sz w:val="22"/>
          <w:lang w:val="es-ES_tradnl"/>
        </w:rPr>
      </w:pPr>
    </w:p>
    <w:p w14:paraId="1D5F6D68" w14:textId="77777777" w:rsidR="00BC71C1" w:rsidRDefault="00BC71C1" w:rsidP="00BC71C1">
      <w:pPr>
        <w:tabs>
          <w:tab w:val="left" w:pos="426"/>
        </w:tabs>
        <w:spacing w:line="276" w:lineRule="auto"/>
        <w:jc w:val="both"/>
        <w:rPr>
          <w:rFonts w:ascii="Arial" w:eastAsia="Calibri" w:hAnsi="Arial" w:cs="Arial"/>
          <w:bCs/>
          <w:sz w:val="22"/>
        </w:rPr>
      </w:pPr>
      <w:r w:rsidRPr="009427EF">
        <w:rPr>
          <w:rFonts w:ascii="Arial" w:eastAsia="Calibri" w:hAnsi="Arial" w:cs="Arial"/>
          <w:bCs/>
          <w:sz w:val="22"/>
          <w:lang w:val="es-ES"/>
        </w:rPr>
        <w:t xml:space="preserve">En ejercicio de las competencias consagradas en los artículos 3, numeral 5, 11, numeral 8, 12, numeral 6, y 13, numeral 4, del Decreto 4170 de 2011, la Agencia Nacional de Contratación Pública – Colombia Compra Eficiente resuelve las consultas sobre los </w:t>
      </w:r>
      <w:r w:rsidRPr="009427EF">
        <w:rPr>
          <w:rFonts w:ascii="Arial" w:eastAsia="Calibri" w:hAnsi="Arial" w:cs="Arial"/>
          <w:bCs/>
          <w:sz w:val="22"/>
          <w:lang w:val="es-ES"/>
        </w:rPr>
        <w:lastRenderedPageBreak/>
        <w:t>asuntos de su competencia, esto es, sobre las temáticas de contratación estatal</w:t>
      </w:r>
      <w:r>
        <w:rPr>
          <w:rFonts w:ascii="Arial" w:eastAsia="Calibri" w:hAnsi="Arial" w:cs="Arial"/>
          <w:bCs/>
          <w:sz w:val="22"/>
          <w:lang w:val="es-ES"/>
        </w:rPr>
        <w:t xml:space="preserve"> y compras públicas</w:t>
      </w:r>
      <w:r w:rsidRPr="009427EF">
        <w:rPr>
          <w:rFonts w:ascii="Arial" w:eastAsia="Calibri" w:hAnsi="Arial" w:cs="Arial"/>
          <w:bCs/>
          <w:sz w:val="22"/>
          <w:lang w:val="es-ES"/>
        </w:rPr>
        <w:t xml:space="preserve"> relacionadas en los artículos antes referidos.</w:t>
      </w:r>
      <w:r>
        <w:rPr>
          <w:rFonts w:ascii="Arial" w:eastAsia="Calibri" w:hAnsi="Arial" w:cs="Arial"/>
          <w:bCs/>
          <w:sz w:val="22"/>
          <w:lang w:val="es-ES"/>
        </w:rPr>
        <w:t xml:space="preserve"> El alcance de la competencia consultiva encuentra fundamento normativo en el artículo 28 de la Ley 1437 de 2011, sustituido por el artículo 1 de la Ley 1755 de 2015, que dispone lo siguiente: </w:t>
      </w:r>
    </w:p>
    <w:p w14:paraId="70F4F549" w14:textId="77777777" w:rsidR="00BC71C1" w:rsidRPr="009427EF" w:rsidRDefault="00BC71C1" w:rsidP="00BC71C1">
      <w:pPr>
        <w:tabs>
          <w:tab w:val="left" w:pos="426"/>
        </w:tabs>
        <w:spacing w:line="276" w:lineRule="auto"/>
        <w:jc w:val="both"/>
        <w:rPr>
          <w:rFonts w:ascii="Arial" w:eastAsia="Calibri" w:hAnsi="Arial" w:cs="Arial"/>
          <w:bCs/>
          <w:sz w:val="22"/>
        </w:rPr>
      </w:pPr>
    </w:p>
    <w:p w14:paraId="0072EECE" w14:textId="77777777" w:rsidR="00BC71C1" w:rsidRPr="009427EF" w:rsidRDefault="00BC71C1">
      <w:pPr>
        <w:tabs>
          <w:tab w:val="left" w:pos="426"/>
        </w:tabs>
        <w:ind w:left="709" w:right="709"/>
        <w:jc w:val="both"/>
        <w:rPr>
          <w:rFonts w:ascii="Arial" w:eastAsia="Calibri" w:hAnsi="Arial" w:cs="Arial"/>
          <w:bCs/>
          <w:sz w:val="21"/>
          <w:szCs w:val="21"/>
        </w:rPr>
      </w:pPr>
      <w:r w:rsidRPr="009427EF">
        <w:rPr>
          <w:rFonts w:ascii="Arial" w:eastAsia="Calibri" w:hAnsi="Arial" w:cs="Arial"/>
          <w:bCs/>
          <w:sz w:val="21"/>
          <w:szCs w:val="21"/>
          <w:lang w:val="es-ES"/>
        </w:rPr>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14:paraId="543FFCEC" w14:textId="77777777" w:rsidR="00BC71C1" w:rsidRPr="009427EF" w:rsidRDefault="00BC71C1" w:rsidP="00BC71C1">
      <w:pPr>
        <w:tabs>
          <w:tab w:val="left" w:pos="426"/>
        </w:tabs>
        <w:spacing w:line="276" w:lineRule="auto"/>
        <w:jc w:val="both"/>
        <w:rPr>
          <w:rFonts w:ascii="Arial" w:eastAsia="Calibri" w:hAnsi="Arial" w:cs="Arial"/>
          <w:bCs/>
          <w:sz w:val="22"/>
        </w:rPr>
      </w:pPr>
    </w:p>
    <w:p w14:paraId="35D6CA65" w14:textId="77777777" w:rsidR="00BC71C1" w:rsidRDefault="00BC71C1" w:rsidP="00BC71C1">
      <w:pPr>
        <w:tabs>
          <w:tab w:val="left" w:pos="709"/>
        </w:tabs>
        <w:spacing w:after="120" w:line="276" w:lineRule="auto"/>
        <w:jc w:val="both"/>
        <w:rPr>
          <w:rFonts w:ascii="Arial" w:eastAsia="Calibri" w:hAnsi="Arial" w:cs="Arial"/>
          <w:bCs/>
          <w:sz w:val="22"/>
        </w:rPr>
      </w:pPr>
      <w:r w:rsidRPr="009427EF">
        <w:rPr>
          <w:rFonts w:ascii="Arial" w:eastAsia="Calibri" w:hAnsi="Arial" w:cs="Arial"/>
          <w:bCs/>
          <w:sz w:val="22"/>
          <w:lang w:val="es-ES"/>
        </w:rPr>
        <w:tab/>
        <w:t xml:space="preserve">La </w:t>
      </w:r>
      <w:r>
        <w:rPr>
          <w:rFonts w:ascii="Arial" w:eastAsia="Calibri" w:hAnsi="Arial" w:cs="Arial"/>
          <w:bCs/>
          <w:sz w:val="22"/>
          <w:lang w:val="es-ES"/>
        </w:rPr>
        <w:t xml:space="preserve">norma citada es clara al establecer que los conceptos emitidos por las autoridades, como respuestas a peticiones realizadas en ejercicio del derecho a formular consultas, no son de obligatorio cumplimiento o de imperativa ejecución. En otras palabras, estos conceptos no tienen efectos vinculantes. </w:t>
      </w:r>
    </w:p>
    <w:p w14:paraId="0C1F4FC6" w14:textId="77777777" w:rsidR="00BC71C1" w:rsidRDefault="00BC71C1" w:rsidP="00BC71C1">
      <w:pPr>
        <w:tabs>
          <w:tab w:val="left" w:pos="709"/>
        </w:tabs>
        <w:spacing w:after="120" w:line="276" w:lineRule="auto"/>
        <w:jc w:val="both"/>
        <w:rPr>
          <w:rFonts w:ascii="Arial" w:eastAsia="Calibri" w:hAnsi="Arial" w:cs="Arial"/>
          <w:bCs/>
          <w:sz w:val="22"/>
        </w:rPr>
      </w:pPr>
      <w:r>
        <w:rPr>
          <w:rFonts w:ascii="Arial" w:eastAsia="Calibri" w:hAnsi="Arial" w:cs="Arial"/>
          <w:bCs/>
          <w:sz w:val="22"/>
          <w:lang w:val="es-ES"/>
        </w:rPr>
        <w:tab/>
        <w:t>Sobre ello, es preciso advertir que las respuestas emitidas como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Ello explica que la Agencia, reiteradamente, se haya negado a absolver este tipo de consultas</w:t>
      </w:r>
      <w:r w:rsidRPr="009427EF">
        <w:rPr>
          <w:rStyle w:val="Refdenotaalpie"/>
          <w:rFonts w:ascii="Arial" w:eastAsia="Calibri" w:hAnsi="Arial" w:cs="Arial"/>
          <w:sz w:val="22"/>
          <w:lang w:val="es-ES"/>
        </w:rPr>
        <w:footnoteReference w:id="1"/>
      </w:r>
      <w:r w:rsidRPr="009427EF">
        <w:rPr>
          <w:rFonts w:ascii="Arial" w:eastAsia="Calibri" w:hAnsi="Arial" w:cs="Arial"/>
          <w:bCs/>
          <w:sz w:val="22"/>
          <w:lang w:val="es-ES"/>
        </w:rPr>
        <w:t>.</w:t>
      </w:r>
    </w:p>
    <w:p w14:paraId="2844128F" w14:textId="77777777" w:rsidR="00BC71C1" w:rsidRDefault="00BC71C1" w:rsidP="00BC71C1">
      <w:pPr>
        <w:tabs>
          <w:tab w:val="left" w:pos="709"/>
        </w:tabs>
        <w:spacing w:after="120" w:line="276" w:lineRule="auto"/>
        <w:jc w:val="both"/>
        <w:rPr>
          <w:rFonts w:ascii="Arial" w:eastAsia="Calibri" w:hAnsi="Arial" w:cs="Arial"/>
          <w:bCs/>
          <w:sz w:val="22"/>
        </w:rPr>
      </w:pPr>
      <w:r>
        <w:rPr>
          <w:rFonts w:ascii="Arial" w:eastAsia="Calibri" w:hAnsi="Arial" w:cs="Arial"/>
          <w:bCs/>
          <w:sz w:val="22"/>
          <w:lang w:val="es-ES"/>
        </w:rPr>
        <w:tab/>
        <w:t xml:space="preserve">Lo dicho en relación con la naturaleza jurídica, alcance y obligatoriedad de los conceptos es compartido por otras entidades estatales. A manera de ejemplo, se pone de presente que </w:t>
      </w:r>
      <w:r w:rsidRPr="009427EF">
        <w:rPr>
          <w:rFonts w:ascii="Arial" w:eastAsia="Calibri" w:hAnsi="Arial" w:cs="Arial"/>
          <w:bCs/>
          <w:sz w:val="22"/>
          <w:lang w:val="es-ES"/>
        </w:rPr>
        <w:t>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w:t>
      </w:r>
      <w:r w:rsidRPr="009427EF">
        <w:rPr>
          <w:rStyle w:val="Refdenotaalpie"/>
          <w:rFonts w:ascii="Arial" w:eastAsia="Calibri" w:hAnsi="Arial" w:cs="Arial"/>
          <w:sz w:val="22"/>
          <w:lang w:val="es-ES"/>
        </w:rPr>
        <w:footnoteReference w:id="2"/>
      </w:r>
      <w:r w:rsidRPr="009427EF">
        <w:rPr>
          <w:rFonts w:ascii="Arial" w:eastAsia="Calibri" w:hAnsi="Arial" w:cs="Arial"/>
          <w:bCs/>
          <w:sz w:val="22"/>
          <w:lang w:val="es-ES"/>
        </w:rPr>
        <w:t xml:space="preserve">. </w:t>
      </w:r>
    </w:p>
    <w:p w14:paraId="5688B132" w14:textId="77777777" w:rsidR="00BC71C1" w:rsidRDefault="00BC71C1" w:rsidP="00BC71C1">
      <w:pPr>
        <w:tabs>
          <w:tab w:val="left" w:pos="709"/>
        </w:tabs>
        <w:spacing w:after="120" w:line="276" w:lineRule="auto"/>
        <w:jc w:val="both"/>
        <w:rPr>
          <w:rFonts w:ascii="Arial" w:eastAsia="Calibri" w:hAnsi="Arial" w:cs="Arial"/>
          <w:bCs/>
          <w:sz w:val="22"/>
        </w:rPr>
      </w:pPr>
      <w:r>
        <w:rPr>
          <w:rFonts w:ascii="Arial" w:eastAsia="Calibri" w:hAnsi="Arial" w:cs="Arial"/>
          <w:bCs/>
          <w:sz w:val="22"/>
          <w:lang w:val="es-ES"/>
        </w:rPr>
        <w:tab/>
        <w:t>De manera similar</w:t>
      </w:r>
      <w:r w:rsidRPr="009427EF">
        <w:rPr>
          <w:rFonts w:ascii="Arial" w:eastAsia="Calibri" w:hAnsi="Arial" w:cs="Arial"/>
          <w:bCs/>
          <w:sz w:val="22"/>
          <w:lang w:val="es-ES"/>
        </w:rPr>
        <w:t>, en concepto del año 2017</w:t>
      </w:r>
      <w:r w:rsidRPr="009427EF">
        <w:rPr>
          <w:rStyle w:val="Refdenotaalpie"/>
          <w:rFonts w:ascii="Arial" w:eastAsia="Calibri" w:hAnsi="Arial" w:cs="Arial"/>
          <w:sz w:val="22"/>
          <w:lang w:val="es-ES"/>
        </w:rPr>
        <w:footnoteReference w:id="3"/>
      </w:r>
      <w:r w:rsidRPr="009427EF">
        <w:rPr>
          <w:rFonts w:ascii="Arial" w:eastAsia="Calibri" w:hAnsi="Arial" w:cs="Arial"/>
          <w:bCs/>
          <w:sz w:val="22"/>
          <w:lang w:val="es-ES"/>
        </w:rPr>
        <w:t xml:space="preserve">, la Contraloría General de la República precisó que los «[…] conceptos emitidos por la Oficina Jurídica de la Contraloría </w:t>
      </w:r>
      <w:r w:rsidRPr="009427EF">
        <w:rPr>
          <w:rFonts w:ascii="Arial" w:eastAsia="Calibri" w:hAnsi="Arial" w:cs="Arial"/>
          <w:bCs/>
          <w:sz w:val="22"/>
          <w:lang w:val="es-ES"/>
        </w:rPr>
        <w:lastRenderedPageBreak/>
        <w:t>General de la República, son orientaciones de carácter general que […] no son de obligatorio cumplimiento o ejecución, ni tienen el carácter de fuente normativa y sólo pueden ser utilizados para facilitar la interpretación y aplicación de las normas jurídicas vigentes […]».</w:t>
      </w:r>
    </w:p>
    <w:p w14:paraId="55029C4F" w14:textId="77777777" w:rsidR="00BC71C1" w:rsidRPr="009427EF" w:rsidRDefault="00BC71C1" w:rsidP="00BC71C1">
      <w:pPr>
        <w:tabs>
          <w:tab w:val="left" w:pos="709"/>
        </w:tabs>
        <w:spacing w:line="276" w:lineRule="auto"/>
        <w:jc w:val="both"/>
        <w:rPr>
          <w:rFonts w:ascii="Arial" w:eastAsia="Calibri" w:hAnsi="Arial" w:cs="Arial"/>
          <w:bCs/>
          <w:sz w:val="22"/>
        </w:rPr>
      </w:pPr>
      <w:r>
        <w:rPr>
          <w:rFonts w:ascii="Arial" w:eastAsia="Calibri" w:hAnsi="Arial" w:cs="Arial"/>
          <w:bCs/>
          <w:sz w:val="22"/>
          <w:lang w:val="es-ES"/>
        </w:rPr>
        <w:tab/>
      </w:r>
      <w:r w:rsidRPr="009427EF">
        <w:rPr>
          <w:rFonts w:ascii="Arial" w:eastAsia="Calibri" w:hAnsi="Arial" w:cs="Arial"/>
          <w:bCs/>
          <w:sz w:val="22"/>
          <w:lang w:val="es-ES"/>
        </w:rPr>
        <w:t>En similares términos, el artículo 112 de la Ley 1437 de 2011 establece, en relación con la Sala de Consulta y Servicio Civil, que «los conceptos de la Sala no serán vinculantes, salvo que la ley disponga lo contrario»</w:t>
      </w:r>
      <w:r w:rsidRPr="009427EF">
        <w:rPr>
          <w:rStyle w:val="Refdenotaalpie"/>
          <w:rFonts w:ascii="Arial" w:eastAsia="Calibri" w:hAnsi="Arial" w:cs="Arial"/>
          <w:sz w:val="22"/>
          <w:lang w:val="es-ES"/>
        </w:rPr>
        <w:footnoteReference w:id="4"/>
      </w:r>
      <w:r w:rsidRPr="009427EF">
        <w:rPr>
          <w:rFonts w:ascii="Arial" w:eastAsia="Calibri" w:hAnsi="Arial" w:cs="Arial"/>
          <w:bCs/>
          <w:sz w:val="22"/>
          <w:lang w:val="es-ES"/>
        </w:rPr>
        <w:t xml:space="preserve">. Se trata del ejercicio de una función consultiva, cuyos efectos, por ende, serán los mismos: no vinculantes, ni de obligatorio cumplimiento. En relación con el tema objeto de </w:t>
      </w:r>
      <w:r>
        <w:rPr>
          <w:rFonts w:ascii="Arial" w:eastAsia="Calibri" w:hAnsi="Arial" w:cs="Arial"/>
          <w:bCs/>
          <w:sz w:val="22"/>
          <w:lang w:val="es-ES"/>
        </w:rPr>
        <w:t>análisis</w:t>
      </w:r>
      <w:r w:rsidRPr="009427EF">
        <w:rPr>
          <w:rFonts w:ascii="Arial" w:eastAsia="Calibri" w:hAnsi="Arial" w:cs="Arial"/>
          <w:bCs/>
          <w:sz w:val="22"/>
          <w:lang w:val="es-ES"/>
        </w:rPr>
        <w:t>, la Sala de Consulta y Servicio Civil del Consejo de Estado se pronunció en los siguientes términos:</w:t>
      </w:r>
    </w:p>
    <w:p w14:paraId="60337809" w14:textId="77777777" w:rsidR="00BC71C1" w:rsidRPr="009427EF" w:rsidRDefault="00BC71C1" w:rsidP="00BC71C1">
      <w:pPr>
        <w:tabs>
          <w:tab w:val="left" w:pos="426"/>
        </w:tabs>
        <w:spacing w:line="276" w:lineRule="auto"/>
        <w:jc w:val="both"/>
        <w:rPr>
          <w:rFonts w:ascii="Arial" w:eastAsia="Calibri" w:hAnsi="Arial" w:cs="Arial"/>
          <w:bCs/>
          <w:sz w:val="22"/>
        </w:rPr>
      </w:pPr>
    </w:p>
    <w:p w14:paraId="1D61E51A" w14:textId="77B65E7E" w:rsidR="00BC71C1" w:rsidRPr="00D6066F" w:rsidRDefault="00BC71C1" w:rsidP="00250FBA">
      <w:pPr>
        <w:tabs>
          <w:tab w:val="left" w:pos="426"/>
        </w:tabs>
        <w:spacing w:after="120"/>
        <w:ind w:left="709" w:right="709"/>
        <w:jc w:val="both"/>
        <w:rPr>
          <w:rFonts w:ascii="Arial" w:eastAsia="Calibri" w:hAnsi="Arial" w:cs="Arial"/>
          <w:bCs/>
          <w:sz w:val="21"/>
          <w:szCs w:val="21"/>
        </w:rPr>
      </w:pPr>
      <w:r w:rsidRPr="00D6066F">
        <w:rPr>
          <w:rFonts w:ascii="Arial" w:eastAsia="Calibri" w:hAnsi="Arial" w:cs="Arial"/>
          <w:bCs/>
          <w:sz w:val="21"/>
          <w:szCs w:val="21"/>
          <w:lang w:val="es-ES"/>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14:paraId="4F9ED4B6" w14:textId="77777777" w:rsidR="00BC71C1" w:rsidRPr="00D6066F" w:rsidRDefault="00BC71C1">
      <w:pPr>
        <w:tabs>
          <w:tab w:val="left" w:pos="426"/>
        </w:tabs>
        <w:ind w:left="709" w:right="709"/>
        <w:jc w:val="both"/>
        <w:rPr>
          <w:rFonts w:ascii="Arial" w:eastAsia="Calibri" w:hAnsi="Arial" w:cs="Arial"/>
          <w:bCs/>
          <w:sz w:val="21"/>
          <w:szCs w:val="21"/>
        </w:rPr>
      </w:pPr>
      <w:r w:rsidRPr="00D6066F">
        <w:rPr>
          <w:rFonts w:ascii="Arial" w:eastAsia="Calibri" w:hAnsi="Arial" w:cs="Arial"/>
          <w:bCs/>
          <w:sz w:val="21"/>
          <w:szCs w:val="21"/>
          <w:lang w:val="es-ES"/>
        </w:rPr>
        <w:t>No se trata entonces de dar la razón a una u otra posición en temas controvertibles, sino de rendir un concepto jurídico que sirva a la Administración en la búsqueda del cumplimiento de las finalidades esenciales del Estado</w:t>
      </w:r>
      <w:r w:rsidRPr="00250FBA">
        <w:rPr>
          <w:rStyle w:val="Refdenotaalpie"/>
          <w:rFonts w:ascii="Arial" w:eastAsia="Calibri" w:hAnsi="Arial" w:cs="Arial"/>
          <w:sz w:val="21"/>
          <w:szCs w:val="21"/>
          <w:lang w:val="es-ES"/>
        </w:rPr>
        <w:footnoteReference w:id="5"/>
      </w:r>
      <w:r w:rsidRPr="00D6066F">
        <w:rPr>
          <w:rFonts w:ascii="Arial" w:eastAsia="Calibri" w:hAnsi="Arial" w:cs="Arial"/>
          <w:bCs/>
          <w:sz w:val="21"/>
          <w:szCs w:val="21"/>
          <w:lang w:val="es-ES"/>
        </w:rPr>
        <w:t>.</w:t>
      </w:r>
    </w:p>
    <w:p w14:paraId="1B5321C9" w14:textId="77777777" w:rsidR="00BC71C1" w:rsidRPr="00250FBA" w:rsidRDefault="00BC71C1" w:rsidP="00BC71C1">
      <w:pPr>
        <w:tabs>
          <w:tab w:val="left" w:pos="426"/>
        </w:tabs>
        <w:ind w:left="709" w:right="709"/>
        <w:jc w:val="both"/>
        <w:rPr>
          <w:rFonts w:ascii="Arial" w:eastAsia="Calibri" w:hAnsi="Arial" w:cs="Arial"/>
          <w:bCs/>
          <w:sz w:val="22"/>
        </w:rPr>
      </w:pPr>
    </w:p>
    <w:p w14:paraId="5F43E36D" w14:textId="1C429780" w:rsidR="00BC71C1" w:rsidRDefault="00BC71C1" w:rsidP="00BC71C1">
      <w:pPr>
        <w:tabs>
          <w:tab w:val="left" w:pos="709"/>
        </w:tabs>
        <w:spacing w:line="276" w:lineRule="auto"/>
        <w:jc w:val="both"/>
        <w:rPr>
          <w:rFonts w:ascii="Arial" w:eastAsia="Calibri" w:hAnsi="Arial" w:cs="Arial"/>
          <w:bCs/>
          <w:sz w:val="22"/>
          <w:lang w:val="es-ES"/>
        </w:rPr>
      </w:pPr>
      <w:r>
        <w:rPr>
          <w:rFonts w:ascii="Arial" w:eastAsia="Calibri" w:hAnsi="Arial" w:cs="Arial"/>
          <w:bCs/>
          <w:sz w:val="22"/>
          <w:lang w:val="es-ES"/>
        </w:rPr>
        <w:tab/>
        <w:t xml:space="preserve">De otro lado, la doctrina ha indicado sobre la función consultiva que se trata de </w:t>
      </w:r>
      <w:r w:rsidRPr="00D02E32">
        <w:rPr>
          <w:rFonts w:ascii="Arial" w:eastAsia="Calibri" w:hAnsi="Arial" w:cs="Arial"/>
          <w:bCs/>
          <w:sz w:val="22"/>
          <w:lang w:val="es-ES"/>
        </w:rPr>
        <w:t>«</w:t>
      </w:r>
      <w:r>
        <w:rPr>
          <w:rFonts w:ascii="Arial" w:eastAsia="Calibri" w:hAnsi="Arial" w:cs="Arial"/>
          <w:bCs/>
          <w:sz w:val="22"/>
          <w:lang w:val="es-ES"/>
        </w:rPr>
        <w:t>u</w:t>
      </w:r>
      <w:r w:rsidRPr="00D02E32">
        <w:rPr>
          <w:rFonts w:ascii="Arial" w:eastAsia="Calibri" w:hAnsi="Arial" w:cs="Arial"/>
          <w:bCs/>
          <w:sz w:val="22"/>
          <w:lang w:val="es-ES"/>
        </w:rPr>
        <w:t>n mecanismo didáctico de colaboración de las autoridades para con los particulares</w:t>
      </w:r>
      <w:r>
        <w:rPr>
          <w:rFonts w:ascii="Arial" w:eastAsia="Calibri" w:hAnsi="Arial" w:cs="Arial"/>
          <w:bCs/>
          <w:sz w:val="22"/>
          <w:lang w:val="es-ES"/>
        </w:rPr>
        <w:t xml:space="preserve"> […] mientras en los anteriores [tipos de derecho de petición] el objetivo es la formación de un acto administrativo o la obtención de una información, en el presente asunto la finalidad es la obtención de un concepto sobre la interpretación del ordenamiento jurídico</w:t>
      </w:r>
      <w:r w:rsidRPr="00D02E32">
        <w:rPr>
          <w:rFonts w:ascii="Arial" w:eastAsia="Calibri" w:hAnsi="Arial" w:cs="Arial"/>
          <w:bCs/>
          <w:sz w:val="22"/>
          <w:lang w:val="es-ES"/>
        </w:rPr>
        <w:t>»</w:t>
      </w:r>
      <w:r>
        <w:rPr>
          <w:rStyle w:val="Refdenotaalpie"/>
          <w:rFonts w:ascii="Arial" w:eastAsia="Calibri" w:hAnsi="Arial" w:cs="Arial"/>
          <w:bCs/>
          <w:sz w:val="22"/>
          <w:lang w:val="es-ES"/>
        </w:rPr>
        <w:footnoteReference w:id="6"/>
      </w:r>
      <w:r>
        <w:rPr>
          <w:rFonts w:ascii="Arial" w:eastAsia="Calibri" w:hAnsi="Arial" w:cs="Arial"/>
          <w:bCs/>
          <w:sz w:val="22"/>
          <w:lang w:val="es-ES"/>
        </w:rPr>
        <w:t>, y sobre el alcance de los conceptos se ha dicho</w:t>
      </w:r>
      <w:r w:rsidRPr="00D02E32">
        <w:rPr>
          <w:rFonts w:ascii="Arial" w:eastAsia="Calibri" w:hAnsi="Arial" w:cs="Arial"/>
          <w:bCs/>
          <w:sz w:val="22"/>
          <w:lang w:val="es-ES"/>
        </w:rPr>
        <w:t xml:space="preserve"> </w:t>
      </w:r>
      <w:r>
        <w:rPr>
          <w:rFonts w:ascii="Arial" w:eastAsia="Calibri" w:hAnsi="Arial" w:cs="Arial"/>
          <w:bCs/>
          <w:sz w:val="22"/>
          <w:lang w:val="es-ES"/>
        </w:rPr>
        <w:t>lo siguiente:</w:t>
      </w:r>
    </w:p>
    <w:p w14:paraId="41BABB7A" w14:textId="77777777" w:rsidR="00BC71C1" w:rsidRDefault="00BC71C1" w:rsidP="00250FBA">
      <w:pPr>
        <w:tabs>
          <w:tab w:val="left" w:pos="709"/>
        </w:tabs>
        <w:spacing w:line="276" w:lineRule="auto"/>
        <w:jc w:val="both"/>
        <w:rPr>
          <w:rFonts w:ascii="Arial" w:eastAsia="Calibri" w:hAnsi="Arial" w:cs="Arial"/>
          <w:bCs/>
          <w:sz w:val="22"/>
        </w:rPr>
      </w:pPr>
    </w:p>
    <w:p w14:paraId="4A78AA68" w14:textId="0498DF2C" w:rsidR="00BC71C1" w:rsidRDefault="00BC71C1" w:rsidP="00250FBA">
      <w:pPr>
        <w:tabs>
          <w:tab w:val="left" w:pos="1276"/>
        </w:tabs>
        <w:ind w:left="709" w:right="709"/>
        <w:jc w:val="both"/>
        <w:rPr>
          <w:rFonts w:ascii="Arial" w:eastAsia="Calibri" w:hAnsi="Arial" w:cs="Arial"/>
          <w:bCs/>
          <w:sz w:val="21"/>
          <w:szCs w:val="21"/>
        </w:rPr>
      </w:pPr>
      <w:r w:rsidRPr="007638F9">
        <w:rPr>
          <w:rFonts w:ascii="Arial" w:eastAsia="Calibri" w:hAnsi="Arial" w:cs="Arial"/>
          <w:bCs/>
          <w:sz w:val="21"/>
          <w:szCs w:val="21"/>
          <w:lang w:val="es-ES"/>
        </w:rPr>
        <w:t>Los conceptos no obligan a la administración, y los particulares están en la libertad de aceptarlos o no en los términos que establece el artículo 28 de la Ley 1755 de 2015. No son actos administrativos en la medida en que no adopta</w:t>
      </w:r>
      <w:r>
        <w:rPr>
          <w:rFonts w:ascii="Arial" w:eastAsia="Calibri" w:hAnsi="Arial" w:cs="Arial"/>
          <w:bCs/>
          <w:sz w:val="21"/>
          <w:szCs w:val="21"/>
          <w:lang w:val="es-ES"/>
        </w:rPr>
        <w:t>n</w:t>
      </w:r>
      <w:r w:rsidRPr="007638F9">
        <w:rPr>
          <w:rFonts w:ascii="Arial" w:eastAsia="Calibri" w:hAnsi="Arial" w:cs="Arial"/>
          <w:bCs/>
          <w:sz w:val="21"/>
          <w:szCs w:val="21"/>
          <w:lang w:val="es-ES"/>
        </w:rPr>
        <w:t xml:space="preserve"> decisiones ni están llamados a producir efectos jurídicos, salvo que la </w:t>
      </w:r>
      <w:r w:rsidRPr="007638F9">
        <w:rPr>
          <w:rFonts w:ascii="Arial" w:eastAsia="Calibri" w:hAnsi="Arial" w:cs="Arial"/>
          <w:bCs/>
          <w:sz w:val="21"/>
          <w:szCs w:val="21"/>
          <w:lang w:val="es-ES"/>
        </w:rPr>
        <w:lastRenderedPageBreak/>
        <w:t xml:space="preserve">administración con posterioridad los convierta en obligatorios. </w:t>
      </w:r>
      <w:r w:rsidRPr="007638F9">
        <w:rPr>
          <w:rFonts w:ascii="Arial" w:eastAsia="Calibri" w:hAnsi="Arial" w:cs="Arial"/>
          <w:bCs/>
          <w:i/>
          <w:iCs/>
          <w:sz w:val="21"/>
          <w:szCs w:val="21"/>
          <w:lang w:val="es-ES"/>
        </w:rPr>
        <w:t>No siendo actos administrativos, frente a ellos resulta imposible ejercitar los recursos de vía</w:t>
      </w:r>
      <w:r w:rsidRPr="007638F9">
        <w:rPr>
          <w:rFonts w:ascii="Arial" w:eastAsia="Calibri" w:hAnsi="Arial" w:cs="Arial"/>
          <w:bCs/>
          <w:sz w:val="21"/>
          <w:szCs w:val="21"/>
          <w:lang w:val="es-ES"/>
        </w:rPr>
        <w:t xml:space="preserve"> </w:t>
      </w:r>
      <w:r w:rsidRPr="00D02295">
        <w:rPr>
          <w:rFonts w:ascii="Arial" w:eastAsia="Calibri" w:hAnsi="Arial" w:cs="Arial"/>
          <w:bCs/>
          <w:i/>
          <w:iCs/>
          <w:sz w:val="21"/>
          <w:szCs w:val="21"/>
          <w:lang w:val="es-ES"/>
        </w:rPr>
        <w:t>gubernativa</w:t>
      </w:r>
      <w:r w:rsidRPr="007638F9">
        <w:rPr>
          <w:rFonts w:ascii="Arial" w:eastAsia="Calibri" w:hAnsi="Arial" w:cs="Arial"/>
          <w:bCs/>
          <w:sz w:val="21"/>
          <w:szCs w:val="21"/>
          <w:lang w:val="es-ES"/>
        </w:rPr>
        <w:t xml:space="preserve"> o las acciones contencioso-administrativas. </w:t>
      </w:r>
      <w:r w:rsidRPr="007638F9">
        <w:rPr>
          <w:rFonts w:ascii="Arial" w:eastAsia="Calibri" w:hAnsi="Arial" w:cs="Arial"/>
          <w:bCs/>
          <w:i/>
          <w:iCs/>
          <w:sz w:val="21"/>
          <w:szCs w:val="21"/>
          <w:lang w:val="es-ES"/>
        </w:rPr>
        <w:t>Sería absurdo pretender obligar a la administración a reconsiderar a través de estos mecanismos una interpretación jurídica que no produce efectos jurídicos</w:t>
      </w:r>
      <w:r w:rsidRPr="007638F9">
        <w:rPr>
          <w:rStyle w:val="Refdenotaalpie"/>
          <w:rFonts w:ascii="Arial" w:eastAsia="Calibri" w:hAnsi="Arial" w:cs="Arial"/>
          <w:bCs/>
          <w:sz w:val="21"/>
          <w:szCs w:val="21"/>
          <w:lang w:val="es-ES"/>
        </w:rPr>
        <w:footnoteReference w:id="7"/>
      </w:r>
      <w:r w:rsidRPr="007638F9">
        <w:rPr>
          <w:rFonts w:ascii="Arial" w:eastAsia="Calibri" w:hAnsi="Arial" w:cs="Arial"/>
          <w:bCs/>
          <w:sz w:val="21"/>
          <w:szCs w:val="21"/>
          <w:lang w:val="es-ES"/>
        </w:rPr>
        <w:t xml:space="preserve">.  </w:t>
      </w:r>
      <w:r>
        <w:rPr>
          <w:rFonts w:ascii="Arial" w:eastAsia="Calibri" w:hAnsi="Arial" w:cs="Arial"/>
          <w:bCs/>
          <w:sz w:val="21"/>
          <w:szCs w:val="21"/>
          <w:lang w:val="es-ES"/>
        </w:rPr>
        <w:t>(cursivas fuera de texto)</w:t>
      </w:r>
    </w:p>
    <w:p w14:paraId="122E4182" w14:textId="77777777" w:rsidR="00BC71C1" w:rsidRPr="00E212D2" w:rsidRDefault="00BC71C1" w:rsidP="00BC71C1">
      <w:pPr>
        <w:tabs>
          <w:tab w:val="left" w:pos="426"/>
        </w:tabs>
        <w:ind w:left="709" w:right="709"/>
        <w:jc w:val="both"/>
        <w:rPr>
          <w:rFonts w:ascii="Arial" w:eastAsia="Calibri" w:hAnsi="Arial" w:cs="Arial"/>
          <w:bCs/>
          <w:sz w:val="21"/>
          <w:szCs w:val="21"/>
        </w:rPr>
      </w:pPr>
    </w:p>
    <w:p w14:paraId="1393D705" w14:textId="503F52AC" w:rsidR="00BC71C1" w:rsidRDefault="00BC71C1" w:rsidP="00BC71C1">
      <w:pPr>
        <w:tabs>
          <w:tab w:val="left" w:pos="709"/>
        </w:tabs>
        <w:spacing w:after="120" w:line="276" w:lineRule="auto"/>
        <w:jc w:val="both"/>
        <w:rPr>
          <w:rFonts w:ascii="Arial" w:eastAsia="Calibri" w:hAnsi="Arial" w:cs="Arial"/>
          <w:bCs/>
          <w:sz w:val="22"/>
        </w:rPr>
      </w:pPr>
      <w:r w:rsidRPr="009427EF">
        <w:rPr>
          <w:rFonts w:ascii="Arial" w:eastAsia="Calibri" w:hAnsi="Arial" w:cs="Arial"/>
          <w:bCs/>
          <w:sz w:val="22"/>
          <w:lang w:val="es-ES"/>
        </w:rPr>
        <w:tab/>
      </w:r>
      <w:r>
        <w:rPr>
          <w:rFonts w:ascii="Arial" w:eastAsia="Calibri" w:hAnsi="Arial" w:cs="Arial"/>
          <w:bCs/>
          <w:sz w:val="22"/>
          <w:lang w:val="es-ES"/>
        </w:rPr>
        <w:t xml:space="preserve">Con base en las anteriores consideraciones, es posible afirmar que en el ordenamiento jurídico colombiano los conceptos emitidos por las autoridades ostentan las siguientes características: i) </w:t>
      </w:r>
      <w:r w:rsidRPr="00ED002D">
        <w:rPr>
          <w:rFonts w:ascii="Arial" w:eastAsia="Calibri" w:hAnsi="Arial" w:cs="Arial"/>
          <w:bCs/>
          <w:sz w:val="22"/>
          <w:lang w:val="es-ES"/>
        </w:rPr>
        <w:t>tienen</w:t>
      </w:r>
      <w:r>
        <w:rPr>
          <w:rFonts w:ascii="Arial" w:eastAsia="Calibri" w:hAnsi="Arial" w:cs="Arial"/>
          <w:bCs/>
          <w:sz w:val="22"/>
          <w:lang w:val="es-ES"/>
        </w:rPr>
        <w:t xml:space="preserve"> como objeto la interpretación de normas de carácter general, esto es del ordenamiento jurídico en abstracto y ii) no la resolución de controversias o la asesoría para casos concretos iii) no son vinculantes o de obligatorio cumplimiento para el destinatario sino que iv) expresan la posición interpretativa del ente que ha elaborado el concepto. </w:t>
      </w:r>
    </w:p>
    <w:p w14:paraId="29AC9689" w14:textId="3F946A38" w:rsidR="00BC71C1" w:rsidRDefault="00BC71C1" w:rsidP="00BC71C1">
      <w:pPr>
        <w:tabs>
          <w:tab w:val="left" w:pos="709"/>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t>Así las cosas, Colombia Compra Eficiente considera que no hay lugar</w:t>
      </w:r>
      <w:r w:rsidR="00D6066F">
        <w:rPr>
          <w:rFonts w:ascii="Arial" w:eastAsia="Calibri" w:hAnsi="Arial" w:cs="Arial"/>
          <w:bCs/>
          <w:sz w:val="22"/>
          <w:lang w:val="es-ES_tradnl"/>
        </w:rPr>
        <w:t xml:space="preserve"> a la rectificación de los conceptos</w:t>
      </w:r>
      <w:r>
        <w:rPr>
          <w:rFonts w:ascii="Arial" w:eastAsia="Calibri" w:hAnsi="Arial" w:cs="Arial"/>
          <w:bCs/>
          <w:sz w:val="22"/>
          <w:lang w:val="es-ES_tradnl"/>
        </w:rPr>
        <w:t xml:space="preserve">, pues no </w:t>
      </w:r>
      <w:r w:rsidR="00D6066F">
        <w:rPr>
          <w:rFonts w:ascii="Arial" w:eastAsia="Calibri" w:hAnsi="Arial" w:cs="Arial"/>
          <w:bCs/>
          <w:sz w:val="22"/>
          <w:lang w:val="es-ES_tradnl"/>
        </w:rPr>
        <w:t>son</w:t>
      </w:r>
      <w:r>
        <w:rPr>
          <w:rFonts w:ascii="Arial" w:eastAsia="Calibri" w:hAnsi="Arial" w:cs="Arial"/>
          <w:bCs/>
          <w:sz w:val="22"/>
          <w:lang w:val="es-ES_tradnl"/>
        </w:rPr>
        <w:t xml:space="preserve"> acto</w:t>
      </w:r>
      <w:r w:rsidR="00D6066F">
        <w:rPr>
          <w:rFonts w:ascii="Arial" w:eastAsia="Calibri" w:hAnsi="Arial" w:cs="Arial"/>
          <w:bCs/>
          <w:sz w:val="22"/>
          <w:lang w:val="es-ES_tradnl"/>
        </w:rPr>
        <w:t>s</w:t>
      </w:r>
      <w:r>
        <w:rPr>
          <w:rFonts w:ascii="Arial" w:eastAsia="Calibri" w:hAnsi="Arial" w:cs="Arial"/>
          <w:bCs/>
          <w:sz w:val="22"/>
          <w:lang w:val="es-ES_tradnl"/>
        </w:rPr>
        <w:t xml:space="preserve"> administrativo</w:t>
      </w:r>
      <w:r w:rsidR="00D6066F">
        <w:rPr>
          <w:rFonts w:ascii="Arial" w:eastAsia="Calibri" w:hAnsi="Arial" w:cs="Arial"/>
          <w:bCs/>
          <w:sz w:val="22"/>
          <w:lang w:val="es-ES_tradnl"/>
        </w:rPr>
        <w:t>s</w:t>
      </w:r>
      <w:r>
        <w:rPr>
          <w:rFonts w:ascii="Arial" w:eastAsia="Calibri" w:hAnsi="Arial" w:cs="Arial"/>
          <w:bCs/>
          <w:sz w:val="22"/>
          <w:lang w:val="es-ES_tradnl"/>
        </w:rPr>
        <w:t>, no tiene</w:t>
      </w:r>
      <w:r w:rsidR="00D6066F">
        <w:rPr>
          <w:rFonts w:ascii="Arial" w:eastAsia="Calibri" w:hAnsi="Arial" w:cs="Arial"/>
          <w:bCs/>
          <w:sz w:val="22"/>
          <w:lang w:val="es-ES_tradnl"/>
        </w:rPr>
        <w:t>n</w:t>
      </w:r>
      <w:r>
        <w:rPr>
          <w:rFonts w:ascii="Arial" w:eastAsia="Calibri" w:hAnsi="Arial" w:cs="Arial"/>
          <w:bCs/>
          <w:sz w:val="22"/>
          <w:lang w:val="es-ES_tradnl"/>
        </w:rPr>
        <w:t xml:space="preserve"> efectos vinculantes en relación con una situación jurídica particular y concreta, y expone</w:t>
      </w:r>
      <w:r w:rsidR="00D6066F">
        <w:rPr>
          <w:rFonts w:ascii="Arial" w:eastAsia="Calibri" w:hAnsi="Arial" w:cs="Arial"/>
          <w:bCs/>
          <w:sz w:val="22"/>
          <w:lang w:val="es-ES_tradnl"/>
        </w:rPr>
        <w:t>n</w:t>
      </w:r>
      <w:r>
        <w:rPr>
          <w:rFonts w:ascii="Arial" w:eastAsia="Calibri" w:hAnsi="Arial" w:cs="Arial"/>
          <w:bCs/>
          <w:sz w:val="22"/>
          <w:lang w:val="es-ES_tradnl"/>
        </w:rPr>
        <w:t xml:space="preserve"> un criterio que, aunque jurídicamente fundamentado, no es obligatorio para el destinatario del concepto. </w:t>
      </w:r>
    </w:p>
    <w:p w14:paraId="5D17D6B1" w14:textId="77777777" w:rsidR="00BC71C1" w:rsidRPr="00D02295" w:rsidRDefault="00BC71C1" w:rsidP="00BC71C1">
      <w:pPr>
        <w:tabs>
          <w:tab w:val="left" w:pos="709"/>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t>Lo anterior no implica que la Agencia Nacional de Contratación Pública – Colombia Compra Eficiente considere inalterables sus posturas, pues, de ser necesario, podría replantear una tesis previamente expuesta, bajo estrictos estándares argumentativos, al emitir otro concepto. Pese a ello, en este caso se señalarán las razones por las cuales esta Agencia mantiene su postura emitida en conceptos anteriores.</w:t>
      </w:r>
    </w:p>
    <w:p w14:paraId="769424BB" w14:textId="205DD0B3" w:rsidR="00BC71C1" w:rsidRDefault="00BC71C1" w:rsidP="00BC71C1">
      <w:pPr>
        <w:tabs>
          <w:tab w:val="left" w:pos="709"/>
        </w:tabs>
        <w:spacing w:line="276" w:lineRule="auto"/>
        <w:jc w:val="both"/>
        <w:rPr>
          <w:rFonts w:ascii="Arial" w:eastAsia="Calibri" w:hAnsi="Arial" w:cs="Arial"/>
          <w:bCs/>
          <w:sz w:val="22"/>
        </w:rPr>
      </w:pPr>
      <w:r>
        <w:rPr>
          <w:rFonts w:ascii="Arial" w:eastAsia="Calibri" w:hAnsi="Arial" w:cs="Arial"/>
          <w:bCs/>
          <w:sz w:val="22"/>
          <w:lang w:val="es-ES"/>
        </w:rPr>
        <w:tab/>
        <w:t xml:space="preserve">Por otro lado, se adiciona, que, como se advirtió en el aparte segundo sobre consideraciones generales, esta Agencia había tenido la oportunidad de pronunciarse sobre la función consultiva en los conceptos </w:t>
      </w:r>
      <w:r w:rsidRPr="009427EF">
        <w:rPr>
          <w:rFonts w:ascii="Arial" w:eastAsia="Calibri" w:hAnsi="Arial" w:cs="Arial"/>
          <w:sz w:val="22"/>
          <w:lang w:val="es-ES"/>
        </w:rPr>
        <w:t>C</w:t>
      </w:r>
      <w:r w:rsidR="00D6066F">
        <w:rPr>
          <w:rFonts w:ascii="Arial" w:eastAsia="Calibri" w:hAnsi="Arial" w:cs="Arial"/>
          <w:sz w:val="22"/>
          <w:lang w:val="es-ES"/>
        </w:rPr>
        <w:t>-</w:t>
      </w:r>
      <w:r w:rsidRPr="009427EF">
        <w:rPr>
          <w:rFonts w:ascii="Arial" w:eastAsia="Calibri" w:hAnsi="Arial" w:cs="Arial"/>
          <w:sz w:val="22"/>
          <w:lang w:val="es-ES"/>
        </w:rPr>
        <w:t>337 del 26 de junio de 2020 y C</w:t>
      </w:r>
      <w:r w:rsidR="00D6066F">
        <w:rPr>
          <w:rFonts w:ascii="Arial" w:eastAsia="Calibri" w:hAnsi="Arial" w:cs="Arial"/>
          <w:sz w:val="22"/>
          <w:lang w:val="es-ES"/>
        </w:rPr>
        <w:t>-</w:t>
      </w:r>
      <w:r w:rsidRPr="009427EF">
        <w:rPr>
          <w:rFonts w:ascii="Arial" w:eastAsia="Calibri" w:hAnsi="Arial" w:cs="Arial"/>
          <w:sz w:val="22"/>
          <w:lang w:val="es-ES"/>
        </w:rPr>
        <w:t>439 del 27 de julio de 2020</w:t>
      </w:r>
      <w:r>
        <w:rPr>
          <w:rFonts w:ascii="Arial" w:eastAsia="Calibri" w:hAnsi="Arial" w:cs="Arial"/>
          <w:sz w:val="22"/>
          <w:lang w:val="es-ES"/>
        </w:rPr>
        <w:t xml:space="preserve">. En esos conceptos se afirmó: </w:t>
      </w:r>
    </w:p>
    <w:p w14:paraId="2C52115F" w14:textId="77777777" w:rsidR="00BC71C1" w:rsidRDefault="00BC71C1" w:rsidP="00BC71C1">
      <w:pPr>
        <w:tabs>
          <w:tab w:val="left" w:pos="426"/>
        </w:tabs>
        <w:ind w:left="709" w:right="709"/>
        <w:jc w:val="both"/>
        <w:rPr>
          <w:rFonts w:ascii="Arial" w:eastAsia="Calibri" w:hAnsi="Arial" w:cs="Arial"/>
          <w:bCs/>
          <w:sz w:val="21"/>
          <w:szCs w:val="21"/>
        </w:rPr>
      </w:pPr>
    </w:p>
    <w:p w14:paraId="637131AA" w14:textId="77777777" w:rsidR="00BC71C1" w:rsidRPr="007757A0" w:rsidRDefault="00BC71C1" w:rsidP="00BC71C1">
      <w:pPr>
        <w:tabs>
          <w:tab w:val="left" w:pos="426"/>
        </w:tabs>
        <w:ind w:left="709" w:right="709"/>
        <w:jc w:val="both"/>
        <w:rPr>
          <w:rFonts w:ascii="Arial" w:eastAsia="Calibri" w:hAnsi="Arial" w:cs="Arial"/>
          <w:bCs/>
          <w:sz w:val="21"/>
          <w:szCs w:val="21"/>
        </w:rPr>
      </w:pPr>
      <w:r w:rsidRPr="007757A0">
        <w:rPr>
          <w:rFonts w:ascii="Arial" w:eastAsia="Calibri" w:hAnsi="Arial" w:cs="Arial"/>
          <w:bCs/>
          <w:sz w:val="21"/>
          <w:szCs w:val="21"/>
          <w:lang w:val="es-ES"/>
        </w:rPr>
        <w:t xml:space="preserve">En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impide interpretaciones diferentes y, mucho menos, valida la del peticionario, ya que las competencias consultivas no lo permiten. </w:t>
      </w:r>
    </w:p>
    <w:p w14:paraId="088B43E4" w14:textId="77777777" w:rsidR="00BC71C1" w:rsidRPr="00250FBA" w:rsidRDefault="00BC71C1" w:rsidP="00BC71C1">
      <w:pPr>
        <w:tabs>
          <w:tab w:val="left" w:pos="709"/>
        </w:tabs>
        <w:ind w:right="709"/>
        <w:jc w:val="both"/>
        <w:rPr>
          <w:rFonts w:ascii="Arial" w:eastAsia="Calibri" w:hAnsi="Arial" w:cs="Arial"/>
          <w:bCs/>
          <w:sz w:val="22"/>
        </w:rPr>
      </w:pPr>
    </w:p>
    <w:p w14:paraId="61B84257" w14:textId="77777777" w:rsidR="00BC71C1" w:rsidRDefault="00BC71C1" w:rsidP="00BC71C1">
      <w:pPr>
        <w:tabs>
          <w:tab w:val="left" w:pos="709"/>
        </w:tabs>
        <w:spacing w:line="276" w:lineRule="auto"/>
        <w:jc w:val="both"/>
        <w:rPr>
          <w:rFonts w:ascii="Arial" w:eastAsia="Calibri" w:hAnsi="Arial" w:cs="Arial"/>
          <w:bCs/>
          <w:sz w:val="22"/>
        </w:rPr>
      </w:pPr>
      <w:r>
        <w:rPr>
          <w:rFonts w:ascii="Arial" w:eastAsia="Calibri" w:hAnsi="Arial" w:cs="Arial"/>
          <w:bCs/>
          <w:sz w:val="22"/>
          <w:lang w:val="es-ES"/>
        </w:rPr>
        <w:lastRenderedPageBreak/>
        <w:tab/>
        <w:t>Este aparte debe ser entendido en el sentido presentado en este concepto. Esto es, que la función consultiva implica, por definición, la adopción de una posición interpretativa, pero que la visión hermenéutica contenida en los conceptos no es vinculante para sus destinatarios o para los demás agentes que actúan en el ordenamiento jurídico. En esos conceptos también se dijo:</w:t>
      </w:r>
    </w:p>
    <w:p w14:paraId="74D5EC81" w14:textId="77777777" w:rsidR="00BC71C1" w:rsidRDefault="00BC71C1" w:rsidP="00BC71C1">
      <w:pPr>
        <w:tabs>
          <w:tab w:val="left" w:pos="426"/>
        </w:tabs>
        <w:ind w:left="709" w:right="709"/>
        <w:jc w:val="both"/>
        <w:rPr>
          <w:rFonts w:ascii="Arial" w:eastAsia="Calibri" w:hAnsi="Arial" w:cs="Arial"/>
          <w:bCs/>
          <w:sz w:val="22"/>
          <w:lang w:val="es-ES_tradnl"/>
        </w:rPr>
      </w:pPr>
    </w:p>
    <w:p w14:paraId="4DDEF617" w14:textId="3BBBB0D3" w:rsidR="00BC71C1" w:rsidRDefault="00BC71C1" w:rsidP="00BC71C1">
      <w:pPr>
        <w:tabs>
          <w:tab w:val="left" w:pos="426"/>
        </w:tabs>
        <w:ind w:left="709" w:right="709"/>
        <w:jc w:val="both"/>
        <w:rPr>
          <w:rFonts w:ascii="Arial" w:eastAsia="Calibri" w:hAnsi="Arial" w:cs="Arial"/>
          <w:bCs/>
          <w:sz w:val="21"/>
          <w:szCs w:val="21"/>
        </w:rPr>
      </w:pPr>
      <w:r w:rsidRPr="00F4623F">
        <w:rPr>
          <w:rFonts w:ascii="Arial" w:eastAsia="Calibri" w:hAnsi="Arial" w:cs="Arial"/>
          <w:bCs/>
          <w:sz w:val="21"/>
          <w:szCs w:val="21"/>
          <w:lang w:val="es-ES"/>
        </w:rPr>
        <w:t>A las autoridades que ejercen funciones consultivas no les corresponde darle un alcance o preferir un sentido frente a otro, ya que estas se limitan a expresar su posición hermenéutica respecto a las disposiciones normativas. En tal sentido, no pueden, pues, sobreponer su opinión sobre otras posibles.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14:paraId="7D93B97A" w14:textId="77777777" w:rsidR="00BC71C1" w:rsidRPr="00250FBA" w:rsidRDefault="00BC71C1" w:rsidP="00BC71C1">
      <w:pPr>
        <w:tabs>
          <w:tab w:val="left" w:pos="426"/>
        </w:tabs>
        <w:ind w:left="709" w:right="709"/>
        <w:jc w:val="both"/>
        <w:rPr>
          <w:rFonts w:ascii="Arial" w:eastAsia="Calibri" w:hAnsi="Arial" w:cs="Arial"/>
          <w:bCs/>
          <w:sz w:val="22"/>
        </w:rPr>
      </w:pPr>
    </w:p>
    <w:p w14:paraId="273F7775" w14:textId="77777777" w:rsidR="00BC71C1" w:rsidRDefault="00BC71C1" w:rsidP="00BC71C1">
      <w:pPr>
        <w:tabs>
          <w:tab w:val="left" w:pos="709"/>
        </w:tabs>
        <w:spacing w:after="120" w:line="276" w:lineRule="auto"/>
        <w:jc w:val="both"/>
        <w:rPr>
          <w:rFonts w:ascii="Arial" w:eastAsia="Calibri" w:hAnsi="Arial" w:cs="Arial"/>
          <w:bCs/>
          <w:sz w:val="22"/>
        </w:rPr>
      </w:pPr>
      <w:r>
        <w:rPr>
          <w:rFonts w:ascii="Arial" w:eastAsia="Calibri" w:hAnsi="Arial" w:cs="Arial"/>
          <w:bCs/>
          <w:sz w:val="22"/>
          <w:lang w:val="es-ES"/>
        </w:rPr>
        <w:tab/>
        <w:t xml:space="preserve">Sobre estas afirmaciones debe señalarse que estaban atadas al objeto particular de la consulta, en donde se había puesto de presente que la Sala de Consulta y Servicio Civil del Consejo de Estado sostenía una posición interpretativa diferente a la de esta Subdirección. En este contexto, se afirmó que no correspondía determinar quién tenía la razón entre las dos entidades, ni era el objetivo de esta Agencia sobreponer su criterio interpretativo sobre el de otras autoridades. En relación con este aspecto, se debe agregar que ello no implica que los conceptos no estén acogiendo una posición particular, que en opinión del autor es la más adecuada al ordenamiento jurídico vigente. </w:t>
      </w:r>
    </w:p>
    <w:p w14:paraId="48D679FA" w14:textId="77777777" w:rsidR="00BC71C1" w:rsidRPr="00AE4EA3" w:rsidRDefault="00BC71C1" w:rsidP="00BC71C1">
      <w:pPr>
        <w:tabs>
          <w:tab w:val="left" w:pos="709"/>
        </w:tabs>
        <w:spacing w:line="276" w:lineRule="auto"/>
        <w:jc w:val="both"/>
        <w:rPr>
          <w:rFonts w:ascii="Arial" w:eastAsia="Calibri" w:hAnsi="Arial" w:cs="Arial"/>
          <w:bCs/>
          <w:sz w:val="22"/>
        </w:rPr>
      </w:pPr>
      <w:r>
        <w:rPr>
          <w:rFonts w:ascii="Arial" w:eastAsia="Calibri" w:hAnsi="Arial" w:cs="Arial"/>
          <w:bCs/>
          <w:sz w:val="22"/>
          <w:lang w:val="es-ES"/>
        </w:rPr>
        <w:tab/>
        <w:t xml:space="preserve">A lo anterior se añade que la divergencia de criterios interpretativos entre autoridades, antes que desdecir de la función consultiva, confirma su carácter no vinculante y reafirma la posibilidad de que exista más de una interpretación en el ordenamiento jurídico. Situación esta última que, según se dijo en esos conceptos, </w:t>
      </w:r>
      <w:r w:rsidRPr="00AE4EA3">
        <w:rPr>
          <w:rFonts w:ascii="Arial" w:eastAsia="Calibri" w:hAnsi="Arial" w:cs="Arial"/>
          <w:bCs/>
          <w:sz w:val="22"/>
          <w:lang w:val="es-ES"/>
        </w:rPr>
        <w:t>«hace parte de la lógica deliberativa y dialéctica del funcionamiento del Estado</w:t>
      </w:r>
      <w:r>
        <w:rPr>
          <w:rFonts w:ascii="Arial" w:eastAsia="Calibri" w:hAnsi="Arial" w:cs="Arial"/>
          <w:bCs/>
          <w:sz w:val="22"/>
          <w:lang w:val="es-ES"/>
        </w:rPr>
        <w:t xml:space="preserve"> [y el derecho]</w:t>
      </w:r>
      <w:r w:rsidRPr="00AE4EA3">
        <w:rPr>
          <w:rFonts w:ascii="Arial" w:eastAsia="Calibri" w:hAnsi="Arial" w:cs="Arial"/>
          <w:bCs/>
          <w:sz w:val="22"/>
          <w:lang w:val="es-ES"/>
        </w:rPr>
        <w:t xml:space="preserve"> y, en cierta medida, refleja el principio democrático»</w:t>
      </w:r>
      <w:r>
        <w:rPr>
          <w:rFonts w:ascii="Arial" w:eastAsia="Calibri" w:hAnsi="Arial" w:cs="Arial"/>
          <w:bCs/>
          <w:sz w:val="22"/>
          <w:lang w:val="es-ES"/>
        </w:rPr>
        <w:t xml:space="preserve">. </w:t>
      </w:r>
    </w:p>
    <w:p w14:paraId="3C10BFEE" w14:textId="77777777" w:rsidR="00914C81" w:rsidRPr="00E00BFD" w:rsidRDefault="00914C81" w:rsidP="00914C81">
      <w:pPr>
        <w:spacing w:line="276" w:lineRule="auto"/>
        <w:jc w:val="both"/>
        <w:rPr>
          <w:rFonts w:ascii="Arial" w:eastAsia="Calibri" w:hAnsi="Arial" w:cs="Arial"/>
          <w:color w:val="000000" w:themeColor="text1"/>
          <w:sz w:val="16"/>
          <w:szCs w:val="16"/>
        </w:rPr>
      </w:pPr>
    </w:p>
    <w:p w14:paraId="699FE6FF" w14:textId="3E7999F3" w:rsidR="00914C81" w:rsidRPr="00021C75" w:rsidRDefault="00914C81" w:rsidP="00914C81">
      <w:pPr>
        <w:spacing w:line="276" w:lineRule="auto"/>
        <w:jc w:val="both"/>
        <w:rPr>
          <w:rFonts w:ascii="Arial" w:eastAsia="Calibri" w:hAnsi="Arial" w:cs="Arial"/>
          <w:b/>
          <w:bCs/>
          <w:color w:val="000000" w:themeColor="text1"/>
          <w:sz w:val="22"/>
        </w:rPr>
      </w:pPr>
      <w:r w:rsidRPr="00021C75">
        <w:rPr>
          <w:rFonts w:ascii="Arial" w:eastAsia="Calibri" w:hAnsi="Arial" w:cs="Arial"/>
          <w:b/>
          <w:bCs/>
          <w:color w:val="000000" w:themeColor="text1"/>
          <w:sz w:val="22"/>
        </w:rPr>
        <w:t>2.</w:t>
      </w:r>
      <w:r w:rsidR="00610B2C">
        <w:rPr>
          <w:rFonts w:ascii="Arial" w:eastAsia="Calibri" w:hAnsi="Arial" w:cs="Arial"/>
          <w:b/>
          <w:bCs/>
          <w:color w:val="000000" w:themeColor="text1"/>
          <w:sz w:val="22"/>
        </w:rPr>
        <w:t>2</w:t>
      </w:r>
      <w:r w:rsidRPr="00021C75">
        <w:rPr>
          <w:rFonts w:ascii="Arial" w:eastAsia="Calibri" w:hAnsi="Arial" w:cs="Arial"/>
          <w:b/>
          <w:bCs/>
          <w:color w:val="000000" w:themeColor="text1"/>
          <w:sz w:val="22"/>
        </w:rPr>
        <w:t xml:space="preserve">. Régimen </w:t>
      </w:r>
      <w:r w:rsidR="00D6066F" w:rsidRPr="00021C75">
        <w:rPr>
          <w:rFonts w:ascii="Arial" w:eastAsia="Calibri" w:hAnsi="Arial" w:cs="Arial"/>
          <w:b/>
          <w:bCs/>
          <w:color w:val="000000" w:themeColor="text1"/>
          <w:sz w:val="22"/>
        </w:rPr>
        <w:t>jurídico de los documentos tipo</w:t>
      </w:r>
    </w:p>
    <w:p w14:paraId="366DC72A" w14:textId="77777777" w:rsidR="00914C81" w:rsidRPr="00E00BFD" w:rsidRDefault="00914C81" w:rsidP="00914C81">
      <w:pPr>
        <w:spacing w:line="276" w:lineRule="auto"/>
        <w:jc w:val="both"/>
        <w:rPr>
          <w:rFonts w:ascii="Arial" w:eastAsia="Calibri" w:hAnsi="Arial" w:cs="Arial"/>
          <w:b/>
          <w:bCs/>
          <w:color w:val="000000" w:themeColor="text1"/>
          <w:sz w:val="16"/>
          <w:szCs w:val="16"/>
        </w:rPr>
      </w:pPr>
    </w:p>
    <w:p w14:paraId="1C2105D0" w14:textId="77777777" w:rsidR="00595975" w:rsidRPr="005B2F33" w:rsidRDefault="00595975" w:rsidP="00595975">
      <w:pPr>
        <w:spacing w:line="276" w:lineRule="auto"/>
        <w:jc w:val="both"/>
        <w:rPr>
          <w:rFonts w:ascii="Arial" w:hAnsi="Arial" w:cs="Arial"/>
          <w:color w:val="0D0D0D" w:themeColor="text1" w:themeTint="F2"/>
          <w:sz w:val="22"/>
          <w:lang w:val="es-ES"/>
        </w:rPr>
      </w:pPr>
      <w:bookmarkStart w:id="0" w:name="_Hlk40097868"/>
      <w:bookmarkStart w:id="1" w:name="_Hlk41238857"/>
      <w:r w:rsidRPr="005B2F33">
        <w:rPr>
          <w:rFonts w:ascii="Arial" w:hAnsi="Arial" w:cs="Arial"/>
          <w:color w:val="0D0D0D" w:themeColor="text1" w:themeTint="F2"/>
          <w:sz w:val="22"/>
          <w:lang w:val="es-ES"/>
        </w:rPr>
        <w:lastRenderedPageBreak/>
        <w:t>El parágrafo 3 del artículo 2 de la Ley 1150 de 2007 facultó por primera vez al Gobierno Nacional para adoptar estándares generales en los pliegos de condiciones</w:t>
      </w:r>
      <w:r>
        <w:rPr>
          <w:rFonts w:ascii="Arial" w:hAnsi="Arial" w:cs="Arial"/>
          <w:color w:val="0D0D0D" w:themeColor="text1" w:themeTint="F2"/>
          <w:sz w:val="22"/>
          <w:lang w:val="es-ES"/>
        </w:rPr>
        <w:t>, razón por la cual dispuso lo siguiente</w:t>
      </w:r>
      <w:bookmarkEnd w:id="0"/>
      <w:r w:rsidRPr="005B2F33">
        <w:rPr>
          <w:rFonts w:ascii="Arial" w:hAnsi="Arial" w:cs="Arial"/>
          <w:color w:val="0D0D0D" w:themeColor="text1" w:themeTint="F2"/>
          <w:sz w:val="22"/>
          <w:lang w:val="es-ES"/>
        </w:rPr>
        <w:t>:</w:t>
      </w:r>
    </w:p>
    <w:p w14:paraId="39E8B6EF" w14:textId="77777777" w:rsidR="00595975" w:rsidRPr="005B2F33" w:rsidRDefault="00595975" w:rsidP="00595975">
      <w:pPr>
        <w:spacing w:line="276" w:lineRule="auto"/>
        <w:jc w:val="both"/>
        <w:rPr>
          <w:rFonts w:ascii="Arial" w:hAnsi="Arial" w:cs="Arial"/>
          <w:color w:val="0D0D0D" w:themeColor="text1" w:themeTint="F2"/>
          <w:sz w:val="22"/>
          <w:lang w:val="es-ES"/>
        </w:rPr>
      </w:pPr>
    </w:p>
    <w:p w14:paraId="2FBEB568" w14:textId="77777777" w:rsidR="00595975" w:rsidRPr="005B2F33" w:rsidRDefault="00595975" w:rsidP="00595975">
      <w:pPr>
        <w:ind w:left="709" w:right="709"/>
        <w:jc w:val="both"/>
        <w:rPr>
          <w:rFonts w:ascii="Arial" w:hAnsi="Arial" w:cs="Arial"/>
          <w:color w:val="0D0D0D" w:themeColor="text1" w:themeTint="F2"/>
          <w:sz w:val="21"/>
          <w:szCs w:val="21"/>
          <w:lang w:val="es-ES"/>
        </w:rPr>
      </w:pPr>
      <w:r w:rsidRPr="005B2F33">
        <w:rPr>
          <w:rFonts w:ascii="Arial" w:hAnsi="Arial" w:cs="Arial"/>
          <w:bCs/>
          <w:color w:val="0D0D0D" w:themeColor="text1" w:themeTint="F2"/>
          <w:sz w:val="21"/>
          <w:szCs w:val="21"/>
          <w:lang w:val="es-ES"/>
        </w:rPr>
        <w:t>Parágrafo 3°.</w:t>
      </w:r>
      <w:r w:rsidRPr="005B2F33">
        <w:rPr>
          <w:rFonts w:ascii="Arial" w:hAnsi="Arial" w:cs="Arial"/>
          <w:color w:val="0D0D0D" w:themeColor="text1" w:themeTint="F2"/>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424234AB" w14:textId="77777777" w:rsidR="00595975" w:rsidRPr="005B2F33" w:rsidRDefault="00595975" w:rsidP="00595975">
      <w:pPr>
        <w:spacing w:line="276" w:lineRule="auto"/>
        <w:jc w:val="both"/>
        <w:rPr>
          <w:rFonts w:ascii="Arial" w:hAnsi="Arial" w:cs="Arial"/>
          <w:color w:val="0D0D0D" w:themeColor="text1" w:themeTint="F2"/>
          <w:sz w:val="22"/>
          <w:lang w:val="es-ES"/>
        </w:rPr>
      </w:pPr>
    </w:p>
    <w:p w14:paraId="00EB4E74" w14:textId="77777777" w:rsidR="00595975" w:rsidRPr="005B2F33" w:rsidRDefault="00595975" w:rsidP="00595975">
      <w:pPr>
        <w:spacing w:after="120" w:line="276" w:lineRule="auto"/>
        <w:ind w:firstLine="708"/>
        <w:jc w:val="both"/>
        <w:rPr>
          <w:color w:val="0D0D0D" w:themeColor="text1" w:themeTint="F2"/>
        </w:rPr>
      </w:pPr>
      <w:bookmarkStart w:id="2" w:name="_Hlk40098008"/>
      <w:r>
        <w:rPr>
          <w:rFonts w:ascii="Arial" w:hAnsi="Arial" w:cs="Arial"/>
          <w:color w:val="0D0D0D" w:themeColor="text1" w:themeTint="F2"/>
          <w:sz w:val="22"/>
          <w:lang w:val="es-ES"/>
        </w:rPr>
        <w:t>L</w:t>
      </w:r>
      <w:r w:rsidRPr="005B2F33">
        <w:rPr>
          <w:rFonts w:ascii="Arial" w:hAnsi="Arial" w:cs="Arial"/>
          <w:color w:val="0D0D0D" w:themeColor="text1" w:themeTint="F2"/>
          <w:sz w:val="22"/>
          <w:lang w:val="es-ES"/>
        </w:rPr>
        <w:t xml:space="preserve">os llamados pliegos tipo aparecieron en nuestro ordenamiento jurídico en </w:t>
      </w:r>
      <w:r>
        <w:rPr>
          <w:rFonts w:ascii="Arial" w:hAnsi="Arial" w:cs="Arial"/>
          <w:color w:val="0D0D0D" w:themeColor="text1" w:themeTint="F2"/>
          <w:sz w:val="22"/>
          <w:lang w:val="es-ES"/>
        </w:rPr>
        <w:t xml:space="preserve">el </w:t>
      </w:r>
      <w:r w:rsidRPr="005B2F33">
        <w:rPr>
          <w:rFonts w:ascii="Arial" w:hAnsi="Arial" w:cs="Arial"/>
          <w:color w:val="0D0D0D" w:themeColor="text1" w:themeTint="F2"/>
          <w:sz w:val="22"/>
          <w:lang w:val="es-ES"/>
        </w:rPr>
        <w:t xml:space="preserve">2007, 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 La </w:t>
      </w:r>
      <w:r>
        <w:rPr>
          <w:rFonts w:ascii="Arial" w:hAnsi="Arial" w:cs="Arial"/>
          <w:color w:val="0D0D0D" w:themeColor="text1" w:themeTint="F2"/>
          <w:sz w:val="22"/>
          <w:lang w:val="es-ES"/>
        </w:rPr>
        <w:t xml:space="preserve">orientación inicial </w:t>
      </w:r>
      <w:r w:rsidRPr="005B2F33">
        <w:rPr>
          <w:rFonts w:ascii="Arial" w:hAnsi="Arial" w:cs="Arial"/>
          <w:color w:val="0D0D0D" w:themeColor="text1" w:themeTint="F2"/>
          <w:sz w:val="22"/>
          <w:lang w:val="es-ES"/>
        </w:rPr>
        <w:t xml:space="preserve">del proyecto que se convirtió en la Ley 1150 de 2007 era facultar al Gobierno Nacional para adoptar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en todos los contratos estatales, pues </w:t>
      </w:r>
      <w:r>
        <w:rPr>
          <w:rFonts w:ascii="Arial" w:hAnsi="Arial" w:cs="Arial"/>
          <w:color w:val="0D0D0D" w:themeColor="text1" w:themeTint="F2"/>
          <w:sz w:val="22"/>
          <w:lang w:val="es-ES"/>
        </w:rPr>
        <w:t xml:space="preserve">en el proyecto </w:t>
      </w:r>
      <w:r w:rsidRPr="005B2F33">
        <w:rPr>
          <w:rFonts w:ascii="Arial" w:hAnsi="Arial" w:cs="Arial"/>
          <w:color w:val="0D0D0D" w:themeColor="text1" w:themeTint="F2"/>
          <w:sz w:val="22"/>
          <w:lang w:val="es-ES"/>
        </w:rPr>
        <w:t xml:space="preserve">el parágrafo 3º </w:t>
      </w:r>
      <w:r>
        <w:rPr>
          <w:rFonts w:ascii="Arial" w:hAnsi="Arial" w:cs="Arial"/>
          <w:color w:val="0D0D0D" w:themeColor="text1" w:themeTint="F2"/>
          <w:sz w:val="22"/>
          <w:lang w:val="es-ES"/>
        </w:rPr>
        <w:t>disponía que «</w:t>
      </w:r>
      <w:r w:rsidRPr="005B2F33">
        <w:rPr>
          <w:rFonts w:ascii="Arial" w:hAnsi="Arial" w:cs="Arial"/>
          <w:color w:val="0D0D0D" w:themeColor="text1" w:themeTint="F2"/>
          <w:sz w:val="22"/>
          <w:lang w:val="es-ES"/>
        </w:rPr>
        <w:t>El Gobierno Nacional tendrá la facultad de estandarizar los pliegos de condiciones o términos de referencia y los contratos de las entidades estatales»</w:t>
      </w:r>
      <w:r w:rsidRPr="005B2F33">
        <w:rPr>
          <w:rStyle w:val="Refdenotaalpie"/>
          <w:rFonts w:ascii="Arial" w:hAnsi="Arial" w:cs="Arial"/>
          <w:color w:val="0D0D0D" w:themeColor="text1" w:themeTint="F2"/>
          <w:sz w:val="22"/>
          <w:lang w:val="es-ES"/>
        </w:rPr>
        <w:footnoteReference w:id="8"/>
      </w:r>
      <w:r w:rsidRPr="005B2F33">
        <w:rPr>
          <w:rFonts w:ascii="Arial" w:hAnsi="Arial" w:cs="Arial"/>
          <w:color w:val="0D0D0D" w:themeColor="text1" w:themeTint="F2"/>
          <w:sz w:val="22"/>
          <w:lang w:val="es-ES"/>
        </w:rPr>
        <w:t>.</w:t>
      </w:r>
    </w:p>
    <w:p w14:paraId="5E2D72CF" w14:textId="77777777" w:rsidR="00595975" w:rsidRPr="005B2F33" w:rsidRDefault="00595975" w:rsidP="00595975">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La intención era agilizar y dar mayor transparencia a los proc</w:t>
      </w:r>
      <w:r>
        <w:rPr>
          <w:rFonts w:ascii="Arial" w:hAnsi="Arial" w:cs="Arial"/>
          <w:color w:val="0D0D0D" w:themeColor="text1" w:themeTint="F2"/>
          <w:sz w:val="22"/>
          <w:lang w:val="es-ES"/>
        </w:rPr>
        <w:t>edimientos</w:t>
      </w:r>
      <w:r w:rsidRPr="005B2F33">
        <w:rPr>
          <w:rFonts w:ascii="Arial" w:hAnsi="Arial" w:cs="Arial"/>
          <w:color w:val="0D0D0D" w:themeColor="text1" w:themeTint="F2"/>
          <w:sz w:val="22"/>
          <w:lang w:val="es-ES"/>
        </w:rPr>
        <w:t xml:space="preserve"> de selección</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Pr>
          <w:rFonts w:ascii="Arial" w:hAnsi="Arial" w:cs="Arial"/>
          <w:color w:val="0D0D0D" w:themeColor="text1" w:themeTint="F2"/>
          <w:sz w:val="22"/>
          <w:lang w:val="es-ES"/>
        </w:rPr>
        <w:t xml:space="preserve">, razón por la cual –conforme a lo explicado en la exposición de motivos– </w:t>
      </w:r>
      <w:r w:rsidRPr="005B2F33">
        <w:rPr>
          <w:rFonts w:ascii="Arial" w:hAnsi="Arial" w:cs="Arial"/>
          <w:color w:val="0D0D0D" w:themeColor="text1" w:themeTint="F2"/>
          <w:sz w:val="22"/>
          <w:lang w:val="es-ES"/>
        </w:rPr>
        <w:t>«[…] se asigna al Gobierno Nacional la facultad de estandarizar los pliegos de condiciones y términos de referencia de los contratos, medida que redundará en la agilidad y claridad de los procedimientos»</w:t>
      </w:r>
      <w:r w:rsidRPr="005B2F33">
        <w:rPr>
          <w:rFonts w:ascii="Arial" w:hAnsi="Arial" w:cs="Arial"/>
          <w:color w:val="0D0D0D" w:themeColor="text1" w:themeTint="F2"/>
          <w:sz w:val="22"/>
          <w:vertAlign w:val="superscript"/>
          <w:lang w:val="es-ES"/>
        </w:rPr>
        <w:footnoteReference w:id="9"/>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xml:space="preserve">. Sin embargo, en el texto aprobado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se limitaron a la adquisición o suministro de bienes de características técnicas uniformes</w:t>
      </w:r>
      <w:r w:rsidRPr="005B2F33">
        <w:rPr>
          <w:rStyle w:val="Refdenotaalpie"/>
          <w:rFonts w:ascii="Arial" w:hAnsi="Arial" w:cs="Arial"/>
          <w:color w:val="0D0D0D" w:themeColor="text1" w:themeTint="F2"/>
          <w:sz w:val="21"/>
          <w:szCs w:val="21"/>
          <w:lang w:val="es-ES"/>
        </w:rPr>
        <w:footnoteReference w:id="10"/>
      </w:r>
      <w:r w:rsidRPr="005B2F33">
        <w:rPr>
          <w:rFonts w:ascii="Arial" w:hAnsi="Arial" w:cs="Arial"/>
          <w:color w:val="0D0D0D" w:themeColor="text1" w:themeTint="F2"/>
          <w:sz w:val="21"/>
          <w:szCs w:val="21"/>
          <w:lang w:val="es-ES"/>
        </w:rPr>
        <w:t>.</w:t>
      </w:r>
      <w:bookmarkEnd w:id="2"/>
    </w:p>
    <w:p w14:paraId="109A51A9" w14:textId="77777777" w:rsidR="00595975" w:rsidRPr="005B2F33" w:rsidRDefault="00595975" w:rsidP="00595975">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w:t>
      </w:r>
      <w:r>
        <w:rPr>
          <w:rFonts w:ascii="Arial" w:hAnsi="Arial" w:cs="Arial"/>
          <w:color w:val="0D0D0D" w:themeColor="text1" w:themeTint="F2"/>
          <w:sz w:val="22"/>
        </w:rPr>
        <w:t>algunos contratos</w:t>
      </w:r>
      <w:r w:rsidRPr="005B2F33">
        <w:rPr>
          <w:rFonts w:ascii="Arial" w:hAnsi="Arial" w:cs="Arial"/>
          <w:color w:val="0D0D0D" w:themeColor="text1" w:themeTint="F2"/>
          <w:sz w:val="22"/>
        </w:rPr>
        <w:t xml:space="preserve">, en los siguientes términos: </w:t>
      </w:r>
    </w:p>
    <w:p w14:paraId="0B3B72E6" w14:textId="77777777" w:rsidR="00595975" w:rsidRPr="005B2F33" w:rsidRDefault="00595975" w:rsidP="00595975">
      <w:pPr>
        <w:ind w:firstLine="709"/>
        <w:jc w:val="both"/>
        <w:rPr>
          <w:rFonts w:ascii="Arial" w:hAnsi="Arial" w:cs="Arial"/>
          <w:color w:val="0D0D0D" w:themeColor="text1" w:themeTint="F2"/>
          <w:sz w:val="22"/>
        </w:rPr>
      </w:pPr>
    </w:p>
    <w:p w14:paraId="02B3A55E" w14:textId="77777777" w:rsidR="00595975" w:rsidRPr="005B2F33" w:rsidRDefault="00595975" w:rsidP="00595975">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w:t>
      </w:r>
      <w:r>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p>
    <w:p w14:paraId="40DBC963" w14:textId="77777777" w:rsidR="00595975" w:rsidRPr="005B2F33" w:rsidRDefault="00595975" w:rsidP="00595975">
      <w:pPr>
        <w:jc w:val="both"/>
        <w:rPr>
          <w:rFonts w:ascii="Arial" w:hAnsi="Arial" w:cs="Arial"/>
          <w:color w:val="0D0D0D" w:themeColor="text1" w:themeTint="F2"/>
          <w:sz w:val="22"/>
        </w:rPr>
      </w:pPr>
    </w:p>
    <w:p w14:paraId="4AC9A452" w14:textId="77777777" w:rsidR="00595975" w:rsidRDefault="00595975" w:rsidP="00595975">
      <w:pPr>
        <w:spacing w:after="120" w:line="276" w:lineRule="auto"/>
        <w:ind w:firstLine="709"/>
        <w:jc w:val="both"/>
        <w:rPr>
          <w:rFonts w:ascii="Arial" w:hAnsi="Arial" w:cs="Arial"/>
          <w:color w:val="0D0D0D" w:themeColor="text1" w:themeTint="F2"/>
          <w:sz w:val="22"/>
        </w:rPr>
      </w:pPr>
      <w:r>
        <w:rPr>
          <w:rFonts w:ascii="Arial" w:hAnsi="Arial" w:cs="Arial"/>
          <w:color w:val="0D0D0D" w:themeColor="text1" w:themeTint="F2"/>
          <w:sz w:val="22"/>
        </w:rPr>
        <w:lastRenderedPageBreak/>
        <w:t>F</w:t>
      </w:r>
      <w:r w:rsidRPr="005B2F33">
        <w:rPr>
          <w:rFonts w:ascii="Arial" w:hAnsi="Arial" w:cs="Arial"/>
          <w:color w:val="0D0D0D" w:themeColor="text1" w:themeTint="F2"/>
          <w:sz w:val="22"/>
        </w:rPr>
        <w:t>rente a su contenido,</w:t>
      </w:r>
      <w:r>
        <w:rPr>
          <w:rFonts w:ascii="Arial" w:hAnsi="Arial" w:cs="Arial"/>
          <w:color w:val="0D0D0D" w:themeColor="text1" w:themeTint="F2"/>
          <w:sz w:val="22"/>
        </w:rPr>
        <w:t xml:space="preserve"> la norma dispone</w:t>
      </w:r>
      <w:r w:rsidRPr="005B2F33">
        <w:rPr>
          <w:rFonts w:ascii="Arial" w:hAnsi="Arial" w:cs="Arial"/>
          <w:color w:val="0D0D0D" w:themeColor="text1" w:themeTint="F2"/>
          <w:sz w:val="22"/>
        </w:rPr>
        <w:t xml:space="preserve"> que «</w:t>
      </w:r>
      <w:r>
        <w:rPr>
          <w:rFonts w:ascii="Arial" w:hAnsi="Arial" w:cs="Arial"/>
          <w:color w:val="0D0D0D" w:themeColor="text1" w:themeTint="F2"/>
          <w:sz w:val="22"/>
        </w:rPr>
        <w:t>[…] D</w:t>
      </w:r>
      <w:r w:rsidRPr="005B2F33">
        <w:rPr>
          <w:rFonts w:ascii="Arial" w:hAnsi="Arial" w:cs="Arial"/>
          <w:color w:val="0D0D0D" w:themeColor="text1" w:themeTint="F2"/>
          <w:sz w:val="22"/>
        </w:rPr>
        <w:t xml:space="preserve">entro de los documentos tipo el Gobierno adoptará de manera general y con </w:t>
      </w:r>
      <w:r w:rsidRPr="005B2F33">
        <w:rPr>
          <w:rFonts w:ascii="Arial" w:hAnsi="Arial" w:cs="Arial"/>
          <w:i/>
          <w:color w:val="0D0D0D" w:themeColor="text1" w:themeTint="F2"/>
          <w:sz w:val="22"/>
        </w:rPr>
        <w:t>alcance obligatorio</w:t>
      </w:r>
      <w:r w:rsidRPr="005B2F33">
        <w:rPr>
          <w:rFonts w:ascii="Arial" w:hAnsi="Arial" w:cs="Arial"/>
          <w:color w:val="0D0D0D" w:themeColor="text1" w:themeTint="F2"/>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Pr>
          <w:rFonts w:ascii="Arial" w:hAnsi="Arial" w:cs="Arial"/>
          <w:color w:val="0D0D0D" w:themeColor="text1" w:themeTint="F2"/>
          <w:sz w:val="22"/>
        </w:rPr>
        <w:t xml:space="preserve"> […]</w:t>
      </w:r>
      <w:r w:rsidRPr="005B2F33">
        <w:rPr>
          <w:rFonts w:ascii="Arial" w:hAnsi="Arial" w:cs="Arial"/>
          <w:color w:val="0D0D0D" w:themeColor="text1" w:themeTint="F2"/>
          <w:sz w:val="22"/>
        </w:rPr>
        <w:t>»</w:t>
      </w:r>
      <w:r>
        <w:rPr>
          <w:rFonts w:ascii="Arial" w:hAnsi="Arial" w:cs="Arial"/>
          <w:color w:val="0D0D0D" w:themeColor="text1" w:themeTint="F2"/>
          <w:sz w:val="22"/>
        </w:rPr>
        <w:t xml:space="preserve"> (Énfasis fuera de texto)</w:t>
      </w:r>
      <w:r w:rsidRPr="005B2F33">
        <w:rPr>
          <w:rFonts w:ascii="Arial" w:hAnsi="Arial" w:cs="Arial"/>
          <w:color w:val="0D0D0D" w:themeColor="text1" w:themeTint="F2"/>
          <w:sz w:val="22"/>
        </w:rPr>
        <w:t>.</w:t>
      </w:r>
    </w:p>
    <w:p w14:paraId="34B1C7F7" w14:textId="77777777" w:rsidR="00595975" w:rsidRPr="005B2F33" w:rsidRDefault="00595975" w:rsidP="00595975">
      <w:pPr>
        <w:spacing w:line="276" w:lineRule="auto"/>
        <w:ind w:firstLine="708"/>
        <w:jc w:val="both"/>
        <w:rPr>
          <w:rFonts w:ascii="Arial" w:hAnsi="Arial" w:cs="Arial"/>
          <w:color w:val="0D0D0D" w:themeColor="text1" w:themeTint="F2"/>
          <w:sz w:val="22"/>
        </w:rPr>
      </w:pPr>
      <w:r w:rsidRPr="002D413A">
        <w:rPr>
          <w:rFonts w:ascii="Arial" w:hAnsi="Arial" w:cs="Arial"/>
          <w:color w:val="0D0D0D" w:themeColor="text1" w:themeTint="F2"/>
          <w:sz w:val="22"/>
        </w:rPr>
        <w:t xml:space="preserve">Sin embargo, el 22 de julio de 2020, el Gobierno Nacional sancionó la Ley 2022, llamada la </w:t>
      </w:r>
      <w:r>
        <w:rPr>
          <w:rFonts w:ascii="Arial" w:hAnsi="Arial" w:cs="Arial"/>
          <w:color w:val="0D0D0D" w:themeColor="text1" w:themeTint="F2"/>
          <w:sz w:val="22"/>
        </w:rPr>
        <w:t>«</w:t>
      </w:r>
      <w:r w:rsidRPr="002D413A">
        <w:rPr>
          <w:rFonts w:ascii="Arial" w:hAnsi="Arial" w:cs="Arial"/>
          <w:color w:val="0D0D0D" w:themeColor="text1" w:themeTint="F2"/>
          <w:sz w:val="22"/>
        </w:rPr>
        <w:t>ley de pliegos tipo</w:t>
      </w:r>
      <w:r>
        <w:rPr>
          <w:rFonts w:ascii="Arial" w:hAnsi="Arial" w:cs="Arial"/>
          <w:color w:val="0D0D0D" w:themeColor="text1" w:themeTint="F2"/>
          <w:sz w:val="22"/>
        </w:rPr>
        <w:t>»</w:t>
      </w:r>
      <w:r w:rsidRPr="002D413A">
        <w:rPr>
          <w:rFonts w:ascii="Arial" w:hAnsi="Arial" w:cs="Arial"/>
          <w:color w:val="0D0D0D" w:themeColor="text1" w:themeTint="F2"/>
          <w:sz w:val="22"/>
        </w:rPr>
        <w:t xml:space="preserve">, que rige a partir de su publicación y cuyo artículo 1 modifica el artículo 4 de la Ley 1882 de 2018 </w:t>
      </w:r>
      <w:r>
        <w:rPr>
          <w:rFonts w:ascii="Arial" w:hAnsi="Arial" w:cs="Arial"/>
          <w:color w:val="0D0D0D" w:themeColor="text1" w:themeTint="F2"/>
          <w:sz w:val="22"/>
        </w:rPr>
        <w:t>en relación con</w:t>
      </w:r>
      <w:r w:rsidRPr="002D413A">
        <w:rPr>
          <w:rFonts w:ascii="Arial" w:hAnsi="Arial" w:cs="Arial"/>
          <w:color w:val="0D0D0D" w:themeColor="text1" w:themeTint="F2"/>
          <w:sz w:val="22"/>
        </w:rPr>
        <w:t xml:space="preserve">: i) </w:t>
      </w:r>
      <w:r>
        <w:rPr>
          <w:rFonts w:ascii="Arial" w:hAnsi="Arial" w:cs="Arial"/>
          <w:color w:val="0D0D0D" w:themeColor="text1" w:themeTint="F2"/>
          <w:sz w:val="22"/>
        </w:rPr>
        <w:t xml:space="preserve">el </w:t>
      </w:r>
      <w:r w:rsidRPr="002D413A">
        <w:rPr>
          <w:rFonts w:ascii="Arial" w:hAnsi="Arial" w:cs="Arial"/>
          <w:color w:val="0D0D0D" w:themeColor="text1" w:themeTint="F2"/>
          <w:sz w:val="22"/>
        </w:rPr>
        <w:t>sujeto encargado de la adopción de los documentos tipo, ya que antes se señalaba al Gobierno Nacional y ahora la entidad encargada</w:t>
      </w:r>
      <w:r>
        <w:rPr>
          <w:rFonts w:ascii="Arial" w:hAnsi="Arial" w:cs="Arial"/>
          <w:color w:val="0D0D0D" w:themeColor="text1" w:themeTint="F2"/>
          <w:sz w:val="22"/>
        </w:rPr>
        <w:t xml:space="preserve"> directamente por la Ley</w:t>
      </w:r>
      <w:r w:rsidRPr="002D413A">
        <w:rPr>
          <w:rFonts w:ascii="Arial" w:hAnsi="Arial" w:cs="Arial"/>
          <w:color w:val="0D0D0D" w:themeColor="text1" w:themeTint="F2"/>
          <w:sz w:val="22"/>
        </w:rPr>
        <w:t xml:space="preserve"> es la Agencia Nacional de Contratación Pública – Colombia Compra Eficiente o quien haga sus veces; ii)</w:t>
      </w:r>
      <w:r>
        <w:rPr>
          <w:rFonts w:ascii="Arial" w:hAnsi="Arial" w:cs="Arial"/>
          <w:color w:val="0D0D0D" w:themeColor="text1" w:themeTint="F2"/>
          <w:sz w:val="22"/>
        </w:rPr>
        <w:t xml:space="preserve"> la</w:t>
      </w:r>
      <w:r w:rsidRPr="002D413A">
        <w:rPr>
          <w:rFonts w:ascii="Arial" w:hAnsi="Arial" w:cs="Arial"/>
          <w:color w:val="0D0D0D" w:themeColor="text1" w:themeTint="F2"/>
          <w:sz w:val="22"/>
        </w:rPr>
        <w:t xml:space="preserve"> inclusión de buenas prácticas contractuales y los principios de la contratación pública para establecer los requisitos habilitantes, factores técnicos, económicos y otros factores de escogencia en los documentos tipo; iii)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iv)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rStyle w:val="Refdenotaalpie"/>
          <w:rFonts w:ascii="Arial" w:hAnsi="Arial" w:cs="Arial"/>
          <w:color w:val="0D0D0D" w:themeColor="text1" w:themeTint="F2"/>
          <w:sz w:val="22"/>
        </w:rPr>
        <w:footnoteReference w:id="11"/>
      </w:r>
      <w:r w:rsidRPr="002D413A">
        <w:rPr>
          <w:rFonts w:ascii="Arial" w:hAnsi="Arial" w:cs="Arial"/>
          <w:color w:val="0D0D0D" w:themeColor="text1" w:themeTint="F2"/>
          <w:sz w:val="22"/>
        </w:rPr>
        <w:t>.</w:t>
      </w:r>
      <w:r>
        <w:rPr>
          <w:rFonts w:ascii="Arial" w:hAnsi="Arial" w:cs="Arial"/>
          <w:color w:val="0D0D0D" w:themeColor="text1" w:themeTint="F2"/>
          <w:sz w:val="22"/>
        </w:rPr>
        <w:t xml:space="preserve"> </w:t>
      </w:r>
    </w:p>
    <w:p w14:paraId="235110F8" w14:textId="77777777" w:rsidR="00595975" w:rsidRPr="005B2F33" w:rsidRDefault="00595975" w:rsidP="00595975">
      <w:pPr>
        <w:spacing w:before="120" w:line="276" w:lineRule="auto"/>
        <w:ind w:firstLine="703"/>
        <w:jc w:val="both"/>
        <w:rPr>
          <w:rFonts w:ascii="Arial" w:hAnsi="Arial" w:cs="Arial"/>
          <w:color w:val="0D0D0D" w:themeColor="text1" w:themeTint="F2"/>
          <w:sz w:val="22"/>
          <w:lang w:val="es-ES"/>
        </w:rPr>
      </w:pPr>
      <w:r>
        <w:rPr>
          <w:rFonts w:ascii="Arial" w:hAnsi="Arial" w:cs="Arial"/>
          <w:color w:val="0D0D0D" w:themeColor="text1" w:themeTint="F2"/>
          <w:sz w:val="22"/>
          <w:lang w:val="es-ES"/>
        </w:rPr>
        <w:t>Sin perjuicio de lo anterior, l</w:t>
      </w:r>
      <w:r w:rsidRPr="005B2F33">
        <w:rPr>
          <w:rFonts w:ascii="Arial" w:hAnsi="Arial" w:cs="Arial"/>
          <w:color w:val="0D0D0D" w:themeColor="text1" w:themeTint="F2"/>
          <w:sz w:val="22"/>
          <w:lang w:val="es-ES"/>
        </w:rPr>
        <w:t xml:space="preserve">a exposición de motivos del proyecto que se convirtió en la Ley 1882 de 2018 se refirió a la necesidad de utilizar documentos tipo, pues reducen </w:t>
      </w:r>
      <w:r w:rsidRPr="005B2F33">
        <w:rPr>
          <w:rFonts w:ascii="Arial" w:hAnsi="Arial" w:cs="Arial"/>
          <w:color w:val="0D0D0D" w:themeColor="text1" w:themeTint="F2"/>
          <w:sz w:val="22"/>
          <w:lang w:val="es-ES"/>
        </w:rPr>
        <w:lastRenderedPageBreak/>
        <w:t xml:space="preserve">el tiempo de los procesos de contratación y contribuyen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 xml:space="preserve">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w:t>
      </w:r>
      <w:r>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dministración pública más eficiente y moderna.</w:t>
      </w:r>
    </w:p>
    <w:p w14:paraId="7804C372" w14:textId="77777777" w:rsidR="00595975" w:rsidRPr="005B2F33" w:rsidRDefault="00595975" w:rsidP="00595975">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5B2F33">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r w:rsidRPr="005B2F33">
        <w:rPr>
          <w:rFonts w:ascii="Arial" w:hAnsi="Arial" w:cs="Arial"/>
          <w:color w:val="0D0D0D" w:themeColor="text1" w:themeTint="F2"/>
          <w:sz w:val="22"/>
          <w:lang w:val="es-ES"/>
        </w:rPr>
        <w:t xml:space="preserve"> </w:t>
      </w:r>
    </w:p>
    <w:p w14:paraId="69CAE5F2" w14:textId="77777777" w:rsidR="00595975" w:rsidRPr="005B2F33" w:rsidRDefault="00595975" w:rsidP="00595975">
      <w:pPr>
        <w:spacing w:before="120" w:after="120" w:line="276" w:lineRule="auto"/>
        <w:ind w:firstLine="705"/>
        <w:jc w:val="both"/>
        <w:rPr>
          <w:color w:val="0D0D0D" w:themeColor="text1" w:themeTint="F2"/>
        </w:rPr>
      </w:pPr>
      <w:r w:rsidRPr="005B2F33">
        <w:rPr>
          <w:rFonts w:ascii="Arial" w:hAnsi="Arial" w:cs="Arial"/>
          <w:color w:val="0D0D0D" w:themeColor="text1" w:themeTint="F2"/>
          <w:sz w:val="22"/>
          <w:lang w:val="es-ES"/>
        </w:rPr>
        <w:t xml:space="preserve">El artículo 2.2.1.2.6.1.1 del Decreto 1082 de 2015, sobre el objeto de los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adoptados por el Decreto 342 de 2019, señala que «La presente subsección tiene por objeto adoptar los Documentos Tipo para los pliegos de condiciones de los procesos de selección de licitación de obra pública de infraestructura de transporte».</w:t>
      </w:r>
      <w:r>
        <w:rPr>
          <w:rFonts w:ascii="Arial" w:hAnsi="Arial" w:cs="Arial"/>
          <w:color w:val="0D0D0D" w:themeColor="text1" w:themeTint="F2"/>
          <w:sz w:val="22"/>
          <w:lang w:val="es-ES"/>
        </w:rPr>
        <w:t xml:space="preserve"> Además</w:t>
      </w:r>
      <w:r w:rsidRPr="005B2F33">
        <w:rPr>
          <w:rFonts w:ascii="Arial" w:hAnsi="Arial" w:cs="Arial"/>
          <w:color w:val="0D0D0D" w:themeColor="text1" w:themeTint="F2"/>
          <w:sz w:val="22"/>
          <w:lang w:val="es-ES"/>
        </w:rPr>
        <w:t>, el artículo 2.2.1.2.6.1.2</w:t>
      </w:r>
      <w:r>
        <w:rPr>
          <w:rFonts w:ascii="Arial" w:hAnsi="Arial" w:cs="Arial"/>
          <w:color w:val="0D0D0D" w:themeColor="text1" w:themeTint="F2"/>
          <w:sz w:val="22"/>
          <w:lang w:val="es-ES"/>
        </w:rPr>
        <w:t xml:space="preserve"> del Decreto</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–referido</w:t>
      </w:r>
      <w:r w:rsidRPr="005B2F33">
        <w:rPr>
          <w:rFonts w:ascii="Arial" w:hAnsi="Arial" w:cs="Arial"/>
          <w:color w:val="0D0D0D" w:themeColor="text1" w:themeTint="F2"/>
          <w:sz w:val="22"/>
          <w:lang w:val="es-ES"/>
        </w:rPr>
        <w:t xml:space="preserve"> al alcance de los documentos tipo</w:t>
      </w:r>
      <w:r>
        <w:rPr>
          <w:rFonts w:ascii="Arial" w:hAnsi="Arial" w:cs="Arial"/>
          <w:color w:val="0D0D0D" w:themeColor="text1" w:themeTint="F2"/>
          <w:sz w:val="22"/>
          <w:lang w:val="es-ES"/>
        </w:rPr>
        <w:t>–dispone que</w:t>
      </w:r>
      <w:r w:rsidRPr="005B2F33">
        <w:rPr>
          <w:rFonts w:ascii="Arial" w:hAnsi="Arial" w:cs="Arial"/>
          <w:color w:val="0D0D0D" w:themeColor="text1" w:themeTint="F2"/>
          <w:sz w:val="22"/>
          <w:lang w:val="es-ES"/>
        </w:rPr>
        <w:t xml:space="preserve"> «contienen parámetros obligatorios para las entidades estatales sometidas al Estatuto General de la Contratación Pública que adelanten procesos de selección de licitación de obra pública de infraestructura de transporte»</w:t>
      </w:r>
      <w:r w:rsidRPr="005B2F33">
        <w:rPr>
          <w:rStyle w:val="Refdenotaalpie"/>
          <w:rFonts w:ascii="Arial" w:hAnsi="Arial" w:cs="Arial"/>
          <w:color w:val="0D0D0D" w:themeColor="text1" w:themeTint="F2"/>
          <w:sz w:val="22"/>
          <w:lang w:val="es-ES"/>
        </w:rPr>
        <w:footnoteReference w:id="12"/>
      </w:r>
      <w:r w:rsidRPr="005B2F33">
        <w:rPr>
          <w:rFonts w:ascii="Arial" w:hAnsi="Arial" w:cs="Arial"/>
          <w:color w:val="0D0D0D" w:themeColor="text1" w:themeTint="F2"/>
          <w:sz w:val="22"/>
          <w:lang w:val="es-ES"/>
        </w:rPr>
        <w:t>.</w:t>
      </w:r>
      <w:r w:rsidRPr="005B2F33">
        <w:rPr>
          <w:color w:val="0D0D0D" w:themeColor="text1" w:themeTint="F2"/>
          <w:lang w:val="es-ES"/>
        </w:rPr>
        <w:t xml:space="preserve"> </w:t>
      </w:r>
    </w:p>
    <w:p w14:paraId="27E466BB" w14:textId="77777777" w:rsidR="00595975" w:rsidRPr="005B2F33" w:rsidRDefault="00595975" w:rsidP="00595975">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mediante el artículo 2.2.1.2.6.1.3 del Decreto 1082 de 2015, adicionado por el Decreto 342 de 2019, 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Documentos Tipo, lo cual tuvo lugar con la expedición de la Resolución No. 1798 del 1</w:t>
      </w:r>
      <w:r>
        <w:rPr>
          <w:rFonts w:ascii="Arial" w:hAnsi="Arial" w:cs="Arial"/>
          <w:color w:val="0D0D0D" w:themeColor="text1" w:themeTint="F2"/>
          <w:sz w:val="22"/>
          <w:lang w:val="es-ES"/>
        </w:rPr>
        <w:t>º</w:t>
      </w:r>
      <w:r w:rsidRPr="005B2F33">
        <w:rPr>
          <w:rFonts w:ascii="Arial" w:hAnsi="Arial" w:cs="Arial"/>
          <w:color w:val="0D0D0D" w:themeColor="text1" w:themeTint="F2"/>
          <w:sz w:val="22"/>
          <w:lang w:val="es-ES"/>
        </w:rPr>
        <w:t xml:space="preserve"> de abril de 2019 que implementó la Versión 1 de los documentos tipo para procesos de licitación de obra pública de infraestructura de transporte, cuya aplicación resulta obligatoria en los procesos de licitación de obra pública para infraestructura de transporte, </w:t>
      </w:r>
      <w:r w:rsidRPr="005B2F33">
        <w:rPr>
          <w:rFonts w:ascii="Arial" w:hAnsi="Arial" w:cs="Arial"/>
          <w:color w:val="0D0D0D" w:themeColor="text1" w:themeTint="F2"/>
          <w:sz w:val="22"/>
          <w:lang w:val="es-ES"/>
        </w:rPr>
        <w:lastRenderedPageBreak/>
        <w:t>cuyo aviso de convocatoria haya sido publicado a partir del 1° de abril de 2019, de conformidad con el artículo 2 de la Resolución 1798 de 2019.</w:t>
      </w:r>
    </w:p>
    <w:p w14:paraId="0045EA68" w14:textId="77777777" w:rsidR="00595975" w:rsidRPr="005B2F33" w:rsidRDefault="00595975" w:rsidP="00595975">
      <w:pPr>
        <w:spacing w:before="120" w:after="120" w:line="276" w:lineRule="auto"/>
        <w:jc w:val="both"/>
        <w:rPr>
          <w:rFonts w:ascii="Arial" w:hAnsi="Arial" w:cs="Arial"/>
          <w:color w:val="0D0D0D" w:themeColor="text1" w:themeTint="F2"/>
          <w:sz w:val="22"/>
        </w:rPr>
      </w:pPr>
      <w:r w:rsidRPr="005B2F33">
        <w:rPr>
          <w:rFonts w:ascii="Arial" w:hAnsi="Arial" w:cs="Arial"/>
          <w:color w:val="0D0D0D" w:themeColor="text1" w:themeTint="F2"/>
          <w:sz w:val="22"/>
          <w:lang w:val="es-ES"/>
        </w:rPr>
        <w:tab/>
        <w:t xml:space="preserve">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luego de identificar, junto con el Departamento Nacional de Planeación y el Ministerio de Transporte la necesidad de actualizar los documentos tipo para los procesos de licitación pública en orden de </w:t>
      </w:r>
      <w:r w:rsidRPr="005B2F33">
        <w:rPr>
          <w:rFonts w:ascii="Arial" w:hAnsi="Arial" w:cs="Arial"/>
          <w:color w:val="0D0D0D" w:themeColor="text1" w:themeTint="F2"/>
          <w:sz w:val="22"/>
        </w:rPr>
        <w:t xml:space="preserve">fortalecerlos y adaptarlos a la realidad de la contratación del país, implementó la Versión 2 expidiendo la Resolución No. 045 del 14 de febrero de 2020, «Por la cual se actualizan los Documentos Tipo para los procesos de selección de licitación de obra pública de infraestructura de transporte y se deroga la Resolución 1798 de 2019». </w:t>
      </w:r>
    </w:p>
    <w:p w14:paraId="153E3C6D" w14:textId="77777777" w:rsidR="00595975" w:rsidRPr="005B2F33" w:rsidRDefault="00595975" w:rsidP="00595975">
      <w:pPr>
        <w:spacing w:before="120" w:after="120" w:line="276" w:lineRule="auto"/>
        <w:ind w:firstLine="708"/>
        <w:jc w:val="both"/>
        <w:rPr>
          <w:rFonts w:ascii="Arial" w:hAnsi="Arial" w:cs="Arial"/>
          <w:color w:val="0D0D0D" w:themeColor="text1" w:themeTint="F2"/>
          <w:sz w:val="22"/>
        </w:rPr>
      </w:pPr>
      <w:r w:rsidRPr="005B2F33">
        <w:rPr>
          <w:rFonts w:ascii="Arial" w:hAnsi="Arial" w:cs="Arial"/>
          <w:color w:val="0D0D0D" w:themeColor="text1" w:themeTint="F2"/>
          <w:sz w:val="22"/>
        </w:rPr>
        <w:t xml:space="preserve">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w:t>
      </w:r>
      <w:r>
        <w:rPr>
          <w:rFonts w:ascii="Arial" w:hAnsi="Arial" w:cs="Arial"/>
          <w:color w:val="0D0D0D" w:themeColor="text1" w:themeTint="F2"/>
          <w:sz w:val="22"/>
        </w:rPr>
        <w:t xml:space="preserve">el </w:t>
      </w:r>
      <w:r w:rsidRPr="005B2F33">
        <w:rPr>
          <w:rFonts w:ascii="Arial" w:hAnsi="Arial" w:cs="Arial"/>
          <w:color w:val="0D0D0D" w:themeColor="text1" w:themeTint="F2"/>
          <w:sz w:val="22"/>
        </w:rPr>
        <w:t xml:space="preserve">aviso de convocatoria, deberán seguir aplicando la Versión 1 de los </w:t>
      </w:r>
      <w:r>
        <w:rPr>
          <w:rFonts w:ascii="Arial" w:hAnsi="Arial" w:cs="Arial"/>
          <w:color w:val="0D0D0D" w:themeColor="text1" w:themeTint="F2"/>
          <w:sz w:val="22"/>
        </w:rPr>
        <w:t>d</w:t>
      </w:r>
      <w:r w:rsidRPr="005B2F33">
        <w:rPr>
          <w:rFonts w:ascii="Arial" w:hAnsi="Arial" w:cs="Arial"/>
          <w:color w:val="0D0D0D" w:themeColor="text1" w:themeTint="F2"/>
          <w:sz w:val="22"/>
        </w:rPr>
        <w:t xml:space="preserve">ocumentos </w:t>
      </w:r>
      <w:r>
        <w:rPr>
          <w:rFonts w:ascii="Arial" w:hAnsi="Arial" w:cs="Arial"/>
          <w:color w:val="0D0D0D" w:themeColor="text1" w:themeTint="F2"/>
          <w:sz w:val="22"/>
        </w:rPr>
        <w:t>t</w:t>
      </w:r>
      <w:r w:rsidRPr="005B2F33">
        <w:rPr>
          <w:rFonts w:ascii="Arial" w:hAnsi="Arial" w:cs="Arial"/>
          <w:color w:val="0D0D0D" w:themeColor="text1" w:themeTint="F2"/>
          <w:sz w:val="22"/>
        </w:rPr>
        <w:t>ipo.</w:t>
      </w:r>
    </w:p>
    <w:p w14:paraId="0FA0CE42" w14:textId="77777777" w:rsidR="00595975" w:rsidRPr="005B2F33" w:rsidRDefault="00595975" w:rsidP="00595975">
      <w:pPr>
        <w:spacing w:before="120" w:after="120" w:line="276" w:lineRule="auto"/>
        <w:ind w:firstLine="708"/>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ejerció nuevamente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2096 de 2019</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el cual adoptó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procesos de contratación de obra pública de infraestructura de transporte adelantados en la modalidad de selección abreviada de menor cuantía, </w:t>
      </w:r>
      <w:r>
        <w:rPr>
          <w:rFonts w:ascii="Arial" w:hAnsi="Arial" w:cs="Arial"/>
          <w:color w:val="0D0D0D" w:themeColor="text1" w:themeTint="F2"/>
          <w:sz w:val="22"/>
          <w:lang w:val="es-ES"/>
        </w:rPr>
        <w:t>por lo que</w:t>
      </w:r>
      <w:r w:rsidRPr="005B2F33">
        <w:rPr>
          <w:rFonts w:ascii="Arial" w:hAnsi="Arial" w:cs="Arial"/>
          <w:color w:val="0D0D0D" w:themeColor="text1" w:themeTint="F2"/>
          <w:sz w:val="22"/>
          <w:lang w:val="es-ES"/>
        </w:rPr>
        <w:t xml:space="preserve"> adicionó la Subsección 2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271585B6" w14:textId="65A5504F" w:rsidR="00595975" w:rsidRDefault="00595975" w:rsidP="00595975">
      <w:pPr>
        <w:spacing w:before="120" w:after="120" w:line="276" w:lineRule="auto"/>
        <w:jc w:val="both"/>
        <w:rPr>
          <w:rFonts w:ascii="Arial" w:eastAsia="Calibri" w:hAnsi="Arial" w:cs="Arial"/>
          <w:bCs/>
          <w:color w:val="0D0D0D" w:themeColor="text1" w:themeTint="F2"/>
          <w:sz w:val="22"/>
        </w:rPr>
      </w:pPr>
      <w:r w:rsidRPr="005B2F33">
        <w:rPr>
          <w:rFonts w:ascii="Arial" w:eastAsia="Calibri" w:hAnsi="Arial" w:cs="Arial"/>
          <w:bCs/>
          <w:color w:val="0D0D0D" w:themeColor="text1" w:themeTint="F2"/>
          <w:sz w:val="22"/>
        </w:rPr>
        <w:tab/>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artículo 2.2.1.2.6.2.2</w:t>
      </w:r>
      <w:r w:rsidRPr="00BA4FEC">
        <w:rPr>
          <w:rFonts w:ascii="Arial" w:eastAsia="Calibri" w:hAnsi="Arial" w:cs="Arial"/>
          <w:bCs/>
          <w:color w:val="0D0D0D" w:themeColor="text1" w:themeTint="F2"/>
          <w:sz w:val="22"/>
        </w:rPr>
        <w:t xml:space="preserve"> </w:t>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Decreto 1082 de 2015</w:t>
      </w:r>
      <w:r w:rsidRPr="005B2F33">
        <w:rPr>
          <w:rStyle w:val="Refdenotaalpie"/>
          <w:rFonts w:ascii="Arial" w:eastAsia="Calibri" w:hAnsi="Arial" w:cs="Arial"/>
          <w:bCs/>
          <w:color w:val="0D0D0D" w:themeColor="text1" w:themeTint="F2"/>
          <w:sz w:val="22"/>
        </w:rPr>
        <w:footnoteReference w:id="13"/>
      </w:r>
      <w:r w:rsidRPr="005B2F33">
        <w:rPr>
          <w:rFonts w:ascii="Arial" w:eastAsia="Calibri" w:hAnsi="Arial" w:cs="Arial"/>
          <w:bCs/>
          <w:color w:val="0D0D0D" w:themeColor="text1" w:themeTint="F2"/>
          <w:sz w:val="22"/>
        </w:rPr>
        <w:t xml:space="preserve">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procesos de selección abreviada de menor cuantía para la contratación de obra pública de infraestructura de transporte</w:t>
      </w:r>
      <w:r w:rsidRPr="005B2F33">
        <w:rPr>
          <w:rFonts w:ascii="Arial" w:eastAsia="Calibri" w:hAnsi="Arial" w:cs="Arial"/>
          <w:bCs/>
          <w:color w:val="0D0D0D" w:themeColor="text1" w:themeTint="F2"/>
          <w:sz w:val="22"/>
        </w:rPr>
        <w:t xml:space="preserve">, mientras que el </w:t>
      </w:r>
      <w:r w:rsidRPr="005B2F33">
        <w:rPr>
          <w:rFonts w:ascii="Arial" w:hAnsi="Arial" w:cs="Arial"/>
          <w:color w:val="0D0D0D" w:themeColor="text1" w:themeTint="F2"/>
          <w:sz w:val="22"/>
        </w:rPr>
        <w:t xml:space="preserve">2.2.1.2.6.2.3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w:t>
      </w:r>
      <w:r w:rsidRPr="005B2F33">
        <w:rPr>
          <w:rFonts w:ascii="Arial" w:hAnsi="Arial" w:cs="Arial"/>
          <w:color w:val="0D0D0D" w:themeColor="text1" w:themeTint="F2"/>
          <w:sz w:val="22"/>
          <w:lang w:val="es-ES"/>
        </w:rPr>
        <w:lastRenderedPageBreak/>
        <w:t xml:space="preserve">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competencia ejercida mediante la expedición de la Resolución No. 044 del 14 de febrero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esta modalidad de selección, los cuales de conformidad con el artículo </w:t>
      </w:r>
      <w:r>
        <w:rPr>
          <w:rFonts w:ascii="Arial" w:hAnsi="Arial" w:cs="Arial"/>
          <w:color w:val="0D0D0D" w:themeColor="text1" w:themeTint="F2"/>
          <w:sz w:val="22"/>
          <w:lang w:val="es-ES"/>
        </w:rPr>
        <w:t>2</w:t>
      </w:r>
      <w:r w:rsidRPr="005B2F33">
        <w:rPr>
          <w:rFonts w:ascii="Arial" w:hAnsi="Arial" w:cs="Arial"/>
          <w:color w:val="0D0D0D" w:themeColor="text1" w:themeTint="F2"/>
          <w:sz w:val="22"/>
          <w:lang w:val="es-ES"/>
        </w:rPr>
        <w:t xml:space="preserve"> </w:t>
      </w:r>
      <w:r w:rsidRPr="005B2F33">
        <w:rPr>
          <w:rFonts w:ascii="Arial" w:eastAsia="Calibri" w:hAnsi="Arial" w:cs="Arial"/>
          <w:bCs/>
          <w:color w:val="0D0D0D" w:themeColor="text1" w:themeTint="F2"/>
          <w:sz w:val="22"/>
        </w:rPr>
        <w:t xml:space="preserve">del Decreto 2096 de 2019 </w:t>
      </w:r>
      <w:r>
        <w:rPr>
          <w:rFonts w:ascii="Arial" w:eastAsia="Calibri" w:hAnsi="Arial" w:cs="Arial"/>
          <w:bCs/>
          <w:color w:val="0D0D0D" w:themeColor="text1" w:themeTint="F2"/>
          <w:sz w:val="22"/>
        </w:rPr>
        <w:t>se aplican a</w:t>
      </w:r>
      <w:r w:rsidRPr="005B2F33">
        <w:rPr>
          <w:rFonts w:ascii="Arial" w:eastAsia="Calibri" w:hAnsi="Arial" w:cs="Arial"/>
          <w:bCs/>
          <w:color w:val="0D0D0D" w:themeColor="text1" w:themeTint="F2"/>
          <w:sz w:val="22"/>
        </w:rPr>
        <w:t xml:space="preserve"> </w:t>
      </w:r>
      <w:r w:rsidRPr="005B2F33">
        <w:rPr>
          <w:rFonts w:ascii="Arial" w:hAnsi="Arial" w:cs="Arial"/>
          <w:color w:val="0D0D0D" w:themeColor="text1" w:themeTint="F2"/>
          <w:sz w:val="22"/>
        </w:rPr>
        <w:t>«</w:t>
      </w:r>
      <w:r>
        <w:rPr>
          <w:rFonts w:ascii="Arial" w:hAnsi="Arial" w:cs="Arial"/>
          <w:color w:val="0D0D0D" w:themeColor="text1" w:themeTint="F2"/>
          <w:sz w:val="22"/>
        </w:rPr>
        <w:t xml:space="preserve">[…] </w:t>
      </w:r>
      <w:r w:rsidRPr="005B2F33">
        <w:rPr>
          <w:rFonts w:ascii="Arial" w:hAnsi="Arial" w:cs="Arial"/>
          <w:color w:val="0D0D0D" w:themeColor="text1" w:themeTint="F2"/>
          <w:sz w:val="22"/>
        </w:rPr>
        <w:t>los procesos de contratación de selección abreviada de menor cuantía cuyo aviso de convocatoria sea publicado a partir del 17 de febrero de 2020</w:t>
      </w:r>
      <w:r w:rsidRPr="005B2F33">
        <w:rPr>
          <w:rFonts w:ascii="Arial" w:eastAsia="Calibri" w:hAnsi="Arial" w:cs="Arial"/>
          <w:bCs/>
          <w:color w:val="0D0D0D" w:themeColor="text1" w:themeTint="F2"/>
          <w:sz w:val="22"/>
        </w:rPr>
        <w:t xml:space="preserve">». </w:t>
      </w:r>
      <w:r w:rsidR="009135B8">
        <w:rPr>
          <w:rFonts w:ascii="Arial" w:eastAsia="Calibri" w:hAnsi="Arial" w:cs="Arial"/>
          <w:bCs/>
          <w:color w:val="0D0D0D" w:themeColor="text1" w:themeTint="F2"/>
          <w:sz w:val="22"/>
        </w:rPr>
        <w:t>natha</w:t>
      </w:r>
    </w:p>
    <w:p w14:paraId="7FB76AF1" w14:textId="77777777" w:rsidR="00595975" w:rsidRDefault="00595975" w:rsidP="00595975">
      <w:pPr>
        <w:spacing w:before="120" w:after="120" w:line="276" w:lineRule="auto"/>
        <w:ind w:firstLine="708"/>
        <w:jc w:val="both"/>
        <w:rPr>
          <w:rFonts w:ascii="Arial" w:hAnsi="Arial" w:cs="Arial"/>
          <w:color w:val="0D0D0D" w:themeColor="text1" w:themeTint="F2"/>
          <w:sz w:val="22"/>
        </w:rPr>
      </w:pPr>
      <w:r>
        <w:rPr>
          <w:rFonts w:ascii="Arial" w:eastAsia="Calibri" w:hAnsi="Arial" w:cs="Arial"/>
          <w:bCs/>
          <w:color w:val="0D0D0D" w:themeColor="text1" w:themeTint="F2"/>
          <w:sz w:val="22"/>
        </w:rPr>
        <w:t xml:space="preserve">Recientemente, </w:t>
      </w:r>
      <w:r>
        <w:rPr>
          <w:rFonts w:ascii="Arial" w:hAnsi="Arial" w:cs="Arial"/>
          <w:color w:val="0D0D0D" w:themeColor="text1" w:themeTint="F2"/>
          <w:sz w:val="22"/>
          <w:lang w:val="es-ES"/>
        </w:rPr>
        <w:t>e</w:t>
      </w:r>
      <w:r w:rsidRPr="005B2F33">
        <w:rPr>
          <w:rFonts w:ascii="Arial" w:hAnsi="Arial" w:cs="Arial"/>
          <w:color w:val="0D0D0D" w:themeColor="text1" w:themeTint="F2"/>
          <w:sz w:val="22"/>
          <w:lang w:val="es-ES"/>
        </w:rPr>
        <w:t xml:space="preserve">l Gobierno Nacional ejerció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w:t>
      </w:r>
      <w:r>
        <w:rPr>
          <w:rFonts w:ascii="Arial" w:hAnsi="Arial" w:cs="Arial"/>
          <w:color w:val="0D0D0D" w:themeColor="text1" w:themeTint="F2"/>
          <w:sz w:val="22"/>
          <w:lang w:val="es-ES"/>
        </w:rPr>
        <w:t>594 de 2020,</w:t>
      </w:r>
      <w:r w:rsidRPr="005B2F33">
        <w:rPr>
          <w:rFonts w:ascii="Arial" w:hAnsi="Arial" w:cs="Arial"/>
          <w:color w:val="0D0D0D" w:themeColor="text1" w:themeTint="F2"/>
          <w:sz w:val="22"/>
          <w:lang w:val="es-ES"/>
        </w:rPr>
        <w:t xml:space="preserve"> el cual adoptó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procesos de contratación de obra pública de infraestructura de transporte adelantados en la modalidad de </w:t>
      </w:r>
      <w:r>
        <w:rPr>
          <w:rFonts w:ascii="Arial" w:hAnsi="Arial" w:cs="Arial"/>
          <w:color w:val="0D0D0D" w:themeColor="text1" w:themeTint="F2"/>
          <w:sz w:val="22"/>
          <w:lang w:val="es-ES"/>
        </w:rPr>
        <w:t>mínima cuantía</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por lo que</w:t>
      </w:r>
      <w:r w:rsidRPr="005B2F33">
        <w:rPr>
          <w:rFonts w:ascii="Arial" w:hAnsi="Arial" w:cs="Arial"/>
          <w:color w:val="0D0D0D" w:themeColor="text1" w:themeTint="F2"/>
          <w:sz w:val="22"/>
          <w:lang w:val="es-ES"/>
        </w:rPr>
        <w:t xml:space="preserve"> adicionó la Subsección </w:t>
      </w:r>
      <w:r>
        <w:rPr>
          <w:rFonts w:ascii="Arial" w:hAnsi="Arial" w:cs="Arial"/>
          <w:color w:val="0D0D0D" w:themeColor="text1" w:themeTint="F2"/>
          <w:sz w:val="22"/>
          <w:lang w:val="es-ES"/>
        </w:rPr>
        <w:t>3</w:t>
      </w:r>
      <w:r w:rsidRPr="005B2F33">
        <w:rPr>
          <w:rFonts w:ascii="Arial" w:hAnsi="Arial" w:cs="Arial"/>
          <w:color w:val="0D0D0D" w:themeColor="text1" w:themeTint="F2"/>
          <w:sz w:val="22"/>
          <w:lang w:val="es-ES"/>
        </w:rPr>
        <w:t xml:space="preserve">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3A8E8B13" w14:textId="77777777" w:rsidR="00595975" w:rsidRPr="005B2F33" w:rsidRDefault="00595975" w:rsidP="00595975">
      <w:pPr>
        <w:spacing w:before="120" w:after="120" w:line="276" w:lineRule="auto"/>
        <w:ind w:firstLine="708"/>
        <w:jc w:val="both"/>
        <w:rPr>
          <w:rFonts w:ascii="Arial" w:hAnsi="Arial" w:cs="Arial"/>
          <w:color w:val="0D0D0D" w:themeColor="text1" w:themeTint="F2"/>
          <w:sz w:val="22"/>
          <w:lang w:val="es-ES"/>
        </w:rPr>
      </w:pPr>
      <w:r w:rsidRPr="003C6AE8">
        <w:rPr>
          <w:rFonts w:ascii="Arial" w:eastAsia="Calibri" w:hAnsi="Arial" w:cs="Arial"/>
          <w:bCs/>
          <w:color w:val="0D0D0D" w:themeColor="text1" w:themeTint="F2"/>
          <w:sz w:val="22"/>
        </w:rPr>
        <w:t>El artículo 2.2.1.2.6.3.2 del Decreto 1082 de 2015</w:t>
      </w:r>
      <w:r w:rsidRPr="005B2F33">
        <w:rPr>
          <w:rStyle w:val="Refdenotaalpie"/>
          <w:rFonts w:ascii="Arial" w:eastAsia="Calibri" w:hAnsi="Arial" w:cs="Arial"/>
          <w:bCs/>
          <w:color w:val="0D0D0D" w:themeColor="text1" w:themeTint="F2"/>
          <w:sz w:val="22"/>
        </w:rPr>
        <w:footnoteReference w:id="14"/>
      </w:r>
      <w:r w:rsidRPr="005B2F33">
        <w:rPr>
          <w:rFonts w:ascii="Arial" w:eastAsia="Calibri" w:hAnsi="Arial" w:cs="Arial"/>
          <w:bCs/>
          <w:color w:val="0D0D0D" w:themeColor="text1" w:themeTint="F2"/>
          <w:sz w:val="22"/>
        </w:rPr>
        <w:t xml:space="preserve">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 xml:space="preserve">procesos de </w:t>
      </w:r>
      <w:r>
        <w:rPr>
          <w:rFonts w:ascii="Arial" w:hAnsi="Arial" w:cs="Arial"/>
          <w:color w:val="0D0D0D" w:themeColor="text1" w:themeTint="F2"/>
          <w:sz w:val="22"/>
        </w:rPr>
        <w:t>mínima</w:t>
      </w:r>
      <w:r w:rsidRPr="005B2F33">
        <w:rPr>
          <w:rFonts w:ascii="Arial" w:hAnsi="Arial" w:cs="Arial"/>
          <w:color w:val="0D0D0D" w:themeColor="text1" w:themeTint="F2"/>
          <w:sz w:val="22"/>
        </w:rPr>
        <w:t xml:space="preserve"> cuantía para la contratación de obra pública de infraestructura de transporte</w:t>
      </w:r>
      <w:r w:rsidRPr="005B2F33">
        <w:rPr>
          <w:rFonts w:ascii="Arial" w:eastAsia="Calibri" w:hAnsi="Arial" w:cs="Arial"/>
          <w:bCs/>
          <w:color w:val="0D0D0D" w:themeColor="text1" w:themeTint="F2"/>
          <w:sz w:val="22"/>
        </w:rPr>
        <w:t xml:space="preserve">, mientras que el </w:t>
      </w:r>
      <w:r w:rsidRPr="003C6AE8">
        <w:rPr>
          <w:rFonts w:ascii="Arial" w:hAnsi="Arial" w:cs="Arial"/>
          <w:color w:val="0D0D0D" w:themeColor="text1" w:themeTint="F2"/>
          <w:sz w:val="22"/>
        </w:rPr>
        <w:t>2.2.1.2.6.3.3</w:t>
      </w:r>
      <w:r w:rsidRPr="005B2F33">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competencia ejercida mediante la expedición de la Resolución No. </w:t>
      </w:r>
      <w:r>
        <w:rPr>
          <w:rFonts w:ascii="Arial" w:hAnsi="Arial" w:cs="Arial"/>
          <w:color w:val="0D0D0D" w:themeColor="text1" w:themeTint="F2"/>
          <w:sz w:val="22"/>
          <w:lang w:val="es-ES"/>
        </w:rPr>
        <w:t>094</w:t>
      </w:r>
      <w:r w:rsidRPr="005B2F33">
        <w:rPr>
          <w:rFonts w:ascii="Arial" w:hAnsi="Arial" w:cs="Arial"/>
          <w:color w:val="0D0D0D" w:themeColor="text1" w:themeTint="F2"/>
          <w:sz w:val="22"/>
          <w:lang w:val="es-ES"/>
        </w:rPr>
        <w:t xml:space="preserve"> del </w:t>
      </w:r>
      <w:r>
        <w:rPr>
          <w:rFonts w:ascii="Arial" w:hAnsi="Arial" w:cs="Arial"/>
          <w:color w:val="0D0D0D" w:themeColor="text1" w:themeTint="F2"/>
          <w:sz w:val="22"/>
          <w:lang w:val="es-ES"/>
        </w:rPr>
        <w:t>21 de mayo</w:t>
      </w:r>
      <w:r w:rsidRPr="005B2F33">
        <w:rPr>
          <w:rFonts w:ascii="Arial" w:hAnsi="Arial" w:cs="Arial"/>
          <w:color w:val="0D0D0D" w:themeColor="text1" w:themeTint="F2"/>
          <w:sz w:val="22"/>
          <w:lang w:val="es-ES"/>
        </w:rPr>
        <w:t xml:space="preserve">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esta modalidad de selección, los cuales de conformidad con el artículo </w:t>
      </w:r>
      <w:r>
        <w:rPr>
          <w:rFonts w:ascii="Arial" w:hAnsi="Arial" w:cs="Arial"/>
          <w:color w:val="0D0D0D" w:themeColor="text1" w:themeTint="F2"/>
          <w:sz w:val="22"/>
          <w:lang w:val="es-ES"/>
        </w:rPr>
        <w:t>3</w:t>
      </w:r>
      <w:r w:rsidRPr="005B2F33">
        <w:rPr>
          <w:rFonts w:ascii="Arial" w:hAnsi="Arial" w:cs="Arial"/>
          <w:color w:val="0D0D0D" w:themeColor="text1" w:themeTint="F2"/>
          <w:sz w:val="22"/>
          <w:lang w:val="es-ES"/>
        </w:rPr>
        <w:t xml:space="preserve"> </w:t>
      </w:r>
      <w:r w:rsidRPr="005B2F33">
        <w:rPr>
          <w:rFonts w:ascii="Arial" w:eastAsia="Calibri" w:hAnsi="Arial" w:cs="Arial"/>
          <w:bCs/>
          <w:color w:val="0D0D0D" w:themeColor="text1" w:themeTint="F2"/>
          <w:sz w:val="22"/>
        </w:rPr>
        <w:t xml:space="preserve">del Decreto </w:t>
      </w:r>
      <w:r>
        <w:rPr>
          <w:rFonts w:ascii="Arial" w:eastAsia="Calibri" w:hAnsi="Arial" w:cs="Arial"/>
          <w:bCs/>
          <w:color w:val="0D0D0D" w:themeColor="text1" w:themeTint="F2"/>
          <w:sz w:val="22"/>
        </w:rPr>
        <w:t>594 de 2020</w:t>
      </w:r>
      <w:r w:rsidRPr="005B2F33">
        <w:rPr>
          <w:rFonts w:ascii="Arial" w:eastAsia="Calibri" w:hAnsi="Arial" w:cs="Arial"/>
          <w:bCs/>
          <w:color w:val="0D0D0D" w:themeColor="text1" w:themeTint="F2"/>
          <w:sz w:val="22"/>
        </w:rPr>
        <w:t xml:space="preserve"> </w:t>
      </w:r>
      <w:r>
        <w:rPr>
          <w:rFonts w:ascii="Arial" w:eastAsia="Calibri" w:hAnsi="Arial" w:cs="Arial"/>
          <w:bCs/>
          <w:color w:val="0D0D0D" w:themeColor="text1" w:themeTint="F2"/>
          <w:sz w:val="22"/>
        </w:rPr>
        <w:t>se aplican a</w:t>
      </w:r>
      <w:r w:rsidRPr="005B2F33">
        <w:rPr>
          <w:rFonts w:ascii="Arial" w:eastAsia="Calibri" w:hAnsi="Arial" w:cs="Arial"/>
          <w:bCs/>
          <w:color w:val="0D0D0D" w:themeColor="text1" w:themeTint="F2"/>
          <w:sz w:val="22"/>
        </w:rPr>
        <w:t xml:space="preserve"> </w:t>
      </w:r>
      <w:r w:rsidRPr="005B2F33">
        <w:rPr>
          <w:rFonts w:ascii="Arial" w:hAnsi="Arial" w:cs="Arial"/>
          <w:color w:val="0D0D0D" w:themeColor="text1" w:themeTint="F2"/>
          <w:sz w:val="22"/>
        </w:rPr>
        <w:t>«</w:t>
      </w:r>
      <w:r>
        <w:t>[</w:t>
      </w:r>
      <w:r w:rsidRPr="005E7BBC">
        <w:rPr>
          <w:rFonts w:ascii="Arial" w:hAnsi="Arial" w:cs="Arial"/>
          <w:sz w:val="22"/>
        </w:rPr>
        <w:t>…</w:t>
      </w:r>
      <w:r>
        <w:t xml:space="preserve">] </w:t>
      </w:r>
      <w:r w:rsidRPr="005E7BBC">
        <w:rPr>
          <w:rFonts w:ascii="Arial" w:hAnsi="Arial" w:cs="Arial"/>
          <w:color w:val="0D0D0D" w:themeColor="text1" w:themeTint="F2"/>
          <w:sz w:val="22"/>
        </w:rPr>
        <w:t>los procesos de contratación de obra pública de infraestructura de transporte que se adelanten por la modalidad de mínima cuantía, cuya invitación sea publicada a partir del 10 de junio de 2020</w:t>
      </w:r>
      <w:r w:rsidRPr="005B2F33">
        <w:rPr>
          <w:rFonts w:ascii="Arial" w:eastAsia="Calibri" w:hAnsi="Arial" w:cs="Arial"/>
          <w:bCs/>
          <w:color w:val="0D0D0D" w:themeColor="text1" w:themeTint="F2"/>
          <w:sz w:val="22"/>
        </w:rPr>
        <w:t>».</w:t>
      </w:r>
    </w:p>
    <w:p w14:paraId="1F91E256" w14:textId="7492084D" w:rsidR="00914C81" w:rsidRDefault="00595975" w:rsidP="00595975">
      <w:pPr>
        <w:spacing w:after="120" w:line="276" w:lineRule="auto"/>
        <w:jc w:val="both"/>
        <w:rPr>
          <w:rFonts w:ascii="Arial" w:hAnsi="Arial" w:cs="Arial"/>
          <w:color w:val="000000" w:themeColor="text1"/>
          <w:sz w:val="22"/>
          <w:lang w:val="es-ES"/>
        </w:rPr>
      </w:pPr>
      <w:r w:rsidRPr="005B2F33">
        <w:rPr>
          <w:rFonts w:ascii="Arial" w:hAnsi="Arial" w:cs="Arial"/>
          <w:color w:val="0D0D0D" w:themeColor="text1" w:themeTint="F2"/>
          <w:sz w:val="22"/>
        </w:rPr>
        <w:t xml:space="preserve"> </w:t>
      </w:r>
      <w:r>
        <w:rPr>
          <w:rFonts w:ascii="Arial" w:hAnsi="Arial" w:cs="Arial"/>
          <w:color w:val="0D0D0D" w:themeColor="text1" w:themeTint="F2"/>
          <w:sz w:val="22"/>
        </w:rPr>
        <w:tab/>
      </w:r>
      <w:bookmarkEnd w:id="1"/>
      <w:r>
        <w:rPr>
          <w:rFonts w:ascii="Arial" w:hAnsi="Arial" w:cs="Arial"/>
          <w:color w:val="0D0D0D" w:themeColor="text1" w:themeTint="F2"/>
          <w:sz w:val="22"/>
        </w:rPr>
        <w:t>En las resoluciones anteriormente citadas</w:t>
      </w:r>
      <w:r w:rsidR="00914C81" w:rsidRPr="00021C75">
        <w:rPr>
          <w:rFonts w:ascii="Arial" w:hAnsi="Arial" w:cs="Arial"/>
          <w:color w:val="000000" w:themeColor="text1"/>
          <w:sz w:val="22"/>
          <w:lang w:val="es-ES"/>
        </w:rPr>
        <w:t xml:space="preserve">, Colombia Compra Eficiente </w:t>
      </w:r>
      <w:r w:rsidR="00384CB3">
        <w:rPr>
          <w:rFonts w:ascii="Arial" w:hAnsi="Arial" w:cs="Arial"/>
          <w:color w:val="000000" w:themeColor="text1"/>
          <w:sz w:val="22"/>
          <w:lang w:val="es-ES"/>
        </w:rPr>
        <w:t>–</w:t>
      </w:r>
      <w:r w:rsidR="00914C81" w:rsidRPr="00021C75">
        <w:rPr>
          <w:rFonts w:ascii="Arial" w:hAnsi="Arial" w:cs="Arial"/>
          <w:color w:val="000000" w:themeColor="text1"/>
          <w:sz w:val="22"/>
          <w:lang w:val="es-ES"/>
        </w:rPr>
        <w:t xml:space="preserve">además de implementar los documentos base de los pliegos de condiciones correspondientes a las modalidades de selección de contratitas </w:t>
      </w:r>
      <w:r>
        <w:rPr>
          <w:rFonts w:ascii="Arial" w:hAnsi="Arial" w:cs="Arial"/>
          <w:color w:val="000000" w:themeColor="text1"/>
          <w:sz w:val="22"/>
          <w:lang w:val="es-ES"/>
        </w:rPr>
        <w:t>mencionadas</w:t>
      </w:r>
      <w:r w:rsidR="00914C81" w:rsidRPr="00021C75">
        <w:rPr>
          <w:rFonts w:ascii="Arial" w:hAnsi="Arial" w:cs="Arial"/>
          <w:color w:val="000000" w:themeColor="text1"/>
          <w:sz w:val="22"/>
          <w:lang w:val="es-ES"/>
        </w:rPr>
        <w:t>, sus anexos, formatos, matrices y formularios</w:t>
      </w:r>
      <w:r w:rsidR="00384CB3">
        <w:rPr>
          <w:rFonts w:ascii="Arial" w:hAnsi="Arial" w:cs="Arial"/>
          <w:color w:val="000000" w:themeColor="text1"/>
          <w:sz w:val="22"/>
          <w:lang w:val="es-ES"/>
        </w:rPr>
        <w:t>–</w:t>
      </w:r>
      <w:r w:rsidR="00914C81" w:rsidRPr="00021C75">
        <w:rPr>
          <w:rFonts w:ascii="Arial" w:hAnsi="Arial" w:cs="Arial"/>
          <w:color w:val="000000" w:themeColor="text1"/>
          <w:sz w:val="22"/>
          <w:lang w:val="es-ES"/>
        </w:rPr>
        <w:t xml:space="preserve"> también precisó su alcance, señalando que las entidades estatales no pueden incluir condiciones ni modificar las previstas en los </w:t>
      </w:r>
      <w:r w:rsidRPr="00021C75">
        <w:rPr>
          <w:rFonts w:ascii="Arial" w:hAnsi="Arial" w:cs="Arial"/>
          <w:color w:val="000000" w:themeColor="text1"/>
          <w:sz w:val="22"/>
          <w:lang w:val="es-ES"/>
        </w:rPr>
        <w:t>documentos tipo</w:t>
      </w:r>
      <w:r w:rsidR="00914C81" w:rsidRPr="00021C75">
        <w:rPr>
          <w:rFonts w:ascii="Arial" w:hAnsi="Arial" w:cs="Arial"/>
          <w:color w:val="000000" w:themeColor="text1"/>
          <w:sz w:val="22"/>
          <w:lang w:val="es-ES"/>
        </w:rPr>
        <w:t>, salvo aquellos casos en que los mismos expresamente las autorice para ello</w:t>
      </w:r>
      <w:r>
        <w:rPr>
          <w:rFonts w:ascii="Arial" w:hAnsi="Arial" w:cs="Arial"/>
          <w:color w:val="000000" w:themeColor="text1"/>
          <w:sz w:val="22"/>
          <w:lang w:val="es-ES"/>
        </w:rPr>
        <w:t xml:space="preserve"> –principio de inalterabilidad–</w:t>
      </w:r>
      <w:r w:rsidR="00914C81" w:rsidRPr="00021C75">
        <w:rPr>
          <w:rFonts w:ascii="Arial" w:hAnsi="Arial" w:cs="Arial"/>
          <w:color w:val="000000" w:themeColor="text1"/>
          <w:sz w:val="22"/>
          <w:lang w:val="es-ES"/>
        </w:rPr>
        <w:t xml:space="preserve">; y, finalmente señaló la fecha a partir de la cual las entidades estatales tienen la obligación de </w:t>
      </w:r>
      <w:r w:rsidR="00914C81" w:rsidRPr="00021C75">
        <w:rPr>
          <w:rFonts w:ascii="Arial" w:hAnsi="Arial" w:cs="Arial"/>
          <w:color w:val="000000" w:themeColor="text1"/>
          <w:sz w:val="22"/>
          <w:lang w:val="es-ES"/>
        </w:rPr>
        <w:lastRenderedPageBreak/>
        <w:t xml:space="preserve">implementar los </w:t>
      </w:r>
      <w:r w:rsidRPr="00021C75">
        <w:rPr>
          <w:rFonts w:ascii="Arial" w:hAnsi="Arial" w:cs="Arial"/>
          <w:color w:val="000000" w:themeColor="text1"/>
          <w:sz w:val="22"/>
          <w:lang w:val="es-ES"/>
        </w:rPr>
        <w:t>documentos tipo</w:t>
      </w:r>
      <w:r w:rsidR="00914C81" w:rsidRPr="00021C75">
        <w:rPr>
          <w:rFonts w:ascii="Arial" w:hAnsi="Arial" w:cs="Arial"/>
          <w:color w:val="000000" w:themeColor="text1"/>
          <w:sz w:val="22"/>
          <w:lang w:val="es-ES"/>
        </w:rPr>
        <w:t xml:space="preserve"> en los procesos de contratación que tengan por objeto obras públicas de infraestructura de transporte.</w:t>
      </w:r>
    </w:p>
    <w:p w14:paraId="61439021" w14:textId="215559FA" w:rsidR="00595975" w:rsidRPr="00595975" w:rsidRDefault="00595975" w:rsidP="00250FBA">
      <w:pPr>
        <w:spacing w:line="276" w:lineRule="auto"/>
        <w:ind w:firstLine="708"/>
        <w:jc w:val="both"/>
        <w:rPr>
          <w:rFonts w:ascii="Arial" w:hAnsi="Arial" w:cs="Arial"/>
          <w:color w:val="000000" w:themeColor="text1"/>
          <w:sz w:val="22"/>
          <w:lang w:val="es-ES"/>
        </w:rPr>
      </w:pPr>
      <w:r w:rsidRPr="00595975">
        <w:rPr>
          <w:rFonts w:ascii="Arial" w:hAnsi="Arial" w:cs="Arial"/>
          <w:color w:val="000000" w:themeColor="text1"/>
          <w:sz w:val="22"/>
          <w:lang w:val="es-ES"/>
        </w:rPr>
        <w:t>En suma, los documentos tipo para la mínima cuantía, selección abreviada de menor cuantía y licitación de obra pública de infraestructura de transporte son de aplicación obligatoria, por lo que las entidades estatales sometidas al Estatuto General de la Contratación de la Administración Pública no pueden reusar su cumplimiento.</w:t>
      </w:r>
    </w:p>
    <w:p w14:paraId="27733EE3" w14:textId="77777777" w:rsidR="00914C81" w:rsidRPr="00250FBA" w:rsidRDefault="00914C81" w:rsidP="00914C81">
      <w:pPr>
        <w:spacing w:line="276" w:lineRule="auto"/>
        <w:jc w:val="both"/>
        <w:rPr>
          <w:rFonts w:ascii="Arial" w:hAnsi="Arial" w:cs="Arial"/>
          <w:color w:val="000000" w:themeColor="text1"/>
          <w:sz w:val="22"/>
          <w:lang w:val="es-ES"/>
        </w:rPr>
      </w:pPr>
    </w:p>
    <w:p w14:paraId="0B404044" w14:textId="77777777" w:rsidR="00914C81" w:rsidRPr="00021C75" w:rsidRDefault="00610B2C" w:rsidP="00914C81">
      <w:pPr>
        <w:spacing w:line="276" w:lineRule="auto"/>
        <w:jc w:val="both"/>
        <w:rPr>
          <w:rFonts w:ascii="Arial" w:hAnsi="Arial" w:cs="Arial"/>
          <w:b/>
          <w:bCs/>
          <w:color w:val="000000" w:themeColor="text1"/>
          <w:sz w:val="22"/>
          <w:lang w:val="es-ES"/>
        </w:rPr>
      </w:pPr>
      <w:r>
        <w:rPr>
          <w:rFonts w:ascii="Arial" w:hAnsi="Arial" w:cs="Arial"/>
          <w:b/>
          <w:bCs/>
          <w:color w:val="000000" w:themeColor="text1"/>
          <w:sz w:val="22"/>
          <w:lang w:val="es-ES"/>
        </w:rPr>
        <w:t>2.3</w:t>
      </w:r>
      <w:r w:rsidR="00914C81" w:rsidRPr="00021C75">
        <w:rPr>
          <w:rFonts w:ascii="Arial" w:hAnsi="Arial" w:cs="Arial"/>
          <w:b/>
          <w:bCs/>
          <w:color w:val="000000" w:themeColor="text1"/>
          <w:sz w:val="22"/>
          <w:lang w:val="es-ES"/>
        </w:rPr>
        <w:t>. Visita al sitio de la obra</w:t>
      </w:r>
    </w:p>
    <w:p w14:paraId="3AEE3437" w14:textId="77777777" w:rsidR="00914C81" w:rsidRPr="00250FBA" w:rsidRDefault="00914C81" w:rsidP="00914C81">
      <w:pPr>
        <w:spacing w:line="276" w:lineRule="auto"/>
        <w:jc w:val="both"/>
        <w:rPr>
          <w:rFonts w:ascii="Arial" w:hAnsi="Arial" w:cs="Arial"/>
          <w:color w:val="000000" w:themeColor="text1"/>
          <w:sz w:val="22"/>
          <w:lang w:val="es-ES"/>
        </w:rPr>
      </w:pPr>
    </w:p>
    <w:p w14:paraId="7EB36F97" w14:textId="2A9F60AE" w:rsidR="00914C81" w:rsidRPr="00021C75" w:rsidRDefault="00914C81" w:rsidP="00250FBA">
      <w:pPr>
        <w:spacing w:after="120" w:line="276" w:lineRule="auto"/>
        <w:jc w:val="both"/>
        <w:rPr>
          <w:rFonts w:ascii="Arial" w:hAnsi="Arial" w:cs="Arial"/>
          <w:color w:val="000000" w:themeColor="text1"/>
          <w:sz w:val="22"/>
          <w:lang w:val="es-ES"/>
        </w:rPr>
      </w:pPr>
      <w:r w:rsidRPr="00021C75">
        <w:rPr>
          <w:rFonts w:ascii="Arial" w:hAnsi="Arial" w:cs="Arial"/>
          <w:color w:val="000000" w:themeColor="text1"/>
          <w:sz w:val="22"/>
          <w:lang w:val="es-ES"/>
        </w:rPr>
        <w:t>El</w:t>
      </w:r>
      <w:r w:rsidR="006E37C1">
        <w:rPr>
          <w:rFonts w:ascii="Arial" w:hAnsi="Arial" w:cs="Arial"/>
          <w:color w:val="000000" w:themeColor="text1"/>
          <w:sz w:val="22"/>
          <w:lang w:val="es-ES"/>
        </w:rPr>
        <w:t xml:space="preserve"> capítulo III del</w:t>
      </w:r>
      <w:r w:rsidRPr="00021C75">
        <w:rPr>
          <w:rFonts w:ascii="Arial" w:hAnsi="Arial" w:cs="Arial"/>
          <w:color w:val="000000" w:themeColor="text1"/>
          <w:sz w:val="22"/>
          <w:lang w:val="es-ES"/>
        </w:rPr>
        <w:t xml:space="preserve"> </w:t>
      </w:r>
      <w:r w:rsidR="00384CB3" w:rsidRPr="00021C75">
        <w:rPr>
          <w:rFonts w:ascii="Arial" w:hAnsi="Arial" w:cs="Arial"/>
          <w:color w:val="000000" w:themeColor="text1"/>
          <w:sz w:val="22"/>
          <w:lang w:val="es-ES"/>
        </w:rPr>
        <w:t>documento base</w:t>
      </w:r>
      <w:r w:rsidR="006E37C1">
        <w:rPr>
          <w:rFonts w:ascii="Arial" w:hAnsi="Arial" w:cs="Arial"/>
          <w:color w:val="000000" w:themeColor="text1"/>
          <w:sz w:val="22"/>
          <w:lang w:val="es-ES"/>
        </w:rPr>
        <w:t xml:space="preserve"> </w:t>
      </w:r>
      <w:r w:rsidR="00384CB3" w:rsidRPr="00021C75">
        <w:rPr>
          <w:rFonts w:ascii="Arial" w:hAnsi="Arial" w:cs="Arial"/>
          <w:color w:val="000000" w:themeColor="text1"/>
          <w:sz w:val="22"/>
          <w:lang w:val="es-ES"/>
        </w:rPr>
        <w:t xml:space="preserve">implementado </w:t>
      </w:r>
      <w:r w:rsidRPr="00021C75">
        <w:rPr>
          <w:rFonts w:ascii="Arial" w:hAnsi="Arial" w:cs="Arial"/>
          <w:color w:val="000000" w:themeColor="text1"/>
          <w:sz w:val="22"/>
          <w:lang w:val="es-ES"/>
        </w:rPr>
        <w:t>en la Resolución</w:t>
      </w:r>
      <w:r w:rsidR="00384CB3">
        <w:rPr>
          <w:rFonts w:ascii="Arial" w:hAnsi="Arial" w:cs="Arial"/>
          <w:color w:val="000000" w:themeColor="text1"/>
          <w:sz w:val="22"/>
          <w:lang w:val="es-ES"/>
        </w:rPr>
        <w:t xml:space="preserve"> No.</w:t>
      </w:r>
      <w:r w:rsidRPr="00021C75">
        <w:rPr>
          <w:rFonts w:ascii="Arial" w:hAnsi="Arial" w:cs="Arial"/>
          <w:color w:val="000000" w:themeColor="text1"/>
          <w:sz w:val="22"/>
          <w:lang w:val="es-ES"/>
        </w:rPr>
        <w:t xml:space="preserve"> 1798 de 2019 estableció como requisitos habilitantes la capacidad jurídica, existencia y representación legal, certificación de pagos de seguridad social y aportes legales, experiencia, capacidad financiera, capital de trabajo, capacidad organizacional, acreditación de la capacidad financiera y organizacional y capacidad residual. Adicionalmente, allí se precisó que las entidades estatales no podían incluir o exigir requisitos habilitantes distintos a los contemplados en los </w:t>
      </w:r>
      <w:r w:rsidR="00384CB3" w:rsidRPr="00021C75">
        <w:rPr>
          <w:rFonts w:ascii="Arial" w:hAnsi="Arial" w:cs="Arial"/>
          <w:color w:val="000000" w:themeColor="text1"/>
          <w:sz w:val="22"/>
          <w:lang w:val="es-ES"/>
        </w:rPr>
        <w:t>documentos tipo</w:t>
      </w:r>
      <w:r w:rsidRPr="00021C75">
        <w:rPr>
          <w:rFonts w:ascii="Arial" w:hAnsi="Arial" w:cs="Arial"/>
          <w:color w:val="000000" w:themeColor="text1"/>
          <w:sz w:val="22"/>
          <w:lang w:val="es-ES"/>
        </w:rPr>
        <w:t xml:space="preserve">. </w:t>
      </w:r>
      <w:r w:rsidR="00384CB3">
        <w:rPr>
          <w:rFonts w:ascii="Arial" w:hAnsi="Arial" w:cs="Arial"/>
          <w:color w:val="000000" w:themeColor="text1"/>
          <w:sz w:val="22"/>
          <w:lang w:val="es-ES"/>
        </w:rPr>
        <w:t>En el pliego</w:t>
      </w:r>
      <w:r w:rsidRPr="00021C75">
        <w:rPr>
          <w:rFonts w:ascii="Arial" w:hAnsi="Arial" w:cs="Arial"/>
          <w:color w:val="000000" w:themeColor="text1"/>
          <w:sz w:val="22"/>
          <w:lang w:val="es-ES"/>
        </w:rPr>
        <w:t xml:space="preserve"> no se incluyó la visita al sitio de la obra como requisito habilitante. En consecuencia, las entidades estatales no tenían facultad para establecerla, </w:t>
      </w:r>
      <w:r w:rsidR="00384CB3">
        <w:rPr>
          <w:rFonts w:ascii="Arial" w:hAnsi="Arial" w:cs="Arial"/>
          <w:color w:val="000000" w:themeColor="text1"/>
          <w:sz w:val="22"/>
          <w:lang w:val="es-ES"/>
        </w:rPr>
        <w:t>considerando el principio de inalterabilidad de los documentos tipo</w:t>
      </w:r>
      <w:r w:rsidRPr="00021C75">
        <w:rPr>
          <w:rFonts w:ascii="Arial" w:hAnsi="Arial" w:cs="Arial"/>
          <w:color w:val="000000" w:themeColor="text1"/>
          <w:sz w:val="22"/>
          <w:lang w:val="es-ES"/>
        </w:rPr>
        <w:t>.</w:t>
      </w:r>
    </w:p>
    <w:p w14:paraId="7896A086" w14:textId="67D6F9AE" w:rsidR="003902C1" w:rsidRPr="00F35561" w:rsidRDefault="00914C81" w:rsidP="003902C1">
      <w:pPr>
        <w:spacing w:line="276" w:lineRule="auto"/>
        <w:ind w:firstLine="708"/>
        <w:jc w:val="both"/>
        <w:rPr>
          <w:rFonts w:ascii="Arial" w:hAnsi="Arial" w:cs="Arial"/>
          <w:sz w:val="22"/>
        </w:rPr>
      </w:pPr>
      <w:r w:rsidRPr="00021C75">
        <w:rPr>
          <w:rFonts w:ascii="Arial" w:hAnsi="Arial" w:cs="Arial"/>
          <w:color w:val="000000" w:themeColor="text1"/>
          <w:sz w:val="22"/>
          <w:lang w:val="es-ES"/>
        </w:rPr>
        <w:t xml:space="preserve">Ahora bien, </w:t>
      </w:r>
      <w:r w:rsidR="003902C1">
        <w:rPr>
          <w:rFonts w:ascii="Arial" w:hAnsi="Arial" w:cs="Arial"/>
          <w:sz w:val="22"/>
        </w:rPr>
        <w:t>s</w:t>
      </w:r>
      <w:r w:rsidR="003902C1" w:rsidRPr="00F35561">
        <w:rPr>
          <w:rFonts w:ascii="Arial" w:hAnsi="Arial" w:cs="Arial"/>
          <w:sz w:val="22"/>
        </w:rPr>
        <w:t>obre la capacidad de exigir la visita al sitio de la obra en los pliegos de condiciones como requisito para presentar la oferta, el Consejo de Estado –en Sentencia del 5 de junio de 2008– se pronunció sobre su legalidad. Señaló que esta exigencia garantiza la consistencia económica de las ofertas, así como la cumplida ejecución del objeto contractual y, por lo tanto, es posible incluirla en los pliegos de condiciones. Además, explicó que es una medida idónea, necesaria y ponderada para la estructuración de las ofertas por parte de los proponentes</w:t>
      </w:r>
      <w:r w:rsidR="003902C1" w:rsidRPr="00F35561">
        <w:rPr>
          <w:rFonts w:ascii="Arial" w:eastAsia="Calibri" w:hAnsi="Arial" w:cs="Arial"/>
          <w:vertAlign w:val="superscript"/>
          <w:lang w:val="es-ES"/>
        </w:rPr>
        <w:footnoteReference w:id="15"/>
      </w:r>
      <w:r w:rsidR="003902C1" w:rsidRPr="00F35561">
        <w:rPr>
          <w:rFonts w:ascii="Arial" w:eastAsia="Calibri" w:hAnsi="Arial" w:cs="Arial"/>
          <w:iCs/>
          <w:sz w:val="21"/>
          <w:szCs w:val="21"/>
          <w:lang w:val="es-ES"/>
        </w:rPr>
        <w:t>.</w:t>
      </w:r>
      <w:r w:rsidR="003902C1" w:rsidRPr="00F35561">
        <w:rPr>
          <w:rFonts w:ascii="Arial" w:eastAsia="Calibri" w:hAnsi="Arial" w:cs="Arial"/>
          <w:i/>
          <w:sz w:val="21"/>
          <w:szCs w:val="21"/>
          <w:lang w:val="es-ES"/>
        </w:rPr>
        <w:t xml:space="preserve"> </w:t>
      </w:r>
      <w:r w:rsidR="003902C1" w:rsidRPr="00F35561">
        <w:rPr>
          <w:rFonts w:ascii="Arial" w:hAnsi="Arial" w:cs="Arial"/>
          <w:sz w:val="22"/>
        </w:rPr>
        <w:t>Por su parte, en Sentencia del 28 de junio de 2019, el Consejo de Estado reconoció que la visita tiene como propósito que los oferentes conozcan el lugar físico donde el contrato se ejecutará, razón por la cual:</w:t>
      </w:r>
    </w:p>
    <w:p w14:paraId="45991A48" w14:textId="77777777" w:rsidR="003902C1" w:rsidRPr="00F35561" w:rsidRDefault="003902C1" w:rsidP="003902C1">
      <w:pPr>
        <w:spacing w:line="276" w:lineRule="auto"/>
        <w:ind w:firstLine="708"/>
        <w:jc w:val="both"/>
        <w:rPr>
          <w:rFonts w:ascii="Arial" w:hAnsi="Arial" w:cs="Arial"/>
          <w:sz w:val="22"/>
        </w:rPr>
      </w:pPr>
    </w:p>
    <w:p w14:paraId="1D9221B0" w14:textId="77777777" w:rsidR="003902C1" w:rsidRPr="00F35561" w:rsidRDefault="003902C1" w:rsidP="003902C1">
      <w:pPr>
        <w:ind w:left="708" w:right="558"/>
        <w:jc w:val="both"/>
        <w:rPr>
          <w:rFonts w:ascii="Arial" w:eastAsia="Calibri" w:hAnsi="Arial" w:cs="Arial"/>
          <w:sz w:val="21"/>
          <w:szCs w:val="21"/>
          <w:lang w:val="es-ES"/>
        </w:rPr>
      </w:pPr>
      <w:r w:rsidRPr="00F35561">
        <w:rPr>
          <w:rFonts w:ascii="Arial" w:hAnsi="Arial" w:cs="Arial"/>
          <w:sz w:val="21"/>
          <w:szCs w:val="21"/>
        </w:rPr>
        <w:t>[…] no sólo tiene trascendencia durante el procedimiento precontractual, sino que incide en las etapas ulteriores a este, a tal punto que, si el contratista</w:t>
      </w:r>
      <w:r w:rsidRPr="00F35561">
        <w:rPr>
          <w:rFonts w:ascii="Arial" w:eastAsia="Calibri" w:hAnsi="Arial" w:cs="Arial"/>
          <w:sz w:val="21"/>
          <w:szCs w:val="21"/>
          <w:lang w:val="es-ES"/>
        </w:rPr>
        <w:t xml:space="preserve"> desde esta etapa conocía de las situaciones que presentaba el terreno en donde se construiría la obra o se prestaría el servicio resulta improcedente cualquier </w:t>
      </w:r>
      <w:r w:rsidRPr="00F35561">
        <w:rPr>
          <w:rFonts w:ascii="Arial" w:eastAsia="Calibri" w:hAnsi="Arial" w:cs="Arial"/>
          <w:sz w:val="21"/>
          <w:szCs w:val="21"/>
          <w:lang w:val="es-ES"/>
        </w:rPr>
        <w:lastRenderedPageBreak/>
        <w:t>reclamación posterior fundada en situaciones de las que, con la visita realizada al sitio de las obras, debía estar informado</w:t>
      </w:r>
      <w:r w:rsidRPr="00F35561">
        <w:rPr>
          <w:rFonts w:ascii="Arial" w:eastAsia="Calibri" w:hAnsi="Arial" w:cs="Arial"/>
          <w:sz w:val="21"/>
          <w:szCs w:val="21"/>
          <w:vertAlign w:val="superscript"/>
          <w:lang w:val="es-ES"/>
        </w:rPr>
        <w:footnoteReference w:id="16"/>
      </w:r>
      <w:r w:rsidRPr="00F35561">
        <w:rPr>
          <w:rFonts w:ascii="Arial" w:eastAsia="Calibri" w:hAnsi="Arial" w:cs="Arial"/>
          <w:sz w:val="21"/>
          <w:szCs w:val="21"/>
          <w:lang w:val="es-ES"/>
        </w:rPr>
        <w:t xml:space="preserve">. </w:t>
      </w:r>
    </w:p>
    <w:p w14:paraId="0A231523" w14:textId="77777777" w:rsidR="003902C1" w:rsidRPr="00F35561" w:rsidRDefault="003902C1" w:rsidP="003902C1">
      <w:pPr>
        <w:ind w:left="708" w:right="558"/>
        <w:jc w:val="both"/>
        <w:rPr>
          <w:rFonts w:ascii="Arial" w:eastAsia="Calibri" w:hAnsi="Arial" w:cs="Arial"/>
          <w:sz w:val="21"/>
          <w:szCs w:val="21"/>
          <w:lang w:val="es-ES"/>
        </w:rPr>
      </w:pPr>
    </w:p>
    <w:p w14:paraId="5BC390CB" w14:textId="2F6C0526" w:rsidR="003902C1" w:rsidRPr="00250FBA" w:rsidRDefault="003902C1" w:rsidP="00250FBA">
      <w:pPr>
        <w:spacing w:line="276" w:lineRule="auto"/>
        <w:ind w:firstLine="708"/>
        <w:jc w:val="both"/>
        <w:rPr>
          <w:rFonts w:ascii="Arial" w:eastAsia="Calibri" w:hAnsi="Arial" w:cs="Arial"/>
          <w:sz w:val="22"/>
          <w:lang w:val="es-ES"/>
        </w:rPr>
      </w:pPr>
      <w:r w:rsidRPr="00F35561">
        <w:rPr>
          <w:rFonts w:ascii="Arial" w:eastAsia="Calibri" w:hAnsi="Arial" w:cs="Arial"/>
          <w:sz w:val="22"/>
          <w:lang w:val="es-ES"/>
        </w:rPr>
        <w:t xml:space="preserve">Conforme a lo anterior, la jurisprudencia reconoce la importancia de visitar la obra y la capacidad de las entidades de exigirla como requisito habilitante en los pliegos de condiciones, pues permite que los proponentes conozcan e inspeccionen la zona para investigar la disponibilidad de los materiales de construcción, mano de obra, transporte y las fuentes de abastecimiento de materiales para su explotación y elaboración de agregados, lo cual permite que cuenten con mejor información sobre sus capacidades reales para ejecutar la obra. </w:t>
      </w:r>
    </w:p>
    <w:p w14:paraId="44CCEBE4" w14:textId="2EB5BD22" w:rsidR="00914C81" w:rsidRPr="00021C75" w:rsidRDefault="003902C1" w:rsidP="00914C81">
      <w:pPr>
        <w:spacing w:before="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Por ello, </w:t>
      </w:r>
      <w:r w:rsidR="00384CB3">
        <w:rPr>
          <w:rFonts w:ascii="Arial" w:hAnsi="Arial" w:cs="Arial"/>
          <w:color w:val="000000" w:themeColor="text1"/>
          <w:sz w:val="22"/>
          <w:lang w:val="es-ES"/>
        </w:rPr>
        <w:t xml:space="preserve">en el </w:t>
      </w:r>
      <w:r w:rsidR="008B602A">
        <w:rPr>
          <w:rFonts w:ascii="Arial" w:hAnsi="Arial" w:cs="Arial"/>
          <w:color w:val="000000" w:themeColor="text1"/>
          <w:sz w:val="22"/>
          <w:lang w:val="es-ES"/>
        </w:rPr>
        <w:t>pliego de los documentos tipo</w:t>
      </w:r>
      <w:r w:rsidR="00914C81" w:rsidRPr="00021C75">
        <w:rPr>
          <w:rFonts w:ascii="Arial" w:hAnsi="Arial" w:cs="Arial"/>
          <w:color w:val="000000" w:themeColor="text1"/>
          <w:sz w:val="22"/>
          <w:lang w:val="es-ES"/>
        </w:rPr>
        <w:t xml:space="preserve"> implementados por la</w:t>
      </w:r>
      <w:r w:rsidR="008B602A">
        <w:rPr>
          <w:rFonts w:ascii="Arial" w:hAnsi="Arial" w:cs="Arial"/>
          <w:color w:val="000000" w:themeColor="text1"/>
          <w:sz w:val="22"/>
          <w:lang w:val="es-ES"/>
        </w:rPr>
        <w:t>s</w:t>
      </w:r>
      <w:r w:rsidR="00914C81" w:rsidRPr="00021C75">
        <w:rPr>
          <w:rFonts w:ascii="Arial" w:hAnsi="Arial" w:cs="Arial"/>
          <w:color w:val="000000" w:themeColor="text1"/>
          <w:sz w:val="22"/>
          <w:lang w:val="es-ES"/>
        </w:rPr>
        <w:t xml:space="preserve"> Resoluci</w:t>
      </w:r>
      <w:r w:rsidR="008B602A">
        <w:rPr>
          <w:rFonts w:ascii="Arial" w:hAnsi="Arial" w:cs="Arial"/>
          <w:color w:val="000000" w:themeColor="text1"/>
          <w:sz w:val="22"/>
          <w:lang w:val="es-ES"/>
        </w:rPr>
        <w:t>ones</w:t>
      </w:r>
      <w:r w:rsidR="00914C81" w:rsidRPr="00021C75">
        <w:rPr>
          <w:rFonts w:ascii="Arial" w:hAnsi="Arial" w:cs="Arial"/>
          <w:color w:val="000000" w:themeColor="text1"/>
          <w:sz w:val="22"/>
          <w:lang w:val="es-ES"/>
        </w:rPr>
        <w:t xml:space="preserve"> </w:t>
      </w:r>
      <w:r w:rsidR="008B602A">
        <w:rPr>
          <w:rFonts w:ascii="Arial" w:hAnsi="Arial" w:cs="Arial"/>
          <w:color w:val="000000" w:themeColor="text1"/>
          <w:sz w:val="22"/>
          <w:lang w:val="es-ES"/>
        </w:rPr>
        <w:t xml:space="preserve">No. </w:t>
      </w:r>
      <w:r w:rsidR="00914C81" w:rsidRPr="00021C75">
        <w:rPr>
          <w:rFonts w:ascii="Arial" w:hAnsi="Arial" w:cs="Arial"/>
          <w:color w:val="000000" w:themeColor="text1"/>
          <w:sz w:val="22"/>
          <w:lang w:val="es-ES"/>
        </w:rPr>
        <w:t>044</w:t>
      </w:r>
      <w:r w:rsidR="008B602A">
        <w:rPr>
          <w:rFonts w:ascii="Arial" w:hAnsi="Arial" w:cs="Arial"/>
          <w:color w:val="000000" w:themeColor="text1"/>
          <w:sz w:val="22"/>
          <w:lang w:val="es-ES"/>
        </w:rPr>
        <w:t xml:space="preserve"> y 045</w:t>
      </w:r>
      <w:r w:rsidR="00914C81" w:rsidRPr="00021C75">
        <w:rPr>
          <w:rFonts w:ascii="Arial" w:hAnsi="Arial" w:cs="Arial"/>
          <w:color w:val="000000" w:themeColor="text1"/>
          <w:sz w:val="22"/>
          <w:lang w:val="es-ES"/>
        </w:rPr>
        <w:t xml:space="preserve"> de 2020</w:t>
      </w:r>
      <w:r w:rsidR="008B602A">
        <w:rPr>
          <w:rFonts w:ascii="Arial" w:hAnsi="Arial" w:cs="Arial"/>
          <w:color w:val="000000" w:themeColor="text1"/>
          <w:sz w:val="22"/>
          <w:lang w:val="es-ES"/>
        </w:rPr>
        <w:t>,</w:t>
      </w:r>
      <w:r w:rsidR="00914C81" w:rsidRPr="00021C75">
        <w:rPr>
          <w:rFonts w:ascii="Arial" w:hAnsi="Arial" w:cs="Arial"/>
          <w:color w:val="000000" w:themeColor="text1"/>
          <w:sz w:val="22"/>
          <w:lang w:val="es-ES"/>
        </w:rPr>
        <w:t xml:space="preserve"> denominados «Documentos Tipo para procesos de menor cuantía de Infraestructura de Transporte» y «Versión 02 ─ Documentos Tipo para Licitación de Obra Pública de Infraestructura de Transporte», respectivamente, en su Capítulo III, correspondiente a los requisitos habilitantes, además de los requisitos mencionados en líneas anteriores, incluyó la «</w:t>
      </w:r>
      <w:r w:rsidR="00914C81" w:rsidRPr="00021C75">
        <w:rPr>
          <w:rFonts w:ascii="Arial" w:hAnsi="Arial" w:cs="Arial"/>
          <w:i/>
          <w:iCs/>
          <w:color w:val="000000" w:themeColor="text1"/>
          <w:sz w:val="22"/>
          <w:lang w:val="es-ES"/>
        </w:rPr>
        <w:t>Visita al sitio de la obra</w:t>
      </w:r>
      <w:r w:rsidR="00914C81" w:rsidRPr="00021C75">
        <w:rPr>
          <w:rFonts w:ascii="Arial" w:hAnsi="Arial" w:cs="Arial"/>
          <w:color w:val="000000" w:themeColor="text1"/>
          <w:sz w:val="22"/>
          <w:lang w:val="es-ES"/>
        </w:rPr>
        <w:t>», en los siguientes términos:</w:t>
      </w:r>
    </w:p>
    <w:p w14:paraId="0482635F" w14:textId="77777777" w:rsidR="00914C81" w:rsidRPr="00021C75" w:rsidRDefault="00914C81" w:rsidP="00914C81">
      <w:pPr>
        <w:ind w:left="709" w:right="709"/>
        <w:jc w:val="both"/>
        <w:rPr>
          <w:rFonts w:ascii="Arial" w:hAnsi="Arial" w:cs="Arial"/>
          <w:color w:val="000000" w:themeColor="text1"/>
          <w:sz w:val="22"/>
          <w:lang w:val="es-ES_tradnl"/>
        </w:rPr>
      </w:pPr>
    </w:p>
    <w:p w14:paraId="192AE950" w14:textId="77777777" w:rsidR="00914C81" w:rsidRPr="00021C75" w:rsidRDefault="00914C81" w:rsidP="00250FBA">
      <w:pPr>
        <w:pStyle w:val="Capitulo3"/>
        <w:numPr>
          <w:ilvl w:val="1"/>
          <w:numId w:val="3"/>
        </w:numPr>
        <w:spacing w:before="0" w:after="120" w:line="240" w:lineRule="auto"/>
        <w:ind w:left="709" w:right="709" w:firstLine="0"/>
        <w:rPr>
          <w:bCs/>
          <w:color w:val="000000" w:themeColor="text1"/>
          <w:sz w:val="21"/>
          <w:szCs w:val="21"/>
        </w:rPr>
      </w:pPr>
      <w:r w:rsidRPr="00021C75">
        <w:rPr>
          <w:color w:val="000000" w:themeColor="text1"/>
          <w:sz w:val="21"/>
          <w:szCs w:val="21"/>
        </w:rPr>
        <w:t>VISITA AL SITIO DE LA OBRA</w:t>
      </w:r>
    </w:p>
    <w:p w14:paraId="7D3E1CD3" w14:textId="6432CC71" w:rsidR="00914C81" w:rsidRPr="00021C75" w:rsidRDefault="00914C81" w:rsidP="00250FBA">
      <w:pPr>
        <w:spacing w:after="120"/>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[La Entidad estatal deberá incluir este acápite cuando se justifique su necesidad en los estudios previos. Desde la publicación del proyecto de pliego de condiciones se debe definir si es obligatorio o no asistir a la visita]                                                                                                                                                                                                                                                                                                                                                                                                                                                          </w:t>
      </w:r>
    </w:p>
    <w:p w14:paraId="2D0DB37A" w14:textId="0BD9FA79" w:rsidR="00914C81" w:rsidRPr="00021C75" w:rsidRDefault="00914C81" w:rsidP="00250FBA">
      <w:pPr>
        <w:spacing w:after="120"/>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Con el propósito de que los Proponentes puedan realizar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14:paraId="1EAFF78F" w14:textId="446AAB41" w:rsidR="00914C81" w:rsidRPr="00021C75" w:rsidRDefault="00914C81" w:rsidP="00250FBA">
      <w:pPr>
        <w:spacing w:after="120"/>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No es necesario que quien asista sea el representante legal de la persona jurídica o la persona natural que presentará la oferta, por lo que </w:t>
      </w:r>
      <w:r w:rsidRPr="00021C75" w:rsidDel="0062582B">
        <w:rPr>
          <w:rFonts w:ascii="Arial" w:hAnsi="Arial" w:cs="Arial"/>
          <w:color w:val="000000" w:themeColor="text1"/>
          <w:sz w:val="21"/>
          <w:szCs w:val="21"/>
        </w:rPr>
        <w:t>se</w:t>
      </w:r>
      <w:r w:rsidRPr="00021C75">
        <w:rPr>
          <w:rFonts w:ascii="Arial" w:hAnsi="Arial" w:cs="Arial"/>
          <w:color w:val="000000" w:themeColor="text1"/>
          <w:sz w:val="21"/>
          <w:szCs w:val="21"/>
        </w:rPr>
        <w:t xml:space="preserve"> podrá encomendar la asistencia a cualquier persona que tenga el título de ingeniero, por medio de una autorización simple suscrita por alguno de aquellos, sin necesidad de autenticaciones o presentaciones personales ante notario.</w:t>
      </w:r>
    </w:p>
    <w:p w14:paraId="55B5DEB0" w14:textId="4B38B866" w:rsidR="00914C81" w:rsidRPr="00021C75" w:rsidRDefault="00914C81" w:rsidP="00250FBA">
      <w:pPr>
        <w:spacing w:after="120"/>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Cuando la oferta la presente un Proponente plural, la visita debe realizarla al menos uno (1) de los futuros integrantes. En estos casos tampoco es necesario que asista el representante legal de la persona jurídica o la persona natural miembro del proponente plural, por lo que podrá encomendar la asistencia a cualquier persona que tenga el título de ingeniero, por medio de una </w:t>
      </w:r>
      <w:r w:rsidRPr="00021C75">
        <w:rPr>
          <w:rFonts w:ascii="Arial" w:hAnsi="Arial" w:cs="Arial"/>
          <w:color w:val="000000" w:themeColor="text1"/>
          <w:sz w:val="21"/>
          <w:szCs w:val="21"/>
        </w:rPr>
        <w:lastRenderedPageBreak/>
        <w:t>autorización simple suscrita por alguno de aquellos, sin necesidad de autenticaciones o presentaciones personales ante notario.</w:t>
      </w:r>
    </w:p>
    <w:p w14:paraId="00BC4280" w14:textId="5A070E73" w:rsidR="00914C81" w:rsidRPr="00021C75" w:rsidRDefault="00914C81" w:rsidP="00250FBA">
      <w:pPr>
        <w:spacing w:after="120"/>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 xml:space="preserve">De la visita se levantará un acta donde se consignarán los nombres de las personas que participan por la Entidad y los Proponentes que asisten. Para identificar a los asistentes, la Entidad estatal solicitará la cédula de ciudadanía y la tarjeta profesional, en los casos que se requiera la última, es decir, cuando se encomienda la asistencia a una persona que no sea el representante legal de la persona jurídica o cuando no asista la persona natural que presentara la oferta. </w:t>
      </w:r>
    </w:p>
    <w:p w14:paraId="514FD049" w14:textId="77777777" w:rsidR="00914C81" w:rsidRPr="00021C75" w:rsidRDefault="00914C81" w:rsidP="00250FBA">
      <w:pPr>
        <w:spacing w:after="120"/>
        <w:ind w:left="709" w:right="709"/>
        <w:jc w:val="both"/>
        <w:rPr>
          <w:rFonts w:ascii="Arial" w:hAnsi="Arial" w:cs="Arial"/>
          <w:color w:val="000000" w:themeColor="text1"/>
          <w:sz w:val="21"/>
          <w:szCs w:val="21"/>
        </w:rPr>
      </w:pPr>
      <w:r w:rsidRPr="00021C75">
        <w:rPr>
          <w:rFonts w:ascii="Arial" w:hAnsi="Arial" w:cs="Arial"/>
          <w:color w:val="000000" w:themeColor="text1"/>
          <w:sz w:val="21"/>
          <w:szCs w:val="21"/>
        </w:rPr>
        <w:t>[La Entidad al momento de establecer la fecha y hora de la visita deberá considerar los siguientes aspectos]:</w:t>
      </w:r>
    </w:p>
    <w:p w14:paraId="718D5AAE" w14:textId="77777777" w:rsidR="00914C81" w:rsidRPr="00021C75" w:rsidRDefault="00914C81" w:rsidP="00250FBA">
      <w:pPr>
        <w:pStyle w:val="Prrafodelista"/>
        <w:spacing w:after="120"/>
        <w:ind w:left="709" w:right="709"/>
        <w:jc w:val="both"/>
        <w:rPr>
          <w:rFonts w:ascii="Arial" w:hAnsi="Arial" w:cs="Arial"/>
          <w:color w:val="000000" w:themeColor="text1"/>
          <w:sz w:val="21"/>
          <w:szCs w:val="21"/>
        </w:rPr>
      </w:pPr>
      <w:r w:rsidRPr="00021C75">
        <w:rPr>
          <w:rFonts w:ascii="Arial" w:eastAsiaTheme="minorEastAsia" w:hAnsi="Arial" w:cs="Arial"/>
          <w:color w:val="000000" w:themeColor="text1"/>
          <w:sz w:val="21"/>
          <w:szCs w:val="21"/>
        </w:rPr>
        <w:t xml:space="preserve">I. 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 </w:t>
      </w:r>
    </w:p>
    <w:p w14:paraId="56DCC437" w14:textId="77777777" w:rsidR="00914C81" w:rsidRPr="00021C75" w:rsidRDefault="00914C81" w:rsidP="00250FBA">
      <w:pPr>
        <w:pStyle w:val="Prrafodelista"/>
        <w:spacing w:after="120"/>
        <w:ind w:left="709" w:right="709"/>
        <w:jc w:val="both"/>
        <w:rPr>
          <w:rFonts w:ascii="Arial" w:hAnsi="Arial" w:cs="Arial"/>
          <w:color w:val="000000" w:themeColor="text1"/>
          <w:sz w:val="21"/>
          <w:szCs w:val="21"/>
        </w:rPr>
      </w:pPr>
      <w:r w:rsidRPr="00021C75">
        <w:rPr>
          <w:rFonts w:ascii="Arial" w:eastAsiaTheme="minorEastAsia" w:hAnsi="Arial" w:cs="Arial"/>
          <w:color w:val="000000" w:themeColor="text1"/>
          <w:sz w:val="21"/>
          <w:szCs w:val="21"/>
        </w:rPr>
        <w:t xml:space="preserve">II. La Entidad garantizará las condiciones de seguridad al momento de visitar la zona. </w:t>
      </w:r>
    </w:p>
    <w:p w14:paraId="6E604752" w14:textId="77777777" w:rsidR="00914C81" w:rsidRPr="00021C75" w:rsidRDefault="00914C81" w:rsidP="00914C81">
      <w:pPr>
        <w:pStyle w:val="Prrafodelista"/>
        <w:ind w:left="709" w:right="709"/>
        <w:jc w:val="both"/>
        <w:rPr>
          <w:rFonts w:ascii="Arial" w:hAnsi="Arial" w:cs="Arial"/>
          <w:color w:val="000000" w:themeColor="text1"/>
          <w:sz w:val="21"/>
          <w:szCs w:val="21"/>
        </w:rPr>
      </w:pPr>
      <w:r w:rsidRPr="00021C75">
        <w:rPr>
          <w:rFonts w:ascii="Arial" w:eastAsiaTheme="minorEastAsia" w:hAnsi="Arial" w:cs="Arial"/>
          <w:color w:val="000000" w:themeColor="text1"/>
          <w:sz w:val="21"/>
          <w:szCs w:val="21"/>
        </w:rPr>
        <w:t>III. La visita se realizará en el siguiente lugar y fecha:</w:t>
      </w:r>
    </w:p>
    <w:p w14:paraId="6A974D77" w14:textId="5BC2331C" w:rsidR="00914C81" w:rsidRPr="00021C75" w:rsidRDefault="00914C81" w:rsidP="00250FBA">
      <w:pPr>
        <w:spacing w:after="120"/>
        <w:ind w:left="709" w:right="709"/>
        <w:rPr>
          <w:rFonts w:ascii="Arial" w:hAnsi="Arial" w:cs="Arial"/>
          <w:color w:val="000000" w:themeColor="text1"/>
          <w:sz w:val="21"/>
          <w:szCs w:val="21"/>
        </w:rPr>
      </w:pPr>
      <w:r w:rsidRPr="00021C75">
        <w:rPr>
          <w:rFonts w:ascii="Arial" w:hAnsi="Arial" w:cs="Arial"/>
          <w:color w:val="000000" w:themeColor="text1"/>
          <w:sz w:val="21"/>
          <w:szCs w:val="21"/>
        </w:rPr>
        <w:t>[…]</w:t>
      </w:r>
    </w:p>
    <w:p w14:paraId="4983BA5A" w14:textId="77777777" w:rsidR="00914C81" w:rsidRPr="00021C75" w:rsidRDefault="00914C81" w:rsidP="00914C81">
      <w:pPr>
        <w:ind w:left="709" w:right="709"/>
        <w:jc w:val="both"/>
        <w:rPr>
          <w:rFonts w:cs="Arial"/>
          <w:color w:val="000000" w:themeColor="text1"/>
          <w:sz w:val="21"/>
          <w:szCs w:val="21"/>
        </w:rPr>
      </w:pPr>
      <w:r w:rsidRPr="00021C75">
        <w:rPr>
          <w:rFonts w:ascii="Arial" w:hAnsi="Arial" w:cs="Arial"/>
          <w:color w:val="000000" w:themeColor="text1"/>
          <w:sz w:val="21"/>
          <w:szCs w:val="21"/>
        </w:rPr>
        <w:t>Los costos asociados a la visita los asume cada interesado en el proceso de selección.</w:t>
      </w:r>
    </w:p>
    <w:p w14:paraId="5D90ECA7" w14:textId="77777777" w:rsidR="00914C81" w:rsidRPr="00021C75" w:rsidRDefault="00914C81" w:rsidP="00914C81">
      <w:pPr>
        <w:spacing w:line="276" w:lineRule="auto"/>
        <w:ind w:right="709"/>
        <w:jc w:val="both"/>
        <w:rPr>
          <w:rFonts w:ascii="Arial" w:hAnsi="Arial" w:cs="Arial"/>
          <w:color w:val="000000" w:themeColor="text1"/>
          <w:sz w:val="21"/>
          <w:szCs w:val="21"/>
        </w:rPr>
      </w:pPr>
    </w:p>
    <w:p w14:paraId="1BD3BA55" w14:textId="6FDFCEFE" w:rsidR="00914C81" w:rsidRPr="00021C75" w:rsidRDefault="00914C81" w:rsidP="00250FBA">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Del t</w:t>
      </w:r>
      <w:r w:rsidRPr="00021C75">
        <w:rPr>
          <w:rFonts w:ascii="Arial" w:hAnsi="Arial" w:cs="Arial"/>
          <w:color w:val="000000" w:themeColor="text1"/>
          <w:sz w:val="22"/>
          <w:lang w:val="es-ES"/>
        </w:rPr>
        <w:t xml:space="preserve">exto </w:t>
      </w:r>
      <w:r w:rsidR="008B602A">
        <w:rPr>
          <w:rFonts w:ascii="Arial" w:hAnsi="Arial" w:cs="Arial"/>
          <w:color w:val="000000" w:themeColor="text1"/>
          <w:sz w:val="22"/>
          <w:lang w:val="es-ES"/>
        </w:rPr>
        <w:t>citado</w:t>
      </w:r>
      <w:r w:rsidRPr="00021C75">
        <w:rPr>
          <w:rFonts w:ascii="Arial" w:hAnsi="Arial" w:cs="Arial"/>
          <w:color w:val="000000" w:themeColor="text1"/>
          <w:sz w:val="22"/>
          <w:lang w:val="es-ES"/>
        </w:rPr>
        <w:t xml:space="preserve"> lo primero que se advierte de este requisito, es que la entidad estatal tiene la facultad de establecer la necesidad del mismo, es decir, puede incluir o no en su proyecto de pliego de condiciones la visita al sitio de la obra</w:t>
      </w:r>
      <w:r w:rsidR="00757B9C">
        <w:rPr>
          <w:rFonts w:ascii="Arial" w:hAnsi="Arial" w:cs="Arial"/>
          <w:color w:val="000000" w:themeColor="text1"/>
          <w:sz w:val="22"/>
          <w:lang w:val="es-ES"/>
        </w:rPr>
        <w:t>. En</w:t>
      </w:r>
      <w:r w:rsidRPr="00021C75">
        <w:rPr>
          <w:rFonts w:ascii="Arial" w:hAnsi="Arial" w:cs="Arial"/>
          <w:color w:val="000000" w:themeColor="text1"/>
          <w:sz w:val="22"/>
          <w:lang w:val="es-ES"/>
        </w:rPr>
        <w:t xml:space="preserve"> caso que decida incluirla, la entidad estatal tiene la obligación de justificar su necesidad desde los estudios previos.</w:t>
      </w:r>
    </w:p>
    <w:p w14:paraId="24A0056E" w14:textId="77777777" w:rsidR="00914C81" w:rsidRPr="00021C75" w:rsidRDefault="00914C81" w:rsidP="00914C81">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A su vez, en el evento que se incluya la visita al sitio de la obra en el proyecto de pliego de condiciones, corresponde a la entidad estatal determinar la obligatoriedad de la asistencia o no a la misma por parte de los posibles oferentes o interesados en el negocio jurídico.</w:t>
      </w:r>
    </w:p>
    <w:p w14:paraId="29FD096E" w14:textId="77777777" w:rsidR="00914C81" w:rsidRPr="00021C75" w:rsidRDefault="00914C81" w:rsidP="00914C81">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En segundo lugar, la visita al sitio de la obra tiene por finalidad que los proponentes evalúen todas las condiciones de tiempo, modo y lugar donde se ejecutará el contrato estatal, para que, de esta manera, realicen una ponderación adecuada de los aspectos económicos del proyecto, así como de los riesgos asociados al mismo; a partir de esas consideraciones los oferentes tendrán mejores elementos de juicio para construir la propuesta a presentar ante la Entidad estatal.</w:t>
      </w:r>
    </w:p>
    <w:p w14:paraId="6B5F8AD7" w14:textId="7814D9F6" w:rsidR="00914C81" w:rsidRPr="00021C75" w:rsidRDefault="00914C81" w:rsidP="00914C81">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 En tercer lugar, corresponde a la entidad estatal establecer en el cronograma del </w:t>
      </w:r>
      <w:r w:rsidR="00B85EC0" w:rsidRPr="00021C75">
        <w:rPr>
          <w:rFonts w:ascii="Arial" w:hAnsi="Arial" w:cs="Arial"/>
          <w:color w:val="000000" w:themeColor="text1"/>
          <w:sz w:val="22"/>
          <w:lang w:val="es-ES"/>
        </w:rPr>
        <w:t>proceso de contratació</w:t>
      </w:r>
      <w:r w:rsidRPr="00021C75">
        <w:rPr>
          <w:rFonts w:ascii="Arial" w:hAnsi="Arial" w:cs="Arial"/>
          <w:color w:val="000000" w:themeColor="text1"/>
          <w:sz w:val="22"/>
          <w:lang w:val="es-ES"/>
        </w:rPr>
        <w:t xml:space="preserve">n la fecha y hora en las que se llevará a cabo la </w:t>
      </w:r>
      <w:r w:rsidR="00B85EC0">
        <w:rPr>
          <w:rFonts w:ascii="Arial" w:hAnsi="Arial" w:cs="Arial"/>
          <w:color w:val="000000" w:themeColor="text1"/>
          <w:sz w:val="22"/>
          <w:lang w:val="es-ES"/>
        </w:rPr>
        <w:t>v</w:t>
      </w:r>
      <w:r w:rsidRPr="00021C75">
        <w:rPr>
          <w:rFonts w:ascii="Arial" w:hAnsi="Arial" w:cs="Arial"/>
          <w:color w:val="000000" w:themeColor="text1"/>
          <w:sz w:val="22"/>
          <w:lang w:val="es-ES"/>
        </w:rPr>
        <w:t xml:space="preserve">isita al sitio de la obra; sobre el particular, la entidad estatal obligatoriamente deberá tener en cuenta que: i) no se puede modificar la fecha de esa vista, salvo por circunstancias de fuerza mayor o caso fortuito, ii) si se modifica la fecha por las razones anotadas, esa modificación deberá </w:t>
      </w:r>
      <w:r w:rsidRPr="00021C75">
        <w:rPr>
          <w:rFonts w:ascii="Arial" w:hAnsi="Arial" w:cs="Arial"/>
          <w:color w:val="000000" w:themeColor="text1"/>
          <w:sz w:val="22"/>
          <w:lang w:val="es-ES"/>
        </w:rPr>
        <w:lastRenderedPageBreak/>
        <w:t>realizarse al menos con un (1) día hábil de antelación y deberá programarse, nuevamente, como mínimo siete (7) días hábiles después de la programada inicialmente, iii) corresponde a la entidad estatal garantizar las condiciones de seguridad en la zona de los asistentes a la visita al sitio de la obra, y, iv) los costos asociados a la vista los asume el interesado en el proceso de contratación.</w:t>
      </w:r>
    </w:p>
    <w:p w14:paraId="4B5E37B1" w14:textId="77777777" w:rsidR="00914C81" w:rsidRPr="00021C75" w:rsidRDefault="00914C81" w:rsidP="00914C81">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En cuarto lugar, tratándose de los asistentes a la visita al sitio de la obra, se tiene que pueden concurrir el representante legal de la persona jurídica o la persona natural que presentarán la propuesta o en su defecto, aquellas personas mediante autorización por ellas suscrita, pueden delegar la asistencia a la visita al sitio de la obra en otra persona, siempre y cuando esta última tenga el título de ingeniero; es decir, quien asiste en representación de otros debe cumplir con una condición cualificada que acredita su competencia e idoneidad para la visita.</w:t>
      </w:r>
    </w:p>
    <w:p w14:paraId="788B5631" w14:textId="77777777" w:rsidR="00914C81" w:rsidRPr="00021C75" w:rsidRDefault="00914C81" w:rsidP="00914C81">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Si el proponente es plural, basta con que al menos uno de los futuros integrantes cumpla con la obligación de asistir a la visita al sitio de la obra; igualmente, los representantes legales de las personas jurídicas o personas naturales integrantes del proponente plural puede asistir personalmente a esa vista o podrán delegar la asistencia a la misma siempre y cuando se cumpla con la condición atrás anotada.</w:t>
      </w:r>
    </w:p>
    <w:p w14:paraId="14768E4A" w14:textId="77777777" w:rsidR="00914C81" w:rsidRPr="00021C75" w:rsidRDefault="00914C81" w:rsidP="00914C81">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Se debe resaltar que, el acto de delegación o autorización de asistencia a la visita al sitio de la obra no requiere de formalidad o solemnidad alguna; no es necesario que a ese documento se le realice acto de presentación personal o autenticación ante notario.</w:t>
      </w:r>
    </w:p>
    <w:p w14:paraId="233D635C" w14:textId="77777777" w:rsidR="00914C81" w:rsidRPr="00021C75" w:rsidRDefault="00914C81" w:rsidP="00914C81">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En quinto lugar, una vez realizada la visita al sitio de la obra, la entidad estatal deberá levantar un acta en la que se registrará, entre otros, i) el nombre de las personas que participan en representación de la entidad estatal y ii) el nombre de las personas que participan en condición de proponentes o representantes de los proponentes; esa asistencia se verificará con la cédula de ciudadanía y la tarjeta profesional que acredite la condición de ingeniero; esta última cuando el asistente actúe por delegación o autorización de un proponente.</w:t>
      </w:r>
    </w:p>
    <w:p w14:paraId="051975ED" w14:textId="1D631D97" w:rsidR="00914C81" w:rsidRPr="00021C75" w:rsidRDefault="00914C81" w:rsidP="00914C81">
      <w:pPr>
        <w:spacing w:before="120" w:after="120"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De otra parte, debe indicar</w:t>
      </w:r>
      <w:r w:rsidR="00757B9C">
        <w:rPr>
          <w:rFonts w:ascii="Arial" w:hAnsi="Arial" w:cs="Arial"/>
          <w:color w:val="000000" w:themeColor="text1"/>
          <w:sz w:val="22"/>
          <w:lang w:val="es-ES"/>
        </w:rPr>
        <w:t>se</w:t>
      </w:r>
      <w:r w:rsidRPr="00021C75">
        <w:rPr>
          <w:rFonts w:ascii="Arial" w:hAnsi="Arial" w:cs="Arial"/>
          <w:color w:val="000000" w:themeColor="text1"/>
          <w:sz w:val="22"/>
          <w:lang w:val="es-ES"/>
        </w:rPr>
        <w:t xml:space="preserve"> que los </w:t>
      </w:r>
      <w:r w:rsidR="00757B9C">
        <w:rPr>
          <w:rFonts w:ascii="Arial" w:hAnsi="Arial" w:cs="Arial"/>
          <w:color w:val="000000" w:themeColor="text1"/>
          <w:sz w:val="22"/>
          <w:lang w:val="es-ES"/>
        </w:rPr>
        <w:t>pliegos de los documentos tipo</w:t>
      </w:r>
      <w:r w:rsidRPr="00021C75">
        <w:rPr>
          <w:rFonts w:ascii="Arial" w:hAnsi="Arial" w:cs="Arial"/>
          <w:color w:val="000000" w:themeColor="text1"/>
          <w:sz w:val="22"/>
          <w:lang w:val="es-ES"/>
        </w:rPr>
        <w:t xml:space="preserve"> implementados por </w:t>
      </w:r>
      <w:r w:rsidR="00757B9C" w:rsidRPr="00021C75">
        <w:rPr>
          <w:rFonts w:ascii="Arial" w:hAnsi="Arial" w:cs="Arial"/>
          <w:color w:val="000000" w:themeColor="text1"/>
          <w:sz w:val="22"/>
          <w:lang w:val="es-ES"/>
        </w:rPr>
        <w:t>la</w:t>
      </w:r>
      <w:r w:rsidR="00757B9C">
        <w:rPr>
          <w:rFonts w:ascii="Arial" w:hAnsi="Arial" w:cs="Arial"/>
          <w:color w:val="000000" w:themeColor="text1"/>
          <w:sz w:val="22"/>
          <w:lang w:val="es-ES"/>
        </w:rPr>
        <w:t>s</w:t>
      </w:r>
      <w:r w:rsidR="00757B9C" w:rsidRPr="00021C75">
        <w:rPr>
          <w:rFonts w:ascii="Arial" w:hAnsi="Arial" w:cs="Arial"/>
          <w:color w:val="000000" w:themeColor="text1"/>
          <w:sz w:val="22"/>
          <w:lang w:val="es-ES"/>
        </w:rPr>
        <w:t xml:space="preserve"> Resoluci</w:t>
      </w:r>
      <w:r w:rsidR="00757B9C">
        <w:rPr>
          <w:rFonts w:ascii="Arial" w:hAnsi="Arial" w:cs="Arial"/>
          <w:color w:val="000000" w:themeColor="text1"/>
          <w:sz w:val="22"/>
          <w:lang w:val="es-ES"/>
        </w:rPr>
        <w:t>ones</w:t>
      </w:r>
      <w:r w:rsidR="00757B9C" w:rsidRPr="00021C75">
        <w:rPr>
          <w:rFonts w:ascii="Arial" w:hAnsi="Arial" w:cs="Arial"/>
          <w:color w:val="000000" w:themeColor="text1"/>
          <w:sz w:val="22"/>
          <w:lang w:val="es-ES"/>
        </w:rPr>
        <w:t xml:space="preserve"> </w:t>
      </w:r>
      <w:r w:rsidR="00757B9C">
        <w:rPr>
          <w:rFonts w:ascii="Arial" w:hAnsi="Arial" w:cs="Arial"/>
          <w:color w:val="000000" w:themeColor="text1"/>
          <w:sz w:val="22"/>
          <w:lang w:val="es-ES"/>
        </w:rPr>
        <w:t xml:space="preserve">No. </w:t>
      </w:r>
      <w:r w:rsidR="00757B9C" w:rsidRPr="00021C75">
        <w:rPr>
          <w:rFonts w:ascii="Arial" w:hAnsi="Arial" w:cs="Arial"/>
          <w:color w:val="000000" w:themeColor="text1"/>
          <w:sz w:val="22"/>
          <w:lang w:val="es-ES"/>
        </w:rPr>
        <w:t>044</w:t>
      </w:r>
      <w:r w:rsidR="00757B9C">
        <w:rPr>
          <w:rFonts w:ascii="Arial" w:hAnsi="Arial" w:cs="Arial"/>
          <w:color w:val="000000" w:themeColor="text1"/>
          <w:sz w:val="22"/>
          <w:lang w:val="es-ES"/>
        </w:rPr>
        <w:t xml:space="preserve"> y 045</w:t>
      </w:r>
      <w:r w:rsidR="00757B9C" w:rsidRPr="00021C75">
        <w:rPr>
          <w:rFonts w:ascii="Arial" w:hAnsi="Arial" w:cs="Arial"/>
          <w:color w:val="000000" w:themeColor="text1"/>
          <w:sz w:val="22"/>
          <w:lang w:val="es-ES"/>
        </w:rPr>
        <w:t xml:space="preserve"> de 2020</w:t>
      </w:r>
      <w:r w:rsidRPr="00021C75">
        <w:rPr>
          <w:rFonts w:ascii="Arial" w:hAnsi="Arial" w:cs="Arial"/>
          <w:color w:val="000000" w:themeColor="text1"/>
          <w:sz w:val="22"/>
          <w:lang w:val="es-ES"/>
        </w:rPr>
        <w:t xml:space="preserve">, </w:t>
      </w:r>
      <w:r w:rsidR="00757B9C">
        <w:rPr>
          <w:rFonts w:ascii="Arial" w:hAnsi="Arial" w:cs="Arial"/>
          <w:color w:val="000000" w:themeColor="text1"/>
          <w:sz w:val="22"/>
          <w:lang w:val="es-ES"/>
        </w:rPr>
        <w:t>disponen</w:t>
      </w:r>
      <w:r w:rsidRPr="00021C75">
        <w:rPr>
          <w:rFonts w:ascii="Arial" w:hAnsi="Arial" w:cs="Arial"/>
          <w:color w:val="000000" w:themeColor="text1"/>
          <w:sz w:val="22"/>
          <w:lang w:val="es-ES"/>
        </w:rPr>
        <w:t xml:space="preserve"> en </w:t>
      </w:r>
      <w:r w:rsidR="00FE5D07">
        <w:rPr>
          <w:rFonts w:ascii="Arial" w:hAnsi="Arial" w:cs="Arial"/>
          <w:color w:val="000000" w:themeColor="text1"/>
          <w:sz w:val="22"/>
          <w:lang w:val="es-ES"/>
        </w:rPr>
        <w:t xml:space="preserve">el numeral 1.15, </w:t>
      </w:r>
      <w:r w:rsidRPr="00021C75">
        <w:rPr>
          <w:rFonts w:ascii="Arial" w:hAnsi="Arial" w:cs="Arial"/>
          <w:color w:val="000000" w:themeColor="text1"/>
          <w:sz w:val="22"/>
          <w:lang w:val="es-ES"/>
        </w:rPr>
        <w:t>literal w)</w:t>
      </w:r>
      <w:r w:rsidR="00FE5D07">
        <w:rPr>
          <w:rFonts w:ascii="Arial" w:hAnsi="Arial" w:cs="Arial"/>
          <w:color w:val="000000" w:themeColor="text1"/>
          <w:sz w:val="22"/>
          <w:lang w:val="es-ES"/>
        </w:rPr>
        <w:t>,</w:t>
      </w:r>
      <w:r w:rsidRPr="00021C75">
        <w:rPr>
          <w:rFonts w:ascii="Arial" w:hAnsi="Arial" w:cs="Arial"/>
          <w:color w:val="000000" w:themeColor="text1"/>
          <w:sz w:val="22"/>
          <w:lang w:val="es-ES"/>
        </w:rPr>
        <w:t xml:space="preserve"> </w:t>
      </w:r>
      <w:r w:rsidR="00721CCC" w:rsidRPr="00021C75">
        <w:rPr>
          <w:rFonts w:ascii="Arial" w:hAnsi="Arial" w:cs="Arial"/>
          <w:color w:val="000000" w:themeColor="text1"/>
          <w:sz w:val="22"/>
          <w:lang w:val="es-ES"/>
        </w:rPr>
        <w:t xml:space="preserve">como causal de rechazo de la propuesta </w:t>
      </w:r>
      <w:r w:rsidRPr="00021C75">
        <w:rPr>
          <w:rFonts w:ascii="Arial" w:hAnsi="Arial" w:cs="Arial"/>
          <w:color w:val="000000" w:themeColor="text1"/>
          <w:sz w:val="22"/>
          <w:lang w:val="es-ES"/>
        </w:rPr>
        <w:t xml:space="preserve">la no asistencia a la visita al sitio de la obra, esto en el evento que la entidad estatal haya determinado en su proyecto de pliego de condiciones </w:t>
      </w:r>
      <w:r w:rsidR="00721CCC">
        <w:rPr>
          <w:rFonts w:ascii="Arial" w:hAnsi="Arial" w:cs="Arial"/>
          <w:color w:val="000000" w:themeColor="text1"/>
          <w:sz w:val="22"/>
          <w:lang w:val="es-ES"/>
        </w:rPr>
        <w:t xml:space="preserve">su </w:t>
      </w:r>
      <w:r w:rsidRPr="00021C75">
        <w:rPr>
          <w:rFonts w:ascii="Arial" w:hAnsi="Arial" w:cs="Arial"/>
          <w:color w:val="000000" w:themeColor="text1"/>
          <w:sz w:val="22"/>
          <w:lang w:val="es-ES"/>
        </w:rPr>
        <w:t>obligatoriedad.</w:t>
      </w:r>
    </w:p>
    <w:p w14:paraId="277FB93C" w14:textId="43F6BD82" w:rsidR="003902C1" w:rsidRDefault="00914C81">
      <w:pPr>
        <w:spacing w:line="276" w:lineRule="auto"/>
        <w:ind w:firstLine="709"/>
        <w:jc w:val="both"/>
        <w:rPr>
          <w:rFonts w:ascii="Arial" w:hAnsi="Arial" w:cs="Arial"/>
          <w:color w:val="000000" w:themeColor="text1"/>
          <w:sz w:val="22"/>
          <w:lang w:val="es-ES"/>
        </w:rPr>
      </w:pPr>
      <w:r w:rsidRPr="00021C75">
        <w:rPr>
          <w:rFonts w:ascii="Arial" w:hAnsi="Arial" w:cs="Arial"/>
          <w:color w:val="000000" w:themeColor="text1"/>
          <w:sz w:val="22"/>
          <w:lang w:val="es-ES"/>
        </w:rPr>
        <w:t xml:space="preserve">En conclusión, la entidad estatal de manera discrecional y en los términos establecidos </w:t>
      </w:r>
      <w:r w:rsidR="00834953">
        <w:rPr>
          <w:rFonts w:ascii="Arial" w:hAnsi="Arial" w:cs="Arial"/>
          <w:color w:val="000000" w:themeColor="text1"/>
          <w:sz w:val="22"/>
          <w:lang w:val="es-ES"/>
        </w:rPr>
        <w:t>en los pliegos tipo</w:t>
      </w:r>
      <w:r w:rsidRPr="00021C75">
        <w:rPr>
          <w:rFonts w:ascii="Arial" w:hAnsi="Arial" w:cs="Arial"/>
          <w:color w:val="000000" w:themeColor="text1"/>
          <w:sz w:val="22"/>
          <w:lang w:val="es-ES"/>
        </w:rPr>
        <w:t xml:space="preserve"> podrá establecer la necesidad de la </w:t>
      </w:r>
      <w:r w:rsidR="00834953">
        <w:rPr>
          <w:rFonts w:ascii="Arial" w:hAnsi="Arial" w:cs="Arial"/>
          <w:color w:val="000000" w:themeColor="text1"/>
          <w:sz w:val="22"/>
          <w:lang w:val="es-ES"/>
        </w:rPr>
        <w:t>v</w:t>
      </w:r>
      <w:r w:rsidRPr="00021C75">
        <w:rPr>
          <w:rFonts w:ascii="Arial" w:hAnsi="Arial" w:cs="Arial"/>
          <w:color w:val="000000" w:themeColor="text1"/>
          <w:sz w:val="22"/>
          <w:lang w:val="es-ES"/>
        </w:rPr>
        <w:t>isita al sitio de la obra, así como la obligatoriedad de la asistencia a esa visita en los Procesos de Contratación de obras de infraestructura de transporte en las modalidades de selección del contratista correspondiente a licitación pública o selección abreviada de menor cuantía</w:t>
      </w:r>
      <w:r w:rsidR="005A3103">
        <w:rPr>
          <w:rFonts w:ascii="Arial" w:hAnsi="Arial" w:cs="Arial"/>
          <w:color w:val="000000" w:themeColor="text1"/>
          <w:sz w:val="22"/>
          <w:lang w:val="es-ES"/>
        </w:rPr>
        <w:t xml:space="preserve">; en el caso que se establezca como obligatoria y no se asista da lugar a la configuración de la causal de rechazo contenida en el literal </w:t>
      </w:r>
      <w:r w:rsidR="005A3103" w:rsidRPr="00021C75">
        <w:rPr>
          <w:rFonts w:ascii="Arial" w:hAnsi="Arial" w:cs="Arial"/>
          <w:color w:val="000000" w:themeColor="text1"/>
          <w:sz w:val="22"/>
          <w:lang w:val="es-ES"/>
        </w:rPr>
        <w:t>w)</w:t>
      </w:r>
      <w:r w:rsidR="005A3103">
        <w:rPr>
          <w:rFonts w:ascii="Arial" w:hAnsi="Arial" w:cs="Arial"/>
          <w:color w:val="000000" w:themeColor="text1"/>
          <w:sz w:val="22"/>
          <w:lang w:val="es-ES"/>
        </w:rPr>
        <w:t xml:space="preserve"> del </w:t>
      </w:r>
      <w:r w:rsidR="00834953">
        <w:rPr>
          <w:rFonts w:ascii="Arial" w:hAnsi="Arial" w:cs="Arial"/>
          <w:color w:val="000000" w:themeColor="text1"/>
          <w:sz w:val="22"/>
          <w:lang w:val="es-ES"/>
        </w:rPr>
        <w:t>documento base</w:t>
      </w:r>
      <w:r w:rsidR="005A3103">
        <w:rPr>
          <w:rFonts w:ascii="Arial" w:hAnsi="Arial" w:cs="Arial"/>
          <w:color w:val="000000" w:themeColor="text1"/>
          <w:sz w:val="22"/>
          <w:lang w:val="es-ES"/>
        </w:rPr>
        <w:t>.</w:t>
      </w:r>
    </w:p>
    <w:p w14:paraId="79D6A490" w14:textId="771DC147" w:rsidR="0032161B" w:rsidRPr="0032161B" w:rsidRDefault="005A3103" w:rsidP="00250FBA">
      <w:pPr>
        <w:pStyle w:val="Prrafodelista"/>
        <w:tabs>
          <w:tab w:val="left" w:pos="426"/>
        </w:tabs>
        <w:spacing w:before="120" w:line="276" w:lineRule="auto"/>
        <w:ind w:left="0"/>
        <w:contextualSpacing w:val="0"/>
        <w:jc w:val="both"/>
        <w:rPr>
          <w:rFonts w:ascii="Arial" w:eastAsia="Calibri" w:hAnsi="Arial" w:cs="Arial"/>
          <w:sz w:val="22"/>
        </w:rPr>
      </w:pPr>
      <w:r>
        <w:rPr>
          <w:rFonts w:ascii="Arial" w:eastAsia="Calibri" w:hAnsi="Arial" w:cs="Arial"/>
          <w:sz w:val="22"/>
          <w:lang w:val="es-ES"/>
        </w:rPr>
        <w:lastRenderedPageBreak/>
        <w:tab/>
      </w:r>
      <w:r>
        <w:rPr>
          <w:rFonts w:ascii="Arial" w:eastAsia="Calibri" w:hAnsi="Arial" w:cs="Arial"/>
          <w:sz w:val="22"/>
          <w:lang w:val="es-ES"/>
        </w:rPr>
        <w:tab/>
      </w:r>
      <w:r w:rsidRPr="006E52A9">
        <w:rPr>
          <w:rFonts w:ascii="Arial" w:eastAsia="Calibri" w:hAnsi="Arial" w:cs="Arial"/>
          <w:sz w:val="22"/>
          <w:lang w:val="es-ES"/>
        </w:rPr>
        <w:t>Por último, es</w:t>
      </w:r>
      <w:r w:rsidRPr="006E52A9">
        <w:rPr>
          <w:rFonts w:ascii="Arial" w:eastAsia="Calibri" w:hAnsi="Arial" w:cs="Arial"/>
          <w:sz w:val="22"/>
        </w:rPr>
        <w:t xml:space="preserve"> importante señalar que la Agencia Nacional de Contratación Pública – Colombia Compra Eficiente</w:t>
      </w:r>
      <w:r w:rsidR="004214FB">
        <w:rPr>
          <w:rFonts w:ascii="Arial" w:eastAsia="Calibri" w:hAnsi="Arial" w:cs="Arial"/>
          <w:sz w:val="22"/>
        </w:rPr>
        <w:t xml:space="preserve">, con la expedición de </w:t>
      </w:r>
      <w:r w:rsidR="004214FB" w:rsidRPr="006E52A9">
        <w:rPr>
          <w:rFonts w:ascii="Arial" w:eastAsia="Calibri" w:hAnsi="Arial" w:cs="Arial"/>
          <w:sz w:val="22"/>
        </w:rPr>
        <w:t>la Resolución No. 080 del 27 de marzo de 2020</w:t>
      </w:r>
      <w:r w:rsidR="004214FB">
        <w:rPr>
          <w:rFonts w:ascii="Arial" w:eastAsia="Calibri" w:hAnsi="Arial" w:cs="Arial"/>
          <w:sz w:val="22"/>
        </w:rPr>
        <w:t>,</w:t>
      </w:r>
      <w:r w:rsidRPr="006E52A9">
        <w:rPr>
          <w:rFonts w:ascii="Arial" w:eastAsia="Calibri" w:hAnsi="Arial" w:cs="Arial"/>
          <w:sz w:val="22"/>
        </w:rPr>
        <w:t xml:space="preserve"> </w:t>
      </w:r>
      <w:r w:rsidR="004214FB">
        <w:rPr>
          <w:rFonts w:ascii="Arial" w:eastAsia="Calibri" w:hAnsi="Arial" w:cs="Arial"/>
          <w:sz w:val="22"/>
        </w:rPr>
        <w:t xml:space="preserve">suspendió el </w:t>
      </w:r>
      <w:r w:rsidR="004214FB" w:rsidRPr="006E52A9">
        <w:rPr>
          <w:rFonts w:ascii="Arial" w:eastAsia="Calibri" w:hAnsi="Arial" w:cs="Arial"/>
          <w:sz w:val="22"/>
        </w:rPr>
        <w:t>numeral 3.6 –visita al sitio de la obra–</w:t>
      </w:r>
      <w:r w:rsidR="004214FB">
        <w:rPr>
          <w:rFonts w:ascii="Arial" w:eastAsia="Calibri" w:hAnsi="Arial" w:cs="Arial"/>
          <w:sz w:val="22"/>
        </w:rPr>
        <w:t xml:space="preserve"> </w:t>
      </w:r>
      <w:r w:rsidR="004214FB" w:rsidRPr="006E52A9">
        <w:rPr>
          <w:rFonts w:ascii="Arial" w:eastAsia="Calibri" w:hAnsi="Arial" w:cs="Arial"/>
          <w:sz w:val="22"/>
        </w:rPr>
        <w:t xml:space="preserve">de los «Documentos </w:t>
      </w:r>
      <w:r w:rsidR="004214FB">
        <w:rPr>
          <w:rFonts w:ascii="Arial" w:eastAsia="Calibri" w:hAnsi="Arial" w:cs="Arial"/>
          <w:sz w:val="22"/>
        </w:rPr>
        <w:t>Base</w:t>
      </w:r>
      <w:r w:rsidR="004214FB" w:rsidRPr="006E52A9">
        <w:rPr>
          <w:rFonts w:ascii="Arial" w:eastAsia="Calibri" w:hAnsi="Arial" w:cs="Arial"/>
          <w:sz w:val="22"/>
        </w:rPr>
        <w:t>» para los procedimientos de licitación y selección abreviada de menor cuantía</w:t>
      </w:r>
      <w:r w:rsidRPr="006E52A9">
        <w:rPr>
          <w:rFonts w:ascii="Arial" w:eastAsia="Calibri" w:hAnsi="Arial" w:cs="Arial"/>
          <w:sz w:val="22"/>
        </w:rPr>
        <w:t xml:space="preserve">. </w:t>
      </w:r>
      <w:bookmarkStart w:id="3" w:name="_Hlk51082238"/>
      <w:r w:rsidRPr="006E52A9">
        <w:rPr>
          <w:rFonts w:ascii="Arial" w:eastAsia="Calibri" w:hAnsi="Arial" w:cs="Arial"/>
          <w:sz w:val="22"/>
        </w:rPr>
        <w:t>Esta medida</w:t>
      </w:r>
      <w:r w:rsidR="00E60914">
        <w:rPr>
          <w:rFonts w:ascii="Arial" w:eastAsia="Calibri" w:hAnsi="Arial" w:cs="Arial"/>
          <w:sz w:val="22"/>
        </w:rPr>
        <w:t>, con la prorroga establecida por la Resolución 142 de 2020</w:t>
      </w:r>
      <w:r w:rsidR="004C6DD0">
        <w:rPr>
          <w:rFonts w:ascii="Arial" w:eastAsia="Calibri" w:hAnsi="Arial" w:cs="Arial"/>
          <w:sz w:val="22"/>
        </w:rPr>
        <w:t>,</w:t>
      </w:r>
      <w:r w:rsidRPr="006E52A9">
        <w:rPr>
          <w:rFonts w:ascii="Arial" w:eastAsia="Calibri" w:hAnsi="Arial" w:cs="Arial"/>
          <w:sz w:val="22"/>
        </w:rPr>
        <w:t xml:space="preserve"> durará mientras </w:t>
      </w:r>
      <w:r w:rsidR="00E60914">
        <w:rPr>
          <w:rFonts w:ascii="Arial" w:eastAsia="Calibri" w:hAnsi="Arial" w:cs="Arial"/>
          <w:sz w:val="22"/>
        </w:rPr>
        <w:t>el Ministerio de Salud y Protección Social, conserve la medida de emergencia económica sanitaria en todo el territorio nacional, prevista en la Resolución No. 1462 de 2020, o la norma que la modifique</w:t>
      </w:r>
      <w:r w:rsidRPr="006E52A9">
        <w:rPr>
          <w:rFonts w:ascii="Arial" w:eastAsia="Calibri" w:hAnsi="Arial" w:cs="Arial"/>
          <w:sz w:val="22"/>
        </w:rPr>
        <w:t xml:space="preserve">, sin perjuicio del estudio económico que pueda hacer la Agencia Nacional de Contratación Pública al impacto negativo que sufra el mercado de obras de infraestructura, para extender esta medida más allá de la declaratoria de la </w:t>
      </w:r>
      <w:bookmarkEnd w:id="3"/>
      <w:r w:rsidR="004C6DD0">
        <w:rPr>
          <w:rFonts w:ascii="Arial" w:eastAsia="Calibri" w:hAnsi="Arial" w:cs="Arial"/>
          <w:sz w:val="22"/>
        </w:rPr>
        <w:t>emergencia</w:t>
      </w:r>
      <w:r w:rsidRPr="006E52A9">
        <w:rPr>
          <w:rFonts w:ascii="Arial" w:eastAsia="Calibri" w:hAnsi="Arial" w:cs="Arial"/>
          <w:sz w:val="22"/>
        </w:rPr>
        <w:t xml:space="preserve">. Esta resolución se expidió con motivo a la pandemia del Coronavirus que está enfrentando el país estos últimos meses, y por la restricción de los desplazamientos aéreos y terrestres, generándose así mayores costos y dificultades para </w:t>
      </w:r>
      <w:r>
        <w:rPr>
          <w:rFonts w:ascii="Arial" w:eastAsia="Calibri" w:hAnsi="Arial" w:cs="Arial"/>
          <w:sz w:val="22"/>
        </w:rPr>
        <w:t xml:space="preserve">las </w:t>
      </w:r>
      <w:r w:rsidRPr="006E52A9">
        <w:rPr>
          <w:rFonts w:ascii="Arial" w:eastAsia="Calibri" w:hAnsi="Arial" w:cs="Arial"/>
          <w:sz w:val="22"/>
        </w:rPr>
        <w:t>micro, pequeñas, medianas y grandes empresas de construcción de infraestructura. En este orden de ideas, las Entidades no podrán exigir</w:t>
      </w:r>
      <w:r w:rsidR="004C6DD0">
        <w:rPr>
          <w:rFonts w:ascii="Arial" w:eastAsia="Calibri" w:hAnsi="Arial" w:cs="Arial"/>
          <w:sz w:val="22"/>
        </w:rPr>
        <w:t xml:space="preserve"> </w:t>
      </w:r>
      <w:r w:rsidRPr="006E52A9">
        <w:rPr>
          <w:rFonts w:ascii="Arial" w:eastAsia="Calibri" w:hAnsi="Arial" w:cs="Arial"/>
          <w:sz w:val="22"/>
        </w:rPr>
        <w:t xml:space="preserve">visitas al sitio de la obra </w:t>
      </w:r>
      <w:r w:rsidR="004C6DD0">
        <w:rPr>
          <w:rFonts w:ascii="Arial" w:eastAsia="Calibri" w:hAnsi="Arial" w:cs="Arial"/>
          <w:sz w:val="22"/>
        </w:rPr>
        <w:t>durante la suspensión</w:t>
      </w:r>
      <w:r w:rsidRPr="006E52A9">
        <w:rPr>
          <w:rFonts w:ascii="Arial" w:eastAsia="Calibri" w:hAnsi="Arial" w:cs="Arial"/>
          <w:sz w:val="22"/>
        </w:rPr>
        <w:t xml:space="preserve">. </w:t>
      </w:r>
      <w:r>
        <w:rPr>
          <w:rFonts w:ascii="Arial" w:eastAsia="Calibri" w:hAnsi="Arial" w:cs="Arial"/>
          <w:sz w:val="22"/>
        </w:rPr>
        <w:t xml:space="preserve"> </w:t>
      </w:r>
    </w:p>
    <w:p w14:paraId="3A742E6F" w14:textId="77777777" w:rsidR="00914C81" w:rsidRPr="00250FBA" w:rsidRDefault="00914C81" w:rsidP="00914C81">
      <w:pPr>
        <w:spacing w:line="276" w:lineRule="auto"/>
        <w:jc w:val="both"/>
        <w:rPr>
          <w:rFonts w:ascii="Arial" w:eastAsia="Calibri" w:hAnsi="Arial" w:cs="Arial"/>
          <w:bCs/>
          <w:color w:val="000000" w:themeColor="text1"/>
          <w:sz w:val="22"/>
        </w:rPr>
      </w:pPr>
    </w:p>
    <w:p w14:paraId="16263790" w14:textId="77777777" w:rsidR="00914C81" w:rsidRPr="00021C75" w:rsidRDefault="00914C81" w:rsidP="00914C81">
      <w:pPr>
        <w:pStyle w:val="Prrafodelista"/>
        <w:numPr>
          <w:ilvl w:val="0"/>
          <w:numId w:val="1"/>
        </w:numPr>
        <w:tabs>
          <w:tab w:val="left" w:pos="284"/>
        </w:tabs>
        <w:spacing w:line="276" w:lineRule="auto"/>
        <w:ind w:left="0" w:firstLine="0"/>
        <w:jc w:val="both"/>
        <w:rPr>
          <w:rFonts w:ascii="Arial" w:eastAsia="Calibri" w:hAnsi="Arial" w:cs="Arial"/>
          <w:color w:val="000000" w:themeColor="text1"/>
          <w:sz w:val="22"/>
        </w:rPr>
      </w:pPr>
      <w:r w:rsidRPr="00021C75">
        <w:rPr>
          <w:rFonts w:ascii="Arial" w:eastAsia="Calibri" w:hAnsi="Arial" w:cs="Arial"/>
          <w:b/>
          <w:color w:val="000000" w:themeColor="text1"/>
          <w:sz w:val="22"/>
        </w:rPr>
        <w:t>Respuestas</w:t>
      </w:r>
    </w:p>
    <w:p w14:paraId="532E3D9E" w14:textId="77777777" w:rsidR="00914C81" w:rsidRPr="00250FBA" w:rsidRDefault="00914C81" w:rsidP="00914C81">
      <w:pPr>
        <w:spacing w:line="276" w:lineRule="auto"/>
        <w:ind w:right="709"/>
        <w:jc w:val="both"/>
        <w:rPr>
          <w:rFonts w:ascii="Arial" w:eastAsia="Calibri" w:hAnsi="Arial" w:cs="Arial"/>
          <w:iCs/>
          <w:color w:val="000000" w:themeColor="text1"/>
          <w:sz w:val="22"/>
        </w:rPr>
      </w:pPr>
    </w:p>
    <w:p w14:paraId="2FFEB9FB" w14:textId="4B8CAC2A" w:rsidR="000B579A" w:rsidRDefault="000B579A">
      <w:pPr>
        <w:tabs>
          <w:tab w:val="left" w:pos="426"/>
        </w:tabs>
        <w:ind w:left="709" w:right="709"/>
        <w:jc w:val="both"/>
        <w:rPr>
          <w:rFonts w:ascii="Arial" w:eastAsia="Calibri" w:hAnsi="Arial" w:cs="Arial"/>
          <w:color w:val="000000" w:themeColor="text1"/>
          <w:sz w:val="21"/>
          <w:szCs w:val="21"/>
        </w:rPr>
      </w:pPr>
      <w:r w:rsidRPr="00021C75">
        <w:rPr>
          <w:rFonts w:ascii="Arial" w:eastAsia="Calibri" w:hAnsi="Arial" w:cs="Arial"/>
          <w:color w:val="000000" w:themeColor="text1"/>
          <w:sz w:val="21"/>
          <w:szCs w:val="21"/>
        </w:rPr>
        <w:t>«</w:t>
      </w:r>
      <w:r w:rsidRPr="00A1171D">
        <w:rPr>
          <w:rFonts w:ascii="Arial" w:eastAsia="Calibri" w:hAnsi="Arial" w:cs="Arial"/>
          <w:color w:val="000000" w:themeColor="text1"/>
          <w:sz w:val="21"/>
          <w:szCs w:val="21"/>
        </w:rPr>
        <w:t>1. LA VISITA AL SITIO DE LA OBRA, QUE FACULTA LA VERSIÓN 2 DEL DOCUMENTO TIPO, LA ENTIDAD ESTATAL PUEDE DARLE CARACTER DE OBLIGATORIO CUMPLIMIENTO POR PARTE DEL OFERENTE QUE PRESENTA PROPUESTA? 2. PUEDE LA ENTIDAD ESTATAL, CATALOGAR LA NO VISITA REALIZADA COMO CAU</w:t>
      </w:r>
      <w:r>
        <w:rPr>
          <w:rFonts w:ascii="Arial" w:eastAsia="Calibri" w:hAnsi="Arial" w:cs="Arial"/>
          <w:color w:val="000000" w:themeColor="text1"/>
          <w:sz w:val="21"/>
          <w:szCs w:val="21"/>
        </w:rPr>
        <w:t>SAL DE RECHAZO DE LA PROPUESTA?»</w:t>
      </w:r>
      <w:r w:rsidR="003508BB">
        <w:rPr>
          <w:rFonts w:ascii="Arial" w:eastAsia="Calibri" w:hAnsi="Arial" w:cs="Arial"/>
          <w:color w:val="000000" w:themeColor="text1"/>
          <w:sz w:val="21"/>
          <w:szCs w:val="21"/>
        </w:rPr>
        <w:t>.</w:t>
      </w:r>
    </w:p>
    <w:p w14:paraId="5A319505" w14:textId="77777777" w:rsidR="000B579A" w:rsidRDefault="000B579A" w:rsidP="000B579A">
      <w:pPr>
        <w:tabs>
          <w:tab w:val="left" w:pos="426"/>
        </w:tabs>
        <w:ind w:left="709" w:right="709"/>
        <w:jc w:val="both"/>
        <w:rPr>
          <w:rFonts w:ascii="Arial" w:eastAsia="Calibri" w:hAnsi="Arial" w:cs="Arial"/>
          <w:color w:val="000000" w:themeColor="text1"/>
          <w:sz w:val="21"/>
          <w:szCs w:val="21"/>
        </w:rPr>
      </w:pPr>
    </w:p>
    <w:p w14:paraId="3B2EBB8E" w14:textId="35E02C28" w:rsidR="000B579A" w:rsidRPr="000B579A" w:rsidRDefault="000B579A" w:rsidP="000B579A">
      <w:pPr>
        <w:spacing w:line="276" w:lineRule="auto"/>
        <w:jc w:val="both"/>
        <w:rPr>
          <w:rFonts w:ascii="Arial" w:eastAsia="Calibri" w:hAnsi="Arial" w:cs="Arial"/>
          <w:color w:val="000000" w:themeColor="text1"/>
          <w:sz w:val="21"/>
          <w:szCs w:val="21"/>
          <w:lang w:val="es-ES"/>
        </w:rPr>
      </w:pPr>
      <w:r w:rsidRPr="00021C75">
        <w:rPr>
          <w:rFonts w:ascii="Arial" w:eastAsia="Calibri" w:hAnsi="Arial" w:cs="Arial"/>
          <w:color w:val="000000" w:themeColor="text1"/>
          <w:sz w:val="22"/>
        </w:rPr>
        <w:t xml:space="preserve">De acuerdo con el </w:t>
      </w:r>
      <w:r w:rsidR="004C6DD0" w:rsidRPr="00021C75">
        <w:rPr>
          <w:rFonts w:ascii="Arial" w:eastAsia="Calibri" w:hAnsi="Arial" w:cs="Arial"/>
          <w:color w:val="000000" w:themeColor="text1"/>
          <w:sz w:val="22"/>
        </w:rPr>
        <w:t>documento base</w:t>
      </w:r>
      <w:r w:rsidRPr="00021C75">
        <w:rPr>
          <w:rFonts w:ascii="Arial" w:eastAsia="Calibri" w:hAnsi="Arial" w:cs="Arial"/>
          <w:color w:val="000000" w:themeColor="text1"/>
          <w:sz w:val="22"/>
        </w:rPr>
        <w:t xml:space="preserve"> para obras de infraestructura de transporte implementado por la</w:t>
      </w:r>
      <w:r>
        <w:rPr>
          <w:rFonts w:ascii="Arial" w:eastAsia="Calibri" w:hAnsi="Arial" w:cs="Arial"/>
          <w:color w:val="000000" w:themeColor="text1"/>
          <w:sz w:val="22"/>
        </w:rPr>
        <w:t>s Resolucio</w:t>
      </w:r>
      <w:r w:rsidRPr="00021C75">
        <w:rPr>
          <w:rFonts w:ascii="Arial" w:eastAsia="Calibri" w:hAnsi="Arial" w:cs="Arial"/>
          <w:color w:val="000000" w:themeColor="text1"/>
          <w:sz w:val="22"/>
        </w:rPr>
        <w:t>n</w:t>
      </w:r>
      <w:r>
        <w:rPr>
          <w:rFonts w:ascii="Arial" w:eastAsia="Calibri" w:hAnsi="Arial" w:cs="Arial"/>
          <w:color w:val="000000" w:themeColor="text1"/>
          <w:sz w:val="22"/>
        </w:rPr>
        <w:t>es</w:t>
      </w:r>
      <w:r w:rsidRPr="00021C75">
        <w:rPr>
          <w:rFonts w:ascii="Arial" w:eastAsia="Calibri" w:hAnsi="Arial" w:cs="Arial"/>
          <w:color w:val="000000" w:themeColor="text1"/>
          <w:sz w:val="22"/>
        </w:rPr>
        <w:t xml:space="preserve"> </w:t>
      </w:r>
      <w:r w:rsidR="004C6DD0">
        <w:rPr>
          <w:rFonts w:ascii="Arial" w:eastAsia="Calibri" w:hAnsi="Arial" w:cs="Arial"/>
          <w:color w:val="000000" w:themeColor="text1"/>
          <w:sz w:val="22"/>
        </w:rPr>
        <w:t xml:space="preserve">No. </w:t>
      </w:r>
      <w:r>
        <w:rPr>
          <w:rFonts w:ascii="Arial" w:eastAsia="Calibri" w:hAnsi="Arial" w:cs="Arial"/>
          <w:color w:val="000000" w:themeColor="text1"/>
          <w:sz w:val="22"/>
        </w:rPr>
        <w:t xml:space="preserve">044 y </w:t>
      </w:r>
      <w:r w:rsidRPr="00021C75">
        <w:rPr>
          <w:rFonts w:ascii="Arial" w:eastAsia="Calibri" w:hAnsi="Arial" w:cs="Arial"/>
          <w:color w:val="000000" w:themeColor="text1"/>
          <w:sz w:val="22"/>
        </w:rPr>
        <w:t xml:space="preserve">045 de 2020, las entidades estatales en los procesos de contratación que tengan por objeto esa clase de obras están facultadas para establecer la realización de la visita al sitio de la obra, así como la obligatoriedad de la asistencia a la misma, siempre </w:t>
      </w:r>
      <w:r w:rsidR="00EB2033">
        <w:rPr>
          <w:rFonts w:ascii="Arial" w:eastAsia="Calibri" w:hAnsi="Arial" w:cs="Arial"/>
          <w:color w:val="000000" w:themeColor="text1"/>
          <w:sz w:val="22"/>
        </w:rPr>
        <w:t>que</w:t>
      </w:r>
      <w:r w:rsidRPr="00021C75">
        <w:rPr>
          <w:rFonts w:ascii="Arial" w:eastAsia="Calibri" w:hAnsi="Arial" w:cs="Arial"/>
          <w:color w:val="000000" w:themeColor="text1"/>
          <w:sz w:val="22"/>
        </w:rPr>
        <w:t xml:space="preserve"> se cumpla</w:t>
      </w:r>
      <w:r w:rsidR="00EB2033">
        <w:rPr>
          <w:rFonts w:ascii="Arial" w:eastAsia="Calibri" w:hAnsi="Arial" w:cs="Arial"/>
          <w:color w:val="000000" w:themeColor="text1"/>
          <w:sz w:val="22"/>
        </w:rPr>
        <w:t>n</w:t>
      </w:r>
      <w:r w:rsidRPr="00021C75">
        <w:rPr>
          <w:rFonts w:ascii="Arial" w:eastAsia="Calibri" w:hAnsi="Arial" w:cs="Arial"/>
          <w:color w:val="000000" w:themeColor="text1"/>
          <w:sz w:val="22"/>
        </w:rPr>
        <w:t xml:space="preserve"> los requisitos expuestos en el acápite de consideraciones de este </w:t>
      </w:r>
      <w:r w:rsidR="00EB2033">
        <w:rPr>
          <w:rFonts w:ascii="Arial" w:eastAsia="Calibri" w:hAnsi="Arial" w:cs="Arial"/>
          <w:color w:val="000000" w:themeColor="text1"/>
          <w:sz w:val="22"/>
        </w:rPr>
        <w:t>concepto</w:t>
      </w:r>
      <w:r w:rsidRPr="00021C75">
        <w:rPr>
          <w:rFonts w:ascii="Arial" w:eastAsia="Calibri" w:hAnsi="Arial" w:cs="Arial"/>
          <w:color w:val="000000" w:themeColor="text1"/>
          <w:sz w:val="22"/>
        </w:rPr>
        <w:t>.</w:t>
      </w:r>
      <w:r>
        <w:rPr>
          <w:rFonts w:ascii="Arial" w:eastAsia="Calibri" w:hAnsi="Arial" w:cs="Arial"/>
          <w:color w:val="000000" w:themeColor="text1"/>
          <w:sz w:val="22"/>
        </w:rPr>
        <w:t xml:space="preserve"> Por tanto, solo en los casos que la entidad haya establecido la obligatoriedad de la visita al sitio de la obra</w:t>
      </w:r>
      <w:r w:rsidR="00EB2033">
        <w:rPr>
          <w:rFonts w:ascii="Arial" w:eastAsia="Calibri" w:hAnsi="Arial" w:cs="Arial"/>
          <w:color w:val="000000" w:themeColor="text1"/>
          <w:sz w:val="22"/>
        </w:rPr>
        <w:t>,</w:t>
      </w:r>
      <w:r>
        <w:rPr>
          <w:rFonts w:ascii="Arial" w:eastAsia="Calibri" w:hAnsi="Arial" w:cs="Arial"/>
          <w:color w:val="000000" w:themeColor="text1"/>
          <w:sz w:val="22"/>
        </w:rPr>
        <w:t xml:space="preserve"> el proponente que no asista puede incurrir en la causal de rechazo contemplada en el</w:t>
      </w:r>
      <w:r w:rsidR="00EB2033">
        <w:rPr>
          <w:rFonts w:ascii="Arial" w:eastAsia="Calibri" w:hAnsi="Arial" w:cs="Arial"/>
          <w:color w:val="000000" w:themeColor="text1"/>
          <w:sz w:val="22"/>
        </w:rPr>
        <w:t xml:space="preserve"> numeral 1.15,</w:t>
      </w:r>
      <w:r>
        <w:rPr>
          <w:rFonts w:ascii="Arial" w:eastAsia="Calibri" w:hAnsi="Arial" w:cs="Arial"/>
          <w:color w:val="000000" w:themeColor="text1"/>
          <w:sz w:val="22"/>
        </w:rPr>
        <w:t xml:space="preserve"> literal w)</w:t>
      </w:r>
      <w:r w:rsidR="00EB2033">
        <w:rPr>
          <w:rFonts w:ascii="Arial" w:eastAsia="Calibri" w:hAnsi="Arial" w:cs="Arial"/>
          <w:color w:val="000000" w:themeColor="text1"/>
          <w:sz w:val="22"/>
        </w:rPr>
        <w:t>,</w:t>
      </w:r>
      <w:r>
        <w:rPr>
          <w:rFonts w:ascii="Arial" w:eastAsia="Calibri" w:hAnsi="Arial" w:cs="Arial"/>
          <w:color w:val="000000" w:themeColor="text1"/>
          <w:sz w:val="22"/>
        </w:rPr>
        <w:t xml:space="preserve"> </w:t>
      </w:r>
      <w:r w:rsidR="00EB2033">
        <w:rPr>
          <w:rFonts w:ascii="Arial" w:hAnsi="Arial" w:cs="Arial"/>
          <w:color w:val="000000" w:themeColor="text1"/>
          <w:sz w:val="22"/>
          <w:lang w:val="es-ES"/>
        </w:rPr>
        <w:t>de los pliegos tipo de licitación y selección abreviada</w:t>
      </w:r>
      <w:r>
        <w:rPr>
          <w:rFonts w:ascii="Arial" w:hAnsi="Arial" w:cs="Arial"/>
          <w:color w:val="000000" w:themeColor="text1"/>
          <w:sz w:val="22"/>
          <w:lang w:val="es-ES"/>
        </w:rPr>
        <w:t>.</w:t>
      </w:r>
    </w:p>
    <w:p w14:paraId="0ADE0F28" w14:textId="77777777" w:rsidR="000B579A" w:rsidRDefault="000B579A" w:rsidP="000B579A">
      <w:pPr>
        <w:tabs>
          <w:tab w:val="left" w:pos="426"/>
        </w:tabs>
        <w:ind w:left="709" w:right="709"/>
        <w:jc w:val="both"/>
        <w:rPr>
          <w:rFonts w:ascii="Arial" w:eastAsia="Calibri" w:hAnsi="Arial" w:cs="Arial"/>
          <w:color w:val="000000" w:themeColor="text1"/>
          <w:sz w:val="21"/>
          <w:szCs w:val="21"/>
        </w:rPr>
      </w:pPr>
    </w:p>
    <w:p w14:paraId="69F8CF76" w14:textId="740AC77B" w:rsidR="004C6DD0" w:rsidRDefault="000B579A" w:rsidP="004C6DD0">
      <w:pPr>
        <w:tabs>
          <w:tab w:val="left" w:pos="426"/>
        </w:tabs>
        <w:ind w:left="709" w:right="709"/>
        <w:jc w:val="both"/>
        <w:rPr>
          <w:rFonts w:ascii="Arial" w:eastAsia="Calibri" w:hAnsi="Arial" w:cs="Arial"/>
          <w:bCs/>
          <w:sz w:val="22"/>
          <w:lang w:val="es-ES_tradnl"/>
        </w:rPr>
      </w:pPr>
      <w:r>
        <w:rPr>
          <w:rFonts w:ascii="Arial" w:eastAsia="Calibri" w:hAnsi="Arial" w:cs="Arial"/>
          <w:color w:val="000000" w:themeColor="text1"/>
          <w:sz w:val="21"/>
          <w:szCs w:val="21"/>
        </w:rPr>
        <w:t>«</w:t>
      </w:r>
      <w:r w:rsidRPr="00A1171D">
        <w:rPr>
          <w:rFonts w:ascii="Arial" w:eastAsia="Calibri" w:hAnsi="Arial" w:cs="Arial"/>
          <w:color w:val="000000" w:themeColor="text1"/>
          <w:sz w:val="21"/>
          <w:szCs w:val="21"/>
        </w:rPr>
        <w:t xml:space="preserve">3. EN CASO DE HABER UNA RESPUESTA AFIRMATIVA DE ALGÚN NUMERAL ANTERIOR (1 O 2), NO HAY UNA CONTRADICCION AL DOCUMENTO RESPUESTA A CONSULTA #416130000218, CUYO RADICADO ES EL No. 216130000746 DEL 29/02/2016, QUE EL SUBDIRECTOR DE GESTION CONTRACTUAL, DE LA AGENCIA NACIONAL DE CONTRATACIÓN PUBLICA EMITIÓ? TENIENDO EN CUENTA QUE LA NORMATIVA EN QUE BASO SUS RESPUESTA NO HA SIDO OBJETO </w:t>
      </w:r>
      <w:r>
        <w:rPr>
          <w:rFonts w:ascii="Arial" w:eastAsia="Calibri" w:hAnsi="Arial" w:cs="Arial"/>
          <w:color w:val="000000" w:themeColor="text1"/>
          <w:sz w:val="21"/>
          <w:szCs w:val="21"/>
        </w:rPr>
        <w:t>DE MODIFICACIÓN O DE DEROGACIÓN</w:t>
      </w:r>
      <w:r w:rsidRPr="00021C75">
        <w:rPr>
          <w:rFonts w:ascii="Arial" w:eastAsia="Calibri" w:hAnsi="Arial" w:cs="Arial"/>
          <w:color w:val="000000" w:themeColor="text1"/>
          <w:sz w:val="21"/>
          <w:szCs w:val="21"/>
        </w:rPr>
        <w:t>»</w:t>
      </w:r>
      <w:r w:rsidR="003508BB">
        <w:rPr>
          <w:rFonts w:ascii="Arial" w:eastAsia="Calibri" w:hAnsi="Arial" w:cs="Arial"/>
          <w:color w:val="000000" w:themeColor="text1"/>
          <w:sz w:val="21"/>
          <w:szCs w:val="21"/>
        </w:rPr>
        <w:t>.</w:t>
      </w:r>
      <w:bookmarkStart w:id="4" w:name="_Hlk42100007"/>
    </w:p>
    <w:p w14:paraId="56577800" w14:textId="77777777" w:rsidR="004C6DD0" w:rsidRDefault="004C6DD0" w:rsidP="004C6DD0">
      <w:pPr>
        <w:tabs>
          <w:tab w:val="left" w:pos="426"/>
        </w:tabs>
        <w:ind w:left="709" w:right="709"/>
        <w:jc w:val="both"/>
        <w:rPr>
          <w:rFonts w:ascii="Arial" w:eastAsia="Calibri" w:hAnsi="Arial" w:cs="Arial"/>
          <w:bCs/>
          <w:sz w:val="22"/>
          <w:lang w:val="es-ES_tradnl"/>
        </w:rPr>
      </w:pPr>
    </w:p>
    <w:p w14:paraId="5FF5E350" w14:textId="093BCDEB" w:rsidR="00416D13" w:rsidRPr="004C6DD0" w:rsidRDefault="00416D13" w:rsidP="00250FBA">
      <w:pPr>
        <w:tabs>
          <w:tab w:val="left" w:pos="426"/>
        </w:tabs>
        <w:spacing w:line="276" w:lineRule="auto"/>
        <w:jc w:val="both"/>
        <w:rPr>
          <w:rFonts w:ascii="Arial" w:eastAsia="Calibri" w:hAnsi="Arial" w:cs="Arial"/>
          <w:bCs/>
          <w:sz w:val="22"/>
          <w:lang w:val="es-ES_tradnl"/>
        </w:rPr>
      </w:pPr>
      <w:r w:rsidRPr="004C6DD0">
        <w:rPr>
          <w:rFonts w:ascii="Arial" w:eastAsia="Calibri" w:hAnsi="Arial" w:cs="Arial"/>
          <w:bCs/>
          <w:sz w:val="22"/>
          <w:lang w:val="es-ES_tradnl"/>
        </w:rPr>
        <w:lastRenderedPageBreak/>
        <w:t xml:space="preserve">Los conceptos emitidos por Colombia Compra Eficiente no son actos administrativos y no tienen efectos vinculantes en relación con una situación jurídica particular y concreta, y exponen un criterio que, aunque jurídicamente fundamentado, no representan la única interpretación válida del ordenamiento jurídico. </w:t>
      </w:r>
      <w:bookmarkEnd w:id="4"/>
    </w:p>
    <w:p w14:paraId="771E6247" w14:textId="434931F9" w:rsidR="00416D13" w:rsidRDefault="00416D13" w:rsidP="00416D13">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t xml:space="preserve">Lo anterior no implica que la Agencia Nacional de Contratación Pública – Colombia Compra Eficiente considere inalterables sus posturas, pues, de ser necesario, podría replantear una tesis previamente expuesta, bajo estrictos estándares argumentativos, al emitir otro concepto, ya que dada su falta de vinculatoriedad, la legitimación de sus posturas proviene de la fuerza de los argumentos, de manera que </w:t>
      </w:r>
      <w:r w:rsidR="000F4F9A">
        <w:rPr>
          <w:rFonts w:ascii="Arial" w:eastAsia="Calibri" w:hAnsi="Arial" w:cs="Arial"/>
          <w:bCs/>
          <w:sz w:val="22"/>
          <w:lang w:val="es-ES_tradnl"/>
        </w:rPr>
        <w:t>–</w:t>
      </w:r>
      <w:r>
        <w:rPr>
          <w:rFonts w:ascii="Arial" w:eastAsia="Calibri" w:hAnsi="Arial" w:cs="Arial"/>
          <w:bCs/>
          <w:sz w:val="22"/>
          <w:lang w:val="es-ES_tradnl"/>
        </w:rPr>
        <w:t xml:space="preserve">como se señaló en los  las razones </w:t>
      </w:r>
      <w:r w:rsidR="00786F49">
        <w:rPr>
          <w:rFonts w:ascii="Arial" w:eastAsia="Calibri" w:hAnsi="Arial" w:cs="Arial"/>
          <w:bCs/>
          <w:sz w:val="22"/>
          <w:lang w:val="es-ES_tradnl"/>
        </w:rPr>
        <w:t>expuestas</w:t>
      </w:r>
      <w:r w:rsidR="000F4F9A">
        <w:rPr>
          <w:rFonts w:ascii="Arial" w:eastAsia="Calibri" w:hAnsi="Arial" w:cs="Arial"/>
          <w:bCs/>
          <w:sz w:val="22"/>
          <w:lang w:val="es-ES_tradnl"/>
        </w:rPr>
        <w:t>–</w:t>
      </w:r>
      <w:r w:rsidR="00786F49">
        <w:rPr>
          <w:rFonts w:ascii="Arial" w:eastAsia="Calibri" w:hAnsi="Arial" w:cs="Arial"/>
          <w:bCs/>
          <w:sz w:val="22"/>
          <w:lang w:val="es-ES_tradnl"/>
        </w:rPr>
        <w:t xml:space="preserve"> la </w:t>
      </w:r>
      <w:r>
        <w:rPr>
          <w:rFonts w:ascii="Arial" w:eastAsia="Calibri" w:hAnsi="Arial" w:cs="Arial"/>
          <w:bCs/>
          <w:sz w:val="22"/>
          <w:lang w:val="es-ES_tradnl"/>
        </w:rPr>
        <w:t>Agencia modificó su postura en relación con conceptos anteriores.</w:t>
      </w:r>
    </w:p>
    <w:p w14:paraId="63AD4569" w14:textId="77777777" w:rsidR="00E2668F" w:rsidRDefault="00E2668F" w:rsidP="00250FBA">
      <w:pPr>
        <w:spacing w:before="120" w:line="276" w:lineRule="auto"/>
        <w:jc w:val="both"/>
        <w:rPr>
          <w:rFonts w:ascii="Arial" w:eastAsia="Calibri" w:hAnsi="Arial" w:cs="Arial"/>
          <w:color w:val="000000" w:themeColor="text1"/>
          <w:sz w:val="22"/>
        </w:rPr>
      </w:pPr>
    </w:p>
    <w:p w14:paraId="094CC4A9" w14:textId="77777777" w:rsidR="00914C81" w:rsidRPr="00021C75" w:rsidRDefault="00914C81" w:rsidP="00250FBA">
      <w:pPr>
        <w:spacing w:after="120" w:line="276" w:lineRule="auto"/>
        <w:jc w:val="both"/>
        <w:rPr>
          <w:rFonts w:ascii="Arial" w:eastAsia="Calibri" w:hAnsi="Arial" w:cs="Arial"/>
          <w:color w:val="000000" w:themeColor="text1"/>
          <w:sz w:val="22"/>
        </w:rPr>
      </w:pPr>
      <w:r w:rsidRPr="00021C75">
        <w:rPr>
          <w:rFonts w:ascii="Arial" w:eastAsia="Calibri" w:hAnsi="Arial" w:cs="Arial"/>
          <w:color w:val="000000" w:themeColor="text1"/>
          <w:sz w:val="22"/>
        </w:rPr>
        <w:t>Este concepto tiene el alcance previsto en el artículo 28 del Código de Procedimiento Administrativo y de lo Contencioso Administrativo.</w:t>
      </w:r>
    </w:p>
    <w:p w14:paraId="61213001" w14:textId="77777777" w:rsidR="00914C81" w:rsidRPr="00250FBA" w:rsidRDefault="00914C81" w:rsidP="00914C81">
      <w:pPr>
        <w:spacing w:line="276" w:lineRule="auto"/>
        <w:jc w:val="both"/>
        <w:rPr>
          <w:rFonts w:ascii="Arial" w:eastAsia="Calibri" w:hAnsi="Arial" w:cs="Arial"/>
          <w:color w:val="000000" w:themeColor="text1"/>
          <w:sz w:val="22"/>
        </w:rPr>
      </w:pPr>
    </w:p>
    <w:p w14:paraId="513B816F" w14:textId="77777777" w:rsidR="00914C81" w:rsidRDefault="00914C81" w:rsidP="00914C81">
      <w:pPr>
        <w:jc w:val="both"/>
        <w:rPr>
          <w:rFonts w:ascii="Arial" w:eastAsia="Times New Roman" w:hAnsi="Arial" w:cs="Arial"/>
          <w:color w:val="000000" w:themeColor="text1"/>
          <w:sz w:val="22"/>
          <w:lang w:eastAsia="es-CO"/>
        </w:rPr>
      </w:pPr>
      <w:r w:rsidRPr="00021C75">
        <w:rPr>
          <w:noProof/>
          <w:color w:val="000000" w:themeColor="text1"/>
          <w:lang w:val="es-CO" w:eastAsia="es-CO"/>
        </w:rPr>
        <mc:AlternateContent>
          <mc:Choice Requires="wps">
            <w:drawing>
              <wp:anchor distT="0" distB="0" distL="114300" distR="114300" simplePos="0" relativeHeight="251659264" behindDoc="0" locked="0" layoutInCell="1" allowOverlap="1" wp14:anchorId="1F9F9588" wp14:editId="48383D26">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0F2752"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r w:rsidRPr="00021C75">
        <w:rPr>
          <w:rFonts w:ascii="Arial" w:eastAsia="Times New Roman" w:hAnsi="Arial" w:cs="Arial"/>
          <w:color w:val="000000" w:themeColor="text1"/>
          <w:sz w:val="22"/>
          <w:lang w:eastAsia="es-CO"/>
        </w:rPr>
        <w:t>Atentamente,</w:t>
      </w:r>
    </w:p>
    <w:p w14:paraId="72E16ED1" w14:textId="3C9AF0ED" w:rsidR="00E2668F" w:rsidRPr="00021C75" w:rsidRDefault="00F75B44" w:rsidP="00E2668F">
      <w:pPr>
        <w:jc w:val="center"/>
        <w:rPr>
          <w:rFonts w:ascii="Arial" w:eastAsia="Times New Roman" w:hAnsi="Arial" w:cs="Arial"/>
          <w:color w:val="000000" w:themeColor="text1"/>
          <w:sz w:val="22"/>
          <w:lang w:eastAsia="es-CO"/>
        </w:rPr>
      </w:pPr>
      <w:r w:rsidRPr="00F75B44">
        <w:rPr>
          <w:rFonts w:ascii="Arial" w:eastAsia="Times New Roman" w:hAnsi="Arial" w:cs="Arial"/>
          <w:noProof/>
          <w:color w:val="000000" w:themeColor="text1"/>
          <w:sz w:val="22"/>
          <w:lang w:val="es-CO" w:eastAsia="es-CO"/>
        </w:rPr>
        <w:drawing>
          <wp:inline distT="0" distB="0" distL="0" distR="0" wp14:anchorId="254A3251" wp14:editId="06285954">
            <wp:extent cx="2194560" cy="914400"/>
            <wp:effectExtent l="0" t="0" r="0" b="0"/>
            <wp:docPr id="1" name="Imagen 1" descr="C:\Users\Andres\Desktop\CCE\Original firmado Manci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esktop\CCE\Original firmado Mancip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a:ln>
                      <a:noFill/>
                    </a:ln>
                  </pic:spPr>
                </pic:pic>
              </a:graphicData>
            </a:graphic>
          </wp:inline>
        </w:drawing>
      </w:r>
      <w:bookmarkStart w:id="5" w:name="_GoBack"/>
      <w:bookmarkEnd w:id="5"/>
    </w:p>
    <w:p w14:paraId="3D6B1B54" w14:textId="77777777" w:rsidR="00914C81" w:rsidRPr="00021C75" w:rsidRDefault="00914C81" w:rsidP="00250FBA">
      <w:pPr>
        <w:rPr>
          <w:rFonts w:ascii="Arial" w:eastAsia="Times New Roman" w:hAnsi="Arial" w:cs="Arial"/>
          <w:color w:val="000000" w:themeColor="text1"/>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14C81" w:rsidRPr="00021C75" w14:paraId="4026A15B" w14:textId="77777777" w:rsidTr="00A5539C">
        <w:trPr>
          <w:trHeight w:val="315"/>
        </w:trPr>
        <w:tc>
          <w:tcPr>
            <w:tcW w:w="812" w:type="dxa"/>
            <w:vAlign w:val="center"/>
            <w:hideMark/>
          </w:tcPr>
          <w:p w14:paraId="510433E4" w14:textId="77777777" w:rsidR="00914C81" w:rsidRPr="00021C75" w:rsidRDefault="00914C81" w:rsidP="00A5539C">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9478B85" w14:textId="77777777" w:rsidR="00914C81" w:rsidRPr="00021C75" w:rsidRDefault="00914C81" w:rsidP="00A5539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Nathalia Urrego Jiménez</w:t>
            </w:r>
          </w:p>
          <w:p w14:paraId="38C0310D" w14:textId="6A0EE683" w:rsidR="00914C81" w:rsidRPr="00021C75" w:rsidRDefault="00914C81" w:rsidP="00A5539C">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 xml:space="preserve">Contratista </w:t>
            </w:r>
            <w:r w:rsidR="004C7F4D">
              <w:rPr>
                <w:rFonts w:ascii="Arial" w:eastAsia="Times New Roman" w:hAnsi="Arial" w:cs="Arial"/>
                <w:color w:val="000000" w:themeColor="text1"/>
                <w:sz w:val="16"/>
                <w:szCs w:val="16"/>
                <w:lang w:eastAsia="es-ES"/>
              </w:rPr>
              <w:t>de la</w:t>
            </w:r>
            <w:r w:rsidRPr="00021C75">
              <w:rPr>
                <w:rFonts w:ascii="Arial" w:eastAsia="Times New Roman" w:hAnsi="Arial" w:cs="Arial"/>
                <w:color w:val="000000" w:themeColor="text1"/>
                <w:sz w:val="16"/>
                <w:szCs w:val="16"/>
                <w:lang w:eastAsia="es-ES"/>
              </w:rPr>
              <w:t xml:space="preserve"> Subdirección de Gestión Contractual</w:t>
            </w:r>
          </w:p>
        </w:tc>
      </w:tr>
      <w:tr w:rsidR="00914C81" w:rsidRPr="00021C75" w14:paraId="32F81BA3" w14:textId="77777777" w:rsidTr="00A5539C">
        <w:trPr>
          <w:trHeight w:val="330"/>
        </w:trPr>
        <w:tc>
          <w:tcPr>
            <w:tcW w:w="812" w:type="dxa"/>
            <w:vAlign w:val="center"/>
            <w:hideMark/>
          </w:tcPr>
          <w:p w14:paraId="2508ED89" w14:textId="77777777" w:rsidR="00914C81" w:rsidRPr="00021C75" w:rsidRDefault="00914C81" w:rsidP="00A5539C">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28D7390" w14:textId="58AE0D40" w:rsidR="00914C81" w:rsidRPr="00021C75" w:rsidRDefault="004C7F4D" w:rsidP="00A5539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7975080" w14:textId="283F2C0A" w:rsidR="00914C81" w:rsidRPr="00021C75" w:rsidRDefault="00914C81" w:rsidP="00A5539C">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 xml:space="preserve">Contratista </w:t>
            </w:r>
            <w:r w:rsidR="004C7F4D">
              <w:rPr>
                <w:rFonts w:ascii="Arial" w:eastAsia="Times New Roman" w:hAnsi="Arial" w:cs="Arial"/>
                <w:color w:val="000000" w:themeColor="text1"/>
                <w:sz w:val="16"/>
                <w:szCs w:val="16"/>
                <w:lang w:eastAsia="es-ES"/>
              </w:rPr>
              <w:t>de la</w:t>
            </w:r>
            <w:r w:rsidRPr="00021C75">
              <w:rPr>
                <w:rFonts w:ascii="Arial" w:eastAsia="Times New Roman" w:hAnsi="Arial" w:cs="Arial"/>
                <w:color w:val="000000" w:themeColor="text1"/>
                <w:sz w:val="16"/>
                <w:szCs w:val="16"/>
                <w:lang w:eastAsia="es-ES"/>
              </w:rPr>
              <w:t xml:space="preserve"> Subdirección de Gestión Contractual</w:t>
            </w:r>
          </w:p>
        </w:tc>
      </w:tr>
      <w:tr w:rsidR="00914C81" w:rsidRPr="00021C75" w14:paraId="10B312D6" w14:textId="77777777" w:rsidTr="00A5539C">
        <w:trPr>
          <w:trHeight w:val="300"/>
        </w:trPr>
        <w:tc>
          <w:tcPr>
            <w:tcW w:w="812" w:type="dxa"/>
            <w:vAlign w:val="center"/>
            <w:hideMark/>
          </w:tcPr>
          <w:p w14:paraId="73490D96" w14:textId="77777777" w:rsidR="00914C81" w:rsidRPr="00021C75" w:rsidRDefault="00914C81" w:rsidP="00A5539C">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9B175F" w14:textId="77777777" w:rsidR="00914C81" w:rsidRPr="00021C75" w:rsidRDefault="00914C81" w:rsidP="00A5539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Andrés Ricardo Mancipe González</w:t>
            </w:r>
          </w:p>
          <w:p w14:paraId="5CDC764B" w14:textId="77777777" w:rsidR="00914C81" w:rsidRPr="00021C75" w:rsidRDefault="00914C81" w:rsidP="00A5539C">
            <w:pPr>
              <w:rPr>
                <w:rFonts w:ascii="Arial" w:eastAsia="Times New Roman" w:hAnsi="Arial" w:cs="Arial"/>
                <w:color w:val="000000" w:themeColor="text1"/>
                <w:sz w:val="16"/>
                <w:szCs w:val="16"/>
                <w:lang w:eastAsia="es-ES"/>
              </w:rPr>
            </w:pPr>
            <w:r w:rsidRPr="00021C75">
              <w:rPr>
                <w:rFonts w:ascii="Arial" w:eastAsia="Times New Roman" w:hAnsi="Arial" w:cs="Arial"/>
                <w:color w:val="000000" w:themeColor="text1"/>
                <w:sz w:val="16"/>
                <w:szCs w:val="16"/>
                <w:lang w:eastAsia="es-ES"/>
              </w:rPr>
              <w:t>Subdirector de Gestión Contractual</w:t>
            </w:r>
            <w:r>
              <w:rPr>
                <w:rFonts w:ascii="Arial" w:eastAsia="Times New Roman" w:hAnsi="Arial" w:cs="Arial"/>
                <w:color w:val="000000" w:themeColor="text1"/>
                <w:sz w:val="16"/>
                <w:szCs w:val="16"/>
                <w:lang w:eastAsia="es-ES"/>
              </w:rPr>
              <w:t xml:space="preserve"> (E)</w:t>
            </w:r>
          </w:p>
        </w:tc>
      </w:tr>
    </w:tbl>
    <w:p w14:paraId="40E64B52" w14:textId="77777777" w:rsidR="00914C81" w:rsidRPr="00021C75" w:rsidRDefault="00914C81" w:rsidP="00914C81">
      <w:pPr>
        <w:jc w:val="both"/>
        <w:rPr>
          <w:rFonts w:ascii="Arial" w:eastAsia="Calibri" w:hAnsi="Arial" w:cs="Arial"/>
          <w:color w:val="000000" w:themeColor="text1"/>
          <w:sz w:val="22"/>
        </w:rPr>
      </w:pPr>
      <w:bookmarkStart w:id="6" w:name="_Hlk29890381"/>
      <w:bookmarkEnd w:id="6"/>
    </w:p>
    <w:p w14:paraId="5DE46FBD" w14:textId="77777777" w:rsidR="00A5539C" w:rsidRDefault="00A5539C"/>
    <w:sectPr w:rsidR="00A5539C" w:rsidSect="00A5539C">
      <w:headerReference w:type="default" r:id="rId9"/>
      <w:footerReference w:type="default" r:id="rId10"/>
      <w:pgSz w:w="12240" w:h="15840"/>
      <w:pgMar w:top="1779" w:right="1750" w:bottom="1276"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6D31" w16cex:dateUtc="2020-09-16T15:53:00Z"/>
  <w16cex:commentExtensible w16cex:durableId="230B61EC" w16cex:dateUtc="2020-09-15T20:53:00Z"/>
  <w16cex:commentExtensible w16cex:durableId="230B6240" w16cex:dateUtc="2020-09-15T20:54:00Z"/>
  <w16cex:commentExtensible w16cex:durableId="230B629D" w16cex:dateUtc="2020-09-15T20:56:00Z"/>
  <w16cex:commentExtensible w16cex:durableId="230B7DCA" w16cex:dateUtc="2020-09-15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9EAEF5" w16cid:durableId="230C6D31"/>
  <w16cid:commentId w16cid:paraId="3276D378" w16cid:durableId="230B61EC"/>
  <w16cid:commentId w16cid:paraId="00F7500B" w16cid:durableId="230B6240"/>
  <w16cid:commentId w16cid:paraId="66CDFAB7" w16cid:durableId="230B629D"/>
  <w16cid:commentId w16cid:paraId="0BB7C9B6" w16cid:durableId="230B7D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5AE01" w14:textId="77777777" w:rsidR="00931A36" w:rsidRDefault="00931A36" w:rsidP="00914C81">
      <w:r>
        <w:separator/>
      </w:r>
    </w:p>
  </w:endnote>
  <w:endnote w:type="continuationSeparator" w:id="0">
    <w:p w14:paraId="0E5BBE54" w14:textId="77777777" w:rsidR="00931A36" w:rsidRDefault="00931A36" w:rsidP="0091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75AB8" w14:textId="77777777" w:rsidR="00A5539C" w:rsidRPr="005A79FE" w:rsidRDefault="00A5539C" w:rsidP="00A5539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75B44">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75B44">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624031DD" w14:textId="77777777" w:rsidR="00A5539C" w:rsidRDefault="00A5539C" w:rsidP="00A5539C">
    <w:pPr>
      <w:pStyle w:val="Piedepgina"/>
      <w:jc w:val="center"/>
      <w:rPr>
        <w:lang w:val="es-ES"/>
      </w:rPr>
    </w:pPr>
    <w:r>
      <w:rPr>
        <w:noProof/>
        <w:lang w:val="es-CO" w:eastAsia="es-CO"/>
      </w:rPr>
      <w:drawing>
        <wp:inline distT="0" distB="0" distL="0" distR="0" wp14:anchorId="1F15A1C9" wp14:editId="1BEC5F3C">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53C5D036" w14:textId="77777777" w:rsidR="00A5539C" w:rsidRPr="007B0854" w:rsidRDefault="00A5539C" w:rsidP="00A5539C">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1DA2E" w14:textId="77777777" w:rsidR="00931A36" w:rsidRDefault="00931A36" w:rsidP="00914C81">
      <w:r>
        <w:separator/>
      </w:r>
    </w:p>
  </w:footnote>
  <w:footnote w:type="continuationSeparator" w:id="0">
    <w:p w14:paraId="7CA27E1B" w14:textId="77777777" w:rsidR="00931A36" w:rsidRDefault="00931A36" w:rsidP="00914C81">
      <w:r>
        <w:continuationSeparator/>
      </w:r>
    </w:p>
  </w:footnote>
  <w:footnote w:id="1">
    <w:p w14:paraId="671247AE" w14:textId="77777777" w:rsidR="00A5539C" w:rsidRDefault="00A5539C" w:rsidP="00BC71C1">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Respuestas emitidas dentro de los radicados Nos.: 4202013000002250, 4202013000002249, 202013000002232, 4202013000002225, 4202013000002227, 4202013000002220, 4202013000002221,4202013000002217, 4202013000002215, 4202013000002230, 4202013000002223, 4202013000002219, 4202013000002237, 4202013000002210, 4202013000002278, 4202013000002277, 4202013000002272, 4202013000002696, 4202013000002699, 4202012000002681, 4202012000002683, 4202012000002676, 4202012000002682, 4202012000002689, 4202013000002697, 4202013000002723, 4202012000002688, 4202013000002813, 4202013000002808, 4202013000002798, 4202013000002793, 4202013000002792, 4202013000002791, 4202013000002790 y 4202020000002788, entre muchos otros similares.</w:t>
      </w:r>
    </w:p>
    <w:p w14:paraId="4354D293" w14:textId="77777777" w:rsidR="00A5539C" w:rsidRPr="003A4125" w:rsidRDefault="00A5539C" w:rsidP="00BC71C1">
      <w:pPr>
        <w:pStyle w:val="Textonotapie"/>
        <w:ind w:firstLine="708"/>
        <w:jc w:val="both"/>
        <w:rPr>
          <w:rFonts w:ascii="Arial" w:hAnsi="Arial" w:cs="Arial"/>
          <w:sz w:val="19"/>
          <w:szCs w:val="19"/>
        </w:rPr>
      </w:pPr>
    </w:p>
  </w:footnote>
  <w:footnote w:id="2">
    <w:p w14:paraId="281F2E9D" w14:textId="77777777" w:rsidR="00A5539C" w:rsidRDefault="00A5539C" w:rsidP="00BC71C1">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Procuraduría Delegada para Asuntos Disciplinarios. Radicado PAD C-114-2014</w:t>
      </w:r>
      <w:r>
        <w:rPr>
          <w:rFonts w:ascii="Arial" w:hAnsi="Arial" w:cs="Arial"/>
          <w:sz w:val="19"/>
          <w:szCs w:val="19"/>
        </w:rPr>
        <w:t>.</w:t>
      </w:r>
    </w:p>
    <w:p w14:paraId="4F4C1560" w14:textId="77777777" w:rsidR="00A5539C" w:rsidRPr="003A4125" w:rsidRDefault="00A5539C" w:rsidP="00BC71C1">
      <w:pPr>
        <w:pStyle w:val="Textonotapie"/>
        <w:ind w:firstLine="709"/>
        <w:jc w:val="both"/>
        <w:rPr>
          <w:rFonts w:ascii="Arial" w:hAnsi="Arial" w:cs="Arial"/>
          <w:sz w:val="19"/>
          <w:szCs w:val="19"/>
        </w:rPr>
      </w:pPr>
    </w:p>
  </w:footnote>
  <w:footnote w:id="3">
    <w:p w14:paraId="19159CF0" w14:textId="4CB34DF9" w:rsidR="00A5539C" w:rsidRDefault="00A5539C" w:rsidP="00BC71C1">
      <w:pPr>
        <w:pStyle w:val="Textonotapie"/>
        <w:ind w:firstLine="708"/>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Pr>
          <w:rFonts w:ascii="Arial" w:hAnsi="Arial" w:cs="Arial"/>
          <w:sz w:val="19"/>
          <w:szCs w:val="19"/>
        </w:rPr>
        <w:t>.</w:t>
      </w:r>
    </w:p>
  </w:footnote>
  <w:footnote w:id="4">
    <w:p w14:paraId="6D3269EB" w14:textId="77777777" w:rsidR="00A5539C" w:rsidRPr="008815AB" w:rsidRDefault="00A5539C" w:rsidP="00BC71C1">
      <w:pPr>
        <w:pStyle w:val="Textonotapie"/>
        <w:ind w:firstLine="709"/>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r:id="rId1" w:history="1">
        <w:r w:rsidRPr="008815AB">
          <w:rPr>
            <w:rStyle w:val="Hipervnculo"/>
            <w:rFonts w:ascii="Arial" w:hAnsi="Arial" w:cs="Arial"/>
            <w:sz w:val="19"/>
            <w:szCs w:val="19"/>
          </w:rPr>
          <w:t>https://issuu.com/estudiolegalhernandez/docs/ahb._funci__n_consultiva_y_consejo_</w:t>
        </w:r>
      </w:hyperlink>
      <w:r w:rsidRPr="008815AB">
        <w:rPr>
          <w:rFonts w:ascii="Arial" w:hAnsi="Arial" w:cs="Arial"/>
          <w:sz w:val="19"/>
          <w:szCs w:val="19"/>
        </w:rPr>
        <w:t>.</w:t>
      </w:r>
    </w:p>
    <w:p w14:paraId="42164831" w14:textId="77777777" w:rsidR="00A5539C" w:rsidRPr="008815AB" w:rsidRDefault="00A5539C" w:rsidP="00BC71C1">
      <w:pPr>
        <w:pStyle w:val="Textonotapie"/>
        <w:ind w:firstLine="709"/>
        <w:jc w:val="both"/>
        <w:rPr>
          <w:rFonts w:ascii="Arial" w:hAnsi="Arial" w:cs="Arial"/>
          <w:sz w:val="19"/>
          <w:szCs w:val="19"/>
        </w:rPr>
      </w:pPr>
    </w:p>
  </w:footnote>
  <w:footnote w:id="5">
    <w:p w14:paraId="6BDC6853" w14:textId="797C933E" w:rsidR="00A5539C" w:rsidRDefault="00A5539C" w:rsidP="00BC71C1">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Consejo de Estado. Sala de Consulta y Servicio Civil. Concepto del 5 de octubre de 2009. Expediente 11001-03-06-000-2009-00049-00(1966). C.P. William Zambrano Cetina.</w:t>
      </w:r>
    </w:p>
    <w:p w14:paraId="3B29A178" w14:textId="77777777" w:rsidR="00A5539C" w:rsidRPr="008815AB" w:rsidRDefault="00A5539C" w:rsidP="00BC71C1">
      <w:pPr>
        <w:pStyle w:val="Textonotapie"/>
        <w:ind w:firstLine="708"/>
        <w:jc w:val="both"/>
        <w:rPr>
          <w:rFonts w:ascii="Arial" w:hAnsi="Arial" w:cs="Arial"/>
          <w:sz w:val="19"/>
          <w:szCs w:val="19"/>
        </w:rPr>
      </w:pPr>
    </w:p>
  </w:footnote>
  <w:footnote w:id="6">
    <w:p w14:paraId="374A155C" w14:textId="2A7B5742" w:rsidR="00A5539C" w:rsidRPr="00D02E32" w:rsidRDefault="00A5539C">
      <w:pPr>
        <w:pStyle w:val="Textonotapie"/>
        <w:ind w:firstLine="708"/>
        <w:jc w:val="both"/>
        <w:rPr>
          <w:rFonts w:ascii="Arial" w:hAnsi="Arial" w:cs="Arial"/>
        </w:rPr>
      </w:pPr>
      <w:r w:rsidRPr="00D02E32">
        <w:rPr>
          <w:rStyle w:val="Refdenotaalpie"/>
          <w:rFonts w:ascii="Arial" w:hAnsi="Arial" w:cs="Arial"/>
        </w:rPr>
        <w:footnoteRef/>
      </w:r>
      <w:r w:rsidRPr="00D02E32">
        <w:rPr>
          <w:rFonts w:ascii="Arial" w:hAnsi="Arial" w:cs="Arial"/>
        </w:rPr>
        <w:t xml:space="preserve"> SANTOFIMIO GAMBOA. Jaime Orlando. Compendio de Derecho Administrativo. Universidad Externado de Colombia. 2015. Párrafo 890.  </w:t>
      </w:r>
    </w:p>
  </w:footnote>
  <w:footnote w:id="7">
    <w:p w14:paraId="3022434A" w14:textId="77777777" w:rsidR="00A5539C" w:rsidRPr="007638F9" w:rsidRDefault="00A5539C" w:rsidP="00BC71C1">
      <w:pPr>
        <w:pStyle w:val="Textonotapie"/>
        <w:ind w:firstLine="708"/>
      </w:pPr>
      <w:r>
        <w:rPr>
          <w:rStyle w:val="Refdenotaalpie"/>
        </w:rPr>
        <w:footnoteRef/>
      </w:r>
      <w:r>
        <w:t xml:space="preserve"> </w:t>
      </w:r>
      <w:r w:rsidRPr="007638F9">
        <w:rPr>
          <w:rFonts w:ascii="Arial" w:hAnsi="Arial" w:cs="Arial"/>
        </w:rPr>
        <w:t>Ibídem, párrafo 891.</w:t>
      </w:r>
      <w:r>
        <w:t xml:space="preserve"> </w:t>
      </w:r>
    </w:p>
  </w:footnote>
  <w:footnote w:id="8">
    <w:p w14:paraId="2DD92E75" w14:textId="77777777" w:rsidR="00A5539C" w:rsidRPr="0016135D" w:rsidRDefault="00A5539C" w:rsidP="00595975">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7FD8144B" w14:textId="77777777" w:rsidR="00A5539C" w:rsidRPr="0016135D" w:rsidRDefault="00A5539C" w:rsidP="00595975">
      <w:pPr>
        <w:pStyle w:val="Textonotapie"/>
        <w:ind w:firstLine="708"/>
        <w:jc w:val="both"/>
        <w:rPr>
          <w:rFonts w:ascii="Arial" w:hAnsi="Arial" w:cs="Arial"/>
          <w:sz w:val="19"/>
          <w:szCs w:val="19"/>
          <w:lang w:val="es-ES"/>
        </w:rPr>
      </w:pPr>
    </w:p>
  </w:footnote>
  <w:footnote w:id="9">
    <w:p w14:paraId="1F8F80A0" w14:textId="77777777" w:rsidR="00A5539C" w:rsidRPr="0016135D" w:rsidRDefault="00A5539C" w:rsidP="00595975">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14:paraId="5F464BDF" w14:textId="77777777" w:rsidR="00A5539C" w:rsidRPr="0016135D" w:rsidRDefault="00A5539C" w:rsidP="00595975">
      <w:pPr>
        <w:pStyle w:val="Textonotapie"/>
        <w:ind w:left="708"/>
        <w:jc w:val="both"/>
        <w:rPr>
          <w:rFonts w:ascii="Arial" w:hAnsi="Arial" w:cs="Arial"/>
          <w:sz w:val="19"/>
          <w:szCs w:val="19"/>
          <w:lang w:val="es-ES"/>
        </w:rPr>
      </w:pPr>
    </w:p>
  </w:footnote>
  <w:footnote w:id="10">
    <w:p w14:paraId="26D98A5F" w14:textId="77777777" w:rsidR="00A5539C" w:rsidRDefault="00A5539C" w:rsidP="00595975">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p w14:paraId="029E289F" w14:textId="77777777" w:rsidR="00A5539C" w:rsidRPr="0016135D" w:rsidRDefault="00A5539C" w:rsidP="00595975">
      <w:pPr>
        <w:pStyle w:val="Textonotapie"/>
        <w:ind w:firstLine="708"/>
        <w:jc w:val="both"/>
        <w:rPr>
          <w:rFonts w:ascii="Arial" w:hAnsi="Arial" w:cs="Arial"/>
          <w:sz w:val="19"/>
          <w:szCs w:val="19"/>
          <w:lang w:val="es-ES"/>
        </w:rPr>
      </w:pPr>
      <w:r w:rsidRPr="0016135D">
        <w:rPr>
          <w:rFonts w:ascii="Arial" w:hAnsi="Arial" w:cs="Arial"/>
          <w:sz w:val="19"/>
          <w:szCs w:val="19"/>
          <w:lang w:val="es-ES"/>
        </w:rPr>
        <w:t xml:space="preserve"> </w:t>
      </w:r>
    </w:p>
  </w:footnote>
  <w:footnote w:id="11">
    <w:p w14:paraId="08890187" w14:textId="77777777" w:rsidR="00A5539C" w:rsidRPr="00270009" w:rsidRDefault="00A5539C" w:rsidP="00595975">
      <w:pPr>
        <w:pStyle w:val="Textonotapie"/>
        <w:ind w:firstLine="708"/>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B0C6081" w14:textId="77777777" w:rsidR="00A5539C" w:rsidRPr="00270009" w:rsidRDefault="00A5539C" w:rsidP="00595975">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4DEF1C5" w14:textId="77777777" w:rsidR="00A5539C" w:rsidRPr="00270009" w:rsidRDefault="00A5539C" w:rsidP="00595975">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7EDF700" w14:textId="77777777" w:rsidR="00A5539C" w:rsidRPr="00270009" w:rsidRDefault="00A5539C" w:rsidP="00595975">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F298540" w14:textId="77777777" w:rsidR="00A5539C" w:rsidRPr="00270009" w:rsidRDefault="00A5539C" w:rsidP="00595975">
      <w:pPr>
        <w:pStyle w:val="Textonotapie"/>
        <w:ind w:firstLine="708"/>
        <w:jc w:val="both"/>
        <w:rPr>
          <w:rFonts w:ascii="Arial" w:hAnsi="Arial" w:cs="Arial"/>
          <w:sz w:val="19"/>
          <w:szCs w:val="19"/>
          <w:lang w:val="es-ES"/>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12">
    <w:p w14:paraId="26E9E8AE" w14:textId="77777777" w:rsidR="00A5539C" w:rsidRPr="0016135D" w:rsidRDefault="00A5539C" w:rsidP="00595975">
      <w:pPr>
        <w:pStyle w:val="NormalWeb"/>
        <w:spacing w:before="0" w:beforeAutospacing="0" w:after="0" w:afterAutospacing="0"/>
        <w:ind w:firstLine="708"/>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Pr>
          <w:rFonts w:ascii="Arial" w:hAnsi="Arial" w:cs="Arial"/>
          <w:sz w:val="19"/>
          <w:szCs w:val="19"/>
        </w:rPr>
        <w:t xml:space="preserve">Artículo </w:t>
      </w:r>
      <w:r w:rsidRPr="0016135D">
        <w:rPr>
          <w:rStyle w:val="Textoennegrita"/>
          <w:rFonts w:ascii="Arial" w:hAnsi="Arial" w:cs="Arial"/>
          <w:sz w:val="19"/>
          <w:szCs w:val="19"/>
        </w:rPr>
        <w:t>2.2.1.2.6.1.2. </w:t>
      </w:r>
      <w:r w:rsidRPr="0016135D">
        <w:rPr>
          <w:rStyle w:val="nfasis"/>
          <w:rFonts w:ascii="Arial" w:hAnsi="Arial" w:cs="Arial"/>
          <w:sz w:val="19"/>
          <w:szCs w:val="19"/>
        </w:rPr>
        <w:t>Alcance</w:t>
      </w:r>
      <w:r w:rsidRPr="0016135D">
        <w:rPr>
          <w:rFonts w:ascii="Arial" w:hAnsi="Arial" w:cs="Arial"/>
          <w:sz w:val="19"/>
          <w:szCs w:val="19"/>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76901B92" w14:textId="77777777" w:rsidR="00A5539C" w:rsidRPr="0016135D" w:rsidRDefault="00A5539C" w:rsidP="00595975">
      <w:pPr>
        <w:pStyle w:val="NormalWeb"/>
        <w:spacing w:before="0" w:beforeAutospacing="0" w:after="0" w:afterAutospacing="0"/>
        <w:ind w:firstLine="708"/>
        <w:jc w:val="both"/>
        <w:rPr>
          <w:rFonts w:ascii="Arial" w:hAnsi="Arial" w:cs="Arial"/>
          <w:sz w:val="19"/>
          <w:szCs w:val="19"/>
        </w:rPr>
      </w:pPr>
      <w:r w:rsidRPr="0016135D">
        <w:rPr>
          <w:rFonts w:ascii="Arial" w:hAnsi="Arial" w:cs="Arial"/>
          <w:sz w:val="19"/>
          <w:szCs w:val="19"/>
        </w:rPr>
        <w:t>»</w:t>
      </w:r>
      <w:r w:rsidRPr="0016135D">
        <w:rPr>
          <w:rStyle w:val="Textoennegrita"/>
          <w:rFonts w:ascii="Arial" w:hAnsi="Arial" w:cs="Arial"/>
          <w:sz w:val="19"/>
          <w:szCs w:val="19"/>
        </w:rPr>
        <w:t xml:space="preserve">A) Documento Base del Pliego Tipo; B) ANEXOS: </w:t>
      </w:r>
      <w:r w:rsidRPr="0016135D">
        <w:rPr>
          <w:rFonts w:ascii="Arial" w:hAnsi="Arial" w:cs="Arial"/>
          <w:sz w:val="19"/>
          <w:szCs w:val="19"/>
        </w:rPr>
        <w:t xml:space="preserve">1. Anexo 1- Anexo Técnico, 2. Anexo 2- Cronograma, 3. Anexo 3- Glosario, 4. Anexo 4- Pacto de Transparencia, 5. Anexo 5- Minuta del Contrato; </w:t>
      </w:r>
      <w:r w:rsidRPr="0016135D">
        <w:rPr>
          <w:rStyle w:val="Textoennegrita"/>
          <w:rFonts w:ascii="Arial" w:hAnsi="Arial" w:cs="Arial"/>
          <w:sz w:val="19"/>
          <w:szCs w:val="19"/>
        </w:rPr>
        <w:t>C) FORMATOS:</w:t>
      </w:r>
      <w:r w:rsidRPr="0016135D">
        <w:rPr>
          <w:rFonts w:ascii="Arial" w:hAnsi="Arial" w:cs="Arial"/>
          <w:sz w:val="19"/>
          <w:szCs w:val="19"/>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16135D">
        <w:rPr>
          <w:rStyle w:val="Textoennegrita"/>
          <w:rFonts w:ascii="Arial" w:hAnsi="Arial" w:cs="Arial"/>
          <w:sz w:val="19"/>
          <w:szCs w:val="19"/>
        </w:rPr>
        <w:t xml:space="preserve">D) MATRICES: </w:t>
      </w:r>
      <w:r w:rsidRPr="0016135D">
        <w:rPr>
          <w:rFonts w:ascii="Arial" w:hAnsi="Arial" w:cs="Arial"/>
          <w:sz w:val="19"/>
          <w:szCs w:val="19"/>
        </w:rPr>
        <w:t xml:space="preserve">1. Matriz 1 – Experiencia, 2. Matriz 2 - Indicadores financieros y organizacionales, 3. Matriz 3 – Riesgos; </w:t>
      </w:r>
      <w:r w:rsidRPr="0016135D">
        <w:rPr>
          <w:rStyle w:val="Textoennegrita"/>
          <w:rFonts w:ascii="Arial" w:hAnsi="Arial" w:cs="Arial"/>
          <w:sz w:val="19"/>
          <w:szCs w:val="19"/>
        </w:rPr>
        <w:t xml:space="preserve">E) FORMULARIOS: </w:t>
      </w:r>
      <w:r w:rsidRPr="0016135D">
        <w:rPr>
          <w:rFonts w:ascii="Arial" w:hAnsi="Arial" w:cs="Arial"/>
          <w:sz w:val="19"/>
          <w:szCs w:val="19"/>
        </w:rPr>
        <w:t xml:space="preserve">1. Formulario 1- Formulario de Presupuesto Oficial. </w:t>
      </w:r>
    </w:p>
    <w:p w14:paraId="117EB15E" w14:textId="77777777" w:rsidR="00A5539C" w:rsidRPr="0016135D" w:rsidRDefault="00A5539C" w:rsidP="00595975">
      <w:pPr>
        <w:pStyle w:val="NormalWeb"/>
        <w:spacing w:before="0" w:beforeAutospacing="0" w:after="0" w:afterAutospacing="0"/>
        <w:ind w:firstLine="708"/>
        <w:jc w:val="both"/>
        <w:rPr>
          <w:rFonts w:ascii="Arial" w:hAnsi="Arial" w:cs="Arial"/>
          <w:sz w:val="19"/>
          <w:szCs w:val="19"/>
        </w:rPr>
      </w:pPr>
      <w:r w:rsidRPr="0016135D">
        <w:rPr>
          <w:rFonts w:ascii="Arial" w:hAnsi="Arial" w:cs="Arial"/>
          <w:sz w:val="19"/>
          <w:szCs w:val="19"/>
        </w:rPr>
        <w:t>»Parágrafo. Cuando la entidad estatal utilice SECOP II, o el sistema que haga sus veces, debe adaptar el contenido de los Documentos Tipo a esta plataforma».</w:t>
      </w:r>
    </w:p>
    <w:p w14:paraId="44672A68" w14:textId="77777777" w:rsidR="00A5539C" w:rsidRPr="0016135D" w:rsidRDefault="00A5539C" w:rsidP="00595975">
      <w:pPr>
        <w:pStyle w:val="Textonotapie"/>
        <w:jc w:val="both"/>
        <w:rPr>
          <w:rFonts w:ascii="Arial" w:hAnsi="Arial" w:cs="Arial"/>
          <w:sz w:val="19"/>
          <w:szCs w:val="19"/>
          <w:lang w:val="es-CO"/>
        </w:rPr>
      </w:pPr>
    </w:p>
  </w:footnote>
  <w:footnote w:id="13">
    <w:p w14:paraId="44D2A7A8" w14:textId="77777777" w:rsidR="00A5539C" w:rsidRPr="0016135D" w:rsidRDefault="00A5539C" w:rsidP="00595975">
      <w:pPr>
        <w:pStyle w:val="Textonotapie"/>
        <w:ind w:firstLine="709"/>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Pr>
          <w:rFonts w:ascii="Arial" w:hAnsi="Arial" w:cs="Arial"/>
          <w:sz w:val="19"/>
          <w:szCs w:val="19"/>
        </w:rPr>
        <w:t xml:space="preserve">Artículo </w:t>
      </w:r>
      <w:r w:rsidRPr="0016135D">
        <w:rPr>
          <w:rFonts w:ascii="Arial" w:hAnsi="Arial" w:cs="Arial"/>
          <w:sz w:val="19"/>
          <w:szCs w:val="19"/>
        </w:rPr>
        <w:t xml:space="preserve">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6076A3A2" w14:textId="77777777" w:rsidR="00A5539C" w:rsidRPr="0016135D" w:rsidRDefault="00A5539C" w:rsidP="00595975">
      <w:pPr>
        <w:pStyle w:val="Textonotapie"/>
        <w:ind w:firstLine="709"/>
        <w:jc w:val="both"/>
        <w:rPr>
          <w:rFonts w:ascii="Arial" w:hAnsi="Arial" w:cs="Arial"/>
          <w:sz w:val="19"/>
          <w:szCs w:val="19"/>
        </w:rPr>
      </w:pPr>
      <w:r w:rsidRPr="0016135D">
        <w:rPr>
          <w:rFonts w:ascii="Arial" w:hAnsi="Arial" w:cs="Arial"/>
          <w:sz w:val="19"/>
          <w:szCs w:val="19"/>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14:paraId="42706241" w14:textId="77777777" w:rsidR="00A5539C" w:rsidRDefault="00A5539C" w:rsidP="00595975">
      <w:pPr>
        <w:pStyle w:val="Textonotapie"/>
        <w:ind w:firstLine="709"/>
        <w:jc w:val="both"/>
        <w:rPr>
          <w:rFonts w:ascii="Arial" w:hAnsi="Arial" w:cs="Arial"/>
          <w:sz w:val="19"/>
          <w:szCs w:val="19"/>
        </w:rPr>
      </w:pPr>
      <w:r w:rsidRPr="0016135D">
        <w:rPr>
          <w:rFonts w:ascii="Arial" w:hAnsi="Arial" w:cs="Arial"/>
          <w:sz w:val="19"/>
          <w:szCs w:val="19"/>
        </w:rPr>
        <w:t>»Parágrafo. Cuando la Entidad Estatal utilice SECOP II, o el sistema que haga sus veces, debe adaptar el contenido de los Documentos Tipo a esta plataforma».</w:t>
      </w:r>
    </w:p>
    <w:p w14:paraId="6C7640BC" w14:textId="77777777" w:rsidR="00A5539C" w:rsidRPr="0016135D" w:rsidRDefault="00A5539C" w:rsidP="00595975">
      <w:pPr>
        <w:pStyle w:val="Textonotapie"/>
        <w:ind w:firstLine="709"/>
        <w:jc w:val="both"/>
        <w:rPr>
          <w:rFonts w:ascii="Arial" w:hAnsi="Arial" w:cs="Arial"/>
          <w:sz w:val="19"/>
          <w:szCs w:val="19"/>
          <w:lang w:val="es-CO"/>
        </w:rPr>
      </w:pPr>
    </w:p>
  </w:footnote>
  <w:footnote w:id="14">
    <w:p w14:paraId="0F9E666F" w14:textId="77777777" w:rsidR="00A5539C" w:rsidRPr="003C6AE8" w:rsidRDefault="00A5539C" w:rsidP="00595975">
      <w:pPr>
        <w:pStyle w:val="Textonotapie"/>
        <w:ind w:firstLine="709"/>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3C6AE8">
        <w:rPr>
          <w:rFonts w:ascii="Arial" w:hAnsi="Arial" w:cs="Arial"/>
          <w:sz w:val="19"/>
          <w:szCs w:val="19"/>
        </w:rPr>
        <w:t>Artículo 2.2.1.2.6.3.2 Alcance. Los Documentos Tipo contienen parámetros obligatorios para las Entidades sometidas al Estatuto General de Contratación de la Administración Pública que adelanten procesos de mínima cuantía de obra pública de infraestructura de transporte. Estos documentos son:</w:t>
      </w:r>
    </w:p>
    <w:p w14:paraId="4ACC66CC" w14:textId="77777777" w:rsidR="00A5539C" w:rsidRPr="003C6AE8" w:rsidRDefault="00A5539C" w:rsidP="00595975">
      <w:pPr>
        <w:pStyle w:val="Textonotapie"/>
        <w:ind w:firstLine="709"/>
        <w:jc w:val="both"/>
        <w:rPr>
          <w:rFonts w:ascii="Arial" w:hAnsi="Arial" w:cs="Arial"/>
          <w:sz w:val="19"/>
          <w:szCs w:val="19"/>
        </w:rPr>
      </w:pPr>
      <w:r>
        <w:rPr>
          <w:rFonts w:ascii="Arial" w:hAnsi="Arial" w:cs="Arial"/>
          <w:sz w:val="19"/>
          <w:szCs w:val="19"/>
        </w:rPr>
        <w:t>»</w:t>
      </w:r>
      <w:r w:rsidRPr="003C6AE8">
        <w:rPr>
          <w:rFonts w:ascii="Arial" w:hAnsi="Arial" w:cs="Arial"/>
          <w:sz w:val="19"/>
          <w:szCs w:val="19"/>
        </w:rPr>
        <w:t>A. INVITACIÓN PÚBLICA; B. ANEXOS: 1. Anexo 1 - Pacto de Transparencia. 2. Anexo 2 - Comunicación de Aceptación de la Oferta; C. FORMATOS: 1. Formato 1 - Carta de presentación de la oferta. 2. Formato 2 - Conformación de proponente plural. 3. Formato 3 – Experiencia. 4. Formato 4 - Capacidad financiera y/u organizacional. 5. Formato 5 - Capacidad residual. 6. Formato 6 - Pagos de seguridad social y aportes legales; D. MATRICES: 1. Matriz 1 – Experiencia. 2. Matriz 2 – Indicadores financieros y/u organizacional. 3. Matriz 3 – Riesgos; E. FORMULARIOS: 1. Formulario 1 – Formulario de Presupuesto Oficial.</w:t>
      </w:r>
    </w:p>
    <w:p w14:paraId="1E907BF9" w14:textId="77777777" w:rsidR="00A5539C" w:rsidRPr="0016135D" w:rsidRDefault="00A5539C" w:rsidP="00595975">
      <w:pPr>
        <w:pStyle w:val="Textonotapie"/>
        <w:ind w:firstLine="709"/>
        <w:jc w:val="both"/>
        <w:rPr>
          <w:rFonts w:ascii="Arial" w:hAnsi="Arial" w:cs="Arial"/>
          <w:sz w:val="19"/>
          <w:szCs w:val="19"/>
          <w:lang w:val="es-CO"/>
        </w:rPr>
      </w:pPr>
      <w:r>
        <w:rPr>
          <w:rFonts w:ascii="Arial" w:hAnsi="Arial" w:cs="Arial"/>
          <w:sz w:val="19"/>
          <w:szCs w:val="19"/>
        </w:rPr>
        <w:t>»</w:t>
      </w:r>
      <w:r w:rsidRPr="003C6AE8">
        <w:rPr>
          <w:rFonts w:ascii="Arial" w:hAnsi="Arial" w:cs="Arial"/>
          <w:sz w:val="19"/>
          <w:szCs w:val="19"/>
        </w:rPr>
        <w:t>Parágrafo. Cuando la Entidad Estatal utilice SECOP II, o el sistema que haga sus veces, debe adaptar el contenido de los Documentos Tipo a esta plataforma</w:t>
      </w:r>
      <w:r w:rsidRPr="0016135D">
        <w:rPr>
          <w:rFonts w:ascii="Arial" w:hAnsi="Arial" w:cs="Arial"/>
          <w:sz w:val="19"/>
          <w:szCs w:val="19"/>
        </w:rPr>
        <w:t>».</w:t>
      </w:r>
    </w:p>
  </w:footnote>
  <w:footnote w:id="15">
    <w:p w14:paraId="3CD51A72" w14:textId="77777777" w:rsidR="003902C1" w:rsidRPr="00056734" w:rsidRDefault="003902C1" w:rsidP="003902C1">
      <w:pPr>
        <w:ind w:firstLine="708"/>
        <w:jc w:val="both"/>
        <w:rPr>
          <w:rFonts w:ascii="Arial" w:eastAsia="Times New Roman" w:hAnsi="Arial"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En esta medida, la jurisprudencia explica que: «[…] la previsión en torno a la visita a la zona de las obras, […] constituye en una exigencia razonable enderezada a garantizar la consistencia técnica y económica de las ofertas, así como la cumplida ejecución del objeto contractual, con lo cual no se trata de una imposición carente de toda justificación jurídicamente atendible no infringe, por tanto, el principio de interdicción de la arbitrariedad, tampoco resulta desproporcionada es una alternativa idónea, necesaria y ponderada en aras de la consecución de la finalidad propuesta y, habida cuenta de que impone, con carácter general, una carga a los particulares, carga que se orienta a una finalidad constitucional y legalmente prevista, de superior entidad, resulta plenamente razonable» (</w:t>
      </w:r>
      <w:r w:rsidRPr="00056734">
        <w:rPr>
          <w:rFonts w:ascii="Arial" w:hAnsi="Arial" w:cs="Arial"/>
          <w:sz w:val="19"/>
          <w:szCs w:val="19"/>
          <w:lang w:val="es-ES"/>
        </w:rPr>
        <w:t>CONSEJO DE ESTADO. Sección Tercera. Sentencia del 5 de junio de 2008. Expediente No. 8431. C.P. Mauricio Fajardo Gómez).</w:t>
      </w:r>
    </w:p>
    <w:p w14:paraId="56645B7C" w14:textId="77777777" w:rsidR="003902C1" w:rsidRPr="00056734" w:rsidRDefault="003902C1" w:rsidP="003902C1">
      <w:pPr>
        <w:pStyle w:val="Textonotapie"/>
        <w:jc w:val="both"/>
        <w:rPr>
          <w:rFonts w:ascii="Arial" w:eastAsia="Calibri" w:hAnsi="Arial" w:cs="Arial"/>
          <w:sz w:val="19"/>
          <w:szCs w:val="19"/>
          <w:lang w:val="es-ES"/>
        </w:rPr>
      </w:pPr>
    </w:p>
  </w:footnote>
  <w:footnote w:id="16">
    <w:p w14:paraId="6316763E" w14:textId="77777777" w:rsidR="003902C1" w:rsidRPr="00056734" w:rsidRDefault="003902C1" w:rsidP="003902C1">
      <w:pPr>
        <w:pStyle w:val="Textonotapie"/>
        <w:ind w:firstLine="708"/>
        <w:jc w:val="both"/>
        <w:rPr>
          <w:rFonts w:ascii="Arial" w:hAnsi="Arial" w:cs="Arial"/>
          <w:sz w:val="19"/>
          <w:szCs w:val="19"/>
          <w:lang w:val="es-ES"/>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C. Sentencia del 28 de junio de 2019. Expediente No. 42.326. C.P. Jaime Enrique Rodríguez Navas</w:t>
      </w:r>
    </w:p>
    <w:p w14:paraId="6FC30C53" w14:textId="77777777" w:rsidR="003902C1" w:rsidRPr="00056734" w:rsidRDefault="003902C1" w:rsidP="003902C1">
      <w:pPr>
        <w:pStyle w:val="Textonotapie"/>
        <w:jc w:val="both"/>
        <w:rPr>
          <w:rFonts w:ascii="Arial" w:hAnsi="Arial" w:cs="Arial"/>
          <w:sz w:val="19"/>
          <w:szCs w:val="19"/>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4D716" w14:textId="77777777" w:rsidR="00A5539C" w:rsidRDefault="00A5539C">
    <w:pPr>
      <w:pStyle w:val="Encabezado"/>
    </w:pPr>
  </w:p>
  <w:p w14:paraId="5DBC18E5" w14:textId="77777777" w:rsidR="00A5539C" w:rsidRDefault="00A5539C">
    <w:pPr>
      <w:pStyle w:val="Encabezado"/>
    </w:pPr>
  </w:p>
  <w:p w14:paraId="1413E1FC" w14:textId="77777777" w:rsidR="00A5539C" w:rsidRDefault="00A5539C">
    <w:pPr>
      <w:pStyle w:val="Encabezado"/>
    </w:pPr>
    <w:r>
      <w:rPr>
        <w:noProof/>
        <w:lang w:val="es-CO" w:eastAsia="es-CO"/>
      </w:rPr>
      <w:drawing>
        <wp:anchor distT="0" distB="0" distL="114300" distR="114300" simplePos="0" relativeHeight="251659264" behindDoc="1" locked="0" layoutInCell="1" allowOverlap="1" wp14:anchorId="5C89733C" wp14:editId="2016A070">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13D63" w14:textId="77777777" w:rsidR="00A5539C" w:rsidRDefault="00A5539C">
    <w:pPr>
      <w:pStyle w:val="Encabezado"/>
    </w:pPr>
  </w:p>
  <w:p w14:paraId="4B2CEBAF" w14:textId="77777777" w:rsidR="00A5539C" w:rsidRDefault="00A5539C">
    <w:pPr>
      <w:pStyle w:val="Encabezado"/>
    </w:pPr>
  </w:p>
  <w:p w14:paraId="155A87EC" w14:textId="77777777" w:rsidR="00A5539C" w:rsidRDefault="00A553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81"/>
    <w:rsid w:val="000467E0"/>
    <w:rsid w:val="00051677"/>
    <w:rsid w:val="000B579A"/>
    <w:rsid w:val="000E0A85"/>
    <w:rsid w:val="000F4F9A"/>
    <w:rsid w:val="00124FCC"/>
    <w:rsid w:val="001518A0"/>
    <w:rsid w:val="00221D35"/>
    <w:rsid w:val="00225357"/>
    <w:rsid w:val="00250FBA"/>
    <w:rsid w:val="002E013D"/>
    <w:rsid w:val="002E0E48"/>
    <w:rsid w:val="002F032A"/>
    <w:rsid w:val="0032161B"/>
    <w:rsid w:val="003508BB"/>
    <w:rsid w:val="00384CB3"/>
    <w:rsid w:val="003867CF"/>
    <w:rsid w:val="003902C1"/>
    <w:rsid w:val="003D2841"/>
    <w:rsid w:val="003E27EA"/>
    <w:rsid w:val="003E7F69"/>
    <w:rsid w:val="00416D13"/>
    <w:rsid w:val="004214FB"/>
    <w:rsid w:val="00425439"/>
    <w:rsid w:val="00436EDD"/>
    <w:rsid w:val="004527AB"/>
    <w:rsid w:val="00495F0F"/>
    <w:rsid w:val="004C6DD0"/>
    <w:rsid w:val="004C7F4D"/>
    <w:rsid w:val="004D5B3E"/>
    <w:rsid w:val="00511838"/>
    <w:rsid w:val="005518CF"/>
    <w:rsid w:val="00595975"/>
    <w:rsid w:val="005A3103"/>
    <w:rsid w:val="005E7FAB"/>
    <w:rsid w:val="00610B2C"/>
    <w:rsid w:val="006E37C1"/>
    <w:rsid w:val="006E4B21"/>
    <w:rsid w:val="00702BE0"/>
    <w:rsid w:val="00721CCC"/>
    <w:rsid w:val="00757B9C"/>
    <w:rsid w:val="00786F49"/>
    <w:rsid w:val="00812814"/>
    <w:rsid w:val="00834953"/>
    <w:rsid w:val="0083581D"/>
    <w:rsid w:val="008B602A"/>
    <w:rsid w:val="009135B8"/>
    <w:rsid w:val="00914C81"/>
    <w:rsid w:val="0091768A"/>
    <w:rsid w:val="00931A36"/>
    <w:rsid w:val="00956C4D"/>
    <w:rsid w:val="00A01C50"/>
    <w:rsid w:val="00A1171D"/>
    <w:rsid w:val="00A5539C"/>
    <w:rsid w:val="00B85EC0"/>
    <w:rsid w:val="00BC71C1"/>
    <w:rsid w:val="00BE0F85"/>
    <w:rsid w:val="00C71B3F"/>
    <w:rsid w:val="00CF4690"/>
    <w:rsid w:val="00D20AF3"/>
    <w:rsid w:val="00D6066F"/>
    <w:rsid w:val="00D74DD7"/>
    <w:rsid w:val="00DB7E62"/>
    <w:rsid w:val="00E13CEC"/>
    <w:rsid w:val="00E2668F"/>
    <w:rsid w:val="00E60914"/>
    <w:rsid w:val="00EA1663"/>
    <w:rsid w:val="00EB2033"/>
    <w:rsid w:val="00F617B2"/>
    <w:rsid w:val="00F64C56"/>
    <w:rsid w:val="00F75B44"/>
    <w:rsid w:val="00FE5D07"/>
    <w:rsid w:val="00FF10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E11B"/>
  <w15:chartTrackingRefBased/>
  <w15:docId w15:val="{B51E77B3-8406-49D6-AFF6-1C4FFB62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C8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14C81"/>
    <w:pPr>
      <w:tabs>
        <w:tab w:val="center" w:pos="4419"/>
        <w:tab w:val="right" w:pos="8838"/>
      </w:tabs>
    </w:pPr>
  </w:style>
  <w:style w:type="character" w:customStyle="1" w:styleId="PiedepginaCar">
    <w:name w:val="Pie de página Car"/>
    <w:basedOn w:val="Fuentedeprrafopredeter"/>
    <w:link w:val="Piedepgina"/>
    <w:uiPriority w:val="99"/>
    <w:rsid w:val="00914C81"/>
    <w:rPr>
      <w:sz w:val="24"/>
      <w:lang w:val="es-MX"/>
    </w:rPr>
  </w:style>
  <w:style w:type="paragraph" w:styleId="Encabezado">
    <w:name w:val="header"/>
    <w:basedOn w:val="Normal"/>
    <w:link w:val="EncabezadoCar"/>
    <w:uiPriority w:val="99"/>
    <w:unhideWhenUsed/>
    <w:rsid w:val="00914C81"/>
    <w:pPr>
      <w:tabs>
        <w:tab w:val="center" w:pos="4252"/>
        <w:tab w:val="right" w:pos="8504"/>
      </w:tabs>
    </w:pPr>
  </w:style>
  <w:style w:type="character" w:customStyle="1" w:styleId="EncabezadoCar">
    <w:name w:val="Encabezado Car"/>
    <w:basedOn w:val="Fuentedeprrafopredeter"/>
    <w:link w:val="Encabezado"/>
    <w:uiPriority w:val="99"/>
    <w:rsid w:val="00914C81"/>
    <w:rPr>
      <w:sz w:val="24"/>
      <w:lang w:val="es-MX"/>
    </w:rPr>
  </w:style>
  <w:style w:type="table" w:styleId="Tablaconcuadrcula">
    <w:name w:val="Table Grid"/>
    <w:basedOn w:val="Tablanormal"/>
    <w:uiPriority w:val="59"/>
    <w:rsid w:val="0091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14C81"/>
    <w:pPr>
      <w:ind w:left="720"/>
      <w:contextualSpacing/>
    </w:pPr>
  </w:style>
  <w:style w:type="paragraph" w:styleId="NormalWeb">
    <w:name w:val="Normal (Web)"/>
    <w:basedOn w:val="Normal"/>
    <w:uiPriority w:val="99"/>
    <w:semiHidden/>
    <w:unhideWhenUsed/>
    <w:rsid w:val="00914C81"/>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14C8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14C81"/>
    <w:rPr>
      <w:sz w:val="20"/>
      <w:szCs w:val="20"/>
    </w:rPr>
  </w:style>
  <w:style w:type="character" w:customStyle="1" w:styleId="TextonotapieCar1">
    <w:name w:val="Texto nota pie Car1"/>
    <w:basedOn w:val="Fuentedeprrafopredeter"/>
    <w:uiPriority w:val="99"/>
    <w:semiHidden/>
    <w:rsid w:val="00914C81"/>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14C81"/>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914C81"/>
    <w:rPr>
      <w:vertAlign w:val="superscript"/>
    </w:rPr>
  </w:style>
  <w:style w:type="paragraph" w:customStyle="1" w:styleId="pa22">
    <w:name w:val="pa22"/>
    <w:basedOn w:val="Normal"/>
    <w:rsid w:val="00914C81"/>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914C81"/>
    <w:rPr>
      <w:b/>
      <w:bCs/>
    </w:rPr>
  </w:style>
  <w:style w:type="character" w:styleId="nfasis">
    <w:name w:val="Emphasis"/>
    <w:basedOn w:val="Fuentedeprrafopredeter"/>
    <w:uiPriority w:val="20"/>
    <w:qFormat/>
    <w:rsid w:val="00914C81"/>
    <w:rPr>
      <w:i/>
      <w:iCs/>
    </w:rPr>
  </w:style>
  <w:style w:type="paragraph" w:customStyle="1" w:styleId="Capitulo3">
    <w:name w:val="Capitulo 3"/>
    <w:basedOn w:val="Normal"/>
    <w:qFormat/>
    <w:rsid w:val="00914C81"/>
    <w:pPr>
      <w:keepNext/>
      <w:numPr>
        <w:numId w:val="2"/>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Default">
    <w:name w:val="Default"/>
    <w:rsid w:val="00914C8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2161B"/>
    <w:rPr>
      <w:color w:val="0563C1" w:themeColor="hyperlink"/>
      <w:u w:val="single"/>
    </w:rPr>
  </w:style>
  <w:style w:type="paragraph" w:styleId="Textodeglobo">
    <w:name w:val="Balloon Text"/>
    <w:basedOn w:val="Normal"/>
    <w:link w:val="TextodegloboCar"/>
    <w:uiPriority w:val="99"/>
    <w:semiHidden/>
    <w:unhideWhenUsed/>
    <w:rsid w:val="005118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838"/>
    <w:rPr>
      <w:rFonts w:ascii="Segoe UI" w:hAnsi="Segoe UI" w:cs="Segoe UI"/>
      <w:sz w:val="18"/>
      <w:szCs w:val="18"/>
      <w:lang w:val="es-MX"/>
    </w:rPr>
  </w:style>
  <w:style w:type="character" w:styleId="Refdecomentario">
    <w:name w:val="annotation reference"/>
    <w:basedOn w:val="Fuentedeprrafopredeter"/>
    <w:uiPriority w:val="99"/>
    <w:semiHidden/>
    <w:unhideWhenUsed/>
    <w:rsid w:val="00DB7E62"/>
    <w:rPr>
      <w:sz w:val="16"/>
      <w:szCs w:val="16"/>
    </w:rPr>
  </w:style>
  <w:style w:type="paragraph" w:styleId="Textocomentario">
    <w:name w:val="annotation text"/>
    <w:basedOn w:val="Normal"/>
    <w:link w:val="TextocomentarioCar"/>
    <w:uiPriority w:val="99"/>
    <w:semiHidden/>
    <w:unhideWhenUsed/>
    <w:rsid w:val="00DB7E62"/>
    <w:rPr>
      <w:sz w:val="20"/>
      <w:szCs w:val="20"/>
    </w:rPr>
  </w:style>
  <w:style w:type="character" w:customStyle="1" w:styleId="TextocomentarioCar">
    <w:name w:val="Texto comentario Car"/>
    <w:basedOn w:val="Fuentedeprrafopredeter"/>
    <w:link w:val="Textocomentario"/>
    <w:uiPriority w:val="99"/>
    <w:semiHidden/>
    <w:rsid w:val="00DB7E6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B7E62"/>
    <w:rPr>
      <w:b/>
      <w:bCs/>
    </w:rPr>
  </w:style>
  <w:style w:type="character" w:customStyle="1" w:styleId="AsuntodelcomentarioCar">
    <w:name w:val="Asunto del comentario Car"/>
    <w:basedOn w:val="TextocomentarioCar"/>
    <w:link w:val="Asuntodelcomentario"/>
    <w:uiPriority w:val="99"/>
    <w:semiHidden/>
    <w:rsid w:val="00DB7E62"/>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FDE8831-E7EF-4B0D-8ED2-F2409C4507D3}">
  <ds:schemaRefs>
    <ds:schemaRef ds:uri="http://schemas.openxmlformats.org/officeDocument/2006/bibliography"/>
  </ds:schemaRefs>
</ds:datastoreItem>
</file>

<file path=customXml/itemProps2.xml><?xml version="1.0" encoding="utf-8"?>
<ds:datastoreItem xmlns:ds="http://schemas.openxmlformats.org/officeDocument/2006/customXml" ds:itemID="{F4BA0DCA-7061-413A-AF4C-9EC0449C18CC}"/>
</file>

<file path=customXml/itemProps3.xml><?xml version="1.0" encoding="utf-8"?>
<ds:datastoreItem xmlns:ds="http://schemas.openxmlformats.org/officeDocument/2006/customXml" ds:itemID="{59640A8D-B120-4EA9-B1E2-5189CFEAEA46}"/>
</file>

<file path=customXml/itemProps4.xml><?xml version="1.0" encoding="utf-8"?>
<ds:datastoreItem xmlns:ds="http://schemas.openxmlformats.org/officeDocument/2006/customXml" ds:itemID="{EE090BEA-3116-49FA-906A-D943E685F5C9}"/>
</file>

<file path=docProps/app.xml><?xml version="1.0" encoding="utf-8"?>
<Properties xmlns="http://schemas.openxmlformats.org/officeDocument/2006/extended-properties" xmlns:vt="http://schemas.openxmlformats.org/officeDocument/2006/docPropsVTypes">
  <Template>Normal</Template>
  <TotalTime>0</TotalTime>
  <Pages>19</Pages>
  <Words>7593</Words>
  <Characters>41764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Andres Urrego</cp:lastModifiedBy>
  <cp:revision>2</cp:revision>
  <dcterms:created xsi:type="dcterms:W3CDTF">2020-09-18T18:45:00Z</dcterms:created>
  <dcterms:modified xsi:type="dcterms:W3CDTF">2020-09-18T18:45:00Z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