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A575F" w14:textId="28E910D2" w:rsidR="00DD5B04" w:rsidRPr="00404C61" w:rsidRDefault="00B55C69" w:rsidP="00AA7A60">
      <w:pPr>
        <w:jc w:val="right"/>
        <w:rPr>
          <w:rFonts w:ascii="Arial" w:eastAsia="Calibri" w:hAnsi="Arial" w:cs="Arial"/>
          <w:b/>
          <w:color w:val="000000" w:themeColor="text1"/>
          <w:sz w:val="20"/>
          <w:szCs w:val="20"/>
          <w:lang w:val="es-ES_tradnl"/>
        </w:rPr>
      </w:pPr>
      <w:bookmarkStart w:id="0" w:name="_Hlk28946138"/>
      <w:bookmarkStart w:id="1" w:name="_Hlk29548183"/>
      <w:r w:rsidRPr="00404C61">
        <w:rPr>
          <w:rFonts w:ascii="Arial" w:hAnsi="Arial" w:cs="Arial"/>
          <w:bCs/>
          <w:color w:val="000000" w:themeColor="text1"/>
          <w:sz w:val="16"/>
          <w:szCs w:val="16"/>
          <w:lang w:val="es-ES_tradnl" w:eastAsia="es-ES"/>
        </w:rPr>
        <w:t>CCE-DES-FM-17</w:t>
      </w:r>
    </w:p>
    <w:bookmarkEnd w:id="0"/>
    <w:bookmarkEnd w:id="1"/>
    <w:p w14:paraId="1BED658F" w14:textId="77777777" w:rsidR="00F02D25" w:rsidRPr="00404C61" w:rsidRDefault="00F02D25" w:rsidP="00E548C3">
      <w:pPr>
        <w:jc w:val="both"/>
        <w:rPr>
          <w:rFonts w:ascii="Arial" w:eastAsia="Calibri" w:hAnsi="Arial" w:cs="Arial"/>
          <w:b/>
          <w:bCs/>
          <w:color w:val="000000" w:themeColor="text1"/>
          <w:sz w:val="22"/>
          <w:lang w:val="es-ES_tradnl"/>
        </w:rPr>
      </w:pPr>
    </w:p>
    <w:p w14:paraId="736D10E8" w14:textId="587AC3FE" w:rsidR="003E3AF9" w:rsidRPr="000679DA" w:rsidRDefault="00304934" w:rsidP="003E3AF9">
      <w:pPr>
        <w:jc w:val="both"/>
        <w:rPr>
          <w:rFonts w:ascii="Arial" w:eastAsia="Calibri" w:hAnsi="Arial" w:cs="Arial"/>
          <w:b/>
          <w:color w:val="000000"/>
          <w:sz w:val="22"/>
        </w:rPr>
      </w:pPr>
      <w:r>
        <w:rPr>
          <w:rFonts w:ascii="Arial" w:eastAsia="Calibri" w:hAnsi="Arial" w:cs="Arial"/>
          <w:b/>
          <w:color w:val="000000"/>
          <w:sz w:val="22"/>
        </w:rPr>
        <w:t>DECRETO 092 DE 2017</w:t>
      </w:r>
      <w:r w:rsidR="003E3AF9" w:rsidRPr="000679DA">
        <w:rPr>
          <w:rFonts w:ascii="Arial" w:eastAsia="Calibri" w:hAnsi="Arial" w:cs="Arial"/>
          <w:b/>
          <w:color w:val="000000"/>
          <w:sz w:val="22"/>
        </w:rPr>
        <w:t xml:space="preserve"> –</w:t>
      </w:r>
      <w:r w:rsidR="00147FAC">
        <w:rPr>
          <w:rFonts w:ascii="Arial" w:eastAsia="Calibri" w:hAnsi="Arial" w:cs="Arial"/>
          <w:b/>
          <w:color w:val="000000"/>
          <w:sz w:val="22"/>
        </w:rPr>
        <w:t xml:space="preserve"> </w:t>
      </w:r>
      <w:r w:rsidR="009C1BA6">
        <w:rPr>
          <w:rFonts w:ascii="Arial" w:eastAsia="Calibri" w:hAnsi="Arial" w:cs="Arial"/>
          <w:b/>
          <w:color w:val="000000"/>
          <w:sz w:val="22"/>
        </w:rPr>
        <w:t>Constitución</w:t>
      </w:r>
      <w:r w:rsidR="003D21C1">
        <w:rPr>
          <w:rFonts w:ascii="Arial" w:eastAsia="Calibri" w:hAnsi="Arial" w:cs="Arial"/>
          <w:b/>
          <w:color w:val="000000"/>
          <w:sz w:val="22"/>
        </w:rPr>
        <w:t xml:space="preserve"> </w:t>
      </w:r>
      <w:r w:rsidR="003D21C1" w:rsidRPr="000679DA">
        <w:rPr>
          <w:rFonts w:ascii="Arial" w:eastAsia="Calibri" w:hAnsi="Arial" w:cs="Arial"/>
          <w:b/>
          <w:color w:val="000000"/>
          <w:sz w:val="22"/>
        </w:rPr>
        <w:t>–</w:t>
      </w:r>
      <w:r w:rsidR="003D21C1">
        <w:rPr>
          <w:rFonts w:ascii="Arial" w:eastAsia="Calibri" w:hAnsi="Arial" w:cs="Arial"/>
          <w:b/>
          <w:color w:val="000000"/>
          <w:sz w:val="22"/>
        </w:rPr>
        <w:t xml:space="preserve"> </w:t>
      </w:r>
      <w:r w:rsidR="00147FAC">
        <w:rPr>
          <w:rFonts w:ascii="Arial" w:eastAsia="Calibri" w:hAnsi="Arial" w:cs="Arial"/>
          <w:b/>
          <w:color w:val="000000"/>
          <w:sz w:val="22"/>
        </w:rPr>
        <w:t xml:space="preserve">Artículo 355 </w:t>
      </w:r>
      <w:r w:rsidR="00147FAC" w:rsidRPr="000679DA">
        <w:rPr>
          <w:rFonts w:ascii="Arial" w:eastAsia="Calibri" w:hAnsi="Arial" w:cs="Arial"/>
          <w:b/>
          <w:color w:val="000000"/>
          <w:sz w:val="22"/>
        </w:rPr>
        <w:t>–</w:t>
      </w:r>
      <w:r w:rsidR="00147FAC">
        <w:rPr>
          <w:rFonts w:ascii="Arial" w:eastAsia="Calibri" w:hAnsi="Arial" w:cs="Arial"/>
          <w:b/>
          <w:color w:val="000000"/>
          <w:sz w:val="22"/>
        </w:rPr>
        <w:t xml:space="preserve"> </w:t>
      </w:r>
      <w:r w:rsidR="009C1BA6">
        <w:rPr>
          <w:rFonts w:ascii="Arial" w:eastAsia="Calibri" w:hAnsi="Arial" w:cs="Arial"/>
          <w:b/>
          <w:color w:val="000000"/>
          <w:sz w:val="22"/>
        </w:rPr>
        <w:t>Tipos de convenios</w:t>
      </w:r>
    </w:p>
    <w:p w14:paraId="3A2E9502" w14:textId="77777777" w:rsidR="003E3AF9" w:rsidRPr="004C1CC6" w:rsidRDefault="003E3AF9" w:rsidP="003E3AF9">
      <w:pPr>
        <w:tabs>
          <w:tab w:val="left" w:pos="1816"/>
        </w:tabs>
        <w:jc w:val="both"/>
        <w:rPr>
          <w:rFonts w:ascii="Arial" w:eastAsia="Calibri" w:hAnsi="Arial" w:cs="Arial"/>
          <w:b/>
          <w:color w:val="000000"/>
          <w:sz w:val="22"/>
        </w:rPr>
      </w:pPr>
      <w:r w:rsidRPr="000679DA">
        <w:rPr>
          <w:rFonts w:ascii="Arial" w:eastAsia="Calibri" w:hAnsi="Arial" w:cs="Arial"/>
          <w:b/>
          <w:color w:val="000000"/>
          <w:sz w:val="22"/>
        </w:rPr>
        <w:t xml:space="preserve"> </w:t>
      </w:r>
      <w:r w:rsidRPr="000679DA">
        <w:rPr>
          <w:rFonts w:ascii="Arial" w:eastAsia="Calibri" w:hAnsi="Arial" w:cs="Arial"/>
          <w:b/>
          <w:color w:val="000000"/>
          <w:sz w:val="22"/>
        </w:rPr>
        <w:tab/>
      </w:r>
      <w:r>
        <w:rPr>
          <w:rFonts w:ascii="Arial" w:eastAsia="Calibri" w:hAnsi="Arial" w:cs="Arial"/>
          <w:color w:val="000000"/>
          <w:sz w:val="20"/>
          <w:szCs w:val="20"/>
        </w:rPr>
        <w:t xml:space="preserve"> </w:t>
      </w:r>
    </w:p>
    <w:p w14:paraId="4636489D" w14:textId="57DAE1DD" w:rsidR="009C1BA6" w:rsidRPr="009C1BA6" w:rsidRDefault="009C1BA6" w:rsidP="009C1BA6">
      <w:pPr>
        <w:tabs>
          <w:tab w:val="left" w:pos="709"/>
        </w:tabs>
        <w:jc w:val="both"/>
        <w:rPr>
          <w:rFonts w:ascii="Arial" w:eastAsia="Calibri" w:hAnsi="Arial" w:cs="Arial"/>
          <w:color w:val="000000"/>
          <w:sz w:val="20"/>
          <w:szCs w:val="20"/>
        </w:rPr>
      </w:pPr>
      <w:r w:rsidRPr="009C1BA6">
        <w:rPr>
          <w:rFonts w:ascii="Arial" w:eastAsia="Calibri" w:hAnsi="Arial" w:cs="Arial"/>
          <w:color w:val="000000"/>
          <w:sz w:val="20"/>
          <w:szCs w:val="20"/>
        </w:rPr>
        <w:t>El artículo 355 de la Constitución Política prohíbe a las ramas y órganos del poder público decretar auxilios o donaciones en favor de personas naturales o jurídicas. Igualmente, establece que las entidades del orden nacional, departamental, distrital y municipal podrán, con sus propios recursos, contratar con ESAL con el fin de impulsar programas y actividades de interés público acordes con el plan nacional y los planes seccionales de desarrollo. Por otra parte, el artículo 96 de la Ley 489 de 1998 permite a las entidades públicas en general, es decir, cualquiera sea su naturaleza y orden administrativo, asociarse con personas jurídicas particulares, mediante la celebración de convenios de asociación o la creación de personas jurídicas.</w:t>
      </w:r>
      <w:r w:rsidR="002E2D08">
        <w:rPr>
          <w:rFonts w:ascii="Arial" w:eastAsia="Calibri" w:hAnsi="Arial" w:cs="Arial"/>
          <w:color w:val="000000"/>
          <w:sz w:val="20"/>
          <w:szCs w:val="20"/>
        </w:rPr>
        <w:t xml:space="preserve"> </w:t>
      </w:r>
      <w:r w:rsidRPr="009C1BA6">
        <w:rPr>
          <w:rFonts w:ascii="Arial" w:eastAsia="Calibri" w:hAnsi="Arial" w:cs="Arial"/>
          <w:color w:val="000000"/>
          <w:sz w:val="20"/>
          <w:szCs w:val="20"/>
        </w:rPr>
        <w:t>Ambas figuras tienen como fin desarrollar conjuntamente actividades relacionadas con los cometidos y funciones legales asignadas a la entidad.</w:t>
      </w:r>
    </w:p>
    <w:p w14:paraId="4A0F3F7F" w14:textId="77777777" w:rsidR="009C1BA6" w:rsidRDefault="009C1BA6" w:rsidP="009C1BA6">
      <w:pPr>
        <w:tabs>
          <w:tab w:val="left" w:pos="709"/>
        </w:tabs>
        <w:jc w:val="both"/>
        <w:rPr>
          <w:rFonts w:ascii="Arial" w:eastAsia="Calibri" w:hAnsi="Arial" w:cs="Arial"/>
          <w:color w:val="000000"/>
          <w:sz w:val="20"/>
          <w:szCs w:val="20"/>
        </w:rPr>
      </w:pPr>
    </w:p>
    <w:p w14:paraId="0FEEB307" w14:textId="2205BB1A" w:rsidR="00CF24FE" w:rsidRDefault="009C1BA6" w:rsidP="009C1BA6">
      <w:pPr>
        <w:tabs>
          <w:tab w:val="left" w:pos="709"/>
        </w:tabs>
        <w:jc w:val="both"/>
        <w:rPr>
          <w:rFonts w:ascii="Arial" w:eastAsia="Arial" w:hAnsi="Arial" w:cs="Arial"/>
          <w:sz w:val="20"/>
          <w:szCs w:val="20"/>
          <w:lang w:val="es-ES_tradnl"/>
        </w:rPr>
      </w:pPr>
      <w:r w:rsidRPr="009C1BA6">
        <w:rPr>
          <w:rFonts w:ascii="Arial" w:eastAsia="Calibri" w:hAnsi="Arial" w:cs="Arial"/>
          <w:color w:val="000000"/>
          <w:sz w:val="20"/>
          <w:szCs w:val="20"/>
        </w:rPr>
        <w:t>El Decreto 092 de 2017 dispone reglas para las contrataciones que realicen las entidades estatales con las ESAL. El Decreto regula dos (2) eventos: i) los contratos del artículo 355 de la Constitución Política con el fin impulsar programas y actividades de interés público de acuerdo con el Plan Nacional o los planes seccionales de desarrollo, en los términos de dicha norma constitucional; y ii) los convenios de asociación, para el desarrollo conjunto de actividades relacionadas con las funciones de las entidades estatales, en desarrollo del artículo 96 de la Ley 489 de 1998.</w:t>
      </w:r>
    </w:p>
    <w:p w14:paraId="57EAB937" w14:textId="077DC6FB" w:rsidR="00A43F27" w:rsidRDefault="00A43F27" w:rsidP="00DF76A2">
      <w:pPr>
        <w:spacing w:line="276" w:lineRule="auto"/>
        <w:jc w:val="both"/>
        <w:rPr>
          <w:rFonts w:ascii="Arial" w:hAnsi="Arial" w:cs="Arial"/>
          <w:noProof/>
          <w:color w:val="000000" w:themeColor="text1"/>
          <w:sz w:val="22"/>
          <w:lang w:val="es-ES_tradnl"/>
        </w:rPr>
      </w:pPr>
    </w:p>
    <w:p w14:paraId="6A1C37FF" w14:textId="28E87EDE" w:rsidR="00A43F27" w:rsidRPr="000679DA" w:rsidRDefault="00A43F27" w:rsidP="00A43F27">
      <w:pPr>
        <w:jc w:val="both"/>
        <w:rPr>
          <w:rFonts w:ascii="Arial" w:eastAsia="Calibri" w:hAnsi="Arial" w:cs="Arial"/>
          <w:b/>
          <w:color w:val="000000"/>
          <w:sz w:val="22"/>
        </w:rPr>
      </w:pPr>
      <w:r>
        <w:rPr>
          <w:rFonts w:ascii="Arial" w:eastAsia="Calibri" w:hAnsi="Arial" w:cs="Arial"/>
          <w:b/>
          <w:color w:val="000000"/>
          <w:sz w:val="22"/>
        </w:rPr>
        <w:t xml:space="preserve">AUTORIZACIÓN PREVIA </w:t>
      </w:r>
      <w:r w:rsidRPr="000679DA">
        <w:rPr>
          <w:rFonts w:ascii="Arial" w:eastAsia="Calibri" w:hAnsi="Arial" w:cs="Arial"/>
          <w:b/>
          <w:color w:val="000000"/>
          <w:sz w:val="22"/>
        </w:rPr>
        <w:t>–</w:t>
      </w:r>
      <w:r>
        <w:rPr>
          <w:rFonts w:ascii="Arial" w:eastAsia="Calibri" w:hAnsi="Arial" w:cs="Arial"/>
          <w:b/>
          <w:color w:val="000000"/>
          <w:sz w:val="22"/>
        </w:rPr>
        <w:t xml:space="preserve"> Decreto 092 de 2017 </w:t>
      </w:r>
      <w:r w:rsidRPr="000679DA">
        <w:rPr>
          <w:rFonts w:ascii="Arial" w:eastAsia="Calibri" w:hAnsi="Arial" w:cs="Arial"/>
          <w:b/>
          <w:color w:val="000000"/>
          <w:sz w:val="22"/>
        </w:rPr>
        <w:t>–</w:t>
      </w:r>
      <w:r>
        <w:rPr>
          <w:rFonts w:ascii="Arial" w:eastAsia="Calibri" w:hAnsi="Arial" w:cs="Arial"/>
          <w:b/>
          <w:color w:val="000000"/>
          <w:sz w:val="22"/>
        </w:rPr>
        <w:t xml:space="preserve"> Delegación contractual </w:t>
      </w:r>
      <w:r w:rsidRPr="000679DA">
        <w:rPr>
          <w:rFonts w:ascii="Arial" w:eastAsia="Calibri" w:hAnsi="Arial" w:cs="Arial"/>
          <w:b/>
          <w:color w:val="000000"/>
          <w:sz w:val="22"/>
        </w:rPr>
        <w:t>–</w:t>
      </w:r>
      <w:r>
        <w:rPr>
          <w:rFonts w:ascii="Arial" w:eastAsia="Calibri" w:hAnsi="Arial" w:cs="Arial"/>
          <w:b/>
          <w:color w:val="000000"/>
          <w:sz w:val="22"/>
        </w:rPr>
        <w:t xml:space="preserve"> Permitida </w:t>
      </w:r>
      <w:r w:rsidRPr="000679DA">
        <w:rPr>
          <w:rFonts w:ascii="Arial" w:eastAsia="Calibri" w:hAnsi="Arial" w:cs="Arial"/>
          <w:b/>
          <w:color w:val="000000"/>
          <w:sz w:val="22"/>
        </w:rPr>
        <w:t>–</w:t>
      </w:r>
      <w:r>
        <w:rPr>
          <w:rFonts w:ascii="Arial" w:eastAsia="Calibri" w:hAnsi="Arial" w:cs="Arial"/>
          <w:b/>
          <w:color w:val="000000"/>
          <w:sz w:val="22"/>
        </w:rPr>
        <w:t xml:space="preserve"> Alcance</w:t>
      </w:r>
    </w:p>
    <w:p w14:paraId="7F47372A" w14:textId="0FD042BD" w:rsidR="00A43F27" w:rsidRDefault="00A43F27" w:rsidP="00DF76A2">
      <w:pPr>
        <w:spacing w:line="276" w:lineRule="auto"/>
        <w:jc w:val="both"/>
        <w:rPr>
          <w:rFonts w:ascii="Arial" w:hAnsi="Arial" w:cs="Arial"/>
          <w:noProof/>
          <w:color w:val="000000" w:themeColor="text1"/>
          <w:sz w:val="22"/>
        </w:rPr>
      </w:pPr>
    </w:p>
    <w:p w14:paraId="788E36B8" w14:textId="6D0E281E" w:rsidR="005060EF" w:rsidRPr="005060EF" w:rsidRDefault="005060EF" w:rsidP="005060EF">
      <w:pPr>
        <w:tabs>
          <w:tab w:val="left" w:pos="426"/>
        </w:tabs>
        <w:jc w:val="both"/>
        <w:rPr>
          <w:rFonts w:ascii="Arial" w:eastAsia="Calibri" w:hAnsi="Arial" w:cs="Arial"/>
          <w:sz w:val="20"/>
          <w:szCs w:val="20"/>
          <w:lang w:val="es-ES"/>
        </w:rPr>
      </w:pPr>
      <w:r w:rsidRPr="005060EF">
        <w:rPr>
          <w:rFonts w:ascii="Arial" w:eastAsia="Calibri" w:hAnsi="Arial" w:cs="Arial"/>
          <w:sz w:val="20"/>
          <w:szCs w:val="20"/>
          <w:lang w:val="es-ES"/>
        </w:rPr>
        <w:t xml:space="preserve">[…], la autorización indelegable del representante legal, ordenada por el enunciado normativo de manera previa, para cada caso concreto, es para «contratar», es decir, «para cada contrato en particular que la Entidad Estatal planee suscribir». Dicho aval debe materializarse entonces en un acto administrativo, ya que la autorización es unilateral. Ahora bien, como las normas atributivas de competencia son de interpretación restrictiva, debe entenderse que dicha autorización se requiere de manera previa a la celebración del contrato. </w:t>
      </w:r>
      <w:r w:rsidRPr="005060EF">
        <w:rPr>
          <w:rFonts w:ascii="Arial" w:eastAsia="Calibri" w:hAnsi="Arial" w:cs="Arial"/>
          <w:i/>
          <w:iCs/>
          <w:sz w:val="20"/>
          <w:szCs w:val="20"/>
          <w:lang w:val="es-ES"/>
        </w:rPr>
        <w:t>No para la suscripción de los actos contractuales o post-contractuales</w:t>
      </w:r>
      <w:r w:rsidRPr="005060EF">
        <w:rPr>
          <w:rFonts w:ascii="Arial" w:eastAsia="Calibri" w:hAnsi="Arial" w:cs="Arial"/>
          <w:sz w:val="20"/>
          <w:szCs w:val="20"/>
          <w:lang w:val="es-ES"/>
        </w:rPr>
        <w:t>. En consecuencia, no quiere decir que el representante legal tenga prohibido delegar la celebración del contrato o toda la etapa de ejecución y liquidación en los servidores públicos del nivel directivo o ejecutivo o en sus equivalentes. Expresado en otras palabras, luego de que el representante legal haya impartido la autorización previa mediante acto administrativo, la cual es indelegable, nada se opone a que pueda delegar las demás etapas de la actividad contractual, sino que, por el contrario, el artículo 12 de la Ley 80 de 1993 lo autoriza, en los siguientes términos: «Los jefes y los representantes legales de las entidades estatales podrán delegar total o parcialmente la competencia para celebrar contratos y desconcentrar la realización de licitaciones los servidores públicos que desempeñen cargos del nivel directivo o ejecutivo o en sus equivalentes».</w:t>
      </w:r>
    </w:p>
    <w:p w14:paraId="439CFC77" w14:textId="77777777" w:rsidR="005060EF" w:rsidRPr="005060EF" w:rsidRDefault="005060EF" w:rsidP="00DF76A2">
      <w:pPr>
        <w:spacing w:line="276" w:lineRule="auto"/>
        <w:jc w:val="both"/>
        <w:rPr>
          <w:rFonts w:ascii="Arial" w:hAnsi="Arial" w:cs="Arial"/>
          <w:noProof/>
          <w:color w:val="000000" w:themeColor="text1"/>
          <w:sz w:val="22"/>
          <w:lang w:val="es-ES"/>
        </w:rPr>
      </w:pPr>
    </w:p>
    <w:p w14:paraId="4E5C1D62" w14:textId="58499B15" w:rsidR="00DD5B04" w:rsidRPr="00404C61" w:rsidRDefault="00DD5B04" w:rsidP="00DF76A2">
      <w:pPr>
        <w:spacing w:line="276" w:lineRule="auto"/>
        <w:jc w:val="both"/>
        <w:rPr>
          <w:rFonts w:ascii="Arial" w:eastAsia="Calibri" w:hAnsi="Arial" w:cs="Arial"/>
          <w:noProof/>
          <w:color w:val="000000" w:themeColor="text1"/>
          <w:sz w:val="20"/>
          <w:lang w:val="es-ES_tradnl"/>
        </w:rPr>
      </w:pPr>
      <w:r w:rsidRPr="00404C61">
        <w:rPr>
          <w:rFonts w:ascii="Arial" w:hAnsi="Arial" w:cs="Arial"/>
          <w:noProof/>
          <w:color w:val="000000" w:themeColor="text1"/>
          <w:sz w:val="22"/>
          <w:lang w:val="es-ES_tradnl"/>
        </w:rPr>
        <w:t xml:space="preserve">Bogotá D.C., </w:t>
      </w:r>
      <w:r w:rsidR="003474FC">
        <w:rPr>
          <w:rFonts w:ascii="Arial" w:hAnsi="Arial" w:cs="Arial"/>
          <w:b/>
          <w:bCs/>
          <w:noProof/>
          <w:color w:val="000000" w:themeColor="text1"/>
          <w:sz w:val="22"/>
          <w:lang w:val="es-ES_tradnl"/>
        </w:rPr>
        <w:t>09/12/2020</w:t>
      </w:r>
    </w:p>
    <w:p w14:paraId="3EE008C6" w14:textId="31AB9A3B" w:rsidR="00DD5B04" w:rsidRPr="00404C61" w:rsidRDefault="00DD5B04" w:rsidP="002A1A58">
      <w:pPr>
        <w:spacing w:line="276" w:lineRule="auto"/>
        <w:jc w:val="right"/>
        <w:rPr>
          <w:rFonts w:ascii="Arial" w:hAnsi="Arial" w:cs="Arial"/>
          <w:b/>
          <w:noProof/>
          <w:color w:val="000000" w:themeColor="text1"/>
          <w:sz w:val="22"/>
          <w:lang w:val="es-ES_tradnl"/>
        </w:rPr>
      </w:pPr>
      <w:r w:rsidRPr="00404C61">
        <w:rPr>
          <w:rFonts w:ascii="Arial" w:hAnsi="Arial" w:cs="Arial"/>
          <w:b/>
          <w:noProof/>
          <w:color w:val="000000" w:themeColor="text1"/>
          <w:sz w:val="22"/>
          <w:lang w:val="es-ES_tradnl"/>
        </w:rPr>
        <w:t>N° Radicado:</w:t>
      </w:r>
      <w:r w:rsidR="00F54006">
        <w:rPr>
          <w:rFonts w:ascii="Arial" w:hAnsi="Arial" w:cs="Arial"/>
          <w:b/>
          <w:noProof/>
          <w:color w:val="000000" w:themeColor="text1"/>
          <w:sz w:val="22"/>
          <w:lang w:val="es-ES_tradnl"/>
        </w:rPr>
        <w:t xml:space="preserve"> </w:t>
      </w:r>
      <w:r w:rsidR="003474FC">
        <w:rPr>
          <w:rFonts w:ascii="Arial" w:hAnsi="Arial" w:cs="Arial"/>
          <w:b/>
          <w:bCs/>
          <w:noProof/>
          <w:color w:val="000000" w:themeColor="text1"/>
          <w:sz w:val="22"/>
          <w:lang w:val="es-ES_tradnl"/>
        </w:rPr>
        <w:t>22020</w:t>
      </w:r>
      <w:r w:rsidR="00802827">
        <w:rPr>
          <w:rFonts w:ascii="Arial" w:hAnsi="Arial" w:cs="Arial"/>
          <w:b/>
          <w:bCs/>
          <w:noProof/>
          <w:color w:val="000000" w:themeColor="text1"/>
          <w:sz w:val="22"/>
          <w:lang w:val="es-ES_tradnl"/>
        </w:rPr>
        <w:t>13000011955</w:t>
      </w:r>
    </w:p>
    <w:p w14:paraId="33BD7B68" w14:textId="77777777" w:rsidR="00DD5B04" w:rsidRPr="00404C61" w:rsidRDefault="00DD5B04" w:rsidP="00DF76A2">
      <w:pPr>
        <w:jc w:val="both"/>
        <w:rPr>
          <w:rFonts w:ascii="Arial" w:hAnsi="Arial" w:cs="Arial"/>
          <w:b/>
          <w:color w:val="000000" w:themeColor="text1"/>
          <w:sz w:val="22"/>
          <w:lang w:val="es-ES_tradnl"/>
        </w:rPr>
      </w:pPr>
    </w:p>
    <w:p w14:paraId="74A475A6" w14:textId="0072C0AD" w:rsidR="00DD5B04" w:rsidRPr="00404C61" w:rsidRDefault="00DD5B04" w:rsidP="00DF76A2">
      <w:pPr>
        <w:jc w:val="both"/>
        <w:rPr>
          <w:rFonts w:ascii="Arial" w:eastAsia="Calibri" w:hAnsi="Arial" w:cs="Arial"/>
          <w:color w:val="000000" w:themeColor="text1"/>
          <w:sz w:val="22"/>
          <w:lang w:val="es-ES_tradnl"/>
        </w:rPr>
      </w:pPr>
      <w:r w:rsidRPr="00404C61">
        <w:rPr>
          <w:rFonts w:ascii="Arial" w:eastAsia="Calibri" w:hAnsi="Arial" w:cs="Arial"/>
          <w:color w:val="000000" w:themeColor="text1"/>
          <w:sz w:val="22"/>
          <w:lang w:val="es-ES_tradnl"/>
        </w:rPr>
        <w:t>Señor</w:t>
      </w:r>
    </w:p>
    <w:p w14:paraId="6011130B" w14:textId="309D20E6" w:rsidR="00AE1990" w:rsidRPr="00404C61" w:rsidRDefault="00E433B9" w:rsidP="00DF76A2">
      <w:pPr>
        <w:jc w:val="both"/>
        <w:rPr>
          <w:rFonts w:ascii="Arial" w:eastAsia="Calibri" w:hAnsi="Arial" w:cs="Arial"/>
          <w:b/>
          <w:color w:val="000000" w:themeColor="text1"/>
          <w:sz w:val="22"/>
          <w:lang w:val="es-ES_tradnl"/>
        </w:rPr>
      </w:pPr>
      <w:r w:rsidRPr="00EC1D87">
        <w:rPr>
          <w:rFonts w:ascii="Arial" w:eastAsia="Calibri" w:hAnsi="Arial" w:cs="Arial"/>
          <w:b/>
          <w:color w:val="000000" w:themeColor="text1"/>
          <w:sz w:val="22"/>
          <w:lang w:val="es-ES_tradnl"/>
        </w:rPr>
        <w:t>Fabián Darío Romero</w:t>
      </w:r>
      <w:r w:rsidR="00EC1D87" w:rsidRPr="00EC1D87">
        <w:rPr>
          <w:rFonts w:ascii="Arial" w:eastAsia="Calibri" w:hAnsi="Arial" w:cs="Arial"/>
          <w:b/>
          <w:color w:val="000000" w:themeColor="text1"/>
          <w:sz w:val="22"/>
          <w:lang w:val="es-ES_tradnl"/>
        </w:rPr>
        <w:t xml:space="preserve"> </w:t>
      </w:r>
    </w:p>
    <w:p w14:paraId="5E9E4CD6" w14:textId="4F1126FA" w:rsidR="00DD5B04" w:rsidRPr="00404C61" w:rsidRDefault="00DD5B04" w:rsidP="00DF76A2">
      <w:pPr>
        <w:jc w:val="both"/>
        <w:rPr>
          <w:rFonts w:ascii="Arial" w:eastAsia="Calibri" w:hAnsi="Arial" w:cs="Arial"/>
          <w:color w:val="000000" w:themeColor="text1"/>
          <w:sz w:val="22"/>
          <w:lang w:val="es-ES_tradnl"/>
        </w:rPr>
      </w:pPr>
      <w:r w:rsidRPr="00404C61">
        <w:rPr>
          <w:rFonts w:ascii="Arial" w:eastAsia="Calibri" w:hAnsi="Arial" w:cs="Arial"/>
          <w:color w:val="000000" w:themeColor="text1"/>
          <w:sz w:val="22"/>
          <w:lang w:val="es-ES_tradnl"/>
        </w:rPr>
        <w:t>Ciudad</w:t>
      </w:r>
    </w:p>
    <w:p w14:paraId="79F69118" w14:textId="77777777" w:rsidR="00DD5B04" w:rsidRPr="00404C61" w:rsidRDefault="00DD5B04" w:rsidP="00DF76A2">
      <w:pPr>
        <w:jc w:val="both"/>
        <w:rPr>
          <w:rFonts w:ascii="Arial" w:eastAsia="Calibri" w:hAnsi="Arial" w:cs="Arial"/>
          <w:color w:val="000000" w:themeColor="text1"/>
          <w:sz w:val="22"/>
          <w:lang w:val="es-ES_tradnl"/>
        </w:rPr>
      </w:pPr>
    </w:p>
    <w:p w14:paraId="03294061" w14:textId="77777777" w:rsidR="00DD5B04" w:rsidRPr="00404C61" w:rsidRDefault="00DD5B04" w:rsidP="00DF76A2">
      <w:pPr>
        <w:jc w:val="both"/>
        <w:rPr>
          <w:rFonts w:ascii="Arial" w:eastAsia="Calibri" w:hAnsi="Arial" w:cs="Arial"/>
          <w:color w:val="000000" w:themeColor="text1"/>
          <w:sz w:val="22"/>
          <w:lang w:val="es-ES_tradnl"/>
        </w:rPr>
      </w:pPr>
    </w:p>
    <w:p w14:paraId="60978A0D" w14:textId="5324E93A" w:rsidR="00DD5B04" w:rsidRPr="00404C61" w:rsidRDefault="00DD5B04" w:rsidP="002A1A58">
      <w:pPr>
        <w:jc w:val="center"/>
        <w:rPr>
          <w:rFonts w:ascii="Arial" w:eastAsia="Calibri" w:hAnsi="Arial" w:cs="Arial"/>
          <w:b/>
          <w:bCs/>
          <w:color w:val="000000" w:themeColor="text1"/>
          <w:sz w:val="22"/>
          <w:lang w:val="es-ES_tradnl"/>
        </w:rPr>
      </w:pPr>
      <w:r w:rsidRPr="005E273D">
        <w:rPr>
          <w:rFonts w:ascii="Arial" w:eastAsia="Calibri" w:hAnsi="Arial" w:cs="Arial"/>
          <w:b/>
          <w:bCs/>
          <w:color w:val="000000" w:themeColor="text1"/>
          <w:sz w:val="22"/>
          <w:lang w:val="es-ES_tradnl"/>
        </w:rPr>
        <w:t>Concepto C</w:t>
      </w:r>
      <w:r w:rsidR="00FE144E" w:rsidRPr="005E273D">
        <w:rPr>
          <w:rFonts w:ascii="Arial" w:eastAsia="Calibri" w:hAnsi="Arial" w:cs="Arial"/>
          <w:b/>
          <w:bCs/>
          <w:color w:val="000000" w:themeColor="text1"/>
          <w:sz w:val="22"/>
          <w:lang w:val="es-ES_tradnl"/>
        </w:rPr>
        <w:t xml:space="preserve"> </w:t>
      </w:r>
      <w:r w:rsidRPr="005E273D">
        <w:rPr>
          <w:rFonts w:ascii="Arial" w:eastAsia="Calibri" w:hAnsi="Arial" w:cs="Arial"/>
          <w:b/>
          <w:bCs/>
          <w:color w:val="000000" w:themeColor="text1"/>
          <w:sz w:val="22"/>
          <w:lang w:val="es-ES_tradnl"/>
        </w:rPr>
        <w:t xml:space="preserve">‒ </w:t>
      </w:r>
      <w:r w:rsidR="00100BF2">
        <w:rPr>
          <w:rFonts w:ascii="Arial" w:eastAsia="Calibri" w:hAnsi="Arial" w:cs="Arial"/>
          <w:b/>
          <w:bCs/>
          <w:color w:val="000000" w:themeColor="text1"/>
          <w:sz w:val="22"/>
          <w:lang w:val="es-ES_tradnl"/>
        </w:rPr>
        <w:t>723</w:t>
      </w:r>
      <w:r w:rsidR="00B52697" w:rsidRPr="005E273D">
        <w:rPr>
          <w:rFonts w:ascii="Arial" w:eastAsia="Calibri" w:hAnsi="Arial" w:cs="Arial"/>
          <w:b/>
          <w:bCs/>
          <w:color w:val="000000" w:themeColor="text1"/>
          <w:sz w:val="22"/>
          <w:lang w:val="es-ES_tradnl"/>
        </w:rPr>
        <w:t xml:space="preserve"> </w:t>
      </w:r>
      <w:r w:rsidRPr="005E273D">
        <w:rPr>
          <w:rFonts w:ascii="Arial" w:eastAsia="Calibri" w:hAnsi="Arial" w:cs="Arial"/>
          <w:b/>
          <w:bCs/>
          <w:color w:val="000000" w:themeColor="text1"/>
          <w:sz w:val="22"/>
          <w:lang w:val="es-ES_tradnl"/>
        </w:rPr>
        <w:t>de 2020</w:t>
      </w:r>
    </w:p>
    <w:p w14:paraId="3097F323" w14:textId="3A1E6C73" w:rsidR="00DD5B04" w:rsidRPr="00404C61" w:rsidRDefault="00DD5B04" w:rsidP="00DF76A2">
      <w:pPr>
        <w:jc w:val="both"/>
        <w:rPr>
          <w:rFonts w:ascii="Arial" w:eastAsia="Calibri" w:hAnsi="Arial" w:cs="Arial"/>
          <w:color w:val="000000" w:themeColor="text1"/>
          <w:sz w:val="22"/>
          <w:lang w:val="es-ES_tradnl"/>
        </w:rPr>
      </w:pPr>
    </w:p>
    <w:p w14:paraId="3C334747" w14:textId="77777777" w:rsidR="00F02D25" w:rsidRPr="00404C61" w:rsidRDefault="00F02D25" w:rsidP="00DF76A2">
      <w:pPr>
        <w:jc w:val="both"/>
        <w:rPr>
          <w:rFonts w:ascii="Arial" w:eastAsia="Calibri" w:hAnsi="Arial" w:cs="Arial"/>
          <w:color w:val="000000" w:themeColor="text1"/>
          <w:sz w:val="22"/>
          <w:lang w:val="es-ES_tradnl"/>
        </w:rPr>
      </w:pPr>
    </w:p>
    <w:p w14:paraId="50574B19" w14:textId="77777777" w:rsidR="00DD5B04" w:rsidRPr="00404C61" w:rsidRDefault="00DD5B04" w:rsidP="00DF76A2">
      <w:pPr>
        <w:jc w:val="both"/>
        <w:rPr>
          <w:rFonts w:ascii="Arial" w:eastAsia="Calibri" w:hAnsi="Arial" w:cs="Arial"/>
          <w:color w:val="000000" w:themeColor="text1"/>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DD5B04" w:rsidRPr="00404C61" w14:paraId="10318206" w14:textId="77777777" w:rsidTr="00083F1B">
        <w:tc>
          <w:tcPr>
            <w:tcW w:w="2689" w:type="dxa"/>
          </w:tcPr>
          <w:p w14:paraId="3FE8DF90" w14:textId="77777777" w:rsidR="00DD5B04" w:rsidRPr="00404C61" w:rsidRDefault="00DD5B04" w:rsidP="00DF76A2">
            <w:pPr>
              <w:jc w:val="both"/>
              <w:rPr>
                <w:rFonts w:ascii="Arial" w:eastAsia="Calibri" w:hAnsi="Arial" w:cs="Arial"/>
                <w:color w:val="000000" w:themeColor="text1"/>
                <w:sz w:val="22"/>
                <w:lang w:val="es-ES_tradnl"/>
              </w:rPr>
            </w:pPr>
            <w:r w:rsidRPr="00404C61">
              <w:rPr>
                <w:rFonts w:ascii="Arial" w:eastAsia="Calibri" w:hAnsi="Arial" w:cs="Arial"/>
                <w:b/>
                <w:color w:val="000000" w:themeColor="text1"/>
                <w:sz w:val="22"/>
                <w:lang w:val="es-ES_tradnl"/>
              </w:rPr>
              <w:t>Temas:</w:t>
            </w:r>
            <w:r w:rsidRPr="00404C61">
              <w:rPr>
                <w:rFonts w:ascii="Arial" w:eastAsia="Calibri" w:hAnsi="Arial" w:cs="Arial"/>
                <w:color w:val="000000" w:themeColor="text1"/>
                <w:sz w:val="22"/>
                <w:lang w:val="es-ES_tradnl"/>
              </w:rPr>
              <w:t xml:space="preserve">                                      </w:t>
            </w:r>
          </w:p>
        </w:tc>
        <w:tc>
          <w:tcPr>
            <w:tcW w:w="6237" w:type="dxa"/>
          </w:tcPr>
          <w:p w14:paraId="63D57D37" w14:textId="5065ECB1" w:rsidR="00DD5B04" w:rsidRPr="00404C61" w:rsidRDefault="000626D6" w:rsidP="00DF76A2">
            <w:pPr>
              <w:jc w:val="both"/>
              <w:rPr>
                <w:rFonts w:ascii="Arial" w:eastAsia="Calibri" w:hAnsi="Arial" w:cs="Arial"/>
                <w:color w:val="000000" w:themeColor="text1"/>
                <w:sz w:val="22"/>
                <w:lang w:val="es-ES_tradnl"/>
              </w:rPr>
            </w:pPr>
            <w:r w:rsidRPr="000626D6">
              <w:rPr>
                <w:rFonts w:ascii="Arial" w:eastAsia="Arial" w:hAnsi="Arial" w:cs="Arial"/>
                <w:sz w:val="22"/>
                <w:lang w:val="es-ES_tradnl"/>
              </w:rPr>
              <w:t>DECRETO 092 DE 2017 – Constitución – Artículo 355 – Tipos de convenios</w:t>
            </w:r>
            <w:r w:rsidR="009F7263" w:rsidRPr="009F7263">
              <w:rPr>
                <w:rFonts w:ascii="Arial" w:eastAsia="Arial" w:hAnsi="Arial" w:cs="Arial"/>
                <w:sz w:val="22"/>
                <w:lang w:val="es-ES_tradnl"/>
              </w:rPr>
              <w:t xml:space="preserve"> </w:t>
            </w:r>
            <w:r>
              <w:rPr>
                <w:rFonts w:ascii="Arial" w:eastAsia="Arial" w:hAnsi="Arial" w:cs="Arial"/>
                <w:sz w:val="22"/>
                <w:lang w:val="es-ES_tradnl"/>
              </w:rPr>
              <w:t xml:space="preserve">/ </w:t>
            </w:r>
            <w:r w:rsidRPr="000626D6">
              <w:rPr>
                <w:rFonts w:ascii="Arial" w:eastAsia="Arial" w:hAnsi="Arial" w:cs="Arial"/>
                <w:sz w:val="22"/>
                <w:lang w:val="es-ES_tradnl"/>
              </w:rPr>
              <w:t>AUTORIZACIÓN PREVIA – Decreto 092 de 2017 – Delegación contractual – Permitida – Alcance</w:t>
            </w:r>
            <w:r w:rsidR="00DE7108" w:rsidRPr="00404C61">
              <w:rPr>
                <w:rFonts w:ascii="Arial" w:eastAsia="Arial" w:hAnsi="Arial" w:cs="Arial"/>
                <w:sz w:val="22"/>
                <w:lang w:val="es-ES_tradnl"/>
              </w:rPr>
              <w:t>.</w:t>
            </w:r>
          </w:p>
        </w:tc>
      </w:tr>
      <w:tr w:rsidR="00DD5B04" w:rsidRPr="00404C61" w14:paraId="60E06E0C" w14:textId="77777777" w:rsidTr="00083F1B">
        <w:tc>
          <w:tcPr>
            <w:tcW w:w="2689" w:type="dxa"/>
          </w:tcPr>
          <w:p w14:paraId="5655C7E4" w14:textId="77777777" w:rsidR="00DD5B04" w:rsidRPr="00404C61" w:rsidRDefault="00DD5B04" w:rsidP="00DF76A2">
            <w:pPr>
              <w:spacing w:before="120"/>
              <w:jc w:val="both"/>
              <w:rPr>
                <w:rFonts w:ascii="Arial" w:eastAsia="Calibri" w:hAnsi="Arial" w:cs="Arial"/>
                <w:b/>
                <w:color w:val="000000" w:themeColor="text1"/>
                <w:sz w:val="22"/>
                <w:lang w:val="es-ES_tradnl"/>
              </w:rPr>
            </w:pPr>
            <w:r w:rsidRPr="00404C61">
              <w:rPr>
                <w:rFonts w:ascii="Arial" w:eastAsia="Calibri" w:hAnsi="Arial" w:cs="Arial"/>
                <w:b/>
                <w:color w:val="000000" w:themeColor="text1"/>
                <w:sz w:val="22"/>
                <w:lang w:val="es-ES_tradnl"/>
              </w:rPr>
              <w:t>Radicación:</w:t>
            </w:r>
            <w:r w:rsidRPr="00404C61">
              <w:rPr>
                <w:rFonts w:ascii="Arial" w:eastAsia="Calibri" w:hAnsi="Arial" w:cs="Arial"/>
                <w:color w:val="000000" w:themeColor="text1"/>
                <w:sz w:val="22"/>
                <w:lang w:val="es-ES_tradnl"/>
              </w:rPr>
              <w:t xml:space="preserve">                              </w:t>
            </w:r>
          </w:p>
        </w:tc>
        <w:tc>
          <w:tcPr>
            <w:tcW w:w="6237" w:type="dxa"/>
          </w:tcPr>
          <w:p w14:paraId="33E25A02" w14:textId="72201DE3" w:rsidR="00DD5B04" w:rsidRPr="00404C61" w:rsidRDefault="00DD5B04" w:rsidP="00DF76A2">
            <w:pPr>
              <w:spacing w:before="120"/>
              <w:jc w:val="both"/>
              <w:rPr>
                <w:rFonts w:ascii="Arial" w:eastAsia="Calibri" w:hAnsi="Arial" w:cs="Arial"/>
                <w:color w:val="000000" w:themeColor="text1"/>
                <w:sz w:val="22"/>
                <w:lang w:val="es-ES_tradnl"/>
              </w:rPr>
            </w:pPr>
            <w:r w:rsidRPr="00404C61">
              <w:rPr>
                <w:rFonts w:ascii="Arial" w:eastAsia="Calibri" w:hAnsi="Arial" w:cs="Arial"/>
                <w:color w:val="000000" w:themeColor="text1"/>
                <w:sz w:val="22"/>
                <w:lang w:val="es-ES_tradnl"/>
              </w:rPr>
              <w:t>Respuesta</w:t>
            </w:r>
            <w:r w:rsidR="008100F7" w:rsidRPr="00404C61">
              <w:rPr>
                <w:rFonts w:ascii="Arial" w:eastAsia="Calibri" w:hAnsi="Arial" w:cs="Arial"/>
                <w:color w:val="000000" w:themeColor="text1"/>
                <w:sz w:val="22"/>
                <w:lang w:val="es-ES_tradnl"/>
              </w:rPr>
              <w:t xml:space="preserve"> </w:t>
            </w:r>
            <w:r w:rsidR="00CA5812" w:rsidRPr="00404C61">
              <w:rPr>
                <w:rFonts w:ascii="Arial" w:eastAsia="Calibri" w:hAnsi="Arial" w:cs="Arial"/>
                <w:color w:val="000000" w:themeColor="text1"/>
                <w:sz w:val="22"/>
                <w:lang w:val="es-ES_tradnl"/>
              </w:rPr>
              <w:t xml:space="preserve">a </w:t>
            </w:r>
            <w:r w:rsidRPr="00404C61">
              <w:rPr>
                <w:rFonts w:ascii="Arial" w:eastAsia="Calibri" w:hAnsi="Arial" w:cs="Arial"/>
                <w:color w:val="000000" w:themeColor="text1"/>
                <w:sz w:val="22"/>
                <w:lang w:val="es-ES_tradnl"/>
              </w:rPr>
              <w:t>consulta</w:t>
            </w:r>
            <w:r w:rsidR="008022C9" w:rsidRPr="00404C61">
              <w:rPr>
                <w:rFonts w:ascii="Arial" w:eastAsia="Calibri" w:hAnsi="Arial" w:cs="Arial"/>
                <w:color w:val="000000" w:themeColor="text1"/>
                <w:sz w:val="22"/>
                <w:lang w:val="es-ES_tradnl"/>
              </w:rPr>
              <w:t xml:space="preserve"> </w:t>
            </w:r>
            <w:r w:rsidRPr="00404C61">
              <w:rPr>
                <w:rFonts w:ascii="Arial" w:eastAsia="Calibri" w:hAnsi="Arial" w:cs="Arial"/>
                <w:color w:val="000000" w:themeColor="text1"/>
                <w:sz w:val="22"/>
                <w:lang w:val="es-ES_tradnl"/>
              </w:rPr>
              <w:t xml:space="preserve"># </w:t>
            </w:r>
            <w:r w:rsidR="00D37308" w:rsidRPr="00D37308">
              <w:rPr>
                <w:rFonts w:ascii="Arial" w:eastAsia="Calibri" w:hAnsi="Arial" w:cs="Arial"/>
                <w:color w:val="000000" w:themeColor="text1"/>
                <w:sz w:val="22"/>
                <w:lang w:val="es-ES_tradnl"/>
              </w:rPr>
              <w:t>4202013000009762</w:t>
            </w:r>
          </w:p>
          <w:p w14:paraId="0DA3D2F3" w14:textId="77777777" w:rsidR="00DD5B04" w:rsidRPr="00404C61" w:rsidRDefault="00DD5B04" w:rsidP="00DF76A2">
            <w:pPr>
              <w:spacing w:before="120"/>
              <w:jc w:val="both"/>
              <w:rPr>
                <w:rFonts w:ascii="Arial" w:eastAsia="Calibri" w:hAnsi="Arial" w:cs="Arial"/>
                <w:color w:val="000000" w:themeColor="text1"/>
                <w:sz w:val="22"/>
                <w:lang w:val="es-ES_tradnl"/>
              </w:rPr>
            </w:pPr>
            <w:r w:rsidRPr="00404C61">
              <w:rPr>
                <w:rFonts w:ascii="Arial" w:eastAsia="Calibri" w:hAnsi="Arial" w:cs="Arial"/>
                <w:color w:val="000000" w:themeColor="text1"/>
                <w:sz w:val="22"/>
                <w:lang w:val="es-ES_tradnl"/>
              </w:rPr>
              <w:t xml:space="preserve"> </w:t>
            </w:r>
          </w:p>
        </w:tc>
      </w:tr>
    </w:tbl>
    <w:p w14:paraId="3D1F1089" w14:textId="77777777" w:rsidR="005305E5" w:rsidRPr="00404C61" w:rsidRDefault="005305E5" w:rsidP="00DF76A2">
      <w:pPr>
        <w:jc w:val="both"/>
        <w:rPr>
          <w:rFonts w:ascii="Arial" w:eastAsia="Calibri" w:hAnsi="Arial" w:cs="Arial"/>
          <w:color w:val="000000" w:themeColor="text1"/>
          <w:sz w:val="22"/>
          <w:lang w:val="es-ES_tradnl"/>
        </w:rPr>
      </w:pPr>
    </w:p>
    <w:p w14:paraId="30BB5B67" w14:textId="62BE920A" w:rsidR="00DD5B04" w:rsidRPr="00404C61" w:rsidRDefault="00DD5B04" w:rsidP="00DF76A2">
      <w:pPr>
        <w:jc w:val="both"/>
        <w:rPr>
          <w:rFonts w:ascii="Arial" w:eastAsia="Calibri" w:hAnsi="Arial" w:cs="Arial"/>
          <w:color w:val="000000" w:themeColor="text1"/>
          <w:sz w:val="22"/>
          <w:lang w:val="es-ES_tradnl"/>
        </w:rPr>
      </w:pPr>
      <w:r w:rsidRPr="00404C61">
        <w:rPr>
          <w:rFonts w:ascii="Arial" w:eastAsia="Calibri" w:hAnsi="Arial" w:cs="Arial"/>
          <w:color w:val="000000" w:themeColor="text1"/>
          <w:sz w:val="22"/>
          <w:lang w:val="es-ES_tradnl"/>
        </w:rPr>
        <w:t>Estimad</w:t>
      </w:r>
      <w:r w:rsidR="00EC1D87">
        <w:rPr>
          <w:rFonts w:ascii="Arial" w:eastAsia="Calibri" w:hAnsi="Arial" w:cs="Arial"/>
          <w:color w:val="000000" w:themeColor="text1"/>
          <w:sz w:val="22"/>
          <w:lang w:val="es-ES_tradnl"/>
        </w:rPr>
        <w:t>o</w:t>
      </w:r>
      <w:r w:rsidRPr="00404C61">
        <w:rPr>
          <w:rFonts w:ascii="Arial" w:eastAsia="Calibri" w:hAnsi="Arial" w:cs="Arial"/>
          <w:color w:val="000000" w:themeColor="text1"/>
          <w:sz w:val="22"/>
          <w:lang w:val="es-ES_tradnl"/>
        </w:rPr>
        <w:t xml:space="preserve"> señor </w:t>
      </w:r>
      <w:r w:rsidR="00EC1D87">
        <w:rPr>
          <w:rFonts w:ascii="Arial" w:eastAsia="Calibri" w:hAnsi="Arial" w:cs="Arial"/>
          <w:color w:val="000000" w:themeColor="text1"/>
          <w:sz w:val="22"/>
          <w:lang w:val="es-ES_tradnl"/>
        </w:rPr>
        <w:t>Romero</w:t>
      </w:r>
      <w:r w:rsidRPr="00404C61">
        <w:rPr>
          <w:rFonts w:ascii="Arial" w:eastAsia="Calibri" w:hAnsi="Arial" w:cs="Arial"/>
          <w:color w:val="000000" w:themeColor="text1"/>
          <w:sz w:val="22"/>
          <w:lang w:val="es-ES_tradnl"/>
        </w:rPr>
        <w:t>:</w:t>
      </w:r>
    </w:p>
    <w:p w14:paraId="1EAE5543" w14:textId="77777777" w:rsidR="00DD5B04" w:rsidRPr="00404C61" w:rsidRDefault="00DD5B04" w:rsidP="00DF76A2">
      <w:pPr>
        <w:jc w:val="both"/>
        <w:rPr>
          <w:rFonts w:ascii="Arial" w:eastAsia="Calibri" w:hAnsi="Arial" w:cs="Arial"/>
          <w:color w:val="000000" w:themeColor="text1"/>
          <w:sz w:val="22"/>
          <w:lang w:val="es-ES_tradnl"/>
        </w:rPr>
      </w:pPr>
    </w:p>
    <w:p w14:paraId="2109B2D3" w14:textId="45C62F46" w:rsidR="00DD5B04" w:rsidRPr="00404C61" w:rsidRDefault="00DD5B04" w:rsidP="00DF76A2">
      <w:pPr>
        <w:spacing w:line="276" w:lineRule="auto"/>
        <w:jc w:val="both"/>
        <w:rPr>
          <w:rFonts w:ascii="Arial" w:eastAsia="Calibri" w:hAnsi="Arial" w:cs="Arial"/>
          <w:color w:val="000000" w:themeColor="text1"/>
          <w:sz w:val="22"/>
          <w:lang w:val="es-ES_tradnl"/>
        </w:rPr>
      </w:pPr>
      <w:r w:rsidRPr="00404C61">
        <w:rPr>
          <w:rFonts w:ascii="Arial" w:eastAsia="Calibri" w:hAnsi="Arial" w:cs="Arial"/>
          <w:color w:val="000000" w:themeColor="text1"/>
          <w:sz w:val="22"/>
          <w:lang w:val="es-ES_tradnl"/>
        </w:rPr>
        <w:t xml:space="preserve">En ejercicio de la competencia otorgada por el numeral 8 del artículo 11 y el numeral 5 del artículo 3 del Decreto Ley 4170 de 2011, la Agencia Nacional de Contratación Pública ― Colombia Compra Eficiente responde su consulta del </w:t>
      </w:r>
      <w:r w:rsidR="0026735A">
        <w:rPr>
          <w:rFonts w:ascii="Arial" w:eastAsia="Calibri" w:hAnsi="Arial" w:cs="Arial"/>
          <w:color w:val="000000" w:themeColor="text1"/>
          <w:sz w:val="22"/>
          <w:lang w:val="es-ES_tradnl"/>
        </w:rPr>
        <w:t>27</w:t>
      </w:r>
      <w:r w:rsidR="00FD4AF3" w:rsidRPr="00404C61">
        <w:rPr>
          <w:rFonts w:ascii="Arial" w:eastAsia="Calibri" w:hAnsi="Arial" w:cs="Arial"/>
          <w:color w:val="000000" w:themeColor="text1"/>
          <w:sz w:val="22"/>
          <w:lang w:val="es-ES_tradnl"/>
        </w:rPr>
        <w:t xml:space="preserve"> de </w:t>
      </w:r>
      <w:r w:rsidR="007A0EAB" w:rsidRPr="00404C61">
        <w:rPr>
          <w:rFonts w:ascii="Arial" w:eastAsia="Calibri" w:hAnsi="Arial" w:cs="Arial"/>
          <w:color w:val="000000" w:themeColor="text1"/>
          <w:sz w:val="22"/>
          <w:lang w:val="es-ES_tradnl"/>
        </w:rPr>
        <w:t>octubre</w:t>
      </w:r>
      <w:r w:rsidRPr="00404C61">
        <w:rPr>
          <w:rFonts w:ascii="Arial" w:eastAsia="Calibri" w:hAnsi="Arial" w:cs="Arial"/>
          <w:color w:val="000000" w:themeColor="text1"/>
          <w:sz w:val="22"/>
          <w:lang w:val="es-ES_tradnl"/>
        </w:rPr>
        <w:t xml:space="preserve"> del</w:t>
      </w:r>
      <w:r w:rsidR="007E74BF" w:rsidRPr="00404C61">
        <w:rPr>
          <w:rFonts w:ascii="Arial" w:eastAsia="Calibri" w:hAnsi="Arial" w:cs="Arial"/>
          <w:color w:val="000000" w:themeColor="text1"/>
          <w:sz w:val="22"/>
          <w:lang w:val="es-ES_tradnl"/>
        </w:rPr>
        <w:t xml:space="preserve"> </w:t>
      </w:r>
      <w:r w:rsidRPr="00404C61">
        <w:rPr>
          <w:rFonts w:ascii="Arial" w:eastAsia="Calibri" w:hAnsi="Arial" w:cs="Arial"/>
          <w:color w:val="000000" w:themeColor="text1"/>
          <w:sz w:val="22"/>
          <w:lang w:val="es-ES_tradnl"/>
        </w:rPr>
        <w:t>2020</w:t>
      </w:r>
      <w:r w:rsidR="00FD4AF3" w:rsidRPr="00404C61">
        <w:rPr>
          <w:rFonts w:ascii="Arial" w:eastAsia="Calibri" w:hAnsi="Arial" w:cs="Arial"/>
          <w:color w:val="000000" w:themeColor="text1"/>
          <w:sz w:val="22"/>
          <w:lang w:val="es-ES_tradnl"/>
        </w:rPr>
        <w:t>.</w:t>
      </w:r>
    </w:p>
    <w:p w14:paraId="0C1E0712" w14:textId="77777777" w:rsidR="00DD5B04" w:rsidRPr="00404C61" w:rsidRDefault="00DD5B04" w:rsidP="00DF76A2">
      <w:pPr>
        <w:spacing w:line="276" w:lineRule="auto"/>
        <w:jc w:val="both"/>
        <w:rPr>
          <w:rFonts w:ascii="Arial" w:eastAsia="Calibri" w:hAnsi="Arial" w:cs="Arial"/>
          <w:b/>
          <w:color w:val="000000" w:themeColor="text1"/>
          <w:sz w:val="22"/>
          <w:lang w:val="es-ES_tradnl"/>
        </w:rPr>
      </w:pPr>
    </w:p>
    <w:p w14:paraId="7701FCC7" w14:textId="77777777" w:rsidR="00DD5B04" w:rsidRPr="00404C61" w:rsidRDefault="00DD5B04" w:rsidP="00DF76A2">
      <w:pPr>
        <w:pStyle w:val="Prrafodelista"/>
        <w:numPr>
          <w:ilvl w:val="0"/>
          <w:numId w:val="8"/>
        </w:numPr>
        <w:tabs>
          <w:tab w:val="left" w:pos="0"/>
          <w:tab w:val="left" w:pos="142"/>
          <w:tab w:val="left" w:pos="284"/>
        </w:tabs>
        <w:spacing w:line="276" w:lineRule="auto"/>
        <w:ind w:left="0" w:firstLine="0"/>
        <w:jc w:val="both"/>
        <w:rPr>
          <w:rFonts w:ascii="Arial" w:eastAsia="Calibri" w:hAnsi="Arial" w:cs="Arial"/>
          <w:b/>
          <w:color w:val="000000" w:themeColor="text1"/>
          <w:sz w:val="22"/>
          <w:lang w:val="es-ES_tradnl"/>
        </w:rPr>
      </w:pPr>
      <w:r w:rsidRPr="00404C61">
        <w:rPr>
          <w:rFonts w:ascii="Arial" w:eastAsia="Calibri" w:hAnsi="Arial" w:cs="Arial"/>
          <w:b/>
          <w:color w:val="000000" w:themeColor="text1"/>
          <w:sz w:val="22"/>
          <w:lang w:val="es-ES_tradnl"/>
        </w:rPr>
        <w:t xml:space="preserve">Problema planteado </w:t>
      </w:r>
    </w:p>
    <w:p w14:paraId="224B43D3" w14:textId="77777777" w:rsidR="00DD5B04" w:rsidRPr="00404C61" w:rsidRDefault="00DD5B04" w:rsidP="00DF76A2">
      <w:pPr>
        <w:tabs>
          <w:tab w:val="left" w:pos="426"/>
        </w:tabs>
        <w:spacing w:line="276" w:lineRule="auto"/>
        <w:jc w:val="both"/>
        <w:rPr>
          <w:rFonts w:ascii="Arial" w:eastAsia="Calibri" w:hAnsi="Arial" w:cs="Arial"/>
          <w:b/>
          <w:color w:val="000000" w:themeColor="text1"/>
          <w:sz w:val="22"/>
          <w:lang w:val="es-ES_tradnl"/>
        </w:rPr>
      </w:pPr>
    </w:p>
    <w:p w14:paraId="3C575DE9" w14:textId="19D6F03C" w:rsidR="00443B55" w:rsidRPr="00404C61" w:rsidRDefault="00DD5B04" w:rsidP="0099583D">
      <w:pPr>
        <w:spacing w:line="276" w:lineRule="auto"/>
        <w:jc w:val="both"/>
        <w:rPr>
          <w:rFonts w:ascii="Arial" w:hAnsi="Arial" w:cs="Arial"/>
          <w:color w:val="000000" w:themeColor="text1"/>
          <w:sz w:val="22"/>
          <w:lang w:val="es-ES_tradnl"/>
        </w:rPr>
      </w:pPr>
      <w:r w:rsidRPr="00404C61">
        <w:rPr>
          <w:rFonts w:ascii="Arial" w:hAnsi="Arial" w:cs="Arial"/>
          <w:color w:val="000000" w:themeColor="text1"/>
          <w:sz w:val="22"/>
          <w:lang w:val="es-ES_tradnl"/>
        </w:rPr>
        <w:t xml:space="preserve">Usted </w:t>
      </w:r>
      <w:r w:rsidR="00B422C0" w:rsidRPr="00404C61">
        <w:rPr>
          <w:rFonts w:ascii="Arial" w:hAnsi="Arial" w:cs="Arial"/>
          <w:color w:val="000000" w:themeColor="text1"/>
          <w:sz w:val="22"/>
          <w:lang w:val="es-ES_tradnl"/>
        </w:rPr>
        <w:t>formula</w:t>
      </w:r>
      <w:r w:rsidR="006D46A3" w:rsidRPr="00404C61">
        <w:rPr>
          <w:rFonts w:ascii="Arial" w:hAnsi="Arial" w:cs="Arial"/>
          <w:color w:val="000000" w:themeColor="text1"/>
          <w:sz w:val="22"/>
          <w:lang w:val="es-ES_tradnl"/>
        </w:rPr>
        <w:t xml:space="preserve"> la siguiente pregunta</w:t>
      </w:r>
      <w:r w:rsidR="00B422C0" w:rsidRPr="00404C61">
        <w:rPr>
          <w:rFonts w:ascii="Arial" w:hAnsi="Arial" w:cs="Arial"/>
          <w:color w:val="000000" w:themeColor="text1"/>
          <w:sz w:val="22"/>
          <w:lang w:val="es-ES_tradnl"/>
        </w:rPr>
        <w:t>:</w:t>
      </w:r>
      <w:r w:rsidR="007E18DF" w:rsidRPr="00404C61">
        <w:rPr>
          <w:rFonts w:ascii="Arial" w:hAnsi="Arial" w:cs="Arial"/>
          <w:color w:val="000000" w:themeColor="text1"/>
          <w:sz w:val="22"/>
          <w:lang w:val="es-ES_tradnl"/>
        </w:rPr>
        <w:t xml:space="preserve"> </w:t>
      </w:r>
    </w:p>
    <w:p w14:paraId="559EE20C" w14:textId="77777777" w:rsidR="00443B55" w:rsidRPr="00404C61" w:rsidRDefault="00443B55" w:rsidP="0099583D">
      <w:pPr>
        <w:spacing w:line="276" w:lineRule="auto"/>
        <w:jc w:val="both"/>
        <w:rPr>
          <w:rFonts w:ascii="Arial" w:hAnsi="Arial" w:cs="Arial"/>
          <w:color w:val="000000" w:themeColor="text1"/>
          <w:sz w:val="22"/>
          <w:lang w:val="es-ES_tradnl"/>
        </w:rPr>
      </w:pPr>
    </w:p>
    <w:p w14:paraId="0AF308B4" w14:textId="3FC8F957" w:rsidR="00733914" w:rsidRPr="00733914" w:rsidRDefault="00443B55" w:rsidP="00733914">
      <w:pPr>
        <w:ind w:left="709" w:right="709"/>
        <w:jc w:val="both"/>
        <w:rPr>
          <w:rFonts w:ascii="Arial" w:hAnsi="Arial" w:cs="Arial"/>
          <w:color w:val="000000" w:themeColor="text1"/>
          <w:sz w:val="21"/>
          <w:szCs w:val="21"/>
          <w:lang w:val="es-ES_tradnl"/>
        </w:rPr>
      </w:pPr>
      <w:r w:rsidRPr="00404C61">
        <w:rPr>
          <w:rFonts w:ascii="Arial" w:hAnsi="Arial" w:cs="Arial"/>
          <w:color w:val="000000" w:themeColor="text1"/>
          <w:sz w:val="21"/>
          <w:szCs w:val="21"/>
          <w:lang w:val="es-ES_tradnl"/>
        </w:rPr>
        <w:t>«</w:t>
      </w:r>
      <w:r w:rsidR="00733914" w:rsidRPr="00733914">
        <w:rPr>
          <w:rFonts w:ascii="Arial" w:hAnsi="Arial" w:cs="Arial"/>
          <w:color w:val="000000" w:themeColor="text1"/>
          <w:sz w:val="21"/>
          <w:szCs w:val="21"/>
          <w:lang w:val="es-ES_tradnl"/>
        </w:rPr>
        <w:t>De forma atenta se solicita concepto por parte de la Agencia Nacional de Contratación Pública, Colombia Compra Eficiente, sobre lo siguiente: El Decreto 092 de 2017 establece en su Artículo 2 "(...) Estas entidades estatales pueden contratar con entidades privadas sin ánimo de lucro y de reconocida idoneidad (...), previa autorización expresa de su representante legal para cada contrato en particular que la Entidad Estatal no podrá delegar la función de otorgar esta autorización. La Entidad Estatal deberá acreditar en los Documentos del Proceso la autorización respectiva"</w:t>
      </w:r>
      <w:r w:rsidR="00733914">
        <w:rPr>
          <w:rFonts w:ascii="Arial" w:hAnsi="Arial" w:cs="Arial"/>
          <w:color w:val="000000" w:themeColor="text1"/>
          <w:sz w:val="21"/>
          <w:szCs w:val="21"/>
          <w:lang w:val="es-ES_tradnl"/>
        </w:rPr>
        <w:t>.</w:t>
      </w:r>
      <w:r w:rsidR="00733914" w:rsidRPr="00733914">
        <w:rPr>
          <w:rFonts w:ascii="Arial" w:hAnsi="Arial" w:cs="Arial"/>
          <w:color w:val="000000" w:themeColor="text1"/>
          <w:sz w:val="21"/>
          <w:szCs w:val="21"/>
          <w:lang w:val="es-ES_tradnl"/>
        </w:rPr>
        <w:t xml:space="preserve"> </w:t>
      </w:r>
    </w:p>
    <w:p w14:paraId="28A19877" w14:textId="77777777" w:rsidR="00733914" w:rsidRPr="00733914" w:rsidRDefault="00733914" w:rsidP="00733914">
      <w:pPr>
        <w:ind w:left="709" w:right="709"/>
        <w:jc w:val="both"/>
        <w:rPr>
          <w:rFonts w:ascii="Arial" w:hAnsi="Arial" w:cs="Arial"/>
          <w:color w:val="000000" w:themeColor="text1"/>
          <w:sz w:val="21"/>
          <w:szCs w:val="21"/>
          <w:lang w:val="es-ES_tradnl"/>
        </w:rPr>
      </w:pPr>
    </w:p>
    <w:p w14:paraId="7E8B8948" w14:textId="237B30AB" w:rsidR="008D1A2A" w:rsidRPr="00404C61" w:rsidRDefault="00733914" w:rsidP="00733914">
      <w:pPr>
        <w:ind w:left="709" w:right="709"/>
        <w:jc w:val="both"/>
        <w:rPr>
          <w:rFonts w:ascii="Arial" w:hAnsi="Arial" w:cs="Arial"/>
          <w:color w:val="000000" w:themeColor="text1"/>
          <w:sz w:val="21"/>
          <w:szCs w:val="21"/>
          <w:lang w:val="es-ES_tradnl"/>
        </w:rPr>
      </w:pPr>
      <w:r>
        <w:rPr>
          <w:rFonts w:ascii="Arial" w:hAnsi="Arial" w:cs="Arial"/>
          <w:color w:val="000000" w:themeColor="text1"/>
          <w:sz w:val="21"/>
          <w:szCs w:val="21"/>
          <w:lang w:val="es-ES_tradnl"/>
        </w:rPr>
        <w:t>»</w:t>
      </w:r>
      <w:r w:rsidRPr="00733914">
        <w:rPr>
          <w:rFonts w:ascii="Arial" w:hAnsi="Arial" w:cs="Arial"/>
          <w:color w:val="000000" w:themeColor="text1"/>
          <w:sz w:val="21"/>
          <w:szCs w:val="21"/>
          <w:lang w:val="es-ES_tradnl"/>
        </w:rPr>
        <w:t xml:space="preserve">En ese sentido, ¿Es necesario que cada una de las modificaciones que se realicen a los contratos o convenios suscritos bajo el amparo de dicho decreto, </w:t>
      </w:r>
      <w:proofErr w:type="spellStart"/>
      <w:r w:rsidRPr="00733914">
        <w:rPr>
          <w:rFonts w:ascii="Arial" w:hAnsi="Arial" w:cs="Arial"/>
          <w:color w:val="000000" w:themeColor="text1"/>
          <w:sz w:val="21"/>
          <w:szCs w:val="21"/>
          <w:lang w:val="es-ES_tradnl"/>
        </w:rPr>
        <w:t>cuentenr</w:t>
      </w:r>
      <w:proofErr w:type="spellEnd"/>
      <w:r w:rsidRPr="00733914">
        <w:rPr>
          <w:rFonts w:ascii="Arial" w:hAnsi="Arial" w:cs="Arial"/>
          <w:color w:val="000000" w:themeColor="text1"/>
          <w:sz w:val="21"/>
          <w:szCs w:val="21"/>
          <w:lang w:val="es-ES_tradnl"/>
        </w:rPr>
        <w:t xml:space="preserve"> (sic) con autorización expresa del representante legal de la entidad?</w:t>
      </w:r>
      <w:r w:rsidR="00F23759" w:rsidRPr="00404C61">
        <w:rPr>
          <w:rFonts w:ascii="Arial" w:hAnsi="Arial" w:cs="Arial"/>
          <w:color w:val="000000" w:themeColor="text1"/>
          <w:sz w:val="21"/>
          <w:szCs w:val="21"/>
          <w:lang w:val="es-ES_tradnl"/>
        </w:rPr>
        <w:t>»</w:t>
      </w:r>
      <w:r w:rsidR="00D32A27" w:rsidRPr="00404C61">
        <w:rPr>
          <w:rFonts w:ascii="Arial" w:hAnsi="Arial" w:cs="Arial"/>
          <w:color w:val="000000" w:themeColor="text1"/>
          <w:sz w:val="21"/>
          <w:szCs w:val="21"/>
          <w:lang w:val="es-ES_tradnl"/>
        </w:rPr>
        <w:t>.</w:t>
      </w:r>
    </w:p>
    <w:p w14:paraId="5354A87B" w14:textId="77777777" w:rsidR="00CF24FE" w:rsidRPr="00404C61" w:rsidRDefault="00CF24FE" w:rsidP="006A457D">
      <w:pPr>
        <w:spacing w:line="276" w:lineRule="auto"/>
        <w:jc w:val="both"/>
        <w:rPr>
          <w:rFonts w:ascii="Arial" w:hAnsi="Arial" w:cs="Arial"/>
          <w:color w:val="000000" w:themeColor="text1"/>
          <w:sz w:val="22"/>
          <w:lang w:val="es-ES_tradnl"/>
        </w:rPr>
      </w:pPr>
    </w:p>
    <w:p w14:paraId="124D2DCA" w14:textId="77777777" w:rsidR="00DD5B04" w:rsidRPr="00404C61" w:rsidRDefault="00DD5B04" w:rsidP="00DF76A2">
      <w:pPr>
        <w:pStyle w:val="Prrafodelista"/>
        <w:numPr>
          <w:ilvl w:val="0"/>
          <w:numId w:val="8"/>
        </w:numPr>
        <w:tabs>
          <w:tab w:val="left" w:pos="0"/>
          <w:tab w:val="left" w:pos="284"/>
        </w:tabs>
        <w:ind w:left="0" w:firstLine="0"/>
        <w:jc w:val="both"/>
        <w:rPr>
          <w:rFonts w:ascii="Arial" w:eastAsia="Calibri" w:hAnsi="Arial" w:cs="Arial"/>
          <w:b/>
          <w:color w:val="000000" w:themeColor="text1"/>
          <w:sz w:val="22"/>
          <w:lang w:val="es-ES_tradnl"/>
        </w:rPr>
      </w:pPr>
      <w:r w:rsidRPr="00404C61">
        <w:rPr>
          <w:rFonts w:ascii="Arial" w:eastAsia="Calibri" w:hAnsi="Arial" w:cs="Arial"/>
          <w:b/>
          <w:color w:val="000000" w:themeColor="text1"/>
          <w:sz w:val="22"/>
          <w:lang w:val="es-ES_tradnl"/>
        </w:rPr>
        <w:t>Consideraciones</w:t>
      </w:r>
    </w:p>
    <w:p w14:paraId="35E25E39" w14:textId="28CA4E22" w:rsidR="00DD5B04" w:rsidRPr="00404C61" w:rsidRDefault="00DD5B04" w:rsidP="00DF76A2">
      <w:pPr>
        <w:spacing w:line="276" w:lineRule="auto"/>
        <w:jc w:val="both"/>
        <w:rPr>
          <w:rFonts w:ascii="Arial" w:eastAsia="Calibri" w:hAnsi="Arial" w:cs="Arial"/>
          <w:color w:val="000000" w:themeColor="text1"/>
          <w:sz w:val="20"/>
          <w:szCs w:val="20"/>
          <w:lang w:val="es-ES_tradnl"/>
        </w:rPr>
      </w:pPr>
    </w:p>
    <w:p w14:paraId="20753499" w14:textId="781F444F" w:rsidR="005C529E" w:rsidRPr="004D31F0" w:rsidRDefault="005C529E" w:rsidP="00477C5F">
      <w:pPr>
        <w:tabs>
          <w:tab w:val="left" w:pos="426"/>
        </w:tabs>
        <w:spacing w:line="276" w:lineRule="auto"/>
        <w:jc w:val="both"/>
        <w:rPr>
          <w:rFonts w:ascii="Arial" w:eastAsia="Calibri" w:hAnsi="Arial" w:cs="Arial"/>
          <w:color w:val="000000"/>
          <w:sz w:val="22"/>
          <w:lang w:val="es-ES" w:eastAsia="en-GB"/>
        </w:rPr>
      </w:pPr>
      <w:r w:rsidRPr="00404C61">
        <w:rPr>
          <w:rFonts w:ascii="Arial" w:eastAsia="Calibri" w:hAnsi="Arial" w:cs="Arial"/>
          <w:color w:val="000000"/>
          <w:sz w:val="22"/>
          <w:lang w:val="es-ES_tradnl" w:eastAsia="en-GB"/>
        </w:rPr>
        <w:t xml:space="preserve">Para abordar </w:t>
      </w:r>
      <w:r w:rsidR="004D31F0">
        <w:rPr>
          <w:rFonts w:ascii="Arial" w:eastAsia="Calibri" w:hAnsi="Arial" w:cs="Arial"/>
          <w:color w:val="000000"/>
          <w:sz w:val="22"/>
          <w:lang w:val="es-ES_tradnl" w:eastAsia="en-GB"/>
        </w:rPr>
        <w:t>el</w:t>
      </w:r>
      <w:r w:rsidRPr="00404C61">
        <w:rPr>
          <w:rFonts w:ascii="Arial" w:eastAsia="Calibri" w:hAnsi="Arial" w:cs="Arial"/>
          <w:color w:val="000000"/>
          <w:sz w:val="22"/>
          <w:lang w:val="es-ES_tradnl" w:eastAsia="en-GB"/>
        </w:rPr>
        <w:t xml:space="preserve"> interrogante planteado se </w:t>
      </w:r>
      <w:r w:rsidR="00B21D36">
        <w:rPr>
          <w:rFonts w:ascii="Arial" w:eastAsia="Calibri" w:hAnsi="Arial" w:cs="Arial"/>
          <w:color w:val="000000"/>
          <w:sz w:val="22"/>
          <w:lang w:val="es-ES_tradnl" w:eastAsia="en-GB"/>
        </w:rPr>
        <w:t>estudiarán</w:t>
      </w:r>
      <w:r w:rsidRPr="00404C61">
        <w:rPr>
          <w:rFonts w:ascii="Arial" w:eastAsia="Calibri" w:hAnsi="Arial" w:cs="Arial"/>
          <w:color w:val="000000"/>
          <w:sz w:val="22"/>
          <w:lang w:val="es-ES_tradnl" w:eastAsia="en-GB"/>
        </w:rPr>
        <w:t xml:space="preserve"> los siguientes temas: i) </w:t>
      </w:r>
      <w:r w:rsidR="004D31F0">
        <w:rPr>
          <w:rFonts w:ascii="Arial" w:eastAsia="Calibri" w:hAnsi="Arial" w:cs="Arial"/>
          <w:color w:val="000000"/>
          <w:sz w:val="22"/>
          <w:lang w:val="es-ES_tradnl" w:eastAsia="en-GB"/>
        </w:rPr>
        <w:t>n</w:t>
      </w:r>
      <w:r w:rsidR="004D31F0" w:rsidRPr="004D31F0">
        <w:rPr>
          <w:rFonts w:ascii="Arial" w:eastAsia="Calibri" w:hAnsi="Arial" w:cs="Arial"/>
          <w:color w:val="000000"/>
          <w:sz w:val="22"/>
          <w:lang w:val="es-ES_tradnl" w:eastAsia="en-GB"/>
        </w:rPr>
        <w:t>aturaleza de los contratos regulados por el Decreto 092 de 2017</w:t>
      </w:r>
      <w:r w:rsidR="00A46FCB">
        <w:rPr>
          <w:rFonts w:ascii="Arial" w:eastAsia="Calibri" w:hAnsi="Arial" w:cs="Arial"/>
          <w:color w:val="000000"/>
          <w:sz w:val="22"/>
          <w:lang w:val="es-ES_tradnl" w:eastAsia="en-GB"/>
        </w:rPr>
        <w:t xml:space="preserve">; </w:t>
      </w:r>
      <w:r w:rsidR="0089606D" w:rsidRPr="00404C61">
        <w:rPr>
          <w:rFonts w:ascii="Arial" w:eastAsia="Calibri" w:hAnsi="Arial" w:cs="Arial"/>
          <w:color w:val="000000"/>
          <w:sz w:val="22"/>
          <w:lang w:val="es-ES_tradnl" w:eastAsia="en-GB"/>
        </w:rPr>
        <w:t>ii)</w:t>
      </w:r>
      <w:r w:rsidR="00866495">
        <w:rPr>
          <w:rFonts w:ascii="Arial" w:eastAsia="Calibri" w:hAnsi="Arial" w:cs="Arial"/>
          <w:color w:val="000000"/>
          <w:sz w:val="22"/>
          <w:lang w:val="es-ES_tradnl" w:eastAsia="en-GB"/>
        </w:rPr>
        <w:t xml:space="preserve"> </w:t>
      </w:r>
      <w:r w:rsidR="004D31F0">
        <w:rPr>
          <w:rFonts w:ascii="Arial" w:eastAsia="Calibri" w:hAnsi="Arial" w:cs="Arial"/>
          <w:color w:val="000000"/>
          <w:sz w:val="22"/>
          <w:lang w:val="es-ES_tradnl" w:eastAsia="en-GB"/>
        </w:rPr>
        <w:t>interpretación</w:t>
      </w:r>
      <w:r w:rsidR="004D31F0" w:rsidRPr="004D31F0">
        <w:rPr>
          <w:rFonts w:ascii="Arial" w:eastAsia="Calibri" w:hAnsi="Arial" w:cs="Arial"/>
          <w:color w:val="000000"/>
          <w:sz w:val="22"/>
          <w:lang w:val="es-ES_tradnl" w:eastAsia="en-GB"/>
        </w:rPr>
        <w:t xml:space="preserve"> de las remisiones previstas en los artículos 6, 7 y 8 del </w:t>
      </w:r>
      <w:r w:rsidR="004D31F0">
        <w:rPr>
          <w:rFonts w:ascii="Arial" w:eastAsia="Calibri" w:hAnsi="Arial" w:cs="Arial"/>
          <w:color w:val="000000"/>
          <w:sz w:val="22"/>
          <w:lang w:val="es-ES_tradnl" w:eastAsia="en-GB"/>
        </w:rPr>
        <w:t>referido Decreto</w:t>
      </w:r>
      <w:r w:rsidR="00DB538C">
        <w:rPr>
          <w:rFonts w:ascii="Arial" w:eastAsia="Calibri" w:hAnsi="Arial" w:cs="Arial"/>
          <w:color w:val="000000"/>
          <w:sz w:val="22"/>
          <w:lang w:val="es-ES_tradnl" w:eastAsia="en-GB"/>
        </w:rPr>
        <w:t>,</w:t>
      </w:r>
      <w:r w:rsidR="004D31F0">
        <w:rPr>
          <w:rFonts w:ascii="Arial" w:eastAsia="Calibri" w:hAnsi="Arial" w:cs="Arial"/>
          <w:color w:val="000000"/>
          <w:sz w:val="22"/>
          <w:lang w:val="es-ES_tradnl" w:eastAsia="en-GB"/>
        </w:rPr>
        <w:t xml:space="preserve"> y iii) a</w:t>
      </w:r>
      <w:r w:rsidR="004D31F0" w:rsidRPr="004D31F0">
        <w:rPr>
          <w:rFonts w:ascii="Arial" w:eastAsia="Calibri" w:hAnsi="Arial" w:cs="Arial"/>
          <w:color w:val="000000"/>
          <w:sz w:val="22"/>
          <w:lang w:val="es-ES_tradnl" w:eastAsia="en-GB"/>
        </w:rPr>
        <w:t xml:space="preserve">lcance de la autorización previa exigida por el artículo 2 </w:t>
      </w:r>
      <w:r w:rsidR="00A46FCB">
        <w:rPr>
          <w:rFonts w:ascii="Arial" w:eastAsia="Calibri" w:hAnsi="Arial" w:cs="Arial"/>
          <w:color w:val="000000"/>
          <w:sz w:val="22"/>
          <w:lang w:val="es-ES_tradnl" w:eastAsia="en-GB"/>
        </w:rPr>
        <w:t>de dicho reglamento</w:t>
      </w:r>
      <w:r w:rsidR="004D31F0">
        <w:rPr>
          <w:rFonts w:ascii="Arial" w:eastAsia="Calibri" w:hAnsi="Arial" w:cs="Arial"/>
          <w:color w:val="000000"/>
          <w:sz w:val="22"/>
          <w:lang w:val="es-ES_tradnl" w:eastAsia="en-GB"/>
        </w:rPr>
        <w:t>,</w:t>
      </w:r>
      <w:r w:rsidR="00A46FCB">
        <w:rPr>
          <w:rFonts w:ascii="Arial" w:eastAsia="Calibri" w:hAnsi="Arial" w:cs="Arial"/>
          <w:color w:val="000000"/>
          <w:sz w:val="22"/>
          <w:lang w:val="es-ES_tradnl" w:eastAsia="en-GB"/>
        </w:rPr>
        <w:t xml:space="preserve"> </w:t>
      </w:r>
      <w:r w:rsidR="004D31F0">
        <w:rPr>
          <w:rFonts w:ascii="Arial" w:eastAsia="Calibri" w:hAnsi="Arial" w:cs="Arial"/>
          <w:color w:val="000000"/>
          <w:sz w:val="22"/>
          <w:lang w:val="es-ES_tradnl" w:eastAsia="en-GB"/>
        </w:rPr>
        <w:t xml:space="preserve">analizada a la luz de la </w:t>
      </w:r>
      <w:r w:rsidR="004D31F0" w:rsidRPr="004D31F0">
        <w:rPr>
          <w:rFonts w:ascii="Arial" w:eastAsia="Calibri" w:hAnsi="Arial" w:cs="Arial"/>
          <w:color w:val="000000"/>
          <w:sz w:val="22"/>
          <w:lang w:val="es-ES_tradnl" w:eastAsia="en-GB"/>
        </w:rPr>
        <w:t>delegación de competencia contractual</w:t>
      </w:r>
      <w:r w:rsidR="004D31F0">
        <w:rPr>
          <w:rFonts w:ascii="Arial" w:eastAsia="Calibri" w:hAnsi="Arial" w:cs="Arial"/>
          <w:color w:val="000000"/>
          <w:sz w:val="22"/>
          <w:lang w:val="es-ES_tradnl" w:eastAsia="en-GB"/>
        </w:rPr>
        <w:t>.</w:t>
      </w:r>
    </w:p>
    <w:p w14:paraId="08AED43E" w14:textId="0C0CC703" w:rsidR="00CC1E55" w:rsidRPr="00085FB3" w:rsidRDefault="00CC1E55" w:rsidP="00CC1E55">
      <w:pPr>
        <w:spacing w:before="120" w:line="276" w:lineRule="auto"/>
        <w:ind w:firstLine="709"/>
        <w:jc w:val="both"/>
        <w:rPr>
          <w:rFonts w:ascii="Arial" w:hAnsi="Arial" w:cs="Arial"/>
          <w:color w:val="000000" w:themeColor="text1"/>
          <w:sz w:val="22"/>
          <w:lang w:val="es-ES_tradnl"/>
        </w:rPr>
      </w:pPr>
      <w:r w:rsidRPr="00085FB3">
        <w:rPr>
          <w:rFonts w:ascii="Arial" w:eastAsia="Calibri" w:hAnsi="Arial" w:cs="Arial"/>
          <w:color w:val="000000" w:themeColor="text1"/>
          <w:sz w:val="22"/>
          <w:lang w:val="es-ES_tradnl"/>
        </w:rPr>
        <w:t xml:space="preserve">Al respecto, conviene indicar que </w:t>
      </w:r>
      <w:r w:rsidRPr="00085FB3">
        <w:rPr>
          <w:rFonts w:ascii="Arial" w:hAnsi="Arial" w:cs="Arial"/>
          <w:color w:val="000000" w:themeColor="text1"/>
          <w:sz w:val="22"/>
          <w:lang w:val="es-ES_tradnl"/>
        </w:rPr>
        <w:t xml:space="preserve">la Agencia Nacional de Contratación Pública ― Colombia Compra Eficiente, </w:t>
      </w:r>
      <w:r w:rsidRPr="00085FB3">
        <w:rPr>
          <w:rFonts w:ascii="Arial" w:eastAsia="Calibri" w:hAnsi="Arial" w:cs="Arial"/>
          <w:color w:val="000000" w:themeColor="text1"/>
          <w:sz w:val="22"/>
          <w:lang w:val="es-ES_tradnl"/>
        </w:rPr>
        <w:t xml:space="preserve">en los conceptos con radicado 2201913000009467 del </w:t>
      </w:r>
      <w:r w:rsidRPr="00085FB3">
        <w:rPr>
          <w:rFonts w:ascii="Arial" w:eastAsia="Calibri" w:hAnsi="Arial" w:cs="Arial"/>
          <w:bCs/>
          <w:sz w:val="22"/>
          <w:lang w:val="es-ES_tradnl"/>
        </w:rPr>
        <w:t xml:space="preserve">20 de </w:t>
      </w:r>
      <w:r w:rsidRPr="00085FB3">
        <w:rPr>
          <w:rFonts w:ascii="Arial" w:eastAsia="Calibri" w:hAnsi="Arial" w:cs="Arial"/>
          <w:bCs/>
          <w:sz w:val="22"/>
          <w:lang w:val="es-ES_tradnl"/>
        </w:rPr>
        <w:lastRenderedPageBreak/>
        <w:t>diciembre de 2019</w:t>
      </w:r>
      <w:r w:rsidRPr="00085FB3">
        <w:rPr>
          <w:rFonts w:ascii="Arial" w:eastAsia="Calibri" w:hAnsi="Arial" w:cs="Arial"/>
          <w:color w:val="000000" w:themeColor="text1"/>
          <w:sz w:val="22"/>
          <w:lang w:val="es-ES_tradnl"/>
        </w:rPr>
        <w:t xml:space="preserve">, </w:t>
      </w:r>
      <w:r>
        <w:rPr>
          <w:rFonts w:ascii="Arial" w:eastAsia="Calibri" w:hAnsi="Arial" w:cs="Arial"/>
          <w:color w:val="000000" w:themeColor="text1"/>
          <w:sz w:val="22"/>
          <w:lang w:val="es-ES_tradnl"/>
        </w:rPr>
        <w:t xml:space="preserve">C-081 del 3 de marzo de 2020, C-070 del 4 de marzo de 2020, C-057 del 18 de marzo de 2020, C-014 del 24 de marzo de 2020, C-140 del 31 de marzo de 2020, </w:t>
      </w:r>
      <w:r w:rsidRPr="00085FB3">
        <w:rPr>
          <w:rFonts w:ascii="Arial" w:eastAsia="Calibri" w:hAnsi="Arial" w:cs="Arial"/>
          <w:color w:val="000000" w:themeColor="text1"/>
          <w:sz w:val="22"/>
          <w:lang w:val="es-ES_tradnl"/>
        </w:rPr>
        <w:t>C-223 del 29 de abril de 2020</w:t>
      </w:r>
      <w:r w:rsidR="00B51BFA">
        <w:rPr>
          <w:rFonts w:ascii="Arial" w:eastAsia="Calibri" w:hAnsi="Arial" w:cs="Arial"/>
          <w:color w:val="000000" w:themeColor="text1"/>
          <w:sz w:val="22"/>
          <w:lang w:val="es-ES_tradnl"/>
        </w:rPr>
        <w:t xml:space="preserve">, </w:t>
      </w:r>
      <w:r w:rsidR="00B51BFA">
        <w:rPr>
          <w:rFonts w:ascii="Arial" w:hAnsi="Arial" w:cs="Arial"/>
          <w:color w:val="000000" w:themeColor="text1"/>
          <w:sz w:val="22"/>
          <w:lang w:val="es-ES_tradnl"/>
        </w:rPr>
        <w:t>C-291 del 18 de mayo de 2020</w:t>
      </w:r>
      <w:r w:rsidR="00194236">
        <w:rPr>
          <w:rFonts w:ascii="Arial" w:hAnsi="Arial" w:cs="Arial"/>
          <w:color w:val="000000" w:themeColor="text1"/>
          <w:sz w:val="22"/>
          <w:lang w:val="es-ES_tradnl"/>
        </w:rPr>
        <w:t xml:space="preserve">, </w:t>
      </w:r>
      <w:r>
        <w:rPr>
          <w:rFonts w:ascii="Arial" w:eastAsia="Calibri" w:hAnsi="Arial" w:cs="Arial"/>
          <w:color w:val="000000" w:themeColor="text1"/>
          <w:sz w:val="22"/>
          <w:lang w:val="es-ES_tradnl"/>
        </w:rPr>
        <w:t>C-513 del 30 de julio de 2020</w:t>
      </w:r>
      <w:r w:rsidR="0075379F">
        <w:rPr>
          <w:rFonts w:ascii="Arial" w:eastAsia="Calibri" w:hAnsi="Arial" w:cs="Arial"/>
          <w:color w:val="000000" w:themeColor="text1"/>
          <w:sz w:val="22"/>
          <w:lang w:val="es-ES_tradnl"/>
        </w:rPr>
        <w:t xml:space="preserve"> y C-525 del 12 de agosto de 2020</w:t>
      </w:r>
      <w:r w:rsidRPr="00085FB3">
        <w:rPr>
          <w:rFonts w:ascii="Arial" w:eastAsia="Calibri" w:hAnsi="Arial" w:cs="Arial"/>
          <w:color w:val="000000" w:themeColor="text1"/>
          <w:sz w:val="22"/>
          <w:lang w:val="es-ES_tradnl"/>
        </w:rPr>
        <w:t xml:space="preserve">, estudió </w:t>
      </w:r>
      <w:r w:rsidRPr="00085FB3">
        <w:rPr>
          <w:rFonts w:ascii="Arial" w:eastAsia="Calibri" w:hAnsi="Arial" w:cs="Arial"/>
          <w:bCs/>
          <w:sz w:val="22"/>
          <w:lang w:val="es-ES_tradnl"/>
        </w:rPr>
        <w:t>la contratación con entidades privadas sin ánimo de lucro y de reconocida idoneidad –en adelante, ESAL–, regulada por el Decreto 092 de 2017</w:t>
      </w:r>
      <w:r w:rsidRPr="00085FB3">
        <w:rPr>
          <w:rFonts w:ascii="Arial" w:hAnsi="Arial" w:cs="Arial"/>
          <w:color w:val="000000" w:themeColor="text1"/>
          <w:sz w:val="22"/>
          <w:lang w:val="es-ES_tradnl"/>
        </w:rPr>
        <w:t>.</w:t>
      </w:r>
      <w:r w:rsidR="00402D67">
        <w:rPr>
          <w:rFonts w:ascii="Arial" w:hAnsi="Arial" w:cs="Arial"/>
          <w:color w:val="000000" w:themeColor="text1"/>
          <w:sz w:val="22"/>
          <w:lang w:val="es-ES_tradnl"/>
        </w:rPr>
        <w:t xml:space="preserve"> </w:t>
      </w:r>
      <w:r w:rsidRPr="00085FB3">
        <w:rPr>
          <w:rFonts w:ascii="Arial" w:hAnsi="Arial" w:cs="Arial"/>
          <w:color w:val="000000" w:themeColor="text1"/>
          <w:sz w:val="22"/>
          <w:lang w:val="es-ES_tradnl"/>
        </w:rPr>
        <w:t xml:space="preserve">Las tesis propuestas en aquellas oportunidades se reiteran a continuación y se complementan con ideas adicionales, relacionadas con </w:t>
      </w:r>
      <w:r w:rsidR="00402D67">
        <w:rPr>
          <w:rFonts w:ascii="Arial" w:hAnsi="Arial" w:cs="Arial"/>
          <w:color w:val="000000" w:themeColor="text1"/>
          <w:sz w:val="22"/>
          <w:lang w:val="es-ES_tradnl"/>
        </w:rPr>
        <w:t>el</w:t>
      </w:r>
      <w:r w:rsidRPr="00085FB3">
        <w:rPr>
          <w:rFonts w:ascii="Arial" w:hAnsi="Arial" w:cs="Arial"/>
          <w:color w:val="000000" w:themeColor="text1"/>
          <w:sz w:val="22"/>
          <w:lang w:val="es-ES_tradnl"/>
        </w:rPr>
        <w:t xml:space="preserve"> interrogante específico que se formulan en la consulta.</w:t>
      </w:r>
    </w:p>
    <w:p w14:paraId="544C2831" w14:textId="77777777" w:rsidR="00CC1E55" w:rsidRPr="00CC1E55" w:rsidRDefault="00CC1E55" w:rsidP="00402D67">
      <w:pPr>
        <w:tabs>
          <w:tab w:val="left" w:pos="426"/>
        </w:tabs>
        <w:spacing w:line="276" w:lineRule="auto"/>
        <w:jc w:val="both"/>
        <w:rPr>
          <w:rFonts w:ascii="Arial" w:eastAsia="Calibri" w:hAnsi="Arial" w:cs="Arial"/>
          <w:sz w:val="22"/>
          <w:lang w:val="es-ES_tradnl"/>
        </w:rPr>
      </w:pPr>
    </w:p>
    <w:p w14:paraId="7344E045" w14:textId="3C077657" w:rsidR="00755E3D" w:rsidRPr="00085FB3" w:rsidRDefault="00755E3D" w:rsidP="00755E3D">
      <w:pPr>
        <w:spacing w:line="276" w:lineRule="auto"/>
        <w:jc w:val="both"/>
        <w:rPr>
          <w:rFonts w:ascii="Arial" w:eastAsia="Calibri" w:hAnsi="Arial" w:cs="Arial"/>
          <w:b/>
          <w:bCs/>
          <w:sz w:val="22"/>
          <w:lang w:val="es-ES_tradnl"/>
        </w:rPr>
      </w:pPr>
      <w:r w:rsidRPr="00085FB3">
        <w:rPr>
          <w:rFonts w:ascii="Arial" w:eastAsia="Calibri" w:hAnsi="Arial" w:cs="Arial"/>
          <w:b/>
          <w:bCs/>
          <w:sz w:val="22"/>
          <w:lang w:val="es-ES_tradnl"/>
        </w:rPr>
        <w:t xml:space="preserve">2.1. </w:t>
      </w:r>
      <w:r w:rsidR="004D31F0">
        <w:rPr>
          <w:rFonts w:ascii="Arial" w:eastAsia="Calibri" w:hAnsi="Arial" w:cs="Arial"/>
          <w:b/>
          <w:bCs/>
          <w:sz w:val="22"/>
          <w:lang w:val="es-ES_tradnl"/>
        </w:rPr>
        <w:t>Naturaleza de los c</w:t>
      </w:r>
      <w:r w:rsidR="00885D4F">
        <w:rPr>
          <w:rFonts w:ascii="Arial" w:eastAsia="Calibri" w:hAnsi="Arial" w:cs="Arial"/>
          <w:b/>
          <w:bCs/>
          <w:sz w:val="22"/>
          <w:lang w:val="es-ES_tradnl"/>
        </w:rPr>
        <w:t>ontratos regulados por el Decreto 092 de 2017</w:t>
      </w:r>
    </w:p>
    <w:p w14:paraId="345CB147" w14:textId="77777777" w:rsidR="00755E3D" w:rsidRPr="00085FB3" w:rsidRDefault="00755E3D" w:rsidP="00755E3D">
      <w:pPr>
        <w:spacing w:line="276" w:lineRule="auto"/>
        <w:jc w:val="both"/>
        <w:rPr>
          <w:rFonts w:ascii="Arial" w:eastAsia="Calibri" w:hAnsi="Arial" w:cs="Arial"/>
          <w:b/>
          <w:bCs/>
          <w:sz w:val="22"/>
          <w:lang w:val="es-ES_tradnl"/>
        </w:rPr>
      </w:pPr>
    </w:p>
    <w:p w14:paraId="6309AE28" w14:textId="77777777" w:rsidR="00755E3D" w:rsidRPr="00085FB3" w:rsidRDefault="00755E3D" w:rsidP="00755E3D">
      <w:pPr>
        <w:spacing w:line="276" w:lineRule="auto"/>
        <w:jc w:val="both"/>
        <w:rPr>
          <w:rFonts w:ascii="Arial" w:eastAsia="Calibri" w:hAnsi="Arial" w:cs="Arial"/>
          <w:bCs/>
          <w:sz w:val="22"/>
          <w:lang w:val="es-ES_tradnl"/>
        </w:rPr>
      </w:pPr>
      <w:r w:rsidRPr="00085FB3">
        <w:rPr>
          <w:rFonts w:ascii="Arial" w:eastAsia="Calibri" w:hAnsi="Arial" w:cs="Arial"/>
          <w:bCs/>
          <w:sz w:val="22"/>
          <w:lang w:val="es-ES_tradnl"/>
        </w:rPr>
        <w:t>El artículo 355 de la Constitución Política prohíbe a las ramas y órganos del poder público decretar auxilios o donaciones en favor de personas naturales o jurídicas. Igualmente, establece que las entidades del orden nacional, departamental, distrital y municipal podrán, con sus propios recursos, contratar con ESAL con el fin de impulsar programas y actividades de interés público acordes con el plan nacional y los planes seccionales de desarrollo</w:t>
      </w:r>
      <w:r w:rsidRPr="00085FB3">
        <w:rPr>
          <w:rStyle w:val="Refdenotaalpie"/>
          <w:rFonts w:ascii="Arial" w:hAnsi="Arial" w:cs="Arial"/>
          <w:sz w:val="22"/>
          <w:lang w:val="es-ES_tradnl"/>
        </w:rPr>
        <w:footnoteReference w:id="2"/>
      </w:r>
      <w:r w:rsidRPr="00085FB3">
        <w:rPr>
          <w:rFonts w:ascii="Arial" w:eastAsia="Calibri" w:hAnsi="Arial" w:cs="Arial"/>
          <w:bCs/>
          <w:sz w:val="22"/>
          <w:lang w:val="es-ES_tradnl"/>
        </w:rPr>
        <w:t>. Por otra parte, el artículo 96 de la Ley 489 de 1998 permite a las entidades públicas en general, es decir, cualquiera sea su naturaleza y orden administrativo, asociarse con personas jurídicas particulares, mediante la celebración de convenios de asociación o la creación de personas jurídicas. Ambas figuras tienen como fin desarrollar conjuntamente actividades relacionadas con los cometidos y funciones legales asignadas a la entidad</w:t>
      </w:r>
      <w:r w:rsidRPr="00085FB3">
        <w:rPr>
          <w:rStyle w:val="Refdenotaalpie"/>
          <w:rFonts w:ascii="Arial" w:eastAsia="Calibri" w:hAnsi="Arial" w:cs="Arial"/>
          <w:bCs/>
          <w:sz w:val="22"/>
          <w:lang w:val="es-ES_tradnl"/>
        </w:rPr>
        <w:footnoteReference w:id="3"/>
      </w:r>
      <w:r w:rsidRPr="00085FB3">
        <w:rPr>
          <w:rFonts w:ascii="Arial" w:eastAsia="Calibri" w:hAnsi="Arial" w:cs="Arial"/>
          <w:bCs/>
          <w:sz w:val="22"/>
          <w:lang w:val="es-ES_tradnl"/>
        </w:rPr>
        <w:t>.</w:t>
      </w:r>
    </w:p>
    <w:p w14:paraId="056B2BAC" w14:textId="3067A73F" w:rsidR="00755E3D" w:rsidRPr="00085FB3" w:rsidRDefault="00755E3D" w:rsidP="00755E3D">
      <w:pPr>
        <w:spacing w:before="120" w:after="120" w:line="276" w:lineRule="auto"/>
        <w:ind w:firstLine="709"/>
        <w:jc w:val="both"/>
        <w:rPr>
          <w:rFonts w:ascii="Arial" w:eastAsia="Calibri" w:hAnsi="Arial" w:cs="Arial"/>
          <w:bCs/>
          <w:sz w:val="22"/>
          <w:lang w:val="es-ES_tradnl"/>
        </w:rPr>
      </w:pPr>
      <w:bookmarkStart w:id="3" w:name="_Hlk38819155"/>
      <w:r w:rsidRPr="00085FB3">
        <w:rPr>
          <w:rFonts w:ascii="Arial" w:eastAsia="Calibri" w:hAnsi="Arial" w:cs="Arial"/>
          <w:bCs/>
          <w:sz w:val="22"/>
          <w:lang w:val="es-ES_tradnl"/>
        </w:rPr>
        <w:t xml:space="preserve">El Decreto 092 de 2017 dispone reglas para las contrataciones que realicen las entidades estatales con las ESAL. El Decreto regula dos (2) eventos: i) los contratos del artículo 355 de la Constitución Política con el fin </w:t>
      </w:r>
      <w:r w:rsidR="00963D02">
        <w:rPr>
          <w:rFonts w:ascii="Arial" w:eastAsia="Calibri" w:hAnsi="Arial" w:cs="Arial"/>
          <w:bCs/>
          <w:sz w:val="22"/>
          <w:lang w:val="es-ES_tradnl"/>
        </w:rPr>
        <w:t xml:space="preserve">de </w:t>
      </w:r>
      <w:r w:rsidRPr="00085FB3">
        <w:rPr>
          <w:rFonts w:ascii="Arial" w:eastAsia="Calibri" w:hAnsi="Arial" w:cs="Arial"/>
          <w:bCs/>
          <w:sz w:val="22"/>
          <w:lang w:val="es-ES_tradnl"/>
        </w:rPr>
        <w:t xml:space="preserve">impulsar programas y actividades de interés público de acuerdo con el Plan Nacional o los planes seccionales de desarrollo, en los términos de </w:t>
      </w:r>
      <w:r>
        <w:rPr>
          <w:rFonts w:ascii="Arial" w:eastAsia="Calibri" w:hAnsi="Arial" w:cs="Arial"/>
          <w:bCs/>
          <w:sz w:val="22"/>
          <w:lang w:val="es-ES_tradnl"/>
        </w:rPr>
        <w:t>dicha norma constitucional</w:t>
      </w:r>
      <w:r w:rsidRPr="00085FB3">
        <w:rPr>
          <w:rFonts w:ascii="Arial" w:eastAsia="Calibri" w:hAnsi="Arial" w:cs="Arial"/>
          <w:bCs/>
          <w:sz w:val="22"/>
          <w:lang w:val="es-ES_tradnl"/>
        </w:rPr>
        <w:t xml:space="preserve">; y ii) los convenios de asociación, para el desarrollo conjunto de actividades relacionadas con las funciones de las entidades estatales, en desarrollo del artículo 96 de la Ley 489 de 1998. </w:t>
      </w:r>
    </w:p>
    <w:bookmarkEnd w:id="3"/>
    <w:p w14:paraId="71C400C5" w14:textId="77777777" w:rsidR="00A943D3" w:rsidRDefault="00755E3D" w:rsidP="00755E3D">
      <w:pPr>
        <w:spacing w:before="120" w:after="120" w:line="276" w:lineRule="auto"/>
        <w:ind w:firstLine="709"/>
        <w:jc w:val="both"/>
        <w:rPr>
          <w:rFonts w:ascii="Arial" w:eastAsia="Calibri" w:hAnsi="Arial" w:cs="Arial"/>
          <w:bCs/>
          <w:sz w:val="22"/>
          <w:lang w:val="es-ES_tradnl"/>
        </w:rPr>
      </w:pPr>
      <w:r w:rsidRPr="00085FB3">
        <w:rPr>
          <w:rFonts w:ascii="Arial" w:eastAsia="Calibri" w:hAnsi="Arial" w:cs="Arial"/>
          <w:bCs/>
          <w:sz w:val="22"/>
          <w:lang w:val="es-ES_tradnl"/>
        </w:rPr>
        <w:lastRenderedPageBreak/>
        <w:t xml:space="preserve">Los </w:t>
      </w:r>
      <w:r w:rsidRPr="00085FB3">
        <w:rPr>
          <w:rFonts w:ascii="Arial" w:eastAsia="Calibri" w:hAnsi="Arial" w:cs="Arial"/>
          <w:bCs/>
          <w:i/>
          <w:sz w:val="22"/>
          <w:lang w:val="es-ES_tradnl"/>
        </w:rPr>
        <w:t>contratos del artículo 355 de la Constitución Política</w:t>
      </w:r>
      <w:r w:rsidRPr="00085FB3">
        <w:rPr>
          <w:rFonts w:ascii="Arial" w:eastAsia="Calibri" w:hAnsi="Arial" w:cs="Arial"/>
          <w:bCs/>
          <w:sz w:val="22"/>
          <w:lang w:val="es-ES_tradnl"/>
        </w:rPr>
        <w:t xml:space="preserve"> tienen como objeto promover acciones de fomento social en beneficio de los sectores más desprotegidos de la población, siempre que estén previstas en los planes de desarrollo, motivo por el cual no dan lugar a una contraprestación directa a favor de la entidad y tampoco a una relación conmutativa entre </w:t>
      </w:r>
      <w:r>
        <w:rPr>
          <w:rFonts w:ascii="Arial" w:eastAsia="Calibri" w:hAnsi="Arial" w:cs="Arial"/>
          <w:bCs/>
          <w:sz w:val="22"/>
          <w:lang w:val="es-ES_tradnl"/>
        </w:rPr>
        <w:t>e</w:t>
      </w:r>
      <w:r w:rsidRPr="00085FB3">
        <w:rPr>
          <w:rFonts w:ascii="Arial" w:eastAsia="Calibri" w:hAnsi="Arial" w:cs="Arial"/>
          <w:bCs/>
          <w:sz w:val="22"/>
          <w:lang w:val="es-ES_tradnl"/>
        </w:rPr>
        <w:t xml:space="preserve">sta y la ESAL, toda vez que el beneficio directo lo recibirán, en últimas, los sectores </w:t>
      </w:r>
      <w:r w:rsidR="00F656F8">
        <w:rPr>
          <w:rFonts w:ascii="Arial" w:eastAsia="Calibri" w:hAnsi="Arial" w:cs="Arial"/>
          <w:bCs/>
          <w:sz w:val="22"/>
          <w:lang w:val="es-ES_tradnl"/>
        </w:rPr>
        <w:t xml:space="preserve">destinatarios </w:t>
      </w:r>
      <w:r w:rsidRPr="00085FB3">
        <w:rPr>
          <w:rFonts w:ascii="Arial" w:eastAsia="Calibri" w:hAnsi="Arial" w:cs="Arial"/>
          <w:bCs/>
          <w:sz w:val="22"/>
          <w:lang w:val="es-ES_tradnl"/>
        </w:rPr>
        <w:t xml:space="preserve">de este tipo de acciones de fomento. </w:t>
      </w:r>
    </w:p>
    <w:p w14:paraId="7B77119D" w14:textId="3E522E38" w:rsidR="00755E3D" w:rsidRPr="00085FB3" w:rsidRDefault="00755E3D" w:rsidP="00755E3D">
      <w:pPr>
        <w:spacing w:before="120" w:after="120" w:line="276" w:lineRule="auto"/>
        <w:ind w:firstLine="709"/>
        <w:jc w:val="both"/>
        <w:rPr>
          <w:rFonts w:ascii="Arial" w:eastAsia="Calibri" w:hAnsi="Arial" w:cs="Arial"/>
          <w:bCs/>
          <w:sz w:val="22"/>
          <w:lang w:val="es-ES_tradnl"/>
        </w:rPr>
      </w:pPr>
      <w:r w:rsidRPr="00085FB3">
        <w:rPr>
          <w:rFonts w:ascii="Arial" w:eastAsia="Calibri" w:hAnsi="Arial" w:cs="Arial"/>
          <w:bCs/>
          <w:sz w:val="22"/>
          <w:lang w:val="es-ES_tradnl"/>
        </w:rPr>
        <w:t>Para celebrar estos contratos, según lo establece el artículo 3 del Decreto 092 de 2017,</w:t>
      </w:r>
      <w:r>
        <w:rPr>
          <w:rFonts w:ascii="Arial" w:eastAsia="Calibri" w:hAnsi="Arial" w:cs="Arial"/>
          <w:bCs/>
          <w:sz w:val="22"/>
          <w:lang w:val="es-ES_tradnl"/>
        </w:rPr>
        <w:t xml:space="preserve"> </w:t>
      </w:r>
      <w:r w:rsidRPr="00085FB3">
        <w:rPr>
          <w:rFonts w:ascii="Arial" w:eastAsia="Calibri" w:hAnsi="Arial" w:cs="Arial"/>
          <w:bCs/>
          <w:sz w:val="22"/>
          <w:lang w:val="es-ES_tradnl"/>
        </w:rPr>
        <w:t>por regla general, la entidad debe adelantar un proceso competitivo para seleccionar la entidad sin ánimo de lucro contratista. En particular, debe verificar el cumplimiento de los siguientes requisitos: i) que el objeto del contrato corresponda a programas y actividades de interés público acordes con el Plan Nacional o Seccional de Desarrollo; y ii) que no haya una contraprestación directa a favor de la Entidad Estatal, es decir, que el programa o actividad a desarrollar est</w:t>
      </w:r>
      <w:r>
        <w:rPr>
          <w:rFonts w:ascii="Arial" w:eastAsia="Calibri" w:hAnsi="Arial" w:cs="Arial"/>
          <w:bCs/>
          <w:sz w:val="22"/>
          <w:lang w:val="es-ES_tradnl"/>
        </w:rPr>
        <w:t>é</w:t>
      </w:r>
      <w:r w:rsidRPr="00085FB3">
        <w:rPr>
          <w:rFonts w:ascii="Arial" w:eastAsia="Calibri" w:hAnsi="Arial" w:cs="Arial"/>
          <w:bCs/>
          <w:sz w:val="22"/>
          <w:lang w:val="es-ES_tradnl"/>
        </w:rPr>
        <w:t xml:space="preserve"> dirigid</w:t>
      </w:r>
      <w:r>
        <w:rPr>
          <w:rFonts w:ascii="Arial" w:eastAsia="Calibri" w:hAnsi="Arial" w:cs="Arial"/>
          <w:bCs/>
          <w:sz w:val="22"/>
          <w:lang w:val="es-ES_tradnl"/>
        </w:rPr>
        <w:t>o</w:t>
      </w:r>
      <w:r w:rsidRPr="00085FB3">
        <w:rPr>
          <w:rFonts w:ascii="Arial" w:eastAsia="Calibri" w:hAnsi="Arial" w:cs="Arial"/>
          <w:bCs/>
          <w:sz w:val="22"/>
          <w:lang w:val="es-ES_tradnl"/>
        </w:rPr>
        <w:t xml:space="preserve"> al beneficio de la población en general, ya que cuando se adquieren bienes o servicios o ejecuta</w:t>
      </w:r>
      <w:r>
        <w:rPr>
          <w:rFonts w:ascii="Arial" w:eastAsia="Calibri" w:hAnsi="Arial" w:cs="Arial"/>
          <w:bCs/>
          <w:sz w:val="22"/>
          <w:lang w:val="es-ES_tradnl"/>
        </w:rPr>
        <w:t>n</w:t>
      </w:r>
      <w:r w:rsidRPr="00085FB3">
        <w:rPr>
          <w:rFonts w:ascii="Arial" w:eastAsia="Calibri" w:hAnsi="Arial" w:cs="Arial"/>
          <w:bCs/>
          <w:sz w:val="22"/>
          <w:lang w:val="es-ES_tradnl"/>
        </w:rPr>
        <w:t xml:space="preserve"> obras en una relación conmutativa, las normas aplicables son las del Estatuto General de Contratación. Solo cuando se reúnan estas condiciones es procedente celebrar </w:t>
      </w:r>
      <w:r>
        <w:rPr>
          <w:rFonts w:ascii="Arial" w:eastAsia="Calibri" w:hAnsi="Arial" w:cs="Arial"/>
          <w:bCs/>
          <w:sz w:val="22"/>
          <w:lang w:val="es-ES_tradnl"/>
        </w:rPr>
        <w:t xml:space="preserve">los </w:t>
      </w:r>
      <w:r w:rsidRPr="00085FB3">
        <w:rPr>
          <w:rFonts w:ascii="Arial" w:eastAsia="Calibri" w:hAnsi="Arial" w:cs="Arial"/>
          <w:bCs/>
          <w:sz w:val="22"/>
          <w:lang w:val="es-ES_tradnl"/>
        </w:rPr>
        <w:t>contratos del artículo 355 de la Constitución Política; de lo contrario, se aplicarán las normas del Estatuto General de Contratación de la Administración Pública.</w:t>
      </w:r>
    </w:p>
    <w:p w14:paraId="21EBB3B7" w14:textId="77777777" w:rsidR="00755E3D" w:rsidRPr="00085FB3" w:rsidRDefault="00755E3D" w:rsidP="00755E3D">
      <w:pPr>
        <w:spacing w:before="120" w:after="120" w:line="276" w:lineRule="auto"/>
        <w:ind w:firstLine="709"/>
        <w:jc w:val="both"/>
        <w:rPr>
          <w:rFonts w:ascii="Arial" w:eastAsia="Calibri" w:hAnsi="Arial" w:cs="Arial"/>
          <w:bCs/>
          <w:sz w:val="22"/>
          <w:lang w:val="es-ES_tradnl"/>
        </w:rPr>
      </w:pPr>
      <w:r w:rsidRPr="00085FB3">
        <w:rPr>
          <w:rFonts w:ascii="Arial" w:eastAsia="Calibri" w:hAnsi="Arial" w:cs="Arial"/>
          <w:bCs/>
          <w:sz w:val="22"/>
          <w:lang w:val="es-ES_tradnl"/>
        </w:rPr>
        <w:t xml:space="preserve">De otro lado, los </w:t>
      </w:r>
      <w:r w:rsidRPr="00085FB3">
        <w:rPr>
          <w:rFonts w:ascii="Arial" w:eastAsia="Calibri" w:hAnsi="Arial" w:cs="Arial"/>
          <w:bCs/>
          <w:i/>
          <w:sz w:val="22"/>
          <w:lang w:val="es-ES_tradnl"/>
        </w:rPr>
        <w:t>convenios de asociación</w:t>
      </w:r>
      <w:r w:rsidRPr="00085FB3">
        <w:rPr>
          <w:rFonts w:ascii="Arial" w:eastAsia="Calibri" w:hAnsi="Arial" w:cs="Arial"/>
          <w:bCs/>
          <w:sz w:val="22"/>
          <w:lang w:val="es-ES_tradnl"/>
        </w:rPr>
        <w:t xml:space="preserve"> «[t]</w:t>
      </w:r>
      <w:proofErr w:type="spellStart"/>
      <w:r w:rsidRPr="00085FB3">
        <w:rPr>
          <w:rFonts w:ascii="Arial" w:eastAsia="Calibri" w:hAnsi="Arial" w:cs="Arial"/>
          <w:bCs/>
          <w:sz w:val="22"/>
          <w:lang w:val="es-ES_tradnl"/>
        </w:rPr>
        <w:t>ienen</w:t>
      </w:r>
      <w:proofErr w:type="spellEnd"/>
      <w:r w:rsidRPr="00085FB3">
        <w:rPr>
          <w:rFonts w:ascii="Arial" w:eastAsia="Calibri" w:hAnsi="Arial" w:cs="Arial"/>
          <w:bCs/>
          <w:sz w:val="22"/>
          <w:lang w:val="es-ES_tradnl"/>
        </w:rPr>
        <w:t xml:space="preserve"> como finalidad que la entidad estatal, cualquiera que sea su naturaleza y orden administrativo, se asocien con personas jurídicas particulares para el desarrollo conjunto de actividades relacionadas con los cometidos y funciones asignadas a aquellas conforme a la Constitución y a la Ley»</w:t>
      </w:r>
      <w:r w:rsidRPr="00085FB3">
        <w:rPr>
          <w:rStyle w:val="Refdenotaalpie"/>
          <w:rFonts w:ascii="Arial" w:hAnsi="Arial" w:cs="Arial"/>
          <w:sz w:val="22"/>
          <w:lang w:val="es-ES_tradnl"/>
        </w:rPr>
        <w:footnoteReference w:id="4"/>
      </w:r>
      <w:r w:rsidRPr="00085FB3">
        <w:rPr>
          <w:rFonts w:ascii="Arial" w:eastAsia="Calibri" w:hAnsi="Arial" w:cs="Arial"/>
          <w:bCs/>
          <w:sz w:val="22"/>
          <w:lang w:val="es-ES_tradnl"/>
        </w:rPr>
        <w:t>. En estos convenios existen aportes dirigidos, especialmente, a lograr la ejecución del convenio. De todos modos, la entidad deberá adelantar un proceso competitivo, salvo cuando la ESAL comprometa recursos en dinero para la ejecución de estas actividades, en una proporción no inferior al 30% del valor total del convenio. El convenio de asociación no es conmutativo, y por tanto, la entidad no instruye al contratista para desarrollar los programas o actividades previstas, sino que se asocia con él para el cumplimiento de objetivos comunes</w:t>
      </w:r>
      <w:r w:rsidRPr="00085FB3">
        <w:rPr>
          <w:rStyle w:val="Refdenotaalpie"/>
          <w:rFonts w:ascii="Arial" w:hAnsi="Arial" w:cs="Arial"/>
          <w:sz w:val="22"/>
          <w:lang w:val="es-ES_tradnl"/>
        </w:rPr>
        <w:footnoteReference w:id="5"/>
      </w:r>
      <w:r w:rsidRPr="00085FB3">
        <w:rPr>
          <w:rFonts w:ascii="Arial" w:eastAsia="Calibri" w:hAnsi="Arial" w:cs="Arial"/>
          <w:bCs/>
          <w:sz w:val="22"/>
          <w:lang w:val="es-ES_tradnl"/>
        </w:rPr>
        <w:t>.</w:t>
      </w:r>
    </w:p>
    <w:p w14:paraId="6A5A3ABC" w14:textId="77777777" w:rsidR="00755E3D" w:rsidRPr="00085FB3" w:rsidRDefault="00755E3D" w:rsidP="00755E3D">
      <w:pPr>
        <w:spacing w:before="120" w:after="120" w:line="276" w:lineRule="auto"/>
        <w:ind w:firstLine="709"/>
        <w:jc w:val="both"/>
        <w:rPr>
          <w:rFonts w:ascii="Arial" w:eastAsia="Calibri" w:hAnsi="Arial" w:cs="Arial"/>
          <w:bCs/>
          <w:sz w:val="22"/>
          <w:lang w:val="es-ES_tradnl"/>
        </w:rPr>
      </w:pPr>
      <w:r w:rsidRPr="00085FB3">
        <w:rPr>
          <w:rFonts w:ascii="Arial" w:eastAsia="Calibri" w:hAnsi="Arial" w:cs="Arial"/>
          <w:bCs/>
          <w:sz w:val="22"/>
          <w:lang w:val="es-ES_tradnl"/>
        </w:rPr>
        <w:t>La normativa vigente no impide que varias entidades suscriban conjuntamente el convenio de asociación y tampoco que dos o más ESAL pued</w:t>
      </w:r>
      <w:r>
        <w:rPr>
          <w:rFonts w:ascii="Arial" w:eastAsia="Calibri" w:hAnsi="Arial" w:cs="Arial"/>
          <w:bCs/>
          <w:sz w:val="22"/>
          <w:lang w:val="es-ES_tradnl"/>
        </w:rPr>
        <w:t>a</w:t>
      </w:r>
      <w:r w:rsidRPr="00085FB3">
        <w:rPr>
          <w:rFonts w:ascii="Arial" w:eastAsia="Calibri" w:hAnsi="Arial" w:cs="Arial"/>
          <w:bCs/>
          <w:sz w:val="22"/>
          <w:lang w:val="es-ES_tradnl"/>
        </w:rPr>
        <w:t>n hacerlo, a través de las figuras asociativas autorizadas por la ley, por ejemplo, como unión temporal o como consorcio</w:t>
      </w:r>
      <w:r w:rsidRPr="00085FB3">
        <w:rPr>
          <w:rStyle w:val="Refdenotaalpie"/>
          <w:rFonts w:ascii="Arial" w:eastAsia="Calibri" w:hAnsi="Arial" w:cs="Arial"/>
          <w:sz w:val="22"/>
          <w:lang w:val="es-ES_tradnl"/>
        </w:rPr>
        <w:footnoteReference w:id="6"/>
      </w:r>
      <w:r w:rsidRPr="00085FB3">
        <w:rPr>
          <w:rFonts w:ascii="Arial" w:eastAsia="Calibri" w:hAnsi="Arial" w:cs="Arial"/>
          <w:bCs/>
          <w:sz w:val="22"/>
          <w:lang w:val="es-ES_tradnl"/>
        </w:rPr>
        <w:t xml:space="preserve">. Sin embargo, como el artículo 96 de la Ley 489 de 1998 determina que el </w:t>
      </w:r>
      <w:r w:rsidRPr="00085FB3">
        <w:rPr>
          <w:rFonts w:ascii="Arial" w:eastAsia="Calibri" w:hAnsi="Arial" w:cs="Arial"/>
          <w:bCs/>
          <w:sz w:val="22"/>
          <w:lang w:val="es-ES_tradnl"/>
        </w:rPr>
        <w:lastRenderedPageBreak/>
        <w:t>convenio busca el desarrollo conjunto de actividades en relación con los cometidos y funciones que la ley les asigna a las entidades estatales, lo cierto es que las funciones legales de las entidades estatales que suscriben conjuntamente el convenio deben coincidir. Igualmente, atendiendo a que los convenios de asociación «no estarán sujetos a competencia cuando la entidad sin ánimo de lucro comprometa recursos en dinero para la ejecución de esas actividades en una proporción no inferior al 30% del valor total del convenio», las entidades deben asegurarse de que su contratista, es decir, las ESAL, aporte al menos el treinta por ciento del valor del convenio para celebrarlo directamente. Además, en atención al inciso 2 del artículo 5 del Decreto 092 de 2017, deben «asegurarse que no haya otras ESAL que ofrezcan su compromiso de recursos en dinero en una proporción no inferior al 30% del valor total del convenio. En caso de que la entidad encuentre que más de una ESAL le ofrece al menos el 30% de recursos en dinero para el convenio de asociación, debe seleccionar objetivamente con cual asociarse».</w:t>
      </w:r>
    </w:p>
    <w:p w14:paraId="08072F99" w14:textId="77777777" w:rsidR="00433D0E" w:rsidRDefault="00755E3D" w:rsidP="00755E3D">
      <w:pPr>
        <w:spacing w:before="120" w:line="276" w:lineRule="auto"/>
        <w:ind w:firstLine="709"/>
        <w:jc w:val="both"/>
        <w:rPr>
          <w:rFonts w:ascii="Arial" w:eastAsia="Calibri" w:hAnsi="Arial" w:cs="Arial"/>
          <w:bCs/>
          <w:sz w:val="22"/>
          <w:lang w:val="es-ES_tradnl"/>
        </w:rPr>
      </w:pPr>
      <w:r w:rsidRPr="00085FB3">
        <w:rPr>
          <w:rFonts w:ascii="Arial" w:eastAsia="Calibri" w:hAnsi="Arial" w:cs="Arial"/>
          <w:bCs/>
          <w:sz w:val="22"/>
          <w:lang w:val="es-ES_tradnl"/>
        </w:rPr>
        <w:t xml:space="preserve">En todo caso, debe tenerse en cuenta que, mediante el Auto del 6 de agosto de 2019, la Sección Tercera del Consejo de Estado suspendió provisionalmente el inciso 2 del artículo 1, los literales a y c del artículo 2, el inciso 5 del artículo 2, el inciso 2 del artículo 3 y el inciso final del artículo 4 del Decreto 092 de 2017. </w:t>
      </w:r>
    </w:p>
    <w:p w14:paraId="6B7B464D" w14:textId="4CB5F597" w:rsidR="00755E3D" w:rsidRPr="00755E3D" w:rsidRDefault="00433D0E" w:rsidP="00755E3D">
      <w:pPr>
        <w:spacing w:before="120" w:line="276" w:lineRule="auto"/>
        <w:ind w:firstLine="709"/>
        <w:jc w:val="both"/>
        <w:rPr>
          <w:rFonts w:ascii="Arial" w:eastAsia="Calibri" w:hAnsi="Arial" w:cs="Arial"/>
          <w:bCs/>
          <w:sz w:val="22"/>
          <w:lang w:val="es-ES_tradnl"/>
        </w:rPr>
      </w:pPr>
      <w:r>
        <w:rPr>
          <w:rFonts w:ascii="Arial" w:eastAsia="Calibri" w:hAnsi="Arial" w:cs="Arial"/>
          <w:bCs/>
          <w:sz w:val="22"/>
          <w:lang w:val="es-ES_tradnl"/>
        </w:rPr>
        <w:t>D</w:t>
      </w:r>
      <w:r w:rsidR="00755E3D" w:rsidRPr="00085FB3">
        <w:rPr>
          <w:rFonts w:ascii="Arial" w:eastAsia="Calibri" w:hAnsi="Arial" w:cs="Arial"/>
          <w:bCs/>
          <w:sz w:val="22"/>
          <w:lang w:val="es-ES_tradnl"/>
        </w:rPr>
        <w:t xml:space="preserve">entro de las normas vigentes, corresponde analizar </w:t>
      </w:r>
      <w:r w:rsidR="00501D3D">
        <w:rPr>
          <w:rFonts w:ascii="Arial" w:eastAsia="Calibri" w:hAnsi="Arial" w:cs="Arial"/>
          <w:bCs/>
          <w:sz w:val="22"/>
          <w:lang w:val="es-ES_tradnl"/>
        </w:rPr>
        <w:t>el alcance de la autorización previa, por la cual se indaga en la consulta. Pero antes de eso</w:t>
      </w:r>
      <w:r w:rsidR="00396307">
        <w:rPr>
          <w:rFonts w:ascii="Arial" w:eastAsia="Calibri" w:hAnsi="Arial" w:cs="Arial"/>
          <w:bCs/>
          <w:sz w:val="22"/>
          <w:lang w:val="es-ES_tradnl"/>
        </w:rPr>
        <w:t>,</w:t>
      </w:r>
      <w:r w:rsidR="00177B07">
        <w:rPr>
          <w:rFonts w:ascii="Arial" w:eastAsia="Calibri" w:hAnsi="Arial" w:cs="Arial"/>
          <w:bCs/>
          <w:sz w:val="22"/>
          <w:lang w:val="es-ES_tradnl"/>
        </w:rPr>
        <w:t xml:space="preserve"> es importante saber en qué sentido deben interpretarse las remisiones al Estatuto General de Contratación de la Administración Pública previstas en el Decreto 092 de 2017</w:t>
      </w:r>
      <w:r w:rsidR="00F45D74">
        <w:rPr>
          <w:rFonts w:ascii="Arial" w:eastAsia="Calibri" w:hAnsi="Arial" w:cs="Arial"/>
          <w:bCs/>
          <w:sz w:val="22"/>
          <w:lang w:val="es-ES_tradnl"/>
        </w:rPr>
        <w:t>,</w:t>
      </w:r>
      <w:r w:rsidR="00177B07">
        <w:rPr>
          <w:rFonts w:ascii="Arial" w:eastAsia="Calibri" w:hAnsi="Arial" w:cs="Arial"/>
          <w:bCs/>
          <w:sz w:val="22"/>
          <w:lang w:val="es-ES_tradnl"/>
        </w:rPr>
        <w:t xml:space="preserve"> pues ello permitirá aclarar si el representante legal de la entidad estatal puede delegar</w:t>
      </w:r>
      <w:r w:rsidR="00396307">
        <w:rPr>
          <w:rFonts w:ascii="Arial" w:eastAsia="Calibri" w:hAnsi="Arial" w:cs="Arial"/>
          <w:bCs/>
          <w:sz w:val="22"/>
          <w:lang w:val="es-ES_tradnl"/>
        </w:rPr>
        <w:t xml:space="preserve"> su actividad contractual en ejecución del contrato con la ESAL.</w:t>
      </w:r>
    </w:p>
    <w:p w14:paraId="516A9C36" w14:textId="77777777" w:rsidR="004D31F0" w:rsidRPr="00396307" w:rsidRDefault="004D31F0" w:rsidP="001335BA">
      <w:pPr>
        <w:spacing w:line="276" w:lineRule="auto"/>
        <w:jc w:val="both"/>
        <w:rPr>
          <w:rFonts w:ascii="Arial" w:eastAsia="Calibri" w:hAnsi="Arial" w:cs="Arial"/>
          <w:sz w:val="22"/>
          <w:lang w:val="es-ES_tradnl"/>
        </w:rPr>
      </w:pPr>
    </w:p>
    <w:p w14:paraId="2C549CA3" w14:textId="2A6ED9F6" w:rsidR="001335BA" w:rsidRPr="00085FB3" w:rsidRDefault="001335BA" w:rsidP="001335BA">
      <w:pPr>
        <w:spacing w:line="276" w:lineRule="auto"/>
        <w:jc w:val="both"/>
        <w:rPr>
          <w:rFonts w:ascii="Arial" w:eastAsia="Calibri" w:hAnsi="Arial" w:cs="Arial"/>
          <w:b/>
          <w:bCs/>
          <w:sz w:val="22"/>
          <w:lang w:val="es-ES_tradnl"/>
        </w:rPr>
      </w:pPr>
      <w:r w:rsidRPr="00085FB3">
        <w:rPr>
          <w:rFonts w:ascii="Arial" w:eastAsia="Calibri" w:hAnsi="Arial" w:cs="Arial"/>
          <w:b/>
          <w:bCs/>
          <w:sz w:val="22"/>
          <w:lang w:val="es-ES_tradnl"/>
        </w:rPr>
        <w:t>2.</w:t>
      </w:r>
      <w:r w:rsidR="00885D4F">
        <w:rPr>
          <w:rFonts w:ascii="Arial" w:eastAsia="Calibri" w:hAnsi="Arial" w:cs="Arial"/>
          <w:b/>
          <w:bCs/>
          <w:sz w:val="22"/>
          <w:lang w:val="es-ES_tradnl"/>
        </w:rPr>
        <w:t>2</w:t>
      </w:r>
      <w:r w:rsidRPr="00085FB3">
        <w:rPr>
          <w:rFonts w:ascii="Arial" w:eastAsia="Calibri" w:hAnsi="Arial" w:cs="Arial"/>
          <w:b/>
          <w:bCs/>
          <w:sz w:val="22"/>
          <w:lang w:val="es-ES_tradnl"/>
        </w:rPr>
        <w:t xml:space="preserve">. </w:t>
      </w:r>
      <w:r w:rsidR="004552EE">
        <w:rPr>
          <w:rFonts w:ascii="Arial" w:eastAsia="Calibri" w:hAnsi="Arial" w:cs="Arial"/>
          <w:b/>
          <w:bCs/>
          <w:sz w:val="22"/>
          <w:lang w:val="es-ES_tradnl"/>
        </w:rPr>
        <w:t xml:space="preserve">Aplicación del Estatuto General de Contratación de la Administración Pública </w:t>
      </w:r>
      <w:r w:rsidR="009A1FD3">
        <w:rPr>
          <w:rFonts w:ascii="Arial" w:eastAsia="Calibri" w:hAnsi="Arial" w:cs="Arial"/>
          <w:b/>
          <w:bCs/>
          <w:sz w:val="22"/>
          <w:lang w:val="es-ES_tradnl"/>
        </w:rPr>
        <w:t>por remisión del Decreto 092 de 2017</w:t>
      </w:r>
    </w:p>
    <w:p w14:paraId="4509F4DA" w14:textId="77777777" w:rsidR="001335BA" w:rsidRPr="00085FB3" w:rsidRDefault="001335BA" w:rsidP="001335BA">
      <w:pPr>
        <w:spacing w:line="276" w:lineRule="auto"/>
        <w:jc w:val="both"/>
        <w:rPr>
          <w:rFonts w:ascii="Arial" w:eastAsia="Calibri" w:hAnsi="Arial" w:cs="Arial"/>
          <w:b/>
          <w:bCs/>
          <w:sz w:val="22"/>
          <w:lang w:val="es-ES_tradnl"/>
        </w:rPr>
      </w:pPr>
    </w:p>
    <w:p w14:paraId="523D4CB0" w14:textId="0EA816A2" w:rsidR="001335BA" w:rsidRPr="00085FB3" w:rsidRDefault="009A1FD3" w:rsidP="004552EE">
      <w:pPr>
        <w:spacing w:after="120" w:line="276" w:lineRule="auto"/>
        <w:jc w:val="both"/>
        <w:rPr>
          <w:rFonts w:ascii="Arial" w:eastAsia="Calibri" w:hAnsi="Arial" w:cs="Arial"/>
          <w:sz w:val="22"/>
          <w:lang w:val="es-ES_tradnl"/>
        </w:rPr>
      </w:pPr>
      <w:bookmarkStart w:id="4" w:name="_Hlk38282653"/>
      <w:r>
        <w:rPr>
          <w:rFonts w:ascii="Arial" w:eastAsia="Calibri" w:hAnsi="Arial" w:cs="Arial"/>
          <w:sz w:val="22"/>
          <w:lang w:val="es-ES_tradnl"/>
        </w:rPr>
        <w:t xml:space="preserve">El </w:t>
      </w:r>
      <w:r w:rsidR="001335BA" w:rsidRPr="00085FB3">
        <w:rPr>
          <w:rFonts w:ascii="Arial" w:eastAsia="Calibri" w:hAnsi="Arial" w:cs="Arial"/>
          <w:sz w:val="22"/>
          <w:lang w:val="es-ES_tradnl"/>
        </w:rPr>
        <w:t xml:space="preserve">Decreto 092 de 2017 </w:t>
      </w:r>
      <w:r w:rsidR="001335BA" w:rsidRPr="00085FB3">
        <w:rPr>
          <w:rFonts w:ascii="Arial" w:eastAsia="Calibri" w:hAnsi="Arial" w:cs="Arial"/>
          <w:i/>
          <w:iCs/>
          <w:sz w:val="22"/>
          <w:lang w:val="es-ES_tradnl"/>
        </w:rPr>
        <w:t>remite integralmente</w:t>
      </w:r>
      <w:r w:rsidR="001335BA" w:rsidRPr="00085FB3">
        <w:rPr>
          <w:rFonts w:ascii="Arial" w:eastAsia="Calibri" w:hAnsi="Arial" w:cs="Arial"/>
          <w:sz w:val="22"/>
          <w:lang w:val="es-ES_tradnl"/>
        </w:rPr>
        <w:t xml:space="preserve"> al Estatuto de Contratación</w:t>
      </w:r>
      <w:r w:rsidR="00930CBB">
        <w:rPr>
          <w:rFonts w:ascii="Arial" w:eastAsia="Calibri" w:hAnsi="Arial" w:cs="Arial"/>
          <w:sz w:val="22"/>
          <w:lang w:val="es-ES_tradnl"/>
        </w:rPr>
        <w:t xml:space="preserve"> de la Administración Pública </w:t>
      </w:r>
      <w:r w:rsidR="00292F00">
        <w:rPr>
          <w:rFonts w:ascii="Arial" w:eastAsia="Calibri" w:hAnsi="Arial" w:cs="Arial"/>
          <w:sz w:val="22"/>
          <w:lang w:val="es-ES_tradnl"/>
        </w:rPr>
        <w:t>para llenar los vacíos normativos de</w:t>
      </w:r>
      <w:r w:rsidR="00930CBB">
        <w:rPr>
          <w:rFonts w:ascii="Arial" w:eastAsia="Calibri" w:hAnsi="Arial" w:cs="Arial"/>
          <w:sz w:val="22"/>
          <w:lang w:val="es-ES_tradnl"/>
        </w:rPr>
        <w:t xml:space="preserve"> aquel</w:t>
      </w:r>
      <w:r w:rsidR="001335BA" w:rsidRPr="00085FB3">
        <w:rPr>
          <w:rFonts w:ascii="Arial" w:eastAsia="Calibri" w:hAnsi="Arial" w:cs="Arial"/>
          <w:sz w:val="22"/>
          <w:lang w:val="es-ES_tradnl"/>
        </w:rPr>
        <w:t xml:space="preserve">. Por tanto, los artículos 6, 7 y 8 del reglamento autónomo deben interpretarse en bloque, es decir, aplicando la Ley 80 de 1993 a todo supuesto que no esté expresamente regulado en el Decreto 092 de 2017.  </w:t>
      </w:r>
    </w:p>
    <w:bookmarkEnd w:id="4"/>
    <w:p w14:paraId="14B3CDFD" w14:textId="6178F46E" w:rsidR="001335BA" w:rsidRPr="00085FB3" w:rsidRDefault="001335BA" w:rsidP="001335BA">
      <w:pPr>
        <w:spacing w:after="120" w:line="276" w:lineRule="auto"/>
        <w:ind w:firstLine="708"/>
        <w:jc w:val="both"/>
        <w:rPr>
          <w:rFonts w:ascii="Arial" w:eastAsia="Calibri" w:hAnsi="Arial" w:cs="Arial"/>
          <w:sz w:val="22"/>
          <w:lang w:val="es-ES_tradnl"/>
        </w:rPr>
      </w:pPr>
      <w:r w:rsidRPr="00085FB3">
        <w:rPr>
          <w:rFonts w:ascii="Arial" w:eastAsia="Calibri" w:hAnsi="Arial" w:cs="Arial"/>
          <w:sz w:val="22"/>
          <w:lang w:val="es-ES_tradnl"/>
        </w:rPr>
        <w:lastRenderedPageBreak/>
        <w:t xml:space="preserve">En esta medida, los </w:t>
      </w:r>
      <w:bookmarkStart w:id="5" w:name="_Hlk38213744"/>
      <w:r w:rsidRPr="00085FB3">
        <w:rPr>
          <w:rFonts w:ascii="Arial" w:eastAsia="Calibri" w:hAnsi="Arial" w:cs="Arial"/>
          <w:i/>
          <w:iCs/>
          <w:sz w:val="22"/>
          <w:lang w:val="es-ES_tradnl"/>
        </w:rPr>
        <w:t xml:space="preserve">contratos del artículo 355 de la Constitución  </w:t>
      </w:r>
      <w:r w:rsidRPr="00085FB3">
        <w:rPr>
          <w:rFonts w:ascii="Arial" w:eastAsia="Calibri" w:hAnsi="Arial" w:cs="Arial"/>
          <w:sz w:val="22"/>
          <w:lang w:val="es-ES_tradnl"/>
        </w:rPr>
        <w:t xml:space="preserve">y los </w:t>
      </w:r>
      <w:r w:rsidRPr="00085FB3">
        <w:rPr>
          <w:rFonts w:ascii="Arial" w:eastAsia="Calibri" w:hAnsi="Arial" w:cs="Arial"/>
          <w:i/>
          <w:iCs/>
          <w:sz w:val="22"/>
          <w:lang w:val="es-ES_tradnl"/>
        </w:rPr>
        <w:t>convenios de asociación</w:t>
      </w:r>
      <w:bookmarkEnd w:id="5"/>
      <w:r w:rsidRPr="00085FB3">
        <w:rPr>
          <w:rFonts w:ascii="Arial" w:eastAsia="Calibri" w:hAnsi="Arial" w:cs="Arial"/>
          <w:sz w:val="22"/>
          <w:lang w:val="es-ES_tradnl"/>
        </w:rPr>
        <w:t xml:space="preserve"> se rigen por el </w:t>
      </w:r>
      <w:r>
        <w:rPr>
          <w:rFonts w:ascii="Arial" w:eastAsia="Calibri" w:hAnsi="Arial" w:cs="Arial"/>
          <w:sz w:val="22"/>
          <w:lang w:val="es-ES_tradnl"/>
        </w:rPr>
        <w:t>D</w:t>
      </w:r>
      <w:r w:rsidRPr="00085FB3">
        <w:rPr>
          <w:rFonts w:ascii="Arial" w:eastAsia="Calibri" w:hAnsi="Arial" w:cs="Arial"/>
          <w:sz w:val="22"/>
          <w:lang w:val="es-ES_tradnl"/>
        </w:rPr>
        <w:t xml:space="preserve">ecreto y las normas del Estatuto General que sean compatibles con </w:t>
      </w:r>
      <w:r w:rsidR="009E0EF9">
        <w:rPr>
          <w:rFonts w:ascii="Arial" w:eastAsia="Calibri" w:hAnsi="Arial" w:cs="Arial"/>
          <w:sz w:val="22"/>
          <w:lang w:val="es-ES_tradnl"/>
        </w:rPr>
        <w:t>esa figura</w:t>
      </w:r>
      <w:r w:rsidRPr="00085FB3">
        <w:rPr>
          <w:rFonts w:ascii="Arial" w:eastAsia="Calibri" w:hAnsi="Arial" w:cs="Arial"/>
          <w:sz w:val="22"/>
          <w:lang w:val="es-ES_tradnl"/>
        </w:rPr>
        <w:t xml:space="preserve">, como, por ejemplo, los fines de la contratación –art. 3–, los derechos y deberes del contratante y del contratista –arts. 4 y 5–, los consorcios o uniones temporales –art. 7–, el régimen de inhabilidades e incompatibilidades –art. 8–, los principios de la contratación estatal –art. 23 y ss.–, las tipologías contractuales –art. 32–, el contenido del contrato y la prohibición de adicionarlo en más del cincuenta por ciento –art. 40–, el régimen de perfeccionamiento –art. 41–, las causales de nulidad –art. 44 y ss.–, el régimen de responsabilidad contractual –art. 50 y ss.– y de liquidación de los contratos –art. 60–. </w:t>
      </w:r>
    </w:p>
    <w:p w14:paraId="146F396D" w14:textId="6F40BC78" w:rsidR="000706B3" w:rsidRPr="001335BA" w:rsidRDefault="000706B3" w:rsidP="006628CE">
      <w:pPr>
        <w:spacing w:before="120" w:line="276" w:lineRule="auto"/>
        <w:ind w:firstLine="709"/>
        <w:jc w:val="both"/>
        <w:rPr>
          <w:rFonts w:ascii="Arial" w:eastAsia="Calibri" w:hAnsi="Arial" w:cs="Arial"/>
          <w:sz w:val="22"/>
          <w:lang w:val="es-ES_tradnl"/>
        </w:rPr>
      </w:pPr>
      <w:r>
        <w:rPr>
          <w:rFonts w:ascii="Arial" w:eastAsia="Calibri" w:hAnsi="Arial" w:cs="Arial"/>
          <w:sz w:val="22"/>
          <w:lang w:val="es-ES_tradnl"/>
        </w:rPr>
        <w:t>A partir de estas consideraciones</w:t>
      </w:r>
      <w:r w:rsidR="00F903CF">
        <w:rPr>
          <w:rFonts w:ascii="Arial" w:eastAsia="Calibri" w:hAnsi="Arial" w:cs="Arial"/>
          <w:sz w:val="22"/>
          <w:lang w:val="es-ES_tradnl"/>
        </w:rPr>
        <w:t xml:space="preserve">, se interpretará el artículo 2 del Decreto 092 de 2017, en lo que respecta a la autorización previa </w:t>
      </w:r>
      <w:r w:rsidR="003E0BD0">
        <w:rPr>
          <w:rFonts w:ascii="Arial" w:eastAsia="Calibri" w:hAnsi="Arial" w:cs="Arial"/>
          <w:sz w:val="22"/>
          <w:lang w:val="es-ES_tradnl"/>
        </w:rPr>
        <w:t>para celebrar los contratos regulados por dicho reglamento y la posibilidad de aplicar las normas sobre competencia establecidas en el Estatuto General</w:t>
      </w:r>
      <w:r w:rsidR="009E58C8">
        <w:rPr>
          <w:rFonts w:ascii="Arial" w:eastAsia="Calibri" w:hAnsi="Arial" w:cs="Arial"/>
          <w:sz w:val="22"/>
          <w:lang w:val="es-ES_tradnl"/>
        </w:rPr>
        <w:t xml:space="preserve"> de Contratación de la Administración Pública.</w:t>
      </w:r>
    </w:p>
    <w:p w14:paraId="3728ACF5" w14:textId="77777777" w:rsidR="00C82714" w:rsidRDefault="00C82714" w:rsidP="006628CE">
      <w:pPr>
        <w:tabs>
          <w:tab w:val="left" w:pos="426"/>
        </w:tabs>
        <w:spacing w:line="276" w:lineRule="auto"/>
        <w:jc w:val="both"/>
        <w:rPr>
          <w:rFonts w:ascii="Arial" w:eastAsia="Calibri" w:hAnsi="Arial" w:cs="Arial"/>
          <w:b/>
          <w:bCs/>
          <w:sz w:val="22"/>
          <w:lang w:val="es-ES"/>
        </w:rPr>
      </w:pPr>
    </w:p>
    <w:p w14:paraId="57A96301" w14:textId="7AEED32F" w:rsidR="00603685" w:rsidRPr="007D619A" w:rsidRDefault="00603685" w:rsidP="006628CE">
      <w:pPr>
        <w:tabs>
          <w:tab w:val="left" w:pos="426"/>
        </w:tabs>
        <w:spacing w:line="276" w:lineRule="auto"/>
        <w:jc w:val="both"/>
        <w:rPr>
          <w:rFonts w:ascii="Arial" w:eastAsia="Calibri" w:hAnsi="Arial" w:cs="Arial"/>
          <w:b/>
          <w:bCs/>
          <w:sz w:val="22"/>
          <w:lang w:val="es-ES"/>
        </w:rPr>
      </w:pPr>
      <w:r w:rsidRPr="007D619A">
        <w:rPr>
          <w:rFonts w:ascii="Arial" w:eastAsia="Calibri" w:hAnsi="Arial" w:cs="Arial"/>
          <w:b/>
          <w:bCs/>
          <w:sz w:val="22"/>
          <w:lang w:val="es-ES"/>
        </w:rPr>
        <w:t>2.3. Alcance de la autorización previa exigida por el artículo 2 del Decreto 092 de 2017</w:t>
      </w:r>
      <w:r w:rsidR="007D619A" w:rsidRPr="007D619A">
        <w:rPr>
          <w:rFonts w:ascii="Arial" w:eastAsia="Calibri" w:hAnsi="Arial" w:cs="Arial"/>
          <w:b/>
          <w:bCs/>
          <w:sz w:val="22"/>
          <w:lang w:val="es-ES"/>
        </w:rPr>
        <w:t xml:space="preserve"> y delegación</w:t>
      </w:r>
      <w:r w:rsidR="007D619A">
        <w:rPr>
          <w:rFonts w:ascii="Arial" w:eastAsia="Calibri" w:hAnsi="Arial" w:cs="Arial"/>
          <w:b/>
          <w:bCs/>
          <w:sz w:val="22"/>
          <w:lang w:val="es-ES"/>
        </w:rPr>
        <w:t xml:space="preserve"> de competencia</w:t>
      </w:r>
      <w:r w:rsidR="007D619A" w:rsidRPr="007D619A">
        <w:rPr>
          <w:rFonts w:ascii="Arial" w:eastAsia="Calibri" w:hAnsi="Arial" w:cs="Arial"/>
          <w:b/>
          <w:bCs/>
          <w:sz w:val="22"/>
          <w:lang w:val="es-ES"/>
        </w:rPr>
        <w:t xml:space="preserve"> contractual</w:t>
      </w:r>
    </w:p>
    <w:p w14:paraId="053D9E85" w14:textId="77777777" w:rsidR="0014694D" w:rsidRDefault="0014694D" w:rsidP="0014694D">
      <w:pPr>
        <w:tabs>
          <w:tab w:val="left" w:pos="426"/>
        </w:tabs>
        <w:spacing w:line="276" w:lineRule="auto"/>
        <w:jc w:val="both"/>
        <w:rPr>
          <w:rFonts w:ascii="Arial" w:eastAsia="Calibri" w:hAnsi="Arial" w:cs="Arial"/>
          <w:sz w:val="22"/>
          <w:lang w:val="es-ES"/>
        </w:rPr>
      </w:pPr>
    </w:p>
    <w:p w14:paraId="5EC14E60" w14:textId="18B10684" w:rsidR="0014694D" w:rsidRDefault="00746311" w:rsidP="0014694D">
      <w:pPr>
        <w:tabs>
          <w:tab w:val="left" w:pos="426"/>
        </w:tabs>
        <w:spacing w:line="276" w:lineRule="auto"/>
        <w:jc w:val="both"/>
        <w:rPr>
          <w:rFonts w:ascii="Arial" w:eastAsia="Calibri" w:hAnsi="Arial" w:cs="Arial"/>
          <w:sz w:val="22"/>
          <w:lang w:val="es-ES"/>
        </w:rPr>
      </w:pPr>
      <w:r w:rsidRPr="00746311">
        <w:rPr>
          <w:rFonts w:ascii="Arial" w:eastAsia="Calibri" w:hAnsi="Arial" w:cs="Arial"/>
          <w:sz w:val="22"/>
          <w:lang w:val="es-ES"/>
        </w:rPr>
        <w:t>La competencia consiste en la atribución normativa de una potestad para actuar, conferida a un órgano del Estado</w:t>
      </w:r>
      <w:r w:rsidR="00D60279">
        <w:rPr>
          <w:rStyle w:val="Refdenotaalpie"/>
          <w:rFonts w:ascii="Arial" w:eastAsia="Calibri" w:hAnsi="Arial" w:cs="Arial"/>
          <w:sz w:val="22"/>
          <w:lang w:val="es-ES"/>
        </w:rPr>
        <w:footnoteReference w:id="7"/>
      </w:r>
      <w:r w:rsidRPr="00746311">
        <w:rPr>
          <w:rFonts w:ascii="Arial" w:eastAsia="Calibri" w:hAnsi="Arial" w:cs="Arial"/>
          <w:sz w:val="22"/>
          <w:lang w:val="es-ES"/>
        </w:rPr>
        <w:t>. Esta se ejerce por medio de la actividad de las personas naturales vinculadas a la entidad estatal en calidad de representantes legales. Dicho de otra manera, la competencia es del órgano, pero esta se ejerce a través de las personas físicas a quienes se les haya conferido la facultad de representarlo. De esta manera, en la contratación estatal, la competencia del órgano para tomar decisiones en el procedimiento de selección y para suscribir el contrato, así como los demás actos contractuales, debe ejercerla el representante legal de la entidad pública.</w:t>
      </w:r>
    </w:p>
    <w:p w14:paraId="5AEFE77C" w14:textId="457516BD" w:rsidR="00D266E9" w:rsidRDefault="00746311" w:rsidP="00D266E9">
      <w:pPr>
        <w:tabs>
          <w:tab w:val="left" w:pos="426"/>
        </w:tabs>
        <w:spacing w:before="120" w:line="276" w:lineRule="auto"/>
        <w:ind w:firstLine="709"/>
        <w:jc w:val="both"/>
        <w:rPr>
          <w:rFonts w:ascii="Arial" w:eastAsia="Calibri" w:hAnsi="Arial" w:cs="Arial"/>
          <w:sz w:val="22"/>
          <w:lang w:val="es-ES"/>
        </w:rPr>
      </w:pPr>
      <w:r w:rsidRPr="00746311">
        <w:rPr>
          <w:rFonts w:ascii="Arial" w:eastAsia="Calibri" w:hAnsi="Arial" w:cs="Arial"/>
          <w:sz w:val="22"/>
          <w:lang w:val="es-ES"/>
        </w:rPr>
        <w:t>La competencia, como requisito de validez de la actuación estatal, es de orden público –lo que significa que es indisponible–. En consecuencia, se trata de una exigencia que debe respetarse para que no se configuren vicios de validez en el contrato estatal.</w:t>
      </w:r>
      <w:r w:rsidR="0014694D">
        <w:rPr>
          <w:rFonts w:ascii="Arial" w:eastAsia="Calibri" w:hAnsi="Arial" w:cs="Arial"/>
          <w:sz w:val="22"/>
          <w:lang w:val="es-ES"/>
        </w:rPr>
        <w:t xml:space="preserve"> Así mismo, l</w:t>
      </w:r>
      <w:r w:rsidRPr="00746311">
        <w:rPr>
          <w:rFonts w:ascii="Arial" w:eastAsia="Calibri" w:hAnsi="Arial" w:cs="Arial"/>
          <w:sz w:val="22"/>
          <w:lang w:val="es-ES"/>
        </w:rPr>
        <w:t xml:space="preserve">a competencia debe interpretarse de manera restrictiva. No en sentido amplio, extensivo o analógico. Así se infiere del artículo 6º de la Constitución, según el cual los servidores públicos son responsables </w:t>
      </w:r>
      <w:r w:rsidR="00A602A6">
        <w:rPr>
          <w:rFonts w:ascii="Arial" w:eastAsia="Calibri" w:hAnsi="Arial" w:cs="Arial"/>
          <w:sz w:val="22"/>
          <w:lang w:val="es-ES"/>
        </w:rPr>
        <w:t xml:space="preserve">«[…] </w:t>
      </w:r>
      <w:r w:rsidRPr="00746311">
        <w:rPr>
          <w:rFonts w:ascii="Arial" w:eastAsia="Calibri" w:hAnsi="Arial" w:cs="Arial"/>
          <w:sz w:val="22"/>
          <w:lang w:val="es-ES"/>
        </w:rPr>
        <w:t>por omisión o extralimitación en el ejercicio de sus funciones</w:t>
      </w:r>
      <w:r w:rsidR="00A602A6">
        <w:rPr>
          <w:rFonts w:ascii="Arial" w:eastAsia="Calibri" w:hAnsi="Arial" w:cs="Arial"/>
          <w:sz w:val="22"/>
          <w:lang w:val="es-ES"/>
        </w:rPr>
        <w:t>»</w:t>
      </w:r>
      <w:r w:rsidRPr="00746311">
        <w:rPr>
          <w:rFonts w:ascii="Arial" w:eastAsia="Calibri" w:hAnsi="Arial" w:cs="Arial"/>
          <w:sz w:val="22"/>
          <w:lang w:val="es-ES"/>
        </w:rPr>
        <w:t>.</w:t>
      </w:r>
    </w:p>
    <w:p w14:paraId="3D493504" w14:textId="539FB8B4" w:rsidR="00746311" w:rsidRPr="00746311" w:rsidRDefault="00746311" w:rsidP="00D266E9">
      <w:pPr>
        <w:tabs>
          <w:tab w:val="left" w:pos="426"/>
        </w:tabs>
        <w:spacing w:before="120" w:line="276" w:lineRule="auto"/>
        <w:ind w:firstLine="709"/>
        <w:jc w:val="both"/>
        <w:rPr>
          <w:rFonts w:ascii="Arial" w:eastAsia="Calibri" w:hAnsi="Arial" w:cs="Arial"/>
          <w:sz w:val="22"/>
          <w:lang w:val="es-ES"/>
        </w:rPr>
      </w:pPr>
      <w:r w:rsidRPr="00746311">
        <w:rPr>
          <w:rFonts w:ascii="Arial" w:eastAsia="Calibri" w:hAnsi="Arial" w:cs="Arial"/>
          <w:sz w:val="22"/>
          <w:lang w:val="es-ES"/>
        </w:rPr>
        <w:t>El Decreto 092 de 2017</w:t>
      </w:r>
      <w:r w:rsidR="00A602A6">
        <w:rPr>
          <w:rFonts w:ascii="Arial" w:eastAsia="Calibri" w:hAnsi="Arial" w:cs="Arial"/>
          <w:sz w:val="22"/>
          <w:lang w:val="es-ES"/>
        </w:rPr>
        <w:t>, como se vio,</w:t>
      </w:r>
      <w:r w:rsidRPr="00746311">
        <w:rPr>
          <w:rFonts w:ascii="Arial" w:eastAsia="Calibri" w:hAnsi="Arial" w:cs="Arial"/>
          <w:sz w:val="22"/>
          <w:lang w:val="es-ES"/>
        </w:rPr>
        <w:t xml:space="preserve"> reglamenta la celebración de convenios de interés público y de asociación, con entidades privadas sin ánimo de lucro y de reconocida idoneidad, respondiendo a lo previsto en el segundo inciso del artículo 355 de la </w:t>
      </w:r>
      <w:r w:rsidRPr="00746311">
        <w:rPr>
          <w:rFonts w:ascii="Arial" w:eastAsia="Calibri" w:hAnsi="Arial" w:cs="Arial"/>
          <w:sz w:val="22"/>
          <w:lang w:val="es-ES"/>
        </w:rPr>
        <w:lastRenderedPageBreak/>
        <w:t xml:space="preserve">Constitución. En cuanto a la competencia para suscribir los convenios de interés público, dicho Decreto establece, en el artículo 2, que las </w:t>
      </w:r>
      <w:r w:rsidR="00D266E9">
        <w:rPr>
          <w:rFonts w:ascii="Arial" w:eastAsia="Calibri" w:hAnsi="Arial" w:cs="Arial"/>
          <w:sz w:val="22"/>
          <w:lang w:val="es-ES"/>
        </w:rPr>
        <w:t>«</w:t>
      </w:r>
      <w:r w:rsidRPr="00746311">
        <w:rPr>
          <w:rFonts w:ascii="Arial" w:eastAsia="Calibri" w:hAnsi="Arial" w:cs="Arial"/>
          <w:sz w:val="22"/>
          <w:lang w:val="es-ES"/>
        </w:rPr>
        <w:t xml:space="preserve">[...] Entidades Estatales pueden contratar con entidades privadas sin ánimo de lucro y de reconocida idoneidad en los términos del presente decreto, previa autorización expresa de su representante legal </w:t>
      </w:r>
      <w:r w:rsidRPr="00471B5B">
        <w:rPr>
          <w:rFonts w:ascii="Arial" w:eastAsia="Calibri" w:hAnsi="Arial" w:cs="Arial"/>
          <w:i/>
          <w:iCs/>
          <w:sz w:val="22"/>
          <w:lang w:val="es-ES"/>
        </w:rPr>
        <w:t>para cada contrato en particular que la Entidad Estatal planee suscribir</w:t>
      </w:r>
      <w:r w:rsidRPr="00746311">
        <w:rPr>
          <w:rFonts w:ascii="Arial" w:eastAsia="Calibri" w:hAnsi="Arial" w:cs="Arial"/>
          <w:sz w:val="22"/>
          <w:lang w:val="es-ES"/>
        </w:rPr>
        <w:t xml:space="preserve"> bajo esta modalidad. El representante legal de la Entidad Estatal no podrá delegar la función de otorgar esta autorización</w:t>
      </w:r>
      <w:r w:rsidR="00D266E9">
        <w:rPr>
          <w:rFonts w:ascii="Arial" w:eastAsia="Calibri" w:hAnsi="Arial" w:cs="Arial"/>
          <w:sz w:val="22"/>
          <w:lang w:val="es-ES"/>
        </w:rPr>
        <w:t>»</w:t>
      </w:r>
      <w:r w:rsidRPr="00746311">
        <w:rPr>
          <w:rFonts w:ascii="Arial" w:eastAsia="Calibri" w:hAnsi="Arial" w:cs="Arial"/>
          <w:sz w:val="22"/>
          <w:lang w:val="es-ES"/>
        </w:rPr>
        <w:t xml:space="preserve"> </w:t>
      </w:r>
      <w:r w:rsidR="00D266E9">
        <w:rPr>
          <w:rFonts w:ascii="Arial" w:eastAsia="Calibri" w:hAnsi="Arial" w:cs="Arial"/>
          <w:sz w:val="22"/>
          <w:lang w:val="es-ES"/>
        </w:rPr>
        <w:t>[</w:t>
      </w:r>
      <w:r w:rsidRPr="00746311">
        <w:rPr>
          <w:rFonts w:ascii="Arial" w:eastAsia="Calibri" w:hAnsi="Arial" w:cs="Arial"/>
          <w:sz w:val="22"/>
          <w:lang w:val="es-ES"/>
        </w:rPr>
        <w:t>cursiva fuera de texto</w:t>
      </w:r>
      <w:r w:rsidR="00D266E9">
        <w:rPr>
          <w:rFonts w:ascii="Arial" w:eastAsia="Calibri" w:hAnsi="Arial" w:cs="Arial"/>
          <w:sz w:val="22"/>
          <w:lang w:val="es-ES"/>
        </w:rPr>
        <w:t>]</w:t>
      </w:r>
      <w:r w:rsidRPr="00746311">
        <w:rPr>
          <w:rFonts w:ascii="Arial" w:eastAsia="Calibri" w:hAnsi="Arial" w:cs="Arial"/>
          <w:sz w:val="22"/>
          <w:lang w:val="es-ES"/>
        </w:rPr>
        <w:t xml:space="preserve">. En el mismo sentido, la Agencia Nacional de Contratación Pública – Colombia Compra Eficiente, indicó en la </w:t>
      </w:r>
      <w:r w:rsidR="00A602A6">
        <w:rPr>
          <w:rFonts w:ascii="Arial" w:eastAsia="Calibri" w:hAnsi="Arial" w:cs="Arial"/>
          <w:sz w:val="22"/>
          <w:lang w:val="es-ES"/>
        </w:rPr>
        <w:t>«</w:t>
      </w:r>
      <w:r w:rsidRPr="00746311">
        <w:rPr>
          <w:rFonts w:ascii="Arial" w:eastAsia="Calibri" w:hAnsi="Arial" w:cs="Arial"/>
          <w:sz w:val="22"/>
          <w:lang w:val="es-ES"/>
        </w:rPr>
        <w:t>Guía para la contratación con entidades sin ánimo de lucro y de reconocida idoneidad</w:t>
      </w:r>
      <w:r w:rsidR="00A602A6">
        <w:rPr>
          <w:rFonts w:ascii="Arial" w:eastAsia="Calibri" w:hAnsi="Arial" w:cs="Arial"/>
          <w:sz w:val="22"/>
          <w:lang w:val="es-ES"/>
        </w:rPr>
        <w:t>»</w:t>
      </w:r>
      <w:r w:rsidRPr="00746311">
        <w:rPr>
          <w:rFonts w:ascii="Arial" w:eastAsia="Calibri" w:hAnsi="Arial" w:cs="Arial"/>
          <w:sz w:val="22"/>
          <w:lang w:val="es-ES"/>
        </w:rPr>
        <w:t xml:space="preserve">, lo siguiente: </w:t>
      </w:r>
    </w:p>
    <w:p w14:paraId="747D7964" w14:textId="77777777" w:rsidR="00DF0A26" w:rsidRDefault="00DF0A26" w:rsidP="00DF0A26">
      <w:pPr>
        <w:tabs>
          <w:tab w:val="left" w:pos="426"/>
        </w:tabs>
        <w:ind w:left="709" w:right="709"/>
        <w:jc w:val="both"/>
        <w:rPr>
          <w:rFonts w:ascii="Arial" w:eastAsia="Calibri" w:hAnsi="Arial" w:cs="Arial"/>
          <w:sz w:val="21"/>
          <w:szCs w:val="21"/>
          <w:lang w:val="es-ES"/>
        </w:rPr>
      </w:pPr>
    </w:p>
    <w:p w14:paraId="3C83BB7C" w14:textId="5B556B83" w:rsidR="00746311" w:rsidRPr="00DF0A26" w:rsidRDefault="00746311" w:rsidP="00DF0A26">
      <w:pPr>
        <w:tabs>
          <w:tab w:val="left" w:pos="426"/>
        </w:tabs>
        <w:ind w:left="709" w:right="709"/>
        <w:jc w:val="both"/>
        <w:rPr>
          <w:rFonts w:ascii="Arial" w:eastAsia="Calibri" w:hAnsi="Arial" w:cs="Arial"/>
          <w:sz w:val="21"/>
          <w:szCs w:val="21"/>
          <w:lang w:val="es-ES"/>
        </w:rPr>
      </w:pPr>
      <w:r w:rsidRPr="00DF0A26">
        <w:rPr>
          <w:rFonts w:ascii="Arial" w:eastAsia="Calibri" w:hAnsi="Arial" w:cs="Arial"/>
          <w:sz w:val="21"/>
          <w:szCs w:val="21"/>
          <w:lang w:val="es-ES"/>
        </w:rPr>
        <w:t>La ejecución de un programa previsto en el plan de desarrollo es importante para cualquier Entidad Estatal. Por esto, su representante legal debe saber cómo va a ejecutar ese programa o actividad. Es por esto que el artículo 2 del Decreto 092 de 2017 señala que el representante legal de la Entidad Estatal debe autorizar la celebración de cada contrato que la Entidad Estatal pretende suscribir en desarrollo del artículo 355 de la Constitución Política, función que no puede delegar. Esta autorización es parte de los Documentos del Proceso</w:t>
      </w:r>
      <w:r w:rsidR="00E92F9A">
        <w:rPr>
          <w:rStyle w:val="Refdenotaalpie"/>
          <w:rFonts w:ascii="Arial" w:eastAsia="Calibri" w:hAnsi="Arial" w:cs="Arial"/>
          <w:sz w:val="21"/>
          <w:szCs w:val="21"/>
          <w:lang w:val="es-ES"/>
        </w:rPr>
        <w:footnoteReference w:id="8"/>
      </w:r>
      <w:r w:rsidRPr="00DF0A26">
        <w:rPr>
          <w:rFonts w:ascii="Arial" w:eastAsia="Calibri" w:hAnsi="Arial" w:cs="Arial"/>
          <w:sz w:val="21"/>
          <w:szCs w:val="21"/>
          <w:lang w:val="es-ES"/>
        </w:rPr>
        <w:t>.</w:t>
      </w:r>
    </w:p>
    <w:p w14:paraId="035E8FFF" w14:textId="77777777" w:rsidR="00E92F9A" w:rsidRDefault="00E92F9A" w:rsidP="00E92F9A">
      <w:pPr>
        <w:tabs>
          <w:tab w:val="left" w:pos="426"/>
        </w:tabs>
        <w:spacing w:line="276" w:lineRule="auto"/>
        <w:ind w:firstLine="709"/>
        <w:jc w:val="both"/>
        <w:rPr>
          <w:rFonts w:ascii="Arial" w:eastAsia="Calibri" w:hAnsi="Arial" w:cs="Arial"/>
          <w:sz w:val="22"/>
          <w:lang w:val="es-ES"/>
        </w:rPr>
      </w:pPr>
    </w:p>
    <w:p w14:paraId="24BC6681" w14:textId="1C58CD32" w:rsidR="00746311" w:rsidRPr="00746311" w:rsidRDefault="00746311" w:rsidP="00E92F9A">
      <w:pPr>
        <w:tabs>
          <w:tab w:val="left" w:pos="426"/>
        </w:tabs>
        <w:spacing w:line="276" w:lineRule="auto"/>
        <w:ind w:firstLine="709"/>
        <w:jc w:val="both"/>
        <w:rPr>
          <w:rFonts w:ascii="Arial" w:eastAsia="Calibri" w:hAnsi="Arial" w:cs="Arial"/>
          <w:sz w:val="22"/>
          <w:lang w:val="es-ES"/>
        </w:rPr>
      </w:pPr>
      <w:r w:rsidRPr="00746311">
        <w:rPr>
          <w:rFonts w:ascii="Arial" w:eastAsia="Calibri" w:hAnsi="Arial" w:cs="Arial"/>
          <w:sz w:val="22"/>
          <w:lang w:val="es-ES"/>
        </w:rPr>
        <w:t xml:space="preserve">Como puede observarse, la autorización indelegable del representante legal, ordenada por el enunciado normativo de manera previa, para cada caso concreto, es para </w:t>
      </w:r>
      <w:r w:rsidR="00E92F9A">
        <w:rPr>
          <w:rFonts w:ascii="Arial" w:eastAsia="Calibri" w:hAnsi="Arial" w:cs="Arial"/>
          <w:sz w:val="22"/>
          <w:lang w:val="es-ES"/>
        </w:rPr>
        <w:t>«</w:t>
      </w:r>
      <w:r w:rsidRPr="00746311">
        <w:rPr>
          <w:rFonts w:ascii="Arial" w:eastAsia="Calibri" w:hAnsi="Arial" w:cs="Arial"/>
          <w:sz w:val="22"/>
          <w:lang w:val="es-ES"/>
        </w:rPr>
        <w:t>contratar</w:t>
      </w:r>
      <w:r w:rsidR="00E92F9A">
        <w:rPr>
          <w:rFonts w:ascii="Arial" w:eastAsia="Calibri" w:hAnsi="Arial" w:cs="Arial"/>
          <w:sz w:val="22"/>
          <w:lang w:val="es-ES"/>
        </w:rPr>
        <w:t>»</w:t>
      </w:r>
      <w:r w:rsidRPr="00746311">
        <w:rPr>
          <w:rFonts w:ascii="Arial" w:eastAsia="Calibri" w:hAnsi="Arial" w:cs="Arial"/>
          <w:sz w:val="22"/>
          <w:lang w:val="es-ES"/>
        </w:rPr>
        <w:t xml:space="preserve">, es decir, </w:t>
      </w:r>
      <w:r w:rsidR="00E92F9A">
        <w:rPr>
          <w:rFonts w:ascii="Arial" w:eastAsia="Calibri" w:hAnsi="Arial" w:cs="Arial"/>
          <w:sz w:val="22"/>
          <w:lang w:val="es-ES"/>
        </w:rPr>
        <w:t>«</w:t>
      </w:r>
      <w:r w:rsidRPr="00746311">
        <w:rPr>
          <w:rFonts w:ascii="Arial" w:eastAsia="Calibri" w:hAnsi="Arial" w:cs="Arial"/>
          <w:sz w:val="22"/>
          <w:lang w:val="es-ES"/>
        </w:rPr>
        <w:t>para cada contrato en particular que la Entidad Estatal planee suscribir</w:t>
      </w:r>
      <w:r w:rsidR="00E92F9A">
        <w:rPr>
          <w:rFonts w:ascii="Arial" w:eastAsia="Calibri" w:hAnsi="Arial" w:cs="Arial"/>
          <w:sz w:val="22"/>
          <w:lang w:val="es-ES"/>
        </w:rPr>
        <w:t>»</w:t>
      </w:r>
      <w:r w:rsidRPr="00746311">
        <w:rPr>
          <w:rFonts w:ascii="Arial" w:eastAsia="Calibri" w:hAnsi="Arial" w:cs="Arial"/>
          <w:sz w:val="22"/>
          <w:lang w:val="es-ES"/>
        </w:rPr>
        <w:t xml:space="preserve">. Dicho aval debe materializarse entonces en un acto administrativo, ya que la autorización es unilateral. Ahora bien, como las normas atributivas de competencia son de interpretación restrictiva, debe entenderse que dicha autorización se requiere de manera previa a la celebración del contrato. </w:t>
      </w:r>
      <w:r w:rsidRPr="00886B98">
        <w:rPr>
          <w:rFonts w:ascii="Arial" w:eastAsia="Calibri" w:hAnsi="Arial" w:cs="Arial"/>
          <w:i/>
          <w:iCs/>
          <w:sz w:val="22"/>
          <w:lang w:val="es-ES"/>
        </w:rPr>
        <w:t xml:space="preserve">No </w:t>
      </w:r>
      <w:r w:rsidR="000D22B4">
        <w:rPr>
          <w:rFonts w:ascii="Arial" w:eastAsia="Calibri" w:hAnsi="Arial" w:cs="Arial"/>
          <w:i/>
          <w:iCs/>
          <w:sz w:val="22"/>
          <w:lang w:val="es-ES"/>
        </w:rPr>
        <w:t xml:space="preserve">se requiere </w:t>
      </w:r>
      <w:r w:rsidRPr="00886B98">
        <w:rPr>
          <w:rFonts w:ascii="Arial" w:eastAsia="Calibri" w:hAnsi="Arial" w:cs="Arial"/>
          <w:i/>
          <w:iCs/>
          <w:sz w:val="22"/>
          <w:lang w:val="es-ES"/>
        </w:rPr>
        <w:t>para la suscripción de</w:t>
      </w:r>
      <w:r w:rsidR="006D3E50">
        <w:rPr>
          <w:rFonts w:ascii="Arial" w:eastAsia="Calibri" w:hAnsi="Arial" w:cs="Arial"/>
          <w:i/>
          <w:iCs/>
          <w:sz w:val="22"/>
          <w:lang w:val="es-ES"/>
        </w:rPr>
        <w:t xml:space="preserve"> otros acuerdos posteriores a la celebración contrato</w:t>
      </w:r>
      <w:r w:rsidRPr="00886B98">
        <w:rPr>
          <w:rFonts w:ascii="Arial" w:eastAsia="Calibri" w:hAnsi="Arial" w:cs="Arial"/>
          <w:i/>
          <w:iCs/>
          <w:sz w:val="22"/>
          <w:lang w:val="es-ES"/>
        </w:rPr>
        <w:t xml:space="preserve"> </w:t>
      </w:r>
      <w:r w:rsidR="006D3E50">
        <w:rPr>
          <w:rFonts w:ascii="Arial" w:eastAsia="Calibri" w:hAnsi="Arial" w:cs="Arial"/>
          <w:i/>
          <w:iCs/>
          <w:sz w:val="22"/>
          <w:lang w:val="es-ES"/>
        </w:rPr>
        <w:t xml:space="preserve">ni para actos </w:t>
      </w:r>
      <w:r w:rsidRPr="00886B98">
        <w:rPr>
          <w:rFonts w:ascii="Arial" w:eastAsia="Calibri" w:hAnsi="Arial" w:cs="Arial"/>
          <w:i/>
          <w:iCs/>
          <w:sz w:val="22"/>
          <w:lang w:val="es-ES"/>
        </w:rPr>
        <w:t>post-contractuales</w:t>
      </w:r>
      <w:r w:rsidRPr="00746311">
        <w:rPr>
          <w:rFonts w:ascii="Arial" w:eastAsia="Calibri" w:hAnsi="Arial" w:cs="Arial"/>
          <w:sz w:val="22"/>
          <w:lang w:val="es-ES"/>
        </w:rPr>
        <w:t xml:space="preserve">. En consecuencia, no quiere decir que el representante legal </w:t>
      </w:r>
      <w:r w:rsidR="00886B98">
        <w:rPr>
          <w:rFonts w:ascii="Arial" w:eastAsia="Calibri" w:hAnsi="Arial" w:cs="Arial"/>
          <w:sz w:val="22"/>
          <w:lang w:val="es-ES"/>
        </w:rPr>
        <w:t>tenga prohibido</w:t>
      </w:r>
      <w:r w:rsidRPr="00746311">
        <w:rPr>
          <w:rFonts w:ascii="Arial" w:eastAsia="Calibri" w:hAnsi="Arial" w:cs="Arial"/>
          <w:sz w:val="22"/>
          <w:lang w:val="es-ES"/>
        </w:rPr>
        <w:t xml:space="preserve"> delegar la celebración del contrato o toda la etapa de ejecución y liquidación en los servidores públicos del nivel directivo o ejecutivo o en sus equivalentes. Expresado en otras palabras, luego de que el representante legal haya impartido la autorización previa mediante acto administrativo, la cual es indelegable, nada se opone a que pueda delegar las demás etapas de la actividad contractual, sino que, por el contrario, el artículo 12 de la Ley 80 de 1993 lo autoriza, en los siguientes términos: </w:t>
      </w:r>
      <w:r w:rsidR="00E92F9A">
        <w:rPr>
          <w:rFonts w:ascii="Arial" w:eastAsia="Calibri" w:hAnsi="Arial" w:cs="Arial"/>
          <w:sz w:val="22"/>
          <w:lang w:val="es-ES"/>
        </w:rPr>
        <w:t>«</w:t>
      </w:r>
      <w:r w:rsidRPr="00746311">
        <w:rPr>
          <w:rFonts w:ascii="Arial" w:eastAsia="Calibri" w:hAnsi="Arial" w:cs="Arial"/>
          <w:sz w:val="22"/>
          <w:lang w:val="es-ES"/>
        </w:rPr>
        <w:t>Los jefes y los representantes legales de las entidades estatales podrán delegar total o parcialmente la competencia para celebrar contratos y desconcentrar la realización de licitaciones los servidores públicos que desempeñen cargos del nivel directivo o ejecutivo o en sus equivalentes</w:t>
      </w:r>
      <w:r w:rsidR="00E92F9A">
        <w:rPr>
          <w:rFonts w:ascii="Arial" w:eastAsia="Calibri" w:hAnsi="Arial" w:cs="Arial"/>
          <w:sz w:val="22"/>
          <w:lang w:val="es-ES"/>
        </w:rPr>
        <w:t>»</w:t>
      </w:r>
      <w:r w:rsidR="00886B98">
        <w:rPr>
          <w:rFonts w:ascii="Arial" w:eastAsia="Calibri" w:hAnsi="Arial" w:cs="Arial"/>
          <w:sz w:val="22"/>
          <w:lang w:val="es-ES"/>
        </w:rPr>
        <w:t>.</w:t>
      </w:r>
    </w:p>
    <w:p w14:paraId="6AB53043" w14:textId="4804738B" w:rsidR="00746311" w:rsidRPr="00746311" w:rsidRDefault="00746311" w:rsidP="00746311">
      <w:pPr>
        <w:tabs>
          <w:tab w:val="left" w:pos="426"/>
        </w:tabs>
        <w:spacing w:before="120" w:line="276" w:lineRule="auto"/>
        <w:ind w:firstLine="709"/>
        <w:jc w:val="both"/>
        <w:rPr>
          <w:rFonts w:ascii="Arial" w:eastAsia="Calibri" w:hAnsi="Arial" w:cs="Arial"/>
          <w:sz w:val="22"/>
          <w:lang w:val="es-ES"/>
        </w:rPr>
      </w:pPr>
      <w:r w:rsidRPr="00746311">
        <w:rPr>
          <w:rFonts w:ascii="Arial" w:eastAsia="Calibri" w:hAnsi="Arial" w:cs="Arial"/>
          <w:sz w:val="22"/>
          <w:lang w:val="es-ES"/>
        </w:rPr>
        <w:t xml:space="preserve">El artículo 12 de la Ley 80 de 1993 es aplicable a los convenios de interés público celebrados con entidades privadas sin ánimo de lucro y de reconocida idoneidad, porque el artículo 8 del Decreto 092 de 2017 dispone que </w:t>
      </w:r>
      <w:r w:rsidR="00E92F9A">
        <w:rPr>
          <w:rFonts w:ascii="Arial" w:eastAsia="Calibri" w:hAnsi="Arial" w:cs="Arial"/>
          <w:sz w:val="22"/>
          <w:lang w:val="es-ES"/>
        </w:rPr>
        <w:t>«</w:t>
      </w:r>
      <w:r w:rsidRPr="00746311">
        <w:rPr>
          <w:rFonts w:ascii="Arial" w:eastAsia="Calibri" w:hAnsi="Arial" w:cs="Arial"/>
          <w:sz w:val="22"/>
          <w:lang w:val="es-ES"/>
        </w:rPr>
        <w:t xml:space="preserve">La contratación a la que hace referencia </w:t>
      </w:r>
      <w:r w:rsidRPr="00746311">
        <w:rPr>
          <w:rFonts w:ascii="Arial" w:eastAsia="Calibri" w:hAnsi="Arial" w:cs="Arial"/>
          <w:sz w:val="22"/>
          <w:lang w:val="es-ES"/>
        </w:rPr>
        <w:lastRenderedPageBreak/>
        <w:t>el presente decreto está sujeta a las normas generales aplicables a la contratación pública excepto en lo reglamentado en el presente decreto</w:t>
      </w:r>
      <w:r w:rsidR="00E92F9A">
        <w:rPr>
          <w:rFonts w:ascii="Arial" w:eastAsia="Calibri" w:hAnsi="Arial" w:cs="Arial"/>
          <w:sz w:val="22"/>
          <w:lang w:val="es-ES"/>
        </w:rPr>
        <w:t>»</w:t>
      </w:r>
      <w:r w:rsidRPr="00746311">
        <w:rPr>
          <w:rFonts w:ascii="Arial" w:eastAsia="Calibri" w:hAnsi="Arial" w:cs="Arial"/>
          <w:sz w:val="22"/>
          <w:lang w:val="es-ES"/>
        </w:rPr>
        <w:t xml:space="preserve">. Por consiguiente, como </w:t>
      </w:r>
      <w:r w:rsidR="00223085">
        <w:rPr>
          <w:rFonts w:ascii="Arial" w:eastAsia="Calibri" w:hAnsi="Arial" w:cs="Arial"/>
          <w:sz w:val="22"/>
          <w:lang w:val="es-ES"/>
        </w:rPr>
        <w:t>se expresó en el numeral anterior del presente concepto</w:t>
      </w:r>
      <w:r w:rsidRPr="00746311">
        <w:rPr>
          <w:rFonts w:ascii="Arial" w:eastAsia="Calibri" w:hAnsi="Arial" w:cs="Arial"/>
          <w:sz w:val="22"/>
          <w:lang w:val="es-ES"/>
        </w:rPr>
        <w:t xml:space="preserve">, la ausencia de regulación de una materia en el Decreto 092 de 2017 se debe suplir con las normas del Estatuto General de Contratación de la Administración Pública –leyes 80 de 1993, 1150 de 2007 y disposiciones complementarias–. Así pues, ya que la competencia y la delegación para celebrar los convenios no están reguladas en el Decreto 092 de 2017, el intérprete u operador jurídico debe remitirse a la Ley 80 de 1993, en cuyos artículos 11 y 12 se establecen dos reglas: i) la competencia para realizar el procedimiento de selección y para suscribir el contrato, así como cualquier acto contractual –adiciones, prórrogas, modificaciones, liquidaciones, etc.– es del jefe o representante legal de la entidad; pero ii) tal competencia puede delegarse en servidores que desempeñen cargos que pertenezcan al nivel directivo, ejecutivo o equivalentes. </w:t>
      </w:r>
    </w:p>
    <w:p w14:paraId="44096C88" w14:textId="6DD17F86" w:rsidR="00746311" w:rsidRPr="00746311" w:rsidRDefault="00746311" w:rsidP="00746311">
      <w:pPr>
        <w:tabs>
          <w:tab w:val="left" w:pos="426"/>
        </w:tabs>
        <w:spacing w:before="120" w:line="276" w:lineRule="auto"/>
        <w:ind w:firstLine="709"/>
        <w:jc w:val="both"/>
        <w:rPr>
          <w:rFonts w:ascii="Arial" w:eastAsia="Calibri" w:hAnsi="Arial" w:cs="Arial"/>
          <w:sz w:val="22"/>
          <w:lang w:val="es-ES"/>
        </w:rPr>
      </w:pPr>
      <w:r w:rsidRPr="00746311">
        <w:rPr>
          <w:rFonts w:ascii="Arial" w:eastAsia="Calibri" w:hAnsi="Arial" w:cs="Arial"/>
          <w:sz w:val="22"/>
          <w:lang w:val="es-ES"/>
        </w:rPr>
        <w:t>De manera que, si el representante legal que impartió la autorización para celebrar el convenio de interés público mediante acto administrativo –cumpliendo con lo establecido en el artículo 2 del Decreto 092 de 2017–, no delega en servidores del nivel directivo, ejecutivo o equivalente la actuación contractual posterior, es aquel quien debe suscribir el convenio, así como cualquier acto jurídico celebrado o emitido durante la ejecución y la fase post-contractual: adiciones, prórrogas, modificaciones, autorización de cesión, liquidación, entre otros. Pero, si, luego de la autorización exigida por el artículo 2 y que efectivamente el representante legal efectúa, este delega la realización de las etapas posteriores (pues el artículo 12 de la Ley 80 de 1993 se lo permiten), tanto el contrato, como los demás actos pueden ser suscritos por el delegatario.</w:t>
      </w:r>
    </w:p>
    <w:p w14:paraId="3895705A" w14:textId="762E8F1A" w:rsidR="00746311" w:rsidRPr="00746311" w:rsidRDefault="00746311" w:rsidP="00746311">
      <w:pPr>
        <w:tabs>
          <w:tab w:val="left" w:pos="426"/>
        </w:tabs>
        <w:spacing w:before="120" w:line="276" w:lineRule="auto"/>
        <w:ind w:firstLine="709"/>
        <w:jc w:val="both"/>
        <w:rPr>
          <w:rFonts w:ascii="Arial" w:eastAsia="Calibri" w:hAnsi="Arial" w:cs="Arial"/>
          <w:sz w:val="22"/>
          <w:lang w:val="es-ES"/>
        </w:rPr>
      </w:pPr>
      <w:r w:rsidRPr="00746311">
        <w:rPr>
          <w:rFonts w:ascii="Arial" w:eastAsia="Calibri" w:hAnsi="Arial" w:cs="Arial"/>
          <w:sz w:val="22"/>
          <w:lang w:val="es-ES"/>
        </w:rPr>
        <w:t xml:space="preserve">Ahora, a pesar de que, como se indicó, la autorización que se exige en el artículo 2 del Decreto 092 de 2017 es un requisito </w:t>
      </w:r>
      <w:r w:rsidR="00223085">
        <w:rPr>
          <w:rFonts w:ascii="Arial" w:eastAsia="Calibri" w:hAnsi="Arial" w:cs="Arial"/>
          <w:sz w:val="22"/>
          <w:lang w:val="es-ES"/>
        </w:rPr>
        <w:t>«</w:t>
      </w:r>
      <w:r w:rsidRPr="00746311">
        <w:rPr>
          <w:rFonts w:ascii="Arial" w:eastAsia="Calibri" w:hAnsi="Arial" w:cs="Arial"/>
          <w:sz w:val="22"/>
          <w:lang w:val="es-ES"/>
        </w:rPr>
        <w:t>para cada contrato en particular que la Entidad Estatal planee suscribir</w:t>
      </w:r>
      <w:r w:rsidR="00223085">
        <w:rPr>
          <w:rFonts w:ascii="Arial" w:eastAsia="Calibri" w:hAnsi="Arial" w:cs="Arial"/>
          <w:sz w:val="22"/>
          <w:lang w:val="es-ES"/>
        </w:rPr>
        <w:t>»</w:t>
      </w:r>
      <w:r w:rsidRPr="00746311">
        <w:rPr>
          <w:rFonts w:ascii="Arial" w:eastAsia="Calibri" w:hAnsi="Arial" w:cs="Arial"/>
          <w:sz w:val="22"/>
          <w:lang w:val="es-ES"/>
        </w:rPr>
        <w:t xml:space="preserve"> –lo que no obsta para que el representante legal delegue la valoración y suscripción de los actos posteriores de la etapa contractual y post-contractual–, debe cumplir con el deber de información y vigilancia sobre la actividad delegada, según lo dispuesto en el segundo inciso del artículo 12 de la Ley 80 de 1993</w:t>
      </w:r>
      <w:r w:rsidR="00EC675C">
        <w:rPr>
          <w:rStyle w:val="Refdenotaalpie"/>
          <w:rFonts w:ascii="Arial" w:eastAsia="Calibri" w:hAnsi="Arial" w:cs="Arial"/>
          <w:sz w:val="22"/>
          <w:lang w:val="es-ES"/>
        </w:rPr>
        <w:footnoteReference w:id="9"/>
      </w:r>
      <w:r w:rsidRPr="00746311">
        <w:rPr>
          <w:rFonts w:ascii="Arial" w:eastAsia="Calibri" w:hAnsi="Arial" w:cs="Arial"/>
          <w:sz w:val="22"/>
          <w:lang w:val="es-ES"/>
        </w:rPr>
        <w:t xml:space="preserve">.   </w:t>
      </w:r>
    </w:p>
    <w:p w14:paraId="0C527B2F" w14:textId="53A60D4E" w:rsidR="00746311" w:rsidRPr="00746311" w:rsidRDefault="00746311" w:rsidP="00746311">
      <w:pPr>
        <w:tabs>
          <w:tab w:val="left" w:pos="426"/>
        </w:tabs>
        <w:spacing w:before="120" w:line="276" w:lineRule="auto"/>
        <w:ind w:firstLine="709"/>
        <w:jc w:val="both"/>
        <w:rPr>
          <w:rFonts w:ascii="Arial" w:eastAsia="Calibri" w:hAnsi="Arial" w:cs="Arial"/>
          <w:sz w:val="22"/>
          <w:lang w:val="es-ES"/>
        </w:rPr>
      </w:pPr>
      <w:r w:rsidRPr="00746311">
        <w:rPr>
          <w:rFonts w:ascii="Arial" w:eastAsia="Calibri" w:hAnsi="Arial" w:cs="Arial"/>
          <w:sz w:val="22"/>
          <w:lang w:val="es-ES"/>
        </w:rPr>
        <w:t xml:space="preserve">Finalmente, debe tenerse en cuenta que cualquier modificación al contrato estatal –incluido el convenio celebrado con una entidad privada sin ánimo de lucro y de reconocida idoneidad– debe ser algo excepcional, razonable y adecuadamente justificado. La modificación no puede ser una potestad ilimitada o que atente contra el deber de planeación que le asiste a la entidad estatal. Por tanto, si bien para la modificación al convenio no se requiere en sentido estricto de una autorización previa contenida en un acto administrativo por parte del representante legal –cuando este ha delegado–, esta Subdirección considera que para que el representante legal pueda cumplir con sus deberes de control y vigilancia, </w:t>
      </w:r>
      <w:r w:rsidRPr="00746311">
        <w:rPr>
          <w:rFonts w:ascii="Arial" w:eastAsia="Calibri" w:hAnsi="Arial" w:cs="Arial"/>
          <w:sz w:val="22"/>
          <w:lang w:val="es-ES"/>
        </w:rPr>
        <w:lastRenderedPageBreak/>
        <w:t>debe estar informado acerca de la modificación que se pretende hacer al convenio que él autorizó celebrar. Si el delegatario introducirá una modificación que desfigura el objeto del contrato y que por lo tanto lo convierte en uno distinto, además de que no puede pasarse por alto la autorización previa del representante legal, tampoco puede perderse de vista que una modificación de tal naturaleza podría afectar los principios de planeación y transparencia; máxime cuando el contrato ha sido producto de un proceso competitivo, al tenor del artículo 4 del Decreto 092 de 2017.</w:t>
      </w:r>
    </w:p>
    <w:p w14:paraId="66024872" w14:textId="77777777" w:rsidR="001946AE" w:rsidRDefault="001946AE" w:rsidP="00510DE9">
      <w:pPr>
        <w:tabs>
          <w:tab w:val="left" w:pos="0"/>
        </w:tabs>
        <w:jc w:val="both"/>
        <w:rPr>
          <w:rFonts w:ascii="Arial" w:eastAsia="Calibri" w:hAnsi="Arial" w:cs="Arial"/>
          <w:b/>
          <w:color w:val="000000" w:themeColor="text1"/>
          <w:sz w:val="22"/>
          <w:lang w:val="es-ES_tradnl"/>
        </w:rPr>
      </w:pPr>
    </w:p>
    <w:p w14:paraId="37CA9805" w14:textId="22550169" w:rsidR="00DD5B04" w:rsidRPr="00404C61" w:rsidRDefault="004177A6" w:rsidP="00510DE9">
      <w:pPr>
        <w:tabs>
          <w:tab w:val="left" w:pos="0"/>
        </w:tabs>
        <w:jc w:val="both"/>
        <w:rPr>
          <w:rFonts w:ascii="Arial" w:eastAsia="Calibri" w:hAnsi="Arial" w:cs="Arial"/>
          <w:b/>
          <w:color w:val="000000" w:themeColor="text1"/>
          <w:sz w:val="22"/>
          <w:lang w:val="es-ES_tradnl"/>
        </w:rPr>
      </w:pPr>
      <w:r w:rsidRPr="00404C61">
        <w:rPr>
          <w:rFonts w:ascii="Arial" w:eastAsia="Calibri" w:hAnsi="Arial" w:cs="Arial"/>
          <w:b/>
          <w:color w:val="000000" w:themeColor="text1"/>
          <w:sz w:val="22"/>
          <w:lang w:val="es-ES_tradnl"/>
        </w:rPr>
        <w:t>3</w:t>
      </w:r>
      <w:r w:rsidR="00B011A9" w:rsidRPr="00404C61">
        <w:rPr>
          <w:rFonts w:ascii="Arial" w:eastAsia="Calibri" w:hAnsi="Arial" w:cs="Arial"/>
          <w:b/>
          <w:color w:val="000000" w:themeColor="text1"/>
          <w:sz w:val="22"/>
          <w:lang w:val="es-ES_tradnl"/>
        </w:rPr>
        <w:t xml:space="preserve">. </w:t>
      </w:r>
      <w:r w:rsidR="00DD5B04" w:rsidRPr="00404C61">
        <w:rPr>
          <w:rFonts w:ascii="Arial" w:eastAsia="Calibri" w:hAnsi="Arial" w:cs="Arial"/>
          <w:b/>
          <w:color w:val="000000" w:themeColor="text1"/>
          <w:sz w:val="22"/>
          <w:lang w:val="es-ES_tradnl"/>
        </w:rPr>
        <w:t>Respuesta</w:t>
      </w:r>
    </w:p>
    <w:p w14:paraId="0B74D5B8" w14:textId="7F0A7F13" w:rsidR="00C4581D" w:rsidRPr="00404C61" w:rsidRDefault="00C4581D" w:rsidP="00510DE9">
      <w:pPr>
        <w:tabs>
          <w:tab w:val="left" w:pos="0"/>
        </w:tabs>
        <w:jc w:val="both"/>
        <w:rPr>
          <w:rFonts w:ascii="Arial" w:eastAsia="Calibri" w:hAnsi="Arial" w:cs="Arial"/>
          <w:color w:val="000000" w:themeColor="text1"/>
          <w:sz w:val="22"/>
          <w:lang w:val="es-ES_tradnl"/>
        </w:rPr>
      </w:pPr>
    </w:p>
    <w:p w14:paraId="09A5E9A4" w14:textId="77777777" w:rsidR="00A51D3A" w:rsidRPr="00A51D3A" w:rsidRDefault="00A51D3A" w:rsidP="00A51D3A">
      <w:pPr>
        <w:ind w:left="709" w:right="709"/>
        <w:jc w:val="both"/>
        <w:rPr>
          <w:rFonts w:ascii="Arial" w:hAnsi="Arial" w:cs="Arial"/>
          <w:color w:val="000000" w:themeColor="text1"/>
          <w:sz w:val="21"/>
          <w:szCs w:val="21"/>
          <w:lang w:val="es-ES_tradnl"/>
        </w:rPr>
      </w:pPr>
      <w:r w:rsidRPr="00A51D3A">
        <w:rPr>
          <w:rFonts w:ascii="Arial" w:hAnsi="Arial" w:cs="Arial"/>
          <w:color w:val="000000" w:themeColor="text1"/>
          <w:sz w:val="21"/>
          <w:szCs w:val="21"/>
          <w:lang w:val="es-ES_tradnl"/>
        </w:rPr>
        <w:t xml:space="preserve">«De forma atenta se solicita concepto por parte de la Agencia Nacional de Contratación Pública, Colombia Compra Eficiente, sobre lo siguiente: El Decreto 092 de 2017 establece en su Artículo 2 "(...) Estas entidades estatales pueden contratar con entidades privadas sin ánimo de lucro y de reconocida idoneidad (...), previa autorización expresa de su representante legal para cada contrato en particular que la Entidad Estatal no podrá delegar la función de otorgar esta autorización. La Entidad Estatal deberá acreditar en los Documentos del Proceso la autorización respectiva". </w:t>
      </w:r>
    </w:p>
    <w:p w14:paraId="3D00F4F9" w14:textId="77777777" w:rsidR="00A51D3A" w:rsidRPr="00A51D3A" w:rsidRDefault="00A51D3A" w:rsidP="00A51D3A">
      <w:pPr>
        <w:ind w:left="709" w:right="709"/>
        <w:jc w:val="both"/>
        <w:rPr>
          <w:rFonts w:ascii="Arial" w:hAnsi="Arial" w:cs="Arial"/>
          <w:color w:val="000000" w:themeColor="text1"/>
          <w:sz w:val="21"/>
          <w:szCs w:val="21"/>
          <w:lang w:val="es-ES_tradnl"/>
        </w:rPr>
      </w:pPr>
    </w:p>
    <w:p w14:paraId="258CC160" w14:textId="68C2B75E" w:rsidR="00EA39F7" w:rsidRDefault="00A51D3A" w:rsidP="00A51D3A">
      <w:pPr>
        <w:ind w:left="709" w:right="709"/>
        <w:jc w:val="both"/>
        <w:rPr>
          <w:rFonts w:ascii="Arial" w:hAnsi="Arial" w:cs="Arial"/>
          <w:color w:val="000000" w:themeColor="text1"/>
          <w:sz w:val="21"/>
          <w:szCs w:val="21"/>
          <w:lang w:val="es-ES_tradnl"/>
        </w:rPr>
      </w:pPr>
      <w:r w:rsidRPr="00A51D3A">
        <w:rPr>
          <w:rFonts w:ascii="Arial" w:hAnsi="Arial" w:cs="Arial"/>
          <w:color w:val="000000" w:themeColor="text1"/>
          <w:sz w:val="21"/>
          <w:szCs w:val="21"/>
          <w:lang w:val="es-ES_tradnl"/>
        </w:rPr>
        <w:t xml:space="preserve">»En ese sentido, ¿Es necesario que cada una de las modificaciones que se realicen a los contratos o convenios suscritos bajo el amparo de dicho decreto, </w:t>
      </w:r>
      <w:proofErr w:type="spellStart"/>
      <w:r w:rsidRPr="00A51D3A">
        <w:rPr>
          <w:rFonts w:ascii="Arial" w:hAnsi="Arial" w:cs="Arial"/>
          <w:color w:val="000000" w:themeColor="text1"/>
          <w:sz w:val="21"/>
          <w:szCs w:val="21"/>
          <w:lang w:val="es-ES_tradnl"/>
        </w:rPr>
        <w:t>cuentenr</w:t>
      </w:r>
      <w:proofErr w:type="spellEnd"/>
      <w:r w:rsidRPr="00A51D3A">
        <w:rPr>
          <w:rFonts w:ascii="Arial" w:hAnsi="Arial" w:cs="Arial"/>
          <w:color w:val="000000" w:themeColor="text1"/>
          <w:sz w:val="21"/>
          <w:szCs w:val="21"/>
          <w:lang w:val="es-ES_tradnl"/>
        </w:rPr>
        <w:t xml:space="preserve"> (sic) con autorización expresa del representante legal de la entidad?»</w:t>
      </w:r>
    </w:p>
    <w:p w14:paraId="7FA01000" w14:textId="77777777" w:rsidR="00A51D3A" w:rsidRDefault="00A51D3A" w:rsidP="00510DE9">
      <w:pPr>
        <w:pStyle w:val="NormalWeb"/>
        <w:shd w:val="clear" w:color="auto" w:fill="FFFFFF"/>
        <w:spacing w:before="0" w:beforeAutospacing="0" w:after="0" w:afterAutospacing="0" w:line="276" w:lineRule="auto"/>
        <w:jc w:val="both"/>
        <w:textAlignment w:val="baseline"/>
        <w:rPr>
          <w:rFonts w:ascii="Arial" w:hAnsi="Arial" w:cs="Arial"/>
          <w:color w:val="000000" w:themeColor="text1"/>
          <w:sz w:val="22"/>
          <w:szCs w:val="22"/>
          <w:lang w:val="es-ES_tradnl"/>
        </w:rPr>
      </w:pPr>
    </w:p>
    <w:p w14:paraId="56CED04F" w14:textId="285CCAAD" w:rsidR="003767B1" w:rsidRPr="003767B1" w:rsidRDefault="003767B1" w:rsidP="003767B1">
      <w:pPr>
        <w:shd w:val="clear" w:color="auto" w:fill="FFFFFF"/>
        <w:spacing w:line="276" w:lineRule="auto"/>
        <w:jc w:val="both"/>
        <w:textAlignment w:val="baseline"/>
        <w:rPr>
          <w:rFonts w:ascii="Arial" w:hAnsi="Arial" w:cs="Arial"/>
          <w:color w:val="000000"/>
          <w:sz w:val="22"/>
          <w:szCs w:val="22"/>
        </w:rPr>
      </w:pPr>
      <w:r w:rsidRPr="003767B1">
        <w:rPr>
          <w:rFonts w:ascii="Arial" w:hAnsi="Arial" w:cs="Arial"/>
          <w:color w:val="000000"/>
          <w:sz w:val="22"/>
          <w:szCs w:val="22"/>
          <w:bdr w:val="none" w:sz="0" w:space="0" w:color="auto" w:frame="1"/>
        </w:rPr>
        <w:t>Las modificaciones al convenio de interés público celebrado con fundamento en el artículo 2 del Decreto 092 de 2017 pueden ser suscritas por el representante legal o por el delegatario. En principio no se requiere autorización del representante legal para la suscripción de la modificación, ya que la autorización exigida en el artículo 2 del Decreto 092 de 2017 es </w:t>
      </w:r>
      <w:r w:rsidR="00A76145">
        <w:rPr>
          <w:rFonts w:ascii="Arial" w:hAnsi="Arial" w:cs="Arial"/>
          <w:color w:val="000000"/>
          <w:sz w:val="22"/>
          <w:szCs w:val="22"/>
          <w:bdr w:val="none" w:sz="0" w:space="0" w:color="auto" w:frame="1"/>
          <w:shd w:val="clear" w:color="auto" w:fill="FFFFFF"/>
        </w:rPr>
        <w:t>«</w:t>
      </w:r>
      <w:r w:rsidRPr="003767B1">
        <w:rPr>
          <w:rFonts w:ascii="Arial" w:hAnsi="Arial" w:cs="Arial"/>
          <w:color w:val="000000"/>
          <w:sz w:val="22"/>
          <w:szCs w:val="22"/>
          <w:bdr w:val="none" w:sz="0" w:space="0" w:color="auto" w:frame="1"/>
          <w:shd w:val="clear" w:color="auto" w:fill="FFFFFF"/>
        </w:rPr>
        <w:t>para cada contrato en particular </w:t>
      </w:r>
      <w:r w:rsidRPr="003767B1">
        <w:rPr>
          <w:rFonts w:ascii="Arial" w:hAnsi="Arial" w:cs="Arial"/>
          <w:i/>
          <w:iCs/>
          <w:color w:val="000000"/>
          <w:sz w:val="22"/>
          <w:szCs w:val="22"/>
          <w:bdr w:val="none" w:sz="0" w:space="0" w:color="auto" w:frame="1"/>
          <w:shd w:val="clear" w:color="auto" w:fill="FFFFFF"/>
        </w:rPr>
        <w:t>que la Entidad Estatal planee suscribir</w:t>
      </w:r>
      <w:r w:rsidR="00A76145">
        <w:rPr>
          <w:rFonts w:ascii="Arial" w:hAnsi="Arial" w:cs="Arial"/>
          <w:color w:val="000000"/>
          <w:sz w:val="22"/>
          <w:szCs w:val="22"/>
          <w:bdr w:val="none" w:sz="0" w:space="0" w:color="auto" w:frame="1"/>
          <w:shd w:val="clear" w:color="auto" w:fill="FFFFFF"/>
        </w:rPr>
        <w:t>»</w:t>
      </w:r>
      <w:r w:rsidRPr="003767B1">
        <w:rPr>
          <w:rFonts w:ascii="Arial" w:hAnsi="Arial" w:cs="Arial"/>
          <w:color w:val="000000"/>
          <w:sz w:val="22"/>
          <w:szCs w:val="22"/>
          <w:bdr w:val="none" w:sz="0" w:space="0" w:color="auto" w:frame="1"/>
          <w:shd w:val="clear" w:color="auto" w:fill="FFFFFF"/>
        </w:rPr>
        <w:t>. En todo caso se reitera que, por virtud del segundo inciso del artículo 12 de la Ley 80 de 1993, el delegante conserva su deber de control y vigilancia de la actividad delegada –razón por la cual es conveniente que sea informado previamente por el delegatario acerca de la modificación que pretende hacerle al convenio– y que las modificaciones introducidas al contrato deben respetar los principios de la función administrativa y de la gestión fiscal consagrados en los artículos 209 y 267 de la Constitución.</w:t>
      </w:r>
    </w:p>
    <w:p w14:paraId="21CC9CF3" w14:textId="77777777" w:rsidR="00D94942" w:rsidRPr="00D94942" w:rsidRDefault="00D94942" w:rsidP="00D94942"/>
    <w:p w14:paraId="7B2C921D" w14:textId="676D574B" w:rsidR="00DD5B04" w:rsidRPr="00404C61" w:rsidRDefault="00DD5B04" w:rsidP="00DF76A2">
      <w:pPr>
        <w:spacing w:line="276" w:lineRule="auto"/>
        <w:jc w:val="both"/>
        <w:rPr>
          <w:rFonts w:ascii="Arial" w:hAnsi="Arial" w:cs="Arial"/>
          <w:color w:val="000000" w:themeColor="text1"/>
          <w:sz w:val="22"/>
          <w:lang w:val="es-ES_tradnl"/>
        </w:rPr>
      </w:pPr>
      <w:r w:rsidRPr="00404C61">
        <w:rPr>
          <w:rFonts w:ascii="Arial" w:hAnsi="Arial" w:cs="Arial"/>
          <w:color w:val="000000" w:themeColor="text1"/>
          <w:sz w:val="22"/>
          <w:lang w:val="es-ES_tradnl"/>
        </w:rPr>
        <w:t>Este concepto tiene el alcance previsto en el artículo 28 del Código de Procedimiento Administrativo y de lo Contencioso Administrativo.</w:t>
      </w:r>
    </w:p>
    <w:p w14:paraId="77EE5912" w14:textId="77777777" w:rsidR="00DD5B04" w:rsidRPr="00404C61"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0DDBEF2B" w14:textId="7B8CF213" w:rsidR="00DD5B04" w:rsidRPr="00404C61"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r w:rsidRPr="00404C61">
        <w:rPr>
          <w:rFonts w:ascii="Arial" w:hAnsi="Arial" w:cs="Arial"/>
          <w:color w:val="000000" w:themeColor="text1"/>
          <w:sz w:val="22"/>
          <w:szCs w:val="22"/>
          <w:lang w:val="es-ES_tradnl"/>
        </w:rPr>
        <w:t>Atentamente,</w:t>
      </w:r>
    </w:p>
    <w:p w14:paraId="692FC307" w14:textId="210AA6B5" w:rsidR="00921304" w:rsidRPr="00404C61" w:rsidRDefault="009213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30AA3DC7" w14:textId="1287D13E" w:rsidR="00921304" w:rsidRPr="00404C61" w:rsidRDefault="00F90C4D" w:rsidP="00F90C4D">
      <w:pPr>
        <w:pStyle w:val="NormalWeb"/>
        <w:spacing w:before="0" w:beforeAutospacing="0" w:after="0" w:afterAutospacing="0" w:line="276" w:lineRule="auto"/>
        <w:jc w:val="center"/>
        <w:rPr>
          <w:rFonts w:ascii="Arial" w:hAnsi="Arial" w:cs="Arial"/>
          <w:color w:val="000000" w:themeColor="text1"/>
          <w:sz w:val="22"/>
          <w:szCs w:val="22"/>
          <w:lang w:val="es-ES_tradnl"/>
        </w:rPr>
      </w:pPr>
      <w:r w:rsidRPr="00404C61">
        <w:rPr>
          <w:rFonts w:ascii="Arial" w:hAnsi="Arial" w:cs="Arial"/>
          <w:noProof/>
          <w:color w:val="000000" w:themeColor="text1"/>
          <w:sz w:val="22"/>
          <w:szCs w:val="22"/>
          <w:lang w:val="es-ES_tradnl"/>
        </w:rPr>
        <w:lastRenderedPageBreak/>
        <w:drawing>
          <wp:inline distT="0" distB="0" distL="0" distR="0" wp14:anchorId="7F730465" wp14:editId="4FCD7E13">
            <wp:extent cx="3565491" cy="14003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962" cy="1453189"/>
                    </a:xfrm>
                    <a:prstGeom prst="rect">
                      <a:avLst/>
                    </a:prstGeom>
                  </pic:spPr>
                </pic:pic>
              </a:graphicData>
            </a:graphic>
          </wp:inline>
        </w:drawing>
      </w:r>
    </w:p>
    <w:p w14:paraId="5CBAE239" w14:textId="77777777" w:rsidR="00425C43" w:rsidRPr="00404C61" w:rsidRDefault="00425C43" w:rsidP="00B37657">
      <w:pPr>
        <w:jc w:val="center"/>
        <w:rPr>
          <w:rFonts w:ascii="Arial" w:hAnsi="Arial" w:cs="Arial"/>
          <w:color w:val="000000" w:themeColor="text1"/>
          <w:sz w:val="18"/>
          <w:szCs w:val="20"/>
          <w:lang w:val="es-ES_tradnl" w:eastAsia="es-CO"/>
        </w:rPr>
      </w:pPr>
    </w:p>
    <w:p w14:paraId="49730030" w14:textId="217D35F3" w:rsidR="00DD5B04" w:rsidRPr="00404C61" w:rsidRDefault="00DD5B04" w:rsidP="00B37657">
      <w:pPr>
        <w:jc w:val="center"/>
        <w:rPr>
          <w:rFonts w:ascii="Arial" w:hAnsi="Arial" w:cs="Arial"/>
          <w:color w:val="000000" w:themeColor="text1"/>
          <w:sz w:val="18"/>
          <w:szCs w:val="20"/>
          <w:lang w:val="es-ES_tradnl"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DD5B04" w:rsidRPr="00404C61" w14:paraId="0C7DC5F7" w14:textId="77777777" w:rsidTr="00083F1B">
        <w:trPr>
          <w:trHeight w:val="315"/>
        </w:trPr>
        <w:tc>
          <w:tcPr>
            <w:tcW w:w="812" w:type="dxa"/>
            <w:vAlign w:val="center"/>
            <w:hideMark/>
          </w:tcPr>
          <w:p w14:paraId="5BDB1AC9" w14:textId="77777777" w:rsidR="00DD5B04" w:rsidRPr="00404C61" w:rsidRDefault="00DD5B04"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Elaboró:</w:t>
            </w:r>
          </w:p>
        </w:tc>
        <w:tc>
          <w:tcPr>
            <w:tcW w:w="4413" w:type="dxa"/>
            <w:tcBorders>
              <w:top w:val="nil"/>
              <w:left w:val="nil"/>
              <w:bottom w:val="dotted" w:sz="4" w:space="0" w:color="7F7F7F" w:themeColor="text1" w:themeTint="80"/>
              <w:right w:val="nil"/>
            </w:tcBorders>
            <w:vAlign w:val="center"/>
            <w:hideMark/>
          </w:tcPr>
          <w:p w14:paraId="7F9F79B1" w14:textId="77777777" w:rsidR="00DD5B04" w:rsidRPr="00404C61" w:rsidRDefault="00DD5B04"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Cristian Andrés Díaz Díez</w:t>
            </w:r>
          </w:p>
          <w:p w14:paraId="240C71FD" w14:textId="31312C95" w:rsidR="00DD5B04" w:rsidRPr="00404C61" w:rsidRDefault="00DD5B04"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Contratista</w:t>
            </w:r>
            <w:r w:rsidR="00FF0050" w:rsidRPr="00404C61">
              <w:rPr>
                <w:rFonts w:ascii="Arial" w:hAnsi="Arial" w:cs="Arial"/>
                <w:color w:val="000000" w:themeColor="text1"/>
                <w:sz w:val="16"/>
                <w:szCs w:val="16"/>
                <w:lang w:val="es-ES_tradnl" w:eastAsia="es-ES"/>
              </w:rPr>
              <w:t xml:space="preserve"> de la </w:t>
            </w:r>
            <w:r w:rsidRPr="00404C61">
              <w:rPr>
                <w:rFonts w:ascii="Arial" w:hAnsi="Arial" w:cs="Arial"/>
                <w:color w:val="000000" w:themeColor="text1"/>
                <w:sz w:val="16"/>
                <w:szCs w:val="16"/>
                <w:lang w:val="es-ES_tradnl" w:eastAsia="es-ES"/>
              </w:rPr>
              <w:t>Subdirección de Gestión Contractual</w:t>
            </w:r>
          </w:p>
        </w:tc>
      </w:tr>
      <w:tr w:rsidR="00DD5B04" w:rsidRPr="00404C61" w14:paraId="2F8FD650" w14:textId="77777777" w:rsidTr="00083F1B">
        <w:trPr>
          <w:trHeight w:val="330"/>
        </w:trPr>
        <w:tc>
          <w:tcPr>
            <w:tcW w:w="812" w:type="dxa"/>
            <w:vAlign w:val="center"/>
            <w:hideMark/>
          </w:tcPr>
          <w:p w14:paraId="50203A0B" w14:textId="77777777" w:rsidR="00DD5B04" w:rsidRPr="00404C61" w:rsidRDefault="00DD5B04"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31F77323" w14:textId="3EA499FC" w:rsidR="00C05A61" w:rsidRPr="00404C61" w:rsidRDefault="00C05A61" w:rsidP="00C05A61">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 xml:space="preserve">Jorge </w:t>
            </w:r>
            <w:r w:rsidR="00ED304F">
              <w:rPr>
                <w:rFonts w:ascii="Arial" w:hAnsi="Arial" w:cs="Arial"/>
                <w:color w:val="000000" w:themeColor="text1"/>
                <w:sz w:val="16"/>
                <w:szCs w:val="16"/>
                <w:lang w:val="es-ES_tradnl" w:eastAsia="es-ES"/>
              </w:rPr>
              <w:t xml:space="preserve">Augusto </w:t>
            </w:r>
            <w:r w:rsidRPr="00404C61">
              <w:rPr>
                <w:rFonts w:ascii="Arial" w:hAnsi="Arial" w:cs="Arial"/>
                <w:color w:val="000000" w:themeColor="text1"/>
                <w:sz w:val="16"/>
                <w:szCs w:val="16"/>
                <w:lang w:val="es-ES_tradnl" w:eastAsia="es-ES"/>
              </w:rPr>
              <w:t>Tirado Navarro</w:t>
            </w:r>
          </w:p>
          <w:p w14:paraId="130B3228" w14:textId="7D08C1BB" w:rsidR="00DD5B04" w:rsidRPr="00404C61" w:rsidRDefault="00C05A61" w:rsidP="00C05A61">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Subdirector de Gestión Contractual</w:t>
            </w:r>
          </w:p>
        </w:tc>
      </w:tr>
      <w:tr w:rsidR="00DD5B04" w:rsidRPr="00404C61" w14:paraId="0FCBCA4A" w14:textId="77777777" w:rsidTr="00083F1B">
        <w:trPr>
          <w:trHeight w:val="300"/>
        </w:trPr>
        <w:tc>
          <w:tcPr>
            <w:tcW w:w="812" w:type="dxa"/>
            <w:vAlign w:val="center"/>
            <w:hideMark/>
          </w:tcPr>
          <w:p w14:paraId="3C1D943A" w14:textId="77777777" w:rsidR="00DD5B04" w:rsidRPr="00404C61" w:rsidRDefault="00DD5B04"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7180A172" w14:textId="75F5C2C8" w:rsidR="006A55EE" w:rsidRPr="00404C61" w:rsidRDefault="00C05A61"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 xml:space="preserve">Jorge </w:t>
            </w:r>
            <w:r w:rsidR="00ED304F">
              <w:rPr>
                <w:rFonts w:ascii="Arial" w:hAnsi="Arial" w:cs="Arial"/>
                <w:color w:val="000000" w:themeColor="text1"/>
                <w:sz w:val="16"/>
                <w:szCs w:val="16"/>
                <w:lang w:val="es-ES_tradnl" w:eastAsia="es-ES"/>
              </w:rPr>
              <w:t xml:space="preserve">Augusto </w:t>
            </w:r>
            <w:r w:rsidRPr="00404C61">
              <w:rPr>
                <w:rFonts w:ascii="Arial" w:hAnsi="Arial" w:cs="Arial"/>
                <w:color w:val="000000" w:themeColor="text1"/>
                <w:sz w:val="16"/>
                <w:szCs w:val="16"/>
                <w:lang w:val="es-ES_tradnl" w:eastAsia="es-ES"/>
              </w:rPr>
              <w:t>Tirado Navarro</w:t>
            </w:r>
          </w:p>
          <w:p w14:paraId="1ADC483B" w14:textId="77CBA2AF" w:rsidR="00DD5B04" w:rsidRPr="00404C61" w:rsidRDefault="00DD5B04" w:rsidP="00DF76A2">
            <w:pPr>
              <w:jc w:val="both"/>
              <w:rPr>
                <w:rFonts w:ascii="Arial" w:hAnsi="Arial" w:cs="Arial"/>
                <w:color w:val="000000" w:themeColor="text1"/>
                <w:sz w:val="16"/>
                <w:szCs w:val="16"/>
                <w:lang w:val="es-ES_tradnl" w:eastAsia="es-ES"/>
              </w:rPr>
            </w:pPr>
            <w:r w:rsidRPr="00404C61">
              <w:rPr>
                <w:rFonts w:ascii="Arial" w:hAnsi="Arial" w:cs="Arial"/>
                <w:color w:val="000000" w:themeColor="text1"/>
                <w:sz w:val="16"/>
                <w:szCs w:val="16"/>
                <w:lang w:val="es-ES_tradnl" w:eastAsia="es-ES"/>
              </w:rPr>
              <w:t>Subdirector de Gestión Contractual</w:t>
            </w:r>
          </w:p>
        </w:tc>
      </w:tr>
    </w:tbl>
    <w:p w14:paraId="35B56F46" w14:textId="77777777" w:rsidR="00746E08" w:rsidRPr="00404C61" w:rsidRDefault="00746E08" w:rsidP="00215B8E">
      <w:pPr>
        <w:jc w:val="both"/>
        <w:rPr>
          <w:rFonts w:ascii="Arial" w:hAnsi="Arial" w:cs="Arial"/>
          <w:lang w:val="es-ES_tradnl"/>
        </w:rPr>
      </w:pPr>
    </w:p>
    <w:sectPr w:rsidR="00746E08" w:rsidRPr="00404C61" w:rsidSect="005D791B">
      <w:headerReference w:type="default" r:id="rId12"/>
      <w:footerReference w:type="default" r:id="rId13"/>
      <w:pgSz w:w="12240" w:h="15840"/>
      <w:pgMar w:top="2041"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6CBC5" w14:textId="77777777" w:rsidR="00607D4C" w:rsidRDefault="00607D4C">
      <w:r>
        <w:separator/>
      </w:r>
    </w:p>
  </w:endnote>
  <w:endnote w:type="continuationSeparator" w:id="0">
    <w:p w14:paraId="3171CBE7" w14:textId="77777777" w:rsidR="00607D4C" w:rsidRDefault="00607D4C">
      <w:r>
        <w:continuationSeparator/>
      </w:r>
    </w:p>
  </w:endnote>
  <w:endnote w:type="continuationNotice" w:id="1">
    <w:p w14:paraId="4F8ED610" w14:textId="77777777" w:rsidR="00607D4C" w:rsidRDefault="00607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2A34" w14:textId="77777777" w:rsidR="006A59DE" w:rsidRDefault="006A59DE" w:rsidP="00322937">
    <w:pPr>
      <w:pStyle w:val="Sinespaciado"/>
      <w:jc w:val="right"/>
      <w:rPr>
        <w:rFonts w:ascii="Arial" w:hAnsi="Arial" w:cs="Arial"/>
        <w:sz w:val="18"/>
        <w:szCs w:val="18"/>
      </w:rPr>
    </w:pPr>
  </w:p>
  <w:p w14:paraId="7A3785F3" w14:textId="2EF28465" w:rsidR="006A59DE" w:rsidRPr="008217B7" w:rsidRDefault="006A59DE" w:rsidP="00FE42ED">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2</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15</w:t>
    </w:r>
    <w:r w:rsidRPr="00084B97">
      <w:rPr>
        <w:rFonts w:ascii="Arial" w:hAnsi="Arial" w:cs="Arial"/>
        <w:b/>
        <w:bCs/>
        <w:color w:val="7F7F7F" w:themeColor="text1" w:themeTint="80"/>
        <w:sz w:val="16"/>
        <w:szCs w:val="16"/>
      </w:rPr>
      <w:fldChar w:fldCharType="end"/>
    </w:r>
  </w:p>
  <w:p w14:paraId="48FC6A04" w14:textId="5FD1A7C9" w:rsidR="006A59DE" w:rsidRDefault="006A59DE" w:rsidP="00322937">
    <w:pPr>
      <w:pStyle w:val="Piedepgina"/>
      <w:jc w:val="center"/>
      <w:rPr>
        <w:lang w:val="es-ES"/>
      </w:rPr>
    </w:pPr>
    <w:r>
      <w:rPr>
        <w:noProof/>
        <w:lang w:val="es-ES_tradnl" w:eastAsia="es-ES_tradnl"/>
      </w:rPr>
      <w:drawing>
        <wp:inline distT="0" distB="0" distL="0" distR="0" wp14:anchorId="608B196D" wp14:editId="0DC5B948">
          <wp:extent cx="3700130" cy="519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_pagina_pie_pagina_excel.png"/>
                  <pic:cNvPicPr/>
                </pic:nvPicPr>
                <pic:blipFill>
                  <a:blip r:embed="rId1">
                    <a:extLst>
                      <a:ext uri="{28A0092B-C50C-407E-A947-70E740481C1C}">
                        <a14:useLocalDpi xmlns:a14="http://schemas.microsoft.com/office/drawing/2010/main" val="0"/>
                      </a:ext>
                    </a:extLst>
                  </a:blip>
                  <a:stretch>
                    <a:fillRect/>
                  </a:stretch>
                </pic:blipFill>
                <pic:spPr>
                  <a:xfrm>
                    <a:off x="0" y="0"/>
                    <a:ext cx="3779589" cy="530287"/>
                  </a:xfrm>
                  <a:prstGeom prst="rect">
                    <a:avLst/>
                  </a:prstGeom>
                </pic:spPr>
              </pic:pic>
            </a:graphicData>
          </a:graphic>
        </wp:inline>
      </w:drawing>
    </w:r>
  </w:p>
  <w:p w14:paraId="5D0E988C" w14:textId="77777777" w:rsidR="006A59DE" w:rsidRDefault="006A59DE" w:rsidP="007B0854">
    <w:pPr>
      <w:pStyle w:val="Piedepgina"/>
      <w:jc w:val="center"/>
      <w:rPr>
        <w:lang w:val="es-ES"/>
      </w:rPr>
    </w:pPr>
  </w:p>
  <w:p w14:paraId="6C0EFC49" w14:textId="77777777" w:rsidR="006A59DE" w:rsidRPr="007B0854" w:rsidRDefault="006A59DE" w:rsidP="007B0854">
    <w:pPr>
      <w:pStyle w:val="Piedepgina"/>
      <w:jc w:val="cen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41ACE" w14:textId="77777777" w:rsidR="00607D4C" w:rsidRDefault="00607D4C">
      <w:r>
        <w:separator/>
      </w:r>
    </w:p>
  </w:footnote>
  <w:footnote w:type="continuationSeparator" w:id="0">
    <w:p w14:paraId="027342BD" w14:textId="77777777" w:rsidR="00607D4C" w:rsidRDefault="00607D4C">
      <w:r>
        <w:continuationSeparator/>
      </w:r>
    </w:p>
  </w:footnote>
  <w:footnote w:type="continuationNotice" w:id="1">
    <w:p w14:paraId="520A90E8" w14:textId="77777777" w:rsidR="00607D4C" w:rsidRDefault="00607D4C"/>
  </w:footnote>
  <w:footnote w:id="2">
    <w:p w14:paraId="77C8375E" w14:textId="77777777" w:rsidR="00755E3D" w:rsidRPr="00383E8C" w:rsidRDefault="00755E3D" w:rsidP="00383E8C">
      <w:pPr>
        <w:pStyle w:val="Textonotapie"/>
        <w:ind w:firstLine="709"/>
        <w:jc w:val="both"/>
        <w:rPr>
          <w:rFonts w:ascii="Arial" w:hAnsi="Arial" w:cs="Arial"/>
          <w:sz w:val="19"/>
          <w:szCs w:val="19"/>
        </w:rPr>
      </w:pPr>
      <w:r w:rsidRPr="00383E8C">
        <w:rPr>
          <w:rStyle w:val="Refdenotaalpie"/>
          <w:rFonts w:ascii="Arial" w:hAnsi="Arial" w:cs="Arial"/>
          <w:sz w:val="19"/>
          <w:szCs w:val="19"/>
        </w:rPr>
        <w:footnoteRef/>
      </w:r>
      <w:r w:rsidRPr="00383E8C">
        <w:rPr>
          <w:rFonts w:ascii="Arial" w:hAnsi="Arial" w:cs="Arial"/>
          <w:sz w:val="19"/>
          <w:szCs w:val="19"/>
        </w:rPr>
        <w:t xml:space="preserve"> Sobre esta norma, consultar los conceptos del 8 de octubre de 2019, con radicado No. 2201913000007532, y del 20 de diciembre de 2019, con radicado No. 4201913000008240.</w:t>
      </w:r>
    </w:p>
    <w:p w14:paraId="57011BEA" w14:textId="77777777" w:rsidR="00755E3D" w:rsidRPr="00383E8C" w:rsidRDefault="00755E3D" w:rsidP="00383E8C">
      <w:pPr>
        <w:pStyle w:val="Textonotapie"/>
        <w:ind w:firstLine="709"/>
        <w:jc w:val="both"/>
        <w:rPr>
          <w:rFonts w:ascii="Arial" w:hAnsi="Arial" w:cs="Arial"/>
          <w:sz w:val="19"/>
          <w:szCs w:val="19"/>
          <w:lang w:val="es-ES"/>
        </w:rPr>
      </w:pPr>
    </w:p>
  </w:footnote>
  <w:footnote w:id="3">
    <w:p w14:paraId="6098C921" w14:textId="77777777" w:rsidR="00755E3D" w:rsidRPr="00383E8C" w:rsidRDefault="00755E3D" w:rsidP="00383E8C">
      <w:pPr>
        <w:pStyle w:val="Textonotapie"/>
        <w:ind w:firstLine="709"/>
        <w:jc w:val="both"/>
        <w:rPr>
          <w:rFonts w:ascii="Arial" w:hAnsi="Arial" w:cs="Arial"/>
          <w:sz w:val="19"/>
          <w:szCs w:val="19"/>
        </w:rPr>
      </w:pPr>
      <w:r w:rsidRPr="00383E8C">
        <w:rPr>
          <w:rStyle w:val="Refdenotaalpie"/>
          <w:rFonts w:ascii="Arial" w:hAnsi="Arial" w:cs="Arial"/>
          <w:sz w:val="19"/>
          <w:szCs w:val="19"/>
        </w:rPr>
        <w:footnoteRef/>
      </w:r>
      <w:r w:rsidRPr="00383E8C">
        <w:rPr>
          <w:rFonts w:ascii="Arial" w:hAnsi="Arial" w:cs="Arial"/>
          <w:sz w:val="19"/>
          <w:szCs w:val="19"/>
        </w:rPr>
        <w:t xml:space="preserve"> Al respecto, la Ley 489 de 1998 dispone en el artículo 96 que «Las entidades estatales, cualquiera sea su naturaleza y orden administrativo podrán, con la observancia de los principios señalados en el artículo 209 de la Constitución, asociarse con personas jurídicas particulares, mediante la celebración de convenios de asociación o la creación de personas jurídicas, para el desarrollo conjunto de actividades en relación con los cometidos y funciones que les asigna a aquéllas la ley.</w:t>
      </w:r>
    </w:p>
    <w:p w14:paraId="6068F11F" w14:textId="77777777" w:rsidR="00755E3D" w:rsidRPr="00383E8C" w:rsidRDefault="00755E3D" w:rsidP="00383E8C">
      <w:pPr>
        <w:pStyle w:val="Textonotapie"/>
        <w:ind w:firstLine="709"/>
        <w:jc w:val="both"/>
        <w:rPr>
          <w:rFonts w:ascii="Arial" w:hAnsi="Arial" w:cs="Arial"/>
          <w:sz w:val="19"/>
          <w:szCs w:val="19"/>
        </w:rPr>
      </w:pPr>
      <w:r w:rsidRPr="00383E8C">
        <w:rPr>
          <w:rFonts w:ascii="Arial" w:hAnsi="Arial" w:cs="Arial"/>
          <w:sz w:val="19"/>
          <w:szCs w:val="19"/>
        </w:rPr>
        <w:t xml:space="preserve">»Los convenios de asociación a que se refiere el presente artículo </w:t>
      </w:r>
      <w:bookmarkStart w:id="2" w:name="_Hlk36023315"/>
      <w:r w:rsidRPr="00383E8C">
        <w:rPr>
          <w:rFonts w:ascii="Arial" w:hAnsi="Arial" w:cs="Arial"/>
          <w:sz w:val="19"/>
          <w:szCs w:val="19"/>
        </w:rPr>
        <w:t>se celebrarán de conformidad con lo dispuesto en el artículo 355 de la Constitución Política</w:t>
      </w:r>
      <w:bookmarkEnd w:id="2"/>
      <w:r w:rsidRPr="00383E8C">
        <w:rPr>
          <w:rFonts w:ascii="Arial" w:hAnsi="Arial" w:cs="Arial"/>
          <w:sz w:val="19"/>
          <w:szCs w:val="19"/>
        </w:rPr>
        <w:t>, en ellos se determinará con precisión su objeto, término, obligaciones de las partes, aportes, coordinación y todos aquellos aspectos que se consideren pertinentes».</w:t>
      </w:r>
    </w:p>
    <w:p w14:paraId="34F70EF3" w14:textId="77777777" w:rsidR="00755E3D" w:rsidRPr="00383E8C" w:rsidRDefault="00755E3D" w:rsidP="00383E8C">
      <w:pPr>
        <w:pStyle w:val="Textonotapie"/>
        <w:ind w:firstLine="709"/>
        <w:jc w:val="both"/>
        <w:rPr>
          <w:rFonts w:ascii="Arial" w:hAnsi="Arial" w:cs="Arial"/>
          <w:sz w:val="19"/>
          <w:szCs w:val="19"/>
          <w:lang w:val="es-ES"/>
        </w:rPr>
      </w:pPr>
      <w:r w:rsidRPr="00383E8C">
        <w:rPr>
          <w:rFonts w:ascii="Arial" w:hAnsi="Arial" w:cs="Arial"/>
          <w:sz w:val="19"/>
          <w:szCs w:val="19"/>
        </w:rPr>
        <w:t xml:space="preserve"> </w:t>
      </w:r>
    </w:p>
  </w:footnote>
  <w:footnote w:id="4">
    <w:p w14:paraId="05054E35" w14:textId="77777777" w:rsidR="00755E3D" w:rsidRPr="00383E8C" w:rsidRDefault="00755E3D" w:rsidP="00383E8C">
      <w:pPr>
        <w:pStyle w:val="Textonotapie"/>
        <w:ind w:firstLine="709"/>
        <w:jc w:val="both"/>
        <w:rPr>
          <w:rFonts w:ascii="Arial" w:hAnsi="Arial" w:cs="Arial"/>
          <w:sz w:val="19"/>
          <w:szCs w:val="19"/>
        </w:rPr>
      </w:pPr>
      <w:r w:rsidRPr="00383E8C">
        <w:rPr>
          <w:rStyle w:val="Refdenotaalpie"/>
          <w:rFonts w:ascii="Arial" w:hAnsi="Arial" w:cs="Arial"/>
          <w:sz w:val="19"/>
          <w:szCs w:val="19"/>
        </w:rPr>
        <w:footnoteRef/>
      </w:r>
      <w:r w:rsidRPr="00383E8C">
        <w:rPr>
          <w:rFonts w:ascii="Arial" w:hAnsi="Arial" w:cs="Arial"/>
          <w:sz w:val="19"/>
          <w:szCs w:val="19"/>
        </w:rPr>
        <w:t xml:space="preserve"> Concepto del 3 de septiembre de 2019, con radicado No. 2201913000006512.</w:t>
      </w:r>
    </w:p>
    <w:p w14:paraId="3795F722" w14:textId="77777777" w:rsidR="00755E3D" w:rsidRPr="00383E8C" w:rsidRDefault="00755E3D" w:rsidP="00383E8C">
      <w:pPr>
        <w:pStyle w:val="Textonotapie"/>
        <w:ind w:firstLine="709"/>
        <w:jc w:val="both"/>
        <w:rPr>
          <w:rFonts w:ascii="Arial" w:hAnsi="Arial" w:cs="Arial"/>
          <w:sz w:val="19"/>
          <w:szCs w:val="19"/>
        </w:rPr>
      </w:pPr>
    </w:p>
  </w:footnote>
  <w:footnote w:id="5">
    <w:p w14:paraId="0F36AFD1" w14:textId="77777777" w:rsidR="00755E3D" w:rsidRPr="00383E8C" w:rsidRDefault="00755E3D" w:rsidP="00383E8C">
      <w:pPr>
        <w:pStyle w:val="Textonotapie"/>
        <w:ind w:firstLine="709"/>
        <w:jc w:val="both"/>
        <w:rPr>
          <w:rFonts w:ascii="Arial" w:hAnsi="Arial" w:cs="Arial"/>
          <w:sz w:val="19"/>
          <w:szCs w:val="19"/>
        </w:rPr>
      </w:pPr>
      <w:r w:rsidRPr="00383E8C">
        <w:rPr>
          <w:rStyle w:val="Refdenotaalpie"/>
          <w:rFonts w:ascii="Arial" w:hAnsi="Arial" w:cs="Arial"/>
          <w:sz w:val="19"/>
          <w:szCs w:val="19"/>
        </w:rPr>
        <w:footnoteRef/>
      </w:r>
      <w:r w:rsidRPr="00383E8C">
        <w:rPr>
          <w:rFonts w:ascii="Arial" w:hAnsi="Arial" w:cs="Arial"/>
          <w:sz w:val="19"/>
          <w:szCs w:val="19"/>
        </w:rPr>
        <w:t xml:space="preserve"> Sobre la naturaleza de los convenios de asociación, se reitera lo expuesto en el concepto del 19 de noviembre de 2019, con radicado No. 2201913000008611.</w:t>
      </w:r>
    </w:p>
    <w:p w14:paraId="40039DF2" w14:textId="77777777" w:rsidR="00755E3D" w:rsidRPr="00383E8C" w:rsidRDefault="00755E3D" w:rsidP="00383E8C">
      <w:pPr>
        <w:pStyle w:val="Textonotapie"/>
        <w:ind w:firstLine="709"/>
        <w:jc w:val="both"/>
        <w:rPr>
          <w:rFonts w:ascii="Arial" w:hAnsi="Arial" w:cs="Arial"/>
          <w:sz w:val="19"/>
          <w:szCs w:val="19"/>
        </w:rPr>
      </w:pPr>
    </w:p>
  </w:footnote>
  <w:footnote w:id="6">
    <w:p w14:paraId="65CF2F85" w14:textId="77777777" w:rsidR="00755E3D" w:rsidRPr="00383E8C" w:rsidRDefault="00755E3D" w:rsidP="00383E8C">
      <w:pPr>
        <w:pStyle w:val="Textonotapie"/>
        <w:ind w:firstLine="709"/>
        <w:jc w:val="both"/>
        <w:rPr>
          <w:rFonts w:ascii="Arial" w:hAnsi="Arial" w:cs="Arial"/>
          <w:sz w:val="19"/>
          <w:szCs w:val="19"/>
        </w:rPr>
      </w:pPr>
      <w:r w:rsidRPr="00383E8C">
        <w:rPr>
          <w:rStyle w:val="Refdenotaalpie"/>
          <w:rFonts w:ascii="Arial" w:hAnsi="Arial" w:cs="Arial"/>
          <w:sz w:val="19"/>
          <w:szCs w:val="19"/>
        </w:rPr>
        <w:footnoteRef/>
      </w:r>
      <w:r w:rsidRPr="00383E8C">
        <w:rPr>
          <w:rFonts w:ascii="Arial" w:hAnsi="Arial" w:cs="Arial"/>
          <w:sz w:val="19"/>
          <w:szCs w:val="19"/>
        </w:rPr>
        <w:t xml:space="preserve"> El numeral 16.9 de la Circular Externa Única de Colombia Compra Eficiente explica que: «El Decreto 092 de 2017 no restringe ninguna forma de asociación entre las entidades privadas sin ánimo de lucro, y prevé que los contratos y convenios que regula se sujetarán a las normas generales aplicables al Sistema de Compra Pública, es decir Ley 80 de 1993, salvo lo que de manera expresa esté regulado en dicho Decreto. La Ley 80 de 1993 establece las diferentes formas asociativas que pueden utilizar los proponentes para participar en los Procesos de Contratación. De esta forma, entidades privadas sin ánimo de lucro pueden constituirse como unión temporal o consorcio para efectos de la celebración de contratos de colaboración o convenios de asociación».</w:t>
      </w:r>
    </w:p>
    <w:p w14:paraId="585EDCA7" w14:textId="77777777" w:rsidR="00755E3D" w:rsidRPr="00383E8C" w:rsidRDefault="00755E3D" w:rsidP="00383E8C">
      <w:pPr>
        <w:pStyle w:val="Textonotapie"/>
        <w:ind w:firstLine="709"/>
        <w:jc w:val="both"/>
        <w:rPr>
          <w:rFonts w:ascii="Arial" w:hAnsi="Arial" w:cs="Arial"/>
          <w:sz w:val="19"/>
          <w:szCs w:val="19"/>
        </w:rPr>
      </w:pPr>
    </w:p>
    <w:p w14:paraId="4A43DC9E" w14:textId="77777777" w:rsidR="00755E3D" w:rsidRPr="00383E8C" w:rsidRDefault="00755E3D" w:rsidP="00383E8C">
      <w:pPr>
        <w:pStyle w:val="Textonotapie"/>
        <w:ind w:firstLine="709"/>
        <w:jc w:val="both"/>
        <w:rPr>
          <w:rFonts w:ascii="Arial" w:hAnsi="Arial" w:cs="Arial"/>
          <w:sz w:val="19"/>
          <w:szCs w:val="19"/>
          <w:lang w:val="es-ES"/>
        </w:rPr>
      </w:pPr>
    </w:p>
  </w:footnote>
  <w:footnote w:id="7">
    <w:p w14:paraId="5A53AFB9" w14:textId="3DF6E532" w:rsidR="00D60279" w:rsidRPr="00383E8C" w:rsidRDefault="00D60279" w:rsidP="00383E8C">
      <w:pPr>
        <w:pStyle w:val="Textonotapie"/>
        <w:ind w:firstLine="709"/>
        <w:jc w:val="both"/>
        <w:rPr>
          <w:rFonts w:ascii="Arial" w:hAnsi="Arial" w:cs="Arial"/>
          <w:sz w:val="19"/>
          <w:szCs w:val="19"/>
        </w:rPr>
      </w:pPr>
      <w:r w:rsidRPr="00383E8C">
        <w:rPr>
          <w:rStyle w:val="Refdenotaalpie"/>
          <w:rFonts w:ascii="Arial" w:hAnsi="Arial" w:cs="Arial"/>
          <w:sz w:val="19"/>
          <w:szCs w:val="19"/>
        </w:rPr>
        <w:footnoteRef/>
      </w:r>
      <w:r w:rsidRPr="00383E8C">
        <w:rPr>
          <w:rFonts w:ascii="Arial" w:hAnsi="Arial" w:cs="Arial"/>
          <w:sz w:val="19"/>
          <w:szCs w:val="19"/>
        </w:rPr>
        <w:t xml:space="preserve"> En palabras de Bocanegra Sierra, «</w:t>
      </w:r>
      <w:r w:rsidR="00C64DE1" w:rsidRPr="00383E8C">
        <w:rPr>
          <w:rFonts w:ascii="Arial" w:hAnsi="Arial" w:cs="Arial"/>
          <w:sz w:val="19"/>
          <w:szCs w:val="19"/>
        </w:rPr>
        <w:t>S</w:t>
      </w:r>
      <w:r w:rsidR="00BF07F9" w:rsidRPr="00383E8C">
        <w:rPr>
          <w:rFonts w:ascii="Arial" w:hAnsi="Arial" w:cs="Arial"/>
          <w:sz w:val="19"/>
          <w:szCs w:val="19"/>
        </w:rPr>
        <w:t xml:space="preserve">iendo la competencia la medida de la potestad que corresponde a cada órgano, </w:t>
      </w:r>
      <w:r w:rsidR="001B5E6C" w:rsidRPr="00383E8C">
        <w:rPr>
          <w:rFonts w:ascii="Arial" w:hAnsi="Arial" w:cs="Arial"/>
          <w:sz w:val="19"/>
          <w:szCs w:val="19"/>
        </w:rPr>
        <w:t xml:space="preserve">su determinación concreta la </w:t>
      </w:r>
      <w:r w:rsidR="00C64DE1" w:rsidRPr="00383E8C">
        <w:rPr>
          <w:rFonts w:ascii="Arial" w:hAnsi="Arial" w:cs="Arial"/>
          <w:sz w:val="19"/>
          <w:szCs w:val="19"/>
        </w:rPr>
        <w:t>realiza</w:t>
      </w:r>
      <w:r w:rsidR="001B5E6C" w:rsidRPr="00383E8C">
        <w:rPr>
          <w:rFonts w:ascii="Arial" w:hAnsi="Arial" w:cs="Arial"/>
          <w:sz w:val="19"/>
          <w:szCs w:val="19"/>
        </w:rPr>
        <w:t xml:space="preserve"> la norma jurídica que la atribuye</w:t>
      </w:r>
      <w:r w:rsidR="007B377E" w:rsidRPr="00383E8C">
        <w:rPr>
          <w:rFonts w:ascii="Arial" w:hAnsi="Arial" w:cs="Arial"/>
          <w:sz w:val="19"/>
          <w:szCs w:val="19"/>
        </w:rPr>
        <w:t xml:space="preserve">, conforme a distintos criterios» (BOCANEGRA SIERRA, Raúl. </w:t>
      </w:r>
      <w:r w:rsidR="008064B5" w:rsidRPr="00383E8C">
        <w:rPr>
          <w:rFonts w:ascii="Arial" w:hAnsi="Arial" w:cs="Arial"/>
          <w:i/>
          <w:iCs/>
          <w:sz w:val="19"/>
          <w:szCs w:val="19"/>
        </w:rPr>
        <w:t>La teoría del acto administrativo</w:t>
      </w:r>
      <w:r w:rsidR="008064B5" w:rsidRPr="00383E8C">
        <w:rPr>
          <w:rFonts w:ascii="Arial" w:hAnsi="Arial" w:cs="Arial"/>
          <w:sz w:val="19"/>
          <w:szCs w:val="19"/>
        </w:rPr>
        <w:t>. Madrid: Iustel, 2005. p. 90).</w:t>
      </w:r>
    </w:p>
  </w:footnote>
  <w:footnote w:id="8">
    <w:p w14:paraId="770A551B" w14:textId="0013F66E" w:rsidR="00E92F9A" w:rsidRPr="00383E8C" w:rsidRDefault="00E92F9A" w:rsidP="00383E8C">
      <w:pPr>
        <w:pStyle w:val="Textonotapie"/>
        <w:ind w:firstLine="709"/>
        <w:jc w:val="both"/>
        <w:rPr>
          <w:rFonts w:ascii="Arial" w:hAnsi="Arial" w:cs="Arial"/>
          <w:sz w:val="19"/>
          <w:szCs w:val="19"/>
          <w:lang w:val="es-ES"/>
        </w:rPr>
      </w:pPr>
      <w:r w:rsidRPr="00383E8C">
        <w:rPr>
          <w:rStyle w:val="Refdenotaalpie"/>
          <w:rFonts w:ascii="Arial" w:hAnsi="Arial" w:cs="Arial"/>
          <w:sz w:val="19"/>
          <w:szCs w:val="19"/>
        </w:rPr>
        <w:footnoteRef/>
      </w:r>
      <w:r w:rsidRPr="00383E8C">
        <w:rPr>
          <w:rFonts w:ascii="Arial" w:hAnsi="Arial" w:cs="Arial"/>
          <w:sz w:val="19"/>
          <w:szCs w:val="19"/>
        </w:rPr>
        <w:t xml:space="preserve"> https://www.colombiacompra.gov.co/sites/cce_public/files/cce_documents/cce_guia_esal.pdf</w:t>
      </w:r>
    </w:p>
  </w:footnote>
  <w:footnote w:id="9">
    <w:p w14:paraId="7334C2B1" w14:textId="4476AF6A" w:rsidR="00EC675C" w:rsidRPr="00383E8C" w:rsidRDefault="00EC675C" w:rsidP="00383E8C">
      <w:pPr>
        <w:pStyle w:val="Textonotapie"/>
        <w:ind w:firstLine="709"/>
        <w:jc w:val="both"/>
        <w:rPr>
          <w:rFonts w:ascii="Arial" w:hAnsi="Arial" w:cs="Arial"/>
          <w:sz w:val="19"/>
          <w:szCs w:val="19"/>
          <w:lang w:val="es-CO"/>
        </w:rPr>
      </w:pPr>
      <w:r w:rsidRPr="00383E8C">
        <w:rPr>
          <w:rStyle w:val="Refdenotaalpie"/>
          <w:rFonts w:ascii="Arial" w:hAnsi="Arial" w:cs="Arial"/>
          <w:sz w:val="19"/>
          <w:szCs w:val="19"/>
        </w:rPr>
        <w:footnoteRef/>
      </w:r>
      <w:r w:rsidRPr="00383E8C">
        <w:rPr>
          <w:rFonts w:ascii="Arial" w:hAnsi="Arial" w:cs="Arial"/>
          <w:sz w:val="19"/>
          <w:szCs w:val="19"/>
        </w:rPr>
        <w:t xml:space="preserve"> </w:t>
      </w:r>
      <w:r w:rsidR="006042C7" w:rsidRPr="00383E8C">
        <w:rPr>
          <w:rFonts w:ascii="Arial" w:hAnsi="Arial" w:cs="Arial"/>
          <w:sz w:val="19"/>
          <w:szCs w:val="19"/>
          <w:lang w:val="es-ES"/>
        </w:rPr>
        <w:t>Cfr. Sentencia C-374</w:t>
      </w:r>
      <w:r w:rsidR="00383E8C" w:rsidRPr="00383E8C">
        <w:rPr>
          <w:rFonts w:ascii="Arial" w:hAnsi="Arial" w:cs="Arial"/>
          <w:sz w:val="19"/>
          <w:szCs w:val="19"/>
          <w:lang w:val="es-ES"/>
        </w:rPr>
        <w:t xml:space="preserve"> de 19</w:t>
      </w:r>
      <w:r w:rsidR="006042C7" w:rsidRPr="00383E8C">
        <w:rPr>
          <w:rFonts w:ascii="Arial" w:hAnsi="Arial" w:cs="Arial"/>
          <w:sz w:val="19"/>
          <w:szCs w:val="19"/>
          <w:lang w:val="es-ES"/>
        </w:rPr>
        <w:t>94</w:t>
      </w:r>
      <w:r w:rsidR="00383E8C" w:rsidRPr="00383E8C">
        <w:rPr>
          <w:rFonts w:ascii="Arial" w:hAnsi="Arial" w:cs="Arial"/>
          <w:sz w:val="19"/>
          <w:szCs w:val="19"/>
          <w:lang w:val="es-ES"/>
        </w:rPr>
        <w:t xml:space="preserve">, </w:t>
      </w:r>
      <w:r w:rsidR="006042C7" w:rsidRPr="00383E8C">
        <w:rPr>
          <w:rFonts w:ascii="Arial" w:hAnsi="Arial" w:cs="Arial"/>
          <w:sz w:val="19"/>
          <w:szCs w:val="19"/>
          <w:lang w:val="es-ES"/>
        </w:rPr>
        <w:t>M.P. Dr. Jorge Arango Mejía.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770B" w14:textId="1A2BB94C" w:rsidR="006A59DE" w:rsidRDefault="006A59DE">
    <w:pPr>
      <w:pStyle w:val="Encabezado"/>
    </w:pPr>
    <w:r>
      <w:rPr>
        <w:noProof/>
        <w:lang w:val="es-ES_tradnl" w:eastAsia="es-ES_tradnl"/>
      </w:rPr>
      <w:drawing>
        <wp:anchor distT="0" distB="0" distL="114300" distR="114300" simplePos="0" relativeHeight="251658240" behindDoc="1" locked="0" layoutInCell="1" allowOverlap="1" wp14:anchorId="1A706351" wp14:editId="1A8F82B0">
          <wp:simplePos x="0" y="0"/>
          <wp:positionH relativeFrom="column">
            <wp:posOffset>4382135</wp:posOffset>
          </wp:positionH>
          <wp:positionV relativeFrom="paragraph">
            <wp:posOffset>483226</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0442D24"/>
    <w:multiLevelType w:val="multilevel"/>
    <w:tmpl w:val="B41AF78C"/>
    <w:lvl w:ilvl="0">
      <w:start w:val="1"/>
      <w:numFmt w:val="decimal"/>
      <w:lvlText w:val="%1."/>
      <w:lvlJc w:val="left"/>
      <w:pPr>
        <w:ind w:left="360" w:hanging="360"/>
      </w:pPr>
      <w:rPr>
        <w:color w:val="auto"/>
        <w:sz w:val="20"/>
        <w:szCs w:val="20"/>
      </w:rPr>
    </w:lvl>
    <w:lvl w:ilvl="1">
      <w:start w:val="1"/>
      <w:numFmt w:val="decimal"/>
      <w:lvlText w:val="3.%2."/>
      <w:lvlJc w:val="left"/>
      <w:pPr>
        <w:ind w:left="1004" w:hanging="720"/>
      </w:pPr>
      <w:rPr>
        <w:b/>
        <w:i w:val="0"/>
        <w:color w:val="000000"/>
      </w:rPr>
    </w:lvl>
    <w:lvl w:ilvl="2">
      <w:start w:val="1"/>
      <w:numFmt w:val="decimal"/>
      <w:lvlText w:val="4.1.%3."/>
      <w:lvlJc w:val="left"/>
      <w:pPr>
        <w:ind w:left="964" w:hanging="624"/>
      </w:pPr>
      <w:rPr>
        <w:b/>
        <w:i w:val="0"/>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E60FA7"/>
    <w:multiLevelType w:val="hybridMultilevel"/>
    <w:tmpl w:val="DD2C679A"/>
    <w:lvl w:ilvl="0" w:tplc="6010BCE2">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15:restartNumberingAfterBreak="0">
    <w:nsid w:val="1D712575"/>
    <w:multiLevelType w:val="multilevel"/>
    <w:tmpl w:val="7D6622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E6E3F"/>
    <w:multiLevelType w:val="hybridMultilevel"/>
    <w:tmpl w:val="854EA874"/>
    <w:lvl w:ilvl="0" w:tplc="1AD6EB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A53DDF"/>
    <w:multiLevelType w:val="multilevel"/>
    <w:tmpl w:val="A99C5180"/>
    <w:lvl w:ilvl="0">
      <w:start w:val="1"/>
      <w:numFmt w:val="decimal"/>
      <w:lvlText w:val="%1."/>
      <w:lvlJc w:val="left"/>
      <w:pPr>
        <w:ind w:left="660" w:hanging="360"/>
      </w:pPr>
      <w:rPr>
        <w:rFonts w:ascii="Arial" w:eastAsia="Arial" w:hAnsi="Arial" w:cs="Arial" w:hint="default"/>
        <w:b/>
        <w:bCs/>
        <w:color w:val="auto"/>
        <w:spacing w:val="-8"/>
        <w:w w:val="100"/>
        <w:sz w:val="22"/>
        <w:szCs w:val="22"/>
        <w:lang w:val="es-ES" w:eastAsia="en-US" w:bidi="ar-SA"/>
      </w:rPr>
    </w:lvl>
    <w:lvl w:ilvl="1">
      <w:start w:val="1"/>
      <w:numFmt w:val="decimal"/>
      <w:lvlText w:val="%1.%2"/>
      <w:lvlJc w:val="left"/>
      <w:pPr>
        <w:ind w:left="665" w:hanging="365"/>
      </w:pPr>
      <w:rPr>
        <w:rFonts w:ascii="Arial" w:eastAsia="Arial" w:hAnsi="Arial" w:cs="Arial" w:hint="default"/>
        <w:b/>
        <w:bCs/>
        <w:color w:val="auto"/>
        <w:spacing w:val="-1"/>
        <w:w w:val="100"/>
        <w:sz w:val="22"/>
        <w:szCs w:val="22"/>
        <w:lang w:val="es-ES" w:eastAsia="en-US" w:bidi="ar-SA"/>
      </w:rPr>
    </w:lvl>
    <w:lvl w:ilvl="2">
      <w:start w:val="1"/>
      <w:numFmt w:val="decimal"/>
      <w:lvlText w:val="%3)"/>
      <w:lvlJc w:val="left"/>
      <w:pPr>
        <w:ind w:left="1008" w:hanging="265"/>
      </w:pPr>
      <w:rPr>
        <w:rFonts w:ascii="Arial" w:eastAsia="Arial" w:hAnsi="Arial" w:cs="Arial" w:hint="default"/>
        <w:color w:val="auto"/>
        <w:w w:val="100"/>
        <w:sz w:val="21"/>
        <w:szCs w:val="21"/>
        <w:lang w:val="es-ES" w:eastAsia="en-US" w:bidi="ar-SA"/>
      </w:rPr>
    </w:lvl>
    <w:lvl w:ilvl="3">
      <w:numFmt w:val="bullet"/>
      <w:lvlText w:val="•"/>
      <w:lvlJc w:val="left"/>
      <w:pPr>
        <w:ind w:left="2853" w:hanging="265"/>
      </w:pPr>
      <w:rPr>
        <w:rFonts w:hint="default"/>
        <w:lang w:val="es-ES" w:eastAsia="en-US" w:bidi="ar-SA"/>
      </w:rPr>
    </w:lvl>
    <w:lvl w:ilvl="4">
      <w:numFmt w:val="bullet"/>
      <w:lvlText w:val="•"/>
      <w:lvlJc w:val="left"/>
      <w:pPr>
        <w:ind w:left="3780" w:hanging="265"/>
      </w:pPr>
      <w:rPr>
        <w:rFonts w:hint="default"/>
        <w:lang w:val="es-ES" w:eastAsia="en-US" w:bidi="ar-SA"/>
      </w:rPr>
    </w:lvl>
    <w:lvl w:ilvl="5">
      <w:numFmt w:val="bullet"/>
      <w:lvlText w:val="•"/>
      <w:lvlJc w:val="left"/>
      <w:pPr>
        <w:ind w:left="4706" w:hanging="265"/>
      </w:pPr>
      <w:rPr>
        <w:rFonts w:hint="default"/>
        <w:lang w:val="es-ES" w:eastAsia="en-US" w:bidi="ar-SA"/>
      </w:rPr>
    </w:lvl>
    <w:lvl w:ilvl="6">
      <w:numFmt w:val="bullet"/>
      <w:lvlText w:val="•"/>
      <w:lvlJc w:val="left"/>
      <w:pPr>
        <w:ind w:left="5633" w:hanging="265"/>
      </w:pPr>
      <w:rPr>
        <w:rFonts w:hint="default"/>
        <w:lang w:val="es-ES" w:eastAsia="en-US" w:bidi="ar-SA"/>
      </w:rPr>
    </w:lvl>
    <w:lvl w:ilvl="7">
      <w:numFmt w:val="bullet"/>
      <w:lvlText w:val="•"/>
      <w:lvlJc w:val="left"/>
      <w:pPr>
        <w:ind w:left="6560" w:hanging="265"/>
      </w:pPr>
      <w:rPr>
        <w:rFonts w:hint="default"/>
        <w:lang w:val="es-ES" w:eastAsia="en-US" w:bidi="ar-SA"/>
      </w:rPr>
    </w:lvl>
    <w:lvl w:ilvl="8">
      <w:numFmt w:val="bullet"/>
      <w:lvlText w:val="•"/>
      <w:lvlJc w:val="left"/>
      <w:pPr>
        <w:ind w:left="7486" w:hanging="265"/>
      </w:pPr>
      <w:rPr>
        <w:rFonts w:hint="default"/>
        <w:lang w:val="es-ES" w:eastAsia="en-US" w:bidi="ar-SA"/>
      </w:rPr>
    </w:lvl>
  </w:abstractNum>
  <w:abstractNum w:abstractNumId="6" w15:restartNumberingAfterBreak="0">
    <w:nsid w:val="2D96052C"/>
    <w:multiLevelType w:val="hybridMultilevel"/>
    <w:tmpl w:val="ACA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31E03"/>
    <w:multiLevelType w:val="multilevel"/>
    <w:tmpl w:val="288C11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D52C5D"/>
    <w:multiLevelType w:val="multilevel"/>
    <w:tmpl w:val="8318A86A"/>
    <w:lvl w:ilvl="0">
      <w:start w:val="1"/>
      <w:numFmt w:val="decimal"/>
      <w:lvlText w:val="%1."/>
      <w:lvlJc w:val="left"/>
      <w:pPr>
        <w:ind w:left="360" w:hanging="360"/>
      </w:pPr>
      <w:rPr>
        <w:b/>
        <w:color w:val="4E4D4D"/>
      </w:r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 w15:restartNumberingAfterBreak="0">
    <w:nsid w:val="424D462B"/>
    <w:multiLevelType w:val="multilevel"/>
    <w:tmpl w:val="24320A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23772D"/>
    <w:multiLevelType w:val="hybridMultilevel"/>
    <w:tmpl w:val="98544144"/>
    <w:lvl w:ilvl="0" w:tplc="E058334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1F2084E"/>
    <w:multiLevelType w:val="multilevel"/>
    <w:tmpl w:val="6C4A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6" w15:restartNumberingAfterBreak="0">
    <w:nsid w:val="5A9A2200"/>
    <w:multiLevelType w:val="multilevel"/>
    <w:tmpl w:val="614E70D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8FA17E7"/>
    <w:multiLevelType w:val="multilevel"/>
    <w:tmpl w:val="5768BC5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9" w15:restartNumberingAfterBreak="0">
    <w:nsid w:val="72FA202B"/>
    <w:multiLevelType w:val="hybridMultilevel"/>
    <w:tmpl w:val="510EE350"/>
    <w:lvl w:ilvl="0" w:tplc="EBCEC2A2">
      <w:start w:val="2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736A0777"/>
    <w:multiLevelType w:val="multilevel"/>
    <w:tmpl w:val="510EE350"/>
    <w:lvl w:ilvl="0">
      <w:start w:val="23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CCD0A55"/>
    <w:multiLevelType w:val="multilevel"/>
    <w:tmpl w:val="25463362"/>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9"/>
  </w:num>
  <w:num w:numId="2">
    <w:abstractNumId w:val="7"/>
  </w:num>
  <w:num w:numId="3">
    <w:abstractNumId w:val="12"/>
  </w:num>
  <w:num w:numId="4">
    <w:abstractNumId w:val="15"/>
  </w:num>
  <w:num w:numId="5">
    <w:abstractNumId w:val="18"/>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0"/>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6"/>
  </w:num>
  <w:num w:numId="1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3"/>
  </w:num>
  <w:num w:numId="19">
    <w:abstractNumId w:val="2"/>
  </w:num>
  <w:num w:numId="20">
    <w:abstractNumId w:val="20"/>
  </w:num>
  <w:num w:numId="21">
    <w:abstractNumId w:val="14"/>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proofState w:spelling="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0559"/>
    <w:rsid w:val="0000162E"/>
    <w:rsid w:val="00001A1C"/>
    <w:rsid w:val="00001FFD"/>
    <w:rsid w:val="00002027"/>
    <w:rsid w:val="000020FE"/>
    <w:rsid w:val="00003C5C"/>
    <w:rsid w:val="000040D7"/>
    <w:rsid w:val="000051AF"/>
    <w:rsid w:val="000059D3"/>
    <w:rsid w:val="0000600A"/>
    <w:rsid w:val="00006081"/>
    <w:rsid w:val="00007750"/>
    <w:rsid w:val="000077FD"/>
    <w:rsid w:val="00007E37"/>
    <w:rsid w:val="00010C40"/>
    <w:rsid w:val="000112B4"/>
    <w:rsid w:val="00011DCC"/>
    <w:rsid w:val="00012532"/>
    <w:rsid w:val="00012B9E"/>
    <w:rsid w:val="00012FBA"/>
    <w:rsid w:val="00013C6B"/>
    <w:rsid w:val="0001406B"/>
    <w:rsid w:val="000143F8"/>
    <w:rsid w:val="00014624"/>
    <w:rsid w:val="00015B44"/>
    <w:rsid w:val="00016081"/>
    <w:rsid w:val="000165AC"/>
    <w:rsid w:val="00016651"/>
    <w:rsid w:val="000171A2"/>
    <w:rsid w:val="00017B65"/>
    <w:rsid w:val="00020158"/>
    <w:rsid w:val="000207E0"/>
    <w:rsid w:val="00020F8F"/>
    <w:rsid w:val="00021A95"/>
    <w:rsid w:val="0002256F"/>
    <w:rsid w:val="00023DAE"/>
    <w:rsid w:val="00024896"/>
    <w:rsid w:val="000263F0"/>
    <w:rsid w:val="00026407"/>
    <w:rsid w:val="00026608"/>
    <w:rsid w:val="00027787"/>
    <w:rsid w:val="000315E1"/>
    <w:rsid w:val="0003236E"/>
    <w:rsid w:val="0003339A"/>
    <w:rsid w:val="000341F2"/>
    <w:rsid w:val="00036E03"/>
    <w:rsid w:val="0004094D"/>
    <w:rsid w:val="00041029"/>
    <w:rsid w:val="0004149B"/>
    <w:rsid w:val="00042961"/>
    <w:rsid w:val="00042C25"/>
    <w:rsid w:val="00042D03"/>
    <w:rsid w:val="00043086"/>
    <w:rsid w:val="000430A0"/>
    <w:rsid w:val="00043D3B"/>
    <w:rsid w:val="0004418C"/>
    <w:rsid w:val="00044204"/>
    <w:rsid w:val="000449D4"/>
    <w:rsid w:val="00046717"/>
    <w:rsid w:val="00046A63"/>
    <w:rsid w:val="00046C09"/>
    <w:rsid w:val="0004716A"/>
    <w:rsid w:val="00047385"/>
    <w:rsid w:val="000504DE"/>
    <w:rsid w:val="00051074"/>
    <w:rsid w:val="00052EA0"/>
    <w:rsid w:val="000536E3"/>
    <w:rsid w:val="0005474D"/>
    <w:rsid w:val="00055CB9"/>
    <w:rsid w:val="00055D3D"/>
    <w:rsid w:val="00056F66"/>
    <w:rsid w:val="0005702F"/>
    <w:rsid w:val="00061D06"/>
    <w:rsid w:val="000626D6"/>
    <w:rsid w:val="00062CDD"/>
    <w:rsid w:val="000640AF"/>
    <w:rsid w:val="00064CAE"/>
    <w:rsid w:val="00064DB7"/>
    <w:rsid w:val="00064FA7"/>
    <w:rsid w:val="00065195"/>
    <w:rsid w:val="000706B3"/>
    <w:rsid w:val="00070AF1"/>
    <w:rsid w:val="000714DE"/>
    <w:rsid w:val="0007254F"/>
    <w:rsid w:val="00073C30"/>
    <w:rsid w:val="00074305"/>
    <w:rsid w:val="00074B2A"/>
    <w:rsid w:val="00075B3E"/>
    <w:rsid w:val="00076456"/>
    <w:rsid w:val="0007779B"/>
    <w:rsid w:val="000777E7"/>
    <w:rsid w:val="0007790A"/>
    <w:rsid w:val="0008017B"/>
    <w:rsid w:val="00080ACD"/>
    <w:rsid w:val="000811ED"/>
    <w:rsid w:val="00081D62"/>
    <w:rsid w:val="00082B74"/>
    <w:rsid w:val="00083099"/>
    <w:rsid w:val="00083EDC"/>
    <w:rsid w:val="00084B97"/>
    <w:rsid w:val="0008510E"/>
    <w:rsid w:val="000856DE"/>
    <w:rsid w:val="00085F17"/>
    <w:rsid w:val="00085FB3"/>
    <w:rsid w:val="00086B2A"/>
    <w:rsid w:val="00086ED2"/>
    <w:rsid w:val="000914D6"/>
    <w:rsid w:val="00091569"/>
    <w:rsid w:val="000942EB"/>
    <w:rsid w:val="00095B70"/>
    <w:rsid w:val="0009617E"/>
    <w:rsid w:val="000979CF"/>
    <w:rsid w:val="000A03C8"/>
    <w:rsid w:val="000A0861"/>
    <w:rsid w:val="000A12DB"/>
    <w:rsid w:val="000A17C8"/>
    <w:rsid w:val="000A2128"/>
    <w:rsid w:val="000A362F"/>
    <w:rsid w:val="000A3B49"/>
    <w:rsid w:val="000A5AAF"/>
    <w:rsid w:val="000A5F97"/>
    <w:rsid w:val="000A648E"/>
    <w:rsid w:val="000A73BB"/>
    <w:rsid w:val="000A7EF4"/>
    <w:rsid w:val="000B0A15"/>
    <w:rsid w:val="000B103F"/>
    <w:rsid w:val="000B1437"/>
    <w:rsid w:val="000B1470"/>
    <w:rsid w:val="000B2B86"/>
    <w:rsid w:val="000B3051"/>
    <w:rsid w:val="000B419B"/>
    <w:rsid w:val="000B5781"/>
    <w:rsid w:val="000C0185"/>
    <w:rsid w:val="000C0F81"/>
    <w:rsid w:val="000C128D"/>
    <w:rsid w:val="000C17A3"/>
    <w:rsid w:val="000C1D4B"/>
    <w:rsid w:val="000C3B77"/>
    <w:rsid w:val="000C4F49"/>
    <w:rsid w:val="000C5861"/>
    <w:rsid w:val="000C639D"/>
    <w:rsid w:val="000C6DBC"/>
    <w:rsid w:val="000C6F79"/>
    <w:rsid w:val="000C7476"/>
    <w:rsid w:val="000C7711"/>
    <w:rsid w:val="000C7AA2"/>
    <w:rsid w:val="000D0023"/>
    <w:rsid w:val="000D0462"/>
    <w:rsid w:val="000D053D"/>
    <w:rsid w:val="000D0ED2"/>
    <w:rsid w:val="000D22B4"/>
    <w:rsid w:val="000D2563"/>
    <w:rsid w:val="000D25BF"/>
    <w:rsid w:val="000D3FDC"/>
    <w:rsid w:val="000D4E38"/>
    <w:rsid w:val="000D50DB"/>
    <w:rsid w:val="000D6288"/>
    <w:rsid w:val="000D7541"/>
    <w:rsid w:val="000D75E1"/>
    <w:rsid w:val="000E22CF"/>
    <w:rsid w:val="000E30AC"/>
    <w:rsid w:val="000E3B46"/>
    <w:rsid w:val="000E3E11"/>
    <w:rsid w:val="000E4596"/>
    <w:rsid w:val="000E5768"/>
    <w:rsid w:val="000E5843"/>
    <w:rsid w:val="000E6139"/>
    <w:rsid w:val="000E6BE1"/>
    <w:rsid w:val="000E7E0B"/>
    <w:rsid w:val="000F078A"/>
    <w:rsid w:val="000F122D"/>
    <w:rsid w:val="000F1450"/>
    <w:rsid w:val="000F14E8"/>
    <w:rsid w:val="000F1BBD"/>
    <w:rsid w:val="000F4403"/>
    <w:rsid w:val="000F4E17"/>
    <w:rsid w:val="000F6578"/>
    <w:rsid w:val="000F7E8F"/>
    <w:rsid w:val="001000FB"/>
    <w:rsid w:val="00100BF2"/>
    <w:rsid w:val="00102605"/>
    <w:rsid w:val="00103915"/>
    <w:rsid w:val="00103EA0"/>
    <w:rsid w:val="001051E5"/>
    <w:rsid w:val="00105A74"/>
    <w:rsid w:val="00105ACB"/>
    <w:rsid w:val="00105AEF"/>
    <w:rsid w:val="00106259"/>
    <w:rsid w:val="001078CE"/>
    <w:rsid w:val="00110F61"/>
    <w:rsid w:val="001111BD"/>
    <w:rsid w:val="0011165A"/>
    <w:rsid w:val="00111A6E"/>
    <w:rsid w:val="00112774"/>
    <w:rsid w:val="00112B2E"/>
    <w:rsid w:val="00113003"/>
    <w:rsid w:val="00113062"/>
    <w:rsid w:val="00113705"/>
    <w:rsid w:val="00113975"/>
    <w:rsid w:val="00113CFC"/>
    <w:rsid w:val="00113FEA"/>
    <w:rsid w:val="00114E9D"/>
    <w:rsid w:val="0011507B"/>
    <w:rsid w:val="001174C9"/>
    <w:rsid w:val="00117E69"/>
    <w:rsid w:val="00121103"/>
    <w:rsid w:val="00121BAB"/>
    <w:rsid w:val="00121E3C"/>
    <w:rsid w:val="00122B23"/>
    <w:rsid w:val="00122B7E"/>
    <w:rsid w:val="0012309A"/>
    <w:rsid w:val="00123FB5"/>
    <w:rsid w:val="0012400F"/>
    <w:rsid w:val="001249DC"/>
    <w:rsid w:val="0012572D"/>
    <w:rsid w:val="00125BED"/>
    <w:rsid w:val="00125C59"/>
    <w:rsid w:val="00125D4F"/>
    <w:rsid w:val="00127AF2"/>
    <w:rsid w:val="00127F6D"/>
    <w:rsid w:val="00130355"/>
    <w:rsid w:val="00131B5A"/>
    <w:rsid w:val="00132EFD"/>
    <w:rsid w:val="001335BA"/>
    <w:rsid w:val="00133AED"/>
    <w:rsid w:val="0013695C"/>
    <w:rsid w:val="00136BF7"/>
    <w:rsid w:val="001378B9"/>
    <w:rsid w:val="00137FFA"/>
    <w:rsid w:val="00140109"/>
    <w:rsid w:val="0014029B"/>
    <w:rsid w:val="00140A4F"/>
    <w:rsid w:val="001413AB"/>
    <w:rsid w:val="00144335"/>
    <w:rsid w:val="0014502F"/>
    <w:rsid w:val="00145282"/>
    <w:rsid w:val="001453B0"/>
    <w:rsid w:val="001454D9"/>
    <w:rsid w:val="00145D8E"/>
    <w:rsid w:val="00146083"/>
    <w:rsid w:val="001462F7"/>
    <w:rsid w:val="0014694D"/>
    <w:rsid w:val="00147FAC"/>
    <w:rsid w:val="00150005"/>
    <w:rsid w:val="00151B99"/>
    <w:rsid w:val="001521B2"/>
    <w:rsid w:val="00153491"/>
    <w:rsid w:val="0015361C"/>
    <w:rsid w:val="0015372F"/>
    <w:rsid w:val="00153BFB"/>
    <w:rsid w:val="00153E9E"/>
    <w:rsid w:val="0015407E"/>
    <w:rsid w:val="0015448E"/>
    <w:rsid w:val="00154A6F"/>
    <w:rsid w:val="00155D08"/>
    <w:rsid w:val="00156BE5"/>
    <w:rsid w:val="00157232"/>
    <w:rsid w:val="00160401"/>
    <w:rsid w:val="00161E62"/>
    <w:rsid w:val="00161F1C"/>
    <w:rsid w:val="0016200B"/>
    <w:rsid w:val="00163D7A"/>
    <w:rsid w:val="00164281"/>
    <w:rsid w:val="001676A9"/>
    <w:rsid w:val="00167A50"/>
    <w:rsid w:val="00167DF5"/>
    <w:rsid w:val="00170001"/>
    <w:rsid w:val="00172198"/>
    <w:rsid w:val="00172612"/>
    <w:rsid w:val="00172817"/>
    <w:rsid w:val="001734E3"/>
    <w:rsid w:val="001742BF"/>
    <w:rsid w:val="00175E49"/>
    <w:rsid w:val="00177B07"/>
    <w:rsid w:val="001805C1"/>
    <w:rsid w:val="001813AF"/>
    <w:rsid w:val="001829CD"/>
    <w:rsid w:val="00182F01"/>
    <w:rsid w:val="0018519B"/>
    <w:rsid w:val="00185AFE"/>
    <w:rsid w:val="00185E78"/>
    <w:rsid w:val="00187177"/>
    <w:rsid w:val="00187ABD"/>
    <w:rsid w:val="0019087A"/>
    <w:rsid w:val="00191C5A"/>
    <w:rsid w:val="00191CEB"/>
    <w:rsid w:val="00191E63"/>
    <w:rsid w:val="00192D68"/>
    <w:rsid w:val="0019388B"/>
    <w:rsid w:val="00194236"/>
    <w:rsid w:val="001946AE"/>
    <w:rsid w:val="001946D5"/>
    <w:rsid w:val="00194E8C"/>
    <w:rsid w:val="001962EC"/>
    <w:rsid w:val="001963DD"/>
    <w:rsid w:val="001966A4"/>
    <w:rsid w:val="00196DC9"/>
    <w:rsid w:val="001A0236"/>
    <w:rsid w:val="001A18D5"/>
    <w:rsid w:val="001A1D4A"/>
    <w:rsid w:val="001A3011"/>
    <w:rsid w:val="001A4DAF"/>
    <w:rsid w:val="001A66DF"/>
    <w:rsid w:val="001A7591"/>
    <w:rsid w:val="001A75B1"/>
    <w:rsid w:val="001B0444"/>
    <w:rsid w:val="001B096B"/>
    <w:rsid w:val="001B0F9F"/>
    <w:rsid w:val="001B123C"/>
    <w:rsid w:val="001B1A0D"/>
    <w:rsid w:val="001B1BF1"/>
    <w:rsid w:val="001B2456"/>
    <w:rsid w:val="001B449C"/>
    <w:rsid w:val="001B4AA2"/>
    <w:rsid w:val="001B4ADE"/>
    <w:rsid w:val="001B5E6C"/>
    <w:rsid w:val="001B5EF8"/>
    <w:rsid w:val="001C07C6"/>
    <w:rsid w:val="001C19CD"/>
    <w:rsid w:val="001C1E07"/>
    <w:rsid w:val="001C22D5"/>
    <w:rsid w:val="001C2515"/>
    <w:rsid w:val="001C26FB"/>
    <w:rsid w:val="001C33C1"/>
    <w:rsid w:val="001C3E30"/>
    <w:rsid w:val="001C3E5C"/>
    <w:rsid w:val="001C5072"/>
    <w:rsid w:val="001C5B2A"/>
    <w:rsid w:val="001C600B"/>
    <w:rsid w:val="001C6898"/>
    <w:rsid w:val="001C6DD8"/>
    <w:rsid w:val="001D068D"/>
    <w:rsid w:val="001D12D1"/>
    <w:rsid w:val="001D15DF"/>
    <w:rsid w:val="001D31A0"/>
    <w:rsid w:val="001D338E"/>
    <w:rsid w:val="001D56E9"/>
    <w:rsid w:val="001D796A"/>
    <w:rsid w:val="001D7A84"/>
    <w:rsid w:val="001E1CC4"/>
    <w:rsid w:val="001E1D38"/>
    <w:rsid w:val="001E4258"/>
    <w:rsid w:val="001E70FB"/>
    <w:rsid w:val="001E780A"/>
    <w:rsid w:val="001F0FA0"/>
    <w:rsid w:val="001F1349"/>
    <w:rsid w:val="001F1863"/>
    <w:rsid w:val="001F2356"/>
    <w:rsid w:val="001F2A68"/>
    <w:rsid w:val="001F4773"/>
    <w:rsid w:val="001F5008"/>
    <w:rsid w:val="001F56AA"/>
    <w:rsid w:val="001F58AA"/>
    <w:rsid w:val="001F5EF6"/>
    <w:rsid w:val="001F657F"/>
    <w:rsid w:val="001F6FB6"/>
    <w:rsid w:val="001F7978"/>
    <w:rsid w:val="001F7A0E"/>
    <w:rsid w:val="0020054E"/>
    <w:rsid w:val="00201F1E"/>
    <w:rsid w:val="0020299B"/>
    <w:rsid w:val="00202E44"/>
    <w:rsid w:val="002037AA"/>
    <w:rsid w:val="00203FE3"/>
    <w:rsid w:val="002042D8"/>
    <w:rsid w:val="00204515"/>
    <w:rsid w:val="002058D4"/>
    <w:rsid w:val="0020632A"/>
    <w:rsid w:val="002110EB"/>
    <w:rsid w:val="00211338"/>
    <w:rsid w:val="00211388"/>
    <w:rsid w:val="0021148C"/>
    <w:rsid w:val="00211694"/>
    <w:rsid w:val="0021201A"/>
    <w:rsid w:val="00213A1F"/>
    <w:rsid w:val="00213C63"/>
    <w:rsid w:val="00214502"/>
    <w:rsid w:val="00214741"/>
    <w:rsid w:val="0021539A"/>
    <w:rsid w:val="00215852"/>
    <w:rsid w:val="00215B8E"/>
    <w:rsid w:val="00216264"/>
    <w:rsid w:val="002176B6"/>
    <w:rsid w:val="0021792D"/>
    <w:rsid w:val="00217DB8"/>
    <w:rsid w:val="002221CE"/>
    <w:rsid w:val="00222BE8"/>
    <w:rsid w:val="00223085"/>
    <w:rsid w:val="00223102"/>
    <w:rsid w:val="002232CB"/>
    <w:rsid w:val="00226055"/>
    <w:rsid w:val="0022613F"/>
    <w:rsid w:val="00226236"/>
    <w:rsid w:val="002270C9"/>
    <w:rsid w:val="00227A8B"/>
    <w:rsid w:val="0023146B"/>
    <w:rsid w:val="002315A0"/>
    <w:rsid w:val="00231EC7"/>
    <w:rsid w:val="00232E15"/>
    <w:rsid w:val="00233079"/>
    <w:rsid w:val="0023382C"/>
    <w:rsid w:val="00233977"/>
    <w:rsid w:val="00233C58"/>
    <w:rsid w:val="00233C71"/>
    <w:rsid w:val="002345B6"/>
    <w:rsid w:val="00234B84"/>
    <w:rsid w:val="00237065"/>
    <w:rsid w:val="00237589"/>
    <w:rsid w:val="0023758D"/>
    <w:rsid w:val="0024019A"/>
    <w:rsid w:val="0024131D"/>
    <w:rsid w:val="00242D62"/>
    <w:rsid w:val="002431D7"/>
    <w:rsid w:val="00244058"/>
    <w:rsid w:val="00245718"/>
    <w:rsid w:val="00245E07"/>
    <w:rsid w:val="00247712"/>
    <w:rsid w:val="00250EC6"/>
    <w:rsid w:val="00251866"/>
    <w:rsid w:val="00251A9F"/>
    <w:rsid w:val="00252492"/>
    <w:rsid w:val="00252B35"/>
    <w:rsid w:val="0025316D"/>
    <w:rsid w:val="00253A02"/>
    <w:rsid w:val="00253B81"/>
    <w:rsid w:val="002554DE"/>
    <w:rsid w:val="00255E11"/>
    <w:rsid w:val="00256835"/>
    <w:rsid w:val="002569F0"/>
    <w:rsid w:val="00256ECF"/>
    <w:rsid w:val="00257730"/>
    <w:rsid w:val="00257999"/>
    <w:rsid w:val="002604AA"/>
    <w:rsid w:val="0026129B"/>
    <w:rsid w:val="00261560"/>
    <w:rsid w:val="00261715"/>
    <w:rsid w:val="00261CF9"/>
    <w:rsid w:val="00261EC0"/>
    <w:rsid w:val="00263101"/>
    <w:rsid w:val="00263201"/>
    <w:rsid w:val="00263A37"/>
    <w:rsid w:val="002653A6"/>
    <w:rsid w:val="002661F1"/>
    <w:rsid w:val="0026735A"/>
    <w:rsid w:val="002711A4"/>
    <w:rsid w:val="00271F13"/>
    <w:rsid w:val="00274DB5"/>
    <w:rsid w:val="00275BB1"/>
    <w:rsid w:val="00277933"/>
    <w:rsid w:val="00277F8D"/>
    <w:rsid w:val="00277FA7"/>
    <w:rsid w:val="00280F3D"/>
    <w:rsid w:val="0028106A"/>
    <w:rsid w:val="00281EB4"/>
    <w:rsid w:val="0028308E"/>
    <w:rsid w:val="002834E9"/>
    <w:rsid w:val="00283A52"/>
    <w:rsid w:val="00283C5E"/>
    <w:rsid w:val="00283E26"/>
    <w:rsid w:val="0028428F"/>
    <w:rsid w:val="00284CFC"/>
    <w:rsid w:val="00285832"/>
    <w:rsid w:val="00285969"/>
    <w:rsid w:val="0028663B"/>
    <w:rsid w:val="00286CEC"/>
    <w:rsid w:val="002871A9"/>
    <w:rsid w:val="0028780F"/>
    <w:rsid w:val="00290781"/>
    <w:rsid w:val="00291784"/>
    <w:rsid w:val="002929BB"/>
    <w:rsid w:val="00292F00"/>
    <w:rsid w:val="00294368"/>
    <w:rsid w:val="0029624A"/>
    <w:rsid w:val="00296922"/>
    <w:rsid w:val="00297098"/>
    <w:rsid w:val="002A05D4"/>
    <w:rsid w:val="002A0E60"/>
    <w:rsid w:val="002A1A58"/>
    <w:rsid w:val="002A1B02"/>
    <w:rsid w:val="002A1C53"/>
    <w:rsid w:val="002A28FC"/>
    <w:rsid w:val="002A2B44"/>
    <w:rsid w:val="002A2EA5"/>
    <w:rsid w:val="002A3D94"/>
    <w:rsid w:val="002A4736"/>
    <w:rsid w:val="002A4B1C"/>
    <w:rsid w:val="002A6AFB"/>
    <w:rsid w:val="002A733D"/>
    <w:rsid w:val="002A7E5C"/>
    <w:rsid w:val="002A7F6D"/>
    <w:rsid w:val="002B1342"/>
    <w:rsid w:val="002B27C8"/>
    <w:rsid w:val="002B2A7F"/>
    <w:rsid w:val="002B330B"/>
    <w:rsid w:val="002B438C"/>
    <w:rsid w:val="002B48DB"/>
    <w:rsid w:val="002B4B34"/>
    <w:rsid w:val="002B541A"/>
    <w:rsid w:val="002B6407"/>
    <w:rsid w:val="002B6416"/>
    <w:rsid w:val="002B6459"/>
    <w:rsid w:val="002B73B0"/>
    <w:rsid w:val="002C24B4"/>
    <w:rsid w:val="002C2B3A"/>
    <w:rsid w:val="002C2B87"/>
    <w:rsid w:val="002C3CF4"/>
    <w:rsid w:val="002C441A"/>
    <w:rsid w:val="002C4A73"/>
    <w:rsid w:val="002C4B84"/>
    <w:rsid w:val="002C4C0C"/>
    <w:rsid w:val="002C5016"/>
    <w:rsid w:val="002C5C2F"/>
    <w:rsid w:val="002C5D0F"/>
    <w:rsid w:val="002C60B9"/>
    <w:rsid w:val="002C6F77"/>
    <w:rsid w:val="002C704D"/>
    <w:rsid w:val="002D0845"/>
    <w:rsid w:val="002D0933"/>
    <w:rsid w:val="002D1A9B"/>
    <w:rsid w:val="002D22C5"/>
    <w:rsid w:val="002D302A"/>
    <w:rsid w:val="002D37C1"/>
    <w:rsid w:val="002D444B"/>
    <w:rsid w:val="002D4A45"/>
    <w:rsid w:val="002D4B42"/>
    <w:rsid w:val="002D5A1B"/>
    <w:rsid w:val="002D65BC"/>
    <w:rsid w:val="002E055C"/>
    <w:rsid w:val="002E1050"/>
    <w:rsid w:val="002E18E5"/>
    <w:rsid w:val="002E2D08"/>
    <w:rsid w:val="002E2D7D"/>
    <w:rsid w:val="002E3D76"/>
    <w:rsid w:val="002E40A1"/>
    <w:rsid w:val="002E48EC"/>
    <w:rsid w:val="002E4B44"/>
    <w:rsid w:val="002E4ECB"/>
    <w:rsid w:val="002E7847"/>
    <w:rsid w:val="002F240B"/>
    <w:rsid w:val="002F2F50"/>
    <w:rsid w:val="002F3601"/>
    <w:rsid w:val="002F45F6"/>
    <w:rsid w:val="002F7B66"/>
    <w:rsid w:val="00300CB4"/>
    <w:rsid w:val="00300E24"/>
    <w:rsid w:val="003033BA"/>
    <w:rsid w:val="003043A3"/>
    <w:rsid w:val="00304934"/>
    <w:rsid w:val="00304BD4"/>
    <w:rsid w:val="0030500A"/>
    <w:rsid w:val="003052EB"/>
    <w:rsid w:val="00305FCB"/>
    <w:rsid w:val="003063C3"/>
    <w:rsid w:val="00306B44"/>
    <w:rsid w:val="0031088E"/>
    <w:rsid w:val="00310D01"/>
    <w:rsid w:val="00311376"/>
    <w:rsid w:val="00311A1F"/>
    <w:rsid w:val="00311B47"/>
    <w:rsid w:val="00311D52"/>
    <w:rsid w:val="00312190"/>
    <w:rsid w:val="003125E0"/>
    <w:rsid w:val="0031271D"/>
    <w:rsid w:val="00313447"/>
    <w:rsid w:val="00313748"/>
    <w:rsid w:val="00315457"/>
    <w:rsid w:val="003161A4"/>
    <w:rsid w:val="00316955"/>
    <w:rsid w:val="0031720A"/>
    <w:rsid w:val="0031749B"/>
    <w:rsid w:val="00317C9D"/>
    <w:rsid w:val="00317CD2"/>
    <w:rsid w:val="0032078D"/>
    <w:rsid w:val="0032137B"/>
    <w:rsid w:val="00321FA3"/>
    <w:rsid w:val="003227D3"/>
    <w:rsid w:val="00322937"/>
    <w:rsid w:val="00323881"/>
    <w:rsid w:val="00325D98"/>
    <w:rsid w:val="0032682A"/>
    <w:rsid w:val="00327A5C"/>
    <w:rsid w:val="0033092C"/>
    <w:rsid w:val="0033122A"/>
    <w:rsid w:val="003315AC"/>
    <w:rsid w:val="00331932"/>
    <w:rsid w:val="00333A88"/>
    <w:rsid w:val="00335B15"/>
    <w:rsid w:val="00335B21"/>
    <w:rsid w:val="00336104"/>
    <w:rsid w:val="00336729"/>
    <w:rsid w:val="0033726D"/>
    <w:rsid w:val="00337CA8"/>
    <w:rsid w:val="0034177C"/>
    <w:rsid w:val="00342345"/>
    <w:rsid w:val="00342C27"/>
    <w:rsid w:val="003430C8"/>
    <w:rsid w:val="003432C8"/>
    <w:rsid w:val="003434B3"/>
    <w:rsid w:val="00343536"/>
    <w:rsid w:val="00343EFB"/>
    <w:rsid w:val="00344760"/>
    <w:rsid w:val="0034680A"/>
    <w:rsid w:val="00346C62"/>
    <w:rsid w:val="003474FC"/>
    <w:rsid w:val="0034778E"/>
    <w:rsid w:val="003501E2"/>
    <w:rsid w:val="00351E10"/>
    <w:rsid w:val="003536F6"/>
    <w:rsid w:val="00353DD5"/>
    <w:rsid w:val="00355131"/>
    <w:rsid w:val="00361A59"/>
    <w:rsid w:val="00363348"/>
    <w:rsid w:val="00363857"/>
    <w:rsid w:val="00363D59"/>
    <w:rsid w:val="003640F7"/>
    <w:rsid w:val="00365D3A"/>
    <w:rsid w:val="003664FF"/>
    <w:rsid w:val="00366BD2"/>
    <w:rsid w:val="003670B8"/>
    <w:rsid w:val="003706F2"/>
    <w:rsid w:val="0037124F"/>
    <w:rsid w:val="0037401C"/>
    <w:rsid w:val="0037507B"/>
    <w:rsid w:val="00375C7C"/>
    <w:rsid w:val="003767B1"/>
    <w:rsid w:val="00377135"/>
    <w:rsid w:val="00380272"/>
    <w:rsid w:val="0038152A"/>
    <w:rsid w:val="00382BAD"/>
    <w:rsid w:val="00383E8C"/>
    <w:rsid w:val="00384DF1"/>
    <w:rsid w:val="00384FF3"/>
    <w:rsid w:val="00386456"/>
    <w:rsid w:val="003865A9"/>
    <w:rsid w:val="00390F32"/>
    <w:rsid w:val="0039135E"/>
    <w:rsid w:val="0039319C"/>
    <w:rsid w:val="00393CAE"/>
    <w:rsid w:val="003945F4"/>
    <w:rsid w:val="00394EB5"/>
    <w:rsid w:val="003953B4"/>
    <w:rsid w:val="0039615F"/>
    <w:rsid w:val="00396307"/>
    <w:rsid w:val="00396A29"/>
    <w:rsid w:val="00397FF0"/>
    <w:rsid w:val="003A0878"/>
    <w:rsid w:val="003A1D25"/>
    <w:rsid w:val="003A2447"/>
    <w:rsid w:val="003A2AA1"/>
    <w:rsid w:val="003A31A5"/>
    <w:rsid w:val="003A3851"/>
    <w:rsid w:val="003A39DD"/>
    <w:rsid w:val="003A4A8E"/>
    <w:rsid w:val="003A563C"/>
    <w:rsid w:val="003A581E"/>
    <w:rsid w:val="003A6160"/>
    <w:rsid w:val="003A65A5"/>
    <w:rsid w:val="003A72F5"/>
    <w:rsid w:val="003A78E5"/>
    <w:rsid w:val="003B0341"/>
    <w:rsid w:val="003B1E57"/>
    <w:rsid w:val="003B534F"/>
    <w:rsid w:val="003B5391"/>
    <w:rsid w:val="003B65D7"/>
    <w:rsid w:val="003B6BD4"/>
    <w:rsid w:val="003B6F4D"/>
    <w:rsid w:val="003B6FE7"/>
    <w:rsid w:val="003C0D1F"/>
    <w:rsid w:val="003C116A"/>
    <w:rsid w:val="003C1AF4"/>
    <w:rsid w:val="003C1CB8"/>
    <w:rsid w:val="003C2550"/>
    <w:rsid w:val="003C287F"/>
    <w:rsid w:val="003C375A"/>
    <w:rsid w:val="003C4D9F"/>
    <w:rsid w:val="003C622C"/>
    <w:rsid w:val="003C73C7"/>
    <w:rsid w:val="003D050B"/>
    <w:rsid w:val="003D0B98"/>
    <w:rsid w:val="003D0C3C"/>
    <w:rsid w:val="003D0DE5"/>
    <w:rsid w:val="003D1351"/>
    <w:rsid w:val="003D21C1"/>
    <w:rsid w:val="003D3B2E"/>
    <w:rsid w:val="003D484D"/>
    <w:rsid w:val="003D49CB"/>
    <w:rsid w:val="003D6B8F"/>
    <w:rsid w:val="003D7566"/>
    <w:rsid w:val="003E09BB"/>
    <w:rsid w:val="003E0BD0"/>
    <w:rsid w:val="003E159D"/>
    <w:rsid w:val="003E2F55"/>
    <w:rsid w:val="003E34DB"/>
    <w:rsid w:val="003E3833"/>
    <w:rsid w:val="003E3AF9"/>
    <w:rsid w:val="003E4A70"/>
    <w:rsid w:val="003E4C48"/>
    <w:rsid w:val="003E4CD9"/>
    <w:rsid w:val="003E54B3"/>
    <w:rsid w:val="003E5780"/>
    <w:rsid w:val="003E5B9F"/>
    <w:rsid w:val="003E6072"/>
    <w:rsid w:val="003E6AB6"/>
    <w:rsid w:val="003E6E0B"/>
    <w:rsid w:val="003E71CD"/>
    <w:rsid w:val="003E78DA"/>
    <w:rsid w:val="003E7A8B"/>
    <w:rsid w:val="003F300D"/>
    <w:rsid w:val="003F391F"/>
    <w:rsid w:val="003F4599"/>
    <w:rsid w:val="003F45E1"/>
    <w:rsid w:val="003F4F6C"/>
    <w:rsid w:val="003F559E"/>
    <w:rsid w:val="003F6181"/>
    <w:rsid w:val="003F7343"/>
    <w:rsid w:val="00400002"/>
    <w:rsid w:val="00400054"/>
    <w:rsid w:val="004016A3"/>
    <w:rsid w:val="00401B31"/>
    <w:rsid w:val="0040202B"/>
    <w:rsid w:val="00402D67"/>
    <w:rsid w:val="00402DE1"/>
    <w:rsid w:val="00402EEB"/>
    <w:rsid w:val="004037C2"/>
    <w:rsid w:val="00404041"/>
    <w:rsid w:val="00404B43"/>
    <w:rsid w:val="00404C61"/>
    <w:rsid w:val="00405487"/>
    <w:rsid w:val="0040602B"/>
    <w:rsid w:val="00407A7A"/>
    <w:rsid w:val="00407ABC"/>
    <w:rsid w:val="00407F1E"/>
    <w:rsid w:val="00410A88"/>
    <w:rsid w:val="00411317"/>
    <w:rsid w:val="00411A9E"/>
    <w:rsid w:val="0041259F"/>
    <w:rsid w:val="00412B4D"/>
    <w:rsid w:val="00412C51"/>
    <w:rsid w:val="00413262"/>
    <w:rsid w:val="0041329C"/>
    <w:rsid w:val="00413FFA"/>
    <w:rsid w:val="00414D9A"/>
    <w:rsid w:val="00415194"/>
    <w:rsid w:val="00415B88"/>
    <w:rsid w:val="00415D32"/>
    <w:rsid w:val="004160A2"/>
    <w:rsid w:val="004170D7"/>
    <w:rsid w:val="004177A6"/>
    <w:rsid w:val="00417EFD"/>
    <w:rsid w:val="004200EE"/>
    <w:rsid w:val="004209D2"/>
    <w:rsid w:val="00421BD2"/>
    <w:rsid w:val="00421E00"/>
    <w:rsid w:val="00421FCB"/>
    <w:rsid w:val="00422DCA"/>
    <w:rsid w:val="00423F9F"/>
    <w:rsid w:val="00425C43"/>
    <w:rsid w:val="004273FA"/>
    <w:rsid w:val="00430186"/>
    <w:rsid w:val="0043269A"/>
    <w:rsid w:val="00432F61"/>
    <w:rsid w:val="004333C2"/>
    <w:rsid w:val="00433D0E"/>
    <w:rsid w:val="00434787"/>
    <w:rsid w:val="0043683F"/>
    <w:rsid w:val="00436F40"/>
    <w:rsid w:val="00440DB0"/>
    <w:rsid w:val="00440FAD"/>
    <w:rsid w:val="004420AB"/>
    <w:rsid w:val="004422D6"/>
    <w:rsid w:val="00442D4D"/>
    <w:rsid w:val="00443B55"/>
    <w:rsid w:val="00443D27"/>
    <w:rsid w:val="00446037"/>
    <w:rsid w:val="0044642F"/>
    <w:rsid w:val="0044772C"/>
    <w:rsid w:val="00451A52"/>
    <w:rsid w:val="0045271D"/>
    <w:rsid w:val="00452755"/>
    <w:rsid w:val="00452803"/>
    <w:rsid w:val="004529C6"/>
    <w:rsid w:val="00452EAD"/>
    <w:rsid w:val="004534D1"/>
    <w:rsid w:val="00454548"/>
    <w:rsid w:val="00454717"/>
    <w:rsid w:val="004552EE"/>
    <w:rsid w:val="00455354"/>
    <w:rsid w:val="0045558D"/>
    <w:rsid w:val="00456970"/>
    <w:rsid w:val="00456BB1"/>
    <w:rsid w:val="00456DDB"/>
    <w:rsid w:val="00460915"/>
    <w:rsid w:val="00460946"/>
    <w:rsid w:val="00461E97"/>
    <w:rsid w:val="0046268F"/>
    <w:rsid w:val="00462B10"/>
    <w:rsid w:val="00462C04"/>
    <w:rsid w:val="0046320A"/>
    <w:rsid w:val="004638E2"/>
    <w:rsid w:val="00464030"/>
    <w:rsid w:val="004647F8"/>
    <w:rsid w:val="004647FB"/>
    <w:rsid w:val="00465677"/>
    <w:rsid w:val="00466616"/>
    <w:rsid w:val="00466A0C"/>
    <w:rsid w:val="00470A6A"/>
    <w:rsid w:val="00470D92"/>
    <w:rsid w:val="00471B5B"/>
    <w:rsid w:val="00471DF7"/>
    <w:rsid w:val="004734CF"/>
    <w:rsid w:val="00475C5A"/>
    <w:rsid w:val="00475C9C"/>
    <w:rsid w:val="0047676B"/>
    <w:rsid w:val="0047773C"/>
    <w:rsid w:val="00477C5F"/>
    <w:rsid w:val="00480050"/>
    <w:rsid w:val="004808DE"/>
    <w:rsid w:val="00481AC4"/>
    <w:rsid w:val="00481DC1"/>
    <w:rsid w:val="00482507"/>
    <w:rsid w:val="0048268A"/>
    <w:rsid w:val="004835CA"/>
    <w:rsid w:val="004836F8"/>
    <w:rsid w:val="004836FE"/>
    <w:rsid w:val="00484F0F"/>
    <w:rsid w:val="00485D02"/>
    <w:rsid w:val="004861B4"/>
    <w:rsid w:val="00486BD0"/>
    <w:rsid w:val="00486D00"/>
    <w:rsid w:val="00487263"/>
    <w:rsid w:val="0048734F"/>
    <w:rsid w:val="0049029D"/>
    <w:rsid w:val="0049114B"/>
    <w:rsid w:val="004912A8"/>
    <w:rsid w:val="0049241A"/>
    <w:rsid w:val="00492C1F"/>
    <w:rsid w:val="00492E4C"/>
    <w:rsid w:val="00493E04"/>
    <w:rsid w:val="004940E3"/>
    <w:rsid w:val="0049530F"/>
    <w:rsid w:val="00496664"/>
    <w:rsid w:val="00496786"/>
    <w:rsid w:val="0049695B"/>
    <w:rsid w:val="00496D8F"/>
    <w:rsid w:val="00497463"/>
    <w:rsid w:val="004A054C"/>
    <w:rsid w:val="004A08D1"/>
    <w:rsid w:val="004A168E"/>
    <w:rsid w:val="004A16C1"/>
    <w:rsid w:val="004A1CE2"/>
    <w:rsid w:val="004A34D2"/>
    <w:rsid w:val="004A4301"/>
    <w:rsid w:val="004A59B7"/>
    <w:rsid w:val="004A623B"/>
    <w:rsid w:val="004A6A04"/>
    <w:rsid w:val="004A6A52"/>
    <w:rsid w:val="004B0F0B"/>
    <w:rsid w:val="004B1BA6"/>
    <w:rsid w:val="004B2197"/>
    <w:rsid w:val="004B298A"/>
    <w:rsid w:val="004B44F2"/>
    <w:rsid w:val="004B578D"/>
    <w:rsid w:val="004B5BE7"/>
    <w:rsid w:val="004B5E2D"/>
    <w:rsid w:val="004B6C07"/>
    <w:rsid w:val="004B788E"/>
    <w:rsid w:val="004B7E5D"/>
    <w:rsid w:val="004C22F7"/>
    <w:rsid w:val="004C2B27"/>
    <w:rsid w:val="004C3929"/>
    <w:rsid w:val="004C4E4A"/>
    <w:rsid w:val="004C5EF0"/>
    <w:rsid w:val="004C7226"/>
    <w:rsid w:val="004C7D70"/>
    <w:rsid w:val="004D02F9"/>
    <w:rsid w:val="004D03FE"/>
    <w:rsid w:val="004D0446"/>
    <w:rsid w:val="004D0F95"/>
    <w:rsid w:val="004D31F0"/>
    <w:rsid w:val="004D36AF"/>
    <w:rsid w:val="004D3BD1"/>
    <w:rsid w:val="004D4BA1"/>
    <w:rsid w:val="004D584D"/>
    <w:rsid w:val="004D6826"/>
    <w:rsid w:val="004D7140"/>
    <w:rsid w:val="004E023F"/>
    <w:rsid w:val="004E0742"/>
    <w:rsid w:val="004E0C64"/>
    <w:rsid w:val="004E0F6B"/>
    <w:rsid w:val="004E1545"/>
    <w:rsid w:val="004E1F1C"/>
    <w:rsid w:val="004E2A35"/>
    <w:rsid w:val="004E40CE"/>
    <w:rsid w:val="004E5736"/>
    <w:rsid w:val="004E5B36"/>
    <w:rsid w:val="004E6045"/>
    <w:rsid w:val="004E6F43"/>
    <w:rsid w:val="004E7200"/>
    <w:rsid w:val="004F0960"/>
    <w:rsid w:val="004F0A5C"/>
    <w:rsid w:val="004F163F"/>
    <w:rsid w:val="004F18A0"/>
    <w:rsid w:val="004F1A08"/>
    <w:rsid w:val="004F3764"/>
    <w:rsid w:val="004F3EEF"/>
    <w:rsid w:val="004F5930"/>
    <w:rsid w:val="004F5F0C"/>
    <w:rsid w:val="004F6121"/>
    <w:rsid w:val="004F6161"/>
    <w:rsid w:val="004F66BC"/>
    <w:rsid w:val="004F6C26"/>
    <w:rsid w:val="004F7AC9"/>
    <w:rsid w:val="0050062F"/>
    <w:rsid w:val="00501D3D"/>
    <w:rsid w:val="0050284E"/>
    <w:rsid w:val="005060EF"/>
    <w:rsid w:val="005075CA"/>
    <w:rsid w:val="0051074C"/>
    <w:rsid w:val="00510DE9"/>
    <w:rsid w:val="005111E2"/>
    <w:rsid w:val="00512C4F"/>
    <w:rsid w:val="00513042"/>
    <w:rsid w:val="00513399"/>
    <w:rsid w:val="00513AF2"/>
    <w:rsid w:val="00514575"/>
    <w:rsid w:val="00514C03"/>
    <w:rsid w:val="00514D67"/>
    <w:rsid w:val="00515515"/>
    <w:rsid w:val="00516C5B"/>
    <w:rsid w:val="00517612"/>
    <w:rsid w:val="00517CFB"/>
    <w:rsid w:val="00520899"/>
    <w:rsid w:val="00520922"/>
    <w:rsid w:val="005209FC"/>
    <w:rsid w:val="00523903"/>
    <w:rsid w:val="005239B6"/>
    <w:rsid w:val="00523C45"/>
    <w:rsid w:val="005246E7"/>
    <w:rsid w:val="00524FD2"/>
    <w:rsid w:val="00525621"/>
    <w:rsid w:val="00526431"/>
    <w:rsid w:val="00527E57"/>
    <w:rsid w:val="00530405"/>
    <w:rsid w:val="00530522"/>
    <w:rsid w:val="005305E5"/>
    <w:rsid w:val="00530F38"/>
    <w:rsid w:val="00531F26"/>
    <w:rsid w:val="0053277C"/>
    <w:rsid w:val="005327C0"/>
    <w:rsid w:val="00533101"/>
    <w:rsid w:val="00533CA9"/>
    <w:rsid w:val="00534EFB"/>
    <w:rsid w:val="00534F60"/>
    <w:rsid w:val="00536053"/>
    <w:rsid w:val="005369E6"/>
    <w:rsid w:val="005371AC"/>
    <w:rsid w:val="00537672"/>
    <w:rsid w:val="0053772F"/>
    <w:rsid w:val="00537B77"/>
    <w:rsid w:val="0054275A"/>
    <w:rsid w:val="00542BD7"/>
    <w:rsid w:val="00543084"/>
    <w:rsid w:val="0054413A"/>
    <w:rsid w:val="00544288"/>
    <w:rsid w:val="005446BB"/>
    <w:rsid w:val="00545E30"/>
    <w:rsid w:val="00546C9B"/>
    <w:rsid w:val="00547BF6"/>
    <w:rsid w:val="00551598"/>
    <w:rsid w:val="0055162B"/>
    <w:rsid w:val="00551D68"/>
    <w:rsid w:val="00552B3E"/>
    <w:rsid w:val="005551AA"/>
    <w:rsid w:val="005564CA"/>
    <w:rsid w:val="005568EA"/>
    <w:rsid w:val="00557140"/>
    <w:rsid w:val="00560C87"/>
    <w:rsid w:val="00560F51"/>
    <w:rsid w:val="00561249"/>
    <w:rsid w:val="0056182B"/>
    <w:rsid w:val="00561AF3"/>
    <w:rsid w:val="00561E0B"/>
    <w:rsid w:val="00562141"/>
    <w:rsid w:val="00564704"/>
    <w:rsid w:val="00564712"/>
    <w:rsid w:val="005657A8"/>
    <w:rsid w:val="00566866"/>
    <w:rsid w:val="00567AB8"/>
    <w:rsid w:val="00570A26"/>
    <w:rsid w:val="00572539"/>
    <w:rsid w:val="0057337D"/>
    <w:rsid w:val="00573504"/>
    <w:rsid w:val="00574708"/>
    <w:rsid w:val="00574D81"/>
    <w:rsid w:val="005756AA"/>
    <w:rsid w:val="0057696F"/>
    <w:rsid w:val="0058040C"/>
    <w:rsid w:val="00580D6D"/>
    <w:rsid w:val="005813DE"/>
    <w:rsid w:val="00581796"/>
    <w:rsid w:val="00581B45"/>
    <w:rsid w:val="00582480"/>
    <w:rsid w:val="0058290E"/>
    <w:rsid w:val="00582CAB"/>
    <w:rsid w:val="0058375E"/>
    <w:rsid w:val="00584233"/>
    <w:rsid w:val="005842D0"/>
    <w:rsid w:val="005855AE"/>
    <w:rsid w:val="00585CA8"/>
    <w:rsid w:val="00586412"/>
    <w:rsid w:val="005864B9"/>
    <w:rsid w:val="005866C4"/>
    <w:rsid w:val="00591C03"/>
    <w:rsid w:val="00591E2A"/>
    <w:rsid w:val="005923C4"/>
    <w:rsid w:val="00593F75"/>
    <w:rsid w:val="005940A0"/>
    <w:rsid w:val="00596AF7"/>
    <w:rsid w:val="00596CCE"/>
    <w:rsid w:val="005A1976"/>
    <w:rsid w:val="005A2120"/>
    <w:rsid w:val="005A2501"/>
    <w:rsid w:val="005A2C80"/>
    <w:rsid w:val="005A3066"/>
    <w:rsid w:val="005A3B35"/>
    <w:rsid w:val="005A3C4B"/>
    <w:rsid w:val="005A3E5A"/>
    <w:rsid w:val="005A43F3"/>
    <w:rsid w:val="005A496F"/>
    <w:rsid w:val="005A4A56"/>
    <w:rsid w:val="005A5A3D"/>
    <w:rsid w:val="005A6035"/>
    <w:rsid w:val="005A6B75"/>
    <w:rsid w:val="005A6E00"/>
    <w:rsid w:val="005A718A"/>
    <w:rsid w:val="005B12B2"/>
    <w:rsid w:val="005B143B"/>
    <w:rsid w:val="005B1E45"/>
    <w:rsid w:val="005B21C4"/>
    <w:rsid w:val="005B2A28"/>
    <w:rsid w:val="005B3621"/>
    <w:rsid w:val="005B4948"/>
    <w:rsid w:val="005B501D"/>
    <w:rsid w:val="005B54CC"/>
    <w:rsid w:val="005B74AD"/>
    <w:rsid w:val="005B7E96"/>
    <w:rsid w:val="005C0429"/>
    <w:rsid w:val="005C084F"/>
    <w:rsid w:val="005C0EE9"/>
    <w:rsid w:val="005C1954"/>
    <w:rsid w:val="005C1C0B"/>
    <w:rsid w:val="005C2011"/>
    <w:rsid w:val="005C3EA3"/>
    <w:rsid w:val="005C5011"/>
    <w:rsid w:val="005C529E"/>
    <w:rsid w:val="005C57BA"/>
    <w:rsid w:val="005C5C52"/>
    <w:rsid w:val="005C5D3D"/>
    <w:rsid w:val="005C7F3E"/>
    <w:rsid w:val="005D2044"/>
    <w:rsid w:val="005D2EB2"/>
    <w:rsid w:val="005D2F48"/>
    <w:rsid w:val="005D464B"/>
    <w:rsid w:val="005D466F"/>
    <w:rsid w:val="005D49F0"/>
    <w:rsid w:val="005D51FA"/>
    <w:rsid w:val="005D53E8"/>
    <w:rsid w:val="005D5A9D"/>
    <w:rsid w:val="005D6651"/>
    <w:rsid w:val="005D691D"/>
    <w:rsid w:val="005D6A72"/>
    <w:rsid w:val="005D791B"/>
    <w:rsid w:val="005D7CF2"/>
    <w:rsid w:val="005D7F92"/>
    <w:rsid w:val="005E0D7B"/>
    <w:rsid w:val="005E1595"/>
    <w:rsid w:val="005E1F1D"/>
    <w:rsid w:val="005E273D"/>
    <w:rsid w:val="005E3278"/>
    <w:rsid w:val="005F305B"/>
    <w:rsid w:val="005F3361"/>
    <w:rsid w:val="005F3B47"/>
    <w:rsid w:val="005F4481"/>
    <w:rsid w:val="005F4A58"/>
    <w:rsid w:val="005F5888"/>
    <w:rsid w:val="005F6CE2"/>
    <w:rsid w:val="005F72E9"/>
    <w:rsid w:val="00600473"/>
    <w:rsid w:val="006013C9"/>
    <w:rsid w:val="00602B45"/>
    <w:rsid w:val="006035F5"/>
    <w:rsid w:val="00603685"/>
    <w:rsid w:val="00603CC2"/>
    <w:rsid w:val="006042C7"/>
    <w:rsid w:val="006047D1"/>
    <w:rsid w:val="00604A55"/>
    <w:rsid w:val="00605AC3"/>
    <w:rsid w:val="00606908"/>
    <w:rsid w:val="00607996"/>
    <w:rsid w:val="00607A37"/>
    <w:rsid w:val="00607D4C"/>
    <w:rsid w:val="0061085E"/>
    <w:rsid w:val="00611398"/>
    <w:rsid w:val="00612322"/>
    <w:rsid w:val="00613191"/>
    <w:rsid w:val="006133F9"/>
    <w:rsid w:val="006134B3"/>
    <w:rsid w:val="00613DE1"/>
    <w:rsid w:val="0061401F"/>
    <w:rsid w:val="00614166"/>
    <w:rsid w:val="00614817"/>
    <w:rsid w:val="006157A9"/>
    <w:rsid w:val="0061591D"/>
    <w:rsid w:val="00615ED0"/>
    <w:rsid w:val="0061604C"/>
    <w:rsid w:val="00616C2B"/>
    <w:rsid w:val="006178D1"/>
    <w:rsid w:val="00620719"/>
    <w:rsid w:val="006212C9"/>
    <w:rsid w:val="00622470"/>
    <w:rsid w:val="00622725"/>
    <w:rsid w:val="006231AA"/>
    <w:rsid w:val="00623482"/>
    <w:rsid w:val="00623AC2"/>
    <w:rsid w:val="006266D7"/>
    <w:rsid w:val="00626EE3"/>
    <w:rsid w:val="006274AD"/>
    <w:rsid w:val="00627532"/>
    <w:rsid w:val="006302AA"/>
    <w:rsid w:val="006310C3"/>
    <w:rsid w:val="0063161E"/>
    <w:rsid w:val="00631BB5"/>
    <w:rsid w:val="00631DD0"/>
    <w:rsid w:val="00633DBF"/>
    <w:rsid w:val="00634122"/>
    <w:rsid w:val="00635E32"/>
    <w:rsid w:val="006365DE"/>
    <w:rsid w:val="00637836"/>
    <w:rsid w:val="00637C26"/>
    <w:rsid w:val="00637F44"/>
    <w:rsid w:val="00641078"/>
    <w:rsid w:val="00641242"/>
    <w:rsid w:val="00642A32"/>
    <w:rsid w:val="006433D5"/>
    <w:rsid w:val="00646B20"/>
    <w:rsid w:val="00646D0F"/>
    <w:rsid w:val="00647DCC"/>
    <w:rsid w:val="00647EFA"/>
    <w:rsid w:val="00651C47"/>
    <w:rsid w:val="00652E70"/>
    <w:rsid w:val="0065339A"/>
    <w:rsid w:val="00653469"/>
    <w:rsid w:val="00654A38"/>
    <w:rsid w:val="00655301"/>
    <w:rsid w:val="00655371"/>
    <w:rsid w:val="00656C4B"/>
    <w:rsid w:val="006573EA"/>
    <w:rsid w:val="00661029"/>
    <w:rsid w:val="0066135A"/>
    <w:rsid w:val="006618C7"/>
    <w:rsid w:val="0066272D"/>
    <w:rsid w:val="006628CE"/>
    <w:rsid w:val="006635A0"/>
    <w:rsid w:val="00664351"/>
    <w:rsid w:val="00665968"/>
    <w:rsid w:val="00665BF7"/>
    <w:rsid w:val="00666178"/>
    <w:rsid w:val="0066639E"/>
    <w:rsid w:val="00666C72"/>
    <w:rsid w:val="00666E6C"/>
    <w:rsid w:val="0066707F"/>
    <w:rsid w:val="00667ED8"/>
    <w:rsid w:val="0067064C"/>
    <w:rsid w:val="00670B20"/>
    <w:rsid w:val="00670E12"/>
    <w:rsid w:val="00672E80"/>
    <w:rsid w:val="006739E4"/>
    <w:rsid w:val="00673ECF"/>
    <w:rsid w:val="0067426B"/>
    <w:rsid w:val="00674A1B"/>
    <w:rsid w:val="006754F8"/>
    <w:rsid w:val="00676127"/>
    <w:rsid w:val="00676AED"/>
    <w:rsid w:val="00677F26"/>
    <w:rsid w:val="006811C9"/>
    <w:rsid w:val="006812CE"/>
    <w:rsid w:val="00682C89"/>
    <w:rsid w:val="006832B8"/>
    <w:rsid w:val="00683800"/>
    <w:rsid w:val="00684C8A"/>
    <w:rsid w:val="00684CF5"/>
    <w:rsid w:val="0068553E"/>
    <w:rsid w:val="00685E7B"/>
    <w:rsid w:val="00686551"/>
    <w:rsid w:val="0068730C"/>
    <w:rsid w:val="00687504"/>
    <w:rsid w:val="00690839"/>
    <w:rsid w:val="006908DB"/>
    <w:rsid w:val="006911FC"/>
    <w:rsid w:val="00691DE9"/>
    <w:rsid w:val="00691EAA"/>
    <w:rsid w:val="00693772"/>
    <w:rsid w:val="00694160"/>
    <w:rsid w:val="00695C0C"/>
    <w:rsid w:val="00696A05"/>
    <w:rsid w:val="00697665"/>
    <w:rsid w:val="00697C9A"/>
    <w:rsid w:val="00697E68"/>
    <w:rsid w:val="006A0274"/>
    <w:rsid w:val="006A2A43"/>
    <w:rsid w:val="006A2F9A"/>
    <w:rsid w:val="006A34E4"/>
    <w:rsid w:val="006A3A5A"/>
    <w:rsid w:val="006A44CF"/>
    <w:rsid w:val="006A457D"/>
    <w:rsid w:val="006A55EE"/>
    <w:rsid w:val="006A575B"/>
    <w:rsid w:val="006A59DE"/>
    <w:rsid w:val="006A6655"/>
    <w:rsid w:val="006A7CB5"/>
    <w:rsid w:val="006A7FD0"/>
    <w:rsid w:val="006B025C"/>
    <w:rsid w:val="006B2534"/>
    <w:rsid w:val="006B2CB2"/>
    <w:rsid w:val="006B3E19"/>
    <w:rsid w:val="006B67AC"/>
    <w:rsid w:val="006B786A"/>
    <w:rsid w:val="006B7E4E"/>
    <w:rsid w:val="006C003A"/>
    <w:rsid w:val="006C2551"/>
    <w:rsid w:val="006C37CA"/>
    <w:rsid w:val="006C40D2"/>
    <w:rsid w:val="006C5B15"/>
    <w:rsid w:val="006C5D32"/>
    <w:rsid w:val="006C5DCB"/>
    <w:rsid w:val="006C70C4"/>
    <w:rsid w:val="006D04DA"/>
    <w:rsid w:val="006D1544"/>
    <w:rsid w:val="006D1688"/>
    <w:rsid w:val="006D1FF3"/>
    <w:rsid w:val="006D2C65"/>
    <w:rsid w:val="006D32C6"/>
    <w:rsid w:val="006D360E"/>
    <w:rsid w:val="006D3697"/>
    <w:rsid w:val="006D39D2"/>
    <w:rsid w:val="006D3E50"/>
    <w:rsid w:val="006D3F2A"/>
    <w:rsid w:val="006D4370"/>
    <w:rsid w:val="006D46A3"/>
    <w:rsid w:val="006D6A12"/>
    <w:rsid w:val="006D712D"/>
    <w:rsid w:val="006D7687"/>
    <w:rsid w:val="006D7D1F"/>
    <w:rsid w:val="006D7D8A"/>
    <w:rsid w:val="006E0572"/>
    <w:rsid w:val="006E05D8"/>
    <w:rsid w:val="006E08EE"/>
    <w:rsid w:val="006E155A"/>
    <w:rsid w:val="006E39D1"/>
    <w:rsid w:val="006E437F"/>
    <w:rsid w:val="006E4D5B"/>
    <w:rsid w:val="006E602F"/>
    <w:rsid w:val="006E7275"/>
    <w:rsid w:val="006E77B8"/>
    <w:rsid w:val="006F15CC"/>
    <w:rsid w:val="006F4147"/>
    <w:rsid w:val="006F4315"/>
    <w:rsid w:val="006F4CB0"/>
    <w:rsid w:val="006F547E"/>
    <w:rsid w:val="006F5CCF"/>
    <w:rsid w:val="006F749B"/>
    <w:rsid w:val="00700941"/>
    <w:rsid w:val="0070138A"/>
    <w:rsid w:val="0070157E"/>
    <w:rsid w:val="007030D4"/>
    <w:rsid w:val="00703B61"/>
    <w:rsid w:val="00703E11"/>
    <w:rsid w:val="00704102"/>
    <w:rsid w:val="0070461C"/>
    <w:rsid w:val="00705631"/>
    <w:rsid w:val="00705F62"/>
    <w:rsid w:val="0070773F"/>
    <w:rsid w:val="00707ED3"/>
    <w:rsid w:val="007101B7"/>
    <w:rsid w:val="00710668"/>
    <w:rsid w:val="007110F4"/>
    <w:rsid w:val="007112B1"/>
    <w:rsid w:val="0071130F"/>
    <w:rsid w:val="00712714"/>
    <w:rsid w:val="007129AB"/>
    <w:rsid w:val="00712B63"/>
    <w:rsid w:val="00713526"/>
    <w:rsid w:val="00713FC5"/>
    <w:rsid w:val="00715BBF"/>
    <w:rsid w:val="00715C29"/>
    <w:rsid w:val="00715CBD"/>
    <w:rsid w:val="00715EAA"/>
    <w:rsid w:val="00716CAD"/>
    <w:rsid w:val="00716F18"/>
    <w:rsid w:val="00717363"/>
    <w:rsid w:val="00717786"/>
    <w:rsid w:val="00717ACB"/>
    <w:rsid w:val="00721BFF"/>
    <w:rsid w:val="007236C4"/>
    <w:rsid w:val="00724635"/>
    <w:rsid w:val="0072554B"/>
    <w:rsid w:val="007258CD"/>
    <w:rsid w:val="00725AFD"/>
    <w:rsid w:val="00726603"/>
    <w:rsid w:val="00727DDC"/>
    <w:rsid w:val="00730CD6"/>
    <w:rsid w:val="00730F74"/>
    <w:rsid w:val="0073114B"/>
    <w:rsid w:val="00733914"/>
    <w:rsid w:val="00734952"/>
    <w:rsid w:val="00734990"/>
    <w:rsid w:val="00734FF5"/>
    <w:rsid w:val="00735B78"/>
    <w:rsid w:val="00735DA7"/>
    <w:rsid w:val="007368B4"/>
    <w:rsid w:val="007378E0"/>
    <w:rsid w:val="00740529"/>
    <w:rsid w:val="00741358"/>
    <w:rsid w:val="00741626"/>
    <w:rsid w:val="00742332"/>
    <w:rsid w:val="00742DD2"/>
    <w:rsid w:val="007437C6"/>
    <w:rsid w:val="007441A2"/>
    <w:rsid w:val="00744E80"/>
    <w:rsid w:val="00745035"/>
    <w:rsid w:val="00745547"/>
    <w:rsid w:val="007459D0"/>
    <w:rsid w:val="0074623A"/>
    <w:rsid w:val="00746311"/>
    <w:rsid w:val="00746420"/>
    <w:rsid w:val="00746E08"/>
    <w:rsid w:val="00746E3D"/>
    <w:rsid w:val="007473B9"/>
    <w:rsid w:val="00747C96"/>
    <w:rsid w:val="00750075"/>
    <w:rsid w:val="00750382"/>
    <w:rsid w:val="0075094E"/>
    <w:rsid w:val="00750FA8"/>
    <w:rsid w:val="00750FB5"/>
    <w:rsid w:val="007522E8"/>
    <w:rsid w:val="0075379F"/>
    <w:rsid w:val="00753BAC"/>
    <w:rsid w:val="00754A0B"/>
    <w:rsid w:val="007552DB"/>
    <w:rsid w:val="00755B08"/>
    <w:rsid w:val="00755DD0"/>
    <w:rsid w:val="00755E3D"/>
    <w:rsid w:val="0075647A"/>
    <w:rsid w:val="00756A2F"/>
    <w:rsid w:val="007573E1"/>
    <w:rsid w:val="00757B2D"/>
    <w:rsid w:val="00757BAD"/>
    <w:rsid w:val="00757D62"/>
    <w:rsid w:val="00760867"/>
    <w:rsid w:val="00760EB6"/>
    <w:rsid w:val="007616DB"/>
    <w:rsid w:val="0076228A"/>
    <w:rsid w:val="00762440"/>
    <w:rsid w:val="007629B7"/>
    <w:rsid w:val="00762E60"/>
    <w:rsid w:val="007634AD"/>
    <w:rsid w:val="00766ECC"/>
    <w:rsid w:val="007672F3"/>
    <w:rsid w:val="007678B1"/>
    <w:rsid w:val="007708A8"/>
    <w:rsid w:val="007734E4"/>
    <w:rsid w:val="0077380D"/>
    <w:rsid w:val="00773BC8"/>
    <w:rsid w:val="0077466F"/>
    <w:rsid w:val="007752B7"/>
    <w:rsid w:val="007759A8"/>
    <w:rsid w:val="00775D98"/>
    <w:rsid w:val="00776FE5"/>
    <w:rsid w:val="007774E7"/>
    <w:rsid w:val="0077768C"/>
    <w:rsid w:val="00777696"/>
    <w:rsid w:val="00777FF4"/>
    <w:rsid w:val="00780251"/>
    <w:rsid w:val="007804FE"/>
    <w:rsid w:val="00780F32"/>
    <w:rsid w:val="0078122E"/>
    <w:rsid w:val="00781939"/>
    <w:rsid w:val="00781D29"/>
    <w:rsid w:val="007825EF"/>
    <w:rsid w:val="00782D2C"/>
    <w:rsid w:val="00782FC2"/>
    <w:rsid w:val="00785BBB"/>
    <w:rsid w:val="00786FAD"/>
    <w:rsid w:val="00787F5E"/>
    <w:rsid w:val="00790164"/>
    <w:rsid w:val="00790A24"/>
    <w:rsid w:val="00790A37"/>
    <w:rsid w:val="00790A60"/>
    <w:rsid w:val="0079146D"/>
    <w:rsid w:val="00791FF0"/>
    <w:rsid w:val="007923D0"/>
    <w:rsid w:val="007930D3"/>
    <w:rsid w:val="0079381F"/>
    <w:rsid w:val="007948F5"/>
    <w:rsid w:val="00795647"/>
    <w:rsid w:val="007963F6"/>
    <w:rsid w:val="00796E80"/>
    <w:rsid w:val="007979AD"/>
    <w:rsid w:val="00797A9C"/>
    <w:rsid w:val="007A0EAB"/>
    <w:rsid w:val="007A2341"/>
    <w:rsid w:val="007A38A1"/>
    <w:rsid w:val="007A3BBE"/>
    <w:rsid w:val="007B0313"/>
    <w:rsid w:val="007B0854"/>
    <w:rsid w:val="007B1D1B"/>
    <w:rsid w:val="007B32F7"/>
    <w:rsid w:val="007B3659"/>
    <w:rsid w:val="007B377E"/>
    <w:rsid w:val="007B4632"/>
    <w:rsid w:val="007B46A2"/>
    <w:rsid w:val="007B4828"/>
    <w:rsid w:val="007B4D4A"/>
    <w:rsid w:val="007B5428"/>
    <w:rsid w:val="007B6C64"/>
    <w:rsid w:val="007B6EC8"/>
    <w:rsid w:val="007B6F81"/>
    <w:rsid w:val="007B7EA2"/>
    <w:rsid w:val="007C097D"/>
    <w:rsid w:val="007C1672"/>
    <w:rsid w:val="007C3F3B"/>
    <w:rsid w:val="007C55FF"/>
    <w:rsid w:val="007C6339"/>
    <w:rsid w:val="007C7C43"/>
    <w:rsid w:val="007C7F0D"/>
    <w:rsid w:val="007D1134"/>
    <w:rsid w:val="007D23F7"/>
    <w:rsid w:val="007D2566"/>
    <w:rsid w:val="007D2C18"/>
    <w:rsid w:val="007D2D74"/>
    <w:rsid w:val="007D3693"/>
    <w:rsid w:val="007D481A"/>
    <w:rsid w:val="007D58C5"/>
    <w:rsid w:val="007D5DE8"/>
    <w:rsid w:val="007D619A"/>
    <w:rsid w:val="007D7CFC"/>
    <w:rsid w:val="007E18DF"/>
    <w:rsid w:val="007E2AEB"/>
    <w:rsid w:val="007E2C36"/>
    <w:rsid w:val="007E350D"/>
    <w:rsid w:val="007E5C4A"/>
    <w:rsid w:val="007E64D4"/>
    <w:rsid w:val="007E66E9"/>
    <w:rsid w:val="007E69F2"/>
    <w:rsid w:val="007E7432"/>
    <w:rsid w:val="007E74BF"/>
    <w:rsid w:val="007F14D3"/>
    <w:rsid w:val="007F1D9D"/>
    <w:rsid w:val="007F1E28"/>
    <w:rsid w:val="007F1F63"/>
    <w:rsid w:val="007F22A0"/>
    <w:rsid w:val="007F2F90"/>
    <w:rsid w:val="007F3320"/>
    <w:rsid w:val="007F3AC1"/>
    <w:rsid w:val="007F4976"/>
    <w:rsid w:val="007F5A56"/>
    <w:rsid w:val="007F616E"/>
    <w:rsid w:val="007F6B46"/>
    <w:rsid w:val="007F72CB"/>
    <w:rsid w:val="007F7635"/>
    <w:rsid w:val="007F785F"/>
    <w:rsid w:val="007F7E36"/>
    <w:rsid w:val="00800E6D"/>
    <w:rsid w:val="0080150F"/>
    <w:rsid w:val="0080153A"/>
    <w:rsid w:val="00802041"/>
    <w:rsid w:val="008022C9"/>
    <w:rsid w:val="00802827"/>
    <w:rsid w:val="00802F9E"/>
    <w:rsid w:val="00803D9D"/>
    <w:rsid w:val="008059C6"/>
    <w:rsid w:val="00805AD7"/>
    <w:rsid w:val="00805BD6"/>
    <w:rsid w:val="00805DE3"/>
    <w:rsid w:val="008064B5"/>
    <w:rsid w:val="00807C35"/>
    <w:rsid w:val="008100F7"/>
    <w:rsid w:val="00810206"/>
    <w:rsid w:val="008124D8"/>
    <w:rsid w:val="00813A7B"/>
    <w:rsid w:val="00813F04"/>
    <w:rsid w:val="00815DA5"/>
    <w:rsid w:val="00816221"/>
    <w:rsid w:val="0081766B"/>
    <w:rsid w:val="00820705"/>
    <w:rsid w:val="00820CBF"/>
    <w:rsid w:val="00820FA8"/>
    <w:rsid w:val="008212FD"/>
    <w:rsid w:val="00821489"/>
    <w:rsid w:val="008217B7"/>
    <w:rsid w:val="0082239B"/>
    <w:rsid w:val="0082292E"/>
    <w:rsid w:val="00822D06"/>
    <w:rsid w:val="0082348D"/>
    <w:rsid w:val="008236BE"/>
    <w:rsid w:val="008241CE"/>
    <w:rsid w:val="00825240"/>
    <w:rsid w:val="00827CC0"/>
    <w:rsid w:val="00831026"/>
    <w:rsid w:val="0083119B"/>
    <w:rsid w:val="00831BAE"/>
    <w:rsid w:val="00832216"/>
    <w:rsid w:val="00832CD0"/>
    <w:rsid w:val="00833430"/>
    <w:rsid w:val="0083417F"/>
    <w:rsid w:val="00835143"/>
    <w:rsid w:val="00835741"/>
    <w:rsid w:val="00836E74"/>
    <w:rsid w:val="00836EAB"/>
    <w:rsid w:val="00837673"/>
    <w:rsid w:val="00837937"/>
    <w:rsid w:val="00837D82"/>
    <w:rsid w:val="00840893"/>
    <w:rsid w:val="008423EC"/>
    <w:rsid w:val="00843615"/>
    <w:rsid w:val="00843A4B"/>
    <w:rsid w:val="00843B57"/>
    <w:rsid w:val="00843B60"/>
    <w:rsid w:val="00843D33"/>
    <w:rsid w:val="00844D4F"/>
    <w:rsid w:val="00845AE3"/>
    <w:rsid w:val="008466A0"/>
    <w:rsid w:val="00847535"/>
    <w:rsid w:val="00847B6D"/>
    <w:rsid w:val="0085092D"/>
    <w:rsid w:val="00850D82"/>
    <w:rsid w:val="00850F79"/>
    <w:rsid w:val="0085100B"/>
    <w:rsid w:val="0085304C"/>
    <w:rsid w:val="00856C06"/>
    <w:rsid w:val="0085790B"/>
    <w:rsid w:val="00857C95"/>
    <w:rsid w:val="00857E78"/>
    <w:rsid w:val="0086122C"/>
    <w:rsid w:val="00861310"/>
    <w:rsid w:val="00861F53"/>
    <w:rsid w:val="00863F8A"/>
    <w:rsid w:val="00863FE3"/>
    <w:rsid w:val="00864241"/>
    <w:rsid w:val="0086468A"/>
    <w:rsid w:val="008650BE"/>
    <w:rsid w:val="0086633B"/>
    <w:rsid w:val="00866495"/>
    <w:rsid w:val="00866931"/>
    <w:rsid w:val="00867512"/>
    <w:rsid w:val="0087033C"/>
    <w:rsid w:val="008715ED"/>
    <w:rsid w:val="008717D8"/>
    <w:rsid w:val="00871E3C"/>
    <w:rsid w:val="00872F97"/>
    <w:rsid w:val="00874607"/>
    <w:rsid w:val="00874915"/>
    <w:rsid w:val="00874B89"/>
    <w:rsid w:val="00875403"/>
    <w:rsid w:val="00875434"/>
    <w:rsid w:val="00876215"/>
    <w:rsid w:val="00876815"/>
    <w:rsid w:val="00877932"/>
    <w:rsid w:val="0088106B"/>
    <w:rsid w:val="0088107D"/>
    <w:rsid w:val="00881E64"/>
    <w:rsid w:val="00882E39"/>
    <w:rsid w:val="008850EB"/>
    <w:rsid w:val="00885D4F"/>
    <w:rsid w:val="00886B98"/>
    <w:rsid w:val="00886DF2"/>
    <w:rsid w:val="00886FB9"/>
    <w:rsid w:val="00887C79"/>
    <w:rsid w:val="0089107B"/>
    <w:rsid w:val="008913CC"/>
    <w:rsid w:val="008914AE"/>
    <w:rsid w:val="008919CF"/>
    <w:rsid w:val="00891F84"/>
    <w:rsid w:val="008928EC"/>
    <w:rsid w:val="00892E5D"/>
    <w:rsid w:val="008935CF"/>
    <w:rsid w:val="0089579D"/>
    <w:rsid w:val="0089582D"/>
    <w:rsid w:val="008959C6"/>
    <w:rsid w:val="0089606D"/>
    <w:rsid w:val="00896129"/>
    <w:rsid w:val="0089774F"/>
    <w:rsid w:val="00897B8F"/>
    <w:rsid w:val="008A00D9"/>
    <w:rsid w:val="008A2A23"/>
    <w:rsid w:val="008A2AF5"/>
    <w:rsid w:val="008A2B5A"/>
    <w:rsid w:val="008A3F9D"/>
    <w:rsid w:val="008A5474"/>
    <w:rsid w:val="008A5C9A"/>
    <w:rsid w:val="008A6A55"/>
    <w:rsid w:val="008A6F6E"/>
    <w:rsid w:val="008A72FF"/>
    <w:rsid w:val="008A7888"/>
    <w:rsid w:val="008A796E"/>
    <w:rsid w:val="008B0862"/>
    <w:rsid w:val="008B088C"/>
    <w:rsid w:val="008B1BF5"/>
    <w:rsid w:val="008B263F"/>
    <w:rsid w:val="008B47A6"/>
    <w:rsid w:val="008B5AEC"/>
    <w:rsid w:val="008B672C"/>
    <w:rsid w:val="008C0743"/>
    <w:rsid w:val="008C0B4C"/>
    <w:rsid w:val="008C11F0"/>
    <w:rsid w:val="008C1DBA"/>
    <w:rsid w:val="008C24E7"/>
    <w:rsid w:val="008C2500"/>
    <w:rsid w:val="008C2CAC"/>
    <w:rsid w:val="008C3E2A"/>
    <w:rsid w:val="008C45BD"/>
    <w:rsid w:val="008C4B19"/>
    <w:rsid w:val="008C62D4"/>
    <w:rsid w:val="008D18AA"/>
    <w:rsid w:val="008D1A2A"/>
    <w:rsid w:val="008D35D9"/>
    <w:rsid w:val="008D3B85"/>
    <w:rsid w:val="008D462D"/>
    <w:rsid w:val="008D66CA"/>
    <w:rsid w:val="008D69B1"/>
    <w:rsid w:val="008E0012"/>
    <w:rsid w:val="008E0DF7"/>
    <w:rsid w:val="008E0FAD"/>
    <w:rsid w:val="008E1347"/>
    <w:rsid w:val="008E16E0"/>
    <w:rsid w:val="008E1C15"/>
    <w:rsid w:val="008E28BD"/>
    <w:rsid w:val="008E38B4"/>
    <w:rsid w:val="008E44AB"/>
    <w:rsid w:val="008E5179"/>
    <w:rsid w:val="008E7884"/>
    <w:rsid w:val="008E7D6E"/>
    <w:rsid w:val="008F1056"/>
    <w:rsid w:val="008F2E8D"/>
    <w:rsid w:val="008F387B"/>
    <w:rsid w:val="008F3DD9"/>
    <w:rsid w:val="008F4814"/>
    <w:rsid w:val="008F4DA6"/>
    <w:rsid w:val="008F538E"/>
    <w:rsid w:val="008F5ABA"/>
    <w:rsid w:val="008F7989"/>
    <w:rsid w:val="00902E5C"/>
    <w:rsid w:val="009046E5"/>
    <w:rsid w:val="009047C5"/>
    <w:rsid w:val="00910E00"/>
    <w:rsid w:val="009116CE"/>
    <w:rsid w:val="00911714"/>
    <w:rsid w:val="009136D4"/>
    <w:rsid w:val="00914B9A"/>
    <w:rsid w:val="00914C3F"/>
    <w:rsid w:val="00914F33"/>
    <w:rsid w:val="00915FCE"/>
    <w:rsid w:val="00916AFE"/>
    <w:rsid w:val="00916FC8"/>
    <w:rsid w:val="009170D3"/>
    <w:rsid w:val="0091759C"/>
    <w:rsid w:val="00920026"/>
    <w:rsid w:val="009203E2"/>
    <w:rsid w:val="00921304"/>
    <w:rsid w:val="00921805"/>
    <w:rsid w:val="00923396"/>
    <w:rsid w:val="00923F56"/>
    <w:rsid w:val="00925743"/>
    <w:rsid w:val="00927E8D"/>
    <w:rsid w:val="00927F23"/>
    <w:rsid w:val="009307CD"/>
    <w:rsid w:val="00930CBB"/>
    <w:rsid w:val="00931451"/>
    <w:rsid w:val="009314FA"/>
    <w:rsid w:val="0093194F"/>
    <w:rsid w:val="00931BF3"/>
    <w:rsid w:val="00931C55"/>
    <w:rsid w:val="00933333"/>
    <w:rsid w:val="0093349A"/>
    <w:rsid w:val="00933FCB"/>
    <w:rsid w:val="00934E69"/>
    <w:rsid w:val="00937401"/>
    <w:rsid w:val="00937D6B"/>
    <w:rsid w:val="00940477"/>
    <w:rsid w:val="00940876"/>
    <w:rsid w:val="00940A53"/>
    <w:rsid w:val="00940F3C"/>
    <w:rsid w:val="009410E0"/>
    <w:rsid w:val="009424F3"/>
    <w:rsid w:val="009444B4"/>
    <w:rsid w:val="00946A24"/>
    <w:rsid w:val="009470D4"/>
    <w:rsid w:val="00947337"/>
    <w:rsid w:val="00953018"/>
    <w:rsid w:val="009533E2"/>
    <w:rsid w:val="00953554"/>
    <w:rsid w:val="0095385A"/>
    <w:rsid w:val="0095780A"/>
    <w:rsid w:val="009579E4"/>
    <w:rsid w:val="00957AA4"/>
    <w:rsid w:val="00960BDB"/>
    <w:rsid w:val="0096147D"/>
    <w:rsid w:val="00961E5F"/>
    <w:rsid w:val="00961F98"/>
    <w:rsid w:val="009625C6"/>
    <w:rsid w:val="00962A50"/>
    <w:rsid w:val="00963D02"/>
    <w:rsid w:val="00964138"/>
    <w:rsid w:val="00964B3F"/>
    <w:rsid w:val="00964C98"/>
    <w:rsid w:val="00971441"/>
    <w:rsid w:val="009715D4"/>
    <w:rsid w:val="0097494E"/>
    <w:rsid w:val="00974B58"/>
    <w:rsid w:val="009761ED"/>
    <w:rsid w:val="0098022F"/>
    <w:rsid w:val="009810DE"/>
    <w:rsid w:val="009822D7"/>
    <w:rsid w:val="0098427D"/>
    <w:rsid w:val="00984567"/>
    <w:rsid w:val="009865D5"/>
    <w:rsid w:val="00987C32"/>
    <w:rsid w:val="00987C77"/>
    <w:rsid w:val="00990345"/>
    <w:rsid w:val="0099119C"/>
    <w:rsid w:val="0099137A"/>
    <w:rsid w:val="0099211C"/>
    <w:rsid w:val="00993B78"/>
    <w:rsid w:val="00995119"/>
    <w:rsid w:val="009953AD"/>
    <w:rsid w:val="0099583D"/>
    <w:rsid w:val="00996992"/>
    <w:rsid w:val="00996E1E"/>
    <w:rsid w:val="00997392"/>
    <w:rsid w:val="0099747C"/>
    <w:rsid w:val="0099771C"/>
    <w:rsid w:val="009A01E4"/>
    <w:rsid w:val="009A0A33"/>
    <w:rsid w:val="009A1351"/>
    <w:rsid w:val="009A1FD3"/>
    <w:rsid w:val="009A2435"/>
    <w:rsid w:val="009A35DC"/>
    <w:rsid w:val="009A38AB"/>
    <w:rsid w:val="009A3D47"/>
    <w:rsid w:val="009A5356"/>
    <w:rsid w:val="009A5468"/>
    <w:rsid w:val="009A5D99"/>
    <w:rsid w:val="009A608C"/>
    <w:rsid w:val="009A6FDF"/>
    <w:rsid w:val="009A76D6"/>
    <w:rsid w:val="009B2E29"/>
    <w:rsid w:val="009B422F"/>
    <w:rsid w:val="009B46BC"/>
    <w:rsid w:val="009B4D1A"/>
    <w:rsid w:val="009B558B"/>
    <w:rsid w:val="009B6D21"/>
    <w:rsid w:val="009C181C"/>
    <w:rsid w:val="009C1BA6"/>
    <w:rsid w:val="009C1C7F"/>
    <w:rsid w:val="009C28A2"/>
    <w:rsid w:val="009C3239"/>
    <w:rsid w:val="009C3828"/>
    <w:rsid w:val="009C4987"/>
    <w:rsid w:val="009C523F"/>
    <w:rsid w:val="009C59BF"/>
    <w:rsid w:val="009C5E4F"/>
    <w:rsid w:val="009C5F82"/>
    <w:rsid w:val="009C70F8"/>
    <w:rsid w:val="009C78A3"/>
    <w:rsid w:val="009D0156"/>
    <w:rsid w:val="009D05DA"/>
    <w:rsid w:val="009D1A14"/>
    <w:rsid w:val="009D1E2A"/>
    <w:rsid w:val="009D1FA0"/>
    <w:rsid w:val="009D2BDF"/>
    <w:rsid w:val="009D3736"/>
    <w:rsid w:val="009D604F"/>
    <w:rsid w:val="009D61BB"/>
    <w:rsid w:val="009D6410"/>
    <w:rsid w:val="009D68BB"/>
    <w:rsid w:val="009D7ADB"/>
    <w:rsid w:val="009E0703"/>
    <w:rsid w:val="009E0EF9"/>
    <w:rsid w:val="009E16DA"/>
    <w:rsid w:val="009E1CD4"/>
    <w:rsid w:val="009E2391"/>
    <w:rsid w:val="009E476A"/>
    <w:rsid w:val="009E4E05"/>
    <w:rsid w:val="009E56FF"/>
    <w:rsid w:val="009E58C8"/>
    <w:rsid w:val="009E5CB1"/>
    <w:rsid w:val="009E5E56"/>
    <w:rsid w:val="009E61EA"/>
    <w:rsid w:val="009E6FEE"/>
    <w:rsid w:val="009F060F"/>
    <w:rsid w:val="009F0781"/>
    <w:rsid w:val="009F0850"/>
    <w:rsid w:val="009F1BDF"/>
    <w:rsid w:val="009F1EAE"/>
    <w:rsid w:val="009F369D"/>
    <w:rsid w:val="009F36FE"/>
    <w:rsid w:val="009F4F25"/>
    <w:rsid w:val="009F59C2"/>
    <w:rsid w:val="009F7263"/>
    <w:rsid w:val="009F73CF"/>
    <w:rsid w:val="009F76EA"/>
    <w:rsid w:val="009F78EB"/>
    <w:rsid w:val="009F7FEB"/>
    <w:rsid w:val="00A01852"/>
    <w:rsid w:val="00A0188B"/>
    <w:rsid w:val="00A01E73"/>
    <w:rsid w:val="00A023E7"/>
    <w:rsid w:val="00A02B88"/>
    <w:rsid w:val="00A03160"/>
    <w:rsid w:val="00A036AC"/>
    <w:rsid w:val="00A03C54"/>
    <w:rsid w:val="00A041BC"/>
    <w:rsid w:val="00A046D2"/>
    <w:rsid w:val="00A04A54"/>
    <w:rsid w:val="00A05B4B"/>
    <w:rsid w:val="00A066C3"/>
    <w:rsid w:val="00A06754"/>
    <w:rsid w:val="00A069E0"/>
    <w:rsid w:val="00A06E4A"/>
    <w:rsid w:val="00A078FB"/>
    <w:rsid w:val="00A1036D"/>
    <w:rsid w:val="00A1069F"/>
    <w:rsid w:val="00A10ACA"/>
    <w:rsid w:val="00A10D08"/>
    <w:rsid w:val="00A12355"/>
    <w:rsid w:val="00A127D2"/>
    <w:rsid w:val="00A143EC"/>
    <w:rsid w:val="00A1500F"/>
    <w:rsid w:val="00A15621"/>
    <w:rsid w:val="00A15670"/>
    <w:rsid w:val="00A157A0"/>
    <w:rsid w:val="00A16809"/>
    <w:rsid w:val="00A17EA2"/>
    <w:rsid w:val="00A20264"/>
    <w:rsid w:val="00A20997"/>
    <w:rsid w:val="00A21454"/>
    <w:rsid w:val="00A22025"/>
    <w:rsid w:val="00A22498"/>
    <w:rsid w:val="00A22571"/>
    <w:rsid w:val="00A24560"/>
    <w:rsid w:val="00A25BBB"/>
    <w:rsid w:val="00A30368"/>
    <w:rsid w:val="00A30E02"/>
    <w:rsid w:val="00A30F6A"/>
    <w:rsid w:val="00A31C3E"/>
    <w:rsid w:val="00A34538"/>
    <w:rsid w:val="00A3540F"/>
    <w:rsid w:val="00A35630"/>
    <w:rsid w:val="00A35914"/>
    <w:rsid w:val="00A36189"/>
    <w:rsid w:val="00A37E73"/>
    <w:rsid w:val="00A37FB6"/>
    <w:rsid w:val="00A4104A"/>
    <w:rsid w:val="00A41081"/>
    <w:rsid w:val="00A411CA"/>
    <w:rsid w:val="00A42096"/>
    <w:rsid w:val="00A426F3"/>
    <w:rsid w:val="00A42FDF"/>
    <w:rsid w:val="00A430A9"/>
    <w:rsid w:val="00A431FE"/>
    <w:rsid w:val="00A439E5"/>
    <w:rsid w:val="00A43F27"/>
    <w:rsid w:val="00A4497A"/>
    <w:rsid w:val="00A44BE8"/>
    <w:rsid w:val="00A44C96"/>
    <w:rsid w:val="00A44F54"/>
    <w:rsid w:val="00A45F9B"/>
    <w:rsid w:val="00A46574"/>
    <w:rsid w:val="00A46FCB"/>
    <w:rsid w:val="00A51D3A"/>
    <w:rsid w:val="00A52EE5"/>
    <w:rsid w:val="00A53037"/>
    <w:rsid w:val="00A532B9"/>
    <w:rsid w:val="00A5351D"/>
    <w:rsid w:val="00A538B8"/>
    <w:rsid w:val="00A53E79"/>
    <w:rsid w:val="00A54031"/>
    <w:rsid w:val="00A55122"/>
    <w:rsid w:val="00A56DE7"/>
    <w:rsid w:val="00A57EB2"/>
    <w:rsid w:val="00A6009E"/>
    <w:rsid w:val="00A602A6"/>
    <w:rsid w:val="00A60B1F"/>
    <w:rsid w:val="00A61C60"/>
    <w:rsid w:val="00A62C3A"/>
    <w:rsid w:val="00A63812"/>
    <w:rsid w:val="00A66512"/>
    <w:rsid w:val="00A668BA"/>
    <w:rsid w:val="00A66FA7"/>
    <w:rsid w:val="00A67E16"/>
    <w:rsid w:val="00A703CC"/>
    <w:rsid w:val="00A70C5C"/>
    <w:rsid w:val="00A71EA7"/>
    <w:rsid w:val="00A73D64"/>
    <w:rsid w:val="00A74216"/>
    <w:rsid w:val="00A751E3"/>
    <w:rsid w:val="00A75504"/>
    <w:rsid w:val="00A76145"/>
    <w:rsid w:val="00A77168"/>
    <w:rsid w:val="00A7723B"/>
    <w:rsid w:val="00A80085"/>
    <w:rsid w:val="00A8043B"/>
    <w:rsid w:val="00A81323"/>
    <w:rsid w:val="00A820CB"/>
    <w:rsid w:val="00A82342"/>
    <w:rsid w:val="00A83BEF"/>
    <w:rsid w:val="00A83CB2"/>
    <w:rsid w:val="00A84443"/>
    <w:rsid w:val="00A8487F"/>
    <w:rsid w:val="00A84A0E"/>
    <w:rsid w:val="00A86E0B"/>
    <w:rsid w:val="00A90F12"/>
    <w:rsid w:val="00A93101"/>
    <w:rsid w:val="00A94293"/>
    <w:rsid w:val="00A943D3"/>
    <w:rsid w:val="00A9496E"/>
    <w:rsid w:val="00A94BDE"/>
    <w:rsid w:val="00A94FCA"/>
    <w:rsid w:val="00A96C60"/>
    <w:rsid w:val="00A9740B"/>
    <w:rsid w:val="00A9766C"/>
    <w:rsid w:val="00A977F8"/>
    <w:rsid w:val="00AA08E7"/>
    <w:rsid w:val="00AA0A06"/>
    <w:rsid w:val="00AA1351"/>
    <w:rsid w:val="00AA1C84"/>
    <w:rsid w:val="00AA3D7B"/>
    <w:rsid w:val="00AA42A0"/>
    <w:rsid w:val="00AA442B"/>
    <w:rsid w:val="00AA46A4"/>
    <w:rsid w:val="00AA5779"/>
    <w:rsid w:val="00AA58A1"/>
    <w:rsid w:val="00AA61C7"/>
    <w:rsid w:val="00AA669D"/>
    <w:rsid w:val="00AA6BE1"/>
    <w:rsid w:val="00AA7416"/>
    <w:rsid w:val="00AA7A60"/>
    <w:rsid w:val="00AA7B42"/>
    <w:rsid w:val="00AB041C"/>
    <w:rsid w:val="00AB14E8"/>
    <w:rsid w:val="00AB1B1D"/>
    <w:rsid w:val="00AB358D"/>
    <w:rsid w:val="00AB37A1"/>
    <w:rsid w:val="00AB3CFD"/>
    <w:rsid w:val="00AB49BC"/>
    <w:rsid w:val="00AB4DEE"/>
    <w:rsid w:val="00AB4E32"/>
    <w:rsid w:val="00AB726C"/>
    <w:rsid w:val="00AB72B4"/>
    <w:rsid w:val="00AC02AA"/>
    <w:rsid w:val="00AC0537"/>
    <w:rsid w:val="00AC0A84"/>
    <w:rsid w:val="00AC2A0B"/>
    <w:rsid w:val="00AC2E53"/>
    <w:rsid w:val="00AC484F"/>
    <w:rsid w:val="00AC4B20"/>
    <w:rsid w:val="00AC56F2"/>
    <w:rsid w:val="00AC71C3"/>
    <w:rsid w:val="00AD1EFA"/>
    <w:rsid w:val="00AD2072"/>
    <w:rsid w:val="00AD2DBD"/>
    <w:rsid w:val="00AD2FBF"/>
    <w:rsid w:val="00AD455D"/>
    <w:rsid w:val="00AD463C"/>
    <w:rsid w:val="00AD4F60"/>
    <w:rsid w:val="00AD5044"/>
    <w:rsid w:val="00AD5114"/>
    <w:rsid w:val="00AD6236"/>
    <w:rsid w:val="00AD7770"/>
    <w:rsid w:val="00AE1990"/>
    <w:rsid w:val="00AE25E8"/>
    <w:rsid w:val="00AE2AD4"/>
    <w:rsid w:val="00AE2CA7"/>
    <w:rsid w:val="00AE2F1D"/>
    <w:rsid w:val="00AE6582"/>
    <w:rsid w:val="00AE6DC5"/>
    <w:rsid w:val="00AE7686"/>
    <w:rsid w:val="00AE799A"/>
    <w:rsid w:val="00AF0E81"/>
    <w:rsid w:val="00AF117A"/>
    <w:rsid w:val="00AF19DF"/>
    <w:rsid w:val="00AF26CF"/>
    <w:rsid w:val="00AF4E92"/>
    <w:rsid w:val="00AF5C9B"/>
    <w:rsid w:val="00AF5D53"/>
    <w:rsid w:val="00AF644B"/>
    <w:rsid w:val="00AF6CA6"/>
    <w:rsid w:val="00AF6EB6"/>
    <w:rsid w:val="00AF7796"/>
    <w:rsid w:val="00B011A9"/>
    <w:rsid w:val="00B033F8"/>
    <w:rsid w:val="00B03C1E"/>
    <w:rsid w:val="00B04400"/>
    <w:rsid w:val="00B04835"/>
    <w:rsid w:val="00B05A55"/>
    <w:rsid w:val="00B05DE1"/>
    <w:rsid w:val="00B06595"/>
    <w:rsid w:val="00B10109"/>
    <w:rsid w:val="00B1085E"/>
    <w:rsid w:val="00B10FD1"/>
    <w:rsid w:val="00B12735"/>
    <w:rsid w:val="00B13C48"/>
    <w:rsid w:val="00B13E35"/>
    <w:rsid w:val="00B13EC0"/>
    <w:rsid w:val="00B14102"/>
    <w:rsid w:val="00B14D32"/>
    <w:rsid w:val="00B1557C"/>
    <w:rsid w:val="00B155DC"/>
    <w:rsid w:val="00B15766"/>
    <w:rsid w:val="00B1666A"/>
    <w:rsid w:val="00B1686D"/>
    <w:rsid w:val="00B17447"/>
    <w:rsid w:val="00B1771D"/>
    <w:rsid w:val="00B17B91"/>
    <w:rsid w:val="00B20209"/>
    <w:rsid w:val="00B203C9"/>
    <w:rsid w:val="00B208FF"/>
    <w:rsid w:val="00B21D36"/>
    <w:rsid w:val="00B22E22"/>
    <w:rsid w:val="00B22F5F"/>
    <w:rsid w:val="00B23813"/>
    <w:rsid w:val="00B23FD9"/>
    <w:rsid w:val="00B24591"/>
    <w:rsid w:val="00B245D5"/>
    <w:rsid w:val="00B24C36"/>
    <w:rsid w:val="00B24F94"/>
    <w:rsid w:val="00B25126"/>
    <w:rsid w:val="00B25A52"/>
    <w:rsid w:val="00B25FC3"/>
    <w:rsid w:val="00B27875"/>
    <w:rsid w:val="00B3008D"/>
    <w:rsid w:val="00B30E11"/>
    <w:rsid w:val="00B30EEB"/>
    <w:rsid w:val="00B31423"/>
    <w:rsid w:val="00B323E0"/>
    <w:rsid w:val="00B32DC0"/>
    <w:rsid w:val="00B3346C"/>
    <w:rsid w:val="00B33C23"/>
    <w:rsid w:val="00B345B4"/>
    <w:rsid w:val="00B348B1"/>
    <w:rsid w:val="00B34A28"/>
    <w:rsid w:val="00B35046"/>
    <w:rsid w:val="00B35B6A"/>
    <w:rsid w:val="00B37657"/>
    <w:rsid w:val="00B37B07"/>
    <w:rsid w:val="00B4046F"/>
    <w:rsid w:val="00B41D39"/>
    <w:rsid w:val="00B422C0"/>
    <w:rsid w:val="00B426CA"/>
    <w:rsid w:val="00B426E1"/>
    <w:rsid w:val="00B44746"/>
    <w:rsid w:val="00B44854"/>
    <w:rsid w:val="00B458D0"/>
    <w:rsid w:val="00B4792C"/>
    <w:rsid w:val="00B50CAE"/>
    <w:rsid w:val="00B512AD"/>
    <w:rsid w:val="00B5196C"/>
    <w:rsid w:val="00B51BFA"/>
    <w:rsid w:val="00B525CB"/>
    <w:rsid w:val="00B52697"/>
    <w:rsid w:val="00B54D8F"/>
    <w:rsid w:val="00B55857"/>
    <w:rsid w:val="00B55C69"/>
    <w:rsid w:val="00B56851"/>
    <w:rsid w:val="00B56D6E"/>
    <w:rsid w:val="00B572F7"/>
    <w:rsid w:val="00B57B9D"/>
    <w:rsid w:val="00B57DAF"/>
    <w:rsid w:val="00B6022C"/>
    <w:rsid w:val="00B614F8"/>
    <w:rsid w:val="00B61994"/>
    <w:rsid w:val="00B61FD4"/>
    <w:rsid w:val="00B62880"/>
    <w:rsid w:val="00B63872"/>
    <w:rsid w:val="00B63CB2"/>
    <w:rsid w:val="00B64246"/>
    <w:rsid w:val="00B64EDB"/>
    <w:rsid w:val="00B65938"/>
    <w:rsid w:val="00B65C8A"/>
    <w:rsid w:val="00B65CE2"/>
    <w:rsid w:val="00B66109"/>
    <w:rsid w:val="00B66349"/>
    <w:rsid w:val="00B67FBF"/>
    <w:rsid w:val="00B72B91"/>
    <w:rsid w:val="00B73019"/>
    <w:rsid w:val="00B7315F"/>
    <w:rsid w:val="00B7323A"/>
    <w:rsid w:val="00B7353B"/>
    <w:rsid w:val="00B7423D"/>
    <w:rsid w:val="00B74D05"/>
    <w:rsid w:val="00B777FA"/>
    <w:rsid w:val="00B77850"/>
    <w:rsid w:val="00B7796B"/>
    <w:rsid w:val="00B80C72"/>
    <w:rsid w:val="00B81964"/>
    <w:rsid w:val="00B81E6F"/>
    <w:rsid w:val="00B82123"/>
    <w:rsid w:val="00B8225B"/>
    <w:rsid w:val="00B82BB5"/>
    <w:rsid w:val="00B83182"/>
    <w:rsid w:val="00B851E4"/>
    <w:rsid w:val="00B854CE"/>
    <w:rsid w:val="00B85681"/>
    <w:rsid w:val="00B857EB"/>
    <w:rsid w:val="00B86162"/>
    <w:rsid w:val="00B86877"/>
    <w:rsid w:val="00B8695D"/>
    <w:rsid w:val="00B86E66"/>
    <w:rsid w:val="00B873BA"/>
    <w:rsid w:val="00B8746F"/>
    <w:rsid w:val="00B8760D"/>
    <w:rsid w:val="00B87706"/>
    <w:rsid w:val="00B91B8E"/>
    <w:rsid w:val="00B92531"/>
    <w:rsid w:val="00B92618"/>
    <w:rsid w:val="00B92B69"/>
    <w:rsid w:val="00B92CC6"/>
    <w:rsid w:val="00B935C9"/>
    <w:rsid w:val="00B93E3D"/>
    <w:rsid w:val="00B95464"/>
    <w:rsid w:val="00B95E3D"/>
    <w:rsid w:val="00B9691F"/>
    <w:rsid w:val="00B96EEC"/>
    <w:rsid w:val="00B976C7"/>
    <w:rsid w:val="00BA0C54"/>
    <w:rsid w:val="00BA1382"/>
    <w:rsid w:val="00BA20D8"/>
    <w:rsid w:val="00BA22FC"/>
    <w:rsid w:val="00BA2F30"/>
    <w:rsid w:val="00BA4771"/>
    <w:rsid w:val="00BA5027"/>
    <w:rsid w:val="00BA7370"/>
    <w:rsid w:val="00BA778B"/>
    <w:rsid w:val="00BB0888"/>
    <w:rsid w:val="00BB0E9B"/>
    <w:rsid w:val="00BB2841"/>
    <w:rsid w:val="00BB300F"/>
    <w:rsid w:val="00BB32C9"/>
    <w:rsid w:val="00BB35C5"/>
    <w:rsid w:val="00BB3966"/>
    <w:rsid w:val="00BB4C8E"/>
    <w:rsid w:val="00BB57ED"/>
    <w:rsid w:val="00BB65C3"/>
    <w:rsid w:val="00BB662E"/>
    <w:rsid w:val="00BB6C01"/>
    <w:rsid w:val="00BB7942"/>
    <w:rsid w:val="00BB7CD1"/>
    <w:rsid w:val="00BC0F33"/>
    <w:rsid w:val="00BC14A7"/>
    <w:rsid w:val="00BC17CC"/>
    <w:rsid w:val="00BC2898"/>
    <w:rsid w:val="00BC2928"/>
    <w:rsid w:val="00BC2BB1"/>
    <w:rsid w:val="00BC34A3"/>
    <w:rsid w:val="00BC3FF9"/>
    <w:rsid w:val="00BC4834"/>
    <w:rsid w:val="00BC4A97"/>
    <w:rsid w:val="00BC5A25"/>
    <w:rsid w:val="00BC68B4"/>
    <w:rsid w:val="00BD0140"/>
    <w:rsid w:val="00BD02CC"/>
    <w:rsid w:val="00BD2063"/>
    <w:rsid w:val="00BD33D9"/>
    <w:rsid w:val="00BD38C5"/>
    <w:rsid w:val="00BD3DEA"/>
    <w:rsid w:val="00BD3E97"/>
    <w:rsid w:val="00BD40E4"/>
    <w:rsid w:val="00BD52FE"/>
    <w:rsid w:val="00BD62CF"/>
    <w:rsid w:val="00BD78FE"/>
    <w:rsid w:val="00BE0767"/>
    <w:rsid w:val="00BE12D7"/>
    <w:rsid w:val="00BE1775"/>
    <w:rsid w:val="00BE18DA"/>
    <w:rsid w:val="00BE26C0"/>
    <w:rsid w:val="00BE47B2"/>
    <w:rsid w:val="00BE48C7"/>
    <w:rsid w:val="00BE4F66"/>
    <w:rsid w:val="00BE5238"/>
    <w:rsid w:val="00BE6074"/>
    <w:rsid w:val="00BE7257"/>
    <w:rsid w:val="00BF020D"/>
    <w:rsid w:val="00BF07F9"/>
    <w:rsid w:val="00BF1DD2"/>
    <w:rsid w:val="00BF23A3"/>
    <w:rsid w:val="00BF2A7E"/>
    <w:rsid w:val="00BF3331"/>
    <w:rsid w:val="00BF3A45"/>
    <w:rsid w:val="00BF436F"/>
    <w:rsid w:val="00BF5C05"/>
    <w:rsid w:val="00BF6FC6"/>
    <w:rsid w:val="00BF7C52"/>
    <w:rsid w:val="00BF7F99"/>
    <w:rsid w:val="00C00713"/>
    <w:rsid w:val="00C009A0"/>
    <w:rsid w:val="00C01F74"/>
    <w:rsid w:val="00C02558"/>
    <w:rsid w:val="00C0285F"/>
    <w:rsid w:val="00C03305"/>
    <w:rsid w:val="00C03738"/>
    <w:rsid w:val="00C037A6"/>
    <w:rsid w:val="00C043F5"/>
    <w:rsid w:val="00C044E3"/>
    <w:rsid w:val="00C04BDB"/>
    <w:rsid w:val="00C052C6"/>
    <w:rsid w:val="00C05A61"/>
    <w:rsid w:val="00C06CCF"/>
    <w:rsid w:val="00C1159D"/>
    <w:rsid w:val="00C1233E"/>
    <w:rsid w:val="00C12FB3"/>
    <w:rsid w:val="00C13D85"/>
    <w:rsid w:val="00C14E82"/>
    <w:rsid w:val="00C14FF6"/>
    <w:rsid w:val="00C1641B"/>
    <w:rsid w:val="00C165FC"/>
    <w:rsid w:val="00C176D5"/>
    <w:rsid w:val="00C2082C"/>
    <w:rsid w:val="00C20EB0"/>
    <w:rsid w:val="00C220B6"/>
    <w:rsid w:val="00C22D7C"/>
    <w:rsid w:val="00C22DDE"/>
    <w:rsid w:val="00C2338B"/>
    <w:rsid w:val="00C238F4"/>
    <w:rsid w:val="00C23A99"/>
    <w:rsid w:val="00C245EE"/>
    <w:rsid w:val="00C24B8D"/>
    <w:rsid w:val="00C24BD7"/>
    <w:rsid w:val="00C25813"/>
    <w:rsid w:val="00C27143"/>
    <w:rsid w:val="00C27490"/>
    <w:rsid w:val="00C27D37"/>
    <w:rsid w:val="00C309E8"/>
    <w:rsid w:val="00C32017"/>
    <w:rsid w:val="00C325CD"/>
    <w:rsid w:val="00C3322E"/>
    <w:rsid w:val="00C33B90"/>
    <w:rsid w:val="00C34B5F"/>
    <w:rsid w:val="00C36785"/>
    <w:rsid w:val="00C3711C"/>
    <w:rsid w:val="00C37256"/>
    <w:rsid w:val="00C37A7B"/>
    <w:rsid w:val="00C37FFE"/>
    <w:rsid w:val="00C40B50"/>
    <w:rsid w:val="00C419E3"/>
    <w:rsid w:val="00C41E6A"/>
    <w:rsid w:val="00C42247"/>
    <w:rsid w:val="00C439BE"/>
    <w:rsid w:val="00C4539B"/>
    <w:rsid w:val="00C45466"/>
    <w:rsid w:val="00C455C1"/>
    <w:rsid w:val="00C4581D"/>
    <w:rsid w:val="00C47472"/>
    <w:rsid w:val="00C500F0"/>
    <w:rsid w:val="00C504A7"/>
    <w:rsid w:val="00C506C9"/>
    <w:rsid w:val="00C51C9A"/>
    <w:rsid w:val="00C52C68"/>
    <w:rsid w:val="00C52D98"/>
    <w:rsid w:val="00C54640"/>
    <w:rsid w:val="00C547A6"/>
    <w:rsid w:val="00C54A3A"/>
    <w:rsid w:val="00C55C32"/>
    <w:rsid w:val="00C56A67"/>
    <w:rsid w:val="00C56CC2"/>
    <w:rsid w:val="00C57498"/>
    <w:rsid w:val="00C5763C"/>
    <w:rsid w:val="00C5780C"/>
    <w:rsid w:val="00C5796B"/>
    <w:rsid w:val="00C619A1"/>
    <w:rsid w:val="00C62370"/>
    <w:rsid w:val="00C6305F"/>
    <w:rsid w:val="00C6325B"/>
    <w:rsid w:val="00C63E99"/>
    <w:rsid w:val="00C64A64"/>
    <w:rsid w:val="00C64DE1"/>
    <w:rsid w:val="00C65151"/>
    <w:rsid w:val="00C66119"/>
    <w:rsid w:val="00C66292"/>
    <w:rsid w:val="00C672A3"/>
    <w:rsid w:val="00C672F1"/>
    <w:rsid w:val="00C673D0"/>
    <w:rsid w:val="00C70012"/>
    <w:rsid w:val="00C71E2A"/>
    <w:rsid w:val="00C733BA"/>
    <w:rsid w:val="00C760DC"/>
    <w:rsid w:val="00C8082B"/>
    <w:rsid w:val="00C81A88"/>
    <w:rsid w:val="00C81D46"/>
    <w:rsid w:val="00C82298"/>
    <w:rsid w:val="00C82714"/>
    <w:rsid w:val="00C833B4"/>
    <w:rsid w:val="00C84284"/>
    <w:rsid w:val="00C861FC"/>
    <w:rsid w:val="00C86C87"/>
    <w:rsid w:val="00C9005E"/>
    <w:rsid w:val="00C90CA9"/>
    <w:rsid w:val="00C915F2"/>
    <w:rsid w:val="00C917B1"/>
    <w:rsid w:val="00C9193C"/>
    <w:rsid w:val="00C91B77"/>
    <w:rsid w:val="00C920E2"/>
    <w:rsid w:val="00C93765"/>
    <w:rsid w:val="00C93877"/>
    <w:rsid w:val="00C93D8C"/>
    <w:rsid w:val="00C959BD"/>
    <w:rsid w:val="00C95F44"/>
    <w:rsid w:val="00C96D1B"/>
    <w:rsid w:val="00CA0031"/>
    <w:rsid w:val="00CA0413"/>
    <w:rsid w:val="00CA043A"/>
    <w:rsid w:val="00CA1691"/>
    <w:rsid w:val="00CA41E7"/>
    <w:rsid w:val="00CA5812"/>
    <w:rsid w:val="00CA5BD4"/>
    <w:rsid w:val="00CA5C14"/>
    <w:rsid w:val="00CA76FC"/>
    <w:rsid w:val="00CA7E7B"/>
    <w:rsid w:val="00CB0236"/>
    <w:rsid w:val="00CB2C3A"/>
    <w:rsid w:val="00CB2D38"/>
    <w:rsid w:val="00CB3800"/>
    <w:rsid w:val="00CB4137"/>
    <w:rsid w:val="00CB52D0"/>
    <w:rsid w:val="00CB5578"/>
    <w:rsid w:val="00CB5671"/>
    <w:rsid w:val="00CB591C"/>
    <w:rsid w:val="00CB5943"/>
    <w:rsid w:val="00CB61B3"/>
    <w:rsid w:val="00CB6F83"/>
    <w:rsid w:val="00CB72AE"/>
    <w:rsid w:val="00CC00CD"/>
    <w:rsid w:val="00CC0AF3"/>
    <w:rsid w:val="00CC0BC6"/>
    <w:rsid w:val="00CC0E68"/>
    <w:rsid w:val="00CC1E55"/>
    <w:rsid w:val="00CC2514"/>
    <w:rsid w:val="00CC2F69"/>
    <w:rsid w:val="00CC315F"/>
    <w:rsid w:val="00CC3D38"/>
    <w:rsid w:val="00CC40C3"/>
    <w:rsid w:val="00CC4E5D"/>
    <w:rsid w:val="00CC50AE"/>
    <w:rsid w:val="00CC69EC"/>
    <w:rsid w:val="00CC71D3"/>
    <w:rsid w:val="00CC743D"/>
    <w:rsid w:val="00CD050A"/>
    <w:rsid w:val="00CD205D"/>
    <w:rsid w:val="00CD2A22"/>
    <w:rsid w:val="00CD2B50"/>
    <w:rsid w:val="00CD2D49"/>
    <w:rsid w:val="00CD39DA"/>
    <w:rsid w:val="00CD4506"/>
    <w:rsid w:val="00CD520B"/>
    <w:rsid w:val="00CD5982"/>
    <w:rsid w:val="00CD5A1A"/>
    <w:rsid w:val="00CD7EFA"/>
    <w:rsid w:val="00CE020E"/>
    <w:rsid w:val="00CE0566"/>
    <w:rsid w:val="00CE0AD1"/>
    <w:rsid w:val="00CE1CD4"/>
    <w:rsid w:val="00CE2761"/>
    <w:rsid w:val="00CE314E"/>
    <w:rsid w:val="00CE3BB9"/>
    <w:rsid w:val="00CE3D5C"/>
    <w:rsid w:val="00CE3E14"/>
    <w:rsid w:val="00CE44C7"/>
    <w:rsid w:val="00CE53CC"/>
    <w:rsid w:val="00CE65A7"/>
    <w:rsid w:val="00CE68FE"/>
    <w:rsid w:val="00CE6EC4"/>
    <w:rsid w:val="00CE7F26"/>
    <w:rsid w:val="00CF1ABB"/>
    <w:rsid w:val="00CF1E1D"/>
    <w:rsid w:val="00CF24FE"/>
    <w:rsid w:val="00CF35D0"/>
    <w:rsid w:val="00CF3DD5"/>
    <w:rsid w:val="00CF4AF7"/>
    <w:rsid w:val="00CF4D20"/>
    <w:rsid w:val="00CF73F8"/>
    <w:rsid w:val="00CF7928"/>
    <w:rsid w:val="00D00A8E"/>
    <w:rsid w:val="00D00DE0"/>
    <w:rsid w:val="00D012BF"/>
    <w:rsid w:val="00D01760"/>
    <w:rsid w:val="00D0368E"/>
    <w:rsid w:val="00D03D2D"/>
    <w:rsid w:val="00D03E7B"/>
    <w:rsid w:val="00D0401A"/>
    <w:rsid w:val="00D058E9"/>
    <w:rsid w:val="00D0612A"/>
    <w:rsid w:val="00D1060D"/>
    <w:rsid w:val="00D10E7C"/>
    <w:rsid w:val="00D11182"/>
    <w:rsid w:val="00D11807"/>
    <w:rsid w:val="00D11DB3"/>
    <w:rsid w:val="00D12D82"/>
    <w:rsid w:val="00D1306E"/>
    <w:rsid w:val="00D134CD"/>
    <w:rsid w:val="00D14B5F"/>
    <w:rsid w:val="00D14E13"/>
    <w:rsid w:val="00D14F23"/>
    <w:rsid w:val="00D16740"/>
    <w:rsid w:val="00D16A8B"/>
    <w:rsid w:val="00D16E39"/>
    <w:rsid w:val="00D17AD8"/>
    <w:rsid w:val="00D2104A"/>
    <w:rsid w:val="00D21BB5"/>
    <w:rsid w:val="00D21FFC"/>
    <w:rsid w:val="00D223B6"/>
    <w:rsid w:val="00D223E8"/>
    <w:rsid w:val="00D22DC8"/>
    <w:rsid w:val="00D2531C"/>
    <w:rsid w:val="00D266E9"/>
    <w:rsid w:val="00D2742F"/>
    <w:rsid w:val="00D2754F"/>
    <w:rsid w:val="00D279D9"/>
    <w:rsid w:val="00D312DC"/>
    <w:rsid w:val="00D31B84"/>
    <w:rsid w:val="00D31C6A"/>
    <w:rsid w:val="00D31EDF"/>
    <w:rsid w:val="00D31FF9"/>
    <w:rsid w:val="00D32149"/>
    <w:rsid w:val="00D32256"/>
    <w:rsid w:val="00D32A27"/>
    <w:rsid w:val="00D32ABC"/>
    <w:rsid w:val="00D34F4E"/>
    <w:rsid w:val="00D357F3"/>
    <w:rsid w:val="00D35C0E"/>
    <w:rsid w:val="00D37308"/>
    <w:rsid w:val="00D373A8"/>
    <w:rsid w:val="00D401BE"/>
    <w:rsid w:val="00D4043A"/>
    <w:rsid w:val="00D40DB0"/>
    <w:rsid w:val="00D41858"/>
    <w:rsid w:val="00D422DB"/>
    <w:rsid w:val="00D42AC2"/>
    <w:rsid w:val="00D4498E"/>
    <w:rsid w:val="00D4515F"/>
    <w:rsid w:val="00D466C9"/>
    <w:rsid w:val="00D47275"/>
    <w:rsid w:val="00D51E15"/>
    <w:rsid w:val="00D52E2F"/>
    <w:rsid w:val="00D52F59"/>
    <w:rsid w:val="00D53E3E"/>
    <w:rsid w:val="00D55904"/>
    <w:rsid w:val="00D5616F"/>
    <w:rsid w:val="00D57940"/>
    <w:rsid w:val="00D60279"/>
    <w:rsid w:val="00D60327"/>
    <w:rsid w:val="00D61526"/>
    <w:rsid w:val="00D61F81"/>
    <w:rsid w:val="00D62BE6"/>
    <w:rsid w:val="00D63766"/>
    <w:rsid w:val="00D63912"/>
    <w:rsid w:val="00D63923"/>
    <w:rsid w:val="00D6451B"/>
    <w:rsid w:val="00D64B57"/>
    <w:rsid w:val="00D65DEA"/>
    <w:rsid w:val="00D67BC7"/>
    <w:rsid w:val="00D705D3"/>
    <w:rsid w:val="00D70E00"/>
    <w:rsid w:val="00D715AC"/>
    <w:rsid w:val="00D71851"/>
    <w:rsid w:val="00D718CF"/>
    <w:rsid w:val="00D72E9D"/>
    <w:rsid w:val="00D73249"/>
    <w:rsid w:val="00D73419"/>
    <w:rsid w:val="00D73CA9"/>
    <w:rsid w:val="00D751B7"/>
    <w:rsid w:val="00D7524B"/>
    <w:rsid w:val="00D75396"/>
    <w:rsid w:val="00D759C0"/>
    <w:rsid w:val="00D75E99"/>
    <w:rsid w:val="00D766C7"/>
    <w:rsid w:val="00D7692B"/>
    <w:rsid w:val="00D7734F"/>
    <w:rsid w:val="00D8044C"/>
    <w:rsid w:val="00D805D6"/>
    <w:rsid w:val="00D80D4C"/>
    <w:rsid w:val="00D8184D"/>
    <w:rsid w:val="00D81A7B"/>
    <w:rsid w:val="00D8223C"/>
    <w:rsid w:val="00D82B57"/>
    <w:rsid w:val="00D82CE5"/>
    <w:rsid w:val="00D8342C"/>
    <w:rsid w:val="00D85494"/>
    <w:rsid w:val="00D85D61"/>
    <w:rsid w:val="00D8616D"/>
    <w:rsid w:val="00D915C8"/>
    <w:rsid w:val="00D9310B"/>
    <w:rsid w:val="00D93726"/>
    <w:rsid w:val="00D93F3E"/>
    <w:rsid w:val="00D9405B"/>
    <w:rsid w:val="00D94942"/>
    <w:rsid w:val="00D95145"/>
    <w:rsid w:val="00D967CB"/>
    <w:rsid w:val="00D96EE0"/>
    <w:rsid w:val="00D97BD1"/>
    <w:rsid w:val="00DA06B8"/>
    <w:rsid w:val="00DA286D"/>
    <w:rsid w:val="00DA2969"/>
    <w:rsid w:val="00DA29B7"/>
    <w:rsid w:val="00DA4842"/>
    <w:rsid w:val="00DA5989"/>
    <w:rsid w:val="00DA5AB1"/>
    <w:rsid w:val="00DA5F9D"/>
    <w:rsid w:val="00DA69B2"/>
    <w:rsid w:val="00DA7AD0"/>
    <w:rsid w:val="00DB03CC"/>
    <w:rsid w:val="00DB12D4"/>
    <w:rsid w:val="00DB14F0"/>
    <w:rsid w:val="00DB1745"/>
    <w:rsid w:val="00DB1AFF"/>
    <w:rsid w:val="00DB219A"/>
    <w:rsid w:val="00DB4292"/>
    <w:rsid w:val="00DB538C"/>
    <w:rsid w:val="00DB7117"/>
    <w:rsid w:val="00DB7760"/>
    <w:rsid w:val="00DB7DD4"/>
    <w:rsid w:val="00DC00B4"/>
    <w:rsid w:val="00DC0954"/>
    <w:rsid w:val="00DC15BA"/>
    <w:rsid w:val="00DC18CD"/>
    <w:rsid w:val="00DC1A68"/>
    <w:rsid w:val="00DC30B8"/>
    <w:rsid w:val="00DC62E5"/>
    <w:rsid w:val="00DC6F33"/>
    <w:rsid w:val="00DC7349"/>
    <w:rsid w:val="00DD14D8"/>
    <w:rsid w:val="00DD1599"/>
    <w:rsid w:val="00DD1B03"/>
    <w:rsid w:val="00DD2A62"/>
    <w:rsid w:val="00DD2F2F"/>
    <w:rsid w:val="00DD2F7A"/>
    <w:rsid w:val="00DD3885"/>
    <w:rsid w:val="00DD5808"/>
    <w:rsid w:val="00DD5946"/>
    <w:rsid w:val="00DD5B04"/>
    <w:rsid w:val="00DD5EC6"/>
    <w:rsid w:val="00DD605F"/>
    <w:rsid w:val="00DD72A0"/>
    <w:rsid w:val="00DD735D"/>
    <w:rsid w:val="00DE0159"/>
    <w:rsid w:val="00DE082D"/>
    <w:rsid w:val="00DE3119"/>
    <w:rsid w:val="00DE3FF0"/>
    <w:rsid w:val="00DE4105"/>
    <w:rsid w:val="00DE5189"/>
    <w:rsid w:val="00DE7108"/>
    <w:rsid w:val="00DE78D1"/>
    <w:rsid w:val="00DF0263"/>
    <w:rsid w:val="00DF0A26"/>
    <w:rsid w:val="00DF1E36"/>
    <w:rsid w:val="00DF236B"/>
    <w:rsid w:val="00DF3889"/>
    <w:rsid w:val="00DF3CC9"/>
    <w:rsid w:val="00DF4451"/>
    <w:rsid w:val="00DF49FF"/>
    <w:rsid w:val="00DF4FFB"/>
    <w:rsid w:val="00DF5236"/>
    <w:rsid w:val="00DF651F"/>
    <w:rsid w:val="00DF6F43"/>
    <w:rsid w:val="00DF752F"/>
    <w:rsid w:val="00DF76A2"/>
    <w:rsid w:val="00E00B7A"/>
    <w:rsid w:val="00E02186"/>
    <w:rsid w:val="00E026BB"/>
    <w:rsid w:val="00E027C5"/>
    <w:rsid w:val="00E03124"/>
    <w:rsid w:val="00E03951"/>
    <w:rsid w:val="00E03DB8"/>
    <w:rsid w:val="00E05E70"/>
    <w:rsid w:val="00E064BC"/>
    <w:rsid w:val="00E109DD"/>
    <w:rsid w:val="00E11229"/>
    <w:rsid w:val="00E114CA"/>
    <w:rsid w:val="00E1397F"/>
    <w:rsid w:val="00E13AB8"/>
    <w:rsid w:val="00E1482E"/>
    <w:rsid w:val="00E1699C"/>
    <w:rsid w:val="00E16E75"/>
    <w:rsid w:val="00E205A2"/>
    <w:rsid w:val="00E20BA4"/>
    <w:rsid w:val="00E23137"/>
    <w:rsid w:val="00E241E9"/>
    <w:rsid w:val="00E257C3"/>
    <w:rsid w:val="00E25B58"/>
    <w:rsid w:val="00E25CB3"/>
    <w:rsid w:val="00E25DA4"/>
    <w:rsid w:val="00E26CB8"/>
    <w:rsid w:val="00E26FCF"/>
    <w:rsid w:val="00E27165"/>
    <w:rsid w:val="00E3044A"/>
    <w:rsid w:val="00E31A4A"/>
    <w:rsid w:val="00E3344A"/>
    <w:rsid w:val="00E33B29"/>
    <w:rsid w:val="00E33B62"/>
    <w:rsid w:val="00E3403D"/>
    <w:rsid w:val="00E34E6C"/>
    <w:rsid w:val="00E353E2"/>
    <w:rsid w:val="00E36345"/>
    <w:rsid w:val="00E36C86"/>
    <w:rsid w:val="00E36CEB"/>
    <w:rsid w:val="00E40430"/>
    <w:rsid w:val="00E40690"/>
    <w:rsid w:val="00E4143A"/>
    <w:rsid w:val="00E424C8"/>
    <w:rsid w:val="00E4251D"/>
    <w:rsid w:val="00E433B9"/>
    <w:rsid w:val="00E43D00"/>
    <w:rsid w:val="00E445E4"/>
    <w:rsid w:val="00E457CB"/>
    <w:rsid w:val="00E45D47"/>
    <w:rsid w:val="00E45DE4"/>
    <w:rsid w:val="00E45E63"/>
    <w:rsid w:val="00E50A7B"/>
    <w:rsid w:val="00E510FE"/>
    <w:rsid w:val="00E514A7"/>
    <w:rsid w:val="00E51E25"/>
    <w:rsid w:val="00E521AE"/>
    <w:rsid w:val="00E53BCA"/>
    <w:rsid w:val="00E53F02"/>
    <w:rsid w:val="00E54534"/>
    <w:rsid w:val="00E548C3"/>
    <w:rsid w:val="00E54F27"/>
    <w:rsid w:val="00E55FF1"/>
    <w:rsid w:val="00E56090"/>
    <w:rsid w:val="00E565B9"/>
    <w:rsid w:val="00E5733B"/>
    <w:rsid w:val="00E601BE"/>
    <w:rsid w:val="00E60B5F"/>
    <w:rsid w:val="00E613AE"/>
    <w:rsid w:val="00E61ABB"/>
    <w:rsid w:val="00E623E6"/>
    <w:rsid w:val="00E630C0"/>
    <w:rsid w:val="00E634E6"/>
    <w:rsid w:val="00E63DCE"/>
    <w:rsid w:val="00E64700"/>
    <w:rsid w:val="00E65074"/>
    <w:rsid w:val="00E65E70"/>
    <w:rsid w:val="00E66087"/>
    <w:rsid w:val="00E66FF9"/>
    <w:rsid w:val="00E67856"/>
    <w:rsid w:val="00E679C8"/>
    <w:rsid w:val="00E724E7"/>
    <w:rsid w:val="00E72B41"/>
    <w:rsid w:val="00E7347B"/>
    <w:rsid w:val="00E73D03"/>
    <w:rsid w:val="00E77AF5"/>
    <w:rsid w:val="00E823F9"/>
    <w:rsid w:val="00E82C1F"/>
    <w:rsid w:val="00E84A71"/>
    <w:rsid w:val="00E86556"/>
    <w:rsid w:val="00E86D35"/>
    <w:rsid w:val="00E86DC2"/>
    <w:rsid w:val="00E86E32"/>
    <w:rsid w:val="00E8732E"/>
    <w:rsid w:val="00E9011F"/>
    <w:rsid w:val="00E906EB"/>
    <w:rsid w:val="00E9241E"/>
    <w:rsid w:val="00E92460"/>
    <w:rsid w:val="00E92E62"/>
    <w:rsid w:val="00E92F9A"/>
    <w:rsid w:val="00E93804"/>
    <w:rsid w:val="00E95434"/>
    <w:rsid w:val="00E96467"/>
    <w:rsid w:val="00E96948"/>
    <w:rsid w:val="00E9737B"/>
    <w:rsid w:val="00E97A3F"/>
    <w:rsid w:val="00E97F0A"/>
    <w:rsid w:val="00EA0100"/>
    <w:rsid w:val="00EA0BCE"/>
    <w:rsid w:val="00EA2744"/>
    <w:rsid w:val="00EA37B9"/>
    <w:rsid w:val="00EA39F7"/>
    <w:rsid w:val="00EA3DC2"/>
    <w:rsid w:val="00EA4757"/>
    <w:rsid w:val="00EA560B"/>
    <w:rsid w:val="00EA5669"/>
    <w:rsid w:val="00EA63EF"/>
    <w:rsid w:val="00EB00E5"/>
    <w:rsid w:val="00EB0A89"/>
    <w:rsid w:val="00EB1910"/>
    <w:rsid w:val="00EB2E97"/>
    <w:rsid w:val="00EB3C4D"/>
    <w:rsid w:val="00EB4AE1"/>
    <w:rsid w:val="00EB52F4"/>
    <w:rsid w:val="00EB5779"/>
    <w:rsid w:val="00EB67F1"/>
    <w:rsid w:val="00EB72CD"/>
    <w:rsid w:val="00EB749A"/>
    <w:rsid w:val="00EB76B6"/>
    <w:rsid w:val="00EC05E2"/>
    <w:rsid w:val="00EC0E84"/>
    <w:rsid w:val="00EC16E2"/>
    <w:rsid w:val="00EC1CE7"/>
    <w:rsid w:val="00EC1D87"/>
    <w:rsid w:val="00EC26F1"/>
    <w:rsid w:val="00EC3C94"/>
    <w:rsid w:val="00EC44DF"/>
    <w:rsid w:val="00EC4FB9"/>
    <w:rsid w:val="00EC5393"/>
    <w:rsid w:val="00EC5741"/>
    <w:rsid w:val="00EC5DA3"/>
    <w:rsid w:val="00EC6014"/>
    <w:rsid w:val="00EC675C"/>
    <w:rsid w:val="00EC6B3E"/>
    <w:rsid w:val="00EC7637"/>
    <w:rsid w:val="00EC7CF2"/>
    <w:rsid w:val="00ED046C"/>
    <w:rsid w:val="00ED053A"/>
    <w:rsid w:val="00ED1F03"/>
    <w:rsid w:val="00ED2D27"/>
    <w:rsid w:val="00ED304F"/>
    <w:rsid w:val="00ED3347"/>
    <w:rsid w:val="00ED43A2"/>
    <w:rsid w:val="00ED4967"/>
    <w:rsid w:val="00ED538C"/>
    <w:rsid w:val="00ED5771"/>
    <w:rsid w:val="00ED587F"/>
    <w:rsid w:val="00ED5964"/>
    <w:rsid w:val="00ED623F"/>
    <w:rsid w:val="00ED72E9"/>
    <w:rsid w:val="00ED732E"/>
    <w:rsid w:val="00ED77F0"/>
    <w:rsid w:val="00ED7FBC"/>
    <w:rsid w:val="00EE0253"/>
    <w:rsid w:val="00EE0297"/>
    <w:rsid w:val="00EE13DA"/>
    <w:rsid w:val="00EE1668"/>
    <w:rsid w:val="00EE366D"/>
    <w:rsid w:val="00EE59B5"/>
    <w:rsid w:val="00EE5FB7"/>
    <w:rsid w:val="00EE7B54"/>
    <w:rsid w:val="00EE7C88"/>
    <w:rsid w:val="00EE7C8B"/>
    <w:rsid w:val="00EF0209"/>
    <w:rsid w:val="00EF1E97"/>
    <w:rsid w:val="00EF2547"/>
    <w:rsid w:val="00EF2B2B"/>
    <w:rsid w:val="00EF2E1C"/>
    <w:rsid w:val="00EF2FD6"/>
    <w:rsid w:val="00EF326A"/>
    <w:rsid w:val="00EF427A"/>
    <w:rsid w:val="00EF45DF"/>
    <w:rsid w:val="00EF4952"/>
    <w:rsid w:val="00EF498F"/>
    <w:rsid w:val="00EF4A42"/>
    <w:rsid w:val="00EF510C"/>
    <w:rsid w:val="00EF55C4"/>
    <w:rsid w:val="00EF57BC"/>
    <w:rsid w:val="00EF6784"/>
    <w:rsid w:val="00EF688A"/>
    <w:rsid w:val="00EF6A03"/>
    <w:rsid w:val="00EF6DC2"/>
    <w:rsid w:val="00EF7BF4"/>
    <w:rsid w:val="00F00674"/>
    <w:rsid w:val="00F01657"/>
    <w:rsid w:val="00F02744"/>
    <w:rsid w:val="00F02BFD"/>
    <w:rsid w:val="00F02D25"/>
    <w:rsid w:val="00F04580"/>
    <w:rsid w:val="00F04ECA"/>
    <w:rsid w:val="00F06E19"/>
    <w:rsid w:val="00F06F84"/>
    <w:rsid w:val="00F076E7"/>
    <w:rsid w:val="00F07AA1"/>
    <w:rsid w:val="00F105AE"/>
    <w:rsid w:val="00F10618"/>
    <w:rsid w:val="00F1108B"/>
    <w:rsid w:val="00F11768"/>
    <w:rsid w:val="00F11951"/>
    <w:rsid w:val="00F12262"/>
    <w:rsid w:val="00F12AF8"/>
    <w:rsid w:val="00F12C52"/>
    <w:rsid w:val="00F148B7"/>
    <w:rsid w:val="00F15505"/>
    <w:rsid w:val="00F15BFF"/>
    <w:rsid w:val="00F213A0"/>
    <w:rsid w:val="00F21D54"/>
    <w:rsid w:val="00F23113"/>
    <w:rsid w:val="00F23255"/>
    <w:rsid w:val="00F2359C"/>
    <w:rsid w:val="00F23759"/>
    <w:rsid w:val="00F24644"/>
    <w:rsid w:val="00F26F33"/>
    <w:rsid w:val="00F30400"/>
    <w:rsid w:val="00F3079E"/>
    <w:rsid w:val="00F3399B"/>
    <w:rsid w:val="00F346ED"/>
    <w:rsid w:val="00F34945"/>
    <w:rsid w:val="00F34E1E"/>
    <w:rsid w:val="00F3570C"/>
    <w:rsid w:val="00F368FF"/>
    <w:rsid w:val="00F37068"/>
    <w:rsid w:val="00F37F3F"/>
    <w:rsid w:val="00F40992"/>
    <w:rsid w:val="00F41596"/>
    <w:rsid w:val="00F41D8B"/>
    <w:rsid w:val="00F42121"/>
    <w:rsid w:val="00F428B1"/>
    <w:rsid w:val="00F428B4"/>
    <w:rsid w:val="00F4345D"/>
    <w:rsid w:val="00F4387B"/>
    <w:rsid w:val="00F45B91"/>
    <w:rsid w:val="00F45D74"/>
    <w:rsid w:val="00F46639"/>
    <w:rsid w:val="00F50183"/>
    <w:rsid w:val="00F50D92"/>
    <w:rsid w:val="00F51765"/>
    <w:rsid w:val="00F51A51"/>
    <w:rsid w:val="00F51CB4"/>
    <w:rsid w:val="00F52324"/>
    <w:rsid w:val="00F52C9D"/>
    <w:rsid w:val="00F533F1"/>
    <w:rsid w:val="00F54006"/>
    <w:rsid w:val="00F55679"/>
    <w:rsid w:val="00F561E3"/>
    <w:rsid w:val="00F565E6"/>
    <w:rsid w:val="00F56AFA"/>
    <w:rsid w:val="00F575E2"/>
    <w:rsid w:val="00F579FF"/>
    <w:rsid w:val="00F600E0"/>
    <w:rsid w:val="00F605EC"/>
    <w:rsid w:val="00F60F60"/>
    <w:rsid w:val="00F624A7"/>
    <w:rsid w:val="00F656F8"/>
    <w:rsid w:val="00F65A3C"/>
    <w:rsid w:val="00F67D8B"/>
    <w:rsid w:val="00F70961"/>
    <w:rsid w:val="00F71397"/>
    <w:rsid w:val="00F72389"/>
    <w:rsid w:val="00F72516"/>
    <w:rsid w:val="00F735E5"/>
    <w:rsid w:val="00F73E80"/>
    <w:rsid w:val="00F7469C"/>
    <w:rsid w:val="00F74885"/>
    <w:rsid w:val="00F7492E"/>
    <w:rsid w:val="00F74945"/>
    <w:rsid w:val="00F749A3"/>
    <w:rsid w:val="00F74AE8"/>
    <w:rsid w:val="00F77021"/>
    <w:rsid w:val="00F77877"/>
    <w:rsid w:val="00F77E61"/>
    <w:rsid w:val="00F815AC"/>
    <w:rsid w:val="00F83B33"/>
    <w:rsid w:val="00F840BF"/>
    <w:rsid w:val="00F843DF"/>
    <w:rsid w:val="00F84899"/>
    <w:rsid w:val="00F85585"/>
    <w:rsid w:val="00F859F0"/>
    <w:rsid w:val="00F85CC1"/>
    <w:rsid w:val="00F86B5D"/>
    <w:rsid w:val="00F87C13"/>
    <w:rsid w:val="00F87E29"/>
    <w:rsid w:val="00F87F18"/>
    <w:rsid w:val="00F87F68"/>
    <w:rsid w:val="00F903CF"/>
    <w:rsid w:val="00F90C4D"/>
    <w:rsid w:val="00F9167D"/>
    <w:rsid w:val="00F91CB2"/>
    <w:rsid w:val="00F9289C"/>
    <w:rsid w:val="00F93DBC"/>
    <w:rsid w:val="00F94644"/>
    <w:rsid w:val="00F9537B"/>
    <w:rsid w:val="00F963FC"/>
    <w:rsid w:val="00FA015F"/>
    <w:rsid w:val="00FA0FAC"/>
    <w:rsid w:val="00FA1DA2"/>
    <w:rsid w:val="00FA3414"/>
    <w:rsid w:val="00FA347A"/>
    <w:rsid w:val="00FA3CDE"/>
    <w:rsid w:val="00FA49B7"/>
    <w:rsid w:val="00FA5043"/>
    <w:rsid w:val="00FA6F8B"/>
    <w:rsid w:val="00FA7A30"/>
    <w:rsid w:val="00FB033F"/>
    <w:rsid w:val="00FB1570"/>
    <w:rsid w:val="00FB193B"/>
    <w:rsid w:val="00FB27B7"/>
    <w:rsid w:val="00FB35E3"/>
    <w:rsid w:val="00FB3935"/>
    <w:rsid w:val="00FB583C"/>
    <w:rsid w:val="00FB630E"/>
    <w:rsid w:val="00FB6738"/>
    <w:rsid w:val="00FB691B"/>
    <w:rsid w:val="00FB731C"/>
    <w:rsid w:val="00FC05A0"/>
    <w:rsid w:val="00FC0811"/>
    <w:rsid w:val="00FC1196"/>
    <w:rsid w:val="00FC15EB"/>
    <w:rsid w:val="00FC18DC"/>
    <w:rsid w:val="00FC2AC4"/>
    <w:rsid w:val="00FC2F73"/>
    <w:rsid w:val="00FC3A9B"/>
    <w:rsid w:val="00FC3AE1"/>
    <w:rsid w:val="00FC3EF4"/>
    <w:rsid w:val="00FC431B"/>
    <w:rsid w:val="00FC434C"/>
    <w:rsid w:val="00FC4FDF"/>
    <w:rsid w:val="00FC5CF4"/>
    <w:rsid w:val="00FC6A39"/>
    <w:rsid w:val="00FC79AB"/>
    <w:rsid w:val="00FC7DAC"/>
    <w:rsid w:val="00FD04AE"/>
    <w:rsid w:val="00FD1890"/>
    <w:rsid w:val="00FD1994"/>
    <w:rsid w:val="00FD393C"/>
    <w:rsid w:val="00FD43BB"/>
    <w:rsid w:val="00FD4AF3"/>
    <w:rsid w:val="00FD798D"/>
    <w:rsid w:val="00FE141E"/>
    <w:rsid w:val="00FE144E"/>
    <w:rsid w:val="00FE2560"/>
    <w:rsid w:val="00FE35D0"/>
    <w:rsid w:val="00FE42ED"/>
    <w:rsid w:val="00FE55A7"/>
    <w:rsid w:val="00FE5C5A"/>
    <w:rsid w:val="00FE6432"/>
    <w:rsid w:val="00FE72A0"/>
    <w:rsid w:val="00FF0050"/>
    <w:rsid w:val="00FF045F"/>
    <w:rsid w:val="00FF13D4"/>
    <w:rsid w:val="00FF3B37"/>
    <w:rsid w:val="00FF3D6F"/>
    <w:rsid w:val="00FF4BD8"/>
    <w:rsid w:val="00FF4D11"/>
    <w:rsid w:val="00FF5214"/>
    <w:rsid w:val="00FF5B59"/>
    <w:rsid w:val="00FF5BFD"/>
    <w:rsid w:val="00FF6095"/>
    <w:rsid w:val="00FF62FE"/>
    <w:rsid w:val="00FF6553"/>
    <w:rsid w:val="00FF7A3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94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6D712D"/>
    <w:pPr>
      <w:widowControl w:val="0"/>
      <w:autoSpaceDE w:val="0"/>
      <w:autoSpaceDN w:val="0"/>
      <w:ind w:left="660" w:hanging="366"/>
      <w:outlineLvl w:val="0"/>
    </w:pPr>
    <w:rPr>
      <w:rFonts w:ascii="Arial" w:eastAsia="Arial" w:hAnsi="Arial" w:cs="Arial"/>
      <w:b/>
      <w:bCs/>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szCs w:val="22"/>
      <w:lang w:val="es-MX" w:eastAsia="en-US"/>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szCs w:val="22"/>
      <w:lang w:val="es-MX" w:eastAsia="en-US"/>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5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szCs w:val="22"/>
      <w:lang w:val="es-MX" w:eastAsia="en-US"/>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semiHidden/>
    <w:unhideWhenUsed/>
    <w:rsid w:val="00DA5AB1"/>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lang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iPriority w:val="99"/>
    <w:unhideWhenUsed/>
    <w:qFormat/>
    <w:rsid w:val="007B085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hAnsi="Arial" w:cs="Arial"/>
      <w:b/>
      <w:color w:val="000000"/>
      <w:sz w:val="20"/>
      <w:szCs w:val="20"/>
      <w:lang w:eastAsia="es-CO"/>
    </w:rPr>
  </w:style>
  <w:style w:type="character" w:styleId="Refdenotaalpie">
    <w:name w:val="footnote reference"/>
    <w:aliases w:val="Ref. de nota al pie 2,Ref,de nota al pie,FC,Appel note de bas de p,f,4_G,16 Point,Superscript 6 Point,Texto nota al pie,Pie de Página,Texto de nota al pi,Nota de pie,Footnote Reference Char3,Texto nota pie Car2,Texto de nota al p,F,R"/>
    <w:basedOn w:val="Fuentedeprrafopredeter"/>
    <w:link w:val="Appelnotedebasde"/>
    <w:uiPriority w:val="99"/>
    <w:unhideWhenUsed/>
    <w:qFormat/>
    <w:rsid w:val="007B0854"/>
    <w:rPr>
      <w:vertAlign w:val="superscript"/>
    </w:rPr>
  </w:style>
  <w:style w:type="table" w:customStyle="1" w:styleId="Tablaconcuadrcula1">
    <w:name w:val="Tabla con cuadrícula1"/>
    <w:basedOn w:val="Tablanormal"/>
    <w:next w:val="Tablaconcuadrcula"/>
    <w:uiPriority w:val="59"/>
    <w:rsid w:val="0079564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1108B"/>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F1108B"/>
    <w:rPr>
      <w:rFonts w:eastAsiaTheme="minorEastAsia"/>
      <w:lang w:eastAsia="es-CO"/>
    </w:rPr>
  </w:style>
  <w:style w:type="character" w:customStyle="1" w:styleId="Mencinsinresolver1">
    <w:name w:val="Mención sin resolver1"/>
    <w:basedOn w:val="Fuentedeprrafopredeter"/>
    <w:uiPriority w:val="99"/>
    <w:semiHidden/>
    <w:unhideWhenUsed/>
    <w:rsid w:val="00247712"/>
    <w:rPr>
      <w:color w:val="605E5C"/>
      <w:shd w:val="clear" w:color="auto" w:fill="E1DFDD"/>
    </w:rPr>
  </w:style>
  <w:style w:type="character" w:customStyle="1" w:styleId="Mencinsinresolver2">
    <w:name w:val="Mención sin resolver2"/>
    <w:basedOn w:val="Fuentedeprrafopredeter"/>
    <w:uiPriority w:val="99"/>
    <w:semiHidden/>
    <w:unhideWhenUsed/>
    <w:rsid w:val="00717ACB"/>
    <w:rPr>
      <w:color w:val="605E5C"/>
      <w:shd w:val="clear" w:color="auto" w:fill="E1DFDD"/>
    </w:rPr>
  </w:style>
  <w:style w:type="character" w:styleId="Mencinsinresolver">
    <w:name w:val="Unresolved Mention"/>
    <w:basedOn w:val="Fuentedeprrafopredeter"/>
    <w:uiPriority w:val="99"/>
    <w:rsid w:val="00517CFB"/>
    <w:rPr>
      <w:color w:val="605E5C"/>
      <w:shd w:val="clear" w:color="auto" w:fill="E1DFDD"/>
    </w:rPr>
  </w:style>
  <w:style w:type="paragraph" w:customStyle="1" w:styleId="Default">
    <w:name w:val="Default"/>
    <w:rsid w:val="008919C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DD5B04"/>
    <w:pPr>
      <w:spacing w:before="100" w:beforeAutospacing="1" w:after="100" w:afterAutospacing="1"/>
    </w:pPr>
    <w:rPr>
      <w:lang w:eastAsia="es-CO"/>
    </w:rPr>
  </w:style>
  <w:style w:type="character" w:customStyle="1" w:styleId="textrun">
    <w:name w:val="textrun"/>
    <w:basedOn w:val="Fuentedeprrafopredeter"/>
    <w:rsid w:val="00DD5B04"/>
  </w:style>
  <w:style w:type="character" w:customStyle="1" w:styleId="normaltextrun">
    <w:name w:val="normaltextrun"/>
    <w:basedOn w:val="Fuentedeprrafopredeter"/>
    <w:rsid w:val="00DD5B04"/>
  </w:style>
  <w:style w:type="character" w:customStyle="1" w:styleId="eop">
    <w:name w:val="eop"/>
    <w:basedOn w:val="Fuentedeprrafopredeter"/>
    <w:rsid w:val="00DD5B04"/>
  </w:style>
  <w:style w:type="character" w:customStyle="1" w:styleId="spellingerror">
    <w:name w:val="spellingerror"/>
    <w:basedOn w:val="Fuentedeprrafopredeter"/>
    <w:rsid w:val="00DD5B04"/>
  </w:style>
  <w:style w:type="character" w:styleId="Nmerodepgina">
    <w:name w:val="page number"/>
    <w:basedOn w:val="Fuentedeprrafopredeter"/>
    <w:uiPriority w:val="99"/>
    <w:semiHidden/>
    <w:unhideWhenUsed/>
    <w:rsid w:val="00DD5B04"/>
  </w:style>
  <w:style w:type="character" w:customStyle="1" w:styleId="Ttulo1Car">
    <w:name w:val="Título 1 Car"/>
    <w:basedOn w:val="Fuentedeprrafopredeter"/>
    <w:link w:val="Ttulo1"/>
    <w:uiPriority w:val="1"/>
    <w:rsid w:val="006D712D"/>
    <w:rPr>
      <w:rFonts w:ascii="Arial" w:eastAsia="Arial" w:hAnsi="Arial" w:cs="Arial"/>
      <w:b/>
      <w:bCs/>
      <w:lang w:val="es-ES"/>
    </w:rPr>
  </w:style>
  <w:style w:type="paragraph" w:customStyle="1" w:styleId="Appelnotedebasde">
    <w:name w:val="Appel note de bas de..."/>
    <w:basedOn w:val="Normal"/>
    <w:link w:val="Refdenotaalpie"/>
    <w:uiPriority w:val="99"/>
    <w:rsid w:val="00477C5F"/>
    <w:pPr>
      <w:spacing w:after="160" w:line="240" w:lineRule="exact"/>
    </w:pPr>
    <w:rPr>
      <w:rFonts w:asciiTheme="minorHAnsi" w:eastAsiaTheme="minorHAnsi" w:hAnsiTheme="minorHAnsi" w:cstheme="minorBidi"/>
      <w:sz w:val="22"/>
      <w:szCs w:val="22"/>
      <w:vertAlign w:val="superscript"/>
      <w:lang w:eastAsia="en-US"/>
    </w:rPr>
  </w:style>
  <w:style w:type="paragraph" w:styleId="Sangradetextonormal">
    <w:name w:val="Body Text Indent"/>
    <w:basedOn w:val="Normal"/>
    <w:link w:val="SangradetextonormalCar"/>
    <w:uiPriority w:val="99"/>
    <w:semiHidden/>
    <w:unhideWhenUsed/>
    <w:rsid w:val="006B7E4E"/>
    <w:pPr>
      <w:spacing w:after="120"/>
      <w:ind w:left="283"/>
    </w:pPr>
    <w:rPr>
      <w:rFonts w:asciiTheme="minorHAnsi" w:eastAsiaTheme="minorHAnsi" w:hAnsiTheme="minorHAnsi" w:cstheme="minorBidi"/>
      <w:szCs w:val="22"/>
      <w:lang w:val="es-MX" w:eastAsia="en-US"/>
    </w:rPr>
  </w:style>
  <w:style w:type="character" w:customStyle="1" w:styleId="SangradetextonormalCar">
    <w:name w:val="Sangría de texto normal Car"/>
    <w:basedOn w:val="Fuentedeprrafopredeter"/>
    <w:link w:val="Sangradetextonormal"/>
    <w:uiPriority w:val="99"/>
    <w:semiHidden/>
    <w:rsid w:val="006B7E4E"/>
    <w:rPr>
      <w:sz w:val="24"/>
      <w:lang w:val="es-MX"/>
    </w:rPr>
  </w:style>
  <w:style w:type="character" w:styleId="Textoennegrita">
    <w:name w:val="Strong"/>
    <w:basedOn w:val="Fuentedeprrafopredeter"/>
    <w:uiPriority w:val="22"/>
    <w:qFormat/>
    <w:rsid w:val="00F3570C"/>
    <w:rPr>
      <w:b/>
      <w:bCs/>
    </w:rPr>
  </w:style>
  <w:style w:type="character" w:styleId="nfasis">
    <w:name w:val="Emphasis"/>
    <w:basedOn w:val="Fuentedeprrafopredeter"/>
    <w:uiPriority w:val="20"/>
    <w:qFormat/>
    <w:rsid w:val="00F3570C"/>
    <w:rPr>
      <w:i/>
      <w:iCs/>
    </w:rPr>
  </w:style>
  <w:style w:type="character" w:customStyle="1" w:styleId="NormalWebCar">
    <w:name w:val="Normal (Web) Car"/>
    <w:link w:val="NormalWeb"/>
    <w:uiPriority w:val="99"/>
    <w:rsid w:val="00F3570C"/>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2666">
      <w:bodyDiv w:val="1"/>
      <w:marLeft w:val="0"/>
      <w:marRight w:val="0"/>
      <w:marTop w:val="0"/>
      <w:marBottom w:val="0"/>
      <w:divBdr>
        <w:top w:val="none" w:sz="0" w:space="0" w:color="auto"/>
        <w:left w:val="none" w:sz="0" w:space="0" w:color="auto"/>
        <w:bottom w:val="none" w:sz="0" w:space="0" w:color="auto"/>
        <w:right w:val="none" w:sz="0" w:space="0" w:color="auto"/>
      </w:divBdr>
    </w:div>
    <w:div w:id="16934018">
      <w:bodyDiv w:val="1"/>
      <w:marLeft w:val="0"/>
      <w:marRight w:val="0"/>
      <w:marTop w:val="0"/>
      <w:marBottom w:val="0"/>
      <w:divBdr>
        <w:top w:val="none" w:sz="0" w:space="0" w:color="auto"/>
        <w:left w:val="none" w:sz="0" w:space="0" w:color="auto"/>
        <w:bottom w:val="none" w:sz="0" w:space="0" w:color="auto"/>
        <w:right w:val="none" w:sz="0" w:space="0" w:color="auto"/>
      </w:divBdr>
    </w:div>
    <w:div w:id="27223948">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42021781">
      <w:bodyDiv w:val="1"/>
      <w:marLeft w:val="0"/>
      <w:marRight w:val="0"/>
      <w:marTop w:val="0"/>
      <w:marBottom w:val="0"/>
      <w:divBdr>
        <w:top w:val="none" w:sz="0" w:space="0" w:color="auto"/>
        <w:left w:val="none" w:sz="0" w:space="0" w:color="auto"/>
        <w:bottom w:val="none" w:sz="0" w:space="0" w:color="auto"/>
        <w:right w:val="none" w:sz="0" w:space="0" w:color="auto"/>
      </w:divBdr>
    </w:div>
    <w:div w:id="47606611">
      <w:bodyDiv w:val="1"/>
      <w:marLeft w:val="0"/>
      <w:marRight w:val="0"/>
      <w:marTop w:val="0"/>
      <w:marBottom w:val="0"/>
      <w:divBdr>
        <w:top w:val="none" w:sz="0" w:space="0" w:color="auto"/>
        <w:left w:val="none" w:sz="0" w:space="0" w:color="auto"/>
        <w:bottom w:val="none" w:sz="0" w:space="0" w:color="auto"/>
        <w:right w:val="none" w:sz="0" w:space="0" w:color="auto"/>
      </w:divBdr>
    </w:div>
    <w:div w:id="51780109">
      <w:bodyDiv w:val="1"/>
      <w:marLeft w:val="0"/>
      <w:marRight w:val="0"/>
      <w:marTop w:val="0"/>
      <w:marBottom w:val="0"/>
      <w:divBdr>
        <w:top w:val="none" w:sz="0" w:space="0" w:color="auto"/>
        <w:left w:val="none" w:sz="0" w:space="0" w:color="auto"/>
        <w:bottom w:val="none" w:sz="0" w:space="0" w:color="auto"/>
        <w:right w:val="none" w:sz="0" w:space="0" w:color="auto"/>
      </w:divBdr>
      <w:divsChild>
        <w:div w:id="952639156">
          <w:marLeft w:val="0"/>
          <w:marRight w:val="0"/>
          <w:marTop w:val="0"/>
          <w:marBottom w:val="0"/>
          <w:divBdr>
            <w:top w:val="none" w:sz="0" w:space="0" w:color="auto"/>
            <w:left w:val="none" w:sz="0" w:space="0" w:color="auto"/>
            <w:bottom w:val="none" w:sz="0" w:space="0" w:color="auto"/>
            <w:right w:val="none" w:sz="0" w:space="0" w:color="auto"/>
          </w:divBdr>
          <w:divsChild>
            <w:div w:id="1324165564">
              <w:marLeft w:val="0"/>
              <w:marRight w:val="0"/>
              <w:marTop w:val="0"/>
              <w:marBottom w:val="0"/>
              <w:divBdr>
                <w:top w:val="none" w:sz="0" w:space="0" w:color="auto"/>
                <w:left w:val="none" w:sz="0" w:space="0" w:color="auto"/>
                <w:bottom w:val="none" w:sz="0" w:space="0" w:color="auto"/>
                <w:right w:val="none" w:sz="0" w:space="0" w:color="auto"/>
              </w:divBdr>
              <w:divsChild>
                <w:div w:id="1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0360">
      <w:bodyDiv w:val="1"/>
      <w:marLeft w:val="0"/>
      <w:marRight w:val="0"/>
      <w:marTop w:val="0"/>
      <w:marBottom w:val="0"/>
      <w:divBdr>
        <w:top w:val="none" w:sz="0" w:space="0" w:color="auto"/>
        <w:left w:val="none" w:sz="0" w:space="0" w:color="auto"/>
        <w:bottom w:val="none" w:sz="0" w:space="0" w:color="auto"/>
        <w:right w:val="none" w:sz="0" w:space="0" w:color="auto"/>
      </w:divBdr>
    </w:div>
    <w:div w:id="85270241">
      <w:bodyDiv w:val="1"/>
      <w:marLeft w:val="0"/>
      <w:marRight w:val="0"/>
      <w:marTop w:val="0"/>
      <w:marBottom w:val="0"/>
      <w:divBdr>
        <w:top w:val="none" w:sz="0" w:space="0" w:color="auto"/>
        <w:left w:val="none" w:sz="0" w:space="0" w:color="auto"/>
        <w:bottom w:val="none" w:sz="0" w:space="0" w:color="auto"/>
        <w:right w:val="none" w:sz="0" w:space="0" w:color="auto"/>
      </w:divBdr>
    </w:div>
    <w:div w:id="138035677">
      <w:bodyDiv w:val="1"/>
      <w:marLeft w:val="0"/>
      <w:marRight w:val="0"/>
      <w:marTop w:val="0"/>
      <w:marBottom w:val="0"/>
      <w:divBdr>
        <w:top w:val="none" w:sz="0" w:space="0" w:color="auto"/>
        <w:left w:val="none" w:sz="0" w:space="0" w:color="auto"/>
        <w:bottom w:val="none" w:sz="0" w:space="0" w:color="auto"/>
        <w:right w:val="none" w:sz="0" w:space="0" w:color="auto"/>
      </w:divBdr>
    </w:div>
    <w:div w:id="166599726">
      <w:bodyDiv w:val="1"/>
      <w:marLeft w:val="0"/>
      <w:marRight w:val="0"/>
      <w:marTop w:val="0"/>
      <w:marBottom w:val="0"/>
      <w:divBdr>
        <w:top w:val="none" w:sz="0" w:space="0" w:color="auto"/>
        <w:left w:val="none" w:sz="0" w:space="0" w:color="auto"/>
        <w:bottom w:val="none" w:sz="0" w:space="0" w:color="auto"/>
        <w:right w:val="none" w:sz="0" w:space="0" w:color="auto"/>
      </w:divBdr>
    </w:div>
    <w:div w:id="199707491">
      <w:bodyDiv w:val="1"/>
      <w:marLeft w:val="0"/>
      <w:marRight w:val="0"/>
      <w:marTop w:val="0"/>
      <w:marBottom w:val="0"/>
      <w:divBdr>
        <w:top w:val="none" w:sz="0" w:space="0" w:color="auto"/>
        <w:left w:val="none" w:sz="0" w:space="0" w:color="auto"/>
        <w:bottom w:val="none" w:sz="0" w:space="0" w:color="auto"/>
        <w:right w:val="none" w:sz="0" w:space="0" w:color="auto"/>
      </w:divBdr>
    </w:div>
    <w:div w:id="208080400">
      <w:bodyDiv w:val="1"/>
      <w:marLeft w:val="0"/>
      <w:marRight w:val="0"/>
      <w:marTop w:val="0"/>
      <w:marBottom w:val="0"/>
      <w:divBdr>
        <w:top w:val="none" w:sz="0" w:space="0" w:color="auto"/>
        <w:left w:val="none" w:sz="0" w:space="0" w:color="auto"/>
        <w:bottom w:val="none" w:sz="0" w:space="0" w:color="auto"/>
        <w:right w:val="none" w:sz="0" w:space="0" w:color="auto"/>
      </w:divBdr>
    </w:div>
    <w:div w:id="235555305">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9">
          <w:marLeft w:val="0"/>
          <w:marRight w:val="0"/>
          <w:marTop w:val="0"/>
          <w:marBottom w:val="0"/>
          <w:divBdr>
            <w:top w:val="none" w:sz="0" w:space="0" w:color="auto"/>
            <w:left w:val="none" w:sz="0" w:space="0" w:color="auto"/>
            <w:bottom w:val="none" w:sz="0" w:space="0" w:color="auto"/>
            <w:right w:val="none" w:sz="0" w:space="0" w:color="auto"/>
          </w:divBdr>
          <w:divsChild>
            <w:div w:id="150484144">
              <w:marLeft w:val="0"/>
              <w:marRight w:val="0"/>
              <w:marTop w:val="0"/>
              <w:marBottom w:val="0"/>
              <w:divBdr>
                <w:top w:val="none" w:sz="0" w:space="0" w:color="auto"/>
                <w:left w:val="none" w:sz="0" w:space="0" w:color="auto"/>
                <w:bottom w:val="none" w:sz="0" w:space="0" w:color="auto"/>
                <w:right w:val="none" w:sz="0" w:space="0" w:color="auto"/>
              </w:divBdr>
              <w:divsChild>
                <w:div w:id="7417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6739">
      <w:bodyDiv w:val="1"/>
      <w:marLeft w:val="0"/>
      <w:marRight w:val="0"/>
      <w:marTop w:val="0"/>
      <w:marBottom w:val="0"/>
      <w:divBdr>
        <w:top w:val="none" w:sz="0" w:space="0" w:color="auto"/>
        <w:left w:val="none" w:sz="0" w:space="0" w:color="auto"/>
        <w:bottom w:val="none" w:sz="0" w:space="0" w:color="auto"/>
        <w:right w:val="none" w:sz="0" w:space="0" w:color="auto"/>
      </w:divBdr>
    </w:div>
    <w:div w:id="284427149">
      <w:bodyDiv w:val="1"/>
      <w:marLeft w:val="0"/>
      <w:marRight w:val="0"/>
      <w:marTop w:val="0"/>
      <w:marBottom w:val="0"/>
      <w:divBdr>
        <w:top w:val="none" w:sz="0" w:space="0" w:color="auto"/>
        <w:left w:val="none" w:sz="0" w:space="0" w:color="auto"/>
        <w:bottom w:val="none" w:sz="0" w:space="0" w:color="auto"/>
        <w:right w:val="none" w:sz="0" w:space="0" w:color="auto"/>
      </w:divBdr>
    </w:div>
    <w:div w:id="287053986">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292759390">
      <w:bodyDiv w:val="1"/>
      <w:marLeft w:val="0"/>
      <w:marRight w:val="0"/>
      <w:marTop w:val="0"/>
      <w:marBottom w:val="0"/>
      <w:divBdr>
        <w:top w:val="none" w:sz="0" w:space="0" w:color="auto"/>
        <w:left w:val="none" w:sz="0" w:space="0" w:color="auto"/>
        <w:bottom w:val="none" w:sz="0" w:space="0" w:color="auto"/>
        <w:right w:val="none" w:sz="0" w:space="0" w:color="auto"/>
      </w:divBdr>
    </w:div>
    <w:div w:id="312223570">
      <w:bodyDiv w:val="1"/>
      <w:marLeft w:val="0"/>
      <w:marRight w:val="0"/>
      <w:marTop w:val="0"/>
      <w:marBottom w:val="0"/>
      <w:divBdr>
        <w:top w:val="none" w:sz="0" w:space="0" w:color="auto"/>
        <w:left w:val="none" w:sz="0" w:space="0" w:color="auto"/>
        <w:bottom w:val="none" w:sz="0" w:space="0" w:color="auto"/>
        <w:right w:val="none" w:sz="0" w:space="0" w:color="auto"/>
      </w:divBdr>
    </w:div>
    <w:div w:id="322202786">
      <w:bodyDiv w:val="1"/>
      <w:marLeft w:val="0"/>
      <w:marRight w:val="0"/>
      <w:marTop w:val="0"/>
      <w:marBottom w:val="0"/>
      <w:divBdr>
        <w:top w:val="none" w:sz="0" w:space="0" w:color="auto"/>
        <w:left w:val="none" w:sz="0" w:space="0" w:color="auto"/>
        <w:bottom w:val="none" w:sz="0" w:space="0" w:color="auto"/>
        <w:right w:val="none" w:sz="0" w:space="0" w:color="auto"/>
      </w:divBdr>
    </w:div>
    <w:div w:id="334965764">
      <w:bodyDiv w:val="1"/>
      <w:marLeft w:val="0"/>
      <w:marRight w:val="0"/>
      <w:marTop w:val="0"/>
      <w:marBottom w:val="0"/>
      <w:divBdr>
        <w:top w:val="none" w:sz="0" w:space="0" w:color="auto"/>
        <w:left w:val="none" w:sz="0" w:space="0" w:color="auto"/>
        <w:bottom w:val="none" w:sz="0" w:space="0" w:color="auto"/>
        <w:right w:val="none" w:sz="0" w:space="0" w:color="auto"/>
      </w:divBdr>
    </w:div>
    <w:div w:id="337391810">
      <w:bodyDiv w:val="1"/>
      <w:marLeft w:val="0"/>
      <w:marRight w:val="0"/>
      <w:marTop w:val="0"/>
      <w:marBottom w:val="0"/>
      <w:divBdr>
        <w:top w:val="none" w:sz="0" w:space="0" w:color="auto"/>
        <w:left w:val="none" w:sz="0" w:space="0" w:color="auto"/>
        <w:bottom w:val="none" w:sz="0" w:space="0" w:color="auto"/>
        <w:right w:val="none" w:sz="0" w:space="0" w:color="auto"/>
      </w:divBdr>
    </w:div>
    <w:div w:id="344946704">
      <w:bodyDiv w:val="1"/>
      <w:marLeft w:val="0"/>
      <w:marRight w:val="0"/>
      <w:marTop w:val="0"/>
      <w:marBottom w:val="0"/>
      <w:divBdr>
        <w:top w:val="none" w:sz="0" w:space="0" w:color="auto"/>
        <w:left w:val="none" w:sz="0" w:space="0" w:color="auto"/>
        <w:bottom w:val="none" w:sz="0" w:space="0" w:color="auto"/>
        <w:right w:val="none" w:sz="0" w:space="0" w:color="auto"/>
      </w:divBdr>
      <w:divsChild>
        <w:div w:id="1496412692">
          <w:marLeft w:val="0"/>
          <w:marRight w:val="0"/>
          <w:marTop w:val="0"/>
          <w:marBottom w:val="0"/>
          <w:divBdr>
            <w:top w:val="none" w:sz="0" w:space="0" w:color="auto"/>
            <w:left w:val="none" w:sz="0" w:space="0" w:color="auto"/>
            <w:bottom w:val="none" w:sz="0" w:space="0" w:color="auto"/>
            <w:right w:val="none" w:sz="0" w:space="0" w:color="auto"/>
          </w:divBdr>
          <w:divsChild>
            <w:div w:id="1121000746">
              <w:marLeft w:val="0"/>
              <w:marRight w:val="0"/>
              <w:marTop w:val="0"/>
              <w:marBottom w:val="0"/>
              <w:divBdr>
                <w:top w:val="none" w:sz="0" w:space="0" w:color="auto"/>
                <w:left w:val="none" w:sz="0" w:space="0" w:color="auto"/>
                <w:bottom w:val="none" w:sz="0" w:space="0" w:color="auto"/>
                <w:right w:val="none" w:sz="0" w:space="0" w:color="auto"/>
              </w:divBdr>
              <w:divsChild>
                <w:div w:id="136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2120">
      <w:bodyDiv w:val="1"/>
      <w:marLeft w:val="0"/>
      <w:marRight w:val="0"/>
      <w:marTop w:val="0"/>
      <w:marBottom w:val="0"/>
      <w:divBdr>
        <w:top w:val="none" w:sz="0" w:space="0" w:color="auto"/>
        <w:left w:val="none" w:sz="0" w:space="0" w:color="auto"/>
        <w:bottom w:val="none" w:sz="0" w:space="0" w:color="auto"/>
        <w:right w:val="none" w:sz="0" w:space="0" w:color="auto"/>
      </w:divBdr>
    </w:div>
    <w:div w:id="351734920">
      <w:bodyDiv w:val="1"/>
      <w:marLeft w:val="0"/>
      <w:marRight w:val="0"/>
      <w:marTop w:val="0"/>
      <w:marBottom w:val="0"/>
      <w:divBdr>
        <w:top w:val="none" w:sz="0" w:space="0" w:color="auto"/>
        <w:left w:val="none" w:sz="0" w:space="0" w:color="auto"/>
        <w:bottom w:val="none" w:sz="0" w:space="0" w:color="auto"/>
        <w:right w:val="none" w:sz="0" w:space="0" w:color="auto"/>
      </w:divBdr>
    </w:div>
    <w:div w:id="387266119">
      <w:bodyDiv w:val="1"/>
      <w:marLeft w:val="0"/>
      <w:marRight w:val="0"/>
      <w:marTop w:val="0"/>
      <w:marBottom w:val="0"/>
      <w:divBdr>
        <w:top w:val="none" w:sz="0" w:space="0" w:color="auto"/>
        <w:left w:val="none" w:sz="0" w:space="0" w:color="auto"/>
        <w:bottom w:val="none" w:sz="0" w:space="0" w:color="auto"/>
        <w:right w:val="none" w:sz="0" w:space="0" w:color="auto"/>
      </w:divBdr>
      <w:divsChild>
        <w:div w:id="2039088259">
          <w:marLeft w:val="0"/>
          <w:marRight w:val="0"/>
          <w:marTop w:val="0"/>
          <w:marBottom w:val="0"/>
          <w:divBdr>
            <w:top w:val="none" w:sz="0" w:space="0" w:color="auto"/>
            <w:left w:val="none" w:sz="0" w:space="0" w:color="auto"/>
            <w:bottom w:val="none" w:sz="0" w:space="0" w:color="auto"/>
            <w:right w:val="none" w:sz="0" w:space="0" w:color="auto"/>
          </w:divBdr>
          <w:divsChild>
            <w:div w:id="551431865">
              <w:marLeft w:val="0"/>
              <w:marRight w:val="0"/>
              <w:marTop w:val="0"/>
              <w:marBottom w:val="0"/>
              <w:divBdr>
                <w:top w:val="none" w:sz="0" w:space="0" w:color="auto"/>
                <w:left w:val="none" w:sz="0" w:space="0" w:color="auto"/>
                <w:bottom w:val="none" w:sz="0" w:space="0" w:color="auto"/>
                <w:right w:val="none" w:sz="0" w:space="0" w:color="auto"/>
              </w:divBdr>
              <w:divsChild>
                <w:div w:id="1777408383">
                  <w:marLeft w:val="0"/>
                  <w:marRight w:val="0"/>
                  <w:marTop w:val="0"/>
                  <w:marBottom w:val="0"/>
                  <w:divBdr>
                    <w:top w:val="none" w:sz="0" w:space="0" w:color="auto"/>
                    <w:left w:val="none" w:sz="0" w:space="0" w:color="auto"/>
                    <w:bottom w:val="none" w:sz="0" w:space="0" w:color="auto"/>
                    <w:right w:val="none" w:sz="0" w:space="0" w:color="auto"/>
                  </w:divBdr>
                  <w:divsChild>
                    <w:div w:id="7099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658">
      <w:bodyDiv w:val="1"/>
      <w:marLeft w:val="0"/>
      <w:marRight w:val="0"/>
      <w:marTop w:val="0"/>
      <w:marBottom w:val="0"/>
      <w:divBdr>
        <w:top w:val="none" w:sz="0" w:space="0" w:color="auto"/>
        <w:left w:val="none" w:sz="0" w:space="0" w:color="auto"/>
        <w:bottom w:val="none" w:sz="0" w:space="0" w:color="auto"/>
        <w:right w:val="none" w:sz="0" w:space="0" w:color="auto"/>
      </w:divBdr>
    </w:div>
    <w:div w:id="398670483">
      <w:bodyDiv w:val="1"/>
      <w:marLeft w:val="0"/>
      <w:marRight w:val="0"/>
      <w:marTop w:val="0"/>
      <w:marBottom w:val="0"/>
      <w:divBdr>
        <w:top w:val="none" w:sz="0" w:space="0" w:color="auto"/>
        <w:left w:val="none" w:sz="0" w:space="0" w:color="auto"/>
        <w:bottom w:val="none" w:sz="0" w:space="0" w:color="auto"/>
        <w:right w:val="none" w:sz="0" w:space="0" w:color="auto"/>
      </w:divBdr>
    </w:div>
    <w:div w:id="402992273">
      <w:bodyDiv w:val="1"/>
      <w:marLeft w:val="0"/>
      <w:marRight w:val="0"/>
      <w:marTop w:val="0"/>
      <w:marBottom w:val="0"/>
      <w:divBdr>
        <w:top w:val="none" w:sz="0" w:space="0" w:color="auto"/>
        <w:left w:val="none" w:sz="0" w:space="0" w:color="auto"/>
        <w:bottom w:val="none" w:sz="0" w:space="0" w:color="auto"/>
        <w:right w:val="none" w:sz="0" w:space="0" w:color="auto"/>
      </w:divBdr>
    </w:div>
    <w:div w:id="436829350">
      <w:bodyDiv w:val="1"/>
      <w:marLeft w:val="0"/>
      <w:marRight w:val="0"/>
      <w:marTop w:val="0"/>
      <w:marBottom w:val="0"/>
      <w:divBdr>
        <w:top w:val="none" w:sz="0" w:space="0" w:color="auto"/>
        <w:left w:val="none" w:sz="0" w:space="0" w:color="auto"/>
        <w:bottom w:val="none" w:sz="0" w:space="0" w:color="auto"/>
        <w:right w:val="none" w:sz="0" w:space="0" w:color="auto"/>
      </w:divBdr>
    </w:div>
    <w:div w:id="445349329">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503477703">
      <w:bodyDiv w:val="1"/>
      <w:marLeft w:val="0"/>
      <w:marRight w:val="0"/>
      <w:marTop w:val="0"/>
      <w:marBottom w:val="0"/>
      <w:divBdr>
        <w:top w:val="none" w:sz="0" w:space="0" w:color="auto"/>
        <w:left w:val="none" w:sz="0" w:space="0" w:color="auto"/>
        <w:bottom w:val="none" w:sz="0" w:space="0" w:color="auto"/>
        <w:right w:val="none" w:sz="0" w:space="0" w:color="auto"/>
      </w:divBdr>
      <w:divsChild>
        <w:div w:id="1621301682">
          <w:marLeft w:val="0"/>
          <w:marRight w:val="0"/>
          <w:marTop w:val="0"/>
          <w:marBottom w:val="0"/>
          <w:divBdr>
            <w:top w:val="none" w:sz="0" w:space="0" w:color="auto"/>
            <w:left w:val="none" w:sz="0" w:space="0" w:color="auto"/>
            <w:bottom w:val="none" w:sz="0" w:space="0" w:color="auto"/>
            <w:right w:val="none" w:sz="0" w:space="0" w:color="auto"/>
          </w:divBdr>
        </w:div>
        <w:div w:id="1260329733">
          <w:marLeft w:val="0"/>
          <w:marRight w:val="0"/>
          <w:marTop w:val="0"/>
          <w:marBottom w:val="0"/>
          <w:divBdr>
            <w:top w:val="none" w:sz="0" w:space="0" w:color="auto"/>
            <w:left w:val="none" w:sz="0" w:space="0" w:color="auto"/>
            <w:bottom w:val="none" w:sz="0" w:space="0" w:color="auto"/>
            <w:right w:val="none" w:sz="0" w:space="0" w:color="auto"/>
          </w:divBdr>
        </w:div>
        <w:div w:id="782308504">
          <w:marLeft w:val="0"/>
          <w:marRight w:val="0"/>
          <w:marTop w:val="0"/>
          <w:marBottom w:val="0"/>
          <w:divBdr>
            <w:top w:val="none" w:sz="0" w:space="0" w:color="auto"/>
            <w:left w:val="none" w:sz="0" w:space="0" w:color="auto"/>
            <w:bottom w:val="none" w:sz="0" w:space="0" w:color="auto"/>
            <w:right w:val="none" w:sz="0" w:space="0" w:color="auto"/>
          </w:divBdr>
        </w:div>
        <w:div w:id="431245799">
          <w:marLeft w:val="0"/>
          <w:marRight w:val="0"/>
          <w:marTop w:val="0"/>
          <w:marBottom w:val="0"/>
          <w:divBdr>
            <w:top w:val="none" w:sz="0" w:space="0" w:color="auto"/>
            <w:left w:val="none" w:sz="0" w:space="0" w:color="auto"/>
            <w:bottom w:val="none" w:sz="0" w:space="0" w:color="auto"/>
            <w:right w:val="none" w:sz="0" w:space="0" w:color="auto"/>
          </w:divBdr>
        </w:div>
        <w:div w:id="1074623503">
          <w:marLeft w:val="0"/>
          <w:marRight w:val="0"/>
          <w:marTop w:val="0"/>
          <w:marBottom w:val="0"/>
          <w:divBdr>
            <w:top w:val="none" w:sz="0" w:space="0" w:color="auto"/>
            <w:left w:val="none" w:sz="0" w:space="0" w:color="auto"/>
            <w:bottom w:val="none" w:sz="0" w:space="0" w:color="auto"/>
            <w:right w:val="none" w:sz="0" w:space="0" w:color="auto"/>
          </w:divBdr>
        </w:div>
        <w:div w:id="13383649">
          <w:marLeft w:val="0"/>
          <w:marRight w:val="0"/>
          <w:marTop w:val="0"/>
          <w:marBottom w:val="0"/>
          <w:divBdr>
            <w:top w:val="none" w:sz="0" w:space="0" w:color="auto"/>
            <w:left w:val="none" w:sz="0" w:space="0" w:color="auto"/>
            <w:bottom w:val="none" w:sz="0" w:space="0" w:color="auto"/>
            <w:right w:val="none" w:sz="0" w:space="0" w:color="auto"/>
          </w:divBdr>
        </w:div>
        <w:div w:id="1382483288">
          <w:marLeft w:val="0"/>
          <w:marRight w:val="0"/>
          <w:marTop w:val="0"/>
          <w:marBottom w:val="0"/>
          <w:divBdr>
            <w:top w:val="none" w:sz="0" w:space="0" w:color="auto"/>
            <w:left w:val="none" w:sz="0" w:space="0" w:color="auto"/>
            <w:bottom w:val="none" w:sz="0" w:space="0" w:color="auto"/>
            <w:right w:val="none" w:sz="0" w:space="0" w:color="auto"/>
          </w:divBdr>
        </w:div>
        <w:div w:id="266305046">
          <w:marLeft w:val="0"/>
          <w:marRight w:val="0"/>
          <w:marTop w:val="0"/>
          <w:marBottom w:val="0"/>
          <w:divBdr>
            <w:top w:val="none" w:sz="0" w:space="0" w:color="auto"/>
            <w:left w:val="none" w:sz="0" w:space="0" w:color="auto"/>
            <w:bottom w:val="none" w:sz="0" w:space="0" w:color="auto"/>
            <w:right w:val="none" w:sz="0" w:space="0" w:color="auto"/>
          </w:divBdr>
        </w:div>
        <w:div w:id="1387794770">
          <w:marLeft w:val="0"/>
          <w:marRight w:val="0"/>
          <w:marTop w:val="0"/>
          <w:marBottom w:val="0"/>
          <w:divBdr>
            <w:top w:val="none" w:sz="0" w:space="0" w:color="auto"/>
            <w:left w:val="none" w:sz="0" w:space="0" w:color="auto"/>
            <w:bottom w:val="none" w:sz="0" w:space="0" w:color="auto"/>
            <w:right w:val="none" w:sz="0" w:space="0" w:color="auto"/>
          </w:divBdr>
        </w:div>
        <w:div w:id="134836591">
          <w:marLeft w:val="0"/>
          <w:marRight w:val="0"/>
          <w:marTop w:val="0"/>
          <w:marBottom w:val="0"/>
          <w:divBdr>
            <w:top w:val="none" w:sz="0" w:space="0" w:color="auto"/>
            <w:left w:val="none" w:sz="0" w:space="0" w:color="auto"/>
            <w:bottom w:val="none" w:sz="0" w:space="0" w:color="auto"/>
            <w:right w:val="none" w:sz="0" w:space="0" w:color="auto"/>
          </w:divBdr>
        </w:div>
        <w:div w:id="1592815413">
          <w:marLeft w:val="0"/>
          <w:marRight w:val="0"/>
          <w:marTop w:val="0"/>
          <w:marBottom w:val="0"/>
          <w:divBdr>
            <w:top w:val="none" w:sz="0" w:space="0" w:color="auto"/>
            <w:left w:val="none" w:sz="0" w:space="0" w:color="auto"/>
            <w:bottom w:val="none" w:sz="0" w:space="0" w:color="auto"/>
            <w:right w:val="none" w:sz="0" w:space="0" w:color="auto"/>
          </w:divBdr>
        </w:div>
        <w:div w:id="1658653047">
          <w:marLeft w:val="0"/>
          <w:marRight w:val="0"/>
          <w:marTop w:val="0"/>
          <w:marBottom w:val="0"/>
          <w:divBdr>
            <w:top w:val="none" w:sz="0" w:space="0" w:color="auto"/>
            <w:left w:val="none" w:sz="0" w:space="0" w:color="auto"/>
            <w:bottom w:val="none" w:sz="0" w:space="0" w:color="auto"/>
            <w:right w:val="none" w:sz="0" w:space="0" w:color="auto"/>
          </w:divBdr>
          <w:divsChild>
            <w:div w:id="1518734532">
              <w:marLeft w:val="0"/>
              <w:marRight w:val="0"/>
              <w:marTop w:val="0"/>
              <w:marBottom w:val="0"/>
              <w:divBdr>
                <w:top w:val="none" w:sz="0" w:space="0" w:color="auto"/>
                <w:left w:val="none" w:sz="0" w:space="0" w:color="auto"/>
                <w:bottom w:val="none" w:sz="0" w:space="0" w:color="auto"/>
                <w:right w:val="none" w:sz="0" w:space="0" w:color="auto"/>
              </w:divBdr>
            </w:div>
            <w:div w:id="1074164726">
              <w:marLeft w:val="0"/>
              <w:marRight w:val="0"/>
              <w:marTop w:val="0"/>
              <w:marBottom w:val="0"/>
              <w:divBdr>
                <w:top w:val="none" w:sz="0" w:space="0" w:color="auto"/>
                <w:left w:val="none" w:sz="0" w:space="0" w:color="auto"/>
                <w:bottom w:val="none" w:sz="0" w:space="0" w:color="auto"/>
                <w:right w:val="none" w:sz="0" w:space="0" w:color="auto"/>
              </w:divBdr>
            </w:div>
            <w:div w:id="1446727815">
              <w:marLeft w:val="0"/>
              <w:marRight w:val="0"/>
              <w:marTop w:val="0"/>
              <w:marBottom w:val="0"/>
              <w:divBdr>
                <w:top w:val="none" w:sz="0" w:space="0" w:color="auto"/>
                <w:left w:val="none" w:sz="0" w:space="0" w:color="auto"/>
                <w:bottom w:val="none" w:sz="0" w:space="0" w:color="auto"/>
                <w:right w:val="none" w:sz="0" w:space="0" w:color="auto"/>
              </w:divBdr>
            </w:div>
            <w:div w:id="1541358686">
              <w:marLeft w:val="0"/>
              <w:marRight w:val="0"/>
              <w:marTop w:val="0"/>
              <w:marBottom w:val="0"/>
              <w:divBdr>
                <w:top w:val="none" w:sz="0" w:space="0" w:color="auto"/>
                <w:left w:val="none" w:sz="0" w:space="0" w:color="auto"/>
                <w:bottom w:val="none" w:sz="0" w:space="0" w:color="auto"/>
                <w:right w:val="none" w:sz="0" w:space="0" w:color="auto"/>
              </w:divBdr>
            </w:div>
            <w:div w:id="1401363937">
              <w:marLeft w:val="0"/>
              <w:marRight w:val="0"/>
              <w:marTop w:val="0"/>
              <w:marBottom w:val="0"/>
              <w:divBdr>
                <w:top w:val="none" w:sz="0" w:space="0" w:color="auto"/>
                <w:left w:val="none" w:sz="0" w:space="0" w:color="auto"/>
                <w:bottom w:val="none" w:sz="0" w:space="0" w:color="auto"/>
                <w:right w:val="none" w:sz="0" w:space="0" w:color="auto"/>
              </w:divBdr>
            </w:div>
            <w:div w:id="11638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8642">
      <w:bodyDiv w:val="1"/>
      <w:marLeft w:val="0"/>
      <w:marRight w:val="0"/>
      <w:marTop w:val="0"/>
      <w:marBottom w:val="0"/>
      <w:divBdr>
        <w:top w:val="none" w:sz="0" w:space="0" w:color="auto"/>
        <w:left w:val="none" w:sz="0" w:space="0" w:color="auto"/>
        <w:bottom w:val="none" w:sz="0" w:space="0" w:color="auto"/>
        <w:right w:val="none" w:sz="0" w:space="0" w:color="auto"/>
      </w:divBdr>
      <w:divsChild>
        <w:div w:id="819537707">
          <w:marLeft w:val="0"/>
          <w:marRight w:val="0"/>
          <w:marTop w:val="0"/>
          <w:marBottom w:val="0"/>
          <w:divBdr>
            <w:top w:val="none" w:sz="0" w:space="0" w:color="auto"/>
            <w:left w:val="none" w:sz="0" w:space="0" w:color="auto"/>
            <w:bottom w:val="none" w:sz="0" w:space="0" w:color="auto"/>
            <w:right w:val="none" w:sz="0" w:space="0" w:color="auto"/>
          </w:divBdr>
          <w:divsChild>
            <w:div w:id="1409890136">
              <w:marLeft w:val="0"/>
              <w:marRight w:val="0"/>
              <w:marTop w:val="0"/>
              <w:marBottom w:val="0"/>
              <w:divBdr>
                <w:top w:val="none" w:sz="0" w:space="0" w:color="auto"/>
                <w:left w:val="none" w:sz="0" w:space="0" w:color="auto"/>
                <w:bottom w:val="none" w:sz="0" w:space="0" w:color="auto"/>
                <w:right w:val="none" w:sz="0" w:space="0" w:color="auto"/>
              </w:divBdr>
              <w:divsChild>
                <w:div w:id="691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32293">
      <w:bodyDiv w:val="1"/>
      <w:marLeft w:val="0"/>
      <w:marRight w:val="0"/>
      <w:marTop w:val="0"/>
      <w:marBottom w:val="0"/>
      <w:divBdr>
        <w:top w:val="none" w:sz="0" w:space="0" w:color="auto"/>
        <w:left w:val="none" w:sz="0" w:space="0" w:color="auto"/>
        <w:bottom w:val="none" w:sz="0" w:space="0" w:color="auto"/>
        <w:right w:val="none" w:sz="0" w:space="0" w:color="auto"/>
      </w:divBdr>
    </w:div>
    <w:div w:id="523522132">
      <w:bodyDiv w:val="1"/>
      <w:marLeft w:val="0"/>
      <w:marRight w:val="0"/>
      <w:marTop w:val="0"/>
      <w:marBottom w:val="0"/>
      <w:divBdr>
        <w:top w:val="none" w:sz="0" w:space="0" w:color="auto"/>
        <w:left w:val="none" w:sz="0" w:space="0" w:color="auto"/>
        <w:bottom w:val="none" w:sz="0" w:space="0" w:color="auto"/>
        <w:right w:val="none" w:sz="0" w:space="0" w:color="auto"/>
      </w:divBdr>
      <w:divsChild>
        <w:div w:id="2082553411">
          <w:marLeft w:val="0"/>
          <w:marRight w:val="0"/>
          <w:marTop w:val="0"/>
          <w:marBottom w:val="0"/>
          <w:divBdr>
            <w:top w:val="none" w:sz="0" w:space="0" w:color="auto"/>
            <w:left w:val="none" w:sz="0" w:space="0" w:color="auto"/>
            <w:bottom w:val="none" w:sz="0" w:space="0" w:color="auto"/>
            <w:right w:val="none" w:sz="0" w:space="0" w:color="auto"/>
          </w:divBdr>
          <w:divsChild>
            <w:div w:id="1893226138">
              <w:marLeft w:val="0"/>
              <w:marRight w:val="0"/>
              <w:marTop w:val="0"/>
              <w:marBottom w:val="0"/>
              <w:divBdr>
                <w:top w:val="none" w:sz="0" w:space="0" w:color="auto"/>
                <w:left w:val="none" w:sz="0" w:space="0" w:color="auto"/>
                <w:bottom w:val="none" w:sz="0" w:space="0" w:color="auto"/>
                <w:right w:val="none" w:sz="0" w:space="0" w:color="auto"/>
              </w:divBdr>
              <w:divsChild>
                <w:div w:id="1088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8678">
      <w:bodyDiv w:val="1"/>
      <w:marLeft w:val="0"/>
      <w:marRight w:val="0"/>
      <w:marTop w:val="0"/>
      <w:marBottom w:val="0"/>
      <w:divBdr>
        <w:top w:val="none" w:sz="0" w:space="0" w:color="auto"/>
        <w:left w:val="none" w:sz="0" w:space="0" w:color="auto"/>
        <w:bottom w:val="none" w:sz="0" w:space="0" w:color="auto"/>
        <w:right w:val="none" w:sz="0" w:space="0" w:color="auto"/>
      </w:divBdr>
    </w:div>
    <w:div w:id="550195590">
      <w:bodyDiv w:val="1"/>
      <w:marLeft w:val="0"/>
      <w:marRight w:val="0"/>
      <w:marTop w:val="0"/>
      <w:marBottom w:val="0"/>
      <w:divBdr>
        <w:top w:val="none" w:sz="0" w:space="0" w:color="auto"/>
        <w:left w:val="none" w:sz="0" w:space="0" w:color="auto"/>
        <w:bottom w:val="none" w:sz="0" w:space="0" w:color="auto"/>
        <w:right w:val="none" w:sz="0" w:space="0" w:color="auto"/>
      </w:divBdr>
    </w:div>
    <w:div w:id="555747437">
      <w:bodyDiv w:val="1"/>
      <w:marLeft w:val="0"/>
      <w:marRight w:val="0"/>
      <w:marTop w:val="0"/>
      <w:marBottom w:val="0"/>
      <w:divBdr>
        <w:top w:val="none" w:sz="0" w:space="0" w:color="auto"/>
        <w:left w:val="none" w:sz="0" w:space="0" w:color="auto"/>
        <w:bottom w:val="none" w:sz="0" w:space="0" w:color="auto"/>
        <w:right w:val="none" w:sz="0" w:space="0" w:color="auto"/>
      </w:divBdr>
    </w:div>
    <w:div w:id="564877999">
      <w:bodyDiv w:val="1"/>
      <w:marLeft w:val="0"/>
      <w:marRight w:val="0"/>
      <w:marTop w:val="0"/>
      <w:marBottom w:val="0"/>
      <w:divBdr>
        <w:top w:val="none" w:sz="0" w:space="0" w:color="auto"/>
        <w:left w:val="none" w:sz="0" w:space="0" w:color="auto"/>
        <w:bottom w:val="none" w:sz="0" w:space="0" w:color="auto"/>
        <w:right w:val="none" w:sz="0" w:space="0" w:color="auto"/>
      </w:divBdr>
    </w:div>
    <w:div w:id="565189982">
      <w:bodyDiv w:val="1"/>
      <w:marLeft w:val="0"/>
      <w:marRight w:val="0"/>
      <w:marTop w:val="0"/>
      <w:marBottom w:val="0"/>
      <w:divBdr>
        <w:top w:val="none" w:sz="0" w:space="0" w:color="auto"/>
        <w:left w:val="none" w:sz="0" w:space="0" w:color="auto"/>
        <w:bottom w:val="none" w:sz="0" w:space="0" w:color="auto"/>
        <w:right w:val="none" w:sz="0" w:space="0" w:color="auto"/>
      </w:divBdr>
    </w:div>
    <w:div w:id="581647154">
      <w:bodyDiv w:val="1"/>
      <w:marLeft w:val="0"/>
      <w:marRight w:val="0"/>
      <w:marTop w:val="0"/>
      <w:marBottom w:val="0"/>
      <w:divBdr>
        <w:top w:val="none" w:sz="0" w:space="0" w:color="auto"/>
        <w:left w:val="none" w:sz="0" w:space="0" w:color="auto"/>
        <w:bottom w:val="none" w:sz="0" w:space="0" w:color="auto"/>
        <w:right w:val="none" w:sz="0" w:space="0" w:color="auto"/>
      </w:divBdr>
      <w:divsChild>
        <w:div w:id="931744464">
          <w:marLeft w:val="0"/>
          <w:marRight w:val="0"/>
          <w:marTop w:val="0"/>
          <w:marBottom w:val="0"/>
          <w:divBdr>
            <w:top w:val="none" w:sz="0" w:space="0" w:color="auto"/>
            <w:left w:val="none" w:sz="0" w:space="0" w:color="auto"/>
            <w:bottom w:val="none" w:sz="0" w:space="0" w:color="auto"/>
            <w:right w:val="none" w:sz="0" w:space="0" w:color="auto"/>
          </w:divBdr>
          <w:divsChild>
            <w:div w:id="1924414980">
              <w:marLeft w:val="0"/>
              <w:marRight w:val="0"/>
              <w:marTop w:val="0"/>
              <w:marBottom w:val="0"/>
              <w:divBdr>
                <w:top w:val="none" w:sz="0" w:space="0" w:color="auto"/>
                <w:left w:val="none" w:sz="0" w:space="0" w:color="auto"/>
                <w:bottom w:val="none" w:sz="0" w:space="0" w:color="auto"/>
                <w:right w:val="none" w:sz="0" w:space="0" w:color="auto"/>
              </w:divBdr>
              <w:divsChild>
                <w:div w:id="10161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7505">
      <w:bodyDiv w:val="1"/>
      <w:marLeft w:val="0"/>
      <w:marRight w:val="0"/>
      <w:marTop w:val="0"/>
      <w:marBottom w:val="0"/>
      <w:divBdr>
        <w:top w:val="none" w:sz="0" w:space="0" w:color="auto"/>
        <w:left w:val="none" w:sz="0" w:space="0" w:color="auto"/>
        <w:bottom w:val="none" w:sz="0" w:space="0" w:color="auto"/>
        <w:right w:val="none" w:sz="0" w:space="0" w:color="auto"/>
      </w:divBdr>
    </w:div>
    <w:div w:id="601642539">
      <w:bodyDiv w:val="1"/>
      <w:marLeft w:val="0"/>
      <w:marRight w:val="0"/>
      <w:marTop w:val="0"/>
      <w:marBottom w:val="0"/>
      <w:divBdr>
        <w:top w:val="none" w:sz="0" w:space="0" w:color="auto"/>
        <w:left w:val="none" w:sz="0" w:space="0" w:color="auto"/>
        <w:bottom w:val="none" w:sz="0" w:space="0" w:color="auto"/>
        <w:right w:val="none" w:sz="0" w:space="0" w:color="auto"/>
      </w:divBdr>
      <w:divsChild>
        <w:div w:id="951015221">
          <w:marLeft w:val="0"/>
          <w:marRight w:val="0"/>
          <w:marTop w:val="0"/>
          <w:marBottom w:val="0"/>
          <w:divBdr>
            <w:top w:val="none" w:sz="0" w:space="0" w:color="auto"/>
            <w:left w:val="none" w:sz="0" w:space="0" w:color="auto"/>
            <w:bottom w:val="none" w:sz="0" w:space="0" w:color="auto"/>
            <w:right w:val="none" w:sz="0" w:space="0" w:color="auto"/>
          </w:divBdr>
          <w:divsChild>
            <w:div w:id="629288895">
              <w:marLeft w:val="0"/>
              <w:marRight w:val="0"/>
              <w:marTop w:val="0"/>
              <w:marBottom w:val="0"/>
              <w:divBdr>
                <w:top w:val="none" w:sz="0" w:space="0" w:color="auto"/>
                <w:left w:val="none" w:sz="0" w:space="0" w:color="auto"/>
                <w:bottom w:val="none" w:sz="0" w:space="0" w:color="auto"/>
                <w:right w:val="none" w:sz="0" w:space="0" w:color="auto"/>
              </w:divBdr>
              <w:divsChild>
                <w:div w:id="1217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9616">
      <w:bodyDiv w:val="1"/>
      <w:marLeft w:val="0"/>
      <w:marRight w:val="0"/>
      <w:marTop w:val="0"/>
      <w:marBottom w:val="0"/>
      <w:divBdr>
        <w:top w:val="none" w:sz="0" w:space="0" w:color="auto"/>
        <w:left w:val="none" w:sz="0" w:space="0" w:color="auto"/>
        <w:bottom w:val="none" w:sz="0" w:space="0" w:color="auto"/>
        <w:right w:val="none" w:sz="0" w:space="0" w:color="auto"/>
      </w:divBdr>
      <w:divsChild>
        <w:div w:id="460417649">
          <w:marLeft w:val="0"/>
          <w:marRight w:val="0"/>
          <w:marTop w:val="0"/>
          <w:marBottom w:val="0"/>
          <w:divBdr>
            <w:top w:val="none" w:sz="0" w:space="0" w:color="auto"/>
            <w:left w:val="none" w:sz="0" w:space="0" w:color="auto"/>
            <w:bottom w:val="none" w:sz="0" w:space="0" w:color="auto"/>
            <w:right w:val="none" w:sz="0" w:space="0" w:color="auto"/>
          </w:divBdr>
          <w:divsChild>
            <w:div w:id="386799191">
              <w:marLeft w:val="0"/>
              <w:marRight w:val="0"/>
              <w:marTop w:val="0"/>
              <w:marBottom w:val="0"/>
              <w:divBdr>
                <w:top w:val="none" w:sz="0" w:space="0" w:color="auto"/>
                <w:left w:val="none" w:sz="0" w:space="0" w:color="auto"/>
                <w:bottom w:val="none" w:sz="0" w:space="0" w:color="auto"/>
                <w:right w:val="none" w:sz="0" w:space="0" w:color="auto"/>
              </w:divBdr>
              <w:divsChild>
                <w:div w:id="353116446">
                  <w:marLeft w:val="0"/>
                  <w:marRight w:val="0"/>
                  <w:marTop w:val="0"/>
                  <w:marBottom w:val="0"/>
                  <w:divBdr>
                    <w:top w:val="none" w:sz="0" w:space="0" w:color="auto"/>
                    <w:left w:val="none" w:sz="0" w:space="0" w:color="auto"/>
                    <w:bottom w:val="none" w:sz="0" w:space="0" w:color="auto"/>
                    <w:right w:val="none" w:sz="0" w:space="0" w:color="auto"/>
                  </w:divBdr>
                  <w:divsChild>
                    <w:div w:id="867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9913">
      <w:bodyDiv w:val="1"/>
      <w:marLeft w:val="0"/>
      <w:marRight w:val="0"/>
      <w:marTop w:val="0"/>
      <w:marBottom w:val="0"/>
      <w:divBdr>
        <w:top w:val="none" w:sz="0" w:space="0" w:color="auto"/>
        <w:left w:val="none" w:sz="0" w:space="0" w:color="auto"/>
        <w:bottom w:val="none" w:sz="0" w:space="0" w:color="auto"/>
        <w:right w:val="none" w:sz="0" w:space="0" w:color="auto"/>
      </w:divBdr>
      <w:divsChild>
        <w:div w:id="1786146688">
          <w:marLeft w:val="0"/>
          <w:marRight w:val="0"/>
          <w:marTop w:val="0"/>
          <w:marBottom w:val="0"/>
          <w:divBdr>
            <w:top w:val="none" w:sz="0" w:space="0" w:color="auto"/>
            <w:left w:val="none" w:sz="0" w:space="0" w:color="auto"/>
            <w:bottom w:val="none" w:sz="0" w:space="0" w:color="auto"/>
            <w:right w:val="none" w:sz="0" w:space="0" w:color="auto"/>
          </w:divBdr>
          <w:divsChild>
            <w:div w:id="1689477566">
              <w:marLeft w:val="0"/>
              <w:marRight w:val="0"/>
              <w:marTop w:val="0"/>
              <w:marBottom w:val="0"/>
              <w:divBdr>
                <w:top w:val="none" w:sz="0" w:space="0" w:color="auto"/>
                <w:left w:val="none" w:sz="0" w:space="0" w:color="auto"/>
                <w:bottom w:val="none" w:sz="0" w:space="0" w:color="auto"/>
                <w:right w:val="none" w:sz="0" w:space="0" w:color="auto"/>
              </w:divBdr>
              <w:divsChild>
                <w:div w:id="839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4189">
      <w:bodyDiv w:val="1"/>
      <w:marLeft w:val="0"/>
      <w:marRight w:val="0"/>
      <w:marTop w:val="0"/>
      <w:marBottom w:val="0"/>
      <w:divBdr>
        <w:top w:val="none" w:sz="0" w:space="0" w:color="auto"/>
        <w:left w:val="none" w:sz="0" w:space="0" w:color="auto"/>
        <w:bottom w:val="none" w:sz="0" w:space="0" w:color="auto"/>
        <w:right w:val="none" w:sz="0" w:space="0" w:color="auto"/>
      </w:divBdr>
    </w:div>
    <w:div w:id="656878456">
      <w:bodyDiv w:val="1"/>
      <w:marLeft w:val="0"/>
      <w:marRight w:val="0"/>
      <w:marTop w:val="0"/>
      <w:marBottom w:val="0"/>
      <w:divBdr>
        <w:top w:val="none" w:sz="0" w:space="0" w:color="auto"/>
        <w:left w:val="none" w:sz="0" w:space="0" w:color="auto"/>
        <w:bottom w:val="none" w:sz="0" w:space="0" w:color="auto"/>
        <w:right w:val="none" w:sz="0" w:space="0" w:color="auto"/>
      </w:divBdr>
      <w:divsChild>
        <w:div w:id="776287984">
          <w:marLeft w:val="0"/>
          <w:marRight w:val="0"/>
          <w:marTop w:val="0"/>
          <w:marBottom w:val="0"/>
          <w:divBdr>
            <w:top w:val="none" w:sz="0" w:space="0" w:color="auto"/>
            <w:left w:val="none" w:sz="0" w:space="0" w:color="auto"/>
            <w:bottom w:val="none" w:sz="0" w:space="0" w:color="auto"/>
            <w:right w:val="none" w:sz="0" w:space="0" w:color="auto"/>
          </w:divBdr>
          <w:divsChild>
            <w:div w:id="500966907">
              <w:marLeft w:val="0"/>
              <w:marRight w:val="0"/>
              <w:marTop w:val="0"/>
              <w:marBottom w:val="0"/>
              <w:divBdr>
                <w:top w:val="none" w:sz="0" w:space="0" w:color="auto"/>
                <w:left w:val="none" w:sz="0" w:space="0" w:color="auto"/>
                <w:bottom w:val="none" w:sz="0" w:space="0" w:color="auto"/>
                <w:right w:val="none" w:sz="0" w:space="0" w:color="auto"/>
              </w:divBdr>
              <w:divsChild>
                <w:div w:id="17004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7078">
      <w:bodyDiv w:val="1"/>
      <w:marLeft w:val="0"/>
      <w:marRight w:val="0"/>
      <w:marTop w:val="0"/>
      <w:marBottom w:val="0"/>
      <w:divBdr>
        <w:top w:val="none" w:sz="0" w:space="0" w:color="auto"/>
        <w:left w:val="none" w:sz="0" w:space="0" w:color="auto"/>
        <w:bottom w:val="none" w:sz="0" w:space="0" w:color="auto"/>
        <w:right w:val="none" w:sz="0" w:space="0" w:color="auto"/>
      </w:divBdr>
    </w:div>
    <w:div w:id="702438844">
      <w:bodyDiv w:val="1"/>
      <w:marLeft w:val="0"/>
      <w:marRight w:val="0"/>
      <w:marTop w:val="0"/>
      <w:marBottom w:val="0"/>
      <w:divBdr>
        <w:top w:val="none" w:sz="0" w:space="0" w:color="auto"/>
        <w:left w:val="none" w:sz="0" w:space="0" w:color="auto"/>
        <w:bottom w:val="none" w:sz="0" w:space="0" w:color="auto"/>
        <w:right w:val="none" w:sz="0" w:space="0" w:color="auto"/>
      </w:divBdr>
    </w:div>
    <w:div w:id="719519927">
      <w:bodyDiv w:val="1"/>
      <w:marLeft w:val="0"/>
      <w:marRight w:val="0"/>
      <w:marTop w:val="0"/>
      <w:marBottom w:val="0"/>
      <w:divBdr>
        <w:top w:val="none" w:sz="0" w:space="0" w:color="auto"/>
        <w:left w:val="none" w:sz="0" w:space="0" w:color="auto"/>
        <w:bottom w:val="none" w:sz="0" w:space="0" w:color="auto"/>
        <w:right w:val="none" w:sz="0" w:space="0" w:color="auto"/>
      </w:divBdr>
    </w:div>
    <w:div w:id="720329030">
      <w:bodyDiv w:val="1"/>
      <w:marLeft w:val="0"/>
      <w:marRight w:val="0"/>
      <w:marTop w:val="0"/>
      <w:marBottom w:val="0"/>
      <w:divBdr>
        <w:top w:val="none" w:sz="0" w:space="0" w:color="auto"/>
        <w:left w:val="none" w:sz="0" w:space="0" w:color="auto"/>
        <w:bottom w:val="none" w:sz="0" w:space="0" w:color="auto"/>
        <w:right w:val="none" w:sz="0" w:space="0" w:color="auto"/>
      </w:divBdr>
    </w:div>
    <w:div w:id="721296423">
      <w:bodyDiv w:val="1"/>
      <w:marLeft w:val="0"/>
      <w:marRight w:val="0"/>
      <w:marTop w:val="0"/>
      <w:marBottom w:val="0"/>
      <w:divBdr>
        <w:top w:val="none" w:sz="0" w:space="0" w:color="auto"/>
        <w:left w:val="none" w:sz="0" w:space="0" w:color="auto"/>
        <w:bottom w:val="none" w:sz="0" w:space="0" w:color="auto"/>
        <w:right w:val="none" w:sz="0" w:space="0" w:color="auto"/>
      </w:divBdr>
    </w:div>
    <w:div w:id="725954339">
      <w:bodyDiv w:val="1"/>
      <w:marLeft w:val="0"/>
      <w:marRight w:val="0"/>
      <w:marTop w:val="0"/>
      <w:marBottom w:val="0"/>
      <w:divBdr>
        <w:top w:val="none" w:sz="0" w:space="0" w:color="auto"/>
        <w:left w:val="none" w:sz="0" w:space="0" w:color="auto"/>
        <w:bottom w:val="none" w:sz="0" w:space="0" w:color="auto"/>
        <w:right w:val="none" w:sz="0" w:space="0" w:color="auto"/>
      </w:divBdr>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756950394">
      <w:bodyDiv w:val="1"/>
      <w:marLeft w:val="0"/>
      <w:marRight w:val="0"/>
      <w:marTop w:val="0"/>
      <w:marBottom w:val="0"/>
      <w:divBdr>
        <w:top w:val="none" w:sz="0" w:space="0" w:color="auto"/>
        <w:left w:val="none" w:sz="0" w:space="0" w:color="auto"/>
        <w:bottom w:val="none" w:sz="0" w:space="0" w:color="auto"/>
        <w:right w:val="none" w:sz="0" w:space="0" w:color="auto"/>
      </w:divBdr>
    </w:div>
    <w:div w:id="790364717">
      <w:bodyDiv w:val="1"/>
      <w:marLeft w:val="0"/>
      <w:marRight w:val="0"/>
      <w:marTop w:val="0"/>
      <w:marBottom w:val="0"/>
      <w:divBdr>
        <w:top w:val="none" w:sz="0" w:space="0" w:color="auto"/>
        <w:left w:val="none" w:sz="0" w:space="0" w:color="auto"/>
        <w:bottom w:val="none" w:sz="0" w:space="0" w:color="auto"/>
        <w:right w:val="none" w:sz="0" w:space="0" w:color="auto"/>
      </w:divBdr>
      <w:divsChild>
        <w:div w:id="183327756">
          <w:marLeft w:val="0"/>
          <w:marRight w:val="0"/>
          <w:marTop w:val="0"/>
          <w:marBottom w:val="0"/>
          <w:divBdr>
            <w:top w:val="none" w:sz="0" w:space="0" w:color="auto"/>
            <w:left w:val="none" w:sz="0" w:space="0" w:color="auto"/>
            <w:bottom w:val="none" w:sz="0" w:space="0" w:color="auto"/>
            <w:right w:val="none" w:sz="0" w:space="0" w:color="auto"/>
          </w:divBdr>
        </w:div>
        <w:div w:id="1425998901">
          <w:marLeft w:val="0"/>
          <w:marRight w:val="0"/>
          <w:marTop w:val="0"/>
          <w:marBottom w:val="0"/>
          <w:divBdr>
            <w:top w:val="none" w:sz="0" w:space="0" w:color="auto"/>
            <w:left w:val="none" w:sz="0" w:space="0" w:color="auto"/>
            <w:bottom w:val="none" w:sz="0" w:space="0" w:color="auto"/>
            <w:right w:val="none" w:sz="0" w:space="0" w:color="auto"/>
          </w:divBdr>
        </w:div>
        <w:div w:id="2001812772">
          <w:marLeft w:val="0"/>
          <w:marRight w:val="0"/>
          <w:marTop w:val="0"/>
          <w:marBottom w:val="0"/>
          <w:divBdr>
            <w:top w:val="none" w:sz="0" w:space="0" w:color="auto"/>
            <w:left w:val="none" w:sz="0" w:space="0" w:color="auto"/>
            <w:bottom w:val="none" w:sz="0" w:space="0" w:color="auto"/>
            <w:right w:val="none" w:sz="0" w:space="0" w:color="auto"/>
          </w:divBdr>
        </w:div>
        <w:div w:id="583104398">
          <w:marLeft w:val="0"/>
          <w:marRight w:val="0"/>
          <w:marTop w:val="0"/>
          <w:marBottom w:val="0"/>
          <w:divBdr>
            <w:top w:val="none" w:sz="0" w:space="0" w:color="auto"/>
            <w:left w:val="none" w:sz="0" w:space="0" w:color="auto"/>
            <w:bottom w:val="none" w:sz="0" w:space="0" w:color="auto"/>
            <w:right w:val="none" w:sz="0" w:space="0" w:color="auto"/>
          </w:divBdr>
        </w:div>
        <w:div w:id="1095589364">
          <w:marLeft w:val="0"/>
          <w:marRight w:val="0"/>
          <w:marTop w:val="0"/>
          <w:marBottom w:val="0"/>
          <w:divBdr>
            <w:top w:val="none" w:sz="0" w:space="0" w:color="auto"/>
            <w:left w:val="none" w:sz="0" w:space="0" w:color="auto"/>
            <w:bottom w:val="none" w:sz="0" w:space="0" w:color="auto"/>
            <w:right w:val="none" w:sz="0" w:space="0" w:color="auto"/>
          </w:divBdr>
        </w:div>
        <w:div w:id="2131043697">
          <w:marLeft w:val="0"/>
          <w:marRight w:val="0"/>
          <w:marTop w:val="0"/>
          <w:marBottom w:val="0"/>
          <w:divBdr>
            <w:top w:val="none" w:sz="0" w:space="0" w:color="auto"/>
            <w:left w:val="none" w:sz="0" w:space="0" w:color="auto"/>
            <w:bottom w:val="none" w:sz="0" w:space="0" w:color="auto"/>
            <w:right w:val="none" w:sz="0" w:space="0" w:color="auto"/>
          </w:divBdr>
        </w:div>
        <w:div w:id="1856578142">
          <w:marLeft w:val="0"/>
          <w:marRight w:val="0"/>
          <w:marTop w:val="0"/>
          <w:marBottom w:val="0"/>
          <w:divBdr>
            <w:top w:val="none" w:sz="0" w:space="0" w:color="auto"/>
            <w:left w:val="none" w:sz="0" w:space="0" w:color="auto"/>
            <w:bottom w:val="none" w:sz="0" w:space="0" w:color="auto"/>
            <w:right w:val="none" w:sz="0" w:space="0" w:color="auto"/>
          </w:divBdr>
        </w:div>
        <w:div w:id="266427108">
          <w:marLeft w:val="0"/>
          <w:marRight w:val="0"/>
          <w:marTop w:val="0"/>
          <w:marBottom w:val="0"/>
          <w:divBdr>
            <w:top w:val="none" w:sz="0" w:space="0" w:color="auto"/>
            <w:left w:val="none" w:sz="0" w:space="0" w:color="auto"/>
            <w:bottom w:val="none" w:sz="0" w:space="0" w:color="auto"/>
            <w:right w:val="none" w:sz="0" w:space="0" w:color="auto"/>
          </w:divBdr>
        </w:div>
        <w:div w:id="134757641">
          <w:marLeft w:val="0"/>
          <w:marRight w:val="0"/>
          <w:marTop w:val="0"/>
          <w:marBottom w:val="0"/>
          <w:divBdr>
            <w:top w:val="none" w:sz="0" w:space="0" w:color="auto"/>
            <w:left w:val="none" w:sz="0" w:space="0" w:color="auto"/>
            <w:bottom w:val="none" w:sz="0" w:space="0" w:color="auto"/>
            <w:right w:val="none" w:sz="0" w:space="0" w:color="auto"/>
          </w:divBdr>
        </w:div>
        <w:div w:id="204758753">
          <w:marLeft w:val="0"/>
          <w:marRight w:val="0"/>
          <w:marTop w:val="0"/>
          <w:marBottom w:val="0"/>
          <w:divBdr>
            <w:top w:val="none" w:sz="0" w:space="0" w:color="auto"/>
            <w:left w:val="none" w:sz="0" w:space="0" w:color="auto"/>
            <w:bottom w:val="none" w:sz="0" w:space="0" w:color="auto"/>
            <w:right w:val="none" w:sz="0" w:space="0" w:color="auto"/>
          </w:divBdr>
        </w:div>
        <w:div w:id="279536753">
          <w:marLeft w:val="0"/>
          <w:marRight w:val="0"/>
          <w:marTop w:val="0"/>
          <w:marBottom w:val="0"/>
          <w:divBdr>
            <w:top w:val="none" w:sz="0" w:space="0" w:color="auto"/>
            <w:left w:val="none" w:sz="0" w:space="0" w:color="auto"/>
            <w:bottom w:val="none" w:sz="0" w:space="0" w:color="auto"/>
            <w:right w:val="none" w:sz="0" w:space="0" w:color="auto"/>
          </w:divBdr>
        </w:div>
        <w:div w:id="1802655067">
          <w:marLeft w:val="0"/>
          <w:marRight w:val="0"/>
          <w:marTop w:val="0"/>
          <w:marBottom w:val="0"/>
          <w:divBdr>
            <w:top w:val="none" w:sz="0" w:space="0" w:color="auto"/>
            <w:left w:val="none" w:sz="0" w:space="0" w:color="auto"/>
            <w:bottom w:val="none" w:sz="0" w:space="0" w:color="auto"/>
            <w:right w:val="none" w:sz="0" w:space="0" w:color="auto"/>
          </w:divBdr>
          <w:divsChild>
            <w:div w:id="1640528279">
              <w:marLeft w:val="0"/>
              <w:marRight w:val="0"/>
              <w:marTop w:val="0"/>
              <w:marBottom w:val="0"/>
              <w:divBdr>
                <w:top w:val="none" w:sz="0" w:space="0" w:color="auto"/>
                <w:left w:val="none" w:sz="0" w:space="0" w:color="auto"/>
                <w:bottom w:val="none" w:sz="0" w:space="0" w:color="auto"/>
                <w:right w:val="none" w:sz="0" w:space="0" w:color="auto"/>
              </w:divBdr>
            </w:div>
            <w:div w:id="1068842159">
              <w:marLeft w:val="0"/>
              <w:marRight w:val="0"/>
              <w:marTop w:val="0"/>
              <w:marBottom w:val="0"/>
              <w:divBdr>
                <w:top w:val="none" w:sz="0" w:space="0" w:color="auto"/>
                <w:left w:val="none" w:sz="0" w:space="0" w:color="auto"/>
                <w:bottom w:val="none" w:sz="0" w:space="0" w:color="auto"/>
                <w:right w:val="none" w:sz="0" w:space="0" w:color="auto"/>
              </w:divBdr>
            </w:div>
            <w:div w:id="339895951">
              <w:marLeft w:val="0"/>
              <w:marRight w:val="0"/>
              <w:marTop w:val="0"/>
              <w:marBottom w:val="0"/>
              <w:divBdr>
                <w:top w:val="none" w:sz="0" w:space="0" w:color="auto"/>
                <w:left w:val="none" w:sz="0" w:space="0" w:color="auto"/>
                <w:bottom w:val="none" w:sz="0" w:space="0" w:color="auto"/>
                <w:right w:val="none" w:sz="0" w:space="0" w:color="auto"/>
              </w:divBdr>
            </w:div>
            <w:div w:id="315379722">
              <w:marLeft w:val="0"/>
              <w:marRight w:val="0"/>
              <w:marTop w:val="0"/>
              <w:marBottom w:val="0"/>
              <w:divBdr>
                <w:top w:val="none" w:sz="0" w:space="0" w:color="auto"/>
                <w:left w:val="none" w:sz="0" w:space="0" w:color="auto"/>
                <w:bottom w:val="none" w:sz="0" w:space="0" w:color="auto"/>
                <w:right w:val="none" w:sz="0" w:space="0" w:color="auto"/>
              </w:divBdr>
            </w:div>
            <w:div w:id="580674459">
              <w:marLeft w:val="0"/>
              <w:marRight w:val="0"/>
              <w:marTop w:val="0"/>
              <w:marBottom w:val="0"/>
              <w:divBdr>
                <w:top w:val="none" w:sz="0" w:space="0" w:color="auto"/>
                <w:left w:val="none" w:sz="0" w:space="0" w:color="auto"/>
                <w:bottom w:val="none" w:sz="0" w:space="0" w:color="auto"/>
                <w:right w:val="none" w:sz="0" w:space="0" w:color="auto"/>
              </w:divBdr>
            </w:div>
            <w:div w:id="15999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1455633750">
          <w:marLeft w:val="0"/>
          <w:marRight w:val="0"/>
          <w:marTop w:val="0"/>
          <w:marBottom w:val="0"/>
          <w:divBdr>
            <w:top w:val="none" w:sz="0" w:space="0" w:color="auto"/>
            <w:left w:val="none" w:sz="0" w:space="0" w:color="auto"/>
            <w:bottom w:val="none" w:sz="0" w:space="0" w:color="auto"/>
            <w:right w:val="none" w:sz="0" w:space="0" w:color="auto"/>
          </w:divBdr>
          <w:divsChild>
            <w:div w:id="1362852875">
              <w:marLeft w:val="0"/>
              <w:marRight w:val="0"/>
              <w:marTop w:val="0"/>
              <w:marBottom w:val="0"/>
              <w:divBdr>
                <w:top w:val="none" w:sz="0" w:space="0" w:color="auto"/>
                <w:left w:val="none" w:sz="0" w:space="0" w:color="auto"/>
                <w:bottom w:val="none" w:sz="0" w:space="0" w:color="auto"/>
                <w:right w:val="none" w:sz="0" w:space="0" w:color="auto"/>
              </w:divBdr>
              <w:divsChild>
                <w:div w:id="11366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2591">
      <w:bodyDiv w:val="1"/>
      <w:marLeft w:val="0"/>
      <w:marRight w:val="0"/>
      <w:marTop w:val="0"/>
      <w:marBottom w:val="0"/>
      <w:divBdr>
        <w:top w:val="none" w:sz="0" w:space="0" w:color="auto"/>
        <w:left w:val="none" w:sz="0" w:space="0" w:color="auto"/>
        <w:bottom w:val="none" w:sz="0" w:space="0" w:color="auto"/>
        <w:right w:val="none" w:sz="0" w:space="0" w:color="auto"/>
      </w:divBdr>
    </w:div>
    <w:div w:id="815535933">
      <w:bodyDiv w:val="1"/>
      <w:marLeft w:val="0"/>
      <w:marRight w:val="0"/>
      <w:marTop w:val="0"/>
      <w:marBottom w:val="0"/>
      <w:divBdr>
        <w:top w:val="none" w:sz="0" w:space="0" w:color="auto"/>
        <w:left w:val="none" w:sz="0" w:space="0" w:color="auto"/>
        <w:bottom w:val="none" w:sz="0" w:space="0" w:color="auto"/>
        <w:right w:val="none" w:sz="0" w:space="0" w:color="auto"/>
      </w:divBdr>
    </w:div>
    <w:div w:id="834998343">
      <w:bodyDiv w:val="1"/>
      <w:marLeft w:val="0"/>
      <w:marRight w:val="0"/>
      <w:marTop w:val="0"/>
      <w:marBottom w:val="0"/>
      <w:divBdr>
        <w:top w:val="none" w:sz="0" w:space="0" w:color="auto"/>
        <w:left w:val="none" w:sz="0" w:space="0" w:color="auto"/>
        <w:bottom w:val="none" w:sz="0" w:space="0" w:color="auto"/>
        <w:right w:val="none" w:sz="0" w:space="0" w:color="auto"/>
      </w:divBdr>
    </w:div>
    <w:div w:id="874853581">
      <w:bodyDiv w:val="1"/>
      <w:marLeft w:val="0"/>
      <w:marRight w:val="0"/>
      <w:marTop w:val="0"/>
      <w:marBottom w:val="0"/>
      <w:divBdr>
        <w:top w:val="none" w:sz="0" w:space="0" w:color="auto"/>
        <w:left w:val="none" w:sz="0" w:space="0" w:color="auto"/>
        <w:bottom w:val="none" w:sz="0" w:space="0" w:color="auto"/>
        <w:right w:val="none" w:sz="0" w:space="0" w:color="auto"/>
      </w:divBdr>
      <w:divsChild>
        <w:div w:id="362367890">
          <w:marLeft w:val="0"/>
          <w:marRight w:val="0"/>
          <w:marTop w:val="0"/>
          <w:marBottom w:val="0"/>
          <w:divBdr>
            <w:top w:val="none" w:sz="0" w:space="0" w:color="auto"/>
            <w:left w:val="none" w:sz="0" w:space="0" w:color="auto"/>
            <w:bottom w:val="none" w:sz="0" w:space="0" w:color="auto"/>
            <w:right w:val="none" w:sz="0" w:space="0" w:color="auto"/>
          </w:divBdr>
          <w:divsChild>
            <w:div w:id="1518420670">
              <w:marLeft w:val="0"/>
              <w:marRight w:val="0"/>
              <w:marTop w:val="0"/>
              <w:marBottom w:val="0"/>
              <w:divBdr>
                <w:top w:val="none" w:sz="0" w:space="0" w:color="auto"/>
                <w:left w:val="none" w:sz="0" w:space="0" w:color="auto"/>
                <w:bottom w:val="none" w:sz="0" w:space="0" w:color="auto"/>
                <w:right w:val="none" w:sz="0" w:space="0" w:color="auto"/>
              </w:divBdr>
              <w:divsChild>
                <w:div w:id="4691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8216">
      <w:bodyDiv w:val="1"/>
      <w:marLeft w:val="0"/>
      <w:marRight w:val="0"/>
      <w:marTop w:val="0"/>
      <w:marBottom w:val="0"/>
      <w:divBdr>
        <w:top w:val="none" w:sz="0" w:space="0" w:color="auto"/>
        <w:left w:val="none" w:sz="0" w:space="0" w:color="auto"/>
        <w:bottom w:val="none" w:sz="0" w:space="0" w:color="auto"/>
        <w:right w:val="none" w:sz="0" w:space="0" w:color="auto"/>
      </w:divBdr>
    </w:div>
    <w:div w:id="914507731">
      <w:bodyDiv w:val="1"/>
      <w:marLeft w:val="0"/>
      <w:marRight w:val="0"/>
      <w:marTop w:val="0"/>
      <w:marBottom w:val="0"/>
      <w:divBdr>
        <w:top w:val="none" w:sz="0" w:space="0" w:color="auto"/>
        <w:left w:val="none" w:sz="0" w:space="0" w:color="auto"/>
        <w:bottom w:val="none" w:sz="0" w:space="0" w:color="auto"/>
        <w:right w:val="none" w:sz="0" w:space="0" w:color="auto"/>
      </w:divBdr>
    </w:div>
    <w:div w:id="926963219">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
    <w:div w:id="936907508">
      <w:bodyDiv w:val="1"/>
      <w:marLeft w:val="0"/>
      <w:marRight w:val="0"/>
      <w:marTop w:val="0"/>
      <w:marBottom w:val="0"/>
      <w:divBdr>
        <w:top w:val="none" w:sz="0" w:space="0" w:color="auto"/>
        <w:left w:val="none" w:sz="0" w:space="0" w:color="auto"/>
        <w:bottom w:val="none" w:sz="0" w:space="0" w:color="auto"/>
        <w:right w:val="none" w:sz="0" w:space="0" w:color="auto"/>
      </w:divBdr>
    </w:div>
    <w:div w:id="937761289">
      <w:bodyDiv w:val="1"/>
      <w:marLeft w:val="0"/>
      <w:marRight w:val="0"/>
      <w:marTop w:val="0"/>
      <w:marBottom w:val="0"/>
      <w:divBdr>
        <w:top w:val="none" w:sz="0" w:space="0" w:color="auto"/>
        <w:left w:val="none" w:sz="0" w:space="0" w:color="auto"/>
        <w:bottom w:val="none" w:sz="0" w:space="0" w:color="auto"/>
        <w:right w:val="none" w:sz="0" w:space="0" w:color="auto"/>
      </w:divBdr>
    </w:div>
    <w:div w:id="971322482">
      <w:bodyDiv w:val="1"/>
      <w:marLeft w:val="0"/>
      <w:marRight w:val="0"/>
      <w:marTop w:val="0"/>
      <w:marBottom w:val="0"/>
      <w:divBdr>
        <w:top w:val="none" w:sz="0" w:space="0" w:color="auto"/>
        <w:left w:val="none" w:sz="0" w:space="0" w:color="auto"/>
        <w:bottom w:val="none" w:sz="0" w:space="0" w:color="auto"/>
        <w:right w:val="none" w:sz="0" w:space="0" w:color="auto"/>
      </w:divBdr>
    </w:div>
    <w:div w:id="988940388">
      <w:bodyDiv w:val="1"/>
      <w:marLeft w:val="0"/>
      <w:marRight w:val="0"/>
      <w:marTop w:val="0"/>
      <w:marBottom w:val="0"/>
      <w:divBdr>
        <w:top w:val="none" w:sz="0" w:space="0" w:color="auto"/>
        <w:left w:val="none" w:sz="0" w:space="0" w:color="auto"/>
        <w:bottom w:val="none" w:sz="0" w:space="0" w:color="auto"/>
        <w:right w:val="none" w:sz="0" w:space="0" w:color="auto"/>
      </w:divBdr>
    </w:div>
    <w:div w:id="1017316827">
      <w:bodyDiv w:val="1"/>
      <w:marLeft w:val="0"/>
      <w:marRight w:val="0"/>
      <w:marTop w:val="0"/>
      <w:marBottom w:val="0"/>
      <w:divBdr>
        <w:top w:val="none" w:sz="0" w:space="0" w:color="auto"/>
        <w:left w:val="none" w:sz="0" w:space="0" w:color="auto"/>
        <w:bottom w:val="none" w:sz="0" w:space="0" w:color="auto"/>
        <w:right w:val="none" w:sz="0" w:space="0" w:color="auto"/>
      </w:divBdr>
      <w:divsChild>
        <w:div w:id="2098666566">
          <w:marLeft w:val="0"/>
          <w:marRight w:val="0"/>
          <w:marTop w:val="0"/>
          <w:marBottom w:val="0"/>
          <w:divBdr>
            <w:top w:val="none" w:sz="0" w:space="0" w:color="auto"/>
            <w:left w:val="none" w:sz="0" w:space="0" w:color="auto"/>
            <w:bottom w:val="none" w:sz="0" w:space="0" w:color="auto"/>
            <w:right w:val="none" w:sz="0" w:space="0" w:color="auto"/>
          </w:divBdr>
          <w:divsChild>
            <w:div w:id="269631556">
              <w:marLeft w:val="0"/>
              <w:marRight w:val="0"/>
              <w:marTop w:val="0"/>
              <w:marBottom w:val="0"/>
              <w:divBdr>
                <w:top w:val="none" w:sz="0" w:space="0" w:color="auto"/>
                <w:left w:val="none" w:sz="0" w:space="0" w:color="auto"/>
                <w:bottom w:val="none" w:sz="0" w:space="0" w:color="auto"/>
                <w:right w:val="none" w:sz="0" w:space="0" w:color="auto"/>
              </w:divBdr>
              <w:divsChild>
                <w:div w:id="1943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8321">
      <w:bodyDiv w:val="1"/>
      <w:marLeft w:val="0"/>
      <w:marRight w:val="0"/>
      <w:marTop w:val="0"/>
      <w:marBottom w:val="0"/>
      <w:divBdr>
        <w:top w:val="none" w:sz="0" w:space="0" w:color="auto"/>
        <w:left w:val="none" w:sz="0" w:space="0" w:color="auto"/>
        <w:bottom w:val="none" w:sz="0" w:space="0" w:color="auto"/>
        <w:right w:val="none" w:sz="0" w:space="0" w:color="auto"/>
      </w:divBdr>
      <w:divsChild>
        <w:div w:id="586426412">
          <w:marLeft w:val="0"/>
          <w:marRight w:val="0"/>
          <w:marTop w:val="0"/>
          <w:marBottom w:val="0"/>
          <w:divBdr>
            <w:top w:val="none" w:sz="0" w:space="0" w:color="auto"/>
            <w:left w:val="none" w:sz="0" w:space="0" w:color="auto"/>
            <w:bottom w:val="none" w:sz="0" w:space="0" w:color="auto"/>
            <w:right w:val="none" w:sz="0" w:space="0" w:color="auto"/>
          </w:divBdr>
          <w:divsChild>
            <w:div w:id="804350087">
              <w:marLeft w:val="0"/>
              <w:marRight w:val="0"/>
              <w:marTop w:val="0"/>
              <w:marBottom w:val="0"/>
              <w:divBdr>
                <w:top w:val="none" w:sz="0" w:space="0" w:color="auto"/>
                <w:left w:val="none" w:sz="0" w:space="0" w:color="auto"/>
                <w:bottom w:val="none" w:sz="0" w:space="0" w:color="auto"/>
                <w:right w:val="none" w:sz="0" w:space="0" w:color="auto"/>
              </w:divBdr>
              <w:divsChild>
                <w:div w:id="21019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58281">
      <w:bodyDiv w:val="1"/>
      <w:marLeft w:val="0"/>
      <w:marRight w:val="0"/>
      <w:marTop w:val="0"/>
      <w:marBottom w:val="0"/>
      <w:divBdr>
        <w:top w:val="none" w:sz="0" w:space="0" w:color="auto"/>
        <w:left w:val="none" w:sz="0" w:space="0" w:color="auto"/>
        <w:bottom w:val="none" w:sz="0" w:space="0" w:color="auto"/>
        <w:right w:val="none" w:sz="0" w:space="0" w:color="auto"/>
      </w:divBdr>
    </w:div>
    <w:div w:id="1046682328">
      <w:bodyDiv w:val="1"/>
      <w:marLeft w:val="0"/>
      <w:marRight w:val="0"/>
      <w:marTop w:val="0"/>
      <w:marBottom w:val="0"/>
      <w:divBdr>
        <w:top w:val="none" w:sz="0" w:space="0" w:color="auto"/>
        <w:left w:val="none" w:sz="0" w:space="0" w:color="auto"/>
        <w:bottom w:val="none" w:sz="0" w:space="0" w:color="auto"/>
        <w:right w:val="none" w:sz="0" w:space="0" w:color="auto"/>
      </w:divBdr>
    </w:div>
    <w:div w:id="1074934493">
      <w:bodyDiv w:val="1"/>
      <w:marLeft w:val="0"/>
      <w:marRight w:val="0"/>
      <w:marTop w:val="0"/>
      <w:marBottom w:val="0"/>
      <w:divBdr>
        <w:top w:val="none" w:sz="0" w:space="0" w:color="auto"/>
        <w:left w:val="none" w:sz="0" w:space="0" w:color="auto"/>
        <w:bottom w:val="none" w:sz="0" w:space="0" w:color="auto"/>
        <w:right w:val="none" w:sz="0" w:space="0" w:color="auto"/>
      </w:divBdr>
      <w:divsChild>
        <w:div w:id="1916239075">
          <w:marLeft w:val="0"/>
          <w:marRight w:val="0"/>
          <w:marTop w:val="0"/>
          <w:marBottom w:val="0"/>
          <w:divBdr>
            <w:top w:val="none" w:sz="0" w:space="0" w:color="auto"/>
            <w:left w:val="none" w:sz="0" w:space="0" w:color="auto"/>
            <w:bottom w:val="none" w:sz="0" w:space="0" w:color="auto"/>
            <w:right w:val="none" w:sz="0" w:space="0" w:color="auto"/>
          </w:divBdr>
          <w:divsChild>
            <w:div w:id="485584476">
              <w:marLeft w:val="0"/>
              <w:marRight w:val="0"/>
              <w:marTop w:val="0"/>
              <w:marBottom w:val="0"/>
              <w:divBdr>
                <w:top w:val="none" w:sz="0" w:space="0" w:color="auto"/>
                <w:left w:val="none" w:sz="0" w:space="0" w:color="auto"/>
                <w:bottom w:val="none" w:sz="0" w:space="0" w:color="auto"/>
                <w:right w:val="none" w:sz="0" w:space="0" w:color="auto"/>
              </w:divBdr>
              <w:divsChild>
                <w:div w:id="1661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045">
      <w:bodyDiv w:val="1"/>
      <w:marLeft w:val="0"/>
      <w:marRight w:val="0"/>
      <w:marTop w:val="0"/>
      <w:marBottom w:val="0"/>
      <w:divBdr>
        <w:top w:val="none" w:sz="0" w:space="0" w:color="auto"/>
        <w:left w:val="none" w:sz="0" w:space="0" w:color="auto"/>
        <w:bottom w:val="none" w:sz="0" w:space="0" w:color="auto"/>
        <w:right w:val="none" w:sz="0" w:space="0" w:color="auto"/>
      </w:divBdr>
    </w:div>
    <w:div w:id="1104495200">
      <w:bodyDiv w:val="1"/>
      <w:marLeft w:val="0"/>
      <w:marRight w:val="0"/>
      <w:marTop w:val="0"/>
      <w:marBottom w:val="0"/>
      <w:divBdr>
        <w:top w:val="none" w:sz="0" w:space="0" w:color="auto"/>
        <w:left w:val="none" w:sz="0" w:space="0" w:color="auto"/>
        <w:bottom w:val="none" w:sz="0" w:space="0" w:color="auto"/>
        <w:right w:val="none" w:sz="0" w:space="0" w:color="auto"/>
      </w:divBdr>
    </w:div>
    <w:div w:id="1135179992">
      <w:bodyDiv w:val="1"/>
      <w:marLeft w:val="0"/>
      <w:marRight w:val="0"/>
      <w:marTop w:val="0"/>
      <w:marBottom w:val="0"/>
      <w:divBdr>
        <w:top w:val="none" w:sz="0" w:space="0" w:color="auto"/>
        <w:left w:val="none" w:sz="0" w:space="0" w:color="auto"/>
        <w:bottom w:val="none" w:sz="0" w:space="0" w:color="auto"/>
        <w:right w:val="none" w:sz="0" w:space="0" w:color="auto"/>
      </w:divBdr>
    </w:div>
    <w:div w:id="1150174265">
      <w:bodyDiv w:val="1"/>
      <w:marLeft w:val="0"/>
      <w:marRight w:val="0"/>
      <w:marTop w:val="0"/>
      <w:marBottom w:val="0"/>
      <w:divBdr>
        <w:top w:val="none" w:sz="0" w:space="0" w:color="auto"/>
        <w:left w:val="none" w:sz="0" w:space="0" w:color="auto"/>
        <w:bottom w:val="none" w:sz="0" w:space="0" w:color="auto"/>
        <w:right w:val="none" w:sz="0" w:space="0" w:color="auto"/>
      </w:divBdr>
    </w:div>
    <w:div w:id="1197700471">
      <w:bodyDiv w:val="1"/>
      <w:marLeft w:val="0"/>
      <w:marRight w:val="0"/>
      <w:marTop w:val="0"/>
      <w:marBottom w:val="0"/>
      <w:divBdr>
        <w:top w:val="none" w:sz="0" w:space="0" w:color="auto"/>
        <w:left w:val="none" w:sz="0" w:space="0" w:color="auto"/>
        <w:bottom w:val="none" w:sz="0" w:space="0" w:color="auto"/>
        <w:right w:val="none" w:sz="0" w:space="0" w:color="auto"/>
      </w:divBdr>
    </w:div>
    <w:div w:id="1282954539">
      <w:bodyDiv w:val="1"/>
      <w:marLeft w:val="0"/>
      <w:marRight w:val="0"/>
      <w:marTop w:val="0"/>
      <w:marBottom w:val="0"/>
      <w:divBdr>
        <w:top w:val="none" w:sz="0" w:space="0" w:color="auto"/>
        <w:left w:val="none" w:sz="0" w:space="0" w:color="auto"/>
        <w:bottom w:val="none" w:sz="0" w:space="0" w:color="auto"/>
        <w:right w:val="none" w:sz="0" w:space="0" w:color="auto"/>
      </w:divBdr>
    </w:div>
    <w:div w:id="1284074161">
      <w:bodyDiv w:val="1"/>
      <w:marLeft w:val="0"/>
      <w:marRight w:val="0"/>
      <w:marTop w:val="0"/>
      <w:marBottom w:val="0"/>
      <w:divBdr>
        <w:top w:val="none" w:sz="0" w:space="0" w:color="auto"/>
        <w:left w:val="none" w:sz="0" w:space="0" w:color="auto"/>
        <w:bottom w:val="none" w:sz="0" w:space="0" w:color="auto"/>
        <w:right w:val="none" w:sz="0" w:space="0" w:color="auto"/>
      </w:divBdr>
    </w:div>
    <w:div w:id="1287808495">
      <w:bodyDiv w:val="1"/>
      <w:marLeft w:val="0"/>
      <w:marRight w:val="0"/>
      <w:marTop w:val="0"/>
      <w:marBottom w:val="0"/>
      <w:divBdr>
        <w:top w:val="none" w:sz="0" w:space="0" w:color="auto"/>
        <w:left w:val="none" w:sz="0" w:space="0" w:color="auto"/>
        <w:bottom w:val="none" w:sz="0" w:space="0" w:color="auto"/>
        <w:right w:val="none" w:sz="0" w:space="0" w:color="auto"/>
      </w:divBdr>
    </w:div>
    <w:div w:id="1290744797">
      <w:bodyDiv w:val="1"/>
      <w:marLeft w:val="0"/>
      <w:marRight w:val="0"/>
      <w:marTop w:val="0"/>
      <w:marBottom w:val="0"/>
      <w:divBdr>
        <w:top w:val="none" w:sz="0" w:space="0" w:color="auto"/>
        <w:left w:val="none" w:sz="0" w:space="0" w:color="auto"/>
        <w:bottom w:val="none" w:sz="0" w:space="0" w:color="auto"/>
        <w:right w:val="none" w:sz="0" w:space="0" w:color="auto"/>
      </w:divBdr>
    </w:div>
    <w:div w:id="1296255988">
      <w:bodyDiv w:val="1"/>
      <w:marLeft w:val="0"/>
      <w:marRight w:val="0"/>
      <w:marTop w:val="0"/>
      <w:marBottom w:val="0"/>
      <w:divBdr>
        <w:top w:val="none" w:sz="0" w:space="0" w:color="auto"/>
        <w:left w:val="none" w:sz="0" w:space="0" w:color="auto"/>
        <w:bottom w:val="none" w:sz="0" w:space="0" w:color="auto"/>
        <w:right w:val="none" w:sz="0" w:space="0" w:color="auto"/>
      </w:divBdr>
    </w:div>
    <w:div w:id="1298490824">
      <w:bodyDiv w:val="1"/>
      <w:marLeft w:val="0"/>
      <w:marRight w:val="0"/>
      <w:marTop w:val="0"/>
      <w:marBottom w:val="0"/>
      <w:divBdr>
        <w:top w:val="none" w:sz="0" w:space="0" w:color="auto"/>
        <w:left w:val="none" w:sz="0" w:space="0" w:color="auto"/>
        <w:bottom w:val="none" w:sz="0" w:space="0" w:color="auto"/>
        <w:right w:val="none" w:sz="0" w:space="0" w:color="auto"/>
      </w:divBdr>
    </w:div>
    <w:div w:id="1304197030">
      <w:bodyDiv w:val="1"/>
      <w:marLeft w:val="0"/>
      <w:marRight w:val="0"/>
      <w:marTop w:val="0"/>
      <w:marBottom w:val="0"/>
      <w:divBdr>
        <w:top w:val="none" w:sz="0" w:space="0" w:color="auto"/>
        <w:left w:val="none" w:sz="0" w:space="0" w:color="auto"/>
        <w:bottom w:val="none" w:sz="0" w:space="0" w:color="auto"/>
        <w:right w:val="none" w:sz="0" w:space="0" w:color="auto"/>
      </w:divBdr>
    </w:div>
    <w:div w:id="1318338374">
      <w:bodyDiv w:val="1"/>
      <w:marLeft w:val="0"/>
      <w:marRight w:val="0"/>
      <w:marTop w:val="0"/>
      <w:marBottom w:val="0"/>
      <w:divBdr>
        <w:top w:val="none" w:sz="0" w:space="0" w:color="auto"/>
        <w:left w:val="none" w:sz="0" w:space="0" w:color="auto"/>
        <w:bottom w:val="none" w:sz="0" w:space="0" w:color="auto"/>
        <w:right w:val="none" w:sz="0" w:space="0" w:color="auto"/>
      </w:divBdr>
    </w:div>
    <w:div w:id="1336880476">
      <w:bodyDiv w:val="1"/>
      <w:marLeft w:val="0"/>
      <w:marRight w:val="0"/>
      <w:marTop w:val="0"/>
      <w:marBottom w:val="0"/>
      <w:divBdr>
        <w:top w:val="none" w:sz="0" w:space="0" w:color="auto"/>
        <w:left w:val="none" w:sz="0" w:space="0" w:color="auto"/>
        <w:bottom w:val="none" w:sz="0" w:space="0" w:color="auto"/>
        <w:right w:val="none" w:sz="0" w:space="0" w:color="auto"/>
      </w:divBdr>
    </w:div>
    <w:div w:id="1341352103">
      <w:bodyDiv w:val="1"/>
      <w:marLeft w:val="0"/>
      <w:marRight w:val="0"/>
      <w:marTop w:val="0"/>
      <w:marBottom w:val="0"/>
      <w:divBdr>
        <w:top w:val="none" w:sz="0" w:space="0" w:color="auto"/>
        <w:left w:val="none" w:sz="0" w:space="0" w:color="auto"/>
        <w:bottom w:val="none" w:sz="0" w:space="0" w:color="auto"/>
        <w:right w:val="none" w:sz="0" w:space="0" w:color="auto"/>
      </w:divBdr>
    </w:div>
    <w:div w:id="1348172573">
      <w:bodyDiv w:val="1"/>
      <w:marLeft w:val="0"/>
      <w:marRight w:val="0"/>
      <w:marTop w:val="0"/>
      <w:marBottom w:val="0"/>
      <w:divBdr>
        <w:top w:val="none" w:sz="0" w:space="0" w:color="auto"/>
        <w:left w:val="none" w:sz="0" w:space="0" w:color="auto"/>
        <w:bottom w:val="none" w:sz="0" w:space="0" w:color="auto"/>
        <w:right w:val="none" w:sz="0" w:space="0" w:color="auto"/>
      </w:divBdr>
    </w:div>
    <w:div w:id="1352102807">
      <w:bodyDiv w:val="1"/>
      <w:marLeft w:val="0"/>
      <w:marRight w:val="0"/>
      <w:marTop w:val="0"/>
      <w:marBottom w:val="0"/>
      <w:divBdr>
        <w:top w:val="none" w:sz="0" w:space="0" w:color="auto"/>
        <w:left w:val="none" w:sz="0" w:space="0" w:color="auto"/>
        <w:bottom w:val="none" w:sz="0" w:space="0" w:color="auto"/>
        <w:right w:val="none" w:sz="0" w:space="0" w:color="auto"/>
      </w:divBdr>
    </w:div>
    <w:div w:id="1359504855">
      <w:bodyDiv w:val="1"/>
      <w:marLeft w:val="0"/>
      <w:marRight w:val="0"/>
      <w:marTop w:val="0"/>
      <w:marBottom w:val="0"/>
      <w:divBdr>
        <w:top w:val="none" w:sz="0" w:space="0" w:color="auto"/>
        <w:left w:val="none" w:sz="0" w:space="0" w:color="auto"/>
        <w:bottom w:val="none" w:sz="0" w:space="0" w:color="auto"/>
        <w:right w:val="none" w:sz="0" w:space="0" w:color="auto"/>
      </w:divBdr>
    </w:div>
    <w:div w:id="1377435975">
      <w:bodyDiv w:val="1"/>
      <w:marLeft w:val="0"/>
      <w:marRight w:val="0"/>
      <w:marTop w:val="0"/>
      <w:marBottom w:val="0"/>
      <w:divBdr>
        <w:top w:val="none" w:sz="0" w:space="0" w:color="auto"/>
        <w:left w:val="none" w:sz="0" w:space="0" w:color="auto"/>
        <w:bottom w:val="none" w:sz="0" w:space="0" w:color="auto"/>
        <w:right w:val="none" w:sz="0" w:space="0" w:color="auto"/>
      </w:divBdr>
    </w:div>
    <w:div w:id="1396245835">
      <w:bodyDiv w:val="1"/>
      <w:marLeft w:val="0"/>
      <w:marRight w:val="0"/>
      <w:marTop w:val="0"/>
      <w:marBottom w:val="0"/>
      <w:divBdr>
        <w:top w:val="none" w:sz="0" w:space="0" w:color="auto"/>
        <w:left w:val="none" w:sz="0" w:space="0" w:color="auto"/>
        <w:bottom w:val="none" w:sz="0" w:space="0" w:color="auto"/>
        <w:right w:val="none" w:sz="0" w:space="0" w:color="auto"/>
      </w:divBdr>
    </w:div>
    <w:div w:id="1401757857">
      <w:bodyDiv w:val="1"/>
      <w:marLeft w:val="0"/>
      <w:marRight w:val="0"/>
      <w:marTop w:val="0"/>
      <w:marBottom w:val="0"/>
      <w:divBdr>
        <w:top w:val="none" w:sz="0" w:space="0" w:color="auto"/>
        <w:left w:val="none" w:sz="0" w:space="0" w:color="auto"/>
        <w:bottom w:val="none" w:sz="0" w:space="0" w:color="auto"/>
        <w:right w:val="none" w:sz="0" w:space="0" w:color="auto"/>
      </w:divBdr>
    </w:div>
    <w:div w:id="1409226291">
      <w:bodyDiv w:val="1"/>
      <w:marLeft w:val="0"/>
      <w:marRight w:val="0"/>
      <w:marTop w:val="0"/>
      <w:marBottom w:val="0"/>
      <w:divBdr>
        <w:top w:val="none" w:sz="0" w:space="0" w:color="auto"/>
        <w:left w:val="none" w:sz="0" w:space="0" w:color="auto"/>
        <w:bottom w:val="none" w:sz="0" w:space="0" w:color="auto"/>
        <w:right w:val="none" w:sz="0" w:space="0" w:color="auto"/>
      </w:divBdr>
      <w:divsChild>
        <w:div w:id="1531456924">
          <w:marLeft w:val="0"/>
          <w:marRight w:val="0"/>
          <w:marTop w:val="0"/>
          <w:marBottom w:val="0"/>
          <w:divBdr>
            <w:top w:val="none" w:sz="0" w:space="0" w:color="auto"/>
            <w:left w:val="none" w:sz="0" w:space="0" w:color="auto"/>
            <w:bottom w:val="none" w:sz="0" w:space="0" w:color="auto"/>
            <w:right w:val="none" w:sz="0" w:space="0" w:color="auto"/>
          </w:divBdr>
          <w:divsChild>
            <w:div w:id="2141605472">
              <w:marLeft w:val="0"/>
              <w:marRight w:val="0"/>
              <w:marTop w:val="0"/>
              <w:marBottom w:val="0"/>
              <w:divBdr>
                <w:top w:val="none" w:sz="0" w:space="0" w:color="auto"/>
                <w:left w:val="none" w:sz="0" w:space="0" w:color="auto"/>
                <w:bottom w:val="none" w:sz="0" w:space="0" w:color="auto"/>
                <w:right w:val="none" w:sz="0" w:space="0" w:color="auto"/>
              </w:divBdr>
              <w:divsChild>
                <w:div w:id="1660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4569">
      <w:bodyDiv w:val="1"/>
      <w:marLeft w:val="0"/>
      <w:marRight w:val="0"/>
      <w:marTop w:val="0"/>
      <w:marBottom w:val="0"/>
      <w:divBdr>
        <w:top w:val="none" w:sz="0" w:space="0" w:color="auto"/>
        <w:left w:val="none" w:sz="0" w:space="0" w:color="auto"/>
        <w:bottom w:val="none" w:sz="0" w:space="0" w:color="auto"/>
        <w:right w:val="none" w:sz="0" w:space="0" w:color="auto"/>
      </w:divBdr>
    </w:div>
    <w:div w:id="1468235361">
      <w:bodyDiv w:val="1"/>
      <w:marLeft w:val="0"/>
      <w:marRight w:val="0"/>
      <w:marTop w:val="0"/>
      <w:marBottom w:val="0"/>
      <w:divBdr>
        <w:top w:val="none" w:sz="0" w:space="0" w:color="auto"/>
        <w:left w:val="none" w:sz="0" w:space="0" w:color="auto"/>
        <w:bottom w:val="none" w:sz="0" w:space="0" w:color="auto"/>
        <w:right w:val="none" w:sz="0" w:space="0" w:color="auto"/>
      </w:divBdr>
      <w:divsChild>
        <w:div w:id="1906338342">
          <w:marLeft w:val="0"/>
          <w:marRight w:val="0"/>
          <w:marTop w:val="0"/>
          <w:marBottom w:val="0"/>
          <w:divBdr>
            <w:top w:val="none" w:sz="0" w:space="0" w:color="auto"/>
            <w:left w:val="none" w:sz="0" w:space="0" w:color="auto"/>
            <w:bottom w:val="none" w:sz="0" w:space="0" w:color="auto"/>
            <w:right w:val="none" w:sz="0" w:space="0" w:color="auto"/>
          </w:divBdr>
          <w:divsChild>
            <w:div w:id="1761372157">
              <w:marLeft w:val="0"/>
              <w:marRight w:val="0"/>
              <w:marTop w:val="0"/>
              <w:marBottom w:val="0"/>
              <w:divBdr>
                <w:top w:val="none" w:sz="0" w:space="0" w:color="auto"/>
                <w:left w:val="none" w:sz="0" w:space="0" w:color="auto"/>
                <w:bottom w:val="none" w:sz="0" w:space="0" w:color="auto"/>
                <w:right w:val="none" w:sz="0" w:space="0" w:color="auto"/>
              </w:divBdr>
              <w:divsChild>
                <w:div w:id="50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6601">
      <w:bodyDiv w:val="1"/>
      <w:marLeft w:val="0"/>
      <w:marRight w:val="0"/>
      <w:marTop w:val="0"/>
      <w:marBottom w:val="0"/>
      <w:divBdr>
        <w:top w:val="none" w:sz="0" w:space="0" w:color="auto"/>
        <w:left w:val="none" w:sz="0" w:space="0" w:color="auto"/>
        <w:bottom w:val="none" w:sz="0" w:space="0" w:color="auto"/>
        <w:right w:val="none" w:sz="0" w:space="0" w:color="auto"/>
      </w:divBdr>
    </w:div>
    <w:div w:id="1471750840">
      <w:bodyDiv w:val="1"/>
      <w:marLeft w:val="0"/>
      <w:marRight w:val="0"/>
      <w:marTop w:val="0"/>
      <w:marBottom w:val="0"/>
      <w:divBdr>
        <w:top w:val="none" w:sz="0" w:space="0" w:color="auto"/>
        <w:left w:val="none" w:sz="0" w:space="0" w:color="auto"/>
        <w:bottom w:val="none" w:sz="0" w:space="0" w:color="auto"/>
        <w:right w:val="none" w:sz="0" w:space="0" w:color="auto"/>
      </w:divBdr>
    </w:div>
    <w:div w:id="1473327929">
      <w:bodyDiv w:val="1"/>
      <w:marLeft w:val="0"/>
      <w:marRight w:val="0"/>
      <w:marTop w:val="0"/>
      <w:marBottom w:val="0"/>
      <w:divBdr>
        <w:top w:val="none" w:sz="0" w:space="0" w:color="auto"/>
        <w:left w:val="none" w:sz="0" w:space="0" w:color="auto"/>
        <w:bottom w:val="none" w:sz="0" w:space="0" w:color="auto"/>
        <w:right w:val="none" w:sz="0" w:space="0" w:color="auto"/>
      </w:divBdr>
    </w:div>
    <w:div w:id="1476143989">
      <w:bodyDiv w:val="1"/>
      <w:marLeft w:val="0"/>
      <w:marRight w:val="0"/>
      <w:marTop w:val="0"/>
      <w:marBottom w:val="0"/>
      <w:divBdr>
        <w:top w:val="none" w:sz="0" w:space="0" w:color="auto"/>
        <w:left w:val="none" w:sz="0" w:space="0" w:color="auto"/>
        <w:bottom w:val="none" w:sz="0" w:space="0" w:color="auto"/>
        <w:right w:val="none" w:sz="0" w:space="0" w:color="auto"/>
      </w:divBdr>
    </w:div>
    <w:div w:id="1495340837">
      <w:bodyDiv w:val="1"/>
      <w:marLeft w:val="0"/>
      <w:marRight w:val="0"/>
      <w:marTop w:val="0"/>
      <w:marBottom w:val="0"/>
      <w:divBdr>
        <w:top w:val="none" w:sz="0" w:space="0" w:color="auto"/>
        <w:left w:val="none" w:sz="0" w:space="0" w:color="auto"/>
        <w:bottom w:val="none" w:sz="0" w:space="0" w:color="auto"/>
        <w:right w:val="none" w:sz="0" w:space="0" w:color="auto"/>
      </w:divBdr>
    </w:div>
    <w:div w:id="1509515959">
      <w:bodyDiv w:val="1"/>
      <w:marLeft w:val="0"/>
      <w:marRight w:val="0"/>
      <w:marTop w:val="0"/>
      <w:marBottom w:val="0"/>
      <w:divBdr>
        <w:top w:val="none" w:sz="0" w:space="0" w:color="auto"/>
        <w:left w:val="none" w:sz="0" w:space="0" w:color="auto"/>
        <w:bottom w:val="none" w:sz="0" w:space="0" w:color="auto"/>
        <w:right w:val="none" w:sz="0" w:space="0" w:color="auto"/>
      </w:divBdr>
    </w:div>
    <w:div w:id="1533960343">
      <w:bodyDiv w:val="1"/>
      <w:marLeft w:val="0"/>
      <w:marRight w:val="0"/>
      <w:marTop w:val="0"/>
      <w:marBottom w:val="0"/>
      <w:divBdr>
        <w:top w:val="none" w:sz="0" w:space="0" w:color="auto"/>
        <w:left w:val="none" w:sz="0" w:space="0" w:color="auto"/>
        <w:bottom w:val="none" w:sz="0" w:space="0" w:color="auto"/>
        <w:right w:val="none" w:sz="0" w:space="0" w:color="auto"/>
      </w:divBdr>
    </w:div>
    <w:div w:id="1544555537">
      <w:bodyDiv w:val="1"/>
      <w:marLeft w:val="0"/>
      <w:marRight w:val="0"/>
      <w:marTop w:val="0"/>
      <w:marBottom w:val="0"/>
      <w:divBdr>
        <w:top w:val="none" w:sz="0" w:space="0" w:color="auto"/>
        <w:left w:val="none" w:sz="0" w:space="0" w:color="auto"/>
        <w:bottom w:val="none" w:sz="0" w:space="0" w:color="auto"/>
        <w:right w:val="none" w:sz="0" w:space="0" w:color="auto"/>
      </w:divBdr>
    </w:div>
    <w:div w:id="1558973653">
      <w:bodyDiv w:val="1"/>
      <w:marLeft w:val="0"/>
      <w:marRight w:val="0"/>
      <w:marTop w:val="0"/>
      <w:marBottom w:val="0"/>
      <w:divBdr>
        <w:top w:val="none" w:sz="0" w:space="0" w:color="auto"/>
        <w:left w:val="none" w:sz="0" w:space="0" w:color="auto"/>
        <w:bottom w:val="none" w:sz="0" w:space="0" w:color="auto"/>
        <w:right w:val="none" w:sz="0" w:space="0" w:color="auto"/>
      </w:divBdr>
    </w:div>
    <w:div w:id="1574581939">
      <w:bodyDiv w:val="1"/>
      <w:marLeft w:val="0"/>
      <w:marRight w:val="0"/>
      <w:marTop w:val="0"/>
      <w:marBottom w:val="0"/>
      <w:divBdr>
        <w:top w:val="none" w:sz="0" w:space="0" w:color="auto"/>
        <w:left w:val="none" w:sz="0" w:space="0" w:color="auto"/>
        <w:bottom w:val="none" w:sz="0" w:space="0" w:color="auto"/>
        <w:right w:val="none" w:sz="0" w:space="0" w:color="auto"/>
      </w:divBdr>
    </w:div>
    <w:div w:id="1582181728">
      <w:bodyDiv w:val="1"/>
      <w:marLeft w:val="0"/>
      <w:marRight w:val="0"/>
      <w:marTop w:val="0"/>
      <w:marBottom w:val="0"/>
      <w:divBdr>
        <w:top w:val="none" w:sz="0" w:space="0" w:color="auto"/>
        <w:left w:val="none" w:sz="0" w:space="0" w:color="auto"/>
        <w:bottom w:val="none" w:sz="0" w:space="0" w:color="auto"/>
        <w:right w:val="none" w:sz="0" w:space="0" w:color="auto"/>
      </w:divBdr>
    </w:div>
    <w:div w:id="1583367298">
      <w:bodyDiv w:val="1"/>
      <w:marLeft w:val="0"/>
      <w:marRight w:val="0"/>
      <w:marTop w:val="0"/>
      <w:marBottom w:val="0"/>
      <w:divBdr>
        <w:top w:val="none" w:sz="0" w:space="0" w:color="auto"/>
        <w:left w:val="none" w:sz="0" w:space="0" w:color="auto"/>
        <w:bottom w:val="none" w:sz="0" w:space="0" w:color="auto"/>
        <w:right w:val="none" w:sz="0" w:space="0" w:color="auto"/>
      </w:divBdr>
    </w:div>
    <w:div w:id="1607078386">
      <w:bodyDiv w:val="1"/>
      <w:marLeft w:val="0"/>
      <w:marRight w:val="0"/>
      <w:marTop w:val="0"/>
      <w:marBottom w:val="0"/>
      <w:divBdr>
        <w:top w:val="none" w:sz="0" w:space="0" w:color="auto"/>
        <w:left w:val="none" w:sz="0" w:space="0" w:color="auto"/>
        <w:bottom w:val="none" w:sz="0" w:space="0" w:color="auto"/>
        <w:right w:val="none" w:sz="0" w:space="0" w:color="auto"/>
      </w:divBdr>
      <w:divsChild>
        <w:div w:id="940913690">
          <w:marLeft w:val="0"/>
          <w:marRight w:val="0"/>
          <w:marTop w:val="0"/>
          <w:marBottom w:val="0"/>
          <w:divBdr>
            <w:top w:val="none" w:sz="0" w:space="0" w:color="auto"/>
            <w:left w:val="none" w:sz="0" w:space="0" w:color="auto"/>
            <w:bottom w:val="none" w:sz="0" w:space="0" w:color="auto"/>
            <w:right w:val="none" w:sz="0" w:space="0" w:color="auto"/>
          </w:divBdr>
        </w:div>
      </w:divsChild>
    </w:div>
    <w:div w:id="1614094287">
      <w:bodyDiv w:val="1"/>
      <w:marLeft w:val="0"/>
      <w:marRight w:val="0"/>
      <w:marTop w:val="0"/>
      <w:marBottom w:val="0"/>
      <w:divBdr>
        <w:top w:val="none" w:sz="0" w:space="0" w:color="auto"/>
        <w:left w:val="none" w:sz="0" w:space="0" w:color="auto"/>
        <w:bottom w:val="none" w:sz="0" w:space="0" w:color="auto"/>
        <w:right w:val="none" w:sz="0" w:space="0" w:color="auto"/>
      </w:divBdr>
    </w:div>
    <w:div w:id="1640381770">
      <w:bodyDiv w:val="1"/>
      <w:marLeft w:val="0"/>
      <w:marRight w:val="0"/>
      <w:marTop w:val="0"/>
      <w:marBottom w:val="0"/>
      <w:divBdr>
        <w:top w:val="none" w:sz="0" w:space="0" w:color="auto"/>
        <w:left w:val="none" w:sz="0" w:space="0" w:color="auto"/>
        <w:bottom w:val="none" w:sz="0" w:space="0" w:color="auto"/>
        <w:right w:val="none" w:sz="0" w:space="0" w:color="auto"/>
      </w:divBdr>
      <w:divsChild>
        <w:div w:id="1062412720">
          <w:marLeft w:val="0"/>
          <w:marRight w:val="0"/>
          <w:marTop w:val="0"/>
          <w:marBottom w:val="0"/>
          <w:divBdr>
            <w:top w:val="none" w:sz="0" w:space="0" w:color="auto"/>
            <w:left w:val="none" w:sz="0" w:space="0" w:color="auto"/>
            <w:bottom w:val="none" w:sz="0" w:space="0" w:color="auto"/>
            <w:right w:val="none" w:sz="0" w:space="0" w:color="auto"/>
          </w:divBdr>
          <w:divsChild>
            <w:div w:id="1170370396">
              <w:marLeft w:val="0"/>
              <w:marRight w:val="0"/>
              <w:marTop w:val="0"/>
              <w:marBottom w:val="0"/>
              <w:divBdr>
                <w:top w:val="none" w:sz="0" w:space="0" w:color="auto"/>
                <w:left w:val="none" w:sz="0" w:space="0" w:color="auto"/>
                <w:bottom w:val="none" w:sz="0" w:space="0" w:color="auto"/>
                <w:right w:val="none" w:sz="0" w:space="0" w:color="auto"/>
              </w:divBdr>
              <w:divsChild>
                <w:div w:id="1142693034">
                  <w:marLeft w:val="0"/>
                  <w:marRight w:val="0"/>
                  <w:marTop w:val="0"/>
                  <w:marBottom w:val="0"/>
                  <w:divBdr>
                    <w:top w:val="none" w:sz="0" w:space="0" w:color="auto"/>
                    <w:left w:val="none" w:sz="0" w:space="0" w:color="auto"/>
                    <w:bottom w:val="none" w:sz="0" w:space="0" w:color="auto"/>
                    <w:right w:val="none" w:sz="0" w:space="0" w:color="auto"/>
                  </w:divBdr>
                  <w:divsChild>
                    <w:div w:id="955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981">
      <w:bodyDiv w:val="1"/>
      <w:marLeft w:val="0"/>
      <w:marRight w:val="0"/>
      <w:marTop w:val="0"/>
      <w:marBottom w:val="0"/>
      <w:divBdr>
        <w:top w:val="none" w:sz="0" w:space="0" w:color="auto"/>
        <w:left w:val="none" w:sz="0" w:space="0" w:color="auto"/>
        <w:bottom w:val="none" w:sz="0" w:space="0" w:color="auto"/>
        <w:right w:val="none" w:sz="0" w:space="0" w:color="auto"/>
      </w:divBdr>
    </w:div>
    <w:div w:id="1661037553">
      <w:bodyDiv w:val="1"/>
      <w:marLeft w:val="0"/>
      <w:marRight w:val="0"/>
      <w:marTop w:val="0"/>
      <w:marBottom w:val="0"/>
      <w:divBdr>
        <w:top w:val="none" w:sz="0" w:space="0" w:color="auto"/>
        <w:left w:val="none" w:sz="0" w:space="0" w:color="auto"/>
        <w:bottom w:val="none" w:sz="0" w:space="0" w:color="auto"/>
        <w:right w:val="none" w:sz="0" w:space="0" w:color="auto"/>
      </w:divBdr>
    </w:div>
    <w:div w:id="1686708605">
      <w:bodyDiv w:val="1"/>
      <w:marLeft w:val="0"/>
      <w:marRight w:val="0"/>
      <w:marTop w:val="0"/>
      <w:marBottom w:val="0"/>
      <w:divBdr>
        <w:top w:val="none" w:sz="0" w:space="0" w:color="auto"/>
        <w:left w:val="none" w:sz="0" w:space="0" w:color="auto"/>
        <w:bottom w:val="none" w:sz="0" w:space="0" w:color="auto"/>
        <w:right w:val="none" w:sz="0" w:space="0" w:color="auto"/>
      </w:divBdr>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
    <w:div w:id="1699309261">
      <w:bodyDiv w:val="1"/>
      <w:marLeft w:val="0"/>
      <w:marRight w:val="0"/>
      <w:marTop w:val="0"/>
      <w:marBottom w:val="0"/>
      <w:divBdr>
        <w:top w:val="none" w:sz="0" w:space="0" w:color="auto"/>
        <w:left w:val="none" w:sz="0" w:space="0" w:color="auto"/>
        <w:bottom w:val="none" w:sz="0" w:space="0" w:color="auto"/>
        <w:right w:val="none" w:sz="0" w:space="0" w:color="auto"/>
      </w:divBdr>
      <w:divsChild>
        <w:div w:id="49155790">
          <w:marLeft w:val="0"/>
          <w:marRight w:val="0"/>
          <w:marTop w:val="0"/>
          <w:marBottom w:val="0"/>
          <w:divBdr>
            <w:top w:val="none" w:sz="0" w:space="0" w:color="auto"/>
            <w:left w:val="none" w:sz="0" w:space="0" w:color="auto"/>
            <w:bottom w:val="none" w:sz="0" w:space="0" w:color="auto"/>
            <w:right w:val="none" w:sz="0" w:space="0" w:color="auto"/>
          </w:divBdr>
        </w:div>
        <w:div w:id="61605767">
          <w:marLeft w:val="0"/>
          <w:marRight w:val="0"/>
          <w:marTop w:val="0"/>
          <w:marBottom w:val="0"/>
          <w:divBdr>
            <w:top w:val="none" w:sz="0" w:space="0" w:color="auto"/>
            <w:left w:val="none" w:sz="0" w:space="0" w:color="auto"/>
            <w:bottom w:val="none" w:sz="0" w:space="0" w:color="auto"/>
            <w:right w:val="none" w:sz="0" w:space="0" w:color="auto"/>
          </w:divBdr>
        </w:div>
        <w:div w:id="1204562006">
          <w:marLeft w:val="0"/>
          <w:marRight w:val="0"/>
          <w:marTop w:val="0"/>
          <w:marBottom w:val="0"/>
          <w:divBdr>
            <w:top w:val="none" w:sz="0" w:space="0" w:color="auto"/>
            <w:left w:val="none" w:sz="0" w:space="0" w:color="auto"/>
            <w:bottom w:val="none" w:sz="0" w:space="0" w:color="auto"/>
            <w:right w:val="none" w:sz="0" w:space="0" w:color="auto"/>
          </w:divBdr>
        </w:div>
        <w:div w:id="99838859">
          <w:marLeft w:val="0"/>
          <w:marRight w:val="0"/>
          <w:marTop w:val="0"/>
          <w:marBottom w:val="0"/>
          <w:divBdr>
            <w:top w:val="none" w:sz="0" w:space="0" w:color="auto"/>
            <w:left w:val="none" w:sz="0" w:space="0" w:color="auto"/>
            <w:bottom w:val="none" w:sz="0" w:space="0" w:color="auto"/>
            <w:right w:val="none" w:sz="0" w:space="0" w:color="auto"/>
          </w:divBdr>
        </w:div>
        <w:div w:id="1508212349">
          <w:marLeft w:val="0"/>
          <w:marRight w:val="0"/>
          <w:marTop w:val="0"/>
          <w:marBottom w:val="0"/>
          <w:divBdr>
            <w:top w:val="none" w:sz="0" w:space="0" w:color="auto"/>
            <w:left w:val="none" w:sz="0" w:space="0" w:color="auto"/>
            <w:bottom w:val="none" w:sz="0" w:space="0" w:color="auto"/>
            <w:right w:val="none" w:sz="0" w:space="0" w:color="auto"/>
          </w:divBdr>
        </w:div>
        <w:div w:id="697050822">
          <w:marLeft w:val="0"/>
          <w:marRight w:val="0"/>
          <w:marTop w:val="0"/>
          <w:marBottom w:val="0"/>
          <w:divBdr>
            <w:top w:val="none" w:sz="0" w:space="0" w:color="auto"/>
            <w:left w:val="none" w:sz="0" w:space="0" w:color="auto"/>
            <w:bottom w:val="none" w:sz="0" w:space="0" w:color="auto"/>
            <w:right w:val="none" w:sz="0" w:space="0" w:color="auto"/>
          </w:divBdr>
        </w:div>
        <w:div w:id="468282290">
          <w:marLeft w:val="0"/>
          <w:marRight w:val="0"/>
          <w:marTop w:val="0"/>
          <w:marBottom w:val="0"/>
          <w:divBdr>
            <w:top w:val="none" w:sz="0" w:space="0" w:color="auto"/>
            <w:left w:val="none" w:sz="0" w:space="0" w:color="auto"/>
            <w:bottom w:val="none" w:sz="0" w:space="0" w:color="auto"/>
            <w:right w:val="none" w:sz="0" w:space="0" w:color="auto"/>
          </w:divBdr>
        </w:div>
        <w:div w:id="1156186221">
          <w:marLeft w:val="0"/>
          <w:marRight w:val="0"/>
          <w:marTop w:val="0"/>
          <w:marBottom w:val="0"/>
          <w:divBdr>
            <w:top w:val="none" w:sz="0" w:space="0" w:color="auto"/>
            <w:left w:val="none" w:sz="0" w:space="0" w:color="auto"/>
            <w:bottom w:val="none" w:sz="0" w:space="0" w:color="auto"/>
            <w:right w:val="none" w:sz="0" w:space="0" w:color="auto"/>
          </w:divBdr>
        </w:div>
        <w:div w:id="1479225221">
          <w:marLeft w:val="0"/>
          <w:marRight w:val="0"/>
          <w:marTop w:val="0"/>
          <w:marBottom w:val="0"/>
          <w:divBdr>
            <w:top w:val="none" w:sz="0" w:space="0" w:color="auto"/>
            <w:left w:val="none" w:sz="0" w:space="0" w:color="auto"/>
            <w:bottom w:val="none" w:sz="0" w:space="0" w:color="auto"/>
            <w:right w:val="none" w:sz="0" w:space="0" w:color="auto"/>
          </w:divBdr>
        </w:div>
        <w:div w:id="554896857">
          <w:marLeft w:val="0"/>
          <w:marRight w:val="0"/>
          <w:marTop w:val="0"/>
          <w:marBottom w:val="0"/>
          <w:divBdr>
            <w:top w:val="none" w:sz="0" w:space="0" w:color="auto"/>
            <w:left w:val="none" w:sz="0" w:space="0" w:color="auto"/>
            <w:bottom w:val="none" w:sz="0" w:space="0" w:color="auto"/>
            <w:right w:val="none" w:sz="0" w:space="0" w:color="auto"/>
          </w:divBdr>
        </w:div>
        <w:div w:id="1322924310">
          <w:marLeft w:val="0"/>
          <w:marRight w:val="0"/>
          <w:marTop w:val="0"/>
          <w:marBottom w:val="0"/>
          <w:divBdr>
            <w:top w:val="none" w:sz="0" w:space="0" w:color="auto"/>
            <w:left w:val="none" w:sz="0" w:space="0" w:color="auto"/>
            <w:bottom w:val="none" w:sz="0" w:space="0" w:color="auto"/>
            <w:right w:val="none" w:sz="0" w:space="0" w:color="auto"/>
          </w:divBdr>
        </w:div>
        <w:div w:id="1379668816">
          <w:marLeft w:val="0"/>
          <w:marRight w:val="0"/>
          <w:marTop w:val="0"/>
          <w:marBottom w:val="0"/>
          <w:divBdr>
            <w:top w:val="none" w:sz="0" w:space="0" w:color="auto"/>
            <w:left w:val="none" w:sz="0" w:space="0" w:color="auto"/>
            <w:bottom w:val="none" w:sz="0" w:space="0" w:color="auto"/>
            <w:right w:val="none" w:sz="0" w:space="0" w:color="auto"/>
          </w:divBdr>
          <w:divsChild>
            <w:div w:id="258952796">
              <w:marLeft w:val="0"/>
              <w:marRight w:val="0"/>
              <w:marTop w:val="0"/>
              <w:marBottom w:val="0"/>
              <w:divBdr>
                <w:top w:val="none" w:sz="0" w:space="0" w:color="auto"/>
                <w:left w:val="none" w:sz="0" w:space="0" w:color="auto"/>
                <w:bottom w:val="none" w:sz="0" w:space="0" w:color="auto"/>
                <w:right w:val="none" w:sz="0" w:space="0" w:color="auto"/>
              </w:divBdr>
            </w:div>
            <w:div w:id="1319922405">
              <w:marLeft w:val="0"/>
              <w:marRight w:val="0"/>
              <w:marTop w:val="0"/>
              <w:marBottom w:val="0"/>
              <w:divBdr>
                <w:top w:val="none" w:sz="0" w:space="0" w:color="auto"/>
                <w:left w:val="none" w:sz="0" w:space="0" w:color="auto"/>
                <w:bottom w:val="none" w:sz="0" w:space="0" w:color="auto"/>
                <w:right w:val="none" w:sz="0" w:space="0" w:color="auto"/>
              </w:divBdr>
            </w:div>
            <w:div w:id="139924342">
              <w:marLeft w:val="0"/>
              <w:marRight w:val="0"/>
              <w:marTop w:val="0"/>
              <w:marBottom w:val="0"/>
              <w:divBdr>
                <w:top w:val="none" w:sz="0" w:space="0" w:color="auto"/>
                <w:left w:val="none" w:sz="0" w:space="0" w:color="auto"/>
                <w:bottom w:val="none" w:sz="0" w:space="0" w:color="auto"/>
                <w:right w:val="none" w:sz="0" w:space="0" w:color="auto"/>
              </w:divBdr>
            </w:div>
            <w:div w:id="294458136">
              <w:marLeft w:val="0"/>
              <w:marRight w:val="0"/>
              <w:marTop w:val="0"/>
              <w:marBottom w:val="0"/>
              <w:divBdr>
                <w:top w:val="none" w:sz="0" w:space="0" w:color="auto"/>
                <w:left w:val="none" w:sz="0" w:space="0" w:color="auto"/>
                <w:bottom w:val="none" w:sz="0" w:space="0" w:color="auto"/>
                <w:right w:val="none" w:sz="0" w:space="0" w:color="auto"/>
              </w:divBdr>
            </w:div>
            <w:div w:id="351732758">
              <w:marLeft w:val="0"/>
              <w:marRight w:val="0"/>
              <w:marTop w:val="0"/>
              <w:marBottom w:val="0"/>
              <w:divBdr>
                <w:top w:val="none" w:sz="0" w:space="0" w:color="auto"/>
                <w:left w:val="none" w:sz="0" w:space="0" w:color="auto"/>
                <w:bottom w:val="none" w:sz="0" w:space="0" w:color="auto"/>
                <w:right w:val="none" w:sz="0" w:space="0" w:color="auto"/>
              </w:divBdr>
            </w:div>
            <w:div w:id="9280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2321">
      <w:bodyDiv w:val="1"/>
      <w:marLeft w:val="0"/>
      <w:marRight w:val="0"/>
      <w:marTop w:val="0"/>
      <w:marBottom w:val="0"/>
      <w:divBdr>
        <w:top w:val="none" w:sz="0" w:space="0" w:color="auto"/>
        <w:left w:val="none" w:sz="0" w:space="0" w:color="auto"/>
        <w:bottom w:val="none" w:sz="0" w:space="0" w:color="auto"/>
        <w:right w:val="none" w:sz="0" w:space="0" w:color="auto"/>
      </w:divBdr>
    </w:div>
    <w:div w:id="1723167071">
      <w:bodyDiv w:val="1"/>
      <w:marLeft w:val="0"/>
      <w:marRight w:val="0"/>
      <w:marTop w:val="0"/>
      <w:marBottom w:val="0"/>
      <w:divBdr>
        <w:top w:val="none" w:sz="0" w:space="0" w:color="auto"/>
        <w:left w:val="none" w:sz="0" w:space="0" w:color="auto"/>
        <w:bottom w:val="none" w:sz="0" w:space="0" w:color="auto"/>
        <w:right w:val="none" w:sz="0" w:space="0" w:color="auto"/>
      </w:divBdr>
    </w:div>
    <w:div w:id="1725911871">
      <w:bodyDiv w:val="1"/>
      <w:marLeft w:val="0"/>
      <w:marRight w:val="0"/>
      <w:marTop w:val="0"/>
      <w:marBottom w:val="0"/>
      <w:divBdr>
        <w:top w:val="none" w:sz="0" w:space="0" w:color="auto"/>
        <w:left w:val="none" w:sz="0" w:space="0" w:color="auto"/>
        <w:bottom w:val="none" w:sz="0" w:space="0" w:color="auto"/>
        <w:right w:val="none" w:sz="0" w:space="0" w:color="auto"/>
      </w:divBdr>
    </w:div>
    <w:div w:id="1740060056">
      <w:bodyDiv w:val="1"/>
      <w:marLeft w:val="0"/>
      <w:marRight w:val="0"/>
      <w:marTop w:val="0"/>
      <w:marBottom w:val="0"/>
      <w:divBdr>
        <w:top w:val="none" w:sz="0" w:space="0" w:color="auto"/>
        <w:left w:val="none" w:sz="0" w:space="0" w:color="auto"/>
        <w:bottom w:val="none" w:sz="0" w:space="0" w:color="auto"/>
        <w:right w:val="none" w:sz="0" w:space="0" w:color="auto"/>
      </w:divBdr>
    </w:div>
    <w:div w:id="1763064628">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sChild>
        <w:div w:id="390735324">
          <w:marLeft w:val="0"/>
          <w:marRight w:val="0"/>
          <w:marTop w:val="0"/>
          <w:marBottom w:val="0"/>
          <w:divBdr>
            <w:top w:val="none" w:sz="0" w:space="0" w:color="auto"/>
            <w:left w:val="none" w:sz="0" w:space="0" w:color="auto"/>
            <w:bottom w:val="none" w:sz="0" w:space="0" w:color="auto"/>
            <w:right w:val="none" w:sz="0" w:space="0" w:color="auto"/>
          </w:divBdr>
          <w:divsChild>
            <w:div w:id="1250307359">
              <w:marLeft w:val="0"/>
              <w:marRight w:val="0"/>
              <w:marTop w:val="0"/>
              <w:marBottom w:val="0"/>
              <w:divBdr>
                <w:top w:val="none" w:sz="0" w:space="0" w:color="auto"/>
                <w:left w:val="none" w:sz="0" w:space="0" w:color="auto"/>
                <w:bottom w:val="none" w:sz="0" w:space="0" w:color="auto"/>
                <w:right w:val="none" w:sz="0" w:space="0" w:color="auto"/>
              </w:divBdr>
              <w:divsChild>
                <w:div w:id="1462576246">
                  <w:marLeft w:val="0"/>
                  <w:marRight w:val="0"/>
                  <w:marTop w:val="0"/>
                  <w:marBottom w:val="0"/>
                  <w:divBdr>
                    <w:top w:val="none" w:sz="0" w:space="0" w:color="auto"/>
                    <w:left w:val="none" w:sz="0" w:space="0" w:color="auto"/>
                    <w:bottom w:val="none" w:sz="0" w:space="0" w:color="auto"/>
                    <w:right w:val="none" w:sz="0" w:space="0" w:color="auto"/>
                  </w:divBdr>
                  <w:divsChild>
                    <w:div w:id="775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237013">
      <w:bodyDiv w:val="1"/>
      <w:marLeft w:val="0"/>
      <w:marRight w:val="0"/>
      <w:marTop w:val="0"/>
      <w:marBottom w:val="0"/>
      <w:divBdr>
        <w:top w:val="none" w:sz="0" w:space="0" w:color="auto"/>
        <w:left w:val="none" w:sz="0" w:space="0" w:color="auto"/>
        <w:bottom w:val="none" w:sz="0" w:space="0" w:color="auto"/>
        <w:right w:val="none" w:sz="0" w:space="0" w:color="auto"/>
      </w:divBdr>
      <w:divsChild>
        <w:div w:id="250285237">
          <w:marLeft w:val="0"/>
          <w:marRight w:val="0"/>
          <w:marTop w:val="0"/>
          <w:marBottom w:val="0"/>
          <w:divBdr>
            <w:top w:val="none" w:sz="0" w:space="0" w:color="auto"/>
            <w:left w:val="none" w:sz="0" w:space="0" w:color="auto"/>
            <w:bottom w:val="none" w:sz="0" w:space="0" w:color="auto"/>
            <w:right w:val="none" w:sz="0" w:space="0" w:color="auto"/>
          </w:divBdr>
          <w:divsChild>
            <w:div w:id="278028288">
              <w:marLeft w:val="0"/>
              <w:marRight w:val="0"/>
              <w:marTop w:val="0"/>
              <w:marBottom w:val="0"/>
              <w:divBdr>
                <w:top w:val="none" w:sz="0" w:space="0" w:color="auto"/>
                <w:left w:val="none" w:sz="0" w:space="0" w:color="auto"/>
                <w:bottom w:val="none" w:sz="0" w:space="0" w:color="auto"/>
                <w:right w:val="none" w:sz="0" w:space="0" w:color="auto"/>
              </w:divBdr>
            </w:div>
          </w:divsChild>
        </w:div>
        <w:div w:id="2028939725">
          <w:blockQuote w:val="1"/>
          <w:marLeft w:val="600"/>
          <w:marRight w:val="0"/>
          <w:marTop w:val="0"/>
          <w:marBottom w:val="0"/>
          <w:divBdr>
            <w:top w:val="none" w:sz="0" w:space="0" w:color="auto"/>
            <w:left w:val="none" w:sz="0" w:space="0" w:color="auto"/>
            <w:bottom w:val="none" w:sz="0" w:space="0" w:color="auto"/>
            <w:right w:val="none" w:sz="0" w:space="0" w:color="auto"/>
          </w:divBdr>
          <w:divsChild>
            <w:div w:id="20322986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4667752">
                  <w:marLeft w:val="0"/>
                  <w:marRight w:val="0"/>
                  <w:marTop w:val="0"/>
                  <w:marBottom w:val="0"/>
                  <w:divBdr>
                    <w:top w:val="none" w:sz="0" w:space="0" w:color="auto"/>
                    <w:left w:val="none" w:sz="0" w:space="0" w:color="auto"/>
                    <w:bottom w:val="none" w:sz="0" w:space="0" w:color="auto"/>
                    <w:right w:val="none" w:sz="0" w:space="0" w:color="auto"/>
                  </w:divBdr>
                  <w:divsChild>
                    <w:div w:id="1364594245">
                      <w:marLeft w:val="0"/>
                      <w:marRight w:val="0"/>
                      <w:marTop w:val="0"/>
                      <w:marBottom w:val="0"/>
                      <w:divBdr>
                        <w:top w:val="none" w:sz="0" w:space="0" w:color="auto"/>
                        <w:left w:val="none" w:sz="0" w:space="0" w:color="auto"/>
                        <w:bottom w:val="none" w:sz="0" w:space="0" w:color="auto"/>
                        <w:right w:val="none" w:sz="0" w:space="0" w:color="auto"/>
                      </w:divBdr>
                      <w:divsChild>
                        <w:div w:id="20912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53898">
          <w:marLeft w:val="0"/>
          <w:marRight w:val="0"/>
          <w:marTop w:val="0"/>
          <w:marBottom w:val="0"/>
          <w:divBdr>
            <w:top w:val="none" w:sz="0" w:space="0" w:color="auto"/>
            <w:left w:val="none" w:sz="0" w:space="0" w:color="auto"/>
            <w:bottom w:val="none" w:sz="0" w:space="0" w:color="auto"/>
            <w:right w:val="none" w:sz="0" w:space="0" w:color="auto"/>
          </w:divBdr>
          <w:divsChild>
            <w:div w:id="1755086542">
              <w:marLeft w:val="0"/>
              <w:marRight w:val="0"/>
              <w:marTop w:val="0"/>
              <w:marBottom w:val="0"/>
              <w:divBdr>
                <w:top w:val="none" w:sz="0" w:space="0" w:color="auto"/>
                <w:left w:val="none" w:sz="0" w:space="0" w:color="auto"/>
                <w:bottom w:val="none" w:sz="0" w:space="0" w:color="auto"/>
                <w:right w:val="none" w:sz="0" w:space="0" w:color="auto"/>
              </w:divBdr>
              <w:divsChild>
                <w:div w:id="403534173">
                  <w:marLeft w:val="0"/>
                  <w:marRight w:val="0"/>
                  <w:marTop w:val="0"/>
                  <w:marBottom w:val="0"/>
                  <w:divBdr>
                    <w:top w:val="none" w:sz="0" w:space="0" w:color="auto"/>
                    <w:left w:val="none" w:sz="0" w:space="0" w:color="auto"/>
                    <w:bottom w:val="none" w:sz="0" w:space="0" w:color="auto"/>
                    <w:right w:val="none" w:sz="0" w:space="0" w:color="auto"/>
                  </w:divBdr>
                </w:div>
                <w:div w:id="781924503">
                  <w:marLeft w:val="0"/>
                  <w:marRight w:val="0"/>
                  <w:marTop w:val="0"/>
                  <w:marBottom w:val="0"/>
                  <w:divBdr>
                    <w:top w:val="none" w:sz="0" w:space="0" w:color="auto"/>
                    <w:left w:val="none" w:sz="0" w:space="0" w:color="auto"/>
                    <w:bottom w:val="none" w:sz="0" w:space="0" w:color="auto"/>
                    <w:right w:val="none" w:sz="0" w:space="0" w:color="auto"/>
                  </w:divBdr>
                </w:div>
                <w:div w:id="1599366584">
                  <w:marLeft w:val="0"/>
                  <w:marRight w:val="0"/>
                  <w:marTop w:val="0"/>
                  <w:marBottom w:val="0"/>
                  <w:divBdr>
                    <w:top w:val="none" w:sz="0" w:space="0" w:color="auto"/>
                    <w:left w:val="none" w:sz="0" w:space="0" w:color="auto"/>
                    <w:bottom w:val="none" w:sz="0" w:space="0" w:color="auto"/>
                    <w:right w:val="none" w:sz="0" w:space="0" w:color="auto"/>
                  </w:divBdr>
                </w:div>
                <w:div w:id="1881627652">
                  <w:marLeft w:val="0"/>
                  <w:marRight w:val="0"/>
                  <w:marTop w:val="0"/>
                  <w:marBottom w:val="0"/>
                  <w:divBdr>
                    <w:top w:val="none" w:sz="0" w:space="0" w:color="auto"/>
                    <w:left w:val="none" w:sz="0" w:space="0" w:color="auto"/>
                    <w:bottom w:val="none" w:sz="0" w:space="0" w:color="auto"/>
                    <w:right w:val="none" w:sz="0" w:space="0" w:color="auto"/>
                  </w:divBdr>
                </w:div>
                <w:div w:id="2665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86599">
      <w:bodyDiv w:val="1"/>
      <w:marLeft w:val="0"/>
      <w:marRight w:val="0"/>
      <w:marTop w:val="0"/>
      <w:marBottom w:val="0"/>
      <w:divBdr>
        <w:top w:val="none" w:sz="0" w:space="0" w:color="auto"/>
        <w:left w:val="none" w:sz="0" w:space="0" w:color="auto"/>
        <w:bottom w:val="none" w:sz="0" w:space="0" w:color="auto"/>
        <w:right w:val="none" w:sz="0" w:space="0" w:color="auto"/>
      </w:divBdr>
    </w:div>
    <w:div w:id="1798525125">
      <w:bodyDiv w:val="1"/>
      <w:marLeft w:val="0"/>
      <w:marRight w:val="0"/>
      <w:marTop w:val="0"/>
      <w:marBottom w:val="0"/>
      <w:divBdr>
        <w:top w:val="none" w:sz="0" w:space="0" w:color="auto"/>
        <w:left w:val="none" w:sz="0" w:space="0" w:color="auto"/>
        <w:bottom w:val="none" w:sz="0" w:space="0" w:color="auto"/>
        <w:right w:val="none" w:sz="0" w:space="0" w:color="auto"/>
      </w:divBdr>
    </w:div>
    <w:div w:id="1806503978">
      <w:bodyDiv w:val="1"/>
      <w:marLeft w:val="0"/>
      <w:marRight w:val="0"/>
      <w:marTop w:val="0"/>
      <w:marBottom w:val="0"/>
      <w:divBdr>
        <w:top w:val="none" w:sz="0" w:space="0" w:color="auto"/>
        <w:left w:val="none" w:sz="0" w:space="0" w:color="auto"/>
        <w:bottom w:val="none" w:sz="0" w:space="0" w:color="auto"/>
        <w:right w:val="none" w:sz="0" w:space="0" w:color="auto"/>
      </w:divBdr>
    </w:div>
    <w:div w:id="1813790686">
      <w:bodyDiv w:val="1"/>
      <w:marLeft w:val="0"/>
      <w:marRight w:val="0"/>
      <w:marTop w:val="0"/>
      <w:marBottom w:val="0"/>
      <w:divBdr>
        <w:top w:val="none" w:sz="0" w:space="0" w:color="auto"/>
        <w:left w:val="none" w:sz="0" w:space="0" w:color="auto"/>
        <w:bottom w:val="none" w:sz="0" w:space="0" w:color="auto"/>
        <w:right w:val="none" w:sz="0" w:space="0" w:color="auto"/>
      </w:divBdr>
    </w:div>
    <w:div w:id="1823693036">
      <w:bodyDiv w:val="1"/>
      <w:marLeft w:val="0"/>
      <w:marRight w:val="0"/>
      <w:marTop w:val="0"/>
      <w:marBottom w:val="0"/>
      <w:divBdr>
        <w:top w:val="none" w:sz="0" w:space="0" w:color="auto"/>
        <w:left w:val="none" w:sz="0" w:space="0" w:color="auto"/>
        <w:bottom w:val="none" w:sz="0" w:space="0" w:color="auto"/>
        <w:right w:val="none" w:sz="0" w:space="0" w:color="auto"/>
      </w:divBdr>
    </w:div>
    <w:div w:id="1834027268">
      <w:bodyDiv w:val="1"/>
      <w:marLeft w:val="0"/>
      <w:marRight w:val="0"/>
      <w:marTop w:val="0"/>
      <w:marBottom w:val="0"/>
      <w:divBdr>
        <w:top w:val="none" w:sz="0" w:space="0" w:color="auto"/>
        <w:left w:val="none" w:sz="0" w:space="0" w:color="auto"/>
        <w:bottom w:val="none" w:sz="0" w:space="0" w:color="auto"/>
        <w:right w:val="none" w:sz="0" w:space="0" w:color="auto"/>
      </w:divBdr>
      <w:divsChild>
        <w:div w:id="1686783447">
          <w:marLeft w:val="0"/>
          <w:marRight w:val="0"/>
          <w:marTop w:val="0"/>
          <w:marBottom w:val="0"/>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466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0420">
      <w:bodyDiv w:val="1"/>
      <w:marLeft w:val="0"/>
      <w:marRight w:val="0"/>
      <w:marTop w:val="0"/>
      <w:marBottom w:val="0"/>
      <w:divBdr>
        <w:top w:val="none" w:sz="0" w:space="0" w:color="auto"/>
        <w:left w:val="none" w:sz="0" w:space="0" w:color="auto"/>
        <w:bottom w:val="none" w:sz="0" w:space="0" w:color="auto"/>
        <w:right w:val="none" w:sz="0" w:space="0" w:color="auto"/>
      </w:divBdr>
    </w:div>
    <w:div w:id="1857767044">
      <w:bodyDiv w:val="1"/>
      <w:marLeft w:val="0"/>
      <w:marRight w:val="0"/>
      <w:marTop w:val="0"/>
      <w:marBottom w:val="0"/>
      <w:divBdr>
        <w:top w:val="none" w:sz="0" w:space="0" w:color="auto"/>
        <w:left w:val="none" w:sz="0" w:space="0" w:color="auto"/>
        <w:bottom w:val="none" w:sz="0" w:space="0" w:color="auto"/>
        <w:right w:val="none" w:sz="0" w:space="0" w:color="auto"/>
      </w:divBdr>
    </w:div>
    <w:div w:id="1867600373">
      <w:bodyDiv w:val="1"/>
      <w:marLeft w:val="0"/>
      <w:marRight w:val="0"/>
      <w:marTop w:val="0"/>
      <w:marBottom w:val="0"/>
      <w:divBdr>
        <w:top w:val="none" w:sz="0" w:space="0" w:color="auto"/>
        <w:left w:val="none" w:sz="0" w:space="0" w:color="auto"/>
        <w:bottom w:val="none" w:sz="0" w:space="0" w:color="auto"/>
        <w:right w:val="none" w:sz="0" w:space="0" w:color="auto"/>
      </w:divBdr>
    </w:div>
    <w:div w:id="1867719164">
      <w:bodyDiv w:val="1"/>
      <w:marLeft w:val="0"/>
      <w:marRight w:val="0"/>
      <w:marTop w:val="0"/>
      <w:marBottom w:val="0"/>
      <w:divBdr>
        <w:top w:val="none" w:sz="0" w:space="0" w:color="auto"/>
        <w:left w:val="none" w:sz="0" w:space="0" w:color="auto"/>
        <w:bottom w:val="none" w:sz="0" w:space="0" w:color="auto"/>
        <w:right w:val="none" w:sz="0" w:space="0" w:color="auto"/>
      </w:divBdr>
    </w:div>
    <w:div w:id="1873223146">
      <w:bodyDiv w:val="1"/>
      <w:marLeft w:val="0"/>
      <w:marRight w:val="0"/>
      <w:marTop w:val="0"/>
      <w:marBottom w:val="0"/>
      <w:divBdr>
        <w:top w:val="none" w:sz="0" w:space="0" w:color="auto"/>
        <w:left w:val="none" w:sz="0" w:space="0" w:color="auto"/>
        <w:bottom w:val="none" w:sz="0" w:space="0" w:color="auto"/>
        <w:right w:val="none" w:sz="0" w:space="0" w:color="auto"/>
      </w:divBdr>
    </w:div>
    <w:div w:id="1911116059">
      <w:bodyDiv w:val="1"/>
      <w:marLeft w:val="0"/>
      <w:marRight w:val="0"/>
      <w:marTop w:val="0"/>
      <w:marBottom w:val="0"/>
      <w:divBdr>
        <w:top w:val="none" w:sz="0" w:space="0" w:color="auto"/>
        <w:left w:val="none" w:sz="0" w:space="0" w:color="auto"/>
        <w:bottom w:val="none" w:sz="0" w:space="0" w:color="auto"/>
        <w:right w:val="none" w:sz="0" w:space="0" w:color="auto"/>
      </w:divBdr>
    </w:div>
    <w:div w:id="1913540016">
      <w:bodyDiv w:val="1"/>
      <w:marLeft w:val="0"/>
      <w:marRight w:val="0"/>
      <w:marTop w:val="0"/>
      <w:marBottom w:val="0"/>
      <w:divBdr>
        <w:top w:val="none" w:sz="0" w:space="0" w:color="auto"/>
        <w:left w:val="none" w:sz="0" w:space="0" w:color="auto"/>
        <w:bottom w:val="none" w:sz="0" w:space="0" w:color="auto"/>
        <w:right w:val="none" w:sz="0" w:space="0" w:color="auto"/>
      </w:divBdr>
    </w:div>
    <w:div w:id="1921058229">
      <w:bodyDiv w:val="1"/>
      <w:marLeft w:val="0"/>
      <w:marRight w:val="0"/>
      <w:marTop w:val="0"/>
      <w:marBottom w:val="0"/>
      <w:divBdr>
        <w:top w:val="none" w:sz="0" w:space="0" w:color="auto"/>
        <w:left w:val="none" w:sz="0" w:space="0" w:color="auto"/>
        <w:bottom w:val="none" w:sz="0" w:space="0" w:color="auto"/>
        <w:right w:val="none" w:sz="0" w:space="0" w:color="auto"/>
      </w:divBdr>
    </w:div>
    <w:div w:id="1929579584">
      <w:bodyDiv w:val="1"/>
      <w:marLeft w:val="0"/>
      <w:marRight w:val="0"/>
      <w:marTop w:val="0"/>
      <w:marBottom w:val="0"/>
      <w:divBdr>
        <w:top w:val="none" w:sz="0" w:space="0" w:color="auto"/>
        <w:left w:val="none" w:sz="0" w:space="0" w:color="auto"/>
        <w:bottom w:val="none" w:sz="0" w:space="0" w:color="auto"/>
        <w:right w:val="none" w:sz="0" w:space="0" w:color="auto"/>
      </w:divBdr>
    </w:div>
    <w:div w:id="1934704738">
      <w:bodyDiv w:val="1"/>
      <w:marLeft w:val="0"/>
      <w:marRight w:val="0"/>
      <w:marTop w:val="0"/>
      <w:marBottom w:val="0"/>
      <w:divBdr>
        <w:top w:val="none" w:sz="0" w:space="0" w:color="auto"/>
        <w:left w:val="none" w:sz="0" w:space="0" w:color="auto"/>
        <w:bottom w:val="none" w:sz="0" w:space="0" w:color="auto"/>
        <w:right w:val="none" w:sz="0" w:space="0" w:color="auto"/>
      </w:divBdr>
    </w:div>
    <w:div w:id="1935505187">
      <w:bodyDiv w:val="1"/>
      <w:marLeft w:val="0"/>
      <w:marRight w:val="0"/>
      <w:marTop w:val="0"/>
      <w:marBottom w:val="0"/>
      <w:divBdr>
        <w:top w:val="none" w:sz="0" w:space="0" w:color="auto"/>
        <w:left w:val="none" w:sz="0" w:space="0" w:color="auto"/>
        <w:bottom w:val="none" w:sz="0" w:space="0" w:color="auto"/>
        <w:right w:val="none" w:sz="0" w:space="0" w:color="auto"/>
      </w:divBdr>
    </w:div>
    <w:div w:id="1954163343">
      <w:bodyDiv w:val="1"/>
      <w:marLeft w:val="0"/>
      <w:marRight w:val="0"/>
      <w:marTop w:val="0"/>
      <w:marBottom w:val="0"/>
      <w:divBdr>
        <w:top w:val="none" w:sz="0" w:space="0" w:color="auto"/>
        <w:left w:val="none" w:sz="0" w:space="0" w:color="auto"/>
        <w:bottom w:val="none" w:sz="0" w:space="0" w:color="auto"/>
        <w:right w:val="none" w:sz="0" w:space="0" w:color="auto"/>
      </w:divBdr>
    </w:div>
    <w:div w:id="1986928666">
      <w:bodyDiv w:val="1"/>
      <w:marLeft w:val="0"/>
      <w:marRight w:val="0"/>
      <w:marTop w:val="0"/>
      <w:marBottom w:val="0"/>
      <w:divBdr>
        <w:top w:val="none" w:sz="0" w:space="0" w:color="auto"/>
        <w:left w:val="none" w:sz="0" w:space="0" w:color="auto"/>
        <w:bottom w:val="none" w:sz="0" w:space="0" w:color="auto"/>
        <w:right w:val="none" w:sz="0" w:space="0" w:color="auto"/>
      </w:divBdr>
    </w:div>
    <w:div w:id="1994600904">
      <w:bodyDiv w:val="1"/>
      <w:marLeft w:val="0"/>
      <w:marRight w:val="0"/>
      <w:marTop w:val="0"/>
      <w:marBottom w:val="0"/>
      <w:divBdr>
        <w:top w:val="none" w:sz="0" w:space="0" w:color="auto"/>
        <w:left w:val="none" w:sz="0" w:space="0" w:color="auto"/>
        <w:bottom w:val="none" w:sz="0" w:space="0" w:color="auto"/>
        <w:right w:val="none" w:sz="0" w:space="0" w:color="auto"/>
      </w:divBdr>
      <w:divsChild>
        <w:div w:id="1756976041">
          <w:marLeft w:val="0"/>
          <w:marRight w:val="0"/>
          <w:marTop w:val="0"/>
          <w:marBottom w:val="0"/>
          <w:divBdr>
            <w:top w:val="none" w:sz="0" w:space="0" w:color="auto"/>
            <w:left w:val="none" w:sz="0" w:space="0" w:color="auto"/>
            <w:bottom w:val="none" w:sz="0" w:space="0" w:color="auto"/>
            <w:right w:val="none" w:sz="0" w:space="0" w:color="auto"/>
          </w:divBdr>
        </w:div>
        <w:div w:id="690374484">
          <w:marLeft w:val="0"/>
          <w:marRight w:val="0"/>
          <w:marTop w:val="0"/>
          <w:marBottom w:val="0"/>
          <w:divBdr>
            <w:top w:val="none" w:sz="0" w:space="0" w:color="auto"/>
            <w:left w:val="none" w:sz="0" w:space="0" w:color="auto"/>
            <w:bottom w:val="none" w:sz="0" w:space="0" w:color="auto"/>
            <w:right w:val="none" w:sz="0" w:space="0" w:color="auto"/>
          </w:divBdr>
        </w:div>
        <w:div w:id="249001812">
          <w:marLeft w:val="0"/>
          <w:marRight w:val="0"/>
          <w:marTop w:val="0"/>
          <w:marBottom w:val="0"/>
          <w:divBdr>
            <w:top w:val="none" w:sz="0" w:space="0" w:color="auto"/>
            <w:left w:val="none" w:sz="0" w:space="0" w:color="auto"/>
            <w:bottom w:val="none" w:sz="0" w:space="0" w:color="auto"/>
            <w:right w:val="none" w:sz="0" w:space="0" w:color="auto"/>
          </w:divBdr>
        </w:div>
      </w:divsChild>
    </w:div>
    <w:div w:id="2008048514">
      <w:bodyDiv w:val="1"/>
      <w:marLeft w:val="0"/>
      <w:marRight w:val="0"/>
      <w:marTop w:val="0"/>
      <w:marBottom w:val="0"/>
      <w:divBdr>
        <w:top w:val="none" w:sz="0" w:space="0" w:color="auto"/>
        <w:left w:val="none" w:sz="0" w:space="0" w:color="auto"/>
        <w:bottom w:val="none" w:sz="0" w:space="0" w:color="auto"/>
        <w:right w:val="none" w:sz="0" w:space="0" w:color="auto"/>
      </w:divBdr>
    </w:div>
    <w:div w:id="2031298367">
      <w:bodyDiv w:val="1"/>
      <w:marLeft w:val="0"/>
      <w:marRight w:val="0"/>
      <w:marTop w:val="0"/>
      <w:marBottom w:val="0"/>
      <w:divBdr>
        <w:top w:val="none" w:sz="0" w:space="0" w:color="auto"/>
        <w:left w:val="none" w:sz="0" w:space="0" w:color="auto"/>
        <w:bottom w:val="none" w:sz="0" w:space="0" w:color="auto"/>
        <w:right w:val="none" w:sz="0" w:space="0" w:color="auto"/>
      </w:divBdr>
      <w:divsChild>
        <w:div w:id="541938974">
          <w:marLeft w:val="0"/>
          <w:marRight w:val="0"/>
          <w:marTop w:val="0"/>
          <w:marBottom w:val="0"/>
          <w:divBdr>
            <w:top w:val="none" w:sz="0" w:space="0" w:color="auto"/>
            <w:left w:val="none" w:sz="0" w:space="0" w:color="auto"/>
            <w:bottom w:val="none" w:sz="0" w:space="0" w:color="auto"/>
            <w:right w:val="none" w:sz="0" w:space="0" w:color="auto"/>
          </w:divBdr>
        </w:div>
        <w:div w:id="285818572">
          <w:marLeft w:val="0"/>
          <w:marRight w:val="0"/>
          <w:marTop w:val="0"/>
          <w:marBottom w:val="0"/>
          <w:divBdr>
            <w:top w:val="none" w:sz="0" w:space="0" w:color="auto"/>
            <w:left w:val="none" w:sz="0" w:space="0" w:color="auto"/>
            <w:bottom w:val="none" w:sz="0" w:space="0" w:color="auto"/>
            <w:right w:val="none" w:sz="0" w:space="0" w:color="auto"/>
          </w:divBdr>
        </w:div>
        <w:div w:id="1105534937">
          <w:marLeft w:val="0"/>
          <w:marRight w:val="0"/>
          <w:marTop w:val="0"/>
          <w:marBottom w:val="0"/>
          <w:divBdr>
            <w:top w:val="none" w:sz="0" w:space="0" w:color="auto"/>
            <w:left w:val="none" w:sz="0" w:space="0" w:color="auto"/>
            <w:bottom w:val="none" w:sz="0" w:space="0" w:color="auto"/>
            <w:right w:val="none" w:sz="0" w:space="0" w:color="auto"/>
          </w:divBdr>
        </w:div>
        <w:div w:id="1508639918">
          <w:marLeft w:val="0"/>
          <w:marRight w:val="0"/>
          <w:marTop w:val="0"/>
          <w:marBottom w:val="0"/>
          <w:divBdr>
            <w:top w:val="none" w:sz="0" w:space="0" w:color="auto"/>
            <w:left w:val="none" w:sz="0" w:space="0" w:color="auto"/>
            <w:bottom w:val="none" w:sz="0" w:space="0" w:color="auto"/>
            <w:right w:val="none" w:sz="0" w:space="0" w:color="auto"/>
          </w:divBdr>
        </w:div>
        <w:div w:id="543521751">
          <w:marLeft w:val="0"/>
          <w:marRight w:val="0"/>
          <w:marTop w:val="0"/>
          <w:marBottom w:val="0"/>
          <w:divBdr>
            <w:top w:val="none" w:sz="0" w:space="0" w:color="auto"/>
            <w:left w:val="none" w:sz="0" w:space="0" w:color="auto"/>
            <w:bottom w:val="none" w:sz="0" w:space="0" w:color="auto"/>
            <w:right w:val="none" w:sz="0" w:space="0" w:color="auto"/>
          </w:divBdr>
        </w:div>
        <w:div w:id="299725883">
          <w:marLeft w:val="0"/>
          <w:marRight w:val="0"/>
          <w:marTop w:val="0"/>
          <w:marBottom w:val="0"/>
          <w:divBdr>
            <w:top w:val="none" w:sz="0" w:space="0" w:color="auto"/>
            <w:left w:val="none" w:sz="0" w:space="0" w:color="auto"/>
            <w:bottom w:val="none" w:sz="0" w:space="0" w:color="auto"/>
            <w:right w:val="none" w:sz="0" w:space="0" w:color="auto"/>
          </w:divBdr>
        </w:div>
        <w:div w:id="786199838">
          <w:marLeft w:val="0"/>
          <w:marRight w:val="0"/>
          <w:marTop w:val="0"/>
          <w:marBottom w:val="0"/>
          <w:divBdr>
            <w:top w:val="none" w:sz="0" w:space="0" w:color="auto"/>
            <w:left w:val="none" w:sz="0" w:space="0" w:color="auto"/>
            <w:bottom w:val="none" w:sz="0" w:space="0" w:color="auto"/>
            <w:right w:val="none" w:sz="0" w:space="0" w:color="auto"/>
          </w:divBdr>
        </w:div>
        <w:div w:id="478884183">
          <w:marLeft w:val="0"/>
          <w:marRight w:val="0"/>
          <w:marTop w:val="0"/>
          <w:marBottom w:val="0"/>
          <w:divBdr>
            <w:top w:val="none" w:sz="0" w:space="0" w:color="auto"/>
            <w:left w:val="none" w:sz="0" w:space="0" w:color="auto"/>
            <w:bottom w:val="none" w:sz="0" w:space="0" w:color="auto"/>
            <w:right w:val="none" w:sz="0" w:space="0" w:color="auto"/>
          </w:divBdr>
        </w:div>
        <w:div w:id="1618442465">
          <w:marLeft w:val="0"/>
          <w:marRight w:val="0"/>
          <w:marTop w:val="0"/>
          <w:marBottom w:val="0"/>
          <w:divBdr>
            <w:top w:val="none" w:sz="0" w:space="0" w:color="auto"/>
            <w:left w:val="none" w:sz="0" w:space="0" w:color="auto"/>
            <w:bottom w:val="none" w:sz="0" w:space="0" w:color="auto"/>
            <w:right w:val="none" w:sz="0" w:space="0" w:color="auto"/>
          </w:divBdr>
        </w:div>
        <w:div w:id="2124106103">
          <w:marLeft w:val="0"/>
          <w:marRight w:val="0"/>
          <w:marTop w:val="0"/>
          <w:marBottom w:val="0"/>
          <w:divBdr>
            <w:top w:val="none" w:sz="0" w:space="0" w:color="auto"/>
            <w:left w:val="none" w:sz="0" w:space="0" w:color="auto"/>
            <w:bottom w:val="none" w:sz="0" w:space="0" w:color="auto"/>
            <w:right w:val="none" w:sz="0" w:space="0" w:color="auto"/>
          </w:divBdr>
        </w:div>
        <w:div w:id="1928536324">
          <w:marLeft w:val="0"/>
          <w:marRight w:val="0"/>
          <w:marTop w:val="0"/>
          <w:marBottom w:val="0"/>
          <w:divBdr>
            <w:top w:val="none" w:sz="0" w:space="0" w:color="auto"/>
            <w:left w:val="none" w:sz="0" w:space="0" w:color="auto"/>
            <w:bottom w:val="none" w:sz="0" w:space="0" w:color="auto"/>
            <w:right w:val="none" w:sz="0" w:space="0" w:color="auto"/>
          </w:divBdr>
        </w:div>
        <w:div w:id="1986160463">
          <w:marLeft w:val="0"/>
          <w:marRight w:val="0"/>
          <w:marTop w:val="0"/>
          <w:marBottom w:val="0"/>
          <w:divBdr>
            <w:top w:val="none" w:sz="0" w:space="0" w:color="auto"/>
            <w:left w:val="none" w:sz="0" w:space="0" w:color="auto"/>
            <w:bottom w:val="none" w:sz="0" w:space="0" w:color="auto"/>
            <w:right w:val="none" w:sz="0" w:space="0" w:color="auto"/>
          </w:divBdr>
          <w:divsChild>
            <w:div w:id="699627192">
              <w:marLeft w:val="0"/>
              <w:marRight w:val="0"/>
              <w:marTop w:val="0"/>
              <w:marBottom w:val="0"/>
              <w:divBdr>
                <w:top w:val="none" w:sz="0" w:space="0" w:color="auto"/>
                <w:left w:val="none" w:sz="0" w:space="0" w:color="auto"/>
                <w:bottom w:val="none" w:sz="0" w:space="0" w:color="auto"/>
                <w:right w:val="none" w:sz="0" w:space="0" w:color="auto"/>
              </w:divBdr>
            </w:div>
            <w:div w:id="230431282">
              <w:marLeft w:val="0"/>
              <w:marRight w:val="0"/>
              <w:marTop w:val="0"/>
              <w:marBottom w:val="0"/>
              <w:divBdr>
                <w:top w:val="none" w:sz="0" w:space="0" w:color="auto"/>
                <w:left w:val="none" w:sz="0" w:space="0" w:color="auto"/>
                <w:bottom w:val="none" w:sz="0" w:space="0" w:color="auto"/>
                <w:right w:val="none" w:sz="0" w:space="0" w:color="auto"/>
              </w:divBdr>
            </w:div>
            <w:div w:id="31392902">
              <w:marLeft w:val="0"/>
              <w:marRight w:val="0"/>
              <w:marTop w:val="0"/>
              <w:marBottom w:val="0"/>
              <w:divBdr>
                <w:top w:val="none" w:sz="0" w:space="0" w:color="auto"/>
                <w:left w:val="none" w:sz="0" w:space="0" w:color="auto"/>
                <w:bottom w:val="none" w:sz="0" w:space="0" w:color="auto"/>
                <w:right w:val="none" w:sz="0" w:space="0" w:color="auto"/>
              </w:divBdr>
            </w:div>
            <w:div w:id="2144039143">
              <w:marLeft w:val="0"/>
              <w:marRight w:val="0"/>
              <w:marTop w:val="0"/>
              <w:marBottom w:val="0"/>
              <w:divBdr>
                <w:top w:val="none" w:sz="0" w:space="0" w:color="auto"/>
                <w:left w:val="none" w:sz="0" w:space="0" w:color="auto"/>
                <w:bottom w:val="none" w:sz="0" w:space="0" w:color="auto"/>
                <w:right w:val="none" w:sz="0" w:space="0" w:color="auto"/>
              </w:divBdr>
            </w:div>
            <w:div w:id="119109522">
              <w:marLeft w:val="0"/>
              <w:marRight w:val="0"/>
              <w:marTop w:val="0"/>
              <w:marBottom w:val="0"/>
              <w:divBdr>
                <w:top w:val="none" w:sz="0" w:space="0" w:color="auto"/>
                <w:left w:val="none" w:sz="0" w:space="0" w:color="auto"/>
                <w:bottom w:val="none" w:sz="0" w:space="0" w:color="auto"/>
                <w:right w:val="none" w:sz="0" w:space="0" w:color="auto"/>
              </w:divBdr>
            </w:div>
            <w:div w:id="1202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35">
      <w:bodyDiv w:val="1"/>
      <w:marLeft w:val="0"/>
      <w:marRight w:val="0"/>
      <w:marTop w:val="0"/>
      <w:marBottom w:val="0"/>
      <w:divBdr>
        <w:top w:val="none" w:sz="0" w:space="0" w:color="auto"/>
        <w:left w:val="none" w:sz="0" w:space="0" w:color="auto"/>
        <w:bottom w:val="none" w:sz="0" w:space="0" w:color="auto"/>
        <w:right w:val="none" w:sz="0" w:space="0" w:color="auto"/>
      </w:divBdr>
    </w:div>
    <w:div w:id="2037349399">
      <w:bodyDiv w:val="1"/>
      <w:marLeft w:val="0"/>
      <w:marRight w:val="0"/>
      <w:marTop w:val="0"/>
      <w:marBottom w:val="0"/>
      <w:divBdr>
        <w:top w:val="none" w:sz="0" w:space="0" w:color="auto"/>
        <w:left w:val="none" w:sz="0" w:space="0" w:color="auto"/>
        <w:bottom w:val="none" w:sz="0" w:space="0" w:color="auto"/>
        <w:right w:val="none" w:sz="0" w:space="0" w:color="auto"/>
      </w:divBdr>
      <w:divsChild>
        <w:div w:id="1359241146">
          <w:marLeft w:val="0"/>
          <w:marRight w:val="0"/>
          <w:marTop w:val="0"/>
          <w:marBottom w:val="0"/>
          <w:divBdr>
            <w:top w:val="none" w:sz="0" w:space="0" w:color="auto"/>
            <w:left w:val="none" w:sz="0" w:space="0" w:color="auto"/>
            <w:bottom w:val="none" w:sz="0" w:space="0" w:color="auto"/>
            <w:right w:val="none" w:sz="0" w:space="0" w:color="auto"/>
          </w:divBdr>
          <w:divsChild>
            <w:div w:id="158204934">
              <w:marLeft w:val="0"/>
              <w:marRight w:val="0"/>
              <w:marTop w:val="0"/>
              <w:marBottom w:val="0"/>
              <w:divBdr>
                <w:top w:val="none" w:sz="0" w:space="0" w:color="auto"/>
                <w:left w:val="none" w:sz="0" w:space="0" w:color="auto"/>
                <w:bottom w:val="none" w:sz="0" w:space="0" w:color="auto"/>
                <w:right w:val="none" w:sz="0" w:space="0" w:color="auto"/>
              </w:divBdr>
              <w:divsChild>
                <w:div w:id="1494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5181">
      <w:bodyDiv w:val="1"/>
      <w:marLeft w:val="0"/>
      <w:marRight w:val="0"/>
      <w:marTop w:val="0"/>
      <w:marBottom w:val="0"/>
      <w:divBdr>
        <w:top w:val="none" w:sz="0" w:space="0" w:color="auto"/>
        <w:left w:val="none" w:sz="0" w:space="0" w:color="auto"/>
        <w:bottom w:val="none" w:sz="0" w:space="0" w:color="auto"/>
        <w:right w:val="none" w:sz="0" w:space="0" w:color="auto"/>
      </w:divBdr>
    </w:div>
    <w:div w:id="2074280334">
      <w:bodyDiv w:val="1"/>
      <w:marLeft w:val="0"/>
      <w:marRight w:val="0"/>
      <w:marTop w:val="0"/>
      <w:marBottom w:val="0"/>
      <w:divBdr>
        <w:top w:val="none" w:sz="0" w:space="0" w:color="auto"/>
        <w:left w:val="none" w:sz="0" w:space="0" w:color="auto"/>
        <w:bottom w:val="none" w:sz="0" w:space="0" w:color="auto"/>
        <w:right w:val="none" w:sz="0" w:space="0" w:color="auto"/>
      </w:divBdr>
      <w:divsChild>
        <w:div w:id="1647590097">
          <w:marLeft w:val="0"/>
          <w:marRight w:val="0"/>
          <w:marTop w:val="0"/>
          <w:marBottom w:val="0"/>
          <w:divBdr>
            <w:top w:val="none" w:sz="0" w:space="0" w:color="auto"/>
            <w:left w:val="none" w:sz="0" w:space="0" w:color="auto"/>
            <w:bottom w:val="none" w:sz="0" w:space="0" w:color="auto"/>
            <w:right w:val="none" w:sz="0" w:space="0" w:color="auto"/>
          </w:divBdr>
          <w:divsChild>
            <w:div w:id="1266306079">
              <w:marLeft w:val="0"/>
              <w:marRight w:val="0"/>
              <w:marTop w:val="0"/>
              <w:marBottom w:val="0"/>
              <w:divBdr>
                <w:top w:val="none" w:sz="0" w:space="0" w:color="auto"/>
                <w:left w:val="none" w:sz="0" w:space="0" w:color="auto"/>
                <w:bottom w:val="none" w:sz="0" w:space="0" w:color="auto"/>
                <w:right w:val="none" w:sz="0" w:space="0" w:color="auto"/>
              </w:divBdr>
              <w:divsChild>
                <w:div w:id="922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456">
      <w:bodyDiv w:val="1"/>
      <w:marLeft w:val="0"/>
      <w:marRight w:val="0"/>
      <w:marTop w:val="0"/>
      <w:marBottom w:val="0"/>
      <w:divBdr>
        <w:top w:val="none" w:sz="0" w:space="0" w:color="auto"/>
        <w:left w:val="none" w:sz="0" w:space="0" w:color="auto"/>
        <w:bottom w:val="none" w:sz="0" w:space="0" w:color="auto"/>
        <w:right w:val="none" w:sz="0" w:space="0" w:color="auto"/>
      </w:divBdr>
    </w:div>
    <w:div w:id="2092702304">
      <w:bodyDiv w:val="1"/>
      <w:marLeft w:val="0"/>
      <w:marRight w:val="0"/>
      <w:marTop w:val="0"/>
      <w:marBottom w:val="0"/>
      <w:divBdr>
        <w:top w:val="none" w:sz="0" w:space="0" w:color="auto"/>
        <w:left w:val="none" w:sz="0" w:space="0" w:color="auto"/>
        <w:bottom w:val="none" w:sz="0" w:space="0" w:color="auto"/>
        <w:right w:val="none" w:sz="0" w:space="0" w:color="auto"/>
      </w:divBdr>
    </w:div>
    <w:div w:id="2102950099">
      <w:bodyDiv w:val="1"/>
      <w:marLeft w:val="0"/>
      <w:marRight w:val="0"/>
      <w:marTop w:val="0"/>
      <w:marBottom w:val="0"/>
      <w:divBdr>
        <w:top w:val="none" w:sz="0" w:space="0" w:color="auto"/>
        <w:left w:val="none" w:sz="0" w:space="0" w:color="auto"/>
        <w:bottom w:val="none" w:sz="0" w:space="0" w:color="auto"/>
        <w:right w:val="none" w:sz="0" w:space="0" w:color="auto"/>
      </w:divBdr>
      <w:divsChild>
        <w:div w:id="610279058">
          <w:marLeft w:val="0"/>
          <w:marRight w:val="0"/>
          <w:marTop w:val="0"/>
          <w:marBottom w:val="0"/>
          <w:divBdr>
            <w:top w:val="none" w:sz="0" w:space="0" w:color="auto"/>
            <w:left w:val="none" w:sz="0" w:space="0" w:color="auto"/>
            <w:bottom w:val="none" w:sz="0" w:space="0" w:color="auto"/>
            <w:right w:val="none" w:sz="0" w:space="0" w:color="auto"/>
          </w:divBdr>
        </w:div>
        <w:div w:id="1544902233">
          <w:marLeft w:val="0"/>
          <w:marRight w:val="0"/>
          <w:marTop w:val="0"/>
          <w:marBottom w:val="0"/>
          <w:divBdr>
            <w:top w:val="none" w:sz="0" w:space="0" w:color="auto"/>
            <w:left w:val="none" w:sz="0" w:space="0" w:color="auto"/>
            <w:bottom w:val="none" w:sz="0" w:space="0" w:color="auto"/>
            <w:right w:val="none" w:sz="0" w:space="0" w:color="auto"/>
          </w:divBdr>
        </w:div>
        <w:div w:id="919755521">
          <w:marLeft w:val="0"/>
          <w:marRight w:val="0"/>
          <w:marTop w:val="0"/>
          <w:marBottom w:val="0"/>
          <w:divBdr>
            <w:top w:val="none" w:sz="0" w:space="0" w:color="auto"/>
            <w:left w:val="none" w:sz="0" w:space="0" w:color="auto"/>
            <w:bottom w:val="none" w:sz="0" w:space="0" w:color="auto"/>
            <w:right w:val="none" w:sz="0" w:space="0" w:color="auto"/>
          </w:divBdr>
        </w:div>
        <w:div w:id="1393038040">
          <w:marLeft w:val="0"/>
          <w:marRight w:val="0"/>
          <w:marTop w:val="0"/>
          <w:marBottom w:val="0"/>
          <w:divBdr>
            <w:top w:val="none" w:sz="0" w:space="0" w:color="auto"/>
            <w:left w:val="none" w:sz="0" w:space="0" w:color="auto"/>
            <w:bottom w:val="none" w:sz="0" w:space="0" w:color="auto"/>
            <w:right w:val="none" w:sz="0" w:space="0" w:color="auto"/>
          </w:divBdr>
        </w:div>
        <w:div w:id="1708673901">
          <w:marLeft w:val="0"/>
          <w:marRight w:val="0"/>
          <w:marTop w:val="0"/>
          <w:marBottom w:val="0"/>
          <w:divBdr>
            <w:top w:val="none" w:sz="0" w:space="0" w:color="auto"/>
            <w:left w:val="none" w:sz="0" w:space="0" w:color="auto"/>
            <w:bottom w:val="none" w:sz="0" w:space="0" w:color="auto"/>
            <w:right w:val="none" w:sz="0" w:space="0" w:color="auto"/>
          </w:divBdr>
        </w:div>
        <w:div w:id="570193454">
          <w:marLeft w:val="0"/>
          <w:marRight w:val="0"/>
          <w:marTop w:val="0"/>
          <w:marBottom w:val="0"/>
          <w:divBdr>
            <w:top w:val="none" w:sz="0" w:space="0" w:color="auto"/>
            <w:left w:val="none" w:sz="0" w:space="0" w:color="auto"/>
            <w:bottom w:val="none" w:sz="0" w:space="0" w:color="auto"/>
            <w:right w:val="none" w:sz="0" w:space="0" w:color="auto"/>
          </w:divBdr>
        </w:div>
      </w:divsChild>
    </w:div>
    <w:div w:id="2123109624">
      <w:bodyDiv w:val="1"/>
      <w:marLeft w:val="0"/>
      <w:marRight w:val="0"/>
      <w:marTop w:val="0"/>
      <w:marBottom w:val="0"/>
      <w:divBdr>
        <w:top w:val="none" w:sz="0" w:space="0" w:color="auto"/>
        <w:left w:val="none" w:sz="0" w:space="0" w:color="auto"/>
        <w:bottom w:val="none" w:sz="0" w:space="0" w:color="auto"/>
        <w:right w:val="none" w:sz="0" w:space="0" w:color="auto"/>
      </w:divBdr>
      <w:divsChild>
        <w:div w:id="2065980699">
          <w:marLeft w:val="0"/>
          <w:marRight w:val="0"/>
          <w:marTop w:val="0"/>
          <w:marBottom w:val="0"/>
          <w:divBdr>
            <w:top w:val="none" w:sz="0" w:space="0" w:color="auto"/>
            <w:left w:val="none" w:sz="0" w:space="0" w:color="auto"/>
            <w:bottom w:val="none" w:sz="0" w:space="0" w:color="auto"/>
            <w:right w:val="none" w:sz="0" w:space="0" w:color="auto"/>
          </w:divBdr>
          <w:divsChild>
            <w:div w:id="349992134">
              <w:marLeft w:val="0"/>
              <w:marRight w:val="0"/>
              <w:marTop w:val="0"/>
              <w:marBottom w:val="0"/>
              <w:divBdr>
                <w:top w:val="none" w:sz="0" w:space="0" w:color="auto"/>
                <w:left w:val="none" w:sz="0" w:space="0" w:color="auto"/>
                <w:bottom w:val="none" w:sz="0" w:space="0" w:color="auto"/>
                <w:right w:val="none" w:sz="0" w:space="0" w:color="auto"/>
              </w:divBdr>
              <w:divsChild>
                <w:div w:id="10982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4882">
      <w:bodyDiv w:val="1"/>
      <w:marLeft w:val="0"/>
      <w:marRight w:val="0"/>
      <w:marTop w:val="0"/>
      <w:marBottom w:val="0"/>
      <w:divBdr>
        <w:top w:val="none" w:sz="0" w:space="0" w:color="auto"/>
        <w:left w:val="none" w:sz="0" w:space="0" w:color="auto"/>
        <w:bottom w:val="none" w:sz="0" w:space="0" w:color="auto"/>
        <w:right w:val="none" w:sz="0" w:space="0" w:color="auto"/>
      </w:divBdr>
    </w:div>
    <w:div w:id="2134707431">
      <w:bodyDiv w:val="1"/>
      <w:marLeft w:val="0"/>
      <w:marRight w:val="0"/>
      <w:marTop w:val="0"/>
      <w:marBottom w:val="0"/>
      <w:divBdr>
        <w:top w:val="none" w:sz="0" w:space="0" w:color="auto"/>
        <w:left w:val="none" w:sz="0" w:space="0" w:color="auto"/>
        <w:bottom w:val="none" w:sz="0" w:space="0" w:color="auto"/>
        <w:right w:val="none" w:sz="0" w:space="0" w:color="auto"/>
      </w:divBdr>
    </w:div>
    <w:div w:id="213818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2" ma:contentTypeDescription="Crear nuevo documento." ma:contentTypeScope="" ma:versionID="3a7f0bd5457e0e829189a21dfdfced29">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c21d9daf134e2e620daf5b93ee7cdd50"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4414C5-DEED-4B13-A7CA-6B19E7E10D7B}">
  <ds:schemaRefs>
    <ds:schemaRef ds:uri="http://schemas.microsoft.com/office/2006/metadata/properties"/>
    <ds:schemaRef ds:uri="http://schemas.microsoft.com/office/infopath/2007/PartnerControls"/>
    <ds:schemaRef ds:uri="9d85dbaf-23eb-4e57-a637-93dcacc8b1a1"/>
  </ds:schemaRefs>
</ds:datastoreItem>
</file>

<file path=customXml/itemProps2.xml><?xml version="1.0" encoding="utf-8"?>
<ds:datastoreItem xmlns:ds="http://schemas.openxmlformats.org/officeDocument/2006/customXml" ds:itemID="{F8521671-D56A-F342-8BC5-FA15744391E7}">
  <ds:schemaRefs>
    <ds:schemaRef ds:uri="http://schemas.openxmlformats.org/officeDocument/2006/bibliography"/>
  </ds:schemaRefs>
</ds:datastoreItem>
</file>

<file path=customXml/itemProps3.xml><?xml version="1.0" encoding="utf-8"?>
<ds:datastoreItem xmlns:ds="http://schemas.openxmlformats.org/officeDocument/2006/customXml" ds:itemID="{8F4A4FA1-0EE5-42C4-8F7E-C4FC32C63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8AACCB-338D-4E1C-91B3-8763C3BB18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C:\Users\ximena.cabezas\AppData\Local\Microsoft\Windows\INetCache\Content.Outlook\N37DCYCK\Respuesta a consultas.dotm</Template>
  <TotalTime>83</TotalTime>
  <Pages>10</Pages>
  <Words>3755</Words>
  <Characters>20653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CRISTIAN ANDRES DIAZ DIEZ</cp:lastModifiedBy>
  <cp:revision>63</cp:revision>
  <cp:lastPrinted>2020-01-30T15:05:00Z</cp:lastPrinted>
  <dcterms:created xsi:type="dcterms:W3CDTF">2020-12-09T02:01:00Z</dcterms:created>
  <dcterms:modified xsi:type="dcterms:W3CDTF">2020-12-09T19:00:00Z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