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04C61" w:rsidR="00DD5B04" w:rsidP="00AA7A60" w:rsidRDefault="00B55C69" w14:paraId="40EA575F" w14:textId="28E910D2">
      <w:pPr>
        <w:jc w:val="right"/>
        <w:rPr>
          <w:rFonts w:ascii="Arial" w:hAnsi="Arial" w:eastAsia="Calibri" w:cs="Arial"/>
          <w:b/>
          <w:color w:val="000000" w:themeColor="text1"/>
          <w:sz w:val="20"/>
          <w:szCs w:val="20"/>
          <w:lang w:val="es-ES_tradnl"/>
        </w:rPr>
      </w:pPr>
      <w:bookmarkStart w:name="_Hlk28946138" w:id="0"/>
      <w:bookmarkStart w:name="_Hlk29548183" w:id="1"/>
      <w:r w:rsidRPr="00404C61">
        <w:rPr>
          <w:rFonts w:ascii="Arial" w:hAnsi="Arial" w:cs="Arial"/>
          <w:bCs/>
          <w:color w:val="000000" w:themeColor="text1"/>
          <w:sz w:val="16"/>
          <w:szCs w:val="16"/>
          <w:lang w:val="es-ES_tradnl" w:eastAsia="es-ES"/>
        </w:rPr>
        <w:t>CCE-DES-FM-17</w:t>
      </w:r>
    </w:p>
    <w:bookmarkEnd w:id="0"/>
    <w:bookmarkEnd w:id="1"/>
    <w:p w:rsidRPr="00404C61" w:rsidR="00F02D25" w:rsidP="00E548C3" w:rsidRDefault="00F02D25" w14:paraId="1BED658F" w14:textId="77777777">
      <w:pPr>
        <w:jc w:val="both"/>
        <w:rPr>
          <w:rFonts w:ascii="Arial" w:hAnsi="Arial" w:eastAsia="Calibri" w:cs="Arial"/>
          <w:b/>
          <w:bCs/>
          <w:color w:val="000000" w:themeColor="text1"/>
          <w:sz w:val="22"/>
          <w:lang w:val="es-ES_tradnl"/>
        </w:rPr>
      </w:pPr>
    </w:p>
    <w:p w:rsidRPr="000679DA" w:rsidR="003E3AF9" w:rsidP="003E3AF9" w:rsidRDefault="003D21C1" w14:paraId="736D10E8" w14:textId="57C9D665">
      <w:pPr>
        <w:jc w:val="both"/>
        <w:rPr>
          <w:rFonts w:ascii="Arial" w:hAnsi="Arial" w:eastAsia="Calibri" w:cs="Arial"/>
          <w:b/>
          <w:color w:val="000000"/>
          <w:sz w:val="22"/>
        </w:rPr>
      </w:pPr>
      <w:r>
        <w:rPr>
          <w:rFonts w:ascii="Arial" w:hAnsi="Arial" w:eastAsia="Calibri" w:cs="Arial"/>
          <w:b/>
          <w:color w:val="000000"/>
          <w:sz w:val="22"/>
        </w:rPr>
        <w:t xml:space="preserve">ACCESO A </w:t>
      </w:r>
      <w:r w:rsidR="009F7263">
        <w:rPr>
          <w:rFonts w:ascii="Arial" w:hAnsi="Arial" w:eastAsia="Calibri" w:cs="Arial"/>
          <w:b/>
          <w:color w:val="000000"/>
          <w:sz w:val="22"/>
        </w:rPr>
        <w:t>DOCUMENTACIÓN</w:t>
      </w:r>
      <w:r>
        <w:rPr>
          <w:rFonts w:ascii="Arial" w:hAnsi="Arial" w:eastAsia="Calibri" w:cs="Arial"/>
          <w:b/>
          <w:color w:val="000000"/>
          <w:sz w:val="22"/>
        </w:rPr>
        <w:t xml:space="preserve"> PÚBLICA</w:t>
      </w:r>
      <w:r w:rsidRPr="000679DA" w:rsidR="003E3AF9">
        <w:rPr>
          <w:rFonts w:ascii="Arial" w:hAnsi="Arial" w:eastAsia="Calibri" w:cs="Arial"/>
          <w:b/>
          <w:color w:val="000000"/>
          <w:sz w:val="22"/>
        </w:rPr>
        <w:t xml:space="preserve"> – </w:t>
      </w:r>
      <w:r>
        <w:rPr>
          <w:rFonts w:ascii="Arial" w:hAnsi="Arial" w:eastAsia="Calibri" w:cs="Arial"/>
          <w:b/>
          <w:color w:val="000000"/>
          <w:sz w:val="22"/>
        </w:rPr>
        <w:t xml:space="preserve">Derecho fundamental </w:t>
      </w:r>
      <w:r w:rsidRPr="000679DA">
        <w:rPr>
          <w:rFonts w:ascii="Arial" w:hAnsi="Arial" w:eastAsia="Calibri" w:cs="Arial"/>
          <w:b/>
          <w:color w:val="000000"/>
          <w:sz w:val="22"/>
        </w:rPr>
        <w:t>–</w:t>
      </w:r>
      <w:r>
        <w:rPr>
          <w:rFonts w:ascii="Arial" w:hAnsi="Arial" w:eastAsia="Calibri" w:cs="Arial"/>
          <w:b/>
          <w:color w:val="000000"/>
          <w:sz w:val="22"/>
        </w:rPr>
        <w:t xml:space="preserve"> Transparencia </w:t>
      </w:r>
      <w:r w:rsidRPr="000679DA">
        <w:rPr>
          <w:rFonts w:ascii="Arial" w:hAnsi="Arial" w:eastAsia="Calibri" w:cs="Arial"/>
          <w:b/>
          <w:color w:val="000000"/>
          <w:sz w:val="22"/>
        </w:rPr>
        <w:t>–</w:t>
      </w:r>
      <w:r>
        <w:rPr>
          <w:rFonts w:ascii="Arial" w:hAnsi="Arial" w:eastAsia="Calibri" w:cs="Arial"/>
          <w:b/>
          <w:color w:val="000000"/>
          <w:sz w:val="22"/>
        </w:rPr>
        <w:t xml:space="preserve"> Información contractual</w:t>
      </w:r>
      <w:r w:rsidRPr="000679DA" w:rsidR="003E3AF9">
        <w:rPr>
          <w:rFonts w:ascii="Arial" w:hAnsi="Arial" w:eastAsia="Calibri" w:cs="Arial"/>
          <w:b/>
          <w:color w:val="000000"/>
          <w:sz w:val="22"/>
        </w:rPr>
        <w:t xml:space="preserve"> </w:t>
      </w:r>
    </w:p>
    <w:p w:rsidRPr="004C1CC6" w:rsidR="003E3AF9" w:rsidP="003E3AF9" w:rsidRDefault="003E3AF9" w14:paraId="3A2E9502" w14:textId="77777777">
      <w:pPr>
        <w:tabs>
          <w:tab w:val="left" w:pos="1816"/>
        </w:tabs>
        <w:jc w:val="both"/>
        <w:rPr>
          <w:rFonts w:ascii="Arial" w:hAnsi="Arial" w:eastAsia="Calibri" w:cs="Arial"/>
          <w:b/>
          <w:color w:val="000000"/>
          <w:sz w:val="22"/>
        </w:rPr>
      </w:pPr>
      <w:r w:rsidRPr="000679DA">
        <w:rPr>
          <w:rFonts w:ascii="Arial" w:hAnsi="Arial" w:eastAsia="Calibri" w:cs="Arial"/>
          <w:b/>
          <w:color w:val="000000"/>
          <w:sz w:val="22"/>
        </w:rPr>
        <w:t xml:space="preserve"> </w:t>
      </w:r>
      <w:r w:rsidRPr="000679DA">
        <w:rPr>
          <w:rFonts w:ascii="Arial" w:hAnsi="Arial" w:eastAsia="Calibri" w:cs="Arial"/>
          <w:b/>
          <w:color w:val="000000"/>
          <w:sz w:val="22"/>
        </w:rPr>
        <w:tab/>
      </w:r>
      <w:r>
        <w:rPr>
          <w:rFonts w:ascii="Arial" w:hAnsi="Arial" w:eastAsia="Calibri" w:cs="Arial"/>
          <w:color w:val="000000"/>
          <w:sz w:val="20"/>
          <w:szCs w:val="20"/>
        </w:rPr>
        <w:t xml:space="preserve"> </w:t>
      </w:r>
    </w:p>
    <w:p w:rsidRPr="003D21C1" w:rsidR="003E3AF9" w:rsidP="003E3AF9" w:rsidRDefault="003D21C1" w14:paraId="02EE073A" w14:textId="333097B9">
      <w:pPr>
        <w:jc w:val="both"/>
        <w:rPr>
          <w:rFonts w:ascii="Arial" w:hAnsi="Arial" w:eastAsia="Calibri" w:cs="Arial"/>
          <w:b/>
          <w:sz w:val="22"/>
          <w:lang w:val="es-ES_tradnl"/>
        </w:rPr>
      </w:pPr>
      <w:r w:rsidRPr="003D21C1">
        <w:rPr>
          <w:rFonts w:ascii="Arial" w:hAnsi="Arial" w:eastAsia="Calibri" w:cs="Arial"/>
          <w:color w:val="000000"/>
          <w:sz w:val="20"/>
          <w:szCs w:val="20"/>
        </w:rPr>
        <w:t>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deber de divulgación proactiva de la información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p>
    <w:p w:rsidR="00CF24FE" w:rsidP="00B03C1E" w:rsidRDefault="00CF24FE" w14:paraId="0FEEB307" w14:textId="0283889B">
      <w:pPr>
        <w:tabs>
          <w:tab w:val="left" w:pos="709"/>
        </w:tabs>
        <w:jc w:val="both"/>
        <w:rPr>
          <w:rFonts w:ascii="Arial" w:hAnsi="Arial" w:eastAsia="Arial" w:cs="Arial"/>
          <w:sz w:val="20"/>
          <w:szCs w:val="20"/>
          <w:lang w:val="es-ES_tradnl"/>
        </w:rPr>
      </w:pPr>
    </w:p>
    <w:p w:rsidRPr="000679DA" w:rsidR="003D21C1" w:rsidP="003D21C1" w:rsidRDefault="00E63DCE" w14:paraId="5AD15DA6" w14:textId="4D020330">
      <w:pPr>
        <w:jc w:val="both"/>
        <w:rPr>
          <w:rFonts w:ascii="Arial" w:hAnsi="Arial" w:eastAsia="Calibri" w:cs="Arial"/>
          <w:b/>
          <w:color w:val="000000"/>
          <w:sz w:val="22"/>
        </w:rPr>
      </w:pPr>
      <w:r>
        <w:rPr>
          <w:rFonts w:ascii="Arial" w:hAnsi="Arial" w:eastAsia="Calibri" w:cs="Arial"/>
          <w:b/>
          <w:color w:val="000000"/>
          <w:sz w:val="22"/>
        </w:rPr>
        <w:t>SECOP</w:t>
      </w:r>
      <w:r w:rsidRPr="000679DA" w:rsidR="003D21C1">
        <w:rPr>
          <w:rFonts w:ascii="Arial" w:hAnsi="Arial" w:eastAsia="Calibri" w:cs="Arial"/>
          <w:b/>
          <w:color w:val="000000"/>
          <w:sz w:val="22"/>
        </w:rPr>
        <w:t xml:space="preserve"> – </w:t>
      </w:r>
      <w:r>
        <w:rPr>
          <w:rFonts w:ascii="Arial" w:hAnsi="Arial" w:eastAsia="Calibri" w:cs="Arial"/>
          <w:b/>
          <w:color w:val="000000"/>
          <w:sz w:val="22"/>
        </w:rPr>
        <w:t>Deber de publicación</w:t>
      </w:r>
      <w:r w:rsidR="003D21C1">
        <w:rPr>
          <w:rFonts w:ascii="Arial" w:hAnsi="Arial" w:eastAsia="Calibri" w:cs="Arial"/>
          <w:b/>
          <w:color w:val="000000"/>
          <w:sz w:val="22"/>
        </w:rPr>
        <w:t xml:space="preserve"> </w:t>
      </w:r>
      <w:r w:rsidRPr="000679DA" w:rsidR="003D21C1">
        <w:rPr>
          <w:rFonts w:ascii="Arial" w:hAnsi="Arial" w:eastAsia="Calibri" w:cs="Arial"/>
          <w:b/>
          <w:color w:val="000000"/>
          <w:sz w:val="22"/>
        </w:rPr>
        <w:t>–</w:t>
      </w:r>
      <w:r w:rsidR="003D21C1">
        <w:rPr>
          <w:rFonts w:ascii="Arial" w:hAnsi="Arial" w:eastAsia="Calibri" w:cs="Arial"/>
          <w:b/>
          <w:color w:val="000000"/>
          <w:sz w:val="22"/>
        </w:rPr>
        <w:t xml:space="preserve"> </w:t>
      </w:r>
      <w:r>
        <w:rPr>
          <w:rFonts w:ascii="Arial" w:hAnsi="Arial" w:eastAsia="Calibri" w:cs="Arial"/>
          <w:b/>
          <w:color w:val="000000"/>
          <w:sz w:val="22"/>
        </w:rPr>
        <w:t>Información contractual</w:t>
      </w:r>
      <w:r w:rsidR="003D21C1">
        <w:rPr>
          <w:rFonts w:ascii="Arial" w:hAnsi="Arial" w:eastAsia="Calibri" w:cs="Arial"/>
          <w:b/>
          <w:color w:val="000000"/>
          <w:sz w:val="22"/>
        </w:rPr>
        <w:t xml:space="preserve"> </w:t>
      </w:r>
      <w:r w:rsidRPr="000679DA" w:rsidR="003D21C1">
        <w:rPr>
          <w:rFonts w:ascii="Arial" w:hAnsi="Arial" w:eastAsia="Calibri" w:cs="Arial"/>
          <w:b/>
          <w:color w:val="000000"/>
          <w:sz w:val="22"/>
        </w:rPr>
        <w:t xml:space="preserve"> </w:t>
      </w:r>
    </w:p>
    <w:p w:rsidRPr="004C1CC6" w:rsidR="003D21C1" w:rsidP="003D21C1" w:rsidRDefault="003D21C1" w14:paraId="2D0280BD" w14:textId="77777777">
      <w:pPr>
        <w:tabs>
          <w:tab w:val="left" w:pos="1816"/>
        </w:tabs>
        <w:jc w:val="both"/>
        <w:rPr>
          <w:rFonts w:ascii="Arial" w:hAnsi="Arial" w:eastAsia="Calibri" w:cs="Arial"/>
          <w:b/>
          <w:color w:val="000000"/>
          <w:sz w:val="22"/>
        </w:rPr>
      </w:pPr>
      <w:r w:rsidRPr="000679DA">
        <w:rPr>
          <w:rFonts w:ascii="Arial" w:hAnsi="Arial" w:eastAsia="Calibri" w:cs="Arial"/>
          <w:b/>
          <w:color w:val="000000"/>
          <w:sz w:val="22"/>
        </w:rPr>
        <w:t xml:space="preserve"> </w:t>
      </w:r>
      <w:r w:rsidRPr="000679DA">
        <w:rPr>
          <w:rFonts w:ascii="Arial" w:hAnsi="Arial" w:eastAsia="Calibri" w:cs="Arial"/>
          <w:b/>
          <w:color w:val="000000"/>
          <w:sz w:val="22"/>
        </w:rPr>
        <w:tab/>
      </w:r>
      <w:r>
        <w:rPr>
          <w:rFonts w:ascii="Arial" w:hAnsi="Arial" w:eastAsia="Calibri" w:cs="Arial"/>
          <w:color w:val="000000"/>
          <w:sz w:val="20"/>
          <w:szCs w:val="20"/>
        </w:rPr>
        <w:t xml:space="preserve"> </w:t>
      </w:r>
    </w:p>
    <w:p w:rsidRPr="00F1478C" w:rsidR="00945327" w:rsidP="00945327" w:rsidRDefault="00F1478C" w14:paraId="324EA22D" w14:textId="5BDFF2D5">
      <w:pPr>
        <w:jc w:val="both"/>
        <w:rPr>
          <w:rFonts w:ascii="Arial" w:hAnsi="Arial" w:cs="Arial"/>
          <w:sz w:val="20"/>
          <w:szCs w:val="20"/>
          <w:lang w:val="es-ES"/>
        </w:rPr>
      </w:pPr>
      <w:r w:rsidRPr="00F1478C">
        <w:rPr>
          <w:rStyle w:val="Textoennegrita"/>
          <w:rFonts w:ascii="Arial" w:hAnsi="Arial" w:cs="Arial"/>
          <w:b w:val="0"/>
          <w:bCs w:val="0"/>
          <w:sz w:val="20"/>
          <w:szCs w:val="20"/>
          <w:lang w:val="es-ES"/>
        </w:rPr>
        <w:t xml:space="preserve">En conclusión, con base en los fundamentos normativos y argumentos expuestos, además del Plan Anual de Adquisiciones, las entidades estatales regidas por el EGCAP deberán publicar en SECOP los documentos expedidos con ocasión del </w:t>
      </w:r>
      <w:r w:rsidRPr="00F1478C">
        <w:rPr>
          <w:rStyle w:val="Textoennegrita"/>
          <w:rFonts w:ascii="Arial" w:hAnsi="Arial" w:cs="Arial"/>
          <w:b w:val="0"/>
          <w:bCs w:val="0"/>
          <w:i/>
          <w:iCs/>
          <w:sz w:val="20"/>
          <w:szCs w:val="20"/>
          <w:lang w:val="es-ES"/>
        </w:rPr>
        <w:t>proceso de contratación</w:t>
      </w:r>
      <w:r w:rsidRPr="00F1478C">
        <w:rPr>
          <w:rStyle w:val="Textoennegrita"/>
          <w:rFonts w:ascii="Arial" w:hAnsi="Arial" w:cs="Arial"/>
          <w:b w:val="0"/>
          <w:bCs w:val="0"/>
          <w:sz w:val="20"/>
          <w:szCs w:val="20"/>
          <w:lang w:val="es-ES"/>
        </w:rPr>
        <w:t xml:space="preserve">. </w:t>
      </w:r>
    </w:p>
    <w:p w:rsidR="004F6161" w:rsidP="00B03C1E" w:rsidRDefault="00945327" w14:paraId="77BA5E82" w14:textId="6AB6C8B2">
      <w:pPr>
        <w:tabs>
          <w:tab w:val="left" w:pos="709"/>
        </w:tabs>
        <w:jc w:val="both"/>
        <w:rPr>
          <w:rFonts w:ascii="Arial" w:hAnsi="Arial" w:cs="Arial"/>
          <w:sz w:val="20"/>
          <w:szCs w:val="20"/>
          <w:lang w:val="es-ES"/>
        </w:rPr>
      </w:pPr>
      <w:r>
        <w:rPr>
          <w:rFonts w:ascii="Arial" w:hAnsi="Arial" w:cs="Arial"/>
          <w:sz w:val="20"/>
          <w:szCs w:val="20"/>
          <w:lang w:val="es-ES"/>
        </w:rPr>
        <w:t>[…]</w:t>
      </w:r>
    </w:p>
    <w:p w:rsidR="00945327" w:rsidP="00B03C1E" w:rsidRDefault="00945327" w14:paraId="013E4AAE" w14:textId="77777777">
      <w:pPr>
        <w:tabs>
          <w:tab w:val="left" w:pos="709"/>
        </w:tabs>
        <w:jc w:val="both"/>
        <w:rPr>
          <w:rFonts w:ascii="Arial" w:hAnsi="Arial" w:eastAsia="Arial" w:cs="Arial"/>
          <w:sz w:val="20"/>
          <w:szCs w:val="20"/>
          <w:lang w:val="es-ES_tradnl"/>
        </w:rPr>
      </w:pPr>
    </w:p>
    <w:p w:rsidRPr="000679DA" w:rsidR="00613DE1" w:rsidP="00613DE1" w:rsidRDefault="006E05D8" w14:paraId="0FE48B06" w14:textId="6E9633CD">
      <w:pPr>
        <w:jc w:val="both"/>
        <w:rPr>
          <w:rFonts w:ascii="Arial" w:hAnsi="Arial" w:eastAsia="Calibri" w:cs="Arial"/>
          <w:b/>
          <w:color w:val="000000"/>
          <w:sz w:val="22"/>
        </w:rPr>
      </w:pPr>
      <w:r>
        <w:rPr>
          <w:rFonts w:ascii="Arial" w:hAnsi="Arial" w:eastAsia="Calibri" w:cs="Arial"/>
          <w:b/>
          <w:color w:val="000000"/>
          <w:sz w:val="22"/>
        </w:rPr>
        <w:t>DATOS SENSIBLES</w:t>
      </w:r>
      <w:r w:rsidRPr="000679DA">
        <w:rPr>
          <w:rFonts w:ascii="Arial" w:hAnsi="Arial" w:eastAsia="Calibri" w:cs="Arial"/>
          <w:b/>
          <w:color w:val="000000"/>
          <w:sz w:val="22"/>
        </w:rPr>
        <w:t xml:space="preserve"> – </w:t>
      </w:r>
      <w:r>
        <w:rPr>
          <w:rFonts w:ascii="Arial" w:hAnsi="Arial" w:eastAsia="Calibri" w:cs="Arial"/>
          <w:b/>
          <w:color w:val="000000"/>
          <w:sz w:val="22"/>
        </w:rPr>
        <w:t xml:space="preserve">Reserva </w:t>
      </w:r>
      <w:r w:rsidRPr="000679DA">
        <w:rPr>
          <w:rFonts w:ascii="Arial" w:hAnsi="Arial" w:eastAsia="Calibri" w:cs="Arial"/>
          <w:b/>
          <w:color w:val="000000"/>
          <w:sz w:val="22"/>
        </w:rPr>
        <w:t>–</w:t>
      </w:r>
      <w:r>
        <w:rPr>
          <w:rFonts w:ascii="Arial" w:hAnsi="Arial" w:eastAsia="Calibri" w:cs="Arial"/>
          <w:b/>
          <w:color w:val="000000"/>
          <w:sz w:val="22"/>
        </w:rPr>
        <w:t xml:space="preserve"> Excepción</w:t>
      </w:r>
      <w:r w:rsidR="00613DE1">
        <w:rPr>
          <w:rFonts w:ascii="Arial" w:hAnsi="Arial" w:eastAsia="Calibri" w:cs="Arial"/>
          <w:b/>
          <w:color w:val="000000"/>
          <w:sz w:val="22"/>
        </w:rPr>
        <w:t xml:space="preserve"> </w:t>
      </w:r>
      <w:r w:rsidRPr="000679DA" w:rsidR="00613DE1">
        <w:rPr>
          <w:rFonts w:ascii="Arial" w:hAnsi="Arial" w:eastAsia="Calibri" w:cs="Arial"/>
          <w:b/>
          <w:color w:val="000000"/>
          <w:sz w:val="22"/>
        </w:rPr>
        <w:t>–</w:t>
      </w:r>
      <w:r w:rsidR="00613DE1">
        <w:rPr>
          <w:rFonts w:ascii="Arial" w:hAnsi="Arial" w:eastAsia="Calibri" w:cs="Arial"/>
          <w:b/>
          <w:color w:val="000000"/>
          <w:sz w:val="22"/>
        </w:rPr>
        <w:t xml:space="preserve"> SECOP</w:t>
      </w:r>
    </w:p>
    <w:p w:rsidRPr="000679DA" w:rsidR="006E05D8" w:rsidP="006E05D8" w:rsidRDefault="006E05D8" w14:paraId="3FD84310" w14:textId="4DB61A01">
      <w:pPr>
        <w:jc w:val="both"/>
        <w:rPr>
          <w:rFonts w:ascii="Arial" w:hAnsi="Arial" w:eastAsia="Calibri" w:cs="Arial"/>
          <w:b/>
          <w:color w:val="000000"/>
          <w:sz w:val="22"/>
        </w:rPr>
      </w:pPr>
    </w:p>
    <w:p w:rsidRPr="00613DE1" w:rsidR="006E05D8" w:rsidP="00613DE1" w:rsidRDefault="00613DE1" w14:paraId="6F30D7EB" w14:textId="5F627483">
      <w:pPr>
        <w:tabs>
          <w:tab w:val="left" w:pos="709"/>
        </w:tabs>
        <w:jc w:val="both"/>
        <w:rPr>
          <w:rFonts w:ascii="Arial" w:hAnsi="Arial" w:eastAsia="Calibri" w:cs="Arial"/>
          <w:color w:val="000000"/>
          <w:sz w:val="20"/>
          <w:szCs w:val="20"/>
        </w:rPr>
      </w:pPr>
      <w:r w:rsidRPr="00613DE1">
        <w:rPr>
          <w:rFonts w:ascii="Arial" w:hAnsi="Arial" w:eastAsia="Calibri" w:cs="Arial"/>
          <w:color w:val="000000"/>
          <w:sz w:val="20"/>
          <w:szCs w:val="20"/>
        </w:rPr>
        <w:t>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Pero, de acuerdo con el segundo inciso del artículo 25 de la Ley 1437 de 2011 «La restricción por reserva legal no se extenderá a otras piezas del respectivo expediente o actuación que no estén cubiertas por ella». Entonces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w:t>
      </w:r>
    </w:p>
    <w:p w:rsidR="00210F62" w:rsidP="380CB83D" w:rsidRDefault="00210F62" w14:paraId="262B5753" w14:noSpellErr="1" w14:textId="375E1D21">
      <w:pPr>
        <w:pStyle w:val="Normal"/>
        <w:spacing w:line="276" w:lineRule="auto"/>
        <w:jc w:val="both"/>
        <w:rPr>
          <w:rFonts w:ascii="Arial" w:hAnsi="Arial" w:cs="Arial"/>
          <w:noProof/>
          <w:color w:val="000000" w:themeColor="text1"/>
          <w:sz w:val="22"/>
          <w:szCs w:val="22"/>
          <w:lang w:val="es-ES"/>
        </w:rPr>
      </w:pPr>
    </w:p>
    <w:p w:rsidR="00210F62" w:rsidP="00DF76A2" w:rsidRDefault="00210F62" w14:paraId="0ECF1742" w14:textId="77777777">
      <w:pPr>
        <w:spacing w:line="276" w:lineRule="auto"/>
        <w:jc w:val="both"/>
        <w:rPr>
          <w:rFonts w:ascii="Arial" w:hAnsi="Arial" w:cs="Arial"/>
          <w:noProof/>
          <w:color w:val="000000" w:themeColor="text1"/>
          <w:sz w:val="22"/>
          <w:lang w:val="es-ES_tradnl"/>
        </w:rPr>
      </w:pPr>
    </w:p>
    <w:p w:rsidR="00210F62" w:rsidP="00DF76A2" w:rsidRDefault="00210F62" w14:paraId="7BACEE29" w14:textId="77777777">
      <w:pPr>
        <w:spacing w:line="276" w:lineRule="auto"/>
        <w:jc w:val="both"/>
        <w:rPr>
          <w:rFonts w:ascii="Arial" w:hAnsi="Arial" w:cs="Arial"/>
          <w:noProof/>
          <w:color w:val="000000" w:themeColor="text1"/>
          <w:sz w:val="22"/>
          <w:lang w:val="es-ES_tradnl"/>
        </w:rPr>
      </w:pPr>
    </w:p>
    <w:p w:rsidRPr="00404C61" w:rsidR="00DD5B04" w:rsidP="00DF76A2" w:rsidRDefault="00DD5B04" w14:paraId="4E5C1D62" w14:textId="45C3E55A">
      <w:pPr>
        <w:spacing w:line="276" w:lineRule="auto"/>
        <w:jc w:val="both"/>
        <w:rPr>
          <w:rFonts w:ascii="Arial" w:hAnsi="Arial" w:eastAsia="Calibri" w:cs="Arial"/>
          <w:noProof/>
          <w:color w:val="000000" w:themeColor="text1"/>
          <w:sz w:val="20"/>
          <w:lang w:val="es-ES_tradnl"/>
        </w:rPr>
      </w:pPr>
      <w:r w:rsidRPr="00404C61">
        <w:rPr>
          <w:rFonts w:ascii="Arial" w:hAnsi="Arial" w:cs="Arial"/>
          <w:noProof/>
          <w:color w:val="000000" w:themeColor="text1"/>
          <w:sz w:val="22"/>
          <w:lang w:val="es-ES_tradnl"/>
        </w:rPr>
        <w:lastRenderedPageBreak/>
        <w:t xml:space="preserve">Bogotá D.C., </w:t>
      </w:r>
      <w:r w:rsidR="00AC71C4">
        <w:rPr>
          <w:rFonts w:ascii="Arial" w:hAnsi="Arial" w:cs="Arial"/>
          <w:b/>
          <w:bCs/>
          <w:noProof/>
          <w:color w:val="000000" w:themeColor="text1"/>
          <w:sz w:val="22"/>
          <w:lang w:val="es-ES_tradnl"/>
        </w:rPr>
        <w:t>11/11/2020</w:t>
      </w:r>
    </w:p>
    <w:p w:rsidRPr="00404C61" w:rsidR="00DD5B04" w:rsidP="002A1A58" w:rsidRDefault="00DD5B04" w14:paraId="3EE008C6" w14:textId="71DE9723">
      <w:pPr>
        <w:spacing w:line="276" w:lineRule="auto"/>
        <w:jc w:val="right"/>
        <w:rPr>
          <w:rFonts w:ascii="Arial" w:hAnsi="Arial" w:cs="Arial"/>
          <w:b/>
          <w:noProof/>
          <w:color w:val="000000" w:themeColor="text1"/>
          <w:sz w:val="22"/>
          <w:lang w:val="es-ES_tradnl"/>
        </w:rPr>
      </w:pPr>
      <w:r w:rsidRPr="00404C61">
        <w:rPr>
          <w:rFonts w:ascii="Arial" w:hAnsi="Arial" w:cs="Arial"/>
          <w:b/>
          <w:noProof/>
          <w:color w:val="000000" w:themeColor="text1"/>
          <w:sz w:val="22"/>
          <w:lang w:val="es-ES_tradnl"/>
        </w:rPr>
        <w:t>N° Radicado:</w:t>
      </w:r>
      <w:r w:rsidR="00AC71C4">
        <w:rPr>
          <w:rFonts w:ascii="Arial" w:hAnsi="Arial" w:cs="Arial"/>
          <w:b/>
          <w:noProof/>
          <w:color w:val="000000" w:themeColor="text1"/>
          <w:sz w:val="22"/>
          <w:lang w:val="es-ES_tradnl"/>
        </w:rPr>
        <w:t xml:space="preserve"> </w:t>
      </w:r>
      <w:r w:rsidR="002C1822">
        <w:rPr>
          <w:rFonts w:ascii="Arial" w:hAnsi="Arial" w:cs="Arial"/>
          <w:b/>
          <w:noProof/>
          <w:color w:val="000000" w:themeColor="text1"/>
          <w:sz w:val="22"/>
          <w:lang w:val="es-ES_tradnl"/>
        </w:rPr>
        <w:t>2202013000011223</w:t>
      </w:r>
    </w:p>
    <w:p w:rsidRPr="00404C61" w:rsidR="00DD5B04" w:rsidP="00DF76A2" w:rsidRDefault="00DD5B04" w14:paraId="33BD7B68" w14:textId="77777777">
      <w:pPr>
        <w:jc w:val="both"/>
        <w:rPr>
          <w:rFonts w:ascii="Arial" w:hAnsi="Arial" w:cs="Arial"/>
          <w:b/>
          <w:color w:val="000000" w:themeColor="text1"/>
          <w:sz w:val="22"/>
          <w:lang w:val="es-ES_tradnl"/>
        </w:rPr>
      </w:pPr>
    </w:p>
    <w:p w:rsidRPr="00404C61" w:rsidR="00DD5B04" w:rsidP="00DF76A2" w:rsidRDefault="00DD5B04" w14:paraId="74A475A6" w14:textId="4C3332E7">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Señor</w:t>
      </w:r>
      <w:r w:rsidRPr="00404C61" w:rsidR="00D4043A">
        <w:rPr>
          <w:rFonts w:ascii="Arial" w:hAnsi="Arial" w:eastAsia="Calibri" w:cs="Arial"/>
          <w:color w:val="000000" w:themeColor="text1"/>
          <w:sz w:val="22"/>
          <w:lang w:val="es-ES_tradnl"/>
        </w:rPr>
        <w:t>a</w:t>
      </w:r>
    </w:p>
    <w:p w:rsidRPr="00404C61" w:rsidR="00AE1990" w:rsidP="00DF76A2" w:rsidRDefault="00F3399B" w14:paraId="6011130B" w14:textId="72C011B9">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Natalia Ramírez Muñoz</w:t>
      </w:r>
    </w:p>
    <w:p w:rsidRPr="00404C61" w:rsidR="00DD5B04" w:rsidP="00DF76A2" w:rsidRDefault="00DD5B04" w14:paraId="5E9E4CD6" w14:textId="4F1126FA">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Ciudad</w:t>
      </w:r>
    </w:p>
    <w:p w:rsidRPr="00404C61" w:rsidR="00DD5B04" w:rsidP="00DF76A2" w:rsidRDefault="00DD5B04" w14:paraId="79F69118" w14:textId="77777777">
      <w:pPr>
        <w:jc w:val="both"/>
        <w:rPr>
          <w:rFonts w:ascii="Arial" w:hAnsi="Arial" w:eastAsia="Calibri" w:cs="Arial"/>
          <w:color w:val="000000" w:themeColor="text1"/>
          <w:sz w:val="22"/>
          <w:lang w:val="es-ES_tradnl"/>
        </w:rPr>
      </w:pPr>
    </w:p>
    <w:p w:rsidRPr="00404C61" w:rsidR="00DD5B04" w:rsidP="00DF76A2" w:rsidRDefault="00DD5B04" w14:paraId="03294061" w14:textId="77777777">
      <w:pPr>
        <w:jc w:val="both"/>
        <w:rPr>
          <w:rFonts w:ascii="Arial" w:hAnsi="Arial" w:eastAsia="Calibri" w:cs="Arial"/>
          <w:color w:val="000000" w:themeColor="text1"/>
          <w:sz w:val="22"/>
          <w:lang w:val="es-ES_tradnl"/>
        </w:rPr>
      </w:pPr>
    </w:p>
    <w:p w:rsidRPr="00404C61" w:rsidR="00DD5B04" w:rsidP="002A1A58" w:rsidRDefault="00DD5B04" w14:paraId="60978A0D" w14:textId="71B50171">
      <w:pPr>
        <w:jc w:val="center"/>
        <w:rPr>
          <w:rFonts w:ascii="Arial" w:hAnsi="Arial" w:eastAsia="Calibri" w:cs="Arial"/>
          <w:b/>
          <w:bCs/>
          <w:color w:val="000000" w:themeColor="text1"/>
          <w:sz w:val="22"/>
          <w:lang w:val="es-ES_tradnl"/>
        </w:rPr>
      </w:pPr>
      <w:r w:rsidRPr="005E273D">
        <w:rPr>
          <w:rFonts w:ascii="Arial" w:hAnsi="Arial" w:eastAsia="Calibri" w:cs="Arial"/>
          <w:b/>
          <w:bCs/>
          <w:color w:val="000000" w:themeColor="text1"/>
          <w:sz w:val="22"/>
          <w:lang w:val="es-ES_tradnl"/>
        </w:rPr>
        <w:t>Concepto C</w:t>
      </w:r>
      <w:r w:rsidRPr="005E273D" w:rsidR="00FE144E">
        <w:rPr>
          <w:rFonts w:ascii="Arial" w:hAnsi="Arial" w:eastAsia="Calibri" w:cs="Arial"/>
          <w:b/>
          <w:bCs/>
          <w:color w:val="000000" w:themeColor="text1"/>
          <w:sz w:val="22"/>
          <w:lang w:val="es-ES_tradnl"/>
        </w:rPr>
        <w:t xml:space="preserve"> </w:t>
      </w:r>
      <w:r w:rsidRPr="005E273D">
        <w:rPr>
          <w:rFonts w:ascii="Arial" w:hAnsi="Arial" w:eastAsia="Calibri" w:cs="Arial"/>
          <w:b/>
          <w:bCs/>
          <w:color w:val="000000" w:themeColor="text1"/>
          <w:sz w:val="22"/>
          <w:lang w:val="es-ES_tradnl"/>
        </w:rPr>
        <w:t xml:space="preserve">‒ </w:t>
      </w:r>
      <w:r w:rsidRPr="005E273D" w:rsidR="00AC484F">
        <w:rPr>
          <w:rFonts w:ascii="Arial" w:hAnsi="Arial" w:eastAsia="Calibri" w:cs="Arial"/>
          <w:b/>
          <w:bCs/>
          <w:color w:val="000000" w:themeColor="text1"/>
          <w:sz w:val="22"/>
          <w:lang w:val="es-ES_tradnl"/>
        </w:rPr>
        <w:t>6</w:t>
      </w:r>
      <w:r w:rsidRPr="005E273D" w:rsidR="00402EEB">
        <w:rPr>
          <w:rFonts w:ascii="Arial" w:hAnsi="Arial" w:eastAsia="Calibri" w:cs="Arial"/>
          <w:b/>
          <w:bCs/>
          <w:color w:val="000000" w:themeColor="text1"/>
          <w:sz w:val="22"/>
          <w:lang w:val="es-ES_tradnl"/>
        </w:rPr>
        <w:t>72</w:t>
      </w:r>
      <w:r w:rsidRPr="005E273D" w:rsidR="00B52697">
        <w:rPr>
          <w:rFonts w:ascii="Arial" w:hAnsi="Arial" w:eastAsia="Calibri" w:cs="Arial"/>
          <w:b/>
          <w:bCs/>
          <w:color w:val="000000" w:themeColor="text1"/>
          <w:sz w:val="22"/>
          <w:lang w:val="es-ES_tradnl"/>
        </w:rPr>
        <w:t xml:space="preserve"> </w:t>
      </w:r>
      <w:r w:rsidRPr="005E273D">
        <w:rPr>
          <w:rFonts w:ascii="Arial" w:hAnsi="Arial" w:eastAsia="Calibri" w:cs="Arial"/>
          <w:b/>
          <w:bCs/>
          <w:color w:val="000000" w:themeColor="text1"/>
          <w:sz w:val="22"/>
          <w:lang w:val="es-ES_tradnl"/>
        </w:rPr>
        <w:t>de 2020</w:t>
      </w:r>
    </w:p>
    <w:p w:rsidRPr="00404C61" w:rsidR="00DD5B04" w:rsidP="00DF76A2" w:rsidRDefault="00DD5B04" w14:paraId="3097F323" w14:textId="3A1E6C73">
      <w:pPr>
        <w:jc w:val="both"/>
        <w:rPr>
          <w:rFonts w:ascii="Arial" w:hAnsi="Arial" w:eastAsia="Calibri" w:cs="Arial"/>
          <w:color w:val="000000" w:themeColor="text1"/>
          <w:sz w:val="22"/>
          <w:lang w:val="es-ES_tradnl"/>
        </w:rPr>
      </w:pPr>
    </w:p>
    <w:p w:rsidRPr="00404C61" w:rsidR="00F02D25" w:rsidP="00DF76A2" w:rsidRDefault="00F02D25" w14:paraId="3C334747" w14:textId="77777777">
      <w:pPr>
        <w:jc w:val="both"/>
        <w:rPr>
          <w:rFonts w:ascii="Arial" w:hAnsi="Arial" w:eastAsia="Calibri" w:cs="Arial"/>
          <w:color w:val="000000" w:themeColor="text1"/>
          <w:sz w:val="22"/>
          <w:lang w:val="es-ES_tradnl"/>
        </w:rPr>
      </w:pPr>
    </w:p>
    <w:p w:rsidRPr="00404C61" w:rsidR="00DD5B04" w:rsidP="00DF76A2" w:rsidRDefault="00DD5B04" w14:paraId="50574B1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04C61" w:rsidR="00DD5B04" w:rsidTr="00083F1B" w14:paraId="10318206" w14:textId="77777777">
        <w:tc>
          <w:tcPr>
            <w:tcW w:w="2689" w:type="dxa"/>
          </w:tcPr>
          <w:p w:rsidRPr="00404C61" w:rsidR="00DD5B04" w:rsidP="00DF76A2" w:rsidRDefault="00DD5B04" w14:paraId="3FE8DF90" w14:textId="77777777">
            <w:pPr>
              <w:jc w:val="both"/>
              <w:rPr>
                <w:rFonts w:ascii="Arial" w:hAnsi="Arial" w:eastAsia="Calibri" w:cs="Arial"/>
                <w:color w:val="000000" w:themeColor="text1"/>
                <w:sz w:val="22"/>
                <w:lang w:val="es-ES_tradnl"/>
              </w:rPr>
            </w:pPr>
            <w:r w:rsidRPr="00404C61">
              <w:rPr>
                <w:rFonts w:ascii="Arial" w:hAnsi="Arial" w:eastAsia="Calibri" w:cs="Arial"/>
                <w:b/>
                <w:color w:val="000000" w:themeColor="text1"/>
                <w:sz w:val="22"/>
                <w:lang w:val="es-ES_tradnl"/>
              </w:rPr>
              <w:t>Temas:</w:t>
            </w:r>
            <w:r w:rsidRPr="00404C61">
              <w:rPr>
                <w:rFonts w:ascii="Arial" w:hAnsi="Arial" w:eastAsia="Calibri" w:cs="Arial"/>
                <w:color w:val="000000" w:themeColor="text1"/>
                <w:sz w:val="22"/>
                <w:lang w:val="es-ES_tradnl"/>
              </w:rPr>
              <w:t xml:space="preserve">                                      </w:t>
            </w:r>
          </w:p>
        </w:tc>
        <w:tc>
          <w:tcPr>
            <w:tcW w:w="6237" w:type="dxa"/>
          </w:tcPr>
          <w:p w:rsidRPr="00404C61" w:rsidR="00DD5B04" w:rsidP="00DF76A2" w:rsidRDefault="009F7263" w14:paraId="63D57D37" w14:textId="101C63E2">
            <w:pPr>
              <w:jc w:val="both"/>
              <w:rPr>
                <w:rFonts w:ascii="Arial" w:hAnsi="Arial" w:eastAsia="Calibri" w:cs="Arial"/>
                <w:color w:val="000000" w:themeColor="text1"/>
                <w:sz w:val="22"/>
                <w:lang w:val="es-ES_tradnl"/>
              </w:rPr>
            </w:pPr>
            <w:r w:rsidRPr="009F7263">
              <w:rPr>
                <w:rFonts w:ascii="Arial" w:hAnsi="Arial" w:eastAsia="Arial" w:cs="Arial"/>
                <w:sz w:val="22"/>
                <w:lang w:val="es-ES_tradnl"/>
              </w:rPr>
              <w:t xml:space="preserve">ACCESO A DOCUMENTACIÓN PÚBLICA – Derecho fundamental – Transparencia – Información contractual </w:t>
            </w:r>
            <w:r w:rsidRPr="00404C61" w:rsidR="000F1450">
              <w:rPr>
                <w:rFonts w:ascii="Arial" w:hAnsi="Arial" w:eastAsia="Arial" w:cs="Arial"/>
                <w:sz w:val="22"/>
                <w:lang w:val="es-ES_tradnl"/>
              </w:rPr>
              <w:t>/</w:t>
            </w:r>
            <w:r>
              <w:rPr>
                <w:rFonts w:ascii="Arial" w:hAnsi="Arial" w:eastAsia="Arial" w:cs="Arial"/>
                <w:sz w:val="22"/>
                <w:lang w:val="es-ES_tradnl"/>
              </w:rPr>
              <w:t xml:space="preserve"> </w:t>
            </w:r>
            <w:r w:rsidRPr="009F7263">
              <w:rPr>
                <w:rFonts w:ascii="Arial" w:hAnsi="Arial" w:eastAsia="Arial" w:cs="Arial"/>
                <w:sz w:val="22"/>
                <w:lang w:val="es-ES_tradnl"/>
              </w:rPr>
              <w:t>SECOP – Deber de publicación – Información contractual</w:t>
            </w:r>
            <w:r>
              <w:rPr>
                <w:rFonts w:ascii="Arial" w:hAnsi="Arial" w:eastAsia="Arial" w:cs="Arial"/>
                <w:sz w:val="22"/>
                <w:lang w:val="es-ES_tradnl"/>
              </w:rPr>
              <w:t xml:space="preserve"> / </w:t>
            </w:r>
            <w:r w:rsidRPr="009F7263">
              <w:rPr>
                <w:rFonts w:ascii="Arial" w:hAnsi="Arial" w:eastAsia="Arial" w:cs="Arial"/>
                <w:sz w:val="22"/>
                <w:lang w:val="es-ES_tradnl"/>
              </w:rPr>
              <w:t>DATOS SENSIBLES – Reserva – Excepción – SECOP</w:t>
            </w:r>
            <w:r w:rsidRPr="00404C61" w:rsidR="00DE7108">
              <w:rPr>
                <w:rFonts w:ascii="Arial" w:hAnsi="Arial" w:eastAsia="Arial" w:cs="Arial"/>
                <w:sz w:val="22"/>
                <w:lang w:val="es-ES_tradnl"/>
              </w:rPr>
              <w:t>.</w:t>
            </w:r>
          </w:p>
        </w:tc>
      </w:tr>
      <w:tr w:rsidRPr="00404C61" w:rsidR="00DD5B04" w:rsidTr="00083F1B" w14:paraId="60E06E0C" w14:textId="77777777">
        <w:tc>
          <w:tcPr>
            <w:tcW w:w="2689" w:type="dxa"/>
          </w:tcPr>
          <w:p w:rsidRPr="00404C61" w:rsidR="00DD5B04" w:rsidP="00DF76A2" w:rsidRDefault="00DD5B04" w14:paraId="5655C7E4" w14:textId="77777777">
            <w:pPr>
              <w:spacing w:before="12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Radicación:</w:t>
            </w:r>
            <w:r w:rsidRPr="00404C61">
              <w:rPr>
                <w:rFonts w:ascii="Arial" w:hAnsi="Arial" w:eastAsia="Calibri" w:cs="Arial"/>
                <w:color w:val="000000" w:themeColor="text1"/>
                <w:sz w:val="22"/>
                <w:lang w:val="es-ES_tradnl"/>
              </w:rPr>
              <w:t xml:space="preserve">                              </w:t>
            </w:r>
          </w:p>
        </w:tc>
        <w:tc>
          <w:tcPr>
            <w:tcW w:w="6237" w:type="dxa"/>
          </w:tcPr>
          <w:p w:rsidRPr="00404C61" w:rsidR="00DD5B04" w:rsidP="00DF76A2" w:rsidRDefault="00DD5B04" w14:paraId="33E25A02" w14:textId="2B446FA8">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Respuesta</w:t>
            </w:r>
            <w:r w:rsidRPr="00404C61" w:rsidR="008100F7">
              <w:rPr>
                <w:rFonts w:ascii="Arial" w:hAnsi="Arial" w:eastAsia="Calibri" w:cs="Arial"/>
                <w:color w:val="000000" w:themeColor="text1"/>
                <w:sz w:val="22"/>
                <w:lang w:val="es-ES_tradnl"/>
              </w:rPr>
              <w:t xml:space="preserve"> </w:t>
            </w:r>
            <w:r w:rsidRPr="00404C61" w:rsidR="00CA5812">
              <w:rPr>
                <w:rFonts w:ascii="Arial" w:hAnsi="Arial" w:eastAsia="Calibri" w:cs="Arial"/>
                <w:color w:val="000000" w:themeColor="text1"/>
                <w:sz w:val="22"/>
                <w:lang w:val="es-ES_tradnl"/>
              </w:rPr>
              <w:t xml:space="preserve">a </w:t>
            </w:r>
            <w:r w:rsidRPr="00404C61">
              <w:rPr>
                <w:rFonts w:ascii="Arial" w:hAnsi="Arial" w:eastAsia="Calibri" w:cs="Arial"/>
                <w:color w:val="000000" w:themeColor="text1"/>
                <w:sz w:val="22"/>
                <w:lang w:val="es-ES_tradnl"/>
              </w:rPr>
              <w:t>consulta</w:t>
            </w:r>
            <w:r w:rsidRPr="00404C61" w:rsidR="008022C9">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 xml:space="preserve"># </w:t>
            </w:r>
            <w:r w:rsidRPr="00C052C6" w:rsidR="00C052C6">
              <w:rPr>
                <w:rFonts w:ascii="Arial" w:hAnsi="Arial" w:eastAsia="Calibri" w:cs="Arial"/>
                <w:color w:val="000000" w:themeColor="text1"/>
                <w:sz w:val="22"/>
                <w:lang w:val="es-ES_tradnl"/>
              </w:rPr>
              <w:t>4202013000008897</w:t>
            </w:r>
          </w:p>
          <w:p w:rsidRPr="00404C61" w:rsidR="00DD5B04" w:rsidP="00DF76A2" w:rsidRDefault="00DD5B04" w14:paraId="0DA3D2F3" w14:textId="77777777">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 </w:t>
            </w:r>
          </w:p>
        </w:tc>
      </w:tr>
    </w:tbl>
    <w:p w:rsidRPr="00404C61" w:rsidR="005305E5" w:rsidP="00DF76A2" w:rsidRDefault="005305E5" w14:paraId="3D1F1089" w14:textId="77777777">
      <w:pPr>
        <w:jc w:val="both"/>
        <w:rPr>
          <w:rFonts w:ascii="Arial" w:hAnsi="Arial" w:eastAsia="Calibri" w:cs="Arial"/>
          <w:color w:val="000000" w:themeColor="text1"/>
          <w:sz w:val="22"/>
          <w:lang w:val="es-ES_tradnl"/>
        </w:rPr>
      </w:pPr>
    </w:p>
    <w:p w:rsidRPr="00404C61" w:rsidR="00DD5B04" w:rsidP="00DF76A2" w:rsidRDefault="00DD5B04" w14:paraId="30BB5B67" w14:textId="12857DB4">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Estimad</w:t>
      </w:r>
      <w:r w:rsidRPr="00404C61" w:rsidR="009625C6">
        <w:rPr>
          <w:rFonts w:ascii="Arial" w:hAnsi="Arial" w:eastAsia="Calibri" w:cs="Arial"/>
          <w:color w:val="000000" w:themeColor="text1"/>
          <w:sz w:val="22"/>
          <w:lang w:val="es-ES_tradnl"/>
        </w:rPr>
        <w:t>a</w:t>
      </w:r>
      <w:r w:rsidRPr="00404C61">
        <w:rPr>
          <w:rFonts w:ascii="Arial" w:hAnsi="Arial" w:eastAsia="Calibri" w:cs="Arial"/>
          <w:color w:val="000000" w:themeColor="text1"/>
          <w:sz w:val="22"/>
          <w:lang w:val="es-ES_tradnl"/>
        </w:rPr>
        <w:t xml:space="preserve"> señor</w:t>
      </w:r>
      <w:r w:rsidRPr="00404C61" w:rsidR="009625C6">
        <w:rPr>
          <w:rFonts w:ascii="Arial" w:hAnsi="Arial" w:eastAsia="Calibri" w:cs="Arial"/>
          <w:color w:val="000000" w:themeColor="text1"/>
          <w:sz w:val="22"/>
          <w:lang w:val="es-ES_tradnl"/>
        </w:rPr>
        <w:t>a</w:t>
      </w:r>
      <w:r w:rsidRPr="00404C61">
        <w:rPr>
          <w:rFonts w:ascii="Arial" w:hAnsi="Arial" w:eastAsia="Calibri" w:cs="Arial"/>
          <w:color w:val="000000" w:themeColor="text1"/>
          <w:sz w:val="22"/>
          <w:lang w:val="es-ES_tradnl"/>
        </w:rPr>
        <w:t xml:space="preserve"> </w:t>
      </w:r>
      <w:r w:rsidR="00F3399B">
        <w:rPr>
          <w:rFonts w:ascii="Arial" w:hAnsi="Arial" w:eastAsia="Calibri" w:cs="Arial"/>
          <w:color w:val="000000" w:themeColor="text1"/>
          <w:sz w:val="22"/>
          <w:lang w:val="es-ES_tradnl"/>
        </w:rPr>
        <w:t>Ramírez</w:t>
      </w:r>
      <w:r w:rsidRPr="00404C61">
        <w:rPr>
          <w:rFonts w:ascii="Arial" w:hAnsi="Arial" w:eastAsia="Calibri" w:cs="Arial"/>
          <w:color w:val="000000" w:themeColor="text1"/>
          <w:sz w:val="22"/>
          <w:lang w:val="es-ES_tradnl"/>
        </w:rPr>
        <w:t>:</w:t>
      </w:r>
    </w:p>
    <w:p w:rsidRPr="00404C61" w:rsidR="00DD5B04" w:rsidP="00DF76A2" w:rsidRDefault="00DD5B04" w14:paraId="1EAE5543" w14:textId="77777777">
      <w:pPr>
        <w:jc w:val="both"/>
        <w:rPr>
          <w:rFonts w:ascii="Arial" w:hAnsi="Arial" w:eastAsia="Calibri" w:cs="Arial"/>
          <w:color w:val="000000" w:themeColor="text1"/>
          <w:sz w:val="22"/>
          <w:lang w:val="es-ES_tradnl"/>
        </w:rPr>
      </w:pPr>
    </w:p>
    <w:p w:rsidRPr="00404C61" w:rsidR="00DD5B04" w:rsidP="00DF76A2" w:rsidRDefault="00DD5B04" w14:paraId="2109B2D3" w14:textId="04D2DAAF">
      <w:pPr>
        <w:spacing w:line="276" w:lineRule="auto"/>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23102">
        <w:rPr>
          <w:rFonts w:ascii="Arial" w:hAnsi="Arial" w:eastAsia="Calibri" w:cs="Arial"/>
          <w:color w:val="000000" w:themeColor="text1"/>
          <w:sz w:val="22"/>
          <w:lang w:val="es-ES_tradnl"/>
        </w:rPr>
        <w:t>6</w:t>
      </w:r>
      <w:r w:rsidRPr="00404C61" w:rsidR="00FD4AF3">
        <w:rPr>
          <w:rFonts w:ascii="Arial" w:hAnsi="Arial" w:eastAsia="Calibri" w:cs="Arial"/>
          <w:color w:val="000000" w:themeColor="text1"/>
          <w:sz w:val="22"/>
          <w:lang w:val="es-ES_tradnl"/>
        </w:rPr>
        <w:t xml:space="preserve"> de </w:t>
      </w:r>
      <w:r w:rsidRPr="00404C61" w:rsidR="007A0EAB">
        <w:rPr>
          <w:rFonts w:ascii="Arial" w:hAnsi="Arial" w:eastAsia="Calibri" w:cs="Arial"/>
          <w:color w:val="000000" w:themeColor="text1"/>
          <w:sz w:val="22"/>
          <w:lang w:val="es-ES_tradnl"/>
        </w:rPr>
        <w:t>octubre</w:t>
      </w:r>
      <w:r w:rsidRPr="00404C61">
        <w:rPr>
          <w:rFonts w:ascii="Arial" w:hAnsi="Arial" w:eastAsia="Calibri" w:cs="Arial"/>
          <w:color w:val="000000" w:themeColor="text1"/>
          <w:sz w:val="22"/>
          <w:lang w:val="es-ES_tradnl"/>
        </w:rPr>
        <w:t xml:space="preserve"> del</w:t>
      </w:r>
      <w:r w:rsidRPr="00404C61" w:rsidR="007E74BF">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2020</w:t>
      </w:r>
      <w:r w:rsidRPr="00404C61" w:rsidR="00FD4AF3">
        <w:rPr>
          <w:rFonts w:ascii="Arial" w:hAnsi="Arial" w:eastAsia="Calibri" w:cs="Arial"/>
          <w:color w:val="000000" w:themeColor="text1"/>
          <w:sz w:val="22"/>
          <w:lang w:val="es-ES_tradnl"/>
        </w:rPr>
        <w:t>.</w:t>
      </w:r>
    </w:p>
    <w:p w:rsidRPr="00404C61"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404C61"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 xml:space="preserve">Problema planteado </w:t>
      </w:r>
    </w:p>
    <w:p w:rsidRPr="00404C61"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404C61" w:rsidR="00443B55" w:rsidP="0099583D" w:rsidRDefault="00DD5B04" w14:paraId="3C575DE9" w14:textId="48F61693">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Pr="00404C61" w:rsidR="00B422C0">
        <w:rPr>
          <w:rFonts w:ascii="Arial" w:hAnsi="Arial" w:cs="Arial"/>
          <w:color w:val="000000" w:themeColor="text1"/>
          <w:sz w:val="22"/>
          <w:lang w:val="es-ES_tradnl"/>
        </w:rPr>
        <w:t>formula</w:t>
      </w:r>
      <w:r w:rsidRPr="00404C61" w:rsidR="006D46A3">
        <w:rPr>
          <w:rFonts w:ascii="Arial" w:hAnsi="Arial" w:cs="Arial"/>
          <w:color w:val="000000" w:themeColor="text1"/>
          <w:sz w:val="22"/>
          <w:lang w:val="es-ES_tradnl"/>
        </w:rPr>
        <w:t xml:space="preserve"> la</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siguiente</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pregunta</w:t>
      </w:r>
      <w:r w:rsidRPr="00404C61" w:rsidR="00443B55">
        <w:rPr>
          <w:rFonts w:ascii="Arial" w:hAnsi="Arial" w:cs="Arial"/>
          <w:color w:val="000000" w:themeColor="text1"/>
          <w:sz w:val="22"/>
          <w:lang w:val="es-ES_tradnl"/>
        </w:rPr>
        <w:t>s</w:t>
      </w:r>
      <w:r w:rsidRPr="00404C61" w:rsidR="00B422C0">
        <w:rPr>
          <w:rFonts w:ascii="Arial" w:hAnsi="Arial" w:cs="Arial"/>
          <w:color w:val="000000" w:themeColor="text1"/>
          <w:sz w:val="22"/>
          <w:lang w:val="es-ES_tradnl"/>
        </w:rPr>
        <w:t>:</w:t>
      </w:r>
      <w:r w:rsidRPr="00404C61" w:rsidR="007E18DF">
        <w:rPr>
          <w:rFonts w:ascii="Arial" w:hAnsi="Arial" w:cs="Arial"/>
          <w:color w:val="000000" w:themeColor="text1"/>
          <w:sz w:val="22"/>
          <w:lang w:val="es-ES_tradnl"/>
        </w:rPr>
        <w:t xml:space="preserve"> </w:t>
      </w:r>
    </w:p>
    <w:p w:rsidRPr="00404C61" w:rsidR="00443B55" w:rsidP="0099583D" w:rsidRDefault="00443B55" w14:paraId="559EE20C" w14:textId="77777777">
      <w:pPr>
        <w:spacing w:line="276" w:lineRule="auto"/>
        <w:jc w:val="both"/>
        <w:rPr>
          <w:rFonts w:ascii="Arial" w:hAnsi="Arial" w:cs="Arial"/>
          <w:color w:val="000000" w:themeColor="text1"/>
          <w:sz w:val="22"/>
          <w:lang w:val="es-ES_tradnl"/>
        </w:rPr>
      </w:pPr>
    </w:p>
    <w:p w:rsidRPr="00404C61" w:rsidR="008D1A2A" w:rsidP="001D068D" w:rsidRDefault="00443B55" w14:paraId="7E8B8948" w14:textId="41A1CB8F">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w:t>
      </w:r>
      <w:r w:rsidRPr="001D068D" w:rsidR="001D068D">
        <w:rPr>
          <w:rFonts w:ascii="Arial" w:hAnsi="Arial" w:cs="Arial"/>
          <w:color w:val="000000" w:themeColor="text1"/>
          <w:sz w:val="21"/>
          <w:szCs w:val="21"/>
          <w:lang w:val="es-ES_tradnl"/>
        </w:rPr>
        <w:t xml:space="preserve">En virtud de dar cumplimiento a la ley 1581 de 2012 y sus complementarios, y en general al derecho de Habeas Data, y a su vez de cumplir con el principio de publicidad de la información proveniente de la ejecución de procesos contractuales, se solicita concepto por parte de CCE con respecto a cuales serían puntualmente los datos y/o documentos sensibles que no deben ser publicados en el SECOP cómo parte del expediente contractual para su protección; esto, entendiendo que durante la ejecución de los contratos, se aportan documentos como certificaciones bancarias, rut, rit, cédulas, certificaciones médicas, material que involucra a niños, niñas y adolescentes, entre otra infinidad de casos que contienen información personal e íntima de las personas (direcciones, teléfonos, información de familiares incluso...). ¿Hasta qué punto la entidad para cumplir con el principio de publicidad debería publicar esta información sensible? ¿Cómo puede identificarse correctamente cual es la información susceptible de protección? ¿Cuál es el manejo que se le debería dar a la información catalogada como sensible resultante de la gestión contractual </w:t>
      </w:r>
      <w:r w:rsidRPr="001D068D" w:rsidR="001D068D">
        <w:rPr>
          <w:rFonts w:ascii="Arial" w:hAnsi="Arial" w:cs="Arial"/>
          <w:color w:val="000000" w:themeColor="text1"/>
          <w:sz w:val="21"/>
          <w:szCs w:val="21"/>
          <w:lang w:val="es-ES_tradnl"/>
        </w:rPr>
        <w:lastRenderedPageBreak/>
        <w:t>de la entidad? De ser necesario que esta se cargue al expediente electrónico ¿Cuál es la forma correcta de hacerlo en SECOP I y SECOP II ?</w:t>
      </w:r>
      <w:r w:rsidRPr="00404C61" w:rsidR="00F23759">
        <w:rPr>
          <w:rFonts w:ascii="Arial" w:hAnsi="Arial" w:cs="Arial"/>
          <w:color w:val="000000" w:themeColor="text1"/>
          <w:sz w:val="21"/>
          <w:szCs w:val="21"/>
          <w:lang w:val="es-ES_tradnl"/>
        </w:rPr>
        <w:t>»</w:t>
      </w:r>
      <w:r w:rsidRPr="00404C61" w:rsidR="00D32A27">
        <w:rPr>
          <w:rFonts w:ascii="Arial" w:hAnsi="Arial" w:cs="Arial"/>
          <w:color w:val="000000" w:themeColor="text1"/>
          <w:sz w:val="21"/>
          <w:szCs w:val="21"/>
          <w:lang w:val="es-ES_tradnl"/>
        </w:rPr>
        <w:t>.</w:t>
      </w:r>
    </w:p>
    <w:p w:rsidRPr="00404C61" w:rsidR="00CF24FE" w:rsidP="006A457D" w:rsidRDefault="00CF24FE" w14:paraId="5354A87B" w14:textId="77777777">
      <w:pPr>
        <w:spacing w:line="276" w:lineRule="auto"/>
        <w:jc w:val="both"/>
        <w:rPr>
          <w:rFonts w:ascii="Arial" w:hAnsi="Arial" w:cs="Arial"/>
          <w:color w:val="000000" w:themeColor="text1"/>
          <w:sz w:val="22"/>
          <w:lang w:val="es-ES_tradnl"/>
        </w:rPr>
      </w:pPr>
    </w:p>
    <w:p w:rsidRPr="00404C61"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Consideraciones</w:t>
      </w:r>
    </w:p>
    <w:p w:rsidRPr="00404C61" w:rsidR="00DD5B04" w:rsidP="00DF76A2" w:rsidRDefault="00DD5B04" w14:paraId="35E25E39" w14:textId="28CA4E22">
      <w:pPr>
        <w:spacing w:line="276" w:lineRule="auto"/>
        <w:jc w:val="both"/>
        <w:rPr>
          <w:rFonts w:ascii="Arial" w:hAnsi="Arial" w:eastAsia="Calibri" w:cs="Arial"/>
          <w:color w:val="000000" w:themeColor="text1"/>
          <w:sz w:val="20"/>
          <w:szCs w:val="20"/>
          <w:lang w:val="es-ES_tradnl"/>
        </w:rPr>
      </w:pPr>
    </w:p>
    <w:p w:rsidRPr="00404C61" w:rsidR="005C529E" w:rsidP="00477C5F" w:rsidRDefault="005C529E" w14:paraId="20753499" w14:textId="7C5AB82E">
      <w:pPr>
        <w:tabs>
          <w:tab w:val="left" w:pos="426"/>
        </w:tabs>
        <w:spacing w:line="276" w:lineRule="auto"/>
        <w:jc w:val="both"/>
        <w:rPr>
          <w:rFonts w:ascii="Arial" w:hAnsi="Arial" w:eastAsia="Calibri" w:cs="Arial"/>
          <w:color w:val="000000"/>
          <w:sz w:val="22"/>
          <w:lang w:val="es-ES_tradnl" w:eastAsia="en-GB"/>
        </w:rPr>
      </w:pPr>
      <w:r w:rsidRPr="00404C61">
        <w:rPr>
          <w:rFonts w:ascii="Arial" w:hAnsi="Arial" w:eastAsia="Calibri" w:cs="Arial"/>
          <w:color w:val="000000"/>
          <w:sz w:val="22"/>
          <w:lang w:val="es-ES_tradnl" w:eastAsia="en-GB"/>
        </w:rPr>
        <w:t xml:space="preserve">Para abordar </w:t>
      </w:r>
      <w:r w:rsidR="00866495">
        <w:rPr>
          <w:rFonts w:ascii="Arial" w:hAnsi="Arial" w:eastAsia="Calibri" w:cs="Arial"/>
          <w:color w:val="000000"/>
          <w:sz w:val="22"/>
          <w:lang w:val="es-ES_tradnl" w:eastAsia="en-GB"/>
        </w:rPr>
        <w:t>los</w:t>
      </w:r>
      <w:r w:rsidRPr="00404C61">
        <w:rPr>
          <w:rFonts w:ascii="Arial" w:hAnsi="Arial" w:eastAsia="Calibri" w:cs="Arial"/>
          <w:color w:val="000000"/>
          <w:sz w:val="22"/>
          <w:lang w:val="es-ES_tradnl" w:eastAsia="en-GB"/>
        </w:rPr>
        <w:t xml:space="preserve"> interrogante</w:t>
      </w:r>
      <w:r w:rsidR="00866495">
        <w:rPr>
          <w:rFonts w:ascii="Arial" w:hAnsi="Arial" w:eastAsia="Calibri" w:cs="Arial"/>
          <w:color w:val="000000"/>
          <w:sz w:val="22"/>
          <w:lang w:val="es-ES_tradnl" w:eastAsia="en-GB"/>
        </w:rPr>
        <w:t>s</w:t>
      </w:r>
      <w:r w:rsidRPr="00404C61">
        <w:rPr>
          <w:rFonts w:ascii="Arial" w:hAnsi="Arial" w:eastAsia="Calibri" w:cs="Arial"/>
          <w:color w:val="000000"/>
          <w:sz w:val="22"/>
          <w:lang w:val="es-ES_tradnl" w:eastAsia="en-GB"/>
        </w:rPr>
        <w:t xml:space="preserve"> planteado</w:t>
      </w:r>
      <w:r w:rsidR="00866495">
        <w:rPr>
          <w:rFonts w:ascii="Arial" w:hAnsi="Arial" w:eastAsia="Calibri" w:cs="Arial"/>
          <w:color w:val="000000"/>
          <w:sz w:val="22"/>
          <w:lang w:val="es-ES_tradnl" w:eastAsia="en-GB"/>
        </w:rPr>
        <w:t>s</w:t>
      </w:r>
      <w:r w:rsidRPr="00404C61">
        <w:rPr>
          <w:rFonts w:ascii="Arial" w:hAnsi="Arial" w:eastAsia="Calibri" w:cs="Arial"/>
          <w:color w:val="000000"/>
          <w:sz w:val="22"/>
          <w:lang w:val="es-ES_tradnl" w:eastAsia="en-GB"/>
        </w:rPr>
        <w:t xml:space="preserve"> se analizarán los siguientes temas: i) </w:t>
      </w:r>
      <w:r w:rsidR="00B32DC0">
        <w:rPr>
          <w:rFonts w:ascii="Arial" w:hAnsi="Arial" w:eastAsia="Calibri" w:cs="Arial"/>
          <w:color w:val="000000"/>
          <w:sz w:val="22"/>
          <w:lang w:val="es-ES_tradnl" w:eastAsia="en-GB"/>
        </w:rPr>
        <w:t xml:space="preserve">el deber de publicar la información contractual en el SECOP, como </w:t>
      </w:r>
      <w:r w:rsidR="00805DE3">
        <w:rPr>
          <w:rFonts w:ascii="Arial" w:hAnsi="Arial" w:eastAsia="Calibri" w:cs="Arial"/>
          <w:color w:val="000000"/>
          <w:sz w:val="22"/>
          <w:lang w:val="es-ES_tradnl" w:eastAsia="en-GB"/>
        </w:rPr>
        <w:t>garantía del derecho fundamental a acceder a la documentación pública</w:t>
      </w:r>
      <w:r w:rsidRPr="00404C61" w:rsidR="0089606D">
        <w:rPr>
          <w:rFonts w:ascii="Arial" w:hAnsi="Arial" w:eastAsia="Calibri" w:cs="Arial"/>
          <w:color w:val="000000"/>
          <w:sz w:val="22"/>
          <w:lang w:val="es-ES_tradnl" w:eastAsia="en-GB"/>
        </w:rPr>
        <w:t xml:space="preserve"> y ii)</w:t>
      </w:r>
      <w:r w:rsidR="00866495">
        <w:rPr>
          <w:rFonts w:ascii="Arial" w:hAnsi="Arial" w:eastAsia="Calibri" w:cs="Arial"/>
          <w:color w:val="000000"/>
          <w:sz w:val="22"/>
          <w:lang w:val="es-ES_tradnl" w:eastAsia="en-GB"/>
        </w:rPr>
        <w:t xml:space="preserve"> </w:t>
      </w:r>
      <w:r w:rsidR="00805DE3">
        <w:rPr>
          <w:rFonts w:ascii="Arial" w:hAnsi="Arial" w:eastAsia="Calibri" w:cs="Arial"/>
          <w:color w:val="000000"/>
          <w:sz w:val="22"/>
          <w:lang w:val="es-ES_tradnl" w:eastAsia="en-GB"/>
        </w:rPr>
        <w:t>l</w:t>
      </w:r>
      <w:r w:rsidR="00D11DB3">
        <w:rPr>
          <w:rFonts w:ascii="Arial" w:hAnsi="Arial" w:eastAsia="Calibri" w:cs="Arial"/>
          <w:color w:val="000000"/>
          <w:sz w:val="22"/>
          <w:lang w:val="es-ES_tradnl" w:eastAsia="en-GB"/>
        </w:rPr>
        <w:t>os datos sensibles como límites al deber de publicar dicha información.</w:t>
      </w:r>
    </w:p>
    <w:p w:rsidRPr="005E0D7B" w:rsidR="005E0D7B" w:rsidP="005E0D7B" w:rsidRDefault="009D6410" w14:paraId="0D3448C3" w14:textId="292E715A">
      <w:pPr>
        <w:tabs>
          <w:tab w:val="left" w:pos="426"/>
        </w:tabs>
        <w:spacing w:before="120" w:line="276" w:lineRule="auto"/>
        <w:ind w:firstLine="709"/>
        <w:jc w:val="both"/>
        <w:rPr>
          <w:rFonts w:ascii="Arial" w:hAnsi="Arial" w:eastAsia="Calibri" w:cs="Arial"/>
          <w:sz w:val="22"/>
          <w:lang w:val="es-ES"/>
        </w:rPr>
      </w:pPr>
      <w:r w:rsidRPr="00217435">
        <w:rPr>
          <w:rFonts w:ascii="Arial" w:hAnsi="Arial" w:eastAsia="Calibri" w:cs="Arial"/>
          <w:sz w:val="22"/>
          <w:lang w:val="es-ES"/>
        </w:rPr>
        <w:t xml:space="preserve">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w:t>
      </w:r>
      <w:r w:rsidR="007629B7">
        <w:rPr>
          <w:rFonts w:ascii="Arial" w:hAnsi="Arial" w:eastAsia="Calibri" w:cs="Arial"/>
          <w:sz w:val="22"/>
          <w:lang w:val="es-ES"/>
        </w:rPr>
        <w:t xml:space="preserve">Así lo hizo </w:t>
      </w:r>
      <w:r w:rsidRPr="00217435">
        <w:rPr>
          <w:rFonts w:ascii="Arial" w:hAnsi="Arial" w:eastAsia="Calibri" w:cs="Arial"/>
          <w:sz w:val="22"/>
          <w:lang w:val="es-ES"/>
        </w:rPr>
        <w:t xml:space="preserve">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w:t>
      </w:r>
      <w:r w:rsidR="00560F51">
        <w:rPr>
          <w:rFonts w:ascii="Arial" w:hAnsi="Arial" w:eastAsia="Calibri" w:cs="Arial"/>
          <w:sz w:val="22"/>
          <w:lang w:val="es-ES"/>
        </w:rPr>
        <w:t xml:space="preserve">analizó </w:t>
      </w:r>
      <w:r w:rsidRPr="00217435">
        <w:rPr>
          <w:rFonts w:ascii="Arial" w:hAnsi="Arial" w:eastAsia="Calibri" w:cs="Arial"/>
          <w:sz w:val="22"/>
          <w:lang w:val="es-ES"/>
        </w:rPr>
        <w:t>el SECOP I como medio de publicidad de las actuaciones contractuales, la naturaleza transaccional y obligatoriedad de SECOP II y los documentos que deben publicarse en estas plataformas.</w:t>
      </w:r>
      <w:r w:rsidR="005568EA">
        <w:rPr>
          <w:rFonts w:ascii="Arial" w:hAnsi="Arial" w:eastAsia="Calibri" w:cs="Arial"/>
          <w:sz w:val="22"/>
          <w:lang w:val="es-ES"/>
        </w:rPr>
        <w:t xml:space="preserve"> Dichas ideas se unificaron en el concepto </w:t>
      </w:r>
      <w:r w:rsidR="003D484D">
        <w:rPr>
          <w:rFonts w:ascii="Arial" w:hAnsi="Arial" w:eastAsia="Calibri" w:cs="Arial"/>
          <w:sz w:val="22"/>
          <w:lang w:val="es-ES"/>
        </w:rPr>
        <w:t>CU-367 de</w:t>
      </w:r>
      <w:r w:rsidR="005E0D7B">
        <w:rPr>
          <w:rFonts w:ascii="Arial" w:hAnsi="Arial" w:eastAsia="Calibri" w:cs="Arial"/>
          <w:sz w:val="22"/>
          <w:lang w:val="es-ES"/>
        </w:rPr>
        <w:t>l 23 de julio de</w:t>
      </w:r>
      <w:r w:rsidR="003D484D">
        <w:rPr>
          <w:rFonts w:ascii="Arial" w:hAnsi="Arial" w:eastAsia="Calibri" w:cs="Arial"/>
          <w:sz w:val="22"/>
          <w:lang w:val="es-ES"/>
        </w:rPr>
        <w:t xml:space="preserve"> 2020</w:t>
      </w:r>
      <w:r w:rsidR="005E0D7B">
        <w:rPr>
          <w:rFonts w:ascii="Arial" w:hAnsi="Arial" w:eastAsia="Calibri" w:cs="Arial"/>
          <w:sz w:val="22"/>
          <w:lang w:val="es-ES"/>
        </w:rPr>
        <w:t>, que se reitera en esta ocasión.</w:t>
      </w:r>
    </w:p>
    <w:p w:rsidR="005E0D7B" w:rsidP="005E0D7B" w:rsidRDefault="005E0D7B" w14:paraId="108E76FA" w14:textId="77777777">
      <w:pPr>
        <w:tabs>
          <w:tab w:val="left" w:pos="426"/>
        </w:tabs>
        <w:spacing w:line="276" w:lineRule="auto"/>
        <w:jc w:val="both"/>
        <w:rPr>
          <w:rFonts w:ascii="Arial" w:hAnsi="Arial" w:eastAsia="Calibri" w:cs="Arial"/>
          <w:b/>
          <w:bCs/>
          <w:color w:val="000000"/>
          <w:sz w:val="22"/>
          <w:lang w:val="es-ES_tradnl" w:eastAsia="en-GB"/>
        </w:rPr>
      </w:pPr>
    </w:p>
    <w:p w:rsidRPr="00953554" w:rsidR="006C5D32" w:rsidP="005E0D7B" w:rsidRDefault="006C5D32" w14:paraId="1A305652" w14:textId="1A5A4295">
      <w:pPr>
        <w:tabs>
          <w:tab w:val="left" w:pos="426"/>
        </w:tabs>
        <w:spacing w:line="276" w:lineRule="auto"/>
        <w:jc w:val="both"/>
        <w:rPr>
          <w:rFonts w:ascii="Arial" w:hAnsi="Arial" w:eastAsia="Calibri" w:cs="Arial"/>
          <w:b/>
          <w:bCs/>
          <w:color w:val="000000"/>
          <w:sz w:val="22"/>
          <w:lang w:val="es-ES_tradnl" w:eastAsia="en-GB"/>
        </w:rPr>
      </w:pPr>
      <w:r w:rsidRPr="00953554">
        <w:rPr>
          <w:rFonts w:ascii="Arial" w:hAnsi="Arial" w:eastAsia="Calibri" w:cs="Arial"/>
          <w:b/>
          <w:bCs/>
          <w:color w:val="000000"/>
          <w:sz w:val="22"/>
          <w:lang w:val="es-ES_tradnl" w:eastAsia="en-GB"/>
        </w:rPr>
        <w:t xml:space="preserve">2.1. Derecho de acceso a la información y </w:t>
      </w:r>
      <w:r w:rsidR="003C0D1F">
        <w:rPr>
          <w:rFonts w:ascii="Arial" w:hAnsi="Arial" w:eastAsia="Calibri" w:cs="Arial"/>
          <w:b/>
          <w:bCs/>
          <w:color w:val="000000"/>
          <w:sz w:val="22"/>
          <w:lang w:val="es-ES_tradnl" w:eastAsia="en-GB"/>
        </w:rPr>
        <w:t xml:space="preserve">a la </w:t>
      </w:r>
      <w:r w:rsidRPr="00953554">
        <w:rPr>
          <w:rFonts w:ascii="Arial" w:hAnsi="Arial" w:eastAsia="Calibri" w:cs="Arial"/>
          <w:b/>
          <w:bCs/>
          <w:color w:val="000000"/>
          <w:sz w:val="22"/>
          <w:lang w:val="es-ES_tradnl" w:eastAsia="en-GB"/>
        </w:rPr>
        <w:t>documentación pública</w:t>
      </w:r>
      <w:r w:rsidR="00F12C52">
        <w:rPr>
          <w:rFonts w:ascii="Arial" w:hAnsi="Arial" w:eastAsia="Calibri" w:cs="Arial"/>
          <w:b/>
          <w:bCs/>
          <w:color w:val="000000"/>
          <w:sz w:val="22"/>
          <w:lang w:val="es-ES_tradnl" w:eastAsia="en-GB"/>
        </w:rPr>
        <w:t>. Su garantía en la contratación estatal</w:t>
      </w:r>
      <w:r w:rsidR="003C0D1F">
        <w:rPr>
          <w:rFonts w:ascii="Arial" w:hAnsi="Arial" w:eastAsia="Calibri" w:cs="Arial"/>
          <w:b/>
          <w:bCs/>
          <w:color w:val="000000"/>
          <w:sz w:val="22"/>
          <w:lang w:val="es-ES_tradnl" w:eastAsia="en-GB"/>
        </w:rPr>
        <w:t xml:space="preserve"> materializada en el deber de publicar la información contractual en el SECOP</w:t>
      </w:r>
    </w:p>
    <w:p w:rsidR="005E0D7B" w:rsidP="005E0D7B" w:rsidRDefault="005E0D7B" w14:paraId="2BD62C93" w14:textId="77777777">
      <w:pPr>
        <w:tabs>
          <w:tab w:val="left" w:pos="426"/>
        </w:tabs>
        <w:spacing w:line="276" w:lineRule="auto"/>
        <w:jc w:val="both"/>
        <w:rPr>
          <w:rFonts w:ascii="Arial" w:hAnsi="Arial" w:eastAsia="Calibri" w:cs="Arial"/>
          <w:color w:val="000000"/>
          <w:sz w:val="22"/>
          <w:lang w:val="es-ES_tradnl" w:eastAsia="en-GB"/>
        </w:rPr>
      </w:pPr>
    </w:p>
    <w:p w:rsidRPr="00B458D0" w:rsidR="00F3570C" w:rsidP="00B458D0" w:rsidRDefault="005B3621" w14:paraId="160E31C4" w14:textId="240071C7">
      <w:pPr>
        <w:tabs>
          <w:tab w:val="left" w:pos="426"/>
        </w:tabs>
        <w:spacing w:line="276" w:lineRule="auto"/>
        <w:jc w:val="both"/>
        <w:rPr>
          <w:rFonts w:ascii="Arial" w:hAnsi="Arial" w:eastAsia="Calibri" w:cs="Arial"/>
          <w:color w:val="000000"/>
          <w:sz w:val="22"/>
          <w:lang w:val="es-ES_tradnl" w:eastAsia="en-GB"/>
        </w:rPr>
      </w:pPr>
      <w:r w:rsidRPr="005B3621">
        <w:rPr>
          <w:rFonts w:ascii="Arial" w:hAnsi="Arial" w:eastAsia="Calibri" w:cs="Arial"/>
          <w:color w:val="000000"/>
          <w:sz w:val="22"/>
          <w:lang w:val="es-ES_tradnl" w:eastAsia="en-GB"/>
        </w:rPr>
        <w:t xml:space="preserve">El artículo 74 de la Constitución Política establece que </w:t>
      </w:r>
      <w:r w:rsidR="00687504">
        <w:rPr>
          <w:rFonts w:ascii="Arial" w:hAnsi="Arial" w:eastAsia="Calibri" w:cs="Arial"/>
          <w:color w:val="000000"/>
          <w:sz w:val="22"/>
          <w:lang w:val="es-ES_tradnl" w:eastAsia="en-GB"/>
        </w:rPr>
        <w:t>«</w:t>
      </w:r>
      <w:r w:rsidRPr="005B3621">
        <w:rPr>
          <w:rFonts w:ascii="Arial" w:hAnsi="Arial" w:eastAsia="Calibri" w:cs="Arial"/>
          <w:color w:val="000000"/>
          <w:sz w:val="22"/>
          <w:lang w:val="es-ES_tradnl" w:eastAsia="en-GB"/>
        </w:rPr>
        <w:t>Todas las personas tienen derecho a acceder a los documentos públicos salvo los casos que establezca la ley</w:t>
      </w:r>
      <w:r w:rsidR="00687504">
        <w:rPr>
          <w:rFonts w:ascii="Arial" w:hAnsi="Arial" w:eastAsia="Calibri" w:cs="Arial"/>
          <w:color w:val="000000"/>
          <w:sz w:val="22"/>
          <w:lang w:val="es-ES_tradnl" w:eastAsia="en-GB"/>
        </w:rPr>
        <w:t>»</w:t>
      </w:r>
      <w:r w:rsidRPr="005B3621">
        <w:rPr>
          <w:rFonts w:ascii="Arial" w:hAnsi="Arial" w:eastAsia="Calibri" w:cs="Arial"/>
          <w:color w:val="000000"/>
          <w:sz w:val="22"/>
          <w:lang w:val="es-ES_tradnl" w:eastAsia="en-GB"/>
        </w:rPr>
        <w:t>. Esta disposición constitucional consagra el derecho fundamental de acceso a la información y a la documentación pública, salvo causal de reserva expresamente prevista en la Ley. Tal derecho se regula integralmente en la Ley 1712 de 2014 (</w:t>
      </w:r>
      <w:r w:rsidR="00F83B33">
        <w:rPr>
          <w:rFonts w:ascii="Arial" w:hAnsi="Arial" w:eastAsia="Calibri" w:cs="Arial"/>
          <w:color w:val="000000"/>
          <w:sz w:val="22"/>
          <w:lang w:val="es-ES_tradnl" w:eastAsia="en-GB"/>
        </w:rPr>
        <w:t>«</w:t>
      </w:r>
      <w:r w:rsidRPr="005B3621">
        <w:rPr>
          <w:rFonts w:ascii="Arial" w:hAnsi="Arial" w:eastAsia="Calibri" w:cs="Arial"/>
          <w:color w:val="000000"/>
          <w:sz w:val="22"/>
          <w:lang w:val="es-ES_tradnl" w:eastAsia="en-GB"/>
        </w:rPr>
        <w:t>Ley de Transparencia y del Derecho de Acceso a la Información Pública Nacional</w:t>
      </w:r>
      <w:r w:rsidR="00F83B33">
        <w:rPr>
          <w:rFonts w:ascii="Arial" w:hAnsi="Arial" w:eastAsia="Calibri" w:cs="Arial"/>
          <w:color w:val="000000"/>
          <w:sz w:val="22"/>
          <w:lang w:val="es-ES_tradnl" w:eastAsia="en-GB"/>
        </w:rPr>
        <w:t>»</w:t>
      </w:r>
      <w:r w:rsidRPr="005B3621">
        <w:rPr>
          <w:rFonts w:ascii="Arial" w:hAnsi="Arial" w:eastAsia="Calibri" w:cs="Arial"/>
          <w:color w:val="000000"/>
          <w:sz w:val="22"/>
          <w:lang w:val="es-ES_tradnl" w:eastAsia="en-GB"/>
        </w:rPr>
        <w:t xml:space="preserve">). Esta Ley establece el </w:t>
      </w:r>
      <w:r w:rsidRPr="005B3621">
        <w:rPr>
          <w:rFonts w:ascii="Arial" w:hAnsi="Arial" w:eastAsia="Calibri" w:cs="Arial"/>
          <w:i/>
          <w:iCs/>
          <w:color w:val="000000"/>
          <w:sz w:val="22"/>
          <w:lang w:val="es-ES_tradnl" w:eastAsia="en-GB"/>
        </w:rPr>
        <w:t>deber de divulgación proactiva de la información</w:t>
      </w:r>
      <w:r w:rsidRPr="005B3621">
        <w:rPr>
          <w:rFonts w:ascii="Arial" w:hAnsi="Arial" w:eastAsia="Calibri" w:cs="Arial"/>
          <w:color w:val="000000"/>
          <w:sz w:val="22"/>
          <w:lang w:val="es-ES_tradnl" w:eastAsia="en-GB"/>
        </w:rPr>
        <w:t xml:space="preserve"> e indica que las entidades estatales deben publicar su información contractual (artículos 9, literales c, e y f; 10 y 11, literal g). El Decreto 1081 de 2015, en los arts. 2.1.1.2.1.5. al 2.1.1.2.1.10., reglamenta el deber de las entidades </w:t>
      </w:r>
      <w:r w:rsidRPr="005B3621">
        <w:rPr>
          <w:rFonts w:ascii="Arial" w:hAnsi="Arial" w:eastAsia="Calibri" w:cs="Arial"/>
          <w:color w:val="000000"/>
          <w:sz w:val="22"/>
          <w:lang w:val="es-ES_tradnl" w:eastAsia="en-GB"/>
        </w:rPr>
        <w:lastRenderedPageBreak/>
        <w:t>estatales de publicar su información contractual en el SECOP, en cumplimiento del artículo 3 de la Ley 1150 de 2007</w:t>
      </w:r>
      <w:r w:rsidRPr="00217435" w:rsidR="00F3570C">
        <w:rPr>
          <w:rFonts w:ascii="Arial" w:hAnsi="Arial" w:eastAsia="Arial" w:cs="Arial"/>
          <w:sz w:val="21"/>
          <w:szCs w:val="21"/>
          <w:vertAlign w:val="superscript"/>
          <w:lang w:val="es-ES"/>
        </w:rPr>
        <w:footnoteReference w:id="2"/>
      </w:r>
      <w:r w:rsidRPr="00217435" w:rsidR="00F3570C">
        <w:rPr>
          <w:rFonts w:ascii="Arial" w:hAnsi="Arial" w:eastAsia="Arial" w:cs="Arial"/>
          <w:sz w:val="21"/>
          <w:szCs w:val="21"/>
          <w:lang w:val="es-ES"/>
        </w:rPr>
        <w:t>.</w:t>
      </w:r>
    </w:p>
    <w:p w:rsidRPr="00217435" w:rsidR="00F3570C" w:rsidP="00B458D0" w:rsidRDefault="00F3570C" w14:paraId="3997F0C3" w14:textId="0C0AB5AB">
      <w:pPr>
        <w:widowControl w:val="0"/>
        <w:tabs>
          <w:tab w:val="left" w:pos="728"/>
        </w:tabs>
        <w:autoSpaceDE w:val="0"/>
        <w:autoSpaceDN w:val="0"/>
        <w:spacing w:before="120" w:after="120" w:line="276" w:lineRule="auto"/>
        <w:jc w:val="both"/>
        <w:rPr>
          <w:rFonts w:ascii="Arial" w:hAnsi="Arial" w:eastAsia="Arial" w:cs="Arial"/>
          <w:sz w:val="22"/>
          <w:lang w:val="es-ES"/>
        </w:rPr>
      </w:pPr>
      <w:r w:rsidRPr="00217435">
        <w:rPr>
          <w:rFonts w:ascii="Arial" w:hAnsi="Arial" w:eastAsia="Arial" w:cs="Arial"/>
          <w:sz w:val="22"/>
          <w:lang w:val="es-ES"/>
        </w:rPr>
        <w:tab/>
      </w:r>
      <w:r w:rsidRPr="00217435">
        <w:rPr>
          <w:rFonts w:ascii="Arial" w:hAnsi="Arial" w:eastAsia="Arial" w:cs="Arial"/>
          <w:sz w:val="22"/>
          <w:lang w:val="es-ES"/>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rsidRPr="00217435" w:rsidR="00F3570C" w:rsidP="00F3570C" w:rsidRDefault="00F3570C" w14:paraId="14FC4A66" w14:textId="05271F51">
      <w:pPr>
        <w:widowControl w:val="0"/>
        <w:tabs>
          <w:tab w:val="left" w:pos="728"/>
        </w:tabs>
        <w:autoSpaceDE w:val="0"/>
        <w:autoSpaceDN w:val="0"/>
        <w:spacing w:after="120" w:line="276" w:lineRule="auto"/>
        <w:jc w:val="both"/>
        <w:rPr>
          <w:rFonts w:ascii="Arial" w:hAnsi="Arial" w:eastAsia="Arial" w:cs="Arial"/>
          <w:sz w:val="22"/>
          <w:lang w:val="es-ES"/>
        </w:rPr>
      </w:pPr>
      <w:r w:rsidRPr="00217435">
        <w:rPr>
          <w:rFonts w:ascii="Arial" w:hAnsi="Arial" w:eastAsia="Arial" w:cs="Arial"/>
          <w:sz w:val="22"/>
          <w:lang w:val="es-ES"/>
        </w:rPr>
        <w:tab/>
      </w:r>
      <w:r w:rsidRPr="00217435">
        <w:rPr>
          <w:rFonts w:ascii="Arial" w:hAnsi="Arial" w:eastAsia="Arial" w:cs="Arial"/>
          <w:sz w:val="22"/>
          <w:lang w:val="es-ES"/>
        </w:rPr>
        <w:t>De otra parte, la Ley 1712 de 2014</w:t>
      </w:r>
      <w:r w:rsidR="00F77E61">
        <w:rPr>
          <w:rFonts w:ascii="Arial" w:hAnsi="Arial" w:eastAsia="Arial" w:cs="Arial"/>
          <w:sz w:val="22"/>
          <w:lang w:val="es-ES"/>
        </w:rPr>
        <w:t xml:space="preserve"> </w:t>
      </w:r>
      <w:r w:rsidRPr="00217435">
        <w:rPr>
          <w:rFonts w:ascii="Arial" w:hAnsi="Arial" w:eastAsia="Arial" w:cs="Arial"/>
          <w:sz w:val="22"/>
          <w:lang w:val="es-ES"/>
        </w:rPr>
        <w:t xml:space="preserve">identifica como principios que orientan el derecho de acceso a la información pública </w:t>
      </w:r>
      <w:r w:rsidR="00133AED">
        <w:rPr>
          <w:rFonts w:ascii="Arial" w:hAnsi="Arial" w:eastAsia="Arial" w:cs="Arial"/>
          <w:sz w:val="22"/>
          <w:lang w:val="es-ES"/>
        </w:rPr>
        <w:t>los</w:t>
      </w:r>
      <w:r w:rsidRPr="00217435">
        <w:rPr>
          <w:rFonts w:ascii="Arial" w:hAnsi="Arial" w:eastAsia="Arial" w:cs="Arial"/>
          <w:sz w:val="22"/>
          <w:lang w:val="es-ES"/>
        </w:rPr>
        <w:t xml:space="preserve"> de máxima publicidad</w:t>
      </w:r>
      <w:r w:rsidR="00133AED">
        <w:rPr>
          <w:rFonts w:ascii="Arial" w:hAnsi="Arial" w:eastAsia="Arial" w:cs="Arial"/>
          <w:sz w:val="22"/>
          <w:lang w:val="es-ES"/>
        </w:rPr>
        <w:t xml:space="preserve"> y </w:t>
      </w:r>
      <w:r w:rsidRPr="00217435">
        <w:rPr>
          <w:rFonts w:ascii="Arial" w:hAnsi="Arial" w:eastAsia="Arial" w:cs="Arial"/>
          <w:sz w:val="22"/>
          <w:lang w:val="es-ES"/>
        </w:rPr>
        <w:t>transparencia en la información. El principio de máxima publicidad establece que «toda información en posesión, bajo control o custodia de un sujeto obligado es pública y no podrá ser reservada o limitada sino por disposición constitucional o legal»</w:t>
      </w:r>
      <w:r w:rsidRPr="00217435">
        <w:rPr>
          <w:rFonts w:ascii="Arial" w:hAnsi="Arial" w:eastAsia="Arial" w:cs="Arial"/>
          <w:sz w:val="22"/>
          <w:vertAlign w:val="superscript"/>
          <w:lang w:val="es-ES"/>
        </w:rPr>
        <w:footnoteReference w:id="3"/>
      </w:r>
      <w:r w:rsidRPr="00217435">
        <w:rPr>
          <w:rFonts w:ascii="Arial" w:hAnsi="Arial" w:eastAsia="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rsidRPr="00217435" w:rsidR="00F3570C" w:rsidP="00F3570C" w:rsidRDefault="00F3570C" w14:paraId="2DBEF190" w14:textId="0CBDF754">
      <w:pPr>
        <w:widowControl w:val="0"/>
        <w:tabs>
          <w:tab w:val="left" w:pos="728"/>
        </w:tabs>
        <w:autoSpaceDE w:val="0"/>
        <w:autoSpaceDN w:val="0"/>
        <w:spacing w:after="120" w:line="276" w:lineRule="auto"/>
        <w:jc w:val="both"/>
        <w:rPr>
          <w:rFonts w:ascii="Arial" w:hAnsi="Arial" w:eastAsia="Arial" w:cs="Arial"/>
          <w:sz w:val="22"/>
          <w:lang w:val="es-ES"/>
        </w:rPr>
      </w:pPr>
      <w:r w:rsidRPr="00217435">
        <w:rPr>
          <w:rFonts w:ascii="Arial" w:hAnsi="Arial" w:eastAsia="Arial" w:cs="Arial"/>
          <w:sz w:val="22"/>
          <w:lang w:val="es-ES"/>
        </w:rPr>
        <w:tab/>
      </w:r>
      <w:r w:rsidRPr="00217435">
        <w:rPr>
          <w:rFonts w:ascii="Arial" w:hAnsi="Arial" w:eastAsia="Arial" w:cs="Arial"/>
          <w:sz w:val="22"/>
          <w:lang w:val="es-ES"/>
        </w:rPr>
        <w:t>La ley citada establece, en el literal e) del artículo 9, que los sujetos obligados, que son todas las entidades públicas</w:t>
      </w:r>
      <w:r w:rsidRPr="00217435">
        <w:rPr>
          <w:rFonts w:ascii="Arial" w:hAnsi="Arial" w:eastAsia="Arial" w:cs="Arial"/>
          <w:sz w:val="22"/>
          <w:vertAlign w:val="superscript"/>
          <w:lang w:val="es-ES"/>
        </w:rPr>
        <w:footnoteReference w:id="4"/>
      </w:r>
      <w:r w:rsidRPr="00217435">
        <w:rPr>
          <w:rFonts w:ascii="Arial" w:hAnsi="Arial" w:eastAsia="Arial" w:cs="Arial"/>
          <w:sz w:val="22"/>
          <w:lang w:val="es-ES"/>
        </w:rPr>
        <w:t>, deben publicar la información relativa a su contratación. Esta obligación fue en principio desarrollada por el Decreto 103 de 2015, hoy compilado en el Decreto Único Reglamentario 1081 de 2015</w:t>
      </w:r>
      <w:r w:rsidRPr="00217435">
        <w:rPr>
          <w:rFonts w:ascii="Arial" w:hAnsi="Arial" w:eastAsia="Arial" w:cs="Arial"/>
          <w:sz w:val="22"/>
          <w:vertAlign w:val="superscript"/>
          <w:lang w:val="es-ES"/>
        </w:rPr>
        <w:footnoteReference w:id="5"/>
      </w:r>
      <w:r w:rsidRPr="00217435">
        <w:rPr>
          <w:rFonts w:ascii="Arial" w:hAnsi="Arial" w:eastAsia="Arial" w:cs="Arial"/>
          <w:sz w:val="22"/>
          <w:lang w:val="es-ES"/>
        </w:rPr>
        <w:t xml:space="preserve">, el cual dispuso que la publicación de la información contractual de los sujetos obligados, que contratan con cargo a recursos </w:t>
      </w:r>
      <w:r w:rsidRPr="00217435">
        <w:rPr>
          <w:rFonts w:ascii="Arial" w:hAnsi="Arial" w:eastAsia="Arial" w:cs="Arial"/>
          <w:sz w:val="22"/>
          <w:lang w:val="es-ES"/>
        </w:rPr>
        <w:lastRenderedPageBreak/>
        <w:t>públicos, debe hacerse en el Sistema Electrónico de Contratación Pública –SECOP–.</w:t>
      </w:r>
    </w:p>
    <w:p w:rsidRPr="00217435" w:rsidR="00F3570C" w:rsidP="00F3570C" w:rsidRDefault="00F3570C" w14:paraId="1145F83C" w14:textId="77777777">
      <w:pPr>
        <w:widowControl w:val="0"/>
        <w:tabs>
          <w:tab w:val="left" w:pos="728"/>
        </w:tabs>
        <w:autoSpaceDE w:val="0"/>
        <w:autoSpaceDN w:val="0"/>
        <w:spacing w:after="120" w:line="276" w:lineRule="auto"/>
        <w:jc w:val="both"/>
        <w:rPr>
          <w:rFonts w:ascii="Arial" w:hAnsi="Arial" w:eastAsia="Arial" w:cs="Arial"/>
          <w:sz w:val="22"/>
          <w:lang w:val="es-ES"/>
        </w:rPr>
      </w:pPr>
      <w:r w:rsidRPr="00217435">
        <w:rPr>
          <w:rFonts w:ascii="Arial" w:hAnsi="Arial" w:eastAsia="Arial" w:cs="Arial"/>
          <w:sz w:val="22"/>
          <w:lang w:val="es-ES"/>
        </w:rPr>
        <w:tab/>
      </w:r>
      <w:r w:rsidRPr="00217435">
        <w:rPr>
          <w:rFonts w:ascii="Arial" w:hAnsi="Arial" w:eastAsia="Arial" w:cs="Arial"/>
          <w:sz w:val="22"/>
          <w:lang w:val="es-ES"/>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rsidR="007D0687" w:rsidP="00F3570C" w:rsidRDefault="00F3570C" w14:paraId="03D98496" w14:textId="6F251977">
      <w:pPr>
        <w:spacing w:after="120" w:line="276" w:lineRule="auto"/>
        <w:ind w:firstLine="709"/>
        <w:jc w:val="both"/>
        <w:rPr>
          <w:rFonts w:ascii="Arial" w:hAnsi="Arial" w:cs="Arial"/>
          <w:sz w:val="22"/>
          <w:lang w:val="es-ES"/>
        </w:rPr>
      </w:pPr>
      <w:r w:rsidRPr="00217435">
        <w:rPr>
          <w:rFonts w:ascii="Arial" w:hAnsi="Arial" w:cs="Arial"/>
          <w:sz w:val="22"/>
          <w:lang w:val="es-ES"/>
        </w:rPr>
        <w:t>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w:t>
      </w:r>
      <w:r w:rsidR="002562E5">
        <w:rPr>
          <w:rFonts w:ascii="Arial" w:hAnsi="Arial" w:cs="Arial"/>
          <w:sz w:val="22"/>
          <w:lang w:val="es-ES"/>
        </w:rPr>
        <w:t>.</w:t>
      </w:r>
      <w:r w:rsidRPr="00217435">
        <w:rPr>
          <w:rFonts w:ascii="Arial" w:hAnsi="Arial" w:cs="Arial"/>
          <w:sz w:val="22"/>
          <w:lang w:val="es-ES"/>
        </w:rPr>
        <w:t xml:space="preserve"> </w:t>
      </w:r>
    </w:p>
    <w:p w:rsidRPr="00217435" w:rsidR="00F3570C" w:rsidP="00F3570C" w:rsidRDefault="007D0687" w14:paraId="4E87F876" w14:textId="72A35774">
      <w:pPr>
        <w:spacing w:after="120" w:line="276" w:lineRule="auto"/>
        <w:ind w:firstLine="709"/>
        <w:jc w:val="both"/>
        <w:rPr>
          <w:rFonts w:ascii="Arial" w:hAnsi="Arial" w:cs="Arial"/>
          <w:sz w:val="22"/>
          <w:lang w:val="es-ES"/>
        </w:rPr>
      </w:pPr>
      <w:r>
        <w:rPr>
          <w:rFonts w:ascii="Arial" w:hAnsi="Arial" w:cs="Arial"/>
          <w:sz w:val="22"/>
          <w:lang w:val="es-ES"/>
        </w:rPr>
        <w:t xml:space="preserve">En la anterior disposición </w:t>
      </w:r>
      <w:r w:rsidRPr="00217435" w:rsidR="00F3570C">
        <w:rPr>
          <w:rFonts w:ascii="Arial" w:hAnsi="Arial" w:cs="Arial"/>
          <w:sz w:val="22"/>
          <w:lang w:val="es-ES"/>
        </w:rPr>
        <w:t>se relacionan los documentos que se deben publicar en el SECOP, como un desarrollo de los principios de transparencia y publicidad, que busca permitir, mediante la publicación, que la ciudadanía pueda conocer la actividad contractual de las entidades</w:t>
      </w:r>
      <w:r w:rsidR="001E6975">
        <w:rPr>
          <w:rFonts w:ascii="Arial" w:hAnsi="Arial" w:cs="Arial"/>
          <w:sz w:val="22"/>
          <w:lang w:val="es-ES"/>
        </w:rPr>
        <w:t>.</w:t>
      </w:r>
      <w:r w:rsidRPr="00217435" w:rsidR="00F3570C">
        <w:rPr>
          <w:rFonts w:ascii="Arial" w:hAnsi="Arial" w:cs="Arial"/>
          <w:sz w:val="22"/>
          <w:lang w:val="es-ES"/>
        </w:rPr>
        <w:t xml:space="preserve"> </w:t>
      </w:r>
      <w:r w:rsidR="001E6975">
        <w:rPr>
          <w:rFonts w:ascii="Arial" w:hAnsi="Arial" w:cs="Arial"/>
          <w:sz w:val="22"/>
          <w:lang w:val="es-ES"/>
        </w:rPr>
        <w:t>Lo anterior por cuanto</w:t>
      </w:r>
      <w:r w:rsidRPr="00217435" w:rsidR="00F3570C">
        <w:rPr>
          <w:rFonts w:ascii="Arial" w:hAnsi="Arial" w:cs="Arial"/>
          <w:sz w:val="22"/>
          <w:lang w:val="es-ES"/>
        </w:rPr>
        <w:t xml:space="preserve"> tales documentos dan cuenta de las decisiones de la Administración pública en beneficio del interés general  y que por tanto incumben a la ciudadanía.  </w:t>
      </w:r>
    </w:p>
    <w:p w:rsidRPr="00BD38C5" w:rsidR="00F3570C" w:rsidP="00BD38C5" w:rsidRDefault="00F3570C" w14:paraId="42CE750F" w14:textId="0EBB82B1">
      <w:pPr>
        <w:spacing w:line="276" w:lineRule="auto"/>
        <w:ind w:firstLine="709"/>
        <w:jc w:val="both"/>
        <w:rPr>
          <w:rFonts w:ascii="Arial" w:hAnsi="Arial" w:cs="Arial"/>
          <w:sz w:val="22"/>
          <w:lang w:val="es-ES"/>
        </w:rPr>
      </w:pPr>
      <w:r w:rsidRPr="00217435">
        <w:rPr>
          <w:rFonts w:ascii="Arial" w:hAnsi="Arial" w:cs="Arial"/>
          <w:sz w:val="22"/>
          <w:lang w:val="es-ES"/>
        </w:rPr>
        <w:t xml:space="preserve"> </w:t>
      </w:r>
      <w:r w:rsidR="00BA5027">
        <w:rPr>
          <w:rFonts w:ascii="Arial" w:hAnsi="Arial" w:cs="Arial"/>
          <w:sz w:val="22"/>
          <w:lang w:val="es-ES"/>
        </w:rPr>
        <w:t xml:space="preserve">Del </w:t>
      </w:r>
      <w:r w:rsidRPr="00217435">
        <w:rPr>
          <w:rFonts w:ascii="Arial" w:hAnsi="Arial" w:cs="Arial"/>
          <w:sz w:val="22"/>
          <w:lang w:val="es-ES"/>
        </w:rPr>
        <w:t>artículo 3 de la Ley 1150 de 2007</w:t>
      </w:r>
      <w:r w:rsidR="00BA5027">
        <w:rPr>
          <w:rFonts w:ascii="Arial" w:hAnsi="Arial" w:cs="Arial"/>
          <w:sz w:val="22"/>
          <w:lang w:val="es-ES"/>
        </w:rPr>
        <w:t xml:space="preserve"> </w:t>
      </w:r>
      <w:r w:rsidRPr="00217435">
        <w:rPr>
          <w:rFonts w:ascii="Arial" w:hAnsi="Arial" w:cs="Arial"/>
          <w:sz w:val="22"/>
          <w:lang w:val="es-ES"/>
        </w:rPr>
        <w:t>se desprende un deber de publicar las actuaciones contractuales, el cual implica que todas las entidades estatales, publiquen los documentos en los que se evidencia el desarrollo de sus procesos de contratación</w:t>
      </w:r>
      <w:r w:rsidR="00A52EE5">
        <w:rPr>
          <w:rFonts w:ascii="Arial" w:hAnsi="Arial" w:cs="Arial"/>
          <w:sz w:val="22"/>
          <w:lang w:val="es-ES"/>
        </w:rPr>
        <w:t>.</w:t>
      </w:r>
      <w:r w:rsidRPr="00217435">
        <w:rPr>
          <w:rFonts w:ascii="Arial" w:hAnsi="Arial" w:cs="Arial"/>
          <w:sz w:val="22"/>
          <w:lang w:val="es-ES"/>
        </w:rPr>
        <w:t xml:space="preserve"> </w:t>
      </w:r>
      <w:r w:rsidR="00A52EE5">
        <w:rPr>
          <w:rFonts w:ascii="Arial" w:hAnsi="Arial" w:cs="Arial"/>
          <w:sz w:val="22"/>
          <w:lang w:val="es-ES"/>
        </w:rPr>
        <w:t>E</w:t>
      </w:r>
      <w:r w:rsidRPr="00217435">
        <w:rPr>
          <w:rFonts w:ascii="Arial" w:hAnsi="Arial" w:cs="Arial"/>
          <w:sz w:val="22"/>
          <w:lang w:val="es-ES"/>
        </w:rPr>
        <w:t>sto</w:t>
      </w:r>
      <w:r w:rsidR="00A52EE5">
        <w:rPr>
          <w:rFonts w:ascii="Arial" w:hAnsi="Arial" w:cs="Arial"/>
          <w:sz w:val="22"/>
          <w:lang w:val="es-ES"/>
        </w:rPr>
        <w:t>,</w:t>
      </w:r>
      <w:r w:rsidRPr="00217435">
        <w:rPr>
          <w:rFonts w:ascii="Arial" w:hAnsi="Arial" w:cs="Arial"/>
          <w:sz w:val="22"/>
          <w:lang w:val="es-ES"/>
        </w:rPr>
        <w:t xml:space="preserve"> comoquiera que el objetivo del deber de dar publicidad a las actuaciones contractuales es materializar el derecho a conocer e intervenir de las decisiones de la Administración Pública.</w:t>
      </w:r>
    </w:p>
    <w:p w:rsidRPr="00217435" w:rsidR="00F3570C" w:rsidP="00A52EE5" w:rsidRDefault="00F3570C" w14:paraId="59ECED3C" w14:textId="25B037A9">
      <w:pPr>
        <w:widowControl w:val="0"/>
        <w:autoSpaceDE w:val="0"/>
        <w:autoSpaceDN w:val="0"/>
        <w:spacing w:before="120" w:after="120" w:line="276" w:lineRule="auto"/>
        <w:ind w:firstLine="709"/>
        <w:jc w:val="both"/>
        <w:rPr>
          <w:rFonts w:ascii="Arial" w:hAnsi="Arial" w:eastAsia="Arial" w:cs="Arial"/>
          <w:sz w:val="22"/>
          <w:lang w:val="es-ES"/>
        </w:rPr>
      </w:pPr>
      <w:r w:rsidRPr="00217435">
        <w:rPr>
          <w:rFonts w:ascii="Arial" w:hAnsi="Arial" w:eastAsia="Arial" w:cs="Arial"/>
          <w:sz w:val="22"/>
          <w:lang w:val="es-ES"/>
        </w:rPr>
        <w:t>Ahora bien, las entidades estatales, conforme al artículo 2.2.1.1.1.7.1. del Decreto 1082 de 2015, tienen la obligación de publicar en el SECOP «[…] los Documentos del Proceso y los actos administrativos del Proceso de Contratación, dentro de los tres (3) días siguientes a su expedición […]».</w:t>
      </w:r>
      <w:r w:rsidR="00A52EE5">
        <w:rPr>
          <w:rFonts w:ascii="Arial" w:hAnsi="Arial" w:eastAsia="Arial" w:cs="Arial"/>
          <w:sz w:val="22"/>
          <w:lang w:val="es-ES"/>
        </w:rPr>
        <w:t xml:space="preserve"> </w:t>
      </w:r>
      <w:r w:rsidRPr="00217435">
        <w:rPr>
          <w:rFonts w:ascii="Arial" w:hAnsi="Arial" w:eastAsia="Arial" w:cs="Arial"/>
          <w:sz w:val="22"/>
          <w:lang w:val="es-ES"/>
        </w:rPr>
        <w:t xml:space="preserve">La expresión </w:t>
      </w:r>
      <w:r w:rsidRPr="00217435">
        <w:rPr>
          <w:rFonts w:ascii="Arial" w:hAnsi="Arial" w:eastAsia="Arial" w:cs="Arial"/>
          <w:i/>
          <w:iCs/>
          <w:sz w:val="22"/>
          <w:lang w:val="es-ES"/>
        </w:rPr>
        <w:t>Documentos del Proceso</w:t>
      </w:r>
      <w:r w:rsidRPr="00217435">
        <w:rPr>
          <w:rFonts w:ascii="Arial" w:hAnsi="Arial" w:eastAsia="Arial" w:cs="Arial"/>
          <w:sz w:val="22"/>
          <w:lang w:val="es-ES"/>
        </w:rPr>
        <w:t xml:space="preserve"> está definida en el artículo 2.2.1.1.1.3.1. del Decreto 1082 de 2015</w:t>
      </w:r>
      <w:r>
        <w:rPr>
          <w:rFonts w:ascii="Arial" w:hAnsi="Arial" w:eastAsia="Arial" w:cs="Arial"/>
          <w:sz w:val="22"/>
          <w:lang w:val="es-ES"/>
        </w:rPr>
        <w:t>, donde se establece que</w:t>
      </w:r>
      <w:r w:rsidRPr="00217435">
        <w:rPr>
          <w:rFonts w:ascii="Arial" w:hAnsi="Arial" w:eastAsia="Arial" w:cs="Arial"/>
          <w:sz w:val="22"/>
          <w:lang w:val="es-ES"/>
        </w:rPr>
        <w:t xml:space="preserv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rsidRPr="00217435" w:rsidR="00F3570C" w:rsidP="00F3570C" w:rsidRDefault="00F3570C" w14:paraId="7155EDB6" w14:textId="634382CF">
      <w:pPr>
        <w:widowControl w:val="0"/>
        <w:autoSpaceDE w:val="0"/>
        <w:autoSpaceDN w:val="0"/>
        <w:spacing w:after="120" w:line="276" w:lineRule="auto"/>
        <w:ind w:firstLine="709"/>
        <w:jc w:val="both"/>
        <w:rPr>
          <w:rFonts w:ascii="Arial" w:hAnsi="Arial" w:eastAsia="Arial" w:cs="Arial"/>
          <w:sz w:val="22"/>
          <w:lang w:val="es-ES"/>
        </w:rPr>
      </w:pPr>
      <w:r w:rsidRPr="00217435">
        <w:rPr>
          <w:rFonts w:ascii="Arial" w:hAnsi="Arial" w:eastAsia="Arial" w:cs="Arial"/>
          <w:sz w:val="22"/>
          <w:lang w:val="es-ES"/>
        </w:rPr>
        <w:t xml:space="preserve">No obstante, para identificar los documentos que deben publicarse, es necesario realizar una interpretación sistemática de las disposiciones del Decreto 1082 del 2015, </w:t>
      </w:r>
      <w:r w:rsidR="00A52EE5">
        <w:rPr>
          <w:rFonts w:ascii="Arial" w:hAnsi="Arial" w:eastAsia="Arial" w:cs="Arial"/>
          <w:sz w:val="22"/>
          <w:lang w:val="es-ES"/>
        </w:rPr>
        <w:t>ya</w:t>
      </w:r>
      <w:r w:rsidRPr="00217435">
        <w:rPr>
          <w:rFonts w:ascii="Arial" w:hAnsi="Arial" w:eastAsia="Arial" w:cs="Arial"/>
          <w:sz w:val="22"/>
          <w:lang w:val="es-ES"/>
        </w:rPr>
        <w:t xml:space="preserve"> que el anterior no es un listado taxativo, sino enunciativo, porque además de los documentos enlistados, el artículo 2.2.1.1.1.3.1 </w:t>
      </w:r>
      <w:r w:rsidRPr="00217435">
        <w:rPr>
          <w:rFonts w:ascii="Arial" w:hAnsi="Arial" w:eastAsia="Arial" w:cs="Arial"/>
          <w:i/>
          <w:iCs/>
          <w:sz w:val="22"/>
          <w:lang w:val="es-ES"/>
        </w:rPr>
        <w:t>Ibídem</w:t>
      </w:r>
      <w:r w:rsidRPr="00217435">
        <w:rPr>
          <w:rFonts w:ascii="Arial" w:hAnsi="Arial" w:eastAsia="Arial" w:cs="Arial"/>
          <w:sz w:val="22"/>
          <w:lang w:val="es-ES"/>
        </w:rPr>
        <w:t xml:space="preserve"> recoge en la noción de </w:t>
      </w:r>
      <w:r w:rsidRPr="00217435">
        <w:rPr>
          <w:rFonts w:ascii="Arial" w:hAnsi="Arial" w:eastAsia="Arial" w:cs="Arial"/>
          <w:i/>
          <w:iCs/>
          <w:sz w:val="22"/>
          <w:lang w:val="es-ES"/>
        </w:rPr>
        <w:t>Documentos del Proceso</w:t>
      </w:r>
      <w:r w:rsidRPr="00217435">
        <w:rPr>
          <w:rFonts w:ascii="Arial" w:hAnsi="Arial" w:eastAsia="Arial" w:cs="Arial"/>
          <w:sz w:val="22"/>
          <w:lang w:val="es-ES"/>
        </w:rPr>
        <w:t xml:space="preserve"> «cualquier otro documento expedido por la Entidad Estatal durante el </w:t>
      </w:r>
      <w:r w:rsidRPr="00217435">
        <w:rPr>
          <w:rFonts w:ascii="Arial" w:hAnsi="Arial" w:eastAsia="Arial" w:cs="Arial"/>
          <w:i/>
          <w:iCs/>
          <w:sz w:val="22"/>
          <w:lang w:val="es-ES"/>
        </w:rPr>
        <w:t>Proceso de Contratación»</w:t>
      </w:r>
      <w:r w:rsidRPr="00217435">
        <w:rPr>
          <w:rFonts w:ascii="Arial" w:hAnsi="Arial" w:eastAsia="Arial" w:cs="Arial"/>
          <w:sz w:val="22"/>
          <w:lang w:val="es-ES"/>
        </w:rPr>
        <w:t xml:space="preserve">. Este mismo artículo define la expresión </w:t>
      </w:r>
      <w:r w:rsidRPr="00217435">
        <w:rPr>
          <w:rFonts w:ascii="Arial" w:hAnsi="Arial" w:eastAsia="Arial" w:cs="Arial"/>
          <w:i/>
          <w:iCs/>
          <w:sz w:val="22"/>
          <w:lang w:val="es-ES"/>
        </w:rPr>
        <w:t>Proceso de Contratación</w:t>
      </w:r>
      <w:r w:rsidRPr="00217435">
        <w:rPr>
          <w:rFonts w:ascii="Arial" w:hAnsi="Arial" w:eastAsia="Arial" w:cs="Arial"/>
          <w:sz w:val="22"/>
          <w:lang w:val="es-ES"/>
        </w:rPr>
        <w:t xml:space="preserve"> como el «Conjunto de actos y actividades, y su secuencia, adelantadas por la Entidad Estatal </w:t>
      </w:r>
      <w:r w:rsidRPr="00217435">
        <w:rPr>
          <w:rFonts w:ascii="Arial" w:hAnsi="Arial" w:eastAsia="Arial" w:cs="Arial"/>
          <w:sz w:val="22"/>
          <w:lang w:val="es-ES"/>
        </w:rPr>
        <w:lastRenderedPageBreak/>
        <w:t xml:space="preserve">desde la planeación hasta el vencimiento de las garantías de calidad, estabilidad y mantenimiento, o las condiciones de disposición final o recuperación ambiental de las obras o bienes o el vencimiento del plazo, lo que ocurra más tarde».  </w:t>
      </w:r>
    </w:p>
    <w:p w:rsidRPr="00217435" w:rsidR="00F3570C" w:rsidP="00F3570C" w:rsidRDefault="00F3570C" w14:paraId="088D53EF" w14:textId="77777777">
      <w:pPr>
        <w:widowControl w:val="0"/>
        <w:autoSpaceDE w:val="0"/>
        <w:autoSpaceDN w:val="0"/>
        <w:spacing w:after="120" w:line="276" w:lineRule="auto"/>
        <w:ind w:firstLine="709"/>
        <w:jc w:val="both"/>
        <w:rPr>
          <w:rFonts w:ascii="Arial" w:hAnsi="Arial" w:eastAsia="Arial" w:cs="Arial"/>
          <w:sz w:val="22"/>
          <w:lang w:val="es-ES"/>
        </w:rPr>
      </w:pPr>
      <w:r w:rsidRPr="00217435">
        <w:rPr>
          <w:rFonts w:ascii="Arial" w:hAnsi="Arial" w:eastAsia="Arial" w:cs="Arial"/>
          <w:sz w:val="22"/>
          <w:lang w:val="es-ES"/>
        </w:rPr>
        <w:t xml:space="preserve">Nótese que la norma hace referencia a los documentos «expedidos por la entidad estatal» durante el proceso de contratación, excluyendo de la noción de </w:t>
      </w:r>
      <w:r w:rsidRPr="00217435">
        <w:rPr>
          <w:rFonts w:ascii="Arial" w:hAnsi="Arial" w:eastAsia="Arial" w:cs="Arial"/>
          <w:i/>
          <w:iCs/>
          <w:sz w:val="22"/>
          <w:lang w:val="es-ES"/>
        </w:rPr>
        <w:t>Documentos del Proceso</w:t>
      </w:r>
      <w:r w:rsidRPr="00217435">
        <w:rPr>
          <w:rFonts w:ascii="Arial" w:hAnsi="Arial" w:eastAsia="Arial" w:cs="Arial"/>
          <w:sz w:val="22"/>
          <w:lang w:val="es-ES"/>
        </w:rPr>
        <w:t xml:space="preserve"> los expedidos por un sujeto distinto a la entidad, salvo la oferta, la cual se incluye expresamente </w:t>
      </w:r>
      <w:r>
        <w:rPr>
          <w:rFonts w:ascii="Arial" w:hAnsi="Arial" w:eastAsia="Arial" w:cs="Arial"/>
          <w:sz w:val="22"/>
          <w:lang w:val="es-ES"/>
        </w:rPr>
        <w:t>e</w:t>
      </w:r>
      <w:r w:rsidRPr="00217435">
        <w:rPr>
          <w:rFonts w:ascii="Arial" w:hAnsi="Arial" w:eastAsia="Arial" w:cs="Arial"/>
          <w:sz w:val="22"/>
          <w:lang w:val="es-ES"/>
        </w:rPr>
        <w:t xml:space="preserve">n el artículo 2.2.1.1.1.3.1. </w:t>
      </w:r>
    </w:p>
    <w:p w:rsidRPr="00217435" w:rsidR="00F3570C" w:rsidP="00F3570C" w:rsidRDefault="00F3570C" w14:paraId="30D9B232" w14:textId="3C2AC548">
      <w:pPr>
        <w:widowControl w:val="0"/>
        <w:autoSpaceDE w:val="0"/>
        <w:autoSpaceDN w:val="0"/>
        <w:spacing w:after="120" w:line="276" w:lineRule="auto"/>
        <w:ind w:firstLine="708"/>
        <w:jc w:val="both"/>
        <w:rPr>
          <w:rFonts w:ascii="Arial" w:hAnsi="Arial" w:eastAsia="Arial" w:cs="Arial"/>
          <w:sz w:val="22"/>
          <w:lang w:val="es-ES"/>
        </w:rPr>
      </w:pPr>
      <w:r w:rsidRPr="00217435">
        <w:rPr>
          <w:rFonts w:ascii="Arial" w:hAnsi="Arial" w:eastAsia="Arial" w:cs="Arial"/>
          <w:sz w:val="22"/>
          <w:lang w:val="es-ES"/>
        </w:rPr>
        <w:t xml:space="preserve">En ese sentido, la interpretación sistemática de los preceptos del Decreto 1082 de 2015, de acuerdo con </w:t>
      </w:r>
      <w:r>
        <w:rPr>
          <w:rFonts w:ascii="Arial" w:hAnsi="Arial" w:eastAsia="Arial" w:cs="Arial"/>
          <w:sz w:val="22"/>
          <w:lang w:val="es-ES"/>
        </w:rPr>
        <w:t>el</w:t>
      </w:r>
      <w:r w:rsidRPr="00217435">
        <w:rPr>
          <w:rFonts w:ascii="Arial" w:hAnsi="Arial" w:eastAsia="Arial" w:cs="Arial"/>
          <w:sz w:val="22"/>
          <w:lang w:val="es-ES"/>
        </w:rPr>
        <w:t xml:space="preserve"> principio de publicidad, inicialmente, indica que las entidades estatales tienen la obligación de publicar todos los documentos que expidan con ocasión del </w:t>
      </w:r>
      <w:r w:rsidRPr="00217435">
        <w:rPr>
          <w:rFonts w:ascii="Arial" w:hAnsi="Arial" w:eastAsia="Arial" w:cs="Arial"/>
          <w:i/>
          <w:iCs/>
          <w:sz w:val="22"/>
          <w:lang w:val="es-ES"/>
        </w:rPr>
        <w:t>Proceso de Contratación</w:t>
      </w:r>
      <w:r w:rsidR="000D2B7B">
        <w:rPr>
          <w:rFonts w:ascii="Arial" w:hAnsi="Arial" w:eastAsia="Arial" w:cs="Arial"/>
          <w:sz w:val="22"/>
          <w:lang w:val="es-ES"/>
        </w:rPr>
        <w:t>. Así</w:t>
      </w:r>
      <w:r w:rsidRPr="00217435">
        <w:rPr>
          <w:rFonts w:ascii="Arial" w:hAnsi="Arial" w:eastAsia="Arial" w:cs="Arial"/>
          <w:sz w:val="22"/>
          <w:lang w:val="es-ES"/>
        </w:rPr>
        <w:t xml:space="preserve">,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217435">
        <w:rPr>
          <w:rFonts w:ascii="Arial" w:hAnsi="Arial" w:eastAsia="Arial" w:cs="Arial"/>
          <w:sz w:val="22"/>
          <w:lang w:val="es-ES"/>
        </w:rPr>
        <w:t>postcontractual</w:t>
      </w:r>
      <w:proofErr w:type="spellEnd"/>
      <w:r w:rsidRPr="00217435">
        <w:rPr>
          <w:rFonts w:ascii="Arial" w:hAnsi="Arial" w:eastAsia="Arial" w:cs="Arial"/>
          <w:sz w:val="22"/>
          <w:lang w:val="es-ES"/>
        </w:rPr>
        <w:t xml:space="preserve"> deberán ser publicados en SECOP dentro de los tres (3) días siguientes a su expedición, para  cumplir el deber de publicidad regulado por el artículo 2.2.1.1.1.7.1. del Decreto 1082 de 2015.</w:t>
      </w:r>
    </w:p>
    <w:p w:rsidRPr="004E5736" w:rsidR="00F3570C" w:rsidP="00F3570C" w:rsidRDefault="00F3570C" w14:paraId="5DFCF143" w14:textId="2B4441DC">
      <w:pPr>
        <w:spacing w:before="120" w:after="120" w:line="276" w:lineRule="auto"/>
        <w:ind w:firstLine="709"/>
        <w:jc w:val="both"/>
        <w:rPr>
          <w:rFonts w:ascii="Arial" w:hAnsi="Arial" w:eastAsia="Calibri" w:cs="Arial"/>
          <w:sz w:val="22"/>
          <w:lang w:val="es-ES"/>
        </w:rPr>
      </w:pPr>
      <w:r w:rsidRPr="004E5736">
        <w:rPr>
          <w:rFonts w:ascii="Arial" w:hAnsi="Arial" w:eastAsia="Calibri" w:cs="Arial"/>
          <w:sz w:val="22"/>
          <w:lang w:val="es-ES"/>
        </w:rPr>
        <w:t>De conformidad con lo anterior, esta interpretación de las disposiciones analizadas permite incorporar al EGCAP importantes principios desarrollados por la normativa de la transparencia y acceso a la información pública</w:t>
      </w:r>
      <w:r w:rsidR="00375F59">
        <w:rPr>
          <w:rFonts w:ascii="Arial" w:hAnsi="Arial" w:eastAsia="Calibri" w:cs="Arial"/>
          <w:sz w:val="22"/>
          <w:lang w:val="es-ES"/>
        </w:rPr>
        <w:t>.</w:t>
      </w:r>
      <w:r w:rsidRPr="004E5736">
        <w:rPr>
          <w:rFonts w:ascii="Arial" w:hAnsi="Arial" w:eastAsia="Calibri" w:cs="Arial"/>
          <w:sz w:val="22"/>
          <w:lang w:val="es-ES"/>
        </w:rPr>
        <w:t xml:space="preserve"> </w:t>
      </w:r>
      <w:r w:rsidR="00375F59">
        <w:rPr>
          <w:rFonts w:ascii="Arial" w:hAnsi="Arial" w:eastAsia="Calibri" w:cs="Arial"/>
          <w:sz w:val="22"/>
          <w:lang w:val="es-ES"/>
        </w:rPr>
        <w:t>Entre estos principios se encuentran</w:t>
      </w:r>
      <w:r w:rsidRPr="004E5736">
        <w:rPr>
          <w:rFonts w:ascii="Arial" w:hAnsi="Arial" w:eastAsia="Calibri" w:cs="Arial"/>
          <w:sz w:val="22"/>
          <w:lang w:val="es-ES"/>
        </w:rPr>
        <w:t xml:space="preserve"> </w:t>
      </w:r>
      <w:r w:rsidR="00375F59">
        <w:rPr>
          <w:rFonts w:ascii="Arial" w:hAnsi="Arial" w:eastAsia="Calibri" w:cs="Arial"/>
          <w:sz w:val="22"/>
          <w:lang w:val="es-ES"/>
        </w:rPr>
        <w:t>el</w:t>
      </w:r>
      <w:r w:rsidRPr="004E5736">
        <w:rPr>
          <w:rFonts w:ascii="Arial" w:hAnsi="Arial" w:eastAsia="Calibri" w:cs="Arial"/>
          <w:sz w:val="22"/>
          <w:lang w:val="es-ES"/>
        </w:rPr>
        <w:t xml:space="preserve"> de </w:t>
      </w:r>
      <w:r w:rsidRPr="004E5736">
        <w:rPr>
          <w:rStyle w:val="nfasis"/>
          <w:rFonts w:ascii="Arial" w:hAnsi="Arial" w:cs="Arial"/>
          <w:i w:val="0"/>
          <w:iCs w:val="0"/>
          <w:sz w:val="22"/>
          <w:lang w:val="es-ES"/>
        </w:rPr>
        <w:t>máxima publicidad para un titular universal</w:t>
      </w:r>
      <w:r w:rsidRPr="004E5736">
        <w:rPr>
          <w:rStyle w:val="Refdenotaalpie"/>
          <w:rFonts w:ascii="Arial" w:hAnsi="Arial" w:cs="Arial"/>
          <w:i/>
          <w:iCs/>
          <w:sz w:val="22"/>
          <w:lang w:val="es-ES"/>
        </w:rPr>
        <w:footnoteReference w:id="6"/>
      </w:r>
      <w:r w:rsidRPr="004E5736">
        <w:rPr>
          <w:rStyle w:val="nfasis"/>
          <w:rFonts w:ascii="Arial" w:hAnsi="Arial" w:cs="Arial"/>
          <w:i w:val="0"/>
          <w:iCs w:val="0"/>
          <w:sz w:val="22"/>
          <w:lang w:val="es-ES"/>
        </w:rPr>
        <w:t>, transparencia, facilitación y divulgación proactiva de la información</w:t>
      </w:r>
      <w:r w:rsidRPr="00AE74FE">
        <w:rPr>
          <w:rStyle w:val="Refdenotaalpie"/>
          <w:rFonts w:ascii="Arial" w:hAnsi="Arial" w:cs="Arial"/>
          <w:sz w:val="22"/>
          <w:lang w:val="es-ES"/>
        </w:rPr>
        <w:footnoteReference w:id="7"/>
      </w:r>
      <w:r w:rsidR="00375F59">
        <w:rPr>
          <w:rStyle w:val="nfasis"/>
          <w:rFonts w:ascii="Arial" w:hAnsi="Arial" w:cs="Arial"/>
          <w:i w:val="0"/>
          <w:iCs w:val="0"/>
          <w:sz w:val="22"/>
          <w:lang w:val="es-ES"/>
        </w:rPr>
        <w:t>.</w:t>
      </w:r>
      <w:r w:rsidRPr="004E5736">
        <w:rPr>
          <w:rStyle w:val="nfasis"/>
          <w:rFonts w:ascii="Arial" w:hAnsi="Arial" w:cs="Arial"/>
          <w:i w:val="0"/>
          <w:iCs w:val="0"/>
          <w:sz w:val="22"/>
          <w:lang w:val="es-ES"/>
        </w:rPr>
        <w:t xml:space="preserve">  </w:t>
      </w:r>
      <w:r w:rsidR="00AE74FE">
        <w:rPr>
          <w:rStyle w:val="nfasis"/>
          <w:rFonts w:ascii="Arial" w:hAnsi="Arial" w:cs="Arial"/>
          <w:i w:val="0"/>
          <w:iCs w:val="0"/>
          <w:sz w:val="22"/>
          <w:lang w:val="es-ES"/>
        </w:rPr>
        <w:t>Lo anterior en la medida en que,</w:t>
      </w:r>
      <w:r w:rsidRPr="004E5736">
        <w:rPr>
          <w:rStyle w:val="nfasis"/>
          <w:rFonts w:ascii="Arial" w:hAnsi="Arial" w:cs="Arial"/>
          <w:i w:val="0"/>
          <w:iCs w:val="0"/>
          <w:sz w:val="22"/>
          <w:lang w:val="es-ES"/>
        </w:rPr>
        <w:t xml:space="preserve"> al ampliarse la actividad </w:t>
      </w:r>
      <w:r w:rsidRPr="004E5736">
        <w:rPr>
          <w:rStyle w:val="nfasis"/>
          <w:rFonts w:ascii="Arial" w:hAnsi="Arial" w:cs="Arial"/>
          <w:i w:val="0"/>
          <w:iCs w:val="0"/>
          <w:sz w:val="22"/>
          <w:lang w:val="es-ES"/>
        </w:rPr>
        <w:lastRenderedPageBreak/>
        <w:t>contractual sobre la que recae el deber de publicación, se divulga un mayor volumen de información, que de por sí es pública, mediante un mecanismo  como el SECOP</w:t>
      </w:r>
      <w:r w:rsidR="00AE74FE">
        <w:rPr>
          <w:rStyle w:val="nfasis"/>
          <w:rFonts w:ascii="Arial" w:hAnsi="Arial" w:cs="Arial"/>
          <w:i w:val="0"/>
          <w:iCs w:val="0"/>
          <w:sz w:val="22"/>
          <w:lang w:val="es-ES"/>
        </w:rPr>
        <w:t>.</w:t>
      </w:r>
      <w:r w:rsidRPr="004E5736">
        <w:rPr>
          <w:rStyle w:val="nfasis"/>
          <w:rFonts w:ascii="Arial" w:hAnsi="Arial" w:cs="Arial"/>
          <w:i w:val="0"/>
          <w:iCs w:val="0"/>
          <w:sz w:val="22"/>
          <w:lang w:val="es-ES"/>
        </w:rPr>
        <w:t xml:space="preserve"> </w:t>
      </w:r>
      <w:r w:rsidR="00AE74FE">
        <w:rPr>
          <w:rStyle w:val="nfasis"/>
          <w:rFonts w:ascii="Arial" w:hAnsi="Arial" w:cs="Arial"/>
          <w:i w:val="0"/>
          <w:iCs w:val="0"/>
          <w:sz w:val="22"/>
          <w:lang w:val="es-ES"/>
        </w:rPr>
        <w:t>Esta plataforma</w:t>
      </w:r>
      <w:r w:rsidRPr="004E5736">
        <w:rPr>
          <w:rStyle w:val="nfasis"/>
          <w:rFonts w:ascii="Arial" w:hAnsi="Arial" w:cs="Arial"/>
          <w:i w:val="0"/>
          <w:iCs w:val="0"/>
          <w:sz w:val="22"/>
          <w:lang w:val="es-ES"/>
        </w:rPr>
        <w:t xml:space="preserve"> facilita el acceso a la misma desde cualquier dispositivo con acceso a internet</w:t>
      </w:r>
      <w:r w:rsidR="00AE74FE">
        <w:rPr>
          <w:rStyle w:val="nfasis"/>
          <w:rFonts w:ascii="Arial" w:hAnsi="Arial" w:cs="Arial"/>
          <w:i w:val="0"/>
          <w:iCs w:val="0"/>
          <w:sz w:val="22"/>
          <w:lang w:val="es-ES"/>
        </w:rPr>
        <w:t>. De este modo,</w:t>
      </w:r>
      <w:r w:rsidRPr="004E5736">
        <w:rPr>
          <w:rStyle w:val="nfasis"/>
          <w:rFonts w:ascii="Arial" w:hAnsi="Arial" w:cs="Arial"/>
          <w:i w:val="0"/>
          <w:iCs w:val="0"/>
          <w:sz w:val="22"/>
          <w:lang w:val="es-ES"/>
        </w:rPr>
        <w:t xml:space="preserve"> garantiza mayor transparencia, al obligarse a las entidades estatales a publicar sus actuaciones de manera proactiva y rutinaria</w:t>
      </w:r>
      <w:r w:rsidR="00AE74FE">
        <w:rPr>
          <w:rStyle w:val="nfasis"/>
          <w:rFonts w:ascii="Arial" w:hAnsi="Arial" w:cs="Arial"/>
          <w:i w:val="0"/>
          <w:iCs w:val="0"/>
          <w:sz w:val="22"/>
          <w:lang w:val="es-ES"/>
        </w:rPr>
        <w:t>.</w:t>
      </w:r>
      <w:r w:rsidRPr="004E5736">
        <w:rPr>
          <w:rStyle w:val="nfasis"/>
          <w:rFonts w:ascii="Arial" w:hAnsi="Arial" w:cs="Arial"/>
          <w:i w:val="0"/>
          <w:iCs w:val="0"/>
          <w:sz w:val="22"/>
          <w:lang w:val="es-ES"/>
        </w:rPr>
        <w:t xml:space="preserve"> </w:t>
      </w:r>
      <w:r w:rsidR="00AE74FE">
        <w:rPr>
          <w:rStyle w:val="nfasis"/>
          <w:rFonts w:ascii="Arial" w:hAnsi="Arial" w:cs="Arial"/>
          <w:i w:val="0"/>
          <w:iCs w:val="0"/>
          <w:sz w:val="22"/>
          <w:lang w:val="es-ES"/>
        </w:rPr>
        <w:t xml:space="preserve">Ello </w:t>
      </w:r>
      <w:r w:rsidRPr="004E5736">
        <w:rPr>
          <w:rStyle w:val="nfasis"/>
          <w:rFonts w:ascii="Arial" w:hAnsi="Arial" w:cs="Arial"/>
          <w:i w:val="0"/>
          <w:iCs w:val="0"/>
          <w:sz w:val="22"/>
          <w:lang w:val="es-ES"/>
        </w:rPr>
        <w:t>permite que la ciudadanía conozca con detalle y actualidad el desarrollo de la gestión contractual de la Administración, fomentándose en la contratación pública estándares altos de transparencia.</w:t>
      </w:r>
      <w:r w:rsidRPr="004E5736">
        <w:rPr>
          <w:rStyle w:val="nfasis"/>
          <w:rFonts w:ascii="Arial" w:hAnsi="Arial" w:cs="Arial"/>
          <w:sz w:val="22"/>
          <w:lang w:val="es-ES"/>
        </w:rPr>
        <w:t xml:space="preserve">   </w:t>
      </w:r>
    </w:p>
    <w:p w:rsidR="00F00785" w:rsidP="000A3E8B" w:rsidRDefault="00F3570C" w14:paraId="18E878E2" w14:textId="77777777">
      <w:pPr>
        <w:spacing w:after="120" w:line="276" w:lineRule="auto"/>
        <w:ind w:firstLine="709"/>
        <w:jc w:val="both"/>
        <w:rPr>
          <w:rFonts w:ascii="Arial" w:hAnsi="Arial" w:cs="Arial"/>
          <w:sz w:val="22"/>
          <w:lang w:val="es-ES"/>
        </w:rPr>
      </w:pPr>
      <w:r w:rsidRPr="00BF3A45">
        <w:rPr>
          <w:rStyle w:val="Textoennegrita"/>
          <w:rFonts w:ascii="Arial" w:hAnsi="Arial" w:cs="Arial"/>
          <w:b w:val="0"/>
          <w:bCs w:val="0"/>
          <w:sz w:val="22"/>
          <w:lang w:val="es-ES"/>
        </w:rPr>
        <w:t>En conclusión, con base en los fundamentos normativos y argumentos expuestos, además del Plan Anual de Adquisiciones, las entidades estatales regidas por el EGCAP deberán publicar en SECOP</w:t>
      </w:r>
      <w:r w:rsidR="000A3E8B">
        <w:rPr>
          <w:rStyle w:val="Textoennegrita"/>
          <w:rFonts w:ascii="Arial" w:hAnsi="Arial" w:cs="Arial"/>
          <w:b w:val="0"/>
          <w:bCs w:val="0"/>
          <w:sz w:val="22"/>
          <w:lang w:val="es-ES"/>
        </w:rPr>
        <w:t xml:space="preserve"> </w:t>
      </w:r>
      <w:r w:rsidRPr="00BF3A45">
        <w:rPr>
          <w:rStyle w:val="Textoennegrita"/>
          <w:rFonts w:ascii="Arial" w:hAnsi="Arial" w:cs="Arial"/>
          <w:b w:val="0"/>
          <w:bCs w:val="0"/>
          <w:sz w:val="22"/>
          <w:lang w:val="es-ES"/>
        </w:rPr>
        <w:t>los</w:t>
      </w:r>
      <w:r w:rsidR="000A3E8B">
        <w:rPr>
          <w:rStyle w:val="Textoennegrita"/>
          <w:rFonts w:ascii="Arial" w:hAnsi="Arial" w:cs="Arial"/>
          <w:b w:val="0"/>
          <w:bCs w:val="0"/>
          <w:sz w:val="22"/>
          <w:lang w:val="es-ES"/>
        </w:rPr>
        <w:t xml:space="preserve"> </w:t>
      </w:r>
      <w:r w:rsidRPr="00BF3A45">
        <w:rPr>
          <w:rStyle w:val="Textoennegrita"/>
          <w:rFonts w:ascii="Arial" w:hAnsi="Arial" w:cs="Arial"/>
          <w:b w:val="0"/>
          <w:bCs w:val="0"/>
          <w:sz w:val="22"/>
          <w:lang w:val="es-ES"/>
        </w:rPr>
        <w:t xml:space="preserve">documentos expedidos con ocasión del </w:t>
      </w:r>
      <w:r w:rsidRPr="00BF3A45">
        <w:rPr>
          <w:rStyle w:val="Textoennegrita"/>
          <w:rFonts w:ascii="Arial" w:hAnsi="Arial" w:cs="Arial"/>
          <w:b w:val="0"/>
          <w:bCs w:val="0"/>
          <w:i/>
          <w:iCs/>
          <w:sz w:val="22"/>
          <w:lang w:val="es-ES"/>
        </w:rPr>
        <w:t>proceso de contratación</w:t>
      </w:r>
      <w:r w:rsidR="000A3E8B">
        <w:rPr>
          <w:rStyle w:val="Textoennegrita"/>
          <w:rFonts w:ascii="Arial" w:hAnsi="Arial" w:cs="Arial"/>
          <w:b w:val="0"/>
          <w:bCs w:val="0"/>
          <w:sz w:val="22"/>
          <w:lang w:val="es-ES"/>
        </w:rPr>
        <w:t xml:space="preserve">. Entre estos documentos se encuentran: </w:t>
      </w:r>
      <w:r w:rsidRPr="00BF3A45">
        <w:rPr>
          <w:rStyle w:val="Textoennegrita"/>
          <w:rFonts w:ascii="Arial" w:hAnsi="Arial" w:cs="Arial"/>
          <w:b w:val="0"/>
          <w:bCs w:val="0"/>
          <w:sz w:val="22"/>
          <w:lang w:val="es-ES"/>
        </w:rPr>
        <w:t xml:space="preserve">el estudio de oportunidad y conveniencia; </w:t>
      </w:r>
      <w:r w:rsidRPr="00BF3A45">
        <w:rPr>
          <w:rFonts w:ascii="Arial" w:hAnsi="Arial" w:cs="Arial"/>
          <w:sz w:val="22"/>
          <w:lang w:val="es-ES"/>
        </w:rPr>
        <w:t>los estudios y d</w:t>
      </w:r>
      <w:r w:rsidRPr="00217435">
        <w:rPr>
          <w:rFonts w:ascii="Arial" w:hAnsi="Arial" w:cs="Arial"/>
          <w:sz w:val="22"/>
          <w:lang w:val="es-ES"/>
        </w:rPr>
        <w:t>ocumentos previos –técnicos o no–;</w:t>
      </w:r>
      <w:r w:rsidR="000A3E8B">
        <w:rPr>
          <w:rFonts w:ascii="Arial" w:hAnsi="Arial" w:cs="Arial"/>
          <w:sz w:val="22"/>
          <w:lang w:val="es-ES"/>
        </w:rPr>
        <w:t xml:space="preserve"> </w:t>
      </w:r>
      <w:r w:rsidRPr="00217435">
        <w:rPr>
          <w:rFonts w:ascii="Arial" w:hAnsi="Arial" w:cs="Arial"/>
          <w:sz w:val="22"/>
          <w:lang w:val="es-ES"/>
        </w:rPr>
        <w:t>el  aviso de convocatoria;</w:t>
      </w:r>
      <w:r w:rsidR="000A3E8B">
        <w:rPr>
          <w:rFonts w:ascii="Arial" w:hAnsi="Arial" w:cs="Arial"/>
          <w:sz w:val="22"/>
          <w:lang w:val="es-ES"/>
        </w:rPr>
        <w:t xml:space="preserve"> </w:t>
      </w:r>
      <w:r w:rsidRPr="00217435">
        <w:rPr>
          <w:rFonts w:ascii="Arial" w:hAnsi="Arial" w:cs="Arial"/>
          <w:sz w:val="22"/>
          <w:lang w:val="es-ES"/>
        </w:rPr>
        <w:t>el proyecto de pliego de condiciones y las observaciones que le formulen;</w:t>
      </w:r>
      <w:r w:rsidR="00F00785">
        <w:rPr>
          <w:rFonts w:ascii="Arial" w:hAnsi="Arial" w:cs="Arial"/>
          <w:sz w:val="22"/>
          <w:lang w:val="es-ES"/>
        </w:rPr>
        <w:t xml:space="preserve"> </w:t>
      </w:r>
      <w:r w:rsidRPr="00217435">
        <w:rPr>
          <w:rFonts w:ascii="Arial" w:hAnsi="Arial" w:cs="Arial"/>
          <w:sz w:val="22"/>
          <w:lang w:val="es-ES"/>
        </w:rPr>
        <w:t>el pliego de condiciones o la invitación</w:t>
      </w:r>
      <w:r w:rsidR="00F00785">
        <w:rPr>
          <w:rFonts w:ascii="Arial" w:hAnsi="Arial" w:cs="Arial"/>
          <w:sz w:val="22"/>
          <w:lang w:val="es-ES"/>
        </w:rPr>
        <w:t>.</w:t>
      </w:r>
    </w:p>
    <w:p w:rsidR="008C73E2" w:rsidP="000A3E8B" w:rsidRDefault="00F3570C" w14:paraId="63BEDD31" w14:textId="77777777">
      <w:pPr>
        <w:spacing w:after="120" w:line="276" w:lineRule="auto"/>
        <w:ind w:firstLine="709"/>
        <w:jc w:val="both"/>
        <w:rPr>
          <w:rFonts w:ascii="Arial" w:hAnsi="Arial" w:cs="Arial"/>
          <w:sz w:val="22"/>
          <w:lang w:val="es-ES"/>
        </w:rPr>
      </w:pPr>
      <w:r w:rsidRPr="00217435">
        <w:rPr>
          <w:rFonts w:ascii="Arial" w:hAnsi="Arial" w:cs="Arial"/>
          <w:sz w:val="22"/>
          <w:lang w:val="es-ES"/>
        </w:rPr>
        <w:t xml:space="preserve"> </w:t>
      </w:r>
      <w:r w:rsidR="00F00785">
        <w:rPr>
          <w:rFonts w:ascii="Arial" w:hAnsi="Arial" w:cs="Arial"/>
          <w:sz w:val="22"/>
          <w:lang w:val="es-ES"/>
        </w:rPr>
        <w:t xml:space="preserve">De igual manera, dentro de los documentos del proceso, se deben publicar en el SECOP </w:t>
      </w:r>
      <w:r w:rsidRPr="00217435">
        <w:rPr>
          <w:rFonts w:ascii="Arial" w:hAnsi="Arial" w:cs="Arial"/>
          <w:sz w:val="22"/>
          <w:lang w:val="es-ES"/>
        </w:rPr>
        <w:t>las observaciones que se les realicen</w:t>
      </w:r>
      <w:r w:rsidR="008C73E2">
        <w:rPr>
          <w:rFonts w:ascii="Arial" w:hAnsi="Arial" w:cs="Arial"/>
          <w:sz w:val="22"/>
          <w:lang w:val="es-ES"/>
        </w:rPr>
        <w:t xml:space="preserve"> al pliego de condiciones</w:t>
      </w:r>
      <w:r w:rsidRPr="00217435">
        <w:rPr>
          <w:rFonts w:ascii="Arial" w:hAnsi="Arial" w:cs="Arial"/>
          <w:sz w:val="22"/>
          <w:lang w:val="es-ES"/>
        </w:rPr>
        <w:t>; las actas de la audiencia de asignación de riesgos;</w:t>
      </w:r>
      <w:r w:rsidR="008C73E2">
        <w:rPr>
          <w:rFonts w:ascii="Arial" w:hAnsi="Arial" w:cs="Arial"/>
          <w:sz w:val="22"/>
          <w:lang w:val="es-ES"/>
        </w:rPr>
        <w:t xml:space="preserve"> </w:t>
      </w:r>
      <w:r w:rsidRPr="00217435">
        <w:rPr>
          <w:rFonts w:ascii="Arial" w:hAnsi="Arial" w:cs="Arial"/>
          <w:sz w:val="22"/>
          <w:lang w:val="es-ES"/>
        </w:rPr>
        <w:t>el acta de cierre del plazo para presentar ofertas;</w:t>
      </w:r>
      <w:r w:rsidR="008C73E2">
        <w:rPr>
          <w:rFonts w:ascii="Arial" w:hAnsi="Arial" w:cs="Arial"/>
          <w:sz w:val="22"/>
          <w:lang w:val="es-ES"/>
        </w:rPr>
        <w:t xml:space="preserve"> y </w:t>
      </w:r>
      <w:r w:rsidRPr="00217435">
        <w:rPr>
          <w:rFonts w:ascii="Arial" w:hAnsi="Arial" w:cs="Arial"/>
          <w:sz w:val="22"/>
          <w:lang w:val="es-ES"/>
        </w:rPr>
        <w:t>las adendas</w:t>
      </w:r>
      <w:r w:rsidR="008C73E2">
        <w:rPr>
          <w:rFonts w:ascii="Arial" w:hAnsi="Arial" w:cs="Arial"/>
          <w:sz w:val="22"/>
          <w:lang w:val="es-ES"/>
        </w:rPr>
        <w:t>.</w:t>
      </w:r>
    </w:p>
    <w:p w:rsidR="00313B78" w:rsidP="000A3E8B" w:rsidRDefault="008C73E2" w14:paraId="7494E96C" w14:textId="77777777">
      <w:pPr>
        <w:spacing w:after="120" w:line="276" w:lineRule="auto"/>
        <w:ind w:firstLine="709"/>
        <w:jc w:val="both"/>
        <w:rPr>
          <w:rFonts w:ascii="Arial" w:hAnsi="Arial" w:cs="Arial"/>
          <w:sz w:val="22"/>
          <w:lang w:val="es-ES"/>
        </w:rPr>
      </w:pPr>
      <w:r w:rsidRPr="00217435">
        <w:rPr>
          <w:rFonts w:ascii="Arial" w:hAnsi="Arial" w:cs="Arial"/>
          <w:sz w:val="22"/>
          <w:lang w:val="es-ES"/>
        </w:rPr>
        <w:t>E</w:t>
      </w:r>
      <w:r w:rsidRPr="00217435" w:rsidR="00F3570C">
        <w:rPr>
          <w:rFonts w:ascii="Arial" w:hAnsi="Arial" w:cs="Arial"/>
          <w:sz w:val="22"/>
          <w:lang w:val="es-ES"/>
        </w:rPr>
        <w:t>n</w:t>
      </w:r>
      <w:r>
        <w:rPr>
          <w:rFonts w:ascii="Arial" w:hAnsi="Arial" w:cs="Arial"/>
          <w:sz w:val="22"/>
          <w:lang w:val="es-ES"/>
        </w:rPr>
        <w:t xml:space="preserve"> </w:t>
      </w:r>
      <w:r w:rsidRPr="00217435" w:rsidR="00F3570C">
        <w:rPr>
          <w:rFonts w:ascii="Arial" w:hAnsi="Arial" w:cs="Arial"/>
          <w:sz w:val="22"/>
          <w:lang w:val="es-ES"/>
        </w:rPr>
        <w:t xml:space="preserve">procesos cuya publicación deba realizarse en SECOP I, </w:t>
      </w:r>
      <w:r>
        <w:rPr>
          <w:rFonts w:ascii="Arial" w:hAnsi="Arial" w:cs="Arial"/>
          <w:sz w:val="22"/>
          <w:lang w:val="es-ES"/>
        </w:rPr>
        <w:t xml:space="preserve">se debe publicar </w:t>
      </w:r>
      <w:r w:rsidRPr="00217435" w:rsidR="00F3570C">
        <w:rPr>
          <w:rFonts w:ascii="Arial" w:hAnsi="Arial" w:cs="Arial"/>
          <w:sz w:val="22"/>
          <w:lang w:val="es-ES"/>
        </w:rPr>
        <w:t>la oferta del adjudicatario y las aclaraciones que se le realicen; el informe de precalificación y las observaciones que se formulen;</w:t>
      </w:r>
      <w:r>
        <w:rPr>
          <w:rFonts w:ascii="Arial" w:hAnsi="Arial" w:cs="Arial"/>
          <w:sz w:val="22"/>
          <w:lang w:val="es-ES"/>
        </w:rPr>
        <w:t xml:space="preserve"> </w:t>
      </w:r>
      <w:r w:rsidRPr="00217435" w:rsidR="00F3570C">
        <w:rPr>
          <w:rFonts w:ascii="Arial" w:hAnsi="Arial" w:cs="Arial"/>
          <w:sz w:val="22"/>
          <w:lang w:val="es-ES"/>
        </w:rPr>
        <w:t>el informe de evaluación y las observaciones que se formulen;</w:t>
      </w:r>
      <w:r>
        <w:rPr>
          <w:rFonts w:ascii="Arial" w:hAnsi="Arial" w:cs="Arial"/>
          <w:sz w:val="22"/>
          <w:lang w:val="es-ES"/>
        </w:rPr>
        <w:t xml:space="preserve"> </w:t>
      </w:r>
      <w:r w:rsidRPr="00217435" w:rsidR="00F3570C">
        <w:rPr>
          <w:rFonts w:ascii="Arial" w:hAnsi="Arial" w:cs="Arial"/>
          <w:sz w:val="22"/>
          <w:lang w:val="es-ES"/>
        </w:rPr>
        <w:t>las respuestas a las observaciones;</w:t>
      </w:r>
      <w:r>
        <w:rPr>
          <w:rFonts w:ascii="Arial" w:hAnsi="Arial" w:cs="Arial"/>
          <w:sz w:val="22"/>
          <w:lang w:val="es-ES"/>
        </w:rPr>
        <w:t xml:space="preserve"> </w:t>
      </w:r>
      <w:r w:rsidRPr="00217435" w:rsidR="00F3570C">
        <w:rPr>
          <w:rFonts w:ascii="Arial" w:hAnsi="Arial" w:cs="Arial"/>
          <w:sz w:val="22"/>
          <w:lang w:val="es-ES"/>
        </w:rPr>
        <w:t>el contrato y los otrosíes o modificaciones;</w:t>
      </w:r>
      <w:r>
        <w:rPr>
          <w:rFonts w:ascii="Arial" w:hAnsi="Arial" w:cs="Arial"/>
          <w:sz w:val="22"/>
          <w:lang w:val="es-ES"/>
        </w:rPr>
        <w:t xml:space="preserve"> </w:t>
      </w:r>
      <w:r w:rsidRPr="00217435" w:rsidR="00F3570C">
        <w:rPr>
          <w:rFonts w:ascii="Arial" w:hAnsi="Arial" w:cs="Arial"/>
          <w:sz w:val="22"/>
          <w:lang w:val="es-ES"/>
        </w:rPr>
        <w:t>el acta de inicio;</w:t>
      </w:r>
      <w:r>
        <w:rPr>
          <w:rFonts w:ascii="Arial" w:hAnsi="Arial" w:cs="Arial"/>
          <w:sz w:val="22"/>
          <w:lang w:val="es-ES"/>
        </w:rPr>
        <w:t xml:space="preserve"> </w:t>
      </w:r>
      <w:r w:rsidRPr="00217435" w:rsidR="00F3570C">
        <w:rPr>
          <w:rFonts w:ascii="Arial" w:hAnsi="Arial" w:cs="Arial"/>
          <w:sz w:val="22"/>
          <w:lang w:val="es-ES"/>
        </w:rPr>
        <w:t>las garantías</w:t>
      </w:r>
      <w:r w:rsidR="00313B78">
        <w:rPr>
          <w:rFonts w:ascii="Arial" w:hAnsi="Arial" w:cs="Arial"/>
          <w:sz w:val="22"/>
          <w:lang w:val="es-ES"/>
        </w:rPr>
        <w:t xml:space="preserve"> y </w:t>
      </w:r>
      <w:r w:rsidRPr="00217435" w:rsidR="00F3570C">
        <w:rPr>
          <w:rFonts w:ascii="Arial" w:hAnsi="Arial" w:cs="Arial"/>
          <w:sz w:val="22"/>
          <w:lang w:val="es-ES"/>
        </w:rPr>
        <w:t>el acta de liquidación</w:t>
      </w:r>
      <w:r w:rsidR="00313B78">
        <w:rPr>
          <w:rFonts w:ascii="Arial" w:hAnsi="Arial" w:cs="Arial"/>
          <w:sz w:val="22"/>
          <w:lang w:val="es-ES"/>
        </w:rPr>
        <w:t>.</w:t>
      </w:r>
    </w:p>
    <w:p w:rsidR="00313B78" w:rsidP="00313B78" w:rsidRDefault="00313B78" w14:paraId="6F030F73" w14:textId="60CDBD87">
      <w:pPr>
        <w:spacing w:after="120" w:line="276" w:lineRule="auto"/>
        <w:ind w:firstLine="709"/>
        <w:jc w:val="both"/>
        <w:rPr>
          <w:rFonts w:ascii="Arial" w:hAnsi="Arial" w:cs="Arial"/>
          <w:sz w:val="22"/>
          <w:lang w:val="es-ES"/>
        </w:rPr>
      </w:pPr>
      <w:r>
        <w:rPr>
          <w:rFonts w:ascii="Arial" w:hAnsi="Arial" w:cs="Arial"/>
          <w:sz w:val="22"/>
          <w:lang w:val="es-ES"/>
        </w:rPr>
        <w:t xml:space="preserve">También deben publicarse en el SECOP </w:t>
      </w:r>
      <w:r w:rsidRPr="00217435" w:rsidR="00F3570C">
        <w:rPr>
          <w:rFonts w:ascii="Arial" w:hAnsi="Arial" w:cs="Arial"/>
          <w:sz w:val="22"/>
          <w:lang w:val="es-ES"/>
        </w:rPr>
        <w:t>los actos administrativos expedidos con ocasión del procedimiento de selección o la ejecución del contrato, como las resoluciones de apertura, de adjudicación, las que se impongan multas, la cláusula penal o declaren la caducidad del contrato;</w:t>
      </w:r>
      <w:r>
        <w:rPr>
          <w:rFonts w:ascii="Arial" w:hAnsi="Arial" w:cs="Arial"/>
          <w:sz w:val="22"/>
          <w:lang w:val="es-ES"/>
        </w:rPr>
        <w:t xml:space="preserve"> así como </w:t>
      </w:r>
      <w:r w:rsidRPr="00217435" w:rsidR="00F3570C">
        <w:rPr>
          <w:rFonts w:ascii="Arial" w:hAnsi="Arial" w:cs="Arial"/>
          <w:sz w:val="22"/>
          <w:lang w:val="es-ES"/>
        </w:rPr>
        <w:t>los documentos de los procesos por incumplimiento contractual que se lleven a cabo conforme al artículo 86 de la Ley 1474 de 2011, como la citación, las pruebas que se practiquen, la resolución que resuelve la actuación y demás documentos que se produzcan</w:t>
      </w:r>
      <w:r>
        <w:rPr>
          <w:rFonts w:ascii="Arial" w:hAnsi="Arial" w:cs="Arial"/>
          <w:sz w:val="22"/>
          <w:lang w:val="es-ES"/>
        </w:rPr>
        <w:t>.</w:t>
      </w:r>
    </w:p>
    <w:p w:rsidRPr="00217435" w:rsidR="00F3570C" w:rsidP="00313B78" w:rsidRDefault="00DC2A22" w14:paraId="2D20CC3A" w14:textId="59A85EA3">
      <w:pPr>
        <w:spacing w:after="120" w:line="276" w:lineRule="auto"/>
        <w:ind w:firstLine="709"/>
        <w:jc w:val="both"/>
        <w:rPr>
          <w:rFonts w:ascii="Arial" w:hAnsi="Arial" w:cs="Arial"/>
          <w:sz w:val="22"/>
          <w:lang w:val="es-ES"/>
        </w:rPr>
      </w:pPr>
      <w:r>
        <w:rPr>
          <w:rFonts w:ascii="Arial" w:hAnsi="Arial" w:cs="Arial"/>
          <w:sz w:val="22"/>
          <w:lang w:val="es-ES"/>
        </w:rPr>
        <w:t>Así mismo,</w:t>
      </w:r>
      <w:r w:rsidR="00313B78">
        <w:rPr>
          <w:rFonts w:ascii="Arial" w:hAnsi="Arial" w:cs="Arial"/>
          <w:sz w:val="22"/>
          <w:lang w:val="es-ES"/>
        </w:rPr>
        <w:t xml:space="preserve"> deben publicarse en el SECOP</w:t>
      </w:r>
      <w:r w:rsidRPr="00217435" w:rsidR="00F3570C">
        <w:rPr>
          <w:rFonts w:ascii="Arial" w:hAnsi="Arial" w:cs="Arial"/>
          <w:sz w:val="22"/>
          <w:lang w:val="es-ES"/>
        </w:rPr>
        <w:t xml:space="preserve"> las reclamaciones que presenten las partes y las respuestas que se expidan a las mismas;</w:t>
      </w:r>
      <w:r w:rsidR="00313B78">
        <w:rPr>
          <w:rFonts w:ascii="Arial" w:hAnsi="Arial" w:cs="Arial"/>
          <w:sz w:val="22"/>
          <w:lang w:val="es-ES"/>
        </w:rPr>
        <w:t xml:space="preserve"> </w:t>
      </w:r>
      <w:r w:rsidRPr="00217435" w:rsidR="00F3570C">
        <w:rPr>
          <w:rFonts w:ascii="Arial" w:hAnsi="Arial" w:cs="Arial"/>
          <w:sz w:val="22"/>
          <w:lang w:val="es-ES"/>
        </w:rPr>
        <w:t>las actas de entrega o recibo,</w:t>
      </w:r>
      <w:r w:rsidR="00313B78">
        <w:rPr>
          <w:rFonts w:ascii="Arial" w:hAnsi="Arial" w:cs="Arial"/>
          <w:sz w:val="22"/>
          <w:lang w:val="es-ES"/>
        </w:rPr>
        <w:t xml:space="preserve"> y </w:t>
      </w:r>
      <w:r w:rsidRPr="00217435" w:rsidR="00F3570C">
        <w:rPr>
          <w:rFonts w:ascii="Arial" w:hAnsi="Arial" w:cs="Arial"/>
          <w:sz w:val="22"/>
          <w:lang w:val="es-ES"/>
        </w:rPr>
        <w:t>los informes de supervisión y/o interventoría</w:t>
      </w:r>
      <w:r w:rsidR="00313B78">
        <w:rPr>
          <w:rFonts w:ascii="Arial" w:hAnsi="Arial" w:cs="Arial"/>
          <w:sz w:val="22"/>
          <w:lang w:val="es-ES"/>
        </w:rPr>
        <w:t>. E</w:t>
      </w:r>
      <w:r w:rsidRPr="00217435" w:rsidR="00F3570C">
        <w:rPr>
          <w:rFonts w:ascii="Arial" w:hAnsi="Arial" w:cs="Arial"/>
          <w:sz w:val="22"/>
          <w:lang w:val="es-ES"/>
        </w:rPr>
        <w:t xml:space="preserve">n cuanto a la ejecución, de conformidad con el </w:t>
      </w:r>
      <w:r w:rsidRPr="00217435" w:rsidR="00F3570C">
        <w:rPr>
          <w:rFonts w:ascii="Arial" w:hAnsi="Arial" w:cs="Arial"/>
          <w:sz w:val="22"/>
          <w:lang w:val="es-ES"/>
        </w:rPr>
        <w:lastRenderedPageBreak/>
        <w:t>artículo 2.1.1.2.1.8 de Decreto 1081 de 2015, deberán publicarse las aprobaciones, autorizaciones, requerimientos o informes del supervisor o del interventor, que prueben la ejecución del contrato;</w:t>
      </w:r>
      <w:r w:rsidR="00313B78">
        <w:rPr>
          <w:rFonts w:ascii="Arial" w:hAnsi="Arial" w:cs="Arial"/>
          <w:sz w:val="22"/>
          <w:lang w:val="es-ES"/>
        </w:rPr>
        <w:t xml:space="preserve"> </w:t>
      </w:r>
      <w:r w:rsidRPr="00217435" w:rsidR="00F3570C">
        <w:rPr>
          <w:rFonts w:ascii="Arial" w:hAnsi="Arial" w:cs="Arial"/>
          <w:sz w:val="22"/>
          <w:lang w:val="es-ES"/>
        </w:rPr>
        <w:t>la liquidación unilateral; y</w:t>
      </w:r>
      <w:r w:rsidR="00F1478C">
        <w:rPr>
          <w:rFonts w:ascii="Arial" w:hAnsi="Arial" w:cs="Arial"/>
          <w:sz w:val="22"/>
          <w:lang w:val="es-ES"/>
        </w:rPr>
        <w:t xml:space="preserve"> </w:t>
      </w:r>
      <w:r w:rsidRPr="00217435" w:rsidR="00F3570C">
        <w:rPr>
          <w:rFonts w:ascii="Arial" w:hAnsi="Arial" w:cs="Arial"/>
          <w:sz w:val="22"/>
          <w:lang w:val="es-ES"/>
        </w:rPr>
        <w:t xml:space="preserve">en general cualquier otro documento producido o expedido con ocasión del </w:t>
      </w:r>
      <w:r w:rsidRPr="00217435" w:rsidR="00F3570C">
        <w:rPr>
          <w:rFonts w:ascii="Arial" w:hAnsi="Arial" w:cs="Arial"/>
          <w:i/>
          <w:iCs/>
          <w:sz w:val="22"/>
          <w:lang w:val="es-ES"/>
        </w:rPr>
        <w:t>Proceso de Contratación</w:t>
      </w:r>
      <w:r w:rsidRPr="00217435" w:rsidR="00F3570C">
        <w:rPr>
          <w:rFonts w:ascii="Arial" w:hAnsi="Arial" w:cs="Arial"/>
          <w:sz w:val="22"/>
          <w:lang w:val="es-ES"/>
        </w:rPr>
        <w:t>, sin importar quién sea su autor –la Administración o el contratista–, con excepción de los que pertenecen a</w:t>
      </w:r>
      <w:r w:rsidRPr="00217435" w:rsidR="00F3570C">
        <w:rPr>
          <w:rFonts w:ascii="Arial" w:hAnsi="Arial" w:eastAsia="Arial" w:cs="Arial"/>
          <w:sz w:val="22"/>
          <w:lang w:val="es-ES"/>
        </w:rPr>
        <w:t xml:space="preserve">l marco de operaciones de bolsa de productos, expresamente excluidos de publicación por el artículo 2.2.1.1.1.7.1. del Decreto 1082 de 2015. </w:t>
      </w:r>
    </w:p>
    <w:p w:rsidRPr="00BF3A45" w:rsidR="00892E5D" w:rsidP="00BF3A45" w:rsidRDefault="00F3570C" w14:paraId="1CC24277" w14:textId="69DFD168">
      <w:pPr>
        <w:spacing w:line="276" w:lineRule="auto"/>
        <w:ind w:firstLine="709"/>
        <w:jc w:val="both"/>
        <w:rPr>
          <w:rFonts w:ascii="Arial" w:hAnsi="Arial" w:cs="Arial"/>
          <w:sz w:val="22"/>
          <w:lang w:val="es-ES"/>
        </w:rPr>
      </w:pPr>
      <w:r w:rsidRPr="00217435">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217435">
        <w:rPr>
          <w:rStyle w:val="Refdenotaalpie"/>
          <w:rFonts w:ascii="Arial" w:hAnsi="Arial" w:cs="Arial"/>
          <w:sz w:val="22"/>
          <w:lang w:val="es-ES"/>
        </w:rPr>
        <w:footnoteReference w:id="8"/>
      </w:r>
      <w:r w:rsidRPr="00217435">
        <w:rPr>
          <w:rFonts w:ascii="Arial" w:hAnsi="Arial" w:cs="Arial"/>
          <w:sz w:val="22"/>
          <w:lang w:val="es-ES"/>
        </w:rPr>
        <w:t>, así como por el principio de máxima publicidad establecido en el artículo 2 de la Ley 1712 de 2014</w:t>
      </w:r>
      <w:r w:rsidRPr="00217435">
        <w:rPr>
          <w:rStyle w:val="Refdenotaalpie"/>
          <w:rFonts w:ascii="Arial" w:hAnsi="Arial" w:cs="Arial"/>
          <w:sz w:val="22"/>
          <w:lang w:val="es-ES"/>
        </w:rPr>
        <w:footnoteReference w:id="9"/>
      </w:r>
      <w:r w:rsidRPr="00217435">
        <w:rPr>
          <w:rFonts w:ascii="Arial" w:hAnsi="Arial" w:cs="Arial"/>
          <w:sz w:val="22"/>
          <w:lang w:val="es-ES"/>
        </w:rPr>
        <w:t>, el contenido del expediente en el que reposa la actuación es información pública, independientemente de si se trata de documentos que deban  ser publicados en SECOP</w:t>
      </w:r>
      <w:r w:rsidR="00B46C4F">
        <w:rPr>
          <w:rFonts w:ascii="Arial" w:hAnsi="Arial" w:cs="Arial"/>
          <w:sz w:val="22"/>
          <w:lang w:val="es-ES"/>
        </w:rPr>
        <w:t>. Por lo anterior, el contenido del expediente</w:t>
      </w:r>
      <w:r w:rsidRPr="00217435">
        <w:rPr>
          <w:rFonts w:ascii="Arial" w:hAnsi="Arial" w:cs="Arial"/>
          <w:sz w:val="22"/>
          <w:lang w:val="es-ES"/>
        </w:rPr>
        <w:t xml:space="preserve"> puede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217435">
        <w:rPr>
          <w:rStyle w:val="Refdenotaalpie"/>
          <w:rFonts w:ascii="Arial" w:hAnsi="Arial" w:cs="Arial"/>
          <w:sz w:val="22"/>
          <w:lang w:val="es-ES"/>
        </w:rPr>
        <w:footnoteReference w:id="10"/>
      </w:r>
      <w:r w:rsidRPr="00217435">
        <w:rPr>
          <w:rFonts w:ascii="Arial" w:hAnsi="Arial" w:cs="Arial"/>
          <w:sz w:val="22"/>
          <w:lang w:val="es-ES"/>
        </w:rPr>
        <w:t xml:space="preserve">. Esta posibilidad solo se encuentra limitada respecto de la documentación que tenga la </w:t>
      </w:r>
      <w:r w:rsidRPr="00217435">
        <w:rPr>
          <w:rFonts w:ascii="Arial" w:hAnsi="Arial" w:cs="Arial"/>
          <w:sz w:val="22"/>
          <w:lang w:val="es-ES"/>
        </w:rPr>
        <w:lastRenderedPageBreak/>
        <w:t>calidad de reservada</w:t>
      </w:r>
      <w:r w:rsidRPr="00217435">
        <w:rPr>
          <w:rFonts w:ascii="Arial" w:hAnsi="Arial" w:cs="Arial"/>
          <w:sz w:val="22"/>
          <w:vertAlign w:val="superscript"/>
          <w:lang w:val="es-ES"/>
        </w:rPr>
        <w:footnoteReference w:id="11"/>
      </w:r>
      <w:r w:rsidRPr="00217435">
        <w:rPr>
          <w:rFonts w:ascii="Arial" w:hAnsi="Arial" w:cs="Arial"/>
          <w:sz w:val="22"/>
          <w:lang w:val="es-ES"/>
        </w:rPr>
        <w:t>, que deberá someterse al tratamiento establecido en el artículo 36 del CPACA, en lo relativo a la formación de cuadernos separados</w:t>
      </w:r>
      <w:r w:rsidRPr="00217435">
        <w:rPr>
          <w:rFonts w:ascii="Arial" w:hAnsi="Arial" w:cs="Arial"/>
          <w:sz w:val="22"/>
          <w:vertAlign w:val="superscript"/>
          <w:lang w:val="es-ES"/>
        </w:rPr>
        <w:footnoteReference w:id="12"/>
      </w:r>
      <w:r w:rsidRPr="00217435">
        <w:rPr>
          <w:rFonts w:ascii="Arial" w:hAnsi="Arial" w:cs="Arial"/>
          <w:sz w:val="22"/>
          <w:lang w:val="es-ES"/>
        </w:rPr>
        <w:t>.</w:t>
      </w:r>
    </w:p>
    <w:p w:rsidR="00C22D7C" w:rsidP="00C22D7C" w:rsidRDefault="00C22D7C" w14:paraId="6D053516" w14:textId="77777777">
      <w:pPr>
        <w:tabs>
          <w:tab w:val="left" w:pos="426"/>
        </w:tabs>
        <w:spacing w:line="276" w:lineRule="auto"/>
        <w:jc w:val="both"/>
        <w:rPr>
          <w:rFonts w:ascii="Arial" w:hAnsi="Arial" w:eastAsia="Calibri" w:cs="Arial"/>
          <w:b/>
          <w:bCs/>
          <w:color w:val="000000"/>
          <w:sz w:val="22"/>
          <w:lang w:val="es-ES_tradnl" w:eastAsia="en-GB"/>
        </w:rPr>
      </w:pPr>
    </w:p>
    <w:p w:rsidRPr="00953554" w:rsidR="00892E5D" w:rsidP="00C22D7C" w:rsidRDefault="00892E5D" w14:paraId="637C9ECD" w14:textId="46145827">
      <w:pPr>
        <w:tabs>
          <w:tab w:val="left" w:pos="426"/>
        </w:tabs>
        <w:spacing w:line="276" w:lineRule="auto"/>
        <w:jc w:val="both"/>
        <w:rPr>
          <w:rFonts w:ascii="Arial" w:hAnsi="Arial" w:eastAsia="Calibri" w:cs="Arial"/>
          <w:b/>
          <w:bCs/>
          <w:color w:val="000000"/>
          <w:sz w:val="22"/>
          <w:lang w:val="es-ES_tradnl" w:eastAsia="en-GB"/>
        </w:rPr>
      </w:pPr>
      <w:r w:rsidRPr="00953554">
        <w:rPr>
          <w:rFonts w:ascii="Arial" w:hAnsi="Arial" w:eastAsia="Calibri" w:cs="Arial"/>
          <w:b/>
          <w:bCs/>
          <w:color w:val="000000"/>
          <w:sz w:val="22"/>
          <w:lang w:val="es-ES_tradnl" w:eastAsia="en-GB"/>
        </w:rPr>
        <w:t>2.</w:t>
      </w:r>
      <w:r>
        <w:rPr>
          <w:rFonts w:ascii="Arial" w:hAnsi="Arial" w:eastAsia="Calibri" w:cs="Arial"/>
          <w:b/>
          <w:bCs/>
          <w:color w:val="000000"/>
          <w:sz w:val="22"/>
          <w:lang w:val="es-ES_tradnl" w:eastAsia="en-GB"/>
        </w:rPr>
        <w:t>2</w:t>
      </w:r>
      <w:r w:rsidRPr="00953554">
        <w:rPr>
          <w:rFonts w:ascii="Arial" w:hAnsi="Arial" w:eastAsia="Calibri" w:cs="Arial"/>
          <w:b/>
          <w:bCs/>
          <w:color w:val="000000"/>
          <w:sz w:val="22"/>
          <w:lang w:val="es-ES_tradnl" w:eastAsia="en-GB"/>
        </w:rPr>
        <w:t xml:space="preserve">. </w:t>
      </w:r>
      <w:r>
        <w:rPr>
          <w:rFonts w:ascii="Arial" w:hAnsi="Arial" w:eastAsia="Calibri" w:cs="Arial"/>
          <w:b/>
          <w:bCs/>
          <w:color w:val="000000"/>
          <w:sz w:val="22"/>
          <w:lang w:val="es-ES_tradnl" w:eastAsia="en-GB"/>
        </w:rPr>
        <w:t>Los datos sensibles como límite</w:t>
      </w:r>
      <w:r w:rsidR="00A44C96">
        <w:rPr>
          <w:rFonts w:ascii="Arial" w:hAnsi="Arial" w:eastAsia="Calibri" w:cs="Arial"/>
          <w:b/>
          <w:bCs/>
          <w:color w:val="000000"/>
          <w:sz w:val="22"/>
          <w:lang w:val="es-ES_tradnl" w:eastAsia="en-GB"/>
        </w:rPr>
        <w:t>s</w:t>
      </w:r>
      <w:r>
        <w:rPr>
          <w:rFonts w:ascii="Arial" w:hAnsi="Arial" w:eastAsia="Calibri" w:cs="Arial"/>
          <w:b/>
          <w:bCs/>
          <w:color w:val="000000"/>
          <w:sz w:val="22"/>
          <w:lang w:val="es-ES_tradnl" w:eastAsia="en-GB"/>
        </w:rPr>
        <w:t xml:space="preserve"> al deber de divulgación proactiva de la información en la contratación estatal</w:t>
      </w:r>
      <w:r w:rsidR="00A44C96">
        <w:rPr>
          <w:rFonts w:ascii="Arial" w:hAnsi="Arial" w:eastAsia="Calibri" w:cs="Arial"/>
          <w:b/>
          <w:bCs/>
          <w:color w:val="000000"/>
          <w:sz w:val="22"/>
          <w:lang w:val="es-ES_tradnl" w:eastAsia="en-GB"/>
        </w:rPr>
        <w:t>. Habeas data y política de transparencia</w:t>
      </w:r>
    </w:p>
    <w:p w:rsidR="00411A9E" w:rsidP="00411A9E" w:rsidRDefault="00411A9E" w14:paraId="3442AB53" w14:textId="77777777">
      <w:pPr>
        <w:tabs>
          <w:tab w:val="left" w:pos="426"/>
        </w:tabs>
        <w:spacing w:line="276" w:lineRule="auto"/>
        <w:jc w:val="both"/>
        <w:rPr>
          <w:rFonts w:ascii="Arial" w:hAnsi="Arial" w:eastAsia="Calibri" w:cs="Arial"/>
          <w:sz w:val="22"/>
          <w:lang w:val="es-ES"/>
        </w:rPr>
      </w:pPr>
    </w:p>
    <w:p w:rsidRPr="00411A9E" w:rsidR="00C22D7C" w:rsidP="00510DE9" w:rsidRDefault="00C22D7C" w14:paraId="1905C6F6" w14:textId="532CB7D3">
      <w:pPr>
        <w:tabs>
          <w:tab w:val="left" w:pos="426"/>
        </w:tabs>
        <w:spacing w:line="276" w:lineRule="auto"/>
        <w:jc w:val="both"/>
        <w:rPr>
          <w:rFonts w:ascii="Arial" w:hAnsi="Arial" w:eastAsia="Calibri" w:cs="Arial"/>
          <w:color w:val="000000"/>
          <w:sz w:val="22"/>
          <w:lang w:val="es-ES_tradnl" w:eastAsia="en-GB"/>
        </w:rPr>
      </w:pPr>
      <w:r>
        <w:rPr>
          <w:rFonts w:ascii="Arial" w:hAnsi="Arial" w:eastAsia="Calibri" w:cs="Arial"/>
          <w:sz w:val="22"/>
          <w:lang w:val="es-ES"/>
        </w:rPr>
        <w:t>No obstante lo expresado en el numeral anterior, v</w:t>
      </w:r>
      <w:r w:rsidRPr="00217435">
        <w:rPr>
          <w:rFonts w:ascii="Arial" w:hAnsi="Arial" w:eastAsia="Calibri" w:cs="Arial"/>
          <w:sz w:val="22"/>
          <w:lang w:val="es-ES"/>
        </w:rPr>
        <w:t xml:space="preserve">ale la pena aclarar que el  cumplimiento del deber de publicación de </w:t>
      </w:r>
      <w:r w:rsidR="008E1347">
        <w:rPr>
          <w:rFonts w:ascii="Arial" w:hAnsi="Arial" w:eastAsia="Calibri" w:cs="Arial"/>
          <w:sz w:val="22"/>
          <w:lang w:val="es-ES"/>
        </w:rPr>
        <w:t xml:space="preserve">la </w:t>
      </w:r>
      <w:r w:rsidR="006157A9">
        <w:rPr>
          <w:rFonts w:ascii="Arial" w:hAnsi="Arial" w:eastAsia="Calibri" w:cs="Arial"/>
          <w:sz w:val="22"/>
          <w:lang w:val="es-ES"/>
        </w:rPr>
        <w:t>documentación</w:t>
      </w:r>
      <w:r w:rsidR="008E1347">
        <w:rPr>
          <w:rFonts w:ascii="Arial" w:hAnsi="Arial" w:eastAsia="Calibri" w:cs="Arial"/>
          <w:sz w:val="22"/>
          <w:lang w:val="es-ES"/>
        </w:rPr>
        <w:t xml:space="preserve"> contractual</w:t>
      </w:r>
      <w:r w:rsidRPr="00217435">
        <w:rPr>
          <w:rFonts w:ascii="Arial" w:hAnsi="Arial" w:eastAsia="Calibri" w:cs="Arial"/>
          <w:sz w:val="22"/>
          <w:lang w:val="es-ES"/>
        </w:rPr>
        <w:t xml:space="preserve"> debe armonizarse con las normas aplicables al tipo de información que estas contienen</w:t>
      </w:r>
      <w:r w:rsidR="00B46C4F">
        <w:rPr>
          <w:rFonts w:ascii="Arial" w:hAnsi="Arial" w:eastAsia="Calibri" w:cs="Arial"/>
          <w:sz w:val="22"/>
          <w:lang w:val="es-ES"/>
        </w:rPr>
        <w:t>.</w:t>
      </w:r>
      <w:r w:rsidRPr="00217435">
        <w:rPr>
          <w:rFonts w:ascii="Arial" w:hAnsi="Arial" w:eastAsia="Calibri" w:cs="Arial"/>
          <w:sz w:val="22"/>
          <w:lang w:val="es-ES"/>
        </w:rPr>
        <w:t xml:space="preserve"> </w:t>
      </w:r>
      <w:r w:rsidR="00B46C4F">
        <w:rPr>
          <w:rFonts w:ascii="Arial" w:hAnsi="Arial" w:eastAsia="Calibri" w:cs="Arial"/>
          <w:sz w:val="22"/>
          <w:lang w:val="es-ES"/>
        </w:rPr>
        <w:t>L</w:t>
      </w:r>
      <w:r w:rsidRPr="00217435">
        <w:rPr>
          <w:rFonts w:ascii="Arial" w:hAnsi="Arial" w:eastAsia="Calibri" w:cs="Arial"/>
          <w:sz w:val="22"/>
          <w:lang w:val="es-ES"/>
        </w:rPr>
        <w:t>o</w:t>
      </w:r>
      <w:r w:rsidR="00B46C4F">
        <w:rPr>
          <w:rFonts w:ascii="Arial" w:hAnsi="Arial" w:eastAsia="Calibri" w:cs="Arial"/>
          <w:sz w:val="22"/>
          <w:lang w:val="es-ES"/>
        </w:rPr>
        <w:t xml:space="preserve"> anterior</w:t>
      </w:r>
      <w:r w:rsidRPr="00217435">
        <w:rPr>
          <w:rFonts w:ascii="Arial" w:hAnsi="Arial" w:eastAsia="Calibri" w:cs="Arial"/>
          <w:sz w:val="22"/>
          <w:lang w:val="es-ES"/>
        </w:rPr>
        <w:t xml:space="preserve"> significa que respecto de datos sensibles, información sometida a reserva o de la cual proceda un tratamiento especial que impida su publicidad, las entidades deberán proceder de conformidad con el tratamiento que impongan tales normas, absteniéndose, de ser el caso, de publicar las ofertas, o las partes pertinentes  en las que se evidencie este tipo de información.</w:t>
      </w:r>
      <w:r w:rsidR="005D7CF2">
        <w:rPr>
          <w:rFonts w:ascii="Arial" w:hAnsi="Arial" w:eastAsia="Calibri" w:cs="Arial"/>
          <w:sz w:val="22"/>
          <w:lang w:val="es-ES"/>
        </w:rPr>
        <w:t xml:space="preserve"> </w:t>
      </w:r>
      <w:r w:rsidRPr="00217435">
        <w:rPr>
          <w:rFonts w:ascii="Arial" w:hAnsi="Arial" w:eastAsia="Calibri" w:cs="Arial"/>
          <w:sz w:val="22"/>
          <w:lang w:val="es-ES"/>
        </w:rPr>
        <w:t xml:space="preserve">Para dichos eventos,  la plataforma SECOP II, </w:t>
      </w:r>
      <w:r w:rsidRPr="00217435">
        <w:rPr>
          <w:rFonts w:ascii="Arial" w:hAnsi="Arial" w:cs="Arial"/>
          <w:sz w:val="22"/>
          <w:lang w:val="es-ES"/>
        </w:rPr>
        <w:t xml:space="preserve">antes de publicar las ofertas, brinda a las </w:t>
      </w:r>
      <w:r w:rsidRPr="00217435">
        <w:rPr>
          <w:rFonts w:ascii="Arial" w:hAnsi="Arial" w:cs="Arial"/>
          <w:sz w:val="22"/>
          <w:lang w:val="es-ES"/>
        </w:rPr>
        <w:lastRenderedPageBreak/>
        <w:t>entidades la opción de calificar dicha información como confidencial, lo cual impide que los documentos se publiquen.</w:t>
      </w:r>
    </w:p>
    <w:p w:rsidRPr="00C22D7C" w:rsidR="00A44C96" w:rsidP="00510DE9" w:rsidRDefault="00713526" w14:paraId="4ACBA52F" w14:textId="49E6AD38">
      <w:pPr>
        <w:spacing w:before="120" w:line="276" w:lineRule="auto"/>
        <w:ind w:firstLine="709"/>
        <w:jc w:val="both"/>
        <w:rPr>
          <w:rFonts w:ascii="Arial" w:hAnsi="Arial" w:cs="Arial"/>
          <w:sz w:val="22"/>
          <w:lang w:val="es-ES"/>
        </w:rPr>
      </w:pPr>
      <w:r>
        <w:rPr>
          <w:rFonts w:ascii="Arial" w:hAnsi="Arial" w:eastAsia="Calibri" w:cs="Arial"/>
          <w:color w:val="000000"/>
          <w:sz w:val="22"/>
          <w:lang w:val="es-ES_tradnl" w:eastAsia="en-GB"/>
        </w:rPr>
        <w:t>En otras palabras, p</w:t>
      </w:r>
      <w:r w:rsidRPr="005B3621" w:rsidR="005B3621">
        <w:rPr>
          <w:rFonts w:ascii="Arial" w:hAnsi="Arial" w:eastAsia="Calibri" w:cs="Arial"/>
          <w:color w:val="000000"/>
          <w:sz w:val="22"/>
          <w:lang w:val="es-ES_tradnl" w:eastAsia="en-GB"/>
        </w:rPr>
        <w:t>or más de que el artículo 74 de la Constitución establezca que la información pública debe ser dada a conocer a la ciudadanía y así los documentos que hagan parte de la actividad contractual pueda</w:t>
      </w:r>
      <w:r>
        <w:rPr>
          <w:rFonts w:ascii="Arial" w:hAnsi="Arial" w:eastAsia="Calibri" w:cs="Arial"/>
          <w:color w:val="000000"/>
          <w:sz w:val="22"/>
          <w:lang w:val="es-ES_tradnl" w:eastAsia="en-GB"/>
        </w:rPr>
        <w:t>n</w:t>
      </w:r>
      <w:r w:rsidRPr="005B3621" w:rsidR="005B3621">
        <w:rPr>
          <w:rFonts w:ascii="Arial" w:hAnsi="Arial" w:eastAsia="Calibri" w:cs="Arial"/>
          <w:color w:val="000000"/>
          <w:sz w:val="22"/>
          <w:lang w:val="es-ES_tradnl" w:eastAsia="en-GB"/>
        </w:rPr>
        <w:t xml:space="preserve"> catalogarse</w:t>
      </w:r>
      <w:r>
        <w:rPr>
          <w:rFonts w:ascii="Arial" w:hAnsi="Arial" w:eastAsia="Calibri" w:cs="Arial"/>
          <w:color w:val="000000"/>
          <w:sz w:val="22"/>
          <w:lang w:val="es-ES_tradnl" w:eastAsia="en-GB"/>
        </w:rPr>
        <w:t xml:space="preserve">, </w:t>
      </w:r>
      <w:r>
        <w:rPr>
          <w:rFonts w:ascii="Arial" w:hAnsi="Arial" w:eastAsia="Calibri" w:cs="Arial"/>
          <w:i/>
          <w:iCs/>
          <w:color w:val="000000"/>
          <w:sz w:val="22"/>
          <w:lang w:val="es-ES_tradnl" w:eastAsia="en-GB"/>
        </w:rPr>
        <w:t>prima facie,</w:t>
      </w:r>
      <w:r w:rsidRPr="005B3621" w:rsidR="005B3621">
        <w:rPr>
          <w:rFonts w:ascii="Arial" w:hAnsi="Arial" w:eastAsia="Calibri" w:cs="Arial"/>
          <w:color w:val="000000"/>
          <w:sz w:val="22"/>
          <w:lang w:val="es-ES_tradnl" w:eastAsia="en-GB"/>
        </w:rPr>
        <w:t xml:space="preserve"> como información pública,</w:t>
      </w:r>
      <w:r>
        <w:rPr>
          <w:rFonts w:ascii="Arial" w:hAnsi="Arial" w:eastAsia="Calibri" w:cs="Arial"/>
          <w:color w:val="000000"/>
          <w:sz w:val="22"/>
          <w:lang w:val="es-ES_tradnl" w:eastAsia="en-GB"/>
        </w:rPr>
        <w:t xml:space="preserve"> </w:t>
      </w:r>
      <w:r w:rsidRPr="005B3621" w:rsidR="005B3621">
        <w:rPr>
          <w:rFonts w:ascii="Arial" w:hAnsi="Arial" w:eastAsia="Calibri" w:cs="Arial"/>
          <w:color w:val="000000"/>
          <w:sz w:val="22"/>
          <w:lang w:val="es-ES_tradnl" w:eastAsia="en-GB"/>
        </w:rPr>
        <w:t>cuando dicha documentación contenga datos sensibles,</w:t>
      </w:r>
      <w:r>
        <w:rPr>
          <w:rFonts w:ascii="Arial" w:hAnsi="Arial" w:eastAsia="Calibri" w:cs="Arial"/>
          <w:color w:val="000000"/>
          <w:sz w:val="22"/>
          <w:lang w:val="es-ES_tradnl" w:eastAsia="en-GB"/>
        </w:rPr>
        <w:t xml:space="preserve"> operan algunas restricciones a su publicidad. Sin embargo,</w:t>
      </w:r>
      <w:r w:rsidRPr="005B3621" w:rsidR="005B3621">
        <w:rPr>
          <w:rFonts w:ascii="Arial" w:hAnsi="Arial" w:eastAsia="Calibri" w:cs="Arial"/>
          <w:color w:val="000000"/>
          <w:sz w:val="22"/>
          <w:lang w:val="es-ES_tradnl" w:eastAsia="en-GB"/>
        </w:rPr>
        <w:t xml:space="preserve"> esto</w:t>
      </w:r>
      <w:r>
        <w:rPr>
          <w:rFonts w:ascii="Arial" w:hAnsi="Arial" w:eastAsia="Calibri" w:cs="Arial"/>
          <w:color w:val="000000"/>
          <w:sz w:val="22"/>
          <w:lang w:val="es-ES_tradnl" w:eastAsia="en-GB"/>
        </w:rPr>
        <w:t xml:space="preserve"> no necesariamente</w:t>
      </w:r>
      <w:r w:rsidRPr="005B3621" w:rsidR="005B3621">
        <w:rPr>
          <w:rFonts w:ascii="Arial" w:hAnsi="Arial" w:eastAsia="Calibri" w:cs="Arial"/>
          <w:color w:val="000000"/>
          <w:sz w:val="22"/>
          <w:lang w:val="es-ES_tradnl" w:eastAsia="en-GB"/>
        </w:rPr>
        <w:t xml:space="preserve"> convierte el documento completo en reservado, es decir, en un documento que no puede publicarse.</w:t>
      </w:r>
    </w:p>
    <w:p w:rsidR="00A44C96" w:rsidP="00510DE9" w:rsidRDefault="000D75E1" w14:paraId="4483AFA9" w14:textId="2F0208D9">
      <w:pPr>
        <w:tabs>
          <w:tab w:val="left" w:pos="426"/>
        </w:tabs>
        <w:spacing w:before="120" w:line="276" w:lineRule="auto"/>
        <w:ind w:firstLine="709"/>
        <w:jc w:val="both"/>
        <w:rPr>
          <w:rFonts w:ascii="Arial" w:hAnsi="Arial" w:eastAsia="Calibri" w:cs="Arial"/>
          <w:color w:val="000000"/>
          <w:sz w:val="22"/>
          <w:lang w:val="es-ES_tradnl" w:eastAsia="en-GB"/>
        </w:rPr>
      </w:pPr>
      <w:r>
        <w:rPr>
          <w:rFonts w:ascii="Arial" w:hAnsi="Arial" w:eastAsia="Calibri" w:cs="Arial"/>
          <w:color w:val="000000"/>
          <w:sz w:val="22"/>
          <w:lang w:val="es-ES_tradnl" w:eastAsia="en-GB"/>
        </w:rPr>
        <w:t xml:space="preserve">El </w:t>
      </w:r>
      <w:r w:rsidR="004D0446">
        <w:rPr>
          <w:rFonts w:ascii="Arial" w:hAnsi="Arial" w:eastAsia="Calibri" w:cs="Arial"/>
          <w:color w:val="000000"/>
          <w:sz w:val="22"/>
          <w:lang w:val="es-ES_tradnl" w:eastAsia="en-GB"/>
        </w:rPr>
        <w:t>enunciado constitucional</w:t>
      </w:r>
      <w:r w:rsidRPr="005B3621" w:rsidR="005B3621">
        <w:rPr>
          <w:rFonts w:ascii="Arial" w:hAnsi="Arial" w:eastAsia="Calibri" w:cs="Arial"/>
          <w:color w:val="000000"/>
          <w:sz w:val="22"/>
          <w:lang w:val="es-ES_tradnl" w:eastAsia="en-GB"/>
        </w:rPr>
        <w:t>, en armonía con los artículos 18 y 19 de la Ley 1712 de 2014 y los artículos 24 y 25 de la Ley 1437 de 2011, establecen que el derecho de acceso a la información o documentación pública no es absoluto, sino que puede exceptuarse c</w:t>
      </w:r>
      <w:r w:rsidRPr="005B3621" w:rsidR="005B3621">
        <w:rPr>
          <w:rFonts w:ascii="Arial" w:hAnsi="Arial" w:eastAsia="Calibri" w:cs="Arial"/>
          <w:color w:val="000000"/>
          <w:sz w:val="22"/>
          <w:szCs w:val="22"/>
          <w:lang w:val="es-ES_tradnl" w:eastAsia="en-GB"/>
        </w:rPr>
        <w:t>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numeral 3° del artículo 3° del Decreto 1377 de 2013, solo podrá divulgarse según las reglas establecidas en dichas normas. Pero esto no quiere decir que todo el documento se convierta en reservado, sino que se debe proceder como se indica a continuación.</w:t>
      </w:r>
    </w:p>
    <w:p w:rsidRPr="005B3621" w:rsidR="005B3621" w:rsidP="000D75E1" w:rsidRDefault="005B3621" w14:paraId="3313B95C" w14:textId="7019E5C0">
      <w:pPr>
        <w:tabs>
          <w:tab w:val="left" w:pos="426"/>
        </w:tabs>
        <w:spacing w:before="120" w:line="276" w:lineRule="auto"/>
        <w:ind w:firstLine="709"/>
        <w:jc w:val="both"/>
        <w:rPr>
          <w:rFonts w:ascii="Arial" w:hAnsi="Arial" w:eastAsia="Calibri" w:cs="Arial"/>
          <w:color w:val="000000"/>
          <w:sz w:val="22"/>
          <w:lang w:val="es-ES_tradnl" w:eastAsia="en-GB"/>
        </w:rPr>
      </w:pPr>
      <w:r w:rsidRPr="005B3621">
        <w:rPr>
          <w:rFonts w:ascii="Arial" w:hAnsi="Arial" w:eastAsia="Calibri" w:cs="Arial"/>
          <w:color w:val="000000"/>
          <w:sz w:val="22"/>
          <w:lang w:val="es-ES_tradnl" w:eastAsia="en-GB"/>
        </w:rPr>
        <w:t xml:space="preserve">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w:t>
      </w:r>
      <w:r w:rsidR="00B46C4F">
        <w:rPr>
          <w:rFonts w:ascii="Arial" w:hAnsi="Arial" w:eastAsia="Calibri" w:cs="Arial"/>
          <w:color w:val="000000"/>
          <w:sz w:val="22"/>
          <w:lang w:val="es-ES_tradnl" w:eastAsia="en-GB"/>
        </w:rPr>
        <w:t>Sin embargo</w:t>
      </w:r>
      <w:r w:rsidRPr="005B3621">
        <w:rPr>
          <w:rFonts w:ascii="Arial" w:hAnsi="Arial" w:eastAsia="Calibri" w:cs="Arial"/>
          <w:color w:val="000000"/>
          <w:sz w:val="22"/>
          <w:lang w:val="es-ES_tradnl" w:eastAsia="en-GB"/>
        </w:rPr>
        <w:t xml:space="preserve">, de acuerdo con el segundo inciso del artículo 25 de la Ley 1437 de 2011 </w:t>
      </w:r>
      <w:r w:rsidR="00F26F33">
        <w:rPr>
          <w:rFonts w:ascii="Arial" w:hAnsi="Arial" w:eastAsia="Calibri" w:cs="Arial"/>
          <w:color w:val="000000"/>
          <w:sz w:val="22"/>
          <w:lang w:val="es-ES_tradnl" w:eastAsia="en-GB"/>
        </w:rPr>
        <w:t>«</w:t>
      </w:r>
      <w:r w:rsidRPr="005B3621">
        <w:rPr>
          <w:rFonts w:ascii="Arial" w:hAnsi="Arial" w:eastAsia="Calibri" w:cs="Arial"/>
          <w:color w:val="000000"/>
          <w:sz w:val="22"/>
          <w:lang w:val="es-ES_tradnl" w:eastAsia="en-GB"/>
        </w:rPr>
        <w:t>La restricción por reserva legal no se extenderá a otras piezas del respectivo expediente o actuación que no estén cubiertas por ella</w:t>
      </w:r>
      <w:r w:rsidR="00F26F33">
        <w:rPr>
          <w:rFonts w:ascii="Arial" w:hAnsi="Arial" w:eastAsia="Calibri" w:cs="Arial"/>
          <w:color w:val="000000"/>
          <w:sz w:val="22"/>
          <w:lang w:val="es-ES_tradnl" w:eastAsia="en-GB"/>
        </w:rPr>
        <w:t>»</w:t>
      </w:r>
      <w:r w:rsidRPr="005B3621">
        <w:rPr>
          <w:rFonts w:ascii="Arial" w:hAnsi="Arial" w:eastAsia="Calibri" w:cs="Arial"/>
          <w:color w:val="000000"/>
          <w:sz w:val="22"/>
          <w:lang w:val="es-ES_tradnl" w:eastAsia="en-GB"/>
        </w:rPr>
        <w:t xml:space="preserve">. </w:t>
      </w:r>
      <w:r w:rsidR="00B46C4F">
        <w:rPr>
          <w:rFonts w:ascii="Arial" w:hAnsi="Arial" w:eastAsia="Calibri" w:cs="Arial"/>
          <w:color w:val="000000"/>
          <w:sz w:val="22"/>
          <w:lang w:val="es-ES_tradnl" w:eastAsia="en-GB"/>
        </w:rPr>
        <w:t>Por ello,</w:t>
      </w:r>
      <w:r w:rsidRPr="005B3621">
        <w:rPr>
          <w:rFonts w:ascii="Arial" w:hAnsi="Arial" w:eastAsia="Calibri" w:cs="Arial"/>
          <w:color w:val="000000"/>
          <w:sz w:val="22"/>
          <w:lang w:val="es-ES_tradnl" w:eastAsia="en-GB"/>
        </w:rPr>
        <w:t xml:space="preserve">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w:t>
      </w:r>
    </w:p>
    <w:p w:rsidR="001946AE" w:rsidP="00510DE9" w:rsidRDefault="001946AE" w14:paraId="66024872" w14:textId="77777777">
      <w:pPr>
        <w:tabs>
          <w:tab w:val="left" w:pos="0"/>
        </w:tabs>
        <w:jc w:val="both"/>
        <w:rPr>
          <w:rFonts w:ascii="Arial" w:hAnsi="Arial" w:eastAsia="Calibri" w:cs="Arial"/>
          <w:b/>
          <w:color w:val="000000" w:themeColor="text1"/>
          <w:sz w:val="22"/>
          <w:lang w:val="es-ES_tradnl"/>
        </w:rPr>
      </w:pPr>
    </w:p>
    <w:p w:rsidRPr="00404C61" w:rsidR="00DD5B04" w:rsidP="00510DE9" w:rsidRDefault="004177A6" w14:paraId="37CA9805" w14:textId="04B47E18">
      <w:pPr>
        <w:tabs>
          <w:tab w:val="left" w:pos="0"/>
        </w:tabs>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3</w:t>
      </w:r>
      <w:r w:rsidRPr="00404C61" w:rsidR="00B011A9">
        <w:rPr>
          <w:rFonts w:ascii="Arial" w:hAnsi="Arial" w:eastAsia="Calibri" w:cs="Arial"/>
          <w:b/>
          <w:color w:val="000000" w:themeColor="text1"/>
          <w:sz w:val="22"/>
          <w:lang w:val="es-ES_tradnl"/>
        </w:rPr>
        <w:t xml:space="preserve">. </w:t>
      </w:r>
      <w:r w:rsidRPr="00404C61" w:rsidR="00DD5B04">
        <w:rPr>
          <w:rFonts w:ascii="Arial" w:hAnsi="Arial" w:eastAsia="Calibri" w:cs="Arial"/>
          <w:b/>
          <w:color w:val="000000" w:themeColor="text1"/>
          <w:sz w:val="22"/>
          <w:lang w:val="es-ES_tradnl"/>
        </w:rPr>
        <w:t>Respuesta</w:t>
      </w:r>
      <w:r w:rsidR="00CC71D3">
        <w:rPr>
          <w:rFonts w:ascii="Arial" w:hAnsi="Arial" w:eastAsia="Calibri" w:cs="Arial"/>
          <w:b/>
          <w:color w:val="000000" w:themeColor="text1"/>
          <w:sz w:val="22"/>
          <w:lang w:val="es-ES_tradnl"/>
        </w:rPr>
        <w:t>s</w:t>
      </w:r>
    </w:p>
    <w:p w:rsidRPr="00404C61"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404C61" w:rsidR="00421BD2" w:rsidP="00510DE9" w:rsidRDefault="00421BD2" w14:paraId="0379A09B" w14:textId="77777777">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w:t>
      </w:r>
      <w:r w:rsidRPr="001D068D">
        <w:rPr>
          <w:rFonts w:ascii="Arial" w:hAnsi="Arial" w:cs="Arial"/>
          <w:color w:val="000000" w:themeColor="text1"/>
          <w:sz w:val="21"/>
          <w:szCs w:val="21"/>
          <w:lang w:val="es-ES_tradnl"/>
        </w:rPr>
        <w:t xml:space="preserve">En virtud de dar cumplimiento a la ley 1581 de 2012 y sus complementarios, y en general al derecho de Habeas Data, y a su vez de cumplir con el principio de publicidad de la información proveniente de la ejecución de procesos contractuales, se solicita concepto por parte de CCE con respecto a cuales serían puntualmente los datos y/o documentos sensibles que no deben ser publicados en el SECOP cómo parte del expediente contractual para su </w:t>
      </w:r>
      <w:r w:rsidRPr="001D068D">
        <w:rPr>
          <w:rFonts w:ascii="Arial" w:hAnsi="Arial" w:cs="Arial"/>
          <w:color w:val="000000" w:themeColor="text1"/>
          <w:sz w:val="21"/>
          <w:szCs w:val="21"/>
          <w:lang w:val="es-ES_tradnl"/>
        </w:rPr>
        <w:lastRenderedPageBreak/>
        <w:t>protección; esto, entendiendo que durante la ejecución de los contratos, se aportan documentos como certificaciones bancarias, rut, rit, cédulas, certificaciones médicas, material que involucra a niños, niñas y adolescentes, entre otra infinidad de casos que contienen información personal e íntima de las personas (direcciones, teléfonos, información de familiares incluso...). ¿Hasta qué punto la entidad para cumplir con el principio de publicidad debería publicar esta información sensible? ¿Cómo puede identificarse correctamente cual es la información susceptible de protección? ¿Cuál es el manejo que se le debería dar a la información catalogada como sensible resultante de la gestión contractual de la entidad? De ser necesario que esta se cargue al expediente electrónico ¿Cuál es la forma correcta de hacerlo en SECOP I y SECOP II ?</w:t>
      </w:r>
      <w:r w:rsidRPr="00404C61">
        <w:rPr>
          <w:rFonts w:ascii="Arial" w:hAnsi="Arial" w:cs="Arial"/>
          <w:color w:val="000000" w:themeColor="text1"/>
          <w:sz w:val="21"/>
          <w:szCs w:val="21"/>
          <w:lang w:val="es-ES_tradnl"/>
        </w:rPr>
        <w:t>».</w:t>
      </w:r>
    </w:p>
    <w:p w:rsidR="00EA39F7" w:rsidP="00510DE9" w:rsidRDefault="00EA39F7" w14:paraId="258CC160" w14:textId="04F32955">
      <w:pPr>
        <w:ind w:right="709"/>
        <w:jc w:val="both"/>
        <w:rPr>
          <w:rFonts w:ascii="Arial" w:hAnsi="Arial" w:cs="Arial"/>
          <w:color w:val="000000" w:themeColor="text1"/>
          <w:sz w:val="21"/>
          <w:szCs w:val="21"/>
          <w:lang w:val="es-ES_tradnl"/>
        </w:rPr>
      </w:pPr>
    </w:p>
    <w:p w:rsidR="00BE1775" w:rsidP="00510DE9" w:rsidRDefault="00D94942" w14:paraId="2E4E4C9A" w14:textId="77777777">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color="auto" w:sz="0" w:space="0" w:frame="1"/>
        </w:rPr>
      </w:pPr>
      <w:r w:rsidRPr="00D94942">
        <w:rPr>
          <w:rFonts w:ascii="Arial" w:hAnsi="Arial" w:cs="Arial"/>
          <w:color w:val="000000" w:themeColor="text1"/>
          <w:sz w:val="22"/>
          <w:szCs w:val="22"/>
        </w:rPr>
        <w:t>E</w:t>
      </w:r>
      <w:r w:rsidRPr="00D94942">
        <w:rPr>
          <w:rFonts w:ascii="Arial" w:hAnsi="Arial" w:cs="Arial"/>
          <w:color w:val="000000" w:themeColor="text1"/>
          <w:sz w:val="22"/>
          <w:szCs w:val="22"/>
          <w:bdr w:val="none" w:color="auto" w:sz="0" w:space="0" w:frame="1"/>
        </w:rPr>
        <w:t>l numeral 8 del artículo 11 y el numeral 5 del artículo 3 del Decreto Ley 4170 de 2011 solo permiten a la Agencia Nacional de Contratación Pública</w:t>
      </w:r>
      <w:r w:rsidRPr="00875434">
        <w:rPr>
          <w:rFonts w:ascii="Arial" w:hAnsi="Arial" w:cs="Arial"/>
          <w:color w:val="000000" w:themeColor="text1"/>
          <w:sz w:val="22"/>
          <w:szCs w:val="22"/>
          <w:bdr w:val="none" w:color="auto" w:sz="0" w:space="0" w:frame="1"/>
        </w:rPr>
        <w:t xml:space="preserve"> – </w:t>
      </w:r>
      <w:r w:rsidRPr="00D94942">
        <w:rPr>
          <w:rFonts w:ascii="Arial" w:hAnsi="Arial" w:cs="Arial"/>
          <w:color w:val="000000" w:themeColor="text1"/>
          <w:sz w:val="22"/>
          <w:szCs w:val="22"/>
          <w:bdr w:val="none" w:color="auto" w:sz="0" w:space="0" w:frame="1"/>
        </w:rPr>
        <w:t xml:space="preserve">Colombia Compra Eficiente resolver consultas sobre la aplicación de normas de carácter general que hagan parte del sistema de compras y contratación pública. En consecuencia, la respuesta que se brinda sobre el alcance de la prohibición de divulgar las piezas del expediente contractual que gozan de reserva o que contiene datos sensibles, se brinda en abstracto. </w:t>
      </w:r>
    </w:p>
    <w:p w:rsidRPr="00D94942" w:rsidR="00D94942" w:rsidP="00BE1775" w:rsidRDefault="00D94942" w14:paraId="7BC72468" w14:textId="28E24D52">
      <w:pPr>
        <w:pStyle w:val="NormalWeb"/>
        <w:shd w:val="clear" w:color="auto" w:fill="FFFFFF"/>
        <w:spacing w:before="120" w:beforeAutospacing="0" w:after="0" w:afterAutospacing="0" w:line="276" w:lineRule="auto"/>
        <w:ind w:firstLine="709"/>
        <w:jc w:val="both"/>
        <w:textAlignment w:val="baseline"/>
        <w:rPr>
          <w:rFonts w:ascii="Calibri" w:hAnsi="Calibri" w:cs="Calibri"/>
          <w:color w:val="000000" w:themeColor="text1"/>
          <w:sz w:val="22"/>
          <w:szCs w:val="22"/>
          <w:lang w:val="es-ES_tradnl"/>
        </w:rPr>
      </w:pPr>
      <w:r w:rsidRPr="00D94942">
        <w:rPr>
          <w:rFonts w:ascii="Arial" w:hAnsi="Arial" w:cs="Arial"/>
          <w:color w:val="000000" w:themeColor="text1"/>
          <w:sz w:val="22"/>
          <w:szCs w:val="22"/>
          <w:bdr w:val="none" w:color="auto" w:sz="0" w:space="0" w:frame="1"/>
        </w:rPr>
        <w:t>En tal sentido, en cada caso la entidad estatal contratante deberá hacer el análisis acerca de la procedencia de la publicación o de su reserva, aplicando el </w:t>
      </w:r>
      <w:r w:rsidRPr="00D94942">
        <w:rPr>
          <w:rFonts w:ascii="Arial" w:hAnsi="Arial" w:cs="Arial"/>
          <w:i/>
          <w:iCs/>
          <w:color w:val="000000" w:themeColor="text1"/>
          <w:sz w:val="22"/>
          <w:szCs w:val="22"/>
          <w:bdr w:val="none" w:color="auto" w:sz="0" w:space="0" w:frame="1"/>
        </w:rPr>
        <w:t>principio de proporcionalidad</w:t>
      </w:r>
      <w:r w:rsidRPr="00D94942">
        <w:rPr>
          <w:rFonts w:ascii="Arial" w:hAnsi="Arial" w:cs="Arial"/>
          <w:color w:val="000000" w:themeColor="text1"/>
          <w:sz w:val="22"/>
          <w:szCs w:val="22"/>
          <w:bdr w:val="none" w:color="auto" w:sz="0" w:space="0" w:frame="1"/>
        </w:rPr>
        <w:t>, es decir, haciendo el test de ponderación de los principios enfrentados: por un lado, los de publicidad o transparencia y, por otro, la intimidad, la integridad personal, los derechos de los niños, etc. Como este ejercicio solo se puede hacer en concreto, la Subdirección no indicará un listado taxativo de los documentos o apartados que no pueden publicarse</w:t>
      </w:r>
      <w:r w:rsidR="00B46C4F">
        <w:rPr>
          <w:rFonts w:ascii="Arial" w:hAnsi="Arial" w:cs="Arial"/>
          <w:color w:val="000000" w:themeColor="text1"/>
          <w:sz w:val="22"/>
          <w:szCs w:val="22"/>
          <w:bdr w:val="none" w:color="auto" w:sz="0" w:space="0" w:frame="1"/>
        </w:rPr>
        <w:t>.</w:t>
      </w:r>
      <w:r w:rsidRPr="00D94942">
        <w:rPr>
          <w:rFonts w:ascii="Arial" w:hAnsi="Arial" w:cs="Arial"/>
          <w:color w:val="000000" w:themeColor="text1"/>
          <w:sz w:val="22"/>
          <w:szCs w:val="22"/>
          <w:bdr w:val="none" w:color="auto" w:sz="0" w:space="0" w:frame="1"/>
        </w:rPr>
        <w:t xml:space="preserve"> </w:t>
      </w:r>
      <w:r w:rsidR="00B46C4F">
        <w:rPr>
          <w:rFonts w:ascii="Arial" w:hAnsi="Arial" w:cs="Arial"/>
          <w:color w:val="000000" w:themeColor="text1"/>
          <w:sz w:val="22"/>
          <w:szCs w:val="22"/>
          <w:bdr w:val="none" w:color="auto" w:sz="0" w:space="0" w:frame="1"/>
        </w:rPr>
        <w:t>Simplemente</w:t>
      </w:r>
      <w:r w:rsidRPr="00D94942">
        <w:rPr>
          <w:rFonts w:ascii="Arial" w:hAnsi="Arial" w:cs="Arial"/>
          <w:color w:val="000000" w:themeColor="text1"/>
          <w:sz w:val="22"/>
          <w:szCs w:val="22"/>
          <w:bdr w:val="none" w:color="auto" w:sz="0" w:space="0" w:frame="1"/>
        </w:rPr>
        <w:t>, a título enunciativo, aclara que si los datos aportados por el proponente son sensibles, como sucede con las cuentas bancarias, información relativa a los niños, niñas y adolescentes; o si contiene secretos industriales o comerciales, tales datos deben ser excluidos del expediente publicado en el SECOP, para proteger los derechos fundamentales, pues, en el test de ponderación, tales derechos prevalecen sobre el deber de divulgación proactiva de la información.</w:t>
      </w:r>
    </w:p>
    <w:p w:rsidRPr="00D94942" w:rsidR="00D94942" w:rsidP="00D94942" w:rsidRDefault="00D94942" w14:paraId="21CC9CF3" w14:textId="77777777"/>
    <w:p w:rsidRPr="00404C61" w:rsidR="00DD5B04" w:rsidP="00DF76A2" w:rsidRDefault="00DD5B04" w14:paraId="7B2C921D" w14:textId="676D574B">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404C61"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rsidRPr="00404C61"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921304" w:rsidP="380CB83D" w:rsidRDefault="00F90C4D" w14:paraId="30AA3DC7" w14:noSpellErr="1" w14:textId="2525ABBB">
      <w:pPr>
        <w:pStyle w:val="NormalWeb"/>
        <w:spacing w:before="0" w:beforeAutospacing="off" w:after="0" w:afterAutospacing="off" w:line="276" w:lineRule="auto"/>
        <w:jc w:val="center"/>
      </w:pPr>
    </w:p>
    <w:p w:rsidRPr="00404C61" w:rsidR="00425C43" w:rsidP="380CB83D" w:rsidRDefault="00425C43" w14:paraId="5CBAE239" w14:textId="25FE2B9D">
      <w:pPr>
        <w:pStyle w:val="Normal"/>
        <w:jc w:val="center"/>
      </w:pPr>
      <w:r w:rsidR="1DB5CE23">
        <w:drawing>
          <wp:inline wp14:editId="231B35CA" wp14:anchorId="45959748">
            <wp:extent cx="2514600" cy="1104900"/>
            <wp:effectExtent l="0" t="0" r="0" b="0"/>
            <wp:docPr id="1599699505" name="" title=""/>
            <wp:cNvGraphicFramePr>
              <a:graphicFrameLocks noChangeAspect="1"/>
            </wp:cNvGraphicFramePr>
            <a:graphic>
              <a:graphicData uri="http://schemas.openxmlformats.org/drawingml/2006/picture">
                <pic:pic>
                  <pic:nvPicPr>
                    <pic:cNvPr id="0" name=""/>
                    <pic:cNvPicPr/>
                  </pic:nvPicPr>
                  <pic:blipFill>
                    <a:blip r:embed="Raed6739f50604d4e">
                      <a:extLst>
                        <a:ext xmlns:a="http://schemas.openxmlformats.org/drawingml/2006/main" uri="{28A0092B-C50C-407E-A947-70E740481C1C}">
                          <a14:useLocalDpi val="0"/>
                        </a:ext>
                      </a:extLst>
                    </a:blip>
                    <a:stretch>
                      <a:fillRect/>
                    </a:stretch>
                  </pic:blipFill>
                  <pic:spPr>
                    <a:xfrm>
                      <a:off x="0" y="0"/>
                      <a:ext cx="2514600" cy="1104900"/>
                    </a:xfrm>
                    <a:prstGeom prst="rect">
                      <a:avLst/>
                    </a:prstGeom>
                  </pic:spPr>
                </pic:pic>
              </a:graphicData>
            </a:graphic>
          </wp:inline>
        </w:drawing>
      </w:r>
    </w:p>
    <w:p w:rsidRPr="00404C61"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04C61" w:rsidR="00DD5B04" w:rsidTr="00083F1B" w14:paraId="0C7DC5F7" w14:textId="77777777">
        <w:trPr>
          <w:trHeight w:val="315"/>
        </w:trPr>
        <w:tc>
          <w:tcPr>
            <w:tcW w:w="812" w:type="dxa"/>
            <w:vAlign w:val="center"/>
            <w:hideMark/>
          </w:tcPr>
          <w:p w:rsidRPr="00404C61" w:rsidR="00DD5B04" w:rsidP="00DF76A2" w:rsidRDefault="00DD5B04" w14:paraId="5BDB1AC9"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404C61" w:rsidR="00DD5B04" w:rsidP="00DF76A2" w:rsidRDefault="00DD5B04" w14:paraId="7F9F79B1"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Cristian Andrés Díaz Díez</w:t>
            </w:r>
          </w:p>
          <w:p w:rsidRPr="00404C61" w:rsidR="00DD5B04" w:rsidP="00DF76A2" w:rsidRDefault="00DD5B04" w14:paraId="240C71FD" w14:textId="31312C95">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Contratista</w:t>
            </w:r>
            <w:r w:rsidRPr="00404C61" w:rsidR="00FF0050">
              <w:rPr>
                <w:rFonts w:ascii="Arial" w:hAnsi="Arial" w:cs="Arial"/>
                <w:color w:val="000000" w:themeColor="text1"/>
                <w:sz w:val="16"/>
                <w:szCs w:val="16"/>
                <w:lang w:val="es-ES_tradnl" w:eastAsia="es-ES"/>
              </w:rPr>
              <w:t xml:space="preserve"> de la </w:t>
            </w:r>
            <w:r w:rsidRPr="00404C61">
              <w:rPr>
                <w:rFonts w:ascii="Arial" w:hAnsi="Arial" w:cs="Arial"/>
                <w:color w:val="000000" w:themeColor="text1"/>
                <w:sz w:val="16"/>
                <w:szCs w:val="16"/>
                <w:lang w:val="es-ES_tradnl" w:eastAsia="es-ES"/>
              </w:rPr>
              <w:t>Subdirección de Gestión Contractual</w:t>
            </w:r>
          </w:p>
        </w:tc>
      </w:tr>
      <w:tr w:rsidRPr="00404C61" w:rsidR="00DD5B04" w:rsidTr="00083F1B" w14:paraId="2F8FD650" w14:textId="77777777">
        <w:trPr>
          <w:trHeight w:val="330"/>
        </w:trPr>
        <w:tc>
          <w:tcPr>
            <w:tcW w:w="812" w:type="dxa"/>
            <w:vAlign w:val="center"/>
            <w:hideMark/>
          </w:tcPr>
          <w:p w:rsidRPr="00404C61" w:rsidR="00DD5B04" w:rsidP="00DF76A2" w:rsidRDefault="00DD5B04" w14:paraId="50203A0B"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C05A61" w:rsidP="00C05A61" w:rsidRDefault="00C05A61" w14:paraId="31F77323" w14:textId="34A3049F">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B46C4F">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rsidRPr="00404C61" w:rsidR="00DD5B04" w:rsidP="00C05A61" w:rsidRDefault="00C05A61" w14:paraId="130B3228" w14:textId="7D08C1BB">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r w:rsidRPr="00404C61" w:rsidR="00DD5B04" w:rsidTr="00083F1B" w14:paraId="0FCBCA4A" w14:textId="77777777">
        <w:trPr>
          <w:trHeight w:val="300"/>
        </w:trPr>
        <w:tc>
          <w:tcPr>
            <w:tcW w:w="812" w:type="dxa"/>
            <w:vAlign w:val="center"/>
            <w:hideMark/>
          </w:tcPr>
          <w:p w:rsidRPr="00404C61" w:rsidR="00DD5B04" w:rsidP="00DF76A2" w:rsidRDefault="00DD5B04" w14:paraId="3C1D943A" w14:textId="77777777">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6A55EE" w:rsidP="00DF76A2" w:rsidRDefault="00C05A61" w14:paraId="7180A172" w14:textId="507069B3">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B46C4F">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rsidRPr="00404C61" w:rsidR="00DD5B04" w:rsidP="00DF76A2" w:rsidRDefault="00DD5B04" w14:paraId="1ADC483B" w14:textId="77CBA2AF">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bl>
    <w:p w:rsidRPr="00404C61" w:rsidR="00746E08" w:rsidP="00215B8E" w:rsidRDefault="00746E08" w14:paraId="35B56F46" w14:textId="77777777">
      <w:pPr>
        <w:jc w:val="both"/>
        <w:rPr>
          <w:rFonts w:ascii="Arial" w:hAnsi="Arial" w:cs="Arial"/>
          <w:lang w:val="es-ES_tradnl"/>
        </w:rPr>
      </w:pPr>
    </w:p>
    <w:sectPr w:rsidRPr="00404C61"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7ED1" w:rsidRDefault="00C07ED1" w14:paraId="5175CC2F" w14:textId="77777777">
      <w:r>
        <w:separator/>
      </w:r>
    </w:p>
  </w:endnote>
  <w:endnote w:type="continuationSeparator" w:id="0">
    <w:p w:rsidR="00C07ED1" w:rsidRDefault="00C07ED1" w14:paraId="09408151" w14:textId="77777777">
      <w:r>
        <w:continuationSeparator/>
      </w:r>
    </w:p>
  </w:endnote>
  <w:endnote w:type="continuationNotice" w:id="1">
    <w:p w:rsidR="00C07ED1" w:rsidRDefault="00C07ED1" w14:paraId="466DE4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380CB83D">
      <w:drawing>
        <wp:inline wp14:editId="7763A5D5"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5792804674c840f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7ED1" w:rsidRDefault="00C07ED1" w14:paraId="75773F1A" w14:textId="77777777">
      <w:r>
        <w:separator/>
      </w:r>
    </w:p>
  </w:footnote>
  <w:footnote w:type="continuationSeparator" w:id="0">
    <w:p w:rsidR="00C07ED1" w:rsidRDefault="00C07ED1" w14:paraId="36F19F7C" w14:textId="77777777">
      <w:r>
        <w:continuationSeparator/>
      </w:r>
    </w:p>
  </w:footnote>
  <w:footnote w:type="continuationNotice" w:id="1">
    <w:p w:rsidR="00C07ED1" w:rsidRDefault="00C07ED1" w14:paraId="4534F816" w14:textId="77777777"/>
  </w:footnote>
  <w:footnote w:id="2">
    <w:p w:rsidRPr="00851936" w:rsidR="00F3570C" w:rsidP="00F3570C" w:rsidRDefault="00F3570C" w14:paraId="78EA4337"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rsidRPr="00851936" w:rsidR="00F3570C" w:rsidP="00F3570C" w:rsidRDefault="00F3570C" w14:paraId="4E219EEC" w14:textId="77777777">
      <w:pPr>
        <w:pStyle w:val="Textonotapie"/>
        <w:ind w:right="49" w:firstLine="709"/>
        <w:jc w:val="both"/>
        <w:rPr>
          <w:rFonts w:ascii="Arial" w:hAnsi="Arial" w:cs="Arial"/>
          <w:color w:val="000000" w:themeColor="text1"/>
          <w:sz w:val="19"/>
          <w:szCs w:val="19"/>
        </w:rPr>
      </w:pPr>
    </w:p>
  </w:footnote>
  <w:footnote w:id="3">
    <w:p w:rsidRPr="00851936" w:rsidR="00F3570C" w:rsidP="00F3570C" w:rsidRDefault="00F3570C" w14:paraId="57485B5D"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851936" w:rsidR="00F3570C" w:rsidP="00F3570C" w:rsidRDefault="00F3570C" w14:paraId="0DE5E763" w14:textId="77777777">
      <w:pPr>
        <w:pStyle w:val="Textonotapie"/>
        <w:ind w:right="49" w:firstLine="709"/>
        <w:jc w:val="both"/>
        <w:rPr>
          <w:rFonts w:ascii="Arial" w:hAnsi="Arial" w:cs="Arial"/>
          <w:color w:val="000000" w:themeColor="text1"/>
          <w:sz w:val="19"/>
          <w:szCs w:val="19"/>
        </w:rPr>
      </w:pPr>
    </w:p>
  </w:footnote>
  <w:footnote w:id="4">
    <w:p w:rsidRPr="00851936" w:rsidR="00F3570C" w:rsidP="00F3570C" w:rsidRDefault="00F3570C" w14:paraId="47EA8A52" w14:textId="77777777">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851936" w:rsidR="00F3570C" w:rsidP="00F3570C" w:rsidRDefault="00F3570C" w14:paraId="0BC93EF7"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rsidRPr="00851936" w:rsidR="00F3570C" w:rsidP="00F3570C" w:rsidRDefault="00F3570C" w14:paraId="42812EAC" w14:textId="77777777">
      <w:pPr>
        <w:pStyle w:val="Textonotapie"/>
        <w:ind w:right="49" w:firstLine="709"/>
        <w:jc w:val="both"/>
        <w:rPr>
          <w:rFonts w:ascii="Arial" w:hAnsi="Arial" w:cs="Arial"/>
          <w:color w:val="000000" w:themeColor="text1"/>
          <w:sz w:val="19"/>
          <w:szCs w:val="19"/>
        </w:rPr>
      </w:pPr>
    </w:p>
  </w:footnote>
  <w:footnote w:id="5">
    <w:p w:rsidRPr="00851936" w:rsidR="00F3570C" w:rsidP="00F3570C" w:rsidRDefault="00F3570C" w14:paraId="70E84503" w14:textId="77777777">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851936" w:rsidR="00F3570C" w:rsidP="00F3570C" w:rsidRDefault="00F3570C" w14:paraId="19AC7DB3" w14:textId="77777777">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rsidRPr="00851936" w:rsidR="00F3570C" w:rsidP="00F3570C" w:rsidRDefault="00F3570C" w14:paraId="095F0E61" w14:textId="77777777">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851936" w:rsidR="00F3570C" w:rsidP="00F3570C" w:rsidRDefault="00F3570C" w14:paraId="1EB74441" w14:textId="77777777">
      <w:pPr>
        <w:pStyle w:val="Textonotapie"/>
        <w:ind w:right="49" w:firstLine="709"/>
        <w:jc w:val="both"/>
        <w:rPr>
          <w:rFonts w:ascii="Arial" w:hAnsi="Arial" w:cs="Arial"/>
          <w:color w:val="000000" w:themeColor="text1"/>
          <w:sz w:val="19"/>
          <w:szCs w:val="19"/>
          <w:lang w:val="es-ES" w:eastAsia="es-ES"/>
        </w:rPr>
      </w:pPr>
    </w:p>
  </w:footnote>
  <w:footnote w:id="6">
    <w:p w:rsidRPr="00851936" w:rsidR="00F3570C" w:rsidP="00F3570C" w:rsidRDefault="00F3570C" w14:paraId="582763E1" w14:textId="77777777">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7">
    <w:p w:rsidRPr="00851936" w:rsidR="00F3570C" w:rsidP="00F3570C" w:rsidRDefault="00F3570C" w14:paraId="7A2F9011" w14:textId="77777777">
      <w:pPr>
        <w:pStyle w:val="Textonotapie"/>
        <w:rPr>
          <w:rFonts w:ascii="Arial" w:hAnsi="Arial" w:cs="Arial"/>
          <w:sz w:val="19"/>
          <w:szCs w:val="19"/>
        </w:rPr>
      </w:pPr>
    </w:p>
    <w:p w:rsidRPr="00851936" w:rsidR="00F3570C" w:rsidP="00F3570C" w:rsidRDefault="00F3570C" w14:paraId="0DB6DA82" w14:textId="77777777">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rsidRPr="008C71CB" w:rsidR="00F3570C" w:rsidP="00F3570C" w:rsidRDefault="00F3570C" w14:paraId="3AE96A4B"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r w:rsidRPr="008C71CB">
        <w:rPr>
          <w:rFonts w:ascii="Arial" w:hAnsi="Arial" w:cs="Arial"/>
          <w:color w:val="000000"/>
          <w:sz w:val="19"/>
          <w:szCs w:val="19"/>
          <w:lang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rsidRPr="008C71CB" w:rsidR="00F3570C" w:rsidP="00F3570C" w:rsidRDefault="00F3570C" w14:paraId="279F9A83"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r w:rsidRPr="008C71CB">
        <w:rPr>
          <w:rFonts w:ascii="Arial" w:hAnsi="Arial" w:cs="Arial"/>
          <w:color w:val="000000"/>
          <w:sz w:val="19"/>
          <w:szCs w:val="19"/>
          <w:lang w:eastAsia="es-CO"/>
        </w:rPr>
        <w:t> </w:t>
      </w:r>
    </w:p>
    <w:p w:rsidRPr="008C71CB" w:rsidR="00F3570C" w:rsidP="00F3570C" w:rsidRDefault="00F3570C" w14:paraId="30F75035"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r w:rsidRPr="008C71CB">
        <w:rPr>
          <w:rFonts w:ascii="Arial" w:hAnsi="Arial" w:cs="Arial"/>
          <w:color w:val="000000"/>
          <w:sz w:val="19"/>
          <w:szCs w:val="19"/>
          <w:lang w:eastAsia="es-CO"/>
        </w:rPr>
        <w:t>Principio de facilitación. En virtud de este principio los sujetos obligados deberán facilitar el ejercicio del derecho de acceso a la información pública, excluyendo exigencias o requisitos que puedan obstruirlo o impedirlo. </w:t>
      </w:r>
    </w:p>
    <w:p w:rsidRPr="008C71CB" w:rsidR="00F3570C" w:rsidP="00F3570C" w:rsidRDefault="00F3570C" w14:paraId="1ACCD913"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w:t>
      </w:r>
    </w:p>
    <w:p w:rsidRPr="008C71CB" w:rsidR="00F3570C" w:rsidP="00F3570C" w:rsidRDefault="00F3570C" w14:paraId="3FB05CE2" w14:textId="77777777">
      <w:pPr>
        <w:jc w:val="both"/>
        <w:rPr>
          <w:rFonts w:ascii="Arial" w:hAnsi="Arial" w:cs="Arial"/>
          <w:color w:val="000000"/>
          <w:sz w:val="19"/>
          <w:szCs w:val="19"/>
          <w:lang w:eastAsia="es-CO"/>
        </w:rPr>
      </w:pPr>
      <w:r w:rsidRPr="008C71CB">
        <w:rPr>
          <w:rFonts w:ascii="Arial" w:hAnsi="Arial" w:cs="Arial"/>
          <w:color w:val="000000"/>
          <w:sz w:val="19"/>
          <w:szCs w:val="19"/>
          <w:lang w:eastAsia="es-CO"/>
        </w:rPr>
        <w:t>  </w:t>
      </w:r>
      <w:r w:rsidRPr="00851936">
        <w:rPr>
          <w:rFonts w:ascii="Arial" w:hAnsi="Arial" w:cs="Arial"/>
          <w:color w:val="000000"/>
          <w:sz w:val="19"/>
          <w:szCs w:val="19"/>
          <w:lang w:eastAsia="es-CO"/>
        </w:rPr>
        <w:tab/>
      </w:r>
      <w:r w:rsidRPr="00851936">
        <w:rPr>
          <w:rFonts w:ascii="Arial" w:hAnsi="Arial" w:cs="Arial"/>
          <w:color w:val="000000"/>
          <w:sz w:val="19"/>
          <w:szCs w:val="19"/>
          <w:lang w:eastAsia="es-CO"/>
        </w:rPr>
        <w:t xml:space="preserve">» </w:t>
      </w:r>
      <w:r w:rsidRPr="008C71CB">
        <w:rPr>
          <w:rFonts w:ascii="Arial" w:hAnsi="Arial" w:cs="Arial"/>
          <w:color w:val="000000"/>
          <w:sz w:val="19"/>
          <w:szCs w:val="19"/>
          <w:lang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hAnsi="Arial" w:cs="Arial"/>
          <w:color w:val="000000"/>
          <w:sz w:val="19"/>
          <w:szCs w:val="19"/>
          <w:lang w:eastAsia="es-CO"/>
        </w:rPr>
        <w:t xml:space="preserve"> […]».</w:t>
      </w:r>
    </w:p>
    <w:p w:rsidRPr="00851936" w:rsidR="00F3570C" w:rsidP="00F3570C" w:rsidRDefault="00F3570C" w14:paraId="6BE81FAB" w14:textId="77777777">
      <w:pPr>
        <w:pStyle w:val="Textonotapie"/>
        <w:rPr>
          <w:rFonts w:ascii="Arial" w:hAnsi="Arial" w:cs="Arial"/>
          <w:sz w:val="19"/>
          <w:szCs w:val="19"/>
          <w:lang w:val="es-CO"/>
        </w:rPr>
      </w:pPr>
    </w:p>
  </w:footnote>
  <w:footnote w:id="8">
    <w:p w:rsidR="00F3570C" w:rsidP="00F3570C" w:rsidRDefault="00F3570C" w14:paraId="68C1AB5A" w14:textId="77777777">
      <w:pPr>
        <w:pStyle w:val="Textonotapie"/>
        <w:ind w:firstLine="708"/>
        <w:jc w:val="both"/>
        <w:rPr>
          <w:rFonts w:ascii="Arial" w:hAnsi="Arial" w:cs="Arial"/>
          <w:sz w:val="19"/>
          <w:szCs w:val="19"/>
        </w:rPr>
      </w:pPr>
    </w:p>
    <w:p w:rsidRPr="00851936" w:rsidR="00F3570C" w:rsidP="00F3570C" w:rsidRDefault="00F3570C" w14:paraId="68D79CDF"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rsidRPr="00851936" w:rsidR="00F3570C" w:rsidP="00F3570C" w:rsidRDefault="00F3570C" w14:paraId="32A9F68C" w14:textId="77777777">
      <w:pPr>
        <w:pStyle w:val="Textonotapie"/>
        <w:ind w:firstLine="708"/>
        <w:jc w:val="both"/>
        <w:rPr>
          <w:rFonts w:ascii="Arial" w:hAnsi="Arial" w:cs="Arial"/>
          <w:sz w:val="19"/>
          <w:szCs w:val="19"/>
        </w:rPr>
      </w:pPr>
      <w:r w:rsidRPr="00851936">
        <w:rPr>
          <w:rFonts w:ascii="Arial" w:hAnsi="Arial" w:cs="Arial"/>
          <w:sz w:val="19"/>
          <w:szCs w:val="19"/>
        </w:rPr>
        <w:t>[…]</w:t>
      </w:r>
    </w:p>
    <w:p w:rsidRPr="00851936" w:rsidR="00F3570C" w:rsidP="00F3570C" w:rsidRDefault="00F3570C" w14:paraId="3D64230A" w14:textId="77777777">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rsidRPr="00851936" w:rsidR="00F3570C" w:rsidP="00F3570C" w:rsidRDefault="00F3570C" w14:paraId="45A109BA" w14:textId="77777777">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9">
    <w:p w:rsidRPr="00851936" w:rsidR="00F3570C" w:rsidP="00F3570C" w:rsidRDefault="00F3570C" w14:paraId="4DFF0F45"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rsidRPr="00851936" w:rsidR="00F3570C" w:rsidP="00F3570C" w:rsidRDefault="00F3570C" w14:paraId="4CF996B8" w14:textId="77777777">
      <w:pPr>
        <w:pStyle w:val="Textonotapie"/>
        <w:rPr>
          <w:rFonts w:ascii="Arial" w:hAnsi="Arial" w:cs="Arial"/>
          <w:sz w:val="19"/>
          <w:szCs w:val="19"/>
          <w:lang w:val="es-CO"/>
        </w:rPr>
      </w:pPr>
    </w:p>
  </w:footnote>
  <w:footnote w:id="10">
    <w:p w:rsidRPr="00851936" w:rsidR="00F3570C" w:rsidP="00F3570C" w:rsidRDefault="00F3570C" w14:paraId="1E17E3B8"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rsidRPr="00851936" w:rsidR="00F3570C" w:rsidP="00F3570C" w:rsidRDefault="00F3570C" w14:paraId="1587B947" w14:textId="77777777">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11">
    <w:p w:rsidRPr="00851936" w:rsidR="00F3570C" w:rsidP="00F3570C" w:rsidRDefault="00F3570C" w14:paraId="12DB8B73" w14:textId="77777777">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rsidRPr="00851936" w:rsidR="00F3570C" w:rsidP="00F3570C" w:rsidRDefault="00F3570C" w14:paraId="0B81662A" w14:textId="77777777">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rsidRPr="00851936" w:rsidR="00F3570C" w:rsidP="00F3570C" w:rsidRDefault="00F3570C" w14:paraId="7E391340" w14:textId="77777777">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rsidRPr="00851936" w:rsidR="00F3570C" w:rsidP="00F3570C" w:rsidRDefault="00F3570C" w14:paraId="6EA46EB7" w14:textId="77777777">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851936" w:rsidR="00F3570C" w:rsidP="00F3570C" w:rsidRDefault="00F3570C" w14:paraId="3538550C" w14:textId="77777777">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851936" w:rsidR="00F3570C" w:rsidP="00F3570C" w:rsidRDefault="00F3570C" w14:paraId="4D237CDC" w14:textId="77777777">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rsidRPr="00851936" w:rsidR="00F3570C" w:rsidP="00F3570C" w:rsidRDefault="00F3570C" w14:paraId="6579D30B" w14:textId="77777777">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rsidRPr="00851936" w:rsidR="00F3570C" w:rsidP="00F3570C" w:rsidRDefault="00F3570C" w14:paraId="0DA24602" w14:textId="77777777">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rsidRPr="00851936" w:rsidR="00F3570C" w:rsidP="00F3570C" w:rsidRDefault="00F3570C" w14:paraId="25647B9E" w14:textId="77777777">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rsidRPr="00851936" w:rsidR="00F3570C" w:rsidP="00F3570C" w:rsidRDefault="00F3570C" w14:paraId="1AE71B6A" w14:textId="77777777">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rsidRPr="00851936" w:rsidR="00F3570C" w:rsidP="00F3570C" w:rsidRDefault="00F3570C" w14:paraId="2F138222" w14:textId="77777777">
      <w:pPr>
        <w:pStyle w:val="Textonotapie"/>
        <w:ind w:firstLine="708"/>
        <w:rPr>
          <w:rFonts w:ascii="Arial" w:hAnsi="Arial" w:cs="Arial"/>
          <w:sz w:val="19"/>
          <w:szCs w:val="19"/>
        </w:rPr>
      </w:pPr>
    </w:p>
  </w:footnote>
  <w:footnote w:id="12">
    <w:p w:rsidRPr="00851936" w:rsidR="00F3570C" w:rsidP="00F3570C" w:rsidRDefault="00F3570C" w14:paraId="1A7416EA" w14:textId="77777777">
      <w:pPr>
        <w:pStyle w:val="Textonotapie"/>
        <w:ind w:firstLine="708"/>
        <w:jc w:val="both"/>
        <w:rPr>
          <w:rFonts w:ascii="Arial" w:hAnsi="Arial" w:eastAsia="Calibri"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hAnsi="Arial" w:eastAsia="Calibri"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rsidRPr="00851936" w:rsidR="00F3570C" w:rsidP="00F3570C" w:rsidRDefault="00F3570C" w14:paraId="729FCA33" w14:textId="77777777">
      <w:pPr>
        <w:pStyle w:val="Textonotapie"/>
        <w:ind w:firstLine="708"/>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80CB83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82"/>
  <w:proofState w:spelling="clean" w:grammar="dirty"/>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C5C"/>
    <w:rsid w:val="000040D7"/>
    <w:rsid w:val="000051AF"/>
    <w:rsid w:val="000059D3"/>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717"/>
    <w:rsid w:val="00046A63"/>
    <w:rsid w:val="00046C09"/>
    <w:rsid w:val="0004716A"/>
    <w:rsid w:val="00047385"/>
    <w:rsid w:val="000504DE"/>
    <w:rsid w:val="00051074"/>
    <w:rsid w:val="00052EA0"/>
    <w:rsid w:val="000536E3"/>
    <w:rsid w:val="0005474D"/>
    <w:rsid w:val="00055CB9"/>
    <w:rsid w:val="00056F66"/>
    <w:rsid w:val="0005702F"/>
    <w:rsid w:val="00061D06"/>
    <w:rsid w:val="00062CDD"/>
    <w:rsid w:val="000640AF"/>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5B70"/>
    <w:rsid w:val="0009617E"/>
    <w:rsid w:val="000979CF"/>
    <w:rsid w:val="000A03C8"/>
    <w:rsid w:val="000A0861"/>
    <w:rsid w:val="000A12DB"/>
    <w:rsid w:val="000A17C8"/>
    <w:rsid w:val="000A2128"/>
    <w:rsid w:val="000A362F"/>
    <w:rsid w:val="000A3B49"/>
    <w:rsid w:val="000A3E8B"/>
    <w:rsid w:val="000A5AAF"/>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B77"/>
    <w:rsid w:val="000C4F49"/>
    <w:rsid w:val="000C5861"/>
    <w:rsid w:val="000C639D"/>
    <w:rsid w:val="000C6DBC"/>
    <w:rsid w:val="000C6F79"/>
    <w:rsid w:val="000C7476"/>
    <w:rsid w:val="000C7711"/>
    <w:rsid w:val="000C7AA2"/>
    <w:rsid w:val="000D0462"/>
    <w:rsid w:val="000D053D"/>
    <w:rsid w:val="000D0ED2"/>
    <w:rsid w:val="000D2563"/>
    <w:rsid w:val="000D25BF"/>
    <w:rsid w:val="000D2B7B"/>
    <w:rsid w:val="000D3FDC"/>
    <w:rsid w:val="000D4E38"/>
    <w:rsid w:val="000D50DB"/>
    <w:rsid w:val="000D6288"/>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1000FB"/>
    <w:rsid w:val="00102605"/>
    <w:rsid w:val="00103915"/>
    <w:rsid w:val="00103EA0"/>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3AED"/>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3491"/>
    <w:rsid w:val="0015361C"/>
    <w:rsid w:val="0015372F"/>
    <w:rsid w:val="00153BFB"/>
    <w:rsid w:val="0015407E"/>
    <w:rsid w:val="0015448E"/>
    <w:rsid w:val="00154A6F"/>
    <w:rsid w:val="00155D08"/>
    <w:rsid w:val="00156BE5"/>
    <w:rsid w:val="00157232"/>
    <w:rsid w:val="00160401"/>
    <w:rsid w:val="00161E62"/>
    <w:rsid w:val="00161F1C"/>
    <w:rsid w:val="0016200B"/>
    <w:rsid w:val="00163D7A"/>
    <w:rsid w:val="00164281"/>
    <w:rsid w:val="001676A9"/>
    <w:rsid w:val="00167A50"/>
    <w:rsid w:val="00167DF5"/>
    <w:rsid w:val="00170001"/>
    <w:rsid w:val="00172198"/>
    <w:rsid w:val="00172612"/>
    <w:rsid w:val="00172817"/>
    <w:rsid w:val="001734E3"/>
    <w:rsid w:val="001742BF"/>
    <w:rsid w:val="00175E49"/>
    <w:rsid w:val="001805C1"/>
    <w:rsid w:val="001813AF"/>
    <w:rsid w:val="001829CD"/>
    <w:rsid w:val="00182F01"/>
    <w:rsid w:val="0018519B"/>
    <w:rsid w:val="00185AFE"/>
    <w:rsid w:val="00185E78"/>
    <w:rsid w:val="00187177"/>
    <w:rsid w:val="00187ABD"/>
    <w:rsid w:val="0019087A"/>
    <w:rsid w:val="00191C5A"/>
    <w:rsid w:val="00191CEB"/>
    <w:rsid w:val="00191E63"/>
    <w:rsid w:val="00192D68"/>
    <w:rsid w:val="0019388B"/>
    <w:rsid w:val="001946AE"/>
    <w:rsid w:val="001946D5"/>
    <w:rsid w:val="00194E8C"/>
    <w:rsid w:val="001962EC"/>
    <w:rsid w:val="001963DD"/>
    <w:rsid w:val="00196DC9"/>
    <w:rsid w:val="001A0236"/>
    <w:rsid w:val="001A18D5"/>
    <w:rsid w:val="001A1D4A"/>
    <w:rsid w:val="001A3011"/>
    <w:rsid w:val="001A4DAF"/>
    <w:rsid w:val="001A66DF"/>
    <w:rsid w:val="001A7591"/>
    <w:rsid w:val="001A75B1"/>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068D"/>
    <w:rsid w:val="001D12D1"/>
    <w:rsid w:val="001D15DF"/>
    <w:rsid w:val="001D31A0"/>
    <w:rsid w:val="001D338E"/>
    <w:rsid w:val="001D56E9"/>
    <w:rsid w:val="001D796A"/>
    <w:rsid w:val="001D7A84"/>
    <w:rsid w:val="001E1CC4"/>
    <w:rsid w:val="001E1D38"/>
    <w:rsid w:val="001E4258"/>
    <w:rsid w:val="001E6975"/>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54E"/>
    <w:rsid w:val="00201F1E"/>
    <w:rsid w:val="0020299B"/>
    <w:rsid w:val="00202E44"/>
    <w:rsid w:val="002037AA"/>
    <w:rsid w:val="00203FE3"/>
    <w:rsid w:val="002042D8"/>
    <w:rsid w:val="00204515"/>
    <w:rsid w:val="002058D4"/>
    <w:rsid w:val="0020632A"/>
    <w:rsid w:val="00210F62"/>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7065"/>
    <w:rsid w:val="00237589"/>
    <w:rsid w:val="0023758D"/>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A02"/>
    <w:rsid w:val="00253B81"/>
    <w:rsid w:val="002554DE"/>
    <w:rsid w:val="00255E11"/>
    <w:rsid w:val="002562E5"/>
    <w:rsid w:val="00256835"/>
    <w:rsid w:val="002569F0"/>
    <w:rsid w:val="00256ECF"/>
    <w:rsid w:val="00257730"/>
    <w:rsid w:val="00257999"/>
    <w:rsid w:val="002604AA"/>
    <w:rsid w:val="0026129B"/>
    <w:rsid w:val="00261560"/>
    <w:rsid w:val="00261715"/>
    <w:rsid w:val="00261CF9"/>
    <w:rsid w:val="00261EC0"/>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624A"/>
    <w:rsid w:val="00296922"/>
    <w:rsid w:val="00297098"/>
    <w:rsid w:val="002A05D4"/>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438C"/>
    <w:rsid w:val="002B48DB"/>
    <w:rsid w:val="002B4B34"/>
    <w:rsid w:val="002B541A"/>
    <w:rsid w:val="002B6407"/>
    <w:rsid w:val="002B6416"/>
    <w:rsid w:val="002B6459"/>
    <w:rsid w:val="002B73B0"/>
    <w:rsid w:val="002C1822"/>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7C1"/>
    <w:rsid w:val="002D444B"/>
    <w:rsid w:val="002D4A45"/>
    <w:rsid w:val="002D4B42"/>
    <w:rsid w:val="002D5A1B"/>
    <w:rsid w:val="002D65BC"/>
    <w:rsid w:val="002E055C"/>
    <w:rsid w:val="002E1050"/>
    <w:rsid w:val="002E18E5"/>
    <w:rsid w:val="002E2D7D"/>
    <w:rsid w:val="002E3D76"/>
    <w:rsid w:val="002E40A1"/>
    <w:rsid w:val="002E48EC"/>
    <w:rsid w:val="002E4B44"/>
    <w:rsid w:val="002E4ECB"/>
    <w:rsid w:val="002E7847"/>
    <w:rsid w:val="002F240B"/>
    <w:rsid w:val="002F2F50"/>
    <w:rsid w:val="002F3601"/>
    <w:rsid w:val="002F45F6"/>
    <w:rsid w:val="002F7B66"/>
    <w:rsid w:val="00300CB4"/>
    <w:rsid w:val="00300E24"/>
    <w:rsid w:val="003033BA"/>
    <w:rsid w:val="003043A3"/>
    <w:rsid w:val="00304BD4"/>
    <w:rsid w:val="0030500A"/>
    <w:rsid w:val="003052EB"/>
    <w:rsid w:val="00305FCB"/>
    <w:rsid w:val="003063C3"/>
    <w:rsid w:val="00306B44"/>
    <w:rsid w:val="0031088E"/>
    <w:rsid w:val="00310D01"/>
    <w:rsid w:val="00311376"/>
    <w:rsid w:val="00311A1F"/>
    <w:rsid w:val="00311B47"/>
    <w:rsid w:val="00311D52"/>
    <w:rsid w:val="00312190"/>
    <w:rsid w:val="003125E0"/>
    <w:rsid w:val="0031271D"/>
    <w:rsid w:val="00313447"/>
    <w:rsid w:val="00313748"/>
    <w:rsid w:val="00313B78"/>
    <w:rsid w:val="00315457"/>
    <w:rsid w:val="003161A4"/>
    <w:rsid w:val="00316955"/>
    <w:rsid w:val="0031720A"/>
    <w:rsid w:val="0031749B"/>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3A88"/>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61A59"/>
    <w:rsid w:val="00363348"/>
    <w:rsid w:val="00363857"/>
    <w:rsid w:val="00363D59"/>
    <w:rsid w:val="003640F7"/>
    <w:rsid w:val="00365D3A"/>
    <w:rsid w:val="003664FF"/>
    <w:rsid w:val="00366BD2"/>
    <w:rsid w:val="003670B8"/>
    <w:rsid w:val="003706F2"/>
    <w:rsid w:val="0037124F"/>
    <w:rsid w:val="0037401C"/>
    <w:rsid w:val="0037507B"/>
    <w:rsid w:val="00375C7C"/>
    <w:rsid w:val="00375F59"/>
    <w:rsid w:val="00377135"/>
    <w:rsid w:val="00380272"/>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D25"/>
    <w:rsid w:val="003A2447"/>
    <w:rsid w:val="003A2AA1"/>
    <w:rsid w:val="003A31A5"/>
    <w:rsid w:val="003A3851"/>
    <w:rsid w:val="003A39DD"/>
    <w:rsid w:val="003A3A59"/>
    <w:rsid w:val="003A4A8E"/>
    <w:rsid w:val="003A563C"/>
    <w:rsid w:val="003A581E"/>
    <w:rsid w:val="003A6160"/>
    <w:rsid w:val="003A65A5"/>
    <w:rsid w:val="003A72F5"/>
    <w:rsid w:val="003A78E5"/>
    <w:rsid w:val="003B0341"/>
    <w:rsid w:val="003B1E57"/>
    <w:rsid w:val="003B534F"/>
    <w:rsid w:val="003B5391"/>
    <w:rsid w:val="003B65D7"/>
    <w:rsid w:val="003B6BD4"/>
    <w:rsid w:val="003B6F4D"/>
    <w:rsid w:val="003B6FE7"/>
    <w:rsid w:val="003C0D1F"/>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21C1"/>
    <w:rsid w:val="003D3B2E"/>
    <w:rsid w:val="003D484D"/>
    <w:rsid w:val="003D49CB"/>
    <w:rsid w:val="003D6B8F"/>
    <w:rsid w:val="003D7566"/>
    <w:rsid w:val="003E09BB"/>
    <w:rsid w:val="003E159D"/>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300D"/>
    <w:rsid w:val="003F391F"/>
    <w:rsid w:val="003F4599"/>
    <w:rsid w:val="003F45E1"/>
    <w:rsid w:val="003F4F6C"/>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09D2"/>
    <w:rsid w:val="00421BD2"/>
    <w:rsid w:val="00421E00"/>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B55"/>
    <w:rsid w:val="00443D27"/>
    <w:rsid w:val="00446037"/>
    <w:rsid w:val="0044642F"/>
    <w:rsid w:val="0044772C"/>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60915"/>
    <w:rsid w:val="00460946"/>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14B"/>
    <w:rsid w:val="004912A8"/>
    <w:rsid w:val="0049241A"/>
    <w:rsid w:val="00492C1F"/>
    <w:rsid w:val="00492E4C"/>
    <w:rsid w:val="00493B3A"/>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2B27"/>
    <w:rsid w:val="004C3929"/>
    <w:rsid w:val="004C5EF0"/>
    <w:rsid w:val="004C7226"/>
    <w:rsid w:val="004C7D70"/>
    <w:rsid w:val="004D02F9"/>
    <w:rsid w:val="004D03FE"/>
    <w:rsid w:val="004D0446"/>
    <w:rsid w:val="004D0F95"/>
    <w:rsid w:val="004D36AF"/>
    <w:rsid w:val="004D3BD1"/>
    <w:rsid w:val="004D4BA1"/>
    <w:rsid w:val="004D584D"/>
    <w:rsid w:val="004D6826"/>
    <w:rsid w:val="004E023F"/>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161"/>
    <w:rsid w:val="004F66BC"/>
    <w:rsid w:val="004F6C26"/>
    <w:rsid w:val="004F7AC9"/>
    <w:rsid w:val="0050062F"/>
    <w:rsid w:val="0050284E"/>
    <w:rsid w:val="005075CA"/>
    <w:rsid w:val="0051074C"/>
    <w:rsid w:val="00510DE9"/>
    <w:rsid w:val="005111E2"/>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2BD7"/>
    <w:rsid w:val="00543084"/>
    <w:rsid w:val="0054413A"/>
    <w:rsid w:val="00544288"/>
    <w:rsid w:val="005446BB"/>
    <w:rsid w:val="00545E30"/>
    <w:rsid w:val="00546C9B"/>
    <w:rsid w:val="00547BF6"/>
    <w:rsid w:val="00551598"/>
    <w:rsid w:val="0055162B"/>
    <w:rsid w:val="00551D68"/>
    <w:rsid w:val="00552B3E"/>
    <w:rsid w:val="005551AA"/>
    <w:rsid w:val="005564CA"/>
    <w:rsid w:val="005568EA"/>
    <w:rsid w:val="00557140"/>
    <w:rsid w:val="00560C87"/>
    <w:rsid w:val="00560F51"/>
    <w:rsid w:val="00561249"/>
    <w:rsid w:val="0056182B"/>
    <w:rsid w:val="00561AF3"/>
    <w:rsid w:val="00561E0B"/>
    <w:rsid w:val="00562141"/>
    <w:rsid w:val="00564704"/>
    <w:rsid w:val="00564712"/>
    <w:rsid w:val="005657A8"/>
    <w:rsid w:val="00566866"/>
    <w:rsid w:val="00567AB8"/>
    <w:rsid w:val="00570A26"/>
    <w:rsid w:val="00572539"/>
    <w:rsid w:val="0057337D"/>
    <w:rsid w:val="00573504"/>
    <w:rsid w:val="00574708"/>
    <w:rsid w:val="00574D81"/>
    <w:rsid w:val="005756AA"/>
    <w:rsid w:val="0057696F"/>
    <w:rsid w:val="0058040C"/>
    <w:rsid w:val="00580D6D"/>
    <w:rsid w:val="005813DE"/>
    <w:rsid w:val="00581796"/>
    <w:rsid w:val="00581B45"/>
    <w:rsid w:val="00582480"/>
    <w:rsid w:val="0058290E"/>
    <w:rsid w:val="00582CAB"/>
    <w:rsid w:val="0058375E"/>
    <w:rsid w:val="00584233"/>
    <w:rsid w:val="005842D0"/>
    <w:rsid w:val="005855AE"/>
    <w:rsid w:val="00585CA8"/>
    <w:rsid w:val="00586412"/>
    <w:rsid w:val="005864B9"/>
    <w:rsid w:val="005866C4"/>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7F3E"/>
    <w:rsid w:val="005D2044"/>
    <w:rsid w:val="005D2EB2"/>
    <w:rsid w:val="005D2F48"/>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F305B"/>
    <w:rsid w:val="005F3361"/>
    <w:rsid w:val="005F3B47"/>
    <w:rsid w:val="005F4481"/>
    <w:rsid w:val="005F4A58"/>
    <w:rsid w:val="005F5888"/>
    <w:rsid w:val="005F6CE2"/>
    <w:rsid w:val="005F72E9"/>
    <w:rsid w:val="00600473"/>
    <w:rsid w:val="006013C9"/>
    <w:rsid w:val="00602B45"/>
    <w:rsid w:val="006035F5"/>
    <w:rsid w:val="00603CC2"/>
    <w:rsid w:val="006047D1"/>
    <w:rsid w:val="00604A55"/>
    <w:rsid w:val="00605AC3"/>
    <w:rsid w:val="00606908"/>
    <w:rsid w:val="00607996"/>
    <w:rsid w:val="00607A37"/>
    <w:rsid w:val="0061085E"/>
    <w:rsid w:val="00611398"/>
    <w:rsid w:val="00612322"/>
    <w:rsid w:val="00613191"/>
    <w:rsid w:val="006133F9"/>
    <w:rsid w:val="006134B3"/>
    <w:rsid w:val="00613DE1"/>
    <w:rsid w:val="0061401F"/>
    <w:rsid w:val="00614166"/>
    <w:rsid w:val="00614817"/>
    <w:rsid w:val="006157A9"/>
    <w:rsid w:val="0061591D"/>
    <w:rsid w:val="00615ED0"/>
    <w:rsid w:val="0061604C"/>
    <w:rsid w:val="00616C2B"/>
    <w:rsid w:val="006178D1"/>
    <w:rsid w:val="00620719"/>
    <w:rsid w:val="006212C9"/>
    <w:rsid w:val="00622470"/>
    <w:rsid w:val="00622725"/>
    <w:rsid w:val="006231AA"/>
    <w:rsid w:val="00623482"/>
    <w:rsid w:val="00623AC2"/>
    <w:rsid w:val="006266D7"/>
    <w:rsid w:val="00626EE3"/>
    <w:rsid w:val="006274AD"/>
    <w:rsid w:val="00627532"/>
    <w:rsid w:val="006302AA"/>
    <w:rsid w:val="006310C3"/>
    <w:rsid w:val="0063161E"/>
    <w:rsid w:val="00631BB5"/>
    <w:rsid w:val="00631DD0"/>
    <w:rsid w:val="00633DBF"/>
    <w:rsid w:val="00634122"/>
    <w:rsid w:val="00635E32"/>
    <w:rsid w:val="006365DE"/>
    <w:rsid w:val="00637836"/>
    <w:rsid w:val="00637C26"/>
    <w:rsid w:val="00637F44"/>
    <w:rsid w:val="00641078"/>
    <w:rsid w:val="00641242"/>
    <w:rsid w:val="00642A32"/>
    <w:rsid w:val="006433D5"/>
    <w:rsid w:val="00646343"/>
    <w:rsid w:val="00646B20"/>
    <w:rsid w:val="00646D0F"/>
    <w:rsid w:val="00647DCC"/>
    <w:rsid w:val="00647EFA"/>
    <w:rsid w:val="00651C47"/>
    <w:rsid w:val="00652E70"/>
    <w:rsid w:val="0065339A"/>
    <w:rsid w:val="00653469"/>
    <w:rsid w:val="00654A38"/>
    <w:rsid w:val="00655301"/>
    <w:rsid w:val="00655371"/>
    <w:rsid w:val="00656C4B"/>
    <w:rsid w:val="006573EA"/>
    <w:rsid w:val="00661029"/>
    <w:rsid w:val="0066135A"/>
    <w:rsid w:val="0066272D"/>
    <w:rsid w:val="006635A0"/>
    <w:rsid w:val="00664351"/>
    <w:rsid w:val="00665968"/>
    <w:rsid w:val="00665BF7"/>
    <w:rsid w:val="00666178"/>
    <w:rsid w:val="0066639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32B8"/>
    <w:rsid w:val="00683800"/>
    <w:rsid w:val="00684C8A"/>
    <w:rsid w:val="00684CF5"/>
    <w:rsid w:val="0068553E"/>
    <w:rsid w:val="00685E7B"/>
    <w:rsid w:val="00686551"/>
    <w:rsid w:val="0068730C"/>
    <w:rsid w:val="00687504"/>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67AC"/>
    <w:rsid w:val="006B786A"/>
    <w:rsid w:val="006B7E4E"/>
    <w:rsid w:val="006C003A"/>
    <w:rsid w:val="006C255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5D8"/>
    <w:rsid w:val="006E08EE"/>
    <w:rsid w:val="006E155A"/>
    <w:rsid w:val="006E39D1"/>
    <w:rsid w:val="006E437F"/>
    <w:rsid w:val="006E4D5B"/>
    <w:rsid w:val="006E602F"/>
    <w:rsid w:val="006E7275"/>
    <w:rsid w:val="006E77B8"/>
    <w:rsid w:val="006F15CC"/>
    <w:rsid w:val="006F4147"/>
    <w:rsid w:val="006F4315"/>
    <w:rsid w:val="006F4CB0"/>
    <w:rsid w:val="006F547E"/>
    <w:rsid w:val="006F5CCF"/>
    <w:rsid w:val="0070138A"/>
    <w:rsid w:val="0070157E"/>
    <w:rsid w:val="007030D4"/>
    <w:rsid w:val="00703B61"/>
    <w:rsid w:val="00703E11"/>
    <w:rsid w:val="00704102"/>
    <w:rsid w:val="0070461C"/>
    <w:rsid w:val="00705631"/>
    <w:rsid w:val="00705F62"/>
    <w:rsid w:val="0070773F"/>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623A"/>
    <w:rsid w:val="00746420"/>
    <w:rsid w:val="00746E08"/>
    <w:rsid w:val="00746E3D"/>
    <w:rsid w:val="007473B9"/>
    <w:rsid w:val="00747C96"/>
    <w:rsid w:val="00750075"/>
    <w:rsid w:val="00750382"/>
    <w:rsid w:val="0075094E"/>
    <w:rsid w:val="00750FA8"/>
    <w:rsid w:val="00750FB5"/>
    <w:rsid w:val="007522E8"/>
    <w:rsid w:val="00753BAC"/>
    <w:rsid w:val="00754A0B"/>
    <w:rsid w:val="007552DB"/>
    <w:rsid w:val="00755B08"/>
    <w:rsid w:val="00755DD0"/>
    <w:rsid w:val="0075647A"/>
    <w:rsid w:val="00756A2F"/>
    <w:rsid w:val="007573E1"/>
    <w:rsid w:val="00757B2D"/>
    <w:rsid w:val="00757BAD"/>
    <w:rsid w:val="00757D62"/>
    <w:rsid w:val="00760867"/>
    <w:rsid w:val="00760EB6"/>
    <w:rsid w:val="007616DB"/>
    <w:rsid w:val="0076228A"/>
    <w:rsid w:val="00762440"/>
    <w:rsid w:val="007629B7"/>
    <w:rsid w:val="00762E60"/>
    <w:rsid w:val="007634AD"/>
    <w:rsid w:val="00766ECC"/>
    <w:rsid w:val="007672F3"/>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0EAB"/>
    <w:rsid w:val="007A2341"/>
    <w:rsid w:val="007A38A1"/>
    <w:rsid w:val="007A3BBE"/>
    <w:rsid w:val="007B0313"/>
    <w:rsid w:val="007B0854"/>
    <w:rsid w:val="007B1D1B"/>
    <w:rsid w:val="007B32F7"/>
    <w:rsid w:val="007B3659"/>
    <w:rsid w:val="007B4632"/>
    <w:rsid w:val="007B46A2"/>
    <w:rsid w:val="007B4828"/>
    <w:rsid w:val="007B4D4A"/>
    <w:rsid w:val="007B4F16"/>
    <w:rsid w:val="007B5428"/>
    <w:rsid w:val="007B6C64"/>
    <w:rsid w:val="007B6EC8"/>
    <w:rsid w:val="007B6F81"/>
    <w:rsid w:val="007B7EA2"/>
    <w:rsid w:val="007C097D"/>
    <w:rsid w:val="007C1672"/>
    <w:rsid w:val="007C3F3B"/>
    <w:rsid w:val="007C55FF"/>
    <w:rsid w:val="007C6339"/>
    <w:rsid w:val="007C7C43"/>
    <w:rsid w:val="007C7F0D"/>
    <w:rsid w:val="007D0687"/>
    <w:rsid w:val="007D1134"/>
    <w:rsid w:val="007D23F7"/>
    <w:rsid w:val="007D2566"/>
    <w:rsid w:val="007D2C18"/>
    <w:rsid w:val="007D2D74"/>
    <w:rsid w:val="007D3693"/>
    <w:rsid w:val="007D481A"/>
    <w:rsid w:val="007D58C5"/>
    <w:rsid w:val="007D5DE8"/>
    <w:rsid w:val="007D7CFC"/>
    <w:rsid w:val="007E18DF"/>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0E6D"/>
    <w:rsid w:val="0080150F"/>
    <w:rsid w:val="0080153A"/>
    <w:rsid w:val="00802041"/>
    <w:rsid w:val="008022C9"/>
    <w:rsid w:val="00802F9E"/>
    <w:rsid w:val="00803D9D"/>
    <w:rsid w:val="008059C6"/>
    <w:rsid w:val="00805AD7"/>
    <w:rsid w:val="00805BD6"/>
    <w:rsid w:val="00805DE3"/>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2CD0"/>
    <w:rsid w:val="00833430"/>
    <w:rsid w:val="0083417F"/>
    <w:rsid w:val="00835143"/>
    <w:rsid w:val="00835741"/>
    <w:rsid w:val="00836E74"/>
    <w:rsid w:val="00836EAB"/>
    <w:rsid w:val="00837673"/>
    <w:rsid w:val="00837937"/>
    <w:rsid w:val="00837D82"/>
    <w:rsid w:val="00840893"/>
    <w:rsid w:val="008423EC"/>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495"/>
    <w:rsid w:val="00866931"/>
    <w:rsid w:val="00867512"/>
    <w:rsid w:val="0087033C"/>
    <w:rsid w:val="008715ED"/>
    <w:rsid w:val="008717D8"/>
    <w:rsid w:val="00871E3C"/>
    <w:rsid w:val="00872F97"/>
    <w:rsid w:val="00874607"/>
    <w:rsid w:val="00874915"/>
    <w:rsid w:val="00874B89"/>
    <w:rsid w:val="00875403"/>
    <w:rsid w:val="00875434"/>
    <w:rsid w:val="00875DC5"/>
    <w:rsid w:val="00876215"/>
    <w:rsid w:val="00876815"/>
    <w:rsid w:val="00877932"/>
    <w:rsid w:val="0088106B"/>
    <w:rsid w:val="0088107D"/>
    <w:rsid w:val="00881E64"/>
    <w:rsid w:val="00882E39"/>
    <w:rsid w:val="008850EB"/>
    <w:rsid w:val="00886DF2"/>
    <w:rsid w:val="00886FB9"/>
    <w:rsid w:val="00887C79"/>
    <w:rsid w:val="0089107B"/>
    <w:rsid w:val="008913CC"/>
    <w:rsid w:val="008914AE"/>
    <w:rsid w:val="008919CF"/>
    <w:rsid w:val="00891F84"/>
    <w:rsid w:val="008928EC"/>
    <w:rsid w:val="00892E5D"/>
    <w:rsid w:val="008935CF"/>
    <w:rsid w:val="0089582D"/>
    <w:rsid w:val="008959C6"/>
    <w:rsid w:val="0089606D"/>
    <w:rsid w:val="00896129"/>
    <w:rsid w:val="0089774F"/>
    <w:rsid w:val="00897B8F"/>
    <w:rsid w:val="008A00D9"/>
    <w:rsid w:val="008A2A23"/>
    <w:rsid w:val="008A2AF5"/>
    <w:rsid w:val="008A2B5A"/>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500"/>
    <w:rsid w:val="008C2CAC"/>
    <w:rsid w:val="008C3E2A"/>
    <w:rsid w:val="008C45BD"/>
    <w:rsid w:val="008C4B19"/>
    <w:rsid w:val="008C62D4"/>
    <w:rsid w:val="008C73E2"/>
    <w:rsid w:val="008D18AA"/>
    <w:rsid w:val="008D1A2A"/>
    <w:rsid w:val="008D35D9"/>
    <w:rsid w:val="008D3B85"/>
    <w:rsid w:val="008D462D"/>
    <w:rsid w:val="008D66CA"/>
    <w:rsid w:val="008D69B1"/>
    <w:rsid w:val="008E0012"/>
    <w:rsid w:val="008E0DF7"/>
    <w:rsid w:val="008E0FAD"/>
    <w:rsid w:val="008E1347"/>
    <w:rsid w:val="008E16E0"/>
    <w:rsid w:val="008E1C15"/>
    <w:rsid w:val="008E28BD"/>
    <w:rsid w:val="008E38B4"/>
    <w:rsid w:val="008E44AB"/>
    <w:rsid w:val="008E5179"/>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3396"/>
    <w:rsid w:val="00923F56"/>
    <w:rsid w:val="00925743"/>
    <w:rsid w:val="00927E8D"/>
    <w:rsid w:val="00927F23"/>
    <w:rsid w:val="009307CD"/>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44B4"/>
    <w:rsid w:val="00945327"/>
    <w:rsid w:val="00946A24"/>
    <w:rsid w:val="009470D4"/>
    <w:rsid w:val="00947337"/>
    <w:rsid w:val="00953018"/>
    <w:rsid w:val="009533E2"/>
    <w:rsid w:val="00953554"/>
    <w:rsid w:val="0095385A"/>
    <w:rsid w:val="0095780A"/>
    <w:rsid w:val="009579E4"/>
    <w:rsid w:val="00957AA4"/>
    <w:rsid w:val="00960BDB"/>
    <w:rsid w:val="0096147D"/>
    <w:rsid w:val="00961E5F"/>
    <w:rsid w:val="009625C6"/>
    <w:rsid w:val="00962A50"/>
    <w:rsid w:val="00964138"/>
    <w:rsid w:val="00964B3F"/>
    <w:rsid w:val="00964C98"/>
    <w:rsid w:val="00971441"/>
    <w:rsid w:val="009715D4"/>
    <w:rsid w:val="0097494E"/>
    <w:rsid w:val="00974B58"/>
    <w:rsid w:val="009761ED"/>
    <w:rsid w:val="0098022F"/>
    <w:rsid w:val="009810DE"/>
    <w:rsid w:val="009822D7"/>
    <w:rsid w:val="0098427D"/>
    <w:rsid w:val="00984567"/>
    <w:rsid w:val="009865D5"/>
    <w:rsid w:val="00987C77"/>
    <w:rsid w:val="00990345"/>
    <w:rsid w:val="0099119C"/>
    <w:rsid w:val="0099137A"/>
    <w:rsid w:val="0099211C"/>
    <w:rsid w:val="00993B78"/>
    <w:rsid w:val="00995119"/>
    <w:rsid w:val="009953AD"/>
    <w:rsid w:val="0099583D"/>
    <w:rsid w:val="00996992"/>
    <w:rsid w:val="00996E1E"/>
    <w:rsid w:val="00997392"/>
    <w:rsid w:val="0099747C"/>
    <w:rsid w:val="0099771C"/>
    <w:rsid w:val="009A01E4"/>
    <w:rsid w:val="009A0A33"/>
    <w:rsid w:val="009A1351"/>
    <w:rsid w:val="009A2435"/>
    <w:rsid w:val="009A35DC"/>
    <w:rsid w:val="009A38AB"/>
    <w:rsid w:val="009A3D47"/>
    <w:rsid w:val="009A5356"/>
    <w:rsid w:val="009A5468"/>
    <w:rsid w:val="009A5D99"/>
    <w:rsid w:val="009A608C"/>
    <w:rsid w:val="009A6FDF"/>
    <w:rsid w:val="009A76D6"/>
    <w:rsid w:val="009B2E29"/>
    <w:rsid w:val="009B422F"/>
    <w:rsid w:val="009B46BC"/>
    <w:rsid w:val="009B4D1A"/>
    <w:rsid w:val="009B558B"/>
    <w:rsid w:val="009B6D21"/>
    <w:rsid w:val="009C181C"/>
    <w:rsid w:val="009C1C7F"/>
    <w:rsid w:val="009C28A2"/>
    <w:rsid w:val="009C3239"/>
    <w:rsid w:val="009C3828"/>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604F"/>
    <w:rsid w:val="009D61BB"/>
    <w:rsid w:val="009D6410"/>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781"/>
    <w:rsid w:val="009F0850"/>
    <w:rsid w:val="009F1BDF"/>
    <w:rsid w:val="009F1EAE"/>
    <w:rsid w:val="009F369D"/>
    <w:rsid w:val="009F36FE"/>
    <w:rsid w:val="009F4F25"/>
    <w:rsid w:val="009F59C2"/>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30368"/>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52EE5"/>
    <w:rsid w:val="00A53037"/>
    <w:rsid w:val="00A532B9"/>
    <w:rsid w:val="00A5351D"/>
    <w:rsid w:val="00A53E79"/>
    <w:rsid w:val="00A54031"/>
    <w:rsid w:val="00A55122"/>
    <w:rsid w:val="00A56DE7"/>
    <w:rsid w:val="00A57EB2"/>
    <w:rsid w:val="00A6009E"/>
    <w:rsid w:val="00A60B1F"/>
    <w:rsid w:val="00A61C60"/>
    <w:rsid w:val="00A62C3A"/>
    <w:rsid w:val="00A63812"/>
    <w:rsid w:val="00A668BA"/>
    <w:rsid w:val="00A66FA7"/>
    <w:rsid w:val="00A67E16"/>
    <w:rsid w:val="00A703CC"/>
    <w:rsid w:val="00A70C5C"/>
    <w:rsid w:val="00A71EA7"/>
    <w:rsid w:val="00A73D64"/>
    <w:rsid w:val="00A74216"/>
    <w:rsid w:val="00A751E3"/>
    <w:rsid w:val="00A75504"/>
    <w:rsid w:val="00A77168"/>
    <w:rsid w:val="00A7723B"/>
    <w:rsid w:val="00A80085"/>
    <w:rsid w:val="00A8043B"/>
    <w:rsid w:val="00A81323"/>
    <w:rsid w:val="00A820CB"/>
    <w:rsid w:val="00A82342"/>
    <w:rsid w:val="00A83BEF"/>
    <w:rsid w:val="00A84443"/>
    <w:rsid w:val="00A8487F"/>
    <w:rsid w:val="00A84A0E"/>
    <w:rsid w:val="00A86E0B"/>
    <w:rsid w:val="00A90F12"/>
    <w:rsid w:val="00A93101"/>
    <w:rsid w:val="00A94293"/>
    <w:rsid w:val="00A9496E"/>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BE1"/>
    <w:rsid w:val="00AA7416"/>
    <w:rsid w:val="00AA7A60"/>
    <w:rsid w:val="00AA7B42"/>
    <w:rsid w:val="00AB041C"/>
    <w:rsid w:val="00AB14E8"/>
    <w:rsid w:val="00AB1B1D"/>
    <w:rsid w:val="00AB358D"/>
    <w:rsid w:val="00AB37A1"/>
    <w:rsid w:val="00AB3CFD"/>
    <w:rsid w:val="00AB49BC"/>
    <w:rsid w:val="00AB4DEE"/>
    <w:rsid w:val="00AB4E32"/>
    <w:rsid w:val="00AB726C"/>
    <w:rsid w:val="00AB72B4"/>
    <w:rsid w:val="00AC02AA"/>
    <w:rsid w:val="00AC0537"/>
    <w:rsid w:val="00AC0A84"/>
    <w:rsid w:val="00AC2A0B"/>
    <w:rsid w:val="00AC2E53"/>
    <w:rsid w:val="00AC484F"/>
    <w:rsid w:val="00AC4B20"/>
    <w:rsid w:val="00AC56F2"/>
    <w:rsid w:val="00AC71C3"/>
    <w:rsid w:val="00AC71C4"/>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6DC5"/>
    <w:rsid w:val="00AE74FE"/>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3C1E"/>
    <w:rsid w:val="00B04400"/>
    <w:rsid w:val="00B04835"/>
    <w:rsid w:val="00B05A55"/>
    <w:rsid w:val="00B05DE1"/>
    <w:rsid w:val="00B06595"/>
    <w:rsid w:val="00B10109"/>
    <w:rsid w:val="00B1085E"/>
    <w:rsid w:val="00B10FD1"/>
    <w:rsid w:val="00B12735"/>
    <w:rsid w:val="00B13C48"/>
    <w:rsid w:val="00B13E35"/>
    <w:rsid w:val="00B13EC0"/>
    <w:rsid w:val="00B14102"/>
    <w:rsid w:val="00B14D32"/>
    <w:rsid w:val="00B1557C"/>
    <w:rsid w:val="00B155DC"/>
    <w:rsid w:val="00B15766"/>
    <w:rsid w:val="00B1666A"/>
    <w:rsid w:val="00B1686D"/>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4746"/>
    <w:rsid w:val="00B44854"/>
    <w:rsid w:val="00B458D0"/>
    <w:rsid w:val="00B46C4F"/>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353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91B8E"/>
    <w:rsid w:val="00B92531"/>
    <w:rsid w:val="00B92618"/>
    <w:rsid w:val="00B92B69"/>
    <w:rsid w:val="00B92CC6"/>
    <w:rsid w:val="00B935C9"/>
    <w:rsid w:val="00B93E3D"/>
    <w:rsid w:val="00B95464"/>
    <w:rsid w:val="00B95E3D"/>
    <w:rsid w:val="00B9691F"/>
    <w:rsid w:val="00B96EEC"/>
    <w:rsid w:val="00B976C7"/>
    <w:rsid w:val="00BA0C54"/>
    <w:rsid w:val="00BA1382"/>
    <w:rsid w:val="00BA20D8"/>
    <w:rsid w:val="00BA22FC"/>
    <w:rsid w:val="00BA2F30"/>
    <w:rsid w:val="00BA4771"/>
    <w:rsid w:val="00BA5027"/>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68B4"/>
    <w:rsid w:val="00BD0140"/>
    <w:rsid w:val="00BD02CC"/>
    <w:rsid w:val="00BD2063"/>
    <w:rsid w:val="00BD33D9"/>
    <w:rsid w:val="00BD38C5"/>
    <w:rsid w:val="00BD3DEA"/>
    <w:rsid w:val="00BD3E97"/>
    <w:rsid w:val="00BD40E4"/>
    <w:rsid w:val="00BD52FE"/>
    <w:rsid w:val="00BD62CF"/>
    <w:rsid w:val="00BD78FE"/>
    <w:rsid w:val="00BE0767"/>
    <w:rsid w:val="00BE12D7"/>
    <w:rsid w:val="00BE1775"/>
    <w:rsid w:val="00BE18DA"/>
    <w:rsid w:val="00BE26C0"/>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3305"/>
    <w:rsid w:val="00C03738"/>
    <w:rsid w:val="00C037A6"/>
    <w:rsid w:val="00C043F5"/>
    <w:rsid w:val="00C044E3"/>
    <w:rsid w:val="00C04BDB"/>
    <w:rsid w:val="00C052C6"/>
    <w:rsid w:val="00C05A61"/>
    <w:rsid w:val="00C06CCF"/>
    <w:rsid w:val="00C07ED1"/>
    <w:rsid w:val="00C1159D"/>
    <w:rsid w:val="00C1233E"/>
    <w:rsid w:val="00C12FB3"/>
    <w:rsid w:val="00C13D85"/>
    <w:rsid w:val="00C14E82"/>
    <w:rsid w:val="00C14FF6"/>
    <w:rsid w:val="00C1641B"/>
    <w:rsid w:val="00C165FC"/>
    <w:rsid w:val="00C176D5"/>
    <w:rsid w:val="00C2082C"/>
    <w:rsid w:val="00C20EB0"/>
    <w:rsid w:val="00C220B6"/>
    <w:rsid w:val="00C22D7C"/>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1C9A"/>
    <w:rsid w:val="00C52C68"/>
    <w:rsid w:val="00C52D98"/>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A64"/>
    <w:rsid w:val="00C65151"/>
    <w:rsid w:val="00C66119"/>
    <w:rsid w:val="00C66292"/>
    <w:rsid w:val="00C672A3"/>
    <w:rsid w:val="00C672F1"/>
    <w:rsid w:val="00C673D0"/>
    <w:rsid w:val="00C70012"/>
    <w:rsid w:val="00C71E2A"/>
    <w:rsid w:val="00C733BA"/>
    <w:rsid w:val="00C760DC"/>
    <w:rsid w:val="00C8082B"/>
    <w:rsid w:val="00C81A88"/>
    <w:rsid w:val="00C81D46"/>
    <w:rsid w:val="00C82298"/>
    <w:rsid w:val="00C833B4"/>
    <w:rsid w:val="00C84284"/>
    <w:rsid w:val="00C861FC"/>
    <w:rsid w:val="00C86C87"/>
    <w:rsid w:val="00C9005E"/>
    <w:rsid w:val="00C90CA9"/>
    <w:rsid w:val="00C915F2"/>
    <w:rsid w:val="00C917B1"/>
    <w:rsid w:val="00C9193C"/>
    <w:rsid w:val="00C91B77"/>
    <w:rsid w:val="00C920E2"/>
    <w:rsid w:val="00C93765"/>
    <w:rsid w:val="00C93877"/>
    <w:rsid w:val="00C93D8C"/>
    <w:rsid w:val="00C959BD"/>
    <w:rsid w:val="00C95F44"/>
    <w:rsid w:val="00C96D1B"/>
    <w:rsid w:val="00CA0031"/>
    <w:rsid w:val="00CA0413"/>
    <w:rsid w:val="00CA043A"/>
    <w:rsid w:val="00CA1691"/>
    <w:rsid w:val="00CA41E7"/>
    <w:rsid w:val="00CA5812"/>
    <w:rsid w:val="00CA5BD4"/>
    <w:rsid w:val="00CA5C14"/>
    <w:rsid w:val="00CA76FC"/>
    <w:rsid w:val="00CA7E7B"/>
    <w:rsid w:val="00CB0236"/>
    <w:rsid w:val="00CB2C3A"/>
    <w:rsid w:val="00CB2D38"/>
    <w:rsid w:val="00CB4137"/>
    <w:rsid w:val="00CB52D0"/>
    <w:rsid w:val="00CB5578"/>
    <w:rsid w:val="00CB5671"/>
    <w:rsid w:val="00CB591C"/>
    <w:rsid w:val="00CB5943"/>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1D3"/>
    <w:rsid w:val="00CC743D"/>
    <w:rsid w:val="00CD050A"/>
    <w:rsid w:val="00CD205D"/>
    <w:rsid w:val="00CD2A22"/>
    <w:rsid w:val="00CD2B50"/>
    <w:rsid w:val="00CD4506"/>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0612A"/>
    <w:rsid w:val="00D1060D"/>
    <w:rsid w:val="00D10E7C"/>
    <w:rsid w:val="00D11182"/>
    <w:rsid w:val="00D11807"/>
    <w:rsid w:val="00D11DB3"/>
    <w:rsid w:val="00D12D82"/>
    <w:rsid w:val="00D1306E"/>
    <w:rsid w:val="00D134CD"/>
    <w:rsid w:val="00D14B5F"/>
    <w:rsid w:val="00D14E13"/>
    <w:rsid w:val="00D14F23"/>
    <w:rsid w:val="00D16740"/>
    <w:rsid w:val="00D16A8B"/>
    <w:rsid w:val="00D16E39"/>
    <w:rsid w:val="00D17AD8"/>
    <w:rsid w:val="00D2104A"/>
    <w:rsid w:val="00D21BB5"/>
    <w:rsid w:val="00D21FFC"/>
    <w:rsid w:val="00D223B6"/>
    <w:rsid w:val="00D223E8"/>
    <w:rsid w:val="00D22DC8"/>
    <w:rsid w:val="00D2531C"/>
    <w:rsid w:val="00D2742F"/>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915C8"/>
    <w:rsid w:val="00D9310B"/>
    <w:rsid w:val="00D93726"/>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AD0"/>
    <w:rsid w:val="00DB03CC"/>
    <w:rsid w:val="00DB12D4"/>
    <w:rsid w:val="00DB14F0"/>
    <w:rsid w:val="00DB1745"/>
    <w:rsid w:val="00DB1AFF"/>
    <w:rsid w:val="00DB219A"/>
    <w:rsid w:val="00DB4292"/>
    <w:rsid w:val="00DB7117"/>
    <w:rsid w:val="00DB7760"/>
    <w:rsid w:val="00DB7DD4"/>
    <w:rsid w:val="00DC00B4"/>
    <w:rsid w:val="00DC0954"/>
    <w:rsid w:val="00DC15BA"/>
    <w:rsid w:val="00DC18CD"/>
    <w:rsid w:val="00DC1A68"/>
    <w:rsid w:val="00DC2A22"/>
    <w:rsid w:val="00DC30B8"/>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5D"/>
    <w:rsid w:val="00DE0159"/>
    <w:rsid w:val="00DE082D"/>
    <w:rsid w:val="00DE3119"/>
    <w:rsid w:val="00DE3FF0"/>
    <w:rsid w:val="00DE4105"/>
    <w:rsid w:val="00DE5189"/>
    <w:rsid w:val="00DE7108"/>
    <w:rsid w:val="00DE78D1"/>
    <w:rsid w:val="00DF0263"/>
    <w:rsid w:val="00DF1E36"/>
    <w:rsid w:val="00DF236B"/>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109DD"/>
    <w:rsid w:val="00E11229"/>
    <w:rsid w:val="00E114CA"/>
    <w:rsid w:val="00E1397F"/>
    <w:rsid w:val="00E13AB8"/>
    <w:rsid w:val="00E1482E"/>
    <w:rsid w:val="00E1699C"/>
    <w:rsid w:val="00E16E75"/>
    <w:rsid w:val="00E205A2"/>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5E4"/>
    <w:rsid w:val="00E457CB"/>
    <w:rsid w:val="00E45D47"/>
    <w:rsid w:val="00E45DE4"/>
    <w:rsid w:val="00E45E63"/>
    <w:rsid w:val="00E50A7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3DCE"/>
    <w:rsid w:val="00E64700"/>
    <w:rsid w:val="00E65074"/>
    <w:rsid w:val="00E65E70"/>
    <w:rsid w:val="00E66087"/>
    <w:rsid w:val="00E66FF9"/>
    <w:rsid w:val="00E67856"/>
    <w:rsid w:val="00E679C8"/>
    <w:rsid w:val="00E724E7"/>
    <w:rsid w:val="00E72B41"/>
    <w:rsid w:val="00E7347B"/>
    <w:rsid w:val="00E73D03"/>
    <w:rsid w:val="00E77AF5"/>
    <w:rsid w:val="00E823F9"/>
    <w:rsid w:val="00E82C1F"/>
    <w:rsid w:val="00E84A71"/>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2744"/>
    <w:rsid w:val="00EA37B9"/>
    <w:rsid w:val="00EA39F7"/>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741"/>
    <w:rsid w:val="00EC5DA3"/>
    <w:rsid w:val="00EC6014"/>
    <w:rsid w:val="00EC6B3E"/>
    <w:rsid w:val="00EC7637"/>
    <w:rsid w:val="00EC7CF2"/>
    <w:rsid w:val="00ED046C"/>
    <w:rsid w:val="00ED053A"/>
    <w:rsid w:val="00ED1F03"/>
    <w:rsid w:val="00ED2D27"/>
    <w:rsid w:val="00ED3347"/>
    <w:rsid w:val="00ED43A2"/>
    <w:rsid w:val="00ED4967"/>
    <w:rsid w:val="00ED538C"/>
    <w:rsid w:val="00ED5771"/>
    <w:rsid w:val="00ED587F"/>
    <w:rsid w:val="00ED5964"/>
    <w:rsid w:val="00ED623F"/>
    <w:rsid w:val="00ED72E9"/>
    <w:rsid w:val="00ED732E"/>
    <w:rsid w:val="00ED77F0"/>
    <w:rsid w:val="00ED7FBC"/>
    <w:rsid w:val="00EE0253"/>
    <w:rsid w:val="00EE0297"/>
    <w:rsid w:val="00EE13DA"/>
    <w:rsid w:val="00EE1668"/>
    <w:rsid w:val="00EE366D"/>
    <w:rsid w:val="00EE59B5"/>
    <w:rsid w:val="00EE5FB7"/>
    <w:rsid w:val="00EE7B54"/>
    <w:rsid w:val="00EE7C88"/>
    <w:rsid w:val="00EE7C8B"/>
    <w:rsid w:val="00EF0209"/>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674"/>
    <w:rsid w:val="00F00785"/>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78C"/>
    <w:rsid w:val="00F148B7"/>
    <w:rsid w:val="00F15505"/>
    <w:rsid w:val="00F15BFF"/>
    <w:rsid w:val="00F213A0"/>
    <w:rsid w:val="00F21D54"/>
    <w:rsid w:val="00F23113"/>
    <w:rsid w:val="00F23255"/>
    <w:rsid w:val="00F23759"/>
    <w:rsid w:val="00F24644"/>
    <w:rsid w:val="00F26F33"/>
    <w:rsid w:val="00F30400"/>
    <w:rsid w:val="00F3079E"/>
    <w:rsid w:val="00F3399B"/>
    <w:rsid w:val="00F346ED"/>
    <w:rsid w:val="00F34945"/>
    <w:rsid w:val="00F34E1E"/>
    <w:rsid w:val="00F3570C"/>
    <w:rsid w:val="00F368FF"/>
    <w:rsid w:val="00F37068"/>
    <w:rsid w:val="00F37F3F"/>
    <w:rsid w:val="00F40992"/>
    <w:rsid w:val="00F41596"/>
    <w:rsid w:val="00F41D8B"/>
    <w:rsid w:val="00F42121"/>
    <w:rsid w:val="00F428B1"/>
    <w:rsid w:val="00F428B4"/>
    <w:rsid w:val="00F4345D"/>
    <w:rsid w:val="00F4387B"/>
    <w:rsid w:val="00F45B91"/>
    <w:rsid w:val="00F462DD"/>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0961"/>
    <w:rsid w:val="00F71397"/>
    <w:rsid w:val="00F72389"/>
    <w:rsid w:val="00F72516"/>
    <w:rsid w:val="00F735E5"/>
    <w:rsid w:val="00F73E80"/>
    <w:rsid w:val="00F7469C"/>
    <w:rsid w:val="00F7492E"/>
    <w:rsid w:val="00F74945"/>
    <w:rsid w:val="00F749A3"/>
    <w:rsid w:val="00F74AE8"/>
    <w:rsid w:val="00F77021"/>
    <w:rsid w:val="00F77E61"/>
    <w:rsid w:val="00F815AC"/>
    <w:rsid w:val="00F83B33"/>
    <w:rsid w:val="00F840BF"/>
    <w:rsid w:val="00F843DF"/>
    <w:rsid w:val="00F84899"/>
    <w:rsid w:val="00F85585"/>
    <w:rsid w:val="00F859F0"/>
    <w:rsid w:val="00F85CC1"/>
    <w:rsid w:val="00F86B5D"/>
    <w:rsid w:val="00F87C13"/>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EF4"/>
    <w:rsid w:val="00FC431B"/>
    <w:rsid w:val="00FC434C"/>
    <w:rsid w:val="00FC4FDF"/>
    <w:rsid w:val="00FC5CF4"/>
    <w:rsid w:val="00FC6A39"/>
    <w:rsid w:val="00FC79AB"/>
    <w:rsid w:val="00FC7DAC"/>
    <w:rsid w:val="00FD04AE"/>
    <w:rsid w:val="00FD1890"/>
    <w:rsid w:val="00FD1994"/>
    <w:rsid w:val="00FD393C"/>
    <w:rsid w:val="00FD43BB"/>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 w:val="1DB5CE23"/>
    <w:rsid w:val="380CB83D"/>
    <w:rsid w:val="7735E66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494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aed6739f50604d4e" /></Relationships>
</file>

<file path=word/_rels/footer1.xml.rels>&#65279;<?xml version="1.0" encoding="utf-8"?><Relationships xmlns="http://schemas.openxmlformats.org/package/2006/relationships"><Relationship Type="http://schemas.openxmlformats.org/officeDocument/2006/relationships/image" Target="/media/image4.png" Id="R5792804674c840f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23</revision>
  <lastPrinted>2020-01-30T15:05:00.0000000Z</lastPrinted>
  <dcterms:created xsi:type="dcterms:W3CDTF">2020-11-10T21:25:00.0000000Z</dcterms:created>
  <dcterms:modified xsi:type="dcterms:W3CDTF">2020-11-12T16:21:01.9365614Z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