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C2E75" w:rsidR="000C0C4C" w:rsidP="009C2E75" w:rsidRDefault="000C0C4C" w14:paraId="78DD89CF" w14:textId="77777777">
      <w:pPr>
        <w:pStyle w:val="Textoindependiente"/>
        <w:jc w:val="both"/>
        <w:rPr>
          <w:rFonts w:ascii="Times New Roman"/>
        </w:rPr>
      </w:pPr>
    </w:p>
    <w:p w:rsidRPr="009C2E75" w:rsidR="00EB44AE" w:rsidP="009C2E75" w:rsidRDefault="00EB44AE" w14:paraId="65FCBC03" w14:textId="77777777">
      <w:pPr>
        <w:pStyle w:val="Textoindependiente"/>
        <w:ind w:left="180"/>
        <w:jc w:val="both"/>
        <w:rPr>
          <w:b/>
          <w:bCs/>
        </w:rPr>
      </w:pPr>
      <w:r w:rsidRPr="009C2E75">
        <w:rPr>
          <w:b/>
          <w:bCs/>
          <w:sz w:val="22"/>
          <w:szCs w:val="22"/>
        </w:rPr>
        <w:t xml:space="preserve">LEY DE GARANTÍAS ELECTORALES </w:t>
      </w:r>
      <w:r w:rsidRPr="009B55CE" w:rsidR="009B55CE">
        <w:rPr>
          <w:b/>
          <w:bCs/>
          <w:sz w:val="22"/>
          <w:szCs w:val="22"/>
        </w:rPr>
        <w:t>–</w:t>
      </w:r>
      <w:r w:rsidRPr="009B55CE">
        <w:rPr>
          <w:b/>
          <w:bCs/>
          <w:sz w:val="22"/>
          <w:szCs w:val="22"/>
        </w:rPr>
        <w:t xml:space="preserve"> </w:t>
      </w:r>
      <w:r w:rsidRPr="009C2E75">
        <w:rPr>
          <w:b/>
          <w:bCs/>
          <w:sz w:val="22"/>
          <w:szCs w:val="22"/>
        </w:rPr>
        <w:t xml:space="preserve">Universidades públicas </w:t>
      </w:r>
      <w:r w:rsidRPr="009B55CE" w:rsidR="009B55CE">
        <w:rPr>
          <w:b/>
          <w:bCs/>
          <w:sz w:val="22"/>
          <w:szCs w:val="22"/>
        </w:rPr>
        <w:t>–</w:t>
      </w:r>
      <w:r w:rsidRPr="009B55CE" w:rsidR="009C2E75">
        <w:rPr>
          <w:b/>
          <w:bCs/>
          <w:sz w:val="22"/>
          <w:szCs w:val="22"/>
        </w:rPr>
        <w:t xml:space="preserve"> </w:t>
      </w:r>
      <w:r w:rsidRPr="009C2E75">
        <w:rPr>
          <w:b/>
          <w:bCs/>
          <w:sz w:val="22"/>
          <w:szCs w:val="22"/>
        </w:rPr>
        <w:t>Aplicación</w:t>
      </w:r>
    </w:p>
    <w:p w:rsidRPr="009C2E75" w:rsidR="00EB44AE" w:rsidP="009C2E75" w:rsidRDefault="00EB44AE" w14:paraId="2BC5BBFF" w14:textId="77777777">
      <w:pPr>
        <w:pStyle w:val="Textoindependiente"/>
        <w:jc w:val="both"/>
      </w:pPr>
    </w:p>
    <w:p w:rsidR="009C2E75" w:rsidP="009C66F1" w:rsidRDefault="00EB44AE" w14:paraId="6E2CEA92" w14:textId="38C293A9">
      <w:pPr>
        <w:pStyle w:val="Textoindependiente"/>
        <w:spacing w:after="120"/>
        <w:ind w:left="180"/>
        <w:jc w:val="both"/>
      </w:pPr>
      <w:r w:rsidRPr="009C2E75">
        <w:t>El parágrafo del artículo 38 de la Ley 996 de 2005 - Ley de Garantías Electorales, establece una prohibición para los representantes legales de las entidades de orden territorial y los directores de las entidades descentralizadas del mismo nivel, en cuanto a la celebración de convenios o contratos interadministrativos para la ejecución de recursos públicos, dentro de los cuatro (4) meses ante</w:t>
      </w:r>
      <w:r w:rsidR="009C2E75">
        <w:t>riores a cualquier elección.</w:t>
      </w:r>
    </w:p>
    <w:p w:rsidRPr="009C2E75" w:rsidR="00EB44AE" w:rsidP="009C66F1" w:rsidRDefault="00EB44AE" w14:paraId="4C2FC725" w14:textId="6940AF12">
      <w:pPr>
        <w:pStyle w:val="Textoindependiente"/>
        <w:ind w:left="181"/>
        <w:jc w:val="both"/>
      </w:pPr>
      <w:r w:rsidRPr="009C2E75">
        <w:t>Para verificar si las universidades públicas están cubiertas por dicha prohibición, se hace necesario determinar su naturaleza jurídica, en la medida en que la disposición citada resulta aplicable a dos tipos de entidades públicas: las territoriales y las descentralizadas</w:t>
      </w:r>
      <w:r w:rsidR="009C66F1">
        <w:t>.</w:t>
      </w:r>
    </w:p>
    <w:p w:rsidRPr="009C2E75" w:rsidR="00EB44AE" w:rsidP="009C2E75" w:rsidRDefault="00EB44AE" w14:paraId="5FF7A3B1" w14:textId="77777777">
      <w:pPr>
        <w:pStyle w:val="Textoindependiente"/>
        <w:jc w:val="both"/>
      </w:pPr>
    </w:p>
    <w:p w:rsidRPr="009C2E75" w:rsidR="00EB44AE" w:rsidP="009C2E75" w:rsidRDefault="00836C9F" w14:paraId="3A4FA18E" w14:textId="77777777">
      <w:pPr>
        <w:pStyle w:val="Textoindependiente"/>
        <w:ind w:left="180"/>
        <w:jc w:val="both"/>
        <w:rPr>
          <w:b/>
          <w:bCs/>
          <w:sz w:val="22"/>
          <w:szCs w:val="22"/>
        </w:rPr>
      </w:pPr>
      <w:r w:rsidRPr="009C2E75">
        <w:rPr>
          <w:b/>
          <w:bCs/>
          <w:sz w:val="22"/>
          <w:szCs w:val="22"/>
        </w:rPr>
        <w:t>UNIVERSIDADES PÚBLICAS</w:t>
      </w:r>
      <w:r w:rsidRPr="009C2E75" w:rsidR="00EB44AE">
        <w:rPr>
          <w:b/>
          <w:bCs/>
          <w:sz w:val="22"/>
          <w:szCs w:val="22"/>
        </w:rPr>
        <w:t xml:space="preserve"> </w:t>
      </w:r>
      <w:r w:rsidRPr="009B55CE" w:rsidR="009B55CE">
        <w:rPr>
          <w:b/>
          <w:bCs/>
          <w:sz w:val="22"/>
          <w:szCs w:val="22"/>
        </w:rPr>
        <w:t>–</w:t>
      </w:r>
      <w:r w:rsidRPr="009B55CE" w:rsidR="00EB44AE">
        <w:rPr>
          <w:b/>
          <w:bCs/>
          <w:sz w:val="22"/>
          <w:szCs w:val="22"/>
        </w:rPr>
        <w:t xml:space="preserve"> </w:t>
      </w:r>
      <w:r w:rsidRPr="009C2E75" w:rsidR="00EB44AE">
        <w:rPr>
          <w:b/>
          <w:bCs/>
          <w:sz w:val="22"/>
          <w:szCs w:val="22"/>
        </w:rPr>
        <w:t>Autonomía universitaria</w:t>
      </w:r>
    </w:p>
    <w:p w:rsidRPr="009C2E75" w:rsidR="00EB44AE" w:rsidP="009C2E75" w:rsidRDefault="00EB44AE" w14:paraId="1BF59FC7" w14:textId="77777777">
      <w:pPr>
        <w:pStyle w:val="Textoindependiente"/>
        <w:ind w:right="107"/>
        <w:jc w:val="both"/>
      </w:pPr>
    </w:p>
    <w:p w:rsidR="009C2E75" w:rsidP="009C66F1" w:rsidRDefault="009B629E" w14:paraId="34EADB7D" w14:textId="3230A08E">
      <w:pPr>
        <w:pStyle w:val="Textoindependiente"/>
        <w:spacing w:after="120"/>
        <w:ind w:left="180"/>
        <w:jc w:val="both"/>
      </w:pPr>
      <w:r>
        <w:t>[…</w:t>
      </w:r>
      <w:r w:rsidRPr="009C2E75" w:rsidR="00EB44AE">
        <w:t>]</w:t>
      </w:r>
      <w:r>
        <w:t xml:space="preserve"> L</w:t>
      </w:r>
      <w:r w:rsidRPr="009C2E75" w:rsidR="00EB44AE">
        <w:t>a Constitución Política, en el artículo 69, establece, por una parte, una garantía de autonomía para que las universidades establezcan sus directivas y sus estatutos de acuerdo con la ley, y por otra, la posibilidad de que cuenten con un régimen especial que cor</w:t>
      </w:r>
      <w:r w:rsidR="009C2E75">
        <w:t>responde dictar al Congreso.</w:t>
      </w:r>
    </w:p>
    <w:p w:rsidRPr="009C2E75" w:rsidR="00EB44AE" w:rsidP="009C66F1" w:rsidRDefault="00EB44AE" w14:paraId="30F31F61" w14:textId="77777777">
      <w:pPr>
        <w:pStyle w:val="Textoindependiente"/>
        <w:ind w:left="181"/>
        <w:jc w:val="both"/>
      </w:pPr>
      <w:r w:rsidRPr="009C2E75">
        <w:t>En desarrollo de lo anterior se expidió la Ley 30 de 1992, a través de la cual se regularon, básicamente, aspectos como la naturaleza jurídica de las universidades estatales y oficiales</w:t>
      </w:r>
      <w:r w:rsidRPr="009C2E75">
        <w:rPr>
          <w:position w:val="7"/>
          <w:sz w:val="13"/>
        </w:rPr>
        <w:t>2</w:t>
      </w:r>
      <w:r w:rsidRPr="009C2E75">
        <w:t>, la forma de organizarse y el régimen de contratación aplicable. Particularmente, el artículo 28 de la Ley 30 de 1992 les reconoce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w:t>
      </w:r>
      <w:r w:rsidRPr="009C2E75">
        <w:rPr>
          <w:spacing w:val="-15"/>
        </w:rPr>
        <w:t xml:space="preserve"> </w:t>
      </w:r>
      <w:r w:rsidRPr="009C2E75">
        <w:t>institucional”.</w:t>
      </w:r>
    </w:p>
    <w:p w:rsidRPr="009C2E75" w:rsidR="00EB44AE" w:rsidP="009C2E75" w:rsidRDefault="00EB44AE" w14:paraId="7A07A553" w14:textId="77777777">
      <w:pPr>
        <w:pStyle w:val="Textoindependiente"/>
        <w:ind w:left="180" w:right="107"/>
        <w:jc w:val="both"/>
      </w:pPr>
    </w:p>
    <w:p w:rsidRPr="009B55CE" w:rsidR="00EB44AE" w:rsidP="0E41E54A" w:rsidRDefault="00836C9F" w14:paraId="70025382" w14:textId="0C763A7A">
      <w:pPr>
        <w:pStyle w:val="Textoindependiente"/>
        <w:bidi w:val="0"/>
        <w:spacing w:before="0" w:beforeAutospacing="off" w:after="0" w:afterAutospacing="off" w:line="259" w:lineRule="auto"/>
        <w:ind w:left="180" w:right="0"/>
        <w:jc w:val="both"/>
        <w:rPr>
          <w:b w:val="1"/>
          <w:bCs w:val="1"/>
        </w:rPr>
      </w:pPr>
      <w:r w:rsidRPr="009C2E75" w:rsidR="00836C9F">
        <w:rPr>
          <w:b w:val="1"/>
          <w:bCs w:val="1"/>
          <w:sz w:val="22"/>
          <w:szCs w:val="22"/>
        </w:rPr>
        <w:t xml:space="preserve">UNIVERSIDADES PÚBLICAS </w:t>
      </w:r>
      <w:r w:rsidR="007C6F21">
        <w:rPr>
          <w:b w:val="1"/>
          <w:bCs w:val="1"/>
          <w:sz w:val="22"/>
          <w:szCs w:val="22"/>
        </w:rPr>
        <w:t xml:space="preserve">– </w:t>
      </w:r>
      <w:r w:rsidRPr="009C2E75" w:rsidR="00EB44AE">
        <w:rPr>
          <w:b w:val="1"/>
          <w:bCs w:val="1"/>
          <w:sz w:val="22"/>
          <w:szCs w:val="22"/>
        </w:rPr>
        <w:t xml:space="preserve">Administración pública</w:t>
      </w:r>
      <w:r w:rsidR="009B55CE">
        <w:rPr>
          <w:b/>
          <w:bCs/>
          <w:sz w:val="22"/>
          <w:szCs w:val="22"/>
        </w:rPr>
        <w:softHyphen/>
      </w:r>
      <w:r w:rsidR="009B55CE">
        <w:rPr>
          <w:b/>
          <w:bCs/>
          <w:sz w:val="22"/>
          <w:szCs w:val="22"/>
        </w:rPr>
        <w:softHyphen/>
      </w:r>
      <w:r w:rsidRPr="009B55CE" w:rsidR="009B55CE">
        <w:rPr>
          <w:b w:val="1"/>
          <w:bCs w:val="1"/>
          <w:sz w:val="22"/>
          <w:szCs w:val="22"/>
        </w:rPr>
        <w:t xml:space="preserve"> –</w:t>
      </w:r>
      <w:r w:rsidR="009C2E75">
        <w:rPr>
          <w:b w:val="1"/>
          <w:bCs w:val="1"/>
          <w:sz w:val="22"/>
          <w:szCs w:val="22"/>
        </w:rPr>
        <w:t xml:space="preserve"> </w:t>
      </w:r>
      <w:r w:rsidRPr="009C2E75" w:rsidR="00EB44AE">
        <w:rPr>
          <w:b w:val="1"/>
          <w:bCs w:val="1"/>
          <w:sz w:val="22"/>
          <w:szCs w:val="22"/>
        </w:rPr>
        <w:t>Descentralización</w:t>
      </w:r>
      <w:r w:rsidRPr="009C2E75" w:rsidR="00836C9F">
        <w:rPr>
          <w:b w:val="1"/>
          <w:bCs w:val="1"/>
          <w:sz w:val="22"/>
          <w:szCs w:val="22"/>
        </w:rPr>
        <w:t xml:space="preserve"> administrativa</w:t>
      </w:r>
      <w:r w:rsidRPr="009B55CE" w:rsidR="009B55CE">
        <w:rPr>
          <w:b w:val="1"/>
          <w:bCs w:val="1"/>
          <w:sz w:val="22"/>
          <w:szCs w:val="22"/>
        </w:rPr>
        <w:t xml:space="preserve"> </w:t>
      </w:r>
      <w:proofErr w:type="gramStart"/>
      <w:r w:rsidRPr="009B55CE" w:rsidR="009B55CE">
        <w:rPr>
          <w:b w:val="1"/>
          <w:bCs w:val="1"/>
          <w:sz w:val="22"/>
          <w:szCs w:val="22"/>
        </w:rPr>
        <w:t xml:space="preserve">–</w:t>
      </w:r>
      <w:r w:rsidRPr="009B55CE" w:rsidR="007C6F21">
        <w:rPr>
          <w:b w:val="1"/>
          <w:bCs w:val="1"/>
          <w:sz w:val="22"/>
          <w:szCs w:val="22"/>
        </w:rPr>
        <w:t xml:space="preserve"> </w:t>
      </w:r>
      <w:r w:rsidRPr="009B55CE" w:rsidR="7D6FAC1B">
        <w:rPr>
          <w:b w:val="1"/>
          <w:bCs w:val="1"/>
          <w:sz w:val="22"/>
          <w:szCs w:val="22"/>
        </w:rPr>
        <w:t xml:space="preserve"> Ley</w:t>
      </w:r>
      <w:proofErr w:type="gramEnd"/>
      <w:r w:rsidRPr="009B55CE" w:rsidR="7D6FAC1B">
        <w:rPr>
          <w:b w:val="1"/>
          <w:bCs w:val="1"/>
          <w:sz w:val="22"/>
          <w:szCs w:val="22"/>
        </w:rPr>
        <w:t xml:space="preserve"> de garantías electorales </w:t>
      </w:r>
      <w:r w:rsidRPr="0E41E54A" w:rsidR="7D6FAC1B">
        <w:rPr>
          <w:b w:val="1"/>
          <w:bCs w:val="1"/>
          <w:sz w:val="22"/>
          <w:szCs w:val="22"/>
        </w:rPr>
        <w:t xml:space="preserve">–  Alcance prohibición </w:t>
      </w:r>
    </w:p>
    <w:p w:rsidRPr="009C2E75" w:rsidR="00EB44AE" w:rsidP="009C66F1" w:rsidRDefault="00EB44AE" w14:paraId="499E93AC" w14:textId="77777777">
      <w:pPr>
        <w:pStyle w:val="Textoindependiente"/>
        <w:spacing w:after="120"/>
        <w:ind w:right="112"/>
        <w:jc w:val="both"/>
      </w:pPr>
    </w:p>
    <w:p w:rsidR="009C2E75" w:rsidP="009C66F1" w:rsidRDefault="009B629E" w14:paraId="3E9C8756" w14:textId="20F4F519">
      <w:pPr>
        <w:pStyle w:val="Textoindependiente"/>
        <w:spacing w:after="120"/>
        <w:ind w:left="180"/>
        <w:jc w:val="both"/>
      </w:pPr>
      <w:r>
        <w:t>[…</w:t>
      </w:r>
      <w:r w:rsidRPr="009C2E75" w:rsidR="00EB44AE">
        <w:t>]</w:t>
      </w:r>
      <w:r>
        <w:t xml:space="preserve"> L</w:t>
      </w:r>
      <w:r w:rsidRPr="009C2E75" w:rsidR="00EB44AE">
        <w:t xml:space="preserve">a Ley 489 de 1998, al desarrollar la estructura y organización de la Administración pública, establece que los entes universitarios hacen parte integral de la Administración pública, catalogándolos como entidades públicas de carácter autónomo a las que aplica un régimen </w:t>
      </w:r>
      <w:r w:rsidRPr="009C2E75" w:rsidR="007C6F21">
        <w:t>especial</w:t>
      </w:r>
      <w:r w:rsidR="007C6F21">
        <w:t xml:space="preserve">. </w:t>
      </w:r>
      <w:r w:rsidRPr="009C2E75" w:rsidR="00EB44AE">
        <w:t>En virtud de lo anterior, los entes universitarios no son entidades públicas que hagan parte de la rama ejecutiva, ni pueden considerarse</w:t>
      </w:r>
      <w:r w:rsidR="009C2E75">
        <w:t xml:space="preserve"> entidades descentralizadas.</w:t>
      </w:r>
    </w:p>
    <w:p w:rsidR="009C2E75" w:rsidP="009C66F1" w:rsidRDefault="009C2E75" w14:paraId="3716FEA8" w14:textId="63CC75ED">
      <w:pPr>
        <w:pStyle w:val="Textoindependiente"/>
        <w:spacing w:after="120"/>
        <w:ind w:left="180"/>
        <w:jc w:val="both"/>
      </w:pPr>
      <w:r>
        <w:t>L</w:t>
      </w:r>
      <w:r w:rsidRPr="009C2E75" w:rsidR="00EB44AE">
        <w:t>a diferenciación entre universidades públicas y entidades descentralizadas radica en la autonomía de la que aquellas gozan, en la medida en que es incompatible con un elemento […] característico de la descentralización denominado control de tutela, sobre el cual, en sentencia C - 727 del 21 de junio de 2000, la Corte Constitucional señaló: La descentralización es una forma de organización administrativa propia de los Estados de forma unitaria, que atenúa la centralización permitiendo la transferencia de competencias a organismos distintos del poder central, que adquieren autonomía en la gestión d</w:t>
      </w:r>
      <w:r>
        <w:t>e las respectivas funciones</w:t>
      </w:r>
      <w:r w:rsidR="009C66F1">
        <w:t>.</w:t>
      </w:r>
    </w:p>
    <w:p w:rsidR="00EB44AE" w:rsidP="009C66F1" w:rsidRDefault="00EB44AE" w14:paraId="083437D2" w14:textId="77777777">
      <w:pPr>
        <w:pStyle w:val="Textoindependiente"/>
        <w:spacing w:after="120"/>
        <w:ind w:left="180"/>
        <w:jc w:val="both"/>
      </w:pPr>
      <w:r w:rsidRPr="009C2E75">
        <w:t>En suma, la descentralización involucra el ejercicio de un control de tutela que no puede aplicarse a los entes universitarios autónomos, motivo por el cual no son ni pueden ser asimiladas a entidades descentralizadas, y como tampoco encuadran en el concepto de ente territorial, no son destinatarias de la restricción a que alude la consulta.</w:t>
      </w:r>
    </w:p>
    <w:p w:rsidR="003A749B" w:rsidP="009C2E75" w:rsidRDefault="003A749B" w14:paraId="564E1D06" w14:textId="35D4E3CF">
      <w:pPr>
        <w:pStyle w:val="Textoindependiente"/>
        <w:ind w:left="180"/>
        <w:jc w:val="both"/>
      </w:pPr>
    </w:p>
    <w:p w:rsidR="009C66F1" w:rsidP="009C2E75" w:rsidRDefault="009C66F1" w14:paraId="43344674" w14:textId="477FAA34">
      <w:pPr>
        <w:pStyle w:val="Textoindependiente"/>
        <w:ind w:left="180"/>
        <w:jc w:val="both"/>
      </w:pPr>
    </w:p>
    <w:p w:rsidRPr="009C2E75" w:rsidR="009C66F1" w:rsidP="009C2E75" w:rsidRDefault="009C66F1" w14:paraId="07B17379" w14:textId="77777777">
      <w:pPr>
        <w:pStyle w:val="Textoindependiente"/>
        <w:ind w:left="180"/>
        <w:jc w:val="both"/>
      </w:pPr>
    </w:p>
    <w:p w:rsidRPr="00AA3B25" w:rsidR="000C0C4C" w:rsidRDefault="006D033F" w14:paraId="0DBC4FB1" w14:textId="77777777">
      <w:pPr>
        <w:spacing w:before="94"/>
        <w:ind w:left="180"/>
        <w:rPr>
          <w:b/>
          <w:sz w:val="20"/>
        </w:rPr>
      </w:pPr>
      <w:r w:rsidRPr="00AA3B25">
        <w:rPr>
          <w:sz w:val="20"/>
        </w:rPr>
        <w:lastRenderedPageBreak/>
        <w:t xml:space="preserve">Bogotá D.C., </w:t>
      </w:r>
      <w:r w:rsidRPr="00AA3B25">
        <w:rPr>
          <w:b/>
          <w:sz w:val="20"/>
        </w:rPr>
        <w:t>09/09/2019 Hora 9:48:43s</w:t>
      </w:r>
    </w:p>
    <w:p w:rsidRPr="00AA3B25" w:rsidR="000C0C4C" w:rsidRDefault="000C0C4C" w14:paraId="0C49EAFB" w14:textId="77777777">
      <w:pPr>
        <w:pStyle w:val="Textoindependiente"/>
        <w:spacing w:before="2"/>
        <w:rPr>
          <w:b/>
        </w:rPr>
      </w:pPr>
    </w:p>
    <w:p w:rsidRPr="00AA3B25" w:rsidR="00836C9F" w:rsidP="00836C9F" w:rsidRDefault="00836C9F" w14:paraId="0AC86312" w14:textId="77777777">
      <w:pPr>
        <w:pStyle w:val="Ttulo1"/>
        <w:ind w:left="180" w:firstLine="0"/>
        <w:jc w:val="right"/>
      </w:pPr>
      <w:proofErr w:type="spellStart"/>
      <w:r w:rsidRPr="00AA3B25">
        <w:t>N°</w:t>
      </w:r>
      <w:proofErr w:type="spellEnd"/>
      <w:r w:rsidRPr="00AA3B25">
        <w:t xml:space="preserve"> Radicado: 2201913000006639</w:t>
      </w:r>
    </w:p>
    <w:p w:rsidRPr="00AA3B25" w:rsidR="00836C9F" w:rsidRDefault="006D033F" w14:paraId="448D72BE" w14:textId="77777777">
      <w:pPr>
        <w:ind w:left="180" w:right="2552"/>
        <w:rPr>
          <w:sz w:val="20"/>
        </w:rPr>
      </w:pPr>
      <w:r w:rsidRPr="00AA3B25">
        <w:rPr>
          <w:sz w:val="20"/>
        </w:rPr>
        <w:t xml:space="preserve">Señor </w:t>
      </w:r>
    </w:p>
    <w:p w:rsidRPr="00AA3B25" w:rsidR="00836C9F" w:rsidRDefault="006D033F" w14:paraId="0177CEA0" w14:textId="77777777">
      <w:pPr>
        <w:ind w:left="180" w:right="2552"/>
        <w:rPr>
          <w:b/>
          <w:sz w:val="20"/>
        </w:rPr>
      </w:pPr>
      <w:r w:rsidRPr="00AA3B25">
        <w:rPr>
          <w:b/>
          <w:sz w:val="20"/>
        </w:rPr>
        <w:t xml:space="preserve">Ciudadano </w:t>
      </w:r>
    </w:p>
    <w:p w:rsidRPr="00AA3B25" w:rsidR="000C0C4C" w:rsidRDefault="006D033F" w14:paraId="6C3E7D4E" w14:textId="77777777">
      <w:pPr>
        <w:ind w:left="180" w:right="2552"/>
        <w:rPr>
          <w:sz w:val="20"/>
        </w:rPr>
      </w:pPr>
      <w:r w:rsidRPr="00AA3B25">
        <w:rPr>
          <w:sz w:val="20"/>
        </w:rPr>
        <w:t>Ciudad</w:t>
      </w:r>
    </w:p>
    <w:p w:rsidRPr="00AA3B25" w:rsidR="00EB44AE" w:rsidRDefault="00EB44AE" w14:paraId="345A077C" w14:textId="77777777">
      <w:pPr>
        <w:pStyle w:val="Ttulo1"/>
        <w:ind w:left="180" w:firstLine="0"/>
      </w:pPr>
    </w:p>
    <w:p w:rsidRPr="00AA3B25" w:rsidR="00EB44AE" w:rsidRDefault="00EB44AE" w14:paraId="7CDDDF82" w14:textId="77777777">
      <w:pPr>
        <w:pStyle w:val="Ttulo1"/>
        <w:ind w:left="180" w:firstLine="0"/>
      </w:pPr>
    </w:p>
    <w:p w:rsidRPr="00AA3B25" w:rsidR="000C0C4C" w:rsidRDefault="000C0C4C" w14:paraId="66D478A8" w14:textId="77777777">
      <w:pPr>
        <w:pStyle w:val="Textoindependiente"/>
        <w:spacing w:before="8"/>
        <w:rPr>
          <w:b/>
          <w:sz w:val="11"/>
        </w:rPr>
      </w:pPr>
    </w:p>
    <w:p w:rsidRPr="00AA3B25" w:rsidR="000C0C4C" w:rsidRDefault="006D033F" w14:paraId="0025BDBF" w14:textId="77777777">
      <w:pPr>
        <w:tabs>
          <w:tab w:val="left" w:pos="3013"/>
        </w:tabs>
        <w:spacing w:before="93"/>
        <w:ind w:left="180"/>
        <w:rPr>
          <w:sz w:val="20"/>
        </w:rPr>
      </w:pPr>
      <w:r w:rsidRPr="00AA3B25">
        <w:rPr>
          <w:b/>
          <w:sz w:val="20"/>
        </w:rPr>
        <w:t>Radicación:</w:t>
      </w:r>
      <w:r w:rsidRPr="00AA3B25">
        <w:rPr>
          <w:b/>
          <w:sz w:val="20"/>
        </w:rPr>
        <w:tab/>
      </w:r>
      <w:r w:rsidRPr="00AA3B25">
        <w:rPr>
          <w:sz w:val="20"/>
        </w:rPr>
        <w:t>Respuesta a consulta #</w:t>
      </w:r>
      <w:r w:rsidRPr="00AA3B25">
        <w:rPr>
          <w:spacing w:val="-3"/>
          <w:sz w:val="20"/>
        </w:rPr>
        <w:t xml:space="preserve"> </w:t>
      </w:r>
      <w:r w:rsidRPr="00AA3B25">
        <w:rPr>
          <w:sz w:val="20"/>
        </w:rPr>
        <w:t>4201912000004354</w:t>
      </w:r>
    </w:p>
    <w:p w:rsidRPr="00AA3B25" w:rsidR="000C0C4C" w:rsidRDefault="006D033F" w14:paraId="42ECED67" w14:textId="77777777">
      <w:pPr>
        <w:pStyle w:val="Textoindependiente"/>
        <w:tabs>
          <w:tab w:val="left" w:pos="3013"/>
        </w:tabs>
        <w:ind w:left="180"/>
      </w:pPr>
      <w:r w:rsidRPr="00AA3B25">
        <w:rPr>
          <w:b/>
        </w:rPr>
        <w:t>Temas:</w:t>
      </w:r>
      <w:r w:rsidRPr="00AA3B25">
        <w:rPr>
          <w:b/>
        </w:rPr>
        <w:tab/>
      </w:r>
      <w:r w:rsidRPr="00AA3B25">
        <w:t>Convenios Interadministrativos, Ley de</w:t>
      </w:r>
      <w:r w:rsidRPr="00AA3B25">
        <w:rPr>
          <w:spacing w:val="-6"/>
        </w:rPr>
        <w:t xml:space="preserve"> </w:t>
      </w:r>
      <w:r w:rsidRPr="00AA3B25">
        <w:t>Garantías</w:t>
      </w:r>
    </w:p>
    <w:p w:rsidRPr="00AA3B25" w:rsidR="000C0C4C" w:rsidRDefault="006D033F" w14:paraId="165C57EC" w14:textId="77777777">
      <w:pPr>
        <w:tabs>
          <w:tab w:val="left" w:pos="3015"/>
        </w:tabs>
        <w:spacing w:before="1"/>
        <w:ind w:left="183"/>
        <w:rPr>
          <w:sz w:val="20"/>
        </w:rPr>
      </w:pPr>
      <w:r w:rsidRPr="00AA3B25">
        <w:rPr>
          <w:b/>
          <w:sz w:val="20"/>
        </w:rPr>
        <w:t>Tipo de</w:t>
      </w:r>
      <w:r w:rsidRPr="00AA3B25">
        <w:rPr>
          <w:b/>
          <w:spacing w:val="-5"/>
          <w:sz w:val="20"/>
        </w:rPr>
        <w:t xml:space="preserve"> </w:t>
      </w:r>
      <w:r w:rsidRPr="00AA3B25">
        <w:rPr>
          <w:b/>
          <w:sz w:val="20"/>
        </w:rPr>
        <w:t>asunto</w:t>
      </w:r>
      <w:r w:rsidRPr="00AA3B25">
        <w:rPr>
          <w:b/>
          <w:spacing w:val="-1"/>
          <w:sz w:val="20"/>
        </w:rPr>
        <w:t xml:space="preserve"> </w:t>
      </w:r>
      <w:r w:rsidRPr="00AA3B25">
        <w:rPr>
          <w:b/>
          <w:sz w:val="20"/>
        </w:rPr>
        <w:t>consultado:</w:t>
      </w:r>
      <w:r w:rsidRPr="00AA3B25">
        <w:rPr>
          <w:b/>
          <w:sz w:val="20"/>
        </w:rPr>
        <w:tab/>
      </w:r>
      <w:r w:rsidRPr="00AA3B25">
        <w:rPr>
          <w:sz w:val="20"/>
        </w:rPr>
        <w:t>Aplicación</w:t>
      </w:r>
      <w:r w:rsidRPr="00AA3B25">
        <w:rPr>
          <w:spacing w:val="12"/>
          <w:sz w:val="20"/>
        </w:rPr>
        <w:t xml:space="preserve"> </w:t>
      </w:r>
      <w:r w:rsidRPr="00AA3B25">
        <w:rPr>
          <w:sz w:val="20"/>
        </w:rPr>
        <w:t>de</w:t>
      </w:r>
      <w:r w:rsidRPr="00AA3B25">
        <w:rPr>
          <w:spacing w:val="12"/>
          <w:sz w:val="20"/>
        </w:rPr>
        <w:t xml:space="preserve"> </w:t>
      </w:r>
      <w:r w:rsidRPr="00AA3B25">
        <w:rPr>
          <w:sz w:val="20"/>
        </w:rPr>
        <w:t>la</w:t>
      </w:r>
      <w:r w:rsidRPr="00AA3B25">
        <w:rPr>
          <w:spacing w:val="15"/>
          <w:sz w:val="20"/>
        </w:rPr>
        <w:t xml:space="preserve"> </w:t>
      </w:r>
      <w:r w:rsidRPr="00AA3B25">
        <w:rPr>
          <w:sz w:val="20"/>
        </w:rPr>
        <w:t>Ley</w:t>
      </w:r>
      <w:r w:rsidRPr="00AA3B25">
        <w:rPr>
          <w:spacing w:val="12"/>
          <w:sz w:val="20"/>
        </w:rPr>
        <w:t xml:space="preserve"> </w:t>
      </w:r>
      <w:r w:rsidRPr="00AA3B25">
        <w:rPr>
          <w:sz w:val="20"/>
        </w:rPr>
        <w:t>de</w:t>
      </w:r>
      <w:r w:rsidRPr="00AA3B25">
        <w:rPr>
          <w:spacing w:val="14"/>
          <w:sz w:val="20"/>
        </w:rPr>
        <w:t xml:space="preserve"> </w:t>
      </w:r>
      <w:r w:rsidRPr="00AA3B25">
        <w:rPr>
          <w:sz w:val="20"/>
        </w:rPr>
        <w:t>Garantías</w:t>
      </w:r>
      <w:r w:rsidRPr="00AA3B25">
        <w:rPr>
          <w:spacing w:val="15"/>
          <w:sz w:val="20"/>
        </w:rPr>
        <w:t xml:space="preserve"> </w:t>
      </w:r>
      <w:r w:rsidRPr="00AA3B25">
        <w:rPr>
          <w:sz w:val="20"/>
        </w:rPr>
        <w:t>por</w:t>
      </w:r>
      <w:r w:rsidRPr="00AA3B25">
        <w:rPr>
          <w:spacing w:val="14"/>
          <w:sz w:val="20"/>
        </w:rPr>
        <w:t xml:space="preserve"> </w:t>
      </w:r>
      <w:r w:rsidRPr="00AA3B25">
        <w:rPr>
          <w:sz w:val="20"/>
        </w:rPr>
        <w:t>parte</w:t>
      </w:r>
      <w:r w:rsidRPr="00AA3B25">
        <w:rPr>
          <w:spacing w:val="13"/>
          <w:sz w:val="20"/>
        </w:rPr>
        <w:t xml:space="preserve"> </w:t>
      </w:r>
      <w:r w:rsidRPr="00AA3B25">
        <w:rPr>
          <w:sz w:val="20"/>
        </w:rPr>
        <w:t>de</w:t>
      </w:r>
      <w:r w:rsidRPr="00AA3B25">
        <w:rPr>
          <w:spacing w:val="12"/>
          <w:sz w:val="20"/>
        </w:rPr>
        <w:t xml:space="preserve"> </w:t>
      </w:r>
      <w:r w:rsidRPr="00AA3B25">
        <w:rPr>
          <w:sz w:val="20"/>
        </w:rPr>
        <w:t>Universidades</w:t>
      </w:r>
    </w:p>
    <w:p w:rsidRPr="00AA3B25" w:rsidR="000C0C4C" w:rsidRDefault="006D033F" w14:paraId="6FA5AFE1" w14:textId="77777777">
      <w:pPr>
        <w:pStyle w:val="Textoindependiente"/>
        <w:spacing w:before="2"/>
        <w:ind w:left="3016"/>
      </w:pPr>
      <w:r w:rsidRPr="00AA3B25">
        <w:t>Públicas de del orden nacional y territorial</w:t>
      </w:r>
    </w:p>
    <w:p w:rsidRPr="00AA3B25" w:rsidR="000C0C4C" w:rsidRDefault="000C0C4C" w14:paraId="42593EF4" w14:textId="77777777">
      <w:pPr>
        <w:pStyle w:val="Textoindependiente"/>
      </w:pPr>
    </w:p>
    <w:p w:rsidRPr="00AA3B25" w:rsidR="009C2E75" w:rsidP="009C2E75" w:rsidRDefault="009C2E75" w14:paraId="74D0E5FD" w14:textId="77777777">
      <w:pPr>
        <w:pStyle w:val="Textoindependiente"/>
        <w:ind w:left="180"/>
      </w:pPr>
    </w:p>
    <w:p w:rsidRPr="00AA3B25" w:rsidR="000C0C4C" w:rsidP="009C2E75" w:rsidRDefault="006D033F" w14:paraId="0D140277" w14:textId="77777777">
      <w:pPr>
        <w:pStyle w:val="Textoindependiente"/>
        <w:ind w:left="180"/>
      </w:pPr>
      <w:r w:rsidRPr="00AA3B25">
        <w:t xml:space="preserve">Estimado </w:t>
      </w:r>
      <w:proofErr w:type="spellStart"/>
      <w:proofErr w:type="gramStart"/>
      <w:r w:rsidRPr="00AA3B25">
        <w:t>señor,La</w:t>
      </w:r>
      <w:proofErr w:type="spellEnd"/>
      <w:proofErr w:type="gramEnd"/>
      <w:r w:rsidRPr="00AA3B25">
        <w:t xml:space="preserve"> Agencia Nacional de Contratación Pública - Colombia Compra Eficiente responde su consulta del</w:t>
      </w:r>
      <w:r w:rsidRPr="00AA3B25" w:rsidR="009C2E75">
        <w:t xml:space="preserve"> </w:t>
      </w:r>
      <w:r w:rsidRPr="00AA3B25">
        <w:t>27 de junio de 2019, término que fue ampliado el 12 de agosto de 2019 en ejercicio de la competencia otorgada por el numeral 5 del artículo 3 y el numeral 8 del artículo 11 del Decreto 4170 de 2011.</w:t>
      </w:r>
    </w:p>
    <w:p w:rsidRPr="00AA3B25" w:rsidR="000C0C4C" w:rsidRDefault="000C0C4C" w14:paraId="53AF43E7" w14:textId="77777777">
      <w:pPr>
        <w:pStyle w:val="Textoindependiente"/>
        <w:spacing w:before="9"/>
        <w:rPr>
          <w:sz w:val="19"/>
        </w:rPr>
      </w:pPr>
    </w:p>
    <w:p w:rsidRPr="00AA3B25" w:rsidR="000C0C4C" w:rsidRDefault="006D033F" w14:paraId="05CCE95C" w14:textId="77777777">
      <w:pPr>
        <w:pStyle w:val="Ttulo1"/>
        <w:numPr>
          <w:ilvl w:val="0"/>
          <w:numId w:val="1"/>
        </w:numPr>
        <w:tabs>
          <w:tab w:val="left" w:pos="466"/>
        </w:tabs>
        <w:ind w:hanging="361"/>
        <w:jc w:val="both"/>
      </w:pPr>
      <w:r w:rsidRPr="00AA3B25">
        <w:t>Problema</w:t>
      </w:r>
      <w:r w:rsidRPr="00AA3B25">
        <w:rPr>
          <w:spacing w:val="-3"/>
        </w:rPr>
        <w:t xml:space="preserve"> </w:t>
      </w:r>
      <w:r w:rsidRPr="00AA3B25">
        <w:t>planteado</w:t>
      </w:r>
    </w:p>
    <w:p w:rsidRPr="00AA3B25" w:rsidR="000C0C4C" w:rsidRDefault="000C0C4C" w14:paraId="21212C3D" w14:textId="77777777">
      <w:pPr>
        <w:pStyle w:val="Textoindependiente"/>
        <w:spacing w:before="3"/>
        <w:rPr>
          <w:b/>
        </w:rPr>
      </w:pPr>
    </w:p>
    <w:p w:rsidRPr="00AA3B25" w:rsidR="000C0C4C" w:rsidRDefault="006D033F" w14:paraId="10AAF462" w14:textId="77777777">
      <w:pPr>
        <w:pStyle w:val="Textoindependiente"/>
        <w:ind w:left="180" w:right="117"/>
        <w:jc w:val="both"/>
      </w:pPr>
      <w:r w:rsidRPr="00AA3B25">
        <w:t>“(…) viabilidad de aplicar o no la Ley de Garantías Electorales (por parte de) Universidades Públicas de carácter nacional y territorial”.</w:t>
      </w:r>
    </w:p>
    <w:p w:rsidRPr="00AA3B25" w:rsidR="000C0C4C" w:rsidRDefault="000C0C4C" w14:paraId="096E0D60" w14:textId="77777777">
      <w:pPr>
        <w:pStyle w:val="Textoindependiente"/>
        <w:spacing w:before="9"/>
        <w:rPr>
          <w:sz w:val="19"/>
        </w:rPr>
      </w:pPr>
    </w:p>
    <w:p w:rsidRPr="00AA3B25" w:rsidR="000C0C4C" w:rsidRDefault="006D033F" w14:paraId="5E03D113" w14:textId="77777777">
      <w:pPr>
        <w:pStyle w:val="Ttulo1"/>
        <w:numPr>
          <w:ilvl w:val="0"/>
          <w:numId w:val="1"/>
        </w:numPr>
        <w:tabs>
          <w:tab w:val="left" w:pos="466"/>
        </w:tabs>
        <w:spacing w:before="1"/>
        <w:ind w:hanging="361"/>
        <w:jc w:val="both"/>
      </w:pPr>
      <w:r w:rsidRPr="00AA3B25">
        <w:t>Consideraciones</w:t>
      </w:r>
    </w:p>
    <w:p w:rsidRPr="00AA3B25" w:rsidR="000C0C4C" w:rsidRDefault="000C0C4C" w14:paraId="53789E64" w14:textId="77777777">
      <w:pPr>
        <w:pStyle w:val="Textoindependiente"/>
        <w:spacing w:before="2"/>
        <w:rPr>
          <w:b/>
        </w:rPr>
      </w:pPr>
    </w:p>
    <w:p w:rsidRPr="00AA3B25" w:rsidR="000C0C4C" w:rsidRDefault="006D033F" w14:paraId="55615006" w14:textId="77777777">
      <w:pPr>
        <w:pStyle w:val="Textoindependiente"/>
        <w:ind w:left="180" w:right="109"/>
        <w:jc w:val="both"/>
      </w:pPr>
      <w:r w:rsidRPr="00AA3B25">
        <w:t>El parágrafo del artículo 38 de la Ley 996 de 2005 - Ley de Garantías Electorales, establece una prohibición para los representantes legales de las entidades de orden territorial y los directores de las entidades descentralizadas del mismo nivel, en cuanto a la celebración de convenios o contratos interadministrativos para la ejecución de recursos públicos, dentro de los cuatro (4) meses anteriores a cualquier elección, en los siguientes</w:t>
      </w:r>
      <w:r w:rsidRPr="00AA3B25">
        <w:rPr>
          <w:spacing w:val="-1"/>
        </w:rPr>
        <w:t xml:space="preserve"> </w:t>
      </w:r>
      <w:r w:rsidRPr="00AA3B25">
        <w:t>términos:</w:t>
      </w:r>
    </w:p>
    <w:p w:rsidRPr="00AA3B25" w:rsidR="000C0C4C" w:rsidRDefault="000C0C4C" w14:paraId="1147CD06" w14:textId="77777777">
      <w:pPr>
        <w:pStyle w:val="Textoindependiente"/>
      </w:pPr>
    </w:p>
    <w:p w:rsidRPr="00AA3B25" w:rsidR="000C0C4C" w:rsidRDefault="006D033F" w14:paraId="0A9126AA" w14:textId="77777777">
      <w:pPr>
        <w:pStyle w:val="Textoindependiente"/>
        <w:ind w:left="748" w:right="532"/>
        <w:jc w:val="both"/>
      </w:pPr>
      <w:r w:rsidRPr="00AA3B25">
        <w:t>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rsidRPr="00AA3B25" w:rsidR="000C0C4C" w:rsidRDefault="000C0C4C" w14:paraId="7D85062B" w14:textId="77777777">
      <w:pPr>
        <w:pStyle w:val="Textoindependiente"/>
        <w:spacing w:before="1"/>
      </w:pPr>
    </w:p>
    <w:p w:rsidRPr="00AA3B25" w:rsidR="000C0C4C" w:rsidRDefault="006D033F" w14:paraId="734AAB96" w14:textId="77777777">
      <w:pPr>
        <w:pStyle w:val="Textoindependiente"/>
        <w:ind w:left="180" w:right="108"/>
        <w:jc w:val="both"/>
      </w:pPr>
      <w:r w:rsidRPr="00AA3B25">
        <w:t>Para verificar si las universidades públicas están cubiertas por dicha prohibición, se hace necesario determinar su naturaleza jurídica, en la medida en que la disposición citada resulta aplicable a dos tipos de entidades públicas: las territoriales y las descentralizadas.</w:t>
      </w:r>
    </w:p>
    <w:p w:rsidRPr="00AA3B25" w:rsidR="000C0C4C" w:rsidRDefault="000C0C4C" w14:paraId="12A57F06" w14:textId="77777777">
      <w:pPr>
        <w:pStyle w:val="Textoindependiente"/>
        <w:spacing w:before="11"/>
        <w:rPr>
          <w:sz w:val="15"/>
        </w:rPr>
      </w:pPr>
    </w:p>
    <w:p w:rsidRPr="00AA3B25" w:rsidR="000C0C4C" w:rsidRDefault="006D033F" w14:paraId="7206C173" w14:textId="77777777">
      <w:pPr>
        <w:pStyle w:val="Textoindependiente"/>
        <w:spacing w:before="96"/>
        <w:ind w:left="180" w:right="109"/>
        <w:jc w:val="both"/>
      </w:pPr>
      <w:r w:rsidRPr="00AA3B25">
        <w:t>Al respecto, la Constitución Política, en el artículo 69</w:t>
      </w:r>
      <w:r w:rsidRPr="00AA3B25" w:rsidR="009C2E75">
        <w:rPr>
          <w:rStyle w:val="Refdenotaalpie"/>
        </w:rPr>
        <w:footnoteReference w:id="1"/>
      </w:r>
      <w:r w:rsidRPr="00AA3B25">
        <w:t xml:space="preserve">, establece, por una parte, una garantía de autonomía para que las universidades establezcan sus directivas y sus estatutos de acuerdo con la </w:t>
      </w:r>
      <w:r w:rsidRPr="00AA3B25">
        <w:lastRenderedPageBreak/>
        <w:t>ley, y por otra, la posibilidad de que cuenten con un régimen especial que corresponde dictar al Congreso.</w:t>
      </w:r>
    </w:p>
    <w:p w:rsidRPr="00AA3B25" w:rsidR="000C0C4C" w:rsidRDefault="000C0C4C" w14:paraId="0543F79B" w14:textId="77777777">
      <w:pPr>
        <w:pStyle w:val="Textoindependiente"/>
      </w:pPr>
    </w:p>
    <w:p w:rsidRPr="00AA3B25" w:rsidR="000C0C4C" w:rsidRDefault="006D033F" w14:paraId="1B7E9767" w14:textId="77777777">
      <w:pPr>
        <w:pStyle w:val="Textoindependiente"/>
        <w:ind w:left="180" w:right="107"/>
        <w:jc w:val="both"/>
      </w:pPr>
      <w:r w:rsidRPr="00AA3B25">
        <w:t>En desarrollo de lo anterior se expidió la Ley 30 de 1992, a través de la cual se regularon, básicamente, aspectos como la naturaleza jurídica de las universidades estatales y oficiales</w:t>
      </w:r>
      <w:r w:rsidRPr="00AA3B25" w:rsidR="009C2E75">
        <w:rPr>
          <w:rStyle w:val="Refdenotaalpie"/>
        </w:rPr>
        <w:footnoteReference w:id="2"/>
      </w:r>
      <w:r w:rsidRPr="00AA3B25">
        <w:t>, la forma de organizarse y el régimen de contratación aplicable</w:t>
      </w:r>
      <w:r w:rsidRPr="00AA3B25" w:rsidR="009C2E75">
        <w:rPr>
          <w:rStyle w:val="Refdenotaalpie"/>
        </w:rPr>
        <w:footnoteReference w:id="3"/>
      </w:r>
      <w:r w:rsidRPr="00AA3B25">
        <w:t>. Particularmente, el artículo 28 de la Ley 30 de 1992 les reconoce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w:t>
      </w:r>
      <w:r w:rsidRPr="00AA3B25">
        <w:rPr>
          <w:spacing w:val="-15"/>
        </w:rPr>
        <w:t xml:space="preserve"> </w:t>
      </w:r>
      <w:r w:rsidRPr="00AA3B25">
        <w:t>institucional”.</w:t>
      </w:r>
    </w:p>
    <w:p w:rsidRPr="00AA3B25" w:rsidR="000C0C4C" w:rsidRDefault="000C0C4C" w14:paraId="6005E07C" w14:textId="77777777">
      <w:pPr>
        <w:pStyle w:val="Textoindependiente"/>
        <w:spacing w:before="5"/>
        <w:rPr>
          <w:sz w:val="19"/>
        </w:rPr>
      </w:pPr>
    </w:p>
    <w:p w:rsidRPr="00AA3B25" w:rsidR="000C0C4C" w:rsidRDefault="006D033F" w14:paraId="5C81CC30" w14:textId="77777777">
      <w:pPr>
        <w:pStyle w:val="Textoindependiente"/>
        <w:spacing w:line="237" w:lineRule="auto"/>
        <w:ind w:left="180" w:right="102"/>
        <w:jc w:val="both"/>
      </w:pPr>
      <w:r w:rsidRPr="00AA3B25">
        <w:t>Posteriormente, la Ley 489 de 1998, al desarrollar la estructura y organización de la Administración pública, establece que los entes universitarios hacen parte integral de la Administración pública</w:t>
      </w:r>
      <w:r w:rsidRPr="00AA3B25" w:rsidR="009C2E75">
        <w:rPr>
          <w:rStyle w:val="Refdenotaalpie"/>
        </w:rPr>
        <w:footnoteReference w:id="4"/>
      </w:r>
      <w:r w:rsidRPr="00AA3B25">
        <w:t>, catalogándolos como entidades públicas de carácter autónomo a las que aplica un régimen especial</w:t>
      </w:r>
      <w:r w:rsidRPr="00AA3B25" w:rsidR="009C2E75">
        <w:rPr>
          <w:rStyle w:val="Refdenotaalpie"/>
        </w:rPr>
        <w:footnoteReference w:id="5"/>
      </w:r>
      <w:r w:rsidRPr="00AA3B25">
        <w:t>. Al respecto, en la sentencia C-1019 de 2012 la Corte Constitucional señaló:</w:t>
      </w:r>
    </w:p>
    <w:p w:rsidRPr="00AA3B25" w:rsidR="000C0C4C" w:rsidRDefault="000C0C4C" w14:paraId="40B556CF" w14:textId="77777777">
      <w:pPr>
        <w:pStyle w:val="Textoindependiente"/>
        <w:spacing w:before="10"/>
        <w:rPr>
          <w:sz w:val="19"/>
        </w:rPr>
      </w:pPr>
    </w:p>
    <w:p w:rsidRPr="00AA3B25" w:rsidR="00836C9F" w:rsidP="00836C9F" w:rsidRDefault="006D033F" w14:paraId="07D0219D" w14:textId="77777777">
      <w:pPr>
        <w:pStyle w:val="Textoindependiente"/>
        <w:spacing w:before="1"/>
        <w:ind w:left="748" w:right="530"/>
        <w:jc w:val="both"/>
      </w:pPr>
      <w:r w:rsidRPr="00AA3B25">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AA3B25">
        <w:rPr>
          <w:spacing w:val="49"/>
        </w:rPr>
        <w:t xml:space="preserve"> </w:t>
      </w:r>
      <w:r w:rsidRPr="00AA3B25">
        <w:t>exige</w:t>
      </w:r>
      <w:r w:rsidRPr="00AA3B25" w:rsidR="00836C9F">
        <w:t xml:space="preserve"> el cumplimiento de la obligación de colaboración armónica consagrado en el artículo 113 de la C.P. para el cumplimiento de las funciones del Estado.</w:t>
      </w:r>
    </w:p>
    <w:p w:rsidRPr="00AA3B25" w:rsidR="00836C9F" w:rsidP="00836C9F" w:rsidRDefault="00836C9F" w14:paraId="56A6326A" w14:textId="77777777">
      <w:pPr>
        <w:pStyle w:val="Textoindependiente"/>
        <w:spacing w:before="1"/>
      </w:pPr>
    </w:p>
    <w:p w:rsidRPr="00AA3B25" w:rsidR="00836C9F" w:rsidP="00836C9F" w:rsidRDefault="00836C9F" w14:paraId="40E8F70E" w14:textId="77777777">
      <w:pPr>
        <w:pStyle w:val="Textoindependiente"/>
        <w:spacing w:before="1" w:line="237" w:lineRule="auto"/>
        <w:ind w:left="748" w:right="529"/>
        <w:jc w:val="both"/>
      </w:pPr>
      <w:r w:rsidRPr="00AA3B25">
        <w:t xml:space="preserve">Aunque se establezca la participación de representantes del Estado en sus órganos de gobierno, la normatividad y la jurisprudencia han reconocido que lo anterior no significa </w:t>
      </w:r>
      <w:r w:rsidRPr="00AA3B25">
        <w:lastRenderedPageBreak/>
        <w:t>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AA3B25" w:rsidR="009C2E75">
        <w:rPr>
          <w:rStyle w:val="Refdenotaalpie"/>
        </w:rPr>
        <w:footnoteReference w:id="6"/>
      </w:r>
      <w:r w:rsidRPr="00AA3B25">
        <w:t>. De esta manera se pretende preservar a las universidades públicas y oficiales, de las injerencias e interferencias arbitrarias e indebidas del poder</w:t>
      </w:r>
      <w:r w:rsidRPr="00AA3B25">
        <w:rPr>
          <w:spacing w:val="-6"/>
        </w:rPr>
        <w:t xml:space="preserve"> </w:t>
      </w:r>
      <w:r w:rsidRPr="00AA3B25">
        <w:t>político</w:t>
      </w:r>
      <w:r w:rsidRPr="00AA3B25" w:rsidR="009C2E75">
        <w:rPr>
          <w:rStyle w:val="Refdenotaalpie"/>
        </w:rPr>
        <w:footnoteReference w:id="7"/>
      </w:r>
      <w:r w:rsidRPr="00AA3B25">
        <w:t>.</w:t>
      </w:r>
    </w:p>
    <w:p w:rsidRPr="00AA3B25" w:rsidR="00836C9F" w:rsidP="00836C9F" w:rsidRDefault="00836C9F" w14:paraId="7584208D" w14:textId="77777777">
      <w:pPr>
        <w:pStyle w:val="Textoindependiente"/>
        <w:spacing w:before="8"/>
      </w:pPr>
    </w:p>
    <w:p w:rsidRPr="00AA3B25" w:rsidR="00836C9F" w:rsidP="00836C9F" w:rsidRDefault="00836C9F" w14:paraId="68E1C7A4" w14:textId="77777777">
      <w:pPr>
        <w:pStyle w:val="Textoindependiente"/>
        <w:ind w:left="180" w:right="106"/>
        <w:jc w:val="both"/>
      </w:pPr>
      <w:r w:rsidRPr="00AA3B25">
        <w:t>En virtud de lo anterior, los entes universitarios no son entidades públicas que hagan parte de la rama ejecutiva, ni pueden considerarse entidades descentralizadas. El Consejo de Estado, Sala de lo Contencioso Administrativo, Sección Cuarta en sentencia del 16 de diciembre de 2008, con número de expediente 16297 y ponencia de la magistrada Martha Teresa Briceño de Valencia en igual sentido destacó:</w:t>
      </w:r>
    </w:p>
    <w:p w:rsidRPr="00AA3B25" w:rsidR="00836C9F" w:rsidP="00836C9F" w:rsidRDefault="00836C9F" w14:paraId="38B4D9B0" w14:textId="77777777">
      <w:pPr>
        <w:pStyle w:val="Textoindependiente"/>
      </w:pPr>
    </w:p>
    <w:p w:rsidRPr="00AA3B25" w:rsidR="00836C9F" w:rsidP="00836C9F" w:rsidRDefault="00836C9F" w14:paraId="0D0FF920" w14:textId="77777777">
      <w:pPr>
        <w:pStyle w:val="Textoindependiente"/>
        <w:ind w:left="748" w:right="534"/>
        <w:jc w:val="both"/>
      </w:pPr>
      <w:r w:rsidRPr="00AA3B25">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rsidRPr="00AA3B25" w:rsidR="00836C9F" w:rsidP="00836C9F" w:rsidRDefault="00836C9F" w14:paraId="38D4FF57" w14:textId="77777777">
      <w:pPr>
        <w:pStyle w:val="Textoindependiente"/>
        <w:spacing w:before="1"/>
        <w:ind w:left="748"/>
      </w:pPr>
      <w:r w:rsidRPr="00AA3B25">
        <w:t>(…)</w:t>
      </w:r>
    </w:p>
    <w:p w:rsidRPr="00AA3B25" w:rsidR="00836C9F" w:rsidP="00836C9F" w:rsidRDefault="00836C9F" w14:paraId="5E5487B7" w14:textId="77777777">
      <w:pPr>
        <w:pStyle w:val="Textoindependiente"/>
      </w:pPr>
    </w:p>
    <w:p w:rsidRPr="00AA3B25" w:rsidR="00836C9F" w:rsidP="00836C9F" w:rsidRDefault="00836C9F" w14:paraId="6BE772E3" w14:textId="77777777">
      <w:pPr>
        <w:pStyle w:val="Textoindependiente"/>
        <w:ind w:left="748" w:right="531"/>
        <w:jc w:val="both"/>
      </w:pPr>
      <w:r w:rsidRPr="00AA3B25">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rsidRPr="00AA3B25" w:rsidR="00836C9F" w:rsidP="00836C9F" w:rsidRDefault="00836C9F" w14:paraId="292F4E86" w14:textId="77777777">
      <w:pPr>
        <w:pStyle w:val="Textoindependiente"/>
        <w:spacing w:before="2"/>
      </w:pPr>
    </w:p>
    <w:p w:rsidRPr="00AA3B25" w:rsidR="00836C9F" w:rsidP="00836C9F" w:rsidRDefault="00836C9F" w14:paraId="16E43F6D" w14:textId="77777777">
      <w:pPr>
        <w:pStyle w:val="Textoindependiente"/>
        <w:spacing w:line="237" w:lineRule="auto"/>
        <w:ind w:left="748" w:right="535"/>
        <w:jc w:val="both"/>
      </w:pPr>
      <w:r w:rsidRPr="00AA3B25">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Pr="00AA3B25" w:rsidR="009C2E75">
        <w:rPr>
          <w:rStyle w:val="Refdenotaalpie"/>
        </w:rPr>
        <w:footnoteReference w:id="8"/>
      </w:r>
      <w:r w:rsidRPr="00AA3B25">
        <w:t>.</w:t>
      </w:r>
    </w:p>
    <w:p w:rsidRPr="00AA3B25" w:rsidR="00836C9F" w:rsidP="00836C9F" w:rsidRDefault="00836C9F" w14:paraId="432B69BC" w14:textId="77777777">
      <w:pPr>
        <w:pStyle w:val="Textoindependiente"/>
        <w:spacing w:before="3"/>
      </w:pPr>
    </w:p>
    <w:p w:rsidRPr="00AA3B25" w:rsidR="00836C9F" w:rsidP="00836C9F" w:rsidRDefault="00836C9F" w14:paraId="73842C68" w14:textId="77777777">
      <w:pPr>
        <w:pStyle w:val="Textoindependiente"/>
        <w:spacing w:before="94"/>
        <w:ind w:left="180" w:right="108"/>
        <w:jc w:val="both"/>
      </w:pPr>
      <w:r w:rsidRPr="00AA3B25">
        <w:t>De este modo, la diferenciación entre universidades públicas y entidades descentralizadas radica en la autonomía de la que aquellas gozan, en la medida en que es incompatible con un elemento característico de la descentralización denominado control de tutela, sobre el cual, en sentencia C - 727 del 21 de junio de 2000, la Corte Constitucional señaló:</w:t>
      </w:r>
    </w:p>
    <w:p w:rsidRPr="00AA3B25" w:rsidR="00836C9F" w:rsidP="00836C9F" w:rsidRDefault="00836C9F" w14:paraId="30A88D30" w14:textId="77777777">
      <w:pPr>
        <w:pStyle w:val="Textoindependiente"/>
      </w:pPr>
    </w:p>
    <w:p w:rsidRPr="00AA3B25" w:rsidR="00836C9F" w:rsidP="00836C9F" w:rsidRDefault="00836C9F" w14:paraId="4D3D4A92" w14:textId="77777777">
      <w:pPr>
        <w:pStyle w:val="Textoindependiente"/>
        <w:ind w:left="748" w:right="532"/>
        <w:jc w:val="both"/>
      </w:pPr>
      <w:r w:rsidRPr="00AA3B25">
        <w:t xml:space="preserve">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w:t>
      </w:r>
      <w:r w:rsidRPr="00AA3B25">
        <w:lastRenderedPageBreak/>
        <w:t>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AA3B25">
        <w:rPr>
          <w:spacing w:val="-4"/>
        </w:rPr>
        <w:t xml:space="preserve"> </w:t>
      </w:r>
      <w:r w:rsidRPr="00AA3B25">
        <w:t>1968.</w:t>
      </w:r>
    </w:p>
    <w:p w:rsidRPr="00AA3B25" w:rsidR="00836C9F" w:rsidP="00836C9F" w:rsidRDefault="00836C9F" w14:paraId="43629E9A" w14:textId="77777777">
      <w:pPr>
        <w:pStyle w:val="Textoindependiente"/>
      </w:pPr>
    </w:p>
    <w:p w:rsidRPr="00AA3B25" w:rsidR="00836C9F" w:rsidP="00836C9F" w:rsidRDefault="00836C9F" w14:paraId="396B5270" w14:textId="77777777">
      <w:pPr>
        <w:pStyle w:val="Textoindependiente"/>
        <w:ind w:left="180" w:right="112"/>
        <w:jc w:val="both"/>
      </w:pPr>
      <w:r w:rsidRPr="00AA3B25">
        <w:t>En suma, la descentralización involucra el ejercicio de un control de tutela que no puede aplicarse a los entes universitarios autónomos, motivo por el cual no son ni pueden ser asimiladas a entidades descentralizadas, y como tampoco encuadran en el concepto de ente territorial, no son destinatarias de la restricción a que alude la consulta.</w:t>
      </w:r>
    </w:p>
    <w:p w:rsidRPr="00AA3B25" w:rsidR="00836C9F" w:rsidP="00836C9F" w:rsidRDefault="00836C9F" w14:paraId="65465A04" w14:textId="77777777">
      <w:pPr>
        <w:pStyle w:val="Textoindependiente"/>
        <w:spacing w:before="9"/>
        <w:rPr>
          <w:sz w:val="19"/>
        </w:rPr>
      </w:pPr>
    </w:p>
    <w:p w:rsidRPr="00AA3B25" w:rsidR="00836C9F" w:rsidP="00836C9F" w:rsidRDefault="00836C9F" w14:paraId="56F848A8" w14:textId="77777777">
      <w:pPr>
        <w:pStyle w:val="Ttulo1"/>
        <w:numPr>
          <w:ilvl w:val="0"/>
          <w:numId w:val="1"/>
        </w:numPr>
        <w:tabs>
          <w:tab w:val="left" w:pos="605"/>
          <w:tab w:val="left" w:pos="606"/>
        </w:tabs>
        <w:ind w:left="605" w:hanging="426"/>
        <w:jc w:val="left"/>
      </w:pPr>
      <w:r w:rsidRPr="00AA3B25">
        <w:t>Respuesta</w:t>
      </w:r>
    </w:p>
    <w:p w:rsidRPr="00AA3B25" w:rsidR="00836C9F" w:rsidP="00836C9F" w:rsidRDefault="00836C9F" w14:paraId="0E0842E1" w14:textId="77777777">
      <w:pPr>
        <w:pStyle w:val="Textoindependiente"/>
        <w:spacing w:before="3"/>
        <w:rPr>
          <w:b/>
        </w:rPr>
      </w:pPr>
    </w:p>
    <w:p w:rsidRPr="00AA3B25" w:rsidR="00836C9F" w:rsidP="00836C9F" w:rsidRDefault="00836C9F" w14:paraId="6DFA7027" w14:textId="77777777">
      <w:pPr>
        <w:pStyle w:val="Textoindependiente"/>
        <w:ind w:left="180" w:right="109"/>
        <w:jc w:val="both"/>
      </w:pPr>
      <w:r w:rsidRPr="00AA3B25">
        <w:t>El parágrafo del artículo 38 de la ley de garantías electorales, que restringe la celebración de contratos y convenios interadministrativos por entidades estatales del orden territorial y descentralizado, no es aplicable a las universidades públicas del orden nacional y territorial, debido a que, en virtud de su atributo constitucional de autonomía, no son ni pueden asimilarse a las entidades públicas que expresamente prevé la</w:t>
      </w:r>
      <w:r w:rsidRPr="00AA3B25">
        <w:rPr>
          <w:spacing w:val="-4"/>
        </w:rPr>
        <w:t xml:space="preserve"> </w:t>
      </w:r>
      <w:r w:rsidRPr="00AA3B25">
        <w:t>norma.</w:t>
      </w:r>
    </w:p>
    <w:p w:rsidRPr="00AA3B25" w:rsidR="00836C9F" w:rsidP="00836C9F" w:rsidRDefault="00836C9F" w14:paraId="3BAD6DC5" w14:textId="77777777">
      <w:pPr>
        <w:pStyle w:val="Textoindependiente"/>
      </w:pPr>
    </w:p>
    <w:p w:rsidRPr="00AA3B25" w:rsidR="00836C9F" w:rsidP="00836C9F" w:rsidRDefault="00836C9F" w14:paraId="07590419" w14:textId="77777777">
      <w:pPr>
        <w:pStyle w:val="Textoindependiente"/>
        <w:tabs>
          <w:tab w:val="left" w:pos="1697"/>
          <w:tab w:val="left" w:pos="3549"/>
          <w:tab w:val="left" w:pos="4776"/>
          <w:tab w:val="left" w:pos="5941"/>
          <w:tab w:val="left" w:pos="8755"/>
        </w:tabs>
        <w:spacing w:before="1"/>
        <w:ind w:left="180" w:right="106"/>
        <w:jc w:val="both"/>
      </w:pPr>
      <w:r w:rsidRPr="00AA3B25">
        <w:t>Por último, la Agencia Nacional de Contratación Pública -Colombia Compra Eficiente, pone a disposición de los interesados del Sistema de Compra Pública los lineamientos impartidos sobre la aplicación de la Ley de Garantías que regirá para las elecciones del año 2019, información que podrá</w:t>
      </w:r>
      <w:r w:rsidRPr="00AA3B25">
        <w:tab/>
      </w:r>
      <w:r w:rsidRPr="00AA3B25">
        <w:t>encontrar</w:t>
      </w:r>
      <w:r w:rsidRPr="00AA3B25">
        <w:tab/>
      </w:r>
      <w:r w:rsidRPr="00AA3B25">
        <w:t>en</w:t>
      </w:r>
      <w:r w:rsidRPr="00AA3B25">
        <w:tab/>
      </w:r>
      <w:r w:rsidRPr="00AA3B25">
        <w:t>el</w:t>
      </w:r>
      <w:r w:rsidRPr="00AA3B25">
        <w:tab/>
      </w:r>
      <w:r w:rsidRPr="00AA3B25">
        <w:t>siguiente</w:t>
      </w:r>
      <w:r w:rsidRPr="00AA3B25">
        <w:tab/>
      </w:r>
      <w:r w:rsidRPr="00AA3B25">
        <w:rPr>
          <w:spacing w:val="-4"/>
        </w:rPr>
        <w:t xml:space="preserve">link: </w:t>
      </w:r>
      <w:hyperlink r:id="rId11">
        <w:r w:rsidRPr="00AA3B25">
          <w:rPr>
            <w:u w:val="single" w:color="4F81BC"/>
          </w:rPr>
          <w:t>https://www.colombiacompra.gov.co/sites/cce_public/files/cce_documentos/ley_de_garantias_06262</w:t>
        </w:r>
      </w:hyperlink>
      <w:r w:rsidRPr="00AA3B25">
        <w:t xml:space="preserve"> </w:t>
      </w:r>
      <w:hyperlink r:id="rId12">
        <w:r w:rsidRPr="00AA3B25">
          <w:rPr>
            <w:u w:val="single" w:color="4F81BC"/>
          </w:rPr>
          <w:t>019_vf.pdf</w:t>
        </w:r>
      </w:hyperlink>
    </w:p>
    <w:p w:rsidRPr="00AA3B25" w:rsidR="00836C9F" w:rsidP="00836C9F" w:rsidRDefault="00836C9F" w14:paraId="7CFEEB46" w14:textId="77777777">
      <w:pPr>
        <w:pStyle w:val="Textoindependiente"/>
        <w:spacing w:before="10"/>
        <w:rPr>
          <w:sz w:val="11"/>
        </w:rPr>
      </w:pPr>
    </w:p>
    <w:p w:rsidRPr="00AA3B25" w:rsidR="00836C9F" w:rsidP="00836C9F" w:rsidRDefault="00836C9F" w14:paraId="5A94E579" w14:textId="77777777">
      <w:pPr>
        <w:pStyle w:val="Textoindependiente"/>
        <w:spacing w:before="93"/>
        <w:ind w:left="180" w:right="77"/>
      </w:pPr>
      <w:r w:rsidRPr="00AA3B25">
        <w:t>Este concepto tiene el alcance previsto en el artículo 28 del Código de Procedimiento Administrativo y de lo Contencioso Administrativo.</w:t>
      </w:r>
    </w:p>
    <w:p w:rsidRPr="00AA3B25" w:rsidR="00836C9F" w:rsidP="00836C9F" w:rsidRDefault="009C66F1" w14:paraId="1D343557" w14:textId="77777777">
      <w:pPr>
        <w:pStyle w:val="Textoindependiente"/>
        <w:spacing w:before="5"/>
        <w:rPr>
          <w:sz w:val="17"/>
        </w:rPr>
      </w:pPr>
      <w:r>
        <w:pict w14:anchorId="76EF1109">
          <v:line id="_x0000_s1030" style="position:absolute;z-index:-251658752;mso-wrap-distance-left:0;mso-wrap-distance-right:0;mso-position-horizontal-relative:page" strokecolor="#dbdbdb" from="119.25pt,12.4pt" to="488.25pt,12.4pt">
            <w10:wrap type="topAndBottom" anchorx="page"/>
          </v:line>
        </w:pict>
      </w:r>
    </w:p>
    <w:p w:rsidRPr="00AA3B25" w:rsidR="00836C9F" w:rsidP="00836C9F" w:rsidRDefault="00836C9F" w14:paraId="4C6D7C95" w14:textId="77777777">
      <w:pPr>
        <w:pStyle w:val="Textoindependiente"/>
        <w:spacing w:before="176" w:after="19"/>
        <w:ind w:left="180"/>
      </w:pPr>
      <w:r w:rsidRPr="00AA3B25">
        <w:t>Atentamente,</w:t>
      </w:r>
    </w:p>
    <w:p w:rsidR="00836C9F" w:rsidP="007C442F" w:rsidRDefault="007C442F" w14:paraId="1F5132C7" w14:textId="5F608C07">
      <w:pPr>
        <w:pStyle w:val="Textoindependiente"/>
        <w:ind w:left="324"/>
        <w:jc w:val="center"/>
      </w:pPr>
      <w:r w:rsidR="007C442F">
        <w:drawing>
          <wp:inline wp14:editId="6B8A8AA7" wp14:anchorId="4BE4BB22">
            <wp:extent cx="2773045" cy="988695"/>
            <wp:effectExtent l="0" t="0" r="0" b="0"/>
            <wp:docPr id="239199562" name="Imagen 20" title=""/>
            <wp:cNvGraphicFramePr>
              <a:graphicFrameLocks/>
            </wp:cNvGraphicFramePr>
            <a:graphic>
              <a:graphicData uri="http://schemas.openxmlformats.org/drawingml/2006/picture">
                <pic:pic>
                  <pic:nvPicPr>
                    <pic:cNvPr id="0" name="Imagen 20"/>
                    <pic:cNvPicPr/>
                  </pic:nvPicPr>
                  <pic:blipFill>
                    <a:blip r:embed="R1b5f272004454d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A3B25" w:rsidR="009C66F1" w:rsidP="007C442F" w:rsidRDefault="009C66F1" w14:paraId="15E8C77B" w14:textId="77777777">
      <w:pPr>
        <w:pStyle w:val="Textoindependiente"/>
        <w:ind w:left="324"/>
        <w:jc w:val="center"/>
      </w:pPr>
    </w:p>
    <w:p w:rsidRPr="00AA3B25" w:rsidR="00836C9F" w:rsidP="00836C9F" w:rsidRDefault="00836C9F" w14:paraId="0915BD2F" w14:textId="77777777">
      <w:pPr>
        <w:pStyle w:val="Textoindependiente"/>
        <w:spacing w:before="47"/>
        <w:ind w:left="180"/>
      </w:pPr>
      <w:r w:rsidRPr="00AA3B25">
        <w:t>Proyectó: Laura Castellanos Castañeda</w:t>
      </w:r>
    </w:p>
    <w:p w:rsidRPr="00AA3B25" w:rsidR="00836C9F" w:rsidP="00836C9F" w:rsidRDefault="00836C9F" w14:paraId="22077317" w14:textId="77777777">
      <w:pPr>
        <w:pStyle w:val="Textoindependiente"/>
        <w:spacing w:before="1"/>
        <w:ind w:left="748" w:right="530"/>
        <w:jc w:val="both"/>
      </w:pPr>
    </w:p>
    <w:p w:rsidRPr="00AA3B25" w:rsidR="000C0C4C" w:rsidP="009C2E75" w:rsidRDefault="000C0C4C" w14:paraId="12D709FB" w14:textId="77777777">
      <w:pPr>
        <w:pStyle w:val="Textoindependiente"/>
        <w:spacing w:before="6"/>
        <w:rPr>
          <w:sz w:val="16"/>
        </w:rPr>
      </w:pPr>
    </w:p>
    <w:sectPr w:rsidRPr="00AA3B25" w:rsidR="000C0C4C">
      <w:headerReference w:type="default" r:id="rId14"/>
      <w:footerReference w:type="default" r:id="rId15"/>
      <w:pgSz w:w="12240" w:h="15840" w:orient="portrait"/>
      <w:pgMar w:top="1560" w:right="1500" w:bottom="2100" w:left="1520" w:header="737" w:footer="1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6F1A" w:rsidRDefault="004A6F1A" w14:paraId="56D84365" w14:textId="77777777">
      <w:r>
        <w:separator/>
      </w:r>
    </w:p>
  </w:endnote>
  <w:endnote w:type="continuationSeparator" w:id="0">
    <w:p w:rsidR="004A6F1A" w:rsidRDefault="004A6F1A" w14:paraId="7178DF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C0C4C" w:rsidRDefault="006D033F" w14:paraId="2B0E814F" w14:textId="77777777">
    <w:pPr>
      <w:pStyle w:val="Textoindependiente"/>
      <w:spacing w:line="14" w:lineRule="auto"/>
    </w:pPr>
    <w:r>
      <w:rPr>
        <w:noProof/>
        <w:lang w:val="en-US" w:eastAsia="en-US" w:bidi="ar-SA"/>
      </w:rPr>
      <w:drawing>
        <wp:anchor distT="0" distB="0" distL="0" distR="0" simplePos="0" relativeHeight="251661312" behindDoc="1" locked="0" layoutInCell="1" allowOverlap="1" wp14:anchorId="45731FEB" wp14:editId="6C9C4B37">
          <wp:simplePos x="0" y="0"/>
          <wp:positionH relativeFrom="page">
            <wp:posOffset>1131569</wp:posOffset>
          </wp:positionH>
          <wp:positionV relativeFrom="page">
            <wp:posOffset>8723295</wp:posOffset>
          </wp:positionV>
          <wp:extent cx="5610225" cy="742687"/>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r w:rsidR="0E41E54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6F1A" w:rsidRDefault="004A6F1A" w14:paraId="1179A0C5" w14:textId="77777777">
      <w:r>
        <w:separator/>
      </w:r>
    </w:p>
  </w:footnote>
  <w:footnote w:type="continuationSeparator" w:id="0">
    <w:p w:rsidR="004A6F1A" w:rsidRDefault="004A6F1A" w14:paraId="2300BB15" w14:textId="77777777">
      <w:r>
        <w:continuationSeparator/>
      </w:r>
    </w:p>
  </w:footnote>
  <w:footnote w:id="1">
    <w:p w:rsidR="009C2E75" w:rsidP="009C2E75" w:rsidRDefault="009C2E75" w14:paraId="13A3F0DC" w14:textId="77777777">
      <w:pPr>
        <w:spacing w:before="76"/>
        <w:ind w:left="180" w:right="114" w:firstLine="567"/>
        <w:jc w:val="both"/>
        <w:rPr>
          <w:sz w:val="16"/>
        </w:rPr>
      </w:pPr>
      <w:r>
        <w:rPr>
          <w:rStyle w:val="Refdenotaalpie"/>
        </w:rPr>
        <w:footnoteRef/>
      </w:r>
      <w:r>
        <w:t xml:space="preserve"> </w:t>
      </w:r>
      <w:r>
        <w:rPr>
          <w:color w:val="404040"/>
          <w:sz w:val="16"/>
        </w:rPr>
        <w:t>“Artículo 69. Se garantiza la autonomía universitaria. Las universidades podrán darse sus directivas y regirse por sus</w:t>
      </w:r>
      <w:r>
        <w:rPr>
          <w:color w:val="404040"/>
          <w:spacing w:val="-2"/>
          <w:sz w:val="16"/>
        </w:rPr>
        <w:t xml:space="preserve"> </w:t>
      </w:r>
      <w:r>
        <w:rPr>
          <w:color w:val="404040"/>
          <w:sz w:val="16"/>
        </w:rPr>
        <w:t>propios</w:t>
      </w:r>
      <w:r>
        <w:rPr>
          <w:color w:val="404040"/>
          <w:spacing w:val="-2"/>
          <w:sz w:val="16"/>
        </w:rPr>
        <w:t xml:space="preserve"> </w:t>
      </w:r>
      <w:r>
        <w:rPr>
          <w:color w:val="404040"/>
          <w:sz w:val="16"/>
        </w:rPr>
        <w:t>estatutos,</w:t>
      </w:r>
      <w:r>
        <w:rPr>
          <w:color w:val="404040"/>
          <w:spacing w:val="-4"/>
          <w:sz w:val="16"/>
        </w:rPr>
        <w:t xml:space="preserve"> </w:t>
      </w:r>
      <w:r>
        <w:rPr>
          <w:color w:val="404040"/>
          <w:sz w:val="16"/>
        </w:rPr>
        <w:t>de</w:t>
      </w:r>
      <w:r>
        <w:rPr>
          <w:color w:val="404040"/>
          <w:spacing w:val="-4"/>
          <w:sz w:val="16"/>
        </w:rPr>
        <w:t xml:space="preserve"> </w:t>
      </w:r>
      <w:r>
        <w:rPr>
          <w:color w:val="404040"/>
          <w:sz w:val="16"/>
        </w:rPr>
        <w:t>acuerdo</w:t>
      </w:r>
      <w:r>
        <w:rPr>
          <w:color w:val="404040"/>
          <w:spacing w:val="-4"/>
          <w:sz w:val="16"/>
        </w:rPr>
        <w:t xml:space="preserve"> </w:t>
      </w:r>
      <w:r>
        <w:rPr>
          <w:color w:val="404040"/>
          <w:sz w:val="16"/>
        </w:rPr>
        <w:t>con</w:t>
      </w:r>
      <w:r>
        <w:rPr>
          <w:color w:val="404040"/>
          <w:spacing w:val="-1"/>
          <w:sz w:val="16"/>
        </w:rPr>
        <w:t xml:space="preserve"> </w:t>
      </w:r>
      <w:r>
        <w:rPr>
          <w:color w:val="404040"/>
          <w:sz w:val="16"/>
        </w:rPr>
        <w:t>la</w:t>
      </w:r>
      <w:r>
        <w:rPr>
          <w:color w:val="404040"/>
          <w:spacing w:val="-1"/>
          <w:sz w:val="16"/>
        </w:rPr>
        <w:t xml:space="preserve"> </w:t>
      </w:r>
      <w:r>
        <w:rPr>
          <w:color w:val="404040"/>
          <w:sz w:val="16"/>
        </w:rPr>
        <w:t>ley.</w:t>
      </w:r>
      <w:r>
        <w:rPr>
          <w:color w:val="404040"/>
          <w:spacing w:val="-2"/>
          <w:sz w:val="16"/>
        </w:rPr>
        <w:t xml:space="preserve"> </w:t>
      </w:r>
      <w:r>
        <w:rPr>
          <w:color w:val="404040"/>
          <w:sz w:val="16"/>
        </w:rPr>
        <w:t>La</w:t>
      </w:r>
      <w:r>
        <w:rPr>
          <w:color w:val="404040"/>
          <w:spacing w:val="-1"/>
          <w:sz w:val="16"/>
        </w:rPr>
        <w:t xml:space="preserve"> </w:t>
      </w:r>
      <w:r>
        <w:rPr>
          <w:color w:val="404040"/>
          <w:sz w:val="16"/>
        </w:rPr>
        <w:t>ley</w:t>
      </w:r>
      <w:r>
        <w:rPr>
          <w:color w:val="404040"/>
          <w:spacing w:val="-5"/>
          <w:sz w:val="16"/>
        </w:rPr>
        <w:t xml:space="preserve"> </w:t>
      </w:r>
      <w:r>
        <w:rPr>
          <w:color w:val="404040"/>
          <w:sz w:val="16"/>
        </w:rPr>
        <w:t>establecerá</w:t>
      </w:r>
      <w:r>
        <w:rPr>
          <w:color w:val="404040"/>
          <w:spacing w:val="-1"/>
          <w:sz w:val="16"/>
        </w:rPr>
        <w:t xml:space="preserve"> </w:t>
      </w:r>
      <w:r>
        <w:rPr>
          <w:color w:val="404040"/>
          <w:sz w:val="16"/>
        </w:rPr>
        <w:t>un</w:t>
      </w:r>
      <w:r>
        <w:rPr>
          <w:color w:val="404040"/>
          <w:spacing w:val="-1"/>
          <w:sz w:val="16"/>
        </w:rPr>
        <w:t xml:space="preserve"> </w:t>
      </w:r>
      <w:r>
        <w:rPr>
          <w:color w:val="404040"/>
          <w:sz w:val="16"/>
        </w:rPr>
        <w:t>régimen</w:t>
      </w:r>
      <w:r>
        <w:rPr>
          <w:color w:val="404040"/>
          <w:spacing w:val="-4"/>
          <w:sz w:val="16"/>
        </w:rPr>
        <w:t xml:space="preserve"> </w:t>
      </w:r>
      <w:r>
        <w:rPr>
          <w:color w:val="404040"/>
          <w:sz w:val="16"/>
        </w:rPr>
        <w:t>especial</w:t>
      </w:r>
      <w:r>
        <w:rPr>
          <w:color w:val="404040"/>
          <w:spacing w:val="-5"/>
          <w:sz w:val="16"/>
        </w:rPr>
        <w:t xml:space="preserve"> </w:t>
      </w:r>
      <w:r>
        <w:rPr>
          <w:color w:val="404040"/>
          <w:sz w:val="16"/>
        </w:rPr>
        <w:t>para</w:t>
      </w:r>
      <w:r>
        <w:rPr>
          <w:color w:val="404040"/>
          <w:spacing w:val="-1"/>
          <w:sz w:val="16"/>
        </w:rPr>
        <w:t xml:space="preserve"> </w:t>
      </w:r>
      <w:r>
        <w:rPr>
          <w:color w:val="404040"/>
          <w:sz w:val="16"/>
        </w:rPr>
        <w:t>las</w:t>
      </w:r>
      <w:r>
        <w:rPr>
          <w:color w:val="404040"/>
          <w:spacing w:val="-5"/>
          <w:sz w:val="16"/>
        </w:rPr>
        <w:t xml:space="preserve"> </w:t>
      </w:r>
      <w:r>
        <w:rPr>
          <w:color w:val="404040"/>
          <w:sz w:val="16"/>
        </w:rPr>
        <w:t>universidades</w:t>
      </w:r>
      <w:r>
        <w:rPr>
          <w:color w:val="404040"/>
          <w:spacing w:val="-2"/>
          <w:sz w:val="16"/>
        </w:rPr>
        <w:t xml:space="preserve"> </w:t>
      </w:r>
      <w:r>
        <w:rPr>
          <w:color w:val="404040"/>
          <w:sz w:val="16"/>
        </w:rPr>
        <w:t>del</w:t>
      </w:r>
      <w:r>
        <w:rPr>
          <w:color w:val="404040"/>
          <w:spacing w:val="-3"/>
          <w:sz w:val="16"/>
        </w:rPr>
        <w:t xml:space="preserve"> </w:t>
      </w:r>
      <w:r>
        <w:rPr>
          <w:color w:val="404040"/>
          <w:sz w:val="16"/>
        </w:rPr>
        <w:t>Estado”</w:t>
      </w:r>
    </w:p>
    <w:p w:rsidRPr="009C2E75" w:rsidR="009C2E75" w:rsidRDefault="009C2E75" w14:paraId="135BF553" w14:textId="77777777">
      <w:pPr>
        <w:pStyle w:val="Textonotapie"/>
      </w:pPr>
    </w:p>
  </w:footnote>
  <w:footnote w:id="2">
    <w:p w:rsidR="009C2E75" w:rsidP="009C2E75" w:rsidRDefault="009C2E75" w14:paraId="49DF3CFB" w14:textId="77777777">
      <w:pPr>
        <w:ind w:left="180" w:right="111" w:firstLine="567"/>
        <w:jc w:val="both"/>
        <w:rPr>
          <w:sz w:val="16"/>
        </w:rPr>
      </w:pPr>
      <w:r>
        <w:rPr>
          <w:rStyle w:val="Refdenotaalpie"/>
        </w:rPr>
        <w:footnoteRef/>
      </w:r>
      <w:r>
        <w:t xml:space="preserve"> </w:t>
      </w:r>
      <w:r>
        <w:rPr>
          <w:color w:val="404040"/>
          <w:sz w:val="16"/>
        </w:rPr>
        <w:t>“Artículo 57. Las universidades estatales u oficiales deben organizarse como entes universitarios autónomos, con régimen especial y vinculados al Ministerio de Educación Nacional en lo que se refiere a las políticas y la planeación del sector educativo”.</w:t>
      </w:r>
    </w:p>
    <w:p w:rsidR="009C2E75" w:rsidP="009C2E75" w:rsidRDefault="009C2E75" w14:paraId="14333C22" w14:textId="77777777">
      <w:pPr>
        <w:pStyle w:val="Textoindependiente"/>
        <w:spacing w:before="1"/>
        <w:rPr>
          <w:sz w:val="16"/>
        </w:rPr>
      </w:pPr>
    </w:p>
    <w:p w:rsidR="009C2E75" w:rsidP="009C2E75" w:rsidRDefault="009C2E75" w14:paraId="0C969AC1" w14:textId="77777777">
      <w:pPr>
        <w:spacing w:before="1"/>
        <w:ind w:left="180" w:right="110"/>
        <w:jc w:val="both"/>
        <w:rPr>
          <w:sz w:val="16"/>
        </w:rPr>
      </w:pPr>
      <w:r>
        <w:rPr>
          <w:color w:val="404040"/>
          <w:sz w:val="16"/>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rsidR="009C2E75" w:rsidP="009C2E75" w:rsidRDefault="009C2E75" w14:paraId="08BB8CA6" w14:textId="77777777">
      <w:pPr>
        <w:pStyle w:val="Textoindependiente"/>
        <w:spacing w:before="10"/>
        <w:rPr>
          <w:sz w:val="15"/>
        </w:rPr>
      </w:pPr>
    </w:p>
    <w:p w:rsidR="009C2E75" w:rsidP="009C2E75" w:rsidRDefault="009C2E75" w14:paraId="1E0F6811" w14:textId="77777777">
      <w:pPr>
        <w:ind w:left="180" w:right="104"/>
        <w:jc w:val="both"/>
        <w:rPr>
          <w:sz w:val="16"/>
        </w:rPr>
      </w:pPr>
      <w:r>
        <w:rPr>
          <w:color w:val="404040"/>
          <w:sz w:val="16"/>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w:t>
      </w:r>
      <w:r>
        <w:rPr>
          <w:color w:val="404040"/>
          <w:spacing w:val="-32"/>
          <w:sz w:val="16"/>
        </w:rPr>
        <w:t xml:space="preserve"> </w:t>
      </w:r>
      <w:r>
        <w:rPr>
          <w:color w:val="404040"/>
          <w:sz w:val="16"/>
        </w:rPr>
        <w:t>acuerdo con la presente ley”.</w:t>
      </w:r>
    </w:p>
    <w:p w:rsidRPr="009C2E75" w:rsidR="009C2E75" w:rsidRDefault="009C2E75" w14:paraId="50180AA6" w14:textId="77777777">
      <w:pPr>
        <w:pStyle w:val="Textonotapie"/>
      </w:pPr>
    </w:p>
  </w:footnote>
  <w:footnote w:id="3">
    <w:p w:rsidR="009C2E75" w:rsidP="009C2E75" w:rsidRDefault="009C2E75" w14:paraId="455D5E2B" w14:textId="77777777">
      <w:pPr>
        <w:ind w:left="180" w:right="110" w:firstLine="567"/>
        <w:jc w:val="both"/>
        <w:rPr>
          <w:sz w:val="16"/>
        </w:rPr>
      </w:pPr>
      <w:r>
        <w:rPr>
          <w:rStyle w:val="Refdenotaalpie"/>
        </w:rPr>
        <w:footnoteRef/>
      </w:r>
      <w:r>
        <w:t xml:space="preserve"> </w:t>
      </w:r>
      <w:r>
        <w:rPr>
          <w:color w:val="404040"/>
          <w:sz w:val="16"/>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Pr>
          <w:color w:val="404040"/>
          <w:spacing w:val="-16"/>
          <w:sz w:val="16"/>
        </w:rPr>
        <w:t xml:space="preserve"> </w:t>
      </w:r>
      <w:r>
        <w:rPr>
          <w:color w:val="404040"/>
          <w:sz w:val="16"/>
        </w:rPr>
        <w:t>contratos”.</w:t>
      </w:r>
    </w:p>
    <w:p w:rsidRPr="009C2E75" w:rsidR="009C2E75" w:rsidRDefault="009C2E75" w14:paraId="29F265A0" w14:textId="77777777">
      <w:pPr>
        <w:pStyle w:val="Textonotapie"/>
      </w:pPr>
    </w:p>
  </w:footnote>
  <w:footnote w:id="4">
    <w:p w:rsidRPr="009C2E75" w:rsidR="009C2E75" w:rsidP="009C2E75" w:rsidRDefault="009C2E75" w14:paraId="533161F9" w14:textId="77777777">
      <w:pPr>
        <w:ind w:left="180" w:right="106" w:firstLine="567"/>
        <w:jc w:val="both"/>
      </w:pPr>
      <w:r>
        <w:rPr>
          <w:rStyle w:val="Refdenotaalpie"/>
        </w:rPr>
        <w:footnoteRef/>
      </w:r>
      <w:r>
        <w:t xml:space="preserve"> </w:t>
      </w:r>
      <w:r>
        <w:rPr>
          <w:color w:val="404040"/>
          <w:sz w:val="16"/>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footnote>
  <w:footnote w:id="5">
    <w:p w:rsidR="009C2E75" w:rsidP="009C2E75" w:rsidRDefault="009C2E75" w14:paraId="288865CD" w14:textId="77777777">
      <w:pPr>
        <w:spacing w:before="156"/>
        <w:ind w:left="180" w:right="106" w:firstLine="567"/>
        <w:jc w:val="both"/>
        <w:rPr>
          <w:sz w:val="16"/>
        </w:rPr>
      </w:pPr>
      <w:r>
        <w:rPr>
          <w:rStyle w:val="Refdenotaalpie"/>
        </w:rPr>
        <w:footnoteRef/>
      </w:r>
      <w:r>
        <w:t xml:space="preserve"> </w:t>
      </w:r>
      <w:r>
        <w:rPr>
          <w:color w:val="404040"/>
          <w:position w:val="6"/>
          <w:sz w:val="10"/>
        </w:rPr>
        <w:t xml:space="preserve"> </w:t>
      </w:r>
      <w:r>
        <w:rPr>
          <w:color w:val="404040"/>
          <w:sz w:val="16"/>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rsidR="009C2E75" w:rsidP="009C2E75" w:rsidRDefault="009C2E75" w14:paraId="13B622DF" w14:textId="77777777">
      <w:pPr>
        <w:pStyle w:val="Textoindependiente"/>
        <w:spacing w:before="6"/>
        <w:rPr>
          <w:sz w:val="16"/>
        </w:rPr>
      </w:pPr>
    </w:p>
    <w:p w:rsidRPr="009C2E75" w:rsidR="009C2E75" w:rsidRDefault="009C2E75" w14:paraId="4D647DBB" w14:textId="77777777">
      <w:pPr>
        <w:pStyle w:val="Textonotapie"/>
      </w:pPr>
    </w:p>
  </w:footnote>
  <w:footnote w:id="6">
    <w:p w:rsidR="009C2E75" w:rsidP="009C2E75" w:rsidRDefault="009C2E75" w14:paraId="23385C08" w14:textId="77777777">
      <w:pPr>
        <w:ind w:left="108" w:firstLine="612"/>
        <w:rPr>
          <w:color w:val="404040"/>
          <w:sz w:val="16"/>
        </w:rPr>
      </w:pPr>
      <w:r>
        <w:rPr>
          <w:rStyle w:val="Refdenotaalpie"/>
        </w:rPr>
        <w:footnoteRef/>
      </w:r>
      <w:r>
        <w:t xml:space="preserve"> </w:t>
      </w:r>
      <w:r>
        <w:rPr>
          <w:color w:val="404040"/>
          <w:sz w:val="16"/>
        </w:rPr>
        <w:t>Corte Constitucional, sentencia C-121 de 2003, Magistrada Ponente: Dra. Clara Inés Vargas Hernández.</w:t>
      </w:r>
    </w:p>
    <w:p w:rsidRPr="009C2E75" w:rsidR="009C2E75" w:rsidP="009C2E75" w:rsidRDefault="009C2E75" w14:paraId="442F645D" w14:textId="77777777">
      <w:pPr>
        <w:ind w:left="108" w:firstLine="612"/>
        <w:rPr>
          <w:lang w:val="es-MX"/>
        </w:rPr>
      </w:pPr>
    </w:p>
  </w:footnote>
  <w:footnote w:id="7">
    <w:p w:rsidR="009C2E75" w:rsidP="009C2E75" w:rsidRDefault="009C2E75" w14:paraId="692A2C3C" w14:textId="77777777">
      <w:pPr>
        <w:ind w:left="-1" w:right="110"/>
        <w:jc w:val="right"/>
        <w:rPr>
          <w:color w:val="404040"/>
          <w:sz w:val="16"/>
        </w:rPr>
      </w:pPr>
      <w:r>
        <w:rPr>
          <w:rStyle w:val="Refdenotaalpie"/>
        </w:rPr>
        <w:footnoteRef/>
      </w:r>
      <w:r>
        <w:t xml:space="preserve"> </w:t>
      </w:r>
      <w:r>
        <w:rPr>
          <w:color w:val="404040"/>
          <w:sz w:val="16"/>
        </w:rPr>
        <w:t>Corete</w:t>
      </w:r>
      <w:r>
        <w:rPr>
          <w:color w:val="404040"/>
          <w:spacing w:val="10"/>
          <w:sz w:val="16"/>
        </w:rPr>
        <w:t xml:space="preserve"> </w:t>
      </w:r>
      <w:r>
        <w:rPr>
          <w:color w:val="404040"/>
          <w:sz w:val="16"/>
        </w:rPr>
        <w:t>Constitucional,</w:t>
      </w:r>
      <w:r>
        <w:rPr>
          <w:color w:val="404040"/>
          <w:spacing w:val="11"/>
          <w:sz w:val="16"/>
        </w:rPr>
        <w:t xml:space="preserve"> </w:t>
      </w:r>
      <w:r>
        <w:rPr>
          <w:color w:val="404040"/>
          <w:sz w:val="16"/>
        </w:rPr>
        <w:t>sentencia</w:t>
      </w:r>
      <w:r>
        <w:rPr>
          <w:color w:val="404040"/>
          <w:spacing w:val="10"/>
          <w:sz w:val="16"/>
        </w:rPr>
        <w:t xml:space="preserve"> </w:t>
      </w:r>
      <w:r>
        <w:rPr>
          <w:color w:val="404040"/>
          <w:sz w:val="16"/>
        </w:rPr>
        <w:t>C-1019</w:t>
      </w:r>
      <w:r>
        <w:rPr>
          <w:color w:val="404040"/>
          <w:spacing w:val="10"/>
          <w:sz w:val="16"/>
        </w:rPr>
        <w:t xml:space="preserve"> </w:t>
      </w:r>
      <w:r>
        <w:rPr>
          <w:color w:val="404040"/>
          <w:sz w:val="16"/>
        </w:rPr>
        <w:t>del</w:t>
      </w:r>
      <w:r>
        <w:rPr>
          <w:color w:val="404040"/>
          <w:spacing w:val="9"/>
          <w:sz w:val="16"/>
        </w:rPr>
        <w:t xml:space="preserve"> </w:t>
      </w:r>
      <w:r>
        <w:rPr>
          <w:color w:val="404040"/>
          <w:sz w:val="16"/>
        </w:rPr>
        <w:t>28</w:t>
      </w:r>
      <w:r>
        <w:rPr>
          <w:color w:val="404040"/>
          <w:spacing w:val="10"/>
          <w:sz w:val="16"/>
        </w:rPr>
        <w:t xml:space="preserve"> </w:t>
      </w:r>
      <w:r>
        <w:rPr>
          <w:color w:val="404040"/>
          <w:sz w:val="16"/>
        </w:rPr>
        <w:t>de</w:t>
      </w:r>
      <w:r>
        <w:rPr>
          <w:color w:val="404040"/>
          <w:spacing w:val="10"/>
          <w:sz w:val="16"/>
        </w:rPr>
        <w:t xml:space="preserve"> </w:t>
      </w:r>
      <w:r>
        <w:rPr>
          <w:color w:val="404040"/>
          <w:sz w:val="16"/>
        </w:rPr>
        <w:t>noviembre</w:t>
      </w:r>
      <w:r>
        <w:rPr>
          <w:color w:val="404040"/>
          <w:spacing w:val="10"/>
          <w:sz w:val="16"/>
        </w:rPr>
        <w:t xml:space="preserve"> </w:t>
      </w:r>
      <w:r>
        <w:rPr>
          <w:color w:val="404040"/>
          <w:sz w:val="16"/>
        </w:rPr>
        <w:t>de</w:t>
      </w:r>
      <w:r>
        <w:rPr>
          <w:color w:val="404040"/>
          <w:spacing w:val="10"/>
          <w:sz w:val="16"/>
        </w:rPr>
        <w:t xml:space="preserve"> </w:t>
      </w:r>
      <w:r>
        <w:rPr>
          <w:color w:val="404040"/>
          <w:sz w:val="16"/>
        </w:rPr>
        <w:t>2012,</w:t>
      </w:r>
      <w:r>
        <w:rPr>
          <w:color w:val="404040"/>
          <w:spacing w:val="10"/>
          <w:sz w:val="16"/>
        </w:rPr>
        <w:t xml:space="preserve"> </w:t>
      </w:r>
      <w:r>
        <w:rPr>
          <w:color w:val="404040"/>
          <w:sz w:val="16"/>
        </w:rPr>
        <w:t>Magistrado</w:t>
      </w:r>
      <w:r>
        <w:rPr>
          <w:color w:val="404040"/>
          <w:spacing w:val="10"/>
          <w:sz w:val="16"/>
        </w:rPr>
        <w:t xml:space="preserve"> </w:t>
      </w:r>
      <w:r>
        <w:rPr>
          <w:color w:val="404040"/>
          <w:sz w:val="16"/>
        </w:rPr>
        <w:t>Ponente:</w:t>
      </w:r>
      <w:r>
        <w:rPr>
          <w:color w:val="404040"/>
          <w:spacing w:val="10"/>
          <w:sz w:val="16"/>
        </w:rPr>
        <w:t xml:space="preserve"> </w:t>
      </w:r>
      <w:r>
        <w:rPr>
          <w:color w:val="404040"/>
          <w:sz w:val="16"/>
        </w:rPr>
        <w:t>Mauricio</w:t>
      </w:r>
      <w:r>
        <w:rPr>
          <w:color w:val="404040"/>
          <w:spacing w:val="8"/>
          <w:sz w:val="16"/>
        </w:rPr>
        <w:t xml:space="preserve"> </w:t>
      </w:r>
      <w:r>
        <w:rPr>
          <w:color w:val="404040"/>
          <w:sz w:val="16"/>
        </w:rPr>
        <w:t>González</w:t>
      </w:r>
    </w:p>
    <w:p w:rsidR="009C2E75" w:rsidP="009C2E75" w:rsidRDefault="009C2E75" w14:paraId="11EFDB95" w14:textId="77777777">
      <w:pPr>
        <w:ind w:left="-1" w:right="110"/>
        <w:jc w:val="right"/>
        <w:rPr>
          <w:sz w:val="16"/>
        </w:rPr>
      </w:pPr>
    </w:p>
    <w:p w:rsidR="009C2E75" w:rsidP="009C2E75" w:rsidRDefault="009C2E75" w14:paraId="39C7982E" w14:textId="77777777">
      <w:pPr>
        <w:pStyle w:val="Textoindependiente"/>
        <w:rPr>
          <w:sz w:val="18"/>
        </w:rPr>
      </w:pPr>
    </w:p>
    <w:p w:rsidRPr="009C2E75" w:rsidR="009C2E75" w:rsidP="009C2E75" w:rsidRDefault="009C2E75" w14:paraId="3925E744" w14:textId="77777777">
      <w:pPr>
        <w:pStyle w:val="Textonotapie"/>
      </w:pPr>
    </w:p>
  </w:footnote>
  <w:footnote w:id="8">
    <w:p w:rsidRPr="009C2E75" w:rsidR="009C2E75" w:rsidRDefault="009C2E75" w14:paraId="7E25EB46" w14:textId="7777777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C0C4C" w:rsidRDefault="006D033F" w14:paraId="5DC82072" w14:textId="77777777">
    <w:pPr>
      <w:pStyle w:val="Textoindependiente"/>
      <w:spacing w:line="14" w:lineRule="auto"/>
    </w:pPr>
    <w:r>
      <w:rPr>
        <w:noProof/>
        <w:lang w:val="en-US" w:eastAsia="en-US" w:bidi="ar-SA"/>
      </w:rPr>
      <w:drawing>
        <wp:anchor distT="0" distB="0" distL="0" distR="0" simplePos="0" relativeHeight="251657216" behindDoc="1" locked="0" layoutInCell="1" allowOverlap="1" wp14:anchorId="433BFB5D" wp14:editId="6F26FADF">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E41E54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00F3D"/>
    <w:multiLevelType w:val="hybridMultilevel"/>
    <w:tmpl w:val="BE58D550"/>
    <w:lvl w:ilvl="0" w:tplc="15969062">
      <w:start w:val="1"/>
      <w:numFmt w:val="decimal"/>
      <w:lvlText w:val="%1."/>
      <w:lvlJc w:val="left"/>
      <w:pPr>
        <w:ind w:left="465" w:hanging="360"/>
        <w:jc w:val="right"/>
      </w:pPr>
      <w:rPr>
        <w:rFonts w:hint="default" w:ascii="Arial" w:hAnsi="Arial" w:eastAsia="Arial" w:cs="Arial"/>
        <w:b/>
        <w:bCs/>
        <w:color w:val="000000" w:themeColor="text1"/>
        <w:spacing w:val="-2"/>
        <w:w w:val="100"/>
        <w:sz w:val="20"/>
        <w:szCs w:val="20"/>
        <w:lang w:val="es-ES" w:eastAsia="es-ES" w:bidi="es-ES"/>
      </w:rPr>
    </w:lvl>
    <w:lvl w:ilvl="1" w:tplc="4B022256">
      <w:numFmt w:val="bullet"/>
      <w:lvlText w:val="•"/>
      <w:lvlJc w:val="left"/>
      <w:pPr>
        <w:ind w:left="1336" w:hanging="360"/>
      </w:pPr>
      <w:rPr>
        <w:rFonts w:hint="default"/>
        <w:lang w:val="es-ES" w:eastAsia="es-ES" w:bidi="es-ES"/>
      </w:rPr>
    </w:lvl>
    <w:lvl w:ilvl="2" w:tplc="948A0026">
      <w:numFmt w:val="bullet"/>
      <w:lvlText w:val="•"/>
      <w:lvlJc w:val="left"/>
      <w:pPr>
        <w:ind w:left="2212" w:hanging="360"/>
      </w:pPr>
      <w:rPr>
        <w:rFonts w:hint="default"/>
        <w:lang w:val="es-ES" w:eastAsia="es-ES" w:bidi="es-ES"/>
      </w:rPr>
    </w:lvl>
    <w:lvl w:ilvl="3" w:tplc="E85EF262">
      <w:numFmt w:val="bullet"/>
      <w:lvlText w:val="•"/>
      <w:lvlJc w:val="left"/>
      <w:pPr>
        <w:ind w:left="3088" w:hanging="360"/>
      </w:pPr>
      <w:rPr>
        <w:rFonts w:hint="default"/>
        <w:lang w:val="es-ES" w:eastAsia="es-ES" w:bidi="es-ES"/>
      </w:rPr>
    </w:lvl>
    <w:lvl w:ilvl="4" w:tplc="45949B02">
      <w:numFmt w:val="bullet"/>
      <w:lvlText w:val="•"/>
      <w:lvlJc w:val="left"/>
      <w:pPr>
        <w:ind w:left="3964" w:hanging="360"/>
      </w:pPr>
      <w:rPr>
        <w:rFonts w:hint="default"/>
        <w:lang w:val="es-ES" w:eastAsia="es-ES" w:bidi="es-ES"/>
      </w:rPr>
    </w:lvl>
    <w:lvl w:ilvl="5" w:tplc="06984774">
      <w:numFmt w:val="bullet"/>
      <w:lvlText w:val="•"/>
      <w:lvlJc w:val="left"/>
      <w:pPr>
        <w:ind w:left="4840" w:hanging="360"/>
      </w:pPr>
      <w:rPr>
        <w:rFonts w:hint="default"/>
        <w:lang w:val="es-ES" w:eastAsia="es-ES" w:bidi="es-ES"/>
      </w:rPr>
    </w:lvl>
    <w:lvl w:ilvl="6" w:tplc="8842F2EC">
      <w:numFmt w:val="bullet"/>
      <w:lvlText w:val="•"/>
      <w:lvlJc w:val="left"/>
      <w:pPr>
        <w:ind w:left="5716" w:hanging="360"/>
      </w:pPr>
      <w:rPr>
        <w:rFonts w:hint="default"/>
        <w:lang w:val="es-ES" w:eastAsia="es-ES" w:bidi="es-ES"/>
      </w:rPr>
    </w:lvl>
    <w:lvl w:ilvl="7" w:tplc="CC58CA98">
      <w:numFmt w:val="bullet"/>
      <w:lvlText w:val="•"/>
      <w:lvlJc w:val="left"/>
      <w:pPr>
        <w:ind w:left="6592" w:hanging="360"/>
      </w:pPr>
      <w:rPr>
        <w:rFonts w:hint="default"/>
        <w:lang w:val="es-ES" w:eastAsia="es-ES" w:bidi="es-ES"/>
      </w:rPr>
    </w:lvl>
    <w:lvl w:ilvl="8" w:tplc="A88EFCA8">
      <w:numFmt w:val="bullet"/>
      <w:lvlText w:val="•"/>
      <w:lvlJc w:val="left"/>
      <w:pPr>
        <w:ind w:left="7468" w:hanging="360"/>
      </w:pPr>
      <w:rPr>
        <w:rFonts w:hint="default"/>
        <w:lang w:val="es-ES" w:eastAsia="es-ES" w:bidi="es-E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C0C4C"/>
    <w:rsid w:val="000C0C4C"/>
    <w:rsid w:val="003A749B"/>
    <w:rsid w:val="004A6F1A"/>
    <w:rsid w:val="006D033F"/>
    <w:rsid w:val="007C442F"/>
    <w:rsid w:val="007C6F21"/>
    <w:rsid w:val="00836C9F"/>
    <w:rsid w:val="009B55CE"/>
    <w:rsid w:val="009B629E"/>
    <w:rsid w:val="009C2E75"/>
    <w:rsid w:val="009C66F1"/>
    <w:rsid w:val="00AA3B25"/>
    <w:rsid w:val="00EB44AE"/>
    <w:rsid w:val="0E41E54A"/>
    <w:rsid w:val="434DDD02"/>
    <w:rsid w:val="675E3789"/>
    <w:rsid w:val="7D6FAC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00BFB5"/>
  <w15:docId w15:val="{5F14672E-B54A-416A-91C0-BA9AEA5D88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465" w:hanging="361"/>
      <w:outlineLvl w:val="0"/>
    </w:pPr>
    <w:rPr>
      <w:b/>
      <w:bCs/>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65" w:hanging="361"/>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9C2E75"/>
    <w:rPr>
      <w:sz w:val="20"/>
      <w:szCs w:val="20"/>
    </w:rPr>
  </w:style>
  <w:style w:type="character" w:styleId="TextonotapieCar" w:customStyle="1">
    <w:name w:val="Texto nota pie Car"/>
    <w:basedOn w:val="Fuentedeprrafopredeter"/>
    <w:link w:val="Textonotapie"/>
    <w:uiPriority w:val="99"/>
    <w:semiHidden/>
    <w:rsid w:val="009C2E75"/>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9C2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olombiacompra.gov.co/sites/cce_public/files/cce_documentos/ley_de_garantias_06262019_vf.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ombiacompra.gov.co/sites/cce_public/files/cce_documentos/ley_de_garantias_06262019_vf.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3.png" Id="R1b5f272004454dda"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5B1C53A-A4AC-42B2-8D2F-94C45CC6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ACC03-E8B8-46EF-8595-E13023DBA891}">
  <ds:schemaRefs>
    <ds:schemaRef ds:uri="http://schemas.openxmlformats.org/officeDocument/2006/bibliography"/>
  </ds:schemaRefs>
</ds:datastoreItem>
</file>

<file path=customXml/itemProps3.xml><?xml version="1.0" encoding="utf-8"?>
<ds:datastoreItem xmlns:ds="http://schemas.openxmlformats.org/officeDocument/2006/customXml" ds:itemID="{21EFFC91-DFC5-4D09-B5F8-484A8B4BED1A}">
  <ds:schemaRefs>
    <ds:schemaRef ds:uri="http://schemas.microsoft.com/sharepoint/v3/contenttype/forms"/>
  </ds:schemaRefs>
</ds:datastoreItem>
</file>

<file path=customXml/itemProps4.xml><?xml version="1.0" encoding="utf-8"?>
<ds:datastoreItem xmlns:ds="http://schemas.openxmlformats.org/officeDocument/2006/customXml" ds:itemID="{9B6F690F-45E4-4270-977A-192202C31A4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2020-03-27T16:17:00.0000000Z</dcterms:created>
  <dcterms:modified xsi:type="dcterms:W3CDTF">2020-07-13T03:15:28.3277644Z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