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4A06B9" w:rsidR="00077886" w:rsidRDefault="00077886" w14:paraId="1E018010" w14:textId="0330C2EB">
      <w:pPr>
        <w:pStyle w:val="Textoindependiente"/>
        <w:rPr>
          <w:rFonts w:ascii="Times New Roman"/>
          <w:color w:val="000000" w:themeColor="text1"/>
          <w:sz w:val="20"/>
        </w:rPr>
      </w:pPr>
      <w:bookmarkStart w:name="_Hlk37167260" w:id="0"/>
    </w:p>
    <w:p w:rsidRPr="004A06B9" w:rsidR="00077886" w:rsidRDefault="00077886" w14:paraId="3A9AB72F" w14:textId="77777777">
      <w:pPr>
        <w:pStyle w:val="Textoindependiente"/>
        <w:rPr>
          <w:rFonts w:ascii="Times New Roman"/>
          <w:color w:val="000000" w:themeColor="text1"/>
          <w:sz w:val="20"/>
        </w:rPr>
      </w:pPr>
    </w:p>
    <w:p w:rsidRPr="004A06B9" w:rsidR="002A4588" w:rsidP="003E2715" w:rsidRDefault="002A4588" w14:paraId="4E9D9F4F" w14:textId="2CDF67EF">
      <w:pPr>
        <w:pStyle w:val="Sinespaciado"/>
        <w:ind w:left="100"/>
        <w:jc w:val="both"/>
        <w:rPr>
          <w:b w:val="1"/>
          <w:bCs w:val="1"/>
          <w:color w:val="000000" w:themeColor="text1"/>
        </w:rPr>
      </w:pPr>
      <w:r w:rsidRPr="3B66868C" w:rsidR="002A4588">
        <w:rPr>
          <w:b w:val="1"/>
          <w:bCs w:val="1"/>
          <w:color w:val="000000" w:themeColor="text1" w:themeTint="FF" w:themeShade="FF"/>
        </w:rPr>
        <w:t>LEY DE GARANTÍAS</w:t>
      </w:r>
      <w:r w:rsidRPr="3B66868C" w:rsidR="00F0590E">
        <w:rPr>
          <w:b w:val="1"/>
          <w:bCs w:val="1"/>
          <w:color w:val="000000" w:themeColor="text1" w:themeTint="FF" w:themeShade="FF"/>
        </w:rPr>
        <w:t xml:space="preserve"> ELECTORALES</w:t>
      </w:r>
      <w:r w:rsidRPr="3B66868C" w:rsidR="002A4588">
        <w:rPr>
          <w:b w:val="1"/>
          <w:bCs w:val="1"/>
          <w:color w:val="000000" w:themeColor="text1" w:themeTint="FF" w:themeShade="FF"/>
        </w:rPr>
        <w:t xml:space="preserve"> </w:t>
      </w:r>
      <w:r w:rsidRPr="3B66868C" w:rsidR="00F0590E">
        <w:rPr>
          <w:b w:val="1"/>
          <w:bCs w:val="1"/>
          <w:color w:val="000000" w:themeColor="text1" w:themeTint="FF" w:themeShade="FF"/>
        </w:rPr>
        <w:t>–</w:t>
      </w:r>
      <w:r w:rsidRPr="3B66868C" w:rsidR="002A4588">
        <w:rPr>
          <w:b w:val="1"/>
          <w:bCs w:val="1"/>
          <w:color w:val="000000" w:themeColor="text1" w:themeTint="FF" w:themeShade="FF"/>
        </w:rPr>
        <w:t xml:space="preserve"> </w:t>
      </w:r>
      <w:r w:rsidRPr="3B66868C" w:rsidR="79937286">
        <w:rPr>
          <w:b w:val="1"/>
          <w:bCs w:val="1"/>
          <w:color w:val="000000" w:themeColor="text1" w:themeTint="FF" w:themeShade="FF"/>
        </w:rPr>
        <w:t>S</w:t>
      </w:r>
      <w:r w:rsidRPr="3B66868C" w:rsidR="00F0590E">
        <w:rPr>
          <w:b w:val="1"/>
          <w:bCs w:val="1"/>
          <w:color w:val="000000" w:themeColor="text1" w:themeTint="FF" w:themeShade="FF"/>
        </w:rPr>
        <w:t>uscripción</w:t>
      </w:r>
      <w:r w:rsidRPr="3B66868C" w:rsidR="002A4588">
        <w:rPr>
          <w:b w:val="1"/>
          <w:bCs w:val="1"/>
          <w:color w:val="000000" w:themeColor="text1" w:themeTint="FF" w:themeShade="FF"/>
        </w:rPr>
        <w:t xml:space="preserve"> </w:t>
      </w:r>
      <w:r w:rsidRPr="3B66868C" w:rsidR="28724672">
        <w:rPr>
          <w:b w:val="1"/>
          <w:bCs w:val="1"/>
          <w:color w:val="000000" w:themeColor="text1" w:themeTint="FF" w:themeShade="FF"/>
        </w:rPr>
        <w:t>–</w:t>
      </w:r>
      <w:r w:rsidRPr="3B66868C" w:rsidR="0B013A0C">
        <w:rPr>
          <w:b w:val="1"/>
          <w:bCs w:val="1"/>
          <w:color w:val="000000" w:themeColor="text1" w:themeTint="FF" w:themeShade="FF"/>
        </w:rPr>
        <w:t xml:space="preserve"> </w:t>
      </w:r>
      <w:r w:rsidRPr="3B66868C" w:rsidR="28724672">
        <w:rPr>
          <w:b w:val="1"/>
          <w:bCs w:val="1"/>
          <w:color w:val="000000" w:themeColor="text1" w:themeTint="FF" w:themeShade="FF"/>
        </w:rPr>
        <w:t xml:space="preserve">Convenios interadministrativos – Prohibición – </w:t>
      </w:r>
      <w:r w:rsidRPr="3B66868C" w:rsidR="00F0590E">
        <w:rPr>
          <w:b w:val="1"/>
          <w:bCs w:val="1"/>
          <w:color w:val="000000" w:themeColor="text1" w:themeTint="FF" w:themeShade="FF"/>
        </w:rPr>
        <w:t>Ejecución de recursos públicos</w:t>
      </w:r>
    </w:p>
    <w:p w:rsidRPr="004A06B9" w:rsidR="002A4588" w:rsidP="003E2715" w:rsidRDefault="002A4588" w14:paraId="0FF56B73" w14:textId="77777777">
      <w:pPr>
        <w:pStyle w:val="Sinespaciado"/>
        <w:ind w:left="100"/>
        <w:jc w:val="both"/>
        <w:rPr>
          <w:color w:val="000000" w:themeColor="text1"/>
        </w:rPr>
      </w:pPr>
    </w:p>
    <w:p w:rsidRPr="004A06B9" w:rsidR="002A4588" w:rsidP="003E2715" w:rsidRDefault="002A4588" w14:paraId="5527D4C5" w14:textId="77777777">
      <w:pPr>
        <w:pStyle w:val="Textoindependiente"/>
        <w:ind w:left="100" w:right="108"/>
        <w:jc w:val="both"/>
        <w:rPr>
          <w:color w:val="000000" w:themeColor="text1"/>
          <w:sz w:val="20"/>
          <w:szCs w:val="20"/>
        </w:rPr>
      </w:pPr>
      <w:r w:rsidRPr="004A06B9">
        <w:rPr>
          <w:color w:val="000000" w:themeColor="text1"/>
          <w:sz w:val="20"/>
          <w:szCs w:val="20"/>
        </w:rPr>
        <w:t>El parágrafo del artículo 38 de la ley de garantías únicamente restringe la celebración de convenios o contratos interadministrativos que ejecuten recursos públicos, pero no prohíbe las demás causales de contratación directa ni las demás modalidades de selección.</w:t>
      </w:r>
    </w:p>
    <w:p w:rsidRPr="004A06B9" w:rsidR="002A4588" w:rsidP="003E2715" w:rsidRDefault="002A4588" w14:paraId="741A7A08" w14:textId="77777777">
      <w:pPr>
        <w:pStyle w:val="Textoindependiente"/>
        <w:ind w:left="100" w:right="108"/>
        <w:jc w:val="both"/>
        <w:rPr>
          <w:color w:val="000000" w:themeColor="text1"/>
          <w:sz w:val="21"/>
          <w:szCs w:val="21"/>
        </w:rPr>
      </w:pPr>
    </w:p>
    <w:p w:rsidRPr="004A06B9" w:rsidR="002A4588" w:rsidP="00A27FA8" w:rsidRDefault="002A4588" w14:paraId="36C87766" w14:textId="03801F72">
      <w:pPr>
        <w:ind w:firstLine="100"/>
        <w:rPr>
          <w:b/>
          <w:bCs/>
          <w:color w:val="000000" w:themeColor="text1"/>
        </w:rPr>
      </w:pPr>
      <w:r w:rsidRPr="004A06B9">
        <w:rPr>
          <w:b/>
          <w:bCs/>
          <w:color w:val="000000" w:themeColor="text1"/>
        </w:rPr>
        <w:t xml:space="preserve">SOCIEDADES DE ECONOMÍA MIXTA </w:t>
      </w:r>
      <w:r w:rsidRPr="004A06B9" w:rsidR="004A06B9">
        <w:rPr>
          <w:rFonts w:eastAsia="Calibri"/>
          <w:b/>
          <w:color w:val="000000" w:themeColor="text1"/>
        </w:rPr>
        <w:t>–</w:t>
      </w:r>
      <w:r w:rsidRPr="004A06B9">
        <w:rPr>
          <w:b/>
          <w:bCs/>
          <w:color w:val="000000" w:themeColor="text1"/>
        </w:rPr>
        <w:t xml:space="preserve"> Definición </w:t>
      </w:r>
      <w:r w:rsidRPr="004A06B9" w:rsidR="004A06B9">
        <w:rPr>
          <w:rFonts w:eastAsia="Calibri"/>
          <w:b/>
          <w:color w:val="000000" w:themeColor="text1"/>
        </w:rPr>
        <w:t xml:space="preserve">– </w:t>
      </w:r>
      <w:r w:rsidRPr="004A06B9">
        <w:rPr>
          <w:b/>
          <w:bCs/>
          <w:color w:val="000000" w:themeColor="text1"/>
        </w:rPr>
        <w:t xml:space="preserve">Clasificación </w:t>
      </w:r>
    </w:p>
    <w:p w:rsidRPr="004A06B9" w:rsidR="002A4588" w:rsidP="003E2715" w:rsidRDefault="002A4588" w14:paraId="43994C83" w14:textId="77777777">
      <w:pPr>
        <w:pStyle w:val="Textoindependiente"/>
        <w:rPr>
          <w:color w:val="000000" w:themeColor="text1"/>
          <w:sz w:val="21"/>
          <w:szCs w:val="21"/>
        </w:rPr>
      </w:pPr>
    </w:p>
    <w:p w:rsidRPr="004A06B9" w:rsidR="004A06B9" w:rsidP="004A06B9" w:rsidRDefault="002A4588" w14:paraId="67FDD6C5" w14:textId="23CC8B80">
      <w:pPr>
        <w:pStyle w:val="Textoindependiente"/>
        <w:spacing w:after="120"/>
        <w:ind w:left="102" w:right="108"/>
        <w:jc w:val="both"/>
        <w:rPr>
          <w:color w:val="000000" w:themeColor="text1"/>
          <w:sz w:val="20"/>
          <w:szCs w:val="20"/>
        </w:rPr>
      </w:pPr>
      <w:r w:rsidRPr="004A06B9">
        <w:rPr>
          <w:color w:val="000000" w:themeColor="text1"/>
          <w:sz w:val="20"/>
          <w:szCs w:val="20"/>
        </w:rPr>
        <w:t>De acuerdo con la Ley 489 de 1998, las sociedades de economía mixta son organismos constituidos como sociedades comerciales, con aportes de capital público y privado. Así lo estableció el artículo 97</w:t>
      </w:r>
      <w:r w:rsidRPr="004A06B9" w:rsidR="003E2715">
        <w:rPr>
          <w:color w:val="000000" w:themeColor="text1"/>
          <w:sz w:val="20"/>
          <w:szCs w:val="20"/>
        </w:rPr>
        <w:t xml:space="preserve"> […]</w:t>
      </w:r>
      <w:r w:rsidRPr="004A06B9">
        <w:rPr>
          <w:color w:val="000000" w:themeColor="text1"/>
          <w:sz w:val="20"/>
          <w:szCs w:val="20"/>
        </w:rPr>
        <w:t xml:space="preserve"> </w:t>
      </w:r>
    </w:p>
    <w:p w:rsidRPr="004A06B9" w:rsidR="002A4588" w:rsidP="004A06B9" w:rsidRDefault="002A4588" w14:paraId="6B1909DD" w14:textId="7ED0DFAC">
      <w:pPr>
        <w:pStyle w:val="Textoindependiente"/>
        <w:ind w:left="102" w:right="108"/>
        <w:jc w:val="both"/>
        <w:rPr>
          <w:color w:val="000000" w:themeColor="text1"/>
          <w:sz w:val="20"/>
          <w:szCs w:val="20"/>
        </w:rPr>
      </w:pPr>
      <w:r w:rsidRPr="004A06B9">
        <w:rPr>
          <w:color w:val="000000" w:themeColor="text1"/>
          <w:sz w:val="20"/>
          <w:szCs w:val="20"/>
        </w:rPr>
        <w:t xml:space="preserve">La Ley 489 de 1998 clasifica a las sociedades de economía mixta como entidades descentralizadas por servicios, con personería jurídica, autonomía administrativa y patrimonio propio, que pueden ser del orden nacional, departamental o municipal, según su órgano de creación. </w:t>
      </w:r>
    </w:p>
    <w:p w:rsidRPr="004A06B9" w:rsidR="002A4588" w:rsidP="003E2715" w:rsidRDefault="002A4588" w14:paraId="3A9C600B" w14:textId="77777777">
      <w:pPr>
        <w:pStyle w:val="Textoindependiente"/>
        <w:rPr>
          <w:color w:val="000000" w:themeColor="text1"/>
          <w:sz w:val="21"/>
          <w:szCs w:val="21"/>
        </w:rPr>
      </w:pPr>
    </w:p>
    <w:p w:rsidRPr="004A06B9" w:rsidR="002A4588" w:rsidP="004A06B9" w:rsidRDefault="002A4588" w14:paraId="1C1D4A1C" w14:textId="79106D56">
      <w:pPr>
        <w:ind w:left="100"/>
        <w:rPr>
          <w:b/>
          <w:bCs/>
          <w:color w:val="000000" w:themeColor="text1"/>
        </w:rPr>
      </w:pPr>
      <w:r w:rsidRPr="004A06B9">
        <w:rPr>
          <w:b/>
          <w:bCs/>
          <w:color w:val="000000" w:themeColor="text1"/>
        </w:rPr>
        <w:t xml:space="preserve">EMPRESAS DE SERVICIOS PÚBLICOS </w:t>
      </w:r>
      <w:r w:rsidRPr="004A06B9" w:rsidR="004A06B9">
        <w:rPr>
          <w:rFonts w:eastAsia="Calibri"/>
          <w:b/>
          <w:color w:val="000000" w:themeColor="text1"/>
        </w:rPr>
        <w:t xml:space="preserve">– </w:t>
      </w:r>
      <w:r w:rsidRPr="004A06B9" w:rsidR="00FE426E">
        <w:rPr>
          <w:b/>
          <w:bCs/>
          <w:color w:val="000000" w:themeColor="text1"/>
        </w:rPr>
        <w:t xml:space="preserve">Sociedades de economía mixta </w:t>
      </w:r>
      <w:r w:rsidRPr="004A06B9" w:rsidR="004A06B9">
        <w:rPr>
          <w:rFonts w:eastAsia="Calibri"/>
          <w:b/>
          <w:color w:val="000000" w:themeColor="text1"/>
        </w:rPr>
        <w:t xml:space="preserve">– </w:t>
      </w:r>
      <w:r w:rsidRPr="004A06B9" w:rsidR="00FE426E">
        <w:rPr>
          <w:b/>
          <w:bCs/>
          <w:color w:val="000000" w:themeColor="text1"/>
        </w:rPr>
        <w:t>Diferencia</w:t>
      </w:r>
      <w:r w:rsidRPr="004A06B9" w:rsidR="00317511">
        <w:rPr>
          <w:b/>
          <w:bCs/>
          <w:color w:val="000000" w:themeColor="text1"/>
        </w:rPr>
        <w:t>s</w:t>
      </w:r>
    </w:p>
    <w:p w:rsidRPr="004A06B9" w:rsidR="002A4588" w:rsidP="003E2715" w:rsidRDefault="002A4588" w14:paraId="2AB0CBEC" w14:textId="77777777">
      <w:pPr>
        <w:pStyle w:val="Textoindependiente"/>
        <w:rPr>
          <w:color w:val="000000" w:themeColor="text1"/>
          <w:sz w:val="21"/>
          <w:szCs w:val="21"/>
        </w:rPr>
      </w:pPr>
    </w:p>
    <w:p w:rsidRPr="004A06B9" w:rsidR="004A06B9" w:rsidP="004A06B9" w:rsidRDefault="002A4588" w14:paraId="374DA330" w14:textId="4D0B22F8">
      <w:pPr>
        <w:pStyle w:val="Textoindependiente"/>
        <w:spacing w:after="120"/>
        <w:ind w:left="102" w:right="108"/>
        <w:jc w:val="both"/>
        <w:rPr>
          <w:color w:val="000000" w:themeColor="text1"/>
          <w:sz w:val="20"/>
          <w:szCs w:val="20"/>
        </w:rPr>
      </w:pPr>
      <w:r w:rsidRPr="004A06B9">
        <w:rPr>
          <w:color w:val="000000" w:themeColor="text1"/>
          <w:sz w:val="20"/>
          <w:szCs w:val="20"/>
        </w:rPr>
        <w:t>En igual sentido, tratándose de empresas prestadoras de servicios públicos que tienen participación mixta, la Corte Constitucional, en la sentencia C-736 de 2007, Magistrado Ponente Marco Gerardo Monroy Cabra, ha manifestado que en ningún momento pueden considerarse como sociedades de economía mixta, pues la naturaleza y régimen jurídico de los prestadores de servicios es especial, de acuerdo con lo previsto en el artículo 365 de la Constitución Política; pero en todo caso, las empresas de servicios públicos mixtas son entidades estatales descentralizadas que hacen parte de la rama ejecutiva del poder público con autonomía administrativa y patrimonio</w:t>
      </w:r>
      <w:r w:rsidRPr="004A06B9">
        <w:rPr>
          <w:color w:val="000000" w:themeColor="text1"/>
          <w:spacing w:val="-8"/>
          <w:sz w:val="20"/>
          <w:szCs w:val="20"/>
        </w:rPr>
        <w:t xml:space="preserve"> </w:t>
      </w:r>
      <w:r w:rsidRPr="004A06B9">
        <w:rPr>
          <w:color w:val="000000" w:themeColor="text1"/>
          <w:sz w:val="20"/>
          <w:szCs w:val="20"/>
        </w:rPr>
        <w:t xml:space="preserve">propio </w:t>
      </w:r>
      <w:r w:rsidRPr="004A06B9" w:rsidR="00317511">
        <w:rPr>
          <w:color w:val="000000" w:themeColor="text1"/>
          <w:sz w:val="20"/>
          <w:szCs w:val="20"/>
        </w:rPr>
        <w:t>[…].</w:t>
      </w:r>
    </w:p>
    <w:p w:rsidRPr="004A06B9" w:rsidR="002A4588" w:rsidP="004A06B9" w:rsidRDefault="002A4588" w14:paraId="5B8BD59B" w14:textId="2B708E72">
      <w:pPr>
        <w:pStyle w:val="Textoindependiente"/>
        <w:ind w:left="102" w:right="108"/>
        <w:jc w:val="both"/>
        <w:rPr>
          <w:color w:val="000000" w:themeColor="text1"/>
          <w:sz w:val="20"/>
          <w:szCs w:val="20"/>
        </w:rPr>
      </w:pPr>
      <w:r w:rsidRPr="004A06B9">
        <w:rPr>
          <w:color w:val="000000" w:themeColor="text1"/>
          <w:sz w:val="20"/>
          <w:szCs w:val="20"/>
        </w:rPr>
        <w:t>En este orden de ideas, si bien las sociedades de economía mixta y las empresas de servicios públicos mixta son diferentes, esto no significa que pierdan su características de ser entidades descentralizadas que hacen parte de la rama ejecutiva y por lo tanto, cuando se trate de una sociedad de economía mixta o una empresa de servicios públicos mixta  del orden departamental o municipal, no podrán celebrar dentro de los cuatro (4) meses anteriores a las elecciones territoriales, contratos y convenios interadministrativos por tratarse de entidades descentralizadas del nivel</w:t>
      </w:r>
      <w:r w:rsidRPr="004A06B9">
        <w:rPr>
          <w:color w:val="000000" w:themeColor="text1"/>
          <w:spacing w:val="-7"/>
          <w:sz w:val="20"/>
          <w:szCs w:val="20"/>
        </w:rPr>
        <w:t xml:space="preserve"> </w:t>
      </w:r>
      <w:r w:rsidRPr="004A06B9">
        <w:rPr>
          <w:color w:val="000000" w:themeColor="text1"/>
          <w:sz w:val="20"/>
          <w:szCs w:val="20"/>
        </w:rPr>
        <w:t>territorial.</w:t>
      </w:r>
    </w:p>
    <w:p w:rsidRPr="004A06B9" w:rsidR="002A4588" w:rsidP="003E2715" w:rsidRDefault="002A4588" w14:paraId="1E8E6FFB" w14:textId="77777777">
      <w:pPr>
        <w:pStyle w:val="Textoindependiente"/>
        <w:rPr>
          <w:color w:val="000000" w:themeColor="text1"/>
        </w:rPr>
      </w:pPr>
    </w:p>
    <w:p w:rsidRPr="004A06B9" w:rsidR="002A4588" w:rsidP="004A06B9" w:rsidRDefault="002A4588" w14:paraId="596AAD66" w14:textId="626EC1C5">
      <w:pPr>
        <w:ind w:firstLine="100"/>
        <w:rPr>
          <w:b/>
          <w:bCs/>
          <w:color w:val="000000" w:themeColor="text1"/>
        </w:rPr>
      </w:pPr>
      <w:r w:rsidRPr="004A06B9">
        <w:rPr>
          <w:b/>
          <w:bCs/>
          <w:color w:val="000000" w:themeColor="text1"/>
        </w:rPr>
        <w:t xml:space="preserve">CONTRATO O CONVENIO INTERADMINISTRATIVO </w:t>
      </w:r>
      <w:r w:rsidRPr="004A06B9" w:rsidR="004A06B9">
        <w:rPr>
          <w:rFonts w:eastAsia="Calibri"/>
          <w:b/>
          <w:color w:val="000000" w:themeColor="text1"/>
        </w:rPr>
        <w:t xml:space="preserve">– </w:t>
      </w:r>
      <w:r w:rsidRPr="004A06B9">
        <w:rPr>
          <w:b/>
          <w:bCs/>
          <w:color w:val="000000" w:themeColor="text1"/>
        </w:rPr>
        <w:t xml:space="preserve">Definición </w:t>
      </w:r>
    </w:p>
    <w:p w:rsidRPr="004A06B9" w:rsidR="002A4588" w:rsidP="003E2715" w:rsidRDefault="002A4588" w14:paraId="6C8B0B40" w14:textId="77777777">
      <w:pPr>
        <w:pStyle w:val="Textoindependiente"/>
        <w:rPr>
          <w:color w:val="000000" w:themeColor="text1"/>
          <w:sz w:val="21"/>
          <w:szCs w:val="21"/>
        </w:rPr>
      </w:pPr>
    </w:p>
    <w:p w:rsidRPr="004A06B9" w:rsidR="002A4588" w:rsidP="003E2715" w:rsidRDefault="002A4588" w14:paraId="2D3B975A" w14:textId="77777777">
      <w:pPr>
        <w:pStyle w:val="Textoindependiente"/>
        <w:ind w:left="100" w:right="108"/>
        <w:jc w:val="both"/>
        <w:rPr>
          <w:color w:val="000000" w:themeColor="text1"/>
          <w:sz w:val="18"/>
          <w:szCs w:val="18"/>
        </w:rPr>
      </w:pPr>
      <w:r w:rsidRPr="004A06B9">
        <w:rPr>
          <w:color w:val="000000" w:themeColor="text1"/>
          <w:sz w:val="18"/>
          <w:szCs w:val="18"/>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rsidRPr="004A06B9" w:rsidR="002A4588" w:rsidP="003E2715" w:rsidRDefault="002A4588" w14:paraId="622A3055" w14:textId="77777777">
      <w:pPr>
        <w:pStyle w:val="Textoindependiente"/>
        <w:rPr>
          <w:color w:val="000000" w:themeColor="text1"/>
          <w:sz w:val="21"/>
          <w:szCs w:val="21"/>
        </w:rPr>
      </w:pPr>
    </w:p>
    <w:p w:rsidRPr="004A06B9" w:rsidR="002A4588" w:rsidP="004A06B9" w:rsidRDefault="002A4588" w14:paraId="078D2884" w14:textId="4E0C8CD0">
      <w:pPr>
        <w:ind w:firstLine="100"/>
        <w:rPr>
          <w:b/>
          <w:bCs/>
          <w:color w:val="000000" w:themeColor="text1"/>
        </w:rPr>
      </w:pPr>
      <w:r w:rsidRPr="004A06B9">
        <w:rPr>
          <w:b/>
          <w:bCs/>
          <w:color w:val="000000" w:themeColor="text1"/>
        </w:rPr>
        <w:t>EMPRESA</w:t>
      </w:r>
      <w:r w:rsidRPr="004A06B9" w:rsidR="003E2715">
        <w:rPr>
          <w:b/>
          <w:bCs/>
          <w:color w:val="000000" w:themeColor="text1"/>
        </w:rPr>
        <w:t>S</w:t>
      </w:r>
      <w:r w:rsidRPr="004A06B9">
        <w:rPr>
          <w:b/>
          <w:bCs/>
          <w:color w:val="000000" w:themeColor="text1"/>
        </w:rPr>
        <w:t xml:space="preserve"> DE SERVICIOS PÚBLICOS </w:t>
      </w:r>
      <w:r w:rsidRPr="004A06B9" w:rsidR="004A06B9">
        <w:rPr>
          <w:rFonts w:eastAsia="Calibri"/>
          <w:b/>
          <w:color w:val="000000" w:themeColor="text1"/>
        </w:rPr>
        <w:t xml:space="preserve">– </w:t>
      </w:r>
      <w:r w:rsidRPr="004A06B9">
        <w:rPr>
          <w:b/>
          <w:bCs/>
          <w:color w:val="000000" w:themeColor="text1"/>
        </w:rPr>
        <w:t xml:space="preserve">Aplicación ley de garantías </w:t>
      </w:r>
    </w:p>
    <w:p w:rsidRPr="004A06B9" w:rsidR="002A4588" w:rsidP="003E2715" w:rsidRDefault="002A4588" w14:paraId="4D57F830" w14:textId="77777777">
      <w:pPr>
        <w:pStyle w:val="Textoindependiente"/>
        <w:ind w:left="100" w:right="105"/>
        <w:jc w:val="both"/>
        <w:rPr>
          <w:color w:val="000000" w:themeColor="text1"/>
        </w:rPr>
      </w:pPr>
    </w:p>
    <w:p w:rsidRPr="004A06B9" w:rsidR="002A4588" w:rsidP="003E2715" w:rsidRDefault="002A4588" w14:paraId="42D93808" w14:textId="77777777">
      <w:pPr>
        <w:pStyle w:val="Textoindependiente"/>
        <w:ind w:left="100" w:right="105"/>
        <w:jc w:val="both"/>
        <w:rPr>
          <w:color w:val="000000" w:themeColor="text1"/>
          <w:sz w:val="20"/>
          <w:szCs w:val="20"/>
        </w:rPr>
      </w:pPr>
      <w:r w:rsidRPr="004A06B9">
        <w:rPr>
          <w:color w:val="000000" w:themeColor="text1"/>
          <w:sz w:val="20"/>
          <w:szCs w:val="20"/>
        </w:rPr>
        <w:t>Por último, y reiterando lo anterior, si una empresa de servicios públicos mixta, es decir, una entidad descentralizada del orden territorial actúa en una relación contractual cuyo otro extremo</w:t>
      </w:r>
      <w:r w:rsidRPr="004A06B9">
        <w:rPr>
          <w:color w:val="000000" w:themeColor="text1"/>
          <w:spacing w:val="8"/>
          <w:sz w:val="20"/>
          <w:szCs w:val="20"/>
        </w:rPr>
        <w:t xml:space="preserve"> </w:t>
      </w:r>
      <w:r w:rsidRPr="004A06B9">
        <w:rPr>
          <w:color w:val="000000" w:themeColor="text1"/>
          <w:sz w:val="20"/>
          <w:szCs w:val="20"/>
        </w:rPr>
        <w:t>es</w:t>
      </w:r>
      <w:r w:rsidRPr="004A06B9">
        <w:rPr>
          <w:color w:val="000000" w:themeColor="text1"/>
          <w:spacing w:val="8"/>
          <w:sz w:val="20"/>
          <w:szCs w:val="20"/>
        </w:rPr>
        <w:t xml:space="preserve"> </w:t>
      </w:r>
      <w:r w:rsidRPr="004A06B9">
        <w:rPr>
          <w:color w:val="000000" w:themeColor="text1"/>
          <w:sz w:val="20"/>
          <w:szCs w:val="20"/>
        </w:rPr>
        <w:t>una</w:t>
      </w:r>
      <w:r w:rsidRPr="004A06B9">
        <w:rPr>
          <w:color w:val="000000" w:themeColor="text1"/>
          <w:spacing w:val="8"/>
          <w:sz w:val="20"/>
          <w:szCs w:val="20"/>
        </w:rPr>
        <w:t xml:space="preserve"> </w:t>
      </w:r>
      <w:r w:rsidRPr="004A06B9">
        <w:rPr>
          <w:color w:val="000000" w:themeColor="text1"/>
          <w:sz w:val="20"/>
          <w:szCs w:val="20"/>
        </w:rPr>
        <w:t>entidad</w:t>
      </w:r>
      <w:r w:rsidRPr="004A06B9">
        <w:rPr>
          <w:color w:val="000000" w:themeColor="text1"/>
          <w:spacing w:val="8"/>
          <w:sz w:val="20"/>
          <w:szCs w:val="20"/>
        </w:rPr>
        <w:t xml:space="preserve"> </w:t>
      </w:r>
      <w:r w:rsidRPr="004A06B9">
        <w:rPr>
          <w:color w:val="000000" w:themeColor="text1"/>
          <w:sz w:val="20"/>
          <w:szCs w:val="20"/>
        </w:rPr>
        <w:t>del</w:t>
      </w:r>
      <w:r w:rsidRPr="004A06B9">
        <w:rPr>
          <w:color w:val="000000" w:themeColor="text1"/>
          <w:spacing w:val="9"/>
          <w:sz w:val="20"/>
          <w:szCs w:val="20"/>
        </w:rPr>
        <w:t xml:space="preserve"> </w:t>
      </w:r>
      <w:r w:rsidRPr="004A06B9">
        <w:rPr>
          <w:color w:val="000000" w:themeColor="text1"/>
          <w:sz w:val="20"/>
          <w:szCs w:val="20"/>
        </w:rPr>
        <w:t>orden</w:t>
      </w:r>
      <w:r w:rsidRPr="004A06B9">
        <w:rPr>
          <w:color w:val="000000" w:themeColor="text1"/>
          <w:spacing w:val="7"/>
          <w:sz w:val="20"/>
          <w:szCs w:val="20"/>
        </w:rPr>
        <w:t xml:space="preserve"> </w:t>
      </w:r>
      <w:r w:rsidRPr="004A06B9">
        <w:rPr>
          <w:color w:val="000000" w:themeColor="text1"/>
          <w:sz w:val="20"/>
          <w:szCs w:val="20"/>
        </w:rPr>
        <w:t>nacional,</w:t>
      </w:r>
      <w:r w:rsidRPr="004A06B9">
        <w:rPr>
          <w:color w:val="000000" w:themeColor="text1"/>
          <w:spacing w:val="8"/>
          <w:sz w:val="20"/>
          <w:szCs w:val="20"/>
        </w:rPr>
        <w:t xml:space="preserve"> </w:t>
      </w:r>
      <w:r w:rsidRPr="004A06B9">
        <w:rPr>
          <w:color w:val="000000" w:themeColor="text1"/>
          <w:sz w:val="20"/>
          <w:szCs w:val="20"/>
        </w:rPr>
        <w:t>le</w:t>
      </w:r>
      <w:r w:rsidRPr="004A06B9">
        <w:rPr>
          <w:color w:val="000000" w:themeColor="text1"/>
          <w:spacing w:val="8"/>
          <w:sz w:val="20"/>
          <w:szCs w:val="20"/>
        </w:rPr>
        <w:t xml:space="preserve"> </w:t>
      </w:r>
      <w:r w:rsidRPr="004A06B9">
        <w:rPr>
          <w:color w:val="000000" w:themeColor="text1"/>
          <w:sz w:val="20"/>
          <w:szCs w:val="20"/>
        </w:rPr>
        <w:t>aplica</w:t>
      </w:r>
      <w:r w:rsidRPr="004A06B9">
        <w:rPr>
          <w:color w:val="000000" w:themeColor="text1"/>
          <w:spacing w:val="8"/>
          <w:sz w:val="20"/>
          <w:szCs w:val="20"/>
        </w:rPr>
        <w:t xml:space="preserve"> </w:t>
      </w:r>
      <w:r w:rsidRPr="004A06B9">
        <w:rPr>
          <w:color w:val="000000" w:themeColor="text1"/>
          <w:sz w:val="20"/>
          <w:szCs w:val="20"/>
        </w:rPr>
        <w:t>la</w:t>
      </w:r>
      <w:r w:rsidRPr="004A06B9">
        <w:rPr>
          <w:color w:val="000000" w:themeColor="text1"/>
          <w:spacing w:val="8"/>
          <w:sz w:val="20"/>
          <w:szCs w:val="20"/>
        </w:rPr>
        <w:t xml:space="preserve"> </w:t>
      </w:r>
      <w:r w:rsidRPr="004A06B9">
        <w:rPr>
          <w:color w:val="000000" w:themeColor="text1"/>
          <w:sz w:val="20"/>
          <w:szCs w:val="20"/>
        </w:rPr>
        <w:t>restricción</w:t>
      </w:r>
      <w:r w:rsidRPr="004A06B9">
        <w:rPr>
          <w:color w:val="000000" w:themeColor="text1"/>
          <w:spacing w:val="8"/>
          <w:sz w:val="20"/>
          <w:szCs w:val="20"/>
        </w:rPr>
        <w:t xml:space="preserve"> </w:t>
      </w:r>
      <w:r w:rsidRPr="004A06B9">
        <w:rPr>
          <w:color w:val="000000" w:themeColor="text1"/>
          <w:sz w:val="20"/>
          <w:szCs w:val="20"/>
        </w:rPr>
        <w:t>prevista</w:t>
      </w:r>
      <w:r w:rsidRPr="004A06B9">
        <w:rPr>
          <w:color w:val="000000" w:themeColor="text1"/>
          <w:spacing w:val="8"/>
          <w:sz w:val="20"/>
          <w:szCs w:val="20"/>
        </w:rPr>
        <w:t xml:space="preserve"> </w:t>
      </w:r>
      <w:r w:rsidRPr="004A06B9">
        <w:rPr>
          <w:color w:val="000000" w:themeColor="text1"/>
          <w:sz w:val="20"/>
          <w:szCs w:val="20"/>
        </w:rPr>
        <w:t>en</w:t>
      </w:r>
      <w:r w:rsidRPr="004A06B9">
        <w:rPr>
          <w:color w:val="000000" w:themeColor="text1"/>
          <w:spacing w:val="8"/>
          <w:sz w:val="20"/>
          <w:szCs w:val="20"/>
        </w:rPr>
        <w:t xml:space="preserve"> </w:t>
      </w:r>
      <w:r w:rsidRPr="004A06B9">
        <w:rPr>
          <w:color w:val="000000" w:themeColor="text1"/>
          <w:sz w:val="20"/>
          <w:szCs w:val="20"/>
        </w:rPr>
        <w:t>el</w:t>
      </w:r>
      <w:r w:rsidRPr="004A06B9">
        <w:rPr>
          <w:color w:val="000000" w:themeColor="text1"/>
          <w:spacing w:val="10"/>
          <w:sz w:val="20"/>
          <w:szCs w:val="20"/>
        </w:rPr>
        <w:t xml:space="preserve"> </w:t>
      </w:r>
      <w:r w:rsidRPr="004A06B9">
        <w:rPr>
          <w:color w:val="000000" w:themeColor="text1"/>
          <w:sz w:val="20"/>
          <w:szCs w:val="20"/>
        </w:rPr>
        <w:t>parágrafo 38 de la Ley 996 de 2005, toda vez que esta disposición prohíbe la celebración de convenios</w:t>
      </w:r>
      <w:r w:rsidRPr="004A06B9">
        <w:rPr>
          <w:color w:val="000000" w:themeColor="text1"/>
          <w:spacing w:val="24"/>
          <w:sz w:val="20"/>
          <w:szCs w:val="20"/>
        </w:rPr>
        <w:t xml:space="preserve"> </w:t>
      </w:r>
      <w:r w:rsidRPr="004A06B9">
        <w:rPr>
          <w:color w:val="000000" w:themeColor="text1"/>
          <w:sz w:val="20"/>
          <w:szCs w:val="20"/>
        </w:rPr>
        <w:t>y</w:t>
      </w:r>
      <w:r w:rsidRPr="004A06B9">
        <w:rPr>
          <w:color w:val="000000" w:themeColor="text1"/>
          <w:spacing w:val="21"/>
          <w:sz w:val="20"/>
          <w:szCs w:val="20"/>
        </w:rPr>
        <w:t xml:space="preserve"> </w:t>
      </w:r>
      <w:r w:rsidRPr="004A06B9">
        <w:rPr>
          <w:color w:val="000000" w:themeColor="text1"/>
          <w:sz w:val="20"/>
          <w:szCs w:val="20"/>
        </w:rPr>
        <w:t>contratos</w:t>
      </w:r>
      <w:r w:rsidRPr="004A06B9">
        <w:rPr>
          <w:color w:val="000000" w:themeColor="text1"/>
          <w:spacing w:val="24"/>
          <w:sz w:val="20"/>
          <w:szCs w:val="20"/>
        </w:rPr>
        <w:t xml:space="preserve"> </w:t>
      </w:r>
      <w:r w:rsidRPr="004A06B9">
        <w:rPr>
          <w:color w:val="000000" w:themeColor="text1"/>
          <w:sz w:val="20"/>
          <w:szCs w:val="20"/>
        </w:rPr>
        <w:t>interadministrativos</w:t>
      </w:r>
      <w:r w:rsidRPr="004A06B9">
        <w:rPr>
          <w:color w:val="000000" w:themeColor="text1"/>
          <w:spacing w:val="25"/>
          <w:sz w:val="20"/>
          <w:szCs w:val="20"/>
        </w:rPr>
        <w:t xml:space="preserve"> </w:t>
      </w:r>
      <w:r w:rsidRPr="004A06B9">
        <w:rPr>
          <w:color w:val="000000" w:themeColor="text1"/>
          <w:sz w:val="20"/>
          <w:szCs w:val="20"/>
        </w:rPr>
        <w:t>a</w:t>
      </w:r>
      <w:r w:rsidRPr="004A06B9">
        <w:rPr>
          <w:color w:val="000000" w:themeColor="text1"/>
          <w:spacing w:val="24"/>
          <w:sz w:val="20"/>
          <w:szCs w:val="20"/>
        </w:rPr>
        <w:t xml:space="preserve"> </w:t>
      </w:r>
      <w:r w:rsidRPr="004A06B9">
        <w:rPr>
          <w:color w:val="000000" w:themeColor="text1"/>
          <w:sz w:val="20"/>
          <w:szCs w:val="20"/>
        </w:rPr>
        <w:t>las</w:t>
      </w:r>
      <w:r w:rsidRPr="004A06B9">
        <w:rPr>
          <w:color w:val="000000" w:themeColor="text1"/>
          <w:spacing w:val="24"/>
          <w:sz w:val="20"/>
          <w:szCs w:val="20"/>
        </w:rPr>
        <w:t xml:space="preserve"> </w:t>
      </w:r>
      <w:r w:rsidRPr="004A06B9">
        <w:rPr>
          <w:color w:val="000000" w:themeColor="text1"/>
          <w:sz w:val="20"/>
          <w:szCs w:val="20"/>
        </w:rPr>
        <w:t>entidades</w:t>
      </w:r>
      <w:r w:rsidRPr="004A06B9">
        <w:rPr>
          <w:color w:val="000000" w:themeColor="text1"/>
          <w:spacing w:val="24"/>
          <w:sz w:val="20"/>
          <w:szCs w:val="20"/>
        </w:rPr>
        <w:t xml:space="preserve"> </w:t>
      </w:r>
      <w:r w:rsidRPr="004A06B9">
        <w:rPr>
          <w:color w:val="000000" w:themeColor="text1"/>
          <w:sz w:val="20"/>
          <w:szCs w:val="20"/>
        </w:rPr>
        <w:t>territoriales</w:t>
      </w:r>
      <w:r w:rsidRPr="004A06B9">
        <w:rPr>
          <w:color w:val="000000" w:themeColor="text1"/>
          <w:spacing w:val="24"/>
          <w:sz w:val="20"/>
          <w:szCs w:val="20"/>
        </w:rPr>
        <w:t xml:space="preserve"> </w:t>
      </w:r>
      <w:r w:rsidRPr="004A06B9">
        <w:rPr>
          <w:color w:val="000000" w:themeColor="text1"/>
          <w:sz w:val="20"/>
          <w:szCs w:val="20"/>
        </w:rPr>
        <w:t>y</w:t>
      </w:r>
      <w:r w:rsidRPr="004A06B9">
        <w:rPr>
          <w:color w:val="000000" w:themeColor="text1"/>
          <w:spacing w:val="21"/>
          <w:sz w:val="20"/>
          <w:szCs w:val="20"/>
        </w:rPr>
        <w:t xml:space="preserve"> </w:t>
      </w:r>
      <w:r w:rsidRPr="004A06B9">
        <w:rPr>
          <w:color w:val="000000" w:themeColor="text1"/>
          <w:sz w:val="20"/>
          <w:szCs w:val="20"/>
        </w:rPr>
        <w:t>descentralizadas del orden territorial, y para que se configure dicha tipología contractual es necesario que la otra parte sea una entidad estatal, y esta última puede ser del orden nacional o territorial.</w:t>
      </w:r>
    </w:p>
    <w:p w:rsidRPr="004A06B9" w:rsidR="002A4588" w:rsidP="002A4588" w:rsidRDefault="002A4588" w14:paraId="224768A5" w14:textId="77777777">
      <w:pPr>
        <w:pStyle w:val="Textoindependiente"/>
        <w:spacing w:before="10"/>
        <w:rPr>
          <w:color w:val="000000" w:themeColor="text1"/>
          <w:sz w:val="21"/>
        </w:rPr>
      </w:pPr>
    </w:p>
    <w:p w:rsidRPr="004A06B9" w:rsidR="00077886" w:rsidRDefault="00077886" w14:paraId="2C57945A" w14:textId="77777777">
      <w:pPr>
        <w:pStyle w:val="Textoindependiente"/>
        <w:spacing w:before="6"/>
        <w:rPr>
          <w:rFonts w:ascii="Times New Roman"/>
          <w:color w:val="000000" w:themeColor="text1"/>
          <w:sz w:val="21"/>
        </w:rPr>
      </w:pPr>
    </w:p>
    <w:p w:rsidRPr="004A06B9" w:rsidR="00077886" w:rsidRDefault="008569EE" w14:paraId="36E30AF3" w14:textId="77777777">
      <w:pPr>
        <w:spacing w:line="253" w:lineRule="exact"/>
        <w:ind w:left="100"/>
        <w:rPr>
          <w:b/>
          <w:color w:val="000000" w:themeColor="text1"/>
        </w:rPr>
      </w:pPr>
      <w:r w:rsidRPr="004A06B9">
        <w:rPr>
          <w:color w:val="000000" w:themeColor="text1"/>
        </w:rPr>
        <w:t xml:space="preserve">Bogotá D.C., </w:t>
      </w:r>
      <w:r w:rsidRPr="004A06B9">
        <w:rPr>
          <w:b/>
          <w:color w:val="000000" w:themeColor="text1"/>
        </w:rPr>
        <w:t>27/08/2019 Hora 18:38:35s</w:t>
      </w:r>
    </w:p>
    <w:p w:rsidRPr="004A06B9" w:rsidR="00077886" w:rsidRDefault="008569EE" w14:paraId="3F27E657" w14:textId="77777777">
      <w:pPr>
        <w:pStyle w:val="Ttulo1"/>
        <w:ind w:left="5639" w:firstLine="0"/>
        <w:rPr>
          <w:color w:val="000000" w:themeColor="text1"/>
        </w:rPr>
      </w:pPr>
      <w:proofErr w:type="spellStart"/>
      <w:r w:rsidRPr="004A06B9">
        <w:rPr>
          <w:color w:val="000000" w:themeColor="text1"/>
        </w:rPr>
        <w:t>N°</w:t>
      </w:r>
      <w:proofErr w:type="spellEnd"/>
      <w:r w:rsidRPr="004A06B9">
        <w:rPr>
          <w:color w:val="000000" w:themeColor="text1"/>
        </w:rPr>
        <w:t xml:space="preserve"> Radicado: 2201913000006283</w:t>
      </w:r>
    </w:p>
    <w:p w:rsidRPr="004A06B9" w:rsidR="00077886" w:rsidRDefault="00077886" w14:paraId="78BC7E2E" w14:textId="77777777">
      <w:pPr>
        <w:pStyle w:val="Textoindependiente"/>
        <w:rPr>
          <w:b/>
          <w:color w:val="000000" w:themeColor="text1"/>
          <w:sz w:val="14"/>
        </w:rPr>
      </w:pPr>
    </w:p>
    <w:p w:rsidRPr="004A06B9" w:rsidR="00077886" w:rsidRDefault="008569EE" w14:paraId="72419E19" w14:textId="77777777">
      <w:pPr>
        <w:spacing w:before="93"/>
        <w:ind w:left="100" w:right="7883"/>
        <w:rPr>
          <w:color w:val="000000" w:themeColor="text1"/>
        </w:rPr>
      </w:pPr>
      <w:r w:rsidRPr="004A06B9">
        <w:rPr>
          <w:color w:val="000000" w:themeColor="text1"/>
        </w:rPr>
        <w:t xml:space="preserve">Señor </w:t>
      </w:r>
      <w:r w:rsidRPr="004A06B9">
        <w:rPr>
          <w:b/>
          <w:color w:val="000000" w:themeColor="text1"/>
        </w:rPr>
        <w:t xml:space="preserve">Ciudadano </w:t>
      </w:r>
      <w:r w:rsidRPr="004A06B9">
        <w:rPr>
          <w:color w:val="000000" w:themeColor="text1"/>
        </w:rPr>
        <w:t>Ciudad</w:t>
      </w:r>
    </w:p>
    <w:p w:rsidRPr="004A06B9" w:rsidR="00077886" w:rsidRDefault="00077886" w14:paraId="5A5B1ACB" w14:textId="77777777">
      <w:pPr>
        <w:pStyle w:val="Textoindependiente"/>
        <w:spacing w:before="10"/>
        <w:rPr>
          <w:color w:val="000000" w:themeColor="text1"/>
          <w:sz w:val="21"/>
        </w:rPr>
      </w:pPr>
    </w:p>
    <w:p w:rsidRPr="004A06B9" w:rsidR="00077886" w:rsidRDefault="008569EE" w14:paraId="741FC55E" w14:textId="77777777">
      <w:pPr>
        <w:tabs>
          <w:tab w:val="left" w:pos="3640"/>
        </w:tabs>
        <w:ind w:left="100"/>
        <w:rPr>
          <w:color w:val="000000" w:themeColor="text1"/>
        </w:rPr>
      </w:pPr>
      <w:r w:rsidRPr="004A06B9">
        <w:rPr>
          <w:b/>
          <w:color w:val="000000" w:themeColor="text1"/>
        </w:rPr>
        <w:t>Radicación:</w:t>
      </w:r>
      <w:r w:rsidRPr="004A06B9">
        <w:rPr>
          <w:b/>
          <w:color w:val="000000" w:themeColor="text1"/>
        </w:rPr>
        <w:tab/>
      </w:r>
      <w:r w:rsidRPr="004A06B9">
        <w:rPr>
          <w:color w:val="000000" w:themeColor="text1"/>
        </w:rPr>
        <w:t>Respuesta a consulta #</w:t>
      </w:r>
      <w:r w:rsidRPr="004A06B9">
        <w:rPr>
          <w:color w:val="000000" w:themeColor="text1"/>
          <w:spacing w:val="-7"/>
        </w:rPr>
        <w:t xml:space="preserve"> </w:t>
      </w:r>
      <w:r w:rsidRPr="004A06B9">
        <w:rPr>
          <w:color w:val="000000" w:themeColor="text1"/>
        </w:rPr>
        <w:t>4201912000005352</w:t>
      </w:r>
    </w:p>
    <w:p w:rsidRPr="004A06B9" w:rsidR="00077886" w:rsidRDefault="008569EE" w14:paraId="01E3AF5F" w14:textId="77777777">
      <w:pPr>
        <w:pStyle w:val="Textoindependiente"/>
        <w:tabs>
          <w:tab w:val="left" w:pos="3640"/>
        </w:tabs>
        <w:spacing w:before="2"/>
        <w:ind w:left="3641" w:right="128" w:hanging="3541"/>
        <w:rPr>
          <w:color w:val="000000" w:themeColor="text1"/>
        </w:rPr>
      </w:pPr>
      <w:r w:rsidRPr="004A06B9">
        <w:rPr>
          <w:b/>
          <w:color w:val="000000" w:themeColor="text1"/>
        </w:rPr>
        <w:t>Temas:</w:t>
      </w:r>
      <w:r w:rsidRPr="004A06B9">
        <w:rPr>
          <w:b/>
          <w:color w:val="000000" w:themeColor="text1"/>
        </w:rPr>
        <w:tab/>
      </w:r>
      <w:r w:rsidRPr="004A06B9">
        <w:rPr>
          <w:color w:val="000000" w:themeColor="text1"/>
        </w:rPr>
        <w:t>Ley de Garantías, Sociedad de Economía Mixta, empresa de servicios públicos</w:t>
      </w:r>
      <w:r w:rsidRPr="004A06B9">
        <w:rPr>
          <w:color w:val="000000" w:themeColor="text1"/>
          <w:spacing w:val="-7"/>
        </w:rPr>
        <w:t xml:space="preserve"> </w:t>
      </w:r>
      <w:r w:rsidRPr="004A06B9">
        <w:rPr>
          <w:color w:val="000000" w:themeColor="text1"/>
        </w:rPr>
        <w:t>mixta</w:t>
      </w:r>
    </w:p>
    <w:p w:rsidRPr="004A06B9" w:rsidR="00077886" w:rsidRDefault="008569EE" w14:paraId="16CB8BAF" w14:textId="77777777">
      <w:pPr>
        <w:tabs>
          <w:tab w:val="left" w:pos="3640"/>
        </w:tabs>
        <w:spacing w:line="252" w:lineRule="exact"/>
        <w:ind w:left="100"/>
        <w:rPr>
          <w:color w:val="000000" w:themeColor="text1"/>
        </w:rPr>
      </w:pPr>
      <w:r w:rsidRPr="004A06B9">
        <w:rPr>
          <w:b/>
          <w:color w:val="000000" w:themeColor="text1"/>
        </w:rPr>
        <w:t>Tipo de</w:t>
      </w:r>
      <w:r w:rsidRPr="004A06B9">
        <w:rPr>
          <w:b/>
          <w:color w:val="000000" w:themeColor="text1"/>
          <w:spacing w:val="-4"/>
        </w:rPr>
        <w:t xml:space="preserve"> </w:t>
      </w:r>
      <w:r w:rsidRPr="004A06B9">
        <w:rPr>
          <w:b/>
          <w:color w:val="000000" w:themeColor="text1"/>
        </w:rPr>
        <w:t>asunto</w:t>
      </w:r>
      <w:r w:rsidRPr="004A06B9">
        <w:rPr>
          <w:b/>
          <w:color w:val="000000" w:themeColor="text1"/>
          <w:spacing w:val="-2"/>
        </w:rPr>
        <w:t xml:space="preserve"> </w:t>
      </w:r>
      <w:r w:rsidRPr="004A06B9">
        <w:rPr>
          <w:b/>
          <w:color w:val="000000" w:themeColor="text1"/>
        </w:rPr>
        <w:t>consultado:</w:t>
      </w:r>
      <w:r w:rsidRPr="004A06B9">
        <w:rPr>
          <w:b/>
          <w:color w:val="000000" w:themeColor="text1"/>
        </w:rPr>
        <w:tab/>
      </w:r>
      <w:r w:rsidRPr="004A06B9">
        <w:rPr>
          <w:color w:val="000000" w:themeColor="text1"/>
        </w:rPr>
        <w:t>Aplicación</w:t>
      </w:r>
      <w:r w:rsidRPr="004A06B9">
        <w:rPr>
          <w:color w:val="000000" w:themeColor="text1"/>
          <w:spacing w:val="39"/>
        </w:rPr>
        <w:t xml:space="preserve"> </w:t>
      </w:r>
      <w:r w:rsidRPr="004A06B9">
        <w:rPr>
          <w:color w:val="000000" w:themeColor="text1"/>
        </w:rPr>
        <w:t>de</w:t>
      </w:r>
      <w:r w:rsidRPr="004A06B9">
        <w:rPr>
          <w:color w:val="000000" w:themeColor="text1"/>
          <w:spacing w:val="35"/>
        </w:rPr>
        <w:t xml:space="preserve"> </w:t>
      </w:r>
      <w:r w:rsidRPr="004A06B9">
        <w:rPr>
          <w:color w:val="000000" w:themeColor="text1"/>
        </w:rPr>
        <w:t>la</w:t>
      </w:r>
      <w:r w:rsidRPr="004A06B9">
        <w:rPr>
          <w:color w:val="000000" w:themeColor="text1"/>
          <w:spacing w:val="39"/>
        </w:rPr>
        <w:t xml:space="preserve"> </w:t>
      </w:r>
      <w:r w:rsidRPr="004A06B9">
        <w:rPr>
          <w:color w:val="000000" w:themeColor="text1"/>
        </w:rPr>
        <w:t>ley</w:t>
      </w:r>
      <w:r w:rsidRPr="004A06B9">
        <w:rPr>
          <w:color w:val="000000" w:themeColor="text1"/>
          <w:spacing w:val="35"/>
        </w:rPr>
        <w:t xml:space="preserve"> </w:t>
      </w:r>
      <w:r w:rsidRPr="004A06B9">
        <w:rPr>
          <w:color w:val="000000" w:themeColor="text1"/>
        </w:rPr>
        <w:t>de</w:t>
      </w:r>
      <w:r w:rsidRPr="004A06B9">
        <w:rPr>
          <w:color w:val="000000" w:themeColor="text1"/>
          <w:spacing w:val="36"/>
        </w:rPr>
        <w:t xml:space="preserve"> </w:t>
      </w:r>
      <w:r w:rsidRPr="004A06B9">
        <w:rPr>
          <w:color w:val="000000" w:themeColor="text1"/>
        </w:rPr>
        <w:t>garantías</w:t>
      </w:r>
      <w:r w:rsidRPr="004A06B9">
        <w:rPr>
          <w:color w:val="000000" w:themeColor="text1"/>
          <w:spacing w:val="38"/>
        </w:rPr>
        <w:t xml:space="preserve"> </w:t>
      </w:r>
      <w:r w:rsidRPr="004A06B9">
        <w:rPr>
          <w:color w:val="000000" w:themeColor="text1"/>
        </w:rPr>
        <w:t>para</w:t>
      </w:r>
      <w:r w:rsidRPr="004A06B9">
        <w:rPr>
          <w:color w:val="000000" w:themeColor="text1"/>
          <w:spacing w:val="38"/>
        </w:rPr>
        <w:t xml:space="preserve"> </w:t>
      </w:r>
      <w:r w:rsidRPr="004A06B9">
        <w:rPr>
          <w:color w:val="000000" w:themeColor="text1"/>
        </w:rPr>
        <w:t>los</w:t>
      </w:r>
      <w:r w:rsidRPr="004A06B9">
        <w:rPr>
          <w:color w:val="000000" w:themeColor="text1"/>
          <w:spacing w:val="39"/>
        </w:rPr>
        <w:t xml:space="preserve"> </w:t>
      </w:r>
      <w:r w:rsidRPr="004A06B9">
        <w:rPr>
          <w:color w:val="000000" w:themeColor="text1"/>
        </w:rPr>
        <w:t>convenios</w:t>
      </w:r>
    </w:p>
    <w:p w:rsidRPr="004A06B9" w:rsidR="00077886" w:rsidRDefault="008569EE" w14:paraId="19BA6696" w14:textId="77777777">
      <w:pPr>
        <w:pStyle w:val="Textoindependiente"/>
        <w:ind w:left="3641"/>
        <w:rPr>
          <w:color w:val="000000" w:themeColor="text1"/>
        </w:rPr>
      </w:pPr>
      <w:r w:rsidRPr="004A06B9">
        <w:rPr>
          <w:color w:val="000000" w:themeColor="text1"/>
        </w:rPr>
        <w:t>interadministrativos de las empresas de servicios públicos Mixtas</w:t>
      </w:r>
    </w:p>
    <w:p w:rsidRPr="004A06B9" w:rsidR="00077886" w:rsidRDefault="00077886" w14:paraId="1EFE40D7" w14:textId="77777777">
      <w:pPr>
        <w:pStyle w:val="Textoindependiente"/>
        <w:rPr>
          <w:color w:val="000000" w:themeColor="text1"/>
        </w:rPr>
      </w:pPr>
    </w:p>
    <w:p w:rsidRPr="004A06B9" w:rsidR="00077886" w:rsidRDefault="008569EE" w14:paraId="1B0A425D" w14:textId="77777777">
      <w:pPr>
        <w:pStyle w:val="Textoindependiente"/>
        <w:spacing w:before="1"/>
        <w:ind w:left="100"/>
        <w:rPr>
          <w:color w:val="000000" w:themeColor="text1"/>
        </w:rPr>
      </w:pPr>
      <w:r w:rsidRPr="004A06B9">
        <w:rPr>
          <w:color w:val="000000" w:themeColor="text1"/>
        </w:rPr>
        <w:t>Estimado señor,</w:t>
      </w:r>
    </w:p>
    <w:p w:rsidRPr="004A06B9" w:rsidR="00077886" w:rsidRDefault="00077886" w14:paraId="73A09D7C" w14:textId="77777777">
      <w:pPr>
        <w:pStyle w:val="Textoindependiente"/>
        <w:spacing w:before="10"/>
        <w:rPr>
          <w:color w:val="000000" w:themeColor="text1"/>
          <w:sz w:val="21"/>
        </w:rPr>
      </w:pPr>
    </w:p>
    <w:p w:rsidRPr="004A06B9" w:rsidR="00077886" w:rsidRDefault="008569EE" w14:paraId="73C6849F" w14:textId="77777777">
      <w:pPr>
        <w:pStyle w:val="Textoindependiente"/>
        <w:ind w:left="100" w:right="104"/>
        <w:jc w:val="both"/>
        <w:rPr>
          <w:color w:val="000000" w:themeColor="text1"/>
        </w:rPr>
      </w:pPr>
      <w:r w:rsidRPr="004A06B9">
        <w:rPr>
          <w:color w:val="000000" w:themeColor="text1"/>
        </w:rPr>
        <w:t>La Agencia Nacional de Contratación Pública -Colombia Compra Eficiente-, responde su consulta del 8 de agosto de 2019 en ejercicio de la competencia otorgada por el numeral 8 del artículo 11 y el numeral 5 del artículo 3 del Decreto Ley 4170 de 2011.</w:t>
      </w:r>
    </w:p>
    <w:p w:rsidRPr="004A06B9" w:rsidR="00077886" w:rsidRDefault="00077886" w14:paraId="21DABB3A" w14:textId="77777777">
      <w:pPr>
        <w:pStyle w:val="Textoindependiente"/>
        <w:spacing w:before="1"/>
        <w:rPr>
          <w:color w:val="000000" w:themeColor="text1"/>
        </w:rPr>
      </w:pPr>
    </w:p>
    <w:p w:rsidRPr="004A06B9" w:rsidR="00077886" w:rsidRDefault="008569EE" w14:paraId="5F4D7676" w14:textId="77777777">
      <w:pPr>
        <w:pStyle w:val="Ttulo1"/>
        <w:numPr>
          <w:ilvl w:val="0"/>
          <w:numId w:val="1"/>
        </w:numPr>
        <w:tabs>
          <w:tab w:val="left" w:pos="386"/>
        </w:tabs>
        <w:ind w:hanging="286"/>
        <w:rPr>
          <w:color w:val="000000" w:themeColor="text1"/>
        </w:rPr>
      </w:pPr>
      <w:r w:rsidRPr="004A06B9">
        <w:rPr>
          <w:color w:val="000000" w:themeColor="text1"/>
        </w:rPr>
        <w:t>Problema</w:t>
      </w:r>
      <w:r w:rsidRPr="004A06B9">
        <w:rPr>
          <w:color w:val="000000" w:themeColor="text1"/>
          <w:spacing w:val="-2"/>
        </w:rPr>
        <w:t xml:space="preserve"> </w:t>
      </w:r>
      <w:r w:rsidRPr="004A06B9">
        <w:rPr>
          <w:color w:val="000000" w:themeColor="text1"/>
        </w:rPr>
        <w:t>planteado</w:t>
      </w:r>
    </w:p>
    <w:p w:rsidRPr="004A06B9" w:rsidR="00077886" w:rsidRDefault="00077886" w14:paraId="39C67744" w14:textId="77777777">
      <w:pPr>
        <w:pStyle w:val="Textoindependiente"/>
        <w:spacing w:before="11"/>
        <w:rPr>
          <w:b/>
          <w:color w:val="000000" w:themeColor="text1"/>
          <w:sz w:val="21"/>
        </w:rPr>
      </w:pPr>
    </w:p>
    <w:p w:rsidRPr="004A06B9" w:rsidR="00077886" w:rsidRDefault="008569EE" w14:paraId="0DDA42D9" w14:textId="77777777">
      <w:pPr>
        <w:pStyle w:val="Textoindependiente"/>
        <w:ind w:left="100" w:right="104"/>
        <w:jc w:val="both"/>
        <w:rPr>
          <w:color w:val="000000" w:themeColor="text1"/>
        </w:rPr>
      </w:pPr>
      <w:r w:rsidRPr="004A06B9">
        <w:rPr>
          <w:color w:val="000000" w:themeColor="text1"/>
        </w:rPr>
        <w:t xml:space="preserve">“Solicito un concepto sobre un proceso que está llevando la Armada Nacional de Colombia, para el Servicio de Conectividad (Canal datos e internet) terrestre, satelital marítimo y fluvial, por valor de $15.079.367.296.00 que comprende servicios desde el 01 de septiembre de 2019 hasta el 30 de junio de 2022. La contratación se llevará acabo con la Empresa </w:t>
      </w:r>
      <w:proofErr w:type="spellStart"/>
      <w:r w:rsidRPr="004A06B9">
        <w:rPr>
          <w:color w:val="000000" w:themeColor="text1"/>
        </w:rPr>
        <w:t>Skynet</w:t>
      </w:r>
      <w:proofErr w:type="spellEnd"/>
      <w:r w:rsidRPr="004A06B9">
        <w:rPr>
          <w:color w:val="000000" w:themeColor="text1"/>
        </w:rPr>
        <w:t xml:space="preserve"> de Colombia, a través de un Contrato Interadministrativo, por lo anterior me permito realizar la siguiente consulta con referente a que el Ministerio de Defensa Nacional nos indica que no se puede hacer un Contrato Interadministrativo con mencionada Empresa por cuanto aducen que dicha empresa pertenece a ETB y estaría dentro de La ley de Garantías, se efectúo dicha verificación con la empresa y ellos por normas de derecho privado, sin que tenga injerencia su composición de</w:t>
      </w:r>
      <w:r w:rsidRPr="004A06B9">
        <w:rPr>
          <w:color w:val="000000" w:themeColor="text1"/>
          <w:spacing w:val="-24"/>
        </w:rPr>
        <w:t xml:space="preserve"> </w:t>
      </w:r>
      <w:r w:rsidRPr="004A06B9">
        <w:rPr>
          <w:color w:val="000000" w:themeColor="text1"/>
        </w:rPr>
        <w:t>capital”.</w:t>
      </w:r>
    </w:p>
    <w:p w:rsidRPr="004A06B9" w:rsidR="00077886" w:rsidRDefault="00077886" w14:paraId="09433BD4" w14:textId="77777777">
      <w:pPr>
        <w:pStyle w:val="Textoindependiente"/>
        <w:spacing w:before="11"/>
        <w:rPr>
          <w:color w:val="000000" w:themeColor="text1"/>
          <w:sz w:val="21"/>
        </w:rPr>
      </w:pPr>
    </w:p>
    <w:p w:rsidRPr="004A06B9" w:rsidR="00077886" w:rsidRDefault="008569EE" w14:paraId="735AE1F2" w14:textId="77777777">
      <w:pPr>
        <w:pStyle w:val="Ttulo1"/>
        <w:numPr>
          <w:ilvl w:val="0"/>
          <w:numId w:val="1"/>
        </w:numPr>
        <w:tabs>
          <w:tab w:val="left" w:pos="386"/>
        </w:tabs>
        <w:ind w:hanging="286"/>
        <w:rPr>
          <w:color w:val="000000" w:themeColor="text1"/>
        </w:rPr>
      </w:pPr>
      <w:r w:rsidRPr="004A06B9">
        <w:rPr>
          <w:color w:val="000000" w:themeColor="text1"/>
        </w:rPr>
        <w:t>Consideraciones:</w:t>
      </w:r>
    </w:p>
    <w:p w:rsidRPr="004A06B9" w:rsidR="00077886" w:rsidRDefault="00077886" w14:paraId="009AE805" w14:textId="77777777">
      <w:pPr>
        <w:pStyle w:val="Textoindependiente"/>
        <w:spacing w:before="2"/>
        <w:rPr>
          <w:b/>
          <w:color w:val="000000" w:themeColor="text1"/>
        </w:rPr>
      </w:pPr>
    </w:p>
    <w:p w:rsidRPr="004A06B9" w:rsidR="00077886" w:rsidRDefault="008569EE" w14:paraId="51C3B8E5" w14:textId="72CAE0C8">
      <w:pPr>
        <w:pStyle w:val="Textoindependiente"/>
        <w:spacing w:line="273" w:lineRule="auto"/>
        <w:ind w:left="100" w:right="108"/>
        <w:jc w:val="both"/>
        <w:rPr>
          <w:color w:val="000000" w:themeColor="text1"/>
        </w:rPr>
      </w:pPr>
      <w:r w:rsidRPr="004A06B9">
        <w:rPr>
          <w:color w:val="000000" w:themeColor="text1"/>
        </w:rPr>
        <w:t>A las elecciones del próximo 27 de octubre de 2019 le aplica el parágrafo del artículo 38 de la Ley 996 de 2005, que establece una prohibición para que los representantes legales de entidades de orden territorial celebren convenios o contratos interadministrativos para la ejecución de recursos públicos, dentro de los cuatro meses anteriores a cualquier elección</w:t>
      </w:r>
      <w:r w:rsidRPr="004A06B9" w:rsidR="00790E13">
        <w:rPr>
          <w:rStyle w:val="Refdenotaalpie"/>
          <w:color w:val="000000" w:themeColor="text1"/>
        </w:rPr>
        <w:footnoteReference w:id="1"/>
      </w:r>
      <w:r w:rsidRPr="004A06B9">
        <w:rPr>
          <w:color w:val="000000" w:themeColor="text1"/>
        </w:rPr>
        <w:t>.</w:t>
      </w:r>
    </w:p>
    <w:p w:rsidRPr="004A06B9" w:rsidR="00077886" w:rsidRDefault="008569EE" w14:paraId="4C55C177" w14:textId="77777777">
      <w:pPr>
        <w:pStyle w:val="Textoindependiente"/>
        <w:spacing w:before="125" w:line="276" w:lineRule="auto"/>
        <w:ind w:left="100" w:right="108"/>
        <w:jc w:val="both"/>
        <w:rPr>
          <w:color w:val="000000" w:themeColor="text1"/>
        </w:rPr>
      </w:pPr>
      <w:r w:rsidRPr="004A06B9">
        <w:rPr>
          <w:color w:val="000000" w:themeColor="text1"/>
        </w:rPr>
        <w:lastRenderedPageBreak/>
        <w:t>El parágrafo del artículo 38 de la ley de garantías únicamente restringe la celebración de convenios o contratos interadministrativos que ejecuten recursos públicos, pero no prohíbe las demás causales de contratación directa ni las demás modalidades de selección.</w:t>
      </w:r>
    </w:p>
    <w:p w:rsidRPr="004A06B9" w:rsidR="00077886" w:rsidRDefault="00077886" w14:paraId="10EBDF54" w14:textId="77777777">
      <w:pPr>
        <w:pStyle w:val="Textoindependiente"/>
        <w:spacing w:before="10"/>
        <w:rPr>
          <w:color w:val="000000" w:themeColor="text1"/>
          <w:sz w:val="21"/>
        </w:rPr>
      </w:pPr>
    </w:p>
    <w:p w:rsidRPr="004A06B9" w:rsidR="00077886" w:rsidRDefault="008569EE" w14:paraId="43E35EF9" w14:textId="77777777">
      <w:pPr>
        <w:pStyle w:val="Textoindependiente"/>
        <w:spacing w:before="1"/>
        <w:ind w:left="100" w:right="109"/>
        <w:jc w:val="both"/>
        <w:rPr>
          <w:color w:val="000000" w:themeColor="text1"/>
        </w:rPr>
      </w:pPr>
      <w:r w:rsidRPr="004A06B9">
        <w:rPr>
          <w:color w:val="000000" w:themeColor="text1"/>
        </w:rPr>
        <w:t>De acuerdo con la Ley 489 de 1998, las sociedades de economía mixta son organismos constituidos como sociedades comerciales, con aportes de capital público y privado. Así lo estableció el artículo 97 en los siguientes términos:</w:t>
      </w:r>
    </w:p>
    <w:p w:rsidRPr="004A06B9" w:rsidR="00077886" w:rsidRDefault="00077886" w14:paraId="04BF5EE9" w14:textId="77777777">
      <w:pPr>
        <w:pStyle w:val="Textoindependiente"/>
        <w:rPr>
          <w:color w:val="000000" w:themeColor="text1"/>
        </w:rPr>
      </w:pPr>
    </w:p>
    <w:p w:rsidRPr="004A06B9" w:rsidR="00077886" w:rsidRDefault="008569EE" w14:paraId="3CA8CC10" w14:textId="77777777">
      <w:pPr>
        <w:pStyle w:val="Textoindependiente"/>
        <w:ind w:left="808" w:right="866"/>
        <w:jc w:val="both"/>
        <w:rPr>
          <w:color w:val="000000" w:themeColor="text1"/>
        </w:rPr>
      </w:pPr>
      <w:r w:rsidRPr="004A06B9">
        <w:rPr>
          <w:color w:val="000000" w:themeColor="text1"/>
        </w:rPr>
        <w:t>Artículo 97.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rsidRPr="004A06B9" w:rsidR="00077886" w:rsidRDefault="00077886" w14:paraId="32A95D3A" w14:textId="77777777">
      <w:pPr>
        <w:pStyle w:val="Textoindependiente"/>
        <w:rPr>
          <w:color w:val="000000" w:themeColor="text1"/>
        </w:rPr>
      </w:pPr>
    </w:p>
    <w:p w:rsidRPr="004A06B9" w:rsidR="00077886" w:rsidRDefault="008569EE" w14:paraId="266A44A0" w14:textId="07F79E39">
      <w:pPr>
        <w:pStyle w:val="Textoindependiente"/>
        <w:ind w:left="100" w:right="104"/>
        <w:jc w:val="both"/>
        <w:rPr>
          <w:color w:val="000000" w:themeColor="text1"/>
        </w:rPr>
      </w:pPr>
      <w:r w:rsidRPr="004A06B9">
        <w:rPr>
          <w:color w:val="000000" w:themeColor="text1"/>
        </w:rPr>
        <w:t>La Ley 489 de 1998 clasifica a las sociedades de economía mixta como entidades descentralizadas por servicios, con personería jurídica, autonomía administrativa y patrimonio propio</w:t>
      </w:r>
      <w:r w:rsidRPr="004A06B9" w:rsidR="00790E13">
        <w:rPr>
          <w:rStyle w:val="Refdenotaalpie"/>
          <w:color w:val="000000" w:themeColor="text1"/>
        </w:rPr>
        <w:footnoteReference w:id="2"/>
      </w:r>
      <w:r w:rsidRPr="004A06B9">
        <w:rPr>
          <w:color w:val="000000" w:themeColor="text1"/>
        </w:rPr>
        <w:t>, que pueden ser del orden nacional, departamental o municipal, según su órgano de creación</w:t>
      </w:r>
      <w:r w:rsidRPr="004A06B9" w:rsidR="00790E13">
        <w:rPr>
          <w:rStyle w:val="Refdenotaalpie"/>
          <w:color w:val="000000" w:themeColor="text1"/>
        </w:rPr>
        <w:footnoteReference w:id="3"/>
      </w:r>
      <w:r w:rsidRPr="004A06B9">
        <w:rPr>
          <w:color w:val="000000" w:themeColor="text1"/>
        </w:rPr>
        <w:t>. Al respecto, la Corte Constitucional, en la sentencia C–737 del 19 de septiembre de 2007, con ponencia del Magistrado Marco Gerardo Monroy Cabra, reiteró y desarrolló la sentencia C-953 de 1999, con ponencia del Magistrado Alfredo Beltrán Sierra, al señalar, que si bien las sociedades de economía mixta son creadas con la finalidad de que los particulares y las entidades públicas participen conjuntamente en el desarrollo de actividades comerciales, estas no pierden la calidad de ser entidades descentralizadas que implican consecuencias constitucionales y legales propias de las entidades estatales:</w:t>
      </w:r>
    </w:p>
    <w:p w:rsidRPr="004A06B9" w:rsidR="00077886" w:rsidRDefault="00077886" w14:paraId="55D77DB3" w14:textId="77777777">
      <w:pPr>
        <w:pStyle w:val="Textoindependiente"/>
        <w:spacing w:before="2"/>
        <w:rPr>
          <w:color w:val="000000" w:themeColor="text1"/>
          <w:sz w:val="21"/>
        </w:rPr>
      </w:pPr>
    </w:p>
    <w:p w:rsidRPr="004A06B9" w:rsidR="00077886" w:rsidP="00790E13" w:rsidRDefault="008569EE" w14:paraId="711760D4" w14:textId="03B5C650">
      <w:pPr>
        <w:pStyle w:val="Textoindependiente"/>
        <w:ind w:left="808" w:right="535"/>
        <w:jc w:val="both"/>
        <w:rPr>
          <w:color w:val="000000" w:themeColor="text1"/>
        </w:rPr>
      </w:pPr>
      <w:r w:rsidRPr="004A06B9">
        <w:rPr>
          <w:color w:val="000000" w:themeColor="text1"/>
        </w:rPr>
        <w:t>Ahora bien, la vinculación de las sociedades de economía mixta a la Rama Ejecutiva, y su condición de entidades descentralizadas, implica consecuencias que emergen de la propia Constitución cuales son particularmente las siguientes: (i) que están sujetas un control fiscal en cabeza de la Contraloría</w:t>
      </w:r>
      <w:r w:rsidRPr="004A06B9" w:rsidR="00790E13">
        <w:rPr>
          <w:color w:val="000000" w:themeColor="text1"/>
        </w:rPr>
        <w:t xml:space="preserve"> </w:t>
      </w:r>
      <w:r w:rsidRPr="004A06B9">
        <w:rPr>
          <w:color w:val="000000" w:themeColor="text1"/>
        </w:rPr>
        <w:t xml:space="preserve">General de la República, que toma pie en lo reglado por </w:t>
      </w:r>
      <w:r w:rsidRPr="004A06B9">
        <w:rPr>
          <w:color w:val="000000" w:themeColor="text1"/>
          <w:spacing w:val="2"/>
        </w:rPr>
        <w:t xml:space="preserve">el </w:t>
      </w:r>
      <w:r w:rsidRPr="004A06B9">
        <w:rPr>
          <w:color w:val="000000" w:themeColor="text1"/>
        </w:rPr>
        <w:t>artículo 267 de la Constitución, y que incluye el ejercicio de un control financiero, de gestión y de resultados; (</w:t>
      </w:r>
      <w:proofErr w:type="spellStart"/>
      <w:r w:rsidRPr="004A06B9">
        <w:rPr>
          <w:color w:val="000000" w:themeColor="text1"/>
        </w:rPr>
        <w:t>ii</w:t>
      </w:r>
      <w:proofErr w:type="spellEnd"/>
      <w:r w:rsidRPr="004A06B9">
        <w:rPr>
          <w:color w:val="000000" w:themeColor="text1"/>
        </w:rPr>
        <w:t>) que están sujetas a un control político, que ejerce directamente el Congreso de la República en virtud de lo reglado por el último inciso del artículo 208 de la Constitución Política, (</w:t>
      </w:r>
      <w:proofErr w:type="spellStart"/>
      <w:r w:rsidRPr="004A06B9">
        <w:rPr>
          <w:color w:val="000000" w:themeColor="text1"/>
        </w:rPr>
        <w:t>iii</w:t>
      </w:r>
      <w:proofErr w:type="spellEnd"/>
      <w:r w:rsidRPr="004A06B9">
        <w:rPr>
          <w:color w:val="000000" w:themeColor="text1"/>
        </w:rPr>
        <w:t xml:space="preserve">) que de conformidad con lo prescrito por el artículo 150 </w:t>
      </w:r>
      <w:r w:rsidRPr="004A06B9">
        <w:rPr>
          <w:color w:val="000000" w:themeColor="text1"/>
        </w:rPr>
        <w:lastRenderedPageBreak/>
        <w:t>numeral 7, según el cual al Congreso le corresponde “crear  o autorizar la constitución de … sociedades de economía mixta” del orden nacional, su creación o autorización tiene que producirse mediante ley. Correlativamente, en los órdenes departamental y municipal esta misma facultad se le reconoce a las asambleas y concejos, según lo prescriben lo artículos 300 numeral 78 y 313 numeral 6, respectivamente, por cual en dichos niveles las empresas de servicios públicos que asumieran la forma de sociedades de economía mixta deben ser creadas o autorizadas mediante ordenanza o acuerdo, según sea el caso; (</w:t>
      </w:r>
      <w:proofErr w:type="spellStart"/>
      <w:r w:rsidRPr="004A06B9">
        <w:rPr>
          <w:color w:val="000000" w:themeColor="text1"/>
        </w:rPr>
        <w:t>iv</w:t>
      </w:r>
      <w:proofErr w:type="spellEnd"/>
      <w:r w:rsidRPr="004A06B9">
        <w:rPr>
          <w:color w:val="000000" w:themeColor="text1"/>
        </w:rPr>
        <w:t>) que les son aplicables las inhabilidades para la integración de órganos directivos a que aluden los artículos 180-3, 292 y 323 de la Carta; (v) que en materia presupuestal quedan sujetas a las reglas de la ley orgánica del presupuesto; (vi) que en materia contable quedan sujetas a las reglas de contabilidad</w:t>
      </w:r>
      <w:r w:rsidRPr="004A06B9">
        <w:rPr>
          <w:color w:val="000000" w:themeColor="text1"/>
          <w:spacing w:val="-11"/>
        </w:rPr>
        <w:t xml:space="preserve"> </w:t>
      </w:r>
      <w:r w:rsidRPr="004A06B9">
        <w:rPr>
          <w:color w:val="000000" w:themeColor="text1"/>
        </w:rPr>
        <w:t>oficial;</w:t>
      </w:r>
    </w:p>
    <w:p w:rsidRPr="004A06B9" w:rsidR="00077886" w:rsidRDefault="00077886" w14:paraId="28EA981B" w14:textId="77777777">
      <w:pPr>
        <w:pStyle w:val="Textoindependiente"/>
        <w:spacing w:before="10"/>
        <w:rPr>
          <w:color w:val="000000" w:themeColor="text1"/>
          <w:sz w:val="21"/>
        </w:rPr>
      </w:pPr>
    </w:p>
    <w:p w:rsidRPr="004A06B9" w:rsidR="00077886" w:rsidRDefault="008569EE" w14:paraId="4ADA1DA6" w14:textId="77777777">
      <w:pPr>
        <w:pStyle w:val="Textoindependiente"/>
        <w:ind w:left="100" w:right="104"/>
        <w:jc w:val="both"/>
        <w:rPr>
          <w:color w:val="000000" w:themeColor="text1"/>
        </w:rPr>
      </w:pPr>
      <w:r w:rsidRPr="004A06B9">
        <w:rPr>
          <w:color w:val="000000" w:themeColor="text1"/>
        </w:rPr>
        <w:t>Así mismo, esta Corporación, en la sentencia C–529 del 12 de julio de 2006, Magistrado Ponente Jaime Córdoba Triviño, reiteró que independientemente que las sociedades de economía mixta tengan una naturaleza jurídica especial, no pierden su calidad de ser entidades descentralizadas que pertenecen a la rama ejecutiva del orden nacional o territorial.</w:t>
      </w:r>
    </w:p>
    <w:p w:rsidRPr="004A06B9" w:rsidR="00077886" w:rsidRDefault="00077886" w14:paraId="2CB03AFA" w14:textId="77777777">
      <w:pPr>
        <w:pStyle w:val="Textoindependiente"/>
        <w:spacing w:before="5"/>
        <w:rPr>
          <w:color w:val="000000" w:themeColor="text1"/>
        </w:rPr>
      </w:pPr>
    </w:p>
    <w:p w:rsidRPr="004A06B9" w:rsidR="00077886" w:rsidRDefault="008569EE" w14:paraId="7FD36235" w14:textId="0B9ABAD6">
      <w:pPr>
        <w:pStyle w:val="Textoindependiente"/>
        <w:spacing w:line="237" w:lineRule="auto"/>
        <w:ind w:left="100" w:right="108"/>
        <w:jc w:val="both"/>
        <w:rPr>
          <w:color w:val="000000" w:themeColor="text1"/>
        </w:rPr>
      </w:pPr>
      <w:r w:rsidRPr="004A06B9">
        <w:rPr>
          <w:color w:val="000000" w:themeColor="text1"/>
        </w:rPr>
        <w:t>En igual sentido, tratándose de empresas prestadoras de servicios públicos que tienen participación mixta, la Corte Constitucional, en la sentencia C-736 de 2007, Magistrado Ponente Marco Gerardo Monroy Cabra, ha manifestado que en ningún momento pueden considerarse como sociedades de economía mixta, pues la naturaleza y régimen jurídico de los prestadores de servicios es especial, de acuerdo con lo previsto en el artículo 365 de la Constitución Política</w:t>
      </w:r>
      <w:r w:rsidRPr="004A06B9" w:rsidR="00790E13">
        <w:rPr>
          <w:rStyle w:val="Refdenotaalpie"/>
          <w:color w:val="000000" w:themeColor="text1"/>
        </w:rPr>
        <w:footnoteReference w:id="4"/>
      </w:r>
      <w:r w:rsidRPr="004A06B9">
        <w:rPr>
          <w:color w:val="000000" w:themeColor="text1"/>
        </w:rPr>
        <w:t>; pero en todo caso, las empresas de servicios públicos mixtas son entidades estatales descentralizadas que hacen parte de la rama ejecutiva del poder público con autonomía administrativa y patrimonio</w:t>
      </w:r>
      <w:r w:rsidRPr="004A06B9">
        <w:rPr>
          <w:color w:val="000000" w:themeColor="text1"/>
          <w:spacing w:val="-8"/>
        </w:rPr>
        <w:t xml:space="preserve"> </w:t>
      </w:r>
      <w:r w:rsidRPr="004A06B9">
        <w:rPr>
          <w:color w:val="000000" w:themeColor="text1"/>
        </w:rPr>
        <w:t>propio</w:t>
      </w:r>
      <w:r w:rsidRPr="004A06B9" w:rsidR="00790E13">
        <w:rPr>
          <w:rStyle w:val="Refdenotaalpie"/>
          <w:color w:val="000000" w:themeColor="text1"/>
        </w:rPr>
        <w:footnoteReference w:id="5"/>
      </w:r>
      <w:r w:rsidRPr="004A06B9">
        <w:rPr>
          <w:color w:val="000000" w:themeColor="text1"/>
        </w:rPr>
        <w:t>.</w:t>
      </w:r>
    </w:p>
    <w:p w:rsidRPr="004A06B9" w:rsidR="00077886" w:rsidRDefault="008569EE" w14:paraId="3B7C361A" w14:textId="77777777">
      <w:pPr>
        <w:pStyle w:val="Textoindependiente"/>
        <w:spacing w:before="93"/>
        <w:ind w:left="100" w:right="109"/>
        <w:jc w:val="both"/>
        <w:rPr>
          <w:color w:val="000000" w:themeColor="text1"/>
        </w:rPr>
      </w:pPr>
      <w:r w:rsidRPr="004A06B9">
        <w:rPr>
          <w:color w:val="000000" w:themeColor="text1"/>
        </w:rPr>
        <w:t xml:space="preserve">En este orden de ideas, si bien las sociedades de economía mixta y las empresas de servicios públicos mixta son diferentes, esto no significa que pierdan su características de ser entidades descentralizadas que hacen parte de la rama ejecutiva y por lo tanto, cuando </w:t>
      </w:r>
      <w:r w:rsidRPr="004A06B9">
        <w:rPr>
          <w:color w:val="000000" w:themeColor="text1"/>
        </w:rPr>
        <w:lastRenderedPageBreak/>
        <w:t>se trate de una sociedad de economía mixta o una empresa de servicios públicos mixta  del orden departamental o municipal, no podrán celebrar dentro de los cuatro (4) meses anteriores a las elecciones territoriales, contratos y convenios interadministrativos por tratarse de entidades descentralizadas del nivel</w:t>
      </w:r>
      <w:r w:rsidRPr="004A06B9">
        <w:rPr>
          <w:color w:val="000000" w:themeColor="text1"/>
          <w:spacing w:val="-7"/>
        </w:rPr>
        <w:t xml:space="preserve"> </w:t>
      </w:r>
      <w:r w:rsidRPr="004A06B9">
        <w:rPr>
          <w:color w:val="000000" w:themeColor="text1"/>
        </w:rPr>
        <w:t>territorial.</w:t>
      </w:r>
    </w:p>
    <w:p w:rsidRPr="004A06B9" w:rsidR="00077886" w:rsidRDefault="00077886" w14:paraId="273448E8" w14:textId="77777777">
      <w:pPr>
        <w:pStyle w:val="Textoindependiente"/>
        <w:spacing w:before="3"/>
        <w:rPr>
          <w:color w:val="000000" w:themeColor="text1"/>
        </w:rPr>
      </w:pPr>
    </w:p>
    <w:p w:rsidRPr="004A06B9" w:rsidR="00077886" w:rsidRDefault="008569EE" w14:paraId="1BDDAE5F" w14:textId="5666F347">
      <w:pPr>
        <w:pStyle w:val="Textoindependiente"/>
        <w:spacing w:before="1" w:line="237" w:lineRule="auto"/>
        <w:ind w:left="100" w:right="106"/>
        <w:jc w:val="both"/>
        <w:rPr>
          <w:color w:val="000000" w:themeColor="text1"/>
        </w:rPr>
      </w:pPr>
      <w:r w:rsidRPr="004A06B9">
        <w:rPr>
          <w:color w:val="000000" w:themeColor="text1"/>
        </w:rPr>
        <w:t xml:space="preserve">La tipología de contrato interadministrativo fue creada en la Ley 80 de 1993 y aunque esta Ley no la definió ni la desarrolló, el Decreto 1082 de 2015 “Por medio del cual se expide el Decreto único reglamentario del sector administrativo de planeación nacional”, califica a los contratos o contratos interadministrativos como aquella contratación </w:t>
      </w:r>
      <w:r w:rsidRPr="004A06B9">
        <w:rPr>
          <w:i/>
          <w:color w:val="000000" w:themeColor="text1"/>
        </w:rPr>
        <w:t>entre entidades estatales</w:t>
      </w:r>
      <w:r w:rsidRPr="004A06B9" w:rsidR="00790E13">
        <w:rPr>
          <w:i/>
          <w:color w:val="000000" w:themeColor="text1"/>
        </w:rPr>
        <w:t xml:space="preserve">  </w:t>
      </w:r>
      <w:r w:rsidRPr="004A06B9" w:rsidR="00790E13">
        <w:rPr>
          <w:rStyle w:val="Refdenotaalpie"/>
          <w:i/>
          <w:color w:val="000000" w:themeColor="text1"/>
        </w:rPr>
        <w:footnoteReference w:id="6"/>
      </w:r>
      <w:r w:rsidRPr="004A06B9">
        <w:rPr>
          <w:color w:val="000000" w:themeColor="text1"/>
        </w:rPr>
        <w:t>.</w:t>
      </w:r>
    </w:p>
    <w:p w:rsidRPr="004A06B9" w:rsidR="00077886" w:rsidRDefault="00077886" w14:paraId="22772DEF" w14:textId="77777777">
      <w:pPr>
        <w:pStyle w:val="Textoindependiente"/>
        <w:spacing w:before="5"/>
        <w:rPr>
          <w:color w:val="000000" w:themeColor="text1"/>
        </w:rPr>
      </w:pPr>
    </w:p>
    <w:p w:rsidRPr="004A06B9" w:rsidR="00077886" w:rsidRDefault="008569EE" w14:paraId="5129DEDF" w14:textId="77777777">
      <w:pPr>
        <w:pStyle w:val="Textoindependiente"/>
        <w:ind w:left="100" w:right="108"/>
        <w:jc w:val="both"/>
        <w:rPr>
          <w:color w:val="000000" w:themeColor="text1"/>
        </w:rPr>
      </w:pPr>
      <w:r w:rsidRPr="004A06B9">
        <w:rPr>
          <w:color w:val="000000" w:themeColor="text1"/>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rsidRPr="004A06B9" w:rsidR="00077886" w:rsidRDefault="00077886" w14:paraId="4E5801EE" w14:textId="77777777">
      <w:pPr>
        <w:pStyle w:val="Textoindependiente"/>
        <w:spacing w:before="11"/>
        <w:rPr>
          <w:color w:val="000000" w:themeColor="text1"/>
          <w:sz w:val="21"/>
        </w:rPr>
      </w:pPr>
    </w:p>
    <w:p w:rsidRPr="004A06B9" w:rsidR="00077886" w:rsidRDefault="008569EE" w14:paraId="214ED709" w14:textId="3B11B0E8">
      <w:pPr>
        <w:pStyle w:val="Textoindependiente"/>
        <w:ind w:left="100" w:right="103"/>
        <w:jc w:val="both"/>
        <w:rPr>
          <w:color w:val="000000" w:themeColor="text1"/>
        </w:rPr>
      </w:pPr>
      <w:r w:rsidRPr="004A06B9">
        <w:rPr>
          <w:color w:val="000000" w:themeColor="text1"/>
        </w:rPr>
        <w:t>Si bien los contratos y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regida por la Ley 80 de 1993 celebrar esta clase de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w:t>
      </w:r>
      <w:r w:rsidRPr="004A06B9">
        <w:rPr>
          <w:color w:val="000000" w:themeColor="text1"/>
          <w:spacing w:val="-11"/>
        </w:rPr>
        <w:t xml:space="preserve"> </w:t>
      </w:r>
      <w:r w:rsidRPr="004A06B9">
        <w:rPr>
          <w:color w:val="000000" w:themeColor="text1"/>
        </w:rPr>
        <w:t>privado</w:t>
      </w:r>
      <w:r w:rsidRPr="004A06B9" w:rsidR="00790E13">
        <w:rPr>
          <w:rStyle w:val="Refdenotaalpie"/>
          <w:color w:val="000000" w:themeColor="text1"/>
        </w:rPr>
        <w:footnoteReference w:id="7"/>
      </w:r>
      <w:r w:rsidRPr="004A06B9">
        <w:rPr>
          <w:color w:val="000000" w:themeColor="text1"/>
        </w:rPr>
        <w:t>.</w:t>
      </w:r>
    </w:p>
    <w:p w:rsidRPr="004A06B9" w:rsidR="00077886" w:rsidRDefault="00077886" w14:paraId="689C4A5C" w14:textId="77777777">
      <w:pPr>
        <w:pStyle w:val="Textoindependiente"/>
        <w:spacing w:before="8"/>
        <w:rPr>
          <w:color w:val="000000" w:themeColor="text1"/>
          <w:sz w:val="21"/>
        </w:rPr>
      </w:pPr>
    </w:p>
    <w:p w:rsidRPr="004A06B9" w:rsidR="00077886" w:rsidP="00790E13" w:rsidRDefault="008569EE" w14:paraId="2B413A03" w14:textId="55E15CE6">
      <w:pPr>
        <w:pStyle w:val="Textoindependiente"/>
        <w:ind w:left="100" w:right="109"/>
        <w:jc w:val="both"/>
        <w:rPr>
          <w:color w:val="000000" w:themeColor="text1"/>
        </w:rPr>
      </w:pPr>
      <w:r w:rsidRPr="004A06B9">
        <w:rPr>
          <w:color w:val="000000" w:themeColor="text1"/>
        </w:rPr>
        <w:t xml:space="preserve">La calidad de un contrato o convenio interadministrativo no está determinada por la modalidad de selección utilizada para celebrar el respectivo acuerdo de voluntades entre entidades de derecho público. 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w:t>
      </w:r>
      <w:proofErr w:type="gramStart"/>
      <w:r w:rsidRPr="004A06B9">
        <w:rPr>
          <w:color w:val="000000" w:themeColor="text1"/>
        </w:rPr>
        <w:t>dicha</w:t>
      </w:r>
      <w:r w:rsidRPr="004A06B9" w:rsidR="00790E13">
        <w:rPr>
          <w:color w:val="000000" w:themeColor="text1"/>
        </w:rPr>
        <w:t xml:space="preserve">  </w:t>
      </w:r>
      <w:r w:rsidRPr="004A06B9">
        <w:rPr>
          <w:color w:val="000000" w:themeColor="text1"/>
        </w:rPr>
        <w:t>Ley</w:t>
      </w:r>
      <w:proofErr w:type="gramEnd"/>
      <w:r w:rsidRPr="004A06B9">
        <w:rPr>
          <w:color w:val="000000" w:themeColor="text1"/>
        </w:rPr>
        <w:t>, deba adelantarse un proceso competitivo</w:t>
      </w:r>
      <w:r w:rsidRPr="004A06B9" w:rsidR="00790E13">
        <w:rPr>
          <w:rStyle w:val="Refdenotaalpie"/>
          <w:color w:val="000000" w:themeColor="text1"/>
        </w:rPr>
        <w:footnoteReference w:id="8"/>
      </w:r>
      <w:r w:rsidRPr="004A06B9">
        <w:rPr>
          <w:color w:val="000000" w:themeColor="text1"/>
        </w:rPr>
        <w:t>. Nótese que, en este caso, lo que cambia es la modalidad de selección y no la naturaleza de contrato</w:t>
      </w:r>
      <w:r w:rsidRPr="004A06B9">
        <w:rPr>
          <w:color w:val="000000" w:themeColor="text1"/>
          <w:spacing w:val="-20"/>
        </w:rPr>
        <w:t xml:space="preserve"> </w:t>
      </w:r>
      <w:r w:rsidRPr="004A06B9">
        <w:rPr>
          <w:color w:val="000000" w:themeColor="text1"/>
        </w:rPr>
        <w:t>interadministrativo.</w:t>
      </w:r>
    </w:p>
    <w:p w:rsidRPr="004A06B9" w:rsidR="00077886" w:rsidRDefault="00077886" w14:paraId="005B478E" w14:textId="77777777">
      <w:pPr>
        <w:pStyle w:val="Textoindependiente"/>
        <w:spacing w:before="10"/>
        <w:rPr>
          <w:color w:val="000000" w:themeColor="text1"/>
          <w:sz w:val="21"/>
        </w:rPr>
      </w:pPr>
    </w:p>
    <w:p w:rsidRPr="004A06B9" w:rsidR="00077886" w:rsidRDefault="008569EE" w14:paraId="48D4CA7B" w14:textId="77777777">
      <w:pPr>
        <w:pStyle w:val="Textoindependiente"/>
        <w:ind w:left="100" w:right="106"/>
        <w:jc w:val="both"/>
        <w:rPr>
          <w:color w:val="000000" w:themeColor="text1"/>
        </w:rPr>
      </w:pPr>
      <w:r w:rsidRPr="004A06B9">
        <w:rPr>
          <w:color w:val="000000" w:themeColor="text1"/>
        </w:rPr>
        <w:t xml:space="preserve">Entonces, el parágrafo del artículo 38 de la Ley 996 de 2005 prohíbe a los alcaldes, </w:t>
      </w:r>
      <w:r w:rsidRPr="004A06B9">
        <w:rPr>
          <w:color w:val="000000" w:themeColor="text1"/>
        </w:rPr>
        <w:lastRenderedPageBreak/>
        <w:t xml:space="preserve">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A06B9">
        <w:rPr>
          <w:i/>
          <w:color w:val="000000" w:themeColor="text1"/>
        </w:rPr>
        <w:t>ibidem</w:t>
      </w:r>
      <w:r w:rsidRPr="004A06B9">
        <w:rPr>
          <w:color w:val="000000" w:themeColor="text1"/>
        </w:rPr>
        <w:t>, no podrá celebrar dichos contratos o convenios durante la aplicación de la ley de garantías, toda vez que dicha disposición hace referencia a esa tipología contractual sin que el legislador hubiere contemplado excepción frente a la modalidad de selección o naturaleza de su objeto.</w:t>
      </w:r>
    </w:p>
    <w:p w:rsidRPr="004A06B9" w:rsidR="00077886" w:rsidRDefault="00077886" w14:paraId="2668BDDC" w14:textId="77777777">
      <w:pPr>
        <w:pStyle w:val="Textoindependiente"/>
        <w:spacing w:before="1"/>
        <w:rPr>
          <w:color w:val="000000" w:themeColor="text1"/>
        </w:rPr>
      </w:pPr>
    </w:p>
    <w:p w:rsidRPr="004A06B9" w:rsidR="00077886" w:rsidRDefault="008569EE" w14:paraId="1B485560" w14:textId="77777777">
      <w:pPr>
        <w:pStyle w:val="Textoindependiente"/>
        <w:ind w:left="100" w:right="107"/>
        <w:jc w:val="both"/>
        <w:rPr>
          <w:color w:val="000000" w:themeColor="text1"/>
        </w:rPr>
      </w:pPr>
      <w:r w:rsidRPr="004A06B9">
        <w:rPr>
          <w:color w:val="000000" w:themeColor="text1"/>
        </w:rPr>
        <w:t>Frente a este punto, la Corte Constitucional, en la Sentencia C–671 del 28 de octubre 2015, con ponencia del magistrado Alberto Rojas Ríos, en control automático de constitucionalidad del Decreto legislativo 1773 de 2015, “Por el cual se autoriza la celebración de convenios administrativos para la ejecución de recursos públicos por parte de algunas entidades territoriales”, se pronunció respecto de la naturaleza de los convenios interadministrativos en relación con la Ley de Garantías, indicando</w:t>
      </w:r>
      <w:r w:rsidRPr="004A06B9">
        <w:rPr>
          <w:color w:val="000000" w:themeColor="text1"/>
          <w:spacing w:val="-15"/>
        </w:rPr>
        <w:t xml:space="preserve"> </w:t>
      </w:r>
      <w:r w:rsidRPr="004A06B9">
        <w:rPr>
          <w:color w:val="000000" w:themeColor="text1"/>
        </w:rPr>
        <w:t>que:</w:t>
      </w:r>
    </w:p>
    <w:p w:rsidRPr="004A06B9" w:rsidR="00077886" w:rsidRDefault="00077886" w14:paraId="40FFFD0C" w14:textId="77777777">
      <w:pPr>
        <w:pStyle w:val="Textoindependiente"/>
        <w:spacing w:before="11"/>
        <w:rPr>
          <w:color w:val="000000" w:themeColor="text1"/>
          <w:sz w:val="21"/>
        </w:rPr>
      </w:pPr>
    </w:p>
    <w:p w:rsidRPr="004A06B9" w:rsidR="00077886" w:rsidRDefault="008569EE" w14:paraId="379B7F8A" w14:textId="77777777">
      <w:pPr>
        <w:pStyle w:val="Textoindependiente"/>
        <w:ind w:left="668" w:right="536"/>
        <w:jc w:val="both"/>
        <w:rPr>
          <w:color w:val="000000" w:themeColor="text1"/>
        </w:rPr>
      </w:pPr>
      <w:r w:rsidRPr="004A06B9">
        <w:rPr>
          <w:color w:val="000000" w:themeColor="text1"/>
        </w:rPr>
        <w:t>Lo que hace interadministrativo a un contrato o convenio no es el procedimiento de selección aplicable, sino la calidad de los sujetos contratantes, esto es que las dos partes de la relación jurídica contractual formen parte de la administración</w:t>
      </w:r>
      <w:r w:rsidRPr="004A06B9">
        <w:rPr>
          <w:color w:val="000000" w:themeColor="text1"/>
          <w:spacing w:val="-2"/>
        </w:rPr>
        <w:t xml:space="preserve"> </w:t>
      </w:r>
      <w:r w:rsidRPr="004A06B9">
        <w:rPr>
          <w:color w:val="000000" w:themeColor="text1"/>
        </w:rPr>
        <w:t>pública.</w:t>
      </w:r>
    </w:p>
    <w:p w:rsidRPr="004A06B9" w:rsidR="00077886" w:rsidRDefault="00077886" w14:paraId="6378A43A" w14:textId="77777777">
      <w:pPr>
        <w:pStyle w:val="Textoindependiente"/>
        <w:rPr>
          <w:color w:val="000000" w:themeColor="text1"/>
        </w:rPr>
      </w:pPr>
    </w:p>
    <w:p w:rsidRPr="004A06B9" w:rsidR="00077886" w:rsidRDefault="008569EE" w14:paraId="26412FC5" w14:textId="76C7E234">
      <w:pPr>
        <w:pStyle w:val="Textoindependiente"/>
        <w:ind w:left="100" w:right="108"/>
        <w:jc w:val="both"/>
        <w:rPr>
          <w:color w:val="000000" w:themeColor="text1"/>
        </w:rPr>
      </w:pPr>
      <w:r w:rsidRPr="004A06B9">
        <w:rPr>
          <w:color w:val="000000" w:themeColor="text1"/>
        </w:rPr>
        <w:t>Así las cosas, y atendiendo a la literalidad del enunciado parágrafo, no hay lugar a una interpretación diferente a la allí prevista</w:t>
      </w:r>
      <w:r w:rsidRPr="004A06B9" w:rsidR="00790E13">
        <w:rPr>
          <w:rStyle w:val="Refdenotaalpie"/>
          <w:color w:val="000000" w:themeColor="text1"/>
        </w:rPr>
        <w:footnoteReference w:id="9"/>
      </w:r>
      <w:r w:rsidRPr="004A06B9">
        <w:rPr>
          <w:color w:val="000000" w:themeColor="text1"/>
        </w:rPr>
        <w:t>, pues de acuerdo con lo anotado esta clase de acuerdos de voluntades acogen un criterio orgánico, por lo que uno de sus elementos esenciales es que en los extremos de la relación jurídico negocial concurran personas de derecho público, independientemente de su modalidad de selección o el proceso utilizado para llegar a su celebración.</w:t>
      </w:r>
    </w:p>
    <w:p w:rsidRPr="004A06B9" w:rsidR="00077886" w:rsidRDefault="00077886" w14:paraId="2DD26538" w14:textId="77777777">
      <w:pPr>
        <w:pStyle w:val="Textoindependiente"/>
        <w:spacing w:before="8"/>
        <w:rPr>
          <w:color w:val="000000" w:themeColor="text1"/>
          <w:sz w:val="21"/>
        </w:rPr>
      </w:pPr>
    </w:p>
    <w:p w:rsidRPr="004A06B9" w:rsidR="00077886" w:rsidRDefault="008569EE" w14:paraId="7B81E836" w14:textId="77777777">
      <w:pPr>
        <w:pStyle w:val="Textoindependiente"/>
        <w:spacing w:before="1"/>
        <w:ind w:left="100" w:right="105"/>
        <w:jc w:val="both"/>
        <w:rPr>
          <w:color w:val="000000" w:themeColor="text1"/>
        </w:rPr>
      </w:pPr>
      <w:r w:rsidRPr="004A06B9">
        <w:rPr>
          <w:color w:val="000000" w:themeColor="text1"/>
        </w:rPr>
        <w:t>Por último, y reiterando lo anterior, si una empresa de servicios públicos mixta, es decir, una entidad descentralizada del orden territorial actúa en una relación contractual cuyo otro extremo</w:t>
      </w:r>
      <w:r w:rsidRPr="004A06B9">
        <w:rPr>
          <w:color w:val="000000" w:themeColor="text1"/>
          <w:spacing w:val="8"/>
        </w:rPr>
        <w:t xml:space="preserve"> </w:t>
      </w:r>
      <w:r w:rsidRPr="004A06B9">
        <w:rPr>
          <w:color w:val="000000" w:themeColor="text1"/>
        </w:rPr>
        <w:t>es</w:t>
      </w:r>
      <w:r w:rsidRPr="004A06B9">
        <w:rPr>
          <w:color w:val="000000" w:themeColor="text1"/>
          <w:spacing w:val="8"/>
        </w:rPr>
        <w:t xml:space="preserve"> </w:t>
      </w:r>
      <w:r w:rsidRPr="004A06B9">
        <w:rPr>
          <w:color w:val="000000" w:themeColor="text1"/>
        </w:rPr>
        <w:t>una</w:t>
      </w:r>
      <w:r w:rsidRPr="004A06B9">
        <w:rPr>
          <w:color w:val="000000" w:themeColor="text1"/>
          <w:spacing w:val="8"/>
        </w:rPr>
        <w:t xml:space="preserve"> </w:t>
      </w:r>
      <w:r w:rsidRPr="004A06B9">
        <w:rPr>
          <w:color w:val="000000" w:themeColor="text1"/>
        </w:rPr>
        <w:t>entidad</w:t>
      </w:r>
      <w:r w:rsidRPr="004A06B9">
        <w:rPr>
          <w:color w:val="000000" w:themeColor="text1"/>
          <w:spacing w:val="8"/>
        </w:rPr>
        <w:t xml:space="preserve"> </w:t>
      </w:r>
      <w:r w:rsidRPr="004A06B9">
        <w:rPr>
          <w:color w:val="000000" w:themeColor="text1"/>
        </w:rPr>
        <w:t>del</w:t>
      </w:r>
      <w:r w:rsidRPr="004A06B9">
        <w:rPr>
          <w:color w:val="000000" w:themeColor="text1"/>
          <w:spacing w:val="9"/>
        </w:rPr>
        <w:t xml:space="preserve"> </w:t>
      </w:r>
      <w:r w:rsidRPr="004A06B9">
        <w:rPr>
          <w:color w:val="000000" w:themeColor="text1"/>
        </w:rPr>
        <w:t>orden</w:t>
      </w:r>
      <w:r w:rsidRPr="004A06B9">
        <w:rPr>
          <w:color w:val="000000" w:themeColor="text1"/>
          <w:spacing w:val="7"/>
        </w:rPr>
        <w:t xml:space="preserve"> </w:t>
      </w:r>
      <w:r w:rsidRPr="004A06B9">
        <w:rPr>
          <w:color w:val="000000" w:themeColor="text1"/>
        </w:rPr>
        <w:t>nacional,</w:t>
      </w:r>
      <w:r w:rsidRPr="004A06B9">
        <w:rPr>
          <w:color w:val="000000" w:themeColor="text1"/>
          <w:spacing w:val="8"/>
        </w:rPr>
        <w:t xml:space="preserve"> </w:t>
      </w:r>
      <w:r w:rsidRPr="004A06B9">
        <w:rPr>
          <w:color w:val="000000" w:themeColor="text1"/>
        </w:rPr>
        <w:t>le</w:t>
      </w:r>
      <w:r w:rsidRPr="004A06B9">
        <w:rPr>
          <w:color w:val="000000" w:themeColor="text1"/>
          <w:spacing w:val="8"/>
        </w:rPr>
        <w:t xml:space="preserve"> </w:t>
      </w:r>
      <w:r w:rsidRPr="004A06B9">
        <w:rPr>
          <w:color w:val="000000" w:themeColor="text1"/>
        </w:rPr>
        <w:t>aplica</w:t>
      </w:r>
      <w:r w:rsidRPr="004A06B9">
        <w:rPr>
          <w:color w:val="000000" w:themeColor="text1"/>
          <w:spacing w:val="8"/>
        </w:rPr>
        <w:t xml:space="preserve"> </w:t>
      </w:r>
      <w:r w:rsidRPr="004A06B9">
        <w:rPr>
          <w:color w:val="000000" w:themeColor="text1"/>
        </w:rPr>
        <w:t>la</w:t>
      </w:r>
      <w:r w:rsidRPr="004A06B9">
        <w:rPr>
          <w:color w:val="000000" w:themeColor="text1"/>
          <w:spacing w:val="8"/>
        </w:rPr>
        <w:t xml:space="preserve"> </w:t>
      </w:r>
      <w:r w:rsidRPr="004A06B9">
        <w:rPr>
          <w:color w:val="000000" w:themeColor="text1"/>
        </w:rPr>
        <w:t>restricción</w:t>
      </w:r>
      <w:r w:rsidRPr="004A06B9">
        <w:rPr>
          <w:color w:val="000000" w:themeColor="text1"/>
          <w:spacing w:val="8"/>
        </w:rPr>
        <w:t xml:space="preserve"> </w:t>
      </w:r>
      <w:r w:rsidRPr="004A06B9">
        <w:rPr>
          <w:color w:val="000000" w:themeColor="text1"/>
        </w:rPr>
        <w:t>prevista</w:t>
      </w:r>
      <w:r w:rsidRPr="004A06B9">
        <w:rPr>
          <w:color w:val="000000" w:themeColor="text1"/>
          <w:spacing w:val="8"/>
        </w:rPr>
        <w:t xml:space="preserve"> </w:t>
      </w:r>
      <w:r w:rsidRPr="004A06B9">
        <w:rPr>
          <w:color w:val="000000" w:themeColor="text1"/>
        </w:rPr>
        <w:t>en</w:t>
      </w:r>
      <w:r w:rsidRPr="004A06B9">
        <w:rPr>
          <w:color w:val="000000" w:themeColor="text1"/>
          <w:spacing w:val="8"/>
        </w:rPr>
        <w:t xml:space="preserve"> </w:t>
      </w:r>
      <w:r w:rsidRPr="004A06B9">
        <w:rPr>
          <w:color w:val="000000" w:themeColor="text1"/>
        </w:rPr>
        <w:t>el</w:t>
      </w:r>
      <w:r w:rsidRPr="004A06B9">
        <w:rPr>
          <w:color w:val="000000" w:themeColor="text1"/>
          <w:spacing w:val="10"/>
        </w:rPr>
        <w:t xml:space="preserve"> </w:t>
      </w:r>
      <w:r w:rsidRPr="004A06B9">
        <w:rPr>
          <w:color w:val="000000" w:themeColor="text1"/>
        </w:rPr>
        <w:t>parágrafo</w:t>
      </w:r>
    </w:p>
    <w:p w:rsidRPr="004A06B9" w:rsidR="00077886" w:rsidP="00790E13" w:rsidRDefault="008569EE" w14:paraId="363E1DF1" w14:textId="36402143">
      <w:pPr>
        <w:pStyle w:val="Textoindependiente"/>
        <w:spacing w:line="242" w:lineRule="auto"/>
        <w:ind w:left="100" w:right="108"/>
        <w:jc w:val="both"/>
        <w:rPr>
          <w:color w:val="000000" w:themeColor="text1"/>
        </w:rPr>
      </w:pPr>
      <w:r w:rsidRPr="004A06B9">
        <w:rPr>
          <w:color w:val="000000" w:themeColor="text1"/>
        </w:rPr>
        <w:t>38 de la Ley 996 de 2005, toda vez que esta disposición prohíbe la celebración de convenios</w:t>
      </w:r>
      <w:r w:rsidRPr="004A06B9">
        <w:rPr>
          <w:color w:val="000000" w:themeColor="text1"/>
          <w:spacing w:val="24"/>
        </w:rPr>
        <w:t xml:space="preserve"> </w:t>
      </w:r>
      <w:r w:rsidRPr="004A06B9">
        <w:rPr>
          <w:color w:val="000000" w:themeColor="text1"/>
        </w:rPr>
        <w:t>y</w:t>
      </w:r>
      <w:r w:rsidRPr="004A06B9">
        <w:rPr>
          <w:color w:val="000000" w:themeColor="text1"/>
          <w:spacing w:val="21"/>
        </w:rPr>
        <w:t xml:space="preserve"> </w:t>
      </w:r>
      <w:r w:rsidRPr="004A06B9">
        <w:rPr>
          <w:color w:val="000000" w:themeColor="text1"/>
        </w:rPr>
        <w:t>contratos</w:t>
      </w:r>
      <w:r w:rsidRPr="004A06B9">
        <w:rPr>
          <w:color w:val="000000" w:themeColor="text1"/>
          <w:spacing w:val="24"/>
        </w:rPr>
        <w:t xml:space="preserve"> </w:t>
      </w:r>
      <w:r w:rsidRPr="004A06B9">
        <w:rPr>
          <w:color w:val="000000" w:themeColor="text1"/>
        </w:rPr>
        <w:t>interadministrativos</w:t>
      </w:r>
      <w:r w:rsidRPr="004A06B9">
        <w:rPr>
          <w:color w:val="000000" w:themeColor="text1"/>
          <w:spacing w:val="25"/>
        </w:rPr>
        <w:t xml:space="preserve"> </w:t>
      </w:r>
      <w:r w:rsidRPr="004A06B9">
        <w:rPr>
          <w:color w:val="000000" w:themeColor="text1"/>
        </w:rPr>
        <w:t>a</w:t>
      </w:r>
      <w:r w:rsidRPr="004A06B9">
        <w:rPr>
          <w:color w:val="000000" w:themeColor="text1"/>
          <w:spacing w:val="24"/>
        </w:rPr>
        <w:t xml:space="preserve"> </w:t>
      </w:r>
      <w:r w:rsidRPr="004A06B9">
        <w:rPr>
          <w:color w:val="000000" w:themeColor="text1"/>
        </w:rPr>
        <w:t>las</w:t>
      </w:r>
      <w:r w:rsidRPr="004A06B9">
        <w:rPr>
          <w:color w:val="000000" w:themeColor="text1"/>
          <w:spacing w:val="24"/>
        </w:rPr>
        <w:t xml:space="preserve"> </w:t>
      </w:r>
      <w:r w:rsidRPr="004A06B9">
        <w:rPr>
          <w:color w:val="000000" w:themeColor="text1"/>
        </w:rPr>
        <w:t>entidades</w:t>
      </w:r>
      <w:r w:rsidRPr="004A06B9">
        <w:rPr>
          <w:color w:val="000000" w:themeColor="text1"/>
          <w:spacing w:val="24"/>
        </w:rPr>
        <w:t xml:space="preserve"> </w:t>
      </w:r>
      <w:r w:rsidRPr="004A06B9">
        <w:rPr>
          <w:color w:val="000000" w:themeColor="text1"/>
        </w:rPr>
        <w:t>territoriales</w:t>
      </w:r>
      <w:r w:rsidRPr="004A06B9">
        <w:rPr>
          <w:color w:val="000000" w:themeColor="text1"/>
          <w:spacing w:val="24"/>
        </w:rPr>
        <w:t xml:space="preserve"> </w:t>
      </w:r>
      <w:r w:rsidRPr="004A06B9">
        <w:rPr>
          <w:color w:val="000000" w:themeColor="text1"/>
        </w:rPr>
        <w:t>y</w:t>
      </w:r>
      <w:r w:rsidRPr="004A06B9">
        <w:rPr>
          <w:color w:val="000000" w:themeColor="text1"/>
          <w:spacing w:val="21"/>
        </w:rPr>
        <w:t xml:space="preserve"> </w:t>
      </w:r>
      <w:r w:rsidRPr="004A06B9">
        <w:rPr>
          <w:color w:val="000000" w:themeColor="text1"/>
        </w:rPr>
        <w:t>descentralizadas</w:t>
      </w:r>
      <w:r w:rsidRPr="004A06B9" w:rsidR="00790E13">
        <w:rPr>
          <w:color w:val="000000" w:themeColor="text1"/>
        </w:rPr>
        <w:t xml:space="preserve"> </w:t>
      </w:r>
      <w:r w:rsidRPr="004A06B9">
        <w:rPr>
          <w:color w:val="000000" w:themeColor="text1"/>
        </w:rPr>
        <w:t>del orden territorial, y para que se configure dicha tipología contractual es necesario que la otra parte sea una entidad estatal, y esta última puede ser del orden nacional o territorial.</w:t>
      </w:r>
    </w:p>
    <w:p w:rsidRPr="004A06B9" w:rsidR="00077886" w:rsidRDefault="00077886" w14:paraId="080F6B57" w14:textId="77777777">
      <w:pPr>
        <w:pStyle w:val="Textoindependiente"/>
        <w:spacing w:before="10"/>
        <w:rPr>
          <w:color w:val="000000" w:themeColor="text1"/>
          <w:sz w:val="21"/>
        </w:rPr>
      </w:pPr>
    </w:p>
    <w:p w:rsidRPr="004A06B9" w:rsidR="00077886" w:rsidRDefault="008569EE" w14:paraId="52959257" w14:textId="77777777">
      <w:pPr>
        <w:pStyle w:val="Textoindependiente"/>
        <w:ind w:left="100" w:right="110"/>
        <w:jc w:val="both"/>
        <w:rPr>
          <w:color w:val="000000" w:themeColor="text1"/>
        </w:rPr>
      </w:pPr>
      <w:r w:rsidRPr="004A06B9">
        <w:rPr>
          <w:color w:val="000000" w:themeColor="text1"/>
        </w:rPr>
        <w:t xml:space="preserve">Finalmente, si desea obtener más información relacionada con la Ley de Garantías, lo invitamos a revisar los </w:t>
      </w:r>
      <w:r w:rsidRPr="004A06B9">
        <w:rPr>
          <w:i/>
          <w:color w:val="000000" w:themeColor="text1"/>
        </w:rPr>
        <w:t>“</w:t>
      </w:r>
      <w:r w:rsidRPr="004A06B9">
        <w:rPr>
          <w:color w:val="000000" w:themeColor="text1"/>
        </w:rPr>
        <w:t>LINEAMIENTOS IMPARTIDOS POR LA AGENCIA NACIONAL DE CONTRATACIÓN PÚBLICA -COLOMBIA COMPRA EFICIENTE- SOBRE LA APLICACIÓN DE LA LEY DE GARANTÍAS ELECTORALES PARA EL AÑO 2019”, a los cuales podrá</w:t>
      </w:r>
    </w:p>
    <w:p w:rsidRPr="004A06B9" w:rsidR="00077886" w:rsidRDefault="002A4588" w14:paraId="4F1BF41D" w14:textId="4AC3D495">
      <w:pPr>
        <w:pStyle w:val="Textoindependiente"/>
        <w:tabs>
          <w:tab w:val="left" w:pos="1234"/>
          <w:tab w:val="left" w:pos="1832"/>
          <w:tab w:val="left" w:pos="2356"/>
          <w:tab w:val="left" w:pos="3590"/>
          <w:tab w:val="left" w:pos="4656"/>
        </w:tabs>
        <w:spacing w:before="1"/>
        <w:ind w:left="100" w:right="105"/>
        <w:rPr>
          <w:color w:val="000000" w:themeColor="text1"/>
        </w:rPr>
      </w:pPr>
      <w:r w:rsidRPr="004A06B9">
        <w:rPr>
          <w:noProof/>
          <w:color w:val="000000" w:themeColor="text1"/>
        </w:rPr>
        <mc:AlternateContent>
          <mc:Choice Requires="wps">
            <w:drawing>
              <wp:anchor distT="0" distB="0" distL="114300" distR="114300" simplePos="0" relativeHeight="251665408" behindDoc="0" locked="0" layoutInCell="1" allowOverlap="1" wp14:anchorId="67F0306B" wp14:editId="4B34FC67">
                <wp:simplePos x="0" y="0"/>
                <wp:positionH relativeFrom="page">
                  <wp:posOffset>1080135</wp:posOffset>
                </wp:positionH>
                <wp:positionV relativeFrom="paragraph">
                  <wp:posOffset>473075</wp:posOffset>
                </wp:positionV>
                <wp:extent cx="4445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9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254B979">
              <v:line id="Line 3"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9487c" from="85.05pt,37.25pt" to="120.05pt,37.25pt" w14:anchorId="6F2AA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">
                <w10:wrap anchorx="page"/>
              </v:line>
            </w:pict>
          </mc:Fallback>
        </mc:AlternateContent>
      </w:r>
      <w:r w:rsidRPr="004A06B9" w:rsidR="008569EE">
        <w:rPr>
          <w:color w:val="000000" w:themeColor="text1"/>
        </w:rPr>
        <w:t>acceder</w:t>
      </w:r>
      <w:r w:rsidRPr="004A06B9" w:rsidR="008569EE">
        <w:rPr>
          <w:color w:val="000000" w:themeColor="text1"/>
        </w:rPr>
        <w:tab/>
      </w:r>
      <w:r w:rsidRPr="004A06B9" w:rsidR="008569EE">
        <w:rPr>
          <w:color w:val="000000" w:themeColor="text1"/>
        </w:rPr>
        <w:t>en</w:t>
      </w:r>
      <w:r w:rsidRPr="004A06B9" w:rsidR="008569EE">
        <w:rPr>
          <w:color w:val="000000" w:themeColor="text1"/>
        </w:rPr>
        <w:tab/>
      </w:r>
      <w:r w:rsidRPr="004A06B9" w:rsidR="008569EE">
        <w:rPr>
          <w:color w:val="000000" w:themeColor="text1"/>
        </w:rPr>
        <w:t>el</w:t>
      </w:r>
      <w:r w:rsidRPr="004A06B9" w:rsidR="008569EE">
        <w:rPr>
          <w:color w:val="000000" w:themeColor="text1"/>
        </w:rPr>
        <w:tab/>
      </w:r>
      <w:r w:rsidRPr="004A06B9" w:rsidR="008569EE">
        <w:rPr>
          <w:color w:val="000000" w:themeColor="text1"/>
        </w:rPr>
        <w:t>siguiente</w:t>
      </w:r>
      <w:r w:rsidRPr="004A06B9" w:rsidR="008569EE">
        <w:rPr>
          <w:color w:val="000000" w:themeColor="text1"/>
        </w:rPr>
        <w:tab/>
      </w:r>
      <w:r w:rsidRPr="004A06B9" w:rsidR="008569EE">
        <w:rPr>
          <w:color w:val="000000" w:themeColor="text1"/>
        </w:rPr>
        <w:t>enlace:</w:t>
      </w:r>
      <w:r w:rsidRPr="004A06B9" w:rsidR="008569EE">
        <w:rPr>
          <w:color w:val="000000" w:themeColor="text1"/>
        </w:rPr>
        <w:tab/>
      </w:r>
      <w:hyperlink r:id="rId11">
        <w:r w:rsidRPr="004A06B9" w:rsidR="008569EE">
          <w:rPr>
            <w:color w:val="000000" w:themeColor="text1"/>
            <w:spacing w:val="-1"/>
            <w:u w:val="single" w:color="09487C"/>
          </w:rPr>
          <w:t>https://www.colombiacompra.gov.co/sala-de-</w:t>
        </w:r>
      </w:hyperlink>
      <w:r w:rsidRPr="004A06B9" w:rsidR="008569EE">
        <w:rPr>
          <w:color w:val="000000" w:themeColor="text1"/>
          <w:spacing w:val="-1"/>
        </w:rPr>
        <w:t xml:space="preserve"> </w:t>
      </w:r>
      <w:hyperlink r:id="rId12">
        <w:r w:rsidRPr="004A06B9" w:rsidR="008569EE">
          <w:rPr>
            <w:color w:val="000000" w:themeColor="text1"/>
            <w:u w:val="single" w:color="09487C"/>
          </w:rPr>
          <w:t>prensa/comunicados/lineamientos-impartidos-por-la-agencia-nacional-de-contratacion-</w:t>
        </w:r>
      </w:hyperlink>
      <w:r w:rsidRPr="004A06B9" w:rsidR="008569EE">
        <w:rPr>
          <w:color w:val="000000" w:themeColor="text1"/>
        </w:rPr>
        <w:t xml:space="preserve"> </w:t>
      </w:r>
      <w:hyperlink r:id="rId13">
        <w:r w:rsidRPr="004A06B9" w:rsidR="008569EE">
          <w:rPr>
            <w:color w:val="000000" w:themeColor="text1"/>
          </w:rPr>
          <w:t>publica</w:t>
        </w:r>
      </w:hyperlink>
    </w:p>
    <w:p w:rsidRPr="004A06B9" w:rsidR="00077886" w:rsidRDefault="00077886" w14:paraId="7E70D493" w14:textId="77777777">
      <w:pPr>
        <w:pStyle w:val="Textoindependiente"/>
        <w:spacing w:before="11"/>
        <w:rPr>
          <w:color w:val="000000" w:themeColor="text1"/>
          <w:sz w:val="13"/>
        </w:rPr>
      </w:pPr>
    </w:p>
    <w:p w:rsidRPr="004A06B9" w:rsidR="00077886" w:rsidRDefault="008569EE" w14:paraId="4997F5A7" w14:textId="77777777">
      <w:pPr>
        <w:pStyle w:val="Ttulo1"/>
        <w:numPr>
          <w:ilvl w:val="0"/>
          <w:numId w:val="1"/>
        </w:numPr>
        <w:tabs>
          <w:tab w:val="left" w:pos="386"/>
        </w:tabs>
        <w:spacing w:before="93"/>
        <w:ind w:hanging="286"/>
        <w:rPr>
          <w:color w:val="000000" w:themeColor="text1"/>
        </w:rPr>
      </w:pPr>
      <w:r w:rsidRPr="004A06B9">
        <w:rPr>
          <w:color w:val="000000" w:themeColor="text1"/>
        </w:rPr>
        <w:t>Respuesta</w:t>
      </w:r>
    </w:p>
    <w:p w:rsidRPr="004A06B9" w:rsidR="00077886" w:rsidRDefault="00077886" w14:paraId="65B7D105" w14:textId="77777777">
      <w:pPr>
        <w:pStyle w:val="Textoindependiente"/>
        <w:spacing w:before="10"/>
        <w:rPr>
          <w:b/>
          <w:color w:val="000000" w:themeColor="text1"/>
          <w:sz w:val="21"/>
        </w:rPr>
      </w:pPr>
    </w:p>
    <w:p w:rsidRPr="004A06B9" w:rsidR="00077886" w:rsidRDefault="008569EE" w14:paraId="57DAA659" w14:textId="77777777">
      <w:pPr>
        <w:pStyle w:val="Textoindependiente"/>
        <w:spacing w:before="1"/>
        <w:ind w:left="100" w:right="108"/>
        <w:jc w:val="both"/>
        <w:rPr>
          <w:color w:val="000000" w:themeColor="text1"/>
        </w:rPr>
      </w:pPr>
      <w:r w:rsidRPr="004A06B9">
        <w:rPr>
          <w:color w:val="000000" w:themeColor="text1"/>
        </w:rPr>
        <w:t xml:space="preserve">La prohibición de ley de garantías es aplicable a </w:t>
      </w:r>
      <w:proofErr w:type="spellStart"/>
      <w:r w:rsidRPr="004A06B9">
        <w:rPr>
          <w:color w:val="000000" w:themeColor="text1"/>
        </w:rPr>
        <w:t>SkyNet</w:t>
      </w:r>
      <w:proofErr w:type="spellEnd"/>
      <w:r w:rsidRPr="004A06B9">
        <w:rPr>
          <w:color w:val="000000" w:themeColor="text1"/>
        </w:rPr>
        <w:t xml:space="preserve"> de Colombia SAS, toda vez que es una empresa de servicios públicos mixta del orden territorial, filial de la Empresa de Telecomunicaciones de Bogotá – ETB, por lo tanto, durante la vigencia de la Ley de garantías no podrá celebrar convenios o contratos</w:t>
      </w:r>
      <w:r w:rsidRPr="004A06B9">
        <w:rPr>
          <w:color w:val="000000" w:themeColor="text1"/>
          <w:spacing w:val="-11"/>
        </w:rPr>
        <w:t xml:space="preserve"> </w:t>
      </w:r>
      <w:r w:rsidRPr="004A06B9">
        <w:rPr>
          <w:color w:val="000000" w:themeColor="text1"/>
        </w:rPr>
        <w:t>interadministrativos.</w:t>
      </w:r>
    </w:p>
    <w:p w:rsidRPr="004A06B9" w:rsidR="00077886" w:rsidRDefault="00077886" w14:paraId="7A2C95FF" w14:textId="77777777">
      <w:pPr>
        <w:pStyle w:val="Textoindependiente"/>
        <w:spacing w:before="11"/>
        <w:rPr>
          <w:color w:val="000000" w:themeColor="text1"/>
          <w:sz w:val="21"/>
        </w:rPr>
      </w:pPr>
    </w:p>
    <w:p w:rsidRPr="004A06B9" w:rsidR="00077886" w:rsidRDefault="008569EE" w14:paraId="1B834688" w14:textId="77777777">
      <w:pPr>
        <w:pStyle w:val="Textoindependiente"/>
        <w:ind w:left="100"/>
        <w:rPr>
          <w:color w:val="000000" w:themeColor="text1"/>
        </w:rPr>
      </w:pPr>
      <w:r w:rsidRPr="004A06B9">
        <w:rPr>
          <w:color w:val="000000" w:themeColor="text1"/>
        </w:rPr>
        <w:t>Este concepto tiene el alcance previsto en el artículo 28 del Código de Procedimiento Administrativo y de lo Contencioso Administrativo.</w:t>
      </w:r>
    </w:p>
    <w:p w:rsidRPr="004A06B9" w:rsidR="00077886" w:rsidRDefault="002A4588" w14:paraId="1635A2A8" w14:textId="7E42666D">
      <w:pPr>
        <w:pStyle w:val="Textoindependiente"/>
        <w:spacing w:before="7"/>
        <w:rPr>
          <w:color w:val="000000" w:themeColor="text1"/>
          <w:sz w:val="19"/>
        </w:rPr>
      </w:pPr>
      <w:r w:rsidRPr="004A06B9">
        <w:rPr>
          <w:noProof/>
          <w:color w:val="000000" w:themeColor="text1"/>
        </w:rPr>
        <mc:AlternateContent>
          <mc:Choice Requires="wps">
            <w:drawing>
              <wp:anchor distT="0" distB="0" distL="0" distR="0" simplePos="0" relativeHeight="251664384" behindDoc="1" locked="0" layoutInCell="1" allowOverlap="1" wp14:anchorId="047E65D2" wp14:editId="3806F71A">
                <wp:simplePos x="0" y="0"/>
                <wp:positionH relativeFrom="page">
                  <wp:posOffset>1514475</wp:posOffset>
                </wp:positionH>
                <wp:positionV relativeFrom="paragraph">
                  <wp:posOffset>173355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FAF0640">
              <v:line id="Line 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3.65pt" to="488.25pt,13.65pt" w14:anchorId="7A92F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">
                <w10:wrap type="topAndBottom" anchorx="page"/>
              </v:line>
            </w:pict>
          </mc:Fallback>
        </mc:AlternateContent>
      </w:r>
    </w:p>
    <w:p w:rsidRPr="004A06B9" w:rsidR="00077886" w:rsidRDefault="008569EE" w14:paraId="22ADB2F1" w14:textId="77777777">
      <w:pPr>
        <w:pStyle w:val="Textoindependiente"/>
        <w:spacing w:before="197" w:after="25"/>
        <w:ind w:left="100"/>
        <w:rPr>
          <w:color w:val="000000" w:themeColor="text1"/>
        </w:rPr>
      </w:pPr>
      <w:r w:rsidRPr="004A06B9">
        <w:rPr>
          <w:color w:val="000000" w:themeColor="text1"/>
        </w:rPr>
        <w:t>Atentamente,</w:t>
      </w:r>
    </w:p>
    <w:p w:rsidR="00A27FA8" w:rsidP="00C20247" w:rsidRDefault="00C20247" w14:paraId="0E100520" w14:textId="3CBEEC33">
      <w:pPr>
        <w:pStyle w:val="Textoindependiente"/>
        <w:ind w:left="137"/>
        <w:jc w:val="center"/>
        <w:rPr>
          <w:color w:val="000000" w:themeColor="text1"/>
          <w:sz w:val="20"/>
        </w:rPr>
      </w:pPr>
      <w:r w:rsidR="00C20247">
        <w:drawing>
          <wp:inline wp14:editId="627AAA57" wp14:anchorId="25CDCA13">
            <wp:extent cx="2773045" cy="988695"/>
            <wp:effectExtent l="0" t="0" r="0" b="0"/>
            <wp:docPr id="1561585491" name="Imagen 5" title=""/>
            <wp:cNvGraphicFramePr>
              <a:graphicFrameLocks/>
            </wp:cNvGraphicFramePr>
            <a:graphic>
              <a:graphicData uri="http://schemas.openxmlformats.org/drawingml/2006/picture">
                <pic:pic>
                  <pic:nvPicPr>
                    <pic:cNvPr id="0" name="Imagen 5"/>
                    <pic:cNvPicPr/>
                  </pic:nvPicPr>
                  <pic:blipFill>
                    <a:blip r:embed="R424b72dc6f574f6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4A06B9" w:rsidR="00C20247" w:rsidP="00C20247" w:rsidRDefault="00C20247" w14:paraId="03782DEF" w14:textId="77777777">
      <w:pPr>
        <w:pStyle w:val="Textoindependiente"/>
        <w:ind w:left="137"/>
        <w:jc w:val="center"/>
        <w:rPr>
          <w:color w:val="000000" w:themeColor="text1"/>
          <w:sz w:val="20"/>
        </w:rPr>
      </w:pPr>
    </w:p>
    <w:p w:rsidRPr="004A06B9" w:rsidR="00077886" w:rsidRDefault="008569EE" w14:paraId="02242FFE" w14:textId="77777777">
      <w:pPr>
        <w:pStyle w:val="Textoindependiente"/>
        <w:spacing w:before="23"/>
        <w:ind w:left="100"/>
        <w:rPr>
          <w:color w:val="000000" w:themeColor="text1"/>
        </w:rPr>
      </w:pPr>
      <w:r w:rsidRPr="004A06B9">
        <w:rPr>
          <w:color w:val="000000" w:themeColor="text1"/>
        </w:rPr>
        <w:t xml:space="preserve">Proyectó: Sergio Mateo </w:t>
      </w:r>
      <w:proofErr w:type="spellStart"/>
      <w:r w:rsidRPr="004A06B9">
        <w:rPr>
          <w:color w:val="000000" w:themeColor="text1"/>
        </w:rPr>
        <w:t>Avila</w:t>
      </w:r>
      <w:bookmarkEnd w:id="0"/>
      <w:proofErr w:type="spellEnd"/>
    </w:p>
    <w:sectPr w:rsidRPr="004A06B9" w:rsidR="00077886">
      <w:headerReference w:type="default" r:id="rId15"/>
      <w:footerReference w:type="default" r:id="rId16"/>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776" w:rsidRDefault="00585776" w14:paraId="07A0D5FD" w14:textId="77777777">
      <w:r>
        <w:separator/>
      </w:r>
    </w:p>
  </w:endnote>
  <w:endnote w:type="continuationSeparator" w:id="0">
    <w:p w:rsidR="00585776" w:rsidRDefault="00585776" w14:paraId="283A8C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77886" w:rsidRDefault="008569EE" w14:paraId="6DA73B02" w14:textId="77777777">
    <w:pPr>
      <w:pStyle w:val="Textoindependiente"/>
      <w:spacing w:line="14" w:lineRule="auto"/>
      <w:rPr>
        <w:sz w:val="20"/>
      </w:rPr>
    </w:pPr>
    <w:r>
      <w:rPr>
        <w:noProof/>
      </w:rPr>
      <w:drawing>
        <wp:anchor distT="0" distB="0" distL="0" distR="0" simplePos="0" relativeHeight="251660288" behindDoc="1" locked="0" layoutInCell="1" allowOverlap="1" wp14:anchorId="4565C64A" wp14:editId="4AE429FA">
          <wp:simplePos x="0" y="0"/>
          <wp:positionH relativeFrom="page">
            <wp:posOffset>1139190</wp:posOffset>
          </wp:positionH>
          <wp:positionV relativeFrom="page">
            <wp:posOffset>8854965</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B66868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776" w:rsidRDefault="00585776" w14:paraId="1DAF5CB9" w14:textId="77777777">
      <w:r>
        <w:separator/>
      </w:r>
    </w:p>
  </w:footnote>
  <w:footnote w:type="continuationSeparator" w:id="0">
    <w:p w:rsidR="00585776" w:rsidRDefault="00585776" w14:paraId="666795FB" w14:textId="77777777">
      <w:r>
        <w:continuationSeparator/>
      </w:r>
    </w:p>
  </w:footnote>
  <w:footnote w:id="1">
    <w:p w:rsidRPr="00A27FA8" w:rsidR="00790E13" w:rsidP="00A27FA8" w:rsidRDefault="00790E13" w14:paraId="446003D8" w14:textId="77777777">
      <w:pPr>
        <w:spacing w:before="76"/>
        <w:ind w:left="100" w:right="106" w:firstLine="620"/>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Ley 996 de 2005, artículo 38,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rsidRPr="00A27FA8" w:rsidR="00790E13" w:rsidP="00A27FA8" w:rsidRDefault="00790E13" w14:paraId="6C1E5BDA" w14:textId="3F0FBF50">
      <w:pPr>
        <w:pStyle w:val="Textonotapie"/>
        <w:jc w:val="both"/>
        <w:rPr>
          <w:color w:val="000000" w:themeColor="text1"/>
          <w:sz w:val="18"/>
          <w:szCs w:val="18"/>
          <w:lang w:val="es-CO"/>
        </w:rPr>
      </w:pPr>
    </w:p>
  </w:footnote>
  <w:footnote w:id="2">
    <w:p w:rsidRPr="00A27FA8" w:rsidR="00790E13" w:rsidP="00A27FA8" w:rsidRDefault="00790E13" w14:paraId="2A8772D9" w14:textId="77777777">
      <w:pPr>
        <w:spacing w:before="1"/>
        <w:ind w:left="100" w:right="104" w:firstLine="707"/>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rsidRPr="00A27FA8" w:rsidR="00790E13" w:rsidP="00A27FA8" w:rsidRDefault="00790E13" w14:paraId="1B3E9277" w14:textId="294DA9BA">
      <w:pPr>
        <w:pStyle w:val="Textonotapie"/>
        <w:jc w:val="both"/>
        <w:rPr>
          <w:color w:val="000000" w:themeColor="text1"/>
          <w:sz w:val="18"/>
          <w:szCs w:val="18"/>
          <w:lang w:val="es-CO"/>
        </w:rPr>
      </w:pPr>
    </w:p>
  </w:footnote>
  <w:footnote w:id="3">
    <w:p w:rsidRPr="00A27FA8" w:rsidR="00790E13" w:rsidP="00A27FA8" w:rsidRDefault="00790E13" w14:paraId="6E3E8273" w14:textId="77777777">
      <w:pPr>
        <w:spacing w:before="1"/>
        <w:ind w:left="808"/>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Constitución Política de Colombia. Artículo 150, numeral 7; artículo 300, numeral 7; y artículo 313,</w:t>
      </w:r>
    </w:p>
    <w:p w:rsidRPr="00A27FA8" w:rsidR="00790E13" w:rsidP="00A27FA8" w:rsidRDefault="00790E13" w14:paraId="6F1F7B26" w14:textId="77777777">
      <w:pPr>
        <w:ind w:left="100"/>
        <w:jc w:val="both"/>
        <w:rPr>
          <w:color w:val="000000" w:themeColor="text1"/>
          <w:sz w:val="18"/>
          <w:szCs w:val="18"/>
        </w:rPr>
      </w:pPr>
      <w:r w:rsidRPr="00A27FA8">
        <w:rPr>
          <w:color w:val="000000" w:themeColor="text1"/>
          <w:sz w:val="18"/>
          <w:szCs w:val="18"/>
        </w:rPr>
        <w:t>numeral 6.</w:t>
      </w:r>
    </w:p>
    <w:p w:rsidRPr="00A27FA8" w:rsidR="00790E13" w:rsidP="00A27FA8" w:rsidRDefault="00790E13" w14:paraId="417DA7DB" w14:textId="25C446EF">
      <w:pPr>
        <w:pStyle w:val="Textonotapie"/>
        <w:jc w:val="both"/>
        <w:rPr>
          <w:color w:val="000000" w:themeColor="text1"/>
          <w:sz w:val="18"/>
          <w:szCs w:val="18"/>
          <w:lang w:val="es-CO"/>
        </w:rPr>
      </w:pPr>
    </w:p>
  </w:footnote>
  <w:footnote w:id="4">
    <w:p w:rsidRPr="00A27FA8" w:rsidR="00790E13" w:rsidP="00A27FA8" w:rsidRDefault="00790E13" w14:paraId="7E2AF80E" w14:textId="759CC2A0">
      <w:pPr>
        <w:pStyle w:val="Textonotapie"/>
        <w:ind w:firstLine="720"/>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Constitución Política, artículo 365: “Los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A27FA8">
        <w:rPr>
          <w:color w:val="000000" w:themeColor="text1"/>
          <w:sz w:val="18"/>
          <w:szCs w:val="18"/>
        </w:rPr>
        <w:t>que</w:t>
      </w:r>
      <w:proofErr w:type="gramEnd"/>
      <w:r w:rsidRPr="00A27FA8">
        <w:rPr>
          <w:color w:val="000000" w:themeColor="text1"/>
          <w:sz w:val="18"/>
          <w:szCs w:val="18"/>
        </w:rPr>
        <w:t xml:space="preserve"> en virtud de dicha ley, queden privadas del ejercicio de una actividad lícita”.</w:t>
      </w:r>
    </w:p>
    <w:p w:rsidRPr="00A27FA8" w:rsidR="00790E13" w:rsidP="00A27FA8" w:rsidRDefault="00790E13" w14:paraId="19E3596E" w14:textId="77777777">
      <w:pPr>
        <w:pStyle w:val="Textonotapie"/>
        <w:ind w:firstLine="720"/>
        <w:jc w:val="both"/>
        <w:rPr>
          <w:color w:val="000000" w:themeColor="text1"/>
          <w:sz w:val="18"/>
          <w:szCs w:val="18"/>
          <w:lang w:val="es-CO"/>
        </w:rPr>
      </w:pPr>
    </w:p>
  </w:footnote>
  <w:footnote w:id="5">
    <w:p w:rsidRPr="00A27FA8" w:rsidR="00790E13" w:rsidP="00A27FA8" w:rsidRDefault="00790E13" w14:paraId="0FC60DCF" w14:textId="77777777">
      <w:pPr>
        <w:spacing w:before="76"/>
        <w:ind w:left="100" w:right="106" w:firstLine="620"/>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Corte Constitucional, sentencia C-736 del 19 de septiembre de 2007. Magistrado Ponente: Marco Gerardo Monroy Cabra: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p>
    <w:p w:rsidRPr="00A27FA8" w:rsidR="00790E13" w:rsidP="00A27FA8" w:rsidRDefault="00790E13" w14:paraId="49FE5DF6" w14:textId="3C0C835C">
      <w:pPr>
        <w:pStyle w:val="Textonotapie"/>
        <w:ind w:firstLine="720"/>
        <w:jc w:val="both"/>
        <w:rPr>
          <w:color w:val="000000" w:themeColor="text1"/>
          <w:sz w:val="18"/>
          <w:szCs w:val="18"/>
          <w:lang w:val="es-CO"/>
        </w:rPr>
      </w:pPr>
    </w:p>
  </w:footnote>
  <w:footnote w:id="6">
    <w:p w:rsidRPr="00A27FA8" w:rsidR="00790E13" w:rsidP="00A27FA8" w:rsidRDefault="00790E13" w14:paraId="3E867301" w14:textId="11AE34A1">
      <w:pPr>
        <w:spacing w:before="91"/>
        <w:ind w:left="100" w:firstLine="620"/>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Decreto 1082 de 2015, artículo 2.2.1.2.1.4.4.</w:t>
      </w:r>
    </w:p>
    <w:p w:rsidRPr="00A27FA8" w:rsidR="00790E13" w:rsidP="00A27FA8" w:rsidRDefault="00790E13" w14:paraId="468FD08C" w14:textId="46F6C8A0">
      <w:pPr>
        <w:pStyle w:val="Textonotapie"/>
        <w:jc w:val="both"/>
        <w:rPr>
          <w:color w:val="000000" w:themeColor="text1"/>
          <w:sz w:val="18"/>
          <w:szCs w:val="18"/>
          <w:lang w:val="es-CO"/>
        </w:rPr>
      </w:pPr>
    </w:p>
  </w:footnote>
  <w:footnote w:id="7">
    <w:p w:rsidRPr="00A27FA8" w:rsidR="00790E13" w:rsidP="00A27FA8" w:rsidRDefault="00790E13" w14:paraId="6561761C" w14:textId="59E4B05B">
      <w:pPr>
        <w:ind w:left="100" w:firstLine="620"/>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Ley 1150 de 2007, artículo 2, literal 4, numeral c, modificada por el artículo 92 de la Ley 1474 de 2011. </w:t>
      </w:r>
    </w:p>
    <w:p w:rsidRPr="00A27FA8" w:rsidR="00790E13" w:rsidP="00A27FA8" w:rsidRDefault="00790E13" w14:paraId="30BC80C9" w14:textId="66FD0F53">
      <w:pPr>
        <w:pStyle w:val="Textonotapie"/>
        <w:jc w:val="both"/>
        <w:rPr>
          <w:color w:val="000000" w:themeColor="text1"/>
          <w:sz w:val="18"/>
          <w:szCs w:val="18"/>
          <w:lang w:val="es-CO"/>
        </w:rPr>
      </w:pPr>
    </w:p>
  </w:footnote>
  <w:footnote w:id="8">
    <w:p w:rsidRPr="00A27FA8" w:rsidR="00790E13" w:rsidP="00A27FA8" w:rsidRDefault="00790E13" w14:paraId="41B5D54C" w14:textId="0D07C742">
      <w:pPr>
        <w:pStyle w:val="Textonotapie"/>
        <w:jc w:val="both"/>
        <w:rPr>
          <w:color w:val="000000" w:themeColor="text1"/>
          <w:sz w:val="18"/>
          <w:szCs w:val="18"/>
          <w:lang w:val="es-CO"/>
        </w:rPr>
      </w:pPr>
      <w:r w:rsidRPr="00A27FA8">
        <w:rPr>
          <w:rStyle w:val="Refdenotaalpie"/>
          <w:color w:val="000000" w:themeColor="text1"/>
          <w:sz w:val="18"/>
          <w:szCs w:val="18"/>
        </w:rPr>
        <w:footnoteRef/>
      </w:r>
      <w:r w:rsidRPr="00A27FA8">
        <w:rPr>
          <w:color w:val="000000" w:themeColor="text1"/>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9">
    <w:p w:rsidRPr="00A27FA8" w:rsidR="00790E13" w:rsidP="00A27FA8" w:rsidRDefault="00790E13" w14:paraId="2768B6C2" w14:textId="77777777">
      <w:pPr>
        <w:spacing w:before="96"/>
        <w:ind w:left="100" w:right="128" w:firstLine="707"/>
        <w:jc w:val="both"/>
        <w:rPr>
          <w:color w:val="000000" w:themeColor="text1"/>
          <w:sz w:val="18"/>
          <w:szCs w:val="18"/>
        </w:rPr>
      </w:pPr>
      <w:r w:rsidRPr="00A27FA8">
        <w:rPr>
          <w:rStyle w:val="Refdenotaalpie"/>
          <w:color w:val="000000" w:themeColor="text1"/>
          <w:sz w:val="18"/>
          <w:szCs w:val="18"/>
        </w:rPr>
        <w:footnoteRef/>
      </w:r>
      <w:r w:rsidRPr="00A27FA8">
        <w:rPr>
          <w:color w:val="000000" w:themeColor="text1"/>
          <w:sz w:val="18"/>
          <w:szCs w:val="18"/>
        </w:rPr>
        <w:t xml:space="preserve"> Código Civil, artículo 27. “Cuando el sentido de la ley sea claro, no se desatenderá su tenor a pretexto de consultar su</w:t>
      </w:r>
      <w:r w:rsidRPr="00A27FA8">
        <w:rPr>
          <w:color w:val="000000" w:themeColor="text1"/>
          <w:spacing w:val="-3"/>
          <w:sz w:val="18"/>
          <w:szCs w:val="18"/>
        </w:rPr>
        <w:t xml:space="preserve"> </w:t>
      </w:r>
      <w:r w:rsidRPr="00A27FA8">
        <w:rPr>
          <w:color w:val="000000" w:themeColor="text1"/>
          <w:sz w:val="18"/>
          <w:szCs w:val="18"/>
        </w:rPr>
        <w:t>espíritu”.</w:t>
      </w:r>
    </w:p>
    <w:p w:rsidRPr="00A27FA8" w:rsidR="00790E13" w:rsidP="00A27FA8" w:rsidRDefault="00790E13" w14:paraId="6D3DD641" w14:textId="77380631">
      <w:pPr>
        <w:pStyle w:val="Textonotapie"/>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77886" w:rsidRDefault="008569EE" w14:paraId="4D7FDC78" w14:textId="77777777">
    <w:pPr>
      <w:pStyle w:val="Textoindependiente"/>
      <w:spacing w:line="14" w:lineRule="auto"/>
      <w:rPr>
        <w:sz w:val="20"/>
      </w:rPr>
    </w:pPr>
    <w:r>
      <w:rPr>
        <w:noProof/>
      </w:rPr>
      <w:drawing>
        <wp:anchor distT="0" distB="0" distL="0" distR="0" simplePos="0" relativeHeight="251657216" behindDoc="1" locked="0" layoutInCell="1" allowOverlap="1" wp14:anchorId="0D80C7EC" wp14:editId="208264E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B66868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F73F7"/>
    <w:multiLevelType w:val="hybridMultilevel"/>
    <w:tmpl w:val="0FF2066C"/>
    <w:lvl w:ilvl="0" w:tplc="ADA29F8E">
      <w:start w:val="1"/>
      <w:numFmt w:val="decimal"/>
      <w:lvlText w:val="%1."/>
      <w:lvlJc w:val="left"/>
      <w:pPr>
        <w:ind w:left="385" w:hanging="285"/>
        <w:jc w:val="left"/>
      </w:pPr>
      <w:rPr>
        <w:rFonts w:hint="default" w:ascii="Arial" w:hAnsi="Arial" w:eastAsia="Arial" w:cs="Arial"/>
        <w:b/>
        <w:bCs/>
        <w:color w:val="000000" w:themeColor="text1"/>
        <w:spacing w:val="-21"/>
        <w:w w:val="100"/>
        <w:sz w:val="22"/>
        <w:szCs w:val="22"/>
        <w:lang w:val="es-ES" w:eastAsia="es-ES" w:bidi="es-ES"/>
      </w:rPr>
    </w:lvl>
    <w:lvl w:ilvl="1" w:tplc="2682B056">
      <w:numFmt w:val="bullet"/>
      <w:lvlText w:val="•"/>
      <w:lvlJc w:val="left"/>
      <w:pPr>
        <w:ind w:left="1256" w:hanging="285"/>
      </w:pPr>
      <w:rPr>
        <w:rFonts w:hint="default"/>
        <w:lang w:val="es-ES" w:eastAsia="es-ES" w:bidi="es-ES"/>
      </w:rPr>
    </w:lvl>
    <w:lvl w:ilvl="2" w:tplc="420E993C">
      <w:numFmt w:val="bullet"/>
      <w:lvlText w:val="•"/>
      <w:lvlJc w:val="left"/>
      <w:pPr>
        <w:ind w:left="2132" w:hanging="285"/>
      </w:pPr>
      <w:rPr>
        <w:rFonts w:hint="default"/>
        <w:lang w:val="es-ES" w:eastAsia="es-ES" w:bidi="es-ES"/>
      </w:rPr>
    </w:lvl>
    <w:lvl w:ilvl="3" w:tplc="0734A21A">
      <w:numFmt w:val="bullet"/>
      <w:lvlText w:val="•"/>
      <w:lvlJc w:val="left"/>
      <w:pPr>
        <w:ind w:left="3008" w:hanging="285"/>
      </w:pPr>
      <w:rPr>
        <w:rFonts w:hint="default"/>
        <w:lang w:val="es-ES" w:eastAsia="es-ES" w:bidi="es-ES"/>
      </w:rPr>
    </w:lvl>
    <w:lvl w:ilvl="4" w:tplc="4650CF82">
      <w:numFmt w:val="bullet"/>
      <w:lvlText w:val="•"/>
      <w:lvlJc w:val="left"/>
      <w:pPr>
        <w:ind w:left="3884" w:hanging="285"/>
      </w:pPr>
      <w:rPr>
        <w:rFonts w:hint="default"/>
        <w:lang w:val="es-ES" w:eastAsia="es-ES" w:bidi="es-ES"/>
      </w:rPr>
    </w:lvl>
    <w:lvl w:ilvl="5" w:tplc="69184BD0">
      <w:numFmt w:val="bullet"/>
      <w:lvlText w:val="•"/>
      <w:lvlJc w:val="left"/>
      <w:pPr>
        <w:ind w:left="4760" w:hanging="285"/>
      </w:pPr>
      <w:rPr>
        <w:rFonts w:hint="default"/>
        <w:lang w:val="es-ES" w:eastAsia="es-ES" w:bidi="es-ES"/>
      </w:rPr>
    </w:lvl>
    <w:lvl w:ilvl="6" w:tplc="B922D42A">
      <w:numFmt w:val="bullet"/>
      <w:lvlText w:val="•"/>
      <w:lvlJc w:val="left"/>
      <w:pPr>
        <w:ind w:left="5636" w:hanging="285"/>
      </w:pPr>
      <w:rPr>
        <w:rFonts w:hint="default"/>
        <w:lang w:val="es-ES" w:eastAsia="es-ES" w:bidi="es-ES"/>
      </w:rPr>
    </w:lvl>
    <w:lvl w:ilvl="7" w:tplc="D0863DB2">
      <w:numFmt w:val="bullet"/>
      <w:lvlText w:val="•"/>
      <w:lvlJc w:val="left"/>
      <w:pPr>
        <w:ind w:left="6512" w:hanging="285"/>
      </w:pPr>
      <w:rPr>
        <w:rFonts w:hint="default"/>
        <w:lang w:val="es-ES" w:eastAsia="es-ES" w:bidi="es-ES"/>
      </w:rPr>
    </w:lvl>
    <w:lvl w:ilvl="8" w:tplc="259AE788">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86"/>
    <w:rsid w:val="00077886"/>
    <w:rsid w:val="002A4588"/>
    <w:rsid w:val="00317511"/>
    <w:rsid w:val="003E2715"/>
    <w:rsid w:val="004A06B9"/>
    <w:rsid w:val="00585776"/>
    <w:rsid w:val="00790E13"/>
    <w:rsid w:val="008569EE"/>
    <w:rsid w:val="00915483"/>
    <w:rsid w:val="00A27FA8"/>
    <w:rsid w:val="00C20247"/>
    <w:rsid w:val="00DF5C54"/>
    <w:rsid w:val="00F0590E"/>
    <w:rsid w:val="00F16766"/>
    <w:rsid w:val="00FE426E"/>
    <w:rsid w:val="0B013A0C"/>
    <w:rsid w:val="16D3CEDE"/>
    <w:rsid w:val="28724672"/>
    <w:rsid w:val="33FEA465"/>
    <w:rsid w:val="381A37C2"/>
    <w:rsid w:val="3B66868C"/>
    <w:rsid w:val="58D1ED87"/>
    <w:rsid w:val="799372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E796"/>
  <w15:docId w15:val="{E69EA401-8AF2-44F8-8CE2-99DE20F918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85" w:hanging="286"/>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790E13"/>
    <w:rPr>
      <w:sz w:val="20"/>
      <w:szCs w:val="20"/>
    </w:rPr>
  </w:style>
  <w:style w:type="character" w:styleId="TextonotapieCar" w:customStyle="1">
    <w:name w:val="Texto nota pie Car"/>
    <w:basedOn w:val="Fuentedeprrafopredeter"/>
    <w:link w:val="Textonotapie"/>
    <w:uiPriority w:val="99"/>
    <w:semiHidden/>
    <w:rsid w:val="00790E13"/>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790E13"/>
    <w:rPr>
      <w:vertAlign w:val="superscript"/>
    </w:rPr>
  </w:style>
  <w:style w:type="paragraph" w:styleId="Encabezado">
    <w:name w:val="header"/>
    <w:basedOn w:val="Normal"/>
    <w:link w:val="EncabezadoCar"/>
    <w:uiPriority w:val="99"/>
    <w:unhideWhenUsed/>
    <w:rsid w:val="00790E13"/>
    <w:pPr>
      <w:tabs>
        <w:tab w:val="center" w:pos="4419"/>
        <w:tab w:val="right" w:pos="8838"/>
      </w:tabs>
    </w:pPr>
  </w:style>
  <w:style w:type="character" w:styleId="EncabezadoCar" w:customStyle="1">
    <w:name w:val="Encabezado Car"/>
    <w:basedOn w:val="Fuentedeprrafopredeter"/>
    <w:link w:val="Encabezado"/>
    <w:uiPriority w:val="99"/>
    <w:rsid w:val="00790E13"/>
    <w:rPr>
      <w:rFonts w:ascii="Arial" w:hAnsi="Arial" w:eastAsia="Arial" w:cs="Arial"/>
      <w:lang w:val="es-ES" w:eastAsia="es-ES" w:bidi="es-ES"/>
    </w:rPr>
  </w:style>
  <w:style w:type="paragraph" w:styleId="Piedepgina">
    <w:name w:val="footer"/>
    <w:basedOn w:val="Normal"/>
    <w:link w:val="PiedepginaCar"/>
    <w:uiPriority w:val="99"/>
    <w:unhideWhenUsed/>
    <w:rsid w:val="00790E13"/>
    <w:pPr>
      <w:tabs>
        <w:tab w:val="center" w:pos="4419"/>
        <w:tab w:val="right" w:pos="8838"/>
      </w:tabs>
    </w:pPr>
  </w:style>
  <w:style w:type="character" w:styleId="PiedepginaCar" w:customStyle="1">
    <w:name w:val="Pie de página Car"/>
    <w:basedOn w:val="Fuentedeprrafopredeter"/>
    <w:link w:val="Piedepgina"/>
    <w:uiPriority w:val="99"/>
    <w:rsid w:val="00790E13"/>
    <w:rPr>
      <w:rFonts w:ascii="Arial" w:hAnsi="Arial" w:eastAsia="Arial" w:cs="Arial"/>
      <w:lang w:val="es-ES" w:eastAsia="es-ES" w:bidi="es-ES"/>
    </w:rPr>
  </w:style>
  <w:style w:type="character" w:styleId="TextoindependienteCar" w:customStyle="1">
    <w:name w:val="Texto independiente Car"/>
    <w:basedOn w:val="Fuentedeprrafopredeter"/>
    <w:link w:val="Textoindependiente"/>
    <w:uiPriority w:val="1"/>
    <w:rsid w:val="002A4588"/>
    <w:rPr>
      <w:rFonts w:ascii="Arial" w:hAnsi="Arial" w:eastAsia="Arial" w:cs="Arial"/>
      <w:lang w:val="es-ES" w:eastAsia="es-ES" w:bidi="es-ES"/>
    </w:rPr>
  </w:style>
  <w:style w:type="paragraph" w:styleId="Sinespaciado">
    <w:name w:val="No Spacing"/>
    <w:uiPriority w:val="1"/>
    <w:qFormat/>
    <w:rsid w:val="002A4588"/>
    <w:rPr>
      <w:rFonts w:ascii="Arial" w:hAnsi="Arial" w:eastAsia="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mbiacompra.gov.co/sala-de-prensa/comunicados/lineamientos-impartidos-por-la-agencia-nacional-de-contratacion-publica"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olombiacompra.gov.co/sala-de-prensa/comunicados/lineamientos-impartidos-por-la-agencia-nacional-de-contratacion-public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ombiacompra.gov.co/sala-de-prensa/comunicados/lineamientos-impartidos-por-la-agencia-nacional-de-contratacion-publica"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424b72dc6f574f6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BB137-0DA0-4625-8AB8-CA99E37B6E1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F1D7DC7-5226-4E6E-84DF-B5257AAE95F7}">
  <ds:schemaRefs>
    <ds:schemaRef ds:uri="http://schemas.openxmlformats.org/officeDocument/2006/bibliography"/>
  </ds:schemaRefs>
</ds:datastoreItem>
</file>

<file path=customXml/itemProps3.xml><?xml version="1.0" encoding="utf-8"?>
<ds:datastoreItem xmlns:ds="http://schemas.openxmlformats.org/officeDocument/2006/customXml" ds:itemID="{DDDF7B08-ED31-4243-8B49-2E7E6A8E170A}">
  <ds:schemaRefs>
    <ds:schemaRef ds:uri="http://schemas.microsoft.com/sharepoint/v3/contenttype/forms"/>
  </ds:schemaRefs>
</ds:datastoreItem>
</file>

<file path=customXml/itemProps4.xml><?xml version="1.0" encoding="utf-8"?>
<ds:datastoreItem xmlns:ds="http://schemas.openxmlformats.org/officeDocument/2006/customXml" ds:itemID="{BEBBFE70-656A-4CB7-B062-ECA6B9C8A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13</revision>
  <dcterms:created xsi:type="dcterms:W3CDTF">2020-04-07T21:09:00.0000000Z</dcterms:created>
  <dcterms:modified xsi:type="dcterms:W3CDTF">2020-07-07T20:52:56.1776227Z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