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740F7" w:rsidR="009918F1" w:rsidP="00A32A90" w:rsidRDefault="009918F1" w14:paraId="70AF6C9F" w14:textId="77777777">
      <w:pPr>
        <w:pStyle w:val="Textoindependiente"/>
        <w:spacing w:before="7"/>
        <w:jc w:val="both"/>
        <w:rPr>
          <w:rFonts w:ascii="Times New Roman"/>
          <w:sz w:val="25"/>
        </w:rPr>
      </w:pPr>
    </w:p>
    <w:p w:rsidRPr="003740F7" w:rsidR="00A32A90" w:rsidP="00427154" w:rsidRDefault="003316C0" w14:paraId="14E70421" w14:textId="56C16209">
      <w:pPr>
        <w:ind w:left="300" w:right="102"/>
        <w:jc w:val="both"/>
        <w:rPr>
          <w:b/>
        </w:rPr>
      </w:pPr>
      <w:r w:rsidRPr="003740F7">
        <w:rPr>
          <w:b/>
        </w:rPr>
        <w:t>C</w:t>
      </w:r>
      <w:r w:rsidRPr="003740F7" w:rsidR="0051479F">
        <w:rPr>
          <w:b/>
        </w:rPr>
        <w:t>ONTRATACIÓN CON ESAL</w:t>
      </w:r>
      <w:r w:rsidRPr="003740F7" w:rsidR="00E4358C">
        <w:rPr>
          <w:b/>
        </w:rPr>
        <w:t>ES</w:t>
      </w:r>
      <w:r w:rsidRPr="003740F7" w:rsidR="0051479F">
        <w:rPr>
          <w:b/>
        </w:rPr>
        <w:t xml:space="preserve"> – </w:t>
      </w:r>
      <w:r w:rsidRPr="003740F7" w:rsidR="002F50D8">
        <w:rPr>
          <w:b/>
        </w:rPr>
        <w:t>Normativa</w:t>
      </w:r>
      <w:r w:rsidRPr="003740F7" w:rsidR="00A32A90">
        <w:rPr>
          <w:b/>
        </w:rPr>
        <w:t xml:space="preserve"> – Suspensión provisional </w:t>
      </w:r>
    </w:p>
    <w:p w:rsidRPr="00427154" w:rsidR="002F50D8" w:rsidP="00427154" w:rsidRDefault="002F50D8" w14:paraId="376B8BDB" w14:textId="77777777">
      <w:pPr>
        <w:ind w:left="300" w:right="102"/>
        <w:jc w:val="both"/>
        <w:rPr>
          <w:sz w:val="20"/>
          <w:szCs w:val="20"/>
        </w:rPr>
      </w:pPr>
    </w:p>
    <w:p w:rsidRPr="003740F7" w:rsidR="00A32A90" w:rsidP="00427154" w:rsidRDefault="00A32A90" w14:paraId="7D961CE8" w14:textId="5EE26B36">
      <w:pPr>
        <w:ind w:left="300" w:right="102"/>
        <w:jc w:val="both"/>
        <w:rPr>
          <w:sz w:val="20"/>
          <w:szCs w:val="20"/>
        </w:rPr>
      </w:pPr>
      <w:r w:rsidRPr="003740F7">
        <w:rPr>
          <w:sz w:val="20"/>
          <w:szCs w:val="20"/>
        </w:rPr>
        <w:t>El consejo de Estado, Sala de lo Contencioso Administrativo, Sección Tercera, subsección A, con radicado No. 11001-03-26-000-2018-00113-00 (62.003), del 6 de agosto de 2019, Consejero ponente Carlos Alberto Zambrano Barrera, estudió la solicitud de suspensión provisional del inciso 2º del artículo 1, literales “a” y “c” del artículo 2, inciso 5º del artículo 2, inciso 2º del artículo 3, inciso final del artículo 4 y artículo 5 del Decreto 092 de 2017</w:t>
      </w:r>
      <w:r w:rsidRPr="003740F7" w:rsidR="002F50D8">
        <w:rPr>
          <w:sz w:val="20"/>
          <w:szCs w:val="20"/>
        </w:rPr>
        <w:t>.</w:t>
      </w:r>
    </w:p>
    <w:p w:rsidRPr="00427154" w:rsidR="00A32A90" w:rsidP="00427154" w:rsidRDefault="00A32A90" w14:paraId="02DFF5F5" w14:textId="77777777">
      <w:pPr>
        <w:ind w:left="300" w:right="102"/>
        <w:jc w:val="both"/>
        <w:rPr>
          <w:sz w:val="20"/>
          <w:szCs w:val="20"/>
        </w:rPr>
      </w:pPr>
    </w:p>
    <w:p w:rsidRPr="003740F7" w:rsidR="00A32A90" w:rsidP="0DC82EF6" w:rsidRDefault="00A32A90" w14:paraId="64EB6D47" w14:textId="76901F80">
      <w:pPr>
        <w:pStyle w:val="Normal"/>
        <w:ind w:left="300" w:right="102"/>
        <w:jc w:val="both"/>
        <w:rPr>
          <w:sz w:val="21"/>
          <w:szCs w:val="21"/>
        </w:rPr>
      </w:pPr>
      <w:r w:rsidRPr="0DC82EF6" w:rsidR="00A32A90">
        <w:rPr>
          <w:b w:val="1"/>
          <w:bCs w:val="1"/>
        </w:rPr>
        <w:t>CONTRATO DE COLABORACI</w:t>
      </w:r>
      <w:r w:rsidRPr="0DC82EF6" w:rsidR="002F50D8">
        <w:rPr>
          <w:b w:val="1"/>
          <w:bCs w:val="1"/>
        </w:rPr>
        <w:t>Ó</w:t>
      </w:r>
      <w:r w:rsidRPr="0DC82EF6" w:rsidR="00A32A90">
        <w:rPr>
          <w:b w:val="1"/>
          <w:bCs w:val="1"/>
        </w:rPr>
        <w:t xml:space="preserve">N – Decreto 092 de 2017 – Suspensión provisional – Aplicación </w:t>
      </w:r>
      <w:r w:rsidRPr="0DC82EF6" w:rsidR="24AD3503">
        <w:rPr>
          <w:rFonts w:ascii="Arial" w:hAnsi="Arial" w:eastAsia="Arial" w:cs="Arial"/>
          <w:b w:val="1"/>
          <w:bCs w:val="1"/>
          <w:noProof w:val="0"/>
          <w:sz w:val="22"/>
          <w:szCs w:val="22"/>
          <w:lang w:val="es-ES"/>
        </w:rPr>
        <w:t>– C</w:t>
      </w:r>
      <w:r w:rsidRPr="0DC82EF6" w:rsidR="00A32A90">
        <w:rPr>
          <w:b w:val="1"/>
          <w:bCs w:val="1"/>
        </w:rPr>
        <w:t>ontratación con ESALES</w:t>
      </w:r>
    </w:p>
    <w:p w:rsidR="000436D1" w:rsidP="00427154" w:rsidRDefault="000436D1" w14:paraId="2EA20DAC" w14:textId="77777777">
      <w:pPr>
        <w:ind w:left="300" w:right="102"/>
        <w:jc w:val="both"/>
        <w:rPr>
          <w:sz w:val="20"/>
          <w:szCs w:val="20"/>
        </w:rPr>
      </w:pPr>
    </w:p>
    <w:p w:rsidRPr="003740F7" w:rsidR="00A32A90" w:rsidP="00427154" w:rsidRDefault="00A32A90" w14:paraId="36CC1C41" w14:textId="137FF336">
      <w:pPr>
        <w:ind w:left="300" w:right="102"/>
        <w:jc w:val="both"/>
        <w:rPr>
          <w:sz w:val="20"/>
          <w:szCs w:val="20"/>
        </w:rPr>
      </w:pPr>
      <w:r w:rsidRPr="003740F7">
        <w:rPr>
          <w:sz w:val="20"/>
          <w:szCs w:val="20"/>
        </w:rPr>
        <w:t>La contratación con entidades sin ánimo de lucro sigue aplicando lo previsto en el Decreto 092 de 2017, salvo lo explicado anteriormente, por lo tanto, las entidades públicas que desean celebrar contratos de interés público en los términos del artículo 355 de la Constitución Política deberán contratar con entidades sin ánimo de lucro de reconocida idoneidad realizando un proceso competitivo, teniendo en cuenta las siguientes características: i) no se debe condicionar el proceso de contratación a la inexistencia de oferta en el mercado de bienes y servicios; ii) no se debe exigir que la entidad sin ánimo de lucro realice la mejor oferta, ni que garantice la optimización de los recursos públicos; iii) el objeto del contrato debe ser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v) el contrato no establezca una relación conmutativa en el cual haya una contraprestación directa a favor de la Entidad Estatal, ni instrucciones precisas dadas por esta al contratista para cumplir con el objeto del contrato Lo anterior significa que aplica lo dispuesto en el artículo.</w:t>
      </w:r>
    </w:p>
    <w:p w:rsidRPr="003740F7" w:rsidR="00A32A90" w:rsidP="00427154" w:rsidRDefault="00A32A90" w14:paraId="4F64C3D4" w14:textId="77777777">
      <w:pPr>
        <w:ind w:left="300" w:right="102"/>
        <w:jc w:val="both"/>
        <w:rPr>
          <w:sz w:val="21"/>
          <w:szCs w:val="21"/>
        </w:rPr>
      </w:pPr>
    </w:p>
    <w:p w:rsidRPr="003740F7" w:rsidR="00A32A90" w:rsidP="0DC82EF6" w:rsidRDefault="00A32A90" w14:paraId="67B96A2A" w14:textId="049C03C6">
      <w:pPr>
        <w:ind w:left="300" w:right="102"/>
        <w:jc w:val="both"/>
        <w:rPr>
          <w:b w:val="1"/>
          <w:bCs w:val="1"/>
        </w:rPr>
      </w:pPr>
      <w:r w:rsidRPr="0DC82EF6" w:rsidR="00A32A90">
        <w:rPr>
          <w:b w:val="1"/>
          <w:bCs w:val="1"/>
        </w:rPr>
        <w:t>CONVENIO DE ASOCIACI</w:t>
      </w:r>
      <w:r w:rsidRPr="0DC82EF6" w:rsidR="045FEB9D">
        <w:rPr>
          <w:b w:val="1"/>
          <w:bCs w:val="1"/>
        </w:rPr>
        <w:t>Ó</w:t>
      </w:r>
      <w:r w:rsidRPr="0DC82EF6" w:rsidR="00A32A90">
        <w:rPr>
          <w:b w:val="1"/>
          <w:bCs w:val="1"/>
        </w:rPr>
        <w:t xml:space="preserve">N – Regulación </w:t>
      </w:r>
    </w:p>
    <w:p w:rsidR="000436D1" w:rsidP="00427154" w:rsidRDefault="000436D1" w14:paraId="0471D957" w14:textId="77777777">
      <w:pPr>
        <w:ind w:left="300" w:right="102"/>
        <w:jc w:val="both"/>
        <w:rPr>
          <w:sz w:val="20"/>
          <w:szCs w:val="20"/>
        </w:rPr>
      </w:pPr>
    </w:p>
    <w:p w:rsidRPr="003740F7" w:rsidR="00A32A90" w:rsidP="00427154" w:rsidRDefault="00A32A90" w14:paraId="4F2AB868" w14:textId="2FAA0F7C">
      <w:pPr>
        <w:ind w:left="300" w:right="102"/>
        <w:jc w:val="both"/>
        <w:rPr>
          <w:sz w:val="20"/>
          <w:szCs w:val="20"/>
        </w:rPr>
      </w:pPr>
      <w:r w:rsidRPr="003740F7">
        <w:rPr>
          <w:sz w:val="20"/>
          <w:szCs w:val="20"/>
        </w:rPr>
        <w:t>Para los convenios de asociación, el artículo 5 del citado Decreto establece que el proceso para la selección de la entidad sin ánimo de lucro debe ser sujeto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w:t>
      </w:r>
      <w:r w:rsidR="00427154">
        <w:rPr>
          <w:sz w:val="20"/>
          <w:szCs w:val="20"/>
        </w:rPr>
        <w:t xml:space="preserve">. </w:t>
      </w:r>
    </w:p>
    <w:p w:rsidRPr="003740F7" w:rsidR="00A32A90" w:rsidP="00427154" w:rsidRDefault="00A32A90" w14:paraId="34F13DE1" w14:textId="77777777">
      <w:pPr>
        <w:ind w:left="300" w:right="102"/>
        <w:jc w:val="both"/>
        <w:rPr>
          <w:sz w:val="21"/>
          <w:szCs w:val="21"/>
        </w:rPr>
      </w:pPr>
    </w:p>
    <w:p w:rsidRPr="003740F7" w:rsidR="00A32A90" w:rsidP="00427154" w:rsidRDefault="00A32A90" w14:paraId="25DFC13F" w14:textId="3FE25F2F">
      <w:pPr>
        <w:ind w:left="300" w:right="102"/>
        <w:jc w:val="both"/>
        <w:rPr>
          <w:sz w:val="21"/>
          <w:szCs w:val="21"/>
        </w:rPr>
      </w:pPr>
      <w:r w:rsidRPr="003740F7">
        <w:rPr>
          <w:b/>
        </w:rPr>
        <w:t>SECOP II –</w:t>
      </w:r>
      <w:r w:rsidR="000436D1">
        <w:rPr>
          <w:b/>
        </w:rPr>
        <w:t xml:space="preserve"> ESALES </w:t>
      </w:r>
      <w:r w:rsidRPr="003740F7">
        <w:rPr>
          <w:b/>
        </w:rPr>
        <w:t xml:space="preserve">– Publicidad </w:t>
      </w:r>
    </w:p>
    <w:p w:rsidR="000436D1" w:rsidP="00427154" w:rsidRDefault="000436D1" w14:paraId="5982F870" w14:textId="77777777">
      <w:pPr>
        <w:ind w:left="300" w:right="102"/>
        <w:jc w:val="both"/>
        <w:rPr>
          <w:sz w:val="20"/>
          <w:szCs w:val="20"/>
          <w:lang w:val="es-MX"/>
        </w:rPr>
      </w:pPr>
    </w:p>
    <w:p w:rsidRPr="003740F7" w:rsidR="00A32A90" w:rsidP="00427154" w:rsidRDefault="00A32A90" w14:paraId="140565EE" w14:textId="2A20E721">
      <w:pPr>
        <w:ind w:left="300" w:right="102"/>
        <w:jc w:val="both"/>
        <w:rPr>
          <w:sz w:val="20"/>
          <w:szCs w:val="20"/>
          <w:lang w:val="es-MX"/>
        </w:rPr>
      </w:pPr>
      <w:r w:rsidRPr="003740F7">
        <w:rPr>
          <w:sz w:val="20"/>
          <w:szCs w:val="20"/>
          <w:lang w:val="es-MX"/>
        </w:rPr>
        <w:t>El Decreto 092 de 2017 exige, en el artículo 9, a las entidades sin ánimo de lucro y de reconocida idoneidad, estar inscritas en el SECOP para celebrar convenios con las entidades públicas, razón por la que se debe usar únicamente el SECOP II, pues es la única plataforma que por funcionalidad permite el registro de proveedores</w:t>
      </w:r>
      <w:r w:rsidR="00427154">
        <w:rPr>
          <w:sz w:val="20"/>
          <w:szCs w:val="20"/>
          <w:lang w:val="es-MX"/>
        </w:rPr>
        <w:t>.</w:t>
      </w:r>
    </w:p>
    <w:p w:rsidRPr="00427154" w:rsidR="00C83E21" w:rsidP="00427154" w:rsidRDefault="00C83E21" w14:paraId="36B21956" w14:textId="77777777">
      <w:pPr>
        <w:rPr>
          <w:rFonts w:ascii="Times New Roman"/>
          <w:sz w:val="20"/>
          <w:szCs w:val="20"/>
        </w:rPr>
      </w:pPr>
    </w:p>
    <w:p w:rsidRPr="003740F7" w:rsidR="00A32A90" w:rsidP="00427154" w:rsidRDefault="00A32A90" w14:paraId="165145B5" w14:textId="77777777">
      <w:pPr>
        <w:rPr>
          <w:rFonts w:ascii="Times New Roman"/>
          <w:sz w:val="25"/>
          <w:lang w:val="es-MX"/>
        </w:rPr>
      </w:pPr>
    </w:p>
    <w:p w:rsidRPr="00427154" w:rsidR="00A32A90" w:rsidP="00427154" w:rsidRDefault="00A32A90" w14:paraId="5EBFF5F0" w14:textId="77777777">
      <w:pPr>
        <w:rPr>
          <w:rFonts w:ascii="Times New Roman"/>
          <w:sz w:val="20"/>
          <w:szCs w:val="20"/>
          <w:lang w:val="es-MX"/>
        </w:rPr>
        <w:sectPr w:rsidRPr="00427154" w:rsidR="00A32A90">
          <w:headerReference w:type="default" r:id="rId10"/>
          <w:footerReference w:type="default" r:id="rId11"/>
          <w:type w:val="continuous"/>
          <w:pgSz w:w="12240" w:h="15840" w:orient="portrait"/>
          <w:pgMar w:top="1560" w:right="1500" w:bottom="2060" w:left="1400" w:header="737" w:footer="1880" w:gutter="0"/>
          <w:cols w:space="720"/>
        </w:sectPr>
      </w:pPr>
    </w:p>
    <w:p w:rsidRPr="003740F7" w:rsidR="009918F1" w:rsidP="00427154" w:rsidRDefault="00834B0B" w14:paraId="054AEB5B" w14:textId="77777777">
      <w:pPr>
        <w:ind w:left="300"/>
        <w:rPr>
          <w:b/>
        </w:rPr>
      </w:pPr>
      <w:r w:rsidRPr="003740F7">
        <w:t xml:space="preserve">Bogotá D.C., </w:t>
      </w:r>
      <w:r w:rsidRPr="003740F7">
        <w:rPr>
          <w:b/>
        </w:rPr>
        <w:t>09/09/2019 Hora 19:23:3s</w:t>
      </w:r>
    </w:p>
    <w:p w:rsidRPr="003740F7" w:rsidR="009918F1" w:rsidRDefault="009918F1" w14:paraId="2633BC81" w14:textId="77777777">
      <w:pPr>
        <w:pStyle w:val="Textoindependiente"/>
        <w:spacing w:before="1"/>
        <w:rPr>
          <w:b/>
        </w:rPr>
      </w:pPr>
    </w:p>
    <w:p w:rsidRPr="003740F7" w:rsidR="009918F1" w:rsidRDefault="00834B0B" w14:paraId="29D36E6A" w14:textId="77777777">
      <w:pPr>
        <w:pStyle w:val="Textoindependiente"/>
        <w:spacing w:before="1" w:line="253" w:lineRule="exact"/>
        <w:ind w:left="300"/>
      </w:pPr>
      <w:r w:rsidRPr="003740F7">
        <w:t>Señora</w:t>
      </w:r>
    </w:p>
    <w:p w:rsidRPr="003740F7" w:rsidR="009918F1" w:rsidRDefault="00834B0B" w14:paraId="2F3FB246" w14:textId="77777777">
      <w:pPr>
        <w:pStyle w:val="Ttulo1"/>
        <w:spacing w:line="253" w:lineRule="exact"/>
        <w:ind w:left="300" w:firstLine="0"/>
      </w:pPr>
      <w:r w:rsidRPr="003740F7">
        <w:t>Adriana Judith Guerrero Espitia</w:t>
      </w:r>
    </w:p>
    <w:p w:rsidRPr="003740F7" w:rsidR="009918F1" w:rsidRDefault="00834B0B" w14:paraId="39A6F222" w14:textId="77777777">
      <w:pPr>
        <w:pStyle w:val="Textoindependiente"/>
        <w:spacing w:line="253" w:lineRule="exact"/>
        <w:ind w:left="300"/>
      </w:pPr>
      <w:r w:rsidRPr="003740F7">
        <w:t>Administradora</w:t>
      </w:r>
    </w:p>
    <w:p w:rsidRPr="003740F7" w:rsidR="009918F1" w:rsidRDefault="00834B0B" w14:paraId="54A3DFDC" w14:textId="77777777">
      <w:pPr>
        <w:pStyle w:val="Textoindependiente"/>
        <w:spacing w:line="242" w:lineRule="auto"/>
        <w:ind w:left="300" w:right="17"/>
      </w:pPr>
      <w:r w:rsidRPr="003740F7">
        <w:t>Centro De Bienestar del Anciano San Martin Moniquirá, Boyacá</w:t>
      </w:r>
    </w:p>
    <w:p w:rsidRPr="003740F7" w:rsidR="009918F1" w:rsidRDefault="00834B0B" w14:paraId="2DCFEF23" w14:textId="77777777">
      <w:pPr>
        <w:pStyle w:val="Textoindependiente"/>
        <w:spacing w:before="3"/>
        <w:rPr>
          <w:sz w:val="30"/>
        </w:rPr>
      </w:pPr>
      <w:r w:rsidRPr="003740F7">
        <w:br w:type="column"/>
      </w:r>
    </w:p>
    <w:p w:rsidRPr="003740F7" w:rsidR="009918F1" w:rsidRDefault="00834B0B" w14:paraId="1D15E0FE" w14:textId="77777777">
      <w:pPr>
        <w:pStyle w:val="Ttulo1"/>
        <w:ind w:left="300" w:firstLine="0"/>
      </w:pPr>
      <w:r w:rsidRPr="003740F7">
        <w:t>N° Radicado: 2201913000006681</w:t>
      </w:r>
    </w:p>
    <w:p w:rsidRPr="003740F7" w:rsidR="009918F1" w:rsidRDefault="009918F1" w14:paraId="6B652A7E" w14:textId="77777777">
      <w:pPr>
        <w:sectPr w:rsidRPr="003740F7" w:rsidR="009918F1">
          <w:type w:val="continuous"/>
          <w:pgSz w:w="12240" w:h="15840" w:orient="portrait"/>
          <w:pgMar w:top="1560" w:right="1500" w:bottom="2060" w:left="1400" w:header="720" w:footer="720" w:gutter="0"/>
          <w:cols w:equalWidth="0" w:space="720" w:num="2">
            <w:col w:w="4666" w:space="872"/>
            <w:col w:w="3802"/>
          </w:cols>
        </w:sectPr>
      </w:pPr>
    </w:p>
    <w:p w:rsidRPr="003740F7" w:rsidR="009918F1" w:rsidRDefault="009918F1" w14:paraId="231C02C9" w14:textId="77777777">
      <w:pPr>
        <w:pStyle w:val="Textoindependiente"/>
        <w:spacing w:before="3"/>
        <w:rPr>
          <w:b/>
        </w:rPr>
      </w:pPr>
    </w:p>
    <w:tbl>
      <w:tblPr>
        <w:tblStyle w:val="TableNormal"/>
        <w:tblW w:w="0" w:type="auto"/>
        <w:tblInd w:w="108" w:type="dxa"/>
        <w:tblLayout w:type="fixed"/>
        <w:tblLook w:val="01E0" w:firstRow="1" w:lastRow="1" w:firstColumn="1" w:lastColumn="1" w:noHBand="0" w:noVBand="0"/>
      </w:tblPr>
      <w:tblGrid>
        <w:gridCol w:w="3551"/>
        <w:gridCol w:w="4997"/>
      </w:tblGrid>
      <w:tr w:rsidRPr="003740F7" w:rsidR="003740F7" w14:paraId="2BD475A9" w14:textId="77777777">
        <w:trPr>
          <w:trHeight w:val="249"/>
        </w:trPr>
        <w:tc>
          <w:tcPr>
            <w:tcW w:w="3551" w:type="dxa"/>
          </w:tcPr>
          <w:p w:rsidRPr="003740F7" w:rsidR="009918F1" w:rsidRDefault="00834B0B" w14:paraId="04A398CA" w14:textId="77777777">
            <w:pPr>
              <w:pStyle w:val="TableParagraph"/>
              <w:rPr>
                <w:b/>
              </w:rPr>
            </w:pPr>
            <w:r w:rsidRPr="003740F7">
              <w:rPr>
                <w:b/>
              </w:rPr>
              <w:t>Radicación:</w:t>
            </w:r>
          </w:p>
        </w:tc>
        <w:tc>
          <w:tcPr>
            <w:tcW w:w="4997" w:type="dxa"/>
          </w:tcPr>
          <w:p w:rsidRPr="003740F7" w:rsidR="009918F1" w:rsidRDefault="00834B0B" w14:paraId="1329209A" w14:textId="77777777">
            <w:pPr>
              <w:pStyle w:val="TableParagraph"/>
              <w:ind w:left="479"/>
            </w:pPr>
            <w:r w:rsidRPr="003740F7">
              <w:t>Respuesta a consulta # 4201913000005551</w:t>
            </w:r>
          </w:p>
        </w:tc>
      </w:tr>
      <w:tr w:rsidRPr="003740F7" w:rsidR="003740F7" w14:paraId="62C7273C" w14:textId="77777777">
        <w:trPr>
          <w:trHeight w:val="252"/>
        </w:trPr>
        <w:tc>
          <w:tcPr>
            <w:tcW w:w="3551" w:type="dxa"/>
          </w:tcPr>
          <w:p w:rsidRPr="003740F7" w:rsidR="009918F1" w:rsidRDefault="00834B0B" w14:paraId="10B29356" w14:textId="77777777">
            <w:pPr>
              <w:pStyle w:val="TableParagraph"/>
              <w:spacing w:line="233" w:lineRule="exact"/>
              <w:rPr>
                <w:b/>
              </w:rPr>
            </w:pPr>
            <w:r w:rsidRPr="003740F7">
              <w:rPr>
                <w:b/>
              </w:rPr>
              <w:t>Temas:</w:t>
            </w:r>
          </w:p>
        </w:tc>
        <w:tc>
          <w:tcPr>
            <w:tcW w:w="4997" w:type="dxa"/>
          </w:tcPr>
          <w:p w:rsidRPr="003740F7" w:rsidR="009918F1" w:rsidRDefault="00834B0B" w14:paraId="2DCB13E6" w14:textId="77777777">
            <w:pPr>
              <w:pStyle w:val="TableParagraph"/>
              <w:spacing w:line="233" w:lineRule="exact"/>
              <w:ind w:left="479"/>
            </w:pPr>
            <w:r w:rsidRPr="003740F7">
              <w:t>Decreto 092 de 2017</w:t>
            </w:r>
          </w:p>
        </w:tc>
      </w:tr>
      <w:tr w:rsidRPr="003740F7" w:rsidR="009918F1" w14:paraId="2C1B7F24" w14:textId="77777777">
        <w:trPr>
          <w:trHeight w:val="249"/>
        </w:trPr>
        <w:tc>
          <w:tcPr>
            <w:tcW w:w="3551" w:type="dxa"/>
          </w:tcPr>
          <w:p w:rsidRPr="003740F7" w:rsidR="009918F1" w:rsidRDefault="00834B0B" w14:paraId="0D3909FB" w14:textId="77777777">
            <w:pPr>
              <w:pStyle w:val="TableParagraph"/>
              <w:rPr>
                <w:b/>
              </w:rPr>
            </w:pPr>
            <w:r w:rsidRPr="003740F7">
              <w:rPr>
                <w:b/>
              </w:rPr>
              <w:t>Tipo de asunto consultado:</w:t>
            </w:r>
          </w:p>
        </w:tc>
        <w:tc>
          <w:tcPr>
            <w:tcW w:w="4997" w:type="dxa"/>
          </w:tcPr>
          <w:p w:rsidRPr="003740F7" w:rsidR="009918F1" w:rsidRDefault="00834B0B" w14:paraId="6040AC36" w14:textId="77777777">
            <w:pPr>
              <w:pStyle w:val="TableParagraph"/>
              <w:ind w:left="479"/>
            </w:pPr>
            <w:r w:rsidRPr="003740F7">
              <w:t>Aplicación del Decreto 092 de 2017</w:t>
            </w:r>
          </w:p>
        </w:tc>
      </w:tr>
    </w:tbl>
    <w:p w:rsidRPr="003740F7" w:rsidR="009918F1" w:rsidRDefault="009918F1" w14:paraId="35E954A8" w14:textId="77777777">
      <w:pPr>
        <w:pStyle w:val="Textoindependiente"/>
        <w:rPr>
          <w:b/>
          <w:sz w:val="20"/>
        </w:rPr>
      </w:pPr>
    </w:p>
    <w:p w:rsidRPr="003740F7" w:rsidR="009918F1" w:rsidRDefault="009918F1" w14:paraId="53617CEF" w14:textId="77777777">
      <w:pPr>
        <w:pStyle w:val="Textoindependiente"/>
        <w:rPr>
          <w:b/>
          <w:sz w:val="16"/>
        </w:rPr>
      </w:pPr>
    </w:p>
    <w:p w:rsidRPr="003740F7" w:rsidR="009918F1" w:rsidRDefault="00834B0B" w14:paraId="5E02B6BD" w14:textId="77777777">
      <w:pPr>
        <w:pStyle w:val="Textoindependiente"/>
        <w:spacing w:before="93"/>
        <w:ind w:left="300"/>
        <w:jc w:val="both"/>
      </w:pPr>
      <w:r w:rsidRPr="003740F7">
        <w:t>Estimada señora Guerrero,</w:t>
      </w:r>
    </w:p>
    <w:p w:rsidRPr="003740F7" w:rsidR="009918F1" w:rsidRDefault="009918F1" w14:paraId="2929494D" w14:textId="77777777">
      <w:pPr>
        <w:pStyle w:val="Textoindependiente"/>
        <w:spacing w:before="10"/>
        <w:rPr>
          <w:sz w:val="21"/>
        </w:rPr>
      </w:pPr>
    </w:p>
    <w:p w:rsidRPr="003740F7" w:rsidR="009918F1" w:rsidRDefault="00834B0B" w14:paraId="2FEDE43E" w14:textId="77777777">
      <w:pPr>
        <w:pStyle w:val="Textoindependiente"/>
        <w:ind w:left="300" w:right="107"/>
        <w:jc w:val="both"/>
      </w:pPr>
      <w:r w:rsidRPr="003740F7">
        <w:t>La Agencia Nacional de Contratación Pública - Colombia Compra Eficiente responde su consulta del 15 de agosto de 2019, en ejercicio de la competencia otorgada por el numeral 8 del artículo 11 y el numeral 5 del artículo 3 del Decreto Ley 4170 de 2011.</w:t>
      </w:r>
    </w:p>
    <w:p w:rsidRPr="003740F7" w:rsidR="009918F1" w:rsidRDefault="009918F1" w14:paraId="5459ED1F" w14:textId="77777777">
      <w:pPr>
        <w:pStyle w:val="Textoindependiente"/>
        <w:spacing w:before="1"/>
      </w:pPr>
    </w:p>
    <w:p w:rsidRPr="003740F7" w:rsidR="009918F1" w:rsidRDefault="00834B0B" w14:paraId="18EAACDC" w14:textId="77777777">
      <w:pPr>
        <w:pStyle w:val="Ttulo1"/>
        <w:numPr>
          <w:ilvl w:val="0"/>
          <w:numId w:val="2"/>
        </w:numPr>
        <w:tabs>
          <w:tab w:val="left" w:pos="586"/>
        </w:tabs>
        <w:ind w:hanging="286"/>
        <w:jc w:val="both"/>
      </w:pPr>
      <w:r w:rsidRPr="003740F7">
        <w:t>Problema</w:t>
      </w:r>
      <w:r w:rsidRPr="003740F7">
        <w:rPr>
          <w:spacing w:val="-2"/>
        </w:rPr>
        <w:t xml:space="preserve"> </w:t>
      </w:r>
      <w:r w:rsidRPr="003740F7">
        <w:t>Planteado</w:t>
      </w:r>
    </w:p>
    <w:p w:rsidRPr="003740F7" w:rsidR="009918F1" w:rsidRDefault="009918F1" w14:paraId="7DF62B4A" w14:textId="77777777">
      <w:pPr>
        <w:pStyle w:val="Textoindependiente"/>
        <w:spacing w:before="11"/>
        <w:rPr>
          <w:b/>
          <w:sz w:val="21"/>
        </w:rPr>
      </w:pPr>
    </w:p>
    <w:p w:rsidRPr="003740F7" w:rsidR="009918F1" w:rsidRDefault="00834B0B" w14:paraId="67E7BF00" w14:textId="77777777">
      <w:pPr>
        <w:pStyle w:val="Textoindependiente"/>
        <w:spacing w:line="276" w:lineRule="auto"/>
        <w:ind w:left="300" w:right="103"/>
        <w:jc w:val="both"/>
      </w:pPr>
      <w:r w:rsidRPr="003740F7">
        <w:t>Teniendo en cuenta la decisión del Consejo de Estado, Sala de lo Contencioso Administrativo, Sección Tercera, Subsección A, con radicado No. 11001-03-26-000-2018- 00113-00 (62.003), del 6 de agosto de 2019, Consejero ponente Carlos Alberto Zambrano Barrera, donde se pronuncia acerca de la suspensión provisional del Decreto 092 de 2017, se pregunta:</w:t>
      </w:r>
    </w:p>
    <w:p w:rsidRPr="003740F7" w:rsidR="009918F1" w:rsidRDefault="009918F1" w14:paraId="40974C6D" w14:textId="77777777">
      <w:pPr>
        <w:pStyle w:val="Textoindependiente"/>
        <w:spacing w:before="5"/>
        <w:rPr>
          <w:sz w:val="25"/>
        </w:rPr>
      </w:pPr>
    </w:p>
    <w:p w:rsidRPr="003740F7" w:rsidR="009918F1" w:rsidRDefault="00834B0B" w14:paraId="075BBAE2" w14:textId="77777777">
      <w:pPr>
        <w:pStyle w:val="Prrafodelista"/>
        <w:numPr>
          <w:ilvl w:val="0"/>
          <w:numId w:val="1"/>
        </w:numPr>
        <w:tabs>
          <w:tab w:val="left" w:pos="586"/>
        </w:tabs>
        <w:spacing w:line="276" w:lineRule="auto"/>
        <w:ind w:right="111" w:firstLine="0"/>
        <w:jc w:val="both"/>
      </w:pPr>
      <w:r w:rsidRPr="003740F7">
        <w:t>¿Qué proceso contractual se debe adelantar por parte de los municipios para la contratación con entidades sin ánimo de</w:t>
      </w:r>
      <w:r w:rsidRPr="003740F7">
        <w:rPr>
          <w:spacing w:val="-9"/>
        </w:rPr>
        <w:t xml:space="preserve"> </w:t>
      </w:r>
      <w:r w:rsidRPr="003740F7">
        <w:t>lucro?</w:t>
      </w:r>
    </w:p>
    <w:p w:rsidRPr="003740F7" w:rsidR="009918F1" w:rsidRDefault="009918F1" w14:paraId="651D15F0" w14:textId="77777777">
      <w:pPr>
        <w:pStyle w:val="Textoindependiente"/>
        <w:spacing w:before="4"/>
        <w:rPr>
          <w:sz w:val="25"/>
        </w:rPr>
      </w:pPr>
    </w:p>
    <w:p w:rsidRPr="003740F7" w:rsidR="009918F1" w:rsidRDefault="00834B0B" w14:paraId="27DF8DFA" w14:textId="77777777">
      <w:pPr>
        <w:pStyle w:val="Prrafodelista"/>
        <w:numPr>
          <w:ilvl w:val="0"/>
          <w:numId w:val="1"/>
        </w:numPr>
        <w:tabs>
          <w:tab w:val="left" w:pos="586"/>
        </w:tabs>
        <w:spacing w:line="276" w:lineRule="auto"/>
        <w:ind w:right="110" w:firstLine="0"/>
        <w:jc w:val="both"/>
      </w:pPr>
      <w:r w:rsidRPr="003740F7">
        <w:t>¿Para la contratación se debe tener la totalidad de recursos en la caja del municipio o con la disponibilidad presupuestal puede adelantar el proceso contractual, incluido en el banco de proyectos y el plan de desarrollo</w:t>
      </w:r>
      <w:r w:rsidRPr="003740F7">
        <w:rPr>
          <w:spacing w:val="-9"/>
        </w:rPr>
        <w:t xml:space="preserve"> </w:t>
      </w:r>
      <w:r w:rsidRPr="003740F7">
        <w:t>municipal?</w:t>
      </w:r>
    </w:p>
    <w:p w:rsidRPr="003740F7" w:rsidR="009918F1" w:rsidRDefault="009918F1" w14:paraId="465677FA" w14:textId="77777777">
      <w:pPr>
        <w:pStyle w:val="Textoindependiente"/>
        <w:spacing w:before="2"/>
        <w:rPr>
          <w:sz w:val="25"/>
        </w:rPr>
      </w:pPr>
    </w:p>
    <w:p w:rsidRPr="003740F7" w:rsidR="009918F1" w:rsidRDefault="00834B0B" w14:paraId="7E458895" w14:textId="77777777">
      <w:pPr>
        <w:pStyle w:val="Prrafodelista"/>
        <w:numPr>
          <w:ilvl w:val="0"/>
          <w:numId w:val="1"/>
        </w:numPr>
        <w:tabs>
          <w:tab w:val="left" w:pos="586"/>
        </w:tabs>
        <w:spacing w:line="278" w:lineRule="auto"/>
        <w:ind w:right="108" w:firstLine="0"/>
        <w:jc w:val="both"/>
      </w:pPr>
      <w:r w:rsidRPr="003740F7">
        <w:t>¿Al no existir otra entidad sin ánimo de lucro que brinde el mismo servicio en el municipio, es obligatorio que este aporte el 30% del valor del</w:t>
      </w:r>
      <w:r w:rsidRPr="003740F7">
        <w:rPr>
          <w:spacing w:val="-19"/>
        </w:rPr>
        <w:t xml:space="preserve"> </w:t>
      </w:r>
      <w:r w:rsidRPr="003740F7">
        <w:t>convenio?</w:t>
      </w:r>
    </w:p>
    <w:p w:rsidRPr="003740F7" w:rsidR="009918F1" w:rsidRDefault="009918F1" w14:paraId="4C95C95E" w14:textId="77777777">
      <w:pPr>
        <w:pStyle w:val="Textoindependiente"/>
        <w:spacing w:before="10"/>
        <w:rPr>
          <w:sz w:val="24"/>
        </w:rPr>
      </w:pPr>
    </w:p>
    <w:p w:rsidRPr="003740F7" w:rsidR="009918F1" w:rsidRDefault="00834B0B" w14:paraId="295B0420" w14:textId="77777777">
      <w:pPr>
        <w:pStyle w:val="Prrafodelista"/>
        <w:numPr>
          <w:ilvl w:val="0"/>
          <w:numId w:val="1"/>
        </w:numPr>
        <w:tabs>
          <w:tab w:val="left" w:pos="586"/>
        </w:tabs>
        <w:spacing w:line="276" w:lineRule="auto"/>
        <w:ind w:right="110" w:firstLine="0"/>
        <w:jc w:val="both"/>
      </w:pPr>
      <w:r w:rsidRPr="003740F7">
        <w:t>¿Se debe esperar que el consejo de Estado u otra entidad reglamente el Decreto 092 de 2017 para proseguir en el tramite contractual del municipio con la ESAL para el cuidado de los adultos</w:t>
      </w:r>
      <w:r w:rsidRPr="003740F7">
        <w:rPr>
          <w:spacing w:val="-4"/>
        </w:rPr>
        <w:t xml:space="preserve"> </w:t>
      </w:r>
      <w:r w:rsidRPr="003740F7">
        <w:t>mayores?</w:t>
      </w:r>
    </w:p>
    <w:p w:rsidRPr="003740F7" w:rsidR="009918F1" w:rsidRDefault="009918F1" w14:paraId="1717F581" w14:textId="77777777">
      <w:pPr>
        <w:pStyle w:val="Textoindependiente"/>
        <w:spacing w:before="4"/>
        <w:rPr>
          <w:sz w:val="20"/>
        </w:rPr>
      </w:pPr>
    </w:p>
    <w:p w:rsidRPr="003740F7" w:rsidR="009918F1" w:rsidRDefault="00834B0B" w14:paraId="0D320CCA" w14:textId="77777777">
      <w:pPr>
        <w:pStyle w:val="Prrafodelista"/>
        <w:numPr>
          <w:ilvl w:val="0"/>
          <w:numId w:val="1"/>
        </w:numPr>
        <w:tabs>
          <w:tab w:val="left" w:pos="586"/>
        </w:tabs>
        <w:spacing w:before="93" w:line="276" w:lineRule="auto"/>
        <w:ind w:right="114" w:firstLine="0"/>
      </w:pPr>
      <w:r w:rsidRPr="003740F7">
        <w:t>¿Quién es la entidad competente para emitir el proceso a seguir en la contratación con la</w:t>
      </w:r>
      <w:r w:rsidRPr="003740F7">
        <w:rPr>
          <w:spacing w:val="-2"/>
        </w:rPr>
        <w:t xml:space="preserve"> </w:t>
      </w:r>
      <w:r w:rsidRPr="003740F7">
        <w:t>ESAL?</w:t>
      </w:r>
    </w:p>
    <w:p w:rsidRPr="003740F7" w:rsidR="009918F1" w:rsidRDefault="009918F1" w14:paraId="54215A54" w14:textId="77777777">
      <w:pPr>
        <w:pStyle w:val="Textoindependiente"/>
        <w:spacing w:before="3"/>
        <w:rPr>
          <w:sz w:val="25"/>
        </w:rPr>
      </w:pPr>
    </w:p>
    <w:p w:rsidRPr="003740F7" w:rsidR="009918F1" w:rsidRDefault="00834B0B" w14:paraId="1E932428" w14:textId="77777777">
      <w:pPr>
        <w:pStyle w:val="Prrafodelista"/>
        <w:numPr>
          <w:ilvl w:val="0"/>
          <w:numId w:val="1"/>
        </w:numPr>
        <w:tabs>
          <w:tab w:val="left" w:pos="586"/>
        </w:tabs>
        <w:spacing w:before="1" w:line="276" w:lineRule="auto"/>
        <w:ind w:right="112" w:firstLine="0"/>
      </w:pPr>
      <w:r w:rsidRPr="003740F7">
        <w:t>¿Se siguen los procedimientos de la guía de la Agencia Nacional de Contratación Pública - Colombia Compra Eficiente o sufrirá modificaciones la</w:t>
      </w:r>
      <w:r w:rsidRPr="003740F7">
        <w:rPr>
          <w:spacing w:val="-15"/>
        </w:rPr>
        <w:t xml:space="preserve"> </w:t>
      </w:r>
      <w:r w:rsidRPr="003740F7">
        <w:t>misma?</w:t>
      </w:r>
    </w:p>
    <w:p w:rsidRPr="003740F7" w:rsidR="009918F1" w:rsidRDefault="009918F1" w14:paraId="0DDECBA1" w14:textId="77777777">
      <w:pPr>
        <w:pStyle w:val="Textoindependiente"/>
        <w:spacing w:before="3"/>
        <w:rPr>
          <w:sz w:val="25"/>
        </w:rPr>
      </w:pPr>
    </w:p>
    <w:p w:rsidRPr="003740F7" w:rsidR="009918F1" w:rsidRDefault="00834B0B" w14:paraId="3736A2B3" w14:textId="77777777">
      <w:pPr>
        <w:pStyle w:val="Prrafodelista"/>
        <w:numPr>
          <w:ilvl w:val="0"/>
          <w:numId w:val="1"/>
        </w:numPr>
        <w:tabs>
          <w:tab w:val="left" w:pos="586"/>
        </w:tabs>
        <w:spacing w:line="276" w:lineRule="auto"/>
        <w:ind w:right="114" w:firstLine="0"/>
      </w:pPr>
      <w:r w:rsidRPr="003740F7">
        <w:t>¿Se debe publicar en la plataforma de SECOP I o ll el proceso contractual del municipio con la</w:t>
      </w:r>
      <w:r w:rsidRPr="003740F7">
        <w:rPr>
          <w:spacing w:val="-3"/>
        </w:rPr>
        <w:t xml:space="preserve"> </w:t>
      </w:r>
      <w:r w:rsidRPr="003740F7">
        <w:t>ESAL?</w:t>
      </w:r>
    </w:p>
    <w:p w:rsidRPr="003740F7" w:rsidR="009918F1" w:rsidRDefault="009918F1" w14:paraId="460C843E" w14:textId="77777777">
      <w:pPr>
        <w:pStyle w:val="Textoindependiente"/>
        <w:spacing w:before="3"/>
        <w:rPr>
          <w:sz w:val="25"/>
        </w:rPr>
      </w:pPr>
    </w:p>
    <w:p w:rsidRPr="003740F7" w:rsidR="009918F1" w:rsidRDefault="00834B0B" w14:paraId="693A28D8" w14:textId="77777777">
      <w:pPr>
        <w:pStyle w:val="Ttulo1"/>
        <w:numPr>
          <w:ilvl w:val="0"/>
          <w:numId w:val="2"/>
        </w:numPr>
        <w:tabs>
          <w:tab w:val="left" w:pos="586"/>
        </w:tabs>
        <w:ind w:hanging="286"/>
      </w:pPr>
      <w:r w:rsidRPr="003740F7">
        <w:lastRenderedPageBreak/>
        <w:t>Consideraciones</w:t>
      </w:r>
    </w:p>
    <w:p w:rsidRPr="003740F7" w:rsidR="009918F1" w:rsidRDefault="009918F1" w14:paraId="773DDD01" w14:textId="77777777">
      <w:pPr>
        <w:pStyle w:val="Textoindependiente"/>
        <w:spacing w:before="8"/>
        <w:rPr>
          <w:b/>
          <w:sz w:val="28"/>
        </w:rPr>
      </w:pPr>
    </w:p>
    <w:p w:rsidRPr="003740F7" w:rsidR="009918F1" w:rsidRDefault="00834B0B" w14:paraId="1B5456D8" w14:textId="77777777">
      <w:pPr>
        <w:pStyle w:val="Textoindependiente"/>
        <w:spacing w:line="276" w:lineRule="auto"/>
        <w:ind w:left="300" w:right="104"/>
        <w:jc w:val="both"/>
      </w:pPr>
      <w:r w:rsidRPr="003740F7">
        <w:t>El consejo de Estado, Sala de lo Contencioso Administrativo, Sección Tercera, subsección A, con radicado No. 11001-03-26-000-2018-00113-00 (62.003), del 6 de agosto de 2019, Consejero ponente Carlos Alberto Zambrano Barrera, estudió la solicitud de suspensión provisional del inciso 2º del artículo 1, literales “a” y “c” del artículo 2, inciso 5º del artículo 2, inciso 2º del artículo 3, inciso final del artículo 4 y artículo 5 del Decreto 092 de</w:t>
      </w:r>
      <w:r w:rsidRPr="003740F7">
        <w:rPr>
          <w:spacing w:val="-37"/>
        </w:rPr>
        <w:t xml:space="preserve"> </w:t>
      </w:r>
      <w:r w:rsidRPr="003740F7">
        <w:t>2017.</w:t>
      </w:r>
    </w:p>
    <w:p w:rsidRPr="003740F7" w:rsidR="009918F1" w:rsidRDefault="009918F1" w14:paraId="0D944A1A" w14:textId="77777777">
      <w:pPr>
        <w:pStyle w:val="Textoindependiente"/>
        <w:spacing w:before="3"/>
        <w:rPr>
          <w:sz w:val="25"/>
        </w:rPr>
      </w:pPr>
    </w:p>
    <w:p w:rsidRPr="003740F7" w:rsidR="009918F1" w:rsidRDefault="00834B0B" w14:paraId="0CEB92AD" w14:textId="32DB3342">
      <w:pPr>
        <w:pStyle w:val="Textoindependiente"/>
        <w:spacing w:line="276" w:lineRule="auto"/>
        <w:ind w:left="300" w:right="107"/>
        <w:jc w:val="both"/>
      </w:pPr>
      <w:r w:rsidRPr="003740F7">
        <w:t>Es necesario precisar que la suspensión provisional, de acuerdo con la Ley 1437 de 2011, es una medida cautelar que busca proteger y garantizar, de forma provisional, que la norma demandada no siga generando actos contrarios al ordenamiento jurídico, razón por la cual, para decretarla es necesario que la transgresión de las normas superiores invocadas surja de la comparación entre estas y los actos acusados o del estudio de las pruebas allegadas con la</w:t>
      </w:r>
      <w:r w:rsidRPr="003740F7">
        <w:rPr>
          <w:spacing w:val="-7"/>
        </w:rPr>
        <w:t xml:space="preserve"> </w:t>
      </w:r>
      <w:r w:rsidRPr="003740F7">
        <w:t>solicitud</w:t>
      </w:r>
      <w:r w:rsidR="009706AC">
        <w:rPr>
          <w:rStyle w:val="Refdenotaalpie"/>
        </w:rPr>
        <w:footnoteReference w:id="1"/>
      </w:r>
      <w:r w:rsidRPr="003740F7">
        <w:t>.</w:t>
      </w:r>
    </w:p>
    <w:p w:rsidRPr="003740F7" w:rsidR="009918F1" w:rsidRDefault="009918F1" w14:paraId="4466B869" w14:textId="77777777">
      <w:pPr>
        <w:pStyle w:val="Textoindependiente"/>
        <w:spacing w:before="9"/>
        <w:rPr>
          <w:sz w:val="24"/>
        </w:rPr>
      </w:pPr>
    </w:p>
    <w:p w:rsidRPr="003740F7" w:rsidR="009918F1" w:rsidRDefault="00834B0B" w14:paraId="33BD6B83" w14:textId="77777777">
      <w:pPr>
        <w:pStyle w:val="Textoindependiente"/>
        <w:spacing w:line="276" w:lineRule="auto"/>
        <w:ind w:left="300" w:right="111"/>
        <w:jc w:val="both"/>
      </w:pPr>
      <w:r w:rsidRPr="003740F7">
        <w:t>En este sentido, se aclara que la solicitud de suspensión provisional no se realizó sobre el Decreto 092 de 2017 en su totalidad, sino solo sobre unas normas específicas, las cuales analizaremos a continuación.</w:t>
      </w:r>
    </w:p>
    <w:p w:rsidRPr="003740F7" w:rsidR="009918F1" w:rsidRDefault="009918F1" w14:paraId="04D2527E" w14:textId="77777777">
      <w:pPr>
        <w:pStyle w:val="Textoindependiente"/>
        <w:spacing w:before="4"/>
        <w:rPr>
          <w:sz w:val="25"/>
        </w:rPr>
      </w:pPr>
    </w:p>
    <w:p w:rsidRPr="003740F7" w:rsidR="009918F1" w:rsidP="00E93944" w:rsidRDefault="00834B0B" w14:paraId="48BD21FE" w14:textId="5AF1E785">
      <w:pPr>
        <w:pStyle w:val="Textoindependiente"/>
        <w:spacing w:before="1" w:line="273" w:lineRule="auto"/>
        <w:ind w:left="300" w:right="103"/>
        <w:jc w:val="both"/>
      </w:pPr>
      <w:r w:rsidRPr="003740F7">
        <w:t>La primera norma que estudió el Consejo de Estado fue el inciso 2º del artículo 1 del Decreto 092 de 2017, el cual establece que la interpretación de las expresiones que se encuentran en mayúsculas en el Decreto 092 de 2017 se harían de conformidad con la guía</w:t>
      </w:r>
      <w:r w:rsidRPr="003740F7">
        <w:rPr>
          <w:spacing w:val="40"/>
        </w:rPr>
        <w:t xml:space="preserve"> </w:t>
      </w:r>
      <w:r w:rsidRPr="003740F7">
        <w:t>que</w:t>
      </w:r>
      <w:r w:rsidRPr="003740F7">
        <w:rPr>
          <w:spacing w:val="42"/>
        </w:rPr>
        <w:t xml:space="preserve"> </w:t>
      </w:r>
      <w:r w:rsidRPr="003740F7">
        <w:t>expida</w:t>
      </w:r>
      <w:r w:rsidRPr="003740F7">
        <w:rPr>
          <w:spacing w:val="42"/>
        </w:rPr>
        <w:t xml:space="preserve"> </w:t>
      </w:r>
      <w:r w:rsidRPr="003740F7">
        <w:t>la</w:t>
      </w:r>
      <w:r w:rsidRPr="003740F7">
        <w:rPr>
          <w:spacing w:val="41"/>
        </w:rPr>
        <w:t xml:space="preserve"> </w:t>
      </w:r>
      <w:r w:rsidRPr="003740F7">
        <w:t>Agencia</w:t>
      </w:r>
      <w:r w:rsidRPr="003740F7">
        <w:rPr>
          <w:spacing w:val="41"/>
        </w:rPr>
        <w:t xml:space="preserve"> </w:t>
      </w:r>
      <w:r w:rsidRPr="003740F7">
        <w:t>Nacional</w:t>
      </w:r>
      <w:r w:rsidRPr="003740F7">
        <w:rPr>
          <w:spacing w:val="43"/>
        </w:rPr>
        <w:t xml:space="preserve"> </w:t>
      </w:r>
      <w:r w:rsidRPr="003740F7">
        <w:t>de</w:t>
      </w:r>
      <w:r w:rsidRPr="003740F7">
        <w:rPr>
          <w:spacing w:val="39"/>
        </w:rPr>
        <w:t xml:space="preserve"> </w:t>
      </w:r>
      <w:r w:rsidRPr="003740F7">
        <w:t>Contratación</w:t>
      </w:r>
      <w:r w:rsidRPr="003740F7">
        <w:rPr>
          <w:spacing w:val="41"/>
        </w:rPr>
        <w:t xml:space="preserve"> </w:t>
      </w:r>
      <w:r w:rsidRPr="003740F7">
        <w:t>Pública</w:t>
      </w:r>
      <w:r w:rsidR="009706AC">
        <w:rPr>
          <w:rStyle w:val="Refdenotaalpie"/>
        </w:rPr>
        <w:footnoteReference w:id="2"/>
      </w:r>
      <w:r w:rsidRPr="003740F7">
        <w:t>.</w:t>
      </w:r>
      <w:r w:rsidRPr="003740F7">
        <w:rPr>
          <w:spacing w:val="41"/>
        </w:rPr>
        <w:t xml:space="preserve"> </w:t>
      </w:r>
      <w:r w:rsidRPr="003740F7">
        <w:t>Señaló</w:t>
      </w:r>
      <w:r w:rsidRPr="003740F7">
        <w:rPr>
          <w:spacing w:val="41"/>
        </w:rPr>
        <w:t xml:space="preserve"> </w:t>
      </w:r>
      <w:r w:rsidRPr="003740F7">
        <w:t>que</w:t>
      </w:r>
      <w:r w:rsidRPr="003740F7">
        <w:rPr>
          <w:spacing w:val="42"/>
        </w:rPr>
        <w:t xml:space="preserve"> </w:t>
      </w:r>
      <w:r w:rsidRPr="003740F7">
        <w:t>esta</w:t>
      </w:r>
      <w:r w:rsidR="00E93944">
        <w:t xml:space="preserve"> </w:t>
      </w:r>
      <w:r w:rsidRPr="003740F7">
        <w:t>disposición, así como el inciso segundo del artículo 3 del Decreto 092 de 2017</w:t>
      </w:r>
      <w:r w:rsidR="00681585">
        <w:rPr>
          <w:rStyle w:val="Refdenotaalpie"/>
        </w:rPr>
        <w:footnoteReference w:id="3"/>
      </w:r>
      <w:r w:rsidRPr="003740F7">
        <w:t xml:space="preserve">, exceden la potestad reglamentaria, que está exclusivamente a cargo del Presidente de la República, toda vez que la esencia de la facultad reglamentaria es de carácter permanente, inalienable, intransferible e </w:t>
      </w:r>
      <w:r w:rsidRPr="003740F7">
        <w:lastRenderedPageBreak/>
        <w:t xml:space="preserve">irrenunciable, y que el </w:t>
      </w:r>
      <w:proofErr w:type="gramStart"/>
      <w:r w:rsidRPr="003740F7">
        <w:t>Presidente</w:t>
      </w:r>
      <w:proofErr w:type="gramEnd"/>
      <w:r w:rsidRPr="003740F7">
        <w:t xml:space="preserve"> no la puede delegar en una entidad como lo es la Agencia Nacional de Contratación Pública – Colombia Compra Eficiente, para que a través de una guía reglamente los vacíos de un Decreto. Al respecto señala:</w:t>
      </w:r>
    </w:p>
    <w:p w:rsidRPr="003740F7" w:rsidR="009918F1" w:rsidRDefault="009918F1" w14:paraId="1ACDF14E" w14:textId="77777777">
      <w:pPr>
        <w:pStyle w:val="Textoindependiente"/>
        <w:spacing w:before="3"/>
        <w:rPr>
          <w:sz w:val="25"/>
        </w:rPr>
      </w:pPr>
    </w:p>
    <w:p w:rsidRPr="003740F7" w:rsidR="009918F1" w:rsidRDefault="00834B0B" w14:paraId="69AF039E" w14:textId="77777777">
      <w:pPr>
        <w:ind w:left="1008" w:right="533"/>
        <w:jc w:val="both"/>
        <w:rPr>
          <w:sz w:val="21"/>
        </w:rPr>
      </w:pPr>
      <w:r w:rsidRPr="003740F7">
        <w:rPr>
          <w:sz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3740F7" w:rsidR="009918F1" w:rsidRDefault="009918F1" w14:paraId="7A2AACC5" w14:textId="77777777">
      <w:pPr>
        <w:pStyle w:val="Textoindependiente"/>
        <w:spacing w:before="5"/>
        <w:rPr>
          <w:sz w:val="25"/>
        </w:rPr>
      </w:pPr>
    </w:p>
    <w:p w:rsidRPr="003740F7" w:rsidR="009918F1" w:rsidRDefault="00834B0B" w14:paraId="523302BE" w14:textId="77777777">
      <w:pPr>
        <w:pStyle w:val="Textoindependiente"/>
        <w:spacing w:before="1" w:line="276" w:lineRule="auto"/>
        <w:ind w:left="300" w:right="102"/>
        <w:jc w:val="both"/>
      </w:pPr>
      <w:r w:rsidRPr="003740F7">
        <w:t xml:space="preserve">En virtud de este análisis, el Consejo de Estado suspendió provisionalmente el inciso 2º del artículo primero y el inciso 2º del </w:t>
      </w:r>
      <w:proofErr w:type="spellStart"/>
      <w:r w:rsidRPr="003740F7">
        <w:t>articulo</w:t>
      </w:r>
      <w:proofErr w:type="spellEnd"/>
      <w:r w:rsidRPr="003740F7">
        <w:t xml:space="preserve"> 3, lo que significa que los contratos celebrados con entidades sin </w:t>
      </w:r>
      <w:proofErr w:type="spellStart"/>
      <w:r w:rsidRPr="003740F7">
        <w:t>animo</w:t>
      </w:r>
      <w:proofErr w:type="spellEnd"/>
      <w:r w:rsidRPr="003740F7">
        <w:t xml:space="preserve"> de lucro no tienen la obligación de aplicar la “guía para la contratación con entidades privadas sin ánimo de lucro y de reconocida idoneidad”, expedida por la Agencia Nacional de Contratación Pública – Colombia Compra</w:t>
      </w:r>
      <w:r w:rsidRPr="003740F7">
        <w:rPr>
          <w:spacing w:val="-35"/>
        </w:rPr>
        <w:t xml:space="preserve"> </w:t>
      </w:r>
      <w:r w:rsidRPr="003740F7">
        <w:t>Eficiente.</w:t>
      </w:r>
    </w:p>
    <w:p w:rsidRPr="003740F7" w:rsidR="009918F1" w:rsidRDefault="009918F1" w14:paraId="09FD1290" w14:textId="77777777">
      <w:pPr>
        <w:pStyle w:val="Textoindependiente"/>
        <w:spacing w:before="3"/>
        <w:rPr>
          <w:sz w:val="25"/>
        </w:rPr>
      </w:pPr>
    </w:p>
    <w:p w:rsidRPr="003740F7" w:rsidR="009918F1" w:rsidP="00E93944" w:rsidRDefault="00834B0B" w14:paraId="5BD088B7" w14:textId="16D930E7">
      <w:pPr>
        <w:pStyle w:val="Textoindependiente"/>
        <w:spacing w:line="276" w:lineRule="auto"/>
        <w:ind w:left="300" w:right="105"/>
        <w:jc w:val="both"/>
      </w:pPr>
      <w:r w:rsidRPr="003740F7">
        <w:t xml:space="preserve">La segunda norma que analiza el Consejo de Estado es </w:t>
      </w:r>
      <w:r w:rsidRPr="003740F7">
        <w:rPr>
          <w:spacing w:val="3"/>
        </w:rPr>
        <w:t xml:space="preserve">la </w:t>
      </w:r>
      <w:r w:rsidRPr="003740F7">
        <w:t>dispuesta en el literal a), del artículo 2 del Decreto 092 ,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w:t>
      </w:r>
      <w:r w:rsidRPr="003740F7">
        <w:rPr>
          <w:spacing w:val="-20"/>
        </w:rPr>
        <w:t xml:space="preserve"> </w:t>
      </w:r>
      <w:r w:rsidRPr="003740F7">
        <w:t>de</w:t>
      </w:r>
      <w:r w:rsidR="00E93944">
        <w:t xml:space="preserve"> </w:t>
      </w:r>
      <w:r w:rsidRPr="003740F7">
        <w:t>promoción de la diversidad étnica colombiana</w:t>
      </w:r>
      <w:r w:rsidR="00681585">
        <w:rPr>
          <w:rStyle w:val="Refdenotaalpie"/>
        </w:rPr>
        <w:footnoteReference w:id="4"/>
      </w:r>
      <w:r w:rsidRPr="003740F7">
        <w:t>. En relación con esta norma, encuentra que el literal a) del artículo 2 establece dos condiciones que son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w:t>
      </w:r>
    </w:p>
    <w:p w:rsidRPr="003740F7" w:rsidR="009918F1" w:rsidRDefault="009918F1" w14:paraId="6A19C4F2" w14:textId="77777777">
      <w:pPr>
        <w:pStyle w:val="Textoindependiente"/>
        <w:spacing w:before="5"/>
        <w:rPr>
          <w:sz w:val="24"/>
        </w:rPr>
      </w:pPr>
    </w:p>
    <w:p w:rsidRPr="003740F7" w:rsidR="009918F1" w:rsidRDefault="00834B0B" w14:paraId="79A56A67" w14:textId="77777777">
      <w:pPr>
        <w:ind w:left="1008" w:right="528"/>
        <w:jc w:val="both"/>
      </w:pPr>
      <w:r w:rsidRPr="003740F7">
        <w:rPr>
          <w:sz w:val="21"/>
        </w:rPr>
        <w:lastRenderedPageBreak/>
        <w:t>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w:t>
      </w:r>
      <w:r w:rsidRPr="003740F7">
        <w:rPr>
          <w:spacing w:val="-9"/>
          <w:sz w:val="21"/>
        </w:rPr>
        <w:t xml:space="preserve"> </w:t>
      </w:r>
      <w:r w:rsidRPr="003740F7">
        <w:rPr>
          <w:sz w:val="21"/>
        </w:rPr>
        <w:t>desarrollo</w:t>
      </w:r>
      <w:r w:rsidRPr="003740F7">
        <w:t>.</w:t>
      </w:r>
    </w:p>
    <w:p w:rsidRPr="003740F7" w:rsidR="009918F1" w:rsidRDefault="009918F1" w14:paraId="59EFE03C" w14:textId="77777777">
      <w:pPr>
        <w:pStyle w:val="Textoindependiente"/>
        <w:spacing w:before="4"/>
        <w:rPr>
          <w:sz w:val="25"/>
        </w:rPr>
      </w:pPr>
    </w:p>
    <w:p w:rsidRPr="003740F7" w:rsidR="009918F1" w:rsidRDefault="00834B0B" w14:paraId="627A5083" w14:textId="77777777">
      <w:pPr>
        <w:pStyle w:val="Textoindependiente"/>
        <w:spacing w:line="276" w:lineRule="auto"/>
        <w:ind w:left="300" w:right="105"/>
        <w:jc w:val="both"/>
      </w:pPr>
      <w:r w:rsidRPr="003740F7">
        <w:t>Así mismo, consideró el Consejo de Estado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w:t>
      </w:r>
      <w:r w:rsidRPr="003740F7">
        <w:rPr>
          <w:spacing w:val="-4"/>
        </w:rPr>
        <w:t xml:space="preserve"> </w:t>
      </w:r>
      <w:r w:rsidRPr="003740F7">
        <w:t>aplicación</w:t>
      </w:r>
      <w:r w:rsidRPr="003740F7">
        <w:rPr>
          <w:spacing w:val="-4"/>
        </w:rPr>
        <w:t xml:space="preserve"> </w:t>
      </w:r>
      <w:r w:rsidRPr="003740F7">
        <w:t>que</w:t>
      </w:r>
      <w:r w:rsidRPr="003740F7">
        <w:rPr>
          <w:spacing w:val="-4"/>
        </w:rPr>
        <w:t xml:space="preserve"> </w:t>
      </w:r>
      <w:r w:rsidRPr="003740F7">
        <w:t>establece</w:t>
      </w:r>
      <w:r w:rsidRPr="003740F7">
        <w:rPr>
          <w:spacing w:val="-4"/>
        </w:rPr>
        <w:t xml:space="preserve"> </w:t>
      </w:r>
      <w:r w:rsidRPr="003740F7">
        <w:t>el</w:t>
      </w:r>
      <w:r w:rsidRPr="003740F7">
        <w:rPr>
          <w:spacing w:val="-2"/>
        </w:rPr>
        <w:t xml:space="preserve"> </w:t>
      </w:r>
      <w:r w:rsidRPr="003740F7">
        <w:t>artículo</w:t>
      </w:r>
      <w:r w:rsidRPr="003740F7">
        <w:rPr>
          <w:spacing w:val="-4"/>
        </w:rPr>
        <w:t xml:space="preserve"> </w:t>
      </w:r>
      <w:r w:rsidRPr="003740F7">
        <w:t>355</w:t>
      </w:r>
      <w:r w:rsidRPr="003740F7">
        <w:rPr>
          <w:spacing w:val="-2"/>
        </w:rPr>
        <w:t xml:space="preserve"> </w:t>
      </w:r>
      <w:r w:rsidRPr="003740F7">
        <w:t>de</w:t>
      </w:r>
      <w:r w:rsidRPr="003740F7">
        <w:rPr>
          <w:spacing w:val="-4"/>
        </w:rPr>
        <w:t xml:space="preserve"> </w:t>
      </w:r>
      <w:r w:rsidRPr="003740F7">
        <w:t>la</w:t>
      </w:r>
      <w:r w:rsidRPr="003740F7">
        <w:rPr>
          <w:spacing w:val="-4"/>
        </w:rPr>
        <w:t xml:space="preserve"> </w:t>
      </w:r>
      <w:r w:rsidRPr="003740F7">
        <w:t>Constitución</w:t>
      </w:r>
      <w:r w:rsidRPr="003740F7">
        <w:rPr>
          <w:spacing w:val="-3"/>
        </w:rPr>
        <w:t xml:space="preserve"> </w:t>
      </w:r>
      <w:r w:rsidRPr="003740F7">
        <w:t>Política.</w:t>
      </w:r>
      <w:r w:rsidRPr="003740F7">
        <w:rPr>
          <w:spacing w:val="-5"/>
        </w:rPr>
        <w:t xml:space="preserve"> </w:t>
      </w:r>
      <w:r w:rsidRPr="003740F7">
        <w:t>Al</w:t>
      </w:r>
      <w:r w:rsidRPr="003740F7">
        <w:rPr>
          <w:spacing w:val="-4"/>
        </w:rPr>
        <w:t xml:space="preserve"> </w:t>
      </w:r>
      <w:r w:rsidRPr="003740F7">
        <w:t>respecto</w:t>
      </w:r>
      <w:r w:rsidRPr="003740F7">
        <w:rPr>
          <w:spacing w:val="-4"/>
        </w:rPr>
        <w:t xml:space="preserve"> </w:t>
      </w:r>
      <w:r w:rsidRPr="003740F7">
        <w:t>expresa:</w:t>
      </w:r>
    </w:p>
    <w:p w:rsidRPr="003740F7" w:rsidR="009918F1" w:rsidRDefault="009918F1" w14:paraId="096F8EF4" w14:textId="77777777">
      <w:pPr>
        <w:pStyle w:val="Textoindependiente"/>
        <w:spacing w:before="4"/>
        <w:rPr>
          <w:sz w:val="25"/>
        </w:rPr>
      </w:pPr>
    </w:p>
    <w:p w:rsidR="00681585" w:rsidP="00681585" w:rsidRDefault="00834B0B" w14:paraId="49C7353A" w14:textId="77777777">
      <w:pPr>
        <w:ind w:left="1008" w:right="531"/>
        <w:jc w:val="both"/>
        <w:rPr>
          <w:sz w:val="21"/>
        </w:rPr>
      </w:pPr>
      <w:r w:rsidRPr="0DC82EF6" w:rsidR="00834B0B">
        <w:rPr>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decreto </w:t>
      </w:r>
      <w:proofErr w:type="spellStart"/>
      <w:r w:rsidRPr="0DC82EF6" w:rsidR="00834B0B">
        <w:rPr>
          <w:sz w:val="21"/>
          <w:szCs w:val="21"/>
        </w:rPr>
        <w:t>ejusdem</w:t>
      </w:r>
      <w:proofErr w:type="spellEnd"/>
      <w:r w:rsidRPr="0DC82EF6" w:rsidR="00834B0B">
        <w:rPr>
          <w:sz w:val="21"/>
          <w:szCs w:val="21"/>
        </w:rPr>
        <w:t>].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w:t>
      </w:r>
      <w:r w:rsidRPr="0DC82EF6" w:rsidR="00834B0B">
        <w:rPr>
          <w:spacing w:val="-14"/>
          <w:sz w:val="21"/>
          <w:szCs w:val="21"/>
        </w:rPr>
        <w:t xml:space="preserve"> </w:t>
      </w:r>
      <w:r w:rsidRPr="0DC82EF6" w:rsidR="00834B0B">
        <w:rPr>
          <w:sz w:val="21"/>
          <w:szCs w:val="21"/>
        </w:rPr>
        <w:t>constitucional</w:t>
      </w:r>
      <w:r w:rsidRPr="003740F7">
        <w:rPr>
          <w:noProof/>
          <w:lang w:val="en-US" w:eastAsia="en-US" w:bidi="ar-SA"/>
        </w:rPr>
        <w:drawing>
          <wp:anchor distT="0" distB="0" distL="0" distR="0" simplePos="0" relativeHeight="251663360" behindDoc="0" locked="0" layoutInCell="1" allowOverlap="1" wp14:anchorId="5A802094" wp14:editId="006EB7A5">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5612130" cy="787120"/>
                    </a:xfrm>
                    <a:prstGeom prst="rect">
                      <a:avLst/>
                    </a:prstGeom>
                  </pic:spPr>
                </pic:pic>
              </a:graphicData>
            </a:graphic>
          </wp:anchor>
        </w:drawing>
      </w:r>
      <w:r w:rsidRPr="0DC82EF6" w:rsidR="00681585">
        <w:rPr>
          <w:sz w:val="21"/>
          <w:szCs w:val="21"/>
        </w:rPr>
        <w:t>.</w:t>
      </w:r>
    </w:p>
    <w:p w:rsidR="00681585" w:rsidP="00681585" w:rsidRDefault="00681585" w14:paraId="307B4AA2" w14:textId="77777777">
      <w:pPr>
        <w:ind w:left="1008" w:right="531"/>
        <w:jc w:val="both"/>
        <w:rPr>
          <w:sz w:val="21"/>
        </w:rPr>
      </w:pPr>
    </w:p>
    <w:p w:rsidRPr="003740F7" w:rsidR="009918F1" w:rsidP="00681585" w:rsidRDefault="00834B0B" w14:paraId="28FE4ED1" w14:textId="7A51D592">
      <w:pPr>
        <w:ind w:left="1008" w:right="531"/>
        <w:jc w:val="both"/>
      </w:pPr>
      <w:r w:rsidRPr="003740F7">
        <w:t>En este orden de ideas, el Consejo de Estado en suspendió provisionalmente el literal a), por lo cual el objeto de los contratos que busquen celebrarse con entidades sin ánimo de lucro debe ser acorde con los planes nacionales o seccionales de desarrollo y no estar previstos directamente en ellos, además no solo se pueden celebrar contratos con para los objetos específicos señalados en el Decreto 092 de 2017.</w:t>
      </w:r>
    </w:p>
    <w:p w:rsidRPr="003740F7" w:rsidR="009918F1" w:rsidRDefault="009918F1" w14:paraId="3F228091" w14:textId="77777777">
      <w:pPr>
        <w:pStyle w:val="Textoindependiente"/>
        <w:spacing w:before="3"/>
        <w:rPr>
          <w:sz w:val="25"/>
        </w:rPr>
      </w:pPr>
    </w:p>
    <w:p w:rsidRPr="003740F7" w:rsidR="009918F1" w:rsidRDefault="00834B0B" w14:paraId="29AB0FF2" w14:textId="388DB103">
      <w:pPr>
        <w:pStyle w:val="Textoindependiente"/>
        <w:spacing w:line="276" w:lineRule="auto"/>
        <w:ind w:left="300" w:right="102"/>
        <w:jc w:val="both"/>
      </w:pPr>
      <w:r w:rsidRPr="003740F7">
        <w:t>De igual forma, el Consejo de Estado examinó el literal c) y el inciso 5º del artículo 2 del citado Decreto</w:t>
      </w:r>
      <w:r w:rsidR="00681585">
        <w:rPr>
          <w:rStyle w:val="Refdenotaalpie"/>
        </w:rPr>
        <w:footnoteReference w:id="5"/>
      </w:r>
      <w:r w:rsidRPr="003740F7">
        <w:t xml:space="preserve">, señalando que esta contraria la norma constitucional al condicionar que los contratos con entidades sin ánimo de lucro solo se pueden celebrar en caso de inexistencia </w:t>
      </w:r>
      <w:r w:rsidRPr="003740F7">
        <w:lastRenderedPageBreak/>
        <w:t>de oferta en el mercado y por condicionar la contratación a que, de existir oferta, la contratación con las entidades sin ánimo de lucro represente la optimización de los recursos públicos en términos de eficiencia, eficacia, economía y manejo del riesgo, toda vez que se estaría desconociendo la naturaleza de las entidades sin ánimo de lucro que implica que ellas no participan en el mercado de bienes y servicios de la misma forma que las sociedades mercantiles. En este sentido, el Consejo de Estado</w:t>
      </w:r>
      <w:r w:rsidRPr="003740F7">
        <w:rPr>
          <w:spacing w:val="-26"/>
        </w:rPr>
        <w:t xml:space="preserve"> </w:t>
      </w:r>
      <w:proofErr w:type="spellStart"/>
      <w:r w:rsidRPr="003740F7">
        <w:t>manifiestó</w:t>
      </w:r>
      <w:proofErr w:type="spellEnd"/>
      <w:r w:rsidRPr="003740F7">
        <w:t>:</w:t>
      </w:r>
    </w:p>
    <w:p w:rsidRPr="003740F7" w:rsidR="009918F1" w:rsidRDefault="009918F1" w14:paraId="228F8584" w14:textId="77777777">
      <w:pPr>
        <w:pStyle w:val="Textoindependiente"/>
        <w:spacing w:before="11"/>
        <w:rPr>
          <w:sz w:val="24"/>
        </w:rPr>
      </w:pPr>
    </w:p>
    <w:p w:rsidRPr="003740F7" w:rsidR="009918F1" w:rsidRDefault="00834B0B" w14:paraId="7701E12E" w14:textId="77777777">
      <w:pPr>
        <w:ind w:left="1008" w:right="531"/>
        <w:jc w:val="both"/>
        <w:rPr>
          <w:sz w:val="21"/>
        </w:rPr>
      </w:pPr>
      <w:r w:rsidRPr="003740F7">
        <w:rPr>
          <w:sz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w:t>
      </w:r>
      <w:proofErr w:type="gramStart"/>
      <w:r w:rsidRPr="003740F7">
        <w:rPr>
          <w:sz w:val="21"/>
        </w:rPr>
        <w:t>programas  y</w:t>
      </w:r>
      <w:proofErr w:type="gramEnd"/>
      <w:r w:rsidRPr="003740F7">
        <w:rPr>
          <w:sz w:val="21"/>
        </w:rPr>
        <w:t xml:space="preserve"> actividades de interés público con reconocida idoneidad. No son, entonces, entidades creadas para competir en el</w:t>
      </w:r>
      <w:r w:rsidRPr="003740F7">
        <w:rPr>
          <w:spacing w:val="-9"/>
          <w:sz w:val="21"/>
        </w:rPr>
        <w:t xml:space="preserve"> </w:t>
      </w:r>
      <w:r w:rsidRPr="003740F7">
        <w:rPr>
          <w:sz w:val="21"/>
        </w:rPr>
        <w:t>mercado.</w:t>
      </w:r>
    </w:p>
    <w:p w:rsidRPr="003740F7" w:rsidR="009918F1" w:rsidRDefault="009918F1" w14:paraId="1E28A5D0" w14:textId="77777777">
      <w:pPr>
        <w:pStyle w:val="Textoindependiente"/>
        <w:spacing w:before="2"/>
        <w:rPr>
          <w:sz w:val="25"/>
        </w:rPr>
      </w:pPr>
    </w:p>
    <w:p w:rsidR="00E93944" w:rsidP="00E93944" w:rsidRDefault="00834B0B" w14:paraId="1D1F9F25" w14:textId="77777777">
      <w:pPr>
        <w:pStyle w:val="Textoindependiente"/>
        <w:spacing w:before="1" w:line="276" w:lineRule="auto"/>
        <w:ind w:left="300" w:right="105"/>
        <w:jc w:val="both"/>
      </w:pPr>
      <w:r w:rsidRPr="003740F7">
        <w:t>Así las cosas, el Consejo de Estado suspendió provisionalmente el literal c) y el inciso 5º del artículo 2 del Decreto 092 de 2017, razón por la cual, los procesos de contratación para contratar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la Contratación Pública y no del régimen jurídico especial que establece el artículo 355 de la Constitución Política.</w:t>
      </w:r>
      <w:r w:rsidR="00E93944">
        <w:t xml:space="preserve"> </w:t>
      </w:r>
    </w:p>
    <w:p w:rsidR="00E93944" w:rsidP="00E93944" w:rsidRDefault="00E93944" w14:paraId="0029A44B" w14:textId="77777777">
      <w:pPr>
        <w:pStyle w:val="Textoindependiente"/>
        <w:spacing w:before="1" w:line="276" w:lineRule="auto"/>
        <w:ind w:left="300" w:right="105"/>
        <w:jc w:val="both"/>
      </w:pPr>
    </w:p>
    <w:p w:rsidRPr="003740F7" w:rsidR="009918F1" w:rsidP="00E93944" w:rsidRDefault="00834B0B" w14:paraId="51F1C0C5" w14:textId="61291579">
      <w:pPr>
        <w:pStyle w:val="Textoindependiente"/>
        <w:spacing w:before="1" w:line="276" w:lineRule="auto"/>
        <w:ind w:left="300" w:right="105"/>
        <w:jc w:val="both"/>
      </w:pPr>
      <w:r w:rsidRPr="003740F7">
        <w:t>La cuarta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00681585">
        <w:rPr>
          <w:rStyle w:val="Refdenotaalpie"/>
        </w:rPr>
        <w:footnoteReference w:id="6"/>
      </w:r>
      <w:r w:rsidRPr="003740F7">
        <w:t>. Para la Sala, esta norma vulnera el principio de igualdad, por establecer un privilegio para determinadas personas jurídicas o naturales que ejecutaran únicamente las actividades allí previstas, contratándolas sin realizar un proceso competitivo. Al respecto se pronunció el Consejo de Estado en las siguientes palabras:</w:t>
      </w:r>
    </w:p>
    <w:p w:rsidRPr="003740F7" w:rsidR="009918F1" w:rsidRDefault="009918F1" w14:paraId="427D1B49" w14:textId="77777777">
      <w:pPr>
        <w:pStyle w:val="Textoindependiente"/>
        <w:spacing w:before="11"/>
        <w:rPr>
          <w:sz w:val="24"/>
        </w:rPr>
      </w:pPr>
    </w:p>
    <w:p w:rsidRPr="003740F7" w:rsidR="009918F1" w:rsidRDefault="00834B0B" w14:paraId="548C9191" w14:textId="77777777">
      <w:pPr>
        <w:pStyle w:val="Textoindependiente"/>
        <w:spacing w:line="276" w:lineRule="auto"/>
        <w:ind w:left="1008" w:right="530"/>
        <w:jc w:val="both"/>
      </w:pPr>
      <w:proofErr w:type="gramStart"/>
      <w:r w:rsidRPr="003740F7">
        <w:t>Puestas</w:t>
      </w:r>
      <w:proofErr w:type="gramEnd"/>
      <w:r w:rsidRPr="003740F7">
        <w:t xml:space="preserve"> así las cosas, el despacho no encuentra motivo alguno para que se prescinda del proceso de selección cuando se identifique que el programa o </w:t>
      </w:r>
      <w:r w:rsidRPr="003740F7">
        <w:lastRenderedPageBreak/>
        <w:t>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rsidRPr="003740F7" w:rsidR="009918F1" w:rsidRDefault="009918F1" w14:paraId="2FB93D8C" w14:textId="77777777">
      <w:pPr>
        <w:pStyle w:val="Textoindependiente"/>
        <w:spacing w:before="2"/>
        <w:rPr>
          <w:sz w:val="25"/>
        </w:rPr>
      </w:pPr>
    </w:p>
    <w:p w:rsidRPr="003740F7" w:rsidR="009918F1" w:rsidRDefault="00834B0B" w14:paraId="707ADD7A" w14:textId="77777777">
      <w:pPr>
        <w:pStyle w:val="Textoindependiente"/>
        <w:spacing w:before="1" w:line="276" w:lineRule="auto"/>
        <w:ind w:left="300" w:right="112"/>
        <w:jc w:val="both"/>
      </w:pPr>
      <w:r w:rsidRPr="003740F7">
        <w:t xml:space="preserve">Por consiguiente, se suspendió provisionalmente el inciso final del artículo 4 al concluirse que viola el principio de igualdad, por lo </w:t>
      </w:r>
      <w:proofErr w:type="gramStart"/>
      <w:r w:rsidRPr="003740F7">
        <w:t>tanto</w:t>
      </w:r>
      <w:proofErr w:type="gramEnd"/>
      <w:r w:rsidRPr="003740F7">
        <w:t xml:space="preserve"> la contratación para la ejecución de actividades y programas de interés público debe realizarse a través de un proceso competitivo para escoger a la entidad sin ánimo de lucro.</w:t>
      </w:r>
    </w:p>
    <w:p w:rsidRPr="003740F7" w:rsidR="009918F1" w:rsidRDefault="009918F1" w14:paraId="348F854F" w14:textId="77777777">
      <w:pPr>
        <w:pStyle w:val="Textoindependiente"/>
        <w:spacing w:before="3"/>
        <w:rPr>
          <w:sz w:val="25"/>
        </w:rPr>
      </w:pPr>
    </w:p>
    <w:p w:rsidRPr="003740F7" w:rsidR="009918F1" w:rsidRDefault="00834B0B" w14:paraId="00FA0870" w14:textId="77777777">
      <w:pPr>
        <w:pStyle w:val="Textoindependiente"/>
        <w:spacing w:line="276" w:lineRule="auto"/>
        <w:ind w:left="300" w:right="108"/>
        <w:jc w:val="both"/>
      </w:pPr>
      <w:r w:rsidRPr="003740F7">
        <w:t xml:space="preserve">Por último,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w:t>
      </w:r>
      <w:proofErr w:type="gramStart"/>
      <w:r w:rsidRPr="003740F7">
        <w:t>consecuencia</w:t>
      </w:r>
      <w:proofErr w:type="gramEnd"/>
      <w:r w:rsidRPr="003740F7">
        <w:t xml:space="preserve"> negó la solicitud de suspensión de esta norma.</w:t>
      </w:r>
    </w:p>
    <w:p w:rsidRPr="00681585" w:rsidR="009918F1" w:rsidP="00681585" w:rsidRDefault="009918F1" w14:paraId="2686B22B" w14:textId="1D5C2FAE">
      <w:pPr>
        <w:pStyle w:val="Textoindependiente"/>
        <w:spacing w:before="8"/>
        <w:rPr>
          <w:sz w:val="11"/>
        </w:rPr>
      </w:pPr>
    </w:p>
    <w:p w:rsidRPr="003740F7" w:rsidR="009918F1" w:rsidP="00E4358C" w:rsidRDefault="00834B0B" w14:paraId="2F1CAACF" w14:textId="77777777">
      <w:pPr>
        <w:pStyle w:val="Textoindependiente"/>
        <w:spacing w:before="93" w:line="276" w:lineRule="auto"/>
        <w:ind w:left="300" w:right="105"/>
        <w:jc w:val="both"/>
      </w:pPr>
      <w:r w:rsidRPr="003740F7">
        <w:t>En este orden de ideas, la contratación con entidades sin ánimo de lucro sigue aplicando lo previsto en el Decreto 092 de 2017, salvo lo explicado anteriormente, por lo tanto, las entidades públicas que desean celebrar contratos de interés público en los términos del artículo 355 de la Constitución Política deberán contratar con entidades sin ánimo de lucro de reconocida idoneidad realizando un proceso competitivo, teniendo en cuenta las siguientes características: i) no se debe condicionar el proceso de contratación a la inexistencia de oferta en el mercado de bienes y servicios; ii) no se debe exigir que la entidad sin ánimo de lucro realice la mejor oferta, ni que garantice la optimización de los recursos públicos; iii) el objeto del contrato debe ser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v) el contrato no establezca una relación conmutativa en el cual haya una contraprestación directa a favor de la Entidad Estatal, ni instrucciones precisas dadas por esta al contratista para cumplir con el objeto del contrato Lo anterior significa que aplica lo dispuesto en el</w:t>
      </w:r>
      <w:r w:rsidRPr="003740F7">
        <w:rPr>
          <w:spacing w:val="-13"/>
        </w:rPr>
        <w:t xml:space="preserve"> </w:t>
      </w:r>
      <w:r w:rsidRPr="003740F7">
        <w:t>artículo.</w:t>
      </w:r>
    </w:p>
    <w:p w:rsidRPr="003740F7" w:rsidR="009918F1" w:rsidRDefault="009918F1" w14:paraId="79D19067" w14:textId="77777777">
      <w:pPr>
        <w:pStyle w:val="Textoindependiente"/>
        <w:spacing w:before="3"/>
        <w:rPr>
          <w:sz w:val="25"/>
        </w:rPr>
      </w:pPr>
    </w:p>
    <w:p w:rsidRPr="003740F7" w:rsidR="009918F1" w:rsidRDefault="00834B0B" w14:paraId="779DAB03" w14:textId="77777777">
      <w:pPr>
        <w:pStyle w:val="Textoindependiente"/>
        <w:spacing w:line="276" w:lineRule="auto"/>
        <w:ind w:left="300" w:right="112"/>
        <w:jc w:val="both"/>
      </w:pPr>
      <w:r w:rsidRPr="003740F7">
        <w:t>Ahora, si lo que se pretende es realizar un convenio de asociación con entidades sin ánimo de lucro de reconocida idoneidad para el cumplimiento de las funciones que la ley le asigna a las entidades públicas, deberá aplicar lo dispuesto en el artículo 5 del Decreto 092 de 2017.</w:t>
      </w:r>
    </w:p>
    <w:p w:rsidRPr="003740F7" w:rsidR="009918F1" w:rsidRDefault="009918F1" w14:paraId="76B68BFF" w14:textId="77777777">
      <w:pPr>
        <w:pStyle w:val="Textoindependiente"/>
        <w:spacing w:before="4"/>
        <w:rPr>
          <w:sz w:val="25"/>
        </w:rPr>
      </w:pPr>
    </w:p>
    <w:p w:rsidRPr="003740F7" w:rsidR="009918F1" w:rsidRDefault="00834B0B" w14:paraId="5425A3DB" w14:textId="25AF75E4">
      <w:pPr>
        <w:pStyle w:val="Textoindependiente"/>
        <w:spacing w:line="276" w:lineRule="auto"/>
        <w:ind w:left="300" w:right="105"/>
        <w:jc w:val="both"/>
      </w:pPr>
      <w:r w:rsidRPr="003740F7">
        <w:t>Para los convenios de asociación, el artículo 5 del citado Decreto establece que el proceso para la selección de la entidad sin ánimo de lucro debe ser sujeto a competencia, salvo en aquellos casos en que una entidad sin ánimo de lucro comprometa recursos en dinero por un valor igual o superior al 30% del valor total del convenio</w:t>
      </w:r>
      <w:r w:rsidR="0010531A">
        <w:rPr>
          <w:rStyle w:val="Refdenotaalpie"/>
          <w:position w:val="7"/>
          <w:sz w:val="13"/>
        </w:rPr>
        <w:footnoteReference w:id="7"/>
      </w:r>
      <w:r w:rsidRPr="003740F7">
        <w:t>, y siempre que la entidad estatal verifique previamente que no existe ninguna otra entidad sin ánimo de lucro que ofrezca aportes iguales o superiores al 30%</w:t>
      </w:r>
      <w:r w:rsidR="00CC4868">
        <w:rPr>
          <w:rStyle w:val="Refdenotaalpie"/>
        </w:rPr>
        <w:footnoteReference w:id="8"/>
      </w:r>
      <w:r w:rsidRPr="003740F7">
        <w:t>.</w:t>
      </w:r>
    </w:p>
    <w:p w:rsidRPr="003740F7" w:rsidR="009918F1" w:rsidRDefault="009918F1" w14:paraId="430BE9E4" w14:textId="77777777">
      <w:pPr>
        <w:pStyle w:val="Textoindependiente"/>
        <w:rPr>
          <w:sz w:val="20"/>
        </w:rPr>
      </w:pPr>
    </w:p>
    <w:p w:rsidRPr="003740F7" w:rsidR="009918F1" w:rsidRDefault="00834B0B" w14:paraId="38165006" w14:textId="7F67606F">
      <w:pPr>
        <w:pStyle w:val="Textoindependiente"/>
        <w:spacing w:before="93" w:line="273" w:lineRule="auto"/>
        <w:ind w:left="300" w:right="111"/>
        <w:jc w:val="both"/>
      </w:pPr>
      <w:r w:rsidRPr="003740F7">
        <w:t>Finalmente, el Decreto 092 de 2017 exige, en el artículo 9, a las entidades sin ánimo de lucro y de reconocida idoneidad, estar inscritas en el SECOP para celebrar convenios con las entidades públicas, razón por la que se debe usar únicamente el SECOP II, pues es la única plataforma que por funcionalidad permite el registro de proveedores</w:t>
      </w:r>
      <w:r w:rsidR="00CC4868">
        <w:rPr>
          <w:rStyle w:val="Refdenotaalpie"/>
        </w:rPr>
        <w:footnoteReference w:id="9"/>
      </w:r>
      <w:r w:rsidRPr="003740F7">
        <w:t>.</w:t>
      </w:r>
    </w:p>
    <w:p w:rsidRPr="003740F7" w:rsidR="009918F1" w:rsidRDefault="009918F1" w14:paraId="4B08BD49" w14:textId="77777777">
      <w:pPr>
        <w:pStyle w:val="Textoindependiente"/>
        <w:spacing w:before="9"/>
        <w:rPr>
          <w:sz w:val="25"/>
        </w:rPr>
      </w:pPr>
    </w:p>
    <w:p w:rsidRPr="003740F7" w:rsidR="009918F1" w:rsidRDefault="00834B0B" w14:paraId="295281D2" w14:textId="77777777">
      <w:pPr>
        <w:pStyle w:val="Ttulo1"/>
        <w:numPr>
          <w:ilvl w:val="0"/>
          <w:numId w:val="2"/>
        </w:numPr>
        <w:tabs>
          <w:tab w:val="left" w:pos="586"/>
        </w:tabs>
        <w:ind w:hanging="286"/>
      </w:pPr>
      <w:r w:rsidRPr="003740F7">
        <w:t>Respuesta</w:t>
      </w:r>
    </w:p>
    <w:p w:rsidRPr="003740F7" w:rsidR="009918F1" w:rsidRDefault="009918F1" w14:paraId="5D4B2922" w14:textId="77777777">
      <w:pPr>
        <w:pStyle w:val="Textoindependiente"/>
        <w:spacing w:before="4"/>
        <w:rPr>
          <w:b/>
          <w:sz w:val="25"/>
        </w:rPr>
      </w:pPr>
    </w:p>
    <w:p w:rsidRPr="003740F7" w:rsidR="009918F1" w:rsidRDefault="00834B0B" w14:paraId="2775E102" w14:textId="77777777">
      <w:pPr>
        <w:pStyle w:val="Textoindependiente"/>
        <w:spacing w:line="276" w:lineRule="auto"/>
        <w:ind w:left="300" w:right="113"/>
        <w:jc w:val="both"/>
      </w:pPr>
      <w:r w:rsidRPr="003740F7">
        <w:t>Teniendo en cuenta las consideraciones expuestas y de acuerdo con sus interrogantes, se procede a dar respuesta en el siguiente orden:</w:t>
      </w:r>
    </w:p>
    <w:p w:rsidRPr="003740F7" w:rsidR="009918F1" w:rsidRDefault="009918F1" w14:paraId="7045D387" w14:textId="77777777">
      <w:pPr>
        <w:pStyle w:val="Textoindependiente"/>
        <w:spacing w:before="4"/>
        <w:rPr>
          <w:sz w:val="25"/>
        </w:rPr>
      </w:pPr>
    </w:p>
    <w:p w:rsidRPr="003740F7" w:rsidR="009918F1" w:rsidRDefault="00834B0B" w14:paraId="41D0DF06" w14:textId="77777777">
      <w:pPr>
        <w:pStyle w:val="Textoindependiente"/>
        <w:spacing w:line="276" w:lineRule="auto"/>
        <w:ind w:left="300" w:right="108"/>
        <w:jc w:val="both"/>
      </w:pPr>
      <w:r w:rsidRPr="003740F7">
        <w:t>En relación con la primera pregunta, los municipios, para contratar con entidades privadas sin ánimo de lucro para lo establecido en el artículo 355 de la constitución, deben aplicar lo dispuesto en el Decreto 092 de 2017, excepto lo previsto en el auto del Consejo de Estado, Sala de lo Contencioso Administrativo, Sección Tercera, subsección A, con radicado No. 11001-03-26-000-2018-00113-00 (62.003), del 6 de agosto de 2019, Consejero ponente Carlos Alberto Zambrano Barrera, y explicado en el presente concepto.</w:t>
      </w:r>
    </w:p>
    <w:p w:rsidRPr="003740F7" w:rsidR="009918F1" w:rsidRDefault="009918F1" w14:paraId="0508C220" w14:textId="77777777">
      <w:pPr>
        <w:pStyle w:val="Textoindependiente"/>
        <w:spacing w:before="2"/>
        <w:rPr>
          <w:sz w:val="25"/>
        </w:rPr>
      </w:pPr>
    </w:p>
    <w:p w:rsidRPr="003740F7" w:rsidR="009918F1" w:rsidRDefault="00834B0B" w14:paraId="3C0BEA0A" w14:textId="77777777">
      <w:pPr>
        <w:pStyle w:val="Textoindependiente"/>
        <w:spacing w:line="276" w:lineRule="auto"/>
        <w:ind w:left="300" w:right="112"/>
        <w:jc w:val="both"/>
      </w:pPr>
      <w:r w:rsidRPr="003740F7">
        <w:t xml:space="preserve">Respecto a la segunda pregunta, los contratos que se quieran celebrar con entidades sin </w:t>
      </w:r>
      <w:r w:rsidRPr="003740F7">
        <w:lastRenderedPageBreak/>
        <w:t>ánimo de lucro en los términos del citado Decreto deben tienen que contar con el respectivo certificado de disponibilidad</w:t>
      </w:r>
      <w:r w:rsidRPr="003740F7">
        <w:rPr>
          <w:spacing w:val="-4"/>
        </w:rPr>
        <w:t xml:space="preserve"> </w:t>
      </w:r>
      <w:r w:rsidRPr="003740F7">
        <w:t>presupuestal.</w:t>
      </w:r>
    </w:p>
    <w:p w:rsidRPr="003740F7" w:rsidR="009918F1" w:rsidRDefault="009918F1" w14:paraId="301E661D" w14:textId="77777777">
      <w:pPr>
        <w:pStyle w:val="Textoindependiente"/>
        <w:spacing w:before="5"/>
        <w:rPr>
          <w:sz w:val="25"/>
        </w:rPr>
      </w:pPr>
    </w:p>
    <w:p w:rsidRPr="003740F7" w:rsidR="009918F1" w:rsidRDefault="00834B0B" w14:paraId="19403044" w14:textId="77777777">
      <w:pPr>
        <w:pStyle w:val="Textoindependiente"/>
        <w:spacing w:line="276" w:lineRule="auto"/>
        <w:ind w:left="300" w:right="112"/>
        <w:jc w:val="both"/>
      </w:pPr>
      <w:r w:rsidRPr="003740F7">
        <w:t>Sobre la tercera pregunta, es necesario precisar que si lo que se busca realizar es un convenio de asociación, no es obligatorio aportar el 30% del valor total del convenio, pero la entidad estatal debe realizar un proceso</w:t>
      </w:r>
      <w:r w:rsidRPr="003740F7">
        <w:rPr>
          <w:spacing w:val="-7"/>
        </w:rPr>
        <w:t xml:space="preserve"> </w:t>
      </w:r>
      <w:r w:rsidRPr="003740F7">
        <w:t>competitivo.</w:t>
      </w:r>
    </w:p>
    <w:p w:rsidRPr="003740F7" w:rsidR="009918F1" w:rsidRDefault="009918F1" w14:paraId="4E88705A" w14:textId="77777777">
      <w:pPr>
        <w:pStyle w:val="Textoindependiente"/>
        <w:spacing w:before="2"/>
        <w:rPr>
          <w:sz w:val="25"/>
        </w:rPr>
      </w:pPr>
    </w:p>
    <w:p w:rsidRPr="003740F7" w:rsidR="009918F1" w:rsidRDefault="00834B0B" w14:paraId="634B09C1" w14:textId="77777777">
      <w:pPr>
        <w:pStyle w:val="Textoindependiente"/>
        <w:spacing w:before="1" w:line="276" w:lineRule="auto"/>
        <w:ind w:left="300" w:right="106"/>
        <w:jc w:val="both"/>
      </w:pPr>
      <w:r w:rsidRPr="003740F7">
        <w:t>En relación con la cuarta pregunta, el municipio podrá contratar con una entidad sin ánimo de lucro el cuidado de los adultos mayores aplicando el Decreto 092 de 2017, teniendo en cuenta las consideraciones expuestas, pues la suspensión provisional solo se hizo sobre algunas normas, no sobre todo el Decreto.</w:t>
      </w:r>
    </w:p>
    <w:p w:rsidRPr="003740F7" w:rsidR="009918F1" w:rsidRDefault="009918F1" w14:paraId="50C221E1" w14:textId="77777777">
      <w:pPr>
        <w:pStyle w:val="Textoindependiente"/>
        <w:spacing w:before="3"/>
        <w:rPr>
          <w:sz w:val="25"/>
        </w:rPr>
      </w:pPr>
    </w:p>
    <w:p w:rsidR="009918F1" w:rsidP="00CC4868" w:rsidRDefault="00834B0B" w14:paraId="103F7BC9" w14:textId="15DC0B46">
      <w:pPr>
        <w:pStyle w:val="Textoindependiente"/>
        <w:spacing w:line="276" w:lineRule="auto"/>
        <w:ind w:left="300" w:right="111"/>
        <w:jc w:val="both"/>
      </w:pPr>
      <w:r w:rsidRPr="003740F7">
        <w:t>Sobre la quinta pregunta, el órgano competente para reglamentar la contratación con entidades sin ánimo de lucro para la ejecución de actividades y programas de interés público, al que hace referencia el artículo 355 de la Constitución Política de Colombia, es el Gobierno Nacional, conformado por el presidente, los ministros y directores de departamentos administrativos.</w:t>
      </w:r>
      <w:r w:rsidR="00CC4868">
        <w:t xml:space="preserve"> </w:t>
      </w:r>
    </w:p>
    <w:p w:rsidRPr="003740F7" w:rsidR="00CC4868" w:rsidP="00CC4868" w:rsidRDefault="00CC4868" w14:paraId="35A94CAE" w14:textId="77777777">
      <w:pPr>
        <w:pStyle w:val="Textoindependiente"/>
        <w:spacing w:line="276" w:lineRule="auto"/>
        <w:ind w:left="300" w:right="111"/>
        <w:jc w:val="both"/>
        <w:rPr>
          <w:sz w:val="14"/>
        </w:rPr>
      </w:pPr>
    </w:p>
    <w:p w:rsidRPr="003740F7" w:rsidR="009918F1" w:rsidRDefault="00834B0B" w14:paraId="6E7C864A" w14:textId="77777777">
      <w:pPr>
        <w:pStyle w:val="Textoindependiente"/>
        <w:spacing w:before="93" w:line="276" w:lineRule="auto"/>
        <w:ind w:left="300" w:right="106"/>
        <w:jc w:val="both"/>
      </w:pPr>
      <w:r w:rsidRPr="003740F7">
        <w:t>Respecto a la sexta pregunta, la guía expedida por la Agencia Nacional de Contratación Pública – Colombia Compra Eficiente no es vinculante para los procesos de contratación que se realicen en virtud del Decreto 092 de 2017, sin embargo, puede servir como instrumento orientador para la aplicación del citado Decreto.</w:t>
      </w:r>
    </w:p>
    <w:p w:rsidRPr="003740F7" w:rsidR="009918F1" w:rsidRDefault="009918F1" w14:paraId="3A38AE88" w14:textId="77777777">
      <w:pPr>
        <w:pStyle w:val="Textoindependiente"/>
        <w:spacing w:before="4"/>
        <w:rPr>
          <w:sz w:val="25"/>
        </w:rPr>
      </w:pPr>
    </w:p>
    <w:p w:rsidRPr="003740F7" w:rsidR="009918F1" w:rsidRDefault="00834B0B" w14:paraId="2B8C75BE" w14:textId="77777777">
      <w:pPr>
        <w:pStyle w:val="Textoindependiente"/>
        <w:spacing w:line="276" w:lineRule="auto"/>
        <w:ind w:left="300" w:right="111"/>
        <w:jc w:val="both"/>
      </w:pPr>
      <w:r w:rsidRPr="003740F7">
        <w:t>En relación con su última pregunta, el proceso de contratación con entidades sin ánimo de lucro se debe realizar por el módulo dispuesto el SECOP II, pues, como se explicó, es obligatorio el registro de las entidades sin ánimo de lucro en el SECOP, y la única plataforma que lo permite es el SECOP II.</w:t>
      </w:r>
    </w:p>
    <w:p w:rsidRPr="003740F7" w:rsidR="009918F1" w:rsidRDefault="009918F1" w14:paraId="468DC7CD" w14:textId="77777777">
      <w:pPr>
        <w:pStyle w:val="Textoindependiente"/>
        <w:spacing w:before="4"/>
        <w:rPr>
          <w:sz w:val="25"/>
        </w:rPr>
      </w:pPr>
    </w:p>
    <w:p w:rsidRPr="003740F7" w:rsidR="009918F1" w:rsidRDefault="00834B0B" w14:paraId="4836CBC7" w14:textId="77777777">
      <w:pPr>
        <w:pStyle w:val="Textoindependiente"/>
        <w:spacing w:line="276" w:lineRule="auto"/>
        <w:ind w:left="300" w:right="112"/>
        <w:jc w:val="both"/>
      </w:pPr>
      <w:r w:rsidRPr="003740F7">
        <w:t>Este concepto tiene el alcance previsto en el artículo 28 del Código de Procedimiento Administrativo y de lo Contencioso Administrativo.</w:t>
      </w:r>
    </w:p>
    <w:p w:rsidRPr="003740F7" w:rsidR="009918F1" w:rsidRDefault="006C2FBF" w14:paraId="793475FE" w14:textId="77777777">
      <w:pPr>
        <w:pStyle w:val="Textoindependiente"/>
        <w:spacing w:before="6"/>
        <w:rPr>
          <w:sz w:val="19"/>
        </w:rPr>
      </w:pPr>
      <w:r w:rsidRPr="003740F7">
        <w:rPr>
          <w:noProof/>
          <w:lang w:val="en-US" w:eastAsia="en-US" w:bidi="ar-SA"/>
        </w:rPr>
        <mc:AlternateContent>
          <mc:Choice Requires="wps">
            <w:drawing>
              <wp:anchor distT="0" distB="0" distL="0" distR="0" simplePos="0" relativeHeight="251667456" behindDoc="1" locked="0" layoutInCell="1" allowOverlap="1" wp14:anchorId="2FBF6FA4" wp14:editId="5E2AC62F">
                <wp:simplePos x="0" y="0"/>
                <wp:positionH relativeFrom="page">
                  <wp:posOffset>1514475</wp:posOffset>
                </wp:positionH>
                <wp:positionV relativeFrom="paragraph">
                  <wp:posOffset>172720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3.6pt" to="488.25pt,13.6pt" w14:anchorId="16413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">
                <w10:wrap type="topAndBottom" anchorx="page"/>
              </v:line>
            </w:pict>
          </mc:Fallback>
        </mc:AlternateContent>
      </w:r>
    </w:p>
    <w:p w:rsidRPr="003740F7" w:rsidR="009918F1" w:rsidRDefault="00834B0B" w14:paraId="6C9F9645" w14:textId="77777777">
      <w:pPr>
        <w:pStyle w:val="Textoindependiente"/>
        <w:spacing w:before="197" w:after="24"/>
        <w:ind w:left="300"/>
      </w:pPr>
      <w:r w:rsidRPr="003740F7">
        <w:t>Atentamente,</w:t>
      </w:r>
    </w:p>
    <w:p w:rsidR="009918F1" w:rsidP="00E93944" w:rsidRDefault="00E93944" w14:paraId="4154BECA" w14:textId="3F6F6059">
      <w:pPr>
        <w:pStyle w:val="Textoindependiente"/>
        <w:ind w:left="337"/>
        <w:jc w:val="center"/>
        <w:rPr>
          <w:sz w:val="20"/>
        </w:rPr>
      </w:pPr>
      <w:r w:rsidR="00E93944">
        <w:drawing>
          <wp:inline wp14:editId="045FEB9D" wp14:anchorId="41E88CA1">
            <wp:extent cx="2773045" cy="988695"/>
            <wp:effectExtent l="0" t="0" r="0" b="0"/>
            <wp:docPr id="231223030" name="Imagen 14" title=""/>
            <wp:cNvGraphicFramePr>
              <a:graphicFrameLocks/>
            </wp:cNvGraphicFramePr>
            <a:graphic>
              <a:graphicData uri="http://schemas.openxmlformats.org/drawingml/2006/picture">
                <pic:pic>
                  <pic:nvPicPr>
                    <pic:cNvPr id="0" name="Imagen 14"/>
                    <pic:cNvPicPr/>
                  </pic:nvPicPr>
                  <pic:blipFill>
                    <a:blip r:embed="Re493362b938046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3740F7" w:rsidR="00E93944" w:rsidP="00E93944" w:rsidRDefault="00E93944" w14:paraId="2ED009CE" w14:textId="77777777">
      <w:pPr>
        <w:pStyle w:val="Textoindependiente"/>
        <w:ind w:left="337"/>
        <w:jc w:val="center"/>
        <w:rPr>
          <w:sz w:val="20"/>
        </w:rPr>
      </w:pPr>
    </w:p>
    <w:p w:rsidRPr="003740F7" w:rsidR="009918F1" w:rsidRDefault="00834B0B" w14:paraId="6B28309C" w14:textId="77777777">
      <w:pPr>
        <w:pStyle w:val="Textoindependiente"/>
        <w:spacing w:before="23"/>
        <w:ind w:left="300"/>
      </w:pPr>
      <w:r w:rsidRPr="003740F7">
        <w:t>Proyectó: Sergio Mateo Avila</w:t>
      </w:r>
    </w:p>
    <w:sectPr w:rsidRPr="003740F7" w:rsidR="009918F1">
      <w:footerReference w:type="default" r:id="rId14"/>
      <w:pgSz w:w="12240" w:h="15840" w:orient="portrait"/>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5E33" w:rsidRDefault="003B5E33" w14:paraId="7E03AE30" w14:textId="77777777">
      <w:r>
        <w:separator/>
      </w:r>
    </w:p>
  </w:endnote>
  <w:endnote w:type="continuationSeparator" w:id="0">
    <w:p w:rsidR="003B5E33" w:rsidRDefault="003B5E33" w14:paraId="6965E3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918F1" w:rsidRDefault="00834B0B" w14:paraId="79B63945" w14:textId="77777777">
    <w:pPr>
      <w:pStyle w:val="Textoindependiente"/>
      <w:spacing w:line="14" w:lineRule="auto"/>
      <w:rPr>
        <w:sz w:val="20"/>
      </w:rPr>
    </w:pPr>
    <w:r>
      <w:rPr>
        <w:noProof/>
        <w:lang w:val="en-US" w:eastAsia="en-US" w:bidi="ar-SA"/>
      </w:rPr>
      <w:drawing>
        <wp:anchor distT="0" distB="0" distL="0" distR="0" simplePos="0" relativeHeight="251413504" behindDoc="1" locked="0" layoutInCell="1" allowOverlap="1" wp14:anchorId="2ABACBDC" wp14:editId="6FB1B742">
          <wp:simplePos x="0" y="0"/>
          <wp:positionH relativeFrom="page">
            <wp:posOffset>1173861</wp:posOffset>
          </wp:positionH>
          <wp:positionV relativeFrom="page">
            <wp:posOffset>8878265</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DC82EF6">
      <w:rP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918F1" w:rsidRDefault="00834B0B" w14:paraId="4CD4B875" w14:textId="77777777">
    <w:pPr>
      <w:pStyle w:val="Textoindependiente"/>
      <w:spacing w:line="14" w:lineRule="auto"/>
      <w:rPr>
        <w:sz w:val="20"/>
      </w:rPr>
    </w:pPr>
    <w:r>
      <w:rPr>
        <w:noProof/>
        <w:lang w:val="en-US" w:eastAsia="en-US" w:bidi="ar-SA"/>
      </w:rPr>
      <w:drawing>
        <wp:anchor distT="0" distB="0" distL="0" distR="0" simplePos="0" relativeHeight="251414528" behindDoc="1" locked="0" layoutInCell="1" allowOverlap="1" wp14:anchorId="310CDE22" wp14:editId="3F6FDDE3">
          <wp:simplePos x="0" y="0"/>
          <wp:positionH relativeFrom="page">
            <wp:posOffset>1173861</wp:posOffset>
          </wp:positionH>
          <wp:positionV relativeFrom="page">
            <wp:posOffset>8900211</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r w:rsidR="0DC82EF6">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5E33" w:rsidRDefault="003B5E33" w14:paraId="04D2DBDA" w14:textId="77777777">
      <w:r>
        <w:separator/>
      </w:r>
    </w:p>
  </w:footnote>
  <w:footnote w:type="continuationSeparator" w:id="0">
    <w:p w:rsidR="003B5E33" w:rsidRDefault="003B5E33" w14:paraId="136213AC" w14:textId="77777777">
      <w:r>
        <w:continuationSeparator/>
      </w:r>
    </w:p>
  </w:footnote>
  <w:footnote w:id="1">
    <w:p w:rsidRPr="003740F7" w:rsidR="009706AC" w:rsidP="00E93944" w:rsidRDefault="009706AC" w14:paraId="710E3B46" w14:textId="77777777">
      <w:pPr>
        <w:spacing w:before="73"/>
        <w:ind w:left="300" w:right="102" w:firstLine="707"/>
        <w:jc w:val="both"/>
        <w:rPr>
          <w:sz w:val="18"/>
        </w:rPr>
      </w:pPr>
      <w:r>
        <w:rPr>
          <w:rStyle w:val="Refdenotaalpie"/>
        </w:rPr>
        <w:footnoteRef/>
      </w:r>
      <w:r>
        <w:t xml:space="preserve"> </w:t>
      </w:r>
      <w:r w:rsidRPr="003740F7">
        <w:rPr>
          <w:sz w:val="18"/>
        </w:rPr>
        <w:t>Ley 1437 de 2011,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p>
    <w:p w:rsidRPr="009706AC" w:rsidR="009706AC" w:rsidP="00E93944" w:rsidRDefault="009706AC" w14:paraId="1E4A44AB" w14:textId="4A04E597">
      <w:pPr>
        <w:pStyle w:val="Textonotapie"/>
        <w:ind w:left="300" w:right="102"/>
        <w:jc w:val="both"/>
        <w:rPr>
          <w:lang w:val="es-CO"/>
        </w:rPr>
      </w:pPr>
    </w:p>
  </w:footnote>
  <w:footnote w:id="2">
    <w:p w:rsidRPr="003740F7" w:rsidR="009706AC" w:rsidP="00E93944" w:rsidRDefault="009706AC" w14:paraId="691AC537" w14:textId="77777777">
      <w:pPr>
        <w:spacing w:before="76"/>
        <w:ind w:left="300" w:right="102" w:firstLine="420"/>
        <w:jc w:val="both"/>
        <w:rPr>
          <w:sz w:val="18"/>
        </w:rPr>
      </w:pPr>
      <w:r>
        <w:rPr>
          <w:rStyle w:val="Refdenotaalpie"/>
        </w:rPr>
        <w:footnoteRef/>
      </w:r>
      <w:r>
        <w:t xml:space="preserve"> </w:t>
      </w:r>
      <w:r w:rsidRPr="003740F7">
        <w:rPr>
          <w:sz w:val="18"/>
        </w:rPr>
        <w:t>Decreto 092 de 2017, artículo 1, inciso 2º: “Para la interpretación del presente decreto, las expresiones aquí utilizadas con mayúscula inicial deben ser entendidas con el significado indicado en la guía</w:t>
      </w:r>
      <w:r>
        <w:rPr>
          <w:sz w:val="18"/>
        </w:rPr>
        <w:t xml:space="preserve"> </w:t>
      </w:r>
      <w:r w:rsidRPr="003740F7">
        <w:rPr>
          <w:sz w:val="18"/>
        </w:rPr>
        <w:t>que expida la Agencia Nacional de Contratación Pública –Colombia Compra Eficiente– para la aplicación del presente decreto”.</w:t>
      </w:r>
    </w:p>
    <w:p w:rsidRPr="003740F7" w:rsidR="009706AC" w:rsidP="00E93944" w:rsidRDefault="009706AC" w14:paraId="4F31A6A8" w14:textId="430CB51C">
      <w:pPr>
        <w:spacing w:line="254" w:lineRule="auto"/>
        <w:ind w:left="300" w:right="102" w:firstLine="707"/>
        <w:jc w:val="both"/>
        <w:rPr>
          <w:sz w:val="18"/>
        </w:rPr>
      </w:pPr>
    </w:p>
    <w:p w:rsidRPr="009706AC" w:rsidR="009706AC" w:rsidP="00E93944" w:rsidRDefault="009706AC" w14:paraId="3E7E8558" w14:textId="3ED34DD4">
      <w:pPr>
        <w:pStyle w:val="Textonotapie"/>
        <w:ind w:left="300" w:right="102"/>
        <w:jc w:val="both"/>
        <w:rPr>
          <w:lang w:val="es-CO"/>
        </w:rPr>
      </w:pPr>
    </w:p>
  </w:footnote>
  <w:footnote w:id="3">
    <w:p w:rsidRPr="003740F7" w:rsidR="00681585" w:rsidP="00E93944" w:rsidRDefault="00681585" w14:paraId="5F61C543" w14:textId="4B02143F">
      <w:pPr>
        <w:spacing w:line="242" w:lineRule="auto"/>
        <w:ind w:left="300" w:right="102" w:firstLine="707"/>
        <w:jc w:val="both"/>
        <w:rPr>
          <w:sz w:val="18"/>
        </w:rPr>
      </w:pPr>
      <w:r>
        <w:rPr>
          <w:rStyle w:val="Refdenotaalpie"/>
        </w:rPr>
        <w:footnoteRef/>
      </w:r>
      <w:r>
        <w:t xml:space="preserve"> </w:t>
      </w:r>
      <w:r w:rsidRPr="003740F7">
        <w:rPr>
          <w:sz w:val="18"/>
        </w:rPr>
        <w:t>Decreto 092 de 2017, artículo 3, inciso 2º: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rsidRPr="00681585" w:rsidR="00681585" w:rsidP="00E93944" w:rsidRDefault="00681585" w14:paraId="76095502" w14:textId="44D97FF8">
      <w:pPr>
        <w:pStyle w:val="Textonotapie"/>
        <w:ind w:left="300" w:right="102"/>
        <w:jc w:val="both"/>
        <w:rPr>
          <w:lang w:val="es-CO"/>
        </w:rPr>
      </w:pPr>
    </w:p>
  </w:footnote>
  <w:footnote w:id="4">
    <w:p w:rsidRPr="003740F7" w:rsidR="00681585" w:rsidP="00E93944" w:rsidRDefault="00681585" w14:paraId="5950D073" w14:textId="77777777">
      <w:pPr>
        <w:spacing w:before="75" w:line="244" w:lineRule="auto"/>
        <w:ind w:left="300" w:right="102" w:firstLine="707"/>
        <w:jc w:val="both"/>
        <w:rPr>
          <w:sz w:val="18"/>
        </w:rPr>
      </w:pPr>
      <w:r>
        <w:rPr>
          <w:rStyle w:val="Refdenotaalpie"/>
        </w:rPr>
        <w:footnoteRef/>
      </w:r>
      <w:r>
        <w:t xml:space="preserve"> </w:t>
      </w:r>
      <w:r w:rsidRPr="003740F7">
        <w:rPr>
          <w:sz w:val="18"/>
        </w:rPr>
        <w:t>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681585" w:rsidR="00681585" w:rsidP="00E93944" w:rsidRDefault="00681585" w14:paraId="06411598" w14:textId="0C59B80D">
      <w:pPr>
        <w:pStyle w:val="Textonotapie"/>
        <w:ind w:left="300" w:right="102"/>
        <w:jc w:val="both"/>
        <w:rPr>
          <w:lang w:val="es-CO"/>
        </w:rPr>
      </w:pPr>
    </w:p>
  </w:footnote>
  <w:footnote w:id="5">
    <w:p w:rsidRPr="003740F7" w:rsidR="00681585" w:rsidP="00E93944" w:rsidRDefault="00681585" w14:paraId="78046AE3" w14:textId="77777777">
      <w:pPr>
        <w:spacing w:before="89" w:line="242" w:lineRule="auto"/>
        <w:ind w:left="300" w:right="102" w:firstLine="707"/>
        <w:jc w:val="both"/>
        <w:rPr>
          <w:sz w:val="18"/>
        </w:rPr>
      </w:pPr>
      <w:r>
        <w:rPr>
          <w:rStyle w:val="Refdenotaalpie"/>
        </w:rPr>
        <w:footnoteRef/>
      </w:r>
      <w:r>
        <w:t xml:space="preserve"> </w:t>
      </w:r>
      <w:r w:rsidRPr="003740F7">
        <w:rPr>
          <w:sz w:val="18"/>
        </w:rPr>
        <w:t>Decreto 092 de 2017, Artículo 2, literal c: “c)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rsidRPr="00681585" w:rsidR="00681585" w:rsidP="00E93944" w:rsidRDefault="00681585" w14:paraId="2ECC9908" w14:textId="5C858385">
      <w:pPr>
        <w:pStyle w:val="Textonotapie"/>
        <w:ind w:left="300" w:right="102"/>
        <w:jc w:val="both"/>
        <w:rPr>
          <w:lang w:val="es-CO"/>
        </w:rPr>
      </w:pPr>
    </w:p>
  </w:footnote>
  <w:footnote w:id="6">
    <w:p w:rsidRPr="003740F7" w:rsidR="00681585" w:rsidP="00E93944" w:rsidRDefault="00681585" w14:paraId="5EE35ABE" w14:textId="77777777">
      <w:pPr>
        <w:spacing w:before="86" w:line="242" w:lineRule="auto"/>
        <w:ind w:left="300" w:right="102" w:firstLine="707"/>
        <w:jc w:val="both"/>
        <w:rPr>
          <w:sz w:val="18"/>
        </w:rPr>
      </w:pPr>
      <w:r>
        <w:rPr>
          <w:rStyle w:val="Refdenotaalpie"/>
        </w:rPr>
        <w:footnoteRef/>
      </w:r>
      <w:r>
        <w:t xml:space="preserve"> </w:t>
      </w:r>
      <w:r w:rsidRPr="003740F7">
        <w:rPr>
          <w:sz w:val="18"/>
        </w:rPr>
        <w:t>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rsidRPr="00681585" w:rsidR="00681585" w:rsidP="00E93944" w:rsidRDefault="00681585" w14:paraId="11FD131B" w14:textId="531D18F1">
      <w:pPr>
        <w:pStyle w:val="Textonotapie"/>
        <w:ind w:left="300" w:right="102"/>
        <w:jc w:val="both"/>
        <w:rPr>
          <w:lang w:val="es-CO"/>
        </w:rPr>
      </w:pPr>
    </w:p>
  </w:footnote>
  <w:footnote w:id="7">
    <w:p w:rsidRPr="003740F7" w:rsidR="0010531A" w:rsidP="00E93944" w:rsidRDefault="0010531A" w14:paraId="1F301390" w14:textId="77777777">
      <w:pPr>
        <w:spacing w:before="76"/>
        <w:ind w:left="300" w:right="102" w:firstLine="707"/>
        <w:jc w:val="both"/>
        <w:rPr>
          <w:sz w:val="18"/>
        </w:rPr>
      </w:pPr>
      <w:r>
        <w:rPr>
          <w:rStyle w:val="Refdenotaalpie"/>
        </w:rPr>
        <w:footnoteRef/>
      </w:r>
      <w:r>
        <w:t xml:space="preserve"> </w:t>
      </w:r>
      <w:r w:rsidRPr="003740F7">
        <w:rPr>
          <w:sz w:val="18"/>
        </w:rPr>
        <w:t>Decreto 1082, artículo 5: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Pr="0010531A" w:rsidR="0010531A" w:rsidP="00E93944" w:rsidRDefault="0010531A" w14:paraId="6057720B" w14:textId="126B427F">
      <w:pPr>
        <w:pStyle w:val="Textonotapie"/>
        <w:ind w:left="300" w:right="102"/>
        <w:jc w:val="both"/>
        <w:rPr>
          <w:lang w:val="es-CO"/>
        </w:rPr>
      </w:pPr>
    </w:p>
  </w:footnote>
  <w:footnote w:id="8">
    <w:p w:rsidRPr="003740F7" w:rsidR="00CC4868" w:rsidP="00E93944" w:rsidRDefault="00CC4868" w14:paraId="05401AC3" w14:textId="0E8B9530">
      <w:pPr>
        <w:spacing w:line="244" w:lineRule="auto"/>
        <w:ind w:left="300" w:right="102" w:firstLine="707"/>
        <w:jc w:val="both"/>
        <w:rPr>
          <w:sz w:val="18"/>
        </w:rPr>
      </w:pPr>
      <w:r>
        <w:rPr>
          <w:rStyle w:val="Refdenotaalpie"/>
        </w:rPr>
        <w:footnoteRef/>
      </w:r>
      <w:r>
        <w:t xml:space="preserve"> </w:t>
      </w:r>
      <w:r w:rsidRPr="003740F7">
        <w:rPr>
          <w:sz w:val="18"/>
        </w:rPr>
        <w:t>Inciso segundo, artículo 5, Decreto 092 de 2017: “Si hay de una entidad privada sin ánimo lucro que su compromiso de recursos en dinero para desarrollo conjunto de actividades relacionadas con los cometidos y funciones asignadas por Ley a una Entidad, en una proporción no inferior al 30% del valor total del convenio, la Entidad Estatal debe de forma objetiva a tal entidad y justificar los criterios tal selección”.</w:t>
      </w:r>
    </w:p>
    <w:p w:rsidRPr="00CC4868" w:rsidR="00CC4868" w:rsidP="00E93944" w:rsidRDefault="00CC4868" w14:paraId="574A6047" w14:textId="074F6F2E">
      <w:pPr>
        <w:pStyle w:val="Textonotapie"/>
        <w:ind w:left="300" w:right="102"/>
        <w:jc w:val="both"/>
        <w:rPr>
          <w:lang w:val="es-CO"/>
        </w:rPr>
      </w:pPr>
    </w:p>
  </w:footnote>
  <w:footnote w:id="9">
    <w:p w:rsidRPr="00CC4868" w:rsidR="00CC4868" w:rsidP="00E93944" w:rsidRDefault="00CC4868" w14:paraId="3BEB7424" w14:textId="5E0F8332">
      <w:pPr>
        <w:pStyle w:val="Textonotapie"/>
        <w:ind w:left="300" w:right="102" w:firstLine="720"/>
        <w:jc w:val="both"/>
        <w:rPr>
          <w:lang w:val="es-CO"/>
        </w:rPr>
      </w:pPr>
      <w:r>
        <w:rPr>
          <w:rStyle w:val="Refdenotaalpie"/>
        </w:rPr>
        <w:footnoteRef/>
      </w:r>
      <w:r>
        <w:t xml:space="preserve"> </w:t>
      </w:r>
      <w:r w:rsidRPr="003740F7">
        <w:rPr>
          <w:sz w:val="18"/>
        </w:rPr>
        <w:t>Agencia Nacional de Contratación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918F1" w:rsidRDefault="00834B0B" w14:paraId="2D587F2A" w14:textId="77777777">
    <w:pPr>
      <w:pStyle w:val="Textoindependiente"/>
      <w:spacing w:line="14" w:lineRule="auto"/>
      <w:rPr>
        <w:sz w:val="20"/>
      </w:rPr>
    </w:pPr>
    <w:r>
      <w:rPr>
        <w:noProof/>
        <w:lang w:val="en-US" w:eastAsia="en-US" w:bidi="ar-SA"/>
      </w:rPr>
      <w:drawing>
        <wp:anchor distT="0" distB="0" distL="0" distR="0" simplePos="0" relativeHeight="251412480" behindDoc="1" locked="0" layoutInCell="1" allowOverlap="1" wp14:anchorId="2D7BB54E" wp14:editId="7DE73A7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DC82EF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24CDB"/>
    <w:multiLevelType w:val="hybridMultilevel"/>
    <w:tmpl w:val="FEC8D91A"/>
    <w:lvl w:ilvl="0" w:tplc="373C48EA">
      <w:start w:val="1"/>
      <w:numFmt w:val="decimal"/>
      <w:lvlText w:val="%1)"/>
      <w:lvlJc w:val="left"/>
      <w:pPr>
        <w:ind w:left="300" w:hanging="285"/>
        <w:jc w:val="left"/>
      </w:pPr>
      <w:rPr>
        <w:rFonts w:hint="default" w:ascii="Arial" w:hAnsi="Arial" w:eastAsia="Arial" w:cs="Arial"/>
        <w:color w:val="000000" w:themeColor="text1"/>
        <w:w w:val="100"/>
        <w:sz w:val="22"/>
        <w:szCs w:val="22"/>
        <w:lang w:val="es-ES" w:eastAsia="es-ES" w:bidi="es-ES"/>
      </w:rPr>
    </w:lvl>
    <w:lvl w:ilvl="1" w:tplc="6EC2759A">
      <w:numFmt w:val="bullet"/>
      <w:lvlText w:val="•"/>
      <w:lvlJc w:val="left"/>
      <w:pPr>
        <w:ind w:left="1204" w:hanging="285"/>
      </w:pPr>
      <w:rPr>
        <w:rFonts w:hint="default"/>
        <w:lang w:val="es-ES" w:eastAsia="es-ES" w:bidi="es-ES"/>
      </w:rPr>
    </w:lvl>
    <w:lvl w:ilvl="2" w:tplc="FA1223BC">
      <w:numFmt w:val="bullet"/>
      <w:lvlText w:val="•"/>
      <w:lvlJc w:val="left"/>
      <w:pPr>
        <w:ind w:left="2108" w:hanging="285"/>
      </w:pPr>
      <w:rPr>
        <w:rFonts w:hint="default"/>
        <w:lang w:val="es-ES" w:eastAsia="es-ES" w:bidi="es-ES"/>
      </w:rPr>
    </w:lvl>
    <w:lvl w:ilvl="3" w:tplc="6E624436">
      <w:numFmt w:val="bullet"/>
      <w:lvlText w:val="•"/>
      <w:lvlJc w:val="left"/>
      <w:pPr>
        <w:ind w:left="3012" w:hanging="285"/>
      </w:pPr>
      <w:rPr>
        <w:rFonts w:hint="default"/>
        <w:lang w:val="es-ES" w:eastAsia="es-ES" w:bidi="es-ES"/>
      </w:rPr>
    </w:lvl>
    <w:lvl w:ilvl="4" w:tplc="58C61E52">
      <w:numFmt w:val="bullet"/>
      <w:lvlText w:val="•"/>
      <w:lvlJc w:val="left"/>
      <w:pPr>
        <w:ind w:left="3916" w:hanging="285"/>
      </w:pPr>
      <w:rPr>
        <w:rFonts w:hint="default"/>
        <w:lang w:val="es-ES" w:eastAsia="es-ES" w:bidi="es-ES"/>
      </w:rPr>
    </w:lvl>
    <w:lvl w:ilvl="5" w:tplc="7DBC06F6">
      <w:numFmt w:val="bullet"/>
      <w:lvlText w:val="•"/>
      <w:lvlJc w:val="left"/>
      <w:pPr>
        <w:ind w:left="4820" w:hanging="285"/>
      </w:pPr>
      <w:rPr>
        <w:rFonts w:hint="default"/>
        <w:lang w:val="es-ES" w:eastAsia="es-ES" w:bidi="es-ES"/>
      </w:rPr>
    </w:lvl>
    <w:lvl w:ilvl="6" w:tplc="575A74B6">
      <w:numFmt w:val="bullet"/>
      <w:lvlText w:val="•"/>
      <w:lvlJc w:val="left"/>
      <w:pPr>
        <w:ind w:left="5724" w:hanging="285"/>
      </w:pPr>
      <w:rPr>
        <w:rFonts w:hint="default"/>
        <w:lang w:val="es-ES" w:eastAsia="es-ES" w:bidi="es-ES"/>
      </w:rPr>
    </w:lvl>
    <w:lvl w:ilvl="7" w:tplc="D7CC4750">
      <w:numFmt w:val="bullet"/>
      <w:lvlText w:val="•"/>
      <w:lvlJc w:val="left"/>
      <w:pPr>
        <w:ind w:left="6628" w:hanging="285"/>
      </w:pPr>
      <w:rPr>
        <w:rFonts w:hint="default"/>
        <w:lang w:val="es-ES" w:eastAsia="es-ES" w:bidi="es-ES"/>
      </w:rPr>
    </w:lvl>
    <w:lvl w:ilvl="8" w:tplc="41B2BC6C">
      <w:numFmt w:val="bullet"/>
      <w:lvlText w:val="•"/>
      <w:lvlJc w:val="left"/>
      <w:pPr>
        <w:ind w:left="7532" w:hanging="285"/>
      </w:pPr>
      <w:rPr>
        <w:rFonts w:hint="default"/>
        <w:lang w:val="es-ES" w:eastAsia="es-ES" w:bidi="es-ES"/>
      </w:rPr>
    </w:lvl>
  </w:abstractNum>
  <w:abstractNum w:abstractNumId="1" w15:restartNumberingAfterBreak="0">
    <w:nsid w:val="753C4CAB"/>
    <w:multiLevelType w:val="hybridMultilevel"/>
    <w:tmpl w:val="3BFED594"/>
    <w:lvl w:ilvl="0" w:tplc="4E30EB42">
      <w:start w:val="1"/>
      <w:numFmt w:val="decimal"/>
      <w:lvlText w:val="%1."/>
      <w:lvlJc w:val="left"/>
      <w:pPr>
        <w:ind w:left="585" w:hanging="285"/>
        <w:jc w:val="left"/>
      </w:pPr>
      <w:rPr>
        <w:rFonts w:hint="default" w:ascii="Arial" w:hAnsi="Arial" w:eastAsia="Arial" w:cs="Arial"/>
        <w:b/>
        <w:bCs/>
        <w:color w:val="000000" w:themeColor="text1"/>
        <w:spacing w:val="-21"/>
        <w:w w:val="100"/>
        <w:sz w:val="22"/>
        <w:szCs w:val="22"/>
        <w:lang w:val="es-ES" w:eastAsia="es-ES" w:bidi="es-ES"/>
      </w:rPr>
    </w:lvl>
    <w:lvl w:ilvl="1" w:tplc="E760E370">
      <w:numFmt w:val="bullet"/>
      <w:lvlText w:val="•"/>
      <w:lvlJc w:val="left"/>
      <w:pPr>
        <w:ind w:left="580" w:hanging="285"/>
      </w:pPr>
      <w:rPr>
        <w:rFonts w:hint="default"/>
        <w:lang w:val="es-ES" w:eastAsia="es-ES" w:bidi="es-ES"/>
      </w:rPr>
    </w:lvl>
    <w:lvl w:ilvl="2" w:tplc="F7840664">
      <w:numFmt w:val="bullet"/>
      <w:lvlText w:val="•"/>
      <w:lvlJc w:val="left"/>
      <w:pPr>
        <w:ind w:left="1553" w:hanging="285"/>
      </w:pPr>
      <w:rPr>
        <w:rFonts w:hint="default"/>
        <w:lang w:val="es-ES" w:eastAsia="es-ES" w:bidi="es-ES"/>
      </w:rPr>
    </w:lvl>
    <w:lvl w:ilvl="3" w:tplc="84927842">
      <w:numFmt w:val="bullet"/>
      <w:lvlText w:val="•"/>
      <w:lvlJc w:val="left"/>
      <w:pPr>
        <w:ind w:left="2526" w:hanging="285"/>
      </w:pPr>
      <w:rPr>
        <w:rFonts w:hint="default"/>
        <w:lang w:val="es-ES" w:eastAsia="es-ES" w:bidi="es-ES"/>
      </w:rPr>
    </w:lvl>
    <w:lvl w:ilvl="4" w:tplc="219CC132">
      <w:numFmt w:val="bullet"/>
      <w:lvlText w:val="•"/>
      <w:lvlJc w:val="left"/>
      <w:pPr>
        <w:ind w:left="3500" w:hanging="285"/>
      </w:pPr>
      <w:rPr>
        <w:rFonts w:hint="default"/>
        <w:lang w:val="es-ES" w:eastAsia="es-ES" w:bidi="es-ES"/>
      </w:rPr>
    </w:lvl>
    <w:lvl w:ilvl="5" w:tplc="3D32037A">
      <w:numFmt w:val="bullet"/>
      <w:lvlText w:val="•"/>
      <w:lvlJc w:val="left"/>
      <w:pPr>
        <w:ind w:left="4473" w:hanging="285"/>
      </w:pPr>
      <w:rPr>
        <w:rFonts w:hint="default"/>
        <w:lang w:val="es-ES" w:eastAsia="es-ES" w:bidi="es-ES"/>
      </w:rPr>
    </w:lvl>
    <w:lvl w:ilvl="6" w:tplc="E25C693A">
      <w:numFmt w:val="bullet"/>
      <w:lvlText w:val="•"/>
      <w:lvlJc w:val="left"/>
      <w:pPr>
        <w:ind w:left="5446" w:hanging="285"/>
      </w:pPr>
      <w:rPr>
        <w:rFonts w:hint="default"/>
        <w:lang w:val="es-ES" w:eastAsia="es-ES" w:bidi="es-ES"/>
      </w:rPr>
    </w:lvl>
    <w:lvl w:ilvl="7" w:tplc="4CD84EC4">
      <w:numFmt w:val="bullet"/>
      <w:lvlText w:val="•"/>
      <w:lvlJc w:val="left"/>
      <w:pPr>
        <w:ind w:left="6420" w:hanging="285"/>
      </w:pPr>
      <w:rPr>
        <w:rFonts w:hint="default"/>
        <w:lang w:val="es-ES" w:eastAsia="es-ES" w:bidi="es-ES"/>
      </w:rPr>
    </w:lvl>
    <w:lvl w:ilvl="8" w:tplc="43183C26">
      <w:numFmt w:val="bullet"/>
      <w:lvlText w:val="•"/>
      <w:lvlJc w:val="left"/>
      <w:pPr>
        <w:ind w:left="7393" w:hanging="285"/>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F1"/>
    <w:rsid w:val="000436D1"/>
    <w:rsid w:val="0010531A"/>
    <w:rsid w:val="002F50D8"/>
    <w:rsid w:val="002F7825"/>
    <w:rsid w:val="003316C0"/>
    <w:rsid w:val="003740F7"/>
    <w:rsid w:val="003B5E33"/>
    <w:rsid w:val="00427154"/>
    <w:rsid w:val="0051479F"/>
    <w:rsid w:val="00681585"/>
    <w:rsid w:val="006C2FBF"/>
    <w:rsid w:val="00834B0B"/>
    <w:rsid w:val="009706AC"/>
    <w:rsid w:val="009918F1"/>
    <w:rsid w:val="00A32A90"/>
    <w:rsid w:val="00C83E21"/>
    <w:rsid w:val="00CC4868"/>
    <w:rsid w:val="00E4358C"/>
    <w:rsid w:val="00E93944"/>
    <w:rsid w:val="045FEB9D"/>
    <w:rsid w:val="0DC82EF6"/>
    <w:rsid w:val="24AD3503"/>
    <w:rsid w:val="6F07A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4F29"/>
  <w15:docId w15:val="{E7BB2296-D105-4F1F-A575-132D01EB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pPr>
  </w:style>
  <w:style w:type="paragraph" w:styleId="TableParagraph" w:customStyle="1">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427154"/>
    <w:pPr>
      <w:tabs>
        <w:tab w:val="center" w:pos="4419"/>
        <w:tab w:val="right" w:pos="8838"/>
      </w:tabs>
    </w:pPr>
  </w:style>
  <w:style w:type="character" w:styleId="EncabezadoCar" w:customStyle="1">
    <w:name w:val="Encabezado Car"/>
    <w:basedOn w:val="Fuentedeprrafopredeter"/>
    <w:link w:val="Encabezado"/>
    <w:uiPriority w:val="99"/>
    <w:rsid w:val="00427154"/>
    <w:rPr>
      <w:rFonts w:ascii="Arial" w:hAnsi="Arial" w:eastAsia="Arial" w:cs="Arial"/>
      <w:lang w:val="es-ES" w:eastAsia="es-ES" w:bidi="es-ES"/>
    </w:rPr>
  </w:style>
  <w:style w:type="paragraph" w:styleId="Piedepgina">
    <w:name w:val="footer"/>
    <w:basedOn w:val="Normal"/>
    <w:link w:val="PiedepginaCar"/>
    <w:uiPriority w:val="99"/>
    <w:unhideWhenUsed/>
    <w:rsid w:val="00427154"/>
    <w:pPr>
      <w:tabs>
        <w:tab w:val="center" w:pos="4419"/>
        <w:tab w:val="right" w:pos="8838"/>
      </w:tabs>
    </w:pPr>
  </w:style>
  <w:style w:type="character" w:styleId="PiedepginaCar" w:customStyle="1">
    <w:name w:val="Pie de página Car"/>
    <w:basedOn w:val="Fuentedeprrafopredeter"/>
    <w:link w:val="Piedepgina"/>
    <w:uiPriority w:val="99"/>
    <w:rsid w:val="00427154"/>
    <w:rPr>
      <w:rFonts w:ascii="Arial" w:hAnsi="Arial" w:eastAsia="Arial" w:cs="Arial"/>
      <w:lang w:val="es-ES" w:eastAsia="es-ES" w:bidi="es-ES"/>
    </w:rPr>
  </w:style>
  <w:style w:type="paragraph" w:styleId="Textonotapie">
    <w:name w:val="footnote text"/>
    <w:basedOn w:val="Normal"/>
    <w:link w:val="TextonotapieCar"/>
    <w:uiPriority w:val="99"/>
    <w:semiHidden/>
    <w:unhideWhenUsed/>
    <w:rsid w:val="009706AC"/>
    <w:rPr>
      <w:sz w:val="20"/>
      <w:szCs w:val="20"/>
    </w:rPr>
  </w:style>
  <w:style w:type="character" w:styleId="TextonotapieCar" w:customStyle="1">
    <w:name w:val="Texto nota pie Car"/>
    <w:basedOn w:val="Fuentedeprrafopredeter"/>
    <w:link w:val="Textonotapie"/>
    <w:uiPriority w:val="99"/>
    <w:semiHidden/>
    <w:rsid w:val="009706AC"/>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970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4.png" Id="Re493362b9380468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8B5F4C2-7E50-4629-87AD-50EABDD1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D99B2-1150-4473-A9E4-3D11B8F7EB3E}">
  <ds:schemaRefs>
    <ds:schemaRef ds:uri="http://schemas.microsoft.com/sharepoint/v3/contenttype/forms"/>
  </ds:schemaRefs>
</ds:datastoreItem>
</file>

<file path=customXml/itemProps3.xml><?xml version="1.0" encoding="utf-8"?>
<ds:datastoreItem xmlns:ds="http://schemas.openxmlformats.org/officeDocument/2006/customXml" ds:itemID="{69D4835A-4022-4BFF-8D73-CAAFB0CE4E4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18</revision>
  <dcterms:created xsi:type="dcterms:W3CDTF">2020-04-07T22:54:00.0000000Z</dcterms:created>
  <dcterms:modified xsi:type="dcterms:W3CDTF">2020-07-12T22:26:53.1792640Z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