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93BA7" w:rsidR="003343B5" w:rsidP="003343B5" w:rsidRDefault="003343B5" w14:paraId="742451EC" w14:textId="77777777">
      <w:pPr>
        <w:jc w:val="right"/>
        <w:rPr>
          <w:rFonts w:ascii="Arial" w:hAnsi="Arial" w:cs="Arial"/>
          <w:b/>
          <w:color w:val="000000" w:themeColor="text1"/>
          <w:sz w:val="16"/>
          <w:szCs w:val="16"/>
          <w:lang w:val="es-ES" w:eastAsia="es-ES"/>
        </w:rPr>
      </w:pPr>
      <w:bookmarkStart w:name="_Hlk28946138" w:id="0"/>
      <w:bookmarkStart w:name="_Hlk29548183" w:id="1"/>
      <w:r w:rsidRPr="00593BA7">
        <w:rPr>
          <w:rFonts w:ascii="Arial" w:hAnsi="Arial" w:cs="Arial"/>
          <w:b/>
          <w:color w:val="000000" w:themeColor="text1"/>
          <w:sz w:val="16"/>
          <w:szCs w:val="16"/>
          <w:lang w:val="es-ES" w:eastAsia="es-ES"/>
        </w:rPr>
        <w:tab/>
      </w:r>
      <w:r w:rsidRPr="00593BA7">
        <w:rPr>
          <w:rFonts w:ascii="Arial" w:hAnsi="Arial" w:cs="Arial"/>
          <w:b/>
          <w:color w:val="000000" w:themeColor="text1"/>
          <w:sz w:val="16"/>
          <w:szCs w:val="16"/>
          <w:lang w:val="es-ES" w:eastAsia="es-ES"/>
        </w:rPr>
        <w:t>CCE-DES-FM-17</w:t>
      </w:r>
    </w:p>
    <w:p w:rsidR="003343B5" w:rsidP="003343B5" w:rsidRDefault="003343B5" w14:paraId="3067CDA3" w14:textId="77777777">
      <w:pPr>
        <w:jc w:val="both"/>
        <w:rPr>
          <w:rFonts w:ascii="Arial" w:hAnsi="Arial" w:eastAsia="Calibri" w:cs="Arial"/>
          <w:b/>
          <w:bCs/>
          <w:color w:val="000000" w:themeColor="text1"/>
          <w:sz w:val="22"/>
          <w:szCs w:val="22"/>
          <w:lang w:val="es-ES"/>
        </w:rPr>
      </w:pPr>
    </w:p>
    <w:p w:rsidRPr="00CA391E" w:rsidR="003343B5" w:rsidP="003343B5" w:rsidRDefault="0070653A" w14:paraId="1948A648" w14:textId="32932189">
      <w:pPr>
        <w:jc w:val="both"/>
        <w:rPr>
          <w:rFonts w:ascii="Arial" w:hAnsi="Arial" w:eastAsia="Calibri" w:cs="Arial"/>
          <w:b w:val="1"/>
          <w:bCs w:val="1"/>
          <w:color w:val="000000" w:themeColor="text1"/>
          <w:sz w:val="22"/>
          <w:szCs w:val="22"/>
          <w:lang w:val="es-ES"/>
        </w:rPr>
      </w:pPr>
      <w:r w:rsidRPr="68BCF033" w:rsidR="0070653A">
        <w:rPr>
          <w:rFonts w:ascii="Arial" w:hAnsi="Arial" w:eastAsia="Calibri" w:cs="Arial"/>
          <w:b w:val="1"/>
          <w:bCs w:val="1"/>
          <w:color w:val="000000" w:themeColor="text1" w:themeTint="FF" w:themeShade="FF"/>
          <w:sz w:val="22"/>
          <w:szCs w:val="22"/>
          <w:lang w:val="es-ES"/>
        </w:rPr>
        <w:t>ESTRUCTURAS PLURALES</w:t>
      </w:r>
      <w:r w:rsidRPr="68BCF033" w:rsidR="5549B609">
        <w:rPr>
          <w:rFonts w:ascii="Arial" w:hAnsi="Arial" w:eastAsia="Calibri" w:cs="Arial"/>
          <w:b w:val="1"/>
          <w:bCs w:val="1"/>
          <w:color w:val="000000" w:themeColor="text1" w:themeTint="FF" w:themeShade="FF"/>
          <w:sz w:val="22"/>
          <w:szCs w:val="22"/>
          <w:lang w:val="es-ES"/>
        </w:rPr>
        <w:t xml:space="preserve"> </w:t>
      </w:r>
      <w:r w:rsidRPr="68BCF033" w:rsidR="0070653A">
        <w:rPr>
          <w:rFonts w:ascii="Arial" w:hAnsi="Arial" w:eastAsia="Calibri" w:cs="Arial"/>
          <w:b w:val="1"/>
          <w:bCs w:val="1"/>
          <w:color w:val="000000" w:themeColor="text1" w:themeTint="FF" w:themeShade="FF"/>
          <w:sz w:val="22"/>
          <w:szCs w:val="22"/>
          <w:lang w:val="es-ES"/>
        </w:rPr>
        <w:t>– C</w:t>
      </w:r>
      <w:r w:rsidRPr="68BCF033" w:rsidR="0210FCD9">
        <w:rPr>
          <w:rFonts w:ascii="Arial" w:hAnsi="Arial" w:eastAsia="Calibri" w:cs="Arial"/>
          <w:b w:val="1"/>
          <w:bCs w:val="1"/>
          <w:color w:val="000000" w:themeColor="text1" w:themeTint="FF" w:themeShade="FF"/>
          <w:sz w:val="22"/>
          <w:szCs w:val="22"/>
          <w:lang w:val="es-ES"/>
        </w:rPr>
        <w:t>onsorcios y uniones temporales</w:t>
      </w:r>
      <w:r w:rsidRPr="68BCF033" w:rsidR="003343B5">
        <w:rPr>
          <w:rFonts w:ascii="Arial" w:hAnsi="Arial" w:eastAsia="Calibri" w:cs="Arial"/>
          <w:b w:val="1"/>
          <w:bCs w:val="1"/>
          <w:color w:val="000000" w:themeColor="text1" w:themeTint="FF" w:themeShade="FF"/>
          <w:sz w:val="22"/>
          <w:szCs w:val="22"/>
          <w:lang w:val="es-ES"/>
        </w:rPr>
        <w:t xml:space="preserve"> – </w:t>
      </w:r>
      <w:r w:rsidRPr="68BCF033" w:rsidR="0070653A">
        <w:rPr>
          <w:rFonts w:ascii="Arial" w:hAnsi="Arial" w:eastAsia="Calibri" w:cs="Arial"/>
          <w:b w:val="1"/>
          <w:bCs w:val="1"/>
          <w:color w:val="000000" w:themeColor="text1" w:themeTint="FF" w:themeShade="FF"/>
          <w:sz w:val="22"/>
          <w:szCs w:val="22"/>
          <w:lang w:val="es-ES"/>
        </w:rPr>
        <w:t>Capacidad para contratar – Finalidades</w:t>
      </w:r>
      <w:r w:rsidRPr="68BCF033" w:rsidR="003343B5">
        <w:rPr>
          <w:rFonts w:ascii="Arial" w:hAnsi="Arial" w:eastAsia="Calibri" w:cs="Arial"/>
          <w:b w:val="1"/>
          <w:bCs w:val="1"/>
          <w:color w:val="000000" w:themeColor="text1" w:themeTint="FF" w:themeShade="FF"/>
          <w:sz w:val="22"/>
          <w:szCs w:val="22"/>
          <w:lang w:val="es-ES"/>
        </w:rPr>
        <w:t xml:space="preserve"> </w:t>
      </w:r>
    </w:p>
    <w:p w:rsidRPr="00CA391E" w:rsidR="003343B5" w:rsidP="003343B5" w:rsidRDefault="003343B5" w14:paraId="131FD740" w14:textId="77777777">
      <w:pPr>
        <w:jc w:val="both"/>
        <w:rPr>
          <w:rFonts w:ascii="Arial" w:hAnsi="Arial" w:eastAsia="Calibri" w:cs="Arial"/>
          <w:bCs/>
          <w:color w:val="000000" w:themeColor="text1"/>
          <w:sz w:val="20"/>
          <w:szCs w:val="20"/>
          <w:lang w:val="es-ES"/>
        </w:rPr>
      </w:pPr>
    </w:p>
    <w:p w:rsidRPr="00CA391E" w:rsidR="003343B5" w:rsidP="003343B5" w:rsidRDefault="0070653A" w14:paraId="00DA2227" w14:textId="586838D0">
      <w:pPr>
        <w:jc w:val="both"/>
        <w:rPr>
          <w:rFonts w:ascii="Arial" w:hAnsi="Arial" w:eastAsia="Calibri" w:cs="Arial"/>
          <w:bCs/>
          <w:color w:val="000000" w:themeColor="text1"/>
          <w:sz w:val="20"/>
          <w:szCs w:val="20"/>
          <w:lang w:val="es-ES"/>
        </w:rPr>
      </w:pPr>
      <w:r w:rsidRPr="00CA391E">
        <w:rPr>
          <w:rFonts w:ascii="Arial" w:hAnsi="Arial" w:eastAsia="Calibri" w:cs="Arial"/>
          <w:bCs/>
          <w:color w:val="000000" w:themeColor="text1"/>
          <w:sz w:val="20"/>
          <w:szCs w:val="20"/>
          <w:lang w:val="es-ES"/>
        </w:rPr>
        <w:t xml:space="preserve">Como se puede observar, la Corte Constitucional destaca de un lado que las estructuras plurales son el reconocimiento de una realidad negocial en materia de contratación estatal, y del otro, que esta colaboración económica entre sujetos de derecho permite la materialización de los fines del </w:t>
      </w:r>
      <w:r w:rsidR="006A1F7F">
        <w:rPr>
          <w:rFonts w:ascii="Arial" w:hAnsi="Arial" w:eastAsia="Calibri" w:cs="Arial"/>
          <w:bCs/>
          <w:color w:val="000000" w:themeColor="text1"/>
          <w:sz w:val="20"/>
          <w:szCs w:val="20"/>
          <w:lang w:val="es-ES"/>
        </w:rPr>
        <w:t>E</w:t>
      </w:r>
      <w:r w:rsidRPr="00CA391E">
        <w:rPr>
          <w:rFonts w:ascii="Arial" w:hAnsi="Arial" w:eastAsia="Calibri" w:cs="Arial"/>
          <w:bCs/>
          <w:color w:val="000000" w:themeColor="text1"/>
          <w:sz w:val="20"/>
          <w:szCs w:val="20"/>
          <w:lang w:val="es-ES"/>
        </w:rPr>
        <w:t>stado, al facilitar la efectiva ejecución de contratos. Adicionalmente, puntualiza que la capacidad contractual de consorcios y uniones temporales se reconoce sin necesidad de exigirles como condición de su ejercicio que sean personas morales</w:t>
      </w:r>
      <w:r w:rsidR="00C15501">
        <w:rPr>
          <w:rFonts w:ascii="Arial" w:hAnsi="Arial" w:eastAsia="Calibri" w:cs="Arial"/>
          <w:bCs/>
          <w:color w:val="000000" w:themeColor="text1"/>
          <w:sz w:val="20"/>
          <w:szCs w:val="20"/>
          <w:lang w:val="es-ES"/>
        </w:rPr>
        <w:t>,</w:t>
      </w:r>
      <w:r w:rsidRPr="00CA391E">
        <w:rPr>
          <w:rFonts w:ascii="Arial" w:hAnsi="Arial" w:eastAsia="Calibri" w:cs="Arial"/>
          <w:bCs/>
          <w:color w:val="000000" w:themeColor="text1"/>
          <w:sz w:val="20"/>
          <w:szCs w:val="20"/>
          <w:lang w:val="es-ES"/>
        </w:rPr>
        <w:t xml:space="preserve"> lo que, hasta cierto punto, podría considerarse una evolución en la teoría de la personalidad jurídica.  </w:t>
      </w:r>
    </w:p>
    <w:p w:rsidRPr="00CA391E" w:rsidR="0070653A" w:rsidP="003343B5" w:rsidRDefault="0070653A" w14:paraId="4FFA020E" w14:textId="77777777">
      <w:pPr>
        <w:jc w:val="both"/>
        <w:rPr>
          <w:rFonts w:ascii="Arial" w:hAnsi="Arial" w:eastAsia="Calibri" w:cs="Arial"/>
          <w:bCs/>
          <w:color w:val="000000" w:themeColor="text1"/>
          <w:sz w:val="20"/>
          <w:szCs w:val="20"/>
          <w:lang w:val="es-ES"/>
        </w:rPr>
      </w:pPr>
    </w:p>
    <w:p w:rsidRPr="00CA391E" w:rsidR="003343B5" w:rsidP="003343B5" w:rsidRDefault="0070653A" w14:paraId="4B5CF4A1" w14:textId="689EB06E">
      <w:pPr>
        <w:jc w:val="both"/>
        <w:rPr>
          <w:rFonts w:ascii="Arial" w:hAnsi="Arial" w:eastAsia="Calibri" w:cs="Arial"/>
          <w:b w:val="1"/>
          <w:bCs w:val="1"/>
          <w:color w:val="000000" w:themeColor="text1"/>
          <w:sz w:val="22"/>
          <w:szCs w:val="22"/>
          <w:lang w:val="es-ES"/>
        </w:rPr>
      </w:pPr>
      <w:r w:rsidRPr="68BCF033" w:rsidR="0070653A">
        <w:rPr>
          <w:rFonts w:ascii="Arial" w:hAnsi="Arial" w:eastAsia="Calibri" w:cs="Arial"/>
          <w:b w:val="1"/>
          <w:bCs w:val="1"/>
          <w:color w:val="000000" w:themeColor="text1" w:themeTint="FF" w:themeShade="FF"/>
          <w:sz w:val="22"/>
          <w:szCs w:val="22"/>
          <w:lang w:val="es-ES"/>
        </w:rPr>
        <w:t>ESTRUCTURAS PLURALES – C</w:t>
      </w:r>
      <w:r w:rsidRPr="68BCF033" w:rsidR="73CFA41D">
        <w:rPr>
          <w:rFonts w:ascii="Arial" w:hAnsi="Arial" w:eastAsia="Calibri" w:cs="Arial"/>
          <w:b w:val="1"/>
          <w:bCs w:val="1"/>
          <w:color w:val="000000" w:themeColor="text1" w:themeTint="FF" w:themeShade="FF"/>
          <w:sz w:val="22"/>
          <w:szCs w:val="22"/>
          <w:lang w:val="es-ES"/>
        </w:rPr>
        <w:t xml:space="preserve">onsorcios y uniones temporales </w:t>
      </w:r>
      <w:r w:rsidRPr="68BCF033" w:rsidR="003343B5">
        <w:rPr>
          <w:rFonts w:ascii="Arial" w:hAnsi="Arial" w:eastAsia="Calibri" w:cs="Arial"/>
          <w:b w:val="1"/>
          <w:bCs w:val="1"/>
          <w:color w:val="000000" w:themeColor="text1" w:themeTint="FF" w:themeShade="FF"/>
          <w:sz w:val="22"/>
          <w:szCs w:val="22"/>
          <w:lang w:val="es-ES"/>
        </w:rPr>
        <w:t xml:space="preserve">– </w:t>
      </w:r>
      <w:r w:rsidRPr="68BCF033" w:rsidR="0070653A">
        <w:rPr>
          <w:rFonts w:ascii="Arial" w:hAnsi="Arial" w:eastAsia="Calibri" w:cs="Arial"/>
          <w:b w:val="1"/>
          <w:bCs w:val="1"/>
          <w:color w:val="000000" w:themeColor="text1" w:themeTint="FF" w:themeShade="FF"/>
          <w:sz w:val="22"/>
          <w:szCs w:val="22"/>
          <w:lang w:val="es-ES"/>
        </w:rPr>
        <w:t>Duración mínima – Vacío legal</w:t>
      </w:r>
    </w:p>
    <w:p w:rsidRPr="00CA391E" w:rsidR="003343B5" w:rsidP="003343B5" w:rsidRDefault="003343B5" w14:paraId="4821A2C0" w14:textId="77777777">
      <w:pPr>
        <w:jc w:val="both"/>
        <w:rPr>
          <w:rFonts w:ascii="Arial" w:hAnsi="Arial" w:eastAsia="Calibri" w:cs="Arial"/>
          <w:bCs/>
          <w:color w:val="000000" w:themeColor="text1"/>
          <w:sz w:val="20"/>
          <w:szCs w:val="20"/>
          <w:lang w:val="es-ES"/>
        </w:rPr>
      </w:pPr>
    </w:p>
    <w:p w:rsidRPr="00CA391E" w:rsidR="003343B5" w:rsidP="003343B5" w:rsidRDefault="0070653A" w14:paraId="7ABC1496" w14:textId="7F9E9CCD">
      <w:pPr>
        <w:jc w:val="both"/>
        <w:rPr>
          <w:rFonts w:ascii="Arial" w:hAnsi="Arial" w:eastAsia="Calibri" w:cs="Arial"/>
          <w:bCs/>
          <w:color w:val="000000" w:themeColor="text1"/>
          <w:sz w:val="20"/>
          <w:szCs w:val="20"/>
          <w:lang w:val="es-ES"/>
        </w:rPr>
      </w:pPr>
      <w:r w:rsidRPr="00CA391E">
        <w:rPr>
          <w:rFonts w:ascii="Arial" w:hAnsi="Arial" w:eastAsia="Calibri" w:cs="Arial"/>
          <w:bCs/>
          <w:color w:val="000000" w:themeColor="text1"/>
          <w:sz w:val="20"/>
          <w:szCs w:val="20"/>
          <w:lang w:val="es-ES"/>
        </w:rPr>
        <w:t>Se debe poner de presente que el artículo 7 de la Ley 80 de 1993 no contiene reglas sobre la duración, mínima o máxima, de las estructuras plurales. Tampoco existen reglas en otras disposiciones del Estatuto General de Contratación de la Administración Pública o sus normas reglamentarias. Es decir, que se puede afirmar que existe un vacío legal sobre cuál debe ser el tiempo mínimo por el cual debe estar constituida una estructura plural para los efectos de actuar como contratista del Estado.</w:t>
      </w:r>
    </w:p>
    <w:p w:rsidRPr="00CA391E" w:rsidR="0070653A" w:rsidP="003343B5" w:rsidRDefault="0070653A" w14:paraId="02F258D7" w14:textId="77777777">
      <w:pPr>
        <w:jc w:val="both"/>
        <w:rPr>
          <w:rFonts w:ascii="Arial" w:hAnsi="Arial" w:eastAsia="Calibri" w:cs="Arial"/>
          <w:bCs/>
          <w:color w:val="000000" w:themeColor="text1"/>
          <w:sz w:val="20"/>
          <w:szCs w:val="20"/>
          <w:lang w:val="es-ES"/>
        </w:rPr>
      </w:pPr>
    </w:p>
    <w:p w:rsidRPr="00CA391E" w:rsidR="0070653A" w:rsidP="0070653A" w:rsidRDefault="0070653A" w14:paraId="48E1E24A" w14:textId="6F940A7E">
      <w:pPr>
        <w:jc w:val="both"/>
        <w:rPr>
          <w:rFonts w:ascii="Arial" w:hAnsi="Arial" w:eastAsia="Calibri" w:cs="Arial"/>
          <w:b w:val="1"/>
          <w:bCs w:val="1"/>
          <w:color w:val="000000" w:themeColor="text1"/>
          <w:sz w:val="22"/>
          <w:szCs w:val="22"/>
          <w:lang w:val="es-ES"/>
        </w:rPr>
      </w:pPr>
      <w:r w:rsidRPr="68BCF033" w:rsidR="0070653A">
        <w:rPr>
          <w:rFonts w:ascii="Arial" w:hAnsi="Arial" w:eastAsia="Calibri" w:cs="Arial"/>
          <w:b w:val="1"/>
          <w:bCs w:val="1"/>
          <w:color w:val="000000" w:themeColor="text1" w:themeTint="FF" w:themeShade="FF"/>
          <w:sz w:val="22"/>
          <w:szCs w:val="22"/>
          <w:lang w:val="es-ES"/>
        </w:rPr>
        <w:t>ESTRUCTURAS PLURALES – C</w:t>
      </w:r>
      <w:r w:rsidRPr="68BCF033" w:rsidR="501F472C">
        <w:rPr>
          <w:rFonts w:ascii="Arial" w:hAnsi="Arial" w:eastAsia="Calibri" w:cs="Arial"/>
          <w:b w:val="1"/>
          <w:bCs w:val="1"/>
          <w:color w:val="000000" w:themeColor="text1" w:themeTint="FF" w:themeShade="FF"/>
          <w:sz w:val="22"/>
          <w:szCs w:val="22"/>
          <w:lang w:val="es-ES"/>
        </w:rPr>
        <w:t xml:space="preserve">onsorcios y uniones temporales </w:t>
      </w:r>
      <w:r w:rsidRPr="68BCF033" w:rsidR="0070653A">
        <w:rPr>
          <w:rFonts w:ascii="Arial" w:hAnsi="Arial" w:eastAsia="Calibri" w:cs="Arial"/>
          <w:b w:val="1"/>
          <w:bCs w:val="1"/>
          <w:color w:val="000000" w:themeColor="text1" w:themeTint="FF" w:themeShade="FF"/>
          <w:sz w:val="22"/>
          <w:szCs w:val="22"/>
          <w:lang w:val="es-ES"/>
        </w:rPr>
        <w:t xml:space="preserve">– Duración mínima – Aplicación analógica </w:t>
      </w:r>
    </w:p>
    <w:p w:rsidRPr="00CA391E" w:rsidR="0070653A" w:rsidP="003343B5" w:rsidRDefault="0070653A" w14:paraId="6B2878E9" w14:textId="77777777">
      <w:pPr>
        <w:jc w:val="both"/>
        <w:rPr>
          <w:rFonts w:ascii="Arial" w:hAnsi="Arial" w:eastAsia="Calibri" w:cs="Arial"/>
          <w:bCs/>
          <w:color w:val="000000" w:themeColor="text1"/>
          <w:sz w:val="20"/>
          <w:szCs w:val="20"/>
          <w:lang w:val="es-ES"/>
        </w:rPr>
      </w:pPr>
    </w:p>
    <w:p w:rsidR="0070653A" w:rsidP="003343B5" w:rsidRDefault="0070653A" w14:paraId="20B8B2B9" w14:textId="5DD87478">
      <w:pPr>
        <w:jc w:val="both"/>
        <w:rPr>
          <w:rFonts w:ascii="Arial" w:hAnsi="Arial" w:eastAsia="Calibri" w:cs="Arial"/>
          <w:bCs/>
          <w:color w:val="000000" w:themeColor="text1"/>
          <w:sz w:val="20"/>
          <w:szCs w:val="20"/>
          <w:lang w:val="es-ES"/>
        </w:rPr>
      </w:pPr>
      <w:r w:rsidRPr="00CA391E">
        <w:rPr>
          <w:rFonts w:ascii="Arial" w:hAnsi="Arial" w:eastAsia="Calibri" w:cs="Arial"/>
          <w:bCs/>
          <w:color w:val="000000" w:themeColor="text1"/>
          <w:sz w:val="20"/>
          <w:szCs w:val="20"/>
          <w:lang w:val="es-ES"/>
        </w:rPr>
        <w:t>[…]</w:t>
      </w:r>
      <w:r w:rsidR="000C6A22">
        <w:rPr>
          <w:rFonts w:ascii="Arial" w:hAnsi="Arial" w:eastAsia="Calibri" w:cs="Arial"/>
          <w:bCs/>
          <w:color w:val="000000" w:themeColor="text1"/>
          <w:sz w:val="20"/>
          <w:szCs w:val="20"/>
          <w:lang w:val="es-ES"/>
        </w:rPr>
        <w:t xml:space="preserve"> </w:t>
      </w:r>
      <w:r w:rsidRPr="000C6A22" w:rsidR="000C6A22">
        <w:rPr>
          <w:rFonts w:ascii="Arial" w:hAnsi="Arial" w:eastAsia="Calibri" w:cs="Arial"/>
          <w:bCs/>
          <w:color w:val="000000" w:themeColor="text1"/>
          <w:sz w:val="20"/>
          <w:szCs w:val="20"/>
          <w:lang w:val="es-ES"/>
        </w:rPr>
        <w:t>para esta Subdirección el artículo 6, inciso segundo, puede ser aplicado de manera analógica para guiar los requerimientos que pueden realizarse a las estructuras plurales en relación con su duración. De esta manera, en los casos que no exista norma aplicable, la Corte Constitucional, en la sentencia C-083 de 1995, reconoce a la analogía como una fuente de derecho autónoma a la que se puede acudir para suplir el vacío. Así reconoce que: «la analogía es la aplicación de la ley a situaciones no contempladas expresamente a ellas, pero que sólo difieren a las que sí lo están en aspectos jurídicamente irrelevantes, es decir, ajenos a aquellos que explican y fundamentan la razón de ser de la norma» . En este sentido, el juez razona por analogía, cuando aplica una ley frente a una situación no contemplada explícitamente en ella, a partir del estudio de situaciones fácticas que fueron tratadas por el legislador y guardan similitud con el asunto tratado.</w:t>
      </w:r>
    </w:p>
    <w:p w:rsidR="00D33EF8" w:rsidP="003343B5" w:rsidRDefault="00D33EF8" w14:paraId="36686E0C" w14:textId="5F528EDC">
      <w:pPr>
        <w:jc w:val="both"/>
        <w:rPr>
          <w:rFonts w:ascii="Arial" w:hAnsi="Arial" w:eastAsia="Calibri" w:cs="Arial"/>
          <w:bCs/>
          <w:color w:val="000000" w:themeColor="text1"/>
          <w:sz w:val="20"/>
          <w:szCs w:val="20"/>
          <w:lang w:val="es-ES"/>
        </w:rPr>
      </w:pPr>
    </w:p>
    <w:p w:rsidR="00D33EF8" w:rsidP="68BCF033" w:rsidRDefault="00D33EF8" w14:paraId="7D3F7937" w14:textId="1D5CB536">
      <w:pPr>
        <w:jc w:val="both"/>
        <w:rPr>
          <w:rFonts w:ascii="Arial" w:hAnsi="Arial" w:eastAsia="Calibri" w:cs="Arial"/>
          <w:color w:val="000000" w:themeColor="text1"/>
          <w:sz w:val="20"/>
          <w:szCs w:val="20"/>
          <w:lang w:val="es-ES"/>
        </w:rPr>
      </w:pPr>
      <w:r w:rsidRPr="68BCF033" w:rsidR="00D33EF8">
        <w:rPr>
          <w:rFonts w:ascii="Arial" w:hAnsi="Arial" w:eastAsia="Calibri" w:cs="Arial"/>
          <w:b w:val="1"/>
          <w:bCs w:val="1"/>
          <w:color w:val="000000" w:themeColor="text1" w:themeTint="FF" w:themeShade="FF"/>
          <w:sz w:val="22"/>
          <w:szCs w:val="22"/>
          <w:lang w:val="es-ES"/>
        </w:rPr>
        <w:t>ESTRUCTURAS PLURALES – C</w:t>
      </w:r>
      <w:r w:rsidRPr="68BCF033" w:rsidR="0008D1C6">
        <w:rPr>
          <w:rFonts w:ascii="Arial" w:hAnsi="Arial" w:eastAsia="Calibri" w:cs="Arial"/>
          <w:b w:val="1"/>
          <w:bCs w:val="1"/>
          <w:color w:val="000000" w:themeColor="text1" w:themeTint="FF" w:themeShade="FF"/>
          <w:sz w:val="22"/>
          <w:szCs w:val="22"/>
          <w:lang w:val="es-ES"/>
        </w:rPr>
        <w:t>onsorcios y uniones temporales</w:t>
      </w:r>
      <w:r w:rsidRPr="68BCF033" w:rsidR="00D33EF8">
        <w:rPr>
          <w:rFonts w:ascii="Arial" w:hAnsi="Arial" w:eastAsia="Calibri" w:cs="Arial"/>
          <w:b w:val="1"/>
          <w:bCs w:val="1"/>
          <w:color w:val="000000" w:themeColor="text1" w:themeTint="FF" w:themeShade="FF"/>
          <w:sz w:val="22"/>
          <w:szCs w:val="22"/>
          <w:lang w:val="es-ES"/>
        </w:rPr>
        <w:t xml:space="preserve"> </w:t>
      </w:r>
      <w:r w:rsidRPr="68BCF033" w:rsidR="00D33EF8">
        <w:rPr>
          <w:rFonts w:ascii="Arial" w:hAnsi="Arial" w:eastAsia="Calibri" w:cs="Arial"/>
          <w:b w:val="1"/>
          <w:bCs w:val="1"/>
          <w:color w:val="000000" w:themeColor="text1" w:themeTint="FF" w:themeShade="FF"/>
          <w:sz w:val="22"/>
          <w:szCs w:val="22"/>
          <w:lang w:val="es-ES"/>
        </w:rPr>
        <w:t>– Duración mínima –</w:t>
      </w:r>
      <w:r w:rsidRPr="68BCF033" w:rsidR="00D33EF8">
        <w:rPr>
          <w:rFonts w:ascii="Arial" w:hAnsi="Arial" w:eastAsia="Calibri" w:cs="Arial"/>
          <w:b w:val="1"/>
          <w:bCs w:val="1"/>
          <w:color w:val="000000" w:themeColor="text1" w:themeTint="FF" w:themeShade="FF"/>
          <w:sz w:val="22"/>
          <w:szCs w:val="22"/>
          <w:lang w:val="es-ES"/>
        </w:rPr>
        <w:t xml:space="preserve"> Garantía suplementaria o adicional</w:t>
      </w:r>
    </w:p>
    <w:p w:rsidRPr="00CA391E" w:rsidR="00D33EF8" w:rsidP="003343B5" w:rsidRDefault="00D33EF8" w14:paraId="13CB5C95" w14:textId="77777777">
      <w:pPr>
        <w:jc w:val="both"/>
        <w:rPr>
          <w:rFonts w:ascii="Arial" w:hAnsi="Arial" w:eastAsia="Calibri" w:cs="Arial"/>
          <w:bCs/>
          <w:color w:val="000000" w:themeColor="text1"/>
          <w:sz w:val="20"/>
          <w:szCs w:val="20"/>
          <w:lang w:val="es-ES"/>
        </w:rPr>
      </w:pPr>
    </w:p>
    <w:p w:rsidRPr="00ED6C9B" w:rsidR="003343B5" w:rsidP="003343B5" w:rsidRDefault="00D33EF8" w14:paraId="6415FF97" w14:textId="0F99A2E2">
      <w:pPr>
        <w:jc w:val="both"/>
        <w:rPr>
          <w:rFonts w:ascii="Arial" w:hAnsi="Arial" w:eastAsia="Calibri" w:cs="Arial"/>
          <w:bCs/>
          <w:color w:val="000000" w:themeColor="text1"/>
          <w:sz w:val="20"/>
          <w:szCs w:val="20"/>
          <w:highlight w:val="yellow"/>
          <w:lang w:val="es-ES"/>
        </w:rPr>
      </w:pPr>
      <w:r w:rsidRPr="00D33EF8">
        <w:rPr>
          <w:rFonts w:ascii="Arial" w:hAnsi="Arial" w:eastAsia="Calibri" w:cs="Arial"/>
          <w:bCs/>
          <w:color w:val="000000" w:themeColor="text1"/>
          <w:sz w:val="20"/>
          <w:szCs w:val="20"/>
          <w:lang w:val="es-ES"/>
        </w:rPr>
        <w:t>Por otra parte, el documento base de los documentos tipo señala que las garantías suplementarias o adicionales pueden ser otorgadas por los proponentes a través de una aseguradora o directamente como garantía comercial. No obstante, teniendo en cuenta que el numeral 3.3.3., literal D, del documento base de los Documentos Tipo requiere que los proponentes plurales tengan una duración igual al plazo del contrato más un año, como ya se estableció</w:t>
      </w:r>
      <w:r w:rsidR="008E6ED6">
        <w:rPr>
          <w:rFonts w:ascii="Arial" w:hAnsi="Arial" w:eastAsia="Calibri" w:cs="Arial"/>
          <w:bCs/>
          <w:color w:val="000000" w:themeColor="text1"/>
          <w:sz w:val="20"/>
          <w:szCs w:val="20"/>
          <w:lang w:val="es-ES"/>
        </w:rPr>
        <w:t>,</w:t>
      </w:r>
      <w:r w:rsidRPr="00D33EF8">
        <w:rPr>
          <w:rFonts w:ascii="Arial" w:hAnsi="Arial" w:eastAsia="Calibri" w:cs="Arial"/>
          <w:bCs/>
          <w:color w:val="000000" w:themeColor="text1"/>
          <w:sz w:val="20"/>
          <w:szCs w:val="20"/>
          <w:lang w:val="es-ES"/>
        </w:rPr>
        <w:t xml:space="preserve"> ello no se extiende por la existencia de obligaciones post-contractuales, y más aún cuando la garantía comercial al ser otorgada directamente significa que son las empresas, sociedades o personas involucradas quienes responden por la misma, es decir, los miembros del proponente plural que son quienes tienen personería jurídica a diferencia de dicho proponente</w:t>
      </w:r>
      <w:r w:rsidR="007E376D">
        <w:rPr>
          <w:rFonts w:ascii="Arial" w:hAnsi="Arial" w:eastAsia="Calibri" w:cs="Arial"/>
          <w:bCs/>
          <w:color w:val="000000" w:themeColor="text1"/>
          <w:sz w:val="20"/>
          <w:szCs w:val="20"/>
          <w:lang w:val="es-ES"/>
        </w:rPr>
        <w:t>,</w:t>
      </w:r>
      <w:r w:rsidRPr="00D33EF8">
        <w:rPr>
          <w:rFonts w:ascii="Arial" w:hAnsi="Arial" w:eastAsia="Calibri" w:cs="Arial"/>
          <w:bCs/>
          <w:color w:val="000000" w:themeColor="text1"/>
          <w:sz w:val="20"/>
          <w:szCs w:val="20"/>
          <w:lang w:val="es-ES"/>
        </w:rPr>
        <w:t xml:space="preserve"> que no la tiene.</w:t>
      </w:r>
    </w:p>
    <w:p w:rsidR="003343B5" w:rsidP="003343B5" w:rsidRDefault="003343B5" w14:paraId="5477591E" w14:textId="103471A9">
      <w:pPr>
        <w:rPr>
          <w:rFonts w:ascii="Arial" w:hAnsi="Arial" w:cs="Arial"/>
          <w:color w:val="000000" w:themeColor="text1"/>
          <w:sz w:val="22"/>
          <w:lang w:val="es-ES"/>
        </w:rPr>
      </w:pPr>
    </w:p>
    <w:p w:rsidR="00D33EF8" w:rsidP="003343B5" w:rsidRDefault="00D33EF8" w14:paraId="46F91BD0" w14:textId="3DF94F09">
      <w:pPr>
        <w:rPr>
          <w:rFonts w:ascii="Arial" w:hAnsi="Arial" w:cs="Arial"/>
          <w:color w:val="000000" w:themeColor="text1"/>
          <w:sz w:val="22"/>
          <w:lang w:val="es-ES"/>
        </w:rPr>
      </w:pPr>
    </w:p>
    <w:p w:rsidRPr="00593BA7" w:rsidR="00EB4E72" w:rsidP="003343B5" w:rsidRDefault="00EB4E72" w14:paraId="2059CFC8" w14:textId="77777777">
      <w:pPr>
        <w:rPr>
          <w:rFonts w:ascii="Arial" w:hAnsi="Arial" w:cs="Arial"/>
          <w:color w:val="000000" w:themeColor="text1"/>
          <w:sz w:val="22"/>
          <w:lang w:val="es-ES"/>
        </w:rPr>
      </w:pPr>
    </w:p>
    <w:p w:rsidR="00162501" w:rsidP="00162501" w:rsidRDefault="00162501" w14:paraId="1AD4E291" w14:textId="674EA08C">
      <w:pPr>
        <w:spacing w:line="276" w:lineRule="auto"/>
        <w:rPr>
          <w:rFonts w:ascii="Arial" w:hAnsi="Arial" w:eastAsia="Calibri" w:cs="Arial"/>
          <w:b/>
          <w:sz w:val="22"/>
          <w:szCs w:val="20"/>
        </w:rPr>
      </w:pPr>
      <w:r>
        <w:rPr>
          <w:rFonts w:ascii="Arial" w:hAnsi="Arial" w:eastAsia="Calibri" w:cs="Arial"/>
          <w:sz w:val="22"/>
          <w:szCs w:val="20"/>
        </w:rPr>
        <w:lastRenderedPageBreak/>
        <w:t xml:space="preserve">Bogotá D.C., </w:t>
      </w:r>
      <w:r w:rsidR="00DB1A99">
        <w:rPr>
          <w:rFonts w:ascii="Arial" w:hAnsi="Arial" w:eastAsia="Calibri" w:cs="Arial"/>
          <w:b/>
          <w:sz w:val="22"/>
          <w:szCs w:val="20"/>
        </w:rPr>
        <w:t>21/10/2020</w:t>
      </w:r>
    </w:p>
    <w:p w:rsidR="00162501" w:rsidP="00162501" w:rsidRDefault="00162501" w14:paraId="740483F4" w14:textId="736825FA">
      <w:pPr>
        <w:jc w:val="right"/>
        <w:rPr>
          <w:rFonts w:ascii="Arial" w:hAnsi="Arial" w:eastAsia="Calibri" w:cs="Arial"/>
          <w:sz w:val="22"/>
          <w:szCs w:val="22"/>
        </w:rPr>
      </w:pPr>
      <w:proofErr w:type="spellStart"/>
      <w:r>
        <w:rPr>
          <w:rFonts w:ascii="Arial" w:hAnsi="Arial" w:eastAsia="Calibri" w:cs="Arial"/>
          <w:b/>
          <w:sz w:val="22"/>
          <w:szCs w:val="20"/>
        </w:rPr>
        <w:t>N°</w:t>
      </w:r>
      <w:proofErr w:type="spellEnd"/>
      <w:r>
        <w:rPr>
          <w:rFonts w:ascii="Arial" w:hAnsi="Arial" w:eastAsia="Calibri" w:cs="Arial"/>
          <w:b/>
          <w:sz w:val="22"/>
          <w:szCs w:val="20"/>
        </w:rPr>
        <w:t xml:space="preserve"> Radicado: </w:t>
      </w:r>
      <w:r w:rsidRPr="00DB1A99" w:rsidR="00DB1A99">
        <w:rPr>
          <w:rFonts w:ascii="Arial" w:hAnsi="Arial" w:eastAsia="Calibri" w:cs="Arial"/>
          <w:b/>
          <w:sz w:val="22"/>
          <w:szCs w:val="20"/>
        </w:rPr>
        <w:t>2202013000010395</w:t>
      </w:r>
    </w:p>
    <w:p w:rsidRPr="00593BA7" w:rsidR="003343B5" w:rsidP="003343B5" w:rsidRDefault="003343B5" w14:paraId="019F5D7C" w14:textId="77777777">
      <w:pPr>
        <w:rPr>
          <w:rFonts w:ascii="Arial" w:hAnsi="Arial" w:eastAsia="Calibri" w:cs="Arial"/>
          <w:color w:val="000000" w:themeColor="text1"/>
          <w:sz w:val="22"/>
          <w:lang w:val="es-ES"/>
        </w:rPr>
      </w:pPr>
    </w:p>
    <w:p w:rsidRPr="00593BA7" w:rsidR="003343B5" w:rsidP="003343B5" w:rsidRDefault="003343B5" w14:paraId="59D20874" w14:textId="781B90D2">
      <w:pPr>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Señor</w:t>
      </w:r>
      <w:r w:rsidR="00162501">
        <w:rPr>
          <w:rFonts w:ascii="Arial" w:hAnsi="Arial" w:eastAsia="Calibri" w:cs="Arial"/>
          <w:color w:val="000000" w:themeColor="text1"/>
          <w:sz w:val="22"/>
          <w:lang w:val="es-ES"/>
        </w:rPr>
        <w:t>a</w:t>
      </w:r>
    </w:p>
    <w:p w:rsidRPr="00593BA7" w:rsidR="003343B5" w:rsidP="003343B5" w:rsidRDefault="003343B5" w14:paraId="04663BC8" w14:textId="759887F3">
      <w:pPr>
        <w:rPr>
          <w:rFonts w:ascii="Arial" w:hAnsi="Arial" w:eastAsia="Calibri" w:cs="Arial"/>
          <w:b/>
          <w:color w:val="000000" w:themeColor="text1"/>
          <w:sz w:val="22"/>
          <w:lang w:val="es-ES"/>
        </w:rPr>
      </w:pPr>
      <w:proofErr w:type="spellStart"/>
      <w:r>
        <w:rPr>
          <w:rFonts w:ascii="Arial" w:hAnsi="Arial" w:eastAsia="Calibri" w:cs="Arial"/>
          <w:b/>
          <w:color w:val="000000" w:themeColor="text1"/>
          <w:sz w:val="22"/>
          <w:lang w:val="es-ES"/>
        </w:rPr>
        <w:t>J</w:t>
      </w:r>
      <w:r w:rsidR="00162501">
        <w:rPr>
          <w:rFonts w:ascii="Arial" w:hAnsi="Arial" w:eastAsia="Calibri" w:cs="Arial"/>
          <w:b/>
          <w:color w:val="000000" w:themeColor="text1"/>
          <w:sz w:val="22"/>
          <w:lang w:val="es-ES"/>
        </w:rPr>
        <w:t>asbleide</w:t>
      </w:r>
      <w:proofErr w:type="spellEnd"/>
      <w:r w:rsidR="00162501">
        <w:rPr>
          <w:rFonts w:ascii="Arial" w:hAnsi="Arial" w:eastAsia="Calibri" w:cs="Arial"/>
          <w:b/>
          <w:color w:val="000000" w:themeColor="text1"/>
          <w:sz w:val="22"/>
          <w:lang w:val="es-ES"/>
        </w:rPr>
        <w:t xml:space="preserve"> Mendoza Díaz</w:t>
      </w:r>
      <w:r>
        <w:rPr>
          <w:rFonts w:ascii="Arial" w:hAnsi="Arial" w:eastAsia="Calibri" w:cs="Arial"/>
          <w:b/>
          <w:color w:val="000000" w:themeColor="text1"/>
          <w:sz w:val="22"/>
          <w:lang w:val="es-ES"/>
        </w:rPr>
        <w:t xml:space="preserve"> </w:t>
      </w:r>
    </w:p>
    <w:p w:rsidR="003343B5" w:rsidP="003343B5" w:rsidRDefault="00162501" w14:paraId="611026E5" w14:textId="706CD17F">
      <w:pPr>
        <w:rPr>
          <w:rFonts w:ascii="Arial" w:hAnsi="Arial" w:eastAsia="Calibri" w:cs="Arial"/>
          <w:color w:val="000000" w:themeColor="text1"/>
          <w:sz w:val="22"/>
          <w:lang w:val="es-ES"/>
        </w:rPr>
      </w:pPr>
      <w:r>
        <w:rPr>
          <w:rFonts w:ascii="Arial" w:hAnsi="Arial" w:eastAsia="Calibri" w:cs="Arial"/>
          <w:color w:val="000000" w:themeColor="text1"/>
          <w:sz w:val="22"/>
          <w:lang w:val="es-ES"/>
        </w:rPr>
        <w:t>Villavicencio</w:t>
      </w:r>
      <w:r w:rsidRPr="00593BA7" w:rsidR="003343B5">
        <w:rPr>
          <w:rFonts w:ascii="Arial" w:hAnsi="Arial" w:eastAsia="Calibri" w:cs="Arial"/>
          <w:color w:val="000000" w:themeColor="text1"/>
          <w:sz w:val="22"/>
          <w:lang w:val="es-ES"/>
        </w:rPr>
        <w:t xml:space="preserve">, </w:t>
      </w:r>
      <w:r w:rsidR="003343B5">
        <w:rPr>
          <w:rFonts w:ascii="Arial" w:hAnsi="Arial" w:eastAsia="Calibri" w:cs="Arial"/>
          <w:color w:val="000000" w:themeColor="text1"/>
          <w:sz w:val="22"/>
          <w:lang w:val="es-ES"/>
        </w:rPr>
        <w:t>Meta</w:t>
      </w:r>
      <w:r w:rsidRPr="00593BA7" w:rsidR="003343B5">
        <w:rPr>
          <w:rFonts w:ascii="Arial" w:hAnsi="Arial" w:eastAsia="Calibri" w:cs="Arial"/>
          <w:color w:val="000000" w:themeColor="text1"/>
          <w:sz w:val="22"/>
          <w:lang w:val="es-ES"/>
        </w:rPr>
        <w:t xml:space="preserve"> </w:t>
      </w:r>
    </w:p>
    <w:p w:rsidRPr="00593BA7" w:rsidR="003343B5" w:rsidP="003343B5" w:rsidRDefault="003343B5" w14:paraId="43B104B8" w14:textId="77777777">
      <w:pPr>
        <w:rPr>
          <w:rFonts w:ascii="Arial" w:hAnsi="Arial" w:eastAsia="Calibri" w:cs="Arial"/>
          <w:color w:val="000000" w:themeColor="text1"/>
          <w:sz w:val="22"/>
          <w:lang w:val="es-ES"/>
        </w:rPr>
      </w:pPr>
    </w:p>
    <w:p w:rsidRPr="00593BA7" w:rsidR="003343B5" w:rsidP="003343B5" w:rsidRDefault="003343B5" w14:paraId="790EE566" w14:textId="77777777">
      <w:pPr>
        <w:rPr>
          <w:rFonts w:ascii="Arial" w:hAnsi="Arial" w:eastAsia="Calibri" w:cs="Arial"/>
          <w:color w:val="000000" w:themeColor="text1"/>
          <w:sz w:val="22"/>
          <w:lang w:val="es-ES"/>
        </w:rPr>
      </w:pPr>
    </w:p>
    <w:p w:rsidRPr="00593BA7" w:rsidR="003343B5" w:rsidP="003343B5" w:rsidRDefault="003343B5" w14:paraId="4B838319" w14:textId="2C2AF396">
      <w:pPr>
        <w:ind w:firstLine="2694"/>
        <w:rPr>
          <w:rFonts w:ascii="Arial" w:hAnsi="Arial" w:eastAsia="Calibri" w:cs="Arial"/>
          <w:b/>
          <w:color w:val="000000" w:themeColor="text1"/>
          <w:sz w:val="22"/>
          <w:lang w:val="es-ES"/>
        </w:rPr>
      </w:pPr>
      <w:r w:rsidRPr="00593BA7">
        <w:rPr>
          <w:rFonts w:ascii="Arial" w:hAnsi="Arial" w:eastAsia="Calibri" w:cs="Arial"/>
          <w:b/>
          <w:color w:val="000000" w:themeColor="text1"/>
          <w:sz w:val="22"/>
          <w:lang w:val="es-ES"/>
        </w:rPr>
        <w:t xml:space="preserve">Concepto C ─ </w:t>
      </w:r>
      <w:r w:rsidR="00B548DC">
        <w:rPr>
          <w:rFonts w:ascii="Arial" w:hAnsi="Arial" w:eastAsia="Calibri" w:cs="Arial"/>
          <w:b/>
          <w:color w:val="000000" w:themeColor="text1"/>
          <w:sz w:val="22"/>
          <w:lang w:val="es-ES"/>
        </w:rPr>
        <w:t>6</w:t>
      </w:r>
      <w:r w:rsidR="00162501">
        <w:rPr>
          <w:rFonts w:ascii="Arial" w:hAnsi="Arial" w:eastAsia="Calibri" w:cs="Arial"/>
          <w:b/>
          <w:color w:val="000000" w:themeColor="text1"/>
          <w:sz w:val="22"/>
          <w:lang w:val="es-ES"/>
        </w:rPr>
        <w:t>23</w:t>
      </w:r>
      <w:r w:rsidRPr="00593BA7">
        <w:rPr>
          <w:rFonts w:ascii="Arial" w:hAnsi="Arial" w:eastAsia="Calibri" w:cs="Arial"/>
          <w:b/>
          <w:color w:val="000000" w:themeColor="text1"/>
          <w:sz w:val="22"/>
          <w:lang w:val="es-ES"/>
        </w:rPr>
        <w:t xml:space="preserve"> de 2020</w:t>
      </w:r>
    </w:p>
    <w:p w:rsidR="003343B5" w:rsidP="003343B5" w:rsidRDefault="003343B5" w14:paraId="0F493877" w14:textId="77777777">
      <w:pPr>
        <w:rPr>
          <w:rFonts w:ascii="Arial" w:hAnsi="Arial" w:eastAsia="Calibri" w:cs="Arial"/>
          <w:color w:val="000000" w:themeColor="text1"/>
          <w:sz w:val="22"/>
          <w:lang w:val="es-ES"/>
        </w:rPr>
      </w:pPr>
    </w:p>
    <w:p w:rsidRPr="00593BA7" w:rsidR="003343B5" w:rsidP="003343B5" w:rsidRDefault="003343B5" w14:paraId="0707F3AB" w14:textId="77777777">
      <w:pPr>
        <w:rPr>
          <w:rFonts w:ascii="Arial" w:hAnsi="Arial" w:eastAsia="Calibri" w:cs="Arial"/>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93BA7" w:rsidR="003343B5" w:rsidTr="00781EC8" w14:paraId="5FB5F113" w14:textId="77777777">
        <w:tc>
          <w:tcPr>
            <w:tcW w:w="2689" w:type="dxa"/>
            <w:hideMark/>
          </w:tcPr>
          <w:p w:rsidRPr="00593BA7" w:rsidR="003343B5" w:rsidP="00781EC8" w:rsidRDefault="003343B5" w14:paraId="571B90B5" w14:textId="77777777">
            <w:pPr>
              <w:rPr>
                <w:rFonts w:ascii="Arial" w:hAnsi="Arial" w:eastAsia="Calibri" w:cs="Arial"/>
                <w:color w:val="000000" w:themeColor="text1"/>
                <w:lang w:val="es-ES"/>
              </w:rPr>
            </w:pPr>
            <w:r w:rsidRPr="00593BA7">
              <w:rPr>
                <w:rFonts w:ascii="Arial" w:hAnsi="Arial" w:eastAsia="Calibri" w:cs="Arial"/>
                <w:b/>
                <w:color w:val="000000" w:themeColor="text1"/>
                <w:lang w:val="es-ES"/>
              </w:rPr>
              <w:t>Temas:</w:t>
            </w:r>
            <w:r w:rsidRPr="00593BA7">
              <w:rPr>
                <w:rFonts w:ascii="Arial" w:hAnsi="Arial" w:eastAsia="Calibri" w:cs="Arial"/>
                <w:color w:val="000000" w:themeColor="text1"/>
                <w:lang w:val="es-ES"/>
              </w:rPr>
              <w:t xml:space="preserve">           </w:t>
            </w:r>
          </w:p>
          <w:p w:rsidRPr="00593BA7" w:rsidR="003343B5" w:rsidP="00781EC8" w:rsidRDefault="003343B5" w14:paraId="578B4253" w14:textId="77777777">
            <w:pPr>
              <w:rPr>
                <w:rFonts w:ascii="Arial" w:hAnsi="Arial" w:eastAsia="Calibri" w:cs="Arial"/>
                <w:color w:val="000000" w:themeColor="text1"/>
                <w:lang w:val="es-ES"/>
              </w:rPr>
            </w:pPr>
            <w:r w:rsidRPr="00593BA7">
              <w:rPr>
                <w:rFonts w:ascii="Arial" w:hAnsi="Arial" w:eastAsia="Calibri" w:cs="Arial"/>
                <w:color w:val="000000" w:themeColor="text1"/>
                <w:lang w:val="es-ES"/>
              </w:rPr>
              <w:t xml:space="preserve">                           </w:t>
            </w:r>
          </w:p>
        </w:tc>
        <w:tc>
          <w:tcPr>
            <w:tcW w:w="6237" w:type="dxa"/>
            <w:hideMark/>
          </w:tcPr>
          <w:p w:rsidRPr="00593BA7" w:rsidR="003343B5" w:rsidP="00CA391E" w:rsidRDefault="00A510E3" w14:paraId="65C207E6" w14:textId="36BC7103">
            <w:pPr>
              <w:jc w:val="both"/>
              <w:rPr>
                <w:rFonts w:ascii="Arial" w:hAnsi="Arial" w:eastAsia="Calibri" w:cs="Arial"/>
                <w:color w:val="000000" w:themeColor="text1"/>
                <w:lang w:val="es-ES"/>
              </w:rPr>
            </w:pPr>
            <w:r w:rsidRPr="00664154">
              <w:rPr>
                <w:rFonts w:ascii="Arial" w:hAnsi="Arial" w:eastAsia="Calibri" w:cs="Arial"/>
                <w:color w:val="000000" w:themeColor="text1"/>
                <w:lang w:val="es-ES"/>
              </w:rPr>
              <w:t>ESTRUCTURAS PLURALES– CONSORCIOS Y UNIONES TEMPORALES – Capacidad para contratar – Finalidades / ESTRUCTURAS PLURALES – CONSORCIOS Y UNIONES TEMPORALES – Duración mínima – Vacío legal / ESTRUCTURAS PLURALES – CONSORCIOS Y UNIONES TEMPORALES – Duración mínima – Aplicación analógica</w:t>
            </w:r>
            <w:r w:rsidR="00D33EF8">
              <w:rPr>
                <w:rFonts w:ascii="Arial" w:hAnsi="Arial" w:eastAsia="Calibri" w:cs="Arial"/>
                <w:color w:val="000000" w:themeColor="text1"/>
                <w:lang w:val="es-ES"/>
              </w:rPr>
              <w:t xml:space="preserve"> / </w:t>
            </w:r>
            <w:r w:rsidRPr="00D33EF8" w:rsidR="00D33EF8">
              <w:rPr>
                <w:rFonts w:ascii="Arial" w:hAnsi="Arial" w:eastAsia="Calibri" w:cs="Arial"/>
                <w:color w:val="000000" w:themeColor="text1"/>
                <w:lang w:val="es-ES"/>
              </w:rPr>
              <w:t>ESTRUCTURAS PLURALES – CONSORCIOS Y UNIONES TEMPORALES – Duración mínima – Garantía suplementaria o adicional</w:t>
            </w:r>
          </w:p>
        </w:tc>
      </w:tr>
      <w:tr w:rsidRPr="00593BA7" w:rsidR="003343B5" w:rsidTr="00781EC8" w14:paraId="3A6EE989" w14:textId="77777777">
        <w:trPr>
          <w:trHeight w:val="95"/>
        </w:trPr>
        <w:tc>
          <w:tcPr>
            <w:tcW w:w="2689" w:type="dxa"/>
          </w:tcPr>
          <w:p w:rsidRPr="00593BA7" w:rsidR="003343B5" w:rsidP="00781EC8" w:rsidRDefault="003343B5" w14:paraId="61EE3CAB" w14:textId="77777777">
            <w:pPr>
              <w:spacing w:before="60"/>
              <w:rPr>
                <w:rFonts w:ascii="Arial" w:hAnsi="Arial" w:eastAsia="Calibri" w:cs="Arial"/>
                <w:b/>
                <w:color w:val="000000" w:themeColor="text1"/>
                <w:lang w:val="es-ES"/>
              </w:rPr>
            </w:pPr>
            <w:r w:rsidRPr="00593BA7">
              <w:rPr>
                <w:rFonts w:ascii="Arial" w:hAnsi="Arial" w:eastAsia="Calibri" w:cs="Arial"/>
                <w:b/>
                <w:color w:val="000000" w:themeColor="text1"/>
                <w:lang w:val="es-ES"/>
              </w:rPr>
              <w:t>Radicación:</w:t>
            </w:r>
            <w:r w:rsidRPr="00593BA7">
              <w:rPr>
                <w:rFonts w:ascii="Arial" w:hAnsi="Arial" w:eastAsia="Calibri" w:cs="Arial"/>
                <w:color w:val="000000" w:themeColor="text1"/>
                <w:lang w:val="es-ES"/>
              </w:rPr>
              <w:t xml:space="preserve">                              </w:t>
            </w:r>
          </w:p>
        </w:tc>
        <w:tc>
          <w:tcPr>
            <w:tcW w:w="6237" w:type="dxa"/>
          </w:tcPr>
          <w:p w:rsidRPr="00593BA7" w:rsidR="003343B5" w:rsidP="00781EC8" w:rsidRDefault="003343B5" w14:paraId="0B9A5300" w14:textId="177BE102">
            <w:pPr>
              <w:spacing w:before="60"/>
              <w:jc w:val="both"/>
              <w:rPr>
                <w:rFonts w:ascii="Arial" w:hAnsi="Arial" w:eastAsia="Calibri" w:cs="Arial"/>
                <w:color w:val="000000" w:themeColor="text1"/>
                <w:lang w:val="es-ES"/>
              </w:rPr>
            </w:pPr>
            <w:r w:rsidRPr="00593BA7">
              <w:rPr>
                <w:rFonts w:ascii="Arial" w:hAnsi="Arial" w:eastAsia="Calibri" w:cs="Arial"/>
                <w:color w:val="000000" w:themeColor="text1"/>
                <w:lang w:val="es-ES"/>
              </w:rPr>
              <w:t xml:space="preserve">Respuesta a consulta # </w:t>
            </w:r>
            <w:r w:rsidRPr="00162501" w:rsidR="00162501">
              <w:rPr>
                <w:rFonts w:ascii="Arial" w:hAnsi="Arial" w:eastAsia="Calibri" w:cs="Arial"/>
                <w:color w:val="000000" w:themeColor="text1"/>
                <w:lang w:val="es-ES"/>
              </w:rPr>
              <w:t>4202012000008016</w:t>
            </w:r>
          </w:p>
        </w:tc>
      </w:tr>
    </w:tbl>
    <w:p w:rsidRPr="00593BA7" w:rsidR="003343B5" w:rsidP="003343B5" w:rsidRDefault="003343B5" w14:paraId="4C0211FF" w14:textId="77777777">
      <w:pPr>
        <w:spacing w:before="60"/>
        <w:jc w:val="both"/>
        <w:rPr>
          <w:rFonts w:ascii="Arial" w:hAnsi="Arial" w:eastAsia="Calibri" w:cs="Arial"/>
          <w:color w:val="000000" w:themeColor="text1"/>
          <w:sz w:val="22"/>
          <w:lang w:val="es-ES"/>
        </w:rPr>
      </w:pPr>
    </w:p>
    <w:p w:rsidRPr="00593BA7" w:rsidR="003343B5" w:rsidP="003343B5" w:rsidRDefault="003343B5" w14:paraId="06794CB1" w14:textId="5ECE7ADC">
      <w:pPr>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Estimad</w:t>
      </w:r>
      <w:r w:rsidR="00162501">
        <w:rPr>
          <w:rFonts w:ascii="Arial" w:hAnsi="Arial" w:eastAsia="Calibri" w:cs="Arial"/>
          <w:color w:val="000000" w:themeColor="text1"/>
          <w:sz w:val="22"/>
          <w:lang w:val="es-ES"/>
        </w:rPr>
        <w:t>a</w:t>
      </w:r>
      <w:r w:rsidRPr="00593BA7">
        <w:rPr>
          <w:rFonts w:ascii="Arial" w:hAnsi="Arial" w:eastAsia="Calibri" w:cs="Arial"/>
          <w:color w:val="000000" w:themeColor="text1"/>
          <w:sz w:val="22"/>
          <w:lang w:val="es-ES"/>
        </w:rPr>
        <w:t xml:space="preserve"> </w:t>
      </w:r>
      <w:r>
        <w:rPr>
          <w:rFonts w:ascii="Arial" w:hAnsi="Arial" w:eastAsia="Calibri" w:cs="Arial"/>
          <w:color w:val="000000" w:themeColor="text1"/>
          <w:sz w:val="22"/>
          <w:lang w:val="es-ES"/>
        </w:rPr>
        <w:t>señor</w:t>
      </w:r>
      <w:r w:rsidR="00162501">
        <w:rPr>
          <w:rFonts w:ascii="Arial" w:hAnsi="Arial" w:eastAsia="Calibri" w:cs="Arial"/>
          <w:color w:val="000000" w:themeColor="text1"/>
          <w:sz w:val="22"/>
          <w:lang w:val="es-ES"/>
        </w:rPr>
        <w:t>a</w:t>
      </w:r>
      <w:r w:rsidRPr="00593BA7">
        <w:rPr>
          <w:rFonts w:ascii="Arial" w:hAnsi="Arial" w:eastAsia="Calibri" w:cs="Arial"/>
          <w:color w:val="000000" w:themeColor="text1"/>
          <w:sz w:val="22"/>
          <w:lang w:val="es-ES"/>
        </w:rPr>
        <w:t xml:space="preserve"> </w:t>
      </w:r>
      <w:r w:rsidR="00162501">
        <w:rPr>
          <w:rFonts w:ascii="Arial" w:hAnsi="Arial" w:eastAsia="Calibri" w:cs="Arial"/>
          <w:color w:val="000000" w:themeColor="text1"/>
          <w:sz w:val="22"/>
          <w:lang w:val="es-ES"/>
        </w:rPr>
        <w:t>Mendoza</w:t>
      </w:r>
      <w:r w:rsidRPr="00593BA7">
        <w:rPr>
          <w:rFonts w:ascii="Arial" w:hAnsi="Arial" w:eastAsia="Calibri" w:cs="Arial"/>
          <w:color w:val="000000" w:themeColor="text1"/>
          <w:sz w:val="22"/>
          <w:lang w:val="es-ES"/>
        </w:rPr>
        <w:t>:</w:t>
      </w:r>
    </w:p>
    <w:p w:rsidRPr="00593BA7" w:rsidR="003343B5" w:rsidP="003343B5" w:rsidRDefault="003343B5" w14:paraId="767FC8BC" w14:textId="77777777">
      <w:pPr>
        <w:rPr>
          <w:rFonts w:ascii="Arial" w:hAnsi="Arial" w:eastAsia="Calibri" w:cs="Arial"/>
          <w:color w:val="000000" w:themeColor="text1"/>
          <w:sz w:val="22"/>
          <w:lang w:val="es-ES"/>
        </w:rPr>
      </w:pPr>
    </w:p>
    <w:p w:rsidRPr="00593BA7" w:rsidR="003343B5" w:rsidP="003343B5" w:rsidRDefault="003343B5" w14:paraId="1F44DB78" w14:textId="7669543D">
      <w:pPr>
        <w:spacing w:line="276" w:lineRule="auto"/>
        <w:jc w:val="both"/>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En ejercicio de la competencia otorgada por los artículos 11, numeral 8º, y 3º, numeral 5º, del Decreto Ley 4170 de 2011, la Agencia Nacional de Contratación Pública</w:t>
      </w:r>
      <w:r>
        <w:rPr>
          <w:rFonts w:ascii="Arial" w:hAnsi="Arial" w:eastAsia="Calibri" w:cs="Arial"/>
          <w:color w:val="000000" w:themeColor="text1"/>
          <w:sz w:val="22"/>
          <w:lang w:val="es-ES"/>
        </w:rPr>
        <w:t xml:space="preserve"> – </w:t>
      </w:r>
      <w:r w:rsidRPr="00593BA7">
        <w:rPr>
          <w:rFonts w:ascii="Arial" w:hAnsi="Arial" w:eastAsia="Calibri" w:cs="Arial"/>
          <w:color w:val="000000" w:themeColor="text1"/>
          <w:sz w:val="22"/>
          <w:lang w:val="es-ES"/>
        </w:rPr>
        <w:t xml:space="preserve">Colombia Compra Eficiente responde su consulta del </w:t>
      </w:r>
      <w:r w:rsidR="00162501">
        <w:rPr>
          <w:rFonts w:ascii="Arial" w:hAnsi="Arial" w:eastAsia="Calibri" w:cs="Arial"/>
          <w:color w:val="000000" w:themeColor="text1"/>
          <w:sz w:val="22"/>
          <w:lang w:val="es-ES"/>
        </w:rPr>
        <w:t>1</w:t>
      </w:r>
      <w:r w:rsidR="00907BF4">
        <w:rPr>
          <w:rFonts w:ascii="Arial" w:hAnsi="Arial" w:eastAsia="Calibri" w:cs="Arial"/>
          <w:color w:val="000000" w:themeColor="text1"/>
          <w:sz w:val="22"/>
          <w:lang w:val="es-ES"/>
        </w:rPr>
        <w:t>1</w:t>
      </w:r>
      <w:r w:rsidRPr="00593BA7">
        <w:rPr>
          <w:rFonts w:ascii="Arial" w:hAnsi="Arial" w:eastAsia="Calibri" w:cs="Arial"/>
          <w:color w:val="000000" w:themeColor="text1"/>
          <w:sz w:val="22"/>
          <w:lang w:val="es-ES"/>
        </w:rPr>
        <w:t xml:space="preserve"> de </w:t>
      </w:r>
      <w:r w:rsidR="00162501">
        <w:rPr>
          <w:rFonts w:ascii="Arial" w:hAnsi="Arial" w:eastAsia="Calibri" w:cs="Arial"/>
          <w:color w:val="000000" w:themeColor="text1"/>
          <w:sz w:val="22"/>
          <w:lang w:val="es-ES"/>
        </w:rPr>
        <w:t>septiembre</w:t>
      </w:r>
      <w:r w:rsidRPr="00593BA7">
        <w:rPr>
          <w:rFonts w:ascii="Arial" w:hAnsi="Arial" w:eastAsia="Calibri" w:cs="Arial"/>
          <w:color w:val="000000" w:themeColor="text1"/>
          <w:sz w:val="22"/>
          <w:lang w:val="es-ES"/>
        </w:rPr>
        <w:t xml:space="preserve"> de 2020. </w:t>
      </w:r>
    </w:p>
    <w:p w:rsidRPr="00593BA7" w:rsidR="003343B5" w:rsidP="003343B5" w:rsidRDefault="003343B5" w14:paraId="2FA45825" w14:textId="77777777">
      <w:pPr>
        <w:spacing w:line="276" w:lineRule="auto"/>
        <w:jc w:val="both"/>
        <w:rPr>
          <w:rFonts w:ascii="Arial" w:hAnsi="Arial" w:eastAsia="Calibri" w:cs="Arial"/>
          <w:color w:val="000000" w:themeColor="text1"/>
          <w:sz w:val="22"/>
          <w:lang w:val="es-ES"/>
        </w:rPr>
      </w:pPr>
    </w:p>
    <w:p w:rsidRPr="00593BA7" w:rsidR="003343B5" w:rsidP="00664154" w:rsidRDefault="00664154" w14:paraId="4ED65D34" w14:textId="03CA590F">
      <w:pPr>
        <w:pStyle w:val="Prrafodelista"/>
        <w:tabs>
          <w:tab w:val="left" w:pos="284"/>
        </w:tabs>
        <w:spacing w:line="276" w:lineRule="auto"/>
        <w:ind w:left="0"/>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1. </w:t>
      </w:r>
      <w:r w:rsidRPr="00593BA7" w:rsidR="003343B5">
        <w:rPr>
          <w:rFonts w:ascii="Arial" w:hAnsi="Arial" w:eastAsia="Calibri" w:cs="Arial"/>
          <w:b/>
          <w:color w:val="000000" w:themeColor="text1"/>
          <w:sz w:val="22"/>
          <w:lang w:val="es-ES"/>
        </w:rPr>
        <w:t>Problema planteado</w:t>
      </w:r>
    </w:p>
    <w:p w:rsidRPr="00593BA7" w:rsidR="003343B5" w:rsidP="003343B5" w:rsidRDefault="003343B5" w14:paraId="10C284F6" w14:textId="77777777">
      <w:pPr>
        <w:tabs>
          <w:tab w:val="left" w:pos="426"/>
        </w:tabs>
        <w:spacing w:line="276" w:lineRule="auto"/>
        <w:jc w:val="both"/>
        <w:rPr>
          <w:rFonts w:ascii="Arial" w:hAnsi="Arial" w:eastAsia="Calibri" w:cs="Arial"/>
          <w:b/>
          <w:color w:val="000000" w:themeColor="text1"/>
          <w:sz w:val="22"/>
          <w:lang w:val="es-ES"/>
        </w:rPr>
      </w:pPr>
    </w:p>
    <w:p w:rsidR="009668E1" w:rsidP="009668E1" w:rsidRDefault="009668E1" w14:paraId="23570C6C" w14:textId="24CAF2B8">
      <w:pPr>
        <w:tabs>
          <w:tab w:val="left" w:pos="426"/>
        </w:tabs>
        <w:spacing w:line="276" w:lineRule="auto"/>
        <w:jc w:val="both"/>
        <w:rPr>
          <w:rFonts w:ascii="Arial" w:hAnsi="Arial" w:cs="Arial"/>
          <w:noProof/>
          <w:color w:val="000000" w:themeColor="text1"/>
          <w:sz w:val="22"/>
          <w:lang w:val="es-ES_tradnl"/>
        </w:rPr>
      </w:pPr>
      <w:r>
        <w:rPr>
          <w:rFonts w:ascii="Arial" w:hAnsi="Arial" w:cs="Arial"/>
          <w:noProof/>
          <w:color w:val="000000" w:themeColor="text1"/>
          <w:sz w:val="22"/>
          <w:lang w:val="es-ES_tradnl"/>
        </w:rPr>
        <w:t xml:space="preserve">Usted formuló las siguientes preguntas: En los documentos tipo versión 2 el proponente puede ofrecer garantías suplementarias o adicionales a través de aseguradora o directamente como garantía comercial, y sobre esta última «[…] </w:t>
      </w:r>
      <w:r w:rsidRPr="009668E1">
        <w:rPr>
          <w:rFonts w:ascii="Arial" w:hAnsi="Arial" w:cs="Arial"/>
          <w:noProof/>
          <w:color w:val="000000" w:themeColor="text1"/>
          <w:sz w:val="22"/>
          <w:lang w:val="es-ES_tradnl"/>
        </w:rPr>
        <w:t>surgen algunas inquietudes como son el anexo de conformación del oferente plural si da una garantía comercial por 30 meses luego de cumplido el termino de la garantía de estabilidad de la obra en los término</w:t>
      </w:r>
      <w:r w:rsidR="00872216">
        <w:rPr>
          <w:rFonts w:ascii="Arial" w:hAnsi="Arial" w:cs="Arial"/>
          <w:noProof/>
          <w:color w:val="000000" w:themeColor="text1"/>
          <w:sz w:val="22"/>
          <w:lang w:val="es-ES_tradnl"/>
        </w:rPr>
        <w:t>s</w:t>
      </w:r>
      <w:r w:rsidRPr="009668E1">
        <w:rPr>
          <w:rFonts w:ascii="Arial" w:hAnsi="Arial" w:cs="Arial"/>
          <w:noProof/>
          <w:color w:val="000000" w:themeColor="text1"/>
          <w:sz w:val="22"/>
          <w:lang w:val="es-ES_tradnl"/>
        </w:rPr>
        <w:t xml:space="preserve"> de la resolución, la duración de ese oferente no debería ser por este tiempo? aun cuando los integrantes de las figuras plurales responden cada uno conforme a las reglas del consorcio o la U.T, no se debería exigir que las empresas que conforma</w:t>
      </w:r>
      <w:r w:rsidR="00F10063">
        <w:rPr>
          <w:rFonts w:ascii="Arial" w:hAnsi="Arial" w:cs="Arial"/>
          <w:noProof/>
          <w:color w:val="000000" w:themeColor="text1"/>
          <w:sz w:val="22"/>
          <w:lang w:val="es-ES_tradnl"/>
        </w:rPr>
        <w:t>n</w:t>
      </w:r>
      <w:r w:rsidRPr="009668E1">
        <w:rPr>
          <w:rFonts w:ascii="Arial" w:hAnsi="Arial" w:cs="Arial"/>
          <w:noProof/>
          <w:color w:val="000000" w:themeColor="text1"/>
          <w:sz w:val="22"/>
          <w:lang w:val="es-ES_tradnl"/>
        </w:rPr>
        <w:t xml:space="preserve"> estas figuras aseguren su existencia en el futuro como mínimo con el tiempo que duren las garantías? no es inconveniente tener este tipo de garantías sin un respaldo más allá que la palabra de cumplir?? </w:t>
      </w:r>
      <w:r w:rsidR="00E834A8">
        <w:rPr>
          <w:rFonts w:ascii="Arial" w:hAnsi="Arial" w:eastAsia="Calibri" w:cs="Arial"/>
          <w:color w:val="000000" w:themeColor="text1"/>
          <w:sz w:val="21"/>
          <w:szCs w:val="21"/>
          <w:lang w:val="es-ES"/>
        </w:rPr>
        <w:t xml:space="preserve">(sic) </w:t>
      </w:r>
      <w:r w:rsidRPr="009668E1">
        <w:rPr>
          <w:rFonts w:ascii="Arial" w:hAnsi="Arial" w:cs="Arial"/>
          <w:noProof/>
          <w:color w:val="000000" w:themeColor="text1"/>
          <w:sz w:val="22"/>
          <w:lang w:val="es-ES_tradnl"/>
        </w:rPr>
        <w:t>puede la entidad optar por exigir solo las dadas por las aseguradoras buscando blindar un poco mas a la entidad y buscando objetividad, igualdad de condiciones?</w:t>
      </w:r>
      <w:r>
        <w:rPr>
          <w:rFonts w:ascii="Arial" w:hAnsi="Arial" w:cs="Arial"/>
          <w:noProof/>
          <w:color w:val="000000" w:themeColor="text1"/>
          <w:sz w:val="22"/>
          <w:lang w:val="es-ES_tradnl"/>
        </w:rPr>
        <w:t>».</w:t>
      </w:r>
    </w:p>
    <w:p w:rsidRPr="00593BA7" w:rsidR="003343B5" w:rsidP="003343B5" w:rsidRDefault="003343B5" w14:paraId="5A227603" w14:textId="77777777">
      <w:pPr>
        <w:tabs>
          <w:tab w:val="left" w:pos="426"/>
        </w:tabs>
        <w:spacing w:line="276" w:lineRule="auto"/>
        <w:jc w:val="both"/>
        <w:rPr>
          <w:rFonts w:ascii="Arial" w:hAnsi="Arial" w:eastAsia="Calibri" w:cs="Arial"/>
          <w:color w:val="000000" w:themeColor="text1"/>
          <w:sz w:val="22"/>
          <w:lang w:val="es-ES"/>
        </w:rPr>
      </w:pPr>
    </w:p>
    <w:p w:rsidRPr="00486BD9" w:rsidR="003343B5" w:rsidP="00486BD9" w:rsidRDefault="00486BD9" w14:paraId="433D971C" w14:textId="437D2A55">
      <w:pPr>
        <w:tabs>
          <w:tab w:val="left" w:pos="426"/>
        </w:tabs>
        <w:spacing w:line="276" w:lineRule="auto"/>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lastRenderedPageBreak/>
        <w:t xml:space="preserve">2. </w:t>
      </w:r>
      <w:r w:rsidRPr="00486BD9" w:rsidR="003343B5">
        <w:rPr>
          <w:rFonts w:ascii="Arial" w:hAnsi="Arial" w:eastAsia="Calibri" w:cs="Arial"/>
          <w:b/>
          <w:color w:val="000000" w:themeColor="text1"/>
          <w:sz w:val="22"/>
          <w:lang w:val="es-ES"/>
        </w:rPr>
        <w:t>Consideraciones</w:t>
      </w:r>
    </w:p>
    <w:p w:rsidR="00486BD9" w:rsidP="00486BD9" w:rsidRDefault="00486BD9" w14:paraId="3A179303" w14:textId="44C6E314">
      <w:pPr>
        <w:tabs>
          <w:tab w:val="left" w:pos="426"/>
        </w:tabs>
        <w:spacing w:line="276" w:lineRule="auto"/>
        <w:jc w:val="both"/>
        <w:rPr>
          <w:rFonts w:ascii="Arial" w:hAnsi="Arial" w:eastAsia="Calibri" w:cs="Arial"/>
          <w:b/>
          <w:color w:val="000000" w:themeColor="text1"/>
          <w:sz w:val="22"/>
          <w:lang w:val="es-ES"/>
        </w:rPr>
      </w:pPr>
    </w:p>
    <w:p w:rsidRPr="00162501" w:rsidR="007826ED" w:rsidP="007826ED" w:rsidRDefault="007826ED" w14:paraId="7D774597" w14:textId="77777777">
      <w:pPr>
        <w:spacing w:after="120" w:line="276" w:lineRule="auto"/>
        <w:jc w:val="both"/>
        <w:rPr>
          <w:rFonts w:ascii="Arial" w:hAnsi="Arial" w:eastAsia="Calibri" w:cs="Arial"/>
          <w:bCs/>
          <w:color w:val="000000" w:themeColor="text1"/>
          <w:sz w:val="22"/>
          <w:lang w:val="es-ES"/>
        </w:rPr>
      </w:pPr>
      <w:r>
        <w:rPr>
          <w:rFonts w:ascii="Arial" w:hAnsi="Arial" w:cs="Arial"/>
          <w:noProof/>
          <w:color w:val="000000" w:themeColor="text1"/>
          <w:sz w:val="22"/>
          <w:lang w:val="es-ES_tradnl"/>
        </w:rPr>
        <w:t xml:space="preserve">La </w:t>
      </w:r>
      <w:r>
        <w:rPr>
          <w:rFonts w:ascii="Arial" w:hAnsi="Arial" w:cs="Arial"/>
          <w:sz w:val="22"/>
        </w:rPr>
        <w:t>Agencia Nacional de Contratación Pública ― Colombia Compra Eficiente</w:t>
      </w:r>
      <w:r>
        <w:rPr>
          <w:rFonts w:ascii="Arial" w:hAnsi="Arial" w:cs="Arial"/>
          <w:noProof/>
          <w:color w:val="000000" w:themeColor="text1"/>
          <w:sz w:val="22"/>
          <w:lang w:val="es-ES_tradnl"/>
        </w:rPr>
        <w:t xml:space="preserve"> se pronunció sobre la duración de los proponentes plurales en los conceptos con radicados No. C-</w:t>
      </w:r>
      <w:r w:rsidRPr="00162501">
        <w:rPr>
          <w:rFonts w:ascii="Arial" w:hAnsi="Arial" w:cs="Arial"/>
          <w:noProof/>
          <w:color w:val="000000" w:themeColor="text1"/>
          <w:sz w:val="22"/>
          <w:lang w:val="es-ES_tradnl"/>
        </w:rPr>
        <w:t>586</w:t>
      </w:r>
      <w:r>
        <w:rPr>
          <w:rFonts w:ascii="Arial" w:hAnsi="Arial" w:cs="Arial"/>
          <w:noProof/>
          <w:color w:val="000000" w:themeColor="text1"/>
          <w:sz w:val="22"/>
          <w:lang w:val="es-ES_tradnl"/>
        </w:rPr>
        <w:t xml:space="preserve"> del 31 de agosto de 2020 y C-627 del 16 de septiembre de 2020, cuyas ideas se reiteran a </w:t>
      </w:r>
      <w:r w:rsidRPr="00162501">
        <w:rPr>
          <w:rFonts w:ascii="Arial" w:hAnsi="Arial" w:eastAsia="Calibri" w:cs="Arial"/>
          <w:bCs/>
          <w:color w:val="000000" w:themeColor="text1"/>
          <w:sz w:val="22"/>
          <w:lang w:val="es-ES"/>
        </w:rPr>
        <w:t>continuación:</w:t>
      </w:r>
    </w:p>
    <w:p w:rsidR="007826ED" w:rsidP="00486BD9" w:rsidRDefault="007826ED" w14:paraId="1D0254AD" w14:textId="77777777">
      <w:pPr>
        <w:tabs>
          <w:tab w:val="left" w:pos="426"/>
        </w:tabs>
        <w:spacing w:line="276" w:lineRule="auto"/>
        <w:jc w:val="both"/>
        <w:rPr>
          <w:rFonts w:ascii="Arial" w:hAnsi="Arial" w:eastAsia="Calibri" w:cs="Arial"/>
          <w:b/>
          <w:color w:val="000000" w:themeColor="text1"/>
          <w:sz w:val="22"/>
          <w:lang w:val="es-ES"/>
        </w:rPr>
      </w:pPr>
    </w:p>
    <w:p w:rsidRPr="00486BD9" w:rsidR="00486BD9" w:rsidP="00486BD9" w:rsidRDefault="00486BD9" w14:paraId="0BE9E327" w14:textId="40469644">
      <w:pPr>
        <w:tabs>
          <w:tab w:val="left" w:pos="426"/>
        </w:tabs>
        <w:spacing w:line="276" w:lineRule="auto"/>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2.1 Duración del proponente plural respecto de las garantías suplementarias o adicionales de los documentos tipo versión 2</w:t>
      </w:r>
    </w:p>
    <w:p w:rsidR="00A05238" w:rsidP="00A510E3" w:rsidRDefault="00A05238" w14:paraId="186A24AF" w14:textId="37880DCB">
      <w:pPr>
        <w:pStyle w:val="Prrafodelista"/>
        <w:tabs>
          <w:tab w:val="left" w:pos="426"/>
        </w:tabs>
        <w:spacing w:line="276" w:lineRule="auto"/>
        <w:ind w:left="284"/>
        <w:jc w:val="both"/>
        <w:rPr>
          <w:rFonts w:ascii="Arial" w:hAnsi="Arial" w:eastAsia="Calibri" w:cs="Arial"/>
          <w:b/>
          <w:color w:val="000000" w:themeColor="text1"/>
          <w:sz w:val="22"/>
          <w:lang w:val="es-ES"/>
        </w:rPr>
      </w:pPr>
    </w:p>
    <w:p w:rsidR="00DE1C0E" w:rsidP="00A4535B" w:rsidRDefault="00DE1C0E" w14:paraId="3121423C" w14:textId="64131FD5">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La capacidad para contratar, e incluso la de realizar actos jurídicamente vinculantes como la presentación de una oferta en un procedimiento de selección de contratistas, se consideró por mucho tiempo un</w:t>
      </w:r>
      <w:r w:rsidR="000246FD">
        <w:rPr>
          <w:rFonts w:ascii="Arial" w:hAnsi="Arial" w:eastAsia="Calibri" w:cs="Arial"/>
          <w:bCs/>
          <w:color w:val="000000" w:themeColor="text1"/>
          <w:sz w:val="22"/>
          <w:lang w:val="es-ES"/>
        </w:rPr>
        <w:t>o</w:t>
      </w:r>
      <w:r>
        <w:rPr>
          <w:rFonts w:ascii="Arial" w:hAnsi="Arial" w:eastAsia="Calibri" w:cs="Arial"/>
          <w:bCs/>
          <w:color w:val="000000" w:themeColor="text1"/>
          <w:sz w:val="22"/>
          <w:lang w:val="es-ES"/>
        </w:rPr>
        <w:t xml:space="preserve"> de los atributos de la personalidad reservado, en tanto tal, a las personas jurídicas y naturales. </w:t>
      </w:r>
    </w:p>
    <w:p w:rsidR="00E445AE" w:rsidP="00A510E3" w:rsidRDefault="00DE1C0E" w14:paraId="1F836212" w14:textId="5355B391">
      <w:pPr>
        <w:spacing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No obstante, el progreso en las formas negociales y asociativas hizo necesario reconocer nuevas estructuras plurales y otorgarles ciertos atributos que tradicionalmente habían estado reservados a las personas jurídicas. Tal es precisamente el caso de la capacidad para contratar</w:t>
      </w:r>
      <w:r w:rsidR="000246FD">
        <w:rPr>
          <w:rFonts w:ascii="Arial" w:hAnsi="Arial" w:eastAsia="Calibri" w:cs="Arial"/>
          <w:bCs/>
          <w:color w:val="000000" w:themeColor="text1"/>
          <w:sz w:val="22"/>
          <w:lang w:val="es-ES"/>
        </w:rPr>
        <w:t xml:space="preserve"> otorgada a los consorcios y uniones temporales o la posibilidad de que proponentes plurales se presenten bajo la modalidad de promesa de sociedad futura con objeto único</w:t>
      </w:r>
      <w:r>
        <w:rPr>
          <w:rFonts w:ascii="Arial" w:hAnsi="Arial" w:eastAsia="Calibri" w:cs="Arial"/>
          <w:bCs/>
          <w:color w:val="000000" w:themeColor="text1"/>
          <w:sz w:val="22"/>
          <w:lang w:val="es-ES"/>
        </w:rPr>
        <w:t xml:space="preserve">. </w:t>
      </w:r>
    </w:p>
    <w:p w:rsidR="00DE1C0E" w:rsidP="00A4535B" w:rsidRDefault="00DE1C0E" w14:paraId="72F47ECE" w14:textId="19D6A7A8">
      <w:pPr>
        <w:spacing w:before="120" w:line="276" w:lineRule="auto"/>
        <w:ind w:firstLine="709"/>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En este sentido, la Corte Constitucional ha sostenido:</w:t>
      </w:r>
    </w:p>
    <w:p w:rsidR="00DE1C0E" w:rsidP="00DE1C0E" w:rsidRDefault="00DE1C0E" w14:paraId="27C70B2F" w14:textId="77777777">
      <w:pPr>
        <w:spacing w:line="276" w:lineRule="auto"/>
        <w:jc w:val="both"/>
        <w:rPr>
          <w:rFonts w:ascii="Arial" w:hAnsi="Arial" w:eastAsia="Calibri" w:cs="Arial"/>
          <w:bCs/>
          <w:color w:val="000000" w:themeColor="text1"/>
          <w:sz w:val="22"/>
          <w:lang w:val="es-ES"/>
        </w:rPr>
      </w:pPr>
    </w:p>
    <w:p w:rsidRPr="00DE1C0E" w:rsidR="00DE1C0E" w:rsidP="00A4535B" w:rsidRDefault="00DE1C0E" w14:paraId="00C8E900" w14:textId="77777777">
      <w:pPr>
        <w:ind w:left="709" w:right="709"/>
        <w:jc w:val="both"/>
        <w:rPr>
          <w:rFonts w:ascii="Arial" w:hAnsi="Arial" w:eastAsia="Calibri" w:cs="Arial"/>
          <w:bCs/>
          <w:color w:val="000000" w:themeColor="text1"/>
          <w:sz w:val="21"/>
          <w:szCs w:val="21"/>
        </w:rPr>
      </w:pPr>
      <w:r w:rsidRPr="00DE1C0E">
        <w:rPr>
          <w:rFonts w:ascii="Arial" w:hAnsi="Arial" w:eastAsia="Calibri"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rsidR="003D36D5" w:rsidP="00A4535B" w:rsidRDefault="00DE1C0E" w14:paraId="2CEE2427" w14:textId="234F0222">
      <w:pPr>
        <w:ind w:left="709" w:right="709"/>
        <w:jc w:val="both"/>
        <w:rPr>
          <w:rFonts w:ascii="Arial" w:hAnsi="Arial" w:eastAsia="Calibri" w:cs="Arial"/>
          <w:bCs/>
          <w:color w:val="000000" w:themeColor="text1"/>
          <w:sz w:val="21"/>
          <w:szCs w:val="21"/>
        </w:rPr>
      </w:pPr>
      <w:r w:rsidRPr="00DE1C0E">
        <w:rPr>
          <w:rFonts w:ascii="Arial" w:hAnsi="Arial" w:eastAsia="Calibri" w:cs="Arial"/>
          <w:bCs/>
          <w:color w:val="000000" w:themeColor="text1"/>
          <w:sz w:val="21"/>
          <w:szCs w:val="21"/>
        </w:rPr>
        <w:t> </w:t>
      </w:r>
      <w:r w:rsidR="003D36D5">
        <w:rPr>
          <w:rFonts w:ascii="Arial" w:hAnsi="Arial" w:eastAsia="Calibri" w:cs="Arial"/>
          <w:bCs/>
          <w:color w:val="000000" w:themeColor="text1"/>
          <w:sz w:val="21"/>
          <w:szCs w:val="21"/>
        </w:rPr>
        <w:t>[…]</w:t>
      </w:r>
    </w:p>
    <w:p w:rsidR="003D36D5" w:rsidP="00A4535B" w:rsidRDefault="003D36D5" w14:paraId="5291704E" w14:textId="308E3887">
      <w:pPr>
        <w:ind w:left="709" w:right="709"/>
        <w:jc w:val="both"/>
        <w:rPr>
          <w:rFonts w:ascii="Arial" w:hAnsi="Arial" w:eastAsia="Calibri" w:cs="Arial"/>
          <w:bCs/>
          <w:color w:val="000000" w:themeColor="text1"/>
          <w:sz w:val="21"/>
          <w:szCs w:val="21"/>
        </w:rPr>
      </w:pPr>
    </w:p>
    <w:p w:rsidR="00DE1C0E" w:rsidP="00A4535B" w:rsidRDefault="003D36D5" w14:paraId="46CAB2A0" w14:textId="02AB169E">
      <w:pPr>
        <w:ind w:left="709" w:right="709"/>
        <w:jc w:val="both"/>
        <w:rPr>
          <w:rFonts w:ascii="Arial" w:hAnsi="Arial" w:eastAsia="Calibri" w:cs="Arial"/>
          <w:bCs/>
          <w:color w:val="000000" w:themeColor="text1"/>
          <w:sz w:val="21"/>
          <w:szCs w:val="21"/>
        </w:rPr>
      </w:pPr>
      <w:r w:rsidRPr="003D36D5">
        <w:rPr>
          <w:rFonts w:ascii="Arial" w:hAnsi="Arial" w:eastAsia="Calibri" w:cs="Arial"/>
          <w:bCs/>
          <w:color w:val="000000" w:themeColor="text1"/>
          <w:sz w:val="21"/>
          <w:szCs w:val="21"/>
        </w:rPr>
        <w:t>En torno a la capacidad contractual de los consorcios y uniones temporales</w:t>
      </w:r>
      <w:r>
        <w:rPr>
          <w:rFonts w:ascii="Arial" w:hAnsi="Arial" w:eastAsia="Calibri" w:cs="Arial"/>
          <w:bCs/>
          <w:color w:val="000000" w:themeColor="text1"/>
          <w:sz w:val="21"/>
          <w:szCs w:val="21"/>
        </w:rPr>
        <w:t xml:space="preserve"> </w:t>
      </w:r>
      <w:r w:rsidRPr="003D36D5">
        <w:rPr>
          <w:rFonts w:ascii="Arial" w:hAnsi="Arial" w:eastAsia="Calibri" w:cs="Arial"/>
          <w:bCs/>
          <w:color w:val="000000" w:themeColor="text1"/>
          <w:sz w:val="21"/>
          <w:szCs w:val="21"/>
        </w:rPr>
        <w:t xml:space="preserve">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w:t>
      </w:r>
      <w:r w:rsidRPr="003D36D5">
        <w:rPr>
          <w:rFonts w:ascii="Arial" w:hAnsi="Arial" w:eastAsia="Calibri" w:cs="Arial"/>
          <w:bCs/>
          <w:color w:val="000000" w:themeColor="text1"/>
          <w:sz w:val="21"/>
          <w:szCs w:val="21"/>
        </w:rPr>
        <w:lastRenderedPageBreak/>
        <w:t>un grado de responsabilidad solidaria en el cumplimiento de las obligaciones contractuales</w:t>
      </w:r>
      <w:r w:rsidR="000246FD">
        <w:rPr>
          <w:rStyle w:val="Refdenotaalpie"/>
          <w:rFonts w:ascii="Arial" w:hAnsi="Arial" w:eastAsia="Calibri" w:cs="Arial"/>
          <w:bCs/>
          <w:color w:val="000000" w:themeColor="text1"/>
          <w:sz w:val="21"/>
          <w:szCs w:val="21"/>
        </w:rPr>
        <w:footnoteReference w:id="1"/>
      </w:r>
      <w:r w:rsidRPr="003D36D5">
        <w:rPr>
          <w:rFonts w:ascii="Arial" w:hAnsi="Arial" w:eastAsia="Calibri" w:cs="Arial"/>
          <w:bCs/>
          <w:color w:val="000000" w:themeColor="text1"/>
          <w:sz w:val="21"/>
          <w:szCs w:val="21"/>
        </w:rPr>
        <w:t>.</w:t>
      </w:r>
    </w:p>
    <w:p w:rsidRPr="003D36D5" w:rsidR="003D36D5" w:rsidP="003D36D5" w:rsidRDefault="003D36D5" w14:paraId="14164ECF" w14:textId="77777777">
      <w:pPr>
        <w:ind w:left="720" w:right="730"/>
        <w:jc w:val="both"/>
        <w:rPr>
          <w:rFonts w:ascii="Arial" w:hAnsi="Arial" w:eastAsia="Calibri" w:cs="Arial"/>
          <w:bCs/>
          <w:color w:val="000000" w:themeColor="text1"/>
          <w:sz w:val="21"/>
          <w:szCs w:val="21"/>
        </w:rPr>
      </w:pPr>
    </w:p>
    <w:p w:rsidR="00DE1C0E" w:rsidP="00DE1C0E" w:rsidRDefault="00DE1C0E" w14:paraId="3F6088E2" w14:textId="788F4CE3">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Como se puede observar, la Corte Constitucional destaca de un lado que las estructuras plurales son el reconocimiento de una realidad negocial en materia de contratación estatal, y del otro, que esta colaboración económica entre sujetos de derecho permite la materialización de los fines del </w:t>
      </w:r>
      <w:r w:rsidR="004D78E0">
        <w:rPr>
          <w:rFonts w:ascii="Arial" w:hAnsi="Arial" w:eastAsia="Calibri" w:cs="Arial"/>
          <w:bCs/>
          <w:color w:val="000000" w:themeColor="text1"/>
          <w:sz w:val="22"/>
          <w:lang w:val="es-ES"/>
        </w:rPr>
        <w:t>E</w:t>
      </w:r>
      <w:r>
        <w:rPr>
          <w:rFonts w:ascii="Arial" w:hAnsi="Arial" w:eastAsia="Calibri" w:cs="Arial"/>
          <w:bCs/>
          <w:color w:val="000000" w:themeColor="text1"/>
          <w:sz w:val="22"/>
          <w:lang w:val="es-ES"/>
        </w:rPr>
        <w:t xml:space="preserve">stado, al facilitar la efectiva ejecución de contratos. </w:t>
      </w:r>
      <w:r w:rsidR="003D36D5">
        <w:rPr>
          <w:rFonts w:ascii="Arial" w:hAnsi="Arial" w:eastAsia="Calibri" w:cs="Arial"/>
          <w:bCs/>
          <w:color w:val="000000" w:themeColor="text1"/>
          <w:sz w:val="22"/>
          <w:lang w:val="es-ES"/>
        </w:rPr>
        <w:t>Adicionalmente, puntualiza que la capacidad contractual de consorcios y uniones temporales se reconoce sin necesidad de exigirles como condición de su ejercicio que sean personas morales</w:t>
      </w:r>
      <w:r w:rsidR="00230EFD">
        <w:rPr>
          <w:rFonts w:ascii="Arial" w:hAnsi="Arial" w:eastAsia="Calibri" w:cs="Arial"/>
          <w:bCs/>
          <w:color w:val="000000" w:themeColor="text1"/>
          <w:sz w:val="22"/>
          <w:lang w:val="es-ES"/>
        </w:rPr>
        <w:t>,</w:t>
      </w:r>
      <w:r w:rsidR="003D36D5">
        <w:rPr>
          <w:rFonts w:ascii="Arial" w:hAnsi="Arial" w:eastAsia="Calibri" w:cs="Arial"/>
          <w:bCs/>
          <w:color w:val="000000" w:themeColor="text1"/>
          <w:sz w:val="22"/>
          <w:lang w:val="es-ES"/>
        </w:rPr>
        <w:t xml:space="preserve"> lo que, hasta cierto punto, podría considerarse una evolución en la teoría de la personalidad</w:t>
      </w:r>
      <w:r w:rsidR="000246FD">
        <w:rPr>
          <w:rFonts w:ascii="Arial" w:hAnsi="Arial" w:eastAsia="Calibri" w:cs="Arial"/>
          <w:bCs/>
          <w:color w:val="000000" w:themeColor="text1"/>
          <w:sz w:val="22"/>
          <w:lang w:val="es-ES"/>
        </w:rPr>
        <w:t xml:space="preserve"> jurídica</w:t>
      </w:r>
      <w:r w:rsidR="003D36D5">
        <w:rPr>
          <w:rFonts w:ascii="Arial" w:hAnsi="Arial" w:eastAsia="Calibri" w:cs="Arial"/>
          <w:bCs/>
          <w:color w:val="000000" w:themeColor="text1"/>
          <w:sz w:val="22"/>
          <w:lang w:val="es-ES"/>
        </w:rPr>
        <w:t xml:space="preserve">.  </w:t>
      </w:r>
    </w:p>
    <w:p w:rsidR="00DE1C0E" w:rsidP="009259C6" w:rsidRDefault="009259C6" w14:paraId="0650639E" w14:textId="5DF26431">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El artículo 7 de la Ley 80 de 1993 contiene las reglas que se refieren a las 3 instituciones que pueden considerar</w:t>
      </w:r>
      <w:r w:rsidR="00340735">
        <w:rPr>
          <w:rFonts w:ascii="Arial" w:hAnsi="Arial" w:eastAsia="Calibri" w:cs="Arial"/>
          <w:bCs/>
          <w:color w:val="000000" w:themeColor="text1"/>
          <w:sz w:val="22"/>
          <w:lang w:val="es-ES"/>
        </w:rPr>
        <w:t>se</w:t>
      </w:r>
      <w:r>
        <w:rPr>
          <w:rFonts w:ascii="Arial" w:hAnsi="Arial" w:eastAsia="Calibri" w:cs="Arial"/>
          <w:bCs/>
          <w:color w:val="000000" w:themeColor="text1"/>
          <w:sz w:val="22"/>
          <w:lang w:val="es-ES"/>
        </w:rPr>
        <w:t xml:space="preserve"> estructuras plurales </w:t>
      </w:r>
      <w:r w:rsidR="000246FD">
        <w:rPr>
          <w:rFonts w:ascii="Arial" w:hAnsi="Arial" w:eastAsia="Calibri" w:cs="Arial"/>
          <w:bCs/>
          <w:color w:val="000000" w:themeColor="text1"/>
          <w:sz w:val="22"/>
          <w:lang w:val="es-ES"/>
        </w:rPr>
        <w:t>para efectos del Estatuto General de Contratación de la Administración Pública</w:t>
      </w:r>
      <w:r>
        <w:rPr>
          <w:rFonts w:ascii="Arial" w:hAnsi="Arial" w:eastAsia="Calibri" w:cs="Arial"/>
          <w:bCs/>
          <w:color w:val="000000" w:themeColor="text1"/>
          <w:sz w:val="22"/>
          <w:lang w:val="es-ES"/>
        </w:rPr>
        <w:t xml:space="preserve">: los consorcios, las uniones temporales, y las sociedades con objeto único. </w:t>
      </w:r>
    </w:p>
    <w:p w:rsidR="009259C6" w:rsidP="009259C6" w:rsidRDefault="009259C6" w14:paraId="76715FF3" w14:textId="4774A313">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Las diferencias de las reglas y los regímenes jurídicos que gobiernan los diferentes tipos de estructuras plurales no hacen parte del objeto de la consulta que se contesta, motivo por el cual se obviará su análisis, para</w:t>
      </w:r>
      <w:r w:rsidR="00565C86">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en su lugar</w:t>
      </w:r>
      <w:r w:rsidR="00565C86">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w:t>
      </w:r>
      <w:r w:rsidR="000246FD">
        <w:rPr>
          <w:rFonts w:ascii="Arial" w:hAnsi="Arial" w:eastAsia="Calibri" w:cs="Arial"/>
          <w:bCs/>
          <w:color w:val="000000" w:themeColor="text1"/>
          <w:sz w:val="22"/>
          <w:lang w:val="es-ES"/>
        </w:rPr>
        <w:t>concentrarse</w:t>
      </w:r>
      <w:r>
        <w:rPr>
          <w:rFonts w:ascii="Arial" w:hAnsi="Arial" w:eastAsia="Calibri" w:cs="Arial"/>
          <w:bCs/>
          <w:color w:val="000000" w:themeColor="text1"/>
          <w:sz w:val="22"/>
          <w:lang w:val="es-ES"/>
        </w:rPr>
        <w:t xml:space="preserve"> sobre la duración en el tiempo de estas estructuras.</w:t>
      </w:r>
    </w:p>
    <w:p w:rsidR="009259C6" w:rsidP="009259C6" w:rsidRDefault="009259C6" w14:paraId="1DE8A028" w14:textId="348336AC">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Se debe </w:t>
      </w:r>
      <w:r w:rsidR="00794BA7">
        <w:rPr>
          <w:rFonts w:ascii="Arial" w:hAnsi="Arial" w:eastAsia="Calibri" w:cs="Arial"/>
          <w:bCs/>
          <w:color w:val="000000" w:themeColor="text1"/>
          <w:sz w:val="22"/>
          <w:lang w:val="es-ES"/>
        </w:rPr>
        <w:t>poner de presente</w:t>
      </w:r>
      <w:r>
        <w:rPr>
          <w:rFonts w:ascii="Arial" w:hAnsi="Arial" w:eastAsia="Calibri" w:cs="Arial"/>
          <w:bCs/>
          <w:color w:val="000000" w:themeColor="text1"/>
          <w:sz w:val="22"/>
          <w:lang w:val="es-ES"/>
        </w:rPr>
        <w:t xml:space="preserve"> que el artículo 7 de la Ley 80 de 1993 no contiene reglas sobre la duración, mínima o máxima</w:t>
      </w:r>
      <w:r w:rsidR="00794BA7">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de las estructuras plurales</w:t>
      </w:r>
      <w:r w:rsidR="00340735">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w:t>
      </w:r>
      <w:r w:rsidR="00340735">
        <w:rPr>
          <w:rFonts w:ascii="Arial" w:hAnsi="Arial" w:eastAsia="Calibri" w:cs="Arial"/>
          <w:bCs/>
          <w:color w:val="000000" w:themeColor="text1"/>
          <w:sz w:val="22"/>
          <w:lang w:val="es-ES"/>
        </w:rPr>
        <w:t>T</w:t>
      </w:r>
      <w:r>
        <w:rPr>
          <w:rFonts w:ascii="Arial" w:hAnsi="Arial" w:eastAsia="Calibri" w:cs="Arial"/>
          <w:bCs/>
          <w:color w:val="000000" w:themeColor="text1"/>
          <w:sz w:val="22"/>
          <w:lang w:val="es-ES"/>
        </w:rPr>
        <w:t>ampoco existen reglas en otras disposiciones del Estatuto General de Contratación de la Administración Pública</w:t>
      </w:r>
      <w:r w:rsidR="000246FD">
        <w:rPr>
          <w:rFonts w:ascii="Arial" w:hAnsi="Arial" w:eastAsia="Calibri" w:cs="Arial"/>
          <w:bCs/>
          <w:color w:val="000000" w:themeColor="text1"/>
          <w:sz w:val="22"/>
          <w:lang w:val="es-ES"/>
        </w:rPr>
        <w:t xml:space="preserve"> o sus normas reglamentarias</w:t>
      </w:r>
      <w:r>
        <w:rPr>
          <w:rFonts w:ascii="Arial" w:hAnsi="Arial" w:eastAsia="Calibri" w:cs="Arial"/>
          <w:bCs/>
          <w:color w:val="000000" w:themeColor="text1"/>
          <w:sz w:val="22"/>
          <w:lang w:val="es-ES"/>
        </w:rPr>
        <w:t>. Es decir, que se puede afirmar que existe un vacío</w:t>
      </w:r>
      <w:r w:rsidR="009B0752">
        <w:rPr>
          <w:rFonts w:ascii="Arial" w:hAnsi="Arial" w:eastAsia="Calibri" w:cs="Arial"/>
          <w:bCs/>
          <w:color w:val="000000" w:themeColor="text1"/>
          <w:sz w:val="22"/>
          <w:lang w:val="es-ES"/>
        </w:rPr>
        <w:t xml:space="preserve"> legal</w:t>
      </w:r>
      <w:r>
        <w:rPr>
          <w:rFonts w:ascii="Arial" w:hAnsi="Arial" w:eastAsia="Calibri" w:cs="Arial"/>
          <w:bCs/>
          <w:color w:val="000000" w:themeColor="text1"/>
          <w:sz w:val="22"/>
          <w:lang w:val="es-ES"/>
        </w:rPr>
        <w:t xml:space="preserve"> sobre cuál debe ser el tiempo mínimo por el cual debe estar constituida una estructura plural para los efectos de actuar como contratista del Estado. </w:t>
      </w:r>
    </w:p>
    <w:p w:rsidR="009259C6" w:rsidP="00794BA7" w:rsidRDefault="009259C6" w14:paraId="1EF679EB" w14:textId="397E50F0">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En este contexto, se debe mencionar que el inciso segundo del artículo 6 de la Ley 80 de 1993 dispone que: </w:t>
      </w:r>
      <w:r w:rsidRPr="009259C6">
        <w:rPr>
          <w:rFonts w:ascii="Arial" w:hAnsi="Arial" w:eastAsia="Calibri" w:cs="Arial"/>
          <w:bCs/>
          <w:color w:val="000000" w:themeColor="text1"/>
          <w:sz w:val="22"/>
          <w:lang w:val="es-ES"/>
        </w:rPr>
        <w:t>«Las personas jurídicas nacionales y extranjeras deberán acreditar que su duración no será inferior a la del plazo del contrato y un año más».</w:t>
      </w:r>
      <w:r>
        <w:rPr>
          <w:rFonts w:ascii="Arial" w:hAnsi="Arial" w:eastAsia="Calibri" w:cs="Arial"/>
          <w:bCs/>
          <w:color w:val="000000" w:themeColor="text1"/>
          <w:sz w:val="22"/>
          <w:lang w:val="es-ES"/>
        </w:rPr>
        <w:t xml:space="preserve"> </w:t>
      </w:r>
      <w:r w:rsidR="00794BA7">
        <w:rPr>
          <w:rFonts w:ascii="Arial" w:hAnsi="Arial" w:eastAsia="Calibri" w:cs="Arial"/>
          <w:bCs/>
          <w:color w:val="000000" w:themeColor="text1"/>
          <w:sz w:val="22"/>
          <w:lang w:val="es-ES"/>
        </w:rPr>
        <w:t xml:space="preserve">Con base en la lectura de esta disposición puede afirmarse que existe una regla sobre la duración mínima del contratista cuando se trata de una persona jurídica.  </w:t>
      </w:r>
      <w:r w:rsidR="009B0752">
        <w:rPr>
          <w:rFonts w:ascii="Arial" w:hAnsi="Arial" w:eastAsia="Calibri" w:cs="Arial"/>
          <w:bCs/>
          <w:color w:val="000000" w:themeColor="text1"/>
          <w:sz w:val="22"/>
          <w:lang w:val="es-ES"/>
        </w:rPr>
        <w:t xml:space="preserve">Sin embargo, </w:t>
      </w:r>
      <w:r w:rsidR="00A05238">
        <w:rPr>
          <w:rFonts w:ascii="Arial" w:hAnsi="Arial" w:eastAsia="Calibri" w:cs="Arial"/>
          <w:bCs/>
          <w:color w:val="000000" w:themeColor="text1"/>
          <w:sz w:val="22"/>
          <w:lang w:val="es-ES"/>
        </w:rPr>
        <w:t>esta norma solo sería aplicable,</w:t>
      </w:r>
      <w:r w:rsidR="00794BA7">
        <w:rPr>
          <w:rFonts w:ascii="Arial" w:hAnsi="Arial" w:eastAsia="Calibri" w:cs="Arial"/>
          <w:bCs/>
          <w:color w:val="000000" w:themeColor="text1"/>
          <w:sz w:val="22"/>
          <w:lang w:val="es-ES"/>
        </w:rPr>
        <w:t xml:space="preserve"> en principio, a las personas jurídicas; excluyendo con ello a los consorcios y a las uniones temporales que, </w:t>
      </w:r>
      <w:r w:rsidR="000246FD">
        <w:rPr>
          <w:rFonts w:ascii="Arial" w:hAnsi="Arial" w:eastAsia="Calibri" w:cs="Arial"/>
          <w:bCs/>
          <w:color w:val="000000" w:themeColor="text1"/>
          <w:sz w:val="22"/>
          <w:lang w:val="es-ES"/>
        </w:rPr>
        <w:t>según se explicó</w:t>
      </w:r>
      <w:r w:rsidR="00794BA7">
        <w:rPr>
          <w:rFonts w:ascii="Arial" w:hAnsi="Arial" w:eastAsia="Calibri" w:cs="Arial"/>
          <w:bCs/>
          <w:color w:val="000000" w:themeColor="text1"/>
          <w:sz w:val="22"/>
          <w:lang w:val="es-ES"/>
        </w:rPr>
        <w:t xml:space="preserve">, carecen de personalidad jurídica. </w:t>
      </w:r>
    </w:p>
    <w:p w:rsidR="00206371" w:rsidP="00206371" w:rsidRDefault="00794BA7" w14:paraId="2C4B2146" w14:textId="13D14315">
      <w:pPr>
        <w:spacing w:after="120" w:line="276" w:lineRule="auto"/>
        <w:ind w:firstLine="708"/>
        <w:jc w:val="both"/>
        <w:rPr>
          <w:rFonts w:ascii="Arial" w:hAnsi="Arial" w:eastAsia="Calibri" w:cs="Arial"/>
          <w:color w:val="000000" w:themeColor="text1"/>
          <w:sz w:val="22"/>
        </w:rPr>
      </w:pPr>
      <w:r>
        <w:rPr>
          <w:rFonts w:ascii="Arial" w:hAnsi="Arial" w:eastAsia="Calibri" w:cs="Arial"/>
          <w:bCs/>
          <w:color w:val="000000" w:themeColor="text1"/>
          <w:sz w:val="22"/>
          <w:lang w:val="es-ES"/>
        </w:rPr>
        <w:t xml:space="preserve">No obstante, </w:t>
      </w:r>
      <w:r w:rsidR="00996CD7">
        <w:rPr>
          <w:rFonts w:ascii="Arial" w:hAnsi="Arial" w:eastAsia="Calibri" w:cs="Arial"/>
          <w:bCs/>
          <w:color w:val="000000" w:themeColor="text1"/>
          <w:sz w:val="22"/>
          <w:lang w:val="es-ES"/>
        </w:rPr>
        <w:t>para</w:t>
      </w:r>
      <w:r>
        <w:rPr>
          <w:rFonts w:ascii="Arial" w:hAnsi="Arial" w:eastAsia="Calibri" w:cs="Arial"/>
          <w:bCs/>
          <w:color w:val="000000" w:themeColor="text1"/>
          <w:sz w:val="22"/>
          <w:lang w:val="es-ES"/>
        </w:rPr>
        <w:t xml:space="preserve"> esta Subdirección el artículo 6, inciso segundo, puede ser aplicado de manera analógica para guiar los requerimientos que puede</w:t>
      </w:r>
      <w:r w:rsidR="00206371">
        <w:rPr>
          <w:rFonts w:ascii="Arial" w:hAnsi="Arial" w:eastAsia="Calibri" w:cs="Arial"/>
          <w:bCs/>
          <w:color w:val="000000" w:themeColor="text1"/>
          <w:sz w:val="22"/>
          <w:lang w:val="es-ES"/>
        </w:rPr>
        <w:t>n</w:t>
      </w:r>
      <w:r w:rsidR="00996CD7">
        <w:rPr>
          <w:rFonts w:ascii="Arial" w:hAnsi="Arial" w:eastAsia="Calibri" w:cs="Arial"/>
          <w:bCs/>
          <w:color w:val="000000" w:themeColor="text1"/>
          <w:sz w:val="22"/>
          <w:lang w:val="es-ES"/>
        </w:rPr>
        <w:t xml:space="preserve"> </w:t>
      </w:r>
      <w:r w:rsidR="009B0752">
        <w:rPr>
          <w:rFonts w:ascii="Arial" w:hAnsi="Arial" w:eastAsia="Calibri" w:cs="Arial"/>
          <w:bCs/>
          <w:color w:val="000000" w:themeColor="text1"/>
          <w:sz w:val="22"/>
          <w:lang w:val="es-ES"/>
        </w:rPr>
        <w:t>realizarse</w:t>
      </w:r>
      <w:r w:rsidR="00996CD7">
        <w:rPr>
          <w:rFonts w:ascii="Arial" w:hAnsi="Arial" w:eastAsia="Calibri" w:cs="Arial"/>
          <w:bCs/>
          <w:color w:val="000000" w:themeColor="text1"/>
          <w:sz w:val="22"/>
          <w:lang w:val="es-ES"/>
        </w:rPr>
        <w:t xml:space="preserve"> a</w:t>
      </w:r>
      <w:r>
        <w:rPr>
          <w:rFonts w:ascii="Arial" w:hAnsi="Arial" w:eastAsia="Calibri" w:cs="Arial"/>
          <w:bCs/>
          <w:color w:val="000000" w:themeColor="text1"/>
          <w:sz w:val="22"/>
          <w:lang w:val="es-ES"/>
        </w:rPr>
        <w:t xml:space="preserve"> las estructuras plurales</w:t>
      </w:r>
      <w:r w:rsidR="009B0752">
        <w:rPr>
          <w:rFonts w:ascii="Arial" w:hAnsi="Arial" w:eastAsia="Calibri" w:cs="Arial"/>
          <w:bCs/>
          <w:color w:val="000000" w:themeColor="text1"/>
          <w:sz w:val="22"/>
          <w:lang w:val="es-ES"/>
        </w:rPr>
        <w:t xml:space="preserve"> en relación con su duración</w:t>
      </w:r>
      <w:r>
        <w:rPr>
          <w:rFonts w:ascii="Arial" w:hAnsi="Arial" w:eastAsia="Calibri" w:cs="Arial"/>
          <w:bCs/>
          <w:color w:val="000000" w:themeColor="text1"/>
          <w:sz w:val="22"/>
          <w:lang w:val="es-ES"/>
        </w:rPr>
        <w:t xml:space="preserve">. </w:t>
      </w:r>
      <w:r w:rsidR="00F90107">
        <w:rPr>
          <w:rFonts w:ascii="Arial" w:hAnsi="Arial" w:eastAsia="Calibri" w:cs="Arial"/>
          <w:bCs/>
          <w:color w:val="000000" w:themeColor="text1"/>
          <w:sz w:val="22"/>
          <w:lang w:val="es-ES"/>
        </w:rPr>
        <w:t>De esta manera, e</w:t>
      </w:r>
      <w:r w:rsidR="00206371">
        <w:rPr>
          <w:rFonts w:ascii="Arial" w:hAnsi="Arial" w:eastAsia="Calibri" w:cs="Arial"/>
          <w:color w:val="000000" w:themeColor="text1"/>
          <w:sz w:val="22"/>
        </w:rPr>
        <w:t xml:space="preserve">n los casos que no exista norma aplicable, la Corte Constitucional, en la sentencia C-083 de 1995, reconoce a la analogía como una fuente de derecho autónoma a la que se puede acudir para suplir el vacío. </w:t>
      </w:r>
      <w:r w:rsidR="00F90107">
        <w:rPr>
          <w:rFonts w:ascii="Arial" w:hAnsi="Arial" w:eastAsia="Calibri" w:cs="Arial"/>
          <w:color w:val="000000" w:themeColor="text1"/>
          <w:sz w:val="22"/>
        </w:rPr>
        <w:t>Así</w:t>
      </w:r>
      <w:r w:rsidR="00206371">
        <w:rPr>
          <w:rFonts w:ascii="Arial" w:hAnsi="Arial" w:eastAsia="Calibri" w:cs="Arial"/>
          <w:color w:val="000000" w:themeColor="text1"/>
          <w:sz w:val="22"/>
        </w:rPr>
        <w:t xml:space="preserve"> </w:t>
      </w:r>
      <w:r w:rsidR="00206371">
        <w:rPr>
          <w:rFonts w:ascii="Arial" w:hAnsi="Arial" w:eastAsia="Calibri" w:cs="Arial"/>
          <w:color w:val="000000" w:themeColor="text1"/>
          <w:sz w:val="22"/>
        </w:rPr>
        <w:lastRenderedPageBreak/>
        <w:t>reconoce que: «la analogía es la aplicación de la ley a situaciones no contempladas expresamente a ellas, pero que sólo difieren a las que sí lo están en aspectos jurídicamente irrelevantes, es decir, ajenos a aquellos que explican y fundamentan la</w:t>
      </w:r>
      <w:r w:rsidR="00206371">
        <w:rPr>
          <w:rFonts w:ascii="Arial" w:hAnsi="Arial" w:eastAsia="Calibri" w:cs="Arial"/>
          <w:i/>
          <w:color w:val="000000" w:themeColor="text1"/>
          <w:sz w:val="22"/>
        </w:rPr>
        <w:t xml:space="preserve"> </w:t>
      </w:r>
      <w:r w:rsidR="00206371">
        <w:rPr>
          <w:rFonts w:ascii="Arial" w:hAnsi="Arial" w:eastAsia="Calibri" w:cs="Arial"/>
          <w:color w:val="000000" w:themeColor="text1"/>
          <w:sz w:val="22"/>
        </w:rPr>
        <w:t>razón de ser de la norma»</w:t>
      </w:r>
      <w:r w:rsidR="00206371">
        <w:rPr>
          <w:rStyle w:val="Refdenotaalpie"/>
          <w:rFonts w:ascii="Arial" w:hAnsi="Arial" w:eastAsia="Calibri" w:cs="Arial"/>
          <w:color w:val="000000" w:themeColor="text1"/>
          <w:sz w:val="22"/>
        </w:rPr>
        <w:footnoteReference w:id="2"/>
      </w:r>
      <w:r w:rsidR="00206371">
        <w:rPr>
          <w:rFonts w:ascii="Arial" w:hAnsi="Arial" w:eastAsia="Calibri" w:cs="Arial"/>
          <w:color w:val="000000" w:themeColor="text1"/>
          <w:sz w:val="22"/>
        </w:rPr>
        <w:t xml:space="preserve">. En este sentido, el juez razona por analogía, cuando aplica una ley frente </w:t>
      </w:r>
      <w:r w:rsidR="00F90107">
        <w:rPr>
          <w:rFonts w:ascii="Arial" w:hAnsi="Arial" w:eastAsia="Calibri" w:cs="Arial"/>
          <w:color w:val="000000" w:themeColor="text1"/>
          <w:sz w:val="22"/>
        </w:rPr>
        <w:t xml:space="preserve">a </w:t>
      </w:r>
      <w:r w:rsidR="00206371">
        <w:rPr>
          <w:rFonts w:ascii="Arial" w:hAnsi="Arial" w:eastAsia="Calibri" w:cs="Arial"/>
          <w:color w:val="000000" w:themeColor="text1"/>
          <w:sz w:val="22"/>
        </w:rPr>
        <w:t xml:space="preserve">una situación no contemplada explícitamente en ella, a partir del estudio de situaciones fácticas que fueron tratadas por el legislador y guardan similitud con el asunto tratado. </w:t>
      </w:r>
    </w:p>
    <w:p w:rsidR="00206371" w:rsidP="00F90107" w:rsidRDefault="00F90107" w14:paraId="2D74F5FA" w14:textId="46D0C42F">
      <w:pPr>
        <w:spacing w:after="120" w:line="276" w:lineRule="auto"/>
        <w:ind w:firstLine="720"/>
        <w:jc w:val="both"/>
        <w:rPr>
          <w:rFonts w:ascii="Arial" w:hAnsi="Arial" w:eastAsia="Calibri" w:cs="Arial"/>
          <w:color w:val="000000" w:themeColor="text1"/>
          <w:sz w:val="22"/>
        </w:rPr>
      </w:pPr>
      <w:r>
        <w:rPr>
          <w:rFonts w:ascii="Arial" w:hAnsi="Arial" w:eastAsia="Calibri" w:cs="Arial"/>
          <w:bCs/>
          <w:color w:val="000000" w:themeColor="text1"/>
          <w:sz w:val="22"/>
          <w:lang w:val="es-ES"/>
        </w:rPr>
        <w:t>Por tanto</w:t>
      </w:r>
      <w:r w:rsidR="00794BA7">
        <w:rPr>
          <w:rFonts w:ascii="Arial" w:hAnsi="Arial" w:eastAsia="Calibri" w:cs="Arial"/>
          <w:bCs/>
          <w:color w:val="000000" w:themeColor="text1"/>
          <w:sz w:val="22"/>
          <w:lang w:val="es-ES"/>
        </w:rPr>
        <w:t xml:space="preserve">, es posible aplicar </w:t>
      </w:r>
      <w:r w:rsidR="005456DE">
        <w:rPr>
          <w:rFonts w:ascii="Arial" w:hAnsi="Arial" w:eastAsia="Calibri" w:cs="Arial"/>
          <w:bCs/>
          <w:color w:val="000000" w:themeColor="text1"/>
          <w:sz w:val="22"/>
          <w:lang w:val="es-ES"/>
        </w:rPr>
        <w:t xml:space="preserve">en forma </w:t>
      </w:r>
      <w:r w:rsidR="00794BA7">
        <w:rPr>
          <w:rFonts w:ascii="Arial" w:hAnsi="Arial" w:eastAsia="Calibri" w:cs="Arial"/>
          <w:bCs/>
          <w:color w:val="000000" w:themeColor="text1"/>
          <w:sz w:val="22"/>
          <w:lang w:val="es-ES"/>
        </w:rPr>
        <w:t xml:space="preserve">analógica el inciso segundo del artículo 6 para exigir una duración mínima </w:t>
      </w:r>
      <w:r w:rsidR="00A74E03">
        <w:rPr>
          <w:rFonts w:ascii="Arial" w:hAnsi="Arial" w:eastAsia="Calibri" w:cs="Arial"/>
          <w:bCs/>
          <w:color w:val="000000" w:themeColor="text1"/>
          <w:sz w:val="22"/>
          <w:lang w:val="es-ES"/>
        </w:rPr>
        <w:t xml:space="preserve">igual al plazo de ejecución más un año para los consorcios y las uniones temporales. </w:t>
      </w:r>
      <w:r w:rsidR="00206371">
        <w:rPr>
          <w:rFonts w:ascii="Arial" w:hAnsi="Arial" w:eastAsia="Calibri" w:cs="Arial"/>
          <w:color w:val="000000" w:themeColor="text1"/>
          <w:sz w:val="22"/>
        </w:rPr>
        <w:t xml:space="preserve">Si bien, tal y como se mencionó, </w:t>
      </w:r>
      <w:r w:rsidRPr="00206371" w:rsidR="00206371">
        <w:rPr>
          <w:rFonts w:ascii="Arial" w:hAnsi="Arial" w:eastAsia="Calibri" w:cs="Arial"/>
          <w:color w:val="000000" w:themeColor="text1"/>
          <w:sz w:val="22"/>
        </w:rPr>
        <w:t xml:space="preserve">el inciso segundo del artículo 6 de la Ley 80 de 1993 </w:t>
      </w:r>
      <w:r w:rsidR="00206371">
        <w:rPr>
          <w:rFonts w:ascii="Arial" w:hAnsi="Arial" w:eastAsia="Calibri" w:cs="Arial"/>
          <w:color w:val="000000" w:themeColor="text1"/>
          <w:sz w:val="22"/>
        </w:rPr>
        <w:t>no trata de proponentes plurales sino que se refiere a personas jurídicas, lo cual no se predica de dichos proponentes, será posible aplicarle</w:t>
      </w:r>
      <w:r>
        <w:rPr>
          <w:rFonts w:ascii="Arial" w:hAnsi="Arial" w:eastAsia="Calibri" w:cs="Arial"/>
          <w:color w:val="000000" w:themeColor="text1"/>
          <w:sz w:val="22"/>
        </w:rPr>
        <w:t>s</w:t>
      </w:r>
      <w:r w:rsidR="00206371">
        <w:rPr>
          <w:rFonts w:ascii="Arial" w:hAnsi="Arial" w:eastAsia="Calibri" w:cs="Arial"/>
          <w:color w:val="000000" w:themeColor="text1"/>
          <w:sz w:val="22"/>
        </w:rPr>
        <w:t xml:space="preserve"> esta norma en virtud de la analogía. Lo anterior, debido a que esta norma guarda similitud con el asunto tratado ya que regula la duración de los contratistas respecto del contrato que ejecutan y, por lo tanto, es viable aplicarle lo dispuesto en esta norma a los proponentes plurales, en su calidad de contratistas del Estado. </w:t>
      </w:r>
    </w:p>
    <w:p w:rsidR="00340735" w:rsidP="00996CD7" w:rsidRDefault="00F90107" w14:paraId="1D846BC2" w14:textId="027A74A9">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Esta argumentación explica el contenido del numeral 3.3.3., literal D, del documento base de los Documentos Tipo para la licitación de obras de infraestructura de transporte versión 2, que requiere de los proponentes plurales en general una duración igual al plazo de ejecución del contrato más un año. </w:t>
      </w:r>
      <w:r w:rsidR="00996CD7">
        <w:rPr>
          <w:rFonts w:ascii="Arial" w:hAnsi="Arial" w:eastAsia="Calibri" w:cs="Arial"/>
          <w:bCs/>
          <w:color w:val="000000" w:themeColor="text1"/>
          <w:sz w:val="22"/>
          <w:lang w:val="es-ES"/>
        </w:rPr>
        <w:t>Este requerimiento se hizo con base en la aplicación analógica recién referida, pero</w:t>
      </w:r>
      <w:r w:rsidR="00EA35CB">
        <w:rPr>
          <w:rFonts w:ascii="Arial" w:hAnsi="Arial" w:eastAsia="Calibri" w:cs="Arial"/>
          <w:bCs/>
          <w:color w:val="000000" w:themeColor="text1"/>
          <w:sz w:val="22"/>
          <w:lang w:val="es-ES"/>
        </w:rPr>
        <w:t>,</w:t>
      </w:r>
      <w:r w:rsidR="00996CD7">
        <w:rPr>
          <w:rFonts w:ascii="Arial" w:hAnsi="Arial" w:eastAsia="Calibri" w:cs="Arial"/>
          <w:bCs/>
          <w:color w:val="000000" w:themeColor="text1"/>
          <w:sz w:val="22"/>
          <w:lang w:val="es-ES"/>
        </w:rPr>
        <w:t xml:space="preserve"> además</w:t>
      </w:r>
      <w:r w:rsidR="00EA35CB">
        <w:rPr>
          <w:rFonts w:ascii="Arial" w:hAnsi="Arial" w:eastAsia="Calibri" w:cs="Arial"/>
          <w:bCs/>
          <w:color w:val="000000" w:themeColor="text1"/>
          <w:sz w:val="22"/>
          <w:lang w:val="es-ES"/>
        </w:rPr>
        <w:t>,</w:t>
      </w:r>
      <w:r w:rsidR="00996CD7">
        <w:rPr>
          <w:rFonts w:ascii="Arial" w:hAnsi="Arial" w:eastAsia="Calibri" w:cs="Arial"/>
          <w:bCs/>
          <w:color w:val="000000" w:themeColor="text1"/>
          <w:sz w:val="22"/>
          <w:lang w:val="es-ES"/>
        </w:rPr>
        <w:t xml:space="preserve"> teniendo en cuenta el principio de economía que debe guiar todo ejercicio de la función administrativa y que tiene un preciso desarrollo legal en la Ley 80 de 1993. </w:t>
      </w:r>
    </w:p>
    <w:p w:rsidR="00340735" w:rsidP="00340735" w:rsidRDefault="00A05238" w14:paraId="35C5B145" w14:textId="1E8E3C12">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P</w:t>
      </w:r>
      <w:r w:rsidR="00996CD7">
        <w:rPr>
          <w:rFonts w:ascii="Arial" w:hAnsi="Arial" w:eastAsia="Calibri" w:cs="Arial"/>
          <w:bCs/>
          <w:color w:val="000000" w:themeColor="text1"/>
          <w:sz w:val="22"/>
          <w:lang w:val="es-ES"/>
        </w:rPr>
        <w:t xml:space="preserve">ara </w:t>
      </w:r>
      <w:r w:rsidR="00EA35CB">
        <w:rPr>
          <w:rFonts w:ascii="Arial" w:hAnsi="Arial" w:eastAsia="Calibri" w:cs="Arial"/>
          <w:bCs/>
          <w:color w:val="000000" w:themeColor="text1"/>
          <w:sz w:val="22"/>
          <w:lang w:val="es-ES"/>
        </w:rPr>
        <w:t>referir</w:t>
      </w:r>
      <w:r w:rsidR="00996CD7">
        <w:rPr>
          <w:rFonts w:ascii="Arial" w:hAnsi="Arial" w:eastAsia="Calibri" w:cs="Arial"/>
          <w:bCs/>
          <w:color w:val="000000" w:themeColor="text1"/>
          <w:sz w:val="22"/>
          <w:lang w:val="es-ES"/>
        </w:rPr>
        <w:t xml:space="preserve"> algunas de estas disposiciones, se recuerda que</w:t>
      </w:r>
      <w:r w:rsidR="00EA35CB">
        <w:rPr>
          <w:rFonts w:ascii="Arial" w:hAnsi="Arial" w:eastAsia="Calibri" w:cs="Arial"/>
          <w:bCs/>
          <w:color w:val="000000" w:themeColor="text1"/>
          <w:sz w:val="22"/>
          <w:lang w:val="es-ES"/>
        </w:rPr>
        <w:t>:</w:t>
      </w:r>
      <w:r w:rsidR="00996CD7">
        <w:rPr>
          <w:rFonts w:ascii="Arial" w:hAnsi="Arial" w:eastAsia="Calibri" w:cs="Arial"/>
          <w:bCs/>
          <w:color w:val="000000" w:themeColor="text1"/>
          <w:sz w:val="22"/>
          <w:lang w:val="es-ES"/>
        </w:rPr>
        <w:t xml:space="preserve"> i) el numeral 15 del artículo 25 de la Ley 80 de 1993 dispone que </w:t>
      </w:r>
      <w:r w:rsidRPr="00996CD7" w:rsidR="00996CD7">
        <w:rPr>
          <w:rFonts w:ascii="Arial" w:hAnsi="Arial" w:eastAsia="Calibri" w:cs="Arial"/>
          <w:bCs/>
          <w:color w:val="000000" w:themeColor="text1"/>
          <w:sz w:val="22"/>
          <w:lang w:val="es-ES"/>
        </w:rPr>
        <w:t xml:space="preserve">«Las autoridades no exigirán sellos, autenticaciones, documentos originales o autenticados, reconocimientos de firmas, traducciones oficiales, </w:t>
      </w:r>
      <w:r w:rsidRPr="00996CD7" w:rsidR="00996CD7">
        <w:rPr>
          <w:rFonts w:ascii="Arial" w:hAnsi="Arial" w:eastAsia="Calibri" w:cs="Arial"/>
          <w:bCs/>
          <w:i/>
          <w:iCs/>
          <w:color w:val="000000" w:themeColor="text1"/>
          <w:sz w:val="22"/>
          <w:lang w:val="es-ES"/>
        </w:rPr>
        <w:t>ni cualquier otra clase de formalidades o exigencias rituales, salvo cuando en forma perentoria y expresa lo exijan leyes especiales</w:t>
      </w:r>
      <w:r w:rsidRPr="00996CD7" w:rsidR="00996CD7">
        <w:rPr>
          <w:rFonts w:ascii="Arial" w:hAnsi="Arial" w:eastAsia="Calibri" w:cs="Arial"/>
          <w:bCs/>
          <w:color w:val="000000" w:themeColor="text1"/>
          <w:sz w:val="22"/>
          <w:lang w:val="es-ES"/>
        </w:rPr>
        <w:t>»</w:t>
      </w:r>
      <w:r w:rsidR="00340735">
        <w:rPr>
          <w:rFonts w:ascii="Arial" w:hAnsi="Arial" w:eastAsia="Calibri" w:cs="Arial"/>
          <w:bCs/>
          <w:color w:val="000000" w:themeColor="text1"/>
          <w:sz w:val="22"/>
          <w:lang w:val="es-ES"/>
        </w:rPr>
        <w:t>; ii)</w:t>
      </w:r>
      <w:r w:rsidR="00996CD7">
        <w:rPr>
          <w:rFonts w:ascii="Arial" w:hAnsi="Arial" w:eastAsia="Calibri" w:cs="Arial"/>
          <w:bCs/>
          <w:color w:val="000000" w:themeColor="text1"/>
          <w:sz w:val="22"/>
          <w:lang w:val="es-ES"/>
        </w:rPr>
        <w:t xml:space="preserve"> el numeral segundo de ese mismo artículo ordena que </w:t>
      </w:r>
      <w:r w:rsidRPr="00996CD7" w:rsidR="00996CD7">
        <w:rPr>
          <w:rFonts w:ascii="Arial" w:hAnsi="Arial" w:eastAsia="Calibri" w:cs="Arial"/>
          <w:bCs/>
          <w:color w:val="000000" w:themeColor="text1"/>
          <w:sz w:val="22"/>
          <w:lang w:val="es-ES"/>
        </w:rPr>
        <w:t>«</w:t>
      </w:r>
      <w:r w:rsidR="00996CD7">
        <w:rPr>
          <w:rFonts w:ascii="Arial" w:hAnsi="Arial" w:eastAsia="Calibri" w:cs="Arial"/>
          <w:bCs/>
          <w:color w:val="000000" w:themeColor="text1"/>
          <w:sz w:val="22"/>
          <w:lang w:val="es-ES"/>
        </w:rPr>
        <w:t>[l]</w:t>
      </w:r>
      <w:r w:rsidRPr="00996CD7" w:rsidR="00996CD7">
        <w:rPr>
          <w:rFonts w:ascii="Arial" w:hAnsi="Arial" w:eastAsia="Calibri" w:cs="Arial"/>
          <w:bCs/>
          <w:color w:val="000000" w:themeColor="text1"/>
          <w:sz w:val="22"/>
          <w:lang w:val="es-ES"/>
        </w:rPr>
        <w:t xml:space="preserve">as normas de los procedimientos contractuales se interpretarán de tal manera que no den ocasión </w:t>
      </w:r>
      <w:r w:rsidRPr="00340735" w:rsidR="00996CD7">
        <w:rPr>
          <w:rFonts w:ascii="Arial" w:hAnsi="Arial" w:eastAsia="Calibri" w:cs="Arial"/>
          <w:bCs/>
          <w:i/>
          <w:iCs/>
          <w:color w:val="000000" w:themeColor="text1"/>
          <w:sz w:val="22"/>
          <w:lang w:val="es-ES"/>
        </w:rPr>
        <w:t>a seguir trámites distintos y adicionales a los expresamente previstos</w:t>
      </w:r>
      <w:r w:rsidRPr="00996CD7" w:rsidR="00996CD7">
        <w:rPr>
          <w:rFonts w:ascii="Arial" w:hAnsi="Arial" w:eastAsia="Calibri" w:cs="Arial"/>
          <w:bCs/>
          <w:color w:val="000000" w:themeColor="text1"/>
          <w:sz w:val="22"/>
          <w:lang w:val="es-ES"/>
        </w:rPr>
        <w:t xml:space="preserve"> o que permitan valerse de los defectos de forma o de la inobservancia de requisitos para no decidir o proferir providencias inhibitorias»</w:t>
      </w:r>
      <w:r w:rsidR="00340735">
        <w:rPr>
          <w:rFonts w:ascii="Arial" w:hAnsi="Arial" w:eastAsia="Calibri" w:cs="Arial"/>
          <w:bCs/>
          <w:color w:val="000000" w:themeColor="text1"/>
          <w:sz w:val="22"/>
          <w:lang w:val="es-ES"/>
        </w:rPr>
        <w:t xml:space="preserve">; y iii) el numeral 8 del artículo multicitado prescribe que </w:t>
      </w:r>
      <w:r w:rsidRPr="00340735" w:rsidR="00340735">
        <w:rPr>
          <w:rFonts w:ascii="Arial" w:hAnsi="Arial" w:eastAsia="Calibri" w:cs="Arial"/>
          <w:bCs/>
          <w:color w:val="000000" w:themeColor="text1"/>
          <w:sz w:val="22"/>
          <w:lang w:val="es-ES"/>
        </w:rPr>
        <w:t>«</w:t>
      </w:r>
      <w:r w:rsidR="00340735">
        <w:rPr>
          <w:rFonts w:ascii="Arial" w:hAnsi="Arial" w:eastAsia="Calibri" w:cs="Arial"/>
          <w:bCs/>
          <w:color w:val="000000" w:themeColor="text1"/>
          <w:sz w:val="22"/>
          <w:lang w:val="es-ES"/>
        </w:rPr>
        <w:t>[e]</w:t>
      </w:r>
      <w:r w:rsidRPr="00340735" w:rsidR="00340735">
        <w:rPr>
          <w:rFonts w:ascii="Arial" w:hAnsi="Arial" w:eastAsia="Calibri" w:cs="Arial"/>
          <w:bCs/>
          <w:color w:val="000000" w:themeColor="text1"/>
          <w:sz w:val="22"/>
          <w:lang w:val="es-ES"/>
        </w:rPr>
        <w:t xml:space="preserve">l acto de adjudicación y el contrato no se someterán a aprobaciones o revisiones administrativas posteriores, </w:t>
      </w:r>
      <w:r w:rsidRPr="00340735" w:rsidR="00340735">
        <w:rPr>
          <w:rFonts w:ascii="Arial" w:hAnsi="Arial" w:eastAsia="Calibri" w:cs="Arial"/>
          <w:bCs/>
          <w:i/>
          <w:iCs/>
          <w:color w:val="000000" w:themeColor="text1"/>
          <w:sz w:val="22"/>
          <w:lang w:val="es-ES"/>
        </w:rPr>
        <w:t>ni a cualquier otra clase de exigencias o requisitos, diferentes de los previstos en este estatuto</w:t>
      </w:r>
      <w:r w:rsidRPr="00340735" w:rsidR="00340735">
        <w:rPr>
          <w:rFonts w:ascii="Arial" w:hAnsi="Arial" w:eastAsia="Calibri" w:cs="Arial"/>
          <w:bCs/>
          <w:color w:val="000000" w:themeColor="text1"/>
          <w:sz w:val="22"/>
          <w:lang w:val="es-ES"/>
        </w:rPr>
        <w:t>».</w:t>
      </w:r>
    </w:p>
    <w:p w:rsidR="009B0752" w:rsidP="00340735" w:rsidRDefault="00340735" w14:paraId="1DFD01C9" w14:textId="7E7A6156">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Todas las normas citadas</w:t>
      </w:r>
      <w:r w:rsidR="009B0752">
        <w:rPr>
          <w:rFonts w:ascii="Arial" w:hAnsi="Arial" w:eastAsia="Calibri" w:cs="Arial"/>
          <w:bCs/>
          <w:color w:val="000000" w:themeColor="text1"/>
          <w:sz w:val="22"/>
          <w:lang w:val="es-ES"/>
        </w:rPr>
        <w:t xml:space="preserve"> </w:t>
      </w:r>
      <w:r>
        <w:rPr>
          <w:rFonts w:ascii="Arial" w:hAnsi="Arial" w:eastAsia="Calibri" w:cs="Arial"/>
          <w:bCs/>
          <w:color w:val="000000" w:themeColor="text1"/>
          <w:sz w:val="22"/>
          <w:lang w:val="es-ES"/>
        </w:rPr>
        <w:t>propenden porque las entidades estatales</w:t>
      </w:r>
      <w:r w:rsidR="004B54D9">
        <w:rPr>
          <w:rFonts w:ascii="Arial" w:hAnsi="Arial" w:eastAsia="Calibri" w:cs="Arial"/>
          <w:bCs/>
          <w:color w:val="000000" w:themeColor="text1"/>
          <w:sz w:val="22"/>
          <w:lang w:val="es-ES"/>
        </w:rPr>
        <w:t xml:space="preserve"> –comprendida</w:t>
      </w:r>
      <w:r>
        <w:rPr>
          <w:rFonts w:ascii="Arial" w:hAnsi="Arial" w:eastAsia="Calibri" w:cs="Arial"/>
          <w:bCs/>
          <w:color w:val="000000" w:themeColor="text1"/>
          <w:sz w:val="22"/>
          <w:lang w:val="es-ES"/>
        </w:rPr>
        <w:t xml:space="preserve"> también esta Agencia</w:t>
      </w:r>
      <w:r w:rsidR="004B54D9">
        <w:rPr>
          <w:rFonts w:ascii="Arial" w:hAnsi="Arial" w:eastAsia="Calibri" w:cs="Arial"/>
          <w:bCs/>
          <w:color w:val="000000" w:themeColor="text1"/>
          <w:sz w:val="22"/>
          <w:lang w:val="es-ES"/>
        </w:rPr>
        <w:t>–</w:t>
      </w:r>
      <w:r w:rsidR="00A05238">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cuando actúa</w:t>
      </w:r>
      <w:r w:rsidR="004B54D9">
        <w:rPr>
          <w:rFonts w:ascii="Arial" w:hAnsi="Arial" w:eastAsia="Calibri" w:cs="Arial"/>
          <w:bCs/>
          <w:color w:val="000000" w:themeColor="text1"/>
          <w:sz w:val="22"/>
          <w:lang w:val="es-ES"/>
        </w:rPr>
        <w:t>n</w:t>
      </w:r>
      <w:r>
        <w:rPr>
          <w:rFonts w:ascii="Arial" w:hAnsi="Arial" w:eastAsia="Calibri" w:cs="Arial"/>
          <w:bCs/>
          <w:color w:val="000000" w:themeColor="text1"/>
          <w:sz w:val="22"/>
          <w:lang w:val="es-ES"/>
        </w:rPr>
        <w:t xml:space="preserve"> en ejercicio de sus funciones de diseño y elaboración de </w:t>
      </w:r>
      <w:r w:rsidR="009B0752">
        <w:rPr>
          <w:rFonts w:ascii="Arial" w:hAnsi="Arial" w:eastAsia="Calibri" w:cs="Arial"/>
          <w:bCs/>
          <w:color w:val="000000" w:themeColor="text1"/>
          <w:sz w:val="22"/>
          <w:lang w:val="es-ES"/>
        </w:rPr>
        <w:t>documentos</w:t>
      </w:r>
      <w:r>
        <w:rPr>
          <w:rFonts w:ascii="Arial" w:hAnsi="Arial" w:eastAsia="Calibri" w:cs="Arial"/>
          <w:bCs/>
          <w:color w:val="000000" w:themeColor="text1"/>
          <w:sz w:val="22"/>
          <w:lang w:val="es-ES"/>
        </w:rPr>
        <w:t xml:space="preserve"> tipo, solamente exijan los requisitos y requerimientos expresamente </w:t>
      </w:r>
      <w:r>
        <w:rPr>
          <w:rFonts w:ascii="Arial" w:hAnsi="Arial" w:eastAsia="Calibri" w:cs="Arial"/>
          <w:bCs/>
          <w:color w:val="000000" w:themeColor="text1"/>
          <w:sz w:val="22"/>
          <w:lang w:val="es-ES"/>
        </w:rPr>
        <w:lastRenderedPageBreak/>
        <w:t>señalados por la Ley.</w:t>
      </w:r>
      <w:r w:rsidR="009B0752">
        <w:rPr>
          <w:rFonts w:ascii="Arial" w:hAnsi="Arial" w:eastAsia="Calibri" w:cs="Arial"/>
          <w:bCs/>
          <w:color w:val="000000" w:themeColor="text1"/>
          <w:sz w:val="22"/>
          <w:lang w:val="es-ES"/>
        </w:rPr>
        <w:t xml:space="preserve"> Una comprensión fundamental para lograr la materialización del principio de economía en materia contractual.</w:t>
      </w:r>
      <w:r>
        <w:rPr>
          <w:rFonts w:ascii="Arial" w:hAnsi="Arial" w:eastAsia="Calibri" w:cs="Arial"/>
          <w:bCs/>
          <w:color w:val="000000" w:themeColor="text1"/>
          <w:sz w:val="22"/>
          <w:lang w:val="es-ES"/>
        </w:rPr>
        <w:t xml:space="preserve"> </w:t>
      </w:r>
    </w:p>
    <w:p w:rsidRPr="00340735" w:rsidR="00996CD7" w:rsidP="00340735" w:rsidRDefault="00340735" w14:paraId="21D49301" w14:textId="0856372A">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Por tanto, para esta Subdirección a un proponente plural</w:t>
      </w:r>
      <w:r w:rsidR="000C7840">
        <w:rPr>
          <w:rFonts w:ascii="Arial" w:hAnsi="Arial" w:eastAsia="Calibri" w:cs="Arial"/>
          <w:bCs/>
          <w:color w:val="000000" w:themeColor="text1"/>
          <w:sz w:val="22"/>
          <w:lang w:val="es-ES"/>
        </w:rPr>
        <w:t xml:space="preserve"> solamente puede exigírsele, como se hizo en el documento base de los documentos tipo versión 2 para licitación de obra pública de infraestructura de transporte, una duración igual al plazo de ejecución del contrato más un año</w:t>
      </w:r>
      <w:r w:rsidR="00A05238">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de conformidad con el ordenamiento vigente y vista la aplicación analógica del artículo 6</w:t>
      </w:r>
      <w:r w:rsidR="00AF5EFB">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inciso segundo</w:t>
      </w:r>
      <w:r w:rsidR="00AF5EFB">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de la Ley 80 de 1993. </w:t>
      </w:r>
    </w:p>
    <w:p w:rsidR="00A74E03" w:rsidP="00A74E03" w:rsidRDefault="00340735" w14:paraId="7C036D59" w14:textId="41857019">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Ahora bien, </w:t>
      </w:r>
      <w:r w:rsidR="00A74E03">
        <w:rPr>
          <w:rFonts w:ascii="Arial" w:hAnsi="Arial" w:eastAsia="Calibri" w:cs="Arial"/>
          <w:bCs/>
          <w:color w:val="000000" w:themeColor="text1"/>
          <w:sz w:val="22"/>
          <w:lang w:val="es-ES"/>
        </w:rPr>
        <w:t>usted pone de presente en su consulta</w:t>
      </w:r>
      <w:r w:rsidR="001E747D">
        <w:rPr>
          <w:rFonts w:ascii="Arial" w:hAnsi="Arial" w:eastAsia="Calibri" w:cs="Arial"/>
          <w:bCs/>
          <w:color w:val="000000" w:themeColor="text1"/>
          <w:sz w:val="22"/>
          <w:lang w:val="es-ES"/>
        </w:rPr>
        <w:t xml:space="preserve"> que</w:t>
      </w:r>
      <w:r w:rsidR="00A74E03">
        <w:rPr>
          <w:rFonts w:ascii="Arial" w:hAnsi="Arial" w:eastAsia="Calibri" w:cs="Arial"/>
          <w:bCs/>
          <w:color w:val="000000" w:themeColor="text1"/>
          <w:sz w:val="22"/>
          <w:lang w:val="es-ES"/>
        </w:rPr>
        <w:t xml:space="preserve"> esta duración mínima contemplada por el ordenamiento puede generar algunos riesgos para las administraciones contratantes. </w:t>
      </w:r>
      <w:r w:rsidR="001E747D">
        <w:rPr>
          <w:rFonts w:ascii="Arial" w:hAnsi="Arial" w:eastAsia="Calibri" w:cs="Arial"/>
          <w:bCs/>
          <w:color w:val="000000" w:themeColor="text1"/>
          <w:sz w:val="22"/>
          <w:lang w:val="es-ES"/>
        </w:rPr>
        <w:t>Sin embargo</w:t>
      </w:r>
      <w:r w:rsidR="00A74E03">
        <w:rPr>
          <w:rFonts w:ascii="Arial" w:hAnsi="Arial" w:eastAsia="Calibri" w:cs="Arial"/>
          <w:bCs/>
          <w:color w:val="000000" w:themeColor="text1"/>
          <w:sz w:val="22"/>
          <w:lang w:val="es-ES"/>
        </w:rPr>
        <w:t xml:space="preserve">, se resalta que el legislador adoptó una regla del todo clara en el sentido de que solamente </w:t>
      </w:r>
      <w:r>
        <w:rPr>
          <w:rFonts w:ascii="Arial" w:hAnsi="Arial" w:eastAsia="Calibri" w:cs="Arial"/>
          <w:bCs/>
          <w:color w:val="000000" w:themeColor="text1"/>
          <w:sz w:val="22"/>
          <w:lang w:val="es-ES"/>
        </w:rPr>
        <w:t>se puede exigir</w:t>
      </w:r>
      <w:r w:rsidR="00A74E03">
        <w:rPr>
          <w:rFonts w:ascii="Arial" w:hAnsi="Arial" w:eastAsia="Calibri" w:cs="Arial"/>
          <w:bCs/>
          <w:color w:val="000000" w:themeColor="text1"/>
          <w:sz w:val="22"/>
          <w:lang w:val="es-ES"/>
        </w:rPr>
        <w:t xml:space="preserve"> que la duración de las personas jurídica</w:t>
      </w:r>
      <w:r w:rsidR="001740C3">
        <w:rPr>
          <w:rFonts w:ascii="Arial" w:hAnsi="Arial" w:eastAsia="Calibri" w:cs="Arial"/>
          <w:bCs/>
          <w:color w:val="000000" w:themeColor="text1"/>
          <w:sz w:val="22"/>
          <w:lang w:val="es-ES"/>
        </w:rPr>
        <w:t>s</w:t>
      </w:r>
      <w:r w:rsidR="00A74E03">
        <w:rPr>
          <w:rFonts w:ascii="Arial" w:hAnsi="Arial" w:eastAsia="Calibri" w:cs="Arial"/>
          <w:bCs/>
          <w:color w:val="000000" w:themeColor="text1"/>
          <w:sz w:val="22"/>
          <w:lang w:val="es-ES"/>
        </w:rPr>
        <w:t xml:space="preserve"> </w:t>
      </w:r>
      <w:r w:rsidR="001740C3">
        <w:rPr>
          <w:rFonts w:ascii="Arial" w:hAnsi="Arial" w:eastAsia="Calibri" w:cs="Arial"/>
          <w:bCs/>
          <w:color w:val="000000" w:themeColor="text1"/>
          <w:sz w:val="22"/>
          <w:lang w:val="es-ES"/>
        </w:rPr>
        <w:t>sea</w:t>
      </w:r>
      <w:r w:rsidR="00A74E03">
        <w:rPr>
          <w:rFonts w:ascii="Arial" w:hAnsi="Arial" w:eastAsia="Calibri" w:cs="Arial"/>
          <w:bCs/>
          <w:color w:val="000000" w:themeColor="text1"/>
          <w:sz w:val="22"/>
          <w:lang w:val="es-ES"/>
        </w:rPr>
        <w:t xml:space="preserve"> igual al plazo de ejecución más un año. </w:t>
      </w:r>
    </w:p>
    <w:p w:rsidR="009B0752" w:rsidP="009B0752" w:rsidRDefault="008F4B38" w14:paraId="65042F2D" w14:textId="372A5908">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Así las cosas</w:t>
      </w:r>
      <w:r w:rsidR="001740C3">
        <w:rPr>
          <w:rFonts w:ascii="Arial" w:hAnsi="Arial" w:eastAsia="Calibri" w:cs="Arial"/>
          <w:bCs/>
          <w:color w:val="000000" w:themeColor="text1"/>
          <w:sz w:val="22"/>
          <w:lang w:val="es-ES"/>
        </w:rPr>
        <w:t>, es preciso recordar que aun cu</w:t>
      </w:r>
      <w:r w:rsidR="00A05238">
        <w:rPr>
          <w:rFonts w:ascii="Arial" w:hAnsi="Arial" w:eastAsia="Calibri" w:cs="Arial"/>
          <w:bCs/>
          <w:color w:val="000000" w:themeColor="text1"/>
          <w:sz w:val="22"/>
          <w:lang w:val="es-ES"/>
        </w:rPr>
        <w:t>a</w:t>
      </w:r>
      <w:r w:rsidR="001740C3">
        <w:rPr>
          <w:rFonts w:ascii="Arial" w:hAnsi="Arial" w:eastAsia="Calibri" w:cs="Arial"/>
          <w:bCs/>
          <w:color w:val="000000" w:themeColor="text1"/>
          <w:sz w:val="22"/>
          <w:lang w:val="es-ES"/>
        </w:rPr>
        <w:t xml:space="preserve">ndo </w:t>
      </w:r>
      <w:r w:rsidR="00542BB5">
        <w:rPr>
          <w:rFonts w:ascii="Arial" w:hAnsi="Arial" w:eastAsia="Calibri" w:cs="Arial"/>
          <w:bCs/>
          <w:color w:val="000000" w:themeColor="text1"/>
          <w:sz w:val="22"/>
          <w:lang w:val="es-ES"/>
        </w:rPr>
        <w:t>existen</w:t>
      </w:r>
      <w:r w:rsidR="001740C3">
        <w:rPr>
          <w:rFonts w:ascii="Arial" w:hAnsi="Arial" w:eastAsia="Calibri" w:cs="Arial"/>
          <w:bCs/>
          <w:color w:val="000000" w:themeColor="text1"/>
          <w:sz w:val="22"/>
          <w:lang w:val="es-ES"/>
        </w:rPr>
        <w:t xml:space="preserve"> riesgos, y el ordenamiento jurídico </w:t>
      </w:r>
      <w:r w:rsidRPr="009B0752" w:rsidR="001740C3">
        <w:rPr>
          <w:rFonts w:ascii="Arial" w:hAnsi="Arial" w:eastAsia="Calibri" w:cs="Arial"/>
          <w:bCs/>
          <w:color w:val="000000" w:themeColor="text1"/>
          <w:sz w:val="22"/>
          <w:lang w:val="es-ES"/>
        </w:rPr>
        <w:t xml:space="preserve">los </w:t>
      </w:r>
      <w:r w:rsidRPr="009B0752" w:rsidR="009B0752">
        <w:rPr>
          <w:rFonts w:ascii="Arial" w:hAnsi="Arial" w:eastAsia="Calibri" w:cs="Arial"/>
          <w:bCs/>
          <w:color w:val="000000" w:themeColor="text1"/>
          <w:sz w:val="22"/>
          <w:lang w:val="es-ES"/>
        </w:rPr>
        <w:t>«tolera»</w:t>
      </w:r>
      <w:r w:rsidRPr="009B0752" w:rsidR="001740C3">
        <w:rPr>
          <w:rFonts w:ascii="Arial" w:hAnsi="Arial" w:eastAsia="Calibri" w:cs="Arial"/>
          <w:bCs/>
          <w:color w:val="000000" w:themeColor="text1"/>
          <w:sz w:val="22"/>
          <w:lang w:val="es-ES"/>
        </w:rPr>
        <w:t>, por</w:t>
      </w:r>
      <w:r w:rsidR="001740C3">
        <w:rPr>
          <w:rFonts w:ascii="Arial" w:hAnsi="Arial" w:eastAsia="Calibri" w:cs="Arial"/>
          <w:bCs/>
          <w:color w:val="000000" w:themeColor="text1"/>
          <w:sz w:val="22"/>
          <w:lang w:val="es-ES"/>
        </w:rPr>
        <w:t xml:space="preserve"> regla general esa aceptación de riesgos</w:t>
      </w:r>
      <w:r w:rsidR="009B0752">
        <w:rPr>
          <w:rFonts w:ascii="Arial" w:hAnsi="Arial" w:eastAsia="Calibri" w:cs="Arial"/>
          <w:bCs/>
          <w:color w:val="000000" w:themeColor="text1"/>
          <w:sz w:val="22"/>
          <w:lang w:val="es-ES"/>
        </w:rPr>
        <w:t xml:space="preserve"> va acompañada de </w:t>
      </w:r>
      <w:r w:rsidR="001740C3">
        <w:rPr>
          <w:rFonts w:ascii="Arial" w:hAnsi="Arial" w:eastAsia="Calibri" w:cs="Arial"/>
          <w:bCs/>
          <w:color w:val="000000" w:themeColor="text1"/>
          <w:sz w:val="22"/>
          <w:lang w:val="es-ES"/>
        </w:rPr>
        <w:t>mecanismos para mitigar</w:t>
      </w:r>
      <w:r w:rsidR="009B0752">
        <w:rPr>
          <w:rFonts w:ascii="Arial" w:hAnsi="Arial" w:eastAsia="Calibri" w:cs="Arial"/>
          <w:bCs/>
          <w:color w:val="000000" w:themeColor="text1"/>
          <w:sz w:val="22"/>
          <w:lang w:val="es-ES"/>
        </w:rPr>
        <w:t>los</w:t>
      </w:r>
      <w:r w:rsidR="001740C3">
        <w:rPr>
          <w:rFonts w:ascii="Arial" w:hAnsi="Arial" w:eastAsia="Calibri" w:cs="Arial"/>
          <w:bCs/>
          <w:color w:val="000000" w:themeColor="text1"/>
          <w:sz w:val="22"/>
          <w:lang w:val="es-ES"/>
        </w:rPr>
        <w:t>, administrar</w:t>
      </w:r>
      <w:r w:rsidR="009B0752">
        <w:rPr>
          <w:rFonts w:ascii="Arial" w:hAnsi="Arial" w:eastAsia="Calibri" w:cs="Arial"/>
          <w:bCs/>
          <w:color w:val="000000" w:themeColor="text1"/>
          <w:sz w:val="22"/>
          <w:lang w:val="es-ES"/>
        </w:rPr>
        <w:t>los</w:t>
      </w:r>
      <w:r w:rsidR="001740C3">
        <w:rPr>
          <w:rFonts w:ascii="Arial" w:hAnsi="Arial" w:eastAsia="Calibri" w:cs="Arial"/>
          <w:bCs/>
          <w:color w:val="000000" w:themeColor="text1"/>
          <w:sz w:val="22"/>
          <w:lang w:val="es-ES"/>
        </w:rPr>
        <w:t>, asumir</w:t>
      </w:r>
      <w:r w:rsidR="009B0752">
        <w:rPr>
          <w:rFonts w:ascii="Arial" w:hAnsi="Arial" w:eastAsia="Calibri" w:cs="Arial"/>
          <w:bCs/>
          <w:color w:val="000000" w:themeColor="text1"/>
          <w:sz w:val="22"/>
          <w:lang w:val="es-ES"/>
        </w:rPr>
        <w:t>los</w:t>
      </w:r>
      <w:r w:rsidR="001740C3">
        <w:rPr>
          <w:rFonts w:ascii="Arial" w:hAnsi="Arial" w:eastAsia="Calibri" w:cs="Arial"/>
          <w:bCs/>
          <w:color w:val="000000" w:themeColor="text1"/>
          <w:sz w:val="22"/>
          <w:lang w:val="es-ES"/>
        </w:rPr>
        <w:t xml:space="preserve"> y proteger a las entidades de </w:t>
      </w:r>
      <w:r w:rsidR="009B0752">
        <w:rPr>
          <w:rFonts w:ascii="Arial" w:hAnsi="Arial" w:eastAsia="Calibri" w:cs="Arial"/>
          <w:bCs/>
          <w:color w:val="000000" w:themeColor="text1"/>
          <w:sz w:val="22"/>
          <w:lang w:val="es-ES"/>
        </w:rPr>
        <w:t>sus</w:t>
      </w:r>
      <w:r w:rsidR="001740C3">
        <w:rPr>
          <w:rFonts w:ascii="Arial" w:hAnsi="Arial" w:eastAsia="Calibri" w:cs="Arial"/>
          <w:bCs/>
          <w:color w:val="000000" w:themeColor="text1"/>
          <w:sz w:val="22"/>
          <w:lang w:val="es-ES"/>
        </w:rPr>
        <w:t xml:space="preserve"> efectos</w:t>
      </w:r>
      <w:r w:rsidRPr="001740C3" w:rsidR="001740C3">
        <w:rPr>
          <w:rFonts w:ascii="Arial" w:hAnsi="Arial" w:eastAsia="Calibri" w:cs="Arial"/>
          <w:bCs/>
          <w:color w:val="000000" w:themeColor="text1"/>
          <w:sz w:val="22"/>
          <w:lang w:val="es-ES"/>
        </w:rPr>
        <w:t>.</w:t>
      </w:r>
      <w:r w:rsidR="001740C3">
        <w:rPr>
          <w:rFonts w:ascii="Verdana" w:hAnsi="Verdana" w:eastAsia="Calibri" w:cs="Arial"/>
          <w:bCs/>
          <w:color w:val="000000" w:themeColor="text1"/>
          <w:sz w:val="22"/>
          <w:lang w:val="es-ES"/>
        </w:rPr>
        <w:t xml:space="preserve"> </w:t>
      </w:r>
      <w:r w:rsidR="00542BB5">
        <w:rPr>
          <w:rFonts w:ascii="Arial" w:hAnsi="Arial" w:eastAsia="Calibri" w:cs="Arial"/>
          <w:bCs/>
          <w:color w:val="000000" w:themeColor="text1"/>
          <w:sz w:val="22"/>
          <w:lang w:val="es-ES"/>
        </w:rPr>
        <w:t>S</w:t>
      </w:r>
      <w:r w:rsidR="001740C3">
        <w:rPr>
          <w:rFonts w:ascii="Arial" w:hAnsi="Arial" w:eastAsia="Calibri" w:cs="Arial"/>
          <w:bCs/>
          <w:color w:val="000000" w:themeColor="text1"/>
          <w:sz w:val="22"/>
          <w:lang w:val="es-ES"/>
        </w:rPr>
        <w:t xml:space="preserve">e recuerda que las entidades estatales se protegen </w:t>
      </w:r>
      <w:r w:rsidR="009B0752">
        <w:rPr>
          <w:rFonts w:ascii="Arial" w:hAnsi="Arial" w:eastAsia="Calibri" w:cs="Arial"/>
          <w:bCs/>
          <w:color w:val="000000" w:themeColor="text1"/>
          <w:sz w:val="22"/>
          <w:lang w:val="es-ES"/>
        </w:rPr>
        <w:t xml:space="preserve">de riesgos justamente a través de </w:t>
      </w:r>
      <w:r w:rsidR="001740C3">
        <w:rPr>
          <w:rFonts w:ascii="Arial" w:hAnsi="Arial" w:eastAsia="Calibri" w:cs="Arial"/>
          <w:bCs/>
          <w:color w:val="000000" w:themeColor="text1"/>
          <w:sz w:val="22"/>
          <w:lang w:val="es-ES"/>
        </w:rPr>
        <w:t>la</w:t>
      </w:r>
      <w:r w:rsidR="00542BB5">
        <w:rPr>
          <w:rFonts w:ascii="Arial" w:hAnsi="Arial" w:eastAsia="Calibri" w:cs="Arial"/>
          <w:bCs/>
          <w:color w:val="000000" w:themeColor="text1"/>
          <w:sz w:val="22"/>
          <w:lang w:val="es-ES"/>
        </w:rPr>
        <w:t>s</w:t>
      </w:r>
      <w:r w:rsidR="001740C3">
        <w:rPr>
          <w:rFonts w:ascii="Arial" w:hAnsi="Arial" w:eastAsia="Calibri" w:cs="Arial"/>
          <w:bCs/>
          <w:color w:val="000000" w:themeColor="text1"/>
          <w:sz w:val="22"/>
          <w:lang w:val="es-ES"/>
        </w:rPr>
        <w:t xml:space="preserve"> garantía</w:t>
      </w:r>
      <w:r w:rsidR="00542BB5">
        <w:rPr>
          <w:rFonts w:ascii="Arial" w:hAnsi="Arial" w:eastAsia="Calibri" w:cs="Arial"/>
          <w:bCs/>
          <w:color w:val="000000" w:themeColor="text1"/>
          <w:sz w:val="22"/>
          <w:lang w:val="es-ES"/>
        </w:rPr>
        <w:t>s como la</w:t>
      </w:r>
      <w:r w:rsidR="001740C3">
        <w:rPr>
          <w:rFonts w:ascii="Arial" w:hAnsi="Arial" w:eastAsia="Calibri" w:cs="Arial"/>
          <w:bCs/>
          <w:color w:val="000000" w:themeColor="text1"/>
          <w:sz w:val="22"/>
          <w:lang w:val="es-ES"/>
        </w:rPr>
        <w:t xml:space="preserve"> de estabilidad y calidad de la obra que, según lo ordenado por el artículo 2.2.1.2.3.1.14 </w:t>
      </w:r>
      <w:r w:rsidR="00265228">
        <w:rPr>
          <w:rFonts w:ascii="Arial" w:hAnsi="Arial" w:eastAsia="Calibri" w:cs="Arial"/>
          <w:bCs/>
          <w:color w:val="000000" w:themeColor="text1"/>
          <w:sz w:val="22"/>
          <w:lang w:val="es-ES"/>
        </w:rPr>
        <w:t>del Decreto 1082 de 2015</w:t>
      </w:r>
      <w:r w:rsidR="00D23976">
        <w:rPr>
          <w:rFonts w:ascii="Arial" w:hAnsi="Arial" w:eastAsia="Calibri" w:cs="Arial"/>
          <w:bCs/>
          <w:color w:val="000000" w:themeColor="text1"/>
          <w:sz w:val="22"/>
          <w:lang w:val="es-ES"/>
        </w:rPr>
        <w:t>,</w:t>
      </w:r>
      <w:r w:rsidR="00265228">
        <w:rPr>
          <w:rFonts w:ascii="Arial" w:hAnsi="Arial" w:eastAsia="Calibri" w:cs="Arial"/>
          <w:bCs/>
          <w:color w:val="000000" w:themeColor="text1"/>
          <w:sz w:val="22"/>
          <w:lang w:val="es-ES"/>
        </w:rPr>
        <w:t xml:space="preserve"> </w:t>
      </w:r>
      <w:r w:rsidR="001740C3">
        <w:rPr>
          <w:rFonts w:ascii="Arial" w:hAnsi="Arial" w:eastAsia="Calibri" w:cs="Arial"/>
          <w:bCs/>
          <w:color w:val="000000" w:themeColor="text1"/>
          <w:sz w:val="22"/>
          <w:lang w:val="es-ES"/>
        </w:rPr>
        <w:t xml:space="preserve">debe estar vigente por un término no inferior a 5 años y que, según lo normado por el artículo </w:t>
      </w:r>
      <w:r w:rsidR="00265228">
        <w:rPr>
          <w:rFonts w:ascii="Arial" w:hAnsi="Arial" w:eastAsia="Calibri" w:cs="Arial"/>
          <w:bCs/>
          <w:color w:val="000000" w:themeColor="text1"/>
          <w:sz w:val="22"/>
          <w:lang w:val="es-ES"/>
        </w:rPr>
        <w:t xml:space="preserve">2.2.1.2.3.1.2. </w:t>
      </w:r>
      <w:r w:rsidR="00265228">
        <w:rPr>
          <w:rFonts w:ascii="Arial" w:hAnsi="Arial" w:eastAsia="Calibri" w:cs="Arial"/>
          <w:bCs/>
          <w:i/>
          <w:iCs/>
          <w:color w:val="000000" w:themeColor="text1"/>
          <w:sz w:val="22"/>
          <w:lang w:val="es-ES"/>
        </w:rPr>
        <w:t>ibídem</w:t>
      </w:r>
      <w:r w:rsidR="00265228">
        <w:rPr>
          <w:rFonts w:ascii="Arial" w:hAnsi="Arial" w:eastAsia="Calibri" w:cs="Arial"/>
          <w:bCs/>
          <w:color w:val="000000" w:themeColor="text1"/>
          <w:sz w:val="22"/>
          <w:lang w:val="es-ES"/>
        </w:rPr>
        <w:t xml:space="preserve">, puede ser un contrato de seguros contenido en una póliza, un patrimonio </w:t>
      </w:r>
      <w:r w:rsidR="00340735">
        <w:rPr>
          <w:rFonts w:ascii="Arial" w:hAnsi="Arial" w:eastAsia="Calibri" w:cs="Arial"/>
          <w:bCs/>
          <w:color w:val="000000" w:themeColor="text1"/>
          <w:sz w:val="22"/>
          <w:lang w:val="es-ES"/>
        </w:rPr>
        <w:t>autónomo</w:t>
      </w:r>
      <w:r w:rsidR="00265228">
        <w:rPr>
          <w:rFonts w:ascii="Arial" w:hAnsi="Arial" w:eastAsia="Calibri" w:cs="Arial"/>
          <w:bCs/>
          <w:color w:val="000000" w:themeColor="text1"/>
          <w:sz w:val="22"/>
          <w:lang w:val="es-ES"/>
        </w:rPr>
        <w:t xml:space="preserve">, o una garantía bancaria. </w:t>
      </w:r>
    </w:p>
    <w:p w:rsidR="00DE1C0E" w:rsidP="009B0752" w:rsidRDefault="00265228" w14:paraId="4302516E" w14:textId="676CB453">
      <w:pPr>
        <w:spacing w:after="120"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Esa garantía, a diferencia de la duración de la estructura plural, sí debe comprender 5 años contados a partir de la recepción de la obra a satisfacción.</w:t>
      </w:r>
      <w:r w:rsidR="009B0752">
        <w:rPr>
          <w:rFonts w:ascii="Arial" w:hAnsi="Arial" w:eastAsia="Calibri" w:cs="Arial"/>
          <w:bCs/>
          <w:color w:val="000000" w:themeColor="text1"/>
          <w:sz w:val="22"/>
          <w:lang w:val="es-ES"/>
        </w:rPr>
        <w:t xml:space="preserve"> Y ello permite</w:t>
      </w:r>
      <w:r>
        <w:rPr>
          <w:rFonts w:ascii="Arial" w:hAnsi="Arial" w:eastAsia="Calibri" w:cs="Arial"/>
          <w:bCs/>
          <w:color w:val="000000" w:themeColor="text1"/>
          <w:sz w:val="22"/>
          <w:lang w:val="es-ES"/>
        </w:rPr>
        <w:t xml:space="preserve"> </w:t>
      </w:r>
      <w:r w:rsidR="009B0752">
        <w:rPr>
          <w:rFonts w:ascii="Arial" w:hAnsi="Arial" w:eastAsia="Calibri" w:cs="Arial"/>
          <w:bCs/>
          <w:color w:val="000000" w:themeColor="text1"/>
          <w:sz w:val="22"/>
          <w:lang w:val="es-ES"/>
        </w:rPr>
        <w:t>afirmar</w:t>
      </w:r>
      <w:r>
        <w:rPr>
          <w:rFonts w:ascii="Arial" w:hAnsi="Arial" w:eastAsia="Calibri" w:cs="Arial"/>
          <w:bCs/>
          <w:color w:val="000000" w:themeColor="text1"/>
          <w:sz w:val="22"/>
          <w:lang w:val="es-ES"/>
        </w:rPr>
        <w:t xml:space="preserve"> que result</w:t>
      </w:r>
      <w:r w:rsidR="009B0752">
        <w:rPr>
          <w:rFonts w:ascii="Arial" w:hAnsi="Arial" w:eastAsia="Calibri" w:cs="Arial"/>
          <w:bCs/>
          <w:color w:val="000000" w:themeColor="text1"/>
          <w:sz w:val="22"/>
          <w:lang w:val="es-ES"/>
        </w:rPr>
        <w:t>a</w:t>
      </w:r>
      <w:r>
        <w:rPr>
          <w:rFonts w:ascii="Arial" w:hAnsi="Arial" w:eastAsia="Calibri" w:cs="Arial"/>
          <w:bCs/>
          <w:color w:val="000000" w:themeColor="text1"/>
          <w:sz w:val="22"/>
          <w:lang w:val="es-ES"/>
        </w:rPr>
        <w:t>, en alguna medida, menos relevante si la persona jurídica o la estructura plural han dejado de existir</w:t>
      </w:r>
      <w:r w:rsidR="009B0752">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porque </w:t>
      </w:r>
      <w:r w:rsidR="009B0752">
        <w:rPr>
          <w:rFonts w:ascii="Arial" w:hAnsi="Arial" w:eastAsia="Calibri" w:cs="Arial"/>
          <w:bCs/>
          <w:color w:val="000000" w:themeColor="text1"/>
          <w:sz w:val="22"/>
          <w:lang w:val="es-ES"/>
        </w:rPr>
        <w:t xml:space="preserve">aún en esos casos </w:t>
      </w:r>
      <w:r>
        <w:rPr>
          <w:rFonts w:ascii="Arial" w:hAnsi="Arial" w:eastAsia="Calibri" w:cs="Arial"/>
          <w:bCs/>
          <w:color w:val="000000" w:themeColor="text1"/>
          <w:sz w:val="22"/>
          <w:lang w:val="es-ES"/>
        </w:rPr>
        <w:t xml:space="preserve">la entidad podrá hacer efectiva esta garantía. </w:t>
      </w:r>
    </w:p>
    <w:p w:rsidR="0070653A" w:rsidP="00542BB5" w:rsidRDefault="0070653A" w14:paraId="504ECC56" w14:textId="42B3F64E">
      <w:pPr>
        <w:spacing w:line="276" w:lineRule="auto"/>
        <w:ind w:firstLine="720"/>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A la luz de lo dicho puede concluirse que no existe contradicción entre el requerimiento de que las estructuras plurales tengan una duración mínima igual al plazo de ejecución más un año, y el hecho de que la garantía de estabilidad y otras obligaciones que podrían denominarse post-contractuales se extienden en el tiempo más allá de este plazo.  </w:t>
      </w:r>
    </w:p>
    <w:p w:rsidR="00A05238" w:rsidP="00542BB5" w:rsidRDefault="00A05238" w14:paraId="0CFCE3FB" w14:textId="025D2E08">
      <w:pPr>
        <w:spacing w:line="276" w:lineRule="auto"/>
        <w:ind w:firstLine="720"/>
        <w:jc w:val="both"/>
        <w:rPr>
          <w:rFonts w:ascii="Arial" w:hAnsi="Arial" w:eastAsia="Calibri" w:cs="Arial"/>
          <w:bCs/>
          <w:color w:val="000000" w:themeColor="text1"/>
          <w:sz w:val="22"/>
          <w:lang w:val="es-ES"/>
        </w:rPr>
      </w:pPr>
    </w:p>
    <w:p w:rsidRPr="00486BD9" w:rsidR="00486BD9" w:rsidP="00542BB5" w:rsidRDefault="00486BD9" w14:paraId="793D4C26" w14:textId="55FE66ED">
      <w:pPr>
        <w:tabs>
          <w:tab w:val="left" w:pos="426"/>
        </w:tabs>
        <w:spacing w:line="276" w:lineRule="auto"/>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2.2 Garantías suplementarias o adicionales: inalterabilidad de los documentos tipo</w:t>
      </w:r>
    </w:p>
    <w:p w:rsidR="00542BB5" w:rsidP="00542BB5" w:rsidRDefault="00542BB5" w14:paraId="3514C993" w14:textId="77777777">
      <w:pPr>
        <w:spacing w:line="276" w:lineRule="auto"/>
        <w:jc w:val="both"/>
        <w:rPr>
          <w:rFonts w:ascii="Arial" w:hAnsi="Arial" w:eastAsia="Calibri" w:cs="Arial"/>
          <w:bCs/>
          <w:color w:val="000000" w:themeColor="text1"/>
          <w:sz w:val="22"/>
          <w:lang w:val="es-ES"/>
        </w:rPr>
      </w:pPr>
    </w:p>
    <w:p w:rsidR="00542BB5" w:rsidP="00542BB5" w:rsidRDefault="00542BB5" w14:paraId="11CEADAD" w14:textId="77118960">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 xml:space="preserve">En relación con </w:t>
      </w:r>
      <w:r w:rsidR="00107E86">
        <w:rPr>
          <w:rFonts w:ascii="Arial" w:hAnsi="Arial" w:eastAsia="Calibri" w:cs="Arial"/>
          <w:bCs/>
          <w:color w:val="000000" w:themeColor="text1"/>
          <w:sz w:val="22"/>
          <w:lang w:val="es-ES"/>
        </w:rPr>
        <w:t>las garantías suplementarias o adicionales</w:t>
      </w:r>
      <w:r>
        <w:rPr>
          <w:rFonts w:ascii="Arial" w:hAnsi="Arial" w:eastAsia="Calibri" w:cs="Arial"/>
          <w:bCs/>
          <w:color w:val="000000" w:themeColor="text1"/>
          <w:sz w:val="22"/>
          <w:lang w:val="es-ES"/>
        </w:rPr>
        <w:t>, introducid</w:t>
      </w:r>
      <w:r w:rsidR="00107E86">
        <w:rPr>
          <w:rFonts w:ascii="Arial" w:hAnsi="Arial" w:eastAsia="Calibri" w:cs="Arial"/>
          <w:bCs/>
          <w:color w:val="000000" w:themeColor="text1"/>
          <w:sz w:val="22"/>
          <w:lang w:val="es-ES"/>
        </w:rPr>
        <w:t>as</w:t>
      </w:r>
      <w:r>
        <w:rPr>
          <w:rFonts w:ascii="Arial" w:hAnsi="Arial" w:eastAsia="Calibri" w:cs="Arial"/>
          <w:bCs/>
          <w:color w:val="000000" w:themeColor="text1"/>
          <w:sz w:val="22"/>
          <w:lang w:val="es-ES"/>
        </w:rPr>
        <w:t xml:space="preserve"> como criterio de asignación de puntaje dentro de los factores de calidad en los documentos tipo versión 2, deben hacerse diferentes consideraciones. Cuando el documento se refiere a este factor de calidad</w:t>
      </w:r>
      <w:r w:rsidR="00C24B42">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indica que</w:t>
      </w:r>
      <w:r w:rsidR="00107E86">
        <w:rPr>
          <w:rFonts w:ascii="Arial" w:hAnsi="Arial" w:eastAsia="Calibri" w:cs="Arial"/>
          <w:bCs/>
          <w:color w:val="000000" w:themeColor="text1"/>
          <w:sz w:val="22"/>
          <w:lang w:val="es-ES"/>
        </w:rPr>
        <w:t xml:space="preserve"> existe una garantía de cumplimiento con amparo de estabilidad y calidad de la obra que exige la entidad, señalando el valor y la vigencia, lo cual es obligatorio, por lo que la garantía suplementaria o adicional es diferente a dicha garantía y</w:t>
      </w:r>
      <w:r>
        <w:rPr>
          <w:rFonts w:ascii="Arial" w:hAnsi="Arial" w:eastAsia="Calibri" w:cs="Arial"/>
          <w:bCs/>
          <w:color w:val="000000" w:themeColor="text1"/>
          <w:sz w:val="22"/>
          <w:lang w:val="es-ES"/>
        </w:rPr>
        <w:t xml:space="preserve"> </w:t>
      </w:r>
      <w:r w:rsidRPr="00107E86">
        <w:rPr>
          <w:rFonts w:ascii="Arial" w:hAnsi="Arial" w:eastAsia="Calibri" w:cs="Arial"/>
          <w:bCs/>
          <w:color w:val="000000" w:themeColor="text1"/>
          <w:sz w:val="22"/>
          <w:lang w:val="es-ES"/>
        </w:rPr>
        <w:t>«[</w:t>
      </w:r>
      <w:r w:rsidRPr="00107E86" w:rsidR="00107E86">
        <w:rPr>
          <w:rFonts w:ascii="Arial" w:hAnsi="Arial" w:eastAsia="Calibri" w:cs="Arial"/>
          <w:bCs/>
          <w:color w:val="000000" w:themeColor="text1"/>
          <w:sz w:val="22"/>
          <w:lang w:val="es-ES"/>
        </w:rPr>
        <w:t>s</w:t>
      </w:r>
      <w:r w:rsidRPr="00107E86">
        <w:rPr>
          <w:rFonts w:ascii="Arial" w:hAnsi="Arial" w:eastAsia="Calibri" w:cs="Arial"/>
          <w:bCs/>
          <w:color w:val="000000" w:themeColor="text1"/>
          <w:sz w:val="22"/>
          <w:lang w:val="es-ES"/>
        </w:rPr>
        <w:t>]</w:t>
      </w:r>
      <w:r w:rsidRPr="00107E86" w:rsidR="00107E86">
        <w:rPr>
          <w:rFonts w:ascii="Arial" w:hAnsi="Arial" w:eastAsia="Calibri" w:cs="Arial"/>
          <w:bCs/>
          <w:color w:val="000000" w:themeColor="text1"/>
          <w:sz w:val="22"/>
          <w:lang w:val="es-ES"/>
        </w:rPr>
        <w:t>u plazo se contará una vez haya terminado el mínimo requerido para el proceso de selección</w:t>
      </w:r>
      <w:r w:rsidRPr="00107E86">
        <w:rPr>
          <w:rFonts w:ascii="Arial" w:hAnsi="Arial" w:eastAsia="Calibri" w:cs="Arial"/>
          <w:bCs/>
          <w:color w:val="000000" w:themeColor="text1"/>
          <w:sz w:val="22"/>
          <w:lang w:val="es-ES"/>
        </w:rPr>
        <w:t>»</w:t>
      </w:r>
      <w:r w:rsidRPr="001F3C1A">
        <w:rPr>
          <w:rFonts w:ascii="Arial" w:hAnsi="Arial" w:eastAsia="Calibri" w:cs="Arial"/>
          <w:bCs/>
          <w:color w:val="000000" w:themeColor="text1"/>
          <w:sz w:val="22"/>
          <w:lang w:val="es-ES"/>
        </w:rPr>
        <w:t xml:space="preserve">. </w:t>
      </w:r>
      <w:r>
        <w:rPr>
          <w:rFonts w:ascii="Arial" w:hAnsi="Arial" w:eastAsia="Calibri" w:cs="Arial"/>
          <w:bCs/>
          <w:color w:val="000000" w:themeColor="text1"/>
          <w:sz w:val="22"/>
          <w:lang w:val="es-ES"/>
        </w:rPr>
        <w:t xml:space="preserve">Según </w:t>
      </w:r>
      <w:r>
        <w:rPr>
          <w:rFonts w:ascii="Arial" w:hAnsi="Arial" w:eastAsia="Calibri" w:cs="Arial"/>
          <w:bCs/>
          <w:color w:val="000000" w:themeColor="text1"/>
          <w:sz w:val="22"/>
          <w:lang w:val="es-ES"/>
        </w:rPr>
        <w:lastRenderedPageBreak/>
        <w:t xml:space="preserve">el tenor literal del documento base, el término ofertado </w:t>
      </w:r>
      <w:r w:rsidR="00107E86">
        <w:rPr>
          <w:rFonts w:ascii="Arial" w:hAnsi="Arial" w:eastAsia="Calibri" w:cs="Arial"/>
          <w:bCs/>
          <w:color w:val="000000" w:themeColor="text1"/>
          <w:sz w:val="22"/>
          <w:lang w:val="es-ES"/>
        </w:rPr>
        <w:t>como garantía suplementaria o adicional es diferente a la vigencia señala</w:t>
      </w:r>
      <w:r w:rsidR="00801AF8">
        <w:rPr>
          <w:rFonts w:ascii="Arial" w:hAnsi="Arial" w:eastAsia="Calibri" w:cs="Arial"/>
          <w:bCs/>
          <w:color w:val="000000" w:themeColor="text1"/>
          <w:sz w:val="22"/>
          <w:lang w:val="es-ES"/>
        </w:rPr>
        <w:t>da</w:t>
      </w:r>
      <w:r w:rsidR="00107E86">
        <w:rPr>
          <w:rFonts w:ascii="Arial" w:hAnsi="Arial" w:eastAsia="Calibri" w:cs="Arial"/>
          <w:bCs/>
          <w:color w:val="000000" w:themeColor="text1"/>
          <w:sz w:val="22"/>
          <w:lang w:val="es-ES"/>
        </w:rPr>
        <w:t xml:space="preserve"> por la entidad como obligatoria para la garantía de cumplimiento en el amparo de estabilidad y calidad de las obras</w:t>
      </w:r>
      <w:r>
        <w:rPr>
          <w:rFonts w:ascii="Arial" w:hAnsi="Arial" w:eastAsia="Calibri" w:cs="Arial"/>
          <w:bCs/>
          <w:color w:val="000000" w:themeColor="text1"/>
          <w:sz w:val="22"/>
          <w:lang w:val="es-ES"/>
        </w:rPr>
        <w:t xml:space="preserve">. </w:t>
      </w:r>
    </w:p>
    <w:p w:rsidR="00542BB5" w:rsidP="00801AF8" w:rsidRDefault="00801AF8" w14:paraId="40E9895C" w14:textId="6EA65B99">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Por otra parte, el documento base de los documentos tipo señala que las garantías suplementarias o adicionales pueden ser otorgadas por los proponentes a través de una aseguradora o directamente como garantía comercial. No obstante, teniendo en cuenta que</w:t>
      </w:r>
      <w:r w:rsidR="00542BB5">
        <w:rPr>
          <w:rFonts w:ascii="Arial" w:hAnsi="Arial" w:eastAsia="Calibri" w:cs="Arial"/>
          <w:bCs/>
          <w:color w:val="000000" w:themeColor="text1"/>
          <w:sz w:val="22"/>
          <w:lang w:val="es-ES"/>
        </w:rPr>
        <w:t xml:space="preserve"> el numeral 3.3.3., literal D, del documento base de los Documentos Tipo requiere que los proponentes plurales tengan una duración igual al plazo del contrato más un año, </w:t>
      </w:r>
      <w:r>
        <w:rPr>
          <w:rFonts w:ascii="Arial" w:hAnsi="Arial" w:eastAsia="Calibri" w:cs="Arial"/>
          <w:bCs/>
          <w:color w:val="000000" w:themeColor="text1"/>
          <w:sz w:val="22"/>
          <w:lang w:val="es-ES"/>
        </w:rPr>
        <w:t xml:space="preserve">como ya se </w:t>
      </w:r>
      <w:r w:rsidR="000D6432">
        <w:rPr>
          <w:rFonts w:ascii="Arial" w:hAnsi="Arial" w:eastAsia="Calibri" w:cs="Arial"/>
          <w:bCs/>
          <w:color w:val="000000" w:themeColor="text1"/>
          <w:sz w:val="22"/>
          <w:lang w:val="es-ES"/>
        </w:rPr>
        <w:t>expresó,</w:t>
      </w:r>
      <w:r>
        <w:rPr>
          <w:rFonts w:ascii="Arial" w:hAnsi="Arial" w:eastAsia="Calibri" w:cs="Arial"/>
          <w:bCs/>
          <w:color w:val="000000" w:themeColor="text1"/>
          <w:sz w:val="22"/>
          <w:lang w:val="es-ES"/>
        </w:rPr>
        <w:t xml:space="preserve"> ello no se extiende por la existencia de obligaciones post-contractuales, y más aún cuando </w:t>
      </w:r>
      <w:r w:rsidR="00F33296">
        <w:rPr>
          <w:rFonts w:ascii="Arial" w:hAnsi="Arial" w:eastAsia="Calibri" w:cs="Arial"/>
          <w:bCs/>
          <w:color w:val="000000" w:themeColor="text1"/>
          <w:sz w:val="22"/>
          <w:lang w:val="es-ES"/>
        </w:rPr>
        <w:t>la garantía comercial</w:t>
      </w:r>
      <w:r w:rsidR="007033D1">
        <w:rPr>
          <w:rFonts w:ascii="Arial" w:hAnsi="Arial" w:eastAsia="Calibri" w:cs="Arial"/>
          <w:bCs/>
          <w:color w:val="000000" w:themeColor="text1"/>
          <w:sz w:val="22"/>
          <w:lang w:val="es-ES"/>
        </w:rPr>
        <w:t>,</w:t>
      </w:r>
      <w:r w:rsidR="00F33296">
        <w:rPr>
          <w:rFonts w:ascii="Arial" w:hAnsi="Arial" w:eastAsia="Calibri" w:cs="Arial"/>
          <w:bCs/>
          <w:color w:val="000000" w:themeColor="text1"/>
          <w:sz w:val="22"/>
          <w:lang w:val="es-ES"/>
        </w:rPr>
        <w:t xml:space="preserve"> al ser otorgada directamente</w:t>
      </w:r>
      <w:r w:rsidR="007033D1">
        <w:rPr>
          <w:rFonts w:ascii="Arial" w:hAnsi="Arial" w:eastAsia="Calibri" w:cs="Arial"/>
          <w:bCs/>
          <w:color w:val="000000" w:themeColor="text1"/>
          <w:sz w:val="22"/>
          <w:lang w:val="es-ES"/>
        </w:rPr>
        <w:t>,</w:t>
      </w:r>
      <w:r w:rsidR="00F33296">
        <w:rPr>
          <w:rFonts w:ascii="Arial" w:hAnsi="Arial" w:eastAsia="Calibri" w:cs="Arial"/>
          <w:bCs/>
          <w:color w:val="000000" w:themeColor="text1"/>
          <w:sz w:val="22"/>
          <w:lang w:val="es-ES"/>
        </w:rPr>
        <w:t xml:space="preserve"> significa que son las empresas, sociedades o personas involucradas quienes responden por la misma, es decir, los miembros del proponente plural</w:t>
      </w:r>
      <w:r w:rsidR="007033D1">
        <w:rPr>
          <w:rFonts w:ascii="Arial" w:hAnsi="Arial" w:eastAsia="Calibri" w:cs="Arial"/>
          <w:bCs/>
          <w:color w:val="000000" w:themeColor="text1"/>
          <w:sz w:val="22"/>
          <w:lang w:val="es-ES"/>
        </w:rPr>
        <w:t>,</w:t>
      </w:r>
      <w:r w:rsidR="00F33296">
        <w:rPr>
          <w:rFonts w:ascii="Arial" w:hAnsi="Arial" w:eastAsia="Calibri" w:cs="Arial"/>
          <w:bCs/>
          <w:color w:val="000000" w:themeColor="text1"/>
          <w:sz w:val="22"/>
          <w:lang w:val="es-ES"/>
        </w:rPr>
        <w:t xml:space="preserve"> que son quienes tienen personería jurídica</w:t>
      </w:r>
      <w:r w:rsidR="007033D1">
        <w:rPr>
          <w:rFonts w:ascii="Arial" w:hAnsi="Arial" w:eastAsia="Calibri" w:cs="Arial"/>
          <w:bCs/>
          <w:color w:val="000000" w:themeColor="text1"/>
          <w:sz w:val="22"/>
          <w:lang w:val="es-ES"/>
        </w:rPr>
        <w:t>,</w:t>
      </w:r>
      <w:r w:rsidR="00F33296">
        <w:rPr>
          <w:rFonts w:ascii="Arial" w:hAnsi="Arial" w:eastAsia="Calibri" w:cs="Arial"/>
          <w:bCs/>
          <w:color w:val="000000" w:themeColor="text1"/>
          <w:sz w:val="22"/>
          <w:lang w:val="es-ES"/>
        </w:rPr>
        <w:t xml:space="preserve"> a diferencia de dicho proponente</w:t>
      </w:r>
      <w:r w:rsidR="007033D1">
        <w:rPr>
          <w:rFonts w:ascii="Arial" w:hAnsi="Arial" w:eastAsia="Calibri" w:cs="Arial"/>
          <w:bCs/>
          <w:color w:val="000000" w:themeColor="text1"/>
          <w:sz w:val="22"/>
          <w:lang w:val="es-ES"/>
        </w:rPr>
        <w:t>,</w:t>
      </w:r>
      <w:r w:rsidR="00F33296">
        <w:rPr>
          <w:rFonts w:ascii="Arial" w:hAnsi="Arial" w:eastAsia="Calibri" w:cs="Arial"/>
          <w:bCs/>
          <w:color w:val="000000" w:themeColor="text1"/>
          <w:sz w:val="22"/>
          <w:lang w:val="es-ES"/>
        </w:rPr>
        <w:t xml:space="preserve"> que no la tiene.</w:t>
      </w:r>
    </w:p>
    <w:p w:rsidR="00F33296" w:rsidP="00801AF8" w:rsidRDefault="00F33296" w14:paraId="486C6D55" w14:textId="7F14F8A9">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Sin embargo, se debe tener en cuenta que a los miembros del proponente plural</w:t>
      </w:r>
      <w:r w:rsidR="007033D1">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como personas</w:t>
      </w:r>
      <w:r w:rsidR="007033D1">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les aplica la regla del artículo 6</w:t>
      </w:r>
      <w:r w:rsidRPr="00F33296">
        <w:rPr>
          <w:rFonts w:ascii="Arial" w:hAnsi="Arial" w:eastAsia="Calibri" w:cs="Arial"/>
          <w:bCs/>
          <w:color w:val="000000" w:themeColor="text1"/>
          <w:sz w:val="22"/>
          <w:lang w:val="es-ES"/>
        </w:rPr>
        <w:t xml:space="preserve"> </w:t>
      </w:r>
      <w:r>
        <w:rPr>
          <w:rFonts w:ascii="Arial" w:hAnsi="Arial" w:eastAsia="Calibri" w:cs="Arial"/>
          <w:bCs/>
          <w:color w:val="000000" w:themeColor="text1"/>
          <w:sz w:val="22"/>
          <w:lang w:val="es-ES"/>
        </w:rPr>
        <w:t>de la Ley 80 de 1993 citado, es decir</w:t>
      </w:r>
      <w:r w:rsidR="00664154">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su duración también debe ser igual al plazo del contrato más un año, sin que ello pueda ampliarse</w:t>
      </w:r>
      <w:r w:rsidR="007033D1">
        <w:rPr>
          <w:rFonts w:ascii="Arial" w:hAnsi="Arial" w:eastAsia="Calibri" w:cs="Arial"/>
          <w:bCs/>
          <w:color w:val="000000" w:themeColor="text1"/>
          <w:sz w:val="22"/>
          <w:lang w:val="es-ES"/>
        </w:rPr>
        <w:t>,</w:t>
      </w:r>
      <w:r>
        <w:rPr>
          <w:rFonts w:ascii="Arial" w:hAnsi="Arial" w:eastAsia="Calibri" w:cs="Arial"/>
          <w:bCs/>
          <w:color w:val="000000" w:themeColor="text1"/>
          <w:sz w:val="22"/>
          <w:lang w:val="es-ES"/>
        </w:rPr>
        <w:t xml:space="preserve"> porque la norma no lo contempla de otra forma, independientemente de las obligaciones que se asuman e impliquen un mayor tiempo.</w:t>
      </w:r>
    </w:p>
    <w:p w:rsidR="00664154" w:rsidP="00664154" w:rsidRDefault="00F33296" w14:paraId="4C0CCEB4" w14:textId="77777777">
      <w:pPr>
        <w:spacing w:after="120" w:line="276" w:lineRule="auto"/>
        <w:jc w:val="both"/>
        <w:rPr>
          <w:rFonts w:ascii="Arial" w:hAnsi="Arial" w:eastAsia="Calibri" w:cs="Arial"/>
          <w:sz w:val="22"/>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 xml:space="preserve">Finalmente, </w:t>
      </w:r>
      <w:r w:rsidR="00664154">
        <w:rPr>
          <w:rFonts w:ascii="Arial" w:hAnsi="Arial" w:eastAsia="Calibri" w:cs="Arial"/>
          <w:bCs/>
          <w:color w:val="000000" w:themeColor="text1"/>
          <w:sz w:val="22"/>
          <w:lang w:val="es-ES"/>
        </w:rPr>
        <w:t xml:space="preserve">se recuerda que </w:t>
      </w:r>
      <w:r w:rsidR="00664154">
        <w:rPr>
          <w:rFonts w:ascii="Arial" w:hAnsi="Arial" w:eastAsia="Calibri" w:cs="Arial"/>
          <w:sz w:val="22"/>
        </w:rPr>
        <w:t>con el fin de incrementar la participación en los procedimientos de contratación a nivel nacional, y alcanzar los demás beneficios que trae la adopción de los Documentos Tipo, esta Agencia lideró mesas técnicas para estructurar los Documentos Tipo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rsidR="00486BD9" w:rsidP="00664154" w:rsidRDefault="00664154" w14:paraId="3ED129CC" w14:textId="68D9887C">
      <w:pPr>
        <w:spacing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Por ende, en los documentos tipo, respecto de la garantía suplementaria o adicional, se previó que los proponentes puedan hacerlo a través de una aseguradora o directamente como garantía comercial, sin que esto pueda ser modificado por las entidades, ya que e</w:t>
      </w:r>
      <w:r w:rsidRPr="00664154">
        <w:rPr>
          <w:rFonts w:ascii="Arial" w:hAnsi="Arial" w:eastAsia="Calibri" w:cs="Arial"/>
          <w:bCs/>
          <w:color w:val="000000" w:themeColor="text1"/>
          <w:sz w:val="22"/>
          <w:lang w:val="es-ES"/>
        </w:rPr>
        <w:t xml:space="preserv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adoptados en ejercicio del mandato establecido en el artículo 4 de la Ley 1882 de 2018, son de obligatorio cumplimiento para las entidades sometidas al Estatuto General de </w:t>
      </w:r>
      <w:r w:rsidRPr="00664154">
        <w:rPr>
          <w:rFonts w:ascii="Arial" w:hAnsi="Arial" w:eastAsia="Calibri" w:cs="Arial"/>
          <w:bCs/>
          <w:color w:val="000000" w:themeColor="text1"/>
          <w:sz w:val="22"/>
          <w:lang w:val="es-ES"/>
        </w:rPr>
        <w:lastRenderedPageBreak/>
        <w:t>Contratación de la Administración Pública que adelanten procesos que deban regirse por su contenido, y no pueden variarse los requisitos fijados en ellos.</w:t>
      </w:r>
    </w:p>
    <w:p w:rsidRPr="00DE1C0E" w:rsidR="00664154" w:rsidP="00664154" w:rsidRDefault="00664154" w14:paraId="7DC13576" w14:textId="77777777">
      <w:pPr>
        <w:spacing w:line="276" w:lineRule="auto"/>
        <w:jc w:val="both"/>
        <w:rPr>
          <w:rFonts w:ascii="Arial" w:hAnsi="Arial" w:eastAsia="Calibri" w:cs="Arial"/>
          <w:bCs/>
          <w:color w:val="000000" w:themeColor="text1"/>
          <w:sz w:val="22"/>
          <w:lang w:val="es-ES"/>
        </w:rPr>
      </w:pPr>
    </w:p>
    <w:p w:rsidRPr="00144291" w:rsidR="003343B5" w:rsidP="00664154" w:rsidRDefault="00664154" w14:paraId="12FFECD4" w14:textId="37DA626B">
      <w:pPr>
        <w:pStyle w:val="Prrafodelista"/>
        <w:tabs>
          <w:tab w:val="left" w:pos="284"/>
        </w:tabs>
        <w:spacing w:line="276" w:lineRule="auto"/>
        <w:ind w:left="0"/>
        <w:rPr>
          <w:rFonts w:ascii="Arial" w:hAnsi="Arial" w:cs="Arial"/>
          <w:b/>
          <w:bCs/>
          <w:color w:val="000000" w:themeColor="text1"/>
          <w:sz w:val="22"/>
          <w:lang w:val="es-ES"/>
        </w:rPr>
      </w:pPr>
      <w:r>
        <w:rPr>
          <w:rFonts w:ascii="Arial" w:hAnsi="Arial" w:cs="Arial"/>
          <w:b/>
          <w:bCs/>
          <w:color w:val="000000" w:themeColor="text1"/>
          <w:sz w:val="22"/>
          <w:lang w:val="es-ES"/>
        </w:rPr>
        <w:t xml:space="preserve">3. </w:t>
      </w:r>
      <w:r w:rsidRPr="00593BA7" w:rsidR="003343B5">
        <w:rPr>
          <w:rFonts w:ascii="Arial" w:hAnsi="Arial" w:cs="Arial"/>
          <w:b/>
          <w:bCs/>
          <w:color w:val="000000" w:themeColor="text1"/>
          <w:sz w:val="22"/>
          <w:lang w:val="es-ES"/>
        </w:rPr>
        <w:t xml:space="preserve">Respuesta </w:t>
      </w:r>
    </w:p>
    <w:p w:rsidR="003343B5" w:rsidP="00664154" w:rsidRDefault="003343B5" w14:paraId="7F2D4A5E" w14:textId="77777777">
      <w:pPr>
        <w:ind w:right="709"/>
        <w:jc w:val="both"/>
        <w:rPr>
          <w:rFonts w:ascii="Arial" w:hAnsi="Arial" w:eastAsia="Calibri" w:cs="Arial"/>
          <w:color w:val="000000" w:themeColor="text1"/>
          <w:sz w:val="21"/>
          <w:szCs w:val="21"/>
          <w:lang w:val="es-ES"/>
        </w:rPr>
      </w:pPr>
    </w:p>
    <w:p w:rsidRPr="00EE2326" w:rsidR="003343B5" w:rsidP="00EC6135" w:rsidRDefault="00EC6135" w14:paraId="78669206" w14:textId="56C63337">
      <w:pPr>
        <w:ind w:left="709" w:right="709"/>
        <w:jc w:val="both"/>
        <w:rPr>
          <w:rFonts w:ascii="Arial" w:hAnsi="Arial" w:eastAsia="Calibri" w:cs="Arial"/>
          <w:color w:val="000000" w:themeColor="text1"/>
          <w:sz w:val="21"/>
          <w:szCs w:val="21"/>
          <w:lang w:val="es-ES"/>
        </w:rPr>
      </w:pPr>
      <w:r w:rsidRPr="00EE2326">
        <w:rPr>
          <w:rFonts w:ascii="Arial" w:hAnsi="Arial" w:eastAsia="Calibri" w:cs="Arial"/>
          <w:color w:val="000000" w:themeColor="text1"/>
          <w:sz w:val="21"/>
          <w:szCs w:val="21"/>
          <w:lang w:val="es-ES"/>
        </w:rPr>
        <w:t xml:space="preserve">En los documentos tipo versión 2 el proponente puede ofrecer garantías suplementarias o adicionales a través de aseguradora o directamente como garantía comercial, y sobre esta última «[…] surgen algunas inquietudes como son el anexo de conformación del oferente plural si da una garantía comercial por 30 meses luego de cumplido el termino de la garantía de estabilidad de la obra en los término de la resolución, la duración de ese oferente no debería ser por este tiempo? aun cuando los integrantes de las figuras plurales responden cada uno conforme a las reglas del consorcio o la U.T, no se debería exigir que las empresas que conformar estas figuras aseguren su existencia en el futuro como mínimo con el tiempo que duren las garantías? no es inconveniente tener este tipo de garantías sin un respaldo más allá que la palabra de cumplir?? </w:t>
      </w:r>
      <w:r w:rsidR="00E834A8">
        <w:rPr>
          <w:rFonts w:ascii="Arial" w:hAnsi="Arial" w:eastAsia="Calibri" w:cs="Arial"/>
          <w:color w:val="000000" w:themeColor="text1"/>
          <w:sz w:val="21"/>
          <w:szCs w:val="21"/>
          <w:lang w:val="es-ES"/>
        </w:rPr>
        <w:t xml:space="preserve">(sic) </w:t>
      </w:r>
      <w:r w:rsidRPr="00EE2326">
        <w:rPr>
          <w:rFonts w:ascii="Arial" w:hAnsi="Arial" w:eastAsia="Calibri" w:cs="Arial"/>
          <w:color w:val="000000" w:themeColor="text1"/>
          <w:sz w:val="21"/>
          <w:szCs w:val="21"/>
          <w:lang w:val="es-ES"/>
        </w:rPr>
        <w:t>puede la entidad optar por exigir solo las dadas por las aseguradoras buscando blindar un poco mas a la entidad y buscando objetividad, igualdad de condiciones?»</w:t>
      </w:r>
    </w:p>
    <w:p w:rsidRPr="00EE2326" w:rsidR="003343B5" w:rsidP="003343B5" w:rsidRDefault="003343B5" w14:paraId="6505DA12" w14:textId="77777777">
      <w:pPr>
        <w:ind w:left="709" w:right="731"/>
        <w:jc w:val="both"/>
        <w:rPr>
          <w:rFonts w:ascii="Arial" w:hAnsi="Arial" w:eastAsia="Calibri" w:cs="Arial"/>
          <w:color w:val="000000" w:themeColor="text1"/>
          <w:sz w:val="22"/>
          <w:lang w:val="es-ES"/>
        </w:rPr>
      </w:pPr>
    </w:p>
    <w:p w:rsidRPr="00EE2326" w:rsidR="009B0752" w:rsidP="009B0752" w:rsidRDefault="009B0752" w14:paraId="79BB8DEA" w14:textId="6F2371F1">
      <w:pPr>
        <w:spacing w:after="120" w:line="276" w:lineRule="auto"/>
        <w:jc w:val="both"/>
        <w:rPr>
          <w:rFonts w:ascii="Arial" w:hAnsi="Arial" w:eastAsia="Calibri" w:cs="Arial"/>
          <w:bCs/>
          <w:color w:val="000000" w:themeColor="text1"/>
          <w:sz w:val="22"/>
          <w:lang w:val="es-ES"/>
        </w:rPr>
      </w:pPr>
      <w:r w:rsidRPr="00EE2326">
        <w:rPr>
          <w:rFonts w:ascii="Arial" w:hAnsi="Arial" w:eastAsia="Calibri" w:cs="Arial"/>
          <w:bCs/>
          <w:color w:val="000000" w:themeColor="text1"/>
          <w:sz w:val="22"/>
          <w:lang w:val="es-ES"/>
        </w:rPr>
        <w:t>Para esta Subdirección a un proponente plural</w:t>
      </w:r>
      <w:r w:rsidR="00E732F9">
        <w:rPr>
          <w:rFonts w:ascii="Arial" w:hAnsi="Arial" w:eastAsia="Calibri" w:cs="Arial"/>
          <w:bCs/>
          <w:color w:val="000000" w:themeColor="text1"/>
          <w:sz w:val="22"/>
          <w:lang w:val="es-ES"/>
        </w:rPr>
        <w:t>,</w:t>
      </w:r>
      <w:r w:rsidRPr="00EE2326">
        <w:rPr>
          <w:rFonts w:ascii="Arial" w:hAnsi="Arial" w:eastAsia="Calibri" w:cs="Arial"/>
          <w:bCs/>
          <w:color w:val="000000" w:themeColor="text1"/>
          <w:sz w:val="22"/>
          <w:lang w:val="es-ES"/>
        </w:rPr>
        <w:t xml:space="preserve"> de conformidad con el ordenamiento vigente</w:t>
      </w:r>
      <w:r w:rsidR="00E732F9">
        <w:rPr>
          <w:rFonts w:ascii="Arial" w:hAnsi="Arial" w:eastAsia="Calibri" w:cs="Arial"/>
          <w:bCs/>
          <w:color w:val="000000" w:themeColor="text1"/>
          <w:sz w:val="22"/>
          <w:lang w:val="es-ES"/>
        </w:rPr>
        <w:t>,</w:t>
      </w:r>
      <w:r w:rsidRPr="00EE2326">
        <w:rPr>
          <w:rFonts w:ascii="Arial" w:hAnsi="Arial" w:eastAsia="Calibri" w:cs="Arial"/>
          <w:bCs/>
          <w:color w:val="000000" w:themeColor="text1"/>
          <w:sz w:val="22"/>
          <w:lang w:val="es-ES"/>
        </w:rPr>
        <w:t xml:space="preserve"> y vista la aplicación analógica del artículo 6</w:t>
      </w:r>
      <w:r w:rsidR="00E732F9">
        <w:rPr>
          <w:rFonts w:ascii="Arial" w:hAnsi="Arial" w:eastAsia="Calibri" w:cs="Arial"/>
          <w:bCs/>
          <w:color w:val="000000" w:themeColor="text1"/>
          <w:sz w:val="22"/>
          <w:lang w:val="es-ES"/>
        </w:rPr>
        <w:t>,</w:t>
      </w:r>
      <w:r w:rsidRPr="00EE2326">
        <w:rPr>
          <w:rFonts w:ascii="Arial" w:hAnsi="Arial" w:eastAsia="Calibri" w:cs="Arial"/>
          <w:bCs/>
          <w:color w:val="000000" w:themeColor="text1"/>
          <w:sz w:val="22"/>
          <w:lang w:val="es-ES"/>
        </w:rPr>
        <w:t xml:space="preserve"> inciso segundo</w:t>
      </w:r>
      <w:r w:rsidR="00E732F9">
        <w:rPr>
          <w:rFonts w:ascii="Arial" w:hAnsi="Arial" w:eastAsia="Calibri" w:cs="Arial"/>
          <w:bCs/>
          <w:color w:val="000000" w:themeColor="text1"/>
          <w:sz w:val="22"/>
          <w:lang w:val="es-ES"/>
        </w:rPr>
        <w:t>,</w:t>
      </w:r>
      <w:r w:rsidRPr="00EE2326">
        <w:rPr>
          <w:rFonts w:ascii="Arial" w:hAnsi="Arial" w:eastAsia="Calibri" w:cs="Arial"/>
          <w:bCs/>
          <w:color w:val="000000" w:themeColor="text1"/>
          <w:sz w:val="22"/>
          <w:lang w:val="es-ES"/>
        </w:rPr>
        <w:t xml:space="preserve"> de la Ley 80 de 1993, solamente puede exigírsele, como se hizo en el documento base de los documentos tipo versión 2 para licitación de obra pública de infraestructura de transporte, una duración igual al plazo de ejecución del contrato</w:t>
      </w:r>
      <w:r w:rsidR="00E732F9">
        <w:rPr>
          <w:rFonts w:ascii="Arial" w:hAnsi="Arial" w:eastAsia="Calibri" w:cs="Arial"/>
          <w:bCs/>
          <w:color w:val="000000" w:themeColor="text1"/>
          <w:sz w:val="22"/>
          <w:lang w:val="es-ES"/>
        </w:rPr>
        <w:t>,</w:t>
      </w:r>
      <w:r w:rsidRPr="00EE2326">
        <w:rPr>
          <w:rFonts w:ascii="Arial" w:hAnsi="Arial" w:eastAsia="Calibri" w:cs="Arial"/>
          <w:bCs/>
          <w:color w:val="000000" w:themeColor="text1"/>
          <w:sz w:val="22"/>
          <w:lang w:val="es-ES"/>
        </w:rPr>
        <w:t xml:space="preserve"> más un año. </w:t>
      </w:r>
    </w:p>
    <w:p w:rsidR="00251675" w:rsidP="00251675" w:rsidRDefault="00251675" w14:paraId="0A04EC14" w14:textId="6D32C17E">
      <w:pPr>
        <w:spacing w:after="120" w:line="276" w:lineRule="auto"/>
        <w:jc w:val="both"/>
        <w:rPr>
          <w:rFonts w:ascii="Arial" w:hAnsi="Arial" w:eastAsia="Calibri" w:cs="Arial"/>
          <w:bCs/>
          <w:color w:val="000000" w:themeColor="text1"/>
          <w:sz w:val="22"/>
          <w:lang w:val="es-ES"/>
        </w:rPr>
      </w:pPr>
      <w:r>
        <w:rPr>
          <w:rFonts w:ascii="Arial" w:hAnsi="Arial" w:eastAsia="Calibri" w:cs="Arial"/>
          <w:bCs/>
          <w:color w:val="000000" w:themeColor="text1"/>
          <w:sz w:val="22"/>
          <w:lang w:val="es-ES"/>
        </w:rPr>
        <w:tab/>
      </w:r>
      <w:r>
        <w:rPr>
          <w:rFonts w:ascii="Arial" w:hAnsi="Arial" w:eastAsia="Calibri" w:cs="Arial"/>
          <w:bCs/>
          <w:color w:val="000000" w:themeColor="text1"/>
          <w:sz w:val="22"/>
          <w:lang w:val="es-ES"/>
        </w:rPr>
        <w:t>Sin embargo, se debe tener en cuenta que a los miembros del proponente plural, como personas, les aplica la regla del artículo 6</w:t>
      </w:r>
      <w:r w:rsidRPr="00F33296">
        <w:rPr>
          <w:rFonts w:ascii="Arial" w:hAnsi="Arial" w:eastAsia="Calibri" w:cs="Arial"/>
          <w:bCs/>
          <w:color w:val="000000" w:themeColor="text1"/>
          <w:sz w:val="22"/>
          <w:lang w:val="es-ES"/>
        </w:rPr>
        <w:t xml:space="preserve"> </w:t>
      </w:r>
      <w:r>
        <w:rPr>
          <w:rFonts w:ascii="Arial" w:hAnsi="Arial" w:eastAsia="Calibri" w:cs="Arial"/>
          <w:bCs/>
          <w:color w:val="000000" w:themeColor="text1"/>
          <w:sz w:val="22"/>
          <w:lang w:val="es-ES"/>
        </w:rPr>
        <w:t>de la Ley 80 de 1993 citado, es decir, su duración también debe ser igual al plazo del contrato más un año, sin que ello pueda ampliarse, porque la norma no lo contempla de otra forma, independientemente de las obligaciones que se asuman e impliquen un mayor tiempo</w:t>
      </w:r>
      <w:r w:rsidR="009F2DA0">
        <w:rPr>
          <w:rFonts w:ascii="Arial" w:hAnsi="Arial" w:eastAsia="Calibri" w:cs="Arial"/>
          <w:bCs/>
          <w:color w:val="000000" w:themeColor="text1"/>
          <w:sz w:val="22"/>
          <w:lang w:val="es-ES"/>
        </w:rPr>
        <w:t>, pues aunque la forma asociativa se extinga las obligaciones pos</w:t>
      </w:r>
      <w:r w:rsidR="00B008CD">
        <w:rPr>
          <w:rFonts w:ascii="Arial" w:hAnsi="Arial" w:eastAsia="Calibri" w:cs="Arial"/>
          <w:bCs/>
          <w:color w:val="000000" w:themeColor="text1"/>
          <w:sz w:val="22"/>
          <w:lang w:val="es-ES"/>
        </w:rPr>
        <w:t>t-</w:t>
      </w:r>
      <w:r w:rsidR="009F2DA0">
        <w:rPr>
          <w:rFonts w:ascii="Arial" w:hAnsi="Arial" w:eastAsia="Calibri" w:cs="Arial"/>
          <w:bCs/>
          <w:color w:val="000000" w:themeColor="text1"/>
          <w:sz w:val="22"/>
          <w:lang w:val="es-ES"/>
        </w:rPr>
        <w:t>contractuales</w:t>
      </w:r>
      <w:r w:rsidR="00B008CD">
        <w:rPr>
          <w:rFonts w:ascii="Arial" w:hAnsi="Arial" w:eastAsia="Calibri" w:cs="Arial"/>
          <w:bCs/>
          <w:color w:val="000000" w:themeColor="text1"/>
          <w:sz w:val="22"/>
          <w:lang w:val="es-ES"/>
        </w:rPr>
        <w:t xml:space="preserve"> deben ser cumplidas por los integrantes del contratista plural.</w:t>
      </w:r>
    </w:p>
    <w:p w:rsidRPr="006012BF" w:rsidR="006012BF" w:rsidP="00B008CD" w:rsidRDefault="006012BF" w14:paraId="29F8650D" w14:textId="7A879571">
      <w:pPr>
        <w:spacing w:after="120" w:line="276" w:lineRule="auto"/>
        <w:ind w:firstLine="720"/>
        <w:jc w:val="both"/>
        <w:rPr>
          <w:rFonts w:ascii="Verdana" w:hAnsi="Verdana" w:eastAsia="Calibri" w:cs="Arial"/>
          <w:bCs/>
          <w:color w:val="000000" w:themeColor="text1"/>
          <w:sz w:val="22"/>
          <w:lang w:val="es-ES"/>
        </w:rPr>
      </w:pPr>
      <w:r>
        <w:rPr>
          <w:rFonts w:ascii="Arial" w:hAnsi="Arial" w:eastAsia="Calibri" w:cs="Arial"/>
          <w:bCs/>
          <w:color w:val="000000" w:themeColor="text1"/>
          <w:sz w:val="22"/>
          <w:lang w:val="es-ES"/>
        </w:rPr>
        <w:t>Esta Agencia, con base en las mesas técnicas, respecto de la garantía suplementaria o adicional, consideró conveniente que el proponente la pueda otorgar por aseguradora o directamente con garantía comercial, lo cual no puede ser modificado por la entidad por el principio de inalterabilidad de los documentos tipo.</w:t>
      </w:r>
    </w:p>
    <w:p w:rsidRPr="0070653A" w:rsidR="00A05238" w:rsidP="0070653A" w:rsidRDefault="00A05238" w14:paraId="7C041BDC" w14:textId="77777777">
      <w:pPr>
        <w:spacing w:after="120" w:line="276" w:lineRule="auto"/>
        <w:ind w:firstLine="720"/>
        <w:jc w:val="both"/>
        <w:rPr>
          <w:rFonts w:ascii="Arial" w:hAnsi="Arial" w:eastAsia="Calibri" w:cs="Arial"/>
          <w:bCs/>
          <w:color w:val="000000" w:themeColor="text1"/>
          <w:sz w:val="22"/>
          <w:lang w:val="es-ES"/>
        </w:rPr>
      </w:pPr>
    </w:p>
    <w:p w:rsidRPr="00593BA7" w:rsidR="003343B5" w:rsidP="003343B5" w:rsidRDefault="003343B5" w14:paraId="2F1D573F" w14:textId="4EB70B8F">
      <w:pPr>
        <w:spacing w:before="120" w:line="276" w:lineRule="auto"/>
        <w:jc w:val="both"/>
        <w:rPr>
          <w:rFonts w:ascii="Arial" w:hAnsi="Arial" w:eastAsia="Calibri" w:cs="Arial"/>
          <w:color w:val="000000" w:themeColor="text1"/>
          <w:sz w:val="22"/>
          <w:lang w:val="es-ES"/>
        </w:rPr>
      </w:pPr>
      <w:r w:rsidRPr="00593BA7">
        <w:rPr>
          <w:rFonts w:ascii="Arial" w:hAnsi="Arial" w:eastAsia="Calibri" w:cs="Arial"/>
          <w:color w:val="000000" w:themeColor="text1"/>
          <w:sz w:val="22"/>
          <w:lang w:val="es-ES"/>
        </w:rPr>
        <w:t>Este concepto tiene el alcance previsto en el artículo 28 del Código de Procedimiento Administrativo y de lo Contencioso Administrativo.</w:t>
      </w:r>
    </w:p>
    <w:p w:rsidRPr="00593BA7" w:rsidR="003343B5" w:rsidP="003343B5" w:rsidRDefault="003343B5" w14:paraId="13A8C67C" w14:textId="77777777">
      <w:pPr>
        <w:ind w:firstLine="709"/>
        <w:jc w:val="both"/>
        <w:rPr>
          <w:rFonts w:ascii="Arial" w:hAnsi="Arial" w:eastAsia="Calibri" w:cs="Arial"/>
          <w:color w:val="000000" w:themeColor="text1"/>
          <w:sz w:val="22"/>
          <w:lang w:val="es-ES"/>
        </w:rPr>
      </w:pPr>
    </w:p>
    <w:p w:rsidR="00BC1338" w:rsidP="00BC1338" w:rsidRDefault="00BC1338" w14:paraId="6EBDC3AE" w14:textId="77777777">
      <w:pPr>
        <w:rPr>
          <w:rFonts w:ascii="Arial" w:hAnsi="Arial" w:cs="Arial"/>
          <w:sz w:val="22"/>
          <w:lang w:eastAsia="es-CO"/>
        </w:rPr>
      </w:pPr>
      <w:bookmarkStart w:name="_Hlk50986665" w:id="2"/>
      <w:bookmarkStart w:name="_Hlk52766744" w:id="3"/>
      <w:bookmarkEnd w:id="0"/>
      <w:bookmarkEnd w:id="1"/>
      <w:r>
        <w:rPr>
          <w:rFonts w:ascii="Arial" w:hAnsi="Arial" w:cs="Arial"/>
          <w:sz w:val="22"/>
          <w:lang w:eastAsia="es-CO"/>
        </w:rPr>
        <w:t>Atentamente,</w:t>
      </w:r>
    </w:p>
    <w:p w:rsidR="00BC1338" w:rsidP="00BC1338" w:rsidRDefault="00BC1338" w14:paraId="0108DE6E" w14:textId="77777777">
      <w:pPr>
        <w:rPr>
          <w:rFonts w:ascii="Arial" w:hAnsi="Arial" w:cs="Arial"/>
          <w:sz w:val="22"/>
          <w:lang w:eastAsia="es-CO"/>
        </w:rPr>
      </w:pPr>
    </w:p>
    <w:p w:rsidR="00BC1338" w:rsidP="68BCF033" w:rsidRDefault="00040730" w14:paraId="4C49CAF2" w14:textId="221181F1">
      <w:pPr>
        <w:pStyle w:val="Normal"/>
        <w:jc w:val="center"/>
      </w:pPr>
      <w:r w:rsidR="0B0BEF0B">
        <w:drawing>
          <wp:inline wp14:editId="68BCF033" wp14:anchorId="3182EFDC">
            <wp:extent cx="2514600" cy="1114425"/>
            <wp:effectExtent l="0" t="0" r="0" b="0"/>
            <wp:docPr id="191605271"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56936e77ad3743ee">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00BC1338" w:rsidP="00BC1338" w:rsidRDefault="00BC1338" w14:paraId="45FB8D77" w14:textId="77777777">
      <w:pPr>
        <w:jc w:val="center"/>
        <w:rPr>
          <w:rFonts w:ascii="Arial" w:hAnsi="Arial" w:cs="Arial"/>
          <w:sz w:val="18"/>
          <w:szCs w:val="20"/>
          <w:lang w:eastAsia="es-CO"/>
        </w:rPr>
      </w:pPr>
    </w:p>
    <w:p w:rsidR="00BC1338" w:rsidP="00BC1338" w:rsidRDefault="00BC1338" w14:paraId="5E6EF495"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BC1338" w:rsidTr="00BC1338" w14:paraId="666B8203" w14:textId="77777777">
        <w:trPr>
          <w:trHeight w:val="315"/>
        </w:trPr>
        <w:tc>
          <w:tcPr>
            <w:tcW w:w="488" w:type="dxa"/>
            <w:vAlign w:val="center"/>
            <w:hideMark/>
          </w:tcPr>
          <w:p w:rsidR="00BC1338" w:rsidRDefault="00BC1338" w14:paraId="61A9D69D"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BC1338" w:rsidRDefault="00BC1338" w14:paraId="4B9B20BF" w14:textId="77777777">
            <w:pPr>
              <w:rPr>
                <w:rFonts w:ascii="Arial" w:hAnsi="Arial" w:cs="Arial"/>
                <w:sz w:val="16"/>
                <w:szCs w:val="16"/>
                <w:lang w:eastAsia="es-ES"/>
              </w:rPr>
            </w:pPr>
            <w:r>
              <w:rPr>
                <w:rFonts w:ascii="Arial" w:hAnsi="Arial" w:cs="Arial"/>
                <w:sz w:val="16"/>
                <w:szCs w:val="16"/>
                <w:lang w:eastAsia="es-ES"/>
              </w:rPr>
              <w:t>Ximena Ríos López</w:t>
            </w:r>
          </w:p>
          <w:p w:rsidR="00BC1338" w:rsidRDefault="00BC1338" w14:paraId="194425D1" w14:textId="77777777">
            <w:pPr>
              <w:rPr>
                <w:rFonts w:ascii="Arial" w:hAnsi="Arial" w:cs="Arial"/>
                <w:sz w:val="16"/>
                <w:szCs w:val="16"/>
                <w:lang w:eastAsia="es-ES"/>
              </w:rPr>
            </w:pPr>
            <w:r>
              <w:rPr>
                <w:rFonts w:ascii="Arial" w:hAnsi="Arial" w:cs="Arial"/>
                <w:sz w:val="16"/>
                <w:szCs w:val="16"/>
                <w:lang w:eastAsia="es-ES"/>
              </w:rPr>
              <w:t>Gestor T1-11</w:t>
            </w:r>
          </w:p>
        </w:tc>
      </w:tr>
      <w:tr w:rsidR="00BC1338" w:rsidTr="00BC1338" w14:paraId="2675CFFC" w14:textId="77777777">
        <w:trPr>
          <w:trHeight w:val="330"/>
        </w:trPr>
        <w:tc>
          <w:tcPr>
            <w:tcW w:w="488" w:type="dxa"/>
            <w:vAlign w:val="center"/>
            <w:hideMark/>
          </w:tcPr>
          <w:p w:rsidR="00BC1338" w:rsidRDefault="00BC1338" w14:paraId="4567AB0B" w14:textId="77777777">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C1338" w:rsidRDefault="0060582D" w14:paraId="3519ABCC" w14:textId="17562F23">
            <w:pPr>
              <w:rPr>
                <w:rFonts w:ascii="Arial" w:hAnsi="Arial" w:cs="Arial"/>
                <w:sz w:val="16"/>
                <w:szCs w:val="16"/>
                <w:lang w:eastAsia="es-ES"/>
              </w:rPr>
            </w:pPr>
            <w:r>
              <w:rPr>
                <w:rFonts w:ascii="Arial" w:hAnsi="Arial" w:cs="Arial"/>
                <w:sz w:val="16"/>
                <w:szCs w:val="16"/>
                <w:lang w:eastAsia="es-ES"/>
              </w:rPr>
              <w:t>Cristian Andrés Díaz Díez</w:t>
            </w:r>
          </w:p>
          <w:p w:rsidR="00BC1338" w:rsidRDefault="0060582D" w14:paraId="34E0930B" w14:textId="2180D358">
            <w:pPr>
              <w:rPr>
                <w:rFonts w:ascii="Arial" w:hAnsi="Arial" w:cs="Arial"/>
                <w:sz w:val="16"/>
                <w:szCs w:val="16"/>
                <w:lang w:eastAsia="es-ES"/>
              </w:rPr>
            </w:pPr>
            <w:r>
              <w:rPr>
                <w:rFonts w:ascii="Arial" w:hAnsi="Arial" w:cs="Arial"/>
                <w:sz w:val="16"/>
                <w:szCs w:val="16"/>
                <w:lang w:eastAsia="es-ES"/>
              </w:rPr>
              <w:t xml:space="preserve">Contratista de la Subdirección </w:t>
            </w:r>
            <w:r w:rsidR="00BC1338">
              <w:rPr>
                <w:rFonts w:ascii="Arial" w:hAnsi="Arial" w:cs="Arial"/>
                <w:sz w:val="16"/>
                <w:szCs w:val="16"/>
                <w:lang w:eastAsia="es-ES"/>
              </w:rPr>
              <w:t>de Gestión Contractual</w:t>
            </w:r>
          </w:p>
        </w:tc>
      </w:tr>
      <w:tr w:rsidR="00BC1338" w:rsidTr="00BC1338" w14:paraId="669545DD" w14:textId="77777777">
        <w:trPr>
          <w:trHeight w:val="300"/>
        </w:trPr>
        <w:tc>
          <w:tcPr>
            <w:tcW w:w="488" w:type="dxa"/>
            <w:vAlign w:val="center"/>
            <w:hideMark/>
          </w:tcPr>
          <w:p w:rsidR="00BC1338" w:rsidRDefault="00BC1338" w14:paraId="10B8B8DD" w14:textId="77777777">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C1338" w:rsidRDefault="00BC7523" w14:paraId="1998A03F" w14:textId="6638A62A">
            <w:pPr>
              <w:rPr>
                <w:rFonts w:ascii="Arial" w:hAnsi="Arial" w:cs="Arial"/>
                <w:sz w:val="16"/>
                <w:szCs w:val="16"/>
                <w:lang w:eastAsia="es-ES"/>
              </w:rPr>
            </w:pPr>
            <w:r>
              <w:rPr>
                <w:rFonts w:ascii="Arial" w:hAnsi="Arial" w:cs="Arial"/>
                <w:sz w:val="16"/>
                <w:szCs w:val="16"/>
                <w:lang w:eastAsia="es-ES"/>
              </w:rPr>
              <w:t>Jorge Augusto Tirado Navarro</w:t>
            </w:r>
          </w:p>
          <w:p w:rsidR="00BC1338" w:rsidRDefault="00BC1338" w14:paraId="0F485FF0" w14:textId="264B993D">
            <w:pPr>
              <w:rPr>
                <w:rFonts w:ascii="Arial" w:hAnsi="Arial" w:cs="Arial"/>
                <w:sz w:val="16"/>
                <w:szCs w:val="16"/>
                <w:lang w:eastAsia="es-ES"/>
              </w:rPr>
            </w:pPr>
            <w:r>
              <w:rPr>
                <w:rFonts w:ascii="Arial" w:hAnsi="Arial" w:cs="Arial"/>
                <w:sz w:val="16"/>
                <w:szCs w:val="16"/>
                <w:lang w:eastAsia="es-ES"/>
              </w:rPr>
              <w:t>Subdirector de Gestión Contractual</w:t>
            </w:r>
          </w:p>
        </w:tc>
      </w:tr>
      <w:tr w:rsidR="00BC1338" w:rsidTr="00BC1338" w14:paraId="272B216A" w14:textId="77777777">
        <w:trPr>
          <w:trHeight w:val="300"/>
        </w:trPr>
        <w:tc>
          <w:tcPr>
            <w:tcW w:w="488" w:type="dxa"/>
            <w:vAlign w:val="center"/>
            <w:hideMark/>
          </w:tcPr>
          <w:p w:rsidR="00BC1338" w:rsidRDefault="00BC1338" w14:paraId="07A61AA9" w14:textId="77777777">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C1338" w:rsidRDefault="00BC1338" w14:paraId="0A59840A" w14:textId="77777777">
            <w:pPr>
              <w:rPr>
                <w:rFonts w:ascii="Arial" w:hAnsi="Arial" w:cs="Arial"/>
                <w:sz w:val="16"/>
                <w:szCs w:val="16"/>
                <w:lang w:eastAsia="es-ES"/>
              </w:rPr>
            </w:pPr>
            <w:r>
              <w:rPr>
                <w:rFonts w:ascii="Arial" w:hAnsi="Arial" w:cs="Arial"/>
                <w:sz w:val="16"/>
                <w:szCs w:val="16"/>
                <w:lang w:eastAsia="es-ES"/>
              </w:rPr>
              <w:t>0</w:t>
            </w:r>
          </w:p>
        </w:tc>
        <w:bookmarkEnd w:id="2"/>
      </w:tr>
    </w:tbl>
    <w:p w:rsidRPr="00593BA7" w:rsidR="003343B5" w:rsidP="003343B5" w:rsidRDefault="003343B5" w14:paraId="72740EF0" w14:textId="77777777">
      <w:pPr>
        <w:rPr>
          <w:color w:val="000000" w:themeColor="text1"/>
          <w:lang w:val="es-ES"/>
        </w:rPr>
      </w:pPr>
    </w:p>
    <w:bookmarkEnd w:id="3"/>
    <w:p w:rsidRPr="003343B5" w:rsidR="005A320B" w:rsidRDefault="005A320B" w14:paraId="3EEF1B0B" w14:textId="77777777">
      <w:pPr>
        <w:rPr>
          <w:lang w:val="es-ES"/>
        </w:rPr>
      </w:pPr>
    </w:p>
    <w:sectPr w:rsidRPr="003343B5" w:rsidR="005A320B" w:rsidSect="003821D7">
      <w:headerReference w:type="default" r:id="rId12"/>
      <w:footerReference w:type="default" r:id="rId13"/>
      <w:pgSz w:w="12240" w:h="15840" w:orient="portrait"/>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1DE9" w:rsidP="003343B5" w:rsidRDefault="007C1DE9" w14:paraId="004E24E8" w14:textId="77777777">
      <w:r>
        <w:separator/>
      </w:r>
    </w:p>
  </w:endnote>
  <w:endnote w:type="continuationSeparator" w:id="0">
    <w:p w:rsidR="007C1DE9" w:rsidP="003343B5" w:rsidRDefault="007C1DE9" w14:paraId="507C29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D4CE6" w:rsidP="007115CD" w:rsidRDefault="00DB1A99" w14:paraId="5E1D549C" w14:textId="77777777">
    <w:pPr>
      <w:pStyle w:val="Sinespaciado"/>
      <w:jc w:val="right"/>
      <w:rPr>
        <w:rFonts w:ascii="Arial" w:hAnsi="Arial" w:cs="Arial"/>
        <w:sz w:val="18"/>
        <w:szCs w:val="18"/>
      </w:rPr>
    </w:pPr>
  </w:p>
  <w:p w:rsidRPr="008217B7" w:rsidR="007D4CE6" w:rsidP="007115CD" w:rsidRDefault="001F3D37" w14:paraId="2643C482" w14:textId="08664EB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805FD">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805FD">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rsidR="007D4CE6" w:rsidP="007115CD" w:rsidRDefault="001F3D37" w14:paraId="10D66EEB" w14:textId="77777777">
    <w:pPr>
      <w:pStyle w:val="Piedepgina"/>
      <w:jc w:val="center"/>
      <w:rPr>
        <w:lang w:val="es-ES"/>
      </w:rPr>
    </w:pPr>
    <w:r w:rsidR="68BCF033">
      <w:drawing>
        <wp:inline wp14:editId="7A37B1C6" wp14:anchorId="16AF4501">
          <wp:extent cx="3700130" cy="519139"/>
          <wp:effectExtent l="0" t="0" r="0" b="0"/>
          <wp:docPr id="460002809" name="Imagen 3" title=""/>
          <wp:cNvGraphicFramePr>
            <a:graphicFrameLocks noChangeAspect="1"/>
          </wp:cNvGraphicFramePr>
          <a:graphic>
            <a:graphicData uri="http://schemas.openxmlformats.org/drawingml/2006/picture">
              <pic:pic>
                <pic:nvPicPr>
                  <pic:cNvPr id="0" name="Imagen 3"/>
                  <pic:cNvPicPr/>
                </pic:nvPicPr>
                <pic:blipFill>
                  <a:blip r:embed="R44828d91f8ca4f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7D4CE6" w:rsidP="007115CD" w:rsidRDefault="00DB1A99" w14:paraId="0D69EFFC" w14:textId="77777777">
    <w:pPr>
      <w:pStyle w:val="Piedepgina"/>
      <w:jc w:val="center"/>
      <w:rPr>
        <w:sz w:val="18"/>
        <w:szCs w:val="18"/>
        <w:lang w:val="es-ES"/>
      </w:rPr>
    </w:pPr>
  </w:p>
  <w:p w:rsidRPr="00E756AC" w:rsidR="007D4CE6" w:rsidP="007115CD" w:rsidRDefault="00DB1A99" w14:paraId="34285C62"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1DE9" w:rsidP="003343B5" w:rsidRDefault="007C1DE9" w14:paraId="1F7A58D7" w14:textId="77777777">
      <w:r>
        <w:separator/>
      </w:r>
    </w:p>
  </w:footnote>
  <w:footnote w:type="continuationSeparator" w:id="0">
    <w:p w:rsidR="007C1DE9" w:rsidP="003343B5" w:rsidRDefault="007C1DE9" w14:paraId="5754FD30" w14:textId="77777777">
      <w:r>
        <w:continuationSeparator/>
      </w:r>
    </w:p>
  </w:footnote>
  <w:footnote w:id="1">
    <w:p w:rsidRPr="000246FD" w:rsidR="000246FD" w:rsidP="000246FD" w:rsidRDefault="000246FD" w14:paraId="52904149" w14:textId="0BD6AFEA">
      <w:pPr>
        <w:pStyle w:val="Textonotapie"/>
        <w:ind w:firstLine="720"/>
        <w:jc w:val="both"/>
        <w:rPr>
          <w:rFonts w:ascii="Arial" w:hAnsi="Arial" w:cs="Arial"/>
          <w:sz w:val="19"/>
          <w:szCs w:val="19"/>
          <w:lang w:val="es-ES"/>
        </w:rPr>
      </w:pPr>
      <w:r w:rsidRPr="000246FD">
        <w:rPr>
          <w:rStyle w:val="Refdenotaalpie"/>
          <w:rFonts w:ascii="Arial" w:hAnsi="Arial" w:cs="Arial"/>
          <w:sz w:val="19"/>
          <w:szCs w:val="19"/>
        </w:rPr>
        <w:footnoteRef/>
      </w:r>
      <w:r w:rsidRPr="000246FD">
        <w:rPr>
          <w:rFonts w:ascii="Arial" w:hAnsi="Arial" w:cs="Arial"/>
          <w:sz w:val="19"/>
          <w:szCs w:val="19"/>
        </w:rPr>
        <w:t xml:space="preserve"> </w:t>
      </w:r>
      <w:r>
        <w:rPr>
          <w:rFonts w:ascii="Arial" w:hAnsi="Arial" w:cs="Arial"/>
          <w:sz w:val="19"/>
          <w:szCs w:val="19"/>
        </w:rPr>
        <w:t xml:space="preserve">CORTE CONSTITUCIONAL. Sentencia C-949 del 5 de septiembre de 2001. M.P. Clara Inés Vargas Hernandez.  </w:t>
      </w:r>
    </w:p>
  </w:footnote>
  <w:footnote w:id="2">
    <w:p w:rsidR="00206371" w:rsidP="00206371" w:rsidRDefault="00206371" w14:paraId="4249811E" w14:textId="77777777">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Corte Constitucional. Sentencia C- 083 del 1 de marzo de 1995. M.P. Carlos Gaviria Díaz</w:t>
      </w:r>
    </w:p>
    <w:p w:rsidR="00206371" w:rsidP="00206371" w:rsidRDefault="00206371" w14:paraId="18EB2255" w14:textId="77777777">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D4CE6" w:rsidRDefault="001F3D37" w14:paraId="53029365" w14:textId="77777777">
    <w:pPr>
      <w:pStyle w:val="Encabezado"/>
    </w:pPr>
    <w:r>
      <w:rPr>
        <w:noProof/>
        <w:lang w:val="es-CO" w:eastAsia="es-CO"/>
      </w:rPr>
      <w:drawing>
        <wp:anchor distT="0" distB="0" distL="114300" distR="114300" simplePos="0" relativeHeight="251659264" behindDoc="1" locked="0" layoutInCell="1" allowOverlap="1" wp14:anchorId="69FA70CC" wp14:editId="47C61F6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8BCF03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6866F0E"/>
    <w:multiLevelType w:val="multilevel"/>
    <w:tmpl w:val="D902C4A2"/>
    <w:lvl w:ilvl="0" w:tplc="0316D8AA">
      <w:start w:val="1"/>
      <w:numFmt w:val="upperLetter"/>
      <w:lvlText w:val="%1."/>
      <w:lvlJc w:val="left"/>
      <w:pPr>
        <w:ind w:left="720" w:hanging="360"/>
      </w:pPr>
      <w:rPr>
        <w:rFonts w:hint="default" w:ascii="Arial" w:hAnsi="Arial" w:cs="Arial"/>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B5"/>
    <w:rsid w:val="000201EC"/>
    <w:rsid w:val="000246FD"/>
    <w:rsid w:val="00040730"/>
    <w:rsid w:val="00054733"/>
    <w:rsid w:val="0008D1C6"/>
    <w:rsid w:val="000C6A22"/>
    <w:rsid w:val="000C7840"/>
    <w:rsid w:val="000D6432"/>
    <w:rsid w:val="000E4CDE"/>
    <w:rsid w:val="00107E86"/>
    <w:rsid w:val="00117C6A"/>
    <w:rsid w:val="00161C0D"/>
    <w:rsid w:val="00162501"/>
    <w:rsid w:val="001740C3"/>
    <w:rsid w:val="001805FD"/>
    <w:rsid w:val="001C215F"/>
    <w:rsid w:val="001E747D"/>
    <w:rsid w:val="001F3D37"/>
    <w:rsid w:val="00206371"/>
    <w:rsid w:val="00230A3C"/>
    <w:rsid w:val="00230EFD"/>
    <w:rsid w:val="00233A14"/>
    <w:rsid w:val="00251675"/>
    <w:rsid w:val="00265228"/>
    <w:rsid w:val="00274757"/>
    <w:rsid w:val="002B1E7F"/>
    <w:rsid w:val="002C09DC"/>
    <w:rsid w:val="002C54E3"/>
    <w:rsid w:val="002F25B2"/>
    <w:rsid w:val="003343B5"/>
    <w:rsid w:val="00340735"/>
    <w:rsid w:val="003D36D5"/>
    <w:rsid w:val="003F7F5D"/>
    <w:rsid w:val="00486BD9"/>
    <w:rsid w:val="004B54D9"/>
    <w:rsid w:val="004D78E0"/>
    <w:rsid w:val="00542BB5"/>
    <w:rsid w:val="005456DE"/>
    <w:rsid w:val="00565C86"/>
    <w:rsid w:val="00586CE3"/>
    <w:rsid w:val="005A320B"/>
    <w:rsid w:val="005F202A"/>
    <w:rsid w:val="006012BF"/>
    <w:rsid w:val="0060582D"/>
    <w:rsid w:val="00664154"/>
    <w:rsid w:val="006865F2"/>
    <w:rsid w:val="006A1F7F"/>
    <w:rsid w:val="006A446B"/>
    <w:rsid w:val="006A52FB"/>
    <w:rsid w:val="006A63DD"/>
    <w:rsid w:val="006A7CCE"/>
    <w:rsid w:val="007033D1"/>
    <w:rsid w:val="0070653A"/>
    <w:rsid w:val="007174E5"/>
    <w:rsid w:val="007826ED"/>
    <w:rsid w:val="00794BA7"/>
    <w:rsid w:val="007C1DE9"/>
    <w:rsid w:val="007C7349"/>
    <w:rsid w:val="007E376D"/>
    <w:rsid w:val="00801AF8"/>
    <w:rsid w:val="008504E9"/>
    <w:rsid w:val="00872216"/>
    <w:rsid w:val="008C4CE2"/>
    <w:rsid w:val="008E6ED6"/>
    <w:rsid w:val="008F4B38"/>
    <w:rsid w:val="00907BF4"/>
    <w:rsid w:val="00924B60"/>
    <w:rsid w:val="009259C6"/>
    <w:rsid w:val="00962549"/>
    <w:rsid w:val="00965281"/>
    <w:rsid w:val="009668E1"/>
    <w:rsid w:val="00996CD7"/>
    <w:rsid w:val="009B01D6"/>
    <w:rsid w:val="009B0752"/>
    <w:rsid w:val="009F2DA0"/>
    <w:rsid w:val="00A05238"/>
    <w:rsid w:val="00A4535B"/>
    <w:rsid w:val="00A510E3"/>
    <w:rsid w:val="00A74E03"/>
    <w:rsid w:val="00A96DC4"/>
    <w:rsid w:val="00AA4106"/>
    <w:rsid w:val="00AD297C"/>
    <w:rsid w:val="00AE6C58"/>
    <w:rsid w:val="00AF5EFB"/>
    <w:rsid w:val="00B008CD"/>
    <w:rsid w:val="00B548DC"/>
    <w:rsid w:val="00BC1338"/>
    <w:rsid w:val="00BC7523"/>
    <w:rsid w:val="00C15501"/>
    <w:rsid w:val="00C24B42"/>
    <w:rsid w:val="00C44E56"/>
    <w:rsid w:val="00CA391E"/>
    <w:rsid w:val="00CD5B09"/>
    <w:rsid w:val="00D03D3B"/>
    <w:rsid w:val="00D15D6E"/>
    <w:rsid w:val="00D1749A"/>
    <w:rsid w:val="00D23976"/>
    <w:rsid w:val="00D33EF8"/>
    <w:rsid w:val="00D62C13"/>
    <w:rsid w:val="00DA7A8A"/>
    <w:rsid w:val="00DB1A99"/>
    <w:rsid w:val="00DE1C0E"/>
    <w:rsid w:val="00E11FAB"/>
    <w:rsid w:val="00E16103"/>
    <w:rsid w:val="00E445AE"/>
    <w:rsid w:val="00E732F9"/>
    <w:rsid w:val="00E834A8"/>
    <w:rsid w:val="00E90C4F"/>
    <w:rsid w:val="00EA35CB"/>
    <w:rsid w:val="00EB4E72"/>
    <w:rsid w:val="00EC6135"/>
    <w:rsid w:val="00ED6C9B"/>
    <w:rsid w:val="00EE2326"/>
    <w:rsid w:val="00F10063"/>
    <w:rsid w:val="00F33296"/>
    <w:rsid w:val="00F56961"/>
    <w:rsid w:val="00F90107"/>
    <w:rsid w:val="00FF7D6D"/>
    <w:rsid w:val="0210FCD9"/>
    <w:rsid w:val="0B0BEF0B"/>
    <w:rsid w:val="156A33F7"/>
    <w:rsid w:val="320426B7"/>
    <w:rsid w:val="501F472C"/>
    <w:rsid w:val="5549B609"/>
    <w:rsid w:val="68BCF033"/>
    <w:rsid w:val="73CFA4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00C"/>
  <w15:chartTrackingRefBased/>
  <w15:docId w15:val="{1D63BF50-D5D6-864E-9F8B-FC7AD5895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3B5"/>
    <w:rPr>
      <w:rFonts w:ascii="Times New Roman" w:hAnsi="Times New Roman" w:eastAsia="Times New Roman"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3343B5"/>
    <w:pPr>
      <w:tabs>
        <w:tab w:val="center" w:pos="4419"/>
        <w:tab w:val="right" w:pos="8838"/>
      </w:tabs>
    </w:pPr>
    <w:rPr>
      <w:rFonts w:asciiTheme="minorHAnsi" w:hAnsiTheme="minorHAnsi" w:eastAsiaTheme="minorHAnsi" w:cstheme="minorBidi"/>
      <w:szCs w:val="22"/>
      <w:lang w:val="es-MX"/>
    </w:rPr>
  </w:style>
  <w:style w:type="character" w:styleId="PiedepginaCar" w:customStyle="1">
    <w:name w:val="Pie de página Car"/>
    <w:basedOn w:val="Fuentedeprrafopredeter"/>
    <w:link w:val="Piedepgina"/>
    <w:uiPriority w:val="99"/>
    <w:rsid w:val="003343B5"/>
    <w:rPr>
      <w:szCs w:val="22"/>
      <w:lang w:val="es-MX"/>
    </w:rPr>
  </w:style>
  <w:style w:type="paragraph" w:styleId="Encabezado">
    <w:name w:val="header"/>
    <w:basedOn w:val="Normal"/>
    <w:link w:val="EncabezadoCar"/>
    <w:uiPriority w:val="99"/>
    <w:unhideWhenUsed/>
    <w:rsid w:val="003343B5"/>
    <w:pPr>
      <w:tabs>
        <w:tab w:val="center" w:pos="4252"/>
        <w:tab w:val="right" w:pos="8504"/>
      </w:tabs>
    </w:pPr>
    <w:rPr>
      <w:rFonts w:asciiTheme="minorHAnsi" w:hAnsiTheme="minorHAnsi" w:eastAsiaTheme="minorHAnsi" w:cstheme="minorBidi"/>
      <w:szCs w:val="22"/>
      <w:lang w:val="es-MX"/>
    </w:rPr>
  </w:style>
  <w:style w:type="character" w:styleId="EncabezadoCar" w:customStyle="1">
    <w:name w:val="Encabezado Car"/>
    <w:basedOn w:val="Fuentedeprrafopredeter"/>
    <w:link w:val="Encabezado"/>
    <w:uiPriority w:val="99"/>
    <w:rsid w:val="003343B5"/>
    <w:rPr>
      <w:szCs w:val="22"/>
      <w:lang w:val="es-MX"/>
    </w:rPr>
  </w:style>
  <w:style w:type="table" w:styleId="Tablaconcuadrcula">
    <w:name w:val="Table Grid"/>
    <w:basedOn w:val="Tablanormal"/>
    <w:uiPriority w:val="39"/>
    <w:rsid w:val="003343B5"/>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343B5"/>
    <w:pPr>
      <w:ind w:left="720"/>
      <w:contextualSpacing/>
    </w:pPr>
    <w:rPr>
      <w:rFonts w:asciiTheme="minorHAnsi" w:hAnsiTheme="minorHAnsi" w:eastAsiaTheme="minorHAnsi" w:cstheme="minorBidi"/>
      <w:szCs w:val="22"/>
      <w:lang w:val="es-MX"/>
    </w:rPr>
  </w:style>
  <w:style w:type="paragraph" w:styleId="Sinespaciado">
    <w:name w:val="No Spacing"/>
    <w:uiPriority w:val="1"/>
    <w:qFormat/>
    <w:rsid w:val="003343B5"/>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343B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3343B5"/>
    <w:rPr>
      <w:rFonts w:asciiTheme="minorHAnsi" w:hAnsiTheme="minorHAnsi" w:eastAsiaTheme="minorHAnsi" w:cstheme="minorBidi"/>
      <w:sz w:val="20"/>
      <w:szCs w:val="20"/>
      <w:lang w:val="es-MX"/>
    </w:rPr>
  </w:style>
  <w:style w:type="character" w:styleId="FootnoteTextChar1" w:customStyle="1">
    <w:name w:val="Footnote Text Char1"/>
    <w:basedOn w:val="Fuentedeprrafopredeter"/>
    <w:uiPriority w:val="99"/>
    <w:semiHidden/>
    <w:rsid w:val="003343B5"/>
    <w:rPr>
      <w:rFonts w:ascii="Times New Roman" w:hAnsi="Times New Roman" w:eastAsia="Times New Roman" w:cs="Times New Roman"/>
      <w:sz w:val="20"/>
      <w:szCs w:val="20"/>
      <w:lang w:val="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343B5"/>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3343B5"/>
    <w:rPr>
      <w:vertAlign w:val="superscript"/>
    </w:rPr>
  </w:style>
  <w:style w:type="paragraph" w:styleId="NormalWeb">
    <w:name w:val="Normal (Web)"/>
    <w:basedOn w:val="Normal"/>
    <w:uiPriority w:val="99"/>
    <w:semiHidden/>
    <w:unhideWhenUsed/>
    <w:rsid w:val="009259C6"/>
    <w:pPr>
      <w:spacing w:before="100" w:beforeAutospacing="1" w:after="100" w:afterAutospacing="1"/>
    </w:pPr>
  </w:style>
  <w:style w:type="character" w:styleId="baj" w:customStyle="1">
    <w:name w:val="b_aj"/>
    <w:basedOn w:val="Fuentedeprrafopredeter"/>
    <w:rsid w:val="009259C6"/>
  </w:style>
  <w:style w:type="character" w:styleId="Textoennegrita">
    <w:name w:val="Strong"/>
    <w:basedOn w:val="Fuentedeprrafopredeter"/>
    <w:uiPriority w:val="22"/>
    <w:qFormat/>
    <w:rsid w:val="001740C3"/>
    <w:rPr>
      <w:b/>
      <w:bCs/>
    </w:rPr>
  </w:style>
  <w:style w:type="character" w:styleId="nfasis">
    <w:name w:val="Emphasis"/>
    <w:basedOn w:val="Fuentedeprrafopredeter"/>
    <w:uiPriority w:val="20"/>
    <w:qFormat/>
    <w:rsid w:val="001740C3"/>
    <w:rPr>
      <w:i/>
      <w:iCs/>
    </w:rPr>
  </w:style>
  <w:style w:type="character" w:styleId="Hipervnculo">
    <w:name w:val="Hyperlink"/>
    <w:basedOn w:val="Fuentedeprrafopredeter"/>
    <w:uiPriority w:val="99"/>
    <w:semiHidden/>
    <w:unhideWhenUsed/>
    <w:rsid w:val="00996CD7"/>
    <w:rPr>
      <w:color w:val="0000FF"/>
      <w:u w:val="single"/>
    </w:rPr>
  </w:style>
  <w:style w:type="paragraph" w:styleId="Textodeglobo">
    <w:name w:val="Balloon Text"/>
    <w:basedOn w:val="Normal"/>
    <w:link w:val="TextodegloboCar"/>
    <w:uiPriority w:val="99"/>
    <w:semiHidden/>
    <w:unhideWhenUsed/>
    <w:rsid w:val="00A510E3"/>
    <w:rPr>
      <w:sz w:val="18"/>
      <w:szCs w:val="18"/>
    </w:rPr>
  </w:style>
  <w:style w:type="character" w:styleId="TextodegloboCar" w:customStyle="1">
    <w:name w:val="Texto de globo Car"/>
    <w:basedOn w:val="Fuentedeprrafopredeter"/>
    <w:link w:val="Textodeglobo"/>
    <w:uiPriority w:val="99"/>
    <w:semiHidden/>
    <w:rsid w:val="00A510E3"/>
    <w:rPr>
      <w:rFonts w:ascii="Times New Roman" w:hAnsi="Times New Roman" w:eastAsia="Times New Roman" w:cs="Times New Roman"/>
      <w:sz w:val="18"/>
      <w:szCs w:val="18"/>
      <w:lang w:val="es-CO"/>
    </w:rPr>
  </w:style>
  <w:style w:type="character" w:styleId="Refdecomentario">
    <w:name w:val="annotation reference"/>
    <w:basedOn w:val="Fuentedeprrafopredeter"/>
    <w:uiPriority w:val="99"/>
    <w:semiHidden/>
    <w:unhideWhenUsed/>
    <w:rsid w:val="00CD5B09"/>
    <w:rPr>
      <w:sz w:val="16"/>
      <w:szCs w:val="16"/>
    </w:rPr>
  </w:style>
  <w:style w:type="paragraph" w:styleId="Textocomentario">
    <w:name w:val="annotation text"/>
    <w:basedOn w:val="Normal"/>
    <w:link w:val="TextocomentarioCar"/>
    <w:uiPriority w:val="99"/>
    <w:semiHidden/>
    <w:unhideWhenUsed/>
    <w:rsid w:val="00CD5B09"/>
    <w:rPr>
      <w:sz w:val="20"/>
      <w:szCs w:val="20"/>
    </w:rPr>
  </w:style>
  <w:style w:type="character" w:styleId="TextocomentarioCar" w:customStyle="1">
    <w:name w:val="Texto comentario Car"/>
    <w:basedOn w:val="Fuentedeprrafopredeter"/>
    <w:link w:val="Textocomentario"/>
    <w:uiPriority w:val="99"/>
    <w:semiHidden/>
    <w:rsid w:val="00CD5B09"/>
    <w:rPr>
      <w:rFonts w:ascii="Times New Roman" w:hAnsi="Times New Roman"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D5B09"/>
    <w:rPr>
      <w:b/>
      <w:bCs/>
    </w:rPr>
  </w:style>
  <w:style w:type="character" w:styleId="AsuntodelcomentarioCar" w:customStyle="1">
    <w:name w:val="Asunto del comentario Car"/>
    <w:basedOn w:val="TextocomentarioCar"/>
    <w:link w:val="Asuntodelcomentario"/>
    <w:uiPriority w:val="99"/>
    <w:semiHidden/>
    <w:rsid w:val="00CD5B09"/>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58">
      <w:bodyDiv w:val="1"/>
      <w:marLeft w:val="0"/>
      <w:marRight w:val="0"/>
      <w:marTop w:val="0"/>
      <w:marBottom w:val="0"/>
      <w:divBdr>
        <w:top w:val="none" w:sz="0" w:space="0" w:color="auto"/>
        <w:left w:val="none" w:sz="0" w:space="0" w:color="auto"/>
        <w:bottom w:val="none" w:sz="0" w:space="0" w:color="auto"/>
        <w:right w:val="none" w:sz="0" w:space="0" w:color="auto"/>
      </w:divBdr>
    </w:div>
    <w:div w:id="92408172">
      <w:bodyDiv w:val="1"/>
      <w:marLeft w:val="0"/>
      <w:marRight w:val="0"/>
      <w:marTop w:val="0"/>
      <w:marBottom w:val="0"/>
      <w:divBdr>
        <w:top w:val="none" w:sz="0" w:space="0" w:color="auto"/>
        <w:left w:val="none" w:sz="0" w:space="0" w:color="auto"/>
        <w:bottom w:val="none" w:sz="0" w:space="0" w:color="auto"/>
        <w:right w:val="none" w:sz="0" w:space="0" w:color="auto"/>
      </w:divBdr>
    </w:div>
    <w:div w:id="196477005">
      <w:bodyDiv w:val="1"/>
      <w:marLeft w:val="0"/>
      <w:marRight w:val="0"/>
      <w:marTop w:val="0"/>
      <w:marBottom w:val="0"/>
      <w:divBdr>
        <w:top w:val="none" w:sz="0" w:space="0" w:color="auto"/>
        <w:left w:val="none" w:sz="0" w:space="0" w:color="auto"/>
        <w:bottom w:val="none" w:sz="0" w:space="0" w:color="auto"/>
        <w:right w:val="none" w:sz="0" w:space="0" w:color="auto"/>
      </w:divBdr>
    </w:div>
    <w:div w:id="255869384">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360857436">
      <w:bodyDiv w:val="1"/>
      <w:marLeft w:val="0"/>
      <w:marRight w:val="0"/>
      <w:marTop w:val="0"/>
      <w:marBottom w:val="0"/>
      <w:divBdr>
        <w:top w:val="none" w:sz="0" w:space="0" w:color="auto"/>
        <w:left w:val="none" w:sz="0" w:space="0" w:color="auto"/>
        <w:bottom w:val="none" w:sz="0" w:space="0" w:color="auto"/>
        <w:right w:val="none" w:sz="0" w:space="0" w:color="auto"/>
      </w:divBdr>
    </w:div>
    <w:div w:id="491262080">
      <w:bodyDiv w:val="1"/>
      <w:marLeft w:val="0"/>
      <w:marRight w:val="0"/>
      <w:marTop w:val="0"/>
      <w:marBottom w:val="0"/>
      <w:divBdr>
        <w:top w:val="none" w:sz="0" w:space="0" w:color="auto"/>
        <w:left w:val="none" w:sz="0" w:space="0" w:color="auto"/>
        <w:bottom w:val="none" w:sz="0" w:space="0" w:color="auto"/>
        <w:right w:val="none" w:sz="0" w:space="0" w:color="auto"/>
      </w:divBdr>
    </w:div>
    <w:div w:id="557128729">
      <w:bodyDiv w:val="1"/>
      <w:marLeft w:val="0"/>
      <w:marRight w:val="0"/>
      <w:marTop w:val="0"/>
      <w:marBottom w:val="0"/>
      <w:divBdr>
        <w:top w:val="none" w:sz="0" w:space="0" w:color="auto"/>
        <w:left w:val="none" w:sz="0" w:space="0" w:color="auto"/>
        <w:bottom w:val="none" w:sz="0" w:space="0" w:color="auto"/>
        <w:right w:val="none" w:sz="0" w:space="0" w:color="auto"/>
      </w:divBdr>
    </w:div>
    <w:div w:id="572282255">
      <w:bodyDiv w:val="1"/>
      <w:marLeft w:val="0"/>
      <w:marRight w:val="0"/>
      <w:marTop w:val="0"/>
      <w:marBottom w:val="0"/>
      <w:divBdr>
        <w:top w:val="none" w:sz="0" w:space="0" w:color="auto"/>
        <w:left w:val="none" w:sz="0" w:space="0" w:color="auto"/>
        <w:bottom w:val="none" w:sz="0" w:space="0" w:color="auto"/>
        <w:right w:val="none" w:sz="0" w:space="0" w:color="auto"/>
      </w:divBdr>
    </w:div>
    <w:div w:id="575092341">
      <w:bodyDiv w:val="1"/>
      <w:marLeft w:val="0"/>
      <w:marRight w:val="0"/>
      <w:marTop w:val="0"/>
      <w:marBottom w:val="0"/>
      <w:divBdr>
        <w:top w:val="none" w:sz="0" w:space="0" w:color="auto"/>
        <w:left w:val="none" w:sz="0" w:space="0" w:color="auto"/>
        <w:bottom w:val="none" w:sz="0" w:space="0" w:color="auto"/>
        <w:right w:val="none" w:sz="0" w:space="0" w:color="auto"/>
      </w:divBdr>
    </w:div>
    <w:div w:id="743531424">
      <w:bodyDiv w:val="1"/>
      <w:marLeft w:val="0"/>
      <w:marRight w:val="0"/>
      <w:marTop w:val="0"/>
      <w:marBottom w:val="0"/>
      <w:divBdr>
        <w:top w:val="none" w:sz="0" w:space="0" w:color="auto"/>
        <w:left w:val="none" w:sz="0" w:space="0" w:color="auto"/>
        <w:bottom w:val="none" w:sz="0" w:space="0" w:color="auto"/>
        <w:right w:val="none" w:sz="0" w:space="0" w:color="auto"/>
      </w:divBdr>
    </w:div>
    <w:div w:id="779952737">
      <w:bodyDiv w:val="1"/>
      <w:marLeft w:val="0"/>
      <w:marRight w:val="0"/>
      <w:marTop w:val="0"/>
      <w:marBottom w:val="0"/>
      <w:divBdr>
        <w:top w:val="none" w:sz="0" w:space="0" w:color="auto"/>
        <w:left w:val="none" w:sz="0" w:space="0" w:color="auto"/>
        <w:bottom w:val="none" w:sz="0" w:space="0" w:color="auto"/>
        <w:right w:val="none" w:sz="0" w:space="0" w:color="auto"/>
      </w:divBdr>
    </w:div>
    <w:div w:id="928663612">
      <w:bodyDiv w:val="1"/>
      <w:marLeft w:val="0"/>
      <w:marRight w:val="0"/>
      <w:marTop w:val="0"/>
      <w:marBottom w:val="0"/>
      <w:divBdr>
        <w:top w:val="none" w:sz="0" w:space="0" w:color="auto"/>
        <w:left w:val="none" w:sz="0" w:space="0" w:color="auto"/>
        <w:bottom w:val="none" w:sz="0" w:space="0" w:color="auto"/>
        <w:right w:val="none" w:sz="0" w:space="0" w:color="auto"/>
      </w:divBdr>
    </w:div>
    <w:div w:id="959993506">
      <w:bodyDiv w:val="1"/>
      <w:marLeft w:val="0"/>
      <w:marRight w:val="0"/>
      <w:marTop w:val="0"/>
      <w:marBottom w:val="0"/>
      <w:divBdr>
        <w:top w:val="none" w:sz="0" w:space="0" w:color="auto"/>
        <w:left w:val="none" w:sz="0" w:space="0" w:color="auto"/>
        <w:bottom w:val="none" w:sz="0" w:space="0" w:color="auto"/>
        <w:right w:val="none" w:sz="0" w:space="0" w:color="auto"/>
      </w:divBdr>
    </w:div>
    <w:div w:id="1103064178">
      <w:bodyDiv w:val="1"/>
      <w:marLeft w:val="0"/>
      <w:marRight w:val="0"/>
      <w:marTop w:val="0"/>
      <w:marBottom w:val="0"/>
      <w:divBdr>
        <w:top w:val="none" w:sz="0" w:space="0" w:color="auto"/>
        <w:left w:val="none" w:sz="0" w:space="0" w:color="auto"/>
        <w:bottom w:val="none" w:sz="0" w:space="0" w:color="auto"/>
        <w:right w:val="none" w:sz="0" w:space="0" w:color="auto"/>
      </w:divBdr>
    </w:div>
    <w:div w:id="1264335941">
      <w:bodyDiv w:val="1"/>
      <w:marLeft w:val="0"/>
      <w:marRight w:val="0"/>
      <w:marTop w:val="0"/>
      <w:marBottom w:val="0"/>
      <w:divBdr>
        <w:top w:val="none" w:sz="0" w:space="0" w:color="auto"/>
        <w:left w:val="none" w:sz="0" w:space="0" w:color="auto"/>
        <w:bottom w:val="none" w:sz="0" w:space="0" w:color="auto"/>
        <w:right w:val="none" w:sz="0" w:space="0" w:color="auto"/>
      </w:divBdr>
    </w:div>
    <w:div w:id="1314483754">
      <w:bodyDiv w:val="1"/>
      <w:marLeft w:val="0"/>
      <w:marRight w:val="0"/>
      <w:marTop w:val="0"/>
      <w:marBottom w:val="0"/>
      <w:divBdr>
        <w:top w:val="none" w:sz="0" w:space="0" w:color="auto"/>
        <w:left w:val="none" w:sz="0" w:space="0" w:color="auto"/>
        <w:bottom w:val="none" w:sz="0" w:space="0" w:color="auto"/>
        <w:right w:val="none" w:sz="0" w:space="0" w:color="auto"/>
      </w:divBdr>
    </w:div>
    <w:div w:id="1401709149">
      <w:bodyDiv w:val="1"/>
      <w:marLeft w:val="0"/>
      <w:marRight w:val="0"/>
      <w:marTop w:val="0"/>
      <w:marBottom w:val="0"/>
      <w:divBdr>
        <w:top w:val="none" w:sz="0" w:space="0" w:color="auto"/>
        <w:left w:val="none" w:sz="0" w:space="0" w:color="auto"/>
        <w:bottom w:val="none" w:sz="0" w:space="0" w:color="auto"/>
        <w:right w:val="none" w:sz="0" w:space="0" w:color="auto"/>
      </w:divBdr>
    </w:div>
    <w:div w:id="1632662477">
      <w:bodyDiv w:val="1"/>
      <w:marLeft w:val="0"/>
      <w:marRight w:val="0"/>
      <w:marTop w:val="0"/>
      <w:marBottom w:val="0"/>
      <w:divBdr>
        <w:top w:val="none" w:sz="0" w:space="0" w:color="auto"/>
        <w:left w:val="none" w:sz="0" w:space="0" w:color="auto"/>
        <w:bottom w:val="none" w:sz="0" w:space="0" w:color="auto"/>
        <w:right w:val="none" w:sz="0" w:space="0" w:color="auto"/>
      </w:divBdr>
    </w:div>
    <w:div w:id="1754231734">
      <w:bodyDiv w:val="1"/>
      <w:marLeft w:val="0"/>
      <w:marRight w:val="0"/>
      <w:marTop w:val="0"/>
      <w:marBottom w:val="0"/>
      <w:divBdr>
        <w:top w:val="none" w:sz="0" w:space="0" w:color="auto"/>
        <w:left w:val="none" w:sz="0" w:space="0" w:color="auto"/>
        <w:bottom w:val="none" w:sz="0" w:space="0" w:color="auto"/>
        <w:right w:val="none" w:sz="0" w:space="0" w:color="auto"/>
      </w:divBdr>
    </w:div>
    <w:div w:id="1841769784">
      <w:bodyDiv w:val="1"/>
      <w:marLeft w:val="0"/>
      <w:marRight w:val="0"/>
      <w:marTop w:val="0"/>
      <w:marBottom w:val="0"/>
      <w:divBdr>
        <w:top w:val="none" w:sz="0" w:space="0" w:color="auto"/>
        <w:left w:val="none" w:sz="0" w:space="0" w:color="auto"/>
        <w:bottom w:val="none" w:sz="0" w:space="0" w:color="auto"/>
        <w:right w:val="none" w:sz="0" w:space="0" w:color="auto"/>
      </w:divBdr>
    </w:div>
    <w:div w:id="18852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56936e77ad3743ee" /></Relationships>
</file>

<file path=word/_rels/footer1.xml.rels>&#65279;<?xml version="1.0" encoding="utf-8"?><Relationships xmlns="http://schemas.openxmlformats.org/package/2006/relationships"><Relationship Type="http://schemas.openxmlformats.org/officeDocument/2006/relationships/image" Target="/media/image4.png" Id="R44828d91f8ca4f5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8539A-5D6A-9142-9ED9-5E7CD1D6F1FC}">
  <ds:schemaRefs>
    <ds:schemaRef ds:uri="http://schemas.openxmlformats.org/officeDocument/2006/bibliography"/>
  </ds:schemaRefs>
</ds:datastoreItem>
</file>

<file path=customXml/itemProps2.xml><?xml version="1.0" encoding="utf-8"?>
<ds:datastoreItem xmlns:ds="http://schemas.openxmlformats.org/officeDocument/2006/customXml" ds:itemID="{EB2C1273-7E11-4F08-B6FA-92CA20BED84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280460F-B1AB-4493-AA52-6AA75B9F2537}">
  <ds:schemaRefs>
    <ds:schemaRef ds:uri="http://schemas.microsoft.com/sharepoint/v3/contenttype/forms"/>
  </ds:schemaRefs>
</ds:datastoreItem>
</file>

<file path=customXml/itemProps4.xml><?xml version="1.0" encoding="utf-8"?>
<ds:datastoreItem xmlns:ds="http://schemas.openxmlformats.org/officeDocument/2006/customXml" ds:itemID="{05D4D19E-FDCC-4FF9-98DD-03A93746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Sebastian Barreto Cifuentes</dc:creator>
  <keywords/>
  <dc:description/>
  <lastModifiedBy>Nina María Padrón</lastModifiedBy>
  <revision>4</revision>
  <dcterms:created xsi:type="dcterms:W3CDTF">2020-10-22T02:24:00.0000000Z</dcterms:created>
  <dcterms:modified xsi:type="dcterms:W3CDTF">2020-11-12T15:21:12.0982669Z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