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15A5F" w:rsidR="00F515FC" w:rsidP="00F515FC" w:rsidRDefault="00F515FC" w14:paraId="5D1DE65C" w14:textId="77777777">
      <w:pPr>
        <w:jc w:val="right"/>
        <w:rPr>
          <w:rFonts w:ascii="Arial" w:hAnsi="Arial" w:cs="Arial"/>
          <w:b/>
          <w:sz w:val="16"/>
          <w:szCs w:val="16"/>
          <w:lang w:eastAsia="es-ES"/>
        </w:rPr>
      </w:pPr>
      <w:r w:rsidRPr="00B15A5F">
        <w:rPr>
          <w:rFonts w:ascii="Arial" w:hAnsi="Arial" w:cs="Arial"/>
          <w:b/>
          <w:sz w:val="16"/>
          <w:szCs w:val="16"/>
          <w:lang w:eastAsia="es-ES"/>
        </w:rPr>
        <w:t>CCE-DES-FM-17</w:t>
      </w:r>
    </w:p>
    <w:p w:rsidRPr="003210A4" w:rsidR="00FA6BB4" w:rsidP="005A79FE" w:rsidRDefault="00A87BDF" w14:paraId="79B8BEB0" w14:textId="5F171049">
      <w:pPr>
        <w:spacing w:line="276" w:lineRule="auto"/>
        <w:jc w:val="both"/>
        <w:rPr>
          <w:rFonts w:ascii="Arial" w:hAnsi="Arial" w:eastAsia="Calibri" w:cs="Arial"/>
          <w:b/>
          <w:bCs/>
          <w:color w:val="FF0000"/>
          <w:sz w:val="16"/>
          <w:szCs w:val="16"/>
        </w:rPr>
      </w:pPr>
      <w:r w:rsidRPr="00A8162E">
        <w:rPr>
          <w:rFonts w:ascii="Arial" w:hAnsi="Arial" w:eastAsia="Calibri" w:cs="Arial"/>
          <w:b/>
          <w:bCs/>
          <w:sz w:val="22"/>
        </w:rPr>
        <w:t>FACTOR DE CALIDAD – Garantía adicional –</w:t>
      </w:r>
      <w:r>
        <w:rPr>
          <w:rFonts w:ascii="Arial" w:hAnsi="Arial" w:eastAsia="Calibri" w:cs="Arial"/>
          <w:b/>
          <w:bCs/>
          <w:sz w:val="22"/>
        </w:rPr>
        <w:t xml:space="preserve"> </w:t>
      </w:r>
      <w:r>
        <w:rPr>
          <w:rFonts w:ascii="Arial" w:hAnsi="Arial" w:eastAsia="Calibri" w:cs="Arial"/>
          <w:b/>
          <w:bCs/>
          <w:sz w:val="22"/>
        </w:rPr>
        <w:t>Noción</w:t>
      </w:r>
    </w:p>
    <w:p w:rsidR="00A87BDF" w:rsidP="00A87BDF" w:rsidRDefault="00A87BDF" w14:paraId="4AE8AF15" w14:textId="77777777">
      <w:pPr>
        <w:jc w:val="both"/>
        <w:rPr>
          <w:rFonts w:ascii="Arial" w:hAnsi="Arial" w:eastAsia="Calibri" w:cs="Arial"/>
          <w:sz w:val="20"/>
          <w:szCs w:val="20"/>
        </w:rPr>
      </w:pPr>
    </w:p>
    <w:p w:rsidRPr="00A87BDF" w:rsidR="00A87BDF" w:rsidP="00A87BDF" w:rsidRDefault="00A87BDF" w14:paraId="53D08F7A" w14:textId="34A2216A">
      <w:pPr>
        <w:jc w:val="both"/>
        <w:rPr>
          <w:rFonts w:ascii="Arial" w:hAnsi="Arial" w:eastAsia="Calibri" w:cs="Arial"/>
          <w:sz w:val="20"/>
          <w:szCs w:val="20"/>
        </w:rPr>
      </w:pPr>
      <w:r w:rsidRPr="00A87BDF">
        <w:rPr>
          <w:rFonts w:ascii="Arial" w:hAnsi="Arial" w:eastAsia="Calibri" w:cs="Arial"/>
          <w:sz w:val="20"/>
          <w:szCs w:val="20"/>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p>
    <w:p w:rsidR="00A87BDF" w:rsidP="00E00C63" w:rsidRDefault="00A87BDF" w14:paraId="3CDCCFCC" w14:textId="77777777">
      <w:pPr>
        <w:jc w:val="both"/>
        <w:rPr>
          <w:rFonts w:ascii="Arial" w:hAnsi="Arial" w:eastAsia="Calibri" w:cs="Arial"/>
          <w:b/>
          <w:bCs/>
          <w:sz w:val="22"/>
        </w:rPr>
      </w:pPr>
    </w:p>
    <w:p w:rsidRPr="00A8162E" w:rsidR="00E00C63" w:rsidP="00E00C63" w:rsidRDefault="00A87BDF" w14:paraId="05F327B8" w14:textId="3C3C5B5E">
      <w:pPr>
        <w:jc w:val="both"/>
        <w:rPr>
          <w:rFonts w:ascii="Arial" w:hAnsi="Arial" w:eastAsia="Calibri" w:cs="Arial"/>
          <w:sz w:val="20"/>
          <w:szCs w:val="20"/>
        </w:rPr>
      </w:pPr>
      <w:r w:rsidRPr="00A8162E">
        <w:rPr>
          <w:rFonts w:ascii="Arial" w:hAnsi="Arial" w:eastAsia="Calibri" w:cs="Arial"/>
          <w:b/>
          <w:bCs/>
          <w:sz w:val="22"/>
        </w:rPr>
        <w:t>FACTOR DE CALIDAD – Garantía adicional –</w:t>
      </w:r>
      <w:r>
        <w:rPr>
          <w:rFonts w:ascii="Arial" w:hAnsi="Arial" w:eastAsia="Calibri" w:cs="Arial"/>
          <w:b/>
          <w:bCs/>
          <w:sz w:val="22"/>
        </w:rPr>
        <w:t xml:space="preserve"> Resolución No. 116 de 220 </w:t>
      </w:r>
      <w:r w:rsidRPr="00A8162E">
        <w:rPr>
          <w:rFonts w:ascii="Arial" w:hAnsi="Arial" w:eastAsia="Calibri" w:cs="Arial"/>
          <w:b/>
          <w:bCs/>
          <w:sz w:val="22"/>
        </w:rPr>
        <w:t>–</w:t>
      </w:r>
      <w:r w:rsidR="00DC5830">
        <w:rPr>
          <w:rFonts w:ascii="Arial" w:hAnsi="Arial" w:eastAsia="Calibri" w:cs="Arial"/>
          <w:b/>
          <w:bCs/>
          <w:sz w:val="22"/>
        </w:rPr>
        <w:t xml:space="preserve"> </w:t>
      </w:r>
      <w:r>
        <w:rPr>
          <w:rFonts w:ascii="Arial" w:hAnsi="Arial" w:eastAsia="Calibri" w:cs="Arial"/>
          <w:b/>
          <w:bCs/>
          <w:sz w:val="22"/>
        </w:rPr>
        <w:t>Topes</w:t>
      </w:r>
    </w:p>
    <w:p w:rsidR="00DC5830" w:rsidP="00DC5830" w:rsidRDefault="00DC5830" w14:paraId="42E061AF" w14:textId="77777777">
      <w:pPr>
        <w:tabs>
          <w:tab w:val="left" w:pos="709"/>
        </w:tabs>
        <w:jc w:val="both"/>
        <w:rPr>
          <w:rFonts w:ascii="Arial" w:hAnsi="Arial" w:eastAsia="Arial" w:cs="Arial"/>
          <w:sz w:val="20"/>
          <w:szCs w:val="20"/>
        </w:rPr>
      </w:pPr>
    </w:p>
    <w:p w:rsidRPr="00A87BDF" w:rsidR="00A87BDF" w:rsidP="00DC5830" w:rsidRDefault="00A87BDF" w14:paraId="2A51F3A9" w14:textId="3BCD025C">
      <w:pPr>
        <w:tabs>
          <w:tab w:val="left" w:pos="709"/>
        </w:tabs>
        <w:spacing w:after="120"/>
        <w:jc w:val="both"/>
        <w:rPr>
          <w:rFonts w:ascii="Arial" w:hAnsi="Arial" w:eastAsia="Arial" w:cs="Arial"/>
          <w:sz w:val="20"/>
          <w:szCs w:val="20"/>
        </w:rPr>
      </w:pPr>
      <w:r>
        <w:rPr>
          <w:rFonts w:ascii="Arial" w:hAnsi="Arial" w:eastAsia="Arial" w:cs="Arial"/>
          <w:sz w:val="20"/>
          <w:szCs w:val="20"/>
        </w:rPr>
        <w:t>E</w:t>
      </w:r>
      <w:r w:rsidRPr="00A87BDF">
        <w:rPr>
          <w:rFonts w:ascii="Arial" w:hAnsi="Arial" w:eastAsia="Arial" w:cs="Arial"/>
          <w:sz w:val="20"/>
          <w:szCs w:val="20"/>
        </w:rPr>
        <w:t xml:space="preserve">l numeral 4.2.4 del documento base de los documentos tipo de licitación pública de infraestructura de trasporte –versión 2–, así como el mismo numeral de los documentos tipo de selección abreviada de menor cuantía de infraestructura de transporte, adoptados mediante las Resoluciones Nos. 044 y 045 de 2020, fue modificado por medio de la Resolución No. 116 del 21 de julio de 2020, todas proferidas por la Agencia Nacional de Contratación Pública – Colombia Compra Eficiente. </w:t>
      </w:r>
    </w:p>
    <w:p w:rsidRPr="00A87BDF" w:rsidR="00A87BDF" w:rsidP="00DC5830" w:rsidRDefault="00A87BDF" w14:paraId="5664108E" w14:textId="7C9F9B27">
      <w:pPr>
        <w:spacing w:after="120"/>
        <w:jc w:val="both"/>
        <w:rPr>
          <w:rFonts w:ascii="Arial" w:hAnsi="Arial" w:eastAsia="Arial" w:cs="Arial"/>
          <w:sz w:val="20"/>
          <w:szCs w:val="20"/>
        </w:rPr>
      </w:pPr>
      <w:r w:rsidRPr="00A87BDF">
        <w:rPr>
          <w:rFonts w:ascii="Arial" w:hAnsi="Arial" w:eastAsia="Arial" w:cs="Arial"/>
          <w:sz w:val="20"/>
          <w:szCs w:val="20"/>
        </w:rPr>
        <w:t>En términos generales, la resolución se dispuso que e</w:t>
      </w:r>
      <w:r w:rsidRPr="00A87BDF">
        <w:rPr>
          <w:rFonts w:ascii="Arial" w:hAnsi="Arial" w:eastAsia="Arial" w:cs="Arial"/>
          <w:sz w:val="20"/>
          <w:szCs w:val="20"/>
          <w:lang w:val="es-CO"/>
        </w:rPr>
        <w:t xml:space="preserve">l ofrecimiento del proponente sobre la «garantía suplementaria o adicional» no podrá superar </w:t>
      </w:r>
      <w:r w:rsidRPr="00A87BDF">
        <w:rPr>
          <w:rFonts w:ascii="Arial" w:hAnsi="Arial" w:eastAsia="Arial" w:cs="Arial"/>
          <w:sz w:val="20"/>
          <w:szCs w:val="20"/>
        </w:rPr>
        <w:t>el «[…] valor porcentual máximo entre el siguiente rango: entre el 30% y el 50% del plazo establecido por la entidad para la garantía de estabilidad y calidad de la obra […]», valor porcentual que fija libremente la autoridad contratante dentro de este rango</w:t>
      </w:r>
    </w:p>
    <w:p w:rsidRPr="00A87BDF" w:rsidR="00A87BDF" w:rsidP="00DC5830" w:rsidRDefault="00A87BDF" w14:paraId="0FE71AAB" w14:textId="77777777">
      <w:pPr>
        <w:spacing w:after="120"/>
        <w:jc w:val="both"/>
        <w:rPr>
          <w:rFonts w:ascii="Arial" w:hAnsi="Arial" w:eastAsia="Arial" w:cs="Arial"/>
          <w:sz w:val="20"/>
          <w:szCs w:val="20"/>
        </w:rPr>
      </w:pPr>
      <w:r w:rsidRPr="00A87BDF">
        <w:rPr>
          <w:rFonts w:ascii="Arial" w:hAnsi="Arial" w:eastAsia="Arial" w:cs="Arial"/>
          <w:sz w:val="20"/>
          <w:szCs w:val="20"/>
        </w:rPr>
        <w:t xml:space="preserve">Como se observa, las entidades, a partir de la Resolución No. 116 de 2020, pueden fijar discrecionalmente un número de meses que den lugar a otorgar el puntaje por mantenimiento adicional, y no dependerá exclusivamente del proponente ofertar el tiempo de garantía suplementaria que está en capacidad de ofrecer, lo cual reduce el riesgo de direccionamiento, fomenta la competencia e incrementa las condiciones de calidad para la entidad. </w:t>
      </w:r>
    </w:p>
    <w:p w:rsidR="00A87BDF" w:rsidP="00E00C63" w:rsidRDefault="00A87BDF" w14:paraId="106C6B02" w14:textId="77777777">
      <w:pPr>
        <w:jc w:val="both"/>
        <w:rPr>
          <w:rFonts w:ascii="Arial" w:hAnsi="Arial" w:eastAsia="Calibri" w:cs="Arial"/>
          <w:b/>
          <w:bCs/>
          <w:sz w:val="22"/>
        </w:rPr>
      </w:pPr>
    </w:p>
    <w:p w:rsidRPr="00A8162E" w:rsidR="00E00C63" w:rsidP="00E00C63" w:rsidRDefault="00E00C63" w14:paraId="3C51A2C5" w14:textId="07CA9B34">
      <w:pPr>
        <w:jc w:val="both"/>
        <w:rPr>
          <w:rFonts w:ascii="Arial" w:hAnsi="Arial" w:eastAsia="Calibri" w:cs="Arial"/>
          <w:b/>
          <w:bCs/>
          <w:sz w:val="22"/>
        </w:rPr>
      </w:pPr>
      <w:r w:rsidRPr="00A8162E">
        <w:rPr>
          <w:rFonts w:ascii="Arial" w:hAnsi="Arial" w:eastAsia="Calibri" w:cs="Arial"/>
          <w:b/>
          <w:bCs/>
          <w:sz w:val="22"/>
        </w:rPr>
        <w:t>FACTOR DE CALIDAD – Garantía adicional – Aseguradora</w:t>
      </w:r>
    </w:p>
    <w:p w:rsidRPr="00A8162E" w:rsidR="00DB2411" w:rsidP="00E00C63" w:rsidRDefault="00DB2411" w14:paraId="04C12DF2" w14:textId="020C550A">
      <w:pPr>
        <w:jc w:val="both"/>
        <w:rPr>
          <w:rFonts w:ascii="Arial" w:hAnsi="Arial" w:eastAsia="Calibri" w:cs="Arial"/>
          <w:b/>
          <w:bCs/>
          <w:sz w:val="22"/>
        </w:rPr>
      </w:pPr>
    </w:p>
    <w:p w:rsidRPr="00A8162E" w:rsidR="00DB2411" w:rsidP="00E00C63" w:rsidRDefault="00034457" w14:paraId="2E2715FC" w14:textId="6C397550">
      <w:pPr>
        <w:jc w:val="both"/>
        <w:rPr>
          <w:rFonts w:ascii="Arial" w:hAnsi="Arial" w:eastAsia="Calibri" w:cs="Arial"/>
          <w:sz w:val="20"/>
          <w:szCs w:val="20"/>
        </w:rPr>
      </w:pPr>
      <w:r w:rsidRPr="00A8162E">
        <w:rPr>
          <w:rFonts w:ascii="Arial" w:hAnsi="Arial" w:eastAsia="Calibri" w:cs="Arial"/>
          <w:sz w:val="20"/>
          <w:szCs w:val="20"/>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sidRPr="00A8162E" w:rsidR="00A8162E">
        <w:rPr>
          <w:rFonts w:ascii="Arial" w:hAnsi="Arial" w:eastAsia="Calibri" w:cs="Arial"/>
          <w:sz w:val="20"/>
          <w:szCs w:val="20"/>
        </w:rPr>
        <w:t>.</w:t>
      </w:r>
    </w:p>
    <w:p w:rsidRPr="00A87BDF" w:rsidR="00851D31" w:rsidP="00DB7F1C" w:rsidRDefault="00851D31" w14:paraId="1C227EE7" w14:textId="77777777">
      <w:pPr>
        <w:jc w:val="both"/>
        <w:rPr>
          <w:rFonts w:ascii="Arial" w:hAnsi="Arial" w:cs="Arial"/>
          <w:b/>
          <w:bCs/>
          <w:sz w:val="22"/>
        </w:rPr>
      </w:pPr>
    </w:p>
    <w:p w:rsidRPr="00A87BDF" w:rsidR="005A79FE" w:rsidP="005A79FE" w:rsidRDefault="005A79FE" w14:paraId="03A6A537" w14:textId="77777777">
      <w:pPr>
        <w:rPr>
          <w:rFonts w:ascii="Arial" w:hAnsi="Arial" w:cs="Arial"/>
          <w:sz w:val="22"/>
        </w:rPr>
      </w:pPr>
    </w:p>
    <w:p w:rsidR="125B6D2D" w:rsidP="1FA8BFB7" w:rsidRDefault="125B6D2D" w14:paraId="6E84DCA5" w14:textId="7CDB6E4D">
      <w:pPr>
        <w:pStyle w:val="Normal"/>
        <w:rPr>
          <w:rFonts w:ascii="Arial" w:hAnsi="Arial" w:eastAsia="Arial" w:cs="Arial"/>
          <w:b w:val="1"/>
          <w:bCs w:val="1"/>
          <w:noProof w:val="0"/>
          <w:sz w:val="22"/>
          <w:szCs w:val="22"/>
          <w:lang w:val="es-MX"/>
        </w:rPr>
      </w:pPr>
      <w:r w:rsidRPr="1FA8BFB7" w:rsidR="125B6D2D">
        <w:rPr>
          <w:rFonts w:ascii="Arial" w:hAnsi="Arial" w:eastAsia="Arial" w:cs="Arial"/>
          <w:b w:val="1"/>
          <w:bCs w:val="1"/>
          <w:noProof w:val="0"/>
          <w:sz w:val="22"/>
          <w:szCs w:val="22"/>
          <w:lang w:val="es-MX"/>
        </w:rPr>
        <w:t>Bogotá D.C., 20/10/2020 Hora 17:18:43s</w:t>
      </w:r>
    </w:p>
    <w:p w:rsidRPr="00A8162E" w:rsidR="00DF3E8E" w:rsidP="00DF3E8E" w:rsidRDefault="00DF3E8E" w14:paraId="245BAA6C" w14:textId="77777777">
      <w:pPr>
        <w:jc w:val="right"/>
        <w:rPr>
          <w:rFonts w:ascii="Arial" w:hAnsi="Arial" w:eastAsia="Calibri" w:cs="Arial"/>
          <w:b/>
          <w:sz w:val="22"/>
          <w:szCs w:val="20"/>
        </w:rPr>
      </w:pPr>
    </w:p>
    <w:p w:rsidR="125B6D2D" w:rsidP="1FA8BFB7" w:rsidRDefault="125B6D2D" w14:paraId="0427248B" w14:textId="22F7C017">
      <w:pPr>
        <w:pStyle w:val="Normal"/>
        <w:jc w:val="right"/>
        <w:rPr>
          <w:rFonts w:ascii="Arial" w:hAnsi="Arial" w:eastAsia="Arial" w:cs="Arial"/>
          <w:b w:val="1"/>
          <w:bCs w:val="1"/>
          <w:noProof w:val="0"/>
          <w:sz w:val="22"/>
          <w:szCs w:val="22"/>
          <w:lang w:val="es-MX"/>
        </w:rPr>
      </w:pPr>
      <w:proofErr w:type="spellStart"/>
      <w:r w:rsidRPr="1FA8BFB7" w:rsidR="125B6D2D">
        <w:rPr>
          <w:rFonts w:ascii="Arial" w:hAnsi="Arial" w:eastAsia="Arial" w:cs="Arial"/>
          <w:b w:val="1"/>
          <w:bCs w:val="1"/>
          <w:noProof w:val="0"/>
          <w:sz w:val="22"/>
          <w:szCs w:val="22"/>
          <w:lang w:val="es-MX"/>
        </w:rPr>
        <w:t>N°</w:t>
      </w:r>
      <w:proofErr w:type="spellEnd"/>
      <w:r w:rsidRPr="1FA8BFB7" w:rsidR="125B6D2D">
        <w:rPr>
          <w:rFonts w:ascii="Arial" w:hAnsi="Arial" w:eastAsia="Arial" w:cs="Arial"/>
          <w:b w:val="1"/>
          <w:bCs w:val="1"/>
          <w:noProof w:val="0"/>
          <w:sz w:val="22"/>
          <w:szCs w:val="22"/>
          <w:lang w:val="es-MX"/>
        </w:rPr>
        <w:t xml:space="preserve"> Radicado: 2202013000010308</w:t>
      </w:r>
    </w:p>
    <w:p w:rsidRPr="00A87BDF" w:rsidR="001E189C" w:rsidP="00DF3E8E" w:rsidRDefault="001E189C" w14:paraId="75EFEFC3" w14:textId="10CE0E4B">
      <w:pPr>
        <w:jc w:val="right"/>
        <w:rPr>
          <w:rFonts w:ascii="Arial" w:hAnsi="Arial" w:eastAsia="Calibri" w:cs="Arial"/>
          <w:b/>
          <w:sz w:val="22"/>
        </w:rPr>
      </w:pPr>
    </w:p>
    <w:p w:rsidRPr="00A87BDF" w:rsidR="001E189C" w:rsidP="00DF3E8E" w:rsidRDefault="001E189C" w14:paraId="4C070FDD" w14:textId="77777777">
      <w:pPr>
        <w:jc w:val="right"/>
        <w:rPr>
          <w:rFonts w:ascii="Arial" w:hAnsi="Arial" w:eastAsia="Calibri" w:cs="Arial"/>
          <w:sz w:val="22"/>
        </w:rPr>
      </w:pPr>
    </w:p>
    <w:p w:rsidRPr="00A8162E" w:rsidR="005A79FE" w:rsidP="005A79FE" w:rsidRDefault="005A79FE" w14:paraId="7FDA027E" w14:textId="3F242EBE">
      <w:pPr>
        <w:rPr>
          <w:rFonts w:ascii="Arial" w:hAnsi="Arial" w:eastAsia="Calibri" w:cs="Arial"/>
          <w:sz w:val="22"/>
        </w:rPr>
      </w:pPr>
      <w:r w:rsidRPr="00A8162E">
        <w:rPr>
          <w:rFonts w:ascii="Arial" w:hAnsi="Arial" w:eastAsia="Calibri" w:cs="Arial"/>
          <w:sz w:val="22"/>
        </w:rPr>
        <w:t>Señor</w:t>
      </w:r>
    </w:p>
    <w:p w:rsidRPr="00A8162E" w:rsidR="00DF3E8E" w:rsidP="005A79FE" w:rsidRDefault="00DF3E8E" w14:paraId="5EDC0F14" w14:textId="334B3F88">
      <w:pPr>
        <w:rPr>
          <w:rFonts w:ascii="Arial" w:hAnsi="Arial" w:eastAsia="Calibri" w:cs="Arial"/>
          <w:b/>
          <w:bCs/>
          <w:sz w:val="22"/>
        </w:rPr>
      </w:pPr>
      <w:r w:rsidRPr="00A8162E">
        <w:rPr>
          <w:rFonts w:ascii="Arial" w:hAnsi="Arial" w:eastAsia="Calibri" w:cs="Arial"/>
          <w:b/>
          <w:bCs/>
          <w:sz w:val="22"/>
        </w:rPr>
        <w:t xml:space="preserve">José Luis Suarez </w:t>
      </w:r>
    </w:p>
    <w:p w:rsidRPr="00A8162E" w:rsidR="005A79FE" w:rsidP="005A79FE" w:rsidRDefault="00DF3E8E" w14:paraId="699E9CB9" w14:textId="37DB6BD1">
      <w:pPr>
        <w:rPr>
          <w:rFonts w:ascii="Arial" w:hAnsi="Arial" w:eastAsia="Calibri" w:cs="Arial"/>
          <w:sz w:val="22"/>
        </w:rPr>
      </w:pPr>
      <w:r w:rsidRPr="00A8162E">
        <w:rPr>
          <w:rFonts w:ascii="Arial" w:hAnsi="Arial" w:eastAsia="Calibri" w:cs="Arial"/>
          <w:sz w:val="22"/>
        </w:rPr>
        <w:t>Bucaramanga, Santander</w:t>
      </w:r>
    </w:p>
    <w:p w:rsidRPr="00A8162E" w:rsidR="00CE6845" w:rsidP="00CE6845" w:rsidRDefault="00CE6845" w14:paraId="6AA2550F" w14:textId="77777777">
      <w:pPr>
        <w:rPr>
          <w:rFonts w:ascii="Arial" w:hAnsi="Arial" w:eastAsia="Calibri" w:cs="Arial"/>
          <w:b/>
          <w:sz w:val="22"/>
        </w:rPr>
      </w:pPr>
      <w:r w:rsidRPr="00A8162E">
        <w:rPr>
          <w:rFonts w:ascii="Arial" w:hAnsi="Arial" w:eastAsia="Calibri" w:cs="Arial"/>
          <w:b/>
          <w:sz w:val="22"/>
        </w:rPr>
        <w:lastRenderedPageBreak/>
        <w:t xml:space="preserve">                                            </w:t>
      </w:r>
    </w:p>
    <w:p w:rsidR="00CE6845" w:rsidP="00CE6845" w:rsidRDefault="00CE6845" w14:paraId="2C4BA5DD" w14:textId="7446ECDB">
      <w:pPr>
        <w:rPr>
          <w:rFonts w:ascii="Arial" w:hAnsi="Arial" w:eastAsia="Calibri" w:cs="Arial"/>
          <w:b/>
          <w:sz w:val="22"/>
        </w:rPr>
      </w:pPr>
    </w:p>
    <w:p w:rsidRPr="00A8162E" w:rsidR="001E189C" w:rsidP="00CE6845" w:rsidRDefault="001E189C" w14:paraId="5FF99327" w14:textId="77777777">
      <w:pPr>
        <w:rPr>
          <w:rFonts w:ascii="Arial" w:hAnsi="Arial" w:eastAsia="Calibri" w:cs="Arial"/>
          <w:b/>
          <w:sz w:val="22"/>
        </w:rPr>
      </w:pPr>
    </w:p>
    <w:p w:rsidRPr="00A8162E" w:rsidR="005A79FE" w:rsidP="00034457" w:rsidRDefault="00CE6845" w14:paraId="04EF5647" w14:textId="3D668CDB">
      <w:pPr>
        <w:rPr>
          <w:rFonts w:ascii="Arial" w:hAnsi="Arial" w:eastAsia="Calibri" w:cs="Arial"/>
          <w:b/>
          <w:sz w:val="22"/>
        </w:rPr>
      </w:pPr>
      <w:r w:rsidRPr="00A8162E">
        <w:rPr>
          <w:rFonts w:ascii="Arial" w:hAnsi="Arial" w:eastAsia="Calibri" w:cs="Arial"/>
          <w:b/>
          <w:sz w:val="22"/>
        </w:rPr>
        <w:t xml:space="preserve">                                            </w:t>
      </w:r>
      <w:r w:rsidRPr="00A8162E" w:rsidR="005A79FE">
        <w:rPr>
          <w:rFonts w:ascii="Arial" w:hAnsi="Arial" w:eastAsia="Calibri" w:cs="Arial"/>
          <w:b/>
          <w:sz w:val="22"/>
        </w:rPr>
        <w:t xml:space="preserve">Concepto C </w:t>
      </w:r>
      <w:r w:rsidRPr="00A8162E" w:rsidR="00660E94">
        <w:rPr>
          <w:rFonts w:ascii="Arial" w:hAnsi="Arial" w:eastAsia="Calibri" w:cs="Arial"/>
          <w:b/>
          <w:sz w:val="22"/>
        </w:rPr>
        <w:t>–</w:t>
      </w:r>
      <w:r w:rsidRPr="00A8162E" w:rsidR="005A79FE">
        <w:rPr>
          <w:rFonts w:ascii="Arial" w:hAnsi="Arial" w:eastAsia="Calibri" w:cs="Arial"/>
          <w:b/>
          <w:sz w:val="22"/>
        </w:rPr>
        <w:t xml:space="preserve"> </w:t>
      </w:r>
      <w:r w:rsidRPr="00A87BDF" w:rsidR="001E189C">
        <w:rPr>
          <w:rFonts w:ascii="Arial" w:hAnsi="Arial" w:eastAsia="Calibri" w:cs="Arial"/>
          <w:b/>
          <w:sz w:val="22"/>
        </w:rPr>
        <w:t>632</w:t>
      </w:r>
      <w:r w:rsidRPr="00A8162E" w:rsidR="00B2346F">
        <w:rPr>
          <w:rFonts w:ascii="Arial" w:hAnsi="Arial" w:eastAsia="Calibri" w:cs="Arial"/>
          <w:b/>
          <w:sz w:val="22"/>
        </w:rPr>
        <w:t xml:space="preserve"> </w:t>
      </w:r>
      <w:r w:rsidRPr="00A8162E" w:rsidR="005A79FE">
        <w:rPr>
          <w:rFonts w:ascii="Arial" w:hAnsi="Arial" w:eastAsia="Calibri" w:cs="Arial"/>
          <w:b/>
          <w:sz w:val="22"/>
        </w:rPr>
        <w:t>de 2020</w:t>
      </w:r>
    </w:p>
    <w:p w:rsidRPr="00A8162E" w:rsidR="005A79FE" w:rsidP="005A79FE" w:rsidRDefault="005A79FE" w14:paraId="6CCD98F0"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A8162E" w:rsidR="00A8162E" w:rsidTr="006A117B" w14:paraId="21699201" w14:textId="77777777">
        <w:tc>
          <w:tcPr>
            <w:tcW w:w="2689" w:type="dxa"/>
            <w:hideMark/>
          </w:tcPr>
          <w:p w:rsidRPr="00A8162E" w:rsidR="005A79FE" w:rsidP="006A117B" w:rsidRDefault="005A79FE" w14:paraId="26712367" w14:textId="77777777">
            <w:pPr>
              <w:rPr>
                <w:rFonts w:ascii="Arial" w:hAnsi="Arial" w:eastAsia="Calibri" w:cs="Arial"/>
                <w:sz w:val="22"/>
              </w:rPr>
            </w:pPr>
            <w:r w:rsidRPr="00A8162E">
              <w:rPr>
                <w:rFonts w:ascii="Arial" w:hAnsi="Arial" w:eastAsia="Calibri" w:cs="Arial"/>
                <w:b/>
                <w:sz w:val="22"/>
              </w:rPr>
              <w:t>Temas:</w:t>
            </w:r>
            <w:r w:rsidRPr="00A8162E">
              <w:rPr>
                <w:rFonts w:ascii="Arial" w:hAnsi="Arial" w:eastAsia="Calibri" w:cs="Arial"/>
                <w:sz w:val="22"/>
              </w:rPr>
              <w:t xml:space="preserve">           </w:t>
            </w:r>
          </w:p>
          <w:p w:rsidRPr="00A8162E" w:rsidR="005A79FE" w:rsidP="006A117B" w:rsidRDefault="005A79FE" w14:paraId="5D67F5C4" w14:textId="77777777">
            <w:pPr>
              <w:rPr>
                <w:rFonts w:ascii="Arial" w:hAnsi="Arial" w:eastAsia="Calibri" w:cs="Arial"/>
                <w:sz w:val="22"/>
              </w:rPr>
            </w:pPr>
            <w:r w:rsidRPr="00A8162E">
              <w:rPr>
                <w:rFonts w:ascii="Arial" w:hAnsi="Arial" w:eastAsia="Calibri" w:cs="Arial"/>
                <w:sz w:val="22"/>
              </w:rPr>
              <w:t xml:space="preserve">                           </w:t>
            </w:r>
          </w:p>
        </w:tc>
        <w:tc>
          <w:tcPr>
            <w:tcW w:w="6237" w:type="dxa"/>
            <w:hideMark/>
          </w:tcPr>
          <w:p w:rsidRPr="00A8162E" w:rsidR="005A79FE" w:rsidP="00034457" w:rsidRDefault="00A87BDF" w14:paraId="784C47C0" w14:textId="0B715AF0">
            <w:pPr>
              <w:spacing w:after="120"/>
              <w:jc w:val="both"/>
            </w:pPr>
            <w:r w:rsidRPr="00A87BDF">
              <w:rPr>
                <w:rFonts w:ascii="Arial" w:hAnsi="Arial" w:eastAsia="Calibri" w:cs="Arial"/>
                <w:sz w:val="22"/>
              </w:rPr>
              <w:t>FACTOR DE CALIDAD – Garantía adicional – Noción</w:t>
            </w:r>
            <w:r w:rsidRPr="00A87BDF">
              <w:rPr>
                <w:rFonts w:ascii="Arial" w:hAnsi="Arial" w:eastAsia="Calibri" w:cs="Arial"/>
                <w:sz w:val="22"/>
              </w:rPr>
              <w:t xml:space="preserve"> </w:t>
            </w:r>
            <w:r w:rsidR="00DC5830">
              <w:rPr>
                <w:rFonts w:ascii="Arial" w:hAnsi="Arial" w:eastAsia="Calibri" w:cs="Arial"/>
                <w:sz w:val="22"/>
              </w:rPr>
              <w:t xml:space="preserve">/ </w:t>
            </w:r>
            <w:r w:rsidRPr="00DC5830" w:rsidR="00DC5830">
              <w:rPr>
                <w:rFonts w:ascii="Arial" w:hAnsi="Arial" w:eastAsia="Calibri" w:cs="Arial"/>
                <w:sz w:val="22"/>
              </w:rPr>
              <w:t>FACTOR DE CALIDAD – Garantía adicional – Resolución No. 116 de 220 – Topes</w:t>
            </w:r>
            <w:r w:rsidR="00DC5830">
              <w:rPr>
                <w:rFonts w:ascii="Arial" w:hAnsi="Arial" w:eastAsia="Calibri" w:cs="Arial"/>
                <w:sz w:val="22"/>
              </w:rPr>
              <w:t xml:space="preserve"> / </w:t>
            </w:r>
            <w:r w:rsidRPr="00A8162E" w:rsidR="00A8162E">
              <w:rPr>
                <w:rFonts w:ascii="Arial" w:hAnsi="Arial" w:eastAsia="Calibri" w:cs="Arial"/>
                <w:sz w:val="22"/>
              </w:rPr>
              <w:t>FACTOR DE CALIDAD – Garantía adicional – Aseguradora</w:t>
            </w:r>
          </w:p>
        </w:tc>
      </w:tr>
      <w:tr w:rsidRPr="00A8162E" w:rsidR="005A79FE" w:rsidTr="006A117B" w14:paraId="7C0A7D18" w14:textId="77777777">
        <w:tc>
          <w:tcPr>
            <w:tcW w:w="2689" w:type="dxa"/>
          </w:tcPr>
          <w:p w:rsidRPr="00A8162E" w:rsidR="005A79FE" w:rsidP="006A117B" w:rsidRDefault="005A79FE" w14:paraId="6A12F093" w14:textId="77777777">
            <w:pPr>
              <w:rPr>
                <w:rFonts w:ascii="Arial" w:hAnsi="Arial" w:eastAsia="Calibri" w:cs="Arial"/>
                <w:b/>
                <w:sz w:val="22"/>
              </w:rPr>
            </w:pPr>
            <w:r w:rsidRPr="00A8162E">
              <w:rPr>
                <w:rFonts w:ascii="Arial" w:hAnsi="Arial" w:eastAsia="Calibri" w:cs="Arial"/>
                <w:b/>
                <w:sz w:val="22"/>
              </w:rPr>
              <w:t>Radicación:</w:t>
            </w:r>
            <w:r w:rsidRPr="00A8162E">
              <w:rPr>
                <w:rFonts w:ascii="Arial" w:hAnsi="Arial" w:eastAsia="Calibri" w:cs="Arial"/>
                <w:sz w:val="22"/>
              </w:rPr>
              <w:t xml:space="preserve">                              </w:t>
            </w:r>
          </w:p>
        </w:tc>
        <w:tc>
          <w:tcPr>
            <w:tcW w:w="6237" w:type="dxa"/>
          </w:tcPr>
          <w:p w:rsidRPr="00A8162E" w:rsidR="005A79FE" w:rsidP="006A117B" w:rsidRDefault="005A79FE" w14:paraId="73A42ACA" w14:textId="1AC6C168">
            <w:pPr>
              <w:jc w:val="both"/>
              <w:rPr>
                <w:rFonts w:ascii="Arial" w:hAnsi="Arial" w:eastAsia="Calibri" w:cs="Arial"/>
                <w:sz w:val="22"/>
              </w:rPr>
            </w:pPr>
            <w:r w:rsidRPr="00A8162E">
              <w:rPr>
                <w:rFonts w:ascii="Arial" w:hAnsi="Arial" w:eastAsia="Calibri" w:cs="Arial"/>
                <w:sz w:val="22"/>
              </w:rPr>
              <w:t xml:space="preserve">Respuesta a consulta # </w:t>
            </w:r>
            <w:r w:rsidRPr="00A8162E" w:rsidR="00DF3E8E">
              <w:rPr>
                <w:rFonts w:ascii="Arial" w:hAnsi="Arial" w:eastAsia="Calibri" w:cs="Arial"/>
                <w:sz w:val="22"/>
              </w:rPr>
              <w:t>4202013000008103</w:t>
            </w:r>
          </w:p>
        </w:tc>
      </w:tr>
    </w:tbl>
    <w:p w:rsidRPr="00A8162E" w:rsidR="005A79FE" w:rsidP="005A79FE" w:rsidRDefault="005A79FE" w14:paraId="396DE958" w14:textId="77777777">
      <w:pPr>
        <w:jc w:val="both"/>
        <w:rPr>
          <w:rFonts w:ascii="Arial" w:hAnsi="Arial" w:eastAsia="Calibri" w:cs="Arial"/>
          <w:sz w:val="22"/>
        </w:rPr>
      </w:pPr>
    </w:p>
    <w:p w:rsidRPr="00A8162E" w:rsidR="005A79FE" w:rsidP="005A79FE" w:rsidRDefault="005A79FE" w14:paraId="489DB6E6" w14:textId="77777777">
      <w:pPr>
        <w:rPr>
          <w:rFonts w:ascii="Arial" w:hAnsi="Arial" w:eastAsia="Calibri" w:cs="Arial"/>
          <w:sz w:val="22"/>
        </w:rPr>
      </w:pPr>
    </w:p>
    <w:p w:rsidRPr="00A8162E" w:rsidR="005A79FE" w:rsidP="005A79FE" w:rsidRDefault="005A79FE" w14:paraId="657E7EE7" w14:textId="01A43F74">
      <w:pPr>
        <w:rPr>
          <w:rFonts w:ascii="Arial" w:hAnsi="Arial" w:eastAsia="Calibri" w:cs="Arial"/>
          <w:sz w:val="22"/>
        </w:rPr>
      </w:pPr>
      <w:r w:rsidRPr="00A8162E">
        <w:rPr>
          <w:rFonts w:ascii="Arial" w:hAnsi="Arial" w:eastAsia="Calibri" w:cs="Arial"/>
          <w:sz w:val="22"/>
        </w:rPr>
        <w:t>Estimad</w:t>
      </w:r>
      <w:r w:rsidRPr="00A8162E" w:rsidR="00DF3E8E">
        <w:rPr>
          <w:rFonts w:ascii="Arial" w:hAnsi="Arial" w:eastAsia="Calibri" w:cs="Arial"/>
          <w:sz w:val="22"/>
        </w:rPr>
        <w:t>o</w:t>
      </w:r>
      <w:r w:rsidRPr="00A8162E">
        <w:rPr>
          <w:rFonts w:ascii="Arial" w:hAnsi="Arial" w:eastAsia="Calibri" w:cs="Arial"/>
          <w:sz w:val="22"/>
        </w:rPr>
        <w:t xml:space="preserve"> señor</w:t>
      </w:r>
      <w:r w:rsidRPr="00A8162E" w:rsidR="00621CB1">
        <w:rPr>
          <w:rFonts w:ascii="Arial" w:hAnsi="Arial" w:eastAsia="Calibri" w:cs="Arial"/>
          <w:sz w:val="22"/>
        </w:rPr>
        <w:t xml:space="preserve"> </w:t>
      </w:r>
      <w:r w:rsidRPr="00A8162E" w:rsidR="00DF3E8E">
        <w:rPr>
          <w:rFonts w:ascii="Arial" w:hAnsi="Arial" w:eastAsia="Calibri" w:cs="Arial"/>
          <w:sz w:val="22"/>
        </w:rPr>
        <w:t>Suarez</w:t>
      </w:r>
      <w:r w:rsidRPr="00A8162E">
        <w:rPr>
          <w:rFonts w:ascii="Arial" w:hAnsi="Arial" w:eastAsia="Calibri" w:cs="Arial"/>
          <w:sz w:val="22"/>
        </w:rPr>
        <w:t>,</w:t>
      </w:r>
    </w:p>
    <w:p w:rsidRPr="00A8162E" w:rsidR="005A79FE" w:rsidP="005A79FE" w:rsidRDefault="005A79FE" w14:paraId="40D74C98" w14:textId="77777777">
      <w:pPr>
        <w:rPr>
          <w:rFonts w:ascii="Arial" w:hAnsi="Arial" w:eastAsia="Calibri" w:cs="Arial"/>
          <w:sz w:val="22"/>
        </w:rPr>
      </w:pPr>
    </w:p>
    <w:p w:rsidRPr="00A8162E" w:rsidR="005A79FE" w:rsidP="005A79FE" w:rsidRDefault="008648E3" w14:paraId="1EA2338B" w14:textId="55D9B476">
      <w:pPr>
        <w:spacing w:line="276" w:lineRule="auto"/>
        <w:ind w:right="49"/>
        <w:jc w:val="both"/>
        <w:rPr>
          <w:rFonts w:ascii="Arial" w:hAnsi="Arial" w:eastAsia="Calibri" w:cs="Arial"/>
          <w:sz w:val="22"/>
        </w:rPr>
      </w:pPr>
      <w:r w:rsidRPr="00A8162E">
        <w:rPr>
          <w:rFonts w:ascii="Arial" w:hAnsi="Arial" w:eastAsia="Calibri" w:cs="Arial"/>
          <w:sz w:val="22"/>
        </w:rPr>
        <w:t xml:space="preserve">En ejercicio de la competencia otorgada por los artículos 11, numeral 8º, y 3º, numeral 5º, del Decreto Ley 4170 de 2011, la Agencia Nacional de Contratación Pública − Colombia Compra Eficiente responde su consulta del </w:t>
      </w:r>
      <w:r w:rsidRPr="00A8162E" w:rsidR="00DF3E8E">
        <w:rPr>
          <w:rFonts w:ascii="Arial" w:hAnsi="Arial" w:eastAsia="Calibri" w:cs="Arial"/>
          <w:sz w:val="22"/>
        </w:rPr>
        <w:t>15</w:t>
      </w:r>
      <w:r w:rsidRPr="00A8162E">
        <w:rPr>
          <w:rFonts w:ascii="Arial" w:hAnsi="Arial" w:eastAsia="Calibri" w:cs="Arial"/>
          <w:sz w:val="22"/>
        </w:rPr>
        <w:t xml:space="preserve"> de </w:t>
      </w:r>
      <w:r w:rsidRPr="00A8162E" w:rsidR="00DF3E8E">
        <w:rPr>
          <w:rFonts w:ascii="Arial" w:hAnsi="Arial" w:eastAsia="Calibri" w:cs="Arial"/>
          <w:sz w:val="22"/>
        </w:rPr>
        <w:t>septiembre</w:t>
      </w:r>
      <w:r w:rsidRPr="00A8162E">
        <w:rPr>
          <w:rFonts w:ascii="Arial" w:hAnsi="Arial" w:eastAsia="Calibri" w:cs="Arial"/>
          <w:sz w:val="22"/>
        </w:rPr>
        <w:t xml:space="preserve"> de 2020. </w:t>
      </w:r>
    </w:p>
    <w:p w:rsidRPr="00A8162E" w:rsidR="005A79FE" w:rsidP="005A79FE" w:rsidRDefault="005A79FE" w14:paraId="4FA02A8B" w14:textId="77777777">
      <w:pPr>
        <w:spacing w:line="276" w:lineRule="auto"/>
        <w:jc w:val="both"/>
        <w:rPr>
          <w:rFonts w:ascii="Arial" w:hAnsi="Arial" w:eastAsia="Calibri" w:cs="Arial"/>
          <w:sz w:val="22"/>
        </w:rPr>
      </w:pPr>
    </w:p>
    <w:p w:rsidRPr="00A8162E" w:rsidR="005A79FE" w:rsidP="005A79FE" w:rsidRDefault="005A79FE" w14:paraId="4E8D0889" w14:textId="77777777">
      <w:pPr>
        <w:pStyle w:val="Prrafodelista"/>
        <w:numPr>
          <w:ilvl w:val="0"/>
          <w:numId w:val="6"/>
        </w:numPr>
        <w:tabs>
          <w:tab w:val="left" w:pos="284"/>
        </w:tabs>
        <w:spacing w:line="276" w:lineRule="auto"/>
        <w:ind w:left="0" w:firstLine="0"/>
        <w:jc w:val="both"/>
        <w:rPr>
          <w:rFonts w:ascii="Arial" w:hAnsi="Arial" w:eastAsia="Calibri" w:cs="Arial"/>
          <w:b/>
          <w:sz w:val="22"/>
        </w:rPr>
      </w:pPr>
      <w:r w:rsidRPr="00A8162E">
        <w:rPr>
          <w:rFonts w:ascii="Arial" w:hAnsi="Arial" w:eastAsia="Calibri" w:cs="Arial"/>
          <w:b/>
          <w:sz w:val="22"/>
        </w:rPr>
        <w:t xml:space="preserve">Problemas planteados </w:t>
      </w:r>
    </w:p>
    <w:p w:rsidRPr="00A8162E" w:rsidR="005A79FE" w:rsidP="005A79FE" w:rsidRDefault="005A79FE" w14:paraId="138D5B25" w14:textId="77777777">
      <w:pPr>
        <w:tabs>
          <w:tab w:val="left" w:pos="426"/>
        </w:tabs>
        <w:spacing w:line="276" w:lineRule="auto"/>
        <w:jc w:val="both"/>
        <w:rPr>
          <w:rFonts w:ascii="Arial" w:hAnsi="Arial" w:eastAsia="Calibri" w:cs="Arial"/>
          <w:b/>
          <w:sz w:val="22"/>
        </w:rPr>
      </w:pPr>
    </w:p>
    <w:p w:rsidRPr="00A87BDF" w:rsidR="00A54FD0" w:rsidP="00A87BDF" w:rsidRDefault="001E189C" w14:paraId="63A86922" w14:textId="6FE1B9EE">
      <w:pPr>
        <w:pStyle w:val="Default"/>
        <w:spacing w:line="276" w:lineRule="auto"/>
        <w:jc w:val="both"/>
        <w:rPr>
          <w:rFonts w:eastAsia="Calibri"/>
          <w:color w:val="auto"/>
          <w:sz w:val="22"/>
          <w:szCs w:val="22"/>
        </w:rPr>
      </w:pPr>
      <w:r>
        <w:rPr>
          <w:rFonts w:eastAsia="Calibri"/>
          <w:color w:val="auto"/>
          <w:sz w:val="22"/>
          <w:szCs w:val="22"/>
        </w:rPr>
        <w:t>U</w:t>
      </w:r>
      <w:r w:rsidRPr="00A8162E" w:rsidR="005A79FE">
        <w:rPr>
          <w:rFonts w:eastAsia="Calibri"/>
          <w:color w:val="auto"/>
          <w:sz w:val="22"/>
          <w:szCs w:val="22"/>
        </w:rPr>
        <w:t xml:space="preserve">sted realiza la siguiente pregunta: </w:t>
      </w:r>
      <w:r w:rsidRPr="00A87BDF" w:rsidR="00621CB1">
        <w:rPr>
          <w:rFonts w:eastAsia="Calibri"/>
          <w:color w:val="auto"/>
          <w:sz w:val="22"/>
          <w:szCs w:val="22"/>
        </w:rPr>
        <w:t>«</w:t>
      </w:r>
      <w:r w:rsidRPr="00A87BDF" w:rsidR="00DF3E8E">
        <w:rPr>
          <w:color w:val="auto"/>
          <w:sz w:val="22"/>
          <w:szCs w:val="22"/>
        </w:rPr>
        <w:t xml:space="preserve">Uno de los factores de calidad de los pliegos tipo en el numeral 4.2, es la </w:t>
      </w:r>
      <w:r w:rsidRPr="00A87BDF" w:rsidR="00660428">
        <w:rPr>
          <w:color w:val="auto"/>
          <w:sz w:val="22"/>
          <w:szCs w:val="22"/>
        </w:rPr>
        <w:t>Garantía</w:t>
      </w:r>
      <w:r w:rsidRPr="00A87BDF" w:rsidR="00DF3E8E">
        <w:rPr>
          <w:color w:val="auto"/>
          <w:sz w:val="22"/>
          <w:szCs w:val="22"/>
        </w:rPr>
        <w:t xml:space="preserve"> Suplementaria o Adicional, en varios de los procesos licitatorios que se </w:t>
      </w:r>
      <w:r w:rsidRPr="00A87BDF" w:rsidR="00660428">
        <w:rPr>
          <w:color w:val="auto"/>
          <w:sz w:val="22"/>
          <w:szCs w:val="22"/>
        </w:rPr>
        <w:t>están</w:t>
      </w:r>
      <w:r w:rsidRPr="00A87BDF" w:rsidR="00DF3E8E">
        <w:rPr>
          <w:color w:val="auto"/>
          <w:sz w:val="22"/>
          <w:szCs w:val="22"/>
        </w:rPr>
        <w:t xml:space="preserve"> desarrollando, el </w:t>
      </w:r>
      <w:r w:rsidRPr="00A87BDF" w:rsidR="00660428">
        <w:rPr>
          <w:color w:val="auto"/>
          <w:sz w:val="22"/>
          <w:szCs w:val="22"/>
        </w:rPr>
        <w:t>parámetro</w:t>
      </w:r>
      <w:r w:rsidRPr="00A87BDF" w:rsidR="00DF3E8E">
        <w:rPr>
          <w:color w:val="auto"/>
          <w:sz w:val="22"/>
          <w:szCs w:val="22"/>
        </w:rPr>
        <w:t xml:space="preserve"> </w:t>
      </w:r>
      <w:r w:rsidRPr="00A87BDF" w:rsidR="00660428">
        <w:rPr>
          <w:color w:val="auto"/>
          <w:sz w:val="22"/>
          <w:szCs w:val="22"/>
        </w:rPr>
        <w:t>arbitrario</w:t>
      </w:r>
      <w:r w:rsidRPr="00A87BDF" w:rsidR="00DF3E8E">
        <w:rPr>
          <w:color w:val="auto"/>
          <w:sz w:val="22"/>
          <w:szCs w:val="22"/>
        </w:rPr>
        <w:t xml:space="preserve"> por muchos </w:t>
      </w:r>
      <w:r w:rsidRPr="00A87BDF" w:rsidR="00660428">
        <w:rPr>
          <w:color w:val="auto"/>
          <w:sz w:val="22"/>
          <w:szCs w:val="22"/>
        </w:rPr>
        <w:t>municipios</w:t>
      </w:r>
      <w:r w:rsidRPr="00A87BDF" w:rsidR="00DF3E8E">
        <w:rPr>
          <w:color w:val="auto"/>
          <w:sz w:val="22"/>
          <w:szCs w:val="22"/>
        </w:rPr>
        <w:t xml:space="preserve"> es establecer el 50% del plazo establecido por la entidad para la </w:t>
      </w:r>
      <w:r w:rsidRPr="00A87BDF" w:rsidR="00660428">
        <w:rPr>
          <w:color w:val="auto"/>
          <w:sz w:val="22"/>
          <w:szCs w:val="22"/>
        </w:rPr>
        <w:t>garantía</w:t>
      </w:r>
      <w:r w:rsidRPr="00A87BDF" w:rsidR="00DF3E8E">
        <w:rPr>
          <w:color w:val="auto"/>
          <w:sz w:val="22"/>
          <w:szCs w:val="22"/>
        </w:rPr>
        <w:t xml:space="preserve"> de estabilidad y calidad de la obra, por lo anterior lo que se plantea es ofertar como </w:t>
      </w:r>
      <w:r w:rsidRPr="00A87BDF" w:rsidR="00660428">
        <w:rPr>
          <w:color w:val="auto"/>
          <w:sz w:val="22"/>
          <w:szCs w:val="22"/>
        </w:rPr>
        <w:t>máximo</w:t>
      </w:r>
      <w:r w:rsidRPr="00A87BDF" w:rsidR="00DF3E8E">
        <w:rPr>
          <w:color w:val="auto"/>
          <w:sz w:val="22"/>
          <w:szCs w:val="22"/>
        </w:rPr>
        <w:t xml:space="preserve"> 30 meses de </w:t>
      </w:r>
      <w:r w:rsidRPr="00A87BDF" w:rsidR="00660428">
        <w:rPr>
          <w:color w:val="auto"/>
          <w:sz w:val="22"/>
          <w:szCs w:val="22"/>
        </w:rPr>
        <w:t>garantía</w:t>
      </w:r>
      <w:r w:rsidRPr="00A87BDF" w:rsidR="00DF3E8E">
        <w:rPr>
          <w:color w:val="auto"/>
          <w:sz w:val="22"/>
          <w:szCs w:val="22"/>
        </w:rPr>
        <w:t xml:space="preserve"> suplementaria o adicional. </w:t>
      </w:r>
      <w:r w:rsidRPr="00A87BDF" w:rsidR="00660428">
        <w:rPr>
          <w:color w:val="auto"/>
          <w:sz w:val="22"/>
          <w:szCs w:val="22"/>
        </w:rPr>
        <w:t>Según</w:t>
      </w:r>
      <w:r w:rsidRPr="00A87BDF" w:rsidR="00DF3E8E">
        <w:rPr>
          <w:color w:val="auto"/>
          <w:sz w:val="22"/>
          <w:szCs w:val="22"/>
        </w:rPr>
        <w:t xml:space="preserve"> las indagaciones con varias aseguradoras estas no se comprometen a extender la </w:t>
      </w:r>
      <w:r w:rsidRPr="00A87BDF" w:rsidR="00660428">
        <w:rPr>
          <w:color w:val="auto"/>
          <w:sz w:val="22"/>
          <w:szCs w:val="22"/>
        </w:rPr>
        <w:t>garantía</w:t>
      </w:r>
      <w:r w:rsidRPr="00A87BDF" w:rsidR="00DF3E8E">
        <w:rPr>
          <w:color w:val="auto"/>
          <w:sz w:val="22"/>
          <w:szCs w:val="22"/>
        </w:rPr>
        <w:t xml:space="preserve">, y claramente mientras se desarrolla el proceso </w:t>
      </w:r>
      <w:r w:rsidRPr="00A87BDF" w:rsidR="00660428">
        <w:rPr>
          <w:color w:val="auto"/>
          <w:sz w:val="22"/>
          <w:szCs w:val="22"/>
        </w:rPr>
        <w:t>habrán</w:t>
      </w:r>
      <w:r w:rsidRPr="00A87BDF" w:rsidR="00DF3E8E">
        <w:rPr>
          <w:color w:val="auto"/>
          <w:sz w:val="22"/>
          <w:szCs w:val="22"/>
        </w:rPr>
        <w:t xml:space="preserve"> oferentes que ofrezcan los 30 meses </w:t>
      </w:r>
      <w:r w:rsidRPr="00A87BDF" w:rsidR="00660428">
        <w:rPr>
          <w:color w:val="auto"/>
          <w:sz w:val="22"/>
          <w:szCs w:val="22"/>
        </w:rPr>
        <w:t>exigidos</w:t>
      </w:r>
      <w:r w:rsidRPr="00A87BDF" w:rsidR="00DF3E8E">
        <w:rPr>
          <w:color w:val="auto"/>
          <w:sz w:val="22"/>
          <w:szCs w:val="22"/>
        </w:rPr>
        <w:t xml:space="preserve"> por las entidades contratantes, </w:t>
      </w:r>
      <w:r w:rsidRPr="00A87BDF" w:rsidR="00660428">
        <w:rPr>
          <w:color w:val="auto"/>
          <w:sz w:val="22"/>
          <w:szCs w:val="22"/>
        </w:rPr>
        <w:t>parámetro</w:t>
      </w:r>
      <w:r w:rsidRPr="00A87BDF" w:rsidR="00DF3E8E">
        <w:rPr>
          <w:color w:val="auto"/>
          <w:sz w:val="22"/>
          <w:szCs w:val="22"/>
        </w:rPr>
        <w:t xml:space="preserve"> a todas luces arbitrario y que en la realidad no se va a cumplir, por tal motivo me </w:t>
      </w:r>
      <w:r w:rsidRPr="00A87BDF" w:rsidR="00660428">
        <w:rPr>
          <w:color w:val="auto"/>
          <w:sz w:val="22"/>
          <w:szCs w:val="22"/>
        </w:rPr>
        <w:t>gustaría</w:t>
      </w:r>
      <w:r w:rsidRPr="00A87BDF" w:rsidR="00DF3E8E">
        <w:rPr>
          <w:color w:val="auto"/>
          <w:sz w:val="22"/>
          <w:szCs w:val="22"/>
        </w:rPr>
        <w:t xml:space="preserve"> conocer el concepto de </w:t>
      </w:r>
      <w:r w:rsidRPr="00A87BDF" w:rsidR="00660428">
        <w:rPr>
          <w:color w:val="auto"/>
          <w:sz w:val="22"/>
          <w:szCs w:val="22"/>
        </w:rPr>
        <w:t>Colombia</w:t>
      </w:r>
      <w:r w:rsidRPr="00A87BDF" w:rsidR="00DF3E8E">
        <w:rPr>
          <w:color w:val="auto"/>
          <w:sz w:val="22"/>
          <w:szCs w:val="22"/>
        </w:rPr>
        <w:t xml:space="preserve"> compra eficiente, en lo referente a la GARANTIA SUPLIMENTARIA O ADICIONAL y como las entidades contratantes </w:t>
      </w:r>
      <w:r w:rsidRPr="00A87BDF" w:rsidR="00660428">
        <w:rPr>
          <w:color w:val="auto"/>
          <w:sz w:val="22"/>
          <w:szCs w:val="22"/>
        </w:rPr>
        <w:t>están</w:t>
      </w:r>
      <w:r w:rsidRPr="00A87BDF" w:rsidR="00DF3E8E">
        <w:rPr>
          <w:color w:val="auto"/>
          <w:sz w:val="22"/>
          <w:szCs w:val="22"/>
        </w:rPr>
        <w:t xml:space="preserve"> </w:t>
      </w:r>
      <w:r w:rsidRPr="00A87BDF" w:rsidR="00660428">
        <w:rPr>
          <w:color w:val="auto"/>
          <w:sz w:val="22"/>
          <w:szCs w:val="22"/>
        </w:rPr>
        <w:t>haciendo</w:t>
      </w:r>
      <w:r w:rsidRPr="00A87BDF" w:rsidR="00DF3E8E">
        <w:rPr>
          <w:color w:val="auto"/>
          <w:sz w:val="22"/>
          <w:szCs w:val="22"/>
        </w:rPr>
        <w:t xml:space="preserve"> uso de este </w:t>
      </w:r>
      <w:r w:rsidRPr="00A87BDF" w:rsidR="00660428">
        <w:rPr>
          <w:color w:val="auto"/>
          <w:sz w:val="22"/>
          <w:szCs w:val="22"/>
        </w:rPr>
        <w:t>parámetro</w:t>
      </w:r>
      <w:r w:rsidRPr="00A87BDF" w:rsidR="00DF3E8E">
        <w:rPr>
          <w:color w:val="auto"/>
          <w:sz w:val="22"/>
          <w:szCs w:val="22"/>
        </w:rPr>
        <w:t xml:space="preserve"> de </w:t>
      </w:r>
      <w:r w:rsidRPr="00A87BDF" w:rsidR="00660428">
        <w:rPr>
          <w:color w:val="auto"/>
          <w:sz w:val="22"/>
          <w:szCs w:val="22"/>
        </w:rPr>
        <w:t>calificación</w:t>
      </w:r>
      <w:r w:rsidRPr="00A87BDF" w:rsidR="00DF3E8E">
        <w:rPr>
          <w:color w:val="auto"/>
          <w:sz w:val="22"/>
          <w:szCs w:val="22"/>
        </w:rPr>
        <w:t xml:space="preserve"> sin realizar </w:t>
      </w:r>
      <w:r w:rsidRPr="00A87BDF" w:rsidR="00660428">
        <w:rPr>
          <w:color w:val="auto"/>
          <w:sz w:val="22"/>
          <w:szCs w:val="22"/>
        </w:rPr>
        <w:t>ningún</w:t>
      </w:r>
      <w:r w:rsidRPr="00A87BDF" w:rsidR="00DF3E8E">
        <w:rPr>
          <w:color w:val="auto"/>
          <w:sz w:val="22"/>
          <w:szCs w:val="22"/>
        </w:rPr>
        <w:t xml:space="preserve"> tipo de estudio».</w:t>
      </w:r>
    </w:p>
    <w:p w:rsidRPr="00A8162E" w:rsidR="00A54FD0" w:rsidP="005A79FE" w:rsidRDefault="00A54FD0" w14:paraId="4E7AD606" w14:textId="77777777">
      <w:pPr>
        <w:tabs>
          <w:tab w:val="left" w:pos="426"/>
        </w:tabs>
        <w:spacing w:line="276" w:lineRule="auto"/>
        <w:jc w:val="both"/>
        <w:rPr>
          <w:rFonts w:ascii="Arial" w:hAnsi="Arial" w:eastAsia="Calibri" w:cs="Arial"/>
          <w:sz w:val="22"/>
        </w:rPr>
      </w:pPr>
    </w:p>
    <w:p w:rsidRPr="00A8162E" w:rsidR="005A79FE" w:rsidP="005A79FE" w:rsidRDefault="005A79FE" w14:paraId="18C6DB19" w14:textId="4FE88002">
      <w:pPr>
        <w:pStyle w:val="Prrafodelista"/>
        <w:numPr>
          <w:ilvl w:val="0"/>
          <w:numId w:val="6"/>
        </w:numPr>
        <w:tabs>
          <w:tab w:val="left" w:pos="426"/>
        </w:tabs>
        <w:spacing w:line="276" w:lineRule="auto"/>
        <w:ind w:left="284" w:hanging="284"/>
        <w:jc w:val="both"/>
        <w:rPr>
          <w:rFonts w:ascii="Arial" w:hAnsi="Arial" w:eastAsia="Calibri" w:cs="Arial"/>
          <w:b/>
          <w:sz w:val="22"/>
        </w:rPr>
      </w:pPr>
      <w:r w:rsidRPr="00A8162E">
        <w:rPr>
          <w:rFonts w:ascii="Arial" w:hAnsi="Arial" w:eastAsia="Calibri" w:cs="Arial"/>
          <w:b/>
          <w:sz w:val="22"/>
        </w:rPr>
        <w:t>Consideraciones</w:t>
      </w:r>
    </w:p>
    <w:p w:rsidRPr="00A8162E" w:rsidR="007D3673" w:rsidP="007D3673" w:rsidRDefault="007D3673" w14:paraId="0B880670" w14:textId="77777777">
      <w:pPr>
        <w:tabs>
          <w:tab w:val="left" w:pos="426"/>
        </w:tabs>
        <w:spacing w:line="276" w:lineRule="auto"/>
        <w:jc w:val="both"/>
        <w:rPr>
          <w:rFonts w:ascii="Arial" w:hAnsi="Arial" w:eastAsia="Calibri" w:cs="Arial"/>
          <w:bCs/>
          <w:sz w:val="22"/>
        </w:rPr>
      </w:pPr>
    </w:p>
    <w:p w:rsidRPr="00A8162E" w:rsidR="00F35561" w:rsidP="007D3673" w:rsidRDefault="00EA6AE9" w14:paraId="2583B7CD" w14:textId="4CFB9D53">
      <w:pPr>
        <w:tabs>
          <w:tab w:val="left" w:pos="426"/>
        </w:tabs>
        <w:spacing w:after="120" w:line="276" w:lineRule="auto"/>
        <w:jc w:val="both"/>
        <w:rPr>
          <w:rFonts w:ascii="Arial" w:hAnsi="Arial" w:eastAsia="Calibri" w:cs="Arial"/>
          <w:b/>
          <w:sz w:val="22"/>
        </w:rPr>
      </w:pPr>
      <w:r w:rsidRPr="00EA6AE9">
        <w:rPr>
          <w:rFonts w:ascii="Arial" w:hAnsi="Arial" w:eastAsia="Calibri" w:cs="Arial"/>
          <w:bCs/>
          <w:sz w:val="22"/>
        </w:rPr>
        <w:t xml:space="preserve">La Agencia Nacional de Contratación Pública – Colombia Compra Eficiente ha tenido la oportunidad de pronunciarse sobre el factor de calidad en procesos de selección con documentos tipo en los </w:t>
      </w:r>
      <w:r w:rsidR="00D65D46">
        <w:rPr>
          <w:rFonts w:ascii="Arial" w:hAnsi="Arial" w:eastAsia="Calibri" w:cs="Arial"/>
          <w:bCs/>
          <w:sz w:val="22"/>
        </w:rPr>
        <w:t>C</w:t>
      </w:r>
      <w:r w:rsidRPr="00EA6AE9">
        <w:rPr>
          <w:rFonts w:ascii="Arial" w:hAnsi="Arial" w:eastAsia="Calibri" w:cs="Arial"/>
          <w:bCs/>
          <w:sz w:val="22"/>
        </w:rPr>
        <w:t>onceptos C-294 del 18 de mayo de 2020</w:t>
      </w:r>
      <w:r>
        <w:rPr>
          <w:rFonts w:ascii="Arial" w:hAnsi="Arial" w:eastAsia="Calibri" w:cs="Arial"/>
          <w:bCs/>
          <w:sz w:val="22"/>
        </w:rPr>
        <w:t>,</w:t>
      </w:r>
      <w:r w:rsidRPr="00EA6AE9">
        <w:rPr>
          <w:rFonts w:ascii="Arial" w:hAnsi="Arial" w:eastAsia="Calibri" w:cs="Arial"/>
          <w:bCs/>
          <w:sz w:val="22"/>
        </w:rPr>
        <w:t xml:space="preserve"> C-276 y C-277 del 26 de mayo de 2020</w:t>
      </w:r>
      <w:r>
        <w:rPr>
          <w:rFonts w:ascii="Arial" w:hAnsi="Arial" w:eastAsia="Calibri" w:cs="Arial"/>
          <w:bCs/>
          <w:sz w:val="22"/>
        </w:rPr>
        <w:t>,</w:t>
      </w:r>
      <w:r w:rsidRPr="00EA6AE9">
        <w:rPr>
          <w:rFonts w:ascii="Arial" w:hAnsi="Arial" w:eastAsia="Calibri" w:cs="Arial"/>
          <w:bCs/>
          <w:sz w:val="22"/>
        </w:rPr>
        <w:t xml:space="preserve"> C</w:t>
      </w:r>
      <w:r>
        <w:rPr>
          <w:rFonts w:ascii="Arial" w:hAnsi="Arial" w:eastAsia="Calibri" w:cs="Arial"/>
          <w:bCs/>
          <w:sz w:val="22"/>
        </w:rPr>
        <w:t>-</w:t>
      </w:r>
      <w:r w:rsidRPr="00EA6AE9">
        <w:rPr>
          <w:rFonts w:ascii="Arial" w:hAnsi="Arial" w:eastAsia="Calibri" w:cs="Arial"/>
          <w:bCs/>
          <w:sz w:val="22"/>
        </w:rPr>
        <w:t>380 y C</w:t>
      </w:r>
      <w:r>
        <w:rPr>
          <w:rFonts w:ascii="Arial" w:hAnsi="Arial" w:eastAsia="Calibri" w:cs="Arial"/>
          <w:bCs/>
          <w:sz w:val="22"/>
        </w:rPr>
        <w:t>-</w:t>
      </w:r>
      <w:r w:rsidRPr="00EA6AE9">
        <w:rPr>
          <w:rFonts w:ascii="Arial" w:hAnsi="Arial" w:eastAsia="Calibri" w:cs="Arial"/>
          <w:bCs/>
          <w:sz w:val="22"/>
        </w:rPr>
        <w:t>381 del 1 de junio de 2020</w:t>
      </w:r>
      <w:r>
        <w:rPr>
          <w:rFonts w:ascii="Arial" w:hAnsi="Arial" w:eastAsia="Calibri" w:cs="Arial"/>
          <w:bCs/>
          <w:sz w:val="22"/>
        </w:rPr>
        <w:t>,</w:t>
      </w:r>
      <w:r w:rsidRPr="00EA6AE9">
        <w:rPr>
          <w:rFonts w:ascii="Arial" w:hAnsi="Arial" w:eastAsia="Calibri" w:cs="Arial"/>
          <w:bCs/>
          <w:sz w:val="22"/>
        </w:rPr>
        <w:t xml:space="preserve"> C-404 del 12 de junio de 2020, C-352 del 30 de junio de 2020, C-430 del 7 de julio de 2020, C-481 del 27 de julio de 2020, C-540 del 19 de agosto de 2020 y C-520 del 25 de agosto de 2020</w:t>
      </w:r>
      <w:r w:rsidRPr="00A8162E" w:rsidR="00A8162E">
        <w:rPr>
          <w:rFonts w:ascii="Arial" w:hAnsi="Arial" w:eastAsia="Calibri" w:cs="Arial"/>
          <w:bCs/>
          <w:sz w:val="22"/>
        </w:rPr>
        <w:t xml:space="preserve">, </w:t>
      </w:r>
      <w:r w:rsidRPr="00A8162E" w:rsidR="007D3673">
        <w:rPr>
          <w:rFonts w:ascii="Arial" w:hAnsi="Arial" w:eastAsia="Calibri" w:cs="Arial"/>
          <w:bCs/>
          <w:sz w:val="22"/>
        </w:rPr>
        <w:t>C-586 del 31</w:t>
      </w:r>
      <w:r w:rsidRPr="00A8162E" w:rsidR="00A8162E">
        <w:rPr>
          <w:rFonts w:ascii="Arial" w:hAnsi="Arial" w:eastAsia="Calibri" w:cs="Arial"/>
          <w:bCs/>
          <w:sz w:val="22"/>
        </w:rPr>
        <w:t xml:space="preserve"> de agosto de </w:t>
      </w:r>
      <w:r w:rsidRPr="00A8162E" w:rsidR="007D3673">
        <w:rPr>
          <w:rFonts w:ascii="Arial" w:hAnsi="Arial" w:eastAsia="Calibri" w:cs="Arial"/>
          <w:bCs/>
          <w:sz w:val="22"/>
        </w:rPr>
        <w:t xml:space="preserve">2020, </w:t>
      </w:r>
      <w:r w:rsidR="000D7AED">
        <w:rPr>
          <w:rFonts w:ascii="Arial" w:hAnsi="Arial" w:eastAsia="Calibri" w:cs="Arial"/>
          <w:bCs/>
          <w:sz w:val="22"/>
        </w:rPr>
        <w:t xml:space="preserve">C-617 del 17 de septiembre de 2020, </w:t>
      </w:r>
      <w:r w:rsidRPr="00A8162E" w:rsidR="007D3673">
        <w:rPr>
          <w:rFonts w:ascii="Arial" w:hAnsi="Arial" w:eastAsia="Calibri" w:cs="Arial"/>
          <w:bCs/>
          <w:sz w:val="22"/>
        </w:rPr>
        <w:t>C-627 del 16 de septiembre de 2020</w:t>
      </w:r>
      <w:r w:rsidR="005E6D6E">
        <w:rPr>
          <w:rFonts w:ascii="Arial" w:hAnsi="Arial" w:eastAsia="Calibri" w:cs="Arial"/>
          <w:bCs/>
          <w:sz w:val="22"/>
        </w:rPr>
        <w:t xml:space="preserve">, C-631 </w:t>
      </w:r>
      <w:r w:rsidR="005E6D6E">
        <w:rPr>
          <w:rFonts w:ascii="Arial" w:hAnsi="Arial" w:eastAsia="Calibri" w:cs="Arial"/>
          <w:bCs/>
          <w:sz w:val="22"/>
        </w:rPr>
        <w:lastRenderedPageBreak/>
        <w:t>del 2 de octubre de 2020,</w:t>
      </w:r>
      <w:r w:rsidRPr="00A8162E" w:rsidR="00A8162E">
        <w:rPr>
          <w:rFonts w:ascii="Arial" w:hAnsi="Arial" w:eastAsia="Calibri" w:cs="Arial"/>
          <w:bCs/>
          <w:sz w:val="22"/>
        </w:rPr>
        <w:t xml:space="preserve"> entre otros.</w:t>
      </w:r>
      <w:r w:rsidR="0064331E">
        <w:rPr>
          <w:rFonts w:ascii="Arial" w:hAnsi="Arial" w:eastAsia="Calibri" w:cs="Arial"/>
          <w:bCs/>
          <w:sz w:val="22"/>
        </w:rPr>
        <w:t xml:space="preserve"> </w:t>
      </w:r>
      <w:r w:rsidRPr="003A18A7" w:rsidR="0064331E">
        <w:rPr>
          <w:rFonts w:ascii="Arial" w:hAnsi="Arial" w:eastAsia="Arial" w:cs="Arial"/>
          <w:sz w:val="22"/>
        </w:rPr>
        <w:t>Algunas consideraciones expuestas en estos conceptos se reiteran a continuación.</w:t>
      </w:r>
    </w:p>
    <w:p w:rsidRPr="00A8162E" w:rsidR="00AB3EC9" w:rsidP="007D3673" w:rsidRDefault="00AB3EC9" w14:paraId="02CCBF25" w14:textId="77777777">
      <w:pPr>
        <w:spacing w:line="276" w:lineRule="auto"/>
        <w:ind w:firstLine="708"/>
        <w:jc w:val="both"/>
        <w:rPr>
          <w:rFonts w:ascii="Arial" w:hAnsi="Arial" w:cs="Arial"/>
          <w:sz w:val="22"/>
        </w:rPr>
      </w:pPr>
      <w:r w:rsidRPr="00A8162E">
        <w:rPr>
          <w:rFonts w:ascii="Arial" w:hAnsi="Arial" w:cs="Arial"/>
          <w:sz w:val="22"/>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p>
    <w:p w:rsidRPr="00A8162E" w:rsidR="00AB3EC9" w:rsidP="00AB3EC9" w:rsidRDefault="00AB3EC9" w14:paraId="03CDAAC3" w14:textId="77777777">
      <w:pPr>
        <w:spacing w:before="120" w:line="276" w:lineRule="auto"/>
        <w:ind w:firstLine="709"/>
        <w:jc w:val="both"/>
        <w:rPr>
          <w:rFonts w:ascii="Arial" w:hAnsi="Arial" w:cs="Arial"/>
          <w:sz w:val="22"/>
        </w:rPr>
      </w:pPr>
      <w:r w:rsidRPr="00A8162E">
        <w:rPr>
          <w:rFonts w:ascii="Arial" w:hAnsi="Arial" w:cs="Arial"/>
          <w:sz w:val="22"/>
        </w:rPr>
        <w:t>La Ley 1480 de 2011, en el artículo 13, señala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sidRPr="00A8162E">
        <w:rPr>
          <w:rStyle w:val="Refdenotaalpie"/>
          <w:rFonts w:ascii="Arial" w:hAnsi="Arial" w:cs="Arial"/>
          <w:sz w:val="22"/>
        </w:rPr>
        <w:footnoteReference w:id="1"/>
      </w:r>
      <w:r w:rsidRPr="00A8162E">
        <w:rPr>
          <w:rFonts w:ascii="Arial" w:hAnsi="Arial" w:cs="Arial"/>
          <w:sz w:val="22"/>
        </w:rPr>
        <w:t>. De este modo, la normativa también ha definido a las garantías suplementarias como aquellas que ofrecen los productores o proveedores de un bien o servicio, por el término adicional al previsto en la garantía legal.</w:t>
      </w:r>
    </w:p>
    <w:p w:rsidRPr="00A8162E" w:rsidR="00AB3EC9" w:rsidP="00AB3EC9" w:rsidRDefault="00AB3EC9" w14:paraId="041CB6CA" w14:textId="6BCF6A5E">
      <w:pPr>
        <w:spacing w:before="120" w:line="276" w:lineRule="auto"/>
        <w:ind w:firstLine="709"/>
        <w:jc w:val="both"/>
        <w:rPr>
          <w:rFonts w:ascii="Arial" w:hAnsi="Arial" w:cs="Arial"/>
          <w:sz w:val="22"/>
        </w:rPr>
      </w:pPr>
      <w:r w:rsidRPr="00A8162E">
        <w:rPr>
          <w:rFonts w:ascii="Arial" w:hAnsi="Arial" w:cs="Arial"/>
          <w:sz w:val="22"/>
        </w:rPr>
        <w:t xml:space="preserve">De esta manera, para el otorgamiento del puntaje por concepto de la «Garantía suplementaria o adicional» no es necesario que </w:t>
      </w:r>
      <w:r w:rsidR="00E132D5">
        <w:rPr>
          <w:rFonts w:ascii="Arial" w:hAnsi="Arial" w:cs="Arial"/>
          <w:sz w:val="22"/>
        </w:rPr>
        <w:t>é</w:t>
      </w:r>
      <w:r w:rsidR="00C65A84">
        <w:rPr>
          <w:rFonts w:ascii="Arial" w:hAnsi="Arial" w:cs="Arial"/>
          <w:sz w:val="22"/>
        </w:rPr>
        <w:t>sta</w:t>
      </w:r>
      <w:r w:rsidRPr="00A8162E">
        <w:rPr>
          <w:rFonts w:ascii="Arial" w:hAnsi="Arial" w:cs="Arial"/>
          <w:sz w:val="22"/>
        </w:rPr>
        <w:t xml:space="preserve"> sea otorgada por una aseguradora, sino que bastará la garantía comercial que ofrezca el propio contratista, ya sea el proveedor o el fabricante del bien o servicio. </w:t>
      </w:r>
    </w:p>
    <w:p w:rsidRPr="00A8162E" w:rsidR="00AB3EC9" w:rsidP="00AB3EC9" w:rsidRDefault="00AB3EC9" w14:paraId="5C9D137A" w14:textId="1D4499AD">
      <w:pPr>
        <w:spacing w:before="120" w:line="276" w:lineRule="auto"/>
        <w:ind w:firstLine="709"/>
        <w:jc w:val="both"/>
        <w:rPr>
          <w:rFonts w:ascii="Arial" w:hAnsi="Arial" w:cs="Arial"/>
          <w:sz w:val="22"/>
        </w:rPr>
      </w:pPr>
      <w:r w:rsidRPr="00A8162E">
        <w:rPr>
          <w:rFonts w:ascii="Arial" w:hAnsi="Arial" w:cs="Arial"/>
          <w:sz w:val="22"/>
        </w:rPr>
        <w:t xml:space="preserve">Por otro lado, en los </w:t>
      </w:r>
      <w:r w:rsidRPr="00A8162E" w:rsidR="000C0D06">
        <w:rPr>
          <w:rFonts w:ascii="Arial" w:hAnsi="Arial" w:cs="Arial"/>
          <w:sz w:val="22"/>
        </w:rPr>
        <w:t xml:space="preserve">documentos tipo </w:t>
      </w:r>
      <w:r w:rsidRPr="00A8162E">
        <w:rPr>
          <w:rFonts w:ascii="Arial" w:hAnsi="Arial" w:cs="Arial"/>
          <w:sz w:val="22"/>
        </w:rPr>
        <w:t xml:space="preserve">se reconoce que la «garantía adicional o suplementaria» está asociada a la estabilidad y calidad de la obra. Y el proponente ofertará la vigencia de la garantía adicional a partir del vencimiento del plazo del </w:t>
      </w:r>
      <w:r w:rsidRPr="00A8162E" w:rsidR="000C0D06">
        <w:rPr>
          <w:rFonts w:ascii="Arial" w:hAnsi="Arial" w:cs="Arial"/>
          <w:sz w:val="22"/>
        </w:rPr>
        <w:t>amparo de estabilidad y calidad de la obra</w:t>
      </w:r>
      <w:r w:rsidRPr="00A8162E">
        <w:rPr>
          <w:rFonts w:ascii="Arial" w:hAnsi="Arial" w:cs="Arial"/>
          <w:sz w:val="22"/>
        </w:rPr>
        <w:t>. En virtud del Decreto 1082 de 2015 este amparo cubre a la Entidad Estatal de los perjuicios ocasionados por cualquier tipo de daño o deterioro, imputable al contratista, sufrido por la obra entregada a satisfacción</w:t>
      </w:r>
      <w:r w:rsidRPr="00A8162E">
        <w:rPr>
          <w:rStyle w:val="Refdenotaalpie"/>
          <w:rFonts w:ascii="Arial" w:hAnsi="Arial" w:cs="Arial"/>
          <w:sz w:val="22"/>
        </w:rPr>
        <w:footnoteReference w:id="2"/>
      </w:r>
      <w:r w:rsidRPr="00A8162E">
        <w:rPr>
          <w:rFonts w:ascii="Arial" w:hAnsi="Arial" w:cs="Arial"/>
          <w:sz w:val="22"/>
        </w:rPr>
        <w:t>.</w:t>
      </w:r>
    </w:p>
    <w:p w:rsidRPr="00A8162E" w:rsidR="00AB3EC9" w:rsidP="004A6D89" w:rsidRDefault="00AB3EC9" w14:paraId="1101116F" w14:textId="46706D1E">
      <w:pPr>
        <w:spacing w:before="120" w:after="120" w:line="276" w:lineRule="auto"/>
        <w:ind w:firstLine="709"/>
        <w:jc w:val="both"/>
        <w:rPr>
          <w:rFonts w:ascii="Arial" w:hAnsi="Arial" w:cs="Arial"/>
          <w:sz w:val="22"/>
        </w:rPr>
      </w:pPr>
      <w:r w:rsidRPr="00A8162E">
        <w:rPr>
          <w:rFonts w:ascii="Arial" w:hAnsi="Arial" w:cs="Arial"/>
          <w:sz w:val="22"/>
        </w:rPr>
        <w:t xml:space="preserve">En este sentido, la «Garantía adicional o suplementaria», por ser un amparo asociado a la estabilidad y calidad de la obra, cubrirá a la entidad estatal contratante de los perjuicios que se le ocasionen como consecuencia de cualquier daño o deterioro, </w:t>
      </w:r>
      <w:r w:rsidRPr="00A8162E">
        <w:rPr>
          <w:rFonts w:ascii="Arial" w:hAnsi="Arial" w:cs="Arial"/>
          <w:sz w:val="22"/>
        </w:rPr>
        <w:lastRenderedPageBreak/>
        <w:t>imputables al contratista, sufridos por la obra entregada. Este amparo adicional empieza después del plazo previsto para la garantía de estabilidad y calidad de la obra, que en todo caso no puede ser inferior a cinco (5) años contados a partir de la fecha en la cual la Entidad Estatal recibe a satisfacción la obra</w:t>
      </w:r>
      <w:r w:rsidRPr="00A8162E" w:rsidR="000C0D06">
        <w:rPr>
          <w:rStyle w:val="Refdenotaalpie"/>
          <w:rFonts w:ascii="Arial" w:hAnsi="Arial" w:cs="Arial"/>
          <w:sz w:val="22"/>
        </w:rPr>
        <w:footnoteReference w:id="3"/>
      </w:r>
      <w:r w:rsidRPr="00A8162E">
        <w:rPr>
          <w:rFonts w:ascii="Arial" w:hAnsi="Arial" w:cs="Arial"/>
          <w:sz w:val="22"/>
        </w:rPr>
        <w:t xml:space="preserve">. </w:t>
      </w:r>
    </w:p>
    <w:p w:rsidRPr="00A8162E" w:rsidR="00AB3EC9" w:rsidP="00AB3EC9" w:rsidRDefault="004A6D89" w14:paraId="30633BAC" w14:textId="252CCC6A">
      <w:pPr>
        <w:tabs>
          <w:tab w:val="left" w:pos="709"/>
        </w:tabs>
        <w:spacing w:line="276" w:lineRule="auto"/>
        <w:jc w:val="both"/>
        <w:rPr>
          <w:rFonts w:ascii="Arial" w:hAnsi="Arial" w:eastAsia="Arial" w:cs="Arial"/>
          <w:sz w:val="22"/>
        </w:rPr>
      </w:pPr>
      <w:r w:rsidRPr="00A8162E">
        <w:rPr>
          <w:rFonts w:ascii="Arial" w:hAnsi="Arial" w:eastAsia="Arial" w:cs="Arial"/>
          <w:sz w:val="22"/>
        </w:rPr>
        <w:tab/>
      </w:r>
      <w:r w:rsidRPr="00A8162E" w:rsidR="00AB3EC9">
        <w:rPr>
          <w:rFonts w:ascii="Arial" w:hAnsi="Arial" w:eastAsia="Arial" w:cs="Arial"/>
          <w:sz w:val="22"/>
        </w:rPr>
        <w:t xml:space="preserve">Es del caso resaltar que </w:t>
      </w:r>
      <w:r w:rsidRPr="00A8162E">
        <w:rPr>
          <w:rFonts w:ascii="Arial" w:hAnsi="Arial" w:eastAsia="Arial" w:cs="Arial"/>
          <w:sz w:val="22"/>
        </w:rPr>
        <w:t>el</w:t>
      </w:r>
      <w:r w:rsidRPr="00A8162E" w:rsidR="00AB3EC9">
        <w:rPr>
          <w:rFonts w:ascii="Arial" w:hAnsi="Arial" w:eastAsia="Arial" w:cs="Arial"/>
          <w:sz w:val="22"/>
        </w:rPr>
        <w:t xml:space="preserve"> numeral 4.2.4 del </w:t>
      </w:r>
      <w:r w:rsidRPr="00A8162E" w:rsidR="00F3509B">
        <w:rPr>
          <w:rFonts w:ascii="Arial" w:hAnsi="Arial" w:eastAsia="Arial" w:cs="Arial"/>
          <w:sz w:val="22"/>
        </w:rPr>
        <w:t>documento base</w:t>
      </w:r>
      <w:r w:rsidRPr="00A8162E" w:rsidR="00AB3EC9">
        <w:rPr>
          <w:rFonts w:ascii="Arial" w:hAnsi="Arial" w:eastAsia="Arial" w:cs="Arial"/>
          <w:sz w:val="22"/>
        </w:rPr>
        <w:t xml:space="preserve"> de lo</w:t>
      </w:r>
      <w:r w:rsidRPr="00A8162E">
        <w:rPr>
          <w:rFonts w:ascii="Arial" w:hAnsi="Arial" w:eastAsia="Arial" w:cs="Arial"/>
          <w:sz w:val="22"/>
        </w:rPr>
        <w:t>s</w:t>
      </w:r>
      <w:r w:rsidRPr="00A8162E" w:rsidR="00AB3EC9">
        <w:rPr>
          <w:rFonts w:ascii="Arial" w:hAnsi="Arial" w:eastAsia="Arial" w:cs="Arial"/>
          <w:sz w:val="22"/>
        </w:rPr>
        <w:t xml:space="preserve"> </w:t>
      </w:r>
      <w:r w:rsidRPr="00A8162E" w:rsidR="00F3509B">
        <w:rPr>
          <w:rFonts w:ascii="Arial" w:hAnsi="Arial" w:eastAsia="Arial" w:cs="Arial"/>
          <w:sz w:val="22"/>
        </w:rPr>
        <w:t>documentos tipo</w:t>
      </w:r>
      <w:r w:rsidRPr="00A8162E" w:rsidR="00AB3EC9">
        <w:rPr>
          <w:rFonts w:ascii="Arial" w:hAnsi="Arial" w:eastAsia="Arial" w:cs="Arial"/>
          <w:sz w:val="22"/>
        </w:rPr>
        <w:t xml:space="preserve"> </w:t>
      </w:r>
      <w:r w:rsidR="00F3509B">
        <w:rPr>
          <w:rFonts w:ascii="Arial" w:hAnsi="Arial" w:eastAsia="Arial" w:cs="Arial"/>
          <w:sz w:val="22"/>
        </w:rPr>
        <w:t>de</w:t>
      </w:r>
      <w:r w:rsidRPr="00A8162E" w:rsidR="00F3509B">
        <w:rPr>
          <w:rFonts w:ascii="Arial" w:hAnsi="Arial" w:eastAsia="Arial" w:cs="Arial"/>
          <w:sz w:val="22"/>
        </w:rPr>
        <w:t xml:space="preserve"> </w:t>
      </w:r>
      <w:r w:rsidRPr="00A8162E" w:rsidR="00AB3EC9">
        <w:rPr>
          <w:rFonts w:ascii="Arial" w:hAnsi="Arial" w:eastAsia="Arial" w:cs="Arial"/>
          <w:sz w:val="22"/>
        </w:rPr>
        <w:t>licitaci</w:t>
      </w:r>
      <w:r w:rsidR="00F3509B">
        <w:rPr>
          <w:rFonts w:ascii="Arial" w:hAnsi="Arial" w:eastAsia="Arial" w:cs="Arial"/>
          <w:sz w:val="22"/>
        </w:rPr>
        <w:t>ón</w:t>
      </w:r>
      <w:r w:rsidRPr="00A8162E" w:rsidR="00AB3EC9">
        <w:rPr>
          <w:rFonts w:ascii="Arial" w:hAnsi="Arial" w:eastAsia="Arial" w:cs="Arial"/>
          <w:sz w:val="22"/>
        </w:rPr>
        <w:t xml:space="preserve"> pública de infraestructura de trasporte –versión 2–</w:t>
      </w:r>
      <w:r w:rsidR="00CA223E">
        <w:rPr>
          <w:rFonts w:ascii="Arial" w:hAnsi="Arial" w:eastAsia="Arial" w:cs="Arial"/>
          <w:sz w:val="22"/>
        </w:rPr>
        <w:t>,</w:t>
      </w:r>
      <w:r w:rsidRPr="00A8162E" w:rsidR="00AB3EC9">
        <w:rPr>
          <w:rFonts w:ascii="Arial" w:hAnsi="Arial" w:eastAsia="Arial" w:cs="Arial"/>
          <w:sz w:val="22"/>
        </w:rPr>
        <w:t xml:space="preserve"> así como </w:t>
      </w:r>
      <w:r w:rsidRPr="00A8162E">
        <w:rPr>
          <w:rFonts w:ascii="Arial" w:hAnsi="Arial" w:eastAsia="Arial" w:cs="Arial"/>
          <w:sz w:val="22"/>
        </w:rPr>
        <w:t>el</w:t>
      </w:r>
      <w:r w:rsidRPr="00A8162E" w:rsidR="00AB3EC9">
        <w:rPr>
          <w:rFonts w:ascii="Arial" w:hAnsi="Arial" w:eastAsia="Arial" w:cs="Arial"/>
          <w:sz w:val="22"/>
        </w:rPr>
        <w:t xml:space="preserve"> mismo numeral de los </w:t>
      </w:r>
      <w:r w:rsidRPr="00A8162E" w:rsidR="00F3509B">
        <w:rPr>
          <w:rFonts w:ascii="Arial" w:hAnsi="Arial" w:eastAsia="Arial" w:cs="Arial"/>
          <w:sz w:val="22"/>
        </w:rPr>
        <w:t>documentos tipo</w:t>
      </w:r>
      <w:r w:rsidRPr="00A8162E" w:rsidR="00AB3EC9">
        <w:rPr>
          <w:rFonts w:ascii="Arial" w:hAnsi="Arial" w:eastAsia="Arial" w:cs="Arial"/>
          <w:sz w:val="22"/>
        </w:rPr>
        <w:t xml:space="preserve"> de selección abreviada de menor cuantía de infraestructura de transporte, adoptados mediante las Resoluciones Nos. 044 y 045 de 2020, fue modificado por medio de la Resolución No. 116 del 21 de julio de 2020, todas proferidas por la Agencia Nacional de Contratación Pública – Colombia Compra Eficiente. </w:t>
      </w:r>
    </w:p>
    <w:p w:rsidRPr="00A8162E" w:rsidR="00AB3EC9" w:rsidP="00AB3EC9" w:rsidRDefault="00AB3EC9" w14:paraId="69F50EDF" w14:textId="7848A366">
      <w:pPr>
        <w:tabs>
          <w:tab w:val="left" w:pos="709"/>
        </w:tabs>
        <w:spacing w:before="120" w:line="276" w:lineRule="auto"/>
        <w:jc w:val="both"/>
        <w:rPr>
          <w:rFonts w:ascii="ArialMT" w:hAnsi="ArialMT"/>
          <w:sz w:val="22"/>
        </w:rPr>
      </w:pPr>
      <w:r w:rsidRPr="00A8162E">
        <w:rPr>
          <w:rFonts w:ascii="Arial" w:hAnsi="Arial" w:eastAsia="Arial" w:cs="Arial"/>
          <w:sz w:val="22"/>
        </w:rPr>
        <w:tab/>
      </w:r>
      <w:r w:rsidRPr="00A8162E">
        <w:rPr>
          <w:rFonts w:ascii="Arial" w:hAnsi="Arial" w:eastAsia="Arial" w:cs="Arial"/>
          <w:sz w:val="22"/>
        </w:rPr>
        <w:t xml:space="preserve">En términos generales, </w:t>
      </w:r>
      <w:r w:rsidR="00F3509B">
        <w:rPr>
          <w:rFonts w:ascii="Arial" w:hAnsi="Arial" w:eastAsia="Arial" w:cs="Arial"/>
          <w:sz w:val="22"/>
        </w:rPr>
        <w:t>la</w:t>
      </w:r>
      <w:r w:rsidRPr="00A8162E">
        <w:rPr>
          <w:rFonts w:ascii="Arial" w:hAnsi="Arial" w:eastAsia="Arial" w:cs="Arial"/>
          <w:sz w:val="22"/>
        </w:rPr>
        <w:t xml:space="preserve"> resolución se dispuso</w:t>
      </w:r>
      <w:r w:rsidR="00F3509B">
        <w:rPr>
          <w:rFonts w:ascii="Arial" w:hAnsi="Arial" w:eastAsia="Arial" w:cs="Arial"/>
          <w:sz w:val="22"/>
        </w:rPr>
        <w:t xml:space="preserve"> </w:t>
      </w:r>
      <w:r w:rsidRPr="00A8162E">
        <w:rPr>
          <w:rFonts w:ascii="Arial" w:hAnsi="Arial" w:eastAsia="Arial" w:cs="Arial"/>
          <w:sz w:val="22"/>
        </w:rPr>
        <w:t>que e</w:t>
      </w:r>
      <w:r w:rsidRPr="00A8162E">
        <w:rPr>
          <w:rFonts w:ascii="Arial" w:hAnsi="Arial" w:eastAsia="Arial" w:cs="Arial"/>
          <w:sz w:val="22"/>
          <w:lang w:val="es-CO"/>
        </w:rPr>
        <w:t xml:space="preserve">l ofrecimiento del proponente sobre la «garantía suplementaria o adicional» no podrá superar </w:t>
      </w:r>
      <w:r w:rsidRPr="00A8162E">
        <w:rPr>
          <w:rFonts w:ascii="Arial" w:hAnsi="Arial" w:eastAsia="Arial" w:cs="Arial"/>
          <w:sz w:val="22"/>
        </w:rPr>
        <w:t>el «[…] valor porcentual máximo entre el siguiente rango: entre el 30% y el 50% del plazo establecido por la entidad para la garantía de estabilidad y calidad de la obra […]»</w:t>
      </w:r>
      <w:r w:rsidRPr="00A8162E">
        <w:rPr>
          <w:rStyle w:val="Refdenotaalpie"/>
          <w:rFonts w:ascii="Arial" w:hAnsi="Arial" w:eastAsia="Arial" w:cs="Arial"/>
          <w:sz w:val="22"/>
        </w:rPr>
        <w:footnoteReference w:id="4"/>
      </w:r>
      <w:r w:rsidRPr="00A8162E">
        <w:rPr>
          <w:rFonts w:ascii="Arial" w:hAnsi="Arial" w:eastAsia="Arial" w:cs="Arial"/>
          <w:sz w:val="22"/>
        </w:rPr>
        <w:t xml:space="preserve">, valor porcentual que fija libremente la autoridad contratante dentro </w:t>
      </w:r>
      <w:r w:rsidR="00323D89">
        <w:rPr>
          <w:rFonts w:ascii="Arial" w:hAnsi="Arial" w:eastAsia="Arial" w:cs="Arial"/>
          <w:sz w:val="22"/>
        </w:rPr>
        <w:t>de este</w:t>
      </w:r>
      <w:r w:rsidRPr="00A8162E">
        <w:rPr>
          <w:rFonts w:ascii="Arial" w:hAnsi="Arial" w:eastAsia="Arial" w:cs="Arial"/>
          <w:sz w:val="22"/>
        </w:rPr>
        <w:t xml:space="preserve"> rang</w:t>
      </w:r>
      <w:r w:rsidRPr="00A8162E" w:rsidR="004A6D89">
        <w:rPr>
          <w:rFonts w:ascii="Arial" w:hAnsi="Arial" w:eastAsia="Arial" w:cs="Arial"/>
          <w:sz w:val="22"/>
        </w:rPr>
        <w:t>o</w:t>
      </w:r>
      <w:r w:rsidRPr="00A8162E">
        <w:rPr>
          <w:rFonts w:ascii="ArialMT" w:hAnsi="ArialMT"/>
          <w:sz w:val="22"/>
        </w:rPr>
        <w:t>. En efecto, el artículo 1 de la Resolución 116 del 21 de julio de 2020</w:t>
      </w:r>
      <w:r w:rsidR="00323D89">
        <w:rPr>
          <w:rFonts w:ascii="ArialMT" w:hAnsi="ArialMT"/>
          <w:sz w:val="22"/>
        </w:rPr>
        <w:t xml:space="preserve"> prescribe lo siguiente</w:t>
      </w:r>
      <w:r w:rsidRPr="00A8162E">
        <w:rPr>
          <w:rFonts w:ascii="ArialMT" w:hAnsi="ArialMT"/>
          <w:sz w:val="22"/>
        </w:rPr>
        <w:t>:</w:t>
      </w:r>
    </w:p>
    <w:p w:rsidRPr="00A87BDF" w:rsidR="00AB3EC9" w:rsidP="00AB3EC9" w:rsidRDefault="00AB3EC9" w14:paraId="79487599" w14:textId="77777777">
      <w:pPr>
        <w:tabs>
          <w:tab w:val="left" w:pos="709"/>
        </w:tabs>
        <w:spacing w:line="276" w:lineRule="auto"/>
        <w:jc w:val="both"/>
        <w:rPr>
          <w:rFonts w:ascii="Arial" w:hAnsi="Arial" w:cs="Arial"/>
          <w:sz w:val="22"/>
        </w:rPr>
      </w:pPr>
    </w:p>
    <w:p w:rsidRPr="00A8162E" w:rsidR="00AB3EC9" w:rsidP="00AB3EC9" w:rsidRDefault="00AB3EC9" w14:paraId="6BD460B2" w14:textId="77777777">
      <w:pPr>
        <w:tabs>
          <w:tab w:val="left" w:pos="709"/>
        </w:tabs>
        <w:ind w:left="709" w:right="758"/>
        <w:jc w:val="both"/>
        <w:rPr>
          <w:rFonts w:ascii="Arial" w:hAnsi="Arial" w:eastAsia="Arial" w:cs="Arial"/>
          <w:sz w:val="21"/>
          <w:szCs w:val="21"/>
          <w:lang w:val="es-CO"/>
        </w:rPr>
      </w:pPr>
      <w:r w:rsidRPr="00A8162E">
        <w:rPr>
          <w:rFonts w:ascii="Arial" w:hAnsi="Arial" w:eastAsia="Arial" w:cs="Arial"/>
          <w:sz w:val="21"/>
          <w:szCs w:val="21"/>
          <w:lang w:val="es-CO"/>
        </w:rPr>
        <w:t>Artículo 1. Modificación de los numerales 4.2.4, 4.2.5 y 4.2.6 del documento base. Modifíquense los numerales 4.2.4, 4.2.5 y 4.2.6 de los documentos tipo de licitación de obra pública de infraestructura de transporte – versión 2 y de selección abreviada de menor cuantía de infraestructura de transporte, los cuales quedarán así:</w:t>
      </w:r>
    </w:p>
    <w:p w:rsidRPr="00A8162E" w:rsidR="00AB3EC9" w:rsidP="00AB3EC9" w:rsidRDefault="00AB3EC9" w14:paraId="4D8E7F14" w14:textId="77777777">
      <w:pPr>
        <w:tabs>
          <w:tab w:val="left" w:pos="709"/>
        </w:tabs>
        <w:spacing w:before="120"/>
        <w:ind w:left="709" w:right="758"/>
        <w:jc w:val="both"/>
        <w:rPr>
          <w:rFonts w:ascii="Arial" w:hAnsi="Arial" w:eastAsia="Arial" w:cs="Arial"/>
          <w:sz w:val="21"/>
          <w:szCs w:val="21"/>
          <w:lang w:val="es-CO"/>
        </w:rPr>
      </w:pPr>
      <w:r w:rsidRPr="00A8162E">
        <w:rPr>
          <w:rFonts w:ascii="Arial" w:hAnsi="Arial" w:eastAsia="Arial" w:cs="Arial"/>
          <w:sz w:val="21"/>
          <w:szCs w:val="21"/>
          <w:lang w:val="es-CO"/>
        </w:rPr>
        <w:t>4.2.4 GARANTÍA SUPLEMENTARIA O ADICIONAL</w:t>
      </w:r>
    </w:p>
    <w:p w:rsidRPr="00A8162E" w:rsidR="00AB3EC9" w:rsidP="00AB3EC9" w:rsidRDefault="00AB3EC9" w14:paraId="6EAE0A30" w14:textId="77777777">
      <w:pPr>
        <w:tabs>
          <w:tab w:val="left" w:pos="709"/>
        </w:tabs>
        <w:spacing w:before="120"/>
        <w:ind w:left="709" w:right="758"/>
        <w:jc w:val="both"/>
        <w:rPr>
          <w:rFonts w:ascii="Arial" w:hAnsi="Arial" w:eastAsia="Arial" w:cs="Arial"/>
          <w:sz w:val="21"/>
          <w:szCs w:val="21"/>
          <w:lang w:val="es-CO"/>
        </w:rPr>
      </w:pPr>
      <w:r w:rsidRPr="00A8162E">
        <w:rPr>
          <w:rFonts w:ascii="Arial" w:hAnsi="Arial" w:eastAsia="Arial" w:cs="Arial"/>
          <w:sz w:val="21"/>
          <w:szCs w:val="21"/>
          <w:lang w:val="es-CO"/>
        </w:rPr>
        <w:t>[…]</w:t>
      </w:r>
    </w:p>
    <w:p w:rsidRPr="00A8162E" w:rsidR="00AB3EC9" w:rsidP="00AB3EC9" w:rsidRDefault="00AB3EC9" w14:paraId="25C9D12B" w14:textId="77777777">
      <w:pPr>
        <w:tabs>
          <w:tab w:val="left" w:pos="709"/>
        </w:tabs>
        <w:spacing w:before="120"/>
        <w:ind w:left="709" w:right="758"/>
        <w:jc w:val="both"/>
        <w:rPr>
          <w:rFonts w:ascii="Arial" w:hAnsi="Arial" w:eastAsia="Arial" w:cs="Arial"/>
          <w:sz w:val="21"/>
          <w:szCs w:val="21"/>
          <w:lang w:val="es-CO"/>
        </w:rPr>
      </w:pPr>
      <w:r w:rsidRPr="00A8162E">
        <w:rPr>
          <w:rFonts w:ascii="Arial" w:hAnsi="Arial" w:eastAsia="Arial" w:cs="Arial"/>
          <w:sz w:val="21"/>
          <w:szCs w:val="21"/>
          <w:lang w:val="es-CO"/>
        </w:rPr>
        <w:t>En caso de que el proponente se comprometa a ofertar este Factor de Calidad debe tener en cuenta las siguientes consideraciones:</w:t>
      </w:r>
    </w:p>
    <w:p w:rsidRPr="00A8162E" w:rsidR="00AB3EC9" w:rsidP="00AB3EC9" w:rsidRDefault="00AB3EC9" w14:paraId="4A6A30AB" w14:textId="77777777">
      <w:pPr>
        <w:tabs>
          <w:tab w:val="left" w:pos="709"/>
        </w:tabs>
        <w:spacing w:before="120"/>
        <w:ind w:left="709" w:right="758"/>
        <w:jc w:val="both"/>
        <w:rPr>
          <w:rFonts w:ascii="Arial" w:hAnsi="Arial" w:eastAsia="Arial" w:cs="Arial"/>
          <w:sz w:val="21"/>
          <w:szCs w:val="21"/>
          <w:lang w:val="es-CO"/>
        </w:rPr>
      </w:pPr>
      <w:r w:rsidRPr="00A8162E">
        <w:rPr>
          <w:rFonts w:ascii="Arial" w:hAnsi="Arial" w:eastAsia="Arial" w:cs="Arial"/>
          <w:sz w:val="21"/>
          <w:szCs w:val="21"/>
          <w:lang w:val="es-CO"/>
        </w:rPr>
        <w:t>[…]</w:t>
      </w:r>
    </w:p>
    <w:p w:rsidRPr="00A8162E" w:rsidR="00AB3EC9" w:rsidP="00AB3EC9" w:rsidRDefault="00AB3EC9" w14:paraId="66D9E5FD" w14:textId="77777777">
      <w:pPr>
        <w:tabs>
          <w:tab w:val="left" w:pos="709"/>
        </w:tabs>
        <w:spacing w:before="120"/>
        <w:ind w:left="709" w:right="758"/>
        <w:jc w:val="both"/>
        <w:rPr>
          <w:rFonts w:ascii="Arial" w:hAnsi="Arial" w:eastAsia="Arial" w:cs="Arial"/>
          <w:sz w:val="21"/>
          <w:szCs w:val="21"/>
          <w:lang w:val="es-CO"/>
        </w:rPr>
      </w:pPr>
      <w:r w:rsidRPr="00A8162E">
        <w:rPr>
          <w:rFonts w:ascii="Arial" w:hAnsi="Arial" w:eastAsia="Arial" w:cs="Arial"/>
          <w:sz w:val="21"/>
          <w:szCs w:val="21"/>
          <w:lang w:val="es-CO"/>
        </w:rPr>
        <w:t xml:space="preserve">IV. El ofrecimiento realizado por el proponente no podrá superar el [la entidad deberá determinar el valor porcentual máximo entre el siguiente rango: 30% y 50%] del plazo establecido por la entidad para la garantía de estabilidad y calidad de la obra de acuerdo con las disposiciones del artículo 2.2.1.2.3.1.14. </w:t>
      </w:r>
      <w:r w:rsidRPr="00A8162E">
        <w:rPr>
          <w:rFonts w:ascii="Arial" w:hAnsi="Arial" w:eastAsia="Arial" w:cs="Arial"/>
          <w:sz w:val="21"/>
          <w:szCs w:val="21"/>
          <w:lang w:val="es-CO"/>
        </w:rPr>
        <w:lastRenderedPageBreak/>
        <w:t>del Decreto 1082 de 2015. [Es decir, si fue establecido un plazo de estabilidad y calidad de la obra de 5 años, y fue fijado un valor máximo del 50%, el proponente podrá ofertar hasta máximo 30 meses de garantía suplementaria o adicional.]</w:t>
      </w:r>
    </w:p>
    <w:p w:rsidRPr="00A8162E" w:rsidR="00AB3EC9" w:rsidP="00AB3EC9" w:rsidRDefault="00AB3EC9" w14:paraId="5058FAE5" w14:textId="77777777">
      <w:pPr>
        <w:tabs>
          <w:tab w:val="left" w:pos="709"/>
        </w:tabs>
        <w:spacing w:before="120"/>
        <w:ind w:left="709" w:right="758"/>
        <w:jc w:val="both"/>
        <w:rPr>
          <w:rFonts w:ascii="Arial" w:hAnsi="Arial" w:eastAsia="Arial" w:cs="Arial"/>
          <w:sz w:val="21"/>
          <w:szCs w:val="21"/>
          <w:lang w:val="es-CO"/>
        </w:rPr>
      </w:pPr>
      <w:r w:rsidRPr="00A8162E">
        <w:rPr>
          <w:rFonts w:ascii="Arial" w:hAnsi="Arial" w:eastAsia="Arial" w:cs="Arial"/>
          <w:sz w:val="21"/>
          <w:szCs w:val="21"/>
          <w:lang w:val="es-CO"/>
        </w:rPr>
        <w:t>V. El plazo máximo a ofertar por concepto de garantía suplementaria o adicional es: [la entidad deberá indicar el valor en meses máximo que será posible ofertar por parte del Proponente.]</w:t>
      </w:r>
    </w:p>
    <w:p w:rsidRPr="00A87BDF" w:rsidR="00AB3EC9" w:rsidP="00A87BDF" w:rsidRDefault="00AB3EC9" w14:paraId="009DF0D2" w14:textId="77777777">
      <w:pPr>
        <w:tabs>
          <w:tab w:val="left" w:pos="709"/>
        </w:tabs>
        <w:spacing w:line="276" w:lineRule="auto"/>
        <w:ind w:left="709" w:right="760"/>
        <w:jc w:val="both"/>
        <w:rPr>
          <w:rFonts w:ascii="Arial" w:hAnsi="Arial" w:eastAsia="Arial" w:cs="Arial"/>
          <w:sz w:val="22"/>
          <w:lang w:val="es-CO"/>
        </w:rPr>
      </w:pPr>
    </w:p>
    <w:p w:rsidRPr="00A8162E" w:rsidR="00AB3EC9" w:rsidP="00A87BDF" w:rsidRDefault="00AB3EC9" w14:paraId="00E9500B" w14:textId="15B18548">
      <w:pPr>
        <w:spacing w:line="276" w:lineRule="auto"/>
        <w:ind w:firstLine="720"/>
        <w:jc w:val="both"/>
        <w:rPr>
          <w:rFonts w:ascii="Arial" w:hAnsi="Arial" w:eastAsia="Arial" w:cs="Arial"/>
          <w:sz w:val="22"/>
        </w:rPr>
      </w:pPr>
      <w:bookmarkStart w:name="_Hlk54105755" w:id="0"/>
      <w:r w:rsidRPr="00A8162E">
        <w:rPr>
          <w:rFonts w:ascii="Arial" w:hAnsi="Arial" w:eastAsia="Arial" w:cs="Arial"/>
          <w:sz w:val="22"/>
        </w:rPr>
        <w:t xml:space="preserve">Como se observa, las entidades, a partir de la Resolución No. 116 de 2020, pueden fijar discrecionalmente un número de meses que den lugar a otorgar el puntaje por mantenimiento adicional, y no dependerá exclusivamente del proponente ofertar el tiempo de </w:t>
      </w:r>
      <w:r w:rsidRPr="00A8162E" w:rsidR="004A6D89">
        <w:rPr>
          <w:rFonts w:ascii="Arial" w:hAnsi="Arial" w:eastAsia="Arial" w:cs="Arial"/>
          <w:sz w:val="22"/>
        </w:rPr>
        <w:t xml:space="preserve">garantía suplementaria </w:t>
      </w:r>
      <w:r w:rsidRPr="00A8162E">
        <w:rPr>
          <w:rFonts w:ascii="Arial" w:hAnsi="Arial" w:eastAsia="Arial" w:cs="Arial"/>
          <w:sz w:val="22"/>
        </w:rPr>
        <w:t xml:space="preserve">que está en capacidad de ofrecer, lo cual reduce el riesgo de direccionamiento, fomenta la competencia e incrementa las condiciones de calidad para la entidad. </w:t>
      </w:r>
    </w:p>
    <w:bookmarkEnd w:id="0"/>
    <w:p w:rsidRPr="00A8162E" w:rsidR="00AB3EC9" w:rsidP="00AB3EC9" w:rsidRDefault="00AB3EC9" w14:paraId="11B055D8" w14:textId="5652CD22">
      <w:pPr>
        <w:tabs>
          <w:tab w:val="left" w:pos="709"/>
        </w:tabs>
        <w:spacing w:before="120" w:line="276" w:lineRule="auto"/>
        <w:jc w:val="both"/>
        <w:rPr>
          <w:rFonts w:ascii="Arial" w:hAnsi="Arial" w:eastAsia="Arial" w:cs="Arial"/>
          <w:sz w:val="22"/>
        </w:rPr>
      </w:pPr>
      <w:r w:rsidRPr="00A8162E">
        <w:rPr>
          <w:rFonts w:ascii="Arial" w:hAnsi="Arial" w:eastAsia="Arial" w:cs="Arial"/>
          <w:sz w:val="22"/>
        </w:rPr>
        <w:tab/>
      </w:r>
      <w:r w:rsidRPr="00A8162E">
        <w:rPr>
          <w:rFonts w:ascii="Arial" w:hAnsi="Arial" w:eastAsia="Arial" w:cs="Arial"/>
          <w:sz w:val="22"/>
        </w:rPr>
        <w:t xml:space="preserve">Es del caso mencionar que para otorgar el puntaje basta con diligenciar </w:t>
      </w:r>
      <w:r w:rsidRPr="00A8162E" w:rsidR="004A6D89">
        <w:rPr>
          <w:rFonts w:ascii="Arial" w:hAnsi="Arial" w:eastAsia="Arial" w:cs="Arial"/>
          <w:sz w:val="22"/>
        </w:rPr>
        <w:t>el</w:t>
      </w:r>
      <w:r w:rsidRPr="00A8162E">
        <w:rPr>
          <w:rFonts w:ascii="Arial" w:hAnsi="Arial" w:eastAsia="Arial" w:cs="Arial"/>
          <w:sz w:val="22"/>
        </w:rPr>
        <w:t xml:space="preserve"> formato «Formato 7D – Garantía suplementaria o adicional»,</w:t>
      </w:r>
      <w:r w:rsidRPr="00A8162E" w:rsidR="004A6D89">
        <w:rPr>
          <w:rFonts w:ascii="Arial" w:hAnsi="Arial" w:eastAsia="Arial" w:cs="Arial"/>
          <w:sz w:val="22"/>
        </w:rPr>
        <w:t xml:space="preserve"> cuando este haya sido incluido como factor </w:t>
      </w:r>
      <w:r w:rsidRPr="00A8162E">
        <w:rPr>
          <w:rFonts w:ascii="Arial" w:hAnsi="Arial" w:eastAsia="Arial" w:cs="Arial"/>
          <w:sz w:val="22"/>
        </w:rPr>
        <w:t>de evaluación por la</w:t>
      </w:r>
      <w:r w:rsidRPr="00A8162E" w:rsidR="004A6D89">
        <w:rPr>
          <w:rFonts w:ascii="Arial" w:hAnsi="Arial" w:eastAsia="Arial" w:cs="Arial"/>
          <w:sz w:val="22"/>
        </w:rPr>
        <w:t xml:space="preserve"> respectiva</w:t>
      </w:r>
      <w:r w:rsidRPr="00A8162E">
        <w:rPr>
          <w:rFonts w:ascii="Arial" w:hAnsi="Arial" w:eastAsia="Arial" w:cs="Arial"/>
          <w:sz w:val="22"/>
        </w:rPr>
        <w:t xml:space="preserve"> entidad. En efecto, al diligenciarlo el proponente debe indicar bajo la gravedad de juramento cuál es el compromiso que asume</w:t>
      </w:r>
      <w:r w:rsidRPr="00A8162E" w:rsidR="004A6D89">
        <w:rPr>
          <w:rFonts w:ascii="Arial" w:hAnsi="Arial" w:eastAsia="Arial" w:cs="Arial"/>
          <w:sz w:val="22"/>
        </w:rPr>
        <w:t xml:space="preserve"> em términos de meses de garantía </w:t>
      </w:r>
      <w:r w:rsidRPr="00A8162E" w:rsidR="00AB7B5A">
        <w:rPr>
          <w:rFonts w:ascii="Arial" w:hAnsi="Arial" w:eastAsia="Arial" w:cs="Arial"/>
          <w:sz w:val="22"/>
        </w:rPr>
        <w:t>suplementaria</w:t>
      </w:r>
      <w:r w:rsidRPr="00A8162E">
        <w:rPr>
          <w:rFonts w:ascii="Arial" w:hAnsi="Arial" w:eastAsia="Arial" w:cs="Arial"/>
          <w:sz w:val="22"/>
        </w:rPr>
        <w:t xml:space="preserve">, claro está, dentro de los límites señalados </w:t>
      </w:r>
      <w:r w:rsidR="0064331E">
        <w:rPr>
          <w:rFonts w:ascii="Arial" w:hAnsi="Arial" w:eastAsia="Arial" w:cs="Arial"/>
          <w:sz w:val="22"/>
        </w:rPr>
        <w:t>anteriormente</w:t>
      </w:r>
      <w:r w:rsidRPr="00A8162E">
        <w:rPr>
          <w:rFonts w:ascii="Arial" w:hAnsi="Arial" w:eastAsia="Arial" w:cs="Arial"/>
          <w:sz w:val="22"/>
        </w:rPr>
        <w:t>.</w:t>
      </w:r>
    </w:p>
    <w:p w:rsidRPr="00A8162E" w:rsidR="00AB3EC9" w:rsidP="00AB3EC9" w:rsidRDefault="00AB3EC9" w14:paraId="34D9FA84" w14:textId="1E877046">
      <w:pPr>
        <w:tabs>
          <w:tab w:val="left" w:pos="709"/>
        </w:tabs>
        <w:spacing w:before="120" w:line="276" w:lineRule="auto"/>
        <w:jc w:val="both"/>
        <w:rPr>
          <w:rFonts w:ascii="Arial" w:hAnsi="Arial" w:eastAsia="Arial" w:cs="Arial"/>
          <w:sz w:val="22"/>
        </w:rPr>
      </w:pPr>
      <w:r w:rsidRPr="00A8162E">
        <w:rPr>
          <w:rFonts w:ascii="Arial" w:hAnsi="Arial" w:eastAsia="Arial" w:cs="Arial"/>
          <w:sz w:val="22"/>
        </w:rPr>
        <w:tab/>
      </w:r>
      <w:r w:rsidRPr="00A8162E">
        <w:rPr>
          <w:rFonts w:ascii="Arial" w:hAnsi="Arial" w:eastAsia="Arial" w:cs="Arial"/>
          <w:sz w:val="22"/>
        </w:rPr>
        <w:t xml:space="preserve"> Es del caso precisar que el </w:t>
      </w:r>
      <w:r w:rsidRPr="00A8162E" w:rsidR="00323D89">
        <w:rPr>
          <w:rFonts w:ascii="Arial" w:hAnsi="Arial" w:eastAsia="Arial" w:cs="Arial"/>
          <w:sz w:val="22"/>
        </w:rPr>
        <w:t>documento tipo</w:t>
      </w:r>
      <w:r w:rsidRPr="00A8162E">
        <w:rPr>
          <w:rFonts w:ascii="Arial" w:hAnsi="Arial" w:eastAsia="Arial" w:cs="Arial"/>
          <w:sz w:val="22"/>
        </w:rPr>
        <w:t xml:space="preserve">, antes de la Resolución No. 116 de 2020, no limitaba al oferente </w:t>
      </w:r>
      <w:r w:rsidR="00323D89">
        <w:rPr>
          <w:rFonts w:ascii="Arial" w:hAnsi="Arial" w:eastAsia="Arial" w:cs="Arial"/>
          <w:sz w:val="22"/>
        </w:rPr>
        <w:t>respecto</w:t>
      </w:r>
      <w:r w:rsidRPr="00A8162E" w:rsidR="00323D89">
        <w:rPr>
          <w:rFonts w:ascii="Arial" w:hAnsi="Arial" w:eastAsia="Arial" w:cs="Arial"/>
          <w:sz w:val="22"/>
        </w:rPr>
        <w:t xml:space="preserve"> </w:t>
      </w:r>
      <w:r w:rsidRPr="00A8162E">
        <w:rPr>
          <w:rFonts w:ascii="Arial" w:hAnsi="Arial" w:eastAsia="Arial" w:cs="Arial"/>
          <w:sz w:val="22"/>
        </w:rPr>
        <w:t xml:space="preserve">al número de meses de garantía adicional que se comprometía a otorgar </w:t>
      </w:r>
      <w:r w:rsidR="00323D89">
        <w:rPr>
          <w:rFonts w:ascii="Arial" w:hAnsi="Arial" w:eastAsia="Arial" w:cs="Arial"/>
          <w:sz w:val="22"/>
        </w:rPr>
        <w:t>en el</w:t>
      </w:r>
      <w:r w:rsidRPr="00A8162E">
        <w:rPr>
          <w:rFonts w:ascii="Arial" w:hAnsi="Arial" w:eastAsia="Arial" w:cs="Arial"/>
          <w:sz w:val="22"/>
        </w:rPr>
        <w:t xml:space="preserve"> proyecto. Estos ofrecimientos dependían únicamente de las capacidades propias de cada oferente</w:t>
      </w:r>
      <w:r w:rsidR="00323D89">
        <w:rPr>
          <w:rFonts w:ascii="Arial" w:hAnsi="Arial" w:eastAsia="Arial" w:cs="Arial"/>
          <w:sz w:val="22"/>
        </w:rPr>
        <w:t>,</w:t>
      </w:r>
      <w:r w:rsidRPr="00A8162E">
        <w:rPr>
          <w:rFonts w:ascii="Arial" w:hAnsi="Arial" w:eastAsia="Arial" w:cs="Arial"/>
          <w:sz w:val="22"/>
        </w:rPr>
        <w:t xml:space="preserve"> ya que se realizaban dependiendo de su infraestructura y capacidad financiera y la labor de análisis de las condiciones bajo las cuales presentaría su propuesta</w:t>
      </w:r>
      <w:r w:rsidR="00087064">
        <w:rPr>
          <w:rFonts w:ascii="Arial" w:hAnsi="Arial" w:eastAsia="Arial" w:cs="Arial"/>
          <w:sz w:val="22"/>
        </w:rPr>
        <w:t>. Lo anterior sin perjuicio</w:t>
      </w:r>
      <w:r w:rsidRPr="00A8162E">
        <w:rPr>
          <w:rFonts w:ascii="Arial" w:hAnsi="Arial" w:eastAsia="Arial" w:cs="Arial"/>
          <w:sz w:val="22"/>
        </w:rPr>
        <w:t xml:space="preserve"> de que cumplir estos ofrecimientos constit</w:t>
      </w:r>
      <w:r w:rsidR="00323D89">
        <w:rPr>
          <w:rFonts w:ascii="Arial" w:hAnsi="Arial" w:eastAsia="Arial" w:cs="Arial"/>
          <w:sz w:val="22"/>
        </w:rPr>
        <w:t>uye</w:t>
      </w:r>
      <w:r w:rsidRPr="00A8162E">
        <w:rPr>
          <w:rFonts w:ascii="Arial" w:hAnsi="Arial" w:eastAsia="Arial" w:cs="Arial"/>
          <w:sz w:val="22"/>
        </w:rPr>
        <w:t xml:space="preserve"> una obligación contractual con todas las consecuencias que ello apareja, de manera que los proponentes oferta</w:t>
      </w:r>
      <w:r w:rsidR="00323D89">
        <w:rPr>
          <w:rFonts w:ascii="Arial" w:hAnsi="Arial" w:eastAsia="Arial" w:cs="Arial"/>
          <w:sz w:val="22"/>
        </w:rPr>
        <w:t>n</w:t>
      </w:r>
      <w:r w:rsidRPr="00A8162E">
        <w:rPr>
          <w:rFonts w:ascii="Arial" w:hAnsi="Arial" w:eastAsia="Arial" w:cs="Arial"/>
          <w:sz w:val="22"/>
        </w:rPr>
        <w:t xml:space="preserve"> lo que </w:t>
      </w:r>
      <w:r w:rsidR="00323D89">
        <w:rPr>
          <w:rFonts w:ascii="Arial" w:hAnsi="Arial" w:eastAsia="Arial" w:cs="Arial"/>
          <w:sz w:val="22"/>
        </w:rPr>
        <w:t>estén en capacidad de</w:t>
      </w:r>
      <w:r w:rsidRPr="00A8162E" w:rsidR="00323D89">
        <w:rPr>
          <w:rFonts w:ascii="Arial" w:hAnsi="Arial" w:eastAsia="Arial" w:cs="Arial"/>
          <w:sz w:val="22"/>
        </w:rPr>
        <w:t xml:space="preserve"> </w:t>
      </w:r>
      <w:r w:rsidRPr="00A8162E">
        <w:rPr>
          <w:rFonts w:ascii="Arial" w:hAnsi="Arial" w:eastAsia="Arial" w:cs="Arial"/>
          <w:sz w:val="22"/>
        </w:rPr>
        <w:t>cumplir.</w:t>
      </w:r>
    </w:p>
    <w:p w:rsidRPr="00A8162E" w:rsidR="00AB3EC9" w:rsidP="00AB3EC9" w:rsidRDefault="00AB3EC9" w14:paraId="296C5E07" w14:textId="6DA1BC7F">
      <w:pPr>
        <w:tabs>
          <w:tab w:val="left" w:pos="709"/>
        </w:tabs>
        <w:spacing w:before="120" w:line="276" w:lineRule="auto"/>
        <w:jc w:val="both"/>
        <w:rPr>
          <w:rFonts w:ascii="Arial" w:hAnsi="Arial" w:eastAsia="Arial" w:cs="Arial"/>
          <w:sz w:val="22"/>
        </w:rPr>
      </w:pPr>
      <w:r w:rsidRPr="00A8162E">
        <w:rPr>
          <w:rFonts w:ascii="Arial" w:hAnsi="Arial" w:eastAsia="Arial" w:cs="Arial"/>
          <w:sz w:val="22"/>
        </w:rPr>
        <w:tab/>
      </w:r>
      <w:r w:rsidRPr="00A8162E">
        <w:rPr>
          <w:rFonts w:ascii="Arial" w:hAnsi="Arial" w:eastAsia="Arial" w:cs="Arial"/>
          <w:sz w:val="22"/>
        </w:rPr>
        <w:t xml:space="preserve">En ese sentido, antes de la expedición de la Resolución No. 116 del 21 de julio de 2020, las entidades estatales que aplican el </w:t>
      </w:r>
      <w:r w:rsidRPr="00A8162E" w:rsidR="00323D89">
        <w:rPr>
          <w:rFonts w:ascii="Arial" w:hAnsi="Arial" w:eastAsia="Arial" w:cs="Arial"/>
          <w:sz w:val="22"/>
        </w:rPr>
        <w:t xml:space="preserve">documento tipo </w:t>
      </w:r>
      <w:r w:rsidRPr="00A8162E">
        <w:rPr>
          <w:rFonts w:ascii="Arial" w:hAnsi="Arial" w:eastAsia="Arial" w:cs="Arial"/>
          <w:sz w:val="22"/>
        </w:rPr>
        <w:t>para licitación pública</w:t>
      </w:r>
      <w:r w:rsidR="00323D89">
        <w:rPr>
          <w:rFonts w:ascii="Arial" w:hAnsi="Arial" w:eastAsia="Arial" w:cs="Arial"/>
          <w:sz w:val="22"/>
        </w:rPr>
        <w:t xml:space="preserve"> –</w:t>
      </w:r>
      <w:r w:rsidR="00087064">
        <w:rPr>
          <w:rFonts w:ascii="Arial" w:hAnsi="Arial" w:eastAsia="Arial" w:cs="Arial"/>
          <w:sz w:val="22"/>
        </w:rPr>
        <w:t xml:space="preserve"> </w:t>
      </w:r>
      <w:r w:rsidRPr="00A8162E" w:rsidR="00323D89">
        <w:rPr>
          <w:rFonts w:ascii="Arial" w:hAnsi="Arial" w:eastAsia="Arial" w:cs="Arial"/>
          <w:sz w:val="22"/>
        </w:rPr>
        <w:t>versión 2</w:t>
      </w:r>
      <w:r w:rsidRPr="00A8162E">
        <w:rPr>
          <w:rFonts w:ascii="Arial" w:hAnsi="Arial" w:eastAsia="Arial" w:cs="Arial"/>
          <w:sz w:val="22"/>
        </w:rPr>
        <w:t xml:space="preserve"> o</w:t>
      </w:r>
      <w:r w:rsidR="00087064">
        <w:rPr>
          <w:rFonts w:ascii="Arial" w:hAnsi="Arial" w:eastAsia="Arial" w:cs="Arial"/>
          <w:sz w:val="22"/>
        </w:rPr>
        <w:t xml:space="preserve"> de</w:t>
      </w:r>
      <w:r w:rsidRPr="00A8162E">
        <w:rPr>
          <w:rFonts w:ascii="Arial" w:hAnsi="Arial" w:eastAsia="Arial" w:cs="Arial"/>
          <w:sz w:val="22"/>
        </w:rPr>
        <w:t xml:space="preserve"> selección abreviada de menor cuantía no se encontraban facultadas para fijar topes o un número máximo de cuadrillas que den lugar al otorgamiento del puntaje, ya que, como se sostenía antes de la vigencia de la referida resolución, esto dependía únicamente de los proponentes. Dicha postura se justificaba, además, en que las entidades no tienen la facultad de modificar los formatos «Formato 7D – Garantía suplementaria o adicional», «7E – Cuadrillas de trabajo adicional» y «7F – Mantenimiento adicional», en la medida que </w:t>
      </w:r>
      <w:r w:rsidRPr="00A8162E">
        <w:rPr>
          <w:rFonts w:ascii="Arial" w:hAnsi="Arial" w:eastAsia="Arial" w:cs="Arial"/>
          <w:sz w:val="22"/>
        </w:rPr>
        <w:lastRenderedPageBreak/>
        <w:t xml:space="preserve">estos son </w:t>
      </w:r>
      <w:r w:rsidRPr="00A8162E" w:rsidR="00323D89">
        <w:rPr>
          <w:rFonts w:ascii="Arial" w:hAnsi="Arial" w:eastAsia="Arial" w:cs="Arial"/>
          <w:sz w:val="22"/>
        </w:rPr>
        <w:t>documentos</w:t>
      </w:r>
      <w:r w:rsidRPr="00A8162E">
        <w:rPr>
          <w:rFonts w:ascii="Arial" w:hAnsi="Arial" w:eastAsia="Arial" w:cs="Arial"/>
          <w:sz w:val="22"/>
        </w:rPr>
        <w:t xml:space="preserve"> afectados por el principio de inalterabilidad, por lo que solo pueden modificar los apartados entre corchetes y resaltados en gris</w:t>
      </w:r>
      <w:r w:rsidRPr="00A8162E">
        <w:rPr>
          <w:rFonts w:ascii="Arial" w:hAnsi="Arial" w:eastAsia="Arial" w:cs="Arial"/>
          <w:sz w:val="22"/>
          <w:vertAlign w:val="superscript"/>
        </w:rPr>
        <w:footnoteReference w:id="5"/>
      </w:r>
      <w:r w:rsidRPr="00A8162E">
        <w:rPr>
          <w:rFonts w:ascii="Arial" w:hAnsi="Arial" w:eastAsia="Arial" w:cs="Arial"/>
          <w:sz w:val="22"/>
        </w:rPr>
        <w:t xml:space="preserve">. </w:t>
      </w:r>
    </w:p>
    <w:p w:rsidRPr="00A8162E" w:rsidR="00AB3EC9" w:rsidP="00AD4990" w:rsidRDefault="00AB3EC9" w14:paraId="75D28FAB" w14:textId="31B53A48">
      <w:pPr>
        <w:tabs>
          <w:tab w:val="left" w:pos="709"/>
          <w:tab w:val="left" w:pos="7938"/>
        </w:tabs>
        <w:spacing w:before="120" w:after="120" w:line="276" w:lineRule="auto"/>
        <w:jc w:val="both"/>
        <w:rPr>
          <w:rFonts w:ascii="Arial" w:hAnsi="Arial" w:eastAsia="Arial" w:cs="Arial"/>
          <w:sz w:val="22"/>
        </w:rPr>
      </w:pPr>
      <w:r w:rsidRPr="00A8162E">
        <w:rPr>
          <w:rFonts w:ascii="Arial" w:hAnsi="Arial" w:eastAsia="Arial" w:cs="Arial"/>
          <w:sz w:val="22"/>
        </w:rPr>
        <w:tab/>
      </w:r>
      <w:r w:rsidRPr="00A8162E" w:rsidR="004A6D89">
        <w:rPr>
          <w:rFonts w:ascii="Arial" w:hAnsi="Arial" w:eastAsia="Arial" w:cs="Arial"/>
          <w:sz w:val="22"/>
        </w:rPr>
        <w:t>En conclusión</w:t>
      </w:r>
      <w:r w:rsidRPr="00A8162E">
        <w:rPr>
          <w:rFonts w:ascii="Arial" w:hAnsi="Arial" w:eastAsia="Arial" w:cs="Arial"/>
          <w:sz w:val="22"/>
        </w:rPr>
        <w:t xml:space="preserve">, al formular ofertas incluyendo </w:t>
      </w:r>
      <w:r w:rsidRPr="00A8162E" w:rsidR="004A6D89">
        <w:rPr>
          <w:rFonts w:ascii="Arial" w:hAnsi="Arial" w:eastAsia="Arial" w:cs="Arial"/>
          <w:sz w:val="22"/>
        </w:rPr>
        <w:t>el</w:t>
      </w:r>
      <w:r w:rsidRPr="00A8162E">
        <w:rPr>
          <w:rFonts w:ascii="Arial" w:hAnsi="Arial" w:eastAsia="Arial" w:cs="Arial"/>
          <w:sz w:val="22"/>
        </w:rPr>
        <w:t xml:space="preserve"> factor de calidad de garantía suplementaria, los oferentes están llamados a respetar los topes establecidos por la entidad contratante en el pliego de condiciones. En ese orden, </w:t>
      </w:r>
      <w:r w:rsidRPr="00A8162E" w:rsidR="00660428">
        <w:rPr>
          <w:rFonts w:ascii="Arial" w:hAnsi="Arial" w:eastAsia="Arial" w:cs="Arial"/>
          <w:sz w:val="22"/>
        </w:rPr>
        <w:t>los proponentes estarán en la libertad de ofertar el n</w:t>
      </w:r>
      <w:r w:rsidR="004C5C2C">
        <w:rPr>
          <w:rFonts w:ascii="Arial" w:hAnsi="Arial" w:eastAsia="Arial" w:cs="Arial"/>
          <w:sz w:val="22"/>
        </w:rPr>
        <w:t>ú</w:t>
      </w:r>
      <w:r w:rsidRPr="00A8162E" w:rsidR="00660428">
        <w:rPr>
          <w:rFonts w:ascii="Arial" w:hAnsi="Arial" w:eastAsia="Arial" w:cs="Arial"/>
          <w:sz w:val="22"/>
        </w:rPr>
        <w:t>mero de meses de garantía adicional que este en capacidad de ofrecer, sin rebasar el tope establecido por la entidad, garantía que además no necesariamente deberá ser respaldada por una aseguradora, sino que podrá ser una garantía comercial prestada directamente por el contratista o por un tercero con la capacidad e infraestructura para hacerlo.</w:t>
      </w:r>
    </w:p>
    <w:p w:rsidR="00323D89" w:rsidP="007D3673" w:rsidRDefault="00AD4990" w14:paraId="7FC141F5" w14:textId="1089AAE9">
      <w:pPr>
        <w:tabs>
          <w:tab w:val="left" w:pos="426"/>
        </w:tabs>
        <w:spacing w:after="120" w:line="276" w:lineRule="auto"/>
        <w:jc w:val="both"/>
        <w:rPr>
          <w:rFonts w:ascii="Arial" w:hAnsi="Arial" w:cs="Arial"/>
          <w:sz w:val="22"/>
        </w:rPr>
      </w:pPr>
      <w:r w:rsidRPr="00A8162E">
        <w:rPr>
          <w:rFonts w:ascii="Arial" w:hAnsi="Arial" w:eastAsia="Calibri" w:cs="Arial"/>
          <w:sz w:val="22"/>
        </w:rPr>
        <w:tab/>
      </w:r>
      <w:r w:rsidRPr="00A8162E">
        <w:rPr>
          <w:rFonts w:ascii="Arial" w:hAnsi="Arial" w:eastAsia="Calibri" w:cs="Arial"/>
          <w:sz w:val="22"/>
        </w:rPr>
        <w:tab/>
      </w:r>
      <w:r w:rsidRPr="00A8162E">
        <w:rPr>
          <w:rFonts w:ascii="Arial" w:hAnsi="Arial" w:eastAsia="Calibri" w:cs="Arial"/>
          <w:sz w:val="22"/>
        </w:rPr>
        <w:t xml:space="preserve">Por último, es necesario mencionar que, los ofrecimientos de garantía suplementaria que se hagan en la etapa de selección constituyen un compromiso previsto dentro de las obligaciones incluidas en el «Anexo 5- Minuta del Contrato». </w:t>
      </w:r>
      <w:r w:rsidRPr="00A8162E">
        <w:rPr>
          <w:rFonts w:ascii="Arial" w:hAnsi="Arial" w:cs="Arial"/>
          <w:sz w:val="22"/>
        </w:rPr>
        <w:t xml:space="preserve">Para estos efectos, en la «Cláusula 9. OBLIGACIONES GENERALES» la entidad tiene la opción de seleccionar algunas de las obligaciones, combinarlas, eliminar o incluir las que considere convenientes. En este sentido, la Agencia Nacional de Contratación Pública incluye la siguiente obligación: «Acreditar el cumplimiento del factor de calidad ofrecido durante la fase de selección en los plazos acordados con la Entidad». </w:t>
      </w:r>
    </w:p>
    <w:p w:rsidRPr="00A8162E" w:rsidR="00F82FFE" w:rsidRDefault="0061720F" w14:paraId="32DF3A53" w14:textId="5B5EFA45">
      <w:pPr>
        <w:tabs>
          <w:tab w:val="left" w:pos="426"/>
        </w:tabs>
        <w:spacing w:line="276" w:lineRule="auto"/>
        <w:jc w:val="both"/>
        <w:rPr>
          <w:rFonts w:ascii="Arial" w:hAnsi="Arial" w:cs="Arial"/>
          <w:sz w:val="22"/>
        </w:rPr>
      </w:pPr>
      <w:r>
        <w:rPr>
          <w:rFonts w:ascii="Arial" w:hAnsi="Arial" w:cs="Arial"/>
          <w:sz w:val="22"/>
        </w:rPr>
        <w:tab/>
      </w:r>
      <w:r>
        <w:rPr>
          <w:rFonts w:ascii="Arial" w:hAnsi="Arial" w:cs="Arial"/>
          <w:sz w:val="22"/>
        </w:rPr>
        <w:tab/>
      </w:r>
      <w:r w:rsidRPr="00A8162E" w:rsidR="00AD4990">
        <w:rPr>
          <w:rFonts w:ascii="Arial" w:hAnsi="Arial" w:cs="Arial"/>
          <w:sz w:val="22"/>
        </w:rPr>
        <w:t>De esta forma se garantiza que el ofrecimiento en relación con la garantía suplementaria se cumpla, so pena de las sanciones que se impongan por incumplimiento contractual. Por lo demás, en la cláusula anteriormente mencionada, la entidad tiene la autonomía para agregar nuevas obligaciones relacionadas con los «Factores de Calidad» dependiendo de cuales se incluyan en cada caso, con el fin de garantizar el cumplimiento de los ofrecimientos realizados por el proponente. En este sentido, las entidades incluirán las obligaciones que considere pertinentes y adecuadas para verificar el cumplimiento de los «Factores de Calidad».</w:t>
      </w:r>
      <w:r w:rsidR="00323D89">
        <w:rPr>
          <w:rFonts w:ascii="Arial" w:hAnsi="Arial" w:cs="Arial"/>
          <w:sz w:val="22"/>
        </w:rPr>
        <w:t xml:space="preserve"> </w:t>
      </w:r>
      <w:r w:rsidRPr="00A8162E" w:rsidR="007D3673">
        <w:rPr>
          <w:rFonts w:ascii="Arial" w:hAnsi="Arial" w:cs="Arial"/>
          <w:sz w:val="22"/>
        </w:rPr>
        <w:t xml:space="preserve">No sobra agregar que de conformidad con el numeral 4.2.4 del </w:t>
      </w:r>
      <w:r w:rsidRPr="00A8162E" w:rsidR="00087064">
        <w:rPr>
          <w:rFonts w:ascii="Arial" w:hAnsi="Arial" w:cs="Arial"/>
          <w:sz w:val="22"/>
        </w:rPr>
        <w:t>documento base</w:t>
      </w:r>
      <w:r w:rsidRPr="00A8162E" w:rsidR="007D3673">
        <w:rPr>
          <w:rFonts w:ascii="Arial" w:hAnsi="Arial" w:cs="Arial"/>
          <w:sz w:val="22"/>
        </w:rPr>
        <w:t>, el seguimiento al cumplimiento de la garantía suplementaria deberá ser realizado por las entidades contratantes en los términos del numeral 4 del artículo 4 de la Ley 80 de 1993</w:t>
      </w:r>
      <w:r w:rsidRPr="00A8162E" w:rsidR="007D3673">
        <w:rPr>
          <w:rStyle w:val="Refdenotaalpie"/>
          <w:rFonts w:ascii="Arial" w:hAnsi="Arial" w:cs="Arial"/>
          <w:sz w:val="22"/>
        </w:rPr>
        <w:footnoteReference w:id="6"/>
      </w:r>
      <w:r w:rsidRPr="00A8162E" w:rsidR="007D3673">
        <w:rPr>
          <w:rFonts w:ascii="Arial" w:hAnsi="Arial" w:cs="Arial"/>
          <w:sz w:val="22"/>
        </w:rPr>
        <w:t>.</w:t>
      </w:r>
    </w:p>
    <w:p w:rsidRPr="00A8162E" w:rsidR="007D3673" w:rsidP="008F4C3C" w:rsidRDefault="007D3673" w14:paraId="14C8D6AD" w14:textId="77777777">
      <w:pPr>
        <w:tabs>
          <w:tab w:val="left" w:pos="426"/>
        </w:tabs>
        <w:spacing w:line="276" w:lineRule="auto"/>
        <w:jc w:val="both"/>
        <w:rPr>
          <w:rFonts w:ascii="Arial" w:hAnsi="Arial" w:eastAsia="Calibri" w:cs="Arial"/>
          <w:sz w:val="22"/>
        </w:rPr>
      </w:pPr>
    </w:p>
    <w:p w:rsidRPr="00A8162E" w:rsidR="005A79FE" w:rsidP="00034457" w:rsidRDefault="00A2324E" w14:paraId="5D99A3C6" w14:textId="4E5C1E6C">
      <w:pPr>
        <w:pStyle w:val="Prrafodelista"/>
        <w:tabs>
          <w:tab w:val="left" w:pos="284"/>
        </w:tabs>
        <w:spacing w:line="276" w:lineRule="auto"/>
        <w:ind w:left="0"/>
        <w:jc w:val="both"/>
        <w:rPr>
          <w:rFonts w:ascii="Arial" w:hAnsi="Arial" w:eastAsia="Calibri" w:cs="Arial"/>
          <w:sz w:val="22"/>
        </w:rPr>
      </w:pPr>
      <w:r w:rsidRPr="00A8162E">
        <w:rPr>
          <w:rFonts w:ascii="Arial" w:hAnsi="Arial" w:eastAsia="Calibri" w:cs="Arial"/>
          <w:b/>
          <w:sz w:val="22"/>
        </w:rPr>
        <w:t xml:space="preserve">3. </w:t>
      </w:r>
      <w:r w:rsidRPr="00A8162E" w:rsidR="005A79FE">
        <w:rPr>
          <w:rFonts w:ascii="Arial" w:hAnsi="Arial" w:eastAsia="Calibri" w:cs="Arial"/>
          <w:b/>
          <w:sz w:val="22"/>
        </w:rPr>
        <w:t>Respuestas</w:t>
      </w:r>
    </w:p>
    <w:p w:rsidRPr="00A87BDF" w:rsidR="005A79FE" w:rsidP="005A79FE" w:rsidRDefault="005A79FE" w14:paraId="6A2CCB9A" w14:textId="77777777">
      <w:pPr>
        <w:spacing w:line="276" w:lineRule="auto"/>
        <w:ind w:left="709" w:right="709"/>
        <w:jc w:val="both"/>
        <w:rPr>
          <w:rFonts w:ascii="Arial" w:hAnsi="Arial" w:eastAsia="Calibri" w:cs="Arial"/>
          <w:iCs/>
          <w:sz w:val="22"/>
        </w:rPr>
      </w:pPr>
    </w:p>
    <w:p w:rsidRPr="00A8162E" w:rsidR="00A8162E" w:rsidP="00A8162E" w:rsidRDefault="00A8162E" w14:paraId="7C6FB024" w14:textId="77777777">
      <w:pPr>
        <w:pStyle w:val="Default"/>
        <w:ind w:left="709" w:right="709"/>
        <w:jc w:val="both"/>
        <w:rPr>
          <w:rFonts w:eastAsia="Calibri"/>
          <w:color w:val="auto"/>
          <w:sz w:val="21"/>
          <w:szCs w:val="21"/>
        </w:rPr>
      </w:pPr>
      <w:r w:rsidRPr="00A8162E">
        <w:rPr>
          <w:rFonts w:eastAsia="Calibri"/>
          <w:color w:val="auto"/>
          <w:sz w:val="21"/>
          <w:szCs w:val="21"/>
        </w:rPr>
        <w:t>«</w:t>
      </w:r>
      <w:r w:rsidRPr="00A8162E">
        <w:rPr>
          <w:color w:val="auto"/>
          <w:sz w:val="21"/>
          <w:szCs w:val="21"/>
        </w:rPr>
        <w:t>Uno de los factores de calidad de los pliegos tipo en el numeral 4.2, es la Garantía Suplementaria o Adicional, en varios de los procesos licitatorios que se están desarrollando, el parámetro arbitrario por muchos municipios es establecer el 50% del plazo establecido por la entidad para la garantía de estabilidad y calidad de la obra, por lo anterior lo que se plantea es ofertar como máximo 30 meses de garantía suplementaria o adicional. Según las indagaciones con varias aseguradoras estas no se comprometen a extender la garantía, y claramente mientras se desarrolla el proceso habrán oferentes que ofrezcan los 30 meses exigidos por las entidades contratantes, parámetro a todas luces arbitrario y que en la realidad no se va a cumplir, por tal motivo me gustaría conocer el concepto de Colombia compra eficiente, en lo referente a la GARANTIA SUPLIMENTARIA O ADICIONAL y como las entidades contratantes están haciendo uso de este parámetro de calificación sin realizar ningún tipo de estudio».</w:t>
      </w:r>
    </w:p>
    <w:p w:rsidR="0061720F" w:rsidP="00886D25" w:rsidRDefault="0061720F" w14:paraId="06C7E7E7" w14:textId="77777777">
      <w:pPr>
        <w:spacing w:line="276" w:lineRule="auto"/>
        <w:jc w:val="both"/>
        <w:rPr>
          <w:rFonts w:ascii="Arial" w:hAnsi="Arial" w:cs="Arial"/>
          <w:sz w:val="22"/>
        </w:rPr>
      </w:pPr>
    </w:p>
    <w:p w:rsidR="00DB2411" w:rsidP="0061720F" w:rsidRDefault="00754537" w14:paraId="36C703C2" w14:textId="25507EC3">
      <w:pPr>
        <w:spacing w:after="120" w:line="276" w:lineRule="auto"/>
        <w:jc w:val="both"/>
        <w:rPr>
          <w:rFonts w:ascii="Arial" w:hAnsi="Arial" w:cs="Arial"/>
          <w:sz w:val="22"/>
        </w:rPr>
      </w:pPr>
      <w:r w:rsidRPr="00A8162E">
        <w:rPr>
          <w:rFonts w:ascii="Arial" w:hAnsi="Arial" w:cs="Arial"/>
          <w:sz w:val="22"/>
        </w:rPr>
        <w:t xml:space="preserve">La </w:t>
      </w:r>
      <w:r w:rsidRPr="00A8162E" w:rsidR="00A8162E">
        <w:rPr>
          <w:rFonts w:ascii="Arial" w:hAnsi="Arial" w:cs="Arial"/>
          <w:sz w:val="22"/>
        </w:rPr>
        <w:t>g</w:t>
      </w:r>
      <w:r w:rsidRPr="00A8162E">
        <w:rPr>
          <w:rFonts w:ascii="Arial" w:hAnsi="Arial" w:cs="Arial"/>
          <w:sz w:val="22"/>
        </w:rPr>
        <w:t xml:space="preserve">arantía </w:t>
      </w:r>
      <w:r w:rsidRPr="00A8162E" w:rsidR="00A8162E">
        <w:rPr>
          <w:rFonts w:ascii="Arial" w:hAnsi="Arial" w:cs="Arial"/>
          <w:sz w:val="22"/>
        </w:rPr>
        <w:t>s</w:t>
      </w:r>
      <w:r w:rsidRPr="00A8162E">
        <w:rPr>
          <w:rFonts w:ascii="Arial" w:hAnsi="Arial" w:cs="Arial"/>
          <w:sz w:val="22"/>
        </w:rPr>
        <w:t xml:space="preserve">uplementaria o </w:t>
      </w:r>
      <w:r w:rsidRPr="00A8162E" w:rsidR="00A8162E">
        <w:rPr>
          <w:rFonts w:ascii="Arial" w:hAnsi="Arial" w:cs="Arial"/>
          <w:sz w:val="22"/>
        </w:rPr>
        <w:t>a</w:t>
      </w:r>
      <w:r w:rsidRPr="00A8162E">
        <w:rPr>
          <w:rFonts w:ascii="Arial" w:hAnsi="Arial" w:cs="Arial"/>
          <w:sz w:val="22"/>
        </w:rPr>
        <w:t>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sidR="009E78CB">
        <w:rPr>
          <w:rFonts w:ascii="Arial" w:hAnsi="Arial" w:cs="Arial"/>
          <w:sz w:val="22"/>
        </w:rPr>
        <w:t xml:space="preserve"> conforme a lo explicado en el presente concepto</w:t>
      </w:r>
      <w:r w:rsidRPr="00A8162E">
        <w:rPr>
          <w:rFonts w:ascii="Arial" w:hAnsi="Arial" w:cs="Arial"/>
          <w:sz w:val="22"/>
        </w:rPr>
        <w:t xml:space="preserve">. </w:t>
      </w:r>
    </w:p>
    <w:p w:rsidR="00173500" w:rsidP="0061720F" w:rsidRDefault="0061720F" w14:paraId="3981A8CE" w14:textId="77777777">
      <w:pPr>
        <w:spacing w:after="120" w:line="276" w:lineRule="auto"/>
        <w:jc w:val="both"/>
        <w:rPr>
          <w:rFonts w:ascii="Arial" w:hAnsi="Arial" w:cs="Arial"/>
          <w:sz w:val="22"/>
        </w:rPr>
      </w:pPr>
      <w:r>
        <w:rPr>
          <w:rFonts w:ascii="Arial" w:hAnsi="Arial" w:cs="Arial"/>
          <w:sz w:val="22"/>
        </w:rPr>
        <w:tab/>
      </w:r>
      <w:r>
        <w:rPr>
          <w:rFonts w:ascii="Arial" w:hAnsi="Arial" w:cs="Arial"/>
          <w:sz w:val="22"/>
        </w:rPr>
        <w:t>Para estos efectos, e</w:t>
      </w:r>
      <w:r w:rsidRPr="0061720F">
        <w:rPr>
          <w:rFonts w:ascii="Arial" w:hAnsi="Arial" w:cs="Arial"/>
          <w:sz w:val="22"/>
        </w:rPr>
        <w:t>l numeral 4.2.4</w:t>
      </w:r>
      <w:r>
        <w:rPr>
          <w:rFonts w:ascii="Arial" w:hAnsi="Arial" w:cs="Arial"/>
          <w:sz w:val="22"/>
        </w:rPr>
        <w:t>,</w:t>
      </w:r>
      <w:r w:rsidRPr="0061720F">
        <w:rPr>
          <w:rFonts w:ascii="Arial" w:hAnsi="Arial" w:cs="Arial"/>
          <w:sz w:val="22"/>
        </w:rPr>
        <w:t xml:space="preserve"> </w:t>
      </w:r>
      <w:r>
        <w:rPr>
          <w:rFonts w:ascii="Arial" w:hAnsi="Arial" w:cs="Arial"/>
          <w:sz w:val="22"/>
        </w:rPr>
        <w:t>literal</w:t>
      </w:r>
      <w:r w:rsidRPr="0061720F">
        <w:rPr>
          <w:rFonts w:ascii="Arial" w:hAnsi="Arial" w:cs="Arial"/>
          <w:sz w:val="22"/>
        </w:rPr>
        <w:t xml:space="preserve"> VIII)</w:t>
      </w:r>
      <w:r>
        <w:rPr>
          <w:rFonts w:ascii="Arial" w:hAnsi="Arial" w:cs="Arial"/>
          <w:sz w:val="22"/>
        </w:rPr>
        <w:t>, de los documentos base de licitación –versión 2– y de selección abreviada de menor cuantía para obras de infraestructura de transporte</w:t>
      </w:r>
      <w:r w:rsidRPr="0061720F">
        <w:rPr>
          <w:rFonts w:ascii="Arial" w:hAnsi="Arial" w:cs="Arial"/>
          <w:sz w:val="22"/>
        </w:rPr>
        <w:t xml:space="preserve"> </w:t>
      </w:r>
      <w:r>
        <w:rPr>
          <w:rFonts w:ascii="Arial" w:hAnsi="Arial" w:cs="Arial"/>
          <w:sz w:val="22"/>
        </w:rPr>
        <w:t>dispone que</w:t>
      </w:r>
      <w:r w:rsidRPr="0061720F">
        <w:rPr>
          <w:rFonts w:ascii="Arial" w:hAnsi="Arial" w:cs="Arial"/>
          <w:sz w:val="22"/>
        </w:rPr>
        <w:t xml:space="preserve"> «La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 </w:t>
      </w:r>
    </w:p>
    <w:p w:rsidRPr="00A8162E" w:rsidR="0061720F" w:rsidP="00A87BDF" w:rsidRDefault="0061720F" w14:paraId="2D139978" w14:textId="65B41363">
      <w:pPr>
        <w:spacing w:after="120" w:line="276" w:lineRule="auto"/>
        <w:ind w:firstLine="708"/>
        <w:jc w:val="both"/>
        <w:rPr>
          <w:rFonts w:ascii="Arial" w:hAnsi="Arial" w:cs="Arial"/>
          <w:sz w:val="22"/>
        </w:rPr>
      </w:pPr>
      <w:r w:rsidRPr="0061720F">
        <w:rPr>
          <w:rFonts w:ascii="Arial" w:hAnsi="Arial" w:cs="Arial"/>
          <w:sz w:val="22"/>
        </w:rPr>
        <w:t>De este modo, el interventor verifica durante la ejecución del contrato que el contratista aporte el documento que acredite el cumplimiento de otorgar la garantía suplementaria</w:t>
      </w:r>
      <w:r w:rsidR="00173500">
        <w:rPr>
          <w:rFonts w:ascii="Arial" w:hAnsi="Arial" w:cs="Arial"/>
          <w:sz w:val="22"/>
        </w:rPr>
        <w:t xml:space="preserve">, lo cual </w:t>
      </w:r>
      <w:r w:rsidR="00173500">
        <w:rPr>
          <w:rStyle w:val="normaltextrun"/>
          <w:rFonts w:ascii="Arial" w:hAnsi="Arial" w:cs="Arial"/>
          <w:color w:val="000000"/>
          <w:sz w:val="22"/>
          <w:shd w:val="clear" w:color="auto" w:fill="FFFFFF"/>
          <w:lang w:val="es-CO"/>
        </w:rPr>
        <w:t xml:space="preserve">depende </w:t>
      </w:r>
      <w:r w:rsidR="002F3834">
        <w:rPr>
          <w:rStyle w:val="normaltextrun"/>
          <w:rFonts w:ascii="Arial" w:hAnsi="Arial" w:cs="Arial"/>
          <w:color w:val="000000"/>
          <w:sz w:val="22"/>
          <w:shd w:val="clear" w:color="auto" w:fill="FFFFFF"/>
          <w:lang w:val="es-CO"/>
        </w:rPr>
        <w:t xml:space="preserve">de </w:t>
      </w:r>
      <w:r w:rsidR="00173500">
        <w:rPr>
          <w:rStyle w:val="normaltextrun"/>
          <w:rFonts w:ascii="Arial" w:hAnsi="Arial" w:cs="Arial"/>
          <w:color w:val="000000"/>
          <w:sz w:val="22"/>
          <w:shd w:val="clear" w:color="auto" w:fill="FFFFFF"/>
          <w:lang w:val="es-CO"/>
        </w:rPr>
        <w:t>si la garantía se otorga por medio de una póliza expedida por una aseguradora o directamente como una garantía comercial. En el primer supuesto, el documento que se presenta es la póliza</w:t>
      </w:r>
      <w:r w:rsidR="00F3372F">
        <w:rPr>
          <w:rStyle w:val="normaltextrun"/>
          <w:rFonts w:ascii="Arial" w:hAnsi="Arial" w:cs="Arial"/>
          <w:color w:val="000000"/>
          <w:sz w:val="22"/>
          <w:shd w:val="clear" w:color="auto" w:fill="FFFFFF"/>
          <w:lang w:val="es-CO"/>
        </w:rPr>
        <w:t>, mientras que</w:t>
      </w:r>
      <w:r w:rsidR="00173500">
        <w:rPr>
          <w:rStyle w:val="normaltextrun"/>
          <w:rFonts w:ascii="Arial" w:hAnsi="Arial" w:cs="Arial"/>
          <w:color w:val="000000"/>
          <w:sz w:val="22"/>
          <w:shd w:val="clear" w:color="auto" w:fill="FFFFFF"/>
          <w:lang w:val="es-CO"/>
        </w:rPr>
        <w:t xml:space="preserve"> en el segundo, es decir, cuando se trata de una garantía comercial, el contratista entrega al interventor un </w:t>
      </w:r>
      <w:r w:rsidR="00173500">
        <w:rPr>
          <w:rStyle w:val="normaltextrun"/>
          <w:rFonts w:ascii="Arial" w:hAnsi="Arial" w:cs="Arial"/>
          <w:color w:val="000000"/>
          <w:sz w:val="22"/>
          <w:shd w:val="clear" w:color="auto" w:fill="FFFFFF"/>
          <w:lang w:val="es-CO"/>
        </w:rPr>
        <w:lastRenderedPageBreak/>
        <w:t>documento que cumpla las condiciones mínimas previstas en el artículo 14 de la Ley 1480 de 2011, esto es, i) debe constar por escrito, </w:t>
      </w:r>
      <w:proofErr w:type="spellStart"/>
      <w:r w:rsidR="00173500">
        <w:rPr>
          <w:rStyle w:val="normaltextrun"/>
          <w:rFonts w:ascii="Arial" w:hAnsi="Arial" w:cs="Arial"/>
          <w:color w:val="000000"/>
          <w:sz w:val="22"/>
          <w:shd w:val="clear" w:color="auto" w:fill="FFFFFF"/>
          <w:lang w:val="es-CO"/>
        </w:rPr>
        <w:t>ii</w:t>
      </w:r>
      <w:proofErr w:type="spellEnd"/>
      <w:r w:rsidR="00173500">
        <w:rPr>
          <w:rStyle w:val="normaltextrun"/>
          <w:rFonts w:ascii="Arial" w:hAnsi="Arial" w:cs="Arial"/>
          <w:color w:val="000000"/>
          <w:sz w:val="22"/>
          <w:shd w:val="clear" w:color="auto" w:fill="FFFFFF"/>
          <w:lang w:val="es-CO"/>
        </w:rPr>
        <w:t>) de fácil comprensión y </w:t>
      </w:r>
      <w:proofErr w:type="spellStart"/>
      <w:r w:rsidR="00173500">
        <w:rPr>
          <w:rStyle w:val="normaltextrun"/>
          <w:rFonts w:ascii="Arial" w:hAnsi="Arial" w:cs="Arial"/>
          <w:color w:val="000000"/>
          <w:sz w:val="22"/>
          <w:shd w:val="clear" w:color="auto" w:fill="FFFFFF"/>
          <w:lang w:val="es-CO"/>
        </w:rPr>
        <w:t>iii</w:t>
      </w:r>
      <w:proofErr w:type="spellEnd"/>
      <w:r w:rsidR="00173500">
        <w:rPr>
          <w:rStyle w:val="normaltextrun"/>
          <w:rFonts w:ascii="Arial" w:hAnsi="Arial" w:cs="Arial"/>
          <w:color w:val="000000"/>
          <w:sz w:val="22"/>
          <w:shd w:val="clear" w:color="auto" w:fill="FFFFFF"/>
          <w:lang w:val="es-CO"/>
        </w:rPr>
        <w:t>) con caracteres legibles a simple vista, donde se acredite el compromiso y la obligación que asume el contratista frente a la entidad respecto a la garantía adicional en relación con la estabilidad y calidad de la obra</w:t>
      </w:r>
      <w:r w:rsidR="00516627">
        <w:rPr>
          <w:rStyle w:val="Refdenotaalpie"/>
          <w:rFonts w:ascii="Arial" w:hAnsi="Arial" w:cs="Arial"/>
          <w:color w:val="000000"/>
          <w:sz w:val="22"/>
          <w:shd w:val="clear" w:color="auto" w:fill="FFFFFF"/>
          <w:lang w:val="es-CO"/>
        </w:rPr>
        <w:footnoteReference w:id="7"/>
      </w:r>
      <w:r w:rsidR="000E599A">
        <w:rPr>
          <w:rStyle w:val="normaltextrun"/>
          <w:rFonts w:ascii="Arial" w:hAnsi="Arial" w:cs="Arial"/>
          <w:color w:val="000000"/>
          <w:sz w:val="22"/>
          <w:shd w:val="clear" w:color="auto" w:fill="FFFFFF"/>
          <w:lang w:val="es-CO"/>
        </w:rPr>
        <w:t>.</w:t>
      </w:r>
    </w:p>
    <w:p w:rsidRPr="00A8162E" w:rsidR="00886D25" w:rsidP="00034457" w:rsidRDefault="00886D25" w14:paraId="197E9D71" w14:textId="77777777">
      <w:pPr>
        <w:spacing w:line="276" w:lineRule="auto"/>
        <w:jc w:val="both"/>
        <w:rPr>
          <w:rFonts w:ascii="Arial" w:hAnsi="Arial" w:cs="Arial"/>
          <w:sz w:val="22"/>
        </w:rPr>
      </w:pPr>
    </w:p>
    <w:p w:rsidRPr="00A8162E" w:rsidR="005A79FE" w:rsidP="00A87BDF" w:rsidRDefault="005A79FE" w14:paraId="19DA8DDB" w14:textId="663E6461">
      <w:pPr>
        <w:spacing w:after="120" w:line="276" w:lineRule="auto"/>
        <w:jc w:val="both"/>
        <w:rPr>
          <w:rFonts w:ascii="Arial" w:hAnsi="Arial" w:eastAsia="Calibri" w:cs="Arial"/>
          <w:sz w:val="22"/>
        </w:rPr>
      </w:pPr>
      <w:r w:rsidRPr="7DEAC0C0" w:rsidR="005A79FE">
        <w:rPr>
          <w:rFonts w:ascii="Arial" w:hAnsi="Arial" w:eastAsia="Calibri" w:cs="Arial"/>
          <w:sz w:val="22"/>
          <w:szCs w:val="22"/>
        </w:rPr>
        <w:t>Este concepto tiene el alcance previsto en el artículo 28 del Código de Procedimiento Administrativo y de lo Contencioso Administrativo.</w:t>
      </w:r>
    </w:p>
    <w:p w:rsidR="7DEAC0C0" w:rsidP="7DEAC0C0" w:rsidRDefault="7DEAC0C0" w14:paraId="0FC96352" w14:textId="34E9DAD0">
      <w:pPr>
        <w:pStyle w:val="Normal"/>
        <w:spacing w:after="120" w:line="276" w:lineRule="auto"/>
        <w:jc w:val="both"/>
        <w:rPr>
          <w:rFonts w:ascii="Arial" w:hAnsi="Arial" w:eastAsia="Calibri" w:cs="Arial"/>
          <w:sz w:val="22"/>
          <w:szCs w:val="22"/>
        </w:rPr>
      </w:pPr>
    </w:p>
    <w:p w:rsidR="73F03C6A" w:rsidP="7DEAC0C0" w:rsidRDefault="73F03C6A" w14:noSpellErr="1" w14:paraId="1630070F" w14:textId="6B4B120A">
      <w:pPr>
        <w:spacing w:line="276" w:lineRule="auto"/>
        <w:jc w:val="both"/>
        <w:rPr>
          <w:rFonts w:ascii="Arial" w:hAnsi="Arial" w:cs="Arial"/>
        </w:rPr>
      </w:pPr>
      <w:r w:rsidRPr="7DEAC0C0" w:rsidR="73F03C6A">
        <w:rPr>
          <w:rFonts w:ascii="Arial" w:hAnsi="Arial" w:cs="Arial"/>
          <w:sz w:val="22"/>
          <w:szCs w:val="22"/>
          <w:lang w:eastAsia="es-CO"/>
        </w:rPr>
        <w:t>Atentamente</w:t>
      </w:r>
      <w:r w:rsidRPr="7DEAC0C0" w:rsidR="73F03C6A">
        <w:rPr>
          <w:rFonts w:ascii="Arial" w:hAnsi="Arial" w:cs="Arial"/>
          <w:lang w:eastAsia="es-CO"/>
        </w:rPr>
        <w:t>,</w:t>
      </w:r>
    </w:p>
    <w:p w:rsidR="7DEAC0C0" w:rsidP="7DEAC0C0" w:rsidRDefault="7DEAC0C0" w14:paraId="2B463D4C" w14:textId="71B08149">
      <w:pPr>
        <w:pStyle w:val="Normal"/>
        <w:spacing w:after="120" w:line="276" w:lineRule="auto"/>
        <w:jc w:val="both"/>
        <w:rPr>
          <w:rFonts w:ascii="Arial" w:hAnsi="Arial" w:eastAsia="Calibri" w:cs="Arial"/>
          <w:sz w:val="22"/>
          <w:szCs w:val="22"/>
        </w:rPr>
      </w:pPr>
    </w:p>
    <w:p w:rsidRPr="00A8162E" w:rsidR="005A79FE" w:rsidP="7DEAC0C0" w:rsidRDefault="00A87BDF" w14:paraId="7080CFA4" w14:noSpellErr="1" w14:textId="57C4A47E">
      <w:pPr>
        <w:pStyle w:val="Normal"/>
        <w:jc w:val="center"/>
      </w:pPr>
      <w:r w:rsidRPr="00A8162E" w:rsidR="005A79FE">
        <w:rPr>
          <w:noProof/>
        </w:rPr>
        <mc:AlternateContent>
          <mc:Choice Requires="wps">
            <w:drawing>
              <wp:anchor distT="0" distB="0" distL="114300" distR="114300" simplePos="0" relativeHeight="251660800" behindDoc="0" locked="0" layoutInCell="1" allowOverlap="1" wp14:anchorId="194C2921" wp14:editId="1F7C1982">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4C615402">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74DE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r w:rsidR="73F03C6A">
        <w:drawing>
          <wp:inline wp14:editId="42A9FA7F" wp14:anchorId="2B3CAD91">
            <wp:extent cx="2514600" cy="1114425"/>
            <wp:effectExtent l="0" t="0" r="0" b="0"/>
            <wp:docPr id="577523135"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4c1eb151dfa642f0">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bookmarkStart w:name="_Hlk50370367" w:id="1"/>
    <w:bookmarkEnd w:id="1"/>
    <w:p w:rsidRPr="00A8162E" w:rsidR="00A8162E" w:rsidP="00A8162E" w:rsidRDefault="00A8162E" w14:paraId="0564F7B5" w14:textId="5861D086" w14:noSpellErr="1">
      <w:pPr>
        <w:jc w:val="both"/>
        <w:rPr>
          <w:rFonts w:ascii="Arial" w:hAnsi="Arial" w:cs="Arial"/>
          <w:lang w:eastAsia="es-CO"/>
        </w:rPr>
      </w:pPr>
    </w:p>
    <w:p w:rsidR="00A8162E" w:rsidP="00A8162E" w:rsidRDefault="00A8162E" w14:paraId="0D7F7FD9" w14:textId="004B7BF5">
      <w:pPr>
        <w:spacing w:after="18"/>
        <w:jc w:val="center"/>
        <w:rPr>
          <w:rFonts w:ascii="Arial" w:hAnsi="Arial" w:cs="Arial"/>
          <w:lang w:eastAsia="es-CO"/>
        </w:rPr>
      </w:pPr>
    </w:p>
    <w:p w:rsidR="00A87BDF" w:rsidP="00A8162E" w:rsidRDefault="00A87BDF" w14:paraId="0B1A367F" w14:textId="23F8F0A3">
      <w:pPr>
        <w:spacing w:after="18"/>
        <w:jc w:val="center"/>
        <w:rPr>
          <w:rFonts w:ascii="Arial" w:hAnsi="Arial" w:cs="Arial"/>
          <w:lang w:eastAsia="es-CO"/>
        </w:rPr>
      </w:pPr>
    </w:p>
    <w:p w:rsidR="00A87BDF" w:rsidP="00A8162E" w:rsidRDefault="00A87BDF" w14:paraId="08106001" w14:textId="10480630">
      <w:pPr>
        <w:spacing w:after="18"/>
        <w:jc w:val="center"/>
        <w:rPr>
          <w:rFonts w:ascii="Arial" w:hAnsi="Arial" w:cs="Arial"/>
          <w:lang w:eastAsia="es-CO"/>
        </w:rPr>
      </w:pPr>
    </w:p>
    <w:p w:rsidR="00A87BDF" w:rsidP="00A8162E" w:rsidRDefault="00A87BDF" w14:paraId="607ED928" w14:textId="7D5DD022">
      <w:pPr>
        <w:spacing w:after="18"/>
        <w:jc w:val="center"/>
        <w:rPr>
          <w:rFonts w:ascii="Arial" w:hAnsi="Arial" w:cs="Arial"/>
          <w:lang w:eastAsia="es-CO"/>
        </w:rPr>
      </w:pPr>
    </w:p>
    <w:p w:rsidR="00A87BDF" w:rsidP="00A8162E" w:rsidRDefault="00A87BDF" w14:paraId="1306AB2E" w14:textId="21B92BCF">
      <w:pPr>
        <w:spacing w:after="18"/>
        <w:jc w:val="center"/>
        <w:rPr>
          <w:rFonts w:ascii="Arial" w:hAnsi="Arial" w:cs="Arial"/>
          <w:lang w:eastAsia="es-CO"/>
        </w:rPr>
      </w:pPr>
    </w:p>
    <w:p w:rsidR="00A87BDF" w:rsidP="00A8162E" w:rsidRDefault="00A87BDF" w14:paraId="4C17F448" w14:textId="4E034141">
      <w:pPr>
        <w:spacing w:after="18"/>
        <w:jc w:val="center"/>
        <w:rPr>
          <w:rFonts w:ascii="Arial" w:hAnsi="Arial" w:cs="Arial"/>
          <w:lang w:eastAsia="es-CO"/>
        </w:rPr>
      </w:pPr>
    </w:p>
    <w:p w:rsidR="00A87BDF" w:rsidP="00A8162E" w:rsidRDefault="00A87BDF" w14:paraId="6DEB35F3" w14:textId="73819539">
      <w:pPr>
        <w:spacing w:after="18"/>
        <w:jc w:val="center"/>
        <w:rPr>
          <w:rFonts w:ascii="Arial" w:hAnsi="Arial" w:cs="Arial"/>
          <w:lang w:eastAsia="es-CO"/>
        </w:rPr>
      </w:pPr>
    </w:p>
    <w:p w:rsidRPr="00A8162E" w:rsidR="00A8162E" w:rsidP="00A8162E" w:rsidRDefault="00A8162E" w14:paraId="1DAD1340" w14:textId="77777777">
      <w:pPr>
        <w:spacing w:after="18"/>
        <w:jc w:val="center"/>
        <w:rPr>
          <w:rFonts w:ascii="Arial" w:hAnsi="Arial" w:cs="Arial"/>
          <w:lang w:eastAsia="es-CO"/>
        </w:rPr>
      </w:pPr>
    </w:p>
    <w:tbl>
      <w:tblPr>
        <w:tblStyle w:val="Tablaconcuadrcula1"/>
        <w:tblpPr w:leftFromText="141" w:rightFromText="141" w:vertAnchor="text" w:horzAnchor="margin" w:tblpY="-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3988"/>
      </w:tblGrid>
      <w:tr w:rsidRPr="00A8162E" w:rsidR="00A87BDF" w:rsidTr="00A87BDF" w14:paraId="13313EAB" w14:textId="77777777">
        <w:trPr>
          <w:trHeight w:val="286"/>
        </w:trPr>
        <w:tc>
          <w:tcPr>
            <w:tcW w:w="817" w:type="dxa"/>
            <w:vAlign w:val="center"/>
            <w:hideMark/>
          </w:tcPr>
          <w:p w:rsidRPr="00A8162E" w:rsidR="00A87BDF" w:rsidP="0084652D" w:rsidRDefault="00A87BDF" w14:paraId="13C85326" w14:textId="77777777">
            <w:pPr>
              <w:rPr>
                <w:rFonts w:ascii="Arial" w:hAnsi="Arial" w:cs="Arial"/>
                <w:sz w:val="14"/>
                <w:szCs w:val="14"/>
                <w:lang w:eastAsia="es-ES"/>
              </w:rPr>
            </w:pPr>
            <w:r w:rsidRPr="00A8162E">
              <w:rPr>
                <w:rFonts w:ascii="Arial" w:hAnsi="Arial" w:cs="Arial"/>
                <w:sz w:val="14"/>
                <w:szCs w:val="14"/>
                <w:lang w:eastAsia="es-ES"/>
              </w:rPr>
              <w:t>Elaboró:</w:t>
            </w:r>
          </w:p>
        </w:tc>
        <w:tc>
          <w:tcPr>
            <w:tcW w:w="3988" w:type="dxa"/>
            <w:tcBorders>
              <w:top w:val="nil"/>
              <w:left w:val="nil"/>
              <w:bottom w:val="dotted" w:color="7F7F7F" w:sz="4" w:space="0"/>
              <w:right w:val="nil"/>
            </w:tcBorders>
            <w:vAlign w:val="center"/>
            <w:hideMark/>
          </w:tcPr>
          <w:p w:rsidRPr="00A8162E" w:rsidR="00A87BDF" w:rsidP="0084652D" w:rsidRDefault="00A87BDF" w14:paraId="072A8491" w14:textId="38C91540">
            <w:pPr>
              <w:rPr>
                <w:rFonts w:ascii="Arial" w:hAnsi="Arial" w:cs="Arial"/>
                <w:sz w:val="14"/>
                <w:szCs w:val="14"/>
                <w:lang w:eastAsia="es-ES"/>
              </w:rPr>
            </w:pPr>
            <w:r w:rsidRPr="00A8162E">
              <w:rPr>
                <w:rFonts w:ascii="Arial" w:hAnsi="Arial" w:cs="Arial"/>
                <w:sz w:val="14"/>
                <w:szCs w:val="14"/>
                <w:lang w:eastAsia="es-ES"/>
              </w:rPr>
              <w:t>Alejandro Sarmiento Cantillo</w:t>
            </w:r>
          </w:p>
          <w:p w:rsidRPr="00A8162E" w:rsidR="00A87BDF" w:rsidP="0084652D" w:rsidRDefault="006A435C" w14:paraId="052C6527" w14:textId="5174707E">
            <w:pPr>
              <w:rPr>
                <w:rFonts w:ascii="Arial" w:hAnsi="Arial" w:cs="Arial"/>
                <w:sz w:val="14"/>
                <w:szCs w:val="14"/>
                <w:lang w:eastAsia="es-ES"/>
              </w:rPr>
            </w:pPr>
            <w:r>
              <w:rPr>
                <w:rFonts w:ascii="Arial" w:hAnsi="Arial" w:cs="Arial"/>
                <w:sz w:val="14"/>
                <w:szCs w:val="14"/>
                <w:lang w:eastAsia="es-ES"/>
              </w:rPr>
              <w:t>Gestor T1-1</w:t>
            </w:r>
            <w:r w:rsidR="004028F6">
              <w:rPr>
                <w:rFonts w:ascii="Arial" w:hAnsi="Arial" w:cs="Arial"/>
                <w:sz w:val="14"/>
                <w:szCs w:val="14"/>
                <w:lang w:eastAsia="es-ES"/>
              </w:rPr>
              <w:t>1</w:t>
            </w:r>
            <w:r>
              <w:rPr>
                <w:rFonts w:ascii="Arial" w:hAnsi="Arial" w:cs="Arial"/>
                <w:sz w:val="14"/>
                <w:szCs w:val="14"/>
                <w:lang w:eastAsia="es-ES"/>
              </w:rPr>
              <w:t xml:space="preserve"> de la </w:t>
            </w:r>
            <w:r w:rsidRPr="00A8162E" w:rsidR="00A87BDF">
              <w:rPr>
                <w:rFonts w:ascii="Arial" w:hAnsi="Arial" w:cs="Arial"/>
                <w:sz w:val="14"/>
                <w:szCs w:val="14"/>
                <w:lang w:eastAsia="es-ES"/>
              </w:rPr>
              <w:t>Subdirección de Gestión Contractual</w:t>
            </w:r>
          </w:p>
        </w:tc>
      </w:tr>
      <w:tr w:rsidRPr="00A8162E" w:rsidR="00A87BDF" w:rsidTr="00A87BDF" w14:paraId="2D03EB5F" w14:textId="77777777">
        <w:trPr>
          <w:trHeight w:val="299"/>
        </w:trPr>
        <w:tc>
          <w:tcPr>
            <w:tcW w:w="817" w:type="dxa"/>
            <w:vAlign w:val="center"/>
            <w:hideMark/>
          </w:tcPr>
          <w:p w:rsidRPr="00A8162E" w:rsidR="00A87BDF" w:rsidP="0084652D" w:rsidRDefault="00A87BDF" w14:paraId="633DF41F" w14:textId="77777777">
            <w:pPr>
              <w:rPr>
                <w:rFonts w:ascii="Arial" w:hAnsi="Arial" w:cs="Arial"/>
                <w:sz w:val="14"/>
                <w:szCs w:val="14"/>
                <w:lang w:eastAsia="es-ES"/>
              </w:rPr>
            </w:pPr>
            <w:r w:rsidRPr="00A8162E">
              <w:rPr>
                <w:rFonts w:ascii="Arial" w:hAnsi="Arial" w:cs="Arial"/>
                <w:sz w:val="14"/>
                <w:szCs w:val="14"/>
                <w:lang w:eastAsia="es-ES"/>
              </w:rPr>
              <w:t>Revisó:</w:t>
            </w:r>
          </w:p>
        </w:tc>
        <w:tc>
          <w:tcPr>
            <w:tcW w:w="3988" w:type="dxa"/>
            <w:tcBorders>
              <w:top w:val="dotted" w:color="7F7F7F" w:sz="4" w:space="0"/>
              <w:left w:val="nil"/>
              <w:bottom w:val="dotted" w:color="7F7F7F" w:sz="4" w:space="0"/>
              <w:right w:val="nil"/>
            </w:tcBorders>
            <w:vAlign w:val="center"/>
            <w:hideMark/>
          </w:tcPr>
          <w:p w:rsidRPr="00A8162E" w:rsidR="00A87BDF" w:rsidP="0084652D" w:rsidRDefault="00A87BDF" w14:paraId="5ACB2679" w14:textId="6C5A6D6D">
            <w:pPr>
              <w:rPr>
                <w:rFonts w:ascii="Arial" w:hAnsi="Arial" w:cs="Arial"/>
                <w:sz w:val="14"/>
                <w:szCs w:val="14"/>
                <w:lang w:eastAsia="es-ES"/>
              </w:rPr>
            </w:pPr>
            <w:r w:rsidRPr="00A87BDF">
              <w:rPr>
                <w:rFonts w:ascii="Arial" w:hAnsi="Arial" w:cs="Arial"/>
                <w:sz w:val="14"/>
                <w:szCs w:val="14"/>
                <w:lang w:eastAsia="es-ES"/>
              </w:rPr>
              <w:t xml:space="preserve">Juan David Montoya Penagos </w:t>
            </w:r>
          </w:p>
          <w:p w:rsidRPr="00A8162E" w:rsidR="00A87BDF" w:rsidP="0084652D" w:rsidRDefault="00A87BDF" w14:paraId="3E8FC84C" w14:textId="0FC376BE">
            <w:pPr>
              <w:rPr>
                <w:rFonts w:ascii="Arial" w:hAnsi="Arial" w:cs="Arial"/>
                <w:sz w:val="14"/>
                <w:szCs w:val="14"/>
                <w:lang w:eastAsia="es-ES"/>
              </w:rPr>
            </w:pPr>
            <w:r>
              <w:rPr>
                <w:rFonts w:ascii="Arial" w:hAnsi="Arial" w:cs="Arial"/>
                <w:sz w:val="14"/>
                <w:szCs w:val="14"/>
                <w:lang w:eastAsia="es-ES"/>
              </w:rPr>
              <w:t>Gestor T1-15 de la</w:t>
            </w:r>
            <w:r w:rsidRPr="00A8162E">
              <w:rPr>
                <w:rFonts w:ascii="Arial" w:hAnsi="Arial" w:cs="Arial"/>
                <w:sz w:val="14"/>
                <w:szCs w:val="14"/>
                <w:lang w:eastAsia="es-ES"/>
              </w:rPr>
              <w:t xml:space="preserve"> Subdirección de Gestión Contractual</w:t>
            </w:r>
          </w:p>
        </w:tc>
      </w:tr>
      <w:tr w:rsidRPr="00A8162E" w:rsidR="00A87BDF" w:rsidTr="00A87BDF" w14:paraId="2D565CBD" w14:textId="77777777">
        <w:trPr>
          <w:trHeight w:val="272"/>
        </w:trPr>
        <w:tc>
          <w:tcPr>
            <w:tcW w:w="817" w:type="dxa"/>
            <w:vAlign w:val="center"/>
            <w:hideMark/>
          </w:tcPr>
          <w:p w:rsidRPr="00A8162E" w:rsidR="00A87BDF" w:rsidP="0084652D" w:rsidRDefault="00A87BDF" w14:paraId="0A69543C" w14:textId="77777777">
            <w:pPr>
              <w:rPr>
                <w:rFonts w:ascii="Arial" w:hAnsi="Arial" w:cs="Arial"/>
                <w:sz w:val="14"/>
                <w:szCs w:val="14"/>
                <w:lang w:eastAsia="es-ES"/>
              </w:rPr>
            </w:pPr>
            <w:r w:rsidRPr="00A8162E">
              <w:rPr>
                <w:rFonts w:ascii="Arial" w:hAnsi="Arial" w:cs="Arial"/>
                <w:sz w:val="14"/>
                <w:szCs w:val="14"/>
                <w:lang w:eastAsia="es-ES"/>
              </w:rPr>
              <w:t>Aprobó:</w:t>
            </w:r>
          </w:p>
        </w:tc>
        <w:tc>
          <w:tcPr>
            <w:tcW w:w="3988" w:type="dxa"/>
            <w:tcBorders>
              <w:top w:val="dotted" w:color="7F7F7F" w:sz="4" w:space="0"/>
              <w:left w:val="nil"/>
              <w:bottom w:val="dotted" w:color="7F7F7F" w:sz="4" w:space="0"/>
              <w:right w:val="nil"/>
            </w:tcBorders>
            <w:vAlign w:val="center"/>
            <w:hideMark/>
          </w:tcPr>
          <w:p w:rsidRPr="00A8162E" w:rsidR="00A87BDF" w:rsidP="0084652D" w:rsidRDefault="00A87BDF" w14:paraId="05D14888" w14:textId="688F3970">
            <w:pPr>
              <w:rPr>
                <w:rFonts w:ascii="Arial" w:hAnsi="Arial" w:cs="Arial"/>
                <w:sz w:val="14"/>
                <w:szCs w:val="14"/>
                <w:lang w:eastAsia="es-ES"/>
              </w:rPr>
            </w:pPr>
            <w:r>
              <w:rPr>
                <w:rFonts w:ascii="Arial" w:hAnsi="Arial" w:cs="Arial"/>
                <w:sz w:val="14"/>
                <w:szCs w:val="14"/>
                <w:lang w:eastAsia="es-ES"/>
              </w:rPr>
              <w:t>Jorge Augusto Tirado Navarro</w:t>
            </w:r>
          </w:p>
          <w:p w:rsidRPr="00A8162E" w:rsidR="00A87BDF" w:rsidP="0084652D" w:rsidRDefault="00A87BDF" w14:paraId="48D84EDD" w14:textId="50B68534">
            <w:pPr>
              <w:rPr>
                <w:rFonts w:ascii="Arial" w:hAnsi="Arial" w:cs="Arial"/>
                <w:sz w:val="14"/>
                <w:szCs w:val="14"/>
                <w:lang w:eastAsia="es-ES"/>
              </w:rPr>
            </w:pPr>
            <w:r w:rsidRPr="00A8162E">
              <w:rPr>
                <w:rFonts w:ascii="Arial" w:hAnsi="Arial" w:cs="Arial"/>
                <w:sz w:val="14"/>
                <w:szCs w:val="14"/>
                <w:lang w:eastAsia="es-ES"/>
              </w:rPr>
              <w:t xml:space="preserve">Subdirector de Gestión Contractual </w:t>
            </w:r>
          </w:p>
        </w:tc>
      </w:tr>
    </w:tbl>
    <w:p w:rsidRPr="00A8162E" w:rsidR="00A8162E" w:rsidP="00A8162E" w:rsidRDefault="00A8162E" w14:paraId="65307A14" w14:textId="77777777">
      <w:pPr>
        <w:rPr>
          <w:rFonts w:ascii="Arial" w:hAnsi="Arial" w:cs="Arial"/>
          <w:lang w:eastAsia="es-ES"/>
        </w:rPr>
      </w:pPr>
    </w:p>
    <w:p w:rsidRPr="00A8162E" w:rsidR="00A8162E" w:rsidP="00A8162E" w:rsidRDefault="00A8162E" w14:paraId="0FC82CAE" w14:textId="77777777">
      <w:pPr>
        <w:rPr>
          <w:rFonts w:ascii="Arial" w:hAnsi="Arial" w:cs="Arial"/>
          <w:lang w:eastAsia="es-ES"/>
        </w:rPr>
      </w:pPr>
    </w:p>
    <w:p w:rsidRPr="00A8162E" w:rsidR="00A8162E" w:rsidP="00A8162E" w:rsidRDefault="00A8162E" w14:paraId="0D66D9C5" w14:textId="77777777">
      <w:pPr>
        <w:rPr>
          <w:rFonts w:ascii="Arial" w:hAnsi="Arial" w:cs="Arial"/>
          <w:lang w:eastAsia="es-ES"/>
        </w:rPr>
      </w:pPr>
    </w:p>
    <w:p w:rsidRPr="00A8162E" w:rsidR="00A8162E" w:rsidP="00A8162E" w:rsidRDefault="00A8162E" w14:paraId="3DBD03C7" w14:textId="77777777">
      <w:pPr>
        <w:rPr>
          <w:lang w:val="es-CO"/>
        </w:rPr>
      </w:pPr>
    </w:p>
    <w:p w:rsidRPr="003210A4" w:rsidR="007B0854" w:rsidP="00CA287E" w:rsidRDefault="007B0854" w14:paraId="7EBF297E" w14:textId="77777777">
      <w:pPr>
        <w:jc w:val="both"/>
        <w:rPr>
          <w:rFonts w:ascii="Arial" w:hAnsi="Arial" w:eastAsia="Calibri" w:cs="Arial"/>
          <w:color w:val="FF0000"/>
          <w:sz w:val="22"/>
        </w:rPr>
      </w:pPr>
    </w:p>
    <w:sectPr w:rsidRPr="003210A4" w:rsidR="007B0854" w:rsidSect="005A79FE">
      <w:headerReference w:type="default" r:id="rId13"/>
      <w:footerReference w:type="default" r:id="rId14"/>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6503" w:rsidRDefault="005F6503" w14:paraId="7E725D67" w14:textId="77777777">
      <w:r>
        <w:separator/>
      </w:r>
    </w:p>
  </w:endnote>
  <w:endnote w:type="continuationSeparator" w:id="0">
    <w:p w:rsidR="005F6503" w:rsidRDefault="005F6503" w14:paraId="45028D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117B" w:rsidP="007B0854" w:rsidRDefault="006A117B" w14:paraId="6E90F2C9" w14:textId="77777777">
    <w:pPr>
      <w:pStyle w:val="Sinespaciado"/>
      <w:jc w:val="center"/>
      <w:rPr>
        <w:rFonts w:ascii="Arial" w:hAnsi="Arial" w:cs="Arial"/>
        <w:sz w:val="18"/>
        <w:szCs w:val="18"/>
      </w:rPr>
    </w:pPr>
  </w:p>
  <w:p w:rsidRPr="005A79FE" w:rsidR="006A117B" w:rsidP="005A79FE" w:rsidRDefault="006A117B"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6A117B" w:rsidP="007B0854" w:rsidRDefault="405A4BC8" w14:paraId="48FC6A04" w14:textId="0E0B8C38">
    <w:pPr>
      <w:pStyle w:val="Piedepgina"/>
      <w:jc w:val="center"/>
      <w:rPr>
        <w:lang w:val="es-ES"/>
      </w:rPr>
    </w:pPr>
    <w:r w:rsidR="1FA8BFB7">
      <w:drawing>
        <wp:inline wp14:editId="72AA1570" wp14:anchorId="608B196D">
          <wp:extent cx="4241994" cy="595165"/>
          <wp:effectExtent l="0" t="0" r="6350" b="0"/>
          <wp:docPr id="861750243" name="Imagen 12" title=""/>
          <wp:cNvGraphicFramePr>
            <a:graphicFrameLocks noChangeAspect="1"/>
          </wp:cNvGraphicFramePr>
          <a:graphic>
            <a:graphicData uri="http://schemas.openxmlformats.org/drawingml/2006/picture">
              <pic:pic>
                <pic:nvPicPr>
                  <pic:cNvPr id="0" name="Imagen 12"/>
                  <pic:cNvPicPr/>
                </pic:nvPicPr>
                <pic:blipFill>
                  <a:blip r:embed="Rf08980ff020b4a6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6A117B" w:rsidP="007B0854" w:rsidRDefault="006A117B"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6503" w:rsidRDefault="005F6503" w14:paraId="02C35608" w14:textId="77777777">
      <w:r>
        <w:separator/>
      </w:r>
    </w:p>
  </w:footnote>
  <w:footnote w:type="continuationSeparator" w:id="0">
    <w:p w:rsidR="005F6503" w:rsidRDefault="005F6503" w14:paraId="08B3119A" w14:textId="77777777">
      <w:r>
        <w:continuationSeparator/>
      </w:r>
    </w:p>
  </w:footnote>
  <w:footnote w:id="1">
    <w:p w:rsidR="00AB3EC9" w:rsidP="00AB3EC9" w:rsidRDefault="00AB3EC9" w14:paraId="7106814C" w14:textId="77777777">
      <w:pPr>
        <w:pStyle w:val="Textonotapie"/>
        <w:ind w:firstLine="708"/>
        <w:jc w:val="both"/>
        <w:rPr>
          <w:rFonts w:ascii="Arial" w:hAnsi="Arial" w:cs="Arial"/>
          <w:sz w:val="18"/>
          <w:szCs w:val="18"/>
        </w:rPr>
      </w:pPr>
      <w:r>
        <w:rPr>
          <w:rStyle w:val="Refdenotaalpie"/>
        </w:rPr>
        <w:footnoteRef/>
      </w:r>
      <w:r>
        <w:rPr>
          <w:rFonts w:ascii="Arial" w:hAnsi="Arial" w:cs="Arial"/>
          <w:sz w:val="18"/>
          <w:szCs w:val="18"/>
        </w:rPr>
        <w:t>Ley 1480 de 2011: «Artículo 13. Garantías suplementarias</w:t>
      </w:r>
      <w:r>
        <w:t xml:space="preserve">. </w:t>
      </w:r>
      <w:r>
        <w:rPr>
          <w:rFonts w:ascii="Arial" w:hAnsi="Arial" w:cs="Arial"/>
          <w:sz w:val="18"/>
          <w:szCs w:val="18"/>
        </w:rPr>
        <w:t>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rsidR="00AB3EC9" w:rsidP="00AB3EC9" w:rsidRDefault="00AB3EC9" w14:paraId="219B46BC" w14:textId="77777777">
      <w:pPr>
        <w:pStyle w:val="Textonotapie"/>
        <w:ind w:firstLine="708"/>
        <w:rPr>
          <w:lang w:val="es-CO"/>
        </w:rPr>
      </w:pPr>
    </w:p>
  </w:footnote>
  <w:footnote w:id="2">
    <w:p w:rsidR="00AB3EC9" w:rsidP="00AB3EC9" w:rsidRDefault="00AB3EC9" w14:paraId="5CF5532A" w14:textId="77777777">
      <w:pPr>
        <w:pStyle w:val="Textonotapie"/>
        <w:ind w:firstLine="708"/>
        <w:jc w:val="both"/>
        <w:rPr>
          <w:rFonts w:ascii="Arial" w:hAnsi="Arial" w:cs="Arial"/>
          <w:sz w:val="18"/>
          <w:szCs w:val="18"/>
          <w:shd w:val="clear" w:color="auto" w:fill="FFFFFF"/>
        </w:rPr>
      </w:pPr>
      <w:r>
        <w:rPr>
          <w:rStyle w:val="Refdenotaalpie"/>
        </w:rPr>
        <w:footnoteRef/>
      </w:r>
      <w:r>
        <w:t xml:space="preserve"> </w:t>
      </w:r>
      <w:r>
        <w:rPr>
          <w:rFonts w:ascii="Arial" w:hAnsi="Arial" w:cs="Arial"/>
          <w:sz w:val="18"/>
          <w:szCs w:val="18"/>
        </w:rPr>
        <w:t>Decreto 1082 de 2015: «Artículo 2.2.1.2.3.1.7. Garantía de cumplimiento</w:t>
      </w:r>
      <w:r>
        <w:rPr>
          <w:rStyle w:val="nfasis"/>
          <w:rFonts w:ascii="Arial" w:hAnsi="Arial" w:cs="Arial"/>
          <w:sz w:val="18"/>
          <w:szCs w:val="18"/>
          <w:shd w:val="clear" w:color="auto" w:fill="FFFFFF"/>
        </w:rPr>
        <w:t xml:space="preserve">. </w:t>
      </w:r>
      <w:r>
        <w:rPr>
          <w:rFonts w:ascii="Arial" w:hAnsi="Arial" w:cs="Arial"/>
          <w:sz w:val="18"/>
          <w:szCs w:val="18"/>
          <w:shd w:val="clear" w:color="auto" w:fill="FFFFFF"/>
        </w:rPr>
        <w:t>La garantía de cumplimiento del contrato debe cubrir:</w:t>
      </w:r>
    </w:p>
    <w:p w:rsidR="00AB3EC9" w:rsidP="00AB3EC9" w:rsidRDefault="00AB3EC9" w14:paraId="4A846D4A" w14:textId="77777777">
      <w:pPr>
        <w:pStyle w:val="Textonotapie"/>
        <w:ind w:firstLine="708"/>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w:t>
      </w:r>
    </w:p>
    <w:p w:rsidR="00AB3EC9" w:rsidP="00AB3EC9" w:rsidRDefault="00AB3EC9" w14:paraId="55619376" w14:textId="77777777">
      <w:pPr>
        <w:pStyle w:val="Textonotapie"/>
        <w:ind w:firstLine="708"/>
        <w:jc w:val="both"/>
        <w:rPr>
          <w:lang w:val="es-CO"/>
        </w:rPr>
      </w:pPr>
      <w:proofErr w:type="gramStart"/>
      <w:r>
        <w:rPr>
          <w:rFonts w:ascii="Arial" w:hAnsi="Arial" w:cs="Arial"/>
          <w:color w:val="333333"/>
          <w:sz w:val="18"/>
          <w:szCs w:val="18"/>
          <w:shd w:val="clear" w:color="auto" w:fill="FFFFFF"/>
        </w:rPr>
        <w:t>»</w:t>
      </w:r>
      <w:r>
        <w:rPr>
          <w:rFonts w:ascii="Arial" w:hAnsi="Arial" w:cs="Arial"/>
          <w:sz w:val="18"/>
          <w:szCs w:val="18"/>
          <w:shd w:val="clear" w:color="auto" w:fill="FFFFFF"/>
        </w:rPr>
        <w:t>Estabilidad</w:t>
      </w:r>
      <w:proofErr w:type="gramEnd"/>
      <w:r>
        <w:rPr>
          <w:rFonts w:ascii="Arial" w:hAnsi="Arial" w:cs="Arial"/>
          <w:sz w:val="18"/>
          <w:szCs w:val="18"/>
          <w:shd w:val="clear" w:color="auto" w:fill="FFFFFF"/>
        </w:rPr>
        <w:t xml:space="preserve"> y calidad de la obra. Este amparo cubre a la Entidad Estatal de los perjuicios ocasionados por cualquier tipo de daño o deterioro, imputable al contratista, sufrido por la obra entregada a satisfacción».</w:t>
      </w:r>
    </w:p>
  </w:footnote>
  <w:footnote w:id="3">
    <w:p w:rsidR="000C0D06" w:rsidP="000C0D06" w:rsidRDefault="000C0D06" w14:paraId="5C0D70A8" w14:textId="77777777">
      <w:pPr>
        <w:pStyle w:val="Textonotapie"/>
      </w:pPr>
    </w:p>
    <w:p w:rsidR="000C0D06" w:rsidP="000C0D06" w:rsidRDefault="000C0D06" w14:paraId="0AA7BCDE" w14:textId="77777777">
      <w:pPr>
        <w:pStyle w:val="Textonotapie"/>
        <w:ind w:firstLine="708"/>
        <w:jc w:val="both"/>
        <w:rPr>
          <w:rFonts w:ascii="Arial" w:hAnsi="Arial" w:cs="Arial"/>
          <w:sz w:val="18"/>
          <w:szCs w:val="18"/>
          <w:shd w:val="clear" w:color="auto" w:fill="FFFFFF"/>
        </w:rPr>
      </w:pPr>
      <w:r>
        <w:rPr>
          <w:rStyle w:val="Refdenotaalpie"/>
        </w:rPr>
        <w:footnoteRef/>
      </w:r>
      <w:r>
        <w:t xml:space="preserve"> </w:t>
      </w:r>
      <w:r>
        <w:rPr>
          <w:rFonts w:ascii="Arial" w:hAnsi="Arial" w:cs="Arial"/>
          <w:sz w:val="18"/>
          <w:szCs w:val="18"/>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rsidR="000C0D06" w:rsidP="000C0D06" w:rsidRDefault="000C0D06" w14:paraId="60055056" w14:textId="77777777">
      <w:pPr>
        <w:pStyle w:val="Textonotapie"/>
        <w:ind w:firstLine="708"/>
        <w:jc w:val="both"/>
        <w:rPr>
          <w:rFonts w:ascii="Arial" w:hAnsi="Arial" w:cs="Arial"/>
          <w:sz w:val="18"/>
          <w:szCs w:val="18"/>
          <w:shd w:val="clear" w:color="auto" w:fill="FFFFFF"/>
        </w:rPr>
      </w:pPr>
      <w:r>
        <w:rPr>
          <w:rFonts w:ascii="Arial" w:hAnsi="Arial" w:cs="Arial"/>
          <w:sz w:val="18"/>
          <w:szCs w:val="18"/>
          <w:shd w:val="clear" w:color="auto" w:fill="FFFFFF"/>
        </w:rPr>
        <w:t>«La Entidad Estatal puede aceptar que esta garantía tenga una vigencia inferior a cinco (5) años previa justificación técnica de un experto en la materia objeto del contrato».</w:t>
      </w:r>
    </w:p>
    <w:p w:rsidR="000C0D06" w:rsidP="000C0D06" w:rsidRDefault="000C0D06" w14:paraId="46E7DC37" w14:textId="77777777">
      <w:pPr>
        <w:pStyle w:val="Textonotapie"/>
        <w:ind w:firstLine="708"/>
        <w:jc w:val="both"/>
        <w:rPr>
          <w:rFonts w:ascii="Arial" w:hAnsi="Arial" w:cs="Arial"/>
          <w:color w:val="333333"/>
          <w:sz w:val="18"/>
          <w:szCs w:val="18"/>
          <w:shd w:val="clear" w:color="auto" w:fill="FFFFFF"/>
        </w:rPr>
      </w:pPr>
    </w:p>
  </w:footnote>
  <w:footnote w:id="4">
    <w:p w:rsidRPr="00A83BDC" w:rsidR="00AB3EC9" w:rsidP="00AB3EC9" w:rsidRDefault="00AB3EC9" w14:paraId="29DE8490" w14:textId="77777777">
      <w:pPr>
        <w:pStyle w:val="Textonotapie"/>
        <w:ind w:firstLine="708"/>
        <w:jc w:val="both"/>
        <w:rPr>
          <w:rFonts w:ascii="Arial" w:hAnsi="Arial" w:cs="Arial"/>
          <w:sz w:val="19"/>
          <w:szCs w:val="19"/>
        </w:rPr>
      </w:pPr>
    </w:p>
    <w:p w:rsidRPr="00A83BDC" w:rsidR="00AB3EC9" w:rsidP="00AB3EC9" w:rsidRDefault="00AB3EC9" w14:paraId="58906273" w14:textId="77777777">
      <w:pPr>
        <w:pStyle w:val="Textonotapie"/>
        <w:ind w:firstLine="708"/>
        <w:jc w:val="both"/>
        <w:rPr>
          <w:rFonts w:ascii="Arial" w:hAnsi="Arial" w:cs="Arial"/>
          <w:sz w:val="19"/>
          <w:szCs w:val="19"/>
          <w:lang w:val="es-ES"/>
        </w:rPr>
      </w:pPr>
      <w:r w:rsidRPr="00A83BDC">
        <w:rPr>
          <w:rStyle w:val="Refdenotaalpie"/>
          <w:rFonts w:ascii="Arial" w:hAnsi="Arial" w:cs="Arial"/>
          <w:sz w:val="19"/>
          <w:szCs w:val="19"/>
        </w:rPr>
        <w:footnoteRef/>
      </w:r>
      <w:r w:rsidRPr="00A83BDC">
        <w:rPr>
          <w:rFonts w:ascii="Arial" w:hAnsi="Arial" w:cs="Arial"/>
          <w:sz w:val="19"/>
          <w:szCs w:val="19"/>
        </w:rPr>
        <w:t xml:space="preserve"> Ibid.</w:t>
      </w:r>
    </w:p>
  </w:footnote>
  <w:footnote w:id="5">
    <w:p w:rsidRPr="00A83BDC" w:rsidR="00AB3EC9" w:rsidP="00AB3EC9" w:rsidRDefault="00AB3EC9" w14:paraId="20957F04" w14:textId="77777777">
      <w:pPr>
        <w:pBdr>
          <w:top w:val="nil"/>
          <w:left w:val="nil"/>
          <w:bottom w:val="nil"/>
          <w:right w:val="nil"/>
          <w:between w:val="nil"/>
        </w:pBdr>
        <w:ind w:firstLine="708"/>
        <w:jc w:val="both"/>
        <w:rPr>
          <w:rFonts w:ascii="Arial" w:hAnsi="Arial" w:eastAsia="Arial" w:cs="Arial"/>
          <w:color w:val="000000"/>
          <w:sz w:val="19"/>
          <w:szCs w:val="19"/>
        </w:rPr>
      </w:pPr>
      <w:r w:rsidRPr="00A83BDC">
        <w:rPr>
          <w:rFonts w:ascii="Arial" w:hAnsi="Arial" w:cs="Arial"/>
          <w:sz w:val="19"/>
          <w:szCs w:val="19"/>
          <w:vertAlign w:val="superscript"/>
        </w:rPr>
        <w:footnoteRef/>
      </w:r>
      <w:r w:rsidRPr="00A83BDC">
        <w:rPr>
          <w:rFonts w:ascii="Arial" w:hAnsi="Arial" w:eastAsia="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rsidRPr="00A83BDC" w:rsidR="00AB3EC9" w:rsidP="00AB3EC9" w:rsidRDefault="00AB3EC9" w14:paraId="223682BD" w14:textId="77777777">
      <w:pPr>
        <w:pBdr>
          <w:top w:val="nil"/>
          <w:left w:val="nil"/>
          <w:bottom w:val="nil"/>
          <w:right w:val="nil"/>
          <w:between w:val="nil"/>
        </w:pBdr>
        <w:ind w:firstLine="708"/>
        <w:jc w:val="both"/>
        <w:rPr>
          <w:rFonts w:ascii="Arial" w:hAnsi="Arial" w:eastAsia="Arial" w:cs="Arial"/>
          <w:color w:val="000000"/>
          <w:sz w:val="19"/>
          <w:szCs w:val="19"/>
        </w:rPr>
      </w:pPr>
    </w:p>
  </w:footnote>
  <w:footnote w:id="6">
    <w:p w:rsidRPr="007D3673" w:rsidR="007D3673" w:rsidP="007D3673" w:rsidRDefault="007D3673" w14:paraId="11734614" w14:textId="441D3F30">
      <w:pPr>
        <w:pStyle w:val="Textonotapie"/>
        <w:ind w:firstLine="708"/>
        <w:jc w:val="both"/>
        <w:rPr>
          <w:rFonts w:ascii="Arial" w:hAnsi="Arial" w:cs="Arial"/>
          <w:sz w:val="19"/>
          <w:szCs w:val="19"/>
        </w:rPr>
      </w:pPr>
      <w:r w:rsidRPr="007D3673">
        <w:rPr>
          <w:rStyle w:val="Refdenotaalpie"/>
          <w:rFonts w:ascii="Arial" w:hAnsi="Arial" w:cs="Arial"/>
          <w:sz w:val="19"/>
          <w:szCs w:val="19"/>
        </w:rPr>
        <w:footnoteRef/>
      </w:r>
      <w:r w:rsidRPr="007D3673">
        <w:rPr>
          <w:rFonts w:ascii="Arial" w:hAnsi="Arial" w:cs="Arial"/>
          <w:sz w:val="19"/>
          <w:szCs w:val="19"/>
        </w:rPr>
        <w:t xml:space="preserve"> Ley 80 de 1993 «Artículo 4o. De los derechos y deberes de las entidades estatales. Para la consecución de los fines de que trata el artículo anterior, las entidades estatales: </w:t>
      </w:r>
    </w:p>
    <w:p w:rsidRPr="007D3673" w:rsidR="007D3673" w:rsidP="007D3673" w:rsidRDefault="007D3673" w14:paraId="0A806403" w14:textId="02DE166A">
      <w:pPr>
        <w:pStyle w:val="Textonotapie"/>
        <w:ind w:firstLine="708"/>
        <w:jc w:val="both"/>
        <w:rPr>
          <w:rFonts w:ascii="Arial" w:hAnsi="Arial" w:cs="Arial"/>
          <w:sz w:val="19"/>
          <w:szCs w:val="19"/>
        </w:rPr>
      </w:pPr>
      <w:r w:rsidRPr="007D3673">
        <w:rPr>
          <w:rFonts w:ascii="Arial" w:hAnsi="Arial" w:cs="Arial"/>
          <w:sz w:val="19"/>
          <w:szCs w:val="19"/>
        </w:rPr>
        <w:t>[…]</w:t>
      </w:r>
    </w:p>
    <w:p w:rsidRPr="007D3673" w:rsidR="007D3673" w:rsidP="007D3673" w:rsidRDefault="007D3673" w14:paraId="257C352F" w14:textId="310DFE76">
      <w:pPr>
        <w:pStyle w:val="Textonotapie"/>
        <w:jc w:val="both"/>
        <w:rPr>
          <w:rFonts w:ascii="Arial" w:hAnsi="Arial" w:cs="Arial"/>
          <w:sz w:val="19"/>
          <w:szCs w:val="19"/>
        </w:rPr>
      </w:pPr>
      <w:r w:rsidRPr="007D3673">
        <w:rPr>
          <w:rFonts w:ascii="Arial" w:hAnsi="Arial" w:cs="Arial"/>
          <w:sz w:val="19"/>
          <w:szCs w:val="19"/>
        </w:rPr>
        <w:t xml:space="preserve">  </w:t>
      </w:r>
      <w:r w:rsidRPr="007D3673">
        <w:rPr>
          <w:rFonts w:ascii="Arial" w:hAnsi="Arial" w:cs="Arial"/>
          <w:sz w:val="19"/>
          <w:szCs w:val="19"/>
        </w:rPr>
        <w:tab/>
      </w:r>
      <w:proofErr w:type="gramStart"/>
      <w:r w:rsidRPr="007D3673">
        <w:rPr>
          <w:rFonts w:ascii="Arial" w:hAnsi="Arial" w:cs="Arial"/>
          <w:sz w:val="19"/>
          <w:szCs w:val="19"/>
        </w:rPr>
        <w:t>»4o.</w:t>
      </w:r>
      <w:proofErr w:type="gramEnd"/>
      <w:r w:rsidRPr="007D3673">
        <w:rPr>
          <w:rFonts w:ascii="Arial" w:hAnsi="Arial" w:cs="Arial"/>
          <w:sz w:val="19"/>
          <w:szCs w:val="19"/>
        </w:rPr>
        <w:t xml:space="preserve"> Adelantarán revisiones periódicas de las obras ejecutadas, servicios prestados o bienes </w:t>
      </w:r>
      <w:proofErr w:type="spellStart"/>
      <w:r w:rsidRPr="007D3673">
        <w:rPr>
          <w:rFonts w:ascii="Arial" w:hAnsi="Arial" w:cs="Arial"/>
          <w:sz w:val="19"/>
          <w:szCs w:val="19"/>
        </w:rPr>
        <w:t>sumistrados</w:t>
      </w:r>
      <w:proofErr w:type="spellEnd"/>
      <w:r w:rsidRPr="007D3673">
        <w:rPr>
          <w:rFonts w:ascii="Arial" w:hAnsi="Arial" w:cs="Arial"/>
          <w:sz w:val="19"/>
          <w:szCs w:val="19"/>
        </w:rPr>
        <w:t xml:space="preserve">, para verificar que ellos cumplan con las condiciones de calidad ofrecidas por los contratistas, y promoverán las acciones de responsabilidad contra éstos y sus garantes cuando dichas condiciones no se cumplan. </w:t>
      </w:r>
    </w:p>
    <w:p w:rsidRPr="007D3673" w:rsidR="007D3673" w:rsidP="007D3673" w:rsidRDefault="007D3673" w14:paraId="7BBD34E9" w14:textId="3291A8FF">
      <w:pPr>
        <w:pStyle w:val="Textonotapie"/>
        <w:ind w:firstLine="708"/>
        <w:jc w:val="both"/>
        <w:rPr>
          <w:rFonts w:ascii="Arial" w:hAnsi="Arial" w:cs="Arial"/>
          <w:sz w:val="19"/>
          <w:szCs w:val="19"/>
        </w:rPr>
      </w:pPr>
      <w:proofErr w:type="gramStart"/>
      <w:r w:rsidRPr="007D3673">
        <w:rPr>
          <w:rFonts w:ascii="Arial" w:hAnsi="Arial" w:cs="Arial"/>
          <w:sz w:val="19"/>
          <w:szCs w:val="19"/>
        </w:rPr>
        <w:t>»Las</w:t>
      </w:r>
      <w:proofErr w:type="gramEnd"/>
      <w:r w:rsidRPr="007D3673">
        <w:rPr>
          <w:rFonts w:ascii="Arial" w:hAnsi="Arial" w:cs="Arial"/>
          <w:sz w:val="19"/>
          <w:szCs w:val="19"/>
        </w:rPr>
        <w:t xml:space="preserve"> revisiones periódicas a que se refiere el presente numeral deberán llevarse a cabo por lo menos una vez cada seis (6) meses durante el término de vigencia de las garantías […]». </w:t>
      </w:r>
    </w:p>
    <w:p w:rsidR="007D3673" w:rsidP="007D3673" w:rsidRDefault="007D3673" w14:paraId="24A3BDFD" w14:textId="77777777">
      <w:pPr>
        <w:pStyle w:val="Textonotapie"/>
      </w:pPr>
    </w:p>
    <w:p w:rsidRPr="007D3673" w:rsidR="007D3673" w:rsidP="007D3673" w:rsidRDefault="007D3673" w14:paraId="1CE4DD6E" w14:textId="38BC69C1">
      <w:pPr>
        <w:pStyle w:val="Textonotapie"/>
        <w:rPr>
          <w:lang w:val="es-CO"/>
        </w:rPr>
      </w:pPr>
      <w:r>
        <w:t xml:space="preserve">  </w:t>
      </w:r>
    </w:p>
  </w:footnote>
  <w:footnote w:id="7">
    <w:p w:rsidRPr="00A87BDF" w:rsidR="00516627" w:rsidP="00A87BDF" w:rsidRDefault="00516627" w14:paraId="125BAE55" w14:textId="2E118532">
      <w:pPr>
        <w:pStyle w:val="Textonotapie"/>
        <w:ind w:firstLine="708"/>
        <w:jc w:val="both"/>
        <w:rPr>
          <w:rFonts w:ascii="Arial" w:hAnsi="Arial" w:cs="Arial"/>
          <w:sz w:val="19"/>
          <w:szCs w:val="19"/>
          <w:lang w:val="es-ES"/>
        </w:rPr>
      </w:pPr>
      <w:r w:rsidRPr="00A87BDF">
        <w:rPr>
          <w:rStyle w:val="Refdenotaalpie"/>
          <w:rFonts w:ascii="Arial" w:hAnsi="Arial" w:cs="Arial"/>
          <w:sz w:val="19"/>
          <w:szCs w:val="19"/>
        </w:rPr>
        <w:footnoteRef/>
      </w:r>
      <w:r w:rsidRPr="00A87BDF">
        <w:rPr>
          <w:rFonts w:ascii="Arial" w:hAnsi="Arial" w:cs="Arial"/>
          <w:sz w:val="19"/>
          <w:szCs w:val="19"/>
        </w:rPr>
        <w:t xml:space="preserve"> </w:t>
      </w:r>
      <w:r w:rsidRPr="00516627">
        <w:rPr>
          <w:rFonts w:ascii="Arial" w:hAnsi="Arial" w:cs="Arial"/>
          <w:sz w:val="19"/>
          <w:szCs w:val="19"/>
        </w:rPr>
        <w:t>Ley 1480 de 2011. «Artículo 14. Requisitos de la Garantía Suplementaria. Las garantías suplementarias deberán constar por escrito, ser de fácil comprensión y con caracteres legibles a simple vista».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117B" w:rsidRDefault="006A117B" w14:paraId="4CEB5923" w14:textId="72BD7C0A">
    <w:pPr>
      <w:pStyle w:val="Encabezado"/>
    </w:pPr>
  </w:p>
  <w:p w:rsidR="006A117B" w:rsidRDefault="006A117B" w14:paraId="6A4C7F2C" w14:textId="7D093DBB">
    <w:pPr>
      <w:pStyle w:val="Encabezado"/>
    </w:pPr>
  </w:p>
  <w:p w:rsidR="006A117B" w:rsidRDefault="006A117B"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DEAC0C0">
      <w:rPr/>
      <w:t/>
    </w:r>
    <w:r w:rsidR="1FA8BFB7">
      <w:rPr/>
      <w:t/>
    </w:r>
  </w:p>
  <w:p w:rsidR="006A117B" w:rsidRDefault="006A117B" w14:paraId="51400574" w14:textId="61BAF652">
    <w:pPr>
      <w:pStyle w:val="Encabezado"/>
    </w:pPr>
  </w:p>
  <w:p w:rsidR="006A117B" w:rsidRDefault="006A117B" w14:paraId="3D323BDB" w14:textId="04AF0DE6">
    <w:pPr>
      <w:pStyle w:val="Encabezado"/>
    </w:pPr>
  </w:p>
  <w:p w:rsidR="006A117B" w:rsidRDefault="006A117B"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4E4881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32120D37"/>
    <w:multiLevelType w:val="hybridMultilevel"/>
    <w:tmpl w:val="78002D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ADC3EFD"/>
    <w:multiLevelType w:val="multilevel"/>
    <w:tmpl w:val="B47458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BFF7097"/>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8982B82"/>
    <w:multiLevelType w:val="hybridMultilevel"/>
    <w:tmpl w:val="3CD2BB7A"/>
    <w:lvl w:ilvl="0" w:tplc="B8A060C2">
      <w:start w:val="1"/>
      <w:numFmt w:val="low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4"/>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7C7C"/>
    <w:rsid w:val="00010FD0"/>
    <w:rsid w:val="00034457"/>
    <w:rsid w:val="00037525"/>
    <w:rsid w:val="00050550"/>
    <w:rsid w:val="00087064"/>
    <w:rsid w:val="000942EB"/>
    <w:rsid w:val="000A6901"/>
    <w:rsid w:val="000B103F"/>
    <w:rsid w:val="000B52C8"/>
    <w:rsid w:val="000B55B3"/>
    <w:rsid w:val="000C0D06"/>
    <w:rsid w:val="000D7AED"/>
    <w:rsid w:val="000E599A"/>
    <w:rsid w:val="000F14E8"/>
    <w:rsid w:val="00103915"/>
    <w:rsid w:val="0012183B"/>
    <w:rsid w:val="00121CF4"/>
    <w:rsid w:val="00122B23"/>
    <w:rsid w:val="0012359D"/>
    <w:rsid w:val="00137FFA"/>
    <w:rsid w:val="00173500"/>
    <w:rsid w:val="001808FA"/>
    <w:rsid w:val="001E12DE"/>
    <w:rsid w:val="001E189C"/>
    <w:rsid w:val="001E48A4"/>
    <w:rsid w:val="00205D23"/>
    <w:rsid w:val="002128EA"/>
    <w:rsid w:val="00234B84"/>
    <w:rsid w:val="00237257"/>
    <w:rsid w:val="002411BE"/>
    <w:rsid w:val="00257EDA"/>
    <w:rsid w:val="0029798A"/>
    <w:rsid w:val="002C3145"/>
    <w:rsid w:val="002E5A1B"/>
    <w:rsid w:val="002E6447"/>
    <w:rsid w:val="002F313B"/>
    <w:rsid w:val="002F351C"/>
    <w:rsid w:val="002F3834"/>
    <w:rsid w:val="00302FBE"/>
    <w:rsid w:val="003033BA"/>
    <w:rsid w:val="003054BA"/>
    <w:rsid w:val="003210A4"/>
    <w:rsid w:val="00323D89"/>
    <w:rsid w:val="0034680A"/>
    <w:rsid w:val="003561CC"/>
    <w:rsid w:val="00373096"/>
    <w:rsid w:val="00384EB1"/>
    <w:rsid w:val="00386456"/>
    <w:rsid w:val="00390862"/>
    <w:rsid w:val="003A581E"/>
    <w:rsid w:val="003C5803"/>
    <w:rsid w:val="003E59A4"/>
    <w:rsid w:val="00400E4D"/>
    <w:rsid w:val="004028F6"/>
    <w:rsid w:val="004422D6"/>
    <w:rsid w:val="00471219"/>
    <w:rsid w:val="00493AD6"/>
    <w:rsid w:val="004A34D2"/>
    <w:rsid w:val="004A6D89"/>
    <w:rsid w:val="004B741C"/>
    <w:rsid w:val="004C1B4F"/>
    <w:rsid w:val="004C5C2C"/>
    <w:rsid w:val="004D60FD"/>
    <w:rsid w:val="004D6DDE"/>
    <w:rsid w:val="0051074C"/>
    <w:rsid w:val="00513AF2"/>
    <w:rsid w:val="00516627"/>
    <w:rsid w:val="0054413A"/>
    <w:rsid w:val="005564CA"/>
    <w:rsid w:val="005938D8"/>
    <w:rsid w:val="005A4D2A"/>
    <w:rsid w:val="005A79FE"/>
    <w:rsid w:val="005D370B"/>
    <w:rsid w:val="005E6D6E"/>
    <w:rsid w:val="005F6503"/>
    <w:rsid w:val="00612237"/>
    <w:rsid w:val="00613E83"/>
    <w:rsid w:val="0061720F"/>
    <w:rsid w:val="00621CB1"/>
    <w:rsid w:val="0064331E"/>
    <w:rsid w:val="00655371"/>
    <w:rsid w:val="00660428"/>
    <w:rsid w:val="00660E94"/>
    <w:rsid w:val="00697665"/>
    <w:rsid w:val="006A117B"/>
    <w:rsid w:val="006A435C"/>
    <w:rsid w:val="006A7FD0"/>
    <w:rsid w:val="006D7687"/>
    <w:rsid w:val="006E0572"/>
    <w:rsid w:val="006E4501"/>
    <w:rsid w:val="00705631"/>
    <w:rsid w:val="00727A22"/>
    <w:rsid w:val="00742DD2"/>
    <w:rsid w:val="00754537"/>
    <w:rsid w:val="00755049"/>
    <w:rsid w:val="0075647A"/>
    <w:rsid w:val="007634AD"/>
    <w:rsid w:val="00774ABD"/>
    <w:rsid w:val="0078122E"/>
    <w:rsid w:val="007931E8"/>
    <w:rsid w:val="007B0854"/>
    <w:rsid w:val="007C3264"/>
    <w:rsid w:val="007D3673"/>
    <w:rsid w:val="007E723D"/>
    <w:rsid w:val="007F72CB"/>
    <w:rsid w:val="00807F3E"/>
    <w:rsid w:val="008138D5"/>
    <w:rsid w:val="0081474B"/>
    <w:rsid w:val="0083119B"/>
    <w:rsid w:val="00836EAB"/>
    <w:rsid w:val="00843D9F"/>
    <w:rsid w:val="0085092D"/>
    <w:rsid w:val="00851D31"/>
    <w:rsid w:val="008648E3"/>
    <w:rsid w:val="00886D25"/>
    <w:rsid w:val="008B7AE7"/>
    <w:rsid w:val="008C1859"/>
    <w:rsid w:val="008C2F8D"/>
    <w:rsid w:val="008C6E94"/>
    <w:rsid w:val="008E1C15"/>
    <w:rsid w:val="008E5897"/>
    <w:rsid w:val="008F4C3C"/>
    <w:rsid w:val="00900624"/>
    <w:rsid w:val="00903158"/>
    <w:rsid w:val="009047C5"/>
    <w:rsid w:val="00911589"/>
    <w:rsid w:val="0095385A"/>
    <w:rsid w:val="009645D2"/>
    <w:rsid w:val="009E78CB"/>
    <w:rsid w:val="009F275D"/>
    <w:rsid w:val="00A2324E"/>
    <w:rsid w:val="00A24560"/>
    <w:rsid w:val="00A34538"/>
    <w:rsid w:val="00A54FD0"/>
    <w:rsid w:val="00A81470"/>
    <w:rsid w:val="00A8162E"/>
    <w:rsid w:val="00A87B3B"/>
    <w:rsid w:val="00A87BDF"/>
    <w:rsid w:val="00A908CE"/>
    <w:rsid w:val="00A91D28"/>
    <w:rsid w:val="00AA442B"/>
    <w:rsid w:val="00AB1698"/>
    <w:rsid w:val="00AB3EC9"/>
    <w:rsid w:val="00AB7B5A"/>
    <w:rsid w:val="00AD4990"/>
    <w:rsid w:val="00AE6233"/>
    <w:rsid w:val="00B1485E"/>
    <w:rsid w:val="00B15A5F"/>
    <w:rsid w:val="00B22E22"/>
    <w:rsid w:val="00B2346F"/>
    <w:rsid w:val="00B440BB"/>
    <w:rsid w:val="00B525CB"/>
    <w:rsid w:val="00B560D1"/>
    <w:rsid w:val="00B63CB2"/>
    <w:rsid w:val="00BA09EA"/>
    <w:rsid w:val="00BD78FE"/>
    <w:rsid w:val="00C05A3A"/>
    <w:rsid w:val="00C25B29"/>
    <w:rsid w:val="00C4758D"/>
    <w:rsid w:val="00C65A84"/>
    <w:rsid w:val="00C73FAF"/>
    <w:rsid w:val="00C82163"/>
    <w:rsid w:val="00C96C90"/>
    <w:rsid w:val="00CA223E"/>
    <w:rsid w:val="00CA287E"/>
    <w:rsid w:val="00CA79E3"/>
    <w:rsid w:val="00CB260D"/>
    <w:rsid w:val="00CB2C0B"/>
    <w:rsid w:val="00CC00CD"/>
    <w:rsid w:val="00CC788C"/>
    <w:rsid w:val="00CE374F"/>
    <w:rsid w:val="00CE6845"/>
    <w:rsid w:val="00D0223F"/>
    <w:rsid w:val="00D163F8"/>
    <w:rsid w:val="00D16E39"/>
    <w:rsid w:val="00D300D0"/>
    <w:rsid w:val="00D4604C"/>
    <w:rsid w:val="00D65D46"/>
    <w:rsid w:val="00D7272E"/>
    <w:rsid w:val="00D72E9D"/>
    <w:rsid w:val="00D82CE5"/>
    <w:rsid w:val="00DA2E3B"/>
    <w:rsid w:val="00DA5AB1"/>
    <w:rsid w:val="00DA71B0"/>
    <w:rsid w:val="00DB2411"/>
    <w:rsid w:val="00DB51E3"/>
    <w:rsid w:val="00DB7F1C"/>
    <w:rsid w:val="00DC5830"/>
    <w:rsid w:val="00DC62E5"/>
    <w:rsid w:val="00DD735D"/>
    <w:rsid w:val="00DE3119"/>
    <w:rsid w:val="00DF236B"/>
    <w:rsid w:val="00DF3E8E"/>
    <w:rsid w:val="00DF520F"/>
    <w:rsid w:val="00E00C63"/>
    <w:rsid w:val="00E132D5"/>
    <w:rsid w:val="00E13AB8"/>
    <w:rsid w:val="00E31B16"/>
    <w:rsid w:val="00E33B62"/>
    <w:rsid w:val="00E8113D"/>
    <w:rsid w:val="00E82AB2"/>
    <w:rsid w:val="00E87AFD"/>
    <w:rsid w:val="00EA6AE9"/>
    <w:rsid w:val="00EC1377"/>
    <w:rsid w:val="00F13666"/>
    <w:rsid w:val="00F3372F"/>
    <w:rsid w:val="00F3509B"/>
    <w:rsid w:val="00F35561"/>
    <w:rsid w:val="00F46354"/>
    <w:rsid w:val="00F515FC"/>
    <w:rsid w:val="00F82FFE"/>
    <w:rsid w:val="00F84899"/>
    <w:rsid w:val="00F859F0"/>
    <w:rsid w:val="00FA2043"/>
    <w:rsid w:val="00FA6BB4"/>
    <w:rsid w:val="00FB2D3C"/>
    <w:rsid w:val="00FE141E"/>
    <w:rsid w:val="00FE47D8"/>
    <w:rsid w:val="01799EEA"/>
    <w:rsid w:val="125B6D2D"/>
    <w:rsid w:val="1FA8BFB7"/>
    <w:rsid w:val="24101B70"/>
    <w:rsid w:val="242B1CE8"/>
    <w:rsid w:val="335D43E3"/>
    <w:rsid w:val="405A4BC8"/>
    <w:rsid w:val="4795E8A4"/>
    <w:rsid w:val="72B0D593"/>
    <w:rsid w:val="73F03C6A"/>
    <w:rsid w:val="7DEAC0C0"/>
    <w:rsid w:val="7F7928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fasis">
    <w:name w:val="Emphasis"/>
    <w:basedOn w:val="Fuentedeprrafopredeter"/>
    <w:uiPriority w:val="20"/>
    <w:qFormat/>
    <w:rsid w:val="002F313B"/>
    <w:rPr>
      <w:i/>
      <w:iCs/>
    </w:rPr>
  </w:style>
  <w:style w:type="paragraph" w:styleId="Default" w:customStyle="1">
    <w:name w:val="Default"/>
    <w:rsid w:val="00DF3E8E"/>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7D3673"/>
    <w:rPr>
      <w:color w:val="F2F2F2" w:themeColor="followedHyperlink"/>
      <w:u w:val="single"/>
    </w:rPr>
  </w:style>
  <w:style w:type="table" w:styleId="Tablaconcuadrcula1" w:customStyle="1">
    <w:name w:val="Tabla con cuadrícula1"/>
    <w:basedOn w:val="Tablanormal"/>
    <w:next w:val="Tablaconcuadrcula"/>
    <w:uiPriority w:val="59"/>
    <w:rsid w:val="00A8162E"/>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uentedeprrafopredeter"/>
    <w:rsid w:val="0017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976799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817917038">
      <w:bodyDiv w:val="1"/>
      <w:marLeft w:val="0"/>
      <w:marRight w:val="0"/>
      <w:marTop w:val="0"/>
      <w:marBottom w:val="0"/>
      <w:divBdr>
        <w:top w:val="none" w:sz="0" w:space="0" w:color="auto"/>
        <w:left w:val="none" w:sz="0" w:space="0" w:color="auto"/>
        <w:bottom w:val="none" w:sz="0" w:space="0" w:color="auto"/>
        <w:right w:val="none" w:sz="0" w:space="0" w:color="auto"/>
      </w:divBdr>
    </w:div>
    <w:div w:id="1246500074">
      <w:bodyDiv w:val="1"/>
      <w:marLeft w:val="0"/>
      <w:marRight w:val="0"/>
      <w:marTop w:val="0"/>
      <w:marBottom w:val="0"/>
      <w:divBdr>
        <w:top w:val="none" w:sz="0" w:space="0" w:color="auto"/>
        <w:left w:val="none" w:sz="0" w:space="0" w:color="auto"/>
        <w:bottom w:val="none" w:sz="0" w:space="0" w:color="auto"/>
        <w:right w:val="none" w:sz="0" w:space="0" w:color="auto"/>
      </w:divBdr>
    </w:div>
    <w:div w:id="1425151344">
      <w:bodyDiv w:val="1"/>
      <w:marLeft w:val="0"/>
      <w:marRight w:val="0"/>
      <w:marTop w:val="0"/>
      <w:marBottom w:val="0"/>
      <w:divBdr>
        <w:top w:val="none" w:sz="0" w:space="0" w:color="auto"/>
        <w:left w:val="none" w:sz="0" w:space="0" w:color="auto"/>
        <w:bottom w:val="none" w:sz="0" w:space="0" w:color="auto"/>
        <w:right w:val="none" w:sz="0" w:space="0" w:color="auto"/>
      </w:divBdr>
    </w:div>
    <w:div w:id="15205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jpg" Id="R4c1eb151dfa642f0" /></Relationships>
</file>

<file path=word/_rels/footer1.xml.rels>&#65279;<?xml version="1.0" encoding="utf-8"?><Relationships xmlns="http://schemas.openxmlformats.org/package/2006/relationships"><Relationship Type="http://schemas.openxmlformats.org/officeDocument/2006/relationships/image" Target="/media/image3.png" Id="Rf08980ff020b4a6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3EB1B4A6-39A4-4068-95D5-34753620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8091D-E27A-4304-94A4-F40FD794A4E3}">
  <ds:schemaRefs>
    <ds:schemaRef ds:uri="http://schemas.openxmlformats.org/officeDocument/2006/bibliography"/>
  </ds:schemaRefs>
</ds:datastoreItem>
</file>

<file path=customXml/itemProps5.xml><?xml version="1.0" encoding="utf-8"?>
<ds:datastoreItem xmlns:ds="http://schemas.openxmlformats.org/officeDocument/2006/customXml" ds:itemID="{E7237144-A194-45FA-BED5-0EBF4857724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5</revision>
  <dcterms:created xsi:type="dcterms:W3CDTF">2020-10-20T22:26:00.0000000Z</dcterms:created>
  <dcterms:modified xsi:type="dcterms:W3CDTF">2020-12-04T16:00:06.5639866Z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