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781A1B"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6C15D5">
        <w:rPr>
          <w:rFonts w:ascii="Arial" w:hAnsi="Arial" w:cs="Arial"/>
          <w:bCs/>
          <w:color w:val="000000" w:themeColor="text1"/>
          <w:sz w:val="16"/>
          <w:szCs w:val="16"/>
          <w:lang w:eastAsia="es-ES"/>
        </w:rPr>
        <w:t>CCE-DES-FM-17</w:t>
      </w:r>
    </w:p>
    <w:p w14:paraId="5CEA6D67" w14:textId="02F442CB" w:rsidR="00590A19" w:rsidRDefault="00590A19" w:rsidP="0083487C">
      <w:pPr>
        <w:jc w:val="both"/>
        <w:rPr>
          <w:rFonts w:ascii="Arial" w:hAnsi="Arial" w:cs="Arial"/>
          <w:color w:val="000000" w:themeColor="text1"/>
          <w:sz w:val="22"/>
        </w:rPr>
      </w:pPr>
      <w:bookmarkStart w:id="3" w:name="_Hlk53205460"/>
      <w:bookmarkEnd w:id="0"/>
      <w:bookmarkEnd w:id="1"/>
    </w:p>
    <w:p w14:paraId="3E2CABB8" w14:textId="77777777" w:rsidR="00F95FAA" w:rsidRPr="00066821" w:rsidRDefault="00F95FAA" w:rsidP="00F95FAA">
      <w:pPr>
        <w:jc w:val="both"/>
        <w:rPr>
          <w:rFonts w:ascii="Arial" w:eastAsia="Calibri" w:hAnsi="Arial" w:cs="Arial"/>
          <w:b/>
          <w:bCs/>
          <w:sz w:val="22"/>
        </w:rPr>
      </w:pPr>
      <w:r w:rsidRPr="00066821">
        <w:rPr>
          <w:rFonts w:ascii="Arial" w:eastAsia="Calibri" w:hAnsi="Arial" w:cs="Arial"/>
          <w:b/>
          <w:bCs/>
          <w:sz w:val="22"/>
        </w:rPr>
        <w:t xml:space="preserve">DOCUMENTOS TIPO – Matriz 1 – Experiencia general </w:t>
      </w:r>
      <w:r w:rsidRPr="00066821">
        <w:rPr>
          <w:rFonts w:ascii="Arial" w:eastAsia="Arial" w:hAnsi="Arial" w:cs="Arial"/>
          <w:b/>
          <w:bCs/>
          <w:sz w:val="22"/>
        </w:rPr>
        <w:t>– Experiencia</w:t>
      </w:r>
      <w:r w:rsidRPr="00066821">
        <w:rPr>
          <w:rFonts w:ascii="Arial" w:eastAsia="Calibri" w:hAnsi="Arial" w:cs="Arial"/>
          <w:b/>
          <w:bCs/>
          <w:sz w:val="22"/>
        </w:rPr>
        <w:t xml:space="preserve"> específica</w:t>
      </w:r>
    </w:p>
    <w:p w14:paraId="52C476C7" w14:textId="77777777" w:rsidR="00F95FAA" w:rsidRPr="00066821" w:rsidRDefault="00F95FAA" w:rsidP="00F95FAA">
      <w:pPr>
        <w:jc w:val="both"/>
        <w:rPr>
          <w:rFonts w:ascii="Arial" w:eastAsia="Calibri" w:hAnsi="Arial" w:cs="Arial"/>
          <w:b/>
          <w:sz w:val="20"/>
          <w:szCs w:val="20"/>
        </w:rPr>
      </w:pPr>
    </w:p>
    <w:p w14:paraId="560D8E54" w14:textId="77777777" w:rsidR="00F95FAA" w:rsidRPr="00503872" w:rsidRDefault="00F95FAA" w:rsidP="00F95FAA">
      <w:pPr>
        <w:jc w:val="both"/>
        <w:rPr>
          <w:rFonts w:ascii="Arial" w:eastAsia="Calibri" w:hAnsi="Arial" w:cs="Arial"/>
          <w:sz w:val="20"/>
          <w:szCs w:val="20"/>
        </w:rPr>
      </w:pPr>
      <w:r>
        <w:rPr>
          <w:rFonts w:ascii="Arial" w:eastAsia="Calibri" w:hAnsi="Arial" w:cs="Arial"/>
          <w:sz w:val="20"/>
          <w:szCs w:val="20"/>
        </w:rPr>
        <w:t>[…]</w:t>
      </w:r>
      <w:r w:rsidRPr="00CC6C47">
        <w:rPr>
          <w:rFonts w:ascii="Arial" w:eastAsia="Calibri" w:hAnsi="Arial" w:cs="Arial"/>
          <w:sz w:val="20"/>
          <w:szCs w:val="20"/>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r>
        <w:rPr>
          <w:rFonts w:ascii="Arial" w:eastAsia="Calibri" w:hAnsi="Arial" w:cs="Arial"/>
          <w:sz w:val="20"/>
          <w:szCs w:val="20"/>
          <w:lang w:val="es-CO"/>
        </w:rPr>
        <w:t>.</w:t>
      </w:r>
    </w:p>
    <w:p w14:paraId="611A04C8" w14:textId="77777777" w:rsidR="00F95FAA" w:rsidRPr="00BB0056" w:rsidRDefault="00F95FAA" w:rsidP="00F95FAA">
      <w:pPr>
        <w:jc w:val="both"/>
        <w:rPr>
          <w:rFonts w:ascii="Arial" w:eastAsia="Calibri" w:hAnsi="Arial" w:cs="Arial"/>
          <w:sz w:val="20"/>
          <w:szCs w:val="20"/>
          <w:lang w:val="es-CO"/>
        </w:rPr>
      </w:pPr>
    </w:p>
    <w:p w14:paraId="3E364572" w14:textId="77777777" w:rsidR="00F95FAA" w:rsidRPr="00066821" w:rsidRDefault="00F95FAA" w:rsidP="00F95FAA">
      <w:pPr>
        <w:jc w:val="both"/>
        <w:rPr>
          <w:rFonts w:ascii="Arial" w:eastAsia="Calibri" w:hAnsi="Arial" w:cs="Arial"/>
          <w:b/>
          <w:bCs/>
          <w:sz w:val="22"/>
        </w:rPr>
      </w:pPr>
      <w:r>
        <w:rPr>
          <w:rFonts w:ascii="Arial" w:eastAsia="Calibri" w:hAnsi="Arial" w:cs="Arial"/>
          <w:b/>
          <w:bCs/>
          <w:sz w:val="22"/>
        </w:rPr>
        <w:t>I</w:t>
      </w:r>
      <w:r w:rsidRPr="00066821">
        <w:rPr>
          <w:rFonts w:ascii="Arial" w:eastAsia="Calibri" w:hAnsi="Arial" w:cs="Arial"/>
          <w:b/>
          <w:bCs/>
          <w:sz w:val="22"/>
        </w:rPr>
        <w:t xml:space="preserve">NALTERABILIDAD </w:t>
      </w:r>
      <w:r>
        <w:rPr>
          <w:rFonts w:ascii="Arial" w:eastAsia="Calibri" w:hAnsi="Arial" w:cs="Arial"/>
          <w:b/>
          <w:bCs/>
          <w:sz w:val="22"/>
        </w:rPr>
        <w:t>– Documentos tipo – Licitación pública – Fundamento</w:t>
      </w:r>
    </w:p>
    <w:p w14:paraId="4313099F" w14:textId="77777777" w:rsidR="00F95FAA" w:rsidRPr="00066821" w:rsidRDefault="00F95FAA" w:rsidP="00F95FAA">
      <w:pPr>
        <w:jc w:val="both"/>
        <w:rPr>
          <w:rFonts w:ascii="Arial" w:eastAsia="Calibri" w:hAnsi="Arial" w:cs="Arial"/>
          <w:sz w:val="20"/>
          <w:szCs w:val="20"/>
        </w:rPr>
      </w:pPr>
    </w:p>
    <w:p w14:paraId="4C64DF1E" w14:textId="77777777" w:rsidR="00F95FAA" w:rsidRDefault="00F95FAA" w:rsidP="00F95FAA">
      <w:pPr>
        <w:jc w:val="both"/>
        <w:rPr>
          <w:rFonts w:ascii="Arial" w:eastAsia="Calibri" w:hAnsi="Arial" w:cs="Arial"/>
          <w:sz w:val="20"/>
          <w:szCs w:val="20"/>
          <w:lang w:val="es-CO"/>
        </w:rPr>
      </w:pPr>
      <w:r w:rsidRPr="00CC6C47">
        <w:rPr>
          <w:rFonts w:ascii="Arial" w:eastAsia="Calibri" w:hAnsi="Arial" w:cs="Arial"/>
          <w:bCs/>
          <w:sz w:val="20"/>
          <w:szCs w:val="20"/>
        </w:rPr>
        <w:t>Para el procedimiento de licitación pública, el artículo 2.2.1.2.6.1.4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r w:rsidRPr="00BF0945">
        <w:rPr>
          <w:rFonts w:ascii="Arial" w:eastAsia="Calibri" w:hAnsi="Arial" w:cs="Arial"/>
          <w:sz w:val="20"/>
          <w:szCs w:val="20"/>
          <w:lang w:val="es-CO"/>
        </w:rPr>
        <w:t>.</w:t>
      </w:r>
    </w:p>
    <w:p w14:paraId="54D0713E" w14:textId="77777777" w:rsidR="00F95FAA" w:rsidRDefault="00F95FAA" w:rsidP="00F95FAA">
      <w:pPr>
        <w:jc w:val="both"/>
        <w:rPr>
          <w:rFonts w:ascii="Arial" w:eastAsia="Calibri" w:hAnsi="Arial" w:cs="Arial"/>
          <w:sz w:val="20"/>
          <w:szCs w:val="20"/>
          <w:lang w:val="es-CO"/>
        </w:rPr>
      </w:pPr>
    </w:p>
    <w:p w14:paraId="5B952E37" w14:textId="72F0177B" w:rsidR="00F95FAA" w:rsidRPr="00066821" w:rsidRDefault="00F95FAA" w:rsidP="00F95FAA">
      <w:pPr>
        <w:jc w:val="both"/>
        <w:rPr>
          <w:rFonts w:ascii="Arial" w:eastAsia="Calibri" w:hAnsi="Arial" w:cs="Arial"/>
          <w:b/>
          <w:bCs/>
          <w:sz w:val="22"/>
        </w:rPr>
      </w:pPr>
      <w:r>
        <w:rPr>
          <w:rFonts w:ascii="Arial" w:eastAsia="Calibri" w:hAnsi="Arial" w:cs="Arial"/>
          <w:b/>
          <w:bCs/>
          <w:sz w:val="22"/>
        </w:rPr>
        <w:t>EXPERIENCIA – Longitud de la vía – Alcance</w:t>
      </w:r>
      <w:r w:rsidR="00380F15">
        <w:rPr>
          <w:rFonts w:ascii="Arial" w:eastAsia="Calibri" w:hAnsi="Arial" w:cs="Arial"/>
          <w:b/>
          <w:bCs/>
          <w:sz w:val="22"/>
        </w:rPr>
        <w:t xml:space="preserve"> </w:t>
      </w:r>
    </w:p>
    <w:p w14:paraId="051AD3E5" w14:textId="77777777" w:rsidR="00F95FAA" w:rsidRPr="00066821" w:rsidRDefault="00F95FAA" w:rsidP="00F95FAA">
      <w:pPr>
        <w:jc w:val="both"/>
        <w:rPr>
          <w:rFonts w:ascii="Arial" w:eastAsia="Calibri" w:hAnsi="Arial" w:cs="Arial"/>
          <w:sz w:val="20"/>
          <w:szCs w:val="20"/>
        </w:rPr>
      </w:pPr>
    </w:p>
    <w:p w14:paraId="2C679D15" w14:textId="2325010F" w:rsidR="006D7CF1" w:rsidRPr="006D7CF1" w:rsidRDefault="006D7CF1" w:rsidP="006D7CF1">
      <w:pPr>
        <w:spacing w:after="120"/>
        <w:jc w:val="both"/>
        <w:rPr>
          <w:rFonts w:ascii="Arial" w:eastAsia="Calibri" w:hAnsi="Arial" w:cs="Arial"/>
          <w:bCs/>
          <w:sz w:val="20"/>
          <w:szCs w:val="20"/>
        </w:rPr>
      </w:pPr>
      <w:r w:rsidRPr="006D7CF1">
        <w:rPr>
          <w:rFonts w:ascii="Arial" w:eastAsia="Calibri" w:hAnsi="Arial" w:cs="Arial"/>
          <w:bCs/>
          <w:sz w:val="20"/>
          <w:szCs w:val="20"/>
        </w:rPr>
        <w:t xml:space="preserve">Para efectos de la experiencia de los proponentes, la longitud de la vía equivale al total de la caracterización vial en kilómetros lineales. En esta medida, no es posible calcular el porcentaje para solicitar la experiencia sobre la longitud de las obras efectivamente ejecutadas en el tramo respectivo, bajo la sumatoria de los carriles que conforman la infraestructura de transporte, pues ello implicaría alterar las condiciones estandarizadas en los «Documentos Tipo – Versión 2» para los procedimientos de licitación pública de infraestructura de transporte. </w:t>
      </w:r>
    </w:p>
    <w:p w14:paraId="5FCF888B" w14:textId="302BA31F" w:rsidR="00590A19" w:rsidRPr="00590A19" w:rsidRDefault="006D7CF1" w:rsidP="006D7CF1">
      <w:pPr>
        <w:jc w:val="both"/>
        <w:rPr>
          <w:rFonts w:ascii="Arial" w:hAnsi="Arial" w:cs="Arial"/>
          <w:color w:val="000000" w:themeColor="text1"/>
          <w:sz w:val="20"/>
          <w:szCs w:val="20"/>
        </w:rPr>
      </w:pPr>
      <w:r w:rsidRPr="006D7CF1">
        <w:rPr>
          <w:rFonts w:ascii="Arial" w:eastAsia="Calibri" w:hAnsi="Arial" w:cs="Arial"/>
          <w:bCs/>
          <w:sz w:val="20"/>
          <w:szCs w:val="20"/>
        </w:rPr>
        <w:t xml:space="preserve">Esta conclusión no solo se sustenta en la interpretación literal de la «Matriz 1 – Experiencia» sino también en las definiciones del «Anexo 3 – Glosario», el cual define la vía como «[…] la zona de la vía destinada a la circulación de </w:t>
      </w:r>
      <w:proofErr w:type="gramStart"/>
      <w:r w:rsidRPr="006D7CF1">
        <w:rPr>
          <w:rFonts w:ascii="Arial" w:eastAsia="Calibri" w:hAnsi="Arial" w:cs="Arial"/>
          <w:bCs/>
          <w:sz w:val="20"/>
          <w:szCs w:val="20"/>
        </w:rPr>
        <w:t>vehículos,</w:t>
      </w:r>
      <w:proofErr w:type="gramEnd"/>
      <w:r w:rsidRPr="006D7CF1">
        <w:rPr>
          <w:rFonts w:ascii="Arial" w:eastAsia="Calibri" w:hAnsi="Arial" w:cs="Arial"/>
          <w:bCs/>
          <w:sz w:val="20"/>
          <w:szCs w:val="20"/>
        </w:rPr>
        <w:t xml:space="preserve">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w:t>
      </w:r>
    </w:p>
    <w:p w14:paraId="6312E9EA" w14:textId="77777777" w:rsidR="00590A19" w:rsidRDefault="00590A19" w:rsidP="0083487C">
      <w:pPr>
        <w:jc w:val="both"/>
        <w:rPr>
          <w:rFonts w:ascii="Arial" w:hAnsi="Arial" w:cs="Arial"/>
          <w:color w:val="000000" w:themeColor="text1"/>
          <w:sz w:val="22"/>
        </w:rPr>
      </w:pPr>
    </w:p>
    <w:p w14:paraId="2B621FA8" w14:textId="4F8C06ED" w:rsidR="004C241F" w:rsidRDefault="00F3418B" w:rsidP="004C241F">
      <w:pPr>
        <w:jc w:val="both"/>
        <w:rPr>
          <w:rFonts w:ascii="Arial" w:eastAsia="Calibri" w:hAnsi="Arial" w:cs="Arial"/>
          <w:b/>
          <w:bCs/>
          <w:sz w:val="22"/>
          <w:lang w:val="es-ES_tradnl"/>
        </w:rPr>
      </w:pPr>
      <w:r>
        <w:rPr>
          <w:rFonts w:ascii="Arial" w:eastAsia="Calibri" w:hAnsi="Arial" w:cs="Arial"/>
          <w:b/>
          <w:bCs/>
          <w:sz w:val="22"/>
          <w:lang w:val="es-ES_tradnl"/>
        </w:rPr>
        <w:t xml:space="preserve">INHABILIDAD </w:t>
      </w:r>
      <w:r w:rsidR="004C241F">
        <w:rPr>
          <w:rFonts w:ascii="Arial" w:eastAsia="Calibri" w:hAnsi="Arial" w:cs="Arial"/>
          <w:b/>
          <w:bCs/>
          <w:sz w:val="22"/>
          <w:lang w:val="es-ES_tradnl"/>
        </w:rPr>
        <w:t xml:space="preserve">– </w:t>
      </w:r>
      <w:r>
        <w:rPr>
          <w:rFonts w:ascii="Arial" w:eastAsia="Calibri" w:hAnsi="Arial" w:cs="Arial"/>
          <w:b/>
          <w:bCs/>
          <w:sz w:val="22"/>
          <w:lang w:val="es-ES_tradnl"/>
        </w:rPr>
        <w:t xml:space="preserve">Artículo 8, numeral 1, literal g) – </w:t>
      </w:r>
      <w:r w:rsidR="004C241F">
        <w:rPr>
          <w:rFonts w:ascii="Arial" w:eastAsia="Calibri" w:hAnsi="Arial" w:cs="Arial"/>
          <w:b/>
          <w:bCs/>
          <w:sz w:val="22"/>
          <w:lang w:val="es-ES_tradnl"/>
        </w:rPr>
        <w:t>Fundamento – Relación familiar – Relación de parentesco – Vínculo natural – Vínculo jurídico – Personas naturales</w:t>
      </w:r>
    </w:p>
    <w:p w14:paraId="6E654393" w14:textId="77777777" w:rsidR="004C241F" w:rsidRDefault="004C241F" w:rsidP="004C241F">
      <w:pPr>
        <w:jc w:val="both"/>
        <w:rPr>
          <w:rFonts w:ascii="Arial" w:eastAsia="Calibri" w:hAnsi="Arial" w:cs="Arial"/>
          <w:sz w:val="20"/>
          <w:szCs w:val="20"/>
          <w:lang w:val="es-ES_tradnl"/>
        </w:rPr>
      </w:pPr>
    </w:p>
    <w:p w14:paraId="3DDE4C8C" w14:textId="77777777" w:rsidR="004C241F" w:rsidRDefault="004C241F" w:rsidP="004C241F">
      <w:pPr>
        <w:spacing w:after="120"/>
        <w:jc w:val="both"/>
        <w:rPr>
          <w:rFonts w:ascii="Arial" w:eastAsia="Calibri" w:hAnsi="Arial" w:cs="Arial"/>
          <w:sz w:val="20"/>
          <w:szCs w:val="20"/>
          <w:lang w:val="es-ES_tradnl"/>
        </w:rPr>
      </w:pPr>
      <w:r>
        <w:rPr>
          <w:rFonts w:ascii="Arial" w:eastAsia="Calibri" w:hAnsi="Arial" w:cs="Arial"/>
          <w:sz w:val="20"/>
          <w:szCs w:val="20"/>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142B714D" w14:textId="36DDD914" w:rsidR="004C241F" w:rsidRDefault="004C241F" w:rsidP="004C241F">
      <w:pPr>
        <w:spacing w:before="120"/>
        <w:jc w:val="both"/>
        <w:rPr>
          <w:rFonts w:ascii="Arial" w:eastAsia="Calibri" w:hAnsi="Arial" w:cs="Arial"/>
          <w:sz w:val="20"/>
          <w:szCs w:val="20"/>
          <w:lang w:val="es-ES_tradnl"/>
        </w:rPr>
      </w:pPr>
      <w:r>
        <w:rPr>
          <w:rFonts w:ascii="Arial" w:eastAsia="Calibri" w:hAnsi="Arial" w:cs="Arial"/>
          <w:sz w:val="20"/>
          <w:szCs w:val="20"/>
          <w:lang w:val="es-ES_tradnl"/>
        </w:rPr>
        <w:lastRenderedPageBreak/>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w:t>
      </w:r>
      <w:r w:rsidR="00D9328F">
        <w:rPr>
          <w:rFonts w:ascii="Arial" w:eastAsia="Calibri" w:hAnsi="Arial" w:cs="Arial"/>
          <w:sz w:val="20"/>
          <w:szCs w:val="20"/>
          <w:lang w:val="es-ES_tradnl"/>
        </w:rPr>
        <w:t>í</w:t>
      </w:r>
      <w:r>
        <w:rPr>
          <w:rFonts w:ascii="Arial" w:eastAsia="Calibri" w:hAnsi="Arial" w:cs="Arial"/>
          <w:sz w:val="20"/>
          <w:szCs w:val="20"/>
          <w:lang w:val="es-ES_tradnl"/>
        </w:rPr>
        <w:t xml:space="preserve"> ya sea por vínculos naturales o jurídicos.</w:t>
      </w:r>
    </w:p>
    <w:p w14:paraId="61A653AA" w14:textId="77777777" w:rsidR="004C241F" w:rsidRDefault="004C241F" w:rsidP="004C241F">
      <w:pPr>
        <w:jc w:val="both"/>
        <w:rPr>
          <w:rFonts w:ascii="Arial" w:eastAsia="Calibri" w:hAnsi="Arial" w:cs="Arial"/>
          <w:sz w:val="20"/>
          <w:szCs w:val="20"/>
          <w:lang w:val="es-ES_tradnl"/>
        </w:rPr>
      </w:pPr>
    </w:p>
    <w:p w14:paraId="7104E8B6" w14:textId="77777777" w:rsidR="004C241F" w:rsidRDefault="004C241F" w:rsidP="004C241F">
      <w:pPr>
        <w:jc w:val="both"/>
        <w:rPr>
          <w:rFonts w:ascii="Arial" w:eastAsia="Calibri" w:hAnsi="Arial" w:cs="Arial"/>
          <w:b/>
          <w:bCs/>
          <w:sz w:val="22"/>
          <w:lang w:val="es-ES_tradnl"/>
        </w:rPr>
      </w:pPr>
      <w:r>
        <w:rPr>
          <w:rFonts w:ascii="Arial" w:eastAsia="Calibri" w:hAnsi="Arial" w:cs="Arial"/>
          <w:b/>
          <w:bCs/>
          <w:sz w:val="22"/>
          <w:lang w:val="es-ES_tradnl"/>
        </w:rPr>
        <w:t>INHABILIDADES ‒ Interpretación restrictiva ‒ Persona natural ‒ Parentesco - consorcios – Uniones temporales ‒ Representante designado</w:t>
      </w:r>
    </w:p>
    <w:p w14:paraId="646073A5" w14:textId="77777777" w:rsidR="004C241F" w:rsidRDefault="004C241F" w:rsidP="004C241F">
      <w:pPr>
        <w:jc w:val="both"/>
        <w:rPr>
          <w:rFonts w:ascii="Arial" w:eastAsia="Calibri" w:hAnsi="Arial" w:cs="Arial"/>
          <w:b/>
          <w:bCs/>
          <w:sz w:val="20"/>
          <w:szCs w:val="20"/>
          <w:lang w:val="es-ES_tradnl"/>
        </w:rPr>
      </w:pPr>
    </w:p>
    <w:p w14:paraId="63415F93" w14:textId="77777777" w:rsidR="004C241F" w:rsidRDefault="004C241F" w:rsidP="004C241F">
      <w:pPr>
        <w:spacing w:after="120"/>
        <w:jc w:val="both"/>
        <w:rPr>
          <w:rFonts w:ascii="Arial" w:eastAsia="Calibri" w:hAnsi="Arial" w:cs="Arial"/>
          <w:sz w:val="20"/>
          <w:szCs w:val="20"/>
          <w:lang w:val="es-ES_tradnl"/>
        </w:rPr>
      </w:pPr>
      <w:r>
        <w:rPr>
          <w:rFonts w:ascii="Arial" w:eastAsia="Calibri" w:hAnsi="Arial" w:cs="Arial"/>
          <w:sz w:val="20"/>
          <w:szCs w:val="20"/>
          <w:lang w:val="es-ES_tradnl"/>
        </w:rPr>
        <w:t>En conclusión, debido a que el régimen de inhabilidades se interpreta de manera restrictiva, la causal de inhabilidad dispuesta en el literal g) del numeral 1 del artículo 8 de la Ley 80 de 1993 se refiere solamente de personas naturales, sin que exista posibilidad de extender su aplicación a personas jurídicas, entendidas estas últimas como sujetos capaces de ejercer derechos y contraer obligaciones, cuya capacidad está determinada por su objeto social.</w:t>
      </w:r>
    </w:p>
    <w:p w14:paraId="5DFC740D" w14:textId="77777777" w:rsidR="004C241F" w:rsidRDefault="004C241F" w:rsidP="004C241F">
      <w:pPr>
        <w:spacing w:before="120"/>
        <w:jc w:val="both"/>
        <w:rPr>
          <w:rFonts w:ascii="Arial" w:eastAsia="Calibri" w:hAnsi="Arial" w:cs="Arial"/>
          <w:sz w:val="20"/>
          <w:szCs w:val="20"/>
          <w:lang w:val="es-ES_tradnl"/>
        </w:rPr>
      </w:pPr>
      <w:r>
        <w:rPr>
          <w:rFonts w:ascii="Arial" w:eastAsia="Calibri" w:hAnsi="Arial" w:cs="Arial"/>
          <w:sz w:val="20"/>
          <w:szCs w:val="20"/>
          <w:lang w:val="es-ES_tradnl"/>
        </w:rPr>
        <w:t>De igual manera, esa causal de inhabilidad también se refiere a las personas naturales que integran proponentes plurales, consorcios o uniones temporales, así como la persona designada como representante de estos, ya que estas formas de asociación no constituyen una persona jurídica diferente o independiente los miembros que los integran, lo cual implica, que el consorcio o unión temporal será inhabilitado en un proceso de contratación, cuando uno de sus integrantes o representante designado se encuentra en alguna de las relaciones de parentesco determinadas en la mencionada disposición.</w:t>
      </w:r>
    </w:p>
    <w:p w14:paraId="23810187" w14:textId="77777777" w:rsidR="00590A19" w:rsidRDefault="00590A19">
      <w:pPr>
        <w:spacing w:after="200" w:line="276" w:lineRule="auto"/>
        <w:rPr>
          <w:rFonts w:ascii="Arial" w:hAnsi="Arial" w:cs="Arial"/>
          <w:color w:val="000000" w:themeColor="text1"/>
          <w:sz w:val="22"/>
        </w:rPr>
      </w:pPr>
      <w:r>
        <w:rPr>
          <w:rFonts w:ascii="Arial" w:hAnsi="Arial" w:cs="Arial"/>
          <w:color w:val="000000" w:themeColor="text1"/>
          <w:sz w:val="22"/>
        </w:rPr>
        <w:br w:type="page"/>
      </w:r>
    </w:p>
    <w:p w14:paraId="14A41008" w14:textId="77777777" w:rsidR="002F0E06" w:rsidRDefault="002F0E06" w:rsidP="0083487C">
      <w:pPr>
        <w:jc w:val="both"/>
        <w:rPr>
          <w:rFonts w:ascii="Arial" w:hAnsi="Arial" w:cs="Arial"/>
          <w:color w:val="000000" w:themeColor="text1"/>
          <w:sz w:val="22"/>
        </w:rPr>
      </w:pPr>
    </w:p>
    <w:p w14:paraId="2AB276FB" w14:textId="589BAE7C" w:rsidR="00704A57" w:rsidRPr="0083487C" w:rsidRDefault="00704A57" w:rsidP="00704A57">
      <w:pPr>
        <w:jc w:val="both"/>
        <w:rPr>
          <w:rFonts w:ascii="Arial" w:eastAsia="Calibri" w:hAnsi="Arial" w:cs="Arial"/>
          <w:color w:val="000000" w:themeColor="text1"/>
          <w:sz w:val="22"/>
        </w:rPr>
      </w:pPr>
      <w:r w:rsidRPr="0083487C">
        <w:rPr>
          <w:rFonts w:ascii="Arial" w:hAnsi="Arial" w:cs="Arial"/>
          <w:color w:val="000000" w:themeColor="text1"/>
          <w:sz w:val="22"/>
        </w:rPr>
        <w:t xml:space="preserve">Bogotá D.C., </w:t>
      </w:r>
      <w:r w:rsidR="00A00435" w:rsidRPr="00A00435">
        <w:rPr>
          <w:rFonts w:ascii="Arial" w:hAnsi="Arial" w:cs="Arial"/>
          <w:b/>
          <w:color w:val="000000" w:themeColor="text1"/>
          <w:sz w:val="22"/>
        </w:rPr>
        <w:t>14/12/2020 Hora 21:24:50s</w:t>
      </w:r>
    </w:p>
    <w:p w14:paraId="1B8B504E" w14:textId="77777777" w:rsidR="00704A57" w:rsidRPr="0083487C" w:rsidRDefault="00704A57" w:rsidP="00704A57">
      <w:pPr>
        <w:jc w:val="right"/>
        <w:rPr>
          <w:rFonts w:ascii="Arial" w:hAnsi="Arial" w:cs="Arial"/>
          <w:b/>
          <w:color w:val="000000" w:themeColor="text1"/>
          <w:sz w:val="22"/>
        </w:rPr>
      </w:pPr>
    </w:p>
    <w:p w14:paraId="4A948100" w14:textId="1D6A172E" w:rsidR="00704A57" w:rsidRPr="0083487C" w:rsidRDefault="00704A57" w:rsidP="00704A57">
      <w:pPr>
        <w:jc w:val="right"/>
        <w:rPr>
          <w:rFonts w:ascii="Arial" w:hAnsi="Arial" w:cs="Arial"/>
          <w:b/>
          <w:color w:val="000000" w:themeColor="text1"/>
          <w:sz w:val="22"/>
          <w:lang w:val="es-ES"/>
        </w:rPr>
      </w:pPr>
      <w:proofErr w:type="spellStart"/>
      <w:r w:rsidRPr="0083487C">
        <w:rPr>
          <w:rFonts w:ascii="Arial" w:hAnsi="Arial" w:cs="Arial"/>
          <w:b/>
          <w:color w:val="000000" w:themeColor="text1"/>
          <w:sz w:val="22"/>
        </w:rPr>
        <w:t>N°</w:t>
      </w:r>
      <w:proofErr w:type="spellEnd"/>
      <w:r w:rsidRPr="0083487C">
        <w:rPr>
          <w:rFonts w:ascii="Arial" w:hAnsi="Arial" w:cs="Arial"/>
          <w:b/>
          <w:color w:val="000000" w:themeColor="text1"/>
          <w:sz w:val="22"/>
        </w:rPr>
        <w:t xml:space="preserve"> Radicado: </w:t>
      </w:r>
      <w:r w:rsidR="00A00435" w:rsidRPr="00A00435">
        <w:rPr>
          <w:rFonts w:ascii="Arial" w:hAnsi="Arial" w:cs="Arial"/>
          <w:b/>
          <w:color w:val="000000" w:themeColor="text1"/>
          <w:sz w:val="22"/>
        </w:rPr>
        <w:t>2202013000012016</w:t>
      </w:r>
    </w:p>
    <w:p w14:paraId="74A475A6" w14:textId="278FC0D0" w:rsidR="00DD5B04" w:rsidRPr="00781A1B" w:rsidRDefault="00DD5B04" w:rsidP="00751FFB">
      <w:pPr>
        <w:tabs>
          <w:tab w:val="left" w:pos="1535"/>
        </w:tabs>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Señor</w:t>
      </w:r>
      <w:r w:rsidR="0083487C">
        <w:rPr>
          <w:rFonts w:ascii="Arial" w:eastAsia="Calibri" w:hAnsi="Arial" w:cs="Arial"/>
          <w:color w:val="000000" w:themeColor="text1"/>
          <w:sz w:val="22"/>
          <w:lang w:val="es-ES_tradnl"/>
        </w:rPr>
        <w:t>a</w:t>
      </w:r>
    </w:p>
    <w:p w14:paraId="6011130B" w14:textId="50F23E8D" w:rsidR="00AE1990" w:rsidRPr="00781A1B" w:rsidRDefault="0049607B" w:rsidP="00DF76A2">
      <w:pPr>
        <w:jc w:val="both"/>
        <w:rPr>
          <w:rFonts w:ascii="Arial" w:eastAsia="Calibri" w:hAnsi="Arial" w:cs="Arial"/>
          <w:b/>
          <w:color w:val="000000" w:themeColor="text1"/>
          <w:sz w:val="22"/>
          <w:lang w:val="es-ES_tradnl"/>
        </w:rPr>
      </w:pPr>
      <w:r w:rsidRPr="0049607B">
        <w:rPr>
          <w:rFonts w:ascii="Arial" w:eastAsia="Calibri" w:hAnsi="Arial" w:cs="Arial"/>
          <w:b/>
          <w:color w:val="000000" w:themeColor="text1"/>
          <w:sz w:val="22"/>
          <w:lang w:val="es-ES_tradnl"/>
        </w:rPr>
        <w:t>MARIA SALAMANCA RAMOS</w:t>
      </w:r>
    </w:p>
    <w:p w14:paraId="03294061" w14:textId="1668F155" w:rsidR="00DD5B04" w:rsidRDefault="00510DDE"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Montería</w:t>
      </w:r>
    </w:p>
    <w:p w14:paraId="1C6BD50A" w14:textId="77777777" w:rsidR="0083487C" w:rsidRPr="00781A1B" w:rsidRDefault="0083487C" w:rsidP="00DF76A2">
      <w:pPr>
        <w:jc w:val="both"/>
        <w:rPr>
          <w:rFonts w:ascii="Arial" w:eastAsia="Calibri" w:hAnsi="Arial" w:cs="Arial"/>
          <w:color w:val="000000" w:themeColor="text1"/>
          <w:sz w:val="22"/>
          <w:lang w:val="es-ES_tradnl"/>
        </w:rPr>
      </w:pPr>
    </w:p>
    <w:p w14:paraId="60978A0D" w14:textId="02354087" w:rsidR="00DD5B04" w:rsidRDefault="00DD5B04" w:rsidP="002A1A58">
      <w:pPr>
        <w:jc w:val="center"/>
        <w:rPr>
          <w:rFonts w:ascii="Arial" w:eastAsia="Calibri" w:hAnsi="Arial" w:cs="Arial"/>
          <w:b/>
          <w:bCs/>
          <w:color w:val="000000" w:themeColor="text1"/>
          <w:sz w:val="22"/>
          <w:lang w:val="es-ES_tradnl"/>
        </w:rPr>
      </w:pPr>
      <w:r w:rsidRPr="00781A1B">
        <w:rPr>
          <w:rFonts w:ascii="Arial" w:eastAsia="Calibri" w:hAnsi="Arial" w:cs="Arial"/>
          <w:b/>
          <w:bCs/>
          <w:color w:val="000000" w:themeColor="text1"/>
          <w:sz w:val="22"/>
          <w:lang w:val="es-ES_tradnl"/>
        </w:rPr>
        <w:t>Concepto C</w:t>
      </w:r>
      <w:r w:rsidR="00FE144E"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w:t>
      </w:r>
      <w:r w:rsidR="00A47C58">
        <w:rPr>
          <w:rFonts w:ascii="Arial" w:eastAsia="Calibri" w:hAnsi="Arial" w:cs="Arial"/>
          <w:b/>
          <w:bCs/>
          <w:color w:val="000000" w:themeColor="text1"/>
          <w:sz w:val="22"/>
          <w:lang w:val="es-ES_tradnl"/>
        </w:rPr>
        <w:t xml:space="preserve"> </w:t>
      </w:r>
      <w:r w:rsidR="00A542A1">
        <w:rPr>
          <w:rFonts w:ascii="Arial" w:eastAsia="Calibri" w:hAnsi="Arial" w:cs="Arial"/>
          <w:b/>
          <w:bCs/>
          <w:color w:val="000000" w:themeColor="text1"/>
          <w:sz w:val="22"/>
          <w:lang w:val="es-ES_tradnl"/>
        </w:rPr>
        <w:t>7</w:t>
      </w:r>
      <w:r w:rsidR="00704A57">
        <w:rPr>
          <w:rFonts w:ascii="Arial" w:eastAsia="Calibri" w:hAnsi="Arial" w:cs="Arial"/>
          <w:b/>
          <w:bCs/>
          <w:color w:val="000000" w:themeColor="text1"/>
          <w:sz w:val="22"/>
          <w:lang w:val="es-ES_tradnl"/>
        </w:rPr>
        <w:t>21</w:t>
      </w:r>
      <w:r w:rsidR="00B52697"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de 2020</w:t>
      </w:r>
    </w:p>
    <w:p w14:paraId="42713058" w14:textId="77777777" w:rsidR="002F0E06" w:rsidRPr="00781A1B"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781A1B" w14:paraId="10318206" w14:textId="77777777" w:rsidTr="00F02B6E">
        <w:tc>
          <w:tcPr>
            <w:tcW w:w="2689" w:type="dxa"/>
          </w:tcPr>
          <w:p w14:paraId="3FE8DF90" w14:textId="2D5BC58F"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b/>
                <w:color w:val="000000" w:themeColor="text1"/>
                <w:sz w:val="22"/>
                <w:lang w:val="es-ES_tradnl"/>
              </w:rPr>
              <w:t>Temas:</w:t>
            </w:r>
            <w:r w:rsidR="00E15943">
              <w:rPr>
                <w:rFonts w:ascii="Arial" w:eastAsia="Calibri" w:hAnsi="Arial" w:cs="Arial"/>
                <w:color w:val="000000" w:themeColor="text1"/>
                <w:sz w:val="22"/>
                <w:lang w:val="es-ES_tradnl"/>
              </w:rPr>
              <w:t xml:space="preserve"> </w:t>
            </w:r>
          </w:p>
        </w:tc>
        <w:tc>
          <w:tcPr>
            <w:tcW w:w="6237" w:type="dxa"/>
          </w:tcPr>
          <w:p w14:paraId="63D57D37" w14:textId="3550D7A0" w:rsidR="006274B9" w:rsidRPr="00590A19" w:rsidRDefault="00F3418B" w:rsidP="00F3418B">
            <w:pPr>
              <w:spacing w:before="120"/>
              <w:jc w:val="both"/>
              <w:rPr>
                <w:rFonts w:ascii="Arial" w:eastAsia="Calibri" w:hAnsi="Arial" w:cs="Arial"/>
                <w:color w:val="000000" w:themeColor="text1"/>
                <w:sz w:val="22"/>
                <w:highlight w:val="yellow"/>
                <w:lang w:val="es-ES_tradnl"/>
              </w:rPr>
            </w:pPr>
            <w:r w:rsidRPr="00F3418B">
              <w:rPr>
                <w:rFonts w:ascii="Arial" w:eastAsia="Calibri" w:hAnsi="Arial" w:cs="Arial"/>
                <w:color w:val="000000" w:themeColor="text1"/>
                <w:sz w:val="22"/>
                <w:lang w:val="es-ES_tradnl"/>
              </w:rPr>
              <w:t>DOCUMENTOS TIPO – Matriz 1 – Experiencia general – Experiencia específica / INALTERABILIDAD – Documentos tipo – Licitación pública – Fundamento / EXPERIENCIA – Longitud de la vía – Alcance / INHABILIDAD – Artículo 8, numeral 1, literal g) – Fundamento – Relación familiar – Relación de parentesco – Vínculo natural – Vínculo jurídico – Personas naturales / INHABILIDADES ‒ Interpretación restrictiva ‒ Persona natural ‒ Parentesco - consorcios – Uniones temporales ‒ Representante designado</w:t>
            </w:r>
          </w:p>
        </w:tc>
      </w:tr>
      <w:tr w:rsidR="00DD5B04" w:rsidRPr="00781A1B" w14:paraId="60E06E0C" w14:textId="77777777" w:rsidTr="00F02B6E">
        <w:tc>
          <w:tcPr>
            <w:tcW w:w="2689" w:type="dxa"/>
          </w:tcPr>
          <w:p w14:paraId="5655C7E4" w14:textId="4455350B" w:rsidR="00DD5B04" w:rsidRPr="00781A1B" w:rsidRDefault="00DD5B04" w:rsidP="00DF76A2">
            <w:pPr>
              <w:spacing w:before="12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Radicación:</w:t>
            </w:r>
            <w:r w:rsidR="00E15943">
              <w:rPr>
                <w:rFonts w:ascii="Arial" w:eastAsia="Calibri" w:hAnsi="Arial" w:cs="Arial"/>
                <w:color w:val="000000" w:themeColor="text1"/>
                <w:sz w:val="22"/>
                <w:lang w:val="es-ES_tradnl"/>
              </w:rPr>
              <w:t xml:space="preserve"> </w:t>
            </w:r>
          </w:p>
        </w:tc>
        <w:tc>
          <w:tcPr>
            <w:tcW w:w="6237" w:type="dxa"/>
          </w:tcPr>
          <w:p w14:paraId="33E25A02" w14:textId="438B986A"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Respuesta</w:t>
            </w:r>
            <w:r w:rsidR="008100F7" w:rsidRPr="00781A1B">
              <w:rPr>
                <w:rFonts w:ascii="Arial" w:eastAsia="Calibri" w:hAnsi="Arial" w:cs="Arial"/>
                <w:color w:val="000000" w:themeColor="text1"/>
                <w:sz w:val="22"/>
                <w:lang w:val="es-ES_tradnl"/>
              </w:rPr>
              <w:t xml:space="preserve"> </w:t>
            </w:r>
            <w:r w:rsidR="00CA5812" w:rsidRPr="00781A1B">
              <w:rPr>
                <w:rFonts w:ascii="Arial" w:eastAsia="Calibri" w:hAnsi="Arial" w:cs="Arial"/>
                <w:color w:val="000000" w:themeColor="text1"/>
                <w:sz w:val="22"/>
                <w:lang w:val="es-ES_tradnl"/>
              </w:rPr>
              <w:t xml:space="preserve">a </w:t>
            </w:r>
            <w:r w:rsidR="00704A57">
              <w:rPr>
                <w:rFonts w:ascii="Arial" w:eastAsia="Calibri" w:hAnsi="Arial" w:cs="Arial"/>
                <w:color w:val="000000" w:themeColor="text1"/>
                <w:sz w:val="22"/>
                <w:lang w:val="es-ES_tradnl"/>
              </w:rPr>
              <w:t xml:space="preserve">la </w:t>
            </w:r>
            <w:r w:rsidRPr="00781A1B">
              <w:rPr>
                <w:rFonts w:ascii="Arial" w:eastAsia="Calibri" w:hAnsi="Arial" w:cs="Arial"/>
                <w:color w:val="000000" w:themeColor="text1"/>
                <w:sz w:val="22"/>
                <w:lang w:val="es-ES_tradnl"/>
              </w:rPr>
              <w:t xml:space="preserve">consulta </w:t>
            </w:r>
            <w:r w:rsidR="00704A57" w:rsidRPr="00704A57">
              <w:rPr>
                <w:rFonts w:ascii="Arial" w:eastAsia="Calibri" w:hAnsi="Arial" w:cs="Arial"/>
                <w:color w:val="000000" w:themeColor="text1"/>
                <w:sz w:val="22"/>
                <w:lang w:val="es-ES_tradnl"/>
              </w:rPr>
              <w:t>4202013000009809</w:t>
            </w:r>
          </w:p>
          <w:p w14:paraId="0DA3D2F3" w14:textId="77777777"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 </w:t>
            </w:r>
          </w:p>
        </w:tc>
      </w:tr>
    </w:tbl>
    <w:p w14:paraId="30BB5B67" w14:textId="69323731"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Estimad</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señor</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w:t>
      </w:r>
      <w:r w:rsidR="00510DDE">
        <w:rPr>
          <w:rFonts w:ascii="Arial" w:eastAsia="Calibri" w:hAnsi="Arial" w:cs="Arial"/>
          <w:color w:val="000000" w:themeColor="text1"/>
          <w:sz w:val="22"/>
          <w:lang w:val="es-ES_tradnl"/>
        </w:rPr>
        <w:t>Salamanca</w:t>
      </w:r>
      <w:r w:rsidRPr="00781A1B">
        <w:rPr>
          <w:rFonts w:ascii="Arial" w:eastAsia="Calibri" w:hAnsi="Arial" w:cs="Arial"/>
          <w:color w:val="000000" w:themeColor="text1"/>
          <w:sz w:val="22"/>
          <w:lang w:val="es-ES_tradnl"/>
        </w:rPr>
        <w:t>:</w:t>
      </w:r>
    </w:p>
    <w:p w14:paraId="1EAE5543" w14:textId="77777777" w:rsidR="00DD5B04" w:rsidRPr="00781A1B" w:rsidRDefault="00DD5B04" w:rsidP="00DF76A2">
      <w:pPr>
        <w:jc w:val="both"/>
        <w:rPr>
          <w:rFonts w:ascii="Arial" w:eastAsia="Calibri" w:hAnsi="Arial" w:cs="Arial"/>
          <w:color w:val="000000" w:themeColor="text1"/>
          <w:sz w:val="22"/>
          <w:lang w:val="es-ES_tradnl"/>
        </w:rPr>
      </w:pPr>
    </w:p>
    <w:p w14:paraId="2109B2D3" w14:textId="27E81E18" w:rsidR="00DD5B04" w:rsidRPr="00781A1B" w:rsidRDefault="00DD5B04" w:rsidP="00DF76A2">
      <w:pPr>
        <w:spacing w:line="276" w:lineRule="auto"/>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60A92">
        <w:rPr>
          <w:rFonts w:ascii="Arial" w:eastAsia="Calibri" w:hAnsi="Arial" w:cs="Arial"/>
          <w:color w:val="000000" w:themeColor="text1"/>
          <w:sz w:val="22"/>
          <w:lang w:val="es-ES_tradnl"/>
        </w:rPr>
        <w:t>–</w:t>
      </w:r>
      <w:r w:rsidRPr="00781A1B">
        <w:rPr>
          <w:rFonts w:ascii="Arial" w:eastAsia="Calibri" w:hAnsi="Arial" w:cs="Arial"/>
          <w:color w:val="000000" w:themeColor="text1"/>
          <w:sz w:val="22"/>
          <w:lang w:val="es-ES_tradnl"/>
        </w:rPr>
        <w:t xml:space="preserve"> Colombia Compra Eficiente responde su consulta</w:t>
      </w:r>
      <w:r w:rsidR="0083487C">
        <w:rPr>
          <w:rFonts w:ascii="Arial" w:eastAsia="Calibri" w:hAnsi="Arial" w:cs="Arial"/>
          <w:color w:val="000000" w:themeColor="text1"/>
          <w:sz w:val="22"/>
          <w:lang w:val="es-ES_tradnl"/>
        </w:rPr>
        <w:t xml:space="preserve"> del </w:t>
      </w:r>
      <w:r w:rsidR="00510DDE">
        <w:rPr>
          <w:rFonts w:ascii="Arial" w:eastAsia="Calibri" w:hAnsi="Arial" w:cs="Arial"/>
          <w:color w:val="000000" w:themeColor="text1"/>
          <w:sz w:val="22"/>
          <w:lang w:val="es-ES_tradnl"/>
        </w:rPr>
        <w:t>28 de octubre</w:t>
      </w:r>
      <w:r w:rsidR="0083487C">
        <w:rPr>
          <w:rFonts w:ascii="Arial" w:eastAsia="Calibri" w:hAnsi="Arial" w:cs="Arial"/>
          <w:color w:val="000000" w:themeColor="text1"/>
          <w:sz w:val="22"/>
          <w:lang w:val="es-ES_tradnl"/>
        </w:rPr>
        <w:t xml:space="preserve"> de 2020</w:t>
      </w:r>
      <w:r w:rsidR="00FD4AF3" w:rsidRPr="00781A1B">
        <w:rPr>
          <w:rFonts w:ascii="Arial" w:eastAsia="Calibri" w:hAnsi="Arial" w:cs="Arial"/>
          <w:color w:val="000000" w:themeColor="text1"/>
          <w:sz w:val="22"/>
          <w:lang w:val="es-ES_tradnl"/>
        </w:rPr>
        <w:t>.</w:t>
      </w:r>
    </w:p>
    <w:p w14:paraId="0C1E0712" w14:textId="77777777" w:rsidR="00DD5B04" w:rsidRPr="00781A1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81A1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 xml:space="preserve">Problema planteado </w:t>
      </w:r>
    </w:p>
    <w:p w14:paraId="224B43D3" w14:textId="116EDCCC" w:rsidR="00DD5B0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DC649F8" w14:textId="5B037C1B" w:rsidR="00510DDE" w:rsidRDefault="00510DDE" w:rsidP="00567748">
      <w:pPr>
        <w:tabs>
          <w:tab w:val="left" w:pos="426"/>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La peticionaria realizó varias consultas organizadas en 7 </w:t>
      </w:r>
      <w:r w:rsidR="00567748">
        <w:rPr>
          <w:rFonts w:ascii="Arial" w:eastAsia="Calibri" w:hAnsi="Arial" w:cs="Arial"/>
          <w:bCs/>
          <w:color w:val="000000" w:themeColor="text1"/>
          <w:sz w:val="22"/>
          <w:lang w:val="es-ES_tradnl"/>
        </w:rPr>
        <w:t>numerales</w:t>
      </w:r>
      <w:r>
        <w:rPr>
          <w:rFonts w:ascii="Arial" w:eastAsia="Calibri" w:hAnsi="Arial" w:cs="Arial"/>
          <w:bCs/>
          <w:color w:val="000000" w:themeColor="text1"/>
          <w:sz w:val="22"/>
          <w:lang w:val="es-ES_tradnl"/>
        </w:rPr>
        <w:t xml:space="preserve">. Cabe aclarar que la respuesta a </w:t>
      </w:r>
      <w:r w:rsidR="00567748">
        <w:rPr>
          <w:rFonts w:ascii="Arial" w:eastAsia="Calibri" w:hAnsi="Arial" w:cs="Arial"/>
          <w:bCs/>
          <w:color w:val="000000" w:themeColor="text1"/>
          <w:sz w:val="22"/>
          <w:lang w:val="es-ES_tradnl"/>
        </w:rPr>
        <w:t xml:space="preserve">la pregunta del numeral 1 fue respondida mediante el radicado de salida No. </w:t>
      </w:r>
      <w:r w:rsidR="00567748" w:rsidRPr="00567748">
        <w:rPr>
          <w:rFonts w:ascii="Arial" w:eastAsia="Calibri" w:hAnsi="Arial" w:cs="Arial"/>
          <w:bCs/>
          <w:color w:val="000000" w:themeColor="text1"/>
          <w:sz w:val="22"/>
          <w:lang w:val="es-ES_tradnl"/>
        </w:rPr>
        <w:t xml:space="preserve">2202013000011520 del 22 de noviembre de 2020. Además, la respuesta a las preguntas de los numerales 4 y 7 fueron respondidas por la Subdirección de </w:t>
      </w:r>
      <w:r w:rsidR="00A71876">
        <w:rPr>
          <w:rFonts w:ascii="Arial" w:eastAsia="Calibri" w:hAnsi="Arial" w:cs="Arial"/>
          <w:bCs/>
          <w:color w:val="000000" w:themeColor="text1"/>
          <w:sz w:val="22"/>
          <w:lang w:val="es-ES_tradnl"/>
        </w:rPr>
        <w:t>I</w:t>
      </w:r>
      <w:r w:rsidR="00567748" w:rsidRPr="00567748">
        <w:rPr>
          <w:rFonts w:ascii="Arial" w:eastAsia="Calibri" w:hAnsi="Arial" w:cs="Arial"/>
          <w:bCs/>
          <w:color w:val="000000" w:themeColor="text1"/>
          <w:sz w:val="22"/>
          <w:lang w:val="es-ES_tradnl"/>
        </w:rPr>
        <w:t xml:space="preserve">nformación y </w:t>
      </w:r>
      <w:r w:rsidR="00A71876">
        <w:rPr>
          <w:rFonts w:ascii="Arial" w:eastAsia="Calibri" w:hAnsi="Arial" w:cs="Arial"/>
          <w:bCs/>
          <w:color w:val="000000" w:themeColor="text1"/>
          <w:sz w:val="22"/>
          <w:lang w:val="es-ES_tradnl"/>
        </w:rPr>
        <w:t>D</w:t>
      </w:r>
      <w:r w:rsidR="00567748" w:rsidRPr="00567748">
        <w:rPr>
          <w:rFonts w:ascii="Arial" w:eastAsia="Calibri" w:hAnsi="Arial" w:cs="Arial"/>
          <w:bCs/>
          <w:color w:val="000000" w:themeColor="text1"/>
          <w:sz w:val="22"/>
          <w:lang w:val="es-ES_tradnl"/>
        </w:rPr>
        <w:t xml:space="preserve">esarrollo </w:t>
      </w:r>
      <w:r w:rsidR="00A71876">
        <w:rPr>
          <w:rFonts w:ascii="Arial" w:eastAsia="Calibri" w:hAnsi="Arial" w:cs="Arial"/>
          <w:bCs/>
          <w:color w:val="000000" w:themeColor="text1"/>
          <w:sz w:val="22"/>
          <w:lang w:val="es-ES_tradnl"/>
        </w:rPr>
        <w:t>T</w:t>
      </w:r>
      <w:r w:rsidR="00567748" w:rsidRPr="00567748">
        <w:rPr>
          <w:rFonts w:ascii="Arial" w:eastAsia="Calibri" w:hAnsi="Arial" w:cs="Arial"/>
          <w:bCs/>
          <w:color w:val="000000" w:themeColor="text1"/>
          <w:sz w:val="22"/>
          <w:lang w:val="es-ES_tradnl"/>
        </w:rPr>
        <w:t>ecnológico</w:t>
      </w:r>
      <w:r w:rsidR="00EC0DEF">
        <w:rPr>
          <w:rFonts w:ascii="Arial" w:eastAsia="Calibri" w:hAnsi="Arial" w:cs="Arial"/>
          <w:bCs/>
          <w:color w:val="000000" w:themeColor="text1"/>
          <w:sz w:val="22"/>
          <w:lang w:val="es-ES_tradnl"/>
        </w:rPr>
        <w:t>,</w:t>
      </w:r>
      <w:r w:rsidR="00567748" w:rsidRPr="00567748">
        <w:rPr>
          <w:rFonts w:ascii="Arial" w:eastAsia="Calibri" w:hAnsi="Arial" w:cs="Arial"/>
          <w:bCs/>
          <w:color w:val="000000" w:themeColor="text1"/>
          <w:sz w:val="22"/>
          <w:lang w:val="es-ES_tradnl"/>
        </w:rPr>
        <w:t xml:space="preserve"> mediante radicado de salida No. 2202013000011970 del 10 de diciembre de 2020.</w:t>
      </w:r>
    </w:p>
    <w:p w14:paraId="654B4127" w14:textId="2E5BA2E7" w:rsidR="00A71876" w:rsidRDefault="00A71876" w:rsidP="0057252F">
      <w:pPr>
        <w:tabs>
          <w:tab w:val="left" w:pos="426"/>
          <w:tab w:val="left" w:pos="709"/>
        </w:tabs>
        <w:spacing w:line="276" w:lineRule="auto"/>
        <w:jc w:val="both"/>
        <w:rPr>
          <w:rFonts w:ascii="Arial" w:eastAsia="Calibri" w:hAnsi="Arial" w:cs="Arial"/>
          <w:bCs/>
          <w:color w:val="000000" w:themeColor="text1"/>
          <w:sz w:val="22"/>
          <w:lang w:val="es-ES_tradnl"/>
        </w:rPr>
      </w:pPr>
      <w:r w:rsidRPr="00380F15">
        <w:rPr>
          <w:rFonts w:ascii="Arial" w:eastAsia="Calibri" w:hAnsi="Arial" w:cs="Arial"/>
          <w:bCs/>
          <w:color w:val="000000" w:themeColor="text1"/>
          <w:sz w:val="21"/>
          <w:szCs w:val="21"/>
          <w:lang w:val="es-ES_tradnl"/>
        </w:rPr>
        <w:tab/>
      </w:r>
      <w:r w:rsidRPr="00380F15">
        <w:rPr>
          <w:rFonts w:ascii="Arial" w:eastAsia="Calibri" w:hAnsi="Arial" w:cs="Arial"/>
          <w:bCs/>
          <w:color w:val="000000" w:themeColor="text1"/>
          <w:sz w:val="21"/>
          <w:szCs w:val="21"/>
          <w:lang w:val="es-ES_tradnl"/>
        </w:rPr>
        <w:tab/>
        <w:t>Ahora bien, las preguntas</w:t>
      </w:r>
      <w:r>
        <w:rPr>
          <w:rFonts w:ascii="Arial" w:eastAsia="Calibri" w:hAnsi="Arial" w:cs="Arial"/>
          <w:bCs/>
          <w:color w:val="000000" w:themeColor="text1"/>
          <w:sz w:val="22"/>
          <w:lang w:val="es-ES_tradnl"/>
        </w:rPr>
        <w:t xml:space="preserve"> restantes tienen relación con varios aspectos </w:t>
      </w:r>
      <w:r w:rsidR="00380F15">
        <w:rPr>
          <w:rFonts w:ascii="Arial" w:eastAsia="Calibri" w:hAnsi="Arial" w:cs="Arial"/>
          <w:bCs/>
          <w:color w:val="000000" w:themeColor="text1"/>
          <w:sz w:val="22"/>
          <w:lang w:val="es-ES_tradnl"/>
        </w:rPr>
        <w:t>asociados con</w:t>
      </w:r>
      <w:r>
        <w:rPr>
          <w:rFonts w:ascii="Arial" w:eastAsia="Calibri" w:hAnsi="Arial" w:cs="Arial"/>
          <w:bCs/>
          <w:color w:val="000000" w:themeColor="text1"/>
          <w:sz w:val="22"/>
          <w:lang w:val="es-ES_tradnl"/>
        </w:rPr>
        <w:t xml:space="preserve"> la experiencia exigible en los procesos regidos por los documentos tipo, y frente al contenido de una causal de rechazo,</w:t>
      </w:r>
      <w:r w:rsidR="00EC0DEF">
        <w:rPr>
          <w:rFonts w:ascii="Arial" w:eastAsia="Calibri" w:hAnsi="Arial" w:cs="Arial"/>
          <w:bCs/>
          <w:color w:val="000000" w:themeColor="text1"/>
          <w:sz w:val="22"/>
          <w:lang w:val="es-ES_tradnl"/>
        </w:rPr>
        <w:t xml:space="preserve"> que no está contemplada en los documentos tipo,</w:t>
      </w:r>
      <w:r>
        <w:rPr>
          <w:rFonts w:ascii="Arial" w:eastAsia="Calibri" w:hAnsi="Arial" w:cs="Arial"/>
          <w:bCs/>
          <w:color w:val="000000" w:themeColor="text1"/>
          <w:sz w:val="22"/>
          <w:lang w:val="es-ES_tradnl"/>
        </w:rPr>
        <w:t xml:space="preserve">  se indaga por lo siguiente: «</w:t>
      </w:r>
      <w:r w:rsidRPr="00E15943">
        <w:rPr>
          <w:rFonts w:ascii="Arial" w:eastAsia="Calibri" w:hAnsi="Arial" w:cs="Arial"/>
          <w:bCs/>
          <w:color w:val="000000" w:themeColor="text1"/>
          <w:sz w:val="21"/>
          <w:szCs w:val="21"/>
          <w:lang w:val="es-ES_tradnl"/>
        </w:rPr>
        <w:t>Cuando se presente más de una oferta por un mismo oferente o se ostente la calidad de representante legal o socio de más de una persona jurídica participante en el presente proceso de selección, lo anterior sería una causal de rechazo EXPLICACI</w:t>
      </w:r>
      <w:r>
        <w:rPr>
          <w:rFonts w:ascii="Arial" w:eastAsia="Calibri" w:hAnsi="Arial" w:cs="Arial"/>
          <w:bCs/>
          <w:color w:val="000000" w:themeColor="text1"/>
          <w:sz w:val="21"/>
          <w:szCs w:val="21"/>
          <w:lang w:val="es-ES_tradnl"/>
        </w:rPr>
        <w:t>Ó</w:t>
      </w:r>
      <w:r w:rsidRPr="00E15943">
        <w:rPr>
          <w:rFonts w:ascii="Arial" w:eastAsia="Calibri" w:hAnsi="Arial" w:cs="Arial"/>
          <w:bCs/>
          <w:color w:val="000000" w:themeColor="text1"/>
          <w:sz w:val="21"/>
          <w:szCs w:val="21"/>
          <w:lang w:val="es-ES_tradnl"/>
        </w:rPr>
        <w:t>N DE ESTA CAUSAL POR FAVOR</w:t>
      </w:r>
      <w:r w:rsidR="00380F15">
        <w:rPr>
          <w:rFonts w:ascii="Arial" w:eastAsia="Calibri" w:hAnsi="Arial" w:cs="Arial"/>
          <w:bCs/>
          <w:color w:val="000000" w:themeColor="text1"/>
          <w:sz w:val="21"/>
          <w:szCs w:val="21"/>
          <w:lang w:val="es-ES_tradnl"/>
        </w:rPr>
        <w:t xml:space="preserve"> // </w:t>
      </w:r>
      <w:r w:rsidR="00380F15" w:rsidRPr="00380F15">
        <w:rPr>
          <w:rFonts w:ascii="Arial" w:eastAsia="Calibri" w:hAnsi="Arial" w:cs="Arial"/>
          <w:bCs/>
          <w:color w:val="000000" w:themeColor="text1"/>
          <w:sz w:val="21"/>
          <w:szCs w:val="21"/>
          <w:lang w:val="es-ES_tradnl"/>
        </w:rPr>
        <w:t xml:space="preserve">Mi duda radica es que si se presentan dos ofertas diferentes, </w:t>
      </w:r>
      <w:r w:rsidR="00380F15" w:rsidRPr="00380F15">
        <w:rPr>
          <w:rFonts w:ascii="Arial" w:eastAsia="Calibri" w:hAnsi="Arial" w:cs="Arial"/>
          <w:bCs/>
          <w:color w:val="000000" w:themeColor="text1"/>
          <w:sz w:val="21"/>
          <w:szCs w:val="21"/>
          <w:lang w:val="es-ES_tradnl"/>
        </w:rPr>
        <w:lastRenderedPageBreak/>
        <w:t>exactamente en dos consorcios diferentes. En un consorcio un integrante X como persona natural y en otro</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consorcio</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dos</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personas</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jurídicas,</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pero</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el</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integrante</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X</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hace</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parte</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de</w:t>
      </w:r>
      <w:r w:rsidR="00380F15">
        <w:rPr>
          <w:rFonts w:ascii="Arial" w:eastAsia="Calibri" w:hAnsi="Arial" w:cs="Arial"/>
          <w:bCs/>
          <w:color w:val="000000" w:themeColor="text1"/>
          <w:sz w:val="21"/>
          <w:szCs w:val="21"/>
          <w:lang w:val="es-ES_tradnl"/>
        </w:rPr>
        <w:t xml:space="preserve"> </w:t>
      </w:r>
      <w:r w:rsidR="00380F15" w:rsidRPr="00380F15">
        <w:rPr>
          <w:rFonts w:ascii="Arial" w:eastAsia="Calibri" w:hAnsi="Arial" w:cs="Arial"/>
          <w:bCs/>
          <w:color w:val="000000" w:themeColor="text1"/>
          <w:sz w:val="21"/>
          <w:szCs w:val="21"/>
          <w:lang w:val="es-ES_tradnl"/>
        </w:rPr>
        <w:t xml:space="preserve">la composición accionaria de una persona jurídica de las que integran el consorcio. </w:t>
      </w:r>
      <w:proofErr w:type="gramStart"/>
      <w:r w:rsidR="00380F15" w:rsidRPr="00380F15">
        <w:rPr>
          <w:rFonts w:ascii="Arial" w:eastAsia="Calibri" w:hAnsi="Arial" w:cs="Arial"/>
          <w:bCs/>
          <w:color w:val="000000" w:themeColor="text1"/>
          <w:sz w:val="21"/>
          <w:szCs w:val="21"/>
          <w:lang w:val="es-ES_tradnl"/>
        </w:rPr>
        <w:t>Serian</w:t>
      </w:r>
      <w:r w:rsidR="00380F15">
        <w:rPr>
          <w:rFonts w:ascii="Arial" w:eastAsia="Calibri" w:hAnsi="Arial" w:cs="Arial"/>
          <w:bCs/>
          <w:color w:val="000000" w:themeColor="text1"/>
          <w:sz w:val="21"/>
          <w:szCs w:val="21"/>
          <w:lang w:val="es-ES_tradnl"/>
        </w:rPr>
        <w:t xml:space="preserve"> (sic)</w:t>
      </w:r>
      <w:r w:rsidR="00380F15" w:rsidRPr="00380F15">
        <w:rPr>
          <w:rFonts w:ascii="Arial" w:eastAsia="Calibri" w:hAnsi="Arial" w:cs="Arial"/>
          <w:bCs/>
          <w:color w:val="000000" w:themeColor="text1"/>
          <w:sz w:val="21"/>
          <w:szCs w:val="21"/>
          <w:lang w:val="es-ES_tradnl"/>
        </w:rPr>
        <w:t xml:space="preserve"> rechazadas las dos ofertas?</w:t>
      </w:r>
      <w:proofErr w:type="gramEnd"/>
      <w:r w:rsidR="00380F15">
        <w:rPr>
          <w:rFonts w:ascii="Arial" w:eastAsia="Calibri" w:hAnsi="Arial" w:cs="Arial"/>
          <w:bCs/>
          <w:color w:val="000000" w:themeColor="text1"/>
          <w:sz w:val="21"/>
          <w:szCs w:val="21"/>
          <w:lang w:val="es-ES_tradnl"/>
        </w:rPr>
        <w:t>»</w:t>
      </w:r>
      <w:r>
        <w:rPr>
          <w:rFonts w:ascii="Arial" w:eastAsia="Calibri" w:hAnsi="Arial" w:cs="Arial"/>
          <w:bCs/>
          <w:color w:val="000000" w:themeColor="text1"/>
          <w:sz w:val="21"/>
          <w:szCs w:val="21"/>
          <w:lang w:val="es-ES_tradnl"/>
        </w:rPr>
        <w:t>.</w:t>
      </w:r>
      <w:r w:rsidR="00E15943">
        <w:rPr>
          <w:rFonts w:ascii="Arial" w:eastAsia="Calibri" w:hAnsi="Arial" w:cs="Arial"/>
          <w:bCs/>
          <w:color w:val="000000" w:themeColor="text1"/>
          <w:sz w:val="22"/>
          <w:lang w:val="es-ES_tradnl"/>
        </w:rPr>
        <w:tab/>
      </w:r>
      <w:r w:rsidR="00E15943">
        <w:rPr>
          <w:rFonts w:ascii="Arial" w:eastAsia="Calibri" w:hAnsi="Arial" w:cs="Arial"/>
          <w:bCs/>
          <w:color w:val="000000" w:themeColor="text1"/>
          <w:sz w:val="22"/>
          <w:lang w:val="es-ES_tradnl"/>
        </w:rPr>
        <w:tab/>
      </w:r>
    </w:p>
    <w:p w14:paraId="3C2ECFFE" w14:textId="77777777" w:rsidR="00F02BFD" w:rsidRPr="00781A1B" w:rsidRDefault="00F02BFD" w:rsidP="0057252F">
      <w:pPr>
        <w:spacing w:line="276" w:lineRule="auto"/>
        <w:jc w:val="both"/>
        <w:rPr>
          <w:rFonts w:ascii="Arial" w:hAnsi="Arial" w:cs="Arial"/>
          <w:color w:val="000000" w:themeColor="text1"/>
          <w:sz w:val="22"/>
          <w:lang w:val="es-ES_tradnl"/>
        </w:rPr>
      </w:pPr>
    </w:p>
    <w:p w14:paraId="124D2DCA" w14:textId="34B6BFC3"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Consideraciones</w:t>
      </w:r>
    </w:p>
    <w:p w14:paraId="61E77A3F" w14:textId="6A62C6A9" w:rsidR="00E15943" w:rsidRDefault="00E15943" w:rsidP="00E15943">
      <w:pPr>
        <w:tabs>
          <w:tab w:val="left" w:pos="0"/>
          <w:tab w:val="left" w:pos="284"/>
        </w:tabs>
        <w:jc w:val="both"/>
        <w:rPr>
          <w:rFonts w:ascii="Arial" w:eastAsia="Calibri" w:hAnsi="Arial" w:cs="Arial"/>
          <w:b/>
          <w:color w:val="000000" w:themeColor="text1"/>
          <w:sz w:val="22"/>
          <w:lang w:val="es-ES_tradnl"/>
        </w:rPr>
      </w:pPr>
    </w:p>
    <w:p w14:paraId="6A6C3349" w14:textId="0C8547DF" w:rsidR="00E15943" w:rsidRPr="00A71876" w:rsidRDefault="00E15943" w:rsidP="0057252F">
      <w:pPr>
        <w:spacing w:line="276" w:lineRule="auto"/>
        <w:jc w:val="both"/>
        <w:rPr>
          <w:rFonts w:ascii="Arial" w:hAnsi="Arial" w:cs="Arial"/>
          <w:sz w:val="22"/>
        </w:rPr>
      </w:pPr>
      <w:r w:rsidRPr="00A71876">
        <w:rPr>
          <w:rFonts w:ascii="Arial" w:hAnsi="Arial" w:cs="Arial"/>
          <w:sz w:val="22"/>
        </w:rPr>
        <w:t>Para responder las preguntas de la peticionaria se desarrollarán los siguientes temas:</w:t>
      </w:r>
      <w:r w:rsidR="00A71876" w:rsidRPr="00A71876">
        <w:rPr>
          <w:rFonts w:ascii="Arial" w:hAnsi="Arial" w:cs="Arial"/>
          <w:sz w:val="22"/>
        </w:rPr>
        <w:t xml:space="preserve">  </w:t>
      </w:r>
      <w:r w:rsidR="00EC0DEF">
        <w:rPr>
          <w:rFonts w:ascii="Arial" w:hAnsi="Arial" w:cs="Arial"/>
          <w:sz w:val="22"/>
        </w:rPr>
        <w:t xml:space="preserve">i) </w:t>
      </w:r>
      <w:r w:rsidR="00A71876" w:rsidRPr="00A71876">
        <w:rPr>
          <w:rFonts w:ascii="Arial" w:hAnsi="Arial" w:cs="Arial"/>
          <w:sz w:val="22"/>
        </w:rPr>
        <w:t xml:space="preserve">acreditación de la experiencia en los documentos tipo de obra pública de infraestructura de transporte </w:t>
      </w:r>
      <w:r w:rsidR="0064382E">
        <w:rPr>
          <w:rFonts w:ascii="Arial" w:hAnsi="Arial" w:cs="Arial"/>
          <w:sz w:val="22"/>
        </w:rPr>
        <w:t>e</w:t>
      </w:r>
      <w:r w:rsidR="00A71876" w:rsidRPr="00A71876">
        <w:rPr>
          <w:rFonts w:ascii="Arial" w:hAnsi="Arial" w:cs="Arial"/>
          <w:sz w:val="22"/>
        </w:rPr>
        <w:t xml:space="preserve"> </w:t>
      </w:r>
      <w:proofErr w:type="spellStart"/>
      <w:r w:rsidR="00EC0DEF">
        <w:rPr>
          <w:rFonts w:ascii="Arial" w:hAnsi="Arial" w:cs="Arial"/>
          <w:sz w:val="22"/>
        </w:rPr>
        <w:t>ii</w:t>
      </w:r>
      <w:proofErr w:type="spellEnd"/>
      <w:r w:rsidR="00EC0DEF">
        <w:rPr>
          <w:rFonts w:ascii="Arial" w:hAnsi="Arial" w:cs="Arial"/>
          <w:sz w:val="22"/>
        </w:rPr>
        <w:t xml:space="preserve">) </w:t>
      </w:r>
      <w:r w:rsidR="00EC0DEF" w:rsidRPr="00EC0DEF">
        <w:rPr>
          <w:rFonts w:ascii="Arial" w:hAnsi="Arial" w:cs="Arial"/>
          <w:sz w:val="22"/>
        </w:rPr>
        <w:t>Inhabilidad de personas por vínculos naturales o jurídicos</w:t>
      </w:r>
      <w:r w:rsidR="00EC0DEF">
        <w:rPr>
          <w:rFonts w:ascii="Arial" w:hAnsi="Arial" w:cs="Arial"/>
          <w:sz w:val="22"/>
        </w:rPr>
        <w:t xml:space="preserve">, acápite donde se analizará la inhabilidad del </w:t>
      </w:r>
      <w:r w:rsidR="00EC0DEF" w:rsidRPr="00EC0DEF">
        <w:rPr>
          <w:rFonts w:ascii="Arial" w:hAnsi="Arial" w:cs="Arial"/>
          <w:sz w:val="22"/>
        </w:rPr>
        <w:t>literal g) del numeral 1 del artículo 8 de la Ley 80 de 1993</w:t>
      </w:r>
      <w:r w:rsidR="00EC0DEF">
        <w:rPr>
          <w:rFonts w:ascii="Arial" w:hAnsi="Arial" w:cs="Arial"/>
          <w:sz w:val="22"/>
        </w:rPr>
        <w:t>.</w:t>
      </w:r>
    </w:p>
    <w:p w14:paraId="295069BD" w14:textId="0CF5364E" w:rsidR="00E15943" w:rsidRDefault="00E15943" w:rsidP="0057252F">
      <w:pPr>
        <w:tabs>
          <w:tab w:val="left" w:pos="0"/>
          <w:tab w:val="left" w:pos="284"/>
        </w:tabs>
        <w:jc w:val="both"/>
        <w:rPr>
          <w:rFonts w:ascii="Arial" w:eastAsia="Calibri" w:hAnsi="Arial" w:cs="Arial"/>
          <w:bCs/>
          <w:color w:val="000000" w:themeColor="text1"/>
          <w:sz w:val="22"/>
          <w:lang w:val="es-ES_tradnl"/>
        </w:rPr>
      </w:pPr>
    </w:p>
    <w:p w14:paraId="53C8C268" w14:textId="7022E238" w:rsidR="00D37721" w:rsidRDefault="000245A2" w:rsidP="00032C75">
      <w:pPr>
        <w:tabs>
          <w:tab w:val="left" w:pos="709"/>
          <w:tab w:val="left" w:pos="851"/>
        </w:tabs>
        <w:spacing w:line="276" w:lineRule="auto"/>
        <w:jc w:val="both"/>
        <w:rPr>
          <w:rFonts w:ascii="Arial" w:hAnsi="Arial" w:cs="Arial"/>
          <w:b/>
          <w:bCs/>
          <w:sz w:val="22"/>
          <w:szCs w:val="20"/>
        </w:rPr>
      </w:pPr>
      <w:r>
        <w:rPr>
          <w:rFonts w:ascii="Arial" w:hAnsi="Arial" w:cs="Arial"/>
          <w:b/>
          <w:bCs/>
          <w:sz w:val="22"/>
          <w:szCs w:val="20"/>
        </w:rPr>
        <w:t xml:space="preserve">2.1. </w:t>
      </w:r>
      <w:r w:rsidR="00D32502">
        <w:rPr>
          <w:rFonts w:ascii="Arial" w:hAnsi="Arial" w:cs="Arial"/>
          <w:b/>
          <w:bCs/>
          <w:sz w:val="22"/>
          <w:szCs w:val="20"/>
        </w:rPr>
        <w:t>L</w:t>
      </w:r>
      <w:r>
        <w:rPr>
          <w:rFonts w:ascii="Arial" w:hAnsi="Arial" w:cs="Arial"/>
          <w:b/>
          <w:bCs/>
          <w:sz w:val="22"/>
          <w:szCs w:val="20"/>
        </w:rPr>
        <w:t>a experiencia en los documentos tipo de obra pública de infraestructura de transporte</w:t>
      </w:r>
    </w:p>
    <w:p w14:paraId="2DFFBFA0" w14:textId="7C3FB56F" w:rsidR="00D32502" w:rsidRDefault="00D32502" w:rsidP="00032C75">
      <w:pPr>
        <w:tabs>
          <w:tab w:val="left" w:pos="709"/>
          <w:tab w:val="left" w:pos="851"/>
        </w:tabs>
        <w:spacing w:line="276" w:lineRule="auto"/>
        <w:jc w:val="both"/>
        <w:rPr>
          <w:rFonts w:ascii="Arial" w:hAnsi="Arial" w:cs="Arial"/>
          <w:b/>
          <w:bCs/>
          <w:sz w:val="22"/>
          <w:szCs w:val="20"/>
        </w:rPr>
      </w:pPr>
    </w:p>
    <w:p w14:paraId="54D6C555" w14:textId="77777777" w:rsidR="00D32502" w:rsidRPr="003A4F71" w:rsidRDefault="00D32502" w:rsidP="00CB6B54">
      <w:pPr>
        <w:spacing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Pr>
          <w:rFonts w:ascii="Arial" w:hAnsi="Arial" w:cs="Arial"/>
          <w:sz w:val="22"/>
        </w:rPr>
        <w:t>c</w:t>
      </w:r>
      <w:r w:rsidRPr="003A4F71">
        <w:rPr>
          <w:rFonts w:ascii="Arial" w:hAnsi="Arial" w:cs="Arial"/>
          <w:sz w:val="22"/>
        </w:rPr>
        <w:t>onceptos C-056</w:t>
      </w:r>
      <w:r>
        <w:rPr>
          <w:rFonts w:ascii="Arial" w:hAnsi="Arial" w:cs="Arial"/>
          <w:sz w:val="22"/>
        </w:rPr>
        <w:t xml:space="preserve"> </w:t>
      </w:r>
      <w:r w:rsidRPr="003A4F71">
        <w:rPr>
          <w:rFonts w:ascii="Arial" w:hAnsi="Arial" w:cs="Arial"/>
          <w:sz w:val="22"/>
        </w:rPr>
        <w:t>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w:t>
      </w:r>
      <w:r>
        <w:rPr>
          <w:rFonts w:ascii="Arial" w:hAnsi="Arial" w:cs="Arial"/>
          <w:sz w:val="22"/>
        </w:rPr>
        <w:t>,</w:t>
      </w:r>
      <w:r w:rsidRPr="003A4F71">
        <w:rPr>
          <w:rFonts w:ascii="Arial" w:hAnsi="Arial" w:cs="Arial"/>
          <w:sz w:val="22"/>
        </w:rPr>
        <w:t xml:space="preserve"> C-698 del 19 de noviembre de 2020</w:t>
      </w:r>
      <w:r>
        <w:rPr>
          <w:rFonts w:ascii="Arial" w:hAnsi="Arial" w:cs="Arial"/>
          <w:sz w:val="22"/>
        </w:rPr>
        <w:t>, C-697 y C-713 del 2 de diciembre de 2020</w:t>
      </w:r>
      <w:r w:rsidRPr="003A4F71">
        <w:rPr>
          <w:rFonts w:ascii="Arial" w:hAnsi="Arial" w:cs="Arial"/>
          <w:sz w:val="22"/>
        </w:rPr>
        <w:t>. En lo pertinente, la tesis expuesta en estos conceptos se reitera a continuación</w:t>
      </w:r>
      <w:r>
        <w:rPr>
          <w:rFonts w:ascii="Arial" w:hAnsi="Arial" w:cs="Arial"/>
          <w:sz w:val="22"/>
        </w:rPr>
        <w:t>.</w:t>
      </w:r>
    </w:p>
    <w:p w14:paraId="6982AA93" w14:textId="77777777" w:rsidR="00D32502" w:rsidRDefault="00D32502">
      <w:pPr>
        <w:tabs>
          <w:tab w:val="left" w:pos="709"/>
          <w:tab w:val="left" w:pos="851"/>
        </w:tabs>
        <w:spacing w:line="276" w:lineRule="auto"/>
        <w:jc w:val="both"/>
        <w:rPr>
          <w:rFonts w:ascii="Arial" w:hAnsi="Arial" w:cs="Arial"/>
          <w:b/>
          <w:bCs/>
          <w:sz w:val="22"/>
          <w:szCs w:val="20"/>
        </w:rPr>
      </w:pPr>
    </w:p>
    <w:p w14:paraId="49DE73F4" w14:textId="54E5247F" w:rsidR="00D32502" w:rsidRPr="00D32502" w:rsidRDefault="00D32502" w:rsidP="00032C75">
      <w:pPr>
        <w:tabs>
          <w:tab w:val="left" w:pos="709"/>
          <w:tab w:val="left" w:pos="851"/>
        </w:tabs>
        <w:spacing w:line="276" w:lineRule="auto"/>
        <w:jc w:val="both"/>
        <w:rPr>
          <w:rFonts w:ascii="Arial" w:hAnsi="Arial" w:cs="Arial"/>
          <w:b/>
          <w:bCs/>
          <w:sz w:val="22"/>
          <w:szCs w:val="20"/>
        </w:rPr>
      </w:pPr>
      <w:r w:rsidRPr="00CB6B54">
        <w:rPr>
          <w:rFonts w:ascii="Arial" w:hAnsi="Arial" w:cs="Arial"/>
          <w:b/>
          <w:bCs/>
          <w:sz w:val="22"/>
          <w:szCs w:val="20"/>
        </w:rPr>
        <w:t xml:space="preserve">2.1.1. </w:t>
      </w:r>
      <w:r>
        <w:rPr>
          <w:rFonts w:ascii="Arial" w:hAnsi="Arial" w:cs="Arial"/>
          <w:b/>
          <w:bCs/>
          <w:sz w:val="22"/>
          <w:szCs w:val="20"/>
        </w:rPr>
        <w:t>Fundamentos jurídicos para la expedición de los documentos tipo</w:t>
      </w:r>
    </w:p>
    <w:p w14:paraId="364499AB" w14:textId="00C81436" w:rsidR="000245A2" w:rsidRDefault="000245A2" w:rsidP="00032C75">
      <w:pPr>
        <w:tabs>
          <w:tab w:val="left" w:pos="709"/>
          <w:tab w:val="left" w:pos="851"/>
        </w:tabs>
        <w:spacing w:line="276" w:lineRule="auto"/>
        <w:jc w:val="both"/>
        <w:rPr>
          <w:rFonts w:ascii="Arial" w:hAnsi="Arial" w:cs="Arial"/>
          <w:sz w:val="22"/>
          <w:szCs w:val="20"/>
        </w:rPr>
      </w:pPr>
    </w:p>
    <w:p w14:paraId="6965B019" w14:textId="36C3A786" w:rsidR="000245A2" w:rsidRPr="005B2F33" w:rsidRDefault="000245A2" w:rsidP="00CB6B54">
      <w:pPr>
        <w:spacing w:line="276" w:lineRule="auto"/>
        <w:jc w:val="both"/>
        <w:rPr>
          <w:color w:val="0D0D0D" w:themeColor="text1" w:themeTint="F2"/>
        </w:rPr>
      </w:pPr>
      <w:bookmarkStart w:id="4" w:name="_Hlk40098008"/>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w:t>
      </w:r>
      <w:r w:rsidR="00D32502">
        <w:rPr>
          <w:rFonts w:ascii="Arial" w:hAnsi="Arial" w:cs="Arial"/>
          <w:color w:val="0D0D0D" w:themeColor="text1" w:themeTint="F2"/>
          <w:sz w:val="22"/>
          <w:lang w:val="es-ES"/>
        </w:rPr>
        <w:t>documentos</w:t>
      </w:r>
      <w:r w:rsidR="00D32502" w:rsidRPr="005B2F33">
        <w:rPr>
          <w:rFonts w:ascii="Arial" w:hAnsi="Arial" w:cs="Arial"/>
          <w:color w:val="0D0D0D" w:themeColor="text1" w:themeTint="F2"/>
          <w:sz w:val="22"/>
          <w:lang w:val="es-ES"/>
        </w:rPr>
        <w:t xml:space="preserve"> </w:t>
      </w:r>
      <w:r w:rsidRPr="005B2F33">
        <w:rPr>
          <w:rFonts w:ascii="Arial" w:hAnsi="Arial" w:cs="Arial"/>
          <w:color w:val="0D0D0D" w:themeColor="text1" w:themeTint="F2"/>
          <w:sz w:val="22"/>
          <w:lang w:val="es-ES"/>
        </w:rPr>
        <w:t xml:space="preserve">tipo aparecieron en nuestro ordenamiento jurídico en </w:t>
      </w:r>
      <w:r>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2"/>
      </w:r>
      <w:r w:rsidRPr="005B2F33">
        <w:rPr>
          <w:rFonts w:ascii="Arial" w:hAnsi="Arial" w:cs="Arial"/>
          <w:color w:val="0D0D0D" w:themeColor="text1" w:themeTint="F2"/>
          <w:sz w:val="22"/>
          <w:lang w:val="es-ES"/>
        </w:rPr>
        <w:t xml:space="preserve">.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w:t>
      </w:r>
      <w:r w:rsidRPr="005B2F33">
        <w:rPr>
          <w:rFonts w:ascii="Arial" w:hAnsi="Arial" w:cs="Arial"/>
          <w:color w:val="0D0D0D" w:themeColor="text1" w:themeTint="F2"/>
          <w:sz w:val="22"/>
          <w:lang w:val="es-ES"/>
        </w:rPr>
        <w:lastRenderedPageBreak/>
        <w:t xml:space="preserve">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3"/>
      </w:r>
      <w:r w:rsidRPr="005B2F33">
        <w:rPr>
          <w:rFonts w:ascii="Arial" w:hAnsi="Arial" w:cs="Arial"/>
          <w:color w:val="0D0D0D" w:themeColor="text1" w:themeTint="F2"/>
          <w:sz w:val="22"/>
          <w:lang w:val="es-ES"/>
        </w:rPr>
        <w:t>.</w:t>
      </w:r>
    </w:p>
    <w:p w14:paraId="7D219F79" w14:textId="681446FE" w:rsidR="000245A2" w:rsidRPr="005B2F33" w:rsidRDefault="000245A2" w:rsidP="000245A2">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4"/>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Sin embargo,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se limitaron a la adquisición o suministro de bienes </w:t>
      </w:r>
      <w:r>
        <w:rPr>
          <w:rFonts w:ascii="Arial" w:hAnsi="Arial" w:cs="Arial"/>
          <w:color w:val="0D0D0D" w:themeColor="text1" w:themeTint="F2"/>
          <w:sz w:val="22"/>
          <w:lang w:val="es-ES"/>
        </w:rPr>
        <w:t xml:space="preserve">y servicios </w:t>
      </w:r>
      <w:r w:rsidRPr="005B2F33">
        <w:rPr>
          <w:rFonts w:ascii="Arial" w:hAnsi="Arial" w:cs="Arial"/>
          <w:color w:val="0D0D0D" w:themeColor="text1" w:themeTint="F2"/>
          <w:sz w:val="22"/>
          <w:lang w:val="es-ES"/>
        </w:rPr>
        <w:t>de características técnicas uniformes</w:t>
      </w:r>
      <w:r w:rsidRPr="005B2F33">
        <w:rPr>
          <w:rStyle w:val="Refdenotaalpie"/>
          <w:rFonts w:ascii="Arial" w:hAnsi="Arial" w:cs="Arial"/>
          <w:color w:val="0D0D0D" w:themeColor="text1" w:themeTint="F2"/>
          <w:sz w:val="21"/>
          <w:szCs w:val="21"/>
          <w:lang w:val="es-ES"/>
        </w:rPr>
        <w:footnoteReference w:id="5"/>
      </w:r>
      <w:r w:rsidRPr="005B2F33">
        <w:rPr>
          <w:rFonts w:ascii="Arial" w:hAnsi="Arial" w:cs="Arial"/>
          <w:color w:val="0D0D0D" w:themeColor="text1" w:themeTint="F2"/>
          <w:sz w:val="21"/>
          <w:szCs w:val="21"/>
          <w:lang w:val="es-ES"/>
        </w:rPr>
        <w:t>.</w:t>
      </w:r>
      <w:bookmarkEnd w:id="4"/>
    </w:p>
    <w:p w14:paraId="0DEFD07C" w14:textId="77777777" w:rsidR="000245A2" w:rsidRPr="005B2F33" w:rsidRDefault="000245A2" w:rsidP="000245A2">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14:paraId="441DCB56" w14:textId="77777777" w:rsidR="000245A2" w:rsidRPr="005B2F33" w:rsidRDefault="000245A2" w:rsidP="000245A2">
      <w:pPr>
        <w:ind w:firstLine="709"/>
        <w:jc w:val="both"/>
        <w:rPr>
          <w:rFonts w:ascii="Arial" w:hAnsi="Arial" w:cs="Arial"/>
          <w:color w:val="0D0D0D" w:themeColor="text1" w:themeTint="F2"/>
          <w:sz w:val="22"/>
        </w:rPr>
      </w:pPr>
    </w:p>
    <w:p w14:paraId="460E751D" w14:textId="61AAED16" w:rsidR="000245A2" w:rsidRPr="005B2F33" w:rsidRDefault="000245A2" w:rsidP="000245A2">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w:t>
      </w:r>
      <w:r w:rsidR="0057252F">
        <w:rPr>
          <w:rFonts w:ascii="Arial" w:hAnsi="Arial" w:cs="Arial"/>
          <w:color w:val="0D0D0D" w:themeColor="text1" w:themeTint="F2"/>
          <w:sz w:val="21"/>
          <w:szCs w:val="21"/>
        </w:rPr>
        <w:t>Cursiva</w:t>
      </w:r>
      <w:r w:rsidRPr="00E130F5">
        <w:rPr>
          <w:rFonts w:ascii="Arial" w:hAnsi="Arial" w:cs="Arial"/>
          <w:color w:val="0D0D0D" w:themeColor="text1" w:themeTint="F2"/>
          <w:sz w:val="21"/>
          <w:szCs w:val="21"/>
        </w:rPr>
        <w:t xml:space="preserve"> fuera de texto)</w:t>
      </w:r>
    </w:p>
    <w:p w14:paraId="33AFAF54" w14:textId="77777777" w:rsidR="000245A2" w:rsidRPr="005B2F33" w:rsidRDefault="000245A2" w:rsidP="000245A2">
      <w:pPr>
        <w:spacing w:line="276" w:lineRule="auto"/>
        <w:jc w:val="both"/>
        <w:rPr>
          <w:rFonts w:ascii="Arial" w:hAnsi="Arial" w:cs="Arial"/>
          <w:color w:val="0D0D0D" w:themeColor="text1" w:themeTint="F2"/>
          <w:sz w:val="22"/>
        </w:rPr>
      </w:pPr>
    </w:p>
    <w:p w14:paraId="75E60287" w14:textId="7B555D96" w:rsidR="000245A2" w:rsidRDefault="000245A2" w:rsidP="000245A2">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cuyo artículo 1 modifica el artículo 4 de la Ley 1882 de 2018 </w:t>
      </w:r>
      <w:r>
        <w:rPr>
          <w:rFonts w:ascii="Arial" w:hAnsi="Arial" w:cs="Arial"/>
          <w:color w:val="0D0D0D" w:themeColor="text1" w:themeTint="F2"/>
          <w:sz w:val="22"/>
        </w:rPr>
        <w:t>en relación con los siguientes aspectos</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w:t>
      </w:r>
      <w:proofErr w:type="spellStart"/>
      <w:r w:rsidRPr="002D413A">
        <w:rPr>
          <w:rFonts w:ascii="Arial" w:hAnsi="Arial" w:cs="Arial"/>
          <w:color w:val="0D0D0D" w:themeColor="text1" w:themeTint="F2"/>
          <w:sz w:val="22"/>
        </w:rPr>
        <w:t>ii</w:t>
      </w:r>
      <w:proofErr w:type="spellEnd"/>
      <w:r w:rsidRPr="002D413A">
        <w:rPr>
          <w:rFonts w:ascii="Arial" w:hAnsi="Arial" w:cs="Arial"/>
          <w:color w:val="0D0D0D" w:themeColor="text1" w:themeTint="F2"/>
          <w:sz w:val="22"/>
        </w:rPr>
        <w:t>)</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sz w:val="22"/>
        </w:rPr>
        <w:t>iii</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sz w:val="22"/>
        </w:rPr>
        <w:t>iv</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las </w:t>
      </w:r>
      <w:r w:rsidRPr="002D413A">
        <w:rPr>
          <w:rFonts w:ascii="Arial" w:hAnsi="Arial" w:cs="Arial"/>
          <w:color w:val="0D0D0D" w:themeColor="text1" w:themeTint="F2"/>
          <w:sz w:val="22"/>
        </w:rPr>
        <w:t xml:space="preserve">responsabilidades para Colombia Compra Eficiente en la definición del desarrollo e implementación de los documentos tipo mediante cronogramas, coordinación con otras </w:t>
      </w:r>
      <w:r w:rsidRPr="002D413A">
        <w:rPr>
          <w:rFonts w:ascii="Arial" w:hAnsi="Arial" w:cs="Arial"/>
          <w:color w:val="0D0D0D" w:themeColor="text1" w:themeTint="F2"/>
          <w:sz w:val="22"/>
        </w:rPr>
        <w:lastRenderedPageBreak/>
        <w:t>entidades especializadas, recepción de comentarios de los interesados y revisión de los documentos tipo expedidos.</w:t>
      </w:r>
      <w:r>
        <w:rPr>
          <w:rFonts w:ascii="Arial" w:hAnsi="Arial" w:cs="Arial"/>
          <w:color w:val="0D0D0D" w:themeColor="text1" w:themeTint="F2"/>
          <w:sz w:val="22"/>
        </w:rPr>
        <w:t xml:space="preserve"> </w:t>
      </w:r>
    </w:p>
    <w:p w14:paraId="13FBED28" w14:textId="77777777" w:rsidR="000245A2" w:rsidRPr="005B2F33" w:rsidRDefault="000245A2" w:rsidP="000245A2">
      <w:pPr>
        <w:spacing w:before="120" w:after="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t>Sin perjuicio de lo anterior, l</w:t>
      </w:r>
      <w:r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42C5D19A" w14:textId="76A22389" w:rsidR="000245A2" w:rsidRPr="005B2F33" w:rsidRDefault="000245A2" w:rsidP="000245A2">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En ejercicio de la competencia conferida por el citado parágrafo, el Gobierno Nacional expidió el Decreto 342 de 2019, </w:t>
      </w:r>
      <w:r w:rsidR="00215BF0">
        <w:rPr>
          <w:rFonts w:ascii="Arial" w:hAnsi="Arial" w:cs="Arial"/>
          <w:color w:val="0D0D0D" w:themeColor="text1" w:themeTint="F2"/>
          <w:sz w:val="22"/>
          <w:lang w:val="es-ES"/>
        </w:rPr>
        <w:t>mediante el cual</w:t>
      </w:r>
      <w:r w:rsidRPr="005B2F33">
        <w:rPr>
          <w:rFonts w:ascii="Arial" w:hAnsi="Arial" w:cs="Arial"/>
          <w:color w:val="0D0D0D" w:themeColor="text1" w:themeTint="F2"/>
          <w:sz w:val="22"/>
          <w:lang w:val="es-ES"/>
        </w:rPr>
        <w:t xml:space="preserve"> se adoptaron los documentos tipo para licitaciones públicas para selección de contratistas de obra de infraestructura de transporte</w:t>
      </w:r>
      <w:r>
        <w:rPr>
          <w:rFonts w:ascii="Arial" w:hAnsi="Arial" w:cs="Arial"/>
          <w:color w:val="0D0D0D" w:themeColor="text1" w:themeTint="F2"/>
          <w:sz w:val="22"/>
          <w:lang w:val="es-ES"/>
        </w:rPr>
        <w:t>. En esta medida, el reglamento</w:t>
      </w:r>
      <w:r w:rsidRPr="005B2F33">
        <w:rPr>
          <w:rFonts w:ascii="Arial" w:hAnsi="Arial" w:cs="Arial"/>
          <w:color w:val="0D0D0D" w:themeColor="text1" w:themeTint="F2"/>
          <w:sz w:val="22"/>
          <w:lang w:val="es-ES"/>
        </w:rPr>
        <w:t xml:space="preserv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3A06D205" w14:textId="77777777" w:rsidR="000245A2" w:rsidRPr="005B2F33" w:rsidRDefault="000245A2" w:rsidP="000245A2">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color w:val="0D0D0D" w:themeColor="text1" w:themeTint="F2"/>
          <w:lang w:val="es-ES"/>
        </w:rPr>
        <w:t xml:space="preserve"> </w:t>
      </w:r>
    </w:p>
    <w:p w14:paraId="32B3D1D3" w14:textId="77777777" w:rsidR="000245A2" w:rsidRPr="005B2F33" w:rsidRDefault="000245A2" w:rsidP="000245A2">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w:t>
      </w:r>
      <w:r>
        <w:rPr>
          <w:rFonts w:ascii="Arial" w:hAnsi="Arial" w:cs="Arial"/>
          <w:color w:val="0D0D0D" w:themeColor="text1" w:themeTint="F2"/>
          <w:sz w:val="22"/>
          <w:lang w:val="es-ES"/>
        </w:rPr>
        <w:t>. Esto</w:t>
      </w:r>
      <w:r w:rsidRPr="005B2F33">
        <w:rPr>
          <w:rFonts w:ascii="Arial" w:hAnsi="Arial" w:cs="Arial"/>
          <w:color w:val="0D0D0D" w:themeColor="text1" w:themeTint="F2"/>
          <w:sz w:val="22"/>
          <w:lang w:val="es-ES"/>
        </w:rPr>
        <w:t xml:space="preserve">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w:t>
      </w:r>
    </w:p>
    <w:p w14:paraId="3785547C" w14:textId="77777777" w:rsidR="000245A2" w:rsidRPr="005B2F33" w:rsidRDefault="000245A2" w:rsidP="000245A2">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la necesidad de actualizar los documentos tipo para los procesos de licitación pública en orden de </w:t>
      </w:r>
      <w:r w:rsidRPr="005B2F33">
        <w:rPr>
          <w:rFonts w:ascii="Arial" w:hAnsi="Arial" w:cs="Arial"/>
          <w:color w:val="0D0D0D" w:themeColor="text1" w:themeTint="F2"/>
          <w:sz w:val="22"/>
        </w:rPr>
        <w:t>fortalecerlos y adaptarlos a la realidad de la contratación del país, implementó la Versión 2</w:t>
      </w:r>
      <w:r>
        <w:rPr>
          <w:rFonts w:ascii="Arial" w:hAnsi="Arial" w:cs="Arial"/>
          <w:color w:val="0D0D0D" w:themeColor="text1" w:themeTint="F2"/>
          <w:sz w:val="22"/>
        </w:rPr>
        <w:t>. De esta manera</w:t>
      </w:r>
      <w:r w:rsidRPr="005B2F33">
        <w:rPr>
          <w:rFonts w:ascii="Arial" w:hAnsi="Arial" w:cs="Arial"/>
          <w:color w:val="0D0D0D" w:themeColor="text1" w:themeTint="F2"/>
          <w:sz w:val="22"/>
        </w:rPr>
        <w:t xml:space="preserve"> expidi</w:t>
      </w:r>
      <w:r>
        <w:rPr>
          <w:rFonts w:ascii="Arial" w:hAnsi="Arial" w:cs="Arial"/>
          <w:color w:val="0D0D0D" w:themeColor="text1" w:themeTint="F2"/>
          <w:sz w:val="22"/>
        </w:rPr>
        <w:t>ó</w:t>
      </w:r>
      <w:r w:rsidRPr="005B2F33">
        <w:rPr>
          <w:rFonts w:ascii="Arial" w:hAnsi="Arial" w:cs="Arial"/>
          <w:color w:val="0D0D0D" w:themeColor="text1" w:themeTint="F2"/>
          <w:sz w:val="22"/>
        </w:rPr>
        <w:t xml:space="preserve"> la Resolución No. 045 del 14 de febrero de 2020, «Por la cual se actualizan los Documentos Tipo para los procesos de selección de licitación de obra pública de infraestructura de transporte y se deroga la Resolución 1798 de 2019». </w:t>
      </w:r>
    </w:p>
    <w:p w14:paraId="1106E1CE" w14:textId="77777777" w:rsidR="000245A2" w:rsidRPr="005B2F33" w:rsidRDefault="000245A2" w:rsidP="000245A2">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lastRenderedPageBreak/>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 En efecto, el Decreto mencionado autorizó</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procesos de contratación de obra pública de infraestructura de transporte adelantados en la modalidad de selección abreviada de menor cuantía</w:t>
      </w:r>
      <w:r>
        <w:rPr>
          <w:rFonts w:ascii="Arial" w:hAnsi="Arial" w:cs="Arial"/>
          <w:color w:val="0D0D0D" w:themeColor="text1" w:themeTint="F2"/>
          <w:sz w:val="22"/>
          <w:lang w:val="es-ES"/>
        </w:rPr>
        <w:t xml:space="preserve">. Este reglamento </w:t>
      </w:r>
      <w:r w:rsidRPr="005B2F33">
        <w:rPr>
          <w:rFonts w:ascii="Arial" w:hAnsi="Arial" w:cs="Arial"/>
          <w:color w:val="0D0D0D" w:themeColor="text1" w:themeTint="F2"/>
          <w:sz w:val="22"/>
          <w:lang w:val="es-ES"/>
        </w:rPr>
        <w:t xml:space="preserve">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50115D9F" w14:textId="4FB7219A" w:rsidR="000245A2" w:rsidRDefault="000245A2" w:rsidP="00CB6B54">
      <w:pPr>
        <w:spacing w:before="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de</w:t>
      </w:r>
      <w:r w:rsidRPr="005B2F33">
        <w:rPr>
          <w:rFonts w:ascii="Arial" w:eastAsia="Calibri" w:hAnsi="Arial" w:cs="Arial"/>
          <w:bCs/>
          <w:color w:val="0D0D0D" w:themeColor="text1" w:themeTint="F2"/>
          <w:sz w:val="22"/>
        </w:rPr>
        <w:t xml:space="preserve">l Decreto 1082 de 2015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Pr>
          <w:rFonts w:ascii="Arial" w:eastAsia="Calibri" w:hAnsi="Arial" w:cs="Arial"/>
          <w:bCs/>
          <w:color w:val="0D0D0D" w:themeColor="text1" w:themeTint="F2"/>
          <w:sz w:val="22"/>
        </w:rPr>
        <w:t>. Además,</w:t>
      </w:r>
      <w:r w:rsidRPr="005B2F33">
        <w:rPr>
          <w:rFonts w:ascii="Arial" w:eastAsia="Calibri" w:hAnsi="Arial" w:cs="Arial"/>
          <w:bCs/>
          <w:color w:val="0D0D0D" w:themeColor="text1" w:themeTint="F2"/>
          <w:sz w:val="22"/>
        </w:rPr>
        <w:t xml:space="preserve"> el </w:t>
      </w:r>
      <w:r w:rsidR="00F95FAA">
        <w:rPr>
          <w:rFonts w:ascii="Arial" w:eastAsia="Calibri" w:hAnsi="Arial" w:cs="Arial"/>
          <w:bCs/>
          <w:color w:val="0D0D0D" w:themeColor="text1" w:themeTint="F2"/>
          <w:sz w:val="22"/>
        </w:rPr>
        <w:t xml:space="preserve">artículo </w:t>
      </w:r>
      <w:r w:rsidRPr="005B2F33">
        <w:rPr>
          <w:rFonts w:ascii="Arial" w:hAnsi="Arial" w:cs="Arial"/>
          <w:color w:val="0D0D0D" w:themeColor="text1" w:themeTint="F2"/>
          <w:sz w:val="22"/>
        </w:rPr>
        <w:t xml:space="preserve">2.2.1.2.6.2.3 </w:t>
      </w:r>
      <w:r w:rsidRPr="005210DF">
        <w:rPr>
          <w:rFonts w:ascii="Arial" w:hAnsi="Arial" w:cs="Arial"/>
          <w:i/>
          <w:iCs/>
          <w:color w:val="0D0D0D" w:themeColor="text1" w:themeTint="F2"/>
          <w:sz w:val="22"/>
        </w:rPr>
        <w:t>ibidem</w:t>
      </w:r>
      <w:r>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La entidad ejerció esta competencia mediante</w:t>
      </w:r>
      <w:r w:rsidRPr="005B2F33">
        <w:rPr>
          <w:rFonts w:ascii="Arial" w:hAnsi="Arial" w:cs="Arial"/>
          <w:color w:val="0D0D0D" w:themeColor="text1" w:themeTint="F2"/>
          <w:sz w:val="22"/>
          <w:lang w:val="es-ES"/>
        </w:rPr>
        <w:t xml:space="preserv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Pr>
          <w:rFonts w:ascii="Arial" w:hAnsi="Arial" w:cs="Arial"/>
          <w:color w:val="0D0D0D" w:themeColor="text1" w:themeTint="F2"/>
          <w:sz w:val="22"/>
          <w:lang w:val="es-ES"/>
        </w:rPr>
        <w:t>.</w:t>
      </w:r>
      <w:r w:rsidRPr="005B2F33">
        <w:rPr>
          <w:rFonts w:ascii="Arial" w:eastAsia="Calibri" w:hAnsi="Arial" w:cs="Arial"/>
          <w:bCs/>
          <w:color w:val="0D0D0D" w:themeColor="text1" w:themeTint="F2"/>
          <w:sz w:val="22"/>
        </w:rPr>
        <w:t xml:space="preserve"> </w:t>
      </w:r>
    </w:p>
    <w:p w14:paraId="3F90FCFE" w14:textId="38467344" w:rsidR="00D32502" w:rsidRDefault="00D32502" w:rsidP="00CB6B54">
      <w:pPr>
        <w:spacing w:line="276" w:lineRule="auto"/>
        <w:jc w:val="both"/>
        <w:rPr>
          <w:rFonts w:ascii="Arial" w:eastAsia="Calibri" w:hAnsi="Arial" w:cs="Arial"/>
          <w:bCs/>
          <w:color w:val="0D0D0D" w:themeColor="text1" w:themeTint="F2"/>
          <w:sz w:val="22"/>
        </w:rPr>
      </w:pPr>
    </w:p>
    <w:p w14:paraId="01C0CD20" w14:textId="26854CC9" w:rsidR="00D32502" w:rsidRDefault="00D32502" w:rsidP="00CB6B54">
      <w:pPr>
        <w:spacing w:line="276" w:lineRule="auto"/>
        <w:jc w:val="both"/>
        <w:rPr>
          <w:rFonts w:ascii="Arial" w:eastAsia="Calibri" w:hAnsi="Arial" w:cs="Arial"/>
          <w:bCs/>
          <w:color w:val="0D0D0D" w:themeColor="text1" w:themeTint="F2"/>
          <w:sz w:val="22"/>
        </w:rPr>
      </w:pPr>
      <w:r w:rsidRPr="00CB6B54">
        <w:rPr>
          <w:rFonts w:ascii="Arial" w:hAnsi="Arial" w:cs="Arial"/>
          <w:b/>
          <w:bCs/>
          <w:sz w:val="22"/>
          <w:szCs w:val="20"/>
        </w:rPr>
        <w:t xml:space="preserve">2.1.2. </w:t>
      </w:r>
      <w:r>
        <w:rPr>
          <w:rFonts w:ascii="Arial" w:hAnsi="Arial" w:cs="Arial"/>
          <w:b/>
          <w:bCs/>
          <w:sz w:val="22"/>
          <w:szCs w:val="20"/>
        </w:rPr>
        <w:t>Acreditación de la experiencia en los documentos tipo de obra pública de infraestructura de transporte</w:t>
      </w:r>
    </w:p>
    <w:p w14:paraId="34674A77" w14:textId="77777777" w:rsidR="00D32502" w:rsidRDefault="00D32502" w:rsidP="00CB6B54">
      <w:pPr>
        <w:spacing w:line="276" w:lineRule="auto"/>
        <w:jc w:val="both"/>
        <w:rPr>
          <w:rFonts w:ascii="Arial" w:eastAsia="Calibri" w:hAnsi="Arial" w:cs="Arial"/>
          <w:bCs/>
          <w:color w:val="0D0D0D" w:themeColor="text1" w:themeTint="F2"/>
          <w:sz w:val="22"/>
        </w:rPr>
      </w:pPr>
    </w:p>
    <w:p w14:paraId="015A1EE5" w14:textId="0DB05D02" w:rsidR="000245A2" w:rsidRPr="00066821" w:rsidRDefault="000245A2" w:rsidP="00CB6B54">
      <w:pPr>
        <w:spacing w:line="276" w:lineRule="auto"/>
        <w:jc w:val="both"/>
        <w:rPr>
          <w:rFonts w:ascii="Arial" w:hAnsi="Arial" w:cs="Arial"/>
          <w:sz w:val="22"/>
        </w:rPr>
      </w:pPr>
      <w:r>
        <w:rPr>
          <w:rFonts w:ascii="Arial" w:hAnsi="Arial" w:cs="Arial"/>
          <w:sz w:val="22"/>
        </w:rPr>
        <w:t>Teniendo en cuenta el marco normativo anteriormente expuesto, d</w:t>
      </w:r>
      <w:r w:rsidRPr="00066821">
        <w:rPr>
          <w:rFonts w:ascii="Arial" w:hAnsi="Arial" w:cs="Arial"/>
          <w:sz w:val="22"/>
        </w:rPr>
        <w:t xml:space="preserve">e acuerdo con las condiciones fijadas en los «Documentos Base», la acreditación del requisito habilitante </w:t>
      </w:r>
      <w:r>
        <w:rPr>
          <w:rFonts w:ascii="Arial" w:hAnsi="Arial" w:cs="Arial"/>
          <w:sz w:val="22"/>
        </w:rPr>
        <w:t>de experiencia se aborda</w:t>
      </w:r>
      <w:r w:rsidRPr="00066821">
        <w:rPr>
          <w:rFonts w:ascii="Arial" w:hAnsi="Arial" w:cs="Arial"/>
          <w:sz w:val="22"/>
        </w:rPr>
        <w:t xml:space="preserve">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Pr>
          <w:rFonts w:ascii="Arial" w:hAnsi="Arial" w:cs="Arial"/>
          <w:sz w:val="22"/>
        </w:rPr>
        <w:t>Por último</w:t>
      </w:r>
      <w:r w:rsidRPr="00066821">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w:t>
      </w:r>
      <w:r>
        <w:rPr>
          <w:rFonts w:ascii="Arial" w:hAnsi="Arial" w:cs="Arial"/>
          <w:sz w:val="22"/>
        </w:rPr>
        <w:t xml:space="preserve">de acuerdo </w:t>
      </w:r>
      <w:r w:rsidR="00F95FAA">
        <w:rPr>
          <w:rFonts w:ascii="Arial" w:hAnsi="Arial" w:cs="Arial"/>
          <w:sz w:val="22"/>
        </w:rPr>
        <w:t>con</w:t>
      </w:r>
      <w:r w:rsidRPr="00066821">
        <w:rPr>
          <w:rFonts w:ascii="Arial" w:hAnsi="Arial" w:cs="Arial"/>
          <w:sz w:val="22"/>
        </w:rPr>
        <w:t xml:space="preserve"> la sumatoria de los valores totales ejecutados de los contratos que cumplan con los requisitos establecidos en el pliego de condiciones. </w:t>
      </w:r>
    </w:p>
    <w:p w14:paraId="795FEE8F"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14:paraId="704FED11" w14:textId="77777777" w:rsidR="000245A2" w:rsidRPr="00066821" w:rsidRDefault="000245A2" w:rsidP="000245A2">
      <w:pPr>
        <w:spacing w:before="120" w:line="276" w:lineRule="auto"/>
        <w:ind w:firstLine="708"/>
        <w:jc w:val="both"/>
        <w:rPr>
          <w:rFonts w:ascii="Arial" w:hAnsi="Arial" w:cs="Arial"/>
          <w:sz w:val="22"/>
        </w:rPr>
      </w:pPr>
      <w:r>
        <w:rPr>
          <w:rFonts w:ascii="Arial" w:hAnsi="Arial" w:cs="Arial"/>
          <w:sz w:val="22"/>
        </w:rPr>
        <w:t>En relación con e</w:t>
      </w:r>
      <w:r w:rsidRPr="00066821">
        <w:rPr>
          <w:rFonts w:ascii="Arial" w:hAnsi="Arial" w:cs="Arial"/>
          <w:sz w:val="22"/>
        </w:rPr>
        <w:t xml:space="preserve">l primer aspecto, la Matriz 1 está constituida por ocho (8) tipos de obras de infraestructura de transporte, identificadas con un número y su descripción, los cuales son: 1) obras en vías primarias o secundarias, 2) obras en vías terciarias, 3) obras </w:t>
      </w:r>
      <w:r w:rsidRPr="00066821">
        <w:rPr>
          <w:rFonts w:ascii="Arial" w:hAnsi="Arial" w:cs="Arial"/>
          <w:sz w:val="22"/>
        </w:rPr>
        <w:lastRenderedPageBreak/>
        <w:t xml:space="preserve">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 para procesos de licitación pública, así como por </w:t>
      </w:r>
      <w:r>
        <w:rPr>
          <w:rFonts w:ascii="Arial" w:hAnsi="Arial" w:cs="Arial"/>
          <w:sz w:val="22"/>
        </w:rPr>
        <w:t>los</w:t>
      </w:r>
      <w:r w:rsidRPr="00066821">
        <w:rPr>
          <w:rFonts w:ascii="Arial" w:hAnsi="Arial" w:cs="Arial"/>
          <w:sz w:val="22"/>
        </w:rPr>
        <w:t xml:space="preserve"> Decreto</w:t>
      </w:r>
      <w:r>
        <w:rPr>
          <w:rFonts w:ascii="Arial" w:hAnsi="Arial" w:cs="Arial"/>
          <w:sz w:val="22"/>
        </w:rPr>
        <w:t>s</w:t>
      </w:r>
      <w:r w:rsidRPr="00066821">
        <w:rPr>
          <w:rFonts w:ascii="Arial" w:hAnsi="Arial" w:cs="Arial"/>
          <w:sz w:val="22"/>
        </w:rPr>
        <w:t xml:space="preserve"> 2096 de 2019</w:t>
      </w:r>
      <w:r>
        <w:rPr>
          <w:rFonts w:ascii="Arial" w:hAnsi="Arial" w:cs="Arial"/>
          <w:sz w:val="22"/>
        </w:rPr>
        <w:t xml:space="preserve"> y 594 de 2020</w:t>
      </w:r>
      <w:r w:rsidRPr="00066821">
        <w:rPr>
          <w:rFonts w:ascii="Arial" w:hAnsi="Arial" w:cs="Arial"/>
          <w:sz w:val="22"/>
        </w:rPr>
        <w:t xml:space="preserve"> para </w:t>
      </w:r>
      <w:r>
        <w:rPr>
          <w:rFonts w:ascii="Arial" w:hAnsi="Arial" w:cs="Arial"/>
          <w:sz w:val="22"/>
        </w:rPr>
        <w:t xml:space="preserve">los </w:t>
      </w:r>
      <w:r w:rsidRPr="00066821">
        <w:rPr>
          <w:rFonts w:ascii="Arial" w:hAnsi="Arial" w:cs="Arial"/>
          <w:sz w:val="22"/>
        </w:rPr>
        <w:t xml:space="preserve">procedimientos </w:t>
      </w:r>
      <w:r>
        <w:rPr>
          <w:rFonts w:ascii="Arial" w:hAnsi="Arial" w:cs="Arial"/>
          <w:sz w:val="22"/>
        </w:rPr>
        <w:t>menor y mínima cuantía</w:t>
      </w:r>
      <w:r w:rsidRPr="00066821">
        <w:rPr>
          <w:rFonts w:ascii="Arial" w:hAnsi="Arial" w:cs="Arial"/>
          <w:sz w:val="22"/>
        </w:rPr>
        <w:t>.</w:t>
      </w:r>
    </w:p>
    <w:p w14:paraId="454699FD"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408E5FA5"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artículo 4 de la Ley 1882 de 2018 y en el artículo 2.2.1.2.6.1.3</w:t>
      </w:r>
      <w:r>
        <w:rPr>
          <w:rFonts w:ascii="Arial" w:hAnsi="Arial" w:cs="Arial"/>
          <w:sz w:val="22"/>
        </w:rPr>
        <w:t xml:space="preserve">, </w:t>
      </w:r>
      <w:r w:rsidRPr="00F803F1">
        <w:rPr>
          <w:rFonts w:ascii="Arial" w:hAnsi="Arial" w:cs="Arial"/>
          <w:sz w:val="22"/>
        </w:rPr>
        <w:t>2.2.1.2.6.2.3</w:t>
      </w:r>
      <w:r>
        <w:rPr>
          <w:rFonts w:ascii="Arial" w:hAnsi="Arial" w:cs="Arial"/>
          <w:sz w:val="22"/>
        </w:rPr>
        <w:t xml:space="preserve"> y </w:t>
      </w:r>
      <w:r w:rsidRPr="00F803F1">
        <w:rPr>
          <w:rFonts w:ascii="Arial" w:hAnsi="Arial" w:cs="Arial"/>
          <w:sz w:val="22"/>
        </w:rPr>
        <w:t>2.2.1.2.6.3.3</w:t>
      </w:r>
      <w:r w:rsidRPr="00066821">
        <w:rPr>
          <w:rFonts w:ascii="Arial" w:hAnsi="Arial" w:cs="Arial"/>
          <w:sz w:val="22"/>
        </w:rPr>
        <w:t xml:space="preserve"> del Decreto 1082 de 2015, conforme a los cuales las condiciones habilitantes fijadas en los documentos tipo deben tener en cuenta la naturaleza y cuantía del tipo de intervención. </w:t>
      </w:r>
    </w:p>
    <w:p w14:paraId="30F80386" w14:textId="4F09AF48" w:rsidR="000245A2" w:rsidRPr="00066821" w:rsidRDefault="000245A2" w:rsidP="000245A2">
      <w:pPr>
        <w:spacing w:before="120" w:after="120" w:line="276" w:lineRule="auto"/>
        <w:ind w:firstLine="709"/>
        <w:jc w:val="both"/>
        <w:rPr>
          <w:rFonts w:ascii="Arial" w:hAnsi="Arial" w:cs="Arial"/>
          <w:sz w:val="22"/>
        </w:rPr>
      </w:pPr>
      <w:r w:rsidRPr="00066821">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Pr>
          <w:rFonts w:ascii="Arial" w:hAnsi="Arial" w:cs="Arial"/>
          <w:sz w:val="22"/>
        </w:rPr>
        <w:t>por lo que son</w:t>
      </w:r>
      <w:r w:rsidRPr="00066821">
        <w:rPr>
          <w:rFonts w:ascii="Arial" w:hAnsi="Arial" w:cs="Arial"/>
          <w:sz w:val="22"/>
        </w:rPr>
        <w:t xml:space="preserve"> de obligatorio cumplimiento. Igualmente, se encuentran sometidos a la reglamentación establecida en</w:t>
      </w:r>
      <w:r>
        <w:rPr>
          <w:rFonts w:ascii="Arial" w:hAnsi="Arial" w:cs="Arial"/>
          <w:sz w:val="22"/>
        </w:rPr>
        <w:t xml:space="preserve"> </w:t>
      </w:r>
      <w:r w:rsidRPr="00066821">
        <w:rPr>
          <w:rFonts w:ascii="Arial" w:hAnsi="Arial" w:cs="Arial"/>
          <w:sz w:val="22"/>
        </w:rPr>
        <w:t>l</w:t>
      </w:r>
      <w:r>
        <w:rPr>
          <w:rFonts w:ascii="Arial" w:hAnsi="Arial" w:cs="Arial"/>
          <w:sz w:val="22"/>
        </w:rPr>
        <w:t>os</w:t>
      </w:r>
      <w:r w:rsidRPr="00066821">
        <w:rPr>
          <w:rFonts w:ascii="Arial" w:hAnsi="Arial" w:cs="Arial"/>
          <w:sz w:val="22"/>
        </w:rPr>
        <w:t xml:space="preserve"> Decreto</w:t>
      </w:r>
      <w:r>
        <w:rPr>
          <w:rFonts w:ascii="Arial" w:hAnsi="Arial" w:cs="Arial"/>
          <w:sz w:val="22"/>
        </w:rPr>
        <w:t>s</w:t>
      </w:r>
      <w:r w:rsidRPr="00066821">
        <w:rPr>
          <w:rFonts w:ascii="Arial" w:hAnsi="Arial" w:cs="Arial"/>
          <w:sz w:val="22"/>
        </w:rPr>
        <w:t xml:space="preserve"> 342 de 2019</w:t>
      </w:r>
      <w:r>
        <w:rPr>
          <w:rFonts w:ascii="Arial" w:hAnsi="Arial" w:cs="Arial"/>
          <w:sz w:val="22"/>
        </w:rPr>
        <w:t xml:space="preserve">, </w:t>
      </w:r>
      <w:r w:rsidRPr="00066821">
        <w:rPr>
          <w:rFonts w:ascii="Arial" w:hAnsi="Arial" w:cs="Arial"/>
          <w:sz w:val="22"/>
        </w:rPr>
        <w:t>2096 de 2019</w:t>
      </w:r>
      <w:r>
        <w:rPr>
          <w:rFonts w:ascii="Arial" w:hAnsi="Arial" w:cs="Arial"/>
          <w:sz w:val="22"/>
        </w:rPr>
        <w:t xml:space="preserve"> y 594 de 2020</w:t>
      </w:r>
      <w:r w:rsidR="00380F15">
        <w:rPr>
          <w:rFonts w:ascii="Arial" w:hAnsi="Arial" w:cs="Arial"/>
          <w:sz w:val="22"/>
        </w:rPr>
        <w:t xml:space="preserve"> </w:t>
      </w:r>
      <w:r w:rsidRPr="00066821">
        <w:rPr>
          <w:rFonts w:ascii="Arial" w:hAnsi="Arial" w:cs="Arial"/>
          <w:sz w:val="22"/>
        </w:rPr>
        <w:t xml:space="preserve">no pueden ser alterados, modificados o adicionados en su contenido. </w:t>
      </w:r>
    </w:p>
    <w:p w14:paraId="35AC0991"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23F7CA02"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740D6964"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lastRenderedPageBreak/>
        <w:t xml:space="preserve">b) Definido el tipo de infraestructura, identificar la </w:t>
      </w:r>
      <w:r w:rsidRPr="00066821">
        <w:rPr>
          <w:rFonts w:ascii="Arial" w:eastAsia="Calibri" w:hAnsi="Arial" w:cs="Arial"/>
          <w:sz w:val="22"/>
        </w:rPr>
        <w:t>«</w:t>
      </w:r>
      <w:r w:rsidRPr="00066821">
        <w:rPr>
          <w:rFonts w:ascii="Arial" w:hAnsi="Arial" w:cs="Arial"/>
          <w:sz w:val="22"/>
        </w:rPr>
        <w:t>ACTIVIDAD A CONTRATAR</w:t>
      </w:r>
      <w:r w:rsidRPr="00066821">
        <w:rPr>
          <w:rFonts w:ascii="Arial" w:eastAsia="Calibri" w:hAnsi="Arial" w:cs="Arial"/>
          <w:sz w:val="22"/>
        </w:rPr>
        <w:t>»</w:t>
      </w:r>
      <w:r w:rsidRPr="00066821">
        <w:rPr>
          <w:rFonts w:ascii="Arial" w:hAnsi="Arial" w:cs="Arial"/>
          <w:sz w:val="22"/>
        </w:rPr>
        <w:t xml:space="preserve"> acorde con la Matriz 1. </w:t>
      </w:r>
    </w:p>
    <w:p w14:paraId="41912A26"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c) Identificar el rango en el cual se encuentra el Proceso de Contratación de acuerdo con el presupuesto oficial. </w:t>
      </w:r>
    </w:p>
    <w:p w14:paraId="790AC15A"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d) Identificar la </w:t>
      </w:r>
      <w:r w:rsidRPr="00066821">
        <w:rPr>
          <w:rFonts w:ascii="Arial" w:eastAsia="Calibri" w:hAnsi="Arial" w:cs="Arial"/>
          <w:sz w:val="22"/>
        </w:rPr>
        <w:t>«</w:t>
      </w:r>
      <w:r w:rsidRPr="00066821">
        <w:rPr>
          <w:rFonts w:ascii="Arial" w:hAnsi="Arial" w:cs="Arial"/>
          <w:sz w:val="22"/>
        </w:rPr>
        <w:t>experiencia general</w:t>
      </w:r>
      <w:r w:rsidRPr="00066821">
        <w:rPr>
          <w:rFonts w:ascii="Arial" w:eastAsia="Calibri" w:hAnsi="Arial" w:cs="Arial"/>
          <w:sz w:val="22"/>
        </w:rPr>
        <w:t>»</w:t>
      </w:r>
      <w:r w:rsidRPr="00066821">
        <w:rPr>
          <w:rFonts w:ascii="Arial" w:hAnsi="Arial" w:cs="Arial"/>
          <w:sz w:val="22"/>
        </w:rPr>
        <w:t xml:space="preserve"> exigible acorde con la Matriz 1 teniendo en cuenta la actividad a contratar y el rango de la cuantía del Proceso de Contratación. </w:t>
      </w:r>
    </w:p>
    <w:p w14:paraId="2CA899D3"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e) Identificar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exigible y el porcentaje de dimensionamiento que se puede solicitar acorde con la longitud a ejecutar, de acuerdo con la cuantía del proceso de contratación. Cuando en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se indiquen las siglas </w:t>
      </w:r>
      <w:r w:rsidRPr="00066821">
        <w:rPr>
          <w:rFonts w:ascii="Arial" w:hAnsi="Arial" w:cs="Arial"/>
          <w:i/>
          <w:iCs/>
          <w:sz w:val="22"/>
        </w:rPr>
        <w:t>N.A</w:t>
      </w:r>
      <w:r w:rsidRPr="00066821">
        <w:rPr>
          <w:rFonts w:ascii="Arial" w:hAnsi="Arial" w:cs="Arial"/>
          <w:sz w:val="22"/>
        </w:rPr>
        <w:t xml:space="preserve"> significa que la entidad estatal no puede exigir a los proponentes experiencia específica en los procesos de contratación. </w:t>
      </w:r>
    </w:p>
    <w:p w14:paraId="5B21FE81" w14:textId="77777777" w:rsidR="000245A2" w:rsidRPr="008E5296" w:rsidRDefault="000245A2" w:rsidP="000245A2">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para efectos de los «Documentos Tipo – Versión 2» de licitación pública, </w:t>
      </w:r>
      <w:r w:rsidRPr="008E5296">
        <w:rPr>
          <w:rFonts w:ascii="Arial" w:hAnsi="Arial" w:cs="Arial"/>
          <w:color w:val="000000" w:themeColor="text1"/>
          <w:sz w:val="22"/>
          <w:lang w:val="es-CO"/>
        </w:rPr>
        <w:t>se identifica la experiencia general y específica que la entidad estatal solicitará en un contrato cuyo objeto consista en el mantenimiento de vías terciarias, de acuerdo con las características y parámetros explicados previamente:</w:t>
      </w:r>
    </w:p>
    <w:p w14:paraId="422D8650" w14:textId="77777777" w:rsidR="000245A2" w:rsidRPr="008E5296" w:rsidRDefault="000245A2" w:rsidP="000245A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678670AB" w14:textId="77777777" w:rsidR="000245A2" w:rsidRPr="008E5296" w:rsidRDefault="000245A2" w:rsidP="000245A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2B9D4682" w14:textId="77777777" w:rsidR="000245A2" w:rsidRPr="008E5296" w:rsidRDefault="000245A2" w:rsidP="000245A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eastAsia="Calibri" w:hAnsi="Arial"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Pr>
          <w:rFonts w:ascii="Arial" w:eastAsia="Calibri" w:hAnsi="Arial" w:cs="Arial"/>
          <w:color w:val="000000" w:themeColor="text1"/>
          <w:sz w:val="22"/>
          <w:lang w:val="es-CO"/>
        </w:rPr>
        <w:t>. Al respecto, incluye una nota la cual dispone que «</w:t>
      </w:r>
      <w:r w:rsidRPr="006B323D">
        <w:rPr>
          <w:rFonts w:ascii="Arial" w:eastAsia="Calibri" w:hAnsi="Arial" w:cs="Arial"/>
          <w:color w:val="000000" w:themeColor="text1"/>
          <w:sz w:val="22"/>
          <w:lang w:val="es-CO"/>
        </w:rPr>
        <w:t xml:space="preserve">Será válida la experiencia que haya sido ejecutada a través de Construcción o Mejoramiento o Mantenimiento de Vías en Asfalto Natural o </w:t>
      </w:r>
      <w:proofErr w:type="spellStart"/>
      <w:r w:rsidRPr="006B323D">
        <w:rPr>
          <w:rFonts w:ascii="Arial" w:eastAsia="Calibri" w:hAnsi="Arial" w:cs="Arial"/>
          <w:color w:val="000000" w:themeColor="text1"/>
          <w:sz w:val="22"/>
          <w:lang w:val="es-CO"/>
        </w:rPr>
        <w:t>Asfaltita</w:t>
      </w:r>
      <w:proofErr w:type="spellEnd"/>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De ninguna manera </w:t>
      </w:r>
      <w:r w:rsidRPr="005C0B5C">
        <w:rPr>
          <w:rFonts w:ascii="Arial" w:eastAsia="Calibri" w:hAnsi="Arial" w:cs="Arial"/>
          <w:color w:val="000000" w:themeColor="text1"/>
          <w:sz w:val="22"/>
          <w:lang w:val="es-CO"/>
        </w:rPr>
        <w:t>la entidad podrá modificar la experiencia exigible, dado que así fue establecida en la «Matriz 1 – Experiencia»</w:t>
      </w:r>
      <w:r w:rsidRPr="008E5296">
        <w:rPr>
          <w:rFonts w:ascii="Arial" w:eastAsia="Calibri" w:hAnsi="Arial" w:cs="Arial"/>
          <w:color w:val="000000" w:themeColor="text1"/>
          <w:sz w:val="22"/>
          <w:lang w:val="es-CO"/>
        </w:rPr>
        <w:t>.</w:t>
      </w:r>
    </w:p>
    <w:p w14:paraId="4BA6C2C4" w14:textId="77777777" w:rsidR="000245A2" w:rsidRDefault="000245A2" w:rsidP="000245A2">
      <w:pPr>
        <w:spacing w:after="120" w:line="276" w:lineRule="auto"/>
        <w:ind w:firstLine="709"/>
        <w:jc w:val="both"/>
        <w:rPr>
          <w:rFonts w:ascii="Arial" w:eastAsia="Calibri" w:hAnsi="Arial" w:cs="Arial"/>
          <w:color w:val="000000" w:themeColor="text1"/>
          <w:sz w:val="22"/>
          <w:lang w:val="es-CO"/>
        </w:rPr>
      </w:pPr>
      <w:r w:rsidRPr="008E5296">
        <w:rPr>
          <w:rFonts w:ascii="Arial" w:hAnsi="Arial" w:cs="Arial"/>
          <w:color w:val="000000" w:themeColor="text1"/>
          <w:sz w:val="22"/>
          <w:lang w:val="es-CO"/>
        </w:rPr>
        <w:t xml:space="preserve">d) </w:t>
      </w:r>
      <w:r w:rsidRPr="008E5296">
        <w:rPr>
          <w:rFonts w:ascii="Arial" w:eastAsia="Calibri" w:hAnsi="Arial" w:cs="Arial"/>
          <w:color w:val="000000" w:themeColor="text1"/>
          <w:sz w:val="22"/>
          <w:lang w:val="es-CO"/>
        </w:rPr>
        <w:t xml:space="preserve">La experiencia específica </w:t>
      </w:r>
      <w:r>
        <w:rPr>
          <w:rFonts w:ascii="Arial" w:eastAsia="Calibri" w:hAnsi="Arial" w:cs="Arial"/>
          <w:color w:val="000000" w:themeColor="text1"/>
          <w:sz w:val="22"/>
          <w:lang w:val="es-CO"/>
        </w:rPr>
        <w:t>depende de</w:t>
      </w:r>
      <w:r w:rsidRPr="008E5296">
        <w:rPr>
          <w:rFonts w:ascii="Arial" w:eastAsia="Calibri" w:hAnsi="Arial" w:cs="Arial"/>
          <w:color w:val="000000" w:themeColor="text1"/>
          <w:sz w:val="22"/>
          <w:lang w:val="es-CO"/>
        </w:rPr>
        <w:t xml:space="preserve"> la cuantía del proceso de contratación: </w:t>
      </w:r>
      <w:r>
        <w:rPr>
          <w:rFonts w:ascii="Arial" w:eastAsia="Calibri" w:hAnsi="Arial" w:cs="Arial"/>
          <w:color w:val="000000" w:themeColor="text1"/>
          <w:sz w:val="22"/>
          <w:lang w:val="es-CO"/>
        </w:rPr>
        <w:t>para contratos de</w:t>
      </w:r>
      <w:r w:rsidRPr="008E5296">
        <w:rPr>
          <w:rFonts w:ascii="Arial" w:eastAsia="Calibri" w:hAnsi="Arial" w:cs="Arial"/>
          <w:color w:val="000000" w:themeColor="text1"/>
          <w:sz w:val="22"/>
          <w:lang w:val="es-CO"/>
        </w:rPr>
        <w:t xml:space="preserve"> menos de 100 SMMLV </w:t>
      </w:r>
      <w:r>
        <w:rPr>
          <w:rFonts w:ascii="Arial" w:eastAsia="Calibri" w:hAnsi="Arial" w:cs="Arial"/>
          <w:color w:val="000000" w:themeColor="text1"/>
          <w:sz w:val="22"/>
          <w:lang w:val="es-CO"/>
        </w:rPr>
        <w:t>o e</w:t>
      </w:r>
      <w:r w:rsidRPr="008E5296">
        <w:rPr>
          <w:rFonts w:ascii="Arial" w:eastAsia="Calibri" w:hAnsi="Arial" w:cs="Arial"/>
          <w:color w:val="000000" w:themeColor="text1"/>
          <w:sz w:val="22"/>
          <w:lang w:val="es-CO"/>
        </w:rPr>
        <w:t xml:space="preserve">ntre 100 </w:t>
      </w:r>
      <w:r>
        <w:rPr>
          <w:rFonts w:ascii="Arial" w:eastAsia="Calibri" w:hAnsi="Arial" w:cs="Arial"/>
          <w:color w:val="000000" w:themeColor="text1"/>
          <w:sz w:val="22"/>
          <w:lang w:val="es-CO"/>
        </w:rPr>
        <w:t xml:space="preserve">a </w:t>
      </w:r>
      <w:r w:rsidRPr="008E5296">
        <w:rPr>
          <w:rFonts w:ascii="Arial" w:eastAsia="Calibri" w:hAnsi="Arial" w:cs="Arial"/>
          <w:color w:val="000000" w:themeColor="text1"/>
          <w:sz w:val="22"/>
          <w:lang w:val="es-CO"/>
        </w:rPr>
        <w:t>1.000 SMMLV</w:t>
      </w:r>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l</w:t>
      </w:r>
      <w:r w:rsidRPr="008E5296">
        <w:rPr>
          <w:rFonts w:ascii="Arial" w:eastAsia="Calibri" w:hAnsi="Arial" w:cs="Arial"/>
          <w:color w:val="000000" w:themeColor="text1"/>
          <w:sz w:val="22"/>
          <w:lang w:val="es-CO"/>
        </w:rPr>
        <w:t>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w:t>
      </w:r>
      <w:r>
        <w:rPr>
          <w:rFonts w:ascii="Arial" w:eastAsia="Calibri" w:hAnsi="Arial" w:cs="Arial"/>
          <w:color w:val="000000" w:themeColor="text1"/>
          <w:sz w:val="22"/>
          <w:lang w:val="es-CO"/>
        </w:rPr>
        <w:t>; finalmente,</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cuando es </w:t>
      </w:r>
      <w:r w:rsidRPr="008E5296">
        <w:rPr>
          <w:rFonts w:ascii="Arial" w:eastAsia="Calibri" w:hAnsi="Arial" w:cs="Arial"/>
          <w:color w:val="000000" w:themeColor="text1"/>
          <w:sz w:val="22"/>
          <w:lang w:val="es-CO"/>
        </w:rPr>
        <w:t xml:space="preserve">mayor a 27.001 SMMLV, la entidad deberá exigir que por lo menos uno de los contratos válidos aportados acredite que la longitud intervenida corresponde al 100% de la longitud de vía a construir mediante el proceso de contratación. </w:t>
      </w:r>
    </w:p>
    <w:p w14:paraId="578AB55D" w14:textId="3D63884E" w:rsidR="000245A2" w:rsidRDefault="000245A2" w:rsidP="000245A2">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lastRenderedPageBreak/>
        <w:tab/>
        <w:t xml:space="preserve">Para la aplicación de este último criterio es importante tener en cuenta que la longitud de la vía equivale al total de la caracterización vial en kilómetros lineales. Por ejemplo, si el tramo del proyecto se extiende desde el kilómetro 20+000 hasta el kilómetro 50+000, esto significa que la longitud de la vía a intervenir es de 30 kilómetros. Por tanto, para calcular la experiencia específica en función de la cuantía, el proponente deberá acreditar que en por los menos uno de los contratos que certifican la experiencia general intervino la mitad de la vía –15 kilómetros, cuando el valor del presupuesto oficial oscila entre los </w:t>
      </w:r>
      <w:r w:rsidRPr="008E5296">
        <w:rPr>
          <w:rFonts w:ascii="Arial" w:eastAsia="Calibri" w:hAnsi="Arial" w:cs="Arial"/>
          <w:color w:val="000000" w:themeColor="text1"/>
          <w:sz w:val="22"/>
          <w:lang w:val="es-CO"/>
        </w:rPr>
        <w:t xml:space="preserve">1.001 y </w:t>
      </w:r>
      <w:r>
        <w:rPr>
          <w:rFonts w:ascii="Arial" w:eastAsia="Calibri" w:hAnsi="Arial" w:cs="Arial"/>
          <w:color w:val="000000" w:themeColor="text1"/>
          <w:sz w:val="22"/>
          <w:lang w:val="es-CO"/>
        </w:rPr>
        <w:t xml:space="preserve">los </w:t>
      </w:r>
      <w:r w:rsidRPr="008E5296">
        <w:rPr>
          <w:rFonts w:ascii="Arial" w:eastAsia="Calibri" w:hAnsi="Arial" w:cs="Arial"/>
          <w:color w:val="000000" w:themeColor="text1"/>
          <w:sz w:val="22"/>
          <w:lang w:val="es-CO"/>
        </w:rPr>
        <w:t>27.000 SMMLV</w:t>
      </w:r>
      <w:r>
        <w:rPr>
          <w:rFonts w:ascii="Arial" w:eastAsia="Calibri" w:hAnsi="Arial" w:cs="Arial"/>
          <w:color w:val="000000" w:themeColor="text1"/>
          <w:sz w:val="22"/>
          <w:lang w:val="es-CO"/>
        </w:rPr>
        <w:t xml:space="preserve">– o su totalidad –30 kilómetros, si el presupuesto es mayor de </w:t>
      </w:r>
      <w:r w:rsidRPr="008E5296">
        <w:rPr>
          <w:rFonts w:ascii="Arial" w:eastAsia="Calibri" w:hAnsi="Arial" w:cs="Arial"/>
          <w:color w:val="000000" w:themeColor="text1"/>
          <w:sz w:val="22"/>
          <w:lang w:val="es-CO"/>
        </w:rPr>
        <w:t>27.00</w:t>
      </w:r>
      <w:r>
        <w:rPr>
          <w:rFonts w:ascii="Arial" w:eastAsia="Calibri" w:hAnsi="Arial" w:cs="Arial"/>
          <w:color w:val="000000" w:themeColor="text1"/>
          <w:sz w:val="22"/>
          <w:lang w:val="es-CO"/>
        </w:rPr>
        <w:t>1</w:t>
      </w:r>
      <w:r w:rsidRPr="008E5296">
        <w:rPr>
          <w:rFonts w:ascii="Arial" w:eastAsia="Calibri" w:hAnsi="Arial" w:cs="Arial"/>
          <w:color w:val="000000" w:themeColor="text1"/>
          <w:sz w:val="22"/>
          <w:lang w:val="es-CO"/>
        </w:rPr>
        <w:t xml:space="preserve"> SMMLV</w:t>
      </w:r>
      <w:r>
        <w:rPr>
          <w:rFonts w:ascii="Arial" w:eastAsia="Calibri" w:hAnsi="Arial" w:cs="Arial"/>
          <w:color w:val="000000" w:themeColor="text1"/>
          <w:sz w:val="22"/>
          <w:lang w:val="es-CO"/>
        </w:rPr>
        <w:t>–.</w:t>
      </w:r>
      <w:r w:rsidR="00380F15">
        <w:rPr>
          <w:rFonts w:ascii="Arial" w:eastAsia="Calibri" w:hAnsi="Arial" w:cs="Arial"/>
          <w:color w:val="000000" w:themeColor="text1"/>
          <w:sz w:val="22"/>
          <w:lang w:val="es-CO"/>
        </w:rPr>
        <w:t xml:space="preserve"> </w:t>
      </w:r>
    </w:p>
    <w:p w14:paraId="7F5C9AA8" w14:textId="77777777" w:rsidR="000245A2" w:rsidRDefault="000245A2" w:rsidP="000245A2">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t xml:space="preserve">Esta conclusión no solo se sustenta en la interpretación literal de la «Matriz 1 – Experiencia» sino también en las definiciones del «Anexo 3 – Glosario». En efecto, el anexo define la vía como «[…] </w:t>
      </w:r>
      <w:r w:rsidRPr="00F50F9E">
        <w:rPr>
          <w:rFonts w:ascii="Arial" w:eastAsia="Calibri" w:hAnsi="Arial" w:cs="Arial"/>
          <w:color w:val="000000" w:themeColor="text1"/>
          <w:sz w:val="22"/>
          <w:lang w:val="es-CO"/>
        </w:rPr>
        <w:t xml:space="preserve">la zona de la vía destinada a la circulación de </w:t>
      </w:r>
      <w:proofErr w:type="gramStart"/>
      <w:r w:rsidRPr="00F50F9E">
        <w:rPr>
          <w:rFonts w:ascii="Arial" w:eastAsia="Calibri" w:hAnsi="Arial" w:cs="Arial"/>
          <w:color w:val="000000" w:themeColor="text1"/>
          <w:sz w:val="22"/>
          <w:lang w:val="es-CO"/>
        </w:rPr>
        <w:t>vehículos,</w:t>
      </w:r>
      <w:proofErr w:type="gramEnd"/>
      <w:r w:rsidRPr="00F50F9E">
        <w:rPr>
          <w:rFonts w:ascii="Arial" w:eastAsia="Calibri" w:hAnsi="Arial" w:cs="Arial"/>
          <w:color w:val="000000" w:themeColor="text1"/>
          <w:sz w:val="22"/>
          <w:lang w:val="es-CO"/>
        </w:rPr>
        <w:t xml:space="preserve"> se define como franja de uso público o privado, abierta al público, destinada al tránsito de vehículos, personas y animales</w:t>
      </w:r>
      <w:r>
        <w:rPr>
          <w:rFonts w:ascii="Arial" w:eastAsia="Calibri" w:hAnsi="Arial" w:cs="Arial"/>
          <w:color w:val="000000" w:themeColor="text1"/>
          <w:sz w:val="22"/>
          <w:lang w:val="es-CO"/>
        </w:rPr>
        <w:t>». Por tanto, como la matriz se refiere exclusivamente a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 </w:t>
      </w:r>
    </w:p>
    <w:p w14:paraId="1EA61220" w14:textId="2B38BE93" w:rsidR="000245A2" w:rsidRDefault="000245A2" w:rsidP="000245A2">
      <w:pPr>
        <w:spacing w:after="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t>La precisión es importante</w:t>
      </w:r>
      <w:r w:rsidR="00F95FAA">
        <w:rPr>
          <w:rFonts w:ascii="Arial" w:eastAsia="Calibri" w:hAnsi="Arial" w:cs="Arial"/>
          <w:color w:val="000000" w:themeColor="text1"/>
          <w:sz w:val="22"/>
          <w:lang w:val="es-CO"/>
        </w:rPr>
        <w:t>, a modo de ejemplo,</w:t>
      </w:r>
      <w:r>
        <w:rPr>
          <w:rFonts w:ascii="Arial" w:eastAsia="Calibri" w:hAnsi="Arial" w:cs="Arial"/>
          <w:color w:val="000000" w:themeColor="text1"/>
          <w:sz w:val="22"/>
          <w:lang w:val="es-CO"/>
        </w:rPr>
        <w:t xml:space="preserve"> en los proyectos de construcción o mejoramiento de vías en «placa huella», las cuales define el «Anexo 3 – Glosario» como «[…]</w:t>
      </w:r>
      <w:r w:rsidRPr="00893165">
        <w:t xml:space="preserve"> </w:t>
      </w:r>
      <w:r w:rsidRPr="00893165">
        <w:rPr>
          <w:rFonts w:ascii="Arial" w:eastAsia="Calibri" w:hAnsi="Arial" w:cs="Arial"/>
          <w:color w:val="000000" w:themeColor="text1"/>
          <w:sz w:val="22"/>
          <w:lang w:val="es-CO"/>
        </w:rPr>
        <w:t>la estructura conformada por placas de concreto hidráulico reforzado separadas por franjas de concreto ciclópeo, confinadas por bordillos y/o cunetas construidas sobre una base de afirmado y/o material seleccionado compactado</w:t>
      </w:r>
      <w:r>
        <w:rPr>
          <w:rFonts w:ascii="Arial" w:eastAsia="Calibri" w:hAnsi="Arial" w:cs="Arial"/>
          <w:color w:val="000000" w:themeColor="text1"/>
          <w:sz w:val="22"/>
          <w:lang w:val="es-CO"/>
        </w:rPr>
        <w:t>»</w:t>
      </w:r>
      <w:r w:rsidRPr="00893165">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Lo anterior en la medida que, siguiendo el ejemplo anterior, si bien en un tramo de 30 kilómetros es posible construir 60 kilómetros de placas huella (considerando cada franja que conforma la placa huella), la Matriz 1 de los Documentos Tipo de licitación solo permite calcular la experiencia específica respecto al primero, no sobre el segundo. En otras palabras, la «[…] l</w:t>
      </w:r>
      <w:r w:rsidRPr="00F50F9E">
        <w:rPr>
          <w:rFonts w:ascii="Arial" w:eastAsia="Calibri" w:hAnsi="Arial" w:cs="Arial"/>
          <w:color w:val="000000" w:themeColor="text1"/>
          <w:sz w:val="22"/>
          <w:lang w:val="es-CO"/>
        </w:rPr>
        <w:t>ongitud de vía a construir</w:t>
      </w:r>
      <w:r>
        <w:rPr>
          <w:rFonts w:ascii="Arial" w:eastAsia="Calibri" w:hAnsi="Arial" w:cs="Arial"/>
          <w:color w:val="000000" w:themeColor="text1"/>
          <w:sz w:val="22"/>
          <w:lang w:val="es-CO"/>
        </w:rPr>
        <w:t xml:space="preserve"> […]» no equivale a los kilómetros lineales de placa huella construidos sobre misma, sino a la longitud de la caracterización vial del proyecto; razón por la que, so pena de la alteración de las condiciones dispuestas en los documentos tipo, no es posible calcular el porcentaje para solicitar la experiencia específica sobre la longitud de las obras efectivamente ejecutadas en el tramo respectivo.</w:t>
      </w:r>
      <w:r w:rsidR="00380F15">
        <w:rPr>
          <w:rFonts w:ascii="Arial" w:eastAsia="Calibri" w:hAnsi="Arial" w:cs="Arial"/>
          <w:color w:val="000000" w:themeColor="text1"/>
          <w:sz w:val="22"/>
          <w:lang w:val="es-CO"/>
        </w:rPr>
        <w:t xml:space="preserve"> </w:t>
      </w:r>
    </w:p>
    <w:p w14:paraId="64120919" w14:textId="77777777" w:rsidR="000245A2" w:rsidRPr="008E5296" w:rsidRDefault="000245A2" w:rsidP="000245A2">
      <w:pPr>
        <w:spacing w:after="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En síntesis</w:t>
      </w:r>
      <w:r w:rsidRPr="008E5296">
        <w:rPr>
          <w:rFonts w:ascii="Arial" w:hAnsi="Arial" w:cs="Arial"/>
          <w:color w:val="000000" w:themeColor="text1"/>
          <w:sz w:val="22"/>
          <w:lang w:val="es-CO"/>
        </w:rPr>
        <w:t xml:space="preserve">,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experiencia general</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y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experiencia específica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w:t>
      </w:r>
      <w:r>
        <w:rPr>
          <w:rFonts w:ascii="Arial" w:hAnsi="Arial" w:cs="Arial"/>
          <w:color w:val="000000" w:themeColor="text1"/>
          <w:sz w:val="22"/>
          <w:lang w:val="es-CO"/>
        </w:rPr>
        <w:t>requerida</w:t>
      </w:r>
      <w:r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r>
        <w:rPr>
          <w:rFonts w:ascii="Arial" w:hAnsi="Arial" w:cs="Arial"/>
          <w:color w:val="000000" w:themeColor="text1"/>
          <w:sz w:val="22"/>
          <w:lang w:val="es-CO"/>
        </w:rPr>
        <w:t>. P</w:t>
      </w:r>
      <w:r w:rsidRPr="008E5296">
        <w:rPr>
          <w:rFonts w:ascii="Arial" w:hAnsi="Arial" w:cs="Arial"/>
          <w:color w:val="000000" w:themeColor="text1"/>
          <w:sz w:val="22"/>
          <w:lang w:val="es-CO"/>
        </w:rPr>
        <w:t>or lo tanto, no podrá exigir actividades o cantidades distintas a las previstas en la «Matriz 1 – Experiencia»</w:t>
      </w:r>
      <w:r>
        <w:rPr>
          <w:rFonts w:ascii="Arial" w:hAnsi="Arial" w:cs="Arial"/>
          <w:color w:val="000000" w:themeColor="text1"/>
          <w:sz w:val="22"/>
          <w:lang w:val="es-CO"/>
        </w:rPr>
        <w:t xml:space="preserve"> o restringir a una actividad específica cuando dicho formato determine que la experiencia puede acreditarse mediante una de varias actividades. </w:t>
      </w:r>
    </w:p>
    <w:p w14:paraId="22F3FC1F" w14:textId="77777777" w:rsidR="000245A2" w:rsidRDefault="000245A2" w:rsidP="000245A2">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lastRenderedPageBreak/>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051BE44B" w14:textId="77777777" w:rsidR="000245A2" w:rsidRPr="00503872" w:rsidRDefault="000245A2" w:rsidP="000245A2">
      <w:pPr>
        <w:spacing w:before="120" w:line="276" w:lineRule="auto"/>
        <w:ind w:firstLine="708"/>
        <w:jc w:val="both"/>
        <w:rPr>
          <w:rStyle w:val="normaltextrun"/>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2.2.1.2.6.1.4 del Decreto 1082 de 2015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Documentos Tipo,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entidades estatales no pueden incluir o modificar en los </w:t>
      </w:r>
      <w:r w:rsidRPr="00066821">
        <w:rPr>
          <w:rFonts w:ascii="Arial" w:hAnsi="Arial" w:cs="Arial"/>
          <w:i/>
          <w:iCs/>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16BBFBFD" w14:textId="7DDDE2A1" w:rsidR="000245A2" w:rsidRDefault="000245A2" w:rsidP="00032C75">
      <w:pPr>
        <w:tabs>
          <w:tab w:val="left" w:pos="709"/>
          <w:tab w:val="left" w:pos="851"/>
        </w:tabs>
        <w:spacing w:line="276" w:lineRule="auto"/>
        <w:jc w:val="both"/>
        <w:rPr>
          <w:rFonts w:ascii="Arial" w:hAnsi="Arial" w:cs="Arial"/>
          <w:sz w:val="22"/>
          <w:szCs w:val="20"/>
        </w:rPr>
      </w:pPr>
    </w:p>
    <w:p w14:paraId="30EE82F5" w14:textId="77777777" w:rsidR="00422A38" w:rsidRDefault="00A71876" w:rsidP="00422A38">
      <w:pPr>
        <w:spacing w:line="276" w:lineRule="auto"/>
        <w:jc w:val="both"/>
        <w:rPr>
          <w:rFonts w:ascii="Arial" w:eastAsia="Calibri" w:hAnsi="Arial" w:cs="Arial"/>
          <w:b/>
          <w:bCs/>
          <w:sz w:val="22"/>
          <w:lang w:val="es-ES_tradnl"/>
        </w:rPr>
      </w:pPr>
      <w:r>
        <w:rPr>
          <w:rFonts w:ascii="Arial" w:hAnsi="Arial" w:cs="Arial"/>
          <w:b/>
          <w:bCs/>
          <w:sz w:val="22"/>
          <w:szCs w:val="20"/>
        </w:rPr>
        <w:t xml:space="preserve">2.2. </w:t>
      </w:r>
      <w:r w:rsidR="00422A38">
        <w:rPr>
          <w:rFonts w:ascii="Arial" w:eastAsia="Calibri" w:hAnsi="Arial" w:cs="Arial"/>
          <w:b/>
          <w:bCs/>
          <w:sz w:val="22"/>
          <w:lang w:val="es-ES_tradnl"/>
        </w:rPr>
        <w:t>Inhabilidad de personas por vínculos naturales o jurídicos</w:t>
      </w:r>
    </w:p>
    <w:p w14:paraId="444C33B9" w14:textId="5E555495" w:rsidR="00A71876" w:rsidRDefault="00A71876" w:rsidP="00032C75">
      <w:pPr>
        <w:tabs>
          <w:tab w:val="left" w:pos="709"/>
          <w:tab w:val="left" w:pos="851"/>
        </w:tabs>
        <w:spacing w:line="276" w:lineRule="auto"/>
        <w:jc w:val="both"/>
        <w:rPr>
          <w:rFonts w:ascii="Arial" w:hAnsi="Arial" w:cs="Arial"/>
          <w:b/>
          <w:bCs/>
          <w:sz w:val="22"/>
          <w:szCs w:val="20"/>
        </w:rPr>
      </w:pPr>
    </w:p>
    <w:p w14:paraId="0A9ABF9C" w14:textId="30899502" w:rsidR="00422A38" w:rsidRDefault="00422A38" w:rsidP="00422A38">
      <w:pPr>
        <w:tabs>
          <w:tab w:val="left" w:pos="709"/>
          <w:tab w:val="left" w:pos="851"/>
        </w:tabs>
        <w:spacing w:after="120" w:line="276" w:lineRule="auto"/>
        <w:jc w:val="both"/>
        <w:rPr>
          <w:rFonts w:ascii="Arial" w:eastAsia="Calibri" w:hAnsi="Arial" w:cs="Arial"/>
          <w:sz w:val="22"/>
        </w:rPr>
      </w:pPr>
      <w:r>
        <w:rPr>
          <w:rFonts w:ascii="Arial" w:hAnsi="Arial" w:cs="Arial"/>
          <w:sz w:val="22"/>
        </w:rPr>
        <w:t xml:space="preserve">La Agencia Nacional de Contratación Pública ― Colombia Compra Eficiente </w:t>
      </w:r>
      <w:r>
        <w:rPr>
          <w:rFonts w:ascii="Arial" w:eastAsia="Calibri" w:hAnsi="Arial" w:cs="Arial"/>
          <w:sz w:val="22"/>
        </w:rPr>
        <w:t>en los conceptos con radicados números 4201912000003592 del 28 de agosto de 2019, 4201913000005649 del 17 septiembre de 2019, 4201912000006692 del 12 de noviembre de 2019, 4201913000006917 del 21 de noviembre de 2019, C ─ 001 de 2020, C ─ 007 de 2020, C ─ 011 de 2020, C ─ 085 de 2020, C ─ 090 de 2020, C ─ 125 de 2020, C ─ 157 de 2020, C ─ 239 de 2020 y C ─ 246 de 2020 estudió la naturaleza jurídica del régimen de inhabilidades e incompatibilidades para contratar con el Estado, como constituyen un límite a la capacidad contractual y la interpretación restrictiva del régimen de inhabilidades e incompatibilidades. En particular, en el concepto C–273 del 21 de mayo de 2020 se desarrolló el contenido de la causal de inhabilidad establecida en el literal g) del numeral 1 del artículo 8 de la Ley 80 de 1993, consideraciones que se reiteran a continuación.</w:t>
      </w:r>
    </w:p>
    <w:p w14:paraId="0D708DF6" w14:textId="77777777" w:rsidR="00422A38" w:rsidRDefault="00422A38" w:rsidP="00422A38">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3202CFEA" w14:textId="453A347B" w:rsidR="00422A38" w:rsidRDefault="00422A38" w:rsidP="00422A38">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
        </w:rPr>
        <w:t xml:space="preserve">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w:t>
      </w:r>
      <w:r>
        <w:rPr>
          <w:rFonts w:ascii="Arial" w:eastAsia="Calibri" w:hAnsi="Arial" w:cs="Arial"/>
          <w:sz w:val="22"/>
          <w:lang w:val="es-ES"/>
        </w:rPr>
        <w:lastRenderedPageBreak/>
        <w:t>exclusivamente, con el propósito de limitar la capacidad en la participación en procesos de contratación de las denominadas personas naturales</w:t>
      </w:r>
      <w:r>
        <w:rPr>
          <w:rStyle w:val="Refdenotaalpie"/>
          <w:rFonts w:ascii="Arial" w:eastAsia="Calibri" w:hAnsi="Arial" w:cs="Arial"/>
          <w:sz w:val="22"/>
          <w:lang w:val="es-ES"/>
        </w:rPr>
        <w:footnoteReference w:id="6"/>
      </w:r>
      <w:r>
        <w:rPr>
          <w:rFonts w:ascii="Arial" w:eastAsia="Calibri" w:hAnsi="Arial" w:cs="Arial"/>
          <w:sz w:val="22"/>
          <w:lang w:val="es-ES"/>
        </w:rPr>
        <w:t>, esto es, sujetos de derechos y obligaciones de la especie humana unidos entre s</w:t>
      </w:r>
      <w:r w:rsidR="003E5618">
        <w:rPr>
          <w:rFonts w:ascii="Arial" w:eastAsia="Calibri" w:hAnsi="Arial" w:cs="Arial"/>
          <w:sz w:val="22"/>
          <w:lang w:val="es-ES"/>
        </w:rPr>
        <w:t>í</w:t>
      </w:r>
      <w:r>
        <w:rPr>
          <w:rFonts w:ascii="Arial" w:eastAsia="Calibri" w:hAnsi="Arial" w:cs="Arial"/>
          <w:sz w:val="22"/>
          <w:lang w:val="es-ES"/>
        </w:rPr>
        <w:t xml:space="preserve"> ya sea por vínculos naturales o jurídicos</w:t>
      </w:r>
      <w:r>
        <w:rPr>
          <w:rStyle w:val="Refdenotaalpie"/>
          <w:rFonts w:ascii="Arial" w:eastAsia="Calibri" w:hAnsi="Arial" w:cs="Arial"/>
          <w:sz w:val="22"/>
          <w:lang w:val="es-ES"/>
        </w:rPr>
        <w:footnoteReference w:id="7"/>
      </w:r>
      <w:r>
        <w:rPr>
          <w:rFonts w:ascii="Arial" w:eastAsia="Calibri" w:hAnsi="Arial" w:cs="Arial"/>
          <w:sz w:val="22"/>
          <w:lang w:val="es-ES"/>
        </w:rPr>
        <w:t>.</w:t>
      </w:r>
    </w:p>
    <w:p w14:paraId="30EF0AAB" w14:textId="64FC3A4F" w:rsidR="00422A38" w:rsidRDefault="00422A38" w:rsidP="00422A38">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Los cónyuges son aquellas personas vinculadas entre s</w:t>
      </w:r>
      <w:r w:rsidR="003D2B3C">
        <w:rPr>
          <w:rFonts w:ascii="Arial" w:eastAsia="Calibri" w:hAnsi="Arial" w:cs="Arial"/>
          <w:sz w:val="22"/>
          <w:lang w:val="es-ES_tradnl"/>
        </w:rPr>
        <w:t>í</w:t>
      </w:r>
      <w:r>
        <w:rPr>
          <w:rFonts w:ascii="Arial" w:eastAsia="Calibri" w:hAnsi="Arial" w:cs="Arial"/>
          <w:sz w:val="22"/>
          <w:lang w:val="es-ES_tradnl"/>
        </w:rPr>
        <w:t xml:space="preserve"> a través del contrato de matrimonio</w:t>
      </w:r>
      <w:r>
        <w:rPr>
          <w:rStyle w:val="Refdenotaalpie"/>
          <w:rFonts w:ascii="Arial" w:eastAsia="Calibri" w:hAnsi="Arial" w:cs="Arial"/>
          <w:sz w:val="22"/>
          <w:lang w:val="es-ES_tradnl"/>
        </w:rPr>
        <w:footnoteReference w:id="8"/>
      </w:r>
      <w:r>
        <w:rPr>
          <w:rFonts w:ascii="Arial" w:eastAsia="Calibri" w:hAnsi="Arial" w:cs="Arial"/>
          <w:sz w:val="22"/>
          <w:lang w:val="es-ES_tradnl"/>
        </w:rPr>
        <w:t>, que puede ser civil o religioso. Mientras que los compañeros permanentes son aquellas personas que integran una comunidad vida, sin estar casados, denominada unión marital de hecho</w:t>
      </w:r>
      <w:r>
        <w:rPr>
          <w:rStyle w:val="Refdenotaalpie"/>
          <w:rFonts w:ascii="Arial" w:eastAsia="Calibri" w:hAnsi="Arial" w:cs="Arial"/>
          <w:sz w:val="22"/>
          <w:lang w:val="es-ES_tradnl"/>
        </w:rPr>
        <w:footnoteReference w:id="9"/>
      </w:r>
      <w:r>
        <w:rPr>
          <w:rFonts w:ascii="Arial" w:eastAsia="Calibri" w:hAnsi="Arial" w:cs="Arial"/>
          <w:sz w:val="22"/>
          <w:lang w:val="es-ES_tradnl"/>
        </w:rPr>
        <w:t>. Tratándose de compañeros permanentes, la Corte Constitucional extendió los efectos de la inhabilidad objeto de estudio a las parejas del mismo sexo, considerando la protección o salvaguarda del principio de igualdad, para lo cual explicó que:</w:t>
      </w:r>
    </w:p>
    <w:p w14:paraId="5D79009C" w14:textId="77777777" w:rsidR="00422A38" w:rsidRDefault="00422A38" w:rsidP="00422A38">
      <w:pPr>
        <w:spacing w:line="276" w:lineRule="auto"/>
        <w:ind w:firstLine="709"/>
        <w:jc w:val="both"/>
        <w:rPr>
          <w:rFonts w:ascii="Arial" w:eastAsia="Calibri" w:hAnsi="Arial" w:cs="Arial"/>
          <w:sz w:val="22"/>
          <w:lang w:val="es-ES_tradnl"/>
        </w:rPr>
      </w:pPr>
    </w:p>
    <w:p w14:paraId="06194D3F" w14:textId="77777777" w:rsidR="00422A38" w:rsidRDefault="00422A38" w:rsidP="00422A38">
      <w:pPr>
        <w:spacing w:after="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la situación de los integrantes de las parejas homosexuales es asimilable a la de los compañeros permanentes y no se aprecia ninguna razón para establecer una diferencia de trato.</w:t>
      </w:r>
    </w:p>
    <w:p w14:paraId="13B524EF" w14:textId="77777777" w:rsidR="00422A38" w:rsidRDefault="00422A38" w:rsidP="00422A38">
      <w:pPr>
        <w:ind w:left="709" w:right="709"/>
        <w:jc w:val="both"/>
        <w:rPr>
          <w:rFonts w:ascii="Arial" w:eastAsia="Calibri" w:hAnsi="Arial" w:cs="Arial"/>
          <w:sz w:val="22"/>
          <w:lang w:val="es-ES_tradnl"/>
        </w:rPr>
      </w:pPr>
      <w:r>
        <w:rPr>
          <w:rFonts w:ascii="Arial" w:eastAsia="Calibri" w:hAnsi="Arial" w:cs="Arial"/>
          <w:sz w:val="21"/>
          <w:szCs w:val="21"/>
          <w:lang w:val="es-ES_tradnl"/>
        </w:rPr>
        <w:t>Así, en la medida en que entre los integrantes de parejas del mismo sexo surge un vínculo especial, basado en relaciones de afecto y de apoyo mutuo, y siendo ese el criterio empleado por el legislador en las disposiciones demandadas, la exclusión injustificada de estas personas de entre los destinatarios de tales disposiciones resulta contraria a la Constitución por desconocer el principio de igualdad.</w:t>
      </w:r>
      <w:r>
        <w:rPr>
          <w:rStyle w:val="Refdenotaalpie"/>
          <w:rFonts w:ascii="Arial" w:eastAsia="Calibri" w:hAnsi="Arial" w:cs="Arial"/>
          <w:sz w:val="21"/>
          <w:szCs w:val="21"/>
          <w:lang w:val="es-ES_tradnl"/>
        </w:rPr>
        <w:footnoteReference w:id="10"/>
      </w:r>
    </w:p>
    <w:p w14:paraId="27569D66" w14:textId="77777777" w:rsidR="00422A38" w:rsidRDefault="00422A38" w:rsidP="00422A38">
      <w:pPr>
        <w:ind w:firstLine="709"/>
        <w:jc w:val="both"/>
        <w:rPr>
          <w:rFonts w:ascii="Arial" w:eastAsia="Calibri" w:hAnsi="Arial" w:cs="Arial"/>
          <w:sz w:val="22"/>
          <w:lang w:val="es-ES_tradnl"/>
        </w:rPr>
      </w:pPr>
    </w:p>
    <w:p w14:paraId="40E10ADA" w14:textId="77777777" w:rsidR="00422A38" w:rsidRDefault="00422A38" w:rsidP="00422A38">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De otra parte y </w:t>
      </w:r>
      <w:proofErr w:type="gramStart"/>
      <w:r>
        <w:rPr>
          <w:rFonts w:ascii="Arial" w:eastAsia="Calibri" w:hAnsi="Arial" w:cs="Arial"/>
          <w:sz w:val="22"/>
          <w:lang w:val="es-ES_tradnl"/>
        </w:rPr>
        <w:t>en relación al</w:t>
      </w:r>
      <w:proofErr w:type="gramEnd"/>
      <w:r>
        <w:rPr>
          <w:rFonts w:ascii="Arial" w:eastAsia="Calibri" w:hAnsi="Arial" w:cs="Arial"/>
          <w:sz w:val="22"/>
          <w:lang w:val="es-ES_tradnl"/>
        </w:rPr>
        <w:t xml:space="preserve">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w:t>
      </w:r>
      <w:r>
        <w:rPr>
          <w:rStyle w:val="Refdenotaalpie"/>
          <w:rFonts w:ascii="Arial" w:eastAsia="Calibri" w:hAnsi="Arial" w:cs="Arial"/>
          <w:sz w:val="22"/>
          <w:lang w:val="es-ES_tradnl"/>
        </w:rPr>
        <w:footnoteReference w:id="11"/>
      </w:r>
      <w:r>
        <w:rPr>
          <w:rFonts w:ascii="Arial" w:eastAsia="Calibri" w:hAnsi="Arial" w:cs="Arial"/>
          <w:sz w:val="22"/>
          <w:lang w:val="es-ES_tradnl"/>
        </w:rPr>
        <w:t xml:space="preserve">. El parentesco de afinidad se refiere a la relación surgida entre una persona y los </w:t>
      </w:r>
      <w:r>
        <w:rPr>
          <w:rFonts w:ascii="Arial" w:eastAsia="Calibri" w:hAnsi="Arial" w:cs="Arial"/>
          <w:sz w:val="22"/>
          <w:lang w:val="es-ES_tradnl"/>
        </w:rPr>
        <w:lastRenderedPageBreak/>
        <w:t>consanguíneos de su esposo, esposa o compañeros permanentes, según el caso</w:t>
      </w:r>
      <w:r>
        <w:rPr>
          <w:rStyle w:val="Refdenotaalpie"/>
          <w:rFonts w:ascii="Arial" w:eastAsia="Calibri" w:hAnsi="Arial" w:cs="Arial"/>
          <w:sz w:val="22"/>
          <w:lang w:val="es-ES_tradnl"/>
        </w:rPr>
        <w:footnoteReference w:id="12"/>
      </w:r>
      <w:r>
        <w:rPr>
          <w:rFonts w:ascii="Arial" w:eastAsia="Calibri" w:hAnsi="Arial" w:cs="Arial"/>
          <w:sz w:val="22"/>
          <w:lang w:val="es-ES_tradnl"/>
        </w:rPr>
        <w:t xml:space="preserve">. Es preciso señalar que la Corte Constitucional si bien declaró la </w:t>
      </w:r>
      <w:proofErr w:type="spellStart"/>
      <w:r>
        <w:rPr>
          <w:rFonts w:ascii="Arial" w:eastAsia="Calibri" w:hAnsi="Arial" w:cs="Arial"/>
          <w:sz w:val="22"/>
          <w:lang w:val="es-ES_tradnl"/>
        </w:rPr>
        <w:t>inexequibilidad</w:t>
      </w:r>
      <w:proofErr w:type="spellEnd"/>
      <w:r>
        <w:rPr>
          <w:rFonts w:ascii="Arial" w:eastAsia="Calibri" w:hAnsi="Arial" w:cs="Arial"/>
          <w:sz w:val="22"/>
          <w:lang w:val="es-ES_tradnl"/>
        </w:rPr>
        <w:t xml:space="preserve"> del parentesco de afinidad ilegítima, reconoció la vigencia de la denominada afinidad extramatrimonial. Para estos efectos, sostuvo:</w:t>
      </w:r>
    </w:p>
    <w:p w14:paraId="146A1AE6" w14:textId="77777777" w:rsidR="00422A38" w:rsidRDefault="00422A38" w:rsidP="00422A38">
      <w:pPr>
        <w:ind w:firstLine="709"/>
        <w:jc w:val="both"/>
        <w:rPr>
          <w:rFonts w:ascii="Arial" w:eastAsia="Calibri" w:hAnsi="Arial" w:cs="Arial"/>
          <w:sz w:val="22"/>
          <w:lang w:val="es-ES_tradnl"/>
        </w:rPr>
      </w:pPr>
    </w:p>
    <w:p w14:paraId="4596AAE4" w14:textId="77777777" w:rsidR="00422A38" w:rsidRDefault="00422A38" w:rsidP="00422A38">
      <w:pPr>
        <w:ind w:left="709" w:right="709"/>
        <w:jc w:val="both"/>
        <w:rPr>
          <w:rFonts w:ascii="Arial" w:eastAsia="Calibri" w:hAnsi="Arial" w:cs="Arial"/>
          <w:sz w:val="21"/>
          <w:szCs w:val="21"/>
          <w:lang w:val="es-ES_tradnl"/>
        </w:rPr>
      </w:pPr>
      <w:r>
        <w:rPr>
          <w:rFonts w:ascii="Arial" w:eastAsia="Calibri" w:hAnsi="Arial" w:cs="Arial"/>
          <w:sz w:val="21"/>
          <w:szCs w:val="21"/>
          <w:lang w:val="es-ES_tradnl"/>
        </w:rPr>
        <w:t>En primer lugar, si el inciso primero del artículo 42 de la Constitución reconoce, en un pie de igualdad, la familia constituida por vínculos "naturales o jurídicos", no se ve cómo la inexistencia del matrimonio origine una "consanguinidad ilegítima", entendiéndose ésta como ilícita.</w:t>
      </w:r>
    </w:p>
    <w:p w14:paraId="4026D5A7" w14:textId="77777777" w:rsidR="00422A38" w:rsidRDefault="00422A38" w:rsidP="00422A38">
      <w:pPr>
        <w:spacing w:before="120" w:after="120"/>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p>
    <w:p w14:paraId="2CDF45EE" w14:textId="77777777" w:rsidR="00422A38" w:rsidRDefault="00422A38" w:rsidP="00422A38">
      <w:pPr>
        <w:ind w:left="709" w:right="709"/>
        <w:jc w:val="both"/>
        <w:rPr>
          <w:rFonts w:ascii="Arial" w:eastAsia="Calibri" w:hAnsi="Arial" w:cs="Arial"/>
          <w:sz w:val="22"/>
          <w:lang w:val="es-ES_tradnl"/>
        </w:rPr>
      </w:pPr>
      <w:r>
        <w:rPr>
          <w:rFonts w:ascii="Arial" w:eastAsia="Calibri" w:hAnsi="Arial" w:cs="Arial"/>
          <w:sz w:val="21"/>
          <w:szCs w:val="21"/>
          <w:lang w:val="es-ES_tradnl"/>
        </w:rPr>
        <w:t xml:space="preserve">Expresamente se advierte que la declaración de </w:t>
      </w:r>
      <w:proofErr w:type="spellStart"/>
      <w:r>
        <w:rPr>
          <w:rFonts w:ascii="Arial" w:eastAsia="Calibri" w:hAnsi="Arial" w:cs="Arial"/>
          <w:sz w:val="21"/>
          <w:szCs w:val="21"/>
          <w:lang w:val="es-ES_tradnl"/>
        </w:rPr>
        <w:t>inexequibilidad</w:t>
      </w:r>
      <w:proofErr w:type="spellEnd"/>
      <w:r>
        <w:rPr>
          <w:rFonts w:ascii="Arial" w:eastAsia="Calibri" w:hAnsi="Arial" w:cs="Arial"/>
          <w:sz w:val="21"/>
          <w:szCs w:val="21"/>
          <w:lang w:val="es-ES_tradnl"/>
        </w:rPr>
        <w:t xml:space="preserve"> de los artículos 39 y 48 no implica la desaparición de la afinidad extramatrimonial, es decir, la originada en la unión permanente a que se refieren los artículos 126 y 179 de la Constitución, entre otros. Para todos los efectos legales, la afinidad extramatrimonial sigue existiendo</w:t>
      </w:r>
      <w:r>
        <w:rPr>
          <w:rStyle w:val="Refdenotaalpie"/>
          <w:rFonts w:ascii="Arial" w:eastAsia="Calibri" w:hAnsi="Arial" w:cs="Arial"/>
          <w:sz w:val="21"/>
          <w:szCs w:val="21"/>
          <w:lang w:val="es-ES_tradnl"/>
        </w:rPr>
        <w:footnoteReference w:id="13"/>
      </w:r>
      <w:r>
        <w:rPr>
          <w:rFonts w:ascii="Arial" w:eastAsia="Calibri" w:hAnsi="Arial" w:cs="Arial"/>
          <w:sz w:val="21"/>
          <w:szCs w:val="21"/>
          <w:lang w:val="es-ES_tradnl"/>
        </w:rPr>
        <w:t>.</w:t>
      </w:r>
    </w:p>
    <w:p w14:paraId="0C8A8246" w14:textId="77777777" w:rsidR="00422A38" w:rsidRDefault="00422A38" w:rsidP="00422A38">
      <w:pPr>
        <w:ind w:firstLine="709"/>
        <w:jc w:val="both"/>
        <w:rPr>
          <w:rFonts w:ascii="Arial" w:eastAsia="Calibri" w:hAnsi="Arial" w:cs="Arial"/>
          <w:sz w:val="22"/>
          <w:lang w:val="es-ES_tradnl"/>
        </w:rPr>
      </w:pPr>
    </w:p>
    <w:p w14:paraId="38B45D7E" w14:textId="77777777" w:rsidR="00422A38" w:rsidRDefault="00422A38" w:rsidP="00422A38">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En cuanto a los grados del parentesco se refiere, ya sea de consanguinidad o de afinidad</w:t>
      </w:r>
      <w:r>
        <w:rPr>
          <w:rStyle w:val="Refdenotaalpie"/>
          <w:rFonts w:ascii="Arial" w:eastAsia="Calibri" w:hAnsi="Arial" w:cs="Arial"/>
          <w:sz w:val="22"/>
          <w:lang w:val="es-ES_tradnl"/>
        </w:rPr>
        <w:footnoteReference w:id="14"/>
      </w:r>
      <w:r>
        <w:rPr>
          <w:rFonts w:ascii="Arial" w:eastAsia="Calibri" w:hAnsi="Arial" w:cs="Arial"/>
          <w:sz w:val="22"/>
          <w:lang w:val="es-ES_tradnl"/>
        </w:rPr>
        <w:t>,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7A738F19" w14:textId="77777777" w:rsidR="00422A38" w:rsidRDefault="00422A38" w:rsidP="00422A38">
      <w:pPr>
        <w:pStyle w:val="margender0punto5"/>
        <w:spacing w:before="120" w:beforeAutospacing="0" w:after="0" w:afterAutospacing="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La Corte Constitucional justifica está inhabilidad en la medida que garantiza la competencia en igualdad de oportunidades para los proponentes que participan en los procesos de contratación, así como la selección objetiva del contratista que se traduce en la obtención de mejores condiciones en la celebración del negocio jurídico propuesto por la entidad estatal contratante, materializándose los fines de la contratación estatal, especialmente, la satisfacción del interés general. </w:t>
      </w:r>
      <w:r>
        <w:rPr>
          <w:rFonts w:ascii="Arial" w:eastAsia="Calibri" w:hAnsi="Arial" w:cs="Arial"/>
          <w:i/>
          <w:iCs/>
          <w:sz w:val="22"/>
          <w:lang w:val="es-ES_tradnl"/>
        </w:rPr>
        <w:t>Contrario sensu</w:t>
      </w:r>
      <w:r>
        <w:rPr>
          <w:rFonts w:ascii="Arial" w:eastAsia="Calibri" w:hAnsi="Arial" w:cs="Arial"/>
          <w:sz w:val="22"/>
          <w:lang w:val="es-ES_tradnl"/>
        </w:rPr>
        <w:t xml:space="preserve">, en virtud de la lealtad e intimidad propias de las relaciones familiares, la participación en procesos de contratación de personas unidas por vínculos familiares frustran la igualdad de oportunidades entre los participantes, así como la obtención de mejores condiciones de contratación para el Estado, </w:t>
      </w:r>
      <w:r>
        <w:rPr>
          <w:rFonts w:ascii="Arial" w:eastAsia="Calibri" w:hAnsi="Arial" w:cs="Arial"/>
          <w:sz w:val="22"/>
          <w:lang w:val="es-ES_tradnl"/>
        </w:rPr>
        <w:lastRenderedPageBreak/>
        <w:t>pues los miembros de una misma familia pueden concertar entre sí con el propósito de hacerse al contrato y obtener un provecho económico, en perjuicio tanto de los demás participantes como del Estado, y en contravía de los principios que rigen la contratación pública y la función administrativa, especialmente, los de transparencia y moralidad. Por esas razones, la jurisprudencia explica que</w:t>
      </w:r>
      <w:r>
        <w:rPr>
          <w:rStyle w:val="Refdenotaalpie"/>
          <w:rFonts w:ascii="Arial" w:eastAsia="Calibri" w:hAnsi="Arial" w:cs="Arial"/>
          <w:sz w:val="22"/>
          <w:lang w:val="es-ES_tradnl"/>
        </w:rPr>
        <w:footnoteReference w:id="15"/>
      </w:r>
      <w:r>
        <w:rPr>
          <w:rFonts w:ascii="Arial" w:eastAsia="Calibri" w:hAnsi="Arial" w:cs="Arial"/>
          <w:sz w:val="22"/>
          <w:lang w:val="es-ES_tradnl"/>
        </w:rPr>
        <w:t>:</w:t>
      </w:r>
    </w:p>
    <w:p w14:paraId="3E45BA9A" w14:textId="77777777" w:rsidR="00422A38" w:rsidRDefault="00422A38" w:rsidP="00422A38">
      <w:pPr>
        <w:pStyle w:val="margender0punto5"/>
        <w:spacing w:before="0" w:beforeAutospacing="0" w:after="0" w:afterAutospacing="0"/>
        <w:ind w:left="709" w:right="709"/>
        <w:jc w:val="both"/>
        <w:rPr>
          <w:rStyle w:val="letra14pt"/>
          <w:szCs w:val="22"/>
        </w:rPr>
      </w:pPr>
    </w:p>
    <w:p w14:paraId="14147DFD" w14:textId="77777777" w:rsidR="00422A38" w:rsidRDefault="00422A38" w:rsidP="00422A38">
      <w:pPr>
        <w:pStyle w:val="margender0punto5"/>
        <w:spacing w:before="0" w:beforeAutospacing="0" w:after="0" w:afterAutospacing="0"/>
        <w:ind w:left="709" w:right="709"/>
        <w:jc w:val="both"/>
        <w:rPr>
          <w:sz w:val="21"/>
          <w:szCs w:val="21"/>
        </w:rPr>
      </w:pPr>
      <w:r>
        <w:rPr>
          <w:rStyle w:val="letra14pt"/>
          <w:rFonts w:ascii="Arial" w:hAnsi="Arial" w:cs="Arial"/>
          <w:sz w:val="21"/>
          <w:szCs w:val="21"/>
        </w:rPr>
        <w:t xml:space="preserve">Concluye la Corte que dado que los intereses de los miembros de una </w:t>
      </w:r>
      <w:proofErr w:type="gramStart"/>
      <w:r>
        <w:rPr>
          <w:rStyle w:val="letra14pt"/>
          <w:rFonts w:ascii="Arial" w:hAnsi="Arial" w:cs="Arial"/>
          <w:sz w:val="21"/>
          <w:szCs w:val="21"/>
        </w:rPr>
        <w:t>familia,</w:t>
      </w:r>
      <w:proofErr w:type="gramEnd"/>
      <w:r>
        <w:rPr>
          <w:rStyle w:val="letra14pt"/>
          <w:rFonts w:ascii="Arial" w:hAnsi="Arial" w:cs="Arial"/>
          <w:sz w:val="21"/>
          <w:szCs w:val="21"/>
        </w:rPr>
        <w:t xml:space="preserve"> tienen una alta probabilidad de incidir negativamente en la consecución de los objetivos que el Estado se traza al abrir una licitación o concurso, vale decir, obtener las mejores condiciones y promover al máximo la igualdad de acceso de los particulares, se justifica que en este caso, en razón del interés general, se dicte una regla que restrinja su participación.</w:t>
      </w:r>
    </w:p>
    <w:p w14:paraId="713216CB" w14:textId="77777777" w:rsidR="00422A38" w:rsidRDefault="00422A38" w:rsidP="00422A38">
      <w:pPr>
        <w:ind w:firstLine="709"/>
        <w:jc w:val="both"/>
        <w:rPr>
          <w:rFonts w:ascii="Arial" w:eastAsia="Calibri" w:hAnsi="Arial" w:cs="Arial"/>
          <w:sz w:val="22"/>
          <w:lang w:val="es-ES_tradnl"/>
        </w:rPr>
      </w:pPr>
    </w:p>
    <w:p w14:paraId="29A15951" w14:textId="77777777" w:rsidR="00422A38" w:rsidRDefault="00422A38" w:rsidP="00422A38">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A su vez, el Consejo de Estado reconoce </w:t>
      </w:r>
      <w:proofErr w:type="gramStart"/>
      <w:r>
        <w:rPr>
          <w:rFonts w:ascii="Arial" w:eastAsia="Calibri" w:hAnsi="Arial" w:cs="Arial"/>
          <w:sz w:val="22"/>
          <w:lang w:val="es-ES_tradnl"/>
        </w:rPr>
        <w:t>que</w:t>
      </w:r>
      <w:proofErr w:type="gramEnd"/>
      <w:r>
        <w:rPr>
          <w:rFonts w:ascii="Arial" w:eastAsia="Calibri" w:hAnsi="Arial" w:cs="Arial"/>
          <w:sz w:val="22"/>
          <w:lang w:val="es-ES_tradnl"/>
        </w:rPr>
        <w:t xml:space="preserve"> si bien esta inhabilidad es una limitación a la libertad negocial de las personas, la misma se justifica en la medida que previene la utilización de factores de poder, consecuencia de relaciones familiares, cuyo propósito es obtener un provecho económico individual, en perjuicio del interés general que prevalece en el ejercicio de la función pública</w:t>
      </w:r>
      <w:r>
        <w:rPr>
          <w:rStyle w:val="Refdenotaalpie"/>
          <w:rFonts w:ascii="Arial" w:eastAsia="Calibri" w:hAnsi="Arial" w:cs="Arial"/>
          <w:sz w:val="22"/>
          <w:lang w:val="es-ES_tradnl"/>
        </w:rPr>
        <w:footnoteReference w:id="16"/>
      </w:r>
      <w:r>
        <w:rPr>
          <w:rFonts w:ascii="Arial" w:eastAsia="Calibri" w:hAnsi="Arial" w:cs="Arial"/>
          <w:sz w:val="22"/>
          <w:lang w:val="es-ES_tradnl"/>
        </w:rPr>
        <w:t>.</w:t>
      </w:r>
    </w:p>
    <w:p w14:paraId="2DEC3DBC" w14:textId="77777777" w:rsidR="00422A38" w:rsidRDefault="00422A38" w:rsidP="00422A38">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De otra parte, en relación con esta causal de inhabilidad Colombia Compra Eficiente afirmó, en concepto No. 4201814000003792 del 13 de junio de 2018, que la misma no se restringe a personas naturales. Esto implica que la inhabilidad se extiende a personas jurídicas, respecto de las cuales se prediquen vínculos jurídicos o naturales (familiares) hasta el segundo grado consanguinidad o afinidad con el representante legal o alguno de sus socios. Sin embargo, esta posición será objeto de corrección en el presente concepto, ya que el régimen de inhabilidades e incompatibilidades debe interpretarse de manera restrictiva.  </w:t>
      </w:r>
    </w:p>
    <w:p w14:paraId="5B092FCF" w14:textId="3B55CA8E" w:rsidR="00422A38" w:rsidRDefault="00422A38" w:rsidP="00422A38">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En concepto No. 4201813000009241 del 20 de diciembre de 2018, se sostuvo que si bien el literal g) del numeral 1 del artículo 8 de la Ley 80 de 1993 se refiere a la licitación, esta causal de inhabilidad conforme a lo preceptuado en el parágrafo del artículo 30 de la Ley 80 de 1993, se aplica a todas las modalidades de selección empleadas en la contratación pública</w:t>
      </w:r>
      <w:r>
        <w:rPr>
          <w:rStyle w:val="Refdenotaalpie"/>
          <w:rFonts w:ascii="Arial" w:eastAsia="Calibri" w:hAnsi="Arial" w:cs="Arial"/>
          <w:sz w:val="22"/>
          <w:lang w:val="es-ES_tradnl"/>
        </w:rPr>
        <w:footnoteReference w:id="17"/>
      </w:r>
      <w:r>
        <w:rPr>
          <w:rFonts w:ascii="Arial" w:eastAsia="Calibri" w:hAnsi="Arial" w:cs="Arial"/>
          <w:sz w:val="22"/>
          <w:lang w:val="es-ES_tradnl"/>
        </w:rPr>
        <w:t xml:space="preserve">. Por otra parte, en concepto No. 4201913000008006 del 20 de </w:t>
      </w:r>
      <w:r>
        <w:rPr>
          <w:rFonts w:ascii="Arial" w:eastAsia="Calibri" w:hAnsi="Arial" w:cs="Arial"/>
          <w:sz w:val="22"/>
          <w:lang w:val="es-ES_tradnl"/>
        </w:rPr>
        <w:lastRenderedPageBreak/>
        <w:t xml:space="preserve">diciembre de 2019, se afirmó que la finalidad de esta causal de inhabilidad es garantizar los principios de imparcialidad, eficacia, eficiencia, moralidad, transparencia y libre competencia que rigen el proceso de selección de contratistas de las entidades estatales. Igualmente, </w:t>
      </w:r>
      <w:r w:rsidR="00002C99">
        <w:rPr>
          <w:rFonts w:ascii="Arial" w:eastAsia="Calibri" w:hAnsi="Arial" w:cs="Arial"/>
          <w:sz w:val="22"/>
          <w:lang w:val="es-ES_tradnl"/>
        </w:rPr>
        <w:t xml:space="preserve">en el concepto </w:t>
      </w:r>
      <w:r w:rsidR="0051758E">
        <w:rPr>
          <w:rFonts w:ascii="Arial" w:eastAsia="Calibri" w:hAnsi="Arial" w:cs="Arial"/>
          <w:sz w:val="22"/>
          <w:lang w:val="es-ES_tradnl"/>
        </w:rPr>
        <w:t>mencionado</w:t>
      </w:r>
      <w:r>
        <w:rPr>
          <w:rFonts w:ascii="Arial" w:eastAsia="Calibri" w:hAnsi="Arial" w:cs="Arial"/>
          <w:sz w:val="22"/>
          <w:lang w:val="es-ES_tradnl"/>
        </w:rPr>
        <w:t xml:space="preserve"> se determinó </w:t>
      </w:r>
      <w:proofErr w:type="gramStart"/>
      <w:r>
        <w:rPr>
          <w:rFonts w:ascii="Arial" w:eastAsia="Calibri" w:hAnsi="Arial" w:cs="Arial"/>
          <w:sz w:val="22"/>
          <w:lang w:val="es-ES_tradnl"/>
        </w:rPr>
        <w:t>que</w:t>
      </w:r>
      <w:proofErr w:type="gramEnd"/>
      <w:r>
        <w:rPr>
          <w:rFonts w:ascii="Arial" w:eastAsia="Calibri" w:hAnsi="Arial" w:cs="Arial"/>
          <w:sz w:val="22"/>
          <w:lang w:val="es-ES_tradnl"/>
        </w:rPr>
        <w:t xml:space="preserve"> para establecer la configuración de la citada causal de inhabilidad, debe acudirse a los conceptos y criterios definidos en el Código Civil, especialmente, lo dispuesto en los artículos 35, 37 y 47, relacionados con el parentesco de consanguinidad, los grados de consanguinidad y la afinidad legítima, respectivamente. Además, en concepto No. 4201913000008203 del 20 de diciembre de 2019, se indicó que esta causal de inhabilidad se aplica a todos los procesos de selección de contratistas que conllevan la participación plural de interesados, es decir</w:t>
      </w:r>
      <w:r w:rsidR="004C241F">
        <w:rPr>
          <w:rFonts w:ascii="Arial" w:eastAsia="Calibri" w:hAnsi="Arial" w:cs="Arial"/>
          <w:sz w:val="22"/>
          <w:lang w:val="es-ES_tradnl"/>
        </w:rPr>
        <w:t>,</w:t>
      </w:r>
      <w:r>
        <w:rPr>
          <w:rFonts w:ascii="Arial" w:eastAsia="Calibri" w:hAnsi="Arial" w:cs="Arial"/>
          <w:sz w:val="22"/>
          <w:lang w:val="es-ES_tradnl"/>
        </w:rPr>
        <w:t xml:space="preserve"> que no hay lugar a la configuración de esta causal de inhabilidad en los procesos de contratación directa.</w:t>
      </w:r>
    </w:p>
    <w:p w14:paraId="0A7C023A" w14:textId="77777777" w:rsidR="00422A38" w:rsidRDefault="00422A38" w:rsidP="00422A38">
      <w:pPr>
        <w:spacing w:before="120" w:after="120" w:line="276" w:lineRule="auto"/>
        <w:ind w:firstLine="709"/>
        <w:jc w:val="both"/>
        <w:rPr>
          <w:rFonts w:ascii="Arial" w:eastAsia="Calibri" w:hAnsi="Arial" w:cs="Arial"/>
          <w:sz w:val="22"/>
        </w:rPr>
      </w:pPr>
      <w:r>
        <w:rPr>
          <w:rFonts w:ascii="Arial" w:eastAsia="Calibri" w:hAnsi="Arial" w:cs="Arial"/>
          <w:sz w:val="22"/>
          <w:lang w:val="es-ES_tradnl"/>
        </w:rPr>
        <w:t xml:space="preserve">Ahora bien, en relación con los proponentes plurales, el </w:t>
      </w:r>
      <w:r>
        <w:rPr>
          <w:rFonts w:ascii="Arial" w:eastAsia="Calibri" w:hAnsi="Arial" w:cs="Arial"/>
          <w:sz w:val="22"/>
        </w:rPr>
        <w:t>artículo 7 de la Ley 80 de 1993 define al consorcio y a la unión temporal como la unión de dos o más personas que presentan la misma propuesta para la adjudicación, celebración y ejecución de un contrato, pero su responsabilidad por las obligaciones derivadas de la propuesta y el contrato es diferente</w:t>
      </w:r>
      <w:r>
        <w:rPr>
          <w:rStyle w:val="Refdenotaalpie"/>
          <w:rFonts w:ascii="Arial" w:eastAsia="Calibri" w:hAnsi="Arial" w:cs="Arial"/>
          <w:sz w:val="22"/>
        </w:rPr>
        <w:footnoteReference w:id="18"/>
      </w:r>
      <w:r>
        <w:rPr>
          <w:rFonts w:ascii="Arial" w:eastAsia="Calibri" w:hAnsi="Arial" w:cs="Arial"/>
          <w:sz w:val="22"/>
        </w:rPr>
        <w:t>. Por su parte, la Corte Constitucional señala que el consorcio es una figura propia del derecho privado, utilizado como un instrumento de cooperación entre empresas, que les permita unir esfuerzos para la celebración y ejecución de un contrato con el Estado, sin que por ello pierdan su individualidad jurídica</w:t>
      </w:r>
      <w:r>
        <w:rPr>
          <w:rStyle w:val="Refdenotaalpie"/>
          <w:rFonts w:ascii="Arial" w:eastAsia="Calibri" w:hAnsi="Arial" w:cs="Arial"/>
          <w:sz w:val="22"/>
        </w:rPr>
        <w:footnoteReference w:id="19"/>
      </w:r>
      <w:r>
        <w:rPr>
          <w:rFonts w:ascii="Arial" w:eastAsia="Calibri" w:hAnsi="Arial" w:cs="Arial"/>
          <w:sz w:val="22"/>
        </w:rPr>
        <w:t>.</w:t>
      </w:r>
    </w:p>
    <w:p w14:paraId="526E1F5F" w14:textId="77777777" w:rsidR="00422A38" w:rsidRDefault="00422A38" w:rsidP="00422A38">
      <w:pPr>
        <w:spacing w:before="120" w:after="120" w:line="276" w:lineRule="auto"/>
        <w:ind w:firstLine="709"/>
        <w:jc w:val="both"/>
        <w:rPr>
          <w:rFonts w:ascii="Arial" w:eastAsia="Calibri" w:hAnsi="Arial" w:cs="Arial"/>
          <w:sz w:val="22"/>
        </w:rPr>
      </w:pPr>
      <w:r>
        <w:rPr>
          <w:rFonts w:ascii="Arial" w:eastAsia="Calibri" w:hAnsi="Arial" w:cs="Arial"/>
          <w:sz w:val="22"/>
        </w:rPr>
        <w:t xml:space="preserve">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w:t>
      </w:r>
      <w:r>
        <w:rPr>
          <w:rFonts w:ascii="Arial" w:eastAsia="Calibri" w:hAnsi="Arial" w:cs="Arial"/>
          <w:sz w:val="22"/>
        </w:rPr>
        <w:lastRenderedPageBreak/>
        <w:t>de cada miembro, sin que ello desconozca la finalidad de esta figura, que es unir esfuerzos para la ejecución del objeto contractual.</w:t>
      </w:r>
    </w:p>
    <w:p w14:paraId="65B6511B" w14:textId="289E923F" w:rsidR="00422A38" w:rsidRDefault="00422A38" w:rsidP="00422A38">
      <w:pPr>
        <w:spacing w:before="120" w:line="276" w:lineRule="auto"/>
        <w:ind w:firstLine="709"/>
        <w:jc w:val="both"/>
        <w:rPr>
          <w:rFonts w:ascii="Arial" w:eastAsia="Calibri" w:hAnsi="Arial" w:cs="Arial"/>
          <w:sz w:val="22"/>
        </w:rPr>
      </w:pPr>
      <w:r>
        <w:rPr>
          <w:rFonts w:ascii="Arial" w:eastAsia="Calibri" w:hAnsi="Arial" w:cs="Arial"/>
          <w:sz w:val="22"/>
        </w:rPr>
        <w:t xml:space="preserve"> Así pues, respecto de la capacidad jurídica, que es un requisito habilitante, de acuerdo con la Ley 1150 de 2007, y que se relaciona directamente con las inhabilidades e incompatibilidades, teniendo en cuenta que son un límite a la capacidad, que permite ofertar y contratar, esta debe ser evaluada respecto de cada miembro del proponente plural. En consecuencia, </w:t>
      </w:r>
      <w:bookmarkStart w:id="5" w:name="_Hlk21441913"/>
      <w:r>
        <w:rPr>
          <w:rFonts w:ascii="Arial" w:eastAsia="Calibri" w:hAnsi="Arial" w:cs="Arial"/>
          <w:sz w:val="22"/>
        </w:rPr>
        <w:t>el Consejo de Estado, Sección Tercera, estableció lo que sucede con un consorcio o unión temporal cuando uno de sus miembros está inhabilitado, es decir que no tenga capacidad para presentar oferta y/o contratar:</w:t>
      </w:r>
    </w:p>
    <w:p w14:paraId="1E527198" w14:textId="77777777" w:rsidR="00422A38" w:rsidRDefault="00422A38" w:rsidP="00422A38">
      <w:pPr>
        <w:spacing w:line="276" w:lineRule="auto"/>
        <w:jc w:val="both"/>
        <w:rPr>
          <w:rFonts w:ascii="Arial" w:eastAsia="Calibri" w:hAnsi="Arial" w:cs="Arial"/>
          <w:sz w:val="22"/>
        </w:rPr>
      </w:pPr>
    </w:p>
    <w:p w14:paraId="5BDCA690" w14:textId="77777777" w:rsidR="00422A38" w:rsidRDefault="00422A38" w:rsidP="00422A38">
      <w:pPr>
        <w:spacing w:after="120"/>
        <w:ind w:left="709" w:right="709"/>
        <w:jc w:val="both"/>
        <w:rPr>
          <w:rFonts w:ascii="Arial" w:eastAsia="Calibri" w:hAnsi="Arial" w:cs="Arial"/>
          <w:sz w:val="21"/>
          <w:szCs w:val="21"/>
        </w:rPr>
      </w:pPr>
      <w:r>
        <w:rPr>
          <w:rFonts w:ascii="Arial" w:eastAsia="Calibri" w:hAnsi="Arial" w:cs="Arial"/>
          <w:sz w:val="21"/>
          <w:szCs w:val="21"/>
        </w:rPr>
        <w:t>Toda vez que el consorcio o la unión temporal no constituye una persona diferente de los miembros que lo conforman, no puede afirmarse, como lo hace la entidad pública demandada, que la inhabilidad que recaía sobre el señor Héctor Tangarife no afectaba al consorcio, toda vez que la capacidad legal para presentar propuestas y para celebrar contratos se predica de todos y cada uno de sus miembros, por cuanto la participación en la licitación mediante la figura del consorcio no puede servir de pretexto para esconder irregularidades.</w:t>
      </w:r>
    </w:p>
    <w:p w14:paraId="3AEED40E" w14:textId="77777777" w:rsidR="00422A38" w:rsidRDefault="00422A38" w:rsidP="00422A38">
      <w:pPr>
        <w:ind w:left="709" w:right="709"/>
        <w:jc w:val="both"/>
        <w:rPr>
          <w:rFonts w:ascii="Arial" w:eastAsia="Calibri" w:hAnsi="Arial" w:cs="Arial"/>
          <w:sz w:val="21"/>
          <w:szCs w:val="21"/>
        </w:rPr>
      </w:pPr>
      <w:r>
        <w:rPr>
          <w:rFonts w:ascii="Arial" w:eastAsia="Calibri" w:hAnsi="Arial" w:cs="Arial"/>
          <w:sz w:val="21"/>
          <w:szCs w:val="21"/>
        </w:rPr>
        <w:t>Cabe advertir que en tanto alguno de los miembros de un consorcio o de una unión temporal se encuentre en situación de inhabilidad o de incompatibilidad, el consorcio o la unión temporal no puede ser proponente o contratista del Estado</w:t>
      </w:r>
      <w:r>
        <w:rPr>
          <w:rStyle w:val="Refdenotaalpie"/>
          <w:rFonts w:ascii="Arial" w:eastAsia="Calibri" w:hAnsi="Arial" w:cs="Arial"/>
          <w:sz w:val="21"/>
          <w:szCs w:val="21"/>
        </w:rPr>
        <w:footnoteReference w:id="20"/>
      </w:r>
      <w:r>
        <w:rPr>
          <w:rFonts w:ascii="Arial" w:eastAsia="Calibri" w:hAnsi="Arial" w:cs="Arial"/>
          <w:sz w:val="21"/>
          <w:szCs w:val="21"/>
        </w:rPr>
        <w:t>.</w:t>
      </w:r>
      <w:bookmarkEnd w:id="5"/>
    </w:p>
    <w:p w14:paraId="7749EC95" w14:textId="77777777" w:rsidR="00422A38" w:rsidRDefault="00422A38" w:rsidP="00422A38">
      <w:pPr>
        <w:ind w:left="709" w:right="709"/>
        <w:jc w:val="both"/>
        <w:rPr>
          <w:rFonts w:ascii="Arial" w:eastAsia="Calibri" w:hAnsi="Arial" w:cs="Arial"/>
          <w:sz w:val="22"/>
          <w:lang w:val="es-ES_tradnl"/>
        </w:rPr>
      </w:pPr>
    </w:p>
    <w:p w14:paraId="6A06059D" w14:textId="2F795DFE" w:rsidR="00422A38" w:rsidRDefault="00422A38" w:rsidP="00422A38">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Finalmente, se precisa que la citada inhabilidad se predica de las personas que ostentan vínculos en los términos expuestos y que presenten formalmente ofertas en un proceso de contratación después que lo ha hecho su esposo, esposa, compañero(a) permanente o algún pariente hasta el segundo grado de consanguinidad o afinidad</w:t>
      </w:r>
      <w:r w:rsidR="000D0C3A">
        <w:rPr>
          <w:rFonts w:ascii="Arial" w:eastAsia="Calibri" w:hAnsi="Arial" w:cs="Arial"/>
          <w:sz w:val="22"/>
          <w:lang w:val="es-ES_tradnl"/>
        </w:rPr>
        <w:t>. Es por eso</w:t>
      </w:r>
      <w:r>
        <w:rPr>
          <w:rFonts w:ascii="Arial" w:eastAsia="Calibri" w:hAnsi="Arial" w:cs="Arial"/>
          <w:sz w:val="22"/>
          <w:lang w:val="es-ES_tradnl"/>
        </w:rPr>
        <w:t xml:space="preserve"> </w:t>
      </w:r>
      <w:proofErr w:type="gramStart"/>
      <w:r>
        <w:rPr>
          <w:rFonts w:ascii="Arial" w:eastAsia="Calibri" w:hAnsi="Arial" w:cs="Arial"/>
          <w:sz w:val="22"/>
          <w:lang w:val="es-ES_tradnl"/>
        </w:rPr>
        <w:t>que</w:t>
      </w:r>
      <w:proofErr w:type="gramEnd"/>
      <w:r>
        <w:rPr>
          <w:rFonts w:ascii="Arial" w:eastAsia="Calibri" w:hAnsi="Arial" w:cs="Arial"/>
          <w:sz w:val="22"/>
          <w:lang w:val="es-ES_tradnl"/>
        </w:rPr>
        <w:t xml:space="preserve"> en el artículo 2.2.1.1.2.2.5 del Decreto 1082 de 2015, se dispuso que la entidad estatal contratante dejará constancia de la fecha y hora en que recibió las correspondientes ofertas, para establecer cu</w:t>
      </w:r>
      <w:r w:rsidR="00EB6561">
        <w:rPr>
          <w:rFonts w:ascii="Arial" w:eastAsia="Calibri" w:hAnsi="Arial" w:cs="Arial"/>
          <w:sz w:val="22"/>
          <w:lang w:val="es-ES_tradnl"/>
        </w:rPr>
        <w:t>á</w:t>
      </w:r>
      <w:r>
        <w:rPr>
          <w:rFonts w:ascii="Arial" w:eastAsia="Calibri" w:hAnsi="Arial" w:cs="Arial"/>
          <w:sz w:val="22"/>
          <w:lang w:val="es-ES_tradnl"/>
        </w:rPr>
        <w:t>l fue la primera en el tiempo y/o cual(es) se encuentra(n) inhabilitada(s) acorde al literal g) del numeral 1 del artículo 8 de la Ley 80 de 1993.</w:t>
      </w:r>
    </w:p>
    <w:p w14:paraId="0412510C" w14:textId="77777777" w:rsidR="00422A38" w:rsidRDefault="00422A38" w:rsidP="00422A38">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En conclusión, debido a que el régimen de inhabilidades se interpreta de manera restrictiva, la causal de inhabilidad dispuesta en el literal g) del numeral 1 del artículo 8 de la Ley 80 de 1993 se refiere solamente de personas naturales, sin que exista posibilidad de extender su aplicación a personas jurídicas, entendidas estas últimas como sujetos capaces </w:t>
      </w:r>
      <w:r>
        <w:rPr>
          <w:rFonts w:ascii="Arial" w:eastAsia="Calibri" w:hAnsi="Arial" w:cs="Arial"/>
          <w:sz w:val="22"/>
          <w:lang w:val="es-ES_tradnl"/>
        </w:rPr>
        <w:lastRenderedPageBreak/>
        <w:t>de ejercer derechos y contraer obligaciones</w:t>
      </w:r>
      <w:r>
        <w:rPr>
          <w:rStyle w:val="Refdenotaalpie"/>
          <w:rFonts w:ascii="Arial" w:eastAsia="Calibri" w:hAnsi="Arial" w:cs="Arial"/>
          <w:sz w:val="22"/>
          <w:lang w:val="es-ES_tradnl"/>
        </w:rPr>
        <w:footnoteReference w:id="21"/>
      </w:r>
      <w:r>
        <w:rPr>
          <w:rFonts w:ascii="Arial" w:eastAsia="Calibri" w:hAnsi="Arial" w:cs="Arial"/>
          <w:sz w:val="22"/>
          <w:lang w:val="es-ES_tradnl"/>
        </w:rPr>
        <w:t>, cuya capacidad está determinada por su objeto social</w:t>
      </w:r>
      <w:r>
        <w:rPr>
          <w:rStyle w:val="Refdenotaalpie"/>
          <w:rFonts w:ascii="Arial" w:eastAsia="Calibri" w:hAnsi="Arial" w:cs="Arial"/>
          <w:sz w:val="22"/>
          <w:lang w:val="es-ES_tradnl"/>
        </w:rPr>
        <w:footnoteReference w:id="22"/>
      </w:r>
      <w:r>
        <w:rPr>
          <w:rFonts w:ascii="Arial" w:eastAsia="Calibri" w:hAnsi="Arial" w:cs="Arial"/>
          <w:sz w:val="22"/>
          <w:lang w:val="es-ES_tradnl"/>
        </w:rPr>
        <w:t>.</w:t>
      </w:r>
    </w:p>
    <w:p w14:paraId="4DBBFA3F" w14:textId="77777777" w:rsidR="00422A38" w:rsidRDefault="00422A38" w:rsidP="00422A38">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De igual manera, esa causal de inhabilidad también se refiere a las personas naturales que integran proponentes plurales, consorcios o uniones temporales, así como la persona designada como representante de estos, ya que estas formas de asociación no constituyen una persona jurídica diferente o independiente los miembros que los integran, lo cual implica, que el consorcio o unión temporal será inhabilitado en un proceso de contratación, cuando uno de sus integrantes o representante designado se encuentra en alguna de las relaciones de parentesco determinadas en la mencionada disposición.</w:t>
      </w:r>
    </w:p>
    <w:p w14:paraId="28B56C22" w14:textId="77777777" w:rsidR="00032C75" w:rsidRDefault="00032C75" w:rsidP="00032C75">
      <w:pPr>
        <w:tabs>
          <w:tab w:val="left" w:pos="0"/>
        </w:tabs>
        <w:spacing w:line="276" w:lineRule="auto"/>
        <w:jc w:val="both"/>
        <w:rPr>
          <w:rFonts w:ascii="Arial" w:eastAsia="Calibri" w:hAnsi="Arial" w:cs="Arial"/>
          <w:b/>
          <w:color w:val="000000" w:themeColor="text1"/>
          <w:sz w:val="22"/>
          <w:lang w:val="es-ES_tradnl"/>
        </w:rPr>
      </w:pPr>
    </w:p>
    <w:p w14:paraId="37CA9805" w14:textId="00B48741" w:rsidR="00DD5B04" w:rsidRPr="00781A1B" w:rsidRDefault="004177A6" w:rsidP="002C5D0F">
      <w:pPr>
        <w:tabs>
          <w:tab w:val="left" w:pos="0"/>
        </w:tabs>
        <w:spacing w:line="276" w:lineRule="auto"/>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3</w:t>
      </w:r>
      <w:r w:rsidR="00B011A9" w:rsidRPr="00781A1B">
        <w:rPr>
          <w:rFonts w:ascii="Arial" w:eastAsia="Calibri" w:hAnsi="Arial" w:cs="Arial"/>
          <w:b/>
          <w:color w:val="000000" w:themeColor="text1"/>
          <w:sz w:val="22"/>
          <w:lang w:val="es-ES_tradnl"/>
        </w:rPr>
        <w:t xml:space="preserve">. </w:t>
      </w:r>
      <w:r w:rsidR="00DD5B04" w:rsidRPr="00781A1B">
        <w:rPr>
          <w:rFonts w:ascii="Arial" w:eastAsia="Calibri" w:hAnsi="Arial" w:cs="Arial"/>
          <w:b/>
          <w:color w:val="000000" w:themeColor="text1"/>
          <w:sz w:val="22"/>
          <w:lang w:val="es-ES_tradnl"/>
        </w:rPr>
        <w:t>Respuesta</w:t>
      </w:r>
    </w:p>
    <w:p w14:paraId="0B74D5B8" w14:textId="5B5B8028" w:rsidR="00C4581D" w:rsidRPr="00781A1B" w:rsidRDefault="00C4581D" w:rsidP="00DF76A2">
      <w:pPr>
        <w:tabs>
          <w:tab w:val="left" w:pos="0"/>
        </w:tabs>
        <w:spacing w:line="276" w:lineRule="auto"/>
        <w:jc w:val="both"/>
        <w:rPr>
          <w:rFonts w:ascii="Arial" w:eastAsia="Calibri" w:hAnsi="Arial" w:cs="Arial"/>
          <w:color w:val="000000" w:themeColor="text1"/>
          <w:sz w:val="22"/>
          <w:lang w:val="es-ES_tradnl"/>
        </w:rPr>
      </w:pPr>
    </w:p>
    <w:p w14:paraId="7E13A577" w14:textId="50C66DAD" w:rsidR="00E15943" w:rsidRPr="00E15943" w:rsidRDefault="00E15943" w:rsidP="00E15943">
      <w:pPr>
        <w:tabs>
          <w:tab w:val="left" w:pos="426"/>
          <w:tab w:val="left" w:pos="709"/>
        </w:tabs>
        <w:spacing w:after="120"/>
        <w:ind w:left="709" w:right="709"/>
        <w:jc w:val="both"/>
        <w:rPr>
          <w:rFonts w:ascii="Arial" w:eastAsia="Calibri" w:hAnsi="Arial" w:cs="Arial"/>
          <w:bCs/>
          <w:color w:val="000000" w:themeColor="text1"/>
          <w:sz w:val="21"/>
          <w:szCs w:val="21"/>
          <w:lang w:val="es-ES_tradnl"/>
        </w:rPr>
      </w:pPr>
      <w:r w:rsidRPr="00E15943">
        <w:rPr>
          <w:rFonts w:ascii="Arial" w:eastAsia="Calibri" w:hAnsi="Arial" w:cs="Arial"/>
          <w:bCs/>
          <w:color w:val="000000" w:themeColor="text1"/>
          <w:sz w:val="21"/>
          <w:szCs w:val="21"/>
          <w:lang w:val="es-ES_tradnl"/>
        </w:rPr>
        <w:t>«PREGUNTA 2: En la matriz 1-EXPERIENCIA, se encuentra en el numeral 1. OBRAS EN VÍAS PRIMARIAS O SECUNDARIAS donde se requiere como experiencia general en el numeral 1.3 CONSTRUCCIÓN O MEJORAMIENTO O MANTENIMIENTO O REHABILITACIÓN O CONSERVACIÓN EN PAVIMENTO ASFALTICO O CONCRETO HIDRÁULICO DE CARRETERAS PRIMARIAS O SECUNDARIAS O VIAS URBANAS O PISTAS DE AEROPUERTOS y en el numeral 6. OBRAS DE INFRAESTRUCTURA VIAL URBANA donde se requiere como experiencia general en los numerales 6.3</w:t>
      </w:r>
      <w:r w:rsidR="00F02B6E">
        <w:rPr>
          <w:rFonts w:ascii="Arial" w:eastAsia="Calibri" w:hAnsi="Arial" w:cs="Arial"/>
          <w:bCs/>
          <w:color w:val="000000" w:themeColor="text1"/>
          <w:sz w:val="21"/>
          <w:szCs w:val="21"/>
          <w:lang w:val="es-ES_tradnl"/>
        </w:rPr>
        <w:t xml:space="preserve"> </w:t>
      </w:r>
      <w:r w:rsidRPr="00E15943">
        <w:rPr>
          <w:rFonts w:ascii="Arial" w:eastAsia="Calibri" w:hAnsi="Arial" w:cs="Arial"/>
          <w:bCs/>
          <w:color w:val="000000" w:themeColor="text1"/>
          <w:sz w:val="21"/>
          <w:szCs w:val="21"/>
          <w:lang w:val="es-ES_tradnl"/>
        </w:rPr>
        <w:t>CONSTRUCCIÓN O REHABILITACIÓN O ADECUACIÓN O AMPLIACIÓN O MEJORAMIENTO O MANTENIMIENTO O RECONSTRUCCIÓN DE O CONSERVACIÓN DE INFRAESTRUCTURA VIAL PARA TRÁFICO VEHICULAR DE VÍAS URBANAS O DE VÍAS PRIMARIAS O SECUNDARIAS.</w:t>
      </w:r>
    </w:p>
    <w:p w14:paraId="52BFC0E3" w14:textId="6CDA1377" w:rsidR="00E15943" w:rsidRPr="00E15943" w:rsidRDefault="00E15943" w:rsidP="00E15943">
      <w:pPr>
        <w:tabs>
          <w:tab w:val="left" w:pos="426"/>
        </w:tabs>
        <w:spacing w:after="120"/>
        <w:ind w:left="709" w:right="709"/>
        <w:jc w:val="both"/>
        <w:rPr>
          <w:rFonts w:ascii="Arial" w:eastAsia="Calibri" w:hAnsi="Arial" w:cs="Arial"/>
          <w:bCs/>
          <w:color w:val="000000" w:themeColor="text1"/>
          <w:sz w:val="21"/>
          <w:szCs w:val="21"/>
          <w:lang w:val="es-ES_tradnl"/>
        </w:rPr>
      </w:pPr>
      <w:proofErr w:type="gramStart"/>
      <w:r w:rsidRPr="00E15943">
        <w:rPr>
          <w:rFonts w:ascii="Arial" w:eastAsia="Calibri" w:hAnsi="Arial" w:cs="Arial"/>
          <w:bCs/>
          <w:color w:val="000000" w:themeColor="text1"/>
          <w:sz w:val="21"/>
          <w:szCs w:val="21"/>
          <w:lang w:val="es-ES_tradnl"/>
        </w:rPr>
        <w:t>»De</w:t>
      </w:r>
      <w:proofErr w:type="gramEnd"/>
      <w:r w:rsidRPr="00E15943">
        <w:rPr>
          <w:rFonts w:ascii="Arial" w:eastAsia="Calibri" w:hAnsi="Arial" w:cs="Arial"/>
          <w:bCs/>
          <w:color w:val="000000" w:themeColor="text1"/>
          <w:sz w:val="21"/>
          <w:szCs w:val="21"/>
          <w:lang w:val="es-ES_tradnl"/>
        </w:rPr>
        <w:t xml:space="preserve"> acuerdo a lo anterior yo quisiera claridad en la diferencia entre estas experiencias generales a aparte de que obviamente en la experiencia general para el ítem 6.3 se pueden contratos cuyo objeto sea adecuación o ampliación o reconstrucción.</w:t>
      </w:r>
    </w:p>
    <w:p w14:paraId="2157ABA5" w14:textId="281E5A53" w:rsidR="00E15943" w:rsidRPr="00E15943" w:rsidRDefault="00E15943" w:rsidP="00E15943">
      <w:pPr>
        <w:tabs>
          <w:tab w:val="left" w:pos="426"/>
        </w:tabs>
        <w:spacing w:after="120"/>
        <w:ind w:left="709" w:right="709"/>
        <w:jc w:val="both"/>
        <w:rPr>
          <w:rFonts w:ascii="Arial" w:eastAsia="Calibri" w:hAnsi="Arial" w:cs="Arial"/>
          <w:bCs/>
          <w:color w:val="000000" w:themeColor="text1"/>
          <w:sz w:val="21"/>
          <w:szCs w:val="21"/>
          <w:lang w:val="es-ES_tradnl"/>
        </w:rPr>
      </w:pPr>
      <w:proofErr w:type="gramStart"/>
      <w:r w:rsidRPr="00E15943">
        <w:rPr>
          <w:rFonts w:ascii="Arial" w:eastAsia="Calibri" w:hAnsi="Arial" w:cs="Arial"/>
          <w:bCs/>
          <w:color w:val="000000" w:themeColor="text1"/>
          <w:sz w:val="21"/>
          <w:szCs w:val="21"/>
          <w:lang w:val="es-ES_tradnl"/>
        </w:rPr>
        <w:t>»¿</w:t>
      </w:r>
      <w:proofErr w:type="gramEnd"/>
      <w:r w:rsidRPr="00E15943">
        <w:rPr>
          <w:rFonts w:ascii="Arial" w:eastAsia="Calibri" w:hAnsi="Arial" w:cs="Arial"/>
          <w:bCs/>
          <w:color w:val="000000" w:themeColor="text1"/>
          <w:sz w:val="21"/>
          <w:szCs w:val="21"/>
          <w:lang w:val="es-ES_tradnl"/>
        </w:rPr>
        <w:t>Se podría acreditar la experiencia general tanto de los ítem 1.3 como del ítem 6.3 con un contrato cuyo objeto sea la construcción de pavimento rígido de vías urbanas?</w:t>
      </w:r>
    </w:p>
    <w:p w14:paraId="3B6090FD" w14:textId="494F9624" w:rsidR="00E15943" w:rsidRDefault="00E15943" w:rsidP="00F02B6E">
      <w:pPr>
        <w:tabs>
          <w:tab w:val="left" w:pos="426"/>
        </w:tabs>
        <w:ind w:left="709" w:right="709"/>
        <w:jc w:val="both"/>
        <w:rPr>
          <w:rFonts w:ascii="Arial" w:eastAsia="Calibri" w:hAnsi="Arial" w:cs="Arial"/>
          <w:bCs/>
          <w:color w:val="000000" w:themeColor="text1"/>
          <w:sz w:val="21"/>
          <w:szCs w:val="21"/>
          <w:lang w:val="es-ES_tradnl"/>
        </w:rPr>
      </w:pPr>
      <w:proofErr w:type="gramStart"/>
      <w:r w:rsidRPr="00E15943">
        <w:rPr>
          <w:rFonts w:ascii="Arial" w:eastAsia="Calibri" w:hAnsi="Arial" w:cs="Arial"/>
          <w:bCs/>
          <w:color w:val="000000" w:themeColor="text1"/>
          <w:sz w:val="21"/>
          <w:szCs w:val="21"/>
          <w:lang w:val="es-ES_tradnl"/>
        </w:rPr>
        <w:lastRenderedPageBreak/>
        <w:t>»¿</w:t>
      </w:r>
      <w:proofErr w:type="gramEnd"/>
      <w:r w:rsidRPr="00E15943">
        <w:rPr>
          <w:rFonts w:ascii="Arial" w:eastAsia="Calibri" w:hAnsi="Arial" w:cs="Arial"/>
          <w:bCs/>
          <w:color w:val="000000" w:themeColor="text1"/>
          <w:sz w:val="21"/>
          <w:szCs w:val="21"/>
          <w:lang w:val="es-ES_tradnl"/>
        </w:rPr>
        <w:t>Cuándo en el en la experiencia espec</w:t>
      </w:r>
      <w:r w:rsidR="00F02B6E">
        <w:rPr>
          <w:rFonts w:ascii="Arial" w:eastAsia="Calibri" w:hAnsi="Arial" w:cs="Arial"/>
          <w:bCs/>
          <w:color w:val="000000" w:themeColor="text1"/>
          <w:sz w:val="21"/>
          <w:szCs w:val="21"/>
          <w:lang w:val="es-ES_tradnl"/>
        </w:rPr>
        <w:t>í</w:t>
      </w:r>
      <w:r w:rsidRPr="00E15943">
        <w:rPr>
          <w:rFonts w:ascii="Arial" w:eastAsia="Calibri" w:hAnsi="Arial" w:cs="Arial"/>
          <w:bCs/>
          <w:color w:val="000000" w:themeColor="text1"/>
          <w:sz w:val="21"/>
          <w:szCs w:val="21"/>
          <w:lang w:val="es-ES_tradnl"/>
        </w:rPr>
        <w:t xml:space="preserve">fica del numeral 6.3 dicen infraestructura vial para tráfico vehicular es porque debe estar contenido explícitamente en el objeto del contrato o a que se hace </w:t>
      </w:r>
      <w:proofErr w:type="spellStart"/>
      <w:r w:rsidRPr="00E15943">
        <w:rPr>
          <w:rFonts w:ascii="Arial" w:eastAsia="Calibri" w:hAnsi="Arial" w:cs="Arial"/>
          <w:bCs/>
          <w:color w:val="000000" w:themeColor="text1"/>
          <w:sz w:val="21"/>
          <w:szCs w:val="21"/>
          <w:lang w:val="es-ES_tradnl"/>
        </w:rPr>
        <w:t>refencia</w:t>
      </w:r>
      <w:proofErr w:type="spellEnd"/>
      <w:r w:rsidRPr="00E15943">
        <w:rPr>
          <w:rFonts w:ascii="Arial" w:eastAsia="Calibri" w:hAnsi="Arial" w:cs="Arial"/>
          <w:bCs/>
          <w:color w:val="000000" w:themeColor="text1"/>
          <w:sz w:val="21"/>
          <w:szCs w:val="21"/>
          <w:lang w:val="es-ES_tradnl"/>
        </w:rPr>
        <w:t xml:space="preserve"> (sic)?</w:t>
      </w:r>
      <w:r w:rsidR="007531EF">
        <w:rPr>
          <w:rFonts w:ascii="Arial" w:eastAsia="Calibri" w:hAnsi="Arial" w:cs="Arial"/>
          <w:bCs/>
          <w:color w:val="000000" w:themeColor="text1"/>
          <w:sz w:val="21"/>
          <w:szCs w:val="21"/>
          <w:lang w:val="es-ES_tradnl"/>
        </w:rPr>
        <w:t>».</w:t>
      </w:r>
    </w:p>
    <w:p w14:paraId="01AB0CF7" w14:textId="1FF28021" w:rsidR="00E15943" w:rsidRDefault="00E15943" w:rsidP="00F02B6E">
      <w:pPr>
        <w:tabs>
          <w:tab w:val="left" w:pos="426"/>
        </w:tabs>
        <w:ind w:right="709"/>
        <w:jc w:val="both"/>
        <w:rPr>
          <w:rFonts w:ascii="Arial" w:eastAsia="Calibri" w:hAnsi="Arial" w:cs="Arial"/>
          <w:bCs/>
          <w:color w:val="000000" w:themeColor="text1"/>
          <w:sz w:val="21"/>
          <w:szCs w:val="21"/>
          <w:lang w:val="es-ES_tradnl"/>
        </w:rPr>
      </w:pPr>
    </w:p>
    <w:p w14:paraId="31CB9FC7" w14:textId="7BC9A29F" w:rsidR="00F02B6E" w:rsidRPr="00F02B6E" w:rsidRDefault="00F02B6E" w:rsidP="00F02B6E">
      <w:pPr>
        <w:tabs>
          <w:tab w:val="left" w:pos="709"/>
          <w:tab w:val="left" w:pos="851"/>
        </w:tabs>
        <w:spacing w:after="120" w:line="276" w:lineRule="auto"/>
        <w:jc w:val="both"/>
        <w:rPr>
          <w:rFonts w:ascii="Arial" w:hAnsi="Arial" w:cs="Arial"/>
          <w:sz w:val="22"/>
          <w:szCs w:val="20"/>
        </w:rPr>
      </w:pPr>
      <w:r>
        <w:rPr>
          <w:rFonts w:ascii="Arial" w:hAnsi="Arial" w:cs="Arial"/>
          <w:sz w:val="22"/>
          <w:szCs w:val="20"/>
        </w:rPr>
        <w:t>L</w:t>
      </w:r>
      <w:r w:rsidRPr="00F02B6E">
        <w:rPr>
          <w:rFonts w:ascii="Arial" w:hAnsi="Arial" w:cs="Arial"/>
          <w:sz w:val="22"/>
          <w:szCs w:val="20"/>
        </w:rPr>
        <w:t xml:space="preserve">a diferencia entre las actividades a contratar 1.3 y 6.3 radica en el tipo de infraestructura de transporte </w:t>
      </w:r>
      <w:r>
        <w:rPr>
          <w:rFonts w:ascii="Arial" w:hAnsi="Arial" w:cs="Arial"/>
          <w:sz w:val="22"/>
          <w:szCs w:val="20"/>
        </w:rPr>
        <w:t>frente a las que</w:t>
      </w:r>
      <w:r w:rsidRPr="00F02B6E">
        <w:rPr>
          <w:rFonts w:ascii="Arial" w:hAnsi="Arial" w:cs="Arial"/>
          <w:sz w:val="22"/>
          <w:szCs w:val="20"/>
        </w:rPr>
        <w:t xml:space="preserve"> aplica cada una de estas actividades</w:t>
      </w:r>
      <w:r>
        <w:rPr>
          <w:rFonts w:ascii="Arial" w:hAnsi="Arial" w:cs="Arial"/>
          <w:sz w:val="22"/>
          <w:szCs w:val="20"/>
        </w:rPr>
        <w:t>.</w:t>
      </w:r>
      <w:r w:rsidRPr="00F02B6E">
        <w:rPr>
          <w:rFonts w:ascii="Arial" w:hAnsi="Arial" w:cs="Arial"/>
          <w:sz w:val="22"/>
          <w:szCs w:val="20"/>
        </w:rPr>
        <w:t xml:space="preserve"> </w:t>
      </w:r>
      <w:r>
        <w:rPr>
          <w:rFonts w:ascii="Arial" w:hAnsi="Arial" w:cs="Arial"/>
          <w:sz w:val="22"/>
          <w:szCs w:val="20"/>
        </w:rPr>
        <w:t>E</w:t>
      </w:r>
      <w:r w:rsidRPr="00F02B6E">
        <w:rPr>
          <w:rFonts w:ascii="Arial" w:hAnsi="Arial" w:cs="Arial"/>
          <w:sz w:val="22"/>
          <w:szCs w:val="20"/>
        </w:rPr>
        <w:t>n el primer caso</w:t>
      </w:r>
      <w:r>
        <w:rPr>
          <w:rFonts w:ascii="Arial" w:hAnsi="Arial" w:cs="Arial"/>
          <w:sz w:val="22"/>
          <w:szCs w:val="20"/>
        </w:rPr>
        <w:t>,</w:t>
      </w:r>
      <w:r w:rsidRPr="00F02B6E">
        <w:rPr>
          <w:rFonts w:ascii="Arial" w:hAnsi="Arial" w:cs="Arial"/>
          <w:sz w:val="22"/>
          <w:szCs w:val="20"/>
        </w:rPr>
        <w:t xml:space="preserve"> la actividad 1.3 es procedente para procesos de rehabilitación o mantenimiento de vías primarias o secundarias</w:t>
      </w:r>
      <w:r>
        <w:rPr>
          <w:rFonts w:ascii="Arial" w:hAnsi="Arial" w:cs="Arial"/>
          <w:sz w:val="22"/>
          <w:szCs w:val="20"/>
        </w:rPr>
        <w:t>, mientras que, en el segundo caso, esto es,</w:t>
      </w:r>
      <w:r w:rsidRPr="00F02B6E">
        <w:rPr>
          <w:rFonts w:ascii="Arial" w:hAnsi="Arial" w:cs="Arial"/>
          <w:sz w:val="22"/>
          <w:szCs w:val="20"/>
        </w:rPr>
        <w:t xml:space="preserve"> la actividad 6.3 </w:t>
      </w:r>
      <w:r>
        <w:rPr>
          <w:rFonts w:ascii="Arial" w:hAnsi="Arial" w:cs="Arial"/>
          <w:sz w:val="22"/>
          <w:szCs w:val="20"/>
        </w:rPr>
        <w:t>aplica frente a</w:t>
      </w:r>
      <w:r w:rsidRPr="00F02B6E">
        <w:rPr>
          <w:rFonts w:ascii="Arial" w:hAnsi="Arial" w:cs="Arial"/>
          <w:sz w:val="22"/>
          <w:szCs w:val="20"/>
        </w:rPr>
        <w:t xml:space="preserve"> procesos de contratación cuyo objeto sea el mantenimiento de vías urbanas. </w:t>
      </w:r>
    </w:p>
    <w:p w14:paraId="59B9E6EC" w14:textId="1E4D5332" w:rsidR="00F02B6E" w:rsidRPr="00F02B6E" w:rsidRDefault="00F02B6E" w:rsidP="00F02B6E">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Pr="00F02B6E">
        <w:rPr>
          <w:rFonts w:ascii="Arial" w:hAnsi="Arial" w:cs="Arial"/>
          <w:sz w:val="22"/>
          <w:szCs w:val="20"/>
        </w:rPr>
        <w:t xml:space="preserve">En ese sentido, a pesar </w:t>
      </w:r>
      <w:r>
        <w:rPr>
          <w:rFonts w:ascii="Arial" w:hAnsi="Arial" w:cs="Arial"/>
          <w:sz w:val="22"/>
          <w:szCs w:val="20"/>
        </w:rPr>
        <w:t xml:space="preserve">de </w:t>
      </w:r>
      <w:r w:rsidRPr="00F02B6E">
        <w:rPr>
          <w:rFonts w:ascii="Arial" w:hAnsi="Arial" w:cs="Arial"/>
          <w:sz w:val="22"/>
          <w:szCs w:val="20"/>
        </w:rPr>
        <w:t>que las condiciones de experiencia general sean similares en más de una de sus actividades técnicas aceptables como experiencia, se diferencia</w:t>
      </w:r>
      <w:r>
        <w:rPr>
          <w:rFonts w:ascii="Arial" w:hAnsi="Arial" w:cs="Arial"/>
          <w:sz w:val="22"/>
          <w:szCs w:val="20"/>
        </w:rPr>
        <w:t>n primordialmente</w:t>
      </w:r>
      <w:r w:rsidRPr="00F02B6E">
        <w:rPr>
          <w:rFonts w:ascii="Arial" w:hAnsi="Arial" w:cs="Arial"/>
          <w:sz w:val="22"/>
          <w:szCs w:val="20"/>
        </w:rPr>
        <w:t xml:space="preserve"> por el tipo de infraestructura </w:t>
      </w:r>
      <w:r>
        <w:rPr>
          <w:rFonts w:ascii="Arial" w:hAnsi="Arial" w:cs="Arial"/>
          <w:sz w:val="22"/>
          <w:szCs w:val="20"/>
        </w:rPr>
        <w:t>frente a las que aplican</w:t>
      </w:r>
      <w:r w:rsidRPr="00F02B6E">
        <w:rPr>
          <w:rFonts w:ascii="Arial" w:hAnsi="Arial" w:cs="Arial"/>
          <w:sz w:val="22"/>
          <w:szCs w:val="20"/>
        </w:rPr>
        <w:t>, es decir, si son para vías primarias o secundarias, o para una infraestructura vial urbana</w:t>
      </w:r>
      <w:r>
        <w:rPr>
          <w:rFonts w:ascii="Arial" w:hAnsi="Arial" w:cs="Arial"/>
          <w:sz w:val="22"/>
          <w:szCs w:val="20"/>
        </w:rPr>
        <w:t xml:space="preserve">. En este sentido, </w:t>
      </w:r>
      <w:r w:rsidRPr="00F02B6E">
        <w:rPr>
          <w:rFonts w:ascii="Arial" w:hAnsi="Arial" w:cs="Arial"/>
          <w:sz w:val="22"/>
          <w:szCs w:val="20"/>
        </w:rPr>
        <w:t>la actividad a contratar</w:t>
      </w:r>
      <w:r>
        <w:rPr>
          <w:rFonts w:ascii="Arial" w:hAnsi="Arial" w:cs="Arial"/>
          <w:sz w:val="22"/>
          <w:szCs w:val="20"/>
        </w:rPr>
        <w:t xml:space="preserve"> del numeral </w:t>
      </w:r>
      <w:r w:rsidRPr="00F02B6E">
        <w:rPr>
          <w:rFonts w:ascii="Arial" w:hAnsi="Arial" w:cs="Arial"/>
          <w:sz w:val="22"/>
          <w:szCs w:val="20"/>
        </w:rPr>
        <w:t>1.3 corresponde a rehabilitación o mantenimiento de vías primarias o secundarias, y</w:t>
      </w:r>
      <w:r>
        <w:rPr>
          <w:rFonts w:ascii="Arial" w:hAnsi="Arial" w:cs="Arial"/>
          <w:sz w:val="22"/>
          <w:szCs w:val="20"/>
        </w:rPr>
        <w:t xml:space="preserve"> el numeral </w:t>
      </w:r>
      <w:r w:rsidRPr="00F02B6E">
        <w:rPr>
          <w:rFonts w:ascii="Arial" w:hAnsi="Arial" w:cs="Arial"/>
          <w:sz w:val="22"/>
          <w:szCs w:val="20"/>
        </w:rPr>
        <w:t xml:space="preserve">6.3 </w:t>
      </w:r>
      <w:r>
        <w:rPr>
          <w:rFonts w:ascii="Arial" w:hAnsi="Arial" w:cs="Arial"/>
          <w:sz w:val="22"/>
          <w:szCs w:val="20"/>
        </w:rPr>
        <w:t xml:space="preserve">para </w:t>
      </w:r>
      <w:r w:rsidRPr="00F02B6E">
        <w:rPr>
          <w:rFonts w:ascii="Arial" w:hAnsi="Arial" w:cs="Arial"/>
          <w:sz w:val="22"/>
          <w:szCs w:val="20"/>
        </w:rPr>
        <w:t>labores de mantenimiento de vías urbanas. Por tal razón, la principal diferencia radica en el tipo de infraestructura a la cual serán realizadas las actividades, así como el alcance de estas</w:t>
      </w:r>
      <w:r>
        <w:rPr>
          <w:rFonts w:ascii="Arial" w:hAnsi="Arial" w:cs="Arial"/>
          <w:sz w:val="22"/>
          <w:szCs w:val="20"/>
        </w:rPr>
        <w:t>, pese a que frente a ambas se requiera una experiencia similar.</w:t>
      </w:r>
      <w:r w:rsidRPr="00F02B6E">
        <w:rPr>
          <w:rFonts w:ascii="Arial" w:hAnsi="Arial" w:cs="Arial"/>
          <w:sz w:val="22"/>
          <w:szCs w:val="20"/>
        </w:rPr>
        <w:t xml:space="preserve"> </w:t>
      </w:r>
    </w:p>
    <w:p w14:paraId="7429354E" w14:textId="5E17ABD8" w:rsidR="00F02B6E" w:rsidRPr="00F02B6E" w:rsidRDefault="00F02B6E" w:rsidP="00F02B6E">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Pr="00F02B6E">
        <w:rPr>
          <w:rFonts w:ascii="Arial" w:hAnsi="Arial" w:cs="Arial"/>
          <w:sz w:val="22"/>
          <w:szCs w:val="20"/>
        </w:rPr>
        <w:t>Dicho lo anterior, como respuesta a la segunda pregunta, no es posible acreditar experiencias combinadas de las actividades 1.3 y 6.3, toda vez que se encuentran concebidas para tipos de infraestructuras diferentes, las cuales son vías primarias o secundarias y</w:t>
      </w:r>
      <w:r>
        <w:rPr>
          <w:rFonts w:ascii="Arial" w:hAnsi="Arial" w:cs="Arial"/>
          <w:sz w:val="22"/>
          <w:szCs w:val="20"/>
        </w:rPr>
        <w:t>,</w:t>
      </w:r>
      <w:r w:rsidRPr="00F02B6E">
        <w:rPr>
          <w:rFonts w:ascii="Arial" w:hAnsi="Arial" w:cs="Arial"/>
          <w:sz w:val="22"/>
          <w:szCs w:val="20"/>
        </w:rPr>
        <w:t xml:space="preserve"> por otro lado, vías en zonas urbanas. Sin embargo, en cuanto a la acreditación de contratos ejecutados que hayan correspondido a la construcción e</w:t>
      </w:r>
      <w:r>
        <w:rPr>
          <w:rFonts w:ascii="Arial" w:hAnsi="Arial" w:cs="Arial"/>
          <w:sz w:val="22"/>
          <w:szCs w:val="20"/>
        </w:rPr>
        <w:t>n</w:t>
      </w:r>
      <w:r w:rsidRPr="00F02B6E">
        <w:rPr>
          <w:rFonts w:ascii="Arial" w:hAnsi="Arial" w:cs="Arial"/>
          <w:sz w:val="22"/>
          <w:szCs w:val="20"/>
        </w:rPr>
        <w:t xml:space="preserve"> pavimento rígido, o en concreto hidráulico, </w:t>
      </w:r>
      <w:r>
        <w:rPr>
          <w:rFonts w:ascii="Arial" w:hAnsi="Arial" w:cs="Arial"/>
          <w:sz w:val="22"/>
          <w:szCs w:val="20"/>
        </w:rPr>
        <w:t>son válidos</w:t>
      </w:r>
      <w:r w:rsidRPr="00F02B6E">
        <w:rPr>
          <w:rFonts w:ascii="Arial" w:hAnsi="Arial" w:cs="Arial"/>
          <w:sz w:val="22"/>
          <w:szCs w:val="20"/>
        </w:rPr>
        <w:t xml:space="preserve"> tanto para la actividad 1.3 como para la 6.3, de acuerdo con las condiciones establecidas para tal fin en la matriz 1 – experiencia. </w:t>
      </w:r>
    </w:p>
    <w:p w14:paraId="49A0C246" w14:textId="4D285DC0" w:rsidR="00F02B6E" w:rsidRPr="00F02B6E" w:rsidRDefault="00F02B6E" w:rsidP="00F02B6E">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Pr="00F02B6E">
        <w:rPr>
          <w:rFonts w:ascii="Arial" w:hAnsi="Arial" w:cs="Arial"/>
          <w:sz w:val="22"/>
          <w:szCs w:val="20"/>
        </w:rPr>
        <w:t>Respecto a la última pregunta, se solicita para la actividad 6.3 que hayan sido intervenidas vías para tráfico vehicular, por tal motivo, es importante precisar que en los centros urbanos se cuentan con vías cuya destinación no es el tránsito de vehículos automotores, sino</w:t>
      </w:r>
      <w:r w:rsidR="003906F4">
        <w:rPr>
          <w:rFonts w:ascii="Arial" w:hAnsi="Arial" w:cs="Arial"/>
          <w:sz w:val="22"/>
          <w:szCs w:val="20"/>
        </w:rPr>
        <w:t xml:space="preserve"> que</w:t>
      </w:r>
      <w:r w:rsidRPr="00F02B6E">
        <w:rPr>
          <w:rFonts w:ascii="Arial" w:hAnsi="Arial" w:cs="Arial"/>
          <w:sz w:val="22"/>
          <w:szCs w:val="20"/>
        </w:rPr>
        <w:t xml:space="preserve"> pueden ser peatonales, como ocurre en diferentes zonas de los centros urbanos producto de sus condiciones geométricas o asociados a aspectos topográficos o situaciones de desarrollos urbanísticos sin una planeación adecuada, como son los casos de urbanizaciones no legalizadas. Por tal motivo, se requiere que la experiencia </w:t>
      </w:r>
      <w:r w:rsidR="003906F4">
        <w:rPr>
          <w:rFonts w:ascii="Arial" w:hAnsi="Arial" w:cs="Arial"/>
          <w:sz w:val="22"/>
          <w:szCs w:val="20"/>
        </w:rPr>
        <w:t>esté</w:t>
      </w:r>
      <w:r w:rsidRPr="00F02B6E">
        <w:rPr>
          <w:rFonts w:ascii="Arial" w:hAnsi="Arial" w:cs="Arial"/>
          <w:sz w:val="22"/>
          <w:szCs w:val="20"/>
        </w:rPr>
        <w:t xml:space="preserve"> enfocada </w:t>
      </w:r>
      <w:r w:rsidR="003906F4">
        <w:rPr>
          <w:rFonts w:ascii="Arial" w:hAnsi="Arial" w:cs="Arial"/>
          <w:sz w:val="22"/>
          <w:szCs w:val="20"/>
        </w:rPr>
        <w:t>en</w:t>
      </w:r>
      <w:r w:rsidRPr="00F02B6E">
        <w:rPr>
          <w:rFonts w:ascii="Arial" w:hAnsi="Arial" w:cs="Arial"/>
          <w:sz w:val="22"/>
          <w:szCs w:val="20"/>
        </w:rPr>
        <w:t xml:space="preserve"> infraestructura de transporte para tráfico vehicular, lo cual se puede acreditar a través de los documentos soporte o que se pueda identificar en el objeto contractual </w:t>
      </w:r>
      <w:r w:rsidR="003906F4">
        <w:rPr>
          <w:rFonts w:ascii="Arial" w:hAnsi="Arial" w:cs="Arial"/>
          <w:sz w:val="22"/>
          <w:szCs w:val="20"/>
        </w:rPr>
        <w:t>que</w:t>
      </w:r>
      <w:r w:rsidRPr="00F02B6E">
        <w:rPr>
          <w:rFonts w:ascii="Arial" w:hAnsi="Arial" w:cs="Arial"/>
          <w:sz w:val="22"/>
          <w:szCs w:val="20"/>
        </w:rPr>
        <w:t xml:space="preserve"> la experiencia que se pretende acreditar </w:t>
      </w:r>
      <w:r w:rsidR="003906F4">
        <w:rPr>
          <w:rFonts w:ascii="Arial" w:hAnsi="Arial" w:cs="Arial"/>
          <w:sz w:val="22"/>
          <w:szCs w:val="20"/>
        </w:rPr>
        <w:t>sea válida para el proceso de selección</w:t>
      </w:r>
      <w:r w:rsidRPr="00F02B6E">
        <w:rPr>
          <w:rFonts w:ascii="Arial" w:hAnsi="Arial" w:cs="Arial"/>
          <w:sz w:val="22"/>
          <w:szCs w:val="20"/>
        </w:rPr>
        <w:t xml:space="preserve">. </w:t>
      </w:r>
    </w:p>
    <w:p w14:paraId="352A45FC" w14:textId="20A17840" w:rsidR="00F02B6E" w:rsidRPr="00F02B6E" w:rsidRDefault="00F02B6E" w:rsidP="00F02B6E">
      <w:pPr>
        <w:tabs>
          <w:tab w:val="left" w:pos="709"/>
          <w:tab w:val="left" w:pos="851"/>
        </w:tabs>
        <w:spacing w:line="276" w:lineRule="auto"/>
        <w:jc w:val="both"/>
        <w:rPr>
          <w:rFonts w:ascii="Arial" w:hAnsi="Arial" w:cs="Arial"/>
          <w:sz w:val="22"/>
          <w:szCs w:val="20"/>
        </w:rPr>
      </w:pPr>
      <w:r>
        <w:rPr>
          <w:rFonts w:ascii="Arial" w:hAnsi="Arial" w:cs="Arial"/>
          <w:sz w:val="22"/>
          <w:szCs w:val="20"/>
        </w:rPr>
        <w:tab/>
      </w:r>
      <w:r w:rsidR="005D5AD0">
        <w:rPr>
          <w:rFonts w:ascii="Arial" w:hAnsi="Arial" w:cs="Arial"/>
          <w:sz w:val="22"/>
          <w:szCs w:val="20"/>
        </w:rPr>
        <w:t>En relación con</w:t>
      </w:r>
      <w:r w:rsidRPr="00F02B6E">
        <w:rPr>
          <w:rFonts w:ascii="Arial" w:hAnsi="Arial" w:cs="Arial"/>
          <w:sz w:val="22"/>
          <w:szCs w:val="20"/>
        </w:rPr>
        <w:t xml:space="preserve"> este aspecto, es importante resaltar las definiciones que se encuentran consignadas en el Anexo 3 – Glosario de los documentos tipo con la finalidad de dar mayor claridad sobre </w:t>
      </w:r>
      <w:r w:rsidR="003906F4">
        <w:rPr>
          <w:rFonts w:ascii="Arial" w:hAnsi="Arial" w:cs="Arial"/>
          <w:sz w:val="22"/>
          <w:szCs w:val="20"/>
        </w:rPr>
        <w:t>los conceptos técnicos</w:t>
      </w:r>
      <w:r w:rsidRPr="00F02B6E">
        <w:rPr>
          <w:rFonts w:ascii="Arial" w:hAnsi="Arial" w:cs="Arial"/>
          <w:sz w:val="22"/>
          <w:szCs w:val="20"/>
        </w:rPr>
        <w:t>.</w:t>
      </w:r>
    </w:p>
    <w:p w14:paraId="48CBF3FF" w14:textId="77777777" w:rsidR="00A71876" w:rsidRDefault="00A71876" w:rsidP="00E15943">
      <w:pPr>
        <w:tabs>
          <w:tab w:val="left" w:pos="426"/>
        </w:tabs>
        <w:spacing w:after="120"/>
        <w:ind w:left="709" w:right="709"/>
        <w:jc w:val="both"/>
        <w:rPr>
          <w:rFonts w:ascii="Arial" w:eastAsia="Calibri" w:hAnsi="Arial" w:cs="Arial"/>
          <w:bCs/>
          <w:color w:val="000000" w:themeColor="text1"/>
          <w:sz w:val="21"/>
          <w:szCs w:val="21"/>
          <w:lang w:val="es-ES_tradnl"/>
        </w:rPr>
      </w:pPr>
    </w:p>
    <w:p w14:paraId="02A70EA8" w14:textId="30BFCA98" w:rsidR="00E15943" w:rsidRPr="00E15943" w:rsidRDefault="007531EF" w:rsidP="00E15943">
      <w:pPr>
        <w:tabs>
          <w:tab w:val="left" w:pos="426"/>
        </w:tabs>
        <w:spacing w:after="120"/>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w:t>
      </w:r>
      <w:r w:rsidR="00E15943" w:rsidRPr="00E15943">
        <w:rPr>
          <w:rFonts w:ascii="Arial" w:eastAsia="Calibri" w:hAnsi="Arial" w:cs="Arial"/>
          <w:bCs/>
          <w:color w:val="000000" w:themeColor="text1"/>
          <w:sz w:val="21"/>
          <w:szCs w:val="21"/>
          <w:lang w:val="es-ES_tradnl"/>
        </w:rPr>
        <w:t xml:space="preserve">PREGUNTA 3: Según la matriz 1 a veces se tiene que acreditar experiencia especifica: Por lo menos uno (1) de los contratos válidos aportados como experiencia general debe contar con una longitud Intervenida correspondiente a por lo menos el 50% o el 70% de la longitud de carretera a intervenir mediante el presente proceso de contratación. </w:t>
      </w:r>
      <w:proofErr w:type="gramStart"/>
      <w:r w:rsidR="00E15943" w:rsidRPr="00E15943">
        <w:rPr>
          <w:rFonts w:ascii="Arial" w:eastAsia="Calibri" w:hAnsi="Arial" w:cs="Arial"/>
          <w:bCs/>
          <w:color w:val="000000" w:themeColor="text1"/>
          <w:sz w:val="21"/>
          <w:szCs w:val="21"/>
          <w:lang w:val="es-ES_tradnl"/>
        </w:rPr>
        <w:t>La longitud de carretera a intervenir que se hace referencia en la matriz 1 a que hace referencia?</w:t>
      </w:r>
      <w:proofErr w:type="gramEnd"/>
      <w:r w:rsidR="00E15943" w:rsidRPr="00E15943">
        <w:rPr>
          <w:rFonts w:ascii="Arial" w:eastAsia="Calibri" w:hAnsi="Arial" w:cs="Arial"/>
          <w:bCs/>
          <w:color w:val="000000" w:themeColor="text1"/>
          <w:sz w:val="21"/>
          <w:szCs w:val="21"/>
          <w:lang w:val="es-ES_tradnl"/>
        </w:rPr>
        <w:t xml:space="preserve"> </w:t>
      </w:r>
    </w:p>
    <w:p w14:paraId="5DEA0737" w14:textId="5519485F" w:rsidR="00E15943" w:rsidRPr="00E15943" w:rsidRDefault="00E15943" w:rsidP="00E15943">
      <w:pPr>
        <w:tabs>
          <w:tab w:val="left" w:pos="426"/>
        </w:tabs>
        <w:spacing w:after="120"/>
        <w:ind w:left="709" w:right="709"/>
        <w:jc w:val="both"/>
        <w:rPr>
          <w:rFonts w:ascii="Arial" w:eastAsia="Calibri" w:hAnsi="Arial" w:cs="Arial"/>
          <w:bCs/>
          <w:color w:val="000000" w:themeColor="text1"/>
          <w:sz w:val="21"/>
          <w:szCs w:val="21"/>
          <w:lang w:val="es-ES_tradnl"/>
        </w:rPr>
      </w:pPr>
      <w:proofErr w:type="gramStart"/>
      <w:r w:rsidRPr="00E15943">
        <w:rPr>
          <w:rFonts w:ascii="Arial" w:eastAsia="Calibri" w:hAnsi="Arial" w:cs="Arial"/>
          <w:bCs/>
          <w:color w:val="000000" w:themeColor="text1"/>
          <w:sz w:val="21"/>
          <w:szCs w:val="21"/>
          <w:lang w:val="es-ES_tradnl"/>
        </w:rPr>
        <w:t>»Lo</w:t>
      </w:r>
      <w:proofErr w:type="gramEnd"/>
      <w:r w:rsidRPr="00E15943">
        <w:rPr>
          <w:rFonts w:ascii="Arial" w:eastAsia="Calibri" w:hAnsi="Arial" w:cs="Arial"/>
          <w:bCs/>
          <w:color w:val="000000" w:themeColor="text1"/>
          <w:sz w:val="21"/>
          <w:szCs w:val="21"/>
          <w:lang w:val="es-ES_tradnl"/>
        </w:rPr>
        <w:t xml:space="preserve"> anterior debido a que en muchos procesos para la longitud a intervenir las entidades tienen en cuenta las actividades de caracterización o inventario vial, dichas actividades en la mayoría de los casos las entidades las colocan muy superior al tramo que en realidad se va a mejorar o construir. Las entidades suelen responder que “la caracterización o inventario de la red vial es una actividad que hace parte del alcance del presente proceso de contratación y que técnicamente permite identificar las necesidades requeridas, no solo para mejorar las condiciones de </w:t>
      </w:r>
      <w:proofErr w:type="spellStart"/>
      <w:r w:rsidRPr="00E15943">
        <w:rPr>
          <w:rFonts w:ascii="Arial" w:eastAsia="Calibri" w:hAnsi="Arial" w:cs="Arial"/>
          <w:bCs/>
          <w:color w:val="000000" w:themeColor="text1"/>
          <w:sz w:val="21"/>
          <w:szCs w:val="21"/>
          <w:lang w:val="es-ES_tradnl"/>
        </w:rPr>
        <w:t>transitabilidad</w:t>
      </w:r>
      <w:proofErr w:type="spellEnd"/>
      <w:r w:rsidRPr="00E15943">
        <w:rPr>
          <w:rFonts w:ascii="Arial" w:eastAsia="Calibri" w:hAnsi="Arial" w:cs="Arial"/>
          <w:bCs/>
          <w:color w:val="000000" w:themeColor="text1"/>
          <w:sz w:val="21"/>
          <w:szCs w:val="21"/>
          <w:lang w:val="es-ES_tradnl"/>
        </w:rPr>
        <w:t xml:space="preserve"> de la vía en general, sino de igual manera localizar nuevos puntos de intervención que a futuro serán objeto de mantenimiento en este corredor vial”. </w:t>
      </w:r>
    </w:p>
    <w:p w14:paraId="7623AE0F" w14:textId="562D69BE" w:rsidR="00E15943" w:rsidRDefault="00E15943" w:rsidP="00F95FAA">
      <w:pPr>
        <w:tabs>
          <w:tab w:val="left" w:pos="426"/>
        </w:tabs>
        <w:ind w:left="709" w:right="709"/>
        <w:jc w:val="both"/>
        <w:rPr>
          <w:rFonts w:ascii="Arial" w:eastAsia="Calibri" w:hAnsi="Arial" w:cs="Arial"/>
          <w:bCs/>
          <w:color w:val="000000" w:themeColor="text1"/>
          <w:sz w:val="21"/>
          <w:szCs w:val="21"/>
          <w:lang w:val="es-ES_tradnl"/>
        </w:rPr>
      </w:pPr>
      <w:proofErr w:type="gramStart"/>
      <w:r w:rsidRPr="00E15943">
        <w:rPr>
          <w:rFonts w:ascii="Arial" w:eastAsia="Calibri" w:hAnsi="Arial" w:cs="Arial"/>
          <w:bCs/>
          <w:color w:val="000000" w:themeColor="text1"/>
          <w:sz w:val="21"/>
          <w:szCs w:val="21"/>
          <w:lang w:val="es-ES_tradnl"/>
        </w:rPr>
        <w:t>»Esta</w:t>
      </w:r>
      <w:proofErr w:type="gramEnd"/>
      <w:r w:rsidRPr="00E15943">
        <w:rPr>
          <w:rFonts w:ascii="Arial" w:eastAsia="Calibri" w:hAnsi="Arial" w:cs="Arial"/>
          <w:bCs/>
          <w:color w:val="000000" w:themeColor="text1"/>
          <w:sz w:val="21"/>
          <w:szCs w:val="21"/>
          <w:lang w:val="es-ES_tradnl"/>
        </w:rPr>
        <w:t xml:space="preserve"> situación conlleva a que no haya pluralidad en la participación de oferentes debido que se vuelve muy cerrado el proceso exigiendo una experiencia especifica muy superior para la vía que se va a intervenir</w:t>
      </w:r>
      <w:r w:rsidR="007531EF">
        <w:rPr>
          <w:rFonts w:ascii="Arial" w:eastAsia="Calibri" w:hAnsi="Arial" w:cs="Arial"/>
          <w:bCs/>
          <w:color w:val="000000" w:themeColor="text1"/>
          <w:sz w:val="21"/>
          <w:szCs w:val="21"/>
          <w:lang w:val="es-ES_tradnl"/>
        </w:rPr>
        <w:t>»</w:t>
      </w:r>
      <w:r w:rsidRPr="00E15943">
        <w:rPr>
          <w:rFonts w:ascii="Arial" w:eastAsia="Calibri" w:hAnsi="Arial" w:cs="Arial"/>
          <w:bCs/>
          <w:color w:val="000000" w:themeColor="text1"/>
          <w:sz w:val="21"/>
          <w:szCs w:val="21"/>
          <w:lang w:val="es-ES_tradnl"/>
        </w:rPr>
        <w:t>.</w:t>
      </w:r>
    </w:p>
    <w:p w14:paraId="273E7BFC" w14:textId="232743D9" w:rsidR="00F95FAA" w:rsidRDefault="00F95FAA" w:rsidP="00F95FAA">
      <w:pPr>
        <w:tabs>
          <w:tab w:val="left" w:pos="426"/>
        </w:tabs>
        <w:ind w:right="709"/>
        <w:jc w:val="both"/>
        <w:rPr>
          <w:rFonts w:ascii="Arial" w:eastAsia="Calibri" w:hAnsi="Arial" w:cs="Arial"/>
          <w:bCs/>
          <w:color w:val="000000" w:themeColor="text1"/>
          <w:sz w:val="21"/>
          <w:szCs w:val="21"/>
          <w:lang w:val="es-ES_tradnl"/>
        </w:rPr>
      </w:pPr>
    </w:p>
    <w:p w14:paraId="53495AE5" w14:textId="3948CF37" w:rsidR="00F95FAA" w:rsidRDefault="00F95FAA" w:rsidP="00F95FAA">
      <w:pPr>
        <w:spacing w:after="120" w:line="276" w:lineRule="auto"/>
        <w:jc w:val="both"/>
        <w:rPr>
          <w:rFonts w:ascii="Arial" w:eastAsia="Calibri" w:hAnsi="Arial" w:cs="Arial"/>
          <w:color w:val="000000" w:themeColor="text1"/>
          <w:sz w:val="22"/>
          <w:lang w:val="es-CO"/>
        </w:rPr>
      </w:pPr>
      <w:r>
        <w:rPr>
          <w:rFonts w:ascii="Arial" w:eastAsia="Calibri" w:hAnsi="Arial" w:cs="Arial"/>
          <w:sz w:val="22"/>
          <w:lang w:val="es-CO"/>
        </w:rPr>
        <w:t xml:space="preserve">Para efectos de la experiencia de los proponentes, </w:t>
      </w:r>
      <w:r>
        <w:rPr>
          <w:rFonts w:ascii="Arial" w:eastAsia="Calibri" w:hAnsi="Arial" w:cs="Arial"/>
          <w:color w:val="000000" w:themeColor="text1"/>
          <w:sz w:val="22"/>
          <w:lang w:val="es-CO"/>
        </w:rPr>
        <w:t>la longitud de la vía equivale al total de la caracterización vial en kilómetros lineales. En esta medida, no es posible calcular el porcentaje para solicitar la experiencia sobre la longitud de las obras efectivamente ejecutadas en el tramo respectivo</w:t>
      </w:r>
      <w:r w:rsidR="00FD107C">
        <w:rPr>
          <w:rFonts w:ascii="Arial" w:eastAsia="Calibri" w:hAnsi="Arial" w:cs="Arial"/>
          <w:color w:val="000000" w:themeColor="text1"/>
          <w:sz w:val="22"/>
          <w:lang w:val="es-CO"/>
        </w:rPr>
        <w:t xml:space="preserve">, bajo la sumatoria de los carriles que conforman la infraestructura de transporte, </w:t>
      </w:r>
      <w:r>
        <w:rPr>
          <w:rFonts w:ascii="Arial" w:eastAsia="Calibri" w:hAnsi="Arial" w:cs="Arial"/>
          <w:color w:val="000000" w:themeColor="text1"/>
          <w:sz w:val="22"/>
          <w:lang w:val="es-CO"/>
        </w:rPr>
        <w:t xml:space="preserve">pues </w:t>
      </w:r>
      <w:r w:rsidR="00FD107C">
        <w:rPr>
          <w:rFonts w:ascii="Arial" w:eastAsia="Calibri" w:hAnsi="Arial" w:cs="Arial"/>
          <w:color w:val="000000" w:themeColor="text1"/>
          <w:sz w:val="22"/>
          <w:lang w:val="es-CO"/>
        </w:rPr>
        <w:t xml:space="preserve">ello implicaría alterar </w:t>
      </w:r>
      <w:r>
        <w:rPr>
          <w:rFonts w:ascii="Arial" w:eastAsia="Calibri" w:hAnsi="Arial" w:cs="Arial"/>
          <w:color w:val="000000" w:themeColor="text1"/>
          <w:sz w:val="22"/>
          <w:lang w:val="es-CO"/>
        </w:rPr>
        <w:t>las condiciones estandarizadas en los «Documentos Tipo – Versión 2» para los procedimientos de licitación pública de infraestructura de transporte.</w:t>
      </w:r>
      <w:r w:rsidR="00380F15">
        <w:rPr>
          <w:rFonts w:ascii="Arial" w:eastAsia="Calibri" w:hAnsi="Arial" w:cs="Arial"/>
          <w:color w:val="000000" w:themeColor="text1"/>
          <w:sz w:val="22"/>
          <w:lang w:val="es-CO"/>
        </w:rPr>
        <w:t xml:space="preserve"> </w:t>
      </w:r>
    </w:p>
    <w:p w14:paraId="4030D59D" w14:textId="77777777" w:rsidR="00F95FAA" w:rsidRDefault="00F95FAA" w:rsidP="00A71876">
      <w:pPr>
        <w:spacing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Esta conclusión no solo se sustenta en la interpretación literal de la «Matriz 1 – Experiencia» sino también en las definiciones del «Anexo 3 – Glosario», el cual define la vía como «[…] la zona de la vía destinada a la circulación de </w:t>
      </w:r>
      <w:proofErr w:type="gramStart"/>
      <w:r>
        <w:rPr>
          <w:rFonts w:ascii="Arial" w:eastAsia="Calibri" w:hAnsi="Arial" w:cs="Arial"/>
          <w:color w:val="000000" w:themeColor="text1"/>
          <w:sz w:val="22"/>
          <w:lang w:val="es-CO"/>
        </w:rPr>
        <w:t>vehículos,</w:t>
      </w:r>
      <w:proofErr w:type="gramEnd"/>
      <w:r>
        <w:rPr>
          <w:rFonts w:ascii="Arial" w:eastAsia="Calibri" w:hAnsi="Arial" w:cs="Arial"/>
          <w:color w:val="000000" w:themeColor="text1"/>
          <w:sz w:val="22"/>
          <w:lang w:val="es-CO"/>
        </w:rPr>
        <w:t xml:space="preserve">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tramos o segmentos viales.</w:t>
      </w:r>
    </w:p>
    <w:p w14:paraId="3644EC94" w14:textId="77777777" w:rsidR="00E15943" w:rsidRDefault="00E15943" w:rsidP="00A71876">
      <w:pPr>
        <w:tabs>
          <w:tab w:val="left" w:pos="426"/>
        </w:tabs>
        <w:ind w:left="709" w:right="709"/>
        <w:jc w:val="both"/>
        <w:rPr>
          <w:rFonts w:ascii="Arial" w:eastAsia="Calibri" w:hAnsi="Arial" w:cs="Arial"/>
          <w:bCs/>
          <w:color w:val="000000" w:themeColor="text1"/>
          <w:sz w:val="21"/>
          <w:szCs w:val="21"/>
          <w:lang w:val="es-ES_tradnl"/>
        </w:rPr>
      </w:pPr>
      <w:r w:rsidRPr="00E15943">
        <w:rPr>
          <w:rFonts w:ascii="Arial" w:eastAsia="Calibri" w:hAnsi="Arial" w:cs="Arial"/>
          <w:bCs/>
          <w:color w:val="000000" w:themeColor="text1"/>
          <w:sz w:val="21"/>
          <w:szCs w:val="21"/>
          <w:lang w:val="es-ES_tradnl"/>
        </w:rPr>
        <w:tab/>
      </w:r>
      <w:r w:rsidRPr="00E15943">
        <w:rPr>
          <w:rFonts w:ascii="Arial" w:eastAsia="Calibri" w:hAnsi="Arial" w:cs="Arial"/>
          <w:bCs/>
          <w:color w:val="000000" w:themeColor="text1"/>
          <w:sz w:val="21"/>
          <w:szCs w:val="21"/>
          <w:lang w:val="es-ES_tradnl"/>
        </w:rPr>
        <w:tab/>
      </w:r>
    </w:p>
    <w:p w14:paraId="51D96790" w14:textId="4F2C6728" w:rsidR="00E15943" w:rsidRDefault="007531EF" w:rsidP="00E15943">
      <w:pPr>
        <w:tabs>
          <w:tab w:val="left" w:pos="426"/>
        </w:tabs>
        <w:spacing w:after="120"/>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w:t>
      </w:r>
      <w:r w:rsidR="00E15943" w:rsidRPr="00E15943">
        <w:rPr>
          <w:rFonts w:ascii="Arial" w:eastAsia="Calibri" w:hAnsi="Arial" w:cs="Arial"/>
          <w:bCs/>
          <w:color w:val="000000" w:themeColor="text1"/>
          <w:sz w:val="21"/>
          <w:szCs w:val="21"/>
          <w:lang w:val="es-ES_tradnl"/>
        </w:rPr>
        <w:t>PREGUNTA 5. Cuando se presente más de una oferta por un mismo oferente o se ostente la calidad de representante legal o socio de más de una persona jurídica participante en el presente proceso de selección, lo anterior sería una causal de rechazo EXPLICACI</w:t>
      </w:r>
      <w:r>
        <w:rPr>
          <w:rFonts w:ascii="Arial" w:eastAsia="Calibri" w:hAnsi="Arial" w:cs="Arial"/>
          <w:bCs/>
          <w:color w:val="000000" w:themeColor="text1"/>
          <w:sz w:val="21"/>
          <w:szCs w:val="21"/>
          <w:lang w:val="es-ES_tradnl"/>
        </w:rPr>
        <w:t>Ó</w:t>
      </w:r>
      <w:r w:rsidR="00E15943" w:rsidRPr="00E15943">
        <w:rPr>
          <w:rFonts w:ascii="Arial" w:eastAsia="Calibri" w:hAnsi="Arial" w:cs="Arial"/>
          <w:bCs/>
          <w:color w:val="000000" w:themeColor="text1"/>
          <w:sz w:val="21"/>
          <w:szCs w:val="21"/>
          <w:lang w:val="es-ES_tradnl"/>
        </w:rPr>
        <w:t>N DE ESTA CAUSAL POR FAVOR.</w:t>
      </w:r>
    </w:p>
    <w:p w14:paraId="757E4730" w14:textId="087DFE97" w:rsidR="006D7CF1" w:rsidRPr="00E15943" w:rsidRDefault="006D7CF1" w:rsidP="004C241F">
      <w:pPr>
        <w:tabs>
          <w:tab w:val="left" w:pos="426"/>
        </w:tabs>
        <w:ind w:left="709" w:right="709"/>
        <w:jc w:val="both"/>
        <w:rPr>
          <w:rFonts w:ascii="Arial" w:eastAsia="Calibri" w:hAnsi="Arial" w:cs="Arial"/>
          <w:bCs/>
          <w:color w:val="000000" w:themeColor="text1"/>
          <w:sz w:val="21"/>
          <w:szCs w:val="21"/>
          <w:lang w:val="es-ES_tradnl"/>
        </w:rPr>
      </w:pPr>
      <w:r w:rsidRPr="00380F15">
        <w:rPr>
          <w:rFonts w:ascii="Arial" w:eastAsia="Calibri" w:hAnsi="Arial" w:cs="Arial"/>
          <w:bCs/>
          <w:color w:val="000000" w:themeColor="text1"/>
          <w:sz w:val="21"/>
          <w:szCs w:val="21"/>
          <w:lang w:val="es-ES_tradnl"/>
        </w:rPr>
        <w:lastRenderedPageBreak/>
        <w:t xml:space="preserve">Mi duda radica es </w:t>
      </w:r>
      <w:proofErr w:type="gramStart"/>
      <w:r w:rsidRPr="00380F15">
        <w:rPr>
          <w:rFonts w:ascii="Arial" w:eastAsia="Calibri" w:hAnsi="Arial" w:cs="Arial"/>
          <w:bCs/>
          <w:color w:val="000000" w:themeColor="text1"/>
          <w:sz w:val="21"/>
          <w:szCs w:val="21"/>
          <w:lang w:val="es-ES_tradnl"/>
        </w:rPr>
        <w:t>que</w:t>
      </w:r>
      <w:proofErr w:type="gramEnd"/>
      <w:r w:rsidRPr="00380F15">
        <w:rPr>
          <w:rFonts w:ascii="Arial" w:eastAsia="Calibri" w:hAnsi="Arial" w:cs="Arial"/>
          <w:bCs/>
          <w:color w:val="000000" w:themeColor="text1"/>
          <w:sz w:val="21"/>
          <w:szCs w:val="21"/>
          <w:lang w:val="es-ES_tradnl"/>
        </w:rPr>
        <w:t xml:space="preserve"> si se presentan dos ofertas diferentes, exactamente en dos consorcios diferentes. En un consorcio un integrante X como persona natural y en otro</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consorcio</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dos</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personas</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jurídicas,</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pero</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el</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integrante</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X</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hace</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parte</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de</w:t>
      </w:r>
      <w:r>
        <w:rPr>
          <w:rFonts w:ascii="Arial" w:eastAsia="Calibri" w:hAnsi="Arial" w:cs="Arial"/>
          <w:bCs/>
          <w:color w:val="000000" w:themeColor="text1"/>
          <w:sz w:val="21"/>
          <w:szCs w:val="21"/>
          <w:lang w:val="es-ES_tradnl"/>
        </w:rPr>
        <w:t xml:space="preserve"> </w:t>
      </w:r>
      <w:r w:rsidRPr="00380F15">
        <w:rPr>
          <w:rFonts w:ascii="Arial" w:eastAsia="Calibri" w:hAnsi="Arial" w:cs="Arial"/>
          <w:bCs/>
          <w:color w:val="000000" w:themeColor="text1"/>
          <w:sz w:val="21"/>
          <w:szCs w:val="21"/>
          <w:lang w:val="es-ES_tradnl"/>
        </w:rPr>
        <w:t xml:space="preserve">la composición accionaria de una persona jurídica de las que integran el consorcio. </w:t>
      </w:r>
      <w:proofErr w:type="gramStart"/>
      <w:r w:rsidRPr="00380F15">
        <w:rPr>
          <w:rFonts w:ascii="Arial" w:eastAsia="Calibri" w:hAnsi="Arial" w:cs="Arial"/>
          <w:bCs/>
          <w:color w:val="000000" w:themeColor="text1"/>
          <w:sz w:val="21"/>
          <w:szCs w:val="21"/>
          <w:lang w:val="es-ES_tradnl"/>
        </w:rPr>
        <w:t>Serian</w:t>
      </w:r>
      <w:r>
        <w:rPr>
          <w:rFonts w:ascii="Arial" w:eastAsia="Calibri" w:hAnsi="Arial" w:cs="Arial"/>
          <w:bCs/>
          <w:color w:val="000000" w:themeColor="text1"/>
          <w:sz w:val="21"/>
          <w:szCs w:val="21"/>
          <w:lang w:val="es-ES_tradnl"/>
        </w:rPr>
        <w:t xml:space="preserve"> (sic)</w:t>
      </w:r>
      <w:r w:rsidRPr="00380F15">
        <w:rPr>
          <w:rFonts w:ascii="Arial" w:eastAsia="Calibri" w:hAnsi="Arial" w:cs="Arial"/>
          <w:bCs/>
          <w:color w:val="000000" w:themeColor="text1"/>
          <w:sz w:val="21"/>
          <w:szCs w:val="21"/>
          <w:lang w:val="es-ES_tradnl"/>
        </w:rPr>
        <w:t xml:space="preserve"> rechazadas las dos ofertas?</w:t>
      </w:r>
      <w:proofErr w:type="gramEnd"/>
      <w:r>
        <w:rPr>
          <w:rFonts w:ascii="Arial" w:eastAsia="Calibri" w:hAnsi="Arial" w:cs="Arial"/>
          <w:bCs/>
          <w:color w:val="000000" w:themeColor="text1"/>
          <w:sz w:val="21"/>
          <w:szCs w:val="21"/>
          <w:lang w:val="es-ES_tradnl"/>
        </w:rPr>
        <w:t>»</w:t>
      </w:r>
    </w:p>
    <w:p w14:paraId="0ABD9CE4" w14:textId="08E2561E" w:rsidR="00E15943" w:rsidRDefault="00E15943" w:rsidP="004C241F">
      <w:pPr>
        <w:tabs>
          <w:tab w:val="left" w:pos="709"/>
          <w:tab w:val="left" w:pos="851"/>
        </w:tabs>
        <w:spacing w:line="276" w:lineRule="auto"/>
        <w:jc w:val="both"/>
        <w:rPr>
          <w:rFonts w:ascii="Arial" w:eastAsia="Calibri" w:hAnsi="Arial" w:cs="Arial"/>
          <w:bCs/>
          <w:color w:val="000000" w:themeColor="text1"/>
          <w:sz w:val="21"/>
          <w:szCs w:val="21"/>
          <w:lang w:val="es-ES_tradnl"/>
        </w:rPr>
      </w:pPr>
    </w:p>
    <w:p w14:paraId="6E0E6B94" w14:textId="3FC54604" w:rsidR="004C241F" w:rsidRDefault="00DE40B3" w:rsidP="00DE40B3">
      <w:pPr>
        <w:spacing w:after="120" w:line="276" w:lineRule="auto"/>
        <w:jc w:val="both"/>
        <w:rPr>
          <w:rFonts w:ascii="Arial" w:eastAsia="Calibri" w:hAnsi="Arial" w:cs="Arial"/>
          <w:bCs/>
          <w:color w:val="000000" w:themeColor="text1"/>
          <w:sz w:val="21"/>
          <w:szCs w:val="21"/>
          <w:lang w:val="es-ES_tradnl"/>
        </w:rPr>
      </w:pPr>
      <w:r>
        <w:rPr>
          <w:rFonts w:ascii="Arial" w:eastAsia="Calibri" w:hAnsi="Arial" w:cs="Arial"/>
          <w:color w:val="000000" w:themeColor="text1"/>
          <w:sz w:val="22"/>
          <w:lang w:val="es-ES_tradnl"/>
        </w:rPr>
        <w:t>En primer lugar, es necesario señalar que d</w:t>
      </w:r>
      <w:r w:rsidRPr="002036B3">
        <w:rPr>
          <w:rFonts w:ascii="Arial" w:eastAsia="Calibri" w:hAnsi="Arial" w:cs="Arial"/>
          <w:color w:val="000000" w:themeColor="text1"/>
          <w:sz w:val="22"/>
          <w:lang w:val="es-ES_tradnl"/>
        </w:rPr>
        <w:t>e conformidad con la competencia otorgada por los artículos 11, numeral 8º, y 3º, numeral 5º, del Decreto Ley 4170 de 2011, la Agencia de Contratación Pública ― Colombia Compra Eficiente es competente para absolver consultas sobre la aplicación de normas de carácter general. En tal sentido, su competencia se encuentra limitada por los criterios y requisitos establecidos en las disposiciones que le asignan dicha potestad, de manera que su ejercicio debe someterse a la norma habilitante, observando estrictamente el principio de legalidad.</w:t>
      </w:r>
      <w:r>
        <w:rPr>
          <w:rFonts w:ascii="Arial" w:eastAsia="Calibri" w:hAnsi="Arial" w:cs="Arial"/>
          <w:color w:val="000000" w:themeColor="text1"/>
          <w:sz w:val="22"/>
          <w:lang w:val="es-ES_tradnl"/>
        </w:rPr>
        <w:t xml:space="preserve"> </w:t>
      </w:r>
      <w:r w:rsidRPr="002036B3">
        <w:rPr>
          <w:rFonts w:ascii="Arial" w:eastAsia="Calibri" w:hAnsi="Arial" w:cs="Arial"/>
          <w:color w:val="000000" w:themeColor="text1"/>
          <w:sz w:val="22"/>
          <w:lang w:val="es-ES_tradnl"/>
        </w:rPr>
        <w:t>En tal sentido, esta Agencia no tiene competencia para pronunciarse sobre casos particulares o juzgar la legalidad de las actuaciones concretas realizadas por las entidades estatales.</w:t>
      </w:r>
      <w:r w:rsidR="004C241F">
        <w:rPr>
          <w:rFonts w:ascii="Arial" w:eastAsia="Calibri" w:hAnsi="Arial" w:cs="Arial"/>
          <w:bCs/>
          <w:color w:val="000000" w:themeColor="text1"/>
          <w:sz w:val="21"/>
          <w:szCs w:val="21"/>
          <w:lang w:val="es-ES_tradnl"/>
        </w:rPr>
        <w:t xml:space="preserve"> </w:t>
      </w:r>
    </w:p>
    <w:p w14:paraId="35EB88B1" w14:textId="401D3088" w:rsidR="00DE40B3" w:rsidRPr="005C7132" w:rsidRDefault="00DE40B3" w:rsidP="00DE40B3">
      <w:pPr>
        <w:spacing w:after="120" w:line="276" w:lineRule="auto"/>
        <w:jc w:val="both"/>
        <w:rPr>
          <w:rFonts w:ascii="Arial" w:eastAsia="Calibri" w:hAnsi="Arial" w:cs="Arial"/>
          <w:sz w:val="22"/>
        </w:rPr>
      </w:pPr>
      <w:r>
        <w:rPr>
          <w:rFonts w:ascii="Arial" w:eastAsia="Calibri" w:hAnsi="Arial" w:cs="Arial"/>
          <w:bCs/>
          <w:color w:val="000000" w:themeColor="text1"/>
          <w:sz w:val="21"/>
          <w:szCs w:val="21"/>
          <w:lang w:val="es-ES_tradnl"/>
        </w:rPr>
        <w:tab/>
      </w:r>
      <w:r w:rsidRPr="00CB6B54">
        <w:rPr>
          <w:rFonts w:ascii="Arial" w:eastAsia="Calibri" w:hAnsi="Arial" w:cs="Arial"/>
          <w:bCs/>
          <w:color w:val="000000" w:themeColor="text1"/>
          <w:sz w:val="22"/>
          <w:lang w:val="es-ES_tradnl"/>
        </w:rPr>
        <w:t>En este sentido, pese a que a la Agencia no le corresponde señalar la legalidad de la inclusión de ciertas causales de rechazo en los pliegos de condiciones, consideramos que la pregunta planteada por el peticionario tiene relación con la causal de inhabilidad establecida en el artículo 8, numeral 1, literal g) de la Ley 80 de 1993, cuyo contenido se desarrolló en el numeral 2.2. de este concepto. En este sentido, reiterando una de las conclusiones señaladas en el concepto C-273 del 21 de mayo de 2020, expedido por esta Agencia: «</w:t>
      </w:r>
      <w:r w:rsidRPr="005C7132">
        <w:rPr>
          <w:rFonts w:ascii="Arial" w:eastAsia="Calibri" w:hAnsi="Arial" w:cs="Arial"/>
          <w:sz w:val="22"/>
        </w:rPr>
        <w:t>En virtud del criterio de interpretación restrictiva del régimen de inhabilidades e incompatibilidades previsto en el ordenamiento jurídico, la causal de inhabilidad prevista en el artículo 8, literal g) del numeral 1, de la Ley 80 de 1993 aplica a personas naturales, exclusivamente, sin posibilidad de extenderlo a las personas jurídicas.</w:t>
      </w:r>
    </w:p>
    <w:p w14:paraId="27E7C778" w14:textId="42F6107F" w:rsidR="00DE40B3" w:rsidRPr="005C7132" w:rsidRDefault="00DE40B3" w:rsidP="00DE40B3">
      <w:pPr>
        <w:spacing w:before="120" w:after="120" w:line="276" w:lineRule="auto"/>
        <w:ind w:firstLine="709"/>
        <w:jc w:val="both"/>
        <w:rPr>
          <w:rFonts w:ascii="Arial" w:eastAsia="Calibri" w:hAnsi="Arial" w:cs="Arial"/>
          <w:sz w:val="22"/>
        </w:rPr>
      </w:pPr>
      <w:proofErr w:type="gramStart"/>
      <w:r w:rsidRPr="005C7132">
        <w:rPr>
          <w:rFonts w:ascii="Arial" w:eastAsia="Calibri" w:hAnsi="Arial" w:cs="Arial"/>
          <w:sz w:val="22"/>
        </w:rPr>
        <w:t>»Adicionalmente</w:t>
      </w:r>
      <w:proofErr w:type="gramEnd"/>
      <w:r w:rsidRPr="005C7132">
        <w:rPr>
          <w:rFonts w:ascii="Arial" w:eastAsia="Calibri" w:hAnsi="Arial" w:cs="Arial"/>
          <w:sz w:val="22"/>
        </w:rPr>
        <w:t xml:space="preserve">, esta causal de inhabilidad también aplica a los proponentes plurales, consorcios o uniones temporales, </w:t>
      </w:r>
      <w:r w:rsidRPr="005C7132">
        <w:rPr>
          <w:rFonts w:ascii="Arial" w:eastAsia="Calibri" w:hAnsi="Arial" w:cs="Arial"/>
          <w:sz w:val="22"/>
          <w:lang w:val="es-ES_tradnl"/>
        </w:rPr>
        <w:t xml:space="preserve">cuando uno de sus integrantes o representante designado, en calidad de personas naturales, se encuentre en alguna de las relaciones de parentesco determinadas en la norma anteriormente citada, en tanto que, esas formas asociativas no </w:t>
      </w:r>
      <w:r w:rsidRPr="005C7132">
        <w:rPr>
          <w:rFonts w:ascii="Arial" w:eastAsia="Calibri" w:hAnsi="Arial" w:cs="Arial"/>
          <w:sz w:val="22"/>
        </w:rPr>
        <w:t>comportan una persona jurídica independiente de sus integrantes».</w:t>
      </w:r>
    </w:p>
    <w:p w14:paraId="1E233A9B" w14:textId="2348FFEB" w:rsidR="006D7CF1" w:rsidRPr="00DE40B3" w:rsidRDefault="00DE40B3" w:rsidP="00DE40B3">
      <w:pPr>
        <w:spacing w:before="120" w:after="120" w:line="276" w:lineRule="auto"/>
        <w:ind w:firstLine="709"/>
        <w:jc w:val="both"/>
        <w:rPr>
          <w:rFonts w:ascii="Arial" w:eastAsia="Calibri" w:hAnsi="Arial" w:cs="Arial"/>
          <w:sz w:val="22"/>
          <w:lang w:val="es-ES_tradnl"/>
        </w:rPr>
      </w:pPr>
      <w:r w:rsidRPr="00DE40B3">
        <w:rPr>
          <w:rFonts w:ascii="Arial" w:eastAsia="Calibri" w:hAnsi="Arial" w:cs="Arial"/>
          <w:sz w:val="22"/>
          <w:lang w:val="es-ES_tradnl"/>
        </w:rPr>
        <w:t xml:space="preserve">En tal sentido, atendiendo a la interpretación restrictiva de las causales de inhabilidad e incompatibilidad, esta </w:t>
      </w:r>
      <w:r>
        <w:rPr>
          <w:rFonts w:ascii="Arial" w:eastAsia="Calibri" w:hAnsi="Arial" w:cs="Arial"/>
          <w:sz w:val="22"/>
          <w:lang w:val="es-ES_tradnl"/>
        </w:rPr>
        <w:t xml:space="preserve">Agencia </w:t>
      </w:r>
      <w:r w:rsidRPr="00DE40B3">
        <w:rPr>
          <w:rFonts w:ascii="Arial" w:eastAsia="Calibri" w:hAnsi="Arial" w:cs="Arial"/>
          <w:sz w:val="22"/>
          <w:lang w:val="es-ES_tradnl"/>
        </w:rPr>
        <w:t>considera que el ejemplo planteado por el peticionario no se enmarca en este supuesto de inhabilidad</w:t>
      </w:r>
      <w:r w:rsidR="00621BA3">
        <w:rPr>
          <w:rFonts w:ascii="Arial" w:eastAsia="Calibri" w:hAnsi="Arial" w:cs="Arial"/>
          <w:sz w:val="22"/>
          <w:lang w:val="es-ES_tradnl"/>
        </w:rPr>
        <w:t>, por no cumplirse con los elementos descritos en el supuesto de hecho de la causal de inhabilidad analizada.</w:t>
      </w:r>
    </w:p>
    <w:p w14:paraId="6654A470" w14:textId="77777777" w:rsidR="00DE40B3" w:rsidRDefault="00DE40B3" w:rsidP="006D7CF1">
      <w:pPr>
        <w:tabs>
          <w:tab w:val="left" w:pos="426"/>
        </w:tabs>
        <w:spacing w:after="120"/>
        <w:ind w:right="709"/>
        <w:jc w:val="both"/>
        <w:rPr>
          <w:rFonts w:ascii="Arial" w:eastAsia="Calibri" w:hAnsi="Arial" w:cs="Arial"/>
          <w:bCs/>
          <w:color w:val="000000" w:themeColor="text1"/>
          <w:sz w:val="21"/>
          <w:szCs w:val="21"/>
          <w:lang w:val="es-ES_tradnl"/>
        </w:rPr>
      </w:pPr>
    </w:p>
    <w:p w14:paraId="1C66F1BB" w14:textId="79884FAC" w:rsidR="00E15943" w:rsidRPr="00E15943" w:rsidRDefault="007531EF" w:rsidP="00E15943">
      <w:pPr>
        <w:tabs>
          <w:tab w:val="left" w:pos="426"/>
        </w:tabs>
        <w:spacing w:after="120"/>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w:t>
      </w:r>
      <w:r w:rsidR="00E15943" w:rsidRPr="00E15943">
        <w:rPr>
          <w:rFonts w:ascii="Arial" w:eastAsia="Calibri" w:hAnsi="Arial" w:cs="Arial"/>
          <w:bCs/>
          <w:color w:val="000000" w:themeColor="text1"/>
          <w:sz w:val="21"/>
          <w:szCs w:val="21"/>
          <w:lang w:val="es-ES_tradnl"/>
        </w:rPr>
        <w:t xml:space="preserve">PREGUNTA 6. En la matriz 1 en el numeral 6. OBRAS DE INFRAESTRUCTURA VIAL para el cumplimiento de la experiencia general de los numerales 6.4 y 6.5 CONSTRUCCIÓN O REHABILITACIÓN O MEJORAMIENTO O MANTENIMIENTO O CONSERVACIÓN DE ESPACIO </w:t>
      </w:r>
      <w:r w:rsidR="00E15943" w:rsidRPr="00E15943">
        <w:rPr>
          <w:rFonts w:ascii="Arial" w:eastAsia="Calibri" w:hAnsi="Arial" w:cs="Arial"/>
          <w:bCs/>
          <w:color w:val="000000" w:themeColor="text1"/>
          <w:sz w:val="21"/>
          <w:szCs w:val="21"/>
          <w:lang w:val="es-ES_tradnl"/>
        </w:rPr>
        <w:lastRenderedPageBreak/>
        <w:t xml:space="preserve">PÚBLICO ASOCIADO A LA INFRAESTRUCTURA DE TRANSPORTE, ADICIONALMENTE SE TENDRÁN EN CUENTA PLAZOLETAS. </w:t>
      </w:r>
    </w:p>
    <w:p w14:paraId="3454546C" w14:textId="40609586" w:rsidR="00E15943" w:rsidRPr="00E15943" w:rsidRDefault="00E15943" w:rsidP="00E15943">
      <w:pPr>
        <w:tabs>
          <w:tab w:val="left" w:pos="426"/>
        </w:tabs>
        <w:spacing w:after="120"/>
        <w:ind w:left="709" w:right="709"/>
        <w:jc w:val="both"/>
        <w:rPr>
          <w:rFonts w:ascii="Arial" w:eastAsia="Calibri" w:hAnsi="Arial" w:cs="Arial"/>
          <w:bCs/>
          <w:color w:val="000000" w:themeColor="text1"/>
          <w:sz w:val="21"/>
          <w:szCs w:val="21"/>
          <w:lang w:val="es-ES_tradnl"/>
        </w:rPr>
      </w:pPr>
      <w:r w:rsidRPr="00E15943">
        <w:rPr>
          <w:rFonts w:ascii="Arial" w:eastAsia="Calibri" w:hAnsi="Arial" w:cs="Arial"/>
          <w:bCs/>
          <w:color w:val="000000" w:themeColor="text1"/>
          <w:sz w:val="21"/>
          <w:szCs w:val="21"/>
          <w:lang w:val="es-ES_tradnl"/>
        </w:rPr>
        <w:t xml:space="preserve">»6.1 ¿Qué proyectos se enmarcan en la experiencia general mencionada anteriormente? </w:t>
      </w:r>
    </w:p>
    <w:p w14:paraId="1864F1BB" w14:textId="03794F91" w:rsidR="00FC434C" w:rsidRDefault="00E15943" w:rsidP="007531EF">
      <w:pPr>
        <w:tabs>
          <w:tab w:val="left" w:pos="0"/>
        </w:tabs>
        <w:ind w:left="709" w:right="709"/>
        <w:jc w:val="both"/>
        <w:rPr>
          <w:rFonts w:ascii="Arial" w:eastAsia="Calibri" w:hAnsi="Arial" w:cs="Arial"/>
          <w:bCs/>
          <w:color w:val="000000" w:themeColor="text1"/>
          <w:sz w:val="21"/>
          <w:szCs w:val="21"/>
          <w:lang w:val="es-ES_tradnl"/>
        </w:rPr>
      </w:pPr>
      <w:r w:rsidRPr="00E15943">
        <w:rPr>
          <w:rFonts w:ascii="Arial" w:eastAsia="Calibri" w:hAnsi="Arial" w:cs="Arial"/>
          <w:bCs/>
          <w:color w:val="000000" w:themeColor="text1"/>
          <w:sz w:val="21"/>
          <w:szCs w:val="21"/>
          <w:lang w:val="es-ES_tradnl"/>
        </w:rPr>
        <w:t>»6.2 ¿Construcción de parques y/o construcción de ciclo rutas y/o construcción de vías urbanas y/o construcción de plazoletas hacen parte y/o construcción de andenes?»</w:t>
      </w:r>
    </w:p>
    <w:p w14:paraId="5FEE1E9A" w14:textId="77777777" w:rsidR="007531EF" w:rsidRPr="00E15943" w:rsidRDefault="007531EF" w:rsidP="007531EF">
      <w:pPr>
        <w:tabs>
          <w:tab w:val="left" w:pos="0"/>
        </w:tabs>
        <w:ind w:left="709" w:right="709"/>
        <w:jc w:val="both"/>
        <w:rPr>
          <w:rFonts w:ascii="Arial" w:eastAsia="Calibri" w:hAnsi="Arial" w:cs="Arial"/>
          <w:bCs/>
          <w:color w:val="000000" w:themeColor="text1"/>
          <w:sz w:val="21"/>
          <w:szCs w:val="21"/>
          <w:lang w:val="es-ES_tradnl"/>
        </w:rPr>
      </w:pPr>
    </w:p>
    <w:p w14:paraId="5D0DB191" w14:textId="77777777" w:rsidR="007531EF" w:rsidRPr="007531EF" w:rsidRDefault="007531EF" w:rsidP="007531EF">
      <w:pPr>
        <w:tabs>
          <w:tab w:val="left" w:pos="709"/>
          <w:tab w:val="left" w:pos="851"/>
        </w:tabs>
        <w:spacing w:after="120" w:line="276" w:lineRule="auto"/>
        <w:jc w:val="both"/>
        <w:rPr>
          <w:rFonts w:ascii="Arial" w:hAnsi="Arial" w:cs="Arial"/>
          <w:sz w:val="22"/>
          <w:szCs w:val="20"/>
        </w:rPr>
      </w:pPr>
      <w:r w:rsidRPr="007531EF">
        <w:rPr>
          <w:rFonts w:ascii="Arial" w:hAnsi="Arial" w:cs="Arial"/>
          <w:sz w:val="22"/>
          <w:szCs w:val="20"/>
        </w:rPr>
        <w:t xml:space="preserve">Es importante mencionar que la actividad a contratar 6.4 corresponde a proyectos de: construcción, mejoramiento o rehabilitación de espacio público asociado a la infraestructura de transporte; entendiéndose el espacio público asociado como se define en el Anexo 3 – Glosario: </w:t>
      </w:r>
    </w:p>
    <w:p w14:paraId="7161F0B9" w14:textId="77777777" w:rsidR="007531EF" w:rsidRDefault="007531EF" w:rsidP="007531EF">
      <w:pPr>
        <w:rPr>
          <w:lang w:val="es-CO"/>
        </w:rPr>
      </w:pPr>
    </w:p>
    <w:p w14:paraId="555CDC5F" w14:textId="514FF510" w:rsidR="007531EF" w:rsidRPr="00CB6B54" w:rsidRDefault="007531EF" w:rsidP="007531EF">
      <w:pPr>
        <w:ind w:left="709" w:right="709"/>
        <w:rPr>
          <w:rFonts w:ascii="Arial" w:hAnsi="Arial" w:cs="Arial"/>
          <w:i/>
          <w:iCs/>
          <w:sz w:val="20"/>
          <w:szCs w:val="20"/>
          <w:lang w:val="es-CO"/>
        </w:rPr>
      </w:pPr>
      <w:r w:rsidRPr="00CB6B54">
        <w:rPr>
          <w:rFonts w:ascii="Arial" w:hAnsi="Arial" w:cs="Arial"/>
          <w:i/>
          <w:iCs/>
          <w:sz w:val="20"/>
          <w:szCs w:val="20"/>
          <w:lang w:val="es-CO"/>
        </w:rPr>
        <w:t xml:space="preserve">2.34 </w:t>
      </w:r>
      <w:r w:rsidRPr="00CB6B54">
        <w:rPr>
          <w:rFonts w:ascii="Arial" w:hAnsi="Arial" w:cs="Arial"/>
          <w:b/>
          <w:i/>
          <w:iCs/>
          <w:sz w:val="20"/>
          <w:szCs w:val="20"/>
          <w:lang w:val="es-CO"/>
        </w:rPr>
        <w:t xml:space="preserve">Espacio Público Asociado a la Infraestructura de Transporte: </w:t>
      </w:r>
      <w:r w:rsidRPr="00CB6B54">
        <w:rPr>
          <w:rFonts w:ascii="Arial" w:hAnsi="Arial" w:cs="Arial"/>
          <w:i/>
          <w:iCs/>
          <w:sz w:val="20"/>
          <w:szCs w:val="20"/>
          <w:lang w:val="es-CO"/>
        </w:rPr>
        <w:t>Hacen relación a los elementos constitutivos artificiales o construidos</w:t>
      </w:r>
      <w:r w:rsidRPr="00CB6B54">
        <w:rPr>
          <w:rFonts w:ascii="Arial" w:hAnsi="Arial" w:cs="Arial"/>
          <w:i/>
          <w:iCs/>
          <w:sz w:val="20"/>
          <w:szCs w:val="20"/>
          <w:vertAlign w:val="superscript"/>
          <w:lang w:val="es-CO"/>
        </w:rPr>
        <w:footnoteReference w:id="23"/>
      </w:r>
      <w:r w:rsidRPr="00CB6B54">
        <w:rPr>
          <w:rFonts w:ascii="Arial" w:hAnsi="Arial" w:cs="Arial"/>
          <w:i/>
          <w:iCs/>
          <w:sz w:val="20"/>
          <w:szCs w:val="20"/>
          <w:lang w:val="es-CO"/>
        </w:rPr>
        <w:t xml:space="preserve">, tales como: </w:t>
      </w:r>
    </w:p>
    <w:p w14:paraId="667F0964" w14:textId="77777777" w:rsidR="007531EF" w:rsidRPr="00CB6B54" w:rsidRDefault="007531EF" w:rsidP="007531EF">
      <w:pPr>
        <w:ind w:left="709" w:right="709"/>
        <w:rPr>
          <w:rFonts w:ascii="Arial" w:hAnsi="Arial" w:cs="Arial"/>
          <w:i/>
          <w:iCs/>
          <w:sz w:val="20"/>
          <w:szCs w:val="20"/>
          <w:lang w:val="es-CO"/>
        </w:rPr>
      </w:pPr>
      <w:r w:rsidRPr="00CB6B54">
        <w:rPr>
          <w:rFonts w:ascii="Arial" w:hAnsi="Arial" w:cs="Arial"/>
          <w:i/>
          <w:iCs/>
          <w:sz w:val="20"/>
          <w:szCs w:val="20"/>
          <w:lang w:val="es-CO"/>
        </w:rPr>
        <w:t xml:space="preserve"> </w:t>
      </w:r>
    </w:p>
    <w:p w14:paraId="32983C36" w14:textId="77777777" w:rsidR="007531EF" w:rsidRPr="00CB6B54" w:rsidRDefault="007531EF" w:rsidP="007531EF">
      <w:pPr>
        <w:numPr>
          <w:ilvl w:val="0"/>
          <w:numId w:val="26"/>
        </w:numPr>
        <w:ind w:left="709" w:right="709"/>
        <w:jc w:val="both"/>
        <w:rPr>
          <w:rFonts w:ascii="Arial" w:hAnsi="Arial" w:cs="Arial"/>
          <w:i/>
          <w:iCs/>
          <w:sz w:val="20"/>
          <w:szCs w:val="20"/>
          <w:lang w:val="es-CO"/>
        </w:rPr>
      </w:pPr>
      <w:r w:rsidRPr="00CB6B54">
        <w:rPr>
          <w:rFonts w:ascii="Arial" w:hAnsi="Arial" w:cs="Arial"/>
          <w:i/>
          <w:iCs/>
          <w:sz w:val="20"/>
          <w:szCs w:val="20"/>
          <w:lang w:val="es-CO"/>
        </w:rPr>
        <w:t xml:space="preserve">Áreas integrantes de los perfiles viales peatonal y vehicular, constituidas por: </w:t>
      </w:r>
    </w:p>
    <w:p w14:paraId="154AB943" w14:textId="77777777" w:rsidR="007531EF" w:rsidRPr="00CB6B54" w:rsidRDefault="007531EF" w:rsidP="007531EF">
      <w:pPr>
        <w:numPr>
          <w:ilvl w:val="1"/>
          <w:numId w:val="26"/>
        </w:numPr>
        <w:ind w:left="709" w:right="709"/>
        <w:jc w:val="both"/>
        <w:rPr>
          <w:rFonts w:ascii="Arial" w:hAnsi="Arial" w:cs="Arial"/>
          <w:i/>
          <w:iCs/>
          <w:sz w:val="20"/>
          <w:szCs w:val="20"/>
          <w:lang w:val="es-CO"/>
        </w:rPr>
      </w:pPr>
      <w:r w:rsidRPr="00CB6B54">
        <w:rPr>
          <w:rFonts w:ascii="Arial" w:hAnsi="Arial" w:cs="Arial"/>
          <w:i/>
          <w:iCs/>
          <w:sz w:val="20"/>
          <w:szCs w:val="20"/>
          <w:u w:val="single"/>
          <w:lang w:val="es-CO"/>
        </w:rPr>
        <w:t>Los componentes de los perfiles viales tales como:</w:t>
      </w:r>
      <w:r w:rsidRPr="00CB6B54">
        <w:rPr>
          <w:rFonts w:ascii="Arial" w:hAnsi="Arial" w:cs="Arial"/>
          <w:i/>
          <w:iCs/>
          <w:sz w:val="20"/>
          <w:szCs w:val="20"/>
          <w:lang w:val="es-CO"/>
        </w:rPr>
        <w:t xml:space="preserve">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CB6B54">
        <w:rPr>
          <w:rFonts w:ascii="Arial" w:hAnsi="Arial" w:cs="Arial"/>
          <w:i/>
          <w:iCs/>
          <w:sz w:val="20"/>
          <w:szCs w:val="20"/>
          <w:lang w:val="es-CO"/>
        </w:rPr>
        <w:t>ciclopistas</w:t>
      </w:r>
      <w:proofErr w:type="spellEnd"/>
      <w:r w:rsidRPr="00CB6B54">
        <w:rPr>
          <w:rFonts w:ascii="Arial" w:hAnsi="Arial" w:cs="Arial"/>
          <w:i/>
          <w:iCs/>
          <w:sz w:val="20"/>
          <w:szCs w:val="20"/>
          <w:lang w:val="es-CO"/>
        </w:rPr>
        <w:t xml:space="preserve">, ciclovías, estacionamiento para bicicletas, estacionamiento para motocicletas, estacionamiento bajo espacio público, zonas azules, bahías de estacionamiento, bermas, separadores, reductores de velocidad, calzadas, carriles. </w:t>
      </w:r>
    </w:p>
    <w:p w14:paraId="6EB20A6A" w14:textId="77777777" w:rsidR="007531EF" w:rsidRPr="00CB6B54" w:rsidRDefault="007531EF" w:rsidP="007531EF">
      <w:pPr>
        <w:ind w:left="709" w:right="709"/>
        <w:rPr>
          <w:rFonts w:ascii="Arial" w:hAnsi="Arial" w:cs="Arial"/>
          <w:i/>
          <w:iCs/>
          <w:sz w:val="20"/>
          <w:szCs w:val="20"/>
          <w:lang w:val="es-CO"/>
        </w:rPr>
      </w:pPr>
    </w:p>
    <w:p w14:paraId="3F4684DC" w14:textId="77777777" w:rsidR="007531EF" w:rsidRPr="00CB6B54" w:rsidRDefault="007531EF" w:rsidP="007531EF">
      <w:pPr>
        <w:numPr>
          <w:ilvl w:val="1"/>
          <w:numId w:val="26"/>
        </w:numPr>
        <w:ind w:left="709" w:right="709"/>
        <w:jc w:val="both"/>
        <w:rPr>
          <w:rFonts w:ascii="Arial" w:hAnsi="Arial" w:cs="Arial"/>
          <w:i/>
          <w:iCs/>
          <w:sz w:val="20"/>
          <w:szCs w:val="20"/>
          <w:lang w:val="es-CO"/>
        </w:rPr>
      </w:pPr>
      <w:r w:rsidRPr="00CB6B54">
        <w:rPr>
          <w:rFonts w:ascii="Arial" w:hAnsi="Arial" w:cs="Arial"/>
          <w:i/>
          <w:iCs/>
          <w:sz w:val="20"/>
          <w:szCs w:val="20"/>
          <w:u w:val="single"/>
          <w:lang w:val="es-CO"/>
        </w:rPr>
        <w:t>Los componentes de los cruces o intersecciones, tales como:</w:t>
      </w:r>
      <w:r w:rsidRPr="00CB6B54">
        <w:rPr>
          <w:rFonts w:ascii="Arial" w:hAnsi="Arial" w:cs="Arial"/>
          <w:i/>
          <w:iCs/>
          <w:sz w:val="20"/>
          <w:szCs w:val="20"/>
          <w:lang w:val="es-CO"/>
        </w:rPr>
        <w:t xml:space="preserve"> esquinas, glorietas, orejas, puentes vehiculares, túneles y viaductos. </w:t>
      </w:r>
    </w:p>
    <w:p w14:paraId="0F63CB9C" w14:textId="77777777" w:rsidR="007531EF" w:rsidRPr="00CB6B54" w:rsidRDefault="007531EF" w:rsidP="007531EF">
      <w:pPr>
        <w:ind w:left="709" w:right="709"/>
        <w:rPr>
          <w:rFonts w:ascii="Arial" w:hAnsi="Arial" w:cs="Arial"/>
          <w:i/>
          <w:iCs/>
          <w:sz w:val="20"/>
          <w:szCs w:val="20"/>
          <w:lang w:val="es-CO"/>
        </w:rPr>
      </w:pPr>
    </w:p>
    <w:p w14:paraId="0286D16E" w14:textId="77777777" w:rsidR="007531EF" w:rsidRPr="00CB6B54" w:rsidRDefault="007531EF" w:rsidP="007531EF">
      <w:pPr>
        <w:ind w:left="709" w:right="709"/>
        <w:rPr>
          <w:rFonts w:ascii="Arial" w:hAnsi="Arial" w:cs="Arial"/>
          <w:i/>
          <w:iCs/>
          <w:sz w:val="20"/>
          <w:szCs w:val="20"/>
          <w:lang w:val="es-CO"/>
        </w:rPr>
      </w:pPr>
      <w:r w:rsidRPr="00CB6B54">
        <w:rPr>
          <w:rFonts w:ascii="Arial" w:hAnsi="Arial" w:cs="Arial"/>
          <w:i/>
          <w:iCs/>
          <w:sz w:val="20"/>
          <w:szCs w:val="20"/>
          <w:lang w:val="es-CO"/>
        </w:rPr>
        <w:t xml:space="preserve">Para los fines de los Documentos Tipo se entiende que estos elementos del Espacio Público deberán estar asociados o vinculados a una infraestructura de transporte.” </w:t>
      </w:r>
    </w:p>
    <w:p w14:paraId="091D0D74" w14:textId="77777777" w:rsidR="007531EF" w:rsidRDefault="007531EF" w:rsidP="007531EF">
      <w:pPr>
        <w:rPr>
          <w:lang w:val="es-CO"/>
        </w:rPr>
      </w:pPr>
    </w:p>
    <w:p w14:paraId="3A99E03A" w14:textId="129E2D35" w:rsidR="007531EF" w:rsidRPr="003A2839" w:rsidRDefault="003A2839" w:rsidP="003A2839">
      <w:pPr>
        <w:tabs>
          <w:tab w:val="left" w:pos="709"/>
          <w:tab w:val="left" w:pos="851"/>
        </w:tabs>
        <w:spacing w:after="120" w:line="276" w:lineRule="auto"/>
        <w:jc w:val="both"/>
        <w:rPr>
          <w:rFonts w:ascii="Arial" w:hAnsi="Arial" w:cs="Arial"/>
          <w:sz w:val="22"/>
          <w:szCs w:val="20"/>
        </w:rPr>
      </w:pPr>
      <w:r>
        <w:rPr>
          <w:rFonts w:ascii="Arial" w:hAnsi="Arial" w:cs="Arial"/>
          <w:sz w:val="22"/>
          <w:szCs w:val="20"/>
        </w:rPr>
        <w:t>P</w:t>
      </w:r>
      <w:r w:rsidR="007531EF" w:rsidRPr="003A2839">
        <w:rPr>
          <w:rFonts w:ascii="Arial" w:hAnsi="Arial" w:cs="Arial"/>
          <w:sz w:val="22"/>
          <w:szCs w:val="20"/>
        </w:rPr>
        <w:t xml:space="preserve">or su lado, la actividad 6.5 se enfoca a las labores de mantenimiento de espacio público asociado a la infraestructura de transporte, por tal motivo, la diferencia entre la actividad 6.4 y 6.5 radica en el tipo de actividades constructivas que pueden ser realizadas en el espacio público asociado a la infraestructura de transporte; y los elementos constitutivos artificiales o construidos tales como los relacionados en la definición 2.34 del Anexo 3 – Glosario. </w:t>
      </w:r>
    </w:p>
    <w:p w14:paraId="6219BD85" w14:textId="08436FAA" w:rsidR="007531EF" w:rsidRPr="003A2839" w:rsidRDefault="003A2839" w:rsidP="003A2839">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007531EF" w:rsidRPr="003A2839">
        <w:rPr>
          <w:rFonts w:ascii="Arial" w:hAnsi="Arial" w:cs="Arial"/>
          <w:sz w:val="22"/>
          <w:szCs w:val="20"/>
        </w:rPr>
        <w:t xml:space="preserve">Respecto a la pregunta 6.2., se informa que los parques no hacen parte de la infraestructura de transporte, ni </w:t>
      </w:r>
      <w:r>
        <w:rPr>
          <w:rFonts w:ascii="Arial" w:hAnsi="Arial" w:cs="Arial"/>
          <w:sz w:val="22"/>
          <w:szCs w:val="20"/>
        </w:rPr>
        <w:t>d</w:t>
      </w:r>
      <w:r w:rsidR="007531EF" w:rsidRPr="003A2839">
        <w:rPr>
          <w:rFonts w:ascii="Arial" w:hAnsi="Arial" w:cs="Arial"/>
          <w:sz w:val="22"/>
          <w:szCs w:val="20"/>
        </w:rPr>
        <w:t xml:space="preserve">el espacio público asociado a la infraestructura de transporte, por tal motivo no cuentan con una actividad de contratación en la matriz 1 y harían parte de las obras adicionales diferentes a la infraestructura de transporte que </w:t>
      </w:r>
      <w:r w:rsidR="007531EF" w:rsidRPr="003A2839">
        <w:rPr>
          <w:rFonts w:ascii="Arial" w:hAnsi="Arial" w:cs="Arial"/>
          <w:sz w:val="22"/>
          <w:szCs w:val="20"/>
        </w:rPr>
        <w:lastRenderedPageBreak/>
        <w:t xml:space="preserve">pueden ser incluidos siguiendo las consideraciones del artículo 2.2.1.2.6.1.5. del Decreto 1082 de 2015. </w:t>
      </w:r>
    </w:p>
    <w:p w14:paraId="1FF41D20" w14:textId="73C59ED8" w:rsidR="007531EF" w:rsidRPr="003A2839" w:rsidRDefault="003A2839" w:rsidP="003A2839">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007531EF" w:rsidRPr="003A2839">
        <w:rPr>
          <w:rFonts w:ascii="Arial" w:hAnsi="Arial" w:cs="Arial"/>
          <w:sz w:val="22"/>
          <w:szCs w:val="20"/>
        </w:rPr>
        <w:t>En relación con las ciclorrutas</w:t>
      </w:r>
      <w:r>
        <w:rPr>
          <w:rFonts w:ascii="Arial" w:hAnsi="Arial" w:cs="Arial"/>
          <w:sz w:val="22"/>
          <w:szCs w:val="20"/>
        </w:rPr>
        <w:t>,</w:t>
      </w:r>
      <w:r w:rsidR="007531EF" w:rsidRPr="003A2839">
        <w:rPr>
          <w:rFonts w:ascii="Arial" w:hAnsi="Arial" w:cs="Arial"/>
          <w:sz w:val="22"/>
          <w:szCs w:val="20"/>
        </w:rPr>
        <w:t xml:space="preserve"> est</w:t>
      </w:r>
      <w:r>
        <w:rPr>
          <w:rFonts w:ascii="Arial" w:hAnsi="Arial" w:cs="Arial"/>
          <w:sz w:val="22"/>
          <w:szCs w:val="20"/>
        </w:rPr>
        <w:t>a</w:t>
      </w:r>
      <w:r w:rsidR="007531EF" w:rsidRPr="003A2839">
        <w:rPr>
          <w:rFonts w:ascii="Arial" w:hAnsi="Arial" w:cs="Arial"/>
          <w:sz w:val="22"/>
          <w:szCs w:val="20"/>
        </w:rPr>
        <w:t>s hacen parte del espacio público asociado y se encuentran contempladas como actividades de mejoramiento según lo establecido en la Ley 1682 de 2013 y el Decreto 769 de 2014</w:t>
      </w:r>
      <w:r>
        <w:rPr>
          <w:rFonts w:ascii="Arial" w:hAnsi="Arial" w:cs="Arial"/>
          <w:sz w:val="22"/>
          <w:szCs w:val="20"/>
        </w:rPr>
        <w:t>,</w:t>
      </w:r>
      <w:r w:rsidR="007531EF" w:rsidRPr="003A2839">
        <w:rPr>
          <w:rFonts w:ascii="Arial" w:hAnsi="Arial" w:cs="Arial"/>
          <w:sz w:val="22"/>
          <w:szCs w:val="20"/>
        </w:rPr>
        <w:t xml:space="preserve"> el cual fue compilado en el Decreto 1076 de 2015, en el que se establece que una de las actividades de mejoramiento de proyectos de infraestructura de transporte </w:t>
      </w:r>
      <w:r>
        <w:rPr>
          <w:rFonts w:ascii="Arial" w:hAnsi="Arial" w:cs="Arial"/>
          <w:sz w:val="22"/>
          <w:szCs w:val="20"/>
        </w:rPr>
        <w:t>es</w:t>
      </w:r>
      <w:r w:rsidR="007531EF" w:rsidRPr="003A2839">
        <w:rPr>
          <w:rFonts w:ascii="Arial" w:hAnsi="Arial" w:cs="Arial"/>
          <w:sz w:val="22"/>
          <w:szCs w:val="20"/>
        </w:rPr>
        <w:t xml:space="preserve">: </w:t>
      </w:r>
      <w:r w:rsidRPr="003A2839">
        <w:rPr>
          <w:rFonts w:ascii="Arial" w:hAnsi="Arial" w:cs="Arial"/>
          <w:sz w:val="22"/>
          <w:szCs w:val="20"/>
        </w:rPr>
        <w:t>«</w:t>
      </w:r>
      <w:r w:rsidR="007531EF" w:rsidRPr="003A2839">
        <w:rPr>
          <w:rFonts w:ascii="Arial" w:hAnsi="Arial" w:cs="Arial"/>
          <w:sz w:val="22"/>
          <w:szCs w:val="20"/>
        </w:rPr>
        <w:t>14. La construcción de andenes, ciclorrutas, paraderos</w:t>
      </w:r>
      <w:r w:rsidRPr="003A2839">
        <w:rPr>
          <w:rFonts w:ascii="Arial" w:hAnsi="Arial" w:cs="Arial"/>
          <w:sz w:val="22"/>
          <w:szCs w:val="20"/>
        </w:rPr>
        <w:t>»</w:t>
      </w:r>
      <w:r w:rsidR="007531EF" w:rsidRPr="003A2839">
        <w:rPr>
          <w:rFonts w:ascii="Arial" w:hAnsi="Arial" w:cs="Arial"/>
          <w:sz w:val="22"/>
          <w:szCs w:val="20"/>
        </w:rPr>
        <w:t>.</w:t>
      </w:r>
    </w:p>
    <w:p w14:paraId="7F9299FF" w14:textId="0E415CC9" w:rsidR="007531EF" w:rsidRPr="003A2839" w:rsidRDefault="003A2839" w:rsidP="003A2839">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007531EF" w:rsidRPr="003A2839">
        <w:rPr>
          <w:rFonts w:ascii="Arial" w:hAnsi="Arial" w:cs="Arial"/>
          <w:sz w:val="22"/>
          <w:szCs w:val="20"/>
        </w:rPr>
        <w:t xml:space="preserve">Por su lado, se acepta la acreditación de experiencia en plazoletas, </w:t>
      </w:r>
      <w:proofErr w:type="spellStart"/>
      <w:r w:rsidR="007531EF" w:rsidRPr="003A2839">
        <w:rPr>
          <w:rFonts w:ascii="Arial" w:hAnsi="Arial" w:cs="Arial"/>
          <w:sz w:val="22"/>
          <w:szCs w:val="20"/>
        </w:rPr>
        <w:t>m</w:t>
      </w:r>
      <w:r>
        <w:rPr>
          <w:rFonts w:ascii="Arial" w:hAnsi="Arial" w:cs="Arial"/>
          <w:sz w:val="22"/>
          <w:szCs w:val="20"/>
        </w:rPr>
        <w:t>a</w:t>
      </w:r>
      <w:r w:rsidR="007531EF" w:rsidRPr="003A2839">
        <w:rPr>
          <w:rFonts w:ascii="Arial" w:hAnsi="Arial" w:cs="Arial"/>
          <w:sz w:val="22"/>
          <w:szCs w:val="20"/>
        </w:rPr>
        <w:t>s</w:t>
      </w:r>
      <w:proofErr w:type="spellEnd"/>
      <w:r w:rsidR="007531EF" w:rsidRPr="003A2839">
        <w:rPr>
          <w:rFonts w:ascii="Arial" w:hAnsi="Arial" w:cs="Arial"/>
          <w:sz w:val="22"/>
          <w:szCs w:val="20"/>
        </w:rPr>
        <w:t xml:space="preserve"> estas no hacen parte de la infraestructura de transporte, por tal motivo, si las plazoletas se encuentran asociadas a una infraestructura de transporte, como lo es una vía, podrán ser incluidas bajo la actividad 6.4. Por el contrario, si la entidad decide adelantar un proceso de contratación exclusivo de plazoletas, sin estar asociada a una infraestructura de transporte, no será procedente </w:t>
      </w:r>
      <w:r w:rsidR="003213B2">
        <w:rPr>
          <w:rFonts w:ascii="Arial" w:hAnsi="Arial" w:cs="Arial"/>
          <w:sz w:val="22"/>
          <w:szCs w:val="20"/>
        </w:rPr>
        <w:t xml:space="preserve">aplicar </w:t>
      </w:r>
      <w:r w:rsidR="007531EF" w:rsidRPr="003A2839">
        <w:rPr>
          <w:rFonts w:ascii="Arial" w:hAnsi="Arial" w:cs="Arial"/>
          <w:sz w:val="22"/>
          <w:szCs w:val="20"/>
        </w:rPr>
        <w:t xml:space="preserve">el documento tipo. </w:t>
      </w:r>
    </w:p>
    <w:p w14:paraId="23C67E40" w14:textId="6D8EFF7F" w:rsidR="007531EF" w:rsidRPr="003A2839" w:rsidRDefault="003213B2" w:rsidP="003A2839">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007531EF" w:rsidRPr="003A2839">
        <w:rPr>
          <w:rFonts w:ascii="Arial" w:hAnsi="Arial" w:cs="Arial"/>
          <w:sz w:val="22"/>
          <w:szCs w:val="20"/>
        </w:rPr>
        <w:t xml:space="preserve">Adicionalmente, en cuanto la construcción de vías urbanas, no </w:t>
      </w:r>
      <w:r>
        <w:rPr>
          <w:rFonts w:ascii="Arial" w:hAnsi="Arial" w:cs="Arial"/>
          <w:sz w:val="22"/>
          <w:szCs w:val="20"/>
        </w:rPr>
        <w:t>son</w:t>
      </w:r>
      <w:r w:rsidR="007531EF" w:rsidRPr="003A2839">
        <w:rPr>
          <w:rFonts w:ascii="Arial" w:hAnsi="Arial" w:cs="Arial"/>
          <w:sz w:val="22"/>
          <w:szCs w:val="20"/>
        </w:rPr>
        <w:t xml:space="preserve"> aplicable las actividades a contratar 6.4 y 6.5, toda vez que estas se encuentran enfocadas a espacio público asociado a la infraestructura de transporte como tal, y para la construcción de vías urbanas será procede la actividad correspondiente a la actividad de ingeniería a realizar: </w:t>
      </w:r>
      <w:r w:rsidR="007E24B7">
        <w:rPr>
          <w:rFonts w:ascii="Arial" w:hAnsi="Arial" w:cs="Arial"/>
          <w:sz w:val="22"/>
          <w:szCs w:val="20"/>
        </w:rPr>
        <w:t>c</w:t>
      </w:r>
      <w:r w:rsidR="007531EF" w:rsidRPr="003A2839">
        <w:rPr>
          <w:rFonts w:ascii="Arial" w:hAnsi="Arial" w:cs="Arial"/>
          <w:sz w:val="22"/>
          <w:szCs w:val="20"/>
        </w:rPr>
        <w:t xml:space="preserve">onstrucción, rehabilitación, reconstrucción, mantenimiento, mejoramiento o conservación, según sea la necesidad y alcance producto de la etapa previa de planeación de cada entidad. </w:t>
      </w:r>
    </w:p>
    <w:p w14:paraId="101E3992" w14:textId="5505CEA0" w:rsidR="00E15943" w:rsidRPr="003A2839" w:rsidRDefault="003213B2" w:rsidP="003A2839">
      <w:pPr>
        <w:tabs>
          <w:tab w:val="left" w:pos="709"/>
          <w:tab w:val="left" w:pos="851"/>
        </w:tabs>
        <w:spacing w:after="120" w:line="276" w:lineRule="auto"/>
        <w:jc w:val="both"/>
        <w:rPr>
          <w:rFonts w:ascii="Arial" w:hAnsi="Arial" w:cs="Arial"/>
          <w:sz w:val="22"/>
          <w:szCs w:val="20"/>
        </w:rPr>
      </w:pPr>
      <w:r>
        <w:rPr>
          <w:rFonts w:ascii="Arial" w:hAnsi="Arial" w:cs="Arial"/>
          <w:sz w:val="22"/>
          <w:szCs w:val="20"/>
        </w:rPr>
        <w:tab/>
      </w:r>
      <w:r w:rsidR="007531EF" w:rsidRPr="003A2839">
        <w:rPr>
          <w:rFonts w:ascii="Arial" w:hAnsi="Arial" w:cs="Arial"/>
          <w:sz w:val="22"/>
          <w:szCs w:val="20"/>
        </w:rPr>
        <w:t>Finalmente, respecto a los andenes, sí aplican las actividades 6.4 y 6.5, por ser elementos constitutivos asociados al perfil vial de las vías urbanas, en ese sentido, según sea la clasificación en el Plan de Ordenamiento Territorial, según condiciones geométricas o clasificaciones viales que hayan sido otorgadas, se cuenta que los perfiles viales se componen de: calzadas, separadores, bordillos, sardineles andenes, ciclo</w:t>
      </w:r>
      <w:r w:rsidR="00E52852">
        <w:rPr>
          <w:rFonts w:ascii="Arial" w:hAnsi="Arial" w:cs="Arial"/>
          <w:sz w:val="22"/>
          <w:szCs w:val="20"/>
        </w:rPr>
        <w:t>r</w:t>
      </w:r>
      <w:r w:rsidR="007531EF" w:rsidRPr="003A2839">
        <w:rPr>
          <w:rFonts w:ascii="Arial" w:hAnsi="Arial" w:cs="Arial"/>
          <w:sz w:val="22"/>
          <w:szCs w:val="20"/>
        </w:rPr>
        <w:t>rutas a nivel de calzada o en andén, por mencionar los elementos de mayor recurrencia en un perfil vial típico.</w:t>
      </w:r>
    </w:p>
    <w:p w14:paraId="44956C13" w14:textId="51D39335" w:rsidR="005D5804" w:rsidRDefault="005D5804" w:rsidP="00DF76A2">
      <w:pPr>
        <w:tabs>
          <w:tab w:val="left" w:pos="0"/>
        </w:tabs>
        <w:spacing w:line="276" w:lineRule="auto"/>
        <w:jc w:val="both"/>
        <w:rPr>
          <w:rFonts w:ascii="Arial" w:eastAsia="Calibri" w:hAnsi="Arial" w:cs="Arial"/>
          <w:color w:val="000000" w:themeColor="text1"/>
          <w:sz w:val="22"/>
          <w:lang w:val="es-ES_tradnl"/>
        </w:rPr>
      </w:pPr>
    </w:p>
    <w:p w14:paraId="7B2C921D" w14:textId="3030BB0D" w:rsidR="00DD5B04" w:rsidRDefault="00DD5B04" w:rsidP="005B1151">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49FB1D92" w14:textId="0C3CD115" w:rsidR="00D94DC6" w:rsidRDefault="00D94DC6" w:rsidP="00D94DC6">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Atentamente,</w:t>
      </w:r>
    </w:p>
    <w:p w14:paraId="142DC416" w14:textId="77777777" w:rsidR="005C67B1" w:rsidRPr="00781A1B" w:rsidRDefault="005C67B1" w:rsidP="00D94DC6">
      <w:pPr>
        <w:tabs>
          <w:tab w:val="left" w:pos="426"/>
        </w:tabs>
        <w:spacing w:after="120" w:line="276" w:lineRule="auto"/>
        <w:jc w:val="both"/>
        <w:rPr>
          <w:rFonts w:ascii="Arial" w:eastAsia="Times New Roman" w:hAnsi="Arial" w:cs="Arial"/>
          <w:color w:val="000000" w:themeColor="text1"/>
          <w:sz w:val="18"/>
          <w:szCs w:val="20"/>
          <w:lang w:val="es-ES_tradnl" w:eastAsia="es-CO"/>
        </w:rPr>
      </w:pPr>
    </w:p>
    <w:p w14:paraId="41AA3E55" w14:textId="126372EE" w:rsidR="00D94DC6" w:rsidRPr="00781A1B" w:rsidRDefault="005C67B1" w:rsidP="00D94DC6">
      <w:pPr>
        <w:jc w:val="center"/>
        <w:rPr>
          <w:rFonts w:ascii="Arial" w:eastAsia="Times New Roman" w:hAnsi="Arial" w:cs="Arial"/>
          <w:color w:val="000000" w:themeColor="text1"/>
          <w:sz w:val="18"/>
          <w:szCs w:val="20"/>
          <w:lang w:val="es-ES_tradnl" w:eastAsia="es-CO"/>
        </w:rPr>
      </w:pPr>
      <w:r>
        <w:rPr>
          <w:noProof/>
        </w:rPr>
        <w:lastRenderedPageBreak/>
        <w:drawing>
          <wp:inline distT="0" distB="0" distL="0" distR="0" wp14:anchorId="4BC238D2" wp14:editId="750ABAAF">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3B2629FB" w14:textId="77777777" w:rsidR="00D94DC6" w:rsidRPr="00781A1B"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94DC6" w:rsidRPr="00781A1B" w14:paraId="0834B13C" w14:textId="77777777" w:rsidTr="00F02B6E">
        <w:trPr>
          <w:trHeight w:val="315"/>
        </w:trPr>
        <w:tc>
          <w:tcPr>
            <w:tcW w:w="812" w:type="dxa"/>
            <w:vAlign w:val="center"/>
            <w:hideMark/>
          </w:tcPr>
          <w:p w14:paraId="422559A0"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57C6FF15"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D94DC6" w:rsidRPr="00781A1B" w14:paraId="6570F65B" w14:textId="77777777" w:rsidTr="00F02B6E">
        <w:trPr>
          <w:trHeight w:val="330"/>
        </w:trPr>
        <w:tc>
          <w:tcPr>
            <w:tcW w:w="812" w:type="dxa"/>
            <w:vAlign w:val="center"/>
            <w:hideMark/>
          </w:tcPr>
          <w:p w14:paraId="687FEDC9"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30C3DFE4"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r w:rsidR="00D94DC6" w:rsidRPr="00781A1B" w14:paraId="436F0824" w14:textId="77777777" w:rsidTr="00F02B6E">
        <w:trPr>
          <w:trHeight w:val="300"/>
        </w:trPr>
        <w:tc>
          <w:tcPr>
            <w:tcW w:w="812" w:type="dxa"/>
            <w:vAlign w:val="center"/>
            <w:hideMark/>
          </w:tcPr>
          <w:p w14:paraId="39A7FAAB"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7B749B19" w14:textId="77777777" w:rsidR="00D94DC6" w:rsidRPr="00781A1B" w:rsidRDefault="00D94DC6" w:rsidP="00F02B6E">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943AF" w14:textId="77777777" w:rsidR="00A0249B" w:rsidRDefault="00A0249B">
      <w:r>
        <w:separator/>
      </w:r>
    </w:p>
  </w:endnote>
  <w:endnote w:type="continuationSeparator" w:id="0">
    <w:p w14:paraId="7D20723B" w14:textId="77777777" w:rsidR="00A0249B" w:rsidRDefault="00A0249B">
      <w:r>
        <w:continuationSeparator/>
      </w:r>
    </w:p>
  </w:endnote>
  <w:endnote w:type="continuationNotice" w:id="1">
    <w:p w14:paraId="704B9FD7" w14:textId="77777777" w:rsidR="00A0249B" w:rsidRDefault="00A02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F02B6E" w:rsidRDefault="00F02B6E" w:rsidP="00322937">
    <w:pPr>
      <w:pStyle w:val="Sinespaciado"/>
      <w:jc w:val="right"/>
      <w:rPr>
        <w:rFonts w:ascii="Arial" w:hAnsi="Arial" w:cs="Arial"/>
        <w:sz w:val="18"/>
        <w:szCs w:val="18"/>
      </w:rPr>
    </w:pPr>
  </w:p>
  <w:p w14:paraId="7A3785F3" w14:textId="2EF28465" w:rsidR="00F02B6E" w:rsidRPr="008217B7" w:rsidRDefault="00F02B6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F02B6E" w:rsidRDefault="00F02B6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F02B6E" w:rsidRDefault="00F02B6E" w:rsidP="007B0854">
    <w:pPr>
      <w:pStyle w:val="Piedepgina"/>
      <w:jc w:val="center"/>
      <w:rPr>
        <w:lang w:val="es-ES"/>
      </w:rPr>
    </w:pPr>
  </w:p>
  <w:p w14:paraId="6C0EFC49" w14:textId="77777777" w:rsidR="00F02B6E" w:rsidRPr="007B0854" w:rsidRDefault="00F02B6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7FFD5" w14:textId="77777777" w:rsidR="00A0249B" w:rsidRDefault="00A0249B">
      <w:r>
        <w:separator/>
      </w:r>
    </w:p>
  </w:footnote>
  <w:footnote w:type="continuationSeparator" w:id="0">
    <w:p w14:paraId="4E753C64" w14:textId="77777777" w:rsidR="00A0249B" w:rsidRDefault="00A0249B">
      <w:r>
        <w:continuationSeparator/>
      </w:r>
    </w:p>
  </w:footnote>
  <w:footnote w:type="continuationNotice" w:id="1">
    <w:p w14:paraId="04BE9598" w14:textId="77777777" w:rsidR="00A0249B" w:rsidRDefault="00A0249B"/>
  </w:footnote>
  <w:footnote w:id="2">
    <w:p w14:paraId="1A11B91C" w14:textId="77777777" w:rsidR="000245A2" w:rsidRPr="00BC1ADF" w:rsidRDefault="000245A2" w:rsidP="000245A2">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footnote>
  <w:footnote w:id="3">
    <w:p w14:paraId="34F732ED" w14:textId="77777777" w:rsidR="000245A2" w:rsidRPr="00146D26" w:rsidRDefault="000245A2" w:rsidP="000245A2">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footnote>
  <w:footnote w:id="4">
    <w:p w14:paraId="0A697A14" w14:textId="77777777" w:rsidR="000245A2" w:rsidRPr="0016135D" w:rsidRDefault="000245A2" w:rsidP="000245A2">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footnote>
  <w:footnote w:id="5">
    <w:p w14:paraId="0B7D0BCA" w14:textId="77777777" w:rsidR="000245A2" w:rsidRPr="0016135D" w:rsidRDefault="000245A2" w:rsidP="000245A2">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6">
    <w:p w14:paraId="19218954" w14:textId="044E9764"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Código Civil: «Artículo 33. Palabras relacionadas con las personas. La palabra persona en su sentido general se aplica(rá) a la especie humana, sin distinción de sexo».</w:t>
      </w:r>
    </w:p>
    <w:p w14:paraId="369E2013" w14:textId="77777777" w:rsidR="00422A38" w:rsidRDefault="00422A38" w:rsidP="00422A38">
      <w:pPr>
        <w:pStyle w:val="Textonotapie"/>
        <w:ind w:firstLine="709"/>
        <w:jc w:val="both"/>
        <w:rPr>
          <w:rFonts w:ascii="Arial" w:hAnsi="Arial" w:cs="Arial"/>
          <w:sz w:val="19"/>
          <w:szCs w:val="19"/>
          <w:lang w:val="es-CO"/>
        </w:rPr>
      </w:pPr>
    </w:p>
  </w:footnote>
  <w:footnote w:id="7">
    <w:p w14:paraId="6B415A75"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45382760" w14:textId="77777777" w:rsidR="00422A38" w:rsidRDefault="00422A38" w:rsidP="00422A38">
      <w:pPr>
        <w:pStyle w:val="Textonotapie"/>
        <w:ind w:firstLine="709"/>
        <w:jc w:val="both"/>
        <w:rPr>
          <w:rFonts w:ascii="Arial" w:hAnsi="Arial" w:cs="Arial"/>
          <w:sz w:val="19"/>
          <w:szCs w:val="19"/>
          <w:lang w:val="es-CO"/>
        </w:rPr>
      </w:pPr>
    </w:p>
  </w:footnote>
  <w:footnote w:id="8">
    <w:p w14:paraId="164B64DF"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Código Civil: «Artículo 113. Definición. El matrimonio es un contrato solemne por el cual un hombre y una mujer se unen con el fin de vivir juntos, de procrear y de auxiliarse mutuamente».</w:t>
      </w:r>
    </w:p>
    <w:p w14:paraId="65696E11" w14:textId="77777777" w:rsidR="00422A38" w:rsidRDefault="00422A38" w:rsidP="00422A38">
      <w:pPr>
        <w:pStyle w:val="Textonotapie"/>
        <w:ind w:firstLine="709"/>
        <w:jc w:val="both"/>
        <w:rPr>
          <w:rFonts w:ascii="Arial" w:hAnsi="Arial" w:cs="Arial"/>
          <w:sz w:val="19"/>
          <w:szCs w:val="19"/>
          <w:lang w:val="es-CO"/>
        </w:rPr>
      </w:pPr>
    </w:p>
  </w:footnote>
  <w:footnote w:id="9">
    <w:p w14:paraId="18B05EB7"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54 de 1990: «Artículo 1. A partir de la vigencia de la presente Ley y para todos los efectos civiles, se denomina Unión Marital de Hecho, la formada entre un hombre y una mujer, que sin estar casados, hacen una comunidad de vida permanente y singular.</w:t>
      </w:r>
    </w:p>
    <w:p w14:paraId="412E5278" w14:textId="77777777" w:rsidR="00422A38" w:rsidRDefault="00422A38" w:rsidP="00422A38">
      <w:pPr>
        <w:pStyle w:val="Textonotapie"/>
        <w:ind w:firstLine="709"/>
        <w:jc w:val="both"/>
        <w:rPr>
          <w:rFonts w:ascii="Arial" w:hAnsi="Arial" w:cs="Arial"/>
          <w:sz w:val="19"/>
          <w:szCs w:val="19"/>
        </w:rPr>
      </w:pPr>
      <w:r>
        <w:rPr>
          <w:rFonts w:ascii="Arial" w:hAnsi="Arial" w:cs="Arial"/>
          <w:sz w:val="19"/>
          <w:szCs w:val="19"/>
        </w:rPr>
        <w:t>»Igualmente, y para todos los efectos civiles, se denominan compañero y compañera permanente, al hombre y la mujer que forman parte de la unión marital de hecho».</w:t>
      </w:r>
    </w:p>
    <w:p w14:paraId="291EA414" w14:textId="77777777" w:rsidR="00422A38" w:rsidRDefault="00422A38" w:rsidP="00422A38">
      <w:pPr>
        <w:pStyle w:val="Textonotapie"/>
        <w:ind w:firstLine="709"/>
        <w:jc w:val="both"/>
        <w:rPr>
          <w:rFonts w:ascii="Arial" w:hAnsi="Arial" w:cs="Arial"/>
          <w:sz w:val="19"/>
          <w:szCs w:val="19"/>
          <w:lang w:val="es-CO"/>
        </w:rPr>
      </w:pPr>
    </w:p>
  </w:footnote>
  <w:footnote w:id="10">
    <w:p w14:paraId="17896EFB"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CORTE CONSTITUCIONAL. Sentencia C-029 de 2009. M.P. Rodrigo Escobar Gil.</w:t>
      </w:r>
    </w:p>
    <w:p w14:paraId="0E735340" w14:textId="77777777" w:rsidR="00422A38" w:rsidRDefault="00422A38" w:rsidP="00422A38">
      <w:pPr>
        <w:pStyle w:val="Textonotapie"/>
        <w:ind w:firstLine="709"/>
        <w:jc w:val="both"/>
        <w:rPr>
          <w:rFonts w:ascii="Arial" w:hAnsi="Arial" w:cs="Arial"/>
          <w:sz w:val="19"/>
          <w:szCs w:val="19"/>
          <w:lang w:val="es-CO"/>
        </w:rPr>
      </w:pPr>
    </w:p>
  </w:footnote>
  <w:footnote w:id="11">
    <w:p w14:paraId="2CCE4A33" w14:textId="72B43E3F" w:rsidR="00422A38" w:rsidRDefault="00422A38" w:rsidP="00422A38">
      <w:pPr>
        <w:pStyle w:val="Textonotapie"/>
        <w:ind w:firstLine="709"/>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Código Civil</w:t>
      </w:r>
      <w:r w:rsidR="00E52852">
        <w:rPr>
          <w:rFonts w:ascii="Arial" w:hAnsi="Arial" w:cs="Arial"/>
          <w:sz w:val="19"/>
          <w:szCs w:val="19"/>
        </w:rPr>
        <w:t>, a</w:t>
      </w:r>
      <w:r>
        <w:rPr>
          <w:rFonts w:ascii="Arial" w:hAnsi="Arial" w:cs="Arial"/>
          <w:sz w:val="19"/>
          <w:szCs w:val="19"/>
        </w:rPr>
        <w:t>rtículo 36.</w:t>
      </w:r>
    </w:p>
  </w:footnote>
  <w:footnote w:id="12">
    <w:p w14:paraId="0101470B"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Código Civil: «Artículo 47. Afinidad legítima. Afinidad legítima es la que existe entre una persona que está o ha estado casada y los consanguíneos legítimos de su marido o mujer […]».</w:t>
      </w:r>
    </w:p>
    <w:p w14:paraId="290F3389" w14:textId="77777777" w:rsidR="00422A38" w:rsidRDefault="00422A38" w:rsidP="00422A38">
      <w:pPr>
        <w:pStyle w:val="Textonotapie"/>
        <w:ind w:firstLine="709"/>
        <w:jc w:val="both"/>
        <w:rPr>
          <w:rFonts w:ascii="Arial" w:hAnsi="Arial" w:cs="Arial"/>
          <w:sz w:val="19"/>
          <w:szCs w:val="19"/>
        </w:rPr>
      </w:pPr>
    </w:p>
  </w:footnote>
  <w:footnote w:id="13">
    <w:p w14:paraId="4738CDA3"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CORTE CONSTITUCIONAL. Sentencia C ‒ 595 de 1996. M.P. Jorge Arango Mejía.</w:t>
      </w:r>
    </w:p>
    <w:p w14:paraId="6935B466" w14:textId="77777777" w:rsidR="00422A38" w:rsidRDefault="00422A38" w:rsidP="00422A38">
      <w:pPr>
        <w:pStyle w:val="Textonotapie"/>
        <w:ind w:firstLine="709"/>
        <w:jc w:val="both"/>
        <w:rPr>
          <w:rFonts w:ascii="Arial" w:hAnsi="Arial" w:cs="Arial"/>
          <w:sz w:val="19"/>
          <w:szCs w:val="19"/>
          <w:lang w:val="es-CO"/>
        </w:rPr>
      </w:pPr>
    </w:p>
  </w:footnote>
  <w:footnote w:id="14">
    <w:p w14:paraId="347DEBEF" w14:textId="2BB8349C"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35E2C226" w14:textId="54C70915" w:rsidR="00422A38" w:rsidRDefault="00422A38" w:rsidP="00422A38">
      <w:pPr>
        <w:pStyle w:val="Textonotapie"/>
        <w:ind w:firstLine="709"/>
        <w:jc w:val="both"/>
        <w:rPr>
          <w:rFonts w:ascii="Arial" w:hAnsi="Arial" w:cs="Arial"/>
          <w:sz w:val="19"/>
          <w:szCs w:val="19"/>
          <w:lang w:val="es-CO"/>
        </w:rPr>
      </w:pPr>
      <w:r>
        <w:rPr>
          <w:rFonts w:ascii="Arial" w:hAnsi="Arial" w:cs="Arial"/>
          <w:sz w:val="19"/>
          <w:szCs w:val="19"/>
        </w:rPr>
        <w:t>«Artículo 47. Afinidad legítima. […] La línea o grado de afinidad legítima de una persona con un consanguíneo de su marido o mujer, se califica por la línea o grado de consanguinidad legítima de dicho marido o mujer con el dicho consanguíneo […]».</w:t>
      </w:r>
    </w:p>
  </w:footnote>
  <w:footnote w:id="15">
    <w:p w14:paraId="573EFA54"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CORTE CONSTITUCIONAL. Sentencia C-415 de 1994. M.P. Eduardo Cifuentes Muñoz.</w:t>
      </w:r>
    </w:p>
    <w:p w14:paraId="26165025" w14:textId="77777777" w:rsidR="00422A38" w:rsidRDefault="00422A38" w:rsidP="00422A38">
      <w:pPr>
        <w:pStyle w:val="Textonotapie"/>
        <w:ind w:firstLine="709"/>
        <w:jc w:val="both"/>
        <w:rPr>
          <w:rFonts w:ascii="Arial" w:hAnsi="Arial" w:cs="Arial"/>
          <w:sz w:val="19"/>
          <w:szCs w:val="19"/>
          <w:lang w:val="es-CO"/>
        </w:rPr>
      </w:pPr>
    </w:p>
  </w:footnote>
  <w:footnote w:id="16">
    <w:p w14:paraId="410D56EF"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Subsección C. Sentencia del 9 de julio de 2014. Rad. 47.830. C.P. Jaime Orlando Santofimio Gamboa.</w:t>
      </w:r>
    </w:p>
    <w:p w14:paraId="37CCF135" w14:textId="77777777" w:rsidR="00422A38" w:rsidRDefault="00422A38" w:rsidP="00422A38">
      <w:pPr>
        <w:pStyle w:val="Textonotapie"/>
        <w:ind w:firstLine="709"/>
        <w:jc w:val="both"/>
        <w:rPr>
          <w:rFonts w:ascii="Arial" w:hAnsi="Arial" w:cs="Arial"/>
          <w:sz w:val="19"/>
          <w:szCs w:val="19"/>
          <w:lang w:val="es-CO"/>
        </w:rPr>
      </w:pPr>
    </w:p>
  </w:footnote>
  <w:footnote w:id="17">
    <w:p w14:paraId="4C4E44B0"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30. De la estructura de los procedimientos de selección. La licitación se efectuará conforme a las siguientes reglas:</w:t>
      </w:r>
    </w:p>
    <w:p w14:paraId="370C4E09" w14:textId="07C4EC01" w:rsidR="00422A38" w:rsidRDefault="00422A38" w:rsidP="00422A38">
      <w:pPr>
        <w:pStyle w:val="Textonotapie"/>
        <w:ind w:firstLine="709"/>
        <w:jc w:val="both"/>
        <w:rPr>
          <w:rFonts w:ascii="Arial" w:hAnsi="Arial" w:cs="Arial"/>
          <w:sz w:val="19"/>
          <w:szCs w:val="19"/>
        </w:rPr>
      </w:pPr>
      <w:r>
        <w:rPr>
          <w:rFonts w:ascii="Arial" w:hAnsi="Arial" w:cs="Arial"/>
          <w:sz w:val="19"/>
          <w:szCs w:val="19"/>
        </w:rPr>
        <w:t>[…]»Parágrafo. Para los efectos de la presente ley se entiende por licitación pública el procedimiento mediante el cual la entidad estatal formula públicamente una convocatoria para que, en igualdad de oportunidades, los interesados presenten sus ofertas y seleccione entre ellas la más favorable».</w:t>
      </w:r>
    </w:p>
    <w:p w14:paraId="6E1A8FB3" w14:textId="77777777" w:rsidR="00422A38" w:rsidRDefault="00422A38" w:rsidP="00422A38">
      <w:pPr>
        <w:pStyle w:val="Textonotapie"/>
        <w:ind w:firstLine="709"/>
        <w:jc w:val="both"/>
        <w:rPr>
          <w:rFonts w:ascii="Arial" w:hAnsi="Arial" w:cs="Arial"/>
          <w:smallCaps/>
          <w:sz w:val="19"/>
          <w:szCs w:val="19"/>
          <w:lang w:val="es-CO"/>
        </w:rPr>
      </w:pPr>
    </w:p>
  </w:footnote>
  <w:footnote w:id="18">
    <w:p w14:paraId="0C07BD77" w14:textId="77777777" w:rsidR="00422A38" w:rsidRDefault="00422A38" w:rsidP="00422A3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7. De los consorcios y uniones temporales.</w:t>
      </w:r>
    </w:p>
    <w:p w14:paraId="1FFC4664" w14:textId="77777777" w:rsidR="00422A38" w:rsidRDefault="00422A38" w:rsidP="00422A38">
      <w:pPr>
        <w:pStyle w:val="Textonotapie"/>
        <w:ind w:firstLine="709"/>
        <w:jc w:val="both"/>
        <w:rPr>
          <w:rFonts w:ascii="Arial" w:hAnsi="Arial" w:cs="Arial"/>
          <w:sz w:val="19"/>
          <w:szCs w:val="19"/>
        </w:rPr>
      </w:pPr>
      <w:r>
        <w:rPr>
          <w:rFonts w:ascii="Arial" w:hAnsi="Arial" w:cs="Arial"/>
          <w:sz w:val="19"/>
          <w:szCs w:val="19"/>
        </w:rPr>
        <w:t>»Para los efectos de esta ley se entiende por:</w:t>
      </w:r>
    </w:p>
    <w:p w14:paraId="2C251ABC" w14:textId="77777777" w:rsidR="00422A38" w:rsidRDefault="00422A38" w:rsidP="00422A38">
      <w:pPr>
        <w:pStyle w:val="Textonotapie"/>
        <w:ind w:firstLine="709"/>
        <w:jc w:val="both"/>
        <w:rPr>
          <w:rFonts w:ascii="Arial" w:hAnsi="Arial" w:cs="Arial"/>
          <w:sz w:val="19"/>
          <w:szCs w:val="19"/>
        </w:rPr>
      </w:pPr>
      <w:r>
        <w:rPr>
          <w:rFonts w:ascii="Arial" w:hAnsi="Arial" w:cs="Arial"/>
          <w:sz w:val="19"/>
          <w:szCs w:val="19"/>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267F5ED0" w14:textId="77777777" w:rsidR="00422A38" w:rsidRDefault="00422A38" w:rsidP="00422A38">
      <w:pPr>
        <w:pStyle w:val="Textonotapie"/>
        <w:ind w:firstLine="709"/>
        <w:jc w:val="both"/>
        <w:rPr>
          <w:rFonts w:ascii="Arial" w:hAnsi="Arial" w:cs="Arial"/>
          <w:sz w:val="19"/>
          <w:szCs w:val="19"/>
        </w:rPr>
      </w:pPr>
      <w:r>
        <w:rPr>
          <w:rFonts w:ascii="Arial" w:hAnsi="Arial" w:cs="Arial"/>
          <w:sz w:val="19"/>
          <w:szCs w:val="19"/>
        </w:rPr>
        <w:t>»2. Unión Temporal:</w:t>
      </w:r>
    </w:p>
    <w:p w14:paraId="7F651418" w14:textId="77777777" w:rsidR="00422A38" w:rsidRDefault="00422A38" w:rsidP="00422A38">
      <w:pPr>
        <w:pStyle w:val="Textonotapie"/>
        <w:ind w:firstLine="709"/>
        <w:jc w:val="both"/>
        <w:rPr>
          <w:rFonts w:ascii="Arial" w:hAnsi="Arial" w:cs="Arial"/>
          <w:sz w:val="19"/>
          <w:szCs w:val="19"/>
        </w:rPr>
      </w:pPr>
      <w:r>
        <w:rPr>
          <w:rFonts w:ascii="Arial" w:hAnsi="Arial" w:cs="Arial"/>
          <w:sz w:val="19"/>
          <w:szCs w:val="19"/>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63C0E84F" w14:textId="77777777" w:rsidR="00422A38" w:rsidRDefault="00422A38" w:rsidP="00422A38">
      <w:pPr>
        <w:pStyle w:val="Textonotapie"/>
        <w:jc w:val="both"/>
        <w:rPr>
          <w:rFonts w:ascii="Arial" w:hAnsi="Arial" w:cs="Arial"/>
          <w:sz w:val="19"/>
          <w:szCs w:val="19"/>
        </w:rPr>
      </w:pPr>
    </w:p>
  </w:footnote>
  <w:footnote w:id="19">
    <w:p w14:paraId="7A9D07D2" w14:textId="77777777" w:rsidR="00422A38" w:rsidRDefault="00422A38" w:rsidP="00422A38">
      <w:pPr>
        <w:pStyle w:val="Textonotapie"/>
        <w:ind w:firstLine="708"/>
        <w:jc w:val="both"/>
        <w:rPr>
          <w:rFonts w:ascii="Arial" w:hAnsi="Arial" w:cs="Arial"/>
          <w:sz w:val="19"/>
          <w:szCs w:val="19"/>
        </w:rPr>
      </w:pPr>
      <w:r>
        <w:rPr>
          <w:rFonts w:ascii="Arial" w:hAnsi="Arial" w:cs="Arial"/>
          <w:sz w:val="19"/>
          <w:szCs w:val="19"/>
          <w:vertAlign w:val="superscript"/>
        </w:rPr>
        <w:footnoteRef/>
      </w:r>
      <w:r>
        <w:rPr>
          <w:rFonts w:ascii="Arial" w:hAnsi="Arial" w:cs="Arial"/>
          <w:sz w:val="19"/>
          <w:szCs w:val="19"/>
        </w:rPr>
        <w:t xml:space="preserve"> CORTE CONSTITUCIONAL. Sentencia C ‒ 414 de 1996. M.P. Antonio Barrera Carbonell.</w:t>
      </w:r>
    </w:p>
    <w:p w14:paraId="7541FD6B" w14:textId="77777777" w:rsidR="00422A38" w:rsidRDefault="00422A38" w:rsidP="00422A38">
      <w:pPr>
        <w:pStyle w:val="Textonotapie"/>
        <w:jc w:val="both"/>
        <w:rPr>
          <w:rFonts w:ascii="Arial" w:hAnsi="Arial" w:cs="Arial"/>
          <w:sz w:val="19"/>
          <w:szCs w:val="19"/>
          <w:lang w:val="es-ES"/>
        </w:rPr>
      </w:pPr>
    </w:p>
  </w:footnote>
  <w:footnote w:id="20">
    <w:p w14:paraId="455E9FD8" w14:textId="77777777" w:rsidR="00422A38" w:rsidRDefault="00422A38" w:rsidP="00422A38">
      <w:pPr>
        <w:pStyle w:val="Textonotapie"/>
        <w:ind w:firstLine="709"/>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CONSEJO DE ESTADO. Sección Tercera. Subsección A. Sentencia del 10 de febrero de 2011. Rad. 16.306. C.P. Hernán Andrade Rincón.</w:t>
      </w:r>
    </w:p>
  </w:footnote>
  <w:footnote w:id="21">
    <w:p w14:paraId="5A26F610" w14:textId="77777777" w:rsidR="00422A38" w:rsidRDefault="00422A38" w:rsidP="00422A38">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23BAA06D" w14:textId="77777777" w:rsidR="00422A38" w:rsidRDefault="00422A38" w:rsidP="00422A38">
      <w:pPr>
        <w:pStyle w:val="Textonotapie"/>
        <w:ind w:firstLine="709"/>
        <w:jc w:val="both"/>
        <w:rPr>
          <w:rFonts w:ascii="Arial" w:hAnsi="Arial" w:cs="Arial"/>
          <w:sz w:val="19"/>
          <w:szCs w:val="19"/>
        </w:rPr>
      </w:pPr>
      <w:r>
        <w:rPr>
          <w:rFonts w:ascii="Arial" w:hAnsi="Arial" w:cs="Arial"/>
          <w:sz w:val="19"/>
          <w:szCs w:val="19"/>
        </w:rPr>
        <w:t>»Las personas jurídicas son de dos especies: corporaciones y fundaciones de beneficencia pública.</w:t>
      </w:r>
    </w:p>
    <w:p w14:paraId="49A93C8E" w14:textId="77777777" w:rsidR="00422A38" w:rsidRDefault="00422A38" w:rsidP="00422A38">
      <w:pPr>
        <w:pStyle w:val="Textonotapie"/>
        <w:ind w:firstLine="709"/>
        <w:jc w:val="both"/>
        <w:rPr>
          <w:rFonts w:ascii="Arial" w:hAnsi="Arial" w:cs="Arial"/>
          <w:sz w:val="19"/>
          <w:szCs w:val="19"/>
        </w:rPr>
      </w:pPr>
      <w:r>
        <w:rPr>
          <w:rFonts w:ascii="Arial" w:hAnsi="Arial" w:cs="Arial"/>
          <w:sz w:val="19"/>
          <w:szCs w:val="19"/>
        </w:rPr>
        <w:t>»Hay personas jurídicas que participan de uno y otro carácter».</w:t>
      </w:r>
    </w:p>
    <w:p w14:paraId="7C84EDF2" w14:textId="77777777" w:rsidR="00422A38" w:rsidRDefault="00422A38" w:rsidP="00422A38">
      <w:pPr>
        <w:pStyle w:val="Textonotapie"/>
        <w:ind w:firstLine="709"/>
        <w:jc w:val="both"/>
        <w:rPr>
          <w:rFonts w:ascii="Arial" w:hAnsi="Arial" w:cs="Arial"/>
          <w:sz w:val="19"/>
          <w:szCs w:val="19"/>
          <w:lang w:val="es-CO"/>
        </w:rPr>
      </w:pPr>
    </w:p>
  </w:footnote>
  <w:footnote w:id="22">
    <w:p w14:paraId="12A95F5E" w14:textId="77777777" w:rsidR="00422A38" w:rsidRDefault="00422A38" w:rsidP="00422A38">
      <w:pPr>
        <w:pStyle w:val="Textonotapie"/>
        <w:ind w:firstLine="709"/>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Código de Comercio: «Artículo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 </w:t>
      </w:r>
    </w:p>
  </w:footnote>
  <w:footnote w:id="23">
    <w:p w14:paraId="427986B0" w14:textId="739C5804" w:rsidR="007531EF" w:rsidRPr="003213B2" w:rsidRDefault="007531EF" w:rsidP="003213B2">
      <w:pPr>
        <w:pStyle w:val="Textonotapie"/>
        <w:ind w:firstLine="708"/>
        <w:rPr>
          <w:rFonts w:ascii="Arial" w:hAnsi="Arial" w:cs="Arial"/>
          <w:sz w:val="19"/>
          <w:szCs w:val="19"/>
          <w:lang w:val="es-CO"/>
        </w:rPr>
      </w:pPr>
      <w:r w:rsidRPr="003213B2">
        <w:rPr>
          <w:rStyle w:val="Refdenotaalpie"/>
          <w:rFonts w:ascii="Arial" w:hAnsi="Arial" w:cs="Arial"/>
          <w:sz w:val="19"/>
          <w:szCs w:val="19"/>
        </w:rPr>
        <w:footnoteRef/>
      </w:r>
      <w:r w:rsidRPr="003213B2">
        <w:rPr>
          <w:rFonts w:ascii="Arial" w:hAnsi="Arial" w:cs="Arial"/>
          <w:sz w:val="19"/>
          <w:szCs w:val="19"/>
        </w:rPr>
        <w:t xml:space="preserve"> Decreto 1077 de 2015. Art</w:t>
      </w:r>
      <w:r w:rsidR="00410886">
        <w:rPr>
          <w:rFonts w:ascii="Arial" w:hAnsi="Arial" w:cs="Arial"/>
          <w:sz w:val="19"/>
          <w:szCs w:val="19"/>
        </w:rPr>
        <w:t>í</w:t>
      </w:r>
      <w:r w:rsidRPr="003213B2">
        <w:rPr>
          <w:rFonts w:ascii="Arial" w:hAnsi="Arial" w:cs="Arial"/>
          <w:sz w:val="19"/>
          <w:szCs w:val="19"/>
        </w:rPr>
        <w:t>culo 2.2.3.1.5. Numeral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02B6E" w:rsidRDefault="00F02B6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0"/>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B9E"/>
    <w:rsid w:val="00013C6B"/>
    <w:rsid w:val="0001406B"/>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45A2"/>
    <w:rsid w:val="000263F0"/>
    <w:rsid w:val="00026407"/>
    <w:rsid w:val="00026608"/>
    <w:rsid w:val="000315E1"/>
    <w:rsid w:val="0003236E"/>
    <w:rsid w:val="00032C75"/>
    <w:rsid w:val="0003339A"/>
    <w:rsid w:val="000341F2"/>
    <w:rsid w:val="00036E03"/>
    <w:rsid w:val="00041029"/>
    <w:rsid w:val="00042961"/>
    <w:rsid w:val="00042C25"/>
    <w:rsid w:val="00042D03"/>
    <w:rsid w:val="00043086"/>
    <w:rsid w:val="000430A0"/>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666D"/>
    <w:rsid w:val="000F7E8F"/>
    <w:rsid w:val="001000FB"/>
    <w:rsid w:val="00102605"/>
    <w:rsid w:val="00103570"/>
    <w:rsid w:val="00103915"/>
    <w:rsid w:val="001050A9"/>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3FB5"/>
    <w:rsid w:val="0012400F"/>
    <w:rsid w:val="001249DC"/>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5E49"/>
    <w:rsid w:val="00177416"/>
    <w:rsid w:val="001805C1"/>
    <w:rsid w:val="00180789"/>
    <w:rsid w:val="001811C3"/>
    <w:rsid w:val="001813AF"/>
    <w:rsid w:val="00181D13"/>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E30"/>
    <w:rsid w:val="001C3E5C"/>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39D2"/>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21CE"/>
    <w:rsid w:val="00222BE8"/>
    <w:rsid w:val="00222C1B"/>
    <w:rsid w:val="00226055"/>
    <w:rsid w:val="0022613F"/>
    <w:rsid w:val="00226236"/>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0C5C"/>
    <w:rsid w:val="002711A4"/>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48DB"/>
    <w:rsid w:val="002B4B34"/>
    <w:rsid w:val="002B541A"/>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3B2"/>
    <w:rsid w:val="00321FA3"/>
    <w:rsid w:val="003227D3"/>
    <w:rsid w:val="00322937"/>
    <w:rsid w:val="003244BD"/>
    <w:rsid w:val="00325D98"/>
    <w:rsid w:val="00327A5C"/>
    <w:rsid w:val="0033092C"/>
    <w:rsid w:val="0033122A"/>
    <w:rsid w:val="003315AC"/>
    <w:rsid w:val="003316CE"/>
    <w:rsid w:val="00331932"/>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680A"/>
    <w:rsid w:val="00346C62"/>
    <w:rsid w:val="003501E2"/>
    <w:rsid w:val="00351E10"/>
    <w:rsid w:val="003536F6"/>
    <w:rsid w:val="00353DD5"/>
    <w:rsid w:val="00355131"/>
    <w:rsid w:val="00362095"/>
    <w:rsid w:val="00363857"/>
    <w:rsid w:val="00363D59"/>
    <w:rsid w:val="003653C5"/>
    <w:rsid w:val="00365D3A"/>
    <w:rsid w:val="003664FF"/>
    <w:rsid w:val="003670B8"/>
    <w:rsid w:val="003706F2"/>
    <w:rsid w:val="0037124F"/>
    <w:rsid w:val="0037507B"/>
    <w:rsid w:val="00375C7C"/>
    <w:rsid w:val="003770AB"/>
    <w:rsid w:val="00377135"/>
    <w:rsid w:val="003775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4"/>
    <w:rsid w:val="0039615F"/>
    <w:rsid w:val="00396A2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6724"/>
    <w:rsid w:val="003D6B8F"/>
    <w:rsid w:val="003D7566"/>
    <w:rsid w:val="003E159D"/>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B43"/>
    <w:rsid w:val="00404EBA"/>
    <w:rsid w:val="00405487"/>
    <w:rsid w:val="0040602B"/>
    <w:rsid w:val="00407A7A"/>
    <w:rsid w:val="00407ABC"/>
    <w:rsid w:val="00407F1E"/>
    <w:rsid w:val="00410886"/>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269A"/>
    <w:rsid w:val="004333C2"/>
    <w:rsid w:val="00434787"/>
    <w:rsid w:val="0043683F"/>
    <w:rsid w:val="00436F40"/>
    <w:rsid w:val="00440DB0"/>
    <w:rsid w:val="00440FAD"/>
    <w:rsid w:val="004420AB"/>
    <w:rsid w:val="004422D6"/>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EEF"/>
    <w:rsid w:val="004F5930"/>
    <w:rsid w:val="004F6121"/>
    <w:rsid w:val="004F66BC"/>
    <w:rsid w:val="004F6AA5"/>
    <w:rsid w:val="004F6C26"/>
    <w:rsid w:val="0050047D"/>
    <w:rsid w:val="0050062F"/>
    <w:rsid w:val="005022A0"/>
    <w:rsid w:val="0050284E"/>
    <w:rsid w:val="00504590"/>
    <w:rsid w:val="00505E35"/>
    <w:rsid w:val="005075CA"/>
    <w:rsid w:val="0051074C"/>
    <w:rsid w:val="00510DDE"/>
    <w:rsid w:val="00512C4F"/>
    <w:rsid w:val="00513042"/>
    <w:rsid w:val="00513399"/>
    <w:rsid w:val="00513AF2"/>
    <w:rsid w:val="00514575"/>
    <w:rsid w:val="00514C03"/>
    <w:rsid w:val="00514D67"/>
    <w:rsid w:val="00515515"/>
    <w:rsid w:val="00516C5B"/>
    <w:rsid w:val="0051758E"/>
    <w:rsid w:val="00517612"/>
    <w:rsid w:val="00517CFB"/>
    <w:rsid w:val="00520899"/>
    <w:rsid w:val="00520922"/>
    <w:rsid w:val="00523903"/>
    <w:rsid w:val="005239B6"/>
    <w:rsid w:val="005246E7"/>
    <w:rsid w:val="00524CC0"/>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4EBA"/>
    <w:rsid w:val="005551AA"/>
    <w:rsid w:val="0055536D"/>
    <w:rsid w:val="005559B9"/>
    <w:rsid w:val="005564CA"/>
    <w:rsid w:val="00556626"/>
    <w:rsid w:val="00557140"/>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B75"/>
    <w:rsid w:val="005A6E00"/>
    <w:rsid w:val="005A7068"/>
    <w:rsid w:val="005A718A"/>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F305B"/>
    <w:rsid w:val="005F3361"/>
    <w:rsid w:val="005F4481"/>
    <w:rsid w:val="005F472D"/>
    <w:rsid w:val="005F4A58"/>
    <w:rsid w:val="005F5888"/>
    <w:rsid w:val="005F5A18"/>
    <w:rsid w:val="005F6CE2"/>
    <w:rsid w:val="005F72E9"/>
    <w:rsid w:val="00600473"/>
    <w:rsid w:val="00602B45"/>
    <w:rsid w:val="006035F5"/>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1BA3"/>
    <w:rsid w:val="00622470"/>
    <w:rsid w:val="00622725"/>
    <w:rsid w:val="006231AA"/>
    <w:rsid w:val="00623482"/>
    <w:rsid w:val="00623AC2"/>
    <w:rsid w:val="00623E60"/>
    <w:rsid w:val="006266D7"/>
    <w:rsid w:val="006271DB"/>
    <w:rsid w:val="006274AD"/>
    <w:rsid w:val="006274B9"/>
    <w:rsid w:val="00627532"/>
    <w:rsid w:val="006302AA"/>
    <w:rsid w:val="006310C3"/>
    <w:rsid w:val="0063161E"/>
    <w:rsid w:val="00631BB5"/>
    <w:rsid w:val="00631DD0"/>
    <w:rsid w:val="00632201"/>
    <w:rsid w:val="00633DBF"/>
    <w:rsid w:val="00634122"/>
    <w:rsid w:val="00635E32"/>
    <w:rsid w:val="006365DE"/>
    <w:rsid w:val="00637836"/>
    <w:rsid w:val="00637C26"/>
    <w:rsid w:val="00641078"/>
    <w:rsid w:val="00641242"/>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C8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A18"/>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CF1"/>
    <w:rsid w:val="006D7D1F"/>
    <w:rsid w:val="006D7D8A"/>
    <w:rsid w:val="006E0572"/>
    <w:rsid w:val="006E08EE"/>
    <w:rsid w:val="006E2496"/>
    <w:rsid w:val="006E26AC"/>
    <w:rsid w:val="006E39D1"/>
    <w:rsid w:val="006E437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30D4"/>
    <w:rsid w:val="00703B61"/>
    <w:rsid w:val="00703E11"/>
    <w:rsid w:val="00704102"/>
    <w:rsid w:val="0070461C"/>
    <w:rsid w:val="00704A57"/>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20B"/>
    <w:rsid w:val="00716CAD"/>
    <w:rsid w:val="00717363"/>
    <w:rsid w:val="00717ACB"/>
    <w:rsid w:val="00724635"/>
    <w:rsid w:val="00724902"/>
    <w:rsid w:val="0072554B"/>
    <w:rsid w:val="00725AFD"/>
    <w:rsid w:val="00726603"/>
    <w:rsid w:val="00727DDC"/>
    <w:rsid w:val="00730CD6"/>
    <w:rsid w:val="00730F74"/>
    <w:rsid w:val="0073114B"/>
    <w:rsid w:val="00734723"/>
    <w:rsid w:val="00734952"/>
    <w:rsid w:val="00734990"/>
    <w:rsid w:val="00734FF5"/>
    <w:rsid w:val="00735B78"/>
    <w:rsid w:val="00735DA7"/>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1FFB"/>
    <w:rsid w:val="007522E8"/>
    <w:rsid w:val="007531E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4B7"/>
    <w:rsid w:val="007E2C36"/>
    <w:rsid w:val="007E350D"/>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239B"/>
    <w:rsid w:val="0082292E"/>
    <w:rsid w:val="00822D06"/>
    <w:rsid w:val="0082348D"/>
    <w:rsid w:val="008236BE"/>
    <w:rsid w:val="008241CE"/>
    <w:rsid w:val="00825240"/>
    <w:rsid w:val="00825C62"/>
    <w:rsid w:val="00827CC0"/>
    <w:rsid w:val="00831026"/>
    <w:rsid w:val="0083119B"/>
    <w:rsid w:val="00831BAE"/>
    <w:rsid w:val="0083263E"/>
    <w:rsid w:val="00833430"/>
    <w:rsid w:val="0083417F"/>
    <w:rsid w:val="0083487C"/>
    <w:rsid w:val="00834EBA"/>
    <w:rsid w:val="00835143"/>
    <w:rsid w:val="00835741"/>
    <w:rsid w:val="00836E74"/>
    <w:rsid w:val="00836EAB"/>
    <w:rsid w:val="00837937"/>
    <w:rsid w:val="00837D82"/>
    <w:rsid w:val="00840893"/>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F8A"/>
    <w:rsid w:val="00863FE3"/>
    <w:rsid w:val="00864241"/>
    <w:rsid w:val="0086468A"/>
    <w:rsid w:val="008650BE"/>
    <w:rsid w:val="0086633B"/>
    <w:rsid w:val="00866931"/>
    <w:rsid w:val="00866A25"/>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7989"/>
    <w:rsid w:val="008F79F0"/>
    <w:rsid w:val="0090244A"/>
    <w:rsid w:val="00902E5C"/>
    <w:rsid w:val="00904577"/>
    <w:rsid w:val="009046E5"/>
    <w:rsid w:val="009047C5"/>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A50"/>
    <w:rsid w:val="00964138"/>
    <w:rsid w:val="00964B3F"/>
    <w:rsid w:val="00964C98"/>
    <w:rsid w:val="00970964"/>
    <w:rsid w:val="00971441"/>
    <w:rsid w:val="009715D4"/>
    <w:rsid w:val="00974B58"/>
    <w:rsid w:val="00975757"/>
    <w:rsid w:val="009761ED"/>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D99"/>
    <w:rsid w:val="009A608C"/>
    <w:rsid w:val="009A6FDF"/>
    <w:rsid w:val="009A76D6"/>
    <w:rsid w:val="009B1575"/>
    <w:rsid w:val="009B2E29"/>
    <w:rsid w:val="009B3402"/>
    <w:rsid w:val="009B422F"/>
    <w:rsid w:val="009B46BC"/>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76EA"/>
    <w:rsid w:val="009F78EB"/>
    <w:rsid w:val="009F7FEB"/>
    <w:rsid w:val="00A00435"/>
    <w:rsid w:val="00A01852"/>
    <w:rsid w:val="00A0188B"/>
    <w:rsid w:val="00A01E73"/>
    <w:rsid w:val="00A023E7"/>
    <w:rsid w:val="00A0249B"/>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92B"/>
    <w:rsid w:val="00A56DE7"/>
    <w:rsid w:val="00A6009E"/>
    <w:rsid w:val="00A60B1F"/>
    <w:rsid w:val="00A62C3A"/>
    <w:rsid w:val="00A63812"/>
    <w:rsid w:val="00A668BA"/>
    <w:rsid w:val="00A66CEA"/>
    <w:rsid w:val="00A66FA7"/>
    <w:rsid w:val="00A70C5C"/>
    <w:rsid w:val="00A71876"/>
    <w:rsid w:val="00A71EA7"/>
    <w:rsid w:val="00A732EE"/>
    <w:rsid w:val="00A73D64"/>
    <w:rsid w:val="00A74216"/>
    <w:rsid w:val="00A74967"/>
    <w:rsid w:val="00A75504"/>
    <w:rsid w:val="00A77168"/>
    <w:rsid w:val="00A77985"/>
    <w:rsid w:val="00A80085"/>
    <w:rsid w:val="00A8043B"/>
    <w:rsid w:val="00A81323"/>
    <w:rsid w:val="00A820CB"/>
    <w:rsid w:val="00A82342"/>
    <w:rsid w:val="00A84443"/>
    <w:rsid w:val="00A8487F"/>
    <w:rsid w:val="00A85762"/>
    <w:rsid w:val="00A8754C"/>
    <w:rsid w:val="00A90AD6"/>
    <w:rsid w:val="00A90F12"/>
    <w:rsid w:val="00A93101"/>
    <w:rsid w:val="00A93223"/>
    <w:rsid w:val="00A9366C"/>
    <w:rsid w:val="00A94293"/>
    <w:rsid w:val="00A94BDE"/>
    <w:rsid w:val="00A94F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531"/>
    <w:rsid w:val="00B92618"/>
    <w:rsid w:val="00B92B69"/>
    <w:rsid w:val="00B92CC6"/>
    <w:rsid w:val="00B935C9"/>
    <w:rsid w:val="00B93E3D"/>
    <w:rsid w:val="00B95464"/>
    <w:rsid w:val="00B95BCF"/>
    <w:rsid w:val="00B95E3D"/>
    <w:rsid w:val="00B9691F"/>
    <w:rsid w:val="00B976C7"/>
    <w:rsid w:val="00BA0C54"/>
    <w:rsid w:val="00BA0C6B"/>
    <w:rsid w:val="00BA1382"/>
    <w:rsid w:val="00BA20D8"/>
    <w:rsid w:val="00BA22FC"/>
    <w:rsid w:val="00BA2F30"/>
    <w:rsid w:val="00BA4771"/>
    <w:rsid w:val="00BA7370"/>
    <w:rsid w:val="00BA778B"/>
    <w:rsid w:val="00BB0888"/>
    <w:rsid w:val="00BB0E9B"/>
    <w:rsid w:val="00BB2841"/>
    <w:rsid w:val="00BB2DB4"/>
    <w:rsid w:val="00BB300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42F4"/>
    <w:rsid w:val="00CA5812"/>
    <w:rsid w:val="00CA5BD4"/>
    <w:rsid w:val="00CA5C14"/>
    <w:rsid w:val="00CA69E7"/>
    <w:rsid w:val="00CA7E7B"/>
    <w:rsid w:val="00CB2D38"/>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35D0"/>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515F"/>
    <w:rsid w:val="00D466C9"/>
    <w:rsid w:val="00D52E2F"/>
    <w:rsid w:val="00D52F59"/>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2969"/>
    <w:rsid w:val="00DA29B7"/>
    <w:rsid w:val="00DA4F95"/>
    <w:rsid w:val="00DA5120"/>
    <w:rsid w:val="00DA5989"/>
    <w:rsid w:val="00DA5AB1"/>
    <w:rsid w:val="00DA5F9D"/>
    <w:rsid w:val="00DA69B2"/>
    <w:rsid w:val="00DA7AD0"/>
    <w:rsid w:val="00DB03CC"/>
    <w:rsid w:val="00DB14F0"/>
    <w:rsid w:val="00DB1745"/>
    <w:rsid w:val="00DB1AFF"/>
    <w:rsid w:val="00DB219A"/>
    <w:rsid w:val="00DB4292"/>
    <w:rsid w:val="00DB7117"/>
    <w:rsid w:val="00DB7760"/>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3119"/>
    <w:rsid w:val="00DE3FF0"/>
    <w:rsid w:val="00DE40B3"/>
    <w:rsid w:val="00DE4105"/>
    <w:rsid w:val="00DE5189"/>
    <w:rsid w:val="00DE69E9"/>
    <w:rsid w:val="00DF0263"/>
    <w:rsid w:val="00DF1E36"/>
    <w:rsid w:val="00DF236B"/>
    <w:rsid w:val="00DF25D3"/>
    <w:rsid w:val="00DF3889"/>
    <w:rsid w:val="00DF3CC9"/>
    <w:rsid w:val="00DF4451"/>
    <w:rsid w:val="00DF461D"/>
    <w:rsid w:val="00DF49FF"/>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5943"/>
    <w:rsid w:val="00E1699C"/>
    <w:rsid w:val="00E16E75"/>
    <w:rsid w:val="00E23137"/>
    <w:rsid w:val="00E241E9"/>
    <w:rsid w:val="00E257C3"/>
    <w:rsid w:val="00E25CB3"/>
    <w:rsid w:val="00E25DA4"/>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561"/>
    <w:rsid w:val="00EB67F1"/>
    <w:rsid w:val="00EB72CD"/>
    <w:rsid w:val="00EB749A"/>
    <w:rsid w:val="00EB76B6"/>
    <w:rsid w:val="00EC05E2"/>
    <w:rsid w:val="00EC0DEF"/>
    <w:rsid w:val="00EC0E84"/>
    <w:rsid w:val="00EC16E2"/>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3BAC"/>
    <w:rsid w:val="00ED43EE"/>
    <w:rsid w:val="00ED4967"/>
    <w:rsid w:val="00ED4F09"/>
    <w:rsid w:val="00ED5771"/>
    <w:rsid w:val="00ED587F"/>
    <w:rsid w:val="00ED5964"/>
    <w:rsid w:val="00ED72E9"/>
    <w:rsid w:val="00ED7FBC"/>
    <w:rsid w:val="00EE0253"/>
    <w:rsid w:val="00EE0297"/>
    <w:rsid w:val="00EE1668"/>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418B"/>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167D"/>
    <w:rsid w:val="00F91CB2"/>
    <w:rsid w:val="00F921F9"/>
    <w:rsid w:val="00F9289C"/>
    <w:rsid w:val="00F94644"/>
    <w:rsid w:val="00F9537B"/>
    <w:rsid w:val="00F95FAA"/>
    <w:rsid w:val="00F96027"/>
    <w:rsid w:val="00F963FC"/>
    <w:rsid w:val="00FA015F"/>
    <w:rsid w:val="00FA1DA2"/>
    <w:rsid w:val="00FA2EB7"/>
    <w:rsid w:val="00FA347A"/>
    <w:rsid w:val="00FA49B7"/>
    <w:rsid w:val="00FA4A3D"/>
    <w:rsid w:val="00FA5043"/>
    <w:rsid w:val="00FA6F8B"/>
    <w:rsid w:val="00FA7A30"/>
    <w:rsid w:val="00FB033F"/>
    <w:rsid w:val="00FB0E5C"/>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CF4"/>
    <w:rsid w:val="00FC6A39"/>
    <w:rsid w:val="00FC79AB"/>
    <w:rsid w:val="00FC7DAC"/>
    <w:rsid w:val="00FD04AE"/>
    <w:rsid w:val="00FD107C"/>
    <w:rsid w:val="00FD1994"/>
    <w:rsid w:val="00FD393C"/>
    <w:rsid w:val="00FD4AF3"/>
    <w:rsid w:val="00FD5509"/>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98</TotalTime>
  <Pages>23</Pages>
  <Words>8865</Words>
  <Characters>48758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99</cp:revision>
  <cp:lastPrinted>2020-01-30T15:05:00Z</cp:lastPrinted>
  <dcterms:created xsi:type="dcterms:W3CDTF">2020-12-14T20:28:00Z</dcterms:created>
  <dcterms:modified xsi:type="dcterms:W3CDTF">2020-12-15T02:49:00Z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