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46613" w:rsidR="0034177C" w:rsidP="0034177C" w:rsidRDefault="009F59C2" w14:paraId="182E957B" w14:textId="768D39FC">
      <w:pPr>
        <w:jc w:val="right"/>
        <w:rPr>
          <w:rFonts w:ascii="Arial" w:hAnsi="Arial" w:cs="Arial"/>
          <w:b/>
          <w:sz w:val="16"/>
          <w:szCs w:val="16"/>
          <w:lang w:eastAsia="es-ES"/>
        </w:rPr>
      </w:pPr>
      <w:bookmarkStart w:name="_Hlk28946138" w:id="0"/>
      <w:bookmarkStart w:name="_Hlk29548183" w:id="1"/>
      <w:r w:rsidRPr="00046613">
        <w:rPr>
          <w:rFonts w:ascii="Arial" w:hAnsi="Arial" w:cs="Arial"/>
          <w:b/>
          <w:sz w:val="16"/>
          <w:szCs w:val="16"/>
          <w:lang w:eastAsia="es-ES"/>
        </w:rPr>
        <w:tab/>
      </w:r>
      <w:r w:rsidRPr="00046613" w:rsidR="0034177C">
        <w:rPr>
          <w:rFonts w:ascii="Arial" w:hAnsi="Arial" w:cs="Arial"/>
          <w:b/>
          <w:sz w:val="16"/>
          <w:szCs w:val="16"/>
          <w:lang w:eastAsia="es-ES"/>
        </w:rPr>
        <w:t>CCE-DES-FM-17</w:t>
      </w:r>
    </w:p>
    <w:p w:rsidRPr="00046613" w:rsidR="0034177C" w:rsidP="007F6B46" w:rsidRDefault="0034177C" w14:paraId="33FF83A2" w14:textId="77777777">
      <w:pPr>
        <w:spacing w:line="276" w:lineRule="auto"/>
        <w:jc w:val="both"/>
        <w:rPr>
          <w:rFonts w:ascii="Arial" w:hAnsi="Arial" w:eastAsia="Calibri" w:cs="Arial"/>
          <w:b/>
          <w:sz w:val="20"/>
          <w:szCs w:val="20"/>
        </w:rPr>
      </w:pPr>
    </w:p>
    <w:bookmarkEnd w:id="0"/>
    <w:bookmarkEnd w:id="1"/>
    <w:p w:rsidRPr="00046613" w:rsidR="00B632B5" w:rsidP="659812A8" w:rsidRDefault="6BB81E65" w14:paraId="0FCC1044" w14:textId="06AB577A">
      <w:pPr>
        <w:jc w:val="both"/>
        <w:rPr>
          <w:rFonts w:ascii="Arial" w:hAnsi="Arial" w:eastAsia="Calibri" w:cs="Arial"/>
          <w:b/>
          <w:bCs/>
          <w:sz w:val="22"/>
        </w:rPr>
      </w:pPr>
      <w:r w:rsidRPr="00046613">
        <w:rPr>
          <w:rFonts w:ascii="Arial" w:hAnsi="Arial" w:eastAsia="Calibri" w:cs="Arial"/>
          <w:b/>
          <w:bCs/>
          <w:sz w:val="22"/>
        </w:rPr>
        <w:t>DOCUMENTO</w:t>
      </w:r>
      <w:r w:rsidRPr="00046613" w:rsidR="00B632B5">
        <w:rPr>
          <w:rFonts w:ascii="Arial" w:hAnsi="Arial" w:eastAsia="Calibri" w:cs="Arial"/>
          <w:b/>
          <w:bCs/>
          <w:sz w:val="22"/>
        </w:rPr>
        <w:t xml:space="preserve">S TIPO </w:t>
      </w:r>
      <w:r w:rsidRPr="00046613" w:rsidR="006C18D9">
        <w:rPr>
          <w:rFonts w:ascii="Arial" w:hAnsi="Arial" w:eastAsia="Calibri" w:cs="Arial"/>
          <w:b/>
          <w:bCs/>
          <w:sz w:val="22"/>
        </w:rPr>
        <w:t>–</w:t>
      </w:r>
      <w:r w:rsidRPr="00046613" w:rsidR="00B632B5">
        <w:rPr>
          <w:rFonts w:ascii="Arial" w:hAnsi="Arial" w:eastAsia="Calibri" w:cs="Arial"/>
          <w:b/>
          <w:bCs/>
          <w:sz w:val="22"/>
        </w:rPr>
        <w:t xml:space="preserve"> Inalterabilidad </w:t>
      </w:r>
    </w:p>
    <w:p w:rsidRPr="00046613" w:rsidR="00B632B5" w:rsidP="00B632B5" w:rsidRDefault="00B632B5" w14:paraId="2298BBD3" w14:textId="77777777">
      <w:pPr>
        <w:jc w:val="both"/>
        <w:rPr>
          <w:rFonts w:ascii="Arial" w:hAnsi="Arial" w:eastAsia="Calibri" w:cs="Arial"/>
          <w:sz w:val="20"/>
          <w:szCs w:val="20"/>
        </w:rPr>
      </w:pPr>
    </w:p>
    <w:p w:rsidRPr="00046613" w:rsidR="00B632B5" w:rsidP="00B632B5" w:rsidRDefault="00B632B5" w14:paraId="586A4D31" w14:textId="77777777">
      <w:pPr>
        <w:jc w:val="both"/>
        <w:rPr>
          <w:rFonts w:ascii="Arial" w:hAnsi="Arial" w:eastAsia="Calibri" w:cs="Arial"/>
          <w:bCs/>
          <w:sz w:val="20"/>
          <w:szCs w:val="20"/>
        </w:rPr>
      </w:pPr>
      <w:r w:rsidRPr="00046613">
        <w:rPr>
          <w:rFonts w:ascii="Arial" w:hAnsi="Arial" w:eastAsia="Calibri"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046613" w:rsidR="00B632B5" w:rsidP="00B632B5" w:rsidRDefault="00B632B5" w14:paraId="01202BD8" w14:textId="77777777">
      <w:pPr>
        <w:jc w:val="both"/>
        <w:rPr>
          <w:rFonts w:ascii="Arial" w:hAnsi="Arial" w:eastAsia="Calibri" w:cs="Arial"/>
          <w:b/>
          <w:sz w:val="20"/>
          <w:szCs w:val="20"/>
          <w:highlight w:val="yellow"/>
        </w:rPr>
      </w:pPr>
    </w:p>
    <w:p w:rsidRPr="00046613" w:rsidR="00B632B5" w:rsidP="659812A8" w:rsidRDefault="622B5FA4" w14:paraId="4A3EA52E" w14:textId="0ED4C5C4">
      <w:pPr>
        <w:jc w:val="both"/>
        <w:rPr>
          <w:rFonts w:ascii="Arial" w:hAnsi="Arial" w:eastAsia="Calibri" w:cs="Arial"/>
          <w:b/>
          <w:bCs/>
          <w:sz w:val="22"/>
        </w:rPr>
      </w:pPr>
      <w:r w:rsidRPr="00046613">
        <w:rPr>
          <w:rFonts w:ascii="Arial" w:hAnsi="Arial" w:eastAsia="Calibri" w:cs="Arial"/>
          <w:b/>
          <w:bCs/>
          <w:sz w:val="22"/>
        </w:rPr>
        <w:t>DOCUMENT</w:t>
      </w:r>
      <w:r w:rsidRPr="00046613" w:rsidR="00B632B5">
        <w:rPr>
          <w:rFonts w:ascii="Arial" w:hAnsi="Arial" w:eastAsia="Calibri" w:cs="Arial"/>
          <w:b/>
          <w:bCs/>
          <w:sz w:val="22"/>
        </w:rPr>
        <w:t xml:space="preserve">OS TIPO – Matriz 1 – Experiencia general </w:t>
      </w:r>
      <w:r w:rsidRPr="00046613" w:rsidR="5DF17856">
        <w:rPr>
          <w:rFonts w:ascii="Arial" w:hAnsi="Arial" w:eastAsia="Arial" w:cs="Arial"/>
          <w:b/>
          <w:bCs/>
          <w:sz w:val="22"/>
        </w:rPr>
        <w:t>– Experiencia</w:t>
      </w:r>
      <w:r w:rsidRPr="00046613" w:rsidR="00B632B5">
        <w:rPr>
          <w:rFonts w:ascii="Arial" w:hAnsi="Arial" w:eastAsia="Calibri" w:cs="Arial"/>
          <w:b/>
          <w:bCs/>
          <w:sz w:val="22"/>
        </w:rPr>
        <w:t xml:space="preserve"> específica</w:t>
      </w:r>
    </w:p>
    <w:p w:rsidRPr="00046613" w:rsidR="00B632B5" w:rsidP="00B632B5" w:rsidRDefault="00B632B5" w14:paraId="6053B9E4" w14:textId="77777777">
      <w:pPr>
        <w:jc w:val="both"/>
        <w:rPr>
          <w:rFonts w:ascii="Arial" w:hAnsi="Arial" w:eastAsia="Calibri" w:cs="Arial"/>
          <w:b/>
          <w:sz w:val="20"/>
          <w:szCs w:val="20"/>
        </w:rPr>
      </w:pPr>
    </w:p>
    <w:p w:rsidRPr="00046613" w:rsidR="00B632B5" w:rsidP="00B632B5" w:rsidRDefault="00B632B5" w14:paraId="070F3F84" w14:textId="7BC83E5D">
      <w:pPr>
        <w:jc w:val="both"/>
        <w:rPr>
          <w:rFonts w:ascii="Arial" w:hAnsi="Arial" w:eastAsia="Calibri" w:cs="Arial"/>
          <w:sz w:val="20"/>
          <w:szCs w:val="20"/>
        </w:rPr>
      </w:pPr>
      <w:r w:rsidRPr="00046613">
        <w:rPr>
          <w:rFonts w:ascii="Arial" w:hAnsi="Arial" w:eastAsia="Calibri"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00E478BE">
        <w:rPr>
          <w:rFonts w:ascii="Arial" w:hAnsi="Arial" w:eastAsia="Calibri" w:cs="Arial"/>
          <w:sz w:val="20"/>
          <w:szCs w:val="20"/>
        </w:rPr>
        <w:t xml:space="preserve">. </w:t>
      </w:r>
      <w:r w:rsidRPr="00046613">
        <w:rPr>
          <w:rFonts w:ascii="Arial" w:hAnsi="Arial" w:eastAsia="Calibri" w:cs="Arial"/>
          <w:sz w:val="20"/>
          <w:szCs w:val="20"/>
        </w:rPr>
        <w:t xml:space="preserve"> por lo tanto, no podrá exigir actividades o cantidades distintas a las previstas en la Matriz 1 – Experiencia.</w:t>
      </w:r>
    </w:p>
    <w:p w:rsidRPr="00046613" w:rsidR="00B632B5" w:rsidP="00B632B5" w:rsidRDefault="00B632B5" w14:paraId="6F045CB4" w14:textId="77777777">
      <w:pPr>
        <w:jc w:val="both"/>
        <w:rPr>
          <w:rFonts w:ascii="Arial" w:hAnsi="Arial" w:eastAsia="Calibri" w:cs="Arial"/>
          <w:sz w:val="20"/>
          <w:szCs w:val="20"/>
        </w:rPr>
      </w:pPr>
    </w:p>
    <w:p w:rsidRPr="00046613" w:rsidR="00275C15" w:rsidP="00275C15" w:rsidRDefault="00275C15" w14:paraId="294E0108" w14:textId="77777777">
      <w:pPr>
        <w:tabs>
          <w:tab w:val="left" w:pos="0"/>
        </w:tabs>
        <w:jc w:val="both"/>
        <w:rPr>
          <w:rFonts w:ascii="Arial" w:hAnsi="Arial" w:cs="Arial"/>
          <w:b/>
          <w:bCs/>
          <w:sz w:val="22"/>
        </w:rPr>
      </w:pPr>
      <w:bookmarkStart w:name="_Hlk45522560" w:id="2"/>
      <w:r w:rsidRPr="00046613">
        <w:rPr>
          <w:rFonts w:ascii="Arial" w:hAnsi="Arial" w:cs="Arial"/>
          <w:b/>
          <w:bCs/>
          <w:sz w:val="22"/>
        </w:rPr>
        <w:t>PRINCIPIO DE TRANSPARENCIA – Observaciones</w:t>
      </w:r>
    </w:p>
    <w:p w:rsidRPr="00046613" w:rsidR="00275C15" w:rsidP="00275C15" w:rsidRDefault="00275C15" w14:paraId="308A49AD" w14:textId="77777777">
      <w:pPr>
        <w:tabs>
          <w:tab w:val="left" w:pos="0"/>
        </w:tabs>
        <w:jc w:val="both"/>
        <w:rPr>
          <w:rFonts w:ascii="Arial" w:hAnsi="Arial" w:eastAsia="Calibri" w:cs="Arial"/>
          <w:bCs/>
          <w:sz w:val="20"/>
          <w:szCs w:val="20"/>
          <w:lang w:val="es-ES"/>
        </w:rPr>
      </w:pPr>
    </w:p>
    <w:p w:rsidRPr="00046613" w:rsidR="00275C15" w:rsidP="00275C15" w:rsidRDefault="00275C15" w14:paraId="44394D69" w14:textId="4C0D78AF">
      <w:pPr>
        <w:tabs>
          <w:tab w:val="left" w:pos="0"/>
        </w:tabs>
        <w:spacing w:after="120"/>
        <w:jc w:val="both"/>
        <w:rPr>
          <w:rFonts w:ascii="Arial" w:hAnsi="Arial" w:eastAsia="Calibri" w:cs="Arial"/>
          <w:bCs/>
          <w:sz w:val="20"/>
          <w:szCs w:val="20"/>
          <w:lang w:val="es-ES"/>
        </w:rPr>
      </w:pPr>
      <w:r w:rsidRPr="00046613">
        <w:rPr>
          <w:rFonts w:ascii="Arial" w:hAnsi="Arial" w:eastAsia="Calibri" w:cs="Arial"/>
          <w:bCs/>
          <w:sz w:val="20"/>
          <w:szCs w:val="20"/>
          <w:lang w:val="es-ES"/>
        </w:rPr>
        <w:t xml:space="preserve">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fines. En cumplimiento de ese propósito, el legislador determinó que las actuaciones adelantadas por las entidades estatales, en materia contractual, se llevan a cabo, entre otros, en cumplimiento de los principios que gobiernan los procesos de contratación pública. </w:t>
      </w:r>
    </w:p>
    <w:p w:rsidRPr="00046613" w:rsidR="00275C15" w:rsidP="00275C15" w:rsidRDefault="00275C15" w14:paraId="655B8DA2" w14:textId="772EBD73">
      <w:pPr>
        <w:tabs>
          <w:tab w:val="left" w:pos="0"/>
        </w:tabs>
        <w:jc w:val="both"/>
        <w:rPr>
          <w:rFonts w:ascii="Arial" w:hAnsi="Arial" w:eastAsia="Calibri" w:cs="Arial"/>
          <w:bCs/>
          <w:sz w:val="20"/>
          <w:szCs w:val="20"/>
          <w:lang w:val="es-ES"/>
        </w:rPr>
      </w:pPr>
      <w:r w:rsidRPr="00046613">
        <w:rPr>
          <w:rFonts w:ascii="Arial" w:hAnsi="Arial" w:eastAsia="Calibri" w:cs="Arial"/>
          <w:bCs/>
          <w:sz w:val="20"/>
          <w:szCs w:val="20"/>
          <w:lang w:val="es-ES"/>
        </w:rPr>
        <w:t>El artículo 23 de la Ley 80 de 1993 regula los principios aplicables a las actuaciones contractuales adelantadas por las entidades estatales. En</w:t>
      </w:r>
      <w:r w:rsidR="00974F23">
        <w:rPr>
          <w:rFonts w:ascii="Arial" w:hAnsi="Arial" w:eastAsia="Calibri" w:cs="Arial"/>
          <w:bCs/>
          <w:sz w:val="20"/>
          <w:szCs w:val="20"/>
          <w:lang w:val="es-ES"/>
        </w:rPr>
        <w:t xml:space="preserve"> dicha norma</w:t>
      </w:r>
      <w:r w:rsidRPr="00046613">
        <w:rPr>
          <w:rFonts w:ascii="Arial" w:hAnsi="Arial" w:eastAsia="Calibri" w:cs="Arial"/>
          <w:bCs/>
          <w:sz w:val="20"/>
          <w:szCs w:val="20"/>
          <w:lang w:val="es-ES"/>
        </w:rPr>
        <w:t xml:space="preserve"> se estableció el principio de transparencia de la actividad contractual, objeto de regulación expresa en el artículo 24 del citado cuerpo normativo. Este principio guarda estrecha relación con el de publicidad, que rige el ejercicio de la función administrativa. Por eso en los numerales 2º y 3º se estableció la facultad de los interesados para realizar y/o presentar observaciones, como un mecanismo para controvertir algunas de las decisiones adoptadas por las entidades estatales en el marco de sus actuaciones, por demás públicas, en los procesos contractuales.</w:t>
      </w:r>
    </w:p>
    <w:p w:rsidRPr="00046613" w:rsidR="00275C15" w:rsidP="00275C15" w:rsidRDefault="00275C15" w14:paraId="3192726B" w14:textId="2D0DFAD2">
      <w:pPr>
        <w:tabs>
          <w:tab w:val="left" w:pos="0"/>
        </w:tabs>
        <w:jc w:val="both"/>
        <w:rPr>
          <w:rFonts w:ascii="Arial" w:hAnsi="Arial" w:eastAsia="Calibri" w:cs="Arial"/>
          <w:bCs/>
          <w:sz w:val="20"/>
          <w:szCs w:val="20"/>
          <w:lang w:val="es-ES"/>
        </w:rPr>
      </w:pPr>
    </w:p>
    <w:p w:rsidRPr="00046613" w:rsidR="00275C15" w:rsidP="00275C15" w:rsidRDefault="00046613" w14:paraId="0C5C09AF" w14:textId="6B69BB79">
      <w:pPr>
        <w:tabs>
          <w:tab w:val="left" w:pos="0"/>
        </w:tabs>
        <w:jc w:val="both"/>
        <w:rPr>
          <w:rFonts w:ascii="Arial" w:hAnsi="Arial" w:eastAsia="Calibri" w:cs="Arial"/>
          <w:b/>
          <w:sz w:val="22"/>
          <w:lang w:val="es-ES"/>
        </w:rPr>
      </w:pPr>
      <w:r w:rsidRPr="00046613">
        <w:rPr>
          <w:rFonts w:ascii="Arial" w:hAnsi="Arial" w:eastAsia="Calibri" w:cs="Arial"/>
          <w:b/>
          <w:sz w:val="22"/>
          <w:lang w:val="es-ES"/>
        </w:rPr>
        <w:t>DOCUMENTOS TIPO – Expedición – Competencia – Colombia Compra Eficiente</w:t>
      </w:r>
    </w:p>
    <w:p w:rsidRPr="00046613" w:rsidR="00275C15" w:rsidP="00275C15" w:rsidRDefault="00275C15" w14:paraId="1B604462" w14:textId="77777777">
      <w:pPr>
        <w:tabs>
          <w:tab w:val="left" w:pos="0"/>
        </w:tabs>
        <w:jc w:val="both"/>
        <w:rPr>
          <w:rFonts w:ascii="Arial" w:hAnsi="Arial" w:eastAsia="Calibri" w:cs="Arial"/>
          <w:bCs/>
          <w:sz w:val="20"/>
          <w:szCs w:val="20"/>
          <w:lang w:val="es-ES"/>
        </w:rPr>
      </w:pPr>
    </w:p>
    <w:p w:rsidRPr="00046613" w:rsidR="00275C15" w:rsidP="00275C15" w:rsidRDefault="00275C15" w14:paraId="77D67F47" w14:textId="77777777">
      <w:pPr>
        <w:tabs>
          <w:tab w:val="left" w:pos="0"/>
        </w:tabs>
        <w:jc w:val="both"/>
        <w:rPr>
          <w:rFonts w:ascii="Arial" w:hAnsi="Arial" w:eastAsia="Calibri" w:cs="Arial"/>
          <w:bCs/>
          <w:sz w:val="20"/>
          <w:szCs w:val="20"/>
          <w:lang w:val="es-ES"/>
        </w:rPr>
      </w:pPr>
      <w:r w:rsidRPr="00046613">
        <w:rPr>
          <w:rFonts w:ascii="Arial" w:hAnsi="Arial" w:eastAsia="Calibri" w:cs="Arial"/>
          <w:bCs/>
          <w:sz w:val="20"/>
          <w:szCs w:val="20"/>
          <w:lang w:val="es-ES"/>
        </w:rPr>
        <w:t xml:space="preserve">De conformidad con el artículo 4 de la Ley 1882 de 2018, y a través de los Decretos 342 y 2096 de 2019, y 594 de 2020, el Gobierno Nacional facultó a la Agencia Nacional de Contratación Pública – Colombia Compra Eficiente para la expedición de los documentos tipo para la selección de contratistas de obra pública de infraestructura de transporte en las modalidades de licitación pública, selección abreviada de menor cuantía y mínima cuantía. Dicha facultad conferida al Gobierno Nacional por el parágrafo 7 del artículo 4 de la Ley 1882 de 2018, fue modificada por la Ley 2022 de 2020, por medio de la cual se atribuyó a esta Agencia la competencia general para adoptar documentos tipo que serán de obligatorio cumplimiento en la actividad contractual de todas las entidades sometidas al Estatuto General de Contratación de la Administración Pública. </w:t>
      </w:r>
    </w:p>
    <w:p w:rsidRPr="00046613" w:rsidR="00275C15" w:rsidP="00275C15" w:rsidRDefault="00275C15" w14:paraId="0E2E9B71" w14:textId="77777777">
      <w:pPr>
        <w:tabs>
          <w:tab w:val="left" w:pos="0"/>
        </w:tabs>
        <w:jc w:val="both"/>
        <w:rPr>
          <w:rFonts w:ascii="Arial" w:hAnsi="Arial" w:eastAsia="Calibri" w:cs="Arial"/>
          <w:bCs/>
          <w:sz w:val="20"/>
          <w:szCs w:val="20"/>
          <w:lang w:val="es-ES"/>
        </w:rPr>
      </w:pPr>
    </w:p>
    <w:p w:rsidRPr="00046613" w:rsidR="00275C15" w:rsidP="00275C15" w:rsidRDefault="00275C15" w14:paraId="557A5DBF" w14:textId="1714A5F0">
      <w:pPr>
        <w:tabs>
          <w:tab w:val="left" w:pos="0"/>
        </w:tabs>
        <w:jc w:val="both"/>
        <w:rPr>
          <w:rFonts w:ascii="Arial" w:hAnsi="Arial" w:eastAsia="Calibri" w:cs="Arial"/>
          <w:bCs/>
          <w:sz w:val="20"/>
          <w:szCs w:val="20"/>
          <w:lang w:val="es-ES"/>
        </w:rPr>
      </w:pPr>
      <w:r w:rsidRPr="00046613">
        <w:rPr>
          <w:rFonts w:ascii="Arial" w:hAnsi="Arial" w:eastAsia="Calibri" w:cs="Arial"/>
          <w:bCs/>
          <w:sz w:val="20"/>
          <w:szCs w:val="20"/>
          <w:lang w:val="es-ES"/>
        </w:rPr>
        <w:t>Conforme a esta normativa, corresponde a la Agencia Nacional de Contratación Pública adoptar los documentos tipo a ser aplicados por las entidades estatales sometidas al EGCAP. No obstante, la aplicación de los diferentes formatos, matrices, formularios y documentos base para el desarrollo de procesos de contratación específicos, así como lo concerniente a sus requisitos de experiencia, es un asunto que concierne a las respectivas entidades obligadas a aplicar estos documentos tipo. Dichas entidades, además tienen la posibilidad de exigir requisitos de experiencia adicionales cuando la obra a contratar contenga bienes o servicios adicionales a la obra pública, conforme a los criterios establecidos en el artículo 2.2.1.2.6.1.5 del Decreto 1082 de 2015, siempre que se cumplan los presupuestos establecidos en dicho artículo.</w:t>
      </w:r>
    </w:p>
    <w:p w:rsidRPr="00046613" w:rsidR="000F6A5C" w:rsidP="002A366A" w:rsidRDefault="000F6A5C" w14:paraId="01E18B76" w14:textId="77777777">
      <w:pPr>
        <w:autoSpaceDE w:val="0"/>
        <w:autoSpaceDN w:val="0"/>
        <w:adjustRightInd w:val="0"/>
        <w:rPr>
          <w:rFonts w:ascii="Arial" w:hAnsi="Arial" w:cs="Arial"/>
          <w:szCs w:val="24"/>
          <w:lang w:val="es-CO"/>
        </w:rPr>
      </w:pPr>
    </w:p>
    <w:p w:rsidRPr="00046613" w:rsidR="000F6A5C" w:rsidP="4AFCAB8C" w:rsidRDefault="000F6A5C" w14:paraId="6A7DABE9" w14:textId="636C1EA8">
      <w:pPr>
        <w:pStyle w:val="Normal"/>
        <w:rPr>
          <w:rFonts w:ascii="Arial" w:hAnsi="Arial" w:eastAsia="Calibri" w:cs="Arial"/>
          <w:b w:val="1"/>
          <w:bCs w:val="1"/>
          <w:sz w:val="22"/>
          <w:szCs w:val="22"/>
        </w:rPr>
      </w:pPr>
      <w:r w:rsidRPr="4AFCAB8C" w:rsidR="65C563AB">
        <w:rPr>
          <w:rFonts w:ascii="Arial" w:hAnsi="Arial" w:eastAsia="Arial" w:cs="Arial"/>
          <w:b w:val="1"/>
          <w:bCs w:val="1"/>
          <w:noProof w:val="0"/>
          <w:sz w:val="22"/>
          <w:szCs w:val="22"/>
          <w:lang w:val="es-MX"/>
        </w:rPr>
        <w:t>Bogotá D.C., 26/10/2020 Hora 18:43:23s</w:t>
      </w:r>
      <w:r w:rsidRPr="4AFCAB8C" w:rsidR="65C563AB">
        <w:rPr>
          <w:rFonts w:ascii="Arial" w:hAnsi="Arial" w:eastAsia="Calibri" w:cs="Arial"/>
          <w:b w:val="1"/>
          <w:bCs w:val="1"/>
          <w:sz w:val="22"/>
          <w:szCs w:val="22"/>
        </w:rPr>
        <w:t xml:space="preserve"> </w:t>
      </w:r>
    </w:p>
    <w:p w:rsidRPr="00046613" w:rsidR="000F6A5C" w:rsidP="000F6A5C" w:rsidRDefault="000F6A5C" w14:paraId="72390439" w14:textId="77777777">
      <w:pPr>
        <w:jc w:val="right"/>
        <w:rPr>
          <w:rFonts w:ascii="Arial" w:hAnsi="Arial" w:eastAsia="Calibri" w:cs="Arial"/>
          <w:b/>
          <w:sz w:val="22"/>
        </w:rPr>
      </w:pPr>
    </w:p>
    <w:p w:rsidR="65C563AB" w:rsidP="4AFCAB8C" w:rsidRDefault="65C563AB" w14:paraId="1347EDD5" w14:textId="0E48A536">
      <w:pPr>
        <w:pStyle w:val="Normal"/>
        <w:jc w:val="right"/>
        <w:rPr>
          <w:rFonts w:ascii="Arial" w:hAnsi="Arial" w:eastAsia="Arial" w:cs="Arial"/>
          <w:b w:val="1"/>
          <w:bCs w:val="1"/>
          <w:noProof w:val="0"/>
          <w:sz w:val="22"/>
          <w:szCs w:val="22"/>
          <w:lang w:val="es-MX"/>
        </w:rPr>
      </w:pPr>
      <w:proofErr w:type="spellStart"/>
      <w:r w:rsidRPr="4AFCAB8C" w:rsidR="65C563AB">
        <w:rPr>
          <w:rFonts w:ascii="Arial" w:hAnsi="Arial" w:eastAsia="Arial" w:cs="Arial"/>
          <w:b w:val="1"/>
          <w:bCs w:val="1"/>
          <w:noProof w:val="0"/>
          <w:sz w:val="22"/>
          <w:szCs w:val="22"/>
          <w:lang w:val="es-MX"/>
        </w:rPr>
        <w:t>N°</w:t>
      </w:r>
      <w:proofErr w:type="spellEnd"/>
      <w:r w:rsidRPr="4AFCAB8C" w:rsidR="65C563AB">
        <w:rPr>
          <w:rFonts w:ascii="Arial" w:hAnsi="Arial" w:eastAsia="Arial" w:cs="Arial"/>
          <w:b w:val="1"/>
          <w:bCs w:val="1"/>
          <w:noProof w:val="0"/>
          <w:sz w:val="22"/>
          <w:szCs w:val="22"/>
          <w:lang w:val="es-MX"/>
        </w:rPr>
        <w:t xml:space="preserve"> Radicado: 2202013000010566</w:t>
      </w:r>
    </w:p>
    <w:p w:rsidRPr="00046613" w:rsidR="00A94552" w:rsidP="006240DE" w:rsidRDefault="00A94552" w14:paraId="698241C0" w14:textId="77777777">
      <w:pPr>
        <w:spacing w:line="276" w:lineRule="auto"/>
        <w:rPr>
          <w:rFonts w:ascii="Arial" w:hAnsi="Arial" w:cs="Arial"/>
          <w:sz w:val="22"/>
        </w:rPr>
      </w:pPr>
    </w:p>
    <w:p w:rsidRPr="00046613" w:rsidR="008138A0" w:rsidP="008138A0" w:rsidRDefault="008138A0" w14:paraId="09C7CE16" w14:textId="0CCD311A">
      <w:pPr>
        <w:rPr>
          <w:rFonts w:ascii="Arial" w:hAnsi="Arial" w:eastAsia="Calibri" w:cs="Arial"/>
          <w:sz w:val="22"/>
        </w:rPr>
      </w:pPr>
      <w:r w:rsidRPr="00046613">
        <w:rPr>
          <w:rFonts w:ascii="Arial" w:hAnsi="Arial" w:eastAsia="Calibri" w:cs="Arial"/>
          <w:sz w:val="22"/>
        </w:rPr>
        <w:t>Señor</w:t>
      </w:r>
      <w:r w:rsidRPr="00046613" w:rsidR="000F6A5C">
        <w:rPr>
          <w:rFonts w:ascii="Arial" w:hAnsi="Arial" w:eastAsia="Calibri" w:cs="Arial"/>
          <w:sz w:val="22"/>
        </w:rPr>
        <w:t>a</w:t>
      </w:r>
    </w:p>
    <w:p w:rsidRPr="00046613" w:rsidR="000F6A5C" w:rsidP="00F80BC6" w:rsidRDefault="000F6A5C" w14:paraId="62FA5659" w14:textId="38CF8925">
      <w:pPr>
        <w:rPr>
          <w:rFonts w:ascii="Arial" w:hAnsi="Arial" w:eastAsia="Calibri" w:cs="Arial"/>
          <w:b/>
          <w:sz w:val="22"/>
        </w:rPr>
      </w:pPr>
      <w:r w:rsidRPr="00046613">
        <w:rPr>
          <w:rFonts w:ascii="Arial" w:hAnsi="Arial" w:eastAsia="Calibri" w:cs="Arial"/>
          <w:b/>
          <w:sz w:val="22"/>
        </w:rPr>
        <w:t>Elizabeth González L.</w:t>
      </w:r>
    </w:p>
    <w:p w:rsidRPr="00046613" w:rsidR="008138A0" w:rsidP="00F80BC6" w:rsidRDefault="00AD48A9" w14:paraId="3512337F" w14:textId="5ADCC83B">
      <w:pPr>
        <w:rPr>
          <w:rFonts w:ascii="Arial" w:hAnsi="Arial" w:eastAsia="Calibri" w:cs="Arial"/>
          <w:sz w:val="22"/>
        </w:rPr>
      </w:pPr>
      <w:r w:rsidRPr="00046613">
        <w:rPr>
          <w:rFonts w:ascii="Arial" w:hAnsi="Arial" w:eastAsia="Calibri" w:cs="Arial"/>
          <w:sz w:val="22"/>
        </w:rPr>
        <w:t>Bogotá D.C.</w:t>
      </w:r>
    </w:p>
    <w:p w:rsidRPr="00046613" w:rsidR="00A94552" w:rsidP="00F80BC6" w:rsidRDefault="00A94552" w14:paraId="3CB1664F" w14:textId="7CAEC906">
      <w:pPr>
        <w:rPr>
          <w:rFonts w:ascii="Arial" w:hAnsi="Arial" w:eastAsia="Calibri" w:cs="Arial"/>
          <w:sz w:val="22"/>
        </w:rPr>
      </w:pPr>
    </w:p>
    <w:p w:rsidRPr="00046613" w:rsidR="00A94552" w:rsidP="00F80BC6" w:rsidRDefault="00A94552" w14:paraId="5862F3B3" w14:textId="77777777">
      <w:pPr>
        <w:rPr>
          <w:rFonts w:ascii="Arial" w:hAnsi="Arial" w:eastAsia="Calibri" w:cs="Arial"/>
          <w:sz w:val="22"/>
        </w:rPr>
      </w:pPr>
    </w:p>
    <w:p w:rsidRPr="00046613" w:rsidR="008138A0" w:rsidP="006240DE" w:rsidRDefault="00A94552" w14:paraId="164E5F76" w14:textId="5726E2BB">
      <w:pPr>
        <w:rPr>
          <w:rFonts w:ascii="Arial" w:hAnsi="Arial" w:eastAsia="Calibri" w:cs="Arial"/>
          <w:b/>
          <w:sz w:val="22"/>
        </w:rPr>
      </w:pPr>
      <w:r w:rsidRPr="00046613">
        <w:rPr>
          <w:rFonts w:ascii="Arial" w:hAnsi="Arial" w:eastAsia="Calibri" w:cs="Arial"/>
          <w:b/>
          <w:sz w:val="22"/>
        </w:rPr>
        <w:t xml:space="preserve">                                            </w:t>
      </w:r>
      <w:r w:rsidRPr="000A40B5" w:rsidR="008138A0">
        <w:rPr>
          <w:rFonts w:ascii="Arial" w:hAnsi="Arial" w:eastAsia="Calibri" w:cs="Arial"/>
          <w:b/>
          <w:sz w:val="22"/>
        </w:rPr>
        <w:t xml:space="preserve">Concepto C </w:t>
      </w:r>
      <w:r w:rsidRPr="000A40B5" w:rsidR="006D7E42">
        <w:rPr>
          <w:rFonts w:ascii="Arial" w:hAnsi="Arial" w:eastAsia="Calibri" w:cs="Arial"/>
          <w:b/>
          <w:sz w:val="22"/>
        </w:rPr>
        <w:t>–</w:t>
      </w:r>
      <w:r w:rsidRPr="000A40B5" w:rsidR="008138A0">
        <w:rPr>
          <w:rFonts w:ascii="Arial" w:hAnsi="Arial" w:eastAsia="Calibri" w:cs="Arial"/>
          <w:b/>
          <w:sz w:val="22"/>
        </w:rPr>
        <w:t xml:space="preserve"> </w:t>
      </w:r>
      <w:r w:rsidRPr="000A40B5" w:rsidR="00FE66F8">
        <w:rPr>
          <w:rFonts w:ascii="Arial" w:hAnsi="Arial" w:eastAsia="Calibri" w:cs="Arial"/>
          <w:b/>
          <w:sz w:val="22"/>
        </w:rPr>
        <w:t>643</w:t>
      </w:r>
      <w:r w:rsidRPr="000A40B5" w:rsidR="008138A0">
        <w:rPr>
          <w:rFonts w:ascii="Arial" w:hAnsi="Arial" w:eastAsia="Calibri" w:cs="Arial"/>
          <w:b/>
          <w:sz w:val="22"/>
        </w:rPr>
        <w:t xml:space="preserve"> de 2020</w:t>
      </w:r>
    </w:p>
    <w:p w:rsidRPr="00046613" w:rsidR="00E9608D" w:rsidP="008138A0" w:rsidRDefault="00E9608D" w14:paraId="775A9E53" w14:textId="34F43288">
      <w:pPr>
        <w:rPr>
          <w:rFonts w:ascii="Arial" w:hAnsi="Arial" w:eastAsia="Calibri" w:cs="Arial"/>
          <w:sz w:val="22"/>
        </w:rPr>
      </w:pPr>
    </w:p>
    <w:p w:rsidRPr="00046613" w:rsidR="00275C15" w:rsidP="008138A0" w:rsidRDefault="00275C15" w14:paraId="7EC415D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46613" w:rsidR="00046613" w:rsidTr="006D7E42" w14:paraId="023B8B56" w14:textId="77777777">
        <w:trPr>
          <w:trHeight w:val="300"/>
        </w:trPr>
        <w:tc>
          <w:tcPr>
            <w:tcW w:w="2689" w:type="dxa"/>
            <w:hideMark/>
          </w:tcPr>
          <w:p w:rsidRPr="00046613" w:rsidR="008138A0" w:rsidP="00ED0D12" w:rsidRDefault="008138A0" w14:paraId="3C7D030D" w14:textId="77777777">
            <w:pPr>
              <w:rPr>
                <w:rFonts w:ascii="Arial" w:hAnsi="Arial" w:eastAsia="Calibri" w:cs="Arial"/>
                <w:sz w:val="22"/>
              </w:rPr>
            </w:pPr>
            <w:r w:rsidRPr="00046613">
              <w:rPr>
                <w:rFonts w:ascii="Arial" w:hAnsi="Arial" w:eastAsia="Calibri" w:cs="Arial"/>
                <w:b/>
                <w:sz w:val="22"/>
              </w:rPr>
              <w:t>Temas:</w:t>
            </w:r>
            <w:r w:rsidRPr="00046613">
              <w:rPr>
                <w:rFonts w:ascii="Arial" w:hAnsi="Arial" w:eastAsia="Calibri" w:cs="Arial"/>
                <w:sz w:val="22"/>
              </w:rPr>
              <w:t xml:space="preserve">           </w:t>
            </w:r>
          </w:p>
          <w:p w:rsidRPr="00046613" w:rsidR="008138A0" w:rsidP="00ED0D12" w:rsidRDefault="008138A0" w14:paraId="22EACEBC" w14:textId="77777777">
            <w:pPr>
              <w:rPr>
                <w:rFonts w:ascii="Arial" w:hAnsi="Arial" w:eastAsia="Calibri" w:cs="Arial"/>
                <w:sz w:val="22"/>
              </w:rPr>
            </w:pPr>
            <w:r w:rsidRPr="00046613">
              <w:rPr>
                <w:rFonts w:ascii="Arial" w:hAnsi="Arial" w:eastAsia="Calibri" w:cs="Arial"/>
                <w:sz w:val="22"/>
              </w:rPr>
              <w:t xml:space="preserve">                           </w:t>
            </w:r>
          </w:p>
        </w:tc>
        <w:tc>
          <w:tcPr>
            <w:tcW w:w="6237" w:type="dxa"/>
            <w:hideMark/>
          </w:tcPr>
          <w:p w:rsidRPr="00046613" w:rsidR="008138A0" w:rsidP="006240DE" w:rsidRDefault="00275C15" w14:paraId="2509C0F0" w14:textId="1DA0A0CA">
            <w:pPr>
              <w:spacing w:after="120"/>
              <w:jc w:val="both"/>
              <w:rPr>
                <w:rFonts w:ascii="Arial" w:hAnsi="Arial" w:eastAsia="Calibri" w:cs="Arial"/>
                <w:sz w:val="22"/>
              </w:rPr>
            </w:pPr>
            <w:r w:rsidRPr="00046613">
              <w:rPr>
                <w:rFonts w:ascii="Arial" w:hAnsi="Arial" w:eastAsia="Calibri" w:cs="Arial"/>
                <w:sz w:val="22"/>
              </w:rPr>
              <w:t>DOCUMENTOS TIPO – Inalterabilidad / DOCUMENTOS TIPO – Matriz 1 – Experiencia general – Experiencia específica / PRINCIPIO DE TRANSPARENCIA – Observaciones</w:t>
            </w:r>
          </w:p>
        </w:tc>
      </w:tr>
      <w:tr w:rsidRPr="00046613" w:rsidR="00F80BC6" w:rsidTr="00F80BC6" w14:paraId="4CC1D054" w14:textId="77777777">
        <w:trPr>
          <w:trHeight w:val="119"/>
        </w:trPr>
        <w:tc>
          <w:tcPr>
            <w:tcW w:w="2689" w:type="dxa"/>
          </w:tcPr>
          <w:p w:rsidRPr="00046613" w:rsidR="008138A0" w:rsidP="00ED0D12" w:rsidRDefault="008138A0" w14:paraId="415D150B" w14:textId="77777777">
            <w:pPr>
              <w:rPr>
                <w:rFonts w:ascii="Arial" w:hAnsi="Arial" w:eastAsia="Calibri" w:cs="Arial"/>
                <w:b/>
                <w:sz w:val="22"/>
              </w:rPr>
            </w:pPr>
            <w:r w:rsidRPr="00046613">
              <w:rPr>
                <w:rFonts w:ascii="Arial" w:hAnsi="Arial" w:eastAsia="Calibri" w:cs="Arial"/>
                <w:b/>
                <w:sz w:val="22"/>
              </w:rPr>
              <w:t>Radicación:</w:t>
            </w:r>
            <w:r w:rsidRPr="00046613">
              <w:rPr>
                <w:rFonts w:ascii="Arial" w:hAnsi="Arial" w:eastAsia="Calibri" w:cs="Arial"/>
                <w:sz w:val="22"/>
              </w:rPr>
              <w:t xml:space="preserve">                              </w:t>
            </w:r>
          </w:p>
        </w:tc>
        <w:tc>
          <w:tcPr>
            <w:tcW w:w="6237" w:type="dxa"/>
          </w:tcPr>
          <w:p w:rsidRPr="00046613" w:rsidR="008138A0" w:rsidP="00ED0D12" w:rsidRDefault="008138A0" w14:paraId="2AFD26AF" w14:textId="36F16529">
            <w:pPr>
              <w:jc w:val="both"/>
              <w:rPr>
                <w:rFonts w:ascii="Arial" w:hAnsi="Arial" w:eastAsia="Calibri" w:cs="Arial"/>
                <w:sz w:val="22"/>
              </w:rPr>
            </w:pPr>
            <w:r w:rsidRPr="00046613">
              <w:rPr>
                <w:rFonts w:ascii="Arial" w:hAnsi="Arial" w:eastAsia="Calibri" w:cs="Arial"/>
                <w:sz w:val="22"/>
              </w:rPr>
              <w:t xml:space="preserve">Respuesta a consulta # </w:t>
            </w:r>
            <w:r w:rsidRPr="00046613" w:rsidR="00AD48A9">
              <w:rPr>
                <w:rFonts w:ascii="Arial" w:hAnsi="Arial" w:eastAsia="Calibri" w:cs="Arial"/>
                <w:sz w:val="22"/>
              </w:rPr>
              <w:t>420201</w:t>
            </w:r>
            <w:r w:rsidRPr="00046613" w:rsidR="000F6A5C">
              <w:rPr>
                <w:rFonts w:ascii="Arial" w:hAnsi="Arial" w:eastAsia="Calibri" w:cs="Arial"/>
                <w:sz w:val="22"/>
              </w:rPr>
              <w:t>2</w:t>
            </w:r>
            <w:r w:rsidRPr="00046613" w:rsidR="00AD48A9">
              <w:rPr>
                <w:rFonts w:ascii="Arial" w:hAnsi="Arial" w:eastAsia="Calibri" w:cs="Arial"/>
                <w:sz w:val="22"/>
              </w:rPr>
              <w:t>00000</w:t>
            </w:r>
            <w:r w:rsidRPr="00046613" w:rsidR="000F6A5C">
              <w:rPr>
                <w:rFonts w:ascii="Arial" w:hAnsi="Arial" w:eastAsia="Calibri" w:cs="Arial"/>
                <w:sz w:val="22"/>
              </w:rPr>
              <w:t>8288</w:t>
            </w:r>
          </w:p>
        </w:tc>
      </w:tr>
    </w:tbl>
    <w:p w:rsidRPr="00046613" w:rsidR="008138A0" w:rsidP="008138A0" w:rsidRDefault="008138A0" w14:paraId="42620EAB" w14:textId="77777777">
      <w:pPr>
        <w:jc w:val="both"/>
        <w:rPr>
          <w:rFonts w:ascii="Arial" w:hAnsi="Arial" w:eastAsia="Calibri" w:cs="Arial"/>
          <w:sz w:val="22"/>
        </w:rPr>
      </w:pPr>
    </w:p>
    <w:p w:rsidRPr="00046613" w:rsidR="00AD48A9" w:rsidP="008138A0" w:rsidRDefault="00AD48A9" w14:paraId="73358717" w14:textId="4385D262">
      <w:pPr>
        <w:jc w:val="both"/>
        <w:rPr>
          <w:rFonts w:ascii="Arial" w:hAnsi="Arial" w:eastAsia="Calibri" w:cs="Arial"/>
          <w:sz w:val="22"/>
        </w:rPr>
      </w:pPr>
    </w:p>
    <w:p w:rsidRPr="00046613" w:rsidR="00275C15" w:rsidP="008138A0" w:rsidRDefault="00275C15" w14:paraId="7FE4E352" w14:textId="0AF1CC4F">
      <w:pPr>
        <w:jc w:val="both"/>
        <w:rPr>
          <w:rFonts w:ascii="Arial" w:hAnsi="Arial" w:eastAsia="Calibri" w:cs="Arial"/>
          <w:sz w:val="22"/>
        </w:rPr>
      </w:pPr>
    </w:p>
    <w:p w:rsidRPr="00046613" w:rsidR="00275C15" w:rsidP="008138A0" w:rsidRDefault="00275C15" w14:paraId="7937AE90" w14:textId="77777777">
      <w:pPr>
        <w:jc w:val="both"/>
        <w:rPr>
          <w:rFonts w:ascii="Arial" w:hAnsi="Arial" w:eastAsia="Calibri" w:cs="Arial"/>
          <w:sz w:val="22"/>
        </w:rPr>
      </w:pPr>
    </w:p>
    <w:p w:rsidRPr="00046613" w:rsidR="008138A0" w:rsidP="008138A0" w:rsidRDefault="008138A0" w14:paraId="20780471" w14:textId="741119C8">
      <w:pPr>
        <w:rPr>
          <w:rFonts w:ascii="Arial" w:hAnsi="Arial" w:eastAsia="Calibri" w:cs="Arial"/>
          <w:sz w:val="22"/>
        </w:rPr>
      </w:pPr>
      <w:r w:rsidRPr="00046613">
        <w:rPr>
          <w:rFonts w:ascii="Arial" w:hAnsi="Arial" w:eastAsia="Calibri" w:cs="Arial"/>
          <w:sz w:val="22"/>
        </w:rPr>
        <w:t>Estimad</w:t>
      </w:r>
      <w:r w:rsidRPr="00046613" w:rsidR="000F6A5C">
        <w:rPr>
          <w:rFonts w:ascii="Arial" w:hAnsi="Arial" w:eastAsia="Calibri" w:cs="Arial"/>
          <w:sz w:val="22"/>
        </w:rPr>
        <w:t>a</w:t>
      </w:r>
      <w:r w:rsidRPr="00046613">
        <w:rPr>
          <w:rFonts w:ascii="Arial" w:hAnsi="Arial" w:eastAsia="Calibri" w:cs="Arial"/>
          <w:sz w:val="22"/>
        </w:rPr>
        <w:t xml:space="preserve"> señor</w:t>
      </w:r>
      <w:r w:rsidRPr="00046613" w:rsidR="000F6A5C">
        <w:rPr>
          <w:rFonts w:ascii="Arial" w:hAnsi="Arial" w:eastAsia="Calibri" w:cs="Arial"/>
          <w:sz w:val="22"/>
        </w:rPr>
        <w:t>a</w:t>
      </w:r>
      <w:r w:rsidRPr="00046613" w:rsidR="00E126F4">
        <w:rPr>
          <w:rFonts w:ascii="Arial" w:hAnsi="Arial" w:eastAsia="Calibri" w:cs="Arial"/>
          <w:sz w:val="22"/>
        </w:rPr>
        <w:t xml:space="preserve"> </w:t>
      </w:r>
      <w:r w:rsidRPr="00046613" w:rsidR="000F6A5C">
        <w:rPr>
          <w:rFonts w:ascii="Arial" w:hAnsi="Arial" w:eastAsia="Calibri" w:cs="Arial"/>
          <w:sz w:val="22"/>
        </w:rPr>
        <w:t>González</w:t>
      </w:r>
      <w:r w:rsidRPr="00046613" w:rsidR="00F80BC6">
        <w:rPr>
          <w:rFonts w:ascii="Arial" w:hAnsi="Arial" w:eastAsia="Calibri" w:cs="Arial"/>
          <w:sz w:val="22"/>
        </w:rPr>
        <w:t>,</w:t>
      </w:r>
    </w:p>
    <w:p w:rsidRPr="00046613" w:rsidR="00AD48A9" w:rsidP="008138A0" w:rsidRDefault="00AD48A9" w14:paraId="0B3D89B9" w14:textId="6830CF88">
      <w:pPr>
        <w:rPr>
          <w:rFonts w:ascii="Arial" w:hAnsi="Arial" w:eastAsia="Calibri" w:cs="Arial"/>
          <w:sz w:val="22"/>
        </w:rPr>
      </w:pPr>
    </w:p>
    <w:p w:rsidRPr="00046613" w:rsidR="00275C15" w:rsidP="008138A0" w:rsidRDefault="00275C15" w14:paraId="50FD92AD" w14:textId="77777777">
      <w:pPr>
        <w:rPr>
          <w:rFonts w:ascii="Arial" w:hAnsi="Arial" w:eastAsia="Calibri" w:cs="Arial"/>
          <w:sz w:val="22"/>
        </w:rPr>
      </w:pPr>
    </w:p>
    <w:p w:rsidRPr="00046613" w:rsidR="008138A0" w:rsidP="008138A0" w:rsidRDefault="008138A0" w14:paraId="735BE577" w14:textId="121882B8">
      <w:pPr>
        <w:spacing w:line="276" w:lineRule="auto"/>
        <w:jc w:val="both"/>
        <w:rPr>
          <w:rFonts w:ascii="Arial" w:hAnsi="Arial" w:eastAsia="Calibri" w:cs="Arial"/>
          <w:sz w:val="22"/>
        </w:rPr>
      </w:pPr>
      <w:r w:rsidRPr="00046613">
        <w:rPr>
          <w:rFonts w:ascii="Arial" w:hAnsi="Arial" w:eastAsia="Calibri" w:cs="Arial"/>
          <w:sz w:val="22"/>
        </w:rPr>
        <w:t xml:space="preserve">En ejercicio de la competencia otorgada por los artículos 11, numeral 8º, y 3º, numeral 5º, del Decreto Ley 4170 de 2011, la Agencia Nacional de Contratación Pública―Colombia Compra Eficiente responde su consulta del </w:t>
      </w:r>
      <w:r w:rsidRPr="00046613" w:rsidR="000F6A5C">
        <w:rPr>
          <w:rFonts w:ascii="Arial" w:hAnsi="Arial" w:eastAsia="Calibri" w:cs="Arial"/>
          <w:sz w:val="22"/>
        </w:rPr>
        <w:t>18</w:t>
      </w:r>
      <w:r w:rsidRPr="00046613" w:rsidR="00B34A68">
        <w:rPr>
          <w:rFonts w:ascii="Arial" w:hAnsi="Arial" w:eastAsia="Calibri" w:cs="Arial"/>
          <w:sz w:val="22"/>
        </w:rPr>
        <w:t xml:space="preserve"> de </w:t>
      </w:r>
      <w:r w:rsidRPr="00046613" w:rsidR="00AD48A9">
        <w:rPr>
          <w:rFonts w:ascii="Arial" w:hAnsi="Arial" w:eastAsia="Calibri" w:cs="Arial"/>
          <w:sz w:val="22"/>
        </w:rPr>
        <w:t>septiembre</w:t>
      </w:r>
      <w:r w:rsidRPr="00046613" w:rsidR="008E360E">
        <w:rPr>
          <w:rFonts w:ascii="Arial" w:hAnsi="Arial" w:eastAsia="Calibri" w:cs="Arial"/>
          <w:sz w:val="22"/>
        </w:rPr>
        <w:t xml:space="preserve"> </w:t>
      </w:r>
      <w:r w:rsidRPr="00046613">
        <w:rPr>
          <w:rFonts w:ascii="Arial" w:hAnsi="Arial" w:eastAsia="Calibri" w:cs="Arial"/>
          <w:sz w:val="22"/>
        </w:rPr>
        <w:t xml:space="preserve">de 2020. </w:t>
      </w:r>
    </w:p>
    <w:p w:rsidRPr="00046613" w:rsidR="008138A0" w:rsidP="008138A0" w:rsidRDefault="008138A0" w14:paraId="277F0862" w14:textId="77777777">
      <w:pPr>
        <w:spacing w:line="276" w:lineRule="auto"/>
        <w:jc w:val="both"/>
        <w:rPr>
          <w:rFonts w:ascii="Arial" w:hAnsi="Arial" w:eastAsia="Calibri" w:cs="Arial"/>
          <w:sz w:val="22"/>
        </w:rPr>
      </w:pPr>
    </w:p>
    <w:p w:rsidRPr="00046613"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046613">
        <w:rPr>
          <w:rFonts w:ascii="Arial" w:hAnsi="Arial" w:eastAsia="Calibri" w:cs="Arial"/>
          <w:b/>
          <w:sz w:val="22"/>
        </w:rPr>
        <w:t xml:space="preserve">Problemas planteados </w:t>
      </w:r>
    </w:p>
    <w:p w:rsidRPr="00046613" w:rsidR="008138A0" w:rsidP="008138A0" w:rsidRDefault="008138A0" w14:paraId="4B4B2E0E" w14:textId="77777777">
      <w:pPr>
        <w:tabs>
          <w:tab w:val="left" w:pos="426"/>
        </w:tabs>
        <w:spacing w:line="276" w:lineRule="auto"/>
        <w:jc w:val="both"/>
        <w:rPr>
          <w:rFonts w:ascii="Arial" w:hAnsi="Arial" w:eastAsia="Calibri" w:cs="Arial"/>
          <w:bCs/>
          <w:sz w:val="22"/>
        </w:rPr>
      </w:pPr>
    </w:p>
    <w:p w:rsidRPr="00046613" w:rsidR="00AD5387" w:rsidP="000F6A5C" w:rsidRDefault="001B09B2" w14:paraId="4A24E093" w14:textId="6772A2D2">
      <w:pPr>
        <w:spacing w:line="276" w:lineRule="auto"/>
        <w:jc w:val="both"/>
        <w:rPr>
          <w:rFonts w:ascii="Arial" w:hAnsi="Arial" w:eastAsia="Calibri" w:cs="Arial"/>
          <w:sz w:val="21"/>
          <w:szCs w:val="21"/>
        </w:rPr>
      </w:pPr>
      <w:r w:rsidRPr="00046613">
        <w:rPr>
          <w:rFonts w:ascii="Arial" w:hAnsi="Arial" w:eastAsia="Calibri" w:cs="Arial"/>
          <w:sz w:val="22"/>
        </w:rPr>
        <w:t xml:space="preserve">Usted </w:t>
      </w:r>
      <w:r w:rsidRPr="00046613" w:rsidR="000F6A5C">
        <w:rPr>
          <w:rFonts w:ascii="Arial" w:hAnsi="Arial" w:eastAsia="Calibri" w:cs="Arial"/>
          <w:sz w:val="22"/>
        </w:rPr>
        <w:t xml:space="preserve">plantea </w:t>
      </w:r>
      <w:r w:rsidRPr="00046613" w:rsidR="00AD48A9">
        <w:rPr>
          <w:rFonts w:ascii="Arial" w:hAnsi="Arial" w:eastAsia="Calibri" w:cs="Arial"/>
          <w:sz w:val="22"/>
        </w:rPr>
        <w:t>lo</w:t>
      </w:r>
      <w:r w:rsidRPr="00046613" w:rsidR="000F6A5C">
        <w:rPr>
          <w:rFonts w:ascii="Arial" w:hAnsi="Arial" w:eastAsia="Calibri" w:cs="Arial"/>
          <w:sz w:val="22"/>
        </w:rPr>
        <w:t>s</w:t>
      </w:r>
      <w:r w:rsidRPr="00046613" w:rsidR="00AD48A9">
        <w:rPr>
          <w:rFonts w:ascii="Arial" w:hAnsi="Arial" w:eastAsia="Calibri" w:cs="Arial"/>
          <w:sz w:val="22"/>
        </w:rPr>
        <w:t xml:space="preserve"> siguiente</w:t>
      </w:r>
      <w:r w:rsidRPr="00046613" w:rsidR="000F6A5C">
        <w:rPr>
          <w:rFonts w:ascii="Arial" w:hAnsi="Arial" w:eastAsia="Calibri" w:cs="Arial"/>
          <w:sz w:val="22"/>
        </w:rPr>
        <w:t>s interrogantes</w:t>
      </w:r>
      <w:r w:rsidRPr="00046613">
        <w:rPr>
          <w:rFonts w:ascii="Arial" w:hAnsi="Arial" w:eastAsia="Calibri" w:cs="Arial"/>
          <w:sz w:val="22"/>
        </w:rPr>
        <w:t xml:space="preserve"> </w:t>
      </w:r>
      <w:r w:rsidRPr="00046613" w:rsidR="000F6A5C">
        <w:rPr>
          <w:rFonts w:ascii="Arial" w:hAnsi="Arial" w:eastAsia="Calibri" w:cs="Arial"/>
          <w:sz w:val="22"/>
        </w:rPr>
        <w:t xml:space="preserve">relacionados con las Matriz 1 – Experiencia: </w:t>
      </w:r>
      <w:r w:rsidRPr="00046613" w:rsidR="00CB6615">
        <w:rPr>
          <w:rFonts w:ascii="Arial" w:hAnsi="Arial" w:eastAsia="Calibri" w:cs="Arial"/>
          <w:sz w:val="21"/>
          <w:szCs w:val="21"/>
        </w:rPr>
        <w:t>«</w:t>
      </w:r>
      <w:r w:rsidRPr="00046613" w:rsidR="00AD48A9">
        <w:rPr>
          <w:rFonts w:ascii="Arial" w:hAnsi="Arial" w:eastAsia="Calibri" w:cs="Arial"/>
          <w:sz w:val="21"/>
          <w:szCs w:val="21"/>
        </w:rPr>
        <w:t xml:space="preserve">[…] </w:t>
      </w:r>
      <w:r w:rsidRPr="00046613" w:rsidR="000F6A5C">
        <w:rPr>
          <w:rFonts w:ascii="Arial" w:hAnsi="Arial" w:eastAsia="Times New Roman" w:cs="Arial"/>
          <w:sz w:val="21"/>
          <w:szCs w:val="21"/>
        </w:rPr>
        <w:t xml:space="preserve">a.-  Se podría ampliar los ítems exigidos por esta matriz??; b.-  A </w:t>
      </w:r>
      <w:proofErr w:type="spellStart"/>
      <w:r w:rsidRPr="00046613" w:rsidR="000F6A5C">
        <w:rPr>
          <w:rFonts w:ascii="Arial" w:hAnsi="Arial" w:eastAsia="Times New Roman" w:cs="Arial"/>
          <w:sz w:val="21"/>
          <w:szCs w:val="21"/>
        </w:rPr>
        <w:t>que</w:t>
      </w:r>
      <w:proofErr w:type="spellEnd"/>
      <w:r w:rsidRPr="00046613" w:rsidR="000F6A5C">
        <w:rPr>
          <w:rFonts w:ascii="Arial" w:hAnsi="Arial" w:eastAsia="Times New Roman" w:cs="Arial"/>
          <w:sz w:val="21"/>
          <w:szCs w:val="21"/>
        </w:rPr>
        <w:t xml:space="preserve"> entidad se puede dirigir el ciudadano Colombiano para realizar la petición?; c.-  Si el </w:t>
      </w:r>
      <w:proofErr w:type="spellStart"/>
      <w:r w:rsidRPr="00046613" w:rsidR="000F6A5C">
        <w:rPr>
          <w:rFonts w:ascii="Arial" w:hAnsi="Arial" w:eastAsia="Times New Roman" w:cs="Arial"/>
          <w:sz w:val="21"/>
          <w:szCs w:val="21"/>
        </w:rPr>
        <w:t>Secop</w:t>
      </w:r>
      <w:proofErr w:type="spellEnd"/>
      <w:r w:rsidRPr="00046613" w:rsidR="000F6A5C">
        <w:rPr>
          <w:rFonts w:ascii="Arial" w:hAnsi="Arial" w:eastAsia="Times New Roman" w:cs="Arial"/>
          <w:sz w:val="21"/>
          <w:szCs w:val="21"/>
        </w:rPr>
        <w:t xml:space="preserve"> II no tiene la respuesta, con qué entidad nos podemos comunicar?;  c.-  Sugerimos actividades para anexar a la matriz 1 experiencia: Instalación de pavimento y mantenimiento de vías de cualquier índole </w:t>
      </w:r>
      <w:r w:rsidRPr="00046613" w:rsidR="00AD48A9">
        <w:rPr>
          <w:rFonts w:ascii="Arial" w:hAnsi="Arial" w:eastAsia="Calibri" w:cs="Arial"/>
          <w:sz w:val="21"/>
          <w:szCs w:val="21"/>
        </w:rPr>
        <w:t>[…]».</w:t>
      </w:r>
    </w:p>
    <w:p w:rsidRPr="00046613" w:rsidR="006D7E42" w:rsidP="008138A0" w:rsidRDefault="006D7E42" w14:paraId="3FC5CBA8" w14:textId="77777777">
      <w:pPr>
        <w:tabs>
          <w:tab w:val="left" w:pos="426"/>
        </w:tabs>
        <w:spacing w:line="276" w:lineRule="auto"/>
        <w:jc w:val="both"/>
        <w:rPr>
          <w:rFonts w:ascii="Arial" w:hAnsi="Arial" w:eastAsia="Calibri" w:cs="Arial"/>
          <w:sz w:val="22"/>
        </w:rPr>
      </w:pPr>
    </w:p>
    <w:p w:rsidRPr="00046613"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046613">
        <w:rPr>
          <w:rFonts w:ascii="Arial" w:hAnsi="Arial" w:eastAsia="Calibri" w:cs="Arial"/>
          <w:b/>
          <w:sz w:val="22"/>
        </w:rPr>
        <w:t>Consideraciones</w:t>
      </w:r>
    </w:p>
    <w:p w:rsidRPr="00046613" w:rsidR="00690462" w:rsidP="00690462" w:rsidRDefault="00690462" w14:paraId="3DB7C296" w14:textId="77777777">
      <w:pPr>
        <w:spacing w:line="276" w:lineRule="auto"/>
        <w:jc w:val="both"/>
        <w:rPr>
          <w:rFonts w:ascii="Arial" w:hAnsi="Arial" w:cs="Arial"/>
          <w:sz w:val="22"/>
        </w:rPr>
      </w:pPr>
    </w:p>
    <w:p w:rsidRPr="00046613" w:rsidR="005227FE" w:rsidP="006240DE" w:rsidRDefault="00660F20" w14:paraId="60BA29F5" w14:textId="4C731C19">
      <w:pPr>
        <w:spacing w:line="276" w:lineRule="auto"/>
        <w:jc w:val="both"/>
        <w:rPr>
          <w:rFonts w:ascii="Arial" w:hAnsi="Arial" w:cs="Arial"/>
          <w:sz w:val="22"/>
        </w:rPr>
      </w:pPr>
      <w:r w:rsidRPr="00046613">
        <w:rPr>
          <w:rFonts w:ascii="Arial" w:hAnsi="Arial" w:cs="Arial"/>
          <w:sz w:val="22"/>
        </w:rPr>
        <w:t xml:space="preserve">La Agencia Nacional de Contratación Pública </w:t>
      </w:r>
      <w:r w:rsidRPr="00046613">
        <w:rPr>
          <w:rFonts w:ascii="Arial" w:hAnsi="Arial" w:eastAsia="Calibri" w:cs="Arial"/>
          <w:sz w:val="22"/>
        </w:rPr>
        <w:t>―</w:t>
      </w:r>
      <w:r w:rsidRPr="00046613">
        <w:rPr>
          <w:rFonts w:ascii="Arial" w:hAnsi="Arial" w:cs="Arial"/>
          <w:sz w:val="22"/>
        </w:rPr>
        <w:t xml:space="preserve"> Colombia Compra Eficiente se ha pronunciado en diferentes conceptos sobre la forma de establecer</w:t>
      </w:r>
      <w:r w:rsidRPr="00046613" w:rsidR="005227FE">
        <w:rPr>
          <w:rFonts w:ascii="Arial" w:hAnsi="Arial" w:cs="Arial"/>
          <w:sz w:val="22"/>
        </w:rPr>
        <w:t xml:space="preserve"> y acreditar</w:t>
      </w:r>
      <w:r w:rsidRPr="00046613">
        <w:rPr>
          <w:rFonts w:ascii="Arial" w:hAnsi="Arial" w:cs="Arial"/>
          <w:sz w:val="22"/>
        </w:rPr>
        <w:t xml:space="preserve"> la experiencia exigible en procesos de contratación </w:t>
      </w:r>
      <w:r w:rsidRPr="00046613" w:rsidR="00275C15">
        <w:rPr>
          <w:rFonts w:ascii="Arial" w:hAnsi="Arial" w:cs="Arial"/>
          <w:sz w:val="22"/>
        </w:rPr>
        <w:t>adelantados con d</w:t>
      </w:r>
      <w:r w:rsidRPr="00046613">
        <w:rPr>
          <w:rFonts w:ascii="Arial" w:hAnsi="Arial" w:cs="Arial"/>
          <w:sz w:val="22"/>
        </w:rPr>
        <w:t xml:space="preserve">ocumentos </w:t>
      </w:r>
      <w:r w:rsidRPr="00046613" w:rsidR="00275C15">
        <w:rPr>
          <w:rFonts w:ascii="Arial" w:hAnsi="Arial" w:cs="Arial"/>
          <w:sz w:val="22"/>
        </w:rPr>
        <w:t>t</w:t>
      </w:r>
      <w:r w:rsidRPr="00046613">
        <w:rPr>
          <w:rFonts w:ascii="Arial" w:hAnsi="Arial" w:cs="Arial"/>
          <w:sz w:val="22"/>
        </w:rPr>
        <w:t xml:space="preserve">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Pr="00046613" w:rsidR="005227FE">
        <w:rPr>
          <w:rFonts w:ascii="Arial" w:hAnsi="Arial" w:cs="Arial"/>
          <w:sz w:val="22"/>
        </w:rPr>
        <w:t xml:space="preserve">2201913000006581 del 5 de septiembre de 2019, </w:t>
      </w:r>
      <w:r w:rsidRPr="00046613">
        <w:rPr>
          <w:rFonts w:ascii="Arial" w:hAnsi="Arial" w:cs="Arial"/>
          <w:sz w:val="22"/>
        </w:rPr>
        <w:t xml:space="preserve">4201912000006151 del 9 de septiembre de 2019, 4201912000007034 del 11 de octubre de 2019, 4201912000007124 del 17 de octubre de 2019, </w:t>
      </w:r>
      <w:r w:rsidRPr="00046613" w:rsidR="005227FE">
        <w:rPr>
          <w:rFonts w:ascii="Arial" w:hAnsi="Arial" w:cs="Arial"/>
          <w:sz w:val="22"/>
        </w:rPr>
        <w:t>C-056  del 8 de enero de 2020, C-069 del 24 de enero de 2020, C-097 del 5 de febrero de 2020</w:t>
      </w:r>
      <w:r w:rsidRPr="00046613" w:rsidR="00454786">
        <w:rPr>
          <w:rFonts w:ascii="Arial" w:hAnsi="Arial" w:cs="Arial"/>
          <w:sz w:val="22"/>
        </w:rPr>
        <w:t>, C-198 del 17 de abril de 2020,</w:t>
      </w:r>
      <w:r w:rsidRPr="00046613" w:rsidR="00F80BC6">
        <w:rPr>
          <w:rFonts w:ascii="Arial" w:hAnsi="Arial" w:cs="Arial"/>
          <w:sz w:val="22"/>
        </w:rPr>
        <w:t xml:space="preserve"> C</w:t>
      </w:r>
      <w:r w:rsidR="00FE66F8">
        <w:rPr>
          <w:rFonts w:ascii="Arial" w:hAnsi="Arial" w:cs="Arial"/>
          <w:sz w:val="22"/>
        </w:rPr>
        <w:t>-</w:t>
      </w:r>
      <w:r w:rsidRPr="00046613" w:rsidR="00F80BC6">
        <w:rPr>
          <w:rFonts w:ascii="Arial" w:hAnsi="Arial" w:cs="Arial"/>
          <w:sz w:val="22"/>
        </w:rPr>
        <w:t>325 del 26 de mayo de 2020,</w:t>
      </w:r>
      <w:r w:rsidRPr="00046613" w:rsidR="00AD48A9">
        <w:rPr>
          <w:rFonts w:ascii="Arial" w:hAnsi="Arial" w:cs="Arial"/>
          <w:sz w:val="22"/>
        </w:rPr>
        <w:t xml:space="preserve"> C-444 del 13 de julio de 2020, entre otr</w:t>
      </w:r>
      <w:r w:rsidR="00FE66F8">
        <w:rPr>
          <w:rFonts w:ascii="Arial" w:hAnsi="Arial" w:cs="Arial"/>
          <w:sz w:val="22"/>
        </w:rPr>
        <w:t>o</w:t>
      </w:r>
      <w:r w:rsidRPr="00046613" w:rsidR="00AD48A9">
        <w:rPr>
          <w:rFonts w:ascii="Arial" w:hAnsi="Arial" w:cs="Arial"/>
          <w:sz w:val="22"/>
        </w:rPr>
        <w:t xml:space="preserve">s. Las consideraciones expuestas en </w:t>
      </w:r>
      <w:r w:rsidRPr="00046613" w:rsidR="00A94552">
        <w:rPr>
          <w:rFonts w:ascii="Arial" w:hAnsi="Arial" w:cs="Arial"/>
          <w:sz w:val="22"/>
        </w:rPr>
        <w:t>estos</w:t>
      </w:r>
      <w:r w:rsidRPr="00046613" w:rsidR="00AD48A9">
        <w:rPr>
          <w:rFonts w:ascii="Arial" w:hAnsi="Arial" w:cs="Arial"/>
          <w:sz w:val="22"/>
        </w:rPr>
        <w:t xml:space="preserve"> conceptos se </w:t>
      </w:r>
      <w:r w:rsidRPr="00046613" w:rsidR="00A94552">
        <w:rPr>
          <w:rFonts w:ascii="Arial" w:hAnsi="Arial" w:cs="Arial"/>
          <w:sz w:val="22"/>
        </w:rPr>
        <w:t>reiteran</w:t>
      </w:r>
      <w:r w:rsidRPr="00046613" w:rsidR="00AD48A9">
        <w:rPr>
          <w:rFonts w:ascii="Arial" w:hAnsi="Arial" w:cs="Arial"/>
          <w:sz w:val="22"/>
        </w:rPr>
        <w:t xml:space="preserve"> a continuación.</w:t>
      </w:r>
    </w:p>
    <w:p w:rsidRPr="00046613" w:rsidR="00275C15" w:rsidP="006240DE" w:rsidRDefault="00275C15" w14:paraId="7F748B4A" w14:textId="77777777">
      <w:pPr>
        <w:spacing w:line="276" w:lineRule="auto"/>
        <w:jc w:val="both"/>
        <w:rPr>
          <w:rFonts w:ascii="Arial" w:hAnsi="Arial" w:cs="Arial"/>
          <w:sz w:val="22"/>
        </w:rPr>
      </w:pPr>
    </w:p>
    <w:p w:rsidRPr="00046613" w:rsidR="000E5F1D" w:rsidP="000E5F1D" w:rsidRDefault="000E5F1D" w14:paraId="2FCF36E4" w14:textId="683EAE14">
      <w:pPr>
        <w:spacing w:line="276" w:lineRule="auto"/>
        <w:jc w:val="both"/>
        <w:rPr>
          <w:rFonts w:ascii="Arial" w:hAnsi="Arial" w:cs="Arial"/>
          <w:b/>
          <w:bCs/>
          <w:sz w:val="22"/>
        </w:rPr>
      </w:pPr>
      <w:r w:rsidRPr="00046613">
        <w:rPr>
          <w:rFonts w:ascii="Arial" w:hAnsi="Arial" w:cs="Arial"/>
          <w:b/>
          <w:bCs/>
          <w:sz w:val="22"/>
        </w:rPr>
        <w:t>2.1. Documentos Tipo. Matriz 1</w:t>
      </w:r>
      <w:r w:rsidR="00FE66F8">
        <w:rPr>
          <w:rFonts w:ascii="Arial" w:hAnsi="Arial" w:cs="Arial"/>
          <w:b/>
          <w:bCs/>
          <w:sz w:val="22"/>
        </w:rPr>
        <w:t xml:space="preserve"> </w:t>
      </w:r>
      <w:r w:rsidRPr="00046613">
        <w:rPr>
          <w:rFonts w:ascii="Arial" w:hAnsi="Arial" w:cs="Arial"/>
          <w:b/>
          <w:bCs/>
          <w:sz w:val="22"/>
        </w:rPr>
        <w:t>– Experiencia</w:t>
      </w:r>
    </w:p>
    <w:p w:rsidRPr="00046613" w:rsidR="000E5F1D" w:rsidP="000E5F1D" w:rsidRDefault="000E5F1D" w14:paraId="6627B03F" w14:textId="77777777">
      <w:pPr>
        <w:spacing w:line="276" w:lineRule="auto"/>
        <w:jc w:val="both"/>
        <w:rPr>
          <w:rFonts w:ascii="Arial" w:hAnsi="Arial" w:cs="Arial"/>
          <w:sz w:val="22"/>
        </w:rPr>
      </w:pPr>
    </w:p>
    <w:p w:rsidRPr="00046613" w:rsidR="006240DE" w:rsidP="000E5F1D" w:rsidRDefault="00660F20" w14:paraId="76B8A6E8" w14:textId="7709D04F">
      <w:pPr>
        <w:spacing w:after="120" w:line="276" w:lineRule="auto"/>
        <w:jc w:val="both"/>
        <w:rPr>
          <w:rFonts w:ascii="Arial" w:hAnsi="Arial" w:cs="Arial"/>
          <w:sz w:val="22"/>
        </w:rPr>
      </w:pPr>
      <w:r w:rsidRPr="00046613">
        <w:rPr>
          <w:rFonts w:ascii="Arial" w:hAnsi="Arial" w:cs="Arial"/>
          <w:sz w:val="22"/>
        </w:rPr>
        <w:t>El artículo 4 de la Ley 1882 de 2018</w:t>
      </w:r>
      <w:r w:rsidRPr="00046613" w:rsidR="006240DE">
        <w:rPr>
          <w:rFonts w:ascii="Arial" w:hAnsi="Arial" w:cs="Arial"/>
          <w:sz w:val="22"/>
        </w:rPr>
        <w:t>, modificado por la Ley 2022 de 2020</w:t>
      </w:r>
      <w:r w:rsidRPr="00046613">
        <w:rPr>
          <w:rFonts w:ascii="Arial" w:hAnsi="Arial" w:cs="Arial"/>
          <w:sz w:val="22"/>
        </w:rPr>
        <w:t xml:space="preserve"> establece que a</w:t>
      </w:r>
      <w:r w:rsidRPr="00046613" w:rsidR="006240DE">
        <w:rPr>
          <w:rFonts w:ascii="Arial" w:hAnsi="Arial" w:cs="Arial"/>
          <w:sz w:val="22"/>
        </w:rPr>
        <w:t xml:space="preserve"> </w:t>
      </w:r>
      <w:proofErr w:type="gramStart"/>
      <w:r w:rsidRPr="00046613" w:rsidR="006240DE">
        <w:rPr>
          <w:rFonts w:ascii="Arial" w:hAnsi="Arial" w:cs="Arial"/>
          <w:sz w:val="22"/>
        </w:rPr>
        <w:t>la</w:t>
      </w:r>
      <w:r w:rsidRPr="00046613">
        <w:rPr>
          <w:rFonts w:ascii="Arial" w:hAnsi="Arial" w:cs="Arial"/>
          <w:sz w:val="22"/>
        </w:rPr>
        <w:t xml:space="preserve"> </w:t>
      </w:r>
      <w:r w:rsidRPr="00046613" w:rsidR="006240DE">
        <w:rPr>
          <w:rFonts w:ascii="Arial" w:hAnsi="Arial" w:cs="Arial"/>
          <w:sz w:val="22"/>
        </w:rPr>
        <w:t xml:space="preserve"> Agencia</w:t>
      </w:r>
      <w:proofErr w:type="gramEnd"/>
      <w:r w:rsidRPr="00046613" w:rsidR="006240DE">
        <w:rPr>
          <w:rFonts w:ascii="Arial" w:hAnsi="Arial" w:cs="Arial"/>
          <w:sz w:val="22"/>
        </w:rPr>
        <w:t xml:space="preserve"> Nacional de Contratación Pública</w:t>
      </w:r>
      <w:r w:rsidRPr="00046613">
        <w:rPr>
          <w:rFonts w:ascii="Arial" w:hAnsi="Arial" w:cs="Arial"/>
          <w:sz w:val="22"/>
        </w:rPr>
        <w:t xml:space="preserve"> le corresponde adoptar los «</w:t>
      </w:r>
      <w:bookmarkStart w:name="ver_30223091" w:id="3"/>
      <w:r w:rsidRPr="00046613" w:rsidR="006240DE">
        <w:rPr>
          <w:rFonts w:ascii="Arial" w:hAnsi="Arial" w:cs="Arial"/>
          <w:sz w:val="22"/>
        </w:rPr>
        <w:t>documentos tipo que serán de obligatorio cumplimiento en la actividad contractual de todas las entidades sometidas al Estatuto General de Contratación de la Administración Pública».</w:t>
      </w:r>
    </w:p>
    <w:bookmarkEnd w:id="3"/>
    <w:p w:rsidRPr="00046613" w:rsidR="006240DE" w:rsidP="006240DE" w:rsidRDefault="00660F20" w14:paraId="6F0D0C5B" w14:textId="071034F5">
      <w:pPr>
        <w:pStyle w:val="NormalWeb"/>
        <w:spacing w:before="0" w:beforeAutospacing="0" w:after="0" w:afterAutospacing="0" w:line="276" w:lineRule="auto"/>
        <w:ind w:firstLine="708"/>
        <w:jc w:val="both"/>
        <w:rPr>
          <w:rFonts w:ascii="Arial" w:hAnsi="Arial" w:cs="Arial"/>
          <w:sz w:val="22"/>
          <w:szCs w:val="22"/>
        </w:rPr>
      </w:pPr>
      <w:r w:rsidRPr="00046613">
        <w:rPr>
          <w:rFonts w:ascii="Arial" w:hAnsi="Arial" w:cs="Arial"/>
          <w:sz w:val="22"/>
          <w:szCs w:val="22"/>
        </w:rPr>
        <w:t xml:space="preserve">Adicionalmente señala, frente a su contenido, que </w:t>
      </w:r>
      <w:r w:rsidRPr="00046613" w:rsidR="006240DE">
        <w:rPr>
          <w:rFonts w:ascii="Arial" w:hAnsi="Arial" w:cs="Arial"/>
          <w:sz w:val="22"/>
          <w:szCs w:val="2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046613" w:rsidR="00660F20" w:rsidP="00660F20" w:rsidRDefault="00660F20" w14:paraId="76AF8A87" w14:textId="1F0FD2C6">
      <w:pPr>
        <w:spacing w:before="120" w:line="276" w:lineRule="auto"/>
        <w:ind w:firstLine="708"/>
        <w:jc w:val="both"/>
        <w:rPr>
          <w:rFonts w:ascii="Arial" w:hAnsi="Arial" w:cs="Arial"/>
          <w:sz w:val="22"/>
          <w:shd w:val="clear" w:color="auto" w:fill="FFFFFF"/>
        </w:rPr>
      </w:pPr>
      <w:r w:rsidRPr="00046613">
        <w:rPr>
          <w:rFonts w:ascii="Arial" w:hAnsi="Arial" w:cs="Arial"/>
          <w:sz w:val="22"/>
        </w:rPr>
        <w:t>Conforme a lo anterior, el Gobierno Nacional adop</w:t>
      </w:r>
      <w:r w:rsidRPr="00046613">
        <w:rPr>
          <w:rFonts w:ascii="Arial" w:hAnsi="Arial" w:cs="Arial"/>
          <w:sz w:val="22"/>
          <w:shd w:val="clear" w:color="auto" w:fill="FFFFFF"/>
        </w:rPr>
        <w:t>tó los Documentos Tipo para los pliegos de condiciones de los procesos de selección de licitación de obra pública de infraestructura de transporte, mediante la expedición del Decreto 342 de 2018, el cual adicion</w:t>
      </w:r>
      <w:r w:rsidR="00FE66F8">
        <w:rPr>
          <w:rFonts w:ascii="Arial" w:hAnsi="Arial" w:cs="Arial"/>
          <w:sz w:val="22"/>
          <w:shd w:val="clear" w:color="auto" w:fill="FFFFFF"/>
        </w:rPr>
        <w:t>ó</w:t>
      </w:r>
      <w:r w:rsidRPr="00046613">
        <w:rPr>
          <w:rFonts w:ascii="Arial" w:hAnsi="Arial" w:cs="Arial"/>
          <w:sz w:val="22"/>
          <w:shd w:val="clear" w:color="auto" w:fill="FFFFFF"/>
        </w:rPr>
        <w:t xml:space="preserve"> al Decreto 1082 de 2015</w:t>
      </w:r>
      <w:r w:rsidRPr="00046613" w:rsidR="00275C15">
        <w:rPr>
          <w:rFonts w:ascii="Arial" w:hAnsi="Arial" w:cs="Arial"/>
          <w:sz w:val="22"/>
          <w:shd w:val="clear" w:color="auto" w:fill="FFFFFF"/>
        </w:rPr>
        <w:t xml:space="preserve">. Así mismo se adoptaron documentos tipo para </w:t>
      </w:r>
      <w:r w:rsidRPr="00046613" w:rsidR="00B71E80">
        <w:rPr>
          <w:rFonts w:ascii="Arial" w:hAnsi="Arial" w:cs="Arial"/>
          <w:sz w:val="22"/>
          <w:shd w:val="clear" w:color="auto" w:fill="FFFFFF"/>
        </w:rPr>
        <w:t>procesos de selección abreviada de menor cuantía y mínima cuantía</w:t>
      </w:r>
      <w:r w:rsidRPr="00046613" w:rsidR="00275C15">
        <w:rPr>
          <w:rFonts w:ascii="Arial" w:hAnsi="Arial" w:cs="Arial"/>
          <w:sz w:val="22"/>
          <w:shd w:val="clear" w:color="auto" w:fill="FFFFFF"/>
        </w:rPr>
        <w:t xml:space="preserve"> de infraestructura de transporte</w:t>
      </w:r>
      <w:r w:rsidR="00FE66F8">
        <w:rPr>
          <w:rFonts w:ascii="Arial" w:hAnsi="Arial" w:cs="Arial"/>
          <w:sz w:val="22"/>
          <w:shd w:val="clear" w:color="auto" w:fill="FFFFFF"/>
        </w:rPr>
        <w:t>,</w:t>
      </w:r>
      <w:r w:rsidRPr="00046613" w:rsidR="00B71E80">
        <w:rPr>
          <w:rFonts w:ascii="Arial" w:hAnsi="Arial" w:cs="Arial"/>
          <w:sz w:val="22"/>
          <w:shd w:val="clear" w:color="auto" w:fill="FFFFFF"/>
        </w:rPr>
        <w:t xml:space="preserve"> a través de los Decretos </w:t>
      </w:r>
      <w:r w:rsidRPr="00046613" w:rsidR="00275C15">
        <w:rPr>
          <w:rFonts w:ascii="Arial" w:hAnsi="Arial" w:cs="Arial"/>
          <w:sz w:val="22"/>
          <w:shd w:val="clear" w:color="auto" w:fill="FFFFFF"/>
        </w:rPr>
        <w:t>2096 de 2019 y 594 de 2020</w:t>
      </w:r>
      <w:r w:rsidR="00FE66F8">
        <w:rPr>
          <w:rFonts w:ascii="Arial" w:hAnsi="Arial" w:cs="Arial"/>
          <w:sz w:val="22"/>
          <w:shd w:val="clear" w:color="auto" w:fill="FFFFFF"/>
        </w:rPr>
        <w:t>.</w:t>
      </w:r>
      <w:r w:rsidRPr="00046613" w:rsidR="00275C15">
        <w:rPr>
          <w:rFonts w:ascii="Arial" w:hAnsi="Arial" w:cs="Arial"/>
          <w:sz w:val="22"/>
          <w:shd w:val="clear" w:color="auto" w:fill="FFFFFF"/>
        </w:rPr>
        <w:t xml:space="preserve"> </w:t>
      </w:r>
    </w:p>
    <w:p w:rsidRPr="00046613" w:rsidR="00660F20" w:rsidP="00660F20" w:rsidRDefault="00660F20" w14:paraId="47624A5D" w14:textId="3D15BB3D">
      <w:pPr>
        <w:spacing w:before="120" w:line="276" w:lineRule="auto"/>
        <w:ind w:firstLine="708"/>
        <w:jc w:val="both"/>
        <w:rPr>
          <w:rFonts w:ascii="Arial" w:hAnsi="Arial" w:cs="Arial"/>
          <w:sz w:val="22"/>
          <w:shd w:val="clear" w:color="auto" w:fill="FFFFFF"/>
        </w:rPr>
      </w:pPr>
      <w:r w:rsidRPr="00046613">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w:t>
      </w:r>
      <w:r w:rsidRPr="00046613" w:rsidR="00B4689C">
        <w:rPr>
          <w:rFonts w:ascii="Arial" w:hAnsi="Arial" w:cs="Arial"/>
          <w:i/>
          <w:iCs/>
          <w:sz w:val="22"/>
          <w:shd w:val="clear" w:color="auto" w:fill="FFFFFF"/>
        </w:rPr>
        <w:t>D</w:t>
      </w:r>
      <w:r w:rsidRPr="00046613">
        <w:rPr>
          <w:rFonts w:ascii="Arial" w:hAnsi="Arial" w:cs="Arial"/>
          <w:i/>
          <w:iCs/>
          <w:sz w:val="22"/>
          <w:shd w:val="clear" w:color="auto" w:fill="FFFFFF"/>
        </w:rPr>
        <w:t xml:space="preserve">ocumentos del </w:t>
      </w:r>
      <w:r w:rsidRPr="00046613" w:rsidR="00B4689C">
        <w:rPr>
          <w:rFonts w:ascii="Arial" w:hAnsi="Arial" w:cs="Arial"/>
          <w:i/>
          <w:iCs/>
          <w:sz w:val="22"/>
          <w:shd w:val="clear" w:color="auto" w:fill="FFFFFF"/>
        </w:rPr>
        <w:t>P</w:t>
      </w:r>
      <w:r w:rsidRPr="00046613">
        <w:rPr>
          <w:rFonts w:ascii="Arial" w:hAnsi="Arial" w:cs="Arial"/>
          <w:i/>
          <w:iCs/>
          <w:sz w:val="22"/>
          <w:shd w:val="clear" w:color="auto" w:fill="FFFFFF"/>
        </w:rPr>
        <w:t>roceso</w:t>
      </w:r>
      <w:r w:rsidRPr="00046613">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w:t>
      </w:r>
      <w:r w:rsidR="00FE66F8">
        <w:rPr>
          <w:rFonts w:ascii="Arial" w:hAnsi="Arial" w:cs="Arial"/>
          <w:sz w:val="22"/>
          <w:shd w:val="clear" w:color="auto" w:fill="FFFFFF"/>
        </w:rPr>
        <w:lastRenderedPageBreak/>
        <w:t>adoptados por</w:t>
      </w:r>
      <w:r w:rsidRPr="00046613">
        <w:rPr>
          <w:rFonts w:ascii="Arial" w:hAnsi="Arial" w:cs="Arial"/>
          <w:sz w:val="22"/>
          <w:shd w:val="clear" w:color="auto" w:fill="FFFFFF"/>
        </w:rPr>
        <w:t xml:space="preserve"> el Gobierno Nacional, en ejercicio del mandato establecido en el artículo 4 de la Ley 1882 de 2018,</w:t>
      </w:r>
      <w:r w:rsidR="00FE66F8">
        <w:rPr>
          <w:rFonts w:ascii="Arial" w:hAnsi="Arial" w:cs="Arial"/>
          <w:sz w:val="22"/>
          <w:shd w:val="clear" w:color="auto" w:fill="FFFFFF"/>
        </w:rPr>
        <w:t xml:space="preserve"> modificado por el artículo 1 de la Ley 2022 de 2020,</w:t>
      </w:r>
      <w:r w:rsidRPr="00046613">
        <w:rPr>
          <w:rFonts w:ascii="Arial" w:hAnsi="Arial" w:cs="Arial"/>
          <w:sz w:val="22"/>
          <w:shd w:val="clear" w:color="auto" w:fill="FFFFFF"/>
        </w:rPr>
        <w:t xml:space="preserve"> son de obligatorio cumplimiento para las entidades sometidas al Estatuto General de Contratación de la Administración Pública que adelanten procesos que deban regirse por su contenido, y no pueden variarse los requisitos fijados en ellos. </w:t>
      </w:r>
    </w:p>
    <w:p w:rsidRPr="00046613" w:rsidR="00660F20" w:rsidP="00660F20" w:rsidRDefault="00660F20" w14:paraId="20CBAC3A" w14:textId="3BF6C982">
      <w:pPr>
        <w:spacing w:before="120" w:line="276" w:lineRule="auto"/>
        <w:ind w:firstLine="708"/>
        <w:jc w:val="both"/>
        <w:rPr>
          <w:rFonts w:ascii="Arial" w:hAnsi="Arial" w:cs="Arial"/>
          <w:sz w:val="22"/>
          <w:shd w:val="clear" w:color="auto" w:fill="FFFFFF"/>
        </w:rPr>
      </w:pPr>
      <w:r w:rsidRPr="00046613">
        <w:rPr>
          <w:rFonts w:ascii="Arial" w:hAnsi="Arial" w:cs="Arial"/>
          <w:sz w:val="22"/>
          <w:shd w:val="clear" w:color="auto" w:fill="FFFFFF"/>
        </w:rPr>
        <w:t>Con el fin de establecer cuáles son los</w:t>
      </w:r>
      <w:r w:rsidRPr="00046613" w:rsidR="00B4689C">
        <w:rPr>
          <w:rFonts w:ascii="Arial" w:hAnsi="Arial" w:cs="Arial"/>
          <w:sz w:val="22"/>
          <w:shd w:val="clear" w:color="auto" w:fill="FFFFFF"/>
        </w:rPr>
        <w:t xml:space="preserve"> D</w:t>
      </w:r>
      <w:r w:rsidRPr="00046613">
        <w:rPr>
          <w:rFonts w:ascii="Arial" w:hAnsi="Arial" w:cs="Arial"/>
          <w:sz w:val="22"/>
          <w:shd w:val="clear" w:color="auto" w:fill="FFFFFF"/>
        </w:rPr>
        <w:t xml:space="preserve">ocumentos Tipo sujetos a esta disposición, el artículo 2.2.1.2.6.1.2. del Decreto 1082 de 2015 establece un listado que determina el alcance de los documentos e incluye expresamente la «Matriz 1 – Experiencia» ─en adelante Matriz 1─. Por su parte, el artículo 2.2.1.2.6.1.3. </w:t>
      </w:r>
      <w:r w:rsidRPr="00046613">
        <w:rPr>
          <w:rFonts w:ascii="Arial" w:hAnsi="Arial" w:cs="Arial"/>
          <w:i/>
          <w:iCs/>
          <w:sz w:val="22"/>
          <w:shd w:val="clear" w:color="auto" w:fill="FFFFFF"/>
        </w:rPr>
        <w:t xml:space="preserve">ibidem </w:t>
      </w:r>
      <w:r w:rsidRPr="00046613">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FE66F8">
        <w:rPr>
          <w:rFonts w:ascii="Arial" w:hAnsi="Arial" w:cs="Arial"/>
          <w:sz w:val="22"/>
          <w:shd w:val="clear" w:color="auto" w:fill="FFFFFF"/>
        </w:rPr>
        <w:t>–</w:t>
      </w:r>
      <w:r w:rsidRPr="00046613">
        <w:rPr>
          <w:rFonts w:ascii="Arial" w:hAnsi="Arial" w:cs="Arial"/>
          <w:sz w:val="22"/>
          <w:shd w:val="clear" w:color="auto" w:fill="FFFFFF"/>
        </w:rPr>
        <w:t>DNP</w:t>
      </w:r>
      <w:r w:rsidR="00FE66F8">
        <w:rPr>
          <w:rFonts w:ascii="Arial" w:hAnsi="Arial" w:cs="Arial"/>
          <w:sz w:val="22"/>
          <w:shd w:val="clear" w:color="auto" w:fill="FFFFFF"/>
        </w:rPr>
        <w:t>–</w:t>
      </w:r>
      <w:r w:rsidRPr="00046613">
        <w:rPr>
          <w:rFonts w:ascii="Arial" w:hAnsi="Arial" w:cs="Arial"/>
          <w:sz w:val="22"/>
          <w:shd w:val="clear" w:color="auto" w:fill="FFFFFF"/>
        </w:rPr>
        <w:t xml:space="preserve"> y el Ministerio de Transporte, debe «[s]</w:t>
      </w:r>
      <w:proofErr w:type="spellStart"/>
      <w:r w:rsidRPr="00046613">
        <w:rPr>
          <w:rFonts w:ascii="Arial" w:hAnsi="Arial" w:cs="Arial"/>
          <w:sz w:val="22"/>
          <w:shd w:val="clear" w:color="auto" w:fill="FFFFFF"/>
        </w:rPr>
        <w:t>eñalar</w:t>
      </w:r>
      <w:proofErr w:type="spellEnd"/>
      <w:r w:rsidRPr="00046613">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046613" w:rsidR="00660F20" w:rsidP="00660F20" w:rsidRDefault="00660F20" w14:paraId="409AE9C3" w14:textId="00B4AE6E">
      <w:pPr>
        <w:spacing w:before="120" w:line="276" w:lineRule="auto"/>
        <w:ind w:firstLine="708"/>
        <w:jc w:val="both"/>
        <w:rPr>
          <w:rFonts w:ascii="Arial" w:hAnsi="Arial" w:cs="Arial"/>
          <w:sz w:val="22"/>
        </w:rPr>
      </w:pPr>
      <w:r w:rsidRPr="00046613">
        <w:rPr>
          <w:rFonts w:ascii="Arial" w:hAnsi="Arial" w:cs="Arial"/>
          <w:sz w:val="22"/>
        </w:rPr>
        <w:t xml:space="preserve">En cumplimiento de este mandato, </w:t>
      </w:r>
      <w:r w:rsidRPr="00046613" w:rsidR="008B624C">
        <w:rPr>
          <w:rFonts w:ascii="Arial" w:hAnsi="Arial" w:cs="Arial"/>
          <w:sz w:val="22"/>
          <w:shd w:val="clear" w:color="auto" w:fill="FFFFFF"/>
        </w:rPr>
        <w:t>la Agencia Nacional de Contratación Pública – Colombia Compra Eficiente expidió la</w:t>
      </w:r>
      <w:r w:rsidRPr="00046613">
        <w:rPr>
          <w:rFonts w:ascii="Arial" w:hAnsi="Arial" w:cs="Arial"/>
          <w:sz w:val="22"/>
        </w:rPr>
        <w:t xml:space="preserve"> Resolución No. 1798 del 1 de abril de 2019, mediante </w:t>
      </w:r>
      <w:r w:rsidRPr="00046613" w:rsidR="008B624C">
        <w:rPr>
          <w:rFonts w:ascii="Arial" w:hAnsi="Arial" w:cs="Arial"/>
          <w:sz w:val="22"/>
        </w:rPr>
        <w:t xml:space="preserve">la cual </w:t>
      </w:r>
      <w:r w:rsidRPr="00046613">
        <w:rPr>
          <w:rFonts w:ascii="Arial" w:hAnsi="Arial" w:cs="Arial"/>
          <w:sz w:val="22"/>
        </w:rPr>
        <w:t>implementó y desarrolló los Documentos Tipo aplicables a los procesos de licitación de obra pública de infraestructura de transporte,</w:t>
      </w:r>
      <w:r w:rsidRPr="00046613" w:rsidR="008B624C">
        <w:rPr>
          <w:rFonts w:ascii="Arial" w:hAnsi="Arial" w:cs="Arial"/>
          <w:sz w:val="22"/>
        </w:rPr>
        <w:t xml:space="preserve"> los cuales posteriormente actualizó a través de la Resolución No. 045 de</w:t>
      </w:r>
      <w:r w:rsidRPr="00046613" w:rsidR="00DD56D9">
        <w:rPr>
          <w:rFonts w:ascii="Arial" w:hAnsi="Arial" w:cs="Arial"/>
          <w:sz w:val="22"/>
        </w:rPr>
        <w:t>l 14 de febrero de</w:t>
      </w:r>
      <w:r w:rsidRPr="00046613" w:rsidR="008B624C">
        <w:rPr>
          <w:rFonts w:ascii="Arial" w:hAnsi="Arial" w:cs="Arial"/>
          <w:sz w:val="22"/>
        </w:rPr>
        <w:t xml:space="preserve"> 2020. A partir de tales </w:t>
      </w:r>
      <w:r w:rsidRPr="00046613" w:rsidR="00DD56D9">
        <w:rPr>
          <w:rFonts w:ascii="Arial" w:hAnsi="Arial" w:cs="Arial"/>
          <w:sz w:val="22"/>
        </w:rPr>
        <w:t>actos administrativos</w:t>
      </w:r>
      <w:r w:rsidRPr="00046613">
        <w:rPr>
          <w:rFonts w:ascii="Arial" w:hAnsi="Arial" w:cs="Arial"/>
          <w:sz w:val="22"/>
        </w:rPr>
        <w:t xml:space="preserve"> </w:t>
      </w:r>
      <w:r w:rsidRPr="00046613" w:rsidR="00902E00">
        <w:rPr>
          <w:rFonts w:ascii="Arial" w:hAnsi="Arial" w:cs="Arial"/>
          <w:sz w:val="22"/>
        </w:rPr>
        <w:t xml:space="preserve">se </w:t>
      </w:r>
      <w:r w:rsidRPr="00046613">
        <w:rPr>
          <w:rFonts w:ascii="Arial" w:hAnsi="Arial" w:cs="Arial"/>
          <w:sz w:val="22"/>
        </w:rPr>
        <w:t>determin</w:t>
      </w:r>
      <w:r w:rsidRPr="00046613" w:rsidR="00902E00">
        <w:rPr>
          <w:rFonts w:ascii="Arial" w:hAnsi="Arial" w:cs="Arial"/>
          <w:sz w:val="22"/>
        </w:rPr>
        <w:t>aron</w:t>
      </w:r>
      <w:r w:rsidRPr="00046613">
        <w:rPr>
          <w:rFonts w:ascii="Arial" w:hAnsi="Arial" w:cs="Arial"/>
          <w:sz w:val="22"/>
        </w:rPr>
        <w:t xml:space="preserve"> los documentos y criterios que debe cumplir el proponente para </w:t>
      </w:r>
      <w:r w:rsidR="00FE66F8">
        <w:rPr>
          <w:rFonts w:ascii="Arial" w:hAnsi="Arial" w:cs="Arial"/>
          <w:sz w:val="22"/>
        </w:rPr>
        <w:t>acreditar</w:t>
      </w:r>
      <w:r w:rsidRPr="00046613">
        <w:rPr>
          <w:rFonts w:ascii="Arial" w:hAnsi="Arial" w:cs="Arial"/>
          <w:sz w:val="22"/>
        </w:rPr>
        <w:t xml:space="preserve"> la experiencia, específicamente en la sección 3.5 del «Documento Base» y en la</w:t>
      </w:r>
      <w:r w:rsidRPr="00046613" w:rsidR="00902E00">
        <w:rPr>
          <w:rFonts w:ascii="Arial" w:hAnsi="Arial" w:cs="Arial"/>
          <w:sz w:val="22"/>
        </w:rPr>
        <w:t xml:space="preserve"> </w:t>
      </w:r>
      <w:r w:rsidRPr="00046613">
        <w:rPr>
          <w:rFonts w:ascii="Arial" w:hAnsi="Arial" w:cs="Arial"/>
          <w:sz w:val="22"/>
        </w:rPr>
        <w:t xml:space="preserve">Matriz 1. De igual manera, con el fin de verificar si el objeto a contratar se </w:t>
      </w:r>
      <w:r w:rsidR="00FE66F8">
        <w:rPr>
          <w:rFonts w:ascii="Arial" w:hAnsi="Arial" w:cs="Arial"/>
          <w:sz w:val="22"/>
        </w:rPr>
        <w:t>enmarca</w:t>
      </w:r>
      <w:r w:rsidRPr="00046613">
        <w:rPr>
          <w:rFonts w:ascii="Arial" w:hAnsi="Arial" w:cs="Arial"/>
          <w:sz w:val="22"/>
        </w:rPr>
        <w:t xml:space="preserve"> en las actividades de experiencia, el </w:t>
      </w:r>
      <w:r w:rsidRPr="00046613" w:rsidR="009E2F73">
        <w:rPr>
          <w:rFonts w:ascii="Arial" w:hAnsi="Arial" w:cs="Arial"/>
          <w:sz w:val="22"/>
        </w:rPr>
        <w:t>«</w:t>
      </w:r>
      <w:r w:rsidRPr="00046613">
        <w:rPr>
          <w:rFonts w:ascii="Arial" w:hAnsi="Arial" w:cs="Arial"/>
          <w:sz w:val="22"/>
        </w:rPr>
        <w:t>Anexo 3 – Glosario</w:t>
      </w:r>
      <w:r w:rsidRPr="00046613" w:rsidR="009E2F73">
        <w:rPr>
          <w:rFonts w:ascii="Arial" w:hAnsi="Arial" w:cs="Arial"/>
          <w:sz w:val="22"/>
        </w:rPr>
        <w:t>»</w:t>
      </w:r>
      <w:r w:rsidRPr="00046613">
        <w:rPr>
          <w:rFonts w:ascii="Arial" w:hAnsi="Arial" w:cs="Arial"/>
          <w:sz w:val="22"/>
        </w:rPr>
        <w:t xml:space="preserve"> establece los conceptos propios de la ingeniería civil que deben ser considerados para una adecuada aplicación de los criterios establecidos.</w:t>
      </w:r>
      <w:r w:rsidRPr="00046613" w:rsidR="00306F36">
        <w:rPr>
          <w:rFonts w:ascii="Arial" w:hAnsi="Arial" w:cs="Arial"/>
          <w:sz w:val="22"/>
        </w:rPr>
        <w:t xml:space="preserve"> </w:t>
      </w:r>
    </w:p>
    <w:p w:rsidRPr="00046613" w:rsidR="00660F20" w:rsidP="00660F20" w:rsidRDefault="00660F20" w14:paraId="1206BCA1" w14:textId="495E72C0">
      <w:pPr>
        <w:spacing w:before="120" w:line="276" w:lineRule="auto"/>
        <w:ind w:firstLine="708"/>
        <w:jc w:val="both"/>
        <w:rPr>
          <w:rFonts w:ascii="Arial" w:hAnsi="Arial" w:cs="Arial"/>
          <w:sz w:val="22"/>
        </w:rPr>
      </w:pPr>
      <w:r w:rsidRPr="00046613">
        <w:rPr>
          <w:rFonts w:ascii="Arial" w:hAnsi="Arial" w:cs="Arial"/>
          <w:sz w:val="22"/>
        </w:rPr>
        <w:t xml:space="preserve">De acuerdo con las condiciones fijadas en </w:t>
      </w:r>
      <w:r w:rsidRPr="00046613" w:rsidR="008B624C">
        <w:rPr>
          <w:rFonts w:ascii="Arial" w:hAnsi="Arial" w:cs="Arial"/>
          <w:sz w:val="22"/>
        </w:rPr>
        <w:t>los</w:t>
      </w:r>
      <w:r w:rsidRPr="00046613">
        <w:rPr>
          <w:rFonts w:ascii="Arial" w:hAnsi="Arial" w:cs="Arial"/>
          <w:sz w:val="22"/>
        </w:rPr>
        <w:t xml:space="preserve"> «Documento</w:t>
      </w:r>
      <w:r w:rsidRPr="00046613" w:rsidR="00DD56D9">
        <w:rPr>
          <w:rFonts w:ascii="Arial" w:hAnsi="Arial" w:cs="Arial"/>
          <w:sz w:val="22"/>
        </w:rPr>
        <w:t>s</w:t>
      </w:r>
      <w:r w:rsidRPr="00046613">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046613" w:rsidR="00660F20" w:rsidP="00660F20" w:rsidRDefault="00660F20" w14:paraId="277F1759" w14:textId="0CE7B82B">
      <w:pPr>
        <w:spacing w:before="120" w:line="276" w:lineRule="auto"/>
        <w:ind w:firstLine="708"/>
        <w:jc w:val="both"/>
        <w:rPr>
          <w:rFonts w:ascii="Arial" w:hAnsi="Arial" w:cs="Arial"/>
          <w:sz w:val="22"/>
        </w:rPr>
      </w:pPr>
      <w:r w:rsidRPr="00046613">
        <w:rPr>
          <w:rFonts w:ascii="Arial" w:hAnsi="Arial" w:cs="Arial"/>
          <w:sz w:val="22"/>
        </w:rPr>
        <w:lastRenderedPageBreak/>
        <w:t xml:space="preserve">Para fijar las condiciones que deben cumplir los contratos aportados, en términos de actividades ejecutadas, las entidades deben emplear la Matriz 1, documento que estandariza las condiciones de experiencia general y/o experiencia específica que deben requerir las entidades estatales a los proponentes para acreditar el requisito habilitante, de acuerdo con: i) el tipo de obra de infraestructura de transporte, </w:t>
      </w:r>
      <w:proofErr w:type="spellStart"/>
      <w:r w:rsidRPr="00046613">
        <w:rPr>
          <w:rFonts w:ascii="Arial" w:hAnsi="Arial" w:cs="Arial"/>
          <w:sz w:val="22"/>
        </w:rPr>
        <w:t>ii</w:t>
      </w:r>
      <w:proofErr w:type="spellEnd"/>
      <w:r w:rsidRPr="00046613">
        <w:rPr>
          <w:rFonts w:ascii="Arial" w:hAnsi="Arial" w:cs="Arial"/>
          <w:sz w:val="22"/>
        </w:rPr>
        <w:t xml:space="preserve">) la actividad a contratar y </w:t>
      </w:r>
      <w:proofErr w:type="spellStart"/>
      <w:r w:rsidRPr="00046613">
        <w:rPr>
          <w:rFonts w:ascii="Arial" w:hAnsi="Arial" w:cs="Arial"/>
          <w:sz w:val="22"/>
        </w:rPr>
        <w:t>iii</w:t>
      </w:r>
      <w:proofErr w:type="spellEnd"/>
      <w:r w:rsidRPr="00046613">
        <w:rPr>
          <w:rFonts w:ascii="Arial" w:hAnsi="Arial" w:cs="Arial"/>
          <w:sz w:val="22"/>
        </w:rPr>
        <w:t>) la cuantía del proceso de contratación.</w:t>
      </w:r>
    </w:p>
    <w:p w:rsidRPr="00046613" w:rsidR="00660F20" w:rsidP="009E2F73" w:rsidRDefault="00660F20" w14:paraId="51AF8746" w14:textId="1EBF17A8">
      <w:pPr>
        <w:spacing w:before="120" w:line="276" w:lineRule="auto"/>
        <w:ind w:firstLine="708"/>
        <w:jc w:val="both"/>
        <w:rPr>
          <w:rFonts w:ascii="Arial" w:hAnsi="Arial" w:cs="Arial"/>
          <w:sz w:val="22"/>
        </w:rPr>
      </w:pPr>
      <w:r w:rsidRPr="00046613">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Pr="00046613" w:rsidR="000D526D">
        <w:rPr>
          <w:rFonts w:ascii="Arial" w:hAnsi="Arial" w:cs="Arial"/>
          <w:sz w:val="22"/>
        </w:rPr>
        <w:t>el</w:t>
      </w:r>
      <w:r w:rsidRPr="00046613">
        <w:rPr>
          <w:rFonts w:ascii="Arial" w:hAnsi="Arial" w:cs="Arial"/>
          <w:sz w:val="22"/>
        </w:rPr>
        <w:t xml:space="preserve"> Decreto 342</w:t>
      </w:r>
      <w:r w:rsidRPr="00046613" w:rsidR="00DD56D9">
        <w:rPr>
          <w:rFonts w:ascii="Arial" w:hAnsi="Arial" w:cs="Arial"/>
          <w:sz w:val="22"/>
        </w:rPr>
        <w:t xml:space="preserve"> </w:t>
      </w:r>
      <w:r w:rsidRPr="00046613" w:rsidR="009E2F73">
        <w:rPr>
          <w:rFonts w:ascii="Arial" w:hAnsi="Arial" w:cs="Arial"/>
          <w:sz w:val="22"/>
        </w:rPr>
        <w:t xml:space="preserve">de </w:t>
      </w:r>
      <w:r w:rsidRPr="00046613">
        <w:rPr>
          <w:rFonts w:ascii="Arial" w:hAnsi="Arial" w:cs="Arial"/>
          <w:sz w:val="22"/>
        </w:rPr>
        <w:t>2019</w:t>
      </w:r>
      <w:r w:rsidRPr="00046613" w:rsidR="000D526D">
        <w:rPr>
          <w:rFonts w:ascii="Arial" w:hAnsi="Arial" w:cs="Arial"/>
          <w:sz w:val="22"/>
        </w:rPr>
        <w:t xml:space="preserve"> para procesos de licitación pública, así como por el Decreto 2096 de 2019 para procedimientos de selección abreviada.</w:t>
      </w:r>
    </w:p>
    <w:p w:rsidRPr="00046613" w:rsidR="00660F20" w:rsidP="00660F20" w:rsidRDefault="00660F20" w14:paraId="55E56F61" w14:textId="674093BE">
      <w:pPr>
        <w:spacing w:before="120" w:line="276" w:lineRule="auto"/>
        <w:ind w:firstLine="708"/>
        <w:jc w:val="both"/>
        <w:rPr>
          <w:rFonts w:ascii="Arial" w:hAnsi="Arial" w:cs="Arial"/>
          <w:sz w:val="22"/>
        </w:rPr>
      </w:pPr>
      <w:r w:rsidRPr="00046613">
        <w:rPr>
          <w:rFonts w:ascii="Arial" w:hAnsi="Arial" w:cs="Arial"/>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r w:rsidRPr="00046613" w:rsidR="000E5F1D">
        <w:rPr>
          <w:rFonts w:ascii="Arial" w:hAnsi="Arial" w:cs="Arial"/>
          <w:sz w:val="22"/>
        </w:rPr>
        <w:t>, asimismo para el tipo de infraestructura «2. OBRAS EN VIAS TERCIARIAS»</w:t>
      </w:r>
      <w:r w:rsidRPr="00046613" w:rsidR="003F1C4E">
        <w:rPr>
          <w:rFonts w:ascii="Arial" w:hAnsi="Arial" w:cs="Arial"/>
          <w:sz w:val="22"/>
        </w:rPr>
        <w:t xml:space="preserve"> se establecen las siguientes actividades: «2.1 Proyectos de construcción de vías terciarias», «2.2 Mejoramiento en vías terciarias» y «2.3 Mantenimiento o rehabilitación en vías terciarias».</w:t>
      </w:r>
    </w:p>
    <w:p w:rsidRPr="00046613" w:rsidR="00660F20" w:rsidP="00660F20" w:rsidRDefault="00660F20" w14:paraId="5DEECC1B" w14:textId="77777777">
      <w:pPr>
        <w:spacing w:before="120" w:line="276" w:lineRule="auto"/>
        <w:ind w:firstLine="708"/>
        <w:jc w:val="both"/>
        <w:rPr>
          <w:rFonts w:ascii="Arial" w:hAnsi="Arial" w:cs="Arial"/>
          <w:sz w:val="22"/>
        </w:rPr>
      </w:pPr>
      <w:r w:rsidRPr="00046613">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046613" w:rsidR="00660F20" w:rsidP="00DE7C82" w:rsidRDefault="00660F20" w14:paraId="2D1908EB" w14:textId="2F2B5786">
      <w:pPr>
        <w:spacing w:before="120" w:after="120" w:line="276" w:lineRule="auto"/>
        <w:ind w:firstLine="709"/>
        <w:jc w:val="both"/>
        <w:rPr>
          <w:rFonts w:ascii="Arial" w:hAnsi="Arial" w:cs="Arial"/>
          <w:sz w:val="22"/>
        </w:rPr>
      </w:pPr>
      <w:r w:rsidRPr="00046613">
        <w:rPr>
          <w:rFonts w:ascii="Arial" w:hAnsi="Arial" w:cs="Arial"/>
          <w:sz w:val="22"/>
        </w:rPr>
        <w:t>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w:t>
      </w:r>
      <w:r w:rsidR="00FE66F8">
        <w:rPr>
          <w:rFonts w:ascii="Arial" w:hAnsi="Arial" w:cs="Arial"/>
          <w:sz w:val="22"/>
        </w:rPr>
        <w:t xml:space="preserve"> modificado por el artículo 1 de la Ley 2022 de 2020,</w:t>
      </w:r>
      <w:r w:rsidRPr="00046613">
        <w:rPr>
          <w:rFonts w:ascii="Arial" w:hAnsi="Arial" w:cs="Arial"/>
          <w:sz w:val="22"/>
        </w:rPr>
        <w:t xml:space="preserve"> </w:t>
      </w:r>
      <w:proofErr w:type="gramStart"/>
      <w:r w:rsidRPr="00046613">
        <w:rPr>
          <w:rFonts w:ascii="Arial" w:hAnsi="Arial" w:cs="Arial"/>
          <w:sz w:val="22"/>
        </w:rPr>
        <w:t>y</w:t>
      </w:r>
      <w:proofErr w:type="gramEnd"/>
      <w:r w:rsidRPr="00046613">
        <w:rPr>
          <w:rFonts w:ascii="Arial" w:hAnsi="Arial" w:cs="Arial"/>
          <w:sz w:val="22"/>
        </w:rPr>
        <w:t xml:space="preserve"> </w:t>
      </w:r>
      <w:r w:rsidRPr="00046613">
        <w:rPr>
          <w:rFonts w:ascii="Arial" w:hAnsi="Arial" w:cs="Arial"/>
          <w:sz w:val="22"/>
        </w:rPr>
        <w:lastRenderedPageBreak/>
        <w:t xml:space="preserve">por lo tanto, de obligatorio cumplimiento. Igualmente, se encuentran sometidos a la reglamentación establecida en el Decreto 342 de 2019 y no pueden ser alterados, modificados o adicionados en su contenido. </w:t>
      </w:r>
    </w:p>
    <w:p w:rsidRPr="00046613" w:rsidR="00660F20" w:rsidP="00660F20" w:rsidRDefault="00660F20" w14:paraId="3477E26F" w14:textId="77777777">
      <w:pPr>
        <w:spacing w:before="120" w:line="276" w:lineRule="auto"/>
        <w:ind w:firstLine="708"/>
        <w:jc w:val="both"/>
        <w:rPr>
          <w:rFonts w:ascii="Arial" w:hAnsi="Arial" w:cs="Arial"/>
          <w:sz w:val="22"/>
        </w:rPr>
      </w:pPr>
      <w:r w:rsidRPr="00046613">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046613" w:rsidR="00660F20" w:rsidP="00660F20" w:rsidRDefault="00660F20" w14:paraId="7636859A" w14:textId="77777777">
      <w:pPr>
        <w:spacing w:before="120" w:line="276" w:lineRule="auto"/>
        <w:ind w:firstLine="708"/>
        <w:jc w:val="both"/>
        <w:rPr>
          <w:rFonts w:ascii="Arial" w:hAnsi="Arial" w:cs="Arial"/>
          <w:sz w:val="22"/>
        </w:rPr>
      </w:pPr>
      <w:r w:rsidRPr="00046613">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046613" w:rsidR="00660F20" w:rsidP="00660F20" w:rsidRDefault="00660F20" w14:paraId="24B05783" w14:textId="77777777">
      <w:pPr>
        <w:spacing w:before="120" w:line="276" w:lineRule="auto"/>
        <w:ind w:firstLine="708"/>
        <w:jc w:val="both"/>
        <w:rPr>
          <w:rFonts w:ascii="Arial" w:hAnsi="Arial" w:cs="Arial"/>
          <w:sz w:val="22"/>
        </w:rPr>
      </w:pPr>
      <w:r w:rsidRPr="00046613">
        <w:rPr>
          <w:rFonts w:ascii="Arial" w:hAnsi="Arial" w:cs="Arial"/>
          <w:sz w:val="22"/>
        </w:rPr>
        <w:t xml:space="preserve">b) Definido el tipo de infraestructura, identificar la </w:t>
      </w:r>
      <w:r w:rsidRPr="00046613">
        <w:rPr>
          <w:rFonts w:ascii="Arial" w:hAnsi="Arial" w:eastAsia="Calibri" w:cs="Arial"/>
          <w:sz w:val="22"/>
        </w:rPr>
        <w:t>«</w:t>
      </w:r>
      <w:r w:rsidRPr="00046613">
        <w:rPr>
          <w:rFonts w:ascii="Arial" w:hAnsi="Arial" w:cs="Arial"/>
          <w:sz w:val="22"/>
        </w:rPr>
        <w:t>ACTIVIDAD A CONTRATAR</w:t>
      </w:r>
      <w:r w:rsidRPr="00046613">
        <w:rPr>
          <w:rFonts w:ascii="Arial" w:hAnsi="Arial" w:eastAsia="Calibri" w:cs="Arial"/>
          <w:sz w:val="22"/>
        </w:rPr>
        <w:t>»</w:t>
      </w:r>
      <w:r w:rsidRPr="00046613">
        <w:rPr>
          <w:rFonts w:ascii="Arial" w:hAnsi="Arial" w:cs="Arial"/>
          <w:sz w:val="22"/>
        </w:rPr>
        <w:t xml:space="preserve"> acorde con la Matriz 1. </w:t>
      </w:r>
    </w:p>
    <w:p w:rsidRPr="00046613" w:rsidR="00660F20" w:rsidP="00660F20" w:rsidRDefault="00660F20" w14:paraId="1C1A0C17" w14:textId="77777777">
      <w:pPr>
        <w:spacing w:before="120" w:line="276" w:lineRule="auto"/>
        <w:ind w:firstLine="708"/>
        <w:jc w:val="both"/>
        <w:rPr>
          <w:rFonts w:ascii="Arial" w:hAnsi="Arial" w:cs="Arial"/>
          <w:sz w:val="22"/>
        </w:rPr>
      </w:pPr>
      <w:r w:rsidRPr="00046613">
        <w:rPr>
          <w:rFonts w:ascii="Arial" w:hAnsi="Arial" w:cs="Arial"/>
          <w:sz w:val="22"/>
        </w:rPr>
        <w:t xml:space="preserve">c) Identificar el rango en el cual se encuentra el Proceso de Contratación de acuerdo con el presupuesto oficial. </w:t>
      </w:r>
    </w:p>
    <w:p w:rsidRPr="00046613" w:rsidR="00660F20" w:rsidP="00660F20" w:rsidRDefault="00660F20" w14:paraId="2E4E9D7B" w14:textId="77777777">
      <w:pPr>
        <w:spacing w:before="120" w:line="276" w:lineRule="auto"/>
        <w:ind w:firstLine="708"/>
        <w:jc w:val="both"/>
        <w:rPr>
          <w:rFonts w:ascii="Arial" w:hAnsi="Arial" w:cs="Arial"/>
          <w:sz w:val="22"/>
        </w:rPr>
      </w:pPr>
      <w:r w:rsidRPr="00046613">
        <w:rPr>
          <w:rFonts w:ascii="Arial" w:hAnsi="Arial" w:cs="Arial"/>
          <w:sz w:val="22"/>
        </w:rPr>
        <w:t xml:space="preserve">d) Identificar la </w:t>
      </w:r>
      <w:r w:rsidRPr="00046613">
        <w:rPr>
          <w:rFonts w:ascii="Arial" w:hAnsi="Arial" w:eastAsia="Calibri" w:cs="Arial"/>
          <w:sz w:val="22"/>
        </w:rPr>
        <w:t>«</w:t>
      </w:r>
      <w:r w:rsidRPr="00046613">
        <w:rPr>
          <w:rFonts w:ascii="Arial" w:hAnsi="Arial" w:cs="Arial"/>
          <w:sz w:val="22"/>
        </w:rPr>
        <w:t>experiencia general</w:t>
      </w:r>
      <w:r w:rsidRPr="00046613">
        <w:rPr>
          <w:rFonts w:ascii="Arial" w:hAnsi="Arial" w:eastAsia="Calibri" w:cs="Arial"/>
          <w:sz w:val="22"/>
        </w:rPr>
        <w:t>»</w:t>
      </w:r>
      <w:r w:rsidRPr="00046613">
        <w:rPr>
          <w:rFonts w:ascii="Arial" w:hAnsi="Arial" w:cs="Arial"/>
          <w:sz w:val="22"/>
        </w:rPr>
        <w:t xml:space="preserve"> exigible acorde con la Matriz 1 teniendo en cuenta la actividad a contratar y el rango de la cuantía del Proceso de Contratación. </w:t>
      </w:r>
    </w:p>
    <w:p w:rsidRPr="00046613" w:rsidR="006F215F" w:rsidP="006F215F" w:rsidRDefault="00660F20" w14:paraId="6AFFC447" w14:textId="77777777">
      <w:pPr>
        <w:spacing w:before="120" w:line="276" w:lineRule="auto"/>
        <w:ind w:firstLine="708"/>
        <w:jc w:val="both"/>
        <w:rPr>
          <w:rFonts w:ascii="Arial" w:hAnsi="Arial" w:cs="Arial"/>
          <w:sz w:val="22"/>
        </w:rPr>
      </w:pPr>
      <w:r w:rsidRPr="00046613">
        <w:rPr>
          <w:rFonts w:ascii="Arial" w:hAnsi="Arial" w:cs="Arial"/>
          <w:sz w:val="22"/>
        </w:rPr>
        <w:t xml:space="preserve">e) Identificar la </w:t>
      </w:r>
      <w:r w:rsidRPr="00046613">
        <w:rPr>
          <w:rFonts w:ascii="Arial" w:hAnsi="Arial" w:eastAsia="Calibri" w:cs="Arial"/>
          <w:sz w:val="22"/>
        </w:rPr>
        <w:t>«</w:t>
      </w:r>
      <w:r w:rsidRPr="00046613">
        <w:rPr>
          <w:rFonts w:ascii="Arial" w:hAnsi="Arial" w:cs="Arial"/>
          <w:sz w:val="22"/>
        </w:rPr>
        <w:t>experiencia específica</w:t>
      </w:r>
      <w:r w:rsidRPr="00046613">
        <w:rPr>
          <w:rFonts w:ascii="Arial" w:hAnsi="Arial" w:eastAsia="Calibri" w:cs="Arial"/>
          <w:sz w:val="22"/>
        </w:rPr>
        <w:t>»</w:t>
      </w:r>
      <w:r w:rsidRPr="00046613">
        <w:rPr>
          <w:rFonts w:ascii="Arial" w:hAnsi="Arial" w:cs="Arial"/>
          <w:sz w:val="22"/>
        </w:rPr>
        <w:t xml:space="preserve"> exigible y el porcentaje de dimensionamiento que se puede solicitar acorde con la longitud a ejecutar, de acuerdo con la cuantía del proceso de contratación. Cuando en la </w:t>
      </w:r>
      <w:r w:rsidRPr="00046613">
        <w:rPr>
          <w:rFonts w:ascii="Arial" w:hAnsi="Arial" w:eastAsia="Calibri" w:cs="Arial"/>
          <w:sz w:val="22"/>
        </w:rPr>
        <w:t>«</w:t>
      </w:r>
      <w:r w:rsidRPr="00046613">
        <w:rPr>
          <w:rFonts w:ascii="Arial" w:hAnsi="Arial" w:cs="Arial"/>
          <w:sz w:val="22"/>
        </w:rPr>
        <w:t>experiencia específica</w:t>
      </w:r>
      <w:r w:rsidRPr="00046613">
        <w:rPr>
          <w:rFonts w:ascii="Arial" w:hAnsi="Arial" w:eastAsia="Calibri" w:cs="Arial"/>
          <w:sz w:val="22"/>
        </w:rPr>
        <w:t>»</w:t>
      </w:r>
      <w:r w:rsidRPr="00046613">
        <w:rPr>
          <w:rFonts w:ascii="Arial" w:hAnsi="Arial" w:cs="Arial"/>
          <w:sz w:val="22"/>
        </w:rPr>
        <w:t xml:space="preserve"> se indiquen las siglas </w:t>
      </w:r>
      <w:r w:rsidRPr="00046613">
        <w:rPr>
          <w:rFonts w:ascii="Arial" w:hAnsi="Arial" w:cs="Arial"/>
          <w:i/>
          <w:iCs/>
          <w:sz w:val="22"/>
        </w:rPr>
        <w:t>N.A</w:t>
      </w:r>
      <w:r w:rsidRPr="00046613">
        <w:rPr>
          <w:rFonts w:ascii="Arial" w:hAnsi="Arial" w:cs="Arial"/>
          <w:sz w:val="22"/>
        </w:rPr>
        <w:t xml:space="preserve"> significa que la entidad estatal no puede exigir a los proponentes experiencia específica en los procesos de contratación. </w:t>
      </w:r>
    </w:p>
    <w:p w:rsidRPr="00046613" w:rsidR="00C950CE" w:rsidP="006F215F" w:rsidRDefault="006F215F" w14:paraId="508258AD" w14:textId="49FFC281">
      <w:pPr>
        <w:spacing w:before="120" w:line="276" w:lineRule="auto"/>
        <w:ind w:firstLine="708"/>
        <w:jc w:val="both"/>
        <w:rPr>
          <w:rFonts w:ascii="Arial" w:hAnsi="Arial" w:cs="Arial"/>
          <w:sz w:val="22"/>
        </w:rPr>
      </w:pPr>
      <w:r w:rsidRPr="00046613">
        <w:rPr>
          <w:rFonts w:ascii="Arial" w:hAnsi="Arial" w:cs="Arial"/>
          <w:sz w:val="22"/>
        </w:rPr>
        <w:t>De conformidad con el anterior literal, además del tipo de obra de infraestructura de transporte, la actividad a contratar y la cuantía del proceso de contratación, la determinación de la experiencia espec</w:t>
      </w:r>
      <w:r w:rsidRPr="00046613" w:rsidR="008D4F28">
        <w:rPr>
          <w:rFonts w:ascii="Arial" w:hAnsi="Arial" w:cs="Arial"/>
          <w:sz w:val="22"/>
        </w:rPr>
        <w:t>í</w:t>
      </w:r>
      <w:r w:rsidRPr="00046613">
        <w:rPr>
          <w:rFonts w:ascii="Arial" w:hAnsi="Arial" w:cs="Arial"/>
          <w:sz w:val="22"/>
        </w:rPr>
        <w:t>fica que</w:t>
      </w:r>
      <w:r w:rsidRPr="00046613" w:rsidR="0008182D">
        <w:rPr>
          <w:rFonts w:ascii="Arial" w:hAnsi="Arial" w:cs="Arial"/>
          <w:sz w:val="22"/>
        </w:rPr>
        <w:t xml:space="preserve"> </w:t>
      </w:r>
      <w:r w:rsidRPr="00046613">
        <w:rPr>
          <w:rFonts w:ascii="Arial" w:hAnsi="Arial" w:cs="Arial"/>
          <w:sz w:val="22"/>
        </w:rPr>
        <w:t>resulta exigible para la contratación de cierto tipo de obras,</w:t>
      </w:r>
      <w:r w:rsidRPr="00046613" w:rsidR="00DE7C82">
        <w:rPr>
          <w:rFonts w:ascii="Arial" w:hAnsi="Arial" w:cs="Arial"/>
          <w:sz w:val="22"/>
        </w:rPr>
        <w:t xml:space="preserve"> exige la acotación del respectivo dimensionamiento, </w:t>
      </w:r>
      <w:r w:rsidRPr="00046613" w:rsidR="00C318D1">
        <w:rPr>
          <w:rFonts w:ascii="Arial" w:hAnsi="Arial" w:cs="Arial"/>
          <w:sz w:val="22"/>
        </w:rPr>
        <w:t xml:space="preserve">el </w:t>
      </w:r>
      <w:r w:rsidRPr="00046613" w:rsidR="00DE7C82">
        <w:rPr>
          <w:rFonts w:ascii="Arial" w:hAnsi="Arial" w:cs="Arial"/>
          <w:sz w:val="22"/>
        </w:rPr>
        <w:t xml:space="preserve">cual es una de las medidas tomadas para la estandarización de requisitos de experiencia en el marco de la implementación de los Documentos Tipo. </w:t>
      </w:r>
    </w:p>
    <w:p w:rsidRPr="00046613" w:rsidR="00BC14F0" w:rsidP="006F215F" w:rsidRDefault="00DE7C82" w14:paraId="6AF8AC3B" w14:textId="3090FA23">
      <w:pPr>
        <w:spacing w:before="120" w:line="276" w:lineRule="auto"/>
        <w:ind w:firstLine="708"/>
        <w:jc w:val="both"/>
        <w:rPr>
          <w:rFonts w:ascii="Arial" w:hAnsi="Arial" w:cs="Arial"/>
          <w:sz w:val="22"/>
        </w:rPr>
      </w:pPr>
      <w:r w:rsidRPr="00046613">
        <w:rPr>
          <w:rFonts w:ascii="Arial" w:hAnsi="Arial" w:cs="Arial"/>
          <w:sz w:val="22"/>
        </w:rPr>
        <w:t>Tal dimensionamiento supone que</w:t>
      </w:r>
      <w:r w:rsidRPr="00046613" w:rsidR="00CB6615">
        <w:rPr>
          <w:rFonts w:ascii="Arial" w:hAnsi="Arial" w:cs="Arial"/>
          <w:sz w:val="22"/>
        </w:rPr>
        <w:t>, en algunos procesos de contratación</w:t>
      </w:r>
      <w:r w:rsidRPr="00046613" w:rsidR="00850E5D">
        <w:rPr>
          <w:rFonts w:ascii="Arial" w:hAnsi="Arial" w:cs="Arial"/>
          <w:sz w:val="22"/>
        </w:rPr>
        <w:t>,</w:t>
      </w:r>
      <w:r w:rsidRPr="00046613">
        <w:rPr>
          <w:rFonts w:ascii="Arial" w:hAnsi="Arial" w:cs="Arial"/>
          <w:sz w:val="22"/>
        </w:rPr>
        <w:t xml:space="preserve"> la experiencia a exigirse </w:t>
      </w:r>
      <w:r w:rsidRPr="00046613" w:rsidR="00C950CE">
        <w:rPr>
          <w:rFonts w:ascii="Arial" w:hAnsi="Arial" w:cs="Arial"/>
          <w:sz w:val="22"/>
        </w:rPr>
        <w:t>para particip</w:t>
      </w:r>
      <w:r w:rsidRPr="00046613" w:rsidR="00850E5D">
        <w:rPr>
          <w:rFonts w:ascii="Arial" w:hAnsi="Arial" w:cs="Arial"/>
          <w:sz w:val="22"/>
        </w:rPr>
        <w:t>ar</w:t>
      </w:r>
      <w:r w:rsidRPr="00046613" w:rsidR="00C950CE">
        <w:rPr>
          <w:rFonts w:ascii="Arial" w:hAnsi="Arial" w:cs="Arial"/>
          <w:sz w:val="22"/>
        </w:rPr>
        <w:t xml:space="preserve"> estará determinada por la longitud que </w:t>
      </w:r>
      <w:r w:rsidRPr="00046613" w:rsidR="00850E5D">
        <w:rPr>
          <w:rFonts w:ascii="Arial" w:hAnsi="Arial" w:cs="Arial"/>
          <w:sz w:val="22"/>
        </w:rPr>
        <w:t>se</w:t>
      </w:r>
      <w:r w:rsidRPr="00046613" w:rsidR="00C950CE">
        <w:rPr>
          <w:rFonts w:ascii="Arial" w:hAnsi="Arial" w:cs="Arial"/>
          <w:sz w:val="22"/>
        </w:rPr>
        <w:t xml:space="preserve"> pretende intervenir, de tal manera que a quienes estén interesados en participar se le</w:t>
      </w:r>
      <w:r w:rsidR="007A51F5">
        <w:rPr>
          <w:rFonts w:ascii="Arial" w:hAnsi="Arial" w:cs="Arial"/>
          <w:sz w:val="22"/>
        </w:rPr>
        <w:t>s</w:t>
      </w:r>
      <w:r w:rsidRPr="00046613" w:rsidR="00C950CE">
        <w:rPr>
          <w:rFonts w:ascii="Arial" w:hAnsi="Arial" w:cs="Arial"/>
          <w:sz w:val="22"/>
        </w:rPr>
        <w:t xml:space="preserve"> exigirá </w:t>
      </w:r>
      <w:r w:rsidRPr="00046613" w:rsidR="00BC14F0">
        <w:rPr>
          <w:rFonts w:ascii="Arial" w:hAnsi="Arial" w:cs="Arial"/>
          <w:sz w:val="22"/>
        </w:rPr>
        <w:t xml:space="preserve">acreditar </w:t>
      </w:r>
      <w:r w:rsidRPr="00046613" w:rsidR="00C950CE">
        <w:rPr>
          <w:rFonts w:ascii="Arial" w:hAnsi="Arial" w:cs="Arial"/>
          <w:sz w:val="22"/>
        </w:rPr>
        <w:t>experiencia espec</w:t>
      </w:r>
      <w:r w:rsidRPr="00046613" w:rsidR="00BE7228">
        <w:rPr>
          <w:rFonts w:ascii="Arial" w:hAnsi="Arial" w:cs="Arial"/>
          <w:sz w:val="22"/>
        </w:rPr>
        <w:t>í</w:t>
      </w:r>
      <w:r w:rsidRPr="00046613" w:rsidR="00C950CE">
        <w:rPr>
          <w:rFonts w:ascii="Arial" w:hAnsi="Arial" w:cs="Arial"/>
          <w:sz w:val="22"/>
        </w:rPr>
        <w:t>fica en proyectos en donde hayan intervenido un porcentaje de dicha</w:t>
      </w:r>
      <w:r w:rsidRPr="00046613" w:rsidR="00902E00">
        <w:rPr>
          <w:rFonts w:ascii="Arial" w:hAnsi="Arial" w:cs="Arial"/>
          <w:sz w:val="22"/>
        </w:rPr>
        <w:t xml:space="preserve"> longitud</w:t>
      </w:r>
      <w:r w:rsidRPr="00046613" w:rsidR="00C950CE">
        <w:rPr>
          <w:rFonts w:ascii="Arial" w:hAnsi="Arial" w:cs="Arial"/>
          <w:sz w:val="22"/>
        </w:rPr>
        <w:t xml:space="preserve"> establecida </w:t>
      </w:r>
      <w:r w:rsidRPr="00046613" w:rsidR="00902E00">
        <w:rPr>
          <w:rFonts w:ascii="Arial" w:hAnsi="Arial" w:cs="Arial"/>
          <w:sz w:val="22"/>
        </w:rPr>
        <w:t>en kilómetros (</w:t>
      </w:r>
      <w:r w:rsidRPr="00046613" w:rsidR="00FA1770">
        <w:rPr>
          <w:rFonts w:ascii="Arial" w:hAnsi="Arial" w:cs="Arial"/>
          <w:sz w:val="22"/>
        </w:rPr>
        <w:t>km</w:t>
      </w:r>
      <w:r w:rsidRPr="00046613" w:rsidR="00902E00">
        <w:rPr>
          <w:rFonts w:ascii="Arial" w:hAnsi="Arial" w:cs="Arial"/>
          <w:sz w:val="22"/>
        </w:rPr>
        <w:t>) en</w:t>
      </w:r>
      <w:r w:rsidRPr="00046613" w:rsidR="00C950CE">
        <w:rPr>
          <w:rFonts w:ascii="Arial" w:hAnsi="Arial" w:cs="Arial"/>
          <w:sz w:val="22"/>
        </w:rPr>
        <w:t xml:space="preserve"> la Matriz 1.</w:t>
      </w:r>
      <w:r w:rsidRPr="00046613" w:rsidR="00BC14F0">
        <w:rPr>
          <w:rFonts w:ascii="Arial" w:hAnsi="Arial" w:cs="Arial"/>
          <w:sz w:val="22"/>
        </w:rPr>
        <w:t xml:space="preserve"> </w:t>
      </w:r>
    </w:p>
    <w:p w:rsidRPr="00046613" w:rsidR="003F1C4E" w:rsidP="003F1C4E" w:rsidRDefault="00C950CE" w14:paraId="5F848979" w14:textId="4DDA11C0">
      <w:pPr>
        <w:spacing w:before="120" w:line="276" w:lineRule="auto"/>
        <w:ind w:firstLine="708"/>
        <w:jc w:val="both"/>
        <w:rPr>
          <w:rFonts w:ascii="Arial" w:hAnsi="Arial" w:cs="Arial"/>
          <w:sz w:val="22"/>
        </w:rPr>
      </w:pPr>
      <w:r w:rsidRPr="00046613">
        <w:rPr>
          <w:rFonts w:ascii="Arial" w:hAnsi="Arial" w:cs="Arial"/>
          <w:sz w:val="22"/>
        </w:rPr>
        <w:t>Así, por ejemplo,</w:t>
      </w:r>
      <w:r w:rsidRPr="00046613" w:rsidR="006F215F">
        <w:rPr>
          <w:rFonts w:ascii="Arial" w:hAnsi="Arial" w:cs="Arial"/>
          <w:sz w:val="22"/>
        </w:rPr>
        <w:t xml:space="preserve"> </w:t>
      </w:r>
      <w:r w:rsidRPr="00046613" w:rsidR="004204AB">
        <w:rPr>
          <w:rFonts w:ascii="Arial" w:hAnsi="Arial" w:cs="Arial"/>
          <w:sz w:val="22"/>
        </w:rPr>
        <w:t>en cuanto a</w:t>
      </w:r>
      <w:r w:rsidRPr="00046613" w:rsidR="006F215F">
        <w:rPr>
          <w:rFonts w:ascii="Arial" w:hAnsi="Arial" w:cs="Arial"/>
          <w:sz w:val="22"/>
        </w:rPr>
        <w:t xml:space="preserve"> </w:t>
      </w:r>
      <w:r w:rsidRPr="00046613" w:rsidR="004204AB">
        <w:rPr>
          <w:rFonts w:ascii="Arial" w:hAnsi="Arial" w:cs="Arial"/>
          <w:sz w:val="22"/>
        </w:rPr>
        <w:t>«</w:t>
      </w:r>
      <w:r w:rsidRPr="00046613" w:rsidR="003F1C4E">
        <w:rPr>
          <w:rFonts w:ascii="Arial" w:hAnsi="Arial" w:cs="Arial"/>
          <w:sz w:val="22"/>
        </w:rPr>
        <w:t>2. OBRAS EN VIAS TERCIARIAS</w:t>
      </w:r>
      <w:r w:rsidRPr="00046613" w:rsidR="004204AB">
        <w:rPr>
          <w:rFonts w:ascii="Arial" w:hAnsi="Arial" w:cs="Arial"/>
          <w:sz w:val="22"/>
        </w:rPr>
        <w:t xml:space="preserve">», </w:t>
      </w:r>
      <w:r w:rsidRPr="00046613" w:rsidR="00966FDE">
        <w:rPr>
          <w:rFonts w:ascii="Arial" w:hAnsi="Arial" w:cs="Arial"/>
          <w:sz w:val="22"/>
        </w:rPr>
        <w:t xml:space="preserve">en </w:t>
      </w:r>
      <w:r w:rsidRPr="00046613" w:rsidR="004204AB">
        <w:rPr>
          <w:rFonts w:ascii="Arial" w:hAnsi="Arial" w:cs="Arial"/>
          <w:sz w:val="22"/>
        </w:rPr>
        <w:t>los</w:t>
      </w:r>
      <w:r w:rsidRPr="00046613" w:rsidR="003F1C4E">
        <w:rPr>
          <w:rFonts w:ascii="Arial" w:hAnsi="Arial" w:cs="Arial"/>
          <w:sz w:val="22"/>
        </w:rPr>
        <w:t xml:space="preserve"> proyectos de</w:t>
      </w:r>
      <w:r w:rsidRPr="00046613" w:rsidR="004204AB">
        <w:rPr>
          <w:rFonts w:ascii="Arial" w:hAnsi="Arial" w:cs="Arial"/>
          <w:sz w:val="22"/>
        </w:rPr>
        <w:t xml:space="preserve"> «</w:t>
      </w:r>
      <w:r w:rsidRPr="00046613" w:rsidR="003F1C4E">
        <w:rPr>
          <w:rFonts w:ascii="Arial" w:hAnsi="Arial" w:cs="Arial"/>
          <w:sz w:val="22"/>
        </w:rPr>
        <w:t xml:space="preserve">2.2 MEJORAMIENTO EN VÍAS TERCIARIAS» </w:t>
      </w:r>
      <w:r w:rsidRPr="00046613" w:rsidR="004204AB">
        <w:rPr>
          <w:rFonts w:ascii="Arial" w:hAnsi="Arial" w:cs="Arial"/>
          <w:sz w:val="22"/>
        </w:rPr>
        <w:t xml:space="preserve">con presupuestos inferiores a 1.000 SMMLV no será exigible experiencia específica, </w:t>
      </w:r>
      <w:r w:rsidRPr="00046613" w:rsidR="00902E00">
        <w:rPr>
          <w:rFonts w:ascii="Arial" w:hAnsi="Arial" w:cs="Arial"/>
          <w:sz w:val="22"/>
        </w:rPr>
        <w:t>mientras que</w:t>
      </w:r>
      <w:r w:rsidRPr="00046613" w:rsidR="004204AB">
        <w:rPr>
          <w:rFonts w:ascii="Arial" w:hAnsi="Arial" w:cs="Arial"/>
          <w:sz w:val="22"/>
        </w:rPr>
        <w:t xml:space="preserve"> </w:t>
      </w:r>
      <w:r w:rsidRPr="00046613" w:rsidR="00966FDE">
        <w:rPr>
          <w:rFonts w:ascii="Arial" w:hAnsi="Arial" w:cs="Arial"/>
          <w:sz w:val="22"/>
        </w:rPr>
        <w:t xml:space="preserve">en </w:t>
      </w:r>
      <w:r w:rsidRPr="00046613" w:rsidR="004204AB">
        <w:rPr>
          <w:rFonts w:ascii="Arial" w:hAnsi="Arial" w:cs="Arial"/>
          <w:sz w:val="22"/>
        </w:rPr>
        <w:t xml:space="preserve">los que tengan presupuesto entre 1001 y </w:t>
      </w:r>
      <w:r w:rsidRPr="00046613" w:rsidR="003F1C4E">
        <w:rPr>
          <w:rFonts w:ascii="Arial" w:hAnsi="Arial" w:cs="Arial"/>
          <w:sz w:val="22"/>
        </w:rPr>
        <w:t>27</w:t>
      </w:r>
      <w:r w:rsidRPr="00046613" w:rsidR="004204AB">
        <w:rPr>
          <w:rFonts w:ascii="Arial" w:hAnsi="Arial" w:cs="Arial"/>
          <w:sz w:val="22"/>
        </w:rPr>
        <w:t xml:space="preserve">.000 SMMLV se deberá exigir experiencia en la intervención </w:t>
      </w:r>
      <w:r w:rsidRPr="00046613" w:rsidR="004204AB">
        <w:rPr>
          <w:rFonts w:ascii="Arial" w:hAnsi="Arial" w:cs="Arial"/>
          <w:sz w:val="22"/>
        </w:rPr>
        <w:lastRenderedPageBreak/>
        <w:t xml:space="preserve">de obras con un </w:t>
      </w:r>
      <w:r w:rsidRPr="00046613" w:rsidR="003F1C4E">
        <w:rPr>
          <w:rFonts w:ascii="Arial" w:hAnsi="Arial" w:cs="Arial"/>
          <w:sz w:val="22"/>
        </w:rPr>
        <w:t>5</w:t>
      </w:r>
      <w:r w:rsidRPr="00046613" w:rsidR="004204AB">
        <w:rPr>
          <w:rFonts w:ascii="Arial" w:hAnsi="Arial" w:cs="Arial"/>
          <w:sz w:val="22"/>
        </w:rPr>
        <w:t>0% de la longitud del proyecto a ejecutarse. Por su parte, en los proyectos con</w:t>
      </w:r>
      <w:r w:rsidRPr="00046613" w:rsidR="006F215F">
        <w:rPr>
          <w:rFonts w:ascii="Arial" w:hAnsi="Arial" w:cs="Arial"/>
          <w:sz w:val="22"/>
        </w:rPr>
        <w:t xml:space="preserve"> presupuesto </w:t>
      </w:r>
      <w:r w:rsidRPr="00046613" w:rsidR="0008182D">
        <w:rPr>
          <w:rFonts w:ascii="Arial" w:hAnsi="Arial" w:cs="Arial"/>
          <w:sz w:val="22"/>
        </w:rPr>
        <w:t>superior a</w:t>
      </w:r>
      <w:r w:rsidRPr="00046613" w:rsidR="006F215F">
        <w:rPr>
          <w:rFonts w:ascii="Arial" w:hAnsi="Arial" w:cs="Arial"/>
          <w:sz w:val="22"/>
        </w:rPr>
        <w:t xml:space="preserve"> 27.001 SMMLV, </w:t>
      </w:r>
      <w:r w:rsidRPr="00046613" w:rsidR="0008182D">
        <w:rPr>
          <w:rFonts w:ascii="Arial" w:hAnsi="Arial" w:cs="Arial"/>
          <w:sz w:val="22"/>
        </w:rPr>
        <w:t>de conformidad con la Matriz 1</w:t>
      </w:r>
      <w:r w:rsidRPr="00046613" w:rsidR="004204AB">
        <w:rPr>
          <w:rFonts w:ascii="Arial" w:hAnsi="Arial" w:cs="Arial"/>
          <w:sz w:val="22"/>
        </w:rPr>
        <w:t>,</w:t>
      </w:r>
      <w:r w:rsidRPr="00046613" w:rsidR="0008182D">
        <w:rPr>
          <w:rFonts w:ascii="Arial" w:hAnsi="Arial" w:cs="Arial"/>
          <w:sz w:val="22"/>
        </w:rPr>
        <w:t xml:space="preserve"> deberá exigirse a los proponentes experiencia en proyectos en los que se haya intervenido </w:t>
      </w:r>
      <w:r w:rsidRPr="00046613" w:rsidR="004204AB">
        <w:rPr>
          <w:rFonts w:ascii="Arial" w:hAnsi="Arial" w:cs="Arial"/>
          <w:sz w:val="22"/>
        </w:rPr>
        <w:t xml:space="preserve">por lo menos </w:t>
      </w:r>
      <w:r w:rsidRPr="00046613" w:rsidR="0008182D">
        <w:rPr>
          <w:rFonts w:ascii="Arial" w:hAnsi="Arial" w:cs="Arial"/>
          <w:sz w:val="22"/>
        </w:rPr>
        <w:t xml:space="preserve">el </w:t>
      </w:r>
      <w:r w:rsidRPr="00046613" w:rsidR="004204AB">
        <w:rPr>
          <w:rFonts w:ascii="Arial" w:hAnsi="Arial" w:cs="Arial"/>
          <w:sz w:val="22"/>
        </w:rPr>
        <w:t>100</w:t>
      </w:r>
      <w:r w:rsidRPr="00046613" w:rsidR="0008182D">
        <w:rPr>
          <w:rFonts w:ascii="Arial" w:hAnsi="Arial" w:cs="Arial"/>
          <w:sz w:val="22"/>
        </w:rPr>
        <w:t>% de esta longitud.</w:t>
      </w:r>
      <w:r w:rsidRPr="00046613" w:rsidR="006F215F">
        <w:rPr>
          <w:rFonts w:ascii="Arial" w:hAnsi="Arial" w:cs="Arial"/>
          <w:sz w:val="22"/>
        </w:rPr>
        <w:t xml:space="preserve"> </w:t>
      </w:r>
    </w:p>
    <w:p w:rsidRPr="00046613" w:rsidR="00822820" w:rsidP="00822820" w:rsidRDefault="007A51F5" w14:paraId="2384B9CF" w14:textId="44D8EEDD">
      <w:pPr>
        <w:spacing w:before="120" w:line="276" w:lineRule="auto"/>
        <w:ind w:firstLine="709"/>
        <w:jc w:val="both"/>
        <w:rPr>
          <w:rFonts w:ascii="Arial" w:hAnsi="Arial" w:cs="Arial"/>
          <w:sz w:val="22"/>
        </w:rPr>
      </w:pPr>
      <w:r>
        <w:rPr>
          <w:rFonts w:ascii="Arial" w:hAnsi="Arial" w:cs="Arial"/>
          <w:sz w:val="22"/>
        </w:rPr>
        <w:t>Lo anterior</w:t>
      </w:r>
      <w:r w:rsidRPr="00046613" w:rsidR="00822820">
        <w:rPr>
          <w:rFonts w:ascii="Arial" w:hAnsi="Arial" w:cs="Arial"/>
          <w:sz w:val="22"/>
        </w:rPr>
        <w:t xml:space="preserve">, sin perjuicio de la aplicación de los documentos tipo </w:t>
      </w:r>
      <w:r>
        <w:rPr>
          <w:rFonts w:ascii="Arial" w:hAnsi="Arial" w:cs="Arial"/>
          <w:sz w:val="22"/>
        </w:rPr>
        <w:t xml:space="preserve">en proyectos que impliquen </w:t>
      </w:r>
      <w:r w:rsidRPr="00046613">
        <w:rPr>
          <w:rFonts w:ascii="Arial" w:hAnsi="Arial" w:cs="Arial"/>
          <w:sz w:val="22"/>
        </w:rPr>
        <w:t>«bienes o servicios adicionales a la obra pública»</w:t>
      </w:r>
      <w:r>
        <w:rPr>
          <w:rFonts w:ascii="Arial" w:hAnsi="Arial" w:cs="Arial"/>
          <w:sz w:val="22"/>
        </w:rPr>
        <w:t xml:space="preserve">, </w:t>
      </w:r>
      <w:r w:rsidRPr="00046613" w:rsidR="00822820">
        <w:rPr>
          <w:rFonts w:ascii="Arial" w:hAnsi="Arial" w:cs="Arial"/>
          <w:sz w:val="22"/>
        </w:rPr>
        <w:t>en virtud del artículo 2.2.1.2.6.1.5. del Decreto 1082 de 2015</w:t>
      </w:r>
      <w:r w:rsidRPr="00046613" w:rsidR="00822820">
        <w:rPr>
          <w:rStyle w:val="Refdenotaalpie"/>
          <w:rFonts w:ascii="Arial" w:hAnsi="Arial" w:cs="Arial"/>
          <w:sz w:val="22"/>
        </w:rPr>
        <w:footnoteReference w:id="1"/>
      </w:r>
      <w:r w:rsidRPr="00046613" w:rsidR="00822820">
        <w:rPr>
          <w:rFonts w:ascii="Arial" w:hAnsi="Arial" w:cs="Arial"/>
          <w:sz w:val="22"/>
        </w:rPr>
        <w:t>, adicionado por el artículo 1º del Decreto 342 de 2019, que establece lo siguiente:</w:t>
      </w:r>
    </w:p>
    <w:p w:rsidRPr="00046613" w:rsidR="00822820" w:rsidP="00822820" w:rsidRDefault="00822820" w14:paraId="35D8FAB7" w14:textId="77777777">
      <w:pPr>
        <w:jc w:val="both"/>
        <w:rPr>
          <w:rFonts w:ascii="Arial" w:hAnsi="Arial" w:cs="Arial"/>
          <w:sz w:val="22"/>
        </w:rPr>
      </w:pPr>
    </w:p>
    <w:p w:rsidRPr="00046613" w:rsidR="00822820" w:rsidP="00822820" w:rsidRDefault="00822820" w14:paraId="60170104" w14:textId="77777777">
      <w:pPr>
        <w:ind w:left="709" w:right="758"/>
        <w:jc w:val="both"/>
        <w:rPr>
          <w:rFonts w:ascii="Arial" w:hAnsi="Arial" w:cs="Arial"/>
          <w:sz w:val="21"/>
          <w:szCs w:val="21"/>
        </w:rPr>
      </w:pPr>
      <w:r w:rsidRPr="00046613">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046613" w:rsidR="00822820" w:rsidP="00822820" w:rsidRDefault="00822820" w14:paraId="6D8EDBAE" w14:textId="77777777">
      <w:pPr>
        <w:ind w:left="709" w:right="758"/>
        <w:jc w:val="both"/>
        <w:rPr>
          <w:rFonts w:ascii="Arial" w:hAnsi="Arial" w:cs="Arial"/>
          <w:sz w:val="21"/>
          <w:szCs w:val="21"/>
        </w:rPr>
      </w:pPr>
    </w:p>
    <w:p w:rsidRPr="00046613" w:rsidR="00822820" w:rsidP="00822820" w:rsidRDefault="00822820" w14:paraId="1C8E8B43" w14:textId="77777777">
      <w:pPr>
        <w:ind w:left="709" w:right="758"/>
        <w:jc w:val="both"/>
        <w:rPr>
          <w:rFonts w:ascii="Arial" w:hAnsi="Arial" w:cs="Arial"/>
          <w:sz w:val="21"/>
          <w:szCs w:val="21"/>
        </w:rPr>
      </w:pPr>
      <w:r w:rsidRPr="00046613">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046613" w:rsidR="00822820" w:rsidP="00822820" w:rsidRDefault="00822820" w14:paraId="2381564B" w14:textId="77777777">
      <w:pPr>
        <w:ind w:left="709" w:right="758"/>
        <w:jc w:val="both"/>
        <w:rPr>
          <w:rFonts w:ascii="Arial" w:hAnsi="Arial" w:cs="Arial"/>
          <w:sz w:val="21"/>
          <w:szCs w:val="21"/>
        </w:rPr>
      </w:pPr>
    </w:p>
    <w:p w:rsidRPr="00046613" w:rsidR="00822820" w:rsidP="00822820" w:rsidRDefault="00822820" w14:paraId="33D843A1" w14:textId="77777777">
      <w:pPr>
        <w:ind w:left="709" w:right="758"/>
        <w:jc w:val="both"/>
        <w:rPr>
          <w:rFonts w:ascii="Arial" w:hAnsi="Arial" w:cs="Arial"/>
          <w:sz w:val="21"/>
          <w:szCs w:val="21"/>
        </w:rPr>
      </w:pPr>
      <w:r w:rsidRPr="00046613">
        <w:rPr>
          <w:rFonts w:ascii="Arial" w:hAnsi="Arial" w:cs="Arial"/>
          <w:sz w:val="21"/>
          <w:szCs w:val="21"/>
        </w:rPr>
        <w:t>2. Conservar los requisitos exigidos en los Documentos Tipo.</w:t>
      </w:r>
    </w:p>
    <w:p w:rsidRPr="00046613" w:rsidR="00822820" w:rsidP="00822820" w:rsidRDefault="00822820" w14:paraId="0AA73CCD" w14:textId="77777777">
      <w:pPr>
        <w:ind w:left="709" w:right="758"/>
        <w:jc w:val="both"/>
        <w:rPr>
          <w:rFonts w:ascii="Arial" w:hAnsi="Arial" w:cs="Arial"/>
          <w:sz w:val="21"/>
          <w:szCs w:val="21"/>
        </w:rPr>
      </w:pPr>
    </w:p>
    <w:p w:rsidRPr="00046613" w:rsidR="00822820" w:rsidP="00822820" w:rsidRDefault="00822820" w14:paraId="4CD4389F" w14:textId="77777777">
      <w:pPr>
        <w:ind w:left="709" w:right="758"/>
        <w:jc w:val="both"/>
        <w:rPr>
          <w:rFonts w:ascii="Arial" w:hAnsi="Arial" w:cs="Arial"/>
          <w:sz w:val="21"/>
          <w:szCs w:val="21"/>
        </w:rPr>
      </w:pPr>
      <w:r w:rsidRPr="00046613">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rsidRPr="00046613" w:rsidR="00822820" w:rsidP="00822820" w:rsidRDefault="00822820" w14:paraId="048D15CA" w14:textId="77777777">
      <w:pPr>
        <w:ind w:left="709" w:right="758"/>
        <w:jc w:val="both"/>
        <w:rPr>
          <w:rFonts w:ascii="Arial" w:hAnsi="Arial" w:cs="Arial"/>
          <w:sz w:val="21"/>
          <w:szCs w:val="21"/>
        </w:rPr>
      </w:pPr>
    </w:p>
    <w:p w:rsidRPr="00046613" w:rsidR="00822820" w:rsidP="00822820" w:rsidRDefault="00822820" w14:paraId="33899AAF" w14:textId="77777777">
      <w:pPr>
        <w:ind w:left="709" w:right="758"/>
        <w:jc w:val="both"/>
        <w:rPr>
          <w:rFonts w:ascii="Arial" w:hAnsi="Arial" w:cs="Arial"/>
          <w:sz w:val="21"/>
          <w:szCs w:val="21"/>
        </w:rPr>
      </w:pPr>
      <w:r w:rsidRPr="00046613">
        <w:rPr>
          <w:rFonts w:ascii="Arial" w:hAnsi="Arial" w:cs="Arial"/>
          <w:sz w:val="21"/>
          <w:szCs w:val="21"/>
        </w:rPr>
        <w:lastRenderedPageBreak/>
        <w:t>4. Clasificar la experiencia requerida solo hasta el tercer nivel del Clasificador de Bienes y Servicios e incluir exclusivamente los códigos que estén relacionados directamente con el objeto a contratar.</w:t>
      </w:r>
    </w:p>
    <w:p w:rsidRPr="00046613" w:rsidR="00822820" w:rsidP="00822820" w:rsidRDefault="00822820" w14:paraId="40FFFD2C" w14:textId="77777777">
      <w:pPr>
        <w:pStyle w:val="Default"/>
        <w:spacing w:line="120" w:lineRule="auto"/>
        <w:rPr>
          <w:color w:val="auto"/>
        </w:rPr>
      </w:pPr>
    </w:p>
    <w:p w:rsidRPr="00046613" w:rsidR="00822820" w:rsidP="00822820" w:rsidRDefault="00822820" w14:paraId="37A05368" w14:textId="77777777">
      <w:pPr>
        <w:spacing w:before="120" w:line="276" w:lineRule="auto"/>
        <w:ind w:firstLine="708"/>
        <w:jc w:val="both"/>
        <w:rPr>
          <w:rFonts w:ascii="Arial" w:hAnsi="Arial" w:cs="Arial"/>
          <w:sz w:val="22"/>
        </w:rPr>
      </w:pPr>
      <w:r w:rsidRPr="00046613">
        <w:rPr>
          <w:rFonts w:ascii="Arial" w:hAnsi="Arial" w:cs="Arial"/>
          <w:sz w:val="22"/>
        </w:rPr>
        <w:t xml:space="preserve">Es del caso precisar que la categoría «bienes o servicios adicionales a la obra pública», para efectos de la aplicación del artículo 2.2.1.2.6.1.5. del Decreto 1082 de 2015, se circunscribe a los contratos estatales de obra pública. Así lo reconoció esta Agencia en el concepto del 21 de octubre de 2019 –radicado No. 2201913000007847–, en el que estudió la aplicación del artículo 2.2.1.2.6.1.5. del Decreto 1082 de 2015, y, sobre la posibilidad de exigir experiencia adicional para «bienes o servicios adicionales a la obra pública», consideró lo siguiente: </w:t>
      </w:r>
    </w:p>
    <w:p w:rsidRPr="00046613" w:rsidR="00822820" w:rsidP="00822820" w:rsidRDefault="00822820" w14:paraId="1CAC8F21" w14:textId="77777777">
      <w:pPr>
        <w:spacing w:line="276" w:lineRule="auto"/>
        <w:ind w:firstLine="708"/>
        <w:jc w:val="both"/>
        <w:rPr>
          <w:rFonts w:ascii="Arial" w:hAnsi="Arial" w:cs="Arial"/>
          <w:sz w:val="22"/>
        </w:rPr>
      </w:pPr>
    </w:p>
    <w:p w:rsidRPr="00046613" w:rsidR="00822820" w:rsidP="00822820" w:rsidRDefault="00822820" w14:paraId="22FBB05E" w14:textId="77777777">
      <w:pPr>
        <w:ind w:left="709" w:right="760"/>
        <w:jc w:val="both"/>
        <w:rPr>
          <w:rFonts w:ascii="Arial" w:hAnsi="Arial" w:cs="Arial"/>
          <w:sz w:val="21"/>
          <w:szCs w:val="21"/>
        </w:rPr>
      </w:pPr>
      <w:r w:rsidRPr="00046613">
        <w:rPr>
          <w:rFonts w:ascii="Arial" w:hAnsi="Arial" w:cs="Arial"/>
          <w:sz w:val="21"/>
          <w:szCs w:val="21"/>
        </w:rPr>
        <w:t xml:space="preserve">La posibilidad de solicitar experiencia adicional sólo es viable cuando el objeto contractual incluye bienes o servicios adicionales a la obra pública de infraestructura de transporte, es decir: i) la actividad que se requiere </w:t>
      </w:r>
      <w:r w:rsidRPr="00046613">
        <w:rPr>
          <w:rFonts w:ascii="Arial" w:hAnsi="Arial" w:cs="Arial"/>
          <w:i/>
          <w:iCs/>
          <w:sz w:val="21"/>
          <w:szCs w:val="21"/>
        </w:rPr>
        <w:t>si bien es una actividad de obra</w:t>
      </w:r>
      <w:r w:rsidRPr="00046613">
        <w:rPr>
          <w:rFonts w:ascii="Arial" w:hAnsi="Arial" w:cs="Arial"/>
          <w:sz w:val="21"/>
          <w:szCs w:val="21"/>
        </w:rPr>
        <w:t xml:space="preserve"> no es relacionada con la infraestructura de obra de infraestructura transporte, por ejemplo, la construcción de alcantarillado o acueducto, y, </w:t>
      </w:r>
      <w:proofErr w:type="spellStart"/>
      <w:r w:rsidRPr="00046613">
        <w:rPr>
          <w:rFonts w:ascii="Arial" w:hAnsi="Arial" w:cs="Arial"/>
          <w:sz w:val="21"/>
          <w:szCs w:val="21"/>
        </w:rPr>
        <w:t>ii</w:t>
      </w:r>
      <w:proofErr w:type="spellEnd"/>
      <w:r w:rsidRPr="00046613">
        <w:rPr>
          <w:rFonts w:ascii="Arial" w:hAnsi="Arial" w:cs="Arial"/>
          <w:sz w:val="21"/>
          <w:szCs w:val="21"/>
        </w:rPr>
        <w:t>) la obra o servicio adicional es distinto a la actividad de obra aun cuando se relaciona con la infraestructura de transporte, ya sea porque es un contrato de suministro, de consultoría para realizar los estudios y diseños de la obra de infraestructura de transporte. (Cursivas propias)</w:t>
      </w:r>
    </w:p>
    <w:p w:rsidRPr="00046613" w:rsidR="00822820" w:rsidP="00822820" w:rsidRDefault="00822820" w14:paraId="2CA9D5A6" w14:textId="77777777">
      <w:pPr>
        <w:spacing w:line="276" w:lineRule="auto"/>
        <w:ind w:firstLine="708"/>
        <w:jc w:val="both"/>
        <w:rPr>
          <w:rFonts w:ascii="Arial" w:hAnsi="Arial" w:cs="Arial"/>
          <w:sz w:val="22"/>
        </w:rPr>
      </w:pPr>
    </w:p>
    <w:p w:rsidRPr="00046613" w:rsidR="00822820" w:rsidP="00822820" w:rsidRDefault="00822820" w14:paraId="0A76106F" w14:textId="77777777">
      <w:pPr>
        <w:spacing w:line="276" w:lineRule="auto"/>
        <w:ind w:firstLine="708"/>
        <w:jc w:val="both"/>
        <w:rPr>
          <w:rFonts w:ascii="Arial" w:hAnsi="Arial" w:cs="Arial"/>
          <w:sz w:val="22"/>
        </w:rPr>
      </w:pPr>
      <w:r w:rsidRPr="00046613">
        <w:rPr>
          <w:rFonts w:ascii="Arial" w:hAnsi="Arial" w:cs="Arial"/>
          <w:sz w:val="22"/>
        </w:rPr>
        <w:t>A manera de ejemplo, los contratos como el de arrendamiento de maquinaria no se encuentran sometidos a los documentos tipo, se insiste, porque estos aplican para los contratos de obra pública de infraestructura de transporte, ya sea porque el contrato tiene como objeto alguna de las «actividades» relacionadas en la Matriz 1, o porque se trata de «bienes o servicios adicionales a la obra pública», según lo dicho en los párrafos anteriores.</w:t>
      </w:r>
    </w:p>
    <w:p w:rsidRPr="00046613" w:rsidR="00822820" w:rsidP="00822820" w:rsidRDefault="00822820" w14:paraId="6E611E9B" w14:textId="77777777">
      <w:pPr>
        <w:spacing w:before="120" w:line="276" w:lineRule="auto"/>
        <w:ind w:firstLine="709"/>
        <w:jc w:val="both"/>
        <w:rPr>
          <w:rFonts w:ascii="Arial" w:hAnsi="Arial" w:cs="Arial"/>
          <w:sz w:val="22"/>
        </w:rPr>
      </w:pPr>
      <w:r w:rsidRPr="00046613">
        <w:rPr>
          <w:rFonts w:ascii="Arial" w:hAnsi="Arial" w:cs="Arial"/>
          <w:sz w:val="22"/>
        </w:rPr>
        <w:t>En ese orden, Colombia Compra Eficiente considera que los documentos tipo son obligatorios para las entidades públicas, cuando sus contratos se sometan al régimen de la Ley 80 de 1993, y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w:t>
      </w:r>
    </w:p>
    <w:p w:rsidRPr="00046613" w:rsidR="00822820" w:rsidP="00822820" w:rsidRDefault="00822820" w14:paraId="1EE00790" w14:textId="515063D2">
      <w:pPr>
        <w:spacing w:before="120" w:line="276" w:lineRule="auto"/>
        <w:ind w:firstLine="709"/>
        <w:jc w:val="both"/>
        <w:rPr>
          <w:rFonts w:ascii="Arial" w:hAnsi="Arial" w:cs="Arial"/>
          <w:sz w:val="22"/>
        </w:rPr>
      </w:pPr>
      <w:r w:rsidRPr="00046613">
        <w:rPr>
          <w:rFonts w:ascii="Arial" w:hAnsi="Arial" w:cs="Arial"/>
          <w:sz w:val="22"/>
        </w:rPr>
        <w:t xml:space="preserve">De conformidad con lo anterior, </w:t>
      </w:r>
      <w:bookmarkStart w:name="_Hlk38613180" w:id="4"/>
      <w:r w:rsidRPr="00046613">
        <w:rPr>
          <w:rFonts w:ascii="Arial" w:hAnsi="Arial" w:cs="Arial"/>
          <w:sz w:val="22"/>
        </w:rPr>
        <w:t>los documentos tipo para «licitación» de «obra pública de infraestructura de transporte», así como los documentos tipo para los procedimientos de «selección abreviada de menor cuantía» y «mínima cuantía», son obligatorios y deben ser aplicados de manera obligatoria por las entidades estatales sometidas al Estatuto General de la Contratación de la Administración Pública, de conformidad con lo establecido en el parágrafo 7 del artículo 2 de la Ley 1150 modificado por la</w:t>
      </w:r>
      <w:r w:rsidR="007A51F5">
        <w:rPr>
          <w:rFonts w:ascii="Arial" w:hAnsi="Arial" w:cs="Arial"/>
          <w:sz w:val="22"/>
        </w:rPr>
        <w:t>s</w:t>
      </w:r>
      <w:r w:rsidRPr="00046613">
        <w:rPr>
          <w:rFonts w:ascii="Arial" w:hAnsi="Arial" w:cs="Arial"/>
          <w:sz w:val="22"/>
        </w:rPr>
        <w:t xml:space="preserve"> </w:t>
      </w:r>
      <w:r w:rsidR="007A51F5">
        <w:rPr>
          <w:rFonts w:ascii="Arial" w:hAnsi="Arial" w:cs="Arial"/>
          <w:sz w:val="22"/>
        </w:rPr>
        <w:t>l</w:t>
      </w:r>
      <w:r w:rsidRPr="00046613">
        <w:rPr>
          <w:rFonts w:ascii="Arial" w:hAnsi="Arial" w:cs="Arial"/>
          <w:sz w:val="22"/>
        </w:rPr>
        <w:t>ey 1882 de 2018</w:t>
      </w:r>
      <w:r w:rsidR="007A51F5">
        <w:rPr>
          <w:rFonts w:ascii="Arial" w:hAnsi="Arial" w:cs="Arial"/>
          <w:sz w:val="22"/>
        </w:rPr>
        <w:t xml:space="preserve"> y 2022 de 2020</w:t>
      </w:r>
      <w:r w:rsidRPr="00046613">
        <w:rPr>
          <w:rFonts w:ascii="Arial" w:hAnsi="Arial" w:cs="Arial"/>
          <w:sz w:val="22"/>
        </w:rPr>
        <w:t xml:space="preserve">, y los procesos de contratación en los que deben </w:t>
      </w:r>
      <w:r w:rsidRPr="00046613">
        <w:rPr>
          <w:rFonts w:ascii="Arial" w:hAnsi="Arial" w:cs="Arial"/>
          <w:sz w:val="22"/>
        </w:rPr>
        <w:lastRenderedPageBreak/>
        <w:t>aplicarse son los de infraestructura de transporte que se encuadren dentro de las actividades definidas en la Matriz 1.</w:t>
      </w:r>
    </w:p>
    <w:bookmarkEnd w:id="4"/>
    <w:p w:rsidRPr="00046613" w:rsidR="00B71E80" w:rsidP="00743820" w:rsidRDefault="00822820" w14:paraId="6B1EB535" w14:textId="77777777">
      <w:pPr>
        <w:spacing w:before="120" w:line="276" w:lineRule="auto"/>
        <w:ind w:firstLine="708"/>
        <w:jc w:val="both"/>
        <w:rPr>
          <w:rFonts w:ascii="Arial" w:hAnsi="Arial" w:cs="Arial"/>
          <w:sz w:val="22"/>
        </w:rPr>
      </w:pPr>
      <w:r w:rsidRPr="00046613">
        <w:rPr>
          <w:rFonts w:ascii="Arial" w:hAnsi="Arial" w:cs="Arial"/>
          <w:sz w:val="22"/>
        </w:rPr>
        <w:t xml:space="preserve">En conclusión, existen tres criterios para determinar si procede de forma obligatoria la contratación de una actividad mediante los documentos tipo: a) que se trate de una obra pública de infraestructura de transporte; </w:t>
      </w:r>
      <w:proofErr w:type="spellStart"/>
      <w:r w:rsidRPr="00046613">
        <w:rPr>
          <w:rFonts w:ascii="Arial" w:hAnsi="Arial" w:cs="Arial"/>
          <w:sz w:val="22"/>
        </w:rPr>
        <w:t>ii</w:t>
      </w:r>
      <w:proofErr w:type="spellEnd"/>
      <w:r w:rsidRPr="00046613">
        <w:rPr>
          <w:rFonts w:ascii="Arial" w:hAnsi="Arial" w:cs="Arial"/>
          <w:sz w:val="22"/>
        </w:rPr>
        <w:t xml:space="preserve">) que el contratante sea una entidad sometida al Estatuto General de Contratación de la Administración Pública; y </w:t>
      </w:r>
      <w:proofErr w:type="spellStart"/>
      <w:r w:rsidRPr="00046613">
        <w:rPr>
          <w:rFonts w:ascii="Arial" w:hAnsi="Arial" w:cs="Arial"/>
          <w:sz w:val="22"/>
        </w:rPr>
        <w:t>iii</w:t>
      </w:r>
      <w:proofErr w:type="spellEnd"/>
      <w:r w:rsidRPr="00046613">
        <w:rPr>
          <w:rFonts w:ascii="Arial" w:hAnsi="Arial" w:cs="Arial"/>
          <w:sz w:val="22"/>
        </w:rPr>
        <w:t xml:space="preserve">) que el objeto a contratar sea subsumible o esté asociado a alguno de los tipos de obra y actividades señaladas en la Matriz 1. La coexistencia de tales condiciones, conforme indican las normas analizadas, hace que sea obligatoria la aplicación de los documentos tipo. </w:t>
      </w:r>
    </w:p>
    <w:p w:rsidRPr="00046613" w:rsidR="003F1C4E" w:rsidP="00743820" w:rsidRDefault="00EB0B5C" w14:paraId="4BA64B4D" w14:textId="1E55541A">
      <w:pPr>
        <w:spacing w:before="120" w:line="276" w:lineRule="auto"/>
        <w:ind w:firstLine="708"/>
        <w:jc w:val="both"/>
        <w:rPr>
          <w:rFonts w:ascii="Arial" w:hAnsi="Arial" w:cs="Arial"/>
          <w:sz w:val="22"/>
        </w:rPr>
      </w:pPr>
      <w:r w:rsidRPr="00046613">
        <w:rPr>
          <w:rFonts w:ascii="Arial" w:hAnsi="Arial" w:cs="Arial"/>
          <w:sz w:val="22"/>
        </w:rPr>
        <w:t>Aplicando</w:t>
      </w:r>
      <w:r w:rsidRPr="00046613" w:rsidR="003F1C4E">
        <w:rPr>
          <w:rFonts w:ascii="Arial" w:hAnsi="Arial" w:cs="Arial"/>
          <w:sz w:val="22"/>
        </w:rPr>
        <w:t xml:space="preserve"> </w:t>
      </w:r>
      <w:r w:rsidRPr="00046613" w:rsidR="00822820">
        <w:rPr>
          <w:rFonts w:ascii="Arial" w:hAnsi="Arial" w:cs="Arial"/>
          <w:sz w:val="22"/>
        </w:rPr>
        <w:t xml:space="preserve">estos </w:t>
      </w:r>
      <w:r w:rsidRPr="00046613" w:rsidR="003F1C4E">
        <w:rPr>
          <w:rFonts w:ascii="Arial" w:hAnsi="Arial" w:cs="Arial"/>
          <w:sz w:val="22"/>
        </w:rPr>
        <w:t xml:space="preserve">criterios </w:t>
      </w:r>
      <w:r w:rsidRPr="00046613">
        <w:rPr>
          <w:rFonts w:ascii="Arial" w:hAnsi="Arial" w:cs="Arial"/>
          <w:sz w:val="22"/>
        </w:rPr>
        <w:t xml:space="preserve">a </w:t>
      </w:r>
      <w:r w:rsidRPr="00046613" w:rsidR="003F1C4E">
        <w:rPr>
          <w:rFonts w:ascii="Arial" w:hAnsi="Arial" w:cs="Arial"/>
          <w:sz w:val="22"/>
        </w:rPr>
        <w:t xml:space="preserve">las entidades estatales sometidas al Estatuto General de </w:t>
      </w:r>
      <w:r w:rsidRPr="00046613">
        <w:rPr>
          <w:rFonts w:ascii="Arial" w:hAnsi="Arial" w:cs="Arial"/>
          <w:sz w:val="22"/>
        </w:rPr>
        <w:t>Contratación de la Administración Pública que adelanten proyectos de construcción de infraestructura de transporte, les corresponde</w:t>
      </w:r>
      <w:r w:rsidRPr="00046613" w:rsidR="00822820">
        <w:rPr>
          <w:rFonts w:ascii="Arial" w:hAnsi="Arial" w:cs="Arial"/>
          <w:sz w:val="22"/>
        </w:rPr>
        <w:t>rá</w:t>
      </w:r>
      <w:r w:rsidRPr="00046613">
        <w:rPr>
          <w:rFonts w:ascii="Arial" w:hAnsi="Arial" w:cs="Arial"/>
          <w:sz w:val="22"/>
        </w:rPr>
        <w:t xml:space="preserve"> determinar los requisitos de experiencia exigibles para las actividades que pretenden contratar, configuración que deberán realizar con estricta sujeción a lo determinado por la Matriz 1 – Experiencia, documento tipo de obligatoria observancia en virtud de lo dispuesto en el artículo 4 de la Ley 1882 de 2018, modificada por la Ley 2022 de 2020, cuyo contenido además es inalterable para las entidades estatales.  </w:t>
      </w:r>
    </w:p>
    <w:p w:rsidRPr="00046613" w:rsidR="00275C15" w:rsidP="00B71E80" w:rsidRDefault="00275C15" w14:paraId="5BCC015D" w14:textId="77777777">
      <w:pPr>
        <w:spacing w:line="276" w:lineRule="auto"/>
        <w:jc w:val="both"/>
        <w:rPr>
          <w:rFonts w:ascii="Arial" w:hAnsi="Arial" w:eastAsia="Calibri" w:cs="Arial"/>
          <w:b/>
          <w:bCs/>
          <w:sz w:val="22"/>
        </w:rPr>
      </w:pPr>
    </w:p>
    <w:p w:rsidRPr="00046613" w:rsidR="00B71E80" w:rsidP="00B71E80" w:rsidRDefault="00B71E80" w14:paraId="54E4BF8A" w14:textId="75232F9E">
      <w:pPr>
        <w:spacing w:line="276" w:lineRule="auto"/>
        <w:jc w:val="both"/>
        <w:rPr>
          <w:rFonts w:ascii="Arial" w:hAnsi="Arial" w:eastAsia="Calibri" w:cs="Arial"/>
          <w:b/>
          <w:bCs/>
          <w:sz w:val="22"/>
        </w:rPr>
      </w:pPr>
      <w:r w:rsidRPr="00046613">
        <w:rPr>
          <w:rFonts w:ascii="Arial" w:hAnsi="Arial" w:eastAsia="Calibri" w:cs="Arial"/>
          <w:b/>
          <w:bCs/>
          <w:sz w:val="22"/>
        </w:rPr>
        <w:t>2.2. Principio de transparencia y la posibilidad de realizar observaciones al pliego de condiciones</w:t>
      </w:r>
    </w:p>
    <w:p w:rsidRPr="00046613" w:rsidR="00B71E80" w:rsidP="00B71E80" w:rsidRDefault="00B71E80" w14:paraId="6694EB32" w14:textId="77777777">
      <w:pPr>
        <w:spacing w:line="276" w:lineRule="auto"/>
        <w:jc w:val="both"/>
        <w:rPr>
          <w:rFonts w:ascii="Arial" w:hAnsi="Arial" w:eastAsia="Calibri" w:cs="Arial"/>
          <w:sz w:val="22"/>
        </w:rPr>
      </w:pPr>
    </w:p>
    <w:p w:rsidRPr="00046613" w:rsidR="00B71E80" w:rsidP="00B71E80" w:rsidRDefault="00B71E80" w14:paraId="7A0FC3BD" w14:textId="77777777">
      <w:pPr>
        <w:spacing w:after="120" w:line="276" w:lineRule="auto"/>
        <w:jc w:val="both"/>
        <w:rPr>
          <w:rFonts w:ascii="Arial" w:hAnsi="Arial" w:eastAsia="Calibri" w:cs="Arial"/>
          <w:sz w:val="22"/>
        </w:rPr>
      </w:pPr>
      <w:r w:rsidRPr="00046613">
        <w:rPr>
          <w:rFonts w:ascii="Arial" w:hAnsi="Arial" w:eastAsia="Calibri" w:cs="Arial"/>
          <w:sz w:val="22"/>
        </w:rPr>
        <w:t>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fines</w:t>
      </w:r>
      <w:r w:rsidRPr="00046613">
        <w:rPr>
          <w:rStyle w:val="Refdenotaalpie"/>
          <w:rFonts w:ascii="Arial" w:hAnsi="Arial" w:eastAsia="Calibri" w:cs="Arial"/>
          <w:sz w:val="22"/>
        </w:rPr>
        <w:footnoteReference w:id="2"/>
      </w:r>
      <w:r w:rsidRPr="00046613">
        <w:rPr>
          <w:rFonts w:ascii="Arial" w:hAnsi="Arial" w:eastAsia="Calibri" w:cs="Arial"/>
          <w:sz w:val="22"/>
        </w:rPr>
        <w:t xml:space="preserve">. En cumplimiento de ese propósito, el legislador determinó que las actuaciones adelantadas por las entidades estatales, en materia contractual, se llevan a cabo, entre otros, en cumplimiento de los principios que gobiernan los procesos de contratación pública. </w:t>
      </w:r>
    </w:p>
    <w:p w:rsidRPr="00046613" w:rsidR="00B71E80" w:rsidP="00B71E80" w:rsidRDefault="00B71E80" w14:paraId="49D51D0D" w14:textId="4A881966">
      <w:pPr>
        <w:spacing w:before="120" w:line="276" w:lineRule="auto"/>
        <w:ind w:firstLine="709"/>
        <w:jc w:val="both"/>
        <w:rPr>
          <w:rFonts w:ascii="Arial" w:hAnsi="Arial" w:eastAsia="Calibri" w:cs="Arial"/>
          <w:sz w:val="22"/>
        </w:rPr>
      </w:pPr>
      <w:r w:rsidRPr="00046613">
        <w:rPr>
          <w:rFonts w:ascii="Arial" w:hAnsi="Arial" w:eastAsia="Calibri" w:cs="Arial"/>
          <w:sz w:val="22"/>
        </w:rPr>
        <w:lastRenderedPageBreak/>
        <w:t>El artículo 23 de la Ley 80 de 1993 regula los principios aplicables a las actuaciones contractuales adelantadas por las entidades estatales</w:t>
      </w:r>
      <w:r w:rsidRPr="00046613">
        <w:rPr>
          <w:rStyle w:val="Refdenotaalpie"/>
          <w:rFonts w:ascii="Arial" w:hAnsi="Arial" w:eastAsia="Calibri" w:cs="Arial"/>
          <w:sz w:val="22"/>
        </w:rPr>
        <w:footnoteReference w:id="3"/>
      </w:r>
      <w:r w:rsidRPr="00046613">
        <w:rPr>
          <w:rFonts w:ascii="Arial" w:hAnsi="Arial" w:eastAsia="Calibri" w:cs="Arial"/>
          <w:sz w:val="22"/>
        </w:rPr>
        <w:t xml:space="preserve">. </w:t>
      </w:r>
      <w:r w:rsidR="007F7D16">
        <w:rPr>
          <w:rFonts w:ascii="Arial" w:hAnsi="Arial" w:eastAsia="Calibri" w:cs="Arial"/>
          <w:sz w:val="22"/>
        </w:rPr>
        <w:t>Dicho artículo</w:t>
      </w:r>
      <w:r w:rsidRPr="00046613">
        <w:rPr>
          <w:rFonts w:ascii="Arial" w:hAnsi="Arial" w:eastAsia="Calibri" w:cs="Arial"/>
          <w:sz w:val="22"/>
        </w:rPr>
        <w:t xml:space="preserve"> estableció el principio de transparencia de la actividad contractual, objeto de regulación expresa en el artículo 24 del citado cuerpo normativo. Este principio guarda estrecha relación con el de publicidad, que rige el ejercicio de la función administrativa. Por eso en los numerales 2º y 3º se estableció la facultad de los interesados para realizar y/o presentar observaciones, como un mecanismo para controvertir algunas de las decisiones adoptadas por las entidades estatales en el marco de sus actuaciones, por demás públicas, en los procesos contractuales, así:</w:t>
      </w:r>
    </w:p>
    <w:p w:rsidRPr="00046613" w:rsidR="00B71E80" w:rsidP="00B71E80" w:rsidRDefault="00B71E80" w14:paraId="0FC84B13" w14:textId="77777777">
      <w:pPr>
        <w:ind w:left="709" w:right="709"/>
        <w:jc w:val="both"/>
        <w:rPr>
          <w:rFonts w:ascii="Arial" w:hAnsi="Arial" w:eastAsia="Calibri" w:cs="Arial"/>
          <w:sz w:val="22"/>
        </w:rPr>
      </w:pPr>
    </w:p>
    <w:p w:rsidRPr="00046613" w:rsidR="00B71E80" w:rsidP="00B71E80" w:rsidRDefault="007A51F5" w14:paraId="11F4D918" w14:textId="6243417C">
      <w:pPr>
        <w:ind w:left="709" w:right="709"/>
        <w:jc w:val="both"/>
        <w:rPr>
          <w:rFonts w:ascii="Arial" w:hAnsi="Arial" w:eastAsia="Calibri" w:cs="Arial"/>
          <w:sz w:val="21"/>
          <w:szCs w:val="21"/>
        </w:rPr>
      </w:pPr>
      <w:r w:rsidRPr="00046613">
        <w:rPr>
          <w:rFonts w:ascii="Arial" w:hAnsi="Arial" w:eastAsia="Calibri" w:cs="Arial"/>
          <w:sz w:val="21"/>
          <w:szCs w:val="21"/>
        </w:rPr>
        <w:t>A</w:t>
      </w:r>
      <w:r>
        <w:rPr>
          <w:rFonts w:ascii="Arial" w:hAnsi="Arial" w:eastAsia="Calibri" w:cs="Arial"/>
          <w:sz w:val="21"/>
          <w:szCs w:val="21"/>
        </w:rPr>
        <w:t>rtículo</w:t>
      </w:r>
      <w:r w:rsidRPr="00046613">
        <w:rPr>
          <w:rFonts w:ascii="Arial" w:hAnsi="Arial" w:eastAsia="Calibri" w:cs="Arial"/>
          <w:sz w:val="21"/>
          <w:szCs w:val="21"/>
        </w:rPr>
        <w:t xml:space="preserve"> </w:t>
      </w:r>
      <w:r w:rsidRPr="00046613" w:rsidR="00B71E80">
        <w:rPr>
          <w:rFonts w:ascii="Arial" w:hAnsi="Arial" w:eastAsia="Calibri" w:cs="Arial"/>
          <w:sz w:val="21"/>
          <w:szCs w:val="21"/>
        </w:rPr>
        <w:t>24. DEL PRINCIPIO DE TRANSPARENCIA. En virtud de este principio:</w:t>
      </w:r>
    </w:p>
    <w:p w:rsidRPr="00046613" w:rsidR="00B71E80" w:rsidP="00B71E80" w:rsidRDefault="00B71E80" w14:paraId="7939223E" w14:textId="77777777">
      <w:pPr>
        <w:spacing w:after="120"/>
        <w:ind w:left="709" w:right="709"/>
        <w:jc w:val="both"/>
        <w:rPr>
          <w:rFonts w:ascii="Arial" w:hAnsi="Arial" w:eastAsia="Calibri" w:cs="Arial"/>
          <w:sz w:val="21"/>
          <w:szCs w:val="21"/>
        </w:rPr>
      </w:pPr>
      <w:r w:rsidRPr="00046613">
        <w:rPr>
          <w:rFonts w:ascii="Arial" w:hAnsi="Arial" w:eastAsia="Calibri" w:cs="Arial"/>
          <w:sz w:val="21"/>
          <w:szCs w:val="21"/>
        </w:rPr>
        <w:t>[…]</w:t>
      </w:r>
    </w:p>
    <w:p w:rsidRPr="00046613" w:rsidR="00B71E80" w:rsidP="00B71E80" w:rsidRDefault="00B71E80" w14:paraId="1FE38B07" w14:textId="77777777">
      <w:pPr>
        <w:spacing w:after="120"/>
        <w:ind w:left="709" w:right="709"/>
        <w:jc w:val="both"/>
        <w:rPr>
          <w:rFonts w:ascii="Arial" w:hAnsi="Arial" w:eastAsia="Calibri" w:cs="Arial"/>
          <w:sz w:val="21"/>
          <w:szCs w:val="21"/>
        </w:rPr>
      </w:pPr>
      <w:r w:rsidRPr="00046613">
        <w:rPr>
          <w:rFonts w:ascii="Arial" w:hAnsi="Arial" w:eastAsia="Calibri"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046613" w:rsidR="00B71E80" w:rsidP="00B71E80" w:rsidRDefault="00B71E80" w14:paraId="77595199" w14:textId="77777777">
      <w:pPr>
        <w:ind w:left="709" w:right="709"/>
        <w:jc w:val="both"/>
        <w:rPr>
          <w:rFonts w:ascii="Arial" w:hAnsi="Arial" w:eastAsia="Calibri" w:cs="Arial"/>
          <w:sz w:val="22"/>
        </w:rPr>
      </w:pPr>
      <w:r w:rsidRPr="00046613">
        <w:rPr>
          <w:rFonts w:ascii="Arial" w:hAnsi="Arial" w:eastAsia="Calibri"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p>
    <w:p w:rsidRPr="00046613" w:rsidR="00B71E80" w:rsidP="00B71E80" w:rsidRDefault="00B71E80" w14:paraId="389C546B" w14:textId="77777777">
      <w:pPr>
        <w:ind w:firstLine="709"/>
        <w:jc w:val="both"/>
        <w:rPr>
          <w:rFonts w:ascii="Arial" w:hAnsi="Arial" w:eastAsia="Calibri" w:cs="Arial"/>
          <w:sz w:val="22"/>
        </w:rPr>
      </w:pPr>
    </w:p>
    <w:p w:rsidRPr="00046613" w:rsidR="00B71E80" w:rsidP="00B71E80" w:rsidRDefault="00B71E80" w14:paraId="605F4DD5" w14:textId="77777777">
      <w:pPr>
        <w:spacing w:after="120" w:line="276" w:lineRule="auto"/>
        <w:ind w:firstLine="708"/>
        <w:jc w:val="both"/>
        <w:rPr>
          <w:rFonts w:ascii="Arial" w:hAnsi="Arial" w:cs="Arial"/>
          <w:sz w:val="22"/>
        </w:rPr>
      </w:pPr>
      <w:r w:rsidRPr="00046613">
        <w:rPr>
          <w:rFonts w:ascii="Arial" w:hAnsi="Arial" w:cs="Arial"/>
          <w:sz w:val="22"/>
        </w:rPr>
        <w:t>En desarrollo del principio de transparencia, el artículo 30 de la Ley 80 de 1993, que contiene las reglas sobre la estructura de los procedimientos de selección del contratista, dispuso en el numeral 4º, en relación con la audiencia para precisar el contenido y alcance de los pliegos de condiciones y asignación de riesgos, que si bien como resultado de la misma se realizarán las modificaciones a que haya lugar sobre estos documentos, esa circunstancia «[…] no impide que dentro del plazo de la licitación, cualquier interesado pueda solicitar aclaraciones adicionales que la entidad contratante responderá mediante comunicación escrita, la cual remitirá al interesado y publicará en el SECOP para conocimiento público», y en el numeral 8º, respecto de los informes de evaluación de las propuestas, que los mismos «[…] permanecerán en la secretaría de la entidad por un término de cinco (5) días hábiles para que los oferentes presenten las observaciones que estimen pertinentes. […]».</w:t>
      </w:r>
    </w:p>
    <w:p w:rsidRPr="00046613" w:rsidR="00B71E80" w:rsidP="00B71E80" w:rsidRDefault="00B71E80" w14:paraId="4339D0BA" w14:textId="77777777">
      <w:pPr>
        <w:spacing w:before="120" w:after="120" w:line="276" w:lineRule="auto"/>
        <w:ind w:firstLine="709"/>
        <w:jc w:val="both"/>
        <w:rPr>
          <w:rFonts w:ascii="Arial" w:hAnsi="Arial" w:cs="Arial"/>
          <w:sz w:val="22"/>
        </w:rPr>
      </w:pPr>
      <w:r w:rsidRPr="00046613">
        <w:rPr>
          <w:rFonts w:ascii="Arial" w:hAnsi="Arial" w:cs="Arial"/>
          <w:sz w:val="22"/>
        </w:rPr>
        <w:t xml:space="preserve">Por su parte, la Ley 1150 de 2007 «Por medio de la cual se introducen medidas para la eficiencia y la transparencia en la Ley 80 de 1993 […]», tratándose de la publicidad del pliego de condiciones, dispuso que «Con el propósito de suministrar al público en general </w:t>
      </w:r>
      <w:r w:rsidRPr="00046613">
        <w:rPr>
          <w:rFonts w:ascii="Arial" w:hAnsi="Arial" w:cs="Arial"/>
          <w:sz w:val="22"/>
        </w:rPr>
        <w:lastRenderedPageBreak/>
        <w:t>la información que le permita formular observaciones a su contenido, las entidades publicarán los proyectos de pliegos de condiciones o sus equivalentes, en las condiciones que señale el reglamento.»</w:t>
      </w:r>
    </w:p>
    <w:p w:rsidRPr="00046613" w:rsidR="00B71E80" w:rsidP="00B71E80" w:rsidRDefault="00B71E80" w14:paraId="1C093C13" w14:textId="49340D4F">
      <w:pPr>
        <w:spacing w:before="120" w:after="120" w:line="276" w:lineRule="auto"/>
        <w:ind w:firstLine="709"/>
        <w:jc w:val="both"/>
        <w:rPr>
          <w:rFonts w:ascii="Arial" w:hAnsi="Arial" w:cs="Arial"/>
          <w:sz w:val="22"/>
        </w:rPr>
      </w:pPr>
      <w:r w:rsidRPr="00046613">
        <w:rPr>
          <w:rFonts w:ascii="Arial" w:hAnsi="Arial" w:cs="Arial"/>
          <w:sz w:val="22"/>
        </w:rPr>
        <w:t>Las disposiciones del ordenamiento jurídico mencionadas fueron objeto de desarrollo en el Decreto 1082 de 2015</w:t>
      </w:r>
      <w:r w:rsidR="00F252F9">
        <w:rPr>
          <w:rFonts w:ascii="Arial" w:hAnsi="Arial" w:cs="Arial"/>
          <w:sz w:val="22"/>
        </w:rPr>
        <w:t>.</w:t>
      </w:r>
      <w:r w:rsidRPr="00046613">
        <w:rPr>
          <w:rFonts w:ascii="Arial" w:hAnsi="Arial" w:cs="Arial"/>
          <w:sz w:val="22"/>
        </w:rPr>
        <w:t xml:space="preserve"> </w:t>
      </w:r>
      <w:r w:rsidR="00B32D06">
        <w:rPr>
          <w:rFonts w:ascii="Arial" w:hAnsi="Arial" w:cs="Arial"/>
          <w:sz w:val="22"/>
        </w:rPr>
        <w:t xml:space="preserve">En efecto, en ese </w:t>
      </w:r>
      <w:r w:rsidRPr="00046613">
        <w:rPr>
          <w:rFonts w:ascii="Arial" w:hAnsi="Arial" w:cs="Arial"/>
          <w:sz w:val="22"/>
        </w:rPr>
        <w:t>cuerpo normativo de carácter reglamentario en el cual se establecieron, en principio, los plazos dentro de los cuales los interesados podrán realizar observaciones en la</w:t>
      </w:r>
      <w:r w:rsidR="00B32D06">
        <w:rPr>
          <w:rFonts w:ascii="Arial" w:hAnsi="Arial" w:cs="Arial"/>
          <w:sz w:val="22"/>
        </w:rPr>
        <w:t>s</w:t>
      </w:r>
      <w:r w:rsidRPr="00046613">
        <w:rPr>
          <w:rFonts w:ascii="Arial" w:hAnsi="Arial" w:cs="Arial"/>
          <w:sz w:val="22"/>
        </w:rPr>
        <w:t xml:space="preserve"> actuaciones adelantadas a instancia de las entidades estatales en sus procesos de contratación, plazos que podrán ser ampliados, mas no restringidos por aquellas, dependiendo de la modalidad o mecanismo de selección del contratista usado en el respectivo procedimiento contractual.</w:t>
      </w:r>
    </w:p>
    <w:p w:rsidRPr="00046613" w:rsidR="00B71E80" w:rsidP="00B71E80" w:rsidRDefault="00B71E80" w14:paraId="31BBBF72" w14:textId="7730BBB9">
      <w:pPr>
        <w:spacing w:after="120" w:line="276" w:lineRule="auto"/>
        <w:ind w:firstLine="708"/>
        <w:jc w:val="both"/>
        <w:rPr>
          <w:rFonts w:ascii="Arial" w:hAnsi="Arial" w:cs="Arial"/>
          <w:sz w:val="22"/>
        </w:rPr>
      </w:pPr>
      <w:r w:rsidRPr="00046613">
        <w:rPr>
          <w:rFonts w:ascii="Arial" w:hAnsi="Arial" w:cs="Arial"/>
          <w:sz w:val="22"/>
        </w:rPr>
        <w:t>En virtud del principio de transparencia</w:t>
      </w:r>
      <w:r w:rsidR="007A51F5">
        <w:rPr>
          <w:rFonts w:ascii="Arial" w:hAnsi="Arial" w:cs="Arial"/>
          <w:sz w:val="22"/>
        </w:rPr>
        <w:t>,</w:t>
      </w:r>
      <w:r w:rsidRPr="00046613">
        <w:rPr>
          <w:rFonts w:ascii="Arial" w:hAnsi="Arial" w:cs="Arial"/>
          <w:sz w:val="22"/>
        </w:rPr>
        <w:t xml:space="preserve"> se garantiza la participación tanto de los interesados como de la ciudadanía en general</w:t>
      </w:r>
      <w:r w:rsidRPr="00046613">
        <w:rPr>
          <w:rStyle w:val="Refdenotaalpie"/>
          <w:rFonts w:ascii="Arial" w:hAnsi="Arial" w:cs="Arial"/>
          <w:sz w:val="22"/>
        </w:rPr>
        <w:footnoteReference w:id="4"/>
      </w:r>
      <w:r w:rsidRPr="00046613">
        <w:rPr>
          <w:rFonts w:ascii="Arial" w:hAnsi="Arial" w:cs="Arial"/>
          <w:sz w:val="22"/>
        </w:rPr>
        <w:t>,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rsidRPr="00046613" w:rsidR="00B71E80" w:rsidP="00B71E80" w:rsidRDefault="00B71E80" w14:paraId="0AAC5853" w14:textId="6CEF72AD">
      <w:pPr>
        <w:spacing w:line="276" w:lineRule="auto"/>
        <w:jc w:val="both"/>
        <w:rPr>
          <w:rFonts w:ascii="Arial" w:hAnsi="Arial" w:cs="Arial"/>
          <w:sz w:val="22"/>
        </w:rPr>
      </w:pPr>
      <w:r w:rsidRPr="00046613">
        <w:rPr>
          <w:rFonts w:ascii="Arial" w:hAnsi="Arial" w:cs="Arial"/>
          <w:sz w:val="22"/>
        </w:rPr>
        <w:tab/>
      </w:r>
      <w:r w:rsidRPr="00046613">
        <w:rPr>
          <w:rFonts w:ascii="Arial" w:hAnsi="Arial" w:cs="Arial"/>
          <w:sz w:val="22"/>
        </w:rPr>
        <w:t>Ahora bien, uno de los hitos del proceso de contratación respecto del cual resulta importante la posibilidad de realizar observaciones, es la expedición del pliego de condiciones. Al respecto, la Ley 1150 de 2007</w:t>
      </w:r>
      <w:r w:rsidRPr="00046613">
        <w:rPr>
          <w:rStyle w:val="Refdenotaalpie"/>
          <w:rFonts w:ascii="Arial" w:hAnsi="Arial" w:cs="Arial"/>
          <w:sz w:val="22"/>
        </w:rPr>
        <w:footnoteReference w:id="5"/>
      </w:r>
      <w:r w:rsidRPr="00046613">
        <w:rPr>
          <w:rFonts w:ascii="Arial" w:hAnsi="Arial" w:cs="Arial"/>
          <w:sz w:val="22"/>
        </w:rPr>
        <w:t xml:space="preserve"> estableció en el artículo 8 la obligación de las entidades estatales de publicar el proyecto de pliego de condiciones o su documento equivalente, con el propósito de que el público en general pueda presentar las observaciones que estime pertinentes. Esa misma disposición también consagra la obligación de las entidades estatales de pronunciarse sobre las observaciones presentadas, pronunciamiento que deberá ser motivado ya sea para acogerlas o para rechazarlas.</w:t>
      </w:r>
    </w:p>
    <w:p w:rsidRPr="00046613" w:rsidR="00B71E80" w:rsidP="00B71E80" w:rsidRDefault="00B71E80" w14:paraId="10C52ED0" w14:textId="77777777">
      <w:pPr>
        <w:spacing w:before="120" w:after="120" w:line="276" w:lineRule="auto"/>
        <w:ind w:firstLine="709"/>
        <w:jc w:val="both"/>
        <w:rPr>
          <w:rFonts w:ascii="Arial" w:hAnsi="Arial" w:cs="Arial"/>
          <w:sz w:val="22"/>
        </w:rPr>
      </w:pPr>
      <w:r w:rsidRPr="00046613">
        <w:rPr>
          <w:rFonts w:ascii="Arial" w:hAnsi="Arial" w:cs="Arial"/>
          <w:sz w:val="22"/>
        </w:rPr>
        <w:t xml:space="preserve">Por su parte, el Decreto 1082 de 2015, en relación con esta obligación, precisó en el inciso 2 del artículo 2.2.1.1.1.7.1. que «[…] La Entidad Estatal está obligada a publicar </w:t>
      </w:r>
      <w:r w:rsidRPr="00046613">
        <w:rPr>
          <w:rFonts w:ascii="Arial" w:hAnsi="Arial" w:cs="Arial"/>
          <w:sz w:val="22"/>
        </w:rPr>
        <w:lastRenderedPageBreak/>
        <w:t xml:space="preserve">oportunamente el aviso de convocatoria o la invitación en los procesos de contratación de mínima cuantía y </w:t>
      </w:r>
      <w:r w:rsidRPr="00046613">
        <w:rPr>
          <w:rFonts w:ascii="Arial" w:hAnsi="Arial" w:cs="Arial"/>
          <w:i/>
          <w:iCs/>
          <w:sz w:val="22"/>
        </w:rPr>
        <w:t>el proyecto de pliegos de condiciones</w:t>
      </w:r>
      <w:r w:rsidRPr="00046613">
        <w:rPr>
          <w:rFonts w:ascii="Arial" w:hAnsi="Arial" w:cs="Arial"/>
          <w:sz w:val="22"/>
        </w:rPr>
        <w:t xml:space="preserve"> en el </w:t>
      </w:r>
      <w:proofErr w:type="spellStart"/>
      <w:r w:rsidRPr="00046613">
        <w:rPr>
          <w:rFonts w:ascii="Arial" w:hAnsi="Arial" w:cs="Arial"/>
          <w:sz w:val="22"/>
        </w:rPr>
        <w:t>Secop</w:t>
      </w:r>
      <w:proofErr w:type="spellEnd"/>
      <w:r w:rsidRPr="00046613">
        <w:rPr>
          <w:rFonts w:ascii="Arial" w:hAnsi="Arial" w:cs="Arial"/>
          <w:sz w:val="22"/>
        </w:rPr>
        <w:t xml:space="preserve"> para que los interesados en el Proceso de Contratación puedan presentar observaciones o solicitar aclaraciones en el término previsto para el efecto […]». (Cursiva fuera texto).</w:t>
      </w:r>
    </w:p>
    <w:p w:rsidRPr="00046613" w:rsidR="00B71E80" w:rsidP="00B71E80" w:rsidRDefault="00B71E80" w14:paraId="77A1A00D" w14:textId="77777777">
      <w:pPr>
        <w:spacing w:before="120" w:after="120" w:line="276" w:lineRule="auto"/>
        <w:ind w:firstLine="709"/>
        <w:jc w:val="both"/>
        <w:rPr>
          <w:rFonts w:ascii="Arial" w:hAnsi="Arial" w:cs="Arial"/>
          <w:sz w:val="22"/>
        </w:rPr>
      </w:pPr>
      <w:r w:rsidRPr="00046613">
        <w:rPr>
          <w:rFonts w:ascii="Arial" w:hAnsi="Arial" w:cs="Arial"/>
          <w:sz w:val="22"/>
        </w:rPr>
        <w:t xml:space="preserve">En relación con el proceso de selección de </w:t>
      </w:r>
      <w:r w:rsidRPr="00046613">
        <w:rPr>
          <w:rFonts w:ascii="Arial" w:hAnsi="Arial" w:cs="Arial"/>
          <w:i/>
          <w:iCs/>
          <w:sz w:val="22"/>
        </w:rPr>
        <w:t>mínima cuantía</w:t>
      </w:r>
      <w:r w:rsidRPr="00046613">
        <w:rPr>
          <w:rFonts w:ascii="Arial" w:hAnsi="Arial" w:cs="Arial"/>
          <w:sz w:val="22"/>
        </w:rPr>
        <w:t xml:space="preserve">, el artículo 2.2.1.2.1.5.2. del Decreto 1082 de 2015, dispuso que la entidad deberá realizar una «invitación a participar en procesos de mínima cuantía», por supuesto, luego de realizar los «estudios previos para la contratación de mínima cuantía», regulados en el artículo 2.2.1.2.1.5.1. </w:t>
      </w:r>
      <w:r w:rsidRPr="00046613">
        <w:rPr>
          <w:rFonts w:ascii="Arial" w:hAnsi="Arial" w:cs="Arial"/>
          <w:i/>
          <w:iCs/>
          <w:sz w:val="22"/>
        </w:rPr>
        <w:t>ibídem</w:t>
      </w:r>
      <w:r w:rsidRPr="00046613">
        <w:rPr>
          <w:rFonts w:ascii="Arial" w:hAnsi="Arial" w:cs="Arial"/>
          <w:sz w:val="22"/>
        </w:rPr>
        <w:t>.  La norma referida también establece que la invitación debe hacerse por el término mínimo de un día, término durante el cual los proponentes podrán, por un lado, presentar observaciones y comentarios a la «invitación» y, por el otro, presentar sus propuestas. De todos modos, la entidad tendrá que responder las observaciones y comentarios antes del vencimiento del plazo para presentar ofertas, el cual es concomitante con el de la presentación de las observaciones y comentarios, salvo cuando la entidad establezca un cronograma, separando cada una de las etapas del proceso, sin que, en ningún caso, se itera, pueda ser inferior a un día hábil el plazo fijado. En todo caso, como no es obligatorio fijar un cronograma, resulta válido que las dos etapas se adelanten en un mismo término.</w:t>
      </w:r>
    </w:p>
    <w:p w:rsidRPr="00046613" w:rsidR="00B71E80" w:rsidP="00B71E80" w:rsidRDefault="00B71E80" w14:paraId="27BD10E5" w14:textId="4F9DD458">
      <w:pPr>
        <w:spacing w:before="120" w:line="276" w:lineRule="auto"/>
        <w:ind w:firstLine="709"/>
        <w:jc w:val="both"/>
        <w:rPr>
          <w:rFonts w:ascii="Arial" w:hAnsi="Arial" w:cs="Arial"/>
          <w:sz w:val="22"/>
        </w:rPr>
      </w:pPr>
      <w:r w:rsidRPr="00046613">
        <w:rPr>
          <w:rFonts w:ascii="Arial" w:hAnsi="Arial" w:cs="Arial"/>
          <w:sz w:val="22"/>
        </w:rPr>
        <w:t>Como se mencionó</w:t>
      </w:r>
      <w:r w:rsidR="009D25CF">
        <w:rPr>
          <w:rFonts w:ascii="Arial" w:hAnsi="Arial" w:cs="Arial"/>
          <w:sz w:val="22"/>
        </w:rPr>
        <w:t>,</w:t>
      </w:r>
      <w:r w:rsidRPr="00046613">
        <w:rPr>
          <w:rFonts w:ascii="Arial" w:hAnsi="Arial" w:cs="Arial"/>
          <w:sz w:val="22"/>
        </w:rPr>
        <w:t xml:space="preserve"> las observaciones que sean presentadas a la invitación o al pliego de condiciones, deben ser resueltas por la entidad antes del vencimiento del plazo para presentar ofertas, lo cual implica que la entidad no podrá seguir adelante con la siguiente etapa del correspondiente proceso de contratación, si antes no se ha pronunciado sobre las observaciones presentadas. </w:t>
      </w:r>
    </w:p>
    <w:p w:rsidRPr="00046613" w:rsidR="00AD48A9" w:rsidP="006240DE" w:rsidRDefault="00AD48A9" w14:paraId="0FE0221A" w14:textId="77777777">
      <w:pPr>
        <w:spacing w:line="276" w:lineRule="auto"/>
        <w:ind w:firstLine="708"/>
        <w:jc w:val="both"/>
        <w:rPr>
          <w:rFonts w:ascii="Arial" w:hAnsi="Arial" w:cs="Arial"/>
          <w:sz w:val="22"/>
        </w:rPr>
      </w:pPr>
    </w:p>
    <w:p w:rsidRPr="00046613" w:rsidR="008138A0" w:rsidP="00743820" w:rsidRDefault="008138A0" w14:paraId="6B0FEA3B" w14:textId="77777777">
      <w:pPr>
        <w:pStyle w:val="Prrafodelista"/>
        <w:numPr>
          <w:ilvl w:val="0"/>
          <w:numId w:val="6"/>
        </w:numPr>
        <w:tabs>
          <w:tab w:val="left" w:pos="284"/>
        </w:tabs>
        <w:ind w:left="0" w:firstLine="0"/>
        <w:rPr>
          <w:rFonts w:ascii="Arial" w:hAnsi="Arial" w:cs="Arial"/>
          <w:b/>
          <w:bCs/>
          <w:sz w:val="22"/>
          <w:lang w:val="es-CO"/>
        </w:rPr>
      </w:pPr>
      <w:r w:rsidRPr="00046613">
        <w:rPr>
          <w:rFonts w:ascii="Arial" w:hAnsi="Arial" w:cs="Arial"/>
          <w:b/>
          <w:bCs/>
          <w:sz w:val="22"/>
          <w:lang w:val="es-CO"/>
        </w:rPr>
        <w:t xml:space="preserve">Respuesta </w:t>
      </w:r>
    </w:p>
    <w:p w:rsidRPr="00046613" w:rsidR="00275C15" w:rsidP="00743820" w:rsidRDefault="00275C15" w14:paraId="25163E92" w14:textId="77777777">
      <w:pPr>
        <w:ind w:left="709" w:right="709"/>
        <w:jc w:val="both"/>
        <w:rPr>
          <w:rFonts w:ascii="Arial" w:hAnsi="Arial" w:eastAsia="Calibri" w:cs="Arial"/>
          <w:sz w:val="21"/>
          <w:szCs w:val="21"/>
        </w:rPr>
      </w:pPr>
    </w:p>
    <w:p w:rsidRPr="00046613" w:rsidR="00AD48A9" w:rsidP="00743820" w:rsidRDefault="00743820" w14:paraId="702BC590" w14:textId="214FDA75">
      <w:pPr>
        <w:ind w:left="709" w:right="709"/>
        <w:jc w:val="both"/>
        <w:rPr>
          <w:rFonts w:ascii="Arial" w:hAnsi="Arial" w:eastAsia="Calibri" w:cs="Arial"/>
          <w:sz w:val="21"/>
          <w:szCs w:val="21"/>
        </w:rPr>
      </w:pPr>
      <w:r w:rsidRPr="00046613">
        <w:rPr>
          <w:rFonts w:ascii="Arial" w:hAnsi="Arial" w:eastAsia="Calibri" w:cs="Arial"/>
          <w:sz w:val="21"/>
          <w:szCs w:val="21"/>
        </w:rPr>
        <w:t xml:space="preserve">«[…] </w:t>
      </w:r>
      <w:r w:rsidRPr="00046613">
        <w:rPr>
          <w:rFonts w:ascii="Arial" w:hAnsi="Arial" w:eastAsia="Times New Roman" w:cs="Arial"/>
          <w:sz w:val="21"/>
          <w:szCs w:val="21"/>
        </w:rPr>
        <w:t>a.</w:t>
      </w:r>
      <w:proofErr w:type="gramStart"/>
      <w:r w:rsidRPr="00046613">
        <w:rPr>
          <w:rFonts w:ascii="Arial" w:hAnsi="Arial" w:eastAsia="Times New Roman" w:cs="Arial"/>
          <w:sz w:val="21"/>
          <w:szCs w:val="21"/>
        </w:rPr>
        <w:t>-  Se</w:t>
      </w:r>
      <w:proofErr w:type="gramEnd"/>
      <w:r w:rsidRPr="00046613">
        <w:rPr>
          <w:rFonts w:ascii="Arial" w:hAnsi="Arial" w:eastAsia="Times New Roman" w:cs="Arial"/>
          <w:sz w:val="21"/>
          <w:szCs w:val="21"/>
        </w:rPr>
        <w:t xml:space="preserve"> podría ampliar los ítems exigidos por esta matriz??; b.-  A </w:t>
      </w:r>
      <w:proofErr w:type="spellStart"/>
      <w:r w:rsidRPr="00046613">
        <w:rPr>
          <w:rFonts w:ascii="Arial" w:hAnsi="Arial" w:eastAsia="Times New Roman" w:cs="Arial"/>
          <w:sz w:val="21"/>
          <w:szCs w:val="21"/>
        </w:rPr>
        <w:t>que</w:t>
      </w:r>
      <w:proofErr w:type="spellEnd"/>
      <w:r w:rsidRPr="00046613">
        <w:rPr>
          <w:rFonts w:ascii="Arial" w:hAnsi="Arial" w:eastAsia="Times New Roman" w:cs="Arial"/>
          <w:sz w:val="21"/>
          <w:szCs w:val="21"/>
        </w:rPr>
        <w:t xml:space="preserve"> entidad se puede dirigir el ciudadano Colombiano para realizar la petición?; c.-  Si el </w:t>
      </w:r>
      <w:proofErr w:type="spellStart"/>
      <w:r w:rsidRPr="00046613">
        <w:rPr>
          <w:rFonts w:ascii="Arial" w:hAnsi="Arial" w:eastAsia="Times New Roman" w:cs="Arial"/>
          <w:sz w:val="21"/>
          <w:szCs w:val="21"/>
        </w:rPr>
        <w:t>Secop</w:t>
      </w:r>
      <w:proofErr w:type="spellEnd"/>
      <w:r w:rsidRPr="00046613">
        <w:rPr>
          <w:rFonts w:ascii="Arial" w:hAnsi="Arial" w:eastAsia="Times New Roman" w:cs="Arial"/>
          <w:sz w:val="21"/>
          <w:szCs w:val="21"/>
        </w:rPr>
        <w:t xml:space="preserve"> II no tiene la respuesta, con qué entidad nos podemos comunicar?;  d.-  Sugerimos actividades para anexar a la matriz 1 experiencia: Instalación de pavimento y mantenimiento de vías de cualquier índole […]»</w:t>
      </w:r>
    </w:p>
    <w:p w:rsidRPr="00046613" w:rsidR="00743820" w:rsidP="00B71E80" w:rsidRDefault="00743820" w14:paraId="4A8B83B4" w14:textId="79ECFFBD">
      <w:pPr>
        <w:spacing w:line="276" w:lineRule="auto"/>
        <w:jc w:val="both"/>
        <w:rPr>
          <w:rFonts w:ascii="Arial" w:hAnsi="Arial" w:eastAsia="Calibri" w:cs="Arial"/>
          <w:sz w:val="22"/>
        </w:rPr>
      </w:pPr>
    </w:p>
    <w:p w:rsidRPr="00046613" w:rsidR="009E2B8D" w:rsidP="009E2B8D" w:rsidRDefault="00743820" w14:paraId="74DBC28B" w14:textId="37F4BB7B">
      <w:pPr>
        <w:spacing w:after="120" w:line="276" w:lineRule="auto"/>
        <w:jc w:val="both"/>
        <w:rPr>
          <w:rFonts w:ascii="Arial" w:hAnsi="Arial" w:cs="Arial"/>
          <w:sz w:val="22"/>
        </w:rPr>
      </w:pPr>
      <w:r w:rsidRPr="00046613">
        <w:rPr>
          <w:rFonts w:ascii="Arial" w:hAnsi="Arial" w:eastAsia="Calibri" w:cs="Arial"/>
          <w:sz w:val="22"/>
        </w:rPr>
        <w:t>De conformidad con el artículo 4 de la Ley 1882 de 2018</w:t>
      </w:r>
      <w:r w:rsidR="009D25CF">
        <w:rPr>
          <w:rFonts w:ascii="Arial" w:hAnsi="Arial" w:eastAsia="Calibri" w:cs="Arial"/>
          <w:sz w:val="22"/>
        </w:rPr>
        <w:t xml:space="preserve">, en armonía con lo prescrito en </w:t>
      </w:r>
      <w:r w:rsidRPr="00046613">
        <w:rPr>
          <w:rFonts w:ascii="Arial" w:hAnsi="Arial" w:eastAsia="Calibri" w:cs="Arial"/>
          <w:sz w:val="22"/>
        </w:rPr>
        <w:t xml:space="preserve">los Decretos 342 </w:t>
      </w:r>
      <w:r w:rsidR="009D25CF">
        <w:rPr>
          <w:rFonts w:ascii="Arial" w:hAnsi="Arial" w:eastAsia="Calibri" w:cs="Arial"/>
          <w:sz w:val="22"/>
        </w:rPr>
        <w:t>de 2019,</w:t>
      </w:r>
      <w:r w:rsidRPr="00046613">
        <w:rPr>
          <w:rFonts w:ascii="Arial" w:hAnsi="Arial" w:eastAsia="Calibri" w:cs="Arial"/>
          <w:sz w:val="22"/>
        </w:rPr>
        <w:t xml:space="preserve"> 2096 de 2019, y 594 de 2020, el Gobierno Nacional facul</w:t>
      </w:r>
      <w:r w:rsidRPr="00046613" w:rsidR="009E2B8D">
        <w:rPr>
          <w:rFonts w:ascii="Arial" w:hAnsi="Arial" w:eastAsia="Calibri" w:cs="Arial"/>
          <w:sz w:val="22"/>
        </w:rPr>
        <w:t>tó</w:t>
      </w:r>
      <w:r w:rsidRPr="00046613">
        <w:rPr>
          <w:rFonts w:ascii="Arial" w:hAnsi="Arial" w:eastAsia="Calibri" w:cs="Arial"/>
          <w:sz w:val="22"/>
        </w:rPr>
        <w:t xml:space="preserve"> a la Agencia Nacional de Contratación Pública – Colombia Compra Eficiente para </w:t>
      </w:r>
      <w:r w:rsidR="009D25CF">
        <w:rPr>
          <w:rFonts w:ascii="Arial" w:hAnsi="Arial" w:eastAsia="Calibri" w:cs="Arial"/>
          <w:sz w:val="22"/>
        </w:rPr>
        <w:t>expedir</w:t>
      </w:r>
      <w:r w:rsidRPr="00046613">
        <w:rPr>
          <w:rFonts w:ascii="Arial" w:hAnsi="Arial" w:eastAsia="Calibri" w:cs="Arial"/>
          <w:sz w:val="22"/>
        </w:rPr>
        <w:t xml:space="preserve"> los documentos tipo para la selección de contratistas de obra pública de infraestructura de transporte en las modalidades de licitación pública, selección abreviada de menor cuantía y mínima cuantía. Dicha facultad</w:t>
      </w:r>
      <w:r w:rsidRPr="00046613" w:rsidR="009E2B8D">
        <w:rPr>
          <w:rFonts w:ascii="Arial" w:hAnsi="Arial" w:eastAsia="Calibri" w:cs="Arial"/>
          <w:sz w:val="22"/>
        </w:rPr>
        <w:t xml:space="preserve"> conferida al Gobierno Nacional por el parágrafo 7 del artículo 4 de la Ley 1882 de 2018,</w:t>
      </w:r>
      <w:r w:rsidRPr="00046613">
        <w:rPr>
          <w:rFonts w:ascii="Arial" w:hAnsi="Arial" w:eastAsia="Calibri" w:cs="Arial"/>
          <w:sz w:val="22"/>
        </w:rPr>
        <w:t xml:space="preserve"> fue modificada por la Ley 2022 de 2020</w:t>
      </w:r>
      <w:r w:rsidRPr="00046613" w:rsidR="009E2B8D">
        <w:rPr>
          <w:rFonts w:ascii="Arial" w:hAnsi="Arial" w:eastAsia="Calibri" w:cs="Arial"/>
          <w:sz w:val="22"/>
        </w:rPr>
        <w:t xml:space="preserve">, por medio de la cual se atribuyó </w:t>
      </w:r>
      <w:r w:rsidR="00372DBA">
        <w:rPr>
          <w:rFonts w:ascii="Arial" w:hAnsi="Arial" w:eastAsia="Calibri" w:cs="Arial"/>
          <w:sz w:val="22"/>
        </w:rPr>
        <w:t xml:space="preserve">directamente </w:t>
      </w:r>
      <w:r w:rsidRPr="00046613" w:rsidR="009E2B8D">
        <w:rPr>
          <w:rFonts w:ascii="Arial" w:hAnsi="Arial" w:eastAsia="Calibri" w:cs="Arial"/>
          <w:sz w:val="22"/>
        </w:rPr>
        <w:t xml:space="preserve">a esta Agencia la competencia general para adoptar </w:t>
      </w:r>
      <w:r w:rsidRPr="00046613" w:rsidR="009E2B8D">
        <w:rPr>
          <w:rFonts w:ascii="Arial" w:hAnsi="Arial" w:cs="Arial"/>
          <w:sz w:val="22"/>
        </w:rPr>
        <w:t xml:space="preserve">documentos tipo que serán de obligatorio cumplimiento en la actividad contractual de todas </w:t>
      </w:r>
      <w:r w:rsidRPr="00046613" w:rsidR="009E2B8D">
        <w:rPr>
          <w:rFonts w:ascii="Arial" w:hAnsi="Arial" w:cs="Arial"/>
          <w:sz w:val="22"/>
        </w:rPr>
        <w:lastRenderedPageBreak/>
        <w:t>las entidades sometidas al Estatuto General de Contratación de la Administración Pública</w:t>
      </w:r>
      <w:r w:rsidR="009D25CF">
        <w:rPr>
          <w:rFonts w:ascii="Arial" w:hAnsi="Arial" w:cs="Arial"/>
          <w:sz w:val="22"/>
        </w:rPr>
        <w:t xml:space="preserve">, sin perjuicio de </w:t>
      </w:r>
      <w:r w:rsidR="00372DBA">
        <w:rPr>
          <w:rFonts w:ascii="Arial" w:hAnsi="Arial" w:cs="Arial"/>
          <w:sz w:val="22"/>
        </w:rPr>
        <w:t>mantener</w:t>
      </w:r>
      <w:r w:rsidR="009D25CF">
        <w:rPr>
          <w:rFonts w:ascii="Arial" w:hAnsi="Arial" w:cs="Arial"/>
          <w:sz w:val="22"/>
        </w:rPr>
        <w:t xml:space="preserve"> la vigencia de los documentos tipo expedidos </w:t>
      </w:r>
      <w:r w:rsidR="00214F25">
        <w:rPr>
          <w:rFonts w:ascii="Arial" w:hAnsi="Arial" w:cs="Arial"/>
          <w:sz w:val="22"/>
        </w:rPr>
        <w:t>con anterioridad</w:t>
      </w:r>
      <w:r w:rsidR="00372DBA">
        <w:rPr>
          <w:rFonts w:ascii="Arial" w:hAnsi="Arial" w:cs="Arial"/>
          <w:sz w:val="22"/>
        </w:rPr>
        <w:t xml:space="preserve"> a la expedición de esta última ley.</w:t>
      </w:r>
      <w:r w:rsidRPr="00046613" w:rsidR="009E2B8D">
        <w:rPr>
          <w:rFonts w:ascii="Arial" w:hAnsi="Arial" w:cs="Arial"/>
          <w:sz w:val="22"/>
        </w:rPr>
        <w:t> </w:t>
      </w:r>
    </w:p>
    <w:p w:rsidRPr="00046613" w:rsidR="009B6109" w:rsidP="009E2B8D" w:rsidRDefault="009E2B8D" w14:paraId="215F25DF" w14:textId="59A00A83">
      <w:pPr>
        <w:spacing w:after="120" w:line="276" w:lineRule="auto"/>
        <w:jc w:val="both"/>
        <w:rPr>
          <w:rFonts w:ascii="Arial" w:hAnsi="Arial" w:cs="Arial"/>
          <w:sz w:val="22"/>
        </w:rPr>
      </w:pPr>
      <w:r w:rsidRPr="00046613">
        <w:rPr>
          <w:rFonts w:ascii="Arial" w:hAnsi="Arial" w:cs="Arial"/>
          <w:sz w:val="22"/>
        </w:rPr>
        <w:tab/>
      </w:r>
      <w:r w:rsidRPr="00046613">
        <w:rPr>
          <w:rFonts w:ascii="Arial" w:hAnsi="Arial" w:cs="Arial"/>
          <w:sz w:val="22"/>
        </w:rPr>
        <w:t xml:space="preserve">Conforme a esta normativa, corresponde a la Agencia Nacional de Contratación Pública adoptar los documentos tipo </w:t>
      </w:r>
      <w:r w:rsidR="00214F25">
        <w:rPr>
          <w:rFonts w:ascii="Arial" w:hAnsi="Arial" w:cs="Arial"/>
          <w:sz w:val="22"/>
        </w:rPr>
        <w:t>que serán</w:t>
      </w:r>
      <w:r w:rsidRPr="00046613">
        <w:rPr>
          <w:rFonts w:ascii="Arial" w:hAnsi="Arial" w:cs="Arial"/>
          <w:sz w:val="22"/>
        </w:rPr>
        <w:t xml:space="preserve"> aplicados por las entidades estatales sometidas al EGCAP. No obstante, la aplicación de los diferentes formatos, matrices, formularios y documentos base para el desarrollo de procesos de contratación específicos, así como </w:t>
      </w:r>
      <w:r w:rsidR="00876EF0">
        <w:rPr>
          <w:rFonts w:ascii="Arial" w:hAnsi="Arial" w:cs="Arial"/>
          <w:sz w:val="22"/>
        </w:rPr>
        <w:t>la exigencia concreta de los</w:t>
      </w:r>
      <w:r w:rsidRPr="00046613">
        <w:rPr>
          <w:rFonts w:ascii="Arial" w:hAnsi="Arial" w:cs="Arial"/>
          <w:sz w:val="22"/>
        </w:rPr>
        <w:t xml:space="preserve"> requisitos de experiencia</w:t>
      </w:r>
      <w:r w:rsidR="00876EF0">
        <w:rPr>
          <w:rFonts w:ascii="Arial" w:hAnsi="Arial" w:cs="Arial"/>
          <w:sz w:val="22"/>
        </w:rPr>
        <w:t xml:space="preserve"> en un procedimiento de selección</w:t>
      </w:r>
      <w:r w:rsidRPr="00046613">
        <w:rPr>
          <w:rFonts w:ascii="Arial" w:hAnsi="Arial" w:cs="Arial"/>
          <w:sz w:val="22"/>
        </w:rPr>
        <w:t>, es un asunto que concierne</w:t>
      </w:r>
      <w:r w:rsidR="00876EF0">
        <w:rPr>
          <w:rFonts w:ascii="Arial" w:hAnsi="Arial" w:cs="Arial"/>
          <w:sz w:val="22"/>
        </w:rPr>
        <w:t xml:space="preserve"> definir</w:t>
      </w:r>
      <w:r w:rsidRPr="00046613">
        <w:rPr>
          <w:rFonts w:ascii="Arial" w:hAnsi="Arial" w:cs="Arial"/>
          <w:sz w:val="22"/>
        </w:rPr>
        <w:t xml:space="preserve"> a las respectivas entidades </w:t>
      </w:r>
      <w:r w:rsidR="00876EF0">
        <w:rPr>
          <w:rFonts w:ascii="Arial" w:hAnsi="Arial" w:cs="Arial"/>
          <w:sz w:val="22"/>
        </w:rPr>
        <w:t xml:space="preserve">estatales, de acuerdo </w:t>
      </w:r>
      <w:r w:rsidR="00BA549E">
        <w:rPr>
          <w:rFonts w:ascii="Arial" w:hAnsi="Arial" w:cs="Arial"/>
          <w:sz w:val="22"/>
        </w:rPr>
        <w:t>con</w:t>
      </w:r>
      <w:r w:rsidR="00876EF0">
        <w:rPr>
          <w:rFonts w:ascii="Arial" w:hAnsi="Arial" w:cs="Arial"/>
          <w:sz w:val="22"/>
        </w:rPr>
        <w:t xml:space="preserve"> la regulación contenida en los mismos documentos tipo, atendiendo, entre otros aspectos, a los parámetros establecidos en la Matriz 1 – Experiencia</w:t>
      </w:r>
      <w:r w:rsidRPr="00046613">
        <w:rPr>
          <w:rFonts w:ascii="Arial" w:hAnsi="Arial" w:cs="Arial"/>
          <w:sz w:val="22"/>
        </w:rPr>
        <w:t xml:space="preserve">. </w:t>
      </w:r>
      <w:r w:rsidR="00876EF0">
        <w:rPr>
          <w:rFonts w:ascii="Arial" w:hAnsi="Arial" w:cs="Arial"/>
          <w:sz w:val="22"/>
        </w:rPr>
        <w:t>Además, dichas</w:t>
      </w:r>
      <w:r w:rsidRPr="00046613" w:rsidR="00876EF0">
        <w:rPr>
          <w:rFonts w:ascii="Arial" w:hAnsi="Arial" w:cs="Arial"/>
          <w:sz w:val="22"/>
        </w:rPr>
        <w:t xml:space="preserve"> </w:t>
      </w:r>
      <w:r w:rsidRPr="00046613">
        <w:rPr>
          <w:rFonts w:ascii="Arial" w:hAnsi="Arial" w:cs="Arial"/>
          <w:sz w:val="22"/>
        </w:rPr>
        <w:t>entidades</w:t>
      </w:r>
      <w:r w:rsidR="00876EF0">
        <w:rPr>
          <w:rFonts w:ascii="Arial" w:hAnsi="Arial" w:cs="Arial"/>
          <w:sz w:val="22"/>
        </w:rPr>
        <w:t xml:space="preserve"> </w:t>
      </w:r>
      <w:r w:rsidRPr="00046613">
        <w:rPr>
          <w:rFonts w:ascii="Arial" w:hAnsi="Arial" w:cs="Arial"/>
          <w:sz w:val="22"/>
        </w:rPr>
        <w:t xml:space="preserve">tienen la posibilidad </w:t>
      </w:r>
      <w:r w:rsidR="00876EF0">
        <w:rPr>
          <w:rFonts w:ascii="Arial" w:hAnsi="Arial" w:cs="Arial"/>
          <w:sz w:val="22"/>
        </w:rPr>
        <w:t xml:space="preserve">excepcional </w:t>
      </w:r>
      <w:r w:rsidRPr="00046613">
        <w:rPr>
          <w:rFonts w:ascii="Arial" w:hAnsi="Arial" w:cs="Arial"/>
          <w:sz w:val="22"/>
        </w:rPr>
        <w:t xml:space="preserve">de exigir requisitos de experiencia adicionales cuando la obra a contratar contenga bienes o servicios adicionales a la obra pública, conforme a los criterios establecidos en el artículo 2.2.1.2.6.1.5 del Decreto 1082 de 2015, </w:t>
      </w:r>
      <w:r w:rsidR="00876EF0">
        <w:rPr>
          <w:rFonts w:ascii="Arial" w:hAnsi="Arial" w:cs="Arial"/>
          <w:sz w:val="22"/>
        </w:rPr>
        <w:t xml:space="preserve">como se señaló en las consideraciones, y </w:t>
      </w:r>
      <w:r w:rsidRPr="00046613">
        <w:rPr>
          <w:rFonts w:ascii="Arial" w:hAnsi="Arial" w:cs="Arial"/>
          <w:sz w:val="22"/>
        </w:rPr>
        <w:t xml:space="preserve">siempre que se cumplan los presupuestos establecidos en dicho artículo. </w:t>
      </w:r>
    </w:p>
    <w:p w:rsidRPr="00046613" w:rsidR="009B6109" w:rsidP="009E2B8D" w:rsidRDefault="009B6109" w14:paraId="333BDB49" w14:textId="46E1F7DA">
      <w:pPr>
        <w:spacing w:after="120" w:line="276" w:lineRule="auto"/>
        <w:jc w:val="both"/>
        <w:rPr>
          <w:rFonts w:ascii="Arial" w:hAnsi="Arial" w:cs="Arial"/>
          <w:sz w:val="22"/>
        </w:rPr>
      </w:pPr>
      <w:r w:rsidRPr="00046613">
        <w:rPr>
          <w:rFonts w:ascii="Arial" w:hAnsi="Arial" w:cs="Arial"/>
          <w:sz w:val="22"/>
        </w:rPr>
        <w:tab/>
      </w:r>
      <w:r w:rsidR="002F002C">
        <w:rPr>
          <w:rFonts w:ascii="Arial" w:hAnsi="Arial" w:cs="Arial"/>
          <w:sz w:val="22"/>
        </w:rPr>
        <w:t>Debe aclararse</w:t>
      </w:r>
      <w:r w:rsidRPr="00046613">
        <w:rPr>
          <w:rFonts w:ascii="Arial" w:hAnsi="Arial" w:cs="Arial"/>
          <w:sz w:val="22"/>
        </w:rPr>
        <w:t xml:space="preserve">, en virtud de lo dispuesto en el inciso segundo del artículo 2.2.1.1.1.7.1 del Decreto 1082 de 2015,  </w:t>
      </w:r>
      <w:r w:rsidR="0069141E">
        <w:rPr>
          <w:rFonts w:ascii="Arial" w:hAnsi="Arial" w:cs="Arial"/>
          <w:sz w:val="22"/>
        </w:rPr>
        <w:t xml:space="preserve">que </w:t>
      </w:r>
      <w:r w:rsidRPr="00046613">
        <w:rPr>
          <w:rFonts w:ascii="Arial" w:hAnsi="Arial" w:cs="Arial"/>
          <w:sz w:val="22"/>
        </w:rPr>
        <w:t>las entidades estatales están obligadas a publicar el proyecto de pliego de condiciones, lo que servirá para que los ciudadanos y eventuales proponentes formulen observaciones al mismo de conformidad con lo dispuesto en el artículo 2.2.1.1.2.1.4 del Decreto 1082 de 2015, facultad en ejercicio de la cual se podrán sugerir o solicitar ajustes en los requisitos de experiencia a exigirse</w:t>
      </w:r>
      <w:r w:rsidRPr="00046613" w:rsidR="00CB662B">
        <w:rPr>
          <w:rFonts w:ascii="Arial" w:hAnsi="Arial" w:cs="Arial"/>
          <w:sz w:val="22"/>
        </w:rPr>
        <w:t xml:space="preserve"> </w:t>
      </w:r>
      <w:r w:rsidR="001E4798">
        <w:rPr>
          <w:rFonts w:ascii="Arial" w:hAnsi="Arial" w:cs="Arial"/>
          <w:sz w:val="22"/>
        </w:rPr>
        <w:t>de acuerdo con</w:t>
      </w:r>
      <w:r w:rsidRPr="00046613" w:rsidR="00CB662B">
        <w:rPr>
          <w:rFonts w:ascii="Arial" w:hAnsi="Arial" w:cs="Arial"/>
          <w:sz w:val="22"/>
        </w:rPr>
        <w:t xml:space="preserve"> la Matriz 1.</w:t>
      </w:r>
      <w:r w:rsidRPr="00046613">
        <w:rPr>
          <w:rFonts w:ascii="Arial" w:hAnsi="Arial" w:cs="Arial"/>
          <w:sz w:val="22"/>
        </w:rPr>
        <w:t xml:space="preserve"> </w:t>
      </w:r>
    </w:p>
    <w:p w:rsidR="00CB662B" w:rsidP="000A40B5" w:rsidRDefault="009B6109" w14:paraId="4BF45D49" w14:textId="1ACCC594">
      <w:pPr>
        <w:spacing w:after="120" w:line="276" w:lineRule="auto"/>
        <w:jc w:val="both"/>
        <w:rPr>
          <w:rFonts w:ascii="Arial" w:hAnsi="Arial" w:cs="Arial"/>
          <w:sz w:val="22"/>
        </w:rPr>
      </w:pPr>
      <w:r w:rsidRPr="00046613">
        <w:rPr>
          <w:rFonts w:ascii="Arial" w:hAnsi="Arial" w:cs="Arial"/>
          <w:sz w:val="22"/>
        </w:rPr>
        <w:tab/>
      </w:r>
      <w:r w:rsidRPr="00046613">
        <w:rPr>
          <w:rFonts w:ascii="Arial" w:hAnsi="Arial" w:cs="Arial"/>
          <w:sz w:val="22"/>
        </w:rPr>
        <w:t xml:space="preserve"> </w:t>
      </w:r>
      <w:r w:rsidRPr="00046613" w:rsidR="009E2B8D">
        <w:rPr>
          <w:rFonts w:ascii="Arial" w:hAnsi="Arial" w:cs="Arial"/>
          <w:sz w:val="22"/>
        </w:rPr>
        <w:t xml:space="preserve"> </w:t>
      </w:r>
      <w:r w:rsidRPr="00046613">
        <w:rPr>
          <w:rFonts w:ascii="Arial" w:hAnsi="Arial" w:cs="Arial"/>
          <w:sz w:val="22"/>
        </w:rPr>
        <w:t>Por último, en cuanto a la inclusión de la actividad de «</w:t>
      </w:r>
      <w:r w:rsidRPr="00046613">
        <w:rPr>
          <w:rFonts w:ascii="Arial" w:hAnsi="Arial" w:eastAsia="Times New Roman" w:cs="Arial"/>
          <w:sz w:val="22"/>
        </w:rPr>
        <w:t xml:space="preserve">Instalación de pavimento y mantenimiento de vías de cualquier índole» en la Matriz 1, es necesario aclarar que las actividades de instalación y mantenimiento de vías se encuentran contempladas en las matrices </w:t>
      </w:r>
      <w:r w:rsidRPr="00046613" w:rsidR="00CB662B">
        <w:rPr>
          <w:rFonts w:ascii="Arial" w:hAnsi="Arial" w:eastAsia="Times New Roman" w:cs="Arial"/>
          <w:sz w:val="22"/>
        </w:rPr>
        <w:t>adoptadas por la</w:t>
      </w:r>
      <w:r w:rsidRPr="00046613" w:rsidR="00B71E80">
        <w:rPr>
          <w:rFonts w:ascii="Arial" w:hAnsi="Arial" w:eastAsia="Times New Roman" w:cs="Arial"/>
          <w:sz w:val="22"/>
        </w:rPr>
        <w:t>s</w:t>
      </w:r>
      <w:r w:rsidRPr="00046613" w:rsidR="00CB662B">
        <w:rPr>
          <w:rFonts w:ascii="Arial" w:hAnsi="Arial" w:eastAsia="Times New Roman" w:cs="Arial"/>
          <w:sz w:val="22"/>
        </w:rPr>
        <w:t xml:space="preserve"> resoluciones Nos. 04</w:t>
      </w:r>
      <w:r w:rsidR="00372DBA">
        <w:rPr>
          <w:rFonts w:ascii="Arial" w:hAnsi="Arial" w:eastAsia="Times New Roman" w:cs="Arial"/>
          <w:sz w:val="22"/>
        </w:rPr>
        <w:t>5</w:t>
      </w:r>
      <w:r w:rsidRPr="00046613" w:rsidR="00CB662B">
        <w:rPr>
          <w:rFonts w:ascii="Arial" w:hAnsi="Arial" w:eastAsia="Times New Roman" w:cs="Arial"/>
          <w:sz w:val="22"/>
        </w:rPr>
        <w:t xml:space="preserve">, </w:t>
      </w:r>
      <w:r w:rsidR="00876EF0">
        <w:rPr>
          <w:rFonts w:ascii="Arial" w:hAnsi="Arial" w:eastAsia="Times New Roman" w:cs="Arial"/>
          <w:sz w:val="22"/>
        </w:rPr>
        <w:t>044</w:t>
      </w:r>
      <w:r w:rsidRPr="00046613" w:rsidR="00CB662B">
        <w:rPr>
          <w:rFonts w:ascii="Arial" w:hAnsi="Arial" w:eastAsia="Times New Roman" w:cs="Arial"/>
          <w:sz w:val="22"/>
        </w:rPr>
        <w:t xml:space="preserve"> y 094 de 2020, expedidas por esta entidad para procesos de licitación pública</w:t>
      </w:r>
      <w:r w:rsidR="00876EF0">
        <w:rPr>
          <w:rFonts w:ascii="Arial" w:hAnsi="Arial" w:eastAsia="Times New Roman" w:cs="Arial"/>
          <w:sz w:val="22"/>
        </w:rPr>
        <w:t xml:space="preserve"> –Versión 2–</w:t>
      </w:r>
      <w:r w:rsidRPr="00046613" w:rsidR="00CB662B">
        <w:rPr>
          <w:rFonts w:ascii="Arial" w:hAnsi="Arial" w:eastAsia="Times New Roman" w:cs="Arial"/>
          <w:sz w:val="22"/>
        </w:rPr>
        <w:t xml:space="preserve">, selección abreviada de menor cuantía y mínima cuantía, dentro de los tipos de obra </w:t>
      </w:r>
      <w:r w:rsidRPr="00046613">
        <w:rPr>
          <w:rFonts w:ascii="Arial" w:hAnsi="Arial" w:eastAsia="Times New Roman" w:cs="Arial"/>
          <w:sz w:val="22"/>
        </w:rPr>
        <w:t xml:space="preserve">«1. OBRAS EN VÍAS PRIMARIAS O SECUNDARIAS», «2. OBRAS EN VIAS TERCIARIAS» </w:t>
      </w:r>
      <w:r w:rsidRPr="00046613" w:rsidR="00CB662B">
        <w:rPr>
          <w:rFonts w:ascii="Arial" w:hAnsi="Arial" w:eastAsia="Times New Roman" w:cs="Arial"/>
          <w:sz w:val="22"/>
        </w:rPr>
        <w:t xml:space="preserve">y </w:t>
      </w:r>
      <w:r w:rsidRPr="00046613">
        <w:rPr>
          <w:rFonts w:ascii="Arial" w:hAnsi="Arial" w:eastAsia="Times New Roman" w:cs="Arial"/>
          <w:sz w:val="22"/>
        </w:rPr>
        <w:t>«6. OBRAS DE INFRAESTRUCTURA VIAL URBANA»</w:t>
      </w:r>
      <w:r w:rsidRPr="00046613" w:rsidR="00CB662B">
        <w:rPr>
          <w:rFonts w:ascii="Arial" w:hAnsi="Arial" w:eastAsia="Times New Roman" w:cs="Arial"/>
          <w:sz w:val="22"/>
        </w:rPr>
        <w:t>, dentro de los que se contemplan</w:t>
      </w:r>
      <w:r w:rsidR="001E4798">
        <w:rPr>
          <w:rFonts w:ascii="Arial" w:hAnsi="Arial" w:eastAsia="Times New Roman" w:cs="Arial"/>
          <w:sz w:val="22"/>
        </w:rPr>
        <w:t xml:space="preserve"> para los proyectos: </w:t>
      </w:r>
      <w:r w:rsidRPr="00046613" w:rsidR="00CB662B">
        <w:rPr>
          <w:rFonts w:ascii="Arial" w:hAnsi="Arial" w:eastAsia="Times New Roman" w:cs="Arial"/>
          <w:sz w:val="22"/>
        </w:rPr>
        <w:t>«1.1 PROYECTOS DE CONSTRUCCIÓN DE VÍAS»,  «1.2 PROYECTOS DE MEJORAMIENTO DE VÍAS»</w:t>
      </w:r>
      <w:r w:rsidRPr="00046613" w:rsidR="00B71E80">
        <w:rPr>
          <w:rFonts w:ascii="Arial" w:hAnsi="Arial" w:eastAsia="Times New Roman" w:cs="Arial"/>
          <w:sz w:val="22"/>
        </w:rPr>
        <w:t>, «</w:t>
      </w:r>
      <w:r w:rsidRPr="00046613" w:rsidR="00CB662B">
        <w:rPr>
          <w:rFonts w:ascii="Arial" w:hAnsi="Arial" w:eastAsia="Times New Roman" w:cs="Arial"/>
          <w:sz w:val="22"/>
        </w:rPr>
        <w:t>1.3 PROYECTOS DE REHABILITACION O MANTENIMIENTO DE CARRETERA</w:t>
      </w:r>
      <w:r w:rsidRPr="00046613" w:rsidR="00B71E80">
        <w:rPr>
          <w:rFonts w:ascii="Arial" w:hAnsi="Arial" w:eastAsia="Times New Roman" w:cs="Arial"/>
          <w:sz w:val="22"/>
        </w:rPr>
        <w:t>», «</w:t>
      </w:r>
      <w:r w:rsidRPr="00046613" w:rsidR="00CB662B">
        <w:rPr>
          <w:rFonts w:ascii="Arial" w:hAnsi="Arial" w:cs="Arial"/>
          <w:sz w:val="22"/>
        </w:rPr>
        <w:t>2.1 PROYECTOS DE CONSTRUCCIÓN DE VÍAS TERCIARIAS</w:t>
      </w:r>
      <w:r w:rsidRPr="00046613" w:rsidR="00B71E80">
        <w:rPr>
          <w:rFonts w:ascii="Arial" w:hAnsi="Arial" w:cs="Arial"/>
          <w:sz w:val="22"/>
        </w:rPr>
        <w:t>», «</w:t>
      </w:r>
      <w:r w:rsidRPr="00046613" w:rsidR="00CB662B">
        <w:rPr>
          <w:rFonts w:ascii="Arial" w:hAnsi="Arial" w:cs="Arial"/>
          <w:sz w:val="22"/>
        </w:rPr>
        <w:t>2.2 MEJORAMIENTO EN VÍAS TERCIARIAS</w:t>
      </w:r>
      <w:r w:rsidRPr="00046613" w:rsidR="00B71E80">
        <w:rPr>
          <w:rFonts w:ascii="Arial" w:hAnsi="Arial" w:cs="Arial"/>
          <w:sz w:val="22"/>
        </w:rPr>
        <w:t>», «</w:t>
      </w:r>
      <w:r w:rsidRPr="00046613" w:rsidR="00CB662B">
        <w:rPr>
          <w:rFonts w:ascii="Arial" w:hAnsi="Arial" w:cs="Arial"/>
          <w:sz w:val="22"/>
        </w:rPr>
        <w:t>2.3 MANTENIMIENTO O REHABILITACIÓN EN VÍAS TERCIARIAS</w:t>
      </w:r>
      <w:r w:rsidRPr="00046613" w:rsidR="00B71E80">
        <w:rPr>
          <w:rFonts w:ascii="Arial" w:hAnsi="Arial" w:cs="Arial"/>
          <w:sz w:val="22"/>
        </w:rPr>
        <w:t>», «</w:t>
      </w:r>
      <w:r w:rsidRPr="00046613" w:rsidR="00CB662B">
        <w:rPr>
          <w:rFonts w:ascii="Arial" w:hAnsi="Arial" w:cs="Arial"/>
          <w:sz w:val="22"/>
        </w:rPr>
        <w:t>6.1 PROYECTOS DE CONSTRUCCIÓN O MEJORAMIENTO O REHABILITACIÓN DE VÍAS URBANAS</w:t>
      </w:r>
      <w:r w:rsidRPr="00046613" w:rsidR="00B71E80">
        <w:rPr>
          <w:rFonts w:ascii="Arial" w:hAnsi="Arial" w:cs="Arial"/>
          <w:sz w:val="22"/>
        </w:rPr>
        <w:t>», «</w:t>
      </w:r>
      <w:r w:rsidRPr="00046613" w:rsidR="00CB662B">
        <w:rPr>
          <w:rFonts w:ascii="Arial" w:hAnsi="Arial" w:cs="Arial"/>
          <w:sz w:val="22"/>
        </w:rPr>
        <w:t>6.2 PROYECTOS DE CONSERVACIÓN DE VÍAS URBANAS</w:t>
      </w:r>
      <w:r w:rsidRPr="00046613" w:rsidR="00B71E80">
        <w:rPr>
          <w:rFonts w:ascii="Arial" w:hAnsi="Arial" w:cs="Arial"/>
          <w:sz w:val="22"/>
        </w:rPr>
        <w:t>» y «</w:t>
      </w:r>
      <w:r w:rsidRPr="00046613" w:rsidR="00CB662B">
        <w:rPr>
          <w:rFonts w:ascii="Arial" w:hAnsi="Arial" w:cs="Arial"/>
          <w:sz w:val="22"/>
        </w:rPr>
        <w:t>6.3 PROYECTOS DE MANTENIMIENTO DE VIAS URBANAS</w:t>
      </w:r>
      <w:r w:rsidRPr="00046613" w:rsidR="00B71E80">
        <w:rPr>
          <w:rFonts w:ascii="Arial" w:hAnsi="Arial" w:cs="Arial"/>
          <w:sz w:val="22"/>
        </w:rPr>
        <w:t xml:space="preserve">», entre otras. </w:t>
      </w:r>
    </w:p>
    <w:p w:rsidR="00876EF0" w:rsidP="000A40B5" w:rsidRDefault="00876EF0" w14:paraId="6E4952B2" w14:textId="70BCA4E1">
      <w:pPr>
        <w:spacing w:line="276" w:lineRule="auto"/>
        <w:jc w:val="both"/>
        <w:rPr>
          <w:rFonts w:ascii="Arial" w:hAnsi="Arial" w:cs="Arial"/>
          <w:sz w:val="22"/>
        </w:rPr>
      </w:pPr>
      <w:r>
        <w:rPr>
          <w:rFonts w:ascii="Arial" w:hAnsi="Arial" w:cs="Arial"/>
          <w:sz w:val="22"/>
        </w:rPr>
        <w:lastRenderedPageBreak/>
        <w:tab/>
      </w:r>
      <w:r>
        <w:rPr>
          <w:rFonts w:ascii="Arial" w:hAnsi="Arial" w:cs="Arial"/>
          <w:sz w:val="22"/>
        </w:rPr>
        <w:t xml:space="preserve">Sin perjuicio de lo anterior, cabe aclarar que la Agencia tiene el deber permanente de actualizar el contenido de los documentos tipo, motivo por el cual </w:t>
      </w:r>
      <w:r w:rsidR="001E4798">
        <w:rPr>
          <w:rFonts w:ascii="Arial" w:hAnsi="Arial" w:cs="Arial"/>
          <w:sz w:val="22"/>
        </w:rPr>
        <w:t>es</w:t>
      </w:r>
      <w:r>
        <w:rPr>
          <w:rFonts w:ascii="Arial" w:hAnsi="Arial" w:cs="Arial"/>
          <w:sz w:val="22"/>
        </w:rPr>
        <w:t xml:space="preserve"> procedente que a esta se le formulen solicitudes de modificación de los documentos</w:t>
      </w:r>
      <w:r w:rsidR="001E4798">
        <w:rPr>
          <w:rFonts w:ascii="Arial" w:hAnsi="Arial" w:cs="Arial"/>
          <w:sz w:val="22"/>
        </w:rPr>
        <w:t xml:space="preserve"> tipo</w:t>
      </w:r>
      <w:r>
        <w:rPr>
          <w:rFonts w:ascii="Arial" w:hAnsi="Arial" w:cs="Arial"/>
          <w:sz w:val="22"/>
        </w:rPr>
        <w:t>, de manera que se considere su incorporación al momento de expedirse una nueva versión de alguno de los documentos.</w:t>
      </w:r>
    </w:p>
    <w:p w:rsidR="000A40B5" w:rsidP="000A40B5" w:rsidRDefault="00876EF0" w14:paraId="14FC618F" w14:textId="77777777">
      <w:pPr>
        <w:jc w:val="both"/>
        <w:rPr>
          <w:rFonts w:ascii="Arial" w:hAnsi="Arial" w:cs="Arial"/>
          <w:sz w:val="22"/>
        </w:rPr>
      </w:pPr>
      <w:r>
        <w:rPr>
          <w:rFonts w:ascii="Arial" w:hAnsi="Arial" w:cs="Arial"/>
          <w:sz w:val="22"/>
        </w:rPr>
        <w:tab/>
      </w:r>
    </w:p>
    <w:p w:rsidRPr="00046613" w:rsidR="008138A0" w:rsidP="000A40B5" w:rsidRDefault="008138A0" w14:paraId="429A6B97" w14:textId="38C5BD4F">
      <w:pPr>
        <w:spacing w:after="120" w:line="276" w:lineRule="auto"/>
        <w:jc w:val="both"/>
        <w:rPr>
          <w:rFonts w:ascii="Arial" w:hAnsi="Arial" w:eastAsia="Calibri" w:cs="Arial"/>
          <w:sz w:val="22"/>
        </w:rPr>
      </w:pPr>
      <w:r w:rsidRPr="00046613">
        <w:rPr>
          <w:rFonts w:ascii="Arial" w:hAnsi="Arial" w:eastAsia="Calibri" w:cs="Arial"/>
          <w:sz w:val="22"/>
        </w:rPr>
        <w:t>Este concepto tiene el alcance previsto en el artículo 28 del Código de Procedimiento Administrativo y de lo Contencioso Administrativo.</w:t>
      </w:r>
    </w:p>
    <w:p w:rsidRPr="00046613" w:rsidR="008138A0" w:rsidP="008138A0" w:rsidRDefault="008138A0" w14:paraId="391E459D" w14:textId="48921342">
      <w:pPr>
        <w:spacing w:line="276" w:lineRule="auto"/>
        <w:ind w:firstLine="708"/>
        <w:jc w:val="both"/>
        <w:rPr>
          <w:rFonts w:ascii="Arial" w:hAnsi="Arial" w:eastAsia="Calibri" w:cs="Arial"/>
          <w:sz w:val="22"/>
        </w:rPr>
      </w:pPr>
    </w:p>
    <w:p w:rsidRPr="00046613" w:rsidR="00AD48A9" w:rsidP="00AD48A9" w:rsidRDefault="00AD48A9" w14:paraId="10C15120" w14:textId="3CC476AA">
      <w:pPr>
        <w:spacing w:line="276" w:lineRule="auto"/>
        <w:jc w:val="both"/>
        <w:rPr>
          <w:rFonts w:ascii="Arial" w:hAnsi="Arial" w:cs="Arial"/>
          <w:szCs w:val="20"/>
        </w:rPr>
      </w:pPr>
      <w:bookmarkStart w:name="_Hlk50370367" w:id="5"/>
      <w:bookmarkEnd w:id="2"/>
      <w:r w:rsidRPr="00046613">
        <w:rPr>
          <w:rFonts w:ascii="Arial" w:hAnsi="Arial" w:eastAsia="Times New Roman" w:cs="Arial"/>
          <w:lang w:eastAsia="es-CO"/>
        </w:rPr>
        <w:t>Atentamente,</w:t>
      </w:r>
    </w:p>
    <w:bookmarkEnd w:id="5"/>
    <w:p w:rsidRPr="00046613" w:rsidR="00AD48A9" w:rsidP="00AD48A9" w:rsidRDefault="00AD48A9" w14:paraId="06BFEE9E" w14:textId="3DBD8046">
      <w:pPr>
        <w:spacing w:after="18"/>
        <w:jc w:val="center"/>
        <w:rPr>
          <w:rFonts w:ascii="Arial" w:hAnsi="Arial" w:eastAsia="Times New Roman" w:cs="Arial"/>
          <w:lang w:eastAsia="es-CO"/>
        </w:rPr>
      </w:pPr>
    </w:p>
    <w:p w:rsidRPr="00046613" w:rsidR="00AD48A9" w:rsidP="4AFCAB8C" w:rsidRDefault="000A40B5" w14:paraId="0C31E7E3" w14:textId="2D107E90">
      <w:pPr>
        <w:pStyle w:val="Normal"/>
        <w:spacing w:after="18"/>
        <w:jc w:val="center"/>
      </w:pPr>
      <w:r w:rsidR="7F76A6B1">
        <w:drawing>
          <wp:inline wp14:editId="4C198840" wp14:anchorId="66B1BEF0">
            <wp:extent cx="2514600" cy="1114425"/>
            <wp:effectExtent l="0" t="0" r="0" b="0"/>
            <wp:docPr id="1348447652"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9f3f77da83434570">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0F6A5C" w:rsidR="00AD48A9" w:rsidP="00AD48A9" w:rsidRDefault="00AD48A9" w14:paraId="4F17D456" w14:textId="77777777">
      <w:pPr>
        <w:spacing w:after="18"/>
        <w:jc w:val="center"/>
        <w:rPr>
          <w:rFonts w:ascii="Arial" w:hAnsi="Arial" w:eastAsia="Times New Roman" w:cs="Arial"/>
          <w:color w:val="FF0000"/>
          <w:lang w:eastAsia="es-CO"/>
        </w:rPr>
      </w:pPr>
    </w:p>
    <w:tbl>
      <w:tblPr>
        <w:tblStyle w:val="Tablaconcuadrcula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28"/>
      </w:tblGrid>
      <w:tr w:rsidRPr="001E4798" w:rsidR="000F6A5C" w:rsidTr="000A40B5" w14:paraId="14EFAB69" w14:textId="77777777">
        <w:trPr>
          <w:trHeight w:val="286"/>
        </w:trPr>
        <w:tc>
          <w:tcPr>
            <w:tcW w:w="817" w:type="dxa"/>
            <w:vAlign w:val="center"/>
            <w:hideMark/>
          </w:tcPr>
          <w:p w:rsidRPr="000A40B5" w:rsidR="00AD48A9" w:rsidP="00B45CB8" w:rsidRDefault="00AD48A9" w14:paraId="6039B624" w14:textId="77777777">
            <w:pPr>
              <w:rPr>
                <w:rFonts w:ascii="Arial" w:hAnsi="Arial" w:eastAsia="Times New Roman" w:cs="Arial"/>
                <w:sz w:val="16"/>
                <w:szCs w:val="16"/>
                <w:lang w:eastAsia="es-ES"/>
              </w:rPr>
            </w:pPr>
            <w:r w:rsidRPr="000A40B5">
              <w:rPr>
                <w:rFonts w:ascii="Arial" w:hAnsi="Arial" w:eastAsia="Times New Roman" w:cs="Arial"/>
                <w:sz w:val="16"/>
                <w:szCs w:val="16"/>
                <w:lang w:eastAsia="es-ES"/>
              </w:rPr>
              <w:t>Elaboró:</w:t>
            </w:r>
          </w:p>
        </w:tc>
        <w:tc>
          <w:tcPr>
            <w:tcW w:w="4428" w:type="dxa"/>
            <w:tcBorders>
              <w:top w:val="nil"/>
              <w:left w:val="nil"/>
              <w:bottom w:val="dotted" w:color="7F7F7F" w:sz="4" w:space="0"/>
              <w:right w:val="nil"/>
            </w:tcBorders>
            <w:vAlign w:val="center"/>
            <w:hideMark/>
          </w:tcPr>
          <w:p w:rsidRPr="000A40B5" w:rsidR="00AD48A9" w:rsidP="00B45CB8" w:rsidRDefault="00AD48A9" w14:paraId="210D672F" w14:textId="77777777">
            <w:pPr>
              <w:rPr>
                <w:rFonts w:ascii="Arial" w:hAnsi="Arial" w:eastAsia="Times New Roman" w:cs="Arial"/>
                <w:sz w:val="16"/>
                <w:szCs w:val="16"/>
                <w:lang w:eastAsia="es-ES"/>
              </w:rPr>
            </w:pPr>
            <w:r w:rsidRPr="000A40B5">
              <w:rPr>
                <w:rFonts w:ascii="Arial" w:hAnsi="Arial" w:eastAsia="Times New Roman" w:cs="Arial"/>
                <w:sz w:val="16"/>
                <w:szCs w:val="16"/>
                <w:lang w:eastAsia="es-ES"/>
              </w:rPr>
              <w:t>Alejandro Sarmiento Cantillo</w:t>
            </w:r>
          </w:p>
          <w:p w:rsidRPr="000A40B5" w:rsidR="00AD48A9" w:rsidP="00B45CB8" w:rsidRDefault="00275C15" w14:paraId="1A3C4354" w14:textId="4A37A382">
            <w:pPr>
              <w:rPr>
                <w:rFonts w:ascii="Arial" w:hAnsi="Arial" w:eastAsia="Times New Roman" w:cs="Arial"/>
                <w:sz w:val="16"/>
                <w:szCs w:val="16"/>
                <w:lang w:eastAsia="es-ES"/>
              </w:rPr>
            </w:pPr>
            <w:r w:rsidRPr="000A40B5">
              <w:rPr>
                <w:rFonts w:ascii="Arial" w:hAnsi="Arial" w:eastAsia="Times New Roman" w:cs="Arial"/>
                <w:sz w:val="16"/>
                <w:szCs w:val="16"/>
                <w:lang w:eastAsia="es-ES"/>
              </w:rPr>
              <w:t>Gestor T1</w:t>
            </w:r>
            <w:r w:rsidR="000A40B5">
              <w:rPr>
                <w:rFonts w:ascii="Arial" w:hAnsi="Arial" w:eastAsia="Times New Roman" w:cs="Arial"/>
                <w:sz w:val="16"/>
                <w:szCs w:val="16"/>
                <w:lang w:eastAsia="es-ES"/>
              </w:rPr>
              <w:t xml:space="preserve"> </w:t>
            </w:r>
            <w:r w:rsidRPr="000A40B5">
              <w:rPr>
                <w:rFonts w:ascii="Arial" w:hAnsi="Arial" w:eastAsia="Times New Roman" w:cs="Arial"/>
                <w:sz w:val="16"/>
                <w:szCs w:val="16"/>
                <w:lang w:eastAsia="es-ES"/>
              </w:rPr>
              <w:t>–</w:t>
            </w:r>
            <w:r w:rsidR="000A40B5">
              <w:rPr>
                <w:rFonts w:ascii="Arial" w:hAnsi="Arial" w:eastAsia="Times New Roman" w:cs="Arial"/>
                <w:sz w:val="16"/>
                <w:szCs w:val="16"/>
                <w:lang w:eastAsia="es-ES"/>
              </w:rPr>
              <w:t xml:space="preserve"> Grado </w:t>
            </w:r>
            <w:r w:rsidRPr="000A40B5">
              <w:rPr>
                <w:rFonts w:ascii="Arial" w:hAnsi="Arial" w:eastAsia="Times New Roman" w:cs="Arial"/>
                <w:sz w:val="16"/>
                <w:szCs w:val="16"/>
                <w:lang w:eastAsia="es-ES"/>
              </w:rPr>
              <w:t>11</w:t>
            </w:r>
            <w:r w:rsidR="000A40B5">
              <w:rPr>
                <w:rFonts w:ascii="Arial" w:hAnsi="Arial" w:eastAsia="Times New Roman" w:cs="Arial"/>
                <w:sz w:val="16"/>
                <w:szCs w:val="16"/>
                <w:lang w:eastAsia="es-ES"/>
              </w:rPr>
              <w:t xml:space="preserve"> </w:t>
            </w:r>
            <w:r w:rsidRPr="000A40B5">
              <w:rPr>
                <w:rFonts w:ascii="Arial" w:hAnsi="Arial" w:eastAsia="Times New Roman" w:cs="Arial"/>
                <w:sz w:val="16"/>
                <w:szCs w:val="16"/>
                <w:lang w:eastAsia="es-ES"/>
              </w:rPr>
              <w:t>Subdirección</w:t>
            </w:r>
            <w:r w:rsidRPr="000A40B5" w:rsidR="00AD48A9">
              <w:rPr>
                <w:rFonts w:ascii="Arial" w:hAnsi="Arial" w:eastAsia="Times New Roman" w:cs="Arial"/>
                <w:sz w:val="16"/>
                <w:szCs w:val="16"/>
                <w:lang w:eastAsia="es-ES"/>
              </w:rPr>
              <w:t xml:space="preserve"> de Gestión Contractual</w:t>
            </w:r>
          </w:p>
        </w:tc>
      </w:tr>
      <w:tr w:rsidRPr="001E4798" w:rsidR="000F6A5C" w:rsidTr="000A40B5" w14:paraId="29D1E05B" w14:textId="77777777">
        <w:trPr>
          <w:trHeight w:val="299"/>
        </w:trPr>
        <w:tc>
          <w:tcPr>
            <w:tcW w:w="817" w:type="dxa"/>
            <w:vAlign w:val="center"/>
            <w:hideMark/>
          </w:tcPr>
          <w:p w:rsidRPr="000A40B5" w:rsidR="00AD48A9" w:rsidP="00B45CB8" w:rsidRDefault="00AD48A9" w14:paraId="498F8FF8" w14:textId="77777777">
            <w:pPr>
              <w:rPr>
                <w:rFonts w:ascii="Arial" w:hAnsi="Arial" w:eastAsia="Times New Roman" w:cs="Arial"/>
                <w:color w:val="FF0000"/>
                <w:sz w:val="16"/>
                <w:szCs w:val="16"/>
                <w:lang w:eastAsia="es-ES"/>
              </w:rPr>
            </w:pPr>
            <w:r w:rsidRPr="000A40B5">
              <w:rPr>
                <w:rFonts w:ascii="Arial" w:hAnsi="Arial" w:eastAsia="Times New Roman" w:cs="Arial"/>
                <w:sz w:val="16"/>
                <w:szCs w:val="16"/>
                <w:lang w:eastAsia="es-ES"/>
              </w:rPr>
              <w:t>Revisó:</w:t>
            </w:r>
          </w:p>
        </w:tc>
        <w:tc>
          <w:tcPr>
            <w:tcW w:w="4428" w:type="dxa"/>
            <w:tcBorders>
              <w:top w:val="dotted" w:color="7F7F7F" w:sz="4" w:space="0"/>
              <w:left w:val="nil"/>
              <w:bottom w:val="dotted" w:color="7F7F7F" w:sz="4" w:space="0"/>
              <w:right w:val="nil"/>
            </w:tcBorders>
            <w:vAlign w:val="center"/>
            <w:hideMark/>
          </w:tcPr>
          <w:p w:rsidRPr="001E4798" w:rsidR="001E4798" w:rsidP="001E4798" w:rsidRDefault="001E4798" w14:paraId="04D00C52" w14:textId="77777777">
            <w:pPr>
              <w:rPr>
                <w:rFonts w:ascii="Arial" w:hAnsi="Arial" w:eastAsia="Times New Roman" w:cs="Arial"/>
                <w:color w:val="000000" w:themeColor="text1"/>
                <w:sz w:val="16"/>
                <w:szCs w:val="16"/>
                <w:lang w:val="es-ES_tradnl" w:eastAsia="es-ES"/>
              </w:rPr>
            </w:pPr>
            <w:r w:rsidRPr="001E4798">
              <w:rPr>
                <w:rFonts w:ascii="Arial" w:hAnsi="Arial" w:eastAsia="Times New Roman" w:cs="Arial"/>
                <w:color w:val="000000" w:themeColor="text1"/>
                <w:sz w:val="16"/>
                <w:szCs w:val="16"/>
                <w:lang w:val="es-ES_tradnl" w:eastAsia="es-ES"/>
              </w:rPr>
              <w:t>Sebastián Ramírez Grisales</w:t>
            </w:r>
          </w:p>
          <w:p w:rsidRPr="000A40B5" w:rsidR="00AD48A9" w:rsidP="00B45CB8" w:rsidRDefault="001E4798" w14:paraId="586B5CBF" w14:textId="76D78BC0">
            <w:pPr>
              <w:rPr>
                <w:rFonts w:ascii="Arial" w:hAnsi="Arial" w:eastAsia="Times New Roman" w:cs="Arial"/>
                <w:color w:val="FF0000"/>
                <w:sz w:val="16"/>
                <w:szCs w:val="16"/>
                <w:lang w:eastAsia="es-ES"/>
              </w:rPr>
            </w:pPr>
            <w:r w:rsidRPr="001E4798">
              <w:rPr>
                <w:rFonts w:ascii="Arial" w:hAnsi="Arial" w:eastAsia="Times New Roman" w:cs="Arial"/>
                <w:color w:val="000000" w:themeColor="text1"/>
                <w:sz w:val="16"/>
                <w:szCs w:val="16"/>
                <w:lang w:val="es-ES_tradnl" w:eastAsia="es-ES"/>
              </w:rPr>
              <w:t>Gestor T1</w:t>
            </w:r>
            <w:r>
              <w:rPr>
                <w:rFonts w:ascii="Arial" w:hAnsi="Arial" w:eastAsia="Times New Roman" w:cs="Arial"/>
                <w:color w:val="000000" w:themeColor="text1"/>
                <w:sz w:val="16"/>
                <w:szCs w:val="16"/>
                <w:lang w:val="es-ES_tradnl" w:eastAsia="es-ES"/>
              </w:rPr>
              <w:t xml:space="preserve"> – Grado </w:t>
            </w:r>
            <w:r w:rsidRPr="001E4798">
              <w:rPr>
                <w:rFonts w:ascii="Arial" w:hAnsi="Arial" w:eastAsia="Times New Roman" w:cs="Arial"/>
                <w:color w:val="000000" w:themeColor="text1"/>
                <w:sz w:val="16"/>
                <w:szCs w:val="16"/>
                <w:lang w:val="es-ES_tradnl" w:eastAsia="es-ES"/>
              </w:rPr>
              <w:t>15 Subdirección de Gestión Contractual</w:t>
            </w:r>
          </w:p>
        </w:tc>
      </w:tr>
      <w:tr w:rsidRPr="001E4798" w:rsidR="000F6A5C" w:rsidTr="000A40B5" w14:paraId="3D541A11" w14:textId="77777777">
        <w:trPr>
          <w:trHeight w:val="193"/>
        </w:trPr>
        <w:tc>
          <w:tcPr>
            <w:tcW w:w="817" w:type="dxa"/>
            <w:vAlign w:val="center"/>
            <w:hideMark/>
          </w:tcPr>
          <w:p w:rsidRPr="000A40B5" w:rsidR="00AD48A9" w:rsidP="00B45CB8" w:rsidRDefault="00AD48A9" w14:paraId="7398DC25" w14:textId="77777777">
            <w:pPr>
              <w:rPr>
                <w:rFonts w:ascii="Arial" w:hAnsi="Arial" w:eastAsia="Times New Roman" w:cs="Arial"/>
                <w:sz w:val="16"/>
                <w:szCs w:val="16"/>
                <w:lang w:eastAsia="es-ES"/>
              </w:rPr>
            </w:pPr>
            <w:r w:rsidRPr="000A40B5">
              <w:rPr>
                <w:rFonts w:ascii="Arial" w:hAnsi="Arial" w:eastAsia="Times New Roman" w:cs="Arial"/>
                <w:sz w:val="16"/>
                <w:szCs w:val="16"/>
                <w:lang w:eastAsia="es-ES"/>
              </w:rPr>
              <w:t>Aprobó:</w:t>
            </w:r>
          </w:p>
        </w:tc>
        <w:tc>
          <w:tcPr>
            <w:tcW w:w="4428" w:type="dxa"/>
            <w:tcBorders>
              <w:top w:val="dotted" w:color="7F7F7F" w:sz="4" w:space="0"/>
              <w:left w:val="nil"/>
              <w:bottom w:val="dotted" w:color="7F7F7F" w:sz="4" w:space="0"/>
              <w:right w:val="nil"/>
            </w:tcBorders>
            <w:vAlign w:val="center"/>
            <w:hideMark/>
          </w:tcPr>
          <w:p w:rsidRPr="001E4798" w:rsidR="001E4798" w:rsidP="001E4798" w:rsidRDefault="001E4798" w14:paraId="5C1180F7" w14:textId="5D5DB9CB">
            <w:pPr>
              <w:rPr>
                <w:rFonts w:ascii="Arial" w:hAnsi="Arial" w:eastAsia="Times New Roman" w:cs="Arial"/>
                <w:color w:val="000000" w:themeColor="text1"/>
                <w:sz w:val="16"/>
                <w:szCs w:val="16"/>
                <w:lang w:val="es-ES_tradnl" w:eastAsia="es-ES"/>
              </w:rPr>
            </w:pPr>
            <w:r w:rsidRPr="001E4798">
              <w:rPr>
                <w:rFonts w:ascii="Arial" w:hAnsi="Arial" w:eastAsia="Times New Roman" w:cs="Arial"/>
                <w:color w:val="000000" w:themeColor="text1"/>
                <w:sz w:val="16"/>
                <w:szCs w:val="16"/>
                <w:lang w:val="es-ES_tradnl" w:eastAsia="es-ES"/>
              </w:rPr>
              <w:t xml:space="preserve"> Jorge Augusto Tirado Navarro</w:t>
            </w:r>
          </w:p>
          <w:p w:rsidRPr="000A40B5" w:rsidR="00AD48A9" w:rsidP="001E4798" w:rsidRDefault="001E4798" w14:paraId="72C9A88D" w14:textId="268D6E0E">
            <w:pPr>
              <w:rPr>
                <w:rFonts w:ascii="Arial" w:hAnsi="Arial" w:eastAsia="Times New Roman" w:cs="Arial"/>
                <w:sz w:val="16"/>
                <w:szCs w:val="16"/>
                <w:lang w:eastAsia="es-ES"/>
              </w:rPr>
            </w:pPr>
            <w:r w:rsidRPr="001E4798">
              <w:rPr>
                <w:rFonts w:ascii="Arial" w:hAnsi="Arial" w:eastAsia="Times New Roman" w:cs="Arial"/>
                <w:color w:val="000000" w:themeColor="text1"/>
                <w:sz w:val="16"/>
                <w:szCs w:val="16"/>
                <w:lang w:val="es-ES_tradnl" w:eastAsia="es-ES"/>
              </w:rPr>
              <w:t>Subdirector Gestión Contractual ANCP – CCE</w:t>
            </w:r>
          </w:p>
        </w:tc>
      </w:tr>
    </w:tbl>
    <w:p w:rsidRPr="000F6A5C" w:rsidR="00AD48A9" w:rsidP="00AD48A9" w:rsidRDefault="00AD48A9" w14:paraId="5E78C6EE" w14:textId="77777777">
      <w:pPr>
        <w:rPr>
          <w:rFonts w:ascii="Arial" w:hAnsi="Arial" w:eastAsia="Times New Roman" w:cs="Arial"/>
          <w:color w:val="FF0000"/>
          <w:lang w:eastAsia="es-ES"/>
        </w:rPr>
      </w:pPr>
    </w:p>
    <w:p w:rsidRPr="000F6A5C" w:rsidR="00AD48A9" w:rsidP="00AD48A9" w:rsidRDefault="00AD48A9" w14:paraId="5A74809C" w14:textId="688311A7">
      <w:pPr>
        <w:rPr>
          <w:rFonts w:ascii="Arial" w:hAnsi="Arial" w:eastAsia="Times New Roman" w:cs="Arial"/>
          <w:color w:val="FF0000"/>
          <w:lang w:eastAsia="es-ES"/>
        </w:rPr>
      </w:pPr>
    </w:p>
    <w:p w:rsidRPr="000F6A5C" w:rsidR="00AD48A9" w:rsidP="00AD48A9" w:rsidRDefault="00AD48A9" w14:paraId="4276CCF2" w14:textId="77777777">
      <w:pPr>
        <w:rPr>
          <w:rFonts w:ascii="Arial" w:hAnsi="Arial" w:eastAsia="Times New Roman" w:cs="Arial"/>
          <w:color w:val="FF0000"/>
          <w:lang w:eastAsia="es-ES"/>
        </w:rPr>
      </w:pPr>
    </w:p>
    <w:p w:rsidRPr="000F6A5C" w:rsidR="007B0854" w:rsidP="00D01760" w:rsidRDefault="007B0854" w14:paraId="7EBF297E" w14:textId="5790A9B7">
      <w:pPr>
        <w:spacing w:line="276" w:lineRule="auto"/>
        <w:jc w:val="both"/>
        <w:rPr>
          <w:rFonts w:ascii="Arial" w:hAnsi="Arial" w:eastAsia="Times New Roman" w:cs="Arial"/>
          <w:color w:val="FF0000"/>
          <w:sz w:val="18"/>
          <w:szCs w:val="18"/>
          <w:lang w:val="es-ES_tradnl" w:eastAsia="es-CO"/>
        </w:rPr>
      </w:pPr>
    </w:p>
    <w:p w:rsidRPr="000F6A5C" w:rsidR="00F80BC6" w:rsidRDefault="00F80BC6" w14:paraId="615908A7" w14:textId="77777777">
      <w:pPr>
        <w:spacing w:line="276" w:lineRule="auto"/>
        <w:jc w:val="both"/>
        <w:rPr>
          <w:rFonts w:ascii="Arial" w:hAnsi="Arial" w:eastAsia="Times New Roman" w:cs="Arial"/>
          <w:color w:val="FF0000"/>
          <w:sz w:val="18"/>
          <w:szCs w:val="18"/>
          <w:lang w:val="es-ES_tradnl" w:eastAsia="es-CO"/>
        </w:rPr>
      </w:pPr>
    </w:p>
    <w:sectPr w:rsidRPr="000F6A5C" w:rsidR="00F80BC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88D" w:rsidRDefault="00D3588D" w14:paraId="4D9A6953" w14:textId="77777777">
      <w:r>
        <w:separator/>
      </w:r>
    </w:p>
  </w:endnote>
  <w:endnote w:type="continuationSeparator" w:id="0">
    <w:p w:rsidR="00D3588D" w:rsidRDefault="00D3588D" w14:paraId="78CEB9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0DE3" w:rsidRDefault="008217B7" w14:paraId="62F02A34" w14:textId="32ABBDC0">
    <w:pPr>
      <w:pStyle w:val="Sinespaciado"/>
      <w:jc w:val="center"/>
      <w:rPr>
        <w:rFonts w:ascii="Arial" w:hAnsi="Arial" w:cs="Arial"/>
        <w:sz w:val="18"/>
        <w:szCs w:val="18"/>
      </w:rPr>
    </w:pPr>
  </w:p>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12</w:t>
    </w:r>
    <w:r w:rsidRPr="00084B97" w:rsidR="00FE42ED">
      <w:rPr>
        <w:rFonts w:ascii="Arial" w:hAnsi="Arial" w:cs="Arial"/>
        <w:b/>
        <w:bCs/>
        <w:color w:val="7F7F7F" w:themeColor="text1" w:themeTint="80"/>
        <w:sz w:val="16"/>
        <w:szCs w:val="16"/>
      </w:rPr>
      <w:fldChar w:fldCharType="end"/>
    </w:r>
  </w:p>
  <w:p w:rsidR="009047C5" w:rsidP="00322937" w:rsidRDefault="659812A8" w14:paraId="48FC6A04" w14:textId="5FD1A7C9">
    <w:pPr>
      <w:pStyle w:val="Piedepgina"/>
      <w:jc w:val="center"/>
      <w:rPr>
        <w:lang w:val="es-ES"/>
      </w:rPr>
    </w:pPr>
    <w:r w:rsidR="4AFCAB8C">
      <w:drawing>
        <wp:inline wp14:editId="4D54256E" wp14:anchorId="608B196D">
          <wp:extent cx="3700130" cy="519139"/>
          <wp:effectExtent l="0" t="0" r="0" b="0"/>
          <wp:docPr id="1173768587" name="Imagen 3" title=""/>
          <wp:cNvGraphicFramePr>
            <a:graphicFrameLocks noChangeAspect="1"/>
          </wp:cNvGraphicFramePr>
          <a:graphic>
            <a:graphicData uri="http://schemas.openxmlformats.org/drawingml/2006/picture">
              <pic:pic>
                <pic:nvPicPr>
                  <pic:cNvPr id="0" name="Imagen 3"/>
                  <pic:cNvPicPr/>
                </pic:nvPicPr>
                <pic:blipFill>
                  <a:blip r:embed="Ra1d24a79767c44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p w:rsidR="00320DE3" w:rsidP="00320DE3" w:rsidRDefault="00320DE3" w14:paraId="1133ADFB"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88D" w:rsidRDefault="00D3588D" w14:paraId="581FB1B2" w14:textId="77777777">
      <w:r>
        <w:separator/>
      </w:r>
    </w:p>
  </w:footnote>
  <w:footnote w:type="continuationSeparator" w:id="0">
    <w:p w:rsidR="00D3588D" w:rsidRDefault="00D3588D" w14:paraId="7FB4A214" w14:textId="77777777">
      <w:r>
        <w:continuationSeparator/>
      </w:r>
    </w:p>
  </w:footnote>
  <w:footnote w:id="1">
    <w:p w:rsidR="00822820" w:rsidP="00822820" w:rsidRDefault="00822820" w14:paraId="6AF9CCE1" w14:textId="77777777">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Este artículo también es aplicable a los procedimientos de selección abreviada de menor cuantía, adelantados con documentos tipo, de conformidad con el artículo 2.2.1.2.6.2.3 del Decreto 1082 de 2015.</w:t>
      </w:r>
      <w:r>
        <w:rPr>
          <w:rFonts w:ascii="Arial" w:hAnsi="Arial" w:cs="Arial"/>
          <w:sz w:val="19"/>
          <w:szCs w:val="19"/>
        </w:rPr>
        <w:t xml:space="preserve"> </w:t>
      </w:r>
      <w:r w:rsidRPr="000F2B47">
        <w:rPr>
          <w:rFonts w:ascii="Arial" w:hAnsi="Arial" w:cs="Arial"/>
          <w:sz w:val="19"/>
          <w:szCs w:val="19"/>
        </w:rPr>
        <w:t>Para los procesos con documentos tipo, adelantado en modalidad de mínima cuantía, el Decreto 594 de 2020, al adicionar el Decreto 594 de 2020 introdujo una regla especial para regular esta situación, la cual dispone</w:t>
      </w:r>
      <w:r>
        <w:rPr>
          <w:rFonts w:ascii="Arial" w:hAnsi="Arial" w:cs="Arial"/>
          <w:sz w:val="19"/>
          <w:szCs w:val="19"/>
          <w:lang w:val="es-CO"/>
        </w:rPr>
        <w:t>:</w:t>
      </w:r>
      <w:r w:rsidRPr="000F2B47">
        <w:rPr>
          <w:rFonts w:ascii="Arial" w:hAnsi="Arial" w:cs="Arial"/>
          <w:sz w:val="19"/>
          <w:szCs w:val="19"/>
        </w:rPr>
        <w:t xml:space="preserve"> </w:t>
      </w:r>
    </w:p>
    <w:p w:rsidRPr="000F2B47" w:rsidR="00822820" w:rsidP="00822820" w:rsidRDefault="00822820" w14:paraId="0C35B66C" w14:textId="77777777">
      <w:pPr>
        <w:pStyle w:val="Textonotapie"/>
        <w:ind w:firstLine="708"/>
        <w:jc w:val="both"/>
        <w:rPr>
          <w:rFonts w:ascii="Arial" w:hAnsi="Arial" w:cs="Arial"/>
          <w:sz w:val="19"/>
          <w:szCs w:val="19"/>
        </w:rPr>
      </w:pPr>
      <w:r w:rsidRPr="000F2B47">
        <w:rPr>
          <w:rFonts w:ascii="Arial" w:hAnsi="Arial" w:cs="Arial"/>
          <w:sz w:val="19"/>
          <w:szCs w:val="19"/>
        </w:rPr>
        <w:t xml:space="preserve">«2.2.1.2.6.3.5.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rsidRPr="000F2B47" w:rsidR="00822820" w:rsidP="00822820" w:rsidRDefault="00822820" w14:paraId="03A40942" w14:textId="77777777">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rsidRPr="000F2B47" w:rsidR="00822820" w:rsidP="00822820" w:rsidRDefault="00822820" w14:paraId="4703C90C" w14:textId="77777777">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rsidRPr="00D5103D" w:rsidR="00822820" w:rsidP="00822820" w:rsidRDefault="00822820" w14:paraId="7744A14E" w14:textId="77777777">
      <w:pPr>
        <w:pStyle w:val="Textonotapie"/>
        <w:ind w:firstLine="708"/>
        <w:jc w:val="both"/>
        <w:rPr>
          <w:lang w:val="es-CO"/>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t xml:space="preserve">  </w:t>
      </w:r>
    </w:p>
  </w:footnote>
  <w:footnote w:id="2">
    <w:p w:rsidRPr="00823963" w:rsidR="00B71E80" w:rsidP="00B71E80" w:rsidRDefault="00B71E80" w14:paraId="7F50A425" w14:textId="77777777">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Pr="00823963" w:rsidR="00B71E80" w:rsidP="00B71E80" w:rsidRDefault="00B71E80" w14:paraId="53B6215E" w14:textId="77777777">
      <w:pPr>
        <w:pStyle w:val="Textonotapie"/>
        <w:ind w:firstLine="709"/>
        <w:jc w:val="both"/>
        <w:rPr>
          <w:rFonts w:ascii="Arial" w:hAnsi="Arial" w:cs="Arial"/>
          <w:sz w:val="19"/>
          <w:szCs w:val="19"/>
        </w:rPr>
      </w:pPr>
      <w:proofErr w:type="gramStart"/>
      <w:r w:rsidRPr="00823963">
        <w:rPr>
          <w:rFonts w:ascii="Arial" w:hAnsi="Arial" w:cs="Arial"/>
          <w:sz w:val="19"/>
          <w:szCs w:val="19"/>
        </w:rPr>
        <w:t>»Los</w:t>
      </w:r>
      <w:proofErr w:type="gramEnd"/>
      <w:r w:rsidRPr="00823963">
        <w:rPr>
          <w:rFonts w:ascii="Arial" w:hAnsi="Arial" w:cs="Arial"/>
          <w:sz w:val="19"/>
          <w:szCs w:val="19"/>
        </w:rPr>
        <w:t xml:space="preserve"> particulares, por su parte, tendrán en cuenta al celebrar y ejecutar contratos con las entidades estatales que, colaboran con ellas en el logro de sus fines y cumplen una función social que, como tal, implica obligaciones».</w:t>
      </w:r>
    </w:p>
    <w:p w:rsidRPr="00823963" w:rsidR="00B71E80" w:rsidP="00B71E80" w:rsidRDefault="00B71E80" w14:paraId="0D2AEBCB" w14:textId="77777777">
      <w:pPr>
        <w:pStyle w:val="Textonotapie"/>
        <w:ind w:firstLine="709"/>
        <w:jc w:val="both"/>
        <w:rPr>
          <w:rFonts w:ascii="Arial" w:hAnsi="Arial" w:cs="Arial"/>
          <w:sz w:val="19"/>
          <w:szCs w:val="19"/>
        </w:rPr>
      </w:pPr>
    </w:p>
  </w:footnote>
  <w:footnote w:id="3">
    <w:p w:rsidRPr="00823963" w:rsidR="00B71E80" w:rsidP="00B71E80" w:rsidRDefault="00B71E80" w14:paraId="42A479A7" w14:textId="77777777">
      <w:pPr>
        <w:pStyle w:val="Textonotapie"/>
        <w:ind w:firstLine="709"/>
        <w:jc w:val="both"/>
        <w:rPr>
          <w:rFonts w:ascii="Arial" w:hAnsi="Arial" w:cs="Arial"/>
          <w:sz w:val="19"/>
          <w:szCs w:val="19"/>
          <w:lang w:val="es-CO"/>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4">
    <w:p w:rsidRPr="00823963" w:rsidR="00B71E80" w:rsidP="00B71E80" w:rsidRDefault="00B71E80" w14:paraId="11CC1E59" w14:textId="77777777">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rsidRPr="00823963" w:rsidR="00B71E80" w:rsidP="00B71E80" w:rsidRDefault="00B71E80" w14:paraId="5EB4F8B9" w14:textId="77777777">
      <w:pPr>
        <w:pStyle w:val="Textonotapie"/>
        <w:ind w:firstLine="709"/>
        <w:jc w:val="both"/>
        <w:rPr>
          <w:rFonts w:ascii="Arial" w:hAnsi="Arial" w:cs="Arial"/>
          <w:sz w:val="19"/>
          <w:szCs w:val="19"/>
          <w:lang w:val="es-CO"/>
        </w:rPr>
      </w:pPr>
    </w:p>
  </w:footnote>
  <w:footnote w:id="5">
    <w:p w:rsidRPr="00823963" w:rsidR="00B71E80" w:rsidP="00B71E80" w:rsidRDefault="00B71E80" w14:paraId="5FB6BA7B" w14:textId="77777777">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rsidRPr="00823963" w:rsidR="00B71E80" w:rsidP="00B71E80" w:rsidRDefault="00B71E80" w14:paraId="001CE265" w14:textId="77777777">
      <w:pPr>
        <w:pStyle w:val="Textonotapie"/>
        <w:ind w:firstLine="709"/>
        <w:jc w:val="both"/>
        <w:rPr>
          <w:rFonts w:ascii="Arial" w:hAnsi="Arial" w:cs="Arial"/>
          <w:sz w:val="19"/>
          <w:szCs w:val="19"/>
        </w:rPr>
      </w:pPr>
      <w:r w:rsidRPr="00823963">
        <w:rPr>
          <w:rFonts w:ascii="Arial" w:hAnsi="Arial" w:cs="Arial"/>
          <w:sz w:val="19"/>
          <w:szCs w:val="19"/>
        </w:rPr>
        <w:t>[…]</w:t>
      </w:r>
    </w:p>
    <w:p w:rsidRPr="00823963" w:rsidR="00B71E80" w:rsidP="00B71E80" w:rsidRDefault="00B71E80" w14:paraId="6F25EAC5" w14:textId="77777777">
      <w:pPr>
        <w:pStyle w:val="Textonotapie"/>
        <w:ind w:firstLine="709"/>
        <w:jc w:val="both"/>
        <w:rPr>
          <w:rFonts w:ascii="Arial" w:hAnsi="Arial" w:cs="Arial"/>
          <w:sz w:val="19"/>
          <w:szCs w:val="19"/>
        </w:rPr>
      </w:pPr>
      <w:proofErr w:type="gramStart"/>
      <w:r w:rsidRPr="00823963">
        <w:rPr>
          <w:rFonts w:ascii="Arial" w:hAnsi="Arial" w:cs="Arial"/>
          <w:sz w:val="19"/>
          <w:szCs w:val="19"/>
        </w:rPr>
        <w:t>»Junto</w:t>
      </w:r>
      <w:proofErr w:type="gramEnd"/>
      <w:r w:rsidRPr="00823963">
        <w:rPr>
          <w:rFonts w:ascii="Arial" w:hAnsi="Arial" w:cs="Arial"/>
          <w:sz w:val="19"/>
          <w:szCs w:val="19"/>
        </w:rPr>
        <w:t xml:space="preserve"> con los proyectos de pliegos de condiciones se publicarán los estudios y documentos previos que sirvieron de base para su elaboración.</w:t>
      </w:r>
    </w:p>
    <w:p w:rsidRPr="00823963" w:rsidR="00B71E80" w:rsidP="00B71E80" w:rsidRDefault="00B71E80" w14:paraId="1CAC7C9C" w14:textId="77777777">
      <w:pPr>
        <w:pStyle w:val="Textonotapie"/>
        <w:ind w:firstLine="709"/>
        <w:jc w:val="both"/>
        <w:rPr>
          <w:rFonts w:ascii="Arial" w:hAnsi="Arial" w:cs="Arial"/>
          <w:sz w:val="19"/>
          <w:szCs w:val="19"/>
        </w:rPr>
      </w:pPr>
      <w:proofErr w:type="gramStart"/>
      <w:r w:rsidRPr="00823963">
        <w:rPr>
          <w:rFonts w:ascii="Arial" w:hAnsi="Arial" w:cs="Arial"/>
          <w:sz w:val="19"/>
          <w:szCs w:val="19"/>
        </w:rPr>
        <w:t>»Las</w:t>
      </w:r>
      <w:proofErr w:type="gramEnd"/>
      <w:r w:rsidRPr="00823963">
        <w:rPr>
          <w:rFonts w:ascii="Arial" w:hAnsi="Arial" w:cs="Arial"/>
          <w:sz w:val="19"/>
          <w:szCs w:val="19"/>
        </w:rPr>
        <w:t xml:space="preserve"> Entidades deberán publicar las razones por las cuales se acogen o rechazan las observaciones a los proyectos de pliegos».</w:t>
      </w:r>
    </w:p>
    <w:p w:rsidRPr="00823963" w:rsidR="00B71E80" w:rsidP="00B71E80" w:rsidRDefault="00B71E80" w14:paraId="203523E5" w14:textId="77777777">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AFCAB8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hybrid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80EE2"/>
    <w:multiLevelType w:val="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6" w15:restartNumberingAfterBreak="0">
    <w:nsid w:val="716D1FFB"/>
    <w:multiLevelType w:val="hybrid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5"/>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173C"/>
    <w:rsid w:val="00010175"/>
    <w:rsid w:val="00024990"/>
    <w:rsid w:val="00026B8F"/>
    <w:rsid w:val="00031135"/>
    <w:rsid w:val="00044CF2"/>
    <w:rsid w:val="00046613"/>
    <w:rsid w:val="00046708"/>
    <w:rsid w:val="0005532C"/>
    <w:rsid w:val="000648CD"/>
    <w:rsid w:val="000812D8"/>
    <w:rsid w:val="0008182D"/>
    <w:rsid w:val="00081F07"/>
    <w:rsid w:val="0008280E"/>
    <w:rsid w:val="00084B97"/>
    <w:rsid w:val="000942EB"/>
    <w:rsid w:val="000A003D"/>
    <w:rsid w:val="000A3C9C"/>
    <w:rsid w:val="000A40B5"/>
    <w:rsid w:val="000B0231"/>
    <w:rsid w:val="000B103F"/>
    <w:rsid w:val="000B6260"/>
    <w:rsid w:val="000C0BF4"/>
    <w:rsid w:val="000D3955"/>
    <w:rsid w:val="000D526D"/>
    <w:rsid w:val="000E2756"/>
    <w:rsid w:val="000E5F1D"/>
    <w:rsid w:val="000E752B"/>
    <w:rsid w:val="000F100E"/>
    <w:rsid w:val="000F14E8"/>
    <w:rsid w:val="000F2335"/>
    <w:rsid w:val="000F3F2B"/>
    <w:rsid w:val="000F6A5C"/>
    <w:rsid w:val="000F7FEC"/>
    <w:rsid w:val="00100DF7"/>
    <w:rsid w:val="00103915"/>
    <w:rsid w:val="0010460F"/>
    <w:rsid w:val="001134BE"/>
    <w:rsid w:val="00122B23"/>
    <w:rsid w:val="001365AA"/>
    <w:rsid w:val="001369A6"/>
    <w:rsid w:val="00137FFA"/>
    <w:rsid w:val="00157A9B"/>
    <w:rsid w:val="0017593C"/>
    <w:rsid w:val="00176066"/>
    <w:rsid w:val="00183D55"/>
    <w:rsid w:val="00185116"/>
    <w:rsid w:val="00186E9B"/>
    <w:rsid w:val="00193B3A"/>
    <w:rsid w:val="00195294"/>
    <w:rsid w:val="00196633"/>
    <w:rsid w:val="001B0444"/>
    <w:rsid w:val="001B09B2"/>
    <w:rsid w:val="001B1B06"/>
    <w:rsid w:val="001D021D"/>
    <w:rsid w:val="001D195A"/>
    <w:rsid w:val="001D5FDD"/>
    <w:rsid w:val="001D6852"/>
    <w:rsid w:val="001E1130"/>
    <w:rsid w:val="001E1441"/>
    <w:rsid w:val="001E19A3"/>
    <w:rsid w:val="001E1CB7"/>
    <w:rsid w:val="001E4798"/>
    <w:rsid w:val="00205456"/>
    <w:rsid w:val="00205BEB"/>
    <w:rsid w:val="0020632A"/>
    <w:rsid w:val="002063DE"/>
    <w:rsid w:val="002068E9"/>
    <w:rsid w:val="002110EB"/>
    <w:rsid w:val="00211338"/>
    <w:rsid w:val="00214F25"/>
    <w:rsid w:val="00216359"/>
    <w:rsid w:val="002216A0"/>
    <w:rsid w:val="002235E6"/>
    <w:rsid w:val="00225605"/>
    <w:rsid w:val="00226747"/>
    <w:rsid w:val="00227E05"/>
    <w:rsid w:val="00231C21"/>
    <w:rsid w:val="00233CD8"/>
    <w:rsid w:val="00234225"/>
    <w:rsid w:val="00234B84"/>
    <w:rsid w:val="00236805"/>
    <w:rsid w:val="0024025D"/>
    <w:rsid w:val="002452AA"/>
    <w:rsid w:val="00251946"/>
    <w:rsid w:val="00251F97"/>
    <w:rsid w:val="002525BA"/>
    <w:rsid w:val="00253107"/>
    <w:rsid w:val="00253F7F"/>
    <w:rsid w:val="00260A7E"/>
    <w:rsid w:val="00260CEE"/>
    <w:rsid w:val="00261ED7"/>
    <w:rsid w:val="00261F87"/>
    <w:rsid w:val="0026257D"/>
    <w:rsid w:val="002647DD"/>
    <w:rsid w:val="002650EC"/>
    <w:rsid w:val="00265F3B"/>
    <w:rsid w:val="00266151"/>
    <w:rsid w:val="00275C15"/>
    <w:rsid w:val="0028521F"/>
    <w:rsid w:val="00291A3E"/>
    <w:rsid w:val="00296F4D"/>
    <w:rsid w:val="002A366A"/>
    <w:rsid w:val="002B0CDF"/>
    <w:rsid w:val="002C440B"/>
    <w:rsid w:val="002C4C0C"/>
    <w:rsid w:val="002D3714"/>
    <w:rsid w:val="002D4A29"/>
    <w:rsid w:val="002E016A"/>
    <w:rsid w:val="002E040C"/>
    <w:rsid w:val="002E06AB"/>
    <w:rsid w:val="002E0D99"/>
    <w:rsid w:val="002F002C"/>
    <w:rsid w:val="002F3CFD"/>
    <w:rsid w:val="003033BA"/>
    <w:rsid w:val="00306F36"/>
    <w:rsid w:val="00320DE3"/>
    <w:rsid w:val="00322937"/>
    <w:rsid w:val="003302E7"/>
    <w:rsid w:val="0034177C"/>
    <w:rsid w:val="003447F8"/>
    <w:rsid w:val="0034680A"/>
    <w:rsid w:val="00346D4F"/>
    <w:rsid w:val="0035354C"/>
    <w:rsid w:val="00353DD5"/>
    <w:rsid w:val="003556D9"/>
    <w:rsid w:val="00355F79"/>
    <w:rsid w:val="00360AA4"/>
    <w:rsid w:val="00372DBA"/>
    <w:rsid w:val="003843FA"/>
    <w:rsid w:val="003849D1"/>
    <w:rsid w:val="00386456"/>
    <w:rsid w:val="00387086"/>
    <w:rsid w:val="00387AE0"/>
    <w:rsid w:val="00390BF5"/>
    <w:rsid w:val="00391097"/>
    <w:rsid w:val="003917F3"/>
    <w:rsid w:val="00392EFD"/>
    <w:rsid w:val="00393672"/>
    <w:rsid w:val="00394451"/>
    <w:rsid w:val="003A0878"/>
    <w:rsid w:val="003A1B4E"/>
    <w:rsid w:val="003A581E"/>
    <w:rsid w:val="003C1E84"/>
    <w:rsid w:val="003C3196"/>
    <w:rsid w:val="003C7AEB"/>
    <w:rsid w:val="003D2279"/>
    <w:rsid w:val="003D6181"/>
    <w:rsid w:val="003E0977"/>
    <w:rsid w:val="003F1C4E"/>
    <w:rsid w:val="003F2755"/>
    <w:rsid w:val="003F2F8A"/>
    <w:rsid w:val="003F5990"/>
    <w:rsid w:val="004116BA"/>
    <w:rsid w:val="004204AB"/>
    <w:rsid w:val="00421F7B"/>
    <w:rsid w:val="00423BED"/>
    <w:rsid w:val="00423F9F"/>
    <w:rsid w:val="00424FBA"/>
    <w:rsid w:val="00431E4D"/>
    <w:rsid w:val="004338C2"/>
    <w:rsid w:val="00437F4B"/>
    <w:rsid w:val="0044197C"/>
    <w:rsid w:val="004422D6"/>
    <w:rsid w:val="0044435B"/>
    <w:rsid w:val="00447D17"/>
    <w:rsid w:val="00454786"/>
    <w:rsid w:val="00460B60"/>
    <w:rsid w:val="00464FB4"/>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19FC"/>
    <w:rsid w:val="0050201F"/>
    <w:rsid w:val="00505884"/>
    <w:rsid w:val="0051074C"/>
    <w:rsid w:val="00512477"/>
    <w:rsid w:val="00513AF2"/>
    <w:rsid w:val="005166B3"/>
    <w:rsid w:val="005227FE"/>
    <w:rsid w:val="005242F5"/>
    <w:rsid w:val="00524CD8"/>
    <w:rsid w:val="00525C92"/>
    <w:rsid w:val="00527E97"/>
    <w:rsid w:val="00531F3C"/>
    <w:rsid w:val="00533F7F"/>
    <w:rsid w:val="00535DE4"/>
    <w:rsid w:val="00543B27"/>
    <w:rsid w:val="0054413A"/>
    <w:rsid w:val="005524EE"/>
    <w:rsid w:val="00552E31"/>
    <w:rsid w:val="00554EBC"/>
    <w:rsid w:val="005564CA"/>
    <w:rsid w:val="0055654C"/>
    <w:rsid w:val="005567C5"/>
    <w:rsid w:val="00557EE3"/>
    <w:rsid w:val="0056182B"/>
    <w:rsid w:val="00570E49"/>
    <w:rsid w:val="005756AA"/>
    <w:rsid w:val="00575AA0"/>
    <w:rsid w:val="00582FCB"/>
    <w:rsid w:val="0058447F"/>
    <w:rsid w:val="005962C7"/>
    <w:rsid w:val="005A4D2B"/>
    <w:rsid w:val="005B27BE"/>
    <w:rsid w:val="005B4834"/>
    <w:rsid w:val="005B5544"/>
    <w:rsid w:val="005D51FA"/>
    <w:rsid w:val="005D791B"/>
    <w:rsid w:val="005F4906"/>
    <w:rsid w:val="005F611B"/>
    <w:rsid w:val="006057EE"/>
    <w:rsid w:val="00607D9A"/>
    <w:rsid w:val="006146EA"/>
    <w:rsid w:val="00614817"/>
    <w:rsid w:val="006240DE"/>
    <w:rsid w:val="00624C72"/>
    <w:rsid w:val="00630365"/>
    <w:rsid w:val="00633DBF"/>
    <w:rsid w:val="006355B9"/>
    <w:rsid w:val="00635B7B"/>
    <w:rsid w:val="00655371"/>
    <w:rsid w:val="00660F20"/>
    <w:rsid w:val="0067015F"/>
    <w:rsid w:val="00680FAB"/>
    <w:rsid w:val="00690462"/>
    <w:rsid w:val="0069141E"/>
    <w:rsid w:val="00697665"/>
    <w:rsid w:val="0069781D"/>
    <w:rsid w:val="00697EDA"/>
    <w:rsid w:val="006A0E30"/>
    <w:rsid w:val="006A234D"/>
    <w:rsid w:val="006A367D"/>
    <w:rsid w:val="006A4683"/>
    <w:rsid w:val="006A7CB5"/>
    <w:rsid w:val="006A7FD0"/>
    <w:rsid w:val="006C04A6"/>
    <w:rsid w:val="006C18D9"/>
    <w:rsid w:val="006D7687"/>
    <w:rsid w:val="006D7E42"/>
    <w:rsid w:val="006E0572"/>
    <w:rsid w:val="006F0499"/>
    <w:rsid w:val="006F215F"/>
    <w:rsid w:val="006F3EFF"/>
    <w:rsid w:val="006F5005"/>
    <w:rsid w:val="007012D4"/>
    <w:rsid w:val="007051A9"/>
    <w:rsid w:val="00705631"/>
    <w:rsid w:val="00707CCA"/>
    <w:rsid w:val="00710C80"/>
    <w:rsid w:val="00710CDA"/>
    <w:rsid w:val="00710E01"/>
    <w:rsid w:val="00715EAA"/>
    <w:rsid w:val="00720AB4"/>
    <w:rsid w:val="00725507"/>
    <w:rsid w:val="007362E0"/>
    <w:rsid w:val="007408BC"/>
    <w:rsid w:val="00742DD2"/>
    <w:rsid w:val="00743820"/>
    <w:rsid w:val="00747C96"/>
    <w:rsid w:val="0075094E"/>
    <w:rsid w:val="007522E8"/>
    <w:rsid w:val="007547F1"/>
    <w:rsid w:val="0075647A"/>
    <w:rsid w:val="007634AD"/>
    <w:rsid w:val="007736D3"/>
    <w:rsid w:val="00773A32"/>
    <w:rsid w:val="00775632"/>
    <w:rsid w:val="00780517"/>
    <w:rsid w:val="0078122E"/>
    <w:rsid w:val="007831FF"/>
    <w:rsid w:val="00790F46"/>
    <w:rsid w:val="00795647"/>
    <w:rsid w:val="007A056E"/>
    <w:rsid w:val="007A51F5"/>
    <w:rsid w:val="007B0854"/>
    <w:rsid w:val="007B2E4A"/>
    <w:rsid w:val="007B3312"/>
    <w:rsid w:val="007B396F"/>
    <w:rsid w:val="007C6007"/>
    <w:rsid w:val="007F1AC5"/>
    <w:rsid w:val="007F55A2"/>
    <w:rsid w:val="007F6B46"/>
    <w:rsid w:val="007F72CB"/>
    <w:rsid w:val="007F7D16"/>
    <w:rsid w:val="00811420"/>
    <w:rsid w:val="008138A0"/>
    <w:rsid w:val="0081669C"/>
    <w:rsid w:val="008217B7"/>
    <w:rsid w:val="00822820"/>
    <w:rsid w:val="0083119B"/>
    <w:rsid w:val="008312A8"/>
    <w:rsid w:val="00832D19"/>
    <w:rsid w:val="00832D23"/>
    <w:rsid w:val="00834D4D"/>
    <w:rsid w:val="00836EAB"/>
    <w:rsid w:val="00843A9B"/>
    <w:rsid w:val="0084721C"/>
    <w:rsid w:val="0085092D"/>
    <w:rsid w:val="00850E5D"/>
    <w:rsid w:val="00850F79"/>
    <w:rsid w:val="00853A7E"/>
    <w:rsid w:val="00861244"/>
    <w:rsid w:val="008657ED"/>
    <w:rsid w:val="00875921"/>
    <w:rsid w:val="00876EF0"/>
    <w:rsid w:val="0089774F"/>
    <w:rsid w:val="008A5590"/>
    <w:rsid w:val="008B21A3"/>
    <w:rsid w:val="008B4420"/>
    <w:rsid w:val="008B5493"/>
    <w:rsid w:val="008B5AFD"/>
    <w:rsid w:val="008B624C"/>
    <w:rsid w:val="008D4F28"/>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4C1C"/>
    <w:rsid w:val="00935651"/>
    <w:rsid w:val="00936478"/>
    <w:rsid w:val="00942C37"/>
    <w:rsid w:val="00944C42"/>
    <w:rsid w:val="0095385A"/>
    <w:rsid w:val="00953D0A"/>
    <w:rsid w:val="00960730"/>
    <w:rsid w:val="009629FF"/>
    <w:rsid w:val="00964B34"/>
    <w:rsid w:val="00964EB1"/>
    <w:rsid w:val="00965173"/>
    <w:rsid w:val="00966FDE"/>
    <w:rsid w:val="00971516"/>
    <w:rsid w:val="009739D8"/>
    <w:rsid w:val="00974F23"/>
    <w:rsid w:val="00980FCD"/>
    <w:rsid w:val="00981CB1"/>
    <w:rsid w:val="00994E63"/>
    <w:rsid w:val="009955D9"/>
    <w:rsid w:val="009A51B0"/>
    <w:rsid w:val="009B4797"/>
    <w:rsid w:val="009B5012"/>
    <w:rsid w:val="009B6109"/>
    <w:rsid w:val="009B75DC"/>
    <w:rsid w:val="009D25CF"/>
    <w:rsid w:val="009D475B"/>
    <w:rsid w:val="009E2B8D"/>
    <w:rsid w:val="009E2F73"/>
    <w:rsid w:val="009E3619"/>
    <w:rsid w:val="009E3629"/>
    <w:rsid w:val="009F59C2"/>
    <w:rsid w:val="00A019E1"/>
    <w:rsid w:val="00A03447"/>
    <w:rsid w:val="00A05EEE"/>
    <w:rsid w:val="00A17105"/>
    <w:rsid w:val="00A23EB2"/>
    <w:rsid w:val="00A24560"/>
    <w:rsid w:val="00A337D3"/>
    <w:rsid w:val="00A34521"/>
    <w:rsid w:val="00A34538"/>
    <w:rsid w:val="00A35C49"/>
    <w:rsid w:val="00A37FB6"/>
    <w:rsid w:val="00A41CCA"/>
    <w:rsid w:val="00A63ECE"/>
    <w:rsid w:val="00A64C20"/>
    <w:rsid w:val="00A673A2"/>
    <w:rsid w:val="00A7449E"/>
    <w:rsid w:val="00A92C47"/>
    <w:rsid w:val="00A94552"/>
    <w:rsid w:val="00A95C8D"/>
    <w:rsid w:val="00AA08E7"/>
    <w:rsid w:val="00AA3342"/>
    <w:rsid w:val="00AA442B"/>
    <w:rsid w:val="00AA669D"/>
    <w:rsid w:val="00AB08B7"/>
    <w:rsid w:val="00AB0EE5"/>
    <w:rsid w:val="00AB6338"/>
    <w:rsid w:val="00AC3ED6"/>
    <w:rsid w:val="00AC66F8"/>
    <w:rsid w:val="00AC6D39"/>
    <w:rsid w:val="00AD48A9"/>
    <w:rsid w:val="00AD5387"/>
    <w:rsid w:val="00AF0E19"/>
    <w:rsid w:val="00AF6AC7"/>
    <w:rsid w:val="00B0031B"/>
    <w:rsid w:val="00B01112"/>
    <w:rsid w:val="00B02A17"/>
    <w:rsid w:val="00B13EC0"/>
    <w:rsid w:val="00B20A61"/>
    <w:rsid w:val="00B22E22"/>
    <w:rsid w:val="00B32D06"/>
    <w:rsid w:val="00B34A68"/>
    <w:rsid w:val="00B35DC6"/>
    <w:rsid w:val="00B35E3B"/>
    <w:rsid w:val="00B37B2B"/>
    <w:rsid w:val="00B4689C"/>
    <w:rsid w:val="00B50303"/>
    <w:rsid w:val="00B525CB"/>
    <w:rsid w:val="00B54733"/>
    <w:rsid w:val="00B632B5"/>
    <w:rsid w:val="00B63872"/>
    <w:rsid w:val="00B63CB2"/>
    <w:rsid w:val="00B64EDB"/>
    <w:rsid w:val="00B71E80"/>
    <w:rsid w:val="00B77EFE"/>
    <w:rsid w:val="00B91B8E"/>
    <w:rsid w:val="00B92E70"/>
    <w:rsid w:val="00B9337B"/>
    <w:rsid w:val="00B94B8B"/>
    <w:rsid w:val="00BA36F5"/>
    <w:rsid w:val="00BA549E"/>
    <w:rsid w:val="00BA588F"/>
    <w:rsid w:val="00BB403F"/>
    <w:rsid w:val="00BB702E"/>
    <w:rsid w:val="00BC14F0"/>
    <w:rsid w:val="00BC2A36"/>
    <w:rsid w:val="00BC6790"/>
    <w:rsid w:val="00BC693E"/>
    <w:rsid w:val="00BC6F34"/>
    <w:rsid w:val="00BC7148"/>
    <w:rsid w:val="00BD1A87"/>
    <w:rsid w:val="00BD2276"/>
    <w:rsid w:val="00BD3751"/>
    <w:rsid w:val="00BD78FE"/>
    <w:rsid w:val="00BE37A4"/>
    <w:rsid w:val="00BE7228"/>
    <w:rsid w:val="00BF5C56"/>
    <w:rsid w:val="00C0714C"/>
    <w:rsid w:val="00C14D4E"/>
    <w:rsid w:val="00C17782"/>
    <w:rsid w:val="00C27448"/>
    <w:rsid w:val="00C27B1D"/>
    <w:rsid w:val="00C318D1"/>
    <w:rsid w:val="00C3312B"/>
    <w:rsid w:val="00C4161D"/>
    <w:rsid w:val="00C5540C"/>
    <w:rsid w:val="00C559E5"/>
    <w:rsid w:val="00C57418"/>
    <w:rsid w:val="00C61DDC"/>
    <w:rsid w:val="00C6486F"/>
    <w:rsid w:val="00C75277"/>
    <w:rsid w:val="00C75CCC"/>
    <w:rsid w:val="00C863A3"/>
    <w:rsid w:val="00C90631"/>
    <w:rsid w:val="00C950CE"/>
    <w:rsid w:val="00C9589B"/>
    <w:rsid w:val="00C96EA7"/>
    <w:rsid w:val="00CB1FEE"/>
    <w:rsid w:val="00CB6615"/>
    <w:rsid w:val="00CB662B"/>
    <w:rsid w:val="00CC00CD"/>
    <w:rsid w:val="00CD029C"/>
    <w:rsid w:val="00CE2D35"/>
    <w:rsid w:val="00CE399E"/>
    <w:rsid w:val="00CE64E1"/>
    <w:rsid w:val="00CE67A7"/>
    <w:rsid w:val="00CF26C1"/>
    <w:rsid w:val="00CF3CC7"/>
    <w:rsid w:val="00D01760"/>
    <w:rsid w:val="00D020A4"/>
    <w:rsid w:val="00D06D39"/>
    <w:rsid w:val="00D1065C"/>
    <w:rsid w:val="00D10698"/>
    <w:rsid w:val="00D11270"/>
    <w:rsid w:val="00D14D97"/>
    <w:rsid w:val="00D15AF6"/>
    <w:rsid w:val="00D15C9A"/>
    <w:rsid w:val="00D16E39"/>
    <w:rsid w:val="00D21EB9"/>
    <w:rsid w:val="00D223B6"/>
    <w:rsid w:val="00D316F2"/>
    <w:rsid w:val="00D3588D"/>
    <w:rsid w:val="00D4463E"/>
    <w:rsid w:val="00D47366"/>
    <w:rsid w:val="00D50CAA"/>
    <w:rsid w:val="00D60327"/>
    <w:rsid w:val="00D72E9D"/>
    <w:rsid w:val="00D74056"/>
    <w:rsid w:val="00D8010E"/>
    <w:rsid w:val="00D82CE5"/>
    <w:rsid w:val="00D87535"/>
    <w:rsid w:val="00D8799F"/>
    <w:rsid w:val="00D91CE8"/>
    <w:rsid w:val="00D920A3"/>
    <w:rsid w:val="00D954DB"/>
    <w:rsid w:val="00D979F7"/>
    <w:rsid w:val="00DA153B"/>
    <w:rsid w:val="00DA5AB1"/>
    <w:rsid w:val="00DA7F3C"/>
    <w:rsid w:val="00DB3253"/>
    <w:rsid w:val="00DC096D"/>
    <w:rsid w:val="00DC62E5"/>
    <w:rsid w:val="00DD32E5"/>
    <w:rsid w:val="00DD56D9"/>
    <w:rsid w:val="00DD735D"/>
    <w:rsid w:val="00DD7469"/>
    <w:rsid w:val="00DE3119"/>
    <w:rsid w:val="00DE6035"/>
    <w:rsid w:val="00DE7C82"/>
    <w:rsid w:val="00DF231B"/>
    <w:rsid w:val="00DF236B"/>
    <w:rsid w:val="00DF3C4C"/>
    <w:rsid w:val="00DF3EE1"/>
    <w:rsid w:val="00E02CDA"/>
    <w:rsid w:val="00E0384A"/>
    <w:rsid w:val="00E0385F"/>
    <w:rsid w:val="00E03EBB"/>
    <w:rsid w:val="00E06817"/>
    <w:rsid w:val="00E0745D"/>
    <w:rsid w:val="00E126F4"/>
    <w:rsid w:val="00E13A73"/>
    <w:rsid w:val="00E13AB8"/>
    <w:rsid w:val="00E17F43"/>
    <w:rsid w:val="00E2173C"/>
    <w:rsid w:val="00E219B6"/>
    <w:rsid w:val="00E224C8"/>
    <w:rsid w:val="00E25CB3"/>
    <w:rsid w:val="00E25DB9"/>
    <w:rsid w:val="00E25E87"/>
    <w:rsid w:val="00E33B62"/>
    <w:rsid w:val="00E357FA"/>
    <w:rsid w:val="00E40A7B"/>
    <w:rsid w:val="00E4143A"/>
    <w:rsid w:val="00E41AB5"/>
    <w:rsid w:val="00E478BE"/>
    <w:rsid w:val="00E5054C"/>
    <w:rsid w:val="00E5405C"/>
    <w:rsid w:val="00E5525E"/>
    <w:rsid w:val="00E87023"/>
    <w:rsid w:val="00E947C6"/>
    <w:rsid w:val="00E9608D"/>
    <w:rsid w:val="00EA3C33"/>
    <w:rsid w:val="00EB0B5C"/>
    <w:rsid w:val="00EC15C7"/>
    <w:rsid w:val="00EC18C1"/>
    <w:rsid w:val="00EC56BD"/>
    <w:rsid w:val="00ED003C"/>
    <w:rsid w:val="00ED4297"/>
    <w:rsid w:val="00ED7F2B"/>
    <w:rsid w:val="00EE201F"/>
    <w:rsid w:val="00EE2167"/>
    <w:rsid w:val="00EE59B5"/>
    <w:rsid w:val="00EE7A59"/>
    <w:rsid w:val="00EF200D"/>
    <w:rsid w:val="00F03C96"/>
    <w:rsid w:val="00F06A4A"/>
    <w:rsid w:val="00F13DFC"/>
    <w:rsid w:val="00F2317D"/>
    <w:rsid w:val="00F252F9"/>
    <w:rsid w:val="00F31B03"/>
    <w:rsid w:val="00F33500"/>
    <w:rsid w:val="00F45D17"/>
    <w:rsid w:val="00F53968"/>
    <w:rsid w:val="00F5424F"/>
    <w:rsid w:val="00F5676A"/>
    <w:rsid w:val="00F60C66"/>
    <w:rsid w:val="00F66AE0"/>
    <w:rsid w:val="00F73738"/>
    <w:rsid w:val="00F76196"/>
    <w:rsid w:val="00F80BC6"/>
    <w:rsid w:val="00F821CC"/>
    <w:rsid w:val="00F84899"/>
    <w:rsid w:val="00F859F0"/>
    <w:rsid w:val="00F87563"/>
    <w:rsid w:val="00F913F2"/>
    <w:rsid w:val="00FA1770"/>
    <w:rsid w:val="00FA31F7"/>
    <w:rsid w:val="00FA619A"/>
    <w:rsid w:val="00FA771E"/>
    <w:rsid w:val="00FC3673"/>
    <w:rsid w:val="00FD5740"/>
    <w:rsid w:val="00FD57E1"/>
    <w:rsid w:val="00FE141E"/>
    <w:rsid w:val="00FE42ED"/>
    <w:rsid w:val="00FE66F8"/>
    <w:rsid w:val="00FE6CFF"/>
    <w:rsid w:val="00FF20BD"/>
    <w:rsid w:val="00FF5E30"/>
    <w:rsid w:val="0E7849CB"/>
    <w:rsid w:val="116AD106"/>
    <w:rsid w:val="11E99500"/>
    <w:rsid w:val="34C4C130"/>
    <w:rsid w:val="38C1BB9E"/>
    <w:rsid w:val="3A144021"/>
    <w:rsid w:val="45A799FA"/>
    <w:rsid w:val="46AC5B6B"/>
    <w:rsid w:val="486E27CC"/>
    <w:rsid w:val="490D9B09"/>
    <w:rsid w:val="4AFCAB8C"/>
    <w:rsid w:val="5369ECF4"/>
    <w:rsid w:val="59D08358"/>
    <w:rsid w:val="5DF17856"/>
    <w:rsid w:val="6220A356"/>
    <w:rsid w:val="622B5FA4"/>
    <w:rsid w:val="63BD989A"/>
    <w:rsid w:val="659812A8"/>
    <w:rsid w:val="65C563AB"/>
    <w:rsid w:val="69062513"/>
    <w:rsid w:val="6BB81E65"/>
    <w:rsid w:val="7F76A6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 w:type="character" w:styleId="NormalWebCar" w:customStyle="1">
    <w:name w:val="Normal (Web) Car"/>
    <w:link w:val="NormalWeb"/>
    <w:uiPriority w:val="99"/>
    <w:rsid w:val="00743820"/>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B71E8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B71E80"/>
    <w:rPr>
      <w:rFonts w:ascii="Arial" w:hAnsi="Arial" w:eastAsia="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250390002">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8918935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3841006">
      <w:bodyDiv w:val="1"/>
      <w:marLeft w:val="0"/>
      <w:marRight w:val="0"/>
      <w:marTop w:val="0"/>
      <w:marBottom w:val="0"/>
      <w:divBdr>
        <w:top w:val="none" w:sz="0" w:space="0" w:color="auto"/>
        <w:left w:val="none" w:sz="0" w:space="0" w:color="auto"/>
        <w:bottom w:val="none" w:sz="0" w:space="0" w:color="auto"/>
        <w:right w:val="none" w:sz="0" w:space="0" w:color="auto"/>
      </w:divBdr>
      <w:divsChild>
        <w:div w:id="1255438734">
          <w:marLeft w:val="0"/>
          <w:marRight w:val="0"/>
          <w:marTop w:val="0"/>
          <w:marBottom w:val="0"/>
          <w:divBdr>
            <w:top w:val="none" w:sz="0" w:space="0" w:color="auto"/>
            <w:left w:val="none" w:sz="0" w:space="0" w:color="auto"/>
            <w:bottom w:val="none" w:sz="0" w:space="0" w:color="auto"/>
            <w:right w:val="none" w:sz="0" w:space="0" w:color="auto"/>
          </w:divBdr>
        </w:div>
      </w:divsChild>
    </w:div>
    <w:div w:id="1887109246">
      <w:bodyDiv w:val="1"/>
      <w:marLeft w:val="0"/>
      <w:marRight w:val="0"/>
      <w:marTop w:val="0"/>
      <w:marBottom w:val="0"/>
      <w:divBdr>
        <w:top w:val="none" w:sz="0" w:space="0" w:color="auto"/>
        <w:left w:val="none" w:sz="0" w:space="0" w:color="auto"/>
        <w:bottom w:val="none" w:sz="0" w:space="0" w:color="auto"/>
        <w:right w:val="none" w:sz="0" w:space="0" w:color="auto"/>
      </w:divBdr>
    </w:div>
    <w:div w:id="1908613908">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94282116">
      <w:bodyDiv w:val="1"/>
      <w:marLeft w:val="0"/>
      <w:marRight w:val="0"/>
      <w:marTop w:val="0"/>
      <w:marBottom w:val="0"/>
      <w:divBdr>
        <w:top w:val="none" w:sz="0" w:space="0" w:color="auto"/>
        <w:left w:val="none" w:sz="0" w:space="0" w:color="auto"/>
        <w:bottom w:val="none" w:sz="0" w:space="0" w:color="auto"/>
        <w:right w:val="none" w:sz="0" w:space="0" w:color="auto"/>
      </w:divBdr>
      <w:divsChild>
        <w:div w:id="7536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9f3f77da83434570" /></Relationships>
</file>

<file path=word/_rels/footer1.xml.rels>&#65279;<?xml version="1.0" encoding="utf-8"?><Relationships xmlns="http://schemas.openxmlformats.org/package/2006/relationships"><Relationship Type="http://schemas.openxmlformats.org/officeDocument/2006/relationships/image" Target="/media/image4.png" Id="Ra1d24a79767c442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08FFB-872E-4719-A99A-C76584B90F60}">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3</revision>
  <lastPrinted>2020-03-03T20:20:00.0000000Z</lastPrinted>
  <dcterms:created xsi:type="dcterms:W3CDTF">2020-10-26T23:49:00.0000000Z</dcterms:created>
  <dcterms:modified xsi:type="dcterms:W3CDTF">2020-12-04T16:05:53.3734910Z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