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BEE08" w14:textId="77777777" w:rsidR="00E20ED6" w:rsidRPr="001D0F68" w:rsidRDefault="00E20ED6" w:rsidP="008C487C">
      <w:pPr>
        <w:jc w:val="right"/>
        <w:rPr>
          <w:rFonts w:ascii="Arial" w:hAnsi="Arial" w:cs="Arial"/>
          <w:b/>
          <w:sz w:val="16"/>
          <w:szCs w:val="16"/>
          <w:lang w:val="es-CO" w:eastAsia="es-ES"/>
        </w:rPr>
      </w:pPr>
      <w:bookmarkStart w:id="0" w:name="_Hlk28946138"/>
      <w:bookmarkStart w:id="1" w:name="_Hlk29548183"/>
      <w:r w:rsidRPr="001D0F68">
        <w:rPr>
          <w:rFonts w:ascii="Arial" w:hAnsi="Arial" w:cs="Arial"/>
          <w:b/>
          <w:sz w:val="16"/>
          <w:szCs w:val="16"/>
          <w:lang w:val="es-CO" w:eastAsia="es-ES"/>
        </w:rPr>
        <w:t xml:space="preserve"> </w:t>
      </w:r>
    </w:p>
    <w:p w14:paraId="2A476418" w14:textId="0861020D" w:rsidR="008C487C" w:rsidRPr="001D0F68" w:rsidRDefault="008C487C" w:rsidP="008C487C">
      <w:pPr>
        <w:jc w:val="right"/>
        <w:rPr>
          <w:rFonts w:ascii="Arial" w:hAnsi="Arial" w:cs="Arial"/>
          <w:b/>
          <w:sz w:val="16"/>
          <w:szCs w:val="16"/>
          <w:lang w:val="es-CO" w:eastAsia="es-ES"/>
        </w:rPr>
      </w:pPr>
      <w:r w:rsidRPr="001D0F68">
        <w:rPr>
          <w:rFonts w:ascii="Arial" w:hAnsi="Arial" w:cs="Arial"/>
          <w:b/>
          <w:sz w:val="16"/>
          <w:szCs w:val="16"/>
          <w:lang w:val="es-CO" w:eastAsia="es-ES"/>
        </w:rPr>
        <w:tab/>
        <w:t>CCE-DES-FM-17</w:t>
      </w:r>
    </w:p>
    <w:p w14:paraId="39BFD28B" w14:textId="77777777" w:rsidR="007B4DFC" w:rsidRPr="001D0F68" w:rsidRDefault="007B4DFC" w:rsidP="7DE4BB77">
      <w:pPr>
        <w:jc w:val="both"/>
        <w:rPr>
          <w:rFonts w:ascii="Arial" w:eastAsia="Calibri" w:hAnsi="Arial" w:cs="Arial"/>
          <w:b/>
          <w:bCs/>
          <w:sz w:val="16"/>
          <w:szCs w:val="16"/>
          <w:lang w:val="es-CO"/>
        </w:rPr>
      </w:pPr>
    </w:p>
    <w:p w14:paraId="0FD7B567" w14:textId="3D7E84F7" w:rsidR="008C487C" w:rsidRPr="001D0F68" w:rsidRDefault="008C487C" w:rsidP="7DE4BB77">
      <w:pPr>
        <w:jc w:val="both"/>
        <w:rPr>
          <w:rFonts w:ascii="Arial" w:eastAsia="Calibri" w:hAnsi="Arial" w:cs="Arial"/>
          <w:b/>
          <w:bCs/>
          <w:sz w:val="22"/>
          <w:lang w:val="es-CO"/>
        </w:rPr>
      </w:pPr>
      <w:r w:rsidRPr="001D0F68">
        <w:rPr>
          <w:rFonts w:ascii="Arial" w:eastAsia="Calibri" w:hAnsi="Arial" w:cs="Arial"/>
          <w:b/>
          <w:bCs/>
          <w:sz w:val="22"/>
          <w:lang w:val="es-CO"/>
        </w:rPr>
        <w:t>MIPYME</w:t>
      </w:r>
      <w:r w:rsidR="73BB0A73" w:rsidRPr="001D0F68">
        <w:rPr>
          <w:rFonts w:ascii="Arial" w:eastAsia="Calibri" w:hAnsi="Arial" w:cs="Arial"/>
          <w:b/>
          <w:bCs/>
          <w:sz w:val="22"/>
          <w:lang w:val="es-CO"/>
        </w:rPr>
        <w:t>S</w:t>
      </w:r>
      <w:r w:rsidRPr="001D0F68">
        <w:rPr>
          <w:rFonts w:ascii="Arial" w:eastAsia="Calibri" w:hAnsi="Arial" w:cs="Arial"/>
          <w:b/>
          <w:bCs/>
          <w:sz w:val="22"/>
          <w:lang w:val="es-CO"/>
        </w:rPr>
        <w:t xml:space="preserve"> </w:t>
      </w:r>
      <w:r w:rsidR="007672D5" w:rsidRPr="001D0F68">
        <w:rPr>
          <w:rFonts w:ascii="Arial" w:eastAsia="Calibri" w:hAnsi="Arial" w:cs="Arial"/>
          <w:b/>
          <w:bCs/>
          <w:sz w:val="22"/>
          <w:lang w:val="es-CO"/>
        </w:rPr>
        <w:t>–</w:t>
      </w:r>
      <w:r w:rsidRPr="001D0F68">
        <w:rPr>
          <w:rFonts w:ascii="Arial" w:eastAsia="Calibri" w:hAnsi="Arial" w:cs="Arial"/>
          <w:b/>
          <w:bCs/>
          <w:sz w:val="22"/>
          <w:lang w:val="es-CO"/>
        </w:rPr>
        <w:t xml:space="preserve"> Noción </w:t>
      </w:r>
      <w:r w:rsidR="33DD51EB" w:rsidRPr="001D0F68">
        <w:rPr>
          <w:rFonts w:ascii="Arial" w:eastAsia="Calibri" w:hAnsi="Arial" w:cs="Arial"/>
          <w:b/>
          <w:bCs/>
          <w:sz w:val="22"/>
          <w:lang w:val="es-CO"/>
        </w:rPr>
        <w:t>–</w:t>
      </w:r>
      <w:r w:rsidRPr="001D0F68">
        <w:rPr>
          <w:rFonts w:ascii="Arial" w:eastAsia="Calibri" w:hAnsi="Arial" w:cs="Arial"/>
          <w:b/>
          <w:bCs/>
          <w:sz w:val="22"/>
          <w:lang w:val="es-CO"/>
        </w:rPr>
        <w:t xml:space="preserve"> </w:t>
      </w:r>
      <w:r w:rsidR="16679C9D" w:rsidRPr="001D0F68">
        <w:rPr>
          <w:rFonts w:ascii="Arial" w:eastAsia="Calibri" w:hAnsi="Arial" w:cs="Arial"/>
          <w:b/>
          <w:bCs/>
          <w:sz w:val="22"/>
          <w:lang w:val="es-CO"/>
        </w:rPr>
        <w:t>A</w:t>
      </w:r>
      <w:r w:rsidRPr="001D0F68">
        <w:rPr>
          <w:rFonts w:ascii="Arial" w:eastAsia="Calibri" w:hAnsi="Arial" w:cs="Arial"/>
          <w:b/>
          <w:bCs/>
          <w:sz w:val="22"/>
          <w:lang w:val="es-CO"/>
        </w:rPr>
        <w:t>lcance</w:t>
      </w:r>
      <w:r w:rsidRPr="001D0F68">
        <w:rPr>
          <w:rFonts w:ascii="Arial" w:eastAsia="Calibri" w:hAnsi="Arial" w:cs="Arial"/>
          <w:sz w:val="22"/>
          <w:lang w:val="es-CO"/>
        </w:rPr>
        <w:t xml:space="preserve"> </w:t>
      </w:r>
    </w:p>
    <w:p w14:paraId="6156EB3C" w14:textId="77777777" w:rsidR="008C487C" w:rsidRPr="001D0F68" w:rsidRDefault="008C487C" w:rsidP="008C487C">
      <w:pPr>
        <w:jc w:val="both"/>
        <w:rPr>
          <w:rFonts w:ascii="Arial" w:eastAsia="Calibri" w:hAnsi="Arial" w:cs="Arial"/>
          <w:bCs/>
          <w:sz w:val="21"/>
          <w:szCs w:val="21"/>
          <w:lang w:val="es-CO"/>
        </w:rPr>
      </w:pPr>
    </w:p>
    <w:p w14:paraId="6B8B525D" w14:textId="77777777" w:rsidR="00B3420E" w:rsidRPr="001D0F68" w:rsidRDefault="001F6346" w:rsidP="00B3420E">
      <w:pPr>
        <w:spacing w:after="120"/>
        <w:jc w:val="both"/>
        <w:rPr>
          <w:rFonts w:ascii="Arial" w:eastAsia="Calibri" w:hAnsi="Arial" w:cs="Arial"/>
          <w:bCs/>
          <w:sz w:val="20"/>
          <w:szCs w:val="20"/>
          <w:lang w:val="es-CO"/>
        </w:rPr>
      </w:pPr>
      <w:r w:rsidRPr="001D0F68">
        <w:rPr>
          <w:rFonts w:ascii="Arial" w:eastAsia="Calibri" w:hAnsi="Arial" w:cs="Arial"/>
          <w:bCs/>
          <w:sz w:val="20"/>
          <w:szCs w:val="20"/>
          <w:lang w:val="es-CO"/>
        </w:rPr>
        <w:t xml:space="preserve">[…] </w:t>
      </w:r>
      <w:r w:rsidR="008C487C" w:rsidRPr="001D0F68">
        <w:rPr>
          <w:rFonts w:ascii="Arial" w:eastAsia="Calibri" w:hAnsi="Arial" w:cs="Arial"/>
          <w:bCs/>
          <w:sz w:val="20"/>
          <w:szCs w:val="20"/>
          <w:lang w:val="es-CO"/>
        </w:rPr>
        <w:t>Pequeña y Mediana Empresa ─</w:t>
      </w:r>
      <w:proofErr w:type="spellStart"/>
      <w:r w:rsidR="008C487C" w:rsidRPr="001D0F68">
        <w:rPr>
          <w:rFonts w:ascii="Arial" w:eastAsia="Calibri" w:hAnsi="Arial" w:cs="Arial"/>
          <w:bCs/>
          <w:sz w:val="20"/>
          <w:szCs w:val="20"/>
          <w:lang w:val="es-CO"/>
        </w:rPr>
        <w:t>Mipyme</w:t>
      </w:r>
      <w:proofErr w:type="spellEnd"/>
      <w:r w:rsidR="008C487C" w:rsidRPr="001D0F68">
        <w:rPr>
          <w:rFonts w:ascii="Arial" w:eastAsia="Calibri" w:hAnsi="Arial" w:cs="Arial"/>
          <w:bCs/>
          <w:sz w:val="20"/>
          <w:szCs w:val="20"/>
          <w:lang w:val="es-CO"/>
        </w:rPr>
        <w:t>─ es una «unidad de explotación económica, realizada por persona natural o jurídica, en actividades empresariales, agropecuarias, industriales, comerciales o de servicios, rural o urbana», siempre que cumpla las dos condiciones requeridas en el mismo artículo, relacionadas con el número de trabajadores que hacen parte de su planta de personal y sus activos totales.</w:t>
      </w:r>
    </w:p>
    <w:p w14:paraId="5E8B4D30" w14:textId="2098D3B4" w:rsidR="008C487C" w:rsidRPr="001D0F68" w:rsidRDefault="008C487C" w:rsidP="008C487C">
      <w:pPr>
        <w:jc w:val="both"/>
        <w:rPr>
          <w:rFonts w:ascii="Arial" w:eastAsia="Calibri" w:hAnsi="Arial" w:cs="Arial"/>
          <w:bCs/>
          <w:sz w:val="20"/>
          <w:szCs w:val="20"/>
          <w:lang w:val="es-CO"/>
        </w:rPr>
      </w:pPr>
      <w:r w:rsidRPr="001D0F68">
        <w:rPr>
          <w:rFonts w:ascii="Arial" w:eastAsia="Calibri" w:hAnsi="Arial" w:cs="Arial"/>
          <w:bCs/>
          <w:sz w:val="20"/>
          <w:szCs w:val="20"/>
          <w:lang w:val="es-CO"/>
        </w:rPr>
        <w:t xml:space="preserve">Específicamente, la mediana empresa es aquella que tiene una planta de personal entre 51 y 200 trabajadores o activos totales por un valor entre 100.000 y 610.000 Unidades de valor Tributaria ─UVT─. La pequeña empresa es aquella que tiene una planta de personal entre 11 y 50 trabajadores o activos totales por un valor entre 501 y 5000 </w:t>
      </w:r>
      <w:r w:rsidR="00803D6A" w:rsidRPr="001D0F68">
        <w:rPr>
          <w:rFonts w:ascii="Arial" w:eastAsia="Calibri" w:hAnsi="Arial" w:cs="Arial"/>
          <w:bCs/>
          <w:sz w:val="20"/>
          <w:szCs w:val="20"/>
          <w:lang w:val="es-CO"/>
        </w:rPr>
        <w:t>salarios mínimos</w:t>
      </w:r>
      <w:r w:rsidRPr="001D0F68">
        <w:rPr>
          <w:rFonts w:ascii="Arial" w:eastAsia="Calibri" w:hAnsi="Arial" w:cs="Arial"/>
          <w:bCs/>
          <w:sz w:val="20"/>
          <w:szCs w:val="20"/>
          <w:lang w:val="es-CO"/>
        </w:rPr>
        <w:t xml:space="preserve"> mensuales legales vigentes. La microempresa, por otro lado, es aquella que tiene una planta de personal de 10 trabajadores o menos o activos totales por un valor inferior a 500 salarios mínimos legales mensuales.</w:t>
      </w:r>
    </w:p>
    <w:p w14:paraId="211D15F6" w14:textId="77777777" w:rsidR="008C487C" w:rsidRPr="001D0F68" w:rsidRDefault="008C487C" w:rsidP="008C487C">
      <w:pPr>
        <w:jc w:val="both"/>
        <w:rPr>
          <w:rFonts w:ascii="Arial" w:eastAsia="Calibri" w:hAnsi="Arial" w:cs="Arial"/>
          <w:b/>
          <w:sz w:val="21"/>
          <w:szCs w:val="21"/>
          <w:lang w:val="es-CO"/>
        </w:rPr>
      </w:pPr>
    </w:p>
    <w:p w14:paraId="0782807F" w14:textId="17D72459" w:rsidR="008C487C" w:rsidRPr="001D0F68" w:rsidRDefault="008C487C" w:rsidP="008C487C">
      <w:pPr>
        <w:jc w:val="both"/>
        <w:rPr>
          <w:rFonts w:ascii="Arial" w:eastAsia="Calibri" w:hAnsi="Arial" w:cs="Arial"/>
          <w:b/>
          <w:sz w:val="22"/>
          <w:lang w:val="es-CO"/>
        </w:rPr>
      </w:pPr>
      <w:r w:rsidRPr="001D0F68">
        <w:rPr>
          <w:rFonts w:ascii="Arial" w:eastAsia="Calibri" w:hAnsi="Arial" w:cs="Arial"/>
          <w:b/>
          <w:sz w:val="22"/>
          <w:lang w:val="es-CO"/>
        </w:rPr>
        <w:t xml:space="preserve">CONVOCATORIAS LIMITADAS A MIPYMES NACIONALES </w:t>
      </w:r>
      <w:r w:rsidR="007672D5" w:rsidRPr="001D0F68">
        <w:rPr>
          <w:rFonts w:ascii="Arial" w:eastAsia="Calibri" w:hAnsi="Arial" w:cs="Arial"/>
          <w:b/>
          <w:sz w:val="22"/>
          <w:lang w:val="es-CO"/>
        </w:rPr>
        <w:t>–</w:t>
      </w:r>
      <w:r w:rsidRPr="001D0F68">
        <w:rPr>
          <w:rFonts w:ascii="Arial" w:eastAsia="Calibri" w:hAnsi="Arial" w:cs="Arial"/>
          <w:b/>
          <w:sz w:val="22"/>
          <w:lang w:val="es-CO"/>
        </w:rPr>
        <w:t xml:space="preserve"> Requisitos</w:t>
      </w:r>
    </w:p>
    <w:p w14:paraId="34883BB0" w14:textId="77777777" w:rsidR="008C487C" w:rsidRPr="001D0F68" w:rsidRDefault="008C487C" w:rsidP="008C487C">
      <w:pPr>
        <w:jc w:val="both"/>
        <w:rPr>
          <w:rFonts w:ascii="Arial" w:eastAsia="Calibri" w:hAnsi="Arial" w:cs="Arial"/>
          <w:b/>
          <w:sz w:val="21"/>
          <w:szCs w:val="21"/>
          <w:lang w:val="es-CO"/>
        </w:rPr>
      </w:pPr>
    </w:p>
    <w:p w14:paraId="34DD4237" w14:textId="77777777" w:rsidR="0045479F" w:rsidRPr="001D0F68" w:rsidRDefault="008C487C" w:rsidP="0045479F">
      <w:pPr>
        <w:spacing w:after="120"/>
        <w:jc w:val="both"/>
        <w:rPr>
          <w:rFonts w:ascii="Arial" w:hAnsi="Arial" w:cs="Arial"/>
          <w:sz w:val="20"/>
          <w:szCs w:val="20"/>
          <w:lang w:val="es-CO"/>
        </w:rPr>
      </w:pPr>
      <w:r w:rsidRPr="001D0F68">
        <w:rPr>
          <w:rFonts w:ascii="Arial" w:hAnsi="Arial" w:cs="Arial"/>
          <w:sz w:val="20"/>
          <w:szCs w:val="20"/>
          <w:lang w:val="es-CO"/>
        </w:rPr>
        <w:t>El artículo 2.2.1.2.4.2.2. del Decreto 1082 de 2015 establece los requisitos a acreditar en las «convocatorias limitadas a Mipymes». El numeral primero limita cuantitativamente los procesos contractuales en los que se puede hacer la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p>
    <w:p w14:paraId="6966A793" w14:textId="27420994" w:rsidR="008C487C" w:rsidRPr="001D0F68" w:rsidRDefault="008C487C" w:rsidP="008C487C">
      <w:pPr>
        <w:jc w:val="both"/>
        <w:rPr>
          <w:rFonts w:ascii="Arial" w:hAnsi="Arial" w:cs="Arial"/>
          <w:sz w:val="20"/>
          <w:szCs w:val="20"/>
          <w:lang w:val="es-CO"/>
        </w:rPr>
      </w:pPr>
      <w:r w:rsidRPr="001D0F68">
        <w:rPr>
          <w:rFonts w:ascii="Arial" w:hAnsi="Arial" w:cs="Arial"/>
          <w:sz w:val="20"/>
          <w:szCs w:val="20"/>
          <w:lang w:val="es-CO"/>
        </w:rPr>
        <w:t xml:space="preserve">El numeral segundo establece dos exigencias: por un lado, que al menos tres Mipymes nacionales presenten la solicitud formal de limitar el proceso contractual a Mipymes nacionales y, por el otro, que estas deben hacer dicha solicitud por lo menos un día antes de la apertura del proceso de contratación. En relación con tales exigencias, esta entidad ha precisado que «[s]i bien la normativa del sistema de compra publica no establece como requisito acreditar la relación entre el objeto de la </w:t>
      </w:r>
      <w:proofErr w:type="spellStart"/>
      <w:r w:rsidRPr="001D0F68">
        <w:rPr>
          <w:rFonts w:ascii="Arial" w:hAnsi="Arial" w:cs="Arial"/>
          <w:sz w:val="20"/>
          <w:szCs w:val="20"/>
          <w:lang w:val="es-CO"/>
        </w:rPr>
        <w:t>Mipyme</w:t>
      </w:r>
      <w:proofErr w:type="spellEnd"/>
      <w:r w:rsidRPr="001D0F68">
        <w:rPr>
          <w:rFonts w:ascii="Arial" w:hAnsi="Arial" w:cs="Arial"/>
          <w:sz w:val="20"/>
          <w:szCs w:val="20"/>
          <w:lang w:val="es-CO"/>
        </w:rPr>
        <w:t xml:space="preserve"> y el objeto contrato, es imperativo que la entidad estatal verifique que quienes solicitan la limitación del proceso a </w:t>
      </w:r>
      <w:proofErr w:type="spellStart"/>
      <w:r w:rsidRPr="001D0F68">
        <w:rPr>
          <w:rFonts w:ascii="Arial" w:hAnsi="Arial" w:cs="Arial"/>
          <w:sz w:val="20"/>
          <w:szCs w:val="20"/>
          <w:lang w:val="es-CO"/>
        </w:rPr>
        <w:t>Mipyme</w:t>
      </w:r>
      <w:proofErr w:type="spellEnd"/>
      <w:r w:rsidRPr="001D0F68">
        <w:rPr>
          <w:rFonts w:ascii="Arial" w:hAnsi="Arial" w:cs="Arial"/>
          <w:sz w:val="20"/>
          <w:szCs w:val="20"/>
          <w:lang w:val="es-CO"/>
        </w:rPr>
        <w:t xml:space="preserve"> tienen un objeto social similar al objeto del contrato y, de ser así, la entidad deberá limitar el proceso de contratación a Mipymes». También ha dicho que la entidad estatal también debe aceptar las ofertas consorcios o uniones temporales formados exclusivamente por </w:t>
      </w:r>
      <w:proofErr w:type="spellStart"/>
      <w:r w:rsidRPr="001D0F68">
        <w:rPr>
          <w:rFonts w:ascii="Arial" w:hAnsi="Arial" w:cs="Arial"/>
          <w:sz w:val="20"/>
          <w:szCs w:val="20"/>
          <w:lang w:val="es-CO"/>
        </w:rPr>
        <w:t>Mipyme</w:t>
      </w:r>
      <w:proofErr w:type="spellEnd"/>
      <w:r w:rsidRPr="001D0F68">
        <w:rPr>
          <w:rFonts w:ascii="Arial" w:hAnsi="Arial" w:cs="Arial"/>
          <w:sz w:val="20"/>
          <w:szCs w:val="20"/>
          <w:lang w:val="es-CO"/>
        </w:rPr>
        <w:t xml:space="preserve"> y promesas de sociedad futura suscritas por </w:t>
      </w:r>
      <w:proofErr w:type="spellStart"/>
      <w:r w:rsidRPr="001D0F68">
        <w:rPr>
          <w:rFonts w:ascii="Arial" w:hAnsi="Arial" w:cs="Arial"/>
          <w:sz w:val="20"/>
          <w:szCs w:val="20"/>
          <w:lang w:val="es-CO"/>
        </w:rPr>
        <w:t>Mipyme</w:t>
      </w:r>
      <w:proofErr w:type="spellEnd"/>
      <w:r w:rsidRPr="001D0F68">
        <w:rPr>
          <w:rFonts w:ascii="Arial" w:hAnsi="Arial" w:cs="Arial"/>
          <w:sz w:val="20"/>
          <w:szCs w:val="20"/>
          <w:lang w:val="es-CO"/>
        </w:rPr>
        <w:t xml:space="preserve">. </w:t>
      </w:r>
    </w:p>
    <w:p w14:paraId="5B2FC7AF" w14:textId="530C690D" w:rsidR="00D0763E" w:rsidRPr="001D0F68" w:rsidRDefault="00D0763E" w:rsidP="008C487C">
      <w:pPr>
        <w:jc w:val="both"/>
        <w:rPr>
          <w:rFonts w:ascii="Arial" w:eastAsia="Calibri" w:hAnsi="Arial" w:cs="Arial"/>
          <w:bCs/>
          <w:sz w:val="20"/>
          <w:szCs w:val="20"/>
          <w:lang w:val="es-CO"/>
        </w:rPr>
      </w:pPr>
    </w:p>
    <w:p w14:paraId="5A63AC93" w14:textId="60ECC08D" w:rsidR="00D0763E" w:rsidRPr="001D0F68" w:rsidRDefault="00D0763E" w:rsidP="00D0763E">
      <w:pPr>
        <w:jc w:val="both"/>
        <w:rPr>
          <w:rFonts w:ascii="Arial" w:eastAsia="Calibri" w:hAnsi="Arial" w:cs="Arial"/>
          <w:b/>
          <w:sz w:val="22"/>
          <w:lang w:val="es-CO"/>
        </w:rPr>
      </w:pPr>
      <w:r w:rsidRPr="001D0F68">
        <w:rPr>
          <w:rFonts w:ascii="Arial" w:eastAsia="Calibri" w:hAnsi="Arial" w:cs="Arial"/>
          <w:b/>
          <w:sz w:val="22"/>
          <w:lang w:val="es-CO"/>
        </w:rPr>
        <w:t xml:space="preserve">EMPRESA </w:t>
      </w:r>
      <w:r w:rsidR="007672D5" w:rsidRPr="001D0F68">
        <w:rPr>
          <w:rFonts w:ascii="Arial" w:eastAsia="Calibri" w:hAnsi="Arial" w:cs="Arial"/>
          <w:b/>
          <w:sz w:val="22"/>
          <w:lang w:val="es-CO"/>
        </w:rPr>
        <w:t>–</w:t>
      </w:r>
      <w:r w:rsidRPr="001D0F68">
        <w:rPr>
          <w:rFonts w:ascii="Arial" w:eastAsia="Calibri" w:hAnsi="Arial" w:cs="Arial"/>
          <w:b/>
          <w:sz w:val="22"/>
          <w:lang w:val="es-CO"/>
        </w:rPr>
        <w:t xml:space="preserve"> Formación </w:t>
      </w:r>
      <w:r w:rsidR="007672D5" w:rsidRPr="001D0F68">
        <w:rPr>
          <w:rFonts w:ascii="Arial" w:eastAsia="Calibri" w:hAnsi="Arial" w:cs="Arial"/>
          <w:b/>
          <w:sz w:val="22"/>
          <w:lang w:val="es-CO"/>
        </w:rPr>
        <w:t>–</w:t>
      </w:r>
      <w:r w:rsidRPr="001D0F68">
        <w:rPr>
          <w:rFonts w:ascii="Arial" w:eastAsia="Calibri" w:hAnsi="Arial" w:cs="Arial"/>
          <w:b/>
          <w:sz w:val="22"/>
          <w:lang w:val="es-CO"/>
        </w:rPr>
        <w:t xml:space="preserve"> Código de Comercio</w:t>
      </w:r>
    </w:p>
    <w:p w14:paraId="3CE06077" w14:textId="77777777" w:rsidR="00D0763E" w:rsidRPr="001D0F68" w:rsidRDefault="00D0763E" w:rsidP="00D0763E">
      <w:pPr>
        <w:jc w:val="both"/>
        <w:rPr>
          <w:rFonts w:ascii="Arial" w:eastAsia="Calibri" w:hAnsi="Arial" w:cs="Arial"/>
          <w:b/>
          <w:sz w:val="21"/>
          <w:szCs w:val="21"/>
          <w:lang w:val="es-CO"/>
        </w:rPr>
      </w:pPr>
    </w:p>
    <w:p w14:paraId="06E17FA3" w14:textId="668112C3" w:rsidR="00D0763E" w:rsidRPr="001D0F68" w:rsidRDefault="00D0763E" w:rsidP="00D0763E">
      <w:pPr>
        <w:jc w:val="both"/>
        <w:rPr>
          <w:rFonts w:ascii="Arial" w:eastAsia="Calibri" w:hAnsi="Arial" w:cs="Arial"/>
          <w:bCs/>
          <w:sz w:val="20"/>
          <w:szCs w:val="20"/>
          <w:lang w:val="es-CO"/>
        </w:rPr>
      </w:pPr>
      <w:r w:rsidRPr="001D0F68">
        <w:rPr>
          <w:rFonts w:ascii="Arial" w:eastAsia="Calibri" w:hAnsi="Arial" w:cs="Arial"/>
          <w:bCs/>
          <w:sz w:val="20"/>
          <w:szCs w:val="20"/>
          <w:lang w:val="es-CO"/>
        </w:rPr>
        <w:t>La empresa se forma a través de un contrato de sociedad por medio del cual dos o más personas se obligan a hacer un aporte en dinero, en trabajo o en otros bienes apreciables en dinero con el fin de repartirse entre sí las utilidades obtenidas en la empresa, según el artículo 98 ibidem. En ese sentido, puede decirse que serán sociedades comerciales aquellas que ejecuten actos o empresas mercantiles, en los términos señalados en el artículo 98 del Código de Comercio.</w:t>
      </w:r>
    </w:p>
    <w:p w14:paraId="00B9B39C" w14:textId="6F2C294E" w:rsidR="00D0763E" w:rsidRPr="001D0F68" w:rsidRDefault="00D0763E" w:rsidP="00D0763E">
      <w:pPr>
        <w:jc w:val="both"/>
        <w:rPr>
          <w:rFonts w:ascii="Arial" w:eastAsia="Calibri" w:hAnsi="Arial" w:cs="Arial"/>
          <w:bCs/>
          <w:sz w:val="20"/>
          <w:szCs w:val="20"/>
          <w:lang w:val="es-CO"/>
        </w:rPr>
      </w:pPr>
    </w:p>
    <w:p w14:paraId="5363E083" w14:textId="24730F38" w:rsidR="00D0763E" w:rsidRPr="001D0F68" w:rsidRDefault="00D0763E" w:rsidP="7DE4BB77">
      <w:pPr>
        <w:jc w:val="both"/>
        <w:rPr>
          <w:rFonts w:ascii="Arial" w:eastAsia="Calibri" w:hAnsi="Arial" w:cs="Arial"/>
          <w:b/>
          <w:bCs/>
          <w:sz w:val="22"/>
          <w:lang w:val="es-CO"/>
        </w:rPr>
      </w:pPr>
      <w:r w:rsidRPr="001D0F68">
        <w:rPr>
          <w:rFonts w:ascii="Arial" w:eastAsia="Calibri" w:hAnsi="Arial" w:cs="Arial"/>
          <w:b/>
          <w:bCs/>
          <w:sz w:val="22"/>
          <w:lang w:val="es-CO"/>
        </w:rPr>
        <w:t xml:space="preserve">MIPYMES </w:t>
      </w:r>
      <w:r w:rsidR="00112234">
        <w:rPr>
          <w:rFonts w:ascii="Arial" w:eastAsia="Calibri" w:hAnsi="Arial" w:cs="Arial"/>
          <w:b/>
          <w:bCs/>
          <w:sz w:val="22"/>
          <w:lang w:val="es-CO"/>
        </w:rPr>
        <w:t xml:space="preserve">– ESAL </w:t>
      </w:r>
      <w:r w:rsidR="007672D5" w:rsidRPr="001D0F68">
        <w:rPr>
          <w:rFonts w:ascii="Arial" w:eastAsia="Calibri" w:hAnsi="Arial" w:cs="Arial"/>
          <w:b/>
          <w:bCs/>
          <w:sz w:val="22"/>
          <w:lang w:val="es-CO"/>
        </w:rPr>
        <w:t>–</w:t>
      </w:r>
      <w:r w:rsidRPr="001D0F68">
        <w:rPr>
          <w:rFonts w:ascii="Arial" w:eastAsia="Calibri" w:hAnsi="Arial" w:cs="Arial"/>
          <w:b/>
          <w:bCs/>
          <w:sz w:val="22"/>
          <w:lang w:val="es-CO"/>
        </w:rPr>
        <w:t xml:space="preserve"> </w:t>
      </w:r>
      <w:r w:rsidR="00112234" w:rsidRPr="001D0F68">
        <w:rPr>
          <w:rFonts w:ascii="Arial" w:eastAsia="Calibri" w:hAnsi="Arial" w:cs="Arial"/>
          <w:b/>
          <w:bCs/>
          <w:sz w:val="22"/>
          <w:lang w:val="es-CO"/>
        </w:rPr>
        <w:t xml:space="preserve">Ánimo de lucro </w:t>
      </w:r>
    </w:p>
    <w:p w14:paraId="39A8F3EE" w14:textId="77777777" w:rsidR="00D0763E" w:rsidRPr="001D0F68" w:rsidRDefault="00D0763E" w:rsidP="00D0763E">
      <w:pPr>
        <w:jc w:val="both"/>
        <w:rPr>
          <w:rFonts w:ascii="Arial" w:eastAsia="Calibri" w:hAnsi="Arial" w:cs="Arial"/>
          <w:b/>
          <w:sz w:val="21"/>
          <w:szCs w:val="21"/>
          <w:lang w:val="es-CO"/>
        </w:rPr>
      </w:pPr>
    </w:p>
    <w:p w14:paraId="0C399A0A" w14:textId="60FE2585" w:rsidR="00D0763E" w:rsidRPr="001D0F68" w:rsidRDefault="00D0763E" w:rsidP="00D0763E">
      <w:pPr>
        <w:jc w:val="both"/>
        <w:rPr>
          <w:rFonts w:ascii="Arial" w:eastAsia="Calibri" w:hAnsi="Arial" w:cs="Arial"/>
          <w:bCs/>
          <w:sz w:val="20"/>
          <w:szCs w:val="20"/>
          <w:lang w:val="es-CO"/>
        </w:rPr>
      </w:pPr>
      <w:r w:rsidRPr="001D0F68">
        <w:rPr>
          <w:rFonts w:ascii="Arial" w:eastAsia="Calibri" w:hAnsi="Arial" w:cs="Arial"/>
          <w:bCs/>
          <w:sz w:val="20"/>
          <w:szCs w:val="20"/>
          <w:lang w:val="es-CO"/>
        </w:rPr>
        <w:t xml:space="preserve">El Libro Segundo del Código de Comercio no incluye a las corporaciones o asociaciones ni a las fundaciones, esto es, a las ESAL, en la enumeración de las sociedades comerciales. La razón de la exclusión, a nuestro juicio, es obvia: estas organizaciones no tienen fines comerciales, es decir, carecen de ánimo de lucro, por eso no forman un tipo o clase de sociedad comercial. La norma que regula este tipo de corporaciones o asociaciones es el Código Civil –entre otras normas que se </w:t>
      </w:r>
      <w:r w:rsidRPr="001D0F68">
        <w:rPr>
          <w:rFonts w:ascii="Arial" w:eastAsia="Calibri" w:hAnsi="Arial" w:cs="Arial"/>
          <w:bCs/>
          <w:sz w:val="20"/>
          <w:szCs w:val="20"/>
          <w:lang w:val="es-CO"/>
        </w:rPr>
        <w:lastRenderedPageBreak/>
        <w:t>armonizan con él–,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comunidad. La ausencia de ánimo de lucro es, entonces, la característica determinante de estas corporaciones u organizaciones, tanto que de allí toman su nombre, y por eso mismo la diferencia fundamental con las sociedades comerciales.</w:t>
      </w:r>
    </w:p>
    <w:p w14:paraId="10F23EB4" w14:textId="385C3BA2" w:rsidR="00BB0EA7" w:rsidRPr="001D0F68" w:rsidRDefault="00BB0EA7" w:rsidP="00D0763E">
      <w:pPr>
        <w:jc w:val="both"/>
        <w:rPr>
          <w:rFonts w:ascii="Arial" w:eastAsia="Calibri" w:hAnsi="Arial" w:cs="Arial"/>
          <w:bCs/>
          <w:sz w:val="20"/>
          <w:szCs w:val="20"/>
          <w:lang w:val="es-CO"/>
        </w:rPr>
      </w:pPr>
    </w:p>
    <w:p w14:paraId="5796C863" w14:textId="3608F7E9" w:rsidR="00BB0EA7" w:rsidRPr="001D0F68" w:rsidRDefault="00BB0EA7" w:rsidP="7DE4BB77">
      <w:pPr>
        <w:jc w:val="both"/>
        <w:rPr>
          <w:rFonts w:ascii="Arial" w:eastAsia="Calibri" w:hAnsi="Arial" w:cs="Arial"/>
          <w:b/>
          <w:bCs/>
          <w:sz w:val="22"/>
          <w:lang w:val="es-CO"/>
        </w:rPr>
      </w:pPr>
      <w:r w:rsidRPr="001D0F68">
        <w:rPr>
          <w:rFonts w:ascii="Arial" w:eastAsia="Calibri" w:hAnsi="Arial" w:cs="Arial"/>
          <w:b/>
          <w:bCs/>
          <w:sz w:val="22"/>
          <w:lang w:val="es-CO"/>
        </w:rPr>
        <w:t xml:space="preserve">MIPYMES </w:t>
      </w:r>
      <w:r w:rsidR="00112234" w:rsidRPr="001D0F68">
        <w:rPr>
          <w:rFonts w:ascii="Arial" w:eastAsia="Calibri" w:hAnsi="Arial" w:cs="Arial"/>
          <w:b/>
          <w:bCs/>
          <w:sz w:val="22"/>
          <w:lang w:val="es-CO"/>
        </w:rPr>
        <w:t xml:space="preserve">– Convocatorias limitadas </w:t>
      </w:r>
      <w:r w:rsidR="007672D5" w:rsidRPr="001D0F68">
        <w:rPr>
          <w:rFonts w:ascii="Arial" w:eastAsia="Calibri" w:hAnsi="Arial" w:cs="Arial"/>
          <w:b/>
          <w:bCs/>
          <w:sz w:val="22"/>
          <w:lang w:val="es-CO"/>
        </w:rPr>
        <w:t>–</w:t>
      </w:r>
      <w:r w:rsidR="00692292" w:rsidRPr="001D0F68">
        <w:rPr>
          <w:rFonts w:ascii="Arial" w:eastAsia="Calibri" w:hAnsi="Arial" w:cs="Arial"/>
          <w:b/>
          <w:bCs/>
          <w:sz w:val="22"/>
          <w:lang w:val="es-CO"/>
        </w:rPr>
        <w:t xml:space="preserve"> ESAL – </w:t>
      </w:r>
      <w:r w:rsidR="785D7A4B" w:rsidRPr="001D0F68">
        <w:rPr>
          <w:rFonts w:ascii="Arial" w:eastAsia="Calibri" w:hAnsi="Arial" w:cs="Arial"/>
          <w:b/>
          <w:bCs/>
          <w:sz w:val="22"/>
          <w:lang w:val="es-CO"/>
        </w:rPr>
        <w:t>S</w:t>
      </w:r>
      <w:r w:rsidRPr="001D0F68">
        <w:rPr>
          <w:rFonts w:ascii="Arial" w:eastAsia="Calibri" w:hAnsi="Arial" w:cs="Arial"/>
          <w:b/>
          <w:bCs/>
          <w:sz w:val="22"/>
          <w:lang w:val="es-CO"/>
        </w:rPr>
        <w:t>ociedades comerciales</w:t>
      </w:r>
      <w:r w:rsidR="00692292" w:rsidRPr="001D0F68">
        <w:rPr>
          <w:rFonts w:ascii="Arial" w:eastAsia="Calibri" w:hAnsi="Arial" w:cs="Arial"/>
          <w:b/>
          <w:bCs/>
          <w:sz w:val="22"/>
          <w:lang w:val="es-CO"/>
        </w:rPr>
        <w:t xml:space="preserve"> – </w:t>
      </w:r>
      <w:r w:rsidR="4FAAE9DD" w:rsidRPr="001D0F68">
        <w:rPr>
          <w:rFonts w:ascii="Arial" w:eastAsia="Calibri" w:hAnsi="Arial" w:cs="Arial"/>
          <w:b/>
          <w:bCs/>
          <w:sz w:val="22"/>
          <w:lang w:val="es-CO"/>
        </w:rPr>
        <w:t>No asimilable</w:t>
      </w:r>
      <w:r w:rsidR="00112234">
        <w:rPr>
          <w:rFonts w:ascii="Arial" w:eastAsia="Calibri" w:hAnsi="Arial" w:cs="Arial"/>
          <w:b/>
          <w:bCs/>
          <w:sz w:val="22"/>
          <w:lang w:val="es-CO"/>
        </w:rPr>
        <w:t>s</w:t>
      </w:r>
      <w:r w:rsidR="4FAAE9DD" w:rsidRPr="001D0F68">
        <w:rPr>
          <w:rFonts w:ascii="Arial" w:eastAsia="Calibri" w:hAnsi="Arial" w:cs="Arial"/>
          <w:b/>
          <w:bCs/>
          <w:sz w:val="22"/>
          <w:lang w:val="es-CO"/>
        </w:rPr>
        <w:t xml:space="preserve"> </w:t>
      </w:r>
    </w:p>
    <w:p w14:paraId="4E9251A9" w14:textId="77777777" w:rsidR="00BB0EA7" w:rsidRPr="001D0F68" w:rsidRDefault="00BB0EA7" w:rsidP="00BB0EA7">
      <w:pPr>
        <w:jc w:val="both"/>
        <w:rPr>
          <w:rFonts w:ascii="Arial" w:eastAsia="Calibri" w:hAnsi="Arial" w:cs="Arial"/>
          <w:b/>
          <w:sz w:val="21"/>
          <w:szCs w:val="21"/>
          <w:lang w:val="es-CO"/>
        </w:rPr>
      </w:pPr>
    </w:p>
    <w:p w14:paraId="583968A2" w14:textId="77777777" w:rsidR="00B91A95" w:rsidRPr="001D0F68" w:rsidRDefault="002E7BC2" w:rsidP="00C908AB">
      <w:pPr>
        <w:spacing w:after="120"/>
        <w:jc w:val="both"/>
        <w:rPr>
          <w:rFonts w:ascii="Arial" w:eastAsia="Calibri" w:hAnsi="Arial" w:cs="Arial"/>
          <w:bCs/>
          <w:sz w:val="20"/>
          <w:szCs w:val="20"/>
          <w:lang w:val="es-CO"/>
        </w:rPr>
      </w:pPr>
      <w:r w:rsidRPr="001D0F68">
        <w:rPr>
          <w:rFonts w:ascii="Arial" w:eastAsia="Calibri" w:hAnsi="Arial" w:cs="Arial"/>
          <w:bCs/>
          <w:sz w:val="20"/>
          <w:szCs w:val="20"/>
          <w:lang w:val="es-CO"/>
        </w:rPr>
        <w:t>Que una ESAL no sea una forma de sociedad comercial se infiere de los requisitos que exige el artículo 98 del Código de Comercio, concretamente del previsto al final del inciso primero: la finalidad. En efecto, la norma en comento dispone: «[p]</w:t>
      </w:r>
      <w:proofErr w:type="spellStart"/>
      <w:r w:rsidRPr="001D0F68">
        <w:rPr>
          <w:rFonts w:ascii="Arial" w:eastAsia="Calibri" w:hAnsi="Arial" w:cs="Arial"/>
          <w:bCs/>
          <w:sz w:val="20"/>
          <w:szCs w:val="20"/>
          <w:lang w:val="es-CO"/>
        </w:rPr>
        <w:t>or</w:t>
      </w:r>
      <w:proofErr w:type="spellEnd"/>
      <w:r w:rsidRPr="001D0F68">
        <w:rPr>
          <w:rFonts w:ascii="Arial" w:eastAsia="Calibri" w:hAnsi="Arial" w:cs="Arial"/>
          <w:bCs/>
          <w:sz w:val="20"/>
          <w:szCs w:val="20"/>
          <w:lang w:val="es-CO"/>
        </w:rPr>
        <w:t xml:space="preserve"> el contrato de sociedad dos o más personas se obligan a hacer un aporte en dinero, en trabajo o en otros bienes apreciables en dinero, con el fin de repartirse entre sí las utilidades obtenidas en la empresa o actividad social». Es del caso precisar que en el caso de las ESAL no se admite el reparto de utilidades, ni durante la existencia de la organización ni cuando se extinga, y en este aspecto, se insiste, radica la diferencia más apreciable entre unas y otras organizaciones, pese a que ambas se crean con libertad y al amparo del derecho fundamental de asociación, previsto en el art. 38 de la Constitución Política y otras normas contenidas en tratados internacionales.</w:t>
      </w:r>
    </w:p>
    <w:p w14:paraId="45689130" w14:textId="2BAA0AD3" w:rsidR="00BB0EA7" w:rsidRPr="001D0F68" w:rsidRDefault="002E7BC2" w:rsidP="002E7BC2">
      <w:pPr>
        <w:jc w:val="both"/>
        <w:rPr>
          <w:rFonts w:ascii="Arial" w:eastAsia="Calibri" w:hAnsi="Arial" w:cs="Arial"/>
          <w:bCs/>
          <w:sz w:val="20"/>
          <w:szCs w:val="20"/>
          <w:lang w:val="es-CO"/>
        </w:rPr>
      </w:pPr>
      <w:r w:rsidRPr="001D0F68">
        <w:rPr>
          <w:rFonts w:ascii="Arial" w:eastAsia="Calibri" w:hAnsi="Arial" w:cs="Arial"/>
          <w:bCs/>
          <w:sz w:val="20"/>
          <w:szCs w:val="20"/>
          <w:lang w:val="es-CO"/>
        </w:rPr>
        <w:t>De conformidad con lo anterior, una «fundación» o una «asociación o corporación», constituidas en los términos del Código Civil, no pueden asimilarse o identificarse con una «sociedad comercial», como uniformemente lo considera la doctrina y la jurisprudencia civil y comercial, en el entendido de que esta última se crea con la finalidad de que sus socios repartan las utilidades obtenidas en desarrollo de la empresa o actividad social; mientras que en aquellas el patrimonio se afecta a la consecución de un interés general y, como tal, no se percibe lucro.</w:t>
      </w:r>
    </w:p>
    <w:p w14:paraId="356E0716" w14:textId="5912A6F1" w:rsidR="003353E6" w:rsidRPr="001D0F68" w:rsidRDefault="003353E6" w:rsidP="002E7BC2">
      <w:pPr>
        <w:jc w:val="both"/>
        <w:rPr>
          <w:rFonts w:ascii="Arial" w:eastAsia="Calibri" w:hAnsi="Arial" w:cs="Arial"/>
          <w:bCs/>
          <w:sz w:val="20"/>
          <w:szCs w:val="20"/>
          <w:lang w:val="es-CO"/>
        </w:rPr>
      </w:pPr>
    </w:p>
    <w:p w14:paraId="4DAB0B8B" w14:textId="111B876E" w:rsidR="003353E6" w:rsidRPr="001D0F68" w:rsidRDefault="003353E6" w:rsidP="003353E6">
      <w:pPr>
        <w:jc w:val="both"/>
        <w:rPr>
          <w:rFonts w:ascii="Arial" w:eastAsia="Calibri" w:hAnsi="Arial" w:cs="Arial"/>
          <w:b/>
          <w:bCs/>
          <w:sz w:val="22"/>
        </w:rPr>
      </w:pPr>
      <w:r w:rsidRPr="001D0F68">
        <w:rPr>
          <w:rFonts w:ascii="Arial" w:eastAsia="Calibri" w:hAnsi="Arial" w:cs="Arial"/>
          <w:b/>
          <w:bCs/>
          <w:sz w:val="22"/>
        </w:rPr>
        <w:t xml:space="preserve">MIPYMES </w:t>
      </w:r>
      <w:bookmarkStart w:id="2" w:name="_Hlk39666823"/>
      <w:r w:rsidRPr="001D0F68">
        <w:rPr>
          <w:rFonts w:ascii="Arial" w:eastAsia="Calibri" w:hAnsi="Arial" w:cs="Arial"/>
          <w:b/>
          <w:bCs/>
          <w:sz w:val="22"/>
        </w:rPr>
        <w:t>–</w:t>
      </w:r>
      <w:bookmarkEnd w:id="2"/>
      <w:r w:rsidRPr="001D0F68">
        <w:rPr>
          <w:rFonts w:ascii="Arial" w:eastAsia="Calibri" w:hAnsi="Arial" w:cs="Arial"/>
          <w:b/>
          <w:bCs/>
          <w:sz w:val="22"/>
        </w:rPr>
        <w:t xml:space="preserve"> Imposibilidad – Participación – Convocatorias limitadas </w:t>
      </w:r>
    </w:p>
    <w:p w14:paraId="35E6BCFF" w14:textId="77777777" w:rsidR="003353E6" w:rsidRPr="001D0F68" w:rsidRDefault="003353E6" w:rsidP="003353E6">
      <w:pPr>
        <w:jc w:val="both"/>
        <w:rPr>
          <w:rFonts w:ascii="Arial" w:eastAsia="Calibri" w:hAnsi="Arial" w:cs="Arial"/>
          <w:b/>
          <w:sz w:val="21"/>
          <w:szCs w:val="21"/>
        </w:rPr>
      </w:pPr>
    </w:p>
    <w:p w14:paraId="6FED52E2" w14:textId="77777777" w:rsidR="003353E6" w:rsidRPr="001D0F68" w:rsidRDefault="003353E6" w:rsidP="003353E6">
      <w:pPr>
        <w:spacing w:after="120"/>
        <w:jc w:val="both"/>
        <w:rPr>
          <w:rFonts w:ascii="Arial" w:eastAsia="Calibri" w:hAnsi="Arial" w:cs="Arial"/>
          <w:bCs/>
          <w:sz w:val="20"/>
          <w:szCs w:val="20"/>
        </w:rPr>
      </w:pPr>
      <w:r w:rsidRPr="001D0F68">
        <w:rPr>
          <w:rFonts w:ascii="Arial" w:eastAsia="Calibri" w:hAnsi="Arial" w:cs="Arial"/>
          <w:bCs/>
          <w:sz w:val="20"/>
          <w:szCs w:val="20"/>
        </w:rPr>
        <w:t>Que una ESAL no sea una forma de sociedad comercial se infiere de los requisitos que exige el artículo 98 del Código de Comercio, concretamente del previsto al final del inciso primero: la finalidad. En efecto, la norma en comento dispone: «[p]</w:t>
      </w:r>
      <w:proofErr w:type="spellStart"/>
      <w:r w:rsidRPr="001D0F68">
        <w:rPr>
          <w:rFonts w:ascii="Arial" w:eastAsia="Calibri" w:hAnsi="Arial" w:cs="Arial"/>
          <w:bCs/>
          <w:sz w:val="20"/>
          <w:szCs w:val="20"/>
        </w:rPr>
        <w:t>or</w:t>
      </w:r>
      <w:proofErr w:type="spellEnd"/>
      <w:r w:rsidRPr="001D0F68">
        <w:rPr>
          <w:rFonts w:ascii="Arial" w:eastAsia="Calibri" w:hAnsi="Arial" w:cs="Arial"/>
          <w:bCs/>
          <w:sz w:val="20"/>
          <w:szCs w:val="20"/>
        </w:rPr>
        <w:t xml:space="preserve"> el contrato de sociedad dos o más personas se obligan a hacer un aporte en dinero, en trabajo o en otros bienes apreciables en dinero, con el fin de repartirse entre sí las utilidades obtenidas en la empresa o actividad social». Es del caso precisar que en el caso de las ESAL no se admite el reparto de utilidades, ni durante la existencia de la organización ni cuando se extinga, y en este aspecto, se insiste, radica la diferencia más apreciable entre unas y otras organizaciones, pese a que ambas se crean con libertad y al amparo del derecho fundamental de asociación, previsto en el artículo 38 de la Constitución Política y otras normas contenidas en tratados internacionales […].</w:t>
      </w:r>
    </w:p>
    <w:p w14:paraId="7E91968B" w14:textId="77777777" w:rsidR="003353E6" w:rsidRPr="001D0F68" w:rsidRDefault="003353E6" w:rsidP="003353E6">
      <w:pPr>
        <w:jc w:val="both"/>
        <w:rPr>
          <w:rFonts w:ascii="Arial" w:eastAsia="Calibri" w:hAnsi="Arial" w:cs="Arial"/>
          <w:bCs/>
          <w:sz w:val="20"/>
          <w:szCs w:val="20"/>
          <w:lang w:val="es-CO"/>
        </w:rPr>
      </w:pPr>
      <w:r w:rsidRPr="001D0F68">
        <w:rPr>
          <w:rFonts w:ascii="Arial" w:eastAsia="Calibri" w:hAnsi="Arial" w:cs="Arial"/>
          <w:bCs/>
          <w:sz w:val="20"/>
          <w:szCs w:val="20"/>
        </w:rPr>
        <w:t>De conformidad con lo anterior, una «fundación» o una «asociación o corporación», constituidas en los términos del Código Civil, no pueden asimilarse o identificarse con una «sociedad comercial», como uniformemente lo considera la doctrina y la jurisprudencia civil y comercial, en el entendido de que esta última se crea con la finalidad de que sus socios repartan las utilidades obtenidas en desarrollo de la empresa o actividad social; mientras que en aquellas el patrimonio se afecta a la consecución de un interés general y, como tal, no se percibe lucro.</w:t>
      </w:r>
    </w:p>
    <w:p w14:paraId="3B9B3E1F" w14:textId="77777777" w:rsidR="003353E6" w:rsidRPr="001D0F68" w:rsidRDefault="003353E6" w:rsidP="002E7BC2">
      <w:pPr>
        <w:jc w:val="both"/>
        <w:rPr>
          <w:rFonts w:ascii="Arial" w:eastAsia="Calibri" w:hAnsi="Arial" w:cs="Arial"/>
          <w:bCs/>
          <w:sz w:val="20"/>
          <w:szCs w:val="20"/>
          <w:lang w:val="es-CO"/>
        </w:rPr>
      </w:pPr>
    </w:p>
    <w:p w14:paraId="69C1EA73" w14:textId="12516FBE" w:rsidR="008C487C" w:rsidRPr="001D0F68" w:rsidRDefault="008C487C" w:rsidP="007C1102">
      <w:pPr>
        <w:rPr>
          <w:rFonts w:ascii="Arial" w:hAnsi="Arial" w:cs="Arial"/>
          <w:sz w:val="20"/>
          <w:szCs w:val="20"/>
          <w:lang w:val="es-CO"/>
        </w:rPr>
      </w:pPr>
    </w:p>
    <w:p w14:paraId="59388CD6" w14:textId="697FCC26" w:rsidR="0051273E" w:rsidRPr="001D0F68" w:rsidRDefault="0051273E" w:rsidP="007C1102">
      <w:pPr>
        <w:rPr>
          <w:rFonts w:ascii="Arial" w:hAnsi="Arial" w:cs="Arial"/>
          <w:sz w:val="20"/>
          <w:szCs w:val="20"/>
          <w:lang w:val="es-CO"/>
        </w:rPr>
      </w:pPr>
    </w:p>
    <w:p w14:paraId="66C7C8E9" w14:textId="77777777" w:rsidR="0051273E" w:rsidRPr="001D0F68" w:rsidRDefault="0051273E" w:rsidP="007C1102">
      <w:pPr>
        <w:rPr>
          <w:rFonts w:ascii="Arial" w:hAnsi="Arial" w:cs="Arial"/>
          <w:sz w:val="20"/>
          <w:szCs w:val="20"/>
          <w:lang w:val="es-CO"/>
        </w:rPr>
      </w:pPr>
    </w:p>
    <w:p w14:paraId="4CDC7050" w14:textId="77777777" w:rsidR="007C1102" w:rsidRPr="001D0F68" w:rsidRDefault="007C1102" w:rsidP="007C1102">
      <w:pPr>
        <w:rPr>
          <w:rFonts w:ascii="Arial" w:hAnsi="Arial" w:cs="Arial"/>
          <w:sz w:val="20"/>
          <w:szCs w:val="20"/>
          <w:lang w:val="es-CO"/>
        </w:rPr>
      </w:pPr>
    </w:p>
    <w:p w14:paraId="44A739E0" w14:textId="77777777" w:rsidR="00112234" w:rsidRDefault="00112234" w:rsidP="0051273E">
      <w:pPr>
        <w:rPr>
          <w:rFonts w:ascii="Arial" w:eastAsia="Calibri" w:hAnsi="Arial" w:cs="Arial"/>
          <w:sz w:val="22"/>
          <w:szCs w:val="20"/>
        </w:rPr>
      </w:pPr>
    </w:p>
    <w:p w14:paraId="40CA7FF3" w14:textId="77777777" w:rsidR="00112234" w:rsidRDefault="00112234" w:rsidP="0051273E">
      <w:pPr>
        <w:rPr>
          <w:rFonts w:ascii="Arial" w:eastAsia="Calibri" w:hAnsi="Arial" w:cs="Arial"/>
          <w:sz w:val="22"/>
          <w:szCs w:val="20"/>
        </w:rPr>
      </w:pPr>
    </w:p>
    <w:p w14:paraId="71AB92B0" w14:textId="77777777" w:rsidR="00031A28" w:rsidRPr="00031A28" w:rsidRDefault="00031A28" w:rsidP="00031A28">
      <w:pPr>
        <w:autoSpaceDE w:val="0"/>
        <w:autoSpaceDN w:val="0"/>
        <w:adjustRightInd w:val="0"/>
        <w:rPr>
          <w:rFonts w:ascii="Arial" w:hAnsi="Arial" w:cs="Arial"/>
          <w:color w:val="000000"/>
          <w:szCs w:val="24"/>
          <w:lang w:val="es-CO"/>
        </w:rPr>
      </w:pPr>
    </w:p>
    <w:p w14:paraId="5E276066" w14:textId="77777777" w:rsidR="00031A28" w:rsidRPr="00031A28" w:rsidRDefault="00031A28" w:rsidP="00031A28">
      <w:pPr>
        <w:autoSpaceDE w:val="0"/>
        <w:autoSpaceDN w:val="0"/>
        <w:adjustRightInd w:val="0"/>
        <w:rPr>
          <w:rFonts w:ascii="Arial" w:hAnsi="Arial" w:cs="Arial"/>
          <w:color w:val="000000"/>
          <w:sz w:val="22"/>
          <w:lang w:val="es-CO"/>
        </w:rPr>
      </w:pPr>
      <w:r w:rsidRPr="00031A28">
        <w:rPr>
          <w:rFonts w:ascii="Arial" w:hAnsi="Arial" w:cs="Arial"/>
          <w:color w:val="000000"/>
          <w:szCs w:val="24"/>
          <w:lang w:val="es-CO"/>
        </w:rPr>
        <w:t xml:space="preserve"> </w:t>
      </w:r>
      <w:r w:rsidRPr="00031A28">
        <w:rPr>
          <w:rFonts w:ascii="Arial" w:hAnsi="Arial" w:cs="Arial"/>
          <w:color w:val="000000"/>
          <w:sz w:val="22"/>
          <w:lang w:val="es-CO"/>
        </w:rPr>
        <w:t xml:space="preserve">Bogotá D.C., </w:t>
      </w:r>
      <w:r w:rsidRPr="00031A28">
        <w:rPr>
          <w:rFonts w:ascii="Arial" w:hAnsi="Arial" w:cs="Arial"/>
          <w:b/>
          <w:bCs/>
          <w:color w:val="000000"/>
          <w:sz w:val="22"/>
          <w:lang w:val="es-CO"/>
        </w:rPr>
        <w:t xml:space="preserve">14/12/2020 Hora 20:49:47s </w:t>
      </w:r>
    </w:p>
    <w:p w14:paraId="3C3E8FB5" w14:textId="27AA09A4" w:rsidR="0051273E" w:rsidRPr="001D0F68" w:rsidRDefault="00031A28" w:rsidP="00031A28">
      <w:pPr>
        <w:jc w:val="right"/>
        <w:rPr>
          <w:rFonts w:ascii="Arial" w:eastAsia="Calibri" w:hAnsi="Arial" w:cs="Arial"/>
          <w:b/>
          <w:sz w:val="22"/>
          <w:szCs w:val="20"/>
        </w:rPr>
      </w:pPr>
      <w:proofErr w:type="spellStart"/>
      <w:r w:rsidRPr="00031A28">
        <w:rPr>
          <w:rFonts w:ascii="Arial" w:hAnsi="Arial" w:cs="Arial"/>
          <w:b/>
          <w:bCs/>
          <w:color w:val="000000"/>
          <w:sz w:val="22"/>
          <w:lang w:val="es-CO"/>
        </w:rPr>
        <w:t>N°</w:t>
      </w:r>
      <w:proofErr w:type="spellEnd"/>
      <w:r w:rsidRPr="00031A28">
        <w:rPr>
          <w:rFonts w:ascii="Arial" w:hAnsi="Arial" w:cs="Arial"/>
          <w:b/>
          <w:bCs/>
          <w:color w:val="000000"/>
          <w:sz w:val="22"/>
          <w:lang w:val="es-CO"/>
        </w:rPr>
        <w:t xml:space="preserve"> Radicado: 2202013000012012</w:t>
      </w:r>
    </w:p>
    <w:p w14:paraId="559C0A4B" w14:textId="339B54D6" w:rsidR="008C487C" w:rsidRDefault="008C487C" w:rsidP="008C487C">
      <w:pPr>
        <w:rPr>
          <w:rFonts w:ascii="Arial" w:eastAsia="Calibri" w:hAnsi="Arial" w:cs="Arial"/>
          <w:sz w:val="22"/>
          <w:lang w:val="es-CO"/>
        </w:rPr>
      </w:pPr>
    </w:p>
    <w:p w14:paraId="69125B20" w14:textId="77777777" w:rsidR="00112234" w:rsidRPr="001D0F68" w:rsidRDefault="00112234" w:rsidP="008C487C">
      <w:pPr>
        <w:rPr>
          <w:rFonts w:ascii="Arial" w:eastAsia="Calibri" w:hAnsi="Arial" w:cs="Arial"/>
          <w:sz w:val="22"/>
          <w:lang w:val="es-CO"/>
        </w:rPr>
      </w:pPr>
    </w:p>
    <w:p w14:paraId="5E43CCF1" w14:textId="12C2633C" w:rsidR="008C487C" w:rsidRPr="001D0F68" w:rsidRDefault="008C487C" w:rsidP="008C487C">
      <w:pPr>
        <w:rPr>
          <w:rFonts w:ascii="Arial" w:eastAsia="Calibri" w:hAnsi="Arial" w:cs="Arial"/>
          <w:sz w:val="22"/>
          <w:lang w:val="es-CO"/>
        </w:rPr>
      </w:pPr>
      <w:r w:rsidRPr="001D0F68">
        <w:rPr>
          <w:rFonts w:ascii="Arial" w:eastAsia="Calibri" w:hAnsi="Arial" w:cs="Arial"/>
          <w:sz w:val="22"/>
          <w:lang w:val="es-CO"/>
        </w:rPr>
        <w:t>Señor</w:t>
      </w:r>
    </w:p>
    <w:p w14:paraId="687CB1EB" w14:textId="77777777" w:rsidR="00596F69" w:rsidRPr="001D0F68" w:rsidRDefault="00596F69" w:rsidP="008C487C">
      <w:pPr>
        <w:rPr>
          <w:rFonts w:ascii="Arial" w:eastAsia="Calibri" w:hAnsi="Arial" w:cs="Arial"/>
          <w:b/>
          <w:sz w:val="22"/>
          <w:lang w:val="es-CO"/>
        </w:rPr>
      </w:pPr>
      <w:r w:rsidRPr="001D0F68">
        <w:rPr>
          <w:rFonts w:ascii="Arial" w:eastAsia="Calibri" w:hAnsi="Arial" w:cs="Arial"/>
          <w:b/>
          <w:sz w:val="22"/>
          <w:lang w:val="es-CO"/>
        </w:rPr>
        <w:t>Abel Augusto Roldan García</w:t>
      </w:r>
    </w:p>
    <w:p w14:paraId="62C6C9B7" w14:textId="5C44F2B5" w:rsidR="003D4D18" w:rsidRPr="001D0F68" w:rsidRDefault="003D4D18" w:rsidP="008C487C">
      <w:pPr>
        <w:rPr>
          <w:rFonts w:ascii="Arial" w:eastAsia="Calibri" w:hAnsi="Arial" w:cs="Arial"/>
          <w:sz w:val="22"/>
          <w:lang w:val="es-CO"/>
        </w:rPr>
      </w:pPr>
      <w:r w:rsidRPr="001D0F68">
        <w:rPr>
          <w:rFonts w:ascii="Arial" w:eastAsia="Calibri" w:hAnsi="Arial" w:cs="Arial"/>
          <w:sz w:val="22"/>
          <w:lang w:val="es-CO"/>
        </w:rPr>
        <w:t>Bogotá D.C</w:t>
      </w:r>
      <w:r w:rsidR="00E50356">
        <w:rPr>
          <w:rFonts w:ascii="Arial" w:eastAsia="Calibri" w:hAnsi="Arial" w:cs="Arial"/>
          <w:sz w:val="22"/>
          <w:lang w:val="es-CO"/>
        </w:rPr>
        <w:t>.</w:t>
      </w:r>
    </w:p>
    <w:p w14:paraId="4726CDFA" w14:textId="36B8C517" w:rsidR="00BD58A7" w:rsidRPr="001D0F68" w:rsidRDefault="00BD58A7" w:rsidP="008C487C">
      <w:pPr>
        <w:rPr>
          <w:rFonts w:ascii="Arial" w:eastAsia="Calibri" w:hAnsi="Arial" w:cs="Arial"/>
          <w:sz w:val="22"/>
          <w:lang w:val="es-CO"/>
        </w:rPr>
      </w:pPr>
    </w:p>
    <w:p w14:paraId="0F999DDA" w14:textId="77777777" w:rsidR="00EA5A59" w:rsidRPr="001D0F68" w:rsidRDefault="00EA5A59" w:rsidP="008C487C">
      <w:pPr>
        <w:rPr>
          <w:rFonts w:ascii="Arial" w:eastAsia="Calibri" w:hAnsi="Arial" w:cs="Arial"/>
          <w:sz w:val="22"/>
          <w:lang w:val="es-CO"/>
        </w:rPr>
      </w:pPr>
    </w:p>
    <w:p w14:paraId="32C9B894" w14:textId="68273C02" w:rsidR="008C487C" w:rsidRPr="001D0F68" w:rsidRDefault="008C487C" w:rsidP="008C487C">
      <w:pPr>
        <w:ind w:firstLine="2694"/>
        <w:rPr>
          <w:rFonts w:ascii="Arial" w:eastAsia="Calibri" w:hAnsi="Arial" w:cs="Arial"/>
          <w:b/>
          <w:sz w:val="22"/>
          <w:lang w:val="es-CO"/>
        </w:rPr>
      </w:pPr>
      <w:r w:rsidRPr="001D0F68">
        <w:rPr>
          <w:rFonts w:ascii="Arial" w:eastAsia="Calibri" w:hAnsi="Arial" w:cs="Arial"/>
          <w:b/>
          <w:sz w:val="22"/>
          <w:lang w:val="es-CO"/>
        </w:rPr>
        <w:t xml:space="preserve">Concepto C </w:t>
      </w:r>
      <w:r w:rsidR="004F1636" w:rsidRPr="001D0F68">
        <w:rPr>
          <w:rFonts w:ascii="Arial" w:eastAsia="Calibri" w:hAnsi="Arial" w:cs="Arial"/>
          <w:b/>
          <w:sz w:val="22"/>
          <w:lang w:val="es-CO"/>
        </w:rPr>
        <w:t xml:space="preserve">– </w:t>
      </w:r>
      <w:r w:rsidR="00112234" w:rsidRPr="00A250F5">
        <w:rPr>
          <w:rFonts w:ascii="Arial" w:eastAsia="Calibri" w:hAnsi="Arial" w:cs="Arial"/>
          <w:b/>
          <w:sz w:val="22"/>
          <w:lang w:val="es-CO"/>
        </w:rPr>
        <w:t>728</w:t>
      </w:r>
      <w:r w:rsidRPr="001D0F68">
        <w:rPr>
          <w:rFonts w:ascii="Arial" w:eastAsia="Calibri" w:hAnsi="Arial" w:cs="Arial"/>
          <w:b/>
          <w:sz w:val="22"/>
          <w:lang w:val="es-CO"/>
        </w:rPr>
        <w:t xml:space="preserve"> de 2020</w:t>
      </w:r>
    </w:p>
    <w:p w14:paraId="7FBAE466" w14:textId="77777777" w:rsidR="008C487C" w:rsidRPr="001D0F68" w:rsidRDefault="008C487C" w:rsidP="008C487C">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D0F68" w:rsidRPr="001D0F68" w14:paraId="657EE4A3" w14:textId="77777777" w:rsidTr="005573D8">
        <w:tc>
          <w:tcPr>
            <w:tcW w:w="2689" w:type="dxa"/>
            <w:hideMark/>
          </w:tcPr>
          <w:p w14:paraId="3FD906B4" w14:textId="77777777" w:rsidR="008C487C" w:rsidRPr="001D0F68" w:rsidRDefault="008C487C" w:rsidP="005573D8">
            <w:pPr>
              <w:rPr>
                <w:rFonts w:ascii="Arial" w:eastAsia="Calibri" w:hAnsi="Arial" w:cs="Arial"/>
                <w:sz w:val="22"/>
                <w:lang w:val="es-CO"/>
              </w:rPr>
            </w:pPr>
            <w:r w:rsidRPr="001D0F68">
              <w:rPr>
                <w:rFonts w:ascii="Arial" w:eastAsia="Calibri" w:hAnsi="Arial" w:cs="Arial"/>
                <w:b/>
                <w:sz w:val="22"/>
                <w:lang w:val="es-CO"/>
              </w:rPr>
              <w:t>Temas:</w:t>
            </w:r>
            <w:r w:rsidRPr="001D0F68">
              <w:rPr>
                <w:rFonts w:ascii="Arial" w:eastAsia="Calibri" w:hAnsi="Arial" w:cs="Arial"/>
                <w:sz w:val="22"/>
                <w:lang w:val="es-CO"/>
              </w:rPr>
              <w:t xml:space="preserve">           </w:t>
            </w:r>
          </w:p>
          <w:p w14:paraId="03E305BB" w14:textId="77777777" w:rsidR="008C487C" w:rsidRPr="001D0F68" w:rsidRDefault="008C487C" w:rsidP="005573D8">
            <w:pPr>
              <w:rPr>
                <w:rFonts w:ascii="Arial" w:eastAsia="Calibri" w:hAnsi="Arial" w:cs="Arial"/>
                <w:sz w:val="22"/>
                <w:lang w:val="es-CO"/>
              </w:rPr>
            </w:pPr>
            <w:r w:rsidRPr="001D0F68">
              <w:rPr>
                <w:rFonts w:ascii="Arial" w:eastAsia="Calibri" w:hAnsi="Arial" w:cs="Arial"/>
                <w:sz w:val="22"/>
                <w:lang w:val="es-CO"/>
              </w:rPr>
              <w:t xml:space="preserve">                           </w:t>
            </w:r>
          </w:p>
        </w:tc>
        <w:tc>
          <w:tcPr>
            <w:tcW w:w="6237" w:type="dxa"/>
            <w:hideMark/>
          </w:tcPr>
          <w:p w14:paraId="375F7E59" w14:textId="1444A496" w:rsidR="001F28E6" w:rsidRPr="001D0F68" w:rsidRDefault="0051273E" w:rsidP="00A250F5">
            <w:pPr>
              <w:spacing w:after="120"/>
              <w:jc w:val="both"/>
              <w:rPr>
                <w:rFonts w:ascii="Arial" w:eastAsia="Calibri" w:hAnsi="Arial" w:cs="Arial"/>
                <w:sz w:val="22"/>
                <w:lang w:val="es-CO"/>
              </w:rPr>
            </w:pPr>
            <w:r w:rsidRPr="001D0F68">
              <w:rPr>
                <w:rFonts w:ascii="Arial" w:eastAsia="Calibri" w:hAnsi="Arial" w:cs="Arial"/>
                <w:sz w:val="22"/>
                <w:lang w:val="es-CO"/>
              </w:rPr>
              <w:t>MIPYMES – Noción – Alcance / CONVOCATORIAS LIMITADAS A MIPYMES NACIONALES – Requisitos / EMPRESA – Formación – Código de Comercio / MIPYMES – Carencia – Ánimo de lucro / MIPYMES – ESAL – Sociedades comerciales – No asimilable – No participación – Convocatorias limitadas / MIPYMES – Imposibilidad – Participación – Convocatorias limitadas a Mipymes</w:t>
            </w:r>
          </w:p>
        </w:tc>
      </w:tr>
      <w:tr w:rsidR="008C487C" w:rsidRPr="001D0F68" w14:paraId="747D1B02" w14:textId="77777777" w:rsidTr="005573D8">
        <w:tc>
          <w:tcPr>
            <w:tcW w:w="2689" w:type="dxa"/>
          </w:tcPr>
          <w:p w14:paraId="501625EB" w14:textId="77777777" w:rsidR="008C487C" w:rsidRPr="001D0F68" w:rsidRDefault="008C487C" w:rsidP="00791377">
            <w:pPr>
              <w:spacing w:before="60"/>
              <w:rPr>
                <w:rFonts w:ascii="Arial" w:eastAsia="Calibri" w:hAnsi="Arial" w:cs="Arial"/>
                <w:b/>
                <w:sz w:val="22"/>
                <w:lang w:val="es-CO"/>
              </w:rPr>
            </w:pPr>
            <w:r w:rsidRPr="001D0F68">
              <w:rPr>
                <w:rFonts w:ascii="Arial" w:eastAsia="Calibri" w:hAnsi="Arial" w:cs="Arial"/>
                <w:b/>
                <w:sz w:val="22"/>
                <w:lang w:val="es-CO"/>
              </w:rPr>
              <w:t>Radicación:</w:t>
            </w:r>
            <w:r w:rsidRPr="001D0F68">
              <w:rPr>
                <w:rFonts w:ascii="Arial" w:eastAsia="Calibri" w:hAnsi="Arial" w:cs="Arial"/>
                <w:sz w:val="22"/>
                <w:lang w:val="es-CO"/>
              </w:rPr>
              <w:t xml:space="preserve">                              </w:t>
            </w:r>
          </w:p>
        </w:tc>
        <w:tc>
          <w:tcPr>
            <w:tcW w:w="6237" w:type="dxa"/>
          </w:tcPr>
          <w:p w14:paraId="589C2482" w14:textId="3B40B7BF" w:rsidR="00241F32" w:rsidRPr="001D0F68" w:rsidRDefault="008C487C" w:rsidP="00241F32">
            <w:pPr>
              <w:rPr>
                <w:rFonts w:ascii="Arial" w:eastAsia="Calibri" w:hAnsi="Arial" w:cs="Arial"/>
                <w:sz w:val="22"/>
                <w:lang w:val="es-CO"/>
              </w:rPr>
            </w:pPr>
            <w:r w:rsidRPr="001D0F68">
              <w:rPr>
                <w:rFonts w:ascii="Arial" w:eastAsia="Calibri" w:hAnsi="Arial" w:cs="Arial"/>
                <w:sz w:val="22"/>
                <w:lang w:val="es-CO"/>
              </w:rPr>
              <w:t xml:space="preserve">Respuesta a consulta # </w:t>
            </w:r>
            <w:r w:rsidR="001E7AE8" w:rsidRPr="001D0F68">
              <w:rPr>
                <w:rFonts w:ascii="Arial" w:eastAsia="Calibri" w:hAnsi="Arial" w:cs="Arial"/>
                <w:sz w:val="22"/>
                <w:lang w:val="es-CO"/>
              </w:rPr>
              <w:t>4202013000009851</w:t>
            </w:r>
          </w:p>
          <w:p w14:paraId="7CB98701" w14:textId="793184F0" w:rsidR="008C487C" w:rsidRPr="001D0F68" w:rsidRDefault="008C487C" w:rsidP="00791377">
            <w:pPr>
              <w:spacing w:before="60"/>
              <w:jc w:val="both"/>
              <w:rPr>
                <w:rFonts w:ascii="Arial" w:eastAsia="Calibri" w:hAnsi="Arial" w:cs="Arial"/>
                <w:sz w:val="22"/>
                <w:lang w:val="es-CO"/>
              </w:rPr>
            </w:pPr>
          </w:p>
        </w:tc>
      </w:tr>
    </w:tbl>
    <w:p w14:paraId="4ADFAF28" w14:textId="77777777" w:rsidR="00B70E26" w:rsidRPr="001D0F68" w:rsidRDefault="00B70E26" w:rsidP="008C487C">
      <w:pPr>
        <w:jc w:val="both"/>
        <w:rPr>
          <w:rFonts w:ascii="Arial" w:eastAsia="Calibri" w:hAnsi="Arial" w:cs="Arial"/>
          <w:sz w:val="22"/>
          <w:lang w:val="es-CO"/>
        </w:rPr>
      </w:pPr>
    </w:p>
    <w:p w14:paraId="0DB0E221" w14:textId="43CB9760" w:rsidR="008C487C" w:rsidRPr="001D0F68" w:rsidRDefault="008C487C" w:rsidP="008C487C">
      <w:pPr>
        <w:rPr>
          <w:rFonts w:ascii="Arial" w:eastAsia="Calibri" w:hAnsi="Arial" w:cs="Arial"/>
          <w:sz w:val="22"/>
          <w:lang w:val="es-CO"/>
        </w:rPr>
      </w:pPr>
      <w:r w:rsidRPr="001D0F68">
        <w:rPr>
          <w:rFonts w:ascii="Arial" w:eastAsia="Calibri" w:hAnsi="Arial" w:cs="Arial"/>
          <w:sz w:val="22"/>
          <w:lang w:val="es-CO"/>
        </w:rPr>
        <w:t>Estimad</w:t>
      </w:r>
      <w:r w:rsidR="00380636" w:rsidRPr="001D0F68">
        <w:rPr>
          <w:rFonts w:ascii="Arial" w:eastAsia="Calibri" w:hAnsi="Arial" w:cs="Arial"/>
          <w:sz w:val="22"/>
          <w:lang w:val="es-CO"/>
        </w:rPr>
        <w:t>o</w:t>
      </w:r>
      <w:r w:rsidR="001F28E6" w:rsidRPr="001D0F68">
        <w:rPr>
          <w:rFonts w:ascii="Arial" w:eastAsia="Calibri" w:hAnsi="Arial" w:cs="Arial"/>
          <w:sz w:val="22"/>
          <w:lang w:val="es-CO"/>
        </w:rPr>
        <w:t xml:space="preserve"> </w:t>
      </w:r>
      <w:r w:rsidRPr="001D0F68">
        <w:rPr>
          <w:rFonts w:ascii="Arial" w:eastAsia="Calibri" w:hAnsi="Arial" w:cs="Arial"/>
          <w:sz w:val="22"/>
          <w:lang w:val="es-CO"/>
        </w:rPr>
        <w:t>señor</w:t>
      </w:r>
      <w:r w:rsidR="00B70E26" w:rsidRPr="001D0F68">
        <w:rPr>
          <w:rFonts w:ascii="Arial" w:eastAsia="Calibri" w:hAnsi="Arial" w:cs="Arial"/>
          <w:sz w:val="22"/>
          <w:lang w:val="es-CO"/>
        </w:rPr>
        <w:t xml:space="preserve"> </w:t>
      </w:r>
      <w:r w:rsidR="00380636" w:rsidRPr="001D0F68">
        <w:rPr>
          <w:rFonts w:ascii="Arial" w:eastAsia="Calibri" w:hAnsi="Arial" w:cs="Arial"/>
          <w:sz w:val="22"/>
          <w:lang w:val="es-CO"/>
        </w:rPr>
        <w:t>Roldan</w:t>
      </w:r>
      <w:r w:rsidR="00B70E26" w:rsidRPr="001D0F68">
        <w:rPr>
          <w:rFonts w:ascii="Arial" w:eastAsia="Calibri" w:hAnsi="Arial" w:cs="Arial"/>
          <w:sz w:val="22"/>
          <w:lang w:val="es-CO"/>
        </w:rPr>
        <w:t>:</w:t>
      </w:r>
    </w:p>
    <w:p w14:paraId="55DFCD2D" w14:textId="77777777" w:rsidR="008C487C" w:rsidRPr="001D0F68" w:rsidRDefault="008C487C" w:rsidP="008C487C">
      <w:pPr>
        <w:rPr>
          <w:rFonts w:ascii="Arial" w:eastAsia="Calibri" w:hAnsi="Arial" w:cs="Arial"/>
          <w:sz w:val="22"/>
          <w:lang w:val="es-CO"/>
        </w:rPr>
      </w:pPr>
    </w:p>
    <w:p w14:paraId="7B40E292" w14:textId="7266B5E2" w:rsidR="00736C89" w:rsidRPr="001D0F68" w:rsidRDefault="00736C89" w:rsidP="00736C89">
      <w:pPr>
        <w:spacing w:line="276" w:lineRule="auto"/>
        <w:jc w:val="both"/>
        <w:rPr>
          <w:rFonts w:ascii="Arial" w:eastAsia="Calibri" w:hAnsi="Arial" w:cs="Arial"/>
          <w:sz w:val="22"/>
          <w:lang w:val="es-CO"/>
        </w:rPr>
      </w:pPr>
      <w:r w:rsidRPr="001D0F68">
        <w:rPr>
          <w:rFonts w:ascii="Arial" w:eastAsia="Calibri" w:hAnsi="Arial" w:cs="Arial"/>
          <w:sz w:val="22"/>
          <w:lang w:val="es-CO"/>
        </w:rPr>
        <w:t xml:space="preserve">En ejercicio de la competencia otorgada por los artículos 11, numeral 8º, y 3º, numeral 5º, del Decreto Ley 4170 de 2011, la Agencia Nacional de Contratación Pública―Colombia Compra Eficiente responde su consulta del </w:t>
      </w:r>
      <w:r w:rsidR="002261F5" w:rsidRPr="001D0F68">
        <w:rPr>
          <w:rFonts w:ascii="Arial" w:eastAsia="Calibri" w:hAnsi="Arial" w:cs="Arial"/>
          <w:sz w:val="22"/>
          <w:lang w:val="es-CO"/>
        </w:rPr>
        <w:t>29</w:t>
      </w:r>
      <w:r w:rsidR="001F28E6" w:rsidRPr="001D0F68">
        <w:rPr>
          <w:rFonts w:ascii="Arial" w:eastAsia="Calibri" w:hAnsi="Arial" w:cs="Arial"/>
          <w:sz w:val="22"/>
          <w:lang w:val="es-CO"/>
        </w:rPr>
        <w:t xml:space="preserve"> de </w:t>
      </w:r>
      <w:r w:rsidR="002261F5" w:rsidRPr="001D0F68">
        <w:rPr>
          <w:rFonts w:ascii="Arial" w:eastAsia="Calibri" w:hAnsi="Arial" w:cs="Arial"/>
          <w:sz w:val="22"/>
          <w:lang w:val="es-CO"/>
        </w:rPr>
        <w:t>octubre</w:t>
      </w:r>
      <w:r w:rsidR="00803D6A" w:rsidRPr="001D0F68">
        <w:rPr>
          <w:rFonts w:ascii="Arial" w:eastAsia="Calibri" w:hAnsi="Arial" w:cs="Arial"/>
          <w:sz w:val="22"/>
          <w:lang w:val="es-CO"/>
        </w:rPr>
        <w:t xml:space="preserve"> de</w:t>
      </w:r>
      <w:r w:rsidRPr="001D0F68">
        <w:rPr>
          <w:rFonts w:ascii="Arial" w:eastAsia="Calibri" w:hAnsi="Arial" w:cs="Arial"/>
          <w:sz w:val="22"/>
          <w:lang w:val="es-CO"/>
        </w:rPr>
        <w:t xml:space="preserve"> 2020. </w:t>
      </w:r>
    </w:p>
    <w:p w14:paraId="6F21BC1D" w14:textId="77777777" w:rsidR="002261F5" w:rsidRPr="001D0F68" w:rsidRDefault="002261F5" w:rsidP="008C487C">
      <w:pPr>
        <w:spacing w:line="276" w:lineRule="auto"/>
        <w:jc w:val="both"/>
        <w:rPr>
          <w:rFonts w:ascii="Arial" w:eastAsia="Calibri" w:hAnsi="Arial" w:cs="Arial"/>
          <w:sz w:val="22"/>
          <w:lang w:val="es-CO"/>
        </w:rPr>
      </w:pPr>
    </w:p>
    <w:p w14:paraId="0FC34609" w14:textId="77777777" w:rsidR="008C487C" w:rsidRPr="001D0F68" w:rsidRDefault="008C487C" w:rsidP="008C487C">
      <w:pPr>
        <w:pStyle w:val="Prrafodelista"/>
        <w:numPr>
          <w:ilvl w:val="0"/>
          <w:numId w:val="1"/>
        </w:numPr>
        <w:tabs>
          <w:tab w:val="left" w:pos="284"/>
        </w:tabs>
        <w:spacing w:line="276" w:lineRule="auto"/>
        <w:ind w:left="0" w:firstLine="0"/>
        <w:jc w:val="both"/>
        <w:rPr>
          <w:rFonts w:ascii="Arial" w:eastAsia="Calibri" w:hAnsi="Arial" w:cs="Arial"/>
          <w:b/>
          <w:sz w:val="22"/>
          <w:lang w:val="es-CO"/>
        </w:rPr>
      </w:pPr>
      <w:r w:rsidRPr="001D0F68">
        <w:rPr>
          <w:rFonts w:ascii="Arial" w:eastAsia="Calibri" w:hAnsi="Arial" w:cs="Arial"/>
          <w:b/>
          <w:sz w:val="22"/>
          <w:lang w:val="es-CO"/>
        </w:rPr>
        <w:t xml:space="preserve">Problemas planteados </w:t>
      </w:r>
    </w:p>
    <w:p w14:paraId="51627473" w14:textId="77777777" w:rsidR="008C487C" w:rsidRPr="001D0F68" w:rsidRDefault="008C487C" w:rsidP="008C487C">
      <w:pPr>
        <w:tabs>
          <w:tab w:val="left" w:pos="426"/>
        </w:tabs>
        <w:spacing w:line="276" w:lineRule="auto"/>
        <w:jc w:val="both"/>
        <w:rPr>
          <w:rFonts w:ascii="Arial" w:eastAsia="Calibri" w:hAnsi="Arial" w:cs="Arial"/>
          <w:b/>
          <w:sz w:val="22"/>
          <w:lang w:val="es-CO"/>
        </w:rPr>
      </w:pPr>
    </w:p>
    <w:p w14:paraId="66D6A8A8" w14:textId="311ACBBB" w:rsidR="00AF7A04" w:rsidRPr="001D0F68" w:rsidRDefault="00E50356" w:rsidP="00F7518B">
      <w:pPr>
        <w:spacing w:after="120" w:line="276" w:lineRule="auto"/>
        <w:jc w:val="both"/>
        <w:rPr>
          <w:rFonts w:ascii="Arial" w:hAnsi="Arial" w:cs="Arial"/>
          <w:sz w:val="22"/>
        </w:rPr>
      </w:pPr>
      <w:r>
        <w:rPr>
          <w:rFonts w:ascii="Arial" w:eastAsia="Calibri" w:hAnsi="Arial" w:cs="Arial"/>
          <w:sz w:val="22"/>
          <w:lang w:val="es-CO"/>
        </w:rPr>
        <w:t>En la petición</w:t>
      </w:r>
      <w:r w:rsidR="00D26A8F" w:rsidRPr="001D0F68">
        <w:rPr>
          <w:rFonts w:ascii="Arial" w:eastAsia="Calibri" w:hAnsi="Arial" w:cs="Arial"/>
          <w:sz w:val="22"/>
          <w:lang w:val="es-CO"/>
        </w:rPr>
        <w:t xml:space="preserve"> solicita se reconsidere la respuesta emitida por esta Agencia </w:t>
      </w:r>
      <w:r w:rsidR="007E4B48" w:rsidRPr="001D0F68">
        <w:rPr>
          <w:rFonts w:ascii="Arial" w:eastAsia="Calibri" w:hAnsi="Arial" w:cs="Arial"/>
          <w:sz w:val="22"/>
          <w:lang w:val="es-CO"/>
        </w:rPr>
        <w:t>a la solicitud con radicado 416140003241</w:t>
      </w:r>
      <w:r w:rsidR="004B7024" w:rsidRPr="001D0F68">
        <w:rPr>
          <w:rFonts w:ascii="Arial" w:eastAsia="Calibri" w:hAnsi="Arial" w:cs="Arial"/>
          <w:sz w:val="22"/>
          <w:lang w:val="es-CO"/>
        </w:rPr>
        <w:t xml:space="preserve">, relativa a la posibilidad de clasificar </w:t>
      </w:r>
      <w:r w:rsidR="00602DB4" w:rsidRPr="001D0F68">
        <w:rPr>
          <w:rFonts w:ascii="Arial" w:eastAsia="Calibri" w:hAnsi="Arial" w:cs="Arial"/>
          <w:sz w:val="22"/>
          <w:lang w:val="es-CO"/>
        </w:rPr>
        <w:t>a las entidades sin ánimo de lucro –en adelante ESAL– como Mipymes</w:t>
      </w:r>
      <w:r w:rsidR="00862721" w:rsidRPr="001D0F68">
        <w:rPr>
          <w:rFonts w:ascii="Arial" w:eastAsia="Calibri" w:hAnsi="Arial" w:cs="Arial"/>
          <w:sz w:val="22"/>
          <w:lang w:val="es-CO"/>
        </w:rPr>
        <w:t xml:space="preserve"> </w:t>
      </w:r>
      <w:r w:rsidR="004A7C97" w:rsidRPr="001D0F68">
        <w:rPr>
          <w:rFonts w:ascii="Arial" w:eastAsia="Calibri" w:hAnsi="Arial" w:cs="Arial"/>
          <w:sz w:val="22"/>
          <w:lang w:val="es-CO"/>
        </w:rPr>
        <w:t xml:space="preserve">y </w:t>
      </w:r>
      <w:r w:rsidR="00282BF6" w:rsidRPr="001D0F68">
        <w:rPr>
          <w:rFonts w:ascii="Arial" w:eastAsia="Calibri" w:hAnsi="Arial" w:cs="Arial"/>
          <w:sz w:val="22"/>
          <w:lang w:val="es-CO"/>
        </w:rPr>
        <w:t xml:space="preserve">admitir su participación en </w:t>
      </w:r>
      <w:r w:rsidR="008F516D" w:rsidRPr="001D0F68">
        <w:rPr>
          <w:rFonts w:ascii="Arial" w:eastAsia="Calibri" w:hAnsi="Arial" w:cs="Arial"/>
          <w:sz w:val="22"/>
          <w:lang w:val="es-CO"/>
        </w:rPr>
        <w:t xml:space="preserve">procesos de selección limitados a este tipo de empresas de conformidad con el artículo </w:t>
      </w:r>
      <w:r w:rsidR="00CB0E0F" w:rsidRPr="00A250F5">
        <w:rPr>
          <w:rFonts w:ascii="Arial" w:hAnsi="Arial" w:cs="Arial"/>
          <w:sz w:val="22"/>
        </w:rPr>
        <w:t>2.2.1.2.4.2.2</w:t>
      </w:r>
      <w:r w:rsidR="008F516D" w:rsidRPr="00A250F5">
        <w:rPr>
          <w:rFonts w:ascii="Arial" w:hAnsi="Arial" w:cs="Arial"/>
          <w:sz w:val="22"/>
        </w:rPr>
        <w:t xml:space="preserve"> del Decreto 1082 de 2015</w:t>
      </w:r>
      <w:r w:rsidR="00AF7A04" w:rsidRPr="00A250F5">
        <w:rPr>
          <w:rFonts w:ascii="Arial" w:hAnsi="Arial" w:cs="Arial"/>
          <w:sz w:val="22"/>
        </w:rPr>
        <w:t xml:space="preserve">. </w:t>
      </w:r>
      <w:r>
        <w:rPr>
          <w:rFonts w:ascii="Arial" w:hAnsi="Arial" w:cs="Arial"/>
          <w:sz w:val="22"/>
        </w:rPr>
        <w:t>Al respecto, considera que</w:t>
      </w:r>
      <w:r w:rsidR="00AF7A04" w:rsidRPr="001D0F68">
        <w:rPr>
          <w:rFonts w:ascii="Arial" w:hAnsi="Arial" w:cs="Arial"/>
          <w:sz w:val="22"/>
        </w:rPr>
        <w:t xml:space="preserve"> </w:t>
      </w:r>
      <w:r w:rsidR="001A3B7E" w:rsidRPr="001D0F68">
        <w:rPr>
          <w:rFonts w:ascii="Arial" w:hAnsi="Arial" w:cs="Arial"/>
          <w:sz w:val="22"/>
        </w:rPr>
        <w:t>se cerr</w:t>
      </w:r>
      <w:r w:rsidR="00F7518B" w:rsidRPr="001D0F68">
        <w:rPr>
          <w:rFonts w:ascii="Arial" w:hAnsi="Arial" w:cs="Arial"/>
          <w:sz w:val="22"/>
        </w:rPr>
        <w:t>ó</w:t>
      </w:r>
      <w:r w:rsidR="001A3B7E" w:rsidRPr="001D0F68">
        <w:rPr>
          <w:rFonts w:ascii="Arial" w:hAnsi="Arial" w:cs="Arial"/>
          <w:sz w:val="22"/>
        </w:rPr>
        <w:t xml:space="preserve"> la puerta</w:t>
      </w:r>
      <w:r>
        <w:rPr>
          <w:rFonts w:ascii="Arial" w:hAnsi="Arial" w:cs="Arial"/>
          <w:sz w:val="22"/>
        </w:rPr>
        <w:t xml:space="preserve"> a</w:t>
      </w:r>
      <w:r w:rsidR="001A3B7E" w:rsidRPr="001D0F68">
        <w:rPr>
          <w:rFonts w:ascii="Arial" w:hAnsi="Arial" w:cs="Arial"/>
          <w:sz w:val="22"/>
        </w:rPr>
        <w:t xml:space="preserve"> dicha posibilidad al determinarse que las ESAL no responden al concepto de empresa del artículo 25 del Cód</w:t>
      </w:r>
      <w:r w:rsidR="00F7518B" w:rsidRPr="001D0F68">
        <w:rPr>
          <w:rFonts w:ascii="Arial" w:hAnsi="Arial" w:cs="Arial"/>
          <w:sz w:val="22"/>
        </w:rPr>
        <w:t>igo de Comercio, manifestándose «</w:t>
      </w:r>
      <w:r w:rsidR="00F233F8" w:rsidRPr="001D0F68">
        <w:rPr>
          <w:rFonts w:ascii="Arial" w:hAnsi="Arial" w:cs="Arial"/>
          <w:sz w:val="22"/>
        </w:rPr>
        <w:t xml:space="preserve">[…] </w:t>
      </w:r>
      <w:r w:rsidR="00F7518B" w:rsidRPr="001D0F68">
        <w:rPr>
          <w:rFonts w:ascii="Arial" w:hAnsi="Arial" w:cs="Arial"/>
          <w:sz w:val="22"/>
        </w:rPr>
        <w:t xml:space="preserve">Las entidades sin ánimo de lucro no podrán participar en Procesos de Contratación que hayan sido limitados a </w:t>
      </w:r>
      <w:proofErr w:type="spellStart"/>
      <w:r w:rsidR="00F7518B" w:rsidRPr="001D0F68">
        <w:rPr>
          <w:rFonts w:ascii="Arial" w:hAnsi="Arial" w:cs="Arial"/>
          <w:sz w:val="22"/>
        </w:rPr>
        <w:t>mipymes</w:t>
      </w:r>
      <w:proofErr w:type="spellEnd"/>
      <w:r w:rsidR="00F7518B" w:rsidRPr="001D0F68">
        <w:rPr>
          <w:rFonts w:ascii="Arial" w:hAnsi="Arial" w:cs="Arial"/>
          <w:sz w:val="22"/>
        </w:rPr>
        <w:t>, dado que la convocatoria está limitada a empresas y las entidades sin ánimo de lucro no tienen el carácter de empresas sino de asociaciones que buscan la realización de un fin común y sus objetivos no cuentan con un contenido esencialmente patrimonial (fin de lucro y reparto de utilidades)</w:t>
      </w:r>
      <w:r w:rsidR="00C32646">
        <w:rPr>
          <w:rFonts w:ascii="Arial" w:hAnsi="Arial" w:cs="Arial"/>
          <w:sz w:val="22"/>
        </w:rPr>
        <w:t xml:space="preserve"> </w:t>
      </w:r>
      <w:r w:rsidR="00F233F8" w:rsidRPr="001D0F68">
        <w:rPr>
          <w:rFonts w:ascii="Arial" w:hAnsi="Arial" w:cs="Arial"/>
          <w:sz w:val="22"/>
        </w:rPr>
        <w:t>[…]».</w:t>
      </w:r>
    </w:p>
    <w:p w14:paraId="3091E088" w14:textId="0643CD5E" w:rsidR="00AF7A04" w:rsidRPr="00E50356" w:rsidRDefault="00AF7A04" w:rsidP="00692292">
      <w:pPr>
        <w:spacing w:line="276" w:lineRule="auto"/>
        <w:jc w:val="both"/>
        <w:rPr>
          <w:rFonts w:ascii="Arial" w:eastAsia="Calibri" w:hAnsi="Arial" w:cs="Arial"/>
          <w:sz w:val="22"/>
          <w:lang w:val="es-CO"/>
        </w:rPr>
      </w:pPr>
      <w:r w:rsidRPr="001D0F68">
        <w:rPr>
          <w:rFonts w:ascii="Arial" w:hAnsi="Arial" w:cs="Arial"/>
          <w:sz w:val="20"/>
          <w:szCs w:val="20"/>
        </w:rPr>
        <w:lastRenderedPageBreak/>
        <w:tab/>
      </w:r>
      <w:r w:rsidR="009E2052" w:rsidRPr="00A250F5">
        <w:rPr>
          <w:rFonts w:ascii="Arial" w:hAnsi="Arial" w:cs="Arial"/>
          <w:sz w:val="22"/>
        </w:rPr>
        <w:t xml:space="preserve">En esta ocasión, el peticionario acusa </w:t>
      </w:r>
      <w:r w:rsidR="00432B4F" w:rsidRPr="00A250F5">
        <w:rPr>
          <w:rFonts w:ascii="Arial" w:hAnsi="Arial" w:cs="Arial"/>
          <w:sz w:val="22"/>
        </w:rPr>
        <w:t>de «</w:t>
      </w:r>
      <w:r w:rsidR="00F317B0" w:rsidRPr="00A250F5">
        <w:rPr>
          <w:rFonts w:ascii="Arial" w:hAnsi="Arial" w:cs="Arial"/>
          <w:sz w:val="22"/>
        </w:rPr>
        <w:t>ILEGAL más que ERRADA</w:t>
      </w:r>
      <w:r w:rsidR="00D13D05" w:rsidRPr="00A250F5">
        <w:rPr>
          <w:rFonts w:ascii="Arial" w:hAnsi="Arial" w:cs="Arial"/>
          <w:sz w:val="22"/>
        </w:rPr>
        <w:t>»</w:t>
      </w:r>
      <w:r w:rsidR="00F317B0" w:rsidRPr="00A250F5">
        <w:rPr>
          <w:rFonts w:ascii="Arial" w:hAnsi="Arial" w:cs="Arial"/>
          <w:sz w:val="22"/>
        </w:rPr>
        <w:t>, por aludir al elemento «esencialmente patrimonial»</w:t>
      </w:r>
      <w:r w:rsidR="00D23471" w:rsidRPr="00A250F5">
        <w:rPr>
          <w:rFonts w:ascii="Arial" w:hAnsi="Arial" w:cs="Arial"/>
          <w:sz w:val="22"/>
        </w:rPr>
        <w:t>,</w:t>
      </w:r>
      <w:r w:rsidR="00F317B0" w:rsidRPr="00A250F5">
        <w:rPr>
          <w:rFonts w:ascii="Arial" w:hAnsi="Arial" w:cs="Arial"/>
          <w:sz w:val="22"/>
        </w:rPr>
        <w:t xml:space="preserve"> </w:t>
      </w:r>
      <w:r w:rsidR="009335D9" w:rsidRPr="00A250F5">
        <w:rPr>
          <w:rFonts w:ascii="Arial" w:hAnsi="Arial" w:cs="Arial"/>
          <w:sz w:val="22"/>
        </w:rPr>
        <w:t>el cual estima</w:t>
      </w:r>
      <w:r w:rsidR="00D23471" w:rsidRPr="00A250F5">
        <w:rPr>
          <w:rFonts w:ascii="Arial" w:hAnsi="Arial" w:cs="Arial"/>
          <w:sz w:val="22"/>
        </w:rPr>
        <w:t xml:space="preserve"> </w:t>
      </w:r>
      <w:r w:rsidR="009335D9" w:rsidRPr="00A250F5">
        <w:rPr>
          <w:rFonts w:ascii="Arial" w:hAnsi="Arial" w:cs="Arial"/>
          <w:sz w:val="22"/>
        </w:rPr>
        <w:t>ajeno a la definición de empresa, alegando además que el artículo 2.2.1.13.2.1. del Decreto</w:t>
      </w:r>
      <w:r w:rsidR="004C1960" w:rsidRPr="00A250F5">
        <w:rPr>
          <w:rFonts w:ascii="Arial" w:hAnsi="Arial" w:cs="Arial"/>
          <w:sz w:val="22"/>
        </w:rPr>
        <w:t xml:space="preserve"> 957 de 2019</w:t>
      </w:r>
      <w:r w:rsidR="00E82A4C" w:rsidRPr="00A250F5">
        <w:rPr>
          <w:rFonts w:ascii="Arial" w:hAnsi="Arial" w:cs="Arial"/>
          <w:sz w:val="22"/>
        </w:rPr>
        <w:t xml:space="preserve"> establece </w:t>
      </w:r>
      <w:r w:rsidR="00BD5720" w:rsidRPr="00A250F5">
        <w:rPr>
          <w:rFonts w:ascii="Arial" w:hAnsi="Arial" w:cs="Arial"/>
          <w:sz w:val="22"/>
        </w:rPr>
        <w:t>el factor de ingresos, como el único determinante para la clasificación de una empresa como micro,</w:t>
      </w:r>
      <w:r w:rsidR="0055173A" w:rsidRPr="00A250F5">
        <w:rPr>
          <w:rFonts w:ascii="Arial" w:hAnsi="Arial" w:cs="Arial"/>
          <w:sz w:val="22"/>
        </w:rPr>
        <w:t xml:space="preserve"> pequeña o mediana</w:t>
      </w:r>
      <w:r w:rsidR="00132BC2" w:rsidRPr="00A250F5">
        <w:rPr>
          <w:rFonts w:ascii="Arial" w:hAnsi="Arial" w:cs="Arial"/>
          <w:sz w:val="22"/>
        </w:rPr>
        <w:t xml:space="preserve">, alegando además que la </w:t>
      </w:r>
      <w:r w:rsidR="00D23471" w:rsidRPr="00A250F5">
        <w:rPr>
          <w:rFonts w:ascii="Arial" w:hAnsi="Arial" w:cs="Arial"/>
          <w:sz w:val="22"/>
        </w:rPr>
        <w:t xml:space="preserve">posición asumida comporta una vulneración al derecho a la igualdad. </w:t>
      </w:r>
      <w:r w:rsidR="00E82A4C" w:rsidRPr="00A250F5">
        <w:rPr>
          <w:rFonts w:ascii="Arial" w:hAnsi="Arial" w:cs="Arial"/>
          <w:sz w:val="22"/>
        </w:rPr>
        <w:t xml:space="preserve"> </w:t>
      </w:r>
    </w:p>
    <w:p w14:paraId="6210BD41" w14:textId="77777777" w:rsidR="004423A9" w:rsidRPr="001D0F68" w:rsidRDefault="004423A9" w:rsidP="004423A9">
      <w:pPr>
        <w:jc w:val="both"/>
        <w:rPr>
          <w:rFonts w:ascii="Arial" w:eastAsia="Calibri" w:hAnsi="Arial" w:cs="Arial"/>
          <w:sz w:val="22"/>
          <w:lang w:val="es-CO"/>
        </w:rPr>
      </w:pPr>
    </w:p>
    <w:p w14:paraId="6761884C" w14:textId="77777777" w:rsidR="008C487C" w:rsidRPr="001D0F68" w:rsidRDefault="008C487C" w:rsidP="008C487C">
      <w:pPr>
        <w:pStyle w:val="Prrafodelista"/>
        <w:numPr>
          <w:ilvl w:val="0"/>
          <w:numId w:val="1"/>
        </w:numPr>
        <w:tabs>
          <w:tab w:val="left" w:pos="426"/>
        </w:tabs>
        <w:spacing w:line="276" w:lineRule="auto"/>
        <w:ind w:left="284" w:hanging="284"/>
        <w:jc w:val="both"/>
        <w:rPr>
          <w:rFonts w:ascii="Arial" w:eastAsia="Calibri" w:hAnsi="Arial" w:cs="Arial"/>
          <w:b/>
          <w:sz w:val="22"/>
          <w:lang w:val="es-CO"/>
        </w:rPr>
      </w:pPr>
      <w:r w:rsidRPr="001D0F68">
        <w:rPr>
          <w:rFonts w:ascii="Arial" w:eastAsia="Calibri" w:hAnsi="Arial" w:cs="Arial"/>
          <w:b/>
          <w:sz w:val="22"/>
          <w:lang w:val="es-CO"/>
        </w:rPr>
        <w:t>Consideraciones</w:t>
      </w:r>
    </w:p>
    <w:p w14:paraId="23B6B2A3" w14:textId="77777777" w:rsidR="008C487C" w:rsidRPr="001D0F68" w:rsidRDefault="008C487C" w:rsidP="008C487C">
      <w:pPr>
        <w:spacing w:line="276" w:lineRule="auto"/>
        <w:jc w:val="both"/>
        <w:rPr>
          <w:rFonts w:ascii="Arial" w:eastAsia="Calibri" w:hAnsi="Arial" w:cs="Arial"/>
          <w:sz w:val="22"/>
          <w:lang w:val="es-CO"/>
        </w:rPr>
      </w:pPr>
    </w:p>
    <w:p w14:paraId="2F6D62E4" w14:textId="6C06806D" w:rsidR="00D352FE" w:rsidRDefault="008C487C" w:rsidP="008C487C">
      <w:pPr>
        <w:spacing w:line="276" w:lineRule="auto"/>
        <w:jc w:val="both"/>
        <w:rPr>
          <w:rFonts w:ascii="Arial" w:eastAsia="Calibri" w:hAnsi="Arial" w:cs="Arial"/>
          <w:sz w:val="22"/>
          <w:lang w:val="es-CO"/>
        </w:rPr>
      </w:pPr>
      <w:r w:rsidRPr="001D0F68">
        <w:rPr>
          <w:rFonts w:ascii="Arial" w:eastAsia="Calibri" w:hAnsi="Arial" w:cs="Arial"/>
          <w:sz w:val="22"/>
          <w:lang w:val="es-CO"/>
        </w:rPr>
        <w:t>La Agencia Nacional de Contratación Pública</w:t>
      </w:r>
      <w:r w:rsidR="00E50356">
        <w:rPr>
          <w:rFonts w:ascii="Arial" w:eastAsia="Calibri" w:hAnsi="Arial" w:cs="Arial"/>
          <w:sz w:val="22"/>
          <w:lang w:val="es-CO"/>
        </w:rPr>
        <w:t xml:space="preserve"> – </w:t>
      </w:r>
      <w:r w:rsidRPr="001D0F68">
        <w:rPr>
          <w:rFonts w:ascii="Arial" w:eastAsia="Calibri" w:hAnsi="Arial" w:cs="Arial"/>
          <w:sz w:val="22"/>
          <w:lang w:val="es-CO"/>
        </w:rPr>
        <w:t xml:space="preserve">Colombia Compra Eficiente se ha pronunciado en diferentes conceptos sobre la posibilidad de limitar los procesos contractuales a Mipymes, en los conceptos del 5 y el 20 de agosto de 2019 </w:t>
      </w:r>
      <w:r w:rsidR="00B5123E" w:rsidRPr="001D0F68">
        <w:rPr>
          <w:rFonts w:ascii="Arial" w:eastAsia="Calibri" w:hAnsi="Arial" w:cs="Arial"/>
          <w:sz w:val="22"/>
          <w:lang w:val="es-CO"/>
        </w:rPr>
        <w:t>–</w:t>
      </w:r>
      <w:r w:rsidR="009F2261" w:rsidRPr="001D0F68">
        <w:rPr>
          <w:rFonts w:ascii="Arial" w:eastAsia="Calibri" w:hAnsi="Arial" w:cs="Arial"/>
          <w:sz w:val="22"/>
          <w:lang w:val="es-CO"/>
        </w:rPr>
        <w:t>r</w:t>
      </w:r>
      <w:r w:rsidRPr="001D0F68">
        <w:rPr>
          <w:rFonts w:ascii="Arial" w:eastAsia="Calibri" w:hAnsi="Arial" w:cs="Arial"/>
          <w:sz w:val="22"/>
          <w:lang w:val="es-CO"/>
        </w:rPr>
        <w:t xml:space="preserve">adicados Nos. </w:t>
      </w:r>
      <w:r w:rsidR="00BC5279" w:rsidRPr="001D0F68">
        <w:rPr>
          <w:rFonts w:ascii="Arial" w:eastAsia="Calibri" w:hAnsi="Arial" w:cs="Arial"/>
          <w:sz w:val="22"/>
          <w:lang w:val="es-CO"/>
        </w:rPr>
        <w:t xml:space="preserve">2201913000005596 </w:t>
      </w:r>
      <w:r w:rsidRPr="001D0F68">
        <w:rPr>
          <w:rFonts w:ascii="Arial" w:eastAsia="Calibri" w:hAnsi="Arial" w:cs="Arial"/>
          <w:sz w:val="22"/>
          <w:lang w:val="es-CO"/>
        </w:rPr>
        <w:t xml:space="preserve">y </w:t>
      </w:r>
      <w:r w:rsidR="004758FE" w:rsidRPr="001D0F68">
        <w:rPr>
          <w:rFonts w:ascii="Arial" w:eastAsia="Calibri" w:hAnsi="Arial" w:cs="Arial"/>
          <w:sz w:val="22"/>
          <w:lang w:val="es-CO"/>
        </w:rPr>
        <w:t>2201913000006007</w:t>
      </w:r>
      <w:r w:rsidR="00B5123E" w:rsidRPr="001D0F68">
        <w:rPr>
          <w:rFonts w:ascii="Arial" w:eastAsia="Calibri" w:hAnsi="Arial" w:cs="Arial"/>
          <w:sz w:val="22"/>
          <w:lang w:val="es-CO"/>
        </w:rPr>
        <w:t>–</w:t>
      </w:r>
      <w:r w:rsidRPr="001D0F68">
        <w:rPr>
          <w:rFonts w:ascii="Arial" w:eastAsia="Calibri" w:hAnsi="Arial" w:cs="Arial"/>
          <w:sz w:val="22"/>
          <w:lang w:val="es-CO"/>
        </w:rPr>
        <w:t xml:space="preserve"> y, recientemente en </w:t>
      </w:r>
      <w:r w:rsidR="002F63BB" w:rsidRPr="001D0F68">
        <w:rPr>
          <w:rFonts w:ascii="Arial" w:eastAsia="Calibri" w:hAnsi="Arial" w:cs="Arial"/>
          <w:sz w:val="22"/>
          <w:lang w:val="es-CO"/>
        </w:rPr>
        <w:t xml:space="preserve">los </w:t>
      </w:r>
      <w:r w:rsidRPr="001D0F68">
        <w:rPr>
          <w:rFonts w:ascii="Arial" w:eastAsia="Calibri" w:hAnsi="Arial" w:cs="Arial"/>
          <w:sz w:val="22"/>
          <w:lang w:val="es-CO"/>
        </w:rPr>
        <w:t>concepto</w:t>
      </w:r>
      <w:r w:rsidR="002F63BB" w:rsidRPr="001D0F68">
        <w:rPr>
          <w:rFonts w:ascii="Arial" w:eastAsia="Calibri" w:hAnsi="Arial" w:cs="Arial"/>
          <w:sz w:val="22"/>
          <w:lang w:val="es-CO"/>
        </w:rPr>
        <w:t>s</w:t>
      </w:r>
      <w:r w:rsidRPr="001D0F68">
        <w:rPr>
          <w:rFonts w:ascii="Arial" w:eastAsia="Calibri" w:hAnsi="Arial" w:cs="Arial"/>
          <w:sz w:val="22"/>
          <w:lang w:val="es-CO"/>
        </w:rPr>
        <w:t xml:space="preserve"> </w:t>
      </w:r>
      <w:r w:rsidR="00010D30" w:rsidRPr="001D0F68">
        <w:rPr>
          <w:rFonts w:ascii="Arial" w:eastAsia="Calibri" w:hAnsi="Arial" w:cs="Arial"/>
          <w:sz w:val="22"/>
          <w:lang w:val="es-CO"/>
        </w:rPr>
        <w:t xml:space="preserve">C-045, </w:t>
      </w:r>
      <w:r w:rsidR="0086741B" w:rsidRPr="001D0F68">
        <w:rPr>
          <w:rFonts w:ascii="Arial" w:eastAsia="Calibri" w:hAnsi="Arial" w:cs="Arial"/>
          <w:sz w:val="22"/>
          <w:lang w:val="es-CO"/>
        </w:rPr>
        <w:t>C-050</w:t>
      </w:r>
      <w:r w:rsidR="00C1405A" w:rsidRPr="001D0F68">
        <w:rPr>
          <w:rFonts w:ascii="Arial" w:eastAsia="Calibri" w:hAnsi="Arial" w:cs="Arial"/>
          <w:sz w:val="22"/>
          <w:lang w:val="es-CO"/>
        </w:rPr>
        <w:t xml:space="preserve">, </w:t>
      </w:r>
      <w:r w:rsidR="00803061" w:rsidRPr="001D0F68">
        <w:rPr>
          <w:rFonts w:ascii="Arial" w:eastAsia="Calibri" w:hAnsi="Arial" w:cs="Arial"/>
          <w:sz w:val="22"/>
          <w:lang w:val="es-CO"/>
        </w:rPr>
        <w:t xml:space="preserve">C-058, </w:t>
      </w:r>
      <w:r w:rsidR="00BC6C4E" w:rsidRPr="001D0F68">
        <w:rPr>
          <w:rFonts w:ascii="Arial" w:eastAsia="Calibri" w:hAnsi="Arial" w:cs="Arial"/>
          <w:sz w:val="22"/>
          <w:lang w:val="es-CO"/>
        </w:rPr>
        <w:t>C-083</w:t>
      </w:r>
      <w:r w:rsidR="00632EA5" w:rsidRPr="001D0F68">
        <w:rPr>
          <w:rFonts w:ascii="Arial" w:eastAsia="Calibri" w:hAnsi="Arial" w:cs="Arial"/>
          <w:sz w:val="22"/>
          <w:lang w:val="es-CO"/>
        </w:rPr>
        <w:t>, C-092</w:t>
      </w:r>
      <w:r w:rsidR="0094508D" w:rsidRPr="001D0F68">
        <w:rPr>
          <w:rFonts w:ascii="Arial" w:eastAsia="Calibri" w:hAnsi="Arial" w:cs="Arial"/>
          <w:sz w:val="22"/>
          <w:lang w:val="es-CO"/>
        </w:rPr>
        <w:t xml:space="preserve"> y </w:t>
      </w:r>
      <w:r w:rsidRPr="001D0F68">
        <w:rPr>
          <w:rFonts w:ascii="Arial" w:eastAsia="Calibri" w:hAnsi="Arial" w:cs="Arial"/>
          <w:sz w:val="22"/>
          <w:lang w:val="es-CO"/>
        </w:rPr>
        <w:t xml:space="preserve">CU-021 de 2020 </w:t>
      </w:r>
      <w:r w:rsidR="00B5123E" w:rsidRPr="001D0F68">
        <w:rPr>
          <w:rFonts w:ascii="Arial" w:eastAsia="Calibri" w:hAnsi="Arial" w:cs="Arial"/>
          <w:sz w:val="22"/>
          <w:lang w:val="es-CO"/>
        </w:rPr>
        <w:t>–</w:t>
      </w:r>
      <w:r w:rsidR="0094508D" w:rsidRPr="001D0F68">
        <w:rPr>
          <w:rFonts w:ascii="Arial" w:eastAsia="Calibri" w:hAnsi="Arial" w:cs="Arial"/>
          <w:sz w:val="22"/>
          <w:lang w:val="es-CO"/>
        </w:rPr>
        <w:t>r</w:t>
      </w:r>
      <w:r w:rsidRPr="001D0F68">
        <w:rPr>
          <w:rFonts w:ascii="Arial" w:eastAsia="Calibri" w:hAnsi="Arial" w:cs="Arial"/>
          <w:sz w:val="22"/>
          <w:lang w:val="es-CO"/>
        </w:rPr>
        <w:t xml:space="preserve">adicados Nos. </w:t>
      </w:r>
      <w:r w:rsidR="009F3537" w:rsidRPr="001D0F68">
        <w:rPr>
          <w:rFonts w:ascii="Arial" w:eastAsia="Calibri" w:hAnsi="Arial" w:cs="Arial"/>
          <w:sz w:val="22"/>
          <w:lang w:val="es-CO"/>
        </w:rPr>
        <w:t>2202013000001285</w:t>
      </w:r>
      <w:r w:rsidR="006A7743" w:rsidRPr="001D0F68">
        <w:rPr>
          <w:rFonts w:ascii="Arial" w:eastAsia="Calibri" w:hAnsi="Arial" w:cs="Arial"/>
          <w:sz w:val="22"/>
          <w:lang w:val="es-CO"/>
        </w:rPr>
        <w:t xml:space="preserve">, </w:t>
      </w:r>
      <w:r w:rsidR="00A510F6" w:rsidRPr="001D0F68">
        <w:rPr>
          <w:rFonts w:ascii="Arial" w:eastAsia="Calibri" w:hAnsi="Arial" w:cs="Arial"/>
          <w:sz w:val="22"/>
          <w:lang w:val="es-CO"/>
        </w:rPr>
        <w:t>2202013000001286</w:t>
      </w:r>
      <w:r w:rsidR="00BC6C4E" w:rsidRPr="001D0F68">
        <w:rPr>
          <w:rFonts w:ascii="Arial" w:eastAsia="Calibri" w:hAnsi="Arial" w:cs="Arial"/>
          <w:sz w:val="22"/>
          <w:lang w:val="es-CO"/>
        </w:rPr>
        <w:t>, 4202012000000629</w:t>
      </w:r>
      <w:r w:rsidR="00483A2F" w:rsidRPr="001D0F68">
        <w:rPr>
          <w:rFonts w:ascii="Arial" w:eastAsia="Calibri" w:hAnsi="Arial" w:cs="Arial"/>
          <w:sz w:val="22"/>
          <w:lang w:val="es-CO"/>
        </w:rPr>
        <w:t xml:space="preserve">, </w:t>
      </w:r>
      <w:r w:rsidR="006B6C6A" w:rsidRPr="001D0F68">
        <w:rPr>
          <w:rFonts w:ascii="Arial" w:eastAsia="Calibri" w:hAnsi="Arial" w:cs="Arial"/>
          <w:sz w:val="22"/>
          <w:lang w:val="es-CO"/>
        </w:rPr>
        <w:t>2202013000001599</w:t>
      </w:r>
      <w:r w:rsidR="00C1405A" w:rsidRPr="001D0F68">
        <w:rPr>
          <w:rFonts w:ascii="Arial" w:eastAsia="Calibri" w:hAnsi="Arial" w:cs="Arial"/>
          <w:sz w:val="22"/>
          <w:lang w:val="es-CO"/>
        </w:rPr>
        <w:t xml:space="preserve"> y </w:t>
      </w:r>
      <w:r w:rsidR="00141C64" w:rsidRPr="001D0F68">
        <w:rPr>
          <w:rFonts w:ascii="Arial" w:eastAsia="Calibri" w:hAnsi="Arial" w:cs="Arial"/>
          <w:sz w:val="22"/>
          <w:lang w:val="es-CO"/>
        </w:rPr>
        <w:t>2202013000001160</w:t>
      </w:r>
      <w:r w:rsidR="00B5123E" w:rsidRPr="001D0F68">
        <w:rPr>
          <w:rFonts w:ascii="Arial" w:eastAsia="Calibri" w:hAnsi="Arial" w:cs="Arial"/>
          <w:sz w:val="22"/>
          <w:lang w:val="es-CO"/>
        </w:rPr>
        <w:t>–</w:t>
      </w:r>
      <w:r w:rsidR="00B24E57" w:rsidRPr="001D0F68">
        <w:rPr>
          <w:rFonts w:ascii="Arial" w:eastAsia="Calibri" w:hAnsi="Arial" w:cs="Arial"/>
          <w:sz w:val="22"/>
          <w:lang w:val="es-CO"/>
        </w:rPr>
        <w:t xml:space="preserve">. </w:t>
      </w:r>
      <w:r w:rsidR="00140E57" w:rsidRPr="001D0F68">
        <w:rPr>
          <w:rFonts w:ascii="Arial" w:eastAsia="Calibri" w:hAnsi="Arial" w:cs="Arial"/>
          <w:sz w:val="22"/>
          <w:lang w:val="es-CO"/>
        </w:rPr>
        <w:t>Igualmente, en relación con la participación de las entidades sin ánimo de lucro y de reconocida idoneidad «desde ahora ESAL» en este tipo de procesos contractuales, emitió los conceptos del</w:t>
      </w:r>
      <w:r w:rsidR="00585FB5" w:rsidRPr="001D0F68">
        <w:rPr>
          <w:rFonts w:ascii="Arial" w:eastAsia="Calibri" w:hAnsi="Arial" w:cs="Arial"/>
          <w:sz w:val="22"/>
          <w:lang w:val="es-CO"/>
        </w:rPr>
        <w:t xml:space="preserve"> 20, 21 y 22 de agosto y el 17 de septiembre de 2019 −radicados Nos. 2201913000006007, 2201913000006081, 2201913000006151 y 2201913000006895−</w:t>
      </w:r>
      <w:r w:rsidR="008E4F25" w:rsidRPr="001D0F68">
        <w:rPr>
          <w:rFonts w:ascii="Arial" w:eastAsia="Calibri" w:hAnsi="Arial" w:cs="Arial"/>
          <w:sz w:val="22"/>
          <w:lang w:val="es-CO"/>
        </w:rPr>
        <w:t xml:space="preserve"> y radicado C – 258 del 17 de abril de 2020</w:t>
      </w:r>
      <w:r w:rsidR="00140E57" w:rsidRPr="001D0F68">
        <w:rPr>
          <w:rFonts w:ascii="Arial" w:eastAsia="Calibri" w:hAnsi="Arial" w:cs="Arial"/>
          <w:sz w:val="22"/>
          <w:lang w:val="es-CO"/>
        </w:rPr>
        <w:t>.</w:t>
      </w:r>
      <w:r w:rsidR="0088268C" w:rsidRPr="001D0F68">
        <w:rPr>
          <w:rFonts w:ascii="Arial" w:eastAsia="Calibri" w:hAnsi="Arial" w:cs="Arial"/>
          <w:sz w:val="22"/>
          <w:lang w:val="es-CO"/>
        </w:rPr>
        <w:t xml:space="preserve"> </w:t>
      </w:r>
    </w:p>
    <w:p w14:paraId="0F0C7A75" w14:textId="77777777" w:rsidR="00D352FE" w:rsidRDefault="00D352FE" w:rsidP="008C487C">
      <w:pPr>
        <w:spacing w:line="276" w:lineRule="auto"/>
        <w:jc w:val="both"/>
        <w:rPr>
          <w:rFonts w:ascii="Arial" w:eastAsia="Calibri" w:hAnsi="Arial" w:cs="Arial"/>
          <w:sz w:val="22"/>
          <w:lang w:val="es-CO"/>
        </w:rPr>
      </w:pPr>
    </w:p>
    <w:p w14:paraId="32EFE7B0" w14:textId="4B6D8E0C" w:rsidR="008C487C" w:rsidRDefault="0088268C" w:rsidP="00A250F5">
      <w:pPr>
        <w:spacing w:line="276" w:lineRule="auto"/>
        <w:ind w:firstLine="708"/>
        <w:jc w:val="both"/>
        <w:rPr>
          <w:rFonts w:ascii="Arial" w:eastAsia="Calibri" w:hAnsi="Arial" w:cs="Arial"/>
          <w:sz w:val="22"/>
          <w:lang w:val="es-CO"/>
        </w:rPr>
      </w:pPr>
      <w:r w:rsidRPr="001D0F68">
        <w:rPr>
          <w:rFonts w:ascii="Arial" w:eastAsia="Calibri" w:hAnsi="Arial" w:cs="Arial"/>
          <w:sz w:val="22"/>
          <w:lang w:val="es-CO"/>
        </w:rPr>
        <w:t xml:space="preserve">De otra parte, </w:t>
      </w:r>
      <w:r w:rsidR="00646073" w:rsidRPr="001D0F68">
        <w:rPr>
          <w:rFonts w:ascii="Arial" w:hAnsi="Arial" w:cs="Arial"/>
          <w:sz w:val="22"/>
          <w:lang w:val="es-CO"/>
        </w:rPr>
        <w:t xml:space="preserve">en </w:t>
      </w:r>
      <w:r w:rsidR="00646073" w:rsidRPr="001D0F68">
        <w:rPr>
          <w:rFonts w:ascii="Arial" w:eastAsia="Calibri" w:hAnsi="Arial" w:cs="Arial"/>
          <w:sz w:val="22"/>
        </w:rPr>
        <w:t>los conceptos del 20, 21 y 22 de agosto y el 17 de septiembre de 2019 −radicados Nos. 2201913000006007, 2201913000006081, 2201913000006151 y 2201913000006895−</w:t>
      </w:r>
      <w:r w:rsidR="00646073" w:rsidRPr="001D0F68">
        <w:rPr>
          <w:rFonts w:ascii="Arial" w:hAnsi="Arial" w:cs="Arial"/>
          <w:sz w:val="22"/>
          <w:lang w:val="es-CO"/>
        </w:rPr>
        <w:t>,</w:t>
      </w:r>
      <w:r w:rsidRPr="001D0F68">
        <w:rPr>
          <w:rFonts w:ascii="Arial" w:eastAsia="Calibri" w:hAnsi="Arial" w:cs="Arial"/>
          <w:sz w:val="22"/>
          <w:lang w:val="es-CO"/>
        </w:rPr>
        <w:t xml:space="preserve"> </w:t>
      </w:r>
      <w:r w:rsidR="00D11C59" w:rsidRPr="001D0F68">
        <w:rPr>
          <w:rFonts w:ascii="Arial" w:eastAsia="Calibri" w:hAnsi="Arial" w:cs="Arial"/>
          <w:sz w:val="22"/>
          <w:lang w:val="es-CO"/>
        </w:rPr>
        <w:t xml:space="preserve">C-258 del 17 de abril y </w:t>
      </w:r>
      <w:r w:rsidRPr="001D0F68">
        <w:rPr>
          <w:rFonts w:ascii="Arial" w:eastAsia="Calibri" w:hAnsi="Arial" w:cs="Arial"/>
          <w:sz w:val="22"/>
          <w:lang w:val="es-CO"/>
        </w:rPr>
        <w:t xml:space="preserve">C-413 de </w:t>
      </w:r>
      <w:r w:rsidR="00B41C5A" w:rsidRPr="001D0F68">
        <w:rPr>
          <w:rFonts w:ascii="Arial" w:eastAsia="Calibri" w:hAnsi="Arial" w:cs="Arial"/>
          <w:sz w:val="22"/>
          <w:lang w:val="es-CO"/>
        </w:rPr>
        <w:t xml:space="preserve">30 de junio de 2020, </w:t>
      </w:r>
      <w:r w:rsidR="00403F26" w:rsidRPr="001D0F68">
        <w:rPr>
          <w:rFonts w:ascii="Arial" w:eastAsia="Calibri" w:hAnsi="Arial" w:cs="Arial"/>
          <w:sz w:val="22"/>
          <w:lang w:val="es-CO"/>
        </w:rPr>
        <w:t>se estudió la posibilidad de aplicar a las ESAL la normativa relativa a las M</w:t>
      </w:r>
      <w:r w:rsidR="009D1147" w:rsidRPr="001D0F68">
        <w:rPr>
          <w:rFonts w:ascii="Arial" w:eastAsia="Calibri" w:hAnsi="Arial" w:cs="Arial"/>
          <w:sz w:val="22"/>
          <w:lang w:val="es-CO"/>
        </w:rPr>
        <w:t>i</w:t>
      </w:r>
      <w:r w:rsidR="00403F26" w:rsidRPr="001D0F68">
        <w:rPr>
          <w:rFonts w:ascii="Arial" w:eastAsia="Calibri" w:hAnsi="Arial" w:cs="Arial"/>
          <w:sz w:val="22"/>
          <w:lang w:val="es-CO"/>
        </w:rPr>
        <w:t>p</w:t>
      </w:r>
      <w:r w:rsidR="009D1147" w:rsidRPr="001D0F68">
        <w:rPr>
          <w:rFonts w:ascii="Arial" w:eastAsia="Calibri" w:hAnsi="Arial" w:cs="Arial"/>
          <w:sz w:val="22"/>
          <w:lang w:val="es-CO"/>
        </w:rPr>
        <w:t>y</w:t>
      </w:r>
      <w:r w:rsidR="00403F26" w:rsidRPr="001D0F68">
        <w:rPr>
          <w:rFonts w:ascii="Arial" w:eastAsia="Calibri" w:hAnsi="Arial" w:cs="Arial"/>
          <w:sz w:val="22"/>
          <w:lang w:val="es-CO"/>
        </w:rPr>
        <w:t>mes</w:t>
      </w:r>
      <w:r w:rsidR="00AF1A3F">
        <w:rPr>
          <w:rFonts w:ascii="Arial" w:eastAsia="Calibri" w:hAnsi="Arial" w:cs="Arial"/>
          <w:sz w:val="22"/>
          <w:lang w:val="es-CO"/>
        </w:rPr>
        <w:t xml:space="preserve">. Por su parte, </w:t>
      </w:r>
      <w:r w:rsidR="00AF1A3F">
        <w:rPr>
          <w:rStyle w:val="normaltextrun"/>
          <w:rFonts w:ascii="Arial" w:hAnsi="Arial" w:cs="Arial"/>
          <w:color w:val="000000"/>
          <w:sz w:val="22"/>
          <w:shd w:val="clear" w:color="auto" w:fill="FFFFFF"/>
        </w:rPr>
        <w:t>s</w:t>
      </w:r>
      <w:r w:rsidR="00AF1A3F" w:rsidRPr="004F0040">
        <w:rPr>
          <w:rStyle w:val="normaltextrun"/>
          <w:rFonts w:ascii="Arial" w:hAnsi="Arial" w:cs="Arial"/>
          <w:color w:val="000000"/>
          <w:sz w:val="22"/>
          <w:shd w:val="clear" w:color="auto" w:fill="FFFFFF"/>
        </w:rPr>
        <w:t xml:space="preserve">obre el alcance de la competencia </w:t>
      </w:r>
      <w:r w:rsidR="00AF1A3F">
        <w:rPr>
          <w:rStyle w:val="normaltextrun"/>
          <w:rFonts w:ascii="Arial" w:hAnsi="Arial" w:cs="Arial"/>
          <w:color w:val="000000"/>
          <w:sz w:val="22"/>
          <w:shd w:val="clear" w:color="auto" w:fill="FFFFFF"/>
        </w:rPr>
        <w:t>consultiva</w:t>
      </w:r>
      <w:r w:rsidR="00AF1A3F" w:rsidRPr="004F0040">
        <w:rPr>
          <w:rStyle w:val="normaltextrun"/>
          <w:rFonts w:ascii="Arial" w:hAnsi="Arial" w:cs="Arial"/>
          <w:color w:val="000000"/>
          <w:sz w:val="22"/>
          <w:shd w:val="clear" w:color="auto" w:fill="FFFFFF"/>
        </w:rPr>
        <w:t xml:space="preserve">, esta Subdirección se ha pronunciado en los conceptos </w:t>
      </w:r>
      <w:r w:rsidR="00AF1A3F">
        <w:rPr>
          <w:rStyle w:val="normaltextrun"/>
          <w:rFonts w:ascii="Arial" w:hAnsi="Arial" w:cs="Arial"/>
          <w:color w:val="000000"/>
          <w:sz w:val="22"/>
          <w:shd w:val="clear" w:color="auto" w:fill="FFFFFF"/>
        </w:rPr>
        <w:t xml:space="preserve">C-317 del 10 de junio de 2020, </w:t>
      </w:r>
      <w:r w:rsidR="00AF1A3F" w:rsidRPr="004F0040">
        <w:rPr>
          <w:rStyle w:val="normaltextrun"/>
          <w:rFonts w:ascii="Arial" w:hAnsi="Arial" w:cs="Arial"/>
          <w:color w:val="000000"/>
          <w:sz w:val="22"/>
          <w:shd w:val="clear" w:color="auto" w:fill="FFFFFF"/>
        </w:rPr>
        <w:t>C</w:t>
      </w:r>
      <w:r w:rsidR="00AF1A3F">
        <w:rPr>
          <w:rStyle w:val="normaltextrun"/>
          <w:rFonts w:ascii="Arial" w:hAnsi="Arial" w:cs="Arial"/>
          <w:color w:val="000000"/>
          <w:sz w:val="22"/>
          <w:shd w:val="clear" w:color="auto" w:fill="FFFFFF"/>
        </w:rPr>
        <w:t>-</w:t>
      </w:r>
      <w:r w:rsidR="00AF1A3F" w:rsidRPr="004F0040">
        <w:rPr>
          <w:rStyle w:val="normaltextrun"/>
          <w:rFonts w:ascii="Arial" w:hAnsi="Arial" w:cs="Arial"/>
          <w:color w:val="000000"/>
          <w:sz w:val="22"/>
          <w:shd w:val="clear" w:color="auto" w:fill="FFFFFF"/>
        </w:rPr>
        <w:t>337 del 26 de junio de 2020</w:t>
      </w:r>
      <w:r w:rsidR="00AF1A3F">
        <w:rPr>
          <w:rStyle w:val="normaltextrun"/>
          <w:rFonts w:ascii="Arial" w:hAnsi="Arial" w:cs="Arial"/>
          <w:color w:val="000000"/>
          <w:sz w:val="22"/>
          <w:shd w:val="clear" w:color="auto" w:fill="FFFFFF"/>
        </w:rPr>
        <w:t xml:space="preserve">, C-353 del 30 de junio de 2020, </w:t>
      </w:r>
      <w:r w:rsidR="00AF1A3F" w:rsidRPr="004F0040">
        <w:rPr>
          <w:rStyle w:val="normaltextrun"/>
          <w:rFonts w:ascii="Arial" w:hAnsi="Arial" w:cs="Arial"/>
          <w:color w:val="000000"/>
          <w:sz w:val="22"/>
          <w:shd w:val="clear" w:color="auto" w:fill="FFFFFF"/>
        </w:rPr>
        <w:t>C</w:t>
      </w:r>
      <w:r w:rsidR="00AF1A3F">
        <w:rPr>
          <w:rStyle w:val="normaltextrun"/>
          <w:rFonts w:ascii="Arial" w:hAnsi="Arial" w:cs="Arial"/>
          <w:color w:val="000000"/>
          <w:sz w:val="22"/>
          <w:shd w:val="clear" w:color="auto" w:fill="FFFFFF"/>
        </w:rPr>
        <w:t>-</w:t>
      </w:r>
      <w:r w:rsidR="00AF1A3F" w:rsidRPr="004F0040">
        <w:rPr>
          <w:rStyle w:val="normaltextrun"/>
          <w:rFonts w:ascii="Arial" w:hAnsi="Arial" w:cs="Arial"/>
          <w:color w:val="000000"/>
          <w:sz w:val="22"/>
          <w:shd w:val="clear" w:color="auto" w:fill="FFFFFF"/>
        </w:rPr>
        <w:t>439 del 27 de julio de 2020</w:t>
      </w:r>
      <w:r w:rsidR="00AF1A3F">
        <w:rPr>
          <w:rStyle w:val="normaltextrun"/>
          <w:rFonts w:ascii="Arial" w:hAnsi="Arial" w:cs="Arial"/>
          <w:color w:val="000000"/>
          <w:sz w:val="22"/>
          <w:shd w:val="clear" w:color="auto" w:fill="FFFFFF"/>
        </w:rPr>
        <w:t>, los cuales se recogieron en el Concepto C-511 del 10 de agosto de 2020</w:t>
      </w:r>
      <w:r w:rsidR="009D1147" w:rsidRPr="001D0F68">
        <w:rPr>
          <w:rFonts w:ascii="Arial" w:eastAsia="Calibri" w:hAnsi="Arial" w:cs="Arial"/>
          <w:sz w:val="22"/>
          <w:lang w:val="es-CO"/>
        </w:rPr>
        <w:t>.</w:t>
      </w:r>
      <w:r w:rsidR="00E50356">
        <w:rPr>
          <w:rFonts w:ascii="Arial" w:eastAsia="Calibri" w:hAnsi="Arial" w:cs="Arial"/>
          <w:sz w:val="22"/>
          <w:lang w:val="es-CO"/>
        </w:rPr>
        <w:t xml:space="preserve"> </w:t>
      </w:r>
      <w:r w:rsidR="00B24E57" w:rsidRPr="001D0F68">
        <w:rPr>
          <w:rFonts w:ascii="Arial" w:eastAsia="Calibri" w:hAnsi="Arial" w:cs="Arial"/>
          <w:sz w:val="22"/>
          <w:lang w:val="es-CO"/>
        </w:rPr>
        <w:t>La</w:t>
      </w:r>
      <w:r w:rsidR="0003091B" w:rsidRPr="001D0F68">
        <w:rPr>
          <w:rFonts w:ascii="Arial" w:eastAsia="Calibri" w:hAnsi="Arial" w:cs="Arial"/>
          <w:sz w:val="22"/>
          <w:lang w:val="es-CO"/>
        </w:rPr>
        <w:t>s</w:t>
      </w:r>
      <w:r w:rsidR="00B24E57" w:rsidRPr="001D0F68">
        <w:rPr>
          <w:rFonts w:ascii="Arial" w:eastAsia="Calibri" w:hAnsi="Arial" w:cs="Arial"/>
          <w:sz w:val="22"/>
          <w:lang w:val="es-CO"/>
        </w:rPr>
        <w:t xml:space="preserve"> tesis </w:t>
      </w:r>
      <w:r w:rsidR="00AA615B" w:rsidRPr="001D0F68">
        <w:rPr>
          <w:rFonts w:ascii="Arial" w:eastAsia="Calibri" w:hAnsi="Arial" w:cs="Arial"/>
          <w:sz w:val="22"/>
          <w:lang w:val="es-CO"/>
        </w:rPr>
        <w:t>propuesta</w:t>
      </w:r>
      <w:r w:rsidR="00DD0E98" w:rsidRPr="001D0F68">
        <w:rPr>
          <w:rFonts w:ascii="Arial" w:eastAsia="Calibri" w:hAnsi="Arial" w:cs="Arial"/>
          <w:sz w:val="22"/>
          <w:lang w:val="es-CO"/>
        </w:rPr>
        <w:t>s</w:t>
      </w:r>
      <w:r w:rsidR="00AA615B" w:rsidRPr="001D0F68">
        <w:rPr>
          <w:rFonts w:ascii="Arial" w:eastAsia="Calibri" w:hAnsi="Arial" w:cs="Arial"/>
          <w:sz w:val="22"/>
          <w:lang w:val="es-CO"/>
        </w:rPr>
        <w:t xml:space="preserve"> se expone</w:t>
      </w:r>
      <w:r w:rsidR="00DD0E98" w:rsidRPr="001D0F68">
        <w:rPr>
          <w:rFonts w:ascii="Arial" w:eastAsia="Calibri" w:hAnsi="Arial" w:cs="Arial"/>
          <w:sz w:val="22"/>
          <w:lang w:val="es-CO"/>
        </w:rPr>
        <w:t>n</w:t>
      </w:r>
      <w:r w:rsidR="00AA615B" w:rsidRPr="001D0F68">
        <w:rPr>
          <w:rFonts w:ascii="Arial" w:eastAsia="Calibri" w:hAnsi="Arial" w:cs="Arial"/>
          <w:sz w:val="22"/>
          <w:lang w:val="es-CO"/>
        </w:rPr>
        <w:t xml:space="preserve"> a continuación</w:t>
      </w:r>
      <w:r w:rsidR="00936A0F">
        <w:rPr>
          <w:rFonts w:ascii="Arial" w:eastAsia="Calibri" w:hAnsi="Arial" w:cs="Arial"/>
          <w:sz w:val="22"/>
          <w:lang w:val="es-CO"/>
        </w:rPr>
        <w:t>:</w:t>
      </w:r>
    </w:p>
    <w:p w14:paraId="55DE8DC0" w14:textId="55F0D97D" w:rsidR="00936A0F" w:rsidRDefault="00936A0F" w:rsidP="008C487C">
      <w:pPr>
        <w:spacing w:line="276" w:lineRule="auto"/>
        <w:jc w:val="both"/>
        <w:rPr>
          <w:rFonts w:ascii="Arial" w:eastAsia="Calibri" w:hAnsi="Arial" w:cs="Arial"/>
          <w:sz w:val="22"/>
          <w:lang w:val="es-CO"/>
        </w:rPr>
      </w:pPr>
    </w:p>
    <w:p w14:paraId="56CC0D1F" w14:textId="51615AC2" w:rsidR="00936A0F" w:rsidRPr="001D0F68" w:rsidRDefault="00936A0F" w:rsidP="00936A0F">
      <w:pPr>
        <w:tabs>
          <w:tab w:val="left" w:pos="426"/>
        </w:tabs>
        <w:spacing w:line="276" w:lineRule="auto"/>
        <w:jc w:val="both"/>
        <w:rPr>
          <w:rFonts w:ascii="Arial" w:eastAsia="Calibri" w:hAnsi="Arial" w:cs="Arial"/>
          <w:b/>
          <w:sz w:val="22"/>
          <w:lang w:val="es-ES_tradnl"/>
        </w:rPr>
      </w:pPr>
      <w:r w:rsidRPr="001D0F68">
        <w:rPr>
          <w:rFonts w:ascii="Arial" w:eastAsia="Calibri" w:hAnsi="Arial" w:cs="Arial"/>
          <w:b/>
          <w:sz w:val="22"/>
          <w:lang w:val="es-ES_tradnl"/>
        </w:rPr>
        <w:t>2.</w:t>
      </w:r>
      <w:r>
        <w:rPr>
          <w:rFonts w:ascii="Arial" w:eastAsia="Calibri" w:hAnsi="Arial" w:cs="Arial"/>
          <w:b/>
          <w:sz w:val="22"/>
          <w:lang w:val="es-ES_tradnl"/>
        </w:rPr>
        <w:t>1</w:t>
      </w:r>
      <w:r w:rsidRPr="001D0F68">
        <w:rPr>
          <w:rFonts w:ascii="Arial" w:eastAsia="Calibri" w:hAnsi="Arial" w:cs="Arial"/>
          <w:b/>
          <w:sz w:val="22"/>
          <w:lang w:val="es-ES_tradnl"/>
        </w:rPr>
        <w:t>. Efectos de los conceptos emitidos por Colombia Compra Eficiente</w:t>
      </w:r>
    </w:p>
    <w:p w14:paraId="6D2030FB" w14:textId="77777777" w:rsidR="00936A0F" w:rsidRPr="001D0F68" w:rsidRDefault="00936A0F" w:rsidP="00936A0F">
      <w:pPr>
        <w:tabs>
          <w:tab w:val="left" w:pos="426"/>
        </w:tabs>
        <w:spacing w:line="276" w:lineRule="auto"/>
        <w:jc w:val="both"/>
        <w:rPr>
          <w:rFonts w:ascii="Arial" w:eastAsia="Calibri" w:hAnsi="Arial" w:cs="Arial"/>
          <w:b/>
          <w:sz w:val="22"/>
          <w:lang w:val="es-ES_tradnl"/>
        </w:rPr>
      </w:pPr>
    </w:p>
    <w:p w14:paraId="0703FB68" w14:textId="77777777" w:rsidR="00936A0F" w:rsidRDefault="00936A0F" w:rsidP="00936A0F">
      <w:pPr>
        <w:tabs>
          <w:tab w:val="left" w:pos="426"/>
        </w:tabs>
        <w:spacing w:line="276" w:lineRule="auto"/>
        <w:jc w:val="both"/>
        <w:rPr>
          <w:rFonts w:ascii="Arial" w:eastAsia="Calibri" w:hAnsi="Arial" w:cs="Arial"/>
          <w:bCs/>
          <w:sz w:val="22"/>
          <w:lang w:val="es-ES"/>
        </w:rPr>
      </w:pPr>
      <w:r>
        <w:rPr>
          <w:rFonts w:ascii="Arial" w:eastAsia="Calibri" w:hAnsi="Arial" w:cs="Arial"/>
          <w:bCs/>
          <w:sz w:val="22"/>
        </w:rPr>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contratación estatal y compras públicas relacionadas en los artículos antes referidos. El alcance de la competencia consultiva encuentra fundamento normativo en el artículo 28 de la Ley 1437 de 2011, sustituido por el artículo 1 de la Ley 1755 de 2015, que dispone lo siguiente: </w:t>
      </w:r>
    </w:p>
    <w:p w14:paraId="3ED07FC0" w14:textId="77777777" w:rsidR="00936A0F" w:rsidRDefault="00936A0F" w:rsidP="00936A0F">
      <w:pPr>
        <w:tabs>
          <w:tab w:val="left" w:pos="426"/>
        </w:tabs>
        <w:spacing w:line="276" w:lineRule="auto"/>
        <w:jc w:val="both"/>
        <w:rPr>
          <w:rFonts w:ascii="Arial" w:eastAsia="Calibri" w:hAnsi="Arial" w:cs="Arial"/>
          <w:bCs/>
          <w:sz w:val="22"/>
        </w:rPr>
      </w:pPr>
    </w:p>
    <w:p w14:paraId="5FC1C0B7" w14:textId="77777777" w:rsidR="00936A0F" w:rsidRDefault="00936A0F" w:rsidP="00936A0F">
      <w:pPr>
        <w:tabs>
          <w:tab w:val="left" w:pos="426"/>
        </w:tabs>
        <w:ind w:left="709" w:right="709"/>
        <w:jc w:val="both"/>
        <w:rPr>
          <w:rFonts w:ascii="Arial" w:eastAsia="Calibri" w:hAnsi="Arial" w:cs="Arial"/>
          <w:bCs/>
          <w:sz w:val="21"/>
          <w:szCs w:val="21"/>
        </w:rPr>
      </w:pPr>
      <w:r>
        <w:rPr>
          <w:rFonts w:ascii="Arial" w:eastAsia="Calibri" w:hAnsi="Arial" w:cs="Arial"/>
          <w:bCs/>
          <w:sz w:val="21"/>
          <w:szCs w:val="21"/>
        </w:rPr>
        <w:lastRenderedPageBreak/>
        <w:t xml:space="preserve">Artículo 28. Alcance de los conceptos. Salvo disposición legal en contrario, los conceptos emitidos por las autoridades como respuestas a peticiones realizadas en ejercicio del derecho a formular consultas no serán de obligatorio cumplimiento o ejecución.  </w:t>
      </w:r>
    </w:p>
    <w:p w14:paraId="270B0FC3" w14:textId="77777777" w:rsidR="00936A0F" w:rsidRDefault="00936A0F" w:rsidP="00936A0F">
      <w:pPr>
        <w:tabs>
          <w:tab w:val="left" w:pos="426"/>
        </w:tabs>
        <w:spacing w:line="276" w:lineRule="auto"/>
        <w:jc w:val="both"/>
        <w:rPr>
          <w:rFonts w:ascii="Arial" w:eastAsia="Calibri" w:hAnsi="Arial" w:cs="Arial"/>
          <w:bCs/>
          <w:sz w:val="22"/>
          <w:szCs w:val="24"/>
        </w:rPr>
      </w:pPr>
    </w:p>
    <w:p w14:paraId="6E68792A" w14:textId="77777777" w:rsidR="00936A0F" w:rsidRDefault="00936A0F" w:rsidP="00936A0F">
      <w:pPr>
        <w:tabs>
          <w:tab w:val="left" w:pos="709"/>
        </w:tabs>
        <w:spacing w:after="120" w:line="276" w:lineRule="auto"/>
        <w:jc w:val="both"/>
        <w:rPr>
          <w:rFonts w:ascii="Arial" w:eastAsia="Calibri" w:hAnsi="Arial" w:cs="Arial"/>
          <w:bCs/>
          <w:sz w:val="22"/>
        </w:rPr>
      </w:pPr>
      <w:r>
        <w:rPr>
          <w:rFonts w:ascii="Arial" w:eastAsia="Calibri" w:hAnsi="Arial" w:cs="Arial"/>
          <w:bCs/>
          <w:sz w:val="22"/>
        </w:rPr>
        <w:tab/>
        <w:t xml:space="preserve">La norma citada es clara al establecer que los conceptos emitidos por las autoridades, como respuestas a peticiones realizadas en ejercicio del derecho a formular consultas, no son de obligatorio cumplimiento o de imperativa ejecución. En otras palabras, estos conceptos no tienen efectos vinculantes. </w:t>
      </w:r>
    </w:p>
    <w:p w14:paraId="38FD2B7B" w14:textId="44EF4856" w:rsidR="00936A0F" w:rsidRDefault="00936A0F" w:rsidP="00936A0F">
      <w:pPr>
        <w:tabs>
          <w:tab w:val="left" w:pos="709"/>
        </w:tabs>
        <w:spacing w:after="120" w:line="276" w:lineRule="auto"/>
        <w:jc w:val="both"/>
        <w:rPr>
          <w:rFonts w:ascii="Arial" w:eastAsia="Calibri" w:hAnsi="Arial" w:cs="Arial"/>
          <w:bCs/>
          <w:sz w:val="22"/>
        </w:rPr>
      </w:pPr>
      <w:r>
        <w:rPr>
          <w:rFonts w:ascii="Arial" w:eastAsia="Calibri" w:hAnsi="Arial" w:cs="Arial"/>
          <w:bCs/>
          <w:sz w:val="22"/>
        </w:rPr>
        <w:tab/>
      </w:r>
      <w:r w:rsidR="00C02431">
        <w:rPr>
          <w:rFonts w:ascii="Arial" w:eastAsia="Calibri" w:hAnsi="Arial" w:cs="Arial"/>
          <w:bCs/>
          <w:sz w:val="22"/>
        </w:rPr>
        <w:t>En relación con ese punto</w:t>
      </w:r>
      <w:r>
        <w:rPr>
          <w:rFonts w:ascii="Arial" w:eastAsia="Calibri" w:hAnsi="Arial" w:cs="Arial"/>
          <w:bCs/>
          <w:sz w:val="22"/>
        </w:rPr>
        <w:t>, es preciso advertir que las respuestas emitidas como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Ello explica que la Agencia, reiteradamente, se haya negado a absolver este tipo de consultas</w:t>
      </w:r>
      <w:r>
        <w:rPr>
          <w:rStyle w:val="Refdenotaalpie"/>
          <w:rFonts w:ascii="Arial" w:eastAsia="Calibri" w:hAnsi="Arial" w:cs="Arial"/>
          <w:sz w:val="22"/>
        </w:rPr>
        <w:footnoteReference w:id="2"/>
      </w:r>
      <w:r>
        <w:rPr>
          <w:rFonts w:ascii="Arial" w:eastAsia="Calibri" w:hAnsi="Arial" w:cs="Arial"/>
          <w:bCs/>
          <w:sz w:val="22"/>
        </w:rPr>
        <w:t>.</w:t>
      </w:r>
    </w:p>
    <w:p w14:paraId="6379E4D3" w14:textId="77777777" w:rsidR="00936A0F" w:rsidRDefault="00936A0F" w:rsidP="00936A0F">
      <w:pPr>
        <w:tabs>
          <w:tab w:val="left" w:pos="709"/>
        </w:tabs>
        <w:spacing w:after="120" w:line="276" w:lineRule="auto"/>
        <w:jc w:val="both"/>
        <w:rPr>
          <w:rFonts w:ascii="Arial" w:eastAsia="Calibri" w:hAnsi="Arial" w:cs="Arial"/>
          <w:bCs/>
          <w:sz w:val="22"/>
        </w:rPr>
      </w:pPr>
      <w:r>
        <w:rPr>
          <w:rFonts w:ascii="Arial" w:eastAsia="Calibri" w:hAnsi="Arial" w:cs="Arial"/>
          <w:bCs/>
          <w:sz w:val="22"/>
        </w:rPr>
        <w:tab/>
        <w:t>Lo dicho en relación con la naturaleza jurídica, alcance y obligatoriedad de los conceptos es compartido por otras entidades estatales. A manera de ejemplo, se pone de presente que la Procuraduría General de la Nación aclaró que el concepto «sólo constituye un criterio auxiliar de interpretación y que no tiene carácter vinculante de acuerdo con lo dispuesto en los artículos 230 de la Constitución Política, 5° de la Ley 153 de 1887 y 28 de la ley 1437 de 2011»</w:t>
      </w:r>
      <w:r>
        <w:rPr>
          <w:rStyle w:val="Refdenotaalpie"/>
          <w:rFonts w:ascii="Arial" w:eastAsia="Calibri" w:hAnsi="Arial" w:cs="Arial"/>
          <w:sz w:val="22"/>
        </w:rPr>
        <w:footnoteReference w:id="3"/>
      </w:r>
      <w:r>
        <w:rPr>
          <w:rFonts w:ascii="Arial" w:eastAsia="Calibri" w:hAnsi="Arial" w:cs="Arial"/>
          <w:bCs/>
          <w:sz w:val="22"/>
        </w:rPr>
        <w:t xml:space="preserve">. </w:t>
      </w:r>
    </w:p>
    <w:p w14:paraId="564C5602" w14:textId="77777777" w:rsidR="00936A0F" w:rsidRDefault="00936A0F" w:rsidP="00936A0F">
      <w:pPr>
        <w:tabs>
          <w:tab w:val="left" w:pos="709"/>
        </w:tabs>
        <w:spacing w:after="120" w:line="276" w:lineRule="auto"/>
        <w:jc w:val="both"/>
        <w:rPr>
          <w:rFonts w:ascii="Arial" w:eastAsia="Calibri" w:hAnsi="Arial" w:cs="Arial"/>
          <w:bCs/>
          <w:sz w:val="22"/>
        </w:rPr>
      </w:pPr>
      <w:r>
        <w:rPr>
          <w:rFonts w:ascii="Arial" w:eastAsia="Calibri" w:hAnsi="Arial" w:cs="Arial"/>
          <w:bCs/>
          <w:sz w:val="22"/>
        </w:rPr>
        <w:tab/>
        <w:t>De manera similar, en concepto del año 2017</w:t>
      </w:r>
      <w:r>
        <w:rPr>
          <w:rStyle w:val="Refdenotaalpie"/>
          <w:rFonts w:ascii="Arial" w:eastAsia="Calibri" w:hAnsi="Arial" w:cs="Arial"/>
          <w:sz w:val="22"/>
        </w:rPr>
        <w:footnoteReference w:id="4"/>
      </w:r>
      <w:r>
        <w:rPr>
          <w:rFonts w:ascii="Arial" w:eastAsia="Calibri" w:hAnsi="Arial" w:cs="Arial"/>
          <w:bCs/>
          <w:sz w:val="22"/>
        </w:rPr>
        <w:t>, la Contraloría General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p>
    <w:p w14:paraId="498C5F05" w14:textId="77777777" w:rsidR="00936A0F" w:rsidRDefault="00936A0F" w:rsidP="00936A0F">
      <w:pPr>
        <w:tabs>
          <w:tab w:val="left" w:pos="709"/>
        </w:tabs>
        <w:spacing w:line="276" w:lineRule="auto"/>
        <w:jc w:val="both"/>
        <w:rPr>
          <w:rFonts w:ascii="Arial" w:eastAsia="Calibri" w:hAnsi="Arial" w:cs="Arial"/>
          <w:bCs/>
          <w:sz w:val="22"/>
        </w:rPr>
      </w:pPr>
      <w:r>
        <w:rPr>
          <w:rFonts w:ascii="Arial" w:eastAsia="Calibri" w:hAnsi="Arial" w:cs="Arial"/>
          <w:bCs/>
          <w:sz w:val="22"/>
        </w:rPr>
        <w:lastRenderedPageBreak/>
        <w:tab/>
        <w:t>En similares términos, el artículo 112 de la Ley 1437 de 2011 establece, en relación con la Sala de Consulta y Servicio Civil, que «los conceptos de la Sala no serán vinculantes, salvo que la ley disponga lo contrario»</w:t>
      </w:r>
      <w:r>
        <w:rPr>
          <w:rStyle w:val="Refdenotaalpie"/>
          <w:rFonts w:ascii="Arial" w:eastAsia="Calibri" w:hAnsi="Arial" w:cs="Arial"/>
          <w:sz w:val="22"/>
        </w:rPr>
        <w:footnoteReference w:id="5"/>
      </w:r>
      <w:r>
        <w:rPr>
          <w:rFonts w:ascii="Arial" w:eastAsia="Calibri" w:hAnsi="Arial" w:cs="Arial"/>
          <w:bCs/>
          <w:sz w:val="22"/>
        </w:rPr>
        <w:t>. Se trata del ejercicio de una función consultiva, cuyos efectos, por ende, serán los mismos: no vinculantes, ni de obligatorio cumplimiento. En relación con el tema objeto de análisis, la Sala de Consulta y Servicio Civil del Consejo de Estado se pronunció en los siguientes términos:</w:t>
      </w:r>
    </w:p>
    <w:p w14:paraId="292629EB" w14:textId="77777777" w:rsidR="00936A0F" w:rsidRDefault="00936A0F" w:rsidP="00936A0F">
      <w:pPr>
        <w:tabs>
          <w:tab w:val="left" w:pos="426"/>
        </w:tabs>
        <w:spacing w:line="276" w:lineRule="auto"/>
        <w:jc w:val="both"/>
        <w:rPr>
          <w:rFonts w:ascii="Arial" w:eastAsia="Calibri" w:hAnsi="Arial" w:cs="Arial"/>
          <w:bCs/>
          <w:sz w:val="22"/>
        </w:rPr>
      </w:pPr>
    </w:p>
    <w:p w14:paraId="3822F3D0" w14:textId="77777777" w:rsidR="00936A0F" w:rsidRDefault="00936A0F" w:rsidP="00936A0F">
      <w:pPr>
        <w:tabs>
          <w:tab w:val="left" w:pos="426"/>
        </w:tabs>
        <w:ind w:left="709" w:right="709"/>
        <w:jc w:val="both"/>
        <w:rPr>
          <w:rFonts w:ascii="Arial" w:eastAsia="Calibri" w:hAnsi="Arial" w:cs="Arial"/>
          <w:bCs/>
          <w:sz w:val="21"/>
          <w:szCs w:val="21"/>
        </w:rPr>
      </w:pPr>
      <w:r>
        <w:rPr>
          <w:rFonts w:ascii="Arial" w:eastAsia="Calibri" w:hAnsi="Arial" w:cs="Arial"/>
          <w:bCs/>
          <w:sz w:val="21"/>
          <w:szCs w:val="21"/>
        </w:rPr>
        <w:t xml:space="preserve">De otra parte, recuerda la Sala que la función consultiva no constituye un trámite controversial de tipo judicial; se encuentra establecida como un mecanismo constitucional dirigido a asegurar que la actuación de la Administración se adecue al ordenamiento jurídico y al interés general por el que le corresponde velar en el ejercicio de sus funciones. La defensa del ordenamiento jurídico por esta vía se realiza a través de un órgano independiente y autónomo del poder judicial, que actúa por tanto con independencia de criterios, dentro de una lógica de colaboración armónica de poderes (art.113 C.P).  </w:t>
      </w:r>
    </w:p>
    <w:p w14:paraId="2FF04B6E" w14:textId="77777777" w:rsidR="00936A0F" w:rsidRDefault="00936A0F" w:rsidP="00936A0F">
      <w:pPr>
        <w:tabs>
          <w:tab w:val="left" w:pos="426"/>
        </w:tabs>
        <w:ind w:left="709" w:right="709"/>
        <w:jc w:val="both"/>
        <w:rPr>
          <w:rFonts w:ascii="Arial" w:eastAsia="Calibri" w:hAnsi="Arial" w:cs="Arial"/>
          <w:bCs/>
          <w:sz w:val="21"/>
          <w:szCs w:val="21"/>
        </w:rPr>
      </w:pPr>
    </w:p>
    <w:p w14:paraId="308A7EC6" w14:textId="77777777" w:rsidR="00936A0F" w:rsidRDefault="00936A0F" w:rsidP="00936A0F">
      <w:pPr>
        <w:tabs>
          <w:tab w:val="left" w:pos="426"/>
        </w:tabs>
        <w:ind w:left="709" w:right="709"/>
        <w:jc w:val="both"/>
        <w:rPr>
          <w:rFonts w:ascii="Arial" w:eastAsia="Calibri" w:hAnsi="Arial" w:cs="Arial"/>
          <w:bCs/>
          <w:sz w:val="21"/>
          <w:szCs w:val="21"/>
        </w:rPr>
      </w:pPr>
      <w:r>
        <w:rPr>
          <w:rFonts w:ascii="Arial" w:eastAsia="Calibri" w:hAnsi="Arial" w:cs="Arial"/>
          <w:bCs/>
          <w:sz w:val="21"/>
          <w:szCs w:val="21"/>
        </w:rPr>
        <w:t>No se trata entonces de dar la razón a una u otra posición en temas controvertibles, sino de rendir un concepto jurídico que sirva a la Administración en la búsqueda del cumplimiento de las finalidades esenciales del Estado</w:t>
      </w:r>
      <w:r>
        <w:rPr>
          <w:rStyle w:val="Refdenotaalpie"/>
          <w:rFonts w:ascii="Arial" w:eastAsia="Calibri" w:hAnsi="Arial" w:cs="Arial"/>
          <w:sz w:val="22"/>
        </w:rPr>
        <w:footnoteReference w:id="6"/>
      </w:r>
      <w:r>
        <w:rPr>
          <w:rFonts w:ascii="Arial" w:eastAsia="Calibri" w:hAnsi="Arial" w:cs="Arial"/>
          <w:bCs/>
          <w:sz w:val="21"/>
          <w:szCs w:val="21"/>
        </w:rPr>
        <w:t>.</w:t>
      </w:r>
    </w:p>
    <w:p w14:paraId="4C2E342A" w14:textId="77777777" w:rsidR="00936A0F" w:rsidRDefault="00936A0F" w:rsidP="00936A0F">
      <w:pPr>
        <w:tabs>
          <w:tab w:val="left" w:pos="426"/>
        </w:tabs>
        <w:ind w:left="709" w:right="709"/>
        <w:jc w:val="both"/>
        <w:rPr>
          <w:rFonts w:ascii="Arial" w:eastAsia="Calibri" w:hAnsi="Arial" w:cs="Arial"/>
          <w:bCs/>
          <w:sz w:val="21"/>
          <w:szCs w:val="21"/>
        </w:rPr>
      </w:pPr>
    </w:p>
    <w:p w14:paraId="23941EFA" w14:textId="0598283E" w:rsidR="00936A0F" w:rsidRDefault="00936A0F" w:rsidP="00936A0F">
      <w:pPr>
        <w:tabs>
          <w:tab w:val="left" w:pos="709"/>
        </w:tabs>
        <w:spacing w:line="276" w:lineRule="auto"/>
        <w:jc w:val="both"/>
        <w:rPr>
          <w:rFonts w:ascii="Arial" w:eastAsia="Calibri" w:hAnsi="Arial" w:cs="Arial"/>
          <w:bCs/>
          <w:sz w:val="22"/>
        </w:rPr>
      </w:pPr>
      <w:r>
        <w:rPr>
          <w:rFonts w:ascii="Arial" w:eastAsia="Calibri" w:hAnsi="Arial" w:cs="Arial"/>
          <w:bCs/>
          <w:sz w:val="22"/>
        </w:rPr>
        <w:tab/>
        <w:t>De otro lado, la doctrina ha indicado sobre la función consultiva que se trata de «un mecanismo didáctico de colaboración de las autoridades para con los particulares […] mientras en los anteriores [tipos de derecho de petición] el objetivo es la formación de un acto administrativo o la obtención de una información, en el presente asunto la finalidad es la obtención de un concepto sobre la interpretación del ordenamiento jurídico»</w:t>
      </w:r>
      <w:r>
        <w:rPr>
          <w:rStyle w:val="Refdenotaalpie"/>
          <w:rFonts w:ascii="Arial" w:eastAsia="Calibri" w:hAnsi="Arial" w:cs="Arial"/>
          <w:bCs/>
          <w:sz w:val="22"/>
        </w:rPr>
        <w:footnoteReference w:id="7"/>
      </w:r>
      <w:r>
        <w:rPr>
          <w:rFonts w:ascii="Arial" w:eastAsia="Calibri" w:hAnsi="Arial" w:cs="Arial"/>
          <w:bCs/>
          <w:sz w:val="22"/>
        </w:rPr>
        <w:t>, y sobre el alcance de los conceptos se ha dicho lo siguiente:</w:t>
      </w:r>
    </w:p>
    <w:p w14:paraId="394C9210" w14:textId="77777777" w:rsidR="00936A0F" w:rsidRDefault="00936A0F" w:rsidP="00A250F5">
      <w:pPr>
        <w:tabs>
          <w:tab w:val="left" w:pos="709"/>
        </w:tabs>
        <w:spacing w:line="276" w:lineRule="auto"/>
        <w:jc w:val="both"/>
        <w:rPr>
          <w:rFonts w:ascii="Arial" w:eastAsia="Calibri" w:hAnsi="Arial" w:cs="Arial"/>
          <w:bCs/>
          <w:sz w:val="22"/>
        </w:rPr>
      </w:pPr>
    </w:p>
    <w:p w14:paraId="04752FFF" w14:textId="498C4ADA" w:rsidR="00936A0F" w:rsidRDefault="00936A0F" w:rsidP="00936A0F">
      <w:pPr>
        <w:tabs>
          <w:tab w:val="left" w:pos="709"/>
        </w:tabs>
        <w:spacing w:after="120"/>
        <w:ind w:left="709" w:right="758"/>
        <w:jc w:val="both"/>
        <w:rPr>
          <w:rFonts w:ascii="Arial" w:eastAsia="Calibri" w:hAnsi="Arial" w:cs="Arial"/>
          <w:bCs/>
          <w:sz w:val="21"/>
          <w:szCs w:val="21"/>
        </w:rPr>
      </w:pPr>
      <w:r>
        <w:rPr>
          <w:rFonts w:ascii="Arial" w:eastAsia="Calibri" w:hAnsi="Arial" w:cs="Arial"/>
          <w:bCs/>
          <w:sz w:val="21"/>
          <w:szCs w:val="21"/>
        </w:rPr>
        <w:t xml:space="preserve">Los conceptos no obligan a la administración, y los particulares están en la libertad de aceptarlos o no en los términos que establece el artículo 28 de la Ley 1755 de 2015. No son actos administrativos en la medida en que no adoptan decisiones ni están llamados a producir efectos jurídicos, salvo que la administración con posterioridad los convierta en obligatorios. </w:t>
      </w:r>
      <w:r>
        <w:rPr>
          <w:rFonts w:ascii="Arial" w:eastAsia="Calibri" w:hAnsi="Arial" w:cs="Arial"/>
          <w:bCs/>
          <w:i/>
          <w:iCs/>
          <w:sz w:val="21"/>
          <w:szCs w:val="21"/>
        </w:rPr>
        <w:t>No siendo actos administrativos, frente a ellos resulta imposible ejercitar los recursos de vía</w:t>
      </w:r>
      <w:r>
        <w:rPr>
          <w:rFonts w:ascii="Arial" w:eastAsia="Calibri" w:hAnsi="Arial" w:cs="Arial"/>
          <w:bCs/>
          <w:sz w:val="21"/>
          <w:szCs w:val="21"/>
        </w:rPr>
        <w:t xml:space="preserve"> </w:t>
      </w:r>
      <w:r>
        <w:rPr>
          <w:rFonts w:ascii="Arial" w:eastAsia="Calibri" w:hAnsi="Arial" w:cs="Arial"/>
          <w:bCs/>
          <w:i/>
          <w:iCs/>
          <w:sz w:val="21"/>
          <w:szCs w:val="21"/>
        </w:rPr>
        <w:t>gubernativa</w:t>
      </w:r>
      <w:r>
        <w:rPr>
          <w:rFonts w:ascii="Arial" w:eastAsia="Calibri" w:hAnsi="Arial" w:cs="Arial"/>
          <w:bCs/>
          <w:sz w:val="21"/>
          <w:szCs w:val="21"/>
        </w:rPr>
        <w:t xml:space="preserve"> o las acciones contencioso-administrativas. </w:t>
      </w:r>
      <w:r>
        <w:rPr>
          <w:rFonts w:ascii="Arial" w:eastAsia="Calibri" w:hAnsi="Arial" w:cs="Arial"/>
          <w:bCs/>
          <w:i/>
          <w:iCs/>
          <w:sz w:val="21"/>
          <w:szCs w:val="21"/>
        </w:rPr>
        <w:t xml:space="preserve">Sería absurdo pretender obligar a la administración a reconsiderar a través de estos </w:t>
      </w:r>
      <w:r>
        <w:rPr>
          <w:rFonts w:ascii="Arial" w:eastAsia="Calibri" w:hAnsi="Arial" w:cs="Arial"/>
          <w:bCs/>
          <w:i/>
          <w:iCs/>
          <w:sz w:val="21"/>
          <w:szCs w:val="21"/>
        </w:rPr>
        <w:lastRenderedPageBreak/>
        <w:t>mecanismos una interpretación jurídica que no produce efectos jurídicos</w:t>
      </w:r>
      <w:r>
        <w:rPr>
          <w:rStyle w:val="Refdenotaalpie"/>
          <w:rFonts w:ascii="Arial" w:eastAsia="Calibri" w:hAnsi="Arial" w:cs="Arial"/>
          <w:bCs/>
          <w:sz w:val="21"/>
          <w:szCs w:val="21"/>
        </w:rPr>
        <w:footnoteReference w:id="8"/>
      </w:r>
      <w:r>
        <w:rPr>
          <w:rFonts w:ascii="Arial" w:eastAsia="Calibri" w:hAnsi="Arial" w:cs="Arial"/>
          <w:bCs/>
          <w:sz w:val="21"/>
          <w:szCs w:val="21"/>
        </w:rPr>
        <w:t>.  (cursivas fuera de texto)</w:t>
      </w:r>
    </w:p>
    <w:p w14:paraId="1EBEEE94" w14:textId="77777777" w:rsidR="00936A0F" w:rsidRDefault="00936A0F" w:rsidP="00936A0F">
      <w:pPr>
        <w:tabs>
          <w:tab w:val="left" w:pos="426"/>
        </w:tabs>
        <w:ind w:left="709" w:right="709"/>
        <w:jc w:val="both"/>
        <w:rPr>
          <w:rFonts w:ascii="Arial" w:eastAsia="Calibri" w:hAnsi="Arial" w:cs="Arial"/>
          <w:bCs/>
          <w:sz w:val="21"/>
          <w:szCs w:val="21"/>
        </w:rPr>
      </w:pPr>
    </w:p>
    <w:p w14:paraId="1DD36C4C" w14:textId="719E59FB" w:rsidR="00936A0F" w:rsidRDefault="00936A0F" w:rsidP="00936A0F">
      <w:pPr>
        <w:tabs>
          <w:tab w:val="left" w:pos="709"/>
        </w:tabs>
        <w:spacing w:after="120" w:line="276" w:lineRule="auto"/>
        <w:jc w:val="both"/>
        <w:rPr>
          <w:rFonts w:ascii="Arial" w:eastAsia="Calibri" w:hAnsi="Arial" w:cs="Arial"/>
          <w:bCs/>
          <w:sz w:val="22"/>
        </w:rPr>
      </w:pPr>
      <w:r>
        <w:rPr>
          <w:rFonts w:ascii="Arial" w:eastAsia="Calibri" w:hAnsi="Arial" w:cs="Arial"/>
          <w:bCs/>
          <w:sz w:val="22"/>
        </w:rPr>
        <w:tab/>
        <w:t>Con base en las anteriores consideraciones, es posible afirmar que en el ordenamiento jurídico colombiano los conceptos emitidos por las autoridades ostentan las siguientes características: i) tienen como objeto la interpretación de normas de carácter general, esto es del ordenamiento jurídico en abstracto y no la resolución de controversias o la asesoría para casos concretos</w:t>
      </w:r>
      <w:r w:rsidR="002D1A8F">
        <w:rPr>
          <w:rFonts w:ascii="Arial" w:eastAsia="Calibri" w:hAnsi="Arial" w:cs="Arial"/>
          <w:bCs/>
          <w:sz w:val="22"/>
        </w:rPr>
        <w:t>,</w:t>
      </w:r>
      <w:r>
        <w:rPr>
          <w:rFonts w:ascii="Arial" w:eastAsia="Calibri" w:hAnsi="Arial" w:cs="Arial"/>
          <w:bCs/>
          <w:sz w:val="22"/>
        </w:rPr>
        <w:t xml:space="preserve"> </w:t>
      </w:r>
      <w:proofErr w:type="spellStart"/>
      <w:r>
        <w:rPr>
          <w:rFonts w:ascii="Arial" w:eastAsia="Calibri" w:hAnsi="Arial" w:cs="Arial"/>
          <w:bCs/>
          <w:sz w:val="22"/>
        </w:rPr>
        <w:t>ii</w:t>
      </w:r>
      <w:proofErr w:type="spellEnd"/>
      <w:r>
        <w:rPr>
          <w:rFonts w:ascii="Arial" w:eastAsia="Calibri" w:hAnsi="Arial" w:cs="Arial"/>
          <w:bCs/>
          <w:sz w:val="22"/>
        </w:rPr>
        <w:t xml:space="preserve">) no son vinculantes o de obligatorio cumplimiento para el destinatario sino que </w:t>
      </w:r>
      <w:proofErr w:type="spellStart"/>
      <w:r>
        <w:rPr>
          <w:rFonts w:ascii="Arial" w:eastAsia="Calibri" w:hAnsi="Arial" w:cs="Arial"/>
          <w:bCs/>
          <w:sz w:val="22"/>
        </w:rPr>
        <w:t>i</w:t>
      </w:r>
      <w:r w:rsidR="003D2E53">
        <w:rPr>
          <w:rFonts w:ascii="Arial" w:eastAsia="Calibri" w:hAnsi="Arial" w:cs="Arial"/>
          <w:bCs/>
          <w:sz w:val="22"/>
        </w:rPr>
        <w:t>ii</w:t>
      </w:r>
      <w:proofErr w:type="spellEnd"/>
      <w:r>
        <w:rPr>
          <w:rFonts w:ascii="Arial" w:eastAsia="Calibri" w:hAnsi="Arial" w:cs="Arial"/>
          <w:bCs/>
          <w:sz w:val="22"/>
        </w:rPr>
        <w:t xml:space="preserve">) expresan la posición interpretativa del ente que ha elaborado el concepto. </w:t>
      </w:r>
    </w:p>
    <w:p w14:paraId="13D468FA" w14:textId="62EEF41C" w:rsidR="00936A0F" w:rsidRPr="00A250F5" w:rsidRDefault="00936A0F" w:rsidP="00A250F5">
      <w:pPr>
        <w:tabs>
          <w:tab w:val="left" w:pos="709"/>
        </w:tabs>
        <w:spacing w:line="276" w:lineRule="auto"/>
        <w:jc w:val="both"/>
        <w:rPr>
          <w:rFonts w:ascii="Arial" w:eastAsia="Calibri" w:hAnsi="Arial" w:cs="Arial"/>
          <w:bCs/>
          <w:sz w:val="22"/>
          <w:lang w:val="es-ES_tradnl"/>
        </w:rPr>
      </w:pPr>
      <w:r>
        <w:rPr>
          <w:rFonts w:ascii="Arial" w:eastAsia="Calibri" w:hAnsi="Arial" w:cs="Arial"/>
          <w:bCs/>
          <w:sz w:val="22"/>
          <w:lang w:val="es-ES_tradnl"/>
        </w:rPr>
        <w:tab/>
        <w:t xml:space="preserve">Así las cosas, Colombia Compra Eficiente considera que no hay lugar a acceder a la solicitud de rectificación del concepto </w:t>
      </w:r>
      <w:r>
        <w:rPr>
          <w:rFonts w:ascii="Arial" w:eastAsia="Calibri" w:hAnsi="Arial" w:cs="Arial"/>
          <w:bCs/>
          <w:i/>
          <w:iCs/>
          <w:sz w:val="22"/>
          <w:lang w:val="es-ES_tradnl"/>
        </w:rPr>
        <w:t>sub examine</w:t>
      </w:r>
      <w:r>
        <w:rPr>
          <w:rFonts w:ascii="Arial" w:eastAsia="Calibri" w:hAnsi="Arial" w:cs="Arial"/>
          <w:bCs/>
          <w:sz w:val="22"/>
          <w:lang w:val="es-ES_tradnl"/>
        </w:rPr>
        <w:t>, pues no es un acto administrativo, no tiene efectos vinculantes en relación con una situación jurídica particular y concreta, y expone un criterio que, aunque jurídicamente fundamentado, no es obligatorio para el destinatario del concepto. Lo anterior no implica que la Agencia Nacional de Contratación Pública – Colombia Compra Eficiente considere inalterables sus posturas, pues de ser necesario, podría replantear una tesis previamente expuesta, bajo estrictos estándares argumentativos, al emitir otro concepto. Pese a ello, en este caso se señalarán las razones por las cuales esta Agencia mantiene su postura emitida en conceptos anteriores.</w:t>
      </w:r>
    </w:p>
    <w:p w14:paraId="55E3C9FF" w14:textId="1EC9104F" w:rsidR="00DD0E98" w:rsidRPr="001D0F68" w:rsidRDefault="00DD0E98" w:rsidP="008C487C">
      <w:pPr>
        <w:spacing w:line="276" w:lineRule="auto"/>
        <w:jc w:val="both"/>
        <w:rPr>
          <w:rFonts w:ascii="Arial" w:eastAsia="Calibri" w:hAnsi="Arial" w:cs="Arial"/>
          <w:sz w:val="22"/>
          <w:lang w:val="es-CO"/>
        </w:rPr>
      </w:pPr>
    </w:p>
    <w:p w14:paraId="228363EB" w14:textId="0417AED1" w:rsidR="00DD0E98" w:rsidRPr="001D0F68" w:rsidRDefault="00DD0E98" w:rsidP="008C487C">
      <w:pPr>
        <w:spacing w:line="276" w:lineRule="auto"/>
        <w:jc w:val="both"/>
        <w:rPr>
          <w:rFonts w:ascii="Arial" w:eastAsia="Calibri" w:hAnsi="Arial" w:cs="Arial"/>
          <w:b/>
          <w:bCs/>
          <w:sz w:val="22"/>
          <w:lang w:val="es-CO"/>
        </w:rPr>
      </w:pPr>
      <w:r w:rsidRPr="001D0F68">
        <w:rPr>
          <w:rFonts w:ascii="Arial" w:eastAsia="Calibri" w:hAnsi="Arial" w:cs="Arial"/>
          <w:b/>
          <w:bCs/>
          <w:sz w:val="22"/>
          <w:lang w:val="es-CO"/>
        </w:rPr>
        <w:t>2.</w:t>
      </w:r>
      <w:r w:rsidR="00936A0F">
        <w:rPr>
          <w:rFonts w:ascii="Arial" w:eastAsia="Calibri" w:hAnsi="Arial" w:cs="Arial"/>
          <w:b/>
          <w:bCs/>
          <w:sz w:val="22"/>
          <w:lang w:val="es-CO"/>
        </w:rPr>
        <w:t>2</w:t>
      </w:r>
      <w:r w:rsidRPr="001D0F68">
        <w:rPr>
          <w:rFonts w:ascii="Arial" w:eastAsia="Calibri" w:hAnsi="Arial" w:cs="Arial"/>
          <w:b/>
          <w:bCs/>
          <w:sz w:val="22"/>
          <w:lang w:val="es-CO"/>
        </w:rPr>
        <w:t>. Limitación de los procesos contractuales a Mipymes</w:t>
      </w:r>
    </w:p>
    <w:p w14:paraId="2BCBAA44" w14:textId="77777777" w:rsidR="008E4F25" w:rsidRPr="001D0F68" w:rsidRDefault="008E4F25" w:rsidP="00046216">
      <w:pPr>
        <w:spacing w:line="276" w:lineRule="auto"/>
        <w:jc w:val="both"/>
        <w:rPr>
          <w:rFonts w:ascii="Arial" w:eastAsia="Calibri" w:hAnsi="Arial" w:cs="Arial"/>
          <w:sz w:val="22"/>
          <w:lang w:val="es-CO"/>
        </w:rPr>
      </w:pPr>
    </w:p>
    <w:p w14:paraId="389827ED" w14:textId="3F07DD90" w:rsidR="008C487C" w:rsidRPr="001D0F68" w:rsidRDefault="008C487C" w:rsidP="00692292">
      <w:pPr>
        <w:spacing w:line="276" w:lineRule="auto"/>
        <w:jc w:val="both"/>
        <w:rPr>
          <w:rFonts w:ascii="Arial" w:hAnsi="Arial" w:cs="Arial"/>
          <w:sz w:val="22"/>
          <w:lang w:val="es-CO"/>
        </w:rPr>
      </w:pPr>
      <w:r w:rsidRPr="001D0F68">
        <w:rPr>
          <w:rFonts w:ascii="Arial" w:hAnsi="Arial" w:cs="Arial"/>
          <w:sz w:val="22"/>
          <w:lang w:val="es-CO"/>
        </w:rPr>
        <w:t>Según el artículo 2 de La Ley 905 de 2004</w:t>
      </w:r>
      <w:r w:rsidRPr="001D0F68">
        <w:rPr>
          <w:rStyle w:val="Refdenotaalpie"/>
          <w:rFonts w:ascii="Arial" w:hAnsi="Arial" w:cs="Arial"/>
          <w:sz w:val="22"/>
          <w:lang w:val="es-CO"/>
        </w:rPr>
        <w:footnoteReference w:id="9"/>
      </w:r>
      <w:r w:rsidRPr="001D0F68">
        <w:rPr>
          <w:rFonts w:ascii="Arial" w:hAnsi="Arial" w:cs="Arial"/>
          <w:sz w:val="22"/>
          <w:lang w:val="es-CO"/>
        </w:rPr>
        <w:t>, que modificó la Ley 590 de 2000, la Micro, Pequeña y Mediana Empresa ─</w:t>
      </w:r>
      <w:proofErr w:type="spellStart"/>
      <w:r w:rsidRPr="001D0F68">
        <w:rPr>
          <w:rFonts w:ascii="Arial" w:hAnsi="Arial" w:cs="Arial"/>
          <w:sz w:val="22"/>
          <w:lang w:val="es-CO"/>
        </w:rPr>
        <w:t>Mipyme</w:t>
      </w:r>
      <w:proofErr w:type="spellEnd"/>
      <w:r w:rsidRPr="001D0F68">
        <w:rPr>
          <w:rFonts w:ascii="Arial" w:hAnsi="Arial" w:cs="Arial"/>
          <w:sz w:val="22"/>
          <w:lang w:val="es-CO"/>
        </w:rPr>
        <w:t xml:space="preserv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14:paraId="3182F412" w14:textId="77777777" w:rsidR="00A250F5" w:rsidRDefault="003F2A48">
      <w:pPr>
        <w:spacing w:before="120" w:line="276" w:lineRule="auto"/>
        <w:ind w:firstLine="709"/>
        <w:jc w:val="both"/>
        <w:rPr>
          <w:rFonts w:ascii="Arial" w:eastAsia="Arial" w:hAnsi="Arial" w:cs="Arial"/>
          <w:color w:val="000000"/>
          <w:sz w:val="22"/>
        </w:rPr>
      </w:pPr>
      <w:r>
        <w:rPr>
          <w:rFonts w:ascii="Arial" w:eastAsia="Arial" w:hAnsi="Arial" w:cs="Arial"/>
          <w:color w:val="000000"/>
          <w:sz w:val="22"/>
        </w:rPr>
        <w:lastRenderedPageBreak/>
        <w:t xml:space="preserve">En ese sentido, el artículo 2.2.1.13.2.2. del Decreto 1074 de 2015, adicionado por el Decreto 957 de 2019, dispone que: </w:t>
      </w:r>
    </w:p>
    <w:p w14:paraId="593F623E" w14:textId="7F2A4155" w:rsidR="00A250F5" w:rsidRDefault="003F2A48">
      <w:pPr>
        <w:spacing w:before="120" w:line="276" w:lineRule="auto"/>
        <w:ind w:firstLine="709"/>
        <w:jc w:val="both"/>
        <w:rPr>
          <w:rFonts w:ascii="Arial" w:eastAsia="Arial" w:hAnsi="Arial" w:cs="Arial"/>
          <w:color w:val="000000"/>
          <w:sz w:val="22"/>
        </w:rPr>
      </w:pPr>
      <w:r>
        <w:rPr>
          <w:rFonts w:ascii="Arial" w:eastAsia="Arial" w:hAnsi="Arial" w:cs="Arial"/>
          <w:color w:val="000000"/>
          <w:sz w:val="22"/>
        </w:rPr>
        <w:t xml:space="preserve">i) </w:t>
      </w:r>
      <w:r w:rsidR="00A250F5">
        <w:rPr>
          <w:rFonts w:ascii="Arial" w:eastAsia="Arial" w:hAnsi="Arial" w:cs="Arial"/>
          <w:color w:val="000000"/>
          <w:sz w:val="22"/>
        </w:rPr>
        <w:t>L</w:t>
      </w:r>
      <w:r>
        <w:rPr>
          <w:rFonts w:ascii="Arial" w:eastAsia="Arial" w:hAnsi="Arial" w:cs="Arial"/>
          <w:color w:val="000000"/>
          <w:sz w:val="22"/>
        </w:rPr>
        <w:t xml:space="preserve">a mediana empresa, en el sector manufacturero, es aquella que tiene «ingresos por actividades ordinarias anuales sean superiores a doscientos cuatro mil novecientos noventa y cinco Unidades Valor», en el sector servicios, la que sus «ingresos por actividades ordinarias anuales sean superiores a ciento treinta y un mil novecientos cincuenta y un Unidades de Valor Tributario (131.951 UVT) e inferiores o iguales a cuatrocientos ochenta y mil treinta y cuatro Unidades Valor Tributario (483.034 UVT)», y en el sector comercio, la que sus «ingresos por actividades ordinarias anuales sean superiores a cuatrocientos treinta y un mil ciento noventa y seis Unidades de Valor Tributario (431.196 UVT) e inferiores o iguales a dos millones ciento sesenta mil seiscientos noventa y dos Unidades de Valor Tributario (2'160.692 UVT)»;  </w:t>
      </w:r>
    </w:p>
    <w:p w14:paraId="35AAA66A" w14:textId="1319694B" w:rsidR="00A250F5" w:rsidRDefault="003F2A48">
      <w:pPr>
        <w:spacing w:before="120" w:line="276" w:lineRule="auto"/>
        <w:ind w:firstLine="709"/>
        <w:jc w:val="both"/>
        <w:rPr>
          <w:rFonts w:ascii="Arial" w:eastAsia="Arial" w:hAnsi="Arial" w:cs="Arial"/>
          <w:color w:val="000000"/>
          <w:sz w:val="22"/>
        </w:rPr>
      </w:pPr>
      <w:proofErr w:type="spellStart"/>
      <w:r>
        <w:rPr>
          <w:rFonts w:ascii="Arial" w:eastAsia="Arial" w:hAnsi="Arial" w:cs="Arial"/>
          <w:color w:val="000000"/>
          <w:sz w:val="22"/>
        </w:rPr>
        <w:t>ii</w:t>
      </w:r>
      <w:proofErr w:type="spellEnd"/>
      <w:r>
        <w:rPr>
          <w:rFonts w:ascii="Arial" w:eastAsia="Arial" w:hAnsi="Arial" w:cs="Arial"/>
          <w:color w:val="000000"/>
          <w:sz w:val="22"/>
        </w:rPr>
        <w:t xml:space="preserve">) </w:t>
      </w:r>
      <w:r w:rsidR="00A250F5">
        <w:rPr>
          <w:rFonts w:ascii="Arial" w:eastAsia="Arial" w:hAnsi="Arial" w:cs="Arial"/>
          <w:color w:val="000000"/>
          <w:sz w:val="22"/>
        </w:rPr>
        <w:t>L</w:t>
      </w:r>
      <w:r>
        <w:rPr>
          <w:rFonts w:ascii="Arial" w:eastAsia="Arial" w:hAnsi="Arial" w:cs="Arial"/>
          <w:color w:val="000000"/>
          <w:sz w:val="22"/>
        </w:rPr>
        <w:t xml:space="preserve">a pequeña empresa en el sector manufacturero, es aquella que tiene «ingresos por actividades ordinarias anuales sean superiores a veintitrés mil quinientos sesenta y Unidades de Valor Tributario (23.563 UVT) e inferiores o iguales a doscientos cuatro mil novecientos noventa y cinco Unidades de Valor Tributario (204.995 UVT)», en el sector servicios, la que sus «ingresos por actividades ordinarias anuales sean superiores a treinta y mil novecientos ochenta y ocho Unidades Valor Tributario (32.988 UVT) e inferiores o iguales a ciento treinta y un mil novecientos cincuenta y uno Unidades Valor Tributario (131 1 UVT)», y en el sector comercio, la que sus «ingresos por actividades ordinarias </w:t>
      </w:r>
      <w:proofErr w:type="spellStart"/>
      <w:r>
        <w:rPr>
          <w:rFonts w:ascii="Arial" w:eastAsia="Arial" w:hAnsi="Arial" w:cs="Arial"/>
          <w:color w:val="000000"/>
          <w:sz w:val="22"/>
        </w:rPr>
        <w:t>an</w:t>
      </w:r>
      <w:proofErr w:type="spellEnd"/>
      <w:r>
        <w:rPr>
          <w:rFonts w:ascii="Arial" w:eastAsia="Arial" w:hAnsi="Arial" w:cs="Arial"/>
          <w:color w:val="000000"/>
          <w:sz w:val="22"/>
        </w:rPr>
        <w:t xml:space="preserve"> sean superiores a y cuatro mil setecientos y nueve Unidades de Valor Tributario (44.769 UVT) e inferiores o iguales a cuatrocientos y un mil ciento noventa y seis Unidades de Valor Tributario (431.196 UVT)»; y </w:t>
      </w:r>
    </w:p>
    <w:p w14:paraId="40407289" w14:textId="313952CD" w:rsidR="008C487C" w:rsidRPr="00A250F5" w:rsidRDefault="003F2A48">
      <w:pPr>
        <w:spacing w:before="120" w:line="276" w:lineRule="auto"/>
        <w:ind w:firstLine="709"/>
        <w:jc w:val="both"/>
        <w:rPr>
          <w:rFonts w:ascii="Arial" w:eastAsia="Arial" w:hAnsi="Arial" w:cs="Arial"/>
          <w:color w:val="000000"/>
          <w:sz w:val="22"/>
        </w:rPr>
      </w:pPr>
      <w:proofErr w:type="spellStart"/>
      <w:r>
        <w:rPr>
          <w:rFonts w:ascii="Arial" w:eastAsia="Arial" w:hAnsi="Arial" w:cs="Arial"/>
          <w:color w:val="000000"/>
          <w:sz w:val="22"/>
        </w:rPr>
        <w:t>iii</w:t>
      </w:r>
      <w:proofErr w:type="spellEnd"/>
      <w:r>
        <w:rPr>
          <w:rFonts w:ascii="Arial" w:eastAsia="Arial" w:hAnsi="Arial" w:cs="Arial"/>
          <w:color w:val="000000"/>
          <w:sz w:val="22"/>
        </w:rPr>
        <w:t xml:space="preserve">) </w:t>
      </w:r>
      <w:r w:rsidR="00A250F5">
        <w:rPr>
          <w:rFonts w:ascii="Arial" w:eastAsia="Arial" w:hAnsi="Arial" w:cs="Arial"/>
          <w:color w:val="000000"/>
          <w:sz w:val="22"/>
        </w:rPr>
        <w:t>L</w:t>
      </w:r>
      <w:r>
        <w:rPr>
          <w:rFonts w:ascii="Arial" w:eastAsia="Arial" w:hAnsi="Arial" w:cs="Arial"/>
          <w:color w:val="000000"/>
          <w:sz w:val="22"/>
        </w:rPr>
        <w:t>a microempresa en el sector manufacturero, es aquella que tiene «ingresos por actividades ordinarias sean inferiores o iguales a mil quinientos y tres Unidades Valor Tributario (23.563 UVT)», en el sector servicios, la que sus «ingresos por actividades ordinarias anuales sean inferiores o iguales a treinta y dos mil novecientos ochenta y ocho de Valor Tributario (32.988 UVT)», y en el sector comercio, la que sus «</w:t>
      </w:r>
      <w:r>
        <w:t xml:space="preserve"> </w:t>
      </w:r>
      <w:r>
        <w:rPr>
          <w:rFonts w:ascii="Arial" w:eastAsia="Arial" w:hAnsi="Arial" w:cs="Arial"/>
          <w:color w:val="000000"/>
          <w:sz w:val="22"/>
        </w:rPr>
        <w:t>ingresos por actividades ordinarias anuales sean inferiores o a cuarenta y cuatro mil setecientos y nueve Unidades de Valor Tributario (44.769 UVT)»</w:t>
      </w:r>
      <w:r>
        <w:rPr>
          <w:rFonts w:ascii="Arial" w:eastAsia="Arial" w:hAnsi="Arial" w:cs="Arial"/>
          <w:color w:val="000000"/>
          <w:sz w:val="22"/>
          <w:vertAlign w:val="superscript"/>
        </w:rPr>
        <w:footnoteReference w:id="10"/>
      </w:r>
      <w:r>
        <w:rPr>
          <w:rFonts w:ascii="Arial" w:eastAsia="Arial" w:hAnsi="Arial" w:cs="Arial"/>
          <w:color w:val="000000"/>
          <w:sz w:val="22"/>
        </w:rPr>
        <w:t>.</w:t>
      </w:r>
    </w:p>
    <w:p w14:paraId="0376B788" w14:textId="77777777" w:rsidR="008C487C" w:rsidRPr="001D0F68" w:rsidRDefault="008C487C" w:rsidP="008C487C">
      <w:pPr>
        <w:spacing w:before="120" w:line="276" w:lineRule="auto"/>
        <w:ind w:firstLine="709"/>
        <w:jc w:val="both"/>
        <w:rPr>
          <w:rFonts w:ascii="Arial" w:hAnsi="Arial" w:cs="Arial"/>
          <w:sz w:val="22"/>
          <w:lang w:val="es-CO"/>
        </w:rPr>
      </w:pPr>
      <w:r w:rsidRPr="001D0F68">
        <w:rPr>
          <w:rFonts w:ascii="Arial" w:hAnsi="Arial" w:cs="Arial"/>
          <w:sz w:val="22"/>
          <w:lang w:val="es-CO"/>
        </w:rPr>
        <w:t>Por otro lado, el numeral 4º del artículo 12 de la Ley 590 de 2000 estableció que las entidades públicas deben preferir, en condiciones de igual precio, calidad y capacidad de suministros, a las Mipymes nacionales en las adquisiciones necesarias para su funcionamiento</w:t>
      </w:r>
      <w:r w:rsidRPr="001D0F68">
        <w:rPr>
          <w:rStyle w:val="Refdenotaalpie"/>
          <w:rFonts w:ascii="Arial" w:hAnsi="Arial" w:cs="Arial"/>
          <w:sz w:val="22"/>
          <w:lang w:val="es-CO"/>
        </w:rPr>
        <w:footnoteReference w:id="11"/>
      </w:r>
      <w:r w:rsidRPr="001D0F68">
        <w:rPr>
          <w:rFonts w:ascii="Arial" w:hAnsi="Arial" w:cs="Arial"/>
          <w:sz w:val="22"/>
          <w:lang w:val="es-CO"/>
        </w:rPr>
        <w:t>.</w:t>
      </w:r>
    </w:p>
    <w:p w14:paraId="7C6B9400" w14:textId="756B85EF" w:rsidR="008C487C" w:rsidRPr="001D0F68" w:rsidRDefault="005D2B82" w:rsidP="008C487C">
      <w:pPr>
        <w:spacing w:before="120" w:line="276" w:lineRule="auto"/>
        <w:ind w:firstLine="709"/>
        <w:jc w:val="both"/>
        <w:rPr>
          <w:rFonts w:ascii="Arial" w:hAnsi="Arial" w:cs="Arial"/>
          <w:sz w:val="22"/>
          <w:lang w:val="es-CO"/>
        </w:rPr>
      </w:pPr>
      <w:r>
        <w:rPr>
          <w:rFonts w:ascii="Arial" w:hAnsi="Arial" w:cs="Arial"/>
          <w:sz w:val="22"/>
          <w:lang w:val="es-CO"/>
        </w:rPr>
        <w:lastRenderedPageBreak/>
        <w:t>Las normas citadas</w:t>
      </w:r>
      <w:r w:rsidR="008C487C" w:rsidRPr="001D0F68">
        <w:rPr>
          <w:rFonts w:ascii="Arial" w:hAnsi="Arial" w:cs="Arial"/>
          <w:sz w:val="22"/>
          <w:lang w:val="es-CO"/>
        </w:rPr>
        <w:t xml:space="preserve"> pretende</w:t>
      </w:r>
      <w:r>
        <w:rPr>
          <w:rFonts w:ascii="Arial" w:hAnsi="Arial" w:cs="Arial"/>
          <w:sz w:val="22"/>
          <w:lang w:val="es-CO"/>
        </w:rPr>
        <w:t>n</w:t>
      </w:r>
      <w:r w:rsidR="008C487C" w:rsidRPr="001D0F68">
        <w:rPr>
          <w:rFonts w:ascii="Arial" w:hAnsi="Arial" w:cs="Arial"/>
          <w:sz w:val="22"/>
          <w:lang w:val="es-CO"/>
        </w:rPr>
        <w:t xml:space="preserve"> fomentar las empresas que, por su tamaño o capacidad económica, no podrían competir en condiciones de igualdad con aquellas que cuentan con grandes capitales y plantas de personal. De este modo, no solo estas pequeñas unidades de explotación económica se hacen visibles dentro del mercado de bienes y servicios requeridos por las entidades públicas, sino que se promueve de manera directa el crecimiento de las regiones en las que tiene cabida tal actividad económica. </w:t>
      </w:r>
    </w:p>
    <w:p w14:paraId="4619BBA9" w14:textId="38FE25EC" w:rsidR="008C487C" w:rsidRPr="001D0F68" w:rsidRDefault="008C487C" w:rsidP="008C487C">
      <w:pPr>
        <w:spacing w:before="120" w:line="276" w:lineRule="auto"/>
        <w:ind w:firstLine="709"/>
        <w:jc w:val="both"/>
        <w:rPr>
          <w:rFonts w:ascii="Arial" w:hAnsi="Arial" w:cs="Arial"/>
          <w:sz w:val="22"/>
          <w:lang w:val="es-CO"/>
        </w:rPr>
      </w:pPr>
      <w:r w:rsidRPr="001D0F68">
        <w:rPr>
          <w:rFonts w:ascii="Arial" w:hAnsi="Arial" w:cs="Arial"/>
          <w:sz w:val="22"/>
          <w:lang w:val="es-CO"/>
        </w:rPr>
        <w:t>Al respecto, el Consejo de Estado, Sala de lo Contencioso Administrativo, Sección Tercera, Subsección C, mediante sentencia con número de expediente 40.743, del 23 de mayo de 2012</w:t>
      </w:r>
      <w:r w:rsidRPr="001D0F68">
        <w:rPr>
          <w:rStyle w:val="Refdenotaalpie"/>
          <w:rFonts w:ascii="Arial" w:hAnsi="Arial" w:cs="Arial"/>
          <w:sz w:val="22"/>
          <w:lang w:val="es-CO"/>
        </w:rPr>
        <w:footnoteReference w:id="12"/>
      </w:r>
      <w:r w:rsidRPr="001D0F68">
        <w:rPr>
          <w:rFonts w:ascii="Arial" w:hAnsi="Arial" w:cs="Arial"/>
          <w:sz w:val="22"/>
          <w:lang w:val="es-CO"/>
        </w:rPr>
        <w:t>, destacó que las entidades públicas deben, por un lado, promocionar e incrementar, conforme con su presupuesto, la participación de las Mipymes como proveedoras de bienes y servicios que demanden y, por el otro, establecer procedimientos administrativos que les faciliten el cumplimiento de los requisitos y trámites relativos a pedidos, recepción de bienes o servicios, condiciones de pago y acceso a la información sobre sus programas de inversión y gasto.</w:t>
      </w:r>
    </w:p>
    <w:p w14:paraId="64411F61" w14:textId="77777777" w:rsidR="008C487C" w:rsidRPr="001D0F68" w:rsidRDefault="008C487C" w:rsidP="008C487C">
      <w:pPr>
        <w:spacing w:before="120" w:line="276" w:lineRule="auto"/>
        <w:ind w:firstLine="709"/>
        <w:jc w:val="both"/>
        <w:rPr>
          <w:rFonts w:ascii="Arial" w:hAnsi="Arial" w:cs="Arial"/>
          <w:sz w:val="22"/>
          <w:lang w:val="es-CO"/>
        </w:rPr>
      </w:pPr>
      <w:r w:rsidRPr="001D0F68">
        <w:rPr>
          <w:rFonts w:ascii="Arial" w:hAnsi="Arial" w:cs="Arial"/>
          <w:sz w:val="22"/>
          <w:lang w:val="es-CO"/>
        </w:rPr>
        <w:t>Junto con la promoción dispuesta en la Ley 590 de 2000 se encuentra el articulo 12 la Ley 1150 de 2007, modificado por el artículo 32 de la Ley 1450 de 2011, que estableció las convocatorias limitadas a Mipymes en contratación pública, en los siguientes términos:</w:t>
      </w:r>
    </w:p>
    <w:p w14:paraId="315DB60A" w14:textId="77777777" w:rsidR="008C487C" w:rsidRPr="001D0F68" w:rsidRDefault="008C487C" w:rsidP="008C487C">
      <w:pPr>
        <w:jc w:val="both"/>
        <w:rPr>
          <w:rFonts w:ascii="Arial" w:hAnsi="Arial" w:cs="Arial"/>
          <w:sz w:val="22"/>
          <w:lang w:val="es-CO"/>
        </w:rPr>
      </w:pPr>
    </w:p>
    <w:p w14:paraId="497AD14A" w14:textId="0901B192" w:rsidR="008C487C" w:rsidRPr="001D0F68" w:rsidRDefault="008C487C" w:rsidP="00A250F5">
      <w:pPr>
        <w:spacing w:after="120"/>
        <w:ind w:left="709" w:right="709"/>
        <w:jc w:val="both"/>
        <w:rPr>
          <w:rFonts w:ascii="Arial" w:hAnsi="Arial" w:cs="Arial"/>
          <w:sz w:val="21"/>
          <w:szCs w:val="21"/>
          <w:lang w:val="es-CO"/>
        </w:rPr>
      </w:pPr>
      <w:r w:rsidRPr="001D0F68">
        <w:rPr>
          <w:rFonts w:ascii="Arial" w:hAnsi="Arial" w:cs="Arial"/>
          <w:sz w:val="21"/>
          <w:szCs w:val="21"/>
          <w:lang w:val="es-CO"/>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1D0F68">
        <w:rPr>
          <w:rFonts w:ascii="Arial" w:hAnsi="Arial" w:cs="Arial"/>
          <w:i/>
          <w:iCs/>
          <w:sz w:val="21"/>
          <w:szCs w:val="21"/>
          <w:lang w:val="es-CO"/>
        </w:rPr>
        <w:t xml:space="preserve">las entidades estatales adopten en beneficio de las Mipymes, convocatorias limitadas a estas en las que, previo a la Resolución de apertura </w:t>
      </w:r>
      <w:r w:rsidRPr="001D0F68">
        <w:rPr>
          <w:rFonts w:ascii="Arial" w:hAnsi="Arial" w:cs="Arial"/>
          <w:i/>
          <w:iCs/>
          <w:sz w:val="21"/>
          <w:szCs w:val="21"/>
          <w:lang w:val="es-CO"/>
        </w:rPr>
        <w:lastRenderedPageBreak/>
        <w:t>del proceso respectivo, se haya manifestado el interés del número plural de Mipymes que haya sido determinado en el reglamento</w:t>
      </w:r>
      <w:r w:rsidRPr="001D0F68">
        <w:rPr>
          <w:rFonts w:ascii="Arial" w:hAnsi="Arial" w:cs="Arial"/>
          <w:sz w:val="21"/>
          <w:szCs w:val="21"/>
          <w:lang w:val="es-CO"/>
        </w:rPr>
        <w:t>.</w:t>
      </w:r>
    </w:p>
    <w:p w14:paraId="4BF3E25D" w14:textId="2105D18F" w:rsidR="008C487C" w:rsidRPr="001D0F68" w:rsidRDefault="008C487C" w:rsidP="00A250F5">
      <w:pPr>
        <w:spacing w:after="120"/>
        <w:ind w:left="709" w:right="709"/>
        <w:jc w:val="both"/>
        <w:rPr>
          <w:rFonts w:ascii="Arial" w:hAnsi="Arial" w:cs="Arial"/>
          <w:sz w:val="21"/>
          <w:szCs w:val="21"/>
          <w:lang w:val="es-CO"/>
        </w:rPr>
      </w:pPr>
      <w:r w:rsidRPr="001D0F68">
        <w:rPr>
          <w:rFonts w:ascii="Arial" w:hAnsi="Arial" w:cs="Arial"/>
          <w:sz w:val="21"/>
          <w:szCs w:val="21"/>
          <w:lang w:val="es-CO"/>
        </w:rPr>
        <w:t>Asimismo, el reglamento podrá establecer condiciones preferenciales en favor de la oferta de bienes y servicios producidos por las Mipymes, respetando los montos y las condiciones contenidas en los compromisos internacionales vigentes.</w:t>
      </w:r>
    </w:p>
    <w:p w14:paraId="3C290181" w14:textId="7745122B" w:rsidR="008C487C" w:rsidRPr="001D0F68" w:rsidRDefault="008C487C" w:rsidP="00A250F5">
      <w:pPr>
        <w:spacing w:after="120"/>
        <w:ind w:left="709" w:right="709"/>
        <w:jc w:val="both"/>
        <w:rPr>
          <w:rFonts w:ascii="Arial" w:hAnsi="Arial" w:cs="Arial"/>
          <w:sz w:val="21"/>
          <w:szCs w:val="21"/>
          <w:lang w:val="es-CO"/>
        </w:rPr>
      </w:pPr>
      <w:r w:rsidRPr="001D0F68">
        <w:rPr>
          <w:rFonts w:ascii="Arial" w:hAnsi="Arial" w:cs="Arial"/>
          <w:sz w:val="21"/>
          <w:szCs w:val="21"/>
          <w:lang w:val="es-CO"/>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14:paraId="7D1CCFC0" w14:textId="2FD6F6CE" w:rsidR="008C487C" w:rsidRPr="001D0F68" w:rsidRDefault="008C487C" w:rsidP="00A250F5">
      <w:pPr>
        <w:spacing w:after="120"/>
        <w:ind w:left="709" w:right="709"/>
        <w:jc w:val="both"/>
        <w:rPr>
          <w:rFonts w:ascii="Arial" w:hAnsi="Arial" w:cs="Arial"/>
          <w:sz w:val="21"/>
          <w:szCs w:val="21"/>
          <w:lang w:val="es-CO"/>
        </w:rPr>
      </w:pPr>
      <w:r w:rsidRPr="001D0F68">
        <w:rPr>
          <w:rFonts w:ascii="Arial" w:hAnsi="Arial" w:cs="Arial"/>
          <w:sz w:val="21"/>
          <w:szCs w:val="21"/>
          <w:lang w:val="es-CO"/>
        </w:rPr>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1C69CD45" w14:textId="64C707FD" w:rsidR="008C487C" w:rsidRPr="001D0F68" w:rsidRDefault="008C487C" w:rsidP="00A250F5">
      <w:pPr>
        <w:spacing w:after="120"/>
        <w:ind w:left="709" w:right="709"/>
        <w:jc w:val="both"/>
        <w:rPr>
          <w:rFonts w:ascii="Arial" w:hAnsi="Arial" w:cs="Arial"/>
          <w:sz w:val="21"/>
          <w:szCs w:val="21"/>
          <w:lang w:val="es-CO"/>
        </w:rPr>
      </w:pPr>
      <w:r w:rsidRPr="001D0F68">
        <w:rPr>
          <w:rFonts w:ascii="Arial" w:hAnsi="Arial" w:cs="Arial"/>
          <w:sz w:val="21"/>
          <w:szCs w:val="21"/>
          <w:lang w:val="es-CO"/>
        </w:rPr>
        <w:t>PARÁGRAFO 1o. En los procesos de selección que se desarrollen con base en el primer inciso, las entidades podrán realizar las convocatorias limitadas que beneficien a las Mipymes del ámbito municipal o departamental correspondiente al de la ejecución del contrato.</w:t>
      </w:r>
    </w:p>
    <w:p w14:paraId="414F64A7" w14:textId="428A55DE" w:rsidR="008C487C" w:rsidRPr="001D0F68" w:rsidRDefault="008C487C" w:rsidP="00A250F5">
      <w:pPr>
        <w:spacing w:after="120"/>
        <w:ind w:left="709" w:right="709"/>
        <w:jc w:val="both"/>
        <w:rPr>
          <w:rFonts w:ascii="Arial" w:hAnsi="Arial" w:cs="Arial"/>
          <w:sz w:val="21"/>
          <w:szCs w:val="21"/>
          <w:lang w:val="es-CO"/>
        </w:rPr>
      </w:pPr>
      <w:r w:rsidRPr="001D0F68">
        <w:rPr>
          <w:rFonts w:ascii="Arial" w:hAnsi="Arial" w:cs="Arial"/>
          <w:sz w:val="21"/>
          <w:szCs w:val="21"/>
          <w:lang w:val="es-CO"/>
        </w:rPr>
        <w:t>PARÁGRAFO 2o.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1DD5363C" w14:textId="1DD7052E" w:rsidR="008C487C" w:rsidRPr="001D0F68" w:rsidRDefault="008C487C" w:rsidP="008C487C">
      <w:pPr>
        <w:ind w:left="709" w:right="709"/>
        <w:jc w:val="both"/>
        <w:rPr>
          <w:rFonts w:ascii="Arial" w:hAnsi="Arial" w:cs="Arial"/>
          <w:sz w:val="21"/>
          <w:szCs w:val="21"/>
          <w:lang w:val="es-CO"/>
        </w:rPr>
      </w:pPr>
      <w:r w:rsidRPr="001D0F68">
        <w:rPr>
          <w:rFonts w:ascii="Arial" w:hAnsi="Arial" w:cs="Arial"/>
          <w:sz w:val="21"/>
          <w:szCs w:val="21"/>
          <w:lang w:val="es-CO"/>
        </w:rPr>
        <w:t>PARÁGRAFO 3o. En la ejecución de los contratos a que se refiere el presente artículo, las entidades y los contratistas, deberán observar lo dispuesto en los artículos 90 a 95 de la Ley 418 de 1997 y las normas que la modifiquen, adicionen o subroguen</w:t>
      </w:r>
      <w:r w:rsidR="006818B6" w:rsidRPr="001D0F68">
        <w:rPr>
          <w:rFonts w:ascii="Arial" w:hAnsi="Arial" w:cs="Arial"/>
          <w:sz w:val="21"/>
          <w:szCs w:val="21"/>
          <w:lang w:val="es-CO"/>
        </w:rPr>
        <w:t xml:space="preserve"> (Cursivas fuera de texto)</w:t>
      </w:r>
      <w:r w:rsidR="00F710C6" w:rsidRPr="001D0F68">
        <w:rPr>
          <w:rFonts w:ascii="Arial" w:hAnsi="Arial" w:cs="Arial"/>
          <w:sz w:val="21"/>
          <w:szCs w:val="21"/>
          <w:lang w:val="es-CO"/>
        </w:rPr>
        <w:t>.</w:t>
      </w:r>
    </w:p>
    <w:p w14:paraId="178E4DED" w14:textId="77777777" w:rsidR="008C487C" w:rsidRPr="001D0F68" w:rsidRDefault="008C487C" w:rsidP="008C487C">
      <w:pPr>
        <w:jc w:val="both"/>
        <w:rPr>
          <w:rFonts w:ascii="Arial" w:hAnsi="Arial" w:cs="Arial"/>
          <w:sz w:val="22"/>
          <w:lang w:val="es-CO"/>
        </w:rPr>
      </w:pPr>
    </w:p>
    <w:p w14:paraId="4950446E" w14:textId="77777777" w:rsidR="008C487C" w:rsidRPr="001D0F68" w:rsidRDefault="008C487C" w:rsidP="00882ABB">
      <w:pPr>
        <w:spacing w:line="276" w:lineRule="auto"/>
        <w:ind w:firstLine="709"/>
        <w:jc w:val="both"/>
        <w:rPr>
          <w:rFonts w:ascii="Arial" w:eastAsia="Calibri" w:hAnsi="Arial" w:cs="Arial"/>
          <w:sz w:val="22"/>
          <w:lang w:val="es-CO"/>
        </w:rPr>
      </w:pPr>
      <w:r w:rsidRPr="001D0F68">
        <w:rPr>
          <w:rFonts w:ascii="Arial" w:hAnsi="Arial" w:cs="Arial"/>
          <w:sz w:val="22"/>
          <w:lang w:val="es-CO"/>
        </w:rPr>
        <w:t>L</w:t>
      </w:r>
      <w:r w:rsidRPr="001D0F68">
        <w:rPr>
          <w:rFonts w:ascii="Arial" w:eastAsia="Calibri" w:hAnsi="Arial" w:cs="Arial"/>
          <w:sz w:val="22"/>
          <w:lang w:val="es-CO"/>
        </w:rPr>
        <w:t xml:space="preserve">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14:paraId="275E06CE" w14:textId="51F8889D" w:rsidR="008C487C" w:rsidRPr="001D0F68" w:rsidRDefault="00582DD8" w:rsidP="008C487C">
      <w:pPr>
        <w:spacing w:before="120" w:line="276" w:lineRule="auto"/>
        <w:ind w:firstLine="709"/>
        <w:jc w:val="both"/>
        <w:rPr>
          <w:rFonts w:ascii="Arial" w:hAnsi="Arial" w:cs="Arial"/>
          <w:sz w:val="22"/>
          <w:lang w:val="es-CO"/>
        </w:rPr>
      </w:pPr>
      <w:r>
        <w:rPr>
          <w:rFonts w:ascii="Arial" w:hAnsi="Arial" w:cs="Arial"/>
          <w:sz w:val="22"/>
          <w:lang w:val="es-CO"/>
        </w:rPr>
        <w:t xml:space="preserve">Mediante </w:t>
      </w:r>
      <w:r w:rsidR="008C487C" w:rsidRPr="001D0F68">
        <w:rPr>
          <w:rFonts w:ascii="Arial" w:hAnsi="Arial" w:cs="Arial"/>
          <w:sz w:val="22"/>
          <w:lang w:val="es-CO"/>
        </w:rPr>
        <w:t xml:space="preserve">el Decreto 1082 de 2015, el Gobierno Nacional reglamentó la norma transcrita, adoptando medidas para incentivar la contratación pública. Dentro de estas medidas se resaltan las «convocatorias limitadas a Mipymes» y la «limitación territorial» a Mipymes, contenidas, respectivamente, en los artículos 2.2.1.2.4.2.2. y 2.2.1.2.4.2.3. </w:t>
      </w:r>
      <w:r w:rsidR="006873E8">
        <w:rPr>
          <w:rFonts w:ascii="Arial" w:hAnsi="Arial" w:cs="Arial"/>
          <w:sz w:val="22"/>
          <w:lang w:val="es-CO"/>
        </w:rPr>
        <w:t xml:space="preserve">Dicho artículo señala </w:t>
      </w:r>
      <w:r w:rsidR="008C487C" w:rsidRPr="001D0F68">
        <w:rPr>
          <w:rFonts w:ascii="Arial" w:hAnsi="Arial" w:cs="Arial"/>
          <w:sz w:val="22"/>
          <w:lang w:val="es-CO"/>
        </w:rPr>
        <w:t>lo siguiente:</w:t>
      </w:r>
    </w:p>
    <w:p w14:paraId="5D37D451" w14:textId="77777777" w:rsidR="008C487C" w:rsidRPr="001D0F68" w:rsidRDefault="008C487C" w:rsidP="008C487C">
      <w:pPr>
        <w:ind w:firstLine="709"/>
        <w:jc w:val="both"/>
        <w:rPr>
          <w:rFonts w:ascii="Arial" w:hAnsi="Arial" w:cs="Arial"/>
          <w:sz w:val="22"/>
          <w:lang w:val="es-CO"/>
        </w:rPr>
      </w:pPr>
    </w:p>
    <w:p w14:paraId="41D90C34" w14:textId="77777777" w:rsidR="008C487C" w:rsidRPr="001D0F68" w:rsidRDefault="008C487C" w:rsidP="008C487C">
      <w:pPr>
        <w:ind w:left="709" w:right="760"/>
        <w:jc w:val="both"/>
        <w:rPr>
          <w:rFonts w:ascii="Arial" w:hAnsi="Arial" w:cs="Arial"/>
          <w:sz w:val="21"/>
          <w:szCs w:val="21"/>
          <w:lang w:val="es-CO"/>
        </w:rPr>
      </w:pPr>
      <w:r w:rsidRPr="001D0F68">
        <w:rPr>
          <w:rFonts w:ascii="Arial" w:hAnsi="Arial" w:cs="Arial"/>
          <w:sz w:val="21"/>
          <w:szCs w:val="21"/>
          <w:lang w:val="es-CO"/>
        </w:rPr>
        <w:t xml:space="preserve">Las Entidades Estatales pueden realizar convocatorias limitadas a </w:t>
      </w:r>
      <w:proofErr w:type="spellStart"/>
      <w:r w:rsidRPr="001D0F68">
        <w:rPr>
          <w:rFonts w:ascii="Arial" w:hAnsi="Arial" w:cs="Arial"/>
          <w:sz w:val="21"/>
          <w:szCs w:val="21"/>
          <w:lang w:val="es-CO"/>
        </w:rPr>
        <w:t>Mipyme</w:t>
      </w:r>
      <w:proofErr w:type="spellEnd"/>
      <w:r w:rsidRPr="001D0F68">
        <w:rPr>
          <w:rFonts w:ascii="Arial" w:hAnsi="Arial" w:cs="Arial"/>
          <w:sz w:val="21"/>
          <w:szCs w:val="21"/>
          <w:lang w:val="es-CO"/>
        </w:rPr>
        <w:t xml:space="preserve"> nacionales domiciliadas en los departamentos o municipios en donde se va a </w:t>
      </w:r>
      <w:r w:rsidRPr="001D0F68">
        <w:rPr>
          <w:rFonts w:ascii="Arial" w:hAnsi="Arial" w:cs="Arial"/>
          <w:sz w:val="21"/>
          <w:szCs w:val="21"/>
          <w:lang w:val="es-CO"/>
        </w:rPr>
        <w:lastRenderedPageBreak/>
        <w:t xml:space="preserve">ejecutar el contrato. La </w:t>
      </w:r>
      <w:proofErr w:type="spellStart"/>
      <w:r w:rsidRPr="001D0F68">
        <w:rPr>
          <w:rFonts w:ascii="Arial" w:hAnsi="Arial" w:cs="Arial"/>
          <w:sz w:val="21"/>
          <w:szCs w:val="21"/>
          <w:lang w:val="es-CO"/>
        </w:rPr>
        <w:t>Mipyme</w:t>
      </w:r>
      <w:proofErr w:type="spellEnd"/>
      <w:r w:rsidRPr="001D0F68">
        <w:rPr>
          <w:rFonts w:ascii="Arial" w:hAnsi="Arial" w:cs="Arial"/>
          <w:sz w:val="21"/>
          <w:szCs w:val="21"/>
          <w:lang w:val="es-CO"/>
        </w:rPr>
        <w:t xml:space="preserve"> debe acreditar su domicilio con el registro mercantil o el certificado de existencia y representación legal de la empresa.</w:t>
      </w:r>
    </w:p>
    <w:p w14:paraId="3EB60C7E" w14:textId="77777777" w:rsidR="008C487C" w:rsidRPr="001D0F68" w:rsidRDefault="008C487C" w:rsidP="008C487C">
      <w:pPr>
        <w:ind w:left="709" w:right="760"/>
        <w:jc w:val="both"/>
        <w:rPr>
          <w:rFonts w:ascii="Arial" w:hAnsi="Arial" w:cs="Arial"/>
          <w:sz w:val="21"/>
          <w:szCs w:val="21"/>
          <w:lang w:val="es-CO"/>
        </w:rPr>
      </w:pPr>
    </w:p>
    <w:p w14:paraId="690A234D" w14:textId="77777777" w:rsidR="008C487C" w:rsidRPr="001D0F68" w:rsidRDefault="008C487C" w:rsidP="008C487C">
      <w:pPr>
        <w:ind w:right="760"/>
        <w:jc w:val="both"/>
        <w:rPr>
          <w:rFonts w:ascii="Arial" w:hAnsi="Arial" w:cs="Arial"/>
          <w:sz w:val="22"/>
          <w:lang w:val="es-CO"/>
        </w:rPr>
      </w:pPr>
      <w:r w:rsidRPr="001D0F68">
        <w:rPr>
          <w:rFonts w:ascii="Arial" w:hAnsi="Arial" w:cs="Arial"/>
          <w:sz w:val="22"/>
          <w:lang w:val="es-CO"/>
        </w:rPr>
        <w:t>El artículo 2.2.1.2.4.2.2., por su parte, es del siguiente tenor:</w:t>
      </w:r>
    </w:p>
    <w:p w14:paraId="44F91F88" w14:textId="77777777" w:rsidR="008C487C" w:rsidRPr="001D0F68" w:rsidRDefault="008C487C" w:rsidP="008C487C">
      <w:pPr>
        <w:ind w:left="709" w:right="760"/>
        <w:jc w:val="both"/>
        <w:rPr>
          <w:rFonts w:ascii="Arial" w:hAnsi="Arial" w:cs="Arial"/>
          <w:sz w:val="21"/>
          <w:szCs w:val="21"/>
          <w:lang w:val="es-CO"/>
        </w:rPr>
      </w:pPr>
    </w:p>
    <w:p w14:paraId="243B8717" w14:textId="77777777" w:rsidR="008C487C" w:rsidRPr="001D0F68" w:rsidRDefault="008C487C" w:rsidP="008C487C">
      <w:pPr>
        <w:ind w:left="709" w:right="760"/>
        <w:jc w:val="both"/>
        <w:rPr>
          <w:rFonts w:ascii="Arial" w:hAnsi="Arial" w:cs="Arial"/>
          <w:sz w:val="21"/>
          <w:szCs w:val="21"/>
          <w:lang w:val="es-CO"/>
        </w:rPr>
      </w:pPr>
      <w:r w:rsidRPr="001D0F68">
        <w:rPr>
          <w:rFonts w:ascii="Arial" w:hAnsi="Arial" w:cs="Arial"/>
          <w:sz w:val="21"/>
          <w:szCs w:val="21"/>
          <w:lang w:val="es-CO"/>
        </w:rPr>
        <w:t xml:space="preserve">La Entidad Estatal debe limitar a las </w:t>
      </w:r>
      <w:proofErr w:type="spellStart"/>
      <w:r w:rsidRPr="001D0F68">
        <w:rPr>
          <w:rFonts w:ascii="Arial" w:hAnsi="Arial" w:cs="Arial"/>
          <w:sz w:val="21"/>
          <w:szCs w:val="21"/>
          <w:lang w:val="es-CO"/>
        </w:rPr>
        <w:t>Mipyme</w:t>
      </w:r>
      <w:proofErr w:type="spellEnd"/>
      <w:r w:rsidRPr="001D0F68">
        <w:rPr>
          <w:rFonts w:ascii="Arial" w:hAnsi="Arial" w:cs="Arial"/>
          <w:sz w:val="21"/>
          <w:szCs w:val="21"/>
          <w:lang w:val="es-CO"/>
        </w:rPr>
        <w:t xml:space="preserve"> nacionales con mínimo un (1) año de existencia la convocatoria del Proceso de Contratación en la modalidad de licitación pública, selección abreviada y concurso de méritos cuando:</w:t>
      </w:r>
    </w:p>
    <w:p w14:paraId="1ABA394D" w14:textId="77777777" w:rsidR="008C487C" w:rsidRPr="001D0F68" w:rsidRDefault="008C487C" w:rsidP="00A250F5">
      <w:pPr>
        <w:ind w:right="760"/>
        <w:jc w:val="both"/>
        <w:rPr>
          <w:rFonts w:ascii="Arial" w:hAnsi="Arial" w:cs="Arial"/>
          <w:sz w:val="21"/>
          <w:szCs w:val="21"/>
          <w:lang w:val="es-CO"/>
        </w:rPr>
      </w:pPr>
    </w:p>
    <w:p w14:paraId="7534FE6F" w14:textId="77777777" w:rsidR="008C487C" w:rsidRPr="001D0F68" w:rsidRDefault="008C487C" w:rsidP="008C487C">
      <w:pPr>
        <w:pStyle w:val="Prrafodelista"/>
        <w:ind w:left="709" w:right="760"/>
        <w:jc w:val="both"/>
        <w:rPr>
          <w:rFonts w:ascii="Arial" w:hAnsi="Arial" w:cs="Arial"/>
          <w:sz w:val="21"/>
          <w:szCs w:val="21"/>
          <w:lang w:val="es-CO"/>
        </w:rPr>
      </w:pPr>
      <w:r w:rsidRPr="001D0F68">
        <w:rPr>
          <w:rFonts w:ascii="Arial" w:hAnsi="Arial" w:cs="Arial"/>
          <w:sz w:val="21"/>
          <w:szCs w:val="21"/>
          <w:lang w:val="es-CO"/>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0D11E2C3" w14:textId="77777777" w:rsidR="008C487C" w:rsidRPr="001D0F68" w:rsidRDefault="008C487C" w:rsidP="008C487C">
      <w:pPr>
        <w:pStyle w:val="Prrafodelista"/>
        <w:ind w:left="709" w:right="760"/>
        <w:jc w:val="both"/>
        <w:rPr>
          <w:rFonts w:ascii="Arial" w:hAnsi="Arial" w:cs="Arial"/>
          <w:sz w:val="21"/>
          <w:szCs w:val="21"/>
          <w:lang w:val="es-CO"/>
        </w:rPr>
      </w:pPr>
    </w:p>
    <w:p w14:paraId="0234FED4" w14:textId="77777777" w:rsidR="008C487C" w:rsidRPr="001D0F68" w:rsidRDefault="008C487C" w:rsidP="008C487C">
      <w:pPr>
        <w:pStyle w:val="Prrafodelista"/>
        <w:ind w:left="709" w:right="760"/>
        <w:jc w:val="both"/>
        <w:rPr>
          <w:rFonts w:ascii="Arial" w:hAnsi="Arial" w:cs="Arial"/>
          <w:sz w:val="21"/>
          <w:szCs w:val="21"/>
          <w:lang w:val="es-CO"/>
        </w:rPr>
      </w:pPr>
      <w:r w:rsidRPr="001D0F68">
        <w:rPr>
          <w:rFonts w:ascii="Arial" w:hAnsi="Arial" w:cs="Arial"/>
          <w:sz w:val="21"/>
          <w:szCs w:val="21"/>
          <w:lang w:val="es-CO"/>
        </w:rPr>
        <w:t xml:space="preserve">2. La Entidad Estatal ha recibido solicitudes de por lo menos tres (3) </w:t>
      </w:r>
      <w:proofErr w:type="spellStart"/>
      <w:r w:rsidRPr="001D0F68">
        <w:rPr>
          <w:rFonts w:ascii="Arial" w:hAnsi="Arial" w:cs="Arial"/>
          <w:sz w:val="21"/>
          <w:szCs w:val="21"/>
          <w:lang w:val="es-CO"/>
        </w:rPr>
        <w:t>Mipyme</w:t>
      </w:r>
      <w:proofErr w:type="spellEnd"/>
      <w:r w:rsidRPr="001D0F68">
        <w:rPr>
          <w:rFonts w:ascii="Arial" w:hAnsi="Arial" w:cs="Arial"/>
          <w:sz w:val="21"/>
          <w:szCs w:val="21"/>
          <w:lang w:val="es-CO"/>
        </w:rPr>
        <w:t xml:space="preserve"> nacionales para limitar la convocatoria a </w:t>
      </w:r>
      <w:proofErr w:type="spellStart"/>
      <w:r w:rsidRPr="001D0F68">
        <w:rPr>
          <w:rFonts w:ascii="Arial" w:hAnsi="Arial" w:cs="Arial"/>
          <w:sz w:val="21"/>
          <w:szCs w:val="21"/>
          <w:lang w:val="es-CO"/>
        </w:rPr>
        <w:t>Mipyme</w:t>
      </w:r>
      <w:proofErr w:type="spellEnd"/>
      <w:r w:rsidRPr="001D0F68">
        <w:rPr>
          <w:rFonts w:ascii="Arial" w:hAnsi="Arial" w:cs="Arial"/>
          <w:sz w:val="21"/>
          <w:szCs w:val="21"/>
          <w:lang w:val="es-CO"/>
        </w:rPr>
        <w:t xml:space="preserve"> nacionales. La Entidad Estatal debe recibir estas solicitudes por lo menos un (1) día hábil antes de la apertura del Proceso de Contratación.</w:t>
      </w:r>
    </w:p>
    <w:p w14:paraId="4620B008" w14:textId="77777777" w:rsidR="008C487C" w:rsidRPr="001D0F68" w:rsidRDefault="008C487C" w:rsidP="008C487C">
      <w:pPr>
        <w:jc w:val="both"/>
        <w:rPr>
          <w:rFonts w:ascii="Arial" w:hAnsi="Arial" w:cs="Arial"/>
          <w:sz w:val="20"/>
          <w:szCs w:val="20"/>
          <w:lang w:val="es-CO"/>
        </w:rPr>
      </w:pPr>
    </w:p>
    <w:p w14:paraId="6F0DF268" w14:textId="469DC581" w:rsidR="008C487C" w:rsidRPr="001D0F68" w:rsidRDefault="008C487C" w:rsidP="00882ABB">
      <w:pPr>
        <w:spacing w:line="276" w:lineRule="auto"/>
        <w:ind w:firstLine="709"/>
        <w:jc w:val="both"/>
        <w:rPr>
          <w:rFonts w:ascii="Arial" w:hAnsi="Arial" w:cs="Arial"/>
          <w:sz w:val="22"/>
          <w:lang w:val="es-CO"/>
        </w:rPr>
      </w:pPr>
      <w:r w:rsidRPr="001D0F68">
        <w:rPr>
          <w:rFonts w:ascii="Arial" w:hAnsi="Arial" w:cs="Arial"/>
          <w:sz w:val="22"/>
          <w:lang w:val="es-CO"/>
        </w:rPr>
        <w:t>Puede decirse, entonces, que el Decreto 1082 de 2015 regula la limitación de convocatorias a Mipymes en dos normas distintas, las cuales deben leerse conjunta y armónicamente. Por un lado, la que prevé los requisitos generales para que la entidad limite sus convocatorias a Mipymes nacionales «</w:t>
      </w:r>
      <w:r w:rsidRPr="001D0F68">
        <w:rPr>
          <w:rFonts w:ascii="Arial" w:hAnsi="Arial" w:cs="Arial"/>
          <w:i/>
          <w:iCs/>
          <w:sz w:val="22"/>
          <w:lang w:val="es-CO"/>
        </w:rPr>
        <w:t>infra</w:t>
      </w:r>
      <w:r w:rsidRPr="001D0F68">
        <w:rPr>
          <w:rFonts w:ascii="Arial" w:hAnsi="Arial" w:cs="Arial"/>
          <w:sz w:val="22"/>
          <w:lang w:val="es-CO"/>
        </w:rPr>
        <w:t xml:space="preserve"> literal a» y, por el otro, la que establece la posibilidad de regular la convocatoria a Mipymes nacionales domiciliadas en los departamentos o municipios en donde se va a ejecutar el contrato «</w:t>
      </w:r>
      <w:r w:rsidRPr="001D0F68">
        <w:rPr>
          <w:rFonts w:ascii="Arial" w:hAnsi="Arial" w:cs="Arial"/>
          <w:i/>
          <w:iCs/>
          <w:sz w:val="22"/>
          <w:lang w:val="es-CO"/>
        </w:rPr>
        <w:t xml:space="preserve">infra </w:t>
      </w:r>
      <w:r w:rsidRPr="001D0F68">
        <w:rPr>
          <w:rFonts w:ascii="Arial" w:hAnsi="Arial" w:cs="Arial"/>
          <w:sz w:val="22"/>
          <w:lang w:val="es-CO"/>
        </w:rPr>
        <w:t xml:space="preserve">literal b». </w:t>
      </w:r>
    </w:p>
    <w:p w14:paraId="051965EA" w14:textId="21C407AC" w:rsidR="008C487C" w:rsidRPr="001D0F68" w:rsidRDefault="008C487C" w:rsidP="008C487C">
      <w:pPr>
        <w:spacing w:before="120" w:line="276" w:lineRule="auto"/>
        <w:ind w:firstLine="709"/>
        <w:jc w:val="both"/>
        <w:rPr>
          <w:rFonts w:ascii="Arial" w:hAnsi="Arial" w:cs="Arial"/>
          <w:sz w:val="22"/>
          <w:lang w:val="es-CO"/>
        </w:rPr>
      </w:pPr>
      <w:r w:rsidRPr="001D0F68">
        <w:rPr>
          <w:rFonts w:ascii="Arial" w:hAnsi="Arial" w:cs="Arial"/>
          <w:sz w:val="22"/>
          <w:lang w:val="es-CO"/>
        </w:rPr>
        <w:t xml:space="preserve">Es de resaltar que estas normas se refieren a las Mipymes nacionales genéricamente y, particularmente, a las Mipymes nacionales «domiciliadas en los departamentos o municipios en donde se va a ejecutar el contrato».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w:t>
      </w:r>
      <w:r w:rsidR="00A211A0">
        <w:rPr>
          <w:rFonts w:ascii="Arial" w:hAnsi="Arial" w:cs="Arial"/>
          <w:sz w:val="22"/>
          <w:lang w:val="es-CO"/>
        </w:rPr>
        <w:t>C</w:t>
      </w:r>
      <w:r w:rsidRPr="001D0F68">
        <w:rPr>
          <w:rFonts w:ascii="Arial" w:hAnsi="Arial" w:cs="Arial"/>
          <w:sz w:val="22"/>
          <w:lang w:val="es-CO"/>
        </w:rPr>
        <w:t>osa</w:t>
      </w:r>
      <w:r w:rsidR="00A211A0">
        <w:rPr>
          <w:rFonts w:ascii="Arial" w:hAnsi="Arial" w:cs="Arial"/>
          <w:sz w:val="22"/>
          <w:lang w:val="es-CO"/>
        </w:rPr>
        <w:t xml:space="preserve"> distinta</w:t>
      </w:r>
      <w:r w:rsidRPr="001D0F68">
        <w:rPr>
          <w:rFonts w:ascii="Arial" w:hAnsi="Arial" w:cs="Arial"/>
          <w:sz w:val="22"/>
          <w:lang w:val="es-CO"/>
        </w:rPr>
        <w:t xml:space="preserve"> es que las normas de contratación permitan que las Mipymes nacionales con </w:t>
      </w:r>
      <w:r w:rsidR="00C50B1B" w:rsidRPr="001D0F68">
        <w:rPr>
          <w:rFonts w:ascii="Arial" w:hAnsi="Arial" w:cs="Arial"/>
          <w:sz w:val="22"/>
          <w:lang w:val="es-CO"/>
        </w:rPr>
        <w:t>«</w:t>
      </w:r>
      <w:r w:rsidRPr="001D0F68">
        <w:rPr>
          <w:rFonts w:ascii="Arial" w:hAnsi="Arial" w:cs="Arial"/>
          <w:sz w:val="22"/>
          <w:lang w:val="es-CO"/>
        </w:rPr>
        <w:t>domicilio</w:t>
      </w:r>
      <w:r w:rsidR="00C50B1B" w:rsidRPr="001D0F68">
        <w:rPr>
          <w:rFonts w:ascii="Arial" w:hAnsi="Arial" w:cs="Arial"/>
          <w:sz w:val="22"/>
          <w:lang w:val="es-CO"/>
        </w:rPr>
        <w:t>»</w:t>
      </w:r>
      <w:r w:rsidRPr="001D0F68">
        <w:rPr>
          <w:rFonts w:ascii="Arial" w:hAnsi="Arial" w:cs="Arial"/>
          <w:sz w:val="22"/>
          <w:lang w:val="es-CO"/>
        </w:rPr>
        <w:t xml:space="preserve"> en un municipio o departamento puedan beneficiarse en la ejecución de un contrato dentro de la entidad territorial en la que tienen su </w:t>
      </w:r>
      <w:r w:rsidR="00C50B1B" w:rsidRPr="001D0F68">
        <w:rPr>
          <w:rFonts w:ascii="Arial" w:hAnsi="Arial" w:cs="Arial"/>
          <w:sz w:val="22"/>
          <w:lang w:val="es-CO"/>
        </w:rPr>
        <w:t>«</w:t>
      </w:r>
      <w:r w:rsidRPr="001D0F68">
        <w:rPr>
          <w:rFonts w:ascii="Arial" w:hAnsi="Arial" w:cs="Arial"/>
          <w:sz w:val="22"/>
          <w:lang w:val="es-CO"/>
        </w:rPr>
        <w:t>domicilio</w:t>
      </w:r>
      <w:r w:rsidR="00C50B1B" w:rsidRPr="001D0F68">
        <w:rPr>
          <w:rFonts w:ascii="Arial" w:hAnsi="Arial" w:cs="Arial"/>
          <w:sz w:val="22"/>
          <w:lang w:val="es-CO"/>
        </w:rPr>
        <w:t>»</w:t>
      </w:r>
      <w:r w:rsidRPr="001D0F68">
        <w:rPr>
          <w:rFonts w:ascii="Arial" w:hAnsi="Arial" w:cs="Arial"/>
          <w:sz w:val="22"/>
          <w:lang w:val="es-CO"/>
        </w:rPr>
        <w:t>.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w:t>
      </w:r>
      <w:r w:rsidR="002C6DEB">
        <w:rPr>
          <w:rFonts w:ascii="Arial" w:hAnsi="Arial" w:cs="Arial"/>
          <w:sz w:val="22"/>
          <w:lang w:val="es-CO"/>
        </w:rPr>
        <w:t xml:space="preserve"> jurídico</w:t>
      </w:r>
      <w:r w:rsidRPr="001D0F68">
        <w:rPr>
          <w:rFonts w:ascii="Arial" w:hAnsi="Arial" w:cs="Arial"/>
          <w:sz w:val="22"/>
          <w:lang w:val="es-CO"/>
        </w:rPr>
        <w:t>.</w:t>
      </w:r>
    </w:p>
    <w:p w14:paraId="1B5F6978" w14:textId="24B191F8" w:rsidR="005F5D19" w:rsidRPr="001D0F68" w:rsidRDefault="00AE668A" w:rsidP="008C487C">
      <w:pPr>
        <w:spacing w:before="120" w:line="276" w:lineRule="auto"/>
        <w:ind w:firstLine="709"/>
        <w:jc w:val="both"/>
        <w:rPr>
          <w:rFonts w:ascii="Arial" w:hAnsi="Arial" w:cs="Arial"/>
          <w:sz w:val="22"/>
          <w:lang w:val="es-CO"/>
        </w:rPr>
      </w:pPr>
      <w:r w:rsidRPr="001D0F68">
        <w:rPr>
          <w:rFonts w:ascii="Arial" w:hAnsi="Arial" w:cs="Arial"/>
          <w:sz w:val="22"/>
          <w:lang w:val="es-CO"/>
        </w:rPr>
        <w:t>Igualmente, se debe precisar que el artículo 2.2.1.2.4.2.3. del Decreto 1082 de 2015 se refiere a las «</w:t>
      </w:r>
      <w:proofErr w:type="spellStart"/>
      <w:r w:rsidRPr="001D0F68">
        <w:rPr>
          <w:rFonts w:ascii="Arial" w:hAnsi="Arial" w:cs="Arial"/>
          <w:sz w:val="22"/>
          <w:lang w:val="es-CO"/>
        </w:rPr>
        <w:t>Mipyme</w:t>
      </w:r>
      <w:proofErr w:type="spellEnd"/>
      <w:r w:rsidRPr="001D0F68">
        <w:rPr>
          <w:rFonts w:ascii="Arial" w:hAnsi="Arial" w:cs="Arial"/>
          <w:sz w:val="22"/>
          <w:lang w:val="es-CO"/>
        </w:rPr>
        <w:t xml:space="preserve"> nacionales </w:t>
      </w:r>
      <w:r w:rsidRPr="001D0F68">
        <w:rPr>
          <w:rFonts w:ascii="Arial" w:hAnsi="Arial" w:cs="Arial"/>
          <w:i/>
          <w:iCs/>
          <w:sz w:val="22"/>
          <w:lang w:val="es-CO"/>
        </w:rPr>
        <w:t>domiciliadas</w:t>
      </w:r>
      <w:r w:rsidRPr="001D0F68">
        <w:rPr>
          <w:rFonts w:ascii="Arial" w:hAnsi="Arial" w:cs="Arial"/>
          <w:sz w:val="22"/>
          <w:lang w:val="es-CO"/>
        </w:rPr>
        <w:t xml:space="preserve"> en los departamentos o municipios en donde se va a ejecutar el contrato»</w:t>
      </w:r>
      <w:r w:rsidR="00F5266F" w:rsidRPr="001D0F68">
        <w:rPr>
          <w:rFonts w:ascii="Arial" w:hAnsi="Arial" w:cs="Arial"/>
          <w:sz w:val="22"/>
          <w:lang w:val="es-CO"/>
        </w:rPr>
        <w:t xml:space="preserve"> </w:t>
      </w:r>
      <w:r w:rsidR="00050794">
        <w:rPr>
          <w:rFonts w:ascii="Arial" w:hAnsi="Arial" w:cs="Arial"/>
          <w:sz w:val="22"/>
          <w:lang w:val="es-CO"/>
        </w:rPr>
        <w:t>–</w:t>
      </w:r>
      <w:r w:rsidR="00F5266F" w:rsidRPr="001D0F68">
        <w:rPr>
          <w:rFonts w:ascii="Arial" w:hAnsi="Arial" w:cs="Arial"/>
          <w:sz w:val="22"/>
          <w:lang w:val="es-CO"/>
        </w:rPr>
        <w:t>cursivas propias</w:t>
      </w:r>
      <w:r w:rsidR="00050794">
        <w:rPr>
          <w:rFonts w:ascii="Arial" w:hAnsi="Arial" w:cs="Arial"/>
          <w:sz w:val="22"/>
          <w:lang w:val="es-CO"/>
        </w:rPr>
        <w:t>–</w:t>
      </w:r>
      <w:r w:rsidR="00813893" w:rsidRPr="001D0F68">
        <w:rPr>
          <w:rFonts w:ascii="Arial" w:hAnsi="Arial" w:cs="Arial"/>
          <w:sz w:val="22"/>
          <w:lang w:val="es-CO"/>
        </w:rPr>
        <w:t xml:space="preserve">, esto es, al «domicilio» y no a las </w:t>
      </w:r>
      <w:r w:rsidR="00813893" w:rsidRPr="001D0F68">
        <w:rPr>
          <w:rFonts w:ascii="Arial" w:hAnsi="Arial" w:cs="Arial"/>
          <w:sz w:val="22"/>
          <w:lang w:val="es-CO"/>
        </w:rPr>
        <w:lastRenderedPageBreak/>
        <w:t>«sucursales». Esta distinción</w:t>
      </w:r>
      <w:r w:rsidR="007D62C7" w:rsidRPr="001D0F68">
        <w:rPr>
          <w:rFonts w:ascii="Arial" w:hAnsi="Arial" w:cs="Arial"/>
          <w:sz w:val="22"/>
          <w:lang w:val="es-CO"/>
        </w:rPr>
        <w:t xml:space="preserve"> es importante </w:t>
      </w:r>
      <w:r w:rsidR="00E96422" w:rsidRPr="001D0F68">
        <w:rPr>
          <w:rFonts w:ascii="Arial" w:hAnsi="Arial" w:cs="Arial"/>
          <w:sz w:val="22"/>
          <w:lang w:val="es-CO"/>
        </w:rPr>
        <w:t xml:space="preserve">porque el beneficio normativo </w:t>
      </w:r>
      <w:r w:rsidR="007D62C7" w:rsidRPr="001D0F68">
        <w:rPr>
          <w:rFonts w:ascii="Arial" w:hAnsi="Arial" w:cs="Arial"/>
          <w:sz w:val="22"/>
          <w:lang w:val="es-CO"/>
        </w:rPr>
        <w:t xml:space="preserve">únicamente </w:t>
      </w:r>
      <w:r w:rsidR="00E96422" w:rsidRPr="001D0F68">
        <w:rPr>
          <w:rFonts w:ascii="Arial" w:hAnsi="Arial" w:cs="Arial"/>
          <w:sz w:val="22"/>
          <w:lang w:val="es-CO"/>
        </w:rPr>
        <w:t xml:space="preserve">aplica en el lugar en el que la </w:t>
      </w:r>
      <w:proofErr w:type="spellStart"/>
      <w:r w:rsidR="00E96422" w:rsidRPr="001D0F68">
        <w:rPr>
          <w:rFonts w:ascii="Arial" w:hAnsi="Arial" w:cs="Arial"/>
          <w:sz w:val="22"/>
          <w:lang w:val="es-CO"/>
        </w:rPr>
        <w:t>Mipyme</w:t>
      </w:r>
      <w:proofErr w:type="spellEnd"/>
      <w:r w:rsidR="00E96422" w:rsidRPr="001D0F68">
        <w:rPr>
          <w:rFonts w:ascii="Arial" w:hAnsi="Arial" w:cs="Arial"/>
          <w:sz w:val="22"/>
          <w:lang w:val="es-CO"/>
        </w:rPr>
        <w:t xml:space="preserve"> tiene su </w:t>
      </w:r>
      <w:r w:rsidR="00C50B1B" w:rsidRPr="001D0F68">
        <w:rPr>
          <w:rFonts w:ascii="Arial" w:hAnsi="Arial" w:cs="Arial"/>
          <w:sz w:val="22"/>
          <w:lang w:val="es-CO"/>
        </w:rPr>
        <w:t>«</w:t>
      </w:r>
      <w:r w:rsidR="00E96422" w:rsidRPr="001D0F68">
        <w:rPr>
          <w:rFonts w:ascii="Arial" w:hAnsi="Arial" w:cs="Arial"/>
          <w:sz w:val="22"/>
          <w:lang w:val="es-CO"/>
        </w:rPr>
        <w:t>domicilio</w:t>
      </w:r>
      <w:r w:rsidR="00C50B1B" w:rsidRPr="001D0F68">
        <w:rPr>
          <w:rFonts w:ascii="Arial" w:hAnsi="Arial" w:cs="Arial"/>
          <w:sz w:val="22"/>
          <w:lang w:val="es-CO"/>
        </w:rPr>
        <w:t>»</w:t>
      </w:r>
      <w:r w:rsidR="00E96422" w:rsidRPr="001D0F68">
        <w:rPr>
          <w:rFonts w:ascii="Arial" w:hAnsi="Arial" w:cs="Arial"/>
          <w:sz w:val="22"/>
          <w:lang w:val="es-CO"/>
        </w:rPr>
        <w:t xml:space="preserve">, y no en donde tiene sucursales. </w:t>
      </w:r>
    </w:p>
    <w:p w14:paraId="6EC14440" w14:textId="613ABA6A" w:rsidR="00AE668A" w:rsidRPr="001D0F68" w:rsidRDefault="005F5D19" w:rsidP="008C487C">
      <w:pPr>
        <w:spacing w:before="120" w:line="276" w:lineRule="auto"/>
        <w:ind w:firstLine="709"/>
        <w:jc w:val="both"/>
        <w:rPr>
          <w:rFonts w:ascii="Arial" w:hAnsi="Arial" w:cs="Arial"/>
          <w:sz w:val="22"/>
          <w:lang w:val="es-CO"/>
        </w:rPr>
      </w:pPr>
      <w:r w:rsidRPr="001D0F68">
        <w:rPr>
          <w:rFonts w:ascii="Arial" w:hAnsi="Arial" w:cs="Arial"/>
          <w:sz w:val="22"/>
          <w:lang w:val="es-CO"/>
        </w:rPr>
        <w:t>El artículo 263 del Código de Comercio</w:t>
      </w:r>
      <w:r w:rsidR="00BA7E78" w:rsidRPr="001D0F68">
        <w:rPr>
          <w:rFonts w:ascii="Arial" w:hAnsi="Arial" w:cs="Arial"/>
          <w:sz w:val="22"/>
          <w:lang w:val="es-CO"/>
        </w:rPr>
        <w:t xml:space="preserve"> define las sucursales como «los establecimientos de comercio abiertos por una sociedad, dentro o fuera de su domicilio, para el desarrollo de los negocios sociales o parte de ellos, administrados por mandatarios con facultades para representar la sociedad»</w:t>
      </w:r>
      <w:r w:rsidRPr="001D0F68">
        <w:rPr>
          <w:rFonts w:ascii="Arial" w:hAnsi="Arial" w:cs="Arial"/>
          <w:sz w:val="22"/>
          <w:lang w:val="es-CO"/>
        </w:rPr>
        <w:t xml:space="preserve">. </w:t>
      </w:r>
      <w:r w:rsidR="00BA7E78" w:rsidRPr="001D0F68">
        <w:rPr>
          <w:rFonts w:ascii="Arial" w:hAnsi="Arial" w:cs="Arial"/>
          <w:sz w:val="22"/>
          <w:lang w:val="es-CO"/>
        </w:rPr>
        <w:t>Nótese que la norma se refiere a los conceptos de «sucursal» y «domicilio» de forma diferente</w:t>
      </w:r>
      <w:r w:rsidR="00DB751D" w:rsidRPr="001D0F68">
        <w:rPr>
          <w:rFonts w:ascii="Arial" w:hAnsi="Arial" w:cs="Arial"/>
          <w:sz w:val="22"/>
          <w:lang w:val="es-CO"/>
        </w:rPr>
        <w:t>, de lo que se deriva que las sociedades comerciales tiene</w:t>
      </w:r>
      <w:r w:rsidR="00010D30" w:rsidRPr="001D0F68">
        <w:rPr>
          <w:rFonts w:ascii="Arial" w:hAnsi="Arial" w:cs="Arial"/>
          <w:sz w:val="22"/>
          <w:lang w:val="es-CO"/>
        </w:rPr>
        <w:t>n</w:t>
      </w:r>
      <w:r w:rsidR="00DB751D" w:rsidRPr="001D0F68">
        <w:rPr>
          <w:rFonts w:ascii="Arial" w:hAnsi="Arial" w:cs="Arial"/>
          <w:sz w:val="22"/>
          <w:lang w:val="es-CO"/>
        </w:rPr>
        <w:t xml:space="preserve"> un domicilio y puede tener una o varias sucursales</w:t>
      </w:r>
      <w:r w:rsidR="00BA7E78" w:rsidRPr="001D0F68">
        <w:rPr>
          <w:rFonts w:ascii="Arial" w:hAnsi="Arial" w:cs="Arial"/>
          <w:sz w:val="22"/>
          <w:lang w:val="es-CO"/>
        </w:rPr>
        <w:t>. En ese mismo sentido</w:t>
      </w:r>
      <w:r w:rsidRPr="001D0F68">
        <w:rPr>
          <w:rFonts w:ascii="Arial" w:hAnsi="Arial" w:cs="Arial"/>
          <w:sz w:val="22"/>
          <w:lang w:val="es-CO"/>
        </w:rPr>
        <w:t>, l</w:t>
      </w:r>
      <w:r w:rsidR="00863DD9" w:rsidRPr="001D0F68">
        <w:rPr>
          <w:rFonts w:ascii="Arial" w:hAnsi="Arial" w:cs="Arial"/>
          <w:sz w:val="22"/>
          <w:lang w:val="es-CO"/>
        </w:rPr>
        <w:t xml:space="preserve">os </w:t>
      </w:r>
      <w:r w:rsidR="001321AB" w:rsidRPr="001D0F68">
        <w:rPr>
          <w:rFonts w:ascii="Arial" w:hAnsi="Arial" w:cs="Arial"/>
          <w:sz w:val="22"/>
          <w:lang w:val="es-CO"/>
        </w:rPr>
        <w:t xml:space="preserve">artículos 110 y 111 </w:t>
      </w:r>
      <w:r w:rsidRPr="001D0F68">
        <w:rPr>
          <w:rFonts w:ascii="Arial" w:hAnsi="Arial" w:cs="Arial"/>
          <w:i/>
          <w:iCs/>
          <w:sz w:val="22"/>
          <w:lang w:val="es-CO"/>
        </w:rPr>
        <w:t>ibídem</w:t>
      </w:r>
      <w:r w:rsidR="00863DD9" w:rsidRPr="001D0F68">
        <w:rPr>
          <w:rFonts w:ascii="Arial" w:hAnsi="Arial" w:cs="Arial"/>
          <w:sz w:val="22"/>
          <w:lang w:val="es-CO"/>
        </w:rPr>
        <w:t xml:space="preserve"> </w:t>
      </w:r>
      <w:r w:rsidR="001321AB" w:rsidRPr="001D0F68">
        <w:rPr>
          <w:rFonts w:ascii="Arial" w:hAnsi="Arial" w:cs="Arial"/>
          <w:sz w:val="22"/>
          <w:lang w:val="es-CO"/>
        </w:rPr>
        <w:t>se refieren</w:t>
      </w:r>
      <w:r w:rsidR="004F4387" w:rsidRPr="001D0F68">
        <w:rPr>
          <w:rFonts w:ascii="Arial" w:hAnsi="Arial" w:cs="Arial"/>
          <w:sz w:val="22"/>
          <w:lang w:val="es-CO"/>
        </w:rPr>
        <w:t xml:space="preserve"> a tales conceptos de forma independiente. E</w:t>
      </w:r>
      <w:r w:rsidR="00863DD9" w:rsidRPr="001D0F68">
        <w:rPr>
          <w:rFonts w:ascii="Arial" w:hAnsi="Arial" w:cs="Arial"/>
          <w:sz w:val="22"/>
          <w:lang w:val="es-CO"/>
        </w:rPr>
        <w:t xml:space="preserve">l uno para </w:t>
      </w:r>
      <w:r w:rsidR="00CA5790" w:rsidRPr="001D0F68">
        <w:rPr>
          <w:rFonts w:ascii="Arial" w:hAnsi="Arial" w:cs="Arial"/>
          <w:sz w:val="22"/>
          <w:lang w:val="es-CO"/>
        </w:rPr>
        <w:t xml:space="preserve">referirse a los requisitos de constitución de una sociedad comercial y el otro para </w:t>
      </w:r>
      <w:r w:rsidR="003C2074" w:rsidRPr="001D0F68">
        <w:rPr>
          <w:rFonts w:ascii="Arial" w:hAnsi="Arial" w:cs="Arial"/>
          <w:sz w:val="22"/>
          <w:lang w:val="es-CO"/>
        </w:rPr>
        <w:t xml:space="preserve">determinar el lugar donde se debe inscribir la escritura </w:t>
      </w:r>
      <w:r w:rsidR="008A0633" w:rsidRPr="001D0F68">
        <w:rPr>
          <w:rFonts w:ascii="Arial" w:hAnsi="Arial" w:cs="Arial"/>
          <w:sz w:val="22"/>
          <w:lang w:val="es-CO"/>
        </w:rPr>
        <w:t>pública de constitución de la sociedad comercial. En e</w:t>
      </w:r>
      <w:r w:rsidR="004F4387" w:rsidRPr="001D0F68">
        <w:rPr>
          <w:rFonts w:ascii="Arial" w:hAnsi="Arial" w:cs="Arial"/>
          <w:sz w:val="22"/>
          <w:lang w:val="es-CO"/>
        </w:rPr>
        <w:t xml:space="preserve">se sentido, </w:t>
      </w:r>
      <w:r w:rsidR="008A0633" w:rsidRPr="001D0F68">
        <w:rPr>
          <w:rFonts w:ascii="Arial" w:hAnsi="Arial" w:cs="Arial"/>
          <w:sz w:val="22"/>
          <w:lang w:val="es-CO"/>
        </w:rPr>
        <w:t>si el legislador di</w:t>
      </w:r>
      <w:r w:rsidR="00BB59F9" w:rsidRPr="001D0F68">
        <w:rPr>
          <w:rFonts w:ascii="Arial" w:hAnsi="Arial" w:cs="Arial"/>
          <w:sz w:val="22"/>
          <w:lang w:val="es-CO"/>
        </w:rPr>
        <w:t>s</w:t>
      </w:r>
      <w:r w:rsidR="008A0633" w:rsidRPr="001D0F68">
        <w:rPr>
          <w:rFonts w:ascii="Arial" w:hAnsi="Arial" w:cs="Arial"/>
          <w:sz w:val="22"/>
          <w:lang w:val="es-CO"/>
        </w:rPr>
        <w:t>ti</w:t>
      </w:r>
      <w:r w:rsidR="00BB59F9" w:rsidRPr="001D0F68">
        <w:rPr>
          <w:rFonts w:ascii="Arial" w:hAnsi="Arial" w:cs="Arial"/>
          <w:sz w:val="22"/>
          <w:lang w:val="es-CO"/>
        </w:rPr>
        <w:t>nguió entre uno y otro y si el reglamento se refiere al «domicilio»</w:t>
      </w:r>
      <w:r w:rsidR="004F4387" w:rsidRPr="001D0F68">
        <w:rPr>
          <w:rFonts w:ascii="Arial" w:hAnsi="Arial" w:cs="Arial"/>
          <w:sz w:val="22"/>
          <w:lang w:val="es-CO"/>
        </w:rPr>
        <w:t xml:space="preserve">, </w:t>
      </w:r>
      <w:r w:rsidR="00D92F6C" w:rsidRPr="001D0F68">
        <w:rPr>
          <w:rFonts w:ascii="Arial" w:hAnsi="Arial" w:cs="Arial"/>
          <w:sz w:val="22"/>
          <w:lang w:val="es-CO"/>
        </w:rPr>
        <w:t xml:space="preserve">se </w:t>
      </w:r>
      <w:r w:rsidR="009E2544" w:rsidRPr="001D0F68">
        <w:rPr>
          <w:rFonts w:ascii="Arial" w:hAnsi="Arial" w:cs="Arial"/>
          <w:sz w:val="22"/>
          <w:lang w:val="es-CO"/>
        </w:rPr>
        <w:t>entiende</w:t>
      </w:r>
      <w:r w:rsidR="00D92F6C" w:rsidRPr="001D0F68">
        <w:rPr>
          <w:rFonts w:ascii="Arial" w:hAnsi="Arial" w:cs="Arial"/>
          <w:sz w:val="22"/>
          <w:lang w:val="es-CO"/>
        </w:rPr>
        <w:t xml:space="preserve"> que </w:t>
      </w:r>
      <w:r w:rsidR="00BB59F9" w:rsidRPr="001D0F68">
        <w:rPr>
          <w:rFonts w:ascii="Arial" w:hAnsi="Arial" w:cs="Arial"/>
          <w:sz w:val="22"/>
          <w:lang w:val="es-CO"/>
        </w:rPr>
        <w:t xml:space="preserve">no es procedente </w:t>
      </w:r>
      <w:r w:rsidR="007D62C7" w:rsidRPr="001D0F68">
        <w:rPr>
          <w:rFonts w:ascii="Arial" w:hAnsi="Arial" w:cs="Arial"/>
          <w:sz w:val="22"/>
          <w:lang w:val="es-CO"/>
        </w:rPr>
        <w:t xml:space="preserve">extender el beneficio contenido en el artículo 2.2.1.2.4.2.3. </w:t>
      </w:r>
      <w:r w:rsidR="007D62C7" w:rsidRPr="001D0F68">
        <w:rPr>
          <w:rFonts w:ascii="Arial" w:hAnsi="Arial" w:cs="Arial"/>
          <w:i/>
          <w:iCs/>
          <w:sz w:val="22"/>
          <w:lang w:val="es-CO"/>
        </w:rPr>
        <w:t xml:space="preserve">ibídem </w:t>
      </w:r>
      <w:r w:rsidR="007D62C7" w:rsidRPr="001D0F68">
        <w:rPr>
          <w:rFonts w:ascii="Arial" w:hAnsi="Arial" w:cs="Arial"/>
          <w:sz w:val="22"/>
          <w:lang w:val="es-CO"/>
        </w:rPr>
        <w:t>a las entidades que tienen «sucursales» en el municipio o departamento en donde se va a ejecutar el contrato</w:t>
      </w:r>
      <w:r w:rsidR="00D92F6C" w:rsidRPr="001D0F68">
        <w:rPr>
          <w:rFonts w:ascii="Arial" w:hAnsi="Arial" w:cs="Arial"/>
          <w:sz w:val="22"/>
          <w:lang w:val="es-CO"/>
        </w:rPr>
        <w:t xml:space="preserve"> estatal</w:t>
      </w:r>
      <w:r w:rsidR="007D62C7" w:rsidRPr="001D0F68">
        <w:rPr>
          <w:rFonts w:ascii="Arial" w:hAnsi="Arial" w:cs="Arial"/>
          <w:sz w:val="22"/>
          <w:lang w:val="es-CO"/>
        </w:rPr>
        <w:t>.</w:t>
      </w:r>
    </w:p>
    <w:p w14:paraId="35AACE73" w14:textId="66AA9BE1" w:rsidR="00D95879" w:rsidRPr="001D0F68" w:rsidRDefault="008C487C" w:rsidP="008C487C">
      <w:pPr>
        <w:spacing w:before="120" w:line="276" w:lineRule="auto"/>
        <w:ind w:firstLine="709"/>
        <w:jc w:val="both"/>
        <w:rPr>
          <w:rFonts w:ascii="Arial" w:hAnsi="Arial" w:cs="Arial"/>
          <w:sz w:val="22"/>
          <w:lang w:val="es-CO"/>
        </w:rPr>
      </w:pPr>
      <w:r w:rsidRPr="001D0F68">
        <w:rPr>
          <w:rFonts w:ascii="Arial" w:hAnsi="Arial" w:cs="Arial"/>
          <w:sz w:val="22"/>
          <w:lang w:val="es-CO"/>
        </w:rPr>
        <w:t xml:space="preserve">a) El artículo 2.2.1.2.4.2.2. del Decreto 1082 de 2015 establece los requisitos que se deben acreditar en las «convocatorias limitadas a Mipymes». La primera limitación </w:t>
      </w:r>
      <w:r w:rsidR="009A5714" w:rsidRPr="001D0F68">
        <w:rPr>
          <w:rFonts w:ascii="Arial" w:hAnsi="Arial" w:cs="Arial"/>
          <w:sz w:val="22"/>
          <w:lang w:val="es-CO"/>
        </w:rPr>
        <w:t>se deriva d</w:t>
      </w:r>
      <w:r w:rsidRPr="001D0F68">
        <w:rPr>
          <w:rFonts w:ascii="Arial" w:hAnsi="Arial" w:cs="Arial"/>
          <w:sz w:val="22"/>
          <w:lang w:val="es-CO"/>
        </w:rPr>
        <w:t>el inciso primero de la referida norma</w:t>
      </w:r>
      <w:r w:rsidR="009A5714" w:rsidRPr="001D0F68">
        <w:rPr>
          <w:rFonts w:ascii="Arial" w:hAnsi="Arial" w:cs="Arial"/>
          <w:sz w:val="22"/>
          <w:lang w:val="es-CO"/>
        </w:rPr>
        <w:t>,</w:t>
      </w:r>
      <w:r w:rsidRPr="001D0F68">
        <w:rPr>
          <w:rFonts w:ascii="Arial" w:hAnsi="Arial" w:cs="Arial"/>
          <w:sz w:val="22"/>
          <w:lang w:val="es-CO"/>
        </w:rPr>
        <w:t xml:space="preserve"> en cuanto a las modalidades de selección de contratistas, en el entendido</w:t>
      </w:r>
      <w:r w:rsidR="006F39D0" w:rsidRPr="001D0F68">
        <w:rPr>
          <w:rFonts w:ascii="Arial" w:hAnsi="Arial" w:cs="Arial"/>
          <w:sz w:val="22"/>
          <w:lang w:val="es-CO"/>
        </w:rPr>
        <w:t xml:space="preserve"> </w:t>
      </w:r>
      <w:r w:rsidR="00882ABB" w:rsidRPr="001D0F68">
        <w:rPr>
          <w:rFonts w:ascii="Arial" w:hAnsi="Arial" w:cs="Arial"/>
          <w:sz w:val="22"/>
          <w:lang w:val="es-CO"/>
        </w:rPr>
        <w:t xml:space="preserve">de </w:t>
      </w:r>
      <w:r w:rsidRPr="001D0F68">
        <w:rPr>
          <w:rFonts w:ascii="Arial" w:hAnsi="Arial" w:cs="Arial"/>
          <w:sz w:val="22"/>
          <w:lang w:val="es-CO"/>
        </w:rPr>
        <w:t>que únicamente se puede limitar «la convocatoria del Proceso de Contratación en la modalidad de licitación pública, selección abreviada y concurso de méritos». Esto excluye</w:t>
      </w:r>
      <w:r w:rsidR="00E137BB" w:rsidRPr="001D0F68">
        <w:rPr>
          <w:rFonts w:ascii="Arial" w:hAnsi="Arial" w:cs="Arial"/>
          <w:sz w:val="22"/>
          <w:lang w:val="es-CO"/>
        </w:rPr>
        <w:t>, pues,</w:t>
      </w:r>
      <w:r w:rsidRPr="001D0F68">
        <w:rPr>
          <w:rFonts w:ascii="Arial" w:hAnsi="Arial" w:cs="Arial"/>
          <w:sz w:val="22"/>
          <w:lang w:val="es-CO"/>
        </w:rPr>
        <w:t xml:space="preserve"> la posibilidad de pedir la limitación de las convocatorias en los procesos de selección de </w:t>
      </w:r>
      <w:r w:rsidRPr="001D0F68">
        <w:rPr>
          <w:rFonts w:ascii="Arial" w:hAnsi="Arial" w:cs="Arial"/>
          <w:i/>
          <w:iCs/>
          <w:sz w:val="22"/>
          <w:lang w:val="es-CO"/>
        </w:rPr>
        <w:t>mínima cuantía</w:t>
      </w:r>
      <w:r w:rsidRPr="001D0F68">
        <w:rPr>
          <w:rFonts w:ascii="Arial" w:hAnsi="Arial" w:cs="Arial"/>
          <w:sz w:val="22"/>
          <w:lang w:val="es-CO"/>
        </w:rPr>
        <w:t xml:space="preserve"> y también en los de </w:t>
      </w:r>
      <w:r w:rsidRPr="001D0F68">
        <w:rPr>
          <w:rFonts w:ascii="Arial" w:hAnsi="Arial" w:cs="Arial"/>
          <w:i/>
          <w:iCs/>
          <w:sz w:val="22"/>
          <w:lang w:val="es-CO"/>
        </w:rPr>
        <w:t>contratación directa</w:t>
      </w:r>
      <w:r w:rsidRPr="001D0F68">
        <w:rPr>
          <w:rFonts w:ascii="Arial" w:hAnsi="Arial" w:cs="Arial"/>
          <w:sz w:val="22"/>
          <w:lang w:val="es-CO"/>
        </w:rPr>
        <w:t>.</w:t>
      </w:r>
    </w:p>
    <w:p w14:paraId="2BA603A8" w14:textId="77777777" w:rsidR="008C487C" w:rsidRPr="001D0F68" w:rsidRDefault="008C487C" w:rsidP="008C487C">
      <w:pPr>
        <w:spacing w:before="120" w:line="276" w:lineRule="auto"/>
        <w:ind w:firstLine="709"/>
        <w:jc w:val="both"/>
        <w:rPr>
          <w:rFonts w:ascii="Arial" w:hAnsi="Arial" w:cs="Arial"/>
          <w:sz w:val="22"/>
          <w:lang w:val="es-CO"/>
        </w:rPr>
      </w:pPr>
      <w:r w:rsidRPr="001D0F68">
        <w:rPr>
          <w:rFonts w:ascii="Arial" w:hAnsi="Arial" w:cs="Arial"/>
          <w:sz w:val="22"/>
          <w:lang w:val="es-CO"/>
        </w:rPr>
        <w:t>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representativa del mercado ─TRM</w:t>
      </w:r>
      <w:r w:rsidRPr="001D0F68">
        <w:rPr>
          <w:rStyle w:val="Refdenotaalpie"/>
          <w:rFonts w:ascii="Arial" w:hAnsi="Arial" w:cs="Arial"/>
          <w:sz w:val="22"/>
          <w:lang w:val="es-CO"/>
        </w:rPr>
        <w:footnoteReference w:id="13"/>
      </w:r>
      <w:r w:rsidRPr="001D0F68">
        <w:rPr>
          <w:rFonts w:ascii="Arial" w:hAnsi="Arial" w:cs="Arial"/>
          <w:sz w:val="22"/>
          <w:lang w:val="es-CO"/>
        </w:rPr>
        <w:t>─, establecida diariamente por la Superintendencia Financiera de Colombia, según lo que establece el artículo 40 de la Resolución Externa No. 1 de 2018 y la Circular Reglamentaria Externa- DODM-146, ambas expedidas por el Banco de la República.</w:t>
      </w:r>
    </w:p>
    <w:p w14:paraId="1AE6FEDA" w14:textId="366CD12A" w:rsidR="008C487C" w:rsidRPr="001D0F68" w:rsidRDefault="008C487C" w:rsidP="008C487C">
      <w:pPr>
        <w:spacing w:before="120" w:line="276" w:lineRule="auto"/>
        <w:ind w:firstLine="709"/>
        <w:jc w:val="both"/>
        <w:rPr>
          <w:rFonts w:ascii="Arial" w:hAnsi="Arial" w:cs="Arial"/>
          <w:sz w:val="22"/>
          <w:lang w:val="es-CO"/>
        </w:rPr>
      </w:pPr>
      <w:r w:rsidRPr="001D0F68">
        <w:rPr>
          <w:rFonts w:ascii="Arial" w:hAnsi="Arial" w:cs="Arial"/>
          <w:sz w:val="22"/>
          <w:lang w:val="es-CO"/>
        </w:rPr>
        <w:lastRenderedPageBreak/>
        <w:t>Para establecer dicha tasa, el Ministerio toma en cuenta como parámetros, por un lado, el promedio de la TRM</w:t>
      </w:r>
      <w:r w:rsidRPr="001D0F68">
        <w:rPr>
          <w:rStyle w:val="Refdenotaalpie"/>
          <w:rFonts w:ascii="Arial" w:hAnsi="Arial" w:cs="Arial"/>
          <w:sz w:val="22"/>
          <w:lang w:val="es-CO"/>
        </w:rPr>
        <w:footnoteReference w:id="14"/>
      </w:r>
      <w:r w:rsidRPr="001D0F68">
        <w:rPr>
          <w:rFonts w:ascii="Arial" w:hAnsi="Arial" w:cs="Arial"/>
          <w:sz w:val="22"/>
          <w:lang w:val="es-CO"/>
        </w:rPr>
        <w:t xml:space="preserve"> de los dos años anteriores al per</w:t>
      </w:r>
      <w:r w:rsidR="00842927" w:rsidRPr="001D0F68">
        <w:rPr>
          <w:rFonts w:ascii="Arial" w:hAnsi="Arial" w:cs="Arial"/>
          <w:sz w:val="22"/>
          <w:lang w:val="es-CO"/>
        </w:rPr>
        <w:t>í</w:t>
      </w:r>
      <w:r w:rsidRPr="001D0F68">
        <w:rPr>
          <w:rFonts w:ascii="Arial" w:hAnsi="Arial" w:cs="Arial"/>
          <w:sz w:val="22"/>
          <w:lang w:val="es-CO"/>
        </w:rPr>
        <w:t>odo a calcular y, por el otro, los «veinticinco mil dólares de los Estados Unidos de América» a los que se refiere el numeral 1º del artículo 2.2.1.2.4.2.2. del Decreto 1082 de 2015. Así lo ha hecho para los per</w:t>
      </w:r>
      <w:r w:rsidR="0004238A" w:rsidRPr="001D0F68">
        <w:rPr>
          <w:rFonts w:ascii="Arial" w:hAnsi="Arial" w:cs="Arial"/>
          <w:sz w:val="22"/>
          <w:lang w:val="es-CO"/>
        </w:rPr>
        <w:t>í</w:t>
      </w:r>
      <w:r w:rsidRPr="001D0F68">
        <w:rPr>
          <w:rFonts w:ascii="Arial" w:hAnsi="Arial" w:cs="Arial"/>
          <w:sz w:val="22"/>
          <w:lang w:val="es-CO"/>
        </w:rPr>
        <w:t>odos 2015</w:t>
      </w:r>
      <w:r w:rsidRPr="001D0F68">
        <w:rPr>
          <w:rStyle w:val="Refdenotaalpie"/>
          <w:rFonts w:ascii="Arial" w:hAnsi="Arial" w:cs="Arial"/>
          <w:sz w:val="22"/>
          <w:lang w:val="es-CO"/>
        </w:rPr>
        <w:footnoteReference w:id="15"/>
      </w:r>
      <w:r w:rsidRPr="001D0F68">
        <w:rPr>
          <w:rFonts w:ascii="Arial" w:hAnsi="Arial" w:cs="Arial"/>
          <w:sz w:val="22"/>
          <w:lang w:val="es-CO"/>
        </w:rPr>
        <w:t>-2017, 2018-2019 y 2020-2021 (vigente)</w:t>
      </w:r>
      <w:r w:rsidRPr="001D0F68">
        <w:rPr>
          <w:rStyle w:val="Refdenotaalpie"/>
          <w:rFonts w:ascii="Arial" w:hAnsi="Arial" w:cs="Arial"/>
          <w:sz w:val="22"/>
          <w:lang w:val="es-CO"/>
        </w:rPr>
        <w:footnoteReference w:id="16"/>
      </w:r>
      <w:r w:rsidRPr="001D0F68">
        <w:rPr>
          <w:rFonts w:ascii="Arial" w:hAnsi="Arial" w:cs="Arial"/>
          <w:sz w:val="22"/>
          <w:lang w:val="es-CO"/>
        </w:rPr>
        <w:t xml:space="preserve">. </w:t>
      </w:r>
      <w:r w:rsidR="005A6AA3">
        <w:rPr>
          <w:rFonts w:ascii="Arial" w:hAnsi="Arial" w:cs="Arial"/>
          <w:sz w:val="22"/>
          <w:lang w:val="es-CO"/>
        </w:rPr>
        <w:t>Por otro lado, e</w:t>
      </w:r>
      <w:r w:rsidRPr="001D0F68">
        <w:rPr>
          <w:rFonts w:ascii="Arial" w:hAnsi="Arial" w:cs="Arial"/>
          <w:sz w:val="22"/>
          <w:lang w:val="es-CO"/>
        </w:rPr>
        <w:t>sta entidad, en ejercicio de sus competencias legales y reglamentarias, está encargada de la publicación de la información en su portal Web: https://www.colombiacompra.gov.co/.</w:t>
      </w:r>
    </w:p>
    <w:p w14:paraId="2ACBBB3A" w14:textId="043B911D" w:rsidR="008C487C" w:rsidRPr="001D0F68" w:rsidRDefault="008C487C" w:rsidP="008C487C">
      <w:pPr>
        <w:spacing w:before="120" w:line="276" w:lineRule="auto"/>
        <w:ind w:firstLine="708"/>
        <w:jc w:val="both"/>
        <w:rPr>
          <w:rFonts w:ascii="Arial" w:hAnsi="Arial" w:cs="Arial"/>
          <w:sz w:val="22"/>
          <w:lang w:val="es-CO"/>
        </w:rPr>
      </w:pPr>
      <w:r w:rsidRPr="001D0F68">
        <w:rPr>
          <w:rFonts w:ascii="Arial" w:hAnsi="Arial" w:cs="Arial"/>
          <w:sz w:val="22"/>
          <w:lang w:val="es-CO"/>
        </w:rPr>
        <w:t xml:space="preserve">El numeral segundo establece dos exigencias: por un lado, que al menos tres (3) Mipymes nacionales presenten a la entidad la solicitud formal de limitar el proceso contractual; y por el otro, que hagan la solicitud por lo menos un día antes de la apertura del proceso de contratación. En relación con tales exigencias, Colombia Compra Eficiente ha precisado que «[s]i bien la normativa del sistema de compra publica no establece como requisito acreditar la relación entre el objeto de la </w:t>
      </w:r>
      <w:proofErr w:type="spellStart"/>
      <w:r w:rsidRPr="001D0F68">
        <w:rPr>
          <w:rFonts w:ascii="Arial" w:hAnsi="Arial" w:cs="Arial"/>
          <w:sz w:val="22"/>
          <w:lang w:val="es-CO"/>
        </w:rPr>
        <w:t>Mipyme</w:t>
      </w:r>
      <w:proofErr w:type="spellEnd"/>
      <w:r w:rsidRPr="001D0F68">
        <w:rPr>
          <w:rFonts w:ascii="Arial" w:hAnsi="Arial" w:cs="Arial"/>
          <w:sz w:val="22"/>
          <w:lang w:val="es-CO"/>
        </w:rPr>
        <w:t xml:space="preserve"> y el objeto contrato, es imperativo que la entidad estatal verifique que quienes solicitan la limitación del proceso a </w:t>
      </w:r>
      <w:proofErr w:type="spellStart"/>
      <w:r w:rsidRPr="001D0F68">
        <w:rPr>
          <w:rFonts w:ascii="Arial" w:hAnsi="Arial" w:cs="Arial"/>
          <w:sz w:val="22"/>
          <w:lang w:val="es-CO"/>
        </w:rPr>
        <w:t>Mipyme</w:t>
      </w:r>
      <w:proofErr w:type="spellEnd"/>
      <w:r w:rsidRPr="001D0F68">
        <w:rPr>
          <w:rFonts w:ascii="Arial" w:hAnsi="Arial" w:cs="Arial"/>
          <w:sz w:val="22"/>
          <w:lang w:val="es-CO"/>
        </w:rPr>
        <w:t xml:space="preserve"> tienen un objeto social similar al objeto del contrato y, de ser así, la entidad deberá limitar el proceso de contratación a Mipymes»</w:t>
      </w:r>
      <w:r w:rsidRPr="001D0F68">
        <w:rPr>
          <w:rStyle w:val="Refdenotaalpie"/>
          <w:rFonts w:ascii="Arial" w:hAnsi="Arial" w:cs="Arial"/>
          <w:sz w:val="22"/>
          <w:lang w:val="es-CO"/>
        </w:rPr>
        <w:footnoteReference w:id="17"/>
      </w:r>
      <w:r w:rsidRPr="001D0F68">
        <w:rPr>
          <w:rFonts w:ascii="Arial" w:hAnsi="Arial" w:cs="Arial"/>
          <w:sz w:val="22"/>
          <w:lang w:val="es-CO"/>
        </w:rPr>
        <w:t>.</w:t>
      </w:r>
      <w:r w:rsidR="000932D5">
        <w:rPr>
          <w:rFonts w:ascii="Arial" w:hAnsi="Arial" w:cs="Arial"/>
          <w:sz w:val="22"/>
          <w:lang w:val="es-CO"/>
        </w:rPr>
        <w:t xml:space="preserve"> De igual forma,</w:t>
      </w:r>
      <w:r w:rsidRPr="001D0F68">
        <w:rPr>
          <w:rFonts w:ascii="Arial" w:hAnsi="Arial" w:cs="Arial"/>
          <w:sz w:val="22"/>
          <w:lang w:val="es-CO"/>
        </w:rPr>
        <w:t xml:space="preserve"> ha </w:t>
      </w:r>
      <w:r w:rsidR="000932D5">
        <w:rPr>
          <w:rFonts w:ascii="Arial" w:hAnsi="Arial" w:cs="Arial"/>
          <w:sz w:val="22"/>
          <w:lang w:val="es-CO"/>
        </w:rPr>
        <w:t>señalado</w:t>
      </w:r>
      <w:r w:rsidRPr="001D0F68">
        <w:rPr>
          <w:rFonts w:ascii="Arial" w:hAnsi="Arial" w:cs="Arial"/>
          <w:sz w:val="22"/>
          <w:lang w:val="es-CO"/>
        </w:rPr>
        <w:t xml:space="preserve"> que la entidad estatal debe aceptar las ofertas de consorcios o uniones temporales formados exclusivamente por </w:t>
      </w:r>
      <w:proofErr w:type="spellStart"/>
      <w:r w:rsidRPr="001D0F68">
        <w:rPr>
          <w:rFonts w:ascii="Arial" w:hAnsi="Arial" w:cs="Arial"/>
          <w:sz w:val="22"/>
          <w:lang w:val="es-CO"/>
        </w:rPr>
        <w:t>Mipyme</w:t>
      </w:r>
      <w:proofErr w:type="spellEnd"/>
      <w:r w:rsidRPr="001D0F68">
        <w:rPr>
          <w:rFonts w:ascii="Arial" w:hAnsi="Arial" w:cs="Arial"/>
          <w:sz w:val="22"/>
          <w:lang w:val="es-CO"/>
        </w:rPr>
        <w:t xml:space="preserve"> y promesas de sociedad futura suscritas por </w:t>
      </w:r>
      <w:proofErr w:type="spellStart"/>
      <w:r w:rsidRPr="001D0F68">
        <w:rPr>
          <w:rFonts w:ascii="Arial" w:hAnsi="Arial" w:cs="Arial"/>
          <w:sz w:val="22"/>
          <w:lang w:val="es-CO"/>
        </w:rPr>
        <w:t>Mipyme</w:t>
      </w:r>
      <w:proofErr w:type="spellEnd"/>
      <w:r w:rsidRPr="001D0F68">
        <w:rPr>
          <w:rFonts w:ascii="Arial" w:hAnsi="Arial" w:cs="Arial"/>
          <w:sz w:val="22"/>
          <w:lang w:val="es-CO"/>
        </w:rPr>
        <w:t>»</w:t>
      </w:r>
      <w:r w:rsidRPr="001D0F68">
        <w:rPr>
          <w:rStyle w:val="Refdenotaalpie"/>
          <w:rFonts w:ascii="Arial" w:hAnsi="Arial" w:cs="Arial"/>
          <w:sz w:val="22"/>
          <w:lang w:val="es-CO"/>
        </w:rPr>
        <w:footnoteReference w:id="18"/>
      </w:r>
      <w:r w:rsidRPr="001D0F68">
        <w:rPr>
          <w:rFonts w:ascii="Arial" w:hAnsi="Arial" w:cs="Arial"/>
          <w:sz w:val="22"/>
          <w:lang w:val="es-CO"/>
        </w:rPr>
        <w:t xml:space="preserve">. </w:t>
      </w:r>
    </w:p>
    <w:p w14:paraId="64DA653A" w14:textId="77777777" w:rsidR="008C487C" w:rsidRPr="001D0F68" w:rsidRDefault="008C487C" w:rsidP="008C487C">
      <w:pPr>
        <w:spacing w:before="120" w:line="276" w:lineRule="auto"/>
        <w:ind w:firstLine="709"/>
        <w:jc w:val="both"/>
        <w:rPr>
          <w:rFonts w:ascii="Arial" w:eastAsia="Calibri" w:hAnsi="Arial" w:cs="Arial"/>
          <w:sz w:val="22"/>
          <w:lang w:val="es-CO"/>
        </w:rPr>
      </w:pPr>
      <w:r w:rsidRPr="001D0F68">
        <w:rPr>
          <w:rFonts w:ascii="Arial" w:hAnsi="Arial" w:cs="Arial"/>
          <w:sz w:val="22"/>
          <w:lang w:val="es-CO"/>
        </w:rPr>
        <w:t>De todos modos, las Mipymes nacionales que pretendan participar en el proceso de selección deben acreditar mínimo un año de existencia, para lo cual deben presentar el certificado expedido por la cámara de comercio o por la autoridad que sea competente para dicha acreditación</w:t>
      </w:r>
      <w:r w:rsidRPr="001D0F68">
        <w:rPr>
          <w:rFonts w:ascii="Arial" w:hAnsi="Arial" w:cs="Arial"/>
          <w:sz w:val="22"/>
          <w:vertAlign w:val="superscript"/>
          <w:lang w:val="es-CO"/>
        </w:rPr>
        <w:footnoteReference w:id="19"/>
      </w:r>
      <w:r w:rsidRPr="001D0F68">
        <w:rPr>
          <w:rFonts w:ascii="Arial" w:hAnsi="Arial" w:cs="Arial"/>
          <w:sz w:val="22"/>
          <w:lang w:val="es-CO"/>
        </w:rPr>
        <w:t xml:space="preserve">. </w:t>
      </w:r>
    </w:p>
    <w:p w14:paraId="296A5503" w14:textId="7C3AC765" w:rsidR="008C487C" w:rsidRPr="001D0F68" w:rsidRDefault="008C487C" w:rsidP="008C487C">
      <w:pPr>
        <w:spacing w:before="120" w:line="276" w:lineRule="auto"/>
        <w:ind w:firstLine="708"/>
        <w:jc w:val="both"/>
        <w:rPr>
          <w:rFonts w:ascii="Arial" w:hAnsi="Arial" w:cs="Arial"/>
          <w:sz w:val="22"/>
          <w:lang w:val="es-CO"/>
        </w:rPr>
      </w:pPr>
      <w:r w:rsidRPr="001D0F68">
        <w:rPr>
          <w:rFonts w:ascii="Arial" w:hAnsi="Arial" w:cs="Arial"/>
          <w:sz w:val="22"/>
          <w:lang w:val="es-CO"/>
        </w:rPr>
        <w:t xml:space="preserve">b) Cumplidos los dos requisitos del artículo 2.2.1.2.4.2.2. </w:t>
      </w:r>
      <w:r w:rsidRPr="001D0F68">
        <w:rPr>
          <w:rFonts w:ascii="Arial" w:hAnsi="Arial" w:cs="Arial"/>
          <w:i/>
          <w:iCs/>
          <w:sz w:val="22"/>
          <w:lang w:val="es-CO"/>
        </w:rPr>
        <w:t>ib</w:t>
      </w:r>
      <w:r w:rsidR="00771C4C" w:rsidRPr="001D0F68">
        <w:rPr>
          <w:rFonts w:ascii="Arial" w:hAnsi="Arial" w:cs="Arial"/>
          <w:i/>
          <w:iCs/>
          <w:sz w:val="22"/>
          <w:lang w:val="es-CO"/>
        </w:rPr>
        <w:t>í</w:t>
      </w:r>
      <w:r w:rsidRPr="001D0F68">
        <w:rPr>
          <w:rFonts w:ascii="Arial" w:hAnsi="Arial" w:cs="Arial"/>
          <w:i/>
          <w:iCs/>
          <w:sz w:val="22"/>
          <w:lang w:val="es-CO"/>
        </w:rPr>
        <w:t>dem</w:t>
      </w:r>
      <w:r w:rsidRPr="001D0F68">
        <w:rPr>
          <w:rFonts w:ascii="Arial" w:hAnsi="Arial" w:cs="Arial"/>
          <w:sz w:val="22"/>
          <w:lang w:val="es-CO"/>
        </w:rPr>
        <w:t xml:space="preserve">, la entidad </w:t>
      </w:r>
      <w:proofErr w:type="gramStart"/>
      <w:r w:rsidRPr="001D0F68">
        <w:rPr>
          <w:rFonts w:ascii="Arial" w:hAnsi="Arial" w:cs="Arial"/>
          <w:sz w:val="22"/>
          <w:lang w:val="es-CO"/>
        </w:rPr>
        <w:t>puede  decidir</w:t>
      </w:r>
      <w:proofErr w:type="gramEnd"/>
      <w:r w:rsidRPr="001D0F68">
        <w:rPr>
          <w:rFonts w:ascii="Arial" w:hAnsi="Arial" w:cs="Arial"/>
          <w:sz w:val="22"/>
          <w:lang w:val="es-CO"/>
        </w:rPr>
        <w:t xml:space="preserve"> si limita la convocatoria a las Mipymes nacionales domiciliadas en el municipio o departamento en el que se ejecutará el contrato</w:t>
      </w:r>
      <w:r w:rsidR="00893947">
        <w:rPr>
          <w:rFonts w:ascii="Arial" w:hAnsi="Arial" w:cs="Arial"/>
          <w:sz w:val="22"/>
          <w:lang w:val="es-CO"/>
        </w:rPr>
        <w:t>, sin que esto sea obligatorio</w:t>
      </w:r>
      <w:r w:rsidRPr="001D0F68">
        <w:rPr>
          <w:rFonts w:ascii="Arial" w:hAnsi="Arial" w:cs="Arial"/>
          <w:sz w:val="22"/>
          <w:vertAlign w:val="superscript"/>
          <w:lang w:val="es-CO"/>
        </w:rPr>
        <w:footnoteReference w:id="20"/>
      </w:r>
      <w:r w:rsidRPr="001D0F68">
        <w:rPr>
          <w:rFonts w:ascii="Arial" w:hAnsi="Arial" w:cs="Arial"/>
          <w:sz w:val="22"/>
          <w:lang w:val="es-CO"/>
        </w:rPr>
        <w:t xml:space="preserve">. Esto de </w:t>
      </w:r>
      <w:r w:rsidRPr="001D0F68">
        <w:rPr>
          <w:rFonts w:ascii="Arial" w:hAnsi="Arial" w:cs="Arial"/>
          <w:sz w:val="22"/>
          <w:lang w:val="es-CO"/>
        </w:rPr>
        <w:lastRenderedPageBreak/>
        <w:t xml:space="preserve">acuerdo con lo establecido en artículo 2.2.1.2.4.2.3. del Decreto 1082 de 2015, norma que se refiere a la facultad de la administración con el verbo infinitivo «poder», no «deber». </w:t>
      </w:r>
    </w:p>
    <w:p w14:paraId="6F4C1FFD" w14:textId="77777777" w:rsidR="008C487C" w:rsidRPr="001D0F68" w:rsidRDefault="008C487C" w:rsidP="008C487C">
      <w:pPr>
        <w:spacing w:before="120" w:line="276" w:lineRule="auto"/>
        <w:ind w:firstLine="709"/>
        <w:jc w:val="both"/>
        <w:rPr>
          <w:rFonts w:ascii="Arial" w:eastAsia="Calibri" w:hAnsi="Arial" w:cs="Arial"/>
          <w:sz w:val="22"/>
          <w:lang w:val="es-CO"/>
        </w:rPr>
      </w:pPr>
      <w:r w:rsidRPr="001D0F68">
        <w:rPr>
          <w:rFonts w:ascii="Arial" w:eastAsia="Calibri" w:hAnsi="Arial" w:cs="Arial"/>
          <w:sz w:val="22"/>
          <w:lang w:val="es-CO"/>
        </w:rPr>
        <w:t xml:space="preserve">Colombia Compra Eficiente ha sostenido que es discrecional la decisión de limitar territorialmente una convocatoria de Mipymes,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w:t>
      </w:r>
      <w:r w:rsidRPr="001D0F68">
        <w:rPr>
          <w:rFonts w:ascii="Arial" w:hAnsi="Arial" w:cs="Arial"/>
          <w:sz w:val="22"/>
          <w:lang w:val="es-CO"/>
        </w:rPr>
        <w:t>artículo 2.2.1.2.4.2.3. del Decreto 1082 de 2015,</w:t>
      </w:r>
      <w:r w:rsidRPr="001D0F68">
        <w:rPr>
          <w:rFonts w:ascii="Arial" w:eastAsia="Calibri" w:hAnsi="Arial" w:cs="Arial"/>
          <w:sz w:val="22"/>
          <w:lang w:val="es-CO"/>
        </w:rPr>
        <w:t xml:space="preserve"> las Mipymes beneficiadas deben tener su domicilio principal en el municipio o departamento donde se ejecutará el contrato para poder participar en una convocatoria limitada territorialmente</w:t>
      </w:r>
      <w:r w:rsidRPr="001D0F68">
        <w:rPr>
          <w:rStyle w:val="Refdenotaalpie"/>
          <w:rFonts w:ascii="Arial" w:hAnsi="Arial" w:cs="Arial"/>
          <w:sz w:val="22"/>
          <w:lang w:val="es-CO"/>
        </w:rPr>
        <w:footnoteReference w:id="21"/>
      </w:r>
      <w:r w:rsidRPr="001D0F68">
        <w:rPr>
          <w:rFonts w:ascii="Arial" w:hAnsi="Arial" w:cs="Arial"/>
          <w:sz w:val="22"/>
          <w:lang w:val="es-CO"/>
        </w:rPr>
        <w:t>.</w:t>
      </w:r>
    </w:p>
    <w:p w14:paraId="49F380B5" w14:textId="77777777" w:rsidR="008C487C" w:rsidRPr="001D0F68" w:rsidRDefault="008C487C" w:rsidP="008C487C">
      <w:pPr>
        <w:spacing w:before="120" w:line="276" w:lineRule="auto"/>
        <w:ind w:firstLine="709"/>
        <w:jc w:val="both"/>
        <w:rPr>
          <w:rFonts w:ascii="Arial" w:eastAsia="Calibri" w:hAnsi="Arial" w:cs="Arial"/>
          <w:sz w:val="22"/>
          <w:lang w:val="es-CO"/>
        </w:rPr>
      </w:pPr>
      <w:r w:rsidRPr="001D0F68">
        <w:rPr>
          <w:rFonts w:ascii="Arial" w:eastAsia="Calibri" w:hAnsi="Arial" w:cs="Arial"/>
          <w:sz w:val="22"/>
          <w:lang w:val="es-CO"/>
        </w:rPr>
        <w:t>En suma, e</w:t>
      </w:r>
      <w:r w:rsidRPr="001D0F68">
        <w:rPr>
          <w:rFonts w:ascii="Arial" w:hAnsi="Arial" w:cs="Arial"/>
          <w:sz w:val="22"/>
          <w:lang w:val="es-CO"/>
        </w:rPr>
        <w:t xml:space="preserve">l Decreto 1082 de 2015 regula la limitación de convocatorias a Mipymes en dos normas distintas que deben leerse conjunta y armónicamente. Por un lado, el artículo </w:t>
      </w:r>
      <w:r w:rsidRPr="001D0F68">
        <w:rPr>
          <w:rFonts w:ascii="Arial" w:eastAsia="Calibri" w:hAnsi="Arial" w:cs="Arial"/>
          <w:sz w:val="22"/>
          <w:lang w:val="es-CO"/>
        </w:rPr>
        <w:t xml:space="preserve">2.2.1.2.4.2.2. </w:t>
      </w:r>
      <w:r w:rsidRPr="001D0F68">
        <w:rPr>
          <w:rFonts w:ascii="Arial" w:hAnsi="Arial" w:cs="Arial"/>
          <w:sz w:val="22"/>
          <w:lang w:val="es-CO"/>
        </w:rPr>
        <w:t xml:space="preserve">prevé los requisitos generales para que la entidad limite sus convocatorias a Mipymes nacionales. Por el otro, el artículo </w:t>
      </w:r>
      <w:r w:rsidRPr="001D0F68">
        <w:rPr>
          <w:rFonts w:ascii="Arial" w:eastAsia="Calibri" w:hAnsi="Arial" w:cs="Arial"/>
          <w:sz w:val="22"/>
          <w:lang w:val="es-CO"/>
        </w:rPr>
        <w:t xml:space="preserve">2.2.1.2.4.2.3. </w:t>
      </w:r>
      <w:r w:rsidRPr="001D0F68">
        <w:rPr>
          <w:rFonts w:ascii="Arial" w:hAnsi="Arial" w:cs="Arial"/>
          <w:sz w:val="22"/>
          <w:lang w:val="es-CO"/>
        </w:rPr>
        <w:t xml:space="preserve">establece la posibilidad de limitar la convocatoria a Mipymes nacionales domiciliadas en los departamentos o municipios en donde se va a ejecutar el contrato, por supuesto, siempre que la entidad así lo decida y solo si se cumplen las exigencias del artículo </w:t>
      </w:r>
      <w:r w:rsidRPr="001D0F68">
        <w:rPr>
          <w:rFonts w:ascii="Arial" w:eastAsia="Calibri" w:hAnsi="Arial" w:cs="Arial"/>
          <w:sz w:val="22"/>
          <w:lang w:val="es-CO"/>
        </w:rPr>
        <w:t>2.2.1.2.4.2.2.</w:t>
      </w:r>
    </w:p>
    <w:p w14:paraId="1D9D8176" w14:textId="2AD8C6AC" w:rsidR="008C487C" w:rsidRPr="001D0F68" w:rsidRDefault="008C487C" w:rsidP="008C487C">
      <w:pPr>
        <w:spacing w:before="120" w:line="276" w:lineRule="auto"/>
        <w:ind w:firstLine="709"/>
        <w:jc w:val="both"/>
        <w:rPr>
          <w:rFonts w:ascii="Arial" w:eastAsia="Calibri" w:hAnsi="Arial" w:cs="Arial"/>
          <w:sz w:val="22"/>
          <w:lang w:val="es-CO"/>
        </w:rPr>
      </w:pPr>
      <w:r w:rsidRPr="001D0F68">
        <w:rPr>
          <w:rFonts w:ascii="Arial" w:eastAsia="Calibri" w:hAnsi="Arial" w:cs="Arial"/>
          <w:sz w:val="22"/>
          <w:lang w:val="es-CO"/>
        </w:rPr>
        <w:t xml:space="preserve">Sin perjuicio de lo anterior, la Agencia Nacional de Contratación Pública </w:t>
      </w:r>
      <w:r w:rsidR="00B65290" w:rsidRPr="001D0F68">
        <w:rPr>
          <w:rFonts w:ascii="Arial" w:eastAsia="Calibri" w:hAnsi="Arial" w:cs="Arial"/>
          <w:sz w:val="22"/>
          <w:lang w:val="es-CO"/>
        </w:rPr>
        <w:t xml:space="preserve">– Colombia Compra Eficiente </w:t>
      </w:r>
      <w:r w:rsidRPr="001D0F68">
        <w:rPr>
          <w:rFonts w:ascii="Arial" w:eastAsia="Calibri" w:hAnsi="Arial" w:cs="Arial"/>
          <w:sz w:val="22"/>
          <w:lang w:val="es-CO"/>
        </w:rPr>
        <w:t xml:space="preserve">considera que lo recomendable es que las entidades establezcan </w:t>
      </w:r>
      <w:r w:rsidRPr="001D0F68">
        <w:rPr>
          <w:rFonts w:ascii="Arial" w:eastAsia="Calibri" w:hAnsi="Arial" w:cs="Arial"/>
          <w:i/>
          <w:iCs/>
          <w:sz w:val="22"/>
          <w:lang w:val="es-CO"/>
        </w:rPr>
        <w:t xml:space="preserve">ex ante </w:t>
      </w:r>
      <w:r w:rsidRPr="001D0F68">
        <w:rPr>
          <w:rFonts w:ascii="Arial" w:eastAsia="Calibri" w:hAnsi="Arial" w:cs="Arial"/>
          <w:sz w:val="22"/>
          <w:lang w:val="es-CO"/>
        </w:rPr>
        <w:t xml:space="preserve">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w:t>
      </w:r>
      <w:r w:rsidR="00B65290" w:rsidRPr="001D0F68">
        <w:rPr>
          <w:rFonts w:ascii="Arial" w:eastAsia="Calibri" w:hAnsi="Arial" w:cs="Arial"/>
          <w:sz w:val="22"/>
          <w:lang w:val="es-CO"/>
        </w:rPr>
        <w:t>en que se cumplan los presupuestos para ser</w:t>
      </w:r>
      <w:r w:rsidRPr="001D0F68">
        <w:rPr>
          <w:rFonts w:ascii="Arial" w:eastAsia="Calibri" w:hAnsi="Arial" w:cs="Arial"/>
          <w:sz w:val="22"/>
          <w:lang w:val="es-CO"/>
        </w:rPr>
        <w:t xml:space="preserve"> limitada a Mipymes, </w:t>
      </w:r>
      <w:r w:rsidR="00803D6A" w:rsidRPr="001D0F68">
        <w:rPr>
          <w:rFonts w:ascii="Arial" w:eastAsia="Calibri" w:hAnsi="Arial" w:cs="Arial"/>
          <w:sz w:val="22"/>
          <w:lang w:val="es-CO"/>
        </w:rPr>
        <w:t>como,</w:t>
      </w:r>
      <w:r w:rsidRPr="001D0F68">
        <w:rPr>
          <w:rFonts w:ascii="Arial" w:eastAsia="Calibri" w:hAnsi="Arial" w:cs="Arial"/>
          <w:sz w:val="22"/>
          <w:lang w:val="es-CO"/>
        </w:rPr>
        <w:t xml:space="preserve"> por ejemplo, en relación con cuál o cuáles municipios o departamentos harían la limitación territorial de que trata el artículo 2.2.1.2.4.2.3. del Decreto 1082 de 2015.</w:t>
      </w:r>
    </w:p>
    <w:p w14:paraId="0844E612" w14:textId="563AECF8" w:rsidR="00DD0E98" w:rsidRPr="001D0F68" w:rsidRDefault="00DD0E98" w:rsidP="00DD0E98">
      <w:pPr>
        <w:jc w:val="both"/>
        <w:rPr>
          <w:rFonts w:ascii="Arial" w:eastAsia="Calibri" w:hAnsi="Arial" w:cs="Arial"/>
          <w:sz w:val="22"/>
          <w:lang w:val="es-CO"/>
        </w:rPr>
      </w:pPr>
    </w:p>
    <w:p w14:paraId="2DA1DB48" w14:textId="760060EE" w:rsidR="00DD0E98" w:rsidRPr="001D0F68" w:rsidRDefault="00DD0E98" w:rsidP="00882ABB">
      <w:pPr>
        <w:spacing w:line="276" w:lineRule="auto"/>
        <w:jc w:val="both"/>
        <w:rPr>
          <w:rFonts w:ascii="Arial" w:eastAsia="Calibri" w:hAnsi="Arial" w:cs="Arial"/>
          <w:b/>
          <w:bCs/>
          <w:sz w:val="22"/>
          <w:lang w:val="es-CO"/>
        </w:rPr>
      </w:pPr>
      <w:r w:rsidRPr="001D0F68">
        <w:rPr>
          <w:rFonts w:ascii="Arial" w:eastAsia="Calibri" w:hAnsi="Arial" w:cs="Arial"/>
          <w:b/>
          <w:bCs/>
          <w:sz w:val="22"/>
          <w:lang w:val="es-CO"/>
        </w:rPr>
        <w:t>2.</w:t>
      </w:r>
      <w:r w:rsidR="00936A0F">
        <w:rPr>
          <w:rFonts w:ascii="Arial" w:eastAsia="Calibri" w:hAnsi="Arial" w:cs="Arial"/>
          <w:b/>
          <w:bCs/>
          <w:sz w:val="22"/>
          <w:lang w:val="es-CO"/>
        </w:rPr>
        <w:t>3</w:t>
      </w:r>
      <w:r w:rsidRPr="001D0F68">
        <w:rPr>
          <w:rFonts w:ascii="Arial" w:eastAsia="Calibri" w:hAnsi="Arial" w:cs="Arial"/>
          <w:b/>
          <w:bCs/>
          <w:sz w:val="22"/>
          <w:lang w:val="es-CO"/>
        </w:rPr>
        <w:t xml:space="preserve">. Participación de las ESAL en los procesos contractuales limitados a </w:t>
      </w:r>
      <w:proofErr w:type="spellStart"/>
      <w:r w:rsidRPr="001D0F68">
        <w:rPr>
          <w:rFonts w:ascii="Arial" w:eastAsia="Calibri" w:hAnsi="Arial" w:cs="Arial"/>
          <w:b/>
          <w:bCs/>
          <w:sz w:val="22"/>
          <w:lang w:val="es-CO"/>
        </w:rPr>
        <w:t>Mipyme</w:t>
      </w:r>
      <w:proofErr w:type="spellEnd"/>
    </w:p>
    <w:p w14:paraId="3E7C6050" w14:textId="3FF17383" w:rsidR="008C487C" w:rsidRPr="001D0F68" w:rsidRDefault="008C487C" w:rsidP="008C487C">
      <w:pPr>
        <w:spacing w:line="276" w:lineRule="auto"/>
        <w:ind w:left="709" w:right="709"/>
        <w:jc w:val="both"/>
        <w:rPr>
          <w:rFonts w:ascii="Arial" w:hAnsi="Arial" w:cs="Arial"/>
          <w:sz w:val="21"/>
          <w:szCs w:val="21"/>
          <w:lang w:val="es-CO"/>
        </w:rPr>
      </w:pPr>
    </w:p>
    <w:p w14:paraId="5FE5F143" w14:textId="35EAF084" w:rsidR="00DD0E98" w:rsidRPr="001D0F68" w:rsidRDefault="00430B5A" w:rsidP="00DD0E98">
      <w:pPr>
        <w:spacing w:line="276" w:lineRule="auto"/>
        <w:ind w:right="49"/>
        <w:jc w:val="both"/>
        <w:rPr>
          <w:rFonts w:ascii="Arial" w:hAnsi="Arial" w:cs="Arial"/>
          <w:sz w:val="22"/>
          <w:lang w:val="es-CO"/>
        </w:rPr>
      </w:pPr>
      <w:r w:rsidRPr="001D0F68">
        <w:rPr>
          <w:rFonts w:ascii="Arial" w:hAnsi="Arial" w:cs="Arial"/>
          <w:sz w:val="22"/>
          <w:lang w:val="es-CO"/>
        </w:rPr>
        <w:t>El artículo 2 de l</w:t>
      </w:r>
      <w:r w:rsidR="00DD0E98" w:rsidRPr="001D0F68">
        <w:rPr>
          <w:rFonts w:ascii="Arial" w:hAnsi="Arial" w:cs="Arial"/>
          <w:sz w:val="22"/>
          <w:lang w:val="es-CO"/>
        </w:rPr>
        <w:t xml:space="preserve">a ley 590 de 2000, </w:t>
      </w:r>
      <w:r w:rsidRPr="001D0F68">
        <w:rPr>
          <w:rFonts w:ascii="Arial" w:hAnsi="Arial" w:cs="Arial"/>
          <w:sz w:val="22"/>
          <w:lang w:val="es-CO"/>
        </w:rPr>
        <w:t>como se dijo en el numeral anterior</w:t>
      </w:r>
      <w:r w:rsidR="00DD0E98" w:rsidRPr="001D0F68">
        <w:rPr>
          <w:rFonts w:ascii="Arial" w:hAnsi="Arial" w:cs="Arial"/>
          <w:sz w:val="22"/>
          <w:lang w:val="es-CO"/>
        </w:rPr>
        <w:t xml:space="preserve">, define </w:t>
      </w:r>
      <w:r w:rsidR="00286834" w:rsidRPr="001D0F68">
        <w:rPr>
          <w:rFonts w:ascii="Arial" w:hAnsi="Arial" w:cs="Arial"/>
          <w:sz w:val="22"/>
          <w:lang w:val="es-CO"/>
        </w:rPr>
        <w:t>la</w:t>
      </w:r>
      <w:r w:rsidR="00DD0E98" w:rsidRPr="001D0F68">
        <w:rPr>
          <w:rFonts w:ascii="Arial" w:hAnsi="Arial" w:cs="Arial"/>
          <w:sz w:val="22"/>
          <w:lang w:val="es-CO"/>
        </w:rPr>
        <w:t xml:space="preserve"> </w:t>
      </w:r>
      <w:r w:rsidR="00DD0E98" w:rsidRPr="001D0F68">
        <w:rPr>
          <w:rFonts w:ascii="Arial" w:hAnsi="Arial" w:cs="Arial"/>
          <w:i/>
          <w:iCs/>
          <w:sz w:val="22"/>
          <w:lang w:val="es-CO"/>
        </w:rPr>
        <w:t>empresa</w:t>
      </w:r>
      <w:r w:rsidR="00DD0E98" w:rsidRPr="001D0F68">
        <w:rPr>
          <w:rFonts w:ascii="Arial" w:hAnsi="Arial" w:cs="Arial"/>
          <w:sz w:val="22"/>
          <w:lang w:val="es-CO"/>
        </w:rPr>
        <w:t xml:space="preserve"> como toda unidad de explotación económica que realiza una persona natural o jurídica en actividades agropecuarias, industriales, comerciales o de servicios. Además, establece que </w:t>
      </w:r>
      <w:r w:rsidR="00286834" w:rsidRPr="001D0F68">
        <w:rPr>
          <w:rFonts w:ascii="Arial" w:hAnsi="Arial" w:cs="Arial"/>
          <w:sz w:val="22"/>
          <w:lang w:val="es-CO"/>
        </w:rPr>
        <w:t>esta</w:t>
      </w:r>
      <w:r w:rsidR="00803D6A" w:rsidRPr="001D0F68">
        <w:rPr>
          <w:rFonts w:ascii="Arial" w:hAnsi="Arial" w:cs="Arial"/>
          <w:sz w:val="22"/>
          <w:lang w:val="es-CO"/>
        </w:rPr>
        <w:t>s</w:t>
      </w:r>
      <w:r w:rsidR="00DD0E98" w:rsidRPr="001D0F68">
        <w:rPr>
          <w:rFonts w:ascii="Arial" w:hAnsi="Arial" w:cs="Arial"/>
          <w:sz w:val="22"/>
          <w:lang w:val="es-CO"/>
        </w:rPr>
        <w:t xml:space="preserve"> se clasifican en micro, mediana y gran empresa de acuerdo con los criterios del número de trabajadores totales, valor de ventas brutales anuales y valor de activos totales.</w:t>
      </w:r>
    </w:p>
    <w:p w14:paraId="7620BCD2" w14:textId="19E7415F" w:rsidR="00DD0E98" w:rsidRPr="001D0F68" w:rsidRDefault="00430B5A" w:rsidP="00430B5A">
      <w:pPr>
        <w:spacing w:before="120" w:line="276" w:lineRule="auto"/>
        <w:ind w:right="51" w:firstLine="709"/>
        <w:jc w:val="both"/>
        <w:rPr>
          <w:rFonts w:ascii="Arial" w:hAnsi="Arial" w:cs="Arial"/>
          <w:sz w:val="22"/>
          <w:lang w:val="es-CO"/>
        </w:rPr>
      </w:pPr>
      <w:r w:rsidRPr="001D0F68">
        <w:rPr>
          <w:rFonts w:ascii="Arial" w:hAnsi="Arial" w:cs="Arial"/>
          <w:sz w:val="22"/>
          <w:lang w:val="es-CO"/>
        </w:rPr>
        <w:lastRenderedPageBreak/>
        <w:t>L</w:t>
      </w:r>
      <w:r w:rsidR="00DD0E98" w:rsidRPr="001D0F68">
        <w:rPr>
          <w:rFonts w:ascii="Arial" w:hAnsi="Arial" w:cs="Arial"/>
          <w:sz w:val="22"/>
          <w:lang w:val="es-CO"/>
        </w:rPr>
        <w:t>as Mipymes son empresas</w:t>
      </w:r>
      <w:r w:rsidRPr="001D0F68">
        <w:rPr>
          <w:rFonts w:ascii="Arial" w:hAnsi="Arial" w:cs="Arial"/>
          <w:sz w:val="22"/>
          <w:lang w:val="es-CO"/>
        </w:rPr>
        <w:t xml:space="preserve"> que tienen una actividad económica organizada para la producción, transformación, circulación, administración o custodia de bienes, o para la prestación de servicios</w:t>
      </w:r>
      <w:r w:rsidR="00DD0E98" w:rsidRPr="001D0F68">
        <w:rPr>
          <w:rFonts w:ascii="Arial" w:hAnsi="Arial" w:cs="Arial"/>
          <w:sz w:val="22"/>
          <w:lang w:val="es-CO"/>
        </w:rPr>
        <w:t xml:space="preserve">, </w:t>
      </w:r>
      <w:r w:rsidR="00803D6A" w:rsidRPr="001D0F68">
        <w:rPr>
          <w:rFonts w:ascii="Arial" w:hAnsi="Arial" w:cs="Arial"/>
          <w:sz w:val="22"/>
          <w:lang w:val="es-CO"/>
        </w:rPr>
        <w:t>de acuerdo con</w:t>
      </w:r>
      <w:r w:rsidRPr="001D0F68">
        <w:rPr>
          <w:rFonts w:ascii="Arial" w:hAnsi="Arial" w:cs="Arial"/>
          <w:sz w:val="22"/>
          <w:lang w:val="es-CO"/>
        </w:rPr>
        <w:t xml:space="preserve"> lo dispuesto en </w:t>
      </w:r>
      <w:r w:rsidR="00DD0E98" w:rsidRPr="001D0F68">
        <w:rPr>
          <w:rFonts w:ascii="Arial" w:hAnsi="Arial" w:cs="Arial"/>
          <w:sz w:val="22"/>
          <w:lang w:val="es-CO"/>
        </w:rPr>
        <w:t>el artículo 25 del Código de Comercio. La empresa se forma a través de un contrato de sociedad por medio del cual</w:t>
      </w:r>
      <w:r w:rsidR="00DD0E98" w:rsidRPr="001D0F68">
        <w:rPr>
          <w:sz w:val="22"/>
          <w:lang w:val="es-CO"/>
        </w:rPr>
        <w:t xml:space="preserve"> </w:t>
      </w:r>
      <w:r w:rsidR="00DD0E98" w:rsidRPr="001D0F68">
        <w:rPr>
          <w:rFonts w:ascii="Arial" w:hAnsi="Arial" w:cs="Arial"/>
          <w:sz w:val="22"/>
          <w:lang w:val="es-CO"/>
        </w:rPr>
        <w:t>dos o más personas se obligan a hacer un aporte en dinero, en trabajo o en otros bienes apreciables en dinero con el fin de repartirse entre sí las utilidades obtenidas en la empresa</w:t>
      </w:r>
      <w:r w:rsidRPr="001D0F68">
        <w:rPr>
          <w:rFonts w:ascii="Arial" w:hAnsi="Arial" w:cs="Arial"/>
          <w:sz w:val="22"/>
          <w:lang w:val="es-CO"/>
        </w:rPr>
        <w:t xml:space="preserve">, según el artículo 98 </w:t>
      </w:r>
      <w:r w:rsidRPr="001D0F68">
        <w:rPr>
          <w:rFonts w:ascii="Arial" w:hAnsi="Arial" w:cs="Arial"/>
          <w:i/>
          <w:iCs/>
          <w:sz w:val="22"/>
          <w:lang w:val="es-CO"/>
        </w:rPr>
        <w:t>ibidem</w:t>
      </w:r>
      <w:r w:rsidRPr="001D0F68">
        <w:rPr>
          <w:rFonts w:ascii="Arial" w:hAnsi="Arial" w:cs="Arial"/>
          <w:sz w:val="22"/>
          <w:lang w:val="es-CO"/>
        </w:rPr>
        <w:t>.</w:t>
      </w:r>
      <w:r w:rsidR="00DD0E98" w:rsidRPr="001D0F68">
        <w:rPr>
          <w:rFonts w:ascii="Arial" w:hAnsi="Arial" w:cs="Arial"/>
          <w:sz w:val="22"/>
          <w:lang w:val="es-CO"/>
        </w:rPr>
        <w:t xml:space="preserve"> </w:t>
      </w:r>
      <w:r w:rsidRPr="001D0F68">
        <w:rPr>
          <w:rFonts w:ascii="Arial" w:hAnsi="Arial" w:cs="Arial"/>
          <w:sz w:val="22"/>
          <w:lang w:val="es-CO"/>
        </w:rPr>
        <w:t xml:space="preserve">En ese sentido, puede decirse que </w:t>
      </w:r>
      <w:r w:rsidR="00DD0E98" w:rsidRPr="001D0F68">
        <w:rPr>
          <w:rFonts w:ascii="Arial" w:hAnsi="Arial" w:cs="Arial"/>
          <w:sz w:val="22"/>
          <w:lang w:val="es-CO"/>
        </w:rPr>
        <w:t>será</w:t>
      </w:r>
      <w:r w:rsidRPr="001D0F68">
        <w:rPr>
          <w:rFonts w:ascii="Arial" w:hAnsi="Arial" w:cs="Arial"/>
          <w:sz w:val="22"/>
          <w:lang w:val="es-CO"/>
        </w:rPr>
        <w:t>n</w:t>
      </w:r>
      <w:r w:rsidR="00DD0E98" w:rsidRPr="001D0F68">
        <w:rPr>
          <w:rFonts w:ascii="Arial" w:hAnsi="Arial" w:cs="Arial"/>
          <w:sz w:val="22"/>
          <w:lang w:val="es-CO"/>
        </w:rPr>
        <w:t xml:space="preserve"> sociedad</w:t>
      </w:r>
      <w:r w:rsidRPr="001D0F68">
        <w:rPr>
          <w:rFonts w:ascii="Arial" w:hAnsi="Arial" w:cs="Arial"/>
          <w:sz w:val="22"/>
          <w:lang w:val="es-CO"/>
        </w:rPr>
        <w:t>es</w:t>
      </w:r>
      <w:r w:rsidR="00DD0E98" w:rsidRPr="001D0F68">
        <w:rPr>
          <w:rFonts w:ascii="Arial" w:hAnsi="Arial" w:cs="Arial"/>
          <w:sz w:val="22"/>
          <w:lang w:val="es-CO"/>
        </w:rPr>
        <w:t xml:space="preserve"> comercial</w:t>
      </w:r>
      <w:r w:rsidRPr="001D0F68">
        <w:rPr>
          <w:rFonts w:ascii="Arial" w:hAnsi="Arial" w:cs="Arial"/>
          <w:sz w:val="22"/>
          <w:lang w:val="es-CO"/>
        </w:rPr>
        <w:t xml:space="preserve">es aquellas </w:t>
      </w:r>
      <w:r w:rsidR="00DD0E98" w:rsidRPr="001D0F68">
        <w:rPr>
          <w:rFonts w:ascii="Arial" w:hAnsi="Arial" w:cs="Arial"/>
          <w:sz w:val="22"/>
          <w:lang w:val="es-CO"/>
        </w:rPr>
        <w:t>que ejecuten actos o empresas mercantiles</w:t>
      </w:r>
      <w:r w:rsidRPr="001D0F68">
        <w:rPr>
          <w:rFonts w:ascii="Arial" w:hAnsi="Arial" w:cs="Arial"/>
          <w:sz w:val="22"/>
          <w:lang w:val="es-CO"/>
        </w:rPr>
        <w:t xml:space="preserve">, en los términos señalados en el artículo </w:t>
      </w:r>
      <w:r w:rsidR="00286834" w:rsidRPr="001D0F68">
        <w:rPr>
          <w:rFonts w:ascii="Arial" w:hAnsi="Arial" w:cs="Arial"/>
          <w:sz w:val="22"/>
          <w:lang w:val="es-CO"/>
        </w:rPr>
        <w:t>100</w:t>
      </w:r>
      <w:r w:rsidRPr="001D0F68">
        <w:rPr>
          <w:rFonts w:ascii="Arial" w:hAnsi="Arial" w:cs="Arial"/>
          <w:sz w:val="22"/>
          <w:lang w:val="es-CO"/>
        </w:rPr>
        <w:t xml:space="preserve"> del Código de Comercio</w:t>
      </w:r>
      <w:r w:rsidRPr="001D0F68">
        <w:rPr>
          <w:rStyle w:val="Refdenotaalpie"/>
          <w:rFonts w:ascii="Arial" w:hAnsi="Arial" w:cs="Arial"/>
          <w:sz w:val="22"/>
          <w:lang w:val="es-CO"/>
        </w:rPr>
        <w:footnoteReference w:id="22"/>
      </w:r>
      <w:r w:rsidR="00DD0E98" w:rsidRPr="001D0F68">
        <w:rPr>
          <w:rFonts w:ascii="Arial" w:hAnsi="Arial" w:cs="Arial"/>
          <w:sz w:val="22"/>
          <w:lang w:val="es-CO"/>
        </w:rPr>
        <w:t>.</w:t>
      </w:r>
    </w:p>
    <w:p w14:paraId="13378188" w14:textId="6BC6C9A5" w:rsidR="00DD0E98" w:rsidRPr="001D0F68" w:rsidRDefault="00DD0E98" w:rsidP="00E87794">
      <w:pPr>
        <w:spacing w:before="120" w:line="276" w:lineRule="auto"/>
        <w:ind w:right="51" w:firstLine="709"/>
        <w:jc w:val="both"/>
        <w:rPr>
          <w:rFonts w:ascii="Arial" w:hAnsi="Arial" w:cs="Arial"/>
          <w:sz w:val="22"/>
          <w:lang w:val="es-CO"/>
        </w:rPr>
      </w:pPr>
      <w:r w:rsidRPr="001D0F68">
        <w:rPr>
          <w:rFonts w:ascii="Arial" w:hAnsi="Arial" w:cs="Arial"/>
          <w:sz w:val="22"/>
          <w:lang w:val="es-CO"/>
        </w:rPr>
        <w:t>El Libro Segundo del Código de Comercio no incluye a las corporaciones o asociaciones ni a las fundaciones</w:t>
      </w:r>
      <w:r w:rsidR="00430B5A" w:rsidRPr="001D0F68">
        <w:rPr>
          <w:rFonts w:ascii="Arial" w:hAnsi="Arial" w:cs="Arial"/>
          <w:sz w:val="22"/>
          <w:lang w:val="es-CO"/>
        </w:rPr>
        <w:t xml:space="preserve">, esto es, </w:t>
      </w:r>
      <w:r w:rsidRPr="001D0F68">
        <w:rPr>
          <w:rFonts w:ascii="Arial" w:hAnsi="Arial" w:cs="Arial"/>
          <w:sz w:val="22"/>
          <w:lang w:val="es-CO"/>
        </w:rPr>
        <w:t>a las ESAL</w:t>
      </w:r>
      <w:r w:rsidR="00E87794" w:rsidRPr="001D0F68">
        <w:rPr>
          <w:rFonts w:ascii="Arial" w:hAnsi="Arial" w:cs="Arial"/>
          <w:sz w:val="22"/>
          <w:lang w:val="es-CO"/>
        </w:rPr>
        <w:t>,</w:t>
      </w:r>
      <w:r w:rsidR="00430B5A" w:rsidRPr="001D0F68">
        <w:rPr>
          <w:rFonts w:ascii="Arial" w:hAnsi="Arial" w:cs="Arial"/>
          <w:sz w:val="22"/>
          <w:lang w:val="es-CO"/>
        </w:rPr>
        <w:t xml:space="preserve"> en la enumeración de las sociedades comerciales</w:t>
      </w:r>
      <w:r w:rsidRPr="001D0F68">
        <w:rPr>
          <w:rFonts w:ascii="Arial" w:hAnsi="Arial" w:cs="Arial"/>
          <w:sz w:val="22"/>
          <w:lang w:val="es-CO"/>
        </w:rPr>
        <w:t>. La razón de la exclusión</w:t>
      </w:r>
      <w:r w:rsidR="00E87794" w:rsidRPr="001D0F68">
        <w:rPr>
          <w:rFonts w:ascii="Arial" w:hAnsi="Arial" w:cs="Arial"/>
          <w:sz w:val="22"/>
          <w:lang w:val="es-CO"/>
        </w:rPr>
        <w:t>, a nuestro juicio,</w:t>
      </w:r>
      <w:r w:rsidRPr="001D0F68">
        <w:rPr>
          <w:rFonts w:ascii="Arial" w:hAnsi="Arial" w:cs="Arial"/>
          <w:sz w:val="22"/>
          <w:lang w:val="es-CO"/>
        </w:rPr>
        <w:t xml:space="preserve"> es obvia: estas organizaciones no tienen fines comerciales, es decir, carecen de ánimo de lucro, por eso no forman un tipo o clase de sociedad comercial</w:t>
      </w:r>
      <w:r w:rsidR="00E87794" w:rsidRPr="001D0F68">
        <w:rPr>
          <w:rStyle w:val="Refdenotaalpie"/>
          <w:rFonts w:ascii="Arial" w:hAnsi="Arial" w:cs="Arial"/>
          <w:sz w:val="22"/>
          <w:lang w:val="es-CO"/>
        </w:rPr>
        <w:footnoteReference w:id="23"/>
      </w:r>
      <w:r w:rsidRPr="001D0F68">
        <w:rPr>
          <w:rFonts w:ascii="Arial" w:hAnsi="Arial" w:cs="Arial"/>
          <w:sz w:val="22"/>
          <w:lang w:val="es-CO"/>
        </w:rPr>
        <w:t>.</w:t>
      </w:r>
      <w:r w:rsidR="00E87794" w:rsidRPr="001D0F68">
        <w:rPr>
          <w:rFonts w:ascii="Arial" w:hAnsi="Arial" w:cs="Arial"/>
          <w:sz w:val="22"/>
          <w:lang w:val="es-CO"/>
        </w:rPr>
        <w:t xml:space="preserve"> La norma que regula este tipo de corporaciones o asociaciones es </w:t>
      </w:r>
      <w:r w:rsidRPr="001D0F68">
        <w:rPr>
          <w:rFonts w:ascii="Arial" w:hAnsi="Arial" w:cs="Arial"/>
          <w:sz w:val="22"/>
          <w:lang w:val="es-CO"/>
        </w:rPr>
        <w:t xml:space="preserve">el Código Civil –entre otras normas que se armonizan con él–, </w:t>
      </w:r>
      <w:r w:rsidR="00E87794" w:rsidRPr="001D0F68">
        <w:rPr>
          <w:rFonts w:ascii="Arial" w:hAnsi="Arial" w:cs="Arial"/>
          <w:sz w:val="22"/>
          <w:lang w:val="es-CO"/>
        </w:rPr>
        <w:t xml:space="preserve">de lo que se sigue que </w:t>
      </w:r>
      <w:r w:rsidRPr="001D0F68">
        <w:rPr>
          <w:rFonts w:ascii="Arial" w:hAnsi="Arial" w:cs="Arial"/>
          <w:sz w:val="22"/>
          <w:lang w:val="es-CO"/>
        </w:rPr>
        <w:t>no constituyen formas de sociedad comercial sino formas de organización civil, con fines esencialmente altruistas o de interés general, que se conforman entre personas que tienen como finalidad contribuir con su esfuerzo, y hasta con sus bienes, a ayudar a la comunidad</w:t>
      </w:r>
      <w:r w:rsidR="006135E6" w:rsidRPr="001D0F68">
        <w:rPr>
          <w:rStyle w:val="Refdenotaalpie"/>
          <w:rFonts w:ascii="Arial" w:hAnsi="Arial" w:cs="Arial"/>
          <w:sz w:val="22"/>
          <w:lang w:val="es-CO"/>
        </w:rPr>
        <w:footnoteReference w:id="24"/>
      </w:r>
      <w:r w:rsidRPr="001D0F68">
        <w:rPr>
          <w:rFonts w:ascii="Arial" w:hAnsi="Arial" w:cs="Arial"/>
          <w:sz w:val="22"/>
          <w:lang w:val="es-CO"/>
        </w:rPr>
        <w:t>. La ausencia de ánimo de lucro es</w:t>
      </w:r>
      <w:r w:rsidR="002B4B30" w:rsidRPr="001D0F68">
        <w:rPr>
          <w:rFonts w:ascii="Arial" w:hAnsi="Arial" w:cs="Arial"/>
          <w:sz w:val="22"/>
          <w:lang w:val="es-CO"/>
        </w:rPr>
        <w:t>, entonces,</w:t>
      </w:r>
      <w:r w:rsidRPr="001D0F68">
        <w:rPr>
          <w:rFonts w:ascii="Arial" w:hAnsi="Arial" w:cs="Arial"/>
          <w:sz w:val="22"/>
          <w:lang w:val="es-CO"/>
        </w:rPr>
        <w:t xml:space="preserve"> </w:t>
      </w:r>
      <w:r w:rsidRPr="001D0F68">
        <w:rPr>
          <w:rFonts w:ascii="Arial" w:hAnsi="Arial" w:cs="Arial"/>
          <w:sz w:val="22"/>
          <w:lang w:val="es-CO"/>
        </w:rPr>
        <w:lastRenderedPageBreak/>
        <w:t xml:space="preserve">la característica determinante de estas </w:t>
      </w:r>
      <w:r w:rsidR="002B4B30" w:rsidRPr="001D0F68">
        <w:rPr>
          <w:rFonts w:ascii="Arial" w:hAnsi="Arial" w:cs="Arial"/>
          <w:sz w:val="22"/>
          <w:lang w:val="es-CO"/>
        </w:rPr>
        <w:t xml:space="preserve">corporaciones u </w:t>
      </w:r>
      <w:r w:rsidRPr="001D0F68">
        <w:rPr>
          <w:rFonts w:ascii="Arial" w:hAnsi="Arial" w:cs="Arial"/>
          <w:sz w:val="22"/>
          <w:lang w:val="es-CO"/>
        </w:rPr>
        <w:t>organizaciones</w:t>
      </w:r>
      <w:r w:rsidR="00B91993">
        <w:rPr>
          <w:rFonts w:ascii="Arial" w:hAnsi="Arial" w:cs="Arial"/>
          <w:sz w:val="22"/>
          <w:lang w:val="es-CO"/>
        </w:rPr>
        <w:t>, lo que explica su nombre</w:t>
      </w:r>
      <w:r w:rsidRPr="001D0F68">
        <w:rPr>
          <w:rFonts w:ascii="Arial" w:hAnsi="Arial" w:cs="Arial"/>
          <w:sz w:val="22"/>
          <w:lang w:val="es-CO"/>
        </w:rPr>
        <w:t>, y la diferencia fundamental con las sociedades comerciales.</w:t>
      </w:r>
    </w:p>
    <w:p w14:paraId="537105AA" w14:textId="3CA12D9A" w:rsidR="00DD0E98" w:rsidRPr="001D0F68" w:rsidRDefault="00972C13" w:rsidP="002B4B30">
      <w:pPr>
        <w:spacing w:before="120" w:line="276" w:lineRule="auto"/>
        <w:ind w:right="51" w:firstLine="709"/>
        <w:jc w:val="both"/>
        <w:rPr>
          <w:rFonts w:ascii="Arial" w:hAnsi="Arial" w:cs="Arial"/>
          <w:sz w:val="22"/>
          <w:lang w:val="es-CO"/>
        </w:rPr>
      </w:pPr>
      <w:r w:rsidRPr="001D0F68">
        <w:rPr>
          <w:rFonts w:ascii="Arial" w:hAnsi="Arial" w:cs="Arial"/>
          <w:sz w:val="22"/>
          <w:lang w:val="es-CO"/>
        </w:rPr>
        <w:t>Q</w:t>
      </w:r>
      <w:r w:rsidR="002B4B30" w:rsidRPr="001D0F68">
        <w:rPr>
          <w:rFonts w:ascii="Arial" w:hAnsi="Arial" w:cs="Arial"/>
          <w:sz w:val="22"/>
          <w:lang w:val="es-CO"/>
        </w:rPr>
        <w:t xml:space="preserve">ue </w:t>
      </w:r>
      <w:r w:rsidR="00DD0E98" w:rsidRPr="001D0F68">
        <w:rPr>
          <w:rFonts w:ascii="Arial" w:hAnsi="Arial" w:cs="Arial"/>
          <w:sz w:val="22"/>
          <w:lang w:val="es-CO"/>
        </w:rPr>
        <w:t>una ESAL no sea una forma de sociedad comercial se infiere</w:t>
      </w:r>
      <w:r w:rsidRPr="001D0F68">
        <w:rPr>
          <w:rFonts w:ascii="Arial" w:hAnsi="Arial" w:cs="Arial"/>
          <w:sz w:val="22"/>
          <w:lang w:val="es-CO"/>
        </w:rPr>
        <w:t xml:space="preserve"> igualmente </w:t>
      </w:r>
      <w:r w:rsidR="00DD0E98" w:rsidRPr="001D0F68">
        <w:rPr>
          <w:rFonts w:ascii="Arial" w:hAnsi="Arial" w:cs="Arial"/>
          <w:sz w:val="22"/>
          <w:lang w:val="es-CO"/>
        </w:rPr>
        <w:t xml:space="preserve">de los requisitos que exige el </w:t>
      </w:r>
      <w:r w:rsidR="002B4B30" w:rsidRPr="001D0F68">
        <w:rPr>
          <w:rFonts w:ascii="Arial" w:hAnsi="Arial" w:cs="Arial"/>
          <w:sz w:val="22"/>
          <w:lang w:val="es-CO"/>
        </w:rPr>
        <w:t xml:space="preserve">artículo </w:t>
      </w:r>
      <w:r w:rsidR="00DD0E98" w:rsidRPr="001D0F68">
        <w:rPr>
          <w:rFonts w:ascii="Arial" w:hAnsi="Arial" w:cs="Arial"/>
          <w:sz w:val="22"/>
          <w:lang w:val="es-CO"/>
        </w:rPr>
        <w:t>98 del Código de Comercio, concretamente del previsto al final del inciso primero</w:t>
      </w:r>
      <w:r w:rsidR="00A178B9">
        <w:rPr>
          <w:rFonts w:ascii="Arial" w:hAnsi="Arial" w:cs="Arial"/>
          <w:sz w:val="22"/>
          <w:lang w:val="es-CO"/>
        </w:rPr>
        <w:t xml:space="preserve"> relacionado con su</w:t>
      </w:r>
      <w:r w:rsidR="00DD0E98" w:rsidRPr="001D0F68">
        <w:rPr>
          <w:rFonts w:ascii="Arial" w:hAnsi="Arial" w:cs="Arial"/>
          <w:sz w:val="22"/>
          <w:lang w:val="es-CO"/>
        </w:rPr>
        <w:t xml:space="preserve"> finalidad</w:t>
      </w:r>
      <w:r w:rsidR="002B4B30" w:rsidRPr="001D0F68">
        <w:rPr>
          <w:rFonts w:ascii="Arial" w:hAnsi="Arial" w:cs="Arial"/>
          <w:sz w:val="22"/>
          <w:lang w:val="es-CO"/>
        </w:rPr>
        <w:t xml:space="preserve">. En efecto, la norma en comento </w:t>
      </w:r>
      <w:r w:rsidR="00DD0E98" w:rsidRPr="001D0F68">
        <w:rPr>
          <w:rFonts w:ascii="Arial" w:hAnsi="Arial" w:cs="Arial"/>
          <w:sz w:val="22"/>
          <w:lang w:val="es-CO"/>
        </w:rPr>
        <w:t xml:space="preserve">dispone: </w:t>
      </w:r>
      <w:r w:rsidR="002B4B30" w:rsidRPr="001D0F68">
        <w:rPr>
          <w:rFonts w:ascii="Arial" w:hAnsi="Arial" w:cs="Arial"/>
          <w:sz w:val="22"/>
          <w:lang w:val="es-CO"/>
        </w:rPr>
        <w:t>«[p]</w:t>
      </w:r>
      <w:proofErr w:type="spellStart"/>
      <w:r w:rsidR="00DD0E98" w:rsidRPr="001D0F68">
        <w:rPr>
          <w:rFonts w:ascii="Arial" w:hAnsi="Arial" w:cs="Arial"/>
          <w:sz w:val="22"/>
          <w:lang w:val="es-CO"/>
        </w:rPr>
        <w:t>or</w:t>
      </w:r>
      <w:proofErr w:type="spellEnd"/>
      <w:r w:rsidR="00DD0E98" w:rsidRPr="001D0F68">
        <w:rPr>
          <w:rFonts w:ascii="Arial" w:hAnsi="Arial" w:cs="Arial"/>
          <w:sz w:val="22"/>
          <w:lang w:val="es-CO"/>
        </w:rPr>
        <w:t xml:space="preserve"> el contrato de sociedad dos o más personas se obligan a hacer un aporte en dinero, en trabajo o en otros bienes apreciables en dinero, </w:t>
      </w:r>
      <w:r w:rsidR="00DD0E98" w:rsidRPr="001D0F68">
        <w:rPr>
          <w:rFonts w:ascii="Arial" w:hAnsi="Arial" w:cs="Arial"/>
          <w:i/>
          <w:iCs/>
          <w:sz w:val="22"/>
          <w:lang w:val="es-CO"/>
        </w:rPr>
        <w:t>con el fin de repartirse entre sí las utilidades obtenidas en la empresa o actividad social</w:t>
      </w:r>
      <w:r w:rsidR="002B4B30" w:rsidRPr="001D0F68">
        <w:rPr>
          <w:rFonts w:ascii="Arial" w:hAnsi="Arial" w:cs="Arial"/>
          <w:sz w:val="22"/>
          <w:lang w:val="es-CO"/>
        </w:rPr>
        <w:t>»</w:t>
      </w:r>
      <w:r w:rsidRPr="001D0F68">
        <w:rPr>
          <w:rFonts w:ascii="Arial" w:hAnsi="Arial" w:cs="Arial"/>
          <w:sz w:val="22"/>
          <w:lang w:val="es-CO"/>
        </w:rPr>
        <w:t xml:space="preserve"> (</w:t>
      </w:r>
      <w:r w:rsidR="00B2563A">
        <w:rPr>
          <w:rFonts w:ascii="Arial" w:hAnsi="Arial" w:cs="Arial"/>
          <w:sz w:val="22"/>
          <w:lang w:val="es-CO"/>
        </w:rPr>
        <w:t>Énfasis fuera de texto</w:t>
      </w:r>
      <w:r w:rsidRPr="001D0F68">
        <w:rPr>
          <w:rFonts w:ascii="Arial" w:hAnsi="Arial" w:cs="Arial"/>
          <w:sz w:val="22"/>
          <w:lang w:val="es-CO"/>
        </w:rPr>
        <w:t>)</w:t>
      </w:r>
      <w:r w:rsidR="00DD0E98" w:rsidRPr="001D0F68">
        <w:rPr>
          <w:rFonts w:ascii="Arial" w:hAnsi="Arial" w:cs="Arial"/>
          <w:sz w:val="22"/>
          <w:lang w:val="es-CO"/>
        </w:rPr>
        <w:t>.</w:t>
      </w:r>
      <w:r w:rsidR="002B4B30" w:rsidRPr="001D0F68">
        <w:rPr>
          <w:rFonts w:ascii="Arial" w:hAnsi="Arial" w:cs="Arial"/>
          <w:sz w:val="22"/>
          <w:lang w:val="es-CO"/>
        </w:rPr>
        <w:t xml:space="preserve"> Es del caso precisar que en el caso de l</w:t>
      </w:r>
      <w:r w:rsidR="00DD0E98" w:rsidRPr="001D0F68">
        <w:rPr>
          <w:rFonts w:ascii="Arial" w:hAnsi="Arial" w:cs="Arial"/>
          <w:sz w:val="22"/>
          <w:lang w:val="es-CO"/>
        </w:rPr>
        <w:t>as ESAL</w:t>
      </w:r>
      <w:r w:rsidR="002B4B30" w:rsidRPr="001D0F68">
        <w:rPr>
          <w:rFonts w:ascii="Arial" w:hAnsi="Arial" w:cs="Arial"/>
          <w:sz w:val="22"/>
          <w:lang w:val="es-CO"/>
        </w:rPr>
        <w:t xml:space="preserve"> </w:t>
      </w:r>
      <w:r w:rsidR="00DD0E98" w:rsidRPr="001D0F68">
        <w:rPr>
          <w:rFonts w:ascii="Arial" w:hAnsi="Arial" w:cs="Arial"/>
          <w:sz w:val="22"/>
          <w:lang w:val="es-CO"/>
        </w:rPr>
        <w:t>no</w:t>
      </w:r>
      <w:r w:rsidR="002B4B30" w:rsidRPr="001D0F68">
        <w:rPr>
          <w:rFonts w:ascii="Arial" w:hAnsi="Arial" w:cs="Arial"/>
          <w:sz w:val="22"/>
          <w:lang w:val="es-CO"/>
        </w:rPr>
        <w:t xml:space="preserve"> se</w:t>
      </w:r>
      <w:r w:rsidR="00DD0E98" w:rsidRPr="001D0F68">
        <w:rPr>
          <w:rFonts w:ascii="Arial" w:hAnsi="Arial" w:cs="Arial"/>
          <w:sz w:val="22"/>
          <w:lang w:val="es-CO"/>
        </w:rPr>
        <w:t xml:space="preserve"> admite el reparto de utilidades, ni durante la existencia de la organización ni cuando se extinga, y en este aspecto</w:t>
      </w:r>
      <w:r w:rsidR="002B4B30" w:rsidRPr="001D0F68">
        <w:rPr>
          <w:rFonts w:ascii="Arial" w:hAnsi="Arial" w:cs="Arial"/>
          <w:sz w:val="22"/>
          <w:lang w:val="es-CO"/>
        </w:rPr>
        <w:t xml:space="preserve">, se insiste, </w:t>
      </w:r>
      <w:r w:rsidR="00DD0E98" w:rsidRPr="001D0F68">
        <w:rPr>
          <w:rFonts w:ascii="Arial" w:hAnsi="Arial" w:cs="Arial"/>
          <w:sz w:val="22"/>
          <w:lang w:val="es-CO"/>
        </w:rPr>
        <w:t>radica la diferencia más apreciable entre unas y otras organizaciones, pese a que ambas se crean con libertad</w:t>
      </w:r>
      <w:r w:rsidR="002B4B30" w:rsidRPr="001D0F68">
        <w:rPr>
          <w:rFonts w:ascii="Arial" w:hAnsi="Arial" w:cs="Arial"/>
          <w:sz w:val="22"/>
          <w:lang w:val="es-CO"/>
        </w:rPr>
        <w:t xml:space="preserve"> y</w:t>
      </w:r>
      <w:r w:rsidR="00DD0E98" w:rsidRPr="001D0F68">
        <w:rPr>
          <w:rFonts w:ascii="Arial" w:hAnsi="Arial" w:cs="Arial"/>
          <w:sz w:val="22"/>
          <w:lang w:val="es-CO"/>
        </w:rPr>
        <w:t xml:space="preserve"> al amparo del derecho fundamental de asociación, previsto en el art</w:t>
      </w:r>
      <w:r w:rsidR="006824B8" w:rsidRPr="001D0F68">
        <w:rPr>
          <w:rFonts w:ascii="Arial" w:hAnsi="Arial" w:cs="Arial"/>
          <w:sz w:val="22"/>
          <w:lang w:val="es-CO"/>
        </w:rPr>
        <w:t>ículo</w:t>
      </w:r>
      <w:r w:rsidR="00DD0E98" w:rsidRPr="001D0F68">
        <w:rPr>
          <w:rFonts w:ascii="Arial" w:hAnsi="Arial" w:cs="Arial"/>
          <w:sz w:val="22"/>
          <w:lang w:val="es-CO"/>
        </w:rPr>
        <w:t xml:space="preserve"> 38 de la </w:t>
      </w:r>
      <w:r w:rsidR="002B4B30" w:rsidRPr="001D0F68">
        <w:rPr>
          <w:rFonts w:ascii="Arial" w:hAnsi="Arial" w:cs="Arial"/>
          <w:sz w:val="22"/>
          <w:lang w:val="es-CO"/>
        </w:rPr>
        <w:t>Constitución Política y otras normas contenidas en</w:t>
      </w:r>
      <w:r w:rsidR="00AE6858" w:rsidRPr="001D0F68">
        <w:rPr>
          <w:rFonts w:ascii="Arial" w:hAnsi="Arial" w:cs="Arial"/>
          <w:sz w:val="22"/>
          <w:lang w:val="es-CO"/>
        </w:rPr>
        <w:t xml:space="preserve"> </w:t>
      </w:r>
      <w:r w:rsidR="002B4B30" w:rsidRPr="001D0F68">
        <w:rPr>
          <w:rFonts w:ascii="Arial" w:hAnsi="Arial" w:cs="Arial"/>
          <w:sz w:val="22"/>
          <w:lang w:val="es-CO"/>
        </w:rPr>
        <w:t>tratados internacionales</w:t>
      </w:r>
      <w:r w:rsidR="00B17BC5" w:rsidRPr="001D0F68">
        <w:rPr>
          <w:rFonts w:ascii="Arial" w:hAnsi="Arial" w:cs="Arial"/>
          <w:sz w:val="22"/>
          <w:lang w:val="es-CO"/>
        </w:rPr>
        <w:t xml:space="preserve"> suscritos por Colombia</w:t>
      </w:r>
      <w:r w:rsidR="00DD0E98" w:rsidRPr="001D0F68">
        <w:rPr>
          <w:rFonts w:ascii="Arial" w:hAnsi="Arial" w:cs="Arial"/>
          <w:sz w:val="22"/>
          <w:lang w:val="es-CO"/>
        </w:rPr>
        <w:t>.</w:t>
      </w:r>
    </w:p>
    <w:p w14:paraId="3786C0D7" w14:textId="55AAB3C5" w:rsidR="00DD0E98" w:rsidRPr="001D0F68" w:rsidRDefault="00DD0E98" w:rsidP="00AC0C81">
      <w:pPr>
        <w:spacing w:before="120" w:line="276" w:lineRule="auto"/>
        <w:ind w:right="51" w:firstLine="709"/>
        <w:jc w:val="both"/>
        <w:rPr>
          <w:rFonts w:ascii="Arial" w:hAnsi="Arial" w:cs="Arial"/>
          <w:sz w:val="22"/>
          <w:lang w:val="es-CO"/>
        </w:rPr>
      </w:pPr>
      <w:r w:rsidRPr="001D0F68">
        <w:rPr>
          <w:rFonts w:ascii="Arial" w:hAnsi="Arial" w:cs="Arial"/>
          <w:sz w:val="22"/>
          <w:lang w:val="es-CO"/>
        </w:rPr>
        <w:t xml:space="preserve">De conformidad con lo anterior, una </w:t>
      </w:r>
      <w:r w:rsidR="00AC0C81" w:rsidRPr="001D0F68">
        <w:rPr>
          <w:rFonts w:ascii="Arial" w:hAnsi="Arial" w:cs="Arial"/>
          <w:sz w:val="22"/>
          <w:lang w:val="es-CO"/>
        </w:rPr>
        <w:t>«</w:t>
      </w:r>
      <w:r w:rsidRPr="001D0F68">
        <w:rPr>
          <w:rFonts w:ascii="Arial" w:hAnsi="Arial" w:cs="Arial"/>
          <w:sz w:val="22"/>
          <w:lang w:val="es-CO"/>
        </w:rPr>
        <w:t>fundación</w:t>
      </w:r>
      <w:r w:rsidR="00AC0C81" w:rsidRPr="001D0F68">
        <w:rPr>
          <w:rFonts w:ascii="Arial" w:hAnsi="Arial" w:cs="Arial"/>
          <w:sz w:val="22"/>
          <w:lang w:val="es-CO"/>
        </w:rPr>
        <w:t>»</w:t>
      </w:r>
      <w:r w:rsidRPr="001D0F68">
        <w:rPr>
          <w:rFonts w:ascii="Arial" w:hAnsi="Arial" w:cs="Arial"/>
          <w:sz w:val="22"/>
          <w:lang w:val="es-CO"/>
        </w:rPr>
        <w:t xml:space="preserve"> o una </w:t>
      </w:r>
      <w:r w:rsidR="00AC0C81" w:rsidRPr="001D0F68">
        <w:rPr>
          <w:rFonts w:ascii="Arial" w:hAnsi="Arial" w:cs="Arial"/>
          <w:sz w:val="22"/>
          <w:lang w:val="es-CO"/>
        </w:rPr>
        <w:t>«</w:t>
      </w:r>
      <w:r w:rsidRPr="001D0F68">
        <w:rPr>
          <w:rFonts w:ascii="Arial" w:hAnsi="Arial" w:cs="Arial"/>
          <w:sz w:val="22"/>
          <w:lang w:val="es-CO"/>
        </w:rPr>
        <w:t>asociación o corporación</w:t>
      </w:r>
      <w:r w:rsidR="00AC0C81" w:rsidRPr="001D0F68">
        <w:rPr>
          <w:rFonts w:ascii="Arial" w:hAnsi="Arial" w:cs="Arial"/>
          <w:sz w:val="22"/>
          <w:lang w:val="es-CO"/>
        </w:rPr>
        <w:t xml:space="preserve">», </w:t>
      </w:r>
      <w:r w:rsidRPr="001D0F68">
        <w:rPr>
          <w:rFonts w:ascii="Arial" w:hAnsi="Arial" w:cs="Arial"/>
          <w:sz w:val="22"/>
          <w:lang w:val="es-CO"/>
        </w:rPr>
        <w:t xml:space="preserve">constituidas en los términos del Código Civil, no pueden asimilarse o identificarse con una </w:t>
      </w:r>
      <w:r w:rsidR="00AC0C81" w:rsidRPr="001D0F68">
        <w:rPr>
          <w:rFonts w:ascii="Arial" w:hAnsi="Arial" w:cs="Arial"/>
          <w:sz w:val="22"/>
          <w:lang w:val="es-CO"/>
        </w:rPr>
        <w:t>«</w:t>
      </w:r>
      <w:r w:rsidRPr="001D0F68">
        <w:rPr>
          <w:rFonts w:ascii="Arial" w:hAnsi="Arial" w:cs="Arial"/>
          <w:sz w:val="22"/>
          <w:lang w:val="es-CO"/>
        </w:rPr>
        <w:t>sociedad comercial</w:t>
      </w:r>
      <w:r w:rsidR="00AC0C81" w:rsidRPr="001D0F68">
        <w:rPr>
          <w:rFonts w:ascii="Arial" w:hAnsi="Arial" w:cs="Arial"/>
          <w:sz w:val="22"/>
          <w:lang w:val="es-CO"/>
        </w:rPr>
        <w:t>»</w:t>
      </w:r>
      <w:r w:rsidRPr="001D0F68">
        <w:rPr>
          <w:rFonts w:ascii="Arial" w:hAnsi="Arial" w:cs="Arial"/>
          <w:sz w:val="22"/>
          <w:lang w:val="es-CO"/>
        </w:rPr>
        <w:t xml:space="preserve">, como uniformemente lo considera la doctrina y la jurisprudencia civil y comercial, </w:t>
      </w:r>
      <w:r w:rsidR="00AC0C81" w:rsidRPr="001D0F68">
        <w:rPr>
          <w:rFonts w:ascii="Arial" w:hAnsi="Arial" w:cs="Arial"/>
          <w:sz w:val="22"/>
          <w:lang w:val="es-CO"/>
        </w:rPr>
        <w:t xml:space="preserve">en </w:t>
      </w:r>
      <w:r w:rsidR="00807EEE" w:rsidRPr="001D0F68">
        <w:rPr>
          <w:rFonts w:ascii="Arial" w:hAnsi="Arial" w:cs="Arial"/>
          <w:sz w:val="22"/>
          <w:lang w:val="es-CO"/>
        </w:rPr>
        <w:t>la medida en que</w:t>
      </w:r>
      <w:r w:rsidR="00AC0C81" w:rsidRPr="001D0F68">
        <w:rPr>
          <w:rFonts w:ascii="Arial" w:hAnsi="Arial" w:cs="Arial"/>
          <w:sz w:val="22"/>
          <w:lang w:val="es-CO"/>
        </w:rPr>
        <w:t xml:space="preserve"> esta </w:t>
      </w:r>
      <w:r w:rsidRPr="001D0F68">
        <w:rPr>
          <w:rFonts w:ascii="Arial" w:hAnsi="Arial" w:cs="Arial"/>
          <w:sz w:val="22"/>
          <w:lang w:val="es-CO"/>
        </w:rPr>
        <w:t>última se crea con la finalidad de que sus socios repartan las utilidades obtenidas en desarrollo de la empresa o actividad social</w:t>
      </w:r>
      <w:r w:rsidR="00504327">
        <w:rPr>
          <w:rFonts w:ascii="Arial" w:hAnsi="Arial" w:cs="Arial"/>
          <w:sz w:val="22"/>
          <w:lang w:val="es-CO"/>
        </w:rPr>
        <w:t>. Por el contrario, las fundaciones o asociaciones</w:t>
      </w:r>
      <w:r w:rsidR="003A1B3E">
        <w:rPr>
          <w:rFonts w:ascii="Arial" w:hAnsi="Arial" w:cs="Arial"/>
          <w:sz w:val="22"/>
          <w:lang w:val="es-CO"/>
        </w:rPr>
        <w:t xml:space="preserve"> destinan su</w:t>
      </w:r>
      <w:r w:rsidRPr="001D0F68">
        <w:rPr>
          <w:rFonts w:ascii="Arial" w:hAnsi="Arial" w:cs="Arial"/>
          <w:sz w:val="22"/>
          <w:lang w:val="es-CO"/>
        </w:rPr>
        <w:t xml:space="preserve"> patrimonio a la consecución de un interés general y</w:t>
      </w:r>
      <w:r w:rsidR="00AC0C81" w:rsidRPr="001D0F68">
        <w:rPr>
          <w:rFonts w:ascii="Arial" w:hAnsi="Arial" w:cs="Arial"/>
          <w:sz w:val="22"/>
          <w:lang w:val="es-CO"/>
        </w:rPr>
        <w:t>, como tal,</w:t>
      </w:r>
      <w:r w:rsidRPr="001D0F68">
        <w:rPr>
          <w:rFonts w:ascii="Arial" w:hAnsi="Arial" w:cs="Arial"/>
          <w:sz w:val="22"/>
          <w:lang w:val="es-CO"/>
        </w:rPr>
        <w:t xml:space="preserve"> no </w:t>
      </w:r>
      <w:r w:rsidR="00AC0C81" w:rsidRPr="001D0F68">
        <w:rPr>
          <w:rFonts w:ascii="Arial" w:hAnsi="Arial" w:cs="Arial"/>
          <w:sz w:val="22"/>
          <w:lang w:val="es-CO"/>
        </w:rPr>
        <w:t xml:space="preserve">se </w:t>
      </w:r>
      <w:r w:rsidRPr="001D0F68">
        <w:rPr>
          <w:rFonts w:ascii="Arial" w:hAnsi="Arial" w:cs="Arial"/>
          <w:sz w:val="22"/>
          <w:lang w:val="es-CO"/>
        </w:rPr>
        <w:t>percibe lucro</w:t>
      </w:r>
      <w:r w:rsidR="00CE6A1B" w:rsidRPr="001D0F68">
        <w:rPr>
          <w:rFonts w:ascii="Arial" w:hAnsi="Arial" w:cs="Arial"/>
          <w:sz w:val="22"/>
          <w:lang w:val="es-CO"/>
        </w:rPr>
        <w:t xml:space="preserve">, debiéndose reinvertir los </w:t>
      </w:r>
      <w:r w:rsidR="008F490E" w:rsidRPr="001D0F68">
        <w:rPr>
          <w:rFonts w:ascii="Arial" w:hAnsi="Arial" w:cs="Arial"/>
          <w:sz w:val="22"/>
          <w:lang w:val="es-CO"/>
        </w:rPr>
        <w:t>excedentes monetarios que se presenten en la ESAL, al no ser viable su reparto entre los asociados</w:t>
      </w:r>
      <w:r w:rsidR="00AD37A7" w:rsidRPr="001D0F68">
        <w:rPr>
          <w:rFonts w:ascii="Arial" w:hAnsi="Arial" w:cs="Arial"/>
          <w:sz w:val="22"/>
          <w:lang w:val="es-CO"/>
        </w:rPr>
        <w:t xml:space="preserve">. </w:t>
      </w:r>
    </w:p>
    <w:p w14:paraId="3F7B9208" w14:textId="1986586E" w:rsidR="00E64988" w:rsidRPr="001D0F68" w:rsidRDefault="00DD0E98" w:rsidP="00AC0C81">
      <w:pPr>
        <w:spacing w:before="120" w:line="276" w:lineRule="auto"/>
        <w:ind w:right="51" w:firstLine="709"/>
        <w:jc w:val="both"/>
        <w:rPr>
          <w:rFonts w:ascii="Arial" w:hAnsi="Arial" w:cs="Arial"/>
          <w:sz w:val="22"/>
          <w:lang w:val="es-CO"/>
        </w:rPr>
      </w:pPr>
      <w:r w:rsidRPr="001D0F68">
        <w:rPr>
          <w:rFonts w:ascii="Arial" w:hAnsi="Arial" w:cs="Arial"/>
          <w:sz w:val="22"/>
          <w:lang w:val="es-CO"/>
        </w:rPr>
        <w:t>Por su parte, la Corte Constitucional, en la sentencia C-287 de 2012, reiteró que la diferencia existente entre las sociedades comerciales y las entidades privadas sin ánimo de lucro es que estas últimas no reparten sus utilidades entre los socios</w:t>
      </w:r>
      <w:r w:rsidR="00E52C6F" w:rsidRPr="001D0F68">
        <w:rPr>
          <w:rStyle w:val="Refdenotaalpie"/>
          <w:rFonts w:ascii="Arial" w:hAnsi="Arial" w:cs="Arial"/>
          <w:sz w:val="22"/>
          <w:lang w:val="es-CO"/>
        </w:rPr>
        <w:footnoteReference w:id="25"/>
      </w:r>
      <w:r w:rsidRPr="001D0F68">
        <w:rPr>
          <w:rFonts w:ascii="Arial" w:hAnsi="Arial" w:cs="Arial"/>
          <w:sz w:val="22"/>
          <w:lang w:val="es-CO"/>
        </w:rPr>
        <w:t xml:space="preserve">. Así lo </w:t>
      </w:r>
      <w:r w:rsidR="00B70B52">
        <w:rPr>
          <w:rFonts w:ascii="Arial" w:hAnsi="Arial" w:cs="Arial"/>
          <w:sz w:val="22"/>
          <w:lang w:val="es-CO"/>
        </w:rPr>
        <w:t xml:space="preserve">explicó </w:t>
      </w:r>
      <w:r w:rsidRPr="001D0F68">
        <w:rPr>
          <w:rFonts w:ascii="Arial" w:hAnsi="Arial" w:cs="Arial"/>
          <w:sz w:val="22"/>
          <w:lang w:val="es-CO"/>
        </w:rPr>
        <w:t xml:space="preserve">en los siguientes términos: </w:t>
      </w:r>
    </w:p>
    <w:p w14:paraId="39AA50E1" w14:textId="77777777" w:rsidR="00E64988" w:rsidRPr="001D0F68" w:rsidRDefault="00E64988" w:rsidP="00E64988">
      <w:pPr>
        <w:ind w:left="709" w:right="760"/>
        <w:jc w:val="both"/>
        <w:rPr>
          <w:rFonts w:ascii="Arial" w:hAnsi="Arial" w:cs="Arial"/>
          <w:sz w:val="21"/>
          <w:szCs w:val="21"/>
          <w:lang w:val="es-CO"/>
        </w:rPr>
      </w:pPr>
    </w:p>
    <w:p w14:paraId="47A0CF06" w14:textId="2449AE24" w:rsidR="00DD0E98" w:rsidRPr="001D0F68" w:rsidRDefault="00DD0E98" w:rsidP="00E64988">
      <w:pPr>
        <w:ind w:left="709" w:right="760"/>
        <w:jc w:val="both"/>
        <w:rPr>
          <w:rFonts w:ascii="Arial" w:hAnsi="Arial" w:cs="Arial"/>
          <w:sz w:val="21"/>
          <w:szCs w:val="21"/>
          <w:lang w:val="es-CO"/>
        </w:rPr>
      </w:pPr>
      <w:r w:rsidRPr="001D0F68">
        <w:rPr>
          <w:rFonts w:ascii="Arial" w:hAnsi="Arial" w:cs="Arial"/>
          <w:sz w:val="21"/>
          <w:szCs w:val="21"/>
          <w:lang w:val="es-CO"/>
        </w:rPr>
        <w:t xml:space="preserve">Sin embargo, el hecho que no persigan una finalidad lucrativa no significa que no desarrollen actividades que generen utilidades, lo que pasa es que, a diferencia de las sociedades, el lucro o ganancia obtenida no se reparte entre sus </w:t>
      </w:r>
      <w:proofErr w:type="gramStart"/>
      <w:r w:rsidRPr="001D0F68">
        <w:rPr>
          <w:rFonts w:ascii="Arial" w:hAnsi="Arial" w:cs="Arial"/>
          <w:sz w:val="21"/>
          <w:szCs w:val="21"/>
          <w:lang w:val="es-CO"/>
        </w:rPr>
        <w:t>miembros</w:t>
      </w:r>
      <w:proofErr w:type="gramEnd"/>
      <w:r w:rsidRPr="001D0F68">
        <w:rPr>
          <w:rFonts w:ascii="Arial" w:hAnsi="Arial" w:cs="Arial"/>
          <w:sz w:val="21"/>
          <w:szCs w:val="21"/>
          <w:lang w:val="es-CO"/>
        </w:rPr>
        <w:t xml:space="preserve"> sino que se integra al patrimonio de la asociación para la obtención del fin deseado.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w:t>
      </w:r>
    </w:p>
    <w:p w14:paraId="03BC2781" w14:textId="77777777" w:rsidR="00E64988" w:rsidRPr="001D0F68" w:rsidRDefault="00E64988" w:rsidP="00E756AC">
      <w:pPr>
        <w:ind w:right="51" w:firstLine="709"/>
        <w:jc w:val="both"/>
        <w:rPr>
          <w:rFonts w:ascii="Arial" w:hAnsi="Arial" w:cs="Arial"/>
          <w:sz w:val="21"/>
          <w:szCs w:val="21"/>
          <w:lang w:val="es-CO"/>
        </w:rPr>
      </w:pPr>
    </w:p>
    <w:p w14:paraId="557F3E47" w14:textId="3ED76EC0" w:rsidR="00510BF5" w:rsidRPr="001D0F68" w:rsidRDefault="00510BF5" w:rsidP="00E64988">
      <w:pPr>
        <w:spacing w:line="276" w:lineRule="auto"/>
        <w:ind w:right="49" w:firstLine="708"/>
        <w:jc w:val="both"/>
        <w:rPr>
          <w:rFonts w:ascii="Arial" w:hAnsi="Arial" w:cs="Arial"/>
          <w:sz w:val="22"/>
          <w:lang w:val="es-CO"/>
        </w:rPr>
      </w:pPr>
      <w:r w:rsidRPr="001D0F68">
        <w:rPr>
          <w:rFonts w:ascii="Arial" w:hAnsi="Arial" w:cs="Arial"/>
          <w:sz w:val="22"/>
          <w:lang w:val="es-CO"/>
        </w:rPr>
        <w:t xml:space="preserve">Igualmente, el Consejo de Estado, Sección Cuarta, expresó que la naturaleza jurídica de las </w:t>
      </w:r>
      <w:r w:rsidR="0082266E" w:rsidRPr="001D0F68">
        <w:rPr>
          <w:rFonts w:ascii="Arial" w:hAnsi="Arial" w:cs="Arial"/>
          <w:sz w:val="22"/>
          <w:lang w:val="es-CO"/>
        </w:rPr>
        <w:t>ESAL</w:t>
      </w:r>
      <w:r w:rsidRPr="001D0F68">
        <w:rPr>
          <w:rFonts w:ascii="Arial" w:hAnsi="Arial" w:cs="Arial"/>
          <w:sz w:val="22"/>
          <w:lang w:val="es-CO"/>
        </w:rPr>
        <w:t xml:space="preserve"> es diferente a las sociedades mercantiles, toda vez que su objeto no está destinado a perseguir un lucro que pueda ser repartido entre sus asociados, sino que las ganancias se reinvierten en la entidad sin ánimo de lucro para el desarrollo de su objeto social</w:t>
      </w:r>
      <w:r w:rsidRPr="001D0F68">
        <w:rPr>
          <w:rStyle w:val="Refdenotaalpie"/>
          <w:rFonts w:ascii="Arial" w:hAnsi="Arial" w:cs="Arial"/>
          <w:sz w:val="22"/>
          <w:lang w:val="es-CO"/>
        </w:rPr>
        <w:footnoteReference w:id="26"/>
      </w:r>
      <w:r w:rsidRPr="001D0F68">
        <w:rPr>
          <w:rFonts w:ascii="Arial" w:hAnsi="Arial" w:cs="Arial"/>
          <w:sz w:val="22"/>
          <w:lang w:val="es-CO"/>
        </w:rPr>
        <w:t>.</w:t>
      </w:r>
    </w:p>
    <w:p w14:paraId="7F32E7A0" w14:textId="2DC846F8" w:rsidR="00DD0E98" w:rsidRPr="001D0F68" w:rsidRDefault="00B5337D" w:rsidP="00510BF5">
      <w:pPr>
        <w:spacing w:before="120" w:line="276" w:lineRule="auto"/>
        <w:ind w:right="51" w:firstLine="709"/>
        <w:jc w:val="both"/>
        <w:rPr>
          <w:rFonts w:ascii="Arial" w:hAnsi="Arial" w:cs="Arial"/>
          <w:sz w:val="22"/>
          <w:lang w:val="es-CO"/>
        </w:rPr>
      </w:pPr>
      <w:r w:rsidRPr="001D0F68">
        <w:rPr>
          <w:rFonts w:ascii="Arial" w:hAnsi="Arial" w:cs="Arial"/>
          <w:sz w:val="22"/>
          <w:lang w:val="es-CO"/>
        </w:rPr>
        <w:t>En ese mismo sentido, l</w:t>
      </w:r>
      <w:r w:rsidR="00E64988" w:rsidRPr="001D0F68">
        <w:rPr>
          <w:rFonts w:ascii="Arial" w:hAnsi="Arial" w:cs="Arial"/>
          <w:sz w:val="22"/>
          <w:lang w:val="es-CO"/>
        </w:rPr>
        <w:t xml:space="preserve">a </w:t>
      </w:r>
      <w:r w:rsidR="00DD0E98" w:rsidRPr="001D0F68">
        <w:rPr>
          <w:rFonts w:ascii="Arial" w:hAnsi="Arial" w:cs="Arial"/>
          <w:sz w:val="22"/>
          <w:lang w:val="es-CO"/>
        </w:rPr>
        <w:t xml:space="preserve">Cámara de Comercio de Bogotá, en el </w:t>
      </w:r>
      <w:r w:rsidR="00E64988" w:rsidRPr="001D0F68">
        <w:rPr>
          <w:rFonts w:ascii="Arial" w:hAnsi="Arial" w:cs="Arial"/>
          <w:sz w:val="22"/>
          <w:lang w:val="es-CO"/>
        </w:rPr>
        <w:t>«</w:t>
      </w:r>
      <w:r w:rsidR="00DD0E98" w:rsidRPr="001D0F68">
        <w:rPr>
          <w:rFonts w:ascii="Arial" w:hAnsi="Arial" w:cs="Arial"/>
          <w:sz w:val="22"/>
          <w:lang w:val="es-CO"/>
        </w:rPr>
        <w:t>Documento ABC Entidades sin Ánimo de lucro</w:t>
      </w:r>
      <w:r w:rsidR="00E64988" w:rsidRPr="001D0F68">
        <w:rPr>
          <w:rFonts w:ascii="Arial" w:hAnsi="Arial" w:cs="Arial"/>
          <w:sz w:val="22"/>
          <w:lang w:val="es-CO"/>
        </w:rPr>
        <w:t xml:space="preserve">», </w:t>
      </w:r>
      <w:r w:rsidR="00044FF2" w:rsidRPr="001D0F68">
        <w:rPr>
          <w:rFonts w:ascii="Arial" w:hAnsi="Arial" w:cs="Arial"/>
          <w:sz w:val="22"/>
          <w:lang w:val="es-CO"/>
        </w:rPr>
        <w:t xml:space="preserve">ha definido </w:t>
      </w:r>
      <w:r w:rsidR="00DD0E98" w:rsidRPr="001D0F68">
        <w:rPr>
          <w:rFonts w:ascii="Arial" w:hAnsi="Arial" w:cs="Arial"/>
          <w:sz w:val="22"/>
          <w:lang w:val="es-CO"/>
        </w:rPr>
        <w:t xml:space="preserve">las </w:t>
      </w:r>
      <w:r w:rsidR="00E52C6F" w:rsidRPr="001D0F68">
        <w:rPr>
          <w:rFonts w:ascii="Arial" w:hAnsi="Arial" w:cs="Arial"/>
          <w:sz w:val="22"/>
          <w:lang w:val="es-CO"/>
        </w:rPr>
        <w:t>ESAL como</w:t>
      </w:r>
      <w:r w:rsidR="00DD0E98" w:rsidRPr="001D0F68">
        <w:rPr>
          <w:rFonts w:ascii="Arial" w:hAnsi="Arial" w:cs="Arial"/>
          <w:sz w:val="22"/>
          <w:lang w:val="es-CO"/>
        </w:rPr>
        <w:t xml:space="preserve"> </w:t>
      </w:r>
      <w:r w:rsidRPr="001D0F68">
        <w:rPr>
          <w:rFonts w:ascii="Arial" w:hAnsi="Arial" w:cs="Arial"/>
          <w:sz w:val="22"/>
          <w:lang w:val="es-CO"/>
        </w:rPr>
        <w:t>«</w:t>
      </w:r>
      <w:r w:rsidR="00DD0E98" w:rsidRPr="001D0F68">
        <w:rPr>
          <w:rFonts w:ascii="Arial" w:hAnsi="Arial" w:cs="Arial"/>
          <w:sz w:val="22"/>
          <w:lang w:val="es-CO"/>
        </w:rPr>
        <w:t>las personas jurídicas que se constituyen por la voluntad de asociación o creación de otras personas (naturales o jurídicas) para realizar actividades en beneficio de los asociados o de terceras personas o de la comunidad en general y no persiguen el reparto de utilidades entre sus miembros</w:t>
      </w:r>
      <w:r w:rsidRPr="001D0F68">
        <w:rPr>
          <w:rFonts w:ascii="Arial" w:hAnsi="Arial" w:cs="Arial"/>
          <w:sz w:val="22"/>
          <w:lang w:val="es-CO"/>
        </w:rPr>
        <w:t>»</w:t>
      </w:r>
      <w:r w:rsidR="00BE2AD3" w:rsidRPr="001D0F68">
        <w:rPr>
          <w:rStyle w:val="Refdenotaalpie"/>
          <w:rFonts w:ascii="Arial" w:hAnsi="Arial" w:cs="Arial"/>
          <w:sz w:val="22"/>
          <w:lang w:val="es-CO"/>
        </w:rPr>
        <w:footnoteReference w:id="27"/>
      </w:r>
      <w:r w:rsidR="00DD0E98" w:rsidRPr="001D0F68">
        <w:rPr>
          <w:rFonts w:ascii="Arial" w:hAnsi="Arial" w:cs="Arial"/>
          <w:sz w:val="22"/>
          <w:lang w:val="es-CO"/>
        </w:rPr>
        <w:t xml:space="preserve">. </w:t>
      </w:r>
      <w:r w:rsidR="00447FE5" w:rsidRPr="001D0F68">
        <w:rPr>
          <w:rFonts w:ascii="Arial" w:hAnsi="Arial" w:cs="Arial"/>
          <w:sz w:val="22"/>
          <w:lang w:val="es-CO"/>
        </w:rPr>
        <w:t>L</w:t>
      </w:r>
      <w:r w:rsidR="00DD0E98" w:rsidRPr="001D0F68">
        <w:rPr>
          <w:rFonts w:ascii="Arial" w:hAnsi="Arial" w:cs="Arial"/>
          <w:sz w:val="22"/>
          <w:lang w:val="es-CO"/>
        </w:rPr>
        <w:t>as entidades privadas sin ánimo de lucro</w:t>
      </w:r>
      <w:r w:rsidR="00447FE5" w:rsidRPr="001D0F68">
        <w:rPr>
          <w:rFonts w:ascii="Arial" w:hAnsi="Arial" w:cs="Arial"/>
          <w:sz w:val="22"/>
          <w:lang w:val="es-CO"/>
        </w:rPr>
        <w:t>, pues,</w:t>
      </w:r>
      <w:r w:rsidR="00DD0E98" w:rsidRPr="001D0F68">
        <w:rPr>
          <w:rFonts w:ascii="Arial" w:hAnsi="Arial" w:cs="Arial"/>
          <w:sz w:val="22"/>
          <w:lang w:val="es-CO"/>
        </w:rPr>
        <w:t xml:space="preserve"> no tienen la naturaleza jurídica de empresa sino de asociaciones que buscan la realización de un fin común y objetivos</w:t>
      </w:r>
      <w:r w:rsidR="0065701C" w:rsidRPr="001D0F68">
        <w:rPr>
          <w:rFonts w:ascii="Arial" w:hAnsi="Arial" w:cs="Arial"/>
          <w:sz w:val="22"/>
          <w:lang w:val="es-CO"/>
        </w:rPr>
        <w:t xml:space="preserve"> carentes de</w:t>
      </w:r>
      <w:r w:rsidR="00DD0E98" w:rsidRPr="001D0F68">
        <w:rPr>
          <w:rFonts w:ascii="Arial" w:hAnsi="Arial" w:cs="Arial"/>
          <w:sz w:val="22"/>
          <w:lang w:val="es-CO"/>
        </w:rPr>
        <w:t xml:space="preserve"> un contenido esencialmente patrimonial </w:t>
      </w:r>
      <w:r w:rsidR="00447FE5" w:rsidRPr="001D0F68">
        <w:rPr>
          <w:rFonts w:ascii="Arial" w:hAnsi="Arial" w:cs="Arial"/>
          <w:sz w:val="22"/>
          <w:lang w:val="es-CO"/>
        </w:rPr>
        <w:t>−</w:t>
      </w:r>
      <w:r w:rsidR="00DD0E98" w:rsidRPr="001D0F68">
        <w:rPr>
          <w:rFonts w:ascii="Arial" w:hAnsi="Arial" w:cs="Arial"/>
          <w:sz w:val="22"/>
          <w:lang w:val="es-CO"/>
        </w:rPr>
        <w:t>fin de lucro y reparto de</w:t>
      </w:r>
      <w:r w:rsidR="0065701C" w:rsidRPr="001D0F68">
        <w:rPr>
          <w:rFonts w:ascii="Arial" w:hAnsi="Arial" w:cs="Arial"/>
          <w:sz w:val="22"/>
          <w:lang w:val="es-CO"/>
        </w:rPr>
        <w:t xml:space="preserve"> las</w:t>
      </w:r>
      <w:r w:rsidR="00DD0E98" w:rsidRPr="001D0F68">
        <w:rPr>
          <w:rFonts w:ascii="Arial" w:hAnsi="Arial" w:cs="Arial"/>
          <w:sz w:val="22"/>
          <w:lang w:val="es-CO"/>
        </w:rPr>
        <w:t xml:space="preserve"> utilidades</w:t>
      </w:r>
      <w:r w:rsidR="00447FE5" w:rsidRPr="001D0F68">
        <w:rPr>
          <w:rFonts w:ascii="Arial" w:hAnsi="Arial" w:cs="Arial"/>
          <w:sz w:val="22"/>
          <w:lang w:val="es-CO"/>
        </w:rPr>
        <w:t>−</w:t>
      </w:r>
      <w:r w:rsidR="00DD0E98" w:rsidRPr="001D0F68">
        <w:rPr>
          <w:rFonts w:ascii="Arial" w:hAnsi="Arial" w:cs="Arial"/>
          <w:sz w:val="22"/>
          <w:lang w:val="es-CO"/>
        </w:rPr>
        <w:t>.</w:t>
      </w:r>
    </w:p>
    <w:p w14:paraId="2CE94ABF" w14:textId="64EA903D" w:rsidR="00DD0E98" w:rsidRPr="001D0F68" w:rsidRDefault="005D2481" w:rsidP="00E64988">
      <w:pPr>
        <w:spacing w:before="120" w:line="276" w:lineRule="auto"/>
        <w:ind w:right="51" w:firstLine="709"/>
        <w:jc w:val="both"/>
        <w:rPr>
          <w:rFonts w:ascii="Arial" w:hAnsi="Arial" w:cs="Arial"/>
          <w:sz w:val="22"/>
          <w:lang w:val="es-CO"/>
        </w:rPr>
      </w:pPr>
      <w:r>
        <w:rPr>
          <w:rFonts w:ascii="Arial" w:hAnsi="Arial" w:cs="Arial"/>
          <w:sz w:val="22"/>
          <w:lang w:val="es-CO"/>
        </w:rPr>
        <w:t>Debe aclararse que</w:t>
      </w:r>
      <w:r w:rsidR="00DD0E98" w:rsidRPr="001D0F68">
        <w:rPr>
          <w:rFonts w:ascii="Arial" w:hAnsi="Arial" w:cs="Arial"/>
          <w:sz w:val="22"/>
          <w:lang w:val="es-CO"/>
        </w:rPr>
        <w:t xml:space="preserve"> en virtud del artículo 43 de la Ley 1450 de 2011</w:t>
      </w:r>
      <w:r w:rsidR="00112597" w:rsidRPr="001D0F68">
        <w:rPr>
          <w:rFonts w:ascii="Arial" w:hAnsi="Arial" w:cs="Arial"/>
          <w:sz w:val="22"/>
          <w:lang w:val="es-CO"/>
        </w:rPr>
        <w:t>, que modificó el artículo 2 de la Ley 590 de 2000,</w:t>
      </w:r>
      <w:r w:rsidR="00DD0E98" w:rsidRPr="001D0F68">
        <w:rPr>
          <w:rFonts w:ascii="Arial" w:hAnsi="Arial" w:cs="Arial"/>
          <w:sz w:val="22"/>
          <w:lang w:val="es-CO"/>
        </w:rPr>
        <w:t xml:space="preserve"> </w:t>
      </w:r>
      <w:r w:rsidR="008327EE" w:rsidRPr="001D0F68">
        <w:rPr>
          <w:rFonts w:ascii="Arial" w:hAnsi="Arial" w:cs="Arial"/>
          <w:sz w:val="22"/>
          <w:lang w:val="es-CO"/>
        </w:rPr>
        <w:t>y a la luz de las consideraciones contenidas en los párrafos precedentes, pue</w:t>
      </w:r>
      <w:r w:rsidR="00AD37A7" w:rsidRPr="001D0F68">
        <w:rPr>
          <w:rFonts w:ascii="Arial" w:hAnsi="Arial" w:cs="Arial"/>
          <w:sz w:val="22"/>
          <w:lang w:val="es-CO"/>
        </w:rPr>
        <w:t>de</w:t>
      </w:r>
      <w:r w:rsidR="008327EE" w:rsidRPr="001D0F68">
        <w:rPr>
          <w:rFonts w:ascii="Arial" w:hAnsi="Arial" w:cs="Arial"/>
          <w:sz w:val="22"/>
          <w:lang w:val="es-CO"/>
        </w:rPr>
        <w:t xml:space="preserve"> decirse que </w:t>
      </w:r>
      <w:r w:rsidR="00DD0E98" w:rsidRPr="001D0F68">
        <w:rPr>
          <w:rFonts w:ascii="Arial" w:hAnsi="Arial" w:cs="Arial"/>
          <w:sz w:val="22"/>
          <w:lang w:val="es-CO"/>
        </w:rPr>
        <w:t>s</w:t>
      </w:r>
      <w:r w:rsidR="005B3880" w:rsidRPr="001D0F68">
        <w:rPr>
          <w:rFonts w:ascii="Arial" w:hAnsi="Arial" w:cs="Arial"/>
          <w:sz w:val="22"/>
          <w:lang w:val="es-CO"/>
        </w:rPr>
        <w:t>o</w:t>
      </w:r>
      <w:r w:rsidR="00DD0E98" w:rsidRPr="001D0F68">
        <w:rPr>
          <w:rFonts w:ascii="Arial" w:hAnsi="Arial" w:cs="Arial"/>
          <w:sz w:val="22"/>
          <w:lang w:val="es-CO"/>
        </w:rPr>
        <w:t>lo podrán ser Mipymes las empresas</w:t>
      </w:r>
      <w:r w:rsidR="00112597" w:rsidRPr="001D0F68">
        <w:rPr>
          <w:rFonts w:ascii="Arial" w:hAnsi="Arial" w:cs="Arial"/>
          <w:sz w:val="22"/>
          <w:lang w:val="es-CO"/>
        </w:rPr>
        <w:t>,</w:t>
      </w:r>
      <w:r w:rsidR="00DD0E98" w:rsidRPr="001D0F68">
        <w:rPr>
          <w:rFonts w:ascii="Arial" w:hAnsi="Arial" w:cs="Arial"/>
          <w:sz w:val="22"/>
          <w:lang w:val="es-CO"/>
        </w:rPr>
        <w:t xml:space="preserve"> entendidas </w:t>
      </w:r>
      <w:r w:rsidR="005B3880" w:rsidRPr="001D0F68">
        <w:rPr>
          <w:rFonts w:ascii="Arial" w:hAnsi="Arial" w:cs="Arial"/>
          <w:sz w:val="22"/>
          <w:lang w:val="es-CO"/>
        </w:rPr>
        <w:t>e</w:t>
      </w:r>
      <w:r w:rsidR="00DD0E98" w:rsidRPr="001D0F68">
        <w:rPr>
          <w:rFonts w:ascii="Arial" w:hAnsi="Arial" w:cs="Arial"/>
          <w:sz w:val="22"/>
          <w:lang w:val="es-CO"/>
        </w:rPr>
        <w:t>stas como la</w:t>
      </w:r>
      <w:r w:rsidR="005B3880" w:rsidRPr="001D0F68">
        <w:rPr>
          <w:rFonts w:ascii="Arial" w:hAnsi="Arial" w:cs="Arial"/>
          <w:sz w:val="22"/>
          <w:lang w:val="es-CO"/>
        </w:rPr>
        <w:t>s</w:t>
      </w:r>
      <w:r w:rsidR="00DD0E98" w:rsidRPr="001D0F68">
        <w:rPr>
          <w:rFonts w:ascii="Arial" w:hAnsi="Arial" w:cs="Arial"/>
          <w:sz w:val="22"/>
          <w:lang w:val="es-CO"/>
        </w:rPr>
        <w:t xml:space="preserve"> unidad</w:t>
      </w:r>
      <w:r w:rsidR="005B3880" w:rsidRPr="001D0F68">
        <w:rPr>
          <w:rFonts w:ascii="Arial" w:hAnsi="Arial" w:cs="Arial"/>
          <w:sz w:val="22"/>
          <w:lang w:val="es-CO"/>
        </w:rPr>
        <w:t>es</w:t>
      </w:r>
      <w:r w:rsidR="00DD0E98" w:rsidRPr="001D0F68">
        <w:rPr>
          <w:rFonts w:ascii="Arial" w:hAnsi="Arial" w:cs="Arial"/>
          <w:sz w:val="22"/>
          <w:lang w:val="es-CO"/>
        </w:rPr>
        <w:t xml:space="preserve"> de explotación económica que busca</w:t>
      </w:r>
      <w:r w:rsidR="005B3880" w:rsidRPr="001D0F68">
        <w:rPr>
          <w:rFonts w:ascii="Arial" w:hAnsi="Arial" w:cs="Arial"/>
          <w:sz w:val="22"/>
          <w:lang w:val="es-CO"/>
        </w:rPr>
        <w:t>n</w:t>
      </w:r>
      <w:r w:rsidR="00DD0E98" w:rsidRPr="001D0F68">
        <w:rPr>
          <w:rFonts w:ascii="Arial" w:hAnsi="Arial" w:cs="Arial"/>
          <w:sz w:val="22"/>
          <w:lang w:val="es-CO"/>
        </w:rPr>
        <w:t xml:space="preserve"> el reparto de utilidades entre los miembros de la empresa.</w:t>
      </w:r>
      <w:r w:rsidR="00112597" w:rsidRPr="001D0F68">
        <w:rPr>
          <w:rFonts w:ascii="Arial" w:hAnsi="Arial" w:cs="Arial"/>
          <w:sz w:val="22"/>
          <w:lang w:val="es-CO"/>
        </w:rPr>
        <w:t xml:space="preserve"> De esta forma, e</w:t>
      </w:r>
      <w:r w:rsidR="00DD0E98" w:rsidRPr="001D0F68">
        <w:rPr>
          <w:rFonts w:ascii="Arial" w:hAnsi="Arial" w:cs="Arial"/>
          <w:sz w:val="22"/>
          <w:lang w:val="es-CO"/>
        </w:rPr>
        <w:t xml:space="preserve">n razón a que las </w:t>
      </w:r>
      <w:r w:rsidR="00AD37A7" w:rsidRPr="001D0F68">
        <w:rPr>
          <w:rFonts w:ascii="Arial" w:hAnsi="Arial" w:cs="Arial"/>
          <w:sz w:val="22"/>
          <w:lang w:val="es-CO"/>
        </w:rPr>
        <w:t>ESAL</w:t>
      </w:r>
      <w:r w:rsidR="00DD0E98" w:rsidRPr="001D0F68">
        <w:rPr>
          <w:rFonts w:ascii="Arial" w:hAnsi="Arial" w:cs="Arial"/>
          <w:sz w:val="22"/>
          <w:lang w:val="es-CO"/>
        </w:rPr>
        <w:t xml:space="preserve"> no persiguen el reparto de utilidades entre sus miembros, sino que su objeto está destinado a realizar una actividad de interés general sin esperar a cambio </w:t>
      </w:r>
      <w:r w:rsidR="002A76AF" w:rsidRPr="001D0F68">
        <w:rPr>
          <w:rFonts w:ascii="Arial" w:hAnsi="Arial" w:cs="Arial"/>
          <w:sz w:val="22"/>
          <w:lang w:val="es-CO"/>
        </w:rPr>
        <w:t xml:space="preserve">un reparto </w:t>
      </w:r>
      <w:r w:rsidR="00DD0E98" w:rsidRPr="001D0F68">
        <w:rPr>
          <w:rFonts w:ascii="Arial" w:hAnsi="Arial" w:cs="Arial"/>
          <w:sz w:val="22"/>
          <w:lang w:val="es-CO"/>
        </w:rPr>
        <w:t xml:space="preserve">de </w:t>
      </w:r>
      <w:r w:rsidR="002A76AF" w:rsidRPr="001D0F68">
        <w:rPr>
          <w:rFonts w:ascii="Arial" w:hAnsi="Arial" w:cs="Arial"/>
          <w:sz w:val="22"/>
          <w:lang w:val="es-CO"/>
        </w:rPr>
        <w:t xml:space="preserve">ganancia </w:t>
      </w:r>
      <w:r w:rsidR="00DD0E98" w:rsidRPr="001D0F68">
        <w:rPr>
          <w:rFonts w:ascii="Arial" w:hAnsi="Arial" w:cs="Arial"/>
          <w:sz w:val="22"/>
          <w:lang w:val="es-CO"/>
        </w:rPr>
        <w:t>en proporción a sus utilidades</w:t>
      </w:r>
      <w:r w:rsidR="00D24682" w:rsidRPr="001D0F68">
        <w:rPr>
          <w:rFonts w:ascii="Arial" w:hAnsi="Arial" w:cs="Arial"/>
          <w:sz w:val="22"/>
          <w:lang w:val="es-CO"/>
        </w:rPr>
        <w:t xml:space="preserve">, lo cierto es que estas </w:t>
      </w:r>
      <w:r w:rsidR="00DD0E98" w:rsidRPr="001D0F68">
        <w:rPr>
          <w:rFonts w:ascii="Arial" w:hAnsi="Arial" w:cs="Arial"/>
          <w:sz w:val="22"/>
          <w:lang w:val="es-CO"/>
        </w:rPr>
        <w:t>no podrán participar en los procesos de contratación limitado a Mipymes</w:t>
      </w:r>
      <w:r w:rsidR="00515434">
        <w:rPr>
          <w:rFonts w:ascii="Arial" w:hAnsi="Arial" w:cs="Arial"/>
          <w:sz w:val="22"/>
          <w:lang w:val="es-CO"/>
        </w:rPr>
        <w:t>. Lo a</w:t>
      </w:r>
      <w:r w:rsidR="00E06B8C">
        <w:rPr>
          <w:rFonts w:ascii="Arial" w:hAnsi="Arial" w:cs="Arial"/>
          <w:sz w:val="22"/>
          <w:lang w:val="es-CO"/>
        </w:rPr>
        <w:t>nterior</w:t>
      </w:r>
      <w:r w:rsidR="00621DD6">
        <w:rPr>
          <w:rFonts w:ascii="Arial" w:hAnsi="Arial" w:cs="Arial"/>
          <w:sz w:val="22"/>
          <w:lang w:val="es-CO"/>
        </w:rPr>
        <w:t xml:space="preserve"> teniendo en cuenta que</w:t>
      </w:r>
      <w:r w:rsidR="00433CB5" w:rsidRPr="001D0F68">
        <w:rPr>
          <w:rFonts w:ascii="Arial" w:hAnsi="Arial" w:cs="Arial"/>
          <w:sz w:val="22"/>
          <w:lang w:val="es-CO"/>
        </w:rPr>
        <w:t xml:space="preserve"> no responde</w:t>
      </w:r>
      <w:r w:rsidR="00621DD6">
        <w:rPr>
          <w:rFonts w:ascii="Arial" w:hAnsi="Arial" w:cs="Arial"/>
          <w:sz w:val="22"/>
          <w:lang w:val="es-CO"/>
        </w:rPr>
        <w:t>n</w:t>
      </w:r>
      <w:r w:rsidR="00433CB5" w:rsidRPr="001D0F68">
        <w:rPr>
          <w:rFonts w:ascii="Arial" w:hAnsi="Arial" w:cs="Arial"/>
          <w:sz w:val="22"/>
          <w:lang w:val="es-CO"/>
        </w:rPr>
        <w:t xml:space="preserve"> al concepto de empresa </w:t>
      </w:r>
      <w:r w:rsidR="00A841C5" w:rsidRPr="001D0F68">
        <w:rPr>
          <w:rFonts w:ascii="Arial" w:hAnsi="Arial" w:cs="Arial"/>
          <w:sz w:val="22"/>
          <w:lang w:val="es-CO"/>
        </w:rPr>
        <w:t>que involucra dicha categoría</w:t>
      </w:r>
      <w:r w:rsidR="00B5571B" w:rsidRPr="001D0F68">
        <w:rPr>
          <w:rFonts w:ascii="Arial" w:hAnsi="Arial" w:cs="Arial"/>
          <w:sz w:val="22"/>
          <w:lang w:val="es-CO"/>
        </w:rPr>
        <w:t>, por lo que no resulta jurídicamente válido aplicar a las ESAL las normas dirigidas a las Mipymes.</w:t>
      </w:r>
      <w:r w:rsidR="00AD37A7" w:rsidRPr="001D0F68">
        <w:rPr>
          <w:rFonts w:ascii="Arial" w:hAnsi="Arial" w:cs="Arial"/>
          <w:sz w:val="22"/>
          <w:lang w:val="es-CO"/>
        </w:rPr>
        <w:t xml:space="preserve"> </w:t>
      </w:r>
    </w:p>
    <w:p w14:paraId="559ED51B" w14:textId="77777777" w:rsidR="00DD0E98" w:rsidRPr="001D0F68" w:rsidRDefault="00DD0E98" w:rsidP="00DD0E98">
      <w:pPr>
        <w:spacing w:line="276" w:lineRule="auto"/>
        <w:ind w:right="709"/>
        <w:jc w:val="both"/>
        <w:rPr>
          <w:rFonts w:ascii="Arial" w:hAnsi="Arial" w:cs="Arial"/>
          <w:sz w:val="21"/>
          <w:szCs w:val="21"/>
          <w:lang w:val="es-CO"/>
        </w:rPr>
      </w:pPr>
    </w:p>
    <w:p w14:paraId="4487ABBD" w14:textId="00D268F1" w:rsidR="008C487C" w:rsidRPr="001D0F68" w:rsidRDefault="008C487C" w:rsidP="008C487C">
      <w:pPr>
        <w:pStyle w:val="Prrafodelista"/>
        <w:numPr>
          <w:ilvl w:val="0"/>
          <w:numId w:val="1"/>
        </w:numPr>
        <w:tabs>
          <w:tab w:val="left" w:pos="284"/>
        </w:tabs>
        <w:spacing w:line="276" w:lineRule="auto"/>
        <w:ind w:left="0" w:firstLine="0"/>
        <w:rPr>
          <w:rFonts w:ascii="Arial" w:hAnsi="Arial" w:cs="Arial"/>
          <w:b/>
          <w:bCs/>
          <w:sz w:val="22"/>
          <w:lang w:val="es-CO"/>
        </w:rPr>
      </w:pPr>
      <w:r w:rsidRPr="001D0F68">
        <w:rPr>
          <w:rFonts w:ascii="Arial" w:hAnsi="Arial" w:cs="Arial"/>
          <w:b/>
          <w:bCs/>
          <w:sz w:val="22"/>
          <w:lang w:val="es-CO"/>
        </w:rPr>
        <w:t xml:space="preserve">Respuesta </w:t>
      </w:r>
    </w:p>
    <w:p w14:paraId="3137D784" w14:textId="77777777" w:rsidR="00A611FE" w:rsidRPr="001D0F68" w:rsidRDefault="00A611FE" w:rsidP="00A611FE">
      <w:pPr>
        <w:spacing w:line="276" w:lineRule="auto"/>
        <w:jc w:val="both"/>
        <w:rPr>
          <w:rFonts w:ascii="Arial" w:hAnsi="Arial" w:cs="Arial"/>
          <w:sz w:val="22"/>
          <w:lang w:val="es-CO"/>
        </w:rPr>
      </w:pPr>
    </w:p>
    <w:p w14:paraId="7F61FB8E" w14:textId="21BF9729" w:rsidR="006223B8" w:rsidRPr="001D0F68" w:rsidRDefault="008C4921" w:rsidP="00A611FE">
      <w:pPr>
        <w:spacing w:line="276" w:lineRule="auto"/>
        <w:jc w:val="both"/>
        <w:rPr>
          <w:rFonts w:ascii="Arial" w:hAnsi="Arial" w:cs="Arial"/>
          <w:sz w:val="22"/>
          <w:lang w:val="es-CO"/>
        </w:rPr>
      </w:pPr>
      <w:r w:rsidRPr="001D0F68">
        <w:rPr>
          <w:rFonts w:ascii="Arial" w:hAnsi="Arial" w:cs="Arial"/>
          <w:sz w:val="22"/>
          <w:lang w:val="es-CO"/>
        </w:rPr>
        <w:t>C</w:t>
      </w:r>
      <w:r w:rsidR="006223B8" w:rsidRPr="001D0F68">
        <w:rPr>
          <w:rFonts w:ascii="Arial" w:hAnsi="Arial" w:cs="Arial"/>
          <w:sz w:val="22"/>
          <w:lang w:val="es-CO"/>
        </w:rPr>
        <w:t xml:space="preserve">on fundamento en las consideraciones expuestas, Colombia Compra eficiente confirma la tesis sostenida en </w:t>
      </w:r>
      <w:r w:rsidRPr="001D0F68">
        <w:rPr>
          <w:rFonts w:ascii="Arial" w:hAnsi="Arial" w:cs="Arial"/>
          <w:sz w:val="22"/>
          <w:lang w:val="es-CO"/>
        </w:rPr>
        <w:t>los</w:t>
      </w:r>
      <w:r w:rsidR="006223B8" w:rsidRPr="001D0F68">
        <w:rPr>
          <w:rFonts w:ascii="Arial" w:hAnsi="Arial" w:cs="Arial"/>
          <w:sz w:val="22"/>
          <w:lang w:val="es-CO"/>
        </w:rPr>
        <w:t xml:space="preserve"> concepto</w:t>
      </w:r>
      <w:r w:rsidR="006856C5" w:rsidRPr="001D0F68">
        <w:rPr>
          <w:rFonts w:ascii="Arial" w:hAnsi="Arial" w:cs="Arial"/>
          <w:sz w:val="22"/>
          <w:lang w:val="es-CO"/>
        </w:rPr>
        <w:t>s</w:t>
      </w:r>
      <w:r w:rsidR="006223B8" w:rsidRPr="001D0F68">
        <w:rPr>
          <w:rFonts w:ascii="Arial" w:hAnsi="Arial" w:cs="Arial"/>
          <w:sz w:val="22"/>
          <w:lang w:val="es-CO"/>
        </w:rPr>
        <w:t xml:space="preserve"> del 21 de julio de 2016 −radicado No. E20161300000072− objeto de la solicitud de </w:t>
      </w:r>
      <w:r w:rsidR="006856C5" w:rsidRPr="001D0F68">
        <w:rPr>
          <w:rFonts w:ascii="Arial" w:hAnsi="Arial" w:cs="Arial"/>
          <w:sz w:val="22"/>
          <w:lang w:val="es-CO"/>
        </w:rPr>
        <w:t>«reconsideración</w:t>
      </w:r>
      <w:r w:rsidR="006223B8" w:rsidRPr="001D0F68">
        <w:rPr>
          <w:rFonts w:ascii="Arial" w:hAnsi="Arial" w:cs="Arial"/>
          <w:sz w:val="22"/>
          <w:lang w:val="es-CO"/>
        </w:rPr>
        <w:t xml:space="preserve">», reiterada en </w:t>
      </w:r>
      <w:r w:rsidR="006223B8" w:rsidRPr="001D0F68">
        <w:rPr>
          <w:rFonts w:ascii="Arial" w:eastAsia="Calibri" w:hAnsi="Arial" w:cs="Arial"/>
          <w:sz w:val="22"/>
        </w:rPr>
        <w:t>los conceptos del 20, 21 y 22 de agosto y el 17 de septiembre de 2019 −radicados Nos. 2201913000006007, 2201913000006081, 2201913000006151 y 2201913000006895−</w:t>
      </w:r>
      <w:r w:rsidR="006223B8" w:rsidRPr="001D0F68">
        <w:rPr>
          <w:rFonts w:ascii="Arial" w:hAnsi="Arial" w:cs="Arial"/>
          <w:sz w:val="22"/>
          <w:lang w:val="es-CO"/>
        </w:rPr>
        <w:t>,</w:t>
      </w:r>
      <w:r w:rsidRPr="001D0F68">
        <w:rPr>
          <w:rFonts w:ascii="Arial" w:hAnsi="Arial" w:cs="Arial"/>
          <w:sz w:val="22"/>
          <w:lang w:val="es-CO"/>
        </w:rPr>
        <w:t xml:space="preserve"> C-258 del 17 de abril de 2020 y C-</w:t>
      </w:r>
      <w:r w:rsidR="00646073" w:rsidRPr="001D0F68">
        <w:rPr>
          <w:rFonts w:ascii="Arial" w:hAnsi="Arial" w:cs="Arial"/>
          <w:sz w:val="22"/>
          <w:lang w:val="es-CO"/>
        </w:rPr>
        <w:t xml:space="preserve">413 de 30 de junio de 2020, </w:t>
      </w:r>
      <w:r w:rsidR="006223B8" w:rsidRPr="001D0F68">
        <w:rPr>
          <w:rFonts w:ascii="Arial" w:hAnsi="Arial" w:cs="Arial"/>
          <w:sz w:val="22"/>
          <w:lang w:val="es-CO"/>
        </w:rPr>
        <w:t xml:space="preserve"> según la cual las fundaciones, corporaciones, </w:t>
      </w:r>
      <w:r w:rsidR="006223B8" w:rsidRPr="001D0F68">
        <w:rPr>
          <w:rFonts w:ascii="Arial" w:hAnsi="Arial" w:cs="Arial"/>
          <w:sz w:val="22"/>
          <w:lang w:val="es-CO"/>
        </w:rPr>
        <w:lastRenderedPageBreak/>
        <w:t xml:space="preserve">asociaciones y demás entidades sin ánimo de lucro no pueden participar en los procesos de contratación limitados a Mipymes, a pesar de cumplir los requisitos regulados en los numerales 1, 2 y 3 del artículo 2 de la Ley 905 de 2004, </w:t>
      </w:r>
      <w:r w:rsidR="00B22297">
        <w:rPr>
          <w:rStyle w:val="normaltextrun"/>
          <w:rFonts w:ascii="Arial" w:hAnsi="Arial" w:cs="Arial"/>
          <w:color w:val="000000"/>
          <w:sz w:val="22"/>
          <w:shd w:val="clear" w:color="auto" w:fill="FFFFFF"/>
          <w:lang w:val="es-CO"/>
        </w:rPr>
        <w:t>porque tales fundaciones, corporaciones o asociaciones no son empresas y no cumplen las condiciones para las convocatorias limitadas a </w:t>
      </w:r>
      <w:r w:rsidR="00B22297" w:rsidRPr="00A250F5">
        <w:rPr>
          <w:rStyle w:val="normaltextrun"/>
          <w:rFonts w:ascii="Arial" w:hAnsi="Arial" w:cs="Arial"/>
          <w:color w:val="000000"/>
          <w:sz w:val="22"/>
          <w:lang w:val="es-CO"/>
        </w:rPr>
        <w:t>Mipymes</w:t>
      </w:r>
      <w:r w:rsidR="006223B8" w:rsidRPr="00A250F5">
        <w:rPr>
          <w:rFonts w:ascii="Arial" w:hAnsi="Arial" w:cs="Arial"/>
          <w:sz w:val="22"/>
          <w:lang w:val="es-CO"/>
        </w:rPr>
        <w:t>.</w:t>
      </w:r>
    </w:p>
    <w:p w14:paraId="6CFC6554" w14:textId="77777777" w:rsidR="006223B8" w:rsidRPr="001D0F68" w:rsidRDefault="006223B8" w:rsidP="006223B8">
      <w:pPr>
        <w:spacing w:before="120" w:line="276" w:lineRule="auto"/>
        <w:ind w:firstLine="708"/>
        <w:jc w:val="both"/>
        <w:rPr>
          <w:rFonts w:ascii="Arial" w:hAnsi="Arial" w:cs="Arial"/>
          <w:sz w:val="22"/>
          <w:lang w:val="es-CO"/>
        </w:rPr>
      </w:pPr>
      <w:r w:rsidRPr="001D0F68">
        <w:rPr>
          <w:rFonts w:ascii="Arial" w:hAnsi="Arial" w:cs="Arial"/>
          <w:sz w:val="22"/>
          <w:lang w:val="es-CO"/>
        </w:rPr>
        <w:t>Lo anterior, claro está, no quiere decir que las ESAL no sean personas jurídicas o que no tengan capacidad contractual, como parece entenderlo el solicitante. De hecho, a través del Decreto 92 de 2017 se reguló su régimen especial de contratación e, incluso, nada obsta para que las ESAL participen, en términos de igualdad con los demás oferentes, en los diferentes procesos contractuales que regula el Estatuto General de Contratación de la Administración Pública, salvo, se insiste, aquellos procesos contractuales limitados a Mipymes.</w:t>
      </w:r>
    </w:p>
    <w:p w14:paraId="33F877D9" w14:textId="77777777" w:rsidR="00886F29" w:rsidRPr="001D0F68" w:rsidRDefault="00886F29" w:rsidP="00A250F5">
      <w:pPr>
        <w:spacing w:after="120" w:line="276" w:lineRule="auto"/>
        <w:jc w:val="both"/>
        <w:rPr>
          <w:rFonts w:ascii="Arial" w:hAnsi="Arial" w:cs="Arial"/>
          <w:sz w:val="22"/>
          <w:lang w:val="es-CO"/>
        </w:rPr>
      </w:pPr>
    </w:p>
    <w:bookmarkEnd w:id="0"/>
    <w:bookmarkEnd w:id="1"/>
    <w:p w14:paraId="505C5D3F" w14:textId="4E16D59D" w:rsidR="00644BC2" w:rsidRPr="001D0F68" w:rsidRDefault="00D55680" w:rsidP="00644BC2">
      <w:pPr>
        <w:spacing w:after="120" w:line="276" w:lineRule="auto"/>
        <w:jc w:val="both"/>
        <w:rPr>
          <w:rFonts w:ascii="Arial" w:eastAsia="Calibri" w:hAnsi="Arial" w:cs="Arial"/>
          <w:sz w:val="22"/>
        </w:rPr>
      </w:pPr>
      <w:r w:rsidRPr="00D55680">
        <w:rPr>
          <w:rFonts w:ascii="Arial" w:eastAsia="Calibri" w:hAnsi="Arial" w:cs="Arial"/>
          <w:sz w:val="22"/>
        </w:rPr>
        <w:t>Este concepto, al igual que el que se reitera, tiene el alcance previsto en el artículo 28 del Código de Procedimiento Administrativo y de lo Contencioso Administrativo, modificado por el artículo 1 de la Ley 1755 de 2015</w:t>
      </w:r>
      <w:r w:rsidR="00644BC2" w:rsidRPr="001D0F68">
        <w:rPr>
          <w:rFonts w:ascii="Arial" w:eastAsia="Calibri" w:hAnsi="Arial" w:cs="Arial"/>
          <w:sz w:val="22"/>
        </w:rPr>
        <w:t>.</w:t>
      </w:r>
    </w:p>
    <w:p w14:paraId="02720F62" w14:textId="4FDF0ACE" w:rsidR="00644BC2" w:rsidRPr="001D0F68" w:rsidRDefault="00644BC2" w:rsidP="00644BC2">
      <w:pPr>
        <w:jc w:val="both"/>
        <w:rPr>
          <w:rFonts w:ascii="Arial" w:eastAsia="Calibri" w:hAnsi="Arial" w:cs="Arial"/>
          <w:sz w:val="22"/>
        </w:rPr>
      </w:pPr>
      <w:r w:rsidRPr="001D0F68">
        <w:rPr>
          <w:noProof/>
        </w:rPr>
        <mc:AlternateContent>
          <mc:Choice Requires="wps">
            <w:drawing>
              <wp:anchor distT="0" distB="0" distL="114300" distR="114300" simplePos="0" relativeHeight="251659264" behindDoc="0" locked="0" layoutInCell="1" allowOverlap="1" wp14:anchorId="3FEAF780" wp14:editId="3AAE69D0">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F0739A"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CC4DFBE" w14:textId="77777777" w:rsidR="00644BC2" w:rsidRPr="001D0F68" w:rsidRDefault="00644BC2" w:rsidP="00644BC2">
      <w:pPr>
        <w:spacing w:line="276" w:lineRule="auto"/>
        <w:jc w:val="both"/>
        <w:rPr>
          <w:rFonts w:ascii="Arial" w:hAnsi="Arial" w:cs="Arial"/>
          <w:szCs w:val="20"/>
        </w:rPr>
      </w:pPr>
      <w:bookmarkStart w:id="3" w:name="_Hlk50370367"/>
      <w:r w:rsidRPr="001D0F68">
        <w:rPr>
          <w:rFonts w:ascii="Arial" w:hAnsi="Arial" w:cs="Arial"/>
          <w:sz w:val="22"/>
          <w:lang w:eastAsia="es-CO"/>
        </w:rPr>
        <w:t>Atentamente</w:t>
      </w:r>
      <w:r w:rsidRPr="001D0F68">
        <w:rPr>
          <w:rFonts w:ascii="Arial" w:hAnsi="Arial" w:cs="Arial"/>
          <w:lang w:eastAsia="es-CO"/>
        </w:rPr>
        <w:t>,</w:t>
      </w:r>
    </w:p>
    <w:bookmarkEnd w:id="3"/>
    <w:p w14:paraId="57C85E41" w14:textId="77777777" w:rsidR="00644BC2" w:rsidRPr="001D0F68" w:rsidRDefault="00644BC2" w:rsidP="00644BC2">
      <w:pPr>
        <w:jc w:val="both"/>
        <w:rPr>
          <w:rFonts w:ascii="Arial" w:hAnsi="Arial" w:cs="Arial"/>
          <w:lang w:eastAsia="es-CO"/>
        </w:rPr>
      </w:pPr>
    </w:p>
    <w:p w14:paraId="3CD4D97A" w14:textId="77777777" w:rsidR="00644BC2" w:rsidRPr="001D0F68" w:rsidRDefault="00644BC2" w:rsidP="00644BC2">
      <w:pPr>
        <w:spacing w:after="18"/>
        <w:jc w:val="center"/>
        <w:rPr>
          <w:rFonts w:ascii="Arial" w:hAnsi="Arial" w:cs="Arial"/>
          <w:lang w:eastAsia="es-CO"/>
        </w:rPr>
      </w:pPr>
    </w:p>
    <w:p w14:paraId="4CA7EC72" w14:textId="501E1665" w:rsidR="00644BC2" w:rsidRPr="001D0F68" w:rsidRDefault="000C5778" w:rsidP="00644BC2">
      <w:pPr>
        <w:spacing w:after="18"/>
        <w:jc w:val="center"/>
        <w:rPr>
          <w:rFonts w:ascii="Arial" w:hAnsi="Arial" w:cs="Arial"/>
          <w:lang w:eastAsia="es-CO"/>
        </w:rPr>
      </w:pPr>
      <w:r>
        <w:rPr>
          <w:noProof/>
        </w:rPr>
        <w:drawing>
          <wp:inline distT="0" distB="0" distL="0" distR="0" wp14:anchorId="2D4E059F" wp14:editId="253A71F1">
            <wp:extent cx="2514600" cy="111252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514600" cy="1112520"/>
                    </a:xfrm>
                    <a:prstGeom prst="rect">
                      <a:avLst/>
                    </a:prstGeom>
                  </pic:spPr>
                </pic:pic>
              </a:graphicData>
            </a:graphic>
          </wp:inline>
        </w:drawing>
      </w:r>
    </w:p>
    <w:p w14:paraId="6126A40F" w14:textId="77777777" w:rsidR="00644BC2" w:rsidRPr="001D0F68" w:rsidRDefault="00644BC2" w:rsidP="00644BC2">
      <w:pPr>
        <w:spacing w:after="18"/>
        <w:jc w:val="center"/>
        <w:rPr>
          <w:rFonts w:ascii="Arial" w:hAnsi="Arial" w:cs="Arial"/>
          <w:lang w:eastAsia="es-CO"/>
        </w:rPr>
      </w:pPr>
    </w:p>
    <w:p w14:paraId="74C12529" w14:textId="77777777" w:rsidR="00644BC2" w:rsidRPr="001D0F68" w:rsidRDefault="00644BC2" w:rsidP="00644BC2">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988"/>
      </w:tblGrid>
      <w:tr w:rsidR="001D0F68" w:rsidRPr="001D0F68" w14:paraId="551347AA" w14:textId="77777777" w:rsidTr="00C17FE3">
        <w:trPr>
          <w:trHeight w:val="286"/>
        </w:trPr>
        <w:tc>
          <w:tcPr>
            <w:tcW w:w="817" w:type="dxa"/>
            <w:vAlign w:val="center"/>
            <w:hideMark/>
          </w:tcPr>
          <w:p w14:paraId="30BB82C4" w14:textId="77777777" w:rsidR="00644BC2" w:rsidRPr="001D0F68" w:rsidRDefault="00644BC2" w:rsidP="00C17FE3">
            <w:pPr>
              <w:rPr>
                <w:rFonts w:ascii="Arial" w:hAnsi="Arial" w:cs="Arial"/>
                <w:sz w:val="14"/>
                <w:szCs w:val="14"/>
                <w:lang w:eastAsia="es-ES"/>
              </w:rPr>
            </w:pPr>
            <w:r w:rsidRPr="001D0F68">
              <w:rPr>
                <w:rFonts w:ascii="Arial" w:hAnsi="Arial" w:cs="Arial"/>
                <w:sz w:val="14"/>
                <w:szCs w:val="14"/>
                <w:lang w:eastAsia="es-ES"/>
              </w:rPr>
              <w:t>Elaboró:</w:t>
            </w:r>
          </w:p>
        </w:tc>
        <w:tc>
          <w:tcPr>
            <w:tcW w:w="3988" w:type="dxa"/>
            <w:tcBorders>
              <w:top w:val="nil"/>
              <w:left w:val="nil"/>
              <w:bottom w:val="dotted" w:sz="4" w:space="0" w:color="7F7F7F"/>
              <w:right w:val="nil"/>
            </w:tcBorders>
            <w:vAlign w:val="center"/>
            <w:hideMark/>
          </w:tcPr>
          <w:p w14:paraId="24947032" w14:textId="77777777" w:rsidR="00644BC2" w:rsidRPr="001D0F68" w:rsidRDefault="00644BC2" w:rsidP="00C17FE3">
            <w:pPr>
              <w:rPr>
                <w:rFonts w:ascii="Arial" w:hAnsi="Arial" w:cs="Arial"/>
                <w:sz w:val="14"/>
                <w:szCs w:val="14"/>
                <w:lang w:eastAsia="es-ES"/>
              </w:rPr>
            </w:pPr>
            <w:r w:rsidRPr="001D0F68">
              <w:rPr>
                <w:rFonts w:ascii="Arial" w:hAnsi="Arial" w:cs="Arial"/>
                <w:sz w:val="14"/>
                <w:szCs w:val="14"/>
                <w:lang w:eastAsia="es-ES"/>
              </w:rPr>
              <w:t>Alejandro Sarmiento Cantillo</w:t>
            </w:r>
          </w:p>
          <w:p w14:paraId="6DA10394" w14:textId="77777777" w:rsidR="00644BC2" w:rsidRPr="001D0F68" w:rsidRDefault="00644BC2" w:rsidP="00C17FE3">
            <w:pPr>
              <w:rPr>
                <w:rFonts w:ascii="Arial" w:hAnsi="Arial" w:cs="Arial"/>
                <w:sz w:val="14"/>
                <w:szCs w:val="14"/>
                <w:lang w:eastAsia="es-ES"/>
              </w:rPr>
            </w:pPr>
            <w:r w:rsidRPr="001D0F68">
              <w:rPr>
                <w:rFonts w:ascii="Arial" w:hAnsi="Arial" w:cs="Arial"/>
                <w:sz w:val="14"/>
                <w:szCs w:val="14"/>
                <w:lang w:eastAsia="es-ES"/>
              </w:rPr>
              <w:t>Gestor T1-11 de la Subdirección de Gestión Contractual</w:t>
            </w:r>
          </w:p>
        </w:tc>
      </w:tr>
      <w:tr w:rsidR="001D0F68" w:rsidRPr="001D0F68" w14:paraId="22B9FEA8" w14:textId="77777777" w:rsidTr="00C17FE3">
        <w:trPr>
          <w:trHeight w:val="299"/>
        </w:trPr>
        <w:tc>
          <w:tcPr>
            <w:tcW w:w="817" w:type="dxa"/>
            <w:vAlign w:val="center"/>
            <w:hideMark/>
          </w:tcPr>
          <w:p w14:paraId="5FB12B2F" w14:textId="77777777" w:rsidR="00644BC2" w:rsidRPr="001D0F68" w:rsidRDefault="00644BC2" w:rsidP="00C17FE3">
            <w:pPr>
              <w:rPr>
                <w:rFonts w:ascii="Arial" w:hAnsi="Arial" w:cs="Arial"/>
                <w:sz w:val="14"/>
                <w:szCs w:val="14"/>
                <w:lang w:eastAsia="es-ES"/>
              </w:rPr>
            </w:pPr>
            <w:r w:rsidRPr="001D0F68">
              <w:rPr>
                <w:rFonts w:ascii="Arial" w:hAnsi="Arial" w:cs="Arial"/>
                <w:sz w:val="14"/>
                <w:szCs w:val="14"/>
                <w:lang w:eastAsia="es-ES"/>
              </w:rPr>
              <w:t>Revisó:</w:t>
            </w:r>
          </w:p>
        </w:tc>
        <w:tc>
          <w:tcPr>
            <w:tcW w:w="3988" w:type="dxa"/>
            <w:tcBorders>
              <w:top w:val="dotted" w:sz="4" w:space="0" w:color="7F7F7F"/>
              <w:left w:val="nil"/>
              <w:bottom w:val="dotted" w:sz="4" w:space="0" w:color="7F7F7F"/>
              <w:right w:val="nil"/>
            </w:tcBorders>
            <w:vAlign w:val="center"/>
            <w:hideMark/>
          </w:tcPr>
          <w:p w14:paraId="2AD28F87" w14:textId="77777777" w:rsidR="00644BC2" w:rsidRPr="001D0F68" w:rsidRDefault="00644BC2" w:rsidP="00C17FE3">
            <w:pPr>
              <w:rPr>
                <w:rFonts w:ascii="Arial" w:hAnsi="Arial" w:cs="Arial"/>
                <w:sz w:val="14"/>
                <w:szCs w:val="14"/>
                <w:lang w:eastAsia="es-ES"/>
              </w:rPr>
            </w:pPr>
            <w:r w:rsidRPr="001D0F68">
              <w:rPr>
                <w:rFonts w:ascii="Arial" w:hAnsi="Arial" w:cs="Arial"/>
                <w:sz w:val="14"/>
                <w:szCs w:val="14"/>
                <w:lang w:eastAsia="es-ES"/>
              </w:rPr>
              <w:t>Juan David Montoya Penagos</w:t>
            </w:r>
          </w:p>
          <w:p w14:paraId="6AD905A2" w14:textId="77777777" w:rsidR="00644BC2" w:rsidRPr="001D0F68" w:rsidRDefault="00644BC2" w:rsidP="00C17FE3">
            <w:pPr>
              <w:rPr>
                <w:rFonts w:ascii="Arial" w:hAnsi="Arial" w:cs="Arial"/>
                <w:sz w:val="14"/>
                <w:szCs w:val="14"/>
                <w:lang w:eastAsia="es-ES"/>
              </w:rPr>
            </w:pPr>
            <w:r w:rsidRPr="001D0F68">
              <w:rPr>
                <w:rFonts w:ascii="Arial" w:hAnsi="Arial" w:cs="Arial"/>
                <w:sz w:val="14"/>
                <w:szCs w:val="14"/>
                <w:lang w:eastAsia="es-ES"/>
              </w:rPr>
              <w:t>Gestor T1-15 de la Subdirección de Gestión Contractual</w:t>
            </w:r>
          </w:p>
        </w:tc>
      </w:tr>
      <w:tr w:rsidR="001D0F68" w:rsidRPr="001D0F68" w14:paraId="6BB26209" w14:textId="77777777" w:rsidTr="00C17FE3">
        <w:trPr>
          <w:trHeight w:val="272"/>
        </w:trPr>
        <w:tc>
          <w:tcPr>
            <w:tcW w:w="817" w:type="dxa"/>
            <w:vAlign w:val="center"/>
            <w:hideMark/>
          </w:tcPr>
          <w:p w14:paraId="546B2E99" w14:textId="77777777" w:rsidR="00644BC2" w:rsidRPr="001D0F68" w:rsidRDefault="00644BC2" w:rsidP="00C17FE3">
            <w:pPr>
              <w:rPr>
                <w:rFonts w:ascii="Arial" w:hAnsi="Arial" w:cs="Arial"/>
                <w:sz w:val="14"/>
                <w:szCs w:val="14"/>
                <w:lang w:eastAsia="es-ES"/>
              </w:rPr>
            </w:pPr>
            <w:r w:rsidRPr="001D0F68">
              <w:rPr>
                <w:rFonts w:ascii="Arial" w:hAnsi="Arial" w:cs="Arial"/>
                <w:sz w:val="14"/>
                <w:szCs w:val="14"/>
                <w:lang w:eastAsia="es-ES"/>
              </w:rPr>
              <w:t>Aprobó:</w:t>
            </w:r>
          </w:p>
        </w:tc>
        <w:tc>
          <w:tcPr>
            <w:tcW w:w="3988" w:type="dxa"/>
            <w:tcBorders>
              <w:top w:val="dotted" w:sz="4" w:space="0" w:color="7F7F7F"/>
              <w:left w:val="nil"/>
              <w:bottom w:val="dotted" w:sz="4" w:space="0" w:color="7F7F7F"/>
              <w:right w:val="nil"/>
            </w:tcBorders>
            <w:vAlign w:val="center"/>
            <w:hideMark/>
          </w:tcPr>
          <w:p w14:paraId="2EE78CEF" w14:textId="77777777" w:rsidR="00644BC2" w:rsidRPr="001D0F68" w:rsidRDefault="00644BC2" w:rsidP="00C17FE3">
            <w:pPr>
              <w:rPr>
                <w:rFonts w:ascii="Arial" w:hAnsi="Arial" w:cs="Arial"/>
                <w:sz w:val="14"/>
                <w:szCs w:val="14"/>
                <w:lang w:eastAsia="es-ES"/>
              </w:rPr>
            </w:pPr>
            <w:r w:rsidRPr="001D0F68">
              <w:rPr>
                <w:rFonts w:ascii="Arial" w:hAnsi="Arial" w:cs="Arial"/>
                <w:sz w:val="14"/>
                <w:szCs w:val="14"/>
                <w:lang w:eastAsia="es-ES"/>
              </w:rPr>
              <w:t>Jorge Augusto Tirado Navarro</w:t>
            </w:r>
          </w:p>
          <w:p w14:paraId="04166F24" w14:textId="751515CE" w:rsidR="00644BC2" w:rsidRPr="001D0F68" w:rsidRDefault="00644BC2" w:rsidP="00C17FE3">
            <w:pPr>
              <w:rPr>
                <w:rFonts w:ascii="Arial" w:hAnsi="Arial" w:cs="Arial"/>
                <w:sz w:val="14"/>
                <w:szCs w:val="14"/>
                <w:lang w:eastAsia="es-ES"/>
              </w:rPr>
            </w:pPr>
            <w:r w:rsidRPr="001D0F68">
              <w:rPr>
                <w:rFonts w:ascii="Arial" w:hAnsi="Arial" w:cs="Arial"/>
                <w:sz w:val="14"/>
                <w:szCs w:val="14"/>
                <w:lang w:eastAsia="es-ES"/>
              </w:rPr>
              <w:t xml:space="preserve">Subdirector de Gestión Contractual </w:t>
            </w:r>
            <w:r w:rsidR="00A56F41">
              <w:rPr>
                <w:rFonts w:ascii="Arial" w:hAnsi="Arial" w:cs="Arial"/>
                <w:sz w:val="14"/>
                <w:szCs w:val="14"/>
                <w:lang w:eastAsia="es-ES"/>
              </w:rPr>
              <w:t>ANCP - CCE</w:t>
            </w:r>
          </w:p>
        </w:tc>
      </w:tr>
    </w:tbl>
    <w:p w14:paraId="3567E8AF" w14:textId="77777777" w:rsidR="00644BC2" w:rsidRPr="001D0F68" w:rsidRDefault="00644BC2" w:rsidP="00644BC2">
      <w:pPr>
        <w:rPr>
          <w:rFonts w:ascii="Arial" w:hAnsi="Arial" w:cs="Arial"/>
          <w:lang w:eastAsia="es-ES"/>
        </w:rPr>
      </w:pPr>
    </w:p>
    <w:p w14:paraId="6E564D53" w14:textId="77777777" w:rsidR="00644BC2" w:rsidRPr="001D0F68" w:rsidRDefault="00644BC2" w:rsidP="00644BC2">
      <w:pPr>
        <w:rPr>
          <w:rFonts w:ascii="Arial" w:hAnsi="Arial" w:cs="Arial"/>
          <w:lang w:eastAsia="es-ES"/>
        </w:rPr>
      </w:pPr>
    </w:p>
    <w:p w14:paraId="085A31AB" w14:textId="59A0AE5E" w:rsidR="006C5955" w:rsidRPr="001D0F68" w:rsidRDefault="006C5955" w:rsidP="00644BC2">
      <w:pPr>
        <w:spacing w:before="120" w:line="276" w:lineRule="auto"/>
        <w:jc w:val="both"/>
        <w:rPr>
          <w:lang w:val="es-CO"/>
        </w:rPr>
      </w:pPr>
    </w:p>
    <w:sectPr w:rsidR="006C5955" w:rsidRPr="001D0F68" w:rsidSect="005573D8">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1229C" w14:textId="77777777" w:rsidR="00E00D86" w:rsidRDefault="00E00D86" w:rsidP="008C487C">
      <w:r>
        <w:separator/>
      </w:r>
    </w:p>
  </w:endnote>
  <w:endnote w:type="continuationSeparator" w:id="0">
    <w:p w14:paraId="4938CB7E" w14:textId="77777777" w:rsidR="00E00D86" w:rsidRDefault="00E00D86" w:rsidP="008C487C">
      <w:r>
        <w:continuationSeparator/>
      </w:r>
    </w:p>
  </w:endnote>
  <w:endnote w:type="continuationNotice" w:id="1">
    <w:p w14:paraId="0D1CFC9D" w14:textId="77777777" w:rsidR="00E00D86" w:rsidRDefault="00E00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52A1" w14:textId="77777777" w:rsidR="00F501D2" w:rsidRDefault="00F501D2" w:rsidP="005573D8">
    <w:pPr>
      <w:pStyle w:val="Sinespaciado"/>
      <w:jc w:val="right"/>
      <w:rPr>
        <w:rFonts w:ascii="Arial" w:hAnsi="Arial" w:cs="Arial"/>
        <w:sz w:val="18"/>
        <w:szCs w:val="18"/>
      </w:rPr>
    </w:pPr>
  </w:p>
  <w:p w14:paraId="3D3EB348" w14:textId="6FCEB55B" w:rsidR="005573D8" w:rsidRPr="008217B7" w:rsidRDefault="008C487C" w:rsidP="005573D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B35D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B35D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29709EEF" w14:textId="77777777" w:rsidR="005573D8" w:rsidRDefault="7DE4BB77" w:rsidP="005573D8">
    <w:pPr>
      <w:pStyle w:val="Piedepgina"/>
      <w:jc w:val="center"/>
      <w:rPr>
        <w:lang w:val="es-ES"/>
      </w:rPr>
    </w:pPr>
    <w:r>
      <w:rPr>
        <w:noProof/>
      </w:rPr>
      <w:drawing>
        <wp:inline distT="0" distB="0" distL="0" distR="0" wp14:anchorId="0323F87D" wp14:editId="2F85E833">
          <wp:extent cx="3700130" cy="519139"/>
          <wp:effectExtent l="0" t="0" r="0" b="0"/>
          <wp:docPr id="93766697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428179B1" w14:textId="77777777" w:rsidR="005573D8" w:rsidRPr="007B4DFC" w:rsidRDefault="005573D8" w:rsidP="005573D8">
    <w:pPr>
      <w:pStyle w:val="Piedepgina"/>
      <w:jc w:val="center"/>
      <w:rPr>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C035F" w14:textId="77777777" w:rsidR="00E00D86" w:rsidRDefault="00E00D86" w:rsidP="008C487C">
      <w:r>
        <w:separator/>
      </w:r>
    </w:p>
  </w:footnote>
  <w:footnote w:type="continuationSeparator" w:id="0">
    <w:p w14:paraId="1E38125E" w14:textId="77777777" w:rsidR="00E00D86" w:rsidRDefault="00E00D86" w:rsidP="008C487C">
      <w:r>
        <w:continuationSeparator/>
      </w:r>
    </w:p>
  </w:footnote>
  <w:footnote w:type="continuationNotice" w:id="1">
    <w:p w14:paraId="7C2E0579" w14:textId="77777777" w:rsidR="00E00D86" w:rsidRDefault="00E00D86"/>
  </w:footnote>
  <w:footnote w:id="2">
    <w:p w14:paraId="20B90DD5" w14:textId="77777777" w:rsidR="00936A0F" w:rsidRDefault="00936A0F" w:rsidP="00936A0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Cfr. Respuestas emitidas dentro de los radicados Nos.: 4202013000002250, 4202013000002249, 202013000002232, 4202013000002225, 4202013000002227, 4202013000002220, 4202013000002221,4202013000002217, 4202013000002215, 4202013000002230, 4202013000002223, 4202013000002219, 4202013000002237, 4202013000002210, 4202013000002278, 4202013000002277, 4202013000002272, 4202013000002696, 4202013000002699, 4202012000002681, 4202012000002683, 4202012000002676, 4202012000002682, 4202012000002689, 4202013000002697, 4202013000002723, 4202012000002688, 4202013000002813, 4202013000002808, 4202013000002798, 4202013000002793, 4202013000002792, 4202013000002791, 4202013000002790 y 4202020000002788, entre muchos otros similares.</w:t>
      </w:r>
    </w:p>
    <w:p w14:paraId="765468C9" w14:textId="77777777" w:rsidR="00936A0F" w:rsidRDefault="00936A0F" w:rsidP="00936A0F">
      <w:pPr>
        <w:pStyle w:val="Textonotapie"/>
        <w:ind w:firstLine="708"/>
        <w:jc w:val="both"/>
        <w:rPr>
          <w:rFonts w:ascii="Arial" w:hAnsi="Arial" w:cs="Arial"/>
          <w:sz w:val="19"/>
          <w:szCs w:val="19"/>
        </w:rPr>
      </w:pPr>
    </w:p>
  </w:footnote>
  <w:footnote w:id="3">
    <w:p w14:paraId="1F44E101" w14:textId="77777777" w:rsidR="00936A0F" w:rsidRDefault="00936A0F" w:rsidP="00936A0F">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Procuraduría General de la Nación. Concepto del 15 de octubre de 2014. Procuraduría Delegada para Asuntos Disciplinarios. Radicado PAD C-114-2014.</w:t>
      </w:r>
    </w:p>
    <w:p w14:paraId="3078B21D" w14:textId="77777777" w:rsidR="00936A0F" w:rsidRDefault="00936A0F" w:rsidP="00936A0F">
      <w:pPr>
        <w:pStyle w:val="Textonotapie"/>
        <w:ind w:firstLine="709"/>
        <w:jc w:val="both"/>
        <w:rPr>
          <w:rFonts w:ascii="Arial" w:hAnsi="Arial" w:cs="Arial"/>
          <w:sz w:val="19"/>
          <w:szCs w:val="19"/>
        </w:rPr>
      </w:pPr>
    </w:p>
  </w:footnote>
  <w:footnote w:id="4">
    <w:p w14:paraId="2155D8B4" w14:textId="77777777" w:rsidR="00936A0F" w:rsidRDefault="00936A0F" w:rsidP="00936A0F">
      <w:pPr>
        <w:pStyle w:val="Textonotapie"/>
        <w:ind w:firstLine="708"/>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Contraloría General de la República. Oficina Jurídica. Concepto 80112-OJ-008 2017.</w:t>
      </w:r>
    </w:p>
    <w:p w14:paraId="756746E2" w14:textId="77777777" w:rsidR="00936A0F" w:rsidRDefault="00936A0F" w:rsidP="00936A0F">
      <w:pPr>
        <w:pStyle w:val="Textonotapie"/>
        <w:ind w:firstLine="708"/>
      </w:pPr>
    </w:p>
  </w:footnote>
  <w:footnote w:id="5">
    <w:p w14:paraId="16172F9C" w14:textId="77777777" w:rsidR="00936A0F" w:rsidRDefault="00936A0F" w:rsidP="00936A0F">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Cfr. HERNÁNDEZ BECERRA, Augusto. Función Consultiva y Consejo de Estado en Colombia. Ponencia presentada en las III Jornadas Internacionales de la Función Consultiva, organizadas por el Instituto de Investigaciones Jurídicas y el programa de Postgrado en Derecho de la Universidad Nacional Autónoma de México – UNAM. México. 2012. Pág. 9. Texto disponible para ser consultado en el siguiente hipervínculo: </w:t>
      </w:r>
      <w:hyperlink r:id="rId1" w:history="1">
        <w:r>
          <w:rPr>
            <w:rStyle w:val="Hipervnculo"/>
            <w:rFonts w:ascii="Arial" w:hAnsi="Arial" w:cs="Arial"/>
            <w:sz w:val="19"/>
            <w:szCs w:val="19"/>
          </w:rPr>
          <w:t>https://issuu.com/estudiolegalhernandez/docs/ahb._funci__n_consultiva_y_consejo_</w:t>
        </w:r>
      </w:hyperlink>
      <w:r>
        <w:rPr>
          <w:rFonts w:ascii="Arial" w:hAnsi="Arial" w:cs="Arial"/>
          <w:sz w:val="19"/>
          <w:szCs w:val="19"/>
        </w:rPr>
        <w:t>.</w:t>
      </w:r>
    </w:p>
    <w:p w14:paraId="128A2F8B" w14:textId="77777777" w:rsidR="00936A0F" w:rsidRDefault="00936A0F" w:rsidP="00936A0F">
      <w:pPr>
        <w:pStyle w:val="Textonotapie"/>
        <w:ind w:firstLine="709"/>
        <w:jc w:val="both"/>
        <w:rPr>
          <w:rFonts w:ascii="Arial" w:hAnsi="Arial" w:cs="Arial"/>
          <w:sz w:val="19"/>
          <w:szCs w:val="19"/>
        </w:rPr>
      </w:pPr>
    </w:p>
  </w:footnote>
  <w:footnote w:id="6">
    <w:p w14:paraId="5A4E9FFE" w14:textId="77777777" w:rsidR="00936A0F" w:rsidRDefault="00936A0F" w:rsidP="00936A0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Sala de Consulta y Servicio Civil. Concepto del 5 de octubre de 2009. Expediente 11001-03-06-000-2009-00049-00(1966). C.P. William Zambrano Cetina.</w:t>
      </w:r>
    </w:p>
  </w:footnote>
  <w:footnote w:id="7">
    <w:p w14:paraId="155CAB78" w14:textId="77777777" w:rsidR="00936A0F" w:rsidRDefault="00936A0F" w:rsidP="00936A0F">
      <w:pPr>
        <w:pStyle w:val="Textonotapie"/>
        <w:ind w:firstLine="708"/>
        <w:jc w:val="both"/>
        <w:rPr>
          <w:rFonts w:ascii="Arial" w:hAnsi="Arial" w:cs="Arial"/>
        </w:rPr>
      </w:pPr>
      <w:r>
        <w:rPr>
          <w:rStyle w:val="Refdenotaalpie"/>
          <w:rFonts w:ascii="Arial" w:hAnsi="Arial" w:cs="Arial"/>
        </w:rPr>
        <w:footnoteRef/>
      </w:r>
      <w:r>
        <w:rPr>
          <w:rFonts w:ascii="Arial" w:hAnsi="Arial" w:cs="Arial"/>
        </w:rPr>
        <w:t xml:space="preserve"> SANTOFIMIO GAMBOA. Jaime Orlando. Compendio de Derecho Administrativo. Universidad Externado de Colombia. 2015. Párrafo 890.  </w:t>
      </w:r>
    </w:p>
    <w:p w14:paraId="1F2AC60E" w14:textId="77777777" w:rsidR="00936A0F" w:rsidRDefault="00936A0F" w:rsidP="00936A0F">
      <w:pPr>
        <w:pStyle w:val="Textonotapie"/>
        <w:ind w:firstLine="708"/>
        <w:jc w:val="both"/>
        <w:rPr>
          <w:rFonts w:ascii="Arial" w:hAnsi="Arial" w:cs="Arial"/>
        </w:rPr>
      </w:pPr>
    </w:p>
  </w:footnote>
  <w:footnote w:id="8">
    <w:p w14:paraId="46FCC80C" w14:textId="5121500E" w:rsidR="00936A0F" w:rsidRDefault="00936A0F" w:rsidP="00936A0F">
      <w:pPr>
        <w:pStyle w:val="Textonotapie"/>
        <w:ind w:firstLine="708"/>
      </w:pPr>
      <w:r>
        <w:rPr>
          <w:rStyle w:val="Refdenotaalpie"/>
        </w:rPr>
        <w:footnoteRef/>
      </w:r>
      <w:r>
        <w:t xml:space="preserve"> </w:t>
      </w:r>
      <w:r>
        <w:rPr>
          <w:rFonts w:ascii="Arial" w:hAnsi="Arial" w:cs="Arial"/>
        </w:rPr>
        <w:t>Ibídem, párrafo 891.</w:t>
      </w:r>
      <w:r>
        <w:t xml:space="preserve"> </w:t>
      </w:r>
    </w:p>
    <w:p w14:paraId="06091CC7" w14:textId="77777777" w:rsidR="0052035A" w:rsidRDefault="0052035A" w:rsidP="00936A0F">
      <w:pPr>
        <w:pStyle w:val="Textonotapie"/>
        <w:ind w:firstLine="708"/>
      </w:pPr>
    </w:p>
  </w:footnote>
  <w:footnote w:id="9">
    <w:p w14:paraId="2EE45163"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14:paraId="08131D42"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 xml:space="preserve">»1. Mediana empresa: // a) Planta de personal entre cincuenta y uno (51) y doscientos (200) trabajadores, o // b) Activos totales por valor entre 100.000 a 610.000 UVT.  </w:t>
      </w:r>
    </w:p>
    <w:p w14:paraId="60561BBB"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 Pequeña empresa: // a) Planta de personal entre once (11) y cincuenta (50) trabajadores, o // b) Activos totales por valor entre quinientos uno (501) y menos de cinco mil (5.000) salarios mínimos mensuales legales vigentes o,</w:t>
      </w:r>
    </w:p>
    <w:p w14:paraId="6272BBF5" w14:textId="15631414" w:rsidR="008C487C" w:rsidRDefault="008C487C" w:rsidP="00510BF5">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»3. Microempresa: // a) Planta de personal no superior a los diez (10) trabajadores o, // b) Activos totales excluida la vivienda por valor inferior a quinientos (500) salarios mínimos mensuales legales vigentes».</w:t>
      </w:r>
    </w:p>
    <w:p w14:paraId="1506135E" w14:textId="77777777" w:rsidR="003F2A48" w:rsidRPr="00B00AA2" w:rsidRDefault="003F2A48" w:rsidP="00510BF5">
      <w:pPr>
        <w:pStyle w:val="Textonotapie"/>
        <w:ind w:firstLine="708"/>
        <w:jc w:val="both"/>
        <w:rPr>
          <w:rFonts w:ascii="Arial" w:hAnsi="Arial" w:cs="Arial"/>
          <w:color w:val="000000" w:themeColor="text1"/>
          <w:sz w:val="19"/>
          <w:szCs w:val="19"/>
        </w:rPr>
      </w:pPr>
    </w:p>
  </w:footnote>
  <w:footnote w:id="10">
    <w:p w14:paraId="5A3E711A" w14:textId="77777777" w:rsidR="003F2A48" w:rsidRDefault="003F2A48" w:rsidP="003F2A48">
      <w:pPr>
        <w:ind w:firstLine="708"/>
        <w:jc w:val="both"/>
        <w:rPr>
          <w:rFonts w:ascii="Arial" w:eastAsia="Arial" w:hAnsi="Arial" w:cs="Arial"/>
          <w:color w:val="000000"/>
          <w:sz w:val="19"/>
          <w:szCs w:val="19"/>
        </w:rPr>
      </w:pPr>
      <w:r>
        <w:rPr>
          <w:rFonts w:ascii="Arial" w:hAnsi="Arial" w:cs="Arial"/>
          <w:sz w:val="19"/>
          <w:szCs w:val="19"/>
          <w:vertAlign w:val="superscript"/>
        </w:rPr>
        <w:footnoteRef/>
      </w:r>
      <w:r>
        <w:rPr>
          <w:rFonts w:ascii="Arial" w:eastAsia="Arial" w:hAnsi="Arial" w:cs="Arial"/>
          <w:color w:val="000000"/>
          <w:sz w:val="19"/>
          <w:szCs w:val="19"/>
        </w:rPr>
        <w:t xml:space="preserve"> Artículo 2.2.1.13.2.2. del Decreto 1074 de 2015, adicionado por el Decreto 957 de 2019.</w:t>
      </w:r>
    </w:p>
    <w:p w14:paraId="2885D221" w14:textId="77777777" w:rsidR="003F2A48" w:rsidRDefault="003F2A48" w:rsidP="003F2A48">
      <w:pPr>
        <w:ind w:firstLine="708"/>
        <w:jc w:val="both"/>
        <w:rPr>
          <w:rFonts w:ascii="Arial" w:eastAsia="Arial" w:hAnsi="Arial" w:cs="Arial"/>
          <w:color w:val="000000"/>
          <w:sz w:val="19"/>
          <w:szCs w:val="19"/>
        </w:rPr>
      </w:pPr>
    </w:p>
  </w:footnote>
  <w:footnote w:id="11">
    <w:p w14:paraId="610AC117"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«Artículo 12. Concurrencia de las </w:t>
      </w:r>
      <w:proofErr w:type="spellStart"/>
      <w:r w:rsidRPr="00B00AA2">
        <w:rPr>
          <w:rFonts w:ascii="Arial" w:hAnsi="Arial" w:cs="Arial"/>
          <w:color w:val="000000" w:themeColor="text1"/>
          <w:sz w:val="19"/>
          <w:szCs w:val="19"/>
        </w:rPr>
        <w:t>Mipymes</w:t>
      </w:r>
      <w:proofErr w:type="spellEnd"/>
      <w:r w:rsidRPr="00B00AA2">
        <w:rPr>
          <w:rFonts w:ascii="Arial" w:hAnsi="Arial" w:cs="Arial"/>
          <w:color w:val="000000" w:themeColor="text1"/>
          <w:sz w:val="19"/>
          <w:szCs w:val="19"/>
        </w:rPr>
        <w:t xml:space="preserve">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14:paraId="749E7927" w14:textId="77777777" w:rsidR="008C487C" w:rsidRPr="00B00AA2" w:rsidRDefault="008C487C" w:rsidP="00510BF5">
      <w:pPr>
        <w:pStyle w:val="Textonotapie"/>
        <w:jc w:val="both"/>
        <w:rPr>
          <w:rFonts w:ascii="Arial" w:hAnsi="Arial" w:cs="Arial"/>
          <w:color w:val="000000" w:themeColor="text1"/>
          <w:sz w:val="19"/>
          <w:szCs w:val="19"/>
        </w:rPr>
      </w:pPr>
      <w:r w:rsidRPr="00B00AA2">
        <w:rPr>
          <w:rFonts w:ascii="Arial" w:hAnsi="Arial" w:cs="Arial"/>
          <w:color w:val="000000" w:themeColor="text1"/>
          <w:sz w:val="19"/>
          <w:szCs w:val="19"/>
        </w:rPr>
        <w:tab/>
        <w:t xml:space="preserve">»4. Las entidades públicas del orden nacional, departamental y municipal preferirán en condiciones de igual precio, calidad y capacidad de suministros y servicio a las </w:t>
      </w:r>
      <w:proofErr w:type="spellStart"/>
      <w:r w:rsidRPr="00B00AA2">
        <w:rPr>
          <w:rFonts w:ascii="Arial" w:hAnsi="Arial" w:cs="Arial"/>
          <w:color w:val="000000" w:themeColor="text1"/>
          <w:sz w:val="19"/>
          <w:szCs w:val="19"/>
        </w:rPr>
        <w:t>Mipymes</w:t>
      </w:r>
      <w:proofErr w:type="spellEnd"/>
      <w:r w:rsidRPr="00B00AA2">
        <w:rPr>
          <w:rFonts w:ascii="Arial" w:hAnsi="Arial" w:cs="Arial"/>
          <w:color w:val="000000" w:themeColor="text1"/>
          <w:sz w:val="19"/>
          <w:szCs w:val="19"/>
        </w:rPr>
        <w:t xml:space="preserve"> nacionales».</w:t>
      </w:r>
    </w:p>
    <w:p w14:paraId="7E9AB949" w14:textId="77777777" w:rsidR="008C487C" w:rsidRPr="00B00AA2" w:rsidRDefault="008C487C" w:rsidP="00510BF5">
      <w:pPr>
        <w:pStyle w:val="Textonotapie"/>
        <w:jc w:val="both"/>
        <w:rPr>
          <w:rFonts w:ascii="Arial" w:hAnsi="Arial" w:cs="Arial"/>
          <w:color w:val="000000" w:themeColor="text1"/>
          <w:sz w:val="19"/>
          <w:szCs w:val="19"/>
          <w:lang w:val="es-CO"/>
        </w:rPr>
      </w:pPr>
    </w:p>
  </w:footnote>
  <w:footnote w:id="12">
    <w:p w14:paraId="10C329EC"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Allí se dijo: «La ley establece mecanismos indispensables para permitir la creación y operación de las </w:t>
      </w:r>
      <w:proofErr w:type="spellStart"/>
      <w:r w:rsidRPr="00B00AA2">
        <w:rPr>
          <w:rFonts w:ascii="Arial" w:hAnsi="Arial" w:cs="Arial"/>
          <w:color w:val="000000" w:themeColor="text1"/>
          <w:sz w:val="19"/>
          <w:szCs w:val="19"/>
        </w:rPr>
        <w:t>Mipymes</w:t>
      </w:r>
      <w:proofErr w:type="spellEnd"/>
      <w:r w:rsidRPr="00B00AA2">
        <w:rPr>
          <w:rFonts w:ascii="Arial" w:hAnsi="Arial" w:cs="Arial"/>
          <w:color w:val="000000" w:themeColor="text1"/>
          <w:sz w:val="19"/>
          <w:szCs w:val="19"/>
        </w:rPr>
        <w:t xml:space="preserve"> en un escenario de competitividad. Así, se abordan los siguientes frentes: 1. El acceso a mercados y bienes y servicios; 2. El desarrollo tecnológico y talento humano; 3. El acceso a mercados financieros, y; 4. La creación de unidades empresariales (…) Para garantizar el acceso de las </w:t>
      </w:r>
      <w:proofErr w:type="spellStart"/>
      <w:r w:rsidRPr="00B00AA2">
        <w:rPr>
          <w:rFonts w:ascii="Arial" w:hAnsi="Arial" w:cs="Arial"/>
          <w:color w:val="000000" w:themeColor="text1"/>
          <w:sz w:val="19"/>
          <w:szCs w:val="19"/>
        </w:rPr>
        <w:t>Mipymes</w:t>
      </w:r>
      <w:proofErr w:type="spellEnd"/>
      <w:r w:rsidRPr="00B00AA2">
        <w:rPr>
          <w:rFonts w:ascii="Arial" w:hAnsi="Arial" w:cs="Arial"/>
          <w:color w:val="000000" w:themeColor="text1"/>
          <w:sz w:val="19"/>
          <w:szCs w:val="19"/>
        </w:rPr>
        <w:t xml:space="preserve">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w:t>
      </w:r>
      <w:proofErr w:type="spellStart"/>
      <w:r w:rsidRPr="00B00AA2">
        <w:rPr>
          <w:rFonts w:ascii="Arial" w:hAnsi="Arial" w:cs="Arial"/>
          <w:color w:val="000000" w:themeColor="text1"/>
          <w:sz w:val="19"/>
          <w:szCs w:val="19"/>
        </w:rPr>
        <w:t>Mipymes</w:t>
      </w:r>
      <w:proofErr w:type="spellEnd"/>
      <w:r w:rsidRPr="00B00AA2">
        <w:rPr>
          <w:rFonts w:ascii="Arial" w:hAnsi="Arial" w:cs="Arial"/>
          <w:color w:val="000000" w:themeColor="text1"/>
          <w:sz w:val="19"/>
          <w:szCs w:val="19"/>
        </w:rPr>
        <w:t xml:space="preserve"> como proveedoras de bienes y servicios que demanden; 3. Establecer procedimientos administrativos que faciliten que las </w:t>
      </w:r>
      <w:proofErr w:type="spellStart"/>
      <w:r w:rsidRPr="00B00AA2">
        <w:rPr>
          <w:rFonts w:ascii="Arial" w:hAnsi="Arial" w:cs="Arial"/>
          <w:color w:val="000000" w:themeColor="text1"/>
          <w:sz w:val="19"/>
          <w:szCs w:val="19"/>
        </w:rPr>
        <w:t>Mipymes</w:t>
      </w:r>
      <w:proofErr w:type="spellEnd"/>
      <w:r w:rsidRPr="00B00AA2">
        <w:rPr>
          <w:rFonts w:ascii="Arial" w:hAnsi="Arial" w:cs="Arial"/>
          <w:color w:val="000000" w:themeColor="text1"/>
          <w:sz w:val="19"/>
          <w:szCs w:val="19"/>
        </w:rPr>
        <w:t xml:space="preserve"> cumplan con los requisitos y trámites relativos a pedidos, recepción de bienes o servicios, condiciones de pago y acceso a la información sobre sus programas de inversión y gasto, y; 4. Preferir en condiciones de igual precio, calidad y capacidad de suministro y servicios a las </w:t>
      </w:r>
      <w:proofErr w:type="spellStart"/>
      <w:r w:rsidRPr="00B00AA2">
        <w:rPr>
          <w:rFonts w:ascii="Arial" w:hAnsi="Arial" w:cs="Arial"/>
          <w:color w:val="000000" w:themeColor="text1"/>
          <w:sz w:val="19"/>
          <w:szCs w:val="19"/>
        </w:rPr>
        <w:t>Mipymes</w:t>
      </w:r>
      <w:proofErr w:type="spellEnd"/>
      <w:r w:rsidRPr="00B00AA2">
        <w:rPr>
          <w:rFonts w:ascii="Arial" w:hAnsi="Arial" w:cs="Arial"/>
          <w:color w:val="000000" w:themeColor="text1"/>
          <w:sz w:val="19"/>
          <w:szCs w:val="19"/>
        </w:rPr>
        <w:t xml:space="preserve"> nacionales».</w:t>
      </w:r>
    </w:p>
    <w:p w14:paraId="2A2BF4B7" w14:textId="77777777" w:rsidR="008C487C" w:rsidRPr="00B00AA2" w:rsidRDefault="008C487C" w:rsidP="00510BF5">
      <w:pPr>
        <w:pStyle w:val="Textonotapie"/>
        <w:ind w:firstLine="708"/>
        <w:jc w:val="both"/>
        <w:rPr>
          <w:rFonts w:ascii="Arial" w:hAnsi="Arial" w:cs="Arial"/>
          <w:color w:val="000000" w:themeColor="text1"/>
          <w:sz w:val="19"/>
          <w:szCs w:val="19"/>
          <w:lang w:val="es-ES"/>
        </w:rPr>
      </w:pPr>
    </w:p>
  </w:footnote>
  <w:footnote w:id="13">
    <w:p w14:paraId="7357C9DF"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p w14:paraId="09E87576" w14:textId="77777777" w:rsidR="008C487C" w:rsidRPr="00B00AA2" w:rsidRDefault="008C487C" w:rsidP="00510BF5">
      <w:pPr>
        <w:pStyle w:val="Textonotapie"/>
        <w:ind w:firstLine="708"/>
        <w:jc w:val="both"/>
        <w:rPr>
          <w:rFonts w:ascii="Arial" w:hAnsi="Arial" w:cs="Arial"/>
          <w:color w:val="000000" w:themeColor="text1"/>
          <w:sz w:val="19"/>
          <w:szCs w:val="19"/>
          <w:lang w:val="es-ES"/>
        </w:rPr>
      </w:pPr>
    </w:p>
  </w:footnote>
  <w:footnote w:id="14">
    <w:p w14:paraId="35EEF6AD"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La TRM diaria se puede consultar en </w:t>
      </w:r>
      <w:hyperlink r:id="rId2" w:history="1">
        <w:r w:rsidRPr="00B00AA2">
          <w:rPr>
            <w:rStyle w:val="Hipervnculo"/>
            <w:rFonts w:ascii="Arial" w:hAnsi="Arial" w:cs="Arial"/>
            <w:color w:val="000000" w:themeColor="text1"/>
            <w:sz w:val="19"/>
            <w:szCs w:val="19"/>
          </w:rPr>
          <w:t>https://www.banrep.gov.co/es/estadisticas/trm</w:t>
        </w:r>
      </w:hyperlink>
      <w:r w:rsidRPr="00B00AA2">
        <w:rPr>
          <w:rFonts w:ascii="Arial" w:hAnsi="Arial" w:cs="Arial"/>
          <w:color w:val="000000" w:themeColor="text1"/>
          <w:sz w:val="19"/>
          <w:szCs w:val="19"/>
        </w:rPr>
        <w:t>.</w:t>
      </w:r>
    </w:p>
    <w:p w14:paraId="2B7A1747" w14:textId="77777777" w:rsidR="008C487C" w:rsidRPr="00B00AA2" w:rsidRDefault="008C487C" w:rsidP="00510BF5">
      <w:pPr>
        <w:pStyle w:val="Textonotapie"/>
        <w:ind w:firstLine="708"/>
        <w:jc w:val="both"/>
        <w:rPr>
          <w:rFonts w:ascii="Arial" w:hAnsi="Arial" w:cs="Arial"/>
          <w:color w:val="000000" w:themeColor="text1"/>
          <w:sz w:val="19"/>
          <w:szCs w:val="19"/>
          <w:lang w:val="es-ES"/>
        </w:rPr>
      </w:pPr>
    </w:p>
  </w:footnote>
  <w:footnote w:id="15">
    <w:p w14:paraId="05DBBCC3" w14:textId="77777777" w:rsidR="008C487C" w:rsidRPr="00B00AA2" w:rsidRDefault="008C487C" w:rsidP="00510BF5">
      <w:pPr>
        <w:pStyle w:val="Textonotapie"/>
        <w:ind w:firstLine="708"/>
        <w:jc w:val="both"/>
        <w:rPr>
          <w:rFonts w:ascii="Arial" w:hAnsi="Arial" w:cs="Arial"/>
          <w:color w:val="000000" w:themeColor="text1"/>
          <w:sz w:val="19"/>
          <w:szCs w:val="19"/>
          <w:lang w:val="es-ES"/>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w:t>
      </w:r>
      <w:r w:rsidRPr="00B00AA2">
        <w:rPr>
          <w:rFonts w:ascii="Arial" w:hAnsi="Arial" w:cs="Arial"/>
          <w:color w:val="000000" w:themeColor="text1"/>
          <w:sz w:val="19"/>
          <w:szCs w:val="19"/>
          <w:lang w:val="es-ES"/>
        </w:rPr>
        <w:t>Fecha de expedición del Decreto 1082.</w:t>
      </w:r>
    </w:p>
    <w:p w14:paraId="59E540A2" w14:textId="77777777" w:rsidR="008C487C" w:rsidRPr="00B00AA2" w:rsidRDefault="008C487C" w:rsidP="00510BF5">
      <w:pPr>
        <w:pStyle w:val="Textonotapie"/>
        <w:jc w:val="both"/>
        <w:rPr>
          <w:rFonts w:ascii="Arial" w:hAnsi="Arial" w:cs="Arial"/>
          <w:color w:val="000000" w:themeColor="text1"/>
          <w:sz w:val="19"/>
          <w:szCs w:val="19"/>
          <w:lang w:val="es-ES"/>
        </w:rPr>
      </w:pPr>
    </w:p>
  </w:footnote>
  <w:footnote w:id="16">
    <w:p w14:paraId="4AED5EBE"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w:t>
      </w:r>
      <w:hyperlink r:id="rId3" w:history="1">
        <w:r w:rsidRPr="00B00AA2">
          <w:rPr>
            <w:rStyle w:val="Hipervnculo"/>
            <w:rFonts w:ascii="Arial" w:hAnsi="Arial" w:cs="Arial"/>
            <w:color w:val="000000" w:themeColor="text1"/>
            <w:sz w:val="19"/>
            <w:szCs w:val="19"/>
          </w:rPr>
          <w:t>https://www.colombiacompra.gov.co/sites/cce_public/files/cce_documentos/umbrales_2020_-_2021.pdf</w:t>
        </w:r>
      </w:hyperlink>
    </w:p>
    <w:p w14:paraId="0F587B57" w14:textId="77777777" w:rsidR="008C487C" w:rsidRPr="00B00AA2" w:rsidRDefault="008C487C" w:rsidP="00510BF5">
      <w:pPr>
        <w:pStyle w:val="Textonotapie"/>
        <w:ind w:firstLine="708"/>
        <w:jc w:val="both"/>
        <w:rPr>
          <w:rFonts w:ascii="Arial" w:hAnsi="Arial" w:cs="Arial"/>
          <w:color w:val="000000" w:themeColor="text1"/>
          <w:sz w:val="19"/>
          <w:szCs w:val="19"/>
          <w:lang w:val="es-ES"/>
        </w:rPr>
      </w:pPr>
    </w:p>
  </w:footnote>
  <w:footnote w:id="17">
    <w:p w14:paraId="508063B0"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Ibidem.</w:t>
      </w:r>
    </w:p>
    <w:p w14:paraId="687D41C8" w14:textId="77777777" w:rsidR="008C487C" w:rsidRPr="00B00AA2" w:rsidRDefault="008C487C" w:rsidP="00510BF5">
      <w:pPr>
        <w:pStyle w:val="Textonotapie"/>
        <w:ind w:firstLine="708"/>
        <w:jc w:val="both"/>
        <w:rPr>
          <w:rFonts w:ascii="Arial" w:hAnsi="Arial" w:cs="Arial"/>
          <w:color w:val="000000" w:themeColor="text1"/>
          <w:sz w:val="19"/>
          <w:szCs w:val="19"/>
          <w:lang w:val="es-ES"/>
        </w:rPr>
      </w:pPr>
    </w:p>
  </w:footnote>
  <w:footnote w:id="18">
    <w:p w14:paraId="2851969C" w14:textId="77777777" w:rsidR="008C487C" w:rsidRPr="00B00AA2" w:rsidRDefault="008C487C" w:rsidP="00510BF5">
      <w:pPr>
        <w:pStyle w:val="Textonotapie"/>
        <w:ind w:firstLine="708"/>
        <w:jc w:val="both"/>
        <w:rPr>
          <w:rFonts w:ascii="Arial" w:hAnsi="Arial" w:cs="Arial"/>
          <w:color w:val="000000" w:themeColor="text1"/>
          <w:sz w:val="19"/>
          <w:szCs w:val="19"/>
          <w:lang w:val="es-ES"/>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Concepto emitido en el radicado 4201913000005674, dictado el 27 de septiembre de 2019.</w:t>
      </w:r>
    </w:p>
  </w:footnote>
  <w:footnote w:id="19">
    <w:p w14:paraId="5D0BA94D" w14:textId="77777777" w:rsidR="008C487C" w:rsidRPr="00B00AA2" w:rsidRDefault="008C487C" w:rsidP="00510BF5">
      <w:pPr>
        <w:pStyle w:val="Textonotapie"/>
        <w:jc w:val="both"/>
        <w:rPr>
          <w:rFonts w:ascii="Arial" w:hAnsi="Arial" w:cs="Arial"/>
          <w:color w:val="000000" w:themeColor="text1"/>
          <w:sz w:val="19"/>
          <w:szCs w:val="19"/>
        </w:rPr>
      </w:pPr>
    </w:p>
    <w:p w14:paraId="236AC584"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Ley 1450 de 2011: «Artículo 32. Parágrafo 2°. Sin perjuicio de lo dispuesto en los artículos 5 y 6 de la Ley 1150 de 2007, para que las </w:t>
      </w:r>
      <w:proofErr w:type="spellStart"/>
      <w:r w:rsidRPr="00B00AA2">
        <w:rPr>
          <w:rFonts w:ascii="Arial" w:hAnsi="Arial" w:cs="Arial"/>
          <w:color w:val="000000" w:themeColor="text1"/>
          <w:sz w:val="19"/>
          <w:szCs w:val="19"/>
        </w:rPr>
        <w:t>Mipymes</w:t>
      </w:r>
      <w:proofErr w:type="spellEnd"/>
      <w:r w:rsidRPr="00B00AA2">
        <w:rPr>
          <w:rFonts w:ascii="Arial" w:hAnsi="Arial" w:cs="Arial"/>
          <w:color w:val="000000" w:themeColor="text1"/>
          <w:sz w:val="19"/>
          <w:szCs w:val="19"/>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footnote>
  <w:footnote w:id="20">
    <w:p w14:paraId="52282AED" w14:textId="77777777" w:rsidR="008C487C" w:rsidRPr="00B00AA2" w:rsidRDefault="008C487C" w:rsidP="00510BF5">
      <w:pPr>
        <w:pStyle w:val="Textonotapie"/>
        <w:ind w:firstLine="708"/>
        <w:jc w:val="both"/>
        <w:rPr>
          <w:rFonts w:ascii="Arial" w:hAnsi="Arial" w:cs="Arial"/>
          <w:color w:val="000000" w:themeColor="text1"/>
          <w:sz w:val="19"/>
          <w:szCs w:val="19"/>
        </w:rPr>
      </w:pPr>
    </w:p>
    <w:p w14:paraId="6A0394FF"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Ley 1450 de 2011: «Artículo 32. Parágrafo 1°: En los procesos de selección que se desarrollen con base en el primer inciso, las entidades podrán realizar las convocatorias limitadas que beneficien a las </w:t>
      </w:r>
      <w:proofErr w:type="spellStart"/>
      <w:r w:rsidRPr="00B00AA2">
        <w:rPr>
          <w:rFonts w:ascii="Arial" w:hAnsi="Arial" w:cs="Arial"/>
          <w:color w:val="000000" w:themeColor="text1"/>
          <w:sz w:val="19"/>
          <w:szCs w:val="19"/>
        </w:rPr>
        <w:t>Mipymes</w:t>
      </w:r>
      <w:proofErr w:type="spellEnd"/>
      <w:r w:rsidRPr="00B00AA2">
        <w:rPr>
          <w:rFonts w:ascii="Arial" w:hAnsi="Arial" w:cs="Arial"/>
          <w:color w:val="000000" w:themeColor="text1"/>
          <w:sz w:val="19"/>
          <w:szCs w:val="19"/>
        </w:rPr>
        <w:t xml:space="preserve"> del ámbito municipal o departamental correspondiente al de la ejecución del contrato».</w:t>
      </w:r>
    </w:p>
    <w:p w14:paraId="2677DEBE" w14:textId="77777777" w:rsidR="008C487C" w:rsidRPr="00B00AA2" w:rsidRDefault="008C487C" w:rsidP="00510BF5">
      <w:pPr>
        <w:pStyle w:val="Textonotapie"/>
        <w:ind w:firstLine="708"/>
        <w:jc w:val="both"/>
        <w:rPr>
          <w:rFonts w:ascii="Arial" w:hAnsi="Arial" w:cs="Arial"/>
          <w:color w:val="000000" w:themeColor="text1"/>
          <w:sz w:val="19"/>
          <w:szCs w:val="19"/>
        </w:rPr>
      </w:pPr>
    </w:p>
  </w:footnote>
  <w:footnote w:id="21">
    <w:p w14:paraId="5FA8EC46" w14:textId="77777777" w:rsidR="008C487C" w:rsidRPr="00B00AA2" w:rsidRDefault="008C487C"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Cfr. Concepto emitido en el radicado 4201913000005674, dictado el 27 de septiembre de 2019.</w:t>
      </w:r>
    </w:p>
    <w:p w14:paraId="6E7D1DAE" w14:textId="77777777" w:rsidR="008C487C" w:rsidRPr="00B00AA2" w:rsidRDefault="008C487C" w:rsidP="00510BF5">
      <w:pPr>
        <w:pStyle w:val="Textonotapie"/>
        <w:ind w:firstLine="708"/>
        <w:jc w:val="both"/>
        <w:rPr>
          <w:rFonts w:ascii="Arial" w:hAnsi="Arial" w:cs="Arial"/>
          <w:color w:val="000000" w:themeColor="text1"/>
          <w:sz w:val="19"/>
          <w:szCs w:val="19"/>
          <w:lang w:val="es-ES"/>
        </w:rPr>
      </w:pPr>
    </w:p>
  </w:footnote>
  <w:footnote w:id="22">
    <w:p w14:paraId="65337495" w14:textId="4409AB7E" w:rsidR="00430B5A" w:rsidRPr="00B00AA2" w:rsidRDefault="00430B5A" w:rsidP="00AF2CB1">
      <w:pPr>
        <w:pStyle w:val="Default"/>
        <w:ind w:firstLine="708"/>
        <w:jc w:val="both"/>
        <w:rPr>
          <w:color w:val="000000" w:themeColor="text1"/>
          <w:sz w:val="19"/>
          <w:szCs w:val="19"/>
        </w:rPr>
      </w:pPr>
      <w:r w:rsidRPr="00B00AA2">
        <w:rPr>
          <w:rStyle w:val="Refdenotaalpie"/>
          <w:color w:val="000000" w:themeColor="text1"/>
          <w:sz w:val="19"/>
          <w:szCs w:val="19"/>
        </w:rPr>
        <w:footnoteRef/>
      </w:r>
      <w:r w:rsidRPr="00B00AA2">
        <w:rPr>
          <w:color w:val="000000" w:themeColor="text1"/>
          <w:sz w:val="19"/>
          <w:szCs w:val="19"/>
        </w:rPr>
        <w:t xml:space="preserve"> «Artículo 100: Asimilación a sociedades comerciales - legislación mercantil.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 </w:t>
      </w:r>
    </w:p>
    <w:p w14:paraId="4F0A0D4B" w14:textId="77777777" w:rsidR="00430B5A" w:rsidRPr="00B00AA2" w:rsidRDefault="00430B5A" w:rsidP="00510BF5">
      <w:pPr>
        <w:pStyle w:val="Textonotapie"/>
        <w:ind w:firstLine="708"/>
        <w:jc w:val="both"/>
        <w:rPr>
          <w:rFonts w:ascii="Arial" w:hAnsi="Arial" w:cs="Arial"/>
          <w:color w:val="000000" w:themeColor="text1"/>
          <w:sz w:val="19"/>
          <w:szCs w:val="19"/>
        </w:rPr>
      </w:pPr>
    </w:p>
    <w:p w14:paraId="2F03BA89" w14:textId="776DE20E" w:rsidR="00430B5A" w:rsidRPr="00B00AA2" w:rsidRDefault="00430B5A" w:rsidP="00510BF5">
      <w:pPr>
        <w:pStyle w:val="Textonotapie"/>
        <w:ind w:firstLine="708"/>
        <w:jc w:val="both"/>
        <w:rPr>
          <w:rFonts w:ascii="Arial" w:hAnsi="Arial" w:cs="Arial"/>
          <w:color w:val="000000" w:themeColor="text1"/>
          <w:sz w:val="19"/>
          <w:szCs w:val="19"/>
        </w:rPr>
      </w:pPr>
      <w:proofErr w:type="gramStart"/>
      <w:r w:rsidRPr="00B00AA2">
        <w:rPr>
          <w:rFonts w:ascii="Arial" w:hAnsi="Arial" w:cs="Arial"/>
          <w:color w:val="000000" w:themeColor="text1"/>
          <w:sz w:val="19"/>
          <w:szCs w:val="19"/>
        </w:rPr>
        <w:t>»Sin</w:t>
      </w:r>
      <w:proofErr w:type="gramEnd"/>
      <w:r w:rsidRPr="00B00AA2">
        <w:rPr>
          <w:rFonts w:ascii="Arial" w:hAnsi="Arial" w:cs="Arial"/>
          <w:color w:val="000000" w:themeColor="text1"/>
          <w:sz w:val="19"/>
          <w:szCs w:val="19"/>
        </w:rPr>
        <w:t xml:space="preserve"> embargo, cualquiera que sea su objeto, las sociedades comerciales y civiles estarán sujetas, para todos los efectos, a la legislación mercantil».</w:t>
      </w:r>
    </w:p>
    <w:p w14:paraId="4D8624AD" w14:textId="77777777" w:rsidR="00E87794" w:rsidRPr="00B00AA2" w:rsidRDefault="00E87794" w:rsidP="00510BF5">
      <w:pPr>
        <w:pStyle w:val="Textonotapie"/>
        <w:ind w:firstLine="708"/>
        <w:jc w:val="both"/>
        <w:rPr>
          <w:rFonts w:ascii="Arial" w:hAnsi="Arial" w:cs="Arial"/>
          <w:color w:val="000000" w:themeColor="text1"/>
          <w:sz w:val="19"/>
          <w:szCs w:val="19"/>
        </w:rPr>
      </w:pPr>
    </w:p>
  </w:footnote>
  <w:footnote w:id="23">
    <w:p w14:paraId="7F3490DB" w14:textId="544CE32D" w:rsidR="00E87794" w:rsidRPr="00B00AA2" w:rsidRDefault="00E87794"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BARRERO BUITRAGO, Álvaro. Manual para el establecimiento de sociedades (4ta. ed.). Editorial Librería del Profesional. Bogotá. 2006. p. 21. Allí se lee, en relación con el requisito que deben cumplir las sociedades comerciales sobre el ánimo de lucro, lo siguiente: «esta característica viene a diferenciar a la sociedad mercantil de cualquier otra forma asociativa, pues para el comerciante la utilidad es primordial en sus actividades, no ocurriendo lo mismo para otras personas, donde el fin primordial no es obtener ganancias, como en el caso de las sociedades cooperativas».</w:t>
      </w:r>
    </w:p>
    <w:p w14:paraId="24B42A2A" w14:textId="77777777" w:rsidR="006135E6" w:rsidRPr="00B00AA2" w:rsidRDefault="006135E6" w:rsidP="00510BF5">
      <w:pPr>
        <w:pStyle w:val="Textonotapie"/>
        <w:ind w:firstLine="708"/>
        <w:jc w:val="both"/>
        <w:rPr>
          <w:rFonts w:ascii="Arial" w:hAnsi="Arial" w:cs="Arial"/>
          <w:color w:val="000000" w:themeColor="text1"/>
          <w:sz w:val="19"/>
          <w:szCs w:val="19"/>
        </w:rPr>
      </w:pPr>
    </w:p>
  </w:footnote>
  <w:footnote w:id="24">
    <w:p w14:paraId="699B5784" w14:textId="2C056D8C" w:rsidR="006135E6" w:rsidRPr="00B00AA2" w:rsidRDefault="006135E6"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TORRENTE BAYONA, César y BUSTAMANTE, Luis Eduardo. Las entidades sin ánimo de lucro (3ª Ed.). Editado por la Cámara de Comercio de Bogotá.  Bogotá. 2000, p. 33. Allí se lee: «Las entidades sin ánimo de lucro son personas jurídicas, capaces de ejercer derechos y contraer obligaciones y de ser representadas judicial y extrajudicialmente, con sujeción a las disposiciones legales y a sus propios estatutos. Nacen por voluntad de los asociados en virtud del derecho constitucional de asociación, o por la libertad de disposición de los bienes de los particulares, para la realización de fines altruistas o de beneficio comunitario; de lo que se infiere que no contemplan dentro de su objeto principal el desarrollo de actividades mercantiles.</w:t>
      </w:r>
    </w:p>
    <w:p w14:paraId="790A94C8" w14:textId="77777777" w:rsidR="006135E6" w:rsidRPr="00B00AA2" w:rsidRDefault="006135E6" w:rsidP="00510BF5">
      <w:pPr>
        <w:pStyle w:val="Textonotapie"/>
        <w:ind w:firstLine="708"/>
        <w:jc w:val="both"/>
        <w:rPr>
          <w:rFonts w:ascii="Arial" w:hAnsi="Arial" w:cs="Arial"/>
          <w:color w:val="000000" w:themeColor="text1"/>
          <w:sz w:val="19"/>
          <w:szCs w:val="19"/>
        </w:rPr>
      </w:pPr>
    </w:p>
    <w:p w14:paraId="0DA034E8" w14:textId="636290DA" w:rsidR="006135E6" w:rsidRPr="00B00AA2" w:rsidRDefault="006135E6" w:rsidP="00510BF5">
      <w:pPr>
        <w:pStyle w:val="Textonotapie"/>
        <w:ind w:firstLine="708"/>
        <w:jc w:val="both"/>
        <w:rPr>
          <w:rFonts w:ascii="Arial" w:hAnsi="Arial" w:cs="Arial"/>
          <w:color w:val="000000" w:themeColor="text1"/>
          <w:sz w:val="19"/>
          <w:szCs w:val="19"/>
        </w:rPr>
      </w:pPr>
      <w:proofErr w:type="gramStart"/>
      <w:r w:rsidRPr="00B00AA2">
        <w:rPr>
          <w:rFonts w:ascii="Arial" w:hAnsi="Arial" w:cs="Arial"/>
          <w:color w:val="000000" w:themeColor="text1"/>
          <w:sz w:val="19"/>
          <w:szCs w:val="19"/>
        </w:rPr>
        <w:t>»La</w:t>
      </w:r>
      <w:proofErr w:type="gramEnd"/>
      <w:r w:rsidRPr="00B00AA2">
        <w:rPr>
          <w:rFonts w:ascii="Arial" w:hAnsi="Arial" w:cs="Arial"/>
          <w:color w:val="000000" w:themeColor="text1"/>
          <w:sz w:val="19"/>
          <w:szCs w:val="19"/>
        </w:rPr>
        <w:t xml:space="preserve"> ausencia de lucro es una de sus características fundamentales, lo cual significa que no existe el reparto de utilidades o remanentes generados en el desarrollo de sus objetivos, ni es viable el reembolso de los bienes o dineros aportados a la entidad</w:t>
      </w:r>
      <w:r w:rsidR="003D11B5" w:rsidRPr="00B00AA2">
        <w:rPr>
          <w:rFonts w:ascii="Arial" w:hAnsi="Arial" w:cs="Arial"/>
          <w:color w:val="000000" w:themeColor="text1"/>
          <w:sz w:val="19"/>
          <w:szCs w:val="19"/>
        </w:rPr>
        <w:t xml:space="preserve"> […]</w:t>
      </w:r>
      <w:r w:rsidRPr="00B00AA2">
        <w:rPr>
          <w:rFonts w:ascii="Arial" w:hAnsi="Arial" w:cs="Arial"/>
          <w:color w:val="000000" w:themeColor="text1"/>
          <w:sz w:val="19"/>
          <w:szCs w:val="19"/>
        </w:rPr>
        <w:t>».</w:t>
      </w:r>
    </w:p>
    <w:p w14:paraId="575BD3D6" w14:textId="77777777" w:rsidR="00AC0C81" w:rsidRPr="00B00AA2" w:rsidRDefault="00AC0C81" w:rsidP="00510BF5">
      <w:pPr>
        <w:pStyle w:val="Textonotapie"/>
        <w:ind w:firstLine="708"/>
        <w:jc w:val="both"/>
        <w:rPr>
          <w:rFonts w:ascii="Arial" w:hAnsi="Arial" w:cs="Arial"/>
          <w:color w:val="000000" w:themeColor="text1"/>
          <w:sz w:val="19"/>
          <w:szCs w:val="19"/>
        </w:rPr>
      </w:pPr>
    </w:p>
  </w:footnote>
  <w:footnote w:id="25">
    <w:p w14:paraId="2428A0DB" w14:textId="77777777" w:rsidR="00E52C6F" w:rsidRPr="00B00AA2" w:rsidRDefault="00E52C6F" w:rsidP="00E52C6F">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Corte Constitucional. Sentencia C-287 de 2012. M.P. María Victoria Calle.</w:t>
      </w:r>
    </w:p>
    <w:p w14:paraId="45AFB79E" w14:textId="77777777" w:rsidR="00E52C6F" w:rsidRPr="00B00AA2" w:rsidRDefault="00E52C6F" w:rsidP="00E52C6F">
      <w:pPr>
        <w:pStyle w:val="Textonotapie"/>
        <w:ind w:firstLine="708"/>
        <w:jc w:val="both"/>
        <w:rPr>
          <w:rFonts w:ascii="Arial" w:hAnsi="Arial" w:cs="Arial"/>
          <w:color w:val="000000" w:themeColor="text1"/>
          <w:sz w:val="19"/>
          <w:szCs w:val="19"/>
        </w:rPr>
      </w:pPr>
    </w:p>
  </w:footnote>
  <w:footnote w:id="26">
    <w:p w14:paraId="23B6137E" w14:textId="4C44BADE" w:rsidR="00510BF5" w:rsidRPr="00B00AA2" w:rsidRDefault="00510BF5"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Consejo de Estado, Sección Cuarta. Providencia del 26 de octubre de 2009. </w:t>
      </w:r>
      <w:proofErr w:type="spellStart"/>
      <w:r w:rsidRPr="00B00AA2">
        <w:rPr>
          <w:rFonts w:ascii="Arial" w:hAnsi="Arial" w:cs="Arial"/>
          <w:color w:val="000000" w:themeColor="text1"/>
          <w:sz w:val="19"/>
          <w:szCs w:val="19"/>
        </w:rPr>
        <w:t>Exp</w:t>
      </w:r>
      <w:proofErr w:type="spellEnd"/>
      <w:r w:rsidRPr="00B00AA2">
        <w:rPr>
          <w:rFonts w:ascii="Arial" w:hAnsi="Arial" w:cs="Arial"/>
          <w:color w:val="000000" w:themeColor="text1"/>
          <w:sz w:val="19"/>
          <w:szCs w:val="19"/>
        </w:rPr>
        <w:t>. No. 25000-23-27-000-2007-00160-01(17200). M.P. Martha Teresa Briceño de Valencia.</w:t>
      </w:r>
    </w:p>
    <w:p w14:paraId="7659EDA4" w14:textId="77777777" w:rsidR="00510BF5" w:rsidRPr="00B00AA2" w:rsidRDefault="00510BF5" w:rsidP="00510BF5">
      <w:pPr>
        <w:pStyle w:val="Textonotapie"/>
        <w:ind w:firstLine="708"/>
        <w:jc w:val="both"/>
        <w:rPr>
          <w:rFonts w:ascii="Arial" w:hAnsi="Arial" w:cs="Arial"/>
          <w:color w:val="000000" w:themeColor="text1"/>
          <w:sz w:val="19"/>
          <w:szCs w:val="19"/>
        </w:rPr>
      </w:pPr>
    </w:p>
  </w:footnote>
  <w:footnote w:id="27">
    <w:p w14:paraId="2C58DE18" w14:textId="2808B22C" w:rsidR="00BE2AD3" w:rsidRPr="00B00AA2" w:rsidRDefault="00BE2AD3"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Cámara de Comercio de Bogotá, «ABC DE ESALES». Bogotá. 2013. Disponible en este link: </w:t>
      </w:r>
      <w:hyperlink r:id="rId4" w:history="1">
        <w:r w:rsidRPr="00B00AA2">
          <w:rPr>
            <w:rStyle w:val="Hipervnculo"/>
            <w:rFonts w:ascii="Arial" w:hAnsi="Arial" w:cs="Arial"/>
            <w:color w:val="000000" w:themeColor="text1"/>
            <w:sz w:val="19"/>
            <w:szCs w:val="19"/>
          </w:rPr>
          <w:t>https://bibliotecadigital.ccb.org.co/bitstream/handle/11520/8346/el%20abc%20de%20esales%202013%20completo.pdf?sequence=1&amp;isAllowed=y</w:t>
        </w:r>
      </w:hyperlink>
      <w:r w:rsidRPr="00B00AA2">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5573D8" w:rsidRDefault="008C487C">
    <w:pPr>
      <w:pStyle w:val="Encabezado"/>
    </w:pPr>
    <w:r>
      <w:rPr>
        <w:noProof/>
        <w:lang w:val="en-US"/>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D4A8BF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10D30"/>
    <w:rsid w:val="0003091B"/>
    <w:rsid w:val="00031A28"/>
    <w:rsid w:val="000333A2"/>
    <w:rsid w:val="0003551D"/>
    <w:rsid w:val="00040D6E"/>
    <w:rsid w:val="0004238A"/>
    <w:rsid w:val="00042C0C"/>
    <w:rsid w:val="00044FF2"/>
    <w:rsid w:val="00046216"/>
    <w:rsid w:val="00050794"/>
    <w:rsid w:val="00061EE4"/>
    <w:rsid w:val="00062B0D"/>
    <w:rsid w:val="000663EA"/>
    <w:rsid w:val="000815F0"/>
    <w:rsid w:val="00081C4B"/>
    <w:rsid w:val="000828A0"/>
    <w:rsid w:val="00086A16"/>
    <w:rsid w:val="0009255F"/>
    <w:rsid w:val="000932D5"/>
    <w:rsid w:val="000940D2"/>
    <w:rsid w:val="00097CD6"/>
    <w:rsid w:val="000A1DBA"/>
    <w:rsid w:val="000A6338"/>
    <w:rsid w:val="000C0E39"/>
    <w:rsid w:val="000C5778"/>
    <w:rsid w:val="000D088F"/>
    <w:rsid w:val="000D0E71"/>
    <w:rsid w:val="000D536A"/>
    <w:rsid w:val="000E13C9"/>
    <w:rsid w:val="000E6867"/>
    <w:rsid w:val="001013D1"/>
    <w:rsid w:val="00107607"/>
    <w:rsid w:val="00112234"/>
    <w:rsid w:val="00112597"/>
    <w:rsid w:val="001321AB"/>
    <w:rsid w:val="00132BC2"/>
    <w:rsid w:val="00140E57"/>
    <w:rsid w:val="00141601"/>
    <w:rsid w:val="00141C64"/>
    <w:rsid w:val="001430E5"/>
    <w:rsid w:val="0014462B"/>
    <w:rsid w:val="00147360"/>
    <w:rsid w:val="00164E79"/>
    <w:rsid w:val="0017603D"/>
    <w:rsid w:val="0018164F"/>
    <w:rsid w:val="00181A3E"/>
    <w:rsid w:val="0018328B"/>
    <w:rsid w:val="001934DC"/>
    <w:rsid w:val="00194C50"/>
    <w:rsid w:val="001A24AA"/>
    <w:rsid w:val="001A3B7E"/>
    <w:rsid w:val="001C6430"/>
    <w:rsid w:val="001D0F68"/>
    <w:rsid w:val="001D38A8"/>
    <w:rsid w:val="001E5DBB"/>
    <w:rsid w:val="001E7AE8"/>
    <w:rsid w:val="001F1051"/>
    <w:rsid w:val="001F28E6"/>
    <w:rsid w:val="001F34A8"/>
    <w:rsid w:val="001F6346"/>
    <w:rsid w:val="002034AD"/>
    <w:rsid w:val="002239B4"/>
    <w:rsid w:val="002261F5"/>
    <w:rsid w:val="00241F32"/>
    <w:rsid w:val="00260AB5"/>
    <w:rsid w:val="00265031"/>
    <w:rsid w:val="00266277"/>
    <w:rsid w:val="00282BF6"/>
    <w:rsid w:val="00284C12"/>
    <w:rsid w:val="00286834"/>
    <w:rsid w:val="002A76AF"/>
    <w:rsid w:val="002B282F"/>
    <w:rsid w:val="002B35D7"/>
    <w:rsid w:val="002B4B30"/>
    <w:rsid w:val="002C0ECE"/>
    <w:rsid w:val="002C62A8"/>
    <w:rsid w:val="002C6DEB"/>
    <w:rsid w:val="002D1A8F"/>
    <w:rsid w:val="002E7BC2"/>
    <w:rsid w:val="002F63BB"/>
    <w:rsid w:val="00302F9F"/>
    <w:rsid w:val="00304386"/>
    <w:rsid w:val="00326995"/>
    <w:rsid w:val="0033462A"/>
    <w:rsid w:val="003353E6"/>
    <w:rsid w:val="003401FE"/>
    <w:rsid w:val="00353541"/>
    <w:rsid w:val="00356FCF"/>
    <w:rsid w:val="00380636"/>
    <w:rsid w:val="00390DCF"/>
    <w:rsid w:val="00391F16"/>
    <w:rsid w:val="00397CCB"/>
    <w:rsid w:val="003A1B3E"/>
    <w:rsid w:val="003A2944"/>
    <w:rsid w:val="003B0DEF"/>
    <w:rsid w:val="003C2074"/>
    <w:rsid w:val="003C3ADB"/>
    <w:rsid w:val="003D11B5"/>
    <w:rsid w:val="003D134C"/>
    <w:rsid w:val="003D2E53"/>
    <w:rsid w:val="003D4D18"/>
    <w:rsid w:val="003D69A5"/>
    <w:rsid w:val="003E14F9"/>
    <w:rsid w:val="003F2A48"/>
    <w:rsid w:val="003F3119"/>
    <w:rsid w:val="003F3A0C"/>
    <w:rsid w:val="00400868"/>
    <w:rsid w:val="0040112B"/>
    <w:rsid w:val="00403F26"/>
    <w:rsid w:val="004100D9"/>
    <w:rsid w:val="00427818"/>
    <w:rsid w:val="00427E12"/>
    <w:rsid w:val="00430B5A"/>
    <w:rsid w:val="00432B4F"/>
    <w:rsid w:val="00433CB5"/>
    <w:rsid w:val="0044207D"/>
    <w:rsid w:val="004423A9"/>
    <w:rsid w:val="00447FE5"/>
    <w:rsid w:val="0045244B"/>
    <w:rsid w:val="0045479F"/>
    <w:rsid w:val="004617B8"/>
    <w:rsid w:val="00461D5B"/>
    <w:rsid w:val="00463395"/>
    <w:rsid w:val="00465903"/>
    <w:rsid w:val="004758FE"/>
    <w:rsid w:val="004830C8"/>
    <w:rsid w:val="004837AB"/>
    <w:rsid w:val="00483A2F"/>
    <w:rsid w:val="004A2086"/>
    <w:rsid w:val="004A6EE1"/>
    <w:rsid w:val="004A7C97"/>
    <w:rsid w:val="004B1BEE"/>
    <w:rsid w:val="004B7024"/>
    <w:rsid w:val="004C1960"/>
    <w:rsid w:val="004C203A"/>
    <w:rsid w:val="004C6E06"/>
    <w:rsid w:val="004E370E"/>
    <w:rsid w:val="004F1636"/>
    <w:rsid w:val="004F4387"/>
    <w:rsid w:val="005031F2"/>
    <w:rsid w:val="00504327"/>
    <w:rsid w:val="00510BF5"/>
    <w:rsid w:val="0051273E"/>
    <w:rsid w:val="00515434"/>
    <w:rsid w:val="0052035A"/>
    <w:rsid w:val="00521BA7"/>
    <w:rsid w:val="005252E2"/>
    <w:rsid w:val="005301CC"/>
    <w:rsid w:val="00540388"/>
    <w:rsid w:val="005511D5"/>
    <w:rsid w:val="0055173A"/>
    <w:rsid w:val="005573D8"/>
    <w:rsid w:val="005777C2"/>
    <w:rsid w:val="00582DD8"/>
    <w:rsid w:val="00585FB5"/>
    <w:rsid w:val="00591586"/>
    <w:rsid w:val="00596F69"/>
    <w:rsid w:val="005A6AA3"/>
    <w:rsid w:val="005B3880"/>
    <w:rsid w:val="005D2481"/>
    <w:rsid w:val="005D2B82"/>
    <w:rsid w:val="005E2A95"/>
    <w:rsid w:val="005E7E6E"/>
    <w:rsid w:val="005F5D19"/>
    <w:rsid w:val="005F6CBF"/>
    <w:rsid w:val="00602DB4"/>
    <w:rsid w:val="006105A0"/>
    <w:rsid w:val="006135E6"/>
    <w:rsid w:val="00621DD6"/>
    <w:rsid w:val="006223B8"/>
    <w:rsid w:val="00632EA5"/>
    <w:rsid w:val="0063488F"/>
    <w:rsid w:val="00644BC2"/>
    <w:rsid w:val="00645BA6"/>
    <w:rsid w:val="00646073"/>
    <w:rsid w:val="0065701C"/>
    <w:rsid w:val="00670142"/>
    <w:rsid w:val="006818B6"/>
    <w:rsid w:val="006824B8"/>
    <w:rsid w:val="006856C5"/>
    <w:rsid w:val="006873E8"/>
    <w:rsid w:val="00692292"/>
    <w:rsid w:val="006A7743"/>
    <w:rsid w:val="006B6C6A"/>
    <w:rsid w:val="006C234F"/>
    <w:rsid w:val="006C5955"/>
    <w:rsid w:val="006D7A8D"/>
    <w:rsid w:val="006E2C27"/>
    <w:rsid w:val="006F39D0"/>
    <w:rsid w:val="006F7746"/>
    <w:rsid w:val="00711157"/>
    <w:rsid w:val="0072792D"/>
    <w:rsid w:val="00736C89"/>
    <w:rsid w:val="00745744"/>
    <w:rsid w:val="0075032A"/>
    <w:rsid w:val="007533C7"/>
    <w:rsid w:val="007672D5"/>
    <w:rsid w:val="00771C4C"/>
    <w:rsid w:val="00772497"/>
    <w:rsid w:val="007815FD"/>
    <w:rsid w:val="00791377"/>
    <w:rsid w:val="007B4DFC"/>
    <w:rsid w:val="007C1102"/>
    <w:rsid w:val="007C68FC"/>
    <w:rsid w:val="007D48ED"/>
    <w:rsid w:val="007D62C7"/>
    <w:rsid w:val="007E4B48"/>
    <w:rsid w:val="007F4C5E"/>
    <w:rsid w:val="007F7AC6"/>
    <w:rsid w:val="00803061"/>
    <w:rsid w:val="00803D6A"/>
    <w:rsid w:val="00807EEE"/>
    <w:rsid w:val="0081218A"/>
    <w:rsid w:val="00813893"/>
    <w:rsid w:val="0082266E"/>
    <w:rsid w:val="00824361"/>
    <w:rsid w:val="008327EE"/>
    <w:rsid w:val="00835FAB"/>
    <w:rsid w:val="00842927"/>
    <w:rsid w:val="00842E74"/>
    <w:rsid w:val="00843BE5"/>
    <w:rsid w:val="00857655"/>
    <w:rsid w:val="00862721"/>
    <w:rsid w:val="00862C23"/>
    <w:rsid w:val="00863DD9"/>
    <w:rsid w:val="00866446"/>
    <w:rsid w:val="0086741B"/>
    <w:rsid w:val="008751EF"/>
    <w:rsid w:val="0088268C"/>
    <w:rsid w:val="00882ABB"/>
    <w:rsid w:val="00886F29"/>
    <w:rsid w:val="00887595"/>
    <w:rsid w:val="00893947"/>
    <w:rsid w:val="008A0633"/>
    <w:rsid w:val="008A53F2"/>
    <w:rsid w:val="008C24B6"/>
    <w:rsid w:val="008C26B7"/>
    <w:rsid w:val="008C487C"/>
    <w:rsid w:val="008C4921"/>
    <w:rsid w:val="008C4C28"/>
    <w:rsid w:val="008D378F"/>
    <w:rsid w:val="008E0FCC"/>
    <w:rsid w:val="008E2FE3"/>
    <w:rsid w:val="008E4877"/>
    <w:rsid w:val="008E4F25"/>
    <w:rsid w:val="008E55C6"/>
    <w:rsid w:val="008E5F34"/>
    <w:rsid w:val="008F2267"/>
    <w:rsid w:val="008F490E"/>
    <w:rsid w:val="008F516D"/>
    <w:rsid w:val="009231E0"/>
    <w:rsid w:val="00925FCB"/>
    <w:rsid w:val="009335D9"/>
    <w:rsid w:val="00936A0F"/>
    <w:rsid w:val="0094508D"/>
    <w:rsid w:val="009506A7"/>
    <w:rsid w:val="00951464"/>
    <w:rsid w:val="00952603"/>
    <w:rsid w:val="00967230"/>
    <w:rsid w:val="00972C13"/>
    <w:rsid w:val="00973752"/>
    <w:rsid w:val="00980C42"/>
    <w:rsid w:val="009812D7"/>
    <w:rsid w:val="00985708"/>
    <w:rsid w:val="00991752"/>
    <w:rsid w:val="009920CA"/>
    <w:rsid w:val="009A5714"/>
    <w:rsid w:val="009A5DA7"/>
    <w:rsid w:val="009A64A4"/>
    <w:rsid w:val="009B1AEC"/>
    <w:rsid w:val="009B6CFE"/>
    <w:rsid w:val="009C4BC4"/>
    <w:rsid w:val="009D1147"/>
    <w:rsid w:val="009D1D57"/>
    <w:rsid w:val="009E2052"/>
    <w:rsid w:val="009E2544"/>
    <w:rsid w:val="009E2770"/>
    <w:rsid w:val="009F2261"/>
    <w:rsid w:val="009F2783"/>
    <w:rsid w:val="009F3537"/>
    <w:rsid w:val="00A178B9"/>
    <w:rsid w:val="00A211A0"/>
    <w:rsid w:val="00A250F5"/>
    <w:rsid w:val="00A25657"/>
    <w:rsid w:val="00A25BCC"/>
    <w:rsid w:val="00A329B6"/>
    <w:rsid w:val="00A367A1"/>
    <w:rsid w:val="00A44E0A"/>
    <w:rsid w:val="00A47E7B"/>
    <w:rsid w:val="00A510F6"/>
    <w:rsid w:val="00A56F41"/>
    <w:rsid w:val="00A611FE"/>
    <w:rsid w:val="00A83591"/>
    <w:rsid w:val="00A83829"/>
    <w:rsid w:val="00A841C5"/>
    <w:rsid w:val="00A903C4"/>
    <w:rsid w:val="00A9256A"/>
    <w:rsid w:val="00A95100"/>
    <w:rsid w:val="00AA615B"/>
    <w:rsid w:val="00AB6A57"/>
    <w:rsid w:val="00AC0C81"/>
    <w:rsid w:val="00AD37A7"/>
    <w:rsid w:val="00AE668A"/>
    <w:rsid w:val="00AE6858"/>
    <w:rsid w:val="00AF05A8"/>
    <w:rsid w:val="00AF1A3F"/>
    <w:rsid w:val="00AF2CB1"/>
    <w:rsid w:val="00AF5C62"/>
    <w:rsid w:val="00AF7270"/>
    <w:rsid w:val="00AF7A04"/>
    <w:rsid w:val="00B00AA2"/>
    <w:rsid w:val="00B01D4A"/>
    <w:rsid w:val="00B17BC5"/>
    <w:rsid w:val="00B2158C"/>
    <w:rsid w:val="00B22297"/>
    <w:rsid w:val="00B24E57"/>
    <w:rsid w:val="00B2563A"/>
    <w:rsid w:val="00B3420E"/>
    <w:rsid w:val="00B41C5A"/>
    <w:rsid w:val="00B43557"/>
    <w:rsid w:val="00B5123E"/>
    <w:rsid w:val="00B522C4"/>
    <w:rsid w:val="00B52B0E"/>
    <w:rsid w:val="00B5337D"/>
    <w:rsid w:val="00B5571B"/>
    <w:rsid w:val="00B65290"/>
    <w:rsid w:val="00B70B52"/>
    <w:rsid w:val="00B70E26"/>
    <w:rsid w:val="00B85A2C"/>
    <w:rsid w:val="00B87735"/>
    <w:rsid w:val="00B91993"/>
    <w:rsid w:val="00B91A95"/>
    <w:rsid w:val="00B97D95"/>
    <w:rsid w:val="00BA7E78"/>
    <w:rsid w:val="00BB0EA7"/>
    <w:rsid w:val="00BB379B"/>
    <w:rsid w:val="00BB59F9"/>
    <w:rsid w:val="00BC15B8"/>
    <w:rsid w:val="00BC5279"/>
    <w:rsid w:val="00BC6C4E"/>
    <w:rsid w:val="00BD209C"/>
    <w:rsid w:val="00BD5720"/>
    <w:rsid w:val="00BD58A7"/>
    <w:rsid w:val="00BE2AD3"/>
    <w:rsid w:val="00BE36F7"/>
    <w:rsid w:val="00BE6B1A"/>
    <w:rsid w:val="00BF2443"/>
    <w:rsid w:val="00BF552C"/>
    <w:rsid w:val="00C00A1C"/>
    <w:rsid w:val="00C02431"/>
    <w:rsid w:val="00C116A2"/>
    <w:rsid w:val="00C12201"/>
    <w:rsid w:val="00C1405A"/>
    <w:rsid w:val="00C25C12"/>
    <w:rsid w:val="00C274D9"/>
    <w:rsid w:val="00C32646"/>
    <w:rsid w:val="00C50B1B"/>
    <w:rsid w:val="00C52801"/>
    <w:rsid w:val="00C6210F"/>
    <w:rsid w:val="00C745C6"/>
    <w:rsid w:val="00C908AB"/>
    <w:rsid w:val="00C964DE"/>
    <w:rsid w:val="00CA5790"/>
    <w:rsid w:val="00CA634C"/>
    <w:rsid w:val="00CB0E0F"/>
    <w:rsid w:val="00CB5153"/>
    <w:rsid w:val="00CC68C5"/>
    <w:rsid w:val="00CD413E"/>
    <w:rsid w:val="00CE013C"/>
    <w:rsid w:val="00CE6A1B"/>
    <w:rsid w:val="00CF326B"/>
    <w:rsid w:val="00D0763E"/>
    <w:rsid w:val="00D11C59"/>
    <w:rsid w:val="00D13D05"/>
    <w:rsid w:val="00D23471"/>
    <w:rsid w:val="00D24682"/>
    <w:rsid w:val="00D24F06"/>
    <w:rsid w:val="00D25AEF"/>
    <w:rsid w:val="00D26A8F"/>
    <w:rsid w:val="00D349EE"/>
    <w:rsid w:val="00D34D49"/>
    <w:rsid w:val="00D352FE"/>
    <w:rsid w:val="00D55680"/>
    <w:rsid w:val="00D56D47"/>
    <w:rsid w:val="00D70FB4"/>
    <w:rsid w:val="00D815C1"/>
    <w:rsid w:val="00D85C85"/>
    <w:rsid w:val="00D92F6C"/>
    <w:rsid w:val="00D95879"/>
    <w:rsid w:val="00D97A6B"/>
    <w:rsid w:val="00DA2FA3"/>
    <w:rsid w:val="00DB751D"/>
    <w:rsid w:val="00DC679E"/>
    <w:rsid w:val="00DD0E98"/>
    <w:rsid w:val="00DE5D7B"/>
    <w:rsid w:val="00DE64DE"/>
    <w:rsid w:val="00DE7AB4"/>
    <w:rsid w:val="00DF3260"/>
    <w:rsid w:val="00DF4D86"/>
    <w:rsid w:val="00E00D86"/>
    <w:rsid w:val="00E01D84"/>
    <w:rsid w:val="00E06B8C"/>
    <w:rsid w:val="00E137BB"/>
    <w:rsid w:val="00E20ED6"/>
    <w:rsid w:val="00E2175B"/>
    <w:rsid w:val="00E3199C"/>
    <w:rsid w:val="00E370CB"/>
    <w:rsid w:val="00E50356"/>
    <w:rsid w:val="00E52C6F"/>
    <w:rsid w:val="00E63883"/>
    <w:rsid w:val="00E64988"/>
    <w:rsid w:val="00E64A38"/>
    <w:rsid w:val="00E756AC"/>
    <w:rsid w:val="00E82A4C"/>
    <w:rsid w:val="00E8381A"/>
    <w:rsid w:val="00E846E2"/>
    <w:rsid w:val="00E87596"/>
    <w:rsid w:val="00E875C5"/>
    <w:rsid w:val="00E87794"/>
    <w:rsid w:val="00E96422"/>
    <w:rsid w:val="00EA24C4"/>
    <w:rsid w:val="00EA5A59"/>
    <w:rsid w:val="00EB3D8F"/>
    <w:rsid w:val="00EF03DF"/>
    <w:rsid w:val="00EF2CA6"/>
    <w:rsid w:val="00F117B1"/>
    <w:rsid w:val="00F134F9"/>
    <w:rsid w:val="00F15D18"/>
    <w:rsid w:val="00F233F8"/>
    <w:rsid w:val="00F24C62"/>
    <w:rsid w:val="00F27123"/>
    <w:rsid w:val="00F317B0"/>
    <w:rsid w:val="00F34138"/>
    <w:rsid w:val="00F47FCE"/>
    <w:rsid w:val="00F501D2"/>
    <w:rsid w:val="00F5266F"/>
    <w:rsid w:val="00F56447"/>
    <w:rsid w:val="00F64055"/>
    <w:rsid w:val="00F710C6"/>
    <w:rsid w:val="00F7518B"/>
    <w:rsid w:val="00F851AF"/>
    <w:rsid w:val="00FC69B1"/>
    <w:rsid w:val="00FF7792"/>
    <w:rsid w:val="10B19A5D"/>
    <w:rsid w:val="132EF847"/>
    <w:rsid w:val="16679C9D"/>
    <w:rsid w:val="17E6D48C"/>
    <w:rsid w:val="1A8CC92F"/>
    <w:rsid w:val="1ED3A5A5"/>
    <w:rsid w:val="33DD51EB"/>
    <w:rsid w:val="3B5D1034"/>
    <w:rsid w:val="427B2D74"/>
    <w:rsid w:val="428B82DD"/>
    <w:rsid w:val="4FAAE9DD"/>
    <w:rsid w:val="5164229D"/>
    <w:rsid w:val="63F1FC9A"/>
    <w:rsid w:val="6925986E"/>
    <w:rsid w:val="6AB4D81C"/>
    <w:rsid w:val="73BB0A73"/>
    <w:rsid w:val="73F24C71"/>
    <w:rsid w:val="74BB4436"/>
    <w:rsid w:val="74D45754"/>
    <w:rsid w:val="785D7A4B"/>
    <w:rsid w:val="7DE4BB77"/>
    <w:rsid w:val="7F87027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50F1F1"/>
  <w15:chartTrackingRefBased/>
  <w15:docId w15:val="{74620379-BE3B-4852-AB6F-F880F2F8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character" w:styleId="Refdecomentario">
    <w:name w:val="annotation reference"/>
    <w:basedOn w:val="Fuentedeprrafopredeter"/>
    <w:uiPriority w:val="99"/>
    <w:semiHidden/>
    <w:unhideWhenUsed/>
    <w:rsid w:val="009C4BC4"/>
    <w:rPr>
      <w:sz w:val="16"/>
      <w:szCs w:val="16"/>
    </w:rPr>
  </w:style>
  <w:style w:type="paragraph" w:styleId="Textocomentario">
    <w:name w:val="annotation text"/>
    <w:basedOn w:val="Normal"/>
    <w:link w:val="TextocomentarioCar"/>
    <w:uiPriority w:val="99"/>
    <w:semiHidden/>
    <w:unhideWhenUsed/>
    <w:rsid w:val="009C4BC4"/>
    <w:rPr>
      <w:sz w:val="20"/>
      <w:szCs w:val="20"/>
    </w:rPr>
  </w:style>
  <w:style w:type="character" w:customStyle="1" w:styleId="TextocomentarioCar">
    <w:name w:val="Texto comentario Car"/>
    <w:basedOn w:val="Fuentedeprrafopredeter"/>
    <w:link w:val="Textocomentario"/>
    <w:uiPriority w:val="99"/>
    <w:semiHidden/>
    <w:rsid w:val="009C4BC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4BC4"/>
    <w:rPr>
      <w:b/>
      <w:bCs/>
    </w:rPr>
  </w:style>
  <w:style w:type="character" w:customStyle="1" w:styleId="AsuntodelcomentarioCar">
    <w:name w:val="Asunto del comentario Car"/>
    <w:basedOn w:val="TextocomentarioCar"/>
    <w:link w:val="Asuntodelcomentario"/>
    <w:uiPriority w:val="99"/>
    <w:semiHidden/>
    <w:rsid w:val="009C4BC4"/>
    <w:rPr>
      <w:b/>
      <w:bCs/>
      <w:sz w:val="20"/>
      <w:szCs w:val="20"/>
      <w:lang w:val="es-MX"/>
    </w:rPr>
  </w:style>
  <w:style w:type="table" w:customStyle="1" w:styleId="Tablaconcuadrcula1">
    <w:name w:val="Tabla con cuadrícula1"/>
    <w:basedOn w:val="Tablanormal"/>
    <w:next w:val="Tablaconcuadrcula"/>
    <w:uiPriority w:val="59"/>
    <w:rsid w:val="00644BC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F1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1063">
      <w:bodyDiv w:val="1"/>
      <w:marLeft w:val="0"/>
      <w:marRight w:val="0"/>
      <w:marTop w:val="0"/>
      <w:marBottom w:val="0"/>
      <w:divBdr>
        <w:top w:val="none" w:sz="0" w:space="0" w:color="auto"/>
        <w:left w:val="none" w:sz="0" w:space="0" w:color="auto"/>
        <w:bottom w:val="none" w:sz="0" w:space="0" w:color="auto"/>
        <w:right w:val="none" w:sz="0" w:space="0" w:color="auto"/>
      </w:divBdr>
    </w:div>
    <w:div w:id="929005345">
      <w:bodyDiv w:val="1"/>
      <w:marLeft w:val="0"/>
      <w:marRight w:val="0"/>
      <w:marTop w:val="0"/>
      <w:marBottom w:val="0"/>
      <w:divBdr>
        <w:top w:val="none" w:sz="0" w:space="0" w:color="auto"/>
        <w:left w:val="none" w:sz="0" w:space="0" w:color="auto"/>
        <w:bottom w:val="none" w:sz="0" w:space="0" w:color="auto"/>
        <w:right w:val="none" w:sz="0" w:space="0" w:color="auto"/>
      </w:divBdr>
    </w:div>
    <w:div w:id="1325008976">
      <w:bodyDiv w:val="1"/>
      <w:marLeft w:val="0"/>
      <w:marRight w:val="0"/>
      <w:marTop w:val="0"/>
      <w:marBottom w:val="0"/>
      <w:divBdr>
        <w:top w:val="none" w:sz="0" w:space="0" w:color="auto"/>
        <w:left w:val="none" w:sz="0" w:space="0" w:color="auto"/>
        <w:bottom w:val="none" w:sz="0" w:space="0" w:color="auto"/>
        <w:right w:val="none" w:sz="0" w:space="0" w:color="auto"/>
      </w:divBdr>
    </w:div>
    <w:div w:id="138360019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460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documentos/umbrales_2020_-_2021.pdf" TargetMode="External"/><Relationship Id="rId2" Type="http://schemas.openxmlformats.org/officeDocument/2006/relationships/hyperlink" Target="https://www.banrep.gov.co/es/estadisticas/trm" TargetMode="External"/><Relationship Id="rId1" Type="http://schemas.openxmlformats.org/officeDocument/2006/relationships/hyperlink" Target="about:blank" TargetMode="External"/><Relationship Id="rId4" Type="http://schemas.openxmlformats.org/officeDocument/2006/relationships/hyperlink" Target="https://bibliotecadigital.ccb.org.co/bitstream/handle/11520/8346/el%20abc%20de%20esales%202013%20completo.pdf?sequence=1&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4D958A5-38C9-44EC-A0FB-0F4A5C8404C2}">
  <ds:schemaRefs>
    <ds:schemaRef ds:uri="http://schemas.openxmlformats.org/officeDocument/2006/bibliography"/>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ABC3C6AC-F84C-47F5-8880-D70F4EA57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6907</Words>
  <Characters>37991</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Alejandro Sarmiento</cp:lastModifiedBy>
  <cp:revision>6</cp:revision>
  <cp:lastPrinted>2020-03-17T15:42:00Z</cp:lastPrinted>
  <dcterms:created xsi:type="dcterms:W3CDTF">2020-12-16T13:04:00Z</dcterms:created>
  <dcterms:modified xsi:type="dcterms:W3CDTF">2020-12-16T13:29:00Z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