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0F07487" w:rsidR="0034177C" w:rsidRPr="00B41612" w:rsidRDefault="00021778" w:rsidP="0034177C">
      <w:pPr>
        <w:jc w:val="right"/>
        <w:rPr>
          <w:rFonts w:ascii="Arial" w:hAnsi="Arial" w:cs="Arial"/>
          <w:b/>
          <w:sz w:val="16"/>
          <w:szCs w:val="16"/>
          <w:lang w:eastAsia="es-ES"/>
        </w:rPr>
      </w:pPr>
      <w:bookmarkStart w:id="0" w:name="_Hlk28946138"/>
      <w:bookmarkStart w:id="1" w:name="_Hlk29548183"/>
      <w:r w:rsidRPr="00B41612">
        <w:rPr>
          <w:rFonts w:ascii="Arial" w:hAnsi="Arial" w:cs="Arial"/>
          <w:b/>
          <w:sz w:val="21"/>
          <w:szCs w:val="21"/>
          <w:lang w:eastAsia="es-ES"/>
        </w:rPr>
        <w:t xml:space="preserve">  </w:t>
      </w:r>
      <w:r w:rsidR="009F59C2" w:rsidRPr="00B41612">
        <w:rPr>
          <w:rFonts w:ascii="Arial" w:hAnsi="Arial" w:cs="Arial"/>
          <w:b/>
          <w:sz w:val="21"/>
          <w:szCs w:val="21"/>
          <w:lang w:eastAsia="es-ES"/>
        </w:rPr>
        <w:tab/>
      </w:r>
      <w:r w:rsidR="0034177C" w:rsidRPr="00B41612">
        <w:rPr>
          <w:rFonts w:ascii="Arial" w:hAnsi="Arial" w:cs="Arial"/>
          <w:b/>
          <w:sz w:val="16"/>
          <w:szCs w:val="16"/>
          <w:lang w:eastAsia="es-ES"/>
        </w:rPr>
        <w:t>CCE-DES-FM-17</w:t>
      </w:r>
    </w:p>
    <w:p w14:paraId="33FF83A2" w14:textId="77777777" w:rsidR="0034177C" w:rsidRPr="00B41612" w:rsidRDefault="0034177C" w:rsidP="007F6B46">
      <w:pPr>
        <w:spacing w:line="276" w:lineRule="auto"/>
        <w:jc w:val="both"/>
        <w:rPr>
          <w:rFonts w:ascii="Arial" w:eastAsia="Calibri" w:hAnsi="Arial" w:cs="Arial"/>
          <w:b/>
          <w:sz w:val="16"/>
          <w:szCs w:val="16"/>
        </w:rPr>
      </w:pPr>
    </w:p>
    <w:bookmarkEnd w:id="0"/>
    <w:bookmarkEnd w:id="1"/>
    <w:p w14:paraId="25E38614" w14:textId="5ED827F3" w:rsidR="00411DB3" w:rsidRPr="00B41612" w:rsidRDefault="004F7AB0" w:rsidP="00720820">
      <w:pPr>
        <w:jc w:val="both"/>
        <w:rPr>
          <w:rFonts w:ascii="Arial" w:eastAsia="Calibri" w:hAnsi="Arial" w:cs="Arial"/>
          <w:b/>
          <w:sz w:val="22"/>
        </w:rPr>
      </w:pPr>
      <w:r w:rsidRPr="00B41612">
        <w:rPr>
          <w:rFonts w:ascii="Arial" w:eastAsia="Calibri" w:hAnsi="Arial" w:cs="Arial"/>
          <w:b/>
          <w:sz w:val="22"/>
        </w:rPr>
        <w:t>DOCUMENTOS</w:t>
      </w:r>
      <w:r w:rsidR="00411DB3" w:rsidRPr="00B41612">
        <w:rPr>
          <w:rFonts w:ascii="Arial" w:eastAsia="Calibri" w:hAnsi="Arial" w:cs="Arial"/>
          <w:b/>
          <w:sz w:val="22"/>
        </w:rPr>
        <w:t xml:space="preserve"> TIPO </w:t>
      </w:r>
      <w:r w:rsidR="000379C9" w:rsidRPr="00B41612">
        <w:rPr>
          <w:rFonts w:ascii="Arial" w:eastAsia="Calibri" w:hAnsi="Arial" w:cs="Arial"/>
          <w:b/>
          <w:sz w:val="22"/>
        </w:rPr>
        <w:t>–</w:t>
      </w:r>
      <w:r w:rsidR="00411DB3" w:rsidRPr="00B41612">
        <w:rPr>
          <w:rFonts w:ascii="Arial" w:eastAsia="Calibri" w:hAnsi="Arial" w:cs="Arial"/>
          <w:b/>
          <w:sz w:val="22"/>
        </w:rPr>
        <w:t xml:space="preserve"> Obligatoriedad</w:t>
      </w:r>
    </w:p>
    <w:p w14:paraId="249B72BA" w14:textId="77777777" w:rsidR="00411DB3" w:rsidRPr="00B41612" w:rsidRDefault="00411DB3" w:rsidP="00720820">
      <w:pPr>
        <w:jc w:val="both"/>
        <w:rPr>
          <w:rFonts w:ascii="Arial" w:hAnsi="Arial" w:cs="Arial"/>
          <w:sz w:val="20"/>
          <w:szCs w:val="20"/>
        </w:rPr>
      </w:pPr>
    </w:p>
    <w:p w14:paraId="01D3BB38" w14:textId="77777777" w:rsidR="00253C0F" w:rsidRPr="00253C0F" w:rsidRDefault="00253C0F" w:rsidP="00253C0F">
      <w:pPr>
        <w:jc w:val="both"/>
        <w:rPr>
          <w:rFonts w:ascii="Arial" w:eastAsia="Calibri" w:hAnsi="Arial" w:cs="Arial"/>
          <w:sz w:val="20"/>
          <w:szCs w:val="20"/>
        </w:rPr>
      </w:pPr>
      <w:r w:rsidRPr="00253C0F">
        <w:rPr>
          <w:rFonts w:ascii="Arial" w:eastAsia="Calibri" w:hAnsi="Arial" w:cs="Arial"/>
          <w:sz w:val="20"/>
          <w:szCs w:val="20"/>
        </w:rPr>
        <w:t>El artículo 4 de la Ley 1882 de 2018, modificado por el artículo 1 de la Ley 2022 de 2020, dispone que a la Agencia Nacional de Contratación Pública le corresponde adoptar los «documentos tipo que serán de obligatorio cumplimiento en la actividad contractual de todas las entidades sometidas al Estatuto General de Contratación de la Administración Pública».</w:t>
      </w:r>
    </w:p>
    <w:p w14:paraId="53863E58" w14:textId="77777777" w:rsidR="00253C0F" w:rsidRDefault="00253C0F" w:rsidP="00253C0F">
      <w:pPr>
        <w:jc w:val="both"/>
        <w:rPr>
          <w:rFonts w:ascii="Arial" w:eastAsia="Calibri" w:hAnsi="Arial" w:cs="Arial"/>
          <w:sz w:val="20"/>
          <w:szCs w:val="20"/>
        </w:rPr>
      </w:pPr>
    </w:p>
    <w:p w14:paraId="36EA324C" w14:textId="55EBD639" w:rsidR="00411DB3" w:rsidRPr="00B41612" w:rsidRDefault="00253C0F" w:rsidP="00253C0F">
      <w:pPr>
        <w:jc w:val="both"/>
        <w:rPr>
          <w:rFonts w:ascii="Arial" w:eastAsia="Calibri" w:hAnsi="Arial" w:cs="Arial"/>
          <w:sz w:val="20"/>
          <w:szCs w:val="20"/>
        </w:rPr>
      </w:pPr>
      <w:r w:rsidRPr="00253C0F">
        <w:rPr>
          <w:rFonts w:ascii="Arial" w:eastAsia="Calibri" w:hAnsi="Arial" w:cs="Arial"/>
          <w:sz w:val="20"/>
          <w:szCs w:val="20"/>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Para estos efectos, también añade que «[…] en la adopción de los documentos tipo, se tendrá en cuenta las características propias de las regiones, la cuantía, el fomento de la economía local y la naturaleza y especialidad de la contratación […]» .</w:t>
      </w:r>
    </w:p>
    <w:p w14:paraId="44267E3B" w14:textId="77777777" w:rsidR="00253C0F" w:rsidRDefault="00253C0F" w:rsidP="3F646CE2">
      <w:pPr>
        <w:jc w:val="both"/>
        <w:rPr>
          <w:rFonts w:ascii="Arial" w:eastAsia="Calibri" w:hAnsi="Arial" w:cs="Arial"/>
          <w:b/>
          <w:bCs/>
          <w:sz w:val="22"/>
          <w:lang w:val="es-ES"/>
        </w:rPr>
      </w:pPr>
    </w:p>
    <w:p w14:paraId="1D38873B" w14:textId="6012968D" w:rsidR="00411DB3" w:rsidRPr="00B41612" w:rsidRDefault="00411DB3" w:rsidP="3F646CE2">
      <w:pPr>
        <w:jc w:val="both"/>
        <w:rPr>
          <w:rFonts w:ascii="Arial" w:eastAsia="Calibri" w:hAnsi="Arial" w:cs="Arial"/>
          <w:b/>
          <w:bCs/>
          <w:sz w:val="22"/>
          <w:lang w:val="es-ES"/>
        </w:rPr>
      </w:pPr>
      <w:r w:rsidRPr="00B41612">
        <w:rPr>
          <w:rFonts w:ascii="Arial" w:eastAsia="Calibri" w:hAnsi="Arial" w:cs="Arial"/>
          <w:b/>
          <w:bCs/>
          <w:sz w:val="22"/>
          <w:lang w:val="es-ES"/>
        </w:rPr>
        <w:t xml:space="preserve">DOCUMENTOS TIPO </w:t>
      </w:r>
      <w:r w:rsidR="000379C9" w:rsidRPr="00B41612">
        <w:rPr>
          <w:rFonts w:ascii="Arial" w:eastAsia="Calibri" w:hAnsi="Arial" w:cs="Arial"/>
          <w:b/>
          <w:bCs/>
          <w:sz w:val="22"/>
        </w:rPr>
        <w:t>–</w:t>
      </w:r>
      <w:r w:rsidRPr="00B41612">
        <w:rPr>
          <w:rFonts w:ascii="Arial" w:eastAsia="Calibri" w:hAnsi="Arial" w:cs="Arial"/>
          <w:b/>
          <w:bCs/>
          <w:sz w:val="22"/>
          <w:lang w:val="es-ES"/>
        </w:rPr>
        <w:t xml:space="preserve"> Inalterabilidad </w:t>
      </w:r>
    </w:p>
    <w:p w14:paraId="1CA8B528" w14:textId="77777777" w:rsidR="00411DB3" w:rsidRPr="00B41612" w:rsidRDefault="00411DB3" w:rsidP="00720820">
      <w:pPr>
        <w:jc w:val="both"/>
        <w:rPr>
          <w:rFonts w:ascii="Arial" w:eastAsia="Calibri" w:hAnsi="Arial" w:cs="Arial"/>
          <w:b/>
          <w:bCs/>
          <w:sz w:val="20"/>
          <w:szCs w:val="20"/>
          <w:lang w:val="es-ES_tradnl"/>
        </w:rPr>
      </w:pPr>
    </w:p>
    <w:p w14:paraId="441BEF34" w14:textId="77777777" w:rsidR="00253C0F" w:rsidRPr="00253C0F" w:rsidRDefault="00253C0F" w:rsidP="00253C0F">
      <w:pPr>
        <w:jc w:val="both"/>
        <w:rPr>
          <w:rFonts w:ascii="Arial" w:eastAsia="Calibri" w:hAnsi="Arial" w:cs="Arial"/>
          <w:sz w:val="20"/>
          <w:szCs w:val="20"/>
        </w:rPr>
      </w:pPr>
      <w:r w:rsidRPr="00253C0F">
        <w:rPr>
          <w:rFonts w:ascii="Arial" w:eastAsia="Calibri" w:hAnsi="Arial" w:cs="Arial"/>
          <w:sz w:val="20"/>
          <w:szCs w:val="20"/>
        </w:rPr>
        <w:t xml:space="preserve">Para el procedimiento de mínima cuantía, el artículo 2.2.1.2.6.3.4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adoptados por el Gobierno Nacional, son de obligatorio cumplimiento para las entidades sometidas al Estatuto General de Contratación de la Administración Pública que adelanten procesos que deban regirse por su contenido, y no pueden variarse o modificarse los requisitos fijados en ellos. </w:t>
      </w:r>
    </w:p>
    <w:p w14:paraId="28998D5D" w14:textId="77777777" w:rsidR="00253C0F" w:rsidRDefault="00253C0F" w:rsidP="00253C0F">
      <w:pPr>
        <w:jc w:val="both"/>
        <w:rPr>
          <w:rFonts w:ascii="Arial" w:eastAsia="Calibri" w:hAnsi="Arial" w:cs="Arial"/>
          <w:sz w:val="20"/>
          <w:szCs w:val="20"/>
        </w:rPr>
      </w:pPr>
    </w:p>
    <w:p w14:paraId="6198A47F" w14:textId="6E78BA8C" w:rsidR="00122A22" w:rsidRPr="00B41612" w:rsidRDefault="00253C0F" w:rsidP="00253C0F">
      <w:pPr>
        <w:jc w:val="both"/>
        <w:rPr>
          <w:rFonts w:ascii="Arial" w:eastAsia="Calibri" w:hAnsi="Arial" w:cs="Arial"/>
          <w:b/>
          <w:bCs/>
          <w:sz w:val="22"/>
        </w:rPr>
      </w:pPr>
      <w:r w:rsidRPr="00253C0F">
        <w:rPr>
          <w:rFonts w:ascii="Arial" w:eastAsia="Calibri" w:hAnsi="Arial" w:cs="Arial"/>
          <w:sz w:val="20"/>
          <w:szCs w:val="20"/>
        </w:rPr>
        <w:t>Esta prohibición la ratifica actualmente el artículo 2 de la Resolución No. 0094 de 2020, «por la cual se desarrollan e implementan los Documentos Tipo para los procesos de obra pública de infraestructura de transporte que se adelanten por la modalidad de mínima cuantía», al consagrar la inalterabilidad de los documentos tipo en los siguientes términos: «Las Entidades Estatales no pueden incluir condiciones o modificar las señaladas en los Documentos Tipo, a menos que expresamente se les faculte para hacerlo».</w:t>
      </w:r>
    </w:p>
    <w:p w14:paraId="5B95A5DE" w14:textId="77777777" w:rsidR="00253C0F" w:rsidRDefault="00253C0F" w:rsidP="3F646CE2">
      <w:pPr>
        <w:jc w:val="both"/>
        <w:rPr>
          <w:rFonts w:ascii="Arial" w:eastAsia="Calibri" w:hAnsi="Arial" w:cs="Arial"/>
          <w:b/>
          <w:bCs/>
          <w:sz w:val="22"/>
        </w:rPr>
      </w:pPr>
    </w:p>
    <w:p w14:paraId="42198B14" w14:textId="25D0F00B" w:rsidR="00565333" w:rsidRPr="00B41612" w:rsidRDefault="004F7AB0" w:rsidP="3F646CE2">
      <w:pPr>
        <w:jc w:val="both"/>
        <w:rPr>
          <w:rFonts w:ascii="Arial" w:hAnsi="Arial" w:cs="Arial"/>
          <w:b/>
          <w:bCs/>
          <w:sz w:val="22"/>
        </w:rPr>
      </w:pPr>
      <w:r w:rsidRPr="00B41612">
        <w:rPr>
          <w:rFonts w:ascii="Arial" w:eastAsia="Calibri" w:hAnsi="Arial" w:cs="Arial"/>
          <w:b/>
          <w:bCs/>
          <w:sz w:val="22"/>
        </w:rPr>
        <w:t>DOCUMENTO</w:t>
      </w:r>
      <w:r w:rsidR="00565333" w:rsidRPr="00B41612">
        <w:rPr>
          <w:rFonts w:ascii="Arial" w:eastAsia="Calibri" w:hAnsi="Arial" w:cs="Arial"/>
          <w:b/>
          <w:bCs/>
          <w:sz w:val="22"/>
        </w:rPr>
        <w:t xml:space="preserve">S TIPO </w:t>
      </w:r>
      <w:r w:rsidR="000379C9" w:rsidRPr="00B41612">
        <w:rPr>
          <w:rFonts w:ascii="Arial" w:eastAsia="Calibri" w:hAnsi="Arial" w:cs="Arial"/>
          <w:b/>
          <w:bCs/>
          <w:sz w:val="22"/>
        </w:rPr>
        <w:t>–</w:t>
      </w:r>
      <w:r w:rsidR="00565333" w:rsidRPr="00B41612">
        <w:rPr>
          <w:rFonts w:ascii="Arial" w:eastAsia="Calibri" w:hAnsi="Arial" w:cs="Arial"/>
          <w:b/>
          <w:bCs/>
          <w:sz w:val="22"/>
        </w:rPr>
        <w:t xml:space="preserve"> Inalterabilidad </w:t>
      </w:r>
      <w:r w:rsidR="000379C9" w:rsidRPr="00B41612">
        <w:rPr>
          <w:rFonts w:ascii="Arial" w:eastAsia="Calibri" w:hAnsi="Arial" w:cs="Arial"/>
          <w:b/>
          <w:bCs/>
          <w:sz w:val="22"/>
        </w:rPr>
        <w:t>–</w:t>
      </w:r>
      <w:r w:rsidR="00565333" w:rsidRPr="00B41612">
        <w:rPr>
          <w:rFonts w:ascii="Arial" w:eastAsia="Calibri" w:hAnsi="Arial" w:cs="Arial"/>
          <w:b/>
          <w:bCs/>
          <w:sz w:val="22"/>
        </w:rPr>
        <w:t xml:space="preserve"> Información </w:t>
      </w:r>
      <w:r w:rsidR="17AF078E" w:rsidRPr="00B41612">
        <w:rPr>
          <w:rFonts w:ascii="Arial" w:eastAsia="Arial" w:hAnsi="Arial" w:cs="Arial"/>
          <w:b/>
          <w:bCs/>
          <w:sz w:val="22"/>
        </w:rPr>
        <w:t>– C</w:t>
      </w:r>
      <w:r w:rsidR="00565333" w:rsidRPr="00B41612">
        <w:rPr>
          <w:rFonts w:ascii="Arial" w:eastAsia="Calibri" w:hAnsi="Arial" w:cs="Arial"/>
          <w:b/>
          <w:bCs/>
          <w:sz w:val="22"/>
        </w:rPr>
        <w:t xml:space="preserve">orchetes </w:t>
      </w:r>
      <w:r w:rsidR="7729B51F" w:rsidRPr="00B41612">
        <w:rPr>
          <w:rFonts w:ascii="Arial" w:eastAsia="Arial" w:hAnsi="Arial" w:cs="Arial"/>
          <w:b/>
          <w:bCs/>
          <w:sz w:val="22"/>
        </w:rPr>
        <w:t>– R</w:t>
      </w:r>
      <w:r w:rsidR="00565333" w:rsidRPr="00B41612">
        <w:rPr>
          <w:rFonts w:ascii="Arial" w:eastAsia="Calibri" w:hAnsi="Arial" w:cs="Arial"/>
          <w:b/>
          <w:bCs/>
          <w:sz w:val="22"/>
        </w:rPr>
        <w:t xml:space="preserve">esaltado gris </w:t>
      </w:r>
      <w:r w:rsidR="000379C9" w:rsidRPr="00B41612">
        <w:rPr>
          <w:rFonts w:ascii="Arial" w:eastAsia="Calibri" w:hAnsi="Arial" w:cs="Arial"/>
          <w:b/>
          <w:bCs/>
          <w:sz w:val="22"/>
        </w:rPr>
        <w:t>–</w:t>
      </w:r>
      <w:r w:rsidR="00565333" w:rsidRPr="00B41612">
        <w:rPr>
          <w:rFonts w:ascii="Arial" w:eastAsia="Calibri" w:hAnsi="Arial" w:cs="Arial"/>
          <w:b/>
          <w:bCs/>
          <w:sz w:val="22"/>
        </w:rPr>
        <w:t xml:space="preserve"> Experiencia </w:t>
      </w:r>
      <w:r w:rsidR="00B41612" w:rsidRPr="00B41612">
        <w:rPr>
          <w:rFonts w:ascii="Arial" w:eastAsia="Calibri" w:hAnsi="Arial" w:cs="Arial"/>
          <w:b/>
          <w:bCs/>
          <w:sz w:val="22"/>
        </w:rPr>
        <w:softHyphen/>
        <w:t>– Documentos válidos</w:t>
      </w:r>
    </w:p>
    <w:p w14:paraId="68F966A4" w14:textId="77777777" w:rsidR="00565333" w:rsidRPr="00B41612" w:rsidRDefault="00565333" w:rsidP="00720820">
      <w:pPr>
        <w:jc w:val="both"/>
        <w:rPr>
          <w:rFonts w:ascii="Arial" w:hAnsi="Arial" w:cs="Arial"/>
          <w:sz w:val="20"/>
          <w:szCs w:val="20"/>
        </w:rPr>
      </w:pPr>
    </w:p>
    <w:p w14:paraId="450CA81B" w14:textId="77777777" w:rsidR="00253C0F" w:rsidRPr="00253C0F" w:rsidRDefault="004D0991" w:rsidP="00253C0F">
      <w:pPr>
        <w:spacing w:after="120"/>
        <w:jc w:val="both"/>
        <w:rPr>
          <w:rFonts w:ascii="Arial" w:hAnsi="Arial" w:cs="Arial"/>
          <w:bCs/>
          <w:sz w:val="20"/>
          <w:szCs w:val="20"/>
          <w:lang w:val="es-CO"/>
        </w:rPr>
      </w:pPr>
      <w:r w:rsidRPr="00B41612">
        <w:rPr>
          <w:rFonts w:ascii="Arial" w:hAnsi="Arial" w:cs="Arial"/>
          <w:bCs/>
          <w:sz w:val="20"/>
          <w:szCs w:val="20"/>
          <w:lang w:val="es-CO"/>
        </w:rPr>
        <w:t>[…]</w:t>
      </w:r>
      <w:r w:rsidR="00B41612" w:rsidRPr="00B41612">
        <w:rPr>
          <w:rFonts w:ascii="Arial" w:hAnsi="Arial" w:cs="Arial"/>
          <w:bCs/>
          <w:sz w:val="20"/>
          <w:szCs w:val="20"/>
          <w:lang w:val="es-CO"/>
        </w:rPr>
        <w:t xml:space="preserve"> </w:t>
      </w:r>
      <w:r w:rsidR="00253C0F" w:rsidRPr="00253C0F">
        <w:rPr>
          <w:rFonts w:ascii="Arial" w:hAnsi="Arial" w:cs="Arial"/>
          <w:bCs/>
          <w:sz w:val="20"/>
          <w:szCs w:val="20"/>
          <w:lang w:val="es-CO"/>
        </w:rPr>
        <w:t>la regla general frente la aplicación de la «Invitación Pública» es su inalterabilidad, y no se podrán incluir o modificar en los Documentos del Proceso las condiciones habilitantes, los factores técnicos y económicos de escogencia y los sistemas de ponderación distintos a los señalados en los Documentos Tipo. Sin perjuicio de lo anterior, si el objeto contractual incluye bienes o servicios ajenos a la obra pública de infraestructura de transporte se podrá incluir experiencia adicional, conforme las reglas señaladas en el párrafo anterior. Además, el documento tipo puede modificarse en aquellos supuestos en que este lo permita explícitamente, es decir, en los aspectos incluidos en corchetes y resaltados en gris.</w:t>
      </w:r>
    </w:p>
    <w:p w14:paraId="091146E5" w14:textId="77777777" w:rsidR="00253C0F" w:rsidRDefault="00253C0F" w:rsidP="00720820">
      <w:pPr>
        <w:pStyle w:val="InviasNormal"/>
        <w:spacing w:before="0" w:after="0"/>
        <w:rPr>
          <w:rFonts w:ascii="Arial" w:eastAsiaTheme="minorHAnsi" w:hAnsi="Arial" w:cs="Arial"/>
          <w:bCs/>
          <w:color w:val="auto"/>
          <w:sz w:val="20"/>
          <w:szCs w:val="20"/>
          <w:lang w:val="es-CO" w:eastAsia="en-US"/>
        </w:rPr>
      </w:pPr>
      <w:r w:rsidRPr="00253C0F">
        <w:rPr>
          <w:rFonts w:ascii="Arial" w:eastAsiaTheme="minorHAnsi" w:hAnsi="Arial" w:cs="Arial"/>
          <w:bCs/>
          <w:color w:val="auto"/>
          <w:sz w:val="20"/>
          <w:szCs w:val="20"/>
          <w:lang w:val="es-CO" w:eastAsia="en-US"/>
        </w:rPr>
        <w:t xml:space="preserve">En tal sentido, comoquiera que de acuerdo con el parágrafo 7 del artículo 2 de la Ley 1150 de 2007, adicionado por el artículo 4 de la Ley 1882 de 2018 y posteriormente modificado por el artículo 4 de la Ley 2022 de 2020, los requisitos habilitantes y factores de escogencia adoptados por los documentos tipo son obligatorios para las entidades regidas por el EGCAP, siendo además </w:t>
      </w:r>
      <w:r w:rsidRPr="00253C0F">
        <w:rPr>
          <w:rFonts w:ascii="Arial" w:eastAsiaTheme="minorHAnsi" w:hAnsi="Arial" w:cs="Arial"/>
          <w:bCs/>
          <w:color w:val="auto"/>
          <w:sz w:val="20"/>
          <w:szCs w:val="20"/>
          <w:lang w:val="es-CO" w:eastAsia="en-US"/>
        </w:rPr>
        <w:lastRenderedPageBreak/>
        <w:t>inalterables conforme al artículo 2.2.1.2.6.3.4, lo que las entidades estatales deben respetar su contenido. Conforme a esto, al aplicar los documentos tipo de obra pública de infraestructura de transporte de mínima cuantía, las entidades estatales deben permitir acreditar la experiencia mediante los documentos enlistados como válidos en el numeral 4.5.4 de la «Invitación Pública» adoptada por esta Agencia mediante la Resolución No. 0094 de 2020.</w:t>
      </w:r>
    </w:p>
    <w:p w14:paraId="11E81B14" w14:textId="77777777" w:rsidR="00253C0F" w:rsidRDefault="00253C0F" w:rsidP="00720820">
      <w:pPr>
        <w:pStyle w:val="InviasNormal"/>
        <w:spacing w:before="0" w:after="0"/>
        <w:rPr>
          <w:rFonts w:ascii="Arial" w:eastAsiaTheme="minorHAnsi" w:hAnsi="Arial" w:cs="Arial"/>
          <w:bCs/>
          <w:color w:val="auto"/>
          <w:sz w:val="20"/>
          <w:szCs w:val="20"/>
          <w:lang w:val="es-CO" w:eastAsia="en-US"/>
        </w:rPr>
      </w:pPr>
    </w:p>
    <w:p w14:paraId="5F68FC46" w14:textId="76D9859F" w:rsidR="00411DB3" w:rsidRPr="00B41612" w:rsidRDefault="00411DB3" w:rsidP="00720820">
      <w:pPr>
        <w:pStyle w:val="InviasNormal"/>
        <w:spacing w:before="0" w:after="0"/>
        <w:rPr>
          <w:rFonts w:ascii="Arial" w:eastAsia="Calibri" w:hAnsi="Arial" w:cs="Arial"/>
          <w:b/>
          <w:bCs/>
          <w:color w:val="auto"/>
          <w:sz w:val="22"/>
          <w:szCs w:val="22"/>
          <w:lang w:val="es-ES_tradnl"/>
        </w:rPr>
      </w:pPr>
      <w:r w:rsidRPr="00B41612">
        <w:rPr>
          <w:rFonts w:ascii="Arial" w:eastAsia="Calibri" w:hAnsi="Arial" w:cs="Arial"/>
          <w:b/>
          <w:bCs/>
          <w:color w:val="auto"/>
          <w:sz w:val="22"/>
          <w:szCs w:val="22"/>
          <w:lang w:val="es-ES_tradnl"/>
        </w:rPr>
        <w:t xml:space="preserve">DOCUMENTOS TIPO </w:t>
      </w:r>
      <w:bookmarkStart w:id="2" w:name="_Hlk39666823"/>
      <w:r w:rsidR="000379C9" w:rsidRPr="00B41612">
        <w:rPr>
          <w:rFonts w:ascii="Arial" w:eastAsia="Calibri" w:hAnsi="Arial" w:cs="Arial"/>
          <w:b/>
          <w:color w:val="auto"/>
          <w:sz w:val="22"/>
        </w:rPr>
        <w:t>–</w:t>
      </w:r>
      <w:bookmarkEnd w:id="2"/>
      <w:r w:rsidRPr="00B41612">
        <w:rPr>
          <w:rFonts w:ascii="Arial" w:eastAsia="Calibri" w:hAnsi="Arial" w:cs="Arial"/>
          <w:b/>
          <w:bCs/>
          <w:color w:val="auto"/>
          <w:sz w:val="22"/>
          <w:szCs w:val="22"/>
          <w:lang w:val="es-ES_tradnl"/>
        </w:rPr>
        <w:t xml:space="preserve"> Inalterabilidad </w:t>
      </w:r>
      <w:r w:rsidR="000379C9" w:rsidRPr="00B41612">
        <w:rPr>
          <w:rFonts w:ascii="Arial" w:eastAsia="Calibri" w:hAnsi="Arial" w:cs="Arial"/>
          <w:b/>
          <w:color w:val="auto"/>
          <w:sz w:val="22"/>
        </w:rPr>
        <w:t>–</w:t>
      </w:r>
      <w:r w:rsidRPr="00B41612">
        <w:rPr>
          <w:rFonts w:ascii="Arial" w:eastAsia="Calibri" w:hAnsi="Arial" w:cs="Arial"/>
          <w:b/>
          <w:bCs/>
          <w:color w:val="auto"/>
          <w:sz w:val="22"/>
          <w:szCs w:val="22"/>
          <w:lang w:val="es-ES_tradnl"/>
        </w:rPr>
        <w:t xml:space="preserve"> </w:t>
      </w:r>
      <w:r w:rsidR="005A63C2" w:rsidRPr="00B41612">
        <w:rPr>
          <w:rFonts w:ascii="Arial" w:eastAsia="Calibri" w:hAnsi="Arial" w:cs="Arial"/>
          <w:b/>
          <w:bCs/>
          <w:color w:val="auto"/>
          <w:sz w:val="22"/>
          <w:szCs w:val="22"/>
          <w:lang w:val="es-ES_tradnl"/>
        </w:rPr>
        <w:t>Principio de prevalencia del derecho sustancial</w:t>
      </w:r>
    </w:p>
    <w:p w14:paraId="59A30044" w14:textId="77777777" w:rsidR="00411DB3" w:rsidRPr="00B41612" w:rsidRDefault="00411DB3" w:rsidP="00720820">
      <w:pPr>
        <w:jc w:val="both"/>
        <w:rPr>
          <w:rFonts w:ascii="Arial" w:eastAsia="Calibri" w:hAnsi="Arial" w:cs="Arial"/>
          <w:b/>
          <w:bCs/>
          <w:sz w:val="20"/>
          <w:szCs w:val="20"/>
          <w:lang w:val="es-ES_tradnl"/>
        </w:rPr>
      </w:pPr>
    </w:p>
    <w:p w14:paraId="2F59AD6A" w14:textId="77777777" w:rsidR="00253C0F" w:rsidRPr="00253C0F" w:rsidRDefault="00913F16" w:rsidP="00253C0F">
      <w:pPr>
        <w:jc w:val="both"/>
        <w:rPr>
          <w:rFonts w:ascii="Arial" w:eastAsia="Calibri" w:hAnsi="Arial" w:cs="Arial"/>
          <w:sz w:val="20"/>
          <w:szCs w:val="20"/>
          <w:lang w:val="es-ES_tradnl"/>
        </w:rPr>
      </w:pPr>
      <w:r w:rsidRPr="00B41612">
        <w:rPr>
          <w:rFonts w:ascii="Arial" w:eastAsia="Calibri" w:hAnsi="Arial" w:cs="Arial"/>
          <w:sz w:val="20"/>
          <w:szCs w:val="20"/>
          <w:lang w:val="es-ES_tradnl"/>
        </w:rPr>
        <w:t xml:space="preserve">[…] </w:t>
      </w:r>
      <w:r w:rsidR="00253C0F" w:rsidRPr="00253C0F">
        <w:rPr>
          <w:rFonts w:ascii="Arial" w:eastAsia="Calibri" w:hAnsi="Arial" w:cs="Arial"/>
          <w:sz w:val="20"/>
          <w:szCs w:val="20"/>
          <w:lang w:val="es-ES_tradnl"/>
        </w:rPr>
        <w:t>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sirvan para ello los actores del sistema de contratación pública.</w:t>
      </w:r>
    </w:p>
    <w:p w14:paraId="3B8CBF56" w14:textId="77777777" w:rsidR="00253C0F" w:rsidRDefault="00253C0F" w:rsidP="00253C0F">
      <w:pPr>
        <w:autoSpaceDE w:val="0"/>
        <w:autoSpaceDN w:val="0"/>
        <w:adjustRightInd w:val="0"/>
        <w:jc w:val="both"/>
        <w:rPr>
          <w:rFonts w:ascii="Arial" w:eastAsia="Calibri" w:hAnsi="Arial" w:cs="Arial"/>
          <w:sz w:val="20"/>
          <w:szCs w:val="20"/>
          <w:lang w:val="es-ES_tradnl"/>
        </w:rPr>
      </w:pPr>
    </w:p>
    <w:p w14:paraId="7E623971" w14:textId="1906F90A" w:rsidR="00B9733D" w:rsidRPr="00B41612" w:rsidRDefault="00253C0F" w:rsidP="00253C0F">
      <w:pPr>
        <w:autoSpaceDE w:val="0"/>
        <w:autoSpaceDN w:val="0"/>
        <w:adjustRightInd w:val="0"/>
        <w:jc w:val="both"/>
        <w:rPr>
          <w:rFonts w:ascii="Arial" w:hAnsi="Arial" w:cs="Arial"/>
          <w:szCs w:val="24"/>
          <w:lang w:val="es-CO"/>
        </w:rPr>
      </w:pPr>
      <w:r w:rsidRPr="00253C0F">
        <w:rPr>
          <w:rFonts w:ascii="Arial" w:eastAsia="Calibri" w:hAnsi="Arial" w:cs="Arial"/>
          <w:sz w:val="20"/>
          <w:szCs w:val="20"/>
          <w:lang w:val="es-ES_tradnl"/>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65D7F59D" w14:textId="77777777" w:rsidR="009E0F10" w:rsidRDefault="009E0F10">
      <w:pPr>
        <w:spacing w:after="200" w:line="276" w:lineRule="auto"/>
        <w:rPr>
          <w:rFonts w:ascii="Arial" w:eastAsia="Calibri" w:hAnsi="Arial" w:cs="Arial"/>
          <w:sz w:val="22"/>
          <w:szCs w:val="20"/>
        </w:rPr>
      </w:pPr>
      <w:r>
        <w:rPr>
          <w:rFonts w:ascii="Arial" w:eastAsia="Calibri" w:hAnsi="Arial" w:cs="Arial"/>
          <w:sz w:val="22"/>
          <w:szCs w:val="20"/>
        </w:rPr>
        <w:br w:type="page"/>
      </w:r>
    </w:p>
    <w:p w14:paraId="67AA9112" w14:textId="5A5E06C8" w:rsidR="002C369B" w:rsidRPr="00B41612" w:rsidRDefault="00EC6771" w:rsidP="002C369B">
      <w:pPr>
        <w:rPr>
          <w:rFonts w:ascii="Arial" w:eastAsia="Calibri" w:hAnsi="Arial" w:cs="Arial"/>
          <w:b/>
          <w:sz w:val="20"/>
          <w:szCs w:val="20"/>
        </w:rPr>
      </w:pPr>
      <w:r>
        <w:rPr>
          <w:noProof/>
        </w:rPr>
        <w:lastRenderedPageBreak/>
        <w:drawing>
          <wp:anchor distT="0" distB="0" distL="114300" distR="114300" simplePos="0" relativeHeight="251658752" behindDoc="0" locked="0" layoutInCell="1" allowOverlap="1" wp14:anchorId="3C293C2D" wp14:editId="61261106">
            <wp:simplePos x="0" y="0"/>
            <wp:positionH relativeFrom="column">
              <wp:posOffset>3621405</wp:posOffset>
            </wp:positionH>
            <wp:positionV relativeFrom="paragraph">
              <wp:posOffset>0</wp:posOffset>
            </wp:positionV>
            <wp:extent cx="2339340" cy="61595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34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771">
        <w:rPr>
          <w:rFonts w:ascii="ArialMT" w:hAnsi="ArialMT" w:cs="ArialMT"/>
          <w:color w:val="4E4D4D"/>
          <w:sz w:val="22"/>
          <w:lang w:val="es-CO"/>
        </w:rPr>
        <w:t xml:space="preserve"> </w:t>
      </w:r>
      <w:r>
        <w:rPr>
          <w:rFonts w:ascii="ArialMT" w:hAnsi="ArialMT" w:cs="ArialMT"/>
          <w:color w:val="4E4D4D"/>
          <w:sz w:val="22"/>
          <w:lang w:val="es-CO"/>
        </w:rPr>
        <w:t>Bogotá, 11 Diciembre 2020</w:t>
      </w:r>
    </w:p>
    <w:p w14:paraId="158C53D5" w14:textId="344DF677" w:rsidR="002C369B" w:rsidRPr="00B41612" w:rsidRDefault="002C369B" w:rsidP="002C369B">
      <w:pPr>
        <w:jc w:val="right"/>
        <w:rPr>
          <w:rFonts w:ascii="Arial" w:eastAsia="Calibri" w:hAnsi="Arial" w:cs="Arial"/>
          <w:b/>
          <w:sz w:val="22"/>
          <w:szCs w:val="20"/>
        </w:rPr>
      </w:pPr>
    </w:p>
    <w:p w14:paraId="4378C242" w14:textId="6938BACA" w:rsidR="002C369B" w:rsidRPr="00B41612" w:rsidRDefault="002C369B" w:rsidP="002C369B">
      <w:pPr>
        <w:jc w:val="right"/>
        <w:rPr>
          <w:rFonts w:ascii="Arial" w:eastAsia="Calibri" w:hAnsi="Arial" w:cs="Arial"/>
          <w:b/>
          <w:sz w:val="22"/>
          <w:szCs w:val="20"/>
        </w:rPr>
      </w:pPr>
    </w:p>
    <w:p w14:paraId="51BC7D4B" w14:textId="1D3008FC" w:rsidR="00411DB3" w:rsidRPr="00B41612" w:rsidRDefault="00411DB3" w:rsidP="00411DB3">
      <w:pPr>
        <w:rPr>
          <w:rFonts w:ascii="Arial" w:eastAsia="Calibri" w:hAnsi="Arial" w:cs="Arial"/>
          <w:sz w:val="22"/>
        </w:rPr>
      </w:pPr>
    </w:p>
    <w:p w14:paraId="21F9D5B4" w14:textId="58AA8F79" w:rsidR="00411DB3" w:rsidRPr="00B41612" w:rsidRDefault="00817308" w:rsidP="00411DB3">
      <w:pPr>
        <w:rPr>
          <w:rFonts w:ascii="Arial" w:eastAsia="Calibri" w:hAnsi="Arial" w:cs="Arial"/>
          <w:sz w:val="22"/>
        </w:rPr>
      </w:pPr>
      <w:r w:rsidRPr="00B41612">
        <w:rPr>
          <w:rFonts w:ascii="Arial" w:eastAsia="Calibri" w:hAnsi="Arial" w:cs="Arial"/>
          <w:sz w:val="22"/>
        </w:rPr>
        <w:t>S</w:t>
      </w:r>
      <w:r w:rsidR="00411DB3" w:rsidRPr="00B41612">
        <w:rPr>
          <w:rFonts w:ascii="Arial" w:eastAsia="Calibri" w:hAnsi="Arial" w:cs="Arial"/>
          <w:sz w:val="22"/>
        </w:rPr>
        <w:t>eñor</w:t>
      </w:r>
      <w:r w:rsidR="00234551" w:rsidRPr="00B41612">
        <w:rPr>
          <w:rFonts w:ascii="Arial" w:eastAsia="Calibri" w:hAnsi="Arial" w:cs="Arial"/>
          <w:sz w:val="22"/>
        </w:rPr>
        <w:t>a</w:t>
      </w:r>
      <w:r w:rsidR="00411DB3" w:rsidRPr="00B41612">
        <w:rPr>
          <w:rFonts w:ascii="Arial" w:eastAsia="Calibri" w:hAnsi="Arial" w:cs="Arial"/>
          <w:sz w:val="22"/>
        </w:rPr>
        <w:t xml:space="preserve"> </w:t>
      </w:r>
    </w:p>
    <w:p w14:paraId="20FCBE98" w14:textId="7E30609F" w:rsidR="002C369B" w:rsidRPr="00B41612" w:rsidRDefault="002C369B" w:rsidP="00411DB3">
      <w:pPr>
        <w:rPr>
          <w:rFonts w:ascii="Arial" w:eastAsia="Calibri" w:hAnsi="Arial" w:cs="Arial"/>
          <w:b/>
          <w:sz w:val="22"/>
        </w:rPr>
      </w:pPr>
      <w:proofErr w:type="spellStart"/>
      <w:r w:rsidRPr="00B41612">
        <w:rPr>
          <w:rFonts w:ascii="Arial" w:eastAsia="Calibri" w:hAnsi="Arial" w:cs="Arial"/>
          <w:b/>
          <w:sz w:val="22"/>
        </w:rPr>
        <w:t>Jeinmy</w:t>
      </w:r>
      <w:proofErr w:type="spellEnd"/>
      <w:r w:rsidRPr="00B41612">
        <w:rPr>
          <w:rFonts w:ascii="Arial" w:eastAsia="Calibri" w:hAnsi="Arial" w:cs="Arial"/>
          <w:b/>
          <w:sz w:val="22"/>
        </w:rPr>
        <w:t xml:space="preserve"> Enr</w:t>
      </w:r>
      <w:r w:rsidR="00534744">
        <w:rPr>
          <w:rFonts w:ascii="Arial" w:eastAsia="Calibri" w:hAnsi="Arial" w:cs="Arial"/>
          <w:b/>
          <w:sz w:val="22"/>
        </w:rPr>
        <w:t>í</w:t>
      </w:r>
      <w:r w:rsidRPr="00B41612">
        <w:rPr>
          <w:rFonts w:ascii="Arial" w:eastAsia="Calibri" w:hAnsi="Arial" w:cs="Arial"/>
          <w:b/>
          <w:sz w:val="22"/>
        </w:rPr>
        <w:t>quez</w:t>
      </w:r>
    </w:p>
    <w:p w14:paraId="6B1ABAAF" w14:textId="700CC43F" w:rsidR="00411DB3" w:rsidRPr="00B41612" w:rsidRDefault="002C369B" w:rsidP="00411DB3">
      <w:pPr>
        <w:rPr>
          <w:rFonts w:ascii="Arial" w:eastAsia="Calibri" w:hAnsi="Arial" w:cs="Arial"/>
          <w:sz w:val="22"/>
        </w:rPr>
      </w:pPr>
      <w:r w:rsidRPr="00B41612">
        <w:rPr>
          <w:rFonts w:ascii="Arial" w:eastAsia="Calibri" w:hAnsi="Arial" w:cs="Arial"/>
          <w:sz w:val="22"/>
        </w:rPr>
        <w:t>Cali, Valle del Cauca</w:t>
      </w:r>
      <w:r w:rsidR="00EC6771" w:rsidRPr="00EC6771">
        <w:t xml:space="preserve"> </w:t>
      </w:r>
    </w:p>
    <w:p w14:paraId="7B78AFAD" w14:textId="77777777" w:rsidR="00411DB3" w:rsidRPr="00B41612" w:rsidRDefault="00411DB3" w:rsidP="00411DB3">
      <w:pPr>
        <w:rPr>
          <w:rFonts w:ascii="Arial" w:eastAsia="Calibri" w:hAnsi="Arial" w:cs="Arial"/>
          <w:sz w:val="22"/>
        </w:rPr>
      </w:pPr>
    </w:p>
    <w:p w14:paraId="5FF87376" w14:textId="77777777" w:rsidR="00411DB3" w:rsidRPr="00B41612" w:rsidRDefault="00411DB3" w:rsidP="00411DB3">
      <w:pPr>
        <w:rPr>
          <w:rFonts w:ascii="Arial" w:eastAsia="Calibri" w:hAnsi="Arial" w:cs="Arial"/>
          <w:sz w:val="22"/>
        </w:rPr>
      </w:pPr>
    </w:p>
    <w:p w14:paraId="59725A32" w14:textId="564B434D" w:rsidR="00411DB3" w:rsidRPr="00B41612" w:rsidRDefault="00411DB3" w:rsidP="00411DB3">
      <w:pPr>
        <w:jc w:val="center"/>
        <w:rPr>
          <w:rFonts w:ascii="Arial" w:eastAsia="Calibri" w:hAnsi="Arial" w:cs="Arial"/>
          <w:b/>
          <w:sz w:val="22"/>
        </w:rPr>
      </w:pPr>
      <w:r w:rsidRPr="00B41612">
        <w:rPr>
          <w:rFonts w:ascii="Arial" w:eastAsia="Calibri" w:hAnsi="Arial" w:cs="Arial"/>
          <w:b/>
          <w:sz w:val="22"/>
        </w:rPr>
        <w:t xml:space="preserve">Concepto C ─ </w:t>
      </w:r>
      <w:r w:rsidR="002C369B" w:rsidRPr="00B41612">
        <w:rPr>
          <w:rFonts w:ascii="Arial" w:eastAsia="Calibri" w:hAnsi="Arial" w:cs="Arial"/>
          <w:b/>
          <w:sz w:val="22"/>
        </w:rPr>
        <w:t>774</w:t>
      </w:r>
      <w:r w:rsidRPr="00B41612">
        <w:rPr>
          <w:rFonts w:ascii="Arial" w:eastAsia="Calibri" w:hAnsi="Arial" w:cs="Arial"/>
          <w:b/>
          <w:sz w:val="22"/>
        </w:rPr>
        <w:t xml:space="preserve"> de 2020</w:t>
      </w:r>
    </w:p>
    <w:p w14:paraId="12FB1253" w14:textId="77777777" w:rsidR="00411DB3" w:rsidRPr="00B41612" w:rsidRDefault="00411DB3" w:rsidP="00411DB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41612" w:rsidRPr="00B41612" w14:paraId="58AB4279" w14:textId="77777777" w:rsidTr="00411DB3">
        <w:tc>
          <w:tcPr>
            <w:tcW w:w="2689" w:type="dxa"/>
            <w:hideMark/>
          </w:tcPr>
          <w:p w14:paraId="44FAABAE" w14:textId="77777777" w:rsidR="00411DB3" w:rsidRPr="00B41612" w:rsidRDefault="00411DB3">
            <w:pPr>
              <w:rPr>
                <w:rFonts w:ascii="Arial" w:eastAsia="Calibri" w:hAnsi="Arial" w:cs="Arial"/>
                <w:sz w:val="22"/>
              </w:rPr>
            </w:pPr>
            <w:r w:rsidRPr="00B41612">
              <w:rPr>
                <w:rFonts w:ascii="Arial" w:eastAsia="Calibri" w:hAnsi="Arial" w:cs="Arial"/>
                <w:b/>
                <w:sz w:val="22"/>
              </w:rPr>
              <w:t>Temas:</w:t>
            </w:r>
            <w:r w:rsidRPr="00B41612">
              <w:rPr>
                <w:rFonts w:ascii="Arial" w:eastAsia="Calibri" w:hAnsi="Arial" w:cs="Arial"/>
                <w:sz w:val="22"/>
              </w:rPr>
              <w:t xml:space="preserve">           </w:t>
            </w:r>
          </w:p>
          <w:p w14:paraId="5F990E85" w14:textId="77777777" w:rsidR="00411DB3" w:rsidRPr="00B41612" w:rsidRDefault="00411DB3">
            <w:pPr>
              <w:rPr>
                <w:rFonts w:ascii="Arial" w:eastAsia="Calibri" w:hAnsi="Arial" w:cs="Arial"/>
                <w:sz w:val="22"/>
              </w:rPr>
            </w:pPr>
            <w:r w:rsidRPr="00B41612">
              <w:rPr>
                <w:rFonts w:ascii="Arial" w:eastAsia="Calibri" w:hAnsi="Arial" w:cs="Arial"/>
                <w:sz w:val="22"/>
              </w:rPr>
              <w:t xml:space="preserve">                           </w:t>
            </w:r>
          </w:p>
        </w:tc>
        <w:tc>
          <w:tcPr>
            <w:tcW w:w="6237" w:type="dxa"/>
            <w:hideMark/>
          </w:tcPr>
          <w:p w14:paraId="0DCEFC21" w14:textId="7496AAE0" w:rsidR="00411DB3" w:rsidRPr="00B41612" w:rsidRDefault="00B41612" w:rsidP="00565333">
            <w:pPr>
              <w:jc w:val="both"/>
              <w:rPr>
                <w:rFonts w:ascii="Arial" w:eastAsia="Calibri" w:hAnsi="Arial" w:cs="Arial"/>
                <w:sz w:val="22"/>
              </w:rPr>
            </w:pPr>
            <w:r w:rsidRPr="00B41612">
              <w:rPr>
                <w:rFonts w:ascii="Arial" w:eastAsia="Calibri" w:hAnsi="Arial" w:cs="Arial"/>
                <w:sz w:val="22"/>
              </w:rPr>
              <w:t>DOCUMENTOS TIPO – Obligatoriedad / DOCUMENTOS TIPO – Inalterabilidad / DOCUMENTOS TIPO – Inalterabilidad – Información – Corchetes – Resaltado gris – Experiencia – Documentos válidos / DOCUMENTOS TIPO – Inalterabilidad – Principio de prevalencia del derecho sustancial</w:t>
            </w:r>
          </w:p>
        </w:tc>
      </w:tr>
      <w:tr w:rsidR="00234551" w:rsidRPr="00B41612" w14:paraId="15EA48F5" w14:textId="77777777" w:rsidTr="00411DB3">
        <w:tc>
          <w:tcPr>
            <w:tcW w:w="2689" w:type="dxa"/>
            <w:hideMark/>
          </w:tcPr>
          <w:p w14:paraId="3D21F68C" w14:textId="77777777" w:rsidR="00411DB3" w:rsidRPr="00B41612" w:rsidRDefault="00411DB3">
            <w:pPr>
              <w:spacing w:before="120"/>
              <w:rPr>
                <w:rFonts w:ascii="Arial" w:eastAsia="Calibri" w:hAnsi="Arial" w:cs="Arial"/>
                <w:b/>
                <w:sz w:val="22"/>
              </w:rPr>
            </w:pPr>
            <w:r w:rsidRPr="00B41612">
              <w:rPr>
                <w:rFonts w:ascii="Arial" w:eastAsia="Calibri" w:hAnsi="Arial" w:cs="Arial"/>
                <w:b/>
                <w:sz w:val="22"/>
              </w:rPr>
              <w:t>Radicación:</w:t>
            </w:r>
            <w:r w:rsidRPr="00B41612">
              <w:rPr>
                <w:rFonts w:ascii="Arial" w:eastAsia="Calibri" w:hAnsi="Arial" w:cs="Arial"/>
                <w:sz w:val="22"/>
              </w:rPr>
              <w:t xml:space="preserve">                              </w:t>
            </w:r>
          </w:p>
        </w:tc>
        <w:tc>
          <w:tcPr>
            <w:tcW w:w="6237" w:type="dxa"/>
            <w:hideMark/>
          </w:tcPr>
          <w:p w14:paraId="5AFC237D" w14:textId="2C1B4E45" w:rsidR="00411DB3" w:rsidRPr="00B41612" w:rsidRDefault="00411DB3">
            <w:pPr>
              <w:spacing w:before="120"/>
              <w:jc w:val="both"/>
              <w:rPr>
                <w:rFonts w:ascii="Arial" w:eastAsia="Calibri" w:hAnsi="Arial" w:cs="Arial"/>
                <w:sz w:val="22"/>
              </w:rPr>
            </w:pPr>
            <w:r w:rsidRPr="00B41612">
              <w:rPr>
                <w:rFonts w:ascii="Arial" w:eastAsia="Calibri" w:hAnsi="Arial" w:cs="Arial"/>
                <w:sz w:val="22"/>
              </w:rPr>
              <w:t xml:space="preserve">Respuesta a la consulta </w:t>
            </w:r>
            <w:r w:rsidR="00846AA7" w:rsidRPr="00B41612">
              <w:rPr>
                <w:rFonts w:ascii="Arial" w:eastAsia="Calibri" w:hAnsi="Arial" w:cs="Arial"/>
                <w:sz w:val="22"/>
              </w:rPr>
              <w:t>No.</w:t>
            </w:r>
            <w:r w:rsidRPr="00B41612">
              <w:rPr>
                <w:rFonts w:ascii="Arial" w:eastAsia="Calibri" w:hAnsi="Arial" w:cs="Arial"/>
                <w:sz w:val="22"/>
              </w:rPr>
              <w:t xml:space="preserve"> </w:t>
            </w:r>
            <w:r w:rsidR="002C369B" w:rsidRPr="00B41612">
              <w:rPr>
                <w:rFonts w:ascii="Arial" w:eastAsia="Calibri" w:hAnsi="Arial" w:cs="Arial"/>
                <w:sz w:val="22"/>
              </w:rPr>
              <w:t>P20201130000246</w:t>
            </w:r>
          </w:p>
        </w:tc>
      </w:tr>
    </w:tbl>
    <w:p w14:paraId="57FD8A9C" w14:textId="77777777" w:rsidR="00411DB3" w:rsidRPr="00B41612" w:rsidRDefault="00411DB3" w:rsidP="00411DB3">
      <w:pPr>
        <w:jc w:val="both"/>
        <w:rPr>
          <w:rFonts w:ascii="Arial" w:eastAsia="Calibri" w:hAnsi="Arial" w:cs="Arial"/>
          <w:sz w:val="22"/>
        </w:rPr>
      </w:pPr>
    </w:p>
    <w:p w14:paraId="34BB77F0" w14:textId="32D017C8" w:rsidR="00411DB3" w:rsidRDefault="00411DB3" w:rsidP="00411DB3">
      <w:pPr>
        <w:jc w:val="both"/>
        <w:rPr>
          <w:rFonts w:ascii="Arial" w:eastAsia="Calibri" w:hAnsi="Arial" w:cs="Arial"/>
          <w:sz w:val="22"/>
        </w:rPr>
      </w:pPr>
    </w:p>
    <w:p w14:paraId="742D2F71" w14:textId="77777777" w:rsidR="00154F29" w:rsidRPr="00B41612" w:rsidRDefault="00154F29" w:rsidP="00411DB3">
      <w:pPr>
        <w:jc w:val="both"/>
        <w:rPr>
          <w:rFonts w:ascii="Arial" w:eastAsia="Calibri" w:hAnsi="Arial" w:cs="Arial"/>
          <w:sz w:val="22"/>
        </w:rPr>
      </w:pPr>
    </w:p>
    <w:p w14:paraId="16F4EFEE" w14:textId="7C5ABA1D" w:rsidR="00411DB3" w:rsidRPr="00B41612" w:rsidRDefault="00411DB3" w:rsidP="00411DB3">
      <w:pPr>
        <w:rPr>
          <w:rFonts w:ascii="Arial" w:eastAsia="Calibri" w:hAnsi="Arial" w:cs="Arial"/>
          <w:sz w:val="22"/>
        </w:rPr>
      </w:pPr>
      <w:r w:rsidRPr="00B41612">
        <w:rPr>
          <w:rFonts w:ascii="Arial" w:eastAsia="Calibri" w:hAnsi="Arial" w:cs="Arial"/>
          <w:sz w:val="22"/>
        </w:rPr>
        <w:t>Estimad</w:t>
      </w:r>
      <w:r w:rsidR="00234551" w:rsidRPr="00B41612">
        <w:rPr>
          <w:rFonts w:ascii="Arial" w:eastAsia="Calibri" w:hAnsi="Arial" w:cs="Arial"/>
          <w:sz w:val="22"/>
        </w:rPr>
        <w:t>a</w:t>
      </w:r>
      <w:r w:rsidRPr="00B41612">
        <w:rPr>
          <w:rFonts w:ascii="Arial" w:eastAsia="Calibri" w:hAnsi="Arial" w:cs="Arial"/>
          <w:sz w:val="22"/>
        </w:rPr>
        <w:t xml:space="preserve"> señor</w:t>
      </w:r>
      <w:r w:rsidR="00234551" w:rsidRPr="00B41612">
        <w:rPr>
          <w:rFonts w:ascii="Arial" w:eastAsia="Calibri" w:hAnsi="Arial" w:cs="Arial"/>
          <w:sz w:val="22"/>
        </w:rPr>
        <w:t>a</w:t>
      </w:r>
      <w:r w:rsidRPr="00B41612">
        <w:rPr>
          <w:rFonts w:ascii="Arial" w:eastAsia="Calibri" w:hAnsi="Arial" w:cs="Arial"/>
          <w:sz w:val="22"/>
        </w:rPr>
        <w:t xml:space="preserve"> </w:t>
      </w:r>
      <w:r w:rsidR="002C369B" w:rsidRPr="00B41612">
        <w:rPr>
          <w:rFonts w:ascii="Arial" w:eastAsia="Calibri" w:hAnsi="Arial" w:cs="Arial"/>
          <w:sz w:val="22"/>
        </w:rPr>
        <w:t>Enr</w:t>
      </w:r>
      <w:r w:rsidR="00534744">
        <w:rPr>
          <w:rFonts w:ascii="Arial" w:eastAsia="Calibri" w:hAnsi="Arial" w:cs="Arial"/>
          <w:sz w:val="22"/>
        </w:rPr>
        <w:t>í</w:t>
      </w:r>
      <w:r w:rsidR="002C369B" w:rsidRPr="00B41612">
        <w:rPr>
          <w:rFonts w:ascii="Arial" w:eastAsia="Calibri" w:hAnsi="Arial" w:cs="Arial"/>
          <w:sz w:val="22"/>
        </w:rPr>
        <w:t>quez</w:t>
      </w:r>
      <w:r w:rsidRPr="00B41612">
        <w:rPr>
          <w:rFonts w:ascii="Arial" w:eastAsia="Calibri" w:hAnsi="Arial" w:cs="Arial"/>
          <w:sz w:val="22"/>
        </w:rPr>
        <w:t>:</w:t>
      </w:r>
    </w:p>
    <w:p w14:paraId="4DA54AB6" w14:textId="77777777" w:rsidR="00411DB3" w:rsidRPr="00B41612" w:rsidRDefault="00411DB3" w:rsidP="00411DB3">
      <w:pPr>
        <w:rPr>
          <w:rFonts w:ascii="Arial" w:eastAsia="Calibri" w:hAnsi="Arial" w:cs="Arial"/>
          <w:sz w:val="22"/>
        </w:rPr>
      </w:pPr>
    </w:p>
    <w:p w14:paraId="59300C5F" w14:textId="04787D35" w:rsidR="00411DB3" w:rsidRPr="00B41612" w:rsidRDefault="00411DB3" w:rsidP="00411DB3">
      <w:pPr>
        <w:spacing w:line="276" w:lineRule="auto"/>
        <w:jc w:val="both"/>
        <w:rPr>
          <w:rFonts w:ascii="Arial" w:eastAsia="Calibri" w:hAnsi="Arial" w:cs="Arial"/>
          <w:sz w:val="22"/>
        </w:rPr>
      </w:pPr>
      <w:r w:rsidRPr="00B41612">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B41612">
        <w:rPr>
          <w:rFonts w:ascii="Arial" w:eastAsia="Calibri" w:hAnsi="Arial" w:cs="Arial"/>
          <w:sz w:val="22"/>
        </w:rPr>
        <w:t xml:space="preserve">u </w:t>
      </w:r>
      <w:r w:rsidRPr="00B41612">
        <w:rPr>
          <w:rFonts w:ascii="Arial" w:eastAsia="Calibri" w:hAnsi="Arial" w:cs="Arial"/>
          <w:sz w:val="22"/>
        </w:rPr>
        <w:t xml:space="preserve">consulta del </w:t>
      </w:r>
      <w:r w:rsidR="002C369B" w:rsidRPr="00B41612">
        <w:rPr>
          <w:rFonts w:ascii="Arial" w:eastAsia="Calibri" w:hAnsi="Arial" w:cs="Arial"/>
          <w:sz w:val="22"/>
        </w:rPr>
        <w:t>30</w:t>
      </w:r>
      <w:r w:rsidRPr="00B41612">
        <w:rPr>
          <w:rFonts w:ascii="Arial" w:eastAsia="Calibri" w:hAnsi="Arial" w:cs="Arial"/>
          <w:sz w:val="22"/>
        </w:rPr>
        <w:t xml:space="preserve"> de </w:t>
      </w:r>
      <w:r w:rsidR="002C369B" w:rsidRPr="00B41612">
        <w:rPr>
          <w:rFonts w:ascii="Arial" w:eastAsia="Calibri" w:hAnsi="Arial" w:cs="Arial"/>
          <w:sz w:val="22"/>
        </w:rPr>
        <w:t>noviembre</w:t>
      </w:r>
      <w:r w:rsidRPr="00B41612">
        <w:rPr>
          <w:rFonts w:ascii="Arial" w:eastAsia="Calibri" w:hAnsi="Arial" w:cs="Arial"/>
          <w:sz w:val="22"/>
        </w:rPr>
        <w:t xml:space="preserve"> </w:t>
      </w:r>
      <w:r w:rsidR="00846AA7" w:rsidRPr="00B41612">
        <w:rPr>
          <w:rFonts w:ascii="Arial" w:eastAsia="Calibri" w:hAnsi="Arial" w:cs="Arial"/>
          <w:sz w:val="22"/>
        </w:rPr>
        <w:t>de</w:t>
      </w:r>
      <w:r w:rsidRPr="00B41612">
        <w:rPr>
          <w:rFonts w:ascii="Arial" w:eastAsia="Calibri" w:hAnsi="Arial" w:cs="Arial"/>
          <w:sz w:val="22"/>
        </w:rPr>
        <w:t xml:space="preserve"> 2020. </w:t>
      </w:r>
    </w:p>
    <w:p w14:paraId="235773B4" w14:textId="77777777" w:rsidR="00411DB3" w:rsidRPr="00B41612" w:rsidRDefault="00411DB3" w:rsidP="00411DB3">
      <w:pPr>
        <w:spacing w:line="276" w:lineRule="auto"/>
        <w:jc w:val="both"/>
        <w:rPr>
          <w:rFonts w:ascii="Arial" w:eastAsia="Calibri" w:hAnsi="Arial" w:cs="Arial"/>
          <w:sz w:val="22"/>
        </w:rPr>
      </w:pPr>
    </w:p>
    <w:p w14:paraId="6CFE7609" w14:textId="77777777" w:rsidR="00411DB3" w:rsidRPr="00B41612" w:rsidRDefault="00411DB3" w:rsidP="00411DB3">
      <w:pPr>
        <w:pStyle w:val="Prrafodelista"/>
        <w:numPr>
          <w:ilvl w:val="0"/>
          <w:numId w:val="6"/>
        </w:numPr>
        <w:tabs>
          <w:tab w:val="left" w:pos="284"/>
        </w:tabs>
        <w:spacing w:line="276" w:lineRule="auto"/>
        <w:ind w:left="0" w:firstLine="0"/>
        <w:jc w:val="both"/>
        <w:rPr>
          <w:rFonts w:ascii="Arial" w:eastAsia="Calibri" w:hAnsi="Arial" w:cs="Arial"/>
          <w:b/>
          <w:sz w:val="22"/>
        </w:rPr>
      </w:pPr>
      <w:r w:rsidRPr="00B41612">
        <w:rPr>
          <w:rFonts w:ascii="Arial" w:eastAsia="Calibri" w:hAnsi="Arial" w:cs="Arial"/>
          <w:b/>
          <w:sz w:val="22"/>
        </w:rPr>
        <w:t xml:space="preserve">Problemas planteados </w:t>
      </w:r>
    </w:p>
    <w:p w14:paraId="79033991" w14:textId="77777777" w:rsidR="00411DB3" w:rsidRPr="00B41612" w:rsidRDefault="00411DB3" w:rsidP="00411DB3">
      <w:pPr>
        <w:tabs>
          <w:tab w:val="left" w:pos="426"/>
        </w:tabs>
        <w:spacing w:line="276" w:lineRule="auto"/>
        <w:jc w:val="both"/>
        <w:rPr>
          <w:rFonts w:ascii="Arial" w:eastAsia="Calibri" w:hAnsi="Arial" w:cs="Arial"/>
          <w:b/>
          <w:sz w:val="22"/>
        </w:rPr>
      </w:pPr>
    </w:p>
    <w:p w14:paraId="0BC46B16" w14:textId="47046A41" w:rsidR="00411DB3" w:rsidRPr="00B41612" w:rsidRDefault="00337CCE" w:rsidP="002C369B">
      <w:pPr>
        <w:autoSpaceDE w:val="0"/>
        <w:autoSpaceDN w:val="0"/>
        <w:adjustRightInd w:val="0"/>
        <w:spacing w:line="276" w:lineRule="auto"/>
        <w:jc w:val="both"/>
        <w:rPr>
          <w:rFonts w:ascii="Arial" w:eastAsia="Calibri" w:hAnsi="Arial" w:cs="Arial"/>
          <w:sz w:val="22"/>
          <w:lang w:val="es-CO"/>
        </w:rPr>
      </w:pPr>
      <w:r w:rsidRPr="00B41612">
        <w:rPr>
          <w:rFonts w:ascii="Arial" w:eastAsia="Calibri" w:hAnsi="Arial" w:cs="Arial"/>
          <w:sz w:val="22"/>
        </w:rPr>
        <w:t>U</w:t>
      </w:r>
      <w:r w:rsidR="00411DB3" w:rsidRPr="00B41612">
        <w:rPr>
          <w:rFonts w:ascii="Arial" w:eastAsia="Calibri" w:hAnsi="Arial" w:cs="Arial"/>
          <w:sz w:val="22"/>
        </w:rPr>
        <w:t xml:space="preserve">sted pregunta lo siguiente: </w:t>
      </w:r>
      <w:bookmarkStart w:id="3" w:name="_Hlk57814259"/>
      <w:r w:rsidR="00411DB3" w:rsidRPr="00B41612">
        <w:rPr>
          <w:rFonts w:ascii="Arial" w:eastAsia="Calibri" w:hAnsi="Arial" w:cs="Arial"/>
          <w:sz w:val="22"/>
        </w:rPr>
        <w:t>«</w:t>
      </w:r>
      <w:r w:rsidR="002C369B" w:rsidRPr="00B41612">
        <w:rPr>
          <w:rFonts w:ascii="Arial" w:eastAsia="Calibri" w:hAnsi="Arial" w:cs="Arial"/>
          <w:sz w:val="22"/>
        </w:rPr>
        <w:t>[…]</w:t>
      </w:r>
      <w:r w:rsidR="002C369B" w:rsidRPr="00B41612">
        <w:rPr>
          <w:rFonts w:ascii="Arial" w:hAnsi="Arial" w:cs="Arial"/>
          <w:sz w:val="22"/>
          <w:lang w:val="es-CO"/>
        </w:rPr>
        <w:t xml:space="preserve"> ¿las Entidades Estatales en los Procesos de Contratación pueden limitar la acreditación de la experiencia a la presentación de 1 solo documento </w:t>
      </w:r>
      <w:proofErr w:type="spellStart"/>
      <w:r w:rsidR="002C369B" w:rsidRPr="00B41612">
        <w:rPr>
          <w:rFonts w:ascii="Arial" w:hAnsi="Arial" w:cs="Arial"/>
          <w:sz w:val="22"/>
          <w:lang w:val="es-CO"/>
        </w:rPr>
        <w:t>valido</w:t>
      </w:r>
      <w:proofErr w:type="spellEnd"/>
      <w:r w:rsidR="002C369B" w:rsidRPr="00B41612">
        <w:rPr>
          <w:rFonts w:ascii="Arial" w:hAnsi="Arial" w:cs="Arial"/>
          <w:sz w:val="22"/>
          <w:lang w:val="es-CO"/>
        </w:rPr>
        <w:t xml:space="preserve"> para la acreditación mencionado en el numeral 4.5.4 del anterior documento citado, es decir que la entidad limite a que solo pueda acreditarse la experiencia con certificaciones o acta de liquidación, sin tener en cuenta el acta de Acta de entrega, terminación, final o de recibo definitivo? […]</w:t>
      </w:r>
      <w:r w:rsidR="004313B7" w:rsidRPr="00B41612">
        <w:rPr>
          <w:rFonts w:ascii="Arial" w:eastAsia="Calibri" w:hAnsi="Arial" w:cs="Arial"/>
          <w:sz w:val="22"/>
        </w:rPr>
        <w:t>».</w:t>
      </w:r>
      <w:bookmarkEnd w:id="3"/>
    </w:p>
    <w:p w14:paraId="094CE4C4" w14:textId="77777777" w:rsidR="00411DB3" w:rsidRPr="00B41612" w:rsidRDefault="00411DB3" w:rsidP="00411DB3">
      <w:pPr>
        <w:tabs>
          <w:tab w:val="left" w:pos="426"/>
        </w:tabs>
        <w:spacing w:line="276" w:lineRule="auto"/>
        <w:jc w:val="both"/>
        <w:rPr>
          <w:rFonts w:ascii="Arial" w:eastAsia="Calibri" w:hAnsi="Arial" w:cs="Arial"/>
          <w:sz w:val="22"/>
        </w:rPr>
      </w:pPr>
    </w:p>
    <w:p w14:paraId="65F0E866" w14:textId="77777777" w:rsidR="00411DB3" w:rsidRPr="00B41612"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sz w:val="22"/>
        </w:rPr>
      </w:pPr>
      <w:r w:rsidRPr="00B41612">
        <w:rPr>
          <w:rFonts w:ascii="Arial" w:eastAsia="Calibri" w:hAnsi="Arial" w:cs="Arial"/>
          <w:b/>
          <w:sz w:val="22"/>
        </w:rPr>
        <w:t>Consideraciones</w:t>
      </w:r>
    </w:p>
    <w:p w14:paraId="66108FE8" w14:textId="77777777" w:rsidR="00411DB3" w:rsidRPr="00B41612" w:rsidRDefault="00411DB3" w:rsidP="00411DB3">
      <w:pPr>
        <w:spacing w:line="276" w:lineRule="auto"/>
        <w:jc w:val="both"/>
        <w:rPr>
          <w:rFonts w:ascii="Arial" w:eastAsia="Calibri" w:hAnsi="Arial" w:cs="Arial"/>
          <w:sz w:val="22"/>
        </w:rPr>
      </w:pPr>
    </w:p>
    <w:p w14:paraId="1D5EE1AA" w14:textId="1761A332" w:rsidR="00411DB3" w:rsidRPr="00B41612" w:rsidRDefault="00411DB3" w:rsidP="00BF5A58">
      <w:pPr>
        <w:spacing w:after="120" w:line="276" w:lineRule="auto"/>
        <w:jc w:val="both"/>
        <w:rPr>
          <w:rFonts w:ascii="Arial" w:eastAsia="Calibri" w:hAnsi="Arial" w:cs="Arial"/>
          <w:sz w:val="22"/>
        </w:rPr>
      </w:pPr>
      <w:r w:rsidRPr="00B41612">
        <w:rPr>
          <w:rFonts w:ascii="Arial" w:hAnsi="Arial" w:cs="Arial"/>
          <w:sz w:val="22"/>
        </w:rPr>
        <w:t xml:space="preserve">La Agencia Nacional de Contratación Pública ― Colombia Compra Eficiente </w:t>
      </w:r>
      <w:r w:rsidR="0015017B" w:rsidRPr="00B41612">
        <w:rPr>
          <w:rFonts w:ascii="Arial" w:eastAsia="Calibri" w:hAnsi="Arial" w:cs="Arial"/>
          <w:sz w:val="22"/>
        </w:rPr>
        <w:t>e</w:t>
      </w:r>
      <w:r w:rsidR="0015017B" w:rsidRPr="00B41612">
        <w:rPr>
          <w:rFonts w:ascii="Arial" w:hAnsi="Arial" w:cs="Arial"/>
          <w:sz w:val="22"/>
        </w:rPr>
        <w:t>n los conceptos C–144 de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w:t>
      </w:r>
      <w:r w:rsidR="0015017B" w:rsidRPr="00B41612">
        <w:rPr>
          <w:rFonts w:ascii="Arial" w:hAnsi="Arial" w:cs="Arial"/>
          <w:sz w:val="22"/>
        </w:rPr>
        <w:lastRenderedPageBreak/>
        <w:t xml:space="preserve">411 del 30 de junio de 2020, C-415 del 7 de julio de 2020, </w:t>
      </w:r>
      <w:r w:rsidR="00BF5A58" w:rsidRPr="00B41612">
        <w:rPr>
          <w:rFonts w:ascii="Arial" w:hAnsi="Arial" w:cs="Arial"/>
          <w:sz w:val="22"/>
        </w:rPr>
        <w:t xml:space="preserve">C-443 del 7 de julio de 2020, </w:t>
      </w:r>
      <w:r w:rsidR="0015017B" w:rsidRPr="00B41612">
        <w:rPr>
          <w:rFonts w:ascii="Arial" w:hAnsi="Arial" w:cs="Arial"/>
          <w:sz w:val="22"/>
        </w:rPr>
        <w:t xml:space="preserve">C-427 del 9 de julio de 2020, C-395 del 9 de julio de 2020, C-327 del 10 de julio de 2020, </w:t>
      </w:r>
      <w:r w:rsidR="00BF5A58" w:rsidRPr="00B41612">
        <w:rPr>
          <w:rFonts w:ascii="Arial" w:hAnsi="Arial" w:cs="Arial"/>
          <w:sz w:val="22"/>
        </w:rPr>
        <w:t xml:space="preserve">C-444 del 13 de julio de 2020, </w:t>
      </w:r>
      <w:r w:rsidR="0015017B" w:rsidRPr="00B41612">
        <w:rPr>
          <w:rFonts w:ascii="Arial" w:hAnsi="Arial" w:cs="Arial"/>
          <w:sz w:val="22"/>
        </w:rPr>
        <w:t xml:space="preserve">C-429 del 24 de julio de 2020, </w:t>
      </w:r>
      <w:r w:rsidR="00BF5A58" w:rsidRPr="00B41612">
        <w:rPr>
          <w:rFonts w:ascii="Arial" w:hAnsi="Arial" w:cs="Arial"/>
          <w:sz w:val="22"/>
        </w:rPr>
        <w:t xml:space="preserve">C-466 del 24 de julio de 2020, </w:t>
      </w:r>
      <w:r w:rsidR="0015017B" w:rsidRPr="00B41612">
        <w:rPr>
          <w:rFonts w:ascii="Arial" w:hAnsi="Arial" w:cs="Arial"/>
          <w:sz w:val="22"/>
        </w:rPr>
        <w:t>C-420 del 28 de julio de 2020,</w:t>
      </w:r>
      <w:r w:rsidR="00BF5A58" w:rsidRPr="00B41612">
        <w:rPr>
          <w:rFonts w:ascii="Arial" w:hAnsi="Arial" w:cs="Arial"/>
          <w:sz w:val="22"/>
        </w:rPr>
        <w:t xml:space="preserve"> C-485 del 29 de julio de 2020, C-501 del 29 de julio de 2020, C-478 del 30 de julio de 2020,</w:t>
      </w:r>
      <w:r w:rsidR="0015017B" w:rsidRPr="00B41612">
        <w:rPr>
          <w:rFonts w:ascii="Arial" w:hAnsi="Arial" w:cs="Arial"/>
          <w:sz w:val="22"/>
        </w:rPr>
        <w:t xml:space="preserve"> C</w:t>
      </w:r>
      <w:r w:rsidR="00BF5A58" w:rsidRPr="00B41612">
        <w:rPr>
          <w:rFonts w:ascii="Arial" w:hAnsi="Arial" w:cs="Arial"/>
          <w:sz w:val="22"/>
        </w:rPr>
        <w:t>-450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y C-716 del 30 de noviembre de 2020,</w:t>
      </w:r>
      <w:r w:rsidR="0015017B" w:rsidRPr="00B41612">
        <w:rPr>
          <w:rFonts w:ascii="Arial" w:hAnsi="Arial" w:cs="Arial"/>
          <w:sz w:val="22"/>
        </w:rPr>
        <w:t xml:space="preserve"> explicó el principio de inalterabilidad</w:t>
      </w:r>
      <w:r w:rsidR="00BF5A58" w:rsidRPr="00B41612">
        <w:rPr>
          <w:rFonts w:ascii="Arial" w:hAnsi="Arial" w:cs="Arial"/>
          <w:sz w:val="22"/>
        </w:rPr>
        <w:t xml:space="preserve"> de los documentos tipo</w:t>
      </w:r>
      <w:r w:rsidR="0015017B" w:rsidRPr="00B41612">
        <w:rPr>
          <w:rFonts w:ascii="Arial" w:hAnsi="Arial" w:cs="Arial"/>
          <w:sz w:val="22"/>
        </w:rPr>
        <w:t xml:space="preserve"> y sus excepciones. </w:t>
      </w:r>
      <w:r w:rsidR="0015017B" w:rsidRPr="00B41612">
        <w:rPr>
          <w:rFonts w:ascii="Arial" w:eastAsia="Calibri" w:hAnsi="Arial" w:cs="Arial"/>
          <w:sz w:val="22"/>
        </w:rPr>
        <w:t>Las tesis desarrolladas se expondrán a continuación</w:t>
      </w:r>
    </w:p>
    <w:p w14:paraId="425F8677" w14:textId="07989D0E" w:rsidR="00BF5A58" w:rsidRPr="00B41612" w:rsidRDefault="00BF5A58" w:rsidP="00BF5A58">
      <w:pPr>
        <w:spacing w:after="120" w:line="276" w:lineRule="auto"/>
        <w:ind w:firstLine="709"/>
        <w:jc w:val="both"/>
        <w:rPr>
          <w:rFonts w:ascii="Arial" w:hAnsi="Arial" w:cs="Arial"/>
          <w:sz w:val="22"/>
        </w:rPr>
      </w:pPr>
      <w:r w:rsidRPr="00B41612">
        <w:rPr>
          <w:rFonts w:ascii="Arial" w:hAnsi="Arial" w:cs="Arial"/>
          <w:sz w:val="22"/>
        </w:rPr>
        <w:t>El artículo 4 de la Ley 1882 de 2018, modificado por</w:t>
      </w:r>
      <w:r w:rsidR="0064683A">
        <w:rPr>
          <w:rFonts w:ascii="Arial" w:hAnsi="Arial" w:cs="Arial"/>
          <w:sz w:val="22"/>
        </w:rPr>
        <w:t xml:space="preserve"> el artículo 1 de</w:t>
      </w:r>
      <w:r w:rsidRPr="00B41612">
        <w:rPr>
          <w:rFonts w:ascii="Arial" w:hAnsi="Arial" w:cs="Arial"/>
          <w:sz w:val="22"/>
        </w:rPr>
        <w:t xml:space="preserve"> la Ley 2022 de 2020, dispone que a la Agencia Nacional de Contratación Pública le corresponde adoptar los «</w:t>
      </w:r>
      <w:bookmarkStart w:id="4" w:name="ver_30223091"/>
      <w:r w:rsidRPr="00B41612">
        <w:rPr>
          <w:rFonts w:ascii="Arial" w:hAnsi="Arial" w:cs="Arial"/>
          <w:sz w:val="22"/>
        </w:rPr>
        <w:t>documentos tipo que serán de obligatorio cumplimiento en la actividad contractual de todas las entidades sometidas al Estatuto General de Contratación de la Administración Pública».</w:t>
      </w:r>
    </w:p>
    <w:bookmarkEnd w:id="4"/>
    <w:p w14:paraId="65B66922" w14:textId="77777777" w:rsidR="00BF5A58" w:rsidRPr="00B41612" w:rsidRDefault="00BF5A58" w:rsidP="00BF5A58">
      <w:pPr>
        <w:pStyle w:val="NormalWeb"/>
        <w:spacing w:before="0" w:beforeAutospacing="0" w:after="0" w:afterAutospacing="0" w:line="276" w:lineRule="auto"/>
        <w:ind w:firstLine="709"/>
        <w:jc w:val="both"/>
        <w:rPr>
          <w:rFonts w:ascii="Arial" w:hAnsi="Arial" w:cs="Arial"/>
          <w:sz w:val="22"/>
          <w:szCs w:val="22"/>
        </w:rPr>
      </w:pPr>
      <w:r w:rsidRPr="00B41612">
        <w:rPr>
          <w:rFonts w:ascii="Arial" w:hAnsi="Arial" w:cs="Arial"/>
          <w:sz w:val="22"/>
          <w:szCs w:val="22"/>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Para estos efectos, también añade que «[…] en la adopción de los documentos tipo, se tendrá en cuenta las características propias de las regiones, la cuantía, el fomento de la economía local y la naturaleza y especialidad de la contratación […]»</w:t>
      </w:r>
      <w:r w:rsidRPr="00B41612">
        <w:rPr>
          <w:rStyle w:val="Refdenotaalpie"/>
          <w:rFonts w:ascii="Arial" w:hAnsi="Arial" w:cs="Arial"/>
          <w:sz w:val="22"/>
          <w:szCs w:val="22"/>
        </w:rPr>
        <w:footnoteReference w:id="1"/>
      </w:r>
      <w:r w:rsidRPr="00B41612">
        <w:rPr>
          <w:rFonts w:ascii="Arial" w:hAnsi="Arial" w:cs="Arial"/>
          <w:sz w:val="22"/>
          <w:szCs w:val="22"/>
        </w:rPr>
        <w:t>.</w:t>
      </w:r>
    </w:p>
    <w:p w14:paraId="21EC1864" w14:textId="16B36326" w:rsidR="00BF5A58" w:rsidRPr="00B41612" w:rsidRDefault="0064683A" w:rsidP="00BF5A58">
      <w:pPr>
        <w:spacing w:before="120" w:line="276" w:lineRule="auto"/>
        <w:ind w:firstLine="708"/>
        <w:jc w:val="both"/>
        <w:rPr>
          <w:rFonts w:ascii="Arial" w:hAnsi="Arial" w:cs="Arial"/>
          <w:sz w:val="22"/>
          <w:shd w:val="clear" w:color="auto" w:fill="FFFFFF"/>
        </w:rPr>
      </w:pPr>
      <w:r>
        <w:rPr>
          <w:rFonts w:ascii="Arial" w:hAnsi="Arial" w:cs="Arial"/>
          <w:sz w:val="22"/>
        </w:rPr>
        <w:lastRenderedPageBreak/>
        <w:t>En vigencia del artículo 4 de la Ley 1882 de 2018 ‒original‒</w:t>
      </w:r>
      <w:r w:rsidR="00BF5A58" w:rsidRPr="00B41612">
        <w:rPr>
          <w:rFonts w:ascii="Arial" w:hAnsi="Arial" w:cs="Arial"/>
          <w:sz w:val="22"/>
        </w:rPr>
        <w:t>, el Gobierno Nacional adop</w:t>
      </w:r>
      <w:r w:rsidR="00BF5A58" w:rsidRPr="00B41612">
        <w:rPr>
          <w:rFonts w:ascii="Arial" w:hAnsi="Arial" w:cs="Arial"/>
          <w:sz w:val="22"/>
          <w:shd w:val="clear" w:color="auto" w:fill="FFFFFF"/>
        </w:rPr>
        <w:t>tó los Documentos Tipo para los pliegos de condiciones de los procesos de selección de licitación de obra pública de infraestructura de transporte, mediante la expedición del Decreto 342 de 2018, adicionando el Decreto 1082 de 2015. Así mismo, se adoptaron documentos tipo para procesos de selección abreviada de menor cuantía y mínima cuantía de infraestructura de transporte</w:t>
      </w:r>
      <w:r w:rsidR="00FF2EBC">
        <w:rPr>
          <w:rFonts w:ascii="Arial" w:hAnsi="Arial" w:cs="Arial"/>
          <w:sz w:val="22"/>
          <w:shd w:val="clear" w:color="auto" w:fill="FFFFFF"/>
        </w:rPr>
        <w:t xml:space="preserve"> mediante</w:t>
      </w:r>
      <w:r w:rsidR="00BF5A58" w:rsidRPr="00B41612">
        <w:rPr>
          <w:rFonts w:ascii="Arial" w:hAnsi="Arial" w:cs="Arial"/>
          <w:sz w:val="22"/>
          <w:shd w:val="clear" w:color="auto" w:fill="FFFFFF"/>
        </w:rPr>
        <w:t xml:space="preserve"> los Decretos 2096 de 2019 y 594 de 2020, respectivamente, los que también modificaron el Decreto 1082 de 2015.   </w:t>
      </w:r>
    </w:p>
    <w:p w14:paraId="79708266" w14:textId="23A8A816" w:rsidR="00BF5A58" w:rsidRPr="00B41612" w:rsidRDefault="00BF5A58" w:rsidP="00BF5A58">
      <w:pPr>
        <w:spacing w:before="120" w:line="276" w:lineRule="auto"/>
        <w:ind w:firstLine="708"/>
        <w:jc w:val="both"/>
        <w:rPr>
          <w:rFonts w:ascii="Arial" w:hAnsi="Arial" w:cs="Arial"/>
          <w:sz w:val="22"/>
          <w:shd w:val="clear" w:color="auto" w:fill="FFFFFF"/>
        </w:rPr>
      </w:pPr>
      <w:r w:rsidRPr="00B41612">
        <w:rPr>
          <w:rFonts w:ascii="Arial" w:hAnsi="Arial" w:cs="Arial"/>
          <w:sz w:val="22"/>
          <w:shd w:val="clear" w:color="auto" w:fill="FFFFFF"/>
        </w:rPr>
        <w:t xml:space="preserve">Para el procedimiento de </w:t>
      </w:r>
      <w:r w:rsidR="002A5643" w:rsidRPr="00B41612">
        <w:rPr>
          <w:rFonts w:ascii="Arial" w:hAnsi="Arial" w:cs="Arial"/>
          <w:sz w:val="22"/>
          <w:shd w:val="clear" w:color="auto" w:fill="FFFFFF"/>
        </w:rPr>
        <w:t>mínima cuantía</w:t>
      </w:r>
      <w:r w:rsidRPr="00B41612">
        <w:rPr>
          <w:rFonts w:ascii="Arial" w:hAnsi="Arial" w:cs="Arial"/>
          <w:sz w:val="22"/>
          <w:shd w:val="clear" w:color="auto" w:fill="FFFFFF"/>
        </w:rPr>
        <w:t xml:space="preserve">, el artículo </w:t>
      </w:r>
      <w:r w:rsidR="002A5643" w:rsidRPr="00B41612">
        <w:rPr>
          <w:rFonts w:ascii="Arial" w:hAnsi="Arial" w:cs="Arial"/>
          <w:sz w:val="22"/>
          <w:shd w:val="clear" w:color="auto" w:fill="FFFFFF"/>
        </w:rPr>
        <w:t xml:space="preserve">2.2.1.2.6.3.4 </w:t>
      </w:r>
      <w:r w:rsidRPr="00B41612">
        <w:rPr>
          <w:rFonts w:ascii="Arial" w:hAnsi="Arial" w:cs="Arial"/>
          <w:sz w:val="22"/>
          <w:shd w:val="clear" w:color="auto" w:fill="FFFFFF"/>
        </w:rPr>
        <w:t xml:space="preserve">del Decreto 1082 de 2015 dispone la inalterabilidad de los Documentos Tipo, la cual consiste en que las entidades estatales no pueden incluir o modificar en los </w:t>
      </w:r>
      <w:r w:rsidRPr="00B41612">
        <w:rPr>
          <w:rFonts w:ascii="Arial" w:hAnsi="Arial" w:cs="Arial"/>
          <w:i/>
          <w:iCs/>
          <w:sz w:val="22"/>
          <w:shd w:val="clear" w:color="auto" w:fill="FFFFFF"/>
        </w:rPr>
        <w:t>Documentos del Proceso</w:t>
      </w:r>
      <w:r w:rsidRPr="00B41612">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w:t>
      </w:r>
      <w:r w:rsidR="0064683A">
        <w:rPr>
          <w:rFonts w:ascii="Arial" w:hAnsi="Arial" w:cs="Arial"/>
          <w:sz w:val="22"/>
          <w:shd w:val="clear" w:color="auto" w:fill="FFFFFF"/>
        </w:rPr>
        <w:t>adoptados por el</w:t>
      </w:r>
      <w:r w:rsidRPr="00B41612">
        <w:rPr>
          <w:rFonts w:ascii="Arial" w:hAnsi="Arial" w:cs="Arial"/>
          <w:sz w:val="22"/>
          <w:shd w:val="clear" w:color="auto" w:fill="FFFFFF"/>
        </w:rPr>
        <w:t xml:space="preserve"> Gobierno Nacional, son de obligatorio cumplimiento para las entidades sometidas al Estatuto General de Contratación de la Administración Pública que adelanten procesos que deban regirse por su contenido, y no pueden variarse </w:t>
      </w:r>
      <w:r w:rsidR="00453FF2">
        <w:rPr>
          <w:rFonts w:ascii="Arial" w:hAnsi="Arial" w:cs="Arial"/>
          <w:sz w:val="22"/>
          <w:shd w:val="clear" w:color="auto" w:fill="FFFFFF"/>
        </w:rPr>
        <w:t xml:space="preserve">o modificarse </w:t>
      </w:r>
      <w:r w:rsidRPr="00B41612">
        <w:rPr>
          <w:rFonts w:ascii="Arial" w:hAnsi="Arial" w:cs="Arial"/>
          <w:sz w:val="22"/>
          <w:shd w:val="clear" w:color="auto" w:fill="FFFFFF"/>
        </w:rPr>
        <w:t>los requisitos fijados</w:t>
      </w:r>
      <w:r w:rsidR="00453FF2">
        <w:rPr>
          <w:rFonts w:ascii="Arial" w:hAnsi="Arial" w:cs="Arial"/>
          <w:sz w:val="22"/>
          <w:shd w:val="clear" w:color="auto" w:fill="FFFFFF"/>
        </w:rPr>
        <w:t xml:space="preserve"> en</w:t>
      </w:r>
      <w:r w:rsidRPr="00B41612">
        <w:rPr>
          <w:rFonts w:ascii="Arial" w:hAnsi="Arial" w:cs="Arial"/>
          <w:sz w:val="22"/>
          <w:shd w:val="clear" w:color="auto" w:fill="FFFFFF"/>
        </w:rPr>
        <w:t xml:space="preserve"> ellos. </w:t>
      </w:r>
    </w:p>
    <w:p w14:paraId="1CF6F833" w14:textId="77569912" w:rsidR="00411DB3" w:rsidRPr="00B41612" w:rsidRDefault="00411DB3" w:rsidP="0092217B">
      <w:pPr>
        <w:spacing w:before="120" w:line="276" w:lineRule="auto"/>
        <w:ind w:firstLine="709"/>
        <w:jc w:val="both"/>
        <w:rPr>
          <w:rFonts w:ascii="Arial" w:eastAsia="Calibri" w:hAnsi="Arial" w:cs="Arial"/>
          <w:bCs/>
          <w:sz w:val="22"/>
          <w:lang w:val="es-ES_tradnl"/>
        </w:rPr>
      </w:pPr>
      <w:r w:rsidRPr="00B41612">
        <w:rPr>
          <w:rFonts w:ascii="Arial" w:eastAsia="Calibri" w:hAnsi="Arial" w:cs="Arial"/>
          <w:bCs/>
          <w:sz w:val="22"/>
          <w:lang w:val="es-ES_tradnl"/>
        </w:rPr>
        <w:t>Esta prohibición la ratifica actualmente el artículo 2 de la Resolución No. 00</w:t>
      </w:r>
      <w:r w:rsidR="002A5643" w:rsidRPr="00B41612">
        <w:rPr>
          <w:rFonts w:ascii="Arial" w:eastAsia="Calibri" w:hAnsi="Arial" w:cs="Arial"/>
          <w:bCs/>
          <w:sz w:val="22"/>
          <w:lang w:val="es-ES_tradnl"/>
        </w:rPr>
        <w:t>94</w:t>
      </w:r>
      <w:r w:rsidRPr="00B41612">
        <w:rPr>
          <w:rFonts w:ascii="Arial" w:eastAsia="Calibri" w:hAnsi="Arial" w:cs="Arial"/>
          <w:bCs/>
          <w:sz w:val="22"/>
          <w:lang w:val="es-ES_tradnl"/>
        </w:rPr>
        <w:t xml:space="preserve"> de 2020, «</w:t>
      </w:r>
      <w:r w:rsidR="0092217B" w:rsidRPr="00B41612">
        <w:rPr>
          <w:rFonts w:ascii="Arial" w:eastAsia="Calibri" w:hAnsi="Arial" w:cs="Arial"/>
          <w:bCs/>
          <w:sz w:val="22"/>
          <w:lang w:val="es-ES_tradnl"/>
        </w:rPr>
        <w:t>p</w:t>
      </w:r>
      <w:r w:rsidRPr="00B41612">
        <w:rPr>
          <w:rFonts w:ascii="Arial" w:eastAsia="Calibri" w:hAnsi="Arial" w:cs="Arial"/>
          <w:bCs/>
          <w:sz w:val="22"/>
          <w:lang w:val="es-ES_tradnl"/>
        </w:rPr>
        <w:t xml:space="preserve">or la cual se </w:t>
      </w:r>
      <w:r w:rsidR="002A5643" w:rsidRPr="00B41612">
        <w:rPr>
          <w:rFonts w:ascii="Arial" w:eastAsia="Calibri" w:hAnsi="Arial" w:cs="Arial"/>
          <w:bCs/>
          <w:sz w:val="22"/>
          <w:lang w:val="es-ES_tradnl"/>
        </w:rPr>
        <w:t xml:space="preserve">desarrollan e implementan </w:t>
      </w:r>
      <w:r w:rsidRPr="00B41612">
        <w:rPr>
          <w:rFonts w:ascii="Arial" w:eastAsia="Calibri" w:hAnsi="Arial" w:cs="Arial"/>
          <w:bCs/>
          <w:sz w:val="22"/>
          <w:lang w:val="es-ES_tradnl"/>
        </w:rPr>
        <w:t xml:space="preserve">los Documentos Tipo para los procesos de obra pública de infraestructura de transporte </w:t>
      </w:r>
      <w:r w:rsidR="002A5643" w:rsidRPr="00B41612">
        <w:rPr>
          <w:rFonts w:ascii="Arial" w:eastAsia="Calibri" w:hAnsi="Arial" w:cs="Arial"/>
          <w:bCs/>
          <w:sz w:val="22"/>
          <w:lang w:val="es-ES_tradnl"/>
        </w:rPr>
        <w:t>que se adelanten por la modalidad de mínima cuantía</w:t>
      </w:r>
      <w:r w:rsidRPr="00B41612">
        <w:rPr>
          <w:rFonts w:ascii="Arial" w:eastAsia="Calibri" w:hAnsi="Arial" w:cs="Arial"/>
          <w:bCs/>
          <w:sz w:val="22"/>
          <w:lang w:val="es-ES_tradnl"/>
        </w:rPr>
        <w:t xml:space="preserve">», al consagrar la inalterabilidad de los documentos tipo en los siguientes términos: «Las Entidades Estatales no pueden incluir condiciones o modificar las señaladas en los Documentos Tipo, a menos que expresamente se les faculte para hacerlo». </w:t>
      </w:r>
    </w:p>
    <w:p w14:paraId="497298A3" w14:textId="5E0C07CD" w:rsidR="0092217B" w:rsidRPr="00B41612" w:rsidRDefault="0064683A" w:rsidP="002A5643">
      <w:pPr>
        <w:spacing w:before="120" w:after="120" w:line="276" w:lineRule="auto"/>
        <w:ind w:firstLine="709"/>
        <w:jc w:val="both"/>
        <w:rPr>
          <w:rFonts w:ascii="Arial" w:eastAsia="Calibri" w:hAnsi="Arial" w:cs="Arial"/>
          <w:sz w:val="22"/>
        </w:rPr>
      </w:pPr>
      <w:r>
        <w:rPr>
          <w:rFonts w:ascii="Arial" w:eastAsia="Calibri" w:hAnsi="Arial" w:cs="Arial"/>
          <w:bCs/>
          <w:sz w:val="22"/>
          <w:lang w:val="es-ES_tradnl"/>
        </w:rPr>
        <w:t>De otro lado</w:t>
      </w:r>
      <w:r w:rsidR="0092217B" w:rsidRPr="00B41612">
        <w:rPr>
          <w:rFonts w:ascii="Arial" w:eastAsia="Calibri" w:hAnsi="Arial" w:cs="Arial"/>
          <w:sz w:val="22"/>
        </w:rPr>
        <w:t>, en la parte introductoria de</w:t>
      </w:r>
      <w:r w:rsidR="002A5643" w:rsidRPr="00B41612">
        <w:rPr>
          <w:rFonts w:ascii="Arial" w:eastAsia="Calibri" w:hAnsi="Arial" w:cs="Arial"/>
          <w:sz w:val="22"/>
        </w:rPr>
        <w:t>l</w:t>
      </w:r>
      <w:r w:rsidR="0092217B" w:rsidRPr="00B41612">
        <w:rPr>
          <w:rFonts w:ascii="Arial" w:eastAsia="Calibri" w:hAnsi="Arial" w:cs="Arial"/>
          <w:sz w:val="22"/>
        </w:rPr>
        <w:t xml:space="preserve"> </w:t>
      </w:r>
      <w:r w:rsidR="002A5643" w:rsidRPr="00B41612">
        <w:rPr>
          <w:rFonts w:ascii="Arial" w:eastAsia="Calibri" w:hAnsi="Arial" w:cs="Arial"/>
          <w:sz w:val="22"/>
        </w:rPr>
        <w:t>documento de</w:t>
      </w:r>
      <w:r w:rsidR="002A5643" w:rsidRPr="00B41612">
        <w:rPr>
          <w:rFonts w:ascii="Arial" w:eastAsia="Calibri" w:hAnsi="Arial" w:cs="Arial"/>
          <w:i/>
          <w:iCs/>
          <w:sz w:val="22"/>
        </w:rPr>
        <w:t xml:space="preserve"> «Invitación Pública»</w:t>
      </w:r>
      <w:r w:rsidR="0092217B" w:rsidRPr="00B41612">
        <w:rPr>
          <w:rFonts w:ascii="Arial" w:eastAsia="Calibri" w:hAnsi="Arial" w:cs="Arial"/>
          <w:sz w:val="22"/>
        </w:rPr>
        <w:t xml:space="preserve"> </w:t>
      </w:r>
      <w:r w:rsidR="002A5643" w:rsidRPr="00B41612">
        <w:rPr>
          <w:rFonts w:ascii="Arial" w:eastAsia="Calibri" w:hAnsi="Arial" w:cs="Arial"/>
          <w:sz w:val="22"/>
        </w:rPr>
        <w:t>adoptado por la Resolución No. 0094 de 2020</w:t>
      </w:r>
      <w:r w:rsidR="00565333" w:rsidRPr="00B41612">
        <w:rPr>
          <w:rFonts w:ascii="Arial" w:eastAsia="Calibri" w:hAnsi="Arial" w:cs="Arial"/>
          <w:sz w:val="22"/>
        </w:rPr>
        <w:t>,</w:t>
      </w:r>
      <w:r w:rsidR="0092217B" w:rsidRPr="00B41612">
        <w:rPr>
          <w:rFonts w:ascii="Arial" w:eastAsia="Calibri" w:hAnsi="Arial" w:cs="Arial"/>
          <w:sz w:val="22"/>
        </w:rPr>
        <w:t xml:space="preserve"> se señala que los aspectos incluidos en corchetes y resaltado gris deben ser diligenciados por la entidad. </w:t>
      </w:r>
      <w:r w:rsidR="00134F2B" w:rsidRPr="00B41612">
        <w:rPr>
          <w:rFonts w:ascii="Arial" w:eastAsia="Calibri" w:hAnsi="Arial" w:cs="Arial"/>
          <w:sz w:val="22"/>
        </w:rPr>
        <w:t>Excepcionalmente</w:t>
      </w:r>
      <w:r w:rsidR="00D9084C" w:rsidRPr="00B41612">
        <w:rPr>
          <w:rFonts w:ascii="Arial" w:eastAsia="Calibri" w:hAnsi="Arial" w:cs="Arial"/>
          <w:sz w:val="22"/>
        </w:rPr>
        <w:t xml:space="preserve"> l</w:t>
      </w:r>
      <w:r w:rsidR="00134F2B" w:rsidRPr="00B41612">
        <w:rPr>
          <w:rFonts w:ascii="Arial" w:eastAsia="Calibri" w:hAnsi="Arial" w:cs="Arial"/>
          <w:sz w:val="22"/>
        </w:rPr>
        <w:t xml:space="preserve">e corresponde al proponente consignar la información incluida en corchetes y resaltada en gris, como, por ejemplo, los formatos que requieren de la firma del proponente o su representante legal. De todos modos, </w:t>
      </w:r>
      <w:r w:rsidR="0092217B" w:rsidRPr="00B41612">
        <w:rPr>
          <w:rFonts w:ascii="Arial" w:eastAsia="Calibri" w:hAnsi="Arial" w:cs="Arial"/>
          <w:sz w:val="22"/>
        </w:rPr>
        <w:t xml:space="preserve">en cada acápite que esté resaltado en gris la entidad tendrá la libertad de determinar la información que se diligenciará en los Documentos Tipo, de acuerdo con su necesidad y las instrucciones que </w:t>
      </w:r>
      <w:r>
        <w:rPr>
          <w:rFonts w:ascii="Arial" w:eastAsia="Calibri" w:hAnsi="Arial" w:cs="Arial"/>
          <w:sz w:val="22"/>
        </w:rPr>
        <w:t>establezca el documento tipo</w:t>
      </w:r>
      <w:r w:rsidR="0092217B" w:rsidRPr="00B41612">
        <w:rPr>
          <w:rFonts w:ascii="Arial" w:eastAsia="Calibri" w:hAnsi="Arial" w:cs="Arial"/>
          <w:sz w:val="22"/>
        </w:rPr>
        <w:t xml:space="preserve">. </w:t>
      </w:r>
    </w:p>
    <w:p w14:paraId="4FCE07F0" w14:textId="676568EB" w:rsidR="002A5643" w:rsidRPr="002A5643" w:rsidRDefault="0092217B" w:rsidP="002A5643">
      <w:pPr>
        <w:pStyle w:val="NormalWeb"/>
        <w:spacing w:before="0" w:beforeAutospacing="0" w:after="0" w:afterAutospacing="0" w:line="276" w:lineRule="auto"/>
        <w:ind w:firstLine="708"/>
        <w:jc w:val="both"/>
        <w:rPr>
          <w:rFonts w:ascii="Arial" w:hAnsi="Arial" w:cs="Arial"/>
          <w:sz w:val="22"/>
          <w:szCs w:val="22"/>
        </w:rPr>
      </w:pPr>
      <w:r w:rsidRPr="00B41612">
        <w:rPr>
          <w:rFonts w:ascii="Arial" w:eastAsia="Calibri" w:hAnsi="Arial" w:cs="Arial"/>
          <w:sz w:val="22"/>
          <w:szCs w:val="22"/>
        </w:rPr>
        <w:t xml:space="preserve">Asimismo, el artículo </w:t>
      </w:r>
      <w:r w:rsidR="002A5643" w:rsidRPr="00B41612">
        <w:rPr>
          <w:rFonts w:ascii="Arial" w:eastAsia="Calibri" w:hAnsi="Arial" w:cs="Arial"/>
          <w:sz w:val="22"/>
          <w:szCs w:val="22"/>
        </w:rPr>
        <w:t>2.2.1.2.6.3.5.</w:t>
      </w:r>
      <w:r w:rsidRPr="00B41612">
        <w:rPr>
          <w:rFonts w:ascii="Arial" w:eastAsia="Calibri" w:hAnsi="Arial" w:cs="Arial"/>
          <w:sz w:val="22"/>
          <w:szCs w:val="22"/>
        </w:rPr>
        <w:t xml:space="preserve">del Decreto </w:t>
      </w:r>
      <w:r w:rsidR="002A5643" w:rsidRPr="00B41612">
        <w:rPr>
          <w:rFonts w:ascii="Arial" w:eastAsia="Calibri" w:hAnsi="Arial" w:cs="Arial"/>
          <w:sz w:val="22"/>
          <w:szCs w:val="22"/>
        </w:rPr>
        <w:t>1082</w:t>
      </w:r>
      <w:r w:rsidRPr="00B41612">
        <w:rPr>
          <w:rFonts w:ascii="Arial" w:eastAsia="Calibri" w:hAnsi="Arial" w:cs="Arial"/>
          <w:sz w:val="22"/>
          <w:szCs w:val="22"/>
        </w:rPr>
        <w:t xml:space="preserve"> de 201</w:t>
      </w:r>
      <w:r w:rsidR="002A5643" w:rsidRPr="00B41612">
        <w:rPr>
          <w:rFonts w:ascii="Arial" w:eastAsia="Calibri" w:hAnsi="Arial" w:cs="Arial"/>
          <w:sz w:val="22"/>
          <w:szCs w:val="22"/>
        </w:rPr>
        <w:t xml:space="preserve">5, adicionado por el Decreto 594 de 2020, </w:t>
      </w:r>
      <w:r w:rsidRPr="00B41612">
        <w:rPr>
          <w:rFonts w:ascii="Arial" w:eastAsia="Calibri" w:hAnsi="Arial" w:cs="Arial"/>
          <w:sz w:val="22"/>
          <w:szCs w:val="22"/>
        </w:rPr>
        <w:t>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w:t>
      </w:r>
      <w:r w:rsidR="002A5643" w:rsidRPr="00B41612">
        <w:rPr>
          <w:rFonts w:ascii="Arial" w:eastAsia="Calibri" w:hAnsi="Arial" w:cs="Arial"/>
          <w:sz w:val="22"/>
          <w:szCs w:val="22"/>
        </w:rPr>
        <w:t xml:space="preserve"> i) d</w:t>
      </w:r>
      <w:r w:rsidR="002A5643" w:rsidRPr="00B41612">
        <w:rPr>
          <w:rFonts w:ascii="Arial" w:hAnsi="Arial" w:cs="Arial"/>
          <w:sz w:val="22"/>
          <w:szCs w:val="22"/>
        </w:rPr>
        <w:t xml:space="preserve">emostrar en los estudios previos que ha verificado las condiciones de mercado para la adquisición de los bienes o servicios adicionales al componente de obra pública, de tal manera que la experiencia adicional que se exija para </w:t>
      </w:r>
      <w:r w:rsidR="002A5643" w:rsidRPr="00B41612">
        <w:rPr>
          <w:rFonts w:ascii="Arial" w:hAnsi="Arial" w:cs="Arial"/>
          <w:sz w:val="22"/>
          <w:szCs w:val="22"/>
        </w:rPr>
        <w:lastRenderedPageBreak/>
        <w:t xml:space="preserve">tales bienes o servicios procure la pluralidad de oferentes, y no limite la concurrencia de proponentes al proceso de contratación; </w:t>
      </w:r>
      <w:proofErr w:type="spellStart"/>
      <w:r w:rsidR="002A5643" w:rsidRPr="00B41612">
        <w:rPr>
          <w:rFonts w:ascii="Arial" w:hAnsi="Arial" w:cs="Arial"/>
          <w:sz w:val="22"/>
          <w:szCs w:val="22"/>
        </w:rPr>
        <w:t>ii</w:t>
      </w:r>
      <w:proofErr w:type="spellEnd"/>
      <w:r w:rsidR="002A5643" w:rsidRPr="00B41612">
        <w:rPr>
          <w:rFonts w:ascii="Arial" w:hAnsi="Arial" w:cs="Arial"/>
          <w:sz w:val="22"/>
          <w:szCs w:val="22"/>
        </w:rPr>
        <w:t>)</w:t>
      </w:r>
      <w:r w:rsidR="002A5643" w:rsidRPr="002A5643">
        <w:rPr>
          <w:rFonts w:ascii="Arial" w:hAnsi="Arial" w:cs="Arial"/>
          <w:sz w:val="22"/>
          <w:szCs w:val="22"/>
        </w:rPr>
        <w:t xml:space="preserve"> </w:t>
      </w:r>
      <w:r w:rsidR="002A5643" w:rsidRPr="00B41612">
        <w:rPr>
          <w:rFonts w:ascii="Arial" w:hAnsi="Arial" w:cs="Arial"/>
          <w:sz w:val="22"/>
          <w:szCs w:val="22"/>
        </w:rPr>
        <w:t>c</w:t>
      </w:r>
      <w:r w:rsidR="002A5643" w:rsidRPr="002A5643">
        <w:rPr>
          <w:rFonts w:ascii="Arial" w:hAnsi="Arial" w:cs="Arial"/>
          <w:sz w:val="22"/>
          <w:szCs w:val="22"/>
        </w:rPr>
        <w:t>onservar los requisitos exigidos en los Documentos Tipo</w:t>
      </w:r>
      <w:r w:rsidR="002A5643" w:rsidRPr="00B41612">
        <w:rPr>
          <w:rFonts w:ascii="Arial" w:hAnsi="Arial" w:cs="Arial"/>
          <w:sz w:val="22"/>
          <w:szCs w:val="22"/>
        </w:rPr>
        <w:t xml:space="preserve">; y </w:t>
      </w:r>
      <w:proofErr w:type="spellStart"/>
      <w:r w:rsidR="002A5643" w:rsidRPr="00B41612">
        <w:rPr>
          <w:rFonts w:ascii="Arial" w:hAnsi="Arial" w:cs="Arial"/>
          <w:sz w:val="22"/>
          <w:szCs w:val="22"/>
        </w:rPr>
        <w:t>iii</w:t>
      </w:r>
      <w:proofErr w:type="spellEnd"/>
      <w:r w:rsidR="002A5643" w:rsidRPr="00B41612">
        <w:rPr>
          <w:rFonts w:ascii="Arial" w:hAnsi="Arial" w:cs="Arial"/>
          <w:sz w:val="22"/>
          <w:szCs w:val="22"/>
        </w:rPr>
        <w:t>) a</w:t>
      </w:r>
      <w:r w:rsidR="002A5643" w:rsidRPr="002A5643">
        <w:rPr>
          <w:rFonts w:ascii="Arial" w:hAnsi="Arial" w:cs="Arial"/>
          <w:sz w:val="22"/>
          <w:szCs w:val="22"/>
        </w:rPr>
        <w:t>bstenerse de pedir experiencia exclusiva con entidades estatales, experiencia previa en un territorio específico, limitada en el tiempo o que incluya volúmenes o cantidades de obra específica.  </w:t>
      </w:r>
    </w:p>
    <w:p w14:paraId="72EA89BB" w14:textId="3D108EC4" w:rsidR="00747C7C" w:rsidRPr="00B41612" w:rsidRDefault="0092217B" w:rsidP="0092217B">
      <w:pPr>
        <w:spacing w:before="120" w:line="276" w:lineRule="auto"/>
        <w:ind w:firstLine="709"/>
        <w:jc w:val="both"/>
        <w:rPr>
          <w:rFonts w:ascii="Arial" w:eastAsia="Calibri" w:hAnsi="Arial" w:cs="Arial"/>
          <w:bCs/>
          <w:sz w:val="22"/>
        </w:rPr>
      </w:pPr>
      <w:r w:rsidRPr="00B41612">
        <w:rPr>
          <w:rFonts w:ascii="Arial" w:eastAsia="Calibri" w:hAnsi="Arial" w:cs="Arial"/>
          <w:bCs/>
          <w:sz w:val="22"/>
        </w:rPr>
        <w:t>En suma, la regla general frente la aplicación de</w:t>
      </w:r>
      <w:r w:rsidR="002A5643" w:rsidRPr="00B41612">
        <w:rPr>
          <w:rFonts w:ascii="Arial" w:eastAsia="Calibri" w:hAnsi="Arial" w:cs="Arial"/>
          <w:bCs/>
          <w:sz w:val="22"/>
        </w:rPr>
        <w:t xml:space="preserve"> </w:t>
      </w:r>
      <w:r w:rsidRPr="00B41612">
        <w:rPr>
          <w:rFonts w:ascii="Arial" w:eastAsia="Calibri" w:hAnsi="Arial" w:cs="Arial"/>
          <w:bCs/>
          <w:sz w:val="22"/>
        </w:rPr>
        <w:t>l</w:t>
      </w:r>
      <w:r w:rsidR="002A5643" w:rsidRPr="00B41612">
        <w:rPr>
          <w:rFonts w:ascii="Arial" w:eastAsia="Calibri" w:hAnsi="Arial" w:cs="Arial"/>
          <w:bCs/>
          <w:sz w:val="22"/>
        </w:rPr>
        <w:t>a</w:t>
      </w:r>
      <w:r w:rsidRPr="00B41612">
        <w:rPr>
          <w:rFonts w:ascii="Arial" w:eastAsia="Calibri" w:hAnsi="Arial" w:cs="Arial"/>
          <w:bCs/>
          <w:sz w:val="22"/>
        </w:rPr>
        <w:t xml:space="preserve"> «</w:t>
      </w:r>
      <w:r w:rsidR="002A5643" w:rsidRPr="00B41612">
        <w:rPr>
          <w:rFonts w:ascii="Arial" w:eastAsia="Calibri" w:hAnsi="Arial" w:cs="Arial"/>
          <w:bCs/>
          <w:sz w:val="22"/>
        </w:rPr>
        <w:t>Invitación Pública</w:t>
      </w:r>
      <w:r w:rsidRPr="00B41612">
        <w:rPr>
          <w:rFonts w:ascii="Arial" w:eastAsia="Calibri" w:hAnsi="Arial" w:cs="Arial"/>
          <w:bCs/>
          <w:sz w:val="22"/>
        </w:rPr>
        <w:t xml:space="preserve">» es su inalterabilidad, y no se podrán incluir o modificar </w:t>
      </w:r>
      <w:r w:rsidR="00747C7C" w:rsidRPr="00B41612">
        <w:rPr>
          <w:rFonts w:ascii="Arial" w:eastAsia="Calibri" w:hAnsi="Arial" w:cs="Arial"/>
          <w:bCs/>
          <w:sz w:val="22"/>
        </w:rPr>
        <w:t xml:space="preserve">en </w:t>
      </w:r>
      <w:r w:rsidRPr="00B41612">
        <w:rPr>
          <w:rFonts w:ascii="Arial" w:eastAsia="Calibri" w:hAnsi="Arial" w:cs="Arial"/>
          <w:bCs/>
          <w:sz w:val="22"/>
        </w:rPr>
        <w:t>los Documentos del Proceso las condiciones habilitantes, los factores técnicos y económicos de escogencia y los sistemas de ponderación distintos a los señalados en los Documentos Tipo</w:t>
      </w:r>
      <w:r w:rsidR="0064683A">
        <w:rPr>
          <w:rFonts w:ascii="Arial" w:eastAsia="Calibri" w:hAnsi="Arial" w:cs="Arial"/>
          <w:bCs/>
          <w:sz w:val="22"/>
        </w:rPr>
        <w:t>. Sin perjuicio de lo anterior,</w:t>
      </w:r>
      <w:r w:rsidRPr="00B41612">
        <w:rPr>
          <w:rFonts w:ascii="Arial" w:eastAsia="Calibri" w:hAnsi="Arial" w:cs="Arial"/>
          <w:bCs/>
          <w:sz w:val="22"/>
        </w:rPr>
        <w:t xml:space="preserve"> si el objeto contractual incluye bienes o servicios ajenos a la obra pública de infraestructura de transporte se podrá incluir experiencia adicional</w:t>
      </w:r>
      <w:r w:rsidR="0064683A">
        <w:rPr>
          <w:rFonts w:ascii="Arial" w:eastAsia="Calibri" w:hAnsi="Arial" w:cs="Arial"/>
          <w:bCs/>
          <w:sz w:val="22"/>
        </w:rPr>
        <w:t>, conforme las reglas señaladas en el párrafo anterior. A</w:t>
      </w:r>
      <w:r w:rsidRPr="00B41612">
        <w:rPr>
          <w:rFonts w:ascii="Arial" w:eastAsia="Calibri" w:hAnsi="Arial" w:cs="Arial"/>
          <w:bCs/>
          <w:sz w:val="22"/>
        </w:rPr>
        <w:t xml:space="preserve">demás, </w:t>
      </w:r>
      <w:r w:rsidR="0064683A">
        <w:rPr>
          <w:rFonts w:ascii="Arial" w:eastAsia="Calibri" w:hAnsi="Arial" w:cs="Arial"/>
          <w:bCs/>
          <w:sz w:val="22"/>
        </w:rPr>
        <w:t>el documento</w:t>
      </w:r>
      <w:r w:rsidRPr="00B41612">
        <w:rPr>
          <w:rFonts w:ascii="Arial" w:eastAsia="Calibri" w:hAnsi="Arial" w:cs="Arial"/>
          <w:bCs/>
          <w:sz w:val="22"/>
        </w:rPr>
        <w:t xml:space="preserve"> tipo </w:t>
      </w:r>
      <w:r w:rsidR="0064683A">
        <w:rPr>
          <w:rFonts w:ascii="Arial" w:eastAsia="Calibri" w:hAnsi="Arial" w:cs="Arial"/>
          <w:bCs/>
          <w:sz w:val="22"/>
        </w:rPr>
        <w:t>puede modificarse en aquellos supuestos en que este lo permita explícitamente</w:t>
      </w:r>
      <w:r w:rsidRPr="00B41612">
        <w:rPr>
          <w:rFonts w:ascii="Arial" w:eastAsia="Calibri" w:hAnsi="Arial" w:cs="Arial"/>
          <w:bCs/>
          <w:sz w:val="22"/>
        </w:rPr>
        <w:t>, es decir, en los aspectos incluidos en corchetes y resaltados en gris.</w:t>
      </w:r>
    </w:p>
    <w:p w14:paraId="4963D814" w14:textId="197B7DDE" w:rsidR="00E0714E" w:rsidRPr="00B41612" w:rsidRDefault="0064683A" w:rsidP="0092217B">
      <w:pPr>
        <w:spacing w:before="120" w:line="276" w:lineRule="auto"/>
        <w:ind w:firstLine="709"/>
        <w:jc w:val="both"/>
        <w:rPr>
          <w:rFonts w:ascii="Arial" w:eastAsia="Calibri" w:hAnsi="Arial" w:cs="Arial"/>
          <w:bCs/>
          <w:sz w:val="22"/>
        </w:rPr>
      </w:pPr>
      <w:r>
        <w:rPr>
          <w:rFonts w:ascii="Arial" w:eastAsia="Calibri" w:hAnsi="Arial" w:cs="Arial"/>
          <w:bCs/>
          <w:sz w:val="22"/>
        </w:rPr>
        <w:t>El</w:t>
      </w:r>
      <w:r w:rsidRPr="00B41612">
        <w:rPr>
          <w:rFonts w:ascii="Arial" w:eastAsia="Calibri" w:hAnsi="Arial" w:cs="Arial"/>
          <w:bCs/>
          <w:sz w:val="22"/>
        </w:rPr>
        <w:t xml:space="preserve"> </w:t>
      </w:r>
      <w:r w:rsidR="00E0714E" w:rsidRPr="00B41612">
        <w:rPr>
          <w:rFonts w:ascii="Arial" w:eastAsia="Calibri" w:hAnsi="Arial" w:cs="Arial"/>
          <w:bCs/>
          <w:sz w:val="22"/>
        </w:rPr>
        <w:t xml:space="preserve">principio de inalterabilidad es aplicable a lo </w:t>
      </w:r>
      <w:r w:rsidR="00E80780">
        <w:rPr>
          <w:rFonts w:ascii="Arial" w:eastAsia="Calibri" w:hAnsi="Arial" w:cs="Arial"/>
          <w:bCs/>
          <w:sz w:val="22"/>
        </w:rPr>
        <w:t>establecido</w:t>
      </w:r>
      <w:r w:rsidR="00E80780" w:rsidRPr="00B41612">
        <w:rPr>
          <w:rFonts w:ascii="Arial" w:eastAsia="Calibri" w:hAnsi="Arial" w:cs="Arial"/>
          <w:bCs/>
          <w:sz w:val="22"/>
        </w:rPr>
        <w:t xml:space="preserve"> </w:t>
      </w:r>
      <w:r w:rsidR="00E0714E" w:rsidRPr="00B41612">
        <w:rPr>
          <w:rFonts w:ascii="Arial" w:eastAsia="Calibri" w:hAnsi="Arial" w:cs="Arial"/>
          <w:bCs/>
          <w:sz w:val="22"/>
        </w:rPr>
        <w:t>en el numeral 4.5.4 del documento de «Invitación Pública» para procesos de selección de mínima cuantía, en donde se regulan los documentos v</w:t>
      </w:r>
      <w:r>
        <w:rPr>
          <w:rFonts w:ascii="Arial" w:eastAsia="Calibri" w:hAnsi="Arial" w:cs="Arial"/>
          <w:bCs/>
          <w:sz w:val="22"/>
        </w:rPr>
        <w:t>á</w:t>
      </w:r>
      <w:r w:rsidR="00E0714E" w:rsidRPr="00B41612">
        <w:rPr>
          <w:rFonts w:ascii="Arial" w:eastAsia="Calibri" w:hAnsi="Arial" w:cs="Arial"/>
          <w:bCs/>
          <w:sz w:val="22"/>
        </w:rPr>
        <w:t>lidos para acreditar la experiencia en el marco este tipo de procesos, en lo</w:t>
      </w:r>
      <w:r>
        <w:rPr>
          <w:rFonts w:ascii="Arial" w:eastAsia="Calibri" w:hAnsi="Arial" w:cs="Arial"/>
          <w:bCs/>
          <w:sz w:val="22"/>
        </w:rPr>
        <w:t>s</w:t>
      </w:r>
      <w:r w:rsidR="00E0714E" w:rsidRPr="00B41612">
        <w:rPr>
          <w:rFonts w:ascii="Arial" w:eastAsia="Calibri" w:hAnsi="Arial" w:cs="Arial"/>
          <w:bCs/>
          <w:sz w:val="22"/>
        </w:rPr>
        <w:t xml:space="preserve"> siguientes términos: </w:t>
      </w:r>
    </w:p>
    <w:p w14:paraId="680A6180" w14:textId="714B63AF" w:rsidR="00E0714E" w:rsidRPr="00B41612" w:rsidRDefault="00E0714E" w:rsidP="00B41612">
      <w:pPr>
        <w:spacing w:line="276" w:lineRule="auto"/>
        <w:ind w:firstLine="709"/>
        <w:jc w:val="both"/>
        <w:rPr>
          <w:rFonts w:ascii="Arial" w:eastAsia="Calibri" w:hAnsi="Arial" w:cs="Arial"/>
          <w:bCs/>
          <w:sz w:val="22"/>
        </w:rPr>
      </w:pPr>
    </w:p>
    <w:p w14:paraId="406DBEFA" w14:textId="1D4DA853" w:rsidR="00E0714E" w:rsidRPr="00253C0F" w:rsidRDefault="00E0714E" w:rsidP="00253C0F">
      <w:pPr>
        <w:tabs>
          <w:tab w:val="left" w:pos="-142"/>
        </w:tabs>
        <w:autoSpaceDE w:val="0"/>
        <w:autoSpaceDN w:val="0"/>
        <w:adjustRightInd w:val="0"/>
        <w:ind w:left="709" w:right="709"/>
        <w:jc w:val="both"/>
        <w:rPr>
          <w:rFonts w:ascii="Arial" w:eastAsia="Calibri Light" w:hAnsi="Arial"/>
          <w:b/>
          <w:bCs/>
          <w:sz w:val="21"/>
          <w:szCs w:val="21"/>
          <w:lang w:eastAsia="es-ES"/>
        </w:rPr>
      </w:pPr>
      <w:bookmarkStart w:id="5" w:name="_Ref508649619"/>
      <w:bookmarkStart w:id="6" w:name="_Toc40805785"/>
      <w:r w:rsidRPr="00253C0F">
        <w:rPr>
          <w:rFonts w:ascii="Arial" w:eastAsia="Calibri Light" w:hAnsi="Arial" w:cs="Arial"/>
          <w:bCs/>
          <w:sz w:val="21"/>
          <w:szCs w:val="21"/>
          <w:lang w:eastAsia="es-ES"/>
        </w:rPr>
        <w:t>4.5.4 DOCUMENTOS VÁLIDOS PARA ACREDITAR LA EXPERIENCIA REQUERIDA</w:t>
      </w:r>
      <w:bookmarkEnd w:id="5"/>
      <w:bookmarkEnd w:id="6"/>
    </w:p>
    <w:p w14:paraId="4D44505D" w14:textId="77777777" w:rsidR="00E0714E" w:rsidRPr="00B41612" w:rsidRDefault="00E0714E" w:rsidP="00E0714E">
      <w:pPr>
        <w:tabs>
          <w:tab w:val="left" w:pos="-142"/>
        </w:tabs>
        <w:autoSpaceDE w:val="0"/>
        <w:autoSpaceDN w:val="0"/>
        <w:adjustRightInd w:val="0"/>
        <w:spacing w:before="120" w:after="240"/>
        <w:ind w:left="709" w:right="709"/>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 xml:space="preserve">El proponente debe aportar uno o algunos de los documentos que se establecen a continuación con el fin de </w:t>
      </w:r>
      <w:r w:rsidRPr="00B41612">
        <w:rPr>
          <w:rFonts w:ascii="Arial" w:eastAsia="Times New Roman" w:hAnsi="Arial" w:cs="Arial"/>
          <w:bCs/>
          <w:sz w:val="21"/>
          <w:szCs w:val="21"/>
          <w:lang w:eastAsia="es-ES"/>
        </w:rPr>
        <w:t xml:space="preserve">acreditar </w:t>
      </w:r>
      <w:r w:rsidRPr="00B41612">
        <w:rPr>
          <w:rFonts w:ascii="Arial" w:eastAsia="Calibri Light" w:hAnsi="Arial" w:cs="Arial"/>
          <w:bCs/>
          <w:sz w:val="21"/>
          <w:szCs w:val="21"/>
          <w:lang w:eastAsia="es-ES"/>
        </w:rPr>
        <w:t xml:space="preserve">la información solicitada. Los mismos deben estar debidamente </w:t>
      </w:r>
      <w:r w:rsidRPr="00B41612">
        <w:rPr>
          <w:rFonts w:ascii="Arial" w:hAnsi="Arial" w:cs="Arial"/>
          <w:bCs/>
          <w:sz w:val="21"/>
          <w:szCs w:val="21"/>
        </w:rPr>
        <w:t>diligenciados y suscritos por el contratante</w:t>
      </w:r>
      <w:r w:rsidRPr="00B41612">
        <w:rPr>
          <w:rFonts w:ascii="Arial" w:eastAsia="Calibri Light" w:hAnsi="Arial" w:cs="Arial"/>
          <w:bCs/>
          <w:sz w:val="21"/>
          <w:szCs w:val="21"/>
          <w:lang w:eastAsia="es-ES"/>
        </w:rPr>
        <w:t xml:space="preserve">. En caso de existir discrepancias entre dos (2) o más documentos </w:t>
      </w:r>
      <w:r w:rsidRPr="00B41612">
        <w:rPr>
          <w:rFonts w:ascii="Arial" w:eastAsia="Times New Roman" w:hAnsi="Arial" w:cs="Arial"/>
          <w:bCs/>
          <w:sz w:val="21"/>
          <w:szCs w:val="21"/>
          <w:lang w:eastAsia="es-ES"/>
        </w:rPr>
        <w:t xml:space="preserve">allegados </w:t>
      </w:r>
      <w:r w:rsidRPr="00B41612">
        <w:rPr>
          <w:rFonts w:ascii="Arial" w:eastAsia="Calibri Light" w:hAnsi="Arial" w:cs="Arial"/>
          <w:bCs/>
          <w:sz w:val="21"/>
          <w:szCs w:val="21"/>
          <w:lang w:eastAsia="es-ES"/>
        </w:rPr>
        <w:t xml:space="preserve">por el proponente para </w:t>
      </w:r>
      <w:r w:rsidRPr="00B41612">
        <w:rPr>
          <w:rFonts w:ascii="Arial" w:eastAsia="Times New Roman" w:hAnsi="Arial" w:cs="Arial"/>
          <w:bCs/>
          <w:sz w:val="21"/>
          <w:szCs w:val="21"/>
          <w:lang w:eastAsia="es-ES"/>
        </w:rPr>
        <w:t>probar</w:t>
      </w:r>
      <w:r w:rsidRPr="00B41612">
        <w:rPr>
          <w:rFonts w:ascii="Arial" w:eastAsia="Calibri Light" w:hAnsi="Arial" w:cs="Arial"/>
          <w:bCs/>
          <w:sz w:val="21"/>
          <w:szCs w:val="21"/>
          <w:lang w:eastAsia="es-ES"/>
        </w:rPr>
        <w:t xml:space="preserve"> experiencia, se tendrá en cuenta el orden de prevalencia establecido a continuación:</w:t>
      </w:r>
    </w:p>
    <w:p w14:paraId="50CBEDEE" w14:textId="77777777" w:rsidR="00E0714E" w:rsidRPr="00B41612" w:rsidRDefault="00E0714E" w:rsidP="00E0714E">
      <w:pPr>
        <w:numPr>
          <w:ilvl w:val="0"/>
          <w:numId w:val="10"/>
        </w:numPr>
        <w:tabs>
          <w:tab w:val="left" w:pos="-142"/>
        </w:tabs>
        <w:autoSpaceDE w:val="0"/>
        <w:autoSpaceDN w:val="0"/>
        <w:adjustRightInd w:val="0"/>
        <w:spacing w:before="120" w:after="240"/>
        <w:ind w:left="709" w:right="709" w:firstLine="0"/>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Acta de Liquidación.</w:t>
      </w:r>
    </w:p>
    <w:p w14:paraId="3A739DC0" w14:textId="77777777" w:rsidR="00E0714E" w:rsidRPr="00B41612" w:rsidRDefault="00E0714E" w:rsidP="00E0714E">
      <w:pPr>
        <w:numPr>
          <w:ilvl w:val="0"/>
          <w:numId w:val="10"/>
        </w:numPr>
        <w:tabs>
          <w:tab w:val="left" w:pos="-142"/>
        </w:tabs>
        <w:autoSpaceDE w:val="0"/>
        <w:autoSpaceDN w:val="0"/>
        <w:adjustRightInd w:val="0"/>
        <w:spacing w:before="120" w:after="240"/>
        <w:ind w:left="709" w:right="709" w:firstLine="0"/>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 xml:space="preserve">Acta de entrega, terminación, final o de recibo definitivo. </w:t>
      </w:r>
    </w:p>
    <w:p w14:paraId="0077A3DF" w14:textId="77777777" w:rsidR="00E0714E" w:rsidRPr="00B41612" w:rsidRDefault="00E0714E" w:rsidP="00E0714E">
      <w:pPr>
        <w:numPr>
          <w:ilvl w:val="0"/>
          <w:numId w:val="10"/>
        </w:numPr>
        <w:tabs>
          <w:tab w:val="left" w:pos="-142"/>
        </w:tabs>
        <w:autoSpaceDE w:val="0"/>
        <w:autoSpaceDN w:val="0"/>
        <w:adjustRightInd w:val="0"/>
        <w:spacing w:before="120" w:after="240"/>
        <w:ind w:left="709" w:right="709" w:firstLine="0"/>
        <w:jc w:val="both"/>
        <w:rPr>
          <w:rFonts w:ascii="Arial" w:eastAsia="Yu Mincho" w:hAnsi="Arial" w:cs="Arial"/>
          <w:bCs/>
          <w:sz w:val="21"/>
          <w:szCs w:val="21"/>
          <w:lang w:eastAsia="es-ES"/>
        </w:rPr>
      </w:pPr>
      <w:r w:rsidRPr="00B41612">
        <w:rPr>
          <w:rFonts w:ascii="Arial" w:eastAsia="Calibri Light" w:hAnsi="Arial" w:cs="Arial"/>
          <w:bCs/>
          <w:sz w:val="21"/>
          <w:szCs w:val="21"/>
          <w:lang w:eastAsia="es-ES"/>
        </w:rPr>
        <w:t>Certificación de experiencia. Expedida con posterioridad a la fecha de terminación del contrato en la que conste el recibo a satisfacción de la obra contratada debidamente suscrita</w:t>
      </w:r>
      <w:r w:rsidRPr="00B41612">
        <w:rPr>
          <w:rFonts w:ascii="Arial" w:eastAsia="Calibri Light" w:hAnsi="Arial" w:cs="Arial"/>
          <w:bCs/>
          <w:sz w:val="21"/>
          <w:szCs w:val="21"/>
          <w:lang w:val="x-none" w:eastAsia="es-ES"/>
        </w:rPr>
        <w:t xml:space="preserve"> </w:t>
      </w:r>
      <w:r w:rsidRPr="00B41612">
        <w:rPr>
          <w:rFonts w:ascii="Arial" w:hAnsi="Arial" w:cs="Arial"/>
          <w:bCs/>
          <w:sz w:val="21"/>
          <w:szCs w:val="21"/>
          <w:lang w:eastAsia="es-ES"/>
        </w:rPr>
        <w:t>por quien esté en capacidad u obligación de hacerlo.</w:t>
      </w:r>
    </w:p>
    <w:p w14:paraId="08D662AE" w14:textId="77777777" w:rsidR="00E0714E" w:rsidRPr="00B41612" w:rsidRDefault="00E0714E" w:rsidP="00E0714E">
      <w:pPr>
        <w:numPr>
          <w:ilvl w:val="0"/>
          <w:numId w:val="10"/>
        </w:numPr>
        <w:spacing w:after="160"/>
        <w:ind w:left="709" w:right="709" w:firstLine="0"/>
        <w:contextualSpacing/>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Acta de inicio o la orden de inicio. Solo será válida para efectos de acreditar la fecha de inicio.</w:t>
      </w:r>
    </w:p>
    <w:p w14:paraId="23945753" w14:textId="77777777" w:rsidR="00E0714E" w:rsidRPr="00B41612" w:rsidRDefault="00E0714E" w:rsidP="00E0714E">
      <w:pPr>
        <w:ind w:left="709" w:right="709"/>
        <w:contextualSpacing/>
        <w:jc w:val="both"/>
        <w:rPr>
          <w:rFonts w:ascii="Arial" w:eastAsia="Calibri Light" w:hAnsi="Arial" w:cs="Arial"/>
          <w:bCs/>
          <w:sz w:val="21"/>
          <w:szCs w:val="21"/>
          <w:lang w:eastAsia="es-ES"/>
        </w:rPr>
      </w:pPr>
    </w:p>
    <w:p w14:paraId="0CE6CD48" w14:textId="77777777" w:rsidR="00E0714E" w:rsidRPr="00B41612" w:rsidRDefault="00E0714E" w:rsidP="00E0714E">
      <w:pPr>
        <w:numPr>
          <w:ilvl w:val="0"/>
          <w:numId w:val="10"/>
        </w:numPr>
        <w:spacing w:after="160"/>
        <w:ind w:left="709" w:right="709" w:firstLine="0"/>
        <w:contextualSpacing/>
        <w:jc w:val="both"/>
        <w:rPr>
          <w:rFonts w:ascii="Arial" w:eastAsia="Yu Mincho" w:hAnsi="Arial" w:cs="Arial"/>
          <w:bCs/>
          <w:sz w:val="21"/>
          <w:szCs w:val="21"/>
          <w:lang w:eastAsia="es-ES"/>
        </w:rPr>
      </w:pPr>
      <w:r w:rsidRPr="00B41612">
        <w:rPr>
          <w:rFonts w:ascii="Arial" w:hAnsi="Arial" w:cs="Arial"/>
          <w:bCs/>
          <w:sz w:val="21"/>
          <w:szCs w:val="21"/>
          <w:lang w:eastAsia="es-ES"/>
        </w:rPr>
        <w:t>Para</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los</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contratos</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que</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hayan</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sido</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objeto</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de</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cesión se debe aportar alguno de los documentos anteriores, donde se indique el porcentaje del contrato ejecutado por el cedente o por el cesionario,</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según</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el caso.</w:t>
      </w:r>
      <w:r w:rsidRPr="00B41612">
        <w:rPr>
          <w:rFonts w:ascii="Arial" w:eastAsia="Verdana" w:hAnsi="Arial" w:cs="Arial"/>
          <w:bCs/>
          <w:sz w:val="21"/>
          <w:szCs w:val="21"/>
        </w:rPr>
        <w:t xml:space="preserve"> </w:t>
      </w:r>
      <w:r w:rsidRPr="00B41612">
        <w:rPr>
          <w:rFonts w:ascii="Arial" w:hAnsi="Arial" w:cs="Arial"/>
          <w:bCs/>
          <w:sz w:val="21"/>
          <w:szCs w:val="21"/>
        </w:rPr>
        <w:t>La</w:t>
      </w:r>
      <w:r w:rsidRPr="00B41612">
        <w:rPr>
          <w:rFonts w:ascii="Arial" w:eastAsia="Verdana" w:hAnsi="Arial" w:cs="Arial"/>
          <w:bCs/>
          <w:sz w:val="21"/>
          <w:szCs w:val="21"/>
        </w:rPr>
        <w:t xml:space="preserve"> </w:t>
      </w:r>
      <w:r w:rsidRPr="00B41612">
        <w:rPr>
          <w:rFonts w:ascii="Arial" w:hAnsi="Arial" w:cs="Arial"/>
          <w:bCs/>
          <w:sz w:val="21"/>
          <w:szCs w:val="21"/>
          <w:lang w:eastAsia="es-ES"/>
        </w:rPr>
        <w:t>experiencia</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se</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lastRenderedPageBreak/>
        <w:t>valdrá</w:t>
      </w:r>
      <w:r w:rsidRPr="00B41612">
        <w:rPr>
          <w:rFonts w:ascii="Arial" w:eastAsia="Yu Mincho" w:hAnsi="Arial" w:cs="Arial"/>
          <w:bCs/>
          <w:sz w:val="21"/>
          <w:szCs w:val="21"/>
          <w:lang w:eastAsia="es-ES"/>
        </w:rPr>
        <w:t xml:space="preserve"> afectada por el porcentaje del contrato ejecutado por el cedente o el cesionario, dependiendo de quien pretenda acreditar la experiencia.</w:t>
      </w:r>
    </w:p>
    <w:p w14:paraId="743C17E6" w14:textId="77777777" w:rsidR="00E0714E" w:rsidRPr="00B41612" w:rsidRDefault="00E0714E" w:rsidP="0092217B">
      <w:pPr>
        <w:spacing w:before="120" w:line="276" w:lineRule="auto"/>
        <w:ind w:firstLine="709"/>
        <w:jc w:val="both"/>
        <w:rPr>
          <w:rFonts w:ascii="Arial" w:eastAsia="Calibri" w:hAnsi="Arial" w:cs="Arial"/>
          <w:bCs/>
          <w:sz w:val="22"/>
        </w:rPr>
      </w:pPr>
    </w:p>
    <w:p w14:paraId="4A46AF10" w14:textId="67D2AACB" w:rsidR="00E0714E" w:rsidRPr="00B41612" w:rsidRDefault="00AD1EC2" w:rsidP="00B41612">
      <w:pPr>
        <w:spacing w:line="276" w:lineRule="auto"/>
        <w:ind w:firstLine="709"/>
        <w:jc w:val="both"/>
        <w:rPr>
          <w:rFonts w:ascii="Arial" w:eastAsia="Calibri" w:hAnsi="Arial" w:cs="Arial"/>
          <w:bCs/>
          <w:sz w:val="22"/>
        </w:rPr>
      </w:pPr>
      <w:r w:rsidRPr="00B41612">
        <w:rPr>
          <w:rFonts w:ascii="Arial" w:eastAsia="Calibri" w:hAnsi="Arial" w:cs="Arial"/>
          <w:bCs/>
          <w:sz w:val="22"/>
        </w:rPr>
        <w:t>D</w:t>
      </w:r>
      <w:r w:rsidR="00E0714E" w:rsidRPr="00B41612">
        <w:rPr>
          <w:rFonts w:ascii="Arial" w:eastAsia="Calibri" w:hAnsi="Arial" w:cs="Arial"/>
          <w:bCs/>
          <w:sz w:val="22"/>
        </w:rPr>
        <w:t>entro de este numeral se enlista una serie de documentos establecidos como v</w:t>
      </w:r>
      <w:r w:rsidR="00E80780">
        <w:rPr>
          <w:rFonts w:ascii="Arial" w:eastAsia="Calibri" w:hAnsi="Arial" w:cs="Arial"/>
          <w:bCs/>
          <w:sz w:val="22"/>
        </w:rPr>
        <w:t>á</w:t>
      </w:r>
      <w:r w:rsidR="00E0714E" w:rsidRPr="00B41612">
        <w:rPr>
          <w:rFonts w:ascii="Arial" w:eastAsia="Calibri" w:hAnsi="Arial" w:cs="Arial"/>
          <w:bCs/>
          <w:sz w:val="22"/>
        </w:rPr>
        <w:t>lidos para acreditar los requisitos de experiencia general y espec</w:t>
      </w:r>
      <w:r w:rsidR="00E80780">
        <w:rPr>
          <w:rFonts w:ascii="Arial" w:eastAsia="Calibri" w:hAnsi="Arial" w:cs="Arial"/>
          <w:bCs/>
          <w:sz w:val="22"/>
        </w:rPr>
        <w:t>í</w:t>
      </w:r>
      <w:r w:rsidR="00E0714E" w:rsidRPr="00B41612">
        <w:rPr>
          <w:rFonts w:ascii="Arial" w:eastAsia="Calibri" w:hAnsi="Arial" w:cs="Arial"/>
          <w:bCs/>
          <w:sz w:val="22"/>
        </w:rPr>
        <w:t xml:space="preserve">fica, </w:t>
      </w:r>
      <w:r w:rsidRPr="00B41612">
        <w:rPr>
          <w:rFonts w:ascii="Arial" w:eastAsia="Calibri" w:hAnsi="Arial" w:cs="Arial"/>
          <w:bCs/>
          <w:sz w:val="22"/>
        </w:rPr>
        <w:t>incluyendo la información necesaria conforme al numeral 4.5.3 de la «Invitación Pública». Como se aprecia, dentro del texto transcrito no se incluye</w:t>
      </w:r>
      <w:r w:rsidR="00E80780">
        <w:rPr>
          <w:rFonts w:ascii="Arial" w:eastAsia="Calibri" w:hAnsi="Arial" w:cs="Arial"/>
          <w:bCs/>
          <w:sz w:val="22"/>
        </w:rPr>
        <w:t xml:space="preserve"> ningún</w:t>
      </w:r>
      <w:r w:rsidRPr="00B41612">
        <w:rPr>
          <w:rFonts w:ascii="Arial" w:eastAsia="Calibri" w:hAnsi="Arial" w:cs="Arial"/>
          <w:bCs/>
          <w:sz w:val="22"/>
        </w:rPr>
        <w:t xml:space="preserve"> apartado </w:t>
      </w:r>
      <w:r w:rsidR="00E80780">
        <w:rPr>
          <w:rFonts w:ascii="Arial" w:eastAsia="Calibri" w:hAnsi="Arial" w:cs="Arial"/>
          <w:bCs/>
          <w:sz w:val="22"/>
        </w:rPr>
        <w:t xml:space="preserve">en corchetes y resaltado en gris, </w:t>
      </w:r>
      <w:r w:rsidRPr="00B41612">
        <w:rPr>
          <w:rFonts w:ascii="Arial" w:eastAsia="Calibri" w:hAnsi="Arial" w:cs="Arial"/>
          <w:bCs/>
          <w:sz w:val="22"/>
        </w:rPr>
        <w:t xml:space="preserve">que </w:t>
      </w:r>
      <w:r w:rsidR="00E80780">
        <w:rPr>
          <w:rFonts w:ascii="Arial" w:eastAsia="Calibri" w:hAnsi="Arial" w:cs="Arial"/>
          <w:bCs/>
          <w:sz w:val="22"/>
        </w:rPr>
        <w:t>habilite</w:t>
      </w:r>
      <w:r w:rsidR="00E80780" w:rsidRPr="00B41612">
        <w:rPr>
          <w:rFonts w:ascii="Arial" w:eastAsia="Calibri" w:hAnsi="Arial" w:cs="Arial"/>
          <w:bCs/>
          <w:sz w:val="22"/>
        </w:rPr>
        <w:t xml:space="preserve"> </w:t>
      </w:r>
      <w:r w:rsidR="00E80780">
        <w:rPr>
          <w:rFonts w:ascii="Arial" w:eastAsia="Calibri" w:hAnsi="Arial" w:cs="Arial"/>
          <w:bCs/>
          <w:sz w:val="22"/>
        </w:rPr>
        <w:t xml:space="preserve">a </w:t>
      </w:r>
      <w:r w:rsidRPr="00B41612">
        <w:rPr>
          <w:rFonts w:ascii="Arial" w:eastAsia="Calibri" w:hAnsi="Arial" w:cs="Arial"/>
          <w:bCs/>
          <w:sz w:val="22"/>
        </w:rPr>
        <w:t xml:space="preserve">las entidades estatales </w:t>
      </w:r>
      <w:r w:rsidR="00E80780">
        <w:rPr>
          <w:rFonts w:ascii="Arial" w:eastAsia="Calibri" w:hAnsi="Arial" w:cs="Arial"/>
          <w:bCs/>
          <w:sz w:val="22"/>
        </w:rPr>
        <w:t>para que al elaborar sus invitaciones modifiquen</w:t>
      </w:r>
      <w:r w:rsidRPr="00B41612">
        <w:rPr>
          <w:rFonts w:ascii="Arial" w:eastAsia="Calibri" w:hAnsi="Arial" w:cs="Arial"/>
          <w:bCs/>
          <w:sz w:val="22"/>
        </w:rPr>
        <w:t xml:space="preserve"> el contenido de este numeral. </w:t>
      </w:r>
    </w:p>
    <w:p w14:paraId="73068BA8" w14:textId="2BD0A7A3" w:rsidR="00AD1EC2" w:rsidRPr="00B41612" w:rsidRDefault="00AD1EC2" w:rsidP="0092217B">
      <w:pPr>
        <w:spacing w:before="120" w:line="276" w:lineRule="auto"/>
        <w:ind w:firstLine="709"/>
        <w:jc w:val="both"/>
        <w:rPr>
          <w:rFonts w:ascii="Arial" w:eastAsia="Calibri" w:hAnsi="Arial" w:cs="Arial"/>
          <w:bCs/>
          <w:sz w:val="22"/>
        </w:rPr>
      </w:pPr>
      <w:r w:rsidRPr="00B41612">
        <w:rPr>
          <w:rFonts w:ascii="Arial" w:eastAsia="Calibri" w:hAnsi="Arial" w:cs="Arial"/>
          <w:bCs/>
          <w:sz w:val="22"/>
        </w:rPr>
        <w:t xml:space="preserve">En tal sentido, comoquiera que de acuerdo con el parágrafo 7 del artículo 2 de la Ley 1150 de 2007, </w:t>
      </w:r>
      <w:r w:rsidR="00E80780">
        <w:rPr>
          <w:rFonts w:ascii="Arial" w:eastAsia="Calibri" w:hAnsi="Arial" w:cs="Arial"/>
          <w:bCs/>
          <w:sz w:val="22"/>
        </w:rPr>
        <w:t>adicionado</w:t>
      </w:r>
      <w:r w:rsidR="00E80780" w:rsidRPr="00B41612">
        <w:rPr>
          <w:rFonts w:ascii="Arial" w:eastAsia="Calibri" w:hAnsi="Arial" w:cs="Arial"/>
          <w:bCs/>
          <w:sz w:val="22"/>
        </w:rPr>
        <w:t xml:space="preserve"> </w:t>
      </w:r>
      <w:r w:rsidRPr="00B41612">
        <w:rPr>
          <w:rFonts w:ascii="Arial" w:eastAsia="Calibri" w:hAnsi="Arial" w:cs="Arial"/>
          <w:bCs/>
          <w:sz w:val="22"/>
        </w:rPr>
        <w:t xml:space="preserve">por </w:t>
      </w:r>
      <w:r w:rsidR="00E80780">
        <w:rPr>
          <w:rFonts w:ascii="Arial" w:eastAsia="Calibri" w:hAnsi="Arial" w:cs="Arial"/>
          <w:bCs/>
          <w:sz w:val="22"/>
        </w:rPr>
        <w:t>el artículo 4 de la</w:t>
      </w:r>
      <w:r w:rsidR="00E80780" w:rsidRPr="00B41612">
        <w:rPr>
          <w:rFonts w:ascii="Arial" w:eastAsia="Calibri" w:hAnsi="Arial" w:cs="Arial"/>
          <w:bCs/>
          <w:sz w:val="22"/>
        </w:rPr>
        <w:t xml:space="preserve"> </w:t>
      </w:r>
      <w:r w:rsidRPr="00B41612">
        <w:rPr>
          <w:rFonts w:ascii="Arial" w:eastAsia="Calibri" w:hAnsi="Arial" w:cs="Arial"/>
          <w:bCs/>
          <w:sz w:val="22"/>
        </w:rPr>
        <w:t>Ley 1882 de 2018 y posteriormente</w:t>
      </w:r>
      <w:r w:rsidR="00E80780">
        <w:rPr>
          <w:rFonts w:ascii="Arial" w:eastAsia="Calibri" w:hAnsi="Arial" w:cs="Arial"/>
          <w:bCs/>
          <w:sz w:val="22"/>
        </w:rPr>
        <w:t xml:space="preserve"> modificado por el artículo 4 de la</w:t>
      </w:r>
      <w:r w:rsidRPr="00B41612">
        <w:rPr>
          <w:rFonts w:ascii="Arial" w:eastAsia="Calibri" w:hAnsi="Arial" w:cs="Arial"/>
          <w:bCs/>
          <w:sz w:val="22"/>
        </w:rPr>
        <w:t xml:space="preserve"> Ley 2022 de 2020, los requisitos habilitantes y factores de escogencia adoptados por los documentos tipo son obligatorios para las entidades regidas por el EGCAP, siendo además inalterables conforme al artículo 2.2.1.2.6.3.4, </w:t>
      </w:r>
      <w:r w:rsidR="00E80780">
        <w:rPr>
          <w:rFonts w:ascii="Arial" w:eastAsia="Calibri" w:hAnsi="Arial" w:cs="Arial"/>
          <w:bCs/>
          <w:sz w:val="22"/>
        </w:rPr>
        <w:t xml:space="preserve">lo que </w:t>
      </w:r>
      <w:r w:rsidRPr="00B41612">
        <w:rPr>
          <w:rFonts w:ascii="Arial" w:eastAsia="Calibri" w:hAnsi="Arial" w:cs="Arial"/>
          <w:bCs/>
          <w:sz w:val="22"/>
        </w:rPr>
        <w:t xml:space="preserve">las entidades estatales deben </w:t>
      </w:r>
      <w:r w:rsidR="00E80780">
        <w:rPr>
          <w:rFonts w:ascii="Arial" w:eastAsia="Calibri" w:hAnsi="Arial" w:cs="Arial"/>
          <w:bCs/>
          <w:sz w:val="22"/>
        </w:rPr>
        <w:t>respetar</w:t>
      </w:r>
      <w:r w:rsidR="00E80780" w:rsidRPr="00B41612">
        <w:rPr>
          <w:rFonts w:ascii="Arial" w:eastAsia="Calibri" w:hAnsi="Arial" w:cs="Arial"/>
          <w:bCs/>
          <w:sz w:val="22"/>
        </w:rPr>
        <w:t xml:space="preserve"> </w:t>
      </w:r>
      <w:r w:rsidR="000B59AD" w:rsidRPr="00B41612">
        <w:rPr>
          <w:rFonts w:ascii="Arial" w:eastAsia="Calibri" w:hAnsi="Arial" w:cs="Arial"/>
          <w:bCs/>
          <w:sz w:val="22"/>
        </w:rPr>
        <w:t>su contenido. Conforme a esto, al</w:t>
      </w:r>
      <w:r w:rsidRPr="00B41612">
        <w:rPr>
          <w:rFonts w:ascii="Arial" w:eastAsia="Calibri" w:hAnsi="Arial" w:cs="Arial"/>
          <w:bCs/>
          <w:sz w:val="22"/>
        </w:rPr>
        <w:t xml:space="preserve"> aplicar los documentos tipo de obra pública de infraestructura de transporte de mínima cuantía, </w:t>
      </w:r>
      <w:r w:rsidR="004C5F24" w:rsidRPr="00B41612">
        <w:rPr>
          <w:rFonts w:ascii="Arial" w:eastAsia="Calibri" w:hAnsi="Arial" w:cs="Arial"/>
          <w:bCs/>
          <w:sz w:val="22"/>
        </w:rPr>
        <w:t>las entidades estatales deben</w:t>
      </w:r>
      <w:r w:rsidRPr="00B41612">
        <w:rPr>
          <w:rFonts w:ascii="Arial" w:eastAsia="Calibri" w:hAnsi="Arial" w:cs="Arial"/>
          <w:bCs/>
          <w:sz w:val="22"/>
        </w:rPr>
        <w:t xml:space="preserve"> permitir acredita</w:t>
      </w:r>
      <w:r w:rsidR="00E80780">
        <w:rPr>
          <w:rFonts w:ascii="Arial" w:eastAsia="Calibri" w:hAnsi="Arial" w:cs="Arial"/>
          <w:bCs/>
          <w:sz w:val="22"/>
        </w:rPr>
        <w:t>r</w:t>
      </w:r>
      <w:r w:rsidRPr="00B41612">
        <w:rPr>
          <w:rFonts w:ascii="Arial" w:eastAsia="Calibri" w:hAnsi="Arial" w:cs="Arial"/>
          <w:bCs/>
          <w:sz w:val="22"/>
        </w:rPr>
        <w:t xml:space="preserve"> </w:t>
      </w:r>
      <w:r w:rsidR="00E80780">
        <w:rPr>
          <w:rFonts w:ascii="Arial" w:eastAsia="Calibri" w:hAnsi="Arial" w:cs="Arial"/>
          <w:bCs/>
          <w:sz w:val="22"/>
        </w:rPr>
        <w:t>la</w:t>
      </w:r>
      <w:r w:rsidR="00E80780" w:rsidRPr="00B41612">
        <w:rPr>
          <w:rFonts w:ascii="Arial" w:eastAsia="Calibri" w:hAnsi="Arial" w:cs="Arial"/>
          <w:bCs/>
          <w:sz w:val="22"/>
        </w:rPr>
        <w:t xml:space="preserve"> </w:t>
      </w:r>
      <w:r w:rsidRPr="00B41612">
        <w:rPr>
          <w:rFonts w:ascii="Arial" w:eastAsia="Calibri" w:hAnsi="Arial" w:cs="Arial"/>
          <w:bCs/>
          <w:sz w:val="22"/>
        </w:rPr>
        <w:t>experiencia mediante los documentos enlistados</w:t>
      </w:r>
      <w:r w:rsidR="000B59AD" w:rsidRPr="00B41612">
        <w:rPr>
          <w:rFonts w:ascii="Arial" w:eastAsia="Calibri" w:hAnsi="Arial" w:cs="Arial"/>
          <w:bCs/>
          <w:sz w:val="22"/>
        </w:rPr>
        <w:t xml:space="preserve"> como v</w:t>
      </w:r>
      <w:r w:rsidR="00E80780">
        <w:rPr>
          <w:rFonts w:ascii="Arial" w:eastAsia="Calibri" w:hAnsi="Arial" w:cs="Arial"/>
          <w:bCs/>
          <w:sz w:val="22"/>
        </w:rPr>
        <w:t>á</w:t>
      </w:r>
      <w:r w:rsidR="000B59AD" w:rsidRPr="00B41612">
        <w:rPr>
          <w:rFonts w:ascii="Arial" w:eastAsia="Calibri" w:hAnsi="Arial" w:cs="Arial"/>
          <w:bCs/>
          <w:sz w:val="22"/>
        </w:rPr>
        <w:t>lidos</w:t>
      </w:r>
      <w:r w:rsidRPr="00B41612">
        <w:rPr>
          <w:rFonts w:ascii="Arial" w:eastAsia="Calibri" w:hAnsi="Arial" w:cs="Arial"/>
          <w:bCs/>
          <w:sz w:val="22"/>
        </w:rPr>
        <w:t xml:space="preserve"> en el numeral 4.5.4 de la «Invitación Pública» adoptada </w:t>
      </w:r>
      <w:r w:rsidR="004C5F24">
        <w:rPr>
          <w:rFonts w:ascii="Arial" w:eastAsia="Calibri" w:hAnsi="Arial" w:cs="Arial"/>
          <w:bCs/>
          <w:sz w:val="22"/>
        </w:rPr>
        <w:t xml:space="preserve">por esta Agencia </w:t>
      </w:r>
      <w:r w:rsidRPr="00B41612">
        <w:rPr>
          <w:rFonts w:ascii="Arial" w:eastAsia="Calibri" w:hAnsi="Arial" w:cs="Arial"/>
          <w:bCs/>
          <w:sz w:val="22"/>
        </w:rPr>
        <w:t>mediante la Resolución No. 0094 de 2020</w:t>
      </w:r>
      <w:r w:rsidR="004C5F24">
        <w:rPr>
          <w:rFonts w:ascii="Arial" w:eastAsia="Calibri" w:hAnsi="Arial" w:cs="Arial"/>
          <w:bCs/>
          <w:sz w:val="22"/>
        </w:rPr>
        <w:t>.</w:t>
      </w:r>
    </w:p>
    <w:p w14:paraId="45F8541D" w14:textId="54C8B568" w:rsidR="00E0714E" w:rsidRPr="00B41612" w:rsidRDefault="00185557" w:rsidP="0092217B">
      <w:pPr>
        <w:spacing w:before="120" w:line="276" w:lineRule="auto"/>
        <w:ind w:firstLine="709"/>
        <w:jc w:val="both"/>
        <w:rPr>
          <w:rFonts w:ascii="Arial" w:eastAsia="Calibri" w:hAnsi="Arial" w:cs="Arial"/>
          <w:bCs/>
          <w:sz w:val="22"/>
        </w:rPr>
      </w:pPr>
      <w:r>
        <w:rPr>
          <w:rFonts w:ascii="Arial" w:eastAsia="Calibri" w:hAnsi="Arial" w:cs="Arial"/>
          <w:bCs/>
          <w:sz w:val="22"/>
        </w:rPr>
        <w:t>Sin perjuicio de lo anterior, l</w:t>
      </w:r>
      <w:r w:rsidR="000B59AD" w:rsidRPr="00B41612">
        <w:rPr>
          <w:rFonts w:ascii="Arial" w:eastAsia="Calibri" w:hAnsi="Arial" w:cs="Arial"/>
          <w:bCs/>
          <w:sz w:val="22"/>
        </w:rPr>
        <w:t xml:space="preserve">a acreditación de experiencia a través de tales documentos </w:t>
      </w:r>
      <w:r w:rsidR="00EE43E6">
        <w:rPr>
          <w:rFonts w:ascii="Arial" w:eastAsia="Calibri" w:hAnsi="Arial" w:cs="Arial"/>
          <w:bCs/>
          <w:sz w:val="22"/>
        </w:rPr>
        <w:t>también</w:t>
      </w:r>
      <w:r w:rsidR="00EE43E6" w:rsidRPr="00B41612">
        <w:rPr>
          <w:rFonts w:ascii="Arial" w:eastAsia="Calibri" w:hAnsi="Arial" w:cs="Arial"/>
          <w:bCs/>
          <w:sz w:val="22"/>
        </w:rPr>
        <w:t xml:space="preserve"> </w:t>
      </w:r>
      <w:r w:rsidR="000B59AD" w:rsidRPr="00B41612">
        <w:rPr>
          <w:rFonts w:ascii="Arial" w:eastAsia="Calibri" w:hAnsi="Arial" w:cs="Arial"/>
          <w:bCs/>
          <w:sz w:val="22"/>
        </w:rPr>
        <w:t xml:space="preserve">deberá sujetarse a las demás reglas establecidas en la «Invitación Pública», por lo que deberán dar cuenta de contratos que cumplan con las características establecidas en el numeral 4.5.1, ajustarse a las consideraciones para la validez de la experiencia reguladas en el numeral 4.5.2 e incluir la información exigida en el numeral 4.5.3. </w:t>
      </w:r>
      <w:r>
        <w:rPr>
          <w:rFonts w:ascii="Arial" w:eastAsia="Calibri" w:hAnsi="Arial" w:cs="Arial"/>
          <w:bCs/>
          <w:sz w:val="22"/>
        </w:rPr>
        <w:t xml:space="preserve">Es decir, mediante los documentos aportados deben demostrar los elementos que se exigen acreditar </w:t>
      </w:r>
      <w:r w:rsidR="00030397">
        <w:rPr>
          <w:rFonts w:ascii="Arial" w:eastAsia="Calibri" w:hAnsi="Arial" w:cs="Arial"/>
          <w:bCs/>
          <w:sz w:val="22"/>
        </w:rPr>
        <w:t>con su presentación</w:t>
      </w:r>
      <w:r>
        <w:rPr>
          <w:rFonts w:ascii="Arial" w:eastAsia="Calibri" w:hAnsi="Arial" w:cs="Arial"/>
          <w:bCs/>
          <w:sz w:val="22"/>
        </w:rPr>
        <w:t xml:space="preserve">, de manera que se pueda verificar de forma completa los requisitos de experiencia general y específica, </w:t>
      </w:r>
      <w:r w:rsidR="005755B0">
        <w:rPr>
          <w:rFonts w:ascii="Arial" w:eastAsia="Calibri" w:hAnsi="Arial" w:cs="Arial"/>
          <w:bCs/>
          <w:sz w:val="22"/>
        </w:rPr>
        <w:t>pues</w:t>
      </w:r>
      <w:r>
        <w:rPr>
          <w:rFonts w:ascii="Arial" w:eastAsia="Calibri" w:hAnsi="Arial" w:cs="Arial"/>
          <w:bCs/>
          <w:sz w:val="22"/>
        </w:rPr>
        <w:t xml:space="preserve"> puede suceder que alguno de dichos documentos no tenga la información completa que se requiere.</w:t>
      </w:r>
    </w:p>
    <w:p w14:paraId="748F7AC6" w14:textId="515BA025" w:rsidR="00477B62" w:rsidRPr="00B41612" w:rsidRDefault="009F10A8" w:rsidP="00E942EC">
      <w:pPr>
        <w:spacing w:before="120" w:line="276" w:lineRule="auto"/>
        <w:ind w:firstLine="709"/>
        <w:jc w:val="both"/>
        <w:rPr>
          <w:rFonts w:ascii="Arial" w:hAnsi="Arial" w:cs="Arial"/>
          <w:sz w:val="22"/>
        </w:rPr>
      </w:pPr>
      <w:r>
        <w:rPr>
          <w:rFonts w:ascii="Arial" w:hAnsi="Arial" w:cs="Arial"/>
          <w:sz w:val="22"/>
        </w:rPr>
        <w:t>Es bueno resaltar que</w:t>
      </w:r>
      <w:r w:rsidR="009B1295" w:rsidRPr="00B41612">
        <w:rPr>
          <w:rFonts w:ascii="Arial" w:hAnsi="Arial" w:cs="Arial"/>
          <w:sz w:val="22"/>
        </w:rPr>
        <w:t xml:space="preserve"> </w:t>
      </w:r>
      <w:r w:rsidR="00756B16" w:rsidRPr="00B41612">
        <w:rPr>
          <w:rFonts w:ascii="Arial" w:hAnsi="Arial" w:cs="Arial"/>
          <w:sz w:val="22"/>
        </w:rPr>
        <w:t>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w:t>
      </w:r>
      <w:r w:rsidR="00477B62" w:rsidRPr="00B41612">
        <w:rPr>
          <w:rFonts w:ascii="Arial" w:hAnsi="Arial" w:cs="Arial"/>
          <w:sz w:val="22"/>
        </w:rPr>
        <w:t xml:space="preserve"> que </w:t>
      </w:r>
      <w:r w:rsidR="002E0DCE" w:rsidRPr="00B41612">
        <w:rPr>
          <w:rFonts w:ascii="Arial" w:hAnsi="Arial" w:cs="Arial"/>
          <w:sz w:val="22"/>
        </w:rPr>
        <w:t xml:space="preserve">la entidad que adelanta el proceso contractual le rinda culto a las </w:t>
      </w:r>
      <w:r w:rsidR="00410F6E" w:rsidRPr="00B41612">
        <w:rPr>
          <w:rFonts w:ascii="Arial" w:hAnsi="Arial" w:cs="Arial"/>
          <w:sz w:val="22"/>
        </w:rPr>
        <w:t>«</w:t>
      </w:r>
      <w:r w:rsidR="002E0DCE" w:rsidRPr="00B41612">
        <w:rPr>
          <w:rFonts w:ascii="Arial" w:hAnsi="Arial" w:cs="Arial"/>
          <w:sz w:val="22"/>
        </w:rPr>
        <w:t>formas</w:t>
      </w:r>
      <w:r w:rsidR="00410F6E" w:rsidRPr="00B41612">
        <w:rPr>
          <w:rFonts w:ascii="Arial" w:hAnsi="Arial" w:cs="Arial"/>
          <w:sz w:val="22"/>
        </w:rPr>
        <w:t>»</w:t>
      </w:r>
      <w:r w:rsidR="002E0DCE" w:rsidRPr="00B41612">
        <w:rPr>
          <w:rFonts w:ascii="Arial" w:hAnsi="Arial" w:cs="Arial"/>
          <w:sz w:val="22"/>
        </w:rPr>
        <w:t>, pues el deber que le asiste es el de tener en cuenta y aplicar los aspectos sustanciales de los Documentos Tipo, sin distingo de la formalidad de la que se sirva</w:t>
      </w:r>
      <w:r w:rsidR="00185557">
        <w:rPr>
          <w:rFonts w:ascii="Arial" w:hAnsi="Arial" w:cs="Arial"/>
          <w:sz w:val="22"/>
        </w:rPr>
        <w:t>n</w:t>
      </w:r>
      <w:r w:rsidR="002E0DCE" w:rsidRPr="00B41612">
        <w:rPr>
          <w:rFonts w:ascii="Arial" w:hAnsi="Arial" w:cs="Arial"/>
          <w:sz w:val="22"/>
        </w:rPr>
        <w:t xml:space="preserve"> para ello</w:t>
      </w:r>
      <w:r w:rsidR="006926B2" w:rsidRPr="00B41612">
        <w:rPr>
          <w:rFonts w:ascii="Arial" w:hAnsi="Arial" w:cs="Arial"/>
          <w:sz w:val="22"/>
        </w:rPr>
        <w:t xml:space="preserve"> los actores del sistema de contratación pública</w:t>
      </w:r>
      <w:r w:rsidR="002E0DCE" w:rsidRPr="00B41612">
        <w:rPr>
          <w:rFonts w:ascii="Arial" w:hAnsi="Arial" w:cs="Arial"/>
          <w:sz w:val="22"/>
        </w:rPr>
        <w:t>.</w:t>
      </w:r>
    </w:p>
    <w:p w14:paraId="5E432E2D" w14:textId="431B87FA" w:rsidR="00520920" w:rsidRPr="00B41612" w:rsidRDefault="00520920" w:rsidP="00E942EC">
      <w:pPr>
        <w:spacing w:before="120" w:line="276" w:lineRule="auto"/>
        <w:ind w:firstLine="709"/>
        <w:jc w:val="both"/>
        <w:rPr>
          <w:rFonts w:ascii="Arial" w:hAnsi="Arial" w:cs="Arial"/>
          <w:sz w:val="22"/>
          <w:lang w:val="es-CO"/>
        </w:rPr>
      </w:pPr>
      <w:r w:rsidRPr="00B41612">
        <w:rPr>
          <w:rFonts w:ascii="Arial" w:hAnsi="Arial" w:cs="Arial"/>
          <w:sz w:val="22"/>
        </w:rPr>
        <w:t xml:space="preserve">En relación con el principio constitucional </w:t>
      </w:r>
      <w:r w:rsidRPr="00B41612">
        <w:rPr>
          <w:rFonts w:ascii="Arial" w:hAnsi="Arial" w:cs="Arial"/>
          <w:i/>
          <w:iCs/>
          <w:sz w:val="22"/>
        </w:rPr>
        <w:t>sub examine</w:t>
      </w:r>
      <w:r w:rsidRPr="00B41612">
        <w:rPr>
          <w:rFonts w:ascii="Arial" w:hAnsi="Arial" w:cs="Arial"/>
          <w:sz w:val="22"/>
          <w:lang w:val="es-CO"/>
        </w:rPr>
        <w:t xml:space="preserve">, la Corte Constitucional ha señalado que «[…] por disposición del artículo 228 Superior, las formas no deben convertirse en un obstáculo para la efectividad del derecho sustancial, sino que deben </w:t>
      </w:r>
      <w:r w:rsidRPr="00B41612">
        <w:rPr>
          <w:rFonts w:ascii="Arial" w:hAnsi="Arial" w:cs="Arial"/>
          <w:sz w:val="22"/>
          <w:lang w:val="es-CO"/>
        </w:rPr>
        <w:lastRenderedPageBreak/>
        <w:t>propender por su realización. Es decir, que las normas procesales son un medio para lograr la efectividad de los derechos subjetivos y no fines en sí mismas»</w:t>
      </w:r>
      <w:r w:rsidRPr="00B41612">
        <w:rPr>
          <w:rStyle w:val="Refdenotaalpie"/>
          <w:rFonts w:ascii="Arial" w:hAnsi="Arial" w:cs="Arial"/>
          <w:sz w:val="22"/>
          <w:lang w:val="es-CO"/>
        </w:rPr>
        <w:footnoteReference w:id="2"/>
      </w:r>
      <w:r w:rsidRPr="00B41612">
        <w:rPr>
          <w:rFonts w:ascii="Arial" w:hAnsi="Arial" w:cs="Arial"/>
          <w:sz w:val="22"/>
          <w:lang w:val="es-CO"/>
        </w:rPr>
        <w:t>. Ese fue el sentido que inspiró la Sentencia C-029 de 1995, mediante la</w:t>
      </w:r>
      <w:r w:rsidR="00955726">
        <w:rPr>
          <w:rFonts w:ascii="Arial" w:hAnsi="Arial" w:cs="Arial"/>
          <w:sz w:val="22"/>
          <w:lang w:val="es-CO"/>
        </w:rPr>
        <w:t xml:space="preserve"> cual la Corte Constitucion</w:t>
      </w:r>
      <w:r w:rsidR="00887F1A">
        <w:rPr>
          <w:rFonts w:ascii="Arial" w:hAnsi="Arial" w:cs="Arial"/>
          <w:sz w:val="22"/>
          <w:lang w:val="es-CO"/>
        </w:rPr>
        <w:t>al</w:t>
      </w:r>
      <w:r w:rsidRPr="00B41612">
        <w:rPr>
          <w:rFonts w:ascii="Arial" w:hAnsi="Arial" w:cs="Arial"/>
          <w:sz w:val="22"/>
          <w:lang w:val="es-CO"/>
        </w:rPr>
        <w:t xml:space="preserve"> declaró exequible el artículo 4º del Código de Procedimiento Civil, argumentando, además, que el artículo 228 de la Constitución reconoce que «prevalecerá el derecho sustancial», con lo que también está reconociendo</w:t>
      </w:r>
      <w:r w:rsidR="008242D2" w:rsidRPr="00B41612">
        <w:rPr>
          <w:rFonts w:ascii="Arial" w:hAnsi="Arial" w:cs="Arial"/>
          <w:sz w:val="22"/>
          <w:lang w:val="es-CO"/>
        </w:rPr>
        <w:t>, según el tribunal constitucional,</w:t>
      </w:r>
      <w:r w:rsidRPr="00B41612">
        <w:rPr>
          <w:rFonts w:ascii="Arial" w:hAnsi="Arial" w:cs="Arial"/>
          <w:sz w:val="22"/>
          <w:lang w:val="es-CO"/>
        </w:rPr>
        <w:t xml:space="preserve"> que el fin de los procedimientos es la realización de los derechos consagrados en abstracto por el derecho objetivo.</w:t>
      </w:r>
    </w:p>
    <w:p w14:paraId="45E3DD7C" w14:textId="134AA15C" w:rsidR="009B1295" w:rsidRPr="00B41612" w:rsidRDefault="00956B72" w:rsidP="00E942EC">
      <w:pPr>
        <w:spacing w:before="120" w:line="276" w:lineRule="auto"/>
        <w:ind w:firstLine="709"/>
        <w:jc w:val="both"/>
        <w:rPr>
          <w:rFonts w:ascii="Arial" w:hAnsi="Arial" w:cs="Arial"/>
          <w:sz w:val="22"/>
        </w:rPr>
      </w:pPr>
      <w:r>
        <w:rPr>
          <w:rFonts w:ascii="Arial" w:hAnsi="Arial" w:cs="Arial"/>
          <w:sz w:val="22"/>
        </w:rPr>
        <w:t>De acuerdo con lo anterior, e</w:t>
      </w:r>
      <w:r w:rsidR="009B1295" w:rsidRPr="00B41612">
        <w:rPr>
          <w:rFonts w:ascii="Arial" w:hAnsi="Arial" w:cs="Arial"/>
          <w:sz w:val="22"/>
        </w:rPr>
        <w:t>l carácter inalterable de los Documentos Tipo</w:t>
      </w:r>
      <w:r w:rsidR="004D1531" w:rsidRPr="00B41612">
        <w:rPr>
          <w:rFonts w:ascii="Arial" w:hAnsi="Arial" w:cs="Arial"/>
          <w:sz w:val="22"/>
        </w:rPr>
        <w:t xml:space="preserve"> </w:t>
      </w:r>
      <w:r w:rsidR="009B1295" w:rsidRPr="00B41612">
        <w:rPr>
          <w:rFonts w:ascii="Arial" w:hAnsi="Arial" w:cs="Arial"/>
          <w:sz w:val="22"/>
        </w:rPr>
        <w:t>no puede</w:t>
      </w:r>
      <w:r>
        <w:rPr>
          <w:rFonts w:ascii="Arial" w:hAnsi="Arial" w:cs="Arial"/>
          <w:sz w:val="22"/>
        </w:rPr>
        <w:t xml:space="preserve"> </w:t>
      </w:r>
      <w:r w:rsidR="009B1295" w:rsidRPr="00B41612">
        <w:rPr>
          <w:rFonts w:ascii="Arial" w:hAnsi="Arial" w:cs="Arial"/>
          <w:sz w:val="22"/>
        </w:rPr>
        <w:t xml:space="preserve">hacerse extensivo a los aspectos </w:t>
      </w:r>
      <w:r>
        <w:rPr>
          <w:rFonts w:ascii="Arial" w:hAnsi="Arial" w:cs="Arial"/>
          <w:sz w:val="22"/>
        </w:rPr>
        <w:t>simplemente formales</w:t>
      </w:r>
      <w:r w:rsidRPr="00B41612">
        <w:rPr>
          <w:rFonts w:ascii="Arial" w:hAnsi="Arial" w:cs="Arial"/>
          <w:sz w:val="22"/>
        </w:rPr>
        <w:t xml:space="preserve"> </w:t>
      </w:r>
      <w:r w:rsidR="009B1295" w:rsidRPr="00B41612">
        <w:rPr>
          <w:rFonts w:ascii="Arial" w:hAnsi="Arial" w:cs="Arial"/>
          <w:sz w:val="22"/>
        </w:rPr>
        <w:t>de</w:t>
      </w:r>
      <w:r w:rsidR="00477B62" w:rsidRPr="00B41612">
        <w:rPr>
          <w:rFonts w:ascii="Arial" w:hAnsi="Arial" w:cs="Arial"/>
          <w:sz w:val="22"/>
        </w:rPr>
        <w:t xml:space="preserve"> tales</w:t>
      </w:r>
      <w:r w:rsidR="009B1295" w:rsidRPr="00B41612">
        <w:rPr>
          <w:rFonts w:ascii="Arial" w:hAnsi="Arial" w:cs="Arial"/>
          <w:sz w:val="22"/>
        </w:rPr>
        <w:t xml:space="preserve"> documento</w:t>
      </w:r>
      <w:r w:rsidR="00477B62" w:rsidRPr="00B41612">
        <w:rPr>
          <w:rFonts w:ascii="Arial" w:hAnsi="Arial" w:cs="Arial"/>
          <w:sz w:val="22"/>
        </w:rPr>
        <w:t>s</w:t>
      </w:r>
      <w:r w:rsidR="009B1295" w:rsidRPr="00B41612">
        <w:rPr>
          <w:rFonts w:ascii="Arial" w:hAnsi="Arial" w:cs="Arial"/>
          <w:sz w:val="22"/>
        </w:rPr>
        <w:t xml:space="preserve">, esto es, el tamaño y tipo de letra, las márgenes o las expresiones que pretenden hacer </w:t>
      </w:r>
      <w:r w:rsidR="00FE598F" w:rsidRPr="00B41612">
        <w:rPr>
          <w:rFonts w:ascii="Arial" w:hAnsi="Arial" w:cs="Arial"/>
          <w:sz w:val="22"/>
        </w:rPr>
        <w:t>más</w:t>
      </w:r>
      <w:r w:rsidR="009B1295" w:rsidRPr="00B41612">
        <w:rPr>
          <w:rFonts w:ascii="Arial" w:hAnsi="Arial" w:cs="Arial"/>
          <w:sz w:val="22"/>
        </w:rPr>
        <w:t xml:space="preserve"> comprensible el documento, como es el caso de aquellas que informan que una expresión larga será </w:t>
      </w:r>
      <w:r w:rsidR="006B1E4B" w:rsidRPr="00B41612">
        <w:rPr>
          <w:rFonts w:ascii="Arial" w:hAnsi="Arial" w:cs="Arial"/>
          <w:sz w:val="22"/>
        </w:rPr>
        <w:t xml:space="preserve">referida con otra similar pero más corta. </w:t>
      </w:r>
      <w:r w:rsidR="00503D6C">
        <w:rPr>
          <w:rFonts w:ascii="Arial" w:hAnsi="Arial" w:cs="Arial"/>
          <w:sz w:val="22"/>
        </w:rPr>
        <w:t>Lo anterior teniendo en cuenta que</w:t>
      </w:r>
      <w:r w:rsidR="006B1E4B" w:rsidRPr="00B41612">
        <w:rPr>
          <w:rFonts w:ascii="Arial" w:hAnsi="Arial" w:cs="Arial"/>
          <w:sz w:val="22"/>
        </w:rPr>
        <w:t xml:space="preserve"> estos aspectos en nada afectan la aplicación y alcance de los Documentos Tipo</w:t>
      </w:r>
      <w:r w:rsidR="00D22B4D">
        <w:rPr>
          <w:rFonts w:ascii="Arial" w:hAnsi="Arial" w:cs="Arial"/>
          <w:sz w:val="22"/>
        </w:rPr>
        <w:t xml:space="preserve">, esto es, </w:t>
      </w:r>
      <w:r w:rsidR="006B1E4B" w:rsidRPr="00B41612">
        <w:rPr>
          <w:rFonts w:ascii="Arial" w:hAnsi="Arial" w:cs="Arial"/>
          <w:sz w:val="22"/>
        </w:rPr>
        <w:t xml:space="preserve">no afectan su </w:t>
      </w:r>
      <w:r w:rsidR="00477B62" w:rsidRPr="00B41612">
        <w:rPr>
          <w:rFonts w:ascii="Arial" w:hAnsi="Arial" w:cs="Arial"/>
          <w:sz w:val="22"/>
        </w:rPr>
        <w:t xml:space="preserve">contenido </w:t>
      </w:r>
      <w:r w:rsidR="006B1E4B" w:rsidRPr="00B41612">
        <w:rPr>
          <w:rFonts w:ascii="Arial" w:hAnsi="Arial" w:cs="Arial"/>
          <w:sz w:val="22"/>
        </w:rPr>
        <w:t>esencial y, mucho menos, las obligaciones</w:t>
      </w:r>
      <w:r w:rsidR="00477B62" w:rsidRPr="00B41612">
        <w:rPr>
          <w:rFonts w:ascii="Arial" w:hAnsi="Arial" w:cs="Arial"/>
          <w:sz w:val="22"/>
        </w:rPr>
        <w:t xml:space="preserve">, deberes y derechos </w:t>
      </w:r>
      <w:r w:rsidR="006B1E4B" w:rsidRPr="00B41612">
        <w:rPr>
          <w:rFonts w:ascii="Arial" w:hAnsi="Arial" w:cs="Arial"/>
          <w:sz w:val="22"/>
        </w:rPr>
        <w:t>que se derivan para las partes contratantes.</w:t>
      </w:r>
    </w:p>
    <w:p w14:paraId="40F99A8B" w14:textId="77777777" w:rsidR="006B59A2" w:rsidRPr="00B41612" w:rsidRDefault="006B59A2" w:rsidP="000B59AD">
      <w:pPr>
        <w:spacing w:line="276" w:lineRule="auto"/>
        <w:jc w:val="both"/>
        <w:rPr>
          <w:rFonts w:ascii="Arial" w:hAnsi="Arial" w:cs="Arial"/>
          <w:sz w:val="22"/>
        </w:rPr>
      </w:pPr>
    </w:p>
    <w:p w14:paraId="687CB649" w14:textId="77777777" w:rsidR="00A37FB6" w:rsidRPr="00B41612"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B41612">
        <w:rPr>
          <w:rFonts w:ascii="Arial" w:eastAsia="Calibri" w:hAnsi="Arial" w:cs="Arial"/>
          <w:b/>
          <w:sz w:val="22"/>
        </w:rPr>
        <w:t>Respuestas</w:t>
      </w:r>
    </w:p>
    <w:p w14:paraId="1369FD7E" w14:textId="77777777" w:rsidR="00A37FB6" w:rsidRPr="00B41612" w:rsidRDefault="00A37FB6" w:rsidP="00D01760">
      <w:pPr>
        <w:spacing w:line="276" w:lineRule="auto"/>
        <w:ind w:left="709" w:right="709"/>
        <w:jc w:val="both"/>
        <w:rPr>
          <w:rFonts w:ascii="Arial" w:eastAsia="Calibri" w:hAnsi="Arial" w:cs="Arial"/>
          <w:i/>
          <w:sz w:val="22"/>
        </w:rPr>
      </w:pPr>
    </w:p>
    <w:p w14:paraId="34788C99" w14:textId="3B5AF807" w:rsidR="00C6222F" w:rsidRPr="00B41612" w:rsidRDefault="000B59AD" w:rsidP="000B59AD">
      <w:pPr>
        <w:ind w:left="709" w:right="709"/>
        <w:jc w:val="both"/>
        <w:rPr>
          <w:rFonts w:ascii="Arial" w:eastAsia="Calibri" w:hAnsi="Arial" w:cs="Arial"/>
          <w:sz w:val="21"/>
          <w:szCs w:val="21"/>
        </w:rPr>
      </w:pPr>
      <w:r w:rsidRPr="00B41612">
        <w:rPr>
          <w:rFonts w:ascii="Arial" w:eastAsia="Calibri" w:hAnsi="Arial" w:cs="Arial"/>
          <w:sz w:val="21"/>
          <w:szCs w:val="21"/>
        </w:rPr>
        <w:t>«[…]</w:t>
      </w:r>
      <w:r w:rsidRPr="00B41612">
        <w:rPr>
          <w:rFonts w:ascii="Arial" w:hAnsi="Arial" w:cs="Arial"/>
          <w:sz w:val="21"/>
          <w:szCs w:val="21"/>
          <w:lang w:val="es-CO"/>
        </w:rPr>
        <w:t xml:space="preserve"> ¿las Entidades Estatales en los Procesos de Contratación pueden limitar la acreditación de la experiencia a la presentación de 1 solo documento </w:t>
      </w:r>
      <w:proofErr w:type="spellStart"/>
      <w:r w:rsidRPr="00B41612">
        <w:rPr>
          <w:rFonts w:ascii="Arial" w:hAnsi="Arial" w:cs="Arial"/>
          <w:sz w:val="21"/>
          <w:szCs w:val="21"/>
          <w:lang w:val="es-CO"/>
        </w:rPr>
        <w:t>valido</w:t>
      </w:r>
      <w:proofErr w:type="spellEnd"/>
      <w:r w:rsidRPr="00B41612">
        <w:rPr>
          <w:rFonts w:ascii="Arial" w:hAnsi="Arial" w:cs="Arial"/>
          <w:sz w:val="21"/>
          <w:szCs w:val="21"/>
          <w:lang w:val="es-CO"/>
        </w:rPr>
        <w:t xml:space="preserve"> para la acreditación mencionado en el numeral 4.5.4 del anterior documento citado, es decir que la entidad limite a que solo pueda acreditarse la experiencia con certificaciones o acta de liquidación, sin tener en cuenta el acta de Acta de entrega, terminación, final o de recibo definitivo? […]</w:t>
      </w:r>
      <w:r w:rsidRPr="00B41612">
        <w:rPr>
          <w:rFonts w:ascii="Arial" w:eastAsia="Calibri" w:hAnsi="Arial" w:cs="Arial"/>
          <w:sz w:val="21"/>
          <w:szCs w:val="21"/>
        </w:rPr>
        <w:t>».</w:t>
      </w:r>
    </w:p>
    <w:p w14:paraId="2BE9F65E" w14:textId="77777777" w:rsidR="000B59AD" w:rsidRPr="00B41612" w:rsidRDefault="000B59AD" w:rsidP="00FE598F">
      <w:pPr>
        <w:spacing w:line="276" w:lineRule="auto"/>
        <w:jc w:val="both"/>
        <w:rPr>
          <w:rFonts w:ascii="Arial" w:hAnsi="Arial" w:cs="Arial"/>
          <w:sz w:val="22"/>
        </w:rPr>
      </w:pPr>
    </w:p>
    <w:p w14:paraId="7F8DB37D" w14:textId="128A379B" w:rsidR="00C6222F" w:rsidRPr="00B41612" w:rsidRDefault="00C6222F" w:rsidP="00234551">
      <w:pPr>
        <w:spacing w:after="120" w:line="276" w:lineRule="auto"/>
        <w:jc w:val="both"/>
        <w:rPr>
          <w:rFonts w:ascii="Arial" w:hAnsi="Arial" w:cs="Arial"/>
          <w:sz w:val="22"/>
        </w:rPr>
      </w:pPr>
      <w:r w:rsidRPr="00B41612">
        <w:rPr>
          <w:rFonts w:ascii="Arial" w:hAnsi="Arial" w:cs="Arial"/>
          <w:sz w:val="22"/>
        </w:rPr>
        <w:t>L</w:t>
      </w:r>
      <w:r w:rsidR="004313B7" w:rsidRPr="00B41612">
        <w:rPr>
          <w:rFonts w:ascii="Arial" w:hAnsi="Arial" w:cs="Arial"/>
          <w:sz w:val="22"/>
        </w:rPr>
        <w:t xml:space="preserve">os Documentos Tipo, dentro de los que se encuentran </w:t>
      </w:r>
      <w:r w:rsidRPr="00B41612">
        <w:rPr>
          <w:rFonts w:ascii="Arial" w:hAnsi="Arial" w:cs="Arial"/>
          <w:sz w:val="22"/>
        </w:rPr>
        <w:t>los formatos,</w:t>
      </w:r>
      <w:r w:rsidR="004313B7" w:rsidRPr="00B41612">
        <w:rPr>
          <w:rFonts w:ascii="Arial" w:hAnsi="Arial" w:cs="Arial"/>
          <w:sz w:val="22"/>
        </w:rPr>
        <w:t xml:space="preserve"> formularios,</w:t>
      </w:r>
      <w:r w:rsidRPr="00B41612">
        <w:rPr>
          <w:rFonts w:ascii="Arial" w:hAnsi="Arial" w:cs="Arial"/>
          <w:sz w:val="22"/>
        </w:rPr>
        <w:t xml:space="preserve"> matrices y anexos</w:t>
      </w:r>
      <w:r w:rsidR="00D158FC" w:rsidRPr="00B41612">
        <w:rPr>
          <w:rFonts w:ascii="Arial" w:hAnsi="Arial" w:cs="Arial"/>
          <w:sz w:val="22"/>
        </w:rPr>
        <w:t>,</w:t>
      </w:r>
      <w:r w:rsidR="004313B7" w:rsidRPr="00B41612">
        <w:rPr>
          <w:rFonts w:ascii="Arial" w:hAnsi="Arial" w:cs="Arial"/>
          <w:sz w:val="22"/>
        </w:rPr>
        <w:t xml:space="preserve"> no pueden ser alterados por la</w:t>
      </w:r>
      <w:r w:rsidR="00956B72">
        <w:rPr>
          <w:rFonts w:ascii="Arial" w:hAnsi="Arial" w:cs="Arial"/>
          <w:sz w:val="22"/>
        </w:rPr>
        <w:t>s</w:t>
      </w:r>
      <w:r w:rsidR="008A1310" w:rsidRPr="00B41612">
        <w:rPr>
          <w:rFonts w:ascii="Arial" w:hAnsi="Arial" w:cs="Arial"/>
          <w:sz w:val="22"/>
        </w:rPr>
        <w:t xml:space="preserve"> entidad</w:t>
      </w:r>
      <w:r w:rsidR="00956B72">
        <w:rPr>
          <w:rFonts w:ascii="Arial" w:hAnsi="Arial" w:cs="Arial"/>
          <w:sz w:val="22"/>
        </w:rPr>
        <w:t xml:space="preserve">es estatales ni los </w:t>
      </w:r>
      <w:r w:rsidR="008A1310" w:rsidRPr="00B41612">
        <w:rPr>
          <w:rFonts w:ascii="Arial" w:hAnsi="Arial" w:cs="Arial"/>
          <w:sz w:val="22"/>
        </w:rPr>
        <w:t>oferentes</w:t>
      </w:r>
      <w:r w:rsidRPr="00B41612">
        <w:rPr>
          <w:rFonts w:ascii="Arial" w:hAnsi="Arial" w:cs="Arial"/>
          <w:sz w:val="22"/>
        </w:rPr>
        <w:t xml:space="preserve">, salvo en los apartados incluidos entre corchetes y resaltados en gris, y los destinados al uso por parte de los proponentes. </w:t>
      </w:r>
      <w:r w:rsidR="00CF30DF">
        <w:rPr>
          <w:rFonts w:ascii="Arial" w:hAnsi="Arial" w:cs="Arial"/>
          <w:sz w:val="22"/>
        </w:rPr>
        <w:t>D</w:t>
      </w:r>
      <w:r w:rsidR="00234551" w:rsidRPr="00B41612">
        <w:rPr>
          <w:rFonts w:ascii="Arial" w:hAnsi="Arial" w:cs="Arial"/>
          <w:sz w:val="22"/>
        </w:rPr>
        <w:t>e conformidad con el parágrafo 7° del artículo 2 de la Ley 1150 de 2007,</w:t>
      </w:r>
      <w:r w:rsidRPr="00B41612">
        <w:rPr>
          <w:rFonts w:ascii="Arial" w:hAnsi="Arial" w:cs="Arial"/>
          <w:sz w:val="22"/>
        </w:rPr>
        <w:t xml:space="preserve"> </w:t>
      </w:r>
      <w:r w:rsidR="00CF30DF">
        <w:rPr>
          <w:rFonts w:ascii="Arial" w:hAnsi="Arial" w:cs="Arial"/>
          <w:sz w:val="22"/>
        </w:rPr>
        <w:t xml:space="preserve">estos documentos </w:t>
      </w:r>
      <w:r w:rsidRPr="00B41612">
        <w:rPr>
          <w:rFonts w:ascii="Arial" w:hAnsi="Arial" w:cs="Arial"/>
          <w:sz w:val="22"/>
        </w:rPr>
        <w:t>son de obligatoria aplicación para</w:t>
      </w:r>
      <w:r w:rsidR="00956B72">
        <w:rPr>
          <w:rFonts w:ascii="Arial" w:hAnsi="Arial" w:cs="Arial"/>
          <w:sz w:val="22"/>
        </w:rPr>
        <w:t xml:space="preserve"> las</w:t>
      </w:r>
      <w:r w:rsidRPr="00B41612">
        <w:rPr>
          <w:rFonts w:ascii="Arial" w:hAnsi="Arial" w:cs="Arial"/>
          <w:sz w:val="22"/>
        </w:rPr>
        <w:t xml:space="preserve"> entidades estatales sometidas al Estatuto General de Contratación de la Administración Pública</w:t>
      </w:r>
      <w:r w:rsidR="00956B72">
        <w:rPr>
          <w:rFonts w:ascii="Arial" w:hAnsi="Arial" w:cs="Arial"/>
          <w:sz w:val="22"/>
        </w:rPr>
        <w:t>.</w:t>
      </w:r>
    </w:p>
    <w:p w14:paraId="37A9186F" w14:textId="1FE979FB" w:rsidR="00122A22" w:rsidRPr="00B41612" w:rsidRDefault="00122A22" w:rsidP="00122A22">
      <w:pPr>
        <w:spacing w:line="276" w:lineRule="auto"/>
        <w:jc w:val="both"/>
        <w:rPr>
          <w:rFonts w:ascii="Arial" w:hAnsi="Arial" w:cs="Arial"/>
          <w:sz w:val="22"/>
        </w:rPr>
      </w:pPr>
      <w:r w:rsidRPr="00B41612">
        <w:rPr>
          <w:rFonts w:ascii="Arial" w:hAnsi="Arial" w:cs="Arial"/>
          <w:sz w:val="22"/>
        </w:rPr>
        <w:tab/>
        <w:t xml:space="preserve">Comoquiera que dentro del numeral 4.5.4 del documento de «Invitación Pública», adoptado </w:t>
      </w:r>
      <w:r w:rsidR="00956B72">
        <w:rPr>
          <w:rFonts w:ascii="Arial" w:hAnsi="Arial" w:cs="Arial"/>
          <w:sz w:val="22"/>
        </w:rPr>
        <w:t xml:space="preserve">por esta Agencia </w:t>
      </w:r>
      <w:r w:rsidRPr="00B41612">
        <w:rPr>
          <w:rFonts w:ascii="Arial" w:hAnsi="Arial" w:cs="Arial"/>
          <w:sz w:val="22"/>
        </w:rPr>
        <w:t xml:space="preserve">mediante la Resolución No. 0094 de 2020, no se incluyeron apartados </w:t>
      </w:r>
      <w:r w:rsidR="00956B72">
        <w:rPr>
          <w:rFonts w:ascii="Arial" w:hAnsi="Arial" w:cs="Arial"/>
          <w:sz w:val="22"/>
        </w:rPr>
        <w:t>entre corchetes y resaltado en gris que habiliten a las entidades estatales para modificar su contenido</w:t>
      </w:r>
      <w:r w:rsidRPr="00B41612">
        <w:rPr>
          <w:rFonts w:ascii="Arial" w:hAnsi="Arial" w:cs="Arial"/>
          <w:sz w:val="22"/>
        </w:rPr>
        <w:t xml:space="preserve">, deberá entenderse que este se encuentra afectado por el principio </w:t>
      </w:r>
      <w:r w:rsidRPr="00B41612">
        <w:rPr>
          <w:rFonts w:ascii="Arial" w:hAnsi="Arial" w:cs="Arial"/>
          <w:sz w:val="22"/>
        </w:rPr>
        <w:lastRenderedPageBreak/>
        <w:t>de inalterabilidad. Conforme</w:t>
      </w:r>
      <w:r w:rsidR="00964A36">
        <w:rPr>
          <w:rFonts w:ascii="Arial" w:hAnsi="Arial" w:cs="Arial"/>
          <w:sz w:val="22"/>
        </w:rPr>
        <w:t xml:space="preserve"> </w:t>
      </w:r>
      <w:r w:rsidRPr="00B41612">
        <w:rPr>
          <w:rFonts w:ascii="Arial" w:hAnsi="Arial" w:cs="Arial"/>
          <w:sz w:val="22"/>
        </w:rPr>
        <w:t xml:space="preserve"> a esto, las entidades estatales al aplicar los documentos tipo de obra pública de infraestructura de transporte en la modalidad de mínima cuantía, deberán permitir </w:t>
      </w:r>
      <w:r w:rsidR="00956B72">
        <w:rPr>
          <w:rFonts w:ascii="Arial" w:hAnsi="Arial" w:cs="Arial"/>
          <w:sz w:val="22"/>
        </w:rPr>
        <w:t>acreditar la</w:t>
      </w:r>
      <w:r w:rsidRPr="00B41612">
        <w:rPr>
          <w:rFonts w:ascii="Arial" w:hAnsi="Arial" w:cs="Arial"/>
          <w:sz w:val="22"/>
        </w:rPr>
        <w:t xml:space="preserve"> experiencia mediante los documentos enlistados en dicho numeral, los cuales</w:t>
      </w:r>
      <w:r w:rsidR="005F7818">
        <w:rPr>
          <w:rFonts w:ascii="Arial" w:hAnsi="Arial" w:cs="Arial"/>
          <w:sz w:val="22"/>
        </w:rPr>
        <w:t xml:space="preserve">, en todo caso, </w:t>
      </w:r>
      <w:r w:rsidRPr="00B41612">
        <w:rPr>
          <w:rFonts w:ascii="Arial" w:hAnsi="Arial" w:cs="Arial"/>
          <w:sz w:val="22"/>
        </w:rPr>
        <w:t xml:space="preserve">deben </w:t>
      </w:r>
      <w:r w:rsidRPr="00B41612">
        <w:rPr>
          <w:rFonts w:ascii="Arial" w:eastAsia="Calibri" w:hAnsi="Arial" w:cs="Arial"/>
          <w:bCs/>
          <w:sz w:val="22"/>
        </w:rPr>
        <w:t>dar cuenta de contratos que cumplan con las características establecidas en el numeral 4.5.1, ajustarse a las consideraciones para la validez de la experiencia reguladas en el numeral 4.5.2 e incluir la información exigida en el numeral 4.5.3.</w:t>
      </w:r>
    </w:p>
    <w:p w14:paraId="5B352915" w14:textId="77777777" w:rsidR="00C42B9D" w:rsidRPr="00B41612" w:rsidRDefault="00C42B9D" w:rsidP="00D5519F">
      <w:pPr>
        <w:spacing w:line="276" w:lineRule="auto"/>
        <w:ind w:firstLine="708"/>
        <w:jc w:val="both"/>
        <w:rPr>
          <w:rFonts w:ascii="Arial" w:hAnsi="Arial" w:cs="Arial"/>
          <w:sz w:val="22"/>
        </w:rPr>
      </w:pPr>
    </w:p>
    <w:p w14:paraId="5F42B85F" w14:textId="77777777" w:rsidR="00122A22" w:rsidRPr="00B41612" w:rsidRDefault="00A37FB6" w:rsidP="00122A22">
      <w:pPr>
        <w:spacing w:line="276" w:lineRule="auto"/>
        <w:jc w:val="both"/>
        <w:rPr>
          <w:rFonts w:ascii="Arial" w:eastAsia="Calibri" w:hAnsi="Arial" w:cs="Arial"/>
          <w:sz w:val="22"/>
        </w:rPr>
      </w:pPr>
      <w:r w:rsidRPr="00B41612">
        <w:rPr>
          <w:rFonts w:ascii="Arial" w:eastAsia="Calibri" w:hAnsi="Arial" w:cs="Arial"/>
          <w:sz w:val="22"/>
        </w:rPr>
        <w:t>Este concepto tiene el alcance previsto en el artículo 28 del Código de Procedimiento Administrativo y de lo Contencioso Administrativo.</w:t>
      </w:r>
    </w:p>
    <w:p w14:paraId="1DA7ED61" w14:textId="77777777" w:rsidR="00122A22" w:rsidRPr="00B41612" w:rsidRDefault="00122A22" w:rsidP="00122A22">
      <w:pPr>
        <w:spacing w:line="276" w:lineRule="auto"/>
        <w:jc w:val="both"/>
        <w:rPr>
          <w:rFonts w:ascii="Arial" w:hAnsi="Arial" w:cs="Arial"/>
          <w:sz w:val="22"/>
        </w:rPr>
      </w:pPr>
    </w:p>
    <w:p w14:paraId="4E4A660C" w14:textId="48F3BEF2" w:rsidR="00122A22" w:rsidRPr="00B41612" w:rsidRDefault="00122A22" w:rsidP="00122A22">
      <w:pPr>
        <w:spacing w:line="276" w:lineRule="auto"/>
        <w:rPr>
          <w:rFonts w:ascii="Arial" w:hAnsi="Arial" w:cs="Arial"/>
          <w:lang w:eastAsia="es-CO"/>
        </w:rPr>
      </w:pPr>
      <w:bookmarkStart w:id="7" w:name="_Hlk50370367"/>
    </w:p>
    <w:bookmarkEnd w:id="7"/>
    <w:p w14:paraId="1739C2F6" w14:textId="77777777" w:rsidR="00122A22" w:rsidRPr="00B41612" w:rsidRDefault="00122A22" w:rsidP="00122A22">
      <w:pPr>
        <w:spacing w:line="276" w:lineRule="auto"/>
        <w:rPr>
          <w:rFonts w:ascii="Arial" w:hAnsi="Arial" w:cs="Arial"/>
          <w:sz w:val="22"/>
          <w:szCs w:val="20"/>
        </w:rPr>
      </w:pPr>
      <w:r w:rsidRPr="00B41612">
        <w:rPr>
          <w:rFonts w:ascii="Arial" w:hAnsi="Arial" w:cs="Arial"/>
          <w:sz w:val="22"/>
          <w:szCs w:val="20"/>
          <w:lang w:eastAsia="es-CO"/>
        </w:rPr>
        <w:t>Atentamente,</w:t>
      </w:r>
    </w:p>
    <w:p w14:paraId="1DF920B9" w14:textId="77777777" w:rsidR="00122A22" w:rsidRPr="00B41612" w:rsidRDefault="00122A22" w:rsidP="00122A22">
      <w:pPr>
        <w:jc w:val="both"/>
        <w:rPr>
          <w:rFonts w:ascii="Arial" w:hAnsi="Arial" w:cs="Arial"/>
          <w:lang w:eastAsia="es-CO"/>
        </w:rPr>
      </w:pPr>
    </w:p>
    <w:p w14:paraId="79692C60" w14:textId="49F114EB" w:rsidR="00122A22" w:rsidRPr="00B41612" w:rsidRDefault="0012436D" w:rsidP="00122A22">
      <w:pPr>
        <w:spacing w:after="18"/>
        <w:jc w:val="center"/>
        <w:rPr>
          <w:rFonts w:ascii="Arial" w:hAnsi="Arial" w:cs="Arial"/>
          <w:lang w:eastAsia="es-CO"/>
        </w:rPr>
      </w:pPr>
      <w:r w:rsidRPr="0007099C">
        <w:rPr>
          <w:rFonts w:ascii="Arial" w:hAnsi="Arial" w:cs="Arial"/>
          <w:noProof/>
          <w:color w:val="000000" w:themeColor="text1"/>
          <w:sz w:val="22"/>
          <w:lang w:val="es-ES_tradnl"/>
        </w:rPr>
        <w:drawing>
          <wp:inline distT="0" distB="0" distL="0" distR="0" wp14:anchorId="40BC4E64" wp14:editId="13183610">
            <wp:extent cx="2342661" cy="10382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352265" cy="1042481"/>
                    </a:xfrm>
                    <a:prstGeom prst="rect">
                      <a:avLst/>
                    </a:prstGeom>
                  </pic:spPr>
                </pic:pic>
              </a:graphicData>
            </a:graphic>
          </wp:inline>
        </w:drawing>
      </w:r>
    </w:p>
    <w:p w14:paraId="1B2414A5" w14:textId="77777777" w:rsidR="00122A22" w:rsidRPr="00B41612" w:rsidRDefault="00122A22" w:rsidP="00122A22">
      <w:pPr>
        <w:spacing w:after="18"/>
        <w:jc w:val="center"/>
        <w:rPr>
          <w:rFonts w:ascii="Arial" w:hAnsi="Arial" w:cs="Arial"/>
          <w:lang w:eastAsia="es-CO"/>
        </w:rPr>
      </w:pPr>
    </w:p>
    <w:p w14:paraId="5238CE0A" w14:textId="77777777" w:rsidR="00122A22" w:rsidRPr="00B41612" w:rsidRDefault="00122A22" w:rsidP="00122A2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B41612" w:rsidRPr="00B41612" w14:paraId="5EE09302" w14:textId="77777777" w:rsidTr="001D5231">
        <w:trPr>
          <w:trHeight w:val="286"/>
        </w:trPr>
        <w:tc>
          <w:tcPr>
            <w:tcW w:w="886" w:type="dxa"/>
            <w:vAlign w:val="center"/>
            <w:hideMark/>
          </w:tcPr>
          <w:p w14:paraId="68453623"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23ADB1E"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Alejandro Sarmiento Cantillo</w:t>
            </w:r>
          </w:p>
          <w:p w14:paraId="66F4F825"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Gestor T1-11 de la Subdirección de Gestión Contractual</w:t>
            </w:r>
          </w:p>
        </w:tc>
      </w:tr>
      <w:tr w:rsidR="00B41612" w:rsidRPr="00B41612" w14:paraId="7736877C" w14:textId="77777777" w:rsidTr="001D5231">
        <w:trPr>
          <w:trHeight w:val="299"/>
        </w:trPr>
        <w:tc>
          <w:tcPr>
            <w:tcW w:w="886" w:type="dxa"/>
            <w:vAlign w:val="center"/>
          </w:tcPr>
          <w:p w14:paraId="68749F52"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5D1106B2"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Sebastián Ramírez Grisales</w:t>
            </w:r>
          </w:p>
          <w:p w14:paraId="713AC8CE"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 xml:space="preserve">Gestor T1-15 de la Subdirección de Gestión Contractual  </w:t>
            </w:r>
          </w:p>
        </w:tc>
      </w:tr>
      <w:tr w:rsidR="00B41612" w:rsidRPr="00B41612" w14:paraId="53C5712C" w14:textId="77777777" w:rsidTr="001D5231">
        <w:trPr>
          <w:trHeight w:val="272"/>
        </w:trPr>
        <w:tc>
          <w:tcPr>
            <w:tcW w:w="886" w:type="dxa"/>
            <w:vAlign w:val="center"/>
            <w:hideMark/>
          </w:tcPr>
          <w:p w14:paraId="01F89B9C"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39765104"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Jorge Augusto Tirado Navarro</w:t>
            </w:r>
          </w:p>
          <w:p w14:paraId="0B0ED9C7" w14:textId="77777777" w:rsidR="00122A22" w:rsidRPr="00B41612" w:rsidRDefault="00122A22" w:rsidP="001D5231">
            <w:pPr>
              <w:rPr>
                <w:rFonts w:ascii="Arial" w:hAnsi="Arial" w:cs="Arial"/>
                <w:sz w:val="14"/>
                <w:szCs w:val="14"/>
                <w:lang w:eastAsia="es-ES"/>
              </w:rPr>
            </w:pPr>
            <w:r w:rsidRPr="00B41612">
              <w:rPr>
                <w:rFonts w:ascii="Arial" w:hAnsi="Arial" w:cs="Arial"/>
                <w:sz w:val="14"/>
                <w:szCs w:val="14"/>
                <w:lang w:eastAsia="es-ES"/>
              </w:rPr>
              <w:t>Subdirector de Gestión Contractual</w:t>
            </w:r>
          </w:p>
        </w:tc>
      </w:tr>
    </w:tbl>
    <w:p w14:paraId="58938292" w14:textId="77777777" w:rsidR="00122A22" w:rsidRPr="00B41612" w:rsidRDefault="00122A22" w:rsidP="00122A22">
      <w:pPr>
        <w:rPr>
          <w:rFonts w:ascii="Arial" w:hAnsi="Arial" w:cs="Arial"/>
          <w:lang w:eastAsia="es-ES"/>
        </w:rPr>
      </w:pPr>
    </w:p>
    <w:p w14:paraId="2E04EFDC" w14:textId="77777777" w:rsidR="00122A22" w:rsidRPr="00B41612" w:rsidRDefault="00122A22" w:rsidP="00122A22">
      <w:pPr>
        <w:rPr>
          <w:rFonts w:ascii="Arial" w:hAnsi="Arial" w:cs="Arial"/>
          <w:lang w:eastAsia="es-ES"/>
        </w:rPr>
      </w:pPr>
    </w:p>
    <w:p w14:paraId="0E729614" w14:textId="77777777" w:rsidR="00122A22" w:rsidRPr="00B41612" w:rsidRDefault="00122A22" w:rsidP="00122A22">
      <w:pPr>
        <w:rPr>
          <w:rFonts w:ascii="Arial" w:hAnsi="Arial" w:cs="Arial"/>
          <w:lang w:eastAsia="es-ES"/>
        </w:rPr>
      </w:pPr>
    </w:p>
    <w:p w14:paraId="5CF437DC" w14:textId="77777777" w:rsidR="00122A22" w:rsidRPr="00B41612" w:rsidRDefault="00122A22" w:rsidP="00122A22">
      <w:pPr>
        <w:jc w:val="center"/>
        <w:rPr>
          <w:rFonts w:ascii="Arial" w:eastAsia="Times New Roman" w:hAnsi="Arial" w:cs="Arial"/>
          <w:lang w:eastAsia="es-ES"/>
        </w:rPr>
      </w:pPr>
    </w:p>
    <w:p w14:paraId="35B56F46" w14:textId="200FCE69" w:rsidR="00746E08" w:rsidRPr="002C369B" w:rsidRDefault="00746E08" w:rsidP="00122A22">
      <w:pPr>
        <w:spacing w:line="276" w:lineRule="auto"/>
        <w:jc w:val="both"/>
        <w:rPr>
          <w:rFonts w:ascii="Arial" w:eastAsia="Times New Roman" w:hAnsi="Arial" w:cs="Arial"/>
          <w:color w:val="FF0000"/>
          <w:sz w:val="16"/>
          <w:szCs w:val="16"/>
          <w:lang w:eastAsia="es-ES"/>
        </w:rPr>
      </w:pPr>
    </w:p>
    <w:sectPr w:rsidR="00746E08" w:rsidRPr="002C369B"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4D680" w14:textId="77777777" w:rsidR="001A6703" w:rsidRDefault="001A6703">
      <w:r>
        <w:separator/>
      </w:r>
    </w:p>
  </w:endnote>
  <w:endnote w:type="continuationSeparator" w:id="0">
    <w:p w14:paraId="510DA122" w14:textId="77777777" w:rsidR="001A6703" w:rsidRDefault="001A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7C137D0D"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B0A7D">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B0A7D">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p>
  <w:p w14:paraId="48FC6A04" w14:textId="5FD1A7C9" w:rsidR="009047C5" w:rsidRDefault="3F646CE2" w:rsidP="00322937">
    <w:pPr>
      <w:pStyle w:val="Piedepgina"/>
      <w:jc w:val="center"/>
      <w:rPr>
        <w:lang w:val="es-ES"/>
      </w:rPr>
    </w:pPr>
    <w:r>
      <w:rPr>
        <w:noProof/>
      </w:rPr>
      <w:drawing>
        <wp:inline distT="0" distB="0" distL="0" distR="0" wp14:anchorId="608B196D" wp14:editId="68432FD9">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1AD39" w14:textId="77777777" w:rsidR="001A6703" w:rsidRDefault="001A6703">
      <w:r>
        <w:separator/>
      </w:r>
    </w:p>
  </w:footnote>
  <w:footnote w:type="continuationSeparator" w:id="0">
    <w:p w14:paraId="7BAAD864" w14:textId="77777777" w:rsidR="001A6703" w:rsidRDefault="001A6703">
      <w:r>
        <w:continuationSeparator/>
      </w:r>
    </w:p>
  </w:footnote>
  <w:footnote w:id="1">
    <w:p w14:paraId="6C478D98" w14:textId="77777777" w:rsidR="00BF5A58" w:rsidRPr="006D389D" w:rsidRDefault="00BF5A58" w:rsidP="00BF5A58">
      <w:pPr>
        <w:pStyle w:val="Textonotapie"/>
        <w:ind w:firstLine="708"/>
        <w:jc w:val="both"/>
        <w:rPr>
          <w:rFonts w:ascii="Arial" w:hAnsi="Arial" w:cs="Arial"/>
          <w:sz w:val="19"/>
          <w:szCs w:val="19"/>
        </w:rPr>
      </w:pPr>
      <w:r w:rsidRPr="00765093">
        <w:rPr>
          <w:rStyle w:val="Refdenotaalpie"/>
          <w:rFonts w:ascii="Arial" w:hAnsi="Arial" w:cs="Arial"/>
          <w:sz w:val="19"/>
          <w:szCs w:val="19"/>
        </w:rPr>
        <w:footnoteRef/>
      </w:r>
      <w:r w:rsidRPr="00765093">
        <w:rPr>
          <w:rFonts w:ascii="Arial" w:hAnsi="Arial" w:cs="Arial"/>
          <w:sz w:val="19"/>
          <w:szCs w:val="19"/>
        </w:rPr>
        <w:t xml:space="preserve"> </w:t>
      </w:r>
      <w:r>
        <w:rPr>
          <w:rFonts w:ascii="Arial" w:hAnsi="Arial" w:cs="Arial"/>
          <w:sz w:val="19"/>
          <w:szCs w:val="19"/>
        </w:rPr>
        <w:t>En su redacción inicial, antes de la modificación de la 2022 de 2020, el artículo 4 de la Ley 1882 de 2018 disponía que «</w:t>
      </w:r>
      <w:r w:rsidRPr="006D389D">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00FFAE1" w14:textId="77777777" w:rsidR="00BF5A58" w:rsidRPr="006D389D" w:rsidRDefault="00BF5A58" w:rsidP="00BF5A58">
      <w:pPr>
        <w:pStyle w:val="Textonotapie"/>
        <w:ind w:firstLine="708"/>
        <w:jc w:val="both"/>
        <w:rPr>
          <w:rFonts w:ascii="Arial" w:hAnsi="Arial" w:cs="Arial"/>
          <w:sz w:val="19"/>
          <w:szCs w:val="19"/>
        </w:rPr>
      </w:pPr>
      <w:r>
        <w:rPr>
          <w:rFonts w:ascii="Arial" w:hAnsi="Arial" w:cs="Arial"/>
          <w:sz w:val="19"/>
          <w:szCs w:val="19"/>
        </w:rPr>
        <w:t>»</w:t>
      </w:r>
      <w:r w:rsidRPr="006D389D">
        <w:rPr>
          <w:rFonts w:ascii="Arial" w:hAnsi="Arial" w:cs="Arial"/>
          <w:sz w:val="19"/>
          <w:szCs w:val="19"/>
        </w:rPr>
        <w:t>La facultad de adoptar documentos tipo la tendrá el Gobierno nacional, cuando lo considere necesario, en relación con otros contratos o procesos de selección.</w:t>
      </w:r>
    </w:p>
    <w:p w14:paraId="50184A8D" w14:textId="77777777" w:rsidR="00BF5A58" w:rsidRPr="00765093" w:rsidRDefault="00BF5A58" w:rsidP="00BF5A58">
      <w:pPr>
        <w:pStyle w:val="Textonotapie"/>
        <w:ind w:firstLine="708"/>
        <w:jc w:val="both"/>
        <w:rPr>
          <w:rFonts w:ascii="Arial" w:hAnsi="Arial" w:cs="Arial"/>
          <w:sz w:val="19"/>
          <w:szCs w:val="19"/>
          <w:lang w:val="es-ES"/>
        </w:rPr>
      </w:pPr>
      <w:r>
        <w:rPr>
          <w:rFonts w:ascii="Arial" w:hAnsi="Arial" w:cs="Arial"/>
          <w:sz w:val="19"/>
          <w:szCs w:val="19"/>
        </w:rPr>
        <w:t>»</w:t>
      </w:r>
      <w:r w:rsidRPr="006D389D">
        <w:rPr>
          <w:rFonts w:ascii="Arial" w:hAnsi="Arial" w:cs="Arial"/>
          <w:sz w:val="19"/>
          <w:szCs w:val="19"/>
        </w:rPr>
        <w:t>Los pliegos tipo se adoptarán por categorías de acuerdo con la cuantía de la contratación, según la reglamentación que expida el Gobierno nacional</w:t>
      </w:r>
      <w:r>
        <w:rPr>
          <w:rFonts w:ascii="Arial" w:hAnsi="Arial" w:cs="Arial"/>
          <w:sz w:val="19"/>
          <w:szCs w:val="19"/>
        </w:rPr>
        <w:t>»</w:t>
      </w:r>
      <w:r w:rsidRPr="006D389D">
        <w:rPr>
          <w:rFonts w:ascii="Arial" w:hAnsi="Arial" w:cs="Arial"/>
          <w:sz w:val="19"/>
          <w:szCs w:val="19"/>
        </w:rPr>
        <w:t>.</w:t>
      </w:r>
    </w:p>
  </w:footnote>
  <w:footnote w:id="2">
    <w:p w14:paraId="546DDB2B" w14:textId="3B511F2F" w:rsidR="00520920" w:rsidRPr="00133C4A" w:rsidRDefault="00520920" w:rsidP="00520920">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w:t>
      </w:r>
      <w:r w:rsidR="00185557">
        <w:rPr>
          <w:rFonts w:ascii="Arial" w:hAnsi="Arial" w:cs="Arial"/>
          <w:color w:val="000000" w:themeColor="text1"/>
          <w:sz w:val="19"/>
          <w:szCs w:val="19"/>
        </w:rPr>
        <w:t>.</w:t>
      </w:r>
      <w:r w:rsidRPr="00133C4A">
        <w:rPr>
          <w:rFonts w:ascii="Arial" w:hAnsi="Arial" w:cs="Arial"/>
          <w:color w:val="000000" w:themeColor="text1"/>
          <w:sz w:val="19"/>
          <w:szCs w:val="19"/>
        </w:rPr>
        <w:t xml:space="preserve"> Sección Tercera</w:t>
      </w:r>
      <w:r w:rsidR="00185557">
        <w:rPr>
          <w:rFonts w:ascii="Arial" w:hAnsi="Arial" w:cs="Arial"/>
          <w:color w:val="000000" w:themeColor="text1"/>
          <w:sz w:val="19"/>
          <w:szCs w:val="19"/>
        </w:rPr>
        <w:t>.</w:t>
      </w:r>
      <w:r w:rsidRPr="00133C4A">
        <w:rPr>
          <w:rFonts w:ascii="Arial" w:hAnsi="Arial" w:cs="Arial"/>
          <w:color w:val="000000" w:themeColor="text1"/>
          <w:sz w:val="19"/>
          <w:szCs w:val="19"/>
        </w:rPr>
        <w:t xml:space="preserve"> Subsección A, dentro del expediente 47001-23-33-000-2018-00035-01</w:t>
      </w:r>
      <w:r w:rsidR="00185557">
        <w:rPr>
          <w:rFonts w:ascii="Arial" w:hAnsi="Arial" w:cs="Arial"/>
          <w:color w:val="000000" w:themeColor="text1"/>
          <w:sz w:val="19"/>
          <w:szCs w:val="19"/>
        </w:rPr>
        <w:t xml:space="preserve"> </w:t>
      </w:r>
      <w:r w:rsidRPr="00133C4A">
        <w:rPr>
          <w:rFonts w:ascii="Arial" w:hAnsi="Arial" w:cs="Arial"/>
          <w:color w:val="000000" w:themeColor="text1"/>
          <w:sz w:val="19"/>
          <w:szCs w:val="19"/>
        </w:rPr>
        <w:t>(63</w:t>
      </w:r>
      <w:r w:rsidR="00185557">
        <w:rPr>
          <w:rFonts w:ascii="Arial" w:hAnsi="Arial" w:cs="Arial"/>
          <w:color w:val="000000" w:themeColor="text1"/>
          <w:sz w:val="19"/>
          <w:szCs w:val="19"/>
        </w:rPr>
        <w:t>.</w:t>
      </w:r>
      <w:r w:rsidRPr="00133C4A">
        <w:rPr>
          <w:rFonts w:ascii="Arial" w:hAnsi="Arial" w:cs="Arial"/>
          <w:color w:val="000000" w:themeColor="text1"/>
          <w:sz w:val="19"/>
          <w:szCs w:val="19"/>
        </w:rPr>
        <w:t>854), cuya ponente fue Marta Nubia Velásquez Rico.</w:t>
      </w:r>
    </w:p>
    <w:p w14:paraId="53009EDB" w14:textId="157DEB06" w:rsidR="00520920" w:rsidRPr="00133C4A" w:rsidRDefault="00520920" w:rsidP="00520920">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1B20F2"/>
    <w:multiLevelType w:val="multilevel"/>
    <w:tmpl w:val="7160DEC6"/>
    <w:lvl w:ilvl="0">
      <w:start w:val="4"/>
      <w:numFmt w:val="decimal"/>
      <w:lvlText w:val="%1"/>
      <w:lvlJc w:val="left"/>
      <w:pPr>
        <w:ind w:left="360" w:hanging="360"/>
      </w:pPr>
      <w:rPr>
        <w:rFonts w:hint="default"/>
        <w:color w:val="3C3C3C" w:themeColor="background2" w:themeShade="40"/>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3C3C3C" w:themeColor="background2" w:themeShade="40"/>
      </w:rPr>
    </w:lvl>
    <w:lvl w:ilvl="4">
      <w:start w:val="1"/>
      <w:numFmt w:val="decimal"/>
      <w:lvlText w:val="%1.%2.%3.%4.%5"/>
      <w:lvlJc w:val="left"/>
      <w:pPr>
        <w:ind w:left="1648" w:hanging="1080"/>
      </w:pPr>
      <w:rPr>
        <w:rFonts w:hint="default"/>
        <w:color w:val="3C3C3C" w:themeColor="background2" w:themeShade="40"/>
      </w:rPr>
    </w:lvl>
    <w:lvl w:ilvl="5">
      <w:start w:val="1"/>
      <w:numFmt w:val="decimal"/>
      <w:lvlText w:val="%1.%2.%3.%4.%5.%6"/>
      <w:lvlJc w:val="left"/>
      <w:pPr>
        <w:ind w:left="1790" w:hanging="1080"/>
      </w:pPr>
      <w:rPr>
        <w:rFonts w:hint="default"/>
        <w:color w:val="3C3C3C" w:themeColor="background2" w:themeShade="40"/>
      </w:rPr>
    </w:lvl>
    <w:lvl w:ilvl="6">
      <w:start w:val="1"/>
      <w:numFmt w:val="decimal"/>
      <w:lvlText w:val="%1.%2.%3.%4.%5.%6.%7"/>
      <w:lvlJc w:val="left"/>
      <w:pPr>
        <w:ind w:left="2292" w:hanging="1440"/>
      </w:pPr>
      <w:rPr>
        <w:rFonts w:hint="default"/>
        <w:color w:val="3C3C3C" w:themeColor="background2" w:themeShade="40"/>
      </w:rPr>
    </w:lvl>
    <w:lvl w:ilvl="7">
      <w:start w:val="1"/>
      <w:numFmt w:val="decimal"/>
      <w:lvlText w:val="%1.%2.%3.%4.%5.%6.%7.%8"/>
      <w:lvlJc w:val="left"/>
      <w:pPr>
        <w:ind w:left="2434" w:hanging="1440"/>
      </w:pPr>
      <w:rPr>
        <w:rFonts w:hint="default"/>
        <w:color w:val="3C3C3C" w:themeColor="background2" w:themeShade="40"/>
      </w:rPr>
    </w:lvl>
    <w:lvl w:ilvl="8">
      <w:start w:val="1"/>
      <w:numFmt w:val="decimal"/>
      <w:lvlText w:val="%1.%2.%3.%4.%5.%6.%7.%8.%9"/>
      <w:lvlJc w:val="left"/>
      <w:pPr>
        <w:ind w:left="2936" w:hanging="1800"/>
      </w:pPr>
      <w:rPr>
        <w:rFonts w:hint="default"/>
        <w:color w:val="3C3C3C" w:themeColor="background2" w:themeShade="40"/>
      </w:rPr>
    </w:lvl>
  </w:abstractNum>
  <w:abstractNum w:abstractNumId="3" w15:restartNumberingAfterBreak="0">
    <w:nsid w:val="2BAA45F7"/>
    <w:multiLevelType w:val="hybridMultilevel"/>
    <w:tmpl w:val="EE9A15DA"/>
    <w:lvl w:ilvl="0" w:tplc="B0203C92">
      <w:start w:val="1"/>
      <w:numFmt w:val="decimal"/>
      <w:pStyle w:val="Capitulo3"/>
      <w:lvlText w:val="3.%1."/>
      <w:lvlJc w:val="left"/>
      <w:pPr>
        <w:ind w:left="9149" w:hanging="360"/>
      </w:pPr>
      <w:rPr>
        <w:rFonts w:hint="default"/>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67B"/>
    <w:rsid w:val="00014AEA"/>
    <w:rsid w:val="000161DC"/>
    <w:rsid w:val="00021778"/>
    <w:rsid w:val="00021B26"/>
    <w:rsid w:val="00025787"/>
    <w:rsid w:val="000269E5"/>
    <w:rsid w:val="0002714A"/>
    <w:rsid w:val="00030397"/>
    <w:rsid w:val="000379C9"/>
    <w:rsid w:val="00041BAE"/>
    <w:rsid w:val="00043B83"/>
    <w:rsid w:val="000513FC"/>
    <w:rsid w:val="00070D38"/>
    <w:rsid w:val="000720C3"/>
    <w:rsid w:val="000735FA"/>
    <w:rsid w:val="00083023"/>
    <w:rsid w:val="000836F1"/>
    <w:rsid w:val="00084B97"/>
    <w:rsid w:val="00086C5D"/>
    <w:rsid w:val="00093AF5"/>
    <w:rsid w:val="000942EB"/>
    <w:rsid w:val="00097D59"/>
    <w:rsid w:val="000B103F"/>
    <w:rsid w:val="000B59AD"/>
    <w:rsid w:val="000C34D0"/>
    <w:rsid w:val="000D3ABF"/>
    <w:rsid w:val="000E11AC"/>
    <w:rsid w:val="000E6B8E"/>
    <w:rsid w:val="000F08AA"/>
    <w:rsid w:val="000F0F9B"/>
    <w:rsid w:val="000F14E8"/>
    <w:rsid w:val="000F54FF"/>
    <w:rsid w:val="000F56BA"/>
    <w:rsid w:val="001026F1"/>
    <w:rsid w:val="00102754"/>
    <w:rsid w:val="00103915"/>
    <w:rsid w:val="00106440"/>
    <w:rsid w:val="001067C8"/>
    <w:rsid w:val="00116CB9"/>
    <w:rsid w:val="00120F2A"/>
    <w:rsid w:val="00122A22"/>
    <w:rsid w:val="00122B23"/>
    <w:rsid w:val="0012436D"/>
    <w:rsid w:val="00133C4A"/>
    <w:rsid w:val="00134F2B"/>
    <w:rsid w:val="00137FFA"/>
    <w:rsid w:val="00142F23"/>
    <w:rsid w:val="001438EF"/>
    <w:rsid w:val="0014709F"/>
    <w:rsid w:val="0015017B"/>
    <w:rsid w:val="0015478E"/>
    <w:rsid w:val="00154F29"/>
    <w:rsid w:val="00161FF2"/>
    <w:rsid w:val="001633DD"/>
    <w:rsid w:val="00166342"/>
    <w:rsid w:val="00172BB3"/>
    <w:rsid w:val="001772B3"/>
    <w:rsid w:val="00182776"/>
    <w:rsid w:val="001836BA"/>
    <w:rsid w:val="00185557"/>
    <w:rsid w:val="001938C7"/>
    <w:rsid w:val="001A0273"/>
    <w:rsid w:val="001A0850"/>
    <w:rsid w:val="001A6703"/>
    <w:rsid w:val="001A7282"/>
    <w:rsid w:val="001A7C7B"/>
    <w:rsid w:val="001B0444"/>
    <w:rsid w:val="001B0A7D"/>
    <w:rsid w:val="001B1A21"/>
    <w:rsid w:val="001D4CCE"/>
    <w:rsid w:val="001F216E"/>
    <w:rsid w:val="001F38BC"/>
    <w:rsid w:val="001F4999"/>
    <w:rsid w:val="002015CE"/>
    <w:rsid w:val="002051F2"/>
    <w:rsid w:val="0020632A"/>
    <w:rsid w:val="002110EB"/>
    <w:rsid w:val="00211338"/>
    <w:rsid w:val="00220CC1"/>
    <w:rsid w:val="0022158F"/>
    <w:rsid w:val="00225091"/>
    <w:rsid w:val="002341D3"/>
    <w:rsid w:val="00234551"/>
    <w:rsid w:val="00234B84"/>
    <w:rsid w:val="00253C0F"/>
    <w:rsid w:val="002709DF"/>
    <w:rsid w:val="0028345E"/>
    <w:rsid w:val="002A5643"/>
    <w:rsid w:val="002A6894"/>
    <w:rsid w:val="002B007A"/>
    <w:rsid w:val="002C369B"/>
    <w:rsid w:val="002C4C0C"/>
    <w:rsid w:val="002D2F81"/>
    <w:rsid w:val="002E0DCE"/>
    <w:rsid w:val="002E1B0C"/>
    <w:rsid w:val="002E72F8"/>
    <w:rsid w:val="002E75DD"/>
    <w:rsid w:val="002F6D91"/>
    <w:rsid w:val="002F6E88"/>
    <w:rsid w:val="003033BA"/>
    <w:rsid w:val="00322937"/>
    <w:rsid w:val="00335524"/>
    <w:rsid w:val="003355A0"/>
    <w:rsid w:val="00337CCE"/>
    <w:rsid w:val="0034177C"/>
    <w:rsid w:val="0034680A"/>
    <w:rsid w:val="00353B9D"/>
    <w:rsid w:val="00353DD5"/>
    <w:rsid w:val="00356F31"/>
    <w:rsid w:val="00362084"/>
    <w:rsid w:val="00362BAD"/>
    <w:rsid w:val="003633FB"/>
    <w:rsid w:val="00366A3C"/>
    <w:rsid w:val="00372D6F"/>
    <w:rsid w:val="00386456"/>
    <w:rsid w:val="003918E5"/>
    <w:rsid w:val="003951D5"/>
    <w:rsid w:val="00396D73"/>
    <w:rsid w:val="003A0878"/>
    <w:rsid w:val="003A581E"/>
    <w:rsid w:val="003B21BB"/>
    <w:rsid w:val="003B6CD4"/>
    <w:rsid w:val="003C735A"/>
    <w:rsid w:val="003E78C7"/>
    <w:rsid w:val="003F06DD"/>
    <w:rsid w:val="003F1B4A"/>
    <w:rsid w:val="003F1F06"/>
    <w:rsid w:val="00410F6E"/>
    <w:rsid w:val="00411DB3"/>
    <w:rsid w:val="00412585"/>
    <w:rsid w:val="00423F9F"/>
    <w:rsid w:val="004313B7"/>
    <w:rsid w:val="004347DB"/>
    <w:rsid w:val="004422D6"/>
    <w:rsid w:val="004501E4"/>
    <w:rsid w:val="00450BB2"/>
    <w:rsid w:val="00453FF2"/>
    <w:rsid w:val="00463F2E"/>
    <w:rsid w:val="004667E4"/>
    <w:rsid w:val="004709DF"/>
    <w:rsid w:val="0047248B"/>
    <w:rsid w:val="00472C0D"/>
    <w:rsid w:val="0047425C"/>
    <w:rsid w:val="00475F91"/>
    <w:rsid w:val="00477842"/>
    <w:rsid w:val="00477B62"/>
    <w:rsid w:val="00486E9A"/>
    <w:rsid w:val="004870E3"/>
    <w:rsid w:val="0049241A"/>
    <w:rsid w:val="004A34D2"/>
    <w:rsid w:val="004A3C19"/>
    <w:rsid w:val="004B25C5"/>
    <w:rsid w:val="004B6D0F"/>
    <w:rsid w:val="004B7B9F"/>
    <w:rsid w:val="004C00C6"/>
    <w:rsid w:val="004C435C"/>
    <w:rsid w:val="004C5F24"/>
    <w:rsid w:val="004C78D0"/>
    <w:rsid w:val="004D0991"/>
    <w:rsid w:val="004D1531"/>
    <w:rsid w:val="004D4BCB"/>
    <w:rsid w:val="004E3943"/>
    <w:rsid w:val="004F2254"/>
    <w:rsid w:val="004F5433"/>
    <w:rsid w:val="004F5F4F"/>
    <w:rsid w:val="004F7AB0"/>
    <w:rsid w:val="00500E83"/>
    <w:rsid w:val="00503D6C"/>
    <w:rsid w:val="00504A44"/>
    <w:rsid w:val="00505A47"/>
    <w:rsid w:val="0051074C"/>
    <w:rsid w:val="00513AF2"/>
    <w:rsid w:val="00520920"/>
    <w:rsid w:val="00526C99"/>
    <w:rsid w:val="00532860"/>
    <w:rsid w:val="00534744"/>
    <w:rsid w:val="0054413A"/>
    <w:rsid w:val="005564CA"/>
    <w:rsid w:val="00560C33"/>
    <w:rsid w:val="0056182B"/>
    <w:rsid w:val="00562615"/>
    <w:rsid w:val="00562E81"/>
    <w:rsid w:val="00562FE9"/>
    <w:rsid w:val="00565333"/>
    <w:rsid w:val="00573FFD"/>
    <w:rsid w:val="005755B0"/>
    <w:rsid w:val="005756AA"/>
    <w:rsid w:val="0057774F"/>
    <w:rsid w:val="00580F55"/>
    <w:rsid w:val="005877BF"/>
    <w:rsid w:val="005A2566"/>
    <w:rsid w:val="005A3A67"/>
    <w:rsid w:val="005A3AE3"/>
    <w:rsid w:val="005A63C2"/>
    <w:rsid w:val="005B2CB9"/>
    <w:rsid w:val="005C6508"/>
    <w:rsid w:val="005D51FA"/>
    <w:rsid w:val="005D64D4"/>
    <w:rsid w:val="005D791B"/>
    <w:rsid w:val="005D7D0C"/>
    <w:rsid w:val="005F0A40"/>
    <w:rsid w:val="005F56BE"/>
    <w:rsid w:val="005F7818"/>
    <w:rsid w:val="00604EF0"/>
    <w:rsid w:val="00610E6B"/>
    <w:rsid w:val="00614817"/>
    <w:rsid w:val="00616E1D"/>
    <w:rsid w:val="00623B3E"/>
    <w:rsid w:val="00632661"/>
    <w:rsid w:val="00633DBF"/>
    <w:rsid w:val="0063431C"/>
    <w:rsid w:val="00637B20"/>
    <w:rsid w:val="00645B37"/>
    <w:rsid w:val="0064620D"/>
    <w:rsid w:val="0064683A"/>
    <w:rsid w:val="006476FA"/>
    <w:rsid w:val="00650721"/>
    <w:rsid w:val="00652FBB"/>
    <w:rsid w:val="00655371"/>
    <w:rsid w:val="00664208"/>
    <w:rsid w:val="00670E9E"/>
    <w:rsid w:val="00687A61"/>
    <w:rsid w:val="00690EB0"/>
    <w:rsid w:val="006926B2"/>
    <w:rsid w:val="006957EC"/>
    <w:rsid w:val="00697665"/>
    <w:rsid w:val="006A7CB5"/>
    <w:rsid w:val="006A7FD0"/>
    <w:rsid w:val="006B057B"/>
    <w:rsid w:val="006B1E4B"/>
    <w:rsid w:val="006B59A2"/>
    <w:rsid w:val="006D486F"/>
    <w:rsid w:val="006D5E31"/>
    <w:rsid w:val="006D7687"/>
    <w:rsid w:val="006E0572"/>
    <w:rsid w:val="006E18EB"/>
    <w:rsid w:val="006E7328"/>
    <w:rsid w:val="006F4750"/>
    <w:rsid w:val="0070256A"/>
    <w:rsid w:val="007055F4"/>
    <w:rsid w:val="00705631"/>
    <w:rsid w:val="00705E5F"/>
    <w:rsid w:val="00707E7D"/>
    <w:rsid w:val="0071000E"/>
    <w:rsid w:val="00715EAA"/>
    <w:rsid w:val="00716ECB"/>
    <w:rsid w:val="007179FE"/>
    <w:rsid w:val="00720820"/>
    <w:rsid w:val="00731C3C"/>
    <w:rsid w:val="00732216"/>
    <w:rsid w:val="007424E6"/>
    <w:rsid w:val="00742DD2"/>
    <w:rsid w:val="00743319"/>
    <w:rsid w:val="00746DEC"/>
    <w:rsid w:val="00746E08"/>
    <w:rsid w:val="00747C7C"/>
    <w:rsid w:val="00747C96"/>
    <w:rsid w:val="0075094E"/>
    <w:rsid w:val="007522E8"/>
    <w:rsid w:val="0075647A"/>
    <w:rsid w:val="00756B16"/>
    <w:rsid w:val="00756E92"/>
    <w:rsid w:val="0075756B"/>
    <w:rsid w:val="0076012E"/>
    <w:rsid w:val="007634AD"/>
    <w:rsid w:val="007649EE"/>
    <w:rsid w:val="0076581D"/>
    <w:rsid w:val="00772FD6"/>
    <w:rsid w:val="00774E29"/>
    <w:rsid w:val="0078122E"/>
    <w:rsid w:val="00792691"/>
    <w:rsid w:val="00792B81"/>
    <w:rsid w:val="00792E4F"/>
    <w:rsid w:val="00795647"/>
    <w:rsid w:val="007A0EB0"/>
    <w:rsid w:val="007A26AA"/>
    <w:rsid w:val="007B0854"/>
    <w:rsid w:val="007B41F6"/>
    <w:rsid w:val="007D6F7B"/>
    <w:rsid w:val="007E4227"/>
    <w:rsid w:val="007F4514"/>
    <w:rsid w:val="007F6B46"/>
    <w:rsid w:val="007F72CB"/>
    <w:rsid w:val="00817308"/>
    <w:rsid w:val="008217B7"/>
    <w:rsid w:val="008225A3"/>
    <w:rsid w:val="008242D2"/>
    <w:rsid w:val="0083119B"/>
    <w:rsid w:val="00836EAB"/>
    <w:rsid w:val="0084284E"/>
    <w:rsid w:val="00846AA7"/>
    <w:rsid w:val="0085092D"/>
    <w:rsid w:val="00850F79"/>
    <w:rsid w:val="0085631E"/>
    <w:rsid w:val="008618DB"/>
    <w:rsid w:val="00862512"/>
    <w:rsid w:val="00872110"/>
    <w:rsid w:val="0087624C"/>
    <w:rsid w:val="00885E66"/>
    <w:rsid w:val="00887F1A"/>
    <w:rsid w:val="0089774F"/>
    <w:rsid w:val="00897BBD"/>
    <w:rsid w:val="00897C4F"/>
    <w:rsid w:val="008A1310"/>
    <w:rsid w:val="008A1E77"/>
    <w:rsid w:val="008A4572"/>
    <w:rsid w:val="008D484E"/>
    <w:rsid w:val="008D4EAA"/>
    <w:rsid w:val="008E1970"/>
    <w:rsid w:val="008E1C15"/>
    <w:rsid w:val="008E51FD"/>
    <w:rsid w:val="008F24C4"/>
    <w:rsid w:val="008F538E"/>
    <w:rsid w:val="008F6090"/>
    <w:rsid w:val="00902F50"/>
    <w:rsid w:val="0090426C"/>
    <w:rsid w:val="009047C5"/>
    <w:rsid w:val="00906A87"/>
    <w:rsid w:val="00911B64"/>
    <w:rsid w:val="00913F16"/>
    <w:rsid w:val="0092217B"/>
    <w:rsid w:val="009435C8"/>
    <w:rsid w:val="0095385A"/>
    <w:rsid w:val="00955726"/>
    <w:rsid w:val="0095611B"/>
    <w:rsid w:val="00956B72"/>
    <w:rsid w:val="00964A36"/>
    <w:rsid w:val="00973D90"/>
    <w:rsid w:val="009752FD"/>
    <w:rsid w:val="00975B75"/>
    <w:rsid w:val="00991C31"/>
    <w:rsid w:val="009A6B69"/>
    <w:rsid w:val="009B1295"/>
    <w:rsid w:val="009B4B19"/>
    <w:rsid w:val="009C5197"/>
    <w:rsid w:val="009E0F10"/>
    <w:rsid w:val="009F10A8"/>
    <w:rsid w:val="009F54A1"/>
    <w:rsid w:val="009F59C2"/>
    <w:rsid w:val="00A00031"/>
    <w:rsid w:val="00A143C9"/>
    <w:rsid w:val="00A14EA4"/>
    <w:rsid w:val="00A2164E"/>
    <w:rsid w:val="00A227A5"/>
    <w:rsid w:val="00A24560"/>
    <w:rsid w:val="00A34538"/>
    <w:rsid w:val="00A37FB6"/>
    <w:rsid w:val="00A53878"/>
    <w:rsid w:val="00A5699C"/>
    <w:rsid w:val="00A638D1"/>
    <w:rsid w:val="00A71EF5"/>
    <w:rsid w:val="00A721BD"/>
    <w:rsid w:val="00A80C55"/>
    <w:rsid w:val="00A90C6B"/>
    <w:rsid w:val="00AA08E7"/>
    <w:rsid w:val="00AA442B"/>
    <w:rsid w:val="00AA5A18"/>
    <w:rsid w:val="00AA669D"/>
    <w:rsid w:val="00AA6A75"/>
    <w:rsid w:val="00AB3599"/>
    <w:rsid w:val="00AB50D7"/>
    <w:rsid w:val="00AC4C04"/>
    <w:rsid w:val="00AD1EC2"/>
    <w:rsid w:val="00AD4619"/>
    <w:rsid w:val="00AD63EB"/>
    <w:rsid w:val="00AD6EDC"/>
    <w:rsid w:val="00AE120B"/>
    <w:rsid w:val="00AE7158"/>
    <w:rsid w:val="00AF0940"/>
    <w:rsid w:val="00AF2D53"/>
    <w:rsid w:val="00AF2F8B"/>
    <w:rsid w:val="00AF52BE"/>
    <w:rsid w:val="00AF7706"/>
    <w:rsid w:val="00B015D5"/>
    <w:rsid w:val="00B04CA2"/>
    <w:rsid w:val="00B1079C"/>
    <w:rsid w:val="00B13EC0"/>
    <w:rsid w:val="00B1413A"/>
    <w:rsid w:val="00B22E22"/>
    <w:rsid w:val="00B274ED"/>
    <w:rsid w:val="00B2761D"/>
    <w:rsid w:val="00B2790D"/>
    <w:rsid w:val="00B32603"/>
    <w:rsid w:val="00B3701C"/>
    <w:rsid w:val="00B41612"/>
    <w:rsid w:val="00B42F46"/>
    <w:rsid w:val="00B5142E"/>
    <w:rsid w:val="00B525CB"/>
    <w:rsid w:val="00B54D60"/>
    <w:rsid w:val="00B63872"/>
    <w:rsid w:val="00B63CB2"/>
    <w:rsid w:val="00B64EDB"/>
    <w:rsid w:val="00B72508"/>
    <w:rsid w:val="00B7315F"/>
    <w:rsid w:val="00B7555F"/>
    <w:rsid w:val="00B763ED"/>
    <w:rsid w:val="00B823D7"/>
    <w:rsid w:val="00B86E8F"/>
    <w:rsid w:val="00B90CB1"/>
    <w:rsid w:val="00B91B8E"/>
    <w:rsid w:val="00B9733D"/>
    <w:rsid w:val="00BA1CC1"/>
    <w:rsid w:val="00BA4815"/>
    <w:rsid w:val="00BA7AEC"/>
    <w:rsid w:val="00BB7FAB"/>
    <w:rsid w:val="00BD0076"/>
    <w:rsid w:val="00BD1525"/>
    <w:rsid w:val="00BD6A6D"/>
    <w:rsid w:val="00BD78FE"/>
    <w:rsid w:val="00BE3DB5"/>
    <w:rsid w:val="00BE758D"/>
    <w:rsid w:val="00BF5936"/>
    <w:rsid w:val="00BF5A58"/>
    <w:rsid w:val="00BF6650"/>
    <w:rsid w:val="00BF6FA7"/>
    <w:rsid w:val="00C01CBA"/>
    <w:rsid w:val="00C071C0"/>
    <w:rsid w:val="00C1071B"/>
    <w:rsid w:val="00C10E86"/>
    <w:rsid w:val="00C163C0"/>
    <w:rsid w:val="00C21B22"/>
    <w:rsid w:val="00C2531C"/>
    <w:rsid w:val="00C42B9D"/>
    <w:rsid w:val="00C6222F"/>
    <w:rsid w:val="00C70F9C"/>
    <w:rsid w:val="00C82200"/>
    <w:rsid w:val="00C85003"/>
    <w:rsid w:val="00C90F90"/>
    <w:rsid w:val="00C9363E"/>
    <w:rsid w:val="00C97DBF"/>
    <w:rsid w:val="00CA4DFC"/>
    <w:rsid w:val="00CB08F6"/>
    <w:rsid w:val="00CB2DD2"/>
    <w:rsid w:val="00CB544F"/>
    <w:rsid w:val="00CB79A3"/>
    <w:rsid w:val="00CC00CD"/>
    <w:rsid w:val="00CC5F15"/>
    <w:rsid w:val="00CD1392"/>
    <w:rsid w:val="00CD3959"/>
    <w:rsid w:val="00CD74E7"/>
    <w:rsid w:val="00CE657C"/>
    <w:rsid w:val="00CF30DF"/>
    <w:rsid w:val="00D0008B"/>
    <w:rsid w:val="00D01760"/>
    <w:rsid w:val="00D0381F"/>
    <w:rsid w:val="00D05EBD"/>
    <w:rsid w:val="00D158FC"/>
    <w:rsid w:val="00D16E39"/>
    <w:rsid w:val="00D223B6"/>
    <w:rsid w:val="00D22A7C"/>
    <w:rsid w:val="00D22B4D"/>
    <w:rsid w:val="00D2488D"/>
    <w:rsid w:val="00D272A2"/>
    <w:rsid w:val="00D36CD5"/>
    <w:rsid w:val="00D43221"/>
    <w:rsid w:val="00D4691B"/>
    <w:rsid w:val="00D53DEA"/>
    <w:rsid w:val="00D5519F"/>
    <w:rsid w:val="00D60327"/>
    <w:rsid w:val="00D61F30"/>
    <w:rsid w:val="00D707FC"/>
    <w:rsid w:val="00D7117B"/>
    <w:rsid w:val="00D7233D"/>
    <w:rsid w:val="00D72345"/>
    <w:rsid w:val="00D72584"/>
    <w:rsid w:val="00D72E9D"/>
    <w:rsid w:val="00D7522E"/>
    <w:rsid w:val="00D80F66"/>
    <w:rsid w:val="00D82CE5"/>
    <w:rsid w:val="00D9084C"/>
    <w:rsid w:val="00D97AD4"/>
    <w:rsid w:val="00DA5AB1"/>
    <w:rsid w:val="00DB23FB"/>
    <w:rsid w:val="00DB763E"/>
    <w:rsid w:val="00DC3584"/>
    <w:rsid w:val="00DC367F"/>
    <w:rsid w:val="00DC62E5"/>
    <w:rsid w:val="00DD735D"/>
    <w:rsid w:val="00DE0A79"/>
    <w:rsid w:val="00DE0E3C"/>
    <w:rsid w:val="00DE252E"/>
    <w:rsid w:val="00DE2A5E"/>
    <w:rsid w:val="00DE3119"/>
    <w:rsid w:val="00DE52A3"/>
    <w:rsid w:val="00DE596F"/>
    <w:rsid w:val="00DF236B"/>
    <w:rsid w:val="00DF2B44"/>
    <w:rsid w:val="00DF3D44"/>
    <w:rsid w:val="00E04C78"/>
    <w:rsid w:val="00E07052"/>
    <w:rsid w:val="00E0714E"/>
    <w:rsid w:val="00E079CB"/>
    <w:rsid w:val="00E13AB8"/>
    <w:rsid w:val="00E1754E"/>
    <w:rsid w:val="00E222CD"/>
    <w:rsid w:val="00E25CB3"/>
    <w:rsid w:val="00E32B04"/>
    <w:rsid w:val="00E33B62"/>
    <w:rsid w:val="00E35DF3"/>
    <w:rsid w:val="00E4143A"/>
    <w:rsid w:val="00E43451"/>
    <w:rsid w:val="00E62A1B"/>
    <w:rsid w:val="00E66654"/>
    <w:rsid w:val="00E80780"/>
    <w:rsid w:val="00E82B52"/>
    <w:rsid w:val="00E942EC"/>
    <w:rsid w:val="00EA17CE"/>
    <w:rsid w:val="00EA518F"/>
    <w:rsid w:val="00EC6771"/>
    <w:rsid w:val="00EE2230"/>
    <w:rsid w:val="00EE3907"/>
    <w:rsid w:val="00EE3C54"/>
    <w:rsid w:val="00EE43E6"/>
    <w:rsid w:val="00EE59B5"/>
    <w:rsid w:val="00F04355"/>
    <w:rsid w:val="00F10993"/>
    <w:rsid w:val="00F15A97"/>
    <w:rsid w:val="00F20F0D"/>
    <w:rsid w:val="00F21ABC"/>
    <w:rsid w:val="00F22094"/>
    <w:rsid w:val="00F2716F"/>
    <w:rsid w:val="00F27B31"/>
    <w:rsid w:val="00F36D9F"/>
    <w:rsid w:val="00F42B5B"/>
    <w:rsid w:val="00F42C9F"/>
    <w:rsid w:val="00F70C94"/>
    <w:rsid w:val="00F73D45"/>
    <w:rsid w:val="00F84899"/>
    <w:rsid w:val="00F8551A"/>
    <w:rsid w:val="00F859F0"/>
    <w:rsid w:val="00F85ED4"/>
    <w:rsid w:val="00F97BC8"/>
    <w:rsid w:val="00FA2368"/>
    <w:rsid w:val="00FA32C0"/>
    <w:rsid w:val="00FA721A"/>
    <w:rsid w:val="00FB01FC"/>
    <w:rsid w:val="00FB273F"/>
    <w:rsid w:val="00FC11B1"/>
    <w:rsid w:val="00FD09A3"/>
    <w:rsid w:val="00FE141E"/>
    <w:rsid w:val="00FE3F52"/>
    <w:rsid w:val="00FE42ED"/>
    <w:rsid w:val="00FE598F"/>
    <w:rsid w:val="00FF2EBC"/>
    <w:rsid w:val="00FF4B47"/>
    <w:rsid w:val="17AF078E"/>
    <w:rsid w:val="2E37BCE3"/>
    <w:rsid w:val="37C48640"/>
    <w:rsid w:val="3F646CE2"/>
    <w:rsid w:val="7729B51F"/>
    <w:rsid w:val="79F994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character" w:customStyle="1" w:styleId="NormalWebCar">
    <w:name w:val="Normal (Web) Car"/>
    <w:link w:val="NormalWeb"/>
    <w:uiPriority w:val="99"/>
    <w:rsid w:val="00BF5A58"/>
    <w:rPr>
      <w:rFonts w:ascii="Times New Roman" w:eastAsia="Times New Roman" w:hAnsi="Times New Roman" w:cs="Times New Roman"/>
      <w:sz w:val="24"/>
      <w:szCs w:val="24"/>
      <w:lang w:eastAsia="es-CO"/>
    </w:rPr>
  </w:style>
  <w:style w:type="paragraph" w:customStyle="1" w:styleId="Capitulo3">
    <w:name w:val="Capitulo 3"/>
    <w:basedOn w:val="Normal"/>
    <w:qFormat/>
    <w:rsid w:val="00E0714E"/>
    <w:pPr>
      <w:keepNext/>
      <w:numPr>
        <w:numId w:val="9"/>
      </w:numPr>
      <w:spacing w:before="120" w:after="200" w:line="276" w:lineRule="auto"/>
      <w:outlineLvl w:val="1"/>
    </w:pPr>
    <w:rPr>
      <w:rFonts w:ascii="Arial Narrow" w:eastAsia="Times New Roman" w:hAnsi="Arial Narrow"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738086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48040624">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4123A-9703-4767-B9C2-294AE536817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3EEF630-54B0-4BA9-8959-F34C31BC6A6F}">
  <ds:schemaRefs>
    <ds:schemaRef ds:uri="http://schemas.openxmlformats.org/officeDocument/2006/bibliography"/>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998374F8-EE3C-4934-A563-E65B7F92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3348</Words>
  <Characters>18416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3</cp:revision>
  <cp:lastPrinted>2020-03-02T22:07:00Z</cp:lastPrinted>
  <dcterms:created xsi:type="dcterms:W3CDTF">2020-12-11T19:16:00Z</dcterms:created>
  <dcterms:modified xsi:type="dcterms:W3CDTF">2020-12-11T19:17:00Z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