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1624C6" w:rsidRDefault="009F59C2" w:rsidP="0034177C">
      <w:pPr>
        <w:jc w:val="right"/>
        <w:rPr>
          <w:rFonts w:ascii="Arial" w:hAnsi="Arial" w:cs="Arial"/>
          <w:b/>
          <w:sz w:val="16"/>
          <w:szCs w:val="16"/>
          <w:lang w:eastAsia="es-ES"/>
        </w:rPr>
      </w:pPr>
      <w:bookmarkStart w:id="0" w:name="_Hlk28946138"/>
      <w:bookmarkStart w:id="1" w:name="_Hlk29548183"/>
      <w:r w:rsidRPr="001624C6">
        <w:rPr>
          <w:rFonts w:ascii="Arial" w:hAnsi="Arial" w:cs="Arial"/>
          <w:b/>
          <w:sz w:val="16"/>
          <w:szCs w:val="16"/>
          <w:lang w:eastAsia="es-ES"/>
        </w:rPr>
        <w:tab/>
      </w:r>
      <w:r w:rsidR="0034177C" w:rsidRPr="001624C6">
        <w:rPr>
          <w:rFonts w:ascii="Arial" w:hAnsi="Arial" w:cs="Arial"/>
          <w:b/>
          <w:sz w:val="16"/>
          <w:szCs w:val="16"/>
          <w:lang w:eastAsia="es-ES"/>
        </w:rPr>
        <w:t>CCE-DES-FM-17</w:t>
      </w:r>
    </w:p>
    <w:p w14:paraId="33FF83A2" w14:textId="0A989D0F" w:rsidR="0034177C" w:rsidRPr="001624C6" w:rsidRDefault="0034177C" w:rsidP="007F6B46">
      <w:pPr>
        <w:spacing w:line="276" w:lineRule="auto"/>
        <w:jc w:val="both"/>
        <w:rPr>
          <w:rFonts w:ascii="Arial" w:eastAsia="Calibri" w:hAnsi="Arial" w:cs="Arial"/>
          <w:b/>
          <w:sz w:val="16"/>
          <w:szCs w:val="16"/>
        </w:rPr>
      </w:pPr>
    </w:p>
    <w:p w14:paraId="1BCE05AB" w14:textId="3B1C0997" w:rsidR="001624C6" w:rsidRPr="001624C6" w:rsidRDefault="001624C6" w:rsidP="007F6B46">
      <w:pPr>
        <w:spacing w:line="276" w:lineRule="auto"/>
        <w:jc w:val="both"/>
        <w:rPr>
          <w:rFonts w:ascii="Arial" w:eastAsia="Calibri" w:hAnsi="Arial" w:cs="Arial"/>
          <w:b/>
          <w:sz w:val="16"/>
          <w:szCs w:val="16"/>
        </w:rPr>
      </w:pPr>
    </w:p>
    <w:p w14:paraId="0BF82ACC" w14:textId="619F3FF1" w:rsidR="001624C6" w:rsidRPr="001624C6" w:rsidRDefault="001624C6" w:rsidP="001624C6">
      <w:pPr>
        <w:jc w:val="both"/>
        <w:rPr>
          <w:rFonts w:ascii="Arial" w:eastAsia="Calibri" w:hAnsi="Arial" w:cs="Arial"/>
          <w:b/>
          <w:sz w:val="22"/>
        </w:rPr>
      </w:pPr>
      <w:r w:rsidRPr="001624C6">
        <w:rPr>
          <w:rFonts w:ascii="Arial" w:eastAsia="Calibri" w:hAnsi="Arial" w:cs="Arial"/>
          <w:b/>
          <w:sz w:val="22"/>
        </w:rPr>
        <w:t>DOCUMENTOS TIPO</w:t>
      </w:r>
      <w:r w:rsidRPr="001624C6">
        <w:rPr>
          <w:rFonts w:ascii="Arial" w:eastAsia="Calibri" w:hAnsi="Arial" w:cs="Arial"/>
          <w:b/>
          <w:sz w:val="22"/>
        </w:rPr>
        <w:softHyphen/>
        <w:t xml:space="preserve"> – Inalterabilidad</w:t>
      </w:r>
    </w:p>
    <w:p w14:paraId="1A67090C" w14:textId="77777777" w:rsidR="001624C6" w:rsidRPr="001624C6" w:rsidRDefault="001624C6" w:rsidP="001624C6">
      <w:pPr>
        <w:jc w:val="both"/>
        <w:rPr>
          <w:rFonts w:ascii="Arial" w:hAnsi="Arial" w:cs="Arial"/>
          <w:sz w:val="20"/>
          <w:szCs w:val="20"/>
          <w:shd w:val="clear" w:color="auto" w:fill="FFFFFF"/>
        </w:rPr>
      </w:pPr>
    </w:p>
    <w:p w14:paraId="2F2AF53E" w14:textId="739EC979" w:rsidR="001624C6" w:rsidRDefault="009C752F" w:rsidP="009C752F">
      <w:pPr>
        <w:jc w:val="both"/>
        <w:rPr>
          <w:rFonts w:ascii="Arial" w:hAnsi="Arial" w:cs="Arial"/>
          <w:sz w:val="20"/>
          <w:szCs w:val="20"/>
          <w:shd w:val="clear" w:color="auto" w:fill="FFFFFF"/>
        </w:rPr>
      </w:pPr>
      <w:r w:rsidRPr="009C752F">
        <w:rPr>
          <w:rFonts w:ascii="Arial" w:hAnsi="Arial" w:cs="Arial"/>
          <w:sz w:val="20"/>
          <w:szCs w:val="20"/>
          <w:shd w:val="clear" w:color="auto" w:fill="FFFFFF"/>
        </w:rPr>
        <w:t>Para el procedimiento de licitación pública, el artículo 2.2.1.2.6.1.4 del Decreto 1082 de 2015, adicionado por el Decreto 342 de 2019, dispone la inalterabilidad de los Documentos Tipo, la cual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variarlo salvo en los apartes en donde expresamente se determina esta posibilidad y de acuerdo con los parámetros que se indiquen en cada caso.</w:t>
      </w:r>
    </w:p>
    <w:p w14:paraId="2DA4248A" w14:textId="77777777" w:rsidR="009C752F" w:rsidRPr="001624C6" w:rsidRDefault="009C752F" w:rsidP="007F6B46">
      <w:pPr>
        <w:spacing w:line="276" w:lineRule="auto"/>
        <w:jc w:val="both"/>
        <w:rPr>
          <w:rFonts w:ascii="Arial" w:eastAsia="Calibri" w:hAnsi="Arial" w:cs="Arial"/>
          <w:b/>
          <w:sz w:val="16"/>
          <w:szCs w:val="16"/>
        </w:rPr>
      </w:pPr>
    </w:p>
    <w:bookmarkEnd w:id="0"/>
    <w:bookmarkEnd w:id="1"/>
    <w:p w14:paraId="6D2CAC3B" w14:textId="3BB40424" w:rsidR="004B5FBC" w:rsidRPr="001624C6" w:rsidRDefault="00B27137" w:rsidP="00A715D8">
      <w:pPr>
        <w:jc w:val="both"/>
        <w:rPr>
          <w:rFonts w:ascii="Arial" w:eastAsia="Calibri" w:hAnsi="Arial" w:cs="Arial"/>
          <w:b/>
          <w:sz w:val="22"/>
        </w:rPr>
      </w:pPr>
      <w:r w:rsidRPr="001624C6">
        <w:rPr>
          <w:rFonts w:ascii="Arial" w:eastAsia="Calibri" w:hAnsi="Arial" w:cs="Arial"/>
          <w:b/>
          <w:sz w:val="22"/>
        </w:rPr>
        <w:t>DOCUMENTOS</w:t>
      </w:r>
      <w:r w:rsidR="004B5FBC" w:rsidRPr="001624C6">
        <w:rPr>
          <w:rFonts w:ascii="Arial" w:eastAsia="Calibri" w:hAnsi="Arial" w:cs="Arial"/>
          <w:b/>
          <w:sz w:val="22"/>
        </w:rPr>
        <w:t xml:space="preserve"> TIPO</w:t>
      </w:r>
      <w:r w:rsidR="004B5FBC" w:rsidRPr="001624C6">
        <w:rPr>
          <w:rFonts w:ascii="Arial" w:eastAsia="Calibri" w:hAnsi="Arial" w:cs="Arial"/>
          <w:b/>
          <w:sz w:val="22"/>
        </w:rPr>
        <w:softHyphen/>
        <w:t xml:space="preserve"> </w:t>
      </w:r>
      <w:r w:rsidR="00B60A33" w:rsidRPr="001624C6">
        <w:rPr>
          <w:rFonts w:ascii="Arial" w:eastAsia="Calibri" w:hAnsi="Arial" w:cs="Arial"/>
          <w:b/>
          <w:sz w:val="22"/>
        </w:rPr>
        <w:t>–</w:t>
      </w:r>
      <w:r w:rsidR="004B5FBC" w:rsidRPr="001624C6">
        <w:rPr>
          <w:rFonts w:ascii="Arial" w:eastAsia="Calibri" w:hAnsi="Arial" w:cs="Arial"/>
          <w:b/>
          <w:sz w:val="22"/>
        </w:rPr>
        <w:t xml:space="preserve"> F</w:t>
      </w:r>
      <w:r w:rsidRPr="001624C6">
        <w:rPr>
          <w:rFonts w:ascii="Arial" w:eastAsia="Calibri" w:hAnsi="Arial" w:cs="Arial"/>
          <w:b/>
          <w:sz w:val="22"/>
        </w:rPr>
        <w:t xml:space="preserve">ormulario </w:t>
      </w:r>
      <w:r w:rsidR="004B5FBC" w:rsidRPr="001624C6">
        <w:rPr>
          <w:rFonts w:ascii="Arial" w:eastAsia="Calibri" w:hAnsi="Arial" w:cs="Arial"/>
          <w:b/>
          <w:sz w:val="22"/>
        </w:rPr>
        <w:t xml:space="preserve">1 </w:t>
      </w:r>
      <w:r w:rsidR="00B60A33" w:rsidRPr="001624C6">
        <w:rPr>
          <w:rFonts w:ascii="Arial" w:eastAsia="Calibri" w:hAnsi="Arial" w:cs="Arial"/>
          <w:b/>
          <w:sz w:val="22"/>
        </w:rPr>
        <w:t>–</w:t>
      </w:r>
      <w:r w:rsidR="004B5FBC" w:rsidRPr="001624C6">
        <w:rPr>
          <w:rFonts w:ascii="Arial" w:eastAsia="Calibri" w:hAnsi="Arial" w:cs="Arial"/>
          <w:b/>
          <w:sz w:val="22"/>
        </w:rPr>
        <w:t xml:space="preserve"> Contenido y usos </w:t>
      </w:r>
    </w:p>
    <w:p w14:paraId="65D83417" w14:textId="77777777" w:rsidR="004B5FBC" w:rsidRPr="001624C6" w:rsidRDefault="004B5FBC" w:rsidP="00A715D8">
      <w:pPr>
        <w:jc w:val="both"/>
        <w:rPr>
          <w:rFonts w:ascii="Arial" w:eastAsia="Calibri" w:hAnsi="Arial" w:cs="Arial"/>
          <w:b/>
          <w:sz w:val="20"/>
          <w:szCs w:val="20"/>
        </w:rPr>
      </w:pPr>
    </w:p>
    <w:p w14:paraId="1F7D9AAD" w14:textId="105932FF" w:rsidR="009C752F" w:rsidRDefault="009C752F" w:rsidP="009C752F">
      <w:pPr>
        <w:jc w:val="both"/>
        <w:rPr>
          <w:rFonts w:ascii="Arial" w:eastAsia="Calibri" w:hAnsi="Arial" w:cs="Arial"/>
          <w:sz w:val="20"/>
          <w:szCs w:val="20"/>
        </w:rPr>
      </w:pPr>
      <w:r w:rsidRPr="009C752F">
        <w:rPr>
          <w:rFonts w:ascii="Arial" w:eastAsia="Calibri" w:hAnsi="Arial" w:cs="Arial"/>
          <w:sz w:val="20"/>
          <w:szCs w:val="20"/>
        </w:rPr>
        <w:t xml:space="preserve">En la estructuración de los Documentos Tipo se consideraron dos opciones para establecer el formulario de presupuesto oficial y el formato de propuesta económica. Una de ellas era fijar dos documentos diferentes, de manera que la entidad estatal publicara tanto el presupuesto oficial como el formato de oferta económica al cual se deberían sujetar los oferentes. Sin embargo, esta opción, a juicio de la mesa técnica de estructuración de los documentos tipo, generaba la dificultad de presentar información duplicada y confundir a los oferentes. Así, por ejemplo, si en el formulario de presupuesto oficial la entidad estatal definía determinadas cantidades para un ítem y en el formato de propuesta económica establecía unas cantidades diferentes para el mismo ítem, confundiría al oferente sobre las cantidades sobre las cuales debe presentar su propuesta económica y generaría discusiones en la fase de evaluación. </w:t>
      </w:r>
    </w:p>
    <w:p w14:paraId="4906220D" w14:textId="77777777" w:rsidR="009C752F" w:rsidRPr="009C752F" w:rsidRDefault="009C752F" w:rsidP="009C752F">
      <w:pPr>
        <w:jc w:val="both"/>
        <w:rPr>
          <w:rFonts w:ascii="Arial" w:eastAsia="Calibri" w:hAnsi="Arial" w:cs="Arial"/>
          <w:sz w:val="20"/>
          <w:szCs w:val="20"/>
        </w:rPr>
      </w:pPr>
    </w:p>
    <w:p w14:paraId="3E442AA0" w14:textId="30A3A0B6" w:rsidR="004B5FBC" w:rsidRPr="001624C6" w:rsidRDefault="009C752F" w:rsidP="009C752F">
      <w:pPr>
        <w:jc w:val="both"/>
        <w:rPr>
          <w:rFonts w:ascii="Arial" w:eastAsia="Calibri" w:hAnsi="Arial" w:cs="Arial"/>
          <w:sz w:val="20"/>
          <w:szCs w:val="20"/>
        </w:rPr>
      </w:pPr>
      <w:r w:rsidRPr="009C752F">
        <w:rPr>
          <w:rFonts w:ascii="Arial" w:eastAsia="Calibri" w:hAnsi="Arial" w:cs="Arial"/>
          <w:sz w:val="20"/>
          <w:szCs w:val="20"/>
        </w:rPr>
        <w:t xml:space="preserve">La otra opción que se consideró fue que el Formulario 1 tuviera las dos connotaciones o usos en los Documentos Tipo: por un lado, que fuera el formulario sobre el cual la entidad estructura y presenta el presupuesto oficial del proceso de contratación y, por el otro, fuera el formulario sobre el cual los proponentes elaborarán y presentarán la oferta económica. Esta doble connotación fue la adoptada en los Documentos Tipo para evitar la duplicidad de información y permitir que las propuestas económicas fueran evaluadas con las variables, cantidades, unidades de medida y reglas consideradas por la entidad estatal al estructurar su presupuesto </w:t>
      </w:r>
      <w:proofErr w:type="gramStart"/>
      <w:r w:rsidRPr="009C752F">
        <w:rPr>
          <w:rFonts w:ascii="Arial" w:eastAsia="Calibri" w:hAnsi="Arial" w:cs="Arial"/>
          <w:sz w:val="20"/>
          <w:szCs w:val="20"/>
        </w:rPr>
        <w:t>oficial.</w:t>
      </w:r>
      <w:r w:rsidR="001624C6" w:rsidRPr="001624C6">
        <w:rPr>
          <w:rFonts w:ascii="Arial" w:eastAsia="Calibri" w:hAnsi="Arial" w:cs="Arial"/>
          <w:sz w:val="20"/>
          <w:szCs w:val="20"/>
        </w:rPr>
        <w:t>.</w:t>
      </w:r>
      <w:proofErr w:type="gramEnd"/>
    </w:p>
    <w:p w14:paraId="61432806" w14:textId="5405D771" w:rsidR="004B5FBC" w:rsidRPr="001624C6" w:rsidRDefault="004B5FBC" w:rsidP="004B5FBC">
      <w:pPr>
        <w:jc w:val="both"/>
        <w:rPr>
          <w:rFonts w:ascii="Arial" w:eastAsia="Calibri" w:hAnsi="Arial" w:cs="Arial"/>
          <w:sz w:val="20"/>
          <w:szCs w:val="20"/>
          <w:highlight w:val="yellow"/>
        </w:rPr>
      </w:pPr>
    </w:p>
    <w:p w14:paraId="7F26FD70" w14:textId="50320C18" w:rsidR="001624C6" w:rsidRPr="001624C6" w:rsidRDefault="001624C6" w:rsidP="004B5FBC">
      <w:pPr>
        <w:jc w:val="both"/>
        <w:rPr>
          <w:rFonts w:ascii="Arial" w:eastAsia="Calibri" w:hAnsi="Arial" w:cs="Arial"/>
          <w:b/>
          <w:bCs/>
          <w:sz w:val="22"/>
        </w:rPr>
      </w:pPr>
      <w:r w:rsidRPr="001624C6">
        <w:rPr>
          <w:rFonts w:ascii="Arial" w:eastAsia="Calibri" w:hAnsi="Arial" w:cs="Arial"/>
          <w:b/>
          <w:bCs/>
          <w:sz w:val="22"/>
        </w:rPr>
        <w:t>FORMULARIO 1 – Obligatoriedad – Sistema de pagos – Precios unitarios – Causales de rechazo P, Q y R</w:t>
      </w:r>
    </w:p>
    <w:p w14:paraId="2B06DB13" w14:textId="410F2006" w:rsidR="001624C6" w:rsidRPr="001624C6" w:rsidRDefault="001624C6" w:rsidP="004B5FBC">
      <w:pPr>
        <w:jc w:val="both"/>
        <w:rPr>
          <w:rFonts w:ascii="Arial" w:eastAsia="Calibri" w:hAnsi="Arial" w:cs="Arial"/>
          <w:sz w:val="20"/>
          <w:szCs w:val="20"/>
          <w:highlight w:val="yellow"/>
        </w:rPr>
      </w:pPr>
    </w:p>
    <w:p w14:paraId="754390FC" w14:textId="77777777" w:rsidR="009C752F" w:rsidRPr="009C752F" w:rsidRDefault="009C752F" w:rsidP="009C752F">
      <w:pPr>
        <w:autoSpaceDE w:val="0"/>
        <w:autoSpaceDN w:val="0"/>
        <w:adjustRightInd w:val="0"/>
        <w:jc w:val="both"/>
        <w:rPr>
          <w:rFonts w:ascii="Arial" w:eastAsia="Calibri" w:hAnsi="Arial" w:cs="Arial"/>
          <w:sz w:val="20"/>
          <w:szCs w:val="20"/>
        </w:rPr>
      </w:pPr>
      <w:r w:rsidRPr="009C752F">
        <w:rPr>
          <w:rFonts w:ascii="Arial" w:eastAsia="Calibri" w:hAnsi="Arial" w:cs="Arial"/>
          <w:sz w:val="20"/>
          <w:szCs w:val="20"/>
        </w:rPr>
        <w:t xml:space="preserve">En el marco de la obligatoria aplicación del «Formulario 1–Formulario de Presupuesto Oficial», las entidades podrán optar o no por la forma de pago de precios unitarios. En caso de hacerlo deberán aplicar su contenido, estructura y las notas 1, 2 y 3 en él contenidas, además de incluir en el pliego de condiciones las causales de rechazo relacionadas con dicho sistema de pago, como es el caso de las causales establecidas en los literales P, Q y R del numeral 1.15 del Documento Base. En caso de optar por una modalidad de pago diferente, le corresponde a la entidad adecuar el contenido del «Formulario 1–Formulario de Presupuesto Oficial», de tal manera que este pueda servir para sus dos finalidades, de acuerdo con las particularidades de la forma de pago que se escoja, prescindiendo además de la aplicación de las causales de rechazo antes mencionadas, al estar concebidas para procesos con precios unitarios. </w:t>
      </w:r>
    </w:p>
    <w:p w14:paraId="10BE3EDB" w14:textId="3C1DFA59" w:rsidR="00216E78" w:rsidRPr="001624C6" w:rsidRDefault="009C752F" w:rsidP="009C752F">
      <w:pPr>
        <w:autoSpaceDE w:val="0"/>
        <w:autoSpaceDN w:val="0"/>
        <w:adjustRightInd w:val="0"/>
        <w:rPr>
          <w:rFonts w:ascii="Arial" w:hAnsi="Arial" w:cs="Arial"/>
          <w:b/>
          <w:bCs/>
          <w:sz w:val="16"/>
          <w:szCs w:val="16"/>
          <w:lang w:val="es-CO"/>
        </w:rPr>
      </w:pPr>
      <w:r w:rsidRPr="009C752F">
        <w:rPr>
          <w:rFonts w:ascii="Arial" w:eastAsia="Calibri" w:hAnsi="Arial" w:cs="Arial"/>
          <w:sz w:val="20"/>
          <w:szCs w:val="20"/>
        </w:rPr>
        <w:lastRenderedPageBreak/>
        <w:t>En todo caso, indistintamente de la forma de pago que se escoja, las entidades estatales regidas por el Estatuto General de Contratación de la Administración Pública, en el marco de procesos de licitación de obra pública de infraestructura de transporte, no podrán prescindir de la aplicación del «Formulario 1–Formulario de Presupuesto Oficial».</w:t>
      </w:r>
      <w:r w:rsidR="00216E78" w:rsidRPr="001624C6">
        <w:rPr>
          <w:rFonts w:ascii="Arial" w:hAnsi="Arial" w:cs="Arial"/>
          <w:b/>
          <w:bCs/>
          <w:sz w:val="16"/>
          <w:szCs w:val="16"/>
          <w:lang w:val="es-CO"/>
        </w:rPr>
        <w:t xml:space="preserve"> </w:t>
      </w:r>
    </w:p>
    <w:p w14:paraId="1AD84B11" w14:textId="0EFAC177" w:rsidR="009B33B9" w:rsidRDefault="009B33B9" w:rsidP="009B33B9">
      <w:pPr>
        <w:autoSpaceDE w:val="0"/>
        <w:autoSpaceDN w:val="0"/>
        <w:adjustRightInd w:val="0"/>
        <w:rPr>
          <w:rFonts w:ascii="Arial" w:hAnsi="Arial" w:cs="Arial"/>
          <w:color w:val="000000"/>
          <w:szCs w:val="24"/>
          <w:lang w:val="es-CO"/>
        </w:rPr>
      </w:pPr>
    </w:p>
    <w:p w14:paraId="44DCBD15" w14:textId="77777777" w:rsidR="004C3250" w:rsidRPr="009B33B9" w:rsidRDefault="004C3250" w:rsidP="009B33B9">
      <w:pPr>
        <w:autoSpaceDE w:val="0"/>
        <w:autoSpaceDN w:val="0"/>
        <w:adjustRightInd w:val="0"/>
        <w:rPr>
          <w:rFonts w:ascii="Arial" w:hAnsi="Arial" w:cs="Arial"/>
          <w:color w:val="000000"/>
          <w:szCs w:val="24"/>
          <w:lang w:val="es-CO"/>
        </w:rPr>
      </w:pPr>
    </w:p>
    <w:p w14:paraId="76C4979A" w14:textId="13AAF2F4" w:rsidR="009B33B9" w:rsidRPr="009B33B9" w:rsidRDefault="009B33B9" w:rsidP="009B33B9">
      <w:pPr>
        <w:autoSpaceDE w:val="0"/>
        <w:autoSpaceDN w:val="0"/>
        <w:adjustRightInd w:val="0"/>
        <w:rPr>
          <w:rFonts w:ascii="Arial" w:hAnsi="Arial" w:cs="Arial"/>
          <w:color w:val="000000"/>
          <w:sz w:val="22"/>
          <w:lang w:val="es-CO"/>
        </w:rPr>
      </w:pPr>
      <w:r w:rsidRPr="009B33B9">
        <w:rPr>
          <w:rFonts w:ascii="Arial" w:hAnsi="Arial" w:cs="Arial"/>
          <w:color w:val="000000"/>
          <w:sz w:val="22"/>
          <w:lang w:val="es-CO"/>
        </w:rPr>
        <w:t xml:space="preserve">Bogotá D.C., </w:t>
      </w:r>
      <w:r w:rsidRPr="009B33B9">
        <w:rPr>
          <w:rFonts w:ascii="Arial" w:hAnsi="Arial" w:cs="Arial"/>
          <w:b/>
          <w:bCs/>
          <w:color w:val="000000"/>
          <w:sz w:val="22"/>
          <w:lang w:val="es-CO"/>
        </w:rPr>
        <w:t xml:space="preserve">22/12/2020 Hora 19:14:7s </w:t>
      </w:r>
    </w:p>
    <w:p w14:paraId="2861C1F1" w14:textId="6EF8D346" w:rsidR="001624C6" w:rsidRPr="001624C6" w:rsidRDefault="009B33B9" w:rsidP="009B33B9">
      <w:pPr>
        <w:jc w:val="right"/>
        <w:rPr>
          <w:rFonts w:ascii="Arial" w:eastAsia="Calibri" w:hAnsi="Arial" w:cs="Arial"/>
          <w:sz w:val="22"/>
        </w:rPr>
      </w:pPr>
      <w:proofErr w:type="spellStart"/>
      <w:r w:rsidRPr="009B33B9">
        <w:rPr>
          <w:rFonts w:ascii="Arial" w:hAnsi="Arial" w:cs="Arial"/>
          <w:b/>
          <w:bCs/>
          <w:color w:val="000000"/>
          <w:sz w:val="22"/>
          <w:lang w:val="es-CO"/>
        </w:rPr>
        <w:t>N°</w:t>
      </w:r>
      <w:proofErr w:type="spellEnd"/>
      <w:r w:rsidRPr="009B33B9">
        <w:rPr>
          <w:rFonts w:ascii="Arial" w:hAnsi="Arial" w:cs="Arial"/>
          <w:b/>
          <w:bCs/>
          <w:color w:val="000000"/>
          <w:sz w:val="22"/>
          <w:lang w:val="es-CO"/>
        </w:rPr>
        <w:t xml:space="preserve"> Radicado: 2202013000012075</w:t>
      </w:r>
    </w:p>
    <w:p w14:paraId="7577E577" w14:textId="77777777" w:rsidR="009B33B9" w:rsidRDefault="009B33B9" w:rsidP="004B5FBC">
      <w:pPr>
        <w:rPr>
          <w:rFonts w:ascii="Arial" w:eastAsia="Calibri" w:hAnsi="Arial" w:cs="Arial"/>
          <w:sz w:val="22"/>
        </w:rPr>
      </w:pPr>
    </w:p>
    <w:p w14:paraId="5BFAB834" w14:textId="7C16102F" w:rsidR="004B5FBC" w:rsidRPr="001624C6" w:rsidRDefault="004B5FBC" w:rsidP="004B5FBC">
      <w:pPr>
        <w:rPr>
          <w:rFonts w:ascii="Arial" w:eastAsia="Calibri" w:hAnsi="Arial" w:cs="Arial"/>
          <w:sz w:val="22"/>
        </w:rPr>
      </w:pPr>
      <w:r w:rsidRPr="001624C6">
        <w:rPr>
          <w:rFonts w:ascii="Arial" w:eastAsia="Calibri" w:hAnsi="Arial" w:cs="Arial"/>
          <w:sz w:val="22"/>
        </w:rPr>
        <w:t xml:space="preserve">Señor </w:t>
      </w:r>
    </w:p>
    <w:p w14:paraId="30087C04" w14:textId="25DE4304" w:rsidR="00594041" w:rsidRPr="001624C6" w:rsidRDefault="00594041" w:rsidP="004B5FBC">
      <w:pPr>
        <w:rPr>
          <w:rFonts w:ascii="Arial" w:eastAsia="Calibri" w:hAnsi="Arial" w:cs="Arial"/>
          <w:b/>
          <w:sz w:val="22"/>
        </w:rPr>
      </w:pPr>
      <w:r w:rsidRPr="001624C6">
        <w:rPr>
          <w:rFonts w:ascii="Arial" w:eastAsia="Calibri" w:hAnsi="Arial" w:cs="Arial"/>
          <w:b/>
          <w:sz w:val="22"/>
        </w:rPr>
        <w:t>Luis Alexis Correa</w:t>
      </w:r>
    </w:p>
    <w:p w14:paraId="1E4AE5BC" w14:textId="3FB96341" w:rsidR="004B5FBC" w:rsidRPr="001624C6" w:rsidRDefault="00594041" w:rsidP="004B5FBC">
      <w:pPr>
        <w:rPr>
          <w:rFonts w:ascii="Arial" w:eastAsia="Calibri" w:hAnsi="Arial" w:cs="Arial"/>
          <w:sz w:val="22"/>
        </w:rPr>
      </w:pPr>
      <w:r w:rsidRPr="001624C6">
        <w:rPr>
          <w:rFonts w:ascii="Arial" w:eastAsia="Calibri" w:hAnsi="Arial" w:cs="Arial"/>
          <w:sz w:val="22"/>
        </w:rPr>
        <w:t>Piedecuesta, Santander</w:t>
      </w:r>
    </w:p>
    <w:p w14:paraId="46B71FDB" w14:textId="77777777" w:rsidR="001624C6" w:rsidRPr="001624C6" w:rsidRDefault="001624C6" w:rsidP="004B5FBC">
      <w:pPr>
        <w:rPr>
          <w:rFonts w:ascii="Arial" w:eastAsia="Calibri" w:hAnsi="Arial" w:cs="Arial"/>
          <w:sz w:val="22"/>
        </w:rPr>
      </w:pPr>
    </w:p>
    <w:p w14:paraId="1F687687" w14:textId="77777777" w:rsidR="001624C6" w:rsidRPr="001624C6" w:rsidRDefault="001624C6" w:rsidP="004B5FBC">
      <w:pPr>
        <w:rPr>
          <w:rFonts w:ascii="Arial" w:eastAsia="Calibri" w:hAnsi="Arial" w:cs="Arial"/>
          <w:sz w:val="22"/>
        </w:rPr>
      </w:pPr>
    </w:p>
    <w:p w14:paraId="79FC2217" w14:textId="7201CE84" w:rsidR="004B5FBC" w:rsidRPr="001624C6" w:rsidRDefault="004B5FBC" w:rsidP="004B5FBC">
      <w:pPr>
        <w:jc w:val="center"/>
        <w:rPr>
          <w:rFonts w:ascii="Arial" w:eastAsia="Calibri" w:hAnsi="Arial" w:cs="Arial"/>
          <w:b/>
          <w:sz w:val="22"/>
        </w:rPr>
      </w:pPr>
      <w:r w:rsidRPr="001624C6">
        <w:rPr>
          <w:rFonts w:ascii="Arial" w:eastAsia="Calibri" w:hAnsi="Arial" w:cs="Arial"/>
          <w:b/>
          <w:sz w:val="22"/>
        </w:rPr>
        <w:t xml:space="preserve">Concepto C ─ </w:t>
      </w:r>
      <w:r w:rsidR="00594041" w:rsidRPr="001624C6">
        <w:rPr>
          <w:rFonts w:ascii="Arial" w:eastAsia="Calibri" w:hAnsi="Arial" w:cs="Arial"/>
          <w:b/>
          <w:sz w:val="22"/>
        </w:rPr>
        <w:t>746</w:t>
      </w:r>
      <w:r w:rsidRPr="001624C6">
        <w:rPr>
          <w:rFonts w:ascii="Arial" w:eastAsia="Calibri" w:hAnsi="Arial" w:cs="Arial"/>
          <w:b/>
          <w:sz w:val="22"/>
        </w:rPr>
        <w:t xml:space="preserve"> de 2020</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624C6" w:rsidRPr="001624C6" w14:paraId="3596FAC4" w14:textId="77777777" w:rsidTr="6E537E4C">
        <w:trPr>
          <w:trHeight w:val="319"/>
        </w:trPr>
        <w:tc>
          <w:tcPr>
            <w:tcW w:w="2689" w:type="dxa"/>
            <w:hideMark/>
          </w:tcPr>
          <w:p w14:paraId="27CE21AA" w14:textId="77777777" w:rsidR="004B5FBC" w:rsidRPr="001624C6" w:rsidRDefault="004B5FBC">
            <w:pPr>
              <w:rPr>
                <w:rFonts w:ascii="Arial" w:eastAsia="Calibri" w:hAnsi="Arial" w:cs="Arial"/>
                <w:sz w:val="22"/>
              </w:rPr>
            </w:pPr>
            <w:r w:rsidRPr="001624C6">
              <w:rPr>
                <w:rFonts w:ascii="Arial" w:eastAsia="Calibri" w:hAnsi="Arial" w:cs="Arial"/>
                <w:b/>
                <w:sz w:val="22"/>
              </w:rPr>
              <w:t>Temas:</w:t>
            </w:r>
            <w:r w:rsidRPr="001624C6">
              <w:rPr>
                <w:rFonts w:ascii="Arial" w:eastAsia="Calibri" w:hAnsi="Arial" w:cs="Arial"/>
                <w:sz w:val="22"/>
              </w:rPr>
              <w:t xml:space="preserve">                                   </w:t>
            </w:r>
          </w:p>
        </w:tc>
        <w:tc>
          <w:tcPr>
            <w:tcW w:w="6237" w:type="dxa"/>
            <w:hideMark/>
          </w:tcPr>
          <w:p w14:paraId="0E2ABD7A" w14:textId="77777777" w:rsidR="001624C6" w:rsidRPr="001624C6" w:rsidRDefault="001624C6" w:rsidP="001624C6">
            <w:pPr>
              <w:jc w:val="both"/>
              <w:rPr>
                <w:rFonts w:ascii="Arial" w:eastAsia="Calibri" w:hAnsi="Arial" w:cs="Arial"/>
                <w:sz w:val="22"/>
              </w:rPr>
            </w:pPr>
          </w:p>
          <w:p w14:paraId="29EE49EE" w14:textId="419EA0E7" w:rsidR="004B5FBC" w:rsidRPr="001624C6" w:rsidRDefault="001624C6" w:rsidP="001624C6">
            <w:pPr>
              <w:jc w:val="both"/>
              <w:rPr>
                <w:rFonts w:ascii="Arial" w:hAnsi="Arial" w:cs="Arial"/>
                <w:sz w:val="20"/>
                <w:szCs w:val="20"/>
              </w:rPr>
            </w:pPr>
            <w:r w:rsidRPr="001624C6">
              <w:rPr>
                <w:rFonts w:ascii="Arial" w:eastAsia="Calibri" w:hAnsi="Arial" w:cs="Arial"/>
                <w:sz w:val="22"/>
              </w:rPr>
              <w:t>DOCUMENTOS TIPO – Inalterabilidad / DOCUMENTOS TIPO – Formulario 1 – Contenido y usos / FORMULARIO 1 – Obligatoriedad – Sistema de pagos – Precios unitarios – Causales de rechazo P, Q y R</w:t>
            </w:r>
          </w:p>
        </w:tc>
      </w:tr>
      <w:tr w:rsidR="00945F54" w:rsidRPr="001624C6" w14:paraId="2806CAD8" w14:textId="77777777" w:rsidTr="6E537E4C">
        <w:tc>
          <w:tcPr>
            <w:tcW w:w="2689" w:type="dxa"/>
            <w:hideMark/>
          </w:tcPr>
          <w:p w14:paraId="7C1EF9BB" w14:textId="77777777" w:rsidR="004B5FBC" w:rsidRPr="001624C6" w:rsidRDefault="004B5FBC">
            <w:pPr>
              <w:rPr>
                <w:rFonts w:ascii="Arial" w:eastAsia="Calibri" w:hAnsi="Arial" w:cs="Arial"/>
                <w:b/>
                <w:sz w:val="22"/>
              </w:rPr>
            </w:pPr>
            <w:r w:rsidRPr="001624C6">
              <w:rPr>
                <w:rFonts w:ascii="Arial" w:eastAsia="Calibri" w:hAnsi="Arial" w:cs="Arial"/>
                <w:b/>
                <w:sz w:val="22"/>
              </w:rPr>
              <w:t>Radicación:</w:t>
            </w:r>
            <w:r w:rsidRPr="001624C6">
              <w:rPr>
                <w:rFonts w:ascii="Arial" w:eastAsia="Calibri" w:hAnsi="Arial" w:cs="Arial"/>
                <w:sz w:val="22"/>
              </w:rPr>
              <w:t xml:space="preserve">                              </w:t>
            </w:r>
          </w:p>
        </w:tc>
        <w:tc>
          <w:tcPr>
            <w:tcW w:w="6237" w:type="dxa"/>
            <w:hideMark/>
          </w:tcPr>
          <w:p w14:paraId="4B5F748B" w14:textId="5357ADCF" w:rsidR="004B5FBC" w:rsidRPr="001624C6" w:rsidRDefault="004B5FBC">
            <w:pPr>
              <w:jc w:val="both"/>
              <w:rPr>
                <w:rFonts w:ascii="Arial" w:eastAsia="Calibri" w:hAnsi="Arial" w:cs="Arial"/>
                <w:sz w:val="22"/>
              </w:rPr>
            </w:pPr>
            <w:r w:rsidRPr="001624C6">
              <w:rPr>
                <w:rFonts w:ascii="Arial" w:eastAsia="Calibri" w:hAnsi="Arial" w:cs="Arial"/>
                <w:sz w:val="22"/>
              </w:rPr>
              <w:t xml:space="preserve">Respuesta a consulta # </w:t>
            </w:r>
            <w:r w:rsidR="00594041" w:rsidRPr="001624C6">
              <w:rPr>
                <w:rFonts w:ascii="Arial" w:eastAsia="Calibri" w:hAnsi="Arial" w:cs="Arial"/>
                <w:sz w:val="22"/>
              </w:rPr>
              <w:t>4202012000010163</w:t>
            </w:r>
          </w:p>
        </w:tc>
      </w:tr>
    </w:tbl>
    <w:p w14:paraId="5D2A1564" w14:textId="0C31BE71" w:rsidR="6E537E4C" w:rsidRPr="001624C6" w:rsidRDefault="6E537E4C"/>
    <w:p w14:paraId="5521D354" w14:textId="77777777" w:rsidR="004B5FBC" w:rsidRPr="001624C6" w:rsidRDefault="004B5FBC" w:rsidP="004B5FBC"/>
    <w:p w14:paraId="0DB53302" w14:textId="4E3E7346" w:rsidR="004B5FBC" w:rsidRPr="001624C6" w:rsidRDefault="004B5FBC" w:rsidP="004B5FBC">
      <w:pPr>
        <w:rPr>
          <w:rFonts w:ascii="Arial" w:eastAsia="Calibri" w:hAnsi="Arial" w:cs="Arial"/>
          <w:sz w:val="22"/>
        </w:rPr>
      </w:pPr>
      <w:r w:rsidRPr="001624C6">
        <w:rPr>
          <w:rFonts w:ascii="Arial" w:eastAsia="Calibri" w:hAnsi="Arial" w:cs="Arial"/>
          <w:sz w:val="22"/>
        </w:rPr>
        <w:t>Estimado señor</w:t>
      </w:r>
      <w:r w:rsidR="0058765A" w:rsidRPr="001624C6">
        <w:rPr>
          <w:rFonts w:ascii="Arial" w:eastAsia="Calibri" w:hAnsi="Arial" w:cs="Arial"/>
          <w:sz w:val="22"/>
        </w:rPr>
        <w:t xml:space="preserve"> </w:t>
      </w:r>
      <w:r w:rsidR="001624C6" w:rsidRPr="001624C6">
        <w:rPr>
          <w:rFonts w:ascii="Arial" w:eastAsia="Calibri" w:hAnsi="Arial" w:cs="Arial"/>
          <w:sz w:val="22"/>
        </w:rPr>
        <w:t>Correa</w:t>
      </w:r>
      <w:r w:rsidRPr="001624C6">
        <w:rPr>
          <w:rFonts w:ascii="Arial" w:eastAsia="Calibri" w:hAnsi="Arial" w:cs="Arial"/>
          <w:sz w:val="22"/>
        </w:rPr>
        <w:t>,</w:t>
      </w:r>
    </w:p>
    <w:p w14:paraId="7B728002" w14:textId="5D3CF66E" w:rsidR="004B5FBC" w:rsidRPr="001624C6" w:rsidRDefault="004B5FBC" w:rsidP="004B5FBC">
      <w:pPr>
        <w:rPr>
          <w:rFonts w:ascii="Arial" w:eastAsia="Calibri" w:hAnsi="Arial" w:cs="Arial"/>
          <w:sz w:val="22"/>
        </w:rPr>
      </w:pPr>
    </w:p>
    <w:p w14:paraId="06C6C4D0" w14:textId="77777777" w:rsidR="001624C6" w:rsidRPr="001624C6" w:rsidRDefault="001624C6" w:rsidP="004B5FBC">
      <w:pPr>
        <w:rPr>
          <w:rFonts w:ascii="Arial" w:eastAsia="Calibri" w:hAnsi="Arial" w:cs="Arial"/>
          <w:sz w:val="22"/>
        </w:rPr>
      </w:pPr>
    </w:p>
    <w:p w14:paraId="72A5B3FA" w14:textId="046D243A" w:rsidR="004B5FBC" w:rsidRPr="001624C6" w:rsidRDefault="004B5FBC" w:rsidP="004B5FBC">
      <w:pPr>
        <w:spacing w:line="276" w:lineRule="auto"/>
        <w:jc w:val="both"/>
        <w:rPr>
          <w:rFonts w:ascii="Arial" w:eastAsia="Calibri" w:hAnsi="Arial" w:cs="Arial"/>
          <w:sz w:val="22"/>
        </w:rPr>
      </w:pPr>
      <w:r w:rsidRPr="001624C6">
        <w:rPr>
          <w:rFonts w:ascii="Arial" w:eastAsia="Calibri" w:hAnsi="Arial" w:cs="Arial"/>
          <w:sz w:val="22"/>
        </w:rPr>
        <w:t xml:space="preserve">En ejercicio de la competencia otorgada por los numerales 8º del artículo 11 y 5º del artículo 3 del Decreto Ley 4170 de 2011, la Agencia Nacional de Contratación Pública ―Colombia Compra Eficiente responde su consulta del </w:t>
      </w:r>
      <w:r w:rsidR="00594041" w:rsidRPr="001624C6">
        <w:rPr>
          <w:rFonts w:ascii="Arial" w:eastAsia="Calibri" w:hAnsi="Arial" w:cs="Arial"/>
          <w:sz w:val="22"/>
        </w:rPr>
        <w:t>9</w:t>
      </w:r>
      <w:r w:rsidRPr="001624C6">
        <w:rPr>
          <w:rFonts w:ascii="Arial" w:eastAsia="Calibri" w:hAnsi="Arial" w:cs="Arial"/>
          <w:sz w:val="22"/>
        </w:rPr>
        <w:t xml:space="preserve"> de </w:t>
      </w:r>
      <w:r w:rsidR="00594041" w:rsidRPr="001624C6">
        <w:rPr>
          <w:rFonts w:ascii="Arial" w:eastAsia="Calibri" w:hAnsi="Arial" w:cs="Arial"/>
          <w:sz w:val="22"/>
        </w:rPr>
        <w:t>noviembre</w:t>
      </w:r>
      <w:r w:rsidRPr="001624C6">
        <w:rPr>
          <w:rFonts w:ascii="Arial" w:eastAsia="Calibri" w:hAnsi="Arial" w:cs="Arial"/>
          <w:sz w:val="22"/>
        </w:rPr>
        <w:t xml:space="preserve"> de 2020. </w:t>
      </w:r>
    </w:p>
    <w:p w14:paraId="59F66359" w14:textId="77777777" w:rsidR="004B5FBC" w:rsidRPr="001624C6" w:rsidRDefault="004B5FBC" w:rsidP="004B5FBC">
      <w:pPr>
        <w:spacing w:line="276" w:lineRule="auto"/>
        <w:jc w:val="both"/>
        <w:rPr>
          <w:rFonts w:ascii="Arial" w:eastAsia="Calibri" w:hAnsi="Arial" w:cs="Arial"/>
          <w:sz w:val="22"/>
        </w:rPr>
      </w:pPr>
    </w:p>
    <w:p w14:paraId="5C4E2BF7" w14:textId="77777777" w:rsidR="004B5FBC" w:rsidRPr="001624C6" w:rsidRDefault="004B5FBC" w:rsidP="004B5FBC">
      <w:pPr>
        <w:pStyle w:val="Prrafodelista"/>
        <w:numPr>
          <w:ilvl w:val="0"/>
          <w:numId w:val="6"/>
        </w:numPr>
        <w:tabs>
          <w:tab w:val="left" w:pos="284"/>
        </w:tabs>
        <w:spacing w:line="276" w:lineRule="auto"/>
        <w:ind w:left="0" w:firstLine="0"/>
        <w:jc w:val="both"/>
        <w:rPr>
          <w:rFonts w:ascii="Arial" w:eastAsia="Calibri" w:hAnsi="Arial" w:cs="Arial"/>
          <w:b/>
          <w:sz w:val="22"/>
        </w:rPr>
      </w:pPr>
      <w:r w:rsidRPr="001624C6">
        <w:rPr>
          <w:rFonts w:ascii="Arial" w:eastAsia="Calibri" w:hAnsi="Arial" w:cs="Arial"/>
          <w:b/>
          <w:sz w:val="22"/>
        </w:rPr>
        <w:t xml:space="preserve">Problemas planteados </w:t>
      </w:r>
    </w:p>
    <w:p w14:paraId="3DF98C61" w14:textId="77777777" w:rsidR="004B5FBC" w:rsidRPr="001624C6" w:rsidRDefault="004B5FBC" w:rsidP="004B5FBC">
      <w:pPr>
        <w:tabs>
          <w:tab w:val="left" w:pos="426"/>
        </w:tabs>
        <w:spacing w:line="276" w:lineRule="auto"/>
        <w:jc w:val="both"/>
        <w:rPr>
          <w:rFonts w:ascii="Arial" w:eastAsia="Calibri" w:hAnsi="Arial" w:cs="Arial"/>
          <w:b/>
          <w:sz w:val="22"/>
        </w:rPr>
      </w:pPr>
    </w:p>
    <w:p w14:paraId="5EA66C6F" w14:textId="31B737EE" w:rsidR="004B5FBC" w:rsidRPr="001624C6" w:rsidRDefault="004B5FBC" w:rsidP="00BB04FF">
      <w:pPr>
        <w:tabs>
          <w:tab w:val="left" w:pos="426"/>
        </w:tabs>
        <w:spacing w:line="276" w:lineRule="auto"/>
        <w:jc w:val="both"/>
        <w:rPr>
          <w:rFonts w:ascii="Arial" w:eastAsia="Calibri" w:hAnsi="Arial" w:cs="Arial"/>
          <w:sz w:val="22"/>
        </w:rPr>
      </w:pPr>
      <w:r w:rsidRPr="001624C6">
        <w:rPr>
          <w:rFonts w:ascii="Arial" w:eastAsia="Calibri" w:hAnsi="Arial" w:cs="Arial"/>
          <w:sz w:val="22"/>
        </w:rPr>
        <w:t xml:space="preserve">Usted </w:t>
      </w:r>
      <w:r w:rsidR="00C200DC" w:rsidRPr="001624C6">
        <w:rPr>
          <w:rFonts w:ascii="Arial" w:eastAsia="Calibri" w:hAnsi="Arial" w:cs="Arial"/>
          <w:sz w:val="22"/>
        </w:rPr>
        <w:t xml:space="preserve">manifiesta </w:t>
      </w:r>
      <w:r w:rsidR="00ED5888">
        <w:rPr>
          <w:rFonts w:ascii="Arial" w:eastAsia="Calibri" w:hAnsi="Arial" w:cs="Arial"/>
          <w:sz w:val="22"/>
        </w:rPr>
        <w:t>realiza la siguiente consulta</w:t>
      </w:r>
      <w:r w:rsidR="003414EC" w:rsidRPr="001624C6">
        <w:rPr>
          <w:rFonts w:ascii="Arial" w:eastAsia="Calibri" w:hAnsi="Arial" w:cs="Arial"/>
          <w:sz w:val="22"/>
        </w:rPr>
        <w:t>:</w:t>
      </w:r>
      <w:r w:rsidR="00E92DB6" w:rsidRPr="001624C6">
        <w:rPr>
          <w:rFonts w:ascii="Arial" w:eastAsia="Calibri" w:hAnsi="Arial" w:cs="Arial"/>
          <w:sz w:val="22"/>
        </w:rPr>
        <w:t xml:space="preserve"> «</w:t>
      </w:r>
      <w:r w:rsidR="003414EC" w:rsidRPr="001624C6">
        <w:t xml:space="preserve">[…] </w:t>
      </w:r>
      <w:r w:rsidR="003414EC" w:rsidRPr="001624C6">
        <w:rPr>
          <w:rFonts w:ascii="Arial" w:eastAsia="Calibri" w:hAnsi="Arial" w:cs="Arial"/>
          <w:sz w:val="22"/>
        </w:rPr>
        <w:t>LA ENTIDAD ESTA OBLIGADA A DILIGENCIAR EL FORMULARI</w:t>
      </w:r>
      <w:r w:rsidR="00ED5888">
        <w:rPr>
          <w:rFonts w:ascii="Arial" w:eastAsia="Calibri" w:hAnsi="Arial" w:cs="Arial"/>
          <w:sz w:val="22"/>
        </w:rPr>
        <w:t xml:space="preserve"> (sic)</w:t>
      </w:r>
      <w:r w:rsidR="003414EC" w:rsidRPr="001624C6">
        <w:rPr>
          <w:rFonts w:ascii="Arial" w:eastAsia="Calibri" w:hAnsi="Arial" w:cs="Arial"/>
          <w:sz w:val="22"/>
        </w:rPr>
        <w:t xml:space="preserve"> 1 PRESUPUESTO OFICIAL? LA ENTIDAD QUE NO DILIGENCIA EL FORMULARIO 1 PRESUPUESTO OFICIAL PUEDE APLICAR LAS CAUSALES DE RECHAZO P - Q- -</w:t>
      </w:r>
      <w:proofErr w:type="gramStart"/>
      <w:r w:rsidR="003414EC" w:rsidRPr="001624C6">
        <w:rPr>
          <w:rFonts w:ascii="Arial" w:eastAsia="Calibri" w:hAnsi="Arial" w:cs="Arial"/>
          <w:sz w:val="22"/>
        </w:rPr>
        <w:t>R ?</w:t>
      </w:r>
      <w:proofErr w:type="gramEnd"/>
      <w:r w:rsidR="003414EC" w:rsidRPr="001624C6">
        <w:rPr>
          <w:rFonts w:ascii="Arial" w:eastAsia="Calibri" w:hAnsi="Arial" w:cs="Arial"/>
          <w:sz w:val="22"/>
        </w:rPr>
        <w:t xml:space="preserve"> […]».</w:t>
      </w:r>
    </w:p>
    <w:p w14:paraId="49F8F703" w14:textId="77777777" w:rsidR="001624C6" w:rsidRPr="001624C6" w:rsidRDefault="001624C6" w:rsidP="00BB04FF">
      <w:pPr>
        <w:tabs>
          <w:tab w:val="left" w:pos="426"/>
        </w:tabs>
        <w:spacing w:line="276" w:lineRule="auto"/>
        <w:jc w:val="both"/>
        <w:rPr>
          <w:rFonts w:ascii="Arial" w:eastAsia="Calibri" w:hAnsi="Arial" w:cs="Arial"/>
          <w:sz w:val="22"/>
        </w:rPr>
      </w:pPr>
    </w:p>
    <w:p w14:paraId="319AD53D" w14:textId="77777777" w:rsidR="004B5FBC" w:rsidRPr="001624C6" w:rsidRDefault="004B5FBC" w:rsidP="004B5FBC">
      <w:pPr>
        <w:pStyle w:val="Prrafodelista"/>
        <w:numPr>
          <w:ilvl w:val="0"/>
          <w:numId w:val="6"/>
        </w:numPr>
        <w:tabs>
          <w:tab w:val="left" w:pos="426"/>
        </w:tabs>
        <w:spacing w:line="276" w:lineRule="auto"/>
        <w:ind w:left="284" w:hanging="284"/>
        <w:jc w:val="both"/>
        <w:rPr>
          <w:rFonts w:ascii="Arial" w:eastAsia="Calibri" w:hAnsi="Arial" w:cs="Arial"/>
          <w:b/>
          <w:sz w:val="22"/>
        </w:rPr>
      </w:pPr>
      <w:r w:rsidRPr="001624C6">
        <w:rPr>
          <w:rFonts w:ascii="Arial" w:eastAsia="Calibri" w:hAnsi="Arial" w:cs="Arial"/>
          <w:b/>
          <w:sz w:val="22"/>
        </w:rPr>
        <w:t>Consideraciones</w:t>
      </w:r>
    </w:p>
    <w:p w14:paraId="705B3317" w14:textId="77777777" w:rsidR="004B5FBC" w:rsidRPr="001624C6" w:rsidRDefault="004B5FBC" w:rsidP="004B5FBC">
      <w:pPr>
        <w:spacing w:line="276" w:lineRule="auto"/>
        <w:ind w:firstLine="708"/>
        <w:jc w:val="both"/>
        <w:rPr>
          <w:rFonts w:ascii="Arial" w:eastAsia="Calibri" w:hAnsi="Arial" w:cs="Arial"/>
          <w:b/>
          <w:sz w:val="22"/>
        </w:rPr>
      </w:pPr>
    </w:p>
    <w:p w14:paraId="51339B0C" w14:textId="5CE97ED9" w:rsidR="00482E04" w:rsidRPr="001624C6" w:rsidRDefault="00104649" w:rsidP="004B5FBC">
      <w:pPr>
        <w:spacing w:line="276" w:lineRule="auto"/>
        <w:jc w:val="both"/>
        <w:rPr>
          <w:rFonts w:ascii="Arial" w:eastAsia="Calibri" w:hAnsi="Arial" w:cs="Arial"/>
          <w:sz w:val="22"/>
        </w:rPr>
      </w:pPr>
      <w:r w:rsidRPr="001624C6">
        <w:rPr>
          <w:rFonts w:ascii="Arial" w:hAnsi="Arial" w:cs="Arial"/>
          <w:sz w:val="22"/>
        </w:rPr>
        <w:t>La Agencia Nacional de Contratación Pública</w:t>
      </w:r>
      <w:r w:rsidR="00ED5888">
        <w:rPr>
          <w:rFonts w:ascii="Arial" w:hAnsi="Arial" w:cs="Arial"/>
          <w:sz w:val="22"/>
        </w:rPr>
        <w:t xml:space="preserve"> – </w:t>
      </w:r>
      <w:r w:rsidRPr="001624C6">
        <w:rPr>
          <w:rFonts w:ascii="Arial" w:hAnsi="Arial" w:cs="Arial"/>
          <w:sz w:val="22"/>
        </w:rPr>
        <w:t xml:space="preserve">Colombia Compra Eficiente </w:t>
      </w:r>
      <w:r w:rsidRPr="001624C6">
        <w:rPr>
          <w:rFonts w:ascii="Arial" w:eastAsia="Calibri" w:hAnsi="Arial" w:cs="Arial"/>
          <w:sz w:val="22"/>
        </w:rPr>
        <w:t xml:space="preserve">en </w:t>
      </w:r>
      <w:r w:rsidR="00EA780D" w:rsidRPr="001624C6">
        <w:rPr>
          <w:rFonts w:ascii="Arial" w:eastAsia="Calibri" w:hAnsi="Arial" w:cs="Arial"/>
          <w:sz w:val="22"/>
        </w:rPr>
        <w:t xml:space="preserve">los </w:t>
      </w:r>
      <w:r w:rsidRPr="001624C6">
        <w:rPr>
          <w:rFonts w:ascii="Arial" w:eastAsia="Calibri" w:hAnsi="Arial" w:cs="Arial"/>
          <w:sz w:val="22"/>
        </w:rPr>
        <w:t>concepto</w:t>
      </w:r>
      <w:r w:rsidR="00EA780D" w:rsidRPr="001624C6">
        <w:rPr>
          <w:rFonts w:ascii="Arial" w:eastAsia="Calibri" w:hAnsi="Arial" w:cs="Arial"/>
          <w:sz w:val="22"/>
        </w:rPr>
        <w:t>s</w:t>
      </w:r>
      <w:r w:rsidRPr="001624C6">
        <w:rPr>
          <w:rFonts w:ascii="Arial" w:eastAsia="Calibri" w:hAnsi="Arial" w:cs="Arial"/>
          <w:sz w:val="22"/>
        </w:rPr>
        <w:t xml:space="preserve"> con radicado No</w:t>
      </w:r>
      <w:r w:rsidR="001B7BB3" w:rsidRPr="001624C6">
        <w:rPr>
          <w:rFonts w:ascii="Arial" w:eastAsia="Calibri" w:hAnsi="Arial" w:cs="Arial"/>
          <w:sz w:val="22"/>
        </w:rPr>
        <w:t>s</w:t>
      </w:r>
      <w:r w:rsidRPr="001624C6">
        <w:rPr>
          <w:rFonts w:ascii="Arial" w:eastAsia="Calibri" w:hAnsi="Arial" w:cs="Arial"/>
          <w:sz w:val="22"/>
        </w:rPr>
        <w:t xml:space="preserve">. </w:t>
      </w:r>
      <w:r w:rsidR="00FC5B56" w:rsidRPr="001624C6">
        <w:rPr>
          <w:rFonts w:ascii="Arial" w:eastAsia="Calibri" w:hAnsi="Arial" w:cs="Arial"/>
          <w:sz w:val="22"/>
        </w:rPr>
        <w:t xml:space="preserve">2202013000000505 y </w:t>
      </w:r>
      <w:r w:rsidR="007B6833" w:rsidRPr="001624C6">
        <w:rPr>
          <w:rFonts w:ascii="Arial" w:eastAsia="Calibri" w:hAnsi="Arial" w:cs="Arial"/>
          <w:sz w:val="22"/>
        </w:rPr>
        <w:t xml:space="preserve">2202013000000497 </w:t>
      </w:r>
      <w:r w:rsidRPr="001624C6">
        <w:rPr>
          <w:rFonts w:ascii="Arial" w:eastAsia="Calibri" w:hAnsi="Arial" w:cs="Arial"/>
          <w:sz w:val="22"/>
        </w:rPr>
        <w:t xml:space="preserve">del </w:t>
      </w:r>
      <w:r w:rsidR="00517B00" w:rsidRPr="001624C6">
        <w:rPr>
          <w:rFonts w:ascii="Arial" w:eastAsia="Calibri" w:hAnsi="Arial" w:cs="Arial"/>
          <w:sz w:val="22"/>
        </w:rPr>
        <w:t>28 de enero de 202</w:t>
      </w:r>
      <w:r w:rsidR="001B7BB3" w:rsidRPr="001624C6">
        <w:rPr>
          <w:rFonts w:ascii="Arial" w:eastAsia="Calibri" w:hAnsi="Arial" w:cs="Arial"/>
          <w:sz w:val="22"/>
        </w:rPr>
        <w:t>0</w:t>
      </w:r>
      <w:r w:rsidRPr="001624C6">
        <w:rPr>
          <w:rFonts w:ascii="Arial" w:eastAsia="Calibri" w:hAnsi="Arial" w:cs="Arial"/>
          <w:sz w:val="22"/>
        </w:rPr>
        <w:t>,</w:t>
      </w:r>
      <w:r w:rsidR="003414EC" w:rsidRPr="001624C6">
        <w:rPr>
          <w:rFonts w:ascii="Arial" w:eastAsia="Calibri" w:hAnsi="Arial" w:cs="Arial"/>
          <w:sz w:val="22"/>
        </w:rPr>
        <w:t xml:space="preserve"> C-037 28 de enero de 2020, C-038 del 28 de enero de 2020, C-093 del 28 de febrero de 2020 y C-429 del </w:t>
      </w:r>
      <w:r w:rsidR="006E77DB" w:rsidRPr="001624C6">
        <w:rPr>
          <w:rFonts w:ascii="Arial" w:eastAsia="Calibri" w:hAnsi="Arial" w:cs="Arial"/>
          <w:sz w:val="22"/>
        </w:rPr>
        <w:t>24 de julio de 2020</w:t>
      </w:r>
      <w:r w:rsidRPr="001624C6">
        <w:rPr>
          <w:rFonts w:ascii="Arial" w:eastAsia="Calibri" w:hAnsi="Arial" w:cs="Arial"/>
          <w:sz w:val="22"/>
        </w:rPr>
        <w:t xml:space="preserve"> analizó </w:t>
      </w:r>
      <w:r w:rsidR="007B6833" w:rsidRPr="001624C6">
        <w:rPr>
          <w:rFonts w:ascii="Arial" w:eastAsia="Calibri" w:hAnsi="Arial" w:cs="Arial"/>
          <w:sz w:val="22"/>
        </w:rPr>
        <w:t xml:space="preserve">la naturaleza </w:t>
      </w:r>
      <w:r w:rsidR="003C271C" w:rsidRPr="001624C6">
        <w:rPr>
          <w:rFonts w:ascii="Arial" w:eastAsia="Calibri" w:hAnsi="Arial" w:cs="Arial"/>
          <w:sz w:val="22"/>
        </w:rPr>
        <w:t xml:space="preserve">y características del </w:t>
      </w:r>
      <w:r w:rsidR="003C271C" w:rsidRPr="001624C6">
        <w:rPr>
          <w:rFonts w:ascii="Arial" w:eastAsia="Calibri" w:hAnsi="Arial" w:cs="Arial"/>
          <w:sz w:val="22"/>
        </w:rPr>
        <w:lastRenderedPageBreak/>
        <w:t>«Formulario 1– Formulario de Presupuesto Oficial» «en adelante Formulario 1»</w:t>
      </w:r>
      <w:r w:rsidRPr="001624C6">
        <w:rPr>
          <w:rFonts w:ascii="Arial" w:eastAsia="Calibri" w:hAnsi="Arial" w:cs="Arial"/>
          <w:sz w:val="22"/>
        </w:rPr>
        <w:t xml:space="preserve">. La tesis desarrollada en estos conceptos se expone a continuación. </w:t>
      </w:r>
    </w:p>
    <w:p w14:paraId="75C3FA27" w14:textId="0D882B5A" w:rsidR="004B5FBC" w:rsidRPr="001624C6" w:rsidRDefault="004B5FBC" w:rsidP="004B7814">
      <w:pPr>
        <w:spacing w:before="120" w:line="276" w:lineRule="auto"/>
        <w:ind w:firstLine="709"/>
        <w:jc w:val="both"/>
        <w:rPr>
          <w:rFonts w:ascii="Arial" w:eastAsia="Calibri" w:hAnsi="Arial" w:cs="Arial"/>
          <w:sz w:val="22"/>
        </w:rPr>
      </w:pPr>
      <w:r w:rsidRPr="001624C6">
        <w:rPr>
          <w:rFonts w:ascii="Arial" w:eastAsia="Calibri" w:hAnsi="Arial" w:cs="Arial"/>
          <w:sz w:val="22"/>
        </w:rPr>
        <w:t xml:space="preserve">Los Documentos Tipo, adoptados </w:t>
      </w:r>
      <w:r w:rsidR="00BB04FF" w:rsidRPr="001624C6">
        <w:rPr>
          <w:rFonts w:ascii="Arial" w:eastAsia="Calibri" w:hAnsi="Arial" w:cs="Arial"/>
          <w:sz w:val="22"/>
        </w:rPr>
        <w:t xml:space="preserve">en virtud de lo dispuesto en el parágrafo 7 del artículo 2 de la Ley 1150 de 2007, modificado por </w:t>
      </w:r>
      <w:proofErr w:type="gramStart"/>
      <w:r w:rsidR="00BB04FF" w:rsidRPr="001624C6">
        <w:rPr>
          <w:rFonts w:ascii="Arial" w:eastAsia="Calibri" w:hAnsi="Arial" w:cs="Arial"/>
          <w:sz w:val="22"/>
        </w:rPr>
        <w:t>la leyes</w:t>
      </w:r>
      <w:proofErr w:type="gramEnd"/>
      <w:r w:rsidR="00BB04FF" w:rsidRPr="001624C6">
        <w:rPr>
          <w:rFonts w:ascii="Arial" w:eastAsia="Calibri" w:hAnsi="Arial" w:cs="Arial"/>
          <w:sz w:val="22"/>
        </w:rPr>
        <w:t xml:space="preserve"> 1882 y 2022 de 2020</w:t>
      </w:r>
      <w:r w:rsidR="00BB04FF" w:rsidRPr="001624C6">
        <w:rPr>
          <w:rStyle w:val="Refdenotaalpie"/>
          <w:rFonts w:ascii="Arial" w:eastAsia="Calibri" w:hAnsi="Arial" w:cs="Arial"/>
          <w:sz w:val="22"/>
        </w:rPr>
        <w:footnoteReference w:id="2"/>
      </w:r>
      <w:r w:rsidR="00BB04FF" w:rsidRPr="001624C6">
        <w:rPr>
          <w:rFonts w:ascii="Arial" w:eastAsia="Calibri" w:hAnsi="Arial" w:cs="Arial"/>
          <w:sz w:val="22"/>
        </w:rPr>
        <w:t xml:space="preserve">, </w:t>
      </w:r>
      <w:r w:rsidRPr="001624C6">
        <w:rPr>
          <w:rFonts w:ascii="Arial" w:eastAsia="Calibri" w:hAnsi="Arial" w:cs="Arial"/>
          <w:sz w:val="22"/>
        </w:rPr>
        <w:t>mediante el Decreto 342 de 2019 e implementados y desarrollados</w:t>
      </w:r>
      <w:r w:rsidR="00A66BA8">
        <w:rPr>
          <w:rFonts w:ascii="Arial" w:eastAsia="Calibri" w:hAnsi="Arial" w:cs="Arial"/>
          <w:sz w:val="22"/>
        </w:rPr>
        <w:t xml:space="preserve"> mediante</w:t>
      </w:r>
      <w:r w:rsidRPr="001624C6">
        <w:rPr>
          <w:rFonts w:ascii="Arial" w:eastAsia="Calibri" w:hAnsi="Arial" w:cs="Arial"/>
          <w:sz w:val="22"/>
        </w:rPr>
        <w:t xml:space="preserve"> la Resolución 1798 de 2019</w:t>
      </w:r>
      <w:r w:rsidR="00ED5888">
        <w:rPr>
          <w:rFonts w:ascii="Arial" w:eastAsia="Calibri" w:hAnsi="Arial" w:cs="Arial"/>
          <w:sz w:val="22"/>
        </w:rPr>
        <w:t xml:space="preserve"> </w:t>
      </w:r>
      <w:r w:rsidR="007A4D54" w:rsidRPr="001624C6">
        <w:rPr>
          <w:rFonts w:ascii="Arial" w:eastAsia="Calibri" w:hAnsi="Arial" w:cs="Arial"/>
          <w:sz w:val="22"/>
        </w:rPr>
        <w:t>–Versión 1–</w:t>
      </w:r>
      <w:r w:rsidRPr="001624C6">
        <w:rPr>
          <w:rFonts w:ascii="Arial" w:eastAsia="Calibri" w:hAnsi="Arial" w:cs="Arial"/>
          <w:sz w:val="22"/>
        </w:rPr>
        <w:t>,</w:t>
      </w:r>
      <w:r w:rsidR="007A4D54" w:rsidRPr="001624C6">
        <w:rPr>
          <w:rFonts w:ascii="Arial" w:eastAsia="Calibri" w:hAnsi="Arial" w:cs="Arial"/>
          <w:sz w:val="22"/>
        </w:rPr>
        <w:t xml:space="preserve"> actualizados por la Resolución No. 045 de 2020</w:t>
      </w:r>
      <w:r w:rsidR="00ED5888">
        <w:rPr>
          <w:rFonts w:ascii="Arial" w:eastAsia="Calibri" w:hAnsi="Arial" w:cs="Arial"/>
          <w:sz w:val="22"/>
        </w:rPr>
        <w:t xml:space="preserve"> </w:t>
      </w:r>
      <w:r w:rsidR="007A4D54" w:rsidRPr="001624C6">
        <w:rPr>
          <w:rFonts w:ascii="Arial" w:eastAsia="Calibri" w:hAnsi="Arial" w:cs="Arial"/>
          <w:sz w:val="22"/>
        </w:rPr>
        <w:t>–Versión 2–,</w:t>
      </w:r>
      <w:r w:rsidRPr="001624C6">
        <w:rPr>
          <w:rFonts w:ascii="Arial" w:eastAsia="Calibri" w:hAnsi="Arial" w:cs="Arial"/>
          <w:sz w:val="22"/>
        </w:rPr>
        <w:t xml:space="preserve"> expedida</w:t>
      </w:r>
      <w:r w:rsidR="007A4D54" w:rsidRPr="001624C6">
        <w:rPr>
          <w:rFonts w:ascii="Arial" w:eastAsia="Calibri" w:hAnsi="Arial" w:cs="Arial"/>
          <w:sz w:val="22"/>
        </w:rPr>
        <w:t>s</w:t>
      </w:r>
      <w:r w:rsidRPr="001624C6">
        <w:rPr>
          <w:rFonts w:ascii="Arial" w:eastAsia="Calibri" w:hAnsi="Arial" w:cs="Arial"/>
          <w:sz w:val="22"/>
        </w:rPr>
        <w:t xml:space="preserve"> por Colombia Compra Eficiente</w:t>
      </w:r>
      <w:r w:rsidR="00E66A6D">
        <w:rPr>
          <w:rFonts w:ascii="Arial" w:eastAsia="Calibri" w:hAnsi="Arial" w:cs="Arial"/>
          <w:sz w:val="22"/>
        </w:rPr>
        <w:t xml:space="preserve">. En dichos </w:t>
      </w:r>
      <w:r w:rsidR="004B00C7">
        <w:rPr>
          <w:rFonts w:ascii="Arial" w:eastAsia="Calibri" w:hAnsi="Arial" w:cs="Arial"/>
          <w:sz w:val="22"/>
        </w:rPr>
        <w:t>Documentos Tipo se</w:t>
      </w:r>
      <w:r w:rsidRPr="001624C6">
        <w:rPr>
          <w:rFonts w:ascii="Arial" w:eastAsia="Calibri" w:hAnsi="Arial" w:cs="Arial"/>
          <w:sz w:val="22"/>
        </w:rPr>
        <w:t xml:space="preserve"> establecen las condiciones habilitantes, los factores técnicos y económicos de escogencia y los sistemas de ponderación de carácter obligatorio para las entidades estatales sometidas al Estatuto General de la Contratación Pública</w:t>
      </w:r>
      <w:r w:rsidR="00ED5888">
        <w:rPr>
          <w:rFonts w:ascii="Arial" w:eastAsia="Calibri" w:hAnsi="Arial" w:cs="Arial"/>
          <w:sz w:val="22"/>
        </w:rPr>
        <w:t xml:space="preserve"> </w:t>
      </w:r>
      <w:r w:rsidR="00BB04FF" w:rsidRPr="001624C6">
        <w:rPr>
          <w:rFonts w:ascii="Arial" w:eastAsia="Calibri" w:hAnsi="Arial" w:cs="Arial"/>
          <w:sz w:val="22"/>
        </w:rPr>
        <w:t>–EGCAP–</w:t>
      </w:r>
      <w:r w:rsidR="00ED5888">
        <w:rPr>
          <w:rFonts w:ascii="Arial" w:eastAsia="Calibri" w:hAnsi="Arial" w:cs="Arial"/>
          <w:sz w:val="22"/>
        </w:rPr>
        <w:t>,</w:t>
      </w:r>
      <w:r w:rsidRPr="001624C6">
        <w:rPr>
          <w:rFonts w:ascii="Arial" w:eastAsia="Calibri" w:hAnsi="Arial" w:cs="Arial"/>
          <w:sz w:val="22"/>
        </w:rPr>
        <w:t xml:space="preserve"> que adelanten procesos de selección de licitación de obra pública de infraestructura de transporte. </w:t>
      </w:r>
    </w:p>
    <w:p w14:paraId="6C3D0D62" w14:textId="12048CD2" w:rsidR="007A4D54" w:rsidRPr="001624C6" w:rsidRDefault="007A4D54" w:rsidP="007A4D54">
      <w:pPr>
        <w:spacing w:before="120" w:line="276" w:lineRule="auto"/>
        <w:ind w:firstLine="708"/>
        <w:jc w:val="both"/>
        <w:rPr>
          <w:rFonts w:ascii="Arial" w:hAnsi="Arial" w:cs="Arial"/>
          <w:sz w:val="22"/>
          <w:shd w:val="clear" w:color="auto" w:fill="FFFFFF"/>
        </w:rPr>
      </w:pPr>
      <w:r w:rsidRPr="001624C6">
        <w:rPr>
          <w:rFonts w:ascii="Arial" w:hAnsi="Arial" w:cs="Arial"/>
          <w:sz w:val="22"/>
          <w:shd w:val="clear" w:color="auto" w:fill="FFFFFF"/>
        </w:rPr>
        <w:t xml:space="preserve">Para el procedimiento de licitación pública, el artículo 2.2.1.2.6.1.4 del Decreto 1082 de 2015, adicionado por el Decreto 342 de 2019, dispone la inalterabilidad de los Documentos Tipo, la cual consiste en que las entidades estatales no pueden incluir o modificar en los </w:t>
      </w:r>
      <w:r w:rsidRPr="001624C6">
        <w:rPr>
          <w:rFonts w:ascii="Arial" w:hAnsi="Arial" w:cs="Arial"/>
          <w:i/>
          <w:iCs/>
          <w:sz w:val="22"/>
          <w:shd w:val="clear" w:color="auto" w:fill="FFFFFF"/>
        </w:rPr>
        <w:t>Documentos del Proceso</w:t>
      </w:r>
      <w:r w:rsidRPr="001624C6">
        <w:rPr>
          <w:rFonts w:ascii="Arial" w:hAnsi="Arial" w:cs="Arial"/>
          <w:sz w:val="22"/>
          <w:shd w:val="clear" w:color="auto" w:fill="FFFFFF"/>
        </w:rPr>
        <w:t xml:space="preserve">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w:t>
      </w:r>
      <w:r w:rsidRPr="001624C6">
        <w:rPr>
          <w:rFonts w:ascii="Arial" w:hAnsi="Arial" w:cs="Arial"/>
          <w:sz w:val="22"/>
          <w:shd w:val="clear" w:color="auto" w:fill="FFFFFF"/>
        </w:rPr>
        <w:lastRenderedPageBreak/>
        <w:t>General de Contratación de la Administración Pública que adelanten procesos que deban regirse por su contenido, y no pueden variarlo salvo en los apartes</w:t>
      </w:r>
      <w:r w:rsidR="00BB04FF" w:rsidRPr="001624C6">
        <w:rPr>
          <w:rFonts w:ascii="Arial" w:hAnsi="Arial" w:cs="Arial"/>
          <w:sz w:val="22"/>
          <w:shd w:val="clear" w:color="auto" w:fill="FFFFFF"/>
        </w:rPr>
        <w:t xml:space="preserve"> en</w:t>
      </w:r>
      <w:r w:rsidRPr="001624C6">
        <w:rPr>
          <w:rFonts w:ascii="Arial" w:hAnsi="Arial" w:cs="Arial"/>
          <w:sz w:val="22"/>
          <w:shd w:val="clear" w:color="auto" w:fill="FFFFFF"/>
        </w:rPr>
        <w:t xml:space="preserve"> donde expresamente se determina esta posibilidad y de acuerdo con los parámetros que se indiquen</w:t>
      </w:r>
      <w:r w:rsidR="00ED5888">
        <w:rPr>
          <w:rFonts w:ascii="Arial" w:hAnsi="Arial" w:cs="Arial"/>
          <w:sz w:val="22"/>
          <w:shd w:val="clear" w:color="auto" w:fill="FFFFFF"/>
        </w:rPr>
        <w:t xml:space="preserve"> en cada caso</w:t>
      </w:r>
      <w:r w:rsidRPr="001624C6">
        <w:rPr>
          <w:rFonts w:ascii="Arial" w:hAnsi="Arial" w:cs="Arial"/>
          <w:sz w:val="22"/>
          <w:shd w:val="clear" w:color="auto" w:fill="FFFFFF"/>
        </w:rPr>
        <w:t xml:space="preserve">. </w:t>
      </w:r>
    </w:p>
    <w:p w14:paraId="7A60B3A8" w14:textId="129385D7" w:rsidR="004B5FBC" w:rsidRPr="001624C6" w:rsidRDefault="007A4D54" w:rsidP="009B7C22">
      <w:pPr>
        <w:pStyle w:val="Default"/>
        <w:spacing w:before="120" w:line="276" w:lineRule="auto"/>
        <w:ind w:firstLine="709"/>
        <w:jc w:val="both"/>
        <w:rPr>
          <w:rFonts w:eastAsia="Calibri"/>
          <w:color w:val="auto"/>
          <w:sz w:val="22"/>
          <w:szCs w:val="22"/>
          <w:lang w:val="es-MX"/>
        </w:rPr>
      </w:pPr>
      <w:r w:rsidRPr="001624C6">
        <w:rPr>
          <w:rFonts w:eastAsia="Calibri"/>
          <w:color w:val="auto"/>
          <w:sz w:val="22"/>
          <w:szCs w:val="22"/>
          <w:lang w:val="es-MX"/>
        </w:rPr>
        <w:t>Ahora bien,</w:t>
      </w:r>
      <w:r w:rsidR="004B5FBC" w:rsidRPr="001624C6">
        <w:rPr>
          <w:rFonts w:eastAsia="Calibri"/>
          <w:color w:val="auto"/>
          <w:sz w:val="22"/>
          <w:szCs w:val="22"/>
          <w:lang w:val="es-MX"/>
        </w:rPr>
        <w:t xml:space="preserve"> </w:t>
      </w:r>
      <w:r w:rsidR="0081202B" w:rsidRPr="001624C6">
        <w:rPr>
          <w:rFonts w:eastAsia="Calibri"/>
          <w:color w:val="auto"/>
          <w:sz w:val="22"/>
          <w:szCs w:val="22"/>
          <w:lang w:val="es-MX"/>
        </w:rPr>
        <w:t xml:space="preserve">en </w:t>
      </w:r>
      <w:r w:rsidR="004B5FBC" w:rsidRPr="001624C6">
        <w:rPr>
          <w:rFonts w:eastAsia="Calibri"/>
          <w:color w:val="auto"/>
          <w:sz w:val="22"/>
          <w:szCs w:val="22"/>
          <w:lang w:val="es-MX"/>
        </w:rPr>
        <w:t xml:space="preserve">el </w:t>
      </w:r>
      <w:r w:rsidR="006E77DB" w:rsidRPr="001624C6">
        <w:rPr>
          <w:rFonts w:eastAsia="Calibri"/>
          <w:color w:val="auto"/>
          <w:sz w:val="22"/>
          <w:szCs w:val="22"/>
          <w:lang w:val="es-MX"/>
        </w:rPr>
        <w:t>«</w:t>
      </w:r>
      <w:r w:rsidR="004B5FBC" w:rsidRPr="001624C6">
        <w:rPr>
          <w:rFonts w:eastAsia="Calibri"/>
          <w:color w:val="auto"/>
          <w:sz w:val="22"/>
          <w:szCs w:val="22"/>
          <w:lang w:val="es-MX"/>
        </w:rPr>
        <w:t>Formulario</w:t>
      </w:r>
      <w:r w:rsidR="00B017EF" w:rsidRPr="001624C6">
        <w:rPr>
          <w:rFonts w:eastAsia="Calibri"/>
          <w:color w:val="auto"/>
          <w:sz w:val="22"/>
          <w:szCs w:val="22"/>
          <w:lang w:val="es-MX"/>
        </w:rPr>
        <w:t xml:space="preserve"> 1</w:t>
      </w:r>
      <w:r w:rsidR="004B5FBC" w:rsidRPr="001624C6">
        <w:rPr>
          <w:rFonts w:eastAsia="Calibri"/>
          <w:color w:val="auto"/>
          <w:sz w:val="22"/>
          <w:szCs w:val="22"/>
          <w:lang w:val="es-MX"/>
        </w:rPr>
        <w:t xml:space="preserve"> </w:t>
      </w:r>
      <w:r w:rsidR="0081202B" w:rsidRPr="001624C6">
        <w:rPr>
          <w:rFonts w:eastAsia="Calibri"/>
          <w:color w:val="auto"/>
          <w:sz w:val="22"/>
          <w:szCs w:val="22"/>
          <w:lang w:val="es-MX"/>
        </w:rPr>
        <w:t>–</w:t>
      </w:r>
      <w:r w:rsidR="006E77DB" w:rsidRPr="001624C6">
        <w:rPr>
          <w:rFonts w:eastAsia="Calibri"/>
          <w:color w:val="auto"/>
          <w:sz w:val="22"/>
          <w:szCs w:val="22"/>
          <w:lang w:val="es-MX"/>
        </w:rPr>
        <w:t xml:space="preserve"> </w:t>
      </w:r>
      <w:r w:rsidR="0081202B" w:rsidRPr="001624C6">
        <w:rPr>
          <w:rFonts w:eastAsia="Calibri"/>
          <w:color w:val="auto"/>
          <w:sz w:val="22"/>
          <w:szCs w:val="22"/>
          <w:lang w:val="es-MX"/>
        </w:rPr>
        <w:t xml:space="preserve">Formulario de </w:t>
      </w:r>
      <w:r w:rsidR="006E77DB" w:rsidRPr="001624C6">
        <w:rPr>
          <w:rFonts w:eastAsia="Calibri"/>
          <w:color w:val="auto"/>
          <w:sz w:val="22"/>
          <w:szCs w:val="22"/>
          <w:lang w:val="es-MX"/>
        </w:rPr>
        <w:t xml:space="preserve">Presupuesto Oficial» </w:t>
      </w:r>
      <w:r w:rsidR="004B5FBC" w:rsidRPr="001624C6">
        <w:rPr>
          <w:rFonts w:eastAsia="Calibri"/>
          <w:color w:val="auto"/>
          <w:sz w:val="22"/>
          <w:szCs w:val="22"/>
          <w:lang w:val="es-MX"/>
        </w:rPr>
        <w:t xml:space="preserve">la entidad estatal </w:t>
      </w:r>
      <w:r w:rsidR="006E77DB" w:rsidRPr="001624C6">
        <w:rPr>
          <w:rFonts w:eastAsia="Calibri"/>
          <w:color w:val="auto"/>
          <w:sz w:val="22"/>
          <w:szCs w:val="22"/>
          <w:lang w:val="es-MX"/>
        </w:rPr>
        <w:t xml:space="preserve">debe </w:t>
      </w:r>
      <w:r w:rsidR="004B5FBC" w:rsidRPr="001624C6">
        <w:rPr>
          <w:rFonts w:eastAsia="Calibri"/>
          <w:color w:val="auto"/>
          <w:sz w:val="22"/>
          <w:szCs w:val="22"/>
          <w:lang w:val="es-MX"/>
        </w:rPr>
        <w:t>elabora</w:t>
      </w:r>
      <w:r w:rsidR="006E77DB" w:rsidRPr="001624C6">
        <w:rPr>
          <w:rFonts w:eastAsia="Calibri"/>
          <w:color w:val="auto"/>
          <w:sz w:val="22"/>
          <w:szCs w:val="22"/>
          <w:lang w:val="es-MX"/>
        </w:rPr>
        <w:t>r</w:t>
      </w:r>
      <w:r w:rsidR="004B5FBC" w:rsidRPr="001624C6">
        <w:rPr>
          <w:rFonts w:eastAsia="Calibri"/>
          <w:color w:val="auto"/>
          <w:sz w:val="22"/>
          <w:szCs w:val="22"/>
          <w:lang w:val="es-MX"/>
        </w:rPr>
        <w:t xml:space="preserve"> y presenta</w:t>
      </w:r>
      <w:r w:rsidR="006E77DB" w:rsidRPr="001624C6">
        <w:rPr>
          <w:rFonts w:eastAsia="Calibri"/>
          <w:color w:val="auto"/>
          <w:sz w:val="22"/>
          <w:szCs w:val="22"/>
          <w:lang w:val="es-MX"/>
        </w:rPr>
        <w:t>r</w:t>
      </w:r>
      <w:r w:rsidR="004B5FBC" w:rsidRPr="001624C6">
        <w:rPr>
          <w:rFonts w:eastAsia="Calibri"/>
          <w:color w:val="auto"/>
          <w:sz w:val="22"/>
          <w:szCs w:val="22"/>
          <w:lang w:val="es-MX"/>
        </w:rPr>
        <w:t xml:space="preserve"> el Presupuesto Oficial del proceso y el proponente estructura</w:t>
      </w:r>
      <w:r w:rsidR="006E77DB" w:rsidRPr="001624C6">
        <w:rPr>
          <w:rFonts w:eastAsia="Calibri"/>
          <w:color w:val="auto"/>
          <w:sz w:val="22"/>
          <w:szCs w:val="22"/>
          <w:lang w:val="es-MX"/>
        </w:rPr>
        <w:t>r</w:t>
      </w:r>
      <w:r w:rsidR="004B5FBC" w:rsidRPr="001624C6">
        <w:rPr>
          <w:rFonts w:eastAsia="Calibri"/>
          <w:color w:val="auto"/>
          <w:sz w:val="22"/>
          <w:szCs w:val="22"/>
          <w:lang w:val="es-MX"/>
        </w:rPr>
        <w:t xml:space="preserve"> su oferta económica. Este formulario </w:t>
      </w:r>
      <w:r w:rsidR="006E77DB" w:rsidRPr="001624C6">
        <w:rPr>
          <w:rFonts w:eastAsia="Calibri"/>
          <w:color w:val="auto"/>
          <w:sz w:val="22"/>
          <w:szCs w:val="22"/>
          <w:lang w:val="es-MX"/>
        </w:rPr>
        <w:t>debe</w:t>
      </w:r>
      <w:r w:rsidR="004B5FBC" w:rsidRPr="001624C6">
        <w:rPr>
          <w:rFonts w:eastAsia="Calibri"/>
          <w:color w:val="auto"/>
          <w:sz w:val="22"/>
          <w:szCs w:val="22"/>
          <w:lang w:val="es-MX"/>
        </w:rPr>
        <w:t xml:space="preserve"> prepar</w:t>
      </w:r>
      <w:r w:rsidR="006A4A9B">
        <w:rPr>
          <w:rFonts w:eastAsia="Calibri"/>
          <w:color w:val="auto"/>
          <w:sz w:val="22"/>
          <w:szCs w:val="22"/>
          <w:lang w:val="es-MX"/>
        </w:rPr>
        <w:t>arl</w:t>
      </w:r>
      <w:r w:rsidR="004B5FBC" w:rsidRPr="001624C6">
        <w:rPr>
          <w:rFonts w:eastAsia="Calibri"/>
          <w:color w:val="auto"/>
          <w:sz w:val="22"/>
          <w:szCs w:val="22"/>
          <w:lang w:val="es-MX"/>
        </w:rPr>
        <w:t>o la entidad estatal en la etapa de planeación y le permite definir el valor oficial estimado del proceso de contratación. Por lo tanto, las entidades estatales, para su elaboración, deben tener en cuenta diferentes variables</w:t>
      </w:r>
      <w:r w:rsidR="004B5FBC" w:rsidRPr="001624C6">
        <w:rPr>
          <w:rStyle w:val="Refdenotaalpie"/>
          <w:rFonts w:eastAsia="Calibri"/>
          <w:color w:val="auto"/>
          <w:sz w:val="22"/>
          <w:szCs w:val="22"/>
        </w:rPr>
        <w:footnoteReference w:id="3"/>
      </w:r>
      <w:r w:rsidR="004B5FBC" w:rsidRPr="001624C6">
        <w:rPr>
          <w:rFonts w:eastAsia="Calibri"/>
          <w:color w:val="auto"/>
          <w:sz w:val="22"/>
          <w:szCs w:val="22"/>
          <w:lang w:val="es-MX"/>
        </w:rPr>
        <w:t xml:space="preserve">. Por ejemplo, deben considerar el objeto, alcance, obras a ejecutar, actividades, cantidades, particularidades de la zona de ejecución del proyecto, disponibilidad y distancia de fuentes de materiales, entre otros, que deben ser identificados durante la etapa de planeación del proceso de contratación. </w:t>
      </w:r>
    </w:p>
    <w:p w14:paraId="6AD94038" w14:textId="4082542F" w:rsidR="004B5FBC" w:rsidRPr="001624C6" w:rsidRDefault="004B5FBC" w:rsidP="009B7C22">
      <w:pPr>
        <w:pStyle w:val="Default"/>
        <w:spacing w:before="120" w:line="276" w:lineRule="auto"/>
        <w:ind w:firstLine="709"/>
        <w:jc w:val="both"/>
        <w:rPr>
          <w:rFonts w:eastAsia="Calibri"/>
          <w:color w:val="auto"/>
          <w:sz w:val="22"/>
          <w:szCs w:val="22"/>
          <w:lang w:val="es-MX"/>
        </w:rPr>
      </w:pPr>
      <w:bookmarkStart w:id="2" w:name="_Hlk57050354"/>
      <w:r w:rsidRPr="001624C6">
        <w:rPr>
          <w:rFonts w:eastAsia="Calibri"/>
          <w:color w:val="auto"/>
          <w:sz w:val="22"/>
          <w:szCs w:val="22"/>
          <w:lang w:val="es-MX"/>
        </w:rPr>
        <w:t>En la estructuración de los Documentos Tipo se consideraron dos opciones para establecer el formulario de presupuesto oficial y el formato de propuesta económica. Una de ellas era fijar dos documentos diferentes, de manera que la entidad estatal publicar</w:t>
      </w:r>
      <w:r w:rsidR="006A4A9B">
        <w:rPr>
          <w:rFonts w:eastAsia="Calibri"/>
          <w:color w:val="auto"/>
          <w:sz w:val="22"/>
          <w:szCs w:val="22"/>
          <w:lang w:val="es-MX"/>
        </w:rPr>
        <w:t>a</w:t>
      </w:r>
      <w:r w:rsidRPr="001624C6">
        <w:rPr>
          <w:rFonts w:eastAsia="Calibri"/>
          <w:color w:val="auto"/>
          <w:sz w:val="22"/>
          <w:szCs w:val="22"/>
          <w:lang w:val="es-MX"/>
        </w:rPr>
        <w:t xml:space="preserve"> tanto el presupuesto oficial como el formato de oferta económica al cual se deberían sujetar los oferentes. Sin embargo, esta opción, a juicio de la mesa técnica de estructuración de los documentos tipo, generaba la dificultad de presentar información duplicada y confundir a los oferentes. Así, por ejemplo, si en el formulario de presupuesto oficial la entidad estatal definía determinadas cantidades para un </w:t>
      </w:r>
      <w:r w:rsidRPr="001624C6">
        <w:rPr>
          <w:rFonts w:eastAsia="Calibri"/>
          <w:i/>
          <w:iCs/>
          <w:color w:val="auto"/>
          <w:sz w:val="22"/>
          <w:szCs w:val="22"/>
          <w:lang w:val="es-MX"/>
        </w:rPr>
        <w:t>ítem</w:t>
      </w:r>
      <w:r w:rsidRPr="001624C6">
        <w:rPr>
          <w:rFonts w:eastAsia="Calibri"/>
          <w:color w:val="auto"/>
          <w:sz w:val="22"/>
          <w:szCs w:val="22"/>
          <w:lang w:val="es-MX"/>
        </w:rPr>
        <w:t xml:space="preserve"> y en el formato de propuesta económica establecía unas cantidades diferentes para el mismo </w:t>
      </w:r>
      <w:r w:rsidRPr="001624C6">
        <w:rPr>
          <w:rFonts w:eastAsia="Calibri"/>
          <w:i/>
          <w:iCs/>
          <w:color w:val="auto"/>
          <w:sz w:val="22"/>
          <w:szCs w:val="22"/>
          <w:lang w:val="es-MX"/>
        </w:rPr>
        <w:t>ítem</w:t>
      </w:r>
      <w:r w:rsidRPr="001624C6">
        <w:rPr>
          <w:rFonts w:eastAsia="Calibri"/>
          <w:color w:val="auto"/>
          <w:sz w:val="22"/>
          <w:szCs w:val="22"/>
          <w:lang w:val="es-MX"/>
        </w:rPr>
        <w:t xml:space="preserve">, confundiría al oferente sobre las cantidades sobre las cuales debe presentar su propuesta económica y generaría discusiones en la fase de evaluación. </w:t>
      </w:r>
    </w:p>
    <w:p w14:paraId="2B819EDA" w14:textId="11A17F91" w:rsidR="004B5FBC" w:rsidRPr="001624C6" w:rsidRDefault="004B5FBC" w:rsidP="009B7C22">
      <w:pPr>
        <w:pStyle w:val="Default"/>
        <w:spacing w:before="120" w:line="276" w:lineRule="auto"/>
        <w:ind w:firstLine="709"/>
        <w:jc w:val="both"/>
        <w:rPr>
          <w:rFonts w:eastAsia="Calibri"/>
          <w:color w:val="auto"/>
          <w:sz w:val="22"/>
          <w:szCs w:val="22"/>
          <w:lang w:val="es-MX"/>
        </w:rPr>
      </w:pPr>
      <w:r w:rsidRPr="001624C6">
        <w:rPr>
          <w:rFonts w:eastAsia="Calibri"/>
          <w:color w:val="auto"/>
          <w:sz w:val="22"/>
          <w:szCs w:val="22"/>
          <w:lang w:val="es-MX"/>
        </w:rPr>
        <w:t>La otra opción que se consideró fue que el Formulario 1 tuviera las dos connotaciones o usos en los Documentos Tipo: por un lado, que fuera el formulario sobre el cual la entidad estructura y presenta el presupuesto oficial del proceso de contratación y, por el otro, fuera el formulario sobre el cual los proponentes elaborar</w:t>
      </w:r>
      <w:r w:rsidR="00BB1FD4" w:rsidRPr="001624C6">
        <w:rPr>
          <w:rFonts w:eastAsia="Calibri"/>
          <w:color w:val="auto"/>
          <w:sz w:val="22"/>
          <w:szCs w:val="22"/>
          <w:lang w:val="es-MX"/>
        </w:rPr>
        <w:t>á</w:t>
      </w:r>
      <w:r w:rsidRPr="001624C6">
        <w:rPr>
          <w:rFonts w:eastAsia="Calibri"/>
          <w:color w:val="auto"/>
          <w:sz w:val="22"/>
          <w:szCs w:val="22"/>
          <w:lang w:val="es-MX"/>
        </w:rPr>
        <w:t>n y presentar</w:t>
      </w:r>
      <w:r w:rsidR="00BB1FD4" w:rsidRPr="001624C6">
        <w:rPr>
          <w:rFonts w:eastAsia="Calibri"/>
          <w:color w:val="auto"/>
          <w:sz w:val="22"/>
          <w:szCs w:val="22"/>
          <w:lang w:val="es-MX"/>
        </w:rPr>
        <w:t>á</w:t>
      </w:r>
      <w:r w:rsidRPr="001624C6">
        <w:rPr>
          <w:rFonts w:eastAsia="Calibri"/>
          <w:color w:val="auto"/>
          <w:sz w:val="22"/>
          <w:szCs w:val="22"/>
          <w:lang w:val="es-MX"/>
        </w:rPr>
        <w:t xml:space="preserve">n la oferta económica. Esta doble connotación fue la adoptada en los Documentos Tipo para evitar la duplicidad de información y permitir que las propuestas económicas fueran evaluadas con las variables, cantidades, unidades de medida y reglas consideradas por la entidad estatal al estructurar su presupuesto oficial. </w:t>
      </w:r>
    </w:p>
    <w:bookmarkEnd w:id="2"/>
    <w:p w14:paraId="26B7EA70" w14:textId="51C28262" w:rsidR="004B5FBC" w:rsidRPr="001624C6" w:rsidRDefault="004B5FBC" w:rsidP="009B7C22">
      <w:pPr>
        <w:spacing w:before="120" w:line="276" w:lineRule="auto"/>
        <w:ind w:firstLine="709"/>
        <w:jc w:val="both"/>
        <w:rPr>
          <w:rFonts w:ascii="Arial" w:eastAsia="Calibri" w:hAnsi="Arial" w:cs="Arial"/>
          <w:sz w:val="22"/>
        </w:rPr>
      </w:pPr>
      <w:r w:rsidRPr="001624C6">
        <w:rPr>
          <w:rFonts w:ascii="Arial" w:eastAsia="Calibri" w:hAnsi="Arial" w:cs="Arial"/>
          <w:sz w:val="22"/>
        </w:rPr>
        <w:t xml:space="preserve">Los Documentos Tipo, incluido el Formulario 1, fueron elaborados con </w:t>
      </w:r>
      <w:r w:rsidR="006A4A9B">
        <w:rPr>
          <w:rFonts w:ascii="Arial" w:eastAsia="Calibri" w:hAnsi="Arial" w:cs="Arial"/>
          <w:sz w:val="22"/>
        </w:rPr>
        <w:t>fundamento inicial en los</w:t>
      </w:r>
      <w:r w:rsidRPr="001624C6">
        <w:rPr>
          <w:rFonts w:ascii="Arial" w:eastAsia="Calibri" w:hAnsi="Arial" w:cs="Arial"/>
          <w:sz w:val="22"/>
        </w:rPr>
        <w:t xml:space="preserve"> pliegos de condiciones del Instituto Nacional de Vías – INVIAS, </w:t>
      </w:r>
      <w:r w:rsidRPr="001624C6">
        <w:rPr>
          <w:rFonts w:ascii="Arial" w:hAnsi="Arial" w:cs="Arial"/>
          <w:sz w:val="22"/>
          <w:lang w:val="es-CO"/>
        </w:rPr>
        <w:t>cuyos presupuestos de sus procesos de contratación de obra pública, en su gran mayoría, son elaborados por precios unitarios</w:t>
      </w:r>
      <w:r w:rsidR="006A4A9B">
        <w:rPr>
          <w:rFonts w:ascii="Arial" w:hAnsi="Arial" w:cs="Arial"/>
          <w:sz w:val="22"/>
          <w:lang w:val="es-CO"/>
        </w:rPr>
        <w:t>, tal como sucede en la mayoría de las entidades que adelantan procesos de obra</w:t>
      </w:r>
      <w:r w:rsidRPr="001624C6">
        <w:rPr>
          <w:rFonts w:ascii="Arial" w:hAnsi="Arial" w:cs="Arial"/>
          <w:sz w:val="22"/>
          <w:lang w:val="es-CO"/>
        </w:rPr>
        <w:t xml:space="preserve">. Por este motivo, las reglas del «Documento Base» y el Formulario 1 fueron fijadas principalmente para este tipo de procesos. Sin embargo, </w:t>
      </w:r>
      <w:r w:rsidRPr="001624C6">
        <w:rPr>
          <w:rFonts w:ascii="Arial" w:hAnsi="Arial" w:cs="Arial"/>
          <w:sz w:val="22"/>
          <w:lang w:val="es-CO"/>
        </w:rPr>
        <w:lastRenderedPageBreak/>
        <w:t xml:space="preserve">teniendo en cuenta que para establecer el valor y la forma de pago de los contratos de obra existen diferentes métodos, como son: i) precio global; </w:t>
      </w:r>
      <w:proofErr w:type="spellStart"/>
      <w:r w:rsidRPr="001624C6">
        <w:rPr>
          <w:rFonts w:ascii="Arial" w:hAnsi="Arial" w:cs="Arial"/>
          <w:sz w:val="22"/>
          <w:lang w:val="es-CO"/>
        </w:rPr>
        <w:t>ii</w:t>
      </w:r>
      <w:proofErr w:type="spellEnd"/>
      <w:r w:rsidRPr="001624C6">
        <w:rPr>
          <w:rFonts w:ascii="Arial" w:hAnsi="Arial" w:cs="Arial"/>
          <w:sz w:val="22"/>
          <w:lang w:val="es-CO"/>
        </w:rPr>
        <w:t xml:space="preserve">) llave en mano; </w:t>
      </w:r>
      <w:proofErr w:type="spellStart"/>
      <w:r w:rsidRPr="001624C6">
        <w:rPr>
          <w:rFonts w:ascii="Arial" w:hAnsi="Arial" w:cs="Arial"/>
          <w:sz w:val="22"/>
          <w:lang w:val="es-CO"/>
        </w:rPr>
        <w:t>iii</w:t>
      </w:r>
      <w:proofErr w:type="spellEnd"/>
      <w:r w:rsidRPr="001624C6">
        <w:rPr>
          <w:rFonts w:ascii="Arial" w:hAnsi="Arial" w:cs="Arial"/>
          <w:sz w:val="22"/>
          <w:lang w:val="es-CO"/>
        </w:rPr>
        <w:t xml:space="preserve">) administración delegada; y </w:t>
      </w:r>
      <w:proofErr w:type="spellStart"/>
      <w:r w:rsidRPr="001624C6">
        <w:rPr>
          <w:rFonts w:ascii="Arial" w:hAnsi="Arial" w:cs="Arial"/>
          <w:sz w:val="22"/>
          <w:lang w:val="es-CO"/>
        </w:rPr>
        <w:t>iv</w:t>
      </w:r>
      <w:proofErr w:type="spellEnd"/>
      <w:r w:rsidRPr="001624C6">
        <w:rPr>
          <w:rFonts w:ascii="Arial" w:hAnsi="Arial" w:cs="Arial"/>
          <w:sz w:val="22"/>
          <w:lang w:val="es-CO"/>
        </w:rPr>
        <w:t>) reembolso de gastos, entre otros, las entidades estatales deben efectuar la adecuación del Formulario 1 y de las reglas de los demás Documentos Tipo</w:t>
      </w:r>
      <w:r w:rsidR="00F95793">
        <w:rPr>
          <w:rFonts w:ascii="Arial" w:hAnsi="Arial" w:cs="Arial"/>
          <w:sz w:val="22"/>
          <w:lang w:val="es-CO"/>
        </w:rPr>
        <w:t>. Lo anterior</w:t>
      </w:r>
      <w:r w:rsidRPr="001624C6">
        <w:rPr>
          <w:rFonts w:ascii="Arial" w:hAnsi="Arial" w:cs="Arial"/>
          <w:sz w:val="22"/>
          <w:lang w:val="es-CO"/>
        </w:rPr>
        <w:t xml:space="preserve"> siempre que no se modifiquen, alteren o contraríen las condiciones habilitantes, los factores técnicos y económicos de escogencia y los sistemas de ponderación, allí definid</w:t>
      </w:r>
      <w:r w:rsidR="006A4A9B">
        <w:rPr>
          <w:rFonts w:ascii="Arial" w:hAnsi="Arial" w:cs="Arial"/>
          <w:sz w:val="22"/>
          <w:lang w:val="es-CO"/>
        </w:rPr>
        <w:t>o</w:t>
      </w:r>
      <w:r w:rsidRPr="001624C6">
        <w:rPr>
          <w:rFonts w:ascii="Arial" w:hAnsi="Arial" w:cs="Arial"/>
          <w:sz w:val="22"/>
          <w:lang w:val="es-CO"/>
        </w:rPr>
        <w:t xml:space="preserve">s. </w:t>
      </w:r>
    </w:p>
    <w:p w14:paraId="78A98AF9" w14:textId="2E10B8A7" w:rsidR="004B5FBC" w:rsidRPr="001624C6" w:rsidRDefault="004B5FBC" w:rsidP="009B7C22">
      <w:pPr>
        <w:spacing w:before="120" w:line="276" w:lineRule="auto"/>
        <w:ind w:firstLine="709"/>
        <w:jc w:val="both"/>
        <w:rPr>
          <w:rFonts w:ascii="Arial" w:hAnsi="Arial" w:cs="Arial"/>
          <w:sz w:val="22"/>
          <w:lang w:val="es-CO"/>
        </w:rPr>
      </w:pPr>
      <w:r w:rsidRPr="001624C6">
        <w:rPr>
          <w:rFonts w:ascii="Arial" w:hAnsi="Arial" w:cs="Arial"/>
          <w:sz w:val="22"/>
          <w:lang w:val="es-CO"/>
        </w:rPr>
        <w:t xml:space="preserve">Cuando el proceso de contratación es por precios unitarios, los Documentos Tipo establece las reglas aplicables para la estructuración del presupuesto oficial, presentación y evaluación de la oferta económica. Por eso el Formulario 1 señala en la parte superior derecha: «[e]l presente formulario aplica para los procesos de contratación que tengan como forma de pago precios unitarios, la Entidad debe ajustarlo cuando la modalidad de pago corresponde a: precio global, llave en mano, administración delegada y reembolso de gastos». Esta regla indica que las entidades estatales que estructuren sus presupuestos oficiales por precios unitarios deben utilizar el Formulario 1 efectuando las adecuaciones que procedan de acuerdo con el proceso de contratación, siempre y cuando no contraríen las reglas de los Documentos Tipo. </w:t>
      </w:r>
    </w:p>
    <w:p w14:paraId="1B456CD1" w14:textId="30C95315" w:rsidR="004B5FBC" w:rsidRPr="001624C6" w:rsidRDefault="004B5FBC" w:rsidP="009B7C22">
      <w:pPr>
        <w:spacing w:before="120" w:line="276" w:lineRule="auto"/>
        <w:ind w:firstLine="709"/>
        <w:jc w:val="both"/>
        <w:rPr>
          <w:rFonts w:ascii="Arial" w:hAnsi="Arial" w:cs="Arial"/>
          <w:sz w:val="22"/>
          <w:lang w:val="es-CO"/>
        </w:rPr>
      </w:pPr>
      <w:r w:rsidRPr="001624C6">
        <w:rPr>
          <w:rFonts w:ascii="Arial" w:hAnsi="Arial" w:cs="Arial"/>
          <w:sz w:val="22"/>
          <w:lang w:val="es-CO"/>
        </w:rPr>
        <w:t>Teniendo en cuenta la dualidad de usos del Formulario 1, esto es, como presupuesto oficial y como propuesta económica, se deben establecer los momentos en los cuales se manifiesta</w:t>
      </w:r>
      <w:r w:rsidR="006A4A9B">
        <w:rPr>
          <w:rFonts w:ascii="Arial" w:hAnsi="Arial" w:cs="Arial"/>
          <w:sz w:val="22"/>
          <w:lang w:val="es-CO"/>
        </w:rPr>
        <w:t>n</w:t>
      </w:r>
      <w:r w:rsidRPr="001624C6">
        <w:rPr>
          <w:rFonts w:ascii="Arial" w:hAnsi="Arial" w:cs="Arial"/>
          <w:sz w:val="22"/>
          <w:lang w:val="es-CO"/>
        </w:rPr>
        <w:t xml:space="preserve"> en el proceso de contratación y la forma como debe</w:t>
      </w:r>
      <w:r w:rsidR="006A4A9B">
        <w:rPr>
          <w:rFonts w:ascii="Arial" w:hAnsi="Arial" w:cs="Arial"/>
          <w:sz w:val="22"/>
          <w:lang w:val="es-CO"/>
        </w:rPr>
        <w:t>n</w:t>
      </w:r>
      <w:r w:rsidRPr="001624C6">
        <w:rPr>
          <w:rFonts w:ascii="Arial" w:hAnsi="Arial" w:cs="Arial"/>
          <w:sz w:val="22"/>
          <w:lang w:val="es-CO"/>
        </w:rPr>
        <w:t xml:space="preserve"> interpretarse. De acuerdo con lo señalado, la entidad estatal, durante la etapa de planeación, debe estructurar su presupuesto oficial teniendo en cuenta diferentes variables que permiten justificar el valor del proceso de contratación, es decir, la manera como la entidad estableció el costo aproximado de la obra a contratar, e ilustra</w:t>
      </w:r>
      <w:r w:rsidR="006A4A9B">
        <w:rPr>
          <w:rFonts w:ascii="Arial" w:hAnsi="Arial" w:cs="Arial"/>
          <w:sz w:val="22"/>
          <w:lang w:val="es-CO"/>
        </w:rPr>
        <w:t>r</w:t>
      </w:r>
      <w:r w:rsidRPr="001624C6">
        <w:rPr>
          <w:rFonts w:ascii="Arial" w:hAnsi="Arial" w:cs="Arial"/>
          <w:sz w:val="22"/>
          <w:lang w:val="es-CO"/>
        </w:rPr>
        <w:t xml:space="preserve"> al público y particularmente a los proponentes los aspectos que deben tener en cuenta al elaborar su ofrecimiento económico. Este primer momento se manifiesta al interior de la entidad estatal y se presenta a los proponentes con la publicación del proceso de contratación, permitiendo que sus </w:t>
      </w:r>
      <w:r w:rsidRPr="001624C6">
        <w:rPr>
          <w:rFonts w:ascii="Arial" w:hAnsi="Arial" w:cs="Arial"/>
          <w:i/>
          <w:iCs/>
          <w:sz w:val="22"/>
          <w:lang w:val="es-CO"/>
        </w:rPr>
        <w:t xml:space="preserve">ítems, </w:t>
      </w:r>
      <w:r w:rsidRPr="001624C6">
        <w:rPr>
          <w:rFonts w:ascii="Arial" w:hAnsi="Arial" w:cs="Arial"/>
          <w:sz w:val="22"/>
          <w:lang w:val="es-CO"/>
        </w:rPr>
        <w:t xml:space="preserve">descripciones, unidades de medida, cantidades o valores puedan ser ajustados como consecuencia de las observaciones de los interesados. </w:t>
      </w:r>
    </w:p>
    <w:p w14:paraId="21755C41" w14:textId="20B03E18" w:rsidR="0081202B" w:rsidRPr="001624C6" w:rsidRDefault="0081202B" w:rsidP="0081202B">
      <w:pPr>
        <w:spacing w:before="120" w:line="276" w:lineRule="auto"/>
        <w:ind w:firstLine="709"/>
        <w:jc w:val="both"/>
        <w:rPr>
          <w:rFonts w:ascii="Arial" w:hAnsi="Arial" w:cs="Arial"/>
          <w:sz w:val="22"/>
          <w:lang w:val="es-CO"/>
        </w:rPr>
      </w:pPr>
      <w:r w:rsidRPr="001624C6">
        <w:rPr>
          <w:rFonts w:ascii="Arial" w:hAnsi="Arial" w:cs="Arial"/>
          <w:sz w:val="22"/>
          <w:lang w:val="es-CO"/>
        </w:rPr>
        <w:t>De otra parte, cuando la entidad</w:t>
      </w:r>
      <w:r w:rsidR="008245CF" w:rsidRPr="001624C6">
        <w:rPr>
          <w:rFonts w:ascii="Arial" w:hAnsi="Arial" w:cs="Arial"/>
          <w:sz w:val="22"/>
          <w:lang w:val="es-CO"/>
        </w:rPr>
        <w:t xml:space="preserve"> </w:t>
      </w:r>
      <w:r w:rsidRPr="001624C6">
        <w:rPr>
          <w:rFonts w:ascii="Arial" w:hAnsi="Arial" w:cs="Arial"/>
          <w:sz w:val="22"/>
          <w:lang w:val="es-CO"/>
        </w:rPr>
        <w:t>decida aplicar</w:t>
      </w:r>
      <w:r w:rsidR="008245CF" w:rsidRPr="001624C6">
        <w:rPr>
          <w:rFonts w:ascii="Arial" w:hAnsi="Arial" w:cs="Arial"/>
          <w:sz w:val="22"/>
          <w:lang w:val="es-CO"/>
        </w:rPr>
        <w:t xml:space="preserve"> formas de pago</w:t>
      </w:r>
      <w:r w:rsidRPr="001624C6">
        <w:rPr>
          <w:rFonts w:ascii="Arial" w:hAnsi="Arial" w:cs="Arial"/>
          <w:sz w:val="22"/>
          <w:lang w:val="es-CO"/>
        </w:rPr>
        <w:t xml:space="preserve"> como</w:t>
      </w:r>
      <w:r w:rsidR="008245CF" w:rsidRPr="001624C6">
        <w:rPr>
          <w:rFonts w:ascii="Arial" w:hAnsi="Arial" w:cs="Arial"/>
          <w:sz w:val="22"/>
          <w:lang w:val="es-CO"/>
        </w:rPr>
        <w:t xml:space="preserve"> precio global, llave en mano, administración delegada, reembolso de gastos o cualquier otra forma de precio, a la entidad l</w:t>
      </w:r>
      <w:r w:rsidR="0075573B">
        <w:rPr>
          <w:rFonts w:ascii="Arial" w:hAnsi="Arial" w:cs="Arial"/>
          <w:sz w:val="22"/>
          <w:lang w:val="es-CO"/>
        </w:rPr>
        <w:t>e</w:t>
      </w:r>
      <w:r w:rsidR="008245CF" w:rsidRPr="001624C6">
        <w:rPr>
          <w:rFonts w:ascii="Arial" w:hAnsi="Arial" w:cs="Arial"/>
          <w:sz w:val="22"/>
          <w:lang w:val="es-CO"/>
        </w:rPr>
        <w:t xml:space="preserve"> corresponde adecuar el formulario a las particularidades de la modalidad escogida, de tal manera que este pueda cumplir su doble función, lo cual supone una atenuación de la aplicación del principio de inalterabilidad</w:t>
      </w:r>
      <w:r w:rsidR="00734A92">
        <w:rPr>
          <w:rFonts w:ascii="Arial" w:hAnsi="Arial" w:cs="Arial"/>
          <w:sz w:val="22"/>
          <w:lang w:val="es-CO"/>
        </w:rPr>
        <w:t>. Lo anterior</w:t>
      </w:r>
      <w:r w:rsidR="008245CF" w:rsidRPr="001624C6">
        <w:rPr>
          <w:rFonts w:ascii="Arial" w:hAnsi="Arial" w:cs="Arial"/>
          <w:sz w:val="22"/>
          <w:lang w:val="es-CO"/>
        </w:rPr>
        <w:t xml:space="preserve"> </w:t>
      </w:r>
      <w:r w:rsidR="006A4A9B">
        <w:rPr>
          <w:rFonts w:ascii="Arial" w:hAnsi="Arial" w:cs="Arial"/>
          <w:sz w:val="22"/>
          <w:lang w:val="es-CO"/>
        </w:rPr>
        <w:t>con</w:t>
      </w:r>
      <w:r w:rsidR="008245CF" w:rsidRPr="001624C6">
        <w:rPr>
          <w:rFonts w:ascii="Arial" w:hAnsi="Arial" w:cs="Arial"/>
          <w:sz w:val="22"/>
          <w:lang w:val="es-CO"/>
        </w:rPr>
        <w:t xml:space="preserve"> el </w:t>
      </w:r>
      <w:r w:rsidR="006A4A9B">
        <w:rPr>
          <w:rFonts w:ascii="Arial" w:hAnsi="Arial" w:cs="Arial"/>
          <w:sz w:val="22"/>
          <w:lang w:val="es-CO"/>
        </w:rPr>
        <w:t>á</w:t>
      </w:r>
      <w:r w:rsidR="008245CF" w:rsidRPr="001624C6">
        <w:rPr>
          <w:rFonts w:ascii="Arial" w:hAnsi="Arial" w:cs="Arial"/>
          <w:sz w:val="22"/>
          <w:lang w:val="es-CO"/>
        </w:rPr>
        <w:t>nimo de conciliar la obligatoriedad de</w:t>
      </w:r>
      <w:r w:rsidR="000525F5" w:rsidRPr="001624C6">
        <w:rPr>
          <w:rFonts w:ascii="Arial" w:hAnsi="Arial" w:cs="Arial"/>
          <w:sz w:val="22"/>
          <w:lang w:val="es-CO"/>
        </w:rPr>
        <w:t xml:space="preserve"> aplicar</w:t>
      </w:r>
      <w:r w:rsidR="008245CF" w:rsidRPr="001624C6">
        <w:rPr>
          <w:rFonts w:ascii="Arial" w:hAnsi="Arial" w:cs="Arial"/>
          <w:sz w:val="22"/>
          <w:lang w:val="es-CO"/>
        </w:rPr>
        <w:t xml:space="preserve"> los documentos tipo con la </w:t>
      </w:r>
      <w:r w:rsidR="000525F5" w:rsidRPr="001624C6">
        <w:rPr>
          <w:rFonts w:ascii="Arial" w:hAnsi="Arial" w:cs="Arial"/>
          <w:sz w:val="22"/>
          <w:lang w:val="es-CO"/>
        </w:rPr>
        <w:t>facultad que tienen las entidades</w:t>
      </w:r>
      <w:r w:rsidR="008245CF" w:rsidRPr="001624C6">
        <w:rPr>
          <w:rFonts w:ascii="Arial" w:hAnsi="Arial" w:cs="Arial"/>
          <w:sz w:val="22"/>
          <w:lang w:val="es-CO"/>
        </w:rPr>
        <w:t xml:space="preserve"> para establecer la forma de pago </w:t>
      </w:r>
      <w:r w:rsidR="000525F5" w:rsidRPr="001624C6">
        <w:rPr>
          <w:rFonts w:ascii="Arial" w:hAnsi="Arial" w:cs="Arial"/>
          <w:sz w:val="22"/>
          <w:lang w:val="es-CO"/>
        </w:rPr>
        <w:t>de sus contratos, siempre que ello no contravenga lo dispuesto en el Documento Base u otros documentos tipo</w:t>
      </w:r>
      <w:r w:rsidRPr="001624C6">
        <w:rPr>
          <w:rFonts w:ascii="Arial" w:hAnsi="Arial" w:cs="Arial"/>
          <w:sz w:val="22"/>
          <w:lang w:val="es-CO"/>
        </w:rPr>
        <w:t>. No obstante, indistintamente de la modalidad de pago seleccionada y de los ajustes que se requieran, la entidad debe publicar el Formulario 1 que sirva de base para la estructuración de las propuestas económicas de los proponentes.</w:t>
      </w:r>
    </w:p>
    <w:p w14:paraId="42A0240B" w14:textId="0900E250" w:rsidR="008245CF" w:rsidRPr="001624C6" w:rsidRDefault="000525F5" w:rsidP="000525F5">
      <w:pPr>
        <w:spacing w:before="120" w:line="276" w:lineRule="auto"/>
        <w:jc w:val="both"/>
        <w:rPr>
          <w:rFonts w:ascii="Arial" w:hAnsi="Arial" w:cs="Arial"/>
          <w:sz w:val="22"/>
          <w:lang w:val="es-CO"/>
        </w:rPr>
      </w:pPr>
      <w:r w:rsidRPr="001624C6">
        <w:rPr>
          <w:rFonts w:ascii="Arial" w:hAnsi="Arial" w:cs="Arial"/>
          <w:sz w:val="22"/>
          <w:lang w:val="es-CO"/>
        </w:rPr>
        <w:lastRenderedPageBreak/>
        <w:tab/>
        <w:t xml:space="preserve">Comoquiera que el Formulario 1, y en general los documentos tipo contemplan </w:t>
      </w:r>
      <w:r w:rsidR="000D7F23">
        <w:rPr>
          <w:rFonts w:ascii="Arial" w:hAnsi="Arial" w:cs="Arial"/>
          <w:sz w:val="22"/>
          <w:lang w:val="es-CO"/>
        </w:rPr>
        <w:t>l</w:t>
      </w:r>
      <w:r w:rsidRPr="001624C6">
        <w:rPr>
          <w:rFonts w:ascii="Arial" w:hAnsi="Arial" w:cs="Arial"/>
          <w:sz w:val="22"/>
          <w:lang w:val="es-CO"/>
        </w:rPr>
        <w:t xml:space="preserve">a metodología de precios de unitarios como opción principal para </w:t>
      </w:r>
      <w:r w:rsidR="006A4A9B">
        <w:rPr>
          <w:rFonts w:ascii="Arial" w:hAnsi="Arial" w:cs="Arial"/>
          <w:sz w:val="22"/>
          <w:lang w:val="es-CO"/>
        </w:rPr>
        <w:t xml:space="preserve">determinar </w:t>
      </w:r>
      <w:r w:rsidRPr="001624C6">
        <w:rPr>
          <w:rFonts w:ascii="Arial" w:hAnsi="Arial" w:cs="Arial"/>
          <w:sz w:val="22"/>
          <w:lang w:val="es-CO"/>
        </w:rPr>
        <w:t xml:space="preserve">el presupuesto oficial y </w:t>
      </w:r>
      <w:r w:rsidR="00247AEB">
        <w:rPr>
          <w:rFonts w:ascii="Arial" w:hAnsi="Arial" w:cs="Arial"/>
          <w:sz w:val="22"/>
          <w:lang w:val="es-CO"/>
        </w:rPr>
        <w:t>para</w:t>
      </w:r>
      <w:r w:rsidR="000B1ABA">
        <w:rPr>
          <w:rFonts w:ascii="Arial" w:hAnsi="Arial" w:cs="Arial"/>
          <w:sz w:val="22"/>
          <w:lang w:val="es-CO"/>
        </w:rPr>
        <w:t xml:space="preserve"> </w:t>
      </w:r>
      <w:r w:rsidR="00351F5D">
        <w:rPr>
          <w:rFonts w:ascii="Arial" w:hAnsi="Arial" w:cs="Arial"/>
          <w:sz w:val="22"/>
          <w:lang w:val="es-CO"/>
        </w:rPr>
        <w:t xml:space="preserve">establecer </w:t>
      </w:r>
      <w:r w:rsidRPr="001624C6">
        <w:rPr>
          <w:rFonts w:ascii="Arial" w:hAnsi="Arial" w:cs="Arial"/>
          <w:sz w:val="22"/>
          <w:lang w:val="es-CO"/>
        </w:rPr>
        <w:t xml:space="preserve">el precio, el Documento Base </w:t>
      </w:r>
      <w:r w:rsidR="007672FB" w:rsidRPr="001624C6">
        <w:rPr>
          <w:rFonts w:ascii="Arial" w:hAnsi="Arial" w:cs="Arial"/>
          <w:sz w:val="22"/>
          <w:lang w:val="es-CO"/>
        </w:rPr>
        <w:t>contiene</w:t>
      </w:r>
      <w:r w:rsidRPr="001624C6">
        <w:rPr>
          <w:rFonts w:ascii="Arial" w:hAnsi="Arial" w:cs="Arial"/>
          <w:sz w:val="22"/>
          <w:lang w:val="es-CO"/>
        </w:rPr>
        <w:t xml:space="preserve"> causales de rechazo </w:t>
      </w:r>
      <w:r w:rsidR="00F8043B" w:rsidRPr="001624C6">
        <w:rPr>
          <w:rFonts w:ascii="Arial" w:hAnsi="Arial" w:cs="Arial"/>
          <w:sz w:val="22"/>
          <w:lang w:val="es-CO"/>
        </w:rPr>
        <w:t xml:space="preserve">aplicables </w:t>
      </w:r>
      <w:r w:rsidR="007672FB" w:rsidRPr="001624C6">
        <w:rPr>
          <w:rFonts w:ascii="Arial" w:hAnsi="Arial" w:cs="Arial"/>
          <w:sz w:val="22"/>
          <w:lang w:val="es-CO"/>
        </w:rPr>
        <w:t xml:space="preserve">a procesos en los que se </w:t>
      </w:r>
      <w:r w:rsidR="00F8043B" w:rsidRPr="001624C6">
        <w:rPr>
          <w:rFonts w:ascii="Arial" w:hAnsi="Arial" w:cs="Arial"/>
          <w:sz w:val="22"/>
          <w:lang w:val="es-CO"/>
        </w:rPr>
        <w:t>emple</w:t>
      </w:r>
      <w:r w:rsidR="007672FB" w:rsidRPr="001624C6">
        <w:rPr>
          <w:rFonts w:ascii="Arial" w:hAnsi="Arial" w:cs="Arial"/>
          <w:sz w:val="22"/>
          <w:lang w:val="es-CO"/>
        </w:rPr>
        <w:t>e</w:t>
      </w:r>
      <w:r w:rsidR="00F8043B" w:rsidRPr="001624C6">
        <w:rPr>
          <w:rFonts w:ascii="Arial" w:hAnsi="Arial" w:cs="Arial"/>
          <w:sz w:val="22"/>
          <w:lang w:val="es-CO"/>
        </w:rPr>
        <w:t xml:space="preserve"> dich</w:t>
      </w:r>
      <w:r w:rsidR="007672FB" w:rsidRPr="001624C6">
        <w:rPr>
          <w:rFonts w:ascii="Arial" w:hAnsi="Arial" w:cs="Arial"/>
          <w:sz w:val="22"/>
          <w:lang w:val="es-CO"/>
        </w:rPr>
        <w:t>o sistema</w:t>
      </w:r>
      <w:r w:rsidR="00F8043B" w:rsidRPr="001624C6">
        <w:rPr>
          <w:rFonts w:ascii="Arial" w:hAnsi="Arial" w:cs="Arial"/>
          <w:sz w:val="22"/>
          <w:lang w:val="es-CO"/>
        </w:rPr>
        <w:t xml:space="preserve"> de pago. Tal es el caso de las causales </w:t>
      </w:r>
      <w:r w:rsidR="00247AEB">
        <w:rPr>
          <w:rFonts w:ascii="Arial" w:hAnsi="Arial" w:cs="Arial"/>
          <w:sz w:val="22"/>
          <w:lang w:val="es-CO"/>
        </w:rPr>
        <w:t>establecidas</w:t>
      </w:r>
      <w:r w:rsidR="00247AEB" w:rsidRPr="001624C6">
        <w:rPr>
          <w:rFonts w:ascii="Arial" w:hAnsi="Arial" w:cs="Arial"/>
          <w:sz w:val="22"/>
          <w:lang w:val="es-CO"/>
        </w:rPr>
        <w:t xml:space="preserve"> </w:t>
      </w:r>
      <w:r w:rsidR="00F8043B" w:rsidRPr="001624C6">
        <w:rPr>
          <w:rFonts w:ascii="Arial" w:hAnsi="Arial" w:cs="Arial"/>
          <w:sz w:val="22"/>
          <w:lang w:val="es-CO"/>
        </w:rPr>
        <w:t>en los literales P y Q del numeral 1.15 Pliego Tipo adoptado por la Resolución No. 045 de 2020</w:t>
      </w:r>
      <w:r w:rsidR="00F8043B" w:rsidRPr="001624C6">
        <w:rPr>
          <w:rStyle w:val="Refdenotaalpie"/>
          <w:rFonts w:ascii="Arial" w:hAnsi="Arial" w:cs="Arial"/>
          <w:sz w:val="22"/>
          <w:lang w:val="es-CO"/>
        </w:rPr>
        <w:footnoteReference w:id="4"/>
      </w:r>
      <w:r w:rsidR="00F8043B" w:rsidRPr="001624C6">
        <w:rPr>
          <w:rFonts w:ascii="Arial" w:hAnsi="Arial" w:cs="Arial"/>
          <w:sz w:val="22"/>
          <w:lang w:val="es-CO"/>
        </w:rPr>
        <w:t xml:space="preserve">, cuyos supuestos de hecho </w:t>
      </w:r>
      <w:r w:rsidR="00247AEB">
        <w:rPr>
          <w:rFonts w:ascii="Arial" w:hAnsi="Arial" w:cs="Arial"/>
          <w:sz w:val="22"/>
          <w:lang w:val="es-CO"/>
        </w:rPr>
        <w:t>tienen relación con</w:t>
      </w:r>
      <w:r w:rsidR="00F8043B" w:rsidRPr="001624C6">
        <w:rPr>
          <w:rFonts w:ascii="Arial" w:hAnsi="Arial" w:cs="Arial"/>
          <w:sz w:val="22"/>
          <w:lang w:val="es-CO"/>
        </w:rPr>
        <w:t xml:space="preserve"> circunstancias en las que el proponente al presentar su </w:t>
      </w:r>
      <w:r w:rsidR="0027387D">
        <w:rPr>
          <w:rFonts w:ascii="Arial" w:hAnsi="Arial" w:cs="Arial"/>
          <w:sz w:val="22"/>
          <w:lang w:val="es-CO"/>
        </w:rPr>
        <w:t>propuesta</w:t>
      </w:r>
      <w:r w:rsidR="00F8043B" w:rsidRPr="001624C6">
        <w:rPr>
          <w:rFonts w:ascii="Arial" w:hAnsi="Arial" w:cs="Arial"/>
          <w:sz w:val="22"/>
          <w:lang w:val="es-CO"/>
        </w:rPr>
        <w:t xml:space="preserve"> no oferta un precio unitario, o supera en algún ítem el valor l</w:t>
      </w:r>
      <w:r w:rsidR="00247AEB">
        <w:rPr>
          <w:rFonts w:ascii="Arial" w:hAnsi="Arial" w:cs="Arial"/>
          <w:sz w:val="22"/>
          <w:lang w:val="es-CO"/>
        </w:rPr>
        <w:t>í</w:t>
      </w:r>
      <w:r w:rsidR="00F8043B" w:rsidRPr="001624C6">
        <w:rPr>
          <w:rFonts w:ascii="Arial" w:hAnsi="Arial" w:cs="Arial"/>
          <w:sz w:val="22"/>
          <w:lang w:val="es-CO"/>
        </w:rPr>
        <w:t>mite fijado por la entidad, por lo que dichas causales solo son aplicables e</w:t>
      </w:r>
      <w:r w:rsidR="0003590D" w:rsidRPr="001624C6">
        <w:rPr>
          <w:rFonts w:ascii="Arial" w:hAnsi="Arial" w:cs="Arial"/>
          <w:sz w:val="22"/>
          <w:lang w:val="es-CO"/>
        </w:rPr>
        <w:t>n</w:t>
      </w:r>
      <w:r w:rsidR="00F8043B" w:rsidRPr="001624C6">
        <w:rPr>
          <w:rFonts w:ascii="Arial" w:hAnsi="Arial" w:cs="Arial"/>
          <w:sz w:val="22"/>
          <w:lang w:val="es-CO"/>
        </w:rPr>
        <w:t xml:space="preserve"> procesos cuya </w:t>
      </w:r>
      <w:r w:rsidR="00351F5D">
        <w:rPr>
          <w:rFonts w:ascii="Arial" w:hAnsi="Arial" w:cs="Arial"/>
          <w:sz w:val="22"/>
          <w:lang w:val="es-CO"/>
        </w:rPr>
        <w:t>estructuración del valor se establezca mediante el sistema de</w:t>
      </w:r>
      <w:r w:rsidR="00F8043B" w:rsidRPr="001624C6">
        <w:rPr>
          <w:rFonts w:ascii="Arial" w:hAnsi="Arial" w:cs="Arial"/>
          <w:sz w:val="22"/>
          <w:lang w:val="es-CO"/>
        </w:rPr>
        <w:t xml:space="preserve"> precios unitarios</w:t>
      </w:r>
      <w:r w:rsidR="00FB53CA">
        <w:rPr>
          <w:rFonts w:ascii="Arial" w:hAnsi="Arial" w:cs="Arial"/>
          <w:sz w:val="22"/>
          <w:lang w:val="es-CO"/>
        </w:rPr>
        <w:t>. Por esta</w:t>
      </w:r>
      <w:r w:rsidR="00F8043B" w:rsidRPr="001624C6">
        <w:rPr>
          <w:rFonts w:ascii="Arial" w:hAnsi="Arial" w:cs="Arial"/>
          <w:sz w:val="22"/>
          <w:lang w:val="es-CO"/>
        </w:rPr>
        <w:t xml:space="preserve"> razón</w:t>
      </w:r>
      <w:r w:rsidR="00FB53CA">
        <w:rPr>
          <w:rFonts w:ascii="Arial" w:hAnsi="Arial" w:cs="Arial"/>
          <w:sz w:val="22"/>
          <w:lang w:val="es-CO"/>
        </w:rPr>
        <w:t>,</w:t>
      </w:r>
      <w:r w:rsidR="00F8043B" w:rsidRPr="001624C6">
        <w:rPr>
          <w:rFonts w:ascii="Arial" w:hAnsi="Arial" w:cs="Arial"/>
          <w:sz w:val="22"/>
          <w:lang w:val="es-CO"/>
        </w:rPr>
        <w:t xml:space="preserve"> ambos literales </w:t>
      </w:r>
      <w:r w:rsidR="00FB53CA">
        <w:rPr>
          <w:rFonts w:ascii="Arial" w:hAnsi="Arial" w:cs="Arial"/>
          <w:sz w:val="22"/>
          <w:lang w:val="es-CO"/>
        </w:rPr>
        <w:t>s</w:t>
      </w:r>
      <w:r w:rsidR="00F8043B" w:rsidRPr="001624C6">
        <w:rPr>
          <w:rFonts w:ascii="Arial" w:hAnsi="Arial" w:cs="Arial"/>
          <w:sz w:val="22"/>
          <w:lang w:val="es-CO"/>
        </w:rPr>
        <w:t xml:space="preserve">olo deben </w:t>
      </w:r>
      <w:r w:rsidR="00FB53CA">
        <w:rPr>
          <w:rFonts w:ascii="Arial" w:hAnsi="Arial" w:cs="Arial"/>
          <w:sz w:val="22"/>
          <w:lang w:val="es-CO"/>
        </w:rPr>
        <w:t>i</w:t>
      </w:r>
      <w:r w:rsidR="00F8043B" w:rsidRPr="001624C6">
        <w:rPr>
          <w:rFonts w:ascii="Arial" w:hAnsi="Arial" w:cs="Arial"/>
          <w:sz w:val="22"/>
          <w:lang w:val="es-CO"/>
        </w:rPr>
        <w:t>nclui</w:t>
      </w:r>
      <w:r w:rsidR="00FB53CA">
        <w:rPr>
          <w:rFonts w:ascii="Arial" w:hAnsi="Arial" w:cs="Arial"/>
          <w:sz w:val="22"/>
          <w:lang w:val="es-CO"/>
        </w:rPr>
        <w:t>rse</w:t>
      </w:r>
      <w:r w:rsidR="00F8043B" w:rsidRPr="001624C6">
        <w:rPr>
          <w:rFonts w:ascii="Arial" w:hAnsi="Arial" w:cs="Arial"/>
          <w:sz w:val="22"/>
          <w:lang w:val="es-CO"/>
        </w:rPr>
        <w:t xml:space="preserve"> </w:t>
      </w:r>
      <w:r w:rsidR="0003590D" w:rsidRPr="001624C6">
        <w:rPr>
          <w:rFonts w:ascii="Arial" w:hAnsi="Arial" w:cs="Arial"/>
          <w:sz w:val="22"/>
          <w:lang w:val="es-CO"/>
        </w:rPr>
        <w:t xml:space="preserve">«cuando la forma de pago sea por precios unitarios», </w:t>
      </w:r>
      <w:r w:rsidR="00351F5D">
        <w:rPr>
          <w:rFonts w:ascii="Arial" w:hAnsi="Arial" w:cs="Arial"/>
          <w:sz w:val="22"/>
          <w:lang w:val="es-CO"/>
        </w:rPr>
        <w:t>y</w:t>
      </w:r>
      <w:r w:rsidR="0003590D" w:rsidRPr="001624C6">
        <w:rPr>
          <w:rFonts w:ascii="Arial" w:hAnsi="Arial" w:cs="Arial"/>
          <w:sz w:val="22"/>
          <w:lang w:val="es-CO"/>
        </w:rPr>
        <w:t xml:space="preserve"> en el caso de la causal del literal Q</w:t>
      </w:r>
      <w:r w:rsidR="00351F5D">
        <w:rPr>
          <w:rFonts w:ascii="Arial" w:hAnsi="Arial" w:cs="Arial"/>
          <w:sz w:val="22"/>
          <w:lang w:val="es-CO"/>
        </w:rPr>
        <w:t>, adicionalmente</w:t>
      </w:r>
      <w:r w:rsidR="0003590D" w:rsidRPr="001624C6">
        <w:rPr>
          <w:rFonts w:ascii="Arial" w:hAnsi="Arial" w:cs="Arial"/>
          <w:sz w:val="22"/>
          <w:lang w:val="es-CO"/>
        </w:rPr>
        <w:t xml:space="preserve"> </w:t>
      </w:r>
      <w:bookmarkStart w:id="3" w:name="_Hlk57047591"/>
      <w:r w:rsidR="0003590D" w:rsidRPr="001624C6">
        <w:rPr>
          <w:rFonts w:ascii="Arial" w:hAnsi="Arial" w:cs="Arial"/>
          <w:sz w:val="22"/>
          <w:lang w:val="es-CO"/>
        </w:rPr>
        <w:t>«cuando considere necesario establecer ítems del Presupuesto Oficial cuyo valor no pueda ser excedido por el Proponente»</w:t>
      </w:r>
      <w:bookmarkEnd w:id="3"/>
      <w:r w:rsidR="0003590D" w:rsidRPr="001624C6">
        <w:rPr>
          <w:rFonts w:ascii="Arial" w:hAnsi="Arial" w:cs="Arial"/>
          <w:sz w:val="22"/>
          <w:lang w:val="es-CO"/>
        </w:rPr>
        <w:t xml:space="preserve">, </w:t>
      </w:r>
      <w:r w:rsidR="007672FB" w:rsidRPr="001624C6">
        <w:rPr>
          <w:rFonts w:ascii="Arial" w:hAnsi="Arial" w:cs="Arial"/>
          <w:sz w:val="22"/>
          <w:lang w:val="es-CO"/>
        </w:rPr>
        <w:t xml:space="preserve">evento </w:t>
      </w:r>
      <w:r w:rsidR="0003590D" w:rsidRPr="001624C6">
        <w:rPr>
          <w:rFonts w:ascii="Arial" w:hAnsi="Arial" w:cs="Arial"/>
          <w:sz w:val="22"/>
          <w:lang w:val="es-CO"/>
        </w:rPr>
        <w:t xml:space="preserve">en el </w:t>
      </w:r>
      <w:r w:rsidR="007672FB" w:rsidRPr="001624C6">
        <w:rPr>
          <w:rFonts w:ascii="Arial" w:hAnsi="Arial" w:cs="Arial"/>
          <w:sz w:val="22"/>
          <w:lang w:val="es-CO"/>
        </w:rPr>
        <w:t xml:space="preserve">que </w:t>
      </w:r>
      <w:r w:rsidR="0003590D" w:rsidRPr="001624C6">
        <w:rPr>
          <w:rFonts w:ascii="Arial" w:hAnsi="Arial" w:cs="Arial"/>
          <w:sz w:val="22"/>
          <w:lang w:val="es-CO"/>
        </w:rPr>
        <w:t>se deberá</w:t>
      </w:r>
      <w:r w:rsidR="007672FB" w:rsidRPr="001624C6">
        <w:rPr>
          <w:rFonts w:ascii="Arial" w:hAnsi="Arial" w:cs="Arial"/>
          <w:sz w:val="22"/>
          <w:lang w:val="es-CO"/>
        </w:rPr>
        <w:t>n</w:t>
      </w:r>
      <w:r w:rsidR="0003590D" w:rsidRPr="001624C6">
        <w:rPr>
          <w:rFonts w:ascii="Arial" w:hAnsi="Arial" w:cs="Arial"/>
          <w:sz w:val="22"/>
          <w:lang w:val="es-CO"/>
        </w:rPr>
        <w:t xml:space="preserve"> establecer expresamente los ítems respecto de los que aplicaría la causal. </w:t>
      </w:r>
    </w:p>
    <w:p w14:paraId="7B7FBF88" w14:textId="61C3C603" w:rsidR="00F8043B" w:rsidRPr="001624C6" w:rsidRDefault="0003590D" w:rsidP="000525F5">
      <w:pPr>
        <w:spacing w:before="120" w:line="276" w:lineRule="auto"/>
        <w:jc w:val="both"/>
        <w:rPr>
          <w:rFonts w:ascii="Arial" w:hAnsi="Arial" w:cs="Arial"/>
          <w:sz w:val="22"/>
          <w:lang w:val="es-CO"/>
        </w:rPr>
      </w:pPr>
      <w:r w:rsidRPr="001624C6">
        <w:rPr>
          <w:rFonts w:ascii="Arial" w:hAnsi="Arial" w:cs="Arial"/>
          <w:sz w:val="22"/>
          <w:lang w:val="es-CO"/>
        </w:rPr>
        <w:tab/>
        <w:t>Por su parte, la causal del literal R</w:t>
      </w:r>
      <w:r w:rsidRPr="001624C6">
        <w:rPr>
          <w:rStyle w:val="Refdenotaalpie"/>
          <w:rFonts w:ascii="Arial" w:hAnsi="Arial" w:cs="Arial"/>
          <w:sz w:val="22"/>
          <w:lang w:val="es-CO"/>
        </w:rPr>
        <w:footnoteReference w:id="5"/>
      </w:r>
      <w:r w:rsidRPr="001624C6">
        <w:rPr>
          <w:rFonts w:ascii="Arial" w:hAnsi="Arial" w:cs="Arial"/>
          <w:sz w:val="22"/>
          <w:lang w:val="es-CO"/>
        </w:rPr>
        <w:t xml:space="preserve"> </w:t>
      </w:r>
      <w:r w:rsidR="00351F5D">
        <w:rPr>
          <w:rFonts w:ascii="Arial" w:hAnsi="Arial" w:cs="Arial"/>
          <w:sz w:val="22"/>
          <w:lang w:val="es-CO"/>
        </w:rPr>
        <w:t xml:space="preserve">establece la </w:t>
      </w:r>
      <w:r w:rsidRPr="001624C6">
        <w:rPr>
          <w:rFonts w:ascii="Arial" w:hAnsi="Arial" w:cs="Arial"/>
          <w:sz w:val="22"/>
          <w:lang w:val="es-CO"/>
        </w:rPr>
        <w:t>consecuencia de</w:t>
      </w:r>
      <w:r w:rsidR="00351F5D">
        <w:rPr>
          <w:rFonts w:ascii="Arial" w:hAnsi="Arial" w:cs="Arial"/>
          <w:sz w:val="22"/>
          <w:lang w:val="es-CO"/>
        </w:rPr>
        <w:t>l</w:t>
      </w:r>
      <w:r w:rsidRPr="001624C6">
        <w:rPr>
          <w:rFonts w:ascii="Arial" w:hAnsi="Arial" w:cs="Arial"/>
          <w:sz w:val="22"/>
          <w:lang w:val="es-CO"/>
        </w:rPr>
        <w:t xml:space="preserve"> rechazo </w:t>
      </w:r>
      <w:r w:rsidR="00351F5D">
        <w:rPr>
          <w:rFonts w:ascii="Arial" w:hAnsi="Arial" w:cs="Arial"/>
          <w:sz w:val="22"/>
          <w:lang w:val="es-CO"/>
        </w:rPr>
        <w:t>frente a</w:t>
      </w:r>
      <w:r w:rsidRPr="001624C6">
        <w:rPr>
          <w:rFonts w:ascii="Arial" w:hAnsi="Arial" w:cs="Arial"/>
          <w:sz w:val="22"/>
          <w:lang w:val="es-CO"/>
        </w:rPr>
        <w:t xml:space="preserve"> las ofertas económicas presentadas sin discriminar el porcentaje de A</w:t>
      </w:r>
      <w:r w:rsidR="007672FB" w:rsidRPr="001624C6">
        <w:rPr>
          <w:rFonts w:ascii="Arial" w:hAnsi="Arial" w:cs="Arial"/>
          <w:sz w:val="22"/>
          <w:lang w:val="es-CO"/>
        </w:rPr>
        <w:t>.</w:t>
      </w:r>
      <w:r w:rsidRPr="001624C6">
        <w:rPr>
          <w:rFonts w:ascii="Arial" w:hAnsi="Arial" w:cs="Arial"/>
          <w:sz w:val="22"/>
          <w:lang w:val="es-CO"/>
        </w:rPr>
        <w:t>I</w:t>
      </w:r>
      <w:r w:rsidR="007672FB" w:rsidRPr="001624C6">
        <w:rPr>
          <w:rFonts w:ascii="Arial" w:hAnsi="Arial" w:cs="Arial"/>
          <w:sz w:val="22"/>
          <w:lang w:val="es-CO"/>
        </w:rPr>
        <w:t>.</w:t>
      </w:r>
      <w:r w:rsidRPr="001624C6">
        <w:rPr>
          <w:rFonts w:ascii="Arial" w:hAnsi="Arial" w:cs="Arial"/>
          <w:sz w:val="22"/>
          <w:lang w:val="es-CO"/>
        </w:rPr>
        <w:t>U</w:t>
      </w:r>
      <w:r w:rsidR="007672FB" w:rsidRPr="001624C6">
        <w:rPr>
          <w:rFonts w:ascii="Arial" w:hAnsi="Arial" w:cs="Arial"/>
          <w:sz w:val="22"/>
          <w:lang w:val="es-CO"/>
        </w:rPr>
        <w:t>.</w:t>
      </w:r>
      <w:r w:rsidRPr="001624C6">
        <w:rPr>
          <w:rFonts w:ascii="Arial" w:hAnsi="Arial" w:cs="Arial"/>
          <w:sz w:val="22"/>
          <w:lang w:val="es-CO"/>
        </w:rPr>
        <w:t xml:space="preserve"> en la forma como lo establece el </w:t>
      </w:r>
      <w:r w:rsidR="007672FB" w:rsidRPr="001624C6">
        <w:rPr>
          <w:rFonts w:ascii="Arial" w:hAnsi="Arial" w:cs="Arial"/>
          <w:sz w:val="22"/>
          <w:lang w:val="es-CO"/>
        </w:rPr>
        <w:t>p</w:t>
      </w:r>
      <w:r w:rsidRPr="001624C6">
        <w:rPr>
          <w:rFonts w:ascii="Arial" w:hAnsi="Arial" w:cs="Arial"/>
          <w:sz w:val="22"/>
          <w:lang w:val="es-CO"/>
        </w:rPr>
        <w:t xml:space="preserve">liego de </w:t>
      </w:r>
      <w:r w:rsidR="007672FB" w:rsidRPr="001624C6">
        <w:rPr>
          <w:rFonts w:ascii="Arial" w:hAnsi="Arial" w:cs="Arial"/>
          <w:sz w:val="22"/>
          <w:lang w:val="es-CO"/>
        </w:rPr>
        <w:t>c</w:t>
      </w:r>
      <w:r w:rsidRPr="001624C6">
        <w:rPr>
          <w:rFonts w:ascii="Arial" w:hAnsi="Arial" w:cs="Arial"/>
          <w:sz w:val="22"/>
          <w:lang w:val="es-CO"/>
        </w:rPr>
        <w:t>ondiciones y el Formulario</w:t>
      </w:r>
      <w:r w:rsidR="007672FB" w:rsidRPr="001624C6">
        <w:rPr>
          <w:rFonts w:ascii="Arial" w:hAnsi="Arial" w:cs="Arial"/>
          <w:sz w:val="22"/>
          <w:lang w:val="es-CO"/>
        </w:rPr>
        <w:t xml:space="preserve"> 1</w:t>
      </w:r>
      <w:r w:rsidRPr="001624C6">
        <w:rPr>
          <w:rFonts w:ascii="Arial" w:hAnsi="Arial" w:cs="Arial"/>
          <w:sz w:val="22"/>
          <w:lang w:val="es-CO"/>
        </w:rPr>
        <w:t xml:space="preserve">. Conforme </w:t>
      </w:r>
      <w:r w:rsidR="00C32A2C" w:rsidRPr="001624C6">
        <w:rPr>
          <w:rFonts w:ascii="Arial" w:hAnsi="Arial" w:cs="Arial"/>
          <w:sz w:val="22"/>
          <w:lang w:val="es-CO"/>
        </w:rPr>
        <w:t>se desprende</w:t>
      </w:r>
      <w:r w:rsidRPr="001624C6">
        <w:rPr>
          <w:rFonts w:ascii="Arial" w:hAnsi="Arial" w:cs="Arial"/>
          <w:sz w:val="22"/>
          <w:lang w:val="es-CO"/>
        </w:rPr>
        <w:t xml:space="preserve"> el apartado</w:t>
      </w:r>
      <w:r w:rsidR="00C32A2C" w:rsidRPr="001624C6">
        <w:rPr>
          <w:rFonts w:ascii="Arial" w:hAnsi="Arial" w:cs="Arial"/>
          <w:sz w:val="22"/>
          <w:lang w:val="es-CO"/>
        </w:rPr>
        <w:t xml:space="preserve"> sombreado </w:t>
      </w:r>
      <w:r w:rsidRPr="001624C6">
        <w:rPr>
          <w:rFonts w:ascii="Arial" w:hAnsi="Arial" w:cs="Arial"/>
          <w:sz w:val="22"/>
          <w:lang w:val="es-CO"/>
        </w:rPr>
        <w:t xml:space="preserve">entre corchetes </w:t>
      </w:r>
      <w:r w:rsidR="00C32A2C" w:rsidRPr="001624C6">
        <w:rPr>
          <w:rFonts w:ascii="Arial" w:hAnsi="Arial" w:cs="Arial"/>
          <w:sz w:val="22"/>
          <w:lang w:val="es-CO"/>
        </w:rPr>
        <w:t xml:space="preserve">contenido </w:t>
      </w:r>
      <w:r w:rsidR="00351F5D">
        <w:rPr>
          <w:rFonts w:ascii="Arial" w:hAnsi="Arial" w:cs="Arial"/>
          <w:sz w:val="22"/>
          <w:lang w:val="es-CO"/>
        </w:rPr>
        <w:t xml:space="preserve">en </w:t>
      </w:r>
      <w:r w:rsidR="00C32A2C" w:rsidRPr="001624C6">
        <w:rPr>
          <w:rFonts w:ascii="Arial" w:hAnsi="Arial" w:cs="Arial"/>
          <w:sz w:val="22"/>
          <w:lang w:val="es-CO"/>
        </w:rPr>
        <w:t>esta causal, para discriminar el porcentaje de AIU</w:t>
      </w:r>
      <w:r w:rsidRPr="001624C6">
        <w:rPr>
          <w:rFonts w:ascii="Arial" w:hAnsi="Arial" w:cs="Arial"/>
          <w:sz w:val="22"/>
          <w:lang w:val="es-CO"/>
        </w:rPr>
        <w:t xml:space="preserve"> </w:t>
      </w:r>
      <w:r w:rsidR="00C32A2C" w:rsidRPr="001624C6">
        <w:rPr>
          <w:rFonts w:ascii="Arial" w:hAnsi="Arial" w:cs="Arial"/>
          <w:sz w:val="22"/>
          <w:lang w:val="es-CO"/>
        </w:rPr>
        <w:t xml:space="preserve">basta con que el proponente indique el porcentaje para cada ítem, no siendo posible aplicar esta causal para rechazar ofertas por no detallar los valores de cada uno de los componentes de dicho concepto.  </w:t>
      </w:r>
    </w:p>
    <w:p w14:paraId="7A6D7AF9" w14:textId="6E56EC73" w:rsidR="004B5FBC" w:rsidRPr="001624C6" w:rsidRDefault="004B5FBC" w:rsidP="009B7C22">
      <w:pPr>
        <w:spacing w:before="120" w:line="276" w:lineRule="auto"/>
        <w:ind w:firstLine="709"/>
        <w:jc w:val="both"/>
        <w:rPr>
          <w:rFonts w:ascii="Arial" w:hAnsi="Arial" w:cs="Arial"/>
          <w:sz w:val="22"/>
          <w:lang w:val="es-CO"/>
        </w:rPr>
      </w:pPr>
      <w:r w:rsidRPr="001624C6">
        <w:rPr>
          <w:rFonts w:ascii="Arial" w:hAnsi="Arial" w:cs="Arial"/>
          <w:sz w:val="22"/>
          <w:lang w:val="es-CO"/>
        </w:rPr>
        <w:t xml:space="preserve">De acuerdo con la Sección Tercera del Consejo de Estado el «concepto de Administración, Imprevistos y Utilidad </w:t>
      </w:r>
      <w:r w:rsidR="00977D41">
        <w:rPr>
          <w:rFonts w:ascii="Arial" w:hAnsi="Arial" w:cs="Arial"/>
          <w:sz w:val="22"/>
          <w:lang w:val="es-CO"/>
        </w:rPr>
        <w:t>–</w:t>
      </w:r>
      <w:r w:rsidRPr="001624C6">
        <w:rPr>
          <w:rFonts w:ascii="Arial" w:hAnsi="Arial" w:cs="Arial"/>
          <w:sz w:val="22"/>
          <w:lang w:val="es-CO"/>
        </w:rPr>
        <w:t>A.I.U.</w:t>
      </w:r>
      <w:r w:rsidR="00977D41">
        <w:rPr>
          <w:rFonts w:ascii="Arial" w:hAnsi="Arial" w:cs="Arial"/>
          <w:sz w:val="22"/>
          <w:lang w:val="es-CO"/>
        </w:rPr>
        <w:t>–</w:t>
      </w:r>
      <w:r w:rsidRPr="001624C6">
        <w:rPr>
          <w:rFonts w:ascii="Arial" w:hAnsi="Arial" w:cs="Arial"/>
          <w:sz w:val="22"/>
          <w:lang w:val="es-CO"/>
        </w:rPr>
        <w:t xml:space="preserve"> que se introduce en el valor total de la oferta y de frecuente utilización en los contratos de tracto sucesivo y ejecución periódica, como, por ejemplo, en los de obra, si bien la legislación contractual no tiene una definición de este concepto», se cuentan con elementos que permiten precisar su alcance, así: </w:t>
      </w:r>
    </w:p>
    <w:p w14:paraId="55139B17" w14:textId="77777777" w:rsidR="004B5FBC" w:rsidRPr="001624C6" w:rsidRDefault="004B5FBC" w:rsidP="004B5FBC">
      <w:pPr>
        <w:spacing w:line="276" w:lineRule="auto"/>
        <w:ind w:left="709"/>
        <w:jc w:val="both"/>
        <w:rPr>
          <w:rFonts w:ascii="Arial" w:hAnsi="Arial" w:cs="Arial"/>
          <w:sz w:val="22"/>
          <w:lang w:val="es-CO"/>
        </w:rPr>
      </w:pPr>
    </w:p>
    <w:p w14:paraId="6C31AC47" w14:textId="77777777" w:rsidR="004B5FBC" w:rsidRPr="001624C6" w:rsidRDefault="004B5FBC" w:rsidP="009C752F">
      <w:pPr>
        <w:spacing w:after="120"/>
        <w:ind w:left="709" w:right="709"/>
        <w:jc w:val="both"/>
        <w:rPr>
          <w:rFonts w:ascii="Arial" w:hAnsi="Arial" w:cs="Arial"/>
          <w:sz w:val="21"/>
          <w:szCs w:val="21"/>
          <w:lang w:val="es-CO"/>
        </w:rPr>
      </w:pPr>
      <w:r w:rsidRPr="001624C6">
        <w:rPr>
          <w:rFonts w:ascii="Arial" w:hAnsi="Arial" w:cs="Arial"/>
          <w:sz w:val="21"/>
          <w:szCs w:val="21"/>
          <w:lang w:val="es-CO"/>
        </w:rPr>
        <w:t xml:space="preserve">[…] el AIU propuesto para el contrato, corresponde a: </w:t>
      </w:r>
    </w:p>
    <w:p w14:paraId="635FA05A" w14:textId="77777777" w:rsidR="004B5FBC" w:rsidRPr="001624C6" w:rsidRDefault="004B5FBC" w:rsidP="009C752F">
      <w:pPr>
        <w:spacing w:after="120"/>
        <w:ind w:left="709" w:right="709"/>
        <w:jc w:val="both"/>
        <w:rPr>
          <w:rFonts w:ascii="Arial" w:hAnsi="Arial" w:cs="Arial"/>
          <w:sz w:val="21"/>
          <w:szCs w:val="21"/>
          <w:lang w:val="es-CO"/>
        </w:rPr>
      </w:pPr>
      <w:r w:rsidRPr="001624C6">
        <w:rPr>
          <w:rFonts w:ascii="Arial" w:hAnsi="Arial" w:cs="Arial"/>
          <w:sz w:val="21"/>
          <w:szCs w:val="21"/>
          <w:lang w:val="es-CO"/>
        </w:rPr>
        <w:t xml:space="preserve">i) los costos de administración o costos indirectos para la operación del contrato, tales como los gastos de disponibilidad de la organización del contratista, esto es: A; </w:t>
      </w:r>
    </w:p>
    <w:p w14:paraId="5D51C46E" w14:textId="77777777" w:rsidR="004B5FBC" w:rsidRPr="001624C6" w:rsidRDefault="004B5FBC" w:rsidP="009C752F">
      <w:pPr>
        <w:spacing w:after="120"/>
        <w:ind w:left="709" w:right="709"/>
        <w:jc w:val="both"/>
        <w:rPr>
          <w:rFonts w:ascii="Arial" w:hAnsi="Arial" w:cs="Arial"/>
          <w:sz w:val="21"/>
          <w:szCs w:val="21"/>
          <w:lang w:val="es-CO"/>
        </w:rPr>
      </w:pPr>
      <w:proofErr w:type="spellStart"/>
      <w:r w:rsidRPr="001624C6">
        <w:rPr>
          <w:rFonts w:ascii="Arial" w:hAnsi="Arial" w:cs="Arial"/>
          <w:sz w:val="21"/>
          <w:szCs w:val="21"/>
          <w:lang w:val="es-CO"/>
        </w:rPr>
        <w:t>ii</w:t>
      </w:r>
      <w:proofErr w:type="spellEnd"/>
      <w:r w:rsidRPr="001624C6">
        <w:rPr>
          <w:rFonts w:ascii="Arial" w:hAnsi="Arial" w:cs="Arial"/>
          <w:sz w:val="21"/>
          <w:szCs w:val="21"/>
          <w:lang w:val="es-CO"/>
        </w:rPr>
        <w:t xml:space="preserve">) los imprevistos, que es el porcentaje destinado a cubrir los gastos con los que no se contaba y que se presenten durante la ejecución del contrato, esto es, el </w:t>
      </w:r>
      <w:proofErr w:type="spellStart"/>
      <w:r w:rsidRPr="001624C6">
        <w:rPr>
          <w:rFonts w:ascii="Arial" w:hAnsi="Arial" w:cs="Arial"/>
          <w:sz w:val="21"/>
          <w:szCs w:val="21"/>
          <w:lang w:val="es-CO"/>
        </w:rPr>
        <w:t>álea</w:t>
      </w:r>
      <w:proofErr w:type="spellEnd"/>
      <w:r w:rsidRPr="001624C6">
        <w:rPr>
          <w:rFonts w:ascii="Arial" w:hAnsi="Arial" w:cs="Arial"/>
          <w:sz w:val="21"/>
          <w:szCs w:val="21"/>
          <w:lang w:val="es-CO"/>
        </w:rPr>
        <w:t xml:space="preserve"> normal del contrato: I; </w:t>
      </w:r>
    </w:p>
    <w:p w14:paraId="2F7AA215" w14:textId="77777777" w:rsidR="004B5FBC" w:rsidRPr="001624C6" w:rsidRDefault="004B5FBC" w:rsidP="009C752F">
      <w:pPr>
        <w:spacing w:after="120"/>
        <w:ind w:left="709" w:right="709"/>
        <w:jc w:val="both"/>
        <w:rPr>
          <w:rFonts w:ascii="Arial" w:hAnsi="Arial" w:cs="Arial"/>
          <w:sz w:val="21"/>
          <w:szCs w:val="21"/>
          <w:lang w:val="es-CO"/>
        </w:rPr>
      </w:pPr>
      <w:proofErr w:type="spellStart"/>
      <w:r w:rsidRPr="001624C6">
        <w:rPr>
          <w:rFonts w:ascii="Arial" w:hAnsi="Arial" w:cs="Arial"/>
          <w:sz w:val="21"/>
          <w:szCs w:val="21"/>
          <w:lang w:val="es-CO"/>
        </w:rPr>
        <w:t>iii</w:t>
      </w:r>
      <w:proofErr w:type="spellEnd"/>
      <w:r w:rsidRPr="001624C6">
        <w:rPr>
          <w:rFonts w:ascii="Arial" w:hAnsi="Arial" w:cs="Arial"/>
          <w:sz w:val="21"/>
          <w:szCs w:val="21"/>
          <w:lang w:val="es-CO"/>
        </w:rPr>
        <w:t xml:space="preserve">) la utilidad o el beneficio económico que pretende percibir el contratista por la ejecución del contrato, esto es: U. </w:t>
      </w:r>
    </w:p>
    <w:p w14:paraId="7F77B914" w14:textId="77777777" w:rsidR="004B5FBC" w:rsidRPr="001624C6" w:rsidRDefault="004B5FBC" w:rsidP="004B5FBC">
      <w:pPr>
        <w:ind w:left="709" w:right="709"/>
        <w:jc w:val="both"/>
        <w:rPr>
          <w:rFonts w:ascii="Arial" w:hAnsi="Arial" w:cs="Arial"/>
          <w:sz w:val="21"/>
          <w:szCs w:val="21"/>
          <w:lang w:val="es-CO"/>
        </w:rPr>
      </w:pPr>
      <w:r w:rsidRPr="001624C6">
        <w:rPr>
          <w:rFonts w:ascii="Arial" w:hAnsi="Arial" w:cs="Arial"/>
          <w:sz w:val="21"/>
          <w:szCs w:val="21"/>
          <w:lang w:val="es-CO"/>
        </w:rPr>
        <w:t>Ahora, teniendo en cuenta que no existe ninguna reglamentación que establezca porcentajes mínimos o máximos para determinar el A.I.U., cada empresa o comerciante de acuerdo con su infraestructura, experiencia, las condiciones del mercado, la naturaleza del contrato a celebrar, entre otros factores, establece su estructura de costos conforme a la cual se compromete a ejecutar cabalmente un contrato en el caso de que le sea adjudicado</w:t>
      </w:r>
      <w:r w:rsidRPr="001624C6">
        <w:rPr>
          <w:rStyle w:val="Refdenotaalpie"/>
          <w:rFonts w:ascii="Arial" w:hAnsi="Arial" w:cs="Arial"/>
          <w:sz w:val="21"/>
          <w:szCs w:val="21"/>
          <w:lang w:val="es-CO"/>
        </w:rPr>
        <w:footnoteReference w:id="6"/>
      </w:r>
      <w:r w:rsidRPr="001624C6">
        <w:rPr>
          <w:rFonts w:ascii="Arial" w:hAnsi="Arial" w:cs="Arial"/>
          <w:sz w:val="21"/>
          <w:szCs w:val="21"/>
          <w:lang w:val="es-CO"/>
        </w:rPr>
        <w:t>.</w:t>
      </w:r>
    </w:p>
    <w:p w14:paraId="175936F3" w14:textId="77777777" w:rsidR="00977D41" w:rsidRPr="001624C6" w:rsidRDefault="00977D41" w:rsidP="009C752F">
      <w:pPr>
        <w:spacing w:line="276" w:lineRule="auto"/>
        <w:ind w:firstLine="709"/>
        <w:jc w:val="both"/>
        <w:rPr>
          <w:rFonts w:ascii="Arial" w:hAnsi="Arial" w:cs="Arial"/>
          <w:sz w:val="22"/>
          <w:lang w:val="es-CO"/>
        </w:rPr>
      </w:pPr>
    </w:p>
    <w:p w14:paraId="51717957" w14:textId="7BD88FED" w:rsidR="004B5FBC" w:rsidRPr="001624C6" w:rsidRDefault="004B5FBC" w:rsidP="009C752F">
      <w:pPr>
        <w:spacing w:line="276" w:lineRule="auto"/>
        <w:ind w:firstLine="709"/>
        <w:jc w:val="both"/>
        <w:rPr>
          <w:rFonts w:ascii="Arial" w:hAnsi="Arial" w:cs="Arial"/>
          <w:sz w:val="22"/>
          <w:lang w:val="es-CO"/>
        </w:rPr>
      </w:pPr>
      <w:r w:rsidRPr="001624C6">
        <w:rPr>
          <w:rFonts w:ascii="Arial" w:hAnsi="Arial" w:cs="Arial"/>
          <w:sz w:val="22"/>
          <w:lang w:val="es-CO"/>
        </w:rPr>
        <w:t>Por su parte, la Sala de Consulta y Servicio Civil del Consejo de Estado sostuvo en concepto del 5 de septiembre de 2018</w:t>
      </w:r>
      <w:r w:rsidRPr="001624C6">
        <w:rPr>
          <w:rStyle w:val="Refdenotaalpie"/>
          <w:rFonts w:ascii="Arial" w:hAnsi="Arial" w:cs="Arial"/>
          <w:sz w:val="22"/>
          <w:lang w:val="es-CO"/>
        </w:rPr>
        <w:footnoteReference w:id="7"/>
      </w:r>
      <w:r w:rsidRPr="001624C6">
        <w:rPr>
          <w:rFonts w:ascii="Arial" w:hAnsi="Arial" w:cs="Arial"/>
          <w:sz w:val="22"/>
          <w:lang w:val="es-CO"/>
        </w:rPr>
        <w:t xml:space="preserve"> que «el concepto del A.I.U. comprende la Administración (costos indirectos) imprevistos y utilidades, y en algunos contratos este valor aparece cuantificado en forma independiente al valor de la obra y como un porcentaje de la misma</w:t>
      </w:r>
      <w:r w:rsidRPr="001624C6">
        <w:rPr>
          <w:rStyle w:val="Refdenotaalpie"/>
          <w:rFonts w:ascii="Arial" w:hAnsi="Arial" w:cs="Arial"/>
          <w:sz w:val="22"/>
          <w:lang w:val="es-CO"/>
        </w:rPr>
        <w:footnoteReference w:id="8"/>
      </w:r>
      <w:r w:rsidRPr="001624C6">
        <w:rPr>
          <w:rFonts w:ascii="Arial" w:hAnsi="Arial" w:cs="Arial"/>
          <w:sz w:val="22"/>
          <w:lang w:val="es-CO"/>
        </w:rPr>
        <w:t xml:space="preserve">, sin perjuicio que en otros contratos este valor no aparezca discriminado y se incorpore en el valor de los precios unitarios». Esta última opción fue la adoptada por los Documentos Tipo, en los cuales se debe estructurar los precios unitarios incluyendo el porcentaje de A.I.U. </w:t>
      </w:r>
    </w:p>
    <w:p w14:paraId="0958A838" w14:textId="5707F603" w:rsidR="00334400" w:rsidRPr="001624C6" w:rsidRDefault="00334400" w:rsidP="00334400">
      <w:pPr>
        <w:pStyle w:val="InviasNormal"/>
        <w:spacing w:line="276" w:lineRule="auto"/>
        <w:rPr>
          <w:rFonts w:ascii="Arial" w:eastAsia="Arial" w:hAnsi="Arial" w:cs="Arial"/>
          <w:color w:val="auto"/>
          <w:sz w:val="22"/>
          <w:szCs w:val="22"/>
          <w:lang w:val="es-CO" w:eastAsia="en-US"/>
        </w:rPr>
      </w:pPr>
      <w:r w:rsidRPr="001624C6">
        <w:rPr>
          <w:rFonts w:ascii="Arial" w:hAnsi="Arial" w:cs="Arial"/>
          <w:color w:val="auto"/>
          <w:sz w:val="22"/>
          <w:szCs w:val="22"/>
          <w:lang w:val="es-CO"/>
        </w:rPr>
        <w:tab/>
      </w:r>
      <w:r w:rsidR="004B5FBC" w:rsidRPr="001624C6">
        <w:rPr>
          <w:rFonts w:ascii="Arial" w:hAnsi="Arial" w:cs="Arial"/>
          <w:color w:val="auto"/>
          <w:sz w:val="22"/>
          <w:szCs w:val="22"/>
          <w:lang w:val="es-CO"/>
        </w:rPr>
        <w:t>Esta forma de inclusión del A.I.U., definida en la «Nota 3» del Formulario 1, se encuentra en armonía con el numeral 4.1.1 del «Documento Base», al señalar que «</w:t>
      </w:r>
      <w:r w:rsidR="00197C8A" w:rsidRPr="001624C6">
        <w:rPr>
          <w:rFonts w:ascii="Arial" w:hAnsi="Arial" w:cs="Arial"/>
          <w:color w:val="auto"/>
          <w:sz w:val="22"/>
          <w:szCs w:val="22"/>
          <w:lang w:val="es-CO"/>
        </w:rPr>
        <w:t>el valor del AIU deberá ser expresado en porcentaje (%) y deberá consignarlo y discriminarlo en la propuesta económica</w:t>
      </w:r>
      <w:r w:rsidR="004B5FBC" w:rsidRPr="001624C6">
        <w:rPr>
          <w:rFonts w:ascii="Arial" w:hAnsi="Arial" w:cs="Arial"/>
          <w:color w:val="auto"/>
          <w:sz w:val="22"/>
          <w:szCs w:val="22"/>
          <w:lang w:val="es-CO"/>
        </w:rPr>
        <w:t xml:space="preserve">», de manera que cuando el proponente oferte el valor unitario del </w:t>
      </w:r>
      <w:r w:rsidR="004B5FBC" w:rsidRPr="001624C6">
        <w:rPr>
          <w:rFonts w:ascii="Arial" w:hAnsi="Arial" w:cs="Arial"/>
          <w:i/>
          <w:iCs/>
          <w:color w:val="auto"/>
          <w:sz w:val="22"/>
          <w:szCs w:val="22"/>
          <w:lang w:val="es-CO"/>
        </w:rPr>
        <w:t>ítem</w:t>
      </w:r>
      <w:r w:rsidR="004B5FBC" w:rsidRPr="001624C6">
        <w:rPr>
          <w:rFonts w:ascii="Arial" w:hAnsi="Arial" w:cs="Arial"/>
          <w:color w:val="auto"/>
          <w:sz w:val="22"/>
          <w:szCs w:val="22"/>
          <w:lang w:val="es-CO"/>
        </w:rPr>
        <w:t xml:space="preserve"> la entidad conozca cuál fue el porcentaje que tuvo en cuenta para cada uno de los componentes, al calcular el precio unitario ofertado</w:t>
      </w:r>
      <w:r w:rsidR="00197C8A" w:rsidRPr="001624C6">
        <w:rPr>
          <w:rFonts w:ascii="Arial" w:hAnsi="Arial" w:cs="Arial"/>
          <w:color w:val="auto"/>
          <w:sz w:val="22"/>
          <w:szCs w:val="22"/>
          <w:lang w:val="es-CO"/>
        </w:rPr>
        <w:t>.</w:t>
      </w:r>
      <w:r w:rsidRPr="001624C6">
        <w:rPr>
          <w:rFonts w:ascii="Arial" w:hAnsi="Arial" w:cs="Arial"/>
          <w:color w:val="auto"/>
          <w:sz w:val="22"/>
          <w:szCs w:val="22"/>
          <w:lang w:val="es-CO"/>
        </w:rPr>
        <w:t xml:space="preserve"> No obstante, tal como </w:t>
      </w:r>
      <w:r w:rsidR="00432F9F">
        <w:rPr>
          <w:rFonts w:ascii="Arial" w:hAnsi="Arial" w:cs="Arial"/>
          <w:color w:val="auto"/>
          <w:sz w:val="22"/>
          <w:szCs w:val="22"/>
          <w:lang w:val="es-CO"/>
        </w:rPr>
        <w:t xml:space="preserve">lo </w:t>
      </w:r>
      <w:r w:rsidRPr="001624C6">
        <w:rPr>
          <w:rFonts w:ascii="Arial" w:hAnsi="Arial" w:cs="Arial"/>
          <w:color w:val="auto"/>
          <w:sz w:val="22"/>
          <w:szCs w:val="22"/>
          <w:lang w:val="es-CO"/>
        </w:rPr>
        <w:t xml:space="preserve">señala el párrafo siguiente al encabezado del numeral 4.1.1 del Documento Base, dicha </w:t>
      </w:r>
      <w:r w:rsidRPr="00432F9F">
        <w:rPr>
          <w:rFonts w:ascii="Arial" w:hAnsi="Arial" w:cs="Arial"/>
          <w:color w:val="auto"/>
          <w:sz w:val="22"/>
          <w:szCs w:val="22"/>
          <w:lang w:val="es-CO"/>
        </w:rPr>
        <w:t>«</w:t>
      </w:r>
      <w:r w:rsidRPr="009C752F">
        <w:rPr>
          <w:rFonts w:ascii="Arial" w:hAnsi="Arial" w:cs="Arial"/>
          <w:color w:val="auto"/>
          <w:sz w:val="22"/>
          <w:szCs w:val="22"/>
          <w:highlight w:val="lightGray"/>
          <w:lang w:val="es-CO"/>
        </w:rPr>
        <w:t xml:space="preserve">[ […] </w:t>
      </w:r>
      <w:r w:rsidRPr="009C752F">
        <w:rPr>
          <w:rFonts w:ascii="Arial" w:hAnsi="Arial" w:cs="Arial"/>
          <w:color w:val="auto"/>
          <w:sz w:val="22"/>
          <w:szCs w:val="22"/>
          <w:highlight w:val="lightGray"/>
          <w:lang w:val="es-CO"/>
        </w:rPr>
        <w:lastRenderedPageBreak/>
        <w:t>sección se debe incluir en el evento en el que el Proceso de Contratación sea por precios unitarios]</w:t>
      </w:r>
      <w:r w:rsidRPr="001624C6">
        <w:rPr>
          <w:rFonts w:ascii="Arial" w:hAnsi="Arial" w:cs="Arial"/>
          <w:color w:val="auto"/>
          <w:sz w:val="22"/>
          <w:szCs w:val="22"/>
          <w:lang w:val="es-CO"/>
        </w:rPr>
        <w:t>».</w:t>
      </w:r>
      <w:r w:rsidR="007A4D54" w:rsidRPr="001624C6">
        <w:rPr>
          <w:rFonts w:ascii="Arial" w:eastAsia="Arial" w:hAnsi="Arial" w:cs="Arial"/>
          <w:color w:val="auto"/>
          <w:sz w:val="22"/>
          <w:szCs w:val="22"/>
          <w:lang w:val="es-CO" w:eastAsia="en-US"/>
        </w:rPr>
        <w:t>De acuerdo con esto</w:t>
      </w:r>
      <w:r w:rsidRPr="001624C6">
        <w:rPr>
          <w:rFonts w:ascii="Arial" w:eastAsia="Arial" w:hAnsi="Arial" w:cs="Arial"/>
          <w:color w:val="auto"/>
          <w:sz w:val="22"/>
          <w:szCs w:val="22"/>
          <w:lang w:val="es-CO" w:eastAsia="en-US"/>
        </w:rPr>
        <w:t xml:space="preserve">, </w:t>
      </w:r>
      <w:r w:rsidR="0045488B" w:rsidRPr="001624C6">
        <w:rPr>
          <w:rFonts w:ascii="Arial" w:eastAsia="Arial" w:hAnsi="Arial" w:cs="Arial"/>
          <w:color w:val="auto"/>
          <w:sz w:val="22"/>
          <w:szCs w:val="22"/>
          <w:lang w:val="es-CO" w:eastAsia="en-US"/>
        </w:rPr>
        <w:t>la aplicabilidad</w:t>
      </w:r>
      <w:r w:rsidR="00221D77">
        <w:rPr>
          <w:rFonts w:ascii="Arial" w:eastAsia="Arial" w:hAnsi="Arial" w:cs="Arial"/>
          <w:color w:val="auto"/>
          <w:sz w:val="22"/>
          <w:szCs w:val="22"/>
          <w:lang w:val="es-CO" w:eastAsia="en-US"/>
        </w:rPr>
        <w:t xml:space="preserve"> de</w:t>
      </w:r>
      <w:r w:rsidR="0045488B" w:rsidRPr="001624C6">
        <w:rPr>
          <w:rFonts w:ascii="Arial" w:eastAsia="Arial" w:hAnsi="Arial" w:cs="Arial"/>
          <w:color w:val="auto"/>
          <w:sz w:val="22"/>
          <w:szCs w:val="22"/>
          <w:lang w:val="es-CO" w:eastAsia="en-US"/>
        </w:rPr>
        <w:t xml:space="preserve"> la causal de rechazo del literal R, también está condicionada a que se trate de un proceso de selección en el que se haya usado la modalidad de pago de precios unitarios,</w:t>
      </w:r>
      <w:r w:rsidR="007A4D54" w:rsidRPr="001624C6">
        <w:rPr>
          <w:rFonts w:ascii="Arial" w:eastAsia="Arial" w:hAnsi="Arial" w:cs="Arial"/>
          <w:color w:val="auto"/>
          <w:sz w:val="22"/>
          <w:szCs w:val="22"/>
          <w:lang w:val="es-CO" w:eastAsia="en-US"/>
        </w:rPr>
        <w:t xml:space="preserve"> comoquiera que es </w:t>
      </w:r>
      <w:r w:rsidR="0045488B" w:rsidRPr="001624C6">
        <w:rPr>
          <w:rFonts w:ascii="Arial" w:eastAsia="Arial" w:hAnsi="Arial" w:cs="Arial"/>
          <w:color w:val="auto"/>
          <w:sz w:val="22"/>
          <w:szCs w:val="22"/>
          <w:lang w:val="es-CO" w:eastAsia="en-US"/>
        </w:rPr>
        <w:t>en el marco de</w:t>
      </w:r>
      <w:r w:rsidR="007A4D54" w:rsidRPr="001624C6">
        <w:rPr>
          <w:rFonts w:ascii="Arial" w:eastAsia="Arial" w:hAnsi="Arial" w:cs="Arial"/>
          <w:color w:val="auto"/>
          <w:sz w:val="22"/>
          <w:szCs w:val="22"/>
          <w:lang w:val="es-CO" w:eastAsia="en-US"/>
        </w:rPr>
        <w:t xml:space="preserve"> dicha metodología</w:t>
      </w:r>
      <w:r w:rsidR="0045488B" w:rsidRPr="001624C6">
        <w:rPr>
          <w:rFonts w:ascii="Arial" w:eastAsia="Arial" w:hAnsi="Arial" w:cs="Arial"/>
          <w:color w:val="auto"/>
          <w:sz w:val="22"/>
          <w:szCs w:val="22"/>
          <w:lang w:val="es-CO" w:eastAsia="en-US"/>
        </w:rPr>
        <w:t xml:space="preserve"> </w:t>
      </w:r>
      <w:r w:rsidR="007A4D54" w:rsidRPr="001624C6">
        <w:rPr>
          <w:rFonts w:ascii="Arial" w:eastAsia="Arial" w:hAnsi="Arial" w:cs="Arial"/>
          <w:color w:val="auto"/>
          <w:sz w:val="22"/>
          <w:szCs w:val="22"/>
          <w:lang w:val="es-CO" w:eastAsia="en-US"/>
        </w:rPr>
        <w:t>donde</w:t>
      </w:r>
      <w:r w:rsidR="0045488B" w:rsidRPr="001624C6">
        <w:rPr>
          <w:rFonts w:ascii="Arial" w:eastAsia="Arial" w:hAnsi="Arial" w:cs="Arial"/>
          <w:color w:val="auto"/>
          <w:sz w:val="22"/>
          <w:szCs w:val="22"/>
          <w:lang w:val="es-CO" w:eastAsia="en-US"/>
        </w:rPr>
        <w:t xml:space="preserve"> encuentra significado la categoría A.I.U. en los términos antes explicados.  </w:t>
      </w:r>
    </w:p>
    <w:p w14:paraId="12672272" w14:textId="17B9E853" w:rsidR="0045488B" w:rsidRPr="001624C6" w:rsidRDefault="0045488B" w:rsidP="00334400">
      <w:pPr>
        <w:pStyle w:val="InviasNormal"/>
        <w:spacing w:line="276" w:lineRule="auto"/>
        <w:rPr>
          <w:rFonts w:ascii="Arial" w:eastAsia="Arial" w:hAnsi="Arial" w:cs="Arial"/>
          <w:color w:val="auto"/>
          <w:sz w:val="22"/>
          <w:szCs w:val="22"/>
          <w:lang w:val="es-CO" w:eastAsia="en-US"/>
        </w:rPr>
      </w:pPr>
      <w:r w:rsidRPr="001624C6">
        <w:rPr>
          <w:rFonts w:ascii="Arial" w:eastAsia="Arial" w:hAnsi="Arial" w:cs="Arial"/>
          <w:color w:val="auto"/>
          <w:sz w:val="22"/>
          <w:szCs w:val="22"/>
          <w:lang w:val="es-CO" w:eastAsia="en-US"/>
        </w:rPr>
        <w:tab/>
        <w:t xml:space="preserve">En conclusión, </w:t>
      </w:r>
      <w:r w:rsidR="00061606" w:rsidRPr="001624C6">
        <w:rPr>
          <w:rFonts w:ascii="Arial" w:eastAsia="Arial" w:hAnsi="Arial" w:cs="Arial"/>
          <w:color w:val="auto"/>
          <w:sz w:val="22"/>
          <w:szCs w:val="22"/>
          <w:lang w:val="es-CO" w:eastAsia="en-US"/>
        </w:rPr>
        <w:t>en el marco de la aplicación de los</w:t>
      </w:r>
      <w:r w:rsidR="007A4D54" w:rsidRPr="001624C6">
        <w:rPr>
          <w:rFonts w:ascii="Arial" w:eastAsia="Arial" w:hAnsi="Arial" w:cs="Arial"/>
          <w:color w:val="auto"/>
          <w:sz w:val="22"/>
          <w:szCs w:val="22"/>
          <w:lang w:val="es-CO" w:eastAsia="en-US"/>
        </w:rPr>
        <w:t xml:space="preserve"> Documentos Tip</w:t>
      </w:r>
      <w:r w:rsidR="00061606" w:rsidRPr="001624C6">
        <w:rPr>
          <w:rFonts w:ascii="Arial" w:eastAsia="Arial" w:hAnsi="Arial" w:cs="Arial"/>
          <w:color w:val="auto"/>
          <w:sz w:val="22"/>
          <w:szCs w:val="22"/>
          <w:lang w:val="es-CO" w:eastAsia="en-US"/>
        </w:rPr>
        <w:t>o</w:t>
      </w:r>
      <w:r w:rsidR="007A4D54" w:rsidRPr="001624C6">
        <w:rPr>
          <w:rFonts w:ascii="Arial" w:eastAsia="Arial" w:hAnsi="Arial" w:cs="Arial"/>
          <w:color w:val="auto"/>
          <w:sz w:val="22"/>
          <w:szCs w:val="22"/>
          <w:lang w:val="es-CO" w:eastAsia="en-US"/>
        </w:rPr>
        <w:t xml:space="preserve"> de licitación de obra pública de infraestructura de transporte</w:t>
      </w:r>
      <w:r w:rsidR="007672FB" w:rsidRPr="001624C6">
        <w:rPr>
          <w:rFonts w:ascii="Arial" w:eastAsia="Arial" w:hAnsi="Arial" w:cs="Arial"/>
          <w:color w:val="auto"/>
          <w:sz w:val="22"/>
          <w:szCs w:val="22"/>
          <w:lang w:val="es-CO" w:eastAsia="en-US"/>
        </w:rPr>
        <w:t xml:space="preserve">, </w:t>
      </w:r>
      <w:r w:rsidR="00061606" w:rsidRPr="001624C6">
        <w:rPr>
          <w:rFonts w:ascii="Arial" w:eastAsia="Arial" w:hAnsi="Arial" w:cs="Arial"/>
          <w:color w:val="auto"/>
          <w:sz w:val="22"/>
          <w:szCs w:val="22"/>
          <w:lang w:val="es-CO" w:eastAsia="en-US"/>
        </w:rPr>
        <w:t xml:space="preserve">las entidades estatales tienen la facultad de decidir la metodología de determinación del Presupuesto Oficial y </w:t>
      </w:r>
      <w:r w:rsidR="00432F9F">
        <w:rPr>
          <w:rFonts w:ascii="Arial" w:eastAsia="Arial" w:hAnsi="Arial" w:cs="Arial"/>
          <w:color w:val="auto"/>
          <w:sz w:val="22"/>
          <w:szCs w:val="22"/>
          <w:lang w:val="es-CO" w:eastAsia="en-US"/>
        </w:rPr>
        <w:t xml:space="preserve">el </w:t>
      </w:r>
      <w:r w:rsidR="007672FB" w:rsidRPr="001624C6">
        <w:rPr>
          <w:rFonts w:ascii="Arial" w:eastAsia="Arial" w:hAnsi="Arial" w:cs="Arial"/>
          <w:color w:val="auto"/>
          <w:sz w:val="22"/>
          <w:szCs w:val="22"/>
          <w:lang w:val="es-CO" w:eastAsia="en-US"/>
        </w:rPr>
        <w:t>sistema</w:t>
      </w:r>
      <w:r w:rsidR="00061606" w:rsidRPr="001624C6">
        <w:rPr>
          <w:rFonts w:ascii="Arial" w:eastAsia="Arial" w:hAnsi="Arial" w:cs="Arial"/>
          <w:color w:val="auto"/>
          <w:sz w:val="22"/>
          <w:szCs w:val="22"/>
          <w:lang w:val="es-CO" w:eastAsia="en-US"/>
        </w:rPr>
        <w:t xml:space="preserve"> de pago</w:t>
      </w:r>
      <w:r w:rsidR="007672FB" w:rsidRPr="001624C6">
        <w:rPr>
          <w:rFonts w:ascii="Arial" w:eastAsia="Arial" w:hAnsi="Arial" w:cs="Arial"/>
          <w:color w:val="auto"/>
          <w:sz w:val="22"/>
          <w:szCs w:val="22"/>
          <w:lang w:val="es-CO" w:eastAsia="en-US"/>
        </w:rPr>
        <w:t>s</w:t>
      </w:r>
      <w:r w:rsidR="00061606" w:rsidRPr="001624C6">
        <w:rPr>
          <w:rFonts w:ascii="Arial" w:eastAsia="Arial" w:hAnsi="Arial" w:cs="Arial"/>
          <w:color w:val="auto"/>
          <w:sz w:val="22"/>
          <w:szCs w:val="22"/>
          <w:lang w:val="es-CO" w:eastAsia="en-US"/>
        </w:rPr>
        <w:t xml:space="preserve"> que a bien tengan, entre ellas la metodología de precios unitarios, para la que está </w:t>
      </w:r>
      <w:r w:rsidR="00432F9F">
        <w:rPr>
          <w:rFonts w:ascii="Arial" w:eastAsia="Arial" w:hAnsi="Arial" w:cs="Arial"/>
          <w:color w:val="auto"/>
          <w:sz w:val="22"/>
          <w:szCs w:val="22"/>
          <w:lang w:val="es-CO" w:eastAsia="en-US"/>
        </w:rPr>
        <w:t xml:space="preserve">establecida, </w:t>
      </w:r>
      <w:r w:rsidR="00061606" w:rsidRPr="001624C6">
        <w:rPr>
          <w:rFonts w:ascii="Arial" w:eastAsia="Arial" w:hAnsi="Arial" w:cs="Arial"/>
          <w:color w:val="auto"/>
          <w:sz w:val="22"/>
          <w:szCs w:val="22"/>
          <w:lang w:val="es-CO" w:eastAsia="en-US"/>
        </w:rPr>
        <w:t>en principio</w:t>
      </w:r>
      <w:r w:rsidR="00432F9F">
        <w:rPr>
          <w:rFonts w:ascii="Arial" w:eastAsia="Arial" w:hAnsi="Arial" w:cs="Arial"/>
          <w:color w:val="auto"/>
          <w:sz w:val="22"/>
          <w:szCs w:val="22"/>
          <w:lang w:val="es-CO" w:eastAsia="en-US"/>
        </w:rPr>
        <w:t>,</w:t>
      </w:r>
      <w:r w:rsidR="00061606" w:rsidRPr="001624C6">
        <w:rPr>
          <w:rFonts w:ascii="Arial" w:eastAsia="Arial" w:hAnsi="Arial" w:cs="Arial"/>
          <w:color w:val="auto"/>
          <w:sz w:val="22"/>
          <w:szCs w:val="22"/>
          <w:lang w:val="es-CO" w:eastAsia="en-US"/>
        </w:rPr>
        <w:t xml:space="preserve"> el Formulario 1. En caso de que se opte por la modalidad de precios unitarios, las entidades deberán ajustarse al contenido </w:t>
      </w:r>
      <w:r w:rsidR="00432F9F">
        <w:rPr>
          <w:rFonts w:ascii="Arial" w:eastAsia="Arial" w:hAnsi="Arial" w:cs="Arial"/>
          <w:color w:val="auto"/>
          <w:sz w:val="22"/>
          <w:szCs w:val="22"/>
          <w:lang w:val="es-CO" w:eastAsia="en-US"/>
        </w:rPr>
        <w:t xml:space="preserve">de </w:t>
      </w:r>
      <w:r w:rsidR="00061606" w:rsidRPr="001624C6">
        <w:rPr>
          <w:rFonts w:ascii="Arial" w:eastAsia="Arial" w:hAnsi="Arial" w:cs="Arial"/>
          <w:color w:val="auto"/>
          <w:sz w:val="22"/>
          <w:szCs w:val="22"/>
          <w:lang w:val="es-CO" w:eastAsia="en-US"/>
        </w:rPr>
        <w:t xml:space="preserve">dicho formulario, modificando únicamente lo expresamente señalado, debiendo además aplicar las notas 1, 2 y 3 e incluir el pliego de condiciones las causales de rechazo relacionadas con dicha modalidad, como es el caso de las causales recogidas en los literales P, Q y R.   </w:t>
      </w:r>
    </w:p>
    <w:p w14:paraId="653EA242" w14:textId="26BADC8B" w:rsidR="00061606" w:rsidRPr="001624C6" w:rsidRDefault="00061606" w:rsidP="00334400">
      <w:pPr>
        <w:pStyle w:val="InviasNormal"/>
        <w:spacing w:line="276" w:lineRule="auto"/>
        <w:rPr>
          <w:rFonts w:ascii="Arial" w:eastAsia="Arial" w:hAnsi="Arial" w:cs="Arial"/>
          <w:color w:val="auto"/>
          <w:sz w:val="22"/>
          <w:szCs w:val="22"/>
          <w:lang w:val="es-CO" w:eastAsia="en-US"/>
        </w:rPr>
      </w:pPr>
      <w:r w:rsidRPr="001624C6">
        <w:rPr>
          <w:rFonts w:ascii="Arial" w:eastAsia="Arial" w:hAnsi="Arial" w:cs="Arial"/>
          <w:color w:val="auto"/>
          <w:sz w:val="22"/>
          <w:szCs w:val="22"/>
          <w:lang w:val="es-CO" w:eastAsia="en-US"/>
        </w:rPr>
        <w:tab/>
      </w:r>
      <w:r w:rsidR="00B914AB" w:rsidRPr="001624C6">
        <w:rPr>
          <w:rFonts w:ascii="Arial" w:eastAsia="Arial" w:hAnsi="Arial" w:cs="Arial"/>
          <w:color w:val="auto"/>
          <w:sz w:val="22"/>
          <w:szCs w:val="22"/>
          <w:lang w:val="es-CO" w:eastAsia="en-US"/>
        </w:rPr>
        <w:t xml:space="preserve">Por el contrario, cuando se opte por otra modalidad de pago, ya sea precio global, llave en mano, administración delegada, reembolso de gastos o cualquier otra forma de precio, le corresponderá a la entidad ajustar el Formulario 1 de tal manera que este pueda cumplir con su doble finalidad de servir de formato </w:t>
      </w:r>
      <w:r w:rsidR="00432F9F">
        <w:rPr>
          <w:rFonts w:ascii="Arial" w:eastAsia="Arial" w:hAnsi="Arial" w:cs="Arial"/>
          <w:color w:val="auto"/>
          <w:sz w:val="22"/>
          <w:szCs w:val="22"/>
          <w:lang w:val="es-CO" w:eastAsia="en-US"/>
        </w:rPr>
        <w:t>del</w:t>
      </w:r>
      <w:r w:rsidR="00B914AB" w:rsidRPr="001624C6">
        <w:rPr>
          <w:rFonts w:ascii="Arial" w:eastAsia="Arial" w:hAnsi="Arial" w:cs="Arial"/>
          <w:color w:val="auto"/>
          <w:sz w:val="22"/>
          <w:szCs w:val="22"/>
          <w:lang w:val="es-CO" w:eastAsia="en-US"/>
        </w:rPr>
        <w:t xml:space="preserve"> presupuesto oficial de la obra y </w:t>
      </w:r>
      <w:r w:rsidR="00432F9F">
        <w:rPr>
          <w:rFonts w:ascii="Arial" w:eastAsia="Arial" w:hAnsi="Arial" w:cs="Arial"/>
          <w:color w:val="auto"/>
          <w:sz w:val="22"/>
          <w:szCs w:val="22"/>
          <w:lang w:val="es-CO" w:eastAsia="en-US"/>
        </w:rPr>
        <w:t xml:space="preserve">para </w:t>
      </w:r>
      <w:r w:rsidR="00B914AB" w:rsidRPr="001624C6">
        <w:rPr>
          <w:rFonts w:ascii="Arial" w:eastAsia="Arial" w:hAnsi="Arial" w:cs="Arial"/>
          <w:color w:val="auto"/>
          <w:sz w:val="22"/>
          <w:szCs w:val="22"/>
          <w:lang w:val="es-CO" w:eastAsia="en-US"/>
        </w:rPr>
        <w:t xml:space="preserve">la presentación de </w:t>
      </w:r>
      <w:r w:rsidR="00432F9F">
        <w:rPr>
          <w:rFonts w:ascii="Arial" w:eastAsia="Arial" w:hAnsi="Arial" w:cs="Arial"/>
          <w:color w:val="auto"/>
          <w:sz w:val="22"/>
          <w:szCs w:val="22"/>
          <w:lang w:val="es-CO" w:eastAsia="en-US"/>
        </w:rPr>
        <w:t xml:space="preserve">las </w:t>
      </w:r>
      <w:r w:rsidR="00B914AB" w:rsidRPr="001624C6">
        <w:rPr>
          <w:rFonts w:ascii="Arial" w:eastAsia="Arial" w:hAnsi="Arial" w:cs="Arial"/>
          <w:color w:val="auto"/>
          <w:sz w:val="22"/>
          <w:szCs w:val="22"/>
          <w:lang w:val="es-CO" w:eastAsia="en-US"/>
        </w:rPr>
        <w:t>ofertas, de acuerdo con las particularidades de la forma de pago escogida. En dicho evento, se deberá prescindir</w:t>
      </w:r>
      <w:r w:rsidR="00432F9F">
        <w:rPr>
          <w:rFonts w:ascii="Arial" w:eastAsia="Arial" w:hAnsi="Arial" w:cs="Arial"/>
          <w:color w:val="auto"/>
          <w:sz w:val="22"/>
          <w:szCs w:val="22"/>
          <w:lang w:val="es-CO" w:eastAsia="en-US"/>
        </w:rPr>
        <w:t>, en principio,</w:t>
      </w:r>
      <w:r w:rsidR="00B914AB" w:rsidRPr="001624C6">
        <w:rPr>
          <w:rFonts w:ascii="Arial" w:eastAsia="Arial" w:hAnsi="Arial" w:cs="Arial"/>
          <w:color w:val="auto"/>
          <w:sz w:val="22"/>
          <w:szCs w:val="22"/>
          <w:lang w:val="es-CO" w:eastAsia="en-US"/>
        </w:rPr>
        <w:t xml:space="preserve"> de la inclusión de las causales de rechazo de los literales P, Q y R en el pliego de condiciones, en la medida en que están </w:t>
      </w:r>
      <w:r w:rsidR="00432F9F">
        <w:rPr>
          <w:rFonts w:ascii="Arial" w:eastAsia="Arial" w:hAnsi="Arial" w:cs="Arial"/>
          <w:color w:val="auto"/>
          <w:sz w:val="22"/>
          <w:szCs w:val="22"/>
          <w:lang w:val="es-CO" w:eastAsia="en-US"/>
        </w:rPr>
        <w:t>establecidas</w:t>
      </w:r>
      <w:r w:rsidR="00432F9F" w:rsidRPr="001624C6">
        <w:rPr>
          <w:rFonts w:ascii="Arial" w:eastAsia="Arial" w:hAnsi="Arial" w:cs="Arial"/>
          <w:color w:val="auto"/>
          <w:sz w:val="22"/>
          <w:szCs w:val="22"/>
          <w:lang w:val="es-CO" w:eastAsia="en-US"/>
        </w:rPr>
        <w:t xml:space="preserve"> </w:t>
      </w:r>
      <w:r w:rsidR="00B914AB" w:rsidRPr="001624C6">
        <w:rPr>
          <w:rFonts w:ascii="Arial" w:eastAsia="Arial" w:hAnsi="Arial" w:cs="Arial"/>
          <w:color w:val="auto"/>
          <w:sz w:val="22"/>
          <w:szCs w:val="22"/>
          <w:lang w:val="es-CO" w:eastAsia="en-US"/>
        </w:rPr>
        <w:t xml:space="preserve">para procesos con precios unitarios. </w:t>
      </w:r>
      <w:r w:rsidR="00432F9F">
        <w:rPr>
          <w:rFonts w:ascii="Arial" w:eastAsia="Arial" w:hAnsi="Arial" w:cs="Arial"/>
          <w:color w:val="auto"/>
          <w:sz w:val="22"/>
          <w:szCs w:val="22"/>
          <w:lang w:val="es-CO" w:eastAsia="en-US"/>
        </w:rPr>
        <w:t>Sin perjuicio de que la establecida en el literal R, esto es, para los procesos cuyo precio se estructure acudiendo a la metodología del AIU se utilice en contratos que no se estructuren con precios unitarios, pese a que el AIU suele utilizarse en este último tipo de contratos.</w:t>
      </w:r>
    </w:p>
    <w:p w14:paraId="1035FAE4" w14:textId="77777777" w:rsidR="004B5FBC" w:rsidRPr="001624C6" w:rsidRDefault="004B5FBC" w:rsidP="004B5FBC">
      <w:pPr>
        <w:pStyle w:val="Prrafodelista"/>
        <w:numPr>
          <w:ilvl w:val="0"/>
          <w:numId w:val="6"/>
        </w:numPr>
        <w:tabs>
          <w:tab w:val="left" w:pos="284"/>
        </w:tabs>
        <w:spacing w:line="276" w:lineRule="auto"/>
        <w:ind w:left="0" w:hanging="142"/>
        <w:jc w:val="both"/>
        <w:rPr>
          <w:rFonts w:ascii="Arial" w:eastAsia="Calibri" w:hAnsi="Arial" w:cs="Arial"/>
          <w:sz w:val="22"/>
        </w:rPr>
      </w:pPr>
      <w:r w:rsidRPr="001624C6">
        <w:rPr>
          <w:rFonts w:ascii="Arial" w:eastAsia="Calibri" w:hAnsi="Arial" w:cs="Arial"/>
          <w:b/>
          <w:sz w:val="22"/>
        </w:rPr>
        <w:t>Respuesta</w:t>
      </w:r>
    </w:p>
    <w:p w14:paraId="01E6C031" w14:textId="77777777" w:rsidR="004B5FBC" w:rsidRPr="001624C6" w:rsidRDefault="004B5FBC" w:rsidP="001624C6">
      <w:pPr>
        <w:ind w:left="709" w:right="709"/>
        <w:jc w:val="both"/>
        <w:rPr>
          <w:rFonts w:ascii="Arial" w:eastAsia="Calibri" w:hAnsi="Arial" w:cs="Arial"/>
          <w:i/>
          <w:sz w:val="22"/>
        </w:rPr>
      </w:pPr>
    </w:p>
    <w:p w14:paraId="16901320" w14:textId="03220E72" w:rsidR="00A146AE" w:rsidRPr="001624C6" w:rsidRDefault="007672FB" w:rsidP="001624C6">
      <w:pPr>
        <w:ind w:left="709" w:right="709"/>
        <w:jc w:val="both"/>
        <w:rPr>
          <w:rFonts w:ascii="Arial" w:eastAsia="Calibri" w:hAnsi="Arial" w:cs="Arial"/>
          <w:sz w:val="21"/>
          <w:szCs w:val="21"/>
        </w:rPr>
      </w:pPr>
      <w:r w:rsidRPr="001624C6">
        <w:rPr>
          <w:rFonts w:ascii="Arial" w:eastAsia="Calibri" w:hAnsi="Arial" w:cs="Arial"/>
          <w:sz w:val="21"/>
          <w:szCs w:val="21"/>
        </w:rPr>
        <w:t>«</w:t>
      </w:r>
      <w:r w:rsidRPr="001624C6">
        <w:rPr>
          <w:rFonts w:ascii="Arial" w:hAnsi="Arial" w:cs="Arial"/>
          <w:sz w:val="21"/>
          <w:szCs w:val="21"/>
        </w:rPr>
        <w:t xml:space="preserve">[…] </w:t>
      </w:r>
      <w:r w:rsidRPr="001624C6">
        <w:rPr>
          <w:rFonts w:ascii="Arial" w:eastAsia="Calibri" w:hAnsi="Arial" w:cs="Arial"/>
          <w:sz w:val="21"/>
          <w:szCs w:val="21"/>
        </w:rPr>
        <w:t>LA ENTIDAD ESTA OBLIGADA A DILIGENCIAR EL FORMULARI</w:t>
      </w:r>
      <w:r w:rsidR="00432F9F">
        <w:rPr>
          <w:rFonts w:ascii="Arial" w:eastAsia="Calibri" w:hAnsi="Arial" w:cs="Arial"/>
          <w:sz w:val="21"/>
          <w:szCs w:val="21"/>
        </w:rPr>
        <w:t xml:space="preserve"> (sic)</w:t>
      </w:r>
      <w:r w:rsidRPr="001624C6">
        <w:rPr>
          <w:rFonts w:ascii="Arial" w:eastAsia="Calibri" w:hAnsi="Arial" w:cs="Arial"/>
          <w:sz w:val="21"/>
          <w:szCs w:val="21"/>
        </w:rPr>
        <w:t xml:space="preserve"> 1 PRESUPUESTO OFICIAL? LA ENTIDAD QUE NO DILIGENCIA EL FORMULARIO 1 PRESUPUESTO OFICIAL PUEDE APLICAR LAS CAUSALES DE RECHAZO P - Q- -</w:t>
      </w:r>
      <w:proofErr w:type="gramStart"/>
      <w:r w:rsidRPr="001624C6">
        <w:rPr>
          <w:rFonts w:ascii="Arial" w:eastAsia="Calibri" w:hAnsi="Arial" w:cs="Arial"/>
          <w:sz w:val="21"/>
          <w:szCs w:val="21"/>
        </w:rPr>
        <w:t>R ?</w:t>
      </w:r>
      <w:proofErr w:type="gramEnd"/>
      <w:r w:rsidRPr="001624C6">
        <w:rPr>
          <w:rFonts w:ascii="Arial" w:eastAsia="Calibri" w:hAnsi="Arial" w:cs="Arial"/>
          <w:sz w:val="21"/>
          <w:szCs w:val="21"/>
        </w:rPr>
        <w:t xml:space="preserve"> […]».</w:t>
      </w:r>
    </w:p>
    <w:p w14:paraId="7314C5DF" w14:textId="77777777" w:rsidR="001624C6" w:rsidRPr="001624C6" w:rsidRDefault="001624C6" w:rsidP="001624C6">
      <w:pPr>
        <w:spacing w:line="276" w:lineRule="auto"/>
        <w:jc w:val="both"/>
        <w:rPr>
          <w:rFonts w:ascii="Arial" w:eastAsia="Calibri" w:hAnsi="Arial" w:cs="Arial"/>
          <w:sz w:val="22"/>
          <w:szCs w:val="21"/>
        </w:rPr>
      </w:pPr>
    </w:p>
    <w:p w14:paraId="468EC778" w14:textId="4FB2ED3D" w:rsidR="00976E2A" w:rsidRPr="001624C6" w:rsidRDefault="00432F9F" w:rsidP="001624C6">
      <w:pPr>
        <w:spacing w:line="276" w:lineRule="auto"/>
        <w:jc w:val="both"/>
        <w:rPr>
          <w:rFonts w:ascii="Arial" w:eastAsia="Calibri" w:hAnsi="Arial" w:cs="Arial"/>
          <w:sz w:val="22"/>
          <w:szCs w:val="21"/>
        </w:rPr>
      </w:pPr>
      <w:r>
        <w:rPr>
          <w:rFonts w:ascii="Arial" w:eastAsia="Calibri" w:hAnsi="Arial" w:cs="Arial"/>
          <w:sz w:val="22"/>
          <w:szCs w:val="21"/>
        </w:rPr>
        <w:t>D</w:t>
      </w:r>
      <w:r w:rsidR="00976E2A" w:rsidRPr="001624C6">
        <w:rPr>
          <w:rFonts w:ascii="Arial" w:eastAsia="Calibri" w:hAnsi="Arial" w:cs="Arial"/>
          <w:sz w:val="22"/>
          <w:szCs w:val="21"/>
        </w:rPr>
        <w:t xml:space="preserve">e conformidad con el parágrafo 7 del artículo 2 de la Ley 1150 de 2007, modificado por las leyes 1882 de 2018 y 2022 de 2020, </w:t>
      </w:r>
      <w:proofErr w:type="gramStart"/>
      <w:r w:rsidR="00976E2A" w:rsidRPr="001624C6">
        <w:rPr>
          <w:rFonts w:ascii="Arial" w:eastAsia="Calibri" w:hAnsi="Arial" w:cs="Arial"/>
          <w:sz w:val="22"/>
          <w:szCs w:val="21"/>
        </w:rPr>
        <w:t>y  el</w:t>
      </w:r>
      <w:proofErr w:type="gramEnd"/>
      <w:r w:rsidR="00976E2A" w:rsidRPr="001624C6">
        <w:rPr>
          <w:rFonts w:ascii="Arial" w:eastAsia="Calibri" w:hAnsi="Arial" w:cs="Arial"/>
          <w:sz w:val="22"/>
          <w:szCs w:val="21"/>
        </w:rPr>
        <w:t xml:space="preserve"> artículo 2.2.1.2.6.1.2 del Decreto 342 de 2019, el «Formulario 1–Formulario de Presupuesto Oficial» es de obligatoria aplicación para las entidades regidas por el E</w:t>
      </w:r>
      <w:r w:rsidR="007672FB" w:rsidRPr="001624C6">
        <w:rPr>
          <w:rFonts w:ascii="Arial" w:eastAsia="Calibri" w:hAnsi="Arial" w:cs="Arial"/>
          <w:sz w:val="22"/>
          <w:szCs w:val="21"/>
        </w:rPr>
        <w:t xml:space="preserve">statuto </w:t>
      </w:r>
      <w:r w:rsidR="00976E2A" w:rsidRPr="001624C6">
        <w:rPr>
          <w:rFonts w:ascii="Arial" w:eastAsia="Calibri" w:hAnsi="Arial" w:cs="Arial"/>
          <w:sz w:val="22"/>
          <w:szCs w:val="21"/>
        </w:rPr>
        <w:t>G</w:t>
      </w:r>
      <w:r w:rsidR="007672FB" w:rsidRPr="001624C6">
        <w:rPr>
          <w:rFonts w:ascii="Arial" w:eastAsia="Calibri" w:hAnsi="Arial" w:cs="Arial"/>
          <w:sz w:val="22"/>
          <w:szCs w:val="21"/>
        </w:rPr>
        <w:t xml:space="preserve">eneral de </w:t>
      </w:r>
      <w:r w:rsidR="00976E2A" w:rsidRPr="001624C6">
        <w:rPr>
          <w:rFonts w:ascii="Arial" w:eastAsia="Calibri" w:hAnsi="Arial" w:cs="Arial"/>
          <w:sz w:val="22"/>
          <w:szCs w:val="21"/>
        </w:rPr>
        <w:t>C</w:t>
      </w:r>
      <w:r w:rsidR="007672FB" w:rsidRPr="001624C6">
        <w:rPr>
          <w:rFonts w:ascii="Arial" w:eastAsia="Calibri" w:hAnsi="Arial" w:cs="Arial"/>
          <w:sz w:val="22"/>
          <w:szCs w:val="21"/>
        </w:rPr>
        <w:t xml:space="preserve">ontratación de la </w:t>
      </w:r>
      <w:r w:rsidR="00976E2A" w:rsidRPr="001624C6">
        <w:rPr>
          <w:rFonts w:ascii="Arial" w:eastAsia="Calibri" w:hAnsi="Arial" w:cs="Arial"/>
          <w:sz w:val="22"/>
          <w:szCs w:val="21"/>
        </w:rPr>
        <w:t>A</w:t>
      </w:r>
      <w:r w:rsidR="007672FB" w:rsidRPr="001624C6">
        <w:rPr>
          <w:rFonts w:ascii="Arial" w:eastAsia="Calibri" w:hAnsi="Arial" w:cs="Arial"/>
          <w:sz w:val="22"/>
          <w:szCs w:val="21"/>
        </w:rPr>
        <w:t xml:space="preserve">dministración </w:t>
      </w:r>
      <w:r w:rsidR="00976E2A" w:rsidRPr="001624C6">
        <w:rPr>
          <w:rFonts w:ascii="Arial" w:eastAsia="Calibri" w:hAnsi="Arial" w:cs="Arial"/>
          <w:sz w:val="22"/>
          <w:szCs w:val="21"/>
        </w:rPr>
        <w:t>P</w:t>
      </w:r>
      <w:r w:rsidR="007672FB" w:rsidRPr="001624C6">
        <w:rPr>
          <w:rFonts w:ascii="Arial" w:eastAsia="Calibri" w:hAnsi="Arial" w:cs="Arial"/>
          <w:sz w:val="22"/>
          <w:szCs w:val="21"/>
        </w:rPr>
        <w:t>ública</w:t>
      </w:r>
      <w:r w:rsidR="007360F1">
        <w:rPr>
          <w:rFonts w:ascii="Arial" w:eastAsia="Calibri" w:hAnsi="Arial" w:cs="Arial"/>
          <w:sz w:val="22"/>
          <w:szCs w:val="21"/>
        </w:rPr>
        <w:t>.</w:t>
      </w:r>
      <w:r w:rsidR="00976E2A" w:rsidRPr="001624C6">
        <w:rPr>
          <w:rFonts w:ascii="Arial" w:eastAsia="Calibri" w:hAnsi="Arial" w:cs="Arial"/>
          <w:sz w:val="22"/>
          <w:szCs w:val="21"/>
        </w:rPr>
        <w:t xml:space="preserve"> </w:t>
      </w:r>
      <w:r w:rsidR="007360F1">
        <w:rPr>
          <w:rFonts w:ascii="Arial" w:eastAsia="Calibri" w:hAnsi="Arial" w:cs="Arial"/>
          <w:sz w:val="22"/>
          <w:szCs w:val="21"/>
        </w:rPr>
        <w:t>P</w:t>
      </w:r>
      <w:r w:rsidR="00976E2A" w:rsidRPr="001624C6">
        <w:rPr>
          <w:rFonts w:ascii="Arial" w:eastAsia="Calibri" w:hAnsi="Arial" w:cs="Arial"/>
          <w:sz w:val="22"/>
          <w:szCs w:val="21"/>
        </w:rPr>
        <w:t>or</w:t>
      </w:r>
      <w:r w:rsidR="007360F1">
        <w:rPr>
          <w:rFonts w:ascii="Arial" w:eastAsia="Calibri" w:hAnsi="Arial" w:cs="Arial"/>
          <w:sz w:val="22"/>
          <w:szCs w:val="21"/>
        </w:rPr>
        <w:t xml:space="preserve"> ello</w:t>
      </w:r>
      <w:r w:rsidR="007D3172">
        <w:rPr>
          <w:rFonts w:ascii="Arial" w:eastAsia="Calibri" w:hAnsi="Arial" w:cs="Arial"/>
          <w:sz w:val="22"/>
          <w:szCs w:val="21"/>
        </w:rPr>
        <w:t>, las</w:t>
      </w:r>
      <w:r w:rsidR="00976E2A" w:rsidRPr="001624C6">
        <w:rPr>
          <w:rFonts w:ascii="Arial" w:eastAsia="Calibri" w:hAnsi="Arial" w:cs="Arial"/>
          <w:sz w:val="22"/>
          <w:szCs w:val="21"/>
        </w:rPr>
        <w:t xml:space="preserve"> licitaciones públicas dirigidas a la contratación de obra pública de infraestructura de transporte, deberá emplear dicho formulario en las dos connotaciones antes señaladas, </w:t>
      </w:r>
      <w:r w:rsidR="00976E2A" w:rsidRPr="001624C6">
        <w:rPr>
          <w:rFonts w:ascii="Arial" w:eastAsia="Calibri" w:hAnsi="Arial" w:cs="Arial"/>
          <w:sz w:val="22"/>
          <w:szCs w:val="21"/>
        </w:rPr>
        <w:lastRenderedPageBreak/>
        <w:t>lo que implica, por un lado, valerse de este para la configuración del presupuesto oficial, de acuerdo con las notas en él contenidas, y por otro lado, configurarlo para que sirva de instrumento para la presentación de la</w:t>
      </w:r>
      <w:r>
        <w:rPr>
          <w:rFonts w:ascii="Arial" w:eastAsia="Calibri" w:hAnsi="Arial" w:cs="Arial"/>
          <w:sz w:val="22"/>
          <w:szCs w:val="21"/>
        </w:rPr>
        <w:t>s</w:t>
      </w:r>
      <w:r w:rsidR="00976E2A" w:rsidRPr="001624C6">
        <w:rPr>
          <w:rFonts w:ascii="Arial" w:eastAsia="Calibri" w:hAnsi="Arial" w:cs="Arial"/>
          <w:sz w:val="22"/>
          <w:szCs w:val="21"/>
        </w:rPr>
        <w:t xml:space="preserve"> oferta</w:t>
      </w:r>
      <w:r>
        <w:rPr>
          <w:rFonts w:ascii="Arial" w:eastAsia="Calibri" w:hAnsi="Arial" w:cs="Arial"/>
          <w:sz w:val="22"/>
          <w:szCs w:val="21"/>
        </w:rPr>
        <w:t>s</w:t>
      </w:r>
      <w:r w:rsidR="00976E2A" w:rsidRPr="001624C6">
        <w:rPr>
          <w:rFonts w:ascii="Arial" w:eastAsia="Calibri" w:hAnsi="Arial" w:cs="Arial"/>
          <w:sz w:val="22"/>
          <w:szCs w:val="21"/>
        </w:rPr>
        <w:t xml:space="preserve"> económica</w:t>
      </w:r>
      <w:r>
        <w:rPr>
          <w:rFonts w:ascii="Arial" w:eastAsia="Calibri" w:hAnsi="Arial" w:cs="Arial"/>
          <w:sz w:val="22"/>
          <w:szCs w:val="21"/>
        </w:rPr>
        <w:t>s</w:t>
      </w:r>
      <w:r w:rsidR="00976E2A" w:rsidRPr="001624C6">
        <w:rPr>
          <w:rFonts w:ascii="Arial" w:eastAsia="Calibri" w:hAnsi="Arial" w:cs="Arial"/>
          <w:sz w:val="22"/>
          <w:szCs w:val="21"/>
        </w:rPr>
        <w:t xml:space="preserve">, de acuerdo a la forma de pago y valores máximos determinados al estructurar el Presupuesto Oficial de la obra. </w:t>
      </w:r>
    </w:p>
    <w:p w14:paraId="5166DE2C" w14:textId="1E4410DC" w:rsidR="00BB04FF" w:rsidRPr="001624C6" w:rsidRDefault="00976E2A" w:rsidP="00BB04FF">
      <w:pPr>
        <w:spacing w:before="120" w:line="276" w:lineRule="auto"/>
        <w:ind w:firstLine="708"/>
        <w:jc w:val="both"/>
        <w:rPr>
          <w:rFonts w:ascii="Arial" w:eastAsia="Calibri" w:hAnsi="Arial" w:cs="Arial"/>
          <w:sz w:val="22"/>
          <w:szCs w:val="21"/>
        </w:rPr>
      </w:pPr>
      <w:bookmarkStart w:id="4" w:name="_Hlk59556354"/>
      <w:r w:rsidRPr="001624C6">
        <w:rPr>
          <w:rFonts w:ascii="Arial" w:eastAsia="Calibri" w:hAnsi="Arial" w:cs="Arial"/>
          <w:sz w:val="22"/>
          <w:szCs w:val="21"/>
        </w:rPr>
        <w:t xml:space="preserve">En el marco de la obligatoria aplicación del </w:t>
      </w:r>
      <w:r w:rsidR="00BB04FF" w:rsidRPr="001624C6">
        <w:rPr>
          <w:rFonts w:ascii="Arial" w:eastAsia="Calibri" w:hAnsi="Arial" w:cs="Arial"/>
          <w:sz w:val="22"/>
          <w:szCs w:val="21"/>
        </w:rPr>
        <w:t>«</w:t>
      </w:r>
      <w:r w:rsidRPr="001624C6">
        <w:rPr>
          <w:rFonts w:ascii="Arial" w:eastAsia="Calibri" w:hAnsi="Arial" w:cs="Arial"/>
          <w:sz w:val="22"/>
          <w:szCs w:val="21"/>
        </w:rPr>
        <w:t xml:space="preserve">Formulario 1–Formulario de Presupuesto Oficial», las entidades podrán optar o no por la forma de pago de precios unitarios. En caso de hacerlo deberán aplicar </w:t>
      </w:r>
      <w:r w:rsidR="00BB04FF" w:rsidRPr="001624C6">
        <w:rPr>
          <w:rFonts w:ascii="Arial" w:eastAsia="Calibri" w:hAnsi="Arial" w:cs="Arial"/>
          <w:sz w:val="22"/>
          <w:szCs w:val="21"/>
        </w:rPr>
        <w:t>su</w:t>
      </w:r>
      <w:r w:rsidRPr="001624C6">
        <w:rPr>
          <w:rFonts w:ascii="Arial" w:eastAsia="Calibri" w:hAnsi="Arial" w:cs="Arial"/>
          <w:sz w:val="22"/>
          <w:szCs w:val="21"/>
        </w:rPr>
        <w:t xml:space="preserve"> contenido</w:t>
      </w:r>
      <w:r w:rsidR="00BB04FF" w:rsidRPr="001624C6">
        <w:rPr>
          <w:rFonts w:ascii="Arial" w:eastAsia="Calibri" w:hAnsi="Arial" w:cs="Arial"/>
          <w:sz w:val="22"/>
          <w:szCs w:val="21"/>
        </w:rPr>
        <w:t>,</w:t>
      </w:r>
      <w:r w:rsidRPr="001624C6">
        <w:rPr>
          <w:rFonts w:ascii="Arial" w:eastAsia="Calibri" w:hAnsi="Arial" w:cs="Arial"/>
          <w:sz w:val="22"/>
          <w:szCs w:val="21"/>
        </w:rPr>
        <w:t xml:space="preserve"> </w:t>
      </w:r>
      <w:r w:rsidR="00BB04FF" w:rsidRPr="001624C6">
        <w:rPr>
          <w:rFonts w:ascii="Arial" w:eastAsia="Calibri" w:hAnsi="Arial" w:cs="Arial"/>
          <w:sz w:val="22"/>
          <w:szCs w:val="21"/>
        </w:rPr>
        <w:t>estructura y</w:t>
      </w:r>
      <w:r w:rsidRPr="001624C6">
        <w:rPr>
          <w:rFonts w:ascii="Arial" w:eastAsia="Calibri" w:hAnsi="Arial" w:cs="Arial"/>
          <w:sz w:val="22"/>
          <w:szCs w:val="21"/>
        </w:rPr>
        <w:t xml:space="preserve"> las notas 1, 2 y 3 en él contenidas</w:t>
      </w:r>
      <w:r w:rsidR="00BB04FF" w:rsidRPr="001624C6">
        <w:rPr>
          <w:rFonts w:ascii="Arial" w:eastAsia="Calibri" w:hAnsi="Arial" w:cs="Arial"/>
          <w:sz w:val="22"/>
          <w:szCs w:val="21"/>
        </w:rPr>
        <w:t>, además</w:t>
      </w:r>
      <w:r w:rsidRPr="001624C6">
        <w:rPr>
          <w:rFonts w:ascii="Arial" w:eastAsia="Calibri" w:hAnsi="Arial" w:cs="Arial"/>
          <w:sz w:val="22"/>
          <w:szCs w:val="21"/>
        </w:rPr>
        <w:t xml:space="preserve"> </w:t>
      </w:r>
      <w:r w:rsidR="00BB04FF" w:rsidRPr="001624C6">
        <w:rPr>
          <w:rFonts w:ascii="Arial" w:eastAsia="Calibri" w:hAnsi="Arial" w:cs="Arial"/>
          <w:sz w:val="22"/>
          <w:szCs w:val="21"/>
        </w:rPr>
        <w:t>de</w:t>
      </w:r>
      <w:r w:rsidRPr="001624C6">
        <w:rPr>
          <w:rFonts w:ascii="Arial" w:eastAsia="Calibri" w:hAnsi="Arial" w:cs="Arial"/>
          <w:sz w:val="22"/>
          <w:szCs w:val="21"/>
        </w:rPr>
        <w:t xml:space="preserve"> incluir en el pliego de condiciones las causales de rechazo relacionadas con dich</w:t>
      </w:r>
      <w:r w:rsidR="00BB04FF" w:rsidRPr="001624C6">
        <w:rPr>
          <w:rFonts w:ascii="Arial" w:eastAsia="Calibri" w:hAnsi="Arial" w:cs="Arial"/>
          <w:sz w:val="22"/>
          <w:szCs w:val="21"/>
        </w:rPr>
        <w:t>o</w:t>
      </w:r>
      <w:r w:rsidRPr="001624C6">
        <w:rPr>
          <w:rFonts w:ascii="Arial" w:eastAsia="Calibri" w:hAnsi="Arial" w:cs="Arial"/>
          <w:sz w:val="22"/>
          <w:szCs w:val="21"/>
        </w:rPr>
        <w:t xml:space="preserve"> </w:t>
      </w:r>
      <w:r w:rsidR="00BB04FF" w:rsidRPr="001624C6">
        <w:rPr>
          <w:rFonts w:ascii="Arial" w:eastAsia="Calibri" w:hAnsi="Arial" w:cs="Arial"/>
          <w:sz w:val="22"/>
          <w:szCs w:val="21"/>
        </w:rPr>
        <w:t xml:space="preserve">sistema </w:t>
      </w:r>
      <w:r w:rsidRPr="001624C6">
        <w:rPr>
          <w:rFonts w:ascii="Arial" w:eastAsia="Calibri" w:hAnsi="Arial" w:cs="Arial"/>
          <w:sz w:val="22"/>
          <w:szCs w:val="21"/>
        </w:rPr>
        <w:t xml:space="preserve">de </w:t>
      </w:r>
      <w:r w:rsidR="00BB04FF" w:rsidRPr="001624C6">
        <w:rPr>
          <w:rFonts w:ascii="Arial" w:eastAsia="Calibri" w:hAnsi="Arial" w:cs="Arial"/>
          <w:sz w:val="22"/>
          <w:szCs w:val="21"/>
        </w:rPr>
        <w:t>pago</w:t>
      </w:r>
      <w:r w:rsidRPr="001624C6">
        <w:rPr>
          <w:rFonts w:ascii="Arial" w:eastAsia="Calibri" w:hAnsi="Arial" w:cs="Arial"/>
          <w:sz w:val="22"/>
          <w:szCs w:val="21"/>
        </w:rPr>
        <w:t xml:space="preserve">, como es el caso de las causales establecidas en los literales P, Q y R del numeral 1.15 del Documento Base. En caso de optar por una modalidad de pago diferente, le corresponde a la entidad adecuar el contenido del «Formulario 1–Formulario de Presupuesto Oficial», de tal manera que este pueda servir </w:t>
      </w:r>
      <w:r w:rsidR="00BC36FB">
        <w:rPr>
          <w:rFonts w:ascii="Arial" w:eastAsia="Calibri" w:hAnsi="Arial" w:cs="Arial"/>
          <w:sz w:val="22"/>
          <w:szCs w:val="21"/>
        </w:rPr>
        <w:t>para</w:t>
      </w:r>
      <w:r w:rsidRPr="001624C6">
        <w:rPr>
          <w:rFonts w:ascii="Arial" w:eastAsia="Calibri" w:hAnsi="Arial" w:cs="Arial"/>
          <w:sz w:val="22"/>
          <w:szCs w:val="21"/>
        </w:rPr>
        <w:t xml:space="preserve"> sus dos </w:t>
      </w:r>
      <w:r w:rsidR="00BB04FF" w:rsidRPr="001624C6">
        <w:rPr>
          <w:rFonts w:ascii="Arial" w:eastAsia="Calibri" w:hAnsi="Arial" w:cs="Arial"/>
          <w:sz w:val="22"/>
          <w:szCs w:val="21"/>
        </w:rPr>
        <w:t>finalidades</w:t>
      </w:r>
      <w:r w:rsidR="00BC36FB">
        <w:rPr>
          <w:rFonts w:ascii="Arial" w:eastAsia="Calibri" w:hAnsi="Arial" w:cs="Arial"/>
          <w:sz w:val="22"/>
          <w:szCs w:val="21"/>
        </w:rPr>
        <w:t>,</w:t>
      </w:r>
      <w:r w:rsidR="00BB04FF" w:rsidRPr="001624C6">
        <w:rPr>
          <w:rFonts w:ascii="Arial" w:eastAsia="Calibri" w:hAnsi="Arial" w:cs="Arial"/>
          <w:sz w:val="22"/>
          <w:szCs w:val="21"/>
        </w:rPr>
        <w:t xml:space="preserve"> de acuerdo con las particularidades de la forma de pago que se escoja, prescindiendo además de la aplicación de las causales de rechazo antes mencionadas, al estar concebidas para procesos con precios unitarios. </w:t>
      </w:r>
    </w:p>
    <w:p w14:paraId="35FDCE6A" w14:textId="34477747" w:rsidR="007672FB" w:rsidRPr="001624C6" w:rsidRDefault="007672FB" w:rsidP="00BB04FF">
      <w:pPr>
        <w:spacing w:before="120" w:line="276" w:lineRule="auto"/>
        <w:ind w:firstLine="708"/>
        <w:jc w:val="both"/>
        <w:rPr>
          <w:rStyle w:val="eop"/>
          <w:rFonts w:ascii="Arial" w:hAnsi="Arial" w:cs="Arial"/>
          <w:sz w:val="22"/>
        </w:rPr>
      </w:pPr>
      <w:r w:rsidRPr="001624C6">
        <w:rPr>
          <w:rFonts w:ascii="Arial" w:eastAsia="Calibri" w:hAnsi="Arial" w:cs="Arial"/>
          <w:sz w:val="22"/>
          <w:szCs w:val="21"/>
        </w:rPr>
        <w:t>En todo caso, indistintamente de la forma de pago que se escoja, las entidades estatales regidas por el Estatuto General de Contratación de la Administración Pública, en el marco de procesos de licitación de obra pública de infraestructura de transporte, no podrán prescindir de la aplicación del «Formulario 1–Formulario de Presupuesto Oficial»</w:t>
      </w:r>
      <w:r w:rsidR="00BC36FB">
        <w:rPr>
          <w:rFonts w:ascii="Arial" w:eastAsia="Calibri" w:hAnsi="Arial" w:cs="Arial"/>
          <w:sz w:val="22"/>
          <w:szCs w:val="21"/>
        </w:rPr>
        <w:t>.</w:t>
      </w:r>
    </w:p>
    <w:bookmarkEnd w:id="4"/>
    <w:p w14:paraId="11A740AD" w14:textId="77777777" w:rsidR="0067138E" w:rsidRPr="001624C6" w:rsidRDefault="0067138E" w:rsidP="001624C6">
      <w:pPr>
        <w:jc w:val="both"/>
        <w:rPr>
          <w:rFonts w:ascii="Arial" w:eastAsia="Calibri" w:hAnsi="Arial" w:cs="Arial"/>
          <w:sz w:val="22"/>
        </w:rPr>
      </w:pPr>
    </w:p>
    <w:p w14:paraId="51F787F6" w14:textId="77777777" w:rsidR="00BB04FF" w:rsidRPr="001624C6" w:rsidRDefault="00BB04FF" w:rsidP="00BB04FF">
      <w:pPr>
        <w:spacing w:line="276" w:lineRule="auto"/>
        <w:jc w:val="both"/>
        <w:rPr>
          <w:rFonts w:ascii="Arial" w:eastAsia="Arial" w:hAnsi="Arial" w:cs="Arial"/>
          <w:sz w:val="22"/>
        </w:rPr>
      </w:pPr>
      <w:r w:rsidRPr="001624C6">
        <w:rPr>
          <w:rFonts w:ascii="Arial" w:eastAsia="Arial" w:hAnsi="Arial" w:cs="Arial"/>
          <w:sz w:val="22"/>
        </w:rPr>
        <w:t>Este concepto tiene el alcance previsto en el artículo 28 del Código de Procedimiento Administrativo y de lo Contencioso Administrativo.</w:t>
      </w:r>
    </w:p>
    <w:p w14:paraId="2027C9B4" w14:textId="452A6162" w:rsidR="00BB04FF" w:rsidRPr="001624C6" w:rsidRDefault="00BB04FF" w:rsidP="00BB04FF">
      <w:pPr>
        <w:spacing w:line="276" w:lineRule="auto"/>
        <w:rPr>
          <w:rFonts w:ascii="Arial" w:eastAsia="Arial" w:hAnsi="Arial" w:cs="Arial"/>
          <w:sz w:val="22"/>
        </w:rPr>
      </w:pPr>
    </w:p>
    <w:p w14:paraId="4FE14FDE" w14:textId="7727997A" w:rsidR="00BB04FF" w:rsidRPr="001624C6" w:rsidRDefault="00BB04FF" w:rsidP="009B33B9">
      <w:pPr>
        <w:spacing w:line="276" w:lineRule="auto"/>
        <w:jc w:val="both"/>
        <w:rPr>
          <w:rFonts w:ascii="Arial" w:hAnsi="Arial" w:cs="Arial"/>
          <w:lang w:eastAsia="es-CO"/>
        </w:rPr>
      </w:pPr>
      <w:bookmarkStart w:id="5" w:name="_Hlk50370367"/>
      <w:r w:rsidRPr="001624C6">
        <w:rPr>
          <w:rFonts w:ascii="Arial" w:hAnsi="Arial" w:cs="Arial"/>
          <w:sz w:val="22"/>
          <w:lang w:eastAsia="es-CO"/>
        </w:rPr>
        <w:t>Atentamente,</w:t>
      </w:r>
      <w:bookmarkEnd w:id="5"/>
    </w:p>
    <w:p w14:paraId="11C1CEB8" w14:textId="05E6D727" w:rsidR="00BB04FF" w:rsidRPr="001624C6" w:rsidRDefault="009B33B9" w:rsidP="00BB04FF">
      <w:pPr>
        <w:spacing w:after="18"/>
        <w:jc w:val="center"/>
        <w:rPr>
          <w:rFonts w:ascii="Arial" w:hAnsi="Arial" w:cs="Arial"/>
          <w:lang w:eastAsia="es-CO"/>
        </w:rPr>
      </w:pPr>
      <w:r w:rsidRPr="0007099C">
        <w:rPr>
          <w:rFonts w:ascii="Arial" w:hAnsi="Arial" w:cs="Arial"/>
          <w:noProof/>
          <w:color w:val="000000" w:themeColor="text1"/>
          <w:sz w:val="22"/>
        </w:rPr>
        <w:drawing>
          <wp:inline distT="0" distB="0" distL="0" distR="0" wp14:anchorId="03D8B1E3" wp14:editId="2B2D0637">
            <wp:extent cx="2385645" cy="10572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2406814" cy="1066657"/>
                    </a:xfrm>
                    <a:prstGeom prst="rect">
                      <a:avLst/>
                    </a:prstGeom>
                  </pic:spPr>
                </pic:pic>
              </a:graphicData>
            </a:graphic>
          </wp:inline>
        </w:drawing>
      </w:r>
    </w:p>
    <w:p w14:paraId="53241EDE" w14:textId="77777777" w:rsidR="00BB04FF" w:rsidRPr="001624C6" w:rsidRDefault="00BB04FF" w:rsidP="00BB04FF">
      <w:pPr>
        <w:spacing w:after="18"/>
        <w:jc w:val="center"/>
        <w:rPr>
          <w:rFonts w:ascii="Arial" w:hAnsi="Arial" w:cs="Arial"/>
          <w:lang w:eastAsia="es-CO"/>
        </w:rPr>
      </w:pPr>
    </w:p>
    <w:p w14:paraId="2BC10311" w14:textId="77777777" w:rsidR="00BB04FF" w:rsidRPr="001624C6" w:rsidRDefault="00BB04FF" w:rsidP="00BB04FF">
      <w:pPr>
        <w:spacing w:after="18"/>
        <w:jc w:val="center"/>
        <w:rPr>
          <w:rFonts w:ascii="Arial" w:hAnsi="Arial" w:cs="Arial"/>
          <w:lang w:eastAsia="es-CO"/>
        </w:rPr>
      </w:pPr>
    </w:p>
    <w:p w14:paraId="269F638B" w14:textId="77777777" w:rsidR="00BB04FF" w:rsidRPr="001624C6" w:rsidRDefault="00BB04FF" w:rsidP="00BB04FF">
      <w:pPr>
        <w:spacing w:after="18"/>
        <w:jc w:val="center"/>
        <w:rPr>
          <w:rFonts w:ascii="Arial" w:hAnsi="Arial" w:cs="Arial"/>
          <w:lang w:eastAsia="es-CO"/>
        </w:rPr>
      </w:pPr>
    </w:p>
    <w:tbl>
      <w:tblPr>
        <w:tblStyle w:val="Tablaconcuadrcula1"/>
        <w:tblpPr w:leftFromText="141" w:rightFromText="141" w:vertAnchor="text" w:horzAnchor="margin" w:tblpY="2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003"/>
      </w:tblGrid>
      <w:tr w:rsidR="001624C6" w:rsidRPr="001624C6" w14:paraId="08B7F182" w14:textId="77777777" w:rsidTr="002E062D">
        <w:trPr>
          <w:trHeight w:val="286"/>
        </w:trPr>
        <w:tc>
          <w:tcPr>
            <w:tcW w:w="817" w:type="dxa"/>
            <w:vAlign w:val="center"/>
            <w:hideMark/>
          </w:tcPr>
          <w:p w14:paraId="4BBA8018" w14:textId="77777777" w:rsidR="00BB04FF" w:rsidRPr="001624C6" w:rsidRDefault="00BB04FF" w:rsidP="002E062D">
            <w:pPr>
              <w:rPr>
                <w:rFonts w:ascii="Arial" w:hAnsi="Arial" w:cs="Arial"/>
                <w:sz w:val="14"/>
                <w:szCs w:val="14"/>
                <w:lang w:eastAsia="es-ES"/>
              </w:rPr>
            </w:pPr>
            <w:r w:rsidRPr="001624C6">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4CD10630" w14:textId="77777777" w:rsidR="00BB04FF" w:rsidRPr="001624C6" w:rsidRDefault="00BB04FF" w:rsidP="002E062D">
            <w:pPr>
              <w:rPr>
                <w:rFonts w:ascii="Arial" w:hAnsi="Arial" w:cs="Arial"/>
                <w:sz w:val="14"/>
                <w:szCs w:val="14"/>
                <w:lang w:eastAsia="es-ES"/>
              </w:rPr>
            </w:pPr>
            <w:r w:rsidRPr="001624C6">
              <w:rPr>
                <w:rFonts w:ascii="Arial" w:hAnsi="Arial" w:cs="Arial"/>
                <w:sz w:val="14"/>
                <w:szCs w:val="14"/>
                <w:lang w:eastAsia="es-ES"/>
              </w:rPr>
              <w:t>Alejandro Sarmiento Cantillo</w:t>
            </w:r>
          </w:p>
          <w:p w14:paraId="09E747BE" w14:textId="77777777" w:rsidR="00BB04FF" w:rsidRPr="001624C6" w:rsidRDefault="00BB04FF" w:rsidP="002E062D">
            <w:pPr>
              <w:rPr>
                <w:rFonts w:ascii="Arial" w:hAnsi="Arial" w:cs="Arial"/>
                <w:sz w:val="14"/>
                <w:szCs w:val="14"/>
                <w:lang w:eastAsia="es-ES"/>
              </w:rPr>
            </w:pPr>
            <w:r w:rsidRPr="001624C6">
              <w:rPr>
                <w:rFonts w:ascii="Arial" w:hAnsi="Arial" w:cs="Arial"/>
                <w:sz w:val="14"/>
                <w:szCs w:val="14"/>
                <w:lang w:eastAsia="es-ES"/>
              </w:rPr>
              <w:t>Gestor T1-11 de la Subdirección de Gestión Contractual</w:t>
            </w:r>
          </w:p>
        </w:tc>
      </w:tr>
      <w:tr w:rsidR="001624C6" w:rsidRPr="001624C6" w14:paraId="60D690AD" w14:textId="77777777" w:rsidTr="002E062D">
        <w:trPr>
          <w:trHeight w:val="299"/>
        </w:trPr>
        <w:tc>
          <w:tcPr>
            <w:tcW w:w="817" w:type="dxa"/>
            <w:vAlign w:val="center"/>
            <w:hideMark/>
          </w:tcPr>
          <w:p w14:paraId="13B8C585" w14:textId="77777777" w:rsidR="00BB04FF" w:rsidRPr="001624C6" w:rsidRDefault="00BB04FF" w:rsidP="002E062D">
            <w:pPr>
              <w:rPr>
                <w:rFonts w:ascii="Arial" w:hAnsi="Arial" w:cs="Arial"/>
                <w:sz w:val="14"/>
                <w:szCs w:val="14"/>
                <w:lang w:eastAsia="es-ES"/>
              </w:rPr>
            </w:pPr>
            <w:r w:rsidRPr="001624C6">
              <w:rPr>
                <w:rFonts w:ascii="Arial"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hideMark/>
          </w:tcPr>
          <w:p w14:paraId="327E491F" w14:textId="0C31EBCC" w:rsidR="00BB04FF" w:rsidRPr="001624C6" w:rsidRDefault="00BB04FF" w:rsidP="002E062D">
            <w:pPr>
              <w:rPr>
                <w:rFonts w:ascii="Arial" w:hAnsi="Arial" w:cs="Arial"/>
                <w:sz w:val="14"/>
                <w:szCs w:val="14"/>
                <w:lang w:eastAsia="es-ES"/>
              </w:rPr>
            </w:pPr>
            <w:r w:rsidRPr="001624C6">
              <w:rPr>
                <w:rFonts w:ascii="Arial" w:hAnsi="Arial" w:cs="Arial"/>
                <w:sz w:val="14"/>
                <w:szCs w:val="14"/>
                <w:lang w:eastAsia="es-ES"/>
              </w:rPr>
              <w:t>Sebastián Ramírez Grisales</w:t>
            </w:r>
          </w:p>
          <w:p w14:paraId="31C800E1" w14:textId="77777777" w:rsidR="00BB04FF" w:rsidRPr="001624C6" w:rsidRDefault="00BB04FF" w:rsidP="002E062D">
            <w:pPr>
              <w:rPr>
                <w:rFonts w:ascii="Arial" w:hAnsi="Arial" w:cs="Arial"/>
                <w:sz w:val="14"/>
                <w:szCs w:val="14"/>
                <w:lang w:eastAsia="es-ES"/>
              </w:rPr>
            </w:pPr>
            <w:r w:rsidRPr="001624C6">
              <w:rPr>
                <w:rFonts w:ascii="Arial" w:hAnsi="Arial" w:cs="Arial"/>
                <w:sz w:val="14"/>
                <w:szCs w:val="14"/>
                <w:lang w:eastAsia="es-ES"/>
              </w:rPr>
              <w:t xml:space="preserve">Gestor T1-15 de la Subdirección de Gestión Contractual  </w:t>
            </w:r>
          </w:p>
        </w:tc>
      </w:tr>
      <w:tr w:rsidR="001624C6" w:rsidRPr="001624C6" w14:paraId="11099C1A" w14:textId="77777777" w:rsidTr="002E062D">
        <w:trPr>
          <w:trHeight w:val="272"/>
        </w:trPr>
        <w:tc>
          <w:tcPr>
            <w:tcW w:w="817" w:type="dxa"/>
            <w:vAlign w:val="center"/>
            <w:hideMark/>
          </w:tcPr>
          <w:p w14:paraId="22792DFE" w14:textId="77777777" w:rsidR="00BB04FF" w:rsidRPr="001624C6" w:rsidRDefault="00BB04FF" w:rsidP="002E062D">
            <w:pPr>
              <w:rPr>
                <w:rFonts w:ascii="Arial" w:hAnsi="Arial" w:cs="Arial"/>
                <w:sz w:val="14"/>
                <w:szCs w:val="14"/>
                <w:lang w:eastAsia="es-ES"/>
              </w:rPr>
            </w:pPr>
            <w:r w:rsidRPr="001624C6">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1DE62764" w14:textId="77777777" w:rsidR="00BB04FF" w:rsidRPr="001624C6" w:rsidRDefault="00BB04FF" w:rsidP="002E062D">
            <w:pPr>
              <w:rPr>
                <w:rFonts w:ascii="Arial" w:hAnsi="Arial" w:cs="Arial"/>
                <w:sz w:val="14"/>
                <w:szCs w:val="14"/>
                <w:lang w:eastAsia="es-ES"/>
              </w:rPr>
            </w:pPr>
            <w:r w:rsidRPr="001624C6">
              <w:rPr>
                <w:rFonts w:ascii="Arial" w:hAnsi="Arial" w:cs="Arial"/>
                <w:sz w:val="14"/>
                <w:szCs w:val="14"/>
                <w:lang w:eastAsia="es-ES"/>
              </w:rPr>
              <w:t>Jorge Augusto Tirado Navarro</w:t>
            </w:r>
          </w:p>
          <w:p w14:paraId="2181F10F" w14:textId="77777777" w:rsidR="00BB04FF" w:rsidRPr="001624C6" w:rsidRDefault="00BB04FF" w:rsidP="002E062D">
            <w:pPr>
              <w:rPr>
                <w:rFonts w:ascii="Arial" w:hAnsi="Arial" w:cs="Arial"/>
                <w:sz w:val="14"/>
                <w:szCs w:val="14"/>
                <w:lang w:eastAsia="es-ES"/>
              </w:rPr>
            </w:pPr>
            <w:r w:rsidRPr="001624C6">
              <w:rPr>
                <w:rFonts w:ascii="Arial" w:hAnsi="Arial" w:cs="Arial"/>
                <w:sz w:val="14"/>
                <w:szCs w:val="14"/>
                <w:lang w:eastAsia="es-ES"/>
              </w:rPr>
              <w:t>Subdirector de Gestión Contractual</w:t>
            </w:r>
          </w:p>
        </w:tc>
      </w:tr>
    </w:tbl>
    <w:p w14:paraId="38B64825" w14:textId="77777777" w:rsidR="00BB04FF" w:rsidRPr="001624C6" w:rsidRDefault="00BB04FF" w:rsidP="00BB04FF">
      <w:pPr>
        <w:spacing w:after="18"/>
        <w:jc w:val="center"/>
        <w:rPr>
          <w:rFonts w:ascii="Arial" w:hAnsi="Arial" w:cs="Arial"/>
          <w:lang w:eastAsia="es-CO"/>
        </w:rPr>
      </w:pPr>
    </w:p>
    <w:p w14:paraId="43FA7DD8" w14:textId="77777777" w:rsidR="00BB04FF" w:rsidRPr="001624C6" w:rsidRDefault="00BB04FF" w:rsidP="00BB04FF">
      <w:pPr>
        <w:rPr>
          <w:rFonts w:ascii="Arial" w:hAnsi="Arial" w:cs="Arial"/>
          <w:lang w:eastAsia="es-ES"/>
        </w:rPr>
      </w:pPr>
    </w:p>
    <w:p w14:paraId="7BBAAF77" w14:textId="77777777" w:rsidR="00BB04FF" w:rsidRPr="001624C6" w:rsidRDefault="00BB04FF" w:rsidP="00BB04FF">
      <w:pPr>
        <w:rPr>
          <w:rFonts w:ascii="Arial" w:hAnsi="Arial" w:cs="Arial"/>
          <w:lang w:eastAsia="es-ES"/>
        </w:rPr>
      </w:pPr>
    </w:p>
    <w:p w14:paraId="43EA6CEE" w14:textId="77777777" w:rsidR="00BB04FF" w:rsidRPr="001624C6" w:rsidRDefault="00BB04FF" w:rsidP="00BB04FF">
      <w:pPr>
        <w:spacing w:line="276" w:lineRule="auto"/>
        <w:jc w:val="both"/>
        <w:rPr>
          <w:rFonts w:ascii="Arial" w:eastAsia="Times New Roman" w:hAnsi="Arial" w:cs="Arial"/>
          <w:sz w:val="18"/>
          <w:szCs w:val="18"/>
          <w:lang w:val="es-ES_tradnl" w:eastAsia="es-CO"/>
        </w:rPr>
      </w:pPr>
    </w:p>
    <w:p w14:paraId="52119C88" w14:textId="1361B451" w:rsidR="00D921E1" w:rsidRPr="001624C6" w:rsidRDefault="00D921E1" w:rsidP="00BB04FF">
      <w:pPr>
        <w:spacing w:before="120" w:line="276" w:lineRule="auto"/>
        <w:jc w:val="both"/>
        <w:rPr>
          <w:rFonts w:ascii="Arial" w:eastAsia="Times New Roman" w:hAnsi="Arial" w:cs="Arial"/>
          <w:sz w:val="18"/>
          <w:szCs w:val="18"/>
          <w:lang w:val="es-ES_tradnl" w:eastAsia="es-CO"/>
        </w:rPr>
      </w:pPr>
    </w:p>
    <w:sectPr w:rsidR="00D921E1" w:rsidRPr="001624C6"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FF169" w14:textId="77777777" w:rsidR="00AC30B8" w:rsidRDefault="00AC30B8">
      <w:r>
        <w:separator/>
      </w:r>
    </w:p>
  </w:endnote>
  <w:endnote w:type="continuationSeparator" w:id="0">
    <w:p w14:paraId="51C378FD" w14:textId="77777777" w:rsidR="00AC30B8" w:rsidRDefault="00AC30B8">
      <w:r>
        <w:continuationSeparator/>
      </w:r>
    </w:p>
  </w:endnote>
  <w:endnote w:type="continuationNotice" w:id="1">
    <w:p w14:paraId="138E9908" w14:textId="77777777" w:rsidR="00AC30B8" w:rsidRDefault="00AC30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217B7" w:rsidRDefault="008217B7" w:rsidP="00322937">
    <w:pPr>
      <w:pStyle w:val="Sinespaciado"/>
      <w:jc w:val="right"/>
      <w:rPr>
        <w:rFonts w:ascii="Arial" w:hAnsi="Arial" w:cs="Arial"/>
        <w:sz w:val="18"/>
        <w:szCs w:val="18"/>
      </w:rPr>
    </w:pPr>
  </w:p>
  <w:p w14:paraId="7A3785F3" w14:textId="383ACB09"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106087">
      <w:rPr>
        <w:rFonts w:ascii="Arial" w:hAnsi="Arial" w:cs="Arial"/>
        <w:b/>
        <w:bCs/>
        <w:noProof/>
        <w:color w:val="7F7F7F" w:themeColor="text1" w:themeTint="80"/>
        <w:sz w:val="16"/>
        <w:szCs w:val="16"/>
      </w:rPr>
      <w:t>1</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106087">
      <w:rPr>
        <w:rFonts w:ascii="Arial" w:hAnsi="Arial" w:cs="Arial"/>
        <w:b/>
        <w:bCs/>
        <w:noProof/>
        <w:color w:val="7F7F7F" w:themeColor="text1" w:themeTint="80"/>
        <w:sz w:val="16"/>
        <w:szCs w:val="16"/>
      </w:rPr>
      <w:t>11</w:t>
    </w:r>
    <w:r w:rsidR="00FE42ED" w:rsidRPr="00084B97">
      <w:rPr>
        <w:rFonts w:ascii="Arial" w:hAnsi="Arial" w:cs="Arial"/>
        <w:b/>
        <w:bCs/>
        <w:color w:val="7F7F7F" w:themeColor="text1" w:themeTint="80"/>
        <w:sz w:val="16"/>
        <w:szCs w:val="16"/>
      </w:rPr>
      <w:fldChar w:fldCharType="end"/>
    </w:r>
  </w:p>
  <w:p w14:paraId="48FC6A04" w14:textId="5FD1A7C9" w:rsidR="009047C5" w:rsidRDefault="6E537E4C" w:rsidP="00322937">
    <w:pPr>
      <w:pStyle w:val="Piedepgina"/>
      <w:jc w:val="center"/>
      <w:rPr>
        <w:lang w:val="es-ES"/>
      </w:rPr>
    </w:pPr>
    <w:r>
      <w:rPr>
        <w:noProof/>
      </w:rPr>
      <w:drawing>
        <wp:inline distT="0" distB="0" distL="0" distR="0" wp14:anchorId="608B196D" wp14:editId="46678181">
          <wp:extent cx="3700130" cy="519139"/>
          <wp:effectExtent l="0" t="0" r="0" b="0"/>
          <wp:docPr id="94055895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322937" w:rsidRDefault="00322937"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EA83D" w14:textId="77777777" w:rsidR="00AC30B8" w:rsidRDefault="00AC30B8">
      <w:r>
        <w:separator/>
      </w:r>
    </w:p>
  </w:footnote>
  <w:footnote w:type="continuationSeparator" w:id="0">
    <w:p w14:paraId="3093B512" w14:textId="77777777" w:rsidR="00AC30B8" w:rsidRDefault="00AC30B8">
      <w:r>
        <w:continuationSeparator/>
      </w:r>
    </w:p>
  </w:footnote>
  <w:footnote w:type="continuationNotice" w:id="1">
    <w:p w14:paraId="756C0A39" w14:textId="77777777" w:rsidR="00AC30B8" w:rsidRDefault="00AC30B8"/>
  </w:footnote>
  <w:footnote w:id="2">
    <w:p w14:paraId="749A6B04" w14:textId="53118657" w:rsidR="00BB04FF" w:rsidRPr="00BB04FF" w:rsidRDefault="00BB04FF" w:rsidP="00977D41">
      <w:pPr>
        <w:pStyle w:val="Textonotapie"/>
        <w:ind w:firstLine="708"/>
        <w:jc w:val="both"/>
        <w:rPr>
          <w:rFonts w:ascii="Arial" w:hAnsi="Arial" w:cs="Arial"/>
          <w:sz w:val="19"/>
          <w:szCs w:val="19"/>
        </w:rPr>
      </w:pPr>
      <w:r w:rsidRPr="00BB04FF">
        <w:rPr>
          <w:rStyle w:val="Refdenotaalpie"/>
          <w:rFonts w:ascii="Arial" w:hAnsi="Arial" w:cs="Arial"/>
          <w:sz w:val="19"/>
          <w:szCs w:val="19"/>
        </w:rPr>
        <w:footnoteRef/>
      </w:r>
      <w:r w:rsidRPr="00BB04FF">
        <w:rPr>
          <w:rFonts w:ascii="Arial" w:hAnsi="Arial" w:cs="Arial"/>
          <w:sz w:val="19"/>
          <w:szCs w:val="19"/>
        </w:rPr>
        <w:t xml:space="preserve"> Ley 2022 de 2020 «Artículo 1º. Modifíquese el artículo 4º de la Ley 1882 de 2018, el cual quedará así: </w:t>
      </w:r>
    </w:p>
    <w:p w14:paraId="56C499E1" w14:textId="1AD0F423" w:rsidR="00BB04FF" w:rsidRPr="00BB04FF" w:rsidRDefault="00BB04FF" w:rsidP="00977D41">
      <w:pPr>
        <w:pStyle w:val="Textonotapie"/>
        <w:ind w:firstLine="708"/>
        <w:jc w:val="both"/>
        <w:rPr>
          <w:rFonts w:ascii="Arial" w:hAnsi="Arial" w:cs="Arial"/>
          <w:sz w:val="19"/>
          <w:szCs w:val="19"/>
        </w:rPr>
      </w:pPr>
      <w:proofErr w:type="gramStart"/>
      <w:r w:rsidRPr="00BB04FF">
        <w:rPr>
          <w:rFonts w:ascii="Arial" w:hAnsi="Arial" w:cs="Arial"/>
          <w:sz w:val="19"/>
          <w:szCs w:val="19"/>
        </w:rPr>
        <w:t>»Artículo</w:t>
      </w:r>
      <w:proofErr w:type="gramEnd"/>
      <w:r w:rsidRPr="00BB04FF">
        <w:rPr>
          <w:rFonts w:ascii="Arial" w:hAnsi="Arial" w:cs="Arial"/>
          <w:sz w:val="19"/>
          <w:szCs w:val="19"/>
        </w:rPr>
        <w:t xml:space="preserve"> 4º. Adiciónese el siguiente parágrafo al artículo 2º de la Ley 1150 de 2007. </w:t>
      </w:r>
    </w:p>
    <w:p w14:paraId="5531BBE8" w14:textId="5D329836" w:rsidR="00BB04FF" w:rsidRPr="00BB04FF" w:rsidRDefault="00BB04FF" w:rsidP="00977D41">
      <w:pPr>
        <w:pStyle w:val="Textonotapie"/>
        <w:ind w:firstLine="708"/>
        <w:jc w:val="both"/>
        <w:rPr>
          <w:rFonts w:ascii="Arial" w:hAnsi="Arial" w:cs="Arial"/>
          <w:sz w:val="19"/>
          <w:szCs w:val="19"/>
        </w:rPr>
      </w:pPr>
      <w:proofErr w:type="gramStart"/>
      <w:r w:rsidRPr="00BB04FF">
        <w:rPr>
          <w:rFonts w:ascii="Arial" w:hAnsi="Arial" w:cs="Arial"/>
          <w:sz w:val="19"/>
          <w:szCs w:val="19"/>
        </w:rPr>
        <w:t>»Parágrafo</w:t>
      </w:r>
      <w:proofErr w:type="gramEnd"/>
      <w:r w:rsidRPr="00BB04FF">
        <w:rPr>
          <w:rFonts w:ascii="Arial" w:hAnsi="Arial" w:cs="Arial"/>
          <w:sz w:val="19"/>
          <w:szCs w:val="19"/>
        </w:rPr>
        <w:t xml:space="preserve"> 7º.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2C099A27" w14:textId="006AD166" w:rsidR="00BB04FF" w:rsidRPr="00BB04FF" w:rsidRDefault="00BB04FF" w:rsidP="00977D41">
      <w:pPr>
        <w:pStyle w:val="Textonotapie"/>
        <w:ind w:firstLine="708"/>
        <w:jc w:val="both"/>
        <w:rPr>
          <w:rFonts w:ascii="Arial" w:hAnsi="Arial" w:cs="Arial"/>
          <w:sz w:val="19"/>
          <w:szCs w:val="19"/>
        </w:rPr>
      </w:pPr>
      <w:proofErr w:type="gramStart"/>
      <w:r w:rsidRPr="00BB04FF">
        <w:rPr>
          <w:rFonts w:ascii="Arial" w:hAnsi="Arial" w:cs="Arial"/>
          <w:sz w:val="19"/>
          <w:szCs w:val="19"/>
        </w:rPr>
        <w:t>»Dentro</w:t>
      </w:r>
      <w:proofErr w:type="gramEnd"/>
      <w:r w:rsidRPr="00BB04FF">
        <w:rPr>
          <w:rFonts w:ascii="Arial" w:hAnsi="Arial" w:cs="Arial"/>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447D550F" w14:textId="1CEFE809" w:rsidR="00BB04FF" w:rsidRPr="00BB04FF" w:rsidRDefault="00BB04FF" w:rsidP="00977D41">
      <w:pPr>
        <w:pStyle w:val="Textonotapie"/>
        <w:ind w:firstLine="708"/>
        <w:jc w:val="both"/>
        <w:rPr>
          <w:rFonts w:ascii="Arial" w:hAnsi="Arial" w:cs="Arial"/>
          <w:sz w:val="19"/>
          <w:szCs w:val="19"/>
        </w:rPr>
      </w:pPr>
      <w:proofErr w:type="gramStart"/>
      <w:r w:rsidRPr="00BB04FF">
        <w:rPr>
          <w:rFonts w:ascii="Arial" w:hAnsi="Arial" w:cs="Arial"/>
          <w:sz w:val="19"/>
          <w:szCs w:val="19"/>
        </w:rPr>
        <w:t>»Con</w:t>
      </w:r>
      <w:proofErr w:type="gramEnd"/>
      <w:r w:rsidRPr="00BB04FF">
        <w:rPr>
          <w:rFonts w:ascii="Arial" w:hAnsi="Arial" w:cs="Arial"/>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652B094C" w14:textId="3AA55AAB" w:rsidR="00BB04FF" w:rsidRPr="00BB04FF" w:rsidRDefault="00BB04FF" w:rsidP="00977D41">
      <w:pPr>
        <w:pStyle w:val="Textonotapie"/>
        <w:ind w:firstLine="708"/>
        <w:jc w:val="both"/>
        <w:rPr>
          <w:rFonts w:ascii="Arial" w:hAnsi="Arial" w:cs="Arial"/>
          <w:sz w:val="19"/>
          <w:szCs w:val="19"/>
        </w:rPr>
      </w:pPr>
      <w:r w:rsidRPr="00BB04FF">
        <w:rPr>
          <w:rFonts w:ascii="Arial" w:hAnsi="Arial" w:cs="Arial"/>
          <w:sz w:val="19"/>
          <w:szCs w:val="19"/>
        </w:rPr>
        <w:t xml:space="preserve">»La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78C237ED" w14:textId="4C5DBED0" w:rsidR="00BB04FF" w:rsidRPr="00BB04FF" w:rsidRDefault="00BB04FF" w:rsidP="00977D41">
      <w:pPr>
        <w:pStyle w:val="Textonotapie"/>
        <w:ind w:firstLine="708"/>
        <w:jc w:val="both"/>
        <w:rPr>
          <w:rFonts w:ascii="Arial" w:hAnsi="Arial" w:cs="Arial"/>
          <w:sz w:val="19"/>
          <w:szCs w:val="19"/>
        </w:rPr>
      </w:pPr>
      <w:proofErr w:type="gramStart"/>
      <w:r w:rsidRPr="00BB04FF">
        <w:rPr>
          <w:rFonts w:ascii="Arial" w:hAnsi="Arial" w:cs="Arial"/>
          <w:sz w:val="19"/>
          <w:szCs w:val="19"/>
        </w:rPr>
        <w:t>»En</w:t>
      </w:r>
      <w:proofErr w:type="gramEnd"/>
      <w:r w:rsidRPr="00BB04FF">
        <w:rPr>
          <w:rFonts w:ascii="Arial" w:hAnsi="Arial" w:cs="Arial"/>
          <w:sz w:val="19"/>
          <w:szCs w:val="19"/>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4DE8830C" w14:textId="77777777" w:rsidR="00BB04FF" w:rsidRDefault="00BB04FF" w:rsidP="00977D41">
      <w:pPr>
        <w:pStyle w:val="Textonotapie"/>
      </w:pPr>
    </w:p>
    <w:p w14:paraId="22467404" w14:textId="6BF83840" w:rsidR="00BB04FF" w:rsidRDefault="00BB04FF" w:rsidP="00977D41">
      <w:pPr>
        <w:pStyle w:val="Textonotapie"/>
      </w:pPr>
      <w:r>
        <w:t xml:space="preserve">  </w:t>
      </w:r>
    </w:p>
  </w:footnote>
  <w:footnote w:id="3">
    <w:p w14:paraId="7FFE16EA" w14:textId="77777777" w:rsidR="004B5FBC" w:rsidRPr="00A940AF" w:rsidRDefault="004B5FBC" w:rsidP="00977D41">
      <w:pPr>
        <w:pStyle w:val="Textonotapie"/>
        <w:ind w:firstLine="708"/>
        <w:jc w:val="both"/>
        <w:rPr>
          <w:rFonts w:ascii="Arial" w:hAnsi="Arial" w:cs="Arial"/>
          <w:color w:val="000000" w:themeColor="text1"/>
          <w:sz w:val="19"/>
          <w:szCs w:val="19"/>
          <w:lang w:val="es-ES"/>
        </w:rPr>
      </w:pPr>
      <w:r w:rsidRPr="00A940AF">
        <w:rPr>
          <w:rStyle w:val="Refdenotaalpie"/>
          <w:rFonts w:ascii="Arial" w:hAnsi="Arial" w:cs="Arial"/>
          <w:color w:val="000000" w:themeColor="text1"/>
          <w:sz w:val="19"/>
          <w:szCs w:val="19"/>
        </w:rPr>
        <w:footnoteRef/>
      </w:r>
      <w:r w:rsidRPr="00A940AF">
        <w:rPr>
          <w:rFonts w:ascii="Arial" w:hAnsi="Arial" w:cs="Arial"/>
          <w:color w:val="000000" w:themeColor="text1"/>
          <w:sz w:val="19"/>
          <w:szCs w:val="19"/>
        </w:rPr>
        <w:t xml:space="preserve"> Artículo 2.2.1.1.2.1.1. del Decreto 1082 de 2015.</w:t>
      </w:r>
    </w:p>
  </w:footnote>
  <w:footnote w:id="4">
    <w:p w14:paraId="324D905D" w14:textId="77777777" w:rsidR="00C32A2C" w:rsidRDefault="00F8043B" w:rsidP="009C752F">
      <w:pPr>
        <w:ind w:firstLine="709"/>
        <w:jc w:val="both"/>
        <w:rPr>
          <w:rFonts w:ascii="Arial" w:hAnsi="Arial" w:cs="Arial"/>
          <w:color w:val="0E63A8" w:themeColor="text2"/>
          <w:sz w:val="19"/>
          <w:szCs w:val="19"/>
          <w:lang w:val="es-CO"/>
        </w:rPr>
      </w:pPr>
      <w:r w:rsidRPr="00C32A2C">
        <w:rPr>
          <w:rStyle w:val="Refdenotaalpie"/>
          <w:rFonts w:ascii="Arial" w:hAnsi="Arial" w:cs="Arial"/>
          <w:sz w:val="19"/>
          <w:szCs w:val="19"/>
        </w:rPr>
        <w:footnoteRef/>
      </w:r>
      <w:r w:rsidRPr="00C32A2C">
        <w:rPr>
          <w:rFonts w:ascii="Arial" w:hAnsi="Arial" w:cs="Arial"/>
          <w:sz w:val="19"/>
          <w:szCs w:val="19"/>
        </w:rPr>
        <w:t xml:space="preserve"> Resolución No. 045 de 2020. Documento Base «</w:t>
      </w:r>
      <w:r w:rsidR="0003590D" w:rsidRPr="00C32A2C">
        <w:rPr>
          <w:rFonts w:ascii="Arial" w:hAnsi="Arial" w:cs="Arial"/>
          <w:sz w:val="19"/>
          <w:szCs w:val="19"/>
        </w:rPr>
        <w:t xml:space="preserve">Numeral 1.15 Causales de rechazo: </w:t>
      </w:r>
      <w:r w:rsidRPr="00C32A2C">
        <w:rPr>
          <w:rFonts w:ascii="Arial" w:hAnsi="Arial" w:cs="Arial"/>
          <w:sz w:val="19"/>
          <w:szCs w:val="19"/>
        </w:rPr>
        <w:t>[…]</w:t>
      </w:r>
      <w:r w:rsidRPr="00C32A2C">
        <w:rPr>
          <w:rFonts w:ascii="Arial" w:hAnsi="Arial" w:cs="Arial"/>
          <w:color w:val="0E63A8" w:themeColor="text2"/>
          <w:sz w:val="19"/>
          <w:szCs w:val="19"/>
          <w:lang w:val="es-CO"/>
        </w:rPr>
        <w:t xml:space="preserve"> </w:t>
      </w:r>
    </w:p>
    <w:p w14:paraId="3D110C83" w14:textId="06777FF2" w:rsidR="00F8043B" w:rsidRPr="009C752F" w:rsidRDefault="00C32A2C" w:rsidP="009C752F">
      <w:pPr>
        <w:ind w:firstLine="709"/>
        <w:jc w:val="both"/>
        <w:rPr>
          <w:rFonts w:ascii="Arial" w:hAnsi="Arial" w:cs="Arial"/>
          <w:color w:val="000000" w:themeColor="text1"/>
          <w:sz w:val="19"/>
          <w:szCs w:val="19"/>
          <w:lang w:val="es-CO"/>
        </w:rPr>
      </w:pPr>
      <w:proofErr w:type="gramStart"/>
      <w:r w:rsidRPr="009C752F">
        <w:rPr>
          <w:rFonts w:ascii="Arial" w:hAnsi="Arial" w:cs="Arial"/>
          <w:color w:val="000000" w:themeColor="text1"/>
          <w:sz w:val="19"/>
          <w:szCs w:val="19"/>
          <w:lang w:val="es-CO"/>
        </w:rPr>
        <w:t>»</w:t>
      </w:r>
      <w:r w:rsidR="00F8043B" w:rsidRPr="009C752F">
        <w:rPr>
          <w:rFonts w:ascii="Arial" w:hAnsi="Arial" w:cs="Arial"/>
          <w:color w:val="000000" w:themeColor="text1"/>
          <w:sz w:val="19"/>
          <w:szCs w:val="19"/>
          <w:lang w:val="es-CO"/>
        </w:rPr>
        <w:t>P.</w:t>
      </w:r>
      <w:proofErr w:type="gramEnd"/>
      <w:r w:rsidR="00F8043B" w:rsidRPr="009C752F">
        <w:rPr>
          <w:rFonts w:ascii="Arial" w:hAnsi="Arial" w:cs="Arial"/>
          <w:color w:val="000000" w:themeColor="text1"/>
          <w:sz w:val="19"/>
          <w:szCs w:val="19"/>
          <w:lang w:val="es-CO"/>
        </w:rPr>
        <w:tab/>
        <w:t xml:space="preserve">No ofrecer el valor de un precio unitario. </w:t>
      </w:r>
      <w:r w:rsidR="00F8043B" w:rsidRPr="009C752F">
        <w:rPr>
          <w:rFonts w:ascii="Arial" w:hAnsi="Arial" w:cs="Arial"/>
          <w:color w:val="000000" w:themeColor="text1"/>
          <w:sz w:val="19"/>
          <w:szCs w:val="19"/>
          <w:highlight w:val="lightGray"/>
          <w:lang w:val="es-CO"/>
        </w:rPr>
        <w:t>[incluir sólo cuando la forma de pago sea por precios unitarios]</w:t>
      </w:r>
    </w:p>
    <w:p w14:paraId="5219CC90" w14:textId="31740BDB" w:rsidR="00F8043B" w:rsidRPr="009C752F" w:rsidRDefault="00C32A2C" w:rsidP="009C752F">
      <w:pPr>
        <w:ind w:firstLine="709"/>
        <w:jc w:val="both"/>
        <w:rPr>
          <w:rFonts w:ascii="Arial" w:hAnsi="Arial" w:cs="Arial"/>
          <w:color w:val="000000" w:themeColor="text1"/>
          <w:sz w:val="19"/>
          <w:szCs w:val="19"/>
          <w:highlight w:val="lightGray"/>
          <w:lang w:val="es-CO"/>
        </w:rPr>
      </w:pPr>
      <w:proofErr w:type="gramStart"/>
      <w:r w:rsidRPr="009C752F">
        <w:rPr>
          <w:rFonts w:ascii="Arial" w:hAnsi="Arial" w:cs="Arial"/>
          <w:color w:val="000000" w:themeColor="text1"/>
          <w:sz w:val="19"/>
          <w:szCs w:val="19"/>
          <w:lang w:val="es-CO"/>
        </w:rPr>
        <w:t>»</w:t>
      </w:r>
      <w:r w:rsidR="00F8043B" w:rsidRPr="009C752F">
        <w:rPr>
          <w:rFonts w:ascii="Arial" w:hAnsi="Arial" w:cs="Arial"/>
          <w:color w:val="000000" w:themeColor="text1"/>
          <w:sz w:val="19"/>
          <w:szCs w:val="19"/>
          <w:lang w:val="es-CO"/>
        </w:rPr>
        <w:t>Q.</w:t>
      </w:r>
      <w:proofErr w:type="gramEnd"/>
      <w:r w:rsidR="00F8043B" w:rsidRPr="009C752F">
        <w:rPr>
          <w:rFonts w:ascii="Arial" w:hAnsi="Arial" w:cs="Arial"/>
          <w:color w:val="000000" w:themeColor="text1"/>
          <w:sz w:val="19"/>
          <w:szCs w:val="19"/>
          <w:lang w:val="es-CO"/>
        </w:rPr>
        <w:tab/>
        <w:t xml:space="preserve">Superar el valor unitario de alguno o algunos de los siguientes ítems ofrecidos con respecto al valor establecido para cada ítem del Presupuesto Oficial: </w:t>
      </w:r>
      <w:r w:rsidR="00F8043B" w:rsidRPr="009C752F">
        <w:rPr>
          <w:rFonts w:ascii="Arial" w:hAnsi="Arial" w:cs="Arial"/>
          <w:color w:val="000000" w:themeColor="text1"/>
          <w:sz w:val="19"/>
          <w:szCs w:val="19"/>
          <w:highlight w:val="lightGray"/>
          <w:lang w:val="es-CO"/>
        </w:rPr>
        <w:t xml:space="preserve">[La Entidad debe incluir esta causal cuando la forma de pago sea por precios unitarios y cuando considere necesario establecer ítems del Presupuesto Oficial cuyo valor no pueda ser excedido por el Proponente. Cuando decida incluirla, identificará en este espacio los ítems frente a los cuales aplicará la causal de rechazo. </w:t>
      </w:r>
    </w:p>
    <w:p w14:paraId="3373156A" w14:textId="4BF79917" w:rsidR="00F8043B" w:rsidRPr="009C752F" w:rsidRDefault="00C32A2C" w:rsidP="009C752F">
      <w:pPr>
        <w:ind w:firstLine="709"/>
        <w:jc w:val="both"/>
        <w:rPr>
          <w:rFonts w:ascii="Arial" w:hAnsi="Arial" w:cs="Arial"/>
          <w:color w:val="000000" w:themeColor="text1"/>
          <w:sz w:val="22"/>
          <w:lang w:val="es-CO"/>
        </w:rPr>
      </w:pPr>
      <w:proofErr w:type="gramStart"/>
      <w:r w:rsidRPr="009C752F">
        <w:rPr>
          <w:rFonts w:ascii="Arial" w:hAnsi="Arial" w:cs="Arial"/>
          <w:color w:val="000000" w:themeColor="text1"/>
          <w:sz w:val="19"/>
          <w:szCs w:val="19"/>
          <w:highlight w:val="lightGray"/>
          <w:lang w:val="es-CO"/>
        </w:rPr>
        <w:t>»</w:t>
      </w:r>
      <w:r w:rsidR="00F8043B" w:rsidRPr="009C752F">
        <w:rPr>
          <w:rFonts w:ascii="Arial" w:hAnsi="Arial" w:cs="Arial"/>
          <w:color w:val="000000" w:themeColor="text1"/>
          <w:sz w:val="19"/>
          <w:szCs w:val="19"/>
          <w:highlight w:val="lightGray"/>
          <w:lang w:val="es-CO"/>
        </w:rPr>
        <w:t>Para</w:t>
      </w:r>
      <w:proofErr w:type="gramEnd"/>
      <w:r w:rsidR="00F8043B" w:rsidRPr="009C752F">
        <w:rPr>
          <w:rFonts w:ascii="Arial" w:hAnsi="Arial" w:cs="Arial"/>
          <w:color w:val="000000" w:themeColor="text1"/>
          <w:sz w:val="19"/>
          <w:szCs w:val="19"/>
          <w:highlight w:val="lightGray"/>
          <w:lang w:val="es-CO"/>
        </w:rPr>
        <w:t xml:space="preserve"> la aplicación de esta causal la Entidad debe tener en cuenta que el valor unitario establecido en el Formulario 1 – Formulario de Presupuesto Oficial incluye el valor de AIU]</w:t>
      </w:r>
      <w:r w:rsidR="00F8043B" w:rsidRPr="009C752F">
        <w:rPr>
          <w:rFonts w:ascii="Arial" w:hAnsi="Arial" w:cs="Arial"/>
          <w:color w:val="000000" w:themeColor="text1"/>
          <w:sz w:val="19"/>
          <w:szCs w:val="19"/>
          <w:lang w:val="es-CO"/>
        </w:rPr>
        <w:t xml:space="preserve"> [...]»</w:t>
      </w:r>
    </w:p>
    <w:p w14:paraId="1020A6FE" w14:textId="61094F69" w:rsidR="00F8043B" w:rsidRDefault="00F8043B">
      <w:pPr>
        <w:pStyle w:val="Textonotapie"/>
      </w:pPr>
    </w:p>
  </w:footnote>
  <w:footnote w:id="5">
    <w:p w14:paraId="5A54F02C" w14:textId="57827CEE" w:rsidR="0045488B" w:rsidRDefault="0003590D">
      <w:pPr>
        <w:pStyle w:val="Textonotapie"/>
        <w:ind w:firstLine="708"/>
        <w:rPr>
          <w:rFonts w:ascii="Arial" w:hAnsi="Arial" w:cs="Arial"/>
          <w:sz w:val="19"/>
          <w:szCs w:val="19"/>
        </w:rPr>
      </w:pPr>
      <w:r w:rsidRPr="0003590D">
        <w:rPr>
          <w:rStyle w:val="Refdenotaalpie"/>
          <w:rFonts w:ascii="Arial" w:hAnsi="Arial" w:cs="Arial"/>
          <w:sz w:val="19"/>
          <w:szCs w:val="19"/>
        </w:rPr>
        <w:footnoteRef/>
      </w:r>
      <w:r w:rsidR="006A4A9B">
        <w:rPr>
          <w:rFonts w:ascii="Arial" w:hAnsi="Arial" w:cs="Arial"/>
          <w:sz w:val="19"/>
          <w:szCs w:val="19"/>
        </w:rPr>
        <w:t xml:space="preserve"> </w:t>
      </w:r>
      <w:r w:rsidRPr="0003590D">
        <w:rPr>
          <w:rFonts w:ascii="Arial" w:hAnsi="Arial" w:cs="Arial"/>
          <w:sz w:val="19"/>
          <w:szCs w:val="19"/>
        </w:rPr>
        <w:t xml:space="preserve">Resolución No. 045 de 2020. Documento Base «Numeral 1.15 Causales de </w:t>
      </w:r>
      <w:proofErr w:type="gramStart"/>
      <w:r w:rsidRPr="0003590D">
        <w:rPr>
          <w:rFonts w:ascii="Arial" w:hAnsi="Arial" w:cs="Arial"/>
          <w:sz w:val="19"/>
          <w:szCs w:val="19"/>
        </w:rPr>
        <w:t>rechazo:[</w:t>
      </w:r>
      <w:proofErr w:type="gramEnd"/>
      <w:r w:rsidRPr="0003590D">
        <w:rPr>
          <w:rFonts w:ascii="Arial" w:hAnsi="Arial" w:cs="Arial"/>
          <w:sz w:val="19"/>
          <w:szCs w:val="19"/>
        </w:rPr>
        <w:t xml:space="preserve">…] </w:t>
      </w:r>
    </w:p>
    <w:p w14:paraId="1C626989" w14:textId="34B7B0D7" w:rsidR="00C32A2C" w:rsidRPr="0003590D" w:rsidRDefault="0045488B" w:rsidP="009C752F">
      <w:pPr>
        <w:pStyle w:val="Textonotapie"/>
        <w:ind w:firstLine="708"/>
        <w:jc w:val="both"/>
        <w:rPr>
          <w:rFonts w:ascii="Arial" w:hAnsi="Arial" w:cs="Arial"/>
          <w:sz w:val="19"/>
          <w:szCs w:val="19"/>
        </w:rPr>
      </w:pPr>
      <w:proofErr w:type="gramStart"/>
      <w:r>
        <w:rPr>
          <w:rFonts w:ascii="Arial" w:hAnsi="Arial" w:cs="Arial"/>
          <w:sz w:val="19"/>
          <w:szCs w:val="19"/>
        </w:rPr>
        <w:t>»</w:t>
      </w:r>
      <w:r w:rsidR="0003590D" w:rsidRPr="0003590D">
        <w:rPr>
          <w:rFonts w:ascii="Arial" w:hAnsi="Arial" w:cs="Arial"/>
          <w:sz w:val="19"/>
          <w:szCs w:val="19"/>
        </w:rPr>
        <w:t>R.</w:t>
      </w:r>
      <w:proofErr w:type="gramEnd"/>
      <w:r w:rsidR="0003590D" w:rsidRPr="0003590D">
        <w:rPr>
          <w:rFonts w:ascii="Arial" w:hAnsi="Arial" w:cs="Arial"/>
          <w:sz w:val="19"/>
          <w:szCs w:val="19"/>
        </w:rPr>
        <w:tab/>
        <w:t>No discriminar en la oferta económica el porcentaje de AIU en la forma como lo establece el Pliego de Condiciones y el Formulario 1– Formulario de Presupuesto Oficial.</w:t>
      </w:r>
    </w:p>
    <w:p w14:paraId="67031686" w14:textId="74B8DA99" w:rsidR="0003590D" w:rsidRDefault="00C32A2C">
      <w:pPr>
        <w:pStyle w:val="Textonotapie"/>
        <w:ind w:firstLine="708"/>
        <w:jc w:val="both"/>
      </w:pPr>
      <w:proofErr w:type="gramStart"/>
      <w:r w:rsidRPr="009C752F">
        <w:rPr>
          <w:rFonts w:ascii="Arial" w:hAnsi="Arial" w:cs="Arial"/>
          <w:sz w:val="19"/>
          <w:szCs w:val="19"/>
          <w:highlight w:val="lightGray"/>
        </w:rPr>
        <w:t>»</w:t>
      </w:r>
      <w:r w:rsidR="0003590D" w:rsidRPr="009C752F">
        <w:rPr>
          <w:rFonts w:ascii="Arial" w:hAnsi="Arial" w:cs="Arial"/>
          <w:sz w:val="19"/>
          <w:szCs w:val="19"/>
          <w:highlight w:val="lightGray"/>
        </w:rPr>
        <w:t>[</w:t>
      </w:r>
      <w:proofErr w:type="gramEnd"/>
      <w:r w:rsidR="0003590D" w:rsidRPr="009C752F">
        <w:rPr>
          <w:rFonts w:ascii="Arial" w:hAnsi="Arial" w:cs="Arial"/>
          <w:sz w:val="19"/>
          <w:szCs w:val="19"/>
          <w:highlight w:val="lightGray"/>
        </w:rPr>
        <w:t>Se entiende que el Proponente discrimina en la oferta económica el porcentaje de AIU cuando señala el porcentaje (%) correspondiente a la Administración, los Imprevistos y la Utilidad. En ningún caso la Entidad rechazará la oferta por no presentar el desglose del AIU]</w:t>
      </w:r>
      <w:r w:rsidR="0003590D" w:rsidRPr="0003590D">
        <w:rPr>
          <w:rFonts w:ascii="Arial" w:hAnsi="Arial" w:cs="Arial"/>
          <w:sz w:val="19"/>
          <w:szCs w:val="19"/>
        </w:rPr>
        <w:t>»</w:t>
      </w:r>
    </w:p>
  </w:footnote>
  <w:footnote w:id="6">
    <w:p w14:paraId="1C69C0D1" w14:textId="77777777" w:rsidR="004B5FBC" w:rsidRPr="00A940AF" w:rsidRDefault="004B5FBC">
      <w:pPr>
        <w:pStyle w:val="Textonotapie"/>
        <w:ind w:firstLine="708"/>
        <w:jc w:val="both"/>
        <w:rPr>
          <w:rFonts w:ascii="Arial" w:hAnsi="Arial" w:cs="Arial"/>
          <w:color w:val="000000" w:themeColor="text1"/>
          <w:sz w:val="19"/>
          <w:szCs w:val="19"/>
        </w:rPr>
      </w:pPr>
      <w:r w:rsidRPr="00A940AF">
        <w:rPr>
          <w:rStyle w:val="Refdenotaalpie"/>
          <w:rFonts w:ascii="Arial" w:hAnsi="Arial" w:cs="Arial"/>
          <w:color w:val="000000" w:themeColor="text1"/>
          <w:sz w:val="19"/>
          <w:szCs w:val="19"/>
        </w:rPr>
        <w:footnoteRef/>
      </w:r>
      <w:r w:rsidRPr="00A940AF">
        <w:rPr>
          <w:rFonts w:ascii="Arial" w:hAnsi="Arial" w:cs="Arial"/>
          <w:color w:val="000000" w:themeColor="text1"/>
          <w:sz w:val="19"/>
          <w:szCs w:val="19"/>
        </w:rPr>
        <w:t xml:space="preserve"> Consejo de Estado, Sala de lo Contencioso Administrativo, Sección Tercera, Subsección B, sentencia del 14 de octubre de 2011, </w:t>
      </w:r>
      <w:proofErr w:type="spellStart"/>
      <w:r w:rsidRPr="00A940AF">
        <w:rPr>
          <w:rFonts w:ascii="Arial" w:hAnsi="Arial" w:cs="Arial"/>
          <w:color w:val="000000" w:themeColor="text1"/>
          <w:sz w:val="19"/>
          <w:szCs w:val="19"/>
        </w:rPr>
        <w:t>exp</w:t>
      </w:r>
      <w:proofErr w:type="spellEnd"/>
      <w:r w:rsidRPr="00A940AF">
        <w:rPr>
          <w:rFonts w:ascii="Arial" w:hAnsi="Arial" w:cs="Arial"/>
          <w:color w:val="000000" w:themeColor="text1"/>
          <w:sz w:val="19"/>
          <w:szCs w:val="19"/>
        </w:rPr>
        <w:t>. 20811, C.P. Ruth Stella Correa Palacio.</w:t>
      </w:r>
    </w:p>
    <w:p w14:paraId="2016E21A" w14:textId="77777777" w:rsidR="004B5FBC" w:rsidRPr="00A940AF" w:rsidRDefault="004B5FBC">
      <w:pPr>
        <w:pStyle w:val="Textonotapie"/>
        <w:ind w:firstLine="708"/>
        <w:jc w:val="both"/>
        <w:rPr>
          <w:rFonts w:ascii="Arial" w:hAnsi="Arial" w:cs="Arial"/>
          <w:color w:val="000000" w:themeColor="text1"/>
          <w:sz w:val="19"/>
          <w:szCs w:val="19"/>
          <w:lang w:val="es-ES"/>
        </w:rPr>
      </w:pPr>
    </w:p>
  </w:footnote>
  <w:footnote w:id="7">
    <w:p w14:paraId="28ECC08F" w14:textId="77777777" w:rsidR="004B5FBC" w:rsidRPr="00A940AF" w:rsidRDefault="004B5FBC">
      <w:pPr>
        <w:pStyle w:val="Textonotapie"/>
        <w:ind w:firstLine="708"/>
        <w:jc w:val="both"/>
        <w:rPr>
          <w:rFonts w:ascii="Arial" w:hAnsi="Arial" w:cs="Arial"/>
          <w:color w:val="000000" w:themeColor="text1"/>
          <w:sz w:val="19"/>
          <w:szCs w:val="19"/>
        </w:rPr>
      </w:pPr>
      <w:r w:rsidRPr="00A940AF">
        <w:rPr>
          <w:rStyle w:val="Refdenotaalpie"/>
          <w:rFonts w:ascii="Arial" w:hAnsi="Arial" w:cs="Arial"/>
          <w:color w:val="000000" w:themeColor="text1"/>
          <w:sz w:val="19"/>
          <w:szCs w:val="19"/>
        </w:rPr>
        <w:footnoteRef/>
      </w:r>
      <w:r w:rsidRPr="00A940AF">
        <w:rPr>
          <w:rFonts w:ascii="Arial" w:hAnsi="Arial" w:cs="Arial"/>
          <w:color w:val="000000" w:themeColor="text1"/>
          <w:sz w:val="19"/>
          <w:szCs w:val="19"/>
        </w:rPr>
        <w:t xml:space="preserve"> Consejo de Estado, Sala de Consulta y Servicio Civil, concepto del 5 de septiembre de 2018, radicado No 11001-03-06-000-2018-00124-00 C.P. Édgar González López.</w:t>
      </w:r>
    </w:p>
    <w:p w14:paraId="1DA401DF" w14:textId="77777777" w:rsidR="004B5FBC" w:rsidRPr="00A940AF" w:rsidRDefault="004B5FBC">
      <w:pPr>
        <w:pStyle w:val="Textonotapie"/>
        <w:jc w:val="both"/>
        <w:rPr>
          <w:rFonts w:ascii="Arial" w:hAnsi="Arial" w:cs="Arial"/>
          <w:color w:val="000000" w:themeColor="text1"/>
          <w:sz w:val="19"/>
          <w:szCs w:val="19"/>
          <w:lang w:val="es-ES"/>
        </w:rPr>
      </w:pPr>
    </w:p>
  </w:footnote>
  <w:footnote w:id="8">
    <w:p w14:paraId="37E88C46" w14:textId="77777777" w:rsidR="004B5FBC" w:rsidRPr="00A940AF" w:rsidRDefault="004B5FBC">
      <w:pPr>
        <w:pStyle w:val="Textonotapie"/>
        <w:ind w:firstLine="708"/>
        <w:jc w:val="both"/>
        <w:rPr>
          <w:rFonts w:ascii="Arial" w:hAnsi="Arial" w:cs="Arial"/>
          <w:color w:val="000000" w:themeColor="text1"/>
          <w:sz w:val="19"/>
          <w:szCs w:val="19"/>
        </w:rPr>
      </w:pPr>
      <w:r w:rsidRPr="00A940AF">
        <w:rPr>
          <w:rStyle w:val="Refdenotaalpie"/>
          <w:rFonts w:ascii="Arial" w:hAnsi="Arial" w:cs="Arial"/>
          <w:color w:val="000000" w:themeColor="text1"/>
          <w:sz w:val="19"/>
          <w:szCs w:val="19"/>
        </w:rPr>
        <w:footnoteRef/>
      </w:r>
      <w:r w:rsidRPr="00A940AF">
        <w:rPr>
          <w:rFonts w:ascii="Arial" w:hAnsi="Arial" w:cs="Arial"/>
          <w:color w:val="000000" w:themeColor="text1"/>
          <w:sz w:val="19"/>
          <w:szCs w:val="19"/>
        </w:rPr>
        <w:t xml:space="preserve"> «Los costos indirectos incorporados en el A, corresponden como regla general a gastos de la oficina central, honorarios del director de obra, y de personal especializado. Generalmente estos costos pueden estar compartidos con los diversos contratos de obra que en forma simultánea esté ejecutando el contratista. Un ejemplo corresponde a los costos de la oficina central, y de los asesores de proyectos».</w:t>
      </w:r>
    </w:p>
    <w:p w14:paraId="6F5A1F1C" w14:textId="77777777" w:rsidR="004B5FBC" w:rsidRPr="00A940AF" w:rsidRDefault="004B5FBC">
      <w:pPr>
        <w:pStyle w:val="Textonotapie"/>
        <w:ind w:firstLine="708"/>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5658F372"/>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140B0"/>
    <w:rsid w:val="00032C2F"/>
    <w:rsid w:val="0003590D"/>
    <w:rsid w:val="0004438F"/>
    <w:rsid w:val="00047362"/>
    <w:rsid w:val="000525F5"/>
    <w:rsid w:val="00061606"/>
    <w:rsid w:val="000650E0"/>
    <w:rsid w:val="00084B97"/>
    <w:rsid w:val="000900F7"/>
    <w:rsid w:val="000942EB"/>
    <w:rsid w:val="000B103F"/>
    <w:rsid w:val="000B1ABA"/>
    <w:rsid w:val="000B3BC7"/>
    <w:rsid w:val="000C3290"/>
    <w:rsid w:val="000D6A8B"/>
    <w:rsid w:val="000D7F23"/>
    <w:rsid w:val="000E4F13"/>
    <w:rsid w:val="000F14E8"/>
    <w:rsid w:val="00103915"/>
    <w:rsid w:val="00104649"/>
    <w:rsid w:val="00106087"/>
    <w:rsid w:val="0011458F"/>
    <w:rsid w:val="00122B23"/>
    <w:rsid w:val="0012584C"/>
    <w:rsid w:val="00137FFA"/>
    <w:rsid w:val="00143F41"/>
    <w:rsid w:val="001624C6"/>
    <w:rsid w:val="0016753A"/>
    <w:rsid w:val="00197C8A"/>
    <w:rsid w:val="001A2149"/>
    <w:rsid w:val="001B0444"/>
    <w:rsid w:val="001B7BB3"/>
    <w:rsid w:val="001D10EC"/>
    <w:rsid w:val="0020632A"/>
    <w:rsid w:val="002110EB"/>
    <w:rsid w:val="00211338"/>
    <w:rsid w:val="00215AA1"/>
    <w:rsid w:val="00216E78"/>
    <w:rsid w:val="00221B8D"/>
    <w:rsid w:val="00221D77"/>
    <w:rsid w:val="00225E96"/>
    <w:rsid w:val="00234B84"/>
    <w:rsid w:val="00247AEB"/>
    <w:rsid w:val="00251D24"/>
    <w:rsid w:val="0027387D"/>
    <w:rsid w:val="002871AC"/>
    <w:rsid w:val="00293347"/>
    <w:rsid w:val="002C4C0C"/>
    <w:rsid w:val="002D3CC4"/>
    <w:rsid w:val="002E3C86"/>
    <w:rsid w:val="002F12B1"/>
    <w:rsid w:val="002F44B5"/>
    <w:rsid w:val="003033BA"/>
    <w:rsid w:val="00322937"/>
    <w:rsid w:val="003252DB"/>
    <w:rsid w:val="00334400"/>
    <w:rsid w:val="003414EC"/>
    <w:rsid w:val="0034177C"/>
    <w:rsid w:val="0034680A"/>
    <w:rsid w:val="00351F5D"/>
    <w:rsid w:val="00353DD5"/>
    <w:rsid w:val="003822A4"/>
    <w:rsid w:val="00386456"/>
    <w:rsid w:val="003A0878"/>
    <w:rsid w:val="003A581E"/>
    <w:rsid w:val="003B4786"/>
    <w:rsid w:val="003B7175"/>
    <w:rsid w:val="003C271C"/>
    <w:rsid w:val="003C76F7"/>
    <w:rsid w:val="00404DD0"/>
    <w:rsid w:val="004115CA"/>
    <w:rsid w:val="0041620E"/>
    <w:rsid w:val="004213B3"/>
    <w:rsid w:val="00423F9F"/>
    <w:rsid w:val="00432F9F"/>
    <w:rsid w:val="00435AC9"/>
    <w:rsid w:val="004422D6"/>
    <w:rsid w:val="00447185"/>
    <w:rsid w:val="004521FF"/>
    <w:rsid w:val="0045488B"/>
    <w:rsid w:val="004569A5"/>
    <w:rsid w:val="004759DF"/>
    <w:rsid w:val="0047755A"/>
    <w:rsid w:val="00482E04"/>
    <w:rsid w:val="0049241A"/>
    <w:rsid w:val="004A34D2"/>
    <w:rsid w:val="004A4419"/>
    <w:rsid w:val="004B00C7"/>
    <w:rsid w:val="004B5FBC"/>
    <w:rsid w:val="004B7814"/>
    <w:rsid w:val="004C3250"/>
    <w:rsid w:val="004F7080"/>
    <w:rsid w:val="005010C8"/>
    <w:rsid w:val="0051074C"/>
    <w:rsid w:val="00513AF2"/>
    <w:rsid w:val="00513DD7"/>
    <w:rsid w:val="00517B00"/>
    <w:rsid w:val="005216F2"/>
    <w:rsid w:val="00533B7A"/>
    <w:rsid w:val="0054328C"/>
    <w:rsid w:val="0054372A"/>
    <w:rsid w:val="00543D2E"/>
    <w:rsid w:val="0054413A"/>
    <w:rsid w:val="0054539F"/>
    <w:rsid w:val="005564CA"/>
    <w:rsid w:val="0056182B"/>
    <w:rsid w:val="005756AA"/>
    <w:rsid w:val="0058765A"/>
    <w:rsid w:val="00594041"/>
    <w:rsid w:val="005A484E"/>
    <w:rsid w:val="005D51FA"/>
    <w:rsid w:val="005D791B"/>
    <w:rsid w:val="005F1D3F"/>
    <w:rsid w:val="005F5B14"/>
    <w:rsid w:val="00614817"/>
    <w:rsid w:val="006277A3"/>
    <w:rsid w:val="00627A56"/>
    <w:rsid w:val="00633DBF"/>
    <w:rsid w:val="00655371"/>
    <w:rsid w:val="00665965"/>
    <w:rsid w:val="0067138E"/>
    <w:rsid w:val="00671FD3"/>
    <w:rsid w:val="00686E15"/>
    <w:rsid w:val="00697665"/>
    <w:rsid w:val="006A4A9B"/>
    <w:rsid w:val="006A7CB5"/>
    <w:rsid w:val="006A7FD0"/>
    <w:rsid w:val="006C0601"/>
    <w:rsid w:val="006D2597"/>
    <w:rsid w:val="006D7687"/>
    <w:rsid w:val="006E0572"/>
    <w:rsid w:val="006E77DB"/>
    <w:rsid w:val="00705631"/>
    <w:rsid w:val="00715EAA"/>
    <w:rsid w:val="00734A92"/>
    <w:rsid w:val="007360F1"/>
    <w:rsid w:val="00742DD2"/>
    <w:rsid w:val="00747C96"/>
    <w:rsid w:val="00747F1D"/>
    <w:rsid w:val="0075094E"/>
    <w:rsid w:val="007522E8"/>
    <w:rsid w:val="0075573B"/>
    <w:rsid w:val="0075647A"/>
    <w:rsid w:val="007634AD"/>
    <w:rsid w:val="007672FB"/>
    <w:rsid w:val="0078122E"/>
    <w:rsid w:val="00795647"/>
    <w:rsid w:val="007A4D54"/>
    <w:rsid w:val="007A765D"/>
    <w:rsid w:val="007B0854"/>
    <w:rsid w:val="007B6833"/>
    <w:rsid w:val="007D3172"/>
    <w:rsid w:val="007E259F"/>
    <w:rsid w:val="007F32B7"/>
    <w:rsid w:val="007F6B46"/>
    <w:rsid w:val="007F72CB"/>
    <w:rsid w:val="00800430"/>
    <w:rsid w:val="0081202B"/>
    <w:rsid w:val="008217B7"/>
    <w:rsid w:val="008245CF"/>
    <w:rsid w:val="00826671"/>
    <w:rsid w:val="0083119B"/>
    <w:rsid w:val="00836EAB"/>
    <w:rsid w:val="008451D5"/>
    <w:rsid w:val="008454E8"/>
    <w:rsid w:val="0085092D"/>
    <w:rsid w:val="00850F79"/>
    <w:rsid w:val="00874FB0"/>
    <w:rsid w:val="00891B3C"/>
    <w:rsid w:val="0089774F"/>
    <w:rsid w:val="008C2BF7"/>
    <w:rsid w:val="008D7176"/>
    <w:rsid w:val="008D7288"/>
    <w:rsid w:val="008E1C15"/>
    <w:rsid w:val="008F538E"/>
    <w:rsid w:val="008F5EED"/>
    <w:rsid w:val="009047C5"/>
    <w:rsid w:val="00916BED"/>
    <w:rsid w:val="00945F54"/>
    <w:rsid w:val="0095385A"/>
    <w:rsid w:val="00970509"/>
    <w:rsid w:val="00976E2A"/>
    <w:rsid w:val="00977D41"/>
    <w:rsid w:val="009878AD"/>
    <w:rsid w:val="009B33B9"/>
    <w:rsid w:val="009B7C22"/>
    <w:rsid w:val="009C752F"/>
    <w:rsid w:val="009F59C2"/>
    <w:rsid w:val="00A146AE"/>
    <w:rsid w:val="00A24560"/>
    <w:rsid w:val="00A34538"/>
    <w:rsid w:val="00A37FB6"/>
    <w:rsid w:val="00A414B1"/>
    <w:rsid w:val="00A54020"/>
    <w:rsid w:val="00A6205B"/>
    <w:rsid w:val="00A66099"/>
    <w:rsid w:val="00A66BA8"/>
    <w:rsid w:val="00A67CFC"/>
    <w:rsid w:val="00A715D8"/>
    <w:rsid w:val="00A7189C"/>
    <w:rsid w:val="00A940AF"/>
    <w:rsid w:val="00AA08E7"/>
    <w:rsid w:val="00AA442B"/>
    <w:rsid w:val="00AA669D"/>
    <w:rsid w:val="00AC225D"/>
    <w:rsid w:val="00AC30B8"/>
    <w:rsid w:val="00AE5EFE"/>
    <w:rsid w:val="00AF5D05"/>
    <w:rsid w:val="00B017EF"/>
    <w:rsid w:val="00B13EC0"/>
    <w:rsid w:val="00B22E22"/>
    <w:rsid w:val="00B27137"/>
    <w:rsid w:val="00B3101D"/>
    <w:rsid w:val="00B3718C"/>
    <w:rsid w:val="00B447ED"/>
    <w:rsid w:val="00B525CB"/>
    <w:rsid w:val="00B60A33"/>
    <w:rsid w:val="00B63872"/>
    <w:rsid w:val="00B63CB2"/>
    <w:rsid w:val="00B64EDB"/>
    <w:rsid w:val="00B66C2D"/>
    <w:rsid w:val="00B914AB"/>
    <w:rsid w:val="00B91B8E"/>
    <w:rsid w:val="00BB04FF"/>
    <w:rsid w:val="00BB1FD4"/>
    <w:rsid w:val="00BC36FB"/>
    <w:rsid w:val="00BD78FE"/>
    <w:rsid w:val="00C200DC"/>
    <w:rsid w:val="00C32A2C"/>
    <w:rsid w:val="00C35385"/>
    <w:rsid w:val="00CB4037"/>
    <w:rsid w:val="00CC00CD"/>
    <w:rsid w:val="00CD76F4"/>
    <w:rsid w:val="00CF2AE4"/>
    <w:rsid w:val="00D01760"/>
    <w:rsid w:val="00D12E11"/>
    <w:rsid w:val="00D16E39"/>
    <w:rsid w:val="00D173E2"/>
    <w:rsid w:val="00D223B6"/>
    <w:rsid w:val="00D60327"/>
    <w:rsid w:val="00D72E9D"/>
    <w:rsid w:val="00D7306F"/>
    <w:rsid w:val="00D76C06"/>
    <w:rsid w:val="00D80284"/>
    <w:rsid w:val="00D82BE8"/>
    <w:rsid w:val="00D82CE5"/>
    <w:rsid w:val="00D85BF3"/>
    <w:rsid w:val="00D86B57"/>
    <w:rsid w:val="00D921E1"/>
    <w:rsid w:val="00DA5AB1"/>
    <w:rsid w:val="00DB5063"/>
    <w:rsid w:val="00DC62E5"/>
    <w:rsid w:val="00DD513C"/>
    <w:rsid w:val="00DD735D"/>
    <w:rsid w:val="00DE3119"/>
    <w:rsid w:val="00DF168F"/>
    <w:rsid w:val="00DF236B"/>
    <w:rsid w:val="00E04DDE"/>
    <w:rsid w:val="00E13AB8"/>
    <w:rsid w:val="00E17657"/>
    <w:rsid w:val="00E25CB3"/>
    <w:rsid w:val="00E26059"/>
    <w:rsid w:val="00E33B62"/>
    <w:rsid w:val="00E3418D"/>
    <w:rsid w:val="00E4143A"/>
    <w:rsid w:val="00E47023"/>
    <w:rsid w:val="00E60C30"/>
    <w:rsid w:val="00E66A6D"/>
    <w:rsid w:val="00E71152"/>
    <w:rsid w:val="00E81B60"/>
    <w:rsid w:val="00E92DB6"/>
    <w:rsid w:val="00EA780D"/>
    <w:rsid w:val="00ED23D8"/>
    <w:rsid w:val="00ED5888"/>
    <w:rsid w:val="00EE59B5"/>
    <w:rsid w:val="00EF424E"/>
    <w:rsid w:val="00F42776"/>
    <w:rsid w:val="00F76143"/>
    <w:rsid w:val="00F8043B"/>
    <w:rsid w:val="00F84899"/>
    <w:rsid w:val="00F859F0"/>
    <w:rsid w:val="00F86830"/>
    <w:rsid w:val="00F94338"/>
    <w:rsid w:val="00F95793"/>
    <w:rsid w:val="00FB53CA"/>
    <w:rsid w:val="00FC48C6"/>
    <w:rsid w:val="00FC5B56"/>
    <w:rsid w:val="00FD6E5B"/>
    <w:rsid w:val="00FE141E"/>
    <w:rsid w:val="00FE207C"/>
    <w:rsid w:val="00FE42ED"/>
    <w:rsid w:val="6E537E4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D27CB8FB-891B-47D1-98F2-8F315A88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semiHidden/>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5FBC"/>
    <w:pPr>
      <w:autoSpaceDE w:val="0"/>
      <w:autoSpaceDN w:val="0"/>
      <w:adjustRightInd w:val="0"/>
      <w:spacing w:after="0" w:line="240" w:lineRule="auto"/>
    </w:pPr>
    <w:rPr>
      <w:rFonts w:ascii="Arial" w:hAnsi="Arial" w:cs="Arial"/>
      <w:color w:val="000000"/>
      <w:sz w:val="24"/>
      <w:szCs w:val="24"/>
    </w:rPr>
  </w:style>
  <w:style w:type="paragraph" w:customStyle="1" w:styleId="InviasNormal">
    <w:name w:val="Invias Normal"/>
    <w:basedOn w:val="Normal"/>
    <w:link w:val="InviasNormalCar"/>
    <w:qFormat/>
    <w:rsid w:val="00334400"/>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334400"/>
    <w:rPr>
      <w:rFonts w:ascii="Arial Narrow" w:eastAsia="Times New Roman" w:hAnsi="Arial Narrow" w:cs="Times New Roman"/>
      <w:color w:val="3C3C3C" w:themeColor="background2" w:themeShade="40"/>
      <w:sz w:val="24"/>
      <w:szCs w:val="24"/>
      <w:lang w:val="x-none" w:eastAsia="es-ES"/>
    </w:rPr>
  </w:style>
  <w:style w:type="character" w:customStyle="1" w:styleId="eop">
    <w:name w:val="eop"/>
    <w:basedOn w:val="Fuentedeprrafopredeter"/>
    <w:rsid w:val="00BB0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350504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1108765">
      <w:bodyDiv w:val="1"/>
      <w:marLeft w:val="0"/>
      <w:marRight w:val="0"/>
      <w:marTop w:val="0"/>
      <w:marBottom w:val="0"/>
      <w:divBdr>
        <w:top w:val="none" w:sz="0" w:space="0" w:color="auto"/>
        <w:left w:val="none" w:sz="0" w:space="0" w:color="auto"/>
        <w:bottom w:val="none" w:sz="0" w:space="0" w:color="auto"/>
        <w:right w:val="none" w:sz="0" w:space="0" w:color="auto"/>
      </w:divBdr>
      <w:divsChild>
        <w:div w:id="641891400">
          <w:marLeft w:val="0"/>
          <w:marRight w:val="0"/>
          <w:marTop w:val="0"/>
          <w:marBottom w:val="0"/>
          <w:divBdr>
            <w:top w:val="none" w:sz="0" w:space="0" w:color="auto"/>
            <w:left w:val="none" w:sz="0" w:space="0" w:color="auto"/>
            <w:bottom w:val="none" w:sz="0" w:space="0" w:color="auto"/>
            <w:right w:val="none" w:sz="0" w:space="0" w:color="auto"/>
          </w:divBdr>
        </w:div>
      </w:divsChild>
    </w:div>
    <w:div w:id="645622325">
      <w:bodyDiv w:val="1"/>
      <w:marLeft w:val="0"/>
      <w:marRight w:val="0"/>
      <w:marTop w:val="0"/>
      <w:marBottom w:val="0"/>
      <w:divBdr>
        <w:top w:val="none" w:sz="0" w:space="0" w:color="auto"/>
        <w:left w:val="none" w:sz="0" w:space="0" w:color="auto"/>
        <w:bottom w:val="none" w:sz="0" w:space="0" w:color="auto"/>
        <w:right w:val="none" w:sz="0" w:space="0" w:color="auto"/>
      </w:divBdr>
      <w:divsChild>
        <w:div w:id="1809395706">
          <w:marLeft w:val="0"/>
          <w:marRight w:val="0"/>
          <w:marTop w:val="0"/>
          <w:marBottom w:val="0"/>
          <w:divBdr>
            <w:top w:val="none" w:sz="0" w:space="0" w:color="auto"/>
            <w:left w:val="none" w:sz="0" w:space="0" w:color="auto"/>
            <w:bottom w:val="none" w:sz="0" w:space="0" w:color="auto"/>
            <w:right w:val="none" w:sz="0" w:space="0" w:color="auto"/>
          </w:divBdr>
        </w:div>
      </w:divsChild>
    </w:div>
    <w:div w:id="967007076">
      <w:bodyDiv w:val="1"/>
      <w:marLeft w:val="0"/>
      <w:marRight w:val="0"/>
      <w:marTop w:val="0"/>
      <w:marBottom w:val="0"/>
      <w:divBdr>
        <w:top w:val="none" w:sz="0" w:space="0" w:color="auto"/>
        <w:left w:val="none" w:sz="0" w:space="0" w:color="auto"/>
        <w:bottom w:val="none" w:sz="0" w:space="0" w:color="auto"/>
        <w:right w:val="none" w:sz="0" w:space="0" w:color="auto"/>
      </w:divBdr>
    </w:div>
    <w:div w:id="1416392347">
      <w:bodyDiv w:val="1"/>
      <w:marLeft w:val="0"/>
      <w:marRight w:val="0"/>
      <w:marTop w:val="0"/>
      <w:marBottom w:val="0"/>
      <w:divBdr>
        <w:top w:val="none" w:sz="0" w:space="0" w:color="auto"/>
        <w:left w:val="none" w:sz="0" w:space="0" w:color="auto"/>
        <w:bottom w:val="none" w:sz="0" w:space="0" w:color="auto"/>
        <w:right w:val="none" w:sz="0" w:space="0" w:color="auto"/>
      </w:divBdr>
    </w:div>
    <w:div w:id="1424375921">
      <w:bodyDiv w:val="1"/>
      <w:marLeft w:val="0"/>
      <w:marRight w:val="0"/>
      <w:marTop w:val="0"/>
      <w:marBottom w:val="0"/>
      <w:divBdr>
        <w:top w:val="none" w:sz="0" w:space="0" w:color="auto"/>
        <w:left w:val="none" w:sz="0" w:space="0" w:color="auto"/>
        <w:bottom w:val="none" w:sz="0" w:space="0" w:color="auto"/>
        <w:right w:val="none" w:sz="0" w:space="0" w:color="auto"/>
      </w:divBdr>
    </w:div>
    <w:div w:id="163120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37BC5B-0374-430B-A3DC-0B75014ED9C8}">
  <ds:schemaRefs>
    <ds:schemaRef ds:uri="http://schemas.openxmlformats.org/officeDocument/2006/bibliography"/>
  </ds:schemaRefs>
</ds:datastoreItem>
</file>

<file path=customXml/itemProps2.xml><?xml version="1.0" encoding="utf-8"?>
<ds:datastoreItem xmlns:ds="http://schemas.openxmlformats.org/officeDocument/2006/customXml" ds:itemID="{00483EFD-F0C4-4068-BEF8-718CDF311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E15050-B61A-499D-96FD-4B94C1C1BBD8}">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7</TotalTime>
  <Pages>9</Pages>
  <Words>3508</Words>
  <Characters>19299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Juan Manuel</cp:lastModifiedBy>
  <cp:revision>3</cp:revision>
  <cp:lastPrinted>2020-02-28T21:13:00Z</cp:lastPrinted>
  <dcterms:created xsi:type="dcterms:W3CDTF">2020-12-23T16:11:00Z</dcterms:created>
  <dcterms:modified xsi:type="dcterms:W3CDTF">2020-12-23T16:18:00Z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