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7ADB" w14:textId="77777777" w:rsidR="00E27BDF" w:rsidRPr="007A6367" w:rsidRDefault="006C0DA8">
      <w:pPr>
        <w:jc w:val="right"/>
        <w:rPr>
          <w:rFonts w:ascii="Arial" w:eastAsia="Arial" w:hAnsi="Arial" w:cs="Arial"/>
          <w:b/>
          <w:sz w:val="16"/>
          <w:szCs w:val="16"/>
        </w:rPr>
      </w:pPr>
      <w:bookmarkStart w:id="0" w:name="_gjdgxs" w:colFirst="0" w:colLast="0"/>
      <w:bookmarkEnd w:id="0"/>
      <w:r w:rsidRPr="007A6367">
        <w:rPr>
          <w:rFonts w:ascii="Arial" w:eastAsia="Arial" w:hAnsi="Arial" w:cs="Arial"/>
          <w:b/>
          <w:sz w:val="16"/>
          <w:szCs w:val="16"/>
        </w:rPr>
        <w:t xml:space="preserve"> </w:t>
      </w:r>
    </w:p>
    <w:p w14:paraId="72B4F0CF" w14:textId="77777777" w:rsidR="00E27BDF" w:rsidRPr="007A6367" w:rsidRDefault="006C0DA8">
      <w:pPr>
        <w:jc w:val="right"/>
        <w:rPr>
          <w:rFonts w:ascii="Arial" w:eastAsia="Arial" w:hAnsi="Arial" w:cs="Arial"/>
          <w:b/>
          <w:sz w:val="16"/>
          <w:szCs w:val="16"/>
        </w:rPr>
      </w:pPr>
      <w:r w:rsidRPr="007A6367">
        <w:rPr>
          <w:rFonts w:ascii="Arial" w:eastAsia="Arial" w:hAnsi="Arial" w:cs="Arial"/>
          <w:b/>
          <w:sz w:val="16"/>
          <w:szCs w:val="16"/>
        </w:rPr>
        <w:tab/>
        <w:t>CCE-DES-FM-17</w:t>
      </w:r>
    </w:p>
    <w:p w14:paraId="22871975" w14:textId="77777777" w:rsidR="00E27BDF" w:rsidRPr="007A6367" w:rsidRDefault="00E27BDF">
      <w:pPr>
        <w:jc w:val="right"/>
        <w:rPr>
          <w:rFonts w:ascii="Arial" w:eastAsia="Arial" w:hAnsi="Arial" w:cs="Arial"/>
          <w:b/>
          <w:sz w:val="16"/>
          <w:szCs w:val="16"/>
        </w:rPr>
      </w:pPr>
    </w:p>
    <w:p w14:paraId="7B78A25D" w14:textId="638772BF" w:rsidR="00C34506" w:rsidRPr="00E41855" w:rsidRDefault="004060C9" w:rsidP="004060C9">
      <w:pPr>
        <w:jc w:val="both"/>
        <w:rPr>
          <w:rFonts w:ascii="Arial" w:eastAsia="Arial" w:hAnsi="Arial" w:cs="Arial"/>
          <w:sz w:val="22"/>
          <w:szCs w:val="22"/>
          <w:lang w:val="es-ES" w:bidi="es-ES"/>
        </w:rPr>
      </w:pPr>
      <w:r w:rsidRPr="00E41855">
        <w:rPr>
          <w:rFonts w:ascii="Arial" w:eastAsia="Arial" w:hAnsi="Arial" w:cs="Arial"/>
          <w:b/>
          <w:bCs/>
          <w:sz w:val="22"/>
          <w:szCs w:val="22"/>
          <w:lang w:val="es-MX" w:bidi="es-ES"/>
        </w:rPr>
        <w:t>BIENES O SERVICIOS DE CARACTERÍSTICAS TÉCNICAS UNIFORMES Y DE COMÚN UTILIZACIÓN –</w:t>
      </w:r>
      <w:r w:rsidR="00042107" w:rsidRPr="00E41855">
        <w:rPr>
          <w:rFonts w:ascii="Arial" w:eastAsia="Arial" w:hAnsi="Arial" w:cs="Arial"/>
          <w:b/>
          <w:bCs/>
          <w:sz w:val="22"/>
          <w:szCs w:val="22"/>
          <w:lang w:val="es-MX" w:bidi="es-ES"/>
        </w:rPr>
        <w:t xml:space="preserve"> </w:t>
      </w:r>
      <w:r w:rsidR="00C34506" w:rsidRPr="00E41855">
        <w:rPr>
          <w:rFonts w:ascii="Arial" w:eastAsia="Arial" w:hAnsi="Arial" w:cs="Arial"/>
          <w:b/>
          <w:bCs/>
          <w:sz w:val="22"/>
          <w:szCs w:val="22"/>
          <w:lang w:val="es-MX" w:bidi="es-ES"/>
        </w:rPr>
        <w:t xml:space="preserve">Noción – Fundamentos jurídicos – </w:t>
      </w:r>
      <w:r w:rsidR="008A0EA3">
        <w:rPr>
          <w:rFonts w:ascii="Arial" w:eastAsia="Arial" w:hAnsi="Arial" w:cs="Arial"/>
          <w:b/>
          <w:bCs/>
          <w:sz w:val="22"/>
          <w:szCs w:val="22"/>
          <w:lang w:val="es-MX" w:bidi="es-ES"/>
        </w:rPr>
        <w:t>E</w:t>
      </w:r>
      <w:r w:rsidR="00C34506" w:rsidRPr="00E41855">
        <w:rPr>
          <w:rFonts w:ascii="Arial" w:eastAsia="Arial" w:hAnsi="Arial" w:cs="Arial"/>
          <w:b/>
          <w:bCs/>
          <w:sz w:val="22"/>
          <w:szCs w:val="22"/>
          <w:lang w:val="es-MX" w:bidi="es-ES"/>
        </w:rPr>
        <w:t>lementos</w:t>
      </w:r>
    </w:p>
    <w:p w14:paraId="25F0350C" w14:textId="77777777" w:rsidR="00C34506" w:rsidRDefault="00C34506" w:rsidP="00C34506">
      <w:pPr>
        <w:jc w:val="both"/>
        <w:rPr>
          <w:rFonts w:ascii="Arial" w:eastAsia="Arial" w:hAnsi="Arial" w:cs="Arial"/>
          <w:sz w:val="20"/>
          <w:szCs w:val="20"/>
          <w:lang w:val="es-ES" w:bidi="es-ES"/>
        </w:rPr>
      </w:pPr>
    </w:p>
    <w:p w14:paraId="3E3A9AA3" w14:textId="5E49E22D" w:rsidR="00C34506" w:rsidRPr="00E41855" w:rsidRDefault="00C34506" w:rsidP="00E41855">
      <w:pPr>
        <w:spacing w:after="120"/>
        <w:jc w:val="both"/>
        <w:rPr>
          <w:rFonts w:ascii="Arial" w:eastAsia="Arial" w:hAnsi="Arial" w:cs="Arial"/>
          <w:sz w:val="20"/>
          <w:szCs w:val="20"/>
          <w:lang w:val="es-ES" w:bidi="es-ES"/>
        </w:rPr>
      </w:pPr>
      <w:r>
        <w:rPr>
          <w:rFonts w:ascii="Arial" w:eastAsia="Arial" w:hAnsi="Arial" w:cs="Arial"/>
          <w:sz w:val="20"/>
          <w:szCs w:val="20"/>
          <w:lang w:val="es-ES" w:bidi="es-ES"/>
        </w:rPr>
        <w:t xml:space="preserve">[…] </w:t>
      </w:r>
      <w:r w:rsidRPr="00E41855">
        <w:rPr>
          <w:rFonts w:ascii="Arial" w:eastAsia="Arial" w:hAnsi="Arial" w:cs="Arial"/>
          <w:sz w:val="20"/>
          <w:szCs w:val="20"/>
          <w:lang w:val="es-ES" w:bidi="es-ES"/>
        </w:rPr>
        <w:t>la Ley 1150 de 2007 –artículo 2, numeral 2, literal a)– estableció que los bienes y servicios de características técnicas uniformes son aquellos que poseen las mismas especificaciones técnicas y comparten patrones de desempeño y calidad objetivamente definidas, con independencia de su diseño o de sus características descriptivas.</w:t>
      </w:r>
    </w:p>
    <w:p w14:paraId="74CE10F8" w14:textId="42510AE2" w:rsidR="00C34506" w:rsidRPr="00C34506" w:rsidRDefault="00C34506" w:rsidP="00E41855">
      <w:pPr>
        <w:spacing w:after="120"/>
        <w:jc w:val="both"/>
        <w:rPr>
          <w:rFonts w:ascii="Arial" w:eastAsia="Arial" w:hAnsi="Arial" w:cs="Arial"/>
          <w:bCs/>
          <w:sz w:val="20"/>
          <w:szCs w:val="20"/>
          <w:lang w:val="es-MX" w:bidi="es-ES"/>
        </w:rPr>
      </w:pPr>
      <w:r w:rsidRPr="00E41855">
        <w:rPr>
          <w:rFonts w:ascii="Arial" w:eastAsia="Arial" w:hAnsi="Arial" w:cs="Arial"/>
          <w:sz w:val="20"/>
          <w:szCs w:val="20"/>
          <w:lang w:val="es-ES" w:bidi="es-ES"/>
        </w:rPr>
        <w:t xml:space="preserve">En </w:t>
      </w:r>
      <w:r>
        <w:rPr>
          <w:rFonts w:ascii="Arial" w:eastAsia="Arial" w:hAnsi="Arial" w:cs="Arial"/>
          <w:sz w:val="20"/>
          <w:szCs w:val="20"/>
          <w:lang w:val="es-ES" w:bidi="es-ES"/>
        </w:rPr>
        <w:t>armonía con</w:t>
      </w:r>
      <w:r w:rsidRPr="00E41855">
        <w:rPr>
          <w:rFonts w:ascii="Arial" w:eastAsia="Arial" w:hAnsi="Arial" w:cs="Arial"/>
          <w:sz w:val="20"/>
          <w:szCs w:val="20"/>
          <w:lang w:val="es-ES" w:bidi="es-ES"/>
        </w:rPr>
        <w:t xml:space="preserve"> la disposición anterior, el artículo 2.2.1.1.1.3.1 del Decreto 1082 de 2015 desarrolló el concepto de «bienes y servicios de características técnicas uniformes» en los siguientes términos: </w:t>
      </w:r>
      <w:r w:rsidRPr="00E41855">
        <w:rPr>
          <w:rFonts w:ascii="Arial" w:eastAsia="Arial" w:hAnsi="Arial" w:cs="Arial"/>
          <w:sz w:val="20"/>
          <w:szCs w:val="20"/>
          <w:lang w:bidi="es-ES"/>
        </w:rPr>
        <w:t>«</w:t>
      </w:r>
      <w:r w:rsidRPr="00E41855">
        <w:rPr>
          <w:rFonts w:ascii="Arial" w:eastAsia="Arial" w:hAnsi="Arial" w:cs="Arial"/>
          <w:sz w:val="20"/>
          <w:szCs w:val="20"/>
          <w:lang w:val="es-ES" w:bidi="es-ES"/>
        </w:rPr>
        <w:t>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r w:rsidRPr="00E41855">
        <w:rPr>
          <w:rFonts w:ascii="Arial" w:eastAsia="Arial" w:hAnsi="Arial" w:cs="Arial"/>
          <w:sz w:val="20"/>
          <w:szCs w:val="20"/>
          <w:lang w:bidi="es-ES"/>
        </w:rPr>
        <w:t>»</w:t>
      </w:r>
      <w:r w:rsidRPr="00E41855">
        <w:rPr>
          <w:rFonts w:ascii="Arial" w:eastAsia="Arial" w:hAnsi="Arial" w:cs="Arial"/>
          <w:sz w:val="20"/>
          <w:szCs w:val="20"/>
          <w:lang w:val="es-ES" w:bidi="es-ES"/>
        </w:rPr>
        <w:t>.</w:t>
      </w:r>
      <w:r w:rsidRPr="00C34506" w:rsidDel="00C34506">
        <w:rPr>
          <w:rFonts w:ascii="Arial" w:eastAsia="Arial" w:hAnsi="Arial" w:cs="Arial"/>
          <w:bCs/>
          <w:sz w:val="20"/>
          <w:szCs w:val="20"/>
          <w:lang w:val="es-MX" w:bidi="es-ES"/>
        </w:rPr>
        <w:t xml:space="preserve"> </w:t>
      </w:r>
      <w:r w:rsidR="004060C9" w:rsidRPr="00C34506">
        <w:rPr>
          <w:rFonts w:ascii="Arial" w:eastAsia="Arial" w:hAnsi="Arial" w:cs="Arial"/>
          <w:bCs/>
          <w:sz w:val="20"/>
          <w:szCs w:val="20"/>
          <w:lang w:val="es-MX" w:bidi="es-ES"/>
        </w:rPr>
        <w:t xml:space="preserve"> </w:t>
      </w:r>
    </w:p>
    <w:p w14:paraId="0C299B2C" w14:textId="2FB092D9" w:rsidR="00C34506" w:rsidRPr="00C34506" w:rsidRDefault="00BA46E4">
      <w:pPr>
        <w:jc w:val="both"/>
        <w:rPr>
          <w:rFonts w:ascii="Arial" w:eastAsia="Arial" w:hAnsi="Arial" w:cs="Arial"/>
          <w:bCs/>
          <w:sz w:val="20"/>
          <w:szCs w:val="20"/>
          <w:lang w:val="es-MX" w:bidi="es-ES"/>
        </w:rPr>
      </w:pPr>
      <w:r>
        <w:rPr>
          <w:rFonts w:ascii="Arial" w:eastAsia="Arial" w:hAnsi="Arial" w:cs="Arial"/>
          <w:sz w:val="20"/>
          <w:szCs w:val="20"/>
          <w:lang w:val="es-ES" w:bidi="es-ES"/>
        </w:rPr>
        <w:t xml:space="preserve">[…] </w:t>
      </w:r>
      <w:r w:rsidR="00C34506" w:rsidRPr="00E41855">
        <w:rPr>
          <w:rFonts w:ascii="Arial" w:eastAsia="Arial" w:hAnsi="Arial" w:cs="Arial"/>
          <w:sz w:val="20"/>
          <w:szCs w:val="20"/>
          <w:lang w:val="es-ES" w:bidi="es-ES"/>
        </w:rPr>
        <w:t>los elementos centrales para definir si un bien o servicio se considera de características técnicas uniformes consiste en que posea las mismas especificaciones técnicas y compartan patrones de desempeño y calidad objetivamente definidos, de manera que es posible adquirirlos en el mercado en condiciones estandarizadas u homogéneas, con independencia de su diseño o de sus características descriptivas, que no afectan su funcionalidad. En este sentido, la forma como se adquieren en el mercado incide en la determinación si un bien o servicio encaja en esta categoría, de ahí que el Decreto 1082 de 2015 señale que «pueden ser agrupados como bienes y servicios homogéneos para su adquisición», dado que son bienes y servicio con especificaciones técnicas y patrones de desempeño y calidad iguales o similares.</w:t>
      </w:r>
    </w:p>
    <w:p w14:paraId="7568731D" w14:textId="77777777" w:rsidR="004060C9" w:rsidRPr="004060C9" w:rsidRDefault="004060C9" w:rsidP="004060C9">
      <w:pPr>
        <w:jc w:val="both"/>
        <w:rPr>
          <w:rFonts w:ascii="Arial" w:eastAsia="Arial" w:hAnsi="Arial" w:cs="Arial"/>
          <w:b/>
          <w:bCs/>
          <w:sz w:val="20"/>
          <w:szCs w:val="20"/>
          <w:lang w:val="es-MX" w:bidi="es-ES"/>
        </w:rPr>
      </w:pPr>
    </w:p>
    <w:p w14:paraId="0F0412E8" w14:textId="43CF8152" w:rsidR="004060C9" w:rsidRPr="00E41855" w:rsidRDefault="00BA46E4" w:rsidP="00717570">
      <w:pPr>
        <w:jc w:val="both"/>
        <w:rPr>
          <w:rFonts w:ascii="Arial" w:eastAsia="Arial" w:hAnsi="Arial" w:cs="Arial"/>
          <w:b/>
          <w:bCs/>
          <w:sz w:val="22"/>
          <w:szCs w:val="22"/>
          <w:lang w:val="es-MX"/>
        </w:rPr>
      </w:pPr>
      <w:r w:rsidRPr="00E41855">
        <w:rPr>
          <w:rFonts w:ascii="Arial" w:eastAsia="Arial" w:hAnsi="Arial" w:cs="Arial"/>
          <w:b/>
          <w:bCs/>
          <w:sz w:val="22"/>
          <w:szCs w:val="22"/>
          <w:lang w:val="es-MX"/>
        </w:rPr>
        <w:t xml:space="preserve">REQUISITOS </w:t>
      </w:r>
      <w:r w:rsidR="00D004E3" w:rsidRPr="00E41855">
        <w:rPr>
          <w:rFonts w:ascii="Arial" w:eastAsia="Arial" w:hAnsi="Arial" w:cs="Arial"/>
          <w:b/>
          <w:bCs/>
          <w:sz w:val="22"/>
          <w:szCs w:val="22"/>
          <w:lang w:val="es-MX"/>
        </w:rPr>
        <w:t xml:space="preserve">HABILITANTES – </w:t>
      </w:r>
      <w:r w:rsidRPr="00E41855">
        <w:rPr>
          <w:rFonts w:ascii="Arial" w:eastAsia="Arial" w:hAnsi="Arial" w:cs="Arial"/>
          <w:b/>
          <w:bCs/>
          <w:sz w:val="22"/>
          <w:szCs w:val="22"/>
          <w:lang w:val="es-MX"/>
        </w:rPr>
        <w:t>Artículo 5 de la Ley 1150 de 2007 – Carácter enunciativo</w:t>
      </w:r>
    </w:p>
    <w:p w14:paraId="72F45BD1" w14:textId="38594C55" w:rsidR="00AD3756" w:rsidRDefault="00AD3756" w:rsidP="00717570">
      <w:pPr>
        <w:jc w:val="both"/>
        <w:rPr>
          <w:rFonts w:ascii="Arial" w:eastAsia="Arial" w:hAnsi="Arial" w:cs="Arial"/>
          <w:b/>
          <w:bCs/>
          <w:sz w:val="20"/>
          <w:szCs w:val="20"/>
          <w:lang w:val="es-MX"/>
        </w:rPr>
      </w:pPr>
    </w:p>
    <w:p w14:paraId="23D501F7" w14:textId="0EE7BE38" w:rsidR="00BA46E4" w:rsidRDefault="00BA46E4" w:rsidP="00E41855">
      <w:pPr>
        <w:jc w:val="both"/>
        <w:rPr>
          <w:rFonts w:ascii="Arial" w:eastAsia="Arial" w:hAnsi="Arial" w:cs="Arial"/>
          <w:sz w:val="20"/>
          <w:szCs w:val="20"/>
          <w:lang w:val="es-ES" w:bidi="es-ES"/>
        </w:rPr>
      </w:pPr>
      <w:r w:rsidRPr="00E41855">
        <w:rPr>
          <w:rFonts w:ascii="Arial" w:eastAsia="Arial" w:hAnsi="Arial" w:cs="Arial"/>
          <w:sz w:val="20"/>
          <w:szCs w:val="20"/>
          <w:lang w:val="es-ES" w:bidi="es-ES"/>
        </w:rPr>
        <w:t xml:space="preserve">La pregunta planteada anteriormente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Esto es lo que sucede,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 </w:t>
      </w:r>
    </w:p>
    <w:p w14:paraId="10CF0DA8" w14:textId="0D908C7C" w:rsidR="00BA46E4" w:rsidRDefault="00BA46E4" w:rsidP="00E41855">
      <w:pPr>
        <w:spacing w:after="120"/>
        <w:jc w:val="both"/>
        <w:rPr>
          <w:rFonts w:ascii="Arial" w:eastAsia="Arial" w:hAnsi="Arial" w:cs="Arial"/>
          <w:sz w:val="20"/>
          <w:szCs w:val="20"/>
          <w:lang w:val="es-ES" w:bidi="es-ES"/>
        </w:rPr>
      </w:pPr>
      <w:r>
        <w:rPr>
          <w:rFonts w:ascii="Arial" w:eastAsia="Arial" w:hAnsi="Arial" w:cs="Arial"/>
          <w:sz w:val="20"/>
          <w:szCs w:val="20"/>
          <w:lang w:val="es-ES" w:bidi="es-ES"/>
        </w:rPr>
        <w:t>[…]</w:t>
      </w:r>
    </w:p>
    <w:p w14:paraId="1E55763A" w14:textId="4FA55F3E" w:rsidR="00BA46E4" w:rsidRPr="00E41855" w:rsidRDefault="00BA46E4" w:rsidP="00D004E3">
      <w:pPr>
        <w:jc w:val="both"/>
        <w:rPr>
          <w:rFonts w:ascii="Arial" w:eastAsia="Arial" w:hAnsi="Arial" w:cs="Arial"/>
          <w:sz w:val="20"/>
          <w:szCs w:val="20"/>
          <w:lang w:val="es-ES" w:bidi="es-ES"/>
        </w:rPr>
      </w:pPr>
      <w:r w:rsidRPr="00E41855">
        <w:rPr>
          <w:rFonts w:ascii="Arial" w:eastAsia="Arial" w:hAnsi="Arial" w:cs="Arial"/>
          <w:sz w:val="20"/>
          <w:szCs w:val="20"/>
          <w:lang w:val="es-ES" w:bidi="es-ES"/>
        </w:rPr>
        <w:t xml:space="preserve">Como conclusión de lo anterior, puede decirse </w:t>
      </w:r>
      <w:proofErr w:type="gramStart"/>
      <w:r w:rsidRPr="00E41855">
        <w:rPr>
          <w:rFonts w:ascii="Arial" w:eastAsia="Arial" w:hAnsi="Arial" w:cs="Arial"/>
          <w:sz w:val="20"/>
          <w:szCs w:val="20"/>
          <w:lang w:val="es-ES" w:bidi="es-ES"/>
        </w:rPr>
        <w:t>que</w:t>
      </w:r>
      <w:proofErr w:type="gramEnd"/>
      <w:r w:rsidRPr="00E41855">
        <w:rPr>
          <w:rFonts w:ascii="Arial" w:eastAsia="Arial" w:hAnsi="Arial" w:cs="Arial"/>
          <w:sz w:val="20"/>
          <w:szCs w:val="20"/>
          <w:lang w:val="es-ES" w:bidi="es-ES"/>
        </w:rPr>
        <w:t xml:space="preserve"> aunque la Ley 1150 de 2007 estableció unos requisitos habilitantes para los proponentes: la capacidad jurídica, las condiciones de experiencia, la capacidad financiera y la capacidad de organización, lo cierto es que los mismos no son taxativos. Además, que los requisitos habilitantes deben ser establecidos por la entidad en cada proceso contractual de acuerdo con los parámetros fijados en las disposiciones legales y reglamentarias, como el Decreto 1082 de 2015. Finalmente, que una vez establecidos los requisitos de habilitación, quienes presenten ofertas deben acreditar que cumplen con ellos, so pena de que sus propuestas sean rechazadas, claro está, sin perjuicio de la posibilidad de subsanarlas, cuando a ello haya lugar.</w:t>
      </w:r>
    </w:p>
    <w:p w14:paraId="10F44425" w14:textId="68F7C095" w:rsidR="00D004E3" w:rsidRDefault="00D004E3" w:rsidP="00D004E3">
      <w:pPr>
        <w:jc w:val="both"/>
        <w:rPr>
          <w:rFonts w:ascii="Arial" w:eastAsia="Arial" w:hAnsi="Arial" w:cs="Arial"/>
          <w:bCs/>
          <w:sz w:val="20"/>
          <w:szCs w:val="20"/>
        </w:rPr>
      </w:pPr>
    </w:p>
    <w:p w14:paraId="2D141870" w14:textId="71E05E80" w:rsidR="00D004E3" w:rsidRDefault="006B2D89" w:rsidP="00D004E3">
      <w:pPr>
        <w:jc w:val="both"/>
        <w:rPr>
          <w:rFonts w:ascii="Arial" w:eastAsia="Arial" w:hAnsi="Arial" w:cs="Arial"/>
          <w:b/>
          <w:bCs/>
          <w:sz w:val="20"/>
          <w:szCs w:val="20"/>
          <w:lang w:val="es-MX"/>
        </w:rPr>
      </w:pPr>
      <w:r w:rsidRPr="00E41855">
        <w:rPr>
          <w:rFonts w:ascii="Arial" w:eastAsia="Arial" w:hAnsi="Arial" w:cs="Arial"/>
          <w:b/>
          <w:bCs/>
          <w:sz w:val="22"/>
          <w:szCs w:val="22"/>
          <w:lang w:val="es-MX"/>
        </w:rPr>
        <w:t>ESTUDIO DE MERCADO – Análisis económico del sector</w:t>
      </w:r>
    </w:p>
    <w:p w14:paraId="129C84AD" w14:textId="11EA6958" w:rsidR="006B2D89" w:rsidRDefault="006B2D89" w:rsidP="00D004E3">
      <w:pPr>
        <w:jc w:val="both"/>
        <w:rPr>
          <w:rFonts w:ascii="Arial" w:eastAsia="Arial" w:hAnsi="Arial" w:cs="Arial"/>
          <w:b/>
          <w:bCs/>
          <w:sz w:val="20"/>
          <w:szCs w:val="20"/>
          <w:lang w:val="es-MX"/>
        </w:rPr>
      </w:pPr>
    </w:p>
    <w:p w14:paraId="381F3A5D" w14:textId="77777777" w:rsidR="008A0EA3" w:rsidRPr="00E41855" w:rsidRDefault="008A0EA3" w:rsidP="00E41855">
      <w:pPr>
        <w:spacing w:after="120"/>
        <w:jc w:val="both"/>
        <w:rPr>
          <w:rFonts w:ascii="Arial" w:eastAsia="Arial" w:hAnsi="Arial" w:cs="Arial"/>
          <w:sz w:val="20"/>
          <w:szCs w:val="20"/>
          <w:lang w:val="es-ES" w:bidi="es-ES"/>
        </w:rPr>
      </w:pPr>
      <w:r w:rsidRPr="00E41855">
        <w:rPr>
          <w:rFonts w:ascii="Arial" w:eastAsia="Arial" w:hAnsi="Arial" w:cs="Arial"/>
          <w:sz w:val="20"/>
          <w:szCs w:val="20"/>
          <w:lang w:val="es-ES" w:bidi="es-ES"/>
        </w:rPr>
        <w:t xml:space="preserve">Frente al análisis del sector (estudio de mercado), durante la etapa de planeación de los procesos de contratación, las entidades estatales deben realizar el análisis del mercado del bien o servicio que pretenden adquirir. El Decreto 1082 de 2015 establece este deber y dispone que las entidades estatales deben conocer el sector relativo al objeto del proceso de contratación, desde la perspectiva legal, comercial, financiera, organizacional, técnica y de análisis de riesgo. </w:t>
      </w:r>
    </w:p>
    <w:p w14:paraId="210ED7A8" w14:textId="77777777" w:rsidR="008A0EA3" w:rsidRPr="00E41855" w:rsidRDefault="008A0EA3" w:rsidP="00E41855">
      <w:pPr>
        <w:spacing w:after="120"/>
        <w:jc w:val="both"/>
        <w:rPr>
          <w:rFonts w:ascii="Arial" w:eastAsia="Arial" w:hAnsi="Arial" w:cs="Arial"/>
          <w:sz w:val="20"/>
          <w:szCs w:val="20"/>
          <w:lang w:val="es-ES" w:bidi="es-ES"/>
        </w:rPr>
      </w:pPr>
      <w:r w:rsidRPr="00E41855">
        <w:rPr>
          <w:rFonts w:ascii="Arial" w:eastAsia="Arial" w:hAnsi="Arial" w:cs="Arial"/>
          <w:sz w:val="20"/>
          <w:szCs w:val="20"/>
          <w:lang w:val="es-ES" w:bidi="es-ES"/>
        </w:rPr>
        <w:t xml:space="preserve">Para estructurar el análisis del sector, la entidad, debe tener en cuenta, entre otros factores, el estudio de la demanda, a través del cual evidenciará cómo ha adquirido en el pasado este bien, obra o servicio. En este sentido, analizará el comportamiento de sus adquisiciones anteriores teniendo en cuenta aspectos como: modalidad de selección, objeto del contrato, calidad del bien o servicio, valor de los contratos y forma de pago, número de contratos suscritos, presupuesto con cargo al cual han sido ejecutados esos contratos. </w:t>
      </w:r>
    </w:p>
    <w:p w14:paraId="0FDCDF02" w14:textId="6E555186" w:rsidR="007F222A" w:rsidRDefault="008A0EA3" w:rsidP="003402FB">
      <w:pPr>
        <w:jc w:val="both"/>
        <w:rPr>
          <w:rFonts w:ascii="Arial" w:eastAsia="Arial" w:hAnsi="Arial" w:cs="Arial"/>
          <w:sz w:val="22"/>
          <w:szCs w:val="22"/>
        </w:rPr>
      </w:pPr>
      <w:r w:rsidRPr="00E41855">
        <w:rPr>
          <w:rFonts w:ascii="Arial" w:eastAsia="Arial" w:hAnsi="Arial" w:cs="Arial"/>
          <w:sz w:val="20"/>
          <w:szCs w:val="20"/>
          <w:lang w:val="es-ES" w:bidi="es-ES"/>
        </w:rPr>
        <w:t xml:space="preserve">De acuerdo con lo anterior, en un estudio de mercado </w:t>
      </w:r>
      <w:r w:rsidRPr="00E41855">
        <w:rPr>
          <w:rFonts w:ascii="Arial" w:eastAsia="Arial" w:hAnsi="Arial" w:cs="Arial"/>
          <w:i/>
          <w:iCs/>
          <w:sz w:val="20"/>
          <w:szCs w:val="20"/>
          <w:lang w:val="es-ES" w:bidi="es-ES"/>
        </w:rPr>
        <w:t>puede</w:t>
      </w:r>
      <w:r w:rsidRPr="00E41855">
        <w:rPr>
          <w:rFonts w:ascii="Arial" w:eastAsia="Arial" w:hAnsi="Arial" w:cs="Arial"/>
          <w:sz w:val="20"/>
          <w:szCs w:val="20"/>
          <w:lang w:val="es-ES" w:bidi="es-ES"/>
        </w:rPr>
        <w:t xml:space="preserve"> resultar relevante analizar la forma como se adquirió un bien o servicio, independientemente de la modalidad de selección utilizada para adquirirlo; sin embargo, todas estas variantes se deben tener en cuenta al momento de realizar y valorar el análisis del sector.</w:t>
      </w:r>
      <w:r w:rsidR="007F222A">
        <w:rPr>
          <w:rFonts w:ascii="Arial" w:eastAsia="Arial" w:hAnsi="Arial" w:cs="Arial"/>
          <w:sz w:val="22"/>
          <w:szCs w:val="22"/>
        </w:rPr>
        <w:br w:type="page"/>
      </w:r>
    </w:p>
    <w:p w14:paraId="032A0FC9" w14:textId="761D16D4" w:rsidR="00E27BDF" w:rsidRPr="007A6367" w:rsidRDefault="006C0DA8" w:rsidP="0036269D">
      <w:pPr>
        <w:rPr>
          <w:rFonts w:ascii="Arial" w:eastAsia="Arial" w:hAnsi="Arial" w:cs="Arial"/>
          <w:sz w:val="22"/>
          <w:szCs w:val="22"/>
        </w:rPr>
      </w:pPr>
      <w:r w:rsidRPr="007A6367">
        <w:rPr>
          <w:rFonts w:ascii="Arial" w:eastAsia="Arial" w:hAnsi="Arial" w:cs="Arial"/>
          <w:sz w:val="22"/>
          <w:szCs w:val="22"/>
        </w:rPr>
        <w:lastRenderedPageBreak/>
        <w:t xml:space="preserve">Bogotá D.C., </w:t>
      </w:r>
      <w:r w:rsidR="003402FB">
        <w:rPr>
          <w:rFonts w:ascii="Arial" w:eastAsia="Arial" w:hAnsi="Arial" w:cs="Arial"/>
          <w:b/>
          <w:sz w:val="22"/>
          <w:szCs w:val="22"/>
          <w:lang w:val="es-MX"/>
        </w:rPr>
        <w:t>24</w:t>
      </w:r>
      <w:r w:rsidR="003402FB" w:rsidRPr="003402FB">
        <w:rPr>
          <w:rFonts w:ascii="Arial" w:eastAsia="Arial" w:hAnsi="Arial" w:cs="Arial"/>
          <w:b/>
          <w:sz w:val="22"/>
          <w:szCs w:val="22"/>
          <w:lang w:val="es-MX"/>
        </w:rPr>
        <w:t>/11/2020 13:</w:t>
      </w:r>
      <w:r w:rsidR="003402FB">
        <w:rPr>
          <w:rFonts w:ascii="Arial" w:eastAsia="Arial" w:hAnsi="Arial" w:cs="Arial"/>
          <w:b/>
          <w:sz w:val="22"/>
          <w:szCs w:val="22"/>
          <w:lang w:val="es-MX"/>
        </w:rPr>
        <w:t>09</w:t>
      </w:r>
      <w:r w:rsidR="003402FB" w:rsidRPr="003402FB">
        <w:rPr>
          <w:rFonts w:ascii="Arial" w:eastAsia="Arial" w:hAnsi="Arial" w:cs="Arial"/>
          <w:b/>
          <w:sz w:val="22"/>
          <w:szCs w:val="22"/>
          <w:lang w:val="es-MX"/>
        </w:rPr>
        <w:t>:</w:t>
      </w:r>
      <w:r w:rsidR="003402FB">
        <w:rPr>
          <w:rFonts w:ascii="Arial" w:eastAsia="Arial" w:hAnsi="Arial" w:cs="Arial"/>
          <w:b/>
          <w:sz w:val="22"/>
          <w:szCs w:val="22"/>
          <w:lang w:val="es-MX"/>
        </w:rPr>
        <w:t>53</w:t>
      </w:r>
      <w:r w:rsidR="003402FB" w:rsidRPr="003402FB">
        <w:rPr>
          <w:rFonts w:ascii="Arial" w:eastAsia="Arial" w:hAnsi="Arial" w:cs="Arial"/>
          <w:b/>
          <w:sz w:val="22"/>
          <w:szCs w:val="22"/>
          <w:lang w:val="es-MX"/>
        </w:rPr>
        <w:t>s</w:t>
      </w:r>
      <w:r w:rsidR="003402FB" w:rsidRPr="003402FB" w:rsidDel="009D1B61">
        <w:rPr>
          <w:rFonts w:ascii="Arial" w:eastAsia="Arial" w:hAnsi="Arial" w:cs="Arial"/>
          <w:b/>
          <w:sz w:val="22"/>
          <w:szCs w:val="22"/>
          <w:lang w:val="es-MX"/>
        </w:rPr>
        <w:t xml:space="preserve"> </w:t>
      </w:r>
    </w:p>
    <w:p w14:paraId="222118A1" w14:textId="77777777" w:rsidR="003D5501" w:rsidRPr="007A6367" w:rsidRDefault="003D5501" w:rsidP="0036269D">
      <w:pPr>
        <w:rPr>
          <w:rFonts w:ascii="Arial" w:eastAsia="Arial" w:hAnsi="Arial" w:cs="Arial"/>
          <w:b/>
          <w:sz w:val="22"/>
          <w:szCs w:val="22"/>
        </w:rPr>
      </w:pPr>
    </w:p>
    <w:p w14:paraId="7FAC49B0" w14:textId="0A6877B2" w:rsidR="00E27BDF" w:rsidRPr="007A6367" w:rsidRDefault="006C0DA8" w:rsidP="003D5501">
      <w:pPr>
        <w:jc w:val="right"/>
        <w:rPr>
          <w:rFonts w:ascii="Arial" w:eastAsia="Arial" w:hAnsi="Arial" w:cs="Arial"/>
          <w:b/>
          <w:sz w:val="22"/>
          <w:szCs w:val="22"/>
        </w:rPr>
      </w:pPr>
      <w:proofErr w:type="spellStart"/>
      <w:r w:rsidRPr="007A6367">
        <w:rPr>
          <w:rFonts w:ascii="Arial" w:eastAsia="Arial" w:hAnsi="Arial" w:cs="Arial"/>
          <w:b/>
          <w:sz w:val="22"/>
          <w:szCs w:val="22"/>
        </w:rPr>
        <w:t>N°</w:t>
      </w:r>
      <w:proofErr w:type="spellEnd"/>
      <w:r w:rsidRPr="007A6367">
        <w:rPr>
          <w:rFonts w:ascii="Arial" w:eastAsia="Arial" w:hAnsi="Arial" w:cs="Arial"/>
          <w:b/>
          <w:sz w:val="22"/>
          <w:szCs w:val="22"/>
        </w:rPr>
        <w:t xml:space="preserve"> Radicado:</w:t>
      </w:r>
      <w:r w:rsidR="00042107">
        <w:rPr>
          <w:rFonts w:ascii="Arial" w:eastAsia="Arial" w:hAnsi="Arial" w:cs="Arial"/>
          <w:b/>
          <w:sz w:val="22"/>
          <w:szCs w:val="22"/>
        </w:rPr>
        <w:t xml:space="preserve"> </w:t>
      </w:r>
      <w:r w:rsidR="003402FB">
        <w:rPr>
          <w:rFonts w:ascii="Arial" w:hAnsi="Arial" w:cs="Arial"/>
          <w:b/>
          <w:bCs/>
          <w:sz w:val="22"/>
          <w:szCs w:val="22"/>
          <w:lang w:val="es-MX" w:eastAsia="es-CO"/>
        </w:rPr>
        <w:t>2202013000011646</w:t>
      </w:r>
      <w:r w:rsidR="00357D46" w:rsidRPr="00FA74D2" w:rsidDel="00357D46">
        <w:rPr>
          <w:rFonts w:ascii="Arial" w:eastAsia="Arial" w:hAnsi="Arial" w:cs="Arial"/>
          <w:b/>
          <w:bCs/>
          <w:sz w:val="22"/>
          <w:szCs w:val="22"/>
        </w:rPr>
        <w:t xml:space="preserve"> </w:t>
      </w:r>
    </w:p>
    <w:p w14:paraId="0F93E392" w14:textId="77777777" w:rsidR="00E27BDF" w:rsidRPr="007A6367" w:rsidRDefault="00E27BDF">
      <w:pPr>
        <w:rPr>
          <w:rFonts w:ascii="Arial" w:eastAsia="Arial" w:hAnsi="Arial" w:cs="Arial"/>
          <w:sz w:val="22"/>
          <w:szCs w:val="22"/>
        </w:rPr>
      </w:pPr>
    </w:p>
    <w:p w14:paraId="14D1F3D3" w14:textId="591D173D" w:rsidR="00B57AE8" w:rsidRDefault="006C0DA8">
      <w:pPr>
        <w:rPr>
          <w:rFonts w:ascii="Arial" w:eastAsia="Arial" w:hAnsi="Arial" w:cs="Arial"/>
          <w:sz w:val="22"/>
          <w:szCs w:val="22"/>
        </w:rPr>
      </w:pPr>
      <w:r w:rsidRPr="007A6367">
        <w:rPr>
          <w:rFonts w:ascii="Arial" w:eastAsia="Arial" w:hAnsi="Arial" w:cs="Arial"/>
          <w:sz w:val="22"/>
          <w:szCs w:val="22"/>
        </w:rPr>
        <w:t>Señor</w:t>
      </w:r>
      <w:r w:rsidR="00FA74D2">
        <w:rPr>
          <w:rFonts w:ascii="Arial" w:eastAsia="Arial" w:hAnsi="Arial" w:cs="Arial"/>
          <w:sz w:val="22"/>
          <w:szCs w:val="22"/>
        </w:rPr>
        <w:t>a</w:t>
      </w:r>
    </w:p>
    <w:p w14:paraId="4C1159E6" w14:textId="27D409E6" w:rsidR="00FA74D2" w:rsidRPr="00FA74D2" w:rsidRDefault="00FA74D2">
      <w:pPr>
        <w:rPr>
          <w:rFonts w:ascii="Arial" w:eastAsia="Arial" w:hAnsi="Arial" w:cs="Arial"/>
          <w:b/>
          <w:sz w:val="22"/>
          <w:szCs w:val="22"/>
        </w:rPr>
      </w:pPr>
      <w:r w:rsidRPr="00FA74D2">
        <w:rPr>
          <w:rFonts w:ascii="Arial" w:eastAsia="Arial" w:hAnsi="Arial" w:cs="Arial"/>
          <w:b/>
          <w:sz w:val="22"/>
          <w:szCs w:val="22"/>
        </w:rPr>
        <w:t>Andrea Padilla Villarraga</w:t>
      </w:r>
      <w:bookmarkStart w:id="1" w:name="_GoBack"/>
      <w:bookmarkEnd w:id="1"/>
    </w:p>
    <w:p w14:paraId="0C8C80D1" w14:textId="73C78E0A" w:rsidR="00FA74D2" w:rsidRPr="00FA74D2" w:rsidRDefault="00FA74D2">
      <w:pPr>
        <w:rPr>
          <w:rFonts w:ascii="Arial" w:eastAsia="Arial" w:hAnsi="Arial" w:cs="Arial"/>
          <w:sz w:val="22"/>
          <w:szCs w:val="22"/>
        </w:rPr>
      </w:pPr>
      <w:r>
        <w:rPr>
          <w:rFonts w:ascii="Arial" w:eastAsia="Arial" w:hAnsi="Arial" w:cs="Arial"/>
          <w:sz w:val="22"/>
          <w:szCs w:val="22"/>
        </w:rPr>
        <w:t>Bogotá</w:t>
      </w:r>
    </w:p>
    <w:p w14:paraId="2335A75F" w14:textId="5FECCE04" w:rsidR="00E27BDF" w:rsidRPr="007A6367" w:rsidRDefault="00E27BDF">
      <w:pPr>
        <w:rPr>
          <w:rFonts w:ascii="Arial" w:eastAsia="Arial" w:hAnsi="Arial" w:cs="Arial"/>
          <w:b/>
          <w:sz w:val="22"/>
          <w:szCs w:val="22"/>
        </w:rPr>
      </w:pPr>
    </w:p>
    <w:p w14:paraId="5C62B0CA" w14:textId="77777777" w:rsidR="00E27BDF" w:rsidRPr="007A6367" w:rsidRDefault="00E27BDF">
      <w:pPr>
        <w:rPr>
          <w:rFonts w:ascii="Arial" w:eastAsia="Arial" w:hAnsi="Arial" w:cs="Arial"/>
          <w:sz w:val="22"/>
          <w:szCs w:val="22"/>
        </w:rPr>
      </w:pPr>
    </w:p>
    <w:p w14:paraId="512527F3" w14:textId="77777777" w:rsidR="00E27BDF" w:rsidRPr="007A6367" w:rsidRDefault="00E27BDF">
      <w:pPr>
        <w:rPr>
          <w:rFonts w:ascii="Arial" w:eastAsia="Arial" w:hAnsi="Arial" w:cs="Arial"/>
          <w:sz w:val="22"/>
          <w:szCs w:val="22"/>
        </w:rPr>
      </w:pPr>
    </w:p>
    <w:p w14:paraId="197A64B4" w14:textId="3C88C946" w:rsidR="00E27BDF" w:rsidRPr="007A6367" w:rsidRDefault="006C0DA8">
      <w:pPr>
        <w:ind w:firstLine="2694"/>
        <w:rPr>
          <w:rFonts w:ascii="Arial" w:eastAsia="Arial" w:hAnsi="Arial" w:cs="Arial"/>
          <w:b/>
          <w:sz w:val="22"/>
          <w:szCs w:val="22"/>
        </w:rPr>
      </w:pPr>
      <w:r w:rsidRPr="007A6367">
        <w:rPr>
          <w:rFonts w:ascii="Arial" w:eastAsia="Arial" w:hAnsi="Arial" w:cs="Arial"/>
          <w:b/>
          <w:sz w:val="22"/>
          <w:szCs w:val="22"/>
        </w:rPr>
        <w:t xml:space="preserve">Concepto C – </w:t>
      </w:r>
      <w:r w:rsidR="004E7A93">
        <w:rPr>
          <w:rFonts w:ascii="Arial" w:eastAsia="Arial" w:hAnsi="Arial" w:cs="Arial"/>
          <w:b/>
          <w:sz w:val="22"/>
          <w:szCs w:val="22"/>
        </w:rPr>
        <w:t>678</w:t>
      </w:r>
      <w:r w:rsidR="001E3DE8" w:rsidRPr="007A6367">
        <w:rPr>
          <w:rFonts w:ascii="Arial" w:eastAsia="Arial" w:hAnsi="Arial" w:cs="Arial"/>
          <w:b/>
          <w:sz w:val="22"/>
          <w:szCs w:val="22"/>
        </w:rPr>
        <w:t xml:space="preserve"> </w:t>
      </w:r>
      <w:r w:rsidRPr="007A6367">
        <w:rPr>
          <w:rFonts w:ascii="Arial" w:eastAsia="Arial" w:hAnsi="Arial" w:cs="Arial"/>
          <w:b/>
          <w:sz w:val="22"/>
          <w:szCs w:val="22"/>
        </w:rPr>
        <w:t>de 2020</w:t>
      </w:r>
    </w:p>
    <w:p w14:paraId="0776158D" w14:textId="77777777" w:rsidR="00E27BDF" w:rsidRPr="007A6367" w:rsidRDefault="00E27BDF">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7A6367" w:rsidRPr="007A6367" w14:paraId="322C87C9" w14:textId="77777777">
        <w:tc>
          <w:tcPr>
            <w:tcW w:w="2689" w:type="dxa"/>
          </w:tcPr>
          <w:p w14:paraId="582572A0" w14:textId="25361E8C" w:rsidR="00E27BDF" w:rsidRPr="007A6367" w:rsidRDefault="006C0DA8">
            <w:pPr>
              <w:rPr>
                <w:rFonts w:ascii="Arial" w:eastAsia="Arial" w:hAnsi="Arial" w:cs="Arial"/>
                <w:sz w:val="22"/>
                <w:szCs w:val="22"/>
              </w:rPr>
            </w:pPr>
            <w:r w:rsidRPr="007A6367">
              <w:rPr>
                <w:rFonts w:ascii="Arial" w:eastAsia="Arial" w:hAnsi="Arial" w:cs="Arial"/>
                <w:b/>
                <w:sz w:val="22"/>
                <w:szCs w:val="22"/>
              </w:rPr>
              <w:t>Temas:</w:t>
            </w:r>
            <w:r w:rsidR="00042107">
              <w:rPr>
                <w:rFonts w:ascii="Arial" w:eastAsia="Arial" w:hAnsi="Arial" w:cs="Arial"/>
                <w:sz w:val="22"/>
                <w:szCs w:val="22"/>
              </w:rPr>
              <w:t xml:space="preserve">    </w:t>
            </w:r>
            <w:r w:rsidR="00644E48">
              <w:rPr>
                <w:rFonts w:ascii="Arial" w:eastAsia="Arial" w:hAnsi="Arial" w:cs="Arial"/>
                <w:sz w:val="22"/>
                <w:szCs w:val="22"/>
              </w:rPr>
              <w:t xml:space="preserve"> </w:t>
            </w:r>
          </w:p>
          <w:p w14:paraId="2FAB4B01" w14:textId="2FB24A6F" w:rsidR="00E27BDF" w:rsidRPr="007A6367" w:rsidRDefault="00042107">
            <w:pPr>
              <w:rPr>
                <w:rFonts w:ascii="Arial" w:eastAsia="Arial" w:hAnsi="Arial" w:cs="Arial"/>
                <w:sz w:val="22"/>
                <w:szCs w:val="22"/>
              </w:rPr>
            </w:pPr>
            <w:r>
              <w:rPr>
                <w:rFonts w:ascii="Arial" w:eastAsia="Arial" w:hAnsi="Arial" w:cs="Arial"/>
                <w:sz w:val="22"/>
                <w:szCs w:val="22"/>
              </w:rPr>
              <w:t xml:space="preserve">            </w:t>
            </w:r>
            <w:r w:rsidR="00644E48">
              <w:rPr>
                <w:rFonts w:ascii="Arial" w:eastAsia="Arial" w:hAnsi="Arial" w:cs="Arial"/>
                <w:sz w:val="22"/>
                <w:szCs w:val="22"/>
              </w:rPr>
              <w:t xml:space="preserve"> </w:t>
            </w:r>
          </w:p>
        </w:tc>
        <w:tc>
          <w:tcPr>
            <w:tcW w:w="6237" w:type="dxa"/>
          </w:tcPr>
          <w:p w14:paraId="5F1A3AEA" w14:textId="6B2BA7C8" w:rsidR="00FF6D23" w:rsidRPr="00E41855" w:rsidRDefault="0006160F" w:rsidP="00FF6D23">
            <w:pPr>
              <w:jc w:val="both"/>
              <w:rPr>
                <w:rFonts w:ascii="Arial" w:eastAsia="Arial" w:hAnsi="Arial" w:cs="Arial"/>
                <w:bCs/>
                <w:sz w:val="20"/>
                <w:szCs w:val="20"/>
                <w:lang w:val="es-MX"/>
              </w:rPr>
            </w:pPr>
            <w:r w:rsidRPr="00FF6D23">
              <w:rPr>
                <w:rFonts w:ascii="Arial" w:eastAsia="Arial" w:hAnsi="Arial" w:cs="Arial"/>
                <w:bCs/>
                <w:sz w:val="22"/>
                <w:szCs w:val="22"/>
                <w:lang w:val="es-MX"/>
              </w:rPr>
              <w:t xml:space="preserve">BIENES O SERVICIOS DE CARACTERÍSTICAS TÉCNICAS UNIFORMES Y DE COMÚN UTILIZACIÓN </w:t>
            </w:r>
            <w:r w:rsidR="008A0EA3" w:rsidRPr="00E41855">
              <w:rPr>
                <w:rFonts w:ascii="Arial" w:eastAsia="Arial" w:hAnsi="Arial" w:cs="Arial"/>
                <w:bCs/>
                <w:sz w:val="22"/>
                <w:szCs w:val="22"/>
                <w:lang w:val="es-MX" w:bidi="es-ES"/>
              </w:rPr>
              <w:t>– Noción – Fundamentos jurídicos – Elementos</w:t>
            </w:r>
            <w:r w:rsidR="008A0EA3" w:rsidRPr="00FF6D23" w:rsidDel="008A0EA3">
              <w:rPr>
                <w:rFonts w:ascii="Arial" w:eastAsia="Arial" w:hAnsi="Arial" w:cs="Arial"/>
                <w:bCs/>
                <w:sz w:val="22"/>
                <w:szCs w:val="22"/>
                <w:lang w:val="es-MX"/>
              </w:rPr>
              <w:t xml:space="preserve"> </w:t>
            </w:r>
            <w:r w:rsidR="006C0DA8" w:rsidRPr="00E41855">
              <w:rPr>
                <w:rFonts w:ascii="Arial" w:eastAsia="Arial" w:hAnsi="Arial" w:cs="Arial"/>
                <w:bCs/>
                <w:sz w:val="22"/>
                <w:szCs w:val="22"/>
              </w:rPr>
              <w:t xml:space="preserve">/ </w:t>
            </w:r>
            <w:r w:rsidR="008A0EA3" w:rsidRPr="00E41855">
              <w:rPr>
                <w:rFonts w:ascii="Arial" w:eastAsia="Arial" w:hAnsi="Arial" w:cs="Arial"/>
                <w:bCs/>
                <w:sz w:val="22"/>
                <w:szCs w:val="22"/>
                <w:lang w:val="es-MX"/>
              </w:rPr>
              <w:t>REQUISITOS HABILITANTES – Artículo 5 de la Ley 1150 de 2007 – Carácter enunciativo</w:t>
            </w:r>
            <w:r w:rsidR="008A0EA3" w:rsidRPr="00FF6D23" w:rsidDel="008A0EA3">
              <w:rPr>
                <w:rFonts w:ascii="Arial" w:eastAsia="Arial" w:hAnsi="Arial" w:cs="Arial"/>
                <w:bCs/>
                <w:sz w:val="22"/>
                <w:szCs w:val="22"/>
                <w:lang w:val="es-MX"/>
              </w:rPr>
              <w:t xml:space="preserve"> </w:t>
            </w:r>
            <w:r w:rsidR="006C0DA8" w:rsidRPr="00313E5E">
              <w:rPr>
                <w:rFonts w:ascii="Arial" w:eastAsia="Arial" w:hAnsi="Arial" w:cs="Arial"/>
                <w:bCs/>
                <w:sz w:val="22"/>
                <w:szCs w:val="22"/>
              </w:rPr>
              <w:t xml:space="preserve">/ </w:t>
            </w:r>
            <w:r w:rsidR="00FF6D23" w:rsidRPr="00E41855">
              <w:rPr>
                <w:rFonts w:ascii="Arial" w:eastAsia="Arial" w:hAnsi="Arial" w:cs="Arial"/>
                <w:bCs/>
                <w:sz w:val="22"/>
                <w:szCs w:val="22"/>
                <w:lang w:val="es-MX"/>
              </w:rPr>
              <w:t>ESTUDIO DE MERCADO – Análisis económico del sector</w:t>
            </w:r>
          </w:p>
          <w:p w14:paraId="596927E6" w14:textId="4DF81C79" w:rsidR="00E27BDF" w:rsidRPr="00E41855" w:rsidRDefault="00E27BDF" w:rsidP="0006160F">
            <w:pPr>
              <w:jc w:val="both"/>
              <w:rPr>
                <w:rFonts w:ascii="Arial" w:eastAsia="Arial" w:hAnsi="Arial" w:cs="Arial"/>
                <w:bCs/>
                <w:sz w:val="22"/>
                <w:szCs w:val="22"/>
                <w:lang w:val="es-MX"/>
              </w:rPr>
            </w:pPr>
          </w:p>
        </w:tc>
      </w:tr>
      <w:tr w:rsidR="00E27BDF" w:rsidRPr="007A6367" w14:paraId="2355401D" w14:textId="77777777">
        <w:tc>
          <w:tcPr>
            <w:tcW w:w="2689" w:type="dxa"/>
          </w:tcPr>
          <w:p w14:paraId="7161ECB4" w14:textId="70C84252" w:rsidR="00E27BDF" w:rsidRPr="007A6367" w:rsidRDefault="006C0DA8">
            <w:pPr>
              <w:spacing w:before="60"/>
              <w:rPr>
                <w:rFonts w:ascii="Arial" w:eastAsia="Arial" w:hAnsi="Arial" w:cs="Arial"/>
                <w:b/>
                <w:sz w:val="22"/>
                <w:szCs w:val="22"/>
              </w:rPr>
            </w:pPr>
            <w:r w:rsidRPr="007A6367">
              <w:rPr>
                <w:rFonts w:ascii="Arial" w:eastAsia="Arial" w:hAnsi="Arial" w:cs="Arial"/>
                <w:b/>
                <w:sz w:val="22"/>
                <w:szCs w:val="22"/>
              </w:rPr>
              <w:t>Radicación:</w:t>
            </w:r>
            <w:r w:rsidR="00042107">
              <w:rPr>
                <w:rFonts w:ascii="Arial" w:eastAsia="Arial" w:hAnsi="Arial" w:cs="Arial"/>
                <w:sz w:val="22"/>
                <w:szCs w:val="22"/>
              </w:rPr>
              <w:t xml:space="preserve">               </w:t>
            </w:r>
          </w:p>
        </w:tc>
        <w:tc>
          <w:tcPr>
            <w:tcW w:w="6237" w:type="dxa"/>
          </w:tcPr>
          <w:p w14:paraId="54C2A88E" w14:textId="00B98E30" w:rsidR="00E27BDF" w:rsidRPr="007A6367" w:rsidRDefault="006C0DA8" w:rsidP="003D5501">
            <w:pPr>
              <w:spacing w:before="60"/>
              <w:rPr>
                <w:rFonts w:ascii="Arial" w:eastAsia="Arial" w:hAnsi="Arial" w:cs="Arial"/>
                <w:sz w:val="22"/>
                <w:szCs w:val="22"/>
              </w:rPr>
            </w:pPr>
            <w:r w:rsidRPr="007A6367">
              <w:rPr>
                <w:rFonts w:ascii="Arial" w:eastAsia="Arial" w:hAnsi="Arial" w:cs="Arial"/>
                <w:sz w:val="22"/>
                <w:szCs w:val="22"/>
              </w:rPr>
              <w:t xml:space="preserve">Respuesta a consulta # </w:t>
            </w:r>
            <w:r w:rsidR="00FA74D2" w:rsidRPr="00FA74D2">
              <w:rPr>
                <w:rFonts w:ascii="Arial" w:eastAsia="Arial" w:hAnsi="Arial" w:cs="Arial"/>
                <w:sz w:val="22"/>
                <w:szCs w:val="22"/>
              </w:rPr>
              <w:t>4202013000009263</w:t>
            </w:r>
          </w:p>
          <w:p w14:paraId="4AC93078" w14:textId="77777777" w:rsidR="00E27BDF" w:rsidRPr="007A6367" w:rsidRDefault="00E27BDF">
            <w:pPr>
              <w:spacing w:before="60"/>
              <w:jc w:val="both"/>
              <w:rPr>
                <w:rFonts w:ascii="Arial" w:eastAsia="Arial" w:hAnsi="Arial" w:cs="Arial"/>
                <w:sz w:val="22"/>
                <w:szCs w:val="22"/>
              </w:rPr>
            </w:pPr>
          </w:p>
        </w:tc>
      </w:tr>
    </w:tbl>
    <w:p w14:paraId="18896E2E" w14:textId="77777777" w:rsidR="00E27BDF" w:rsidRPr="007A6367" w:rsidRDefault="00E27BDF">
      <w:pPr>
        <w:jc w:val="both"/>
        <w:rPr>
          <w:rFonts w:ascii="Arial" w:eastAsia="Arial" w:hAnsi="Arial" w:cs="Arial"/>
          <w:sz w:val="22"/>
          <w:szCs w:val="22"/>
        </w:rPr>
      </w:pPr>
    </w:p>
    <w:p w14:paraId="6B54A5C9" w14:textId="14874A01" w:rsidR="00E27BDF" w:rsidRPr="007A6367" w:rsidRDefault="006C0DA8">
      <w:pPr>
        <w:rPr>
          <w:rFonts w:ascii="Arial" w:eastAsia="Arial" w:hAnsi="Arial" w:cs="Arial"/>
          <w:sz w:val="22"/>
          <w:szCs w:val="22"/>
        </w:rPr>
      </w:pPr>
      <w:r w:rsidRPr="007A6367">
        <w:rPr>
          <w:rFonts w:ascii="Arial" w:eastAsia="Arial" w:hAnsi="Arial" w:cs="Arial"/>
          <w:sz w:val="22"/>
          <w:szCs w:val="22"/>
        </w:rPr>
        <w:t>Estimad</w:t>
      </w:r>
      <w:r w:rsidR="00717570" w:rsidRPr="007A6367">
        <w:rPr>
          <w:rFonts w:ascii="Arial" w:eastAsia="Arial" w:hAnsi="Arial" w:cs="Arial"/>
          <w:sz w:val="22"/>
          <w:szCs w:val="22"/>
        </w:rPr>
        <w:t>a</w:t>
      </w:r>
      <w:r w:rsidRPr="007A6367">
        <w:rPr>
          <w:rFonts w:ascii="Arial" w:eastAsia="Arial" w:hAnsi="Arial" w:cs="Arial"/>
          <w:sz w:val="22"/>
          <w:szCs w:val="22"/>
        </w:rPr>
        <w:t xml:space="preserve"> señor</w:t>
      </w:r>
      <w:r w:rsidR="00CE148F">
        <w:rPr>
          <w:rFonts w:ascii="Arial" w:eastAsia="Arial" w:hAnsi="Arial" w:cs="Arial"/>
          <w:sz w:val="22"/>
          <w:szCs w:val="22"/>
        </w:rPr>
        <w:t>a Padilla</w:t>
      </w:r>
      <w:r w:rsidRPr="007A6367">
        <w:rPr>
          <w:rFonts w:ascii="Arial" w:eastAsia="Arial" w:hAnsi="Arial" w:cs="Arial"/>
          <w:sz w:val="22"/>
          <w:szCs w:val="22"/>
        </w:rPr>
        <w:t>:</w:t>
      </w:r>
    </w:p>
    <w:p w14:paraId="29691060" w14:textId="77777777" w:rsidR="00E27BDF" w:rsidRPr="007A6367" w:rsidRDefault="00E27BDF">
      <w:pPr>
        <w:rPr>
          <w:rFonts w:ascii="Arial" w:eastAsia="Arial" w:hAnsi="Arial" w:cs="Arial"/>
          <w:sz w:val="22"/>
          <w:szCs w:val="22"/>
        </w:rPr>
      </w:pPr>
    </w:p>
    <w:p w14:paraId="3EA5EC32" w14:textId="4DA53EF8" w:rsidR="00E27BDF" w:rsidRPr="007A6367" w:rsidRDefault="006C0DA8">
      <w:pPr>
        <w:spacing w:line="276" w:lineRule="auto"/>
        <w:jc w:val="both"/>
        <w:rPr>
          <w:rFonts w:ascii="Arial" w:eastAsia="Arial" w:hAnsi="Arial" w:cs="Arial"/>
          <w:sz w:val="22"/>
          <w:szCs w:val="22"/>
        </w:rPr>
      </w:pPr>
      <w:r w:rsidRPr="007A6367">
        <w:rPr>
          <w:rFonts w:ascii="Arial" w:eastAsia="Arial" w:hAnsi="Arial" w:cs="Arial"/>
          <w:sz w:val="22"/>
          <w:szCs w:val="22"/>
        </w:rPr>
        <w:t>En ejercicio de la competencia otorgada por los artículos 11, numeral 8º, y 3º, numeral 5º, del Decreto Ley 4170 de 2011, la Agencia Nacional de Contratación Pública</w:t>
      </w:r>
      <w:r w:rsidR="00E95ACC">
        <w:rPr>
          <w:rFonts w:ascii="Arial" w:eastAsia="Arial" w:hAnsi="Arial" w:cs="Arial"/>
          <w:sz w:val="22"/>
          <w:szCs w:val="22"/>
        </w:rPr>
        <w:t xml:space="preserve"> – </w:t>
      </w:r>
      <w:r w:rsidRPr="007A6367">
        <w:rPr>
          <w:rFonts w:ascii="Arial" w:eastAsia="Arial" w:hAnsi="Arial" w:cs="Arial"/>
          <w:sz w:val="22"/>
          <w:szCs w:val="22"/>
        </w:rPr>
        <w:t xml:space="preserve">Colombia Compra Eficiente responde su consulta del </w:t>
      </w:r>
      <w:r w:rsidR="00FA74D2">
        <w:rPr>
          <w:rFonts w:ascii="Arial" w:eastAsia="Arial" w:hAnsi="Arial" w:cs="Arial"/>
          <w:sz w:val="22"/>
          <w:szCs w:val="22"/>
        </w:rPr>
        <w:t>14 de octubre</w:t>
      </w:r>
      <w:r w:rsidRPr="007A6367">
        <w:rPr>
          <w:rFonts w:ascii="Arial" w:eastAsia="Arial" w:hAnsi="Arial" w:cs="Arial"/>
          <w:sz w:val="22"/>
          <w:szCs w:val="22"/>
        </w:rPr>
        <w:t xml:space="preserve"> de 2020. </w:t>
      </w:r>
    </w:p>
    <w:p w14:paraId="7E631247" w14:textId="77777777" w:rsidR="00E27BDF" w:rsidRPr="007A6367" w:rsidRDefault="00E27BDF">
      <w:pPr>
        <w:spacing w:line="276" w:lineRule="auto"/>
        <w:jc w:val="both"/>
        <w:rPr>
          <w:rFonts w:ascii="Arial" w:eastAsia="Arial" w:hAnsi="Arial" w:cs="Arial"/>
          <w:sz w:val="22"/>
          <w:szCs w:val="22"/>
        </w:rPr>
      </w:pPr>
    </w:p>
    <w:p w14:paraId="39C11F03" w14:textId="77777777" w:rsidR="00E27BDF" w:rsidRPr="007A6367" w:rsidRDefault="006C0DA8">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sidRPr="007A6367">
        <w:rPr>
          <w:rFonts w:ascii="Arial" w:eastAsia="Arial" w:hAnsi="Arial" w:cs="Arial"/>
          <w:b/>
          <w:sz w:val="22"/>
          <w:szCs w:val="22"/>
        </w:rPr>
        <w:t xml:space="preserve">Problemas planteados </w:t>
      </w:r>
    </w:p>
    <w:p w14:paraId="40CF7B40" w14:textId="77777777" w:rsidR="00E27BDF" w:rsidRPr="007A6367" w:rsidRDefault="00E27BDF">
      <w:pPr>
        <w:tabs>
          <w:tab w:val="left" w:pos="426"/>
        </w:tabs>
        <w:spacing w:line="276" w:lineRule="auto"/>
        <w:jc w:val="both"/>
        <w:rPr>
          <w:rFonts w:ascii="Arial" w:eastAsia="Arial" w:hAnsi="Arial" w:cs="Arial"/>
          <w:b/>
          <w:sz w:val="22"/>
          <w:szCs w:val="22"/>
        </w:rPr>
      </w:pPr>
    </w:p>
    <w:p w14:paraId="0BF6CDC0" w14:textId="0CE701FB" w:rsidR="00042107" w:rsidRDefault="00717570" w:rsidP="00E41855">
      <w:pPr>
        <w:spacing w:after="120" w:line="276" w:lineRule="auto"/>
        <w:jc w:val="both"/>
        <w:rPr>
          <w:rFonts w:ascii="Arial" w:eastAsia="Arial" w:hAnsi="Arial" w:cs="Arial"/>
          <w:sz w:val="22"/>
          <w:szCs w:val="22"/>
        </w:rPr>
      </w:pPr>
      <w:r w:rsidRPr="007A6367">
        <w:rPr>
          <w:rFonts w:ascii="Arial" w:eastAsia="Arial" w:hAnsi="Arial" w:cs="Arial"/>
          <w:sz w:val="22"/>
          <w:szCs w:val="22"/>
        </w:rPr>
        <w:t xml:space="preserve">Usted </w:t>
      </w:r>
      <w:r w:rsidR="00E95ACC">
        <w:rPr>
          <w:rFonts w:ascii="Arial" w:eastAsia="Arial" w:hAnsi="Arial" w:cs="Arial"/>
          <w:sz w:val="22"/>
          <w:szCs w:val="22"/>
        </w:rPr>
        <w:t>realiza</w:t>
      </w:r>
      <w:r w:rsidR="00E95ACC" w:rsidRPr="007A6367">
        <w:rPr>
          <w:rFonts w:ascii="Arial" w:eastAsia="Arial" w:hAnsi="Arial" w:cs="Arial"/>
          <w:sz w:val="22"/>
          <w:szCs w:val="22"/>
        </w:rPr>
        <w:t xml:space="preserve"> </w:t>
      </w:r>
      <w:r w:rsidRPr="007A6367">
        <w:rPr>
          <w:rFonts w:ascii="Arial" w:eastAsia="Arial" w:hAnsi="Arial" w:cs="Arial"/>
          <w:sz w:val="22"/>
          <w:szCs w:val="22"/>
        </w:rPr>
        <w:t xml:space="preserve">las siguientes </w:t>
      </w:r>
      <w:r w:rsidR="00E95ACC">
        <w:rPr>
          <w:rFonts w:ascii="Arial" w:eastAsia="Arial" w:hAnsi="Arial" w:cs="Arial"/>
          <w:sz w:val="22"/>
          <w:szCs w:val="22"/>
        </w:rPr>
        <w:t>preguntas</w:t>
      </w:r>
      <w:r w:rsidRPr="007A6367">
        <w:rPr>
          <w:rFonts w:ascii="Arial" w:eastAsia="Arial" w:hAnsi="Arial" w:cs="Arial"/>
          <w:sz w:val="22"/>
          <w:szCs w:val="22"/>
        </w:rPr>
        <w:t xml:space="preserve">, </w:t>
      </w:r>
      <w:r w:rsidR="00005D92">
        <w:rPr>
          <w:rFonts w:ascii="Arial" w:eastAsia="Arial" w:hAnsi="Arial" w:cs="Arial"/>
          <w:sz w:val="22"/>
          <w:szCs w:val="22"/>
        </w:rPr>
        <w:t>i</w:t>
      </w:r>
      <w:r w:rsidR="006361EC">
        <w:rPr>
          <w:rFonts w:ascii="Arial" w:eastAsia="Arial" w:hAnsi="Arial" w:cs="Arial"/>
          <w:sz w:val="22"/>
          <w:szCs w:val="22"/>
        </w:rPr>
        <w:t>)</w:t>
      </w:r>
      <w:r w:rsidR="00005D92">
        <w:rPr>
          <w:rFonts w:ascii="Arial" w:eastAsia="Arial" w:hAnsi="Arial" w:cs="Arial"/>
          <w:sz w:val="22"/>
          <w:szCs w:val="22"/>
        </w:rPr>
        <w:t xml:space="preserve"> </w:t>
      </w:r>
      <w:r w:rsidR="006361EC">
        <w:rPr>
          <w:rFonts w:ascii="Arial" w:eastAsia="Arial" w:hAnsi="Arial" w:cs="Arial"/>
          <w:sz w:val="22"/>
          <w:szCs w:val="22"/>
        </w:rPr>
        <w:t>«</w:t>
      </w:r>
      <w:r w:rsidR="00005D92" w:rsidRPr="00005D92">
        <w:rPr>
          <w:rFonts w:ascii="Arial" w:eastAsia="Arial" w:hAnsi="Arial" w:cs="Arial"/>
          <w:sz w:val="22"/>
          <w:szCs w:val="22"/>
        </w:rPr>
        <w:t>¿Para que un bien o servicio pueda ser considerado de características técnicas uniformes y de común utilización debe ser demandado, solicitado, adquirido o contratado por más de una entidad estatal?</w:t>
      </w:r>
      <w:r w:rsidR="00370A21">
        <w:rPr>
          <w:rFonts w:ascii="Arial" w:eastAsia="Arial" w:hAnsi="Arial" w:cs="Arial"/>
          <w:sz w:val="22"/>
          <w:szCs w:val="22"/>
        </w:rPr>
        <w:t xml:space="preserve"> </w:t>
      </w:r>
    </w:p>
    <w:p w14:paraId="2E536BB5" w14:textId="0BC88EBA" w:rsidR="00042107" w:rsidRDefault="00042107" w:rsidP="00E41855">
      <w:pPr>
        <w:spacing w:after="120" w:line="276" w:lineRule="auto"/>
        <w:ind w:firstLine="720"/>
        <w:jc w:val="both"/>
        <w:rPr>
          <w:rFonts w:ascii="Arial" w:eastAsia="Arial" w:hAnsi="Arial" w:cs="Arial"/>
          <w:sz w:val="22"/>
          <w:szCs w:val="22"/>
        </w:rPr>
      </w:pPr>
      <w:proofErr w:type="gramStart"/>
      <w:r>
        <w:rPr>
          <w:rFonts w:ascii="Arial" w:eastAsia="Arial" w:hAnsi="Arial" w:cs="Arial"/>
          <w:sz w:val="22"/>
          <w:szCs w:val="22"/>
        </w:rPr>
        <w:t>»</w:t>
      </w:r>
      <w:r w:rsidRPr="00042107">
        <w:rPr>
          <w:rFonts w:ascii="Arial" w:eastAsia="Arial" w:hAnsi="Arial" w:cs="Arial"/>
          <w:sz w:val="22"/>
          <w:szCs w:val="22"/>
        </w:rPr>
        <w:t>En</w:t>
      </w:r>
      <w:proofErr w:type="gramEnd"/>
      <w:r>
        <w:rPr>
          <w:rFonts w:ascii="Arial" w:eastAsia="Arial" w:hAnsi="Arial" w:cs="Arial"/>
          <w:sz w:val="22"/>
          <w:szCs w:val="22"/>
        </w:rPr>
        <w:t xml:space="preserve"> </w:t>
      </w:r>
      <w:r w:rsidRPr="00042107">
        <w:rPr>
          <w:rFonts w:ascii="Arial" w:eastAsia="Arial" w:hAnsi="Arial" w:cs="Arial"/>
          <w:sz w:val="22"/>
          <w:szCs w:val="22"/>
        </w:rPr>
        <w:t>otras</w:t>
      </w:r>
      <w:r>
        <w:rPr>
          <w:rFonts w:ascii="Arial" w:eastAsia="Arial" w:hAnsi="Arial" w:cs="Arial"/>
          <w:sz w:val="22"/>
          <w:szCs w:val="22"/>
        </w:rPr>
        <w:t xml:space="preserve"> </w:t>
      </w:r>
      <w:r w:rsidRPr="00042107">
        <w:rPr>
          <w:rFonts w:ascii="Arial" w:eastAsia="Arial" w:hAnsi="Arial" w:cs="Arial"/>
          <w:sz w:val="22"/>
          <w:szCs w:val="22"/>
        </w:rPr>
        <w:t>palabras,</w:t>
      </w:r>
      <w:r>
        <w:rPr>
          <w:rFonts w:ascii="Arial" w:eastAsia="Arial" w:hAnsi="Arial" w:cs="Arial"/>
          <w:sz w:val="22"/>
          <w:szCs w:val="22"/>
        </w:rPr>
        <w:t xml:space="preserve"> </w:t>
      </w:r>
      <w:r w:rsidRPr="00042107">
        <w:rPr>
          <w:rFonts w:ascii="Arial" w:eastAsia="Arial" w:hAnsi="Arial" w:cs="Arial"/>
          <w:sz w:val="22"/>
          <w:szCs w:val="22"/>
        </w:rPr>
        <w:t>¿si</w:t>
      </w:r>
      <w:r>
        <w:rPr>
          <w:rFonts w:ascii="Arial" w:eastAsia="Arial" w:hAnsi="Arial" w:cs="Arial"/>
          <w:sz w:val="22"/>
          <w:szCs w:val="22"/>
        </w:rPr>
        <w:t xml:space="preserve"> </w:t>
      </w:r>
      <w:r w:rsidRPr="00042107">
        <w:rPr>
          <w:rFonts w:ascii="Arial" w:eastAsia="Arial" w:hAnsi="Arial" w:cs="Arial"/>
          <w:sz w:val="22"/>
          <w:szCs w:val="22"/>
        </w:rPr>
        <w:t>un</w:t>
      </w:r>
      <w:r>
        <w:rPr>
          <w:rFonts w:ascii="Arial" w:eastAsia="Arial" w:hAnsi="Arial" w:cs="Arial"/>
          <w:sz w:val="22"/>
          <w:szCs w:val="22"/>
        </w:rPr>
        <w:t xml:space="preserve"> </w:t>
      </w:r>
      <w:r w:rsidRPr="00042107">
        <w:rPr>
          <w:rFonts w:ascii="Arial" w:eastAsia="Arial" w:hAnsi="Arial" w:cs="Arial"/>
          <w:sz w:val="22"/>
          <w:szCs w:val="22"/>
        </w:rPr>
        <w:t>bien</w:t>
      </w:r>
      <w:r>
        <w:rPr>
          <w:rFonts w:ascii="Arial" w:eastAsia="Arial" w:hAnsi="Arial" w:cs="Arial"/>
          <w:sz w:val="22"/>
          <w:szCs w:val="22"/>
        </w:rPr>
        <w:t xml:space="preserve"> </w:t>
      </w:r>
      <w:r w:rsidRPr="00042107">
        <w:rPr>
          <w:rFonts w:ascii="Arial" w:eastAsia="Arial" w:hAnsi="Arial" w:cs="Arial"/>
          <w:sz w:val="22"/>
          <w:szCs w:val="22"/>
        </w:rPr>
        <w:t>o</w:t>
      </w:r>
      <w:r>
        <w:rPr>
          <w:rFonts w:ascii="Arial" w:eastAsia="Arial" w:hAnsi="Arial" w:cs="Arial"/>
          <w:sz w:val="22"/>
          <w:szCs w:val="22"/>
        </w:rPr>
        <w:t xml:space="preserve"> </w:t>
      </w:r>
      <w:r w:rsidRPr="00042107">
        <w:rPr>
          <w:rFonts w:ascii="Arial" w:eastAsia="Arial" w:hAnsi="Arial" w:cs="Arial"/>
          <w:sz w:val="22"/>
          <w:szCs w:val="22"/>
        </w:rPr>
        <w:t>servicio</w:t>
      </w:r>
      <w:r>
        <w:rPr>
          <w:rFonts w:ascii="Arial" w:eastAsia="Arial" w:hAnsi="Arial" w:cs="Arial"/>
          <w:sz w:val="22"/>
          <w:szCs w:val="22"/>
        </w:rPr>
        <w:t xml:space="preserve"> </w:t>
      </w:r>
      <w:r w:rsidRPr="00042107">
        <w:rPr>
          <w:rFonts w:ascii="Arial" w:eastAsia="Arial" w:hAnsi="Arial" w:cs="Arial"/>
          <w:sz w:val="22"/>
          <w:szCs w:val="22"/>
        </w:rPr>
        <w:t>que</w:t>
      </w:r>
      <w:r>
        <w:rPr>
          <w:rFonts w:ascii="Arial" w:eastAsia="Arial" w:hAnsi="Arial" w:cs="Arial"/>
          <w:sz w:val="22"/>
          <w:szCs w:val="22"/>
        </w:rPr>
        <w:t xml:space="preserve"> </w:t>
      </w:r>
      <w:r w:rsidRPr="00042107">
        <w:rPr>
          <w:rFonts w:ascii="Arial" w:eastAsia="Arial" w:hAnsi="Arial" w:cs="Arial"/>
          <w:sz w:val="22"/>
          <w:szCs w:val="22"/>
        </w:rPr>
        <w:t>se</w:t>
      </w:r>
      <w:r>
        <w:rPr>
          <w:rFonts w:ascii="Arial" w:eastAsia="Arial" w:hAnsi="Arial" w:cs="Arial"/>
          <w:sz w:val="22"/>
          <w:szCs w:val="22"/>
        </w:rPr>
        <w:t xml:space="preserve"> </w:t>
      </w:r>
      <w:r w:rsidRPr="00042107">
        <w:rPr>
          <w:rFonts w:ascii="Arial" w:eastAsia="Arial" w:hAnsi="Arial" w:cs="Arial"/>
          <w:sz w:val="22"/>
          <w:szCs w:val="22"/>
        </w:rPr>
        <w:t>puede</w:t>
      </w:r>
      <w:r>
        <w:rPr>
          <w:rFonts w:ascii="Arial" w:eastAsia="Arial" w:hAnsi="Arial" w:cs="Arial"/>
          <w:sz w:val="22"/>
          <w:szCs w:val="22"/>
        </w:rPr>
        <w:t xml:space="preserve"> </w:t>
      </w:r>
      <w:r w:rsidRPr="00042107">
        <w:rPr>
          <w:rFonts w:ascii="Arial" w:eastAsia="Arial" w:hAnsi="Arial" w:cs="Arial"/>
          <w:sz w:val="22"/>
          <w:szCs w:val="22"/>
        </w:rPr>
        <w:t>enmarcar</w:t>
      </w:r>
      <w:r>
        <w:rPr>
          <w:rFonts w:ascii="Arial" w:eastAsia="Arial" w:hAnsi="Arial" w:cs="Arial"/>
          <w:sz w:val="22"/>
          <w:szCs w:val="22"/>
        </w:rPr>
        <w:t xml:space="preserve"> </w:t>
      </w:r>
      <w:r w:rsidRPr="00042107">
        <w:rPr>
          <w:rFonts w:ascii="Arial" w:eastAsia="Arial" w:hAnsi="Arial" w:cs="Arial"/>
          <w:sz w:val="22"/>
          <w:szCs w:val="22"/>
        </w:rPr>
        <w:t>dentro</w:t>
      </w:r>
      <w:r>
        <w:rPr>
          <w:rFonts w:ascii="Arial" w:eastAsia="Arial" w:hAnsi="Arial" w:cs="Arial"/>
          <w:sz w:val="22"/>
          <w:szCs w:val="22"/>
        </w:rPr>
        <w:t xml:space="preserve"> </w:t>
      </w:r>
      <w:r w:rsidRPr="00042107">
        <w:rPr>
          <w:rFonts w:ascii="Arial" w:eastAsia="Arial" w:hAnsi="Arial" w:cs="Arial"/>
          <w:sz w:val="22"/>
          <w:szCs w:val="22"/>
        </w:rPr>
        <w:t>del concepto</w:t>
      </w:r>
      <w:r>
        <w:rPr>
          <w:rFonts w:ascii="Arial" w:eastAsia="Arial" w:hAnsi="Arial" w:cs="Arial"/>
          <w:sz w:val="22"/>
          <w:szCs w:val="22"/>
        </w:rPr>
        <w:t xml:space="preserve"> </w:t>
      </w:r>
      <w:r w:rsidRPr="00042107">
        <w:rPr>
          <w:rFonts w:ascii="Arial" w:eastAsia="Arial" w:hAnsi="Arial" w:cs="Arial"/>
          <w:sz w:val="22"/>
          <w:szCs w:val="22"/>
        </w:rPr>
        <w:t>de</w:t>
      </w:r>
      <w:r>
        <w:rPr>
          <w:rFonts w:ascii="Arial" w:eastAsia="Arial" w:hAnsi="Arial" w:cs="Arial"/>
          <w:sz w:val="22"/>
          <w:szCs w:val="22"/>
        </w:rPr>
        <w:t xml:space="preserve"> </w:t>
      </w:r>
      <w:r w:rsidRPr="00042107">
        <w:rPr>
          <w:rFonts w:ascii="Arial" w:eastAsia="Arial" w:hAnsi="Arial" w:cs="Arial"/>
          <w:sz w:val="22"/>
          <w:szCs w:val="22"/>
        </w:rPr>
        <w:t>“condiciones</w:t>
      </w:r>
      <w:r>
        <w:rPr>
          <w:rFonts w:ascii="Arial" w:eastAsia="Arial" w:hAnsi="Arial" w:cs="Arial"/>
          <w:sz w:val="22"/>
          <w:szCs w:val="22"/>
        </w:rPr>
        <w:t xml:space="preserve"> </w:t>
      </w:r>
      <w:r w:rsidRPr="00042107">
        <w:rPr>
          <w:rFonts w:ascii="Arial" w:eastAsia="Arial" w:hAnsi="Arial" w:cs="Arial"/>
          <w:sz w:val="22"/>
          <w:szCs w:val="22"/>
        </w:rPr>
        <w:t>técnicas</w:t>
      </w:r>
      <w:r>
        <w:rPr>
          <w:rFonts w:ascii="Arial" w:eastAsia="Arial" w:hAnsi="Arial" w:cs="Arial"/>
          <w:sz w:val="22"/>
          <w:szCs w:val="22"/>
        </w:rPr>
        <w:t xml:space="preserve"> </w:t>
      </w:r>
      <w:r w:rsidRPr="00042107">
        <w:rPr>
          <w:rFonts w:ascii="Arial" w:eastAsia="Arial" w:hAnsi="Arial" w:cs="Arial"/>
          <w:sz w:val="22"/>
          <w:szCs w:val="22"/>
        </w:rPr>
        <w:t>uniformes</w:t>
      </w:r>
      <w:r>
        <w:rPr>
          <w:rFonts w:ascii="Arial" w:eastAsia="Arial" w:hAnsi="Arial" w:cs="Arial"/>
          <w:sz w:val="22"/>
          <w:szCs w:val="22"/>
        </w:rPr>
        <w:t xml:space="preserve"> </w:t>
      </w:r>
      <w:r w:rsidRPr="00042107">
        <w:rPr>
          <w:rFonts w:ascii="Arial" w:eastAsia="Arial" w:hAnsi="Arial" w:cs="Arial"/>
          <w:sz w:val="22"/>
          <w:szCs w:val="22"/>
        </w:rPr>
        <w:t>y</w:t>
      </w:r>
      <w:r>
        <w:rPr>
          <w:rFonts w:ascii="Arial" w:eastAsia="Arial" w:hAnsi="Arial" w:cs="Arial"/>
          <w:sz w:val="22"/>
          <w:szCs w:val="22"/>
        </w:rPr>
        <w:t xml:space="preserve"> </w:t>
      </w:r>
      <w:r w:rsidRPr="00042107">
        <w:rPr>
          <w:rFonts w:ascii="Arial" w:eastAsia="Arial" w:hAnsi="Arial" w:cs="Arial"/>
          <w:sz w:val="22"/>
          <w:szCs w:val="22"/>
        </w:rPr>
        <w:t>de</w:t>
      </w:r>
      <w:r>
        <w:rPr>
          <w:rFonts w:ascii="Arial" w:eastAsia="Arial" w:hAnsi="Arial" w:cs="Arial"/>
          <w:sz w:val="22"/>
          <w:szCs w:val="22"/>
        </w:rPr>
        <w:t xml:space="preserve"> </w:t>
      </w:r>
      <w:r w:rsidRPr="00042107">
        <w:rPr>
          <w:rFonts w:ascii="Arial" w:eastAsia="Arial" w:hAnsi="Arial" w:cs="Arial"/>
          <w:sz w:val="22"/>
          <w:szCs w:val="22"/>
        </w:rPr>
        <w:t>común</w:t>
      </w:r>
      <w:r>
        <w:rPr>
          <w:rFonts w:ascii="Arial" w:eastAsia="Arial" w:hAnsi="Arial" w:cs="Arial"/>
          <w:sz w:val="22"/>
          <w:szCs w:val="22"/>
        </w:rPr>
        <w:t xml:space="preserve"> </w:t>
      </w:r>
      <w:r w:rsidRPr="00042107">
        <w:rPr>
          <w:rFonts w:ascii="Arial" w:eastAsia="Arial" w:hAnsi="Arial" w:cs="Arial"/>
          <w:sz w:val="22"/>
          <w:szCs w:val="22"/>
        </w:rPr>
        <w:t>utilización”,</w:t>
      </w:r>
      <w:r>
        <w:rPr>
          <w:rFonts w:ascii="Arial" w:eastAsia="Arial" w:hAnsi="Arial" w:cs="Arial"/>
          <w:sz w:val="22"/>
          <w:szCs w:val="22"/>
        </w:rPr>
        <w:t xml:space="preserve"> </w:t>
      </w:r>
      <w:r w:rsidRPr="00042107">
        <w:rPr>
          <w:rFonts w:ascii="Arial" w:eastAsia="Arial" w:hAnsi="Arial" w:cs="Arial"/>
          <w:sz w:val="22"/>
          <w:szCs w:val="22"/>
        </w:rPr>
        <w:t>es recurrentemente contratado por una entidad estatal debido a su actividad misional, pero no así por otras entidades, se puede considerar como un bien o servicio de condiciones técnicas uniformes a la luz de lo dispuesto en el literal a) del numeral 2 del artículo 2 de la Ley 1150 de 2007?</w:t>
      </w:r>
      <w:r>
        <w:rPr>
          <w:rFonts w:ascii="Arial" w:eastAsia="Arial" w:hAnsi="Arial" w:cs="Arial"/>
          <w:sz w:val="22"/>
          <w:szCs w:val="22"/>
        </w:rPr>
        <w:t>»</w:t>
      </w:r>
    </w:p>
    <w:p w14:paraId="0D485815" w14:textId="1543A558" w:rsidR="00042107" w:rsidRDefault="00005D92" w:rsidP="00E41855">
      <w:pPr>
        <w:spacing w:after="120" w:line="276" w:lineRule="auto"/>
        <w:ind w:firstLine="720"/>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ii</w:t>
      </w:r>
      <w:proofErr w:type="spellEnd"/>
      <w:r w:rsidR="006361EC">
        <w:rPr>
          <w:rFonts w:ascii="Arial" w:eastAsia="Arial" w:hAnsi="Arial" w:cs="Arial"/>
          <w:sz w:val="22"/>
          <w:szCs w:val="22"/>
        </w:rPr>
        <w:t>)</w:t>
      </w:r>
      <w:r>
        <w:rPr>
          <w:rFonts w:ascii="Arial" w:eastAsia="Arial" w:hAnsi="Arial" w:cs="Arial"/>
          <w:sz w:val="22"/>
          <w:szCs w:val="22"/>
        </w:rPr>
        <w:t xml:space="preserve"> </w:t>
      </w:r>
      <w:r w:rsidR="006361EC">
        <w:rPr>
          <w:rFonts w:ascii="Arial" w:eastAsia="Arial" w:hAnsi="Arial" w:cs="Arial"/>
          <w:sz w:val="22"/>
          <w:szCs w:val="22"/>
        </w:rPr>
        <w:t>«</w:t>
      </w:r>
      <w:r w:rsidRPr="00005D92">
        <w:rPr>
          <w:rFonts w:ascii="Arial" w:eastAsia="Arial" w:hAnsi="Arial" w:cs="Arial"/>
          <w:sz w:val="22"/>
          <w:szCs w:val="22"/>
        </w:rPr>
        <w:t>¿Es jurídicamente viable que las especificaciones de calidad o técnicas en un</w:t>
      </w:r>
      <w:r>
        <w:rPr>
          <w:rFonts w:ascii="Arial" w:eastAsia="Arial" w:hAnsi="Arial" w:cs="Arial"/>
          <w:sz w:val="22"/>
          <w:szCs w:val="22"/>
        </w:rPr>
        <w:t xml:space="preserve"> </w:t>
      </w:r>
      <w:r w:rsidRPr="00005D92">
        <w:rPr>
          <w:rFonts w:ascii="Arial" w:eastAsia="Arial" w:hAnsi="Arial" w:cs="Arial"/>
          <w:sz w:val="22"/>
          <w:szCs w:val="22"/>
        </w:rPr>
        <w:t>proceso de subasta inversa sean incluidas como factores habilitantes?</w:t>
      </w:r>
      <w:r w:rsidR="006361EC">
        <w:rPr>
          <w:rFonts w:ascii="Arial" w:eastAsia="Arial" w:hAnsi="Arial" w:cs="Arial"/>
          <w:sz w:val="22"/>
          <w:szCs w:val="22"/>
        </w:rPr>
        <w:t>»</w:t>
      </w:r>
      <w:r w:rsidR="00042107">
        <w:rPr>
          <w:rFonts w:ascii="Arial" w:eastAsia="Arial" w:hAnsi="Arial" w:cs="Arial"/>
          <w:sz w:val="22"/>
          <w:szCs w:val="22"/>
        </w:rPr>
        <w:t>.</w:t>
      </w:r>
      <w:r>
        <w:rPr>
          <w:rFonts w:ascii="Arial" w:eastAsia="Arial" w:hAnsi="Arial" w:cs="Arial"/>
          <w:sz w:val="22"/>
          <w:szCs w:val="22"/>
        </w:rPr>
        <w:t xml:space="preserve"> </w:t>
      </w:r>
    </w:p>
    <w:p w14:paraId="693C3530" w14:textId="5F2AEC6C" w:rsidR="00717570" w:rsidRPr="007A6367" w:rsidRDefault="00005D92" w:rsidP="00E41855">
      <w:pPr>
        <w:spacing w:line="276" w:lineRule="auto"/>
        <w:ind w:firstLine="720"/>
        <w:jc w:val="both"/>
        <w:rPr>
          <w:rFonts w:ascii="Arial" w:eastAsia="Arial" w:hAnsi="Arial" w:cs="Arial"/>
          <w:sz w:val="22"/>
          <w:szCs w:val="22"/>
        </w:rPr>
      </w:pPr>
      <w:proofErr w:type="spellStart"/>
      <w:r>
        <w:rPr>
          <w:rFonts w:ascii="Arial" w:eastAsia="Arial" w:hAnsi="Arial" w:cs="Arial"/>
          <w:sz w:val="22"/>
          <w:szCs w:val="22"/>
        </w:rPr>
        <w:lastRenderedPageBreak/>
        <w:t>iii</w:t>
      </w:r>
      <w:proofErr w:type="spellEnd"/>
      <w:r w:rsidR="006361EC">
        <w:rPr>
          <w:rFonts w:ascii="Arial" w:eastAsia="Arial" w:hAnsi="Arial" w:cs="Arial"/>
          <w:sz w:val="22"/>
          <w:szCs w:val="22"/>
        </w:rPr>
        <w:t>)</w:t>
      </w:r>
      <w:r>
        <w:rPr>
          <w:rFonts w:ascii="Arial" w:eastAsia="Arial" w:hAnsi="Arial" w:cs="Arial"/>
          <w:sz w:val="22"/>
          <w:szCs w:val="22"/>
        </w:rPr>
        <w:t xml:space="preserve"> </w:t>
      </w:r>
      <w:r w:rsidR="006361EC">
        <w:rPr>
          <w:rFonts w:ascii="Arial" w:eastAsia="Arial" w:hAnsi="Arial" w:cs="Arial"/>
          <w:sz w:val="22"/>
          <w:szCs w:val="22"/>
        </w:rPr>
        <w:t>«</w:t>
      </w:r>
      <w:r w:rsidRPr="00005D92">
        <w:rPr>
          <w:rFonts w:ascii="Arial" w:eastAsia="Arial" w:hAnsi="Arial" w:cs="Arial"/>
          <w:sz w:val="22"/>
          <w:szCs w:val="22"/>
        </w:rPr>
        <w:t xml:space="preserve">¿Una entidad estatal, para efectos de construir tanto su estudio de mercado </w:t>
      </w:r>
      <w:r>
        <w:rPr>
          <w:rFonts w:ascii="Arial" w:eastAsia="Arial" w:hAnsi="Arial" w:cs="Arial"/>
          <w:sz w:val="22"/>
          <w:szCs w:val="22"/>
        </w:rPr>
        <w:t>como el</w:t>
      </w:r>
      <w:r w:rsidRPr="00005D92">
        <w:rPr>
          <w:rFonts w:ascii="Arial" w:eastAsia="Arial" w:hAnsi="Arial" w:cs="Arial"/>
          <w:sz w:val="22"/>
          <w:szCs w:val="22"/>
        </w:rPr>
        <w:t xml:space="preserve"> presupuesto del proceso de selección, puede/debe tomar como referencia el</w:t>
      </w:r>
      <w:r>
        <w:rPr>
          <w:rFonts w:ascii="Arial" w:eastAsia="Arial" w:hAnsi="Arial" w:cs="Arial"/>
          <w:sz w:val="22"/>
          <w:szCs w:val="22"/>
        </w:rPr>
        <w:t xml:space="preserve"> </w:t>
      </w:r>
      <w:r w:rsidRPr="00005D92">
        <w:rPr>
          <w:rFonts w:ascii="Arial" w:eastAsia="Arial" w:hAnsi="Arial" w:cs="Arial"/>
          <w:sz w:val="22"/>
          <w:szCs w:val="22"/>
        </w:rPr>
        <w:t>precio pagado en un contrato de iguales características en cuanto a su objeto que</w:t>
      </w:r>
      <w:r w:rsidRPr="00005D92">
        <w:rPr>
          <w:sz w:val="22"/>
          <w:szCs w:val="22"/>
        </w:rPr>
        <w:t xml:space="preserve"> </w:t>
      </w:r>
      <w:r w:rsidRPr="00005D92">
        <w:rPr>
          <w:rFonts w:ascii="Arial" w:eastAsia="Arial" w:hAnsi="Arial" w:cs="Arial"/>
          <w:sz w:val="22"/>
          <w:szCs w:val="22"/>
        </w:rPr>
        <w:t>hubiese celebrado con anterioridad con independencia de si este tuvo como origen una licitación o una subasta inversa?</w:t>
      </w:r>
      <w:r w:rsidR="00717570" w:rsidRPr="007A6367">
        <w:rPr>
          <w:rFonts w:ascii="Arial" w:eastAsia="Arial" w:hAnsi="Arial" w:cs="Arial"/>
          <w:sz w:val="22"/>
          <w:szCs w:val="22"/>
        </w:rPr>
        <w:t>»</w:t>
      </w:r>
    </w:p>
    <w:p w14:paraId="1AB71AEC" w14:textId="543890C5" w:rsidR="00E27BDF" w:rsidRPr="007A6367" w:rsidRDefault="00E27BDF">
      <w:pPr>
        <w:jc w:val="both"/>
        <w:rPr>
          <w:rFonts w:ascii="Arial" w:eastAsia="Arial" w:hAnsi="Arial" w:cs="Arial"/>
          <w:sz w:val="22"/>
          <w:szCs w:val="22"/>
        </w:rPr>
      </w:pPr>
    </w:p>
    <w:p w14:paraId="7D90835B" w14:textId="77777777" w:rsidR="00E27BDF" w:rsidRPr="007A6367" w:rsidRDefault="006C0DA8">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sidRPr="007A6367">
        <w:rPr>
          <w:rFonts w:ascii="Arial" w:eastAsia="Arial" w:hAnsi="Arial" w:cs="Arial"/>
          <w:b/>
          <w:sz w:val="22"/>
          <w:szCs w:val="22"/>
        </w:rPr>
        <w:t>Consideraciones</w:t>
      </w:r>
    </w:p>
    <w:p w14:paraId="2C0C4008" w14:textId="503900AD" w:rsidR="00E27BDF" w:rsidRDefault="00E27BDF">
      <w:pPr>
        <w:spacing w:line="276" w:lineRule="auto"/>
        <w:jc w:val="both"/>
        <w:rPr>
          <w:rFonts w:ascii="Arial" w:eastAsia="Arial" w:hAnsi="Arial" w:cs="Arial"/>
          <w:sz w:val="22"/>
          <w:szCs w:val="22"/>
        </w:rPr>
      </w:pPr>
    </w:p>
    <w:p w14:paraId="35DBD393" w14:textId="0FCE73C8" w:rsidR="00F96EA1" w:rsidRDefault="00F96EA1">
      <w:pPr>
        <w:spacing w:line="276" w:lineRule="auto"/>
        <w:jc w:val="both"/>
        <w:rPr>
          <w:rFonts w:ascii="Arial" w:eastAsia="Arial" w:hAnsi="Arial" w:cs="Arial"/>
          <w:sz w:val="22"/>
          <w:szCs w:val="22"/>
        </w:rPr>
      </w:pPr>
      <w:r>
        <w:rPr>
          <w:rFonts w:ascii="Arial" w:eastAsia="Arial" w:hAnsi="Arial" w:cs="Arial"/>
          <w:sz w:val="22"/>
          <w:szCs w:val="22"/>
        </w:rPr>
        <w:t>Para responder las preguntas de la peticionara se analizarán los siguientes temas: i) los b</w:t>
      </w:r>
      <w:r w:rsidRPr="00F96EA1">
        <w:rPr>
          <w:rFonts w:ascii="Arial" w:eastAsia="Arial" w:hAnsi="Arial" w:cs="Arial"/>
          <w:sz w:val="22"/>
          <w:szCs w:val="22"/>
        </w:rPr>
        <w:t>ienes o servicios de características técnicas uniformes</w:t>
      </w:r>
      <w:r>
        <w:rPr>
          <w:rFonts w:ascii="Arial" w:eastAsia="Arial" w:hAnsi="Arial" w:cs="Arial"/>
          <w:sz w:val="22"/>
          <w:szCs w:val="22"/>
        </w:rPr>
        <w:t xml:space="preserve">; </w:t>
      </w:r>
      <w:proofErr w:type="spellStart"/>
      <w:r>
        <w:rPr>
          <w:rFonts w:ascii="Arial" w:eastAsia="Arial" w:hAnsi="Arial" w:cs="Arial"/>
          <w:sz w:val="22"/>
          <w:szCs w:val="22"/>
        </w:rPr>
        <w:t>ii</w:t>
      </w:r>
      <w:proofErr w:type="spellEnd"/>
      <w:r>
        <w:rPr>
          <w:rFonts w:ascii="Arial" w:eastAsia="Arial" w:hAnsi="Arial" w:cs="Arial"/>
          <w:sz w:val="22"/>
          <w:szCs w:val="22"/>
        </w:rPr>
        <w:t>) el c</w:t>
      </w:r>
      <w:r w:rsidRPr="00F96EA1">
        <w:rPr>
          <w:rFonts w:ascii="Arial" w:eastAsia="Arial" w:hAnsi="Arial" w:cs="Arial"/>
          <w:sz w:val="22"/>
          <w:szCs w:val="22"/>
        </w:rPr>
        <w:t>arácter enunciativo de los requisitos habilitantes del artículo 5 de la Ley 1150 de 2007</w:t>
      </w:r>
      <w:r>
        <w:rPr>
          <w:rFonts w:ascii="Arial" w:eastAsia="Arial" w:hAnsi="Arial" w:cs="Arial"/>
          <w:sz w:val="22"/>
          <w:szCs w:val="22"/>
        </w:rPr>
        <w:t xml:space="preserve">, donde se estudiará la </w:t>
      </w:r>
      <w:r w:rsidRPr="00F96EA1">
        <w:rPr>
          <w:rFonts w:ascii="Arial" w:eastAsia="Arial" w:hAnsi="Arial" w:cs="Arial"/>
          <w:sz w:val="22"/>
          <w:szCs w:val="22"/>
        </w:rPr>
        <w:t xml:space="preserve">exigencia de la </w:t>
      </w:r>
      <w:r>
        <w:rPr>
          <w:rFonts w:ascii="Arial" w:eastAsia="Arial" w:hAnsi="Arial" w:cs="Arial"/>
          <w:sz w:val="22"/>
          <w:szCs w:val="22"/>
        </w:rPr>
        <w:t>«</w:t>
      </w:r>
      <w:r w:rsidRPr="00F96EA1">
        <w:rPr>
          <w:rFonts w:ascii="Arial" w:eastAsia="Arial" w:hAnsi="Arial" w:cs="Arial"/>
          <w:sz w:val="22"/>
          <w:szCs w:val="22"/>
        </w:rPr>
        <w:t>ficha técnica</w:t>
      </w:r>
      <w:r>
        <w:rPr>
          <w:rFonts w:ascii="Arial" w:eastAsia="Arial" w:hAnsi="Arial" w:cs="Arial"/>
          <w:sz w:val="22"/>
          <w:szCs w:val="22"/>
        </w:rPr>
        <w:t xml:space="preserve">»; y </w:t>
      </w:r>
      <w:proofErr w:type="spellStart"/>
      <w:r>
        <w:rPr>
          <w:rFonts w:ascii="Arial" w:eastAsia="Arial" w:hAnsi="Arial" w:cs="Arial"/>
          <w:sz w:val="22"/>
          <w:szCs w:val="22"/>
        </w:rPr>
        <w:t>iii</w:t>
      </w:r>
      <w:proofErr w:type="spellEnd"/>
      <w:r>
        <w:rPr>
          <w:rFonts w:ascii="Arial" w:eastAsia="Arial" w:hAnsi="Arial" w:cs="Arial"/>
          <w:sz w:val="22"/>
          <w:szCs w:val="22"/>
        </w:rPr>
        <w:t>) el a</w:t>
      </w:r>
      <w:r w:rsidRPr="00E41855">
        <w:rPr>
          <w:rFonts w:ascii="Arial" w:eastAsia="Arial" w:hAnsi="Arial" w:cs="Arial"/>
          <w:sz w:val="22"/>
          <w:szCs w:val="22"/>
        </w:rPr>
        <w:t>nálisis del sector</w:t>
      </w:r>
      <w:r>
        <w:rPr>
          <w:rFonts w:ascii="Arial" w:eastAsia="Arial" w:hAnsi="Arial" w:cs="Arial"/>
          <w:sz w:val="22"/>
          <w:szCs w:val="22"/>
        </w:rPr>
        <w:t>.</w:t>
      </w:r>
    </w:p>
    <w:p w14:paraId="25B2A242" w14:textId="77777777" w:rsidR="00F96EA1" w:rsidRDefault="00F96EA1">
      <w:pPr>
        <w:spacing w:line="276" w:lineRule="auto"/>
        <w:jc w:val="both"/>
        <w:rPr>
          <w:rFonts w:ascii="Arial" w:eastAsia="Arial" w:hAnsi="Arial" w:cs="Arial"/>
          <w:sz w:val="22"/>
          <w:szCs w:val="22"/>
        </w:rPr>
      </w:pPr>
    </w:p>
    <w:p w14:paraId="0D0B618B" w14:textId="4BC23CEB" w:rsidR="00883BD6" w:rsidRPr="00E41855" w:rsidRDefault="00883BD6">
      <w:pPr>
        <w:spacing w:line="276" w:lineRule="auto"/>
        <w:jc w:val="both"/>
        <w:rPr>
          <w:rFonts w:ascii="Arial" w:eastAsia="Arial" w:hAnsi="Arial" w:cs="Arial"/>
          <w:b/>
          <w:bCs/>
          <w:sz w:val="22"/>
          <w:szCs w:val="22"/>
        </w:rPr>
      </w:pPr>
      <w:r>
        <w:rPr>
          <w:rFonts w:ascii="Arial" w:eastAsia="Arial" w:hAnsi="Arial" w:cs="Arial"/>
          <w:b/>
          <w:bCs/>
          <w:sz w:val="22"/>
          <w:szCs w:val="22"/>
        </w:rPr>
        <w:t>2.1. Bienes o servicios de características técnicas uniformes</w:t>
      </w:r>
    </w:p>
    <w:p w14:paraId="54416E20" w14:textId="77777777" w:rsidR="00A441F2" w:rsidRDefault="00A441F2" w:rsidP="00522425">
      <w:pPr>
        <w:spacing w:line="276" w:lineRule="auto"/>
        <w:jc w:val="both"/>
        <w:rPr>
          <w:rFonts w:ascii="Arial" w:eastAsia="Arial" w:hAnsi="Arial" w:cs="Arial"/>
          <w:sz w:val="22"/>
          <w:szCs w:val="22"/>
          <w:lang w:val="es-ES" w:bidi="es-ES"/>
        </w:rPr>
      </w:pPr>
    </w:p>
    <w:p w14:paraId="15562485" w14:textId="711B7B42" w:rsidR="00A441F2" w:rsidRPr="00E41855" w:rsidRDefault="00A441F2" w:rsidP="00E41855">
      <w:pPr>
        <w:spacing w:after="120" w:line="276" w:lineRule="auto"/>
        <w:jc w:val="both"/>
        <w:rPr>
          <w:rFonts w:ascii="Arial" w:eastAsia="Arial" w:hAnsi="Arial" w:cs="Arial"/>
          <w:sz w:val="22"/>
          <w:szCs w:val="22"/>
          <w:lang w:val="es-ES" w:bidi="es-ES"/>
        </w:rPr>
      </w:pPr>
      <w:r>
        <w:rPr>
          <w:rFonts w:ascii="Arial" w:eastAsia="Arial" w:hAnsi="Arial" w:cs="Arial"/>
          <w:sz w:val="22"/>
          <w:szCs w:val="22"/>
          <w:lang w:val="es-ES" w:bidi="es-ES"/>
        </w:rPr>
        <w:t xml:space="preserve">La Agencia Nacional de Contratación Pública – Colombia Compra Eficiente en </w:t>
      </w:r>
      <w:r w:rsidR="00700A9C">
        <w:rPr>
          <w:rFonts w:ascii="Arial" w:eastAsia="Arial" w:hAnsi="Arial" w:cs="Arial"/>
          <w:sz w:val="22"/>
          <w:szCs w:val="22"/>
          <w:lang w:val="es-ES" w:bidi="es-ES"/>
        </w:rPr>
        <w:t>los</w:t>
      </w:r>
      <w:r>
        <w:rPr>
          <w:rFonts w:ascii="Arial" w:eastAsia="Arial" w:hAnsi="Arial" w:cs="Arial"/>
          <w:sz w:val="22"/>
          <w:szCs w:val="22"/>
          <w:lang w:val="es-ES" w:bidi="es-ES"/>
        </w:rPr>
        <w:t xml:space="preserve"> </w:t>
      </w:r>
      <w:r w:rsidR="00F902D0">
        <w:rPr>
          <w:rFonts w:ascii="Arial" w:eastAsia="Arial" w:hAnsi="Arial" w:cs="Arial"/>
          <w:sz w:val="22"/>
          <w:szCs w:val="22"/>
          <w:lang w:val="es-ES" w:bidi="es-ES"/>
        </w:rPr>
        <w:t>concepto</w:t>
      </w:r>
      <w:r w:rsidR="00700A9C">
        <w:rPr>
          <w:rFonts w:ascii="Arial" w:eastAsia="Arial" w:hAnsi="Arial" w:cs="Arial"/>
          <w:sz w:val="22"/>
          <w:szCs w:val="22"/>
          <w:lang w:val="es-ES" w:bidi="es-ES"/>
        </w:rPr>
        <w:t>s</w:t>
      </w:r>
      <w:r w:rsidR="00F902D0">
        <w:rPr>
          <w:rFonts w:ascii="Arial" w:eastAsia="Arial" w:hAnsi="Arial" w:cs="Arial"/>
          <w:sz w:val="22"/>
          <w:szCs w:val="22"/>
          <w:lang w:val="es-ES" w:bidi="es-ES"/>
        </w:rPr>
        <w:t xml:space="preserve"> con radicado </w:t>
      </w:r>
      <w:r w:rsidR="00F902D0" w:rsidRPr="00E41855">
        <w:rPr>
          <w:rFonts w:ascii="Arial" w:eastAsia="Arial" w:hAnsi="Arial" w:cs="Arial"/>
          <w:sz w:val="22"/>
          <w:szCs w:val="22"/>
          <w:lang w:val="es-ES" w:bidi="es-ES"/>
        </w:rPr>
        <w:t xml:space="preserve">2201913000008812 </w:t>
      </w:r>
      <w:r w:rsidR="0054163A" w:rsidRPr="00E41855">
        <w:rPr>
          <w:rFonts w:ascii="Arial" w:eastAsia="Arial" w:hAnsi="Arial" w:cs="Arial"/>
          <w:sz w:val="22"/>
          <w:szCs w:val="22"/>
          <w:lang w:val="es-ES" w:bidi="es-ES"/>
        </w:rPr>
        <w:t>del 28 de noviembre de 20</w:t>
      </w:r>
      <w:r w:rsidR="001E1D29" w:rsidRPr="00E41855">
        <w:rPr>
          <w:rFonts w:ascii="Arial" w:eastAsia="Arial" w:hAnsi="Arial" w:cs="Arial"/>
          <w:sz w:val="22"/>
          <w:szCs w:val="22"/>
          <w:lang w:val="es-ES" w:bidi="es-ES"/>
        </w:rPr>
        <w:t xml:space="preserve">19 </w:t>
      </w:r>
      <w:r w:rsidR="00C21944" w:rsidRPr="00E41855">
        <w:rPr>
          <w:rFonts w:ascii="Arial" w:eastAsia="Arial" w:hAnsi="Arial" w:cs="Arial"/>
          <w:sz w:val="22"/>
          <w:szCs w:val="22"/>
          <w:lang w:val="es-ES" w:bidi="es-ES"/>
        </w:rPr>
        <w:t xml:space="preserve">y 2201913000009600 del </w:t>
      </w:r>
      <w:r w:rsidR="00700A9C" w:rsidRPr="00E41855">
        <w:rPr>
          <w:rFonts w:ascii="Arial" w:eastAsia="Arial" w:hAnsi="Arial" w:cs="Arial"/>
          <w:sz w:val="22"/>
          <w:szCs w:val="22"/>
          <w:lang w:val="es-ES" w:bidi="es-ES"/>
        </w:rPr>
        <w:t xml:space="preserve">24 de diciembre de 2019 </w:t>
      </w:r>
      <w:r w:rsidR="00544DD0" w:rsidRPr="00E41855">
        <w:rPr>
          <w:rFonts w:ascii="Arial" w:eastAsia="Arial" w:hAnsi="Arial" w:cs="Arial"/>
          <w:sz w:val="22"/>
          <w:szCs w:val="22"/>
          <w:lang w:val="es-ES" w:bidi="es-ES"/>
        </w:rPr>
        <w:t>se pronunció respecto a los bienes y servicios de características técnicas uniformes</w:t>
      </w:r>
      <w:r w:rsidR="00700A9C">
        <w:rPr>
          <w:rFonts w:ascii="Arial" w:eastAsia="Arial" w:hAnsi="Arial" w:cs="Arial"/>
          <w:sz w:val="22"/>
          <w:szCs w:val="22"/>
          <w:lang w:val="es-ES" w:bidi="es-ES"/>
        </w:rPr>
        <w:t>, por lo que se reiteran, en lo pertinente, tales consideraciones.</w:t>
      </w:r>
      <w:r w:rsidR="001E1D29" w:rsidRPr="00E41855">
        <w:rPr>
          <w:rFonts w:ascii="Arial" w:eastAsia="Arial" w:hAnsi="Arial" w:cs="Arial"/>
          <w:sz w:val="22"/>
          <w:szCs w:val="22"/>
          <w:lang w:val="es-ES" w:bidi="es-ES"/>
        </w:rPr>
        <w:t xml:space="preserve"> </w:t>
      </w:r>
    </w:p>
    <w:p w14:paraId="0E9E6A39" w14:textId="0CBCC1B5" w:rsidR="00522425" w:rsidRPr="00522425" w:rsidRDefault="005714B7" w:rsidP="00E41855">
      <w:pPr>
        <w:spacing w:after="120"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E</w:t>
      </w:r>
      <w:r w:rsidR="00522425">
        <w:rPr>
          <w:rFonts w:ascii="Arial" w:eastAsia="Arial" w:hAnsi="Arial" w:cs="Arial"/>
          <w:sz w:val="22"/>
          <w:szCs w:val="22"/>
          <w:lang w:val="es-ES" w:bidi="es-ES"/>
        </w:rPr>
        <w:t>l</w:t>
      </w:r>
      <w:r w:rsidR="00522425" w:rsidRPr="00522425">
        <w:rPr>
          <w:rFonts w:ascii="Arial" w:eastAsia="Arial" w:hAnsi="Arial" w:cs="Arial"/>
          <w:sz w:val="22"/>
          <w:szCs w:val="22"/>
          <w:lang w:val="es-ES" w:bidi="es-ES"/>
        </w:rPr>
        <w:t xml:space="preserve"> numeral 2º del artículo 2º de la Ley 1150 de 2007 consagra la selección abreviada como una de las modalidades de selección de contratistas del Estado. El legislador dispuso</w:t>
      </w:r>
      <w:r w:rsidR="00CB3C3A">
        <w:rPr>
          <w:rFonts w:ascii="Arial" w:eastAsia="Arial" w:hAnsi="Arial" w:cs="Arial"/>
          <w:sz w:val="22"/>
          <w:szCs w:val="22"/>
          <w:lang w:val="es-ES" w:bidi="es-ES"/>
        </w:rPr>
        <w:t>,</w:t>
      </w:r>
      <w:r w:rsidR="00522425" w:rsidRPr="00522425">
        <w:rPr>
          <w:rFonts w:ascii="Arial" w:eastAsia="Arial" w:hAnsi="Arial" w:cs="Arial"/>
          <w:sz w:val="22"/>
          <w:szCs w:val="22"/>
          <w:lang w:val="es-ES" w:bidi="es-ES"/>
        </w:rPr>
        <w:t xml:space="preserve"> que la selección abreviada es un proceso que garantiza la eficiencia de la gestión contractual, en aquellos eventos en los que, por las características del objeto a contratar, las circunstancias de la contratación o la cuantía o destinación del bien, obra o servicio, se pueda adelantar procesos simplificados y eficientes.</w:t>
      </w:r>
    </w:p>
    <w:p w14:paraId="1E0CF7F7" w14:textId="77777777" w:rsidR="00522425" w:rsidRPr="00522425" w:rsidRDefault="00522425" w:rsidP="00522425">
      <w:pPr>
        <w:spacing w:line="276" w:lineRule="auto"/>
        <w:ind w:firstLine="720"/>
        <w:jc w:val="both"/>
        <w:rPr>
          <w:rFonts w:ascii="Arial" w:eastAsia="Arial" w:hAnsi="Arial" w:cs="Arial"/>
          <w:sz w:val="22"/>
          <w:szCs w:val="22"/>
          <w:lang w:val="es-ES" w:bidi="es-ES"/>
        </w:rPr>
      </w:pPr>
      <w:r w:rsidRPr="00522425">
        <w:rPr>
          <w:rFonts w:ascii="Arial" w:eastAsia="Arial" w:hAnsi="Arial" w:cs="Arial"/>
          <w:sz w:val="22"/>
          <w:szCs w:val="22"/>
          <w:lang w:val="es-ES" w:bidi="es-ES"/>
        </w:rPr>
        <w:t>Pues bien, por las características del objeto a contratar, la primera causal de selección abreviada es la contenida en el literal a) de la norma citada, que dispone lo siguiente:</w:t>
      </w:r>
    </w:p>
    <w:p w14:paraId="729172CE" w14:textId="77777777" w:rsidR="00522425" w:rsidRPr="00522425" w:rsidRDefault="00522425" w:rsidP="00522425">
      <w:pPr>
        <w:spacing w:line="276" w:lineRule="auto"/>
        <w:ind w:firstLine="720"/>
        <w:jc w:val="both"/>
        <w:rPr>
          <w:rFonts w:ascii="Arial" w:eastAsia="Arial" w:hAnsi="Arial" w:cs="Arial"/>
          <w:sz w:val="22"/>
          <w:szCs w:val="22"/>
          <w:lang w:val="es-ES" w:bidi="es-ES"/>
        </w:rPr>
      </w:pPr>
    </w:p>
    <w:p w14:paraId="50EE2BE4" w14:textId="77777777" w:rsidR="00522425" w:rsidRPr="00E41855" w:rsidRDefault="00522425" w:rsidP="00E41855">
      <w:pPr>
        <w:spacing w:after="120"/>
        <w:ind w:left="709" w:right="709"/>
        <w:jc w:val="both"/>
        <w:rPr>
          <w:rFonts w:ascii="Arial" w:eastAsia="Arial" w:hAnsi="Arial" w:cs="Arial"/>
          <w:sz w:val="21"/>
          <w:szCs w:val="21"/>
          <w:lang w:val="es-ES" w:bidi="es-ES"/>
        </w:rPr>
      </w:pPr>
      <w:r w:rsidRPr="00E41855">
        <w:rPr>
          <w:rFonts w:ascii="Arial" w:eastAsia="Arial" w:hAnsi="Arial" w:cs="Arial"/>
          <w:sz w:val="21"/>
          <w:szCs w:val="21"/>
          <w:lang w:val="es-ES" w:bidi="es-ES"/>
        </w:rPr>
        <w:t>Serán causales de selección abreviada las siguientes:</w:t>
      </w:r>
    </w:p>
    <w:p w14:paraId="6C551FFF" w14:textId="77777777" w:rsidR="00522425" w:rsidRPr="00E41855" w:rsidRDefault="00522425" w:rsidP="00E41855">
      <w:pPr>
        <w:ind w:left="709" w:right="709"/>
        <w:jc w:val="both"/>
        <w:rPr>
          <w:rFonts w:ascii="Arial" w:eastAsia="Arial" w:hAnsi="Arial" w:cs="Arial"/>
          <w:sz w:val="21"/>
          <w:szCs w:val="21"/>
          <w:lang w:val="es-ES" w:bidi="es-ES"/>
        </w:rPr>
      </w:pPr>
      <w:r w:rsidRPr="00E41855">
        <w:rPr>
          <w:rFonts w:ascii="Arial" w:eastAsia="Arial" w:hAnsi="Arial" w:cs="Arial"/>
          <w:sz w:val="21"/>
          <w:szCs w:val="21"/>
          <w:lang w:val="es-ES" w:bidi="es-ES"/>
        </w:rPr>
        <w:t xml:space="preserve">La adquisición o suministro de bienes y servicios de características técnicas uniformes y de común utilización por parte de las entidades, que </w:t>
      </w:r>
      <w:r w:rsidRPr="00E41855">
        <w:rPr>
          <w:rFonts w:ascii="Arial" w:eastAsia="Arial" w:hAnsi="Arial" w:cs="Arial"/>
          <w:i/>
          <w:iCs/>
          <w:sz w:val="21"/>
          <w:szCs w:val="21"/>
          <w:lang w:val="es-ES" w:bidi="es-ES"/>
        </w:rPr>
        <w:t>corresponden a aquellos que poseen las mismas especificaciones técnicas, con independencia de su diseño o de sus características descriptivas, y comparten patrones de desempeño y calidad objetivamente definidos</w:t>
      </w:r>
      <w:r w:rsidRPr="00E41855">
        <w:rPr>
          <w:rFonts w:ascii="Arial" w:eastAsia="Arial" w:hAnsi="Arial" w:cs="Arial"/>
          <w:sz w:val="21"/>
          <w:szCs w:val="21"/>
          <w:lang w:val="es-ES" w:bidi="es-ES"/>
        </w:rPr>
        <w:t>.</w:t>
      </w:r>
    </w:p>
    <w:p w14:paraId="18B96DB4" w14:textId="77777777" w:rsidR="00522425" w:rsidRPr="00522425" w:rsidRDefault="00522425" w:rsidP="00522425">
      <w:pPr>
        <w:spacing w:line="276" w:lineRule="auto"/>
        <w:ind w:firstLine="720"/>
        <w:jc w:val="both"/>
        <w:rPr>
          <w:rFonts w:ascii="Arial" w:eastAsia="Arial" w:hAnsi="Arial" w:cs="Arial"/>
          <w:sz w:val="22"/>
          <w:szCs w:val="22"/>
          <w:lang w:val="es-ES" w:bidi="es-ES"/>
        </w:rPr>
      </w:pPr>
    </w:p>
    <w:p w14:paraId="3523A9C4" w14:textId="4355FC9B" w:rsidR="009270DA" w:rsidRDefault="00522425" w:rsidP="00E41855">
      <w:pPr>
        <w:spacing w:after="120"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L</w:t>
      </w:r>
      <w:r w:rsidRPr="00522425">
        <w:rPr>
          <w:rFonts w:ascii="Arial" w:eastAsia="Arial" w:hAnsi="Arial" w:cs="Arial"/>
          <w:sz w:val="22"/>
          <w:szCs w:val="22"/>
          <w:lang w:val="es-ES" w:bidi="es-ES"/>
        </w:rPr>
        <w:t xml:space="preserve">a norma introdujo una categoría novedosa para el momento en que fue expedida la Ley 1150 de 2007: los bienes y servicios de características técnicas uniformes y de común utilización. </w:t>
      </w:r>
      <w:r w:rsidR="00E83C66">
        <w:rPr>
          <w:rFonts w:ascii="Arial" w:eastAsia="Arial" w:hAnsi="Arial" w:cs="Arial"/>
          <w:sz w:val="22"/>
          <w:szCs w:val="22"/>
          <w:lang w:val="es-ES" w:bidi="es-ES"/>
        </w:rPr>
        <w:t>De igual forma</w:t>
      </w:r>
      <w:r w:rsidRPr="00522425">
        <w:rPr>
          <w:rFonts w:ascii="Arial" w:eastAsia="Arial" w:hAnsi="Arial" w:cs="Arial"/>
          <w:sz w:val="22"/>
          <w:szCs w:val="22"/>
          <w:lang w:val="es-ES" w:bidi="es-ES"/>
        </w:rPr>
        <w:t xml:space="preserve">, la norma señaló que este tipo de bienes y servicios </w:t>
      </w:r>
      <w:r w:rsidR="00C21EAE">
        <w:rPr>
          <w:rFonts w:ascii="Arial" w:eastAsia="Arial" w:hAnsi="Arial" w:cs="Arial"/>
          <w:sz w:val="22"/>
          <w:szCs w:val="22"/>
          <w:lang w:val="es-ES" w:bidi="es-ES"/>
        </w:rPr>
        <w:t xml:space="preserve">se </w:t>
      </w:r>
      <w:r w:rsidR="00C21EAE">
        <w:rPr>
          <w:rFonts w:ascii="Arial" w:eastAsia="Arial" w:hAnsi="Arial" w:cs="Arial"/>
          <w:sz w:val="22"/>
          <w:szCs w:val="22"/>
          <w:lang w:val="es-ES" w:bidi="es-ES"/>
        </w:rPr>
        <w:lastRenderedPageBreak/>
        <w:t>podrían adquirir</w:t>
      </w:r>
      <w:r w:rsidRPr="00522425">
        <w:rPr>
          <w:rFonts w:ascii="Arial" w:eastAsia="Arial" w:hAnsi="Arial" w:cs="Arial"/>
          <w:sz w:val="22"/>
          <w:szCs w:val="22"/>
          <w:lang w:val="es-ES" w:bidi="es-ES"/>
        </w:rPr>
        <w:t xml:space="preserve"> a través de tres modalidades: i) subasta inversa; </w:t>
      </w:r>
      <w:proofErr w:type="spellStart"/>
      <w:r w:rsidRPr="00522425">
        <w:rPr>
          <w:rFonts w:ascii="Arial" w:eastAsia="Arial" w:hAnsi="Arial" w:cs="Arial"/>
          <w:sz w:val="22"/>
          <w:szCs w:val="22"/>
          <w:lang w:val="es-ES" w:bidi="es-ES"/>
        </w:rPr>
        <w:t>ii</w:t>
      </w:r>
      <w:proofErr w:type="spellEnd"/>
      <w:r w:rsidRPr="00522425">
        <w:rPr>
          <w:rFonts w:ascii="Arial" w:eastAsia="Arial" w:hAnsi="Arial" w:cs="Arial"/>
          <w:sz w:val="22"/>
          <w:szCs w:val="22"/>
          <w:lang w:val="es-ES" w:bidi="es-ES"/>
        </w:rPr>
        <w:t xml:space="preserve">) bolsas de productos e </w:t>
      </w:r>
      <w:proofErr w:type="spellStart"/>
      <w:r w:rsidRPr="00522425">
        <w:rPr>
          <w:rFonts w:ascii="Arial" w:eastAsia="Arial" w:hAnsi="Arial" w:cs="Arial"/>
          <w:sz w:val="22"/>
          <w:szCs w:val="22"/>
          <w:lang w:val="es-ES" w:bidi="es-ES"/>
        </w:rPr>
        <w:t>iii</w:t>
      </w:r>
      <w:proofErr w:type="spellEnd"/>
      <w:r w:rsidRPr="00522425">
        <w:rPr>
          <w:rFonts w:ascii="Arial" w:eastAsia="Arial" w:hAnsi="Arial" w:cs="Arial"/>
          <w:sz w:val="22"/>
          <w:szCs w:val="22"/>
          <w:lang w:val="es-ES" w:bidi="es-ES"/>
        </w:rPr>
        <w:t>) instrumentos de compra por catálogo derivados de acuerdos marco de precios.</w:t>
      </w:r>
    </w:p>
    <w:p w14:paraId="4790224C" w14:textId="77777777" w:rsidR="00176F12" w:rsidRDefault="00AD5482" w:rsidP="00856F9A">
      <w:pPr>
        <w:spacing w:after="120" w:line="276" w:lineRule="auto"/>
        <w:ind w:firstLine="720"/>
        <w:jc w:val="both"/>
        <w:rPr>
          <w:rFonts w:ascii="Arial" w:eastAsia="Arial" w:hAnsi="Arial" w:cs="Arial"/>
          <w:sz w:val="22"/>
          <w:szCs w:val="22"/>
          <w:lang w:val="es-ES" w:bidi="es-ES"/>
        </w:rPr>
      </w:pPr>
      <w:r w:rsidRPr="00C34506">
        <w:rPr>
          <w:rFonts w:ascii="Arial" w:eastAsia="Arial" w:hAnsi="Arial" w:cs="Arial"/>
          <w:sz w:val="22"/>
          <w:szCs w:val="22"/>
          <w:lang w:val="es-ES" w:bidi="es-ES"/>
        </w:rPr>
        <w:t>Como se advierte de la disposición citada, la Ley 1150 de 2007</w:t>
      </w:r>
      <w:r w:rsidR="00BF3262" w:rsidRPr="00C34506">
        <w:rPr>
          <w:rFonts w:ascii="Arial" w:eastAsia="Arial" w:hAnsi="Arial" w:cs="Arial"/>
          <w:sz w:val="22"/>
          <w:szCs w:val="22"/>
          <w:lang w:val="es-ES" w:bidi="es-ES"/>
        </w:rPr>
        <w:t xml:space="preserve"> –artículo 2, numeral 2, literal a)– </w:t>
      </w:r>
      <w:r w:rsidRPr="00C34506">
        <w:rPr>
          <w:rFonts w:ascii="Arial" w:eastAsia="Arial" w:hAnsi="Arial" w:cs="Arial"/>
          <w:sz w:val="22"/>
          <w:szCs w:val="22"/>
          <w:lang w:val="es-ES" w:bidi="es-ES"/>
        </w:rPr>
        <w:t xml:space="preserve">estableció que los bienes y servicios de características técnicas uniformes son aquellos </w:t>
      </w:r>
      <w:r w:rsidR="00BF3262" w:rsidRPr="00C34506">
        <w:rPr>
          <w:rFonts w:ascii="Arial" w:eastAsia="Arial" w:hAnsi="Arial" w:cs="Arial"/>
          <w:sz w:val="22"/>
          <w:szCs w:val="22"/>
          <w:lang w:val="es-ES" w:bidi="es-ES"/>
        </w:rPr>
        <w:t xml:space="preserve">que poseen las mismas especificaciones técnicas y comparten patrones de desempeño y calidad objetivamente definidas, con independencia </w:t>
      </w:r>
      <w:r w:rsidR="00176F12" w:rsidRPr="00C34506">
        <w:rPr>
          <w:rFonts w:ascii="Arial" w:eastAsia="Arial" w:hAnsi="Arial" w:cs="Arial"/>
          <w:sz w:val="22"/>
          <w:szCs w:val="22"/>
          <w:lang w:val="es-ES" w:bidi="es-ES"/>
        </w:rPr>
        <w:t>de su diseño o de sus características descriptivas</w:t>
      </w:r>
      <w:r w:rsidR="00BF3262" w:rsidRPr="00C34506">
        <w:rPr>
          <w:rFonts w:ascii="Arial" w:eastAsia="Arial" w:hAnsi="Arial" w:cs="Arial"/>
          <w:sz w:val="22"/>
          <w:szCs w:val="22"/>
          <w:lang w:val="es-ES" w:bidi="es-ES"/>
        </w:rPr>
        <w:t>.</w:t>
      </w:r>
    </w:p>
    <w:p w14:paraId="497398DF" w14:textId="3ED962C9" w:rsidR="00985CA0" w:rsidRDefault="00B701CD" w:rsidP="00E41855">
      <w:pPr>
        <w:spacing w:after="120"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 xml:space="preserve">En </w:t>
      </w:r>
      <w:r w:rsidR="00C34506">
        <w:rPr>
          <w:rFonts w:ascii="Arial" w:eastAsia="Arial" w:hAnsi="Arial" w:cs="Arial"/>
          <w:sz w:val="22"/>
          <w:szCs w:val="22"/>
          <w:lang w:val="es-ES" w:bidi="es-ES"/>
        </w:rPr>
        <w:t>armonía</w:t>
      </w:r>
      <w:r>
        <w:rPr>
          <w:rFonts w:ascii="Arial" w:eastAsia="Arial" w:hAnsi="Arial" w:cs="Arial"/>
          <w:sz w:val="22"/>
          <w:szCs w:val="22"/>
          <w:lang w:val="es-ES" w:bidi="es-ES"/>
        </w:rPr>
        <w:t xml:space="preserve"> </w:t>
      </w:r>
      <w:r w:rsidR="00C34506">
        <w:rPr>
          <w:rFonts w:ascii="Arial" w:eastAsia="Arial" w:hAnsi="Arial" w:cs="Arial"/>
          <w:sz w:val="22"/>
          <w:szCs w:val="22"/>
          <w:lang w:val="es-ES" w:bidi="es-ES"/>
        </w:rPr>
        <w:t>con</w:t>
      </w:r>
      <w:r>
        <w:rPr>
          <w:rFonts w:ascii="Arial" w:eastAsia="Arial" w:hAnsi="Arial" w:cs="Arial"/>
          <w:sz w:val="22"/>
          <w:szCs w:val="22"/>
          <w:lang w:val="es-ES" w:bidi="es-ES"/>
        </w:rPr>
        <w:t xml:space="preserve"> la disposición anterior, el </w:t>
      </w:r>
      <w:r w:rsidRPr="00522425">
        <w:rPr>
          <w:rFonts w:ascii="Arial" w:eastAsia="Arial" w:hAnsi="Arial" w:cs="Arial"/>
          <w:sz w:val="22"/>
          <w:szCs w:val="22"/>
          <w:lang w:val="es-ES" w:bidi="es-ES"/>
        </w:rPr>
        <w:t xml:space="preserve">artículo 2.2.1.1.1.3.1 del Decreto 1082 de 2015 </w:t>
      </w:r>
      <w:r>
        <w:rPr>
          <w:rFonts w:ascii="Arial" w:eastAsia="Arial" w:hAnsi="Arial" w:cs="Arial"/>
          <w:sz w:val="22"/>
          <w:szCs w:val="22"/>
          <w:lang w:val="es-ES" w:bidi="es-ES"/>
        </w:rPr>
        <w:t>desarrolló el</w:t>
      </w:r>
      <w:r w:rsidR="00C21EAE">
        <w:rPr>
          <w:rFonts w:ascii="Arial" w:eastAsia="Arial" w:hAnsi="Arial" w:cs="Arial"/>
          <w:sz w:val="22"/>
          <w:szCs w:val="22"/>
          <w:lang w:val="es-ES" w:bidi="es-ES"/>
        </w:rPr>
        <w:t xml:space="preserve"> concepto de </w:t>
      </w:r>
      <w:r w:rsidR="00EF448F">
        <w:rPr>
          <w:rFonts w:ascii="Arial" w:eastAsia="Arial" w:hAnsi="Arial" w:cs="Arial"/>
          <w:sz w:val="22"/>
          <w:szCs w:val="22"/>
          <w:lang w:val="es-ES" w:bidi="es-ES"/>
        </w:rPr>
        <w:t>«b</w:t>
      </w:r>
      <w:r w:rsidR="00EF448F" w:rsidRPr="00EF448F">
        <w:rPr>
          <w:rFonts w:ascii="Arial" w:eastAsia="Arial" w:hAnsi="Arial" w:cs="Arial"/>
          <w:sz w:val="22"/>
          <w:szCs w:val="22"/>
          <w:lang w:val="es-ES" w:bidi="es-ES"/>
        </w:rPr>
        <w:t xml:space="preserve">ienes y </w:t>
      </w:r>
      <w:r w:rsidR="00EF448F">
        <w:rPr>
          <w:rFonts w:ascii="Arial" w:eastAsia="Arial" w:hAnsi="Arial" w:cs="Arial"/>
          <w:sz w:val="22"/>
          <w:szCs w:val="22"/>
          <w:lang w:val="es-ES" w:bidi="es-ES"/>
        </w:rPr>
        <w:t>s</w:t>
      </w:r>
      <w:r w:rsidR="00EF448F" w:rsidRPr="00EF448F">
        <w:rPr>
          <w:rFonts w:ascii="Arial" w:eastAsia="Arial" w:hAnsi="Arial" w:cs="Arial"/>
          <w:sz w:val="22"/>
          <w:szCs w:val="22"/>
          <w:lang w:val="es-ES" w:bidi="es-ES"/>
        </w:rPr>
        <w:t xml:space="preserve">ervicios de </w:t>
      </w:r>
      <w:r w:rsidR="00EF448F">
        <w:rPr>
          <w:rFonts w:ascii="Arial" w:eastAsia="Arial" w:hAnsi="Arial" w:cs="Arial"/>
          <w:sz w:val="22"/>
          <w:szCs w:val="22"/>
          <w:lang w:val="es-ES" w:bidi="es-ES"/>
        </w:rPr>
        <w:t>c</w:t>
      </w:r>
      <w:r w:rsidR="00EF448F" w:rsidRPr="00EF448F">
        <w:rPr>
          <w:rFonts w:ascii="Arial" w:eastAsia="Arial" w:hAnsi="Arial" w:cs="Arial"/>
          <w:sz w:val="22"/>
          <w:szCs w:val="22"/>
          <w:lang w:val="es-ES" w:bidi="es-ES"/>
        </w:rPr>
        <w:t xml:space="preserve">aracterísticas </w:t>
      </w:r>
      <w:r w:rsidR="00EF448F">
        <w:rPr>
          <w:rFonts w:ascii="Arial" w:eastAsia="Arial" w:hAnsi="Arial" w:cs="Arial"/>
          <w:sz w:val="22"/>
          <w:szCs w:val="22"/>
          <w:lang w:val="es-ES" w:bidi="es-ES"/>
        </w:rPr>
        <w:t>t</w:t>
      </w:r>
      <w:r w:rsidR="00EF448F" w:rsidRPr="00EF448F">
        <w:rPr>
          <w:rFonts w:ascii="Arial" w:eastAsia="Arial" w:hAnsi="Arial" w:cs="Arial"/>
          <w:sz w:val="22"/>
          <w:szCs w:val="22"/>
          <w:lang w:val="es-ES" w:bidi="es-ES"/>
        </w:rPr>
        <w:t xml:space="preserve">écnicas </w:t>
      </w:r>
      <w:r w:rsidR="00EF448F">
        <w:rPr>
          <w:rFonts w:ascii="Arial" w:eastAsia="Arial" w:hAnsi="Arial" w:cs="Arial"/>
          <w:sz w:val="22"/>
          <w:szCs w:val="22"/>
          <w:lang w:val="es-ES" w:bidi="es-ES"/>
        </w:rPr>
        <w:t>u</w:t>
      </w:r>
      <w:r w:rsidR="00EF448F" w:rsidRPr="00EF448F">
        <w:rPr>
          <w:rFonts w:ascii="Arial" w:eastAsia="Arial" w:hAnsi="Arial" w:cs="Arial"/>
          <w:sz w:val="22"/>
          <w:szCs w:val="22"/>
          <w:lang w:val="es-ES" w:bidi="es-ES"/>
        </w:rPr>
        <w:t>niformes</w:t>
      </w:r>
      <w:r w:rsidR="00EF448F">
        <w:rPr>
          <w:rFonts w:ascii="Arial" w:eastAsia="Arial" w:hAnsi="Arial" w:cs="Arial"/>
          <w:sz w:val="22"/>
          <w:szCs w:val="22"/>
          <w:lang w:val="es-ES" w:bidi="es-ES"/>
        </w:rPr>
        <w:t>»</w:t>
      </w:r>
      <w:r>
        <w:rPr>
          <w:rFonts w:ascii="Arial" w:eastAsia="Arial" w:hAnsi="Arial" w:cs="Arial"/>
          <w:sz w:val="22"/>
          <w:szCs w:val="22"/>
          <w:lang w:val="es-ES" w:bidi="es-ES"/>
        </w:rPr>
        <w:t xml:space="preserve"> en los siguientes términos: </w:t>
      </w:r>
      <w:r w:rsidR="00522425" w:rsidRPr="00522425">
        <w:rPr>
          <w:rFonts w:ascii="Arial" w:eastAsia="Arial" w:hAnsi="Arial" w:cs="Arial"/>
          <w:sz w:val="22"/>
          <w:szCs w:val="22"/>
          <w:lang w:bidi="es-ES"/>
        </w:rPr>
        <w:t>«</w:t>
      </w:r>
      <w:r w:rsidR="00522425" w:rsidRPr="00522425">
        <w:rPr>
          <w:rFonts w:ascii="Arial" w:eastAsia="Arial" w:hAnsi="Arial" w:cs="Arial"/>
          <w:sz w:val="22"/>
          <w:szCs w:val="22"/>
          <w:lang w:val="es-ES" w:bidi="es-ES"/>
        </w:rPr>
        <w:t>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w:t>
      </w:r>
      <w:r w:rsidR="00522425">
        <w:rPr>
          <w:rFonts w:ascii="Arial" w:eastAsia="Arial" w:hAnsi="Arial" w:cs="Arial"/>
          <w:sz w:val="22"/>
          <w:szCs w:val="22"/>
          <w:lang w:val="es-ES" w:bidi="es-ES"/>
        </w:rPr>
        <w:t>ículo 2° de la Ley 1150 de 2007</w:t>
      </w:r>
      <w:r w:rsidR="00522425" w:rsidRPr="00522425">
        <w:rPr>
          <w:rFonts w:ascii="Arial" w:eastAsia="Arial" w:hAnsi="Arial" w:cs="Arial"/>
          <w:sz w:val="22"/>
          <w:szCs w:val="22"/>
          <w:lang w:bidi="es-ES"/>
        </w:rPr>
        <w:t>»</w:t>
      </w:r>
      <w:r w:rsidR="00522425" w:rsidRPr="00522425">
        <w:rPr>
          <w:rFonts w:ascii="Arial" w:eastAsia="Arial" w:hAnsi="Arial" w:cs="Arial"/>
          <w:sz w:val="22"/>
          <w:szCs w:val="22"/>
          <w:lang w:val="es-ES" w:bidi="es-ES"/>
        </w:rPr>
        <w:t>.</w:t>
      </w:r>
    </w:p>
    <w:p w14:paraId="7B3F672B" w14:textId="7B7A48C9" w:rsidR="00462546" w:rsidRDefault="0067545C" w:rsidP="00462546">
      <w:pPr>
        <w:spacing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 xml:space="preserve">A partir de las disposiciones anteriores, la doctrina </w:t>
      </w:r>
      <w:r w:rsidR="000761BA">
        <w:rPr>
          <w:rFonts w:ascii="Arial" w:eastAsia="Arial" w:hAnsi="Arial" w:cs="Arial"/>
          <w:sz w:val="22"/>
          <w:szCs w:val="22"/>
          <w:lang w:val="es-ES" w:bidi="es-ES"/>
        </w:rPr>
        <w:t>ha</w:t>
      </w:r>
      <w:r w:rsidR="00082AD0">
        <w:rPr>
          <w:rFonts w:ascii="Arial" w:eastAsia="Arial" w:hAnsi="Arial" w:cs="Arial"/>
          <w:sz w:val="22"/>
          <w:szCs w:val="22"/>
          <w:lang w:val="es-ES" w:bidi="es-ES"/>
        </w:rPr>
        <w:t xml:space="preserve"> avanzado en la conceptualización de este tipo de bienes </w:t>
      </w:r>
      <w:r w:rsidR="009C5769">
        <w:rPr>
          <w:rFonts w:ascii="Arial" w:eastAsia="Arial" w:hAnsi="Arial" w:cs="Arial"/>
          <w:sz w:val="22"/>
          <w:szCs w:val="22"/>
          <w:lang w:val="es-ES" w:bidi="es-ES"/>
        </w:rPr>
        <w:t>y servicios</w:t>
      </w:r>
      <w:r w:rsidR="00462546">
        <w:rPr>
          <w:rFonts w:ascii="Arial" w:eastAsia="Arial" w:hAnsi="Arial" w:cs="Arial"/>
          <w:sz w:val="22"/>
          <w:szCs w:val="22"/>
          <w:lang w:val="es-ES" w:bidi="es-ES"/>
        </w:rPr>
        <w:t>,</w:t>
      </w:r>
      <w:r w:rsidR="009C5769">
        <w:rPr>
          <w:rFonts w:ascii="Arial" w:eastAsia="Arial" w:hAnsi="Arial" w:cs="Arial"/>
          <w:sz w:val="22"/>
          <w:szCs w:val="22"/>
          <w:lang w:val="es-ES" w:bidi="es-ES"/>
        </w:rPr>
        <w:t xml:space="preserve"> resaltando sus características esenciales relacionadas con su </w:t>
      </w:r>
      <w:r w:rsidR="009C5769">
        <w:rPr>
          <w:rFonts w:ascii="Arial" w:eastAsia="Arial" w:hAnsi="Arial" w:cs="Arial"/>
          <w:i/>
          <w:iCs/>
          <w:sz w:val="22"/>
          <w:szCs w:val="22"/>
          <w:lang w:val="es-ES" w:bidi="es-ES"/>
        </w:rPr>
        <w:t xml:space="preserve">homogeneidad </w:t>
      </w:r>
      <w:r w:rsidR="00061F9D">
        <w:rPr>
          <w:rFonts w:ascii="Arial" w:eastAsia="Arial" w:hAnsi="Arial" w:cs="Arial"/>
          <w:sz w:val="22"/>
          <w:szCs w:val="22"/>
          <w:lang w:val="es-ES" w:bidi="es-ES"/>
        </w:rPr>
        <w:t>y su oferta en el mercado en condiciones estandarizadas</w:t>
      </w:r>
      <w:r w:rsidR="00462546">
        <w:rPr>
          <w:rFonts w:ascii="Arial" w:eastAsia="Arial" w:hAnsi="Arial" w:cs="Arial"/>
          <w:sz w:val="22"/>
          <w:szCs w:val="22"/>
          <w:lang w:val="es-ES" w:bidi="es-ES"/>
        </w:rPr>
        <w:t>. En tal sentido, frente a ellos se ha afirmado:</w:t>
      </w:r>
    </w:p>
    <w:p w14:paraId="1D473205" w14:textId="4F56ABFA" w:rsidR="00462546" w:rsidRDefault="00462546" w:rsidP="00462546">
      <w:pPr>
        <w:spacing w:line="276" w:lineRule="auto"/>
        <w:ind w:firstLine="720"/>
        <w:jc w:val="both"/>
        <w:rPr>
          <w:rFonts w:ascii="Arial" w:eastAsia="Arial" w:hAnsi="Arial" w:cs="Arial"/>
          <w:sz w:val="22"/>
          <w:szCs w:val="22"/>
          <w:lang w:val="es-ES" w:bidi="es-ES"/>
        </w:rPr>
      </w:pPr>
    </w:p>
    <w:p w14:paraId="4B107E92" w14:textId="4C1B10B1" w:rsidR="00462546" w:rsidRPr="00E41855" w:rsidRDefault="00462546" w:rsidP="00E41855">
      <w:pPr>
        <w:ind w:left="709" w:right="709"/>
        <w:jc w:val="both"/>
        <w:rPr>
          <w:rFonts w:ascii="Arial" w:eastAsia="Arial" w:hAnsi="Arial" w:cs="Arial"/>
          <w:sz w:val="21"/>
          <w:szCs w:val="21"/>
          <w:lang w:val="es-ES" w:bidi="es-ES"/>
        </w:rPr>
      </w:pPr>
      <w:r w:rsidRPr="00E41855">
        <w:rPr>
          <w:rFonts w:ascii="Arial" w:eastAsia="Arial" w:hAnsi="Arial" w:cs="Arial"/>
          <w:sz w:val="21"/>
          <w:szCs w:val="21"/>
          <w:lang w:val="es-ES" w:bidi="es-ES"/>
        </w:rPr>
        <w:t>«[…]</w:t>
      </w:r>
      <w:r w:rsidR="004B7E3D" w:rsidRPr="00E41855">
        <w:rPr>
          <w:rFonts w:ascii="Arial" w:eastAsia="Arial" w:hAnsi="Arial" w:cs="Arial"/>
          <w:sz w:val="21"/>
          <w:szCs w:val="21"/>
          <w:lang w:val="es-ES" w:bidi="es-ES"/>
        </w:rPr>
        <w:t xml:space="preserve"> ello evoca que sean fácilmente describibles por </w:t>
      </w:r>
      <w:r w:rsidR="004B7E3D" w:rsidRPr="00E41855">
        <w:rPr>
          <w:rFonts w:ascii="Arial" w:eastAsia="Arial" w:hAnsi="Arial" w:cs="Arial"/>
          <w:i/>
          <w:iCs/>
          <w:sz w:val="21"/>
          <w:szCs w:val="21"/>
          <w:lang w:val="es-ES" w:bidi="es-ES"/>
        </w:rPr>
        <w:t>características mínimas comunes a los de su tipo</w:t>
      </w:r>
      <w:r w:rsidR="00FB7E75" w:rsidRPr="00E41855">
        <w:rPr>
          <w:rFonts w:ascii="Arial" w:eastAsia="Arial" w:hAnsi="Arial" w:cs="Arial"/>
          <w:i/>
          <w:iCs/>
          <w:sz w:val="21"/>
          <w:szCs w:val="21"/>
          <w:lang w:val="es-ES" w:bidi="es-ES"/>
        </w:rPr>
        <w:t xml:space="preserve">, excluyendo elementos no esenciales, tales como los de diseño o cualquier otro que no altere la funcionalidad del bien o servicio. </w:t>
      </w:r>
      <w:r w:rsidR="00FB7E75" w:rsidRPr="00E41855">
        <w:rPr>
          <w:rFonts w:ascii="Arial" w:eastAsia="Arial" w:hAnsi="Arial" w:cs="Arial"/>
          <w:sz w:val="21"/>
          <w:szCs w:val="21"/>
          <w:lang w:val="es-ES" w:bidi="es-ES"/>
        </w:rPr>
        <w:t xml:space="preserve">Ello debería ser así, en la medida en </w:t>
      </w:r>
      <w:r w:rsidR="006E22E4" w:rsidRPr="00E41855">
        <w:rPr>
          <w:rFonts w:ascii="Arial" w:eastAsia="Arial" w:hAnsi="Arial" w:cs="Arial"/>
          <w:sz w:val="21"/>
          <w:szCs w:val="21"/>
          <w:lang w:val="es-ES" w:bidi="es-ES"/>
        </w:rPr>
        <w:t>la cu</w:t>
      </w:r>
      <w:r w:rsidR="009F1707" w:rsidRPr="00E41855">
        <w:rPr>
          <w:rFonts w:ascii="Arial" w:eastAsia="Arial" w:hAnsi="Arial" w:cs="Arial"/>
          <w:sz w:val="21"/>
          <w:szCs w:val="21"/>
          <w:lang w:val="es-ES" w:bidi="es-ES"/>
        </w:rPr>
        <w:t>a</w:t>
      </w:r>
      <w:r w:rsidR="006E22E4" w:rsidRPr="00E41855">
        <w:rPr>
          <w:rFonts w:ascii="Arial" w:eastAsia="Arial" w:hAnsi="Arial" w:cs="Arial"/>
          <w:sz w:val="21"/>
          <w:szCs w:val="21"/>
          <w:lang w:val="es-ES" w:bidi="es-ES"/>
        </w:rPr>
        <w:t>l</w:t>
      </w:r>
      <w:r w:rsidR="007A411D">
        <w:rPr>
          <w:rFonts w:ascii="Arial" w:eastAsia="Arial" w:hAnsi="Arial" w:cs="Arial"/>
          <w:sz w:val="21"/>
          <w:szCs w:val="21"/>
          <w:lang w:val="es-ES" w:bidi="es-ES"/>
        </w:rPr>
        <w:t xml:space="preserve"> se</w:t>
      </w:r>
      <w:r w:rsidR="006E22E4" w:rsidRPr="00E41855">
        <w:rPr>
          <w:rFonts w:ascii="Arial" w:eastAsia="Arial" w:hAnsi="Arial" w:cs="Arial"/>
          <w:sz w:val="21"/>
          <w:szCs w:val="21"/>
          <w:lang w:val="es-ES" w:bidi="es-ES"/>
        </w:rPr>
        <w:t xml:space="preserve"> busca que la Administración logre que compitan </w:t>
      </w:r>
      <w:r w:rsidR="008225C0" w:rsidRPr="00E41855">
        <w:rPr>
          <w:rFonts w:ascii="Arial" w:eastAsia="Arial" w:hAnsi="Arial" w:cs="Arial"/>
          <w:sz w:val="21"/>
          <w:szCs w:val="21"/>
          <w:lang w:val="es-ES" w:bidi="es-ES"/>
        </w:rPr>
        <w:t>bienes y servicios de igual calidad ofrecidos por proponentes capaces de satisfacer el requerimiento de la entidad contratante.</w:t>
      </w:r>
    </w:p>
    <w:p w14:paraId="23F69E01" w14:textId="3866075A" w:rsidR="007176F7" w:rsidRPr="00E41855" w:rsidRDefault="007176F7" w:rsidP="00E41855">
      <w:pPr>
        <w:ind w:left="709" w:right="709"/>
        <w:jc w:val="both"/>
        <w:rPr>
          <w:rFonts w:ascii="Arial" w:eastAsia="Arial" w:hAnsi="Arial" w:cs="Arial"/>
          <w:sz w:val="21"/>
          <w:szCs w:val="21"/>
          <w:lang w:val="es-ES" w:bidi="es-ES"/>
        </w:rPr>
      </w:pPr>
      <w:r w:rsidRPr="00E41855">
        <w:rPr>
          <w:rFonts w:ascii="Arial" w:eastAsia="Arial" w:hAnsi="Arial" w:cs="Arial"/>
          <w:sz w:val="21"/>
          <w:szCs w:val="21"/>
          <w:lang w:val="es-ES" w:bidi="es-ES"/>
        </w:rPr>
        <w:t>[…]</w:t>
      </w:r>
    </w:p>
    <w:p w14:paraId="3D34CF1A" w14:textId="455C3636" w:rsidR="007176F7" w:rsidRPr="00E41855" w:rsidRDefault="001926D0" w:rsidP="00E41855">
      <w:pPr>
        <w:ind w:left="709" w:right="709"/>
        <w:jc w:val="both"/>
        <w:rPr>
          <w:rFonts w:ascii="Arial" w:eastAsia="Arial" w:hAnsi="Arial" w:cs="Arial"/>
          <w:sz w:val="21"/>
          <w:szCs w:val="21"/>
          <w:lang w:val="es-ES" w:bidi="es-ES"/>
        </w:rPr>
      </w:pPr>
      <w:proofErr w:type="gramStart"/>
      <w:r w:rsidRPr="00E41855">
        <w:rPr>
          <w:rFonts w:ascii="Arial" w:eastAsia="Arial" w:hAnsi="Arial" w:cs="Arial"/>
          <w:sz w:val="21"/>
          <w:szCs w:val="21"/>
          <w:lang w:val="es-ES" w:bidi="es-ES"/>
        </w:rPr>
        <w:t>»</w:t>
      </w:r>
      <w:r w:rsidR="007176F7" w:rsidRPr="00E41855">
        <w:rPr>
          <w:rFonts w:ascii="Arial" w:eastAsia="Arial" w:hAnsi="Arial" w:cs="Arial"/>
          <w:sz w:val="21"/>
          <w:szCs w:val="21"/>
          <w:lang w:val="es-ES" w:bidi="es-ES"/>
        </w:rPr>
        <w:t>Aquellos</w:t>
      </w:r>
      <w:proofErr w:type="gramEnd"/>
      <w:r w:rsidR="007176F7" w:rsidRPr="00E41855">
        <w:rPr>
          <w:rFonts w:ascii="Arial" w:eastAsia="Arial" w:hAnsi="Arial" w:cs="Arial"/>
          <w:sz w:val="21"/>
          <w:szCs w:val="21"/>
          <w:lang w:val="es-ES" w:bidi="es-ES"/>
        </w:rPr>
        <w:t xml:space="preserve"> que se ofrecen en el mercado con </w:t>
      </w:r>
      <w:r w:rsidRPr="00E41855">
        <w:rPr>
          <w:rFonts w:ascii="Arial" w:eastAsia="Arial" w:hAnsi="Arial" w:cs="Arial"/>
          <w:sz w:val="21"/>
          <w:szCs w:val="21"/>
          <w:lang w:val="es-ES" w:bidi="es-ES"/>
        </w:rPr>
        <w:t>un estándar para quienes los demandan, o lo que es igual, que la oferta de l</w:t>
      </w:r>
      <w:r w:rsidR="007A411D">
        <w:rPr>
          <w:rFonts w:ascii="Arial" w:eastAsia="Arial" w:hAnsi="Arial" w:cs="Arial"/>
          <w:sz w:val="21"/>
          <w:szCs w:val="21"/>
          <w:lang w:val="es-ES" w:bidi="es-ES"/>
        </w:rPr>
        <w:t>o</w:t>
      </w:r>
      <w:r w:rsidRPr="00E41855">
        <w:rPr>
          <w:rFonts w:ascii="Arial" w:eastAsia="Arial" w:hAnsi="Arial" w:cs="Arial"/>
          <w:sz w:val="21"/>
          <w:szCs w:val="21"/>
          <w:lang w:val="es-ES" w:bidi="es-ES"/>
        </w:rPr>
        <w:t>s mismos en el mercado ocurriese en condiciones equivalentes para todo interesado en adquirirlo»</w:t>
      </w:r>
      <w:r w:rsidRPr="00E41855">
        <w:rPr>
          <w:rStyle w:val="Refdenotaalpie"/>
          <w:rFonts w:ascii="Arial" w:eastAsia="Arial" w:hAnsi="Arial" w:cs="Arial"/>
          <w:sz w:val="21"/>
          <w:szCs w:val="21"/>
          <w:lang w:val="es-ES" w:bidi="es-ES"/>
        </w:rPr>
        <w:footnoteReference w:id="1"/>
      </w:r>
      <w:r w:rsidRPr="00E41855">
        <w:rPr>
          <w:rFonts w:ascii="Arial" w:eastAsia="Arial" w:hAnsi="Arial" w:cs="Arial"/>
          <w:sz w:val="21"/>
          <w:szCs w:val="21"/>
          <w:lang w:val="es-ES" w:bidi="es-ES"/>
        </w:rPr>
        <w:t>.</w:t>
      </w:r>
    </w:p>
    <w:p w14:paraId="4613F4EA" w14:textId="06A792E6" w:rsidR="00E3422B" w:rsidRDefault="00E3422B" w:rsidP="00462546">
      <w:pPr>
        <w:spacing w:line="276" w:lineRule="auto"/>
        <w:ind w:firstLine="720"/>
        <w:jc w:val="both"/>
        <w:rPr>
          <w:rFonts w:ascii="Arial" w:eastAsia="Arial" w:hAnsi="Arial" w:cs="Arial"/>
          <w:sz w:val="22"/>
          <w:szCs w:val="22"/>
          <w:lang w:val="es-ES" w:bidi="es-ES"/>
        </w:rPr>
      </w:pPr>
    </w:p>
    <w:p w14:paraId="65BB2585" w14:textId="27A5CDC6" w:rsidR="00E3422B" w:rsidRDefault="00BE5D25" w:rsidP="009F3B67">
      <w:pPr>
        <w:spacing w:after="120" w:line="276" w:lineRule="auto"/>
        <w:ind w:firstLine="709"/>
        <w:jc w:val="both"/>
        <w:rPr>
          <w:rFonts w:ascii="Arial" w:eastAsia="Arial" w:hAnsi="Arial" w:cs="Arial"/>
          <w:sz w:val="22"/>
          <w:szCs w:val="22"/>
          <w:lang w:val="es-ES" w:bidi="es-ES"/>
        </w:rPr>
      </w:pPr>
      <w:r>
        <w:rPr>
          <w:rFonts w:ascii="Arial" w:eastAsia="Arial" w:hAnsi="Arial" w:cs="Arial"/>
          <w:sz w:val="22"/>
          <w:szCs w:val="22"/>
          <w:lang w:val="es-ES" w:bidi="es-ES"/>
        </w:rPr>
        <w:t>Como se advierte de lo anterior</w:t>
      </w:r>
      <w:r w:rsidRPr="00C34506">
        <w:rPr>
          <w:rFonts w:ascii="Arial" w:eastAsia="Arial" w:hAnsi="Arial" w:cs="Arial"/>
          <w:sz w:val="22"/>
          <w:szCs w:val="22"/>
          <w:lang w:val="es-ES" w:bidi="es-ES"/>
        </w:rPr>
        <w:t xml:space="preserve">, </w:t>
      </w:r>
      <w:r w:rsidR="00CA41C9" w:rsidRPr="00C34506">
        <w:rPr>
          <w:rFonts w:ascii="Arial" w:eastAsia="Arial" w:hAnsi="Arial" w:cs="Arial"/>
          <w:sz w:val="22"/>
          <w:szCs w:val="22"/>
          <w:lang w:val="es-ES" w:bidi="es-ES"/>
        </w:rPr>
        <w:t xml:space="preserve">los elementos centrales para definir si un bien o servicio se considera de características técnicas uniformes </w:t>
      </w:r>
      <w:r w:rsidR="007E7594" w:rsidRPr="00C34506">
        <w:rPr>
          <w:rFonts w:ascii="Arial" w:eastAsia="Arial" w:hAnsi="Arial" w:cs="Arial"/>
          <w:sz w:val="22"/>
          <w:szCs w:val="22"/>
          <w:lang w:val="es-ES" w:bidi="es-ES"/>
        </w:rPr>
        <w:t xml:space="preserve">consiste en </w:t>
      </w:r>
      <w:r w:rsidR="002231FD" w:rsidRPr="00C34506">
        <w:rPr>
          <w:rFonts w:ascii="Arial" w:eastAsia="Arial" w:hAnsi="Arial" w:cs="Arial"/>
          <w:sz w:val="22"/>
          <w:szCs w:val="22"/>
          <w:lang w:val="es-ES" w:bidi="es-ES"/>
        </w:rPr>
        <w:t xml:space="preserve">que </w:t>
      </w:r>
      <w:r w:rsidR="002231FD" w:rsidRPr="00E41855">
        <w:rPr>
          <w:rFonts w:ascii="Arial" w:eastAsia="Arial" w:hAnsi="Arial" w:cs="Arial"/>
          <w:sz w:val="22"/>
          <w:szCs w:val="22"/>
          <w:lang w:val="es-ES" w:bidi="es-ES"/>
        </w:rPr>
        <w:t>posea las mismas especificaciones técnicas y compart</w:t>
      </w:r>
      <w:r w:rsidR="002231FD" w:rsidRPr="00C34506">
        <w:rPr>
          <w:rFonts w:ascii="Arial" w:eastAsia="Arial" w:hAnsi="Arial" w:cs="Arial"/>
          <w:sz w:val="22"/>
          <w:szCs w:val="22"/>
          <w:lang w:val="es-ES" w:bidi="es-ES"/>
        </w:rPr>
        <w:t>a</w:t>
      </w:r>
      <w:r w:rsidR="002231FD" w:rsidRPr="00E41855">
        <w:rPr>
          <w:rFonts w:ascii="Arial" w:eastAsia="Arial" w:hAnsi="Arial" w:cs="Arial"/>
          <w:sz w:val="22"/>
          <w:szCs w:val="22"/>
          <w:lang w:val="es-ES" w:bidi="es-ES"/>
        </w:rPr>
        <w:t>n patrones de desempeño y calidad objetivamente definidos</w:t>
      </w:r>
      <w:r w:rsidR="002231FD" w:rsidRPr="00C34506">
        <w:rPr>
          <w:rFonts w:ascii="Arial" w:eastAsia="Arial" w:hAnsi="Arial" w:cs="Arial"/>
          <w:sz w:val="22"/>
          <w:szCs w:val="22"/>
          <w:lang w:val="es-ES" w:bidi="es-ES"/>
        </w:rPr>
        <w:t xml:space="preserve">, de manera que es posible adquirirlos en el mercado en condiciones </w:t>
      </w:r>
      <w:r w:rsidR="00775272" w:rsidRPr="00C34506">
        <w:rPr>
          <w:rFonts w:ascii="Arial" w:eastAsia="Arial" w:hAnsi="Arial" w:cs="Arial"/>
          <w:sz w:val="22"/>
          <w:szCs w:val="22"/>
          <w:lang w:val="es-ES" w:bidi="es-ES"/>
        </w:rPr>
        <w:t>estandarizadas u homogéneas, con independencia de su diseño o de sus características descriptivas</w:t>
      </w:r>
      <w:r w:rsidR="00C34506" w:rsidRPr="00E41855">
        <w:rPr>
          <w:rFonts w:ascii="Arial" w:eastAsia="Arial" w:hAnsi="Arial" w:cs="Arial"/>
          <w:sz w:val="22"/>
          <w:szCs w:val="22"/>
          <w:lang w:val="es-ES" w:bidi="es-ES"/>
        </w:rPr>
        <w:t>,</w:t>
      </w:r>
      <w:r w:rsidR="008F57CC" w:rsidRPr="00C34506">
        <w:rPr>
          <w:rFonts w:ascii="Arial" w:eastAsia="Arial" w:hAnsi="Arial" w:cs="Arial"/>
          <w:sz w:val="22"/>
          <w:szCs w:val="22"/>
          <w:lang w:val="es-ES" w:bidi="es-ES"/>
        </w:rPr>
        <w:t xml:space="preserve"> que no </w:t>
      </w:r>
      <w:r w:rsidR="00C34506" w:rsidRPr="00E41855">
        <w:rPr>
          <w:rFonts w:ascii="Arial" w:eastAsia="Arial" w:hAnsi="Arial" w:cs="Arial"/>
          <w:sz w:val="22"/>
          <w:szCs w:val="22"/>
          <w:lang w:val="es-ES" w:bidi="es-ES"/>
        </w:rPr>
        <w:t>afectan</w:t>
      </w:r>
      <w:r w:rsidR="008F57CC" w:rsidRPr="00C34506">
        <w:rPr>
          <w:rFonts w:ascii="Arial" w:eastAsia="Arial" w:hAnsi="Arial" w:cs="Arial"/>
          <w:sz w:val="22"/>
          <w:szCs w:val="22"/>
          <w:lang w:val="es-ES" w:bidi="es-ES"/>
        </w:rPr>
        <w:t xml:space="preserve"> su funcionalidad.</w:t>
      </w:r>
      <w:r w:rsidR="0014720E" w:rsidRPr="00C34506">
        <w:rPr>
          <w:rFonts w:ascii="Arial" w:eastAsia="Arial" w:hAnsi="Arial" w:cs="Arial"/>
          <w:sz w:val="22"/>
          <w:szCs w:val="22"/>
          <w:lang w:val="es-ES" w:bidi="es-ES"/>
        </w:rPr>
        <w:t xml:space="preserve"> En este sentido, la forma </w:t>
      </w:r>
      <w:r w:rsidR="00B56051" w:rsidRPr="00C34506">
        <w:rPr>
          <w:rFonts w:ascii="Arial" w:eastAsia="Arial" w:hAnsi="Arial" w:cs="Arial"/>
          <w:sz w:val="22"/>
          <w:szCs w:val="22"/>
          <w:lang w:val="es-ES" w:bidi="es-ES"/>
        </w:rPr>
        <w:t xml:space="preserve">como se adquieren en el mercado </w:t>
      </w:r>
      <w:r w:rsidR="00197323" w:rsidRPr="00C34506">
        <w:rPr>
          <w:rFonts w:ascii="Arial" w:eastAsia="Arial" w:hAnsi="Arial" w:cs="Arial"/>
          <w:sz w:val="22"/>
          <w:szCs w:val="22"/>
          <w:lang w:val="es-ES" w:bidi="es-ES"/>
        </w:rPr>
        <w:t xml:space="preserve">incide en la determinación si un bien o servicio encaja en esta categoría, de ahí que el Decreto 1082 de 2015 señale que «pueden ser agrupados </w:t>
      </w:r>
      <w:r w:rsidR="00197323" w:rsidRPr="00C34506">
        <w:rPr>
          <w:rFonts w:ascii="Arial" w:eastAsia="Arial" w:hAnsi="Arial" w:cs="Arial"/>
          <w:sz w:val="22"/>
          <w:szCs w:val="22"/>
          <w:lang w:val="es-ES" w:bidi="es-ES"/>
        </w:rPr>
        <w:lastRenderedPageBreak/>
        <w:t>como bienes y servicios homogéneos para su adquisición»</w:t>
      </w:r>
      <w:r w:rsidR="00C63C6D" w:rsidRPr="00C34506">
        <w:rPr>
          <w:rFonts w:ascii="Arial" w:eastAsia="Arial" w:hAnsi="Arial" w:cs="Arial"/>
          <w:sz w:val="22"/>
          <w:szCs w:val="22"/>
          <w:lang w:val="es-ES" w:bidi="es-ES"/>
        </w:rPr>
        <w:t xml:space="preserve">, dado que </w:t>
      </w:r>
      <w:r w:rsidR="007336D0" w:rsidRPr="00C34506">
        <w:rPr>
          <w:rFonts w:ascii="Arial" w:eastAsia="Arial" w:hAnsi="Arial" w:cs="Arial"/>
          <w:sz w:val="22"/>
          <w:szCs w:val="22"/>
          <w:lang w:val="es-ES" w:bidi="es-ES"/>
        </w:rPr>
        <w:t>son bienes y servicio con</w:t>
      </w:r>
      <w:r w:rsidR="00C63C6D" w:rsidRPr="00C34506">
        <w:rPr>
          <w:rFonts w:ascii="Arial" w:eastAsia="Arial" w:hAnsi="Arial" w:cs="Arial"/>
          <w:sz w:val="22"/>
          <w:szCs w:val="22"/>
          <w:lang w:val="es-ES" w:bidi="es-ES"/>
        </w:rPr>
        <w:t xml:space="preserve"> especificaciones técnicas y patrones de desempeño y calidad iguales o similares</w:t>
      </w:r>
      <w:r w:rsidR="007336D0" w:rsidRPr="00C34506">
        <w:rPr>
          <w:rFonts w:ascii="Arial" w:eastAsia="Arial" w:hAnsi="Arial" w:cs="Arial"/>
          <w:sz w:val="22"/>
          <w:szCs w:val="22"/>
          <w:lang w:val="es-ES" w:bidi="es-ES"/>
        </w:rPr>
        <w:t>.</w:t>
      </w:r>
    </w:p>
    <w:p w14:paraId="2741655F" w14:textId="72506980" w:rsidR="009F3B67" w:rsidRDefault="00313E5E" w:rsidP="00DE5C18">
      <w:pPr>
        <w:spacing w:after="120" w:line="276" w:lineRule="auto"/>
        <w:ind w:firstLine="709"/>
        <w:jc w:val="both"/>
        <w:rPr>
          <w:rFonts w:ascii="Arial" w:eastAsia="Arial" w:hAnsi="Arial" w:cs="Arial"/>
          <w:sz w:val="22"/>
          <w:szCs w:val="22"/>
          <w:lang w:val="es-ES" w:bidi="es-ES"/>
        </w:rPr>
      </w:pPr>
      <w:r>
        <w:rPr>
          <w:rFonts w:ascii="Arial" w:eastAsia="Arial" w:hAnsi="Arial" w:cs="Arial"/>
          <w:sz w:val="22"/>
          <w:szCs w:val="22"/>
          <w:lang w:val="es-ES" w:bidi="es-ES"/>
        </w:rPr>
        <w:t>Así las cosas,</w:t>
      </w:r>
      <w:r w:rsidR="00C16850">
        <w:rPr>
          <w:rFonts w:ascii="Arial" w:eastAsia="Arial" w:hAnsi="Arial" w:cs="Arial"/>
          <w:sz w:val="22"/>
          <w:szCs w:val="22"/>
          <w:lang w:val="es-ES" w:bidi="es-ES"/>
        </w:rPr>
        <w:t xml:space="preserve"> con</w:t>
      </w:r>
      <w:r w:rsidR="00602397">
        <w:rPr>
          <w:rFonts w:ascii="Arial" w:eastAsia="Arial" w:hAnsi="Arial" w:cs="Arial"/>
          <w:sz w:val="22"/>
          <w:szCs w:val="22"/>
          <w:lang w:val="es-ES" w:bidi="es-ES"/>
        </w:rPr>
        <w:t xml:space="preserve"> </w:t>
      </w:r>
      <w:r w:rsidR="00DC076A">
        <w:rPr>
          <w:rFonts w:ascii="Arial" w:eastAsia="Arial" w:hAnsi="Arial" w:cs="Arial"/>
          <w:sz w:val="22"/>
          <w:szCs w:val="22"/>
          <w:lang w:val="es-ES" w:bidi="es-ES"/>
        </w:rPr>
        <w:t xml:space="preserve">la finalidad de </w:t>
      </w:r>
      <w:r w:rsidR="00C16850">
        <w:rPr>
          <w:rFonts w:ascii="Arial" w:eastAsia="Arial" w:hAnsi="Arial" w:cs="Arial"/>
          <w:sz w:val="22"/>
          <w:szCs w:val="22"/>
          <w:lang w:val="es-ES" w:bidi="es-ES"/>
        </w:rPr>
        <w:t xml:space="preserve">orientar la noción hacia la problemática planteada por la peticionaria, cabe destacar que la definición de </w:t>
      </w:r>
      <w:r w:rsidR="00BF4384">
        <w:rPr>
          <w:rFonts w:ascii="Arial" w:eastAsia="Arial" w:hAnsi="Arial" w:cs="Arial"/>
          <w:sz w:val="22"/>
          <w:szCs w:val="22"/>
          <w:lang w:val="es-ES" w:bidi="es-ES"/>
        </w:rPr>
        <w:t>jerarquía más alta en el sistema de fuentes, esto es, la contenida en la Ley 1150 de 2007</w:t>
      </w:r>
      <w:r w:rsidR="00DE5C18">
        <w:rPr>
          <w:rFonts w:ascii="Arial" w:eastAsia="Arial" w:hAnsi="Arial" w:cs="Arial"/>
          <w:sz w:val="22"/>
          <w:szCs w:val="22"/>
          <w:lang w:val="es-ES" w:bidi="es-ES"/>
        </w:rPr>
        <w:t>, pese a que nominalmente acude al término de «común utilización», al referirse a los «</w:t>
      </w:r>
      <w:r w:rsidR="00DE5C18" w:rsidRPr="00E41855">
        <w:rPr>
          <w:rFonts w:ascii="Arial" w:eastAsia="Arial" w:hAnsi="Arial" w:cs="Arial"/>
          <w:sz w:val="22"/>
          <w:szCs w:val="22"/>
          <w:lang w:val="es-ES" w:bidi="es-ES"/>
        </w:rPr>
        <w:t>bienes y servicios de características técnicas uniformes y de común utilización por parte de las entidades», en realidad los define haciendo abstracción de dicho elemento</w:t>
      </w:r>
      <w:r w:rsidR="00316583" w:rsidRPr="00E41855">
        <w:rPr>
          <w:rFonts w:ascii="Arial" w:eastAsia="Arial" w:hAnsi="Arial" w:cs="Arial"/>
          <w:sz w:val="22"/>
          <w:szCs w:val="22"/>
          <w:lang w:val="es-ES" w:bidi="es-ES"/>
        </w:rPr>
        <w:t xml:space="preserve">, al establecer que: </w:t>
      </w:r>
      <w:r w:rsidR="00BF4384">
        <w:rPr>
          <w:rFonts w:ascii="Arial" w:eastAsia="Arial" w:hAnsi="Arial" w:cs="Arial"/>
          <w:sz w:val="22"/>
          <w:szCs w:val="22"/>
          <w:lang w:val="es-ES" w:bidi="es-ES"/>
        </w:rPr>
        <w:t>«</w:t>
      </w:r>
      <w:r w:rsidR="00BF4384" w:rsidRPr="00E41855">
        <w:rPr>
          <w:rFonts w:ascii="Arial" w:eastAsia="Arial" w:hAnsi="Arial" w:cs="Arial"/>
          <w:sz w:val="22"/>
          <w:szCs w:val="22"/>
          <w:lang w:val="es-ES" w:bidi="es-ES"/>
        </w:rPr>
        <w:t>corresponden a aquellos que poseen las mismas especificaciones técnicas, con independencia de su diseño o de sus características descriptivas, y comparten patrones de desempeño y calidad objetivamente definidos»</w:t>
      </w:r>
      <w:r w:rsidR="00316583">
        <w:rPr>
          <w:rFonts w:ascii="Arial" w:eastAsia="Arial" w:hAnsi="Arial" w:cs="Arial"/>
          <w:sz w:val="22"/>
          <w:szCs w:val="22"/>
          <w:lang w:val="es-ES" w:bidi="es-ES"/>
        </w:rPr>
        <w:t>.</w:t>
      </w:r>
    </w:p>
    <w:p w14:paraId="7719061C" w14:textId="3A541969" w:rsidR="00EC17DD" w:rsidRDefault="00482FE7" w:rsidP="003A1E50">
      <w:pPr>
        <w:spacing w:line="276" w:lineRule="auto"/>
        <w:ind w:firstLine="709"/>
        <w:jc w:val="both"/>
        <w:rPr>
          <w:rFonts w:ascii="Arial" w:eastAsia="Arial" w:hAnsi="Arial" w:cs="Arial"/>
          <w:sz w:val="22"/>
          <w:szCs w:val="22"/>
          <w:lang w:val="es-ES" w:bidi="es-ES"/>
        </w:rPr>
      </w:pPr>
      <w:r>
        <w:rPr>
          <w:rFonts w:ascii="Arial" w:eastAsia="Arial" w:hAnsi="Arial" w:cs="Arial"/>
          <w:sz w:val="22"/>
          <w:szCs w:val="22"/>
          <w:lang w:val="es-ES" w:bidi="es-ES"/>
        </w:rPr>
        <w:t>Por ello</w:t>
      </w:r>
      <w:r w:rsidR="00423F6E">
        <w:rPr>
          <w:rFonts w:ascii="Arial" w:eastAsia="Arial" w:hAnsi="Arial" w:cs="Arial"/>
          <w:sz w:val="22"/>
          <w:szCs w:val="22"/>
          <w:lang w:val="es-ES" w:bidi="es-ES"/>
        </w:rPr>
        <w:t xml:space="preserve">, </w:t>
      </w:r>
      <w:r w:rsidR="007F4FC6">
        <w:rPr>
          <w:rFonts w:ascii="Arial" w:eastAsia="Arial" w:hAnsi="Arial" w:cs="Arial"/>
          <w:sz w:val="22"/>
          <w:szCs w:val="22"/>
          <w:lang w:val="es-ES" w:bidi="es-ES"/>
        </w:rPr>
        <w:t xml:space="preserve">para considerar si determinados bienes o servicios </w:t>
      </w:r>
      <w:r w:rsidR="00885B4E">
        <w:rPr>
          <w:rFonts w:ascii="Arial" w:eastAsia="Arial" w:hAnsi="Arial" w:cs="Arial"/>
          <w:sz w:val="22"/>
          <w:szCs w:val="22"/>
          <w:lang w:val="es-ES" w:bidi="es-ES"/>
        </w:rPr>
        <w:t>se encuadran</w:t>
      </w:r>
      <w:r w:rsidR="007F4FC6">
        <w:rPr>
          <w:rFonts w:ascii="Arial" w:eastAsia="Arial" w:hAnsi="Arial" w:cs="Arial"/>
          <w:sz w:val="22"/>
          <w:szCs w:val="22"/>
          <w:lang w:val="es-ES" w:bidi="es-ES"/>
        </w:rPr>
        <w:t xml:space="preserve"> en dicha noción no es necesario que la entidad </w:t>
      </w:r>
      <w:r w:rsidR="00C716E1">
        <w:rPr>
          <w:rFonts w:ascii="Arial" w:eastAsia="Arial" w:hAnsi="Arial" w:cs="Arial"/>
          <w:sz w:val="22"/>
          <w:szCs w:val="22"/>
          <w:lang w:val="es-ES" w:bidi="es-ES"/>
        </w:rPr>
        <w:t xml:space="preserve">acredite que estos son contratados por más de una entidad estatal, toda vez, que incluso podrían ser de común utilización al interior de una misma entidad estatal. </w:t>
      </w:r>
      <w:r w:rsidR="00EC17DD">
        <w:rPr>
          <w:rFonts w:ascii="Arial" w:eastAsia="Arial" w:hAnsi="Arial" w:cs="Arial"/>
          <w:sz w:val="22"/>
          <w:szCs w:val="22"/>
          <w:lang w:val="es-ES" w:bidi="es-ES"/>
        </w:rPr>
        <w:t>En tal sentido, siempre que se cumplan los elementos de la noción desarrollados anteriormente, se podrá considerar que un bien o servicio es de características técnicas uniformes.</w:t>
      </w:r>
    </w:p>
    <w:p w14:paraId="55E165C5" w14:textId="430A1AD2" w:rsidR="003A1E50" w:rsidRDefault="003A1E50" w:rsidP="003A1E50">
      <w:pPr>
        <w:spacing w:line="276" w:lineRule="auto"/>
        <w:jc w:val="both"/>
        <w:rPr>
          <w:rFonts w:ascii="Arial" w:eastAsia="Arial" w:hAnsi="Arial" w:cs="Arial"/>
          <w:sz w:val="22"/>
          <w:szCs w:val="22"/>
          <w:lang w:val="es-ES" w:bidi="es-ES"/>
        </w:rPr>
      </w:pPr>
    </w:p>
    <w:p w14:paraId="75B3D0F0" w14:textId="3ED40003" w:rsidR="003A1E50" w:rsidRDefault="003A1E50" w:rsidP="003A1E50">
      <w:pPr>
        <w:spacing w:line="276" w:lineRule="auto"/>
        <w:jc w:val="both"/>
        <w:rPr>
          <w:rFonts w:ascii="Arial" w:eastAsia="Arial" w:hAnsi="Arial" w:cs="Arial"/>
          <w:b/>
          <w:bCs/>
          <w:sz w:val="22"/>
          <w:szCs w:val="22"/>
          <w:lang w:val="es-ES" w:bidi="es-ES"/>
        </w:rPr>
      </w:pPr>
      <w:r>
        <w:rPr>
          <w:rFonts w:ascii="Arial" w:eastAsia="Arial" w:hAnsi="Arial" w:cs="Arial"/>
          <w:b/>
          <w:bCs/>
          <w:sz w:val="22"/>
          <w:szCs w:val="22"/>
          <w:lang w:val="es-ES" w:bidi="es-ES"/>
        </w:rPr>
        <w:t xml:space="preserve">2.2. </w:t>
      </w:r>
      <w:r w:rsidR="008B5A50">
        <w:rPr>
          <w:rFonts w:ascii="Arial" w:eastAsia="Arial" w:hAnsi="Arial" w:cs="Arial"/>
          <w:b/>
          <w:bCs/>
          <w:sz w:val="22"/>
          <w:szCs w:val="22"/>
          <w:lang w:val="es-ES" w:bidi="es-ES"/>
        </w:rPr>
        <w:t>Carácter enunciativo de los requisitos habilitantes del artículo 5 de la Ley 1150 de 2007. La exigencia de la ficha técnica</w:t>
      </w:r>
    </w:p>
    <w:p w14:paraId="1BF03A61" w14:textId="77777777" w:rsidR="008B5A50" w:rsidRPr="00E41855" w:rsidRDefault="008B5A50" w:rsidP="00E41855">
      <w:pPr>
        <w:spacing w:line="276" w:lineRule="auto"/>
        <w:jc w:val="both"/>
        <w:rPr>
          <w:rFonts w:ascii="Arial" w:eastAsia="Arial" w:hAnsi="Arial" w:cs="Arial"/>
          <w:b/>
          <w:bCs/>
          <w:sz w:val="22"/>
          <w:szCs w:val="22"/>
          <w:lang w:val="es-ES" w:bidi="es-ES"/>
        </w:rPr>
      </w:pPr>
    </w:p>
    <w:p w14:paraId="13087D40" w14:textId="77777777" w:rsidR="00167F44" w:rsidRPr="0078446D" w:rsidRDefault="00167F44" w:rsidP="00E41855">
      <w:pPr>
        <w:spacing w:line="276" w:lineRule="auto"/>
        <w:jc w:val="both"/>
        <w:rPr>
          <w:rFonts w:ascii="Arial" w:hAnsi="Arial" w:cs="Arial"/>
          <w:color w:val="000000" w:themeColor="text1"/>
          <w:sz w:val="22"/>
        </w:rPr>
      </w:pPr>
      <w:r w:rsidRPr="0078446D">
        <w:rPr>
          <w:rFonts w:ascii="Arial" w:hAnsi="Arial" w:cs="Arial"/>
          <w:color w:val="000000" w:themeColor="text1"/>
          <w:sz w:val="22"/>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47B9B3E0" w14:textId="77777777" w:rsidR="00167F44" w:rsidRPr="0078446D" w:rsidRDefault="00167F44" w:rsidP="00167F44">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Específicamente, el numeral 1º de la disposición </w:t>
      </w:r>
      <w:r>
        <w:rPr>
          <w:rFonts w:ascii="Arial" w:hAnsi="Arial" w:cs="Arial"/>
          <w:color w:val="000000" w:themeColor="text1"/>
          <w:sz w:val="22"/>
        </w:rPr>
        <w:t>referida</w:t>
      </w:r>
      <w:r w:rsidRPr="0078446D">
        <w:rPr>
          <w:rFonts w:ascii="Arial" w:hAnsi="Arial" w:cs="Arial"/>
          <w:color w:val="000000" w:themeColor="text1"/>
          <w:sz w:val="22"/>
        </w:rPr>
        <w:t xml:space="preserve"> establece que en los procesos de selección de contratistas serán objeto de verificación, como requisitos habilitantes, los siguientes: i) la capacidad jurídica; </w:t>
      </w:r>
      <w:proofErr w:type="spellStart"/>
      <w:r w:rsidRPr="0078446D">
        <w:rPr>
          <w:rFonts w:ascii="Arial" w:hAnsi="Arial" w:cs="Arial"/>
          <w:color w:val="000000" w:themeColor="text1"/>
          <w:sz w:val="22"/>
        </w:rPr>
        <w:t>ii</w:t>
      </w:r>
      <w:proofErr w:type="spellEnd"/>
      <w:r w:rsidRPr="0078446D">
        <w:rPr>
          <w:rFonts w:ascii="Arial" w:hAnsi="Arial" w:cs="Arial"/>
          <w:color w:val="000000" w:themeColor="text1"/>
          <w:sz w:val="22"/>
        </w:rPr>
        <w:t xml:space="preserve">) la experiencia; </w:t>
      </w:r>
      <w:proofErr w:type="spellStart"/>
      <w:r w:rsidRPr="0078446D">
        <w:rPr>
          <w:rFonts w:ascii="Arial" w:hAnsi="Arial" w:cs="Arial"/>
          <w:color w:val="000000" w:themeColor="text1"/>
          <w:sz w:val="22"/>
        </w:rPr>
        <w:t>iii</w:t>
      </w:r>
      <w:proofErr w:type="spellEnd"/>
      <w:r w:rsidRPr="0078446D">
        <w:rPr>
          <w:rFonts w:ascii="Arial" w:hAnsi="Arial" w:cs="Arial"/>
          <w:color w:val="000000" w:themeColor="text1"/>
          <w:sz w:val="22"/>
        </w:rPr>
        <w:t xml:space="preserve">) la capacidad financiera y </w:t>
      </w:r>
      <w:proofErr w:type="spellStart"/>
      <w:r w:rsidRPr="0078446D">
        <w:rPr>
          <w:rFonts w:ascii="Arial" w:hAnsi="Arial" w:cs="Arial"/>
          <w:color w:val="000000" w:themeColor="text1"/>
          <w:sz w:val="22"/>
        </w:rPr>
        <w:t>iv</w:t>
      </w:r>
      <w:proofErr w:type="spellEnd"/>
      <w:r w:rsidRPr="0078446D">
        <w:rPr>
          <w:rFonts w:ascii="Arial" w:hAnsi="Arial" w:cs="Arial"/>
          <w:color w:val="000000" w:themeColor="text1"/>
          <w:sz w:val="22"/>
        </w:rPr>
        <w:t xml:space="preserve">) la capacidad de organización. En efecto, la normativa </w:t>
      </w:r>
      <w:proofErr w:type="gramStart"/>
      <w:r>
        <w:rPr>
          <w:rFonts w:ascii="Arial" w:hAnsi="Arial" w:cs="Arial"/>
          <w:i/>
          <w:iCs/>
          <w:color w:val="000000" w:themeColor="text1"/>
          <w:sz w:val="22"/>
        </w:rPr>
        <w:t>sub lite</w:t>
      </w:r>
      <w:proofErr w:type="gramEnd"/>
      <w:r w:rsidRPr="0078446D">
        <w:rPr>
          <w:rFonts w:ascii="Arial" w:hAnsi="Arial" w:cs="Arial"/>
          <w:color w:val="000000" w:themeColor="text1"/>
          <w:sz w:val="22"/>
        </w:rPr>
        <w:t xml:space="preserve"> </w:t>
      </w:r>
      <w:r>
        <w:rPr>
          <w:rFonts w:ascii="Arial" w:hAnsi="Arial" w:cs="Arial"/>
          <w:color w:val="000000" w:themeColor="text1"/>
          <w:sz w:val="22"/>
        </w:rPr>
        <w:t>dispone</w:t>
      </w:r>
      <w:r w:rsidRPr="0078446D">
        <w:rPr>
          <w:rFonts w:ascii="Arial" w:hAnsi="Arial" w:cs="Arial"/>
          <w:color w:val="000000" w:themeColor="text1"/>
          <w:sz w:val="22"/>
        </w:rPr>
        <w:t xml:space="preserve">: </w:t>
      </w:r>
    </w:p>
    <w:p w14:paraId="3A3677FC" w14:textId="77777777" w:rsidR="00167F44" w:rsidRPr="0078446D" w:rsidRDefault="00167F44" w:rsidP="00167F44">
      <w:pPr>
        <w:jc w:val="both"/>
        <w:rPr>
          <w:rFonts w:ascii="Arial" w:hAnsi="Arial" w:cs="Arial"/>
          <w:color w:val="000000" w:themeColor="text1"/>
          <w:sz w:val="22"/>
        </w:rPr>
      </w:pPr>
    </w:p>
    <w:p w14:paraId="56A5CFB1" w14:textId="77777777" w:rsidR="00167F44" w:rsidRPr="0078446D" w:rsidRDefault="00167F44" w:rsidP="00167F44">
      <w:pPr>
        <w:ind w:left="709" w:right="709"/>
        <w:jc w:val="both"/>
        <w:rPr>
          <w:rFonts w:ascii="Arial" w:hAnsi="Arial" w:cs="Arial"/>
          <w:color w:val="000000" w:themeColor="text1"/>
          <w:sz w:val="21"/>
          <w:szCs w:val="21"/>
        </w:rPr>
      </w:pPr>
      <w:r w:rsidRPr="0078446D">
        <w:rPr>
          <w:rFonts w:ascii="Arial" w:hAnsi="Arial" w:cs="Arial"/>
          <w:color w:val="000000" w:themeColor="text1"/>
          <w:sz w:val="21"/>
          <w:szCs w:val="21"/>
        </w:rPr>
        <w:t xml:space="preserve">Artículo 5. De la Selección Objetiva. </w:t>
      </w:r>
    </w:p>
    <w:p w14:paraId="321DAEA4" w14:textId="77777777" w:rsidR="00167F44" w:rsidRPr="0078446D" w:rsidRDefault="00167F44" w:rsidP="00E41855">
      <w:pPr>
        <w:spacing w:after="120"/>
        <w:ind w:left="709" w:right="709"/>
        <w:jc w:val="both"/>
        <w:rPr>
          <w:rFonts w:ascii="Arial" w:hAnsi="Arial" w:cs="Arial"/>
          <w:color w:val="000000" w:themeColor="text1"/>
          <w:sz w:val="21"/>
          <w:szCs w:val="21"/>
        </w:rPr>
      </w:pPr>
      <w:r w:rsidRPr="0078446D">
        <w:rPr>
          <w:rFonts w:ascii="Arial" w:hAnsi="Arial" w:cs="Arial"/>
          <w:color w:val="000000" w:themeColor="text1"/>
          <w:sz w:val="21"/>
          <w:szCs w:val="21"/>
        </w:rPr>
        <w:t>[…]</w:t>
      </w:r>
    </w:p>
    <w:p w14:paraId="177C7604" w14:textId="6FCCDD9E" w:rsidR="00167F44" w:rsidRDefault="00167F44" w:rsidP="00167F44">
      <w:pPr>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1. </w:t>
      </w:r>
      <w:r w:rsidRPr="0078446D">
        <w:rPr>
          <w:rFonts w:ascii="Arial" w:hAnsi="Arial" w:cs="Arial"/>
          <w:color w:val="000000" w:themeColor="text1"/>
          <w:sz w:val="21"/>
          <w:szCs w:val="21"/>
        </w:rPr>
        <w:t xml:space="preserve">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w:t>
      </w:r>
      <w:r w:rsidRPr="0078446D">
        <w:rPr>
          <w:rFonts w:ascii="Arial" w:hAnsi="Arial" w:cs="Arial"/>
          <w:color w:val="000000" w:themeColor="text1"/>
          <w:sz w:val="21"/>
          <w:szCs w:val="21"/>
        </w:rPr>
        <w:lastRenderedPageBreak/>
        <w:t>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215EE4FF" w14:textId="77777777" w:rsidR="00173B2A" w:rsidRPr="0078446D" w:rsidRDefault="00173B2A" w:rsidP="00167F44">
      <w:pPr>
        <w:ind w:left="709" w:right="709"/>
        <w:jc w:val="both"/>
        <w:rPr>
          <w:rFonts w:ascii="Arial" w:hAnsi="Arial" w:cs="Arial"/>
          <w:color w:val="000000" w:themeColor="text1"/>
          <w:sz w:val="21"/>
          <w:szCs w:val="21"/>
        </w:rPr>
      </w:pPr>
    </w:p>
    <w:p w14:paraId="7F56214C" w14:textId="6A299E9D" w:rsidR="00BE0E32" w:rsidRDefault="003A1E50" w:rsidP="00E41855">
      <w:pPr>
        <w:spacing w:after="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Ahora bien,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w:t>
      </w:r>
      <w:r w:rsidR="00B210A9">
        <w:rPr>
          <w:rFonts w:ascii="Arial" w:hAnsi="Arial" w:cs="Arial"/>
          <w:color w:val="000000" w:themeColor="text1"/>
          <w:sz w:val="22"/>
        </w:rPr>
        <w:t xml:space="preserve">Este asunto fue analizado previamente por esta Agencia en </w:t>
      </w:r>
      <w:r w:rsidR="00CC40F4">
        <w:rPr>
          <w:rFonts w:ascii="Arial" w:hAnsi="Arial" w:cs="Arial"/>
          <w:color w:val="000000" w:themeColor="text1"/>
          <w:sz w:val="22"/>
        </w:rPr>
        <w:t xml:space="preserve">conceptos anteriores, como el </w:t>
      </w:r>
      <w:r w:rsidR="006B3EF0">
        <w:rPr>
          <w:rFonts w:ascii="Arial" w:hAnsi="Arial" w:cs="Arial"/>
          <w:color w:val="000000" w:themeColor="text1"/>
          <w:sz w:val="22"/>
        </w:rPr>
        <w:t xml:space="preserve">C-587 </w:t>
      </w:r>
      <w:r w:rsidR="003B7B40">
        <w:rPr>
          <w:rFonts w:ascii="Arial" w:hAnsi="Arial" w:cs="Arial"/>
          <w:color w:val="000000" w:themeColor="text1"/>
          <w:sz w:val="22"/>
        </w:rPr>
        <w:t>del 31 de agosto de 2020</w:t>
      </w:r>
      <w:r w:rsidR="00A04DA3">
        <w:rPr>
          <w:rFonts w:ascii="Arial" w:hAnsi="Arial" w:cs="Arial"/>
          <w:color w:val="000000" w:themeColor="text1"/>
          <w:sz w:val="22"/>
        </w:rPr>
        <w:t>, que se reitera en lo pertinente.</w:t>
      </w:r>
    </w:p>
    <w:p w14:paraId="0D0CA248" w14:textId="05054860" w:rsidR="003A1E50" w:rsidRPr="0078446D" w:rsidRDefault="00A04DA3" w:rsidP="00E41855">
      <w:pPr>
        <w:spacing w:line="276" w:lineRule="auto"/>
        <w:ind w:firstLine="709"/>
        <w:jc w:val="both"/>
        <w:rPr>
          <w:rFonts w:ascii="Arial" w:hAnsi="Arial" w:cs="Arial"/>
          <w:color w:val="000000" w:themeColor="text1"/>
          <w:sz w:val="22"/>
        </w:rPr>
      </w:pPr>
      <w:r>
        <w:rPr>
          <w:rFonts w:ascii="Arial" w:hAnsi="Arial" w:cs="Arial"/>
          <w:color w:val="000000" w:themeColor="text1"/>
          <w:sz w:val="22"/>
        </w:rPr>
        <w:t>La pregunta planteada anteriormente tiene</w:t>
      </w:r>
      <w:r w:rsidR="003A1E50" w:rsidRPr="0078446D">
        <w:rPr>
          <w:rFonts w:ascii="Arial" w:hAnsi="Arial" w:cs="Arial"/>
          <w:color w:val="000000" w:themeColor="text1"/>
          <w:sz w:val="22"/>
        </w:rPr>
        <w:t>,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w:t>
      </w:r>
      <w:r w:rsidR="00BC5FD7">
        <w:rPr>
          <w:rFonts w:ascii="Arial" w:hAnsi="Arial" w:cs="Arial"/>
          <w:color w:val="000000" w:themeColor="text1"/>
          <w:sz w:val="22"/>
        </w:rPr>
        <w:t>.</w:t>
      </w:r>
      <w:r w:rsidR="003A1E50" w:rsidRPr="0078446D">
        <w:rPr>
          <w:rFonts w:ascii="Arial" w:hAnsi="Arial" w:cs="Arial"/>
          <w:color w:val="000000" w:themeColor="text1"/>
          <w:sz w:val="22"/>
        </w:rPr>
        <w:t xml:space="preserve"> </w:t>
      </w:r>
      <w:r w:rsidR="00BC5FD7">
        <w:rPr>
          <w:rFonts w:ascii="Arial" w:hAnsi="Arial" w:cs="Arial"/>
          <w:color w:val="000000" w:themeColor="text1"/>
          <w:sz w:val="22"/>
        </w:rPr>
        <w:t>Esto es lo que sucede,</w:t>
      </w:r>
      <w:r w:rsidR="003A1E50" w:rsidRPr="0078446D">
        <w:rPr>
          <w:rFonts w:ascii="Arial" w:hAnsi="Arial" w:cs="Arial"/>
          <w:color w:val="000000" w:themeColor="text1"/>
          <w:sz w:val="22"/>
        </w:rPr>
        <w:t xml:space="preserve">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w:t>
      </w:r>
      <w:r w:rsidR="003A1E50">
        <w:rPr>
          <w:rFonts w:ascii="Arial" w:hAnsi="Arial" w:cs="Arial"/>
          <w:color w:val="000000" w:themeColor="text1"/>
          <w:sz w:val="22"/>
        </w:rPr>
        <w:t>Pública</w:t>
      </w:r>
      <w:r w:rsidR="003A1E50" w:rsidRPr="0078446D">
        <w:rPr>
          <w:rFonts w:ascii="Arial" w:hAnsi="Arial" w:cs="Arial"/>
          <w:color w:val="000000" w:themeColor="text1"/>
          <w:sz w:val="22"/>
        </w:rPr>
        <w:t xml:space="preserve">. </w:t>
      </w:r>
    </w:p>
    <w:p w14:paraId="38BA5AC8" w14:textId="77777777" w:rsidR="003A1E50" w:rsidRPr="0078446D" w:rsidRDefault="003A1E50" w:rsidP="003A1E5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Hay otros argumentos que sustentan tal elección interpretativa. Tal y como lo han considerado la Corte Constitucional</w:t>
      </w:r>
      <w:r w:rsidRPr="0078446D">
        <w:rPr>
          <w:rStyle w:val="Refdenotaalpie"/>
          <w:rFonts w:ascii="Arial" w:hAnsi="Arial" w:cs="Arial"/>
          <w:color w:val="000000" w:themeColor="text1"/>
          <w:sz w:val="22"/>
        </w:rPr>
        <w:footnoteReference w:id="2"/>
      </w:r>
      <w:r w:rsidRPr="0078446D">
        <w:rPr>
          <w:rFonts w:ascii="Arial" w:hAnsi="Arial" w:cs="Arial"/>
          <w:color w:val="000000" w:themeColor="text1"/>
          <w:sz w:val="22"/>
        </w:rPr>
        <w:t xml:space="preserve"> y el Consejo de Estado</w:t>
      </w:r>
      <w:r w:rsidRPr="0078446D">
        <w:rPr>
          <w:rStyle w:val="Refdenotaalpie"/>
          <w:rFonts w:ascii="Arial" w:hAnsi="Arial" w:cs="Arial"/>
          <w:color w:val="000000" w:themeColor="text1"/>
          <w:sz w:val="22"/>
        </w:rPr>
        <w:footnoteReference w:id="3"/>
      </w:r>
      <w:r w:rsidRPr="0078446D">
        <w:rPr>
          <w:rFonts w:ascii="Arial" w:hAnsi="Arial" w:cs="Arial"/>
          <w:color w:val="000000" w:themeColor="text1"/>
          <w:sz w:val="22"/>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78446D">
        <w:rPr>
          <w:rFonts w:ascii="Arial" w:hAnsi="Arial" w:cs="Arial"/>
          <w:color w:val="000000" w:themeColor="text1"/>
        </w:rPr>
        <w:t>l</w:t>
      </w:r>
      <w:r w:rsidRPr="0078446D">
        <w:rPr>
          <w:rFonts w:ascii="Arial" w:hAnsi="Arial" w:cs="Arial"/>
          <w:color w:val="000000" w:themeColor="text1"/>
          <w:sz w:val="22"/>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w:t>
      </w:r>
      <w:r>
        <w:rPr>
          <w:rFonts w:ascii="Arial" w:hAnsi="Arial" w:cs="Arial"/>
          <w:color w:val="000000" w:themeColor="text1"/>
          <w:sz w:val="22"/>
        </w:rPr>
        <w:t>normativa</w:t>
      </w:r>
      <w:r w:rsidRPr="0078446D">
        <w:rPr>
          <w:rFonts w:ascii="Arial" w:hAnsi="Arial" w:cs="Arial"/>
          <w:color w:val="000000" w:themeColor="text1"/>
          <w:sz w:val="22"/>
        </w:rPr>
        <w:t xml:space="preserve"> que </w:t>
      </w:r>
      <w:r w:rsidRPr="0078446D">
        <w:rPr>
          <w:rFonts w:ascii="Arial" w:hAnsi="Arial" w:cs="Arial"/>
          <w:color w:val="000000" w:themeColor="text1"/>
          <w:sz w:val="22"/>
        </w:rPr>
        <w:lastRenderedPageBreak/>
        <w:t xml:space="preserve">en el mismo artículo se aclare que una exigencia no puede ser considera como requisito habilitante. </w:t>
      </w:r>
    </w:p>
    <w:p w14:paraId="60396E17" w14:textId="77777777" w:rsidR="003A1E50" w:rsidRPr="0078446D" w:rsidRDefault="003A1E50" w:rsidP="003A1E5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La intención del legislador, de la cual dan cuenta los antecedentes legislativos de la norma </w:t>
      </w:r>
      <w:r w:rsidRPr="0078446D">
        <w:rPr>
          <w:rFonts w:ascii="Arial" w:hAnsi="Arial" w:cs="Arial"/>
          <w:i/>
          <w:iCs/>
          <w:color w:val="000000" w:themeColor="text1"/>
          <w:sz w:val="22"/>
        </w:rPr>
        <w:t>sub examine</w:t>
      </w:r>
      <w:r w:rsidRPr="0078446D">
        <w:rPr>
          <w:rFonts w:ascii="Arial" w:hAnsi="Arial" w:cs="Arial"/>
          <w:color w:val="000000" w:themeColor="text1"/>
          <w:sz w:val="22"/>
        </w:rPr>
        <w:t xml:space="preserve">, también justifica la interpretación propuesta por esta Agencia, ya que fue </w:t>
      </w:r>
      <w:r>
        <w:rPr>
          <w:rFonts w:ascii="Arial" w:hAnsi="Arial" w:cs="Arial"/>
          <w:color w:val="000000" w:themeColor="text1"/>
          <w:sz w:val="22"/>
        </w:rPr>
        <w:t xml:space="preserve">hasta </w:t>
      </w:r>
      <w:r w:rsidRPr="0078446D">
        <w:rPr>
          <w:rFonts w:ascii="Arial" w:hAnsi="Arial" w:cs="Arial"/>
          <w:color w:val="000000" w:themeColor="text1"/>
          <w:sz w:val="22"/>
        </w:rPr>
        <w:t xml:space="preserve">el cuarto debate </w:t>
      </w:r>
      <w:r>
        <w:rPr>
          <w:rFonts w:ascii="Arial" w:hAnsi="Arial" w:cs="Arial"/>
          <w:color w:val="000000" w:themeColor="text1"/>
          <w:sz w:val="22"/>
        </w:rPr>
        <w:t xml:space="preserve">parlamentario en </w:t>
      </w:r>
      <w:r w:rsidRPr="0078446D">
        <w:rPr>
          <w:rFonts w:ascii="Arial" w:hAnsi="Arial" w:cs="Arial"/>
          <w:color w:val="000000" w:themeColor="text1"/>
          <w:sz w:val="22"/>
        </w:rPr>
        <w:t>donde se incluyó el parágrafo comentando anteriormente</w:t>
      </w:r>
      <w:r w:rsidRPr="0078446D">
        <w:rPr>
          <w:rStyle w:val="Refdenotaalpie"/>
          <w:rFonts w:ascii="Arial" w:hAnsi="Arial" w:cs="Arial"/>
          <w:color w:val="000000" w:themeColor="text1"/>
          <w:sz w:val="22"/>
        </w:rPr>
        <w:footnoteReference w:id="4"/>
      </w:r>
      <w:r w:rsidRPr="0078446D">
        <w:rPr>
          <w:rFonts w:ascii="Arial" w:hAnsi="Arial" w:cs="Arial"/>
          <w:color w:val="000000" w:themeColor="text1"/>
          <w:sz w:val="22"/>
        </w:rPr>
        <w:t>, lo que deja ver la necesidad que tenía el Congreso de aclarar que unos documentos no podrían ser tenidos como requisitos habilitantes, lo que da cuenta</w:t>
      </w:r>
      <w:r>
        <w:rPr>
          <w:rFonts w:ascii="Arial" w:hAnsi="Arial" w:cs="Arial"/>
          <w:color w:val="000000" w:themeColor="text1"/>
          <w:sz w:val="22"/>
        </w:rPr>
        <w:t xml:space="preserve">, a su vez, </w:t>
      </w:r>
      <w:r w:rsidRPr="0078446D">
        <w:rPr>
          <w:rFonts w:ascii="Arial" w:hAnsi="Arial" w:cs="Arial"/>
          <w:color w:val="000000" w:themeColor="text1"/>
          <w:sz w:val="22"/>
        </w:rPr>
        <w:t>de su reconocimiento tácito de la existencia de otros requisitos habilitantes</w:t>
      </w:r>
      <w:r>
        <w:rPr>
          <w:rFonts w:ascii="Arial" w:hAnsi="Arial" w:cs="Arial"/>
          <w:color w:val="000000" w:themeColor="text1"/>
          <w:sz w:val="22"/>
        </w:rPr>
        <w:t>,</w:t>
      </w:r>
      <w:r w:rsidRPr="0078446D">
        <w:rPr>
          <w:rFonts w:ascii="Arial" w:hAnsi="Arial" w:cs="Arial"/>
          <w:color w:val="000000" w:themeColor="text1"/>
          <w:sz w:val="22"/>
        </w:rPr>
        <w:t xml:space="preserve"> distintos a los cuatro </w:t>
      </w:r>
      <w:r>
        <w:rPr>
          <w:rFonts w:ascii="Arial" w:hAnsi="Arial" w:cs="Arial"/>
          <w:color w:val="000000" w:themeColor="text1"/>
          <w:sz w:val="22"/>
        </w:rPr>
        <w:t>que establece el artículo 5, parágrafo 1, de la Ley 1150 de 2007</w:t>
      </w:r>
      <w:r w:rsidRPr="0078446D">
        <w:rPr>
          <w:rFonts w:ascii="Arial" w:hAnsi="Arial" w:cs="Arial"/>
          <w:color w:val="000000" w:themeColor="text1"/>
          <w:sz w:val="22"/>
        </w:rPr>
        <w:t>.</w:t>
      </w:r>
    </w:p>
    <w:p w14:paraId="1641547B" w14:textId="77777777" w:rsidR="003A1E50" w:rsidRPr="0078446D" w:rsidRDefault="003A1E50" w:rsidP="003A1E5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Por otro lado, en el referido «Manual para determinar y verificar los requisitos habilitantes en los Procesos de Contratación» se determinaron los parámetros para </w:t>
      </w:r>
      <w:r w:rsidRPr="0078446D">
        <w:rPr>
          <w:rFonts w:ascii="Arial" w:hAnsi="Arial" w:cs="Arial"/>
          <w:i/>
          <w:iCs/>
          <w:color w:val="000000" w:themeColor="text1"/>
          <w:sz w:val="22"/>
        </w:rPr>
        <w:t>establecer</w:t>
      </w:r>
      <w:r w:rsidRPr="0078446D">
        <w:rPr>
          <w:rFonts w:ascii="Arial" w:hAnsi="Arial" w:cs="Arial"/>
          <w:color w:val="000000" w:themeColor="text1"/>
          <w:sz w:val="22"/>
        </w:rPr>
        <w:t xml:space="preserve">, </w:t>
      </w:r>
      <w:r w:rsidRPr="0078446D">
        <w:rPr>
          <w:rFonts w:ascii="Arial" w:hAnsi="Arial" w:cs="Arial"/>
          <w:i/>
          <w:iCs/>
          <w:color w:val="000000" w:themeColor="text1"/>
          <w:sz w:val="22"/>
        </w:rPr>
        <w:t>acreditar</w:t>
      </w:r>
      <w:r w:rsidRPr="0078446D">
        <w:rPr>
          <w:rFonts w:ascii="Arial" w:hAnsi="Arial" w:cs="Arial"/>
          <w:color w:val="000000" w:themeColor="text1"/>
          <w:sz w:val="22"/>
        </w:rPr>
        <w:t xml:space="preserve"> y </w:t>
      </w:r>
      <w:r w:rsidRPr="0078446D">
        <w:rPr>
          <w:rFonts w:ascii="Arial" w:hAnsi="Arial" w:cs="Arial"/>
          <w:i/>
          <w:iCs/>
          <w:color w:val="000000" w:themeColor="text1"/>
          <w:sz w:val="22"/>
        </w:rPr>
        <w:t>subsanar</w:t>
      </w:r>
      <w:r w:rsidRPr="0078446D">
        <w:rPr>
          <w:rFonts w:ascii="Arial" w:hAnsi="Arial" w:cs="Arial"/>
          <w:color w:val="000000" w:themeColor="text1"/>
          <w:sz w:val="22"/>
        </w:rPr>
        <w:t xml:space="preserve"> los requisitos habilitantes </w:t>
      </w:r>
      <w:r>
        <w:rPr>
          <w:rFonts w:ascii="Arial" w:hAnsi="Arial" w:cs="Arial"/>
          <w:color w:val="000000" w:themeColor="text1"/>
          <w:sz w:val="22"/>
        </w:rPr>
        <w:t>estudiados</w:t>
      </w:r>
      <w:r w:rsidRPr="0078446D">
        <w:rPr>
          <w:rFonts w:ascii="Arial" w:hAnsi="Arial" w:cs="Arial"/>
          <w:color w:val="000000" w:themeColor="text1"/>
          <w:sz w:val="22"/>
        </w:rPr>
        <w:t xml:space="preserve">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Su propósito es, </w:t>
      </w:r>
      <w:r>
        <w:rPr>
          <w:rFonts w:ascii="Arial" w:hAnsi="Arial" w:cs="Arial"/>
          <w:color w:val="000000" w:themeColor="text1"/>
          <w:sz w:val="22"/>
        </w:rPr>
        <w:t>según el Manual</w:t>
      </w:r>
      <w:r w:rsidRPr="0078446D">
        <w:rPr>
          <w:rFonts w:ascii="Arial" w:hAnsi="Arial" w:cs="Arial"/>
          <w:color w:val="000000" w:themeColor="text1"/>
          <w:sz w:val="22"/>
        </w:rPr>
        <w:t>, «establecer unas condiciones mínimas para los proponentes de tal manera que la Entidad Estatal sólo evalúe las ofertas de aquellos que están en condiciones de cumplir con el objeto del Proceso de Contratación».</w:t>
      </w:r>
    </w:p>
    <w:p w14:paraId="6352AA47" w14:textId="77777777" w:rsidR="003A1E50" w:rsidRPr="0078446D" w:rsidRDefault="003A1E50" w:rsidP="003A1E50">
      <w:pPr>
        <w:spacing w:before="120" w:line="276" w:lineRule="auto"/>
        <w:ind w:firstLine="709"/>
        <w:jc w:val="both"/>
        <w:rPr>
          <w:rFonts w:ascii="Arial" w:hAnsi="Arial" w:cs="Arial"/>
          <w:color w:val="000000" w:themeColor="text1"/>
          <w:sz w:val="22"/>
        </w:rPr>
      </w:pPr>
      <w:bookmarkStart w:id="2" w:name="_Hlk34917473"/>
      <w:r w:rsidRPr="0078446D">
        <w:rPr>
          <w:rFonts w:ascii="Arial" w:hAnsi="Arial" w:cs="Arial"/>
          <w:color w:val="000000" w:themeColor="text1"/>
          <w:sz w:val="22"/>
        </w:rPr>
        <w:t xml:space="preserve">Corresponde a las entidades estatales, durante la etapa de planeación del contrato estatal, estudiar y </w:t>
      </w:r>
      <w:r w:rsidRPr="00E73574">
        <w:rPr>
          <w:rFonts w:ascii="Arial" w:hAnsi="Arial" w:cs="Arial"/>
          <w:bCs/>
          <w:iCs/>
          <w:color w:val="000000" w:themeColor="text1"/>
          <w:sz w:val="22"/>
        </w:rPr>
        <w:t>determinar</w:t>
      </w:r>
      <w:r w:rsidRPr="0078446D">
        <w:rPr>
          <w:rFonts w:ascii="Arial" w:hAnsi="Arial" w:cs="Arial"/>
          <w:color w:val="000000" w:themeColor="text1"/>
          <w:sz w:val="22"/>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78446D">
        <w:rPr>
          <w:rFonts w:ascii="Arial" w:hAnsi="Arial" w:cs="Arial"/>
          <w:i/>
          <w:iCs/>
          <w:color w:val="000000" w:themeColor="text1"/>
          <w:sz w:val="22"/>
        </w:rPr>
        <w:t>riesgos</w:t>
      </w:r>
      <w:r w:rsidRPr="0078446D">
        <w:rPr>
          <w:rFonts w:ascii="Arial" w:hAnsi="Arial" w:cs="Arial"/>
          <w:color w:val="000000" w:themeColor="text1"/>
          <w:sz w:val="22"/>
        </w:rPr>
        <w:t xml:space="preserve"> </w:t>
      </w:r>
      <w:r w:rsidRPr="0078446D">
        <w:rPr>
          <w:rFonts w:ascii="Arial" w:hAnsi="Arial" w:cs="Arial"/>
          <w:i/>
          <w:iCs/>
          <w:color w:val="000000" w:themeColor="text1"/>
          <w:sz w:val="22"/>
        </w:rPr>
        <w:t>asociados al contrato</w:t>
      </w:r>
      <w:r w:rsidRPr="0078446D">
        <w:rPr>
          <w:rFonts w:ascii="Arial" w:hAnsi="Arial" w:cs="Arial"/>
          <w:color w:val="000000" w:themeColor="text1"/>
          <w:sz w:val="22"/>
        </w:rPr>
        <w:t>,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w:t>
      </w:r>
      <w:r>
        <w:rPr>
          <w:rFonts w:ascii="Arial" w:hAnsi="Arial" w:cs="Arial"/>
          <w:color w:val="000000" w:themeColor="text1"/>
          <w:sz w:val="22"/>
        </w:rPr>
        <w:t>, así como tampoco puede ejercerse desconociendo límites legales, por ejemplo, como el que estable el artículo 5,</w:t>
      </w:r>
      <w:r w:rsidRPr="00007785">
        <w:rPr>
          <w:rFonts w:ascii="Arial" w:hAnsi="Arial" w:cs="Arial"/>
          <w:color w:val="000000" w:themeColor="text1"/>
          <w:sz w:val="22"/>
        </w:rPr>
        <w:t xml:space="preserve"> </w:t>
      </w:r>
      <w:r>
        <w:rPr>
          <w:rFonts w:ascii="Arial" w:hAnsi="Arial" w:cs="Arial"/>
          <w:color w:val="000000" w:themeColor="text1"/>
          <w:sz w:val="22"/>
        </w:rPr>
        <w:t xml:space="preserve">parágrafo 2, de la Ley 1150 de 2007, </w:t>
      </w:r>
      <w:r w:rsidRPr="0078446D">
        <w:rPr>
          <w:rFonts w:ascii="Arial" w:hAnsi="Arial" w:cs="Arial"/>
          <w:color w:val="000000" w:themeColor="text1"/>
          <w:sz w:val="22"/>
          <w:lang w:val="es-ES"/>
        </w:rPr>
        <w:t>relacionad</w:t>
      </w:r>
      <w:r>
        <w:rPr>
          <w:rFonts w:ascii="Arial" w:hAnsi="Arial" w:cs="Arial"/>
          <w:color w:val="000000" w:themeColor="text1"/>
          <w:sz w:val="22"/>
          <w:lang w:val="es-ES"/>
        </w:rPr>
        <w:t>o</w:t>
      </w:r>
      <w:r w:rsidRPr="0078446D">
        <w:rPr>
          <w:rFonts w:ascii="Arial" w:hAnsi="Arial" w:cs="Arial"/>
          <w:color w:val="000000" w:themeColor="text1"/>
          <w:sz w:val="22"/>
          <w:lang w:val="es-ES"/>
        </w:rPr>
        <w:t xml:space="preserve"> con la prohibición de exigir certificaciones de sistemas de gestión de calidad como requisito habilitante</w:t>
      </w:r>
      <w:r w:rsidRPr="0078446D">
        <w:rPr>
          <w:rFonts w:ascii="Arial" w:hAnsi="Arial" w:cs="Arial"/>
          <w:color w:val="000000" w:themeColor="text1"/>
          <w:sz w:val="22"/>
        </w:rPr>
        <w:t xml:space="preserve">. </w:t>
      </w:r>
    </w:p>
    <w:bookmarkEnd w:id="2"/>
    <w:p w14:paraId="755B5D73" w14:textId="77777777" w:rsidR="003A1E50" w:rsidRPr="0078446D" w:rsidRDefault="003A1E50" w:rsidP="003A1E5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Al respecto, en la sentencia C-004 de 2017, la Corte Constitucional señaló que «[l]a determinación de dichas condiciones habilitantes para participar, es competencia de la </w:t>
      </w:r>
      <w:r w:rsidRPr="0078446D">
        <w:rPr>
          <w:rFonts w:ascii="Arial" w:hAnsi="Arial" w:cs="Arial"/>
          <w:color w:val="000000" w:themeColor="text1"/>
          <w:sz w:val="22"/>
        </w:rPr>
        <w:lastRenderedPageBreak/>
        <w:t>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Pr>
          <w:rFonts w:ascii="Arial" w:hAnsi="Arial" w:cs="Arial"/>
          <w:color w:val="000000" w:themeColor="text1"/>
          <w:sz w:val="22"/>
        </w:rPr>
        <w:t>.</w:t>
      </w:r>
    </w:p>
    <w:p w14:paraId="4D1D080D" w14:textId="77777777" w:rsidR="003A1E50" w:rsidRPr="0078446D" w:rsidRDefault="003A1E50" w:rsidP="003A1E5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De todos modos, como se dijo antes, para la configuración de los requisitos habilitantes, la entidad no está limitada a los cuatro que enuncia el artículo 5, numeral 1, de la Ley 1150 de 2007, pues, se insiste, estos son solo enunciativos y no taxativos.</w:t>
      </w:r>
    </w:p>
    <w:p w14:paraId="6DCABD8D" w14:textId="09F018F6" w:rsidR="003A1E50" w:rsidRDefault="003A1E50" w:rsidP="00E41855">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Como c</w:t>
      </w:r>
      <w:r w:rsidRPr="0078446D">
        <w:rPr>
          <w:rFonts w:ascii="Arial" w:hAnsi="Arial" w:cs="Arial"/>
          <w:color w:val="000000" w:themeColor="text1"/>
          <w:sz w:val="22"/>
        </w:rPr>
        <w:t>onclusión</w:t>
      </w:r>
      <w:r>
        <w:rPr>
          <w:rFonts w:ascii="Arial" w:hAnsi="Arial" w:cs="Arial"/>
          <w:color w:val="000000" w:themeColor="text1"/>
          <w:sz w:val="22"/>
        </w:rPr>
        <w:t>,</w:t>
      </w:r>
      <w:r w:rsidRPr="0078446D">
        <w:rPr>
          <w:rFonts w:ascii="Arial" w:hAnsi="Arial" w:cs="Arial"/>
          <w:color w:val="000000" w:themeColor="text1"/>
          <w:sz w:val="22"/>
        </w:rPr>
        <w:t xml:space="preserve"> puede decirse </w:t>
      </w:r>
      <w:proofErr w:type="gramStart"/>
      <w:r w:rsidRPr="0078446D">
        <w:rPr>
          <w:rFonts w:ascii="Arial" w:hAnsi="Arial" w:cs="Arial"/>
          <w:color w:val="000000" w:themeColor="text1"/>
          <w:sz w:val="22"/>
        </w:rPr>
        <w:t>que</w:t>
      </w:r>
      <w:proofErr w:type="gramEnd"/>
      <w:r w:rsidRPr="0078446D">
        <w:rPr>
          <w:rFonts w:ascii="Arial" w:hAnsi="Arial" w:cs="Arial"/>
          <w:color w:val="000000" w:themeColor="text1"/>
          <w:sz w:val="22"/>
        </w:rPr>
        <w:t xml:space="preserve"> aunque la Ley 1150 de 2007 estableció unos requisitos habilitantes para los proponentes: la capacidad jurídica, las condiciones de experiencia, la capacidad financiera y la capacidad de organización, lo cierto es que los mismos no son taxativos</w:t>
      </w:r>
      <w:r w:rsidR="00231441">
        <w:rPr>
          <w:rFonts w:ascii="Arial" w:hAnsi="Arial" w:cs="Arial"/>
          <w:color w:val="000000" w:themeColor="text1"/>
          <w:sz w:val="22"/>
        </w:rPr>
        <w:t xml:space="preserve">. Además, </w:t>
      </w:r>
      <w:r w:rsidRPr="0078446D">
        <w:rPr>
          <w:rFonts w:ascii="Arial" w:hAnsi="Arial" w:cs="Arial"/>
          <w:color w:val="000000" w:themeColor="text1"/>
          <w:sz w:val="22"/>
        </w:rPr>
        <w:t xml:space="preserve">que los requisitos habilitantes deben ser establecidos por la entidad en cada proceso contractual de acuerdo con los parámetros fijados </w:t>
      </w:r>
      <w:r w:rsidR="00BA46E4">
        <w:rPr>
          <w:rFonts w:ascii="Arial" w:hAnsi="Arial" w:cs="Arial"/>
          <w:color w:val="000000" w:themeColor="text1"/>
          <w:sz w:val="22"/>
        </w:rPr>
        <w:t xml:space="preserve">en las disposiciones legales y reglamentarias, como </w:t>
      </w:r>
      <w:r w:rsidRPr="0078446D">
        <w:rPr>
          <w:rFonts w:ascii="Arial" w:hAnsi="Arial" w:cs="Arial"/>
          <w:color w:val="000000" w:themeColor="text1"/>
          <w:sz w:val="22"/>
        </w:rPr>
        <w:t>el Decreto 1082 de 2015</w:t>
      </w:r>
      <w:r w:rsidR="00430D66">
        <w:rPr>
          <w:rFonts w:ascii="Arial" w:hAnsi="Arial" w:cs="Arial"/>
          <w:color w:val="000000" w:themeColor="text1"/>
          <w:sz w:val="22"/>
        </w:rPr>
        <w:t>.</w:t>
      </w:r>
      <w:r w:rsidRPr="0078446D">
        <w:rPr>
          <w:rFonts w:ascii="Arial" w:hAnsi="Arial" w:cs="Arial"/>
          <w:color w:val="000000" w:themeColor="text1"/>
          <w:sz w:val="22"/>
        </w:rPr>
        <w:t xml:space="preserve"> </w:t>
      </w:r>
      <w:r w:rsidR="00430D66">
        <w:rPr>
          <w:rFonts w:ascii="Arial" w:hAnsi="Arial" w:cs="Arial"/>
          <w:color w:val="000000" w:themeColor="text1"/>
          <w:sz w:val="22"/>
        </w:rPr>
        <w:t>Finalmente,</w:t>
      </w:r>
      <w:r w:rsidRPr="0078446D">
        <w:rPr>
          <w:rFonts w:ascii="Arial" w:hAnsi="Arial" w:cs="Arial"/>
          <w:color w:val="000000" w:themeColor="text1"/>
          <w:sz w:val="22"/>
        </w:rPr>
        <w:t xml:space="preserve"> que una vez </w:t>
      </w:r>
      <w:r>
        <w:rPr>
          <w:rFonts w:ascii="Arial" w:hAnsi="Arial" w:cs="Arial"/>
          <w:color w:val="000000" w:themeColor="text1"/>
          <w:sz w:val="22"/>
        </w:rPr>
        <w:t>establecidos</w:t>
      </w:r>
      <w:r w:rsidRPr="0078446D">
        <w:rPr>
          <w:rFonts w:ascii="Arial" w:hAnsi="Arial" w:cs="Arial"/>
          <w:color w:val="000000" w:themeColor="text1"/>
          <w:sz w:val="22"/>
        </w:rPr>
        <w:t xml:space="preserve"> los requisitos de habilitación, quienes presenten ofertas deben acreditar que cumplen con ellos, so pena de que sus propuestas sean rechazadas, claro está, sin perjuicio de la posibilidad de subsanarlas</w:t>
      </w:r>
      <w:r>
        <w:rPr>
          <w:rFonts w:ascii="Arial" w:hAnsi="Arial" w:cs="Arial"/>
          <w:color w:val="000000" w:themeColor="text1"/>
          <w:sz w:val="22"/>
        </w:rPr>
        <w:t>, cuando a ello haya lugar</w:t>
      </w:r>
      <w:r w:rsidRPr="0078446D">
        <w:rPr>
          <w:rFonts w:ascii="Arial" w:hAnsi="Arial" w:cs="Arial"/>
          <w:color w:val="000000" w:themeColor="text1"/>
          <w:sz w:val="22"/>
        </w:rPr>
        <w:t xml:space="preserve">. </w:t>
      </w:r>
    </w:p>
    <w:p w14:paraId="257BA227" w14:textId="3E7577D7" w:rsidR="00167F44" w:rsidRDefault="003A1E50" w:rsidP="003A1E50">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Lo dicho, claro está, sin perjuicio de las prohibiciones legales. Por ejemplo, en el caso de los requisitos habilitantes, el artículo 5, parágrafo 2, de la Ley 1150 de 2007 establece que las «</w:t>
      </w:r>
      <w:r w:rsidRPr="00353E79">
        <w:rPr>
          <w:rFonts w:ascii="Arial" w:hAnsi="Arial" w:cs="Arial"/>
          <w:color w:val="000000" w:themeColor="text1"/>
          <w:sz w:val="22"/>
        </w:rPr>
        <w:t xml:space="preserve">certificaciones de sistemas de gestión de calidad no serán objeto de calificación, ni </w:t>
      </w:r>
      <w:r w:rsidRPr="00FE6C21">
        <w:rPr>
          <w:rFonts w:ascii="Arial" w:hAnsi="Arial" w:cs="Arial"/>
          <w:color w:val="000000" w:themeColor="text1"/>
          <w:sz w:val="22"/>
        </w:rPr>
        <w:t>podrán establecerse como documento habilitante para participar en licitaciones o concursos».</w:t>
      </w:r>
    </w:p>
    <w:p w14:paraId="3B83509E" w14:textId="71FA3FC7" w:rsidR="00430D66" w:rsidRDefault="007770E7" w:rsidP="00E41855">
      <w:pPr>
        <w:spacing w:line="276" w:lineRule="auto"/>
        <w:ind w:firstLine="709"/>
        <w:jc w:val="both"/>
        <w:rPr>
          <w:rFonts w:ascii="Arial" w:hAnsi="Arial" w:cs="Arial"/>
          <w:color w:val="000000" w:themeColor="text1"/>
          <w:sz w:val="22"/>
        </w:rPr>
      </w:pPr>
      <w:r>
        <w:rPr>
          <w:rFonts w:ascii="Arial" w:hAnsi="Arial" w:cs="Arial"/>
          <w:color w:val="000000" w:themeColor="text1"/>
          <w:sz w:val="22"/>
        </w:rPr>
        <w:t xml:space="preserve">De acuerdo con los </w:t>
      </w:r>
      <w:r w:rsidR="001942E4">
        <w:rPr>
          <w:rFonts w:ascii="Arial" w:hAnsi="Arial" w:cs="Arial"/>
          <w:color w:val="000000" w:themeColor="text1"/>
          <w:sz w:val="22"/>
        </w:rPr>
        <w:t>argumentos</w:t>
      </w:r>
      <w:r>
        <w:rPr>
          <w:rFonts w:ascii="Arial" w:hAnsi="Arial" w:cs="Arial"/>
          <w:color w:val="000000" w:themeColor="text1"/>
          <w:sz w:val="22"/>
        </w:rPr>
        <w:t xml:space="preserve"> </w:t>
      </w:r>
      <w:r w:rsidR="004D7B55">
        <w:rPr>
          <w:rFonts w:ascii="Arial" w:hAnsi="Arial" w:cs="Arial"/>
          <w:color w:val="000000" w:themeColor="text1"/>
          <w:sz w:val="22"/>
        </w:rPr>
        <w:t>expuestos</w:t>
      </w:r>
      <w:r>
        <w:rPr>
          <w:rFonts w:ascii="Arial" w:hAnsi="Arial" w:cs="Arial"/>
          <w:color w:val="000000" w:themeColor="text1"/>
          <w:sz w:val="22"/>
        </w:rPr>
        <w:t xml:space="preserve">, cabe analizar los demás posibles requisitos habilitantes existentes en </w:t>
      </w:r>
      <w:r w:rsidR="001942E4">
        <w:rPr>
          <w:rFonts w:ascii="Arial" w:hAnsi="Arial" w:cs="Arial"/>
          <w:color w:val="000000" w:themeColor="text1"/>
          <w:sz w:val="22"/>
        </w:rPr>
        <w:t xml:space="preserve">los procedimientos de selección, en particular los </w:t>
      </w:r>
      <w:r w:rsidR="00E42EB4">
        <w:rPr>
          <w:rFonts w:ascii="Arial" w:hAnsi="Arial" w:cs="Arial"/>
          <w:color w:val="000000" w:themeColor="text1"/>
          <w:sz w:val="22"/>
        </w:rPr>
        <w:t>aplicables a la modalidad de</w:t>
      </w:r>
      <w:r w:rsidR="001942E4">
        <w:rPr>
          <w:rFonts w:ascii="Arial" w:hAnsi="Arial" w:cs="Arial"/>
          <w:color w:val="000000" w:themeColor="text1"/>
          <w:sz w:val="22"/>
        </w:rPr>
        <w:t xml:space="preserve"> selección abreviada mediante subasta inversa</w:t>
      </w:r>
      <w:r w:rsidR="00E16E9F">
        <w:rPr>
          <w:rFonts w:ascii="Arial" w:hAnsi="Arial" w:cs="Arial"/>
          <w:color w:val="000000" w:themeColor="text1"/>
          <w:sz w:val="22"/>
        </w:rPr>
        <w:t xml:space="preserve">, toda vez que </w:t>
      </w:r>
      <w:r w:rsidR="00A37732">
        <w:rPr>
          <w:rFonts w:ascii="Arial" w:hAnsi="Arial" w:cs="Arial"/>
          <w:color w:val="000000" w:themeColor="text1"/>
          <w:sz w:val="22"/>
        </w:rPr>
        <w:t>esta modalidad</w:t>
      </w:r>
      <w:r w:rsidR="00E16E9F">
        <w:rPr>
          <w:rFonts w:ascii="Arial" w:hAnsi="Arial" w:cs="Arial"/>
          <w:color w:val="000000" w:themeColor="text1"/>
          <w:sz w:val="22"/>
        </w:rPr>
        <w:t xml:space="preserve"> tiene una regulación especial en el Decreto 1082 de 2015</w:t>
      </w:r>
      <w:r w:rsidR="008A64F9">
        <w:rPr>
          <w:rFonts w:ascii="Arial" w:hAnsi="Arial" w:cs="Arial"/>
          <w:color w:val="000000" w:themeColor="text1"/>
          <w:sz w:val="22"/>
        </w:rPr>
        <w:t xml:space="preserve">, </w:t>
      </w:r>
      <w:r w:rsidR="000051F9">
        <w:rPr>
          <w:rFonts w:ascii="Arial" w:hAnsi="Arial" w:cs="Arial"/>
          <w:color w:val="000000" w:themeColor="text1"/>
          <w:sz w:val="22"/>
        </w:rPr>
        <w:t xml:space="preserve">donde caben destacar </w:t>
      </w:r>
      <w:r w:rsidR="00A37732">
        <w:rPr>
          <w:rFonts w:ascii="Arial" w:hAnsi="Arial" w:cs="Arial"/>
          <w:color w:val="000000" w:themeColor="text1"/>
          <w:sz w:val="22"/>
        </w:rPr>
        <w:t xml:space="preserve">algunas disposiciones particulares. En este sentido, el artículo </w:t>
      </w:r>
      <w:r w:rsidR="00A37732" w:rsidRPr="00E41855">
        <w:rPr>
          <w:rFonts w:ascii="Arial" w:hAnsi="Arial" w:cs="Arial"/>
          <w:color w:val="000000" w:themeColor="text1"/>
          <w:sz w:val="22"/>
        </w:rPr>
        <w:t>2.2.1.2.1.2.2. del decreto indicado establece:</w:t>
      </w:r>
    </w:p>
    <w:p w14:paraId="5563CA53" w14:textId="77777777" w:rsidR="00F96EA1" w:rsidRPr="00E41855" w:rsidRDefault="00F96EA1" w:rsidP="00E41855">
      <w:pPr>
        <w:spacing w:line="276" w:lineRule="auto"/>
        <w:ind w:firstLine="709"/>
        <w:jc w:val="both"/>
        <w:rPr>
          <w:rFonts w:ascii="Arial" w:hAnsi="Arial" w:cs="Arial"/>
          <w:color w:val="000000" w:themeColor="text1"/>
          <w:sz w:val="22"/>
        </w:rPr>
      </w:pPr>
    </w:p>
    <w:p w14:paraId="0A09C379" w14:textId="77777777" w:rsidR="00A37732" w:rsidRPr="00E41855" w:rsidRDefault="00A37732" w:rsidP="00E41855">
      <w:pPr>
        <w:spacing w:after="120"/>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Artículo 2.2.1.2.1.2.2. Procedimiento para la subasta inversa. Además de las reglas generales previstas en la ley y en el presente título, las siguientes reglas son aplicables a la subasta inversa:</w:t>
      </w:r>
    </w:p>
    <w:p w14:paraId="339CAA56" w14:textId="0299A752" w:rsidR="00A37732" w:rsidRPr="00E41855" w:rsidRDefault="00A37732" w:rsidP="00E41855">
      <w:pPr>
        <w:spacing w:after="120"/>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1. Los pliegos de condiciones deben indicar: a) la fecha y hora de inicio de la subasta; b) la periodicidad de los Lances; y c) el Margen Mínimo para mejorar la oferta durante la subasta inversa.</w:t>
      </w:r>
    </w:p>
    <w:p w14:paraId="1C3F739F" w14:textId="7F7044EC" w:rsidR="00A37732" w:rsidRPr="00E41855" w:rsidRDefault="00A37732" w:rsidP="00E41855">
      <w:pPr>
        <w:spacing w:after="120"/>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 xml:space="preserve">2. </w:t>
      </w:r>
      <w:r w:rsidRPr="00E41855">
        <w:rPr>
          <w:rFonts w:ascii="Arial" w:hAnsi="Arial" w:cs="Arial"/>
          <w:i/>
          <w:iCs/>
          <w:color w:val="000000" w:themeColor="text1"/>
          <w:sz w:val="21"/>
          <w:szCs w:val="21"/>
        </w:rPr>
        <w:t>La oferta debe contener dos partes, la primera en la cual el interesado acredite su capacidad de participar en el Proceso de Contratación y acredite el cumplimiento de la ficha técnica</w:t>
      </w:r>
      <w:r w:rsidRPr="00E41855">
        <w:rPr>
          <w:rFonts w:ascii="Arial" w:hAnsi="Arial" w:cs="Arial"/>
          <w:color w:val="000000" w:themeColor="text1"/>
          <w:sz w:val="21"/>
          <w:szCs w:val="21"/>
        </w:rPr>
        <w:t>; y la segunda parte debe contener el precio inicial propuesto por el oferente.</w:t>
      </w:r>
    </w:p>
    <w:p w14:paraId="49434E16" w14:textId="1780FD9D" w:rsidR="00A37732" w:rsidRDefault="00A37732" w:rsidP="00A37732">
      <w:pPr>
        <w:spacing w:after="120"/>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lastRenderedPageBreak/>
        <w:t xml:space="preserve">3. </w:t>
      </w:r>
      <w:r w:rsidRPr="00E41855">
        <w:rPr>
          <w:rFonts w:ascii="Arial" w:hAnsi="Arial" w:cs="Arial"/>
          <w:i/>
          <w:iCs/>
          <w:color w:val="000000" w:themeColor="text1"/>
          <w:sz w:val="21"/>
          <w:szCs w:val="21"/>
        </w:rPr>
        <w:t>La Entidad Estatal debe publicar un informe de habilitación de los oferentes, en el cual debe indicar si los bienes o servicios ofrecidos por el interesado cumplen con la ficha técnica y si el oferente se encuentra habilitado</w:t>
      </w:r>
      <w:r w:rsidRPr="00E41855">
        <w:rPr>
          <w:rFonts w:ascii="Arial" w:hAnsi="Arial" w:cs="Arial"/>
          <w:color w:val="000000" w:themeColor="text1"/>
          <w:sz w:val="21"/>
          <w:szCs w:val="21"/>
        </w:rPr>
        <w:t>.</w:t>
      </w:r>
    </w:p>
    <w:p w14:paraId="4A8E223D" w14:textId="64B4CBB4" w:rsidR="00A37732" w:rsidRDefault="00A37732" w:rsidP="00E41855">
      <w:pPr>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06F796F4" w14:textId="77777777" w:rsidR="00F96EA1" w:rsidRDefault="00F96EA1" w:rsidP="00E41855">
      <w:pPr>
        <w:ind w:left="709" w:right="709"/>
        <w:jc w:val="both"/>
        <w:rPr>
          <w:rFonts w:ascii="Arial" w:hAnsi="Arial" w:cs="Arial"/>
          <w:color w:val="000000" w:themeColor="text1"/>
          <w:sz w:val="21"/>
          <w:szCs w:val="21"/>
        </w:rPr>
      </w:pPr>
    </w:p>
    <w:p w14:paraId="6CE3DF8E" w14:textId="286DA563" w:rsidR="00A37732" w:rsidRDefault="001C1492" w:rsidP="00E41855">
      <w:pPr>
        <w:spacing w:after="12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Como se deriva de la disposición </w:t>
      </w:r>
      <w:r w:rsidR="00D7018D">
        <w:rPr>
          <w:rFonts w:ascii="Arial" w:hAnsi="Arial" w:cs="Arial"/>
          <w:color w:val="000000" w:themeColor="text1"/>
          <w:sz w:val="22"/>
          <w:szCs w:val="22"/>
        </w:rPr>
        <w:t>citada</w:t>
      </w:r>
      <w:r>
        <w:rPr>
          <w:rFonts w:ascii="Arial" w:hAnsi="Arial" w:cs="Arial"/>
          <w:color w:val="000000" w:themeColor="text1"/>
          <w:sz w:val="22"/>
          <w:szCs w:val="22"/>
        </w:rPr>
        <w:t xml:space="preserve">, los proponentes al presentar sus propuestas deben acreditar el «cumplimiento de la ficha técnica» y, a su vez, las entidades estatales en el informe de evaluación deben «indicar si los bienes o servicios ofrecidos por el interesado cumplen con la ficha técnica» y determinar, en consecuencia, si el oferente se encuentra habilitado. </w:t>
      </w:r>
    </w:p>
    <w:p w14:paraId="5748CEEA" w14:textId="116E969E" w:rsidR="001C1492" w:rsidRDefault="001C1492" w:rsidP="00E41855">
      <w:pPr>
        <w:spacing w:after="12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De conformidad con lo</w:t>
      </w:r>
      <w:r w:rsidR="007C0F96">
        <w:rPr>
          <w:rFonts w:ascii="Arial" w:hAnsi="Arial" w:cs="Arial"/>
          <w:color w:val="000000" w:themeColor="text1"/>
          <w:sz w:val="22"/>
          <w:szCs w:val="22"/>
        </w:rPr>
        <w:t xml:space="preserve"> explicado</w:t>
      </w:r>
      <w:r>
        <w:rPr>
          <w:rFonts w:ascii="Arial" w:hAnsi="Arial" w:cs="Arial"/>
          <w:color w:val="000000" w:themeColor="text1"/>
          <w:sz w:val="22"/>
          <w:szCs w:val="22"/>
        </w:rPr>
        <w:t xml:space="preserve">, en estos procedimientos de selección el proponente debe cumplir con un requisito de participación adicional, que lo habilita para participar del certamen de subasta inversa, consistente en acreditar el cumplimiento de la ficha técnica. </w:t>
      </w:r>
    </w:p>
    <w:p w14:paraId="2A0AEF66" w14:textId="0C36B40D" w:rsidR="001C1492" w:rsidRPr="00E41855" w:rsidRDefault="001C1492" w:rsidP="00E41855">
      <w:pPr>
        <w:spacing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En tal sentido, se considera que la exigencia anterior constituye un requisito habilitante adicional y especial establecido por el reglamento en el artículo citado. </w:t>
      </w:r>
      <w:r w:rsidR="00A42061">
        <w:rPr>
          <w:rFonts w:ascii="Arial" w:hAnsi="Arial" w:cs="Arial"/>
          <w:color w:val="000000" w:themeColor="text1"/>
          <w:sz w:val="22"/>
          <w:szCs w:val="22"/>
        </w:rPr>
        <w:t>Dicha</w:t>
      </w:r>
      <w:r>
        <w:rPr>
          <w:rFonts w:ascii="Arial" w:hAnsi="Arial" w:cs="Arial"/>
          <w:color w:val="000000" w:themeColor="text1"/>
          <w:sz w:val="22"/>
          <w:szCs w:val="22"/>
        </w:rPr>
        <w:t xml:space="preserve"> idea resulta armónica con la postura expuesta previamente en el sentido de que los únicos requisitos habilitantes no son los establecidos en el artículo 5 de la Ley 1150 de 2007, pero sí son algunos de ellos, a los que, por regla general, no se les puede asignar puntaje</w:t>
      </w:r>
      <w:r>
        <w:rPr>
          <w:rStyle w:val="Refdenotaalpie"/>
          <w:rFonts w:ascii="Arial" w:hAnsi="Arial" w:cs="Arial"/>
          <w:color w:val="000000" w:themeColor="text1"/>
          <w:sz w:val="22"/>
          <w:szCs w:val="22"/>
        </w:rPr>
        <w:footnoteReference w:id="5"/>
      </w:r>
      <w:r>
        <w:rPr>
          <w:rFonts w:ascii="Arial" w:hAnsi="Arial" w:cs="Arial"/>
          <w:color w:val="000000" w:themeColor="text1"/>
          <w:sz w:val="22"/>
          <w:szCs w:val="22"/>
        </w:rPr>
        <w:t>.</w:t>
      </w:r>
    </w:p>
    <w:p w14:paraId="2399A2FE" w14:textId="580EA88A" w:rsidR="0025556F" w:rsidRDefault="0025556F" w:rsidP="00E41855">
      <w:pPr>
        <w:spacing w:line="276" w:lineRule="auto"/>
        <w:jc w:val="both"/>
        <w:rPr>
          <w:rFonts w:ascii="Arial" w:hAnsi="Arial" w:cs="Arial"/>
          <w:color w:val="000000" w:themeColor="text1"/>
          <w:sz w:val="22"/>
        </w:rPr>
      </w:pPr>
    </w:p>
    <w:p w14:paraId="45648DCD" w14:textId="7E54D861" w:rsidR="0025556F" w:rsidRPr="00E41855" w:rsidRDefault="0025556F" w:rsidP="00E41855">
      <w:pPr>
        <w:spacing w:line="276" w:lineRule="auto"/>
        <w:jc w:val="both"/>
        <w:rPr>
          <w:rFonts w:ascii="Arial" w:hAnsi="Arial" w:cs="Arial"/>
          <w:b/>
          <w:bCs/>
          <w:color w:val="000000" w:themeColor="text1"/>
          <w:sz w:val="22"/>
        </w:rPr>
      </w:pPr>
      <w:r>
        <w:rPr>
          <w:rFonts w:ascii="Arial" w:hAnsi="Arial" w:cs="Arial"/>
          <w:b/>
          <w:bCs/>
          <w:color w:val="000000" w:themeColor="text1"/>
          <w:sz w:val="22"/>
        </w:rPr>
        <w:t>2.3. Análisis del sector</w:t>
      </w:r>
    </w:p>
    <w:p w14:paraId="6A50CC15" w14:textId="20A48529" w:rsidR="00985CA0" w:rsidRDefault="00985CA0" w:rsidP="00E41855">
      <w:pPr>
        <w:spacing w:line="276" w:lineRule="auto"/>
        <w:jc w:val="both"/>
        <w:rPr>
          <w:rFonts w:ascii="Arial" w:eastAsia="Arial" w:hAnsi="Arial" w:cs="Arial"/>
          <w:sz w:val="22"/>
          <w:szCs w:val="22"/>
          <w:lang w:bidi="es-ES"/>
        </w:rPr>
      </w:pPr>
    </w:p>
    <w:p w14:paraId="457C9502" w14:textId="37455253" w:rsidR="00880AB4" w:rsidRPr="00880AB4" w:rsidRDefault="00880AB4" w:rsidP="00E41855">
      <w:pPr>
        <w:spacing w:after="120" w:line="276" w:lineRule="auto"/>
        <w:jc w:val="both"/>
        <w:rPr>
          <w:rFonts w:ascii="Arial" w:eastAsia="Arial" w:hAnsi="Arial" w:cs="Arial"/>
          <w:sz w:val="22"/>
          <w:szCs w:val="22"/>
          <w:lang w:val="es-ES" w:bidi="es-ES"/>
        </w:rPr>
      </w:pPr>
      <w:r w:rsidRPr="00880AB4">
        <w:rPr>
          <w:rFonts w:ascii="Arial" w:eastAsia="Arial" w:hAnsi="Arial" w:cs="Arial"/>
          <w:sz w:val="22"/>
          <w:szCs w:val="22"/>
          <w:lang w:val="es-ES" w:bidi="es-ES"/>
        </w:rPr>
        <w:t>Finalmente, frente al análisis del sector, durante la etapa de planeación de los procesos de contratación, las entidades estatales deben realizar el análisis del mercado del bien o servicio que</w:t>
      </w:r>
      <w:r w:rsidR="00CB3C3A">
        <w:rPr>
          <w:rFonts w:ascii="Arial" w:eastAsia="Arial" w:hAnsi="Arial" w:cs="Arial"/>
          <w:sz w:val="22"/>
          <w:szCs w:val="22"/>
          <w:lang w:val="es-ES" w:bidi="es-ES"/>
        </w:rPr>
        <w:t xml:space="preserve"> se</w:t>
      </w:r>
      <w:r w:rsidRPr="00880AB4">
        <w:rPr>
          <w:rFonts w:ascii="Arial" w:eastAsia="Arial" w:hAnsi="Arial" w:cs="Arial"/>
          <w:sz w:val="22"/>
          <w:szCs w:val="22"/>
          <w:lang w:val="es-ES" w:bidi="es-ES"/>
        </w:rPr>
        <w:t xml:space="preserve"> pretende adquirir. El Decreto 1082 de 2015 establece este deber y dispone que las entidades estatales deben conocer el sector relativo al objeto del </w:t>
      </w:r>
      <w:r w:rsidR="0025556F">
        <w:rPr>
          <w:rFonts w:ascii="Arial" w:eastAsia="Arial" w:hAnsi="Arial" w:cs="Arial"/>
          <w:sz w:val="22"/>
          <w:szCs w:val="22"/>
          <w:lang w:val="es-ES" w:bidi="es-ES"/>
        </w:rPr>
        <w:t>p</w:t>
      </w:r>
      <w:r w:rsidRPr="00880AB4">
        <w:rPr>
          <w:rFonts w:ascii="Arial" w:eastAsia="Arial" w:hAnsi="Arial" w:cs="Arial"/>
          <w:sz w:val="22"/>
          <w:szCs w:val="22"/>
          <w:lang w:val="es-ES" w:bidi="es-ES"/>
        </w:rPr>
        <w:t xml:space="preserve">roceso de </w:t>
      </w:r>
      <w:r w:rsidR="0025556F">
        <w:rPr>
          <w:rFonts w:ascii="Arial" w:eastAsia="Arial" w:hAnsi="Arial" w:cs="Arial"/>
          <w:sz w:val="22"/>
          <w:szCs w:val="22"/>
          <w:lang w:val="es-ES" w:bidi="es-ES"/>
        </w:rPr>
        <w:t>c</w:t>
      </w:r>
      <w:r w:rsidRPr="00880AB4">
        <w:rPr>
          <w:rFonts w:ascii="Arial" w:eastAsia="Arial" w:hAnsi="Arial" w:cs="Arial"/>
          <w:sz w:val="22"/>
          <w:szCs w:val="22"/>
          <w:lang w:val="es-ES" w:bidi="es-ES"/>
        </w:rPr>
        <w:t>ontratación, desde la perspectiva legal, comercial, financiera, organizacional, técnica y de análisis de riesgo</w:t>
      </w:r>
      <w:r w:rsidRPr="00880AB4">
        <w:rPr>
          <w:rFonts w:ascii="Arial" w:eastAsia="Arial" w:hAnsi="Arial" w:cs="Arial"/>
          <w:sz w:val="22"/>
          <w:szCs w:val="22"/>
          <w:vertAlign w:val="superscript"/>
          <w:lang w:val="es-ES" w:bidi="es-ES"/>
        </w:rPr>
        <w:footnoteReference w:id="6"/>
      </w:r>
      <w:r w:rsidRPr="00880AB4">
        <w:rPr>
          <w:rFonts w:ascii="Arial" w:eastAsia="Arial" w:hAnsi="Arial" w:cs="Arial"/>
          <w:sz w:val="22"/>
          <w:szCs w:val="22"/>
          <w:lang w:val="es-ES" w:bidi="es-ES"/>
        </w:rPr>
        <w:t>.</w:t>
      </w:r>
    </w:p>
    <w:p w14:paraId="153D046A" w14:textId="718992F9" w:rsidR="00880AB4" w:rsidRPr="00880AB4" w:rsidRDefault="00880AB4" w:rsidP="00E41855">
      <w:pPr>
        <w:spacing w:after="120" w:line="276" w:lineRule="auto"/>
        <w:ind w:firstLine="720"/>
        <w:jc w:val="both"/>
        <w:rPr>
          <w:rFonts w:ascii="Arial" w:eastAsia="Arial" w:hAnsi="Arial" w:cs="Arial"/>
          <w:sz w:val="22"/>
          <w:szCs w:val="22"/>
          <w:lang w:val="es-ES" w:bidi="es-ES"/>
        </w:rPr>
      </w:pPr>
      <w:r w:rsidRPr="00880AB4">
        <w:rPr>
          <w:rFonts w:ascii="Arial" w:eastAsia="Arial" w:hAnsi="Arial" w:cs="Arial"/>
          <w:sz w:val="22"/>
          <w:szCs w:val="22"/>
          <w:lang w:val="es-ES" w:bidi="es-ES"/>
        </w:rPr>
        <w:t xml:space="preserve">Entonces, la entidad estatal debe entender la dinámica del mercado en lo que corresponde a la cadena de producción o distribución o suministro del bien o servicio, así como identificar cuál y cómo es el proceso del bien hasta llegar al usuario final, el </w:t>
      </w:r>
      <w:r w:rsidR="00E869AA">
        <w:rPr>
          <w:rFonts w:ascii="Arial" w:eastAsia="Arial" w:hAnsi="Arial" w:cs="Arial"/>
          <w:sz w:val="22"/>
          <w:szCs w:val="22"/>
          <w:lang w:val="es-ES" w:bidi="es-ES"/>
        </w:rPr>
        <w:t>rol</w:t>
      </w:r>
      <w:r w:rsidRPr="00880AB4">
        <w:rPr>
          <w:rFonts w:ascii="Arial" w:eastAsia="Arial" w:hAnsi="Arial" w:cs="Arial"/>
          <w:sz w:val="22"/>
          <w:szCs w:val="22"/>
          <w:lang w:val="es-ES" w:bidi="es-ES"/>
        </w:rPr>
        <w:t xml:space="preserve"> que </w:t>
      </w:r>
      <w:r w:rsidRPr="00880AB4">
        <w:rPr>
          <w:rFonts w:ascii="Arial" w:eastAsia="Arial" w:hAnsi="Arial" w:cs="Arial"/>
          <w:sz w:val="22"/>
          <w:szCs w:val="22"/>
          <w:lang w:val="es-ES" w:bidi="es-ES"/>
        </w:rPr>
        <w:lastRenderedPageBreak/>
        <w:t>juegan las potenciales oferentes en esa cadena y su ciclo de vida, de manera que pueda identificar y determinar el costo total del bien o servicio.</w:t>
      </w:r>
    </w:p>
    <w:p w14:paraId="010AC9D3" w14:textId="178B1D9C" w:rsidR="0025556F" w:rsidRPr="00880AB4" w:rsidRDefault="00880AB4" w:rsidP="00E41855">
      <w:pPr>
        <w:spacing w:after="120" w:line="276" w:lineRule="auto"/>
        <w:ind w:firstLine="720"/>
        <w:jc w:val="both"/>
        <w:rPr>
          <w:rFonts w:ascii="Arial" w:eastAsia="Arial" w:hAnsi="Arial" w:cs="Arial"/>
          <w:sz w:val="22"/>
          <w:szCs w:val="22"/>
          <w:lang w:val="es-ES" w:bidi="es-ES"/>
        </w:rPr>
      </w:pPr>
      <w:r w:rsidRPr="00880AB4">
        <w:rPr>
          <w:rFonts w:ascii="Arial" w:eastAsia="Arial" w:hAnsi="Arial" w:cs="Arial"/>
          <w:sz w:val="22"/>
          <w:szCs w:val="22"/>
          <w:lang w:val="es-ES" w:bidi="es-ES"/>
        </w:rPr>
        <w:t>Así, uno de los documentos que soportan las decisiones establecidas en el pliego de condiciones es el estudio previo, cuya elaboración es una obligación para las entidades antes de la apertura del proceso de contratación</w:t>
      </w:r>
      <w:r w:rsidRPr="00880AB4">
        <w:rPr>
          <w:rFonts w:ascii="Arial" w:eastAsia="Arial" w:hAnsi="Arial" w:cs="Arial"/>
          <w:sz w:val="22"/>
          <w:szCs w:val="22"/>
          <w:vertAlign w:val="superscript"/>
          <w:lang w:val="es-ES" w:bidi="es-ES"/>
        </w:rPr>
        <w:footnoteReference w:id="7"/>
      </w:r>
      <w:r w:rsidRPr="00880AB4">
        <w:rPr>
          <w:rFonts w:ascii="Arial" w:eastAsia="Arial" w:hAnsi="Arial" w:cs="Arial"/>
          <w:sz w:val="22"/>
          <w:szCs w:val="22"/>
          <w:lang w:val="es-ES" w:bidi="es-ES"/>
        </w:rPr>
        <w:t>, y el contenido debe estar acorde con lo indicado en el Decreto 1082 de 2015, entre lo cual se encuentra el valor del contrato</w:t>
      </w:r>
      <w:r w:rsidRPr="00880AB4">
        <w:rPr>
          <w:rFonts w:ascii="Arial" w:eastAsia="Arial" w:hAnsi="Arial" w:cs="Arial"/>
          <w:sz w:val="22"/>
          <w:szCs w:val="22"/>
          <w:vertAlign w:val="superscript"/>
          <w:lang w:val="es-ES" w:bidi="es-ES"/>
        </w:rPr>
        <w:t>6</w:t>
      </w:r>
      <w:r w:rsidRPr="00880AB4">
        <w:rPr>
          <w:rFonts w:ascii="Arial" w:eastAsia="Arial" w:hAnsi="Arial" w:cs="Arial"/>
          <w:sz w:val="22"/>
          <w:szCs w:val="22"/>
          <w:lang w:val="es-ES" w:bidi="es-ES"/>
        </w:rPr>
        <w:t>, el cual, como se indicó</w:t>
      </w:r>
      <w:r w:rsidR="0025556F">
        <w:rPr>
          <w:rFonts w:ascii="Arial" w:eastAsia="Arial" w:hAnsi="Arial" w:cs="Arial"/>
          <w:sz w:val="22"/>
          <w:szCs w:val="22"/>
          <w:lang w:val="es-ES" w:bidi="es-ES"/>
        </w:rPr>
        <w:t>,</w:t>
      </w:r>
      <w:r w:rsidRPr="00880AB4">
        <w:rPr>
          <w:rFonts w:ascii="Arial" w:eastAsia="Arial" w:hAnsi="Arial" w:cs="Arial"/>
          <w:sz w:val="22"/>
          <w:szCs w:val="22"/>
          <w:lang w:val="es-ES" w:bidi="es-ES"/>
        </w:rPr>
        <w:t xml:space="preserve"> es resultado del análisis del respectivo sector.</w:t>
      </w:r>
    </w:p>
    <w:p w14:paraId="37476468" w14:textId="41F09030" w:rsidR="00545897" w:rsidRDefault="00C53D5A" w:rsidP="00E41855">
      <w:pPr>
        <w:spacing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En particular, se recomienda a las entidades estatales acudir a la «</w:t>
      </w:r>
      <w:r w:rsidRPr="00C53D5A">
        <w:rPr>
          <w:rFonts w:ascii="Arial" w:eastAsia="Arial" w:hAnsi="Arial" w:cs="Arial"/>
          <w:sz w:val="22"/>
          <w:szCs w:val="22"/>
          <w:lang w:val="es-ES" w:bidi="es-ES"/>
        </w:rPr>
        <w:t>Guía</w:t>
      </w:r>
      <w:r>
        <w:rPr>
          <w:rFonts w:ascii="Arial" w:eastAsia="Arial" w:hAnsi="Arial" w:cs="Arial"/>
          <w:sz w:val="22"/>
          <w:szCs w:val="22"/>
          <w:lang w:val="es-ES" w:bidi="es-ES"/>
        </w:rPr>
        <w:t xml:space="preserve"> </w:t>
      </w:r>
      <w:r w:rsidRPr="00C53D5A">
        <w:rPr>
          <w:rFonts w:ascii="Arial" w:eastAsia="Arial" w:hAnsi="Arial" w:cs="Arial"/>
          <w:sz w:val="22"/>
          <w:szCs w:val="22"/>
          <w:lang w:val="es-ES" w:bidi="es-ES"/>
        </w:rPr>
        <w:t xml:space="preserve">para la </w:t>
      </w:r>
      <w:r>
        <w:rPr>
          <w:rFonts w:ascii="Arial" w:eastAsia="Arial" w:hAnsi="Arial" w:cs="Arial"/>
          <w:sz w:val="22"/>
          <w:szCs w:val="22"/>
          <w:lang w:val="es-ES" w:bidi="es-ES"/>
        </w:rPr>
        <w:t>e</w:t>
      </w:r>
      <w:r w:rsidRPr="00C53D5A">
        <w:rPr>
          <w:rFonts w:ascii="Arial" w:eastAsia="Arial" w:hAnsi="Arial" w:cs="Arial"/>
          <w:sz w:val="22"/>
          <w:szCs w:val="22"/>
          <w:lang w:val="es-ES" w:bidi="es-ES"/>
        </w:rPr>
        <w:t xml:space="preserve">laboración de </w:t>
      </w:r>
      <w:r>
        <w:rPr>
          <w:rFonts w:ascii="Arial" w:eastAsia="Arial" w:hAnsi="Arial" w:cs="Arial"/>
          <w:sz w:val="22"/>
          <w:szCs w:val="22"/>
          <w:lang w:val="es-ES" w:bidi="es-ES"/>
        </w:rPr>
        <w:t>e</w:t>
      </w:r>
      <w:r w:rsidRPr="00C53D5A">
        <w:rPr>
          <w:rFonts w:ascii="Arial" w:eastAsia="Arial" w:hAnsi="Arial" w:cs="Arial"/>
          <w:sz w:val="22"/>
          <w:szCs w:val="22"/>
          <w:lang w:val="es-ES" w:bidi="es-ES"/>
        </w:rPr>
        <w:t xml:space="preserve">studios de </w:t>
      </w:r>
      <w:r>
        <w:rPr>
          <w:rFonts w:ascii="Arial" w:eastAsia="Arial" w:hAnsi="Arial" w:cs="Arial"/>
          <w:sz w:val="22"/>
          <w:szCs w:val="22"/>
          <w:lang w:val="es-ES" w:bidi="es-ES"/>
        </w:rPr>
        <w:t>s</w:t>
      </w:r>
      <w:r w:rsidRPr="00C53D5A">
        <w:rPr>
          <w:rFonts w:ascii="Arial" w:eastAsia="Arial" w:hAnsi="Arial" w:cs="Arial"/>
          <w:sz w:val="22"/>
          <w:szCs w:val="22"/>
          <w:lang w:val="es-ES" w:bidi="es-ES"/>
        </w:rPr>
        <w:t>ector</w:t>
      </w:r>
      <w:r>
        <w:rPr>
          <w:rFonts w:ascii="Arial" w:eastAsia="Arial" w:hAnsi="Arial" w:cs="Arial"/>
          <w:sz w:val="22"/>
          <w:szCs w:val="22"/>
          <w:lang w:val="es-ES" w:bidi="es-ES"/>
        </w:rPr>
        <w:t>» publicada por la Agencia Nacional de Contratación Pública – Colombia Compra Eficiente</w:t>
      </w:r>
      <w:r w:rsidR="007624DD">
        <w:rPr>
          <w:rStyle w:val="Refdenotaalpie"/>
          <w:rFonts w:ascii="Arial" w:eastAsia="Arial" w:hAnsi="Arial" w:cs="Arial"/>
          <w:sz w:val="22"/>
          <w:szCs w:val="22"/>
          <w:lang w:val="es-ES" w:bidi="es-ES"/>
        </w:rPr>
        <w:footnoteReference w:id="8"/>
      </w:r>
      <w:r>
        <w:rPr>
          <w:rFonts w:ascii="Arial" w:eastAsia="Arial" w:hAnsi="Arial" w:cs="Arial"/>
          <w:sz w:val="22"/>
          <w:szCs w:val="22"/>
          <w:lang w:val="es-ES" w:bidi="es-ES"/>
        </w:rPr>
        <w:t>. Allí se señala respecto al estudio de la demanda que:</w:t>
      </w:r>
    </w:p>
    <w:p w14:paraId="62952BEB" w14:textId="641FE956" w:rsidR="00985CA0" w:rsidRDefault="00C53D5A" w:rsidP="00E41855">
      <w:pPr>
        <w:spacing w:line="276" w:lineRule="auto"/>
        <w:ind w:firstLine="720"/>
        <w:jc w:val="both"/>
        <w:rPr>
          <w:rFonts w:ascii="Arial" w:eastAsia="Arial" w:hAnsi="Arial" w:cs="Arial"/>
          <w:sz w:val="22"/>
          <w:szCs w:val="22"/>
          <w:lang w:val="es-ES" w:bidi="es-ES"/>
        </w:rPr>
      </w:pPr>
      <w:r>
        <w:rPr>
          <w:rFonts w:ascii="Arial" w:eastAsia="Arial" w:hAnsi="Arial" w:cs="Arial"/>
          <w:sz w:val="22"/>
          <w:szCs w:val="22"/>
          <w:lang w:val="es-ES" w:bidi="es-ES"/>
        </w:rPr>
        <w:t xml:space="preserve"> </w:t>
      </w:r>
    </w:p>
    <w:p w14:paraId="043758C8" w14:textId="20F4A08A" w:rsidR="00C53D5A" w:rsidRDefault="00C53D5A" w:rsidP="00E41855">
      <w:pPr>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La información histórica de la demanda es importante para definir ciertos puntos respecto al conocimiento particular de la necesidad a contratar, proveedor y precio de adquisición. Para el efecto la Entidad Estatal debe: (a) tener claro las cantidades que requiere comprar, en caso de ser un monto, o saber si las aproximaciones históricas muestran</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que</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ha</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tenido</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que</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hacer</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adiciones</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para</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suplir</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la</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demanda</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o</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si</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por</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el</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contrario</w:t>
      </w:r>
      <w:r w:rsidR="00644E48">
        <w:rPr>
          <w:rFonts w:ascii="Arial" w:hAnsi="Arial" w:cs="Arial"/>
          <w:color w:val="000000" w:themeColor="text1"/>
          <w:sz w:val="21"/>
          <w:szCs w:val="21"/>
        </w:rPr>
        <w:t xml:space="preserve"> </w:t>
      </w:r>
      <w:r w:rsidRPr="00E41855">
        <w:rPr>
          <w:rFonts w:ascii="Arial" w:hAnsi="Arial" w:cs="Arial"/>
          <w:color w:val="000000" w:themeColor="text1"/>
          <w:sz w:val="21"/>
          <w:szCs w:val="21"/>
        </w:rPr>
        <w:t xml:space="preserve">la demanda ha sido sobrestimada; y (b) saber cómo ha escogido a los proveedores </w:t>
      </w:r>
      <w:proofErr w:type="gramStart"/>
      <w:r w:rsidRPr="00E41855">
        <w:rPr>
          <w:rFonts w:ascii="Arial" w:hAnsi="Arial" w:cs="Arial"/>
          <w:color w:val="000000" w:themeColor="text1"/>
          <w:sz w:val="21"/>
          <w:szCs w:val="21"/>
        </w:rPr>
        <w:t>en caso que</w:t>
      </w:r>
      <w:proofErr w:type="gramEnd"/>
      <w:r w:rsidRPr="00E41855">
        <w:rPr>
          <w:rFonts w:ascii="Arial" w:hAnsi="Arial" w:cs="Arial"/>
          <w:color w:val="000000" w:themeColor="text1"/>
          <w:sz w:val="21"/>
          <w:szCs w:val="21"/>
        </w:rPr>
        <w:t xml:space="preserve"> el bien, obra o servicio haya sido contratado anteriormente. La Entidad Estatal debe indagar sobre el desempeño de estos proveedores y preguntarse si existen varios proveedores </w:t>
      </w:r>
      <w:r w:rsidRPr="00E41855">
        <w:rPr>
          <w:rFonts w:ascii="Arial" w:hAnsi="Arial" w:cs="Arial"/>
          <w:color w:val="000000" w:themeColor="text1"/>
          <w:sz w:val="21"/>
          <w:szCs w:val="21"/>
        </w:rPr>
        <w:lastRenderedPageBreak/>
        <w:t>que puedan satisfacer la necesidad y atender la demanda en el lugar donde es requerida. Por último, la Entidad Estatal debe conocer si el precio que ha pagado por el bien, obra o servicio en diferentes momentos ha sido constante teniendo en cuenta la inflación, variación de la tasa de cambio o los precios de las materias primas. El análisis de esta información histórica proporciona a la Entidad Estatal herramientas para tomar mejores decisiones de compra.</w:t>
      </w:r>
    </w:p>
    <w:p w14:paraId="7BFA58B4" w14:textId="59B56371" w:rsidR="00C53D5A" w:rsidRDefault="00C53D5A" w:rsidP="00545897">
      <w:pPr>
        <w:ind w:right="709"/>
        <w:jc w:val="both"/>
        <w:rPr>
          <w:rFonts w:ascii="Arial" w:hAnsi="Arial" w:cs="Arial"/>
          <w:color w:val="000000" w:themeColor="text1"/>
          <w:sz w:val="21"/>
          <w:szCs w:val="21"/>
        </w:rPr>
      </w:pPr>
    </w:p>
    <w:p w14:paraId="1EB4DEFD" w14:textId="28E4C8A8" w:rsidR="00644E48" w:rsidRPr="00E41855" w:rsidRDefault="00644E48" w:rsidP="00E41855">
      <w:pPr>
        <w:spacing w:before="120" w:line="276" w:lineRule="auto"/>
        <w:ind w:firstLine="709"/>
        <w:jc w:val="both"/>
        <w:rPr>
          <w:rFonts w:ascii="Arial" w:hAnsi="Arial" w:cs="Arial"/>
          <w:color w:val="000000" w:themeColor="text1"/>
          <w:sz w:val="21"/>
          <w:szCs w:val="21"/>
        </w:rPr>
      </w:pPr>
      <w:r w:rsidRPr="00E41855">
        <w:rPr>
          <w:rFonts w:ascii="Arial" w:eastAsia="Arial" w:hAnsi="Arial" w:cs="Arial"/>
          <w:sz w:val="22"/>
          <w:szCs w:val="22"/>
        </w:rPr>
        <w:t>De acuerdo con lo anterior</w:t>
      </w:r>
      <w:r w:rsidR="007624DD">
        <w:rPr>
          <w:rFonts w:ascii="Arial" w:eastAsia="Arial" w:hAnsi="Arial" w:cs="Arial"/>
          <w:sz w:val="22"/>
          <w:szCs w:val="22"/>
        </w:rPr>
        <w:t>,</w:t>
      </w:r>
      <w:r>
        <w:rPr>
          <w:rFonts w:ascii="Arial" w:eastAsia="Arial" w:hAnsi="Arial" w:cs="Arial"/>
          <w:sz w:val="22"/>
          <w:szCs w:val="22"/>
        </w:rPr>
        <w:t xml:space="preserve"> en un estudio de mercado puede resultar relevante analizar la forma como se adquirió un bien o servicio independientemente de la modalidad de selección utilizada para adquirirlo</w:t>
      </w:r>
      <w:r w:rsidR="00DF057A">
        <w:rPr>
          <w:rFonts w:ascii="Arial" w:eastAsia="Arial" w:hAnsi="Arial" w:cs="Arial"/>
          <w:sz w:val="22"/>
          <w:szCs w:val="22"/>
        </w:rPr>
        <w:t>. Sin</w:t>
      </w:r>
      <w:r>
        <w:rPr>
          <w:rFonts w:ascii="Arial" w:eastAsia="Arial" w:hAnsi="Arial" w:cs="Arial"/>
          <w:sz w:val="22"/>
          <w:szCs w:val="22"/>
        </w:rPr>
        <w:t xml:space="preserve"> embargo, todas estas variantes se deben tener en cuenta al momento de realizar </w:t>
      </w:r>
      <w:r w:rsidR="00006188">
        <w:rPr>
          <w:rFonts w:ascii="Arial" w:eastAsia="Arial" w:hAnsi="Arial" w:cs="Arial"/>
          <w:sz w:val="22"/>
          <w:szCs w:val="22"/>
        </w:rPr>
        <w:t xml:space="preserve">y valorar </w:t>
      </w:r>
      <w:r>
        <w:rPr>
          <w:rFonts w:ascii="Arial" w:eastAsia="Arial" w:hAnsi="Arial" w:cs="Arial"/>
          <w:sz w:val="22"/>
          <w:szCs w:val="22"/>
        </w:rPr>
        <w:t>el análisis del sector</w:t>
      </w:r>
      <w:r w:rsidR="007624DD">
        <w:rPr>
          <w:rFonts w:ascii="Arial" w:eastAsia="Arial" w:hAnsi="Arial" w:cs="Arial"/>
          <w:sz w:val="22"/>
          <w:szCs w:val="22"/>
        </w:rPr>
        <w:t xml:space="preserve">. </w:t>
      </w:r>
    </w:p>
    <w:p w14:paraId="11B5548E" w14:textId="0FB90F84" w:rsidR="00E27BDF" w:rsidRPr="007A6367" w:rsidRDefault="006C0DA8">
      <w:pPr>
        <w:spacing w:before="120" w:line="276" w:lineRule="auto"/>
        <w:ind w:firstLine="709"/>
        <w:jc w:val="both"/>
        <w:rPr>
          <w:rFonts w:ascii="Arial" w:eastAsia="Arial" w:hAnsi="Arial" w:cs="Arial"/>
          <w:sz w:val="22"/>
          <w:szCs w:val="22"/>
        </w:rPr>
      </w:pPr>
      <w:r w:rsidRPr="007A6367">
        <w:rPr>
          <w:rFonts w:ascii="Arial" w:eastAsia="Arial" w:hAnsi="Arial" w:cs="Arial"/>
          <w:sz w:val="22"/>
          <w:szCs w:val="22"/>
        </w:rPr>
        <w:t>Con fundamento en las consideraciones anteriores, se contestará</w:t>
      </w:r>
      <w:r w:rsidR="005E2988" w:rsidRPr="007A6367">
        <w:rPr>
          <w:rFonts w:ascii="Arial" w:eastAsia="Arial" w:hAnsi="Arial" w:cs="Arial"/>
          <w:sz w:val="22"/>
          <w:szCs w:val="22"/>
        </w:rPr>
        <w:t xml:space="preserve"> la</w:t>
      </w:r>
      <w:r w:rsidR="000E0F9B">
        <w:rPr>
          <w:rFonts w:ascii="Arial" w:eastAsia="Arial" w:hAnsi="Arial" w:cs="Arial"/>
          <w:sz w:val="22"/>
          <w:szCs w:val="22"/>
        </w:rPr>
        <w:t xml:space="preserve">s inquietudes </w:t>
      </w:r>
      <w:r w:rsidR="005E2988" w:rsidRPr="007A6367">
        <w:rPr>
          <w:rFonts w:ascii="Arial" w:eastAsia="Arial" w:hAnsi="Arial" w:cs="Arial"/>
          <w:sz w:val="22"/>
          <w:szCs w:val="22"/>
        </w:rPr>
        <w:t>elevada</w:t>
      </w:r>
      <w:r w:rsidR="000E0F9B">
        <w:rPr>
          <w:rFonts w:ascii="Arial" w:eastAsia="Arial" w:hAnsi="Arial" w:cs="Arial"/>
          <w:sz w:val="22"/>
          <w:szCs w:val="22"/>
        </w:rPr>
        <w:t>s</w:t>
      </w:r>
      <w:r w:rsidRPr="007A6367">
        <w:rPr>
          <w:rFonts w:ascii="Arial" w:eastAsia="Arial" w:hAnsi="Arial" w:cs="Arial"/>
          <w:sz w:val="22"/>
          <w:szCs w:val="22"/>
        </w:rPr>
        <w:t>.</w:t>
      </w:r>
    </w:p>
    <w:p w14:paraId="747993BD" w14:textId="77777777" w:rsidR="00E27BDF" w:rsidRPr="007A6367" w:rsidRDefault="00E27BDF">
      <w:pPr>
        <w:spacing w:line="276" w:lineRule="auto"/>
        <w:ind w:right="709"/>
        <w:jc w:val="both"/>
        <w:rPr>
          <w:rFonts w:ascii="Arial" w:eastAsia="Arial" w:hAnsi="Arial" w:cs="Arial"/>
          <w:sz w:val="21"/>
          <w:szCs w:val="21"/>
        </w:rPr>
      </w:pPr>
    </w:p>
    <w:p w14:paraId="7725B6CA" w14:textId="77777777" w:rsidR="00E27BDF" w:rsidRPr="007A6367" w:rsidRDefault="006C0DA8">
      <w:pPr>
        <w:numPr>
          <w:ilvl w:val="0"/>
          <w:numId w:val="1"/>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sidRPr="007A6367">
        <w:rPr>
          <w:rFonts w:ascii="Arial" w:eastAsia="Arial" w:hAnsi="Arial" w:cs="Arial"/>
          <w:b/>
          <w:sz w:val="22"/>
          <w:szCs w:val="22"/>
        </w:rPr>
        <w:t xml:space="preserve">Respuesta </w:t>
      </w:r>
    </w:p>
    <w:p w14:paraId="7CE24A68" w14:textId="77777777" w:rsidR="00E27BDF" w:rsidRPr="007A6367" w:rsidRDefault="00E27BDF">
      <w:pPr>
        <w:tabs>
          <w:tab w:val="left" w:pos="284"/>
        </w:tabs>
        <w:spacing w:line="276" w:lineRule="auto"/>
        <w:rPr>
          <w:rFonts w:ascii="Arial" w:eastAsia="Arial" w:hAnsi="Arial" w:cs="Arial"/>
          <w:b/>
          <w:sz w:val="22"/>
          <w:szCs w:val="22"/>
        </w:rPr>
      </w:pPr>
    </w:p>
    <w:p w14:paraId="1AC1F3A2" w14:textId="4C40D5E6" w:rsidR="008B782D" w:rsidRDefault="008B782D" w:rsidP="008B782D">
      <w:pPr>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 xml:space="preserve">i) «¿Para que un bien o servicio pueda ser considerado de características técnicas uniformes y de común utilización debe ser demandado, solicitado, adquirido o contratado por más de una entidad estatal? </w:t>
      </w:r>
    </w:p>
    <w:p w14:paraId="6E5AA38E" w14:textId="77777777" w:rsidR="008B782D" w:rsidRPr="00E41855" w:rsidRDefault="008B782D" w:rsidP="00E41855">
      <w:pPr>
        <w:ind w:left="709" w:right="709"/>
        <w:jc w:val="both"/>
        <w:rPr>
          <w:rFonts w:ascii="Arial" w:hAnsi="Arial" w:cs="Arial"/>
          <w:color w:val="000000" w:themeColor="text1"/>
          <w:sz w:val="21"/>
          <w:szCs w:val="21"/>
        </w:rPr>
      </w:pPr>
    </w:p>
    <w:p w14:paraId="1DAC46E0" w14:textId="0079DD7E" w:rsidR="008B782D" w:rsidRDefault="008B782D" w:rsidP="008B782D">
      <w:pPr>
        <w:ind w:left="709" w:right="709"/>
        <w:jc w:val="both"/>
        <w:rPr>
          <w:rFonts w:ascii="Arial" w:hAnsi="Arial" w:cs="Arial"/>
          <w:color w:val="000000" w:themeColor="text1"/>
          <w:sz w:val="21"/>
          <w:szCs w:val="21"/>
        </w:rPr>
      </w:pPr>
      <w:proofErr w:type="gramStart"/>
      <w:r w:rsidRPr="00E41855">
        <w:rPr>
          <w:rFonts w:ascii="Arial" w:hAnsi="Arial" w:cs="Arial"/>
          <w:color w:val="000000" w:themeColor="text1"/>
          <w:sz w:val="21"/>
          <w:szCs w:val="21"/>
        </w:rPr>
        <w:t>»En</w:t>
      </w:r>
      <w:proofErr w:type="gramEnd"/>
      <w:r w:rsidRPr="00E41855">
        <w:rPr>
          <w:rFonts w:ascii="Arial" w:hAnsi="Arial" w:cs="Arial"/>
          <w:color w:val="000000" w:themeColor="text1"/>
          <w:sz w:val="21"/>
          <w:szCs w:val="21"/>
        </w:rPr>
        <w:t xml:space="preserve"> otras palabras, ¿si un bien o servicio que se puede enmarcar dentro del concepto de “condiciones técnicas uniformes y de común utilización”, es recurrentemente contratado por una entidad estatal debido a su actividad misional, pero no así por otras entidades, se puede considerar como un bien o servicio de condiciones técnicas uniformes a la luz de lo dispuesto en el literal a) del numeral 2 del artículo 2 de la Ley 1150 de 2007?»</w:t>
      </w:r>
    </w:p>
    <w:p w14:paraId="1AB51768" w14:textId="53F26263" w:rsidR="008B782D" w:rsidRDefault="008B782D" w:rsidP="008B782D">
      <w:pPr>
        <w:ind w:right="709"/>
        <w:jc w:val="both"/>
        <w:rPr>
          <w:rFonts w:ascii="Arial" w:hAnsi="Arial" w:cs="Arial"/>
          <w:color w:val="000000" w:themeColor="text1"/>
          <w:sz w:val="21"/>
          <w:szCs w:val="21"/>
        </w:rPr>
      </w:pPr>
    </w:p>
    <w:p w14:paraId="038E8101" w14:textId="64978AA4" w:rsidR="008B782D" w:rsidRDefault="008B782D" w:rsidP="00E41855">
      <w:pPr>
        <w:spacing w:before="120" w:line="276" w:lineRule="auto"/>
        <w:jc w:val="both"/>
        <w:rPr>
          <w:rFonts w:ascii="Arial" w:hAnsi="Arial" w:cs="Arial"/>
          <w:color w:val="000000" w:themeColor="text1"/>
          <w:sz w:val="21"/>
          <w:szCs w:val="21"/>
        </w:rPr>
      </w:pPr>
      <w:r w:rsidRPr="00E41855">
        <w:rPr>
          <w:rFonts w:ascii="Arial" w:eastAsia="Arial" w:hAnsi="Arial" w:cs="Arial"/>
          <w:sz w:val="22"/>
          <w:szCs w:val="22"/>
        </w:rPr>
        <w:t>Siempre que se cumplan con los requisitos establecidos en el artículo 2, numeral 2, literal a)</w:t>
      </w:r>
      <w:r>
        <w:rPr>
          <w:rFonts w:ascii="Arial" w:eastAsia="Arial" w:hAnsi="Arial" w:cs="Arial"/>
          <w:sz w:val="22"/>
          <w:szCs w:val="22"/>
        </w:rPr>
        <w:t xml:space="preserve"> de la</w:t>
      </w:r>
      <w:r w:rsidRPr="00E41855">
        <w:rPr>
          <w:rFonts w:ascii="Arial" w:eastAsia="Arial" w:hAnsi="Arial" w:cs="Arial"/>
          <w:sz w:val="22"/>
          <w:szCs w:val="22"/>
        </w:rPr>
        <w:t xml:space="preserve"> Ley 1150 de 2007 y en el artículo 2.2.1.1.1.3.1 del Decreto 1082 de 2015</w:t>
      </w:r>
      <w:r w:rsidR="00C34506">
        <w:rPr>
          <w:rFonts w:ascii="Arial" w:eastAsia="Arial" w:hAnsi="Arial" w:cs="Arial"/>
          <w:sz w:val="22"/>
          <w:szCs w:val="22"/>
        </w:rPr>
        <w:t>, desarrollados en el numeral 2.1. de este concepto, es posible que un bien o servicio «</w:t>
      </w:r>
      <w:r w:rsidR="00C34506" w:rsidRPr="00E41855">
        <w:rPr>
          <w:rFonts w:ascii="Arial" w:eastAsia="Arial" w:hAnsi="Arial" w:cs="Arial"/>
          <w:sz w:val="22"/>
          <w:szCs w:val="22"/>
        </w:rPr>
        <w:t>recurrentemente contratado por una entidad estatal debido a su actividad misional, pero no así por otras entidades</w:t>
      </w:r>
      <w:r w:rsidR="00C34506">
        <w:rPr>
          <w:rFonts w:ascii="Arial" w:eastAsia="Arial" w:hAnsi="Arial" w:cs="Arial"/>
          <w:sz w:val="22"/>
          <w:szCs w:val="22"/>
        </w:rPr>
        <w:t>»</w:t>
      </w:r>
      <w:r w:rsidR="00C34506" w:rsidRPr="00E41855">
        <w:rPr>
          <w:rFonts w:ascii="Arial" w:eastAsia="Arial" w:hAnsi="Arial" w:cs="Arial"/>
          <w:sz w:val="22"/>
          <w:szCs w:val="22"/>
        </w:rPr>
        <w:t xml:space="preserve">, se considere de </w:t>
      </w:r>
      <w:r w:rsidR="00C34506">
        <w:rPr>
          <w:rFonts w:ascii="Arial" w:eastAsia="Arial" w:hAnsi="Arial" w:cs="Arial"/>
          <w:sz w:val="22"/>
          <w:szCs w:val="22"/>
        </w:rPr>
        <w:t>características</w:t>
      </w:r>
      <w:r w:rsidR="00C34506" w:rsidRPr="00E41855">
        <w:rPr>
          <w:rFonts w:ascii="Arial" w:eastAsia="Arial" w:hAnsi="Arial" w:cs="Arial"/>
          <w:sz w:val="22"/>
          <w:szCs w:val="22"/>
        </w:rPr>
        <w:t xml:space="preserve"> técnicas uniformes. Se reitera, </w:t>
      </w:r>
      <w:r w:rsidR="00C34506">
        <w:rPr>
          <w:rFonts w:ascii="Arial" w:eastAsia="Arial" w:hAnsi="Arial" w:cs="Arial"/>
          <w:sz w:val="22"/>
          <w:szCs w:val="22"/>
        </w:rPr>
        <w:t>siempre y cuando se cumpla con la noción y atributos establecidos en las disposiciones citadas.</w:t>
      </w:r>
      <w:r w:rsidR="00C34506" w:rsidRPr="00E41855">
        <w:rPr>
          <w:rFonts w:ascii="Arial" w:eastAsia="Arial" w:hAnsi="Arial" w:cs="Arial"/>
          <w:sz w:val="22"/>
          <w:szCs w:val="22"/>
        </w:rPr>
        <w:t xml:space="preserve"> </w:t>
      </w:r>
    </w:p>
    <w:p w14:paraId="17FA1317" w14:textId="77777777" w:rsidR="008B782D" w:rsidRPr="00E41855" w:rsidRDefault="008B782D" w:rsidP="00E41855">
      <w:pPr>
        <w:ind w:left="709" w:right="709"/>
        <w:jc w:val="both"/>
        <w:rPr>
          <w:rFonts w:ascii="Arial" w:hAnsi="Arial" w:cs="Arial"/>
          <w:color w:val="000000" w:themeColor="text1"/>
          <w:sz w:val="21"/>
          <w:szCs w:val="21"/>
        </w:rPr>
      </w:pPr>
    </w:p>
    <w:p w14:paraId="7527BB9D" w14:textId="6FBB0530" w:rsidR="008B782D" w:rsidRDefault="008B782D" w:rsidP="008B782D">
      <w:pPr>
        <w:ind w:left="709" w:right="709"/>
        <w:jc w:val="both"/>
        <w:rPr>
          <w:rFonts w:ascii="Arial" w:hAnsi="Arial" w:cs="Arial"/>
          <w:color w:val="000000" w:themeColor="text1"/>
          <w:sz w:val="21"/>
          <w:szCs w:val="21"/>
        </w:rPr>
      </w:pPr>
      <w:r w:rsidRPr="00E41855">
        <w:rPr>
          <w:rFonts w:ascii="Arial" w:hAnsi="Arial" w:cs="Arial"/>
          <w:color w:val="000000" w:themeColor="text1"/>
          <w:sz w:val="21"/>
          <w:szCs w:val="21"/>
        </w:rPr>
        <w:t xml:space="preserve"> </w:t>
      </w:r>
      <w:proofErr w:type="spellStart"/>
      <w:r w:rsidRPr="00E41855">
        <w:rPr>
          <w:rFonts w:ascii="Arial" w:hAnsi="Arial" w:cs="Arial"/>
          <w:color w:val="000000" w:themeColor="text1"/>
          <w:sz w:val="21"/>
          <w:szCs w:val="21"/>
        </w:rPr>
        <w:t>ii</w:t>
      </w:r>
      <w:proofErr w:type="spellEnd"/>
      <w:r w:rsidRPr="00E41855">
        <w:rPr>
          <w:rFonts w:ascii="Arial" w:hAnsi="Arial" w:cs="Arial"/>
          <w:color w:val="000000" w:themeColor="text1"/>
          <w:sz w:val="21"/>
          <w:szCs w:val="21"/>
        </w:rPr>
        <w:t xml:space="preserve">) «¿Es jurídicamente viable que las especificaciones de calidad o técnicas en un proceso de subasta inversa sean incluidas como factores habilitantes?». </w:t>
      </w:r>
    </w:p>
    <w:p w14:paraId="74C2E63D" w14:textId="7407B043" w:rsidR="008B782D" w:rsidRDefault="008B782D" w:rsidP="008B782D">
      <w:pPr>
        <w:ind w:left="709" w:right="709"/>
        <w:jc w:val="both"/>
        <w:rPr>
          <w:rFonts w:ascii="Arial" w:hAnsi="Arial" w:cs="Arial"/>
          <w:color w:val="000000" w:themeColor="text1"/>
          <w:sz w:val="21"/>
          <w:szCs w:val="21"/>
        </w:rPr>
      </w:pPr>
    </w:p>
    <w:p w14:paraId="03C1E178" w14:textId="02B1E5FB" w:rsidR="00BA46E4" w:rsidRDefault="00BA46E4" w:rsidP="00E41855">
      <w:pPr>
        <w:spacing w:after="120" w:line="276" w:lineRule="auto"/>
        <w:jc w:val="both"/>
        <w:rPr>
          <w:rFonts w:ascii="Arial" w:hAnsi="Arial" w:cs="Arial"/>
          <w:color w:val="000000" w:themeColor="text1"/>
          <w:sz w:val="22"/>
          <w:szCs w:val="22"/>
        </w:rPr>
      </w:pPr>
      <w:r w:rsidRPr="00E41855">
        <w:rPr>
          <w:rFonts w:ascii="Arial" w:hAnsi="Arial" w:cs="Arial"/>
          <w:color w:val="000000" w:themeColor="text1"/>
          <w:sz w:val="22"/>
          <w:szCs w:val="22"/>
        </w:rPr>
        <w:t>De conformidad con el análisis realizado en el numeral 2.2. de este concepto y de acuerdo con lo señalado respecto al artículo 2.2.1.2.1.2.2. del Decreto 1082 de 2015</w:t>
      </w:r>
      <w:r>
        <w:rPr>
          <w:rFonts w:ascii="Arial" w:hAnsi="Arial" w:cs="Arial"/>
          <w:color w:val="000000" w:themeColor="text1"/>
          <w:sz w:val="22"/>
          <w:szCs w:val="22"/>
        </w:rPr>
        <w:t xml:space="preserve">, los proponentes al presentar sus propuestas deben acreditar el «cumplimiento de la ficha técnica» y, a su vez, las entidades estatales en el informe de evaluación deben «indicar si </w:t>
      </w:r>
      <w:r>
        <w:rPr>
          <w:rFonts w:ascii="Arial" w:hAnsi="Arial" w:cs="Arial"/>
          <w:color w:val="000000" w:themeColor="text1"/>
          <w:sz w:val="22"/>
          <w:szCs w:val="22"/>
        </w:rPr>
        <w:lastRenderedPageBreak/>
        <w:t xml:space="preserve">los bienes o servicios ofrecidos por el interesado cumplen con la ficha técnica» y determinar, en consecuencia, si el oferente se encuentra habilitado. </w:t>
      </w:r>
    </w:p>
    <w:p w14:paraId="3FF360C1" w14:textId="77777777" w:rsidR="00BA46E4" w:rsidRDefault="00BA46E4" w:rsidP="00BA46E4">
      <w:pPr>
        <w:spacing w:after="12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De conformidad con lo anterior, en estos procedimientos de selección el proponente debe cumplir con un requisito de participación adicional, que lo habilita para participar del certamen de subasta inversa, consistente en acreditar el cumplimiento de la ficha técnica. </w:t>
      </w:r>
    </w:p>
    <w:p w14:paraId="6601EF27" w14:textId="415C4CEC" w:rsidR="008B782D" w:rsidRPr="00E41855" w:rsidRDefault="00BA46E4" w:rsidP="00E41855">
      <w:pPr>
        <w:spacing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En tal sentido, se considera que la exigencia anterior constituye un requisito habilitante adicional y especial establecido por el reglamento en el artículo citado. La idea anterior resulta armónica con la postura expuesta en el concepto, en el sentido de que los únicos requisitos habilitantes no son los establecidos en el artículo 5 de la Ley 1150 de 2007, pero sí son algunos de ellos, a los que, por regla general, no se les puede asignar puntaje.</w:t>
      </w:r>
    </w:p>
    <w:p w14:paraId="66793BA7" w14:textId="77777777" w:rsidR="008B782D" w:rsidRPr="00E41855" w:rsidRDefault="008B782D" w:rsidP="00E41855">
      <w:pPr>
        <w:ind w:left="709" w:right="709"/>
        <w:jc w:val="both"/>
        <w:rPr>
          <w:rFonts w:ascii="Arial" w:hAnsi="Arial" w:cs="Arial"/>
          <w:color w:val="000000" w:themeColor="text1"/>
          <w:sz w:val="21"/>
          <w:szCs w:val="21"/>
        </w:rPr>
      </w:pPr>
    </w:p>
    <w:p w14:paraId="7139CE26" w14:textId="5A8C95A1" w:rsidR="00E40FB2" w:rsidRPr="00E41855" w:rsidRDefault="008B782D" w:rsidP="00E41855">
      <w:pPr>
        <w:ind w:left="709" w:right="709"/>
        <w:jc w:val="both"/>
        <w:rPr>
          <w:rFonts w:ascii="Arial" w:hAnsi="Arial" w:cs="Arial"/>
          <w:color w:val="000000" w:themeColor="text1"/>
          <w:sz w:val="21"/>
          <w:szCs w:val="21"/>
        </w:rPr>
      </w:pPr>
      <w:proofErr w:type="spellStart"/>
      <w:r w:rsidRPr="00E41855">
        <w:rPr>
          <w:rFonts w:ascii="Arial" w:hAnsi="Arial" w:cs="Arial"/>
          <w:color w:val="000000" w:themeColor="text1"/>
          <w:sz w:val="21"/>
          <w:szCs w:val="21"/>
        </w:rPr>
        <w:t>iii</w:t>
      </w:r>
      <w:proofErr w:type="spellEnd"/>
      <w:r w:rsidRPr="00E41855">
        <w:rPr>
          <w:rFonts w:ascii="Arial" w:hAnsi="Arial" w:cs="Arial"/>
          <w:color w:val="000000" w:themeColor="text1"/>
          <w:sz w:val="21"/>
          <w:szCs w:val="21"/>
        </w:rPr>
        <w:t>) «¿Una entidad estatal, para efectos de construir tanto su estudio de mercado como el presupuesto del proceso de selección, puede/debe tomar como referencia el precio pagado en un contrato de iguales características en cuanto a su objeto que hubiese celebrado con anterioridad con independencia de si este tuvo como origen una licitación o una subasta inversa?</w:t>
      </w:r>
      <w:r w:rsidR="00C60E66" w:rsidRPr="00E41855">
        <w:rPr>
          <w:rFonts w:ascii="Arial" w:hAnsi="Arial" w:cs="Arial"/>
          <w:color w:val="000000" w:themeColor="text1"/>
          <w:sz w:val="21"/>
          <w:szCs w:val="21"/>
        </w:rPr>
        <w:t>»</w:t>
      </w:r>
    </w:p>
    <w:p w14:paraId="2CBA0195" w14:textId="77777777" w:rsidR="00D616D1" w:rsidRPr="007A6367" w:rsidRDefault="00D616D1" w:rsidP="00D616D1">
      <w:pPr>
        <w:ind w:left="709" w:right="758"/>
        <w:jc w:val="both"/>
        <w:rPr>
          <w:rFonts w:ascii="Arial" w:eastAsia="Arial" w:hAnsi="Arial" w:cs="Arial"/>
          <w:sz w:val="22"/>
          <w:szCs w:val="22"/>
        </w:rPr>
      </w:pPr>
    </w:p>
    <w:p w14:paraId="0E68C907" w14:textId="08C17EB3" w:rsidR="0029757A" w:rsidRDefault="005751F3" w:rsidP="00E41855">
      <w:pPr>
        <w:pStyle w:val="Sinespaciado"/>
        <w:spacing w:after="120" w:line="276" w:lineRule="auto"/>
        <w:jc w:val="both"/>
        <w:rPr>
          <w:rFonts w:ascii="Arial" w:hAnsi="Arial" w:cs="Arial"/>
          <w:sz w:val="22"/>
          <w:szCs w:val="22"/>
        </w:rPr>
      </w:pPr>
      <w:r w:rsidRPr="005751F3">
        <w:rPr>
          <w:rFonts w:ascii="Arial" w:hAnsi="Arial" w:cs="Arial"/>
          <w:sz w:val="22"/>
          <w:szCs w:val="22"/>
          <w:lang w:bidi="es-ES"/>
        </w:rPr>
        <w:t xml:space="preserve"> </w:t>
      </w:r>
      <w:r w:rsidR="00C66EE8">
        <w:rPr>
          <w:rFonts w:ascii="Arial" w:hAnsi="Arial" w:cs="Arial"/>
          <w:sz w:val="22"/>
          <w:szCs w:val="22"/>
          <w:lang w:bidi="es-ES"/>
        </w:rPr>
        <w:t>En relación con e</w:t>
      </w:r>
      <w:r w:rsidRPr="005751F3">
        <w:rPr>
          <w:rFonts w:ascii="Arial" w:hAnsi="Arial" w:cs="Arial"/>
          <w:sz w:val="22"/>
          <w:szCs w:val="22"/>
          <w:lang w:bidi="es-ES"/>
        </w:rPr>
        <w:t>l análisis del sector</w:t>
      </w:r>
      <w:r>
        <w:rPr>
          <w:rFonts w:ascii="Arial" w:hAnsi="Arial" w:cs="Arial"/>
          <w:sz w:val="22"/>
          <w:szCs w:val="22"/>
          <w:lang w:bidi="es-ES"/>
        </w:rPr>
        <w:t xml:space="preserve"> (estudio de mercado)</w:t>
      </w:r>
      <w:r w:rsidRPr="005751F3">
        <w:rPr>
          <w:rFonts w:ascii="Arial" w:hAnsi="Arial" w:cs="Arial"/>
          <w:sz w:val="22"/>
          <w:szCs w:val="22"/>
          <w:lang w:bidi="es-ES"/>
        </w:rPr>
        <w:t>, durante la etapa de planeación de los procesos de contratación, las entidades estatales deben realizar el análisis del mercado del bien o servicio que pretende</w:t>
      </w:r>
      <w:r w:rsidR="00BA46E4">
        <w:rPr>
          <w:rFonts w:ascii="Arial" w:hAnsi="Arial" w:cs="Arial"/>
          <w:sz w:val="22"/>
          <w:szCs w:val="22"/>
          <w:lang w:bidi="es-ES"/>
        </w:rPr>
        <w:t>n</w:t>
      </w:r>
      <w:r w:rsidRPr="005751F3">
        <w:rPr>
          <w:rFonts w:ascii="Arial" w:hAnsi="Arial" w:cs="Arial"/>
          <w:sz w:val="22"/>
          <w:szCs w:val="22"/>
          <w:lang w:bidi="es-ES"/>
        </w:rPr>
        <w:t xml:space="preserve"> adquirir. El Decreto 1082 de 2015 establece este deber y dispone que las entidades estatales deben conocer el sector relativo al objeto del </w:t>
      </w:r>
      <w:r w:rsidR="00BA46E4">
        <w:rPr>
          <w:rFonts w:ascii="Arial" w:hAnsi="Arial" w:cs="Arial"/>
          <w:sz w:val="22"/>
          <w:szCs w:val="22"/>
          <w:lang w:bidi="es-ES"/>
        </w:rPr>
        <w:t>p</w:t>
      </w:r>
      <w:r w:rsidRPr="005751F3">
        <w:rPr>
          <w:rFonts w:ascii="Arial" w:hAnsi="Arial" w:cs="Arial"/>
          <w:sz w:val="22"/>
          <w:szCs w:val="22"/>
          <w:lang w:bidi="es-ES"/>
        </w:rPr>
        <w:t xml:space="preserve">roceso de </w:t>
      </w:r>
      <w:r w:rsidR="00BA46E4">
        <w:rPr>
          <w:rFonts w:ascii="Arial" w:hAnsi="Arial" w:cs="Arial"/>
          <w:sz w:val="22"/>
          <w:szCs w:val="22"/>
          <w:lang w:bidi="es-ES"/>
        </w:rPr>
        <w:t>c</w:t>
      </w:r>
      <w:r w:rsidRPr="005751F3">
        <w:rPr>
          <w:rFonts w:ascii="Arial" w:hAnsi="Arial" w:cs="Arial"/>
          <w:sz w:val="22"/>
          <w:szCs w:val="22"/>
          <w:lang w:bidi="es-ES"/>
        </w:rPr>
        <w:t>ontratación, desde la perspectiva legal, comercial, financiera, organizacional, técnica y de análisis de riesgo</w:t>
      </w:r>
      <w:r w:rsidR="00CB18CE">
        <w:rPr>
          <w:rFonts w:ascii="Arial" w:hAnsi="Arial" w:cs="Arial"/>
          <w:sz w:val="22"/>
          <w:szCs w:val="22"/>
        </w:rPr>
        <w:t xml:space="preserve">. </w:t>
      </w:r>
    </w:p>
    <w:p w14:paraId="34AB71F9" w14:textId="468E32F8" w:rsidR="0029757A" w:rsidRDefault="00BA46E4" w:rsidP="00E41855">
      <w:pPr>
        <w:pStyle w:val="Sinespaciado"/>
        <w:spacing w:after="120" w:line="276" w:lineRule="auto"/>
        <w:ind w:firstLine="720"/>
        <w:jc w:val="both"/>
        <w:rPr>
          <w:rFonts w:ascii="Arial" w:hAnsi="Arial" w:cs="Arial"/>
          <w:sz w:val="22"/>
          <w:szCs w:val="22"/>
        </w:rPr>
      </w:pPr>
      <w:r>
        <w:rPr>
          <w:rFonts w:ascii="Arial" w:hAnsi="Arial" w:cs="Arial"/>
          <w:sz w:val="22"/>
          <w:szCs w:val="22"/>
        </w:rPr>
        <w:t>P</w:t>
      </w:r>
      <w:r w:rsidR="0029757A">
        <w:rPr>
          <w:rFonts w:ascii="Arial" w:hAnsi="Arial" w:cs="Arial"/>
          <w:sz w:val="22"/>
          <w:szCs w:val="22"/>
        </w:rPr>
        <w:t>ara estructurar el análisis del sector, la entidad, debe tener en cuenta</w:t>
      </w:r>
      <w:r>
        <w:rPr>
          <w:rFonts w:ascii="Arial" w:hAnsi="Arial" w:cs="Arial"/>
          <w:sz w:val="22"/>
          <w:szCs w:val="22"/>
        </w:rPr>
        <w:t>,</w:t>
      </w:r>
      <w:r w:rsidR="0029757A">
        <w:rPr>
          <w:rFonts w:ascii="Arial" w:hAnsi="Arial" w:cs="Arial"/>
          <w:sz w:val="22"/>
          <w:szCs w:val="22"/>
        </w:rPr>
        <w:t xml:space="preserve"> entre otros factores, el estudio de la demanda, a través del cual evidenciará cómo ha adquirido en el pasado este bien, obra o servicio</w:t>
      </w:r>
      <w:r w:rsidR="007624DD">
        <w:rPr>
          <w:rFonts w:ascii="Arial" w:hAnsi="Arial" w:cs="Arial"/>
          <w:sz w:val="22"/>
          <w:szCs w:val="22"/>
        </w:rPr>
        <w:t xml:space="preserve">. En este sentido, </w:t>
      </w:r>
      <w:r w:rsidR="0029757A">
        <w:rPr>
          <w:rFonts w:ascii="Arial" w:hAnsi="Arial" w:cs="Arial"/>
          <w:sz w:val="22"/>
          <w:szCs w:val="22"/>
        </w:rPr>
        <w:t>analizar</w:t>
      </w:r>
      <w:r w:rsidR="007624DD">
        <w:rPr>
          <w:rFonts w:ascii="Arial" w:hAnsi="Arial" w:cs="Arial"/>
          <w:sz w:val="22"/>
          <w:szCs w:val="22"/>
        </w:rPr>
        <w:t>á</w:t>
      </w:r>
      <w:r w:rsidR="0029757A">
        <w:rPr>
          <w:rFonts w:ascii="Arial" w:hAnsi="Arial" w:cs="Arial"/>
          <w:sz w:val="22"/>
          <w:szCs w:val="22"/>
        </w:rPr>
        <w:t xml:space="preserve"> el comportamiento de sus adquisiciones anteriores teniendo en cuenta aspectos como: modalidad de selección, objeto del contrato, calidad del bien o servicio, valor de los contratos y forma de pago, número de contratos suscritos, presupuesto con cargo al cual han sido ejecutados esos contratos. </w:t>
      </w:r>
    </w:p>
    <w:p w14:paraId="3CD899F1" w14:textId="46AF030D" w:rsidR="007624DD" w:rsidRDefault="007624DD" w:rsidP="00E7018A">
      <w:pPr>
        <w:pStyle w:val="Sinespaciado"/>
        <w:spacing w:line="276" w:lineRule="auto"/>
        <w:ind w:firstLine="720"/>
        <w:jc w:val="both"/>
        <w:rPr>
          <w:rFonts w:ascii="Arial" w:eastAsia="Arial" w:hAnsi="Arial" w:cs="Arial"/>
          <w:sz w:val="22"/>
          <w:szCs w:val="22"/>
        </w:rPr>
      </w:pPr>
      <w:r w:rsidRPr="007746D5">
        <w:rPr>
          <w:rFonts w:ascii="Arial" w:eastAsia="Arial" w:hAnsi="Arial" w:cs="Arial"/>
          <w:sz w:val="22"/>
          <w:szCs w:val="22"/>
        </w:rPr>
        <w:t>De acuerdo con lo anterior</w:t>
      </w:r>
      <w:r>
        <w:rPr>
          <w:rFonts w:ascii="Arial" w:eastAsia="Arial" w:hAnsi="Arial" w:cs="Arial"/>
          <w:sz w:val="22"/>
          <w:szCs w:val="22"/>
        </w:rPr>
        <w:t xml:space="preserve">, en un estudio de mercado </w:t>
      </w:r>
      <w:r w:rsidRPr="00E41855">
        <w:rPr>
          <w:rFonts w:ascii="Arial" w:eastAsia="Arial" w:hAnsi="Arial" w:cs="Arial"/>
          <w:i/>
          <w:iCs/>
          <w:sz w:val="22"/>
          <w:szCs w:val="22"/>
        </w:rPr>
        <w:t>puede</w:t>
      </w:r>
      <w:r>
        <w:rPr>
          <w:rFonts w:ascii="Arial" w:eastAsia="Arial" w:hAnsi="Arial" w:cs="Arial"/>
          <w:sz w:val="22"/>
          <w:szCs w:val="22"/>
        </w:rPr>
        <w:t xml:space="preserve"> resultar relevante analizar la forma como se adquirió un bien o servicio, independientemente de la modalidad de selección utilizada para adquirirlo; sin embargo, todas estas variantes se deben tener en cuenta al momento de realizar </w:t>
      </w:r>
      <w:r w:rsidR="00006188">
        <w:rPr>
          <w:rFonts w:ascii="Arial" w:eastAsia="Arial" w:hAnsi="Arial" w:cs="Arial"/>
          <w:sz w:val="22"/>
          <w:szCs w:val="22"/>
        </w:rPr>
        <w:t xml:space="preserve">y valorar </w:t>
      </w:r>
      <w:r>
        <w:rPr>
          <w:rFonts w:ascii="Arial" w:eastAsia="Arial" w:hAnsi="Arial" w:cs="Arial"/>
          <w:sz w:val="22"/>
          <w:szCs w:val="22"/>
        </w:rPr>
        <w:t>el análisis del sector.</w:t>
      </w:r>
    </w:p>
    <w:p w14:paraId="2D87CCA0" w14:textId="77777777" w:rsidR="007624DD" w:rsidRPr="00E7018A" w:rsidRDefault="007624DD" w:rsidP="00E7018A">
      <w:pPr>
        <w:pStyle w:val="Sinespaciado"/>
        <w:spacing w:line="276" w:lineRule="auto"/>
        <w:ind w:firstLine="720"/>
        <w:jc w:val="both"/>
        <w:rPr>
          <w:rFonts w:ascii="Arial" w:hAnsi="Arial" w:cs="Arial"/>
          <w:sz w:val="22"/>
          <w:szCs w:val="22"/>
        </w:rPr>
      </w:pPr>
    </w:p>
    <w:p w14:paraId="1DEA64EA" w14:textId="75AAC902" w:rsidR="00E27BDF" w:rsidRPr="007A6367" w:rsidRDefault="006C0DA8" w:rsidP="00E7018A">
      <w:pPr>
        <w:spacing w:before="120" w:line="276" w:lineRule="auto"/>
        <w:ind w:firstLine="720"/>
        <w:jc w:val="both"/>
        <w:rPr>
          <w:rFonts w:ascii="Arial" w:eastAsia="Arial" w:hAnsi="Arial" w:cs="Arial"/>
          <w:sz w:val="22"/>
          <w:szCs w:val="22"/>
        </w:rPr>
      </w:pPr>
      <w:r w:rsidRPr="007A6367">
        <w:rPr>
          <w:rFonts w:ascii="Arial" w:eastAsia="Arial" w:hAnsi="Arial" w:cs="Arial"/>
          <w:sz w:val="22"/>
          <w:szCs w:val="22"/>
        </w:rPr>
        <w:t>Este concepto tiene el alcance previsto en el artículo 28 del Código de Procedimiento Administrativo y de lo Contencioso Administrativo.</w:t>
      </w:r>
    </w:p>
    <w:p w14:paraId="442E1470" w14:textId="77777777" w:rsidR="00E27BDF" w:rsidRPr="007A6367" w:rsidRDefault="00E27BDF">
      <w:pPr>
        <w:ind w:firstLine="709"/>
        <w:jc w:val="both"/>
        <w:rPr>
          <w:rFonts w:ascii="Arial" w:eastAsia="Arial" w:hAnsi="Arial" w:cs="Arial"/>
          <w:sz w:val="22"/>
          <w:szCs w:val="22"/>
        </w:rPr>
      </w:pPr>
    </w:p>
    <w:p w14:paraId="17B24C02" w14:textId="77777777" w:rsidR="00D616D1" w:rsidRPr="007A6367" w:rsidRDefault="00D616D1" w:rsidP="00D616D1">
      <w:pPr>
        <w:spacing w:line="276" w:lineRule="auto"/>
        <w:rPr>
          <w:rFonts w:ascii="Arial" w:hAnsi="Arial" w:cs="Arial"/>
          <w:sz w:val="22"/>
          <w:lang w:val="es-ES_tradnl" w:eastAsia="es-CO"/>
        </w:rPr>
      </w:pPr>
      <w:r w:rsidRPr="007A6367">
        <w:rPr>
          <w:rFonts w:ascii="Arial" w:hAnsi="Arial" w:cs="Arial"/>
          <w:sz w:val="22"/>
          <w:lang w:val="es-ES_tradnl" w:eastAsia="es-CO"/>
        </w:rPr>
        <w:t>Atentamente,</w:t>
      </w:r>
    </w:p>
    <w:p w14:paraId="2E1AAD23" w14:textId="77777777" w:rsidR="00D616D1" w:rsidRPr="007A6367" w:rsidRDefault="00D616D1" w:rsidP="00D616D1">
      <w:pPr>
        <w:spacing w:line="276" w:lineRule="auto"/>
        <w:rPr>
          <w:rFonts w:ascii="Arial" w:hAnsi="Arial" w:cs="Arial"/>
          <w:sz w:val="18"/>
          <w:szCs w:val="20"/>
          <w:lang w:val="es-ES_tradnl" w:eastAsia="es-CO"/>
        </w:rPr>
      </w:pPr>
    </w:p>
    <w:p w14:paraId="04CDA674" w14:textId="5CF5BCD1" w:rsidR="00BA7F38" w:rsidRDefault="003402FB" w:rsidP="00BA7F38">
      <w:pPr>
        <w:jc w:val="center"/>
        <w:rPr>
          <w:lang w:val="es-ES"/>
        </w:rPr>
      </w:pPr>
      <w:r>
        <w:rPr>
          <w:noProof/>
          <w:lang w:eastAsia="es-CO"/>
        </w:rPr>
        <w:drawing>
          <wp:inline distT="0" distB="0" distL="0" distR="0" wp14:anchorId="7105A60E" wp14:editId="00C06DA9">
            <wp:extent cx="2514600" cy="111252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607769E9" w14:textId="77777777" w:rsidR="00BA7F38" w:rsidRDefault="00BA7F38" w:rsidP="00BA7F38">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BA7F38" w14:paraId="2A67DFB0" w14:textId="77777777" w:rsidTr="00E83386">
        <w:trPr>
          <w:trHeight w:val="315"/>
        </w:trPr>
        <w:tc>
          <w:tcPr>
            <w:tcW w:w="812" w:type="dxa"/>
            <w:vAlign w:val="center"/>
            <w:hideMark/>
          </w:tcPr>
          <w:p w14:paraId="6026EB35"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858" w:type="dxa"/>
            <w:tcBorders>
              <w:top w:val="nil"/>
              <w:left w:val="nil"/>
              <w:bottom w:val="dotted" w:sz="4" w:space="0" w:color="7F7F7F" w:themeColor="text1" w:themeTint="80"/>
              <w:right w:val="nil"/>
            </w:tcBorders>
            <w:vAlign w:val="center"/>
            <w:hideMark/>
          </w:tcPr>
          <w:p w14:paraId="6AC3F84C" w14:textId="77777777" w:rsidR="00BA7F38" w:rsidRDefault="00BA7F38" w:rsidP="00E83386">
            <w:pPr>
              <w:rPr>
                <w:rFonts w:ascii="Arial" w:hAnsi="Arial" w:cs="Arial"/>
                <w:color w:val="000000" w:themeColor="text1"/>
                <w:sz w:val="16"/>
                <w:szCs w:val="16"/>
                <w:lang w:val="es-ES" w:eastAsia="es-ES"/>
              </w:rPr>
            </w:pPr>
            <w:r w:rsidRPr="007A6367">
              <w:rPr>
                <w:rFonts w:ascii="Arial" w:hAnsi="Arial" w:cs="Arial"/>
                <w:sz w:val="16"/>
                <w:szCs w:val="16"/>
                <w:lang w:val="es-ES_tradnl" w:eastAsia="es-ES"/>
              </w:rPr>
              <w:t xml:space="preserve">Deisy Joanna Forero </w:t>
            </w:r>
            <w:proofErr w:type="spellStart"/>
            <w:r w:rsidRPr="007A6367">
              <w:rPr>
                <w:rFonts w:ascii="Arial" w:hAnsi="Arial" w:cs="Arial"/>
                <w:sz w:val="16"/>
                <w:szCs w:val="16"/>
                <w:lang w:val="es-ES_tradnl" w:eastAsia="es-ES"/>
              </w:rPr>
              <w:t>Forero</w:t>
            </w:r>
            <w:proofErr w:type="spellEnd"/>
            <w:r>
              <w:rPr>
                <w:rFonts w:ascii="Arial" w:hAnsi="Arial" w:cs="Arial"/>
                <w:color w:val="000000" w:themeColor="text1"/>
                <w:sz w:val="16"/>
                <w:szCs w:val="16"/>
                <w:lang w:val="es-ES" w:eastAsia="es-ES"/>
              </w:rPr>
              <w:t xml:space="preserve"> </w:t>
            </w:r>
          </w:p>
          <w:p w14:paraId="1699EEB9" w14:textId="338E078A"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tc>
      </w:tr>
      <w:tr w:rsidR="00BA7F38" w14:paraId="179A01AF" w14:textId="77777777" w:rsidTr="00E83386">
        <w:trPr>
          <w:trHeight w:val="330"/>
        </w:trPr>
        <w:tc>
          <w:tcPr>
            <w:tcW w:w="812" w:type="dxa"/>
            <w:vAlign w:val="center"/>
            <w:hideMark/>
          </w:tcPr>
          <w:p w14:paraId="6DFD2A6B"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tcPr>
          <w:p w14:paraId="24512FA7"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Sebastián Ramírez Grisales </w:t>
            </w:r>
          </w:p>
          <w:p w14:paraId="599DD8FB" w14:textId="77777777" w:rsidR="00BA7F38" w:rsidRDefault="00BA7F38" w:rsidP="00E83386">
            <w:pPr>
              <w:rPr>
                <w:rFonts w:ascii="Arial" w:hAnsi="Arial" w:cs="Arial"/>
                <w:color w:val="000000" w:themeColor="text1"/>
                <w:sz w:val="16"/>
                <w:szCs w:val="16"/>
                <w:lang w:val="es-ES" w:eastAsia="es-ES"/>
              </w:rPr>
            </w:pPr>
            <w:r w:rsidRPr="000906AC">
              <w:rPr>
                <w:rFonts w:ascii="Arial" w:hAnsi="Arial" w:cs="Arial"/>
                <w:sz w:val="16"/>
                <w:szCs w:val="16"/>
                <w:lang w:eastAsia="es-CO"/>
              </w:rPr>
              <w:t>Gestor T</w:t>
            </w:r>
            <w:r>
              <w:rPr>
                <w:rFonts w:ascii="Arial" w:hAnsi="Arial" w:cs="Arial"/>
                <w:sz w:val="16"/>
                <w:szCs w:val="16"/>
                <w:lang w:eastAsia="es-CO"/>
              </w:rPr>
              <w:t xml:space="preserve">1 – Grado 15 </w:t>
            </w:r>
            <w:r>
              <w:rPr>
                <w:rFonts w:ascii="Arial" w:hAnsi="Arial" w:cs="Arial"/>
                <w:color w:val="000000" w:themeColor="text1"/>
                <w:sz w:val="16"/>
                <w:szCs w:val="16"/>
                <w:lang w:val="es-ES" w:eastAsia="es-ES"/>
              </w:rPr>
              <w:t>Subdirección de Gestión Contractual</w:t>
            </w:r>
          </w:p>
        </w:tc>
      </w:tr>
      <w:tr w:rsidR="00BA7F38" w14:paraId="3A5D577A" w14:textId="77777777" w:rsidTr="00E83386">
        <w:trPr>
          <w:trHeight w:val="300"/>
        </w:trPr>
        <w:tc>
          <w:tcPr>
            <w:tcW w:w="812" w:type="dxa"/>
            <w:vAlign w:val="center"/>
            <w:hideMark/>
          </w:tcPr>
          <w:p w14:paraId="0A3F4AA7"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391FA55C"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0E179936" w14:textId="77777777" w:rsidR="00BA7F38" w:rsidRDefault="00BA7F38" w:rsidP="00E8338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 ANCP – CCE</w:t>
            </w:r>
          </w:p>
        </w:tc>
      </w:tr>
    </w:tbl>
    <w:p w14:paraId="6EB73087" w14:textId="77777777" w:rsidR="00BA7F38" w:rsidRPr="007A6367" w:rsidRDefault="00BA7F38">
      <w:pPr>
        <w:jc w:val="both"/>
      </w:pPr>
    </w:p>
    <w:sectPr w:rsidR="00BA7F38" w:rsidRPr="007A6367">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C779" w14:textId="77777777" w:rsidR="006D7A3C" w:rsidRDefault="006D7A3C">
      <w:r>
        <w:separator/>
      </w:r>
    </w:p>
  </w:endnote>
  <w:endnote w:type="continuationSeparator" w:id="0">
    <w:p w14:paraId="762CA653" w14:textId="77777777" w:rsidR="006D7A3C" w:rsidRDefault="006D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E0B4" w14:textId="41751187" w:rsidR="00E27BDF" w:rsidRDefault="00E27BDF">
    <w:pPr>
      <w:pBdr>
        <w:top w:val="nil"/>
        <w:left w:val="nil"/>
        <w:bottom w:val="nil"/>
        <w:right w:val="nil"/>
        <w:between w:val="nil"/>
      </w:pBdr>
      <w:jc w:val="right"/>
      <w:rPr>
        <w:rFonts w:ascii="Arial" w:eastAsia="Arial" w:hAnsi="Arial" w:cs="Arial"/>
        <w:color w:val="000000"/>
        <w:sz w:val="18"/>
        <w:szCs w:val="18"/>
      </w:rPr>
    </w:pPr>
  </w:p>
  <w:p w14:paraId="432E397D" w14:textId="77777777" w:rsidR="002034E6" w:rsidRDefault="002034E6">
    <w:pPr>
      <w:pBdr>
        <w:top w:val="nil"/>
        <w:left w:val="nil"/>
        <w:bottom w:val="nil"/>
        <w:right w:val="nil"/>
        <w:between w:val="nil"/>
      </w:pBdr>
      <w:jc w:val="right"/>
      <w:rPr>
        <w:rFonts w:ascii="Arial" w:eastAsia="Arial" w:hAnsi="Arial" w:cs="Arial"/>
        <w:color w:val="000000"/>
        <w:sz w:val="18"/>
        <w:szCs w:val="18"/>
      </w:rPr>
    </w:pPr>
  </w:p>
  <w:p w14:paraId="1E263B40" w14:textId="2E63A480" w:rsidR="00E27BDF" w:rsidRDefault="006C0DA8" w:rsidP="002034E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CB18CE">
      <w:rPr>
        <w:rFonts w:ascii="Arial" w:eastAsia="Arial" w:hAnsi="Arial" w:cs="Arial"/>
        <w:b/>
        <w:noProof/>
        <w:color w:val="7F7F7F"/>
        <w:sz w:val="16"/>
        <w:szCs w:val="16"/>
      </w:rPr>
      <w:t>6</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CB18CE">
      <w:rPr>
        <w:rFonts w:ascii="Arial" w:eastAsia="Arial" w:hAnsi="Arial" w:cs="Arial"/>
        <w:b/>
        <w:noProof/>
        <w:color w:val="7F7F7F"/>
        <w:sz w:val="16"/>
        <w:szCs w:val="16"/>
      </w:rPr>
      <w:t>7</w:t>
    </w:r>
    <w:r>
      <w:rPr>
        <w:rFonts w:ascii="Arial" w:eastAsia="Arial" w:hAnsi="Arial" w:cs="Arial"/>
        <w:b/>
        <w:color w:val="7F7F7F"/>
        <w:sz w:val="16"/>
        <w:szCs w:val="16"/>
      </w:rPr>
      <w:fldChar w:fldCharType="end"/>
    </w:r>
  </w:p>
  <w:p w14:paraId="3BBBC245" w14:textId="5F605B42" w:rsidR="00E27BDF" w:rsidRDefault="006C0DA8">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0E99CD91" w14:textId="77777777" w:rsidR="002034E6" w:rsidRDefault="002034E6">
    <w:pPr>
      <w:pBdr>
        <w:top w:val="nil"/>
        <w:left w:val="nil"/>
        <w:bottom w:val="nil"/>
        <w:right w:val="nil"/>
        <w:between w:val="nil"/>
      </w:pBdr>
      <w:tabs>
        <w:tab w:val="center" w:pos="4419"/>
        <w:tab w:val="right" w:pos="8838"/>
      </w:tabs>
      <w:jc w:val="center"/>
      <w:rPr>
        <w:color w:val="000000"/>
      </w:rPr>
    </w:pPr>
  </w:p>
  <w:p w14:paraId="2378D973" w14:textId="77777777" w:rsidR="00E27BDF" w:rsidRDefault="00E27BDF" w:rsidP="00E737A2">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A405" w14:textId="77777777" w:rsidR="006D7A3C" w:rsidRDefault="006D7A3C">
      <w:r>
        <w:separator/>
      </w:r>
    </w:p>
  </w:footnote>
  <w:footnote w:type="continuationSeparator" w:id="0">
    <w:p w14:paraId="0FC81018" w14:textId="77777777" w:rsidR="006D7A3C" w:rsidRDefault="006D7A3C">
      <w:r>
        <w:continuationSeparator/>
      </w:r>
    </w:p>
  </w:footnote>
  <w:footnote w:id="1">
    <w:p w14:paraId="34249ADA" w14:textId="58F5A32C" w:rsidR="001926D0" w:rsidRPr="00E41855" w:rsidRDefault="001926D0" w:rsidP="00E41855">
      <w:pPr>
        <w:pStyle w:val="Textonotapie"/>
        <w:ind w:firstLine="720"/>
        <w:jc w:val="both"/>
        <w:rPr>
          <w:rFonts w:ascii="Arial" w:hAnsi="Arial" w:cs="Arial"/>
          <w:sz w:val="19"/>
          <w:szCs w:val="19"/>
        </w:rPr>
      </w:pPr>
      <w:r w:rsidRPr="00E41855">
        <w:rPr>
          <w:rStyle w:val="Refdenotaalpie"/>
          <w:rFonts w:ascii="Arial" w:hAnsi="Arial" w:cs="Arial"/>
          <w:sz w:val="19"/>
          <w:szCs w:val="19"/>
        </w:rPr>
        <w:footnoteRef/>
      </w:r>
      <w:r w:rsidRPr="00E41855">
        <w:rPr>
          <w:rFonts w:ascii="Arial" w:hAnsi="Arial" w:cs="Arial"/>
          <w:sz w:val="19"/>
          <w:szCs w:val="19"/>
        </w:rPr>
        <w:t xml:space="preserve"> SUÁREZ BELTRÁN, </w:t>
      </w:r>
      <w:r w:rsidR="00B90BEC" w:rsidRPr="00E41855">
        <w:rPr>
          <w:rFonts w:ascii="Arial" w:hAnsi="Arial" w:cs="Arial"/>
          <w:sz w:val="19"/>
          <w:szCs w:val="19"/>
        </w:rPr>
        <w:t xml:space="preserve">Gonzalo. Estudios de derecho contractual público. Pontificia Universidad Javeriana. Bogotá: Legis, 2014. </w:t>
      </w:r>
      <w:r w:rsidR="0038414A" w:rsidRPr="00E41855">
        <w:rPr>
          <w:rFonts w:ascii="Arial" w:hAnsi="Arial" w:cs="Arial"/>
          <w:sz w:val="19"/>
          <w:szCs w:val="19"/>
        </w:rPr>
        <w:t>p 71 y 72. Citado en: DÁVILA VINEZA, Luis Guillermo. Régimen Jurídico de la contratación estatal</w:t>
      </w:r>
      <w:r w:rsidR="00B37BCA" w:rsidRPr="00E41855">
        <w:rPr>
          <w:rFonts w:ascii="Arial" w:hAnsi="Arial" w:cs="Arial"/>
          <w:sz w:val="19"/>
          <w:szCs w:val="19"/>
        </w:rPr>
        <w:t xml:space="preserve">. 3ª ed. Legis: Bogotá, 2016. p. </w:t>
      </w:r>
      <w:r w:rsidR="000B413D" w:rsidRPr="00E41855">
        <w:rPr>
          <w:rFonts w:ascii="Arial" w:hAnsi="Arial" w:cs="Arial"/>
          <w:sz w:val="19"/>
          <w:szCs w:val="19"/>
        </w:rPr>
        <w:t>466.</w:t>
      </w:r>
    </w:p>
  </w:footnote>
  <w:footnote w:id="2">
    <w:p w14:paraId="69BC44F7" w14:textId="77777777" w:rsidR="003A1E50" w:rsidRPr="007624DD" w:rsidRDefault="003A1E50">
      <w:pPr>
        <w:pStyle w:val="Textonotapie"/>
        <w:ind w:firstLine="708"/>
        <w:jc w:val="both"/>
        <w:rPr>
          <w:rFonts w:ascii="Arial" w:hAnsi="Arial" w:cs="Arial"/>
          <w:sz w:val="19"/>
          <w:szCs w:val="19"/>
        </w:rPr>
      </w:pPr>
      <w:r w:rsidRPr="007624DD">
        <w:rPr>
          <w:rStyle w:val="Refdenotaalpie"/>
          <w:rFonts w:ascii="Arial" w:hAnsi="Arial" w:cs="Arial"/>
          <w:sz w:val="19"/>
          <w:szCs w:val="19"/>
        </w:rPr>
        <w:footnoteRef/>
      </w:r>
      <w:r w:rsidRPr="007624DD">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76AE9A7C" w14:textId="77777777" w:rsidR="003A1E50" w:rsidRPr="007624DD" w:rsidRDefault="003A1E50">
      <w:pPr>
        <w:pStyle w:val="Textonotapie"/>
        <w:ind w:firstLine="708"/>
        <w:jc w:val="both"/>
        <w:rPr>
          <w:rFonts w:ascii="Arial" w:hAnsi="Arial" w:cs="Arial"/>
          <w:sz w:val="19"/>
          <w:szCs w:val="19"/>
          <w:lang w:val="es-ES"/>
        </w:rPr>
      </w:pPr>
    </w:p>
  </w:footnote>
  <w:footnote w:id="3">
    <w:p w14:paraId="1F06DB93" w14:textId="25F4AEFF" w:rsidR="003A1E50" w:rsidRPr="007624DD" w:rsidRDefault="003A1E50">
      <w:pPr>
        <w:pStyle w:val="Textonotapie"/>
        <w:ind w:firstLine="708"/>
        <w:jc w:val="both"/>
        <w:rPr>
          <w:rFonts w:ascii="Arial" w:hAnsi="Arial" w:cs="Arial"/>
          <w:sz w:val="19"/>
          <w:szCs w:val="19"/>
          <w:lang w:val="es-ES"/>
        </w:rPr>
      </w:pPr>
      <w:r w:rsidRPr="007624DD">
        <w:rPr>
          <w:rStyle w:val="Refdenotaalpie"/>
          <w:rFonts w:ascii="Arial" w:hAnsi="Arial" w:cs="Arial"/>
          <w:sz w:val="19"/>
          <w:szCs w:val="19"/>
        </w:rPr>
        <w:footnoteRef/>
      </w:r>
      <w:r w:rsidRPr="007624DD">
        <w:rPr>
          <w:rFonts w:ascii="Arial" w:hAnsi="Arial" w:cs="Arial"/>
          <w:sz w:val="19"/>
          <w:szCs w:val="19"/>
        </w:rPr>
        <w:t xml:space="preserve"> Cfr. Corte Constitucional. Sentencia C-569 de 2004. M.P. Rodrigo Uprimny Yepes.</w:t>
      </w:r>
    </w:p>
  </w:footnote>
  <w:footnote w:id="4">
    <w:p w14:paraId="65224B73" w14:textId="36EA2EA6" w:rsidR="003A1E50" w:rsidRPr="007624DD" w:rsidRDefault="003A1E50">
      <w:pPr>
        <w:pStyle w:val="Textonotapie"/>
        <w:ind w:firstLine="708"/>
        <w:jc w:val="both"/>
        <w:rPr>
          <w:rFonts w:ascii="Arial" w:hAnsi="Arial" w:cs="Arial"/>
          <w:sz w:val="19"/>
          <w:szCs w:val="19"/>
          <w:lang w:val="es-ES"/>
        </w:rPr>
      </w:pPr>
      <w:r w:rsidRPr="007624DD">
        <w:rPr>
          <w:rStyle w:val="Refdenotaalpie"/>
          <w:rFonts w:ascii="Arial" w:hAnsi="Arial" w:cs="Arial"/>
          <w:sz w:val="19"/>
          <w:szCs w:val="19"/>
        </w:rPr>
        <w:footnoteRef/>
      </w:r>
      <w:r w:rsidRPr="007624DD">
        <w:rPr>
          <w:rFonts w:ascii="Arial" w:hAnsi="Arial" w:cs="Arial"/>
          <w:sz w:val="19"/>
          <w:szCs w:val="19"/>
        </w:rPr>
        <w:t xml:space="preserve"> Gaceta 096 de 2007. Pág. 9. Allí se lee: «Parágrafo 2°. Nuevo. Se adiciona un parágrafo nuevo para </w:t>
      </w:r>
      <w:r w:rsidRPr="007624DD">
        <w:rPr>
          <w:rFonts w:ascii="Arial" w:hAnsi="Arial" w:cs="Arial"/>
          <w:i/>
          <w:iCs/>
          <w:sz w:val="19"/>
          <w:szCs w:val="19"/>
        </w:rPr>
        <w:t>establecer de manera concreta</w:t>
      </w:r>
      <w:r w:rsidRPr="007624DD">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w:t>
      </w:r>
      <w:r w:rsidR="00644E48" w:rsidRPr="007624DD">
        <w:rPr>
          <w:rFonts w:ascii="Arial" w:hAnsi="Arial" w:cs="Arial"/>
          <w:sz w:val="19"/>
          <w:szCs w:val="19"/>
        </w:rPr>
        <w:t xml:space="preserve"> </w:t>
      </w:r>
    </w:p>
  </w:footnote>
  <w:footnote w:id="5">
    <w:p w14:paraId="264E7DFB" w14:textId="358460EC" w:rsidR="001C1492" w:rsidRPr="007624DD" w:rsidRDefault="001C1492">
      <w:pPr>
        <w:pStyle w:val="Textonotapie"/>
        <w:ind w:firstLine="708"/>
        <w:jc w:val="both"/>
        <w:rPr>
          <w:rFonts w:ascii="Arial" w:hAnsi="Arial" w:cs="Arial"/>
          <w:sz w:val="19"/>
          <w:szCs w:val="19"/>
        </w:rPr>
      </w:pPr>
      <w:r w:rsidRPr="00E41855">
        <w:rPr>
          <w:rStyle w:val="Refdenotaalpie"/>
          <w:rFonts w:ascii="Arial" w:hAnsi="Arial" w:cs="Arial"/>
          <w:sz w:val="19"/>
          <w:szCs w:val="19"/>
        </w:rPr>
        <w:footnoteRef/>
      </w:r>
      <w:r w:rsidRPr="00E41855">
        <w:rPr>
          <w:rFonts w:ascii="Arial" w:hAnsi="Arial" w:cs="Arial"/>
          <w:sz w:val="19"/>
          <w:szCs w:val="19"/>
        </w:rPr>
        <w:t xml:space="preserve"> Se señala que</w:t>
      </w:r>
      <w:r w:rsidR="0025556F" w:rsidRPr="00E41855">
        <w:rPr>
          <w:rFonts w:ascii="Arial" w:hAnsi="Arial" w:cs="Arial"/>
          <w:sz w:val="19"/>
          <w:szCs w:val="19"/>
        </w:rPr>
        <w:t>:</w:t>
      </w:r>
      <w:r w:rsidRPr="00E41855">
        <w:rPr>
          <w:rFonts w:ascii="Arial" w:hAnsi="Arial" w:cs="Arial"/>
          <w:sz w:val="19"/>
          <w:szCs w:val="19"/>
        </w:rPr>
        <w:t xml:space="preserve"> por regla general, toda vez que existen excepciones, como la establecida en el artículo </w:t>
      </w:r>
      <w:r w:rsidR="0025556F" w:rsidRPr="00E41855">
        <w:rPr>
          <w:rFonts w:ascii="Arial" w:hAnsi="Arial" w:cs="Arial"/>
          <w:sz w:val="19"/>
          <w:szCs w:val="19"/>
        </w:rPr>
        <w:t>5, numeral 4, de la Ley 1150 de 2007 que permite asignar puntaje a la experiencia específica del oferente y del equipo de trabajo, en los procesos para la selección de consultores.</w:t>
      </w:r>
    </w:p>
    <w:p w14:paraId="328712B4" w14:textId="77777777" w:rsidR="00C53D5A" w:rsidRPr="00E41855" w:rsidRDefault="00C53D5A" w:rsidP="00E41855">
      <w:pPr>
        <w:pStyle w:val="Textonotapie"/>
        <w:ind w:firstLine="708"/>
        <w:jc w:val="both"/>
        <w:rPr>
          <w:rFonts w:ascii="Arial" w:hAnsi="Arial" w:cs="Arial"/>
          <w:sz w:val="19"/>
          <w:szCs w:val="19"/>
          <w:lang w:val="es-CO"/>
        </w:rPr>
      </w:pPr>
    </w:p>
  </w:footnote>
  <w:footnote w:id="6">
    <w:p w14:paraId="2D821ACF" w14:textId="25924B81" w:rsidR="00880AB4" w:rsidRPr="00E41855" w:rsidRDefault="00880AB4" w:rsidP="00E41855">
      <w:pPr>
        <w:ind w:left="100" w:firstLine="707"/>
        <w:jc w:val="both"/>
        <w:rPr>
          <w:rFonts w:ascii="Arial" w:hAnsi="Arial" w:cs="Arial"/>
          <w:sz w:val="19"/>
          <w:szCs w:val="19"/>
        </w:rPr>
      </w:pPr>
      <w:r w:rsidRPr="00E41855">
        <w:rPr>
          <w:rStyle w:val="Refdenotaalpie"/>
          <w:rFonts w:ascii="Arial" w:hAnsi="Arial" w:cs="Arial"/>
          <w:sz w:val="19"/>
          <w:szCs w:val="19"/>
        </w:rPr>
        <w:footnoteRef/>
      </w:r>
      <w:r w:rsidRPr="00E41855">
        <w:rPr>
          <w:rFonts w:ascii="Arial" w:hAnsi="Arial" w:cs="Arial"/>
          <w:sz w:val="19"/>
          <w:szCs w:val="19"/>
        </w:rPr>
        <w:t xml:space="preserve"> Decreto 1082 de 2015, artículo 2.2.1.1.1.6.1: </w:t>
      </w:r>
      <w:r w:rsidR="00C53D5A" w:rsidRPr="007624DD">
        <w:rPr>
          <w:rFonts w:ascii="Arial" w:hAnsi="Arial" w:cs="Arial"/>
          <w:sz w:val="19"/>
          <w:szCs w:val="19"/>
        </w:rPr>
        <w:t>«</w:t>
      </w:r>
      <w:r w:rsidRPr="00E41855">
        <w:rPr>
          <w:rFonts w:ascii="Arial" w:hAnsi="Arial" w:cs="Arial"/>
          <w:sz w:val="19"/>
          <w:szCs w:val="19"/>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00C53D5A" w:rsidRPr="007624DD">
        <w:rPr>
          <w:rFonts w:ascii="Arial" w:hAnsi="Arial" w:cs="Arial"/>
          <w:sz w:val="19"/>
          <w:szCs w:val="19"/>
        </w:rPr>
        <w:t>»</w:t>
      </w:r>
      <w:r w:rsidRPr="00E41855">
        <w:rPr>
          <w:rFonts w:ascii="Arial" w:hAnsi="Arial" w:cs="Arial"/>
          <w:sz w:val="19"/>
          <w:szCs w:val="19"/>
        </w:rPr>
        <w:t>.</w:t>
      </w:r>
    </w:p>
  </w:footnote>
  <w:footnote w:id="7">
    <w:p w14:paraId="734B4CB1" w14:textId="786766F5" w:rsidR="00880AB4" w:rsidRPr="00E41855" w:rsidRDefault="00880AB4" w:rsidP="00E41855">
      <w:pPr>
        <w:ind w:left="808"/>
        <w:jc w:val="both"/>
        <w:rPr>
          <w:rFonts w:ascii="Arial" w:hAnsi="Arial" w:cs="Arial"/>
          <w:sz w:val="19"/>
          <w:szCs w:val="19"/>
        </w:rPr>
      </w:pPr>
      <w:r w:rsidRPr="00E41855">
        <w:rPr>
          <w:rStyle w:val="Refdenotaalpie"/>
          <w:rFonts w:ascii="Arial" w:hAnsi="Arial" w:cs="Arial"/>
          <w:sz w:val="19"/>
          <w:szCs w:val="19"/>
        </w:rPr>
        <w:footnoteRef/>
      </w:r>
      <w:r w:rsidRPr="00E41855">
        <w:rPr>
          <w:rFonts w:ascii="Arial" w:hAnsi="Arial" w:cs="Arial"/>
          <w:sz w:val="19"/>
          <w:szCs w:val="19"/>
        </w:rPr>
        <w:t xml:space="preserve"> Ley 80 de 1993: artículo 25 </w:t>
      </w:r>
      <w:r w:rsidR="00C53D5A" w:rsidRPr="007624DD">
        <w:rPr>
          <w:rFonts w:ascii="Arial" w:hAnsi="Arial" w:cs="Arial"/>
          <w:sz w:val="19"/>
          <w:szCs w:val="19"/>
        </w:rPr>
        <w:t>«</w:t>
      </w:r>
      <w:r w:rsidRPr="00E41855">
        <w:rPr>
          <w:rFonts w:ascii="Arial" w:hAnsi="Arial" w:cs="Arial"/>
          <w:sz w:val="19"/>
          <w:szCs w:val="19"/>
        </w:rPr>
        <w:t>Del principio de economía. En virtud de este principio:</w:t>
      </w:r>
    </w:p>
    <w:p w14:paraId="234D9212" w14:textId="5392590B" w:rsidR="00880AB4" w:rsidRPr="00E41855" w:rsidRDefault="00C53D5A" w:rsidP="00E41855">
      <w:pPr>
        <w:ind w:left="100" w:firstLine="620"/>
        <w:jc w:val="both"/>
        <w:rPr>
          <w:rFonts w:ascii="Arial" w:hAnsi="Arial" w:cs="Arial"/>
          <w:sz w:val="19"/>
          <w:szCs w:val="19"/>
        </w:rPr>
      </w:pPr>
      <w:r w:rsidRPr="007624DD">
        <w:rPr>
          <w:rFonts w:ascii="Arial" w:hAnsi="Arial" w:cs="Arial"/>
          <w:sz w:val="19"/>
          <w:szCs w:val="19"/>
        </w:rPr>
        <w:t>»[…]</w:t>
      </w:r>
    </w:p>
    <w:p w14:paraId="71E97508" w14:textId="306ECDDE" w:rsidR="00880AB4" w:rsidRPr="00E41855" w:rsidRDefault="00C53D5A" w:rsidP="00E41855">
      <w:pPr>
        <w:ind w:left="100" w:right="225" w:firstLine="620"/>
        <w:jc w:val="both"/>
        <w:rPr>
          <w:rFonts w:ascii="Arial" w:hAnsi="Arial" w:cs="Arial"/>
          <w:sz w:val="19"/>
          <w:szCs w:val="19"/>
        </w:rPr>
      </w:pPr>
      <w:r w:rsidRPr="007624DD">
        <w:rPr>
          <w:rFonts w:ascii="Arial" w:hAnsi="Arial" w:cs="Arial"/>
          <w:sz w:val="19"/>
          <w:szCs w:val="19"/>
        </w:rPr>
        <w:t>»</w:t>
      </w:r>
      <w:r w:rsidR="00880AB4" w:rsidRPr="00E41855">
        <w:rPr>
          <w:rFonts w:ascii="Arial" w:hAnsi="Arial" w:cs="Arial"/>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w:t>
      </w:r>
      <w:r w:rsidR="00880AB4" w:rsidRPr="00E41855">
        <w:rPr>
          <w:rFonts w:ascii="Arial" w:hAnsi="Arial" w:cs="Arial"/>
          <w:spacing w:val="-6"/>
          <w:sz w:val="19"/>
          <w:szCs w:val="19"/>
        </w:rPr>
        <w:t xml:space="preserve"> </w:t>
      </w:r>
      <w:r w:rsidR="00880AB4" w:rsidRPr="00E41855">
        <w:rPr>
          <w:rFonts w:ascii="Arial" w:hAnsi="Arial" w:cs="Arial"/>
          <w:sz w:val="19"/>
          <w:szCs w:val="19"/>
        </w:rPr>
        <w:t>corresponda.</w:t>
      </w:r>
    </w:p>
    <w:p w14:paraId="213A2AC4" w14:textId="1A112F11" w:rsidR="00880AB4" w:rsidRDefault="00C53D5A">
      <w:pPr>
        <w:ind w:left="100" w:right="226" w:firstLine="620"/>
        <w:jc w:val="both"/>
        <w:rPr>
          <w:rFonts w:ascii="Arial" w:hAnsi="Arial" w:cs="Arial"/>
          <w:sz w:val="19"/>
          <w:szCs w:val="19"/>
        </w:rPr>
      </w:pPr>
      <w:proofErr w:type="gramStart"/>
      <w:r w:rsidRPr="007624DD">
        <w:rPr>
          <w:rFonts w:ascii="Arial" w:hAnsi="Arial" w:cs="Arial"/>
          <w:sz w:val="19"/>
          <w:szCs w:val="19"/>
        </w:rPr>
        <w:t>»</w:t>
      </w:r>
      <w:r w:rsidR="00880AB4" w:rsidRPr="00E41855">
        <w:rPr>
          <w:rFonts w:ascii="Arial" w:hAnsi="Arial" w:cs="Arial"/>
          <w:sz w:val="19"/>
          <w:szCs w:val="19"/>
        </w:rPr>
        <w:t>Cuando</w:t>
      </w:r>
      <w:proofErr w:type="gramEnd"/>
      <w:r w:rsidR="00880AB4" w:rsidRPr="00E41855">
        <w:rPr>
          <w:rFonts w:ascii="Arial" w:hAnsi="Arial" w:cs="Arial"/>
          <w:sz w:val="19"/>
          <w:szCs w:val="19"/>
        </w:rPr>
        <w:t xml:space="preserve">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sidRPr="007624DD">
        <w:rPr>
          <w:rFonts w:ascii="Arial" w:hAnsi="Arial" w:cs="Arial"/>
          <w:sz w:val="19"/>
          <w:szCs w:val="19"/>
        </w:rPr>
        <w:t>»</w:t>
      </w:r>
      <w:r w:rsidR="00880AB4" w:rsidRPr="00E41855">
        <w:rPr>
          <w:rFonts w:ascii="Arial" w:hAnsi="Arial" w:cs="Arial"/>
          <w:sz w:val="19"/>
          <w:szCs w:val="19"/>
        </w:rPr>
        <w:t>.</w:t>
      </w:r>
    </w:p>
    <w:p w14:paraId="21BA1968" w14:textId="77777777" w:rsidR="00135882" w:rsidRPr="00E41855" w:rsidRDefault="00135882" w:rsidP="00E41855">
      <w:pPr>
        <w:ind w:left="100" w:right="226" w:firstLine="620"/>
        <w:jc w:val="both"/>
        <w:rPr>
          <w:rFonts w:ascii="Arial" w:hAnsi="Arial" w:cs="Arial"/>
          <w:sz w:val="19"/>
          <w:szCs w:val="19"/>
        </w:rPr>
      </w:pPr>
    </w:p>
    <w:p w14:paraId="18D92594" w14:textId="204770ED" w:rsidR="00880AB4" w:rsidRPr="00E41855" w:rsidRDefault="00880AB4">
      <w:pPr>
        <w:ind w:left="100" w:right="232" w:firstLine="707"/>
        <w:jc w:val="both"/>
        <w:rPr>
          <w:rFonts w:ascii="Arial" w:hAnsi="Arial" w:cs="Arial"/>
          <w:sz w:val="19"/>
          <w:szCs w:val="19"/>
        </w:rPr>
      </w:pPr>
      <w:r w:rsidRPr="00E41855">
        <w:rPr>
          <w:rFonts w:ascii="Arial" w:hAnsi="Arial" w:cs="Arial"/>
          <w:position w:val="6"/>
          <w:sz w:val="19"/>
          <w:szCs w:val="19"/>
          <w:vertAlign w:val="superscript"/>
        </w:rPr>
        <w:t>6</w:t>
      </w:r>
      <w:r w:rsidRPr="00E41855">
        <w:rPr>
          <w:rFonts w:ascii="Arial" w:hAnsi="Arial" w:cs="Arial"/>
          <w:position w:val="6"/>
          <w:sz w:val="19"/>
          <w:szCs w:val="19"/>
        </w:rPr>
        <w:t xml:space="preserve"> </w:t>
      </w:r>
      <w:proofErr w:type="gramStart"/>
      <w:r w:rsidRPr="00E41855">
        <w:rPr>
          <w:rFonts w:ascii="Arial" w:hAnsi="Arial" w:cs="Arial"/>
          <w:sz w:val="19"/>
          <w:szCs w:val="19"/>
        </w:rPr>
        <w:t>Artículo</w:t>
      </w:r>
      <w:proofErr w:type="gramEnd"/>
      <w:r w:rsidRPr="00E41855">
        <w:rPr>
          <w:rFonts w:ascii="Arial" w:hAnsi="Arial" w:cs="Arial"/>
          <w:sz w:val="19"/>
          <w:szCs w:val="19"/>
        </w:rPr>
        <w:t xml:space="preserve"> 2.2.1.1.2.1.1. </w:t>
      </w:r>
      <w:r w:rsidR="00C53D5A" w:rsidRPr="007624DD">
        <w:rPr>
          <w:rFonts w:ascii="Arial" w:hAnsi="Arial" w:cs="Arial"/>
          <w:sz w:val="19"/>
          <w:szCs w:val="19"/>
        </w:rPr>
        <w:t>«</w:t>
      </w:r>
      <w:r w:rsidRPr="00E41855">
        <w:rPr>
          <w:rFonts w:ascii="Arial" w:hAnsi="Arial" w:cs="Arial"/>
          <w:sz w:val="19"/>
          <w:szCs w:val="19"/>
        </w:rPr>
        <w:t>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14:paraId="5D836BA4" w14:textId="4A91D8D3" w:rsidR="00880AB4" w:rsidRPr="00E41855" w:rsidRDefault="00C53D5A" w:rsidP="00E41855">
      <w:pPr>
        <w:ind w:left="100" w:firstLine="620"/>
        <w:jc w:val="both"/>
        <w:rPr>
          <w:rFonts w:ascii="Arial" w:hAnsi="Arial" w:cs="Arial"/>
          <w:sz w:val="19"/>
          <w:szCs w:val="19"/>
        </w:rPr>
      </w:pPr>
      <w:r w:rsidRPr="007624DD">
        <w:rPr>
          <w:rFonts w:ascii="Arial" w:hAnsi="Arial" w:cs="Arial"/>
          <w:sz w:val="19"/>
          <w:szCs w:val="19"/>
        </w:rPr>
        <w:t>»[</w:t>
      </w:r>
      <w:r w:rsidR="00880AB4" w:rsidRPr="00E41855">
        <w:rPr>
          <w:rFonts w:ascii="Arial" w:hAnsi="Arial" w:cs="Arial"/>
          <w:sz w:val="19"/>
          <w:szCs w:val="19"/>
        </w:rPr>
        <w:t>…</w:t>
      </w:r>
      <w:r w:rsidRPr="007624DD">
        <w:rPr>
          <w:rFonts w:ascii="Arial" w:hAnsi="Arial" w:cs="Arial"/>
          <w:sz w:val="19"/>
          <w:szCs w:val="19"/>
        </w:rPr>
        <w:t>]</w:t>
      </w:r>
    </w:p>
    <w:p w14:paraId="30833C18" w14:textId="0AC0593C" w:rsidR="00135882" w:rsidRPr="00E41855" w:rsidRDefault="00C53D5A" w:rsidP="00E41855">
      <w:pPr>
        <w:ind w:left="100" w:right="226" w:firstLine="620"/>
        <w:jc w:val="both"/>
        <w:rPr>
          <w:rFonts w:ascii="Arial" w:hAnsi="Arial" w:cs="Arial"/>
          <w:sz w:val="19"/>
          <w:szCs w:val="19"/>
        </w:rPr>
      </w:pPr>
      <w:r w:rsidRPr="007624DD">
        <w:rPr>
          <w:rFonts w:ascii="Arial" w:hAnsi="Arial" w:cs="Arial"/>
          <w:sz w:val="19"/>
          <w:szCs w:val="19"/>
        </w:rPr>
        <w:t>»</w:t>
      </w:r>
      <w:r w:rsidR="00880AB4" w:rsidRPr="00E41855">
        <w:rPr>
          <w:rFonts w:ascii="Arial" w:hAnsi="Arial" w:cs="Arial"/>
          <w:sz w:val="19"/>
          <w:szCs w:val="19"/>
        </w:rPr>
        <w:t xml:space="preserve">4. El valor estimado del contrato y la justificación </w:t>
      </w:r>
      <w:proofErr w:type="gramStart"/>
      <w:r w:rsidR="00880AB4" w:rsidRPr="00E41855">
        <w:rPr>
          <w:rFonts w:ascii="Arial" w:hAnsi="Arial" w:cs="Arial"/>
          <w:sz w:val="19"/>
          <w:szCs w:val="19"/>
        </w:rPr>
        <w:t>del mismo</w:t>
      </w:r>
      <w:proofErr w:type="gramEnd"/>
      <w:r w:rsidR="00880AB4" w:rsidRPr="00E41855">
        <w:rPr>
          <w:rFonts w:ascii="Arial" w:hAnsi="Arial" w:cs="Arial"/>
          <w:sz w:val="19"/>
          <w:szCs w:val="19"/>
        </w:rPr>
        <w:t>. Cuando el valor del contrato esté determinado</w:t>
      </w:r>
      <w:r w:rsidR="00042107" w:rsidRPr="00E41855">
        <w:rPr>
          <w:rFonts w:ascii="Arial" w:hAnsi="Arial" w:cs="Arial"/>
          <w:sz w:val="19"/>
          <w:szCs w:val="19"/>
        </w:rPr>
        <w:t xml:space="preserve"> </w:t>
      </w:r>
      <w:r w:rsidR="00880AB4" w:rsidRPr="00E41855">
        <w:rPr>
          <w:rFonts w:ascii="Arial" w:hAnsi="Arial" w:cs="Arial"/>
          <w:sz w:val="19"/>
          <w:szCs w:val="19"/>
        </w:rPr>
        <w:t>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Pr="007624DD">
        <w:rPr>
          <w:rFonts w:ascii="Arial" w:hAnsi="Arial" w:cs="Arial"/>
          <w:sz w:val="19"/>
          <w:szCs w:val="19"/>
        </w:rPr>
        <w:t>»</w:t>
      </w:r>
      <w:r w:rsidR="00880AB4" w:rsidRPr="00E41855">
        <w:rPr>
          <w:rFonts w:ascii="Arial" w:hAnsi="Arial" w:cs="Arial"/>
          <w:sz w:val="19"/>
          <w:szCs w:val="19"/>
        </w:rPr>
        <w:t>.</w:t>
      </w:r>
    </w:p>
    <w:p w14:paraId="51267B8C" w14:textId="77777777" w:rsidR="00880AB4" w:rsidRPr="00E41855" w:rsidRDefault="00880AB4" w:rsidP="00E41855">
      <w:pPr>
        <w:ind w:left="100" w:right="226" w:firstLine="620"/>
        <w:jc w:val="both"/>
        <w:rPr>
          <w:rFonts w:ascii="Arial" w:hAnsi="Arial" w:cs="Arial"/>
          <w:sz w:val="19"/>
          <w:szCs w:val="19"/>
        </w:rPr>
      </w:pPr>
    </w:p>
  </w:footnote>
  <w:footnote w:id="8">
    <w:p w14:paraId="44D867B7" w14:textId="5DAF4760" w:rsidR="007624DD" w:rsidRPr="00E41855" w:rsidRDefault="007624DD" w:rsidP="00E41855">
      <w:pPr>
        <w:pStyle w:val="Textonotapie"/>
        <w:ind w:firstLine="720"/>
        <w:jc w:val="both"/>
        <w:rPr>
          <w:rFonts w:ascii="Arial" w:hAnsi="Arial" w:cs="Arial"/>
          <w:sz w:val="19"/>
          <w:szCs w:val="19"/>
          <w:lang w:val="es-CO"/>
        </w:rPr>
      </w:pPr>
      <w:r w:rsidRPr="00E41855">
        <w:rPr>
          <w:rStyle w:val="Refdenotaalpie"/>
          <w:rFonts w:ascii="Arial" w:hAnsi="Arial" w:cs="Arial"/>
          <w:sz w:val="19"/>
          <w:szCs w:val="19"/>
        </w:rPr>
        <w:footnoteRef/>
      </w:r>
      <w:r w:rsidRPr="00E41855">
        <w:rPr>
          <w:rFonts w:ascii="Arial" w:hAnsi="Arial" w:cs="Arial"/>
          <w:sz w:val="19"/>
          <w:szCs w:val="19"/>
        </w:rPr>
        <w:t xml:space="preserve"> </w:t>
      </w:r>
      <w:r>
        <w:rPr>
          <w:rFonts w:ascii="Arial" w:hAnsi="Arial" w:cs="Arial"/>
          <w:sz w:val="19"/>
          <w:szCs w:val="19"/>
        </w:rPr>
        <w:t xml:space="preserve">Se puede acceder a la guía indicada en el siguiente link: </w:t>
      </w:r>
      <w:hyperlink r:id="rId1" w:history="1">
        <w:r w:rsidRPr="001A55DC">
          <w:rPr>
            <w:rStyle w:val="Hipervnculo"/>
            <w:rFonts w:ascii="Arial" w:hAnsi="Arial" w:cs="Arial"/>
            <w:sz w:val="19"/>
            <w:szCs w:val="19"/>
          </w:rPr>
          <w:t>https://www.colombiacompra.gov.co/manuales-guias-y-pliegos-tipo/manuales-y-guias</w:t>
        </w:r>
      </w:hyperlink>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D637" w14:textId="77777777" w:rsidR="00E27BDF" w:rsidRDefault="006C0DA8">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1" w15:restartNumberingAfterBreak="0">
    <w:nsid w:val="5F690CE7"/>
    <w:multiLevelType w:val="multilevel"/>
    <w:tmpl w:val="A5A669A6"/>
    <w:lvl w:ilvl="0">
      <w:start w:val="1"/>
      <w:numFmt w:val="decimal"/>
      <w:lvlText w:val="%1."/>
      <w:lvlJc w:val="left"/>
      <w:pPr>
        <w:ind w:left="4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ascii="Arial" w:eastAsia="Arial" w:hAnsi="Arial" w:cs="Arial" w:hint="default"/>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DF"/>
    <w:rsid w:val="000051F9"/>
    <w:rsid w:val="00005D92"/>
    <w:rsid w:val="00006188"/>
    <w:rsid w:val="00010490"/>
    <w:rsid w:val="00023405"/>
    <w:rsid w:val="00042107"/>
    <w:rsid w:val="0006160F"/>
    <w:rsid w:val="00061F9D"/>
    <w:rsid w:val="0006416D"/>
    <w:rsid w:val="00064846"/>
    <w:rsid w:val="000761BA"/>
    <w:rsid w:val="00082AD0"/>
    <w:rsid w:val="00096B16"/>
    <w:rsid w:val="000973C9"/>
    <w:rsid w:val="000A7FD9"/>
    <w:rsid w:val="000B413D"/>
    <w:rsid w:val="000C5143"/>
    <w:rsid w:val="000D686F"/>
    <w:rsid w:val="000E0F9B"/>
    <w:rsid w:val="00135882"/>
    <w:rsid w:val="001377BF"/>
    <w:rsid w:val="00143364"/>
    <w:rsid w:val="0014720E"/>
    <w:rsid w:val="00156DC9"/>
    <w:rsid w:val="0016722F"/>
    <w:rsid w:val="00167F44"/>
    <w:rsid w:val="00173B2A"/>
    <w:rsid w:val="00176F12"/>
    <w:rsid w:val="001851BE"/>
    <w:rsid w:val="001926D0"/>
    <w:rsid w:val="001942E4"/>
    <w:rsid w:val="00197323"/>
    <w:rsid w:val="001A0F38"/>
    <w:rsid w:val="001B218A"/>
    <w:rsid w:val="001C1492"/>
    <w:rsid w:val="001D7A22"/>
    <w:rsid w:val="001E1D29"/>
    <w:rsid w:val="001E2D51"/>
    <w:rsid w:val="001E3DE8"/>
    <w:rsid w:val="002034E6"/>
    <w:rsid w:val="0020643E"/>
    <w:rsid w:val="00222410"/>
    <w:rsid w:val="002231FD"/>
    <w:rsid w:val="00224A59"/>
    <w:rsid w:val="00231441"/>
    <w:rsid w:val="00234CD2"/>
    <w:rsid w:val="00246E9A"/>
    <w:rsid w:val="0025556F"/>
    <w:rsid w:val="00265428"/>
    <w:rsid w:val="002717B5"/>
    <w:rsid w:val="00283D9B"/>
    <w:rsid w:val="00295480"/>
    <w:rsid w:val="0029757A"/>
    <w:rsid w:val="002B3AEF"/>
    <w:rsid w:val="002B56D0"/>
    <w:rsid w:val="002B5B62"/>
    <w:rsid w:val="002B7261"/>
    <w:rsid w:val="002C4921"/>
    <w:rsid w:val="002D241D"/>
    <w:rsid w:val="002D73B2"/>
    <w:rsid w:val="002E32A3"/>
    <w:rsid w:val="00301E58"/>
    <w:rsid w:val="00313E5E"/>
    <w:rsid w:val="00316583"/>
    <w:rsid w:val="003241F3"/>
    <w:rsid w:val="00336B2C"/>
    <w:rsid w:val="003402FB"/>
    <w:rsid w:val="00340E1E"/>
    <w:rsid w:val="00342184"/>
    <w:rsid w:val="00342AEE"/>
    <w:rsid w:val="00344A58"/>
    <w:rsid w:val="00345C31"/>
    <w:rsid w:val="00357D46"/>
    <w:rsid w:val="0036269D"/>
    <w:rsid w:val="00370A21"/>
    <w:rsid w:val="00380953"/>
    <w:rsid w:val="0038414A"/>
    <w:rsid w:val="00392F65"/>
    <w:rsid w:val="003A1E50"/>
    <w:rsid w:val="003A4B56"/>
    <w:rsid w:val="003B089C"/>
    <w:rsid w:val="003B3252"/>
    <w:rsid w:val="003B7B40"/>
    <w:rsid w:val="003D371F"/>
    <w:rsid w:val="003D5501"/>
    <w:rsid w:val="003D6EAA"/>
    <w:rsid w:val="003E308C"/>
    <w:rsid w:val="003F3B45"/>
    <w:rsid w:val="003F7DCB"/>
    <w:rsid w:val="00400462"/>
    <w:rsid w:val="004060C9"/>
    <w:rsid w:val="00410227"/>
    <w:rsid w:val="00415F68"/>
    <w:rsid w:val="00423F6E"/>
    <w:rsid w:val="004278E5"/>
    <w:rsid w:val="00430D66"/>
    <w:rsid w:val="00444BF9"/>
    <w:rsid w:val="00462546"/>
    <w:rsid w:val="00465328"/>
    <w:rsid w:val="00471720"/>
    <w:rsid w:val="0047757C"/>
    <w:rsid w:val="00482FE7"/>
    <w:rsid w:val="00487C57"/>
    <w:rsid w:val="004A44CD"/>
    <w:rsid w:val="004A4724"/>
    <w:rsid w:val="004B05C4"/>
    <w:rsid w:val="004B224F"/>
    <w:rsid w:val="004B36F4"/>
    <w:rsid w:val="004B7E3D"/>
    <w:rsid w:val="004D7B55"/>
    <w:rsid w:val="004E7A93"/>
    <w:rsid w:val="004F0B25"/>
    <w:rsid w:val="00513E2D"/>
    <w:rsid w:val="00522425"/>
    <w:rsid w:val="0052351E"/>
    <w:rsid w:val="005322A2"/>
    <w:rsid w:val="0054163A"/>
    <w:rsid w:val="00544DD0"/>
    <w:rsid w:val="00545897"/>
    <w:rsid w:val="00570740"/>
    <w:rsid w:val="005714B7"/>
    <w:rsid w:val="00574D6F"/>
    <w:rsid w:val="005751F3"/>
    <w:rsid w:val="00577C31"/>
    <w:rsid w:val="005905E1"/>
    <w:rsid w:val="0059190D"/>
    <w:rsid w:val="005B1D18"/>
    <w:rsid w:val="005C244E"/>
    <w:rsid w:val="005D62F8"/>
    <w:rsid w:val="005E2988"/>
    <w:rsid w:val="005E5574"/>
    <w:rsid w:val="005F7A56"/>
    <w:rsid w:val="00602397"/>
    <w:rsid w:val="006230BC"/>
    <w:rsid w:val="006361EC"/>
    <w:rsid w:val="00643891"/>
    <w:rsid w:val="00644E48"/>
    <w:rsid w:val="00667293"/>
    <w:rsid w:val="0067545C"/>
    <w:rsid w:val="0067791D"/>
    <w:rsid w:val="006A1655"/>
    <w:rsid w:val="006B1BA1"/>
    <w:rsid w:val="006B2D89"/>
    <w:rsid w:val="006B3EF0"/>
    <w:rsid w:val="006C0DA8"/>
    <w:rsid w:val="006D7A3C"/>
    <w:rsid w:val="006E22E4"/>
    <w:rsid w:val="00700A9C"/>
    <w:rsid w:val="007041E6"/>
    <w:rsid w:val="0070426A"/>
    <w:rsid w:val="00717570"/>
    <w:rsid w:val="007176F7"/>
    <w:rsid w:val="00724E50"/>
    <w:rsid w:val="007336D0"/>
    <w:rsid w:val="007526E2"/>
    <w:rsid w:val="00752C35"/>
    <w:rsid w:val="007546A6"/>
    <w:rsid w:val="007548A4"/>
    <w:rsid w:val="007624DD"/>
    <w:rsid w:val="00762E69"/>
    <w:rsid w:val="00775272"/>
    <w:rsid w:val="007770E7"/>
    <w:rsid w:val="00782647"/>
    <w:rsid w:val="00782A3B"/>
    <w:rsid w:val="00791B16"/>
    <w:rsid w:val="007A411D"/>
    <w:rsid w:val="007A4140"/>
    <w:rsid w:val="007A6367"/>
    <w:rsid w:val="007C0F96"/>
    <w:rsid w:val="007E2F69"/>
    <w:rsid w:val="007E5498"/>
    <w:rsid w:val="007E7594"/>
    <w:rsid w:val="007F222A"/>
    <w:rsid w:val="007F4FC6"/>
    <w:rsid w:val="007F5838"/>
    <w:rsid w:val="00813E74"/>
    <w:rsid w:val="008225C0"/>
    <w:rsid w:val="00835144"/>
    <w:rsid w:val="00842E07"/>
    <w:rsid w:val="00843C86"/>
    <w:rsid w:val="00856F9A"/>
    <w:rsid w:val="0087003C"/>
    <w:rsid w:val="00874E85"/>
    <w:rsid w:val="00880AB4"/>
    <w:rsid w:val="00883BD6"/>
    <w:rsid w:val="00885B4E"/>
    <w:rsid w:val="008A0EA3"/>
    <w:rsid w:val="008A1FA9"/>
    <w:rsid w:val="008A64F9"/>
    <w:rsid w:val="008B50CA"/>
    <w:rsid w:val="008B5A50"/>
    <w:rsid w:val="008B782D"/>
    <w:rsid w:val="008D39B7"/>
    <w:rsid w:val="008F57CC"/>
    <w:rsid w:val="008F6F83"/>
    <w:rsid w:val="0091566F"/>
    <w:rsid w:val="00923D7E"/>
    <w:rsid w:val="009270DA"/>
    <w:rsid w:val="00941FE1"/>
    <w:rsid w:val="00956A25"/>
    <w:rsid w:val="009660DB"/>
    <w:rsid w:val="00974544"/>
    <w:rsid w:val="00985CA0"/>
    <w:rsid w:val="009C5769"/>
    <w:rsid w:val="009D4AB7"/>
    <w:rsid w:val="009F117A"/>
    <w:rsid w:val="009F1707"/>
    <w:rsid w:val="009F3571"/>
    <w:rsid w:val="009F3B67"/>
    <w:rsid w:val="00A04DA3"/>
    <w:rsid w:val="00A30582"/>
    <w:rsid w:val="00A327F9"/>
    <w:rsid w:val="00A35A1A"/>
    <w:rsid w:val="00A37732"/>
    <w:rsid w:val="00A42061"/>
    <w:rsid w:val="00A441F2"/>
    <w:rsid w:val="00A54A41"/>
    <w:rsid w:val="00A567C0"/>
    <w:rsid w:val="00A67F5F"/>
    <w:rsid w:val="00A95585"/>
    <w:rsid w:val="00AA1772"/>
    <w:rsid w:val="00AB186F"/>
    <w:rsid w:val="00AB36DA"/>
    <w:rsid w:val="00AB780C"/>
    <w:rsid w:val="00AC3EE9"/>
    <w:rsid w:val="00AC5716"/>
    <w:rsid w:val="00AD3756"/>
    <w:rsid w:val="00AD5482"/>
    <w:rsid w:val="00AF5DE1"/>
    <w:rsid w:val="00B076A4"/>
    <w:rsid w:val="00B10C9C"/>
    <w:rsid w:val="00B1576F"/>
    <w:rsid w:val="00B210A9"/>
    <w:rsid w:val="00B37BCA"/>
    <w:rsid w:val="00B413A4"/>
    <w:rsid w:val="00B45CA9"/>
    <w:rsid w:val="00B46C78"/>
    <w:rsid w:val="00B47BC7"/>
    <w:rsid w:val="00B56051"/>
    <w:rsid w:val="00B57AE8"/>
    <w:rsid w:val="00B701CD"/>
    <w:rsid w:val="00B90BEC"/>
    <w:rsid w:val="00BA46E4"/>
    <w:rsid w:val="00BA7F38"/>
    <w:rsid w:val="00BB0B38"/>
    <w:rsid w:val="00BB77BF"/>
    <w:rsid w:val="00BC2B94"/>
    <w:rsid w:val="00BC45E7"/>
    <w:rsid w:val="00BC5FD7"/>
    <w:rsid w:val="00BE060B"/>
    <w:rsid w:val="00BE0E32"/>
    <w:rsid w:val="00BE5D25"/>
    <w:rsid w:val="00BE7EBA"/>
    <w:rsid w:val="00BF3262"/>
    <w:rsid w:val="00BF4384"/>
    <w:rsid w:val="00C10209"/>
    <w:rsid w:val="00C16850"/>
    <w:rsid w:val="00C21944"/>
    <w:rsid w:val="00C21EAE"/>
    <w:rsid w:val="00C34506"/>
    <w:rsid w:val="00C35978"/>
    <w:rsid w:val="00C422FF"/>
    <w:rsid w:val="00C47C86"/>
    <w:rsid w:val="00C5309F"/>
    <w:rsid w:val="00C53D5A"/>
    <w:rsid w:val="00C53FAF"/>
    <w:rsid w:val="00C60E66"/>
    <w:rsid w:val="00C63C6D"/>
    <w:rsid w:val="00C66EE8"/>
    <w:rsid w:val="00C716E1"/>
    <w:rsid w:val="00C8437A"/>
    <w:rsid w:val="00C84475"/>
    <w:rsid w:val="00CA0309"/>
    <w:rsid w:val="00CA41C9"/>
    <w:rsid w:val="00CB18CE"/>
    <w:rsid w:val="00CB3C3A"/>
    <w:rsid w:val="00CC40F4"/>
    <w:rsid w:val="00CE148F"/>
    <w:rsid w:val="00D004E3"/>
    <w:rsid w:val="00D00AC2"/>
    <w:rsid w:val="00D35515"/>
    <w:rsid w:val="00D41651"/>
    <w:rsid w:val="00D616D1"/>
    <w:rsid w:val="00D62C2A"/>
    <w:rsid w:val="00D65FA5"/>
    <w:rsid w:val="00D7018D"/>
    <w:rsid w:val="00D849B4"/>
    <w:rsid w:val="00D96A42"/>
    <w:rsid w:val="00DA386E"/>
    <w:rsid w:val="00DB3E6A"/>
    <w:rsid w:val="00DC076A"/>
    <w:rsid w:val="00DC63BB"/>
    <w:rsid w:val="00DD4145"/>
    <w:rsid w:val="00DE5C18"/>
    <w:rsid w:val="00DF057A"/>
    <w:rsid w:val="00DF2561"/>
    <w:rsid w:val="00E15F80"/>
    <w:rsid w:val="00E16E9F"/>
    <w:rsid w:val="00E27BDF"/>
    <w:rsid w:val="00E3422B"/>
    <w:rsid w:val="00E40FB2"/>
    <w:rsid w:val="00E41855"/>
    <w:rsid w:val="00E4260B"/>
    <w:rsid w:val="00E42EB4"/>
    <w:rsid w:val="00E4515B"/>
    <w:rsid w:val="00E47AA8"/>
    <w:rsid w:val="00E54CD2"/>
    <w:rsid w:val="00E65FCF"/>
    <w:rsid w:val="00E7018A"/>
    <w:rsid w:val="00E737A2"/>
    <w:rsid w:val="00E745F5"/>
    <w:rsid w:val="00E83C66"/>
    <w:rsid w:val="00E869AA"/>
    <w:rsid w:val="00E920DC"/>
    <w:rsid w:val="00E92CBF"/>
    <w:rsid w:val="00E95ACC"/>
    <w:rsid w:val="00EA2D8B"/>
    <w:rsid w:val="00EB04D0"/>
    <w:rsid w:val="00EB5093"/>
    <w:rsid w:val="00EC17DD"/>
    <w:rsid w:val="00ED3D3F"/>
    <w:rsid w:val="00EF2043"/>
    <w:rsid w:val="00EF448F"/>
    <w:rsid w:val="00F13257"/>
    <w:rsid w:val="00F22099"/>
    <w:rsid w:val="00F52540"/>
    <w:rsid w:val="00F82631"/>
    <w:rsid w:val="00F878C8"/>
    <w:rsid w:val="00F902D0"/>
    <w:rsid w:val="00F95C56"/>
    <w:rsid w:val="00F96EA1"/>
    <w:rsid w:val="00FA0370"/>
    <w:rsid w:val="00FA74D2"/>
    <w:rsid w:val="00FB180B"/>
    <w:rsid w:val="00FB4B32"/>
    <w:rsid w:val="00FB7E75"/>
    <w:rsid w:val="00FC253D"/>
    <w:rsid w:val="00FD49F0"/>
    <w:rsid w:val="00FF0DAA"/>
    <w:rsid w:val="00FF6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400462"/>
    <w:rPr>
      <w:b/>
      <w:bCs/>
    </w:rPr>
  </w:style>
  <w:style w:type="character" w:customStyle="1" w:styleId="AsuntodelcomentarioCar">
    <w:name w:val="Asunto del comentario Car"/>
    <w:basedOn w:val="TextocomentarioCar"/>
    <w:link w:val="Asuntodelcomentario"/>
    <w:uiPriority w:val="99"/>
    <w:semiHidden/>
    <w:rsid w:val="00400462"/>
    <w:rPr>
      <w:b/>
      <w:bCs/>
      <w:sz w:val="20"/>
      <w:szCs w:val="20"/>
    </w:rPr>
  </w:style>
  <w:style w:type="paragraph" w:styleId="Encabezado">
    <w:name w:val="header"/>
    <w:basedOn w:val="Normal"/>
    <w:link w:val="EncabezadoCar"/>
    <w:uiPriority w:val="99"/>
    <w:unhideWhenUsed/>
    <w:rsid w:val="00E737A2"/>
    <w:pPr>
      <w:tabs>
        <w:tab w:val="center" w:pos="4419"/>
        <w:tab w:val="right" w:pos="8838"/>
      </w:tabs>
    </w:pPr>
  </w:style>
  <w:style w:type="character" w:customStyle="1" w:styleId="EncabezadoCar">
    <w:name w:val="Encabezado Car"/>
    <w:basedOn w:val="Fuentedeprrafopredeter"/>
    <w:link w:val="Encabezado"/>
    <w:uiPriority w:val="99"/>
    <w:rsid w:val="00E737A2"/>
  </w:style>
  <w:style w:type="paragraph" w:styleId="Piedepgina">
    <w:name w:val="footer"/>
    <w:basedOn w:val="Normal"/>
    <w:link w:val="PiedepginaCar"/>
    <w:uiPriority w:val="99"/>
    <w:unhideWhenUsed/>
    <w:rsid w:val="00E737A2"/>
    <w:pPr>
      <w:tabs>
        <w:tab w:val="center" w:pos="4419"/>
        <w:tab w:val="right" w:pos="8838"/>
      </w:tabs>
    </w:pPr>
  </w:style>
  <w:style w:type="character" w:customStyle="1" w:styleId="PiedepginaCar">
    <w:name w:val="Pie de página Car"/>
    <w:basedOn w:val="Fuentedeprrafopredeter"/>
    <w:link w:val="Piedepgina"/>
    <w:uiPriority w:val="99"/>
    <w:rsid w:val="00E737A2"/>
  </w:style>
  <w:style w:type="table" w:styleId="Tablaconcuadrcula">
    <w:name w:val="Table Grid"/>
    <w:basedOn w:val="Tablanormal"/>
    <w:uiPriority w:val="39"/>
    <w:rsid w:val="00D61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5501"/>
    <w:rPr>
      <w:rFonts w:ascii="Times New Roman" w:hAnsi="Times New Roman" w:cs="Times New Roman"/>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82A3B"/>
    <w:rPr>
      <w:rFonts w:asciiTheme="minorHAnsi" w:eastAsiaTheme="minorHAnsi" w:hAnsiTheme="minorHAnsi" w:cstheme="minorBidi"/>
      <w:sz w:val="20"/>
      <w:szCs w:val="20"/>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782A3B"/>
    <w:rPr>
      <w:rFonts w:asciiTheme="minorHAnsi" w:eastAsiaTheme="minorHAnsi" w:hAnsiTheme="minorHAnsi" w:cstheme="minorBidi"/>
      <w:sz w:val="20"/>
      <w:szCs w:val="20"/>
      <w:lang w:val="es-MX" w:eastAsia="en-US"/>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82A3B"/>
    <w:rPr>
      <w:vertAlign w:val="superscript"/>
    </w:rPr>
  </w:style>
  <w:style w:type="paragraph" w:styleId="Sinespaciado">
    <w:name w:val="No Spacing"/>
    <w:uiPriority w:val="1"/>
    <w:qFormat/>
    <w:rsid w:val="00E7018A"/>
  </w:style>
  <w:style w:type="character" w:styleId="Hipervnculo">
    <w:name w:val="Hyperlink"/>
    <w:basedOn w:val="Fuentedeprrafopredeter"/>
    <w:uiPriority w:val="99"/>
    <w:unhideWhenUsed/>
    <w:rsid w:val="00D004E3"/>
    <w:rPr>
      <w:color w:val="0000FF" w:themeColor="hyperlink"/>
      <w:u w:val="single"/>
    </w:rPr>
  </w:style>
  <w:style w:type="paragraph" w:styleId="Textoindependiente">
    <w:name w:val="Body Text"/>
    <w:basedOn w:val="Normal"/>
    <w:link w:val="TextoindependienteCar"/>
    <w:uiPriority w:val="99"/>
    <w:semiHidden/>
    <w:unhideWhenUsed/>
    <w:rsid w:val="00880AB4"/>
    <w:pPr>
      <w:spacing w:after="120"/>
    </w:pPr>
  </w:style>
  <w:style w:type="character" w:customStyle="1" w:styleId="TextoindependienteCar">
    <w:name w:val="Texto independiente Car"/>
    <w:basedOn w:val="Fuentedeprrafopredeter"/>
    <w:link w:val="Textoindependiente"/>
    <w:uiPriority w:val="99"/>
    <w:semiHidden/>
    <w:rsid w:val="00880AB4"/>
  </w:style>
  <w:style w:type="paragraph" w:styleId="Prrafodelista">
    <w:name w:val="List Paragraph"/>
    <w:basedOn w:val="Normal"/>
    <w:uiPriority w:val="34"/>
    <w:qFormat/>
    <w:rsid w:val="00173B2A"/>
    <w:pPr>
      <w:ind w:left="720"/>
      <w:contextualSpacing/>
    </w:pPr>
  </w:style>
  <w:style w:type="character" w:styleId="Textoennegrita">
    <w:name w:val="Strong"/>
    <w:basedOn w:val="Fuentedeprrafopredeter"/>
    <w:uiPriority w:val="22"/>
    <w:qFormat/>
    <w:rsid w:val="00A37732"/>
    <w:rPr>
      <w:b/>
      <w:bCs/>
    </w:rPr>
  </w:style>
  <w:style w:type="character" w:styleId="nfasis">
    <w:name w:val="Emphasis"/>
    <w:basedOn w:val="Fuentedeprrafopredeter"/>
    <w:uiPriority w:val="20"/>
    <w:qFormat/>
    <w:rsid w:val="00A37732"/>
    <w:rPr>
      <w:i/>
      <w:iCs/>
    </w:rPr>
  </w:style>
  <w:style w:type="character" w:styleId="Mencinsinresolver">
    <w:name w:val="Unresolved Mention"/>
    <w:basedOn w:val="Fuentedeprrafopredeter"/>
    <w:uiPriority w:val="99"/>
    <w:semiHidden/>
    <w:unhideWhenUsed/>
    <w:rsid w:val="0076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8355">
      <w:bodyDiv w:val="1"/>
      <w:marLeft w:val="0"/>
      <w:marRight w:val="0"/>
      <w:marTop w:val="0"/>
      <w:marBottom w:val="0"/>
      <w:divBdr>
        <w:top w:val="none" w:sz="0" w:space="0" w:color="auto"/>
        <w:left w:val="none" w:sz="0" w:space="0" w:color="auto"/>
        <w:bottom w:val="none" w:sz="0" w:space="0" w:color="auto"/>
        <w:right w:val="none" w:sz="0" w:space="0" w:color="auto"/>
      </w:divBdr>
      <w:divsChild>
        <w:div w:id="1551696032">
          <w:marLeft w:val="0"/>
          <w:marRight w:val="0"/>
          <w:marTop w:val="0"/>
          <w:marBottom w:val="0"/>
          <w:divBdr>
            <w:top w:val="none" w:sz="0" w:space="0" w:color="auto"/>
            <w:left w:val="none" w:sz="0" w:space="0" w:color="auto"/>
            <w:bottom w:val="none" w:sz="0" w:space="0" w:color="auto"/>
            <w:right w:val="none" w:sz="0" w:space="0" w:color="auto"/>
          </w:divBdr>
          <w:divsChild>
            <w:div w:id="279841929">
              <w:marLeft w:val="0"/>
              <w:marRight w:val="0"/>
              <w:marTop w:val="0"/>
              <w:marBottom w:val="0"/>
              <w:divBdr>
                <w:top w:val="none" w:sz="0" w:space="0" w:color="auto"/>
                <w:left w:val="none" w:sz="0" w:space="0" w:color="auto"/>
                <w:bottom w:val="none" w:sz="0" w:space="0" w:color="auto"/>
                <w:right w:val="none" w:sz="0" w:space="0" w:color="auto"/>
              </w:divBdr>
              <w:divsChild>
                <w:div w:id="1240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914">
      <w:bodyDiv w:val="1"/>
      <w:marLeft w:val="0"/>
      <w:marRight w:val="0"/>
      <w:marTop w:val="0"/>
      <w:marBottom w:val="0"/>
      <w:divBdr>
        <w:top w:val="none" w:sz="0" w:space="0" w:color="auto"/>
        <w:left w:val="none" w:sz="0" w:space="0" w:color="auto"/>
        <w:bottom w:val="none" w:sz="0" w:space="0" w:color="auto"/>
        <w:right w:val="none" w:sz="0" w:space="0" w:color="auto"/>
      </w:divBdr>
    </w:div>
    <w:div w:id="290282217">
      <w:bodyDiv w:val="1"/>
      <w:marLeft w:val="0"/>
      <w:marRight w:val="0"/>
      <w:marTop w:val="0"/>
      <w:marBottom w:val="0"/>
      <w:divBdr>
        <w:top w:val="none" w:sz="0" w:space="0" w:color="auto"/>
        <w:left w:val="none" w:sz="0" w:space="0" w:color="auto"/>
        <w:bottom w:val="none" w:sz="0" w:space="0" w:color="auto"/>
        <w:right w:val="none" w:sz="0" w:space="0" w:color="auto"/>
      </w:divBdr>
    </w:div>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6871">
      <w:bodyDiv w:val="1"/>
      <w:marLeft w:val="0"/>
      <w:marRight w:val="0"/>
      <w:marTop w:val="0"/>
      <w:marBottom w:val="0"/>
      <w:divBdr>
        <w:top w:val="none" w:sz="0" w:space="0" w:color="auto"/>
        <w:left w:val="none" w:sz="0" w:space="0" w:color="auto"/>
        <w:bottom w:val="none" w:sz="0" w:space="0" w:color="auto"/>
        <w:right w:val="none" w:sz="0" w:space="0" w:color="auto"/>
      </w:divBdr>
      <w:divsChild>
        <w:div w:id="828060976">
          <w:marLeft w:val="0"/>
          <w:marRight w:val="0"/>
          <w:marTop w:val="0"/>
          <w:marBottom w:val="0"/>
          <w:divBdr>
            <w:top w:val="none" w:sz="0" w:space="0" w:color="auto"/>
            <w:left w:val="none" w:sz="0" w:space="0" w:color="auto"/>
            <w:bottom w:val="none" w:sz="0" w:space="0" w:color="auto"/>
            <w:right w:val="none" w:sz="0" w:space="0" w:color="auto"/>
          </w:divBdr>
          <w:divsChild>
            <w:div w:id="1271665293">
              <w:marLeft w:val="0"/>
              <w:marRight w:val="0"/>
              <w:marTop w:val="0"/>
              <w:marBottom w:val="0"/>
              <w:divBdr>
                <w:top w:val="none" w:sz="0" w:space="0" w:color="auto"/>
                <w:left w:val="none" w:sz="0" w:space="0" w:color="auto"/>
                <w:bottom w:val="none" w:sz="0" w:space="0" w:color="auto"/>
                <w:right w:val="none" w:sz="0" w:space="0" w:color="auto"/>
              </w:divBdr>
              <w:divsChild>
                <w:div w:id="810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383">
      <w:bodyDiv w:val="1"/>
      <w:marLeft w:val="0"/>
      <w:marRight w:val="0"/>
      <w:marTop w:val="0"/>
      <w:marBottom w:val="0"/>
      <w:divBdr>
        <w:top w:val="none" w:sz="0" w:space="0" w:color="auto"/>
        <w:left w:val="none" w:sz="0" w:space="0" w:color="auto"/>
        <w:bottom w:val="none" w:sz="0" w:space="0" w:color="auto"/>
        <w:right w:val="none" w:sz="0" w:space="0" w:color="auto"/>
      </w:divBdr>
    </w:div>
    <w:div w:id="415713623">
      <w:bodyDiv w:val="1"/>
      <w:marLeft w:val="0"/>
      <w:marRight w:val="0"/>
      <w:marTop w:val="0"/>
      <w:marBottom w:val="0"/>
      <w:divBdr>
        <w:top w:val="none" w:sz="0" w:space="0" w:color="auto"/>
        <w:left w:val="none" w:sz="0" w:space="0" w:color="auto"/>
        <w:bottom w:val="none" w:sz="0" w:space="0" w:color="auto"/>
        <w:right w:val="none" w:sz="0" w:space="0" w:color="auto"/>
      </w:divBdr>
    </w:div>
    <w:div w:id="471100613">
      <w:bodyDiv w:val="1"/>
      <w:marLeft w:val="0"/>
      <w:marRight w:val="0"/>
      <w:marTop w:val="0"/>
      <w:marBottom w:val="0"/>
      <w:divBdr>
        <w:top w:val="none" w:sz="0" w:space="0" w:color="auto"/>
        <w:left w:val="none" w:sz="0" w:space="0" w:color="auto"/>
        <w:bottom w:val="none" w:sz="0" w:space="0" w:color="auto"/>
        <w:right w:val="none" w:sz="0" w:space="0" w:color="auto"/>
      </w:divBdr>
    </w:div>
    <w:div w:id="605043729">
      <w:bodyDiv w:val="1"/>
      <w:marLeft w:val="0"/>
      <w:marRight w:val="0"/>
      <w:marTop w:val="0"/>
      <w:marBottom w:val="0"/>
      <w:divBdr>
        <w:top w:val="none" w:sz="0" w:space="0" w:color="auto"/>
        <w:left w:val="none" w:sz="0" w:space="0" w:color="auto"/>
        <w:bottom w:val="none" w:sz="0" w:space="0" w:color="auto"/>
        <w:right w:val="none" w:sz="0" w:space="0" w:color="auto"/>
      </w:divBdr>
    </w:div>
    <w:div w:id="617296866">
      <w:bodyDiv w:val="1"/>
      <w:marLeft w:val="0"/>
      <w:marRight w:val="0"/>
      <w:marTop w:val="0"/>
      <w:marBottom w:val="0"/>
      <w:divBdr>
        <w:top w:val="none" w:sz="0" w:space="0" w:color="auto"/>
        <w:left w:val="none" w:sz="0" w:space="0" w:color="auto"/>
        <w:bottom w:val="none" w:sz="0" w:space="0" w:color="auto"/>
        <w:right w:val="none" w:sz="0" w:space="0" w:color="auto"/>
      </w:divBdr>
    </w:div>
    <w:div w:id="684944772">
      <w:bodyDiv w:val="1"/>
      <w:marLeft w:val="0"/>
      <w:marRight w:val="0"/>
      <w:marTop w:val="0"/>
      <w:marBottom w:val="0"/>
      <w:divBdr>
        <w:top w:val="none" w:sz="0" w:space="0" w:color="auto"/>
        <w:left w:val="none" w:sz="0" w:space="0" w:color="auto"/>
        <w:bottom w:val="none" w:sz="0" w:space="0" w:color="auto"/>
        <w:right w:val="none" w:sz="0" w:space="0" w:color="auto"/>
      </w:divBdr>
    </w:div>
    <w:div w:id="697270173">
      <w:bodyDiv w:val="1"/>
      <w:marLeft w:val="0"/>
      <w:marRight w:val="0"/>
      <w:marTop w:val="0"/>
      <w:marBottom w:val="0"/>
      <w:divBdr>
        <w:top w:val="none" w:sz="0" w:space="0" w:color="auto"/>
        <w:left w:val="none" w:sz="0" w:space="0" w:color="auto"/>
        <w:bottom w:val="none" w:sz="0" w:space="0" w:color="auto"/>
        <w:right w:val="none" w:sz="0" w:space="0" w:color="auto"/>
      </w:divBdr>
    </w:div>
    <w:div w:id="1030882860">
      <w:bodyDiv w:val="1"/>
      <w:marLeft w:val="0"/>
      <w:marRight w:val="0"/>
      <w:marTop w:val="0"/>
      <w:marBottom w:val="0"/>
      <w:divBdr>
        <w:top w:val="none" w:sz="0" w:space="0" w:color="auto"/>
        <w:left w:val="none" w:sz="0" w:space="0" w:color="auto"/>
        <w:bottom w:val="none" w:sz="0" w:space="0" w:color="auto"/>
        <w:right w:val="none" w:sz="0" w:space="0" w:color="auto"/>
      </w:divBdr>
    </w:div>
    <w:div w:id="1101491220">
      <w:bodyDiv w:val="1"/>
      <w:marLeft w:val="0"/>
      <w:marRight w:val="0"/>
      <w:marTop w:val="0"/>
      <w:marBottom w:val="0"/>
      <w:divBdr>
        <w:top w:val="none" w:sz="0" w:space="0" w:color="auto"/>
        <w:left w:val="none" w:sz="0" w:space="0" w:color="auto"/>
        <w:bottom w:val="none" w:sz="0" w:space="0" w:color="auto"/>
        <w:right w:val="none" w:sz="0" w:space="0" w:color="auto"/>
      </w:divBdr>
    </w:div>
    <w:div w:id="1106191924">
      <w:bodyDiv w:val="1"/>
      <w:marLeft w:val="0"/>
      <w:marRight w:val="0"/>
      <w:marTop w:val="0"/>
      <w:marBottom w:val="0"/>
      <w:divBdr>
        <w:top w:val="none" w:sz="0" w:space="0" w:color="auto"/>
        <w:left w:val="none" w:sz="0" w:space="0" w:color="auto"/>
        <w:bottom w:val="none" w:sz="0" w:space="0" w:color="auto"/>
        <w:right w:val="none" w:sz="0" w:space="0" w:color="auto"/>
      </w:divBdr>
    </w:div>
    <w:div w:id="1151825085">
      <w:bodyDiv w:val="1"/>
      <w:marLeft w:val="0"/>
      <w:marRight w:val="0"/>
      <w:marTop w:val="0"/>
      <w:marBottom w:val="0"/>
      <w:divBdr>
        <w:top w:val="none" w:sz="0" w:space="0" w:color="auto"/>
        <w:left w:val="none" w:sz="0" w:space="0" w:color="auto"/>
        <w:bottom w:val="none" w:sz="0" w:space="0" w:color="auto"/>
        <w:right w:val="none" w:sz="0" w:space="0" w:color="auto"/>
      </w:divBdr>
    </w:div>
    <w:div w:id="1181698861">
      <w:bodyDiv w:val="1"/>
      <w:marLeft w:val="0"/>
      <w:marRight w:val="0"/>
      <w:marTop w:val="0"/>
      <w:marBottom w:val="0"/>
      <w:divBdr>
        <w:top w:val="none" w:sz="0" w:space="0" w:color="auto"/>
        <w:left w:val="none" w:sz="0" w:space="0" w:color="auto"/>
        <w:bottom w:val="none" w:sz="0" w:space="0" w:color="auto"/>
        <w:right w:val="none" w:sz="0" w:space="0" w:color="auto"/>
      </w:divBdr>
    </w:div>
    <w:div w:id="1290819625">
      <w:bodyDiv w:val="1"/>
      <w:marLeft w:val="0"/>
      <w:marRight w:val="0"/>
      <w:marTop w:val="0"/>
      <w:marBottom w:val="0"/>
      <w:divBdr>
        <w:top w:val="none" w:sz="0" w:space="0" w:color="auto"/>
        <w:left w:val="none" w:sz="0" w:space="0" w:color="auto"/>
        <w:bottom w:val="none" w:sz="0" w:space="0" w:color="auto"/>
        <w:right w:val="none" w:sz="0" w:space="0" w:color="auto"/>
      </w:divBdr>
    </w:div>
    <w:div w:id="1353458076">
      <w:bodyDiv w:val="1"/>
      <w:marLeft w:val="0"/>
      <w:marRight w:val="0"/>
      <w:marTop w:val="0"/>
      <w:marBottom w:val="0"/>
      <w:divBdr>
        <w:top w:val="none" w:sz="0" w:space="0" w:color="auto"/>
        <w:left w:val="none" w:sz="0" w:space="0" w:color="auto"/>
        <w:bottom w:val="none" w:sz="0" w:space="0" w:color="auto"/>
        <w:right w:val="none" w:sz="0" w:space="0" w:color="auto"/>
      </w:divBdr>
    </w:div>
    <w:div w:id="1487235615">
      <w:bodyDiv w:val="1"/>
      <w:marLeft w:val="0"/>
      <w:marRight w:val="0"/>
      <w:marTop w:val="0"/>
      <w:marBottom w:val="0"/>
      <w:divBdr>
        <w:top w:val="none" w:sz="0" w:space="0" w:color="auto"/>
        <w:left w:val="none" w:sz="0" w:space="0" w:color="auto"/>
        <w:bottom w:val="none" w:sz="0" w:space="0" w:color="auto"/>
        <w:right w:val="none" w:sz="0" w:space="0" w:color="auto"/>
      </w:divBdr>
    </w:div>
    <w:div w:id="1575893545">
      <w:bodyDiv w:val="1"/>
      <w:marLeft w:val="0"/>
      <w:marRight w:val="0"/>
      <w:marTop w:val="0"/>
      <w:marBottom w:val="0"/>
      <w:divBdr>
        <w:top w:val="none" w:sz="0" w:space="0" w:color="auto"/>
        <w:left w:val="none" w:sz="0" w:space="0" w:color="auto"/>
        <w:bottom w:val="none" w:sz="0" w:space="0" w:color="auto"/>
        <w:right w:val="none" w:sz="0" w:space="0" w:color="auto"/>
      </w:divBdr>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7924">
      <w:bodyDiv w:val="1"/>
      <w:marLeft w:val="0"/>
      <w:marRight w:val="0"/>
      <w:marTop w:val="0"/>
      <w:marBottom w:val="0"/>
      <w:divBdr>
        <w:top w:val="none" w:sz="0" w:space="0" w:color="auto"/>
        <w:left w:val="none" w:sz="0" w:space="0" w:color="auto"/>
        <w:bottom w:val="none" w:sz="0" w:space="0" w:color="auto"/>
        <w:right w:val="none" w:sz="0" w:space="0" w:color="auto"/>
      </w:divBdr>
    </w:div>
    <w:div w:id="1762683321">
      <w:bodyDiv w:val="1"/>
      <w:marLeft w:val="0"/>
      <w:marRight w:val="0"/>
      <w:marTop w:val="0"/>
      <w:marBottom w:val="0"/>
      <w:divBdr>
        <w:top w:val="none" w:sz="0" w:space="0" w:color="auto"/>
        <w:left w:val="none" w:sz="0" w:space="0" w:color="auto"/>
        <w:bottom w:val="none" w:sz="0" w:space="0" w:color="auto"/>
        <w:right w:val="none" w:sz="0" w:space="0" w:color="auto"/>
      </w:divBdr>
    </w:div>
    <w:div w:id="1763598047">
      <w:bodyDiv w:val="1"/>
      <w:marLeft w:val="0"/>
      <w:marRight w:val="0"/>
      <w:marTop w:val="0"/>
      <w:marBottom w:val="0"/>
      <w:divBdr>
        <w:top w:val="none" w:sz="0" w:space="0" w:color="auto"/>
        <w:left w:val="none" w:sz="0" w:space="0" w:color="auto"/>
        <w:bottom w:val="none" w:sz="0" w:space="0" w:color="auto"/>
        <w:right w:val="none" w:sz="0" w:space="0" w:color="auto"/>
      </w:divBdr>
    </w:div>
    <w:div w:id="1778872142">
      <w:bodyDiv w:val="1"/>
      <w:marLeft w:val="0"/>
      <w:marRight w:val="0"/>
      <w:marTop w:val="0"/>
      <w:marBottom w:val="0"/>
      <w:divBdr>
        <w:top w:val="none" w:sz="0" w:space="0" w:color="auto"/>
        <w:left w:val="none" w:sz="0" w:space="0" w:color="auto"/>
        <w:bottom w:val="none" w:sz="0" w:space="0" w:color="auto"/>
        <w:right w:val="none" w:sz="0" w:space="0" w:color="auto"/>
      </w:divBdr>
    </w:div>
    <w:div w:id="1928690682">
      <w:bodyDiv w:val="1"/>
      <w:marLeft w:val="0"/>
      <w:marRight w:val="0"/>
      <w:marTop w:val="0"/>
      <w:marBottom w:val="0"/>
      <w:divBdr>
        <w:top w:val="none" w:sz="0" w:space="0" w:color="auto"/>
        <w:left w:val="none" w:sz="0" w:space="0" w:color="auto"/>
        <w:bottom w:val="none" w:sz="0" w:space="0" w:color="auto"/>
        <w:right w:val="none" w:sz="0" w:space="0" w:color="auto"/>
      </w:divBdr>
    </w:div>
    <w:div w:id="2110538210">
      <w:bodyDiv w:val="1"/>
      <w:marLeft w:val="0"/>
      <w:marRight w:val="0"/>
      <w:marTop w:val="0"/>
      <w:marBottom w:val="0"/>
      <w:divBdr>
        <w:top w:val="none" w:sz="0" w:space="0" w:color="auto"/>
        <w:left w:val="none" w:sz="0" w:space="0" w:color="auto"/>
        <w:bottom w:val="none" w:sz="0" w:space="0" w:color="auto"/>
        <w:right w:val="none" w:sz="0" w:space="0" w:color="auto"/>
      </w:divBdr>
      <w:divsChild>
        <w:div w:id="975376308">
          <w:marLeft w:val="0"/>
          <w:marRight w:val="0"/>
          <w:marTop w:val="0"/>
          <w:marBottom w:val="0"/>
          <w:divBdr>
            <w:top w:val="none" w:sz="0" w:space="0" w:color="auto"/>
            <w:left w:val="none" w:sz="0" w:space="0" w:color="auto"/>
            <w:bottom w:val="none" w:sz="0" w:space="0" w:color="auto"/>
            <w:right w:val="none" w:sz="0" w:space="0" w:color="auto"/>
          </w:divBdr>
          <w:divsChild>
            <w:div w:id="151871156">
              <w:marLeft w:val="0"/>
              <w:marRight w:val="0"/>
              <w:marTop w:val="0"/>
              <w:marBottom w:val="0"/>
              <w:divBdr>
                <w:top w:val="none" w:sz="0" w:space="0" w:color="auto"/>
                <w:left w:val="none" w:sz="0" w:space="0" w:color="auto"/>
                <w:bottom w:val="none" w:sz="0" w:space="0" w:color="auto"/>
                <w:right w:val="none" w:sz="0" w:space="0" w:color="auto"/>
              </w:divBdr>
              <w:divsChild>
                <w:div w:id="776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22728-7626-4372-B140-6B167425CE29}">
  <ds:schemaRefs>
    <ds:schemaRef ds:uri="http://schemas.microsoft.com/sharepoint/v3/contenttype/forms"/>
  </ds:schemaRefs>
</ds:datastoreItem>
</file>

<file path=customXml/itemProps2.xml><?xml version="1.0" encoding="utf-8"?>
<ds:datastoreItem xmlns:ds="http://schemas.openxmlformats.org/officeDocument/2006/customXml" ds:itemID="{33645B5A-C581-4D11-8027-A3D3C8B2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413F4-9A6B-4B0B-BAC7-717D233065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1A8FDF0-B92F-4A40-9C2F-3164914E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4971</Words>
  <Characters>27343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Deisy Joanna Forero Forero</cp:lastModifiedBy>
  <cp:revision>2</cp:revision>
  <dcterms:created xsi:type="dcterms:W3CDTF">2020-12-01T22:58:00Z</dcterms:created>
  <dcterms:modified xsi:type="dcterms:W3CDTF">2020-12-01T22:58:00Z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