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1AF9" w14:textId="77777777" w:rsidR="004B7597" w:rsidRPr="00C139F5" w:rsidRDefault="004B7597" w:rsidP="004B7597">
      <w:pPr>
        <w:jc w:val="right"/>
        <w:rPr>
          <w:rFonts w:ascii="Arial" w:eastAsia="Arial" w:hAnsi="Arial" w:cs="Arial"/>
          <w:b/>
          <w:color w:val="000000" w:themeColor="text1"/>
          <w:sz w:val="16"/>
          <w:szCs w:val="16"/>
        </w:rPr>
      </w:pPr>
    </w:p>
    <w:p w14:paraId="6B37C820" w14:textId="77777777" w:rsidR="004B7597" w:rsidRPr="00C139F5" w:rsidRDefault="004B7597" w:rsidP="004B7597">
      <w:pPr>
        <w:jc w:val="right"/>
        <w:rPr>
          <w:rFonts w:ascii="Arial" w:eastAsia="Arial" w:hAnsi="Arial" w:cs="Arial"/>
          <w:b/>
          <w:color w:val="000000" w:themeColor="text1"/>
          <w:sz w:val="16"/>
          <w:szCs w:val="16"/>
        </w:rPr>
      </w:pPr>
      <w:r w:rsidRPr="00C139F5">
        <w:rPr>
          <w:rFonts w:ascii="Arial" w:eastAsia="Arial" w:hAnsi="Arial" w:cs="Arial"/>
          <w:b/>
          <w:color w:val="000000" w:themeColor="text1"/>
          <w:sz w:val="16"/>
          <w:szCs w:val="16"/>
        </w:rPr>
        <w:tab/>
        <w:t>CCE-DES-FM-17</w:t>
      </w:r>
    </w:p>
    <w:p w14:paraId="560575A0" w14:textId="77777777" w:rsidR="004B7597" w:rsidRPr="00C139F5" w:rsidRDefault="004B7597" w:rsidP="004B7597">
      <w:pPr>
        <w:jc w:val="right"/>
        <w:rPr>
          <w:rFonts w:ascii="Arial" w:eastAsia="Arial" w:hAnsi="Arial" w:cs="Arial"/>
          <w:b/>
          <w:color w:val="000000" w:themeColor="text1"/>
          <w:sz w:val="16"/>
          <w:szCs w:val="16"/>
        </w:rPr>
      </w:pPr>
    </w:p>
    <w:p w14:paraId="2A7E5AA9" w14:textId="77777777" w:rsidR="004B7597" w:rsidRPr="00C139F5" w:rsidRDefault="004B7597" w:rsidP="004B7597">
      <w:pPr>
        <w:jc w:val="both"/>
        <w:rPr>
          <w:rFonts w:ascii="Arial" w:eastAsia="Arial" w:hAnsi="Arial" w:cs="Arial"/>
          <w:b/>
          <w:color w:val="000000" w:themeColor="text1"/>
          <w:sz w:val="22"/>
          <w:szCs w:val="22"/>
        </w:rPr>
      </w:pPr>
      <w:r w:rsidRPr="00C139F5">
        <w:rPr>
          <w:rFonts w:ascii="Arial" w:eastAsia="Arial" w:hAnsi="Arial" w:cs="Arial"/>
          <w:b/>
          <w:color w:val="000000" w:themeColor="text1"/>
          <w:sz w:val="22"/>
          <w:szCs w:val="22"/>
        </w:rPr>
        <w:t>MIPYME – Noción y alcance</w:t>
      </w:r>
      <w:r w:rsidRPr="00C139F5">
        <w:rPr>
          <w:rFonts w:ascii="Arial" w:eastAsia="Arial" w:hAnsi="Arial" w:cs="Arial"/>
          <w:color w:val="000000" w:themeColor="text1"/>
          <w:sz w:val="22"/>
          <w:szCs w:val="22"/>
        </w:rPr>
        <w:t xml:space="preserve"> </w:t>
      </w:r>
    </w:p>
    <w:p w14:paraId="4C68CF93" w14:textId="77777777" w:rsidR="004B7597" w:rsidRPr="00C139F5" w:rsidRDefault="004B7597" w:rsidP="004B7597">
      <w:pPr>
        <w:jc w:val="both"/>
        <w:rPr>
          <w:rFonts w:ascii="Arial" w:eastAsia="Arial" w:hAnsi="Arial" w:cs="Arial"/>
          <w:color w:val="000000" w:themeColor="text1"/>
          <w:sz w:val="21"/>
          <w:szCs w:val="21"/>
        </w:rPr>
      </w:pPr>
    </w:p>
    <w:p w14:paraId="6BF00D7F" w14:textId="6CF06D68" w:rsidR="004B7597" w:rsidRPr="00C139F5" w:rsidRDefault="004B7597" w:rsidP="004B7597">
      <w:pPr>
        <w:spacing w:after="120"/>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 xml:space="preserve">[…] Pequeña y Mediana Empresa </w:t>
      </w:r>
      <w:r w:rsidR="00311FC8">
        <w:rPr>
          <w:rFonts w:ascii="Arial" w:eastAsia="Arial" w:hAnsi="Arial" w:cs="Arial"/>
          <w:color w:val="000000" w:themeColor="text1"/>
          <w:sz w:val="20"/>
          <w:szCs w:val="20"/>
        </w:rPr>
        <w:t>–</w:t>
      </w:r>
      <w:r w:rsidRPr="00C139F5">
        <w:rPr>
          <w:rFonts w:ascii="Arial" w:eastAsia="Arial" w:hAnsi="Arial" w:cs="Arial"/>
          <w:color w:val="000000" w:themeColor="text1"/>
          <w:sz w:val="20"/>
          <w:szCs w:val="20"/>
        </w:rPr>
        <w:t>Mipyme</w:t>
      </w:r>
      <w:r w:rsidR="00311FC8">
        <w:rPr>
          <w:rFonts w:ascii="Arial" w:eastAsia="Arial" w:hAnsi="Arial" w:cs="Arial"/>
          <w:color w:val="000000" w:themeColor="text1"/>
          <w:sz w:val="20"/>
          <w:szCs w:val="20"/>
        </w:rPr>
        <w:t>–</w:t>
      </w:r>
      <w:r w:rsidRPr="00C139F5">
        <w:rPr>
          <w:rFonts w:ascii="Arial" w:eastAsia="Arial" w:hAnsi="Arial" w:cs="Arial"/>
          <w:color w:val="000000" w:themeColor="text1"/>
          <w:sz w:val="20"/>
          <w:szCs w:val="20"/>
        </w:rPr>
        <w:t xml:space="preserv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7342ABD5" w14:textId="7EA25BB9" w:rsidR="004B7597" w:rsidRPr="00C139F5" w:rsidRDefault="004B7597" w:rsidP="004B7597">
      <w:pPr>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 el artículo 2.2.1.13.2.2. del Decreto 1074 de 2015, adicionado por el Decreto 957 de 2019, dispone que: i) la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ii) la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novecientos cincuenta y uno Unidades Valor Tributario (131 1 UVT)», y en el sector comercio, la que sus «ingresos por actividades ordinarias sean superiores a y cuatro mil setecientos y nueve Unidades de Valor Tributario (44.769 UVT) e inferiores o iguales a cuatrocientos y un mil ciento noventa y seis Unidades de Valor Tributario (431.196 UVT)»; y iii) la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 ingresos por actividades ordinarias anuales sean inferiores o a cuarenta y cuatro mil setecientos y nueve Unidades de Valor Tributario (44.769 UVT)» .</w:t>
      </w:r>
    </w:p>
    <w:p w14:paraId="5FC6FD64" w14:textId="77777777" w:rsidR="004B7597" w:rsidRPr="00C139F5" w:rsidRDefault="004B7597" w:rsidP="004B7597">
      <w:pPr>
        <w:jc w:val="both"/>
        <w:rPr>
          <w:rFonts w:ascii="Arial" w:eastAsia="Arial" w:hAnsi="Arial" w:cs="Arial"/>
          <w:b/>
          <w:color w:val="000000" w:themeColor="text1"/>
          <w:sz w:val="21"/>
          <w:szCs w:val="21"/>
        </w:rPr>
      </w:pPr>
    </w:p>
    <w:p w14:paraId="6FF3DEA2" w14:textId="01814AD6" w:rsidR="004B7597" w:rsidRPr="0029437D" w:rsidRDefault="00C139F5" w:rsidP="004B7597">
      <w:pPr>
        <w:jc w:val="both"/>
        <w:rPr>
          <w:rFonts w:ascii="Arial" w:eastAsia="Arial" w:hAnsi="Arial" w:cs="Arial"/>
          <w:b/>
          <w:color w:val="000000" w:themeColor="text1"/>
          <w:sz w:val="22"/>
          <w:szCs w:val="22"/>
        </w:rPr>
      </w:pPr>
      <w:r w:rsidRPr="0029437D">
        <w:rPr>
          <w:rFonts w:ascii="Arial" w:eastAsia="Arial" w:hAnsi="Arial" w:cs="Arial"/>
          <w:b/>
          <w:color w:val="000000" w:themeColor="text1"/>
          <w:sz w:val="22"/>
          <w:szCs w:val="22"/>
        </w:rPr>
        <w:t xml:space="preserve">LEY 2024 DE 2020 – </w:t>
      </w:r>
      <w:r w:rsidRPr="00C45BF3">
        <w:rPr>
          <w:rFonts w:ascii="Arial" w:eastAsia="Arial" w:hAnsi="Arial" w:cs="Arial"/>
          <w:b/>
          <w:color w:val="000000" w:themeColor="text1"/>
          <w:sz w:val="22"/>
          <w:szCs w:val="22"/>
        </w:rPr>
        <w:t>Obligación de pago en plazos justos – Alcance</w:t>
      </w:r>
    </w:p>
    <w:p w14:paraId="6AA28F0B" w14:textId="79568E08" w:rsidR="00C139F5" w:rsidRPr="00C139F5" w:rsidRDefault="00C139F5" w:rsidP="004B7597">
      <w:pPr>
        <w:jc w:val="both"/>
        <w:rPr>
          <w:rFonts w:ascii="Arial" w:eastAsia="Arial" w:hAnsi="Arial" w:cs="Arial"/>
          <w:color w:val="000000" w:themeColor="text1"/>
          <w:sz w:val="20"/>
          <w:szCs w:val="20"/>
        </w:rPr>
      </w:pPr>
    </w:p>
    <w:p w14:paraId="30680E08" w14:textId="230E4B97" w:rsidR="00C139F5" w:rsidRPr="00C139F5" w:rsidRDefault="00C139F5" w:rsidP="00C139F5">
      <w:pPr>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La «obligación de pago en plazos justos», como ya se dijo, encuentra fundamento en el principio de buena fe contractual, regulado en el artículo 871 del Código de Comercio. La misma se dirige a los comerciantes y a las personas que si tener dicha condición ejerzan operaciones mercantiles, y se traduce en que estos tienen el deber legal de «[…] efectuar el pago de sus obligaciones contractuales, en un término que se pactará para el primer año de entrada en vigencia de la (…) ley de máximo 60 días calendario y a partir del segundo año, máximo 45 días calendario improrrogables a partir de entrada en vigencia de la ley», en ambos casos, calculando el plazo a partir de la fecha de recepción de las mercancías o terminación de la prestación de los servicios.</w:t>
      </w:r>
    </w:p>
    <w:p w14:paraId="7676B2CC" w14:textId="1DE0D92A" w:rsidR="00C139F5" w:rsidRPr="00C139F5" w:rsidRDefault="00C139F5" w:rsidP="00C139F5">
      <w:pPr>
        <w:jc w:val="both"/>
        <w:rPr>
          <w:rFonts w:ascii="Arial" w:eastAsia="Arial" w:hAnsi="Arial" w:cs="Arial"/>
          <w:color w:val="000000" w:themeColor="text1"/>
          <w:sz w:val="20"/>
          <w:szCs w:val="20"/>
        </w:rPr>
      </w:pPr>
    </w:p>
    <w:p w14:paraId="55F7F4DA" w14:textId="5EA22B63" w:rsidR="00C139F5" w:rsidRPr="00C45BF3" w:rsidRDefault="00C139F5" w:rsidP="00C139F5">
      <w:pPr>
        <w:jc w:val="both"/>
        <w:rPr>
          <w:rFonts w:ascii="Arial" w:eastAsia="Arial" w:hAnsi="Arial" w:cs="Arial"/>
          <w:b/>
          <w:color w:val="000000" w:themeColor="text1"/>
          <w:sz w:val="22"/>
          <w:szCs w:val="22"/>
        </w:rPr>
      </w:pPr>
      <w:r w:rsidRPr="00C45BF3">
        <w:rPr>
          <w:rFonts w:ascii="Arial" w:eastAsia="Arial" w:hAnsi="Arial" w:cs="Arial"/>
          <w:b/>
          <w:color w:val="000000" w:themeColor="text1"/>
          <w:sz w:val="22"/>
          <w:szCs w:val="22"/>
        </w:rPr>
        <w:t>PAGO EN PLAZOS JUSTOS –</w:t>
      </w:r>
      <w:r w:rsidR="00311FC8" w:rsidRPr="00C45BF3">
        <w:rPr>
          <w:rFonts w:ascii="Arial" w:eastAsia="Arial" w:hAnsi="Arial" w:cs="Arial"/>
          <w:b/>
          <w:color w:val="000000" w:themeColor="text1"/>
          <w:sz w:val="22"/>
          <w:szCs w:val="22"/>
        </w:rPr>
        <w:t xml:space="preserve"> Obligación –</w:t>
      </w:r>
      <w:r w:rsidRPr="00C45BF3">
        <w:rPr>
          <w:rFonts w:ascii="Arial" w:eastAsia="Arial" w:hAnsi="Arial" w:cs="Arial"/>
          <w:b/>
          <w:color w:val="000000" w:themeColor="text1"/>
          <w:sz w:val="22"/>
          <w:szCs w:val="22"/>
        </w:rPr>
        <w:t xml:space="preserve"> Inaplicabilidad</w:t>
      </w:r>
    </w:p>
    <w:p w14:paraId="4067ABA1" w14:textId="77777777" w:rsidR="00C139F5" w:rsidRPr="00C139F5" w:rsidRDefault="00C139F5" w:rsidP="00C139F5">
      <w:pPr>
        <w:jc w:val="both"/>
        <w:rPr>
          <w:rFonts w:ascii="Arial" w:eastAsia="Arial" w:hAnsi="Arial" w:cs="Arial"/>
          <w:color w:val="000000" w:themeColor="text1"/>
          <w:sz w:val="20"/>
          <w:szCs w:val="20"/>
        </w:rPr>
      </w:pPr>
    </w:p>
    <w:p w14:paraId="21D5D962" w14:textId="0E675181" w:rsidR="00C139F5" w:rsidRPr="00C139F5" w:rsidRDefault="00C139F5" w:rsidP="00C139F5">
      <w:pPr>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 xml:space="preserve">Resulta del caso precisar que dicha obligación no vincula los pagos y obligaciones relacionadas en los numerales 1 a 3 de la Ley 2024 de 2020, así como tampoco a «las operaciones mercantiles </w:t>
      </w:r>
      <w:r w:rsidRPr="00C139F5">
        <w:rPr>
          <w:rFonts w:ascii="Arial" w:eastAsia="Arial" w:hAnsi="Arial" w:cs="Arial"/>
          <w:color w:val="000000" w:themeColor="text1"/>
          <w:sz w:val="20"/>
          <w:szCs w:val="20"/>
        </w:rPr>
        <w:lastRenderedPageBreak/>
        <w:t xml:space="preserve">realizadas entre sociedades consideradas como grandes empresas», según lo que establece el parágrafo 1 del artículo 3 de la Ley 2024 de 2020. </w:t>
      </w:r>
    </w:p>
    <w:p w14:paraId="60270E09" w14:textId="77777777" w:rsidR="00C139F5" w:rsidRPr="00C139F5" w:rsidRDefault="00C139F5" w:rsidP="00C139F5">
      <w:pPr>
        <w:jc w:val="both"/>
        <w:rPr>
          <w:rFonts w:ascii="Arial" w:eastAsia="Arial" w:hAnsi="Arial" w:cs="Arial"/>
          <w:color w:val="000000" w:themeColor="text1"/>
          <w:sz w:val="20"/>
          <w:szCs w:val="20"/>
        </w:rPr>
      </w:pPr>
    </w:p>
    <w:p w14:paraId="508E9EF3" w14:textId="2CAE81DB" w:rsidR="00C139F5" w:rsidRPr="00C45BF3" w:rsidRDefault="00C139F5" w:rsidP="00C139F5">
      <w:pPr>
        <w:jc w:val="both"/>
        <w:rPr>
          <w:rFonts w:ascii="Arial" w:eastAsia="Arial" w:hAnsi="Arial" w:cs="Arial"/>
          <w:b/>
          <w:color w:val="000000" w:themeColor="text1"/>
          <w:sz w:val="22"/>
          <w:szCs w:val="22"/>
        </w:rPr>
      </w:pPr>
      <w:r w:rsidRPr="0029437D">
        <w:rPr>
          <w:rFonts w:ascii="Arial" w:eastAsia="Arial" w:hAnsi="Arial" w:cs="Arial"/>
          <w:b/>
          <w:color w:val="000000" w:themeColor="text1"/>
          <w:sz w:val="22"/>
          <w:szCs w:val="22"/>
        </w:rPr>
        <w:t xml:space="preserve">LEY 2024 DE 2020 – </w:t>
      </w:r>
      <w:r w:rsidR="00311FC8" w:rsidRPr="00C45BF3">
        <w:rPr>
          <w:rFonts w:ascii="Arial" w:eastAsia="Arial" w:hAnsi="Arial" w:cs="Arial"/>
          <w:b/>
          <w:color w:val="000000" w:themeColor="text1"/>
          <w:sz w:val="22"/>
          <w:szCs w:val="22"/>
        </w:rPr>
        <w:t>P</w:t>
      </w:r>
      <w:r w:rsidRPr="00C45BF3">
        <w:rPr>
          <w:rFonts w:ascii="Arial" w:eastAsia="Arial" w:hAnsi="Arial" w:cs="Arial"/>
          <w:b/>
          <w:color w:val="000000" w:themeColor="text1"/>
          <w:sz w:val="22"/>
          <w:szCs w:val="22"/>
        </w:rPr>
        <w:t>ago en plazos justos – Grandes empresas – Noción</w:t>
      </w:r>
    </w:p>
    <w:p w14:paraId="1C59EC10" w14:textId="77777777" w:rsidR="00C139F5" w:rsidRPr="00C139F5" w:rsidRDefault="00C139F5" w:rsidP="00C139F5">
      <w:pPr>
        <w:jc w:val="both"/>
        <w:rPr>
          <w:rFonts w:ascii="Arial" w:eastAsia="Arial" w:hAnsi="Arial" w:cs="Arial"/>
          <w:color w:val="000000" w:themeColor="text1"/>
          <w:sz w:val="20"/>
          <w:szCs w:val="20"/>
        </w:rPr>
      </w:pPr>
    </w:p>
    <w:p w14:paraId="0893BE79" w14:textId="669EC4A3" w:rsidR="00C139F5" w:rsidRPr="00C139F5" w:rsidRDefault="00C139F5" w:rsidP="00C139F5">
      <w:pPr>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 a juicio de la Agencia Nacional de Contratación Pública, resulta aplicable la noción a la que se refiere el parágrafo 1 del artículo 2.2.1.13.2.2. del Decreto 1074 de 2015, adicionado por el artículo 1 del Decreto 957 de 2020. En virtud de esta disposición, «[s]e considera gran empresa aquella que tiene ingresos por actividades ordinarias anuales mayores al rango superior de las medianas empresas, en cada uno de los sectores económicos descritos […]» en el tercer párrafo del presente concepto. De esta forma, aquellas empresas que tengan ingresos por actividades ordinarias anuales superiores a 1.736.565 UVT, para el sector manufacturero, o 483.034 UVT, respecto del sector servicios, y 2.160.692 UVT, frente al sector comercio; serán consideradas «grandes empresas» para los efectos de la Ley 2024 de 2020.</w:t>
      </w:r>
    </w:p>
    <w:p w14:paraId="16AF727E" w14:textId="77777777" w:rsidR="00C8434A" w:rsidRDefault="00C8434A" w:rsidP="004B7597">
      <w:pPr>
        <w:rPr>
          <w:rFonts w:ascii="Arial" w:eastAsia="Arial" w:hAnsi="Arial" w:cs="Arial"/>
          <w:color w:val="000000" w:themeColor="text1"/>
          <w:sz w:val="22"/>
          <w:szCs w:val="22"/>
        </w:rPr>
      </w:pPr>
    </w:p>
    <w:p w14:paraId="09DD3455" w14:textId="77777777" w:rsidR="00C8434A" w:rsidRDefault="00C8434A" w:rsidP="004B7597">
      <w:pPr>
        <w:rPr>
          <w:rFonts w:ascii="Arial" w:eastAsia="Arial" w:hAnsi="Arial" w:cs="Arial"/>
          <w:color w:val="000000" w:themeColor="text1"/>
          <w:sz w:val="22"/>
          <w:szCs w:val="22"/>
        </w:rPr>
      </w:pPr>
    </w:p>
    <w:p w14:paraId="416E8962" w14:textId="0B266A0A" w:rsidR="004B7597" w:rsidRPr="00C139F5" w:rsidRDefault="004B7597" w:rsidP="004B7597">
      <w:pPr>
        <w:rPr>
          <w:rFonts w:ascii="Arial" w:eastAsia="Arial" w:hAnsi="Arial" w:cs="Arial"/>
          <w:b/>
          <w:color w:val="000000" w:themeColor="text1"/>
          <w:sz w:val="22"/>
          <w:szCs w:val="22"/>
        </w:rPr>
      </w:pPr>
      <w:r w:rsidRPr="00C139F5">
        <w:rPr>
          <w:rFonts w:ascii="Arial" w:eastAsia="Arial" w:hAnsi="Arial" w:cs="Arial"/>
          <w:color w:val="000000" w:themeColor="text1"/>
          <w:sz w:val="22"/>
          <w:szCs w:val="22"/>
        </w:rPr>
        <w:t xml:space="preserve">Bogotá D.C., </w:t>
      </w:r>
      <w:r w:rsidR="00251DB4">
        <w:rPr>
          <w:rFonts w:ascii="Arial" w:eastAsia="Arial" w:hAnsi="Arial" w:cs="Arial"/>
          <w:b/>
          <w:color w:val="000000" w:themeColor="text1"/>
          <w:sz w:val="22"/>
          <w:szCs w:val="22"/>
        </w:rPr>
        <w:t>22/10/2020 19:01:15s</w:t>
      </w:r>
    </w:p>
    <w:p w14:paraId="48995DE0" w14:textId="3A9F028B" w:rsidR="004B7597" w:rsidRPr="00C139F5" w:rsidRDefault="004B7597" w:rsidP="004B7597">
      <w:pPr>
        <w:jc w:val="right"/>
        <w:rPr>
          <w:rFonts w:ascii="Arial" w:eastAsia="Arial" w:hAnsi="Arial" w:cs="Arial"/>
          <w:b/>
          <w:color w:val="000000" w:themeColor="text1"/>
          <w:sz w:val="22"/>
          <w:szCs w:val="22"/>
        </w:rPr>
      </w:pPr>
      <w:r w:rsidRPr="00C139F5">
        <w:rPr>
          <w:rFonts w:ascii="Arial" w:eastAsia="Arial" w:hAnsi="Arial" w:cs="Arial"/>
          <w:b/>
          <w:color w:val="000000" w:themeColor="text1"/>
          <w:sz w:val="22"/>
          <w:szCs w:val="22"/>
        </w:rPr>
        <w:t xml:space="preserve">N° Radicado: </w:t>
      </w:r>
      <w:r w:rsidR="00251DB4" w:rsidRPr="00251DB4">
        <w:rPr>
          <w:rFonts w:ascii="Arial" w:eastAsia="Arial" w:hAnsi="Arial" w:cs="Arial"/>
          <w:b/>
          <w:color w:val="000000" w:themeColor="text1"/>
          <w:sz w:val="22"/>
          <w:szCs w:val="22"/>
        </w:rPr>
        <w:t>2202013000010420</w:t>
      </w:r>
    </w:p>
    <w:p w14:paraId="3EB33C15" w14:textId="77777777" w:rsidR="004B7597" w:rsidRPr="00C139F5" w:rsidRDefault="004B7597" w:rsidP="004B7597">
      <w:pPr>
        <w:rPr>
          <w:rFonts w:ascii="Arial" w:eastAsia="Arial" w:hAnsi="Arial" w:cs="Arial"/>
          <w:color w:val="000000" w:themeColor="text1"/>
          <w:sz w:val="22"/>
          <w:szCs w:val="22"/>
        </w:rPr>
      </w:pPr>
    </w:p>
    <w:p w14:paraId="20FF9594" w14:textId="77777777" w:rsidR="004B7597" w:rsidRPr="00C139F5" w:rsidRDefault="004B7597" w:rsidP="004B7597">
      <w:pPr>
        <w:rPr>
          <w:rFonts w:ascii="Arial" w:eastAsia="Arial" w:hAnsi="Arial" w:cs="Arial"/>
          <w:color w:val="000000" w:themeColor="text1"/>
          <w:sz w:val="22"/>
          <w:szCs w:val="22"/>
        </w:rPr>
      </w:pPr>
    </w:p>
    <w:p w14:paraId="081A1E1E" w14:textId="77777777" w:rsidR="004B7597" w:rsidRPr="00C139F5" w:rsidRDefault="004B7597" w:rsidP="004B7597">
      <w:pPr>
        <w:rPr>
          <w:rFonts w:ascii="Arial" w:eastAsia="Arial" w:hAnsi="Arial" w:cs="Arial"/>
          <w:color w:val="000000" w:themeColor="text1"/>
          <w:sz w:val="22"/>
          <w:szCs w:val="22"/>
        </w:rPr>
      </w:pPr>
    </w:p>
    <w:p w14:paraId="6D022615" w14:textId="77777777" w:rsidR="004B7597" w:rsidRPr="00C139F5" w:rsidRDefault="004B7597" w:rsidP="004B7597">
      <w:pPr>
        <w:rPr>
          <w:rFonts w:ascii="Arial" w:eastAsia="Arial" w:hAnsi="Arial" w:cs="Arial"/>
          <w:color w:val="000000" w:themeColor="text1"/>
          <w:sz w:val="22"/>
          <w:szCs w:val="22"/>
        </w:rPr>
      </w:pPr>
      <w:r w:rsidRPr="00C139F5">
        <w:rPr>
          <w:rFonts w:ascii="Arial" w:eastAsia="Arial" w:hAnsi="Arial" w:cs="Arial"/>
          <w:color w:val="000000" w:themeColor="text1"/>
          <w:sz w:val="22"/>
          <w:szCs w:val="22"/>
        </w:rPr>
        <w:t>Señora</w:t>
      </w:r>
    </w:p>
    <w:p w14:paraId="067BF4E2" w14:textId="77777777" w:rsidR="004B7597" w:rsidRPr="00C139F5" w:rsidRDefault="004B7597" w:rsidP="004B7597">
      <w:pPr>
        <w:rPr>
          <w:rFonts w:ascii="Arial" w:eastAsia="Arial" w:hAnsi="Arial" w:cs="Arial"/>
          <w:b/>
          <w:color w:val="000000" w:themeColor="text1"/>
          <w:sz w:val="22"/>
          <w:szCs w:val="22"/>
        </w:rPr>
      </w:pPr>
      <w:r w:rsidRPr="00C139F5">
        <w:rPr>
          <w:rFonts w:ascii="Arial" w:eastAsia="Arial" w:hAnsi="Arial" w:cs="Arial"/>
          <w:b/>
          <w:color w:val="000000" w:themeColor="text1"/>
          <w:sz w:val="22"/>
          <w:szCs w:val="22"/>
        </w:rPr>
        <w:t>María José Arias Quintero</w:t>
      </w:r>
    </w:p>
    <w:p w14:paraId="5C6E4250" w14:textId="77777777" w:rsidR="004B7597" w:rsidRPr="00C139F5" w:rsidRDefault="004B7597" w:rsidP="004B7597">
      <w:pPr>
        <w:rPr>
          <w:rFonts w:ascii="Arial" w:eastAsia="Arial" w:hAnsi="Arial" w:cs="Arial"/>
          <w:color w:val="000000" w:themeColor="text1"/>
          <w:sz w:val="22"/>
          <w:szCs w:val="22"/>
        </w:rPr>
      </w:pPr>
      <w:r w:rsidRPr="00C139F5">
        <w:rPr>
          <w:rFonts w:ascii="Arial" w:eastAsia="Arial" w:hAnsi="Arial" w:cs="Arial"/>
          <w:color w:val="000000" w:themeColor="text1"/>
          <w:sz w:val="22"/>
          <w:szCs w:val="22"/>
        </w:rPr>
        <w:t>Medellín, Antioquia</w:t>
      </w:r>
    </w:p>
    <w:p w14:paraId="0CF2EA75" w14:textId="5FAF2570" w:rsidR="004B7597" w:rsidRDefault="004B7597" w:rsidP="004B7597">
      <w:pPr>
        <w:rPr>
          <w:rFonts w:ascii="Arial" w:eastAsia="Arial" w:hAnsi="Arial" w:cs="Arial"/>
          <w:color w:val="000000" w:themeColor="text1"/>
          <w:sz w:val="22"/>
          <w:szCs w:val="22"/>
        </w:rPr>
      </w:pPr>
    </w:p>
    <w:p w14:paraId="5D3C2150" w14:textId="77777777" w:rsidR="001B5B7F" w:rsidRPr="00C139F5" w:rsidRDefault="001B5B7F" w:rsidP="004B7597">
      <w:pPr>
        <w:rPr>
          <w:rFonts w:ascii="Arial" w:eastAsia="Arial" w:hAnsi="Arial" w:cs="Arial"/>
          <w:color w:val="000000" w:themeColor="text1"/>
          <w:sz w:val="22"/>
          <w:szCs w:val="22"/>
        </w:rPr>
      </w:pPr>
    </w:p>
    <w:p w14:paraId="5E19337D" w14:textId="77777777" w:rsidR="004B7597" w:rsidRPr="00C139F5" w:rsidRDefault="004B7597" w:rsidP="004B7597">
      <w:pPr>
        <w:rPr>
          <w:rFonts w:ascii="Arial" w:eastAsia="Arial" w:hAnsi="Arial" w:cs="Arial"/>
          <w:color w:val="000000" w:themeColor="text1"/>
          <w:sz w:val="22"/>
          <w:szCs w:val="22"/>
        </w:rPr>
      </w:pPr>
    </w:p>
    <w:p w14:paraId="07D929F7" w14:textId="77777777" w:rsidR="004B7597" w:rsidRPr="00C139F5" w:rsidRDefault="004B7597" w:rsidP="004B7597">
      <w:pPr>
        <w:ind w:firstLine="2694"/>
        <w:rPr>
          <w:rFonts w:ascii="Arial" w:eastAsia="Arial" w:hAnsi="Arial" w:cs="Arial"/>
          <w:b/>
          <w:color w:val="000000" w:themeColor="text1"/>
          <w:sz w:val="22"/>
          <w:szCs w:val="22"/>
        </w:rPr>
      </w:pPr>
      <w:r w:rsidRPr="00C139F5">
        <w:rPr>
          <w:rFonts w:ascii="Arial" w:eastAsia="Arial" w:hAnsi="Arial" w:cs="Arial"/>
          <w:b/>
          <w:color w:val="000000" w:themeColor="text1"/>
          <w:sz w:val="22"/>
          <w:szCs w:val="22"/>
        </w:rPr>
        <w:t>Concepto C – 644 de 2020</w:t>
      </w:r>
    </w:p>
    <w:p w14:paraId="312B9D42" w14:textId="77777777" w:rsidR="004B7597" w:rsidRPr="00C139F5" w:rsidRDefault="004B7597" w:rsidP="004B7597">
      <w:pPr>
        <w:rPr>
          <w:rFonts w:ascii="Arial" w:eastAsia="Arial" w:hAnsi="Arial" w:cs="Arial"/>
          <w:color w:val="000000" w:themeColor="text1"/>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4B7597" w:rsidRPr="00C139F5" w14:paraId="46B6D001" w14:textId="77777777" w:rsidTr="00C4600B">
        <w:tc>
          <w:tcPr>
            <w:tcW w:w="2689" w:type="dxa"/>
          </w:tcPr>
          <w:p w14:paraId="713CAD1D" w14:textId="77777777" w:rsidR="004B7597" w:rsidRPr="00C139F5" w:rsidRDefault="004B7597" w:rsidP="00C4600B">
            <w:pPr>
              <w:rPr>
                <w:rFonts w:ascii="Arial" w:eastAsia="Arial" w:hAnsi="Arial" w:cs="Arial"/>
                <w:color w:val="000000" w:themeColor="text1"/>
                <w:sz w:val="22"/>
                <w:szCs w:val="22"/>
              </w:rPr>
            </w:pPr>
            <w:r w:rsidRPr="00C139F5">
              <w:rPr>
                <w:rFonts w:ascii="Arial" w:eastAsia="Arial" w:hAnsi="Arial" w:cs="Arial"/>
                <w:b/>
                <w:color w:val="000000" w:themeColor="text1"/>
                <w:sz w:val="22"/>
                <w:szCs w:val="22"/>
              </w:rPr>
              <w:t>Temas:</w:t>
            </w:r>
            <w:r w:rsidRPr="00C139F5">
              <w:rPr>
                <w:rFonts w:ascii="Arial" w:eastAsia="Arial" w:hAnsi="Arial" w:cs="Arial"/>
                <w:color w:val="000000" w:themeColor="text1"/>
                <w:sz w:val="22"/>
                <w:szCs w:val="22"/>
              </w:rPr>
              <w:t xml:space="preserve">           </w:t>
            </w:r>
          </w:p>
          <w:p w14:paraId="3FCA1DF5" w14:textId="77777777" w:rsidR="004B7597" w:rsidRPr="00C139F5" w:rsidRDefault="004B7597" w:rsidP="00C4600B">
            <w:pPr>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                           </w:t>
            </w:r>
          </w:p>
        </w:tc>
        <w:tc>
          <w:tcPr>
            <w:tcW w:w="6237" w:type="dxa"/>
          </w:tcPr>
          <w:p w14:paraId="47EC138C" w14:textId="4589A6FD" w:rsidR="004B7597" w:rsidRPr="00C139F5" w:rsidRDefault="004B7597" w:rsidP="00C139F5">
            <w:pPr>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MIPYME ― Noción y alcance / </w:t>
            </w:r>
            <w:r w:rsidR="00C139F5" w:rsidRPr="00C139F5">
              <w:rPr>
                <w:rFonts w:ascii="Arial" w:eastAsia="Arial" w:hAnsi="Arial" w:cs="Arial"/>
                <w:color w:val="000000" w:themeColor="text1"/>
                <w:sz w:val="22"/>
                <w:szCs w:val="22"/>
              </w:rPr>
              <w:t>LEY 2024 DE 2020 – Obligación de pago en plazos justos – Alcance</w:t>
            </w:r>
            <w:r w:rsidR="00C139F5">
              <w:rPr>
                <w:rFonts w:ascii="Arial" w:eastAsia="Arial" w:hAnsi="Arial" w:cs="Arial"/>
                <w:color w:val="000000" w:themeColor="text1"/>
                <w:sz w:val="22"/>
                <w:szCs w:val="22"/>
              </w:rPr>
              <w:t xml:space="preserve"> / </w:t>
            </w:r>
            <w:r w:rsidR="00C139F5" w:rsidRPr="00C139F5">
              <w:rPr>
                <w:rFonts w:ascii="Arial" w:eastAsia="Arial" w:hAnsi="Arial" w:cs="Arial"/>
                <w:color w:val="000000" w:themeColor="text1"/>
                <w:sz w:val="22"/>
                <w:szCs w:val="22"/>
              </w:rPr>
              <w:t>OBLIGACIÓN DE PAGO EN PLAZOS JUSTOS – Inaplicabilidad</w:t>
            </w:r>
            <w:r w:rsidR="00C139F5">
              <w:rPr>
                <w:rFonts w:ascii="Arial" w:eastAsia="Arial" w:hAnsi="Arial" w:cs="Arial"/>
                <w:color w:val="000000" w:themeColor="text1"/>
                <w:sz w:val="22"/>
                <w:szCs w:val="22"/>
              </w:rPr>
              <w:t xml:space="preserve"> / </w:t>
            </w:r>
            <w:r w:rsidR="00C139F5" w:rsidRPr="00C139F5">
              <w:rPr>
                <w:rFonts w:ascii="Arial" w:eastAsia="Arial" w:hAnsi="Arial" w:cs="Arial"/>
                <w:color w:val="000000" w:themeColor="text1"/>
                <w:sz w:val="22"/>
                <w:szCs w:val="22"/>
              </w:rPr>
              <w:t>LEY 2024 DE 2020 – Obligación de pago en plazos justos – Grandes empresas – Noción</w:t>
            </w:r>
          </w:p>
        </w:tc>
      </w:tr>
      <w:tr w:rsidR="004B7597" w:rsidRPr="00C139F5" w14:paraId="7D2C8DD4" w14:textId="77777777" w:rsidTr="00C4600B">
        <w:tc>
          <w:tcPr>
            <w:tcW w:w="2689" w:type="dxa"/>
          </w:tcPr>
          <w:p w14:paraId="6E5690A6" w14:textId="77777777" w:rsidR="004B7597" w:rsidRPr="00C139F5" w:rsidRDefault="004B7597" w:rsidP="00C4600B">
            <w:pPr>
              <w:spacing w:before="60"/>
              <w:rPr>
                <w:rFonts w:ascii="Arial" w:eastAsia="Arial" w:hAnsi="Arial" w:cs="Arial"/>
                <w:b/>
                <w:color w:val="000000" w:themeColor="text1"/>
                <w:sz w:val="22"/>
                <w:szCs w:val="22"/>
              </w:rPr>
            </w:pPr>
            <w:r w:rsidRPr="00C139F5">
              <w:rPr>
                <w:rFonts w:ascii="Arial" w:eastAsia="Arial" w:hAnsi="Arial" w:cs="Arial"/>
                <w:b/>
                <w:color w:val="000000" w:themeColor="text1"/>
                <w:sz w:val="22"/>
                <w:szCs w:val="22"/>
              </w:rPr>
              <w:t>Radicación:</w:t>
            </w:r>
            <w:r w:rsidRPr="00C139F5">
              <w:rPr>
                <w:rFonts w:ascii="Arial" w:eastAsia="Arial" w:hAnsi="Arial" w:cs="Arial"/>
                <w:color w:val="000000" w:themeColor="text1"/>
                <w:sz w:val="22"/>
                <w:szCs w:val="22"/>
              </w:rPr>
              <w:t xml:space="preserve">                              </w:t>
            </w:r>
          </w:p>
        </w:tc>
        <w:tc>
          <w:tcPr>
            <w:tcW w:w="6237" w:type="dxa"/>
          </w:tcPr>
          <w:p w14:paraId="09F82BCA" w14:textId="77777777" w:rsidR="004B7597" w:rsidRPr="00C139F5" w:rsidRDefault="004B7597" w:rsidP="00C4600B">
            <w:pPr>
              <w:spacing w:before="60"/>
              <w:rPr>
                <w:rFonts w:ascii="Arial" w:eastAsia="Arial" w:hAnsi="Arial" w:cs="Arial"/>
                <w:color w:val="000000" w:themeColor="text1"/>
                <w:sz w:val="22"/>
                <w:szCs w:val="22"/>
              </w:rPr>
            </w:pPr>
            <w:r w:rsidRPr="00C139F5">
              <w:rPr>
                <w:rFonts w:ascii="Arial" w:eastAsia="Arial" w:hAnsi="Arial" w:cs="Arial"/>
                <w:color w:val="000000" w:themeColor="text1"/>
                <w:sz w:val="22"/>
                <w:szCs w:val="22"/>
              </w:rPr>
              <w:t>Respuesta a consulta # 4202013000008271</w:t>
            </w:r>
          </w:p>
          <w:p w14:paraId="10B4A50D" w14:textId="77777777" w:rsidR="004B7597" w:rsidRPr="00C139F5" w:rsidRDefault="004B7597" w:rsidP="00C4600B">
            <w:pPr>
              <w:spacing w:before="60"/>
              <w:jc w:val="both"/>
              <w:rPr>
                <w:rFonts w:ascii="Arial" w:eastAsia="Arial" w:hAnsi="Arial" w:cs="Arial"/>
                <w:color w:val="000000" w:themeColor="text1"/>
                <w:sz w:val="22"/>
                <w:szCs w:val="22"/>
              </w:rPr>
            </w:pPr>
          </w:p>
        </w:tc>
      </w:tr>
    </w:tbl>
    <w:p w14:paraId="314A015E" w14:textId="77777777" w:rsidR="004B7597" w:rsidRPr="00C139F5" w:rsidRDefault="004B7597" w:rsidP="004B7597">
      <w:pPr>
        <w:jc w:val="both"/>
        <w:rPr>
          <w:rFonts w:ascii="Arial" w:eastAsia="Arial" w:hAnsi="Arial" w:cs="Arial"/>
          <w:color w:val="000000" w:themeColor="text1"/>
          <w:sz w:val="22"/>
          <w:szCs w:val="22"/>
        </w:rPr>
      </w:pPr>
    </w:p>
    <w:p w14:paraId="7F2336A8" w14:textId="16FAC74A" w:rsidR="004B7597" w:rsidRPr="00C139F5" w:rsidRDefault="004B7597" w:rsidP="004B7597">
      <w:pPr>
        <w:rPr>
          <w:rFonts w:ascii="Arial" w:eastAsia="Arial" w:hAnsi="Arial" w:cs="Arial"/>
          <w:color w:val="000000" w:themeColor="text1"/>
          <w:sz w:val="22"/>
          <w:szCs w:val="22"/>
        </w:rPr>
      </w:pPr>
      <w:r w:rsidRPr="00C139F5">
        <w:rPr>
          <w:rFonts w:ascii="Arial" w:eastAsia="Arial" w:hAnsi="Arial" w:cs="Arial"/>
          <w:color w:val="000000" w:themeColor="text1"/>
          <w:sz w:val="22"/>
          <w:szCs w:val="22"/>
        </w:rPr>
        <w:t>Estimad</w:t>
      </w:r>
      <w:r w:rsidR="008B6C85">
        <w:rPr>
          <w:rFonts w:ascii="Arial" w:eastAsia="Arial" w:hAnsi="Arial" w:cs="Arial"/>
          <w:color w:val="000000" w:themeColor="text1"/>
          <w:sz w:val="22"/>
          <w:szCs w:val="22"/>
        </w:rPr>
        <w:t>a</w:t>
      </w:r>
      <w:r w:rsidRPr="00C139F5">
        <w:rPr>
          <w:rFonts w:ascii="Arial" w:eastAsia="Arial" w:hAnsi="Arial" w:cs="Arial"/>
          <w:color w:val="000000" w:themeColor="text1"/>
          <w:sz w:val="22"/>
          <w:szCs w:val="22"/>
        </w:rPr>
        <w:t xml:space="preserve"> señor</w:t>
      </w:r>
      <w:r w:rsidR="008B6C85">
        <w:rPr>
          <w:rFonts w:ascii="Arial" w:eastAsia="Arial" w:hAnsi="Arial" w:cs="Arial"/>
          <w:color w:val="000000" w:themeColor="text1"/>
          <w:sz w:val="22"/>
          <w:szCs w:val="22"/>
        </w:rPr>
        <w:t>a</w:t>
      </w:r>
      <w:r w:rsidRPr="00C139F5">
        <w:rPr>
          <w:rFonts w:ascii="Arial" w:eastAsia="Arial" w:hAnsi="Arial" w:cs="Arial"/>
          <w:color w:val="000000" w:themeColor="text1"/>
          <w:sz w:val="22"/>
          <w:szCs w:val="22"/>
        </w:rPr>
        <w:t xml:space="preserve"> </w:t>
      </w:r>
      <w:r w:rsidR="008B6C85">
        <w:rPr>
          <w:rFonts w:ascii="Arial" w:eastAsia="Arial" w:hAnsi="Arial" w:cs="Arial"/>
          <w:color w:val="000000" w:themeColor="text1"/>
          <w:sz w:val="22"/>
          <w:szCs w:val="22"/>
        </w:rPr>
        <w:t>Arias Quintero;</w:t>
      </w:r>
    </w:p>
    <w:p w14:paraId="04F4BE20" w14:textId="77777777" w:rsidR="004B7597" w:rsidRPr="00C139F5" w:rsidRDefault="004B7597" w:rsidP="004B7597">
      <w:pPr>
        <w:rPr>
          <w:rFonts w:ascii="Arial" w:eastAsia="Arial" w:hAnsi="Arial" w:cs="Arial"/>
          <w:color w:val="000000" w:themeColor="text1"/>
          <w:sz w:val="22"/>
          <w:szCs w:val="22"/>
        </w:rPr>
      </w:pPr>
    </w:p>
    <w:p w14:paraId="3C2E851A" w14:textId="6DC25C9F" w:rsidR="004B7597" w:rsidRPr="00C139F5" w:rsidRDefault="00421767" w:rsidP="004B7597">
      <w:pPr>
        <w:spacing w:line="276"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rPr>
        <w:t>L</w:t>
      </w:r>
      <w:r w:rsidRPr="00C139F5">
        <w:rPr>
          <w:rFonts w:ascii="Arial" w:eastAsia="Arial" w:hAnsi="Arial" w:cs="Arial"/>
          <w:color w:val="000000" w:themeColor="text1"/>
          <w:sz w:val="22"/>
          <w:szCs w:val="22"/>
        </w:rPr>
        <w:t>a Agencia Nacional de Contratación Pública―Colombia Compra Eficiente responde su consulta del 23 de septiembre de 2020</w:t>
      </w:r>
      <w:r>
        <w:rPr>
          <w:rFonts w:ascii="Arial" w:eastAsia="Arial" w:hAnsi="Arial" w:cs="Arial"/>
          <w:color w:val="000000" w:themeColor="text1"/>
          <w:sz w:val="22"/>
          <w:szCs w:val="22"/>
        </w:rPr>
        <w:t>, e</w:t>
      </w:r>
      <w:r w:rsidR="004B7597" w:rsidRPr="00C139F5">
        <w:rPr>
          <w:rFonts w:ascii="Arial" w:eastAsia="Arial" w:hAnsi="Arial" w:cs="Arial"/>
          <w:color w:val="000000" w:themeColor="text1"/>
          <w:sz w:val="22"/>
          <w:szCs w:val="22"/>
        </w:rPr>
        <w:t xml:space="preserve">n ejercicio de la competencia otorgada por los artículos 11, numeral 8º, y 3º, numeral 5º, del Decreto Ley 4170 de 2011. </w:t>
      </w:r>
    </w:p>
    <w:p w14:paraId="5FB5081E" w14:textId="77777777" w:rsidR="004B7597" w:rsidRPr="00C139F5" w:rsidRDefault="004B7597" w:rsidP="004B7597">
      <w:pPr>
        <w:spacing w:line="276" w:lineRule="auto"/>
        <w:jc w:val="both"/>
        <w:rPr>
          <w:rFonts w:ascii="Arial" w:eastAsia="Arial" w:hAnsi="Arial" w:cs="Arial"/>
          <w:color w:val="000000" w:themeColor="text1"/>
          <w:sz w:val="22"/>
          <w:szCs w:val="22"/>
        </w:rPr>
      </w:pPr>
    </w:p>
    <w:p w14:paraId="3F05404A" w14:textId="77777777" w:rsidR="004B7597" w:rsidRPr="00C139F5" w:rsidRDefault="004B7597" w:rsidP="004B7597">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color w:val="000000" w:themeColor="text1"/>
          <w:sz w:val="22"/>
          <w:szCs w:val="22"/>
        </w:rPr>
      </w:pPr>
      <w:r w:rsidRPr="00C139F5">
        <w:rPr>
          <w:rFonts w:ascii="Arial" w:eastAsia="Arial" w:hAnsi="Arial" w:cs="Arial"/>
          <w:b/>
          <w:color w:val="000000" w:themeColor="text1"/>
          <w:sz w:val="22"/>
          <w:szCs w:val="22"/>
        </w:rPr>
        <w:t xml:space="preserve">Problemas planteados </w:t>
      </w:r>
    </w:p>
    <w:p w14:paraId="4780251C" w14:textId="77777777" w:rsidR="004B7597" w:rsidRPr="00C139F5" w:rsidRDefault="004B7597" w:rsidP="004B7597">
      <w:pPr>
        <w:tabs>
          <w:tab w:val="left" w:pos="426"/>
        </w:tabs>
        <w:spacing w:line="276" w:lineRule="auto"/>
        <w:jc w:val="both"/>
        <w:rPr>
          <w:rFonts w:ascii="Arial" w:eastAsia="Arial" w:hAnsi="Arial" w:cs="Arial"/>
          <w:b/>
          <w:color w:val="000000" w:themeColor="text1"/>
          <w:sz w:val="22"/>
          <w:szCs w:val="22"/>
        </w:rPr>
      </w:pPr>
    </w:p>
    <w:p w14:paraId="1A1C6EED" w14:textId="77777777" w:rsidR="004B7597" w:rsidRPr="00C139F5" w:rsidRDefault="004B7597" w:rsidP="00C45BF3">
      <w:pPr>
        <w:spacing w:line="276" w:lineRule="auto"/>
        <w:jc w:val="both"/>
        <w:rPr>
          <w:rFonts w:ascii="Arial" w:eastAsia="Times New Roman" w:hAnsi="Arial" w:cs="Arial"/>
          <w:color w:val="000000" w:themeColor="text1"/>
          <w:sz w:val="22"/>
          <w:szCs w:val="22"/>
        </w:rPr>
      </w:pPr>
      <w:r w:rsidRPr="00C139F5">
        <w:rPr>
          <w:rFonts w:ascii="Arial" w:eastAsia="Arial" w:hAnsi="Arial" w:cs="Arial"/>
          <w:color w:val="000000" w:themeColor="text1"/>
          <w:sz w:val="22"/>
          <w:szCs w:val="22"/>
        </w:rPr>
        <w:lastRenderedPageBreak/>
        <w:t>Usted realiza la siguiente pregunta frente a lo consagrado en el parágrafo 1 del artículo 3 de la Ley 2024: «</w:t>
      </w:r>
      <w:r w:rsidRPr="00C139F5">
        <w:rPr>
          <w:rFonts w:ascii="Arial" w:eastAsia="Times New Roman" w:hAnsi="Arial" w:cs="Arial"/>
          <w:color w:val="000000" w:themeColor="text1"/>
          <w:sz w:val="22"/>
          <w:szCs w:val="22"/>
        </w:rPr>
        <w:t>¿es posible acoger el concepto de “gran empresa” establecido por el Decreto 957 de 2020? De lo contrario, ¿qué se entiende por “gran empresa” en el marco de la Ley 2024?</w:t>
      </w:r>
      <w:r w:rsidRPr="00C139F5">
        <w:rPr>
          <w:rFonts w:ascii="Arial" w:eastAsia="Arial" w:hAnsi="Arial" w:cs="Arial"/>
          <w:color w:val="000000" w:themeColor="text1"/>
          <w:sz w:val="22"/>
          <w:szCs w:val="22"/>
        </w:rPr>
        <w:t>».</w:t>
      </w:r>
    </w:p>
    <w:p w14:paraId="4FD84613" w14:textId="77777777" w:rsidR="004B7597" w:rsidRPr="00C139F5" w:rsidRDefault="004B7597" w:rsidP="004B7597">
      <w:pPr>
        <w:jc w:val="both"/>
        <w:rPr>
          <w:rFonts w:ascii="Arial" w:eastAsia="Arial" w:hAnsi="Arial" w:cs="Arial"/>
          <w:color w:val="000000" w:themeColor="text1"/>
          <w:sz w:val="22"/>
          <w:szCs w:val="22"/>
        </w:rPr>
      </w:pPr>
    </w:p>
    <w:p w14:paraId="370527C9" w14:textId="77777777" w:rsidR="004B7597" w:rsidRPr="00C139F5" w:rsidRDefault="004B7597" w:rsidP="004B7597">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color w:val="000000" w:themeColor="text1"/>
          <w:sz w:val="22"/>
          <w:szCs w:val="22"/>
        </w:rPr>
      </w:pPr>
      <w:r w:rsidRPr="00C139F5">
        <w:rPr>
          <w:rFonts w:ascii="Arial" w:eastAsia="Arial" w:hAnsi="Arial" w:cs="Arial"/>
          <w:b/>
          <w:color w:val="000000" w:themeColor="text1"/>
          <w:sz w:val="22"/>
          <w:szCs w:val="22"/>
        </w:rPr>
        <w:t>Consideraciones</w:t>
      </w:r>
    </w:p>
    <w:p w14:paraId="5BD41E8A" w14:textId="77777777" w:rsidR="004B7597" w:rsidRPr="00C139F5" w:rsidRDefault="004B7597" w:rsidP="004B7597">
      <w:pPr>
        <w:spacing w:line="276" w:lineRule="auto"/>
        <w:jc w:val="both"/>
        <w:rPr>
          <w:rFonts w:ascii="Arial" w:eastAsia="Arial" w:hAnsi="Arial" w:cs="Arial"/>
          <w:color w:val="000000" w:themeColor="text1"/>
          <w:sz w:val="22"/>
          <w:szCs w:val="22"/>
        </w:rPr>
      </w:pPr>
    </w:p>
    <w:p w14:paraId="73A469C6" w14:textId="2E322A30" w:rsidR="004B7597" w:rsidRPr="00C139F5" w:rsidRDefault="004B7597" w:rsidP="004B7597">
      <w:pPr>
        <w:spacing w:before="120" w:line="276" w:lineRule="auto"/>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Según el artículo 2 de La Ley 905 de 2004</w:t>
      </w:r>
      <w:r w:rsidRPr="00C139F5">
        <w:rPr>
          <w:rFonts w:ascii="Arial" w:eastAsia="Arial" w:hAnsi="Arial" w:cs="Arial"/>
          <w:color w:val="000000" w:themeColor="text1"/>
          <w:sz w:val="22"/>
          <w:szCs w:val="22"/>
          <w:vertAlign w:val="superscript"/>
        </w:rPr>
        <w:footnoteReference w:id="1"/>
      </w:r>
      <w:r w:rsidRPr="00C139F5">
        <w:rPr>
          <w:rFonts w:ascii="Arial" w:eastAsia="Arial" w:hAnsi="Arial" w:cs="Arial"/>
          <w:color w:val="000000" w:themeColor="text1"/>
          <w:sz w:val="22"/>
          <w:szCs w:val="22"/>
        </w:rPr>
        <w:t>, que modificó la Ley 590 de 2000, la Micro, Pequeña y Mediana Empresa ─Mipyme─ es una «unidad de explotación económica, realizada por personas natural[es] o jurídica[s], en actividades empresariales, agropecuarias, industriales, comerciales o de servicios, rural o urbana», siempre que cumpla</w:t>
      </w:r>
      <w:r w:rsidR="00996CFA">
        <w:rPr>
          <w:rFonts w:ascii="Arial" w:eastAsia="Arial" w:hAnsi="Arial" w:cs="Arial"/>
          <w:color w:val="000000" w:themeColor="text1"/>
          <w:sz w:val="22"/>
          <w:szCs w:val="22"/>
        </w:rPr>
        <w:t>n</w:t>
      </w:r>
      <w:r w:rsidRPr="00C139F5">
        <w:rPr>
          <w:rFonts w:ascii="Arial" w:eastAsia="Arial" w:hAnsi="Arial" w:cs="Arial"/>
          <w:color w:val="000000" w:themeColor="text1"/>
          <w:sz w:val="22"/>
          <w:szCs w:val="22"/>
        </w:rPr>
        <w:t xml:space="preserve"> las dos condiciones requeridas en el mismo artículo, relacionadas con el número de trabajadores que hacen parte de su planta de personal y sus activos totales. </w:t>
      </w:r>
    </w:p>
    <w:p w14:paraId="057AC260" w14:textId="558945DC"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En ese sentido, el artículo 2.2.1.13.2.2. del Decreto 1074 de 2015, adicionado por el Decreto 957 de 2019, dispone que: i) la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ii) la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w:t>
      </w:r>
      <w:r w:rsidRPr="00C139F5">
        <w:rPr>
          <w:rFonts w:ascii="Arial" w:eastAsia="Arial" w:hAnsi="Arial" w:cs="Arial"/>
          <w:color w:val="000000" w:themeColor="text1"/>
          <w:sz w:val="22"/>
          <w:szCs w:val="22"/>
        </w:rPr>
        <w:lastRenderedPageBreak/>
        <w:t>novecientos cincuenta y uno Unidades Valor Tributario (131 1 UVT)», y en el sector comercio, la que sus «ingresos por actividades ordinarias sean superiores a y cuatro mil setecientos y nueve Unidades de Valor Tributario (44.769 UVT) e inferiores o iguales a cuatrocientos y un mil ciento noventa y seis Unidades de Valor Tributario (431.196 UVT)»; y iii) la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«ingresos por actividades ordinarias anuales sean inferiores o a cuarenta y cuatro mil setecientos y nueve Unidades de Valor Tributario (44.769 UVT)»</w:t>
      </w:r>
      <w:r w:rsidRPr="00C139F5">
        <w:rPr>
          <w:rFonts w:ascii="Arial" w:eastAsia="Arial" w:hAnsi="Arial" w:cs="Arial"/>
          <w:color w:val="000000" w:themeColor="text1"/>
          <w:sz w:val="22"/>
          <w:szCs w:val="22"/>
          <w:vertAlign w:val="superscript"/>
        </w:rPr>
        <w:footnoteReference w:id="2"/>
      </w:r>
      <w:r w:rsidRPr="00C139F5">
        <w:rPr>
          <w:rFonts w:ascii="Arial" w:eastAsia="Arial" w:hAnsi="Arial" w:cs="Arial"/>
          <w:color w:val="000000" w:themeColor="text1"/>
          <w:sz w:val="22"/>
          <w:szCs w:val="22"/>
        </w:rPr>
        <w:t>.</w:t>
      </w:r>
    </w:p>
    <w:p w14:paraId="517F90A6" w14:textId="77777777"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C139F5">
        <w:rPr>
          <w:rFonts w:ascii="Arial" w:eastAsia="Arial" w:hAnsi="Arial" w:cs="Arial"/>
          <w:color w:val="000000" w:themeColor="text1"/>
          <w:sz w:val="22"/>
          <w:szCs w:val="22"/>
          <w:vertAlign w:val="superscript"/>
        </w:rPr>
        <w:footnoteReference w:id="3"/>
      </w:r>
      <w:r w:rsidRPr="00C139F5">
        <w:rPr>
          <w:rFonts w:ascii="Arial" w:eastAsia="Arial" w:hAnsi="Arial" w:cs="Arial"/>
          <w:color w:val="000000" w:themeColor="text1"/>
          <w:sz w:val="22"/>
          <w:szCs w:val="22"/>
        </w:rPr>
        <w:t>.</w:t>
      </w:r>
    </w:p>
    <w:p w14:paraId="25DD1DDA" w14:textId="77777777"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2ECEFD1A" w14:textId="0E49DB45"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Al respecto, el Consejo de Estado, Sección Tercera, Subsección C, mediante sentencia con número de expediente 40.743, del 23 de mayo de 2012</w:t>
      </w:r>
      <w:r w:rsidRPr="00C139F5">
        <w:rPr>
          <w:rFonts w:ascii="Arial" w:eastAsia="Arial" w:hAnsi="Arial" w:cs="Arial"/>
          <w:color w:val="000000" w:themeColor="text1"/>
          <w:sz w:val="22"/>
          <w:szCs w:val="22"/>
          <w:vertAlign w:val="superscript"/>
        </w:rPr>
        <w:footnoteReference w:id="4"/>
      </w:r>
      <w:r w:rsidRPr="00C139F5">
        <w:rPr>
          <w:rFonts w:ascii="Arial" w:eastAsia="Arial" w:hAnsi="Arial" w:cs="Arial"/>
          <w:color w:val="000000" w:themeColor="text1"/>
          <w:sz w:val="22"/>
          <w:szCs w:val="22"/>
        </w:rPr>
        <w:t xml:space="preserve">, con ponencia del </w:t>
      </w:r>
      <w:r w:rsidRPr="00C139F5">
        <w:rPr>
          <w:rFonts w:ascii="Arial" w:eastAsia="Arial" w:hAnsi="Arial" w:cs="Arial"/>
          <w:color w:val="000000" w:themeColor="text1"/>
          <w:sz w:val="22"/>
          <w:szCs w:val="22"/>
        </w:rPr>
        <w:lastRenderedPageBreak/>
        <w:t>Magistrado Enrique Gil Botero,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55D09E2B" w14:textId="44ED7539"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Son muchas las medidas de protección y regulación de las Mipymes, varias de las cuales tienen incidencia en la contratación pública. Sin embargo, por el objeto de la pregunta </w:t>
      </w:r>
      <w:r w:rsidRPr="00C139F5">
        <w:rPr>
          <w:rFonts w:ascii="Arial" w:eastAsia="Arial" w:hAnsi="Arial" w:cs="Arial"/>
          <w:i/>
          <w:color w:val="000000" w:themeColor="text1"/>
          <w:sz w:val="22"/>
          <w:szCs w:val="22"/>
        </w:rPr>
        <w:t>sub examine</w:t>
      </w:r>
      <w:r w:rsidRPr="00C139F5">
        <w:rPr>
          <w:rFonts w:ascii="Arial" w:eastAsia="Arial" w:hAnsi="Arial" w:cs="Arial"/>
          <w:color w:val="000000" w:themeColor="text1"/>
          <w:sz w:val="22"/>
          <w:szCs w:val="22"/>
        </w:rPr>
        <w:t>, es necesario resaltar la protección relacionada con el denominado «pago en plazos justos», regulado mediante la Ley 2024 del 23 de julio de 2020. Esta norma, en términos generales, desarrolló el principio contractual de buena fe y adoptó una serie de medidas tendientes a proteger «a las personas naturales y jurídicas que sean sometidas a condiciones contractuales gravosas en relación con los procedimientos y plazos de pago y facturación de sus operaciones comerciales»</w:t>
      </w:r>
      <w:r w:rsidRPr="00C139F5">
        <w:rPr>
          <w:rStyle w:val="Refdenotaalpie"/>
          <w:rFonts w:ascii="Arial" w:eastAsia="Arial" w:hAnsi="Arial" w:cs="Arial"/>
          <w:color w:val="000000" w:themeColor="text1"/>
          <w:sz w:val="22"/>
          <w:szCs w:val="22"/>
        </w:rPr>
        <w:footnoteReference w:id="5"/>
      </w:r>
      <w:r w:rsidRPr="00C139F5">
        <w:rPr>
          <w:rFonts w:ascii="Arial" w:eastAsia="Arial" w:hAnsi="Arial" w:cs="Arial"/>
          <w:color w:val="000000" w:themeColor="text1"/>
          <w:sz w:val="22"/>
          <w:szCs w:val="22"/>
        </w:rPr>
        <w:t xml:space="preserve">, incorporando la «obligación de pago en plazos justos». </w:t>
      </w:r>
    </w:p>
    <w:p w14:paraId="3F50BBA7" w14:textId="426DB172"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La «obligación de pago en plazos justos», como se dijo, encuentra fundamento en el principio de buena fe contractual, regulado en el artículo 871 del Código de Comercio. La misma se dirige a los comerciantes y a las personas que si</w:t>
      </w:r>
      <w:r w:rsidR="00CE7203">
        <w:rPr>
          <w:rFonts w:ascii="Arial" w:eastAsia="Arial" w:hAnsi="Arial" w:cs="Arial"/>
          <w:color w:val="000000" w:themeColor="text1"/>
          <w:sz w:val="22"/>
          <w:szCs w:val="22"/>
        </w:rPr>
        <w:t>n</w:t>
      </w:r>
      <w:r w:rsidRPr="00C139F5">
        <w:rPr>
          <w:rFonts w:ascii="Arial" w:eastAsia="Arial" w:hAnsi="Arial" w:cs="Arial"/>
          <w:color w:val="000000" w:themeColor="text1"/>
          <w:sz w:val="22"/>
          <w:szCs w:val="22"/>
        </w:rPr>
        <w:t xml:space="preserve"> tener dicha condición ejerzan operaciones mercantiles, y se traduce en qu</w:t>
      </w:r>
      <w:r w:rsidRPr="0029437D">
        <w:rPr>
          <w:rFonts w:ascii="Arial" w:eastAsia="Arial" w:hAnsi="Arial" w:cs="Arial"/>
          <w:color w:val="000000" w:themeColor="text1"/>
          <w:sz w:val="22"/>
          <w:szCs w:val="22"/>
        </w:rPr>
        <w:t>e estos tienen el deber legal de «[…] efectuar el pago de sus obligaciones contractuales, en un término que se pactará para el primer año de entrada en vigencia de la (…) ley de máximo 60 días calendario y a partir del segundo año, máximo 45 días calendario improrrogables a partir de entrada en vigencia de la ley», en ambos casos, calculando el plazo a partir</w:t>
      </w:r>
      <w:r w:rsidRPr="00C139F5">
        <w:rPr>
          <w:rFonts w:ascii="Arial" w:eastAsia="Arial" w:hAnsi="Arial" w:cs="Arial"/>
          <w:color w:val="000000" w:themeColor="text1"/>
          <w:sz w:val="22"/>
          <w:szCs w:val="22"/>
        </w:rPr>
        <w:t xml:space="preserve"> de la fecha de recepción de las mercancías o terminación de la prestación de los servicios.</w:t>
      </w:r>
    </w:p>
    <w:p w14:paraId="173BBBF4" w14:textId="7DE02336"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Resulta del caso precisar que dicha obligación no vincula los pagos y obligaciones relacionadas en los numerales 1 a 3</w:t>
      </w:r>
      <w:r w:rsidR="0029437D">
        <w:rPr>
          <w:rFonts w:ascii="Arial" w:eastAsia="Arial" w:hAnsi="Arial" w:cs="Arial"/>
          <w:color w:val="000000" w:themeColor="text1"/>
          <w:sz w:val="22"/>
          <w:szCs w:val="22"/>
        </w:rPr>
        <w:t xml:space="preserve"> del artículo 2</w:t>
      </w:r>
      <w:r w:rsidRPr="00C139F5">
        <w:rPr>
          <w:rFonts w:ascii="Arial" w:eastAsia="Arial" w:hAnsi="Arial" w:cs="Arial"/>
          <w:color w:val="000000" w:themeColor="text1"/>
          <w:sz w:val="22"/>
          <w:szCs w:val="22"/>
        </w:rPr>
        <w:t xml:space="preserve"> de la Ley 2024 de 2020</w:t>
      </w:r>
      <w:r w:rsidRPr="00C139F5">
        <w:rPr>
          <w:rStyle w:val="Refdenotaalpie"/>
          <w:rFonts w:ascii="Arial" w:eastAsia="Arial" w:hAnsi="Arial" w:cs="Arial"/>
          <w:color w:val="000000" w:themeColor="text1"/>
          <w:sz w:val="22"/>
          <w:szCs w:val="22"/>
        </w:rPr>
        <w:footnoteReference w:id="6"/>
      </w:r>
      <w:r w:rsidRPr="00C139F5">
        <w:rPr>
          <w:rFonts w:ascii="Arial" w:eastAsia="Arial" w:hAnsi="Arial" w:cs="Arial"/>
          <w:color w:val="000000" w:themeColor="text1"/>
          <w:sz w:val="22"/>
          <w:szCs w:val="22"/>
        </w:rPr>
        <w:t xml:space="preserve">, así como </w:t>
      </w:r>
      <w:r w:rsidRPr="00C139F5">
        <w:rPr>
          <w:rFonts w:ascii="Arial" w:eastAsia="Arial" w:hAnsi="Arial" w:cs="Arial"/>
          <w:color w:val="000000" w:themeColor="text1"/>
          <w:sz w:val="22"/>
          <w:szCs w:val="22"/>
        </w:rPr>
        <w:lastRenderedPageBreak/>
        <w:t>tampoco a «</w:t>
      </w:r>
      <w:r w:rsidRPr="00C139F5">
        <w:rPr>
          <w:rFonts w:ascii="Arial" w:hAnsi="Arial" w:cs="Arial"/>
          <w:color w:val="000000" w:themeColor="text1"/>
        </w:rPr>
        <w:t>l</w:t>
      </w:r>
      <w:r w:rsidRPr="00C139F5">
        <w:rPr>
          <w:rFonts w:ascii="Arial" w:eastAsia="Arial" w:hAnsi="Arial" w:cs="Arial"/>
          <w:color w:val="000000" w:themeColor="text1"/>
          <w:sz w:val="22"/>
          <w:szCs w:val="22"/>
        </w:rPr>
        <w:t xml:space="preserve">as operaciones mercantiles realizadas entre sociedades consideradas como </w:t>
      </w:r>
      <w:r w:rsidR="00042B79">
        <w:rPr>
          <w:rFonts w:ascii="Arial" w:eastAsia="Arial" w:hAnsi="Arial" w:cs="Arial"/>
          <w:color w:val="000000" w:themeColor="text1"/>
          <w:sz w:val="22"/>
          <w:szCs w:val="22"/>
        </w:rPr>
        <w:t>«</w:t>
      </w:r>
      <w:r w:rsidRPr="00C139F5">
        <w:rPr>
          <w:rFonts w:ascii="Arial" w:eastAsia="Arial" w:hAnsi="Arial" w:cs="Arial"/>
          <w:color w:val="000000" w:themeColor="text1"/>
          <w:sz w:val="22"/>
          <w:szCs w:val="22"/>
        </w:rPr>
        <w:t>grandes empresas», según lo que establece el parágrafo 1 del artículo 3 de la Ley 2024 de 2020. Para tales efectos, a juicio de la Agencia Nacional de Contratación Pública, resulta aplicable la noción a la que se refiere el parágrafo 1 del artículo 2.2.1.13.2.2. del Decreto 1074 de 2015, adicionado por el artículo 1 del Decreto 957 de 2020. En virtud de esta disposición, «</w:t>
      </w:r>
      <w:r w:rsidRPr="00C139F5">
        <w:rPr>
          <w:rFonts w:ascii="Arial" w:hAnsi="Arial" w:cs="Arial"/>
          <w:color w:val="000000" w:themeColor="text1"/>
          <w:sz w:val="22"/>
          <w:szCs w:val="22"/>
        </w:rPr>
        <w:t>[s]</w:t>
      </w:r>
      <w:r w:rsidRPr="00C139F5">
        <w:rPr>
          <w:rFonts w:ascii="Arial" w:eastAsia="Arial" w:hAnsi="Arial" w:cs="Arial"/>
          <w:color w:val="000000" w:themeColor="text1"/>
          <w:sz w:val="22"/>
          <w:szCs w:val="22"/>
        </w:rPr>
        <w:t>e considera gran empresa aquella que tiene ingresos por actividades ordinarias anuales mayores al rango superior de las medianas empresas, en cada uno de los sectores económicos descritos […]» en el tercer párrafo del presente concepto. De esta forma, aquellas empresas que tengan ingresos por actividades ordinarias anuales superiores a 1.736.565 UVT, para el sector manufacturero, o 483.034 UVT, respecto del sector servicios, y 2.160.692 UVT, frente al sector comercio; serán consideradas «grandes empresas» para los efectos de la Ley 2024 de 2020.</w:t>
      </w:r>
    </w:p>
    <w:p w14:paraId="69A641A6" w14:textId="17B0AD23"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Tal afirmación encuentra fundamento en tres razones. Por un lado, en que el artículo 2.2.1.13.1.2. del Decreto 1074 de 2015, adicionado por el artículo 1 del Decreto 957 de 2020, establece que la referida escala aplica a «toda clasificación de las micro, pequeñas, medianas y grandes empresas», salvo las excepciones consagradas en dicha norma. Por otro lado, ninguna de las excepciones que establece el mencionado decreto, consagradas en los tres parágrafos </w:t>
      </w:r>
      <w:r w:rsidRPr="00C139F5">
        <w:rPr>
          <w:rFonts w:ascii="Arial" w:eastAsia="Arial" w:hAnsi="Arial" w:cs="Arial"/>
          <w:i/>
          <w:color w:val="000000" w:themeColor="text1"/>
          <w:sz w:val="22"/>
          <w:szCs w:val="22"/>
        </w:rPr>
        <w:t>ibídem</w:t>
      </w:r>
      <w:r w:rsidRPr="00C139F5">
        <w:rPr>
          <w:rStyle w:val="Refdenotaalpie"/>
          <w:rFonts w:ascii="Arial" w:eastAsia="Arial" w:hAnsi="Arial" w:cs="Arial"/>
          <w:color w:val="000000" w:themeColor="text1"/>
          <w:sz w:val="22"/>
          <w:szCs w:val="22"/>
        </w:rPr>
        <w:footnoteReference w:id="7"/>
      </w:r>
      <w:r w:rsidRPr="00C139F5">
        <w:rPr>
          <w:rFonts w:ascii="Arial" w:eastAsia="Arial" w:hAnsi="Arial" w:cs="Arial"/>
          <w:color w:val="000000" w:themeColor="text1"/>
          <w:sz w:val="22"/>
          <w:szCs w:val="22"/>
        </w:rPr>
        <w:t xml:space="preserve">, resulta aplicable a la «obligación de pago en plazos justos». Finalmente, </w:t>
      </w:r>
      <w:r w:rsidR="00937A5F">
        <w:rPr>
          <w:rFonts w:ascii="Arial" w:eastAsia="Arial" w:hAnsi="Arial" w:cs="Arial"/>
          <w:color w:val="000000" w:themeColor="text1"/>
          <w:sz w:val="22"/>
          <w:szCs w:val="22"/>
        </w:rPr>
        <w:t xml:space="preserve">dicha afirmación se apoya en </w:t>
      </w:r>
      <w:r w:rsidRPr="00C139F5">
        <w:rPr>
          <w:rFonts w:ascii="Arial" w:eastAsia="Arial" w:hAnsi="Arial" w:cs="Arial"/>
          <w:color w:val="000000" w:themeColor="text1"/>
          <w:sz w:val="22"/>
          <w:szCs w:val="22"/>
        </w:rPr>
        <w:t>que la Ley 2024 no estableció nada sobre el concepto que se indaga.</w:t>
      </w:r>
    </w:p>
    <w:p w14:paraId="2A317E7C" w14:textId="77777777"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 xml:space="preserve">En materia de contratación estatal, se advierten dos disposiciones importantes. El artículo 11 de la Ley 2024 de 2020, que le impone al Estado el deber de ajustar sus procedimientos y políticas de facturación y pago, con el objetivo de hacerlas compatibles con las disposiciones previamente explicadas. El artículo 12 </w:t>
      </w:r>
      <w:r w:rsidRPr="00C139F5">
        <w:rPr>
          <w:rFonts w:ascii="Arial" w:eastAsia="Arial" w:hAnsi="Arial" w:cs="Arial"/>
          <w:i/>
          <w:color w:val="000000" w:themeColor="text1"/>
          <w:sz w:val="22"/>
          <w:szCs w:val="22"/>
        </w:rPr>
        <w:t>ibídem</w:t>
      </w:r>
      <w:r w:rsidRPr="00C139F5">
        <w:rPr>
          <w:rFonts w:ascii="Arial" w:eastAsia="Arial" w:hAnsi="Arial" w:cs="Arial"/>
          <w:color w:val="000000" w:themeColor="text1"/>
          <w:sz w:val="22"/>
          <w:szCs w:val="22"/>
        </w:rPr>
        <w:t>, por otro lado, dispone una regla especial en lo que tiene que ver con el plazo para el pago de las obligaciones:</w:t>
      </w:r>
    </w:p>
    <w:p w14:paraId="47CE1438" w14:textId="77777777" w:rsidR="004B7597" w:rsidRPr="00C139F5" w:rsidRDefault="004B7597" w:rsidP="00C45BF3">
      <w:pPr>
        <w:spacing w:line="276" w:lineRule="auto"/>
        <w:jc w:val="both"/>
        <w:rPr>
          <w:rFonts w:ascii="Arial" w:eastAsia="Arial" w:hAnsi="Arial" w:cs="Arial"/>
          <w:color w:val="000000" w:themeColor="text1"/>
          <w:sz w:val="22"/>
          <w:szCs w:val="22"/>
        </w:rPr>
      </w:pPr>
    </w:p>
    <w:p w14:paraId="47EA7286" w14:textId="6FEEC3FF" w:rsidR="004B7597" w:rsidRPr="00C139F5" w:rsidRDefault="004B7597" w:rsidP="004B7597">
      <w:pPr>
        <w:ind w:left="709" w:right="760"/>
        <w:jc w:val="both"/>
        <w:rPr>
          <w:rFonts w:ascii="Arial" w:eastAsia="Arial" w:hAnsi="Arial" w:cs="Arial"/>
          <w:color w:val="000000" w:themeColor="text1"/>
          <w:sz w:val="20"/>
          <w:szCs w:val="20"/>
        </w:rPr>
      </w:pPr>
      <w:r w:rsidRPr="00C139F5">
        <w:rPr>
          <w:rFonts w:ascii="Arial" w:eastAsia="Arial" w:hAnsi="Arial" w:cs="Arial"/>
          <w:color w:val="000000" w:themeColor="text1"/>
          <w:sz w:val="20"/>
          <w:szCs w:val="20"/>
        </w:rPr>
        <w:t>A</w:t>
      </w:r>
      <w:r w:rsidR="0029437D">
        <w:rPr>
          <w:rFonts w:ascii="Arial" w:eastAsia="Arial" w:hAnsi="Arial" w:cs="Arial"/>
          <w:color w:val="000000" w:themeColor="text1"/>
          <w:sz w:val="20"/>
          <w:szCs w:val="20"/>
        </w:rPr>
        <w:t>rtículo</w:t>
      </w:r>
      <w:r w:rsidRPr="00C139F5">
        <w:rPr>
          <w:rFonts w:ascii="Arial" w:eastAsia="Arial" w:hAnsi="Arial" w:cs="Arial"/>
          <w:color w:val="000000" w:themeColor="text1"/>
          <w:sz w:val="20"/>
          <w:szCs w:val="20"/>
        </w:rPr>
        <w:t xml:space="preserve"> 12. Plazos máximos de pago en contratos estatales. En los contratos regidos por el estatuto general de contratación de la administración pública, que celebren las entidades estatales con una micro, pequeña o mediana empresa, </w:t>
      </w:r>
      <w:r w:rsidRPr="00C139F5">
        <w:rPr>
          <w:rFonts w:ascii="Arial" w:eastAsia="Arial" w:hAnsi="Arial" w:cs="Arial"/>
          <w:color w:val="000000" w:themeColor="text1"/>
          <w:sz w:val="20"/>
          <w:szCs w:val="20"/>
        </w:rPr>
        <w:lastRenderedPageBreak/>
        <w:t>según la normatividad vigente, los pagos deberán realizarse en un plazo máximo de sesenta (60) días calendario siguientes, a la aceptación de la factura.</w:t>
      </w:r>
    </w:p>
    <w:p w14:paraId="083851C7" w14:textId="77777777" w:rsidR="004B7597" w:rsidRPr="00C139F5" w:rsidRDefault="004B7597" w:rsidP="004B7597">
      <w:pPr>
        <w:spacing w:line="276" w:lineRule="auto"/>
        <w:ind w:right="709"/>
        <w:jc w:val="both"/>
        <w:rPr>
          <w:rFonts w:ascii="Arial" w:eastAsia="Arial" w:hAnsi="Arial" w:cs="Arial"/>
          <w:color w:val="000000" w:themeColor="text1"/>
          <w:sz w:val="22"/>
          <w:szCs w:val="22"/>
        </w:rPr>
      </w:pPr>
    </w:p>
    <w:p w14:paraId="73A603A0" w14:textId="77777777" w:rsidR="004B7597" w:rsidRPr="00C139F5" w:rsidRDefault="004B7597" w:rsidP="004B7597">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De todos modos, el cómputo del plazo establecido en el artículo transcrito estará sujeto a la disponibilidad del Plan Anualizado de Caja (PAC), según lo establece el parágrafo 1 del artículo 12 de la Ley 2024 de 2020.</w:t>
      </w:r>
    </w:p>
    <w:p w14:paraId="42E60424" w14:textId="35E1F4E4" w:rsidR="004B7597" w:rsidRPr="00C139F5" w:rsidRDefault="004B7597" w:rsidP="00C45BF3">
      <w:pPr>
        <w:spacing w:before="120" w:line="276" w:lineRule="auto"/>
        <w:ind w:firstLine="709"/>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Finalmente, es importante precisar que la norma en comento entrará en vigor hasta el 1 de enero de 2021; en otras palabras, no se encuentra vigente actualmente.</w:t>
      </w:r>
    </w:p>
    <w:p w14:paraId="0D39AC07" w14:textId="77777777" w:rsidR="004B7597" w:rsidRPr="00C139F5" w:rsidRDefault="004B7597" w:rsidP="004B7597">
      <w:pPr>
        <w:spacing w:line="276" w:lineRule="auto"/>
        <w:ind w:right="709"/>
        <w:jc w:val="both"/>
        <w:rPr>
          <w:rFonts w:ascii="Arial" w:eastAsia="Arial" w:hAnsi="Arial" w:cs="Arial"/>
          <w:color w:val="000000" w:themeColor="text1"/>
          <w:sz w:val="22"/>
          <w:szCs w:val="22"/>
        </w:rPr>
      </w:pPr>
    </w:p>
    <w:p w14:paraId="78893EF0" w14:textId="77777777" w:rsidR="004B7597" w:rsidRPr="00C139F5" w:rsidRDefault="004B7597" w:rsidP="004B7597">
      <w:pPr>
        <w:numPr>
          <w:ilvl w:val="0"/>
          <w:numId w:val="1"/>
        </w:numPr>
        <w:pBdr>
          <w:top w:val="nil"/>
          <w:left w:val="nil"/>
          <w:bottom w:val="nil"/>
          <w:right w:val="nil"/>
          <w:between w:val="nil"/>
        </w:pBdr>
        <w:tabs>
          <w:tab w:val="left" w:pos="284"/>
        </w:tabs>
        <w:spacing w:line="276" w:lineRule="auto"/>
        <w:ind w:left="0" w:firstLine="0"/>
        <w:rPr>
          <w:rFonts w:ascii="Arial" w:eastAsia="Arial" w:hAnsi="Arial" w:cs="Arial"/>
          <w:color w:val="000000" w:themeColor="text1"/>
          <w:sz w:val="22"/>
          <w:szCs w:val="22"/>
        </w:rPr>
      </w:pPr>
      <w:r w:rsidRPr="00C139F5">
        <w:rPr>
          <w:rFonts w:ascii="Arial" w:eastAsia="Arial" w:hAnsi="Arial" w:cs="Arial"/>
          <w:b/>
          <w:color w:val="000000" w:themeColor="text1"/>
          <w:sz w:val="22"/>
          <w:szCs w:val="22"/>
        </w:rPr>
        <w:t xml:space="preserve">Respuesta </w:t>
      </w:r>
    </w:p>
    <w:p w14:paraId="44407872" w14:textId="77777777" w:rsidR="004B7597" w:rsidRPr="00C139F5" w:rsidRDefault="004B7597" w:rsidP="004B7597">
      <w:pPr>
        <w:tabs>
          <w:tab w:val="left" w:pos="284"/>
        </w:tabs>
        <w:spacing w:line="276" w:lineRule="auto"/>
        <w:rPr>
          <w:rFonts w:ascii="Arial" w:eastAsia="Arial" w:hAnsi="Arial" w:cs="Arial"/>
          <w:b/>
          <w:color w:val="000000" w:themeColor="text1"/>
          <w:sz w:val="22"/>
          <w:szCs w:val="22"/>
        </w:rPr>
      </w:pPr>
    </w:p>
    <w:p w14:paraId="78597F9B" w14:textId="77777777" w:rsidR="004B7597" w:rsidRPr="00C139F5" w:rsidRDefault="004B7597" w:rsidP="004B7597">
      <w:pPr>
        <w:ind w:left="709" w:right="758"/>
        <w:jc w:val="both"/>
        <w:rPr>
          <w:rFonts w:ascii="Arial" w:eastAsia="Arial" w:hAnsi="Arial" w:cs="Arial"/>
          <w:color w:val="000000" w:themeColor="text1"/>
          <w:sz w:val="21"/>
          <w:szCs w:val="21"/>
        </w:rPr>
      </w:pPr>
      <w:r w:rsidRPr="00C139F5">
        <w:rPr>
          <w:rFonts w:ascii="Arial" w:eastAsia="Arial" w:hAnsi="Arial" w:cs="Arial"/>
          <w:color w:val="000000" w:themeColor="text1"/>
          <w:sz w:val="21"/>
          <w:szCs w:val="21"/>
        </w:rPr>
        <w:t>Usted realiza la siguiente pregunta frente a lo consagrado en el parágrafo 1 del artículo 3 de la Ley 2024: «¿es posible acoger el concepto de “gran empresa” establecido por el Decreto 957 de 2020? De lo contrario, ¿qué se entiende por “gran empresa” en el marco de la Ley 2024?».</w:t>
      </w:r>
    </w:p>
    <w:p w14:paraId="1C81677B" w14:textId="77777777" w:rsidR="004B7597" w:rsidRPr="00C139F5" w:rsidRDefault="004B7597" w:rsidP="004B7597">
      <w:pPr>
        <w:ind w:left="709" w:right="758"/>
        <w:jc w:val="both"/>
        <w:rPr>
          <w:rFonts w:ascii="Arial" w:eastAsia="Arial" w:hAnsi="Arial" w:cs="Arial"/>
          <w:color w:val="000000" w:themeColor="text1"/>
          <w:sz w:val="22"/>
          <w:szCs w:val="22"/>
        </w:rPr>
      </w:pPr>
    </w:p>
    <w:p w14:paraId="2B6B8B10" w14:textId="0CE4F910" w:rsidR="004B7597" w:rsidRPr="00C139F5" w:rsidRDefault="004B7597" w:rsidP="004B7597">
      <w:pPr>
        <w:spacing w:before="120" w:line="276" w:lineRule="auto"/>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La «obligación de pago en plazos justos» no vincula los pagos y obligaciones relacionadas en los numerales 1 a 3</w:t>
      </w:r>
      <w:r w:rsidR="0029437D">
        <w:rPr>
          <w:rFonts w:ascii="Arial" w:eastAsia="Arial" w:hAnsi="Arial" w:cs="Arial"/>
          <w:color w:val="000000" w:themeColor="text1"/>
          <w:sz w:val="22"/>
          <w:szCs w:val="22"/>
        </w:rPr>
        <w:t xml:space="preserve"> del artículo 2</w:t>
      </w:r>
      <w:r w:rsidRPr="00C139F5">
        <w:rPr>
          <w:rFonts w:ascii="Arial" w:eastAsia="Arial" w:hAnsi="Arial" w:cs="Arial"/>
          <w:color w:val="000000" w:themeColor="text1"/>
          <w:sz w:val="22"/>
          <w:szCs w:val="22"/>
        </w:rPr>
        <w:t xml:space="preserve"> de la Ley 2024 de 2020, así como tampoco a «</w:t>
      </w:r>
      <w:r w:rsidRPr="00C139F5">
        <w:rPr>
          <w:rFonts w:ascii="Arial" w:hAnsi="Arial" w:cs="Arial"/>
          <w:color w:val="000000" w:themeColor="text1"/>
        </w:rPr>
        <w:t>l</w:t>
      </w:r>
      <w:r w:rsidRPr="00C139F5">
        <w:rPr>
          <w:rFonts w:ascii="Arial" w:eastAsia="Arial" w:hAnsi="Arial" w:cs="Arial"/>
          <w:color w:val="000000" w:themeColor="text1"/>
          <w:sz w:val="22"/>
          <w:szCs w:val="22"/>
        </w:rPr>
        <w:t>as operaciones mercantiles realizadas entre sociedades consideradas como grandes empresas», según lo que establece el parágrafo 1 del artículo 3 de la Ley 2024 de 2020. Para tales efectos, a juicio de la Agencia Nacional de Contratación Pública, resulta aplicable la noción a la que se refiere el parágrafo 1 del artículo 2.2.1.13.2.2. del Decreto 1074 de 2015, adicionado por el artículo 1 del Decreto 957 de 2020. En virtud de esta disposición, «</w:t>
      </w:r>
      <w:r w:rsidRPr="00C139F5">
        <w:rPr>
          <w:rFonts w:ascii="Arial" w:hAnsi="Arial" w:cs="Arial"/>
          <w:color w:val="000000" w:themeColor="text1"/>
          <w:sz w:val="22"/>
          <w:szCs w:val="22"/>
        </w:rPr>
        <w:t>[s]</w:t>
      </w:r>
      <w:r w:rsidRPr="00C139F5">
        <w:rPr>
          <w:rFonts w:ascii="Arial" w:eastAsia="Arial" w:hAnsi="Arial" w:cs="Arial"/>
          <w:color w:val="000000" w:themeColor="text1"/>
          <w:sz w:val="22"/>
          <w:szCs w:val="22"/>
        </w:rPr>
        <w:t xml:space="preserve">e considera gran empresa aquella que tiene ingresos por actividades ordinarias anuales mayores al rango superior de las medianas empresas, en cada uno de los sectores económicos descritos […]» en el tercer párrafo </w:t>
      </w:r>
      <w:r w:rsidR="0029437D">
        <w:rPr>
          <w:rFonts w:ascii="Arial" w:eastAsia="Arial" w:hAnsi="Arial" w:cs="Arial"/>
          <w:color w:val="000000" w:themeColor="text1"/>
          <w:sz w:val="22"/>
          <w:szCs w:val="22"/>
        </w:rPr>
        <w:t>de las consideraciones de</w:t>
      </w:r>
      <w:r w:rsidR="0029437D" w:rsidRPr="00C139F5">
        <w:rPr>
          <w:rFonts w:ascii="Arial" w:eastAsia="Arial" w:hAnsi="Arial" w:cs="Arial"/>
          <w:color w:val="000000" w:themeColor="text1"/>
          <w:sz w:val="22"/>
          <w:szCs w:val="22"/>
        </w:rPr>
        <w:t xml:space="preserve"> </w:t>
      </w:r>
      <w:r w:rsidR="0029437D">
        <w:rPr>
          <w:rFonts w:ascii="Arial" w:eastAsia="Arial" w:hAnsi="Arial" w:cs="Arial"/>
          <w:color w:val="000000" w:themeColor="text1"/>
          <w:sz w:val="22"/>
          <w:szCs w:val="22"/>
        </w:rPr>
        <w:t>este</w:t>
      </w:r>
      <w:r w:rsidRPr="00C139F5">
        <w:rPr>
          <w:rFonts w:ascii="Arial" w:eastAsia="Arial" w:hAnsi="Arial" w:cs="Arial"/>
          <w:color w:val="000000" w:themeColor="text1"/>
          <w:sz w:val="22"/>
          <w:szCs w:val="22"/>
        </w:rPr>
        <w:t xml:space="preserve"> concepto. De esta forma, aquellas empresas que tengan ingresos por actividades ordinarias anuales superiores a 1.736.565 UVT, para el sector manufacturero, o 483.034 UVT, respecto del sector servicios, y 2.160.692 UVT, frente al sector comercio</w:t>
      </w:r>
      <w:r w:rsidR="00692F2F">
        <w:rPr>
          <w:rFonts w:ascii="Arial" w:eastAsia="Arial" w:hAnsi="Arial" w:cs="Arial"/>
          <w:color w:val="000000" w:themeColor="text1"/>
          <w:sz w:val="22"/>
          <w:szCs w:val="22"/>
        </w:rPr>
        <w:t>,</w:t>
      </w:r>
      <w:r w:rsidRPr="00C139F5">
        <w:rPr>
          <w:rFonts w:ascii="Arial" w:eastAsia="Arial" w:hAnsi="Arial" w:cs="Arial"/>
          <w:color w:val="000000" w:themeColor="text1"/>
          <w:sz w:val="22"/>
          <w:szCs w:val="22"/>
        </w:rPr>
        <w:t xml:space="preserve"> serán consideradas «grandes empresas»</w:t>
      </w:r>
      <w:r w:rsidR="00692F2F">
        <w:rPr>
          <w:rFonts w:ascii="Arial" w:eastAsia="Arial" w:hAnsi="Arial" w:cs="Arial"/>
          <w:color w:val="000000" w:themeColor="text1"/>
          <w:sz w:val="22"/>
          <w:szCs w:val="22"/>
        </w:rPr>
        <w:t>,</w:t>
      </w:r>
      <w:r w:rsidRPr="00C139F5">
        <w:rPr>
          <w:rFonts w:ascii="Arial" w:eastAsia="Arial" w:hAnsi="Arial" w:cs="Arial"/>
          <w:color w:val="000000" w:themeColor="text1"/>
          <w:sz w:val="22"/>
          <w:szCs w:val="22"/>
        </w:rPr>
        <w:t xml:space="preserve"> para los efectos de la Ley 2024 de 2020.</w:t>
      </w:r>
    </w:p>
    <w:p w14:paraId="57C2B330" w14:textId="6CF8D268" w:rsidR="004B7597" w:rsidRDefault="004B7597" w:rsidP="004B7597">
      <w:pPr>
        <w:spacing w:before="120" w:line="276" w:lineRule="auto"/>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ab/>
        <w:t>Sin perjuicio de lo anterior, se debe precisar que el presente concepto está circunscrito al ámbito de la contratación estatal, razón por la que el mismo no abarca el ámbito netamente comercial, para lo cual la entidad competente resulta ser la Superintendencia de Sociedades, de acuerdo con lo establecido en el artículo 11, numeral 2, del Decreto 1023 del año 2012.</w:t>
      </w:r>
    </w:p>
    <w:p w14:paraId="20ACE023" w14:textId="19449495" w:rsidR="003629EC" w:rsidRDefault="003629EC" w:rsidP="004B7597">
      <w:pPr>
        <w:spacing w:before="120" w:line="276"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rPr>
        <w:tab/>
        <w:t>En efecto, debe tenerse en cuenta que el artículo 12 de la Ley 2024 de 2020, aplicable a los contratos estatales sometidos al Estatuto General de Contratación de la Administración Pública, establece que «</w:t>
      </w:r>
      <w:r w:rsidRPr="003629EC">
        <w:rPr>
          <w:rFonts w:ascii="Arial" w:eastAsia="Arial" w:hAnsi="Arial" w:cs="Arial"/>
          <w:color w:val="000000" w:themeColor="text1"/>
          <w:sz w:val="22"/>
          <w:szCs w:val="22"/>
        </w:rPr>
        <w:t>los pagos deberán realizarse en un plazo máximo de sesenta (60) días calendario siguientes, a la aceptación de la factura</w:t>
      </w:r>
      <w:r>
        <w:rPr>
          <w:rFonts w:ascii="Arial" w:eastAsia="Arial" w:hAnsi="Arial" w:cs="Arial"/>
          <w:color w:val="000000" w:themeColor="text1"/>
          <w:sz w:val="22"/>
          <w:szCs w:val="22"/>
        </w:rPr>
        <w:t xml:space="preserve">», siempre que la </w:t>
      </w:r>
      <w:r>
        <w:rPr>
          <w:rFonts w:ascii="Arial" w:eastAsia="Arial" w:hAnsi="Arial" w:cs="Arial"/>
          <w:color w:val="000000" w:themeColor="text1"/>
          <w:sz w:val="22"/>
          <w:szCs w:val="22"/>
        </w:rPr>
        <w:lastRenderedPageBreak/>
        <w:t>entidad estatal celebre un contrato con «</w:t>
      </w:r>
      <w:r w:rsidRPr="003629EC">
        <w:rPr>
          <w:rFonts w:ascii="Arial" w:eastAsia="Arial" w:hAnsi="Arial" w:cs="Arial"/>
          <w:color w:val="000000" w:themeColor="text1"/>
          <w:sz w:val="22"/>
          <w:szCs w:val="22"/>
        </w:rPr>
        <w:t>una micro, pequeña o mediana empresa</w:t>
      </w:r>
      <w:r>
        <w:rPr>
          <w:rFonts w:ascii="Arial" w:eastAsia="Arial" w:hAnsi="Arial" w:cs="Arial"/>
          <w:color w:val="000000" w:themeColor="text1"/>
          <w:sz w:val="22"/>
          <w:szCs w:val="22"/>
        </w:rPr>
        <w:t>», por lo que implícitamente se excluyen a las «grandes empresas».</w:t>
      </w:r>
    </w:p>
    <w:p w14:paraId="04812964" w14:textId="77777777" w:rsidR="003629EC" w:rsidRPr="00C139F5" w:rsidRDefault="003629EC" w:rsidP="00C8434A">
      <w:pPr>
        <w:spacing w:line="276" w:lineRule="auto"/>
        <w:jc w:val="both"/>
        <w:rPr>
          <w:rFonts w:ascii="Arial" w:eastAsia="Arial" w:hAnsi="Arial" w:cs="Arial"/>
          <w:color w:val="000000" w:themeColor="text1"/>
          <w:sz w:val="22"/>
          <w:szCs w:val="22"/>
        </w:rPr>
      </w:pPr>
    </w:p>
    <w:p w14:paraId="63611220" w14:textId="77777777" w:rsidR="004B7597" w:rsidRPr="00C139F5" w:rsidRDefault="004B7597" w:rsidP="00C8434A">
      <w:pPr>
        <w:spacing w:line="276" w:lineRule="auto"/>
        <w:jc w:val="both"/>
        <w:rPr>
          <w:rFonts w:ascii="Arial" w:eastAsia="Arial" w:hAnsi="Arial" w:cs="Arial"/>
          <w:color w:val="000000" w:themeColor="text1"/>
          <w:sz w:val="22"/>
          <w:szCs w:val="22"/>
        </w:rPr>
      </w:pPr>
    </w:p>
    <w:p w14:paraId="1E013FBA" w14:textId="77777777" w:rsidR="004B7597" w:rsidRPr="00C139F5" w:rsidRDefault="004B7597" w:rsidP="004B7597">
      <w:pPr>
        <w:spacing w:before="120" w:line="276" w:lineRule="auto"/>
        <w:jc w:val="both"/>
        <w:rPr>
          <w:rFonts w:ascii="Arial" w:eastAsia="Arial" w:hAnsi="Arial" w:cs="Arial"/>
          <w:color w:val="000000" w:themeColor="text1"/>
          <w:sz w:val="22"/>
          <w:szCs w:val="22"/>
        </w:rPr>
      </w:pPr>
      <w:r w:rsidRPr="00C139F5">
        <w:rPr>
          <w:rFonts w:ascii="Arial" w:eastAsia="Arial" w:hAnsi="Arial" w:cs="Arial"/>
          <w:color w:val="000000" w:themeColor="text1"/>
          <w:sz w:val="22"/>
          <w:szCs w:val="22"/>
        </w:rPr>
        <w:t>Este concepto tiene el alcance previsto en el artículo 28 del Código de Procedimiento Administrativo y de lo Contencioso Administrativo.</w:t>
      </w:r>
    </w:p>
    <w:p w14:paraId="30F67DD7" w14:textId="77777777" w:rsidR="004B7597" w:rsidRPr="00C139F5" w:rsidRDefault="004B7597" w:rsidP="004B7597">
      <w:pPr>
        <w:ind w:firstLine="709"/>
        <w:jc w:val="both"/>
        <w:rPr>
          <w:rFonts w:ascii="Arial" w:eastAsia="Arial" w:hAnsi="Arial" w:cs="Arial"/>
          <w:color w:val="000000" w:themeColor="text1"/>
          <w:sz w:val="22"/>
          <w:szCs w:val="22"/>
        </w:rPr>
      </w:pPr>
    </w:p>
    <w:p w14:paraId="7B466E94" w14:textId="3BFE6A0A" w:rsidR="004B7597" w:rsidRDefault="004B7597" w:rsidP="004B7597">
      <w:pPr>
        <w:spacing w:line="276" w:lineRule="auto"/>
        <w:rPr>
          <w:rFonts w:ascii="Arial" w:hAnsi="Arial" w:cs="Arial"/>
          <w:color w:val="000000" w:themeColor="text1"/>
          <w:sz w:val="22"/>
          <w:lang w:val="es-ES_tradnl" w:eastAsia="es-CO"/>
        </w:rPr>
      </w:pPr>
      <w:r w:rsidRPr="00C139F5">
        <w:rPr>
          <w:rFonts w:ascii="Arial" w:hAnsi="Arial" w:cs="Arial"/>
          <w:color w:val="000000" w:themeColor="text1"/>
          <w:sz w:val="22"/>
          <w:lang w:val="es-ES_tradnl" w:eastAsia="es-CO"/>
        </w:rPr>
        <w:t>Atentamente,</w:t>
      </w:r>
    </w:p>
    <w:p w14:paraId="2A36C7FE" w14:textId="77777777" w:rsidR="000C04B2" w:rsidRPr="00C139F5" w:rsidRDefault="000C04B2" w:rsidP="004B7597">
      <w:pPr>
        <w:spacing w:line="276" w:lineRule="auto"/>
        <w:rPr>
          <w:rFonts w:ascii="Arial" w:hAnsi="Arial" w:cs="Arial"/>
          <w:color w:val="000000" w:themeColor="text1"/>
          <w:sz w:val="22"/>
          <w:lang w:val="es-ES_tradnl" w:eastAsia="es-CO"/>
        </w:rPr>
      </w:pPr>
    </w:p>
    <w:p w14:paraId="00FBB54E" w14:textId="2B40F566" w:rsidR="000C04B2" w:rsidRDefault="00BF3320" w:rsidP="00C45BF3">
      <w:pPr>
        <w:pStyle w:val="xmsolistparagraph"/>
        <w:shd w:val="clear" w:color="auto" w:fill="FFFFFF"/>
        <w:spacing w:before="0" w:beforeAutospacing="0" w:after="0" w:afterAutospacing="0"/>
        <w:jc w:val="center"/>
        <w:rPr>
          <w:rFonts w:ascii="Calibri" w:hAnsi="Calibri"/>
          <w:color w:val="201F1E"/>
          <w:sz w:val="22"/>
          <w:szCs w:val="22"/>
        </w:rPr>
      </w:pPr>
      <w:r w:rsidRPr="00BF3320">
        <w:rPr>
          <w:rFonts w:ascii="Calibri" w:hAnsi="Calibri"/>
          <w:noProof/>
          <w:color w:val="201F1E"/>
          <w:sz w:val="22"/>
          <w:szCs w:val="22"/>
        </w:rPr>
        <w:drawing>
          <wp:inline distT="0" distB="0" distL="0" distR="0" wp14:anchorId="59278DCC" wp14:editId="71CEF2AE">
            <wp:extent cx="2514600" cy="1114425"/>
            <wp:effectExtent l="0" t="0" r="0" b="9525"/>
            <wp:docPr id="2" name="Imagen 2"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Start w:id="0" w:name="_GoBack"/>
      <w:bookmarkEnd w:id="0"/>
    </w:p>
    <w:p w14:paraId="728FFFB3" w14:textId="19516A18" w:rsidR="000C04B2" w:rsidRDefault="000C04B2" w:rsidP="004B7597">
      <w:pPr>
        <w:spacing w:line="276" w:lineRule="auto"/>
        <w:rPr>
          <w:rFonts w:ascii="Arial" w:hAnsi="Arial" w:cs="Arial"/>
          <w:color w:val="000000" w:themeColor="text1"/>
          <w:sz w:val="18"/>
          <w:szCs w:val="20"/>
          <w:lang w:val="es-ES_tradnl" w:eastAsia="es-CO"/>
        </w:rPr>
      </w:pPr>
    </w:p>
    <w:p w14:paraId="635FDC21" w14:textId="77777777" w:rsidR="000C04B2" w:rsidRPr="00C139F5" w:rsidRDefault="000C04B2" w:rsidP="004B7597">
      <w:pPr>
        <w:spacing w:line="276" w:lineRule="auto"/>
        <w:rPr>
          <w:rFonts w:ascii="Arial" w:hAnsi="Arial" w:cs="Arial"/>
          <w:color w:val="000000" w:themeColor="text1"/>
          <w:sz w:val="18"/>
          <w:szCs w:val="20"/>
          <w:lang w:val="es-ES_tradnl" w:eastAsia="es-CO"/>
        </w:rPr>
      </w:pPr>
    </w:p>
    <w:p w14:paraId="0A1B7F00" w14:textId="77777777" w:rsidR="004B7597" w:rsidRPr="00C139F5" w:rsidRDefault="004B7597" w:rsidP="004B7597">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4B7597" w:rsidRPr="00C139F5" w14:paraId="6394A7C3" w14:textId="77777777" w:rsidTr="00C45BF3">
        <w:trPr>
          <w:trHeight w:val="315"/>
        </w:trPr>
        <w:tc>
          <w:tcPr>
            <w:tcW w:w="812" w:type="dxa"/>
            <w:vAlign w:val="center"/>
            <w:hideMark/>
          </w:tcPr>
          <w:p w14:paraId="5BE3E0BD"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Elaboró:</w:t>
            </w:r>
          </w:p>
        </w:tc>
        <w:tc>
          <w:tcPr>
            <w:tcW w:w="4575" w:type="dxa"/>
            <w:tcBorders>
              <w:top w:val="nil"/>
              <w:left w:val="nil"/>
              <w:bottom w:val="dotted" w:sz="4" w:space="0" w:color="7F7F7F" w:themeColor="text1" w:themeTint="80"/>
              <w:right w:val="nil"/>
            </w:tcBorders>
            <w:vAlign w:val="center"/>
            <w:hideMark/>
          </w:tcPr>
          <w:p w14:paraId="5031A646"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David Castellanos Carreño</w:t>
            </w:r>
          </w:p>
          <w:p w14:paraId="1BC4AFB0"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Contratista de la Subdirección de Gestión Contractual</w:t>
            </w:r>
          </w:p>
        </w:tc>
      </w:tr>
      <w:tr w:rsidR="004B7597" w:rsidRPr="00C139F5" w14:paraId="2533F5E1" w14:textId="77777777" w:rsidTr="00C45BF3">
        <w:trPr>
          <w:trHeight w:val="330"/>
        </w:trPr>
        <w:tc>
          <w:tcPr>
            <w:tcW w:w="812" w:type="dxa"/>
            <w:vAlign w:val="center"/>
            <w:hideMark/>
          </w:tcPr>
          <w:p w14:paraId="58F4BFDA"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4070EA22" w14:textId="2B9C5516" w:rsidR="004B7597" w:rsidRPr="00C139F5" w:rsidRDefault="000C04B2" w:rsidP="00C4600B">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46D2EF52" w14:textId="63E64627" w:rsidR="004B7597" w:rsidRPr="00C139F5" w:rsidRDefault="000C04B2" w:rsidP="00C4600B">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 – Grado 15 </w:t>
            </w:r>
            <w:r w:rsidRPr="00C139F5">
              <w:rPr>
                <w:rFonts w:ascii="Arial" w:hAnsi="Arial" w:cs="Arial"/>
                <w:color w:val="000000" w:themeColor="text1"/>
                <w:sz w:val="16"/>
                <w:szCs w:val="16"/>
                <w:lang w:val="es-ES_tradnl" w:eastAsia="es-ES"/>
              </w:rPr>
              <w:t>Subdirección de Gestión Contractual</w:t>
            </w:r>
          </w:p>
        </w:tc>
      </w:tr>
      <w:tr w:rsidR="004B7597" w:rsidRPr="00C139F5" w14:paraId="62530573" w14:textId="77777777" w:rsidTr="00C45BF3">
        <w:trPr>
          <w:trHeight w:val="300"/>
        </w:trPr>
        <w:tc>
          <w:tcPr>
            <w:tcW w:w="812" w:type="dxa"/>
            <w:vAlign w:val="center"/>
            <w:hideMark/>
          </w:tcPr>
          <w:p w14:paraId="556C9174"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4114EB61"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Jorge Augusto Tirado Navarro</w:t>
            </w:r>
          </w:p>
          <w:p w14:paraId="5A96B2B7" w14:textId="77777777" w:rsidR="004B7597" w:rsidRPr="00C139F5" w:rsidRDefault="004B7597" w:rsidP="00C4600B">
            <w:pPr>
              <w:spacing w:line="276" w:lineRule="auto"/>
              <w:rPr>
                <w:rFonts w:ascii="Arial" w:hAnsi="Arial" w:cs="Arial"/>
                <w:color w:val="000000" w:themeColor="text1"/>
                <w:sz w:val="16"/>
                <w:szCs w:val="16"/>
                <w:lang w:val="es-ES_tradnl" w:eastAsia="es-ES"/>
              </w:rPr>
            </w:pPr>
            <w:r w:rsidRPr="00C139F5">
              <w:rPr>
                <w:rFonts w:ascii="Arial" w:hAnsi="Arial" w:cs="Arial"/>
                <w:color w:val="000000" w:themeColor="text1"/>
                <w:sz w:val="16"/>
                <w:szCs w:val="16"/>
                <w:lang w:val="es-ES_tradnl" w:eastAsia="es-ES"/>
              </w:rPr>
              <w:t>Subdirector de Gestión Contractual</w:t>
            </w:r>
          </w:p>
        </w:tc>
      </w:tr>
    </w:tbl>
    <w:p w14:paraId="2604E6FE" w14:textId="77777777" w:rsidR="004B7597" w:rsidRPr="00C139F5" w:rsidRDefault="004B7597" w:rsidP="004B7597">
      <w:pPr>
        <w:jc w:val="both"/>
        <w:rPr>
          <w:rFonts w:ascii="Arial" w:hAnsi="Arial" w:cs="Arial"/>
          <w:color w:val="000000" w:themeColor="text1"/>
        </w:rPr>
      </w:pPr>
    </w:p>
    <w:p w14:paraId="12946462" w14:textId="77777777" w:rsidR="00E27BDF" w:rsidRPr="00C139F5" w:rsidRDefault="00E27BDF" w:rsidP="004B7597">
      <w:pPr>
        <w:rPr>
          <w:rFonts w:ascii="Arial" w:hAnsi="Arial" w:cs="Arial"/>
        </w:rPr>
      </w:pPr>
    </w:p>
    <w:sectPr w:rsidR="00E27BDF" w:rsidRPr="00C139F5">
      <w:headerReference w:type="default" r:id="rId8"/>
      <w:footerReference w:type="default" r:id="rId9"/>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C051" w14:textId="77777777" w:rsidR="007A680F" w:rsidRDefault="007A680F">
      <w:r>
        <w:separator/>
      </w:r>
    </w:p>
  </w:endnote>
  <w:endnote w:type="continuationSeparator" w:id="0">
    <w:p w14:paraId="26782092" w14:textId="77777777" w:rsidR="007A680F" w:rsidRDefault="007A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397D" w14:textId="77777777" w:rsidR="002034E6" w:rsidRDefault="002034E6" w:rsidP="00041BDA">
    <w:pPr>
      <w:pBdr>
        <w:top w:val="nil"/>
        <w:left w:val="nil"/>
        <w:bottom w:val="nil"/>
        <w:right w:val="nil"/>
        <w:between w:val="nil"/>
      </w:pBdr>
      <w:jc w:val="center"/>
      <w:rPr>
        <w:rFonts w:ascii="Arial" w:eastAsia="Arial" w:hAnsi="Arial" w:cs="Arial"/>
        <w:color w:val="000000"/>
        <w:sz w:val="18"/>
        <w:szCs w:val="18"/>
      </w:rPr>
    </w:pPr>
  </w:p>
  <w:p w14:paraId="1E263B40" w14:textId="77777777" w:rsidR="00E27BDF" w:rsidRDefault="006C0DA8" w:rsidP="002034E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BF3320">
      <w:rPr>
        <w:rFonts w:ascii="Arial" w:eastAsia="Arial" w:hAnsi="Arial" w:cs="Arial"/>
        <w:b/>
        <w:noProof/>
        <w:color w:val="7F7F7F"/>
        <w:sz w:val="16"/>
        <w:szCs w:val="16"/>
      </w:rPr>
      <w:t>8</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BF3320">
      <w:rPr>
        <w:rFonts w:ascii="Arial" w:eastAsia="Arial" w:hAnsi="Arial" w:cs="Arial"/>
        <w:b/>
        <w:noProof/>
        <w:color w:val="7F7F7F"/>
        <w:sz w:val="16"/>
        <w:szCs w:val="16"/>
      </w:rPr>
      <w:t>8</w:t>
    </w:r>
    <w:r>
      <w:rPr>
        <w:rFonts w:ascii="Arial" w:eastAsia="Arial" w:hAnsi="Arial" w:cs="Arial"/>
        <w:b/>
        <w:color w:val="7F7F7F"/>
        <w:sz w:val="16"/>
        <w:szCs w:val="16"/>
      </w:rPr>
      <w:fldChar w:fldCharType="end"/>
    </w:r>
  </w:p>
  <w:p w14:paraId="3BBBC245" w14:textId="5F605B42" w:rsidR="00E27BDF" w:rsidRDefault="006C0DA8">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0E99CD91" w14:textId="77777777" w:rsidR="002034E6" w:rsidRDefault="002034E6">
    <w:pPr>
      <w:pBdr>
        <w:top w:val="nil"/>
        <w:left w:val="nil"/>
        <w:bottom w:val="nil"/>
        <w:right w:val="nil"/>
        <w:between w:val="nil"/>
      </w:pBdr>
      <w:tabs>
        <w:tab w:val="center" w:pos="4419"/>
        <w:tab w:val="right" w:pos="8838"/>
      </w:tabs>
      <w:jc w:val="center"/>
      <w:rPr>
        <w:color w:val="000000"/>
      </w:rPr>
    </w:pPr>
  </w:p>
  <w:p w14:paraId="2378D973" w14:textId="77777777" w:rsidR="00E27BDF" w:rsidRDefault="00E27BDF" w:rsidP="00E737A2">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D1511" w14:textId="77777777" w:rsidR="007A680F" w:rsidRDefault="007A680F">
      <w:r>
        <w:separator/>
      </w:r>
    </w:p>
  </w:footnote>
  <w:footnote w:type="continuationSeparator" w:id="0">
    <w:p w14:paraId="69AA0ADF" w14:textId="77777777" w:rsidR="007A680F" w:rsidRDefault="007A680F">
      <w:r>
        <w:continuationSeparator/>
      </w:r>
    </w:p>
  </w:footnote>
  <w:footnote w:id="1">
    <w:p w14:paraId="251E6C6D"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hAnsi="Arial" w:cs="Arial"/>
          <w:sz w:val="19"/>
          <w:szCs w:val="19"/>
          <w:vertAlign w:val="superscript"/>
        </w:rPr>
        <w:footnoteRef/>
      </w:r>
      <w:r w:rsidRPr="008177F5">
        <w:rPr>
          <w:rFonts w:ascii="Arial" w:eastAsia="Arial" w:hAnsi="Arial" w:cs="Arial"/>
          <w:color w:val="000000"/>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1B325662"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eastAsia="Arial" w:hAnsi="Arial" w:cs="Arial"/>
          <w:color w:val="000000"/>
          <w:sz w:val="19"/>
          <w:szCs w:val="19"/>
        </w:rPr>
        <w:t xml:space="preserve">»1. Mediana empresa: // a) Planta de personal entre cincuenta y uno (51) y doscientos (200) trabajadores, o // b) Activos totales por valor entre 100.000 a 610.000 UVT.  </w:t>
      </w:r>
    </w:p>
    <w:p w14:paraId="7528BDB2"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eastAsia="Arial" w:hAnsi="Arial" w:cs="Arial"/>
          <w:color w:val="000000"/>
          <w:sz w:val="19"/>
          <w:szCs w:val="19"/>
        </w:rPr>
        <w:t>» Pequeña empresa: // a) Planta de personal entre once (11) y cincuenta (50) trabajadores, o // b) Activos totales por valor entre quinientos uno (501) y menos de cinco mil (5.000) salarios mínimos mensuales legales vigentes o,</w:t>
      </w:r>
    </w:p>
    <w:p w14:paraId="37025C89"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eastAsia="Arial" w:hAnsi="Arial" w:cs="Arial"/>
          <w:color w:val="000000"/>
          <w:sz w:val="19"/>
          <w:szCs w:val="19"/>
        </w:rPr>
        <w:t>»3. Microempresa: // a) Planta de personal no superior a los diez (10) trabajadores o, // b) Activos totales excluida la vivienda por valor inferior a quinientos (500) salarios mínimos mensuales legales vigentes».</w:t>
      </w:r>
    </w:p>
  </w:footnote>
  <w:footnote w:id="2">
    <w:p w14:paraId="70A4CBCF"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hAnsi="Arial" w:cs="Arial"/>
          <w:sz w:val="19"/>
          <w:szCs w:val="19"/>
          <w:vertAlign w:val="superscript"/>
        </w:rPr>
        <w:footnoteRef/>
      </w:r>
      <w:r w:rsidRPr="008177F5">
        <w:rPr>
          <w:rFonts w:ascii="Arial" w:eastAsia="Arial" w:hAnsi="Arial" w:cs="Arial"/>
          <w:color w:val="000000"/>
          <w:sz w:val="19"/>
          <w:szCs w:val="19"/>
        </w:rPr>
        <w:t xml:space="preserve"> Artículo 2.2.1.13.2.2. del Decreto 1074 de 2015, adicionado por el Decreto 957 de 2019.</w:t>
      </w:r>
    </w:p>
    <w:p w14:paraId="7D2BAE72"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p>
  </w:footnote>
  <w:footnote w:id="3">
    <w:p w14:paraId="0FD03B23"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hAnsi="Arial" w:cs="Arial"/>
          <w:sz w:val="19"/>
          <w:szCs w:val="19"/>
          <w:vertAlign w:val="superscript"/>
        </w:rPr>
        <w:footnoteRef/>
      </w:r>
      <w:r w:rsidRPr="008177F5">
        <w:rPr>
          <w:rFonts w:ascii="Arial" w:eastAsia="Arial" w:hAnsi="Arial" w:cs="Arial"/>
          <w:color w:val="000000"/>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42795A99"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eastAsia="Arial" w:hAnsi="Arial" w:cs="Arial"/>
          <w:color w:val="000000"/>
          <w:sz w:val="19"/>
          <w:szCs w:val="19"/>
        </w:rPr>
        <w:tab/>
        <w:t>»4. Las entidades públicas del orden nacional, departamental y municipal preferirán en condiciones de igual precio, calidad y capacidad de suministros y servicio a las Mipymes nacionales».</w:t>
      </w:r>
    </w:p>
    <w:p w14:paraId="449571DA"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p>
  </w:footnote>
  <w:footnote w:id="4">
    <w:p w14:paraId="343DA2F8"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r w:rsidRPr="008177F5">
        <w:rPr>
          <w:rFonts w:ascii="Arial" w:hAnsi="Arial" w:cs="Arial"/>
          <w:sz w:val="19"/>
          <w:szCs w:val="19"/>
          <w:vertAlign w:val="superscript"/>
        </w:rPr>
        <w:footnoteRef/>
      </w:r>
      <w:r w:rsidRPr="008177F5">
        <w:rPr>
          <w:rFonts w:ascii="Arial" w:eastAsia="Arial" w:hAnsi="Arial" w:cs="Arial"/>
          <w:color w:val="000000"/>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3BA1D7B7" w14:textId="77777777" w:rsidR="004B7597" w:rsidRPr="008177F5" w:rsidRDefault="004B7597" w:rsidP="004B7597">
      <w:pPr>
        <w:pBdr>
          <w:top w:val="nil"/>
          <w:left w:val="nil"/>
          <w:bottom w:val="nil"/>
          <w:right w:val="nil"/>
          <w:between w:val="nil"/>
        </w:pBdr>
        <w:ind w:right="49" w:firstLine="709"/>
        <w:jc w:val="both"/>
        <w:rPr>
          <w:rFonts w:ascii="Arial" w:eastAsia="Arial" w:hAnsi="Arial" w:cs="Arial"/>
          <w:color w:val="000000"/>
          <w:sz w:val="19"/>
          <w:szCs w:val="19"/>
        </w:rPr>
      </w:pPr>
    </w:p>
  </w:footnote>
  <w:footnote w:id="5">
    <w:p w14:paraId="4ADD563B" w14:textId="141E2315" w:rsidR="004B7597" w:rsidRPr="008177F5" w:rsidRDefault="004B7597" w:rsidP="004B7597">
      <w:pPr>
        <w:pStyle w:val="Textonotapie"/>
        <w:ind w:right="49" w:firstLine="709"/>
        <w:jc w:val="both"/>
        <w:rPr>
          <w:rFonts w:ascii="Arial" w:hAnsi="Arial" w:cs="Arial"/>
          <w:sz w:val="19"/>
          <w:szCs w:val="19"/>
        </w:rPr>
      </w:pPr>
      <w:r w:rsidRPr="008177F5">
        <w:rPr>
          <w:rStyle w:val="Refdenotaalpie"/>
          <w:rFonts w:ascii="Arial" w:hAnsi="Arial" w:cs="Arial"/>
          <w:sz w:val="19"/>
          <w:szCs w:val="19"/>
        </w:rPr>
        <w:footnoteRef/>
      </w:r>
      <w:r w:rsidRPr="008177F5">
        <w:rPr>
          <w:rFonts w:ascii="Arial" w:hAnsi="Arial" w:cs="Arial"/>
          <w:sz w:val="19"/>
          <w:szCs w:val="19"/>
        </w:rPr>
        <w:t xml:space="preserve"> Ley 2024 de 2020. Artículo 1.</w:t>
      </w:r>
    </w:p>
    <w:p w14:paraId="2841EB9A" w14:textId="77777777" w:rsidR="004B7597" w:rsidRPr="008177F5" w:rsidRDefault="004B7597" w:rsidP="004B7597">
      <w:pPr>
        <w:pStyle w:val="Textonotapie"/>
        <w:ind w:right="49" w:firstLine="709"/>
        <w:jc w:val="both"/>
        <w:rPr>
          <w:rFonts w:ascii="Arial" w:hAnsi="Arial" w:cs="Arial"/>
          <w:sz w:val="19"/>
          <w:szCs w:val="19"/>
          <w:lang w:val="es-ES"/>
        </w:rPr>
      </w:pPr>
    </w:p>
  </w:footnote>
  <w:footnote w:id="6">
    <w:p w14:paraId="03F84871" w14:textId="64EEA900" w:rsidR="004B7597" w:rsidRPr="008177F5" w:rsidRDefault="004B7597" w:rsidP="004B7597">
      <w:pPr>
        <w:pStyle w:val="Textonotapie"/>
        <w:ind w:right="49" w:firstLine="709"/>
        <w:jc w:val="both"/>
        <w:rPr>
          <w:rFonts w:ascii="Arial" w:hAnsi="Arial" w:cs="Arial"/>
          <w:sz w:val="19"/>
          <w:szCs w:val="19"/>
        </w:rPr>
      </w:pPr>
      <w:r w:rsidRPr="008177F5">
        <w:rPr>
          <w:rStyle w:val="Refdenotaalpie"/>
          <w:rFonts w:ascii="Arial" w:hAnsi="Arial" w:cs="Arial"/>
          <w:sz w:val="19"/>
          <w:szCs w:val="19"/>
        </w:rPr>
        <w:footnoteRef/>
      </w:r>
      <w:r w:rsidRPr="008177F5">
        <w:rPr>
          <w:rFonts w:ascii="Arial" w:hAnsi="Arial" w:cs="Arial"/>
          <w:sz w:val="19"/>
          <w:szCs w:val="19"/>
        </w:rPr>
        <w:t xml:space="preserve"> «</w:t>
      </w:r>
      <w:r w:rsidR="00C45BF3">
        <w:rPr>
          <w:rFonts w:ascii="Arial" w:hAnsi="Arial" w:cs="Arial"/>
          <w:sz w:val="19"/>
          <w:szCs w:val="19"/>
        </w:rPr>
        <w:t>Artículo</w:t>
      </w:r>
      <w:r w:rsidRPr="008177F5">
        <w:rPr>
          <w:rFonts w:ascii="Arial" w:hAnsi="Arial" w:cs="Arial"/>
          <w:sz w:val="19"/>
          <w:szCs w:val="19"/>
        </w:rPr>
        <w:t xml:space="preserve"> 2°. Ámbito de Aplicación. (…)</w:t>
      </w:r>
    </w:p>
    <w:p w14:paraId="7F7C3E07" w14:textId="77777777" w:rsidR="004B7597" w:rsidRDefault="004B7597" w:rsidP="004B7597">
      <w:pPr>
        <w:pStyle w:val="Textonotapie"/>
        <w:ind w:right="49" w:firstLine="709"/>
        <w:jc w:val="both"/>
        <w:rPr>
          <w:rFonts w:ascii="Arial" w:hAnsi="Arial" w:cs="Arial"/>
          <w:sz w:val="19"/>
          <w:szCs w:val="19"/>
        </w:rPr>
      </w:pPr>
      <w:r w:rsidRPr="008177F5">
        <w:rPr>
          <w:rFonts w:ascii="Arial" w:hAnsi="Arial" w:cs="Arial"/>
          <w:sz w:val="19"/>
          <w:szCs w:val="19"/>
        </w:rPr>
        <w:t>»Se excluyen del ámbito de aplicación de esta Ley:</w:t>
      </w:r>
    </w:p>
    <w:p w14:paraId="35173E41" w14:textId="63349918" w:rsidR="004B7597" w:rsidRDefault="004B7597" w:rsidP="004B7597">
      <w:pPr>
        <w:pStyle w:val="Textonotapie"/>
        <w:ind w:right="49" w:firstLine="709"/>
        <w:jc w:val="both"/>
        <w:rPr>
          <w:rFonts w:ascii="Arial" w:hAnsi="Arial" w:cs="Arial"/>
          <w:sz w:val="19"/>
          <w:szCs w:val="19"/>
        </w:rPr>
      </w:pPr>
      <w:r>
        <w:rPr>
          <w:rFonts w:ascii="Arial" w:hAnsi="Arial" w:cs="Arial"/>
          <w:sz w:val="19"/>
          <w:szCs w:val="19"/>
        </w:rPr>
        <w:t>»</w:t>
      </w:r>
      <w:r w:rsidRPr="008177F5">
        <w:rPr>
          <w:rFonts w:ascii="Arial" w:hAnsi="Arial" w:cs="Arial"/>
          <w:sz w:val="19"/>
          <w:szCs w:val="19"/>
        </w:rPr>
        <w:t>1. Los pagos efectuados en las operaciones comerciales en las que intervengan consumidores, y que estén sujetas a las normas de protección del consumidor.</w:t>
      </w:r>
    </w:p>
    <w:p w14:paraId="57BC22B2" w14:textId="77777777" w:rsidR="004B7597" w:rsidRPr="008177F5" w:rsidRDefault="004B7597" w:rsidP="004B7597">
      <w:pPr>
        <w:pStyle w:val="Textonotapie"/>
        <w:ind w:right="49" w:firstLine="709"/>
        <w:jc w:val="both"/>
        <w:rPr>
          <w:rFonts w:ascii="Arial" w:hAnsi="Arial" w:cs="Arial"/>
          <w:sz w:val="19"/>
          <w:szCs w:val="19"/>
        </w:rPr>
      </w:pPr>
      <w:r>
        <w:rPr>
          <w:rFonts w:ascii="Arial" w:hAnsi="Arial" w:cs="Arial"/>
          <w:sz w:val="19"/>
          <w:szCs w:val="19"/>
        </w:rPr>
        <w:t>»</w:t>
      </w:r>
      <w:r w:rsidRPr="008177F5">
        <w:rPr>
          <w:rFonts w:ascii="Arial" w:hAnsi="Arial" w:cs="Arial"/>
          <w:sz w:val="19"/>
          <w:szCs w:val="19"/>
        </w:rPr>
        <w:t>2. Los intereses relacionados con la legislación en materia de cheques, pagarés y letras de cambio y los pagos de indemnizaciones por daños, incluidos los pagos por entidades aseguradoras, así como el contrato de mutuo y otros contratos típicos o atípicos donde los plazos diferidos sean propios de la esencia del contrato respectivo.</w:t>
      </w:r>
    </w:p>
    <w:p w14:paraId="7F13454B" w14:textId="73E21DF5" w:rsidR="004B7597" w:rsidRDefault="004B7597" w:rsidP="004B7597">
      <w:pPr>
        <w:pStyle w:val="Textonotapie"/>
        <w:ind w:right="49" w:firstLine="709"/>
        <w:jc w:val="both"/>
        <w:rPr>
          <w:rFonts w:ascii="Arial" w:hAnsi="Arial" w:cs="Arial"/>
          <w:sz w:val="19"/>
          <w:szCs w:val="19"/>
        </w:rPr>
      </w:pPr>
      <w:r>
        <w:rPr>
          <w:rFonts w:ascii="Arial" w:hAnsi="Arial" w:cs="Arial"/>
          <w:sz w:val="19"/>
          <w:szCs w:val="19"/>
        </w:rPr>
        <w:t>»</w:t>
      </w:r>
      <w:r w:rsidRPr="008177F5">
        <w:rPr>
          <w:rFonts w:ascii="Arial" w:hAnsi="Arial" w:cs="Arial"/>
          <w:sz w:val="19"/>
          <w:szCs w:val="19"/>
        </w:rPr>
        <w:t>3. Las deudas sometidas a procedimientos concursales o de reestructuración empresarial, que se regirán por lo establecido en su legislación especial».</w:t>
      </w:r>
    </w:p>
    <w:p w14:paraId="2D423713" w14:textId="77777777" w:rsidR="00CE7203" w:rsidRPr="008177F5" w:rsidRDefault="00CE7203" w:rsidP="004B7597">
      <w:pPr>
        <w:pStyle w:val="Textonotapie"/>
        <w:ind w:right="49" w:firstLine="709"/>
        <w:jc w:val="both"/>
        <w:rPr>
          <w:rFonts w:ascii="Arial" w:hAnsi="Arial" w:cs="Arial"/>
          <w:sz w:val="19"/>
          <w:szCs w:val="19"/>
        </w:rPr>
      </w:pPr>
    </w:p>
  </w:footnote>
  <w:footnote w:id="7">
    <w:p w14:paraId="21565D10" w14:textId="6B396B79" w:rsidR="004B7597" w:rsidRDefault="004B7597" w:rsidP="004B7597">
      <w:pPr>
        <w:pStyle w:val="Textonotapie"/>
        <w:ind w:firstLine="709"/>
        <w:jc w:val="both"/>
        <w:rPr>
          <w:rFonts w:ascii="Arial" w:hAnsi="Arial" w:cs="Arial"/>
          <w:sz w:val="19"/>
          <w:szCs w:val="19"/>
        </w:rPr>
      </w:pPr>
      <w:r w:rsidRPr="008177F5">
        <w:rPr>
          <w:rStyle w:val="Refdenotaalpie"/>
          <w:rFonts w:ascii="Arial" w:hAnsi="Arial" w:cs="Arial"/>
          <w:sz w:val="19"/>
          <w:szCs w:val="19"/>
        </w:rPr>
        <w:footnoteRef/>
      </w:r>
      <w:r w:rsidRPr="008177F5">
        <w:rPr>
          <w:rFonts w:ascii="Arial" w:hAnsi="Arial" w:cs="Arial"/>
          <w:sz w:val="19"/>
          <w:szCs w:val="19"/>
        </w:rPr>
        <w:t xml:space="preserve"> </w:t>
      </w:r>
      <w:r w:rsidR="00CE7203">
        <w:rPr>
          <w:rFonts w:ascii="Arial" w:hAnsi="Arial" w:cs="Arial"/>
          <w:sz w:val="19"/>
          <w:szCs w:val="19"/>
        </w:rPr>
        <w:t>«</w:t>
      </w:r>
      <w:r w:rsidRPr="008177F5">
        <w:rPr>
          <w:rFonts w:ascii="Arial" w:hAnsi="Arial" w:cs="Arial"/>
          <w:sz w:val="19"/>
          <w:szCs w:val="19"/>
        </w:rPr>
        <w:t>Parágrafo 1. Lo establecido en el presente Capítulo no será aplicable para la procedencia de</w:t>
      </w:r>
      <w:r>
        <w:rPr>
          <w:rFonts w:ascii="Arial" w:hAnsi="Arial" w:cs="Arial"/>
          <w:sz w:val="19"/>
          <w:szCs w:val="19"/>
        </w:rPr>
        <w:t xml:space="preserve"> </w:t>
      </w:r>
      <w:r w:rsidRPr="008177F5">
        <w:rPr>
          <w:rFonts w:ascii="Arial" w:hAnsi="Arial" w:cs="Arial"/>
          <w:sz w:val="19"/>
          <w:szCs w:val="19"/>
        </w:rPr>
        <w:t>beneficios fiscales o tributarios, a menos que se establezca lo contrario en el beneficio fiscal o</w:t>
      </w:r>
      <w:r>
        <w:rPr>
          <w:rFonts w:ascii="Arial" w:hAnsi="Arial" w:cs="Arial"/>
          <w:sz w:val="19"/>
          <w:szCs w:val="19"/>
        </w:rPr>
        <w:t xml:space="preserve"> </w:t>
      </w:r>
      <w:r w:rsidRPr="008177F5">
        <w:rPr>
          <w:rFonts w:ascii="Arial" w:hAnsi="Arial" w:cs="Arial"/>
          <w:sz w:val="19"/>
          <w:szCs w:val="19"/>
        </w:rPr>
        <w:t>tributario específico.</w:t>
      </w:r>
    </w:p>
    <w:p w14:paraId="00F87497" w14:textId="77777777" w:rsidR="004B7597" w:rsidRDefault="004B7597" w:rsidP="004B7597">
      <w:pPr>
        <w:pStyle w:val="Textonotapie"/>
        <w:ind w:firstLine="709"/>
        <w:jc w:val="both"/>
        <w:rPr>
          <w:rFonts w:ascii="Arial" w:hAnsi="Arial" w:cs="Arial"/>
          <w:sz w:val="19"/>
          <w:szCs w:val="19"/>
        </w:rPr>
      </w:pPr>
      <w:r>
        <w:rPr>
          <w:rFonts w:ascii="Arial" w:hAnsi="Arial" w:cs="Arial"/>
          <w:sz w:val="19"/>
          <w:szCs w:val="19"/>
        </w:rPr>
        <w:t>»</w:t>
      </w:r>
      <w:r w:rsidRPr="008177F5">
        <w:rPr>
          <w:rFonts w:ascii="Arial" w:hAnsi="Arial" w:cs="Arial"/>
          <w:sz w:val="19"/>
          <w:szCs w:val="19"/>
        </w:rPr>
        <w:t>Parágrafo 2. Lo dispuesto en el presente Capítulo no será aplicable a aquellos casos</w:t>
      </w:r>
      <w:r>
        <w:rPr>
          <w:rFonts w:ascii="Arial" w:hAnsi="Arial" w:cs="Arial"/>
          <w:sz w:val="19"/>
          <w:szCs w:val="19"/>
        </w:rPr>
        <w:t xml:space="preserve"> </w:t>
      </w:r>
      <w:r w:rsidRPr="008177F5">
        <w:rPr>
          <w:rFonts w:ascii="Arial" w:hAnsi="Arial" w:cs="Arial"/>
          <w:sz w:val="19"/>
          <w:szCs w:val="19"/>
        </w:rPr>
        <w:t>específicos en los que la Ley haya establecido criterios de aplicación diferentes.</w:t>
      </w:r>
    </w:p>
    <w:p w14:paraId="74574CF1" w14:textId="77777777" w:rsidR="004B7597" w:rsidRPr="008177F5" w:rsidRDefault="004B7597" w:rsidP="004B7597">
      <w:pPr>
        <w:pStyle w:val="Textonotapie"/>
        <w:ind w:firstLine="709"/>
        <w:jc w:val="both"/>
        <w:rPr>
          <w:rFonts w:ascii="Arial" w:hAnsi="Arial" w:cs="Arial"/>
          <w:sz w:val="19"/>
          <w:szCs w:val="19"/>
        </w:rPr>
      </w:pPr>
      <w:r>
        <w:rPr>
          <w:rFonts w:ascii="Arial" w:hAnsi="Arial" w:cs="Arial"/>
          <w:sz w:val="19"/>
          <w:szCs w:val="19"/>
        </w:rPr>
        <w:t>»</w:t>
      </w:r>
      <w:r w:rsidRPr="008177F5">
        <w:rPr>
          <w:rFonts w:ascii="Arial" w:hAnsi="Arial" w:cs="Arial"/>
          <w:sz w:val="19"/>
          <w:szCs w:val="19"/>
        </w:rPr>
        <w:t>Parágrafo 3. Las entidades públicas deberán programar dentro de su presupuesto asignado</w:t>
      </w:r>
      <w:r>
        <w:rPr>
          <w:rFonts w:ascii="Arial" w:hAnsi="Arial" w:cs="Arial"/>
          <w:sz w:val="19"/>
          <w:szCs w:val="19"/>
        </w:rPr>
        <w:t xml:space="preserve"> </w:t>
      </w:r>
      <w:r w:rsidRPr="008177F5">
        <w:rPr>
          <w:rFonts w:ascii="Arial" w:hAnsi="Arial" w:cs="Arial"/>
          <w:sz w:val="19"/>
          <w:szCs w:val="19"/>
        </w:rPr>
        <w:t>para cada vigencia los recursos destinados a la atención de los beneficios a los que tengan</w:t>
      </w:r>
      <w:r>
        <w:rPr>
          <w:rFonts w:ascii="Arial" w:hAnsi="Arial" w:cs="Arial"/>
          <w:sz w:val="19"/>
          <w:szCs w:val="19"/>
        </w:rPr>
        <w:t xml:space="preserve"> </w:t>
      </w:r>
      <w:r w:rsidRPr="008177F5">
        <w:rPr>
          <w:rFonts w:ascii="Arial" w:hAnsi="Arial" w:cs="Arial"/>
          <w:sz w:val="19"/>
          <w:szCs w:val="19"/>
        </w:rPr>
        <w:t>derecho las micro, pequeñas y medianas empresas. Dichos recursos deberán guardar</w:t>
      </w:r>
      <w:r>
        <w:rPr>
          <w:rFonts w:ascii="Arial" w:hAnsi="Arial" w:cs="Arial"/>
          <w:sz w:val="19"/>
          <w:szCs w:val="19"/>
        </w:rPr>
        <w:t xml:space="preserve"> </w:t>
      </w:r>
      <w:r w:rsidRPr="008177F5">
        <w:rPr>
          <w:rFonts w:ascii="Arial" w:hAnsi="Arial" w:cs="Arial"/>
          <w:sz w:val="19"/>
          <w:szCs w:val="19"/>
        </w:rPr>
        <w:t>coherencia con las cifras del Marco de Gasto de Mediano Plazo y el Marco Fiscal de Mediano</w:t>
      </w:r>
      <w:r>
        <w:rPr>
          <w:rFonts w:ascii="Arial" w:hAnsi="Arial" w:cs="Arial"/>
          <w:sz w:val="19"/>
          <w:szCs w:val="19"/>
        </w:rPr>
        <w:t xml:space="preserve"> </w:t>
      </w:r>
      <w:r w:rsidRPr="008177F5">
        <w:rPr>
          <w:rFonts w:ascii="Arial" w:hAnsi="Arial" w:cs="Arial"/>
          <w:sz w:val="19"/>
          <w:szCs w:val="19"/>
        </w:rPr>
        <w:t>Plazo vigentes</w:t>
      </w:r>
      <w:r>
        <w:rPr>
          <w:rFonts w:ascii="Arial" w:hAnsi="Arial" w:cs="Arial"/>
          <w:sz w:val="19"/>
          <w:szCs w:val="19"/>
        </w:rPr>
        <w:t xml:space="preserve"> (sic)</w:t>
      </w:r>
      <w:r w:rsidRPr="008177F5">
        <w:rPr>
          <w:rFonts w:ascii="Arial" w:hAnsi="Arial" w:cs="Arial"/>
          <w:sz w:val="19"/>
          <w:szCs w:val="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D637" w14:textId="77777777" w:rsidR="00E27BDF" w:rsidRDefault="006C0DA8">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DF"/>
    <w:rsid w:val="00010490"/>
    <w:rsid w:val="000163EA"/>
    <w:rsid w:val="00023405"/>
    <w:rsid w:val="0003387B"/>
    <w:rsid w:val="00041BDA"/>
    <w:rsid w:val="00042B79"/>
    <w:rsid w:val="00096B16"/>
    <w:rsid w:val="000973C9"/>
    <w:rsid w:val="000C04B2"/>
    <w:rsid w:val="000C5143"/>
    <w:rsid w:val="000D686F"/>
    <w:rsid w:val="00124932"/>
    <w:rsid w:val="00156DC9"/>
    <w:rsid w:val="0016722F"/>
    <w:rsid w:val="001851BE"/>
    <w:rsid w:val="001A0F38"/>
    <w:rsid w:val="001B218A"/>
    <w:rsid w:val="001B5B7F"/>
    <w:rsid w:val="001E2D51"/>
    <w:rsid w:val="002034E6"/>
    <w:rsid w:val="0020643E"/>
    <w:rsid w:val="00224A59"/>
    <w:rsid w:val="00225CF6"/>
    <w:rsid w:val="00234CD2"/>
    <w:rsid w:val="00236F16"/>
    <w:rsid w:val="00246E9A"/>
    <w:rsid w:val="00251DB4"/>
    <w:rsid w:val="00265428"/>
    <w:rsid w:val="00266ACA"/>
    <w:rsid w:val="002717B5"/>
    <w:rsid w:val="00283D9B"/>
    <w:rsid w:val="0029437D"/>
    <w:rsid w:val="002A79AA"/>
    <w:rsid w:val="002B3AEF"/>
    <w:rsid w:val="002B7261"/>
    <w:rsid w:val="002D241D"/>
    <w:rsid w:val="00311FC8"/>
    <w:rsid w:val="0031565C"/>
    <w:rsid w:val="003241F3"/>
    <w:rsid w:val="00340E1E"/>
    <w:rsid w:val="00342184"/>
    <w:rsid w:val="00342AEE"/>
    <w:rsid w:val="00344A58"/>
    <w:rsid w:val="00345C31"/>
    <w:rsid w:val="0036269D"/>
    <w:rsid w:val="003629EC"/>
    <w:rsid w:val="00380953"/>
    <w:rsid w:val="00392F65"/>
    <w:rsid w:val="003B3252"/>
    <w:rsid w:val="003D371F"/>
    <w:rsid w:val="003D6EAA"/>
    <w:rsid w:val="003E308C"/>
    <w:rsid w:val="003F3B45"/>
    <w:rsid w:val="00400462"/>
    <w:rsid w:val="00410227"/>
    <w:rsid w:val="00415F68"/>
    <w:rsid w:val="00421767"/>
    <w:rsid w:val="00444BF9"/>
    <w:rsid w:val="00465328"/>
    <w:rsid w:val="00471720"/>
    <w:rsid w:val="004832A9"/>
    <w:rsid w:val="00487C57"/>
    <w:rsid w:val="004A44CD"/>
    <w:rsid w:val="004B224F"/>
    <w:rsid w:val="004B7597"/>
    <w:rsid w:val="00504636"/>
    <w:rsid w:val="0052351E"/>
    <w:rsid w:val="005322A2"/>
    <w:rsid w:val="005716BB"/>
    <w:rsid w:val="00574D6F"/>
    <w:rsid w:val="00577C31"/>
    <w:rsid w:val="0059190D"/>
    <w:rsid w:val="005B1D18"/>
    <w:rsid w:val="005E5574"/>
    <w:rsid w:val="00643CA7"/>
    <w:rsid w:val="00667293"/>
    <w:rsid w:val="00692F2F"/>
    <w:rsid w:val="006A1655"/>
    <w:rsid w:val="006B1BA1"/>
    <w:rsid w:val="006C0DA8"/>
    <w:rsid w:val="007041E6"/>
    <w:rsid w:val="0070426A"/>
    <w:rsid w:val="007220EE"/>
    <w:rsid w:val="00724E50"/>
    <w:rsid w:val="00752C35"/>
    <w:rsid w:val="00756CB7"/>
    <w:rsid w:val="00760E79"/>
    <w:rsid w:val="007A4140"/>
    <w:rsid w:val="007A680F"/>
    <w:rsid w:val="007E2F69"/>
    <w:rsid w:val="007F5838"/>
    <w:rsid w:val="00813E74"/>
    <w:rsid w:val="008177F5"/>
    <w:rsid w:val="00835144"/>
    <w:rsid w:val="00843C86"/>
    <w:rsid w:val="00845C5E"/>
    <w:rsid w:val="00853959"/>
    <w:rsid w:val="00855AA0"/>
    <w:rsid w:val="0087003C"/>
    <w:rsid w:val="00874E85"/>
    <w:rsid w:val="008B50CA"/>
    <w:rsid w:val="008B6C85"/>
    <w:rsid w:val="008D39B7"/>
    <w:rsid w:val="0091566F"/>
    <w:rsid w:val="0092469B"/>
    <w:rsid w:val="00937A5F"/>
    <w:rsid w:val="00941FE1"/>
    <w:rsid w:val="0096085C"/>
    <w:rsid w:val="009660DB"/>
    <w:rsid w:val="00974544"/>
    <w:rsid w:val="00975D0E"/>
    <w:rsid w:val="009763D7"/>
    <w:rsid w:val="00996CFA"/>
    <w:rsid w:val="009F117A"/>
    <w:rsid w:val="00A30582"/>
    <w:rsid w:val="00A327F9"/>
    <w:rsid w:val="00A35A1A"/>
    <w:rsid w:val="00A54A41"/>
    <w:rsid w:val="00A567C0"/>
    <w:rsid w:val="00A67F5F"/>
    <w:rsid w:val="00AA1772"/>
    <w:rsid w:val="00AA1D39"/>
    <w:rsid w:val="00AB186F"/>
    <w:rsid w:val="00AB36DA"/>
    <w:rsid w:val="00AB780C"/>
    <w:rsid w:val="00AC3EE9"/>
    <w:rsid w:val="00AC5716"/>
    <w:rsid w:val="00B076A4"/>
    <w:rsid w:val="00B10C9C"/>
    <w:rsid w:val="00B1576F"/>
    <w:rsid w:val="00B413A4"/>
    <w:rsid w:val="00B45CA9"/>
    <w:rsid w:val="00B46C78"/>
    <w:rsid w:val="00B47BC7"/>
    <w:rsid w:val="00B75EFC"/>
    <w:rsid w:val="00BB77BF"/>
    <w:rsid w:val="00BC2B94"/>
    <w:rsid w:val="00BC45E7"/>
    <w:rsid w:val="00BC7CDF"/>
    <w:rsid w:val="00BE0693"/>
    <w:rsid w:val="00BF3320"/>
    <w:rsid w:val="00C139F5"/>
    <w:rsid w:val="00C35978"/>
    <w:rsid w:val="00C422FF"/>
    <w:rsid w:val="00C45BF3"/>
    <w:rsid w:val="00C47C86"/>
    <w:rsid w:val="00C5309F"/>
    <w:rsid w:val="00C8434A"/>
    <w:rsid w:val="00CA0309"/>
    <w:rsid w:val="00CE7203"/>
    <w:rsid w:val="00D00AC2"/>
    <w:rsid w:val="00D04BA1"/>
    <w:rsid w:val="00D35515"/>
    <w:rsid w:val="00D41651"/>
    <w:rsid w:val="00D616D1"/>
    <w:rsid w:val="00D62C2A"/>
    <w:rsid w:val="00D65044"/>
    <w:rsid w:val="00D769B7"/>
    <w:rsid w:val="00D849B4"/>
    <w:rsid w:val="00D93344"/>
    <w:rsid w:val="00DA2B2F"/>
    <w:rsid w:val="00DB3E6A"/>
    <w:rsid w:val="00DC63BB"/>
    <w:rsid w:val="00DC7119"/>
    <w:rsid w:val="00DD4145"/>
    <w:rsid w:val="00DF2561"/>
    <w:rsid w:val="00E02F7E"/>
    <w:rsid w:val="00E27BDF"/>
    <w:rsid w:val="00E4260B"/>
    <w:rsid w:val="00E54CD2"/>
    <w:rsid w:val="00E65FCF"/>
    <w:rsid w:val="00E737A2"/>
    <w:rsid w:val="00E7408A"/>
    <w:rsid w:val="00E920DC"/>
    <w:rsid w:val="00EA2D8B"/>
    <w:rsid w:val="00ED3D3F"/>
    <w:rsid w:val="00F00192"/>
    <w:rsid w:val="00F22099"/>
    <w:rsid w:val="00F242C2"/>
    <w:rsid w:val="00F82631"/>
    <w:rsid w:val="00F878C8"/>
    <w:rsid w:val="00F95C56"/>
    <w:rsid w:val="00FA0370"/>
    <w:rsid w:val="00FB180B"/>
    <w:rsid w:val="00FB4B32"/>
    <w:rsid w:val="00FB61B6"/>
    <w:rsid w:val="00FC6B62"/>
    <w:rsid w:val="00FD49F0"/>
    <w:rsid w:val="00FF0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400462"/>
    <w:rPr>
      <w:b/>
      <w:bCs/>
    </w:rPr>
  </w:style>
  <w:style w:type="character" w:customStyle="1" w:styleId="AsuntodelcomentarioCar">
    <w:name w:val="Asunto del comentario Car"/>
    <w:basedOn w:val="TextocomentarioCar"/>
    <w:link w:val="Asuntodelcomentario"/>
    <w:uiPriority w:val="99"/>
    <w:semiHidden/>
    <w:rsid w:val="00400462"/>
    <w:rPr>
      <w:b/>
      <w:bCs/>
      <w:sz w:val="20"/>
      <w:szCs w:val="20"/>
    </w:rPr>
  </w:style>
  <w:style w:type="paragraph" w:styleId="Encabezado">
    <w:name w:val="header"/>
    <w:basedOn w:val="Normal"/>
    <w:link w:val="EncabezadoCar"/>
    <w:uiPriority w:val="99"/>
    <w:unhideWhenUsed/>
    <w:rsid w:val="00E737A2"/>
    <w:pPr>
      <w:tabs>
        <w:tab w:val="center" w:pos="4419"/>
        <w:tab w:val="right" w:pos="8838"/>
      </w:tabs>
    </w:pPr>
  </w:style>
  <w:style w:type="character" w:customStyle="1" w:styleId="EncabezadoCar">
    <w:name w:val="Encabezado Car"/>
    <w:basedOn w:val="Fuentedeprrafopredeter"/>
    <w:link w:val="Encabezado"/>
    <w:uiPriority w:val="99"/>
    <w:rsid w:val="00E737A2"/>
  </w:style>
  <w:style w:type="paragraph" w:styleId="Piedepgina">
    <w:name w:val="footer"/>
    <w:basedOn w:val="Normal"/>
    <w:link w:val="PiedepginaCar"/>
    <w:uiPriority w:val="99"/>
    <w:unhideWhenUsed/>
    <w:rsid w:val="00E737A2"/>
    <w:pPr>
      <w:tabs>
        <w:tab w:val="center" w:pos="4419"/>
        <w:tab w:val="right" w:pos="8838"/>
      </w:tabs>
    </w:pPr>
  </w:style>
  <w:style w:type="character" w:customStyle="1" w:styleId="PiedepginaCar">
    <w:name w:val="Pie de página Car"/>
    <w:basedOn w:val="Fuentedeprrafopredeter"/>
    <w:link w:val="Piedepgina"/>
    <w:uiPriority w:val="99"/>
    <w:rsid w:val="00E737A2"/>
  </w:style>
  <w:style w:type="table" w:styleId="Tablaconcuadrcula">
    <w:name w:val="Table Grid"/>
    <w:basedOn w:val="Tablanormal"/>
    <w:uiPriority w:val="39"/>
    <w:rsid w:val="00D61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7CDF"/>
    <w:rPr>
      <w:sz w:val="20"/>
      <w:szCs w:val="20"/>
    </w:rPr>
  </w:style>
  <w:style w:type="character" w:customStyle="1" w:styleId="TextonotapieCar">
    <w:name w:val="Texto nota pie Car"/>
    <w:basedOn w:val="Fuentedeprrafopredeter"/>
    <w:link w:val="Textonotapie"/>
    <w:uiPriority w:val="99"/>
    <w:rsid w:val="00BC7CDF"/>
    <w:rPr>
      <w:sz w:val="20"/>
      <w:szCs w:val="20"/>
    </w:rPr>
  </w:style>
  <w:style w:type="character" w:styleId="Refdenotaalpie">
    <w:name w:val="footnote reference"/>
    <w:basedOn w:val="Fuentedeprrafopredeter"/>
    <w:uiPriority w:val="99"/>
    <w:semiHidden/>
    <w:unhideWhenUsed/>
    <w:rsid w:val="00BC7CDF"/>
    <w:rPr>
      <w:vertAlign w:val="superscript"/>
    </w:rPr>
  </w:style>
  <w:style w:type="paragraph" w:customStyle="1" w:styleId="xmsolistparagraph">
    <w:name w:val="x_msolistparagraph"/>
    <w:basedOn w:val="Normal"/>
    <w:rsid w:val="000C04B2"/>
    <w:pPr>
      <w:spacing w:before="100" w:beforeAutospacing="1" w:after="100" w:afterAutospacing="1"/>
    </w:pPr>
    <w:rPr>
      <w:rFonts w:ascii="Times New Roman" w:eastAsia="Times New Roman" w:hAnsi="Times New Roman" w:cs="Times New Roman"/>
      <w:lang w:eastAsia="es-CO"/>
    </w:rPr>
  </w:style>
  <w:style w:type="paragraph" w:customStyle="1" w:styleId="xmsonormal">
    <w:name w:val="x_msonormal"/>
    <w:basedOn w:val="Normal"/>
    <w:rsid w:val="000C04B2"/>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355">
      <w:bodyDiv w:val="1"/>
      <w:marLeft w:val="0"/>
      <w:marRight w:val="0"/>
      <w:marTop w:val="0"/>
      <w:marBottom w:val="0"/>
      <w:divBdr>
        <w:top w:val="none" w:sz="0" w:space="0" w:color="auto"/>
        <w:left w:val="none" w:sz="0" w:space="0" w:color="auto"/>
        <w:bottom w:val="none" w:sz="0" w:space="0" w:color="auto"/>
        <w:right w:val="none" w:sz="0" w:space="0" w:color="auto"/>
      </w:divBdr>
      <w:divsChild>
        <w:div w:id="1551696032">
          <w:marLeft w:val="0"/>
          <w:marRight w:val="0"/>
          <w:marTop w:val="0"/>
          <w:marBottom w:val="0"/>
          <w:divBdr>
            <w:top w:val="none" w:sz="0" w:space="0" w:color="auto"/>
            <w:left w:val="none" w:sz="0" w:space="0" w:color="auto"/>
            <w:bottom w:val="none" w:sz="0" w:space="0" w:color="auto"/>
            <w:right w:val="none" w:sz="0" w:space="0" w:color="auto"/>
          </w:divBdr>
          <w:divsChild>
            <w:div w:id="279841929">
              <w:marLeft w:val="0"/>
              <w:marRight w:val="0"/>
              <w:marTop w:val="0"/>
              <w:marBottom w:val="0"/>
              <w:divBdr>
                <w:top w:val="none" w:sz="0" w:space="0" w:color="auto"/>
                <w:left w:val="none" w:sz="0" w:space="0" w:color="auto"/>
                <w:bottom w:val="none" w:sz="0" w:space="0" w:color="auto"/>
                <w:right w:val="none" w:sz="0" w:space="0" w:color="auto"/>
              </w:divBdr>
              <w:divsChild>
                <w:div w:id="1240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914">
      <w:bodyDiv w:val="1"/>
      <w:marLeft w:val="0"/>
      <w:marRight w:val="0"/>
      <w:marTop w:val="0"/>
      <w:marBottom w:val="0"/>
      <w:divBdr>
        <w:top w:val="none" w:sz="0" w:space="0" w:color="auto"/>
        <w:left w:val="none" w:sz="0" w:space="0" w:color="auto"/>
        <w:bottom w:val="none" w:sz="0" w:space="0" w:color="auto"/>
        <w:right w:val="none" w:sz="0" w:space="0" w:color="auto"/>
      </w:divBdr>
    </w:div>
    <w:div w:id="153420103">
      <w:bodyDiv w:val="1"/>
      <w:marLeft w:val="0"/>
      <w:marRight w:val="0"/>
      <w:marTop w:val="0"/>
      <w:marBottom w:val="0"/>
      <w:divBdr>
        <w:top w:val="none" w:sz="0" w:space="0" w:color="auto"/>
        <w:left w:val="none" w:sz="0" w:space="0" w:color="auto"/>
        <w:bottom w:val="none" w:sz="0" w:space="0" w:color="auto"/>
        <w:right w:val="none" w:sz="0" w:space="0" w:color="auto"/>
      </w:divBdr>
    </w:div>
    <w:div w:id="288634191">
      <w:bodyDiv w:val="1"/>
      <w:marLeft w:val="0"/>
      <w:marRight w:val="0"/>
      <w:marTop w:val="0"/>
      <w:marBottom w:val="0"/>
      <w:divBdr>
        <w:top w:val="none" w:sz="0" w:space="0" w:color="auto"/>
        <w:left w:val="none" w:sz="0" w:space="0" w:color="auto"/>
        <w:bottom w:val="none" w:sz="0" w:space="0" w:color="auto"/>
        <w:right w:val="none" w:sz="0" w:space="0" w:color="auto"/>
      </w:divBdr>
    </w:div>
    <w:div w:id="290282217">
      <w:bodyDiv w:val="1"/>
      <w:marLeft w:val="0"/>
      <w:marRight w:val="0"/>
      <w:marTop w:val="0"/>
      <w:marBottom w:val="0"/>
      <w:divBdr>
        <w:top w:val="none" w:sz="0" w:space="0" w:color="auto"/>
        <w:left w:val="none" w:sz="0" w:space="0" w:color="auto"/>
        <w:bottom w:val="none" w:sz="0" w:space="0" w:color="auto"/>
        <w:right w:val="none" w:sz="0" w:space="0" w:color="auto"/>
      </w:divBdr>
    </w:div>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6871">
      <w:bodyDiv w:val="1"/>
      <w:marLeft w:val="0"/>
      <w:marRight w:val="0"/>
      <w:marTop w:val="0"/>
      <w:marBottom w:val="0"/>
      <w:divBdr>
        <w:top w:val="none" w:sz="0" w:space="0" w:color="auto"/>
        <w:left w:val="none" w:sz="0" w:space="0" w:color="auto"/>
        <w:bottom w:val="none" w:sz="0" w:space="0" w:color="auto"/>
        <w:right w:val="none" w:sz="0" w:space="0" w:color="auto"/>
      </w:divBdr>
      <w:divsChild>
        <w:div w:id="828060976">
          <w:marLeft w:val="0"/>
          <w:marRight w:val="0"/>
          <w:marTop w:val="0"/>
          <w:marBottom w:val="0"/>
          <w:divBdr>
            <w:top w:val="none" w:sz="0" w:space="0" w:color="auto"/>
            <w:left w:val="none" w:sz="0" w:space="0" w:color="auto"/>
            <w:bottom w:val="none" w:sz="0" w:space="0" w:color="auto"/>
            <w:right w:val="none" w:sz="0" w:space="0" w:color="auto"/>
          </w:divBdr>
          <w:divsChild>
            <w:div w:id="1271665293">
              <w:marLeft w:val="0"/>
              <w:marRight w:val="0"/>
              <w:marTop w:val="0"/>
              <w:marBottom w:val="0"/>
              <w:divBdr>
                <w:top w:val="none" w:sz="0" w:space="0" w:color="auto"/>
                <w:left w:val="none" w:sz="0" w:space="0" w:color="auto"/>
                <w:bottom w:val="none" w:sz="0" w:space="0" w:color="auto"/>
                <w:right w:val="none" w:sz="0" w:space="0" w:color="auto"/>
              </w:divBdr>
              <w:divsChild>
                <w:div w:id="810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383">
      <w:bodyDiv w:val="1"/>
      <w:marLeft w:val="0"/>
      <w:marRight w:val="0"/>
      <w:marTop w:val="0"/>
      <w:marBottom w:val="0"/>
      <w:divBdr>
        <w:top w:val="none" w:sz="0" w:space="0" w:color="auto"/>
        <w:left w:val="none" w:sz="0" w:space="0" w:color="auto"/>
        <w:bottom w:val="none" w:sz="0" w:space="0" w:color="auto"/>
        <w:right w:val="none" w:sz="0" w:space="0" w:color="auto"/>
      </w:divBdr>
    </w:div>
    <w:div w:id="415713623">
      <w:bodyDiv w:val="1"/>
      <w:marLeft w:val="0"/>
      <w:marRight w:val="0"/>
      <w:marTop w:val="0"/>
      <w:marBottom w:val="0"/>
      <w:divBdr>
        <w:top w:val="none" w:sz="0" w:space="0" w:color="auto"/>
        <w:left w:val="none" w:sz="0" w:space="0" w:color="auto"/>
        <w:bottom w:val="none" w:sz="0" w:space="0" w:color="auto"/>
        <w:right w:val="none" w:sz="0" w:space="0" w:color="auto"/>
      </w:divBdr>
    </w:div>
    <w:div w:id="432894017">
      <w:bodyDiv w:val="1"/>
      <w:marLeft w:val="0"/>
      <w:marRight w:val="0"/>
      <w:marTop w:val="0"/>
      <w:marBottom w:val="0"/>
      <w:divBdr>
        <w:top w:val="none" w:sz="0" w:space="0" w:color="auto"/>
        <w:left w:val="none" w:sz="0" w:space="0" w:color="auto"/>
        <w:bottom w:val="none" w:sz="0" w:space="0" w:color="auto"/>
        <w:right w:val="none" w:sz="0" w:space="0" w:color="auto"/>
      </w:divBdr>
    </w:div>
    <w:div w:id="471100613">
      <w:bodyDiv w:val="1"/>
      <w:marLeft w:val="0"/>
      <w:marRight w:val="0"/>
      <w:marTop w:val="0"/>
      <w:marBottom w:val="0"/>
      <w:divBdr>
        <w:top w:val="none" w:sz="0" w:space="0" w:color="auto"/>
        <w:left w:val="none" w:sz="0" w:space="0" w:color="auto"/>
        <w:bottom w:val="none" w:sz="0" w:space="0" w:color="auto"/>
        <w:right w:val="none" w:sz="0" w:space="0" w:color="auto"/>
      </w:divBdr>
    </w:div>
    <w:div w:id="513812780">
      <w:bodyDiv w:val="1"/>
      <w:marLeft w:val="0"/>
      <w:marRight w:val="0"/>
      <w:marTop w:val="0"/>
      <w:marBottom w:val="0"/>
      <w:divBdr>
        <w:top w:val="none" w:sz="0" w:space="0" w:color="auto"/>
        <w:left w:val="none" w:sz="0" w:space="0" w:color="auto"/>
        <w:bottom w:val="none" w:sz="0" w:space="0" w:color="auto"/>
        <w:right w:val="none" w:sz="0" w:space="0" w:color="auto"/>
      </w:divBdr>
    </w:div>
    <w:div w:id="558170722">
      <w:bodyDiv w:val="1"/>
      <w:marLeft w:val="0"/>
      <w:marRight w:val="0"/>
      <w:marTop w:val="0"/>
      <w:marBottom w:val="0"/>
      <w:divBdr>
        <w:top w:val="none" w:sz="0" w:space="0" w:color="auto"/>
        <w:left w:val="none" w:sz="0" w:space="0" w:color="auto"/>
        <w:bottom w:val="none" w:sz="0" w:space="0" w:color="auto"/>
        <w:right w:val="none" w:sz="0" w:space="0" w:color="auto"/>
      </w:divBdr>
      <w:divsChild>
        <w:div w:id="1984112844">
          <w:marLeft w:val="0"/>
          <w:marRight w:val="0"/>
          <w:marTop w:val="0"/>
          <w:marBottom w:val="0"/>
          <w:divBdr>
            <w:top w:val="none" w:sz="0" w:space="0" w:color="auto"/>
            <w:left w:val="none" w:sz="0" w:space="0" w:color="auto"/>
            <w:bottom w:val="none" w:sz="0" w:space="0" w:color="auto"/>
            <w:right w:val="none" w:sz="0" w:space="0" w:color="auto"/>
          </w:divBdr>
        </w:div>
      </w:divsChild>
    </w:div>
    <w:div w:id="605043729">
      <w:bodyDiv w:val="1"/>
      <w:marLeft w:val="0"/>
      <w:marRight w:val="0"/>
      <w:marTop w:val="0"/>
      <w:marBottom w:val="0"/>
      <w:divBdr>
        <w:top w:val="none" w:sz="0" w:space="0" w:color="auto"/>
        <w:left w:val="none" w:sz="0" w:space="0" w:color="auto"/>
        <w:bottom w:val="none" w:sz="0" w:space="0" w:color="auto"/>
        <w:right w:val="none" w:sz="0" w:space="0" w:color="auto"/>
      </w:divBdr>
    </w:div>
    <w:div w:id="637757340">
      <w:bodyDiv w:val="1"/>
      <w:marLeft w:val="0"/>
      <w:marRight w:val="0"/>
      <w:marTop w:val="0"/>
      <w:marBottom w:val="0"/>
      <w:divBdr>
        <w:top w:val="none" w:sz="0" w:space="0" w:color="auto"/>
        <w:left w:val="none" w:sz="0" w:space="0" w:color="auto"/>
        <w:bottom w:val="none" w:sz="0" w:space="0" w:color="auto"/>
        <w:right w:val="none" w:sz="0" w:space="0" w:color="auto"/>
      </w:divBdr>
    </w:div>
    <w:div w:id="684944772">
      <w:bodyDiv w:val="1"/>
      <w:marLeft w:val="0"/>
      <w:marRight w:val="0"/>
      <w:marTop w:val="0"/>
      <w:marBottom w:val="0"/>
      <w:divBdr>
        <w:top w:val="none" w:sz="0" w:space="0" w:color="auto"/>
        <w:left w:val="none" w:sz="0" w:space="0" w:color="auto"/>
        <w:bottom w:val="none" w:sz="0" w:space="0" w:color="auto"/>
        <w:right w:val="none" w:sz="0" w:space="0" w:color="auto"/>
      </w:divBdr>
    </w:div>
    <w:div w:id="754859427">
      <w:bodyDiv w:val="1"/>
      <w:marLeft w:val="0"/>
      <w:marRight w:val="0"/>
      <w:marTop w:val="0"/>
      <w:marBottom w:val="0"/>
      <w:divBdr>
        <w:top w:val="none" w:sz="0" w:space="0" w:color="auto"/>
        <w:left w:val="none" w:sz="0" w:space="0" w:color="auto"/>
        <w:bottom w:val="none" w:sz="0" w:space="0" w:color="auto"/>
        <w:right w:val="none" w:sz="0" w:space="0" w:color="auto"/>
      </w:divBdr>
    </w:div>
    <w:div w:id="959997319">
      <w:bodyDiv w:val="1"/>
      <w:marLeft w:val="0"/>
      <w:marRight w:val="0"/>
      <w:marTop w:val="0"/>
      <w:marBottom w:val="0"/>
      <w:divBdr>
        <w:top w:val="none" w:sz="0" w:space="0" w:color="auto"/>
        <w:left w:val="none" w:sz="0" w:space="0" w:color="auto"/>
        <w:bottom w:val="none" w:sz="0" w:space="0" w:color="auto"/>
        <w:right w:val="none" w:sz="0" w:space="0" w:color="auto"/>
      </w:divBdr>
      <w:divsChild>
        <w:div w:id="620574832">
          <w:marLeft w:val="0"/>
          <w:marRight w:val="0"/>
          <w:marTop w:val="0"/>
          <w:marBottom w:val="0"/>
          <w:divBdr>
            <w:top w:val="none" w:sz="0" w:space="0" w:color="auto"/>
            <w:left w:val="none" w:sz="0" w:space="0" w:color="auto"/>
            <w:bottom w:val="none" w:sz="0" w:space="0" w:color="auto"/>
            <w:right w:val="none" w:sz="0" w:space="0" w:color="auto"/>
          </w:divBdr>
        </w:div>
      </w:divsChild>
    </w:div>
    <w:div w:id="972908825">
      <w:bodyDiv w:val="1"/>
      <w:marLeft w:val="0"/>
      <w:marRight w:val="0"/>
      <w:marTop w:val="0"/>
      <w:marBottom w:val="0"/>
      <w:divBdr>
        <w:top w:val="none" w:sz="0" w:space="0" w:color="auto"/>
        <w:left w:val="none" w:sz="0" w:space="0" w:color="auto"/>
        <w:bottom w:val="none" w:sz="0" w:space="0" w:color="auto"/>
        <w:right w:val="none" w:sz="0" w:space="0" w:color="auto"/>
      </w:divBdr>
    </w:div>
    <w:div w:id="1011489617">
      <w:bodyDiv w:val="1"/>
      <w:marLeft w:val="0"/>
      <w:marRight w:val="0"/>
      <w:marTop w:val="0"/>
      <w:marBottom w:val="0"/>
      <w:divBdr>
        <w:top w:val="none" w:sz="0" w:space="0" w:color="auto"/>
        <w:left w:val="none" w:sz="0" w:space="0" w:color="auto"/>
        <w:bottom w:val="none" w:sz="0" w:space="0" w:color="auto"/>
        <w:right w:val="none" w:sz="0" w:space="0" w:color="auto"/>
      </w:divBdr>
    </w:div>
    <w:div w:id="1030882860">
      <w:bodyDiv w:val="1"/>
      <w:marLeft w:val="0"/>
      <w:marRight w:val="0"/>
      <w:marTop w:val="0"/>
      <w:marBottom w:val="0"/>
      <w:divBdr>
        <w:top w:val="none" w:sz="0" w:space="0" w:color="auto"/>
        <w:left w:val="none" w:sz="0" w:space="0" w:color="auto"/>
        <w:bottom w:val="none" w:sz="0" w:space="0" w:color="auto"/>
        <w:right w:val="none" w:sz="0" w:space="0" w:color="auto"/>
      </w:divBdr>
    </w:div>
    <w:div w:id="1101491220">
      <w:bodyDiv w:val="1"/>
      <w:marLeft w:val="0"/>
      <w:marRight w:val="0"/>
      <w:marTop w:val="0"/>
      <w:marBottom w:val="0"/>
      <w:divBdr>
        <w:top w:val="none" w:sz="0" w:space="0" w:color="auto"/>
        <w:left w:val="none" w:sz="0" w:space="0" w:color="auto"/>
        <w:bottom w:val="none" w:sz="0" w:space="0" w:color="auto"/>
        <w:right w:val="none" w:sz="0" w:space="0" w:color="auto"/>
      </w:divBdr>
    </w:div>
    <w:div w:id="1106191924">
      <w:bodyDiv w:val="1"/>
      <w:marLeft w:val="0"/>
      <w:marRight w:val="0"/>
      <w:marTop w:val="0"/>
      <w:marBottom w:val="0"/>
      <w:divBdr>
        <w:top w:val="none" w:sz="0" w:space="0" w:color="auto"/>
        <w:left w:val="none" w:sz="0" w:space="0" w:color="auto"/>
        <w:bottom w:val="none" w:sz="0" w:space="0" w:color="auto"/>
        <w:right w:val="none" w:sz="0" w:space="0" w:color="auto"/>
      </w:divBdr>
    </w:div>
    <w:div w:id="1151825085">
      <w:bodyDiv w:val="1"/>
      <w:marLeft w:val="0"/>
      <w:marRight w:val="0"/>
      <w:marTop w:val="0"/>
      <w:marBottom w:val="0"/>
      <w:divBdr>
        <w:top w:val="none" w:sz="0" w:space="0" w:color="auto"/>
        <w:left w:val="none" w:sz="0" w:space="0" w:color="auto"/>
        <w:bottom w:val="none" w:sz="0" w:space="0" w:color="auto"/>
        <w:right w:val="none" w:sz="0" w:space="0" w:color="auto"/>
      </w:divBdr>
    </w:div>
    <w:div w:id="1181698861">
      <w:bodyDiv w:val="1"/>
      <w:marLeft w:val="0"/>
      <w:marRight w:val="0"/>
      <w:marTop w:val="0"/>
      <w:marBottom w:val="0"/>
      <w:divBdr>
        <w:top w:val="none" w:sz="0" w:space="0" w:color="auto"/>
        <w:left w:val="none" w:sz="0" w:space="0" w:color="auto"/>
        <w:bottom w:val="none" w:sz="0" w:space="0" w:color="auto"/>
        <w:right w:val="none" w:sz="0" w:space="0" w:color="auto"/>
      </w:divBdr>
    </w:div>
    <w:div w:id="1198934654">
      <w:bodyDiv w:val="1"/>
      <w:marLeft w:val="0"/>
      <w:marRight w:val="0"/>
      <w:marTop w:val="0"/>
      <w:marBottom w:val="0"/>
      <w:divBdr>
        <w:top w:val="none" w:sz="0" w:space="0" w:color="auto"/>
        <w:left w:val="none" w:sz="0" w:space="0" w:color="auto"/>
        <w:bottom w:val="none" w:sz="0" w:space="0" w:color="auto"/>
        <w:right w:val="none" w:sz="0" w:space="0" w:color="auto"/>
      </w:divBdr>
    </w:div>
    <w:div w:id="1290819625">
      <w:bodyDiv w:val="1"/>
      <w:marLeft w:val="0"/>
      <w:marRight w:val="0"/>
      <w:marTop w:val="0"/>
      <w:marBottom w:val="0"/>
      <w:divBdr>
        <w:top w:val="none" w:sz="0" w:space="0" w:color="auto"/>
        <w:left w:val="none" w:sz="0" w:space="0" w:color="auto"/>
        <w:bottom w:val="none" w:sz="0" w:space="0" w:color="auto"/>
        <w:right w:val="none" w:sz="0" w:space="0" w:color="auto"/>
      </w:divBdr>
    </w:div>
    <w:div w:id="1353458076">
      <w:bodyDiv w:val="1"/>
      <w:marLeft w:val="0"/>
      <w:marRight w:val="0"/>
      <w:marTop w:val="0"/>
      <w:marBottom w:val="0"/>
      <w:divBdr>
        <w:top w:val="none" w:sz="0" w:space="0" w:color="auto"/>
        <w:left w:val="none" w:sz="0" w:space="0" w:color="auto"/>
        <w:bottom w:val="none" w:sz="0" w:space="0" w:color="auto"/>
        <w:right w:val="none" w:sz="0" w:space="0" w:color="auto"/>
      </w:divBdr>
    </w:div>
    <w:div w:id="1474062874">
      <w:bodyDiv w:val="1"/>
      <w:marLeft w:val="0"/>
      <w:marRight w:val="0"/>
      <w:marTop w:val="0"/>
      <w:marBottom w:val="0"/>
      <w:divBdr>
        <w:top w:val="none" w:sz="0" w:space="0" w:color="auto"/>
        <w:left w:val="none" w:sz="0" w:space="0" w:color="auto"/>
        <w:bottom w:val="none" w:sz="0" w:space="0" w:color="auto"/>
        <w:right w:val="none" w:sz="0" w:space="0" w:color="auto"/>
      </w:divBdr>
    </w:div>
    <w:div w:id="1487235615">
      <w:bodyDiv w:val="1"/>
      <w:marLeft w:val="0"/>
      <w:marRight w:val="0"/>
      <w:marTop w:val="0"/>
      <w:marBottom w:val="0"/>
      <w:divBdr>
        <w:top w:val="none" w:sz="0" w:space="0" w:color="auto"/>
        <w:left w:val="none" w:sz="0" w:space="0" w:color="auto"/>
        <w:bottom w:val="none" w:sz="0" w:space="0" w:color="auto"/>
        <w:right w:val="none" w:sz="0" w:space="0" w:color="auto"/>
      </w:divBdr>
    </w:div>
    <w:div w:id="1507282204">
      <w:bodyDiv w:val="1"/>
      <w:marLeft w:val="0"/>
      <w:marRight w:val="0"/>
      <w:marTop w:val="0"/>
      <w:marBottom w:val="0"/>
      <w:divBdr>
        <w:top w:val="none" w:sz="0" w:space="0" w:color="auto"/>
        <w:left w:val="none" w:sz="0" w:space="0" w:color="auto"/>
        <w:bottom w:val="none" w:sz="0" w:space="0" w:color="auto"/>
        <w:right w:val="none" w:sz="0" w:space="0" w:color="auto"/>
      </w:divBdr>
    </w:div>
    <w:div w:id="1508209772">
      <w:bodyDiv w:val="1"/>
      <w:marLeft w:val="0"/>
      <w:marRight w:val="0"/>
      <w:marTop w:val="0"/>
      <w:marBottom w:val="0"/>
      <w:divBdr>
        <w:top w:val="none" w:sz="0" w:space="0" w:color="auto"/>
        <w:left w:val="none" w:sz="0" w:space="0" w:color="auto"/>
        <w:bottom w:val="none" w:sz="0" w:space="0" w:color="auto"/>
        <w:right w:val="none" w:sz="0" w:space="0" w:color="auto"/>
      </w:divBdr>
    </w:div>
    <w:div w:id="1575893545">
      <w:bodyDiv w:val="1"/>
      <w:marLeft w:val="0"/>
      <w:marRight w:val="0"/>
      <w:marTop w:val="0"/>
      <w:marBottom w:val="0"/>
      <w:divBdr>
        <w:top w:val="none" w:sz="0" w:space="0" w:color="auto"/>
        <w:left w:val="none" w:sz="0" w:space="0" w:color="auto"/>
        <w:bottom w:val="none" w:sz="0" w:space="0" w:color="auto"/>
        <w:right w:val="none" w:sz="0" w:space="0" w:color="auto"/>
      </w:divBdr>
    </w:div>
    <w:div w:id="1667439299">
      <w:bodyDiv w:val="1"/>
      <w:marLeft w:val="0"/>
      <w:marRight w:val="0"/>
      <w:marTop w:val="0"/>
      <w:marBottom w:val="0"/>
      <w:divBdr>
        <w:top w:val="none" w:sz="0" w:space="0" w:color="auto"/>
        <w:left w:val="none" w:sz="0" w:space="0" w:color="auto"/>
        <w:bottom w:val="none" w:sz="0" w:space="0" w:color="auto"/>
        <w:right w:val="none" w:sz="0" w:space="0" w:color="auto"/>
      </w:divBdr>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7924">
      <w:bodyDiv w:val="1"/>
      <w:marLeft w:val="0"/>
      <w:marRight w:val="0"/>
      <w:marTop w:val="0"/>
      <w:marBottom w:val="0"/>
      <w:divBdr>
        <w:top w:val="none" w:sz="0" w:space="0" w:color="auto"/>
        <w:left w:val="none" w:sz="0" w:space="0" w:color="auto"/>
        <w:bottom w:val="none" w:sz="0" w:space="0" w:color="auto"/>
        <w:right w:val="none" w:sz="0" w:space="0" w:color="auto"/>
      </w:divBdr>
    </w:div>
    <w:div w:id="1762683321">
      <w:bodyDiv w:val="1"/>
      <w:marLeft w:val="0"/>
      <w:marRight w:val="0"/>
      <w:marTop w:val="0"/>
      <w:marBottom w:val="0"/>
      <w:divBdr>
        <w:top w:val="none" w:sz="0" w:space="0" w:color="auto"/>
        <w:left w:val="none" w:sz="0" w:space="0" w:color="auto"/>
        <w:bottom w:val="none" w:sz="0" w:space="0" w:color="auto"/>
        <w:right w:val="none" w:sz="0" w:space="0" w:color="auto"/>
      </w:divBdr>
    </w:div>
    <w:div w:id="1763598047">
      <w:bodyDiv w:val="1"/>
      <w:marLeft w:val="0"/>
      <w:marRight w:val="0"/>
      <w:marTop w:val="0"/>
      <w:marBottom w:val="0"/>
      <w:divBdr>
        <w:top w:val="none" w:sz="0" w:space="0" w:color="auto"/>
        <w:left w:val="none" w:sz="0" w:space="0" w:color="auto"/>
        <w:bottom w:val="none" w:sz="0" w:space="0" w:color="auto"/>
        <w:right w:val="none" w:sz="0" w:space="0" w:color="auto"/>
      </w:divBdr>
    </w:div>
    <w:div w:id="1778872142">
      <w:bodyDiv w:val="1"/>
      <w:marLeft w:val="0"/>
      <w:marRight w:val="0"/>
      <w:marTop w:val="0"/>
      <w:marBottom w:val="0"/>
      <w:divBdr>
        <w:top w:val="none" w:sz="0" w:space="0" w:color="auto"/>
        <w:left w:val="none" w:sz="0" w:space="0" w:color="auto"/>
        <w:bottom w:val="none" w:sz="0" w:space="0" w:color="auto"/>
        <w:right w:val="none" w:sz="0" w:space="0" w:color="auto"/>
      </w:divBdr>
    </w:div>
    <w:div w:id="1847134290">
      <w:bodyDiv w:val="1"/>
      <w:marLeft w:val="0"/>
      <w:marRight w:val="0"/>
      <w:marTop w:val="0"/>
      <w:marBottom w:val="0"/>
      <w:divBdr>
        <w:top w:val="none" w:sz="0" w:space="0" w:color="auto"/>
        <w:left w:val="none" w:sz="0" w:space="0" w:color="auto"/>
        <w:bottom w:val="none" w:sz="0" w:space="0" w:color="auto"/>
        <w:right w:val="none" w:sz="0" w:space="0" w:color="auto"/>
      </w:divBdr>
    </w:div>
    <w:div w:id="1900899510">
      <w:bodyDiv w:val="1"/>
      <w:marLeft w:val="0"/>
      <w:marRight w:val="0"/>
      <w:marTop w:val="0"/>
      <w:marBottom w:val="0"/>
      <w:divBdr>
        <w:top w:val="none" w:sz="0" w:space="0" w:color="auto"/>
        <w:left w:val="none" w:sz="0" w:space="0" w:color="auto"/>
        <w:bottom w:val="none" w:sz="0" w:space="0" w:color="auto"/>
        <w:right w:val="none" w:sz="0" w:space="0" w:color="auto"/>
      </w:divBdr>
    </w:div>
    <w:div w:id="2110538210">
      <w:bodyDiv w:val="1"/>
      <w:marLeft w:val="0"/>
      <w:marRight w:val="0"/>
      <w:marTop w:val="0"/>
      <w:marBottom w:val="0"/>
      <w:divBdr>
        <w:top w:val="none" w:sz="0" w:space="0" w:color="auto"/>
        <w:left w:val="none" w:sz="0" w:space="0" w:color="auto"/>
        <w:bottom w:val="none" w:sz="0" w:space="0" w:color="auto"/>
        <w:right w:val="none" w:sz="0" w:space="0" w:color="auto"/>
      </w:divBdr>
      <w:divsChild>
        <w:div w:id="975376308">
          <w:marLeft w:val="0"/>
          <w:marRight w:val="0"/>
          <w:marTop w:val="0"/>
          <w:marBottom w:val="0"/>
          <w:divBdr>
            <w:top w:val="none" w:sz="0" w:space="0" w:color="auto"/>
            <w:left w:val="none" w:sz="0" w:space="0" w:color="auto"/>
            <w:bottom w:val="none" w:sz="0" w:space="0" w:color="auto"/>
            <w:right w:val="none" w:sz="0" w:space="0" w:color="auto"/>
          </w:divBdr>
          <w:divsChild>
            <w:div w:id="151871156">
              <w:marLeft w:val="0"/>
              <w:marRight w:val="0"/>
              <w:marTop w:val="0"/>
              <w:marBottom w:val="0"/>
              <w:divBdr>
                <w:top w:val="none" w:sz="0" w:space="0" w:color="auto"/>
                <w:left w:val="none" w:sz="0" w:space="0" w:color="auto"/>
                <w:bottom w:val="none" w:sz="0" w:space="0" w:color="auto"/>
                <w:right w:val="none" w:sz="0" w:space="0" w:color="auto"/>
              </w:divBdr>
              <w:divsChild>
                <w:div w:id="776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E63BEFF-F6B4-4AC9-B59F-A88BBBC32784}"/>
</file>

<file path=customXml/itemProps2.xml><?xml version="1.0" encoding="utf-8"?>
<ds:datastoreItem xmlns:ds="http://schemas.openxmlformats.org/officeDocument/2006/customXml" ds:itemID="{2B38DF77-E896-4780-ABA9-5CC8FF044451}"/>
</file>

<file path=customXml/itemProps3.xml><?xml version="1.0" encoding="utf-8"?>
<ds:datastoreItem xmlns:ds="http://schemas.openxmlformats.org/officeDocument/2006/customXml" ds:itemID="{32D271EB-B83C-4A86-B31F-A05C378A637C}"/>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 Urrego</cp:lastModifiedBy>
  <cp:revision>3</cp:revision>
  <dcterms:created xsi:type="dcterms:W3CDTF">2020-10-23T00:02:00Z</dcterms:created>
  <dcterms:modified xsi:type="dcterms:W3CDTF">2020-10-23T03:08:00Z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