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7ADB" w14:textId="77777777" w:rsidR="00E27BDF" w:rsidRDefault="006C0DA8">
      <w:pPr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p w14:paraId="72B4F0CF" w14:textId="77777777" w:rsidR="00E27BDF" w:rsidRPr="00342184" w:rsidRDefault="006C0DA8">
      <w:pPr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Pr="00342184">
        <w:rPr>
          <w:rFonts w:ascii="Arial" w:eastAsia="Arial" w:hAnsi="Arial" w:cs="Arial"/>
          <w:b/>
          <w:color w:val="000000"/>
          <w:sz w:val="16"/>
          <w:szCs w:val="16"/>
        </w:rPr>
        <w:t>CCE-DES-FM-17</w:t>
      </w:r>
    </w:p>
    <w:p w14:paraId="22871975" w14:textId="77777777" w:rsidR="00E27BDF" w:rsidRPr="00342184" w:rsidRDefault="00E27BDF">
      <w:pPr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3E8527B" w14:textId="77777777" w:rsidR="00E27BDF" w:rsidRPr="00342184" w:rsidRDefault="006C0DA8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>MIPYME – Noción y alcance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2B0FC44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E614F10" w14:textId="214144E6" w:rsidR="00852A28" w:rsidRPr="00852A28" w:rsidRDefault="00852A28" w:rsidP="00852A28">
      <w:pPr>
        <w:jc w:val="both"/>
        <w:rPr>
          <w:rFonts w:ascii="Arial" w:eastAsia="Arial" w:hAnsi="Arial" w:cs="Arial"/>
          <w:color w:val="000000"/>
          <w:sz w:val="20"/>
          <w:szCs w:val="21"/>
        </w:rPr>
      </w:pPr>
      <w:r w:rsidRPr="00852A28">
        <w:rPr>
          <w:rFonts w:ascii="Arial" w:eastAsia="Arial" w:hAnsi="Arial" w:cs="Arial"/>
          <w:color w:val="000000"/>
          <w:sz w:val="20"/>
          <w:szCs w:val="21"/>
        </w:rPr>
        <w:t xml:space="preserve">[…] </w:t>
      </w:r>
      <w:r w:rsidR="00954389">
        <w:rPr>
          <w:rFonts w:ascii="Arial" w:eastAsia="Arial" w:hAnsi="Arial" w:cs="Arial"/>
          <w:color w:val="000000"/>
          <w:sz w:val="20"/>
          <w:szCs w:val="21"/>
        </w:rPr>
        <w:t>E</w:t>
      </w:r>
      <w:r w:rsidRPr="00852A28">
        <w:rPr>
          <w:rFonts w:ascii="Arial" w:eastAsia="Arial" w:hAnsi="Arial" w:cs="Arial"/>
          <w:color w:val="000000"/>
          <w:sz w:val="20"/>
          <w:szCs w:val="21"/>
        </w:rPr>
        <w:t xml:space="preserve">l artículo 2.2.1.13.2.2. del Decreto 1074 de 2015, adicionado por el Decreto 957 de 2019, dispone que: i) la mediana empresa, en el sector manufacturero, es aquella que tiene «ingresos por actividades ordinarias anuales sean superiores a doscientos cuatro mil novecientos noventa y cinco Unidades Valor», en el sector servicios, la que sus «ingresos por actividades ordinarias anuales sean superiores a ciento treinta y un mil novecientos cincuenta y un Unidades de Valor Tributario (131.951 UVT) e inferiores o iguales a cuatrocientos ochenta y mil treinta y cuatro Unidades Valor Tributario (483.034 UVT)», y en el sector comercio, la que sus «ingresos por actividades ordinarias anuales sean superiores a cuatrocientos treinta y un mil ciento noventa y seis Unidades de Valor Tributario (431.196 UVT) e inferiores o iguales a dos millones ciento sesenta mil seiscientos noventa y dos Unidades de Valor Tributario (2'160.692 UVT)»;  ii) la pequeña empresa en el sector manufacturero, es aquella que tiene «ingresos por actividades ordinarias anuales sean superiores a veintitrés mil quinientos sesenta y Unidades de Valor Tributario (23.563 UVT) e inferiores o iguales a doscientos cuatro mil novecientos noventa y cinco Unidades de Valor Tributario (204.995 UVT)», en el sector servicios, la que sus «ingresos por actividades ordinarias anuales sean superiores a treinta y mil novecientos ochenta y ocho Unidades Valor Tributario (32.988 UVT) e inferiores o iguales a ciento treinta y un mil novecientos cincuenta y uno Unidades Valor Tributario (131 1 UVT)», y en el sector comercio, la que sus «ingresos por actividades ordinarias </w:t>
      </w:r>
      <w:proofErr w:type="spellStart"/>
      <w:r w:rsidRPr="00852A28">
        <w:rPr>
          <w:rFonts w:ascii="Arial" w:eastAsia="Arial" w:hAnsi="Arial" w:cs="Arial"/>
          <w:color w:val="000000"/>
          <w:sz w:val="20"/>
          <w:szCs w:val="21"/>
        </w:rPr>
        <w:t>an</w:t>
      </w:r>
      <w:proofErr w:type="spellEnd"/>
      <w:r w:rsidRPr="00852A28">
        <w:rPr>
          <w:rFonts w:ascii="Arial" w:eastAsia="Arial" w:hAnsi="Arial" w:cs="Arial"/>
          <w:color w:val="000000"/>
          <w:sz w:val="20"/>
          <w:szCs w:val="21"/>
        </w:rPr>
        <w:t xml:space="preserve"> sean superiores a y cuatro mil setecientos y nueve Unidades de Valor Tributario (44.769 UVT) e inferiores o iguales a cuatrocientos y un mil ciento noventa y seis Unidades de Valor Tributario (431.196 UVT)»; y iii) la microempresa en el sector manufacturero, es aquella que tiene «ingresos por actividades ordinarias sean inferiores o iguales a mil quinientos y tres Unidades Valor Tributario (23.563 UVT)», en el sector servicios, la que sus «ingresos por actividades ordinarias anuales sean inferiores o iguales a treinta y dos mil novecientos ochenta y ocho de Valor Tributario (32.988 UVT)», y en el sector comercio, la que sus « ingresos por actividades ordinarias anuales sean inferiores o a cuarenta y cuatro mil setecientos y nueve Unidades de Valor Tributario (44.769 UVT)» .</w:t>
      </w:r>
    </w:p>
    <w:p w14:paraId="64070FA1" w14:textId="77777777" w:rsidR="00852A28" w:rsidRPr="00D65FA5" w:rsidRDefault="00852A28" w:rsidP="00D65FA5">
      <w:pPr>
        <w:jc w:val="both"/>
        <w:rPr>
          <w:rFonts w:ascii="Arial" w:eastAsia="Arial" w:hAnsi="Arial" w:cs="Arial"/>
          <w:color w:val="000000"/>
          <w:sz w:val="20"/>
          <w:szCs w:val="21"/>
        </w:rPr>
      </w:pPr>
    </w:p>
    <w:p w14:paraId="3400D5DA" w14:textId="77777777" w:rsidR="00246E9A" w:rsidRPr="00342184" w:rsidRDefault="00246E9A">
      <w:pP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2C4E565" w14:textId="77777777" w:rsidR="00E27BDF" w:rsidRPr="00342184" w:rsidRDefault="006C0DA8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 xml:space="preserve">MIPYMES – Incentivos contractuales </w:t>
      </w:r>
    </w:p>
    <w:p w14:paraId="36A1340D" w14:textId="77777777" w:rsidR="00E27BDF" w:rsidRPr="00342184" w:rsidRDefault="00E27BDF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56A0D3" w14:textId="77777777" w:rsidR="00E27BDF" w:rsidRPr="00342184" w:rsidRDefault="006C0DA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A través del Decreto 1082 de 2015, el Gobierno Nacional reglamentó el artículo 12 de la Ley 1150 de 2007 ─posteriormente modificado por el artículo 32 de la Ley 1450 de 2011─, adoptando medidas para incentivar la contratación pública, dentro de las que se pueden resaltar la «limitación territorial» a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y las «convocatorias limitadas a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>», contenidas, respectivamente, en los artículos 2.2.1.2.4.2.3.  y 2.2.1.2.4.2.2. del Decreto 1082 de 2015.</w:t>
      </w:r>
    </w:p>
    <w:p w14:paraId="5364B124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8ECA0E5" w14:textId="77777777" w:rsidR="00E27BDF" w:rsidRPr="00342184" w:rsidRDefault="006C0DA8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 xml:space="preserve">MIPYMES NACIONALES – Inexistencia de </w:t>
      </w:r>
      <w:proofErr w:type="spellStart"/>
      <w:r w:rsidRPr="00342184">
        <w:rPr>
          <w:rFonts w:ascii="Arial" w:eastAsia="Arial" w:hAnsi="Arial" w:cs="Arial"/>
          <w:b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b/>
          <w:color w:val="000000"/>
          <w:sz w:val="22"/>
          <w:szCs w:val="22"/>
        </w:rPr>
        <w:t xml:space="preserve"> del orden territorial</w:t>
      </w:r>
    </w:p>
    <w:p w14:paraId="08E563D6" w14:textId="77777777" w:rsidR="00E27BDF" w:rsidRPr="00342184" w:rsidRDefault="00E27BDF">
      <w:pP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333B8C5" w14:textId="2399A7FD" w:rsidR="00E27BDF" w:rsidRPr="00342184" w:rsidRDefault="006C0DA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Los artículos 2.2.1.2.4.2.3. y 2.2.1.2.4.2.2. del Decreto 1082 de 2015 </w:t>
      </w:r>
      <w:r w:rsidRPr="00974A04">
        <w:rPr>
          <w:rFonts w:ascii="Arial" w:eastAsia="Arial" w:hAnsi="Arial" w:cs="Arial"/>
          <w:color w:val="000000"/>
          <w:sz w:val="20"/>
          <w:szCs w:val="20"/>
        </w:rPr>
        <w:t>se refieren</w:t>
      </w: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a las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 genéricamente y, particularmente, a las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 «domiciliadas en los departamentos o municipios en donde se va a ejecutar el contrato». En ambos casos</w:t>
      </w:r>
      <w:r w:rsidR="00852A28">
        <w:rPr>
          <w:rFonts w:ascii="Arial" w:eastAsia="Arial" w:hAnsi="Arial" w:cs="Arial"/>
          <w:color w:val="000000"/>
          <w:sz w:val="20"/>
          <w:szCs w:val="20"/>
        </w:rPr>
        <w:t xml:space="preserve"> alude a</w:t>
      </w: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nacionales, distinguiéndolas de las empresas extranjeras. Del artículo 2.2.1.2.4.2.3. del Decreto 1082 de 2015 no se deriva que</w:t>
      </w:r>
      <w:r w:rsidR="00852A28">
        <w:rPr>
          <w:rFonts w:ascii="Arial" w:eastAsia="Arial" w:hAnsi="Arial" w:cs="Arial"/>
          <w:color w:val="000000"/>
          <w:sz w:val="20"/>
          <w:szCs w:val="20"/>
        </w:rPr>
        <w:t xml:space="preserve"> haya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del orden territorial. Esta categoría no </w:t>
      </w:r>
      <w:r w:rsidRPr="00974A04">
        <w:rPr>
          <w:rFonts w:ascii="Arial" w:eastAsia="Arial" w:hAnsi="Arial" w:cs="Arial"/>
          <w:color w:val="000000"/>
          <w:sz w:val="20"/>
          <w:szCs w:val="20"/>
        </w:rPr>
        <w:t>existe</w:t>
      </w: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en el ordenamiento jurídico. En ese sentido, toda empresa constituida bajo las leyes colombianas o que tenga su domicilio principal en el territorio colombiano y, además, cumpla los criterios previstos por la Ley 590 de 2000 y el Decreto 957 de 2019, será considerada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del orden nacional. Otra </w:t>
      </w:r>
      <w:r w:rsidRPr="00342184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cosa es que las normas de contratación permitan que las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 con «domicilio» en un municipio o </w:t>
      </w:r>
      <w:r w:rsidR="008E4343" w:rsidRPr="00342184">
        <w:rPr>
          <w:rFonts w:ascii="Arial" w:eastAsia="Arial" w:hAnsi="Arial" w:cs="Arial"/>
          <w:color w:val="000000"/>
          <w:sz w:val="20"/>
          <w:szCs w:val="20"/>
        </w:rPr>
        <w:t>departamento</w:t>
      </w:r>
      <w:r w:rsidR="008E434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E4343" w:rsidRPr="00342184">
        <w:rPr>
          <w:rFonts w:ascii="Arial" w:eastAsia="Arial" w:hAnsi="Arial" w:cs="Arial"/>
          <w:color w:val="000000"/>
          <w:sz w:val="20"/>
          <w:szCs w:val="20"/>
        </w:rPr>
        <w:t>puedan</w:t>
      </w: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beneficiarse en la ejecución de un contrato dentro de la entidad territorial en la que tienen su «domicilio». De todos modos, las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domiciliadas en un municipio o departamento son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nacionales. En consecuencia, no es procedente distinguir entre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 y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municipales o departamentales, habida cuenta que estas últimas no existen como categoría dentro del ordenamiento normativo.</w:t>
      </w:r>
    </w:p>
    <w:p w14:paraId="6A422001" w14:textId="76496E32" w:rsidR="00E27BDF" w:rsidRPr="00342184" w:rsidRDefault="00E27BDF">
      <w:pP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5D2B4D0" w14:textId="77777777" w:rsidR="00E27BDF" w:rsidRPr="00342184" w:rsidRDefault="006C0DA8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>CONVOCATORIAS LIMITADAS A MIPYMES NACIONALES – Procedencia de la «limitación territorial»</w:t>
      </w:r>
    </w:p>
    <w:p w14:paraId="7F6F38FF" w14:textId="77777777" w:rsidR="00E27BDF" w:rsidRPr="00342184" w:rsidRDefault="00E27BDF">
      <w:pP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8EA79A2" w14:textId="6C3BEDC5" w:rsidR="00E27BDF" w:rsidRPr="00342184" w:rsidRDefault="006C0DA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[…] La limitación a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 a la que se refiere el artículo 2.2.1.2.4.2.2. del Decreto 1082 de 2015 oper</w:t>
      </w:r>
      <w:r w:rsidR="007D4F27">
        <w:rPr>
          <w:rFonts w:ascii="Arial" w:eastAsia="Arial" w:hAnsi="Arial" w:cs="Arial"/>
          <w:color w:val="000000"/>
          <w:sz w:val="20"/>
          <w:szCs w:val="20"/>
        </w:rPr>
        <w:t xml:space="preserve">a en la medida en que por lo menos 3 </w:t>
      </w:r>
      <w:proofErr w:type="spellStart"/>
      <w:r w:rsidR="007D4F27">
        <w:rPr>
          <w:rFonts w:ascii="Arial" w:eastAsia="Arial" w:hAnsi="Arial" w:cs="Arial"/>
          <w:color w:val="000000"/>
          <w:sz w:val="20"/>
          <w:szCs w:val="20"/>
        </w:rPr>
        <w:t>Mipymes</w:t>
      </w:r>
      <w:proofErr w:type="spellEnd"/>
      <w:r w:rsidR="00974A04">
        <w:rPr>
          <w:rFonts w:ascii="Arial" w:eastAsia="Arial" w:hAnsi="Arial" w:cs="Arial"/>
          <w:color w:val="000000"/>
          <w:sz w:val="20"/>
          <w:szCs w:val="20"/>
        </w:rPr>
        <w:t xml:space="preserve"> lo </w:t>
      </w:r>
      <w:proofErr w:type="gramStart"/>
      <w:r w:rsidR="00974A04">
        <w:rPr>
          <w:rFonts w:ascii="Arial" w:eastAsia="Arial" w:hAnsi="Arial" w:cs="Arial"/>
          <w:color w:val="000000"/>
          <w:sz w:val="20"/>
          <w:szCs w:val="20"/>
        </w:rPr>
        <w:t xml:space="preserve">soliciten, </w:t>
      </w: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pero</w:t>
      </w:r>
      <w:proofErr w:type="gram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no la «limitación territorial» referida en el artículo 2.2.1.2.4.2.3.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ibidem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, pues esta es facultativa de la entidad. Las únicas exigencias son que la convocatoria esté limitada «a </w:t>
      </w:r>
      <w:proofErr w:type="spellStart"/>
      <w:r w:rsidRPr="00342184">
        <w:rPr>
          <w:rFonts w:ascii="Arial" w:eastAsia="Arial" w:hAnsi="Arial" w:cs="Arial"/>
          <w:color w:val="000000"/>
          <w:sz w:val="20"/>
          <w:szCs w:val="20"/>
        </w:rPr>
        <w:t>Mipyme</w:t>
      </w:r>
      <w:proofErr w:type="spellEnd"/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nacionales domiciliadas en los departamentos o municipios en donde se va a ejecutar el contrato» y que la entidad justifique su decisión en los «estudios del sector».</w:t>
      </w:r>
    </w:p>
    <w:p w14:paraId="2CFA90FD" w14:textId="4E0F2FC0" w:rsidR="00E27BDF" w:rsidRPr="00342184" w:rsidRDefault="00E27BD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398FB2D" w14:textId="2CC09997" w:rsidR="00E27BDF" w:rsidRPr="00342184" w:rsidRDefault="006C0DA8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>CO</w:t>
      </w:r>
      <w:r w:rsidR="003D5501">
        <w:rPr>
          <w:rFonts w:ascii="Arial" w:eastAsia="Arial" w:hAnsi="Arial" w:cs="Arial"/>
          <w:b/>
          <w:color w:val="000000"/>
          <w:sz w:val="22"/>
          <w:szCs w:val="22"/>
        </w:rPr>
        <w:t>NVOCATORIAS LIMITADAS A MIPYMES</w:t>
      </w:r>
      <w:r w:rsidR="001E3DE8">
        <w:rPr>
          <w:rFonts w:ascii="Arial" w:eastAsia="Arial" w:hAnsi="Arial" w:cs="Arial"/>
          <w:b/>
          <w:color w:val="000000"/>
          <w:sz w:val="22"/>
          <w:szCs w:val="22"/>
        </w:rPr>
        <w:t xml:space="preserve"> – Requisitos</w:t>
      </w:r>
    </w:p>
    <w:p w14:paraId="3EE8A8D7" w14:textId="77777777" w:rsidR="00E27BDF" w:rsidRPr="00342184" w:rsidRDefault="00E27BDF">
      <w:pP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7E5D1952" w14:textId="2A8873A5" w:rsidR="003D5501" w:rsidRPr="003D5501" w:rsidRDefault="006C0DA8" w:rsidP="00974A04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42184">
        <w:rPr>
          <w:rFonts w:ascii="Arial" w:eastAsia="Arial" w:hAnsi="Arial" w:cs="Arial"/>
          <w:color w:val="000000"/>
          <w:sz w:val="20"/>
          <w:szCs w:val="20"/>
        </w:rPr>
        <w:t>[…] el artículo 2.2.1.2.4.2.</w:t>
      </w:r>
      <w:r w:rsidR="003D5501">
        <w:rPr>
          <w:rFonts w:ascii="Arial" w:eastAsia="Arial" w:hAnsi="Arial" w:cs="Arial"/>
          <w:color w:val="000000"/>
          <w:sz w:val="20"/>
          <w:szCs w:val="20"/>
        </w:rPr>
        <w:t>2</w:t>
      </w: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. del Decreto 1082 de 2015 </w:t>
      </w:r>
      <w:r w:rsidR="003D5501">
        <w:rPr>
          <w:rFonts w:ascii="Arial" w:eastAsia="Arial" w:hAnsi="Arial" w:cs="Arial"/>
          <w:color w:val="000000"/>
          <w:sz w:val="20"/>
          <w:szCs w:val="20"/>
        </w:rPr>
        <w:t>señala</w:t>
      </w:r>
      <w:r w:rsidRPr="00342184">
        <w:rPr>
          <w:rFonts w:ascii="Arial" w:eastAsia="Arial" w:hAnsi="Arial" w:cs="Arial"/>
          <w:color w:val="000000"/>
          <w:sz w:val="20"/>
          <w:szCs w:val="20"/>
        </w:rPr>
        <w:t xml:space="preserve"> «</w:t>
      </w:r>
      <w:r w:rsidR="003D5501" w:rsidRPr="003D5501">
        <w:rPr>
          <w:rFonts w:ascii="Arial" w:eastAsia="Arial" w:hAnsi="Arial" w:cs="Arial"/>
          <w:color w:val="000000"/>
          <w:sz w:val="20"/>
          <w:szCs w:val="20"/>
        </w:rPr>
        <w:t xml:space="preserve">La Entidad Estatal debe limitar a las </w:t>
      </w:r>
      <w:proofErr w:type="spellStart"/>
      <w:r w:rsidR="003D5501" w:rsidRPr="003D5501">
        <w:rPr>
          <w:rFonts w:ascii="Arial" w:eastAsia="Arial" w:hAnsi="Arial" w:cs="Arial"/>
          <w:color w:val="000000"/>
          <w:sz w:val="20"/>
          <w:szCs w:val="20"/>
        </w:rPr>
        <w:t>Mipyme</w:t>
      </w:r>
      <w:proofErr w:type="spellEnd"/>
      <w:r w:rsidR="003D5501" w:rsidRPr="003D5501">
        <w:rPr>
          <w:rFonts w:ascii="Arial" w:eastAsia="Arial" w:hAnsi="Arial" w:cs="Arial"/>
          <w:color w:val="000000"/>
          <w:sz w:val="20"/>
          <w:szCs w:val="20"/>
        </w:rPr>
        <w:t xml:space="preserve"> nacionales con mínimo un (1) año de existencia la convocatoria del Proceso de Contratación en la modalidad de licitación pública, selección abreviada y concurso de méritos cuando:</w:t>
      </w:r>
    </w:p>
    <w:p w14:paraId="54A167D5" w14:textId="77777777" w:rsidR="003D5501" w:rsidRPr="003D5501" w:rsidRDefault="003D5501" w:rsidP="003D5501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5501">
        <w:rPr>
          <w:rFonts w:ascii="Arial" w:eastAsia="Arial" w:hAnsi="Arial" w:cs="Arial"/>
          <w:color w:val="000000"/>
          <w:sz w:val="20"/>
          <w:szCs w:val="20"/>
        </w:rPr>
        <w:t>1.    El valor del Proceso de Contratación es menor a ciento veinticinco mil dólares de los Estados Unidos de América (US$125.000), liquidados con la tasa de cambio que para el efecto determina cada dos años el Ministerio de Comercio, Industria y Turismo; y</w:t>
      </w:r>
    </w:p>
    <w:p w14:paraId="7EA2227C" w14:textId="37ED70CB" w:rsidR="00E27BDF" w:rsidRPr="00342184" w:rsidRDefault="003D5501" w:rsidP="003D5501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D5501">
        <w:rPr>
          <w:rFonts w:ascii="Arial" w:eastAsia="Arial" w:hAnsi="Arial" w:cs="Arial"/>
          <w:color w:val="000000"/>
          <w:sz w:val="20"/>
          <w:szCs w:val="20"/>
        </w:rPr>
        <w:t xml:space="preserve">2.    La Entidad Estatal ha recibido solicitudes de por lo menos tres (3) </w:t>
      </w:r>
      <w:proofErr w:type="spellStart"/>
      <w:r w:rsidRPr="003D5501">
        <w:rPr>
          <w:rFonts w:ascii="Arial" w:eastAsia="Arial" w:hAnsi="Arial" w:cs="Arial"/>
          <w:color w:val="000000"/>
          <w:sz w:val="20"/>
          <w:szCs w:val="20"/>
        </w:rPr>
        <w:t>Mipyme</w:t>
      </w:r>
      <w:proofErr w:type="spellEnd"/>
      <w:r w:rsidRPr="003D5501">
        <w:rPr>
          <w:rFonts w:ascii="Arial" w:eastAsia="Arial" w:hAnsi="Arial" w:cs="Arial"/>
          <w:color w:val="000000"/>
          <w:sz w:val="20"/>
          <w:szCs w:val="20"/>
        </w:rPr>
        <w:t xml:space="preserve"> nacionales para limitar la convocatoria a </w:t>
      </w:r>
      <w:proofErr w:type="spellStart"/>
      <w:r w:rsidRPr="003D5501">
        <w:rPr>
          <w:rFonts w:ascii="Arial" w:eastAsia="Arial" w:hAnsi="Arial" w:cs="Arial"/>
          <w:color w:val="000000"/>
          <w:sz w:val="20"/>
          <w:szCs w:val="20"/>
        </w:rPr>
        <w:t>Mipyme</w:t>
      </w:r>
      <w:proofErr w:type="spellEnd"/>
      <w:r w:rsidRPr="003D5501">
        <w:rPr>
          <w:rFonts w:ascii="Arial" w:eastAsia="Arial" w:hAnsi="Arial" w:cs="Arial"/>
          <w:color w:val="000000"/>
          <w:sz w:val="20"/>
          <w:szCs w:val="20"/>
        </w:rPr>
        <w:t xml:space="preserve"> nacionales. La Entidad Estatal debe recibir estas solicitudes por lo menos un (1) día hábil antes de la apertura del Proceso de Contratación</w:t>
      </w:r>
      <w:r w:rsidR="006C0DA8" w:rsidRPr="00342184">
        <w:rPr>
          <w:rFonts w:ascii="Arial" w:eastAsia="Arial" w:hAnsi="Arial" w:cs="Arial"/>
          <w:color w:val="000000"/>
          <w:sz w:val="20"/>
          <w:szCs w:val="20"/>
        </w:rPr>
        <w:t>»</w:t>
      </w:r>
      <w:r w:rsidR="00682D9F">
        <w:rPr>
          <w:rFonts w:ascii="Arial" w:eastAsia="Arial" w:hAnsi="Arial" w:cs="Arial"/>
          <w:color w:val="000000"/>
          <w:sz w:val="20"/>
          <w:szCs w:val="20"/>
        </w:rPr>
        <w:t>.</w:t>
      </w:r>
      <w:r w:rsidR="006C0DA8" w:rsidRPr="0034218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9A057BE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752CAA5" w14:textId="77777777" w:rsidR="00E27BDF" w:rsidRPr="00342184" w:rsidRDefault="00E27BDF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32A0FC9" w14:textId="4BB25938" w:rsidR="00E27BDF" w:rsidRDefault="006C0DA8" w:rsidP="0036269D">
      <w:pPr>
        <w:rPr>
          <w:rFonts w:ascii="Arial" w:eastAsia="Arial" w:hAnsi="Arial" w:cs="Arial"/>
          <w:sz w:val="22"/>
          <w:szCs w:val="22"/>
        </w:rPr>
      </w:pPr>
      <w:r w:rsidRPr="00342184">
        <w:rPr>
          <w:rFonts w:ascii="Arial" w:eastAsia="Arial" w:hAnsi="Arial" w:cs="Arial"/>
          <w:sz w:val="22"/>
          <w:szCs w:val="22"/>
        </w:rPr>
        <w:t xml:space="preserve">Bogotá D.C., </w:t>
      </w:r>
      <w:r w:rsidR="009D1B61">
        <w:rPr>
          <w:rFonts w:ascii="Arial" w:eastAsia="Arial" w:hAnsi="Arial" w:cs="Arial"/>
          <w:b/>
          <w:sz w:val="22"/>
          <w:szCs w:val="22"/>
          <w:lang w:val="es-MX"/>
        </w:rPr>
        <w:t>29/10/2020 13:54</w:t>
      </w:r>
      <w:r w:rsidR="009D1B61" w:rsidRPr="009D1B61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="009D1B61">
        <w:rPr>
          <w:rFonts w:ascii="Arial" w:eastAsia="Arial" w:hAnsi="Arial" w:cs="Arial"/>
          <w:b/>
          <w:sz w:val="22"/>
          <w:szCs w:val="22"/>
          <w:lang w:val="es-MX"/>
        </w:rPr>
        <w:t>40</w:t>
      </w:r>
      <w:r w:rsidR="009D1B61" w:rsidRPr="009D1B61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="009D1B61" w:rsidRPr="009D1B61" w:rsidDel="009D1B61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</w:p>
    <w:p w14:paraId="222118A1" w14:textId="77777777" w:rsidR="003D5501" w:rsidRPr="00342184" w:rsidRDefault="003D5501" w:rsidP="0036269D">
      <w:pPr>
        <w:rPr>
          <w:rFonts w:ascii="Arial" w:eastAsia="Arial" w:hAnsi="Arial" w:cs="Arial"/>
          <w:b/>
          <w:sz w:val="22"/>
          <w:szCs w:val="22"/>
        </w:rPr>
      </w:pPr>
    </w:p>
    <w:p w14:paraId="7FAC49B0" w14:textId="5090CDCA" w:rsidR="00E27BDF" w:rsidRPr="003D5501" w:rsidRDefault="006C0DA8" w:rsidP="003D5501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342184">
        <w:rPr>
          <w:rFonts w:ascii="Arial" w:eastAsia="Arial" w:hAnsi="Arial" w:cs="Arial"/>
          <w:b/>
          <w:sz w:val="22"/>
          <w:szCs w:val="22"/>
        </w:rPr>
        <w:t xml:space="preserve">N° Radicado: </w:t>
      </w:r>
      <w:r w:rsidR="003D5501" w:rsidRPr="003D5501">
        <w:rPr>
          <w:rFonts w:ascii="Arial" w:eastAsia="Arial" w:hAnsi="Arial" w:cs="Arial"/>
          <w:b/>
          <w:sz w:val="22"/>
          <w:szCs w:val="22"/>
        </w:rPr>
        <w:t xml:space="preserve"> </w:t>
      </w:r>
      <w:r w:rsidR="009D1B61">
        <w:rPr>
          <w:rFonts w:ascii="Arial" w:eastAsia="Arial" w:hAnsi="Arial" w:cs="Arial"/>
          <w:b/>
          <w:sz w:val="22"/>
          <w:szCs w:val="22"/>
        </w:rPr>
        <w:t>2202013000010752</w:t>
      </w:r>
    </w:p>
    <w:p w14:paraId="0F93E392" w14:textId="77777777" w:rsidR="00E27BDF" w:rsidRPr="00342184" w:rsidRDefault="00E27BDF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78E218B" w14:textId="165AF8D3" w:rsidR="00E27BDF" w:rsidRPr="00342184" w:rsidRDefault="006C0DA8">
      <w:pPr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>Señor</w:t>
      </w:r>
    </w:p>
    <w:p w14:paraId="14D1F3D3" w14:textId="77777777" w:rsidR="00B57AE8" w:rsidRDefault="00B57AE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Sergio Leal Noriega</w:t>
      </w:r>
    </w:p>
    <w:p w14:paraId="2335A75F" w14:textId="51F14EDC" w:rsidR="00E27BDF" w:rsidRPr="00B57AE8" w:rsidRDefault="00B57AE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Bucaramanga</w:t>
      </w:r>
      <w:r w:rsidR="00C47C86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Santander</w:t>
      </w:r>
    </w:p>
    <w:p w14:paraId="5C62B0CA" w14:textId="77777777" w:rsidR="00E27BDF" w:rsidRPr="00342184" w:rsidRDefault="00E27BDF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12527F3" w14:textId="77777777" w:rsidR="00E27BDF" w:rsidRPr="00342184" w:rsidRDefault="00E27BDF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97A64B4" w14:textId="34609FF4" w:rsidR="00E27BDF" w:rsidRPr="00342184" w:rsidRDefault="006C0DA8">
      <w:pPr>
        <w:ind w:firstLine="2694"/>
        <w:rPr>
          <w:rFonts w:ascii="Arial" w:eastAsia="Arial" w:hAnsi="Arial" w:cs="Arial"/>
          <w:b/>
          <w:color w:val="000000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 xml:space="preserve">Concepto C – </w:t>
      </w:r>
      <w:r w:rsidR="00835D98">
        <w:rPr>
          <w:rFonts w:ascii="Arial" w:eastAsia="Arial" w:hAnsi="Arial" w:cs="Arial"/>
          <w:b/>
          <w:color w:val="000000"/>
          <w:sz w:val="22"/>
          <w:szCs w:val="22"/>
        </w:rPr>
        <w:t>651</w:t>
      </w:r>
      <w:r w:rsidR="0095438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>de 2020</w:t>
      </w:r>
    </w:p>
    <w:p w14:paraId="0776158D" w14:textId="77777777" w:rsidR="00E27BDF" w:rsidRPr="00342184" w:rsidRDefault="00E27BDF">
      <w:pPr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tbl>
      <w:tblPr>
        <w:tblStyle w:val="a"/>
        <w:tblW w:w="89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237"/>
      </w:tblGrid>
      <w:tr w:rsidR="00E27BDF" w:rsidRPr="00342184" w14:paraId="322C87C9" w14:textId="77777777">
        <w:tc>
          <w:tcPr>
            <w:tcW w:w="2689" w:type="dxa"/>
          </w:tcPr>
          <w:p w14:paraId="582572A0" w14:textId="77777777" w:rsidR="00E27BDF" w:rsidRPr="00342184" w:rsidRDefault="006C0DA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4218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Temas:</w:t>
            </w:r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</w:t>
            </w:r>
          </w:p>
          <w:p w14:paraId="2FAB4B01" w14:textId="77777777" w:rsidR="00E27BDF" w:rsidRPr="00342184" w:rsidRDefault="006C0DA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237" w:type="dxa"/>
          </w:tcPr>
          <w:p w14:paraId="596927E6" w14:textId="63F6A6DC" w:rsidR="00E27BDF" w:rsidRPr="00342184" w:rsidRDefault="006C0DA8" w:rsidP="003D5501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MIPYME ― Noción y alcance / MIPYMES ― Incentivos contractuales / MIPYMES NACIONALES ― Inexistencia de </w:t>
            </w:r>
            <w:proofErr w:type="spellStart"/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>Mipymes</w:t>
            </w:r>
            <w:proofErr w:type="spellEnd"/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orden territorial / CONVOCATORIAS LIMITADAS A MIPYMES NACIONALES ― Procedencia de la «limitación </w:t>
            </w:r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territorial» / CONVOCATORIA</w:t>
            </w:r>
            <w:r w:rsidR="003D5501">
              <w:rPr>
                <w:rFonts w:ascii="Arial" w:eastAsia="Arial" w:hAnsi="Arial" w:cs="Arial"/>
                <w:color w:val="000000"/>
                <w:sz w:val="22"/>
                <w:szCs w:val="22"/>
              </w:rPr>
              <w:t>S LIMITADAS A MIPYMES</w:t>
            </w:r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― </w:t>
            </w:r>
            <w:r w:rsidR="003D5501">
              <w:rPr>
                <w:rFonts w:ascii="Arial" w:eastAsia="Arial" w:hAnsi="Arial" w:cs="Arial"/>
                <w:color w:val="000000"/>
                <w:sz w:val="22"/>
                <w:szCs w:val="22"/>
              </w:rPr>
              <w:t>Requisitos.</w:t>
            </w:r>
          </w:p>
        </w:tc>
      </w:tr>
      <w:tr w:rsidR="00E27BDF" w:rsidRPr="00342184" w14:paraId="2355401D" w14:textId="77777777">
        <w:tc>
          <w:tcPr>
            <w:tcW w:w="2689" w:type="dxa"/>
          </w:tcPr>
          <w:p w14:paraId="7161ECB4" w14:textId="77777777" w:rsidR="00E27BDF" w:rsidRPr="00342184" w:rsidRDefault="006C0DA8">
            <w:pPr>
              <w:spacing w:before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4218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Radicación:</w:t>
            </w:r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6237" w:type="dxa"/>
          </w:tcPr>
          <w:p w14:paraId="54C2A88E" w14:textId="6BB167EB" w:rsidR="00E27BDF" w:rsidRPr="00342184" w:rsidRDefault="006C0DA8" w:rsidP="003D5501">
            <w:pP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421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Respuesta a consulta # </w:t>
            </w:r>
            <w:r w:rsidR="003D5501" w:rsidRPr="003D5501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4202013000008534</w:t>
            </w:r>
          </w:p>
          <w:p w14:paraId="4AC93078" w14:textId="77777777" w:rsidR="00E27BDF" w:rsidRPr="00342184" w:rsidRDefault="00E27BDF">
            <w:pPr>
              <w:spacing w:before="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896E2E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54A5C9" w14:textId="5EF425A3" w:rsidR="00E27BDF" w:rsidRPr="00342184" w:rsidRDefault="006C0DA8">
      <w:pPr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>Estimad</w:t>
      </w:r>
      <w:r w:rsidR="00BC2B94" w:rsidRPr="00342184">
        <w:rPr>
          <w:rFonts w:ascii="Arial" w:eastAsia="Arial" w:hAnsi="Arial" w:cs="Arial"/>
          <w:color w:val="000000"/>
          <w:sz w:val="22"/>
          <w:szCs w:val="22"/>
        </w:rPr>
        <w:t>o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señor </w:t>
      </w:r>
      <w:r w:rsidR="00B57AE8">
        <w:rPr>
          <w:rFonts w:ascii="Arial" w:eastAsia="Arial" w:hAnsi="Arial" w:cs="Arial"/>
          <w:color w:val="000000"/>
          <w:sz w:val="22"/>
          <w:szCs w:val="22"/>
        </w:rPr>
        <w:t>Leal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9691060" w14:textId="77777777" w:rsidR="00E27BDF" w:rsidRPr="00342184" w:rsidRDefault="00E27BDF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EA5EC32" w14:textId="35ABDAC3" w:rsidR="00E27BDF" w:rsidRDefault="006C0DA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En ejercicio de la competencia otorgada por los artículos 11, numeral 8º, y 3º, numeral 5º, del Decreto Ley 4170 de 2011, la Agencia Nacional de Contratación Pública―Colombia Compra Eficiente responde su consulta del </w:t>
      </w:r>
      <w:r w:rsidR="00222410">
        <w:rPr>
          <w:rFonts w:ascii="Arial" w:eastAsia="Arial" w:hAnsi="Arial" w:cs="Arial"/>
          <w:color w:val="000000"/>
          <w:sz w:val="22"/>
          <w:szCs w:val="22"/>
        </w:rPr>
        <w:t>28</w:t>
      </w:r>
      <w:r w:rsidR="00BC2B94" w:rsidRPr="00342184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C47C86">
        <w:rPr>
          <w:rFonts w:ascii="Arial" w:eastAsia="Arial" w:hAnsi="Arial" w:cs="Arial"/>
          <w:color w:val="000000"/>
          <w:sz w:val="22"/>
          <w:szCs w:val="22"/>
        </w:rPr>
        <w:t>septiembre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de 2020. </w:t>
      </w:r>
    </w:p>
    <w:p w14:paraId="7E631247" w14:textId="77777777" w:rsidR="00E27BDF" w:rsidRPr="00342184" w:rsidRDefault="00E27BDF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C11F03" w14:textId="77777777" w:rsidR="00E27BDF" w:rsidRPr="00342184" w:rsidRDefault="006C0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 xml:space="preserve">Problemas planteados </w:t>
      </w:r>
    </w:p>
    <w:p w14:paraId="40CF7B40" w14:textId="77777777" w:rsidR="00E27BDF" w:rsidRPr="00342184" w:rsidRDefault="00E27BDF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2B812D3" w14:textId="5CD06F24" w:rsidR="00E27BDF" w:rsidRPr="00342184" w:rsidRDefault="006C0DA8" w:rsidP="00301E5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>Usted realiza la siguiente pregunta frente a lo consagrado en el artículo 2.2.1.2.4.2.</w:t>
      </w:r>
      <w:r w:rsidR="00301E58">
        <w:rPr>
          <w:rFonts w:ascii="Arial" w:eastAsia="Arial" w:hAnsi="Arial" w:cs="Arial"/>
          <w:color w:val="000000"/>
          <w:sz w:val="22"/>
          <w:szCs w:val="22"/>
        </w:rPr>
        <w:t>2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del Decreto 1082 de 2015: </w:t>
      </w:r>
      <w:r w:rsidR="00E54CD2" w:rsidRPr="00342184">
        <w:rPr>
          <w:rFonts w:ascii="Arial" w:eastAsia="Arial" w:hAnsi="Arial" w:cs="Arial"/>
          <w:color w:val="000000"/>
          <w:sz w:val="22"/>
          <w:szCs w:val="22"/>
        </w:rPr>
        <w:t>«</w:t>
      </w:r>
      <w:r w:rsidR="00301E58" w:rsidRPr="00301E58">
        <w:rPr>
          <w:rFonts w:ascii="Arial" w:eastAsia="Arial" w:hAnsi="Arial" w:cs="Arial"/>
          <w:color w:val="000000"/>
          <w:sz w:val="22"/>
          <w:szCs w:val="22"/>
        </w:rPr>
        <w:t xml:space="preserve">Con respecto a la limitación a </w:t>
      </w:r>
      <w:proofErr w:type="spellStart"/>
      <w:r w:rsidR="00301E58" w:rsidRPr="00301E58">
        <w:rPr>
          <w:rFonts w:ascii="Arial" w:eastAsia="Arial" w:hAnsi="Arial" w:cs="Arial"/>
          <w:color w:val="000000"/>
          <w:sz w:val="22"/>
          <w:szCs w:val="22"/>
        </w:rPr>
        <w:t>mipyme</w:t>
      </w:r>
      <w:proofErr w:type="spellEnd"/>
      <w:r w:rsidR="00301E58" w:rsidRPr="00301E58">
        <w:rPr>
          <w:rFonts w:ascii="Arial" w:eastAsia="Arial" w:hAnsi="Arial" w:cs="Arial"/>
          <w:color w:val="000000"/>
          <w:sz w:val="22"/>
          <w:szCs w:val="22"/>
        </w:rPr>
        <w:t xml:space="preserve"> que trata el Decreto 1082 de 2015 donde se menciona: "(...) las entidades estatales deben limitar a las </w:t>
      </w:r>
      <w:proofErr w:type="spellStart"/>
      <w:r w:rsidR="00301E58" w:rsidRPr="00301E58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="00301E58" w:rsidRPr="00301E58">
        <w:rPr>
          <w:rFonts w:ascii="Arial" w:eastAsia="Arial" w:hAnsi="Arial" w:cs="Arial"/>
          <w:color w:val="000000"/>
          <w:sz w:val="22"/>
          <w:szCs w:val="22"/>
        </w:rPr>
        <w:t xml:space="preserve"> nacionales con mínimo un año de existencia, la convocatoria del proceso de contratación (...)" , el término "un año de existencia" se refiere a que las </w:t>
      </w:r>
      <w:proofErr w:type="spellStart"/>
      <w:r w:rsidR="00301E58" w:rsidRPr="00301E58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="00301E58" w:rsidRPr="00301E58">
        <w:rPr>
          <w:rFonts w:ascii="Arial" w:eastAsia="Arial" w:hAnsi="Arial" w:cs="Arial"/>
          <w:color w:val="000000"/>
          <w:sz w:val="22"/>
          <w:szCs w:val="22"/>
        </w:rPr>
        <w:t xml:space="preserve"> tengan un año de constituidas según el certificado de existencia en cámara de comercio o en su defecto acredite un año con domicilio donde se ejecute la obra y/o servicio producto del proceso de contratación o cu</w:t>
      </w:r>
      <w:r w:rsidR="00301E58">
        <w:rPr>
          <w:rFonts w:ascii="Arial" w:eastAsia="Arial" w:hAnsi="Arial" w:cs="Arial"/>
          <w:color w:val="000000"/>
          <w:sz w:val="22"/>
          <w:szCs w:val="22"/>
        </w:rPr>
        <w:t>mplir con éstos dos requisitos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>»</w:t>
      </w:r>
      <w:r w:rsidR="0052351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AB71AEC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90835B" w14:textId="77777777" w:rsidR="00E27BDF" w:rsidRPr="00342184" w:rsidRDefault="006C0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>Consideraciones</w:t>
      </w:r>
    </w:p>
    <w:p w14:paraId="2C0C4008" w14:textId="77777777" w:rsidR="00E27BDF" w:rsidRPr="00342184" w:rsidRDefault="00E27BDF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01440D" w14:textId="779E64AB" w:rsidR="00E27BDF" w:rsidRPr="00342184" w:rsidRDefault="006C0DA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La Agencia Nacional de Contratación Pública–Colombia Compra Eficiente se ha pronunciado en diferentes </w:t>
      </w:r>
      <w:r w:rsidR="007C4650">
        <w:rPr>
          <w:rFonts w:ascii="Arial" w:eastAsia="Arial" w:hAnsi="Arial" w:cs="Arial"/>
          <w:color w:val="000000"/>
          <w:sz w:val="22"/>
          <w:szCs w:val="22"/>
        </w:rPr>
        <w:t>oportunidades</w:t>
      </w:r>
      <w:r w:rsidR="007C4650" w:rsidRPr="0034218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sobre la posibilidad de limitar los procesos contractuales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>, en los conceptos del 5 y el 20 de agosto de 2019 –radicados Nos. 2201913000005596 y 2201913000006007–, cuyas ideas fueron unificadas en el concepto CU-021 del 21 de febrero 2020, y reiteradas pacíficamente en los conceptos C-045 del 17 de marzo de 2020, C-050 y C-058 del 25 de febrero de 2020, C-083 del 11 de marzo de 2020, C-092 del 4 de marzo de 2020, C-162 del 6 de abril de 2020, C-214 del 21 de abril de 2020, C-219 del 29 de abril de 2020, C-252 del 26 de mayo de 2020, C-258 del 17 de abril de 2020, C-285 del 4 de mayo de 2020</w:t>
      </w:r>
      <w:r w:rsidR="00F415AB">
        <w:rPr>
          <w:rFonts w:ascii="Arial" w:eastAsia="Arial" w:hAnsi="Arial" w:cs="Arial"/>
          <w:color w:val="000000"/>
          <w:sz w:val="22"/>
          <w:szCs w:val="22"/>
        </w:rPr>
        <w:t>.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415AB">
        <w:rPr>
          <w:rFonts w:ascii="Arial" w:eastAsia="Arial" w:hAnsi="Arial" w:cs="Arial"/>
          <w:color w:val="000000"/>
          <w:sz w:val="22"/>
          <w:szCs w:val="22"/>
        </w:rPr>
        <w:t>R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>ecientemente</w:t>
      </w:r>
      <w:r w:rsidR="00F415AB">
        <w:rPr>
          <w:rFonts w:ascii="Arial" w:eastAsia="Arial" w:hAnsi="Arial" w:cs="Arial"/>
          <w:color w:val="000000"/>
          <w:sz w:val="22"/>
          <w:szCs w:val="22"/>
        </w:rPr>
        <w:t xml:space="preserve"> se reiteraron esas ideas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>, en los conceptos C-364 del 4 de junio de 2020, C-401 del 12 de junio de 2020</w:t>
      </w:r>
      <w:r w:rsidR="005322A2" w:rsidRPr="00342184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>C-413 del 30 de junio de 2020</w:t>
      </w:r>
      <w:r w:rsidR="00BC45E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322A2" w:rsidRPr="00342184">
        <w:rPr>
          <w:rFonts w:ascii="Arial" w:eastAsia="Arial" w:hAnsi="Arial" w:cs="Arial"/>
          <w:color w:val="000000"/>
          <w:sz w:val="22"/>
          <w:szCs w:val="22"/>
        </w:rPr>
        <w:t>C-492 del 24 de julio de 2020</w:t>
      </w:r>
      <w:r w:rsidR="00301E58">
        <w:rPr>
          <w:rFonts w:ascii="Arial" w:eastAsia="Arial" w:hAnsi="Arial" w:cs="Arial"/>
          <w:color w:val="000000"/>
          <w:sz w:val="22"/>
          <w:szCs w:val="22"/>
        </w:rPr>
        <w:t>,</w:t>
      </w:r>
      <w:r w:rsidR="00BC45E7">
        <w:rPr>
          <w:rFonts w:ascii="Arial" w:eastAsia="Arial" w:hAnsi="Arial" w:cs="Arial"/>
          <w:color w:val="000000"/>
          <w:sz w:val="22"/>
          <w:szCs w:val="22"/>
        </w:rPr>
        <w:t xml:space="preserve"> C-523 del 11 de agosto de 2020</w:t>
      </w:r>
      <w:r w:rsidR="00301E58">
        <w:rPr>
          <w:rFonts w:ascii="Arial" w:eastAsia="Arial" w:hAnsi="Arial" w:cs="Arial"/>
          <w:color w:val="000000"/>
          <w:sz w:val="22"/>
          <w:szCs w:val="22"/>
        </w:rPr>
        <w:t xml:space="preserve"> y C-610 del 14 de septiembre de 2020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>. Las tesis propuestas se exponen a continuación.</w:t>
      </w:r>
    </w:p>
    <w:p w14:paraId="649C9C0F" w14:textId="77777777" w:rsidR="00E27BDF" w:rsidRPr="00342184" w:rsidRDefault="00E27BDF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1BD6AB" w14:textId="77777777" w:rsidR="00E27BDF" w:rsidRPr="00342184" w:rsidRDefault="006C0DA8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 xml:space="preserve">2.1. Limitación de los procesos contractuales a </w:t>
      </w:r>
      <w:proofErr w:type="spellStart"/>
      <w:r w:rsidRPr="00342184">
        <w:rPr>
          <w:rFonts w:ascii="Arial" w:eastAsia="Arial" w:hAnsi="Arial" w:cs="Arial"/>
          <w:b/>
          <w:color w:val="000000"/>
          <w:sz w:val="22"/>
          <w:szCs w:val="22"/>
        </w:rPr>
        <w:t>Mipymes</w:t>
      </w:r>
      <w:proofErr w:type="spellEnd"/>
    </w:p>
    <w:p w14:paraId="32075B8D" w14:textId="77777777" w:rsidR="00E27BDF" w:rsidRPr="00342184" w:rsidRDefault="00E27BDF" w:rsidP="003241F3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009517" w14:textId="60699F52" w:rsidR="00E27BDF" w:rsidRPr="00342184" w:rsidRDefault="008E34C1" w:rsidP="008E34C1">
      <w:pPr>
        <w:spacing w:before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El 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artículo 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 xml:space="preserve">2.2.1.13.2.2. 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del Decreto 1074 de 2015, adicionado por el Decreto 957 de 2019, </w:t>
      </w:r>
      <w:r w:rsidR="006C0DA8" w:rsidRPr="00342184">
        <w:rPr>
          <w:rFonts w:ascii="Arial" w:eastAsia="Arial" w:hAnsi="Arial" w:cs="Arial"/>
          <w:color w:val="000000"/>
          <w:sz w:val="22"/>
          <w:szCs w:val="22"/>
        </w:rPr>
        <w:t>dispone que: i) la mediana empresa</w:t>
      </w:r>
      <w:r w:rsidR="003241F3">
        <w:rPr>
          <w:rFonts w:ascii="Arial" w:eastAsia="Arial" w:hAnsi="Arial" w:cs="Arial"/>
          <w:color w:val="000000"/>
          <w:sz w:val="22"/>
          <w:szCs w:val="22"/>
        </w:rPr>
        <w:t>, en el sector manufacturero,</w:t>
      </w:r>
      <w:r w:rsidR="006C0DA8" w:rsidRPr="00342184">
        <w:rPr>
          <w:rFonts w:ascii="Arial" w:eastAsia="Arial" w:hAnsi="Arial" w:cs="Arial"/>
          <w:color w:val="000000"/>
          <w:sz w:val="22"/>
          <w:szCs w:val="22"/>
        </w:rPr>
        <w:t xml:space="preserve"> es aquella que tiene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«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ingresos por actividades ordinarias anuales sean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superiores a doscientos cuatro mil novecientos noventa y cinco Unidades Valor</w:t>
      </w:r>
      <w:r w:rsidR="003241F3">
        <w:rPr>
          <w:rFonts w:ascii="Arial" w:eastAsia="Arial" w:hAnsi="Arial" w:cs="Arial"/>
          <w:color w:val="000000"/>
          <w:sz w:val="22"/>
          <w:szCs w:val="22"/>
        </w:rPr>
        <w:t>», en el sector servicios, la que sus «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ingresos por actividades ordinarias anuales sean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superiores a ciento treinta y un mil novecientos cincuenta y un Unidades de Valor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Tributario (131.951 UVT) e inferiores o iguales a cuatrocientos ochenta y mil treinta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y cuatro Unidades Valor Tributario (483.034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>», y en el sector comercio, la que sus «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ingresos por actividades ordinarias anuales sean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superiores a cuatrocientos treinta y un mil ciento noventa y seis Unidades de Valor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Tributario (431.196 UVT) e inferiores o iguales a dos millones ciento sesenta mil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seiscientos noventa y dos Unidades de Valor Tributario (2'160.692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»; </w:t>
      </w:r>
      <w:r w:rsidR="006C0DA8" w:rsidRPr="00342184">
        <w:rPr>
          <w:rFonts w:ascii="Arial" w:eastAsia="Arial" w:hAnsi="Arial" w:cs="Arial"/>
          <w:color w:val="000000"/>
          <w:sz w:val="22"/>
          <w:szCs w:val="22"/>
        </w:rPr>
        <w:t xml:space="preserve"> ii) la pequeña empresa </w:t>
      </w:r>
      <w:r w:rsidR="003241F3">
        <w:rPr>
          <w:rFonts w:ascii="Arial" w:eastAsia="Arial" w:hAnsi="Arial" w:cs="Arial"/>
          <w:color w:val="000000"/>
          <w:sz w:val="22"/>
          <w:szCs w:val="22"/>
        </w:rPr>
        <w:t>en el sector manufacturero,</w:t>
      </w:r>
      <w:r w:rsidR="003241F3" w:rsidRPr="00342184">
        <w:rPr>
          <w:rFonts w:ascii="Arial" w:eastAsia="Arial" w:hAnsi="Arial" w:cs="Arial"/>
          <w:color w:val="000000"/>
          <w:sz w:val="22"/>
          <w:szCs w:val="22"/>
        </w:rPr>
        <w:t xml:space="preserve"> es aquella que tiene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«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ingresos por actividades ordinarias anuales sean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superiores a veintitrés mil quinientos sesenta y Unidades de Valor Tributario (23.563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UVT) e inferiores o iguales a doscientos cuatro mil novecientos noventa y cinco Unidades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de Valor Tributario (204.995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>», en el sector servicios, la que sus «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ingresos por actividades ordinarias anuales sean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superiores a treinta y mil novecientos ochenta y ocho Unidades Valor Tributario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(32.988 UVT) e inferiores o iguales a ciento treinta y un mil novecientos cincuenta y uno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Unidades Valor Tributario (131 1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>», y en el sector comercio, la que sus «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ingresos por actividades ordinarias sean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superiores a y cuatro mil setecientos y nueve Unidades de Valor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Tributario (44.769 UVT) e inferiores o iguales a cuatrocientos y un mil ciento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41F3" w:rsidRPr="003241F3">
        <w:rPr>
          <w:rFonts w:ascii="Arial" w:eastAsia="Arial" w:hAnsi="Arial" w:cs="Arial"/>
          <w:color w:val="000000"/>
          <w:sz w:val="22"/>
          <w:szCs w:val="22"/>
        </w:rPr>
        <w:t>noventa y seis Unidades de Valor Tributario (431.196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»; </w:t>
      </w:r>
      <w:r w:rsidR="006C0DA8" w:rsidRPr="00342184">
        <w:rPr>
          <w:rFonts w:ascii="Arial" w:eastAsia="Arial" w:hAnsi="Arial" w:cs="Arial"/>
          <w:color w:val="000000"/>
          <w:sz w:val="22"/>
          <w:szCs w:val="22"/>
        </w:rPr>
        <w:t xml:space="preserve">y iii) la microempresa </w:t>
      </w:r>
      <w:r w:rsidR="003241F3">
        <w:rPr>
          <w:rFonts w:ascii="Arial" w:eastAsia="Arial" w:hAnsi="Arial" w:cs="Arial"/>
          <w:color w:val="000000"/>
          <w:sz w:val="22"/>
          <w:szCs w:val="22"/>
        </w:rPr>
        <w:t>en el sector manufacturero,</w:t>
      </w:r>
      <w:r w:rsidR="003241F3" w:rsidRPr="00342184">
        <w:rPr>
          <w:rFonts w:ascii="Arial" w:eastAsia="Arial" w:hAnsi="Arial" w:cs="Arial"/>
          <w:color w:val="000000"/>
          <w:sz w:val="22"/>
          <w:szCs w:val="22"/>
        </w:rPr>
        <w:t xml:space="preserve"> es aquella que tiene</w:t>
      </w:r>
      <w:r w:rsidR="003241F3">
        <w:rPr>
          <w:rFonts w:ascii="Arial" w:eastAsia="Arial" w:hAnsi="Arial" w:cs="Arial"/>
          <w:color w:val="000000"/>
          <w:sz w:val="22"/>
          <w:szCs w:val="22"/>
        </w:rPr>
        <w:t xml:space="preserve"> «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ingresos por actividades ordinarias sean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inferiores o iguales a mil quinientos y tres Unidades Valor Tributario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(23.563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>», en el sector servicios, la que sus «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ingresos por actividades ordinarias anuales sean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inferiores o iguales a treinta y dos mil novecientos ochenta y ocho de Valor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Tributario (32.988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>», y en el sector comercio, la que sus «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ingresos por actividades ordinarias anuales sean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inferiores o a cuarenta y cuatro mil setecientos y nueve Unidades de</w:t>
      </w:r>
      <w:r w:rsidR="008B50C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B50CA" w:rsidRPr="008B50CA">
        <w:rPr>
          <w:rFonts w:ascii="Arial" w:eastAsia="Arial" w:hAnsi="Arial" w:cs="Arial"/>
          <w:color w:val="000000"/>
          <w:sz w:val="22"/>
          <w:szCs w:val="22"/>
        </w:rPr>
        <w:t>Valor Tributario (44.769 UVT)</w:t>
      </w:r>
      <w:r w:rsidR="003241F3">
        <w:rPr>
          <w:rFonts w:ascii="Arial" w:eastAsia="Arial" w:hAnsi="Arial" w:cs="Arial"/>
          <w:color w:val="000000"/>
          <w:sz w:val="22"/>
          <w:szCs w:val="22"/>
        </w:rPr>
        <w:t>»</w:t>
      </w:r>
      <w:r w:rsidR="006C0DA8" w:rsidRPr="00342184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 w:rsidR="006C0DA8" w:rsidRPr="0034218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A6453B8" w14:textId="77777777" w:rsidR="00E27BDF" w:rsidRPr="00342184" w:rsidRDefault="006C0DA8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Por otro lado, el numeral 4º del artículo 12 de la Ley 590 de 2000 estableció que las entidades públicas deben preferir, en condiciones de igual precio, calidad y capacidad de suministros, a las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en las adquisiciones necesarias para su funcionamiento</w:t>
      </w:r>
      <w:r w:rsidRPr="00342184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 w:rsidRPr="0034218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5EC94CF" w14:textId="77777777" w:rsidR="00E27BDF" w:rsidRPr="00342184" w:rsidRDefault="006C0DA8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La normativa referida pretende fomentar las empresas que, por su tamaño o capacidad económica, no podrían competir en condiciones de igualdad con aquellas que cuentan con grandes capitales y plantas de personal. De este modo, no solo estas pequeñas unidades de explotación económica se hacen visibles dentro del mercado de bienes y servicios requeridos por las entidades públicas, sino que se promueve de manera directa el crecimiento de las regiones en las que tiene cabida tal actividad económica. </w:t>
      </w:r>
    </w:p>
    <w:p w14:paraId="5015904E" w14:textId="77777777" w:rsidR="00E27BDF" w:rsidRPr="00342184" w:rsidRDefault="006C0DA8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>Al respecto, el Consejo de Estado, Sala de lo Contencioso Administrativo, Sección Tercera, Subsección C, mediante sentencia con número de expediente 40.743, del 23 de mayo de 2012</w:t>
      </w:r>
      <w:r w:rsidRPr="00342184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, con ponencia del Magistrado Enrique Gil Botero, destacó que las entidades públicas deben, por un lado, promocionar e incrementar, conforme con su presupuesto, la participación de las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como proveedoras de bienes y servicios que demanden y, por el otro, establecer procedimientos administrativos que les faciliten el cumplimiento de los requisitos y trámites relativos a pedidos, recepción de bienes o servicios, condiciones de pago y acceso a la información sobre sus programas de inversión y gasto.</w:t>
      </w:r>
    </w:p>
    <w:p w14:paraId="664DE8A2" w14:textId="76F33130" w:rsidR="00E27BDF" w:rsidRPr="00342184" w:rsidRDefault="006C0DA8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Junto con la promoción dispuesta en la Ley 590 de 2000 se encuentra el </w:t>
      </w:r>
      <w:r w:rsidRPr="00342184">
        <w:rPr>
          <w:rFonts w:ascii="Arial" w:eastAsia="Arial" w:hAnsi="Arial" w:cs="Arial"/>
          <w:sz w:val="22"/>
          <w:szCs w:val="22"/>
        </w:rPr>
        <w:t>artículo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12 la Ley 1150 de 2007, modificado por el artículo 32 de la Ley 1450 de 2011,  estableció las convocatorias limitadas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en contratación pública</w:t>
      </w:r>
      <w:r w:rsidR="008E34C1">
        <w:rPr>
          <w:rFonts w:ascii="Arial" w:eastAsia="Arial" w:hAnsi="Arial" w:cs="Arial"/>
          <w:color w:val="000000"/>
          <w:sz w:val="22"/>
          <w:szCs w:val="22"/>
        </w:rPr>
        <w:t>.</w:t>
      </w:r>
      <w:r w:rsidR="008E34C1">
        <w:rPr>
          <w:rStyle w:val="Refdenotaalpie"/>
          <w:rFonts w:ascii="Arial" w:eastAsia="Arial" w:hAnsi="Arial" w:cs="Arial"/>
          <w:color w:val="000000"/>
          <w:sz w:val="22"/>
          <w:szCs w:val="22"/>
        </w:rPr>
        <w:footnoteReference w:id="4"/>
      </w:r>
    </w:p>
    <w:p w14:paraId="55E2890F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3A09CF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66124E" w14:textId="77777777" w:rsidR="00E27BDF" w:rsidRPr="00342184" w:rsidRDefault="006C0DA8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A través del Decreto 1082 de 2015, el Gobierno Nacional reglamentó la norma transcrita, adoptando medidas para incentivar la contratación pública. Dentro de estas medidas se resaltan las «convocatorias limitadas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» y la «limitación territorial»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>, contenidas, respectivamente, en los artículos 2.2.1.2.4.2.2. y 2.2.1.2.4.2.3. Este último dice lo siguiente:</w:t>
      </w:r>
    </w:p>
    <w:p w14:paraId="4FD948C6" w14:textId="77777777" w:rsidR="00E27BDF" w:rsidRPr="00342184" w:rsidRDefault="00E27BDF">
      <w:pPr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C9B94E" w14:textId="77777777" w:rsidR="00E27BDF" w:rsidRPr="00342184" w:rsidRDefault="006C0DA8">
      <w:pP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Las Entidades Estatales pueden realizar convocatorias limitadas a </w:t>
      </w:r>
      <w:proofErr w:type="spellStart"/>
      <w:r w:rsidRPr="00342184">
        <w:rPr>
          <w:rFonts w:ascii="Arial" w:eastAsia="Arial" w:hAnsi="Arial" w:cs="Arial"/>
          <w:color w:val="000000"/>
          <w:sz w:val="21"/>
          <w:szCs w:val="21"/>
        </w:rPr>
        <w:t>Mipyme</w:t>
      </w:r>
      <w:proofErr w:type="spellEnd"/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 nacionales domiciliadas en los departamentos o municipios en donde se va a ejecutar el contrato. La </w:t>
      </w:r>
      <w:proofErr w:type="spellStart"/>
      <w:r w:rsidRPr="00342184">
        <w:rPr>
          <w:rFonts w:ascii="Arial" w:eastAsia="Arial" w:hAnsi="Arial" w:cs="Arial"/>
          <w:color w:val="000000"/>
          <w:sz w:val="21"/>
          <w:szCs w:val="21"/>
        </w:rPr>
        <w:t>Mipyme</w:t>
      </w:r>
      <w:proofErr w:type="spellEnd"/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 debe acreditar su domicilio con el registro mercantil o el certificado de existencia y representación legal de la empresa.</w:t>
      </w:r>
    </w:p>
    <w:p w14:paraId="1ED6DC53" w14:textId="77777777" w:rsidR="00E27BDF" w:rsidRPr="00342184" w:rsidRDefault="00E27BDF">
      <w:pP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33CF20B6" w14:textId="77777777" w:rsidR="00E27BDF" w:rsidRPr="00342184" w:rsidRDefault="006C0DA8">
      <w:pPr>
        <w:ind w:right="7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>El artículo 2.2.1.2.4.2.2., por su parte, es del siguiente tenor:</w:t>
      </w:r>
    </w:p>
    <w:p w14:paraId="2C26C7AD" w14:textId="77777777" w:rsidR="00E27BDF" w:rsidRPr="00342184" w:rsidRDefault="00E27BDF">
      <w:pP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66C6FE5A" w14:textId="77777777" w:rsidR="00E27BDF" w:rsidRPr="00342184" w:rsidRDefault="006C0DA8">
      <w:pP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La Entidad Estatal debe limitar a las </w:t>
      </w:r>
      <w:proofErr w:type="spellStart"/>
      <w:r w:rsidRPr="00342184">
        <w:rPr>
          <w:rFonts w:ascii="Arial" w:eastAsia="Arial" w:hAnsi="Arial" w:cs="Arial"/>
          <w:color w:val="000000"/>
          <w:sz w:val="21"/>
          <w:szCs w:val="21"/>
        </w:rPr>
        <w:t>Mipyme</w:t>
      </w:r>
      <w:proofErr w:type="spellEnd"/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 nacionales con mínimo un (1) año de existencia la convocatoria del Proceso de Contratación en la modalidad de licitación pública, selección abreviada y concurso de méritos cuando:</w:t>
      </w:r>
    </w:p>
    <w:p w14:paraId="7B18BFF9" w14:textId="77777777" w:rsidR="00E27BDF" w:rsidRPr="00342184" w:rsidRDefault="00E27BDF">
      <w:pP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F89A844" w14:textId="77777777" w:rsidR="00E27BDF" w:rsidRPr="00342184" w:rsidRDefault="006C0DA8">
      <w:pPr>
        <w:pBdr>
          <w:top w:val="nil"/>
          <w:left w:val="nil"/>
          <w:bottom w:val="nil"/>
          <w:right w:val="nil"/>
          <w:between w:val="nil"/>
        </w:pBd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42184"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1. El valor del Proceso de Contratación es menor a ciento veinticinco mil dólares de los Estados Unidos de América (US$125.000), liquidados con la tasa de cambio que para el efecto determina cada dos años el Ministerio de Comercio, Industria y Turismo; </w:t>
      </w:r>
    </w:p>
    <w:p w14:paraId="5F093FCC" w14:textId="77777777" w:rsidR="00E27BDF" w:rsidRPr="00342184" w:rsidRDefault="00E27BDF">
      <w:pPr>
        <w:pBdr>
          <w:top w:val="nil"/>
          <w:left w:val="nil"/>
          <w:bottom w:val="nil"/>
          <w:right w:val="nil"/>
          <w:between w:val="nil"/>
        </w:pBd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E16222" w14:textId="77777777" w:rsidR="00E27BDF" w:rsidRPr="00342184" w:rsidRDefault="006C0DA8">
      <w:pPr>
        <w:pBdr>
          <w:top w:val="nil"/>
          <w:left w:val="nil"/>
          <w:bottom w:val="nil"/>
          <w:right w:val="nil"/>
          <w:between w:val="nil"/>
        </w:pBdr>
        <w:ind w:left="709" w:right="76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2. La Entidad Estatal ha recibido solicitudes de por lo menos tres (3) </w:t>
      </w:r>
      <w:proofErr w:type="spellStart"/>
      <w:r w:rsidRPr="00342184">
        <w:rPr>
          <w:rFonts w:ascii="Arial" w:eastAsia="Arial" w:hAnsi="Arial" w:cs="Arial"/>
          <w:color w:val="000000"/>
          <w:sz w:val="21"/>
          <w:szCs w:val="21"/>
        </w:rPr>
        <w:t>Mipyme</w:t>
      </w:r>
      <w:proofErr w:type="spellEnd"/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 nacionales para limitar la convocatoria a </w:t>
      </w:r>
      <w:proofErr w:type="spellStart"/>
      <w:r w:rsidRPr="00342184">
        <w:rPr>
          <w:rFonts w:ascii="Arial" w:eastAsia="Arial" w:hAnsi="Arial" w:cs="Arial"/>
          <w:color w:val="000000"/>
          <w:sz w:val="21"/>
          <w:szCs w:val="21"/>
        </w:rPr>
        <w:t>Mipyme</w:t>
      </w:r>
      <w:proofErr w:type="spellEnd"/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 nacionales. La Entidad Estatal debe recibir estas solicitudes por lo menos un (1) día hábil antes de la apertura del Proceso de Contratación.</w:t>
      </w:r>
    </w:p>
    <w:p w14:paraId="617E70D7" w14:textId="77777777" w:rsidR="00E27BDF" w:rsidRPr="00342184" w:rsidRDefault="00E27BD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ABBD4AD" w14:textId="77777777" w:rsidR="00E27BDF" w:rsidRPr="00342184" w:rsidRDefault="006C0DA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Puede decirse, entonces, que el Decreto 1082 de 2015 regula la limitación de convocatorias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en dos normas distintas, las cuales, sin embargo, deben leerse conjunta y armónicamente. Por un lado, la que prevé los requisitos generales para que la entidad limite sus convocatorias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«</w:t>
      </w:r>
      <w:r w:rsidRPr="00342184">
        <w:rPr>
          <w:rFonts w:ascii="Arial" w:eastAsia="Arial" w:hAnsi="Arial" w:cs="Arial"/>
          <w:i/>
          <w:color w:val="000000"/>
          <w:sz w:val="22"/>
          <w:szCs w:val="22"/>
        </w:rPr>
        <w:t>infra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literal a» y, por el otro, la que establece la posibilidad de regular la convocatoria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domiciliadas en los departamentos o municipios en donde se va a ejecutar el contrato «</w:t>
      </w:r>
      <w:r w:rsidRPr="00342184">
        <w:rPr>
          <w:rFonts w:ascii="Arial" w:eastAsia="Arial" w:hAnsi="Arial" w:cs="Arial"/>
          <w:i/>
          <w:color w:val="000000"/>
          <w:sz w:val="22"/>
          <w:szCs w:val="22"/>
        </w:rPr>
        <w:t xml:space="preserve">infra 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literal b». </w:t>
      </w:r>
    </w:p>
    <w:p w14:paraId="22DADDB8" w14:textId="0CD514DC" w:rsidR="00E27BDF" w:rsidRPr="00342184" w:rsidRDefault="006C0DA8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Es de resaltar que estas normas se </w:t>
      </w:r>
      <w:r w:rsidRPr="0004471B">
        <w:rPr>
          <w:rFonts w:ascii="Arial" w:eastAsia="Arial" w:hAnsi="Arial" w:cs="Arial"/>
          <w:color w:val="000000"/>
          <w:sz w:val="22"/>
          <w:szCs w:val="22"/>
        </w:rPr>
        <w:t>refieren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a las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genéricamente y, particularmente, a las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«domiciliadas en los departamentos o municipios en donde se va a ejecutar el contrato». En ambos casos se </w:t>
      </w:r>
      <w:r w:rsidR="00EE12F6">
        <w:rPr>
          <w:rFonts w:ascii="Arial" w:eastAsia="Arial" w:hAnsi="Arial" w:cs="Arial"/>
          <w:color w:val="000000"/>
          <w:sz w:val="22"/>
          <w:szCs w:val="22"/>
        </w:rPr>
        <w:t>hace alusión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nacionales, distinguiéndolas de las empresas extranjeras. Del artículo 2.2.1.2.4.2.3. del Decreto 1082 de 2015 no se deriva que </w:t>
      </w:r>
      <w:r w:rsidRPr="0004471B">
        <w:rPr>
          <w:rFonts w:ascii="Arial" w:eastAsia="Arial" w:hAnsi="Arial" w:cs="Arial"/>
          <w:color w:val="000000"/>
          <w:sz w:val="22"/>
          <w:szCs w:val="22"/>
        </w:rPr>
        <w:t>existan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del orden territorial. Esta categoría no </w:t>
      </w:r>
      <w:r w:rsidR="00A126CE">
        <w:rPr>
          <w:rFonts w:ascii="Arial" w:eastAsia="Arial" w:hAnsi="Arial" w:cs="Arial"/>
          <w:color w:val="000000"/>
          <w:sz w:val="22"/>
          <w:szCs w:val="22"/>
        </w:rPr>
        <w:t>está contemplada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en el ordenamiento jurídico. En ese sentido, toda empresa constituida bajo las leyes colombianas o que tenga su domicilio principal en el territorio colombiano y, además, cumpla los criterios previstos por la Ley 590 de 2000 y el Decreto 957 de 2019, será considerada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del orden nacional. Otra cosa es que las normas de contratación permitan que las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con «domicilio» en un municipio o departamento puedan beneficiarse en la ejecución de un contrato dentro de la entidad territorial en la que tienen su «domicilio». De todos modos, las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domiciliadas en un municipio o departamento son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nacionales. En consecuencia, no es procedente distinguir entre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y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municipales o departamentales, habida cuenta que estas últimas no</w:t>
      </w:r>
      <w:r w:rsidR="00EE2A75">
        <w:rPr>
          <w:rFonts w:ascii="Arial" w:eastAsia="Arial" w:hAnsi="Arial" w:cs="Arial"/>
          <w:color w:val="000000"/>
          <w:sz w:val="22"/>
          <w:szCs w:val="22"/>
        </w:rPr>
        <w:t xml:space="preserve"> están consagradas</w:t>
      </w:r>
      <w:r w:rsidR="0004471B">
        <w:rPr>
          <w:rFonts w:ascii="Arial" w:eastAsia="Arial" w:hAnsi="Arial" w:cs="Arial"/>
          <w:color w:val="000000"/>
          <w:sz w:val="22"/>
          <w:szCs w:val="22"/>
        </w:rPr>
        <w:t xml:space="preserve"> c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omo categoría dentro del ordenamiento </w:t>
      </w:r>
      <w:r w:rsidR="00F643FB">
        <w:rPr>
          <w:rFonts w:ascii="Arial" w:eastAsia="Arial" w:hAnsi="Arial" w:cs="Arial"/>
          <w:color w:val="000000"/>
          <w:sz w:val="22"/>
          <w:szCs w:val="22"/>
        </w:rPr>
        <w:t>jurídico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7FAFF45" w14:textId="46581A41" w:rsidR="00E27BDF" w:rsidRPr="00342184" w:rsidRDefault="006C0DA8" w:rsidP="005E2988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a) El artículo 2.2.1.2.4.2.2. del Decreto 1082 de 2015 establece los requisitos que se deben acreditar en las «convocatorias limitadas a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». La primera limitación se deriva del inciso primero de la referida norma, </w:t>
      </w:r>
      <w:r w:rsidR="00EB04D0">
        <w:rPr>
          <w:rFonts w:ascii="Arial" w:eastAsia="Arial" w:hAnsi="Arial" w:cs="Arial"/>
          <w:color w:val="000000"/>
          <w:sz w:val="22"/>
          <w:szCs w:val="22"/>
        </w:rPr>
        <w:t>señalando que</w:t>
      </w:r>
      <w:r w:rsidR="00EB04D0" w:rsidRPr="00EB04D0">
        <w:rPr>
          <w:rFonts w:ascii="Arial" w:eastAsia="Arial" w:hAnsi="Arial" w:cs="Arial"/>
          <w:color w:val="000000"/>
          <w:sz w:val="22"/>
          <w:szCs w:val="22"/>
        </w:rPr>
        <w:t xml:space="preserve"> las </w:t>
      </w:r>
      <w:proofErr w:type="spellStart"/>
      <w:r w:rsidR="00EB04D0" w:rsidRPr="00EB04D0">
        <w:rPr>
          <w:rFonts w:ascii="Arial" w:eastAsia="Arial" w:hAnsi="Arial" w:cs="Arial"/>
          <w:color w:val="000000"/>
          <w:sz w:val="22"/>
          <w:szCs w:val="22"/>
        </w:rPr>
        <w:t>Mipyme</w:t>
      </w:r>
      <w:proofErr w:type="spellEnd"/>
      <w:r w:rsidR="00EB04D0" w:rsidRPr="00EB04D0">
        <w:rPr>
          <w:rFonts w:ascii="Arial" w:eastAsia="Arial" w:hAnsi="Arial" w:cs="Arial"/>
          <w:color w:val="000000"/>
          <w:sz w:val="22"/>
          <w:szCs w:val="22"/>
        </w:rPr>
        <w:t xml:space="preserve"> nacionales</w:t>
      </w:r>
      <w:r w:rsidR="00EB04D0">
        <w:rPr>
          <w:rFonts w:ascii="Arial" w:eastAsia="Arial" w:hAnsi="Arial" w:cs="Arial"/>
          <w:color w:val="000000"/>
          <w:sz w:val="22"/>
          <w:szCs w:val="22"/>
        </w:rPr>
        <w:t xml:space="preserve"> deben contar</w:t>
      </w:r>
      <w:r w:rsidR="00EB04D0" w:rsidRPr="00EB04D0">
        <w:rPr>
          <w:rFonts w:ascii="Arial" w:eastAsia="Arial" w:hAnsi="Arial" w:cs="Arial"/>
          <w:color w:val="000000"/>
          <w:sz w:val="22"/>
          <w:szCs w:val="22"/>
        </w:rPr>
        <w:t xml:space="preserve"> con mínimo un (1) año de existencia</w:t>
      </w:r>
      <w:r w:rsidR="00EB04D0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en cuanto a las modalidades de selección de contratistas, en el entendido de que únicamente se puede limitar «la convocatoria del Proceso de Contratación en la modalidad de licitación pública, selección abreviada y concurso de méritos». </w:t>
      </w:r>
    </w:p>
    <w:p w14:paraId="318A64B0" w14:textId="5CD2579E" w:rsidR="00954389" w:rsidRPr="00954389" w:rsidRDefault="006C0DA8" w:rsidP="00954389">
      <w:pPr>
        <w:spacing w:before="12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18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De todos modos, las </w:t>
      </w:r>
      <w:proofErr w:type="spellStart"/>
      <w:r w:rsidRPr="00342184">
        <w:rPr>
          <w:rFonts w:ascii="Arial" w:eastAsia="Arial" w:hAnsi="Arial" w:cs="Arial"/>
          <w:color w:val="000000"/>
          <w:sz w:val="22"/>
          <w:szCs w:val="22"/>
        </w:rPr>
        <w:t>Mipymes</w:t>
      </w:r>
      <w:proofErr w:type="spellEnd"/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nacionales que pretendan participar en el proceso de selección deben acreditar mínimo un año de existencia, para lo cual deben presentar el certificado expedido por la cámara de comercio o por la autoridad que sea competente para dicha acreditación</w:t>
      </w:r>
      <w:r w:rsidRPr="00342184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 w:rsidR="00954389">
        <w:t xml:space="preserve">. </w:t>
      </w:r>
      <w:r w:rsidR="00954389">
        <w:rPr>
          <w:rFonts w:ascii="Arial" w:hAnsi="Arial" w:cs="Arial"/>
          <w:sz w:val="22"/>
        </w:rPr>
        <w:t xml:space="preserve">Teniendo en cuenta que </w:t>
      </w:r>
      <w:r w:rsidR="00954389" w:rsidRPr="00954389">
        <w:rPr>
          <w:rFonts w:ascii="Arial" w:eastAsia="Arial" w:hAnsi="Arial" w:cs="Arial"/>
          <w:color w:val="000000"/>
          <w:sz w:val="22"/>
          <w:szCs w:val="22"/>
        </w:rPr>
        <w:t xml:space="preserve">el artículo 2.2.1.2.4.2.2. del Decreto 1082 de 2015 establece que «La Entidad Estatal debe limitar a las </w:t>
      </w:r>
      <w:proofErr w:type="spellStart"/>
      <w:r w:rsidR="00954389" w:rsidRPr="00954389">
        <w:rPr>
          <w:rFonts w:ascii="Arial" w:eastAsia="Arial" w:hAnsi="Arial" w:cs="Arial"/>
          <w:color w:val="000000"/>
          <w:sz w:val="22"/>
          <w:szCs w:val="22"/>
        </w:rPr>
        <w:t>Mipyme</w:t>
      </w:r>
      <w:proofErr w:type="spellEnd"/>
      <w:r w:rsidR="00954389" w:rsidRPr="00954389">
        <w:rPr>
          <w:rFonts w:ascii="Arial" w:eastAsia="Arial" w:hAnsi="Arial" w:cs="Arial"/>
          <w:color w:val="000000"/>
          <w:sz w:val="22"/>
          <w:szCs w:val="22"/>
        </w:rPr>
        <w:t xml:space="preserve"> nacionales con mínimo un (1) año de existencia […]», significa que la </w:t>
      </w:r>
      <w:proofErr w:type="spellStart"/>
      <w:r w:rsidR="00954389" w:rsidRPr="00954389">
        <w:rPr>
          <w:rFonts w:ascii="Arial" w:eastAsia="Arial" w:hAnsi="Arial" w:cs="Arial"/>
          <w:color w:val="000000"/>
          <w:sz w:val="22"/>
          <w:szCs w:val="22"/>
        </w:rPr>
        <w:t>mypime</w:t>
      </w:r>
      <w:proofErr w:type="spellEnd"/>
      <w:r w:rsidR="00954389" w:rsidRPr="00954389">
        <w:rPr>
          <w:rFonts w:ascii="Arial" w:eastAsia="Arial" w:hAnsi="Arial" w:cs="Arial"/>
          <w:color w:val="000000"/>
          <w:sz w:val="22"/>
          <w:szCs w:val="22"/>
        </w:rPr>
        <w:t>, como persona jurídica, debe haberse constituido con una antigüedad no inferior a un (1) año; circunstancia que se acredita con el certificado de existencia y representación legal. Esto significa, entonces, que no puede deducirse de dicho precepto que el término de un (1) año aluda a su domicilio en un sitio determinado; pues esta es una de las posibles interpretaciones mencionadas en la pregunta, pero no la que el artículo admite.</w:t>
      </w:r>
    </w:p>
    <w:p w14:paraId="11B5548E" w14:textId="4A337984" w:rsidR="00E27BDF" w:rsidRPr="00342184" w:rsidRDefault="006C0DA8">
      <w:pPr>
        <w:spacing w:before="120" w:line="276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42184">
        <w:rPr>
          <w:rFonts w:ascii="Arial" w:eastAsia="Arial" w:hAnsi="Arial" w:cs="Arial"/>
          <w:sz w:val="22"/>
          <w:szCs w:val="22"/>
        </w:rPr>
        <w:t>Con fundamento en las consideraciones anteriores, se contestará</w:t>
      </w:r>
      <w:r w:rsidR="005E2988">
        <w:rPr>
          <w:rFonts w:ascii="Arial" w:eastAsia="Arial" w:hAnsi="Arial" w:cs="Arial"/>
          <w:sz w:val="22"/>
          <w:szCs w:val="22"/>
        </w:rPr>
        <w:t xml:space="preserve"> la inquietud elevada</w:t>
      </w:r>
      <w:r w:rsidRPr="00342184">
        <w:rPr>
          <w:rFonts w:ascii="Arial" w:eastAsia="Arial" w:hAnsi="Arial" w:cs="Arial"/>
          <w:sz w:val="22"/>
          <w:szCs w:val="22"/>
        </w:rPr>
        <w:t>.</w:t>
      </w:r>
    </w:p>
    <w:p w14:paraId="747993BD" w14:textId="77777777" w:rsidR="00E27BDF" w:rsidRPr="00342184" w:rsidRDefault="00E27BDF">
      <w:pPr>
        <w:spacing w:line="276" w:lineRule="auto"/>
        <w:ind w:right="709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725B6CA" w14:textId="77777777" w:rsidR="00E27BDF" w:rsidRPr="00342184" w:rsidRDefault="006C0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342184">
        <w:rPr>
          <w:rFonts w:ascii="Arial" w:eastAsia="Arial" w:hAnsi="Arial" w:cs="Arial"/>
          <w:b/>
          <w:color w:val="000000"/>
          <w:sz w:val="22"/>
          <w:szCs w:val="22"/>
        </w:rPr>
        <w:t xml:space="preserve">Respuesta </w:t>
      </w:r>
    </w:p>
    <w:p w14:paraId="7CE24A68" w14:textId="77777777" w:rsidR="00E27BDF" w:rsidRPr="00342184" w:rsidRDefault="00E27BDF">
      <w:pPr>
        <w:tabs>
          <w:tab w:val="left" w:pos="284"/>
        </w:tabs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531942B" w14:textId="06846585" w:rsidR="00444BF9" w:rsidRPr="00342AEE" w:rsidRDefault="00444BF9" w:rsidP="00D616D1">
      <w:pPr>
        <w:ind w:left="709" w:right="758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42184">
        <w:rPr>
          <w:rFonts w:ascii="Arial" w:eastAsia="Arial" w:hAnsi="Arial" w:cs="Arial"/>
          <w:color w:val="000000"/>
          <w:sz w:val="21"/>
          <w:szCs w:val="21"/>
        </w:rPr>
        <w:t>Frente al artículo 2.2.1.2.4.2.</w:t>
      </w:r>
      <w:r w:rsidR="005E2988">
        <w:rPr>
          <w:rFonts w:ascii="Arial" w:eastAsia="Arial" w:hAnsi="Arial" w:cs="Arial"/>
          <w:color w:val="000000"/>
          <w:sz w:val="21"/>
          <w:szCs w:val="21"/>
        </w:rPr>
        <w:t>2</w:t>
      </w:r>
      <w:r w:rsidRPr="00342184">
        <w:rPr>
          <w:rFonts w:ascii="Arial" w:eastAsia="Arial" w:hAnsi="Arial" w:cs="Arial"/>
          <w:color w:val="000000"/>
          <w:sz w:val="21"/>
          <w:szCs w:val="21"/>
        </w:rPr>
        <w:t xml:space="preserve"> del Decreto 1082 de 2015, se pregunta: </w:t>
      </w:r>
      <w:r w:rsidR="00D616D1" w:rsidRPr="00D616D1">
        <w:rPr>
          <w:rFonts w:ascii="Arial" w:eastAsia="Arial" w:hAnsi="Arial" w:cs="Arial"/>
          <w:color w:val="000000"/>
          <w:sz w:val="21"/>
          <w:szCs w:val="21"/>
        </w:rPr>
        <w:t>«</w:t>
      </w:r>
      <w:r w:rsidR="005E2988" w:rsidRPr="005E2988">
        <w:rPr>
          <w:rFonts w:ascii="Arial" w:eastAsia="Arial" w:hAnsi="Arial" w:cs="Arial"/>
          <w:color w:val="000000"/>
          <w:sz w:val="21"/>
          <w:szCs w:val="21"/>
        </w:rPr>
        <w:t xml:space="preserve">Con respecto a la limitación a </w:t>
      </w:r>
      <w:proofErr w:type="spellStart"/>
      <w:r w:rsidR="005E2988" w:rsidRPr="005E2988">
        <w:rPr>
          <w:rFonts w:ascii="Arial" w:eastAsia="Arial" w:hAnsi="Arial" w:cs="Arial"/>
          <w:color w:val="000000"/>
          <w:sz w:val="21"/>
          <w:szCs w:val="21"/>
        </w:rPr>
        <w:t>mipyme</w:t>
      </w:r>
      <w:proofErr w:type="spellEnd"/>
      <w:r w:rsidR="005E2988" w:rsidRPr="005E2988">
        <w:rPr>
          <w:rFonts w:ascii="Arial" w:eastAsia="Arial" w:hAnsi="Arial" w:cs="Arial"/>
          <w:color w:val="000000"/>
          <w:sz w:val="21"/>
          <w:szCs w:val="21"/>
        </w:rPr>
        <w:t xml:space="preserve"> que trata el Decreto 1082 de 2015 donde se menciona: "(...) las entidades estatales deben limitar a las </w:t>
      </w:r>
      <w:proofErr w:type="spellStart"/>
      <w:r w:rsidR="005E2988" w:rsidRPr="005E2988">
        <w:rPr>
          <w:rFonts w:ascii="Arial" w:eastAsia="Arial" w:hAnsi="Arial" w:cs="Arial"/>
          <w:color w:val="000000"/>
          <w:sz w:val="21"/>
          <w:szCs w:val="21"/>
        </w:rPr>
        <w:t>mipymes</w:t>
      </w:r>
      <w:proofErr w:type="spellEnd"/>
      <w:r w:rsidR="005E2988" w:rsidRPr="005E2988">
        <w:rPr>
          <w:rFonts w:ascii="Arial" w:eastAsia="Arial" w:hAnsi="Arial" w:cs="Arial"/>
          <w:color w:val="000000"/>
          <w:sz w:val="21"/>
          <w:szCs w:val="21"/>
        </w:rPr>
        <w:t xml:space="preserve"> nacionales con mínimo un año de existencia, la convocatoria del proceso de contratación (...)" , el término "un año de existencia" se refiere a que las </w:t>
      </w:r>
      <w:proofErr w:type="spellStart"/>
      <w:r w:rsidR="005E2988" w:rsidRPr="005E2988">
        <w:rPr>
          <w:rFonts w:ascii="Arial" w:eastAsia="Arial" w:hAnsi="Arial" w:cs="Arial"/>
          <w:color w:val="000000"/>
          <w:sz w:val="21"/>
          <w:szCs w:val="21"/>
        </w:rPr>
        <w:t>mipymes</w:t>
      </w:r>
      <w:proofErr w:type="spellEnd"/>
      <w:r w:rsidR="005E2988" w:rsidRPr="005E2988">
        <w:rPr>
          <w:rFonts w:ascii="Arial" w:eastAsia="Arial" w:hAnsi="Arial" w:cs="Arial"/>
          <w:color w:val="000000"/>
          <w:sz w:val="21"/>
          <w:szCs w:val="21"/>
        </w:rPr>
        <w:t xml:space="preserve"> tengan un año de constituidas según el certificado de existencia en cámara de comercio o en su defecto acredite un año con domicilio donde se ejecute la obra y/o servicio producto del proceso de contratación o cumplir con éstos dos requisitos</w:t>
      </w:r>
      <w:r w:rsidR="00D616D1" w:rsidRPr="00342AEE">
        <w:rPr>
          <w:rFonts w:ascii="Arial" w:eastAsia="Arial" w:hAnsi="Arial" w:cs="Arial"/>
          <w:color w:val="000000"/>
          <w:sz w:val="21"/>
          <w:szCs w:val="21"/>
        </w:rPr>
        <w:t>»</w:t>
      </w:r>
    </w:p>
    <w:p w14:paraId="2CBA0195" w14:textId="77777777" w:rsidR="00D616D1" w:rsidRPr="00342AEE" w:rsidRDefault="00D616D1" w:rsidP="00D616D1">
      <w:pPr>
        <w:ind w:left="709" w:right="75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AB31C9" w14:textId="40A4A759" w:rsidR="00BE7EBA" w:rsidRDefault="001377BF" w:rsidP="001377BF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En relación con la convocatoria limitada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s-ES"/>
        </w:rPr>
        <w:t>Mipyme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s-ES"/>
        </w:rPr>
        <w:t>, existen dos reglas</w:t>
      </w:r>
      <w:r w:rsidR="00FF54FA"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FF54FA">
        <w:rPr>
          <w:rFonts w:ascii="Arial" w:eastAsia="Arial" w:hAnsi="Arial" w:cs="Arial"/>
          <w:color w:val="000000"/>
          <w:sz w:val="22"/>
          <w:szCs w:val="22"/>
          <w:lang w:val="es-ES"/>
        </w:rPr>
        <w:t>I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nicialmente</w:t>
      </w:r>
      <w:r w:rsidR="00FF54FA">
        <w:rPr>
          <w:rFonts w:ascii="Arial" w:eastAsia="Arial" w:hAnsi="Arial" w:cs="Arial"/>
          <w:color w:val="000000"/>
          <w:sz w:val="22"/>
          <w:szCs w:val="22"/>
          <w:lang w:val="es-ES"/>
        </w:rPr>
        <w:t>,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el artículo 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 señala que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la entidad estatal debe limitar la convocatoria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s-ES"/>
        </w:rPr>
        <w:t>Mipyme</w:t>
      </w:r>
      <w:proofErr w:type="spellEnd"/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 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nacional 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con mínimo un añ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o de existencia y una vez se acrediten las condiciones señaladas en los numerales 1 y 2</w:t>
      </w:r>
      <w:r w:rsidR="008B7A09"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8B7A09">
        <w:rPr>
          <w:rFonts w:ascii="Arial" w:eastAsia="Arial" w:hAnsi="Arial" w:cs="Arial"/>
          <w:color w:val="000000"/>
          <w:sz w:val="22"/>
          <w:szCs w:val="22"/>
          <w:lang w:val="es-ES"/>
        </w:rPr>
        <w:t>P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or su parte</w:t>
      </w:r>
      <w:r w:rsidR="008B7A09">
        <w:rPr>
          <w:rFonts w:ascii="Arial" w:eastAsia="Arial" w:hAnsi="Arial" w:cs="Arial"/>
          <w:color w:val="000000"/>
          <w:sz w:val="22"/>
          <w:szCs w:val="22"/>
          <w:lang w:val="es-ES"/>
        </w:rPr>
        <w:t>,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el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artículo 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1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3 </w:t>
      </w:r>
      <w:r w:rsidR="00FF54F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consagra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la limitación territorial que se puede aplicar para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s-ES"/>
        </w:rPr>
        <w:t>M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ipymes</w:t>
      </w:r>
      <w:proofErr w:type="spellEnd"/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 nacionales domiciliadas en el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departamento o municipio en donde se va a ejecutar el contrato</w:t>
      </w:r>
      <w:r w:rsidR="00F17AC3">
        <w:rPr>
          <w:rFonts w:ascii="Arial" w:eastAsia="Arial" w:hAnsi="Arial" w:cs="Arial"/>
          <w:color w:val="000000"/>
          <w:sz w:val="22"/>
          <w:szCs w:val="22"/>
          <w:lang w:val="es-ES"/>
        </w:rPr>
        <w:t>;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no obstante estas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s-ES"/>
        </w:rPr>
        <w:t>Mypimes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ostentan la calidad de nacionales, pues no existe en el ordenamiento jurídico 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s-ES"/>
        </w:rPr>
        <w:t>Mypime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 orden territorial</w:t>
      </w:r>
      <w:r w:rsidR="00F17AC3">
        <w:rPr>
          <w:rFonts w:ascii="Arial" w:eastAsia="Arial" w:hAnsi="Arial" w:cs="Arial"/>
          <w:color w:val="000000"/>
          <w:sz w:val="22"/>
          <w:szCs w:val="22"/>
          <w:lang w:val="es-ES"/>
        </w:rPr>
        <w:t>;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razón por la cual el requisito 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mínimo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de un año de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existencia se refiere a la </w:t>
      </w:r>
      <w:proofErr w:type="spellStart"/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>Mipyme</w:t>
      </w:r>
      <w:proofErr w:type="spellEnd"/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nacional, exigencia que se 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acredita con </w:t>
      </w:r>
      <w:r w:rsidR="00F17AC3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el </w:t>
      </w:r>
      <w:r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certificado 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 existencia proferido por la </w:t>
      </w:r>
      <w:r w:rsidR="00F17AC3">
        <w:rPr>
          <w:rFonts w:ascii="Arial" w:eastAsia="Arial" w:hAnsi="Arial" w:cs="Arial"/>
          <w:color w:val="000000"/>
          <w:sz w:val="22"/>
          <w:szCs w:val="22"/>
          <w:lang w:val="es-ES"/>
        </w:rPr>
        <w:t>c</w:t>
      </w:r>
      <w:r w:rsidR="009E7A1D">
        <w:rPr>
          <w:rFonts w:ascii="Arial" w:eastAsia="Arial" w:hAnsi="Arial" w:cs="Arial"/>
          <w:color w:val="000000"/>
          <w:sz w:val="22"/>
          <w:szCs w:val="22"/>
          <w:lang w:val="es-ES"/>
        </w:rPr>
        <w:t>á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mara de </w:t>
      </w:r>
      <w:r w:rsidR="00F17AC3">
        <w:rPr>
          <w:rFonts w:ascii="Arial" w:eastAsia="Arial" w:hAnsi="Arial" w:cs="Arial"/>
          <w:color w:val="000000"/>
          <w:sz w:val="22"/>
          <w:szCs w:val="22"/>
          <w:lang w:val="es-ES"/>
        </w:rPr>
        <w:t>c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>omercio</w:t>
      </w:r>
      <w:r w:rsidR="00F17AC3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respectiva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</w:t>
      </w:r>
    </w:p>
    <w:p w14:paraId="0A516A7C" w14:textId="77777777" w:rsidR="009D33E2" w:rsidRDefault="009D33E2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1DE96592" w14:textId="2A4B90A6" w:rsidR="00E27BDF" w:rsidRPr="001377BF" w:rsidRDefault="009D33E2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lastRenderedPageBreak/>
        <w:t>De igual forma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>, no es necesario acreditar un año</w:t>
      </w:r>
      <w:r w:rsidR="00270CC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 existencia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con </w:t>
      </w:r>
      <w:r w:rsidR="001377BF"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domicilio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en el lugar en donde se ejecutará la obra o se prestará el servicio, pues esta disposición desconocería </w:t>
      </w:r>
      <w:r w:rsidR="001377BF"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la regla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establecida en el artículo 2.2.1.2.4.2.2</w:t>
      </w:r>
      <w:r w:rsidR="001377BF"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del </w:t>
      </w:r>
      <w:r w:rsidR="00F17AC3">
        <w:rPr>
          <w:rFonts w:ascii="Arial" w:eastAsia="Arial" w:hAnsi="Arial" w:cs="Arial"/>
          <w:color w:val="000000"/>
          <w:sz w:val="22"/>
          <w:szCs w:val="22"/>
          <w:lang w:val="es-ES"/>
        </w:rPr>
        <w:t>D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>ecreto 1082 de 2015 en relación con el</w:t>
      </w:r>
      <w:r w:rsidR="001377BF"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incentivo </w:t>
      </w:r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en la contratación pública para </w:t>
      </w:r>
      <w:proofErr w:type="spellStart"/>
      <w:r w:rsidR="00BE7EBA">
        <w:rPr>
          <w:rFonts w:ascii="Arial" w:eastAsia="Arial" w:hAnsi="Arial" w:cs="Arial"/>
          <w:color w:val="000000"/>
          <w:sz w:val="22"/>
          <w:szCs w:val="22"/>
          <w:lang w:val="es-ES"/>
        </w:rPr>
        <w:t>M</w:t>
      </w:r>
      <w:r w:rsidR="001377BF"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>ipymes</w:t>
      </w:r>
      <w:proofErr w:type="spellEnd"/>
      <w:r w:rsidR="001377BF" w:rsidRPr="001377BF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 nacionales. </w:t>
      </w:r>
    </w:p>
    <w:p w14:paraId="1DEA64EA" w14:textId="77777777" w:rsidR="00E27BDF" w:rsidRPr="00342184" w:rsidRDefault="006C0DA8">
      <w:pPr>
        <w:spacing w:before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2AEE">
        <w:rPr>
          <w:rFonts w:ascii="Arial" w:eastAsia="Arial" w:hAnsi="Arial" w:cs="Arial"/>
          <w:color w:val="000000"/>
          <w:sz w:val="22"/>
          <w:szCs w:val="22"/>
        </w:rPr>
        <w:t>Este concepto tiene el alcance previsto en</w:t>
      </w:r>
      <w:r w:rsidRPr="00342184">
        <w:rPr>
          <w:rFonts w:ascii="Arial" w:eastAsia="Arial" w:hAnsi="Arial" w:cs="Arial"/>
          <w:color w:val="000000"/>
          <w:sz w:val="22"/>
          <w:szCs w:val="22"/>
        </w:rPr>
        <w:t xml:space="preserve"> el artículo 28 del Código de Procedimiento Administrativo y de lo Contencioso Administrativo.</w:t>
      </w:r>
    </w:p>
    <w:p w14:paraId="442E1470" w14:textId="77777777" w:rsidR="00E27BDF" w:rsidRPr="00342184" w:rsidRDefault="00E27BDF">
      <w:pPr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B24C02" w14:textId="77777777" w:rsidR="00D616D1" w:rsidRPr="00007A77" w:rsidRDefault="00D616D1" w:rsidP="00D616D1">
      <w:pPr>
        <w:spacing w:line="276" w:lineRule="auto"/>
        <w:rPr>
          <w:rFonts w:ascii="Arial" w:hAnsi="Arial" w:cs="Arial"/>
          <w:color w:val="000000" w:themeColor="text1"/>
          <w:sz w:val="22"/>
          <w:lang w:val="es-ES_tradnl" w:eastAsia="es-CO"/>
        </w:rPr>
      </w:pPr>
      <w:r w:rsidRPr="00007A77">
        <w:rPr>
          <w:rFonts w:ascii="Arial" w:hAnsi="Arial" w:cs="Arial"/>
          <w:color w:val="000000" w:themeColor="text1"/>
          <w:sz w:val="22"/>
          <w:lang w:val="es-ES_tradnl" w:eastAsia="es-CO"/>
        </w:rPr>
        <w:t>Atentamente,</w:t>
      </w:r>
    </w:p>
    <w:p w14:paraId="2E1AAD23" w14:textId="77777777" w:rsidR="00D616D1" w:rsidRPr="00007A77" w:rsidRDefault="00D616D1" w:rsidP="00D616D1">
      <w:pPr>
        <w:spacing w:line="276" w:lineRule="auto"/>
        <w:rPr>
          <w:rFonts w:ascii="Arial" w:hAnsi="Arial" w:cs="Arial"/>
          <w:color w:val="000000" w:themeColor="text1"/>
          <w:sz w:val="18"/>
          <w:szCs w:val="20"/>
          <w:lang w:val="es-ES_tradnl" w:eastAsia="es-CO"/>
        </w:rPr>
      </w:pPr>
    </w:p>
    <w:p w14:paraId="21084871" w14:textId="0DA823CF" w:rsidR="001377BF" w:rsidRDefault="009D1B61" w:rsidP="00D616D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_tradnl" w:eastAsia="es-CO"/>
        </w:rPr>
      </w:pPr>
      <w:r>
        <w:rPr>
          <w:noProof/>
          <w:lang w:eastAsia="es-CO"/>
        </w:rPr>
        <w:drawing>
          <wp:inline distT="0" distB="0" distL="0" distR="0" wp14:anchorId="40DABA86" wp14:editId="22326CF7">
            <wp:extent cx="2514600" cy="111252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C24A" w14:textId="77777777" w:rsidR="00954389" w:rsidRPr="001377BF" w:rsidRDefault="00954389" w:rsidP="00D616D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_tradnl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13"/>
      </w:tblGrid>
      <w:tr w:rsidR="00D616D1" w:rsidRPr="00007A77" w14:paraId="6053D200" w14:textId="77777777" w:rsidTr="004938A8">
        <w:trPr>
          <w:trHeight w:val="315"/>
        </w:trPr>
        <w:tc>
          <w:tcPr>
            <w:tcW w:w="812" w:type="dxa"/>
            <w:vAlign w:val="center"/>
            <w:hideMark/>
          </w:tcPr>
          <w:p w14:paraId="170110FF" w14:textId="77777777" w:rsidR="00D616D1" w:rsidRPr="00007A77" w:rsidRDefault="00D616D1" w:rsidP="004938A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 w:rsidRPr="00007A77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Elaboró:</w:t>
            </w:r>
          </w:p>
        </w:tc>
        <w:tc>
          <w:tcPr>
            <w:tcW w:w="4413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  <w:hideMark/>
          </w:tcPr>
          <w:p w14:paraId="1EF5B671" w14:textId="2F8326CF" w:rsidR="00D616D1" w:rsidRPr="00007A77" w:rsidRDefault="001377BF" w:rsidP="004938A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 xml:space="preserve">Deisy Joanna Forero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Forero</w:t>
            </w:r>
            <w:proofErr w:type="spellEnd"/>
          </w:p>
          <w:p w14:paraId="5364E28B" w14:textId="77777777" w:rsidR="00D616D1" w:rsidRPr="00007A77" w:rsidRDefault="00D616D1" w:rsidP="004938A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 w:rsidRPr="00007A77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Contratista de la Subdirección de Gestión Contractual</w:t>
            </w:r>
          </w:p>
        </w:tc>
      </w:tr>
      <w:tr w:rsidR="00D616D1" w:rsidRPr="00007A77" w14:paraId="1721FD83" w14:textId="77777777" w:rsidTr="004938A8">
        <w:trPr>
          <w:trHeight w:val="330"/>
        </w:trPr>
        <w:tc>
          <w:tcPr>
            <w:tcW w:w="812" w:type="dxa"/>
            <w:vAlign w:val="center"/>
            <w:hideMark/>
          </w:tcPr>
          <w:p w14:paraId="0AAC2C3C" w14:textId="77777777" w:rsidR="00D616D1" w:rsidRPr="00007A77" w:rsidRDefault="00D616D1" w:rsidP="004938A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 w:rsidRPr="00007A77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Revisó:</w:t>
            </w:r>
          </w:p>
        </w:tc>
        <w:tc>
          <w:tcPr>
            <w:tcW w:w="441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  <w:hideMark/>
          </w:tcPr>
          <w:p w14:paraId="55DD2BEA" w14:textId="0845AFBA" w:rsidR="00D616D1" w:rsidRPr="00007A77" w:rsidRDefault="007513D6" w:rsidP="00D616D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Cristian Andrés Díaz Díez</w:t>
            </w:r>
          </w:p>
          <w:p w14:paraId="7CA9BF6F" w14:textId="16C0BCB4" w:rsidR="00D616D1" w:rsidRPr="00007A77" w:rsidRDefault="003B3252" w:rsidP="00D616D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 xml:space="preserve">Contratista de la </w:t>
            </w:r>
            <w:r w:rsidR="00D616D1" w:rsidRPr="00007A77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Subdirec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ción</w:t>
            </w:r>
            <w:r w:rsidR="00D616D1" w:rsidRPr="00007A77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 xml:space="preserve"> de Gestión Contractual</w:t>
            </w:r>
          </w:p>
        </w:tc>
      </w:tr>
      <w:tr w:rsidR="00D616D1" w:rsidRPr="000C7C28" w14:paraId="0A7A1E6F" w14:textId="77777777" w:rsidTr="004938A8">
        <w:trPr>
          <w:trHeight w:val="300"/>
        </w:trPr>
        <w:tc>
          <w:tcPr>
            <w:tcW w:w="812" w:type="dxa"/>
            <w:vAlign w:val="center"/>
            <w:hideMark/>
          </w:tcPr>
          <w:p w14:paraId="0E074B8E" w14:textId="77777777" w:rsidR="00D616D1" w:rsidRPr="00007A77" w:rsidRDefault="00D616D1" w:rsidP="004938A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 w:rsidRPr="00007A77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Aprobó:</w:t>
            </w:r>
          </w:p>
        </w:tc>
        <w:tc>
          <w:tcPr>
            <w:tcW w:w="441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  <w:hideMark/>
          </w:tcPr>
          <w:p w14:paraId="48EA4C92" w14:textId="0CD52525" w:rsidR="00D616D1" w:rsidRPr="00007A77" w:rsidRDefault="007513D6" w:rsidP="004938A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 xml:space="preserve">Jorge </w:t>
            </w:r>
            <w:r w:rsidR="00E314E4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 xml:space="preserve">Augusto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Tirado</w:t>
            </w:r>
            <w:r w:rsidR="00631C3F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 xml:space="preserve"> Navarro</w:t>
            </w:r>
          </w:p>
          <w:p w14:paraId="5F88498A" w14:textId="23B4FF5B" w:rsidR="00D616D1" w:rsidRPr="000C7C28" w:rsidRDefault="00D616D1" w:rsidP="004938A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</w:pPr>
            <w:r w:rsidRPr="00007A77">
              <w:rPr>
                <w:rFonts w:ascii="Arial" w:hAnsi="Arial" w:cs="Arial"/>
                <w:color w:val="000000" w:themeColor="text1"/>
                <w:sz w:val="16"/>
                <w:szCs w:val="16"/>
                <w:lang w:val="es-ES_tradnl" w:eastAsia="es-ES"/>
              </w:rPr>
              <w:t>Subdirector de Gestión Contractual</w:t>
            </w:r>
          </w:p>
        </w:tc>
      </w:tr>
    </w:tbl>
    <w:p w14:paraId="12946462" w14:textId="77777777" w:rsidR="00E27BDF" w:rsidRDefault="00E27BDF">
      <w:pPr>
        <w:jc w:val="both"/>
        <w:rPr>
          <w:color w:val="000000"/>
        </w:rPr>
      </w:pPr>
    </w:p>
    <w:sectPr w:rsidR="00E27BDF">
      <w:headerReference w:type="default" r:id="rId12"/>
      <w:footerReference w:type="default" r:id="rId13"/>
      <w:pgSz w:w="12240" w:h="15840"/>
      <w:pgMar w:top="2041" w:right="1701" w:bottom="1418" w:left="1701" w:header="340" w:footer="227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01A6C" w16cex:dateUtc="2020-10-13T17:22:00Z"/>
  <w16cex:commentExtensible w16cex:durableId="23301A51" w16cex:dateUtc="2020-10-13T17:21:00Z"/>
  <w16cex:commentExtensible w16cex:durableId="23301B36" w16cex:dateUtc="2020-10-13T17:25:00Z"/>
  <w16cex:commentExtensible w16cex:durableId="23301B64" w16cex:dateUtc="2020-10-13T17:26:00Z"/>
  <w16cex:commentExtensible w16cex:durableId="23301BB7" w16cex:dateUtc="2020-10-13T17:27:00Z"/>
  <w16cex:commentExtensible w16cex:durableId="23301C2E" w16cex:dateUtc="2020-10-13T17:29:00Z"/>
  <w16cex:commentExtensible w16cex:durableId="23301C8A" w16cex:dateUtc="2020-10-13T17:31:00Z"/>
  <w16cex:commentExtensible w16cex:durableId="233C80E2" w16cex:dateUtc="2020-10-23T03:06:00Z"/>
  <w16cex:commentExtensible w16cex:durableId="23301D1E" w16cex:dateUtc="2020-10-13T17:33:00Z"/>
  <w16cex:commentExtensible w16cex:durableId="23301DAF" w16cex:dateUtc="2020-10-13T17:35:00Z"/>
  <w16cex:commentExtensible w16cex:durableId="23301DFD" w16cex:dateUtc="2020-10-13T17:37:00Z"/>
  <w16cex:commentExtensible w16cex:durableId="233C824E" w16cex:dateUtc="2020-10-23T03:12:00Z"/>
  <w16cex:commentExtensible w16cex:durableId="23301F65" w16cex:dateUtc="2020-10-13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C694CC" w16cid:durableId="23301A6C"/>
  <w16cid:commentId w16cid:paraId="55A952B6" w16cid:durableId="23301A51"/>
  <w16cid:commentId w16cid:paraId="7A070D58" w16cid:durableId="23301B36"/>
  <w16cid:commentId w16cid:paraId="1D9637AF" w16cid:durableId="23301B64"/>
  <w16cid:commentId w16cid:paraId="044AA1AB" w16cid:durableId="23301BB7"/>
  <w16cid:commentId w16cid:paraId="3068A76F" w16cid:durableId="23301C2E"/>
  <w16cid:commentId w16cid:paraId="50DF02D9" w16cid:durableId="23301C8A"/>
  <w16cid:commentId w16cid:paraId="442618CF" w16cid:durableId="233C80E2"/>
  <w16cid:commentId w16cid:paraId="4B2E66C0" w16cid:durableId="23301D1E"/>
  <w16cid:commentId w16cid:paraId="1C642304" w16cid:durableId="23301DAF"/>
  <w16cid:commentId w16cid:paraId="1AA815EF" w16cid:durableId="23301DFD"/>
  <w16cid:commentId w16cid:paraId="1DF53004" w16cid:durableId="233C824E"/>
  <w16cid:commentId w16cid:paraId="4B6FB6CD" w16cid:durableId="23301F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7A0B9" w14:textId="77777777" w:rsidR="00D51E11" w:rsidRDefault="00D51E11">
      <w:r>
        <w:separator/>
      </w:r>
    </w:p>
  </w:endnote>
  <w:endnote w:type="continuationSeparator" w:id="0">
    <w:p w14:paraId="1CFDF521" w14:textId="77777777" w:rsidR="00D51E11" w:rsidRDefault="00D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E0B4" w14:textId="41751187" w:rsidR="004938A8" w:rsidRDefault="004938A8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8"/>
        <w:szCs w:val="18"/>
      </w:rPr>
    </w:pPr>
  </w:p>
  <w:p w14:paraId="432E397D" w14:textId="77777777" w:rsidR="004938A8" w:rsidRDefault="004938A8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8"/>
        <w:szCs w:val="18"/>
      </w:rPr>
    </w:pPr>
  </w:p>
  <w:p w14:paraId="1E263B40" w14:textId="02ED2832" w:rsidR="004938A8" w:rsidRDefault="004938A8" w:rsidP="002034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color w:val="7F7F7F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7F7F7F"/>
        <w:sz w:val="16"/>
        <w:szCs w:val="16"/>
      </w:rPr>
      <w:fldChar w:fldCharType="begin"/>
    </w:r>
    <w:r>
      <w:rPr>
        <w:rFonts w:ascii="Arial" w:eastAsia="Arial" w:hAnsi="Arial" w:cs="Arial"/>
        <w:b/>
        <w:color w:val="7F7F7F"/>
        <w:sz w:val="16"/>
        <w:szCs w:val="16"/>
      </w:rPr>
      <w:instrText>PAGE</w:instrText>
    </w:r>
    <w:r>
      <w:rPr>
        <w:rFonts w:ascii="Arial" w:eastAsia="Arial" w:hAnsi="Arial" w:cs="Arial"/>
        <w:b/>
        <w:color w:val="7F7F7F"/>
        <w:sz w:val="16"/>
        <w:szCs w:val="16"/>
      </w:rPr>
      <w:fldChar w:fldCharType="separate"/>
    </w:r>
    <w:r w:rsidR="009D1B61">
      <w:rPr>
        <w:rFonts w:ascii="Arial" w:eastAsia="Arial" w:hAnsi="Arial" w:cs="Arial"/>
        <w:b/>
        <w:noProof/>
        <w:color w:val="7F7F7F"/>
        <w:sz w:val="16"/>
        <w:szCs w:val="16"/>
      </w:rPr>
      <w:t>9</w:t>
    </w:r>
    <w:r>
      <w:rPr>
        <w:rFonts w:ascii="Arial" w:eastAsia="Arial" w:hAnsi="Arial" w:cs="Arial"/>
        <w:b/>
        <w:color w:val="7F7F7F"/>
        <w:sz w:val="16"/>
        <w:szCs w:val="16"/>
      </w:rPr>
      <w:fldChar w:fldCharType="end"/>
    </w:r>
    <w:r>
      <w:rPr>
        <w:rFonts w:ascii="Arial" w:eastAsia="Arial" w:hAnsi="Arial" w:cs="Arial"/>
        <w:color w:val="7F7F7F"/>
        <w:sz w:val="16"/>
        <w:szCs w:val="16"/>
      </w:rPr>
      <w:t xml:space="preserve"> de </w:t>
    </w:r>
    <w:r>
      <w:rPr>
        <w:rFonts w:ascii="Arial" w:eastAsia="Arial" w:hAnsi="Arial" w:cs="Arial"/>
        <w:b/>
        <w:color w:val="7F7F7F"/>
        <w:sz w:val="16"/>
        <w:szCs w:val="16"/>
      </w:rPr>
      <w:fldChar w:fldCharType="begin"/>
    </w:r>
    <w:r>
      <w:rPr>
        <w:rFonts w:ascii="Arial" w:eastAsia="Arial" w:hAnsi="Arial" w:cs="Arial"/>
        <w:b/>
        <w:color w:val="7F7F7F"/>
        <w:sz w:val="16"/>
        <w:szCs w:val="16"/>
      </w:rPr>
      <w:instrText>NUMPAGES</w:instrText>
    </w:r>
    <w:r>
      <w:rPr>
        <w:rFonts w:ascii="Arial" w:eastAsia="Arial" w:hAnsi="Arial" w:cs="Arial"/>
        <w:b/>
        <w:color w:val="7F7F7F"/>
        <w:sz w:val="16"/>
        <w:szCs w:val="16"/>
      </w:rPr>
      <w:fldChar w:fldCharType="separate"/>
    </w:r>
    <w:r w:rsidR="009D1B61">
      <w:rPr>
        <w:rFonts w:ascii="Arial" w:eastAsia="Arial" w:hAnsi="Arial" w:cs="Arial"/>
        <w:b/>
        <w:noProof/>
        <w:color w:val="7F7F7F"/>
        <w:sz w:val="16"/>
        <w:szCs w:val="16"/>
      </w:rPr>
      <w:t>9</w:t>
    </w:r>
    <w:r>
      <w:rPr>
        <w:rFonts w:ascii="Arial" w:eastAsia="Arial" w:hAnsi="Arial" w:cs="Arial"/>
        <w:b/>
        <w:color w:val="7F7F7F"/>
        <w:sz w:val="16"/>
        <w:szCs w:val="16"/>
      </w:rPr>
      <w:fldChar w:fldCharType="end"/>
    </w:r>
  </w:p>
  <w:p w14:paraId="3BBBC245" w14:textId="5F605B42" w:rsidR="004938A8" w:rsidRDefault="004938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es-CO"/>
      </w:rPr>
      <w:drawing>
        <wp:inline distT="0" distB="0" distL="0" distR="0" wp14:anchorId="30E83ACA" wp14:editId="5824278E">
          <wp:extent cx="3700130" cy="51913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0130" cy="519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99CD91" w14:textId="77777777" w:rsidR="004938A8" w:rsidRDefault="004938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378D973" w14:textId="77777777" w:rsidR="004938A8" w:rsidRDefault="004938A8" w:rsidP="00E737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CEA5" w14:textId="77777777" w:rsidR="00D51E11" w:rsidRDefault="00D51E11">
      <w:r>
        <w:separator/>
      </w:r>
    </w:p>
  </w:footnote>
  <w:footnote w:type="continuationSeparator" w:id="0">
    <w:p w14:paraId="67C8210B" w14:textId="77777777" w:rsidR="00D51E11" w:rsidRDefault="00D51E11">
      <w:r>
        <w:continuationSeparator/>
      </w:r>
    </w:p>
  </w:footnote>
  <w:footnote w:id="1">
    <w:p w14:paraId="7D39ABD7" w14:textId="7ED4B5DE" w:rsidR="004938A8" w:rsidRPr="008B50CA" w:rsidRDefault="004938A8" w:rsidP="008E34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8B50CA">
        <w:rPr>
          <w:rFonts w:ascii="Arial" w:hAnsi="Arial" w:cs="Arial"/>
          <w:sz w:val="19"/>
          <w:szCs w:val="19"/>
          <w:vertAlign w:val="superscript"/>
        </w:rPr>
        <w:footnoteRef/>
      </w:r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Artículo 2.2.1.13.2.2. del Decreto 1074 de 2015, adicionado por el Decreto 957 de 2019.</w:t>
      </w:r>
    </w:p>
    <w:p w14:paraId="415210CA" w14:textId="77777777" w:rsidR="004938A8" w:rsidRPr="008B50CA" w:rsidRDefault="004938A8" w:rsidP="008E34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</w:p>
  </w:footnote>
  <w:footnote w:id="2">
    <w:p w14:paraId="288252E4" w14:textId="77777777" w:rsidR="004938A8" w:rsidRPr="008B50CA" w:rsidRDefault="004938A8" w:rsidP="008E34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8B50CA">
        <w:rPr>
          <w:rFonts w:ascii="Arial" w:hAnsi="Arial" w:cs="Arial"/>
          <w:sz w:val="19"/>
          <w:szCs w:val="19"/>
          <w:vertAlign w:val="superscript"/>
        </w:rPr>
        <w:footnoteRef/>
      </w:r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«Artículo 12. Concurrencia de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a los mercados de bienes y servicios que crea el funcionamiento del Estado. Con el fin de promover la concurrencia de las micro, pequeñas y medianas empresas a los mercados de bienes y servicios que crea el funcionamiento del Estado, las entidades indicadas en el artículo 2o de la Ley 80 de 1993 o de la ley que la modifique, consultando lo previsto en esa ley y en los convenios y acuerdos internacionales: […]</w:t>
      </w:r>
    </w:p>
    <w:p w14:paraId="2AB2AB01" w14:textId="77777777" w:rsidR="004938A8" w:rsidRPr="008B50CA" w:rsidRDefault="004938A8" w:rsidP="008E34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8B50CA">
        <w:rPr>
          <w:rFonts w:ascii="Arial" w:eastAsia="Arial" w:hAnsi="Arial" w:cs="Arial"/>
          <w:color w:val="000000"/>
          <w:sz w:val="19"/>
          <w:szCs w:val="19"/>
        </w:rPr>
        <w:tab/>
        <w:t xml:space="preserve">»4. Las entidades públicas del orden nacional, departamental y municipal preferirán en condiciones de igual precio, calidad y capacidad de suministros y servicio a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nacionales».</w:t>
      </w:r>
    </w:p>
    <w:p w14:paraId="2357055B" w14:textId="77777777" w:rsidR="004938A8" w:rsidRPr="008B50CA" w:rsidRDefault="004938A8" w:rsidP="008E34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</w:p>
  </w:footnote>
  <w:footnote w:id="3">
    <w:p w14:paraId="5C752C2E" w14:textId="77777777" w:rsidR="004938A8" w:rsidRPr="008B50CA" w:rsidRDefault="004938A8" w:rsidP="008E34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8B50CA">
        <w:rPr>
          <w:rFonts w:ascii="Arial" w:hAnsi="Arial" w:cs="Arial"/>
          <w:sz w:val="19"/>
          <w:szCs w:val="19"/>
          <w:vertAlign w:val="superscript"/>
        </w:rPr>
        <w:footnoteRef/>
      </w:r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Allí se dijo: «La ley establece mecanismos indispensables para permitir la creación y operación de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en un escenario de competitividad. Así, se abordan los siguientes frentes: 1. El acceso a mercados y bienes y servicios; 2. El desarrollo tecnológico y talento humano; 3. El acceso a mercados financieros, y; 4. La creación de unidades empresariales (…) Para garantizar el acceso de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a los mercados de bienes y servicios cuando éstos son creados por el funcionamiento del Estado y promover la concurrencia, las entidades estatales (definidas en el artículo 2 de la ley 80 de 1993) deben: 1. Desarrollar programas de aplicación de las normas sobre contratación administrativa y las concordantes de ciencia y tecnología en lo atinente a la preferencia de normas nacionales, desagregación tecnológica y componente nacional en la adquisición de bienes y servicios; 2. Promocionar e incrementar, conforme con su presupuesto, la participación de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como proveedoras de bienes y servicios que demanden; 3. Establecer procedimientos administrativos que faciliten que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cumplan con los requisitos y trámites relativos a pedidos, recepción de bienes o servicios, condiciones de pago y acceso a la información sobre sus programas de inversión y gasto, y; 4. Preferir en condiciones de igual precio, calidad y capacidad de suministro y servicios a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nacionales».</w:t>
      </w:r>
    </w:p>
    <w:p w14:paraId="162CBC6D" w14:textId="77777777" w:rsidR="004938A8" w:rsidRPr="008B50CA" w:rsidRDefault="004938A8" w:rsidP="008E34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</w:p>
  </w:footnote>
  <w:footnote w:id="4">
    <w:p w14:paraId="5F65FABB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  <w:r>
        <w:rPr>
          <w:rStyle w:val="Refdenotaalpie"/>
        </w:rPr>
        <w:footnoteRef/>
      </w:r>
      <w:r>
        <w:t xml:space="preserve"> </w:t>
      </w:r>
      <w:r w:rsidRPr="0004471B">
        <w:rPr>
          <w:sz w:val="19"/>
          <w:szCs w:val="19"/>
        </w:rPr>
        <w:t xml:space="preserve">Artículo 12. Promoción del desarrollo en la contratación pública. De conformidad con lo dispuesto en los artículos 13, 333 y 334 de la Constitución Política, el Gobierno Nacional definirá las condiciones y los montos de acuerdo con los compromisos internacionales vigentes, para que en desarrollo de los procesos de selección, </w:t>
      </w:r>
      <w:r w:rsidRPr="0004471B">
        <w:rPr>
          <w:i/>
          <w:sz w:val="19"/>
          <w:szCs w:val="19"/>
        </w:rPr>
        <w:t xml:space="preserve">las entidades estatales adopten en beneficio de las </w:t>
      </w:r>
      <w:proofErr w:type="spellStart"/>
      <w:r w:rsidRPr="0004471B">
        <w:rPr>
          <w:i/>
          <w:sz w:val="19"/>
          <w:szCs w:val="19"/>
        </w:rPr>
        <w:t>Mipymes</w:t>
      </w:r>
      <w:proofErr w:type="spellEnd"/>
      <w:r w:rsidRPr="0004471B">
        <w:rPr>
          <w:i/>
          <w:sz w:val="19"/>
          <w:szCs w:val="19"/>
        </w:rPr>
        <w:t xml:space="preserve">, convocatorias limitadas a estas en las que, previo a la Resolución de apertura del proceso respectivo, se haya manifestado el interés del número plural de </w:t>
      </w:r>
      <w:proofErr w:type="spellStart"/>
      <w:r w:rsidRPr="0004471B">
        <w:rPr>
          <w:i/>
          <w:sz w:val="19"/>
          <w:szCs w:val="19"/>
        </w:rPr>
        <w:t>Mipymes</w:t>
      </w:r>
      <w:proofErr w:type="spellEnd"/>
      <w:r w:rsidRPr="0004471B">
        <w:rPr>
          <w:i/>
          <w:sz w:val="19"/>
          <w:szCs w:val="19"/>
        </w:rPr>
        <w:t xml:space="preserve"> que haya sido determinado en el reglamento</w:t>
      </w:r>
      <w:r w:rsidRPr="0004471B">
        <w:rPr>
          <w:sz w:val="19"/>
          <w:szCs w:val="19"/>
        </w:rPr>
        <w:t>.</w:t>
      </w:r>
    </w:p>
    <w:p w14:paraId="6650B2AB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</w:p>
    <w:p w14:paraId="40E3490D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  <w:r w:rsidRPr="0004471B">
        <w:rPr>
          <w:sz w:val="19"/>
          <w:szCs w:val="19"/>
        </w:rPr>
        <w:t xml:space="preserve">Asimismo, el reglamento podrá establecer condiciones preferenciales en favor de la oferta de bienes y servicios producidos por las </w:t>
      </w:r>
      <w:proofErr w:type="spellStart"/>
      <w:r w:rsidRPr="0004471B">
        <w:rPr>
          <w:sz w:val="19"/>
          <w:szCs w:val="19"/>
        </w:rPr>
        <w:t>Mipymes</w:t>
      </w:r>
      <w:proofErr w:type="spellEnd"/>
      <w:r w:rsidRPr="0004471B">
        <w:rPr>
          <w:sz w:val="19"/>
          <w:szCs w:val="19"/>
        </w:rPr>
        <w:t>, respetando los montos y las condiciones contenidas en los compromisos internacionales vigentes.</w:t>
      </w:r>
    </w:p>
    <w:p w14:paraId="6A764605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</w:p>
    <w:p w14:paraId="566926E6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  <w:r w:rsidRPr="0004471B">
        <w:rPr>
          <w:sz w:val="19"/>
          <w:szCs w:val="19"/>
        </w:rPr>
        <w:t>En todo caso, se deberá garantizar la satisfacción de las condiciones técnicas y económicas requeridas en la contratación y, realizarse la selección de acuerdo con las modalidades de selección a las que se refiere el Estatuto General de Contratación de la Administración Pública.</w:t>
      </w:r>
    </w:p>
    <w:p w14:paraId="1B0633C7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</w:p>
    <w:p w14:paraId="57FD142F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  <w:r w:rsidRPr="0004471B">
        <w:rPr>
          <w:sz w:val="19"/>
          <w:szCs w:val="19"/>
        </w:rPr>
        <w:t>De igual forma, en los pliegos de condiciones las entidades estatales, dispondrán, de mecanismos que fomenten en la ejecución de los contratos estatales la provisión de bienes y servicios por población en pobreza extrema, desplazados por la violencia, personas en proceso de reintegración y, sujetos de especial protección constitucional en las condiciones que señale el reglamento; siempre que se garanticen las condiciones de calidad y cumplimiento del objeto contractual.</w:t>
      </w:r>
    </w:p>
    <w:p w14:paraId="22FC4670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</w:p>
    <w:p w14:paraId="4326F7BA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  <w:r w:rsidRPr="0004471B">
        <w:rPr>
          <w:sz w:val="19"/>
          <w:szCs w:val="19"/>
        </w:rPr>
        <w:t xml:space="preserve">PARÁGRAFO 1o. En los procesos de selección que se desarrollen con base en el primer inciso, las entidades podrán realizar las convocatorias limitadas que beneficien a las </w:t>
      </w:r>
      <w:proofErr w:type="spellStart"/>
      <w:r w:rsidRPr="0004471B">
        <w:rPr>
          <w:sz w:val="19"/>
          <w:szCs w:val="19"/>
        </w:rPr>
        <w:t>Mipymes</w:t>
      </w:r>
      <w:proofErr w:type="spellEnd"/>
      <w:r w:rsidRPr="0004471B">
        <w:rPr>
          <w:sz w:val="19"/>
          <w:szCs w:val="19"/>
        </w:rPr>
        <w:t xml:space="preserve"> del ámbito municipal o departamental correspondiente al de la ejecución del contrato.</w:t>
      </w:r>
    </w:p>
    <w:p w14:paraId="48FA6785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</w:p>
    <w:p w14:paraId="4962480F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  <w:r w:rsidRPr="0004471B">
        <w:rPr>
          <w:sz w:val="19"/>
          <w:szCs w:val="19"/>
        </w:rPr>
        <w:t xml:space="preserve">PARÁGRAFO 2o. Sin perjuicio de lo dispuesto en los artículos 5 y 6 de la Ley 1150 de 2007, para que las </w:t>
      </w:r>
      <w:proofErr w:type="spellStart"/>
      <w:r w:rsidRPr="0004471B">
        <w:rPr>
          <w:sz w:val="19"/>
          <w:szCs w:val="19"/>
        </w:rPr>
        <w:t>Mipymes</w:t>
      </w:r>
      <w:proofErr w:type="spellEnd"/>
      <w:r w:rsidRPr="0004471B">
        <w:rPr>
          <w:sz w:val="19"/>
          <w:szCs w:val="19"/>
        </w:rPr>
        <w:t xml:space="preserve"> puedan participar en las convocatorias a las que se refiere este artículo, deberán acreditar como mínimo un año de existencia, para lo cual deberán presentar el certificado expedido por la cámara de comercio o por la autoridad que sea competente para dicha acreditación.</w:t>
      </w:r>
    </w:p>
    <w:p w14:paraId="5A73531F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</w:p>
    <w:p w14:paraId="1548A6C7" w14:textId="77777777" w:rsidR="008E34C1" w:rsidRPr="0004471B" w:rsidRDefault="008E34C1" w:rsidP="0004471B">
      <w:pPr>
        <w:pStyle w:val="Textonotapie"/>
        <w:ind w:firstLine="720"/>
        <w:jc w:val="both"/>
        <w:rPr>
          <w:sz w:val="19"/>
          <w:szCs w:val="19"/>
        </w:rPr>
      </w:pPr>
      <w:r w:rsidRPr="0004471B">
        <w:rPr>
          <w:sz w:val="19"/>
          <w:szCs w:val="19"/>
        </w:rPr>
        <w:t>PARÁGRAFO 3o. En la ejecución de los contratos a que se refiere el presente artículo, las entidades y los contratistas, deberán observar lo dispuesto en los artículos 90 a 95 de la Ley 418 de 1997 y las normas que la modifiquen, adicionen o subroguen (Cursivas fuera de texto.</w:t>
      </w:r>
    </w:p>
    <w:p w14:paraId="4C164454" w14:textId="21F29C64" w:rsidR="008E34C1" w:rsidRDefault="008E34C1">
      <w:pPr>
        <w:pStyle w:val="Textonotapie"/>
      </w:pPr>
    </w:p>
  </w:footnote>
  <w:footnote w:id="5">
    <w:p w14:paraId="3334CC5A" w14:textId="2E31631C" w:rsidR="004938A8" w:rsidRPr="008B50CA" w:rsidRDefault="004938A8" w:rsidP="0004471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8B50CA">
        <w:rPr>
          <w:rFonts w:ascii="Arial" w:hAnsi="Arial" w:cs="Arial"/>
          <w:sz w:val="19"/>
          <w:szCs w:val="19"/>
          <w:vertAlign w:val="superscript"/>
        </w:rPr>
        <w:footnoteRef/>
      </w:r>
      <w:r w:rsidR="000A555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Ley 1450 de 2011: «Artículo 32. Parágrafo 2°. Sin perjuicio de lo dispuesto en los artículos 5 y 6 de la Ley 1150 de 2007, para que las </w:t>
      </w:r>
      <w:proofErr w:type="spellStart"/>
      <w:r w:rsidRPr="008B50CA">
        <w:rPr>
          <w:rFonts w:ascii="Arial" w:eastAsia="Arial" w:hAnsi="Arial" w:cs="Arial"/>
          <w:color w:val="000000"/>
          <w:sz w:val="19"/>
          <w:szCs w:val="19"/>
        </w:rPr>
        <w:t>Mipymes</w:t>
      </w:r>
      <w:proofErr w:type="spellEnd"/>
      <w:r w:rsidRPr="008B50CA">
        <w:rPr>
          <w:rFonts w:ascii="Arial" w:eastAsia="Arial" w:hAnsi="Arial" w:cs="Arial"/>
          <w:color w:val="000000"/>
          <w:sz w:val="19"/>
          <w:szCs w:val="19"/>
        </w:rPr>
        <w:t xml:space="preserve"> puedan participar en las convocatorias a las que se refiere este artículo, deberán acreditar como mínimo un año de existencia, para lo cual deberán presentar el certificado expedido por la cámara de comercio o por la autoridad que sea competente para dicha acreditación».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D637" w14:textId="77777777" w:rsidR="004938A8" w:rsidRDefault="004938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hidden="0" allowOverlap="1" wp14:anchorId="3A81499C" wp14:editId="0CF1BCE4">
          <wp:simplePos x="0" y="0"/>
          <wp:positionH relativeFrom="column">
            <wp:posOffset>4382135</wp:posOffset>
          </wp:positionH>
          <wp:positionV relativeFrom="paragraph">
            <wp:posOffset>483225</wp:posOffset>
          </wp:positionV>
          <wp:extent cx="1257300" cy="5162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1DDC"/>
    <w:multiLevelType w:val="multilevel"/>
    <w:tmpl w:val="6DDE7706"/>
    <w:lvl w:ilvl="0">
      <w:start w:val="1"/>
      <w:numFmt w:val="decimal"/>
      <w:lvlText w:val="%1."/>
      <w:lvlJc w:val="left"/>
      <w:pPr>
        <w:ind w:left="6601" w:hanging="360"/>
      </w:pPr>
      <w:rPr>
        <w:b/>
        <w:color w:val="000000"/>
      </w:rPr>
    </w:lvl>
    <w:lvl w:ilvl="1">
      <w:start w:val="2"/>
      <w:numFmt w:val="decimal"/>
      <w:lvlText w:val="%1.%2"/>
      <w:lvlJc w:val="left"/>
      <w:pPr>
        <w:ind w:left="6241" w:hanging="360"/>
      </w:pPr>
    </w:lvl>
    <w:lvl w:ilvl="2">
      <w:start w:val="1"/>
      <w:numFmt w:val="decimal"/>
      <w:lvlText w:val="%1.%2.%3"/>
      <w:lvlJc w:val="left"/>
      <w:pPr>
        <w:ind w:left="6961" w:hanging="720"/>
      </w:pPr>
    </w:lvl>
    <w:lvl w:ilvl="3">
      <w:start w:val="1"/>
      <w:numFmt w:val="decimal"/>
      <w:lvlText w:val="%1.%2.%3.%4"/>
      <w:lvlJc w:val="left"/>
      <w:pPr>
        <w:ind w:left="6961" w:hanging="720"/>
      </w:pPr>
    </w:lvl>
    <w:lvl w:ilvl="4">
      <w:start w:val="1"/>
      <w:numFmt w:val="decimal"/>
      <w:lvlText w:val="%1.%2.%3.%4.%5"/>
      <w:lvlJc w:val="left"/>
      <w:pPr>
        <w:ind w:left="7321" w:hanging="1080"/>
      </w:pPr>
    </w:lvl>
    <w:lvl w:ilvl="5">
      <w:start w:val="1"/>
      <w:numFmt w:val="decimal"/>
      <w:lvlText w:val="%1.%2.%3.%4.%5.%6"/>
      <w:lvlJc w:val="left"/>
      <w:pPr>
        <w:ind w:left="7321" w:hanging="1080"/>
      </w:pPr>
    </w:lvl>
    <w:lvl w:ilvl="6">
      <w:start w:val="1"/>
      <w:numFmt w:val="decimal"/>
      <w:lvlText w:val="%1.%2.%3.%4.%5.%6.%7"/>
      <w:lvlJc w:val="left"/>
      <w:pPr>
        <w:ind w:left="7681" w:hanging="1440"/>
      </w:pPr>
    </w:lvl>
    <w:lvl w:ilvl="7">
      <w:start w:val="1"/>
      <w:numFmt w:val="decimal"/>
      <w:lvlText w:val="%1.%2.%3.%4.%5.%6.%7.%8"/>
      <w:lvlJc w:val="left"/>
      <w:pPr>
        <w:ind w:left="7681" w:hanging="1440"/>
      </w:pPr>
    </w:lvl>
    <w:lvl w:ilvl="8">
      <w:start w:val="1"/>
      <w:numFmt w:val="decimal"/>
      <w:lvlText w:val="%1.%2.%3.%4.%5.%6.%7.%8.%9"/>
      <w:lvlJc w:val="left"/>
      <w:pPr>
        <w:ind w:left="804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DF"/>
    <w:rsid w:val="00010490"/>
    <w:rsid w:val="00023405"/>
    <w:rsid w:val="0004471B"/>
    <w:rsid w:val="00096B16"/>
    <w:rsid w:val="000973C9"/>
    <w:rsid w:val="000A5551"/>
    <w:rsid w:val="000C5143"/>
    <w:rsid w:val="000D686F"/>
    <w:rsid w:val="000F1C4F"/>
    <w:rsid w:val="001377BF"/>
    <w:rsid w:val="00143364"/>
    <w:rsid w:val="00156DC9"/>
    <w:rsid w:val="0016722F"/>
    <w:rsid w:val="001851BE"/>
    <w:rsid w:val="001A0F38"/>
    <w:rsid w:val="001B218A"/>
    <w:rsid w:val="001E2D51"/>
    <w:rsid w:val="001E3DE8"/>
    <w:rsid w:val="001F07A5"/>
    <w:rsid w:val="002034E6"/>
    <w:rsid w:val="0020643E"/>
    <w:rsid w:val="00222410"/>
    <w:rsid w:val="00224A59"/>
    <w:rsid w:val="00234CD2"/>
    <w:rsid w:val="002440EF"/>
    <w:rsid w:val="00246E9A"/>
    <w:rsid w:val="00252279"/>
    <w:rsid w:val="00265428"/>
    <w:rsid w:val="00270CCA"/>
    <w:rsid w:val="002717B5"/>
    <w:rsid w:val="00283D9B"/>
    <w:rsid w:val="0028566B"/>
    <w:rsid w:val="00295480"/>
    <w:rsid w:val="002B3AEF"/>
    <w:rsid w:val="002B7261"/>
    <w:rsid w:val="002D07D6"/>
    <w:rsid w:val="002D241D"/>
    <w:rsid w:val="00301E58"/>
    <w:rsid w:val="003241F3"/>
    <w:rsid w:val="00340E1E"/>
    <w:rsid w:val="00342184"/>
    <w:rsid w:val="00342AEE"/>
    <w:rsid w:val="00344A58"/>
    <w:rsid w:val="00345C31"/>
    <w:rsid w:val="0036269D"/>
    <w:rsid w:val="00375F1F"/>
    <w:rsid w:val="00380953"/>
    <w:rsid w:val="00392F65"/>
    <w:rsid w:val="003B3252"/>
    <w:rsid w:val="003D371F"/>
    <w:rsid w:val="003D5501"/>
    <w:rsid w:val="003D6EAA"/>
    <w:rsid w:val="003E308C"/>
    <w:rsid w:val="003F3B45"/>
    <w:rsid w:val="00400462"/>
    <w:rsid w:val="00410227"/>
    <w:rsid w:val="00415F68"/>
    <w:rsid w:val="00442D2C"/>
    <w:rsid w:val="00444BF9"/>
    <w:rsid w:val="00465328"/>
    <w:rsid w:val="00471720"/>
    <w:rsid w:val="0047757C"/>
    <w:rsid w:val="00487C57"/>
    <w:rsid w:val="004938A8"/>
    <w:rsid w:val="004A44CD"/>
    <w:rsid w:val="004B224F"/>
    <w:rsid w:val="004C04FA"/>
    <w:rsid w:val="004D4FE8"/>
    <w:rsid w:val="004E7924"/>
    <w:rsid w:val="004F0B25"/>
    <w:rsid w:val="00504979"/>
    <w:rsid w:val="0052351E"/>
    <w:rsid w:val="005322A2"/>
    <w:rsid w:val="00574D6F"/>
    <w:rsid w:val="00577C31"/>
    <w:rsid w:val="0059190D"/>
    <w:rsid w:val="00595F3C"/>
    <w:rsid w:val="00596FC3"/>
    <w:rsid w:val="005B1D18"/>
    <w:rsid w:val="005E2988"/>
    <w:rsid w:val="005E5574"/>
    <w:rsid w:val="00631C3F"/>
    <w:rsid w:val="00635E18"/>
    <w:rsid w:val="00667293"/>
    <w:rsid w:val="00682D9F"/>
    <w:rsid w:val="006A1655"/>
    <w:rsid w:val="006B1BA1"/>
    <w:rsid w:val="006C0DA8"/>
    <w:rsid w:val="007041E6"/>
    <w:rsid w:val="0070426A"/>
    <w:rsid w:val="007164B8"/>
    <w:rsid w:val="00724E50"/>
    <w:rsid w:val="007441CF"/>
    <w:rsid w:val="007513D6"/>
    <w:rsid w:val="00752C35"/>
    <w:rsid w:val="007A4140"/>
    <w:rsid w:val="007C4650"/>
    <w:rsid w:val="007D4F27"/>
    <w:rsid w:val="007E2F69"/>
    <w:rsid w:val="007F3BF8"/>
    <w:rsid w:val="007F5838"/>
    <w:rsid w:val="00811151"/>
    <w:rsid w:val="00813E74"/>
    <w:rsid w:val="00821C84"/>
    <w:rsid w:val="00835144"/>
    <w:rsid w:val="00835D98"/>
    <w:rsid w:val="00843C86"/>
    <w:rsid w:val="00852A28"/>
    <w:rsid w:val="0087003C"/>
    <w:rsid w:val="00874E85"/>
    <w:rsid w:val="00896A4B"/>
    <w:rsid w:val="00896AF3"/>
    <w:rsid w:val="008A1FA9"/>
    <w:rsid w:val="008B50CA"/>
    <w:rsid w:val="008B7A09"/>
    <w:rsid w:val="008D39B7"/>
    <w:rsid w:val="008E34C1"/>
    <w:rsid w:val="008E4343"/>
    <w:rsid w:val="0091566F"/>
    <w:rsid w:val="00941FE1"/>
    <w:rsid w:val="00954389"/>
    <w:rsid w:val="009660DB"/>
    <w:rsid w:val="00974544"/>
    <w:rsid w:val="00974A04"/>
    <w:rsid w:val="009D1B61"/>
    <w:rsid w:val="009D33E2"/>
    <w:rsid w:val="009E7A1D"/>
    <w:rsid w:val="009F117A"/>
    <w:rsid w:val="00A126CE"/>
    <w:rsid w:val="00A30582"/>
    <w:rsid w:val="00A327F9"/>
    <w:rsid w:val="00A35A1A"/>
    <w:rsid w:val="00A54A41"/>
    <w:rsid w:val="00A567C0"/>
    <w:rsid w:val="00A61C4A"/>
    <w:rsid w:val="00A67F5F"/>
    <w:rsid w:val="00AA1772"/>
    <w:rsid w:val="00AB186F"/>
    <w:rsid w:val="00AB36DA"/>
    <w:rsid w:val="00AB780C"/>
    <w:rsid w:val="00AC3EE9"/>
    <w:rsid w:val="00AC5716"/>
    <w:rsid w:val="00B076A4"/>
    <w:rsid w:val="00B10C9C"/>
    <w:rsid w:val="00B1576F"/>
    <w:rsid w:val="00B165ED"/>
    <w:rsid w:val="00B413A4"/>
    <w:rsid w:val="00B45CA9"/>
    <w:rsid w:val="00B46C78"/>
    <w:rsid w:val="00B47BC7"/>
    <w:rsid w:val="00B57AE8"/>
    <w:rsid w:val="00B8235C"/>
    <w:rsid w:val="00B87C5A"/>
    <w:rsid w:val="00BB77BF"/>
    <w:rsid w:val="00BC2B94"/>
    <w:rsid w:val="00BC2F60"/>
    <w:rsid w:val="00BC30DD"/>
    <w:rsid w:val="00BC45E7"/>
    <w:rsid w:val="00BE7EBA"/>
    <w:rsid w:val="00C35978"/>
    <w:rsid w:val="00C422FF"/>
    <w:rsid w:val="00C47C86"/>
    <w:rsid w:val="00C5309F"/>
    <w:rsid w:val="00C84475"/>
    <w:rsid w:val="00CA0309"/>
    <w:rsid w:val="00CD740E"/>
    <w:rsid w:val="00D00AC2"/>
    <w:rsid w:val="00D35515"/>
    <w:rsid w:val="00D41651"/>
    <w:rsid w:val="00D51E11"/>
    <w:rsid w:val="00D616D1"/>
    <w:rsid w:val="00D62C2A"/>
    <w:rsid w:val="00D65FA5"/>
    <w:rsid w:val="00D849B4"/>
    <w:rsid w:val="00DB3E6A"/>
    <w:rsid w:val="00DC63BB"/>
    <w:rsid w:val="00DD4145"/>
    <w:rsid w:val="00DF2561"/>
    <w:rsid w:val="00E27BDF"/>
    <w:rsid w:val="00E314E4"/>
    <w:rsid w:val="00E4260B"/>
    <w:rsid w:val="00E54CD2"/>
    <w:rsid w:val="00E65FCF"/>
    <w:rsid w:val="00E737A2"/>
    <w:rsid w:val="00E920DC"/>
    <w:rsid w:val="00EA2D8B"/>
    <w:rsid w:val="00EB04D0"/>
    <w:rsid w:val="00ED3D3F"/>
    <w:rsid w:val="00EE12F6"/>
    <w:rsid w:val="00EE2A75"/>
    <w:rsid w:val="00F17AC3"/>
    <w:rsid w:val="00F22099"/>
    <w:rsid w:val="00F415AB"/>
    <w:rsid w:val="00F643FB"/>
    <w:rsid w:val="00F82631"/>
    <w:rsid w:val="00F878C8"/>
    <w:rsid w:val="00F95C56"/>
    <w:rsid w:val="00FA0370"/>
    <w:rsid w:val="00FB180B"/>
    <w:rsid w:val="00FB4B32"/>
    <w:rsid w:val="00FD49F0"/>
    <w:rsid w:val="00FE6A41"/>
    <w:rsid w:val="00FF0DAA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5BB1D8"/>
  <w15:docId w15:val="{17415381-3A80-9F4C-A81C-951A17DE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3C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3C9"/>
    <w:rPr>
      <w:rFonts w:ascii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0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046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737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7A2"/>
  </w:style>
  <w:style w:type="paragraph" w:styleId="Piedepgina">
    <w:name w:val="footer"/>
    <w:basedOn w:val="Normal"/>
    <w:link w:val="PiedepginaCar"/>
    <w:uiPriority w:val="99"/>
    <w:unhideWhenUsed/>
    <w:rsid w:val="00E737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7A2"/>
  </w:style>
  <w:style w:type="table" w:styleId="Tablaconcuadrcula">
    <w:name w:val="Table Grid"/>
    <w:basedOn w:val="Tablanormal"/>
    <w:uiPriority w:val="39"/>
    <w:rsid w:val="00D616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5501"/>
    <w:rPr>
      <w:rFonts w:ascii="Times New Roman" w:hAnsi="Times New Roman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34C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34C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34C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34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4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2728-7626-4372-B140-6B167425C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45B5A-C581-4D11-8027-A3D3C8B27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413F4-9A6B-4B0B-BAC7-717D2330657B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BD1C57EE-6DD7-4721-BCD7-9602B071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3029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2020-11-09T22:21:00Z</dcterms:created>
  <dcterms:modified xsi:type="dcterms:W3CDTF">2020-11-09T22:21:00Z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