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9D3A9" w14:textId="17E75109" w:rsidR="00DE5124" w:rsidRPr="00217435" w:rsidRDefault="00DE5124" w:rsidP="00C763CF">
      <w:pPr>
        <w:spacing w:before="120"/>
        <w:jc w:val="right"/>
        <w:rPr>
          <w:rFonts w:ascii="Arial" w:hAnsi="Arial" w:cs="Arial"/>
          <w:b/>
          <w:sz w:val="16"/>
          <w:szCs w:val="16"/>
          <w:lang w:val="es-ES" w:eastAsia="es-ES"/>
        </w:rPr>
      </w:pPr>
      <w:bookmarkStart w:id="0" w:name="_Hlk29548183"/>
      <w:bookmarkStart w:id="1" w:name="_Hlk28946138"/>
      <w:r w:rsidRPr="00217435">
        <w:rPr>
          <w:rFonts w:ascii="Arial" w:hAnsi="Arial" w:cs="Arial"/>
          <w:b/>
          <w:sz w:val="16"/>
          <w:szCs w:val="16"/>
          <w:lang w:val="es-ES" w:eastAsia="es-ES"/>
        </w:rPr>
        <w:t>CCE-DES-FM-17</w:t>
      </w:r>
      <w:bookmarkEnd w:id="0"/>
      <w:bookmarkEnd w:id="1"/>
    </w:p>
    <w:p w14:paraId="1F85047A" w14:textId="77777777" w:rsidR="001A2559" w:rsidRPr="00217435" w:rsidRDefault="001A2559" w:rsidP="00C763CF">
      <w:pPr>
        <w:pStyle w:val="Prrafodelista"/>
        <w:spacing w:before="120"/>
        <w:ind w:left="0"/>
        <w:jc w:val="both"/>
        <w:rPr>
          <w:rFonts w:ascii="Arial" w:eastAsia="Calibri" w:hAnsi="Arial" w:cs="Arial"/>
          <w:sz w:val="20"/>
          <w:szCs w:val="20"/>
          <w:lang w:val="es-ES"/>
        </w:rPr>
      </w:pPr>
    </w:p>
    <w:p w14:paraId="6F6E2EDD" w14:textId="77777777" w:rsidR="00967CCD" w:rsidRPr="00967CCD" w:rsidRDefault="00967CCD" w:rsidP="00C763CF">
      <w:pPr>
        <w:pStyle w:val="Prrafodelista"/>
        <w:spacing w:before="120"/>
        <w:ind w:left="0"/>
        <w:jc w:val="both"/>
        <w:rPr>
          <w:rFonts w:ascii="Arial" w:eastAsia="Calibri" w:hAnsi="Arial" w:cs="Arial"/>
          <w:b/>
          <w:sz w:val="22"/>
          <w:szCs w:val="20"/>
          <w:lang w:val="es-ES"/>
        </w:rPr>
      </w:pPr>
      <w:bookmarkStart w:id="2" w:name="_Hlk46401972"/>
      <w:r w:rsidRPr="00967CCD">
        <w:rPr>
          <w:rFonts w:ascii="Arial" w:eastAsia="Calibri" w:hAnsi="Arial" w:cs="Arial"/>
          <w:b/>
          <w:sz w:val="22"/>
          <w:szCs w:val="20"/>
          <w:lang w:val="es-ES"/>
        </w:rPr>
        <w:t>PRINCIPIO DE PUBLICIDAD – Deber de publicidad – Alcance – Contratos Estatales</w:t>
      </w:r>
    </w:p>
    <w:p w14:paraId="7108D89B" w14:textId="77777777" w:rsidR="00967CCD" w:rsidRPr="00967CCD" w:rsidRDefault="00967CCD" w:rsidP="00C763CF">
      <w:pPr>
        <w:autoSpaceDE w:val="0"/>
        <w:autoSpaceDN w:val="0"/>
        <w:adjustRightInd w:val="0"/>
        <w:spacing w:before="120"/>
        <w:jc w:val="both"/>
        <w:rPr>
          <w:rFonts w:ascii="Arial" w:hAnsi="Arial" w:cs="Arial"/>
          <w:sz w:val="20"/>
          <w:szCs w:val="20"/>
          <w:lang w:val="es-ES"/>
        </w:rPr>
      </w:pPr>
      <w:r w:rsidRPr="00967CCD">
        <w:rPr>
          <w:rFonts w:ascii="Arial" w:hAnsi="Arial" w:cs="Arial"/>
          <w:sz w:val="20"/>
          <w:szCs w:val="20"/>
          <w:lang w:val="es-ES"/>
        </w:rPr>
        <w:t>En conclusión, el principio constitucional de publicidad abarca la función administrativa en su conjunto, lo cual contempla los contratos estatales que celebran las entidades. De conformidad con la consagración de este principio en el artículo 209 de la Constitución, el artículo 23 de la Ley 80 de 1993 y su desarrollo en los artículos 9, 10 y 11 de la Ley 1712 de 2014, se entiende que la actividad del Estado, incluidos los procesos de contratación, deben observar el principio de publicidad aludido.</w:t>
      </w:r>
    </w:p>
    <w:p w14:paraId="0C88733F" w14:textId="77777777" w:rsidR="00967CCD" w:rsidRDefault="00967CCD" w:rsidP="00C763CF">
      <w:pPr>
        <w:pStyle w:val="Prrafodelista"/>
        <w:spacing w:before="120"/>
        <w:ind w:left="0"/>
        <w:jc w:val="both"/>
        <w:rPr>
          <w:rFonts w:ascii="Arial" w:eastAsia="Calibri" w:hAnsi="Arial" w:cs="Arial"/>
          <w:b/>
          <w:sz w:val="22"/>
          <w:szCs w:val="20"/>
          <w:lang w:val="es-ES"/>
        </w:rPr>
      </w:pPr>
    </w:p>
    <w:p w14:paraId="1BB29F90" w14:textId="7E793F90" w:rsidR="00967CCD" w:rsidRPr="00967CCD" w:rsidRDefault="00967CCD" w:rsidP="00C763CF">
      <w:pPr>
        <w:pStyle w:val="Prrafodelista"/>
        <w:spacing w:before="120"/>
        <w:ind w:left="0"/>
        <w:jc w:val="both"/>
        <w:rPr>
          <w:rFonts w:ascii="Arial" w:eastAsia="Calibri" w:hAnsi="Arial" w:cs="Arial"/>
          <w:b/>
          <w:sz w:val="22"/>
          <w:szCs w:val="20"/>
          <w:lang w:val="es-ES"/>
        </w:rPr>
      </w:pPr>
      <w:r w:rsidRPr="00967CCD">
        <w:rPr>
          <w:rFonts w:ascii="Arial" w:eastAsia="Calibri" w:hAnsi="Arial" w:cs="Arial"/>
          <w:b/>
          <w:sz w:val="22"/>
          <w:szCs w:val="20"/>
          <w:lang w:val="es-ES"/>
        </w:rPr>
        <w:t>SECOP – Medio de publicidad</w:t>
      </w:r>
    </w:p>
    <w:p w14:paraId="2EA00F5C" w14:textId="69B9FC25" w:rsidR="00967CCD" w:rsidRPr="00967CCD" w:rsidRDefault="00967CCD" w:rsidP="00C763CF">
      <w:pPr>
        <w:autoSpaceDE w:val="0"/>
        <w:autoSpaceDN w:val="0"/>
        <w:adjustRightInd w:val="0"/>
        <w:spacing w:before="120"/>
        <w:jc w:val="both"/>
        <w:rPr>
          <w:rFonts w:ascii="Arial" w:hAnsi="Arial" w:cs="Arial"/>
          <w:sz w:val="20"/>
          <w:szCs w:val="20"/>
          <w:lang w:val="es-ES"/>
        </w:rPr>
      </w:pPr>
      <w:r w:rsidRPr="00967CCD">
        <w:rPr>
          <w:rFonts w:ascii="Arial" w:hAnsi="Arial" w:cs="Arial"/>
          <w:sz w:val="20"/>
          <w:szCs w:val="20"/>
          <w:lang w:val="es-ES"/>
        </w:rPr>
        <w:t>En concordancia con el objeto de la Ley 1150 de 2007, el artículo 3 de la misma dispuso la creación del Sistema Electrónico para la Contratación Pública – SECOP, como plataforma electrónica para la publicación de todos los actos relacionados con la actividad precontractual y contractual de las entidades estatales.</w:t>
      </w:r>
    </w:p>
    <w:p w14:paraId="4D7A112A" w14:textId="77777777" w:rsidR="00967CCD" w:rsidRDefault="00967CCD" w:rsidP="00C763CF">
      <w:pPr>
        <w:autoSpaceDE w:val="0"/>
        <w:autoSpaceDN w:val="0"/>
        <w:adjustRightInd w:val="0"/>
        <w:spacing w:before="120"/>
        <w:rPr>
          <w:rFonts w:ascii="Arial" w:hAnsi="Arial" w:cs="Arial"/>
          <w:color w:val="000000"/>
          <w:sz w:val="22"/>
          <w:lang w:val="es-CO"/>
        </w:rPr>
      </w:pPr>
    </w:p>
    <w:p w14:paraId="5EF162CE" w14:textId="77777777" w:rsidR="00967CCD" w:rsidRPr="00967CCD" w:rsidRDefault="00967CCD" w:rsidP="00C763CF">
      <w:pPr>
        <w:pStyle w:val="Prrafodelista"/>
        <w:spacing w:before="120"/>
        <w:ind w:left="0"/>
        <w:jc w:val="both"/>
        <w:rPr>
          <w:rFonts w:ascii="Arial" w:eastAsia="Calibri" w:hAnsi="Arial" w:cs="Arial"/>
          <w:b/>
          <w:sz w:val="22"/>
          <w:szCs w:val="20"/>
          <w:lang w:val="es-ES"/>
        </w:rPr>
      </w:pPr>
      <w:r w:rsidRPr="00967CCD">
        <w:rPr>
          <w:rFonts w:ascii="Arial" w:eastAsia="Calibri" w:hAnsi="Arial" w:cs="Arial"/>
          <w:b/>
          <w:sz w:val="22"/>
          <w:szCs w:val="20"/>
          <w:lang w:val="es-ES"/>
        </w:rPr>
        <w:t>ESTUDIOS PREVIOS – Alcance</w:t>
      </w:r>
    </w:p>
    <w:p w14:paraId="6D685DE9" w14:textId="1F0B037E" w:rsidR="00967CCD" w:rsidRPr="00F053D4" w:rsidRDefault="00967CCD" w:rsidP="00C763CF">
      <w:pPr>
        <w:autoSpaceDE w:val="0"/>
        <w:autoSpaceDN w:val="0"/>
        <w:adjustRightInd w:val="0"/>
        <w:spacing w:before="120"/>
        <w:jc w:val="both"/>
        <w:rPr>
          <w:rFonts w:ascii="Arial" w:hAnsi="Arial" w:cs="Arial"/>
          <w:color w:val="000000"/>
          <w:sz w:val="20"/>
          <w:lang w:val="es-CO"/>
        </w:rPr>
      </w:pPr>
      <w:r w:rsidRPr="00F053D4">
        <w:rPr>
          <w:rFonts w:ascii="Arial" w:hAnsi="Arial" w:cs="Arial"/>
          <w:color w:val="000000"/>
          <w:sz w:val="20"/>
          <w:lang w:val="es-CO"/>
        </w:rPr>
        <w:t>El término «estudios previos» no cuenta con definición expresa dentro del ordenamiento jurídico colombiano, más allá de su consideración como soporte de los pliegos de condiciones y del contrato a celebrarse, según las voces del artículo 2.2.1.1.2.1.1 del Decreto 1082 de 2015, norma que además señala ciertos lineamientos generales que deben cumplir tales estudios previos. Esta descripción de los elementos que deben contener los estudios previos permite concluir que tales estudios forman parte del principio de planeación de la contratación estatal, toda vez que sirven para explicar la necesidad que se busca cubrir con el respectivo contrato y, con base en esta, se justifique la inversión de recursos públicos; también tienen la función de delinear los términos de selección de ofertas y delimitar los términos generales que finalmente se plasmarán en el contrato.</w:t>
      </w:r>
    </w:p>
    <w:p w14:paraId="57E7B51F" w14:textId="77777777" w:rsidR="00967CCD" w:rsidRDefault="00967CCD" w:rsidP="00C763CF">
      <w:pPr>
        <w:autoSpaceDE w:val="0"/>
        <w:autoSpaceDN w:val="0"/>
        <w:adjustRightInd w:val="0"/>
        <w:spacing w:before="120"/>
        <w:rPr>
          <w:rFonts w:ascii="Arial" w:hAnsi="Arial" w:cs="Arial"/>
          <w:color w:val="000000"/>
          <w:sz w:val="22"/>
          <w:lang w:val="es-CO"/>
        </w:rPr>
      </w:pPr>
    </w:p>
    <w:p w14:paraId="6F1C3B4E" w14:textId="77777777" w:rsidR="00967CCD" w:rsidRPr="00967CCD" w:rsidRDefault="00967CCD" w:rsidP="00C763CF">
      <w:pPr>
        <w:pStyle w:val="Prrafodelista"/>
        <w:spacing w:before="120"/>
        <w:ind w:left="0"/>
        <w:jc w:val="both"/>
        <w:rPr>
          <w:rFonts w:ascii="Arial" w:eastAsia="Calibri" w:hAnsi="Arial" w:cs="Arial"/>
          <w:b/>
          <w:sz w:val="22"/>
          <w:szCs w:val="20"/>
          <w:lang w:val="es-ES"/>
        </w:rPr>
      </w:pPr>
      <w:r w:rsidRPr="00967CCD">
        <w:rPr>
          <w:rFonts w:ascii="Arial" w:eastAsia="Calibri" w:hAnsi="Arial" w:cs="Arial"/>
          <w:b/>
          <w:sz w:val="22"/>
          <w:szCs w:val="20"/>
          <w:lang w:val="es-ES"/>
        </w:rPr>
        <w:t>CONTRATO DE DONACIÓN – Contrato Estatal cuando entidad estatal es parte</w:t>
      </w:r>
    </w:p>
    <w:p w14:paraId="291BFF65" w14:textId="77777777" w:rsidR="00967CCD" w:rsidRPr="00F053D4" w:rsidRDefault="00967CCD" w:rsidP="00C763CF">
      <w:pPr>
        <w:autoSpaceDE w:val="0"/>
        <w:autoSpaceDN w:val="0"/>
        <w:adjustRightInd w:val="0"/>
        <w:spacing w:before="120"/>
        <w:jc w:val="both"/>
        <w:rPr>
          <w:rFonts w:ascii="Arial" w:hAnsi="Arial" w:cs="Arial"/>
          <w:color w:val="000000"/>
          <w:sz w:val="20"/>
          <w:lang w:val="es-CO"/>
        </w:rPr>
      </w:pPr>
      <w:r w:rsidRPr="00F053D4">
        <w:rPr>
          <w:rFonts w:ascii="Arial" w:hAnsi="Arial" w:cs="Arial"/>
          <w:color w:val="000000"/>
          <w:sz w:val="20"/>
          <w:lang w:val="es-CO"/>
        </w:rPr>
        <w:t xml:space="preserve">Con base en lo anterior, se debe concluir que todo contrato, independientemente de su tipología y régimen jurídico, tiene la naturaleza de contrato estatal cuando alguna de sus partes es una entidad estatal, conforme con la descripción del párrafo transcrito anteriormente.  </w:t>
      </w:r>
    </w:p>
    <w:p w14:paraId="32219A70" w14:textId="77777777" w:rsidR="00967CCD" w:rsidRPr="00F053D4" w:rsidRDefault="00967CCD" w:rsidP="00C763CF">
      <w:pPr>
        <w:autoSpaceDE w:val="0"/>
        <w:autoSpaceDN w:val="0"/>
        <w:adjustRightInd w:val="0"/>
        <w:spacing w:before="120"/>
        <w:jc w:val="both"/>
        <w:rPr>
          <w:rFonts w:ascii="Arial" w:hAnsi="Arial" w:cs="Arial"/>
          <w:color w:val="000000"/>
          <w:sz w:val="20"/>
          <w:lang w:val="es-CO"/>
        </w:rPr>
      </w:pPr>
      <w:r w:rsidRPr="00F053D4">
        <w:rPr>
          <w:rFonts w:ascii="Arial" w:hAnsi="Arial" w:cs="Arial"/>
          <w:color w:val="000000"/>
          <w:sz w:val="20"/>
          <w:lang w:val="es-CO"/>
        </w:rPr>
        <w:t>Aterrizando las consideraciones anteriores a la consulta atendida en este concepto, cuando una entidad estatal celebra un contrato de donación, ya sea como donante o como donataria, estaremos frente a un contrato estatal. Por esta condición, ese negocio jurídico estará sujeto a todos los principios y reglas aplicables a los contratos estatales.</w:t>
      </w:r>
    </w:p>
    <w:p w14:paraId="473E0FA3" w14:textId="77777777" w:rsidR="00967CCD" w:rsidRPr="00217435" w:rsidRDefault="00967CCD" w:rsidP="00C763CF">
      <w:pPr>
        <w:spacing w:before="120"/>
        <w:jc w:val="both"/>
        <w:rPr>
          <w:rFonts w:ascii="Arial" w:hAnsi="Arial" w:cs="Arial"/>
          <w:sz w:val="20"/>
          <w:szCs w:val="20"/>
          <w:lang w:val="es-ES"/>
        </w:rPr>
      </w:pPr>
    </w:p>
    <w:bookmarkEnd w:id="2"/>
    <w:p w14:paraId="58739623" w14:textId="5FF75539" w:rsidR="00EA3146" w:rsidRPr="00217435" w:rsidRDefault="00EA3146" w:rsidP="00C763CF">
      <w:pPr>
        <w:spacing w:before="120"/>
        <w:jc w:val="both"/>
        <w:rPr>
          <w:rFonts w:ascii="Arial" w:eastAsia="Calibri" w:hAnsi="Arial" w:cs="Arial"/>
          <w:sz w:val="20"/>
          <w:szCs w:val="20"/>
          <w:lang w:val="es-ES"/>
        </w:rPr>
      </w:pPr>
    </w:p>
    <w:p w14:paraId="2F5FE881" w14:textId="35C089DD" w:rsidR="00AF68BA" w:rsidRDefault="00AF68BA" w:rsidP="00C763CF">
      <w:pPr>
        <w:autoSpaceDE w:val="0"/>
        <w:autoSpaceDN w:val="0"/>
        <w:adjustRightInd w:val="0"/>
        <w:spacing w:before="120"/>
        <w:rPr>
          <w:rFonts w:ascii="Arial" w:hAnsi="Arial" w:cs="Arial"/>
          <w:color w:val="000000"/>
          <w:sz w:val="20"/>
          <w:szCs w:val="20"/>
          <w:lang w:val="es-CO"/>
        </w:rPr>
      </w:pPr>
      <w:bookmarkStart w:id="3" w:name="_Hlk38283712"/>
      <w:bookmarkStart w:id="4" w:name="_Hlk38449610"/>
    </w:p>
    <w:p w14:paraId="3675A73F" w14:textId="5A9DEC0F" w:rsidR="00C763CF" w:rsidRDefault="00C763CF" w:rsidP="00C763CF">
      <w:pPr>
        <w:autoSpaceDE w:val="0"/>
        <w:autoSpaceDN w:val="0"/>
        <w:adjustRightInd w:val="0"/>
        <w:spacing w:before="120"/>
        <w:rPr>
          <w:rFonts w:ascii="Arial" w:hAnsi="Arial" w:cs="Arial"/>
          <w:color w:val="000000"/>
          <w:sz w:val="20"/>
          <w:szCs w:val="20"/>
          <w:lang w:val="es-CO"/>
        </w:rPr>
      </w:pPr>
    </w:p>
    <w:p w14:paraId="7775E2EC" w14:textId="008F7206" w:rsidR="00C763CF" w:rsidRDefault="00C763CF" w:rsidP="00C763CF">
      <w:pPr>
        <w:autoSpaceDE w:val="0"/>
        <w:autoSpaceDN w:val="0"/>
        <w:adjustRightInd w:val="0"/>
        <w:spacing w:before="120"/>
        <w:rPr>
          <w:rFonts w:ascii="Arial" w:hAnsi="Arial" w:cs="Arial"/>
          <w:color w:val="000000"/>
          <w:sz w:val="20"/>
          <w:szCs w:val="20"/>
          <w:lang w:val="es-CO"/>
        </w:rPr>
      </w:pPr>
    </w:p>
    <w:p w14:paraId="1A15EE14" w14:textId="565B3AF3" w:rsidR="00C763CF" w:rsidRDefault="00C763CF" w:rsidP="00C763CF">
      <w:pPr>
        <w:autoSpaceDE w:val="0"/>
        <w:autoSpaceDN w:val="0"/>
        <w:adjustRightInd w:val="0"/>
        <w:spacing w:before="120"/>
        <w:rPr>
          <w:rFonts w:ascii="Arial" w:hAnsi="Arial" w:cs="Arial"/>
          <w:color w:val="000000"/>
          <w:sz w:val="20"/>
          <w:szCs w:val="20"/>
          <w:lang w:val="es-CO"/>
        </w:rPr>
      </w:pPr>
    </w:p>
    <w:p w14:paraId="04F15EC6" w14:textId="77777777" w:rsidR="00C763CF" w:rsidRPr="006F4334" w:rsidRDefault="00C763CF" w:rsidP="00C763CF">
      <w:pPr>
        <w:autoSpaceDE w:val="0"/>
        <w:autoSpaceDN w:val="0"/>
        <w:adjustRightInd w:val="0"/>
        <w:spacing w:before="120"/>
        <w:rPr>
          <w:rFonts w:ascii="Arial" w:hAnsi="Arial" w:cs="Arial"/>
          <w:color w:val="000000"/>
          <w:sz w:val="20"/>
          <w:szCs w:val="20"/>
          <w:lang w:val="es-CO"/>
        </w:rPr>
      </w:pPr>
    </w:p>
    <w:p w14:paraId="1443943F" w14:textId="006F94F3" w:rsidR="00650F5F" w:rsidRPr="00FF62C3" w:rsidRDefault="00650F5F" w:rsidP="00C763CF">
      <w:pPr>
        <w:autoSpaceDE w:val="0"/>
        <w:autoSpaceDN w:val="0"/>
        <w:adjustRightInd w:val="0"/>
        <w:spacing w:before="120"/>
        <w:rPr>
          <w:rFonts w:ascii="Arial" w:hAnsi="Arial" w:cs="Arial"/>
          <w:color w:val="000000"/>
          <w:sz w:val="22"/>
          <w:lang w:val="es-CO"/>
        </w:rPr>
      </w:pPr>
      <w:r w:rsidRPr="00FF62C3">
        <w:rPr>
          <w:rFonts w:ascii="Arial" w:hAnsi="Arial" w:cs="Arial"/>
          <w:color w:val="000000"/>
          <w:sz w:val="22"/>
          <w:lang w:val="es-CO"/>
        </w:rPr>
        <w:lastRenderedPageBreak/>
        <w:t xml:space="preserve">Bogotá D.C., </w:t>
      </w:r>
      <w:r w:rsidR="00C763CF" w:rsidRPr="00C763CF">
        <w:rPr>
          <w:rFonts w:ascii="Arial" w:hAnsi="Arial" w:cs="Arial"/>
          <w:b/>
          <w:bCs/>
          <w:color w:val="000000"/>
          <w:sz w:val="22"/>
          <w:lang w:val="es-CO"/>
        </w:rPr>
        <w:t>17/11/2020 Hora 13:1:37s</w:t>
      </w:r>
    </w:p>
    <w:p w14:paraId="7F9AECDB" w14:textId="6A5B30F7" w:rsidR="00650F5F" w:rsidRPr="00FF62C3" w:rsidRDefault="00650F5F" w:rsidP="00C763CF">
      <w:pPr>
        <w:spacing w:before="120"/>
        <w:jc w:val="right"/>
        <w:rPr>
          <w:rFonts w:ascii="Arial" w:eastAsia="Calibri" w:hAnsi="Arial" w:cs="Arial"/>
          <w:sz w:val="22"/>
          <w:lang w:val="es-ES"/>
        </w:rPr>
      </w:pPr>
      <w:proofErr w:type="spellStart"/>
      <w:r w:rsidRPr="00FF62C3">
        <w:rPr>
          <w:rFonts w:ascii="Arial" w:hAnsi="Arial" w:cs="Arial"/>
          <w:b/>
          <w:bCs/>
          <w:color w:val="000000"/>
          <w:sz w:val="22"/>
          <w:lang w:val="es-CO"/>
        </w:rPr>
        <w:t>N°</w:t>
      </w:r>
      <w:proofErr w:type="spellEnd"/>
      <w:r w:rsidRPr="00FF62C3">
        <w:rPr>
          <w:rFonts w:ascii="Arial" w:hAnsi="Arial" w:cs="Arial"/>
          <w:b/>
          <w:bCs/>
          <w:color w:val="000000"/>
          <w:sz w:val="22"/>
          <w:lang w:val="es-CO"/>
        </w:rPr>
        <w:t xml:space="preserve"> Radicado: </w:t>
      </w:r>
      <w:r w:rsidR="00C763CF" w:rsidRPr="00C763CF">
        <w:rPr>
          <w:rFonts w:ascii="Arial" w:hAnsi="Arial" w:cs="Arial"/>
          <w:b/>
          <w:bCs/>
          <w:color w:val="000000"/>
          <w:sz w:val="22"/>
          <w:lang w:val="es-CO"/>
        </w:rPr>
        <w:t>2202013000011344</w:t>
      </w:r>
    </w:p>
    <w:p w14:paraId="757D81B2" w14:textId="77777777" w:rsidR="00650F5F" w:rsidRPr="00FF62C3" w:rsidRDefault="00650F5F" w:rsidP="00C763CF">
      <w:pPr>
        <w:spacing w:before="120"/>
        <w:rPr>
          <w:rFonts w:ascii="Arial" w:eastAsia="Calibri" w:hAnsi="Arial" w:cs="Arial"/>
          <w:sz w:val="22"/>
          <w:lang w:val="es-ES"/>
        </w:rPr>
      </w:pPr>
      <w:r w:rsidRPr="00FF62C3">
        <w:rPr>
          <w:rFonts w:ascii="Arial" w:eastAsia="Calibri" w:hAnsi="Arial" w:cs="Arial"/>
          <w:sz w:val="22"/>
          <w:lang w:val="es-ES"/>
        </w:rPr>
        <w:t>Señor</w:t>
      </w:r>
    </w:p>
    <w:p w14:paraId="6AE5787B" w14:textId="77777777" w:rsidR="00650F5F" w:rsidRPr="00FF62C3" w:rsidRDefault="00650F5F" w:rsidP="00C763CF">
      <w:pPr>
        <w:spacing w:before="120"/>
        <w:rPr>
          <w:rFonts w:ascii="Arial" w:eastAsia="Calibri" w:hAnsi="Arial" w:cs="Arial"/>
          <w:b/>
          <w:sz w:val="22"/>
          <w:lang w:val="es-ES"/>
        </w:rPr>
      </w:pPr>
      <w:r w:rsidRPr="00FF62C3">
        <w:rPr>
          <w:rFonts w:ascii="Arial" w:eastAsia="Calibri" w:hAnsi="Arial" w:cs="Arial"/>
          <w:b/>
          <w:sz w:val="22"/>
          <w:lang w:val="es-ES"/>
        </w:rPr>
        <w:t xml:space="preserve">Andrés </w:t>
      </w:r>
      <w:proofErr w:type="spellStart"/>
      <w:r w:rsidRPr="00FF62C3">
        <w:rPr>
          <w:rFonts w:ascii="Arial" w:eastAsia="Calibri" w:hAnsi="Arial" w:cs="Arial"/>
          <w:b/>
          <w:sz w:val="22"/>
          <w:lang w:val="es-ES"/>
        </w:rPr>
        <w:t>Mazuero</w:t>
      </w:r>
      <w:proofErr w:type="spellEnd"/>
    </w:p>
    <w:p w14:paraId="004BF967" w14:textId="77777777" w:rsidR="00650F5F" w:rsidRPr="00FF62C3" w:rsidRDefault="00650F5F" w:rsidP="00C763CF">
      <w:pPr>
        <w:spacing w:before="120"/>
        <w:rPr>
          <w:rFonts w:ascii="Arial" w:eastAsia="Calibri" w:hAnsi="Arial" w:cs="Arial"/>
          <w:sz w:val="22"/>
          <w:lang w:val="es-ES"/>
        </w:rPr>
      </w:pPr>
      <w:r w:rsidRPr="00FF62C3">
        <w:rPr>
          <w:rFonts w:ascii="Arial" w:eastAsia="Calibri" w:hAnsi="Arial" w:cs="Arial"/>
          <w:sz w:val="22"/>
          <w:lang w:val="es-ES"/>
        </w:rPr>
        <w:t>Medellín</w:t>
      </w:r>
    </w:p>
    <w:p w14:paraId="7DAB9B7D" w14:textId="77777777" w:rsidR="00650F5F" w:rsidRPr="00FF62C3" w:rsidRDefault="00650F5F" w:rsidP="00C763CF">
      <w:pPr>
        <w:spacing w:before="120"/>
        <w:rPr>
          <w:rFonts w:ascii="Arial" w:eastAsia="Calibri" w:hAnsi="Arial" w:cs="Arial"/>
          <w:sz w:val="22"/>
          <w:lang w:val="es-ES"/>
        </w:rPr>
      </w:pPr>
    </w:p>
    <w:p w14:paraId="3B78F7A8" w14:textId="313768E9" w:rsidR="00650F5F" w:rsidRPr="00FF62C3" w:rsidRDefault="00650F5F" w:rsidP="00C763CF">
      <w:pPr>
        <w:spacing w:before="120"/>
        <w:jc w:val="center"/>
        <w:rPr>
          <w:rFonts w:ascii="Arial" w:eastAsia="Calibri" w:hAnsi="Arial" w:cs="Arial"/>
          <w:b/>
          <w:sz w:val="22"/>
          <w:lang w:val="es-ES"/>
        </w:rPr>
      </w:pPr>
      <w:r w:rsidRPr="00FF62C3">
        <w:rPr>
          <w:rFonts w:ascii="Arial" w:eastAsia="Calibri" w:hAnsi="Arial" w:cs="Arial"/>
          <w:b/>
          <w:sz w:val="22"/>
          <w:lang w:val="es-ES"/>
        </w:rPr>
        <w:t xml:space="preserve">Concepto </w:t>
      </w:r>
      <w:r w:rsidR="00C763CF">
        <w:rPr>
          <w:rFonts w:ascii="Arial" w:eastAsia="Calibri" w:hAnsi="Arial" w:cs="Arial"/>
          <w:b/>
          <w:sz w:val="22"/>
          <w:lang w:val="es-ES"/>
        </w:rPr>
        <w:t>C-661 de 2020</w:t>
      </w:r>
    </w:p>
    <w:p w14:paraId="67680BF9" w14:textId="77777777" w:rsidR="00650F5F" w:rsidRPr="00FF62C3" w:rsidRDefault="00650F5F" w:rsidP="00C763CF">
      <w:pPr>
        <w:spacing w:before="120"/>
        <w:rPr>
          <w:rFonts w:ascii="Arial" w:eastAsia="Calibri" w:hAnsi="Arial" w:cs="Arial"/>
          <w:sz w:val="22"/>
          <w:lang w:val="es-ES"/>
        </w:rPr>
      </w:pPr>
    </w:p>
    <w:p w14:paraId="1DA04060" w14:textId="77777777" w:rsidR="00650F5F" w:rsidRPr="00FF62C3" w:rsidRDefault="00650F5F" w:rsidP="00C763CF">
      <w:pPr>
        <w:spacing w:before="120"/>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50F5F" w:rsidRPr="00FF62C3" w14:paraId="29B6B766" w14:textId="77777777" w:rsidTr="00967CCD">
        <w:trPr>
          <w:trHeight w:val="1029"/>
        </w:trPr>
        <w:tc>
          <w:tcPr>
            <w:tcW w:w="2689" w:type="dxa"/>
            <w:hideMark/>
          </w:tcPr>
          <w:p w14:paraId="27D27273" w14:textId="77777777" w:rsidR="00650F5F" w:rsidRPr="00FF62C3" w:rsidRDefault="00650F5F" w:rsidP="00C763CF">
            <w:pPr>
              <w:spacing w:before="120"/>
              <w:rPr>
                <w:rFonts w:ascii="Arial" w:eastAsia="Calibri" w:hAnsi="Arial" w:cs="Arial"/>
                <w:sz w:val="22"/>
                <w:lang w:val="es-ES"/>
              </w:rPr>
            </w:pPr>
            <w:r w:rsidRPr="00FF62C3">
              <w:rPr>
                <w:rFonts w:ascii="Arial" w:eastAsia="Calibri" w:hAnsi="Arial" w:cs="Arial"/>
                <w:b/>
                <w:sz w:val="22"/>
                <w:lang w:val="es-ES"/>
              </w:rPr>
              <w:t>Temas:</w:t>
            </w:r>
            <w:r w:rsidRPr="00FF62C3">
              <w:rPr>
                <w:rFonts w:ascii="Arial" w:eastAsia="Calibri" w:hAnsi="Arial" w:cs="Arial"/>
                <w:sz w:val="22"/>
                <w:lang w:val="es-ES"/>
              </w:rPr>
              <w:t xml:space="preserve">              </w:t>
            </w:r>
          </w:p>
        </w:tc>
        <w:tc>
          <w:tcPr>
            <w:tcW w:w="6237" w:type="dxa"/>
            <w:hideMark/>
          </w:tcPr>
          <w:p w14:paraId="4F7D7BDF" w14:textId="77777777" w:rsidR="00650F5F" w:rsidRDefault="00650F5F" w:rsidP="00C763CF">
            <w:pPr>
              <w:spacing w:before="120"/>
              <w:jc w:val="both"/>
              <w:rPr>
                <w:rFonts w:ascii="Arial" w:eastAsia="Calibri" w:hAnsi="Arial" w:cs="Arial"/>
                <w:sz w:val="22"/>
                <w:lang w:val="es-ES"/>
              </w:rPr>
            </w:pPr>
            <w:r w:rsidRPr="00FF62C3">
              <w:rPr>
                <w:rFonts w:ascii="Arial" w:eastAsia="Calibri" w:hAnsi="Arial" w:cs="Arial"/>
                <w:sz w:val="22"/>
                <w:lang w:val="es-ES"/>
              </w:rPr>
              <w:t>SECOP – Deber de publicación – Finalidad – Principio de publicidad – Publicación – Documentos / PRINCIPIO DE PUBLICIDAD / CONTRATO ESTATAL – Contrato de donación – Publicación – Fundamento Normativo</w:t>
            </w:r>
          </w:p>
          <w:p w14:paraId="1C05E88A" w14:textId="77777777" w:rsidR="00650F5F" w:rsidRPr="00FF62C3" w:rsidRDefault="00650F5F" w:rsidP="00C763CF">
            <w:pPr>
              <w:spacing w:before="120"/>
              <w:jc w:val="both"/>
              <w:rPr>
                <w:rFonts w:ascii="Arial" w:eastAsia="Calibri" w:hAnsi="Arial" w:cs="Arial"/>
                <w:sz w:val="22"/>
                <w:lang w:val="es-ES"/>
              </w:rPr>
            </w:pPr>
          </w:p>
        </w:tc>
      </w:tr>
      <w:tr w:rsidR="00650F5F" w:rsidRPr="00FF62C3" w14:paraId="55AE10F4" w14:textId="77777777" w:rsidTr="00967CCD">
        <w:trPr>
          <w:trHeight w:val="264"/>
        </w:trPr>
        <w:tc>
          <w:tcPr>
            <w:tcW w:w="2689" w:type="dxa"/>
          </w:tcPr>
          <w:p w14:paraId="61A67F8C" w14:textId="77777777" w:rsidR="00650F5F" w:rsidRPr="00FF62C3" w:rsidRDefault="00650F5F" w:rsidP="00C763CF">
            <w:pPr>
              <w:spacing w:before="120"/>
              <w:rPr>
                <w:rFonts w:ascii="Arial" w:eastAsia="Calibri" w:hAnsi="Arial" w:cs="Arial"/>
                <w:b/>
                <w:sz w:val="22"/>
                <w:lang w:val="es-ES"/>
              </w:rPr>
            </w:pPr>
            <w:r w:rsidRPr="00FF62C3">
              <w:rPr>
                <w:rFonts w:ascii="Arial" w:eastAsia="Calibri" w:hAnsi="Arial" w:cs="Arial"/>
                <w:b/>
                <w:sz w:val="22"/>
                <w:lang w:val="es-ES"/>
              </w:rPr>
              <w:t>Radicación:</w:t>
            </w:r>
            <w:r w:rsidRPr="00FF62C3">
              <w:rPr>
                <w:rFonts w:ascii="Arial" w:eastAsia="Calibri" w:hAnsi="Arial" w:cs="Arial"/>
                <w:sz w:val="22"/>
                <w:lang w:val="es-ES"/>
              </w:rPr>
              <w:t xml:space="preserve">                              </w:t>
            </w:r>
          </w:p>
        </w:tc>
        <w:tc>
          <w:tcPr>
            <w:tcW w:w="6237" w:type="dxa"/>
          </w:tcPr>
          <w:p w14:paraId="4B78003D" w14:textId="77777777" w:rsidR="00650F5F" w:rsidRPr="00FF62C3" w:rsidRDefault="00650F5F" w:rsidP="00C763CF">
            <w:pPr>
              <w:spacing w:before="120"/>
              <w:jc w:val="both"/>
              <w:rPr>
                <w:rFonts w:ascii="Arial" w:eastAsia="Calibri" w:hAnsi="Arial" w:cs="Arial"/>
                <w:sz w:val="22"/>
                <w:lang w:val="es-ES"/>
              </w:rPr>
            </w:pPr>
            <w:r w:rsidRPr="00FF62C3">
              <w:rPr>
                <w:rFonts w:ascii="Arial" w:eastAsia="Calibri" w:hAnsi="Arial" w:cs="Arial"/>
                <w:sz w:val="22"/>
                <w:lang w:val="es-ES"/>
              </w:rPr>
              <w:t>Respuesta consulta # 4202012000008935</w:t>
            </w:r>
          </w:p>
        </w:tc>
      </w:tr>
    </w:tbl>
    <w:p w14:paraId="11CD56F5" w14:textId="77777777" w:rsidR="00650F5F" w:rsidRPr="00FF62C3" w:rsidRDefault="00650F5F" w:rsidP="00C763CF">
      <w:pPr>
        <w:spacing w:before="120"/>
        <w:rPr>
          <w:rFonts w:ascii="Arial" w:eastAsia="Calibri" w:hAnsi="Arial" w:cs="Arial"/>
          <w:sz w:val="22"/>
          <w:lang w:val="es-ES"/>
        </w:rPr>
      </w:pPr>
    </w:p>
    <w:p w14:paraId="0D8DA137" w14:textId="77777777" w:rsidR="00650F5F" w:rsidRPr="00FF62C3" w:rsidRDefault="00650F5F" w:rsidP="00C763CF">
      <w:pPr>
        <w:spacing w:before="120"/>
        <w:rPr>
          <w:rFonts w:ascii="Arial" w:eastAsia="Calibri" w:hAnsi="Arial" w:cs="Arial"/>
          <w:sz w:val="22"/>
          <w:lang w:val="es-ES"/>
        </w:rPr>
      </w:pPr>
      <w:r>
        <w:rPr>
          <w:rFonts w:ascii="Arial" w:eastAsia="Calibri" w:hAnsi="Arial" w:cs="Arial"/>
          <w:sz w:val="22"/>
          <w:lang w:val="es-ES"/>
        </w:rPr>
        <w:t>Estimado señor Mazuera</w:t>
      </w:r>
    </w:p>
    <w:p w14:paraId="0D6E74E7" w14:textId="77777777" w:rsidR="00650F5F" w:rsidRPr="00FF62C3" w:rsidRDefault="00650F5F" w:rsidP="00C763CF">
      <w:pPr>
        <w:spacing w:before="120"/>
        <w:jc w:val="both"/>
        <w:rPr>
          <w:rFonts w:ascii="Arial" w:eastAsia="Calibri" w:hAnsi="Arial" w:cs="Arial"/>
          <w:sz w:val="22"/>
          <w:lang w:val="es-ES"/>
        </w:rPr>
      </w:pPr>
    </w:p>
    <w:p w14:paraId="6187850D" w14:textId="77777777" w:rsidR="00650F5F" w:rsidRPr="00FF62C3" w:rsidRDefault="00650F5F" w:rsidP="00C763CF">
      <w:pPr>
        <w:spacing w:before="120"/>
        <w:jc w:val="both"/>
        <w:rPr>
          <w:rFonts w:ascii="Arial" w:eastAsia="Calibri" w:hAnsi="Arial" w:cs="Arial"/>
          <w:sz w:val="22"/>
          <w:lang w:val="es-ES"/>
        </w:rPr>
      </w:pPr>
      <w:r w:rsidRPr="00FF62C3">
        <w:rPr>
          <w:rFonts w:ascii="Arial" w:eastAsia="Calibri" w:hAnsi="Arial" w:cs="Arial"/>
          <w:sz w:val="22"/>
          <w:lang w:val="es-ES"/>
        </w:rPr>
        <w:t>La Agencia Nacional de Contratación Pública — Colombia Compra Eficiente</w:t>
      </w:r>
      <w:r>
        <w:rPr>
          <w:rFonts w:ascii="Arial" w:eastAsia="Calibri" w:hAnsi="Arial" w:cs="Arial"/>
          <w:sz w:val="22"/>
          <w:lang w:val="es-ES"/>
        </w:rPr>
        <w:t xml:space="preserve"> -</w:t>
      </w:r>
      <w:r w:rsidRPr="00FF62C3">
        <w:rPr>
          <w:rFonts w:ascii="Arial" w:eastAsia="Calibri" w:hAnsi="Arial" w:cs="Arial"/>
          <w:sz w:val="22"/>
          <w:lang w:val="es-ES"/>
        </w:rPr>
        <w:t xml:space="preserve"> responde su consulta del 06 de octubre de 2020, en ejercicio de la competencia otorgada por el numeral 5</w:t>
      </w:r>
      <w:r>
        <w:rPr>
          <w:rFonts w:ascii="Arial" w:eastAsia="Calibri" w:hAnsi="Arial" w:cs="Arial"/>
          <w:sz w:val="22"/>
          <w:lang w:val="es-ES"/>
        </w:rPr>
        <w:t>º</w:t>
      </w:r>
      <w:r w:rsidRPr="00FF62C3">
        <w:rPr>
          <w:rFonts w:ascii="Arial" w:eastAsia="Calibri" w:hAnsi="Arial" w:cs="Arial"/>
          <w:sz w:val="22"/>
          <w:lang w:val="es-ES"/>
        </w:rPr>
        <w:t xml:space="preserve"> del artículo 3</w:t>
      </w:r>
      <w:r>
        <w:rPr>
          <w:rFonts w:ascii="Arial" w:eastAsia="Calibri" w:hAnsi="Arial" w:cs="Arial"/>
          <w:sz w:val="22"/>
          <w:lang w:val="es-ES"/>
        </w:rPr>
        <w:t>º</w:t>
      </w:r>
      <w:r w:rsidRPr="00FF62C3">
        <w:rPr>
          <w:rFonts w:ascii="Arial" w:eastAsia="Calibri" w:hAnsi="Arial" w:cs="Arial"/>
          <w:sz w:val="22"/>
          <w:lang w:val="es-ES"/>
        </w:rPr>
        <w:t xml:space="preserve"> y por el numeral 8</w:t>
      </w:r>
      <w:r>
        <w:rPr>
          <w:rFonts w:ascii="Arial" w:eastAsia="Calibri" w:hAnsi="Arial" w:cs="Arial"/>
          <w:sz w:val="22"/>
          <w:lang w:val="es-ES"/>
        </w:rPr>
        <w:t>º</w:t>
      </w:r>
      <w:r w:rsidRPr="00FF62C3">
        <w:rPr>
          <w:rFonts w:ascii="Arial" w:eastAsia="Calibri" w:hAnsi="Arial" w:cs="Arial"/>
          <w:sz w:val="22"/>
          <w:lang w:val="es-ES"/>
        </w:rPr>
        <w:t xml:space="preserve"> del artículo 11 del Decreto 4170 de 2011.</w:t>
      </w:r>
    </w:p>
    <w:p w14:paraId="27083A56" w14:textId="77777777" w:rsidR="00650F5F" w:rsidRPr="00FF62C3" w:rsidRDefault="00650F5F" w:rsidP="00C763CF">
      <w:pPr>
        <w:spacing w:before="120"/>
        <w:jc w:val="both"/>
        <w:rPr>
          <w:rFonts w:ascii="Arial" w:eastAsia="Calibri" w:hAnsi="Arial" w:cs="Arial"/>
          <w:sz w:val="22"/>
          <w:lang w:val="es-ES"/>
        </w:rPr>
      </w:pPr>
    </w:p>
    <w:p w14:paraId="01B2BD54" w14:textId="77777777" w:rsidR="00650F5F" w:rsidRPr="00FF62C3" w:rsidRDefault="00650F5F" w:rsidP="00C763CF">
      <w:pPr>
        <w:pStyle w:val="Prrafodelista"/>
        <w:numPr>
          <w:ilvl w:val="0"/>
          <w:numId w:val="20"/>
        </w:numPr>
        <w:spacing w:before="120"/>
        <w:ind w:left="426"/>
        <w:jc w:val="both"/>
        <w:rPr>
          <w:rFonts w:ascii="Arial" w:eastAsia="Calibri" w:hAnsi="Arial" w:cs="Arial"/>
          <w:b/>
          <w:sz w:val="22"/>
          <w:lang w:val="es-ES"/>
        </w:rPr>
      </w:pPr>
      <w:r w:rsidRPr="00FF62C3">
        <w:rPr>
          <w:rFonts w:ascii="Arial" w:eastAsia="Calibri" w:hAnsi="Arial" w:cs="Arial"/>
          <w:b/>
          <w:sz w:val="22"/>
          <w:lang w:val="es-ES"/>
        </w:rPr>
        <w:t>Problemas planteados</w:t>
      </w:r>
    </w:p>
    <w:p w14:paraId="4115E8F4" w14:textId="77777777" w:rsidR="00650F5F" w:rsidRPr="00FF62C3" w:rsidRDefault="00650F5F" w:rsidP="00C763CF">
      <w:pPr>
        <w:spacing w:before="120"/>
        <w:rPr>
          <w:rFonts w:ascii="Arial" w:hAnsi="Arial" w:cs="Arial"/>
          <w:lang w:val="es-ES"/>
        </w:rPr>
      </w:pPr>
    </w:p>
    <w:p w14:paraId="00969D48" w14:textId="77777777" w:rsidR="00650F5F" w:rsidRPr="003357EB" w:rsidRDefault="00650F5F" w:rsidP="00C763CF">
      <w:pPr>
        <w:spacing w:before="120"/>
        <w:jc w:val="both"/>
        <w:rPr>
          <w:rFonts w:ascii="Arial" w:eastAsia="Calibri" w:hAnsi="Arial" w:cs="Arial"/>
          <w:sz w:val="22"/>
          <w:lang w:val="es-ES"/>
        </w:rPr>
      </w:pPr>
      <w:r w:rsidRPr="00FF62C3">
        <w:rPr>
          <w:rFonts w:ascii="Arial" w:eastAsia="Calibri" w:hAnsi="Arial" w:cs="Arial"/>
          <w:sz w:val="22"/>
          <w:lang w:val="es-ES"/>
        </w:rPr>
        <w:t xml:space="preserve">Usted plantea los siguientes interrogantes: «una entidad estatal que recibe en calidad de donatario una donación realizada por un particular (donante) debe publicar dicho contrato de donación en el SECOP? En caso afirmativo, ¿cuáles serían los fundamentos jurídicos para esta obligación? Y ¿Deben </w:t>
      </w:r>
      <w:proofErr w:type="spellStart"/>
      <w:r w:rsidRPr="00FF62C3">
        <w:rPr>
          <w:rFonts w:ascii="Arial" w:eastAsia="Calibri" w:hAnsi="Arial" w:cs="Arial"/>
          <w:sz w:val="22"/>
          <w:lang w:val="es-ES"/>
        </w:rPr>
        <w:t>eleborarse</w:t>
      </w:r>
      <w:proofErr w:type="spellEnd"/>
      <w:r w:rsidRPr="00FF62C3">
        <w:rPr>
          <w:rFonts w:ascii="Arial" w:eastAsia="Calibri" w:hAnsi="Arial" w:cs="Arial"/>
          <w:sz w:val="22"/>
          <w:lang w:val="es-ES"/>
        </w:rPr>
        <w:t xml:space="preserve"> (sic) estudios previos para justificar el contrato de donación?</w:t>
      </w:r>
      <w:r w:rsidRPr="003357EB">
        <w:rPr>
          <w:rFonts w:ascii="Arial" w:eastAsia="Calibri" w:hAnsi="Arial" w:cs="Arial"/>
          <w:sz w:val="22"/>
          <w:lang w:val="es-ES"/>
        </w:rPr>
        <w:t>».</w:t>
      </w:r>
    </w:p>
    <w:p w14:paraId="2D1C85F6" w14:textId="77777777" w:rsidR="00650F5F" w:rsidRPr="00FF62C3" w:rsidRDefault="00650F5F" w:rsidP="00C763CF">
      <w:pPr>
        <w:spacing w:before="120"/>
        <w:rPr>
          <w:rFonts w:ascii="Arial" w:hAnsi="Arial" w:cs="Arial"/>
          <w:sz w:val="22"/>
          <w:lang w:val="es-ES"/>
        </w:rPr>
      </w:pPr>
    </w:p>
    <w:p w14:paraId="3A4BE7B0" w14:textId="77777777" w:rsidR="00650F5F" w:rsidRPr="00FF62C3" w:rsidRDefault="00650F5F" w:rsidP="00C763CF">
      <w:pPr>
        <w:pStyle w:val="Prrafodelista"/>
        <w:numPr>
          <w:ilvl w:val="0"/>
          <w:numId w:val="20"/>
        </w:numPr>
        <w:spacing w:before="120"/>
        <w:ind w:left="426"/>
        <w:jc w:val="both"/>
        <w:rPr>
          <w:rFonts w:ascii="Arial" w:eastAsia="Calibri" w:hAnsi="Arial" w:cs="Arial"/>
          <w:b/>
          <w:sz w:val="22"/>
          <w:lang w:val="es-ES"/>
        </w:rPr>
      </w:pPr>
      <w:r w:rsidRPr="00FF62C3">
        <w:rPr>
          <w:rFonts w:ascii="Arial" w:eastAsia="Calibri" w:hAnsi="Arial" w:cs="Arial"/>
          <w:b/>
          <w:sz w:val="22"/>
          <w:lang w:val="es-ES"/>
        </w:rPr>
        <w:t>Consideraciones</w:t>
      </w:r>
    </w:p>
    <w:p w14:paraId="0D042E8F" w14:textId="77777777" w:rsidR="00650F5F" w:rsidRPr="00FF62C3" w:rsidRDefault="00650F5F" w:rsidP="00C763CF">
      <w:pPr>
        <w:spacing w:before="120"/>
        <w:jc w:val="both"/>
        <w:rPr>
          <w:rFonts w:ascii="Arial" w:eastAsia="Calibri" w:hAnsi="Arial" w:cs="Arial"/>
          <w:sz w:val="22"/>
          <w:lang w:val="es-ES"/>
        </w:rPr>
      </w:pPr>
    </w:p>
    <w:p w14:paraId="747AD70C" w14:textId="77777777" w:rsidR="00650F5F" w:rsidRPr="003F5097" w:rsidRDefault="00650F5F" w:rsidP="00C763CF">
      <w:pPr>
        <w:spacing w:before="120"/>
        <w:jc w:val="both"/>
        <w:rPr>
          <w:rFonts w:ascii="Arial" w:eastAsia="Calibri" w:hAnsi="Arial" w:cs="Arial"/>
          <w:b/>
          <w:sz w:val="22"/>
          <w:lang w:val="es-ES"/>
        </w:rPr>
      </w:pPr>
      <w:r>
        <w:rPr>
          <w:rFonts w:ascii="Arial" w:eastAsia="Calibri" w:hAnsi="Arial" w:cs="Arial"/>
          <w:b/>
          <w:sz w:val="22"/>
          <w:lang w:val="es-ES"/>
        </w:rPr>
        <w:t xml:space="preserve">2.1. </w:t>
      </w:r>
      <w:r w:rsidRPr="003F5097">
        <w:rPr>
          <w:rFonts w:ascii="Arial" w:eastAsia="Calibri" w:hAnsi="Arial" w:cs="Arial"/>
          <w:b/>
          <w:sz w:val="22"/>
          <w:lang w:val="es-ES"/>
        </w:rPr>
        <w:t>El contrato estatal y los principios que lo rigen</w:t>
      </w:r>
    </w:p>
    <w:p w14:paraId="2798E2EB" w14:textId="77777777" w:rsidR="00650F5F" w:rsidRPr="00FF62C3" w:rsidRDefault="00650F5F" w:rsidP="00C763CF">
      <w:pPr>
        <w:spacing w:before="120"/>
        <w:ind w:firstLine="426"/>
        <w:jc w:val="both"/>
        <w:rPr>
          <w:rFonts w:ascii="Arial" w:eastAsia="Calibri" w:hAnsi="Arial" w:cs="Arial"/>
          <w:sz w:val="22"/>
          <w:lang w:val="es-ES"/>
        </w:rPr>
      </w:pPr>
    </w:p>
    <w:p w14:paraId="2F461914" w14:textId="77777777" w:rsidR="00650F5F" w:rsidRPr="00FF62C3" w:rsidRDefault="00650F5F" w:rsidP="00C763CF">
      <w:pPr>
        <w:spacing w:before="120"/>
        <w:jc w:val="both"/>
        <w:rPr>
          <w:rFonts w:ascii="Arial" w:eastAsia="Calibri" w:hAnsi="Arial" w:cs="Arial"/>
          <w:sz w:val="22"/>
          <w:lang w:val="es-ES"/>
        </w:rPr>
      </w:pPr>
      <w:r w:rsidRPr="00FF62C3">
        <w:rPr>
          <w:rFonts w:ascii="Arial" w:eastAsia="Calibri" w:hAnsi="Arial" w:cs="Arial"/>
          <w:sz w:val="22"/>
          <w:lang w:val="es-ES"/>
        </w:rPr>
        <w:t xml:space="preserve">El ordenamiento jurídico colombiano ha adoptado un criterio orgánico para determinar cuándo un contrato tiene la calidad de estatal. Según este criterio, todo contrato será estatal </w:t>
      </w:r>
      <w:r w:rsidRPr="00FF62C3">
        <w:rPr>
          <w:rFonts w:ascii="Arial" w:eastAsia="Calibri" w:hAnsi="Arial" w:cs="Arial"/>
          <w:sz w:val="22"/>
          <w:lang w:val="es-ES"/>
        </w:rPr>
        <w:lastRenderedPageBreak/>
        <w:t xml:space="preserve">cuando al menos una de sus partes sea una entidad estatal, al margen del régimen aplicable </w:t>
      </w:r>
      <w:r>
        <w:rPr>
          <w:rFonts w:ascii="Arial" w:eastAsia="Calibri" w:hAnsi="Arial" w:cs="Arial"/>
          <w:sz w:val="22"/>
          <w:lang w:val="es-ES"/>
        </w:rPr>
        <w:t>a</w:t>
      </w:r>
      <w:r w:rsidRPr="00FF62C3">
        <w:rPr>
          <w:rFonts w:ascii="Arial" w:eastAsia="Calibri" w:hAnsi="Arial" w:cs="Arial"/>
          <w:sz w:val="22"/>
          <w:lang w:val="es-ES"/>
        </w:rPr>
        <w:t>l contrato, según lo establecido por el artículo 32 de la Ley 80 de 1993</w:t>
      </w:r>
      <w:r w:rsidRPr="00FF62C3">
        <w:rPr>
          <w:rStyle w:val="Refdenotaalpie"/>
          <w:rFonts w:ascii="Arial" w:eastAsia="Calibri" w:hAnsi="Arial" w:cs="Arial"/>
          <w:sz w:val="22"/>
          <w:lang w:val="es-ES"/>
        </w:rPr>
        <w:footnoteReference w:id="1"/>
      </w:r>
      <w:r w:rsidRPr="00FF62C3">
        <w:rPr>
          <w:rFonts w:ascii="Arial" w:eastAsia="Calibri" w:hAnsi="Arial" w:cs="Arial"/>
          <w:sz w:val="22"/>
          <w:lang w:val="es-ES"/>
        </w:rPr>
        <w:t xml:space="preserve">. </w:t>
      </w:r>
    </w:p>
    <w:p w14:paraId="2F3CE796" w14:textId="77777777" w:rsidR="00650F5F" w:rsidRPr="00FF62C3" w:rsidRDefault="00650F5F" w:rsidP="00C763CF">
      <w:pPr>
        <w:spacing w:before="120"/>
        <w:ind w:firstLine="709"/>
        <w:jc w:val="both"/>
        <w:rPr>
          <w:rFonts w:ascii="Arial" w:eastAsia="Calibri" w:hAnsi="Arial" w:cs="Arial"/>
          <w:sz w:val="22"/>
          <w:lang w:val="es-ES"/>
        </w:rPr>
      </w:pPr>
      <w:r w:rsidRPr="00FF62C3">
        <w:rPr>
          <w:rFonts w:ascii="Arial" w:eastAsia="Calibri" w:hAnsi="Arial" w:cs="Arial"/>
          <w:sz w:val="22"/>
          <w:lang w:val="es-ES"/>
        </w:rPr>
        <w:t xml:space="preserve">Para una mejor comprensión del planteamiento anterior, es necesario remitirse al artículo 2° de la Ley 80, el cual define qué </w:t>
      </w:r>
      <w:r>
        <w:rPr>
          <w:rFonts w:ascii="Arial" w:eastAsia="Calibri" w:hAnsi="Arial" w:cs="Arial"/>
          <w:sz w:val="22"/>
          <w:lang w:val="es-ES"/>
        </w:rPr>
        <w:t>es una</w:t>
      </w:r>
      <w:r w:rsidRPr="00FF62C3">
        <w:rPr>
          <w:rFonts w:ascii="Arial" w:eastAsia="Calibri" w:hAnsi="Arial" w:cs="Arial"/>
          <w:sz w:val="22"/>
          <w:lang w:val="es-ES"/>
        </w:rPr>
        <w:t xml:space="preserve"> entidad estatal en los siguientes términos:</w:t>
      </w:r>
    </w:p>
    <w:p w14:paraId="4E8D3EBB" w14:textId="77777777" w:rsidR="00650F5F" w:rsidRPr="00FF62C3" w:rsidRDefault="00650F5F" w:rsidP="00C763CF">
      <w:pPr>
        <w:spacing w:before="120"/>
        <w:ind w:firstLine="709"/>
        <w:jc w:val="both"/>
        <w:rPr>
          <w:rFonts w:ascii="Arial" w:eastAsia="Calibri" w:hAnsi="Arial" w:cs="Arial"/>
          <w:sz w:val="22"/>
          <w:lang w:val="es-ES"/>
        </w:rPr>
      </w:pPr>
    </w:p>
    <w:p w14:paraId="1BAC7297" w14:textId="77777777" w:rsidR="00650F5F" w:rsidRPr="00FF62C3" w:rsidRDefault="00650F5F" w:rsidP="00C763CF">
      <w:pPr>
        <w:spacing w:before="120"/>
        <w:ind w:left="709" w:right="709"/>
        <w:jc w:val="both"/>
        <w:rPr>
          <w:rFonts w:ascii="Arial" w:eastAsia="Calibri" w:hAnsi="Arial" w:cs="Arial"/>
          <w:sz w:val="20"/>
          <w:lang w:val="es-ES"/>
        </w:rPr>
      </w:pPr>
      <w:r w:rsidRPr="00FF62C3">
        <w:rPr>
          <w:rFonts w:ascii="Arial" w:eastAsia="Calibri" w:hAnsi="Arial" w:cs="Arial"/>
          <w:sz w:val="20"/>
          <w:lang w:val="es-ES"/>
        </w:rPr>
        <w:t>Artículo 2°.De la definición de entidades, servidores y servidores públicos. Para los solos efectos de esta ley:</w:t>
      </w:r>
    </w:p>
    <w:p w14:paraId="41B4B87D" w14:textId="77777777" w:rsidR="00650F5F" w:rsidRPr="00FF62C3" w:rsidRDefault="00650F5F" w:rsidP="00C763CF">
      <w:pPr>
        <w:spacing w:before="120"/>
        <w:ind w:left="709" w:right="709"/>
        <w:jc w:val="both"/>
        <w:rPr>
          <w:rFonts w:ascii="Arial" w:eastAsia="Calibri" w:hAnsi="Arial" w:cs="Arial"/>
          <w:sz w:val="20"/>
          <w:lang w:val="es-ES"/>
        </w:rPr>
      </w:pPr>
    </w:p>
    <w:p w14:paraId="4D165EA3" w14:textId="77777777" w:rsidR="00650F5F" w:rsidRPr="00FF62C3" w:rsidRDefault="00650F5F" w:rsidP="00C763CF">
      <w:pPr>
        <w:spacing w:before="120"/>
        <w:ind w:left="709" w:right="709"/>
        <w:jc w:val="both"/>
        <w:rPr>
          <w:rFonts w:ascii="Arial" w:eastAsia="Calibri" w:hAnsi="Arial" w:cs="Arial"/>
          <w:sz w:val="20"/>
          <w:lang w:val="es-ES"/>
        </w:rPr>
      </w:pPr>
      <w:r w:rsidRPr="00FF62C3">
        <w:rPr>
          <w:rFonts w:ascii="Arial" w:eastAsia="Calibri" w:hAnsi="Arial" w:cs="Arial"/>
          <w:sz w:val="20"/>
          <w:lang w:val="es-ES"/>
        </w:rPr>
        <w:t>1o. Se denominan entidades estatales:</w:t>
      </w:r>
    </w:p>
    <w:p w14:paraId="6E397B23" w14:textId="77777777" w:rsidR="00650F5F" w:rsidRPr="00FF62C3" w:rsidRDefault="00650F5F" w:rsidP="00C763CF">
      <w:pPr>
        <w:spacing w:before="120"/>
        <w:ind w:left="709" w:right="709"/>
        <w:jc w:val="both"/>
        <w:rPr>
          <w:rFonts w:ascii="Arial" w:eastAsia="Calibri" w:hAnsi="Arial" w:cs="Arial"/>
          <w:sz w:val="20"/>
          <w:lang w:val="es-ES"/>
        </w:rPr>
      </w:pPr>
    </w:p>
    <w:p w14:paraId="2E35EB72" w14:textId="77777777" w:rsidR="00650F5F" w:rsidRPr="00FF62C3" w:rsidRDefault="00650F5F" w:rsidP="00C763CF">
      <w:pPr>
        <w:spacing w:before="120"/>
        <w:ind w:left="709" w:right="709"/>
        <w:jc w:val="both"/>
        <w:rPr>
          <w:rFonts w:ascii="Arial" w:eastAsia="Calibri" w:hAnsi="Arial" w:cs="Arial"/>
          <w:sz w:val="20"/>
          <w:lang w:val="es-ES"/>
        </w:rPr>
      </w:pPr>
      <w:r w:rsidRPr="00FF62C3">
        <w:rPr>
          <w:rFonts w:ascii="Arial" w:eastAsia="Calibri" w:hAnsi="Arial" w:cs="Arial"/>
          <w:sz w:val="20"/>
          <w:lang w:val="es-ES"/>
        </w:rPr>
        <w:t>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w:t>
      </w:r>
      <w:r>
        <w:rPr>
          <w:rStyle w:val="Refdenotaalpie"/>
          <w:rFonts w:ascii="Arial" w:eastAsia="Calibri" w:hAnsi="Arial" w:cs="Arial"/>
          <w:sz w:val="20"/>
          <w:lang w:val="es-ES"/>
        </w:rPr>
        <w:footnoteReference w:id="2"/>
      </w:r>
      <w:r w:rsidRPr="00FF62C3">
        <w:rPr>
          <w:rFonts w:ascii="Arial" w:eastAsia="Calibri" w:hAnsi="Arial" w:cs="Arial"/>
          <w:sz w:val="20"/>
          <w:lang w:val="es-ES"/>
        </w:rPr>
        <w:t>.</w:t>
      </w:r>
    </w:p>
    <w:p w14:paraId="65964675" w14:textId="77777777" w:rsidR="00650F5F" w:rsidRPr="00FF62C3" w:rsidRDefault="00650F5F" w:rsidP="00C763CF">
      <w:pPr>
        <w:spacing w:before="120"/>
        <w:ind w:firstLine="426"/>
        <w:jc w:val="both"/>
        <w:rPr>
          <w:rFonts w:ascii="Arial" w:eastAsia="Calibri" w:hAnsi="Arial" w:cs="Arial"/>
          <w:sz w:val="22"/>
          <w:lang w:val="es-ES"/>
        </w:rPr>
      </w:pPr>
    </w:p>
    <w:p w14:paraId="6B81F647" w14:textId="46744040" w:rsidR="00650F5F" w:rsidRDefault="00650F5F" w:rsidP="00C763CF">
      <w:pPr>
        <w:spacing w:before="120"/>
        <w:ind w:firstLine="709"/>
        <w:jc w:val="both"/>
        <w:rPr>
          <w:rFonts w:ascii="Arial" w:eastAsia="Calibri" w:hAnsi="Arial" w:cs="Arial"/>
          <w:sz w:val="22"/>
          <w:lang w:val="es-ES"/>
        </w:rPr>
      </w:pPr>
      <w:r w:rsidRPr="00FF62C3">
        <w:rPr>
          <w:rFonts w:ascii="Arial" w:eastAsia="Calibri" w:hAnsi="Arial" w:cs="Arial"/>
          <w:sz w:val="22"/>
          <w:lang w:val="es-ES"/>
        </w:rPr>
        <w:t>Con base en lo anterior, se debe concluir que todo contrato, independientemente de su tipología</w:t>
      </w:r>
      <w:r>
        <w:rPr>
          <w:rFonts w:ascii="Arial" w:eastAsia="Calibri" w:hAnsi="Arial" w:cs="Arial"/>
          <w:sz w:val="22"/>
          <w:lang w:val="es-ES"/>
        </w:rPr>
        <w:t xml:space="preserve"> y régimen jurídico</w:t>
      </w:r>
      <w:r w:rsidRPr="00FF62C3">
        <w:rPr>
          <w:rFonts w:ascii="Arial" w:eastAsia="Calibri" w:hAnsi="Arial" w:cs="Arial"/>
          <w:sz w:val="22"/>
          <w:lang w:val="es-ES"/>
        </w:rPr>
        <w:t>, tiene la naturaleza de contrato estatal cuando alguna de sus partes es una entidad estatal</w:t>
      </w:r>
      <w:r>
        <w:rPr>
          <w:rFonts w:ascii="Arial" w:eastAsia="Calibri" w:hAnsi="Arial" w:cs="Arial"/>
          <w:sz w:val="22"/>
          <w:lang w:val="es-ES"/>
        </w:rPr>
        <w:t xml:space="preserve">, conforme </w:t>
      </w:r>
      <w:r w:rsidR="003304AF">
        <w:rPr>
          <w:rFonts w:ascii="Arial" w:eastAsia="Calibri" w:hAnsi="Arial" w:cs="Arial"/>
          <w:sz w:val="22"/>
          <w:lang w:val="es-ES"/>
        </w:rPr>
        <w:t xml:space="preserve">lo expuesto en </w:t>
      </w:r>
      <w:r w:rsidRPr="00FF62C3">
        <w:rPr>
          <w:rFonts w:ascii="Arial" w:eastAsia="Calibri" w:hAnsi="Arial" w:cs="Arial"/>
          <w:sz w:val="22"/>
          <w:lang w:val="es-ES"/>
        </w:rPr>
        <w:t xml:space="preserve">el párrafo transcrito anteriormente. </w:t>
      </w:r>
      <w:r w:rsidR="003304AF">
        <w:rPr>
          <w:rFonts w:ascii="Arial" w:eastAsia="Calibri" w:hAnsi="Arial" w:cs="Arial"/>
          <w:sz w:val="22"/>
          <w:lang w:val="es-ES"/>
        </w:rPr>
        <w:t>Ahora bien, a</w:t>
      </w:r>
      <w:r w:rsidRPr="00FF62C3">
        <w:rPr>
          <w:rFonts w:ascii="Arial" w:eastAsia="Calibri" w:hAnsi="Arial" w:cs="Arial"/>
          <w:sz w:val="22"/>
          <w:lang w:val="es-ES"/>
        </w:rPr>
        <w:t xml:space="preserve">terrizando las consideraciones anteriores a la consulta atendida en este concepto, cuando una entidad estatal celebra un contrato de donación, ya sea </w:t>
      </w:r>
      <w:r w:rsidR="004F205F">
        <w:rPr>
          <w:rFonts w:ascii="Arial" w:eastAsia="Calibri" w:hAnsi="Arial" w:cs="Arial"/>
          <w:sz w:val="22"/>
          <w:lang w:val="es-ES"/>
        </w:rPr>
        <w:t xml:space="preserve">que la entidad estatal participe </w:t>
      </w:r>
      <w:r w:rsidR="003304AF">
        <w:rPr>
          <w:rFonts w:ascii="Arial" w:eastAsia="Calibri" w:hAnsi="Arial" w:cs="Arial"/>
          <w:sz w:val="22"/>
          <w:lang w:val="es-ES"/>
        </w:rPr>
        <w:t xml:space="preserve">como </w:t>
      </w:r>
      <w:r w:rsidRPr="00FF62C3">
        <w:rPr>
          <w:rFonts w:ascii="Arial" w:eastAsia="Calibri" w:hAnsi="Arial" w:cs="Arial"/>
          <w:sz w:val="22"/>
          <w:lang w:val="es-ES"/>
        </w:rPr>
        <w:t xml:space="preserve">donante o como donataria, estaremos frente a un contrato estatal. </w:t>
      </w:r>
      <w:r w:rsidR="004F205F">
        <w:rPr>
          <w:rFonts w:ascii="Arial" w:eastAsia="Calibri" w:hAnsi="Arial" w:cs="Arial"/>
          <w:sz w:val="22"/>
          <w:lang w:val="es-ES"/>
        </w:rPr>
        <w:t xml:space="preserve"> </w:t>
      </w:r>
      <w:r w:rsidRPr="00FF62C3">
        <w:rPr>
          <w:rFonts w:ascii="Arial" w:eastAsia="Calibri" w:hAnsi="Arial" w:cs="Arial"/>
          <w:sz w:val="22"/>
          <w:lang w:val="es-ES"/>
        </w:rPr>
        <w:t xml:space="preserve">Por esta condición, ese negocio jurídico estará sujeto a todos los principios y reglas aplicables a los contratos estatales. </w:t>
      </w:r>
    </w:p>
    <w:p w14:paraId="73D1F5C7" w14:textId="0071CAE2"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En cuanto a los principios, </w:t>
      </w:r>
      <w:r w:rsidRPr="00FF62C3">
        <w:rPr>
          <w:rFonts w:ascii="Arial" w:eastAsia="Calibri" w:hAnsi="Arial" w:cs="Arial"/>
          <w:sz w:val="22"/>
          <w:lang w:val="es-ES"/>
        </w:rPr>
        <w:t>el artículo 209 de la Constitución Política</w:t>
      </w:r>
      <w:r w:rsidRPr="00FF62C3">
        <w:rPr>
          <w:rStyle w:val="Refdenotaalpie"/>
          <w:rFonts w:ascii="Arial" w:eastAsia="Calibri" w:hAnsi="Arial" w:cs="Arial"/>
          <w:sz w:val="22"/>
          <w:lang w:val="es-ES"/>
        </w:rPr>
        <w:footnoteReference w:id="3"/>
      </w:r>
      <w:r>
        <w:rPr>
          <w:rFonts w:ascii="Arial" w:eastAsia="Calibri" w:hAnsi="Arial" w:cs="Arial"/>
          <w:sz w:val="22"/>
          <w:lang w:val="es-ES"/>
        </w:rPr>
        <w:t xml:space="preserve"> estableció que </w:t>
      </w:r>
      <w:r w:rsidRPr="00FF62C3">
        <w:rPr>
          <w:rFonts w:ascii="Arial" w:eastAsia="Calibri" w:hAnsi="Arial" w:cs="Arial"/>
          <w:sz w:val="22"/>
          <w:lang w:val="es-ES"/>
        </w:rPr>
        <w:t>la función administrativa está sometida a los principios de igualdad, moralidad, eficacia, economía, celeridad, imparcialidad y publicidad</w:t>
      </w:r>
      <w:r>
        <w:rPr>
          <w:rFonts w:ascii="Arial" w:eastAsia="Calibri" w:hAnsi="Arial" w:cs="Arial"/>
          <w:sz w:val="22"/>
          <w:lang w:val="es-ES"/>
        </w:rPr>
        <w:t xml:space="preserve">. Además de estos principios, la doctrina constitucional ha considerado que a la contratación estatal le resultan </w:t>
      </w:r>
      <w:r w:rsidR="009D4B20">
        <w:rPr>
          <w:rFonts w:ascii="Arial" w:eastAsia="Calibri" w:hAnsi="Arial" w:cs="Arial"/>
          <w:sz w:val="22"/>
          <w:lang w:val="es-ES"/>
        </w:rPr>
        <w:t xml:space="preserve">extensivos </w:t>
      </w:r>
      <w:r>
        <w:rPr>
          <w:rFonts w:ascii="Arial" w:eastAsia="Calibri" w:hAnsi="Arial" w:cs="Arial"/>
          <w:sz w:val="22"/>
          <w:lang w:val="es-ES"/>
        </w:rPr>
        <w:t>principios</w:t>
      </w:r>
      <w:r w:rsidR="009D4B20">
        <w:rPr>
          <w:rFonts w:ascii="Arial" w:eastAsia="Calibri" w:hAnsi="Arial" w:cs="Arial"/>
          <w:sz w:val="22"/>
          <w:lang w:val="es-ES"/>
        </w:rPr>
        <w:t xml:space="preserve"> propios de la legislación civil y comercial, t</w:t>
      </w:r>
      <w:r>
        <w:rPr>
          <w:rFonts w:ascii="Arial" w:eastAsia="Calibri" w:hAnsi="Arial" w:cs="Arial"/>
          <w:sz w:val="22"/>
          <w:lang w:val="es-ES"/>
        </w:rPr>
        <w:t>a</w:t>
      </w:r>
      <w:r w:rsidR="009D4B20">
        <w:rPr>
          <w:rFonts w:ascii="Arial" w:eastAsia="Calibri" w:hAnsi="Arial" w:cs="Arial"/>
          <w:sz w:val="22"/>
          <w:lang w:val="es-ES"/>
        </w:rPr>
        <w:t>les</w:t>
      </w:r>
      <w:r>
        <w:rPr>
          <w:rFonts w:ascii="Arial" w:eastAsia="Calibri" w:hAnsi="Arial" w:cs="Arial"/>
          <w:sz w:val="22"/>
          <w:lang w:val="es-ES"/>
        </w:rPr>
        <w:t xml:space="preserve"> como el principio de la autonomía de la </w:t>
      </w:r>
      <w:r>
        <w:rPr>
          <w:rFonts w:ascii="Arial" w:eastAsia="Calibri" w:hAnsi="Arial" w:cs="Arial"/>
          <w:sz w:val="22"/>
          <w:lang w:val="es-ES"/>
        </w:rPr>
        <w:lastRenderedPageBreak/>
        <w:t xml:space="preserve">voluntad, la buena fe, la conmutatividad de prestaciones, entre otros. Estos principios, tratándose de contratación estatal, han sido desarrollados </w:t>
      </w:r>
      <w:r w:rsidRPr="00C96BA1">
        <w:rPr>
          <w:rFonts w:ascii="Arial" w:eastAsia="Calibri" w:hAnsi="Arial" w:cs="Arial"/>
          <w:sz w:val="22"/>
          <w:lang w:val="es-ES"/>
        </w:rPr>
        <w:t>en el Estatuto General de Contratación de la Administración Pública –L</w:t>
      </w:r>
      <w:r>
        <w:rPr>
          <w:rFonts w:ascii="Arial" w:eastAsia="Calibri" w:hAnsi="Arial" w:cs="Arial"/>
          <w:sz w:val="22"/>
          <w:lang w:val="es-ES"/>
        </w:rPr>
        <w:t>e</w:t>
      </w:r>
      <w:r w:rsidRPr="00C96BA1">
        <w:rPr>
          <w:rFonts w:ascii="Arial" w:eastAsia="Calibri" w:hAnsi="Arial" w:cs="Arial"/>
          <w:sz w:val="22"/>
          <w:lang w:val="es-ES"/>
        </w:rPr>
        <w:t>y 80 de 1993</w:t>
      </w:r>
      <w:r>
        <w:rPr>
          <w:rStyle w:val="Refdenotaalpie"/>
          <w:rFonts w:ascii="Arial" w:eastAsia="Calibri" w:hAnsi="Arial" w:cs="Arial"/>
          <w:sz w:val="22"/>
          <w:lang w:val="es-ES"/>
        </w:rPr>
        <w:footnoteReference w:id="4"/>
      </w:r>
      <w:r w:rsidRPr="00C96BA1">
        <w:rPr>
          <w:rFonts w:ascii="Arial" w:eastAsia="Calibri" w:hAnsi="Arial" w:cs="Arial"/>
          <w:sz w:val="22"/>
          <w:lang w:val="es-ES"/>
        </w:rPr>
        <w:t xml:space="preserve"> y Ley 1150 de 2007–, así como en la Ley 1712</w:t>
      </w:r>
      <w:r w:rsidRPr="00FF62C3">
        <w:rPr>
          <w:rFonts w:ascii="Arial" w:eastAsia="Calibri" w:hAnsi="Arial" w:cs="Arial"/>
          <w:sz w:val="22"/>
          <w:lang w:val="es-ES"/>
        </w:rPr>
        <w:t xml:space="preserve"> de 2014, las cuales, a su vez, son reglamentadas por los Decretos 1081 y 1082 de 2015.</w:t>
      </w:r>
    </w:p>
    <w:p w14:paraId="58CEDA63"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La Ley 80 de 1993 fue modificada, entre otras, por la Ley 1150 de 2007, norma que, al tenor de lo dispuesto en su artículo 1º, incorporó al ordenamiento legal ciertas reglas para la eficiencia y transparencia de la contratación que involucra recursos públicos</w:t>
      </w:r>
      <w:r>
        <w:rPr>
          <w:rStyle w:val="Refdenotaalpie"/>
          <w:rFonts w:ascii="Arial" w:hAnsi="Arial" w:cs="Arial"/>
          <w:sz w:val="22"/>
          <w:lang w:val="es-ES"/>
        </w:rPr>
        <w:footnoteReference w:id="5"/>
      </w:r>
      <w:r>
        <w:rPr>
          <w:rFonts w:ascii="Arial" w:hAnsi="Arial" w:cs="Arial"/>
          <w:sz w:val="22"/>
          <w:lang w:val="es-ES"/>
        </w:rPr>
        <w:t>. En ese sentido, las disposiciones contenidas en dicha ley solo pueden ser aplicables a aquellos contratos en los que se comprometan recursos públicos, quedando excluidos de su campo regulatorio aquellos contratos suscritos por entidades estatales en los que no se disponga de recursos del Estado.</w:t>
      </w:r>
    </w:p>
    <w:p w14:paraId="129CF4FD"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En concordancia con el objeto de la Ley 1150 de 2007, el artículo 3</w:t>
      </w:r>
      <w:r>
        <w:rPr>
          <w:rStyle w:val="Refdenotaalpie"/>
          <w:rFonts w:ascii="Arial" w:hAnsi="Arial" w:cs="Arial"/>
          <w:sz w:val="22"/>
          <w:lang w:val="es-ES"/>
        </w:rPr>
        <w:footnoteReference w:id="6"/>
      </w:r>
      <w:r>
        <w:rPr>
          <w:rFonts w:ascii="Arial" w:hAnsi="Arial" w:cs="Arial"/>
          <w:sz w:val="22"/>
          <w:lang w:val="es-ES"/>
        </w:rPr>
        <w:t xml:space="preserve"> de la misma dispuso la creación del Sistema Electrónico para la Contratación Pública – SECOP, como plataforma electrónica para la publicación de todos los actos relacionados con la actividad precontractual y contractual de las entidades estatales.</w:t>
      </w:r>
    </w:p>
    <w:p w14:paraId="2A6F4C67"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 xml:space="preserve">Sin embargo, estando la Ley 1150 de 2007 dirigida a regular aquellos contratos en los que se comprometen recursos públicos, según se desprende claramente de su propio </w:t>
      </w:r>
      <w:r>
        <w:rPr>
          <w:rFonts w:ascii="Arial" w:hAnsi="Arial" w:cs="Arial"/>
          <w:sz w:val="22"/>
          <w:lang w:val="es-ES"/>
        </w:rPr>
        <w:lastRenderedPageBreak/>
        <w:t xml:space="preserve">texto, surge la duda sobre si la publicidad que en ella se regula es un requisito para los contratos estatales únicamente cuando estos comprometen y ejecutan recursos públicos, quedando exentos de esta obligación aquellos contratos en los que no hay compromiso de recursos del Estado, como ocurre en los contratos de donación en donde el donante es un particular, y el donatario una entidad estatal. </w:t>
      </w:r>
    </w:p>
    <w:p w14:paraId="0AD2D1A1" w14:textId="2880ED83" w:rsidR="00650F5F" w:rsidRDefault="00650F5F" w:rsidP="00C763CF">
      <w:pPr>
        <w:spacing w:before="120"/>
        <w:ind w:firstLine="709"/>
        <w:jc w:val="both"/>
        <w:rPr>
          <w:rFonts w:ascii="Arial" w:hAnsi="Arial" w:cs="Arial"/>
          <w:sz w:val="22"/>
          <w:lang w:val="es-ES"/>
        </w:rPr>
      </w:pPr>
      <w:r>
        <w:rPr>
          <w:rFonts w:ascii="Arial" w:hAnsi="Arial" w:cs="Arial"/>
          <w:sz w:val="22"/>
          <w:lang w:val="es-ES"/>
        </w:rPr>
        <w:t>La</w:t>
      </w:r>
      <w:r w:rsidRPr="004F1047">
        <w:rPr>
          <w:rFonts w:ascii="Arial" w:hAnsi="Arial" w:cs="Arial"/>
          <w:sz w:val="22"/>
          <w:lang w:val="es-ES"/>
        </w:rPr>
        <w:t xml:space="preserve"> Agencia Nacional de Contratación Pública – Colombia Compra Eficiente</w:t>
      </w:r>
      <w:r>
        <w:rPr>
          <w:rFonts w:ascii="Arial" w:hAnsi="Arial" w:cs="Arial"/>
          <w:sz w:val="22"/>
          <w:lang w:val="es-ES"/>
        </w:rPr>
        <w:t xml:space="preserve"> se ha pronunciado sobre este particular, resaltando que el deber de publicar su actividad contractual recae en las entidades estatales cuando el contrato ejecute o tenga como fuente de financiación recursos públicos. Así lo precisó en el concepto con radicado </w:t>
      </w:r>
      <w:proofErr w:type="spellStart"/>
      <w:r>
        <w:rPr>
          <w:rFonts w:ascii="Arial" w:hAnsi="Arial" w:cs="Arial"/>
          <w:sz w:val="22"/>
          <w:lang w:val="es-ES"/>
        </w:rPr>
        <w:t>N°</w:t>
      </w:r>
      <w:proofErr w:type="spellEnd"/>
      <w:r>
        <w:rPr>
          <w:rFonts w:ascii="Arial" w:hAnsi="Arial" w:cs="Arial"/>
          <w:sz w:val="22"/>
          <w:lang w:val="es-ES"/>
        </w:rPr>
        <w:t xml:space="preserve"> </w:t>
      </w:r>
      <w:r w:rsidRPr="004F1047">
        <w:rPr>
          <w:rFonts w:ascii="Arial" w:hAnsi="Arial" w:cs="Arial"/>
          <w:sz w:val="22"/>
          <w:lang w:val="es-ES"/>
        </w:rPr>
        <w:t>2201913000008174</w:t>
      </w:r>
      <w:r>
        <w:rPr>
          <w:rFonts w:ascii="Arial" w:hAnsi="Arial" w:cs="Arial"/>
          <w:sz w:val="22"/>
          <w:lang w:val="es-ES"/>
        </w:rPr>
        <w:t xml:space="preserve">, </w:t>
      </w:r>
      <w:r w:rsidR="009D4B20">
        <w:rPr>
          <w:rFonts w:ascii="Arial" w:hAnsi="Arial" w:cs="Arial"/>
          <w:sz w:val="22"/>
          <w:lang w:val="es-ES"/>
        </w:rPr>
        <w:t xml:space="preserve">oportunidad </w:t>
      </w:r>
      <w:r>
        <w:rPr>
          <w:rFonts w:ascii="Arial" w:hAnsi="Arial" w:cs="Arial"/>
          <w:sz w:val="22"/>
          <w:lang w:val="es-ES"/>
        </w:rPr>
        <w:t>en la que se explicó lo siguiente:</w:t>
      </w:r>
    </w:p>
    <w:p w14:paraId="54C0C888" w14:textId="77777777" w:rsidR="00650F5F" w:rsidRDefault="00650F5F" w:rsidP="00C763CF">
      <w:pPr>
        <w:spacing w:before="120"/>
        <w:ind w:firstLine="426"/>
        <w:jc w:val="both"/>
        <w:rPr>
          <w:rFonts w:ascii="Arial" w:hAnsi="Arial" w:cs="Arial"/>
          <w:sz w:val="22"/>
          <w:lang w:val="es-ES"/>
        </w:rPr>
      </w:pPr>
    </w:p>
    <w:p w14:paraId="02D9E858" w14:textId="77777777" w:rsidR="00650F5F" w:rsidRDefault="00650F5F" w:rsidP="00C763CF">
      <w:pPr>
        <w:spacing w:before="120"/>
        <w:ind w:left="709" w:right="709"/>
        <w:jc w:val="both"/>
        <w:rPr>
          <w:rFonts w:ascii="Arial" w:hAnsi="Arial" w:cs="Arial"/>
          <w:sz w:val="22"/>
          <w:lang w:val="es-ES"/>
        </w:rPr>
      </w:pPr>
      <w:r w:rsidRPr="004F1047">
        <w:rPr>
          <w:rFonts w:ascii="Arial" w:hAnsi="Arial" w:cs="Arial"/>
          <w:sz w:val="20"/>
          <w:lang w:val="es-ES"/>
        </w:rPr>
        <w:t>Para el año 2013, la Agencia Nacional de Contratación Pública - Colombia Compra Eficiente, mediante la Circular Externa No 1 de 21 de junio de 2013, recopila</w:t>
      </w:r>
      <w:r>
        <w:rPr>
          <w:rFonts w:ascii="Arial" w:hAnsi="Arial" w:cs="Arial"/>
          <w:sz w:val="20"/>
          <w:lang w:val="es-ES"/>
        </w:rPr>
        <w:t>da en la Circular Externa Única</w:t>
      </w:r>
      <w:r w:rsidRPr="004F1047">
        <w:rPr>
          <w:rFonts w:ascii="Arial" w:hAnsi="Arial" w:cs="Arial"/>
          <w:sz w:val="20"/>
          <w:lang w:val="es-ES"/>
        </w:rPr>
        <w:t>, recordó a todas las entidades del Estado el deber de publicar oportunamente su actividad contractual en el SECOP, sin que sea relevante para la exigencia de esta obligación su régimen jurídico, naturaleza de público o privado o la pertenencia a una u otra rama del poder público. Junto con lo anterior, la Circular Externa Única en el numeral 1.1. establece, de manera enunciativa, que deben publicar en el SECOP: “2. Las entidades del Estado que tienen un régimen especial de contratación, siempre y cuando el contrato ejecute o tenga como fuente de financiación dineros públicos, sin importar su proporción, a través del módulo ‘Régimen Especial’, de acuerdo con lo establecido en su propio manual de contratación”</w:t>
      </w:r>
      <w:r>
        <w:rPr>
          <w:rStyle w:val="Refdenotaalpie"/>
          <w:rFonts w:ascii="Arial" w:hAnsi="Arial" w:cs="Arial"/>
          <w:sz w:val="20"/>
          <w:lang w:val="es-ES"/>
        </w:rPr>
        <w:footnoteReference w:id="7"/>
      </w:r>
      <w:r w:rsidRPr="004F1047">
        <w:rPr>
          <w:rFonts w:ascii="Arial" w:hAnsi="Arial" w:cs="Arial"/>
          <w:sz w:val="20"/>
          <w:lang w:val="es-ES"/>
        </w:rPr>
        <w:t>.</w:t>
      </w:r>
    </w:p>
    <w:p w14:paraId="7CB330C3" w14:textId="77777777" w:rsidR="00650F5F" w:rsidRDefault="00650F5F" w:rsidP="00C763CF">
      <w:pPr>
        <w:spacing w:before="120"/>
        <w:ind w:firstLine="426"/>
        <w:jc w:val="both"/>
        <w:rPr>
          <w:rFonts w:ascii="Arial" w:hAnsi="Arial" w:cs="Arial"/>
          <w:sz w:val="22"/>
          <w:lang w:val="es-ES"/>
        </w:rPr>
      </w:pPr>
    </w:p>
    <w:p w14:paraId="01629CE9" w14:textId="77777777" w:rsidR="00650F5F" w:rsidRPr="008427B2" w:rsidRDefault="00650F5F" w:rsidP="00C763CF">
      <w:pPr>
        <w:spacing w:before="120"/>
        <w:ind w:firstLine="709"/>
        <w:jc w:val="both"/>
        <w:rPr>
          <w:rFonts w:ascii="Arial" w:hAnsi="Arial" w:cs="Arial"/>
          <w:sz w:val="22"/>
          <w:lang w:val="es-CO"/>
        </w:rPr>
      </w:pPr>
      <w:r>
        <w:rPr>
          <w:rFonts w:ascii="Arial" w:hAnsi="Arial" w:cs="Arial"/>
          <w:sz w:val="22"/>
          <w:lang w:val="es-ES"/>
        </w:rPr>
        <w:t xml:space="preserve">En el año 2014 se expidió la Ley 1712, mediante la cual se </w:t>
      </w:r>
      <w:r w:rsidRPr="009F4EEA">
        <w:rPr>
          <w:rFonts w:ascii="Arial" w:hAnsi="Arial" w:cs="Arial"/>
          <w:sz w:val="22"/>
          <w:lang w:val="es-CO"/>
        </w:rPr>
        <w:t>consagró el Derecho de Acceso a la Información Pública como un derecho fundamental que tienen todas las personas para conocer de la existencia y acceder a la información pública en posesión o bajo control de los sujetos obligados</w:t>
      </w:r>
      <w:r>
        <w:rPr>
          <w:rStyle w:val="Refdenotaalpie"/>
          <w:rFonts w:ascii="Arial" w:hAnsi="Arial" w:cs="Arial"/>
          <w:sz w:val="22"/>
          <w:lang w:val="es-CO"/>
        </w:rPr>
        <w:footnoteReference w:id="8"/>
      </w:r>
      <w:r w:rsidRPr="008427B2">
        <w:rPr>
          <w:rFonts w:ascii="Arial" w:hAnsi="Arial" w:cs="Arial"/>
          <w:sz w:val="22"/>
          <w:lang w:val="es-CO"/>
        </w:rPr>
        <w:t>.</w:t>
      </w:r>
      <w:r>
        <w:rPr>
          <w:rFonts w:ascii="Arial" w:hAnsi="Arial" w:cs="Arial"/>
          <w:sz w:val="22"/>
          <w:lang w:val="es-CO"/>
        </w:rPr>
        <w:t xml:space="preserve"> Dentro de los principios que rigen este derecho fundamental, la mencionada ley estatutaria consagró el principio de </w:t>
      </w:r>
      <w:r>
        <w:rPr>
          <w:rFonts w:ascii="Arial" w:hAnsi="Arial" w:cs="Arial"/>
          <w:sz w:val="22"/>
          <w:lang w:val="es-ES"/>
        </w:rPr>
        <w:t>máxima publicidad, de acuerdo con el cual toda la información en posesión de una entidad estatal es, por esto mismo, información pública, y sólo puede ser limitada por expresa disposición legal</w:t>
      </w:r>
      <w:r>
        <w:rPr>
          <w:rStyle w:val="Refdenotaalpie"/>
          <w:rFonts w:ascii="Arial" w:hAnsi="Arial" w:cs="Arial"/>
          <w:sz w:val="22"/>
          <w:lang w:val="es-ES"/>
        </w:rPr>
        <w:footnoteReference w:id="9"/>
      </w:r>
      <w:r>
        <w:rPr>
          <w:rFonts w:ascii="Arial" w:hAnsi="Arial" w:cs="Arial"/>
          <w:sz w:val="22"/>
          <w:lang w:val="es-ES"/>
        </w:rPr>
        <w:t>.</w:t>
      </w:r>
    </w:p>
    <w:p w14:paraId="3F2A489F"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lastRenderedPageBreak/>
        <w:t>Como complemento a este principio de máximo publicidad, el artículo 3 de la antedicha disposición</w:t>
      </w:r>
      <w:r>
        <w:rPr>
          <w:rStyle w:val="Refdenotaalpie"/>
          <w:rFonts w:ascii="Arial" w:hAnsi="Arial" w:cs="Arial"/>
          <w:sz w:val="22"/>
          <w:lang w:val="es-ES"/>
        </w:rPr>
        <w:footnoteReference w:id="10"/>
      </w:r>
      <w:r>
        <w:rPr>
          <w:rFonts w:ascii="Arial" w:hAnsi="Arial" w:cs="Arial"/>
          <w:sz w:val="22"/>
          <w:lang w:val="es-ES"/>
        </w:rPr>
        <w:t xml:space="preserve"> adopta como principios para el acceso a la información el principio de transparencia y el principio de divulgación proactiva de la información. De conformidad con el primero, las entidades estatales tienen el deber de proporcionar a la población el acceso a la información que está bajo su control, excepto en los casos en que la Constitución o la ley dispongan lo contrario. De acuerdo con el segundo de los principios enunciados, las entidades estatales deben poner a disposición de los particulares toda la información relacionada con sus actividades de forma proactiva, es decir, sin que sea necesario un requerimiento en ese sentido, para reforzar el principio de transparencia y cumplir con la publicidad que se exige a estas entidades.</w:t>
      </w:r>
    </w:p>
    <w:p w14:paraId="5430DB85" w14:textId="77777777" w:rsidR="00650F5F" w:rsidRPr="00607549" w:rsidRDefault="00650F5F" w:rsidP="00C763CF">
      <w:pPr>
        <w:spacing w:before="120"/>
        <w:ind w:firstLine="709"/>
        <w:jc w:val="both"/>
        <w:rPr>
          <w:rFonts w:ascii="Arial" w:hAnsi="Arial" w:cs="Arial"/>
          <w:sz w:val="22"/>
          <w:lang w:val="es-ES"/>
        </w:rPr>
      </w:pPr>
      <w:r>
        <w:rPr>
          <w:rFonts w:ascii="Arial" w:hAnsi="Arial" w:cs="Arial"/>
          <w:sz w:val="22"/>
          <w:lang w:val="es-ES"/>
        </w:rPr>
        <w:t>En materia de contratación, la mencionada Ley de Transparencia y del Derecho al Acceso a la Información estableció la obligación a cargo de las entidades estatales de publicar el plan de compras anual, así como los contratos adjudicados durante la respectiva vigencia. De igual forma, incluyó obligaciones especiales a propósito de los contratos de prestación de servicios, exigiendo la publicidad del monto de los honorarios, direcciones de correo electrónico de los contratistas, entre otra información</w:t>
      </w:r>
      <w:r>
        <w:rPr>
          <w:rStyle w:val="Refdenotaalpie"/>
          <w:rFonts w:ascii="Arial" w:hAnsi="Arial" w:cs="Arial"/>
          <w:sz w:val="22"/>
          <w:lang w:val="es-ES"/>
        </w:rPr>
        <w:footnoteReference w:id="11"/>
      </w:r>
      <w:r>
        <w:rPr>
          <w:rFonts w:ascii="Arial" w:hAnsi="Arial" w:cs="Arial"/>
          <w:sz w:val="22"/>
          <w:lang w:val="es-ES"/>
        </w:rPr>
        <w:t xml:space="preserve">. Como complemento de lo </w:t>
      </w:r>
      <w:r>
        <w:rPr>
          <w:rFonts w:ascii="Arial" w:hAnsi="Arial" w:cs="Arial"/>
          <w:sz w:val="22"/>
          <w:lang w:val="es-ES"/>
        </w:rPr>
        <w:lastRenderedPageBreak/>
        <w:t>anterior, el artículo 10 del Estatuto de Transparencia</w:t>
      </w:r>
      <w:r>
        <w:rPr>
          <w:rStyle w:val="Refdenotaalpie"/>
          <w:rFonts w:ascii="Arial" w:hAnsi="Arial" w:cs="Arial"/>
          <w:sz w:val="22"/>
          <w:lang w:val="es-ES"/>
        </w:rPr>
        <w:footnoteReference w:id="12"/>
      </w:r>
      <w:r>
        <w:rPr>
          <w:rFonts w:ascii="Arial" w:hAnsi="Arial" w:cs="Arial"/>
          <w:sz w:val="22"/>
          <w:lang w:val="es-ES"/>
        </w:rPr>
        <w:t>, reiterado por el literal g) del artículo 11</w:t>
      </w:r>
      <w:r>
        <w:rPr>
          <w:rStyle w:val="Refdenotaalpie"/>
          <w:rFonts w:ascii="Arial" w:hAnsi="Arial" w:cs="Arial"/>
          <w:sz w:val="22"/>
          <w:lang w:val="es-ES"/>
        </w:rPr>
        <w:footnoteReference w:id="13"/>
      </w:r>
      <w:r>
        <w:rPr>
          <w:rFonts w:ascii="Arial" w:hAnsi="Arial" w:cs="Arial"/>
          <w:sz w:val="22"/>
          <w:lang w:val="es-ES"/>
        </w:rPr>
        <w:t>, contempla que las entidades cuyos contratos se encuentren regidos por el régimen de contratación estatal (esto es, el Estatuto General de Contratación de la Administración Pública), deberán publicar, sin excepción, en el medio electrónico institucional sus contratos y procesos en curso para consulta de la ciudadanía.</w:t>
      </w:r>
    </w:p>
    <w:p w14:paraId="716267DD" w14:textId="752470E9" w:rsidR="00650F5F" w:rsidRDefault="00650F5F" w:rsidP="00C763CF">
      <w:pPr>
        <w:spacing w:before="120"/>
        <w:ind w:firstLine="709"/>
        <w:jc w:val="both"/>
        <w:rPr>
          <w:rFonts w:ascii="Arial" w:hAnsi="Arial" w:cs="Arial"/>
          <w:sz w:val="22"/>
          <w:lang w:val="es-ES"/>
        </w:rPr>
      </w:pPr>
      <w:r>
        <w:rPr>
          <w:rFonts w:ascii="Arial" w:hAnsi="Arial" w:cs="Arial"/>
          <w:sz w:val="22"/>
          <w:lang w:val="es-ES"/>
        </w:rPr>
        <w:t xml:space="preserve">El análisis de la regulación contenida en la Ley 1150 de 2007 y en la Ley 1712 de 2014, a propósito de los criterios que orientaron las disposiciones incluidas en cada una de estas normas respecto al principio de publicidad en materia de contratación, permite concluir que para el legislador del 2007 resultaba determinante el origen de los recursos, de tal suerte que excluyó del marco regulatorio aquellos contratos suscritos por entidades estatales en los que no se ejecutaban o financiaban recursos públicos. Lo anterior, en tanto para el legislador del 2017 primó el criterio orgánico, pues la relación de sujetos obligados, así como sus excepciones, se construyó en función de la naturaleza del sujeto. </w:t>
      </w:r>
    </w:p>
    <w:p w14:paraId="67376E5D" w14:textId="77777777" w:rsidR="00650F5F" w:rsidRPr="00167A18" w:rsidRDefault="00650F5F" w:rsidP="00C763CF">
      <w:pPr>
        <w:spacing w:before="120"/>
        <w:ind w:firstLine="709"/>
        <w:jc w:val="both"/>
        <w:rPr>
          <w:rFonts w:ascii="Arial" w:hAnsi="Arial" w:cs="Arial"/>
          <w:sz w:val="22"/>
          <w:lang w:val="es-ES"/>
        </w:rPr>
      </w:pPr>
      <w:r>
        <w:rPr>
          <w:rFonts w:ascii="Arial" w:hAnsi="Arial" w:cs="Arial"/>
          <w:sz w:val="22"/>
          <w:lang w:val="es-ES"/>
        </w:rPr>
        <w:t>En ese sentido, siendo la Ley 1712 de 2014 una Ley Estatutaria, posterior a la Ley 1150 de 2007 y teniendo carácter especial, en cuanto regula de manera precisa la obligación de publicar la información de las entidades estatales, prima frente a las disposiciones de la ley 1150 de 2007. Por ello, al tenor de lo establecido en el artículo 10º de la Ley de Transparencia los sujetos obligados deben publicar, sin excepción, toda su actividad contractual, sin que para estos efectos resulte relevante el origen de los recursos que se comprometen en el respectivo contrato.</w:t>
      </w:r>
    </w:p>
    <w:p w14:paraId="5491C0F9"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De conformidad con lo anterior, es posible concluir que, a pesar de que un contrato de donación de un particular a una entidad estatal no implicaría la inversión de recursos públicos, el principio de publicidad es un principio que cobija la función administrativa, es decir, la actividad del Estado, y solo una disposición constitucional o legal expresa puede eximir de la publicidad los actos de una entidad estatal.</w:t>
      </w:r>
    </w:p>
    <w:p w14:paraId="76A4EC77"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 xml:space="preserve">En este sentido, en el ya citado concepto N° </w:t>
      </w:r>
      <w:r w:rsidRPr="00013953">
        <w:rPr>
          <w:rFonts w:ascii="Arial" w:hAnsi="Arial" w:cs="Arial"/>
          <w:sz w:val="22"/>
          <w:lang w:val="es-ES"/>
        </w:rPr>
        <w:t>2201913000008174</w:t>
      </w:r>
      <w:r>
        <w:rPr>
          <w:rFonts w:ascii="Arial" w:hAnsi="Arial" w:cs="Arial"/>
          <w:sz w:val="22"/>
          <w:lang w:val="es-ES"/>
        </w:rPr>
        <w:t xml:space="preserve"> se precisó que:</w:t>
      </w:r>
    </w:p>
    <w:p w14:paraId="30109388" w14:textId="77777777" w:rsidR="00650F5F" w:rsidRDefault="00650F5F" w:rsidP="00C763CF">
      <w:pPr>
        <w:spacing w:before="120"/>
        <w:ind w:firstLine="426"/>
        <w:jc w:val="both"/>
        <w:rPr>
          <w:rFonts w:ascii="Arial" w:hAnsi="Arial" w:cs="Arial"/>
          <w:sz w:val="22"/>
          <w:lang w:val="es-ES"/>
        </w:rPr>
      </w:pPr>
    </w:p>
    <w:p w14:paraId="06F89D74" w14:textId="77777777" w:rsidR="00650F5F" w:rsidRPr="00013953" w:rsidRDefault="00650F5F" w:rsidP="00C763CF">
      <w:pPr>
        <w:spacing w:before="120"/>
        <w:ind w:left="709" w:right="709"/>
        <w:jc w:val="both"/>
        <w:rPr>
          <w:rFonts w:ascii="Arial" w:hAnsi="Arial" w:cs="Arial"/>
          <w:sz w:val="20"/>
          <w:lang w:val="es-ES"/>
        </w:rPr>
      </w:pPr>
      <w:r w:rsidRPr="00013953">
        <w:rPr>
          <w:rFonts w:ascii="Arial" w:hAnsi="Arial" w:cs="Arial"/>
          <w:sz w:val="20"/>
          <w:lang w:val="es-ES"/>
        </w:rPr>
        <w:t xml:space="preserve">Asimismo, de acuerdo con el literal g) del artículo 11 de la misma Ley, todos los destinatarios de las normas contenidas en la ley de transparencia deberán garantizar la publicidad de </w:t>
      </w:r>
      <w:r>
        <w:rPr>
          <w:rFonts w:ascii="Arial" w:hAnsi="Arial" w:cs="Arial"/>
          <w:sz w:val="20"/>
          <w:lang w:val="es-ES"/>
        </w:rPr>
        <w:t>«</w:t>
      </w:r>
      <w:r w:rsidRPr="00013953">
        <w:rPr>
          <w:rFonts w:ascii="Arial" w:hAnsi="Arial" w:cs="Arial"/>
          <w:sz w:val="20"/>
          <w:lang w:val="es-ES"/>
        </w:rPr>
        <w:t xml:space="preserve">sus procedimientos, lineamientos, políticas en materia de </w:t>
      </w:r>
      <w:r w:rsidRPr="00013953">
        <w:rPr>
          <w:rFonts w:ascii="Arial" w:hAnsi="Arial" w:cs="Arial"/>
          <w:sz w:val="20"/>
          <w:lang w:val="es-ES"/>
        </w:rPr>
        <w:lastRenderedPageBreak/>
        <w:t>adquisiciones y compras, así como todos los datos de adjudicación y ejecución de contratos, incluidos concursos y licitaciones</w:t>
      </w:r>
      <w:r>
        <w:rPr>
          <w:rFonts w:ascii="Arial" w:hAnsi="Arial" w:cs="Arial"/>
          <w:sz w:val="20"/>
          <w:lang w:val="es-ES"/>
        </w:rPr>
        <w:t>»</w:t>
      </w:r>
      <w:r w:rsidRPr="00013953">
        <w:rPr>
          <w:rFonts w:ascii="Arial" w:hAnsi="Arial" w:cs="Arial"/>
          <w:sz w:val="20"/>
          <w:lang w:val="es-ES"/>
        </w:rPr>
        <w:t>, esta información también debe estar en el SECOP.</w:t>
      </w:r>
    </w:p>
    <w:p w14:paraId="0ABD24D7" w14:textId="77777777" w:rsidR="00650F5F" w:rsidRPr="00013953" w:rsidRDefault="00650F5F" w:rsidP="00C763CF">
      <w:pPr>
        <w:spacing w:before="120"/>
        <w:ind w:left="709" w:right="709"/>
        <w:jc w:val="both"/>
        <w:rPr>
          <w:rFonts w:ascii="Arial" w:hAnsi="Arial" w:cs="Arial"/>
          <w:sz w:val="20"/>
          <w:lang w:val="es-ES"/>
        </w:rPr>
      </w:pPr>
    </w:p>
    <w:p w14:paraId="153AFA57" w14:textId="77777777" w:rsidR="00650F5F" w:rsidRPr="0062300C" w:rsidRDefault="00650F5F" w:rsidP="00C763CF">
      <w:pPr>
        <w:spacing w:before="120"/>
        <w:ind w:left="709" w:right="709"/>
        <w:jc w:val="both"/>
        <w:rPr>
          <w:rFonts w:ascii="Arial" w:hAnsi="Arial" w:cs="Arial"/>
          <w:sz w:val="20"/>
          <w:lang w:val="es-ES"/>
        </w:rPr>
      </w:pPr>
      <w:r w:rsidRPr="00013953">
        <w:rPr>
          <w:rFonts w:ascii="Arial" w:hAnsi="Arial" w:cs="Arial"/>
          <w:sz w:val="20"/>
          <w:lang w:val="es-ES"/>
        </w:rPr>
        <w:t>El derecho de acceso a la información pública o de interés público permite a toda persona, sin necesidad de acreditar calidad, interés o condición particular, conocer la existencia de información pública, acceder a la misma y difundirla o publicarla, según su interés</w:t>
      </w:r>
      <w:r>
        <w:rPr>
          <w:rStyle w:val="Refdenotaalpie"/>
          <w:rFonts w:ascii="Arial" w:hAnsi="Arial" w:cs="Arial"/>
          <w:sz w:val="20"/>
          <w:lang w:val="es-ES"/>
        </w:rPr>
        <w:footnoteReference w:id="14"/>
      </w:r>
      <w:r>
        <w:rPr>
          <w:rFonts w:ascii="Arial" w:hAnsi="Arial" w:cs="Arial"/>
          <w:sz w:val="20"/>
          <w:lang w:val="es-ES"/>
        </w:rPr>
        <w:t>.</w:t>
      </w:r>
    </w:p>
    <w:p w14:paraId="12A291DB" w14:textId="77777777" w:rsidR="00650F5F" w:rsidRDefault="00650F5F" w:rsidP="00C763CF">
      <w:pPr>
        <w:spacing w:before="120"/>
        <w:ind w:firstLine="426"/>
        <w:jc w:val="both"/>
        <w:rPr>
          <w:rFonts w:ascii="Arial" w:hAnsi="Arial" w:cs="Arial"/>
          <w:sz w:val="22"/>
          <w:lang w:val="es-ES"/>
        </w:rPr>
      </w:pPr>
    </w:p>
    <w:p w14:paraId="01C24585"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 xml:space="preserve">Siguiendo la misma línea interpretativa, en el concepto CU-367 del 23 de julio de 2020, la Agencia </w:t>
      </w:r>
      <w:r w:rsidRPr="008C7B26">
        <w:rPr>
          <w:rFonts w:ascii="Arial" w:hAnsi="Arial" w:cs="Arial"/>
          <w:sz w:val="22"/>
          <w:lang w:val="es-ES"/>
        </w:rPr>
        <w:t>Nacional de Contratación Pública – Colombia Compra Eficiente</w:t>
      </w:r>
      <w:r>
        <w:rPr>
          <w:rFonts w:ascii="Arial" w:hAnsi="Arial" w:cs="Arial"/>
          <w:sz w:val="22"/>
          <w:lang w:val="es-ES"/>
        </w:rPr>
        <w:t xml:space="preserve"> indicó que el SECOP funge como sistema de publicación de procedimientos contractuales, los cuales son de interés público:</w:t>
      </w:r>
    </w:p>
    <w:p w14:paraId="14F1B352" w14:textId="77777777" w:rsidR="00650F5F" w:rsidRDefault="00650F5F" w:rsidP="00C763CF">
      <w:pPr>
        <w:spacing w:before="120"/>
        <w:ind w:firstLine="426"/>
        <w:jc w:val="both"/>
        <w:rPr>
          <w:rFonts w:ascii="Arial" w:hAnsi="Arial" w:cs="Arial"/>
          <w:sz w:val="22"/>
          <w:lang w:val="es-ES"/>
        </w:rPr>
      </w:pPr>
    </w:p>
    <w:p w14:paraId="17790685" w14:textId="77777777" w:rsidR="00650F5F" w:rsidRPr="008C7B26" w:rsidRDefault="00650F5F" w:rsidP="00C763CF">
      <w:pPr>
        <w:spacing w:before="120"/>
        <w:ind w:left="709" w:right="758"/>
        <w:jc w:val="both"/>
        <w:rPr>
          <w:rFonts w:ascii="Arial" w:hAnsi="Arial" w:cs="Arial"/>
          <w:sz w:val="20"/>
          <w:lang w:val="es-ES"/>
        </w:rPr>
      </w:pPr>
      <w:r w:rsidRPr="008C7B26">
        <w:rPr>
          <w:rFonts w:ascii="Arial" w:hAnsi="Arial" w:cs="Arial"/>
          <w:sz w:val="20"/>
          <w:lang w:val="es-ES"/>
        </w:rPr>
        <w:t>El artículo 3 de la Ley 1150 de 2007 señala que los actos relacionados con los procedimientos de contratación de las entidades estatales pueden ser electrónicos, al igual que su publicidad, por lo que el Gobierno nacional debe definir los medios para desarrolla</w:t>
      </w:r>
      <w:r>
        <w:rPr>
          <w:rFonts w:ascii="Arial" w:hAnsi="Arial" w:cs="Arial"/>
          <w:sz w:val="20"/>
          <w:lang w:val="es-ES"/>
        </w:rPr>
        <w:t>r</w:t>
      </w:r>
      <w:r w:rsidRPr="008C7B26">
        <w:rPr>
          <w:rFonts w:ascii="Arial" w:hAnsi="Arial" w:cs="Arial"/>
          <w:sz w:val="20"/>
          <w:lang w:val="es-ES"/>
        </w:rPr>
        <w:t xml:space="preserve"> dicha publicidad, y tiene la obligación de desarrollar el SECOP. Este sistema debe contar con la información oficial de los procedimientos contractuales de las entidades, de lo cual será la única fuente, que al ser de interés público ameritan su conocimiento por parte de la ciudadanía, más aún cuando involucran la inversión de recursos públicos y el correlativo derecho de la ciudadanía de conocer cómo se invierten y controlar que el objetivo sea la satisfacción de sus necesidades</w:t>
      </w:r>
      <w:r>
        <w:rPr>
          <w:rStyle w:val="Refdenotaalpie"/>
          <w:rFonts w:ascii="Arial" w:hAnsi="Arial" w:cs="Arial"/>
          <w:sz w:val="20"/>
          <w:lang w:val="es-ES"/>
        </w:rPr>
        <w:footnoteReference w:id="15"/>
      </w:r>
      <w:r w:rsidRPr="008C7B26">
        <w:rPr>
          <w:rFonts w:ascii="Arial" w:hAnsi="Arial" w:cs="Arial"/>
          <w:sz w:val="20"/>
          <w:lang w:val="es-ES"/>
        </w:rPr>
        <w:t>.</w:t>
      </w:r>
    </w:p>
    <w:p w14:paraId="18FBC980" w14:textId="77777777" w:rsidR="00650F5F" w:rsidRDefault="00650F5F" w:rsidP="00C763CF">
      <w:pPr>
        <w:spacing w:before="120"/>
        <w:ind w:firstLine="426"/>
        <w:jc w:val="both"/>
        <w:rPr>
          <w:rFonts w:ascii="Arial" w:eastAsia="Calibri" w:hAnsi="Arial" w:cs="Arial"/>
          <w:sz w:val="22"/>
          <w:lang w:val="es-ES"/>
        </w:rPr>
      </w:pPr>
    </w:p>
    <w:p w14:paraId="0E6DFB49" w14:textId="77777777" w:rsidR="00650F5F" w:rsidRDefault="00650F5F" w:rsidP="00C763CF">
      <w:pPr>
        <w:spacing w:before="120"/>
        <w:ind w:firstLine="709"/>
        <w:jc w:val="both"/>
        <w:rPr>
          <w:rFonts w:ascii="Arial" w:hAnsi="Arial" w:cs="Arial"/>
          <w:sz w:val="22"/>
          <w:lang w:val="es-ES"/>
        </w:rPr>
      </w:pPr>
      <w:r>
        <w:rPr>
          <w:rFonts w:ascii="Arial" w:eastAsia="Calibri" w:hAnsi="Arial" w:cs="Arial"/>
          <w:sz w:val="22"/>
          <w:lang w:val="es-ES"/>
        </w:rPr>
        <w:t xml:space="preserve">Al afirmar que los procesos contractuales son de interés público, </w:t>
      </w:r>
      <w:r w:rsidRPr="00FF62C3">
        <w:rPr>
          <w:rFonts w:ascii="Arial" w:eastAsia="Calibri" w:hAnsi="Arial" w:cs="Arial"/>
          <w:sz w:val="22"/>
          <w:lang w:val="es-ES"/>
        </w:rPr>
        <w:t>«</w:t>
      </w:r>
      <w:r>
        <w:rPr>
          <w:rFonts w:ascii="Arial" w:eastAsia="Calibri" w:hAnsi="Arial" w:cs="Arial"/>
          <w:sz w:val="22"/>
          <w:lang w:val="es-ES"/>
        </w:rPr>
        <w:t>más aún cuando involucran la inversión de recursos públicos</w:t>
      </w:r>
      <w:r w:rsidRPr="00FF62C3">
        <w:rPr>
          <w:rFonts w:ascii="Arial" w:hAnsi="Arial" w:cs="Arial"/>
          <w:sz w:val="22"/>
          <w:lang w:val="es-ES"/>
        </w:rPr>
        <w:t>»</w:t>
      </w:r>
      <w:r>
        <w:rPr>
          <w:rFonts w:ascii="Arial" w:hAnsi="Arial" w:cs="Arial"/>
          <w:sz w:val="22"/>
          <w:lang w:val="es-ES"/>
        </w:rPr>
        <w:t>, no se descarta de plano la obligación de publicar contratos estatales que no comprometan recursos públicos, sino, por el contrario, se asume que todos los contratos estatales deben cumplir el requisito de publicidad, con mayor razón si involucran la ejecución de recursos públicos.</w:t>
      </w:r>
    </w:p>
    <w:p w14:paraId="2C4DD372" w14:textId="77777777" w:rsidR="00650F5F" w:rsidRDefault="00650F5F" w:rsidP="00C763CF">
      <w:pPr>
        <w:spacing w:before="120"/>
        <w:ind w:firstLine="709"/>
        <w:jc w:val="both"/>
        <w:rPr>
          <w:rFonts w:ascii="Arial" w:hAnsi="Arial" w:cs="Arial"/>
          <w:sz w:val="22"/>
          <w:lang w:val="es-ES"/>
        </w:rPr>
      </w:pPr>
      <w:r>
        <w:rPr>
          <w:rFonts w:ascii="Arial" w:hAnsi="Arial" w:cs="Arial"/>
          <w:sz w:val="22"/>
          <w:lang w:val="es-ES"/>
        </w:rPr>
        <w:t xml:space="preserve">En conclusión, el principio constitucional de publicidad abarca la función administrativa en su conjunto, lo cual contempla los contratos estatales que celebran las entidades. De conformidad con la consagración de este principio en el artículo 209 de la Constitución, el artículo 23 de la Ley 80 de 1993 y su desarrollo en los artículos 9, 10 y 11 de la Ley 1712 de 2014, se entiende que la actividad del Estado, incluidos los procesos de contratación, deben observar el principio de publicidad aludido. Dado que no hay una disposición constitucional o legal que exima a los contratos de donación de particulares a favor de entidades estatales de cumplir con la publicidad, este tipo de contratos, al ser </w:t>
      </w:r>
      <w:r>
        <w:rPr>
          <w:rFonts w:ascii="Arial" w:hAnsi="Arial" w:cs="Arial"/>
          <w:sz w:val="22"/>
          <w:lang w:val="es-ES"/>
        </w:rPr>
        <w:lastRenderedPageBreak/>
        <w:t>estatales, deberán también ser sometidos a publicación para conocimiento de la ciudadanía.</w:t>
      </w:r>
    </w:p>
    <w:p w14:paraId="40B59188" w14:textId="77777777" w:rsidR="00650F5F" w:rsidRPr="0066653A" w:rsidRDefault="00650F5F" w:rsidP="00C763CF">
      <w:pPr>
        <w:spacing w:before="120"/>
        <w:ind w:firstLine="709"/>
        <w:jc w:val="both"/>
        <w:rPr>
          <w:rFonts w:ascii="Arial" w:hAnsi="Arial" w:cs="Arial"/>
          <w:sz w:val="22"/>
          <w:lang w:val="es-ES"/>
        </w:rPr>
      </w:pPr>
      <w:r>
        <w:rPr>
          <w:rFonts w:ascii="Arial" w:hAnsi="Arial" w:cs="Arial"/>
          <w:sz w:val="22"/>
          <w:lang w:val="es-ES"/>
        </w:rPr>
        <w:t xml:space="preserve">A partir de esta conclusión, se precisa que el SECOP es el medio electrónico dispuesto por previsión legal para que la actividad contractual del Estado se haga pública, de acuerdo con el artículo 3° de la Ley 1150 de 2007 y el artículo </w:t>
      </w:r>
      <w:r w:rsidRPr="00CF408C">
        <w:rPr>
          <w:rFonts w:ascii="Arial" w:hAnsi="Arial" w:cs="Arial"/>
          <w:sz w:val="22"/>
          <w:lang w:val="es-ES"/>
        </w:rPr>
        <w:t>2.2.1.1.1.7.1</w:t>
      </w:r>
      <w:r>
        <w:rPr>
          <w:rFonts w:ascii="Arial" w:hAnsi="Arial" w:cs="Arial"/>
          <w:sz w:val="22"/>
          <w:lang w:val="es-ES"/>
        </w:rPr>
        <w:t xml:space="preserve"> del Decreto 1082 de 2015</w:t>
      </w:r>
      <w:r>
        <w:rPr>
          <w:rStyle w:val="Refdenotaalpie"/>
          <w:rFonts w:ascii="Arial" w:hAnsi="Arial" w:cs="Arial"/>
          <w:sz w:val="22"/>
          <w:lang w:val="es-ES"/>
        </w:rPr>
        <w:footnoteReference w:id="16"/>
      </w:r>
      <w:r>
        <w:rPr>
          <w:rFonts w:ascii="Arial" w:hAnsi="Arial" w:cs="Arial"/>
          <w:sz w:val="22"/>
          <w:lang w:val="es-ES"/>
        </w:rPr>
        <w:t>, lo cual ha sido desarrollado por esta entidad en la Circular Externa No. 01 de 2013 y la Circular Externa No. 01 de 2019.</w:t>
      </w:r>
    </w:p>
    <w:p w14:paraId="109CF570" w14:textId="77777777" w:rsidR="00650F5F" w:rsidRPr="00FF62C3" w:rsidRDefault="00650F5F" w:rsidP="00C763CF">
      <w:pPr>
        <w:spacing w:before="120"/>
        <w:ind w:firstLine="426"/>
        <w:jc w:val="both"/>
        <w:rPr>
          <w:rFonts w:ascii="Arial" w:eastAsia="Calibri" w:hAnsi="Arial" w:cs="Arial"/>
          <w:sz w:val="22"/>
          <w:lang w:val="es-ES"/>
        </w:rPr>
      </w:pPr>
    </w:p>
    <w:p w14:paraId="708073CB" w14:textId="77777777" w:rsidR="00650F5F" w:rsidRPr="003F5097" w:rsidRDefault="00650F5F" w:rsidP="00C763CF">
      <w:pPr>
        <w:spacing w:before="120"/>
        <w:jc w:val="both"/>
        <w:rPr>
          <w:rFonts w:ascii="Arial" w:eastAsia="Calibri" w:hAnsi="Arial" w:cs="Arial"/>
          <w:b/>
          <w:sz w:val="22"/>
          <w:lang w:val="es-ES"/>
        </w:rPr>
      </w:pPr>
      <w:r>
        <w:rPr>
          <w:rFonts w:ascii="Arial" w:eastAsia="Calibri" w:hAnsi="Arial" w:cs="Arial"/>
          <w:b/>
          <w:sz w:val="22"/>
          <w:lang w:val="es-ES"/>
        </w:rPr>
        <w:t xml:space="preserve">2.2. </w:t>
      </w:r>
      <w:r w:rsidRPr="003F5097">
        <w:rPr>
          <w:rFonts w:ascii="Arial" w:eastAsia="Calibri" w:hAnsi="Arial" w:cs="Arial"/>
          <w:b/>
          <w:sz w:val="22"/>
          <w:lang w:val="es-ES"/>
        </w:rPr>
        <w:t>Consideraciones sobre los estudios previos de los contratos estatales</w:t>
      </w:r>
    </w:p>
    <w:p w14:paraId="0AE73619" w14:textId="77777777" w:rsidR="00650F5F" w:rsidRDefault="00650F5F" w:rsidP="00C763CF">
      <w:pPr>
        <w:spacing w:before="120"/>
        <w:ind w:firstLine="426"/>
        <w:jc w:val="both"/>
        <w:rPr>
          <w:rFonts w:ascii="Arial" w:eastAsia="Calibri" w:hAnsi="Arial" w:cs="Arial"/>
          <w:sz w:val="22"/>
          <w:lang w:val="es-ES"/>
        </w:rPr>
      </w:pPr>
    </w:p>
    <w:p w14:paraId="63132097" w14:textId="77777777" w:rsidR="00650F5F" w:rsidRDefault="00650F5F" w:rsidP="00C763CF">
      <w:pPr>
        <w:spacing w:before="120"/>
        <w:jc w:val="both"/>
        <w:rPr>
          <w:rFonts w:ascii="Arial" w:eastAsia="Calibri" w:hAnsi="Arial" w:cs="Arial"/>
          <w:sz w:val="22"/>
          <w:lang w:val="es-ES"/>
        </w:rPr>
      </w:pPr>
      <w:r>
        <w:rPr>
          <w:rFonts w:ascii="Arial" w:eastAsia="Calibri" w:hAnsi="Arial" w:cs="Arial"/>
          <w:sz w:val="22"/>
          <w:lang w:val="es-ES"/>
        </w:rPr>
        <w:t xml:space="preserve">El término </w:t>
      </w:r>
      <w:r w:rsidRPr="007C00DA">
        <w:rPr>
          <w:rFonts w:ascii="Arial" w:eastAsia="Calibri" w:hAnsi="Arial" w:cs="Arial"/>
          <w:sz w:val="22"/>
          <w:lang w:val="es-ES"/>
        </w:rPr>
        <w:t>«</w:t>
      </w:r>
      <w:r>
        <w:rPr>
          <w:rFonts w:ascii="Arial" w:eastAsia="Calibri" w:hAnsi="Arial" w:cs="Arial"/>
          <w:sz w:val="22"/>
          <w:lang w:val="es-ES"/>
        </w:rPr>
        <w:t>estudios previos</w:t>
      </w:r>
      <w:r w:rsidRPr="007C00DA">
        <w:rPr>
          <w:rFonts w:ascii="Arial" w:eastAsia="Calibri" w:hAnsi="Arial" w:cs="Arial"/>
          <w:sz w:val="22"/>
          <w:lang w:val="es-ES"/>
        </w:rPr>
        <w:t>»</w:t>
      </w:r>
      <w:r>
        <w:rPr>
          <w:rFonts w:ascii="Arial" w:eastAsia="Calibri" w:hAnsi="Arial" w:cs="Arial"/>
          <w:sz w:val="22"/>
          <w:lang w:val="es-ES"/>
        </w:rPr>
        <w:t xml:space="preserve"> no cuenta con definición expresa dentro del ordenamiento jurídico colombiano, más allá de su consideración como soporte de los pliegos de condiciones y del contrato a celebrarse, según las voces del artículo </w:t>
      </w:r>
      <w:r w:rsidRPr="007C00DA">
        <w:rPr>
          <w:rFonts w:ascii="Arial" w:eastAsia="Calibri" w:hAnsi="Arial" w:cs="Arial"/>
          <w:sz w:val="22"/>
          <w:lang w:val="es-ES"/>
        </w:rPr>
        <w:t>2.2.1.1.2.1.1</w:t>
      </w:r>
      <w:r>
        <w:rPr>
          <w:rFonts w:ascii="Arial" w:eastAsia="Calibri" w:hAnsi="Arial" w:cs="Arial"/>
          <w:sz w:val="22"/>
          <w:lang w:val="es-ES"/>
        </w:rPr>
        <w:t xml:space="preserve"> del Decreto 1082 de 2015</w:t>
      </w:r>
      <w:r>
        <w:rPr>
          <w:rStyle w:val="Refdenotaalpie"/>
          <w:rFonts w:ascii="Arial" w:eastAsia="Calibri" w:hAnsi="Arial" w:cs="Arial"/>
          <w:sz w:val="22"/>
          <w:lang w:val="es-ES"/>
        </w:rPr>
        <w:footnoteReference w:id="17"/>
      </w:r>
      <w:r>
        <w:rPr>
          <w:rFonts w:ascii="Arial" w:eastAsia="Calibri" w:hAnsi="Arial" w:cs="Arial"/>
          <w:sz w:val="22"/>
          <w:lang w:val="es-ES"/>
        </w:rPr>
        <w:t xml:space="preserve">, norma que además señala ciertos lineamientos generales que </w:t>
      </w:r>
      <w:r>
        <w:rPr>
          <w:rFonts w:ascii="Arial" w:eastAsia="Calibri" w:hAnsi="Arial" w:cs="Arial"/>
          <w:sz w:val="22"/>
          <w:lang w:val="es-ES"/>
        </w:rPr>
        <w:lastRenderedPageBreak/>
        <w:t>deben cumplir tales estudios previos. Esta descripción de los elementos que deben contener los estudios previos permite concluir que tales estudios forman parte del principio de planeación de la contratación estatal, toda vez que sirven para explicar la necesidad que se busca cubrir con el respectivo contrato. De este modo, se justifica la inversión de recursos públicos, y se adelanta la función de delinear los términos de selección de ofertas y delimitar los términos generales que finalmente se plasmarán en el contrato.</w:t>
      </w:r>
    </w:p>
    <w:p w14:paraId="0793A4C2" w14:textId="36717FCA" w:rsidR="00650F5F" w:rsidRPr="00D36C74" w:rsidRDefault="00650F5F" w:rsidP="00C763CF">
      <w:pPr>
        <w:spacing w:before="120"/>
        <w:ind w:firstLine="709"/>
        <w:jc w:val="both"/>
        <w:rPr>
          <w:rFonts w:ascii="Arial" w:eastAsia="Calibri" w:hAnsi="Arial" w:cs="Arial"/>
          <w:sz w:val="22"/>
          <w:lang w:val="es-CO"/>
        </w:rPr>
      </w:pPr>
      <w:r>
        <w:rPr>
          <w:rFonts w:ascii="Arial" w:eastAsia="Calibri" w:hAnsi="Arial" w:cs="Arial"/>
          <w:sz w:val="22"/>
          <w:lang w:val="es-ES"/>
        </w:rPr>
        <w:t>Ahora bien, el interrogante que se plantea en la consulta se origina precisamente en la naturaleza del contrato de donación, pues siendo un negocio jurídico unilateral surge la duda sobre la necesidad de elaborar estudios previos por parte de la entidad estatal donataria,</w:t>
      </w:r>
      <w:r w:rsidRPr="00F84041">
        <w:rPr>
          <w:rFonts w:ascii="Arial" w:eastAsia="Calibri" w:hAnsi="Arial" w:cs="Arial"/>
          <w:sz w:val="22"/>
          <w:lang w:val="es-ES"/>
        </w:rPr>
        <w:t xml:space="preserve"> </w:t>
      </w:r>
      <w:r>
        <w:rPr>
          <w:rFonts w:ascii="Arial" w:eastAsia="Calibri" w:hAnsi="Arial" w:cs="Arial"/>
          <w:sz w:val="22"/>
          <w:lang w:val="es-ES"/>
        </w:rPr>
        <w:t>cuando el donante es un particular.</w:t>
      </w:r>
      <w:r w:rsidR="00FE64CB">
        <w:rPr>
          <w:rFonts w:ascii="Arial" w:eastAsia="Calibri" w:hAnsi="Arial" w:cs="Arial"/>
          <w:sz w:val="22"/>
          <w:lang w:val="es-ES"/>
        </w:rPr>
        <w:t xml:space="preserve"> Al respecto e</w:t>
      </w:r>
      <w:r w:rsidRPr="00D36C74">
        <w:rPr>
          <w:rFonts w:ascii="Arial" w:eastAsia="Calibri" w:hAnsi="Arial" w:cs="Arial"/>
          <w:sz w:val="22"/>
          <w:lang w:val="es-CO"/>
        </w:rPr>
        <w:t>l artículo 1443 del Código Civil define la </w:t>
      </w:r>
      <w:r w:rsidRPr="003F5097">
        <w:rPr>
          <w:rFonts w:ascii="Arial" w:eastAsia="Calibri" w:hAnsi="Arial" w:cs="Arial"/>
          <w:sz w:val="22"/>
          <w:lang w:val="es-CO"/>
        </w:rPr>
        <w:t>donación</w:t>
      </w:r>
      <w:r w:rsidRPr="00D36C74">
        <w:rPr>
          <w:rFonts w:ascii="Arial" w:eastAsia="Calibri" w:hAnsi="Arial" w:cs="Arial"/>
          <w:sz w:val="22"/>
          <w:lang w:val="es-CO"/>
        </w:rPr>
        <w:t> entre vivos de la siguiente manera:</w:t>
      </w:r>
      <w:r>
        <w:rPr>
          <w:rFonts w:ascii="Arial" w:eastAsia="Calibri" w:hAnsi="Arial" w:cs="Arial"/>
          <w:sz w:val="22"/>
          <w:lang w:val="es-CO"/>
        </w:rPr>
        <w:t xml:space="preserve"> </w:t>
      </w:r>
      <w:r w:rsidRPr="00D36C74">
        <w:rPr>
          <w:rFonts w:ascii="Arial" w:eastAsia="Calibri" w:hAnsi="Arial" w:cs="Arial"/>
          <w:sz w:val="22"/>
          <w:lang w:val="es-CO"/>
        </w:rPr>
        <w:t>«La </w:t>
      </w:r>
      <w:r w:rsidRPr="003F5097">
        <w:rPr>
          <w:rFonts w:ascii="Arial" w:eastAsia="Calibri" w:hAnsi="Arial" w:cs="Arial"/>
          <w:sz w:val="22"/>
          <w:lang w:val="es-CO"/>
        </w:rPr>
        <w:t>donación</w:t>
      </w:r>
      <w:r w:rsidRPr="00D36C74">
        <w:rPr>
          <w:rFonts w:ascii="Arial" w:eastAsia="Calibri" w:hAnsi="Arial" w:cs="Arial"/>
          <w:sz w:val="22"/>
          <w:lang w:val="es-CO"/>
        </w:rPr>
        <w:t> entre vivos es un acto por el cual una persona transfiere, gratuita e irrevocablemente, una parte de sus bienes a otra persona que los acepta.»</w:t>
      </w:r>
    </w:p>
    <w:p w14:paraId="462451DC"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Si bien en la donación la carga obligacional está en cabeza del particular que trasferirá la propiedad de sus bienes, el donatario cumple un rol preponderante en el desarrollo del negocio jurídico, pues tiene la opción de rechazar la donación o de aceptarla. La aceptación de la donación surge entonces como un elemento esencial del contrato de donación, al punto que requiere capacidad en el donatario (artículo 1468 C. Civil) y se admite que la donación pueda ser revocada antes de la aceptación del donatario (artículo 1469 ibídem). </w:t>
      </w:r>
    </w:p>
    <w:p w14:paraId="7A654547" w14:textId="46F60135" w:rsidR="00650F5F" w:rsidRPr="00D36C74" w:rsidRDefault="00650F5F" w:rsidP="00C763CF">
      <w:pPr>
        <w:spacing w:before="120"/>
        <w:ind w:firstLine="709"/>
        <w:jc w:val="both"/>
        <w:rPr>
          <w:rFonts w:ascii="Arial" w:eastAsia="Calibri" w:hAnsi="Arial" w:cs="Arial"/>
          <w:sz w:val="22"/>
          <w:lang w:val="es-CO"/>
        </w:rPr>
      </w:pPr>
      <w:r w:rsidRPr="00D36C74">
        <w:rPr>
          <w:rFonts w:ascii="Arial" w:eastAsia="Calibri" w:hAnsi="Arial" w:cs="Arial"/>
          <w:sz w:val="22"/>
          <w:lang w:val="es-CO"/>
        </w:rPr>
        <w:t>Respecto a la aceptación de la donación</w:t>
      </w:r>
      <w:r>
        <w:rPr>
          <w:rFonts w:ascii="Arial" w:eastAsia="Calibri" w:hAnsi="Arial" w:cs="Arial"/>
          <w:sz w:val="22"/>
          <w:lang w:val="es-CO"/>
        </w:rPr>
        <w:t>,</w:t>
      </w:r>
      <w:r w:rsidRPr="00D36C74">
        <w:rPr>
          <w:rFonts w:ascii="Arial" w:eastAsia="Calibri" w:hAnsi="Arial" w:cs="Arial"/>
          <w:sz w:val="22"/>
          <w:lang w:val="es-CO"/>
        </w:rPr>
        <w:t xml:space="preserve"> la Corte Suprema de Justicia</w:t>
      </w:r>
      <w:r>
        <w:rPr>
          <w:rFonts w:ascii="Arial" w:eastAsia="Calibri" w:hAnsi="Arial" w:cs="Arial"/>
          <w:sz w:val="22"/>
          <w:lang w:val="es-CO"/>
        </w:rPr>
        <w:t>,</w:t>
      </w:r>
      <w:r w:rsidRPr="00D36C74">
        <w:rPr>
          <w:rFonts w:ascii="Arial" w:eastAsia="Calibri" w:hAnsi="Arial" w:cs="Arial"/>
          <w:sz w:val="22"/>
          <w:lang w:val="es-CO"/>
        </w:rPr>
        <w:t xml:space="preserve"> </w:t>
      </w:r>
      <w:r>
        <w:rPr>
          <w:rFonts w:ascii="Arial" w:eastAsia="Calibri" w:hAnsi="Arial" w:cs="Arial"/>
          <w:sz w:val="22"/>
          <w:lang w:val="es-CO"/>
        </w:rPr>
        <w:t>S</w:t>
      </w:r>
      <w:r w:rsidRPr="00D36C74">
        <w:rPr>
          <w:rFonts w:ascii="Arial" w:eastAsia="Calibri" w:hAnsi="Arial" w:cs="Arial"/>
          <w:sz w:val="22"/>
          <w:lang w:val="es-CO"/>
        </w:rPr>
        <w:t xml:space="preserve">ala de </w:t>
      </w:r>
      <w:r>
        <w:rPr>
          <w:rFonts w:ascii="Arial" w:eastAsia="Calibri" w:hAnsi="Arial" w:cs="Arial"/>
          <w:sz w:val="22"/>
          <w:lang w:val="es-CO"/>
        </w:rPr>
        <w:t>C</w:t>
      </w:r>
      <w:r w:rsidRPr="00D36C74">
        <w:rPr>
          <w:rFonts w:ascii="Arial" w:eastAsia="Calibri" w:hAnsi="Arial" w:cs="Arial"/>
          <w:sz w:val="22"/>
          <w:lang w:val="es-CO"/>
        </w:rPr>
        <w:t xml:space="preserve">asación </w:t>
      </w:r>
      <w:r>
        <w:rPr>
          <w:rFonts w:ascii="Arial" w:eastAsia="Calibri" w:hAnsi="Arial" w:cs="Arial"/>
          <w:sz w:val="22"/>
          <w:lang w:val="es-CO"/>
        </w:rPr>
        <w:t>C</w:t>
      </w:r>
      <w:r w:rsidRPr="00D36C74">
        <w:rPr>
          <w:rFonts w:ascii="Arial" w:eastAsia="Calibri" w:hAnsi="Arial" w:cs="Arial"/>
          <w:sz w:val="22"/>
          <w:lang w:val="es-CO"/>
        </w:rPr>
        <w:t>ivil</w:t>
      </w:r>
      <w:r>
        <w:rPr>
          <w:rFonts w:ascii="Arial" w:eastAsia="Calibri" w:hAnsi="Arial" w:cs="Arial"/>
          <w:sz w:val="22"/>
          <w:lang w:val="es-CO"/>
        </w:rPr>
        <w:t>,</w:t>
      </w:r>
      <w:r w:rsidRPr="00D36C74">
        <w:rPr>
          <w:rFonts w:ascii="Arial" w:eastAsia="Calibri" w:hAnsi="Arial" w:cs="Arial"/>
          <w:sz w:val="22"/>
          <w:lang w:val="es-CO"/>
        </w:rPr>
        <w:t xml:space="preserve"> en sentencia de 20 de mayo de 2003</w:t>
      </w:r>
      <w:r w:rsidR="00FE64CB">
        <w:rPr>
          <w:rStyle w:val="Refdenotaalpie"/>
          <w:rFonts w:ascii="Arial" w:eastAsia="Calibri" w:hAnsi="Arial" w:cs="Arial"/>
          <w:sz w:val="22"/>
          <w:lang w:val="es-CO"/>
        </w:rPr>
        <w:footnoteReference w:id="18"/>
      </w:r>
      <w:r>
        <w:rPr>
          <w:rFonts w:ascii="Arial" w:eastAsia="Calibri" w:hAnsi="Arial" w:cs="Arial"/>
          <w:sz w:val="22"/>
          <w:lang w:val="es-CO"/>
        </w:rPr>
        <w:t xml:space="preserve"> </w:t>
      </w:r>
      <w:r w:rsidRPr="00D36C74">
        <w:rPr>
          <w:rFonts w:ascii="Arial" w:eastAsia="Calibri" w:hAnsi="Arial" w:cs="Arial"/>
          <w:sz w:val="22"/>
          <w:lang w:val="es-CO"/>
        </w:rPr>
        <w:t>estableció lo siguiente:</w:t>
      </w:r>
    </w:p>
    <w:p w14:paraId="1A1FA543" w14:textId="77777777" w:rsidR="00650F5F" w:rsidRDefault="00650F5F" w:rsidP="00C763CF">
      <w:pPr>
        <w:spacing w:before="120"/>
        <w:ind w:firstLine="426"/>
        <w:jc w:val="both"/>
        <w:rPr>
          <w:rFonts w:ascii="Arial" w:eastAsia="Calibri" w:hAnsi="Arial" w:cs="Arial"/>
          <w:sz w:val="22"/>
          <w:lang w:val="es-CO"/>
        </w:rPr>
      </w:pPr>
    </w:p>
    <w:p w14:paraId="7A0C9BE3" w14:textId="44EC8D7F" w:rsidR="00650F5F" w:rsidRPr="00D36C74" w:rsidRDefault="00411E6A" w:rsidP="00C763CF">
      <w:pPr>
        <w:spacing w:before="120"/>
        <w:ind w:left="709" w:right="709"/>
        <w:jc w:val="both"/>
        <w:rPr>
          <w:rFonts w:ascii="Arial" w:eastAsia="Calibri" w:hAnsi="Arial" w:cs="Arial"/>
          <w:sz w:val="22"/>
          <w:lang w:val="es-CO"/>
        </w:rPr>
      </w:pPr>
      <w:r w:rsidRPr="00411E6A">
        <w:rPr>
          <w:rFonts w:ascii="Arial" w:eastAsia="Calibri" w:hAnsi="Arial" w:cs="Arial"/>
          <w:sz w:val="22"/>
          <w:lang w:val="es-ES"/>
        </w:rPr>
        <w:t xml:space="preserve">Dadas, pues, esas inexactitudes que asoman manifiestas desde la misma definición del concepto, esta Corporación se vio obligada a precisar que “la donación entre vivos </w:t>
      </w:r>
      <w:r>
        <w:rPr>
          <w:rFonts w:ascii="Arial" w:eastAsia="Calibri" w:hAnsi="Arial" w:cs="Arial"/>
          <w:sz w:val="22"/>
          <w:lang w:val="es-ES"/>
        </w:rPr>
        <w:t xml:space="preserve">es </w:t>
      </w:r>
      <w:r w:rsidR="00650F5F" w:rsidRPr="00D36C74">
        <w:rPr>
          <w:rFonts w:ascii="Arial" w:eastAsia="Calibri" w:hAnsi="Arial" w:cs="Arial"/>
          <w:sz w:val="22"/>
          <w:lang w:val="es-CO"/>
        </w:rPr>
        <w:t xml:space="preserve">contrato, porque exige el concurso de las voluntades del donante y del donatario pues sin la aceptación de </w:t>
      </w:r>
      <w:r>
        <w:rPr>
          <w:rFonts w:ascii="Arial" w:eastAsia="Calibri" w:hAnsi="Arial" w:cs="Arial"/>
          <w:sz w:val="22"/>
          <w:lang w:val="es-CO"/>
        </w:rPr>
        <w:t>é</w:t>
      </w:r>
      <w:r w:rsidR="00650F5F" w:rsidRPr="00D36C74">
        <w:rPr>
          <w:rFonts w:ascii="Arial" w:eastAsia="Calibri" w:hAnsi="Arial" w:cs="Arial"/>
          <w:sz w:val="22"/>
          <w:lang w:val="es-CO"/>
        </w:rPr>
        <w:t>ste la sola voluntad liberal del primero constituye únicamente una oferta y no convenio de gratuidad.</w:t>
      </w:r>
      <w:r>
        <w:rPr>
          <w:rFonts w:ascii="Arial" w:eastAsia="Calibri" w:hAnsi="Arial" w:cs="Arial"/>
          <w:sz w:val="22"/>
          <w:lang w:val="es-CO"/>
        </w:rPr>
        <w:t xml:space="preserve"> </w:t>
      </w:r>
      <w:r w:rsidR="00650F5F" w:rsidRPr="00D36C74">
        <w:rPr>
          <w:rFonts w:ascii="Arial" w:eastAsia="Calibri" w:hAnsi="Arial" w:cs="Arial"/>
          <w:sz w:val="22"/>
          <w:lang w:val="es-CO"/>
        </w:rPr>
        <w:t xml:space="preserve">Además, como en el sistema colombiano los contratos no son modo de adquirir el dominio de las cosas, sino simple </w:t>
      </w:r>
      <w:r w:rsidR="00FE64CB" w:rsidRPr="00D36C74">
        <w:rPr>
          <w:rFonts w:ascii="Arial" w:eastAsia="Calibri" w:hAnsi="Arial" w:cs="Arial"/>
          <w:sz w:val="22"/>
          <w:lang w:val="es-CO"/>
        </w:rPr>
        <w:t>título</w:t>
      </w:r>
      <w:r w:rsidR="00650F5F" w:rsidRPr="00D36C74">
        <w:rPr>
          <w:rFonts w:ascii="Arial" w:eastAsia="Calibri" w:hAnsi="Arial" w:cs="Arial"/>
          <w:sz w:val="22"/>
          <w:lang w:val="es-CO"/>
        </w:rPr>
        <w:t xml:space="preserve"> para el mismo </w:t>
      </w:r>
      <w:proofErr w:type="gramStart"/>
      <w:r w:rsidR="00650F5F" w:rsidRPr="00D36C74">
        <w:rPr>
          <w:rFonts w:ascii="Arial" w:eastAsia="Calibri" w:hAnsi="Arial" w:cs="Arial"/>
          <w:sz w:val="22"/>
          <w:lang w:val="es-CO"/>
        </w:rPr>
        <w:t>efecto,</w:t>
      </w:r>
      <w:proofErr w:type="gramEnd"/>
      <w:r w:rsidR="00650F5F" w:rsidRPr="00D36C74">
        <w:rPr>
          <w:rFonts w:ascii="Arial" w:eastAsia="Calibri" w:hAnsi="Arial" w:cs="Arial"/>
          <w:sz w:val="22"/>
          <w:lang w:val="es-CO"/>
        </w:rPr>
        <w:t xml:space="preserve"> es claro que por el mero contrato de donación no transfiere el donante la propiedad de lo que regala, por lo cual para que el donatario adquiera el dominio del bien es menester que se cumpla con el modo respectivo, que, en tratándose de donación irrevocable, es la tradición</w:t>
      </w:r>
      <w:r>
        <w:rPr>
          <w:rFonts w:ascii="Arial" w:eastAsia="Calibri" w:hAnsi="Arial" w:cs="Arial"/>
          <w:sz w:val="22"/>
          <w:lang w:val="es-CO"/>
        </w:rPr>
        <w:t>”</w:t>
      </w:r>
      <w:r w:rsidR="00650F5F" w:rsidRPr="00D36C74">
        <w:rPr>
          <w:rFonts w:ascii="Arial" w:eastAsia="Calibri" w:hAnsi="Arial" w:cs="Arial"/>
          <w:sz w:val="22"/>
          <w:lang w:val="es-CO"/>
        </w:rPr>
        <w:t>.</w:t>
      </w:r>
    </w:p>
    <w:p w14:paraId="50C55098" w14:textId="77777777" w:rsidR="00650F5F" w:rsidRPr="00D36C74" w:rsidRDefault="00650F5F" w:rsidP="00C763CF">
      <w:pPr>
        <w:spacing w:before="120"/>
        <w:ind w:firstLine="426"/>
        <w:jc w:val="both"/>
        <w:rPr>
          <w:rFonts w:ascii="Arial" w:eastAsia="Calibri" w:hAnsi="Arial" w:cs="Arial"/>
          <w:sz w:val="22"/>
          <w:lang w:val="es-CO"/>
        </w:rPr>
      </w:pPr>
    </w:p>
    <w:p w14:paraId="3CB1BE3F" w14:textId="28BB3B11"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Así las cosas, la aceptación de la entidad estatal donataria debe estar precedida de los estudios y análisis que requiere una decisión en tal sentido, no s</w:t>
      </w:r>
      <w:r w:rsidR="00411E6A">
        <w:rPr>
          <w:rFonts w:ascii="Arial" w:eastAsia="Calibri" w:hAnsi="Arial" w:cs="Arial"/>
          <w:sz w:val="22"/>
          <w:lang w:val="es-ES"/>
        </w:rPr>
        <w:t>ó</w:t>
      </w:r>
      <w:r>
        <w:rPr>
          <w:rFonts w:ascii="Arial" w:eastAsia="Calibri" w:hAnsi="Arial" w:cs="Arial"/>
          <w:sz w:val="22"/>
          <w:lang w:val="es-ES"/>
        </w:rPr>
        <w:t xml:space="preserve">lo porque cualquier manifestación de la voluntad de las entidades estatales debe estar debidamente motivada, </w:t>
      </w:r>
      <w:r>
        <w:rPr>
          <w:rFonts w:ascii="Arial" w:eastAsia="Calibri" w:hAnsi="Arial" w:cs="Arial"/>
          <w:sz w:val="22"/>
          <w:lang w:val="es-ES"/>
        </w:rPr>
        <w:lastRenderedPageBreak/>
        <w:t xml:space="preserve">sino porque el deber de diligencia y cuidado que demanda la administración de los recursos del Estado exige que, incluso, la aceptación de una donación sea producto de una evaluación de los diferentes </w:t>
      </w:r>
      <w:r w:rsidR="00411E6A">
        <w:rPr>
          <w:rFonts w:ascii="Arial" w:eastAsia="Calibri" w:hAnsi="Arial" w:cs="Arial"/>
          <w:sz w:val="22"/>
          <w:lang w:val="es-ES"/>
        </w:rPr>
        <w:t xml:space="preserve">efectos </w:t>
      </w:r>
      <w:r>
        <w:rPr>
          <w:rFonts w:ascii="Arial" w:eastAsia="Calibri" w:hAnsi="Arial" w:cs="Arial"/>
          <w:sz w:val="22"/>
          <w:lang w:val="es-ES"/>
        </w:rPr>
        <w:t xml:space="preserve">que se pueden derivar de dicha decisión. </w:t>
      </w:r>
    </w:p>
    <w:p w14:paraId="09DC475D"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Por un lado, si la entidad estatal es la que propone al particular realizar la donación, se deberán exponer en los estudios previos los motivos y criterios para la selección del donante, como también la necesidad de obtener el o los bienes donados y el beneficio que obtendrá la entidad estatal en relación con sus propios fines, junto con los demás requisitos establecidos en el </w:t>
      </w:r>
      <w:r w:rsidRPr="005873D8">
        <w:rPr>
          <w:rFonts w:ascii="Arial" w:eastAsia="Calibri" w:hAnsi="Arial" w:cs="Arial"/>
          <w:sz w:val="22"/>
          <w:lang w:val="es-ES"/>
        </w:rPr>
        <w:t xml:space="preserve">2.2.1.1.2.1.1 </w:t>
      </w:r>
      <w:r>
        <w:rPr>
          <w:rFonts w:ascii="Arial" w:eastAsia="Calibri" w:hAnsi="Arial" w:cs="Arial"/>
          <w:sz w:val="22"/>
          <w:lang w:val="es-ES"/>
        </w:rPr>
        <w:t xml:space="preserve">del Decreto 1082 de 2015. </w:t>
      </w:r>
    </w:p>
    <w:p w14:paraId="75FB126E" w14:textId="027761E2" w:rsidR="00FE64CB" w:rsidRDefault="00FE64CB"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En caso contrario, esto es, si el particular donante es quien ofrece voluntariamente la donación a la entidad donataria, los estudios previos no deberán fijar criterios para la selección del contratista entre varios proponentes, debido a que el mismo será recibido a título gratuito por decisión autónoma del donante. No </w:t>
      </w:r>
      <w:proofErr w:type="gramStart"/>
      <w:r>
        <w:rPr>
          <w:rFonts w:ascii="Arial" w:eastAsia="Calibri" w:hAnsi="Arial" w:cs="Arial"/>
          <w:sz w:val="22"/>
          <w:lang w:val="es-ES"/>
        </w:rPr>
        <w:t>obstante</w:t>
      </w:r>
      <w:proofErr w:type="gramEnd"/>
      <w:r w:rsidR="007D2A20">
        <w:rPr>
          <w:rFonts w:ascii="Arial" w:eastAsia="Calibri" w:hAnsi="Arial" w:cs="Arial"/>
          <w:sz w:val="22"/>
          <w:lang w:val="es-ES"/>
        </w:rPr>
        <w:t xml:space="preserve"> lo anterior</w:t>
      </w:r>
      <w:r>
        <w:rPr>
          <w:rFonts w:ascii="Arial" w:eastAsia="Calibri" w:hAnsi="Arial" w:cs="Arial"/>
          <w:sz w:val="22"/>
          <w:lang w:val="es-ES"/>
        </w:rPr>
        <w:t>,</w:t>
      </w:r>
      <w:r w:rsidR="007D2A20">
        <w:rPr>
          <w:rFonts w:ascii="Arial" w:eastAsia="Calibri" w:hAnsi="Arial" w:cs="Arial"/>
          <w:sz w:val="22"/>
          <w:lang w:val="es-ES"/>
        </w:rPr>
        <w:t xml:space="preserve"> la entidad estatal deberá adelantar los</w:t>
      </w:r>
      <w:r>
        <w:rPr>
          <w:rFonts w:ascii="Arial" w:eastAsia="Calibri" w:hAnsi="Arial" w:cs="Arial"/>
          <w:sz w:val="22"/>
          <w:lang w:val="es-ES"/>
        </w:rPr>
        <w:t xml:space="preserve"> estudio</w:t>
      </w:r>
      <w:r w:rsidR="007D2A20">
        <w:rPr>
          <w:rFonts w:ascii="Arial" w:eastAsia="Calibri" w:hAnsi="Arial" w:cs="Arial"/>
          <w:sz w:val="22"/>
          <w:lang w:val="es-ES"/>
        </w:rPr>
        <w:t>s pertinentes</w:t>
      </w:r>
      <w:r>
        <w:rPr>
          <w:rFonts w:ascii="Arial" w:eastAsia="Calibri" w:hAnsi="Arial" w:cs="Arial"/>
          <w:sz w:val="22"/>
          <w:lang w:val="es-ES"/>
        </w:rPr>
        <w:t xml:space="preserve"> sobre los antecedentes del donante</w:t>
      </w:r>
      <w:r w:rsidR="007D2A20">
        <w:rPr>
          <w:rFonts w:ascii="Arial" w:eastAsia="Calibri" w:hAnsi="Arial" w:cs="Arial"/>
          <w:sz w:val="22"/>
          <w:lang w:val="es-ES"/>
        </w:rPr>
        <w:t>,</w:t>
      </w:r>
      <w:r>
        <w:rPr>
          <w:rFonts w:ascii="Arial" w:eastAsia="Calibri" w:hAnsi="Arial" w:cs="Arial"/>
          <w:sz w:val="22"/>
          <w:lang w:val="es-ES"/>
        </w:rPr>
        <w:t xml:space="preserve"> </w:t>
      </w:r>
      <w:r w:rsidR="007D2A20">
        <w:rPr>
          <w:rFonts w:ascii="Arial" w:eastAsia="Calibri" w:hAnsi="Arial" w:cs="Arial"/>
          <w:sz w:val="22"/>
          <w:lang w:val="es-ES"/>
        </w:rPr>
        <w:t>a fin de</w:t>
      </w:r>
      <w:r>
        <w:rPr>
          <w:rFonts w:ascii="Arial" w:eastAsia="Calibri" w:hAnsi="Arial" w:cs="Arial"/>
          <w:sz w:val="22"/>
          <w:lang w:val="es-ES"/>
        </w:rPr>
        <w:t xml:space="preserve"> verificar que la fuente de sus recursos procedan de actividades lícitas, que el contratista no se encuentra incurso en causales de inhabilidad</w:t>
      </w:r>
      <w:r w:rsidR="007D2A20">
        <w:rPr>
          <w:rFonts w:ascii="Arial" w:eastAsia="Calibri" w:hAnsi="Arial" w:cs="Arial"/>
          <w:sz w:val="22"/>
          <w:lang w:val="es-ES"/>
        </w:rPr>
        <w:t xml:space="preserve">, </w:t>
      </w:r>
      <w:r>
        <w:rPr>
          <w:rFonts w:ascii="Arial" w:eastAsia="Calibri" w:hAnsi="Arial" w:cs="Arial"/>
          <w:sz w:val="22"/>
          <w:lang w:val="es-ES"/>
        </w:rPr>
        <w:t>incompatibilidad</w:t>
      </w:r>
      <w:r w:rsidR="007D2A20">
        <w:rPr>
          <w:rFonts w:ascii="Arial" w:eastAsia="Calibri" w:hAnsi="Arial" w:cs="Arial"/>
          <w:sz w:val="22"/>
          <w:lang w:val="es-ES"/>
        </w:rPr>
        <w:t xml:space="preserve"> o conflictos de interés</w:t>
      </w:r>
      <w:r>
        <w:rPr>
          <w:rFonts w:ascii="Arial" w:eastAsia="Calibri" w:hAnsi="Arial" w:cs="Arial"/>
          <w:sz w:val="22"/>
          <w:lang w:val="es-ES"/>
        </w:rPr>
        <w:t>, entre otr</w:t>
      </w:r>
      <w:r w:rsidR="007D2A20">
        <w:rPr>
          <w:rFonts w:ascii="Arial" w:eastAsia="Calibri" w:hAnsi="Arial" w:cs="Arial"/>
          <w:sz w:val="22"/>
          <w:lang w:val="es-ES"/>
        </w:rPr>
        <w:t>os</w:t>
      </w:r>
      <w:r>
        <w:rPr>
          <w:rFonts w:ascii="Arial" w:eastAsia="Calibri" w:hAnsi="Arial" w:cs="Arial"/>
          <w:sz w:val="22"/>
          <w:lang w:val="es-ES"/>
        </w:rPr>
        <w:t>.</w:t>
      </w:r>
      <w:r w:rsidR="005F1543">
        <w:rPr>
          <w:rFonts w:ascii="Arial" w:eastAsia="Calibri" w:hAnsi="Arial" w:cs="Arial"/>
          <w:sz w:val="22"/>
          <w:lang w:val="es-ES"/>
        </w:rPr>
        <w:t xml:space="preserve"> Y esto es así, pues el contrato de donación no se puede prestar para </w:t>
      </w:r>
      <w:r w:rsidR="00945FA0">
        <w:rPr>
          <w:rFonts w:ascii="Arial" w:eastAsia="Calibri" w:hAnsi="Arial" w:cs="Arial"/>
          <w:sz w:val="22"/>
          <w:lang w:val="es-ES"/>
        </w:rPr>
        <w:t>que el Estado reciba bienes obtenidos a través de actividades ilícitas o que la legalidad de los fondos con que fueron adquiridos no pueda ser válidamente demostrados por el donante</w:t>
      </w:r>
      <w:r w:rsidR="00AA0F83">
        <w:rPr>
          <w:rFonts w:ascii="Arial" w:eastAsia="Calibri" w:hAnsi="Arial" w:cs="Arial"/>
          <w:sz w:val="22"/>
          <w:lang w:val="es-ES"/>
        </w:rPr>
        <w:t xml:space="preserve">, como tampoco puede servir de excusa </w:t>
      </w:r>
      <w:r w:rsidR="004C6530">
        <w:rPr>
          <w:rFonts w:ascii="Arial" w:eastAsia="Calibri" w:hAnsi="Arial" w:cs="Arial"/>
          <w:sz w:val="22"/>
          <w:lang w:val="es-ES"/>
        </w:rPr>
        <w:t>para pretermitir las prohibiciones</w:t>
      </w:r>
      <w:r w:rsidR="00AA0F83">
        <w:rPr>
          <w:rFonts w:ascii="Arial" w:eastAsia="Calibri" w:hAnsi="Arial" w:cs="Arial"/>
          <w:sz w:val="22"/>
          <w:lang w:val="es-ES"/>
        </w:rPr>
        <w:t>, inhabilidades e incompatibilidades establecidas en la ley para celebrar contratos con el Estado</w:t>
      </w:r>
      <w:r w:rsidR="007D2A20">
        <w:rPr>
          <w:rFonts w:ascii="Arial" w:eastAsia="Calibri" w:hAnsi="Arial" w:cs="Arial"/>
          <w:sz w:val="22"/>
          <w:lang w:val="es-ES"/>
        </w:rPr>
        <w:t xml:space="preserve">, pues </w:t>
      </w:r>
      <w:r w:rsidR="00AA0F83">
        <w:rPr>
          <w:rFonts w:ascii="Arial" w:eastAsia="Calibri" w:hAnsi="Arial" w:cs="Arial"/>
          <w:sz w:val="22"/>
          <w:lang w:val="es-ES"/>
        </w:rPr>
        <w:t>la</w:t>
      </w:r>
      <w:r w:rsidR="007D2A20">
        <w:rPr>
          <w:rFonts w:ascii="Arial" w:eastAsia="Calibri" w:hAnsi="Arial" w:cs="Arial"/>
          <w:sz w:val="22"/>
          <w:lang w:val="es-ES"/>
        </w:rPr>
        <w:t xml:space="preserve"> </w:t>
      </w:r>
      <w:r w:rsidR="00AA0F83">
        <w:rPr>
          <w:rFonts w:ascii="Arial" w:eastAsia="Calibri" w:hAnsi="Arial" w:cs="Arial"/>
          <w:sz w:val="22"/>
          <w:lang w:val="es-ES"/>
        </w:rPr>
        <w:t>moralidad y la transparencia, como principios rectores de la función pública</w:t>
      </w:r>
      <w:r w:rsidR="007D2A20">
        <w:rPr>
          <w:rFonts w:ascii="Arial" w:eastAsia="Calibri" w:hAnsi="Arial" w:cs="Arial"/>
          <w:sz w:val="22"/>
          <w:lang w:val="es-ES"/>
        </w:rPr>
        <w:t>,</w:t>
      </w:r>
      <w:r w:rsidR="00AA0F83">
        <w:rPr>
          <w:rFonts w:ascii="Arial" w:eastAsia="Calibri" w:hAnsi="Arial" w:cs="Arial"/>
          <w:sz w:val="22"/>
          <w:lang w:val="es-ES"/>
        </w:rPr>
        <w:t xml:space="preserve"> deben estar presentes en todas y cada una de las actuaciones que </w:t>
      </w:r>
      <w:r w:rsidR="007D2A20">
        <w:rPr>
          <w:rFonts w:ascii="Arial" w:eastAsia="Calibri" w:hAnsi="Arial" w:cs="Arial"/>
          <w:sz w:val="22"/>
          <w:lang w:val="es-ES"/>
        </w:rPr>
        <w:t>la entidades estatales</w:t>
      </w:r>
      <w:r w:rsidR="00AA0F83">
        <w:rPr>
          <w:rFonts w:ascii="Arial" w:eastAsia="Calibri" w:hAnsi="Arial" w:cs="Arial"/>
          <w:sz w:val="22"/>
          <w:lang w:val="es-ES"/>
        </w:rPr>
        <w:t xml:space="preserve"> adelantan.</w:t>
      </w:r>
      <w:r w:rsidR="004C6530">
        <w:rPr>
          <w:rFonts w:ascii="Arial" w:eastAsia="Calibri" w:hAnsi="Arial" w:cs="Arial"/>
          <w:sz w:val="22"/>
          <w:lang w:val="es-ES"/>
        </w:rPr>
        <w:t xml:space="preserve"> </w:t>
      </w:r>
    </w:p>
    <w:p w14:paraId="3FCD8C95" w14:textId="1C124BF9" w:rsidR="00650F5F" w:rsidRDefault="00AA0F83" w:rsidP="00C763CF">
      <w:pPr>
        <w:spacing w:before="120"/>
        <w:ind w:firstLine="709"/>
        <w:jc w:val="both"/>
        <w:rPr>
          <w:rFonts w:ascii="Arial" w:eastAsia="Calibri" w:hAnsi="Arial" w:cs="Arial"/>
          <w:sz w:val="22"/>
          <w:lang w:val="es-ES"/>
        </w:rPr>
      </w:pPr>
      <w:r>
        <w:rPr>
          <w:rFonts w:ascii="Arial" w:eastAsia="Calibri" w:hAnsi="Arial" w:cs="Arial"/>
          <w:sz w:val="22"/>
          <w:lang w:val="es-ES"/>
        </w:rPr>
        <w:t>Adicionalmente</w:t>
      </w:r>
      <w:r w:rsidR="007D2A20">
        <w:rPr>
          <w:rFonts w:ascii="Arial" w:eastAsia="Calibri" w:hAnsi="Arial" w:cs="Arial"/>
          <w:sz w:val="22"/>
          <w:lang w:val="es-ES"/>
        </w:rPr>
        <w:t xml:space="preserve"> a lo anterior</w:t>
      </w:r>
      <w:r>
        <w:rPr>
          <w:rFonts w:ascii="Arial" w:eastAsia="Calibri" w:hAnsi="Arial" w:cs="Arial"/>
          <w:sz w:val="22"/>
          <w:lang w:val="es-ES"/>
        </w:rPr>
        <w:t xml:space="preserve">, </w:t>
      </w:r>
      <w:r w:rsidR="00650F5F">
        <w:rPr>
          <w:rFonts w:ascii="Arial" w:eastAsia="Calibri" w:hAnsi="Arial" w:cs="Arial"/>
          <w:sz w:val="22"/>
          <w:lang w:val="es-ES"/>
        </w:rPr>
        <w:t>es preciso que la entidad estatal realice un análisis sobre las implicaciones y riesgos que puede tener la donación, para verificar si su aceptación conlleva gastos no previstos por la entidad. Por ejemplo, tributos o gravámenes derivados de la donación que no se encuentren presupuestados o que impliquen una carga económica que la entidad no está en condiciones de asumir. En este análisis también se deberá determinar el origen del o los bienes donados, con el fin de corroborar que no se trate de objetos de origen ilícito que no podrían ser aceptados por la entidad. Así mismo, en el análisis se deberá explicar el beneficio que se derivará de la aceptación de la donación y su conexión con los fines propios de la entidad.</w:t>
      </w:r>
    </w:p>
    <w:p w14:paraId="4B96F5E3"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Es oportuno aclarar que, en cualquiera de los dos escenarios anteriores, los estudios previos deben ser publicados en el SECOP, que es la plataforma dispuesta legalmente para la publicación de procesos contractuales del Estado. Con esto, se dará cumplimiento a los requisitos de publicidad y transparencia del artículo 23 de la Ley 80 de 1993, así como lo dispuesto por el artículo </w:t>
      </w:r>
      <w:r w:rsidRPr="00B648EC">
        <w:rPr>
          <w:rFonts w:ascii="Arial" w:eastAsia="Calibri" w:hAnsi="Arial" w:cs="Arial"/>
          <w:sz w:val="22"/>
          <w:lang w:val="es-ES"/>
        </w:rPr>
        <w:t xml:space="preserve">2.2.1.1.1.7.1. </w:t>
      </w:r>
      <w:r>
        <w:rPr>
          <w:rFonts w:ascii="Arial" w:eastAsia="Calibri" w:hAnsi="Arial" w:cs="Arial"/>
          <w:sz w:val="22"/>
          <w:lang w:val="es-ES"/>
        </w:rPr>
        <w:t>del Decreto 1082 de 2015.</w:t>
      </w:r>
    </w:p>
    <w:p w14:paraId="7963E36C"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Igualmente, si el donante es quien propone la donación, se deben publicar los documentos relacionados con el contrato de donación para dotar de transparencia el proceso. Estos documentos deben ser equivalentes a la definición de Documentos del Proceso, señalada en el artículo 2.2.1.1.1.3.1 del Decreto 1082</w:t>
      </w:r>
      <w:r>
        <w:rPr>
          <w:rStyle w:val="Refdenotaalpie"/>
          <w:rFonts w:ascii="Arial" w:eastAsia="Calibri" w:hAnsi="Arial" w:cs="Arial"/>
          <w:sz w:val="22"/>
          <w:lang w:val="es-ES"/>
        </w:rPr>
        <w:footnoteReference w:id="19"/>
      </w:r>
      <w:r>
        <w:rPr>
          <w:rFonts w:ascii="Arial" w:eastAsia="Calibri" w:hAnsi="Arial" w:cs="Arial"/>
          <w:sz w:val="22"/>
          <w:lang w:val="es-ES"/>
        </w:rPr>
        <w:t xml:space="preserve">. Así, los documentos a </w:t>
      </w:r>
      <w:r>
        <w:rPr>
          <w:rFonts w:ascii="Arial" w:eastAsia="Calibri" w:hAnsi="Arial" w:cs="Arial"/>
          <w:sz w:val="22"/>
          <w:lang w:val="es-ES"/>
        </w:rPr>
        <w:lastRenderedPageBreak/>
        <w:t>publicar serían, al menos, los siguientes: (i) la oferta por escrito del donante; (ii) la aceptación por parte de la entidad donataria; (iii) los estudios previos, y (iv) el contrato, junto con los demás documentos que surjan con ocasión de este negocio jurídico.</w:t>
      </w:r>
    </w:p>
    <w:p w14:paraId="08189DE6" w14:textId="77777777" w:rsidR="00650F5F" w:rsidRDefault="00650F5F" w:rsidP="00C763CF">
      <w:pPr>
        <w:spacing w:before="120"/>
        <w:ind w:firstLine="426"/>
        <w:jc w:val="both"/>
        <w:rPr>
          <w:rFonts w:ascii="Arial" w:eastAsia="Calibri" w:hAnsi="Arial" w:cs="Arial"/>
          <w:sz w:val="22"/>
          <w:lang w:val="es-ES"/>
        </w:rPr>
      </w:pPr>
    </w:p>
    <w:p w14:paraId="336E372E" w14:textId="77777777" w:rsidR="00650F5F" w:rsidRPr="00152969" w:rsidRDefault="00650F5F" w:rsidP="00C763CF">
      <w:pPr>
        <w:pStyle w:val="Prrafodelista"/>
        <w:numPr>
          <w:ilvl w:val="0"/>
          <w:numId w:val="20"/>
        </w:numPr>
        <w:spacing w:before="120"/>
        <w:ind w:left="426"/>
        <w:jc w:val="both"/>
        <w:rPr>
          <w:rFonts w:ascii="Arial" w:eastAsia="Calibri" w:hAnsi="Arial" w:cs="Arial"/>
          <w:b/>
          <w:sz w:val="22"/>
          <w:lang w:val="es-ES"/>
        </w:rPr>
      </w:pPr>
      <w:r w:rsidRPr="00152969">
        <w:rPr>
          <w:rFonts w:ascii="Arial" w:eastAsia="Calibri" w:hAnsi="Arial" w:cs="Arial"/>
          <w:b/>
          <w:sz w:val="22"/>
          <w:lang w:val="es-ES"/>
        </w:rPr>
        <w:t>Respuesta</w:t>
      </w:r>
    </w:p>
    <w:p w14:paraId="2647A326" w14:textId="77777777" w:rsidR="00650F5F" w:rsidRDefault="00650F5F" w:rsidP="00C763CF">
      <w:pPr>
        <w:spacing w:before="120"/>
        <w:ind w:firstLine="426"/>
        <w:jc w:val="both"/>
        <w:rPr>
          <w:rFonts w:ascii="Arial" w:eastAsia="Calibri" w:hAnsi="Arial" w:cs="Arial"/>
          <w:sz w:val="22"/>
          <w:lang w:val="es-ES"/>
        </w:rPr>
      </w:pPr>
    </w:p>
    <w:p w14:paraId="254AAE91" w14:textId="77777777" w:rsidR="00650F5F" w:rsidRDefault="00650F5F" w:rsidP="00C763CF">
      <w:pPr>
        <w:spacing w:before="120"/>
        <w:ind w:left="709" w:right="709"/>
        <w:jc w:val="both"/>
        <w:rPr>
          <w:rFonts w:ascii="Arial" w:eastAsia="Calibri" w:hAnsi="Arial" w:cs="Arial"/>
          <w:sz w:val="22"/>
          <w:lang w:val="es-ES"/>
        </w:rPr>
      </w:pPr>
      <w:r w:rsidRPr="008D61D6">
        <w:rPr>
          <w:rFonts w:ascii="Arial" w:eastAsia="Calibri" w:hAnsi="Arial" w:cs="Arial"/>
          <w:sz w:val="22"/>
          <w:lang w:val="es-ES"/>
        </w:rPr>
        <w:t>«</w:t>
      </w:r>
      <w:r>
        <w:rPr>
          <w:rFonts w:ascii="Arial" w:eastAsia="Calibri" w:hAnsi="Arial" w:cs="Arial"/>
          <w:sz w:val="22"/>
          <w:lang w:val="es-ES"/>
        </w:rPr>
        <w:t xml:space="preserve">[…] </w:t>
      </w:r>
      <w:r w:rsidRPr="008D61D6">
        <w:rPr>
          <w:rFonts w:ascii="Arial" w:eastAsia="Calibri" w:hAnsi="Arial" w:cs="Arial"/>
          <w:sz w:val="22"/>
          <w:lang w:val="es-ES"/>
        </w:rPr>
        <w:t>una entidad estatal que recibe en calidad de donatario una donación realizada por un particular (donante) debe publicar dicho contrato de donación en el SECOP? En caso afirmativo, ¿cuáles serían los fundamentos jurídicos para esta obligación?»</w:t>
      </w:r>
      <w:r>
        <w:rPr>
          <w:rFonts w:ascii="Arial" w:eastAsia="Calibri" w:hAnsi="Arial" w:cs="Arial"/>
          <w:sz w:val="22"/>
          <w:lang w:val="es-ES"/>
        </w:rPr>
        <w:t>.</w:t>
      </w:r>
    </w:p>
    <w:p w14:paraId="3D17A846" w14:textId="77777777" w:rsidR="00650F5F" w:rsidRDefault="00650F5F" w:rsidP="00C763CF">
      <w:pPr>
        <w:spacing w:before="120"/>
        <w:ind w:firstLine="426"/>
        <w:jc w:val="both"/>
        <w:rPr>
          <w:rFonts w:ascii="Arial" w:eastAsia="Calibri" w:hAnsi="Arial" w:cs="Arial"/>
          <w:sz w:val="22"/>
          <w:lang w:val="es-ES"/>
        </w:rPr>
      </w:pPr>
    </w:p>
    <w:p w14:paraId="44384679" w14:textId="337C2269" w:rsidR="001D45A7"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Los contratos de donación en los que una entidad estatal es parte, ya sea como donante o donataria, son contratos estatales. Por esta condición, deben observar los principios de la función administrativa consagrados en el artículo 209 de la Constitución, dentro de los que está el principio de publicidad,</w:t>
      </w:r>
      <w:r w:rsidR="001D45A7">
        <w:rPr>
          <w:rFonts w:ascii="Arial" w:eastAsia="Calibri" w:hAnsi="Arial" w:cs="Arial"/>
          <w:sz w:val="22"/>
          <w:lang w:val="es-ES"/>
        </w:rPr>
        <w:t xml:space="preserve"> </w:t>
      </w:r>
      <w:r w:rsidR="00765BCF">
        <w:rPr>
          <w:rFonts w:ascii="Arial" w:eastAsia="Calibri" w:hAnsi="Arial" w:cs="Arial"/>
          <w:sz w:val="22"/>
          <w:lang w:val="es-ES"/>
        </w:rPr>
        <w:t xml:space="preserve">según el cual </w:t>
      </w:r>
      <w:r w:rsidR="001D45A7">
        <w:rPr>
          <w:rFonts w:ascii="Arial" w:eastAsia="Calibri" w:hAnsi="Arial" w:cs="Arial"/>
          <w:sz w:val="22"/>
          <w:lang w:val="es-ES"/>
        </w:rPr>
        <w:t xml:space="preserve">se deberán hacer públicos los actos de las entidades estatales, incluyendo sus contratos, dentro de los </w:t>
      </w:r>
      <w:r w:rsidR="00765BCF">
        <w:rPr>
          <w:rFonts w:ascii="Arial" w:eastAsia="Calibri" w:hAnsi="Arial" w:cs="Arial"/>
          <w:sz w:val="22"/>
          <w:lang w:val="es-ES"/>
        </w:rPr>
        <w:t>que</w:t>
      </w:r>
      <w:r w:rsidR="001D45A7">
        <w:rPr>
          <w:rFonts w:ascii="Arial" w:eastAsia="Calibri" w:hAnsi="Arial" w:cs="Arial"/>
          <w:sz w:val="22"/>
          <w:lang w:val="es-ES"/>
        </w:rPr>
        <w:t xml:space="preserve"> se encuentran</w:t>
      </w:r>
      <w:r w:rsidR="001D45A7" w:rsidDel="006A6FA1">
        <w:rPr>
          <w:rFonts w:ascii="Arial" w:eastAsia="Calibri" w:hAnsi="Arial" w:cs="Arial"/>
          <w:sz w:val="22"/>
          <w:lang w:val="es-ES"/>
        </w:rPr>
        <w:t xml:space="preserve"> </w:t>
      </w:r>
      <w:r w:rsidR="00765BCF">
        <w:rPr>
          <w:rFonts w:ascii="Arial" w:eastAsia="Calibri" w:hAnsi="Arial" w:cs="Arial"/>
          <w:sz w:val="22"/>
          <w:lang w:val="es-ES"/>
        </w:rPr>
        <w:t xml:space="preserve">incluidos </w:t>
      </w:r>
      <w:r w:rsidR="001D45A7">
        <w:rPr>
          <w:rFonts w:ascii="Arial" w:eastAsia="Calibri" w:hAnsi="Arial" w:cs="Arial"/>
          <w:sz w:val="22"/>
          <w:lang w:val="es-ES"/>
        </w:rPr>
        <w:t>los contratos de donación.</w:t>
      </w:r>
    </w:p>
    <w:p w14:paraId="2ECEFA7C"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En concordancia con lo anterior, de la lectura el artículo 23 de la Ley 80 de 1993 y de los artículos 9, 10 y 11 de la Ley 1712 de 2014, se concluye que los contratos estatales están sometidos al principio de publicidad y, por lo tanto, deben ser publicados. Lo anterior, además, se corresponde con la jurisprudencia de la Corte Constitucional sobre el principio de publicidad.</w:t>
      </w:r>
    </w:p>
    <w:p w14:paraId="556C2383" w14:textId="77777777" w:rsidR="00650F5F" w:rsidRDefault="00650F5F" w:rsidP="00C763CF">
      <w:pPr>
        <w:spacing w:before="120"/>
        <w:ind w:firstLine="426"/>
        <w:jc w:val="both"/>
        <w:rPr>
          <w:rFonts w:ascii="Arial" w:eastAsia="Calibri" w:hAnsi="Arial" w:cs="Arial"/>
          <w:sz w:val="22"/>
          <w:lang w:val="es-ES"/>
        </w:rPr>
      </w:pPr>
    </w:p>
    <w:p w14:paraId="309B48D5" w14:textId="77777777" w:rsidR="00650F5F" w:rsidRDefault="00650F5F" w:rsidP="00C763CF">
      <w:pPr>
        <w:spacing w:before="120"/>
        <w:ind w:left="709" w:right="709"/>
        <w:jc w:val="both"/>
        <w:rPr>
          <w:rFonts w:ascii="Arial" w:eastAsia="Calibri" w:hAnsi="Arial" w:cs="Arial"/>
          <w:sz w:val="22"/>
          <w:lang w:val="es-ES"/>
        </w:rPr>
      </w:pPr>
      <w:r w:rsidRPr="008D61D6">
        <w:rPr>
          <w:rFonts w:ascii="Arial" w:eastAsia="Calibri" w:hAnsi="Arial" w:cs="Arial"/>
          <w:sz w:val="22"/>
          <w:lang w:val="es-ES"/>
        </w:rPr>
        <w:t>«</w:t>
      </w:r>
      <w:r>
        <w:rPr>
          <w:rFonts w:ascii="Arial" w:eastAsia="Calibri" w:hAnsi="Arial" w:cs="Arial"/>
          <w:sz w:val="22"/>
          <w:lang w:val="es-ES"/>
        </w:rPr>
        <w:t xml:space="preserve">[…] </w:t>
      </w:r>
      <w:r w:rsidRPr="00525145">
        <w:rPr>
          <w:rFonts w:ascii="Arial" w:eastAsia="Calibri" w:hAnsi="Arial" w:cs="Arial"/>
          <w:sz w:val="22"/>
          <w:lang w:val="es-ES"/>
        </w:rPr>
        <w:t xml:space="preserve">¿Deben </w:t>
      </w:r>
      <w:proofErr w:type="spellStart"/>
      <w:r w:rsidRPr="00525145">
        <w:rPr>
          <w:rFonts w:ascii="Arial" w:eastAsia="Calibri" w:hAnsi="Arial" w:cs="Arial"/>
          <w:sz w:val="22"/>
          <w:lang w:val="es-ES"/>
        </w:rPr>
        <w:t>eleborarse</w:t>
      </w:r>
      <w:proofErr w:type="spellEnd"/>
      <w:r w:rsidRPr="00525145">
        <w:rPr>
          <w:rFonts w:ascii="Arial" w:eastAsia="Calibri" w:hAnsi="Arial" w:cs="Arial"/>
          <w:sz w:val="22"/>
          <w:lang w:val="es-ES"/>
        </w:rPr>
        <w:t xml:space="preserve"> (sic) estudios previos para justificar el contrato de donación?</w:t>
      </w:r>
      <w:r w:rsidRPr="008D61D6">
        <w:rPr>
          <w:rFonts w:ascii="Arial" w:eastAsia="Calibri" w:hAnsi="Arial" w:cs="Arial"/>
          <w:sz w:val="22"/>
          <w:lang w:val="es-ES"/>
        </w:rPr>
        <w:t>»</w:t>
      </w:r>
      <w:r>
        <w:rPr>
          <w:rFonts w:ascii="Arial" w:eastAsia="Calibri" w:hAnsi="Arial" w:cs="Arial"/>
          <w:sz w:val="22"/>
          <w:lang w:val="es-ES"/>
        </w:rPr>
        <w:t>.</w:t>
      </w:r>
    </w:p>
    <w:p w14:paraId="5045F0F7" w14:textId="77777777" w:rsidR="00650F5F" w:rsidRDefault="00650F5F" w:rsidP="00C763CF">
      <w:pPr>
        <w:spacing w:before="120"/>
        <w:ind w:firstLine="426"/>
        <w:jc w:val="both"/>
        <w:rPr>
          <w:rFonts w:ascii="Arial" w:eastAsia="Calibri" w:hAnsi="Arial" w:cs="Arial"/>
          <w:sz w:val="22"/>
          <w:lang w:val="es-ES"/>
        </w:rPr>
      </w:pPr>
    </w:p>
    <w:p w14:paraId="263A088D"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La entidad donataria sí debe realizar unos estudios previos para el contrato de donación, atendiendo al contenido que, para los estudios previos, se enuncia en el artículo 2.2.1.1.2.1.1 del Decreto 1082 de 2015. </w:t>
      </w:r>
    </w:p>
    <w:p w14:paraId="1B66D461" w14:textId="77777777" w:rsidR="00650F5F" w:rsidRDefault="00650F5F" w:rsidP="00C763CF">
      <w:pPr>
        <w:spacing w:before="120"/>
        <w:ind w:firstLine="709"/>
        <w:jc w:val="both"/>
        <w:rPr>
          <w:rFonts w:ascii="Arial" w:eastAsia="Calibri" w:hAnsi="Arial" w:cs="Arial"/>
          <w:sz w:val="22"/>
          <w:lang w:val="es-ES"/>
        </w:rPr>
      </w:pPr>
      <w:r>
        <w:rPr>
          <w:rFonts w:ascii="Arial" w:eastAsia="Calibri" w:hAnsi="Arial" w:cs="Arial"/>
          <w:sz w:val="22"/>
          <w:lang w:val="es-ES"/>
        </w:rPr>
        <w:t xml:space="preserve">En los estudios, la entidad deberá evaluar, entre otros temas, el origen del o los bienes donados, los riesgos y las posibles erogaciones que deba hacer la entidad con ocasión de la donación y, finalmente, el beneficio que se obtendrá con la donación. Adicionalmente, si la entidad es la que propone la donación, se deberá justificar la elección </w:t>
      </w:r>
      <w:r>
        <w:rPr>
          <w:rFonts w:ascii="Arial" w:eastAsia="Calibri" w:hAnsi="Arial" w:cs="Arial"/>
          <w:sz w:val="22"/>
          <w:lang w:val="es-ES"/>
        </w:rPr>
        <w:lastRenderedPageBreak/>
        <w:t>del donante y la necesidad de obtener el o los bienes donados y su relación con los fines de la entidad.</w:t>
      </w:r>
    </w:p>
    <w:p w14:paraId="1A4691DE" w14:textId="77777777" w:rsidR="00650F5F" w:rsidRPr="00217435" w:rsidRDefault="00650F5F" w:rsidP="00C763CF">
      <w:pPr>
        <w:spacing w:before="120"/>
        <w:ind w:firstLine="426"/>
        <w:jc w:val="both"/>
        <w:rPr>
          <w:rFonts w:ascii="Arial" w:eastAsia="Calibri" w:hAnsi="Arial" w:cs="Arial"/>
          <w:sz w:val="22"/>
          <w:lang w:val="es-ES"/>
        </w:rPr>
      </w:pPr>
      <w:r w:rsidRPr="00217435">
        <w:rPr>
          <w:rFonts w:ascii="Arial" w:eastAsia="Calibri" w:hAnsi="Arial" w:cs="Arial"/>
          <w:sz w:val="22"/>
          <w:lang w:val="es-ES"/>
        </w:rPr>
        <w:t>Este concepto tiene el alcance previsto en el artículo 28 del Código de Procedimiento Administrativo y de lo Contencioso Administrativo.</w:t>
      </w:r>
    </w:p>
    <w:p w14:paraId="2056C32C" w14:textId="77777777" w:rsidR="00650F5F" w:rsidRDefault="00650F5F" w:rsidP="00C763CF">
      <w:pPr>
        <w:spacing w:before="120"/>
        <w:jc w:val="both"/>
        <w:rPr>
          <w:rFonts w:ascii="Arial" w:eastAsia="Calibri" w:hAnsi="Arial" w:cs="Arial"/>
          <w:sz w:val="22"/>
          <w:lang w:val="es-ES"/>
        </w:rPr>
      </w:pPr>
    </w:p>
    <w:p w14:paraId="40F0B128" w14:textId="13500D4D" w:rsidR="00650F5F" w:rsidRDefault="00650F5F" w:rsidP="00C763CF">
      <w:pPr>
        <w:pStyle w:val="NormalWeb"/>
        <w:spacing w:before="120" w:beforeAutospacing="0" w:after="0" w:afterAutospacing="0"/>
        <w:jc w:val="both"/>
        <w:rPr>
          <w:rFonts w:ascii="Arial" w:hAnsi="Arial" w:cs="Arial"/>
          <w:color w:val="000000" w:themeColor="text1"/>
          <w:sz w:val="22"/>
          <w:szCs w:val="22"/>
          <w:lang w:val="es-ES_tradnl"/>
        </w:rPr>
      </w:pPr>
      <w:r w:rsidRPr="00785BBB">
        <w:rPr>
          <w:rFonts w:ascii="Arial" w:hAnsi="Arial" w:cs="Arial"/>
          <w:color w:val="000000" w:themeColor="text1"/>
          <w:sz w:val="22"/>
          <w:szCs w:val="22"/>
          <w:lang w:val="es-ES_tradnl"/>
        </w:rPr>
        <w:t>Atentamente,</w:t>
      </w:r>
    </w:p>
    <w:p w14:paraId="6CC91688" w14:textId="2D9F5016" w:rsidR="00650F5F" w:rsidRPr="00785BBB" w:rsidRDefault="00C763CF" w:rsidP="00C763CF">
      <w:pPr>
        <w:pStyle w:val="NormalWeb"/>
        <w:spacing w:before="120" w:beforeAutospacing="0" w:after="0" w:afterAutospacing="0"/>
        <w:jc w:val="center"/>
        <w:rPr>
          <w:rFonts w:ascii="Arial" w:hAnsi="Arial" w:cs="Arial"/>
          <w:color w:val="000000" w:themeColor="text1"/>
          <w:sz w:val="22"/>
          <w:szCs w:val="22"/>
          <w:lang w:val="es-ES_tradnl"/>
        </w:rPr>
      </w:pPr>
      <w:r>
        <w:rPr>
          <w:noProof/>
        </w:rPr>
        <w:drawing>
          <wp:inline distT="0" distB="0" distL="0" distR="0" wp14:anchorId="53D034C8" wp14:editId="7585BFDC">
            <wp:extent cx="2514600" cy="1114425"/>
            <wp:effectExtent l="0" t="0" r="0" b="9525"/>
            <wp:docPr id="16" name="Imagen 43"/>
            <wp:cNvGraphicFramePr/>
            <a:graphic xmlns:a="http://schemas.openxmlformats.org/drawingml/2006/main">
              <a:graphicData uri="http://schemas.openxmlformats.org/drawingml/2006/picture">
                <pic:pic xmlns:pic="http://schemas.openxmlformats.org/drawingml/2006/picture">
                  <pic:nvPicPr>
                    <pic:cNvPr id="16" name="Imagen 43"/>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p w14:paraId="32C5211D" w14:textId="77777777" w:rsidR="00650F5F" w:rsidRPr="00785BBB" w:rsidRDefault="00650F5F" w:rsidP="00C763CF">
      <w:pPr>
        <w:spacing w:before="120"/>
        <w:rPr>
          <w:rFonts w:ascii="Arial" w:eastAsia="Times New Roman"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50F5F" w:rsidRPr="00785BBB" w14:paraId="296F9025" w14:textId="77777777" w:rsidTr="00967CCD">
        <w:trPr>
          <w:trHeight w:val="315"/>
        </w:trPr>
        <w:tc>
          <w:tcPr>
            <w:tcW w:w="812" w:type="dxa"/>
            <w:vAlign w:val="center"/>
            <w:hideMark/>
          </w:tcPr>
          <w:p w14:paraId="4F942662"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sidRPr="00785BBB">
              <w:rPr>
                <w:rFonts w:ascii="Arial" w:eastAsia="Times New Roman"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01915712"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Donaldo César Ariza Argüelles</w:t>
            </w:r>
          </w:p>
          <w:p w14:paraId="3FC5FC5F"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sidRPr="00785BBB">
              <w:rPr>
                <w:rFonts w:ascii="Arial" w:eastAsia="Times New Roman" w:hAnsi="Arial" w:cs="Arial"/>
                <w:color w:val="000000" w:themeColor="text1"/>
                <w:sz w:val="16"/>
                <w:szCs w:val="16"/>
                <w:lang w:val="es-ES_tradnl" w:eastAsia="es-ES"/>
              </w:rPr>
              <w:t>Contratista de la Subdirección de Gestión Contractual</w:t>
            </w:r>
          </w:p>
        </w:tc>
      </w:tr>
      <w:tr w:rsidR="00650F5F" w:rsidRPr="00785BBB" w14:paraId="74F99088" w14:textId="77777777" w:rsidTr="00967CCD">
        <w:trPr>
          <w:trHeight w:val="330"/>
        </w:trPr>
        <w:tc>
          <w:tcPr>
            <w:tcW w:w="812" w:type="dxa"/>
            <w:vAlign w:val="center"/>
            <w:hideMark/>
          </w:tcPr>
          <w:p w14:paraId="37F9B342"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sidRPr="00785BBB">
              <w:rPr>
                <w:rFonts w:ascii="Arial" w:eastAsia="Times New Roman"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15EC053"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Cristian Andrés Díaz Díez</w:t>
            </w:r>
          </w:p>
          <w:p w14:paraId="2B04DF5C"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 xml:space="preserve">Contratista de la </w:t>
            </w:r>
            <w:r w:rsidRPr="00785BBB">
              <w:rPr>
                <w:rFonts w:ascii="Arial" w:eastAsia="Times New Roman" w:hAnsi="Arial" w:cs="Arial"/>
                <w:color w:val="000000" w:themeColor="text1"/>
                <w:sz w:val="16"/>
                <w:szCs w:val="16"/>
                <w:lang w:val="es-ES_tradnl" w:eastAsia="es-ES"/>
              </w:rPr>
              <w:t>Subdirec</w:t>
            </w:r>
            <w:r>
              <w:rPr>
                <w:rFonts w:ascii="Arial" w:eastAsia="Times New Roman" w:hAnsi="Arial" w:cs="Arial"/>
                <w:color w:val="000000" w:themeColor="text1"/>
                <w:sz w:val="16"/>
                <w:szCs w:val="16"/>
                <w:lang w:val="es-ES_tradnl" w:eastAsia="es-ES"/>
              </w:rPr>
              <w:t>ción</w:t>
            </w:r>
            <w:r w:rsidRPr="00785BBB">
              <w:rPr>
                <w:rFonts w:ascii="Arial" w:eastAsia="Times New Roman" w:hAnsi="Arial" w:cs="Arial"/>
                <w:color w:val="000000" w:themeColor="text1"/>
                <w:sz w:val="16"/>
                <w:szCs w:val="16"/>
                <w:lang w:val="es-ES_tradnl" w:eastAsia="es-ES"/>
              </w:rPr>
              <w:t xml:space="preserve"> de Gestión Contractual</w:t>
            </w:r>
          </w:p>
        </w:tc>
      </w:tr>
      <w:tr w:rsidR="00650F5F" w:rsidRPr="00785BBB" w14:paraId="331B539C" w14:textId="77777777" w:rsidTr="00967CCD">
        <w:trPr>
          <w:trHeight w:val="300"/>
        </w:trPr>
        <w:tc>
          <w:tcPr>
            <w:tcW w:w="812" w:type="dxa"/>
            <w:vAlign w:val="center"/>
            <w:hideMark/>
          </w:tcPr>
          <w:p w14:paraId="252A9B05"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sidRPr="00785BBB">
              <w:rPr>
                <w:rFonts w:ascii="Arial" w:eastAsia="Times New Roman"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E89D65F"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Jorge Augusto Tirado Navarro</w:t>
            </w:r>
          </w:p>
          <w:p w14:paraId="38F1E642" w14:textId="77777777" w:rsidR="00650F5F" w:rsidRPr="00785BBB" w:rsidRDefault="00650F5F" w:rsidP="00C763CF">
            <w:pPr>
              <w:spacing w:before="120"/>
              <w:jc w:val="both"/>
              <w:rPr>
                <w:rFonts w:ascii="Arial" w:eastAsia="Times New Roman" w:hAnsi="Arial" w:cs="Arial"/>
                <w:color w:val="000000" w:themeColor="text1"/>
                <w:sz w:val="16"/>
                <w:szCs w:val="16"/>
                <w:lang w:val="es-ES_tradnl" w:eastAsia="es-ES"/>
              </w:rPr>
            </w:pPr>
            <w:r w:rsidRPr="00785BBB">
              <w:rPr>
                <w:rFonts w:ascii="Arial" w:eastAsia="Times New Roman" w:hAnsi="Arial" w:cs="Arial"/>
                <w:color w:val="000000" w:themeColor="text1"/>
                <w:sz w:val="16"/>
                <w:szCs w:val="16"/>
                <w:lang w:val="es-ES_tradnl" w:eastAsia="es-ES"/>
              </w:rPr>
              <w:t>Subdirector de Gestión Contractual</w:t>
            </w:r>
          </w:p>
        </w:tc>
      </w:tr>
    </w:tbl>
    <w:p w14:paraId="3A635526" w14:textId="77777777" w:rsidR="00650F5F" w:rsidRPr="003F5097" w:rsidRDefault="00650F5F" w:rsidP="00C763CF">
      <w:pPr>
        <w:spacing w:before="120"/>
        <w:ind w:firstLine="426"/>
        <w:jc w:val="both"/>
        <w:rPr>
          <w:rFonts w:ascii="Arial" w:eastAsia="Calibri" w:hAnsi="Arial" w:cs="Arial"/>
          <w:sz w:val="22"/>
        </w:rPr>
      </w:pPr>
    </w:p>
    <w:p w14:paraId="0FC6659B" w14:textId="77777777" w:rsidR="00650F5F" w:rsidRDefault="00650F5F" w:rsidP="00C763CF">
      <w:pPr>
        <w:spacing w:before="120"/>
        <w:ind w:firstLine="426"/>
        <w:jc w:val="both"/>
        <w:rPr>
          <w:rFonts w:ascii="Arial" w:eastAsia="Calibri" w:hAnsi="Arial" w:cs="Arial"/>
          <w:sz w:val="22"/>
          <w:lang w:val="es-ES"/>
        </w:rPr>
      </w:pPr>
    </w:p>
    <w:bookmarkEnd w:id="3"/>
    <w:bookmarkEnd w:id="4"/>
    <w:p w14:paraId="35B56F46" w14:textId="77777777" w:rsidR="00746E08" w:rsidRPr="00217435" w:rsidRDefault="00746E08" w:rsidP="00C763CF">
      <w:pPr>
        <w:spacing w:before="120"/>
        <w:rPr>
          <w:rFonts w:ascii="Arial" w:eastAsia="Times New Roman" w:hAnsi="Arial" w:cs="Arial"/>
          <w:sz w:val="16"/>
          <w:szCs w:val="16"/>
          <w:lang w:val="es-ES" w:eastAsia="es-ES"/>
        </w:rPr>
      </w:pPr>
    </w:p>
    <w:sectPr w:rsidR="00746E08" w:rsidRPr="00217435" w:rsidSect="00015765">
      <w:headerReference w:type="default" r:id="rId12"/>
      <w:footerReference w:type="default" r:id="rId13"/>
      <w:pgSz w:w="12240" w:h="15840"/>
      <w:pgMar w:top="1928" w:right="1701" w:bottom="1361"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B6FBB" w14:textId="77777777" w:rsidR="00D00559" w:rsidRDefault="00D00559">
      <w:r>
        <w:separator/>
      </w:r>
    </w:p>
  </w:endnote>
  <w:endnote w:type="continuationSeparator" w:id="0">
    <w:p w14:paraId="43CD3074" w14:textId="77777777" w:rsidR="00D00559" w:rsidRDefault="00D00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3CB14C70" w:rsidR="00967CCD" w:rsidRDefault="00967CCD" w:rsidP="00322937">
    <w:pPr>
      <w:pStyle w:val="Sinespaciado"/>
      <w:jc w:val="right"/>
      <w:rPr>
        <w:rFonts w:ascii="Arial" w:hAnsi="Arial" w:cs="Arial"/>
        <w:sz w:val="18"/>
        <w:szCs w:val="18"/>
      </w:rPr>
    </w:pPr>
  </w:p>
  <w:p w14:paraId="7A3785F3" w14:textId="2EF28465" w:rsidR="00967CCD" w:rsidRPr="00E15059" w:rsidRDefault="00967CCD" w:rsidP="00FE42ED">
    <w:pPr>
      <w:pStyle w:val="Piedepgina"/>
      <w:jc w:val="right"/>
      <w:rPr>
        <w:rFonts w:ascii="Arial" w:hAnsi="Arial" w:cs="Arial"/>
        <w:color w:val="7F7F7F"/>
        <w:sz w:val="16"/>
        <w:szCs w:val="16"/>
      </w:rPr>
    </w:pPr>
    <w:r w:rsidRPr="00E15059">
      <w:rPr>
        <w:rFonts w:ascii="Arial" w:hAnsi="Arial" w:cs="Arial"/>
        <w:bCs/>
        <w:color w:val="7F7F7F"/>
        <w:sz w:val="16"/>
        <w:szCs w:val="16"/>
      </w:rPr>
      <w:t xml:space="preserve">Página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PAGE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w:t>
    </w:r>
    <w:r w:rsidRPr="00E15059">
      <w:rPr>
        <w:rFonts w:ascii="Arial" w:hAnsi="Arial" w:cs="Arial"/>
        <w:b/>
        <w:bCs/>
        <w:color w:val="7F7F7F"/>
        <w:sz w:val="16"/>
        <w:szCs w:val="16"/>
      </w:rPr>
      <w:fldChar w:fldCharType="end"/>
    </w:r>
    <w:r w:rsidRPr="00E15059">
      <w:rPr>
        <w:rFonts w:ascii="Arial" w:hAnsi="Arial" w:cs="Arial"/>
        <w:color w:val="7F7F7F"/>
        <w:sz w:val="16"/>
        <w:szCs w:val="16"/>
      </w:rPr>
      <w:t xml:space="preserve"> de </w:t>
    </w:r>
    <w:r w:rsidRPr="00E15059">
      <w:rPr>
        <w:rFonts w:ascii="Arial" w:hAnsi="Arial" w:cs="Arial"/>
        <w:b/>
        <w:bCs/>
        <w:color w:val="7F7F7F"/>
        <w:sz w:val="16"/>
        <w:szCs w:val="16"/>
      </w:rPr>
      <w:fldChar w:fldCharType="begin"/>
    </w:r>
    <w:r w:rsidRPr="00E15059">
      <w:rPr>
        <w:rFonts w:ascii="Arial" w:hAnsi="Arial" w:cs="Arial"/>
        <w:b/>
        <w:bCs/>
        <w:color w:val="7F7F7F"/>
        <w:sz w:val="16"/>
        <w:szCs w:val="16"/>
      </w:rPr>
      <w:instrText>NUMPAGES  \* Arabic  \* MERGEFORMAT</w:instrText>
    </w:r>
    <w:r w:rsidRPr="00E15059">
      <w:rPr>
        <w:rFonts w:ascii="Arial" w:hAnsi="Arial" w:cs="Arial"/>
        <w:b/>
        <w:bCs/>
        <w:color w:val="7F7F7F"/>
        <w:sz w:val="16"/>
        <w:szCs w:val="16"/>
      </w:rPr>
      <w:fldChar w:fldCharType="separate"/>
    </w:r>
    <w:r w:rsidRPr="00E15059">
      <w:rPr>
        <w:rFonts w:ascii="Arial" w:hAnsi="Arial" w:cs="Arial"/>
        <w:b/>
        <w:bCs/>
        <w:noProof/>
        <w:color w:val="7F7F7F"/>
        <w:sz w:val="16"/>
        <w:szCs w:val="16"/>
      </w:rPr>
      <w:t>14</w:t>
    </w:r>
    <w:r w:rsidRPr="00E15059">
      <w:rPr>
        <w:rFonts w:ascii="Arial" w:hAnsi="Arial" w:cs="Arial"/>
        <w:b/>
        <w:bCs/>
        <w:color w:val="7F7F7F"/>
        <w:sz w:val="16"/>
        <w:szCs w:val="16"/>
      </w:rPr>
      <w:fldChar w:fldCharType="end"/>
    </w:r>
  </w:p>
  <w:p w14:paraId="48FC6A04" w14:textId="5FD1A7C9" w:rsidR="00967CCD" w:rsidRDefault="00967CCD" w:rsidP="00322937">
    <w:pPr>
      <w:pStyle w:val="Piedepgina"/>
      <w:jc w:val="center"/>
      <w:rPr>
        <w:lang w:val="es-ES"/>
      </w:rPr>
    </w:pPr>
    <w:r>
      <w:rPr>
        <w:noProof/>
      </w:rPr>
      <w:drawing>
        <wp:inline distT="0" distB="0" distL="0" distR="0" wp14:anchorId="608B196D" wp14:editId="36684BA2">
          <wp:extent cx="3700130" cy="519139"/>
          <wp:effectExtent l="0" t="0" r="0" b="0"/>
          <wp:docPr id="193116634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6C0EFC49" w14:textId="77777777" w:rsidR="00967CCD" w:rsidRPr="007B0854" w:rsidRDefault="00967CCD" w:rsidP="007B0854">
    <w:pPr>
      <w:pStyle w:val="Piedepgina"/>
      <w:jc w:val="center"/>
      <w:rPr>
        <w:lang w:val="es-ES"/>
      </w:rPr>
    </w:pPr>
  </w:p>
  <w:p w14:paraId="7DC37BF5" w14:textId="77777777" w:rsidR="00967CCD" w:rsidRDefault="00967C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4F47B" w14:textId="77777777" w:rsidR="00D00559" w:rsidRDefault="00D00559">
      <w:r>
        <w:separator/>
      </w:r>
    </w:p>
  </w:footnote>
  <w:footnote w:type="continuationSeparator" w:id="0">
    <w:p w14:paraId="709FCBE7" w14:textId="77777777" w:rsidR="00D00559" w:rsidRDefault="00D00559">
      <w:r>
        <w:continuationSeparator/>
      </w:r>
    </w:p>
  </w:footnote>
  <w:footnote w:id="1">
    <w:p w14:paraId="62AE8DA7" w14:textId="77777777" w:rsidR="00967CCD" w:rsidRPr="003F5097" w:rsidRDefault="00967CCD" w:rsidP="00650F5F">
      <w:pPr>
        <w:pStyle w:val="Textonotapie"/>
        <w:ind w:firstLine="709"/>
        <w:jc w:val="both"/>
        <w:rPr>
          <w:rFonts w:ascii="Arial" w:hAnsi="Arial" w:cs="Arial"/>
          <w:sz w:val="19"/>
          <w:szCs w:val="19"/>
          <w:lang w:val="es-CO"/>
        </w:rPr>
      </w:pPr>
      <w:r w:rsidRPr="003F5097">
        <w:rPr>
          <w:rStyle w:val="Refdenotaalpie"/>
          <w:rFonts w:ascii="Arial" w:hAnsi="Arial" w:cs="Arial"/>
          <w:sz w:val="19"/>
          <w:szCs w:val="19"/>
        </w:rPr>
        <w:footnoteRef/>
      </w:r>
      <w:r w:rsidRPr="003F5097">
        <w:rPr>
          <w:rFonts w:ascii="Arial" w:hAnsi="Arial" w:cs="Arial"/>
          <w:sz w:val="19"/>
          <w:szCs w:val="19"/>
        </w:rPr>
        <w:t xml:space="preserve"> Ley 80 de 1993: «Artículo 32. De los contratos estatales.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2">
    <w:p w14:paraId="5D7D2D49"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80 de 1993, artículo 2°.</w:t>
      </w:r>
    </w:p>
    <w:p w14:paraId="263F3FC2" w14:textId="77777777" w:rsidR="00967CCD" w:rsidRPr="003F5097" w:rsidRDefault="00967CCD" w:rsidP="00650F5F">
      <w:pPr>
        <w:pStyle w:val="Textonotapie"/>
        <w:ind w:firstLine="709"/>
        <w:jc w:val="both"/>
        <w:rPr>
          <w:rFonts w:ascii="Arial" w:hAnsi="Arial" w:cs="Arial"/>
          <w:sz w:val="19"/>
          <w:szCs w:val="19"/>
        </w:rPr>
      </w:pPr>
    </w:p>
  </w:footnote>
  <w:footnote w:id="3">
    <w:p w14:paraId="637DC114"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Constitución Política: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w:t>
      </w:r>
    </w:p>
    <w:p w14:paraId="6A6500AB" w14:textId="77777777" w:rsidR="00967CCD" w:rsidRPr="003F5097" w:rsidRDefault="00967CCD" w:rsidP="00650F5F">
      <w:pPr>
        <w:pStyle w:val="Textonotapie"/>
        <w:ind w:firstLine="709"/>
        <w:jc w:val="both"/>
        <w:rPr>
          <w:rFonts w:ascii="Arial" w:hAnsi="Arial" w:cs="Arial"/>
          <w:sz w:val="19"/>
          <w:szCs w:val="19"/>
          <w:lang w:val="es-CO"/>
        </w:rPr>
      </w:pPr>
    </w:p>
  </w:footnote>
  <w:footnote w:id="4">
    <w:p w14:paraId="3FD7893F"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80 de 1993: «Artículo 23. De los principios en las actuaciones contractuales de las entidades estatales.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4AB909A8" w14:textId="77777777" w:rsidR="00967CCD" w:rsidRPr="003F5097" w:rsidRDefault="00967CCD" w:rsidP="00650F5F">
      <w:pPr>
        <w:pStyle w:val="Textonotapie"/>
        <w:ind w:firstLine="709"/>
        <w:jc w:val="both"/>
        <w:rPr>
          <w:rFonts w:ascii="Arial" w:hAnsi="Arial" w:cs="Arial"/>
          <w:sz w:val="19"/>
          <w:szCs w:val="19"/>
          <w:lang w:val="es-CO"/>
        </w:rPr>
      </w:pPr>
    </w:p>
  </w:footnote>
  <w:footnote w:id="5">
    <w:p w14:paraId="37B44EB8"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1150 de 2007: «Artículo 1°. Objeto. La presente ley tiene por objeto introducir modificaciones en la Ley 80 de 1993, así como dictar otras disposiciones generales aplicables a toda contratación con recursos públicos».</w:t>
      </w:r>
    </w:p>
    <w:p w14:paraId="1B3CB6C6" w14:textId="77777777" w:rsidR="00967CCD" w:rsidRPr="003F5097" w:rsidRDefault="00967CCD" w:rsidP="00650F5F">
      <w:pPr>
        <w:pStyle w:val="Textonotapie"/>
        <w:ind w:firstLine="709"/>
        <w:jc w:val="both"/>
        <w:rPr>
          <w:rFonts w:ascii="Arial" w:hAnsi="Arial" w:cs="Arial"/>
          <w:sz w:val="19"/>
          <w:szCs w:val="19"/>
          <w:lang w:val="es-CO"/>
        </w:rPr>
      </w:pPr>
    </w:p>
  </w:footnote>
  <w:footnote w:id="6">
    <w:p w14:paraId="033C79D0"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1150 de 2007: «Artículo 3. De conformidad con lo dispuesto en la Ley 527 de 1999, la sustanciación de las actuaciones, la expedición de los actos administrativos, los documentos, contratos y en general los actos derivados de la actividad precontractual y contractual, podrán tener lugar por medios electrónicos. Para el trámite, notificación y publicación de tales actos, podrán utilizarse soportes, medios y aplicaciones electrónicas. Los mecanismos e instrumentos por medio de los cuales las entidades cumplirán con las obligaciones de publicidad del proceso contractual serán señalados por el Gobierno Nacional.</w:t>
      </w:r>
    </w:p>
    <w:p w14:paraId="4219D6A9" w14:textId="77777777" w:rsidR="00967CCD" w:rsidRPr="003F5097" w:rsidRDefault="00967CCD" w:rsidP="00650F5F">
      <w:pPr>
        <w:pStyle w:val="Textonotapie"/>
        <w:ind w:firstLine="709"/>
        <w:jc w:val="both"/>
        <w:rPr>
          <w:rFonts w:ascii="Arial" w:hAnsi="Arial" w:cs="Arial"/>
          <w:sz w:val="19"/>
          <w:szCs w:val="19"/>
        </w:rPr>
      </w:pPr>
    </w:p>
    <w:p w14:paraId="744CF0C7"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Lo anterior, sin perjuicio de las publicaciones previstas en el numeral 3 del artículo 30 de la Ley 80 de 1993.</w:t>
      </w:r>
    </w:p>
    <w:p w14:paraId="46BDFBE7" w14:textId="77777777" w:rsidR="00967CCD" w:rsidRPr="003F5097" w:rsidRDefault="00967CCD" w:rsidP="00650F5F">
      <w:pPr>
        <w:pStyle w:val="Textonotapie"/>
        <w:ind w:firstLine="709"/>
        <w:jc w:val="both"/>
        <w:rPr>
          <w:rFonts w:ascii="Arial" w:hAnsi="Arial" w:cs="Arial"/>
          <w:sz w:val="19"/>
          <w:szCs w:val="19"/>
        </w:rPr>
      </w:pPr>
    </w:p>
    <w:p w14:paraId="01759F45"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Con el fin de materializar los objetivos a que se refiere el inciso anterior, el Gobierno Nacional desarrollará el Sistema Electrónico para la Contratación Pública, Secop, el cual: </w:t>
      </w:r>
    </w:p>
    <w:p w14:paraId="186BBF15"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w:t>
      </w:r>
    </w:p>
    <w:p w14:paraId="788E5820" w14:textId="77777777" w:rsidR="00967CCD" w:rsidRPr="003F5097" w:rsidRDefault="00967CCD" w:rsidP="00650F5F">
      <w:pPr>
        <w:pStyle w:val="Textonotapie"/>
        <w:ind w:firstLine="709"/>
        <w:jc w:val="both"/>
        <w:rPr>
          <w:rFonts w:ascii="Arial" w:hAnsi="Arial" w:cs="Arial"/>
          <w:sz w:val="19"/>
          <w:szCs w:val="19"/>
        </w:rPr>
      </w:pPr>
    </w:p>
    <w:p w14:paraId="07D7C49E"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c) Contará con la información oficial de la contratación realizada con dineros públicos, para lo cual establecerá los patrones a que haya lugar y se encargará de su difusión a través de canales electrónico».</w:t>
      </w:r>
    </w:p>
    <w:p w14:paraId="7B9E9C5D" w14:textId="77777777" w:rsidR="00967CCD" w:rsidRPr="003F5097" w:rsidRDefault="00967CCD" w:rsidP="00650F5F">
      <w:pPr>
        <w:pStyle w:val="Textonotapie"/>
        <w:ind w:firstLine="709"/>
        <w:jc w:val="both"/>
        <w:rPr>
          <w:rFonts w:ascii="Arial" w:hAnsi="Arial" w:cs="Arial"/>
          <w:sz w:val="19"/>
          <w:szCs w:val="19"/>
          <w:lang w:val="es-CO"/>
        </w:rPr>
      </w:pPr>
    </w:p>
  </w:footnote>
  <w:footnote w:id="7">
    <w:p w14:paraId="0EE19A1E"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Agencia Nacional de Contratación Pública – Colombia Compra Eficiente, concepto con radicado N° 2201913000008174 del 31 de octubre de 2019.</w:t>
      </w:r>
    </w:p>
  </w:footnote>
  <w:footnote w:id="8">
    <w:p w14:paraId="7FE22DF6"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footnoteRef/>
      </w:r>
      <w:r w:rsidRPr="003F5097">
        <w:rPr>
          <w:rFonts w:ascii="Arial" w:hAnsi="Arial" w:cs="Arial"/>
          <w:sz w:val="19"/>
          <w:szCs w:val="19"/>
        </w:rPr>
        <w:t xml:space="preserve"> De acuerdo con el artículo 5º de la Ley 1712 de 2014 y la Sentencia de la Corte Constitucional C – 274 de 2013, son sujetos obligados las personas naturales o jurídicas, de derecho privado o públicas determinadas en el artículo 5° de la citada Ley sobre los cuales recae la obligación de brindar la información solicitada por las personas y a su vez, la obligación de publicar proactivamente su información en sitios como la web de cada uno de los sujetos obligados.</w:t>
      </w:r>
    </w:p>
  </w:footnote>
  <w:footnote w:id="9">
    <w:p w14:paraId="230A37FF"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1712 de 2014: «Artículo 2°. Principio de máxima publicidad para titular universal. Toda información en posesión, bajo control o custodia de un sujeto obligado es pública y no podrá ser reservada o limitada sino por disposición constitucional o legal, de conformidad con la presente ley».</w:t>
      </w:r>
    </w:p>
    <w:p w14:paraId="5A12EE67" w14:textId="77777777" w:rsidR="00967CCD" w:rsidRPr="003F5097" w:rsidRDefault="00967CCD" w:rsidP="00650F5F">
      <w:pPr>
        <w:pStyle w:val="Textonotapie"/>
        <w:ind w:firstLine="709"/>
        <w:jc w:val="both"/>
        <w:rPr>
          <w:rFonts w:ascii="Arial" w:hAnsi="Arial" w:cs="Arial"/>
          <w:sz w:val="19"/>
          <w:szCs w:val="19"/>
          <w:lang w:val="es-CO"/>
        </w:rPr>
      </w:pPr>
    </w:p>
  </w:footnote>
  <w:footnote w:id="10">
    <w:p w14:paraId="2350CB2C"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1712 de 2014: «Artículo 3°. Otros principios de la transparencia y el acceso a la información pública. En la interpretación del derecho de acceso a la información se deberá adoptar un criterio de razonabilidad y proporcionalidad, así como aplicar los siguientes principios:</w:t>
      </w:r>
    </w:p>
    <w:p w14:paraId="6D8F2415" w14:textId="77777777" w:rsidR="00967CCD" w:rsidRPr="003F5097" w:rsidRDefault="00967CCD" w:rsidP="00650F5F">
      <w:pPr>
        <w:pStyle w:val="Textonotapie"/>
        <w:ind w:firstLine="709"/>
        <w:jc w:val="both"/>
        <w:rPr>
          <w:rFonts w:ascii="Arial" w:hAnsi="Arial" w:cs="Arial"/>
          <w:sz w:val="19"/>
          <w:szCs w:val="19"/>
        </w:rPr>
      </w:pPr>
    </w:p>
    <w:p w14:paraId="27683650" w14:textId="77777777" w:rsidR="00967CCD" w:rsidRPr="003F5097" w:rsidRDefault="00967CCD" w:rsidP="00650F5F">
      <w:pPr>
        <w:pStyle w:val="Textonotapie"/>
        <w:ind w:firstLine="709"/>
        <w:jc w:val="both"/>
        <w:rPr>
          <w:rFonts w:ascii="Arial" w:hAnsi="Arial" w:cs="Arial"/>
          <w:sz w:val="19"/>
          <w:szCs w:val="19"/>
        </w:rPr>
      </w:pPr>
      <w:r>
        <w:rPr>
          <w:rFonts w:ascii="Arial" w:hAnsi="Arial" w:cs="Arial"/>
          <w:sz w:val="19"/>
          <w:szCs w:val="19"/>
        </w:rPr>
        <w:t>»</w:t>
      </w:r>
      <w:r w:rsidRPr="003F5097">
        <w:rPr>
          <w:rFonts w:ascii="Arial" w:hAnsi="Arial" w:cs="Arial"/>
          <w:sz w:val="19"/>
          <w:szCs w:val="19"/>
        </w:rPr>
        <w:t>Principio de transparencia. Principio conforme al cual toda la información en poder de los sujetos obligados definidos en esta ley se presume pública, en consecuencia de lo cual dichos sujetos están en el deber de proporcionar y facilitar el acceso a la misma en los términos más amplios posibles y a través de los medios y procedimientos que al efecto establezca la ley, excluyendo solo aquello que esté sujeto a las excepciones constitucionales y legales y bajo el cumplimiento de los requisitos establecidos en esta ley.</w:t>
      </w:r>
    </w:p>
    <w:p w14:paraId="63F85821" w14:textId="77777777" w:rsidR="00967CCD" w:rsidRPr="003F5097" w:rsidRDefault="00967CCD" w:rsidP="00650F5F">
      <w:pPr>
        <w:pStyle w:val="Textonotapie"/>
        <w:ind w:firstLine="709"/>
        <w:jc w:val="both"/>
        <w:rPr>
          <w:rFonts w:ascii="Arial" w:hAnsi="Arial" w:cs="Arial"/>
          <w:sz w:val="19"/>
          <w:szCs w:val="19"/>
        </w:rPr>
      </w:pPr>
      <w:r>
        <w:rPr>
          <w:rFonts w:ascii="Arial" w:hAnsi="Arial" w:cs="Arial"/>
          <w:sz w:val="19"/>
          <w:szCs w:val="19"/>
        </w:rPr>
        <w:t>»</w:t>
      </w:r>
      <w:r w:rsidRPr="003F5097">
        <w:rPr>
          <w:rFonts w:ascii="Arial" w:hAnsi="Arial" w:cs="Arial"/>
          <w:sz w:val="19"/>
          <w:szCs w:val="19"/>
        </w:rPr>
        <w:t>[…]</w:t>
      </w:r>
    </w:p>
    <w:p w14:paraId="4959C540" w14:textId="77777777" w:rsidR="00967CCD" w:rsidRPr="003F5097" w:rsidRDefault="00967CCD" w:rsidP="00650F5F">
      <w:pPr>
        <w:pStyle w:val="Textonotapie"/>
        <w:ind w:firstLine="709"/>
        <w:jc w:val="both"/>
        <w:rPr>
          <w:rFonts w:ascii="Arial" w:hAnsi="Arial" w:cs="Arial"/>
          <w:sz w:val="19"/>
          <w:szCs w:val="19"/>
        </w:rPr>
      </w:pPr>
    </w:p>
    <w:p w14:paraId="13F10B3C" w14:textId="77777777" w:rsidR="00967CCD" w:rsidRPr="003F5097" w:rsidRDefault="00967CCD" w:rsidP="00650F5F">
      <w:pPr>
        <w:pStyle w:val="Textonotapie"/>
        <w:ind w:firstLine="709"/>
        <w:jc w:val="both"/>
        <w:rPr>
          <w:rFonts w:ascii="Arial" w:hAnsi="Arial" w:cs="Arial"/>
          <w:sz w:val="19"/>
          <w:szCs w:val="19"/>
        </w:rPr>
      </w:pPr>
      <w:r>
        <w:rPr>
          <w:rFonts w:ascii="Arial" w:hAnsi="Arial" w:cs="Arial"/>
          <w:sz w:val="19"/>
          <w:szCs w:val="19"/>
        </w:rPr>
        <w:t>»</w:t>
      </w:r>
      <w:r w:rsidRPr="003F5097">
        <w:rPr>
          <w:rFonts w:ascii="Arial" w:hAnsi="Arial" w:cs="Arial"/>
          <w:sz w:val="19"/>
          <w:szCs w:val="19"/>
        </w:rPr>
        <w:t>Principio de la divulgación proactiva de la información. El derecho de acceso a la información no radica únicamente en la obligación de dar respuesta a las peticiones de la sociedad, sino también en el deber de los sujetos obligados de promover y generar una cultura de transparencia, lo que conlleva la obligación de publicar y divulgar documentos y archivos que plasman la actividad estatal y de interés público, de forma rutinaria y proactiva, actualizada, accesible y comprensible, atendiendo a límites razonables del talento humano y recursos físicos y financieros».</w:t>
      </w:r>
    </w:p>
    <w:p w14:paraId="2148AE40" w14:textId="77777777" w:rsidR="00967CCD" w:rsidRPr="003F5097" w:rsidRDefault="00967CCD" w:rsidP="00650F5F">
      <w:pPr>
        <w:pStyle w:val="Textonotapie"/>
        <w:ind w:firstLine="709"/>
        <w:jc w:val="both"/>
        <w:rPr>
          <w:rFonts w:ascii="Arial" w:hAnsi="Arial" w:cs="Arial"/>
          <w:sz w:val="19"/>
          <w:szCs w:val="19"/>
          <w:lang w:val="es-CO"/>
        </w:rPr>
      </w:pPr>
    </w:p>
  </w:footnote>
  <w:footnote w:id="11">
    <w:p w14:paraId="7C51A297"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1712 de 2014: «Artículo 9. Información mínima obligatoria respecto del sujeto obligado. Todo sujeto obligado deberá publicar la siguiente información mínima obligatoria de manera proactiva en los sistemas de información del Estado o herramientas que lo sustituyan:</w:t>
      </w:r>
    </w:p>
    <w:p w14:paraId="62D776C9"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w:t>
      </w:r>
    </w:p>
    <w:p w14:paraId="7EF4E7A4" w14:textId="77777777" w:rsidR="00967CCD" w:rsidRPr="003F5097" w:rsidRDefault="00967CCD" w:rsidP="00650F5F">
      <w:pPr>
        <w:pStyle w:val="Textonotapie"/>
        <w:ind w:firstLine="709"/>
        <w:jc w:val="both"/>
        <w:rPr>
          <w:rFonts w:ascii="Arial" w:hAnsi="Arial" w:cs="Arial"/>
          <w:sz w:val="19"/>
          <w:szCs w:val="19"/>
        </w:rPr>
      </w:pPr>
    </w:p>
    <w:p w14:paraId="14676AA1"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e) Su respectivo plan de compras anual, así como las contrataciones adjudicadas para la correspondiente vigencia en lo relacionado con funcionamiento e inversión, las obras públicas, los bienes adquiridos, arrendados y en caso de los servicios de estudios o investigaciones deberá señalarse el tema específico, de conformidad con el artículo 74 de la Ley 1474 de 2011. En el caso de las personas naturales con contratos de prestación de servicios, deberá publicarse el objeto del contrato, monto de los honorarios y direcciones de correo electrónico, de conformidad con el formato de información de servidores públicos y contratistas».</w:t>
      </w:r>
    </w:p>
    <w:p w14:paraId="5E725344" w14:textId="77777777" w:rsidR="00967CCD" w:rsidRPr="003F5097" w:rsidRDefault="00967CCD" w:rsidP="00650F5F">
      <w:pPr>
        <w:pStyle w:val="Textonotapie"/>
        <w:ind w:firstLine="709"/>
        <w:jc w:val="both"/>
        <w:rPr>
          <w:rFonts w:ascii="Arial" w:hAnsi="Arial" w:cs="Arial"/>
          <w:sz w:val="19"/>
          <w:szCs w:val="19"/>
          <w:lang w:val="es-CO"/>
        </w:rPr>
      </w:pPr>
    </w:p>
  </w:footnote>
  <w:footnote w:id="12">
    <w:p w14:paraId="62F13B0E" w14:textId="77777777" w:rsidR="00967CCD" w:rsidRPr="003F5097" w:rsidRDefault="00967CCD" w:rsidP="00650F5F">
      <w:pPr>
        <w:pStyle w:val="Textonotapie"/>
        <w:ind w:firstLine="709"/>
        <w:jc w:val="both"/>
        <w:rPr>
          <w:rFonts w:ascii="Arial" w:hAnsi="Arial" w:cs="Arial"/>
          <w:sz w:val="19"/>
          <w:szCs w:val="19"/>
          <w:lang w:val="es-CO"/>
        </w:rPr>
      </w:pPr>
      <w:r w:rsidRPr="003F5097">
        <w:rPr>
          <w:rStyle w:val="Refdenotaalpie"/>
          <w:rFonts w:ascii="Arial" w:hAnsi="Arial" w:cs="Arial"/>
          <w:sz w:val="19"/>
          <w:szCs w:val="19"/>
        </w:rPr>
        <w:footnoteRef/>
      </w:r>
      <w:r w:rsidRPr="003F5097">
        <w:rPr>
          <w:rFonts w:ascii="Arial" w:hAnsi="Arial" w:cs="Arial"/>
          <w:sz w:val="19"/>
          <w:szCs w:val="19"/>
        </w:rPr>
        <w:t xml:space="preserve"> Ley 1712 de 2014: «Artículo 10. Publicidad de la contratación. En el caso de la información de contratos indicada en el artículo 9o literal e), tratándose de contrataciones sometidas al régimen de contratación estatal, cada entidad publicará en el medio electrónico institucional sus contrataciones en curso y un vínculo al sistema electrónico para la contratación pública o el que haga sus veces, a través del cual podrá accederse directamente a la información correspondiente al respectivo proceso contractual, en aquellos que se encuentren sometidas a dicho sistema, sin excepción».</w:t>
      </w:r>
    </w:p>
    <w:p w14:paraId="5B7382BE" w14:textId="77777777" w:rsidR="00967CCD" w:rsidRPr="003F5097" w:rsidRDefault="00967CCD" w:rsidP="00650F5F">
      <w:pPr>
        <w:pStyle w:val="Textonotapie"/>
        <w:ind w:firstLine="709"/>
        <w:jc w:val="both"/>
        <w:rPr>
          <w:rFonts w:ascii="Arial" w:hAnsi="Arial" w:cs="Arial"/>
          <w:sz w:val="19"/>
          <w:szCs w:val="19"/>
          <w:lang w:val="es-CO"/>
        </w:rPr>
      </w:pPr>
    </w:p>
  </w:footnote>
  <w:footnote w:id="13">
    <w:p w14:paraId="796B9A1F"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Ley 1712 de 2014: «Artículo 11. Información mínima obligatoria respecto a servicios, procedimientos y funcionamiento del sujeto obligado. Todo sujeto obligado deberá publicar la siguiente información mínima obligatoria de manera proactiva:</w:t>
      </w:r>
    </w:p>
    <w:p w14:paraId="30049511"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w:t>
      </w:r>
    </w:p>
    <w:p w14:paraId="3AD7861E" w14:textId="77777777" w:rsidR="00967CCD" w:rsidRPr="003F5097" w:rsidRDefault="00967CCD" w:rsidP="00650F5F">
      <w:pPr>
        <w:pStyle w:val="Textonotapie"/>
        <w:ind w:firstLine="709"/>
        <w:jc w:val="both"/>
        <w:rPr>
          <w:rFonts w:ascii="Arial" w:hAnsi="Arial" w:cs="Arial"/>
          <w:sz w:val="19"/>
          <w:szCs w:val="19"/>
        </w:rPr>
      </w:pPr>
    </w:p>
    <w:p w14:paraId="7940F7AC" w14:textId="77777777" w:rsidR="00967CCD" w:rsidRPr="003F5097" w:rsidRDefault="00967CCD" w:rsidP="00650F5F">
      <w:pPr>
        <w:pStyle w:val="Textonotapie"/>
        <w:ind w:firstLine="709"/>
        <w:jc w:val="both"/>
        <w:rPr>
          <w:rFonts w:ascii="Arial" w:hAnsi="Arial" w:cs="Arial"/>
          <w:sz w:val="19"/>
          <w:szCs w:val="19"/>
          <w:lang w:val="es-CO"/>
        </w:rPr>
      </w:pPr>
      <w:r w:rsidRPr="003F5097">
        <w:rPr>
          <w:rFonts w:ascii="Arial" w:hAnsi="Arial" w:cs="Arial"/>
          <w:sz w:val="19"/>
          <w:szCs w:val="19"/>
          <w:lang w:val="es-CO"/>
        </w:rPr>
        <w:t>g) Sus procedimientos, lineamientos, políticas en materia de adquisiciones y compras, así como todos los datos de adjudicación y ejecución de contratos, incluidos concursos y licitaciones</w:t>
      </w:r>
      <w:r w:rsidRPr="003F5097">
        <w:rPr>
          <w:rFonts w:ascii="Arial" w:hAnsi="Arial" w:cs="Arial"/>
          <w:sz w:val="19"/>
          <w:szCs w:val="19"/>
        </w:rPr>
        <w:t>».</w:t>
      </w:r>
    </w:p>
    <w:p w14:paraId="4C6A8C53" w14:textId="77777777" w:rsidR="00967CCD" w:rsidRPr="003F5097" w:rsidRDefault="00967CCD" w:rsidP="00650F5F">
      <w:pPr>
        <w:pStyle w:val="Textonotapie"/>
        <w:ind w:firstLine="709"/>
        <w:jc w:val="both"/>
        <w:rPr>
          <w:rFonts w:ascii="Arial" w:hAnsi="Arial" w:cs="Arial"/>
          <w:sz w:val="19"/>
          <w:szCs w:val="19"/>
          <w:lang w:val="es-CO"/>
        </w:rPr>
      </w:pPr>
    </w:p>
  </w:footnote>
  <w:footnote w:id="14">
    <w:p w14:paraId="2E963C52"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Agencia Nacional de Contratación Pública – Colombia Compra Eficiente, concepto con radicado N° 2201913000008174 del 31 de octubre de 2019.</w:t>
      </w:r>
    </w:p>
    <w:p w14:paraId="5494EC68" w14:textId="77777777" w:rsidR="00967CCD" w:rsidRPr="003F5097" w:rsidRDefault="00967CCD" w:rsidP="00650F5F">
      <w:pPr>
        <w:pStyle w:val="Textonotapie"/>
        <w:ind w:firstLine="709"/>
        <w:jc w:val="both"/>
        <w:rPr>
          <w:rFonts w:ascii="Arial" w:hAnsi="Arial" w:cs="Arial"/>
          <w:sz w:val="19"/>
          <w:szCs w:val="19"/>
          <w:lang w:val="es-CO"/>
        </w:rPr>
      </w:pPr>
    </w:p>
  </w:footnote>
  <w:footnote w:id="15">
    <w:p w14:paraId="703E2AB8"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Agencia Nacional de Contratación Pública – Colombia Compra Eficiente, concepto CU-367 del 27 de julio de 2020, radicado N° 2202013000006561.</w:t>
      </w:r>
    </w:p>
    <w:p w14:paraId="1BF9C5FD" w14:textId="77777777" w:rsidR="00967CCD" w:rsidRPr="003F5097" w:rsidRDefault="00967CCD" w:rsidP="00650F5F">
      <w:pPr>
        <w:pStyle w:val="Textonotapie"/>
        <w:ind w:firstLine="709"/>
        <w:jc w:val="both"/>
        <w:rPr>
          <w:rFonts w:ascii="Arial" w:hAnsi="Arial" w:cs="Arial"/>
          <w:sz w:val="19"/>
          <w:szCs w:val="19"/>
          <w:lang w:val="es-CO"/>
        </w:rPr>
      </w:pPr>
    </w:p>
  </w:footnote>
  <w:footnote w:id="16">
    <w:p w14:paraId="582D392D" w14:textId="77777777" w:rsidR="00967CCD" w:rsidRPr="003F5097" w:rsidRDefault="00967CCD" w:rsidP="00650F5F">
      <w:pPr>
        <w:pStyle w:val="Textonotapie"/>
        <w:ind w:firstLine="709"/>
        <w:jc w:val="both"/>
        <w:rPr>
          <w:rFonts w:ascii="Arial" w:hAnsi="Arial" w:cs="Arial"/>
          <w:sz w:val="19"/>
          <w:szCs w:val="19"/>
          <w:lang w:val="es-CO"/>
        </w:rPr>
      </w:pPr>
      <w:r w:rsidRPr="003F5097">
        <w:rPr>
          <w:rStyle w:val="Refdenotaalpie"/>
          <w:rFonts w:ascii="Arial" w:hAnsi="Arial" w:cs="Arial"/>
          <w:sz w:val="19"/>
          <w:szCs w:val="19"/>
        </w:rPr>
        <w:footnoteRef/>
      </w:r>
      <w:r w:rsidRPr="003F5097">
        <w:rPr>
          <w:rFonts w:ascii="Arial" w:hAnsi="Arial" w:cs="Arial"/>
          <w:sz w:val="19"/>
          <w:szCs w:val="19"/>
        </w:rPr>
        <w:t xml:space="preserve">   Decreto 1082 de 2015: «Artículo 2.2.1.1.1.7.1. Publicidad en el Secop. La Entidad Estatal está obligada a publicar en el Secop los Documentos del Proceso y los actos administrativos del Proceso de Contratación, dentro de los tres (3) días siguientes a su expedición. La oferta que debe ser publicada es la del adjudicatario del Proceso de Contratación. Los documentos de las operaciones que se realicen en bolsa de productos no tienen que ser publicados en el Secop. […]».</w:t>
      </w:r>
    </w:p>
    <w:p w14:paraId="59F74B03" w14:textId="77777777" w:rsidR="00967CCD" w:rsidRPr="003F5097" w:rsidRDefault="00967CCD" w:rsidP="00650F5F">
      <w:pPr>
        <w:pStyle w:val="Textonotapie"/>
        <w:ind w:firstLine="709"/>
        <w:jc w:val="both"/>
        <w:rPr>
          <w:rFonts w:ascii="Arial" w:hAnsi="Arial" w:cs="Arial"/>
          <w:sz w:val="19"/>
          <w:szCs w:val="19"/>
          <w:lang w:val="es-CO"/>
        </w:rPr>
      </w:pPr>
    </w:p>
  </w:footnote>
  <w:footnote w:id="17">
    <w:p w14:paraId="7F059FDB"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Decreto 1082 de 2015: «Artículo 2.2.1.1.2.1.1. Estudios y documentos previos. Los estudios y documentos previos son el soporte para elaborar el proyecto de pliegos, los pliegos de condiciones, y el contrato. Deben permanecer a disposición del público durante el desarrollo del Proceso de Contratación y contener los siguientes elementos, además de los indicados para cada modalidad de selección: </w:t>
      </w:r>
    </w:p>
    <w:p w14:paraId="15D298BC" w14:textId="77777777" w:rsidR="00967CCD" w:rsidRPr="003F5097" w:rsidRDefault="00967CCD" w:rsidP="00650F5F">
      <w:pPr>
        <w:pStyle w:val="Textonotapie"/>
        <w:ind w:firstLine="709"/>
        <w:jc w:val="both"/>
        <w:rPr>
          <w:rFonts w:ascii="Arial" w:hAnsi="Arial" w:cs="Arial"/>
          <w:sz w:val="19"/>
          <w:szCs w:val="19"/>
        </w:rPr>
      </w:pPr>
    </w:p>
    <w:p w14:paraId="4B3A27A8"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1. La descripción de la necesidad que la Entidad Estatal pretende satisfacer con el Proceso de Contratación. </w:t>
      </w:r>
    </w:p>
    <w:p w14:paraId="11103D30" w14:textId="77777777" w:rsidR="00967CCD" w:rsidRPr="003F5097" w:rsidRDefault="00967CCD" w:rsidP="00650F5F">
      <w:pPr>
        <w:pStyle w:val="Textonotapie"/>
        <w:ind w:firstLine="709"/>
        <w:jc w:val="both"/>
        <w:rPr>
          <w:rFonts w:ascii="Arial" w:hAnsi="Arial" w:cs="Arial"/>
          <w:sz w:val="19"/>
          <w:szCs w:val="19"/>
        </w:rPr>
      </w:pPr>
    </w:p>
    <w:p w14:paraId="37081628"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2. El objeto a contratar, con sus especificaciones, las autorizaciones, permisos y licencias requeridos para su ejecución, y cuando el contrato incluye diseño y construcción, los documentos técnicos para el desarrollo del proyecto. </w:t>
      </w:r>
    </w:p>
    <w:p w14:paraId="4C46CD74" w14:textId="77777777" w:rsidR="00967CCD" w:rsidRPr="003F5097" w:rsidRDefault="00967CCD" w:rsidP="00650F5F">
      <w:pPr>
        <w:pStyle w:val="Textonotapie"/>
        <w:ind w:firstLine="709"/>
        <w:jc w:val="both"/>
        <w:rPr>
          <w:rFonts w:ascii="Arial" w:hAnsi="Arial" w:cs="Arial"/>
          <w:sz w:val="19"/>
          <w:szCs w:val="19"/>
        </w:rPr>
      </w:pPr>
    </w:p>
    <w:p w14:paraId="5344BB93"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3. La modalidad de selección del contratista y su justificación, incluyendo los fundamentos jurídicos. </w:t>
      </w:r>
    </w:p>
    <w:p w14:paraId="0EDCC77A" w14:textId="77777777" w:rsidR="00967CCD" w:rsidRPr="003F5097" w:rsidRDefault="00967CCD" w:rsidP="00650F5F">
      <w:pPr>
        <w:pStyle w:val="Textonotapie"/>
        <w:ind w:firstLine="709"/>
        <w:jc w:val="both"/>
        <w:rPr>
          <w:rFonts w:ascii="Arial" w:hAnsi="Arial" w:cs="Arial"/>
          <w:sz w:val="19"/>
          <w:szCs w:val="19"/>
        </w:rPr>
      </w:pPr>
    </w:p>
    <w:p w14:paraId="46DD5B54"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4. El valor estimado del contrato y la justificación del mismo. Cuando el valor del contrato esté determinado por precios unitarios, la Entidad Estatal debe incluir la forma como los calculó y soportar sus cálculos de presupuesto en la estimación de aquellos. La Entidad Estatal no debe publicar las variables utilizadas para calcular el valor estimado del contrato cuando la modalidad de selección del contratista sea en concurso de méritos. Si el contrato es de concesión, la Entidad Estatal no debe publicar el modelo financiero utilizado en su estructuración. </w:t>
      </w:r>
    </w:p>
    <w:p w14:paraId="35056E59" w14:textId="77777777" w:rsidR="00967CCD" w:rsidRPr="003F5097" w:rsidRDefault="00967CCD" w:rsidP="00650F5F">
      <w:pPr>
        <w:pStyle w:val="Textonotapie"/>
        <w:ind w:firstLine="709"/>
        <w:jc w:val="both"/>
        <w:rPr>
          <w:rFonts w:ascii="Arial" w:hAnsi="Arial" w:cs="Arial"/>
          <w:sz w:val="19"/>
          <w:szCs w:val="19"/>
        </w:rPr>
      </w:pPr>
    </w:p>
    <w:p w14:paraId="2C671517"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5. Los criterios para seleccionar la oferta más favorable. </w:t>
      </w:r>
    </w:p>
    <w:p w14:paraId="09A0D525" w14:textId="77777777" w:rsidR="00967CCD" w:rsidRPr="003F5097" w:rsidRDefault="00967CCD" w:rsidP="00650F5F">
      <w:pPr>
        <w:pStyle w:val="Textonotapie"/>
        <w:ind w:firstLine="709"/>
        <w:jc w:val="both"/>
        <w:rPr>
          <w:rFonts w:ascii="Arial" w:hAnsi="Arial" w:cs="Arial"/>
          <w:sz w:val="19"/>
          <w:szCs w:val="19"/>
        </w:rPr>
      </w:pPr>
    </w:p>
    <w:p w14:paraId="7A1DB259"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6. El análisis de Riesgo y la forma de mitigarlo.</w:t>
      </w:r>
    </w:p>
    <w:p w14:paraId="604FEC3A"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  </w:t>
      </w:r>
    </w:p>
    <w:p w14:paraId="75265C7C"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 xml:space="preserve">7. Las garantías que la Entidad Estatal contempla exigir en el Proceso de Contratación. </w:t>
      </w:r>
    </w:p>
    <w:p w14:paraId="5BB70512" w14:textId="77777777" w:rsidR="00967CCD" w:rsidRPr="003F5097" w:rsidRDefault="00967CCD" w:rsidP="00650F5F">
      <w:pPr>
        <w:pStyle w:val="Textonotapie"/>
        <w:ind w:firstLine="709"/>
        <w:jc w:val="both"/>
        <w:rPr>
          <w:rFonts w:ascii="Arial" w:hAnsi="Arial" w:cs="Arial"/>
          <w:sz w:val="19"/>
          <w:szCs w:val="19"/>
        </w:rPr>
      </w:pPr>
    </w:p>
    <w:p w14:paraId="174A5F7B"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8. La indicación de si el Proceso de Contratación está cobijado por un Acuerdo Comercial».</w:t>
      </w:r>
    </w:p>
    <w:p w14:paraId="1B3DA04B" w14:textId="77777777" w:rsidR="00967CCD" w:rsidRPr="003F5097" w:rsidRDefault="00967CCD" w:rsidP="00650F5F">
      <w:pPr>
        <w:pStyle w:val="Textonotapie"/>
        <w:ind w:firstLine="709"/>
        <w:jc w:val="both"/>
        <w:rPr>
          <w:rFonts w:ascii="Arial" w:hAnsi="Arial" w:cs="Arial"/>
          <w:sz w:val="19"/>
          <w:szCs w:val="19"/>
          <w:lang w:val="es-CO"/>
        </w:rPr>
      </w:pPr>
    </w:p>
  </w:footnote>
  <w:footnote w:id="18">
    <w:p w14:paraId="52399F8E" w14:textId="0C22F58A" w:rsidR="00FE64CB" w:rsidRPr="00C763CF" w:rsidRDefault="00FE64CB">
      <w:pPr>
        <w:pStyle w:val="Textonotapie"/>
        <w:rPr>
          <w:lang w:val="es-CO"/>
        </w:rPr>
      </w:pPr>
      <w:r>
        <w:rPr>
          <w:rStyle w:val="Refdenotaalpie"/>
        </w:rPr>
        <w:footnoteRef/>
      </w:r>
      <w:r>
        <w:t xml:space="preserve"> </w:t>
      </w:r>
      <w:r w:rsidRPr="00FE64CB">
        <w:t>Corte Suprema de Justicia, Sala de Casación Civil, sentencia del 20 de mayo de 2003, ref. expediente No. 6585. M.P.: Jorge Antonio Castillo Rúgeles.</w:t>
      </w:r>
    </w:p>
  </w:footnote>
  <w:footnote w:id="19">
    <w:p w14:paraId="263B0FF9" w14:textId="77777777" w:rsidR="00967CCD" w:rsidRPr="003F5097" w:rsidRDefault="00967CCD" w:rsidP="00650F5F">
      <w:pPr>
        <w:pStyle w:val="Textonotapie"/>
        <w:ind w:firstLine="709"/>
        <w:jc w:val="both"/>
        <w:rPr>
          <w:rFonts w:ascii="Arial" w:hAnsi="Arial" w:cs="Arial"/>
          <w:sz w:val="19"/>
          <w:szCs w:val="19"/>
        </w:rPr>
      </w:pPr>
      <w:r w:rsidRPr="003F5097">
        <w:rPr>
          <w:rStyle w:val="Refdenotaalpie"/>
          <w:rFonts w:ascii="Arial" w:hAnsi="Arial" w:cs="Arial"/>
          <w:sz w:val="19"/>
          <w:szCs w:val="19"/>
        </w:rPr>
        <w:footnoteRef/>
      </w:r>
      <w:r w:rsidRPr="003F5097">
        <w:rPr>
          <w:rFonts w:ascii="Arial" w:hAnsi="Arial" w:cs="Arial"/>
          <w:sz w:val="19"/>
          <w:szCs w:val="19"/>
        </w:rPr>
        <w:t xml:space="preserve"> Decreto 1082 de 2015: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42E09C2C" w14:textId="77777777" w:rsidR="00967CCD" w:rsidRPr="003F5097" w:rsidRDefault="00967CCD" w:rsidP="00650F5F">
      <w:pPr>
        <w:pStyle w:val="Textonotapie"/>
        <w:ind w:firstLine="709"/>
        <w:jc w:val="both"/>
        <w:rPr>
          <w:rFonts w:ascii="Arial" w:hAnsi="Arial" w:cs="Arial"/>
          <w:sz w:val="19"/>
          <w:szCs w:val="19"/>
        </w:rPr>
      </w:pPr>
      <w:r w:rsidRPr="003F5097">
        <w:rPr>
          <w:rFonts w:ascii="Arial" w:hAnsi="Arial" w:cs="Arial"/>
          <w:sz w:val="19"/>
          <w:szCs w:val="19"/>
        </w:rPr>
        <w:t>[…]</w:t>
      </w:r>
    </w:p>
    <w:p w14:paraId="3DD42039" w14:textId="77777777" w:rsidR="00967CCD" w:rsidRPr="003F5097" w:rsidRDefault="00967CCD" w:rsidP="00650F5F">
      <w:pPr>
        <w:pStyle w:val="Textonotapie"/>
        <w:ind w:firstLine="709"/>
        <w:jc w:val="both"/>
        <w:rPr>
          <w:rFonts w:ascii="Arial" w:hAnsi="Arial" w:cs="Arial"/>
          <w:sz w:val="19"/>
          <w:szCs w:val="19"/>
        </w:rPr>
      </w:pPr>
    </w:p>
    <w:p w14:paraId="0DE4F530" w14:textId="77777777" w:rsidR="00967CCD" w:rsidRPr="003F5097" w:rsidRDefault="00967CCD" w:rsidP="00650F5F">
      <w:pPr>
        <w:pStyle w:val="Textonotapie"/>
        <w:ind w:firstLine="709"/>
        <w:jc w:val="both"/>
        <w:rPr>
          <w:rFonts w:ascii="Arial" w:hAnsi="Arial" w:cs="Arial"/>
          <w:sz w:val="19"/>
          <w:szCs w:val="19"/>
          <w:lang w:val="es-CO"/>
        </w:rPr>
      </w:pPr>
      <w:r w:rsidRPr="003F5097">
        <w:rPr>
          <w:rFonts w:ascii="Arial" w:hAnsi="Arial" w:cs="Arial"/>
          <w:sz w:val="19"/>
          <w:szCs w:val="19"/>
          <w:lang w:val="es-CO"/>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r w:rsidRPr="003F5097">
        <w:rPr>
          <w:rFonts w:ascii="Arial" w:hAnsi="Arial" w:cs="Arial"/>
          <w:sz w:val="19"/>
          <w:szCs w:val="19"/>
        </w:rPr>
        <w:t>»</w:t>
      </w:r>
      <w:r w:rsidRPr="003F5097">
        <w:rPr>
          <w:rFonts w:ascii="Arial" w:hAnsi="Arial" w:cs="Arial"/>
          <w:sz w:val="19"/>
          <w:szCs w:val="19"/>
          <w:lang w:val="es-C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3CC6E" w14:textId="58072B78" w:rsidR="00967CCD" w:rsidRDefault="00967CCD" w:rsidP="006F4334">
    <w:pPr>
      <w:pStyle w:val="Encabezado"/>
    </w:pPr>
  </w:p>
  <w:p w14:paraId="7920378B" w14:textId="261B733C" w:rsidR="00967CCD" w:rsidRDefault="00967CCD">
    <w:pPr>
      <w:pStyle w:val="Encabezado"/>
    </w:pPr>
    <w:r>
      <w:rPr>
        <w:noProof/>
        <w:lang w:val="en-US"/>
      </w:rPr>
      <w:drawing>
        <wp:anchor distT="0" distB="0" distL="114300" distR="114300" simplePos="0" relativeHeight="251659264" behindDoc="1" locked="0" layoutInCell="1" allowOverlap="1" wp14:anchorId="6DB678D7" wp14:editId="345A07E1">
          <wp:simplePos x="0" y="0"/>
          <wp:positionH relativeFrom="column">
            <wp:posOffset>4382135</wp:posOffset>
          </wp:positionH>
          <wp:positionV relativeFrom="paragraph">
            <wp:posOffset>217805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DC73F5C"/>
    <w:multiLevelType w:val="multilevel"/>
    <w:tmpl w:val="AA5C0016"/>
    <w:lvl w:ilvl="0">
      <w:start w:val="1"/>
      <w:numFmt w:val="decimal"/>
      <w:lvlText w:val="%1."/>
      <w:lvlJc w:val="left"/>
      <w:pPr>
        <w:ind w:left="36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61FCE"/>
    <w:multiLevelType w:val="hybridMultilevel"/>
    <w:tmpl w:val="B9265A48"/>
    <w:lvl w:ilvl="0" w:tplc="AD5882F0">
      <w:start w:val="1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4704319"/>
    <w:multiLevelType w:val="hybridMultilevel"/>
    <w:tmpl w:val="5CF46284"/>
    <w:lvl w:ilvl="0" w:tplc="58981ED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063A23"/>
    <w:multiLevelType w:val="hybridMultilevel"/>
    <w:tmpl w:val="EEE66F06"/>
    <w:lvl w:ilvl="0" w:tplc="76A89634">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0FD58EC"/>
    <w:multiLevelType w:val="multilevel"/>
    <w:tmpl w:val="51A22B1A"/>
    <w:lvl w:ilvl="0">
      <w:start w:val="1"/>
      <w:numFmt w:val="decimal"/>
      <w:lvlText w:val="%1."/>
      <w:lvlJc w:val="left"/>
      <w:pPr>
        <w:ind w:left="543" w:hanging="243"/>
      </w:pPr>
      <w:rPr>
        <w:rFonts w:ascii="Arial" w:eastAsia="Arial" w:hAnsi="Arial" w:cs="Arial" w:hint="default"/>
        <w:b/>
        <w:bCs/>
        <w:spacing w:val="-1"/>
        <w:w w:val="100"/>
        <w:sz w:val="22"/>
        <w:szCs w:val="22"/>
        <w:lang w:val="es-ES" w:eastAsia="en-US" w:bidi="ar-SA"/>
      </w:rPr>
    </w:lvl>
    <w:lvl w:ilvl="1">
      <w:start w:val="1"/>
      <w:numFmt w:val="decimal"/>
      <w:lvlText w:val="%1.%2."/>
      <w:lvlJc w:val="left"/>
      <w:pPr>
        <w:ind w:left="728" w:hanging="428"/>
      </w:pPr>
      <w:rPr>
        <w:rFonts w:ascii="Arial" w:eastAsia="Arial" w:hAnsi="Arial" w:cs="Arial" w:hint="default"/>
        <w:b/>
        <w:bCs/>
        <w:spacing w:val="-2"/>
        <w:w w:val="100"/>
        <w:sz w:val="22"/>
        <w:szCs w:val="22"/>
        <w:lang w:val="es-ES" w:eastAsia="en-US" w:bidi="ar-SA"/>
      </w:rPr>
    </w:lvl>
    <w:lvl w:ilvl="2">
      <w:numFmt w:val="bullet"/>
      <w:lvlText w:val="•"/>
      <w:lvlJc w:val="left"/>
      <w:pPr>
        <w:ind w:left="1700" w:hanging="428"/>
      </w:pPr>
      <w:rPr>
        <w:lang w:val="es-ES" w:eastAsia="en-US" w:bidi="ar-SA"/>
      </w:rPr>
    </w:lvl>
    <w:lvl w:ilvl="3">
      <w:numFmt w:val="bullet"/>
      <w:lvlText w:val="•"/>
      <w:lvlJc w:val="left"/>
      <w:pPr>
        <w:ind w:left="2680" w:hanging="428"/>
      </w:pPr>
      <w:rPr>
        <w:lang w:val="es-ES" w:eastAsia="en-US" w:bidi="ar-SA"/>
      </w:rPr>
    </w:lvl>
    <w:lvl w:ilvl="4">
      <w:numFmt w:val="bullet"/>
      <w:lvlText w:val="•"/>
      <w:lvlJc w:val="left"/>
      <w:pPr>
        <w:ind w:left="3660" w:hanging="428"/>
      </w:pPr>
      <w:rPr>
        <w:lang w:val="es-ES" w:eastAsia="en-US" w:bidi="ar-SA"/>
      </w:rPr>
    </w:lvl>
    <w:lvl w:ilvl="5">
      <w:numFmt w:val="bullet"/>
      <w:lvlText w:val="•"/>
      <w:lvlJc w:val="left"/>
      <w:pPr>
        <w:ind w:left="4640" w:hanging="428"/>
      </w:pPr>
      <w:rPr>
        <w:lang w:val="es-ES" w:eastAsia="en-US" w:bidi="ar-SA"/>
      </w:rPr>
    </w:lvl>
    <w:lvl w:ilvl="6">
      <w:numFmt w:val="bullet"/>
      <w:lvlText w:val="•"/>
      <w:lvlJc w:val="left"/>
      <w:pPr>
        <w:ind w:left="5620" w:hanging="428"/>
      </w:pPr>
      <w:rPr>
        <w:lang w:val="es-ES" w:eastAsia="en-US" w:bidi="ar-SA"/>
      </w:rPr>
    </w:lvl>
    <w:lvl w:ilvl="7">
      <w:numFmt w:val="bullet"/>
      <w:lvlText w:val="•"/>
      <w:lvlJc w:val="left"/>
      <w:pPr>
        <w:ind w:left="6600" w:hanging="428"/>
      </w:pPr>
      <w:rPr>
        <w:lang w:val="es-ES" w:eastAsia="en-US" w:bidi="ar-SA"/>
      </w:rPr>
    </w:lvl>
    <w:lvl w:ilvl="8">
      <w:numFmt w:val="bullet"/>
      <w:lvlText w:val="•"/>
      <w:lvlJc w:val="left"/>
      <w:pPr>
        <w:ind w:left="7580" w:hanging="428"/>
      </w:pPr>
      <w:rPr>
        <w:lang w:val="es-ES" w:eastAsia="en-US" w:bidi="ar-SA"/>
      </w:rPr>
    </w:lvl>
  </w:abstractNum>
  <w:abstractNum w:abstractNumId="8" w15:restartNumberingAfterBreak="0">
    <w:nsid w:val="4762497B"/>
    <w:multiLevelType w:val="hybridMultilevel"/>
    <w:tmpl w:val="9528AFFC"/>
    <w:lvl w:ilvl="0" w:tplc="6E94BFEE">
      <w:start w:val="1"/>
      <w:numFmt w:val="low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9"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1"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D7D5B46"/>
    <w:multiLevelType w:val="hybridMultilevel"/>
    <w:tmpl w:val="CD1EA26C"/>
    <w:lvl w:ilvl="0" w:tplc="44107A50">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3" w15:restartNumberingAfterBreak="0">
    <w:nsid w:val="627C75E4"/>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BEB731B"/>
    <w:multiLevelType w:val="hybridMultilevel"/>
    <w:tmpl w:val="5BAC283E"/>
    <w:lvl w:ilvl="0" w:tplc="24CCF18E">
      <w:start w:val="1"/>
      <w:numFmt w:val="lowerLetter"/>
      <w:lvlText w:val="%1)"/>
      <w:lvlJc w:val="left"/>
      <w:pPr>
        <w:ind w:left="555" w:hanging="255"/>
      </w:pPr>
      <w:rPr>
        <w:rFonts w:ascii="Arial" w:eastAsia="Arial" w:hAnsi="Arial" w:cs="Arial" w:hint="default"/>
        <w:b/>
        <w:bCs/>
        <w:spacing w:val="-1"/>
        <w:w w:val="100"/>
        <w:sz w:val="22"/>
        <w:szCs w:val="22"/>
        <w:lang w:val="es-ES" w:eastAsia="en-US" w:bidi="ar-SA"/>
      </w:rPr>
    </w:lvl>
    <w:lvl w:ilvl="1" w:tplc="5CA836AC">
      <w:numFmt w:val="bullet"/>
      <w:lvlText w:val="•"/>
      <w:lvlJc w:val="left"/>
      <w:pPr>
        <w:ind w:left="1458" w:hanging="255"/>
      </w:pPr>
      <w:rPr>
        <w:lang w:val="es-ES" w:eastAsia="en-US" w:bidi="ar-SA"/>
      </w:rPr>
    </w:lvl>
    <w:lvl w:ilvl="2" w:tplc="D5605412">
      <w:numFmt w:val="bullet"/>
      <w:lvlText w:val="•"/>
      <w:lvlJc w:val="left"/>
      <w:pPr>
        <w:ind w:left="2356" w:hanging="255"/>
      </w:pPr>
      <w:rPr>
        <w:lang w:val="es-ES" w:eastAsia="en-US" w:bidi="ar-SA"/>
      </w:rPr>
    </w:lvl>
    <w:lvl w:ilvl="3" w:tplc="9A6456BA">
      <w:numFmt w:val="bullet"/>
      <w:lvlText w:val="•"/>
      <w:lvlJc w:val="left"/>
      <w:pPr>
        <w:ind w:left="3254" w:hanging="255"/>
      </w:pPr>
      <w:rPr>
        <w:lang w:val="es-ES" w:eastAsia="en-US" w:bidi="ar-SA"/>
      </w:rPr>
    </w:lvl>
    <w:lvl w:ilvl="4" w:tplc="9AD8D76A">
      <w:numFmt w:val="bullet"/>
      <w:lvlText w:val="•"/>
      <w:lvlJc w:val="left"/>
      <w:pPr>
        <w:ind w:left="4152" w:hanging="255"/>
      </w:pPr>
      <w:rPr>
        <w:lang w:val="es-ES" w:eastAsia="en-US" w:bidi="ar-SA"/>
      </w:rPr>
    </w:lvl>
    <w:lvl w:ilvl="5" w:tplc="AE7E9A82">
      <w:numFmt w:val="bullet"/>
      <w:lvlText w:val="•"/>
      <w:lvlJc w:val="left"/>
      <w:pPr>
        <w:ind w:left="5050" w:hanging="255"/>
      </w:pPr>
      <w:rPr>
        <w:lang w:val="es-ES" w:eastAsia="en-US" w:bidi="ar-SA"/>
      </w:rPr>
    </w:lvl>
    <w:lvl w:ilvl="6" w:tplc="F6723F7E">
      <w:numFmt w:val="bullet"/>
      <w:lvlText w:val="•"/>
      <w:lvlJc w:val="left"/>
      <w:pPr>
        <w:ind w:left="5948" w:hanging="255"/>
      </w:pPr>
      <w:rPr>
        <w:lang w:val="es-ES" w:eastAsia="en-US" w:bidi="ar-SA"/>
      </w:rPr>
    </w:lvl>
    <w:lvl w:ilvl="7" w:tplc="2138E968">
      <w:numFmt w:val="bullet"/>
      <w:lvlText w:val="•"/>
      <w:lvlJc w:val="left"/>
      <w:pPr>
        <w:ind w:left="6846" w:hanging="255"/>
      </w:pPr>
      <w:rPr>
        <w:lang w:val="es-ES" w:eastAsia="en-US" w:bidi="ar-SA"/>
      </w:rPr>
    </w:lvl>
    <w:lvl w:ilvl="8" w:tplc="D73816CA">
      <w:numFmt w:val="bullet"/>
      <w:lvlText w:val="•"/>
      <w:lvlJc w:val="left"/>
      <w:pPr>
        <w:ind w:left="7744" w:hanging="255"/>
      </w:pPr>
      <w:rPr>
        <w:lang w:val="es-ES" w:eastAsia="en-US" w:bidi="ar-SA"/>
      </w:rPr>
    </w:lvl>
  </w:abstractNum>
  <w:abstractNum w:abstractNumId="1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71BC7ED6"/>
    <w:multiLevelType w:val="hybridMultilevel"/>
    <w:tmpl w:val="F6E67F0C"/>
    <w:lvl w:ilvl="0" w:tplc="0964B51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36E071B"/>
    <w:multiLevelType w:val="multilevel"/>
    <w:tmpl w:val="B6FA2814"/>
    <w:lvl w:ilvl="0">
      <w:start w:val="1"/>
      <w:numFmt w:val="decimal"/>
      <w:lvlText w:val="%1."/>
      <w:lvlJc w:val="left"/>
      <w:pPr>
        <w:ind w:left="720" w:hanging="360"/>
      </w:pPr>
    </w:lvl>
    <w:lvl w:ilvl="1">
      <w:start w:val="1"/>
      <w:numFmt w:val="decimal"/>
      <w:isLgl/>
      <w:lvlText w:val="%1.%2."/>
      <w:lvlJc w:val="left"/>
      <w:pPr>
        <w:ind w:left="1356" w:hanging="930"/>
      </w:pPr>
      <w:rPr>
        <w:rFonts w:hint="default"/>
      </w:rPr>
    </w:lvl>
    <w:lvl w:ilvl="2">
      <w:start w:val="1"/>
      <w:numFmt w:val="decimal"/>
      <w:isLgl/>
      <w:lvlText w:val="%1.%2.%3."/>
      <w:lvlJc w:val="left"/>
      <w:pPr>
        <w:ind w:left="1422" w:hanging="93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79410817"/>
    <w:multiLevelType w:val="hybridMultilevel"/>
    <w:tmpl w:val="124C736E"/>
    <w:lvl w:ilvl="0" w:tplc="54B64B8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C440DC2"/>
    <w:multiLevelType w:val="hybridMultilevel"/>
    <w:tmpl w:val="8CBEB672"/>
    <w:lvl w:ilvl="0" w:tplc="B72230D8">
      <w:start w:val="1"/>
      <w:numFmt w:val="lowerRoman"/>
      <w:lvlText w:val="%1)"/>
      <w:lvlJc w:val="left"/>
      <w:pPr>
        <w:ind w:left="1425" w:hanging="720"/>
      </w:pPr>
      <w:rPr>
        <w:rFonts w:ascii="Arial" w:eastAsia="Calibri" w:hAnsi="Arial" w:cs="Arial"/>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5"/>
  </w:num>
  <w:num w:numId="2">
    <w:abstractNumId w:val="4"/>
  </w:num>
  <w:num w:numId="3">
    <w:abstractNumId w:val="9"/>
  </w:num>
  <w:num w:numId="4">
    <w:abstractNumId w:val="10"/>
  </w:num>
  <w:num w:numId="5">
    <w:abstractNumId w:val="1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num>
  <w:num w:numId="9">
    <w:abstractNumId w:val="19"/>
  </w:num>
  <w:num w:numId="10">
    <w:abstractNumId w:val="2"/>
  </w:num>
  <w:num w:numId="11">
    <w:abstractNumId w:val="6"/>
  </w:num>
  <w:num w:numId="12">
    <w:abstractNumId w:val="16"/>
  </w:num>
  <w:num w:numId="13">
    <w:abstractNumId w:val="8"/>
  </w:num>
  <w:num w:numId="14">
    <w:abstractNumId w:val="13"/>
  </w:num>
  <w:num w:numId="15">
    <w:abstractNumId w:val="18"/>
  </w:num>
  <w:num w:numId="16">
    <w:abstractNumId w:val="3"/>
  </w:num>
  <w:num w:numId="17">
    <w:abstractNumId w:val="12"/>
  </w:num>
  <w:num w:numId="18">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14"/>
    <w:lvlOverride w:ilvl="0">
      <w:startOverride w:val="1"/>
    </w:lvlOverride>
    <w:lvlOverride w:ilvl="1"/>
    <w:lvlOverride w:ilvl="2"/>
    <w:lvlOverride w:ilvl="3"/>
    <w:lvlOverride w:ilvl="4"/>
    <w:lvlOverride w:ilvl="5"/>
    <w:lvlOverride w:ilvl="6"/>
    <w:lvlOverride w:ilvl="7"/>
    <w:lvlOverride w:ilv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42A"/>
    <w:rsid w:val="000020D3"/>
    <w:rsid w:val="00002C6B"/>
    <w:rsid w:val="00003F7C"/>
    <w:rsid w:val="000048CA"/>
    <w:rsid w:val="00004B1E"/>
    <w:rsid w:val="00004DBF"/>
    <w:rsid w:val="00004F00"/>
    <w:rsid w:val="0000562F"/>
    <w:rsid w:val="0000655E"/>
    <w:rsid w:val="000078A0"/>
    <w:rsid w:val="00007D2A"/>
    <w:rsid w:val="0001127D"/>
    <w:rsid w:val="0001255B"/>
    <w:rsid w:val="000130DF"/>
    <w:rsid w:val="00013780"/>
    <w:rsid w:val="000142C6"/>
    <w:rsid w:val="000142E3"/>
    <w:rsid w:val="0001453F"/>
    <w:rsid w:val="0001500A"/>
    <w:rsid w:val="000152E6"/>
    <w:rsid w:val="000155B8"/>
    <w:rsid w:val="00015765"/>
    <w:rsid w:val="00015A08"/>
    <w:rsid w:val="000161CF"/>
    <w:rsid w:val="000164A5"/>
    <w:rsid w:val="000173E0"/>
    <w:rsid w:val="0001751A"/>
    <w:rsid w:val="00017D43"/>
    <w:rsid w:val="00017ED8"/>
    <w:rsid w:val="00020786"/>
    <w:rsid w:val="00020D91"/>
    <w:rsid w:val="00020F00"/>
    <w:rsid w:val="00021744"/>
    <w:rsid w:val="00022AB6"/>
    <w:rsid w:val="000230F6"/>
    <w:rsid w:val="00023516"/>
    <w:rsid w:val="0002419B"/>
    <w:rsid w:val="0002473E"/>
    <w:rsid w:val="00024F08"/>
    <w:rsid w:val="00025437"/>
    <w:rsid w:val="000265B8"/>
    <w:rsid w:val="0002698E"/>
    <w:rsid w:val="00026ED4"/>
    <w:rsid w:val="00027148"/>
    <w:rsid w:val="000301BA"/>
    <w:rsid w:val="00030433"/>
    <w:rsid w:val="000311E0"/>
    <w:rsid w:val="000318B0"/>
    <w:rsid w:val="000325C5"/>
    <w:rsid w:val="000330B0"/>
    <w:rsid w:val="000339C2"/>
    <w:rsid w:val="00035138"/>
    <w:rsid w:val="00035582"/>
    <w:rsid w:val="00040F8F"/>
    <w:rsid w:val="00041ECA"/>
    <w:rsid w:val="00041EFC"/>
    <w:rsid w:val="00041F59"/>
    <w:rsid w:val="00042092"/>
    <w:rsid w:val="00042CFF"/>
    <w:rsid w:val="00042F27"/>
    <w:rsid w:val="00043143"/>
    <w:rsid w:val="00043878"/>
    <w:rsid w:val="00043FC3"/>
    <w:rsid w:val="000452B4"/>
    <w:rsid w:val="000459D0"/>
    <w:rsid w:val="00046036"/>
    <w:rsid w:val="000473A3"/>
    <w:rsid w:val="00047723"/>
    <w:rsid w:val="000478A9"/>
    <w:rsid w:val="00050838"/>
    <w:rsid w:val="00050CEE"/>
    <w:rsid w:val="00050E0F"/>
    <w:rsid w:val="000518AA"/>
    <w:rsid w:val="000519C1"/>
    <w:rsid w:val="00052533"/>
    <w:rsid w:val="00052A34"/>
    <w:rsid w:val="00052FD6"/>
    <w:rsid w:val="00052FE5"/>
    <w:rsid w:val="0005313E"/>
    <w:rsid w:val="00053292"/>
    <w:rsid w:val="00053583"/>
    <w:rsid w:val="00054590"/>
    <w:rsid w:val="00054B19"/>
    <w:rsid w:val="00055DFA"/>
    <w:rsid w:val="000562F0"/>
    <w:rsid w:val="00056AB7"/>
    <w:rsid w:val="00060081"/>
    <w:rsid w:val="00060FA9"/>
    <w:rsid w:val="0006116C"/>
    <w:rsid w:val="000611E8"/>
    <w:rsid w:val="0006194B"/>
    <w:rsid w:val="00061AC0"/>
    <w:rsid w:val="00062739"/>
    <w:rsid w:val="00062C0D"/>
    <w:rsid w:val="00062CC1"/>
    <w:rsid w:val="00063ED3"/>
    <w:rsid w:val="00064538"/>
    <w:rsid w:val="000656E6"/>
    <w:rsid w:val="000657E6"/>
    <w:rsid w:val="00065A0E"/>
    <w:rsid w:val="00065B67"/>
    <w:rsid w:val="000663AB"/>
    <w:rsid w:val="00066E28"/>
    <w:rsid w:val="00067D96"/>
    <w:rsid w:val="00071C0D"/>
    <w:rsid w:val="00071D50"/>
    <w:rsid w:val="0007231A"/>
    <w:rsid w:val="00073203"/>
    <w:rsid w:val="00073431"/>
    <w:rsid w:val="0007374F"/>
    <w:rsid w:val="00073EE0"/>
    <w:rsid w:val="00075739"/>
    <w:rsid w:val="0007590A"/>
    <w:rsid w:val="00075F2C"/>
    <w:rsid w:val="00076326"/>
    <w:rsid w:val="00077134"/>
    <w:rsid w:val="000771D5"/>
    <w:rsid w:val="0007786B"/>
    <w:rsid w:val="0007792B"/>
    <w:rsid w:val="00080157"/>
    <w:rsid w:val="00080692"/>
    <w:rsid w:val="0008096C"/>
    <w:rsid w:val="000816EA"/>
    <w:rsid w:val="00082A48"/>
    <w:rsid w:val="00082EFF"/>
    <w:rsid w:val="00084B97"/>
    <w:rsid w:val="00084E3D"/>
    <w:rsid w:val="0008525E"/>
    <w:rsid w:val="0008657D"/>
    <w:rsid w:val="00086AFA"/>
    <w:rsid w:val="00086C22"/>
    <w:rsid w:val="00086F0C"/>
    <w:rsid w:val="00087316"/>
    <w:rsid w:val="00090F92"/>
    <w:rsid w:val="000917AE"/>
    <w:rsid w:val="00091B9F"/>
    <w:rsid w:val="000921B4"/>
    <w:rsid w:val="0009238E"/>
    <w:rsid w:val="00092788"/>
    <w:rsid w:val="000927C2"/>
    <w:rsid w:val="0009281E"/>
    <w:rsid w:val="00092B13"/>
    <w:rsid w:val="000938EA"/>
    <w:rsid w:val="0009391B"/>
    <w:rsid w:val="000942EB"/>
    <w:rsid w:val="0009735A"/>
    <w:rsid w:val="00097911"/>
    <w:rsid w:val="00097C6C"/>
    <w:rsid w:val="00097EFA"/>
    <w:rsid w:val="000A0439"/>
    <w:rsid w:val="000A064C"/>
    <w:rsid w:val="000A09D2"/>
    <w:rsid w:val="000A2BAB"/>
    <w:rsid w:val="000A3A91"/>
    <w:rsid w:val="000A3C4E"/>
    <w:rsid w:val="000A3CBD"/>
    <w:rsid w:val="000A426B"/>
    <w:rsid w:val="000A4AAE"/>
    <w:rsid w:val="000A502E"/>
    <w:rsid w:val="000A511D"/>
    <w:rsid w:val="000A5BD3"/>
    <w:rsid w:val="000A6122"/>
    <w:rsid w:val="000A628F"/>
    <w:rsid w:val="000A66F3"/>
    <w:rsid w:val="000A7B03"/>
    <w:rsid w:val="000B0465"/>
    <w:rsid w:val="000B0F5D"/>
    <w:rsid w:val="000B0FB0"/>
    <w:rsid w:val="000B103F"/>
    <w:rsid w:val="000B258E"/>
    <w:rsid w:val="000B26BA"/>
    <w:rsid w:val="000B2850"/>
    <w:rsid w:val="000B2CB3"/>
    <w:rsid w:val="000B2F9C"/>
    <w:rsid w:val="000B359C"/>
    <w:rsid w:val="000B38BD"/>
    <w:rsid w:val="000B41A7"/>
    <w:rsid w:val="000B49DF"/>
    <w:rsid w:val="000B4CC4"/>
    <w:rsid w:val="000B4D45"/>
    <w:rsid w:val="000B5520"/>
    <w:rsid w:val="000B559F"/>
    <w:rsid w:val="000B5E82"/>
    <w:rsid w:val="000B626B"/>
    <w:rsid w:val="000B6B96"/>
    <w:rsid w:val="000B70B5"/>
    <w:rsid w:val="000B7851"/>
    <w:rsid w:val="000B7F0E"/>
    <w:rsid w:val="000C076A"/>
    <w:rsid w:val="000C1102"/>
    <w:rsid w:val="000C1707"/>
    <w:rsid w:val="000C1873"/>
    <w:rsid w:val="000C190D"/>
    <w:rsid w:val="000C26DF"/>
    <w:rsid w:val="000C32A6"/>
    <w:rsid w:val="000C44C9"/>
    <w:rsid w:val="000C4AA1"/>
    <w:rsid w:val="000C6BC4"/>
    <w:rsid w:val="000C6E4B"/>
    <w:rsid w:val="000C739C"/>
    <w:rsid w:val="000C73C7"/>
    <w:rsid w:val="000C7A3B"/>
    <w:rsid w:val="000D0ACC"/>
    <w:rsid w:val="000D1282"/>
    <w:rsid w:val="000D12B9"/>
    <w:rsid w:val="000D22FB"/>
    <w:rsid w:val="000D30A6"/>
    <w:rsid w:val="000D343E"/>
    <w:rsid w:val="000D3918"/>
    <w:rsid w:val="000D479C"/>
    <w:rsid w:val="000D4C50"/>
    <w:rsid w:val="000D5B32"/>
    <w:rsid w:val="000D6318"/>
    <w:rsid w:val="000D6359"/>
    <w:rsid w:val="000D65F5"/>
    <w:rsid w:val="000D6AFB"/>
    <w:rsid w:val="000E0A73"/>
    <w:rsid w:val="000E0D1E"/>
    <w:rsid w:val="000E14F6"/>
    <w:rsid w:val="000E15ED"/>
    <w:rsid w:val="000E3937"/>
    <w:rsid w:val="000E43A0"/>
    <w:rsid w:val="000E4D78"/>
    <w:rsid w:val="000E4DFD"/>
    <w:rsid w:val="000E4F7B"/>
    <w:rsid w:val="000E56C2"/>
    <w:rsid w:val="000F0697"/>
    <w:rsid w:val="000F07CE"/>
    <w:rsid w:val="000F09BB"/>
    <w:rsid w:val="000F0D68"/>
    <w:rsid w:val="000F0F07"/>
    <w:rsid w:val="000F14E8"/>
    <w:rsid w:val="000F2436"/>
    <w:rsid w:val="000F4323"/>
    <w:rsid w:val="000F4CD3"/>
    <w:rsid w:val="000F5338"/>
    <w:rsid w:val="000F6C08"/>
    <w:rsid w:val="000F706C"/>
    <w:rsid w:val="000F7072"/>
    <w:rsid w:val="0010237D"/>
    <w:rsid w:val="0010274B"/>
    <w:rsid w:val="00102E6B"/>
    <w:rsid w:val="00103915"/>
    <w:rsid w:val="001039BF"/>
    <w:rsid w:val="00103A69"/>
    <w:rsid w:val="00104161"/>
    <w:rsid w:val="001054A2"/>
    <w:rsid w:val="00107A26"/>
    <w:rsid w:val="00107A30"/>
    <w:rsid w:val="00107A91"/>
    <w:rsid w:val="0011003B"/>
    <w:rsid w:val="001104F6"/>
    <w:rsid w:val="00111CD1"/>
    <w:rsid w:val="001125F5"/>
    <w:rsid w:val="001130A3"/>
    <w:rsid w:val="00113B52"/>
    <w:rsid w:val="00114C08"/>
    <w:rsid w:val="00115B65"/>
    <w:rsid w:val="00115FC9"/>
    <w:rsid w:val="00116DD5"/>
    <w:rsid w:val="00117502"/>
    <w:rsid w:val="00117513"/>
    <w:rsid w:val="00120422"/>
    <w:rsid w:val="0012068A"/>
    <w:rsid w:val="00121B07"/>
    <w:rsid w:val="001221CB"/>
    <w:rsid w:val="00122B23"/>
    <w:rsid w:val="00125559"/>
    <w:rsid w:val="00126752"/>
    <w:rsid w:val="00126BB4"/>
    <w:rsid w:val="00126E35"/>
    <w:rsid w:val="001273A7"/>
    <w:rsid w:val="00127A8F"/>
    <w:rsid w:val="00130DC6"/>
    <w:rsid w:val="00131ABE"/>
    <w:rsid w:val="0013213A"/>
    <w:rsid w:val="0013442F"/>
    <w:rsid w:val="00134845"/>
    <w:rsid w:val="00134F34"/>
    <w:rsid w:val="0013525C"/>
    <w:rsid w:val="0013543D"/>
    <w:rsid w:val="001356ED"/>
    <w:rsid w:val="0013612A"/>
    <w:rsid w:val="00136769"/>
    <w:rsid w:val="00137D19"/>
    <w:rsid w:val="00137FFA"/>
    <w:rsid w:val="001419F7"/>
    <w:rsid w:val="001436C6"/>
    <w:rsid w:val="00143855"/>
    <w:rsid w:val="001444AE"/>
    <w:rsid w:val="0014457C"/>
    <w:rsid w:val="00144DD7"/>
    <w:rsid w:val="0014671C"/>
    <w:rsid w:val="001468EF"/>
    <w:rsid w:val="001470D6"/>
    <w:rsid w:val="00150664"/>
    <w:rsid w:val="001513DE"/>
    <w:rsid w:val="001519CE"/>
    <w:rsid w:val="0015261D"/>
    <w:rsid w:val="00152F23"/>
    <w:rsid w:val="00152F4E"/>
    <w:rsid w:val="0015312F"/>
    <w:rsid w:val="00153C4E"/>
    <w:rsid w:val="00156251"/>
    <w:rsid w:val="00156953"/>
    <w:rsid w:val="00156B65"/>
    <w:rsid w:val="00156F1B"/>
    <w:rsid w:val="0015752F"/>
    <w:rsid w:val="00157EF8"/>
    <w:rsid w:val="00160334"/>
    <w:rsid w:val="0016087E"/>
    <w:rsid w:val="00160D40"/>
    <w:rsid w:val="0016229B"/>
    <w:rsid w:val="00163A2E"/>
    <w:rsid w:val="00163BA4"/>
    <w:rsid w:val="001642AC"/>
    <w:rsid w:val="0016431F"/>
    <w:rsid w:val="00165B9C"/>
    <w:rsid w:val="00166859"/>
    <w:rsid w:val="00166BC8"/>
    <w:rsid w:val="0017053E"/>
    <w:rsid w:val="0017092C"/>
    <w:rsid w:val="00170B6D"/>
    <w:rsid w:val="00170D41"/>
    <w:rsid w:val="00171201"/>
    <w:rsid w:val="00171527"/>
    <w:rsid w:val="00171EA0"/>
    <w:rsid w:val="00172946"/>
    <w:rsid w:val="00174E00"/>
    <w:rsid w:val="001752C6"/>
    <w:rsid w:val="0017578E"/>
    <w:rsid w:val="0017651B"/>
    <w:rsid w:val="00176569"/>
    <w:rsid w:val="0017669C"/>
    <w:rsid w:val="00177618"/>
    <w:rsid w:val="0018028E"/>
    <w:rsid w:val="00180CAE"/>
    <w:rsid w:val="00181312"/>
    <w:rsid w:val="00181B42"/>
    <w:rsid w:val="00181CA0"/>
    <w:rsid w:val="0018230E"/>
    <w:rsid w:val="00184602"/>
    <w:rsid w:val="00184BE6"/>
    <w:rsid w:val="001868F6"/>
    <w:rsid w:val="00186FD1"/>
    <w:rsid w:val="00187267"/>
    <w:rsid w:val="001876F7"/>
    <w:rsid w:val="0019180F"/>
    <w:rsid w:val="00193107"/>
    <w:rsid w:val="00193E9B"/>
    <w:rsid w:val="001945BB"/>
    <w:rsid w:val="00194762"/>
    <w:rsid w:val="001952FD"/>
    <w:rsid w:val="00195D3C"/>
    <w:rsid w:val="00195EB8"/>
    <w:rsid w:val="00195F16"/>
    <w:rsid w:val="00196172"/>
    <w:rsid w:val="001961A6"/>
    <w:rsid w:val="001968B0"/>
    <w:rsid w:val="00196F5B"/>
    <w:rsid w:val="001A0C18"/>
    <w:rsid w:val="001A1BA8"/>
    <w:rsid w:val="001A1E37"/>
    <w:rsid w:val="001A21C4"/>
    <w:rsid w:val="001A23EA"/>
    <w:rsid w:val="001A2559"/>
    <w:rsid w:val="001A284A"/>
    <w:rsid w:val="001A29B7"/>
    <w:rsid w:val="001A3521"/>
    <w:rsid w:val="001A3705"/>
    <w:rsid w:val="001A3E11"/>
    <w:rsid w:val="001A50BF"/>
    <w:rsid w:val="001A5222"/>
    <w:rsid w:val="001A59AC"/>
    <w:rsid w:val="001A5BD9"/>
    <w:rsid w:val="001A6036"/>
    <w:rsid w:val="001A650A"/>
    <w:rsid w:val="001A6A9C"/>
    <w:rsid w:val="001A6CA1"/>
    <w:rsid w:val="001A7116"/>
    <w:rsid w:val="001B00DB"/>
    <w:rsid w:val="001B0444"/>
    <w:rsid w:val="001B0B4F"/>
    <w:rsid w:val="001B1203"/>
    <w:rsid w:val="001B128D"/>
    <w:rsid w:val="001B34CF"/>
    <w:rsid w:val="001B39D9"/>
    <w:rsid w:val="001B4048"/>
    <w:rsid w:val="001B5CE7"/>
    <w:rsid w:val="001B666C"/>
    <w:rsid w:val="001B6906"/>
    <w:rsid w:val="001B731D"/>
    <w:rsid w:val="001B7466"/>
    <w:rsid w:val="001B7F08"/>
    <w:rsid w:val="001C0184"/>
    <w:rsid w:val="001C1106"/>
    <w:rsid w:val="001C1F9C"/>
    <w:rsid w:val="001C4350"/>
    <w:rsid w:val="001C4593"/>
    <w:rsid w:val="001C4DED"/>
    <w:rsid w:val="001C61C0"/>
    <w:rsid w:val="001C62A1"/>
    <w:rsid w:val="001C79BB"/>
    <w:rsid w:val="001D0781"/>
    <w:rsid w:val="001D0FF9"/>
    <w:rsid w:val="001D17D9"/>
    <w:rsid w:val="001D1E85"/>
    <w:rsid w:val="001D25F5"/>
    <w:rsid w:val="001D262B"/>
    <w:rsid w:val="001D3276"/>
    <w:rsid w:val="001D32CB"/>
    <w:rsid w:val="001D378D"/>
    <w:rsid w:val="001D3846"/>
    <w:rsid w:val="001D45A7"/>
    <w:rsid w:val="001D46FE"/>
    <w:rsid w:val="001D4AE9"/>
    <w:rsid w:val="001D60D3"/>
    <w:rsid w:val="001D646A"/>
    <w:rsid w:val="001D69DD"/>
    <w:rsid w:val="001D6A27"/>
    <w:rsid w:val="001E0375"/>
    <w:rsid w:val="001E10A7"/>
    <w:rsid w:val="001E175B"/>
    <w:rsid w:val="001E1C24"/>
    <w:rsid w:val="001E2378"/>
    <w:rsid w:val="001E26AB"/>
    <w:rsid w:val="001E291F"/>
    <w:rsid w:val="001E2B0B"/>
    <w:rsid w:val="001E69F5"/>
    <w:rsid w:val="001E7D67"/>
    <w:rsid w:val="001F04AC"/>
    <w:rsid w:val="001F140C"/>
    <w:rsid w:val="001F1880"/>
    <w:rsid w:val="001F1E12"/>
    <w:rsid w:val="001F4453"/>
    <w:rsid w:val="001F4D79"/>
    <w:rsid w:val="001F4E08"/>
    <w:rsid w:val="001F4E27"/>
    <w:rsid w:val="001F569D"/>
    <w:rsid w:val="001F5C1B"/>
    <w:rsid w:val="001F73AD"/>
    <w:rsid w:val="001F744E"/>
    <w:rsid w:val="00202718"/>
    <w:rsid w:val="002031C1"/>
    <w:rsid w:val="00203D28"/>
    <w:rsid w:val="00204DB3"/>
    <w:rsid w:val="00204E6A"/>
    <w:rsid w:val="00205BD8"/>
    <w:rsid w:val="0020632A"/>
    <w:rsid w:val="00206AE9"/>
    <w:rsid w:val="002072DF"/>
    <w:rsid w:val="002104BD"/>
    <w:rsid w:val="00210605"/>
    <w:rsid w:val="002110EB"/>
    <w:rsid w:val="00211338"/>
    <w:rsid w:val="0021180F"/>
    <w:rsid w:val="00211BB0"/>
    <w:rsid w:val="00212150"/>
    <w:rsid w:val="00212888"/>
    <w:rsid w:val="0021372A"/>
    <w:rsid w:val="002139DE"/>
    <w:rsid w:val="00213A09"/>
    <w:rsid w:val="00213F0E"/>
    <w:rsid w:val="00215255"/>
    <w:rsid w:val="00216F80"/>
    <w:rsid w:val="0021710C"/>
    <w:rsid w:val="00217435"/>
    <w:rsid w:val="0022149D"/>
    <w:rsid w:val="0022247B"/>
    <w:rsid w:val="002225BB"/>
    <w:rsid w:val="002238F9"/>
    <w:rsid w:val="00224081"/>
    <w:rsid w:val="00224F1E"/>
    <w:rsid w:val="0022670B"/>
    <w:rsid w:val="0022729A"/>
    <w:rsid w:val="002275F8"/>
    <w:rsid w:val="00230AE4"/>
    <w:rsid w:val="00230B9D"/>
    <w:rsid w:val="00231103"/>
    <w:rsid w:val="00231C7B"/>
    <w:rsid w:val="00232698"/>
    <w:rsid w:val="00233201"/>
    <w:rsid w:val="00233F1C"/>
    <w:rsid w:val="00234645"/>
    <w:rsid w:val="002346BA"/>
    <w:rsid w:val="00234B84"/>
    <w:rsid w:val="00234D59"/>
    <w:rsid w:val="00236B42"/>
    <w:rsid w:val="00236C3C"/>
    <w:rsid w:val="00236CEB"/>
    <w:rsid w:val="00240C53"/>
    <w:rsid w:val="00240E16"/>
    <w:rsid w:val="00240E19"/>
    <w:rsid w:val="00241AEF"/>
    <w:rsid w:val="00242C5C"/>
    <w:rsid w:val="00243870"/>
    <w:rsid w:val="00244521"/>
    <w:rsid w:val="00244BBC"/>
    <w:rsid w:val="00244C0A"/>
    <w:rsid w:val="00245446"/>
    <w:rsid w:val="0024563E"/>
    <w:rsid w:val="00246E90"/>
    <w:rsid w:val="0024773C"/>
    <w:rsid w:val="002500DF"/>
    <w:rsid w:val="002509AC"/>
    <w:rsid w:val="00250C91"/>
    <w:rsid w:val="00251635"/>
    <w:rsid w:val="002525B1"/>
    <w:rsid w:val="0025355A"/>
    <w:rsid w:val="00253BD6"/>
    <w:rsid w:val="0025459E"/>
    <w:rsid w:val="0025479C"/>
    <w:rsid w:val="00256AE4"/>
    <w:rsid w:val="00257321"/>
    <w:rsid w:val="0025759C"/>
    <w:rsid w:val="00257984"/>
    <w:rsid w:val="00257B3B"/>
    <w:rsid w:val="00260154"/>
    <w:rsid w:val="0026261D"/>
    <w:rsid w:val="0026265B"/>
    <w:rsid w:val="002626B4"/>
    <w:rsid w:val="0026284F"/>
    <w:rsid w:val="00262C67"/>
    <w:rsid w:val="0026593D"/>
    <w:rsid w:val="00265A81"/>
    <w:rsid w:val="00265F17"/>
    <w:rsid w:val="00266B26"/>
    <w:rsid w:val="002678A0"/>
    <w:rsid w:val="00267B8E"/>
    <w:rsid w:val="00270EAA"/>
    <w:rsid w:val="00271891"/>
    <w:rsid w:val="0027322D"/>
    <w:rsid w:val="00273832"/>
    <w:rsid w:val="00273978"/>
    <w:rsid w:val="00273AAE"/>
    <w:rsid w:val="002740C5"/>
    <w:rsid w:val="002758CB"/>
    <w:rsid w:val="00275E80"/>
    <w:rsid w:val="00277DDC"/>
    <w:rsid w:val="00280332"/>
    <w:rsid w:val="00280DF5"/>
    <w:rsid w:val="00281280"/>
    <w:rsid w:val="00281454"/>
    <w:rsid w:val="00282FE2"/>
    <w:rsid w:val="00283532"/>
    <w:rsid w:val="00284184"/>
    <w:rsid w:val="0028487F"/>
    <w:rsid w:val="00286186"/>
    <w:rsid w:val="00286B7A"/>
    <w:rsid w:val="00287C56"/>
    <w:rsid w:val="00291A19"/>
    <w:rsid w:val="00291A2C"/>
    <w:rsid w:val="002924CD"/>
    <w:rsid w:val="00292579"/>
    <w:rsid w:val="00292E93"/>
    <w:rsid w:val="0029342E"/>
    <w:rsid w:val="00293F6D"/>
    <w:rsid w:val="00293FA8"/>
    <w:rsid w:val="00293FBF"/>
    <w:rsid w:val="0029401E"/>
    <w:rsid w:val="002941B8"/>
    <w:rsid w:val="00295308"/>
    <w:rsid w:val="00295E32"/>
    <w:rsid w:val="00295E57"/>
    <w:rsid w:val="00296460"/>
    <w:rsid w:val="00296463"/>
    <w:rsid w:val="002969BC"/>
    <w:rsid w:val="00297499"/>
    <w:rsid w:val="00297C23"/>
    <w:rsid w:val="002A0043"/>
    <w:rsid w:val="002A0D45"/>
    <w:rsid w:val="002A2269"/>
    <w:rsid w:val="002A23F7"/>
    <w:rsid w:val="002A59F4"/>
    <w:rsid w:val="002A5C49"/>
    <w:rsid w:val="002A6616"/>
    <w:rsid w:val="002A6D18"/>
    <w:rsid w:val="002B0068"/>
    <w:rsid w:val="002B0C19"/>
    <w:rsid w:val="002B1137"/>
    <w:rsid w:val="002B1235"/>
    <w:rsid w:val="002B16D4"/>
    <w:rsid w:val="002B1D91"/>
    <w:rsid w:val="002B26D6"/>
    <w:rsid w:val="002B2E33"/>
    <w:rsid w:val="002B353D"/>
    <w:rsid w:val="002B3AE9"/>
    <w:rsid w:val="002B53B8"/>
    <w:rsid w:val="002B56A6"/>
    <w:rsid w:val="002B5A46"/>
    <w:rsid w:val="002B690C"/>
    <w:rsid w:val="002B69EA"/>
    <w:rsid w:val="002B716D"/>
    <w:rsid w:val="002B763B"/>
    <w:rsid w:val="002C00F3"/>
    <w:rsid w:val="002C0C68"/>
    <w:rsid w:val="002C0F45"/>
    <w:rsid w:val="002C119D"/>
    <w:rsid w:val="002C1446"/>
    <w:rsid w:val="002C1B67"/>
    <w:rsid w:val="002C1D5F"/>
    <w:rsid w:val="002C2452"/>
    <w:rsid w:val="002C24D5"/>
    <w:rsid w:val="002C2C00"/>
    <w:rsid w:val="002C3900"/>
    <w:rsid w:val="002C441D"/>
    <w:rsid w:val="002C4C0C"/>
    <w:rsid w:val="002C65CE"/>
    <w:rsid w:val="002C66CD"/>
    <w:rsid w:val="002C6E18"/>
    <w:rsid w:val="002D06FD"/>
    <w:rsid w:val="002D0829"/>
    <w:rsid w:val="002D0AC9"/>
    <w:rsid w:val="002D12FC"/>
    <w:rsid w:val="002D1383"/>
    <w:rsid w:val="002D1632"/>
    <w:rsid w:val="002D1C0C"/>
    <w:rsid w:val="002D3F19"/>
    <w:rsid w:val="002D4CEA"/>
    <w:rsid w:val="002D522E"/>
    <w:rsid w:val="002D569D"/>
    <w:rsid w:val="002D5F6B"/>
    <w:rsid w:val="002D67DC"/>
    <w:rsid w:val="002D681D"/>
    <w:rsid w:val="002D79E9"/>
    <w:rsid w:val="002E00E3"/>
    <w:rsid w:val="002E066B"/>
    <w:rsid w:val="002E0960"/>
    <w:rsid w:val="002E18B5"/>
    <w:rsid w:val="002E385F"/>
    <w:rsid w:val="002E3BE9"/>
    <w:rsid w:val="002E56E8"/>
    <w:rsid w:val="002E6EB8"/>
    <w:rsid w:val="002E7165"/>
    <w:rsid w:val="002F0029"/>
    <w:rsid w:val="002F0294"/>
    <w:rsid w:val="002F0E7E"/>
    <w:rsid w:val="002F1553"/>
    <w:rsid w:val="002F15D3"/>
    <w:rsid w:val="002F1759"/>
    <w:rsid w:val="002F2B2E"/>
    <w:rsid w:val="002F2BDD"/>
    <w:rsid w:val="002F2F1D"/>
    <w:rsid w:val="002F3095"/>
    <w:rsid w:val="002F3CE9"/>
    <w:rsid w:val="002F43F5"/>
    <w:rsid w:val="002F4849"/>
    <w:rsid w:val="002F4F42"/>
    <w:rsid w:val="002F605B"/>
    <w:rsid w:val="002F6B43"/>
    <w:rsid w:val="002F7BEF"/>
    <w:rsid w:val="002F7F83"/>
    <w:rsid w:val="0030041A"/>
    <w:rsid w:val="00300FEC"/>
    <w:rsid w:val="0030168A"/>
    <w:rsid w:val="003033BA"/>
    <w:rsid w:val="00303F20"/>
    <w:rsid w:val="00304113"/>
    <w:rsid w:val="003049D5"/>
    <w:rsid w:val="00304EC8"/>
    <w:rsid w:val="003057B2"/>
    <w:rsid w:val="0030664E"/>
    <w:rsid w:val="00307459"/>
    <w:rsid w:val="00310987"/>
    <w:rsid w:val="00310F6E"/>
    <w:rsid w:val="0031267C"/>
    <w:rsid w:val="00312877"/>
    <w:rsid w:val="00313382"/>
    <w:rsid w:val="003138FF"/>
    <w:rsid w:val="0031396A"/>
    <w:rsid w:val="00313A60"/>
    <w:rsid w:val="003144A3"/>
    <w:rsid w:val="0031458F"/>
    <w:rsid w:val="00317691"/>
    <w:rsid w:val="0032017B"/>
    <w:rsid w:val="003204D3"/>
    <w:rsid w:val="00320603"/>
    <w:rsid w:val="0032206C"/>
    <w:rsid w:val="00322271"/>
    <w:rsid w:val="00322937"/>
    <w:rsid w:val="00322BA2"/>
    <w:rsid w:val="0032311F"/>
    <w:rsid w:val="0032519A"/>
    <w:rsid w:val="003252D8"/>
    <w:rsid w:val="003259F0"/>
    <w:rsid w:val="00325A3A"/>
    <w:rsid w:val="0032738A"/>
    <w:rsid w:val="00327BDD"/>
    <w:rsid w:val="003304AF"/>
    <w:rsid w:val="00332005"/>
    <w:rsid w:val="003323C9"/>
    <w:rsid w:val="003323EB"/>
    <w:rsid w:val="00332516"/>
    <w:rsid w:val="00332D62"/>
    <w:rsid w:val="00333368"/>
    <w:rsid w:val="003333FB"/>
    <w:rsid w:val="003334E7"/>
    <w:rsid w:val="00334999"/>
    <w:rsid w:val="003349A5"/>
    <w:rsid w:val="00334B47"/>
    <w:rsid w:val="00334F9D"/>
    <w:rsid w:val="003351CD"/>
    <w:rsid w:val="0033592F"/>
    <w:rsid w:val="00335F0E"/>
    <w:rsid w:val="00336712"/>
    <w:rsid w:val="00336897"/>
    <w:rsid w:val="003377EF"/>
    <w:rsid w:val="00337881"/>
    <w:rsid w:val="00337945"/>
    <w:rsid w:val="00337CC9"/>
    <w:rsid w:val="0034177C"/>
    <w:rsid w:val="0034268A"/>
    <w:rsid w:val="00343061"/>
    <w:rsid w:val="0034444F"/>
    <w:rsid w:val="00345114"/>
    <w:rsid w:val="00345134"/>
    <w:rsid w:val="00345F2B"/>
    <w:rsid w:val="00346096"/>
    <w:rsid w:val="0034680A"/>
    <w:rsid w:val="00346BD3"/>
    <w:rsid w:val="0034748E"/>
    <w:rsid w:val="003474FD"/>
    <w:rsid w:val="0035006A"/>
    <w:rsid w:val="0035171F"/>
    <w:rsid w:val="00351925"/>
    <w:rsid w:val="00351EAD"/>
    <w:rsid w:val="00352C84"/>
    <w:rsid w:val="00352ECA"/>
    <w:rsid w:val="00353147"/>
    <w:rsid w:val="00353DD5"/>
    <w:rsid w:val="0035431C"/>
    <w:rsid w:val="00354482"/>
    <w:rsid w:val="003545EF"/>
    <w:rsid w:val="00354D4B"/>
    <w:rsid w:val="0035533F"/>
    <w:rsid w:val="003554CF"/>
    <w:rsid w:val="00355B83"/>
    <w:rsid w:val="003564A6"/>
    <w:rsid w:val="0035653A"/>
    <w:rsid w:val="0035671F"/>
    <w:rsid w:val="0035753D"/>
    <w:rsid w:val="0036037E"/>
    <w:rsid w:val="00360C2B"/>
    <w:rsid w:val="00362275"/>
    <w:rsid w:val="00362B65"/>
    <w:rsid w:val="00362E84"/>
    <w:rsid w:val="003630DA"/>
    <w:rsid w:val="00363687"/>
    <w:rsid w:val="003649DE"/>
    <w:rsid w:val="0036505D"/>
    <w:rsid w:val="003658F8"/>
    <w:rsid w:val="00365E12"/>
    <w:rsid w:val="003662A4"/>
    <w:rsid w:val="00366C70"/>
    <w:rsid w:val="00366CC3"/>
    <w:rsid w:val="00370FD4"/>
    <w:rsid w:val="00372952"/>
    <w:rsid w:val="00372A00"/>
    <w:rsid w:val="00372FA7"/>
    <w:rsid w:val="003731A5"/>
    <w:rsid w:val="003735D3"/>
    <w:rsid w:val="0037412D"/>
    <w:rsid w:val="00374467"/>
    <w:rsid w:val="00375331"/>
    <w:rsid w:val="00377431"/>
    <w:rsid w:val="0038037B"/>
    <w:rsid w:val="0038198E"/>
    <w:rsid w:val="003828E4"/>
    <w:rsid w:val="00384C21"/>
    <w:rsid w:val="00384E46"/>
    <w:rsid w:val="003851F6"/>
    <w:rsid w:val="003852EA"/>
    <w:rsid w:val="0038626E"/>
    <w:rsid w:val="00386456"/>
    <w:rsid w:val="0038689A"/>
    <w:rsid w:val="00387205"/>
    <w:rsid w:val="003879B7"/>
    <w:rsid w:val="003879DA"/>
    <w:rsid w:val="00391570"/>
    <w:rsid w:val="0039284C"/>
    <w:rsid w:val="003928BA"/>
    <w:rsid w:val="00392CD0"/>
    <w:rsid w:val="003939E7"/>
    <w:rsid w:val="00393A5C"/>
    <w:rsid w:val="0039449D"/>
    <w:rsid w:val="003945DE"/>
    <w:rsid w:val="00395814"/>
    <w:rsid w:val="0039653A"/>
    <w:rsid w:val="003966C8"/>
    <w:rsid w:val="0039686B"/>
    <w:rsid w:val="00397723"/>
    <w:rsid w:val="00397C22"/>
    <w:rsid w:val="003A0069"/>
    <w:rsid w:val="003A0878"/>
    <w:rsid w:val="003A0D3D"/>
    <w:rsid w:val="003A14F0"/>
    <w:rsid w:val="003A1700"/>
    <w:rsid w:val="003A188D"/>
    <w:rsid w:val="003A24C2"/>
    <w:rsid w:val="003A317B"/>
    <w:rsid w:val="003A39E3"/>
    <w:rsid w:val="003A4BFE"/>
    <w:rsid w:val="003A4C50"/>
    <w:rsid w:val="003A581E"/>
    <w:rsid w:val="003A5D70"/>
    <w:rsid w:val="003A61EC"/>
    <w:rsid w:val="003A64BF"/>
    <w:rsid w:val="003A6C1F"/>
    <w:rsid w:val="003A70A2"/>
    <w:rsid w:val="003A74D6"/>
    <w:rsid w:val="003A78E0"/>
    <w:rsid w:val="003B0348"/>
    <w:rsid w:val="003B1829"/>
    <w:rsid w:val="003B1B0F"/>
    <w:rsid w:val="003B2884"/>
    <w:rsid w:val="003B29F1"/>
    <w:rsid w:val="003B309D"/>
    <w:rsid w:val="003B3206"/>
    <w:rsid w:val="003B39DA"/>
    <w:rsid w:val="003B4371"/>
    <w:rsid w:val="003B4825"/>
    <w:rsid w:val="003B4C76"/>
    <w:rsid w:val="003B4DDA"/>
    <w:rsid w:val="003B50BD"/>
    <w:rsid w:val="003B51CB"/>
    <w:rsid w:val="003B5432"/>
    <w:rsid w:val="003B608E"/>
    <w:rsid w:val="003B67A2"/>
    <w:rsid w:val="003B6DC7"/>
    <w:rsid w:val="003B71D8"/>
    <w:rsid w:val="003B74FA"/>
    <w:rsid w:val="003C010A"/>
    <w:rsid w:val="003C046C"/>
    <w:rsid w:val="003C22CA"/>
    <w:rsid w:val="003C26D5"/>
    <w:rsid w:val="003C3690"/>
    <w:rsid w:val="003C3A6B"/>
    <w:rsid w:val="003C426A"/>
    <w:rsid w:val="003C4422"/>
    <w:rsid w:val="003C4B47"/>
    <w:rsid w:val="003C5697"/>
    <w:rsid w:val="003C6131"/>
    <w:rsid w:val="003C7A5F"/>
    <w:rsid w:val="003C7DAE"/>
    <w:rsid w:val="003D1E47"/>
    <w:rsid w:val="003D2296"/>
    <w:rsid w:val="003D3093"/>
    <w:rsid w:val="003D3683"/>
    <w:rsid w:val="003D3BB9"/>
    <w:rsid w:val="003D3C2E"/>
    <w:rsid w:val="003D3E2D"/>
    <w:rsid w:val="003D4456"/>
    <w:rsid w:val="003D4467"/>
    <w:rsid w:val="003D4E6B"/>
    <w:rsid w:val="003D741C"/>
    <w:rsid w:val="003E001D"/>
    <w:rsid w:val="003E14BA"/>
    <w:rsid w:val="003E23EA"/>
    <w:rsid w:val="003E3695"/>
    <w:rsid w:val="003E3BC4"/>
    <w:rsid w:val="003E4C6C"/>
    <w:rsid w:val="003E598C"/>
    <w:rsid w:val="003E657C"/>
    <w:rsid w:val="003E7355"/>
    <w:rsid w:val="003E73F1"/>
    <w:rsid w:val="003E7F15"/>
    <w:rsid w:val="003F0700"/>
    <w:rsid w:val="003F084D"/>
    <w:rsid w:val="003F0BB9"/>
    <w:rsid w:val="003F0F09"/>
    <w:rsid w:val="003F1E6F"/>
    <w:rsid w:val="003F2C90"/>
    <w:rsid w:val="003F3B9D"/>
    <w:rsid w:val="003F4472"/>
    <w:rsid w:val="003F4886"/>
    <w:rsid w:val="003F4FAC"/>
    <w:rsid w:val="003F5A0D"/>
    <w:rsid w:val="003F5D87"/>
    <w:rsid w:val="003F5F0D"/>
    <w:rsid w:val="003F7F27"/>
    <w:rsid w:val="004007D7"/>
    <w:rsid w:val="0040111B"/>
    <w:rsid w:val="00401511"/>
    <w:rsid w:val="004015AE"/>
    <w:rsid w:val="00402B9F"/>
    <w:rsid w:val="00402CC5"/>
    <w:rsid w:val="004043D2"/>
    <w:rsid w:val="00404D7A"/>
    <w:rsid w:val="00404F7E"/>
    <w:rsid w:val="0040503E"/>
    <w:rsid w:val="00406553"/>
    <w:rsid w:val="00407396"/>
    <w:rsid w:val="00407A8A"/>
    <w:rsid w:val="00407EFE"/>
    <w:rsid w:val="00410806"/>
    <w:rsid w:val="004110C1"/>
    <w:rsid w:val="00411E6A"/>
    <w:rsid w:val="00411FA4"/>
    <w:rsid w:val="00412F7D"/>
    <w:rsid w:val="00413E4A"/>
    <w:rsid w:val="0041629E"/>
    <w:rsid w:val="00416CE1"/>
    <w:rsid w:val="00416F9D"/>
    <w:rsid w:val="00422B39"/>
    <w:rsid w:val="00423AD3"/>
    <w:rsid w:val="00423F9F"/>
    <w:rsid w:val="004248F4"/>
    <w:rsid w:val="00425CA8"/>
    <w:rsid w:val="00425D39"/>
    <w:rsid w:val="00426A47"/>
    <w:rsid w:val="00426DF2"/>
    <w:rsid w:val="004276A7"/>
    <w:rsid w:val="00430285"/>
    <w:rsid w:val="00431738"/>
    <w:rsid w:val="00432555"/>
    <w:rsid w:val="0043379B"/>
    <w:rsid w:val="0043379F"/>
    <w:rsid w:val="00434D34"/>
    <w:rsid w:val="00436487"/>
    <w:rsid w:val="00436701"/>
    <w:rsid w:val="0043673A"/>
    <w:rsid w:val="00436CF2"/>
    <w:rsid w:val="00436EE1"/>
    <w:rsid w:val="0044094B"/>
    <w:rsid w:val="00441949"/>
    <w:rsid w:val="00441E6D"/>
    <w:rsid w:val="0044219E"/>
    <w:rsid w:val="0044228D"/>
    <w:rsid w:val="004422D6"/>
    <w:rsid w:val="00446012"/>
    <w:rsid w:val="00446133"/>
    <w:rsid w:val="00446954"/>
    <w:rsid w:val="00447189"/>
    <w:rsid w:val="00447365"/>
    <w:rsid w:val="00447914"/>
    <w:rsid w:val="004502C6"/>
    <w:rsid w:val="00450374"/>
    <w:rsid w:val="004503CA"/>
    <w:rsid w:val="00450793"/>
    <w:rsid w:val="004508FF"/>
    <w:rsid w:val="0045122B"/>
    <w:rsid w:val="00451785"/>
    <w:rsid w:val="00451F4F"/>
    <w:rsid w:val="0045222D"/>
    <w:rsid w:val="00452602"/>
    <w:rsid w:val="004526D3"/>
    <w:rsid w:val="00452A0D"/>
    <w:rsid w:val="0045499B"/>
    <w:rsid w:val="004558DD"/>
    <w:rsid w:val="004568C7"/>
    <w:rsid w:val="004569E3"/>
    <w:rsid w:val="00457A81"/>
    <w:rsid w:val="00457BC1"/>
    <w:rsid w:val="00460729"/>
    <w:rsid w:val="00460D59"/>
    <w:rsid w:val="00461335"/>
    <w:rsid w:val="004613DB"/>
    <w:rsid w:val="004616A9"/>
    <w:rsid w:val="004617CF"/>
    <w:rsid w:val="004625D0"/>
    <w:rsid w:val="00462C5C"/>
    <w:rsid w:val="00463469"/>
    <w:rsid w:val="00463CBF"/>
    <w:rsid w:val="00464836"/>
    <w:rsid w:val="00464867"/>
    <w:rsid w:val="00464BE7"/>
    <w:rsid w:val="004651EF"/>
    <w:rsid w:val="00466347"/>
    <w:rsid w:val="00466DD2"/>
    <w:rsid w:val="0047017D"/>
    <w:rsid w:val="004705A2"/>
    <w:rsid w:val="004709D9"/>
    <w:rsid w:val="00470D26"/>
    <w:rsid w:val="00471178"/>
    <w:rsid w:val="0047137B"/>
    <w:rsid w:val="00471F23"/>
    <w:rsid w:val="00472E62"/>
    <w:rsid w:val="00474173"/>
    <w:rsid w:val="0047438D"/>
    <w:rsid w:val="00476670"/>
    <w:rsid w:val="004772DA"/>
    <w:rsid w:val="004772E9"/>
    <w:rsid w:val="00477ABF"/>
    <w:rsid w:val="0048113B"/>
    <w:rsid w:val="00481F31"/>
    <w:rsid w:val="00482235"/>
    <w:rsid w:val="004823D1"/>
    <w:rsid w:val="00482453"/>
    <w:rsid w:val="00484856"/>
    <w:rsid w:val="00484A3A"/>
    <w:rsid w:val="00484B0A"/>
    <w:rsid w:val="004858BC"/>
    <w:rsid w:val="004866BF"/>
    <w:rsid w:val="00486E19"/>
    <w:rsid w:val="00487936"/>
    <w:rsid w:val="004902ED"/>
    <w:rsid w:val="00491BA4"/>
    <w:rsid w:val="00491F1C"/>
    <w:rsid w:val="0049241A"/>
    <w:rsid w:val="004926EF"/>
    <w:rsid w:val="00493E5B"/>
    <w:rsid w:val="0049440E"/>
    <w:rsid w:val="00494646"/>
    <w:rsid w:val="00495988"/>
    <w:rsid w:val="0049751F"/>
    <w:rsid w:val="004A06D8"/>
    <w:rsid w:val="004A0D1E"/>
    <w:rsid w:val="004A1030"/>
    <w:rsid w:val="004A194E"/>
    <w:rsid w:val="004A1C01"/>
    <w:rsid w:val="004A1D82"/>
    <w:rsid w:val="004A2579"/>
    <w:rsid w:val="004A26B5"/>
    <w:rsid w:val="004A2777"/>
    <w:rsid w:val="004A34D2"/>
    <w:rsid w:val="004A396E"/>
    <w:rsid w:val="004A3E56"/>
    <w:rsid w:val="004A41C5"/>
    <w:rsid w:val="004A462E"/>
    <w:rsid w:val="004A57EE"/>
    <w:rsid w:val="004A627A"/>
    <w:rsid w:val="004A7062"/>
    <w:rsid w:val="004A7BC6"/>
    <w:rsid w:val="004B0381"/>
    <w:rsid w:val="004B0502"/>
    <w:rsid w:val="004B09FE"/>
    <w:rsid w:val="004B0C80"/>
    <w:rsid w:val="004B0EF1"/>
    <w:rsid w:val="004B323E"/>
    <w:rsid w:val="004B3798"/>
    <w:rsid w:val="004B414B"/>
    <w:rsid w:val="004B4965"/>
    <w:rsid w:val="004B680F"/>
    <w:rsid w:val="004B708C"/>
    <w:rsid w:val="004B72C6"/>
    <w:rsid w:val="004B7962"/>
    <w:rsid w:val="004B79D3"/>
    <w:rsid w:val="004C0F66"/>
    <w:rsid w:val="004C2076"/>
    <w:rsid w:val="004C2520"/>
    <w:rsid w:val="004C32B5"/>
    <w:rsid w:val="004C4DAC"/>
    <w:rsid w:val="004C54DA"/>
    <w:rsid w:val="004C58D0"/>
    <w:rsid w:val="004C6530"/>
    <w:rsid w:val="004C6A5A"/>
    <w:rsid w:val="004C72F9"/>
    <w:rsid w:val="004C7664"/>
    <w:rsid w:val="004C7D8B"/>
    <w:rsid w:val="004D1B34"/>
    <w:rsid w:val="004D1C40"/>
    <w:rsid w:val="004D1E36"/>
    <w:rsid w:val="004D1F40"/>
    <w:rsid w:val="004D22F5"/>
    <w:rsid w:val="004D2C56"/>
    <w:rsid w:val="004D4CD7"/>
    <w:rsid w:val="004D6024"/>
    <w:rsid w:val="004D6B1A"/>
    <w:rsid w:val="004D7167"/>
    <w:rsid w:val="004D7247"/>
    <w:rsid w:val="004E0A12"/>
    <w:rsid w:val="004E1522"/>
    <w:rsid w:val="004E1AFE"/>
    <w:rsid w:val="004E1D7D"/>
    <w:rsid w:val="004E2121"/>
    <w:rsid w:val="004E24B4"/>
    <w:rsid w:val="004E376E"/>
    <w:rsid w:val="004E3CCA"/>
    <w:rsid w:val="004E4412"/>
    <w:rsid w:val="004E74C0"/>
    <w:rsid w:val="004F00C1"/>
    <w:rsid w:val="004F0161"/>
    <w:rsid w:val="004F0D23"/>
    <w:rsid w:val="004F1329"/>
    <w:rsid w:val="004F1BF8"/>
    <w:rsid w:val="004F205F"/>
    <w:rsid w:val="004F262A"/>
    <w:rsid w:val="004F2B88"/>
    <w:rsid w:val="004F5FFC"/>
    <w:rsid w:val="004F71B4"/>
    <w:rsid w:val="004F74A8"/>
    <w:rsid w:val="004F7652"/>
    <w:rsid w:val="004F778C"/>
    <w:rsid w:val="0050096C"/>
    <w:rsid w:val="00500B28"/>
    <w:rsid w:val="00500C2C"/>
    <w:rsid w:val="00500E46"/>
    <w:rsid w:val="005010D1"/>
    <w:rsid w:val="00501367"/>
    <w:rsid w:val="0050147A"/>
    <w:rsid w:val="005019DD"/>
    <w:rsid w:val="00502027"/>
    <w:rsid w:val="005022F4"/>
    <w:rsid w:val="005030EA"/>
    <w:rsid w:val="0050382F"/>
    <w:rsid w:val="0050395A"/>
    <w:rsid w:val="00503C30"/>
    <w:rsid w:val="00504CFE"/>
    <w:rsid w:val="005056EE"/>
    <w:rsid w:val="0050666F"/>
    <w:rsid w:val="0051074C"/>
    <w:rsid w:val="00510814"/>
    <w:rsid w:val="00510D99"/>
    <w:rsid w:val="00510FCA"/>
    <w:rsid w:val="00511E1C"/>
    <w:rsid w:val="0051256D"/>
    <w:rsid w:val="005125D0"/>
    <w:rsid w:val="00512F6A"/>
    <w:rsid w:val="00513A64"/>
    <w:rsid w:val="00513AF2"/>
    <w:rsid w:val="00514118"/>
    <w:rsid w:val="00514281"/>
    <w:rsid w:val="0051450C"/>
    <w:rsid w:val="005148D7"/>
    <w:rsid w:val="005158B4"/>
    <w:rsid w:val="0051637C"/>
    <w:rsid w:val="005174FC"/>
    <w:rsid w:val="00517AB0"/>
    <w:rsid w:val="00517B77"/>
    <w:rsid w:val="00517E33"/>
    <w:rsid w:val="00520096"/>
    <w:rsid w:val="005201CA"/>
    <w:rsid w:val="00521105"/>
    <w:rsid w:val="00521815"/>
    <w:rsid w:val="00524F09"/>
    <w:rsid w:val="0052547D"/>
    <w:rsid w:val="005278E6"/>
    <w:rsid w:val="00527B56"/>
    <w:rsid w:val="00527FB0"/>
    <w:rsid w:val="00530E56"/>
    <w:rsid w:val="005310DF"/>
    <w:rsid w:val="00531103"/>
    <w:rsid w:val="005317FA"/>
    <w:rsid w:val="00531BFC"/>
    <w:rsid w:val="0053299A"/>
    <w:rsid w:val="0053339B"/>
    <w:rsid w:val="00533C19"/>
    <w:rsid w:val="005355A1"/>
    <w:rsid w:val="005365B9"/>
    <w:rsid w:val="00537521"/>
    <w:rsid w:val="00540751"/>
    <w:rsid w:val="00540A4F"/>
    <w:rsid w:val="00541058"/>
    <w:rsid w:val="00541E29"/>
    <w:rsid w:val="00541F5C"/>
    <w:rsid w:val="00542157"/>
    <w:rsid w:val="005440DB"/>
    <w:rsid w:val="0054413A"/>
    <w:rsid w:val="005443DD"/>
    <w:rsid w:val="00544C5B"/>
    <w:rsid w:val="00544EF8"/>
    <w:rsid w:val="00546363"/>
    <w:rsid w:val="00546FA4"/>
    <w:rsid w:val="005472FD"/>
    <w:rsid w:val="00547D71"/>
    <w:rsid w:val="005503AB"/>
    <w:rsid w:val="00552862"/>
    <w:rsid w:val="00553D40"/>
    <w:rsid w:val="00554B18"/>
    <w:rsid w:val="005564CA"/>
    <w:rsid w:val="005570A8"/>
    <w:rsid w:val="0055743D"/>
    <w:rsid w:val="00557C48"/>
    <w:rsid w:val="00557C62"/>
    <w:rsid w:val="00557FDD"/>
    <w:rsid w:val="0056055D"/>
    <w:rsid w:val="00560C72"/>
    <w:rsid w:val="0056182B"/>
    <w:rsid w:val="00561DB1"/>
    <w:rsid w:val="0056283E"/>
    <w:rsid w:val="00563A5C"/>
    <w:rsid w:val="00563B07"/>
    <w:rsid w:val="00564E17"/>
    <w:rsid w:val="00564FC2"/>
    <w:rsid w:val="00565877"/>
    <w:rsid w:val="00567928"/>
    <w:rsid w:val="00571FD6"/>
    <w:rsid w:val="00572591"/>
    <w:rsid w:val="005728F1"/>
    <w:rsid w:val="00572C3A"/>
    <w:rsid w:val="00572F5F"/>
    <w:rsid w:val="00573B2B"/>
    <w:rsid w:val="00573D5D"/>
    <w:rsid w:val="00574143"/>
    <w:rsid w:val="00574BA4"/>
    <w:rsid w:val="00574E90"/>
    <w:rsid w:val="005756AA"/>
    <w:rsid w:val="00576BBB"/>
    <w:rsid w:val="005771A5"/>
    <w:rsid w:val="00580B03"/>
    <w:rsid w:val="00583A09"/>
    <w:rsid w:val="00583C2D"/>
    <w:rsid w:val="00584771"/>
    <w:rsid w:val="00584BC5"/>
    <w:rsid w:val="00584E0C"/>
    <w:rsid w:val="005852BA"/>
    <w:rsid w:val="00586E4D"/>
    <w:rsid w:val="00590516"/>
    <w:rsid w:val="005907A9"/>
    <w:rsid w:val="005909ED"/>
    <w:rsid w:val="00590E4F"/>
    <w:rsid w:val="005912A0"/>
    <w:rsid w:val="005924EF"/>
    <w:rsid w:val="005957C8"/>
    <w:rsid w:val="005958F3"/>
    <w:rsid w:val="00595D86"/>
    <w:rsid w:val="00596DE4"/>
    <w:rsid w:val="00597883"/>
    <w:rsid w:val="00597DAB"/>
    <w:rsid w:val="005A1976"/>
    <w:rsid w:val="005A1A73"/>
    <w:rsid w:val="005A1AA6"/>
    <w:rsid w:val="005A220D"/>
    <w:rsid w:val="005A2C83"/>
    <w:rsid w:val="005A2FD9"/>
    <w:rsid w:val="005A38D8"/>
    <w:rsid w:val="005A4FFA"/>
    <w:rsid w:val="005A555D"/>
    <w:rsid w:val="005A61F1"/>
    <w:rsid w:val="005A7850"/>
    <w:rsid w:val="005A7A24"/>
    <w:rsid w:val="005A7FAA"/>
    <w:rsid w:val="005B0D75"/>
    <w:rsid w:val="005B15CA"/>
    <w:rsid w:val="005B1993"/>
    <w:rsid w:val="005B3CD8"/>
    <w:rsid w:val="005B4756"/>
    <w:rsid w:val="005B5AD6"/>
    <w:rsid w:val="005B5B57"/>
    <w:rsid w:val="005C0AE8"/>
    <w:rsid w:val="005C162D"/>
    <w:rsid w:val="005C1AC6"/>
    <w:rsid w:val="005C2779"/>
    <w:rsid w:val="005C2EF4"/>
    <w:rsid w:val="005C3A6A"/>
    <w:rsid w:val="005C3EA4"/>
    <w:rsid w:val="005C4AB8"/>
    <w:rsid w:val="005C4B97"/>
    <w:rsid w:val="005C5EB0"/>
    <w:rsid w:val="005C68E7"/>
    <w:rsid w:val="005C7600"/>
    <w:rsid w:val="005C79A2"/>
    <w:rsid w:val="005C7AED"/>
    <w:rsid w:val="005D0D7F"/>
    <w:rsid w:val="005D10F1"/>
    <w:rsid w:val="005D1FEF"/>
    <w:rsid w:val="005D2539"/>
    <w:rsid w:val="005D263C"/>
    <w:rsid w:val="005D2D9B"/>
    <w:rsid w:val="005D3438"/>
    <w:rsid w:val="005D4C4C"/>
    <w:rsid w:val="005D4CC1"/>
    <w:rsid w:val="005D50AA"/>
    <w:rsid w:val="005D51FA"/>
    <w:rsid w:val="005D5542"/>
    <w:rsid w:val="005D6977"/>
    <w:rsid w:val="005D6CAC"/>
    <w:rsid w:val="005D791B"/>
    <w:rsid w:val="005E0888"/>
    <w:rsid w:val="005E2358"/>
    <w:rsid w:val="005E3D00"/>
    <w:rsid w:val="005E4159"/>
    <w:rsid w:val="005E47E9"/>
    <w:rsid w:val="005E4DBD"/>
    <w:rsid w:val="005E529C"/>
    <w:rsid w:val="005E5B57"/>
    <w:rsid w:val="005E6118"/>
    <w:rsid w:val="005E640D"/>
    <w:rsid w:val="005E7395"/>
    <w:rsid w:val="005F012F"/>
    <w:rsid w:val="005F1543"/>
    <w:rsid w:val="005F197B"/>
    <w:rsid w:val="005F1B4D"/>
    <w:rsid w:val="005F1F78"/>
    <w:rsid w:val="005F2102"/>
    <w:rsid w:val="005F2642"/>
    <w:rsid w:val="005F26E3"/>
    <w:rsid w:val="005F3AEA"/>
    <w:rsid w:val="005F46B6"/>
    <w:rsid w:val="005F48AA"/>
    <w:rsid w:val="005F48C8"/>
    <w:rsid w:val="005F4FAB"/>
    <w:rsid w:val="005F6740"/>
    <w:rsid w:val="005F67B3"/>
    <w:rsid w:val="00600C3F"/>
    <w:rsid w:val="0060167D"/>
    <w:rsid w:val="00602939"/>
    <w:rsid w:val="006032CA"/>
    <w:rsid w:val="00604809"/>
    <w:rsid w:val="00604E35"/>
    <w:rsid w:val="00604F49"/>
    <w:rsid w:val="006053B5"/>
    <w:rsid w:val="00606400"/>
    <w:rsid w:val="00606CC8"/>
    <w:rsid w:val="00606D1C"/>
    <w:rsid w:val="00606DCB"/>
    <w:rsid w:val="00606EAE"/>
    <w:rsid w:val="006072D1"/>
    <w:rsid w:val="00607888"/>
    <w:rsid w:val="00610361"/>
    <w:rsid w:val="006105EA"/>
    <w:rsid w:val="0061081B"/>
    <w:rsid w:val="006118C9"/>
    <w:rsid w:val="0061304B"/>
    <w:rsid w:val="00613442"/>
    <w:rsid w:val="006134CB"/>
    <w:rsid w:val="00613CA4"/>
    <w:rsid w:val="00614817"/>
    <w:rsid w:val="00614AAB"/>
    <w:rsid w:val="006158F0"/>
    <w:rsid w:val="00617C35"/>
    <w:rsid w:val="006208FE"/>
    <w:rsid w:val="00621165"/>
    <w:rsid w:val="00621A78"/>
    <w:rsid w:val="00622F73"/>
    <w:rsid w:val="00623168"/>
    <w:rsid w:val="00623B77"/>
    <w:rsid w:val="00624C50"/>
    <w:rsid w:val="0062540D"/>
    <w:rsid w:val="00625F19"/>
    <w:rsid w:val="00627BEE"/>
    <w:rsid w:val="00627CE3"/>
    <w:rsid w:val="00630258"/>
    <w:rsid w:val="00630A35"/>
    <w:rsid w:val="00630B32"/>
    <w:rsid w:val="00630FDF"/>
    <w:rsid w:val="006313F4"/>
    <w:rsid w:val="006317D9"/>
    <w:rsid w:val="00632269"/>
    <w:rsid w:val="0063261F"/>
    <w:rsid w:val="00633262"/>
    <w:rsid w:val="006338A8"/>
    <w:rsid w:val="00633DBF"/>
    <w:rsid w:val="00633E03"/>
    <w:rsid w:val="00633EC0"/>
    <w:rsid w:val="00634350"/>
    <w:rsid w:val="0063508B"/>
    <w:rsid w:val="006350E6"/>
    <w:rsid w:val="006354B0"/>
    <w:rsid w:val="00636D35"/>
    <w:rsid w:val="00637E41"/>
    <w:rsid w:val="0064058D"/>
    <w:rsid w:val="006441E9"/>
    <w:rsid w:val="006449C3"/>
    <w:rsid w:val="00644ADC"/>
    <w:rsid w:val="00645159"/>
    <w:rsid w:val="006453C1"/>
    <w:rsid w:val="00645CF8"/>
    <w:rsid w:val="006464BC"/>
    <w:rsid w:val="0064734D"/>
    <w:rsid w:val="00647C3A"/>
    <w:rsid w:val="00650F5F"/>
    <w:rsid w:val="00650FDB"/>
    <w:rsid w:val="0065118A"/>
    <w:rsid w:val="0065154D"/>
    <w:rsid w:val="00651659"/>
    <w:rsid w:val="00654AD5"/>
    <w:rsid w:val="00655371"/>
    <w:rsid w:val="00655552"/>
    <w:rsid w:val="006567F0"/>
    <w:rsid w:val="00656997"/>
    <w:rsid w:val="00656BD3"/>
    <w:rsid w:val="00656C7D"/>
    <w:rsid w:val="00657C17"/>
    <w:rsid w:val="006609AB"/>
    <w:rsid w:val="00660B46"/>
    <w:rsid w:val="006613B1"/>
    <w:rsid w:val="00661F16"/>
    <w:rsid w:val="00662F65"/>
    <w:rsid w:val="00663314"/>
    <w:rsid w:val="0066452D"/>
    <w:rsid w:val="00664556"/>
    <w:rsid w:val="00664EBA"/>
    <w:rsid w:val="00665553"/>
    <w:rsid w:val="00665ED7"/>
    <w:rsid w:val="006660FA"/>
    <w:rsid w:val="00666303"/>
    <w:rsid w:val="00666375"/>
    <w:rsid w:val="0066696D"/>
    <w:rsid w:val="006676AA"/>
    <w:rsid w:val="00667FD6"/>
    <w:rsid w:val="00670AFD"/>
    <w:rsid w:val="006715BC"/>
    <w:rsid w:val="00672379"/>
    <w:rsid w:val="006726C7"/>
    <w:rsid w:val="006732EF"/>
    <w:rsid w:val="00673E35"/>
    <w:rsid w:val="006745D9"/>
    <w:rsid w:val="00675DAA"/>
    <w:rsid w:val="00676398"/>
    <w:rsid w:val="0067671D"/>
    <w:rsid w:val="00676959"/>
    <w:rsid w:val="0067719F"/>
    <w:rsid w:val="00677428"/>
    <w:rsid w:val="00677A41"/>
    <w:rsid w:val="00680ACA"/>
    <w:rsid w:val="00680CD0"/>
    <w:rsid w:val="00680EE3"/>
    <w:rsid w:val="006811A6"/>
    <w:rsid w:val="00681957"/>
    <w:rsid w:val="00682A02"/>
    <w:rsid w:val="00683B3E"/>
    <w:rsid w:val="00685196"/>
    <w:rsid w:val="0068678E"/>
    <w:rsid w:val="00690195"/>
    <w:rsid w:val="006905C1"/>
    <w:rsid w:val="006905D6"/>
    <w:rsid w:val="00691277"/>
    <w:rsid w:val="00693363"/>
    <w:rsid w:val="00693EB0"/>
    <w:rsid w:val="00694390"/>
    <w:rsid w:val="00694523"/>
    <w:rsid w:val="00695596"/>
    <w:rsid w:val="00695B23"/>
    <w:rsid w:val="00696669"/>
    <w:rsid w:val="006966AB"/>
    <w:rsid w:val="0069763C"/>
    <w:rsid w:val="00697665"/>
    <w:rsid w:val="006A0105"/>
    <w:rsid w:val="006A0BB2"/>
    <w:rsid w:val="006A0BC3"/>
    <w:rsid w:val="006A0F37"/>
    <w:rsid w:val="006A14C3"/>
    <w:rsid w:val="006A1B54"/>
    <w:rsid w:val="006A490E"/>
    <w:rsid w:val="006A4CD0"/>
    <w:rsid w:val="006A513A"/>
    <w:rsid w:val="006A52CE"/>
    <w:rsid w:val="006A667D"/>
    <w:rsid w:val="006A6C98"/>
    <w:rsid w:val="006A7CB5"/>
    <w:rsid w:val="006A7FD0"/>
    <w:rsid w:val="006B02DD"/>
    <w:rsid w:val="006B0A01"/>
    <w:rsid w:val="006B1211"/>
    <w:rsid w:val="006B134F"/>
    <w:rsid w:val="006B2D2D"/>
    <w:rsid w:val="006B340F"/>
    <w:rsid w:val="006B4131"/>
    <w:rsid w:val="006B419C"/>
    <w:rsid w:val="006B47A7"/>
    <w:rsid w:val="006B4A03"/>
    <w:rsid w:val="006B4BC9"/>
    <w:rsid w:val="006B5469"/>
    <w:rsid w:val="006B5E52"/>
    <w:rsid w:val="006B6D5F"/>
    <w:rsid w:val="006B7C79"/>
    <w:rsid w:val="006C02B8"/>
    <w:rsid w:val="006C05BD"/>
    <w:rsid w:val="006C12D6"/>
    <w:rsid w:val="006C1557"/>
    <w:rsid w:val="006C16C4"/>
    <w:rsid w:val="006C1A9B"/>
    <w:rsid w:val="006C1E20"/>
    <w:rsid w:val="006C3315"/>
    <w:rsid w:val="006C34C1"/>
    <w:rsid w:val="006C40B0"/>
    <w:rsid w:val="006C4865"/>
    <w:rsid w:val="006C4FB6"/>
    <w:rsid w:val="006C55B0"/>
    <w:rsid w:val="006C59F1"/>
    <w:rsid w:val="006C5CBB"/>
    <w:rsid w:val="006C5FF8"/>
    <w:rsid w:val="006D05F7"/>
    <w:rsid w:val="006D0944"/>
    <w:rsid w:val="006D0A64"/>
    <w:rsid w:val="006D1A6C"/>
    <w:rsid w:val="006D3000"/>
    <w:rsid w:val="006D316E"/>
    <w:rsid w:val="006D391A"/>
    <w:rsid w:val="006D46B7"/>
    <w:rsid w:val="006D4D3E"/>
    <w:rsid w:val="006D50BE"/>
    <w:rsid w:val="006D524B"/>
    <w:rsid w:val="006D6BBC"/>
    <w:rsid w:val="006D7687"/>
    <w:rsid w:val="006D7953"/>
    <w:rsid w:val="006E0572"/>
    <w:rsid w:val="006E178E"/>
    <w:rsid w:val="006E1CF3"/>
    <w:rsid w:val="006E2F98"/>
    <w:rsid w:val="006E321E"/>
    <w:rsid w:val="006E3401"/>
    <w:rsid w:val="006E3C68"/>
    <w:rsid w:val="006E4184"/>
    <w:rsid w:val="006E4ED6"/>
    <w:rsid w:val="006E5518"/>
    <w:rsid w:val="006E691B"/>
    <w:rsid w:val="006E7BD4"/>
    <w:rsid w:val="006F0339"/>
    <w:rsid w:val="006F1C0D"/>
    <w:rsid w:val="006F2A0F"/>
    <w:rsid w:val="006F2C91"/>
    <w:rsid w:val="006F3D72"/>
    <w:rsid w:val="006F3DDD"/>
    <w:rsid w:val="006F4334"/>
    <w:rsid w:val="006F5452"/>
    <w:rsid w:val="006F77C0"/>
    <w:rsid w:val="006F7B98"/>
    <w:rsid w:val="00700094"/>
    <w:rsid w:val="0070018D"/>
    <w:rsid w:val="007007D4"/>
    <w:rsid w:val="00700C40"/>
    <w:rsid w:val="00702675"/>
    <w:rsid w:val="007027E7"/>
    <w:rsid w:val="00702B8B"/>
    <w:rsid w:val="00703A0F"/>
    <w:rsid w:val="00703B28"/>
    <w:rsid w:val="00705631"/>
    <w:rsid w:val="0070611C"/>
    <w:rsid w:val="007065A8"/>
    <w:rsid w:val="00706A51"/>
    <w:rsid w:val="0070782A"/>
    <w:rsid w:val="00710196"/>
    <w:rsid w:val="00710305"/>
    <w:rsid w:val="00710EEC"/>
    <w:rsid w:val="0071288C"/>
    <w:rsid w:val="007132FB"/>
    <w:rsid w:val="0071348C"/>
    <w:rsid w:val="0071390D"/>
    <w:rsid w:val="00714530"/>
    <w:rsid w:val="00714B3E"/>
    <w:rsid w:val="00715E83"/>
    <w:rsid w:val="00715EAA"/>
    <w:rsid w:val="00717566"/>
    <w:rsid w:val="00720AC5"/>
    <w:rsid w:val="0072169F"/>
    <w:rsid w:val="00721B75"/>
    <w:rsid w:val="0072307E"/>
    <w:rsid w:val="00723A7A"/>
    <w:rsid w:val="00723ABB"/>
    <w:rsid w:val="007240C9"/>
    <w:rsid w:val="00724AFD"/>
    <w:rsid w:val="00725FBB"/>
    <w:rsid w:val="00726A61"/>
    <w:rsid w:val="00726E84"/>
    <w:rsid w:val="00727520"/>
    <w:rsid w:val="00727F26"/>
    <w:rsid w:val="00730306"/>
    <w:rsid w:val="00730618"/>
    <w:rsid w:val="00731222"/>
    <w:rsid w:val="00731CBB"/>
    <w:rsid w:val="00732D32"/>
    <w:rsid w:val="007331A0"/>
    <w:rsid w:val="0073322B"/>
    <w:rsid w:val="00733F5A"/>
    <w:rsid w:val="00734286"/>
    <w:rsid w:val="007346C5"/>
    <w:rsid w:val="00734F7F"/>
    <w:rsid w:val="00735685"/>
    <w:rsid w:val="00735C4B"/>
    <w:rsid w:val="00736DE3"/>
    <w:rsid w:val="0073748A"/>
    <w:rsid w:val="00737765"/>
    <w:rsid w:val="00740500"/>
    <w:rsid w:val="007407BE"/>
    <w:rsid w:val="00740F14"/>
    <w:rsid w:val="0074100F"/>
    <w:rsid w:val="00741A2C"/>
    <w:rsid w:val="00742A69"/>
    <w:rsid w:val="00742DD2"/>
    <w:rsid w:val="0074303C"/>
    <w:rsid w:val="0074669E"/>
    <w:rsid w:val="00746E08"/>
    <w:rsid w:val="007479F8"/>
    <w:rsid w:val="00747C96"/>
    <w:rsid w:val="00750174"/>
    <w:rsid w:val="0075094E"/>
    <w:rsid w:val="007509D3"/>
    <w:rsid w:val="00751421"/>
    <w:rsid w:val="00751E94"/>
    <w:rsid w:val="007522E8"/>
    <w:rsid w:val="007526B2"/>
    <w:rsid w:val="007559ED"/>
    <w:rsid w:val="0075604B"/>
    <w:rsid w:val="0075647A"/>
    <w:rsid w:val="00756A3D"/>
    <w:rsid w:val="00757208"/>
    <w:rsid w:val="00760526"/>
    <w:rsid w:val="00761A6B"/>
    <w:rsid w:val="00761DBC"/>
    <w:rsid w:val="00762634"/>
    <w:rsid w:val="00762AEC"/>
    <w:rsid w:val="007634AD"/>
    <w:rsid w:val="00764838"/>
    <w:rsid w:val="00764D4E"/>
    <w:rsid w:val="00764E67"/>
    <w:rsid w:val="00765694"/>
    <w:rsid w:val="00765B48"/>
    <w:rsid w:val="00765BCF"/>
    <w:rsid w:val="00767F50"/>
    <w:rsid w:val="00770CEE"/>
    <w:rsid w:val="00770F51"/>
    <w:rsid w:val="0077377C"/>
    <w:rsid w:val="00773A10"/>
    <w:rsid w:val="0077470A"/>
    <w:rsid w:val="00775007"/>
    <w:rsid w:val="007759E8"/>
    <w:rsid w:val="00776709"/>
    <w:rsid w:val="00777DA2"/>
    <w:rsid w:val="0078122E"/>
    <w:rsid w:val="00781331"/>
    <w:rsid w:val="007813B7"/>
    <w:rsid w:val="00781EE9"/>
    <w:rsid w:val="00781F10"/>
    <w:rsid w:val="00782053"/>
    <w:rsid w:val="00782878"/>
    <w:rsid w:val="00783027"/>
    <w:rsid w:val="00783678"/>
    <w:rsid w:val="007839BF"/>
    <w:rsid w:val="00783AEB"/>
    <w:rsid w:val="007843B6"/>
    <w:rsid w:val="00785913"/>
    <w:rsid w:val="00786353"/>
    <w:rsid w:val="007866FF"/>
    <w:rsid w:val="00786CB0"/>
    <w:rsid w:val="00786E20"/>
    <w:rsid w:val="00787DC5"/>
    <w:rsid w:val="0079028F"/>
    <w:rsid w:val="00790AC4"/>
    <w:rsid w:val="00791E28"/>
    <w:rsid w:val="007927C6"/>
    <w:rsid w:val="007934AE"/>
    <w:rsid w:val="0079381B"/>
    <w:rsid w:val="00793EC8"/>
    <w:rsid w:val="00794171"/>
    <w:rsid w:val="00795647"/>
    <w:rsid w:val="007963B2"/>
    <w:rsid w:val="007A05B2"/>
    <w:rsid w:val="007A07E4"/>
    <w:rsid w:val="007A179D"/>
    <w:rsid w:val="007A211F"/>
    <w:rsid w:val="007A3612"/>
    <w:rsid w:val="007A3911"/>
    <w:rsid w:val="007A399C"/>
    <w:rsid w:val="007A3D08"/>
    <w:rsid w:val="007A3F50"/>
    <w:rsid w:val="007A53EF"/>
    <w:rsid w:val="007A6DE0"/>
    <w:rsid w:val="007A7761"/>
    <w:rsid w:val="007B0854"/>
    <w:rsid w:val="007B1288"/>
    <w:rsid w:val="007B1526"/>
    <w:rsid w:val="007B18EE"/>
    <w:rsid w:val="007B204E"/>
    <w:rsid w:val="007B2571"/>
    <w:rsid w:val="007B2D62"/>
    <w:rsid w:val="007B3524"/>
    <w:rsid w:val="007B3CCC"/>
    <w:rsid w:val="007B3CCE"/>
    <w:rsid w:val="007B4540"/>
    <w:rsid w:val="007B495B"/>
    <w:rsid w:val="007B5414"/>
    <w:rsid w:val="007B58F4"/>
    <w:rsid w:val="007B6EA2"/>
    <w:rsid w:val="007B7CED"/>
    <w:rsid w:val="007C097B"/>
    <w:rsid w:val="007C17F4"/>
    <w:rsid w:val="007C256E"/>
    <w:rsid w:val="007C3FAF"/>
    <w:rsid w:val="007C552A"/>
    <w:rsid w:val="007C5D1C"/>
    <w:rsid w:val="007C643C"/>
    <w:rsid w:val="007C72EC"/>
    <w:rsid w:val="007C755B"/>
    <w:rsid w:val="007D0056"/>
    <w:rsid w:val="007D02FD"/>
    <w:rsid w:val="007D0313"/>
    <w:rsid w:val="007D0FED"/>
    <w:rsid w:val="007D217E"/>
    <w:rsid w:val="007D2A20"/>
    <w:rsid w:val="007D2D49"/>
    <w:rsid w:val="007D2E15"/>
    <w:rsid w:val="007D2FC7"/>
    <w:rsid w:val="007D319C"/>
    <w:rsid w:val="007D543F"/>
    <w:rsid w:val="007D5A5A"/>
    <w:rsid w:val="007D5C8F"/>
    <w:rsid w:val="007D6000"/>
    <w:rsid w:val="007D671A"/>
    <w:rsid w:val="007D6AEE"/>
    <w:rsid w:val="007D74F0"/>
    <w:rsid w:val="007D7DA4"/>
    <w:rsid w:val="007E0393"/>
    <w:rsid w:val="007E043C"/>
    <w:rsid w:val="007E04BB"/>
    <w:rsid w:val="007E0C2B"/>
    <w:rsid w:val="007E1321"/>
    <w:rsid w:val="007E23F7"/>
    <w:rsid w:val="007E2D42"/>
    <w:rsid w:val="007E33FB"/>
    <w:rsid w:val="007E392D"/>
    <w:rsid w:val="007E4FB0"/>
    <w:rsid w:val="007E5073"/>
    <w:rsid w:val="007E5253"/>
    <w:rsid w:val="007E61BB"/>
    <w:rsid w:val="007E6773"/>
    <w:rsid w:val="007E758C"/>
    <w:rsid w:val="007F0CE8"/>
    <w:rsid w:val="007F12AC"/>
    <w:rsid w:val="007F1C03"/>
    <w:rsid w:val="007F2320"/>
    <w:rsid w:val="007F2386"/>
    <w:rsid w:val="007F316B"/>
    <w:rsid w:val="007F3369"/>
    <w:rsid w:val="007F3386"/>
    <w:rsid w:val="007F5252"/>
    <w:rsid w:val="007F6728"/>
    <w:rsid w:val="007F6B46"/>
    <w:rsid w:val="007F6B96"/>
    <w:rsid w:val="007F6BC0"/>
    <w:rsid w:val="007F72CB"/>
    <w:rsid w:val="007F737B"/>
    <w:rsid w:val="00800380"/>
    <w:rsid w:val="008003EA"/>
    <w:rsid w:val="008007F7"/>
    <w:rsid w:val="00800CB0"/>
    <w:rsid w:val="00802BF5"/>
    <w:rsid w:val="00802FA2"/>
    <w:rsid w:val="008035BB"/>
    <w:rsid w:val="0080413E"/>
    <w:rsid w:val="0080517A"/>
    <w:rsid w:val="0080521C"/>
    <w:rsid w:val="00805341"/>
    <w:rsid w:val="00805892"/>
    <w:rsid w:val="00805C47"/>
    <w:rsid w:val="00805E3B"/>
    <w:rsid w:val="0080720B"/>
    <w:rsid w:val="00807754"/>
    <w:rsid w:val="00807D70"/>
    <w:rsid w:val="00807F70"/>
    <w:rsid w:val="0081079D"/>
    <w:rsid w:val="00810E94"/>
    <w:rsid w:val="00811198"/>
    <w:rsid w:val="00812889"/>
    <w:rsid w:val="008128E6"/>
    <w:rsid w:val="00812CF7"/>
    <w:rsid w:val="00813189"/>
    <w:rsid w:val="0081319D"/>
    <w:rsid w:val="00814881"/>
    <w:rsid w:val="00815C43"/>
    <w:rsid w:val="008161A0"/>
    <w:rsid w:val="00817A08"/>
    <w:rsid w:val="00820AAA"/>
    <w:rsid w:val="00820B4A"/>
    <w:rsid w:val="008217B7"/>
    <w:rsid w:val="00821A69"/>
    <w:rsid w:val="008236D2"/>
    <w:rsid w:val="0082471E"/>
    <w:rsid w:val="00824BA7"/>
    <w:rsid w:val="008255B9"/>
    <w:rsid w:val="0082606C"/>
    <w:rsid w:val="00830B56"/>
    <w:rsid w:val="0083119B"/>
    <w:rsid w:val="008317CC"/>
    <w:rsid w:val="008325CA"/>
    <w:rsid w:val="00833494"/>
    <w:rsid w:val="0083389E"/>
    <w:rsid w:val="00833D10"/>
    <w:rsid w:val="00836AC5"/>
    <w:rsid w:val="00836EAB"/>
    <w:rsid w:val="0084011C"/>
    <w:rsid w:val="00840625"/>
    <w:rsid w:val="0084146C"/>
    <w:rsid w:val="008415E3"/>
    <w:rsid w:val="008422C6"/>
    <w:rsid w:val="008434CF"/>
    <w:rsid w:val="00843A94"/>
    <w:rsid w:val="00843B34"/>
    <w:rsid w:val="00844611"/>
    <w:rsid w:val="00845FC8"/>
    <w:rsid w:val="008502CC"/>
    <w:rsid w:val="008502F9"/>
    <w:rsid w:val="0085092D"/>
    <w:rsid w:val="00850F79"/>
    <w:rsid w:val="0085136E"/>
    <w:rsid w:val="0085175C"/>
    <w:rsid w:val="00851933"/>
    <w:rsid w:val="00851936"/>
    <w:rsid w:val="00853B4B"/>
    <w:rsid w:val="00853CE7"/>
    <w:rsid w:val="00854029"/>
    <w:rsid w:val="00854370"/>
    <w:rsid w:val="008548AC"/>
    <w:rsid w:val="0085598C"/>
    <w:rsid w:val="00855F56"/>
    <w:rsid w:val="00856420"/>
    <w:rsid w:val="008576FC"/>
    <w:rsid w:val="00857CD9"/>
    <w:rsid w:val="008605DD"/>
    <w:rsid w:val="00861CBE"/>
    <w:rsid w:val="008629DE"/>
    <w:rsid w:val="00863907"/>
    <w:rsid w:val="00863B45"/>
    <w:rsid w:val="00864E15"/>
    <w:rsid w:val="00864F2E"/>
    <w:rsid w:val="00866D4C"/>
    <w:rsid w:val="00867267"/>
    <w:rsid w:val="0086772B"/>
    <w:rsid w:val="00867FA2"/>
    <w:rsid w:val="00870445"/>
    <w:rsid w:val="00870E1A"/>
    <w:rsid w:val="00870F97"/>
    <w:rsid w:val="0087139E"/>
    <w:rsid w:val="00872306"/>
    <w:rsid w:val="0087255F"/>
    <w:rsid w:val="00872B3B"/>
    <w:rsid w:val="0087326A"/>
    <w:rsid w:val="008741CF"/>
    <w:rsid w:val="00874D55"/>
    <w:rsid w:val="00875469"/>
    <w:rsid w:val="0087549E"/>
    <w:rsid w:val="00877050"/>
    <w:rsid w:val="00877A16"/>
    <w:rsid w:val="00877D34"/>
    <w:rsid w:val="00880023"/>
    <w:rsid w:val="008800ED"/>
    <w:rsid w:val="008807A6"/>
    <w:rsid w:val="00880C7D"/>
    <w:rsid w:val="008820EF"/>
    <w:rsid w:val="00882646"/>
    <w:rsid w:val="0088288B"/>
    <w:rsid w:val="0088292E"/>
    <w:rsid w:val="00883014"/>
    <w:rsid w:val="0088373F"/>
    <w:rsid w:val="00883844"/>
    <w:rsid w:val="00884680"/>
    <w:rsid w:val="008847A7"/>
    <w:rsid w:val="0088551C"/>
    <w:rsid w:val="00890802"/>
    <w:rsid w:val="00890A55"/>
    <w:rsid w:val="00890A9A"/>
    <w:rsid w:val="00891993"/>
    <w:rsid w:val="00891DEC"/>
    <w:rsid w:val="008924B5"/>
    <w:rsid w:val="00894248"/>
    <w:rsid w:val="008948DF"/>
    <w:rsid w:val="00894E41"/>
    <w:rsid w:val="00895565"/>
    <w:rsid w:val="00895747"/>
    <w:rsid w:val="00895A22"/>
    <w:rsid w:val="0089637B"/>
    <w:rsid w:val="00896B8A"/>
    <w:rsid w:val="0089774F"/>
    <w:rsid w:val="008977E5"/>
    <w:rsid w:val="00897CFE"/>
    <w:rsid w:val="008A0392"/>
    <w:rsid w:val="008A0BE8"/>
    <w:rsid w:val="008A0D56"/>
    <w:rsid w:val="008A113A"/>
    <w:rsid w:val="008A1C8C"/>
    <w:rsid w:val="008A210F"/>
    <w:rsid w:val="008A22FB"/>
    <w:rsid w:val="008A24D7"/>
    <w:rsid w:val="008A265E"/>
    <w:rsid w:val="008A2781"/>
    <w:rsid w:val="008A36B6"/>
    <w:rsid w:val="008A432F"/>
    <w:rsid w:val="008A4788"/>
    <w:rsid w:val="008A5F52"/>
    <w:rsid w:val="008A66DC"/>
    <w:rsid w:val="008A6EB9"/>
    <w:rsid w:val="008A7F4C"/>
    <w:rsid w:val="008B0946"/>
    <w:rsid w:val="008B1B8A"/>
    <w:rsid w:val="008B2228"/>
    <w:rsid w:val="008B2578"/>
    <w:rsid w:val="008B2CF7"/>
    <w:rsid w:val="008B365E"/>
    <w:rsid w:val="008B378E"/>
    <w:rsid w:val="008B3AC1"/>
    <w:rsid w:val="008B423D"/>
    <w:rsid w:val="008B6CE8"/>
    <w:rsid w:val="008B721F"/>
    <w:rsid w:val="008B7830"/>
    <w:rsid w:val="008B7AE1"/>
    <w:rsid w:val="008C0576"/>
    <w:rsid w:val="008C0C01"/>
    <w:rsid w:val="008C0E1F"/>
    <w:rsid w:val="008C1250"/>
    <w:rsid w:val="008C193F"/>
    <w:rsid w:val="008C1A17"/>
    <w:rsid w:val="008C289F"/>
    <w:rsid w:val="008C33B6"/>
    <w:rsid w:val="008C39D2"/>
    <w:rsid w:val="008C66F3"/>
    <w:rsid w:val="008C71CB"/>
    <w:rsid w:val="008C73D8"/>
    <w:rsid w:val="008C75C7"/>
    <w:rsid w:val="008C7FE6"/>
    <w:rsid w:val="008D294A"/>
    <w:rsid w:val="008D47C2"/>
    <w:rsid w:val="008D53A2"/>
    <w:rsid w:val="008D6624"/>
    <w:rsid w:val="008D6EC1"/>
    <w:rsid w:val="008D7089"/>
    <w:rsid w:val="008E023A"/>
    <w:rsid w:val="008E0826"/>
    <w:rsid w:val="008E11F9"/>
    <w:rsid w:val="008E121F"/>
    <w:rsid w:val="008E1A00"/>
    <w:rsid w:val="008E1C15"/>
    <w:rsid w:val="008E27D4"/>
    <w:rsid w:val="008E2A99"/>
    <w:rsid w:val="008E365E"/>
    <w:rsid w:val="008E3A2A"/>
    <w:rsid w:val="008E52A4"/>
    <w:rsid w:val="008E705D"/>
    <w:rsid w:val="008E70DB"/>
    <w:rsid w:val="008E7BB9"/>
    <w:rsid w:val="008F0098"/>
    <w:rsid w:val="008F08FE"/>
    <w:rsid w:val="008F1989"/>
    <w:rsid w:val="008F1E12"/>
    <w:rsid w:val="008F25EF"/>
    <w:rsid w:val="008F331A"/>
    <w:rsid w:val="008F3623"/>
    <w:rsid w:val="008F4074"/>
    <w:rsid w:val="008F534C"/>
    <w:rsid w:val="008F538E"/>
    <w:rsid w:val="008F5BE0"/>
    <w:rsid w:val="008F5BFC"/>
    <w:rsid w:val="008F6ABB"/>
    <w:rsid w:val="0090042B"/>
    <w:rsid w:val="00900BE8"/>
    <w:rsid w:val="00900D56"/>
    <w:rsid w:val="00900F3C"/>
    <w:rsid w:val="009016FC"/>
    <w:rsid w:val="0090174A"/>
    <w:rsid w:val="00901EDA"/>
    <w:rsid w:val="00901F3D"/>
    <w:rsid w:val="009022C1"/>
    <w:rsid w:val="00902D39"/>
    <w:rsid w:val="00903CBC"/>
    <w:rsid w:val="009047C5"/>
    <w:rsid w:val="00904DDB"/>
    <w:rsid w:val="00904E06"/>
    <w:rsid w:val="00905B35"/>
    <w:rsid w:val="00906935"/>
    <w:rsid w:val="00906D3F"/>
    <w:rsid w:val="00907491"/>
    <w:rsid w:val="009101A5"/>
    <w:rsid w:val="00910AAA"/>
    <w:rsid w:val="00910B8D"/>
    <w:rsid w:val="00911B7F"/>
    <w:rsid w:val="009121B6"/>
    <w:rsid w:val="0091259A"/>
    <w:rsid w:val="00912A37"/>
    <w:rsid w:val="00912D3F"/>
    <w:rsid w:val="00912F8B"/>
    <w:rsid w:val="00916046"/>
    <w:rsid w:val="009161B3"/>
    <w:rsid w:val="009167D7"/>
    <w:rsid w:val="00916BC7"/>
    <w:rsid w:val="00917C8E"/>
    <w:rsid w:val="009201F3"/>
    <w:rsid w:val="00920286"/>
    <w:rsid w:val="009209D7"/>
    <w:rsid w:val="00921188"/>
    <w:rsid w:val="0092194E"/>
    <w:rsid w:val="0092226D"/>
    <w:rsid w:val="009222B7"/>
    <w:rsid w:val="00922F52"/>
    <w:rsid w:val="00923BC1"/>
    <w:rsid w:val="009242FF"/>
    <w:rsid w:val="0092483A"/>
    <w:rsid w:val="00925E4F"/>
    <w:rsid w:val="00927679"/>
    <w:rsid w:val="00930062"/>
    <w:rsid w:val="00934A68"/>
    <w:rsid w:val="00934C73"/>
    <w:rsid w:val="00935C90"/>
    <w:rsid w:val="009371C8"/>
    <w:rsid w:val="009403A7"/>
    <w:rsid w:val="00940C04"/>
    <w:rsid w:val="009415ED"/>
    <w:rsid w:val="009420E0"/>
    <w:rsid w:val="00942F3F"/>
    <w:rsid w:val="00944F0D"/>
    <w:rsid w:val="00944F8A"/>
    <w:rsid w:val="0094508D"/>
    <w:rsid w:val="00945544"/>
    <w:rsid w:val="00945684"/>
    <w:rsid w:val="00945FA0"/>
    <w:rsid w:val="00946F67"/>
    <w:rsid w:val="00947A1C"/>
    <w:rsid w:val="00947A56"/>
    <w:rsid w:val="00950059"/>
    <w:rsid w:val="0095044E"/>
    <w:rsid w:val="009525B7"/>
    <w:rsid w:val="009528AE"/>
    <w:rsid w:val="009530E8"/>
    <w:rsid w:val="0095335C"/>
    <w:rsid w:val="00953647"/>
    <w:rsid w:val="0095385A"/>
    <w:rsid w:val="00954553"/>
    <w:rsid w:val="00954EA8"/>
    <w:rsid w:val="00955930"/>
    <w:rsid w:val="00955B7F"/>
    <w:rsid w:val="009578E8"/>
    <w:rsid w:val="0096009E"/>
    <w:rsid w:val="00960168"/>
    <w:rsid w:val="009602A1"/>
    <w:rsid w:val="00961252"/>
    <w:rsid w:val="009615DF"/>
    <w:rsid w:val="00961CE6"/>
    <w:rsid w:val="00962706"/>
    <w:rsid w:val="0096275E"/>
    <w:rsid w:val="00962DAD"/>
    <w:rsid w:val="009646C1"/>
    <w:rsid w:val="00964E57"/>
    <w:rsid w:val="009650ED"/>
    <w:rsid w:val="009651B8"/>
    <w:rsid w:val="009667F1"/>
    <w:rsid w:val="00966AFD"/>
    <w:rsid w:val="00966E63"/>
    <w:rsid w:val="00967CCD"/>
    <w:rsid w:val="00970386"/>
    <w:rsid w:val="00970B51"/>
    <w:rsid w:val="009719B0"/>
    <w:rsid w:val="00971CDC"/>
    <w:rsid w:val="00971D28"/>
    <w:rsid w:val="00973B5E"/>
    <w:rsid w:val="00973D37"/>
    <w:rsid w:val="00975E8B"/>
    <w:rsid w:val="00975EC6"/>
    <w:rsid w:val="009764E0"/>
    <w:rsid w:val="00976599"/>
    <w:rsid w:val="009779D4"/>
    <w:rsid w:val="00977C8E"/>
    <w:rsid w:val="00980899"/>
    <w:rsid w:val="00980FE9"/>
    <w:rsid w:val="00981341"/>
    <w:rsid w:val="00981AEC"/>
    <w:rsid w:val="00982DE5"/>
    <w:rsid w:val="009836D0"/>
    <w:rsid w:val="0098432E"/>
    <w:rsid w:val="0098580C"/>
    <w:rsid w:val="00986156"/>
    <w:rsid w:val="009865B6"/>
    <w:rsid w:val="0098671F"/>
    <w:rsid w:val="00986C4B"/>
    <w:rsid w:val="00987147"/>
    <w:rsid w:val="00987301"/>
    <w:rsid w:val="00990126"/>
    <w:rsid w:val="00990AEE"/>
    <w:rsid w:val="00990BFE"/>
    <w:rsid w:val="009910EF"/>
    <w:rsid w:val="009916DA"/>
    <w:rsid w:val="00992F84"/>
    <w:rsid w:val="00993FD7"/>
    <w:rsid w:val="009945BB"/>
    <w:rsid w:val="009947DB"/>
    <w:rsid w:val="00995357"/>
    <w:rsid w:val="00995EF8"/>
    <w:rsid w:val="00995F97"/>
    <w:rsid w:val="0099782E"/>
    <w:rsid w:val="009978AB"/>
    <w:rsid w:val="00997E39"/>
    <w:rsid w:val="009A0CF4"/>
    <w:rsid w:val="009A0D5E"/>
    <w:rsid w:val="009A0E6F"/>
    <w:rsid w:val="009A13B5"/>
    <w:rsid w:val="009A1EDC"/>
    <w:rsid w:val="009A2449"/>
    <w:rsid w:val="009A25A3"/>
    <w:rsid w:val="009A3949"/>
    <w:rsid w:val="009A5A98"/>
    <w:rsid w:val="009A5D65"/>
    <w:rsid w:val="009A5F34"/>
    <w:rsid w:val="009A6C8E"/>
    <w:rsid w:val="009A77E3"/>
    <w:rsid w:val="009B0C2E"/>
    <w:rsid w:val="009B18FD"/>
    <w:rsid w:val="009B1DD6"/>
    <w:rsid w:val="009B2874"/>
    <w:rsid w:val="009B2EFC"/>
    <w:rsid w:val="009B3329"/>
    <w:rsid w:val="009B456F"/>
    <w:rsid w:val="009C117E"/>
    <w:rsid w:val="009C1301"/>
    <w:rsid w:val="009C1D7D"/>
    <w:rsid w:val="009C4ADA"/>
    <w:rsid w:val="009C50EC"/>
    <w:rsid w:val="009C51AC"/>
    <w:rsid w:val="009C5F58"/>
    <w:rsid w:val="009C6D8B"/>
    <w:rsid w:val="009C75FC"/>
    <w:rsid w:val="009C7E94"/>
    <w:rsid w:val="009D01FA"/>
    <w:rsid w:val="009D1D2F"/>
    <w:rsid w:val="009D38B3"/>
    <w:rsid w:val="009D3DC3"/>
    <w:rsid w:val="009D4730"/>
    <w:rsid w:val="009D4B20"/>
    <w:rsid w:val="009D5015"/>
    <w:rsid w:val="009D5269"/>
    <w:rsid w:val="009D531C"/>
    <w:rsid w:val="009D62C3"/>
    <w:rsid w:val="009D68DA"/>
    <w:rsid w:val="009E0FAC"/>
    <w:rsid w:val="009E1D2D"/>
    <w:rsid w:val="009E405A"/>
    <w:rsid w:val="009E4815"/>
    <w:rsid w:val="009E4B65"/>
    <w:rsid w:val="009E4C76"/>
    <w:rsid w:val="009E4EDE"/>
    <w:rsid w:val="009E6031"/>
    <w:rsid w:val="009E65CF"/>
    <w:rsid w:val="009E680D"/>
    <w:rsid w:val="009E6D63"/>
    <w:rsid w:val="009E721A"/>
    <w:rsid w:val="009E754A"/>
    <w:rsid w:val="009F0250"/>
    <w:rsid w:val="009F0BD0"/>
    <w:rsid w:val="009F228F"/>
    <w:rsid w:val="009F2742"/>
    <w:rsid w:val="009F287F"/>
    <w:rsid w:val="009F2950"/>
    <w:rsid w:val="009F2B05"/>
    <w:rsid w:val="009F375A"/>
    <w:rsid w:val="009F4A5A"/>
    <w:rsid w:val="009F5299"/>
    <w:rsid w:val="009F59C2"/>
    <w:rsid w:val="009F5E32"/>
    <w:rsid w:val="009F6C62"/>
    <w:rsid w:val="009F70B9"/>
    <w:rsid w:val="009F739F"/>
    <w:rsid w:val="009F74DF"/>
    <w:rsid w:val="009F7B0A"/>
    <w:rsid w:val="00A0089B"/>
    <w:rsid w:val="00A013D8"/>
    <w:rsid w:val="00A01EAA"/>
    <w:rsid w:val="00A02035"/>
    <w:rsid w:val="00A02AD6"/>
    <w:rsid w:val="00A03AEC"/>
    <w:rsid w:val="00A04EE8"/>
    <w:rsid w:val="00A054E0"/>
    <w:rsid w:val="00A06104"/>
    <w:rsid w:val="00A06697"/>
    <w:rsid w:val="00A077F8"/>
    <w:rsid w:val="00A11AF8"/>
    <w:rsid w:val="00A11E7B"/>
    <w:rsid w:val="00A11E97"/>
    <w:rsid w:val="00A131B4"/>
    <w:rsid w:val="00A13947"/>
    <w:rsid w:val="00A14083"/>
    <w:rsid w:val="00A147D1"/>
    <w:rsid w:val="00A14C37"/>
    <w:rsid w:val="00A153CA"/>
    <w:rsid w:val="00A155F8"/>
    <w:rsid w:val="00A16471"/>
    <w:rsid w:val="00A167C9"/>
    <w:rsid w:val="00A16841"/>
    <w:rsid w:val="00A16A18"/>
    <w:rsid w:val="00A16D8E"/>
    <w:rsid w:val="00A211E3"/>
    <w:rsid w:val="00A219D9"/>
    <w:rsid w:val="00A229B7"/>
    <w:rsid w:val="00A22FBC"/>
    <w:rsid w:val="00A24560"/>
    <w:rsid w:val="00A24CAD"/>
    <w:rsid w:val="00A26BFD"/>
    <w:rsid w:val="00A271B8"/>
    <w:rsid w:val="00A27651"/>
    <w:rsid w:val="00A27EDB"/>
    <w:rsid w:val="00A30168"/>
    <w:rsid w:val="00A30889"/>
    <w:rsid w:val="00A322B4"/>
    <w:rsid w:val="00A335ED"/>
    <w:rsid w:val="00A33991"/>
    <w:rsid w:val="00A34538"/>
    <w:rsid w:val="00A34560"/>
    <w:rsid w:val="00A35D44"/>
    <w:rsid w:val="00A3629B"/>
    <w:rsid w:val="00A36775"/>
    <w:rsid w:val="00A367A1"/>
    <w:rsid w:val="00A36F25"/>
    <w:rsid w:val="00A36F39"/>
    <w:rsid w:val="00A37FB6"/>
    <w:rsid w:val="00A410E2"/>
    <w:rsid w:val="00A41B6C"/>
    <w:rsid w:val="00A41E3C"/>
    <w:rsid w:val="00A42001"/>
    <w:rsid w:val="00A43175"/>
    <w:rsid w:val="00A4320E"/>
    <w:rsid w:val="00A43FA8"/>
    <w:rsid w:val="00A44B90"/>
    <w:rsid w:val="00A457F7"/>
    <w:rsid w:val="00A45ACF"/>
    <w:rsid w:val="00A460F1"/>
    <w:rsid w:val="00A47045"/>
    <w:rsid w:val="00A5091A"/>
    <w:rsid w:val="00A5131D"/>
    <w:rsid w:val="00A51711"/>
    <w:rsid w:val="00A52C97"/>
    <w:rsid w:val="00A52D0B"/>
    <w:rsid w:val="00A52E90"/>
    <w:rsid w:val="00A53286"/>
    <w:rsid w:val="00A53585"/>
    <w:rsid w:val="00A54013"/>
    <w:rsid w:val="00A541CC"/>
    <w:rsid w:val="00A54E33"/>
    <w:rsid w:val="00A575B0"/>
    <w:rsid w:val="00A57EB8"/>
    <w:rsid w:val="00A610B8"/>
    <w:rsid w:val="00A6162B"/>
    <w:rsid w:val="00A619B9"/>
    <w:rsid w:val="00A62496"/>
    <w:rsid w:val="00A63CF8"/>
    <w:rsid w:val="00A64056"/>
    <w:rsid w:val="00A64511"/>
    <w:rsid w:val="00A64B27"/>
    <w:rsid w:val="00A65D14"/>
    <w:rsid w:val="00A67017"/>
    <w:rsid w:val="00A7024A"/>
    <w:rsid w:val="00A705DE"/>
    <w:rsid w:val="00A7084E"/>
    <w:rsid w:val="00A70E24"/>
    <w:rsid w:val="00A714F9"/>
    <w:rsid w:val="00A73795"/>
    <w:rsid w:val="00A73C36"/>
    <w:rsid w:val="00A73FD1"/>
    <w:rsid w:val="00A74CAD"/>
    <w:rsid w:val="00A75CEF"/>
    <w:rsid w:val="00A76F27"/>
    <w:rsid w:val="00A775B0"/>
    <w:rsid w:val="00A77BDA"/>
    <w:rsid w:val="00A8233B"/>
    <w:rsid w:val="00A82ECC"/>
    <w:rsid w:val="00A83510"/>
    <w:rsid w:val="00A83E3E"/>
    <w:rsid w:val="00A8551A"/>
    <w:rsid w:val="00A85C29"/>
    <w:rsid w:val="00A85F56"/>
    <w:rsid w:val="00A8664A"/>
    <w:rsid w:val="00A8666B"/>
    <w:rsid w:val="00A86AC1"/>
    <w:rsid w:val="00A86E40"/>
    <w:rsid w:val="00A872AE"/>
    <w:rsid w:val="00A87369"/>
    <w:rsid w:val="00A878FD"/>
    <w:rsid w:val="00A907E5"/>
    <w:rsid w:val="00A90C55"/>
    <w:rsid w:val="00A91139"/>
    <w:rsid w:val="00A91717"/>
    <w:rsid w:val="00A920EF"/>
    <w:rsid w:val="00A921D6"/>
    <w:rsid w:val="00A923D7"/>
    <w:rsid w:val="00A9483A"/>
    <w:rsid w:val="00A956BC"/>
    <w:rsid w:val="00A962F0"/>
    <w:rsid w:val="00A96C55"/>
    <w:rsid w:val="00A97447"/>
    <w:rsid w:val="00A975FF"/>
    <w:rsid w:val="00AA0462"/>
    <w:rsid w:val="00AA08E7"/>
    <w:rsid w:val="00AA0BF6"/>
    <w:rsid w:val="00AA0F83"/>
    <w:rsid w:val="00AA1836"/>
    <w:rsid w:val="00AA292E"/>
    <w:rsid w:val="00AA29F7"/>
    <w:rsid w:val="00AA304E"/>
    <w:rsid w:val="00AA3312"/>
    <w:rsid w:val="00AA3615"/>
    <w:rsid w:val="00AA3648"/>
    <w:rsid w:val="00AA3E1F"/>
    <w:rsid w:val="00AA3F14"/>
    <w:rsid w:val="00AA442B"/>
    <w:rsid w:val="00AA44AF"/>
    <w:rsid w:val="00AA5F37"/>
    <w:rsid w:val="00AA669D"/>
    <w:rsid w:val="00AA7234"/>
    <w:rsid w:val="00AA7C55"/>
    <w:rsid w:val="00AB1F97"/>
    <w:rsid w:val="00AB1FB9"/>
    <w:rsid w:val="00AB2971"/>
    <w:rsid w:val="00AB3860"/>
    <w:rsid w:val="00AB4107"/>
    <w:rsid w:val="00AB509E"/>
    <w:rsid w:val="00AB5620"/>
    <w:rsid w:val="00AB5E69"/>
    <w:rsid w:val="00AB5EEC"/>
    <w:rsid w:val="00AB5F26"/>
    <w:rsid w:val="00AB6124"/>
    <w:rsid w:val="00AB6664"/>
    <w:rsid w:val="00AB70AD"/>
    <w:rsid w:val="00AB7289"/>
    <w:rsid w:val="00AB7572"/>
    <w:rsid w:val="00AB788C"/>
    <w:rsid w:val="00AB7CAA"/>
    <w:rsid w:val="00AC08D3"/>
    <w:rsid w:val="00AC15D9"/>
    <w:rsid w:val="00AC2143"/>
    <w:rsid w:val="00AC28A7"/>
    <w:rsid w:val="00AC2FC3"/>
    <w:rsid w:val="00AC35A6"/>
    <w:rsid w:val="00AC3C8A"/>
    <w:rsid w:val="00AC3E67"/>
    <w:rsid w:val="00AC48F1"/>
    <w:rsid w:val="00AC52D9"/>
    <w:rsid w:val="00AC56ED"/>
    <w:rsid w:val="00AC621D"/>
    <w:rsid w:val="00AC676E"/>
    <w:rsid w:val="00AC7C5B"/>
    <w:rsid w:val="00AD035D"/>
    <w:rsid w:val="00AD08AD"/>
    <w:rsid w:val="00AD0A12"/>
    <w:rsid w:val="00AD1929"/>
    <w:rsid w:val="00AD32B3"/>
    <w:rsid w:val="00AD37FA"/>
    <w:rsid w:val="00AD4542"/>
    <w:rsid w:val="00AD580B"/>
    <w:rsid w:val="00AD665A"/>
    <w:rsid w:val="00AD6FF9"/>
    <w:rsid w:val="00AD77F3"/>
    <w:rsid w:val="00AD7B8F"/>
    <w:rsid w:val="00AD7F28"/>
    <w:rsid w:val="00AE020D"/>
    <w:rsid w:val="00AE08DA"/>
    <w:rsid w:val="00AE13FC"/>
    <w:rsid w:val="00AE1AA0"/>
    <w:rsid w:val="00AE37AD"/>
    <w:rsid w:val="00AE3F3A"/>
    <w:rsid w:val="00AE4236"/>
    <w:rsid w:val="00AE4568"/>
    <w:rsid w:val="00AE47B2"/>
    <w:rsid w:val="00AE47F2"/>
    <w:rsid w:val="00AE52DC"/>
    <w:rsid w:val="00AE5421"/>
    <w:rsid w:val="00AE5765"/>
    <w:rsid w:val="00AE5C0E"/>
    <w:rsid w:val="00AE6C4D"/>
    <w:rsid w:val="00AE6EEE"/>
    <w:rsid w:val="00AE76DB"/>
    <w:rsid w:val="00AE7AE2"/>
    <w:rsid w:val="00AF04FE"/>
    <w:rsid w:val="00AF051E"/>
    <w:rsid w:val="00AF14AC"/>
    <w:rsid w:val="00AF1BDF"/>
    <w:rsid w:val="00AF2089"/>
    <w:rsid w:val="00AF2347"/>
    <w:rsid w:val="00AF2EDF"/>
    <w:rsid w:val="00AF3715"/>
    <w:rsid w:val="00AF3EEF"/>
    <w:rsid w:val="00AF5AE0"/>
    <w:rsid w:val="00AF68BA"/>
    <w:rsid w:val="00AF6E66"/>
    <w:rsid w:val="00AF6FB3"/>
    <w:rsid w:val="00AF7517"/>
    <w:rsid w:val="00B0190E"/>
    <w:rsid w:val="00B025C2"/>
    <w:rsid w:val="00B0378C"/>
    <w:rsid w:val="00B0391E"/>
    <w:rsid w:val="00B041C7"/>
    <w:rsid w:val="00B04E78"/>
    <w:rsid w:val="00B05815"/>
    <w:rsid w:val="00B071E7"/>
    <w:rsid w:val="00B07667"/>
    <w:rsid w:val="00B0787E"/>
    <w:rsid w:val="00B07987"/>
    <w:rsid w:val="00B07C17"/>
    <w:rsid w:val="00B10353"/>
    <w:rsid w:val="00B1150B"/>
    <w:rsid w:val="00B11581"/>
    <w:rsid w:val="00B11815"/>
    <w:rsid w:val="00B12932"/>
    <w:rsid w:val="00B13EC0"/>
    <w:rsid w:val="00B1405A"/>
    <w:rsid w:val="00B14E2C"/>
    <w:rsid w:val="00B15AE0"/>
    <w:rsid w:val="00B162E7"/>
    <w:rsid w:val="00B162ED"/>
    <w:rsid w:val="00B165CF"/>
    <w:rsid w:val="00B17153"/>
    <w:rsid w:val="00B174C3"/>
    <w:rsid w:val="00B176A4"/>
    <w:rsid w:val="00B179C7"/>
    <w:rsid w:val="00B17C4E"/>
    <w:rsid w:val="00B218AC"/>
    <w:rsid w:val="00B22E22"/>
    <w:rsid w:val="00B23305"/>
    <w:rsid w:val="00B23548"/>
    <w:rsid w:val="00B23E57"/>
    <w:rsid w:val="00B2403A"/>
    <w:rsid w:val="00B243DF"/>
    <w:rsid w:val="00B2664A"/>
    <w:rsid w:val="00B26965"/>
    <w:rsid w:val="00B26D54"/>
    <w:rsid w:val="00B270CF"/>
    <w:rsid w:val="00B27C1A"/>
    <w:rsid w:val="00B305CD"/>
    <w:rsid w:val="00B306B1"/>
    <w:rsid w:val="00B30B5D"/>
    <w:rsid w:val="00B30DAD"/>
    <w:rsid w:val="00B30EEA"/>
    <w:rsid w:val="00B3111A"/>
    <w:rsid w:val="00B313D5"/>
    <w:rsid w:val="00B31FB3"/>
    <w:rsid w:val="00B32C12"/>
    <w:rsid w:val="00B3327E"/>
    <w:rsid w:val="00B33898"/>
    <w:rsid w:val="00B339EC"/>
    <w:rsid w:val="00B33F01"/>
    <w:rsid w:val="00B3580D"/>
    <w:rsid w:val="00B362B4"/>
    <w:rsid w:val="00B363DE"/>
    <w:rsid w:val="00B36F3E"/>
    <w:rsid w:val="00B37343"/>
    <w:rsid w:val="00B37A62"/>
    <w:rsid w:val="00B37FB6"/>
    <w:rsid w:val="00B40230"/>
    <w:rsid w:val="00B41937"/>
    <w:rsid w:val="00B42327"/>
    <w:rsid w:val="00B4236B"/>
    <w:rsid w:val="00B43546"/>
    <w:rsid w:val="00B43603"/>
    <w:rsid w:val="00B441B5"/>
    <w:rsid w:val="00B445F5"/>
    <w:rsid w:val="00B4532B"/>
    <w:rsid w:val="00B464A4"/>
    <w:rsid w:val="00B46EB2"/>
    <w:rsid w:val="00B473D9"/>
    <w:rsid w:val="00B474A3"/>
    <w:rsid w:val="00B47BB9"/>
    <w:rsid w:val="00B47D1A"/>
    <w:rsid w:val="00B52581"/>
    <w:rsid w:val="00B525CB"/>
    <w:rsid w:val="00B52E18"/>
    <w:rsid w:val="00B53385"/>
    <w:rsid w:val="00B53868"/>
    <w:rsid w:val="00B53B68"/>
    <w:rsid w:val="00B54550"/>
    <w:rsid w:val="00B5535C"/>
    <w:rsid w:val="00B5621C"/>
    <w:rsid w:val="00B56B4F"/>
    <w:rsid w:val="00B5777D"/>
    <w:rsid w:val="00B57868"/>
    <w:rsid w:val="00B61183"/>
    <w:rsid w:val="00B61C7A"/>
    <w:rsid w:val="00B63872"/>
    <w:rsid w:val="00B639D0"/>
    <w:rsid w:val="00B63CB2"/>
    <w:rsid w:val="00B643CE"/>
    <w:rsid w:val="00B6452D"/>
    <w:rsid w:val="00B64811"/>
    <w:rsid w:val="00B64DEB"/>
    <w:rsid w:val="00B64EDB"/>
    <w:rsid w:val="00B66A26"/>
    <w:rsid w:val="00B66A9E"/>
    <w:rsid w:val="00B6750E"/>
    <w:rsid w:val="00B67669"/>
    <w:rsid w:val="00B676FB"/>
    <w:rsid w:val="00B679A1"/>
    <w:rsid w:val="00B67B81"/>
    <w:rsid w:val="00B67CE1"/>
    <w:rsid w:val="00B7273F"/>
    <w:rsid w:val="00B7315F"/>
    <w:rsid w:val="00B740B1"/>
    <w:rsid w:val="00B744EF"/>
    <w:rsid w:val="00B7453A"/>
    <w:rsid w:val="00B74A29"/>
    <w:rsid w:val="00B75CDE"/>
    <w:rsid w:val="00B75E98"/>
    <w:rsid w:val="00B7700A"/>
    <w:rsid w:val="00B770B4"/>
    <w:rsid w:val="00B774FD"/>
    <w:rsid w:val="00B80103"/>
    <w:rsid w:val="00B80451"/>
    <w:rsid w:val="00B8158A"/>
    <w:rsid w:val="00B822A7"/>
    <w:rsid w:val="00B85762"/>
    <w:rsid w:val="00B8638A"/>
    <w:rsid w:val="00B8652C"/>
    <w:rsid w:val="00B87D98"/>
    <w:rsid w:val="00B9068D"/>
    <w:rsid w:val="00B90B2C"/>
    <w:rsid w:val="00B90BE1"/>
    <w:rsid w:val="00B91B8E"/>
    <w:rsid w:val="00B936F3"/>
    <w:rsid w:val="00B93D22"/>
    <w:rsid w:val="00B94EDD"/>
    <w:rsid w:val="00B96F29"/>
    <w:rsid w:val="00BA010A"/>
    <w:rsid w:val="00BA0355"/>
    <w:rsid w:val="00BA064F"/>
    <w:rsid w:val="00BA0A73"/>
    <w:rsid w:val="00BA0FCE"/>
    <w:rsid w:val="00BA129F"/>
    <w:rsid w:val="00BA1474"/>
    <w:rsid w:val="00BA1AB9"/>
    <w:rsid w:val="00BA22A9"/>
    <w:rsid w:val="00BA2829"/>
    <w:rsid w:val="00BA2D67"/>
    <w:rsid w:val="00BA369B"/>
    <w:rsid w:val="00BA36EE"/>
    <w:rsid w:val="00BA373A"/>
    <w:rsid w:val="00BA4319"/>
    <w:rsid w:val="00BA47FF"/>
    <w:rsid w:val="00BA66BE"/>
    <w:rsid w:val="00BA6769"/>
    <w:rsid w:val="00BA68FA"/>
    <w:rsid w:val="00BA6CAD"/>
    <w:rsid w:val="00BA6E6A"/>
    <w:rsid w:val="00BA75DE"/>
    <w:rsid w:val="00BB00EC"/>
    <w:rsid w:val="00BB061D"/>
    <w:rsid w:val="00BB07A4"/>
    <w:rsid w:val="00BB17F0"/>
    <w:rsid w:val="00BB18AE"/>
    <w:rsid w:val="00BB1E62"/>
    <w:rsid w:val="00BB21F4"/>
    <w:rsid w:val="00BB2914"/>
    <w:rsid w:val="00BB29E9"/>
    <w:rsid w:val="00BB3081"/>
    <w:rsid w:val="00BB331F"/>
    <w:rsid w:val="00BB4E71"/>
    <w:rsid w:val="00BB5D66"/>
    <w:rsid w:val="00BB6307"/>
    <w:rsid w:val="00BB63FA"/>
    <w:rsid w:val="00BB658E"/>
    <w:rsid w:val="00BB7EE5"/>
    <w:rsid w:val="00BC03B3"/>
    <w:rsid w:val="00BC0CD1"/>
    <w:rsid w:val="00BC143E"/>
    <w:rsid w:val="00BC14FF"/>
    <w:rsid w:val="00BC19D6"/>
    <w:rsid w:val="00BC1A00"/>
    <w:rsid w:val="00BC25CD"/>
    <w:rsid w:val="00BC294A"/>
    <w:rsid w:val="00BC2EB7"/>
    <w:rsid w:val="00BC3513"/>
    <w:rsid w:val="00BC3633"/>
    <w:rsid w:val="00BC4B52"/>
    <w:rsid w:val="00BD0148"/>
    <w:rsid w:val="00BD0442"/>
    <w:rsid w:val="00BD19AC"/>
    <w:rsid w:val="00BD1EDA"/>
    <w:rsid w:val="00BD22F7"/>
    <w:rsid w:val="00BD247A"/>
    <w:rsid w:val="00BD25A7"/>
    <w:rsid w:val="00BD2F34"/>
    <w:rsid w:val="00BD57DB"/>
    <w:rsid w:val="00BD5A8C"/>
    <w:rsid w:val="00BD66F4"/>
    <w:rsid w:val="00BD75B7"/>
    <w:rsid w:val="00BD78FE"/>
    <w:rsid w:val="00BD7AEF"/>
    <w:rsid w:val="00BE0628"/>
    <w:rsid w:val="00BE2416"/>
    <w:rsid w:val="00BE3274"/>
    <w:rsid w:val="00BE35B3"/>
    <w:rsid w:val="00BE4E38"/>
    <w:rsid w:val="00BE5BCB"/>
    <w:rsid w:val="00BE5D41"/>
    <w:rsid w:val="00BE5F24"/>
    <w:rsid w:val="00BE62B7"/>
    <w:rsid w:val="00BE6C2C"/>
    <w:rsid w:val="00BE7664"/>
    <w:rsid w:val="00BF04BA"/>
    <w:rsid w:val="00BF17D3"/>
    <w:rsid w:val="00BF188A"/>
    <w:rsid w:val="00BF2833"/>
    <w:rsid w:val="00BF4219"/>
    <w:rsid w:val="00BF46F2"/>
    <w:rsid w:val="00BF5623"/>
    <w:rsid w:val="00BF5CBC"/>
    <w:rsid w:val="00BF7DB0"/>
    <w:rsid w:val="00C00430"/>
    <w:rsid w:val="00C00969"/>
    <w:rsid w:val="00C00BB1"/>
    <w:rsid w:val="00C01378"/>
    <w:rsid w:val="00C03ACB"/>
    <w:rsid w:val="00C03EFE"/>
    <w:rsid w:val="00C0464D"/>
    <w:rsid w:val="00C06FD5"/>
    <w:rsid w:val="00C07794"/>
    <w:rsid w:val="00C079D1"/>
    <w:rsid w:val="00C113FE"/>
    <w:rsid w:val="00C11A27"/>
    <w:rsid w:val="00C1281E"/>
    <w:rsid w:val="00C149B0"/>
    <w:rsid w:val="00C14C5D"/>
    <w:rsid w:val="00C15753"/>
    <w:rsid w:val="00C17545"/>
    <w:rsid w:val="00C227EF"/>
    <w:rsid w:val="00C22BD5"/>
    <w:rsid w:val="00C24368"/>
    <w:rsid w:val="00C252EE"/>
    <w:rsid w:val="00C25CC9"/>
    <w:rsid w:val="00C25D13"/>
    <w:rsid w:val="00C260FC"/>
    <w:rsid w:val="00C2668B"/>
    <w:rsid w:val="00C30364"/>
    <w:rsid w:val="00C30E74"/>
    <w:rsid w:val="00C313BC"/>
    <w:rsid w:val="00C3164B"/>
    <w:rsid w:val="00C31BCE"/>
    <w:rsid w:val="00C3362A"/>
    <w:rsid w:val="00C33983"/>
    <w:rsid w:val="00C33B9E"/>
    <w:rsid w:val="00C34032"/>
    <w:rsid w:val="00C37355"/>
    <w:rsid w:val="00C40657"/>
    <w:rsid w:val="00C407B5"/>
    <w:rsid w:val="00C4125C"/>
    <w:rsid w:val="00C431CD"/>
    <w:rsid w:val="00C435A3"/>
    <w:rsid w:val="00C43CE3"/>
    <w:rsid w:val="00C45E88"/>
    <w:rsid w:val="00C47864"/>
    <w:rsid w:val="00C47AAC"/>
    <w:rsid w:val="00C500EE"/>
    <w:rsid w:val="00C50145"/>
    <w:rsid w:val="00C502BA"/>
    <w:rsid w:val="00C53019"/>
    <w:rsid w:val="00C53A74"/>
    <w:rsid w:val="00C546B8"/>
    <w:rsid w:val="00C55BA5"/>
    <w:rsid w:val="00C560F9"/>
    <w:rsid w:val="00C57C56"/>
    <w:rsid w:val="00C57E7A"/>
    <w:rsid w:val="00C60529"/>
    <w:rsid w:val="00C607AA"/>
    <w:rsid w:val="00C626ED"/>
    <w:rsid w:val="00C63B28"/>
    <w:rsid w:val="00C643F8"/>
    <w:rsid w:val="00C64A18"/>
    <w:rsid w:val="00C65237"/>
    <w:rsid w:val="00C653FB"/>
    <w:rsid w:val="00C65C9D"/>
    <w:rsid w:val="00C65E43"/>
    <w:rsid w:val="00C6620B"/>
    <w:rsid w:val="00C66798"/>
    <w:rsid w:val="00C6688A"/>
    <w:rsid w:val="00C6755C"/>
    <w:rsid w:val="00C718C1"/>
    <w:rsid w:val="00C73E8A"/>
    <w:rsid w:val="00C763CF"/>
    <w:rsid w:val="00C8034E"/>
    <w:rsid w:val="00C80665"/>
    <w:rsid w:val="00C80741"/>
    <w:rsid w:val="00C81223"/>
    <w:rsid w:val="00C82114"/>
    <w:rsid w:val="00C82E66"/>
    <w:rsid w:val="00C840E8"/>
    <w:rsid w:val="00C845D7"/>
    <w:rsid w:val="00C84E96"/>
    <w:rsid w:val="00C854BD"/>
    <w:rsid w:val="00C87152"/>
    <w:rsid w:val="00C87243"/>
    <w:rsid w:val="00C87C7E"/>
    <w:rsid w:val="00C91051"/>
    <w:rsid w:val="00C917EA"/>
    <w:rsid w:val="00C91A60"/>
    <w:rsid w:val="00C921CD"/>
    <w:rsid w:val="00C9247E"/>
    <w:rsid w:val="00C93D01"/>
    <w:rsid w:val="00C940BE"/>
    <w:rsid w:val="00C95E8B"/>
    <w:rsid w:val="00C9605A"/>
    <w:rsid w:val="00C964EC"/>
    <w:rsid w:val="00C966DA"/>
    <w:rsid w:val="00C96CF7"/>
    <w:rsid w:val="00C9701D"/>
    <w:rsid w:val="00C9745F"/>
    <w:rsid w:val="00CA0620"/>
    <w:rsid w:val="00CA1BB7"/>
    <w:rsid w:val="00CA2ADB"/>
    <w:rsid w:val="00CA30D7"/>
    <w:rsid w:val="00CA3113"/>
    <w:rsid w:val="00CA3A50"/>
    <w:rsid w:val="00CA3BB4"/>
    <w:rsid w:val="00CA4180"/>
    <w:rsid w:val="00CA4715"/>
    <w:rsid w:val="00CA72E7"/>
    <w:rsid w:val="00CA74A2"/>
    <w:rsid w:val="00CA74CC"/>
    <w:rsid w:val="00CA79C6"/>
    <w:rsid w:val="00CA7C99"/>
    <w:rsid w:val="00CB02F8"/>
    <w:rsid w:val="00CB0879"/>
    <w:rsid w:val="00CB1BDC"/>
    <w:rsid w:val="00CB2348"/>
    <w:rsid w:val="00CB31C7"/>
    <w:rsid w:val="00CB68F4"/>
    <w:rsid w:val="00CB7E83"/>
    <w:rsid w:val="00CC00CD"/>
    <w:rsid w:val="00CC0920"/>
    <w:rsid w:val="00CC1043"/>
    <w:rsid w:val="00CC1419"/>
    <w:rsid w:val="00CC16C3"/>
    <w:rsid w:val="00CC1E8E"/>
    <w:rsid w:val="00CC1EAA"/>
    <w:rsid w:val="00CC2B3E"/>
    <w:rsid w:val="00CC40FC"/>
    <w:rsid w:val="00CC438C"/>
    <w:rsid w:val="00CC45BF"/>
    <w:rsid w:val="00CC589F"/>
    <w:rsid w:val="00CC5E7D"/>
    <w:rsid w:val="00CC5FAA"/>
    <w:rsid w:val="00CC650B"/>
    <w:rsid w:val="00CC6B88"/>
    <w:rsid w:val="00CD0F52"/>
    <w:rsid w:val="00CD1F6D"/>
    <w:rsid w:val="00CD21D2"/>
    <w:rsid w:val="00CD2693"/>
    <w:rsid w:val="00CD281A"/>
    <w:rsid w:val="00CD32E6"/>
    <w:rsid w:val="00CD34CF"/>
    <w:rsid w:val="00CD3904"/>
    <w:rsid w:val="00CD3FD2"/>
    <w:rsid w:val="00CD4F65"/>
    <w:rsid w:val="00CD5E4E"/>
    <w:rsid w:val="00CD6030"/>
    <w:rsid w:val="00CD657A"/>
    <w:rsid w:val="00CD6FDA"/>
    <w:rsid w:val="00CD7D7E"/>
    <w:rsid w:val="00CE0121"/>
    <w:rsid w:val="00CE0956"/>
    <w:rsid w:val="00CE0A8E"/>
    <w:rsid w:val="00CE21E7"/>
    <w:rsid w:val="00CE2CF1"/>
    <w:rsid w:val="00CE3CCF"/>
    <w:rsid w:val="00CE3DEC"/>
    <w:rsid w:val="00CE4775"/>
    <w:rsid w:val="00CE4C12"/>
    <w:rsid w:val="00CE4EFE"/>
    <w:rsid w:val="00CE5BBD"/>
    <w:rsid w:val="00CE5EB6"/>
    <w:rsid w:val="00CE5EFE"/>
    <w:rsid w:val="00CE5F18"/>
    <w:rsid w:val="00CE6987"/>
    <w:rsid w:val="00CE7183"/>
    <w:rsid w:val="00CE776A"/>
    <w:rsid w:val="00CE79D0"/>
    <w:rsid w:val="00CF0421"/>
    <w:rsid w:val="00CF0724"/>
    <w:rsid w:val="00CF0B7E"/>
    <w:rsid w:val="00CF1774"/>
    <w:rsid w:val="00CF27F8"/>
    <w:rsid w:val="00CF2DCA"/>
    <w:rsid w:val="00CF33F3"/>
    <w:rsid w:val="00CF5C30"/>
    <w:rsid w:val="00CF5DBF"/>
    <w:rsid w:val="00CF74E8"/>
    <w:rsid w:val="00D00559"/>
    <w:rsid w:val="00D00C29"/>
    <w:rsid w:val="00D01760"/>
    <w:rsid w:val="00D02423"/>
    <w:rsid w:val="00D02462"/>
    <w:rsid w:val="00D02736"/>
    <w:rsid w:val="00D0322C"/>
    <w:rsid w:val="00D03910"/>
    <w:rsid w:val="00D03FDC"/>
    <w:rsid w:val="00D046B7"/>
    <w:rsid w:val="00D04ADE"/>
    <w:rsid w:val="00D054B8"/>
    <w:rsid w:val="00D0571D"/>
    <w:rsid w:val="00D077DE"/>
    <w:rsid w:val="00D07A3D"/>
    <w:rsid w:val="00D07D4A"/>
    <w:rsid w:val="00D07FC4"/>
    <w:rsid w:val="00D100F4"/>
    <w:rsid w:val="00D10AB0"/>
    <w:rsid w:val="00D10F1C"/>
    <w:rsid w:val="00D11160"/>
    <w:rsid w:val="00D1196A"/>
    <w:rsid w:val="00D11CEB"/>
    <w:rsid w:val="00D11DF5"/>
    <w:rsid w:val="00D12A32"/>
    <w:rsid w:val="00D12D94"/>
    <w:rsid w:val="00D133FD"/>
    <w:rsid w:val="00D13892"/>
    <w:rsid w:val="00D144D7"/>
    <w:rsid w:val="00D14BBA"/>
    <w:rsid w:val="00D166EF"/>
    <w:rsid w:val="00D16E39"/>
    <w:rsid w:val="00D177B2"/>
    <w:rsid w:val="00D17F09"/>
    <w:rsid w:val="00D21017"/>
    <w:rsid w:val="00D21334"/>
    <w:rsid w:val="00D2185D"/>
    <w:rsid w:val="00D21C7E"/>
    <w:rsid w:val="00D21FE3"/>
    <w:rsid w:val="00D220DA"/>
    <w:rsid w:val="00D221E1"/>
    <w:rsid w:val="00D223B6"/>
    <w:rsid w:val="00D225E6"/>
    <w:rsid w:val="00D22A24"/>
    <w:rsid w:val="00D23713"/>
    <w:rsid w:val="00D2522E"/>
    <w:rsid w:val="00D25709"/>
    <w:rsid w:val="00D25723"/>
    <w:rsid w:val="00D267A0"/>
    <w:rsid w:val="00D27895"/>
    <w:rsid w:val="00D27B09"/>
    <w:rsid w:val="00D27E0D"/>
    <w:rsid w:val="00D310A9"/>
    <w:rsid w:val="00D31281"/>
    <w:rsid w:val="00D331A2"/>
    <w:rsid w:val="00D334D9"/>
    <w:rsid w:val="00D3476C"/>
    <w:rsid w:val="00D34AC0"/>
    <w:rsid w:val="00D34F4B"/>
    <w:rsid w:val="00D35039"/>
    <w:rsid w:val="00D3511E"/>
    <w:rsid w:val="00D35185"/>
    <w:rsid w:val="00D3603B"/>
    <w:rsid w:val="00D369EF"/>
    <w:rsid w:val="00D373B8"/>
    <w:rsid w:val="00D37524"/>
    <w:rsid w:val="00D37619"/>
    <w:rsid w:val="00D37A35"/>
    <w:rsid w:val="00D40007"/>
    <w:rsid w:val="00D40DF8"/>
    <w:rsid w:val="00D415E2"/>
    <w:rsid w:val="00D427FB"/>
    <w:rsid w:val="00D42868"/>
    <w:rsid w:val="00D43481"/>
    <w:rsid w:val="00D436D7"/>
    <w:rsid w:val="00D4505E"/>
    <w:rsid w:val="00D4544E"/>
    <w:rsid w:val="00D461FA"/>
    <w:rsid w:val="00D46FBE"/>
    <w:rsid w:val="00D514F0"/>
    <w:rsid w:val="00D55DB3"/>
    <w:rsid w:val="00D56875"/>
    <w:rsid w:val="00D60327"/>
    <w:rsid w:val="00D60BFB"/>
    <w:rsid w:val="00D61A5A"/>
    <w:rsid w:val="00D61ACF"/>
    <w:rsid w:val="00D61C81"/>
    <w:rsid w:val="00D65156"/>
    <w:rsid w:val="00D6550B"/>
    <w:rsid w:val="00D6637B"/>
    <w:rsid w:val="00D66605"/>
    <w:rsid w:val="00D67081"/>
    <w:rsid w:val="00D67B67"/>
    <w:rsid w:val="00D67ECB"/>
    <w:rsid w:val="00D67ED5"/>
    <w:rsid w:val="00D702F9"/>
    <w:rsid w:val="00D7064D"/>
    <w:rsid w:val="00D717D6"/>
    <w:rsid w:val="00D71B8E"/>
    <w:rsid w:val="00D71FCE"/>
    <w:rsid w:val="00D72332"/>
    <w:rsid w:val="00D723EB"/>
    <w:rsid w:val="00D72E9D"/>
    <w:rsid w:val="00D7355B"/>
    <w:rsid w:val="00D7365B"/>
    <w:rsid w:val="00D737D8"/>
    <w:rsid w:val="00D74178"/>
    <w:rsid w:val="00D744C2"/>
    <w:rsid w:val="00D7509A"/>
    <w:rsid w:val="00D762D6"/>
    <w:rsid w:val="00D77217"/>
    <w:rsid w:val="00D77451"/>
    <w:rsid w:val="00D8215C"/>
    <w:rsid w:val="00D82C7C"/>
    <w:rsid w:val="00D82CE5"/>
    <w:rsid w:val="00D83799"/>
    <w:rsid w:val="00D83F17"/>
    <w:rsid w:val="00D850E6"/>
    <w:rsid w:val="00D861D6"/>
    <w:rsid w:val="00D86DC5"/>
    <w:rsid w:val="00D8752C"/>
    <w:rsid w:val="00D91301"/>
    <w:rsid w:val="00D9148F"/>
    <w:rsid w:val="00D92BBB"/>
    <w:rsid w:val="00D944DD"/>
    <w:rsid w:val="00D9569A"/>
    <w:rsid w:val="00D960C0"/>
    <w:rsid w:val="00DA0537"/>
    <w:rsid w:val="00DA0BD3"/>
    <w:rsid w:val="00DA1356"/>
    <w:rsid w:val="00DA18BE"/>
    <w:rsid w:val="00DA1D25"/>
    <w:rsid w:val="00DA1E7B"/>
    <w:rsid w:val="00DA218C"/>
    <w:rsid w:val="00DA2A01"/>
    <w:rsid w:val="00DA2B96"/>
    <w:rsid w:val="00DA41D6"/>
    <w:rsid w:val="00DA5AB1"/>
    <w:rsid w:val="00DA5B8A"/>
    <w:rsid w:val="00DA6356"/>
    <w:rsid w:val="00DA64FE"/>
    <w:rsid w:val="00DA6BA3"/>
    <w:rsid w:val="00DA7509"/>
    <w:rsid w:val="00DA77E7"/>
    <w:rsid w:val="00DB033E"/>
    <w:rsid w:val="00DB06D2"/>
    <w:rsid w:val="00DB172C"/>
    <w:rsid w:val="00DB1AE2"/>
    <w:rsid w:val="00DB2C59"/>
    <w:rsid w:val="00DB3B0B"/>
    <w:rsid w:val="00DB40E0"/>
    <w:rsid w:val="00DB41F1"/>
    <w:rsid w:val="00DB45AB"/>
    <w:rsid w:val="00DB47B5"/>
    <w:rsid w:val="00DB52FA"/>
    <w:rsid w:val="00DB55D0"/>
    <w:rsid w:val="00DB5D13"/>
    <w:rsid w:val="00DB618D"/>
    <w:rsid w:val="00DB6638"/>
    <w:rsid w:val="00DB68B9"/>
    <w:rsid w:val="00DB6D93"/>
    <w:rsid w:val="00DB75D6"/>
    <w:rsid w:val="00DB763A"/>
    <w:rsid w:val="00DB7B8E"/>
    <w:rsid w:val="00DB7CD8"/>
    <w:rsid w:val="00DC056E"/>
    <w:rsid w:val="00DC056F"/>
    <w:rsid w:val="00DC0BB4"/>
    <w:rsid w:val="00DC144C"/>
    <w:rsid w:val="00DC1DCA"/>
    <w:rsid w:val="00DC2A15"/>
    <w:rsid w:val="00DC2DCB"/>
    <w:rsid w:val="00DC348A"/>
    <w:rsid w:val="00DC3CAC"/>
    <w:rsid w:val="00DC3D1E"/>
    <w:rsid w:val="00DC4048"/>
    <w:rsid w:val="00DC4E1D"/>
    <w:rsid w:val="00DC5E43"/>
    <w:rsid w:val="00DC5F0C"/>
    <w:rsid w:val="00DC6201"/>
    <w:rsid w:val="00DC62A3"/>
    <w:rsid w:val="00DC62E5"/>
    <w:rsid w:val="00DC67B0"/>
    <w:rsid w:val="00DC681B"/>
    <w:rsid w:val="00DC7F2E"/>
    <w:rsid w:val="00DD0A21"/>
    <w:rsid w:val="00DD14A5"/>
    <w:rsid w:val="00DD1DD9"/>
    <w:rsid w:val="00DD2D43"/>
    <w:rsid w:val="00DD483A"/>
    <w:rsid w:val="00DD4882"/>
    <w:rsid w:val="00DD51BC"/>
    <w:rsid w:val="00DD5670"/>
    <w:rsid w:val="00DD6DCE"/>
    <w:rsid w:val="00DD734A"/>
    <w:rsid w:val="00DD735D"/>
    <w:rsid w:val="00DD7363"/>
    <w:rsid w:val="00DD78C4"/>
    <w:rsid w:val="00DD7CF2"/>
    <w:rsid w:val="00DE0938"/>
    <w:rsid w:val="00DE1016"/>
    <w:rsid w:val="00DE1175"/>
    <w:rsid w:val="00DE182A"/>
    <w:rsid w:val="00DE1B6D"/>
    <w:rsid w:val="00DE20C7"/>
    <w:rsid w:val="00DE2568"/>
    <w:rsid w:val="00DE2690"/>
    <w:rsid w:val="00DE2F1D"/>
    <w:rsid w:val="00DE3119"/>
    <w:rsid w:val="00DE39B3"/>
    <w:rsid w:val="00DE3C78"/>
    <w:rsid w:val="00DE3D72"/>
    <w:rsid w:val="00DE41CD"/>
    <w:rsid w:val="00DE43DA"/>
    <w:rsid w:val="00DE5124"/>
    <w:rsid w:val="00DE5D06"/>
    <w:rsid w:val="00DE75DE"/>
    <w:rsid w:val="00DE7692"/>
    <w:rsid w:val="00DE770A"/>
    <w:rsid w:val="00DF05E1"/>
    <w:rsid w:val="00DF1AF7"/>
    <w:rsid w:val="00DF236B"/>
    <w:rsid w:val="00DF26A7"/>
    <w:rsid w:val="00DF2A00"/>
    <w:rsid w:val="00DF35ED"/>
    <w:rsid w:val="00DF3701"/>
    <w:rsid w:val="00DF395B"/>
    <w:rsid w:val="00DF5138"/>
    <w:rsid w:val="00DF6159"/>
    <w:rsid w:val="00DF6328"/>
    <w:rsid w:val="00DF6566"/>
    <w:rsid w:val="00DF7A6C"/>
    <w:rsid w:val="00DF7F96"/>
    <w:rsid w:val="00E026BB"/>
    <w:rsid w:val="00E060C4"/>
    <w:rsid w:val="00E06860"/>
    <w:rsid w:val="00E10178"/>
    <w:rsid w:val="00E1071A"/>
    <w:rsid w:val="00E10EE8"/>
    <w:rsid w:val="00E125D0"/>
    <w:rsid w:val="00E13306"/>
    <w:rsid w:val="00E13AB8"/>
    <w:rsid w:val="00E13BC5"/>
    <w:rsid w:val="00E13F51"/>
    <w:rsid w:val="00E14E0D"/>
    <w:rsid w:val="00E15059"/>
    <w:rsid w:val="00E152E0"/>
    <w:rsid w:val="00E164E5"/>
    <w:rsid w:val="00E170F8"/>
    <w:rsid w:val="00E17401"/>
    <w:rsid w:val="00E20C03"/>
    <w:rsid w:val="00E2184C"/>
    <w:rsid w:val="00E21A8B"/>
    <w:rsid w:val="00E21FD3"/>
    <w:rsid w:val="00E2279C"/>
    <w:rsid w:val="00E22B02"/>
    <w:rsid w:val="00E231C8"/>
    <w:rsid w:val="00E23217"/>
    <w:rsid w:val="00E23A8C"/>
    <w:rsid w:val="00E23B63"/>
    <w:rsid w:val="00E23C67"/>
    <w:rsid w:val="00E24218"/>
    <w:rsid w:val="00E24AB7"/>
    <w:rsid w:val="00E24CC0"/>
    <w:rsid w:val="00E25706"/>
    <w:rsid w:val="00E25CB3"/>
    <w:rsid w:val="00E27C20"/>
    <w:rsid w:val="00E304DC"/>
    <w:rsid w:val="00E30AE3"/>
    <w:rsid w:val="00E30C62"/>
    <w:rsid w:val="00E30DFD"/>
    <w:rsid w:val="00E30EFF"/>
    <w:rsid w:val="00E311BA"/>
    <w:rsid w:val="00E314E6"/>
    <w:rsid w:val="00E31A9F"/>
    <w:rsid w:val="00E31C1F"/>
    <w:rsid w:val="00E31D3A"/>
    <w:rsid w:val="00E32180"/>
    <w:rsid w:val="00E32C94"/>
    <w:rsid w:val="00E32E87"/>
    <w:rsid w:val="00E33A7D"/>
    <w:rsid w:val="00E33B62"/>
    <w:rsid w:val="00E35C0F"/>
    <w:rsid w:val="00E35E2F"/>
    <w:rsid w:val="00E3688E"/>
    <w:rsid w:val="00E36C74"/>
    <w:rsid w:val="00E36ED1"/>
    <w:rsid w:val="00E37230"/>
    <w:rsid w:val="00E377D9"/>
    <w:rsid w:val="00E377FA"/>
    <w:rsid w:val="00E37E18"/>
    <w:rsid w:val="00E4143A"/>
    <w:rsid w:val="00E435F2"/>
    <w:rsid w:val="00E437AB"/>
    <w:rsid w:val="00E4422A"/>
    <w:rsid w:val="00E442D9"/>
    <w:rsid w:val="00E4471D"/>
    <w:rsid w:val="00E44938"/>
    <w:rsid w:val="00E44E85"/>
    <w:rsid w:val="00E45C4E"/>
    <w:rsid w:val="00E472CA"/>
    <w:rsid w:val="00E47686"/>
    <w:rsid w:val="00E47F4C"/>
    <w:rsid w:val="00E5058B"/>
    <w:rsid w:val="00E508D3"/>
    <w:rsid w:val="00E51A47"/>
    <w:rsid w:val="00E52850"/>
    <w:rsid w:val="00E5296F"/>
    <w:rsid w:val="00E52CEF"/>
    <w:rsid w:val="00E52FCE"/>
    <w:rsid w:val="00E53BEB"/>
    <w:rsid w:val="00E549E9"/>
    <w:rsid w:val="00E56023"/>
    <w:rsid w:val="00E609BD"/>
    <w:rsid w:val="00E6136C"/>
    <w:rsid w:val="00E61A21"/>
    <w:rsid w:val="00E61D16"/>
    <w:rsid w:val="00E61E04"/>
    <w:rsid w:val="00E622FB"/>
    <w:rsid w:val="00E62F4F"/>
    <w:rsid w:val="00E631D8"/>
    <w:rsid w:val="00E63AE5"/>
    <w:rsid w:val="00E63CDB"/>
    <w:rsid w:val="00E63D0C"/>
    <w:rsid w:val="00E63FF3"/>
    <w:rsid w:val="00E66B9A"/>
    <w:rsid w:val="00E6749B"/>
    <w:rsid w:val="00E67609"/>
    <w:rsid w:val="00E71A84"/>
    <w:rsid w:val="00E722CB"/>
    <w:rsid w:val="00E72B16"/>
    <w:rsid w:val="00E72C7B"/>
    <w:rsid w:val="00E737E5"/>
    <w:rsid w:val="00E74705"/>
    <w:rsid w:val="00E74A2B"/>
    <w:rsid w:val="00E76729"/>
    <w:rsid w:val="00E7782E"/>
    <w:rsid w:val="00E77D1D"/>
    <w:rsid w:val="00E77D59"/>
    <w:rsid w:val="00E814AA"/>
    <w:rsid w:val="00E81A62"/>
    <w:rsid w:val="00E81A75"/>
    <w:rsid w:val="00E830A2"/>
    <w:rsid w:val="00E8343C"/>
    <w:rsid w:val="00E8373E"/>
    <w:rsid w:val="00E84207"/>
    <w:rsid w:val="00E85393"/>
    <w:rsid w:val="00E85D4E"/>
    <w:rsid w:val="00E85ECA"/>
    <w:rsid w:val="00E86D96"/>
    <w:rsid w:val="00E87751"/>
    <w:rsid w:val="00E87D8C"/>
    <w:rsid w:val="00E913A1"/>
    <w:rsid w:val="00E91EDD"/>
    <w:rsid w:val="00E92A74"/>
    <w:rsid w:val="00E92F57"/>
    <w:rsid w:val="00E940F1"/>
    <w:rsid w:val="00E947C0"/>
    <w:rsid w:val="00E94CE5"/>
    <w:rsid w:val="00E954A3"/>
    <w:rsid w:val="00E95FB7"/>
    <w:rsid w:val="00E96970"/>
    <w:rsid w:val="00E96C64"/>
    <w:rsid w:val="00E97541"/>
    <w:rsid w:val="00E97BC5"/>
    <w:rsid w:val="00E97C4B"/>
    <w:rsid w:val="00EA0203"/>
    <w:rsid w:val="00EA1421"/>
    <w:rsid w:val="00EA22A5"/>
    <w:rsid w:val="00EA3146"/>
    <w:rsid w:val="00EA3271"/>
    <w:rsid w:val="00EA40A3"/>
    <w:rsid w:val="00EA477B"/>
    <w:rsid w:val="00EA4CA9"/>
    <w:rsid w:val="00EA5116"/>
    <w:rsid w:val="00EA5137"/>
    <w:rsid w:val="00EA572E"/>
    <w:rsid w:val="00EA5C4C"/>
    <w:rsid w:val="00EA5F0B"/>
    <w:rsid w:val="00EA63D2"/>
    <w:rsid w:val="00EA666F"/>
    <w:rsid w:val="00EB0DE5"/>
    <w:rsid w:val="00EB27F2"/>
    <w:rsid w:val="00EB340D"/>
    <w:rsid w:val="00EB5921"/>
    <w:rsid w:val="00EB5C48"/>
    <w:rsid w:val="00EB5CEA"/>
    <w:rsid w:val="00EB6ED1"/>
    <w:rsid w:val="00EB76C1"/>
    <w:rsid w:val="00EB7A25"/>
    <w:rsid w:val="00EC268B"/>
    <w:rsid w:val="00EC2E02"/>
    <w:rsid w:val="00EC2E21"/>
    <w:rsid w:val="00EC33B9"/>
    <w:rsid w:val="00EC628B"/>
    <w:rsid w:val="00EC7B4B"/>
    <w:rsid w:val="00EC7EFE"/>
    <w:rsid w:val="00ED068F"/>
    <w:rsid w:val="00ED149A"/>
    <w:rsid w:val="00ED2BE0"/>
    <w:rsid w:val="00ED41B2"/>
    <w:rsid w:val="00ED52D1"/>
    <w:rsid w:val="00ED54D6"/>
    <w:rsid w:val="00ED5626"/>
    <w:rsid w:val="00ED60DF"/>
    <w:rsid w:val="00ED786E"/>
    <w:rsid w:val="00EE00DA"/>
    <w:rsid w:val="00EE044A"/>
    <w:rsid w:val="00EE1009"/>
    <w:rsid w:val="00EE14A5"/>
    <w:rsid w:val="00EE22BA"/>
    <w:rsid w:val="00EE2774"/>
    <w:rsid w:val="00EE2F7B"/>
    <w:rsid w:val="00EE4B65"/>
    <w:rsid w:val="00EE4C00"/>
    <w:rsid w:val="00EE55B9"/>
    <w:rsid w:val="00EE59B5"/>
    <w:rsid w:val="00EE5A06"/>
    <w:rsid w:val="00EE5D43"/>
    <w:rsid w:val="00EF000D"/>
    <w:rsid w:val="00EF0584"/>
    <w:rsid w:val="00EF0F3E"/>
    <w:rsid w:val="00EF14B9"/>
    <w:rsid w:val="00EF21B8"/>
    <w:rsid w:val="00EF23ED"/>
    <w:rsid w:val="00EF35C2"/>
    <w:rsid w:val="00EF5227"/>
    <w:rsid w:val="00EF52E7"/>
    <w:rsid w:val="00EF57D2"/>
    <w:rsid w:val="00EF61CE"/>
    <w:rsid w:val="00EF6427"/>
    <w:rsid w:val="00EF7152"/>
    <w:rsid w:val="00EF7CD9"/>
    <w:rsid w:val="00F00E98"/>
    <w:rsid w:val="00F01A5F"/>
    <w:rsid w:val="00F02556"/>
    <w:rsid w:val="00F02870"/>
    <w:rsid w:val="00F02C21"/>
    <w:rsid w:val="00F02F6D"/>
    <w:rsid w:val="00F048BC"/>
    <w:rsid w:val="00F04E37"/>
    <w:rsid w:val="00F05E93"/>
    <w:rsid w:val="00F05F36"/>
    <w:rsid w:val="00F0624A"/>
    <w:rsid w:val="00F068F4"/>
    <w:rsid w:val="00F07626"/>
    <w:rsid w:val="00F078DF"/>
    <w:rsid w:val="00F107DE"/>
    <w:rsid w:val="00F109C7"/>
    <w:rsid w:val="00F109EF"/>
    <w:rsid w:val="00F10CAD"/>
    <w:rsid w:val="00F10ED2"/>
    <w:rsid w:val="00F119DE"/>
    <w:rsid w:val="00F12855"/>
    <w:rsid w:val="00F12E8C"/>
    <w:rsid w:val="00F13209"/>
    <w:rsid w:val="00F1320C"/>
    <w:rsid w:val="00F1332C"/>
    <w:rsid w:val="00F13633"/>
    <w:rsid w:val="00F1486A"/>
    <w:rsid w:val="00F15490"/>
    <w:rsid w:val="00F1555A"/>
    <w:rsid w:val="00F16446"/>
    <w:rsid w:val="00F1732F"/>
    <w:rsid w:val="00F17667"/>
    <w:rsid w:val="00F1773B"/>
    <w:rsid w:val="00F17886"/>
    <w:rsid w:val="00F20068"/>
    <w:rsid w:val="00F206D5"/>
    <w:rsid w:val="00F20726"/>
    <w:rsid w:val="00F218E6"/>
    <w:rsid w:val="00F22404"/>
    <w:rsid w:val="00F22646"/>
    <w:rsid w:val="00F22D50"/>
    <w:rsid w:val="00F22D7A"/>
    <w:rsid w:val="00F23493"/>
    <w:rsid w:val="00F246D6"/>
    <w:rsid w:val="00F249B4"/>
    <w:rsid w:val="00F249B5"/>
    <w:rsid w:val="00F25492"/>
    <w:rsid w:val="00F254CC"/>
    <w:rsid w:val="00F25ED5"/>
    <w:rsid w:val="00F260BA"/>
    <w:rsid w:val="00F267EE"/>
    <w:rsid w:val="00F270A5"/>
    <w:rsid w:val="00F303EC"/>
    <w:rsid w:val="00F31467"/>
    <w:rsid w:val="00F316F5"/>
    <w:rsid w:val="00F31A1D"/>
    <w:rsid w:val="00F324C0"/>
    <w:rsid w:val="00F327C3"/>
    <w:rsid w:val="00F3472E"/>
    <w:rsid w:val="00F357E7"/>
    <w:rsid w:val="00F3693B"/>
    <w:rsid w:val="00F36BB5"/>
    <w:rsid w:val="00F37157"/>
    <w:rsid w:val="00F372D2"/>
    <w:rsid w:val="00F37AA7"/>
    <w:rsid w:val="00F37C93"/>
    <w:rsid w:val="00F402FD"/>
    <w:rsid w:val="00F40599"/>
    <w:rsid w:val="00F4094F"/>
    <w:rsid w:val="00F42B15"/>
    <w:rsid w:val="00F430A9"/>
    <w:rsid w:val="00F43C2D"/>
    <w:rsid w:val="00F43C80"/>
    <w:rsid w:val="00F442F0"/>
    <w:rsid w:val="00F44379"/>
    <w:rsid w:val="00F443D6"/>
    <w:rsid w:val="00F45A81"/>
    <w:rsid w:val="00F460D4"/>
    <w:rsid w:val="00F47665"/>
    <w:rsid w:val="00F5061C"/>
    <w:rsid w:val="00F52F83"/>
    <w:rsid w:val="00F5311E"/>
    <w:rsid w:val="00F5386C"/>
    <w:rsid w:val="00F53BE5"/>
    <w:rsid w:val="00F54939"/>
    <w:rsid w:val="00F552A6"/>
    <w:rsid w:val="00F5536F"/>
    <w:rsid w:val="00F555BE"/>
    <w:rsid w:val="00F5587E"/>
    <w:rsid w:val="00F55B6E"/>
    <w:rsid w:val="00F56AE4"/>
    <w:rsid w:val="00F56B7C"/>
    <w:rsid w:val="00F56CA8"/>
    <w:rsid w:val="00F56CB7"/>
    <w:rsid w:val="00F60C30"/>
    <w:rsid w:val="00F61336"/>
    <w:rsid w:val="00F61C09"/>
    <w:rsid w:val="00F62306"/>
    <w:rsid w:val="00F62E7E"/>
    <w:rsid w:val="00F631BE"/>
    <w:rsid w:val="00F6483F"/>
    <w:rsid w:val="00F64EB8"/>
    <w:rsid w:val="00F65624"/>
    <w:rsid w:val="00F65686"/>
    <w:rsid w:val="00F65850"/>
    <w:rsid w:val="00F675BE"/>
    <w:rsid w:val="00F70A57"/>
    <w:rsid w:val="00F70C8F"/>
    <w:rsid w:val="00F7112F"/>
    <w:rsid w:val="00F712ED"/>
    <w:rsid w:val="00F716B8"/>
    <w:rsid w:val="00F717B7"/>
    <w:rsid w:val="00F72A15"/>
    <w:rsid w:val="00F72F33"/>
    <w:rsid w:val="00F737DB"/>
    <w:rsid w:val="00F7412B"/>
    <w:rsid w:val="00F7432F"/>
    <w:rsid w:val="00F745A5"/>
    <w:rsid w:val="00F74BA3"/>
    <w:rsid w:val="00F74F25"/>
    <w:rsid w:val="00F762C6"/>
    <w:rsid w:val="00F7635E"/>
    <w:rsid w:val="00F80305"/>
    <w:rsid w:val="00F8048F"/>
    <w:rsid w:val="00F80656"/>
    <w:rsid w:val="00F82893"/>
    <w:rsid w:val="00F83838"/>
    <w:rsid w:val="00F83FF2"/>
    <w:rsid w:val="00F842D9"/>
    <w:rsid w:val="00F84691"/>
    <w:rsid w:val="00F84899"/>
    <w:rsid w:val="00F855B7"/>
    <w:rsid w:val="00F859F0"/>
    <w:rsid w:val="00F87254"/>
    <w:rsid w:val="00F87C3E"/>
    <w:rsid w:val="00F911D4"/>
    <w:rsid w:val="00F915D0"/>
    <w:rsid w:val="00F91C32"/>
    <w:rsid w:val="00F91F95"/>
    <w:rsid w:val="00F925F7"/>
    <w:rsid w:val="00F926D5"/>
    <w:rsid w:val="00F9299C"/>
    <w:rsid w:val="00F92AB5"/>
    <w:rsid w:val="00F95277"/>
    <w:rsid w:val="00F952F9"/>
    <w:rsid w:val="00F961C4"/>
    <w:rsid w:val="00F962BF"/>
    <w:rsid w:val="00F967BB"/>
    <w:rsid w:val="00F971E7"/>
    <w:rsid w:val="00FA120E"/>
    <w:rsid w:val="00FA121E"/>
    <w:rsid w:val="00FA14DE"/>
    <w:rsid w:val="00FA19B8"/>
    <w:rsid w:val="00FA3AEE"/>
    <w:rsid w:val="00FA3B3B"/>
    <w:rsid w:val="00FA3E29"/>
    <w:rsid w:val="00FA4333"/>
    <w:rsid w:val="00FA4849"/>
    <w:rsid w:val="00FA4BFC"/>
    <w:rsid w:val="00FA508A"/>
    <w:rsid w:val="00FA553E"/>
    <w:rsid w:val="00FA61F3"/>
    <w:rsid w:val="00FA6D8A"/>
    <w:rsid w:val="00FB01E5"/>
    <w:rsid w:val="00FB25D9"/>
    <w:rsid w:val="00FB2CA4"/>
    <w:rsid w:val="00FB33BA"/>
    <w:rsid w:val="00FB364B"/>
    <w:rsid w:val="00FB56C6"/>
    <w:rsid w:val="00FB5D8C"/>
    <w:rsid w:val="00FB6646"/>
    <w:rsid w:val="00FB6D91"/>
    <w:rsid w:val="00FB7032"/>
    <w:rsid w:val="00FB781F"/>
    <w:rsid w:val="00FC0041"/>
    <w:rsid w:val="00FC075A"/>
    <w:rsid w:val="00FC133A"/>
    <w:rsid w:val="00FC1A07"/>
    <w:rsid w:val="00FC2A34"/>
    <w:rsid w:val="00FC4C3C"/>
    <w:rsid w:val="00FC4FE8"/>
    <w:rsid w:val="00FC7795"/>
    <w:rsid w:val="00FC7B7C"/>
    <w:rsid w:val="00FD0EF2"/>
    <w:rsid w:val="00FD101F"/>
    <w:rsid w:val="00FD1137"/>
    <w:rsid w:val="00FD365C"/>
    <w:rsid w:val="00FD458C"/>
    <w:rsid w:val="00FD4943"/>
    <w:rsid w:val="00FD4B00"/>
    <w:rsid w:val="00FD5759"/>
    <w:rsid w:val="00FD5FAD"/>
    <w:rsid w:val="00FD63FB"/>
    <w:rsid w:val="00FD699E"/>
    <w:rsid w:val="00FD6A5D"/>
    <w:rsid w:val="00FD6B72"/>
    <w:rsid w:val="00FD7BFD"/>
    <w:rsid w:val="00FD7F5B"/>
    <w:rsid w:val="00FE08A6"/>
    <w:rsid w:val="00FE0E65"/>
    <w:rsid w:val="00FE100D"/>
    <w:rsid w:val="00FE141E"/>
    <w:rsid w:val="00FE1B89"/>
    <w:rsid w:val="00FE3617"/>
    <w:rsid w:val="00FE3CA5"/>
    <w:rsid w:val="00FE42ED"/>
    <w:rsid w:val="00FE64CB"/>
    <w:rsid w:val="00FE68CC"/>
    <w:rsid w:val="00FE6B6C"/>
    <w:rsid w:val="00FE7785"/>
    <w:rsid w:val="00FE7983"/>
    <w:rsid w:val="00FF216D"/>
    <w:rsid w:val="00FF286F"/>
    <w:rsid w:val="00FF29F6"/>
    <w:rsid w:val="00FF4081"/>
    <w:rsid w:val="00FF435B"/>
    <w:rsid w:val="00FF479C"/>
    <w:rsid w:val="00FF543C"/>
    <w:rsid w:val="00FF5A12"/>
    <w:rsid w:val="00FF660C"/>
    <w:rsid w:val="00FF6E90"/>
    <w:rsid w:val="00FF755E"/>
    <w:rsid w:val="00FF7C01"/>
    <w:rsid w:val="24F2FAEE"/>
    <w:rsid w:val="4ADC030F"/>
    <w:rsid w:val="52988F3A"/>
    <w:rsid w:val="52CE80C8"/>
    <w:rsid w:val="5ED1DC8B"/>
    <w:rsid w:val="65765398"/>
    <w:rsid w:val="6C3F7E5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891CEB82-EDC5-4FDE-AA5C-A6A00B6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paragraph" w:styleId="Ttulo1">
    <w:name w:val="heading 1"/>
    <w:basedOn w:val="Normal"/>
    <w:next w:val="Normal"/>
    <w:link w:val="Ttulo1Car"/>
    <w:uiPriority w:val="9"/>
    <w:qFormat/>
    <w:rsid w:val="00E1505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3852EA"/>
    <w:pPr>
      <w:keepNext/>
      <w:jc w:val="both"/>
      <w:outlineLvl w:val="1"/>
    </w:pPr>
    <w:rPr>
      <w:rFonts w:ascii="Century Gothic" w:eastAsia="Times New Roman" w:hAnsi="Century Gothic" w:cs="Arial"/>
      <w:b/>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aliases w:val="Footnote Text Char Char Char Char Car,Footnote Text Cha Car,Footnote Text Char Char Char Car,FA Fußnotentext Car,FA Fuﬂnotentext Car,texto de nota al p Car"/>
    <w:basedOn w:val="Fuentedeprrafopredeter"/>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013780"/>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2A9"/>
    <w:pPr>
      <w:autoSpaceDE w:val="0"/>
      <w:autoSpaceDN w:val="0"/>
      <w:adjustRightInd w:val="0"/>
      <w:spacing w:after="0" w:line="240" w:lineRule="auto"/>
    </w:pPr>
    <w:rPr>
      <w:rFonts w:ascii="Arial" w:hAnsi="Arial" w:cs="Arial"/>
      <w:color w:val="000000"/>
      <w:sz w:val="24"/>
      <w:szCs w:val="24"/>
    </w:rPr>
  </w:style>
  <w:style w:type="character" w:styleId="Textoennegrita">
    <w:name w:val="Strong"/>
    <w:basedOn w:val="Fuentedeprrafopredeter"/>
    <w:uiPriority w:val="22"/>
    <w:qFormat/>
    <w:rsid w:val="00B9068D"/>
    <w:rPr>
      <w:b/>
      <w:bCs/>
    </w:rPr>
  </w:style>
  <w:style w:type="character" w:styleId="nfasis">
    <w:name w:val="Emphasis"/>
    <w:basedOn w:val="Fuentedeprrafopredeter"/>
    <w:uiPriority w:val="20"/>
    <w:qFormat/>
    <w:rsid w:val="00B9068D"/>
    <w:rPr>
      <w:i/>
      <w:iCs/>
    </w:rPr>
  </w:style>
  <w:style w:type="character" w:styleId="Textodelmarcadordeposicin">
    <w:name w:val="Placeholder Text"/>
    <w:basedOn w:val="Fuentedeprrafopredeter"/>
    <w:uiPriority w:val="99"/>
    <w:semiHidden/>
    <w:rsid w:val="00E24218"/>
    <w:rPr>
      <w:color w:val="808080"/>
    </w:rPr>
  </w:style>
  <w:style w:type="character" w:customStyle="1" w:styleId="Mencinsinresolver1">
    <w:name w:val="Mención sin resolver1"/>
    <w:basedOn w:val="Fuentedeprrafopredeter"/>
    <w:uiPriority w:val="99"/>
    <w:semiHidden/>
    <w:unhideWhenUsed/>
    <w:rsid w:val="007E61BB"/>
    <w:rPr>
      <w:color w:val="605E5C"/>
      <w:shd w:val="clear" w:color="auto" w:fill="E1DFDD"/>
    </w:rPr>
  </w:style>
  <w:style w:type="paragraph" w:customStyle="1" w:styleId="textocaja">
    <w:name w:val="textocaja"/>
    <w:basedOn w:val="Normal"/>
    <w:rsid w:val="006726C7"/>
    <w:pPr>
      <w:spacing w:before="100" w:beforeAutospacing="1" w:after="100" w:afterAutospacing="1"/>
      <w:jc w:val="both"/>
    </w:pPr>
    <w:rPr>
      <w:rFonts w:ascii="Georgia" w:eastAsia="Times New Roman" w:hAnsi="Georgia" w:cs="Times New Roman"/>
      <w:sz w:val="22"/>
      <w:lang w:val="es-CO" w:eastAsia="es-CO"/>
    </w:rPr>
  </w:style>
  <w:style w:type="paragraph" w:styleId="Textoindependiente">
    <w:name w:val="Body Text"/>
    <w:basedOn w:val="Normal"/>
    <w:link w:val="TextoindependienteCar"/>
    <w:uiPriority w:val="99"/>
    <w:semiHidden/>
    <w:unhideWhenUsed/>
    <w:rsid w:val="00F02556"/>
    <w:pPr>
      <w:spacing w:before="100" w:beforeAutospacing="1" w:after="100" w:afterAutospacing="1"/>
    </w:pPr>
    <w:rPr>
      <w:rFonts w:ascii="Times New Roman" w:eastAsia="Times New Roman" w:hAnsi="Times New Roman" w:cs="Times New Roman"/>
      <w:szCs w:val="24"/>
      <w:lang w:val="es-CO" w:eastAsia="es-CO"/>
    </w:rPr>
  </w:style>
  <w:style w:type="character" w:customStyle="1" w:styleId="TextoindependienteCar">
    <w:name w:val="Texto independiente Car"/>
    <w:basedOn w:val="Fuentedeprrafopredeter"/>
    <w:link w:val="Textoindependiente"/>
    <w:uiPriority w:val="99"/>
    <w:semiHidden/>
    <w:rsid w:val="00F02556"/>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rsid w:val="003852EA"/>
    <w:rPr>
      <w:rFonts w:ascii="Century Gothic" w:eastAsia="Times New Roman" w:hAnsi="Century Gothic" w:cs="Arial"/>
      <w:b/>
      <w:lang w:val="es-ES" w:eastAsia="es-ES"/>
    </w:rPr>
  </w:style>
  <w:style w:type="character" w:customStyle="1" w:styleId="nacep">
    <w:name w:val="n_acep"/>
    <w:basedOn w:val="Fuentedeprrafopredeter"/>
    <w:rsid w:val="001436C6"/>
  </w:style>
  <w:style w:type="character" w:customStyle="1" w:styleId="u">
    <w:name w:val="u"/>
    <w:basedOn w:val="Fuentedeprrafopredeter"/>
    <w:rsid w:val="00050838"/>
  </w:style>
  <w:style w:type="character" w:customStyle="1" w:styleId="NormalWebCar">
    <w:name w:val="Normal (Web) Car"/>
    <w:link w:val="NormalWeb"/>
    <w:uiPriority w:val="99"/>
    <w:rsid w:val="00CD4F65"/>
    <w:rPr>
      <w:rFonts w:ascii="Times New Roman" w:eastAsia="Times New Roman" w:hAnsi="Times New Roman" w:cs="Times New Roman"/>
      <w:sz w:val="24"/>
      <w:szCs w:val="24"/>
      <w:lang w:eastAsia="es-CO"/>
    </w:rPr>
  </w:style>
  <w:style w:type="paragraph" w:customStyle="1" w:styleId="m1280678090329625985xmsonormal">
    <w:name w:val="m_1280678090329625985xmsonormal"/>
    <w:basedOn w:val="Normal"/>
    <w:rsid w:val="001D1E85"/>
    <w:pPr>
      <w:spacing w:before="100" w:beforeAutospacing="1" w:after="100" w:afterAutospacing="1"/>
    </w:pPr>
    <w:rPr>
      <w:rFonts w:ascii="Times New Roman" w:hAnsi="Times New Roman" w:cs="Times New Roman"/>
      <w:szCs w:val="24"/>
      <w:lang w:val="es-ES_tradnl" w:eastAsia="es-ES_tradnl"/>
    </w:rPr>
  </w:style>
  <w:style w:type="character" w:customStyle="1" w:styleId="Ttulo1Car">
    <w:name w:val="Título 1 Car"/>
    <w:basedOn w:val="Fuentedeprrafopredeter"/>
    <w:link w:val="Ttulo1"/>
    <w:uiPriority w:val="9"/>
    <w:rsid w:val="00E15059"/>
    <w:rPr>
      <w:rFonts w:asciiTheme="majorHAnsi" w:eastAsiaTheme="majorEastAsia" w:hAnsiTheme="majorHAnsi" w:cstheme="majorBidi"/>
      <w:color w:val="365F91" w:themeColor="accent1" w:themeShade="BF"/>
      <w:sz w:val="32"/>
      <w:szCs w:val="32"/>
      <w:lang w:val="es-MX"/>
    </w:rPr>
  </w:style>
  <w:style w:type="paragraph" w:customStyle="1" w:styleId="parrafo-division">
    <w:name w:val="parrafo-division"/>
    <w:basedOn w:val="Normal"/>
    <w:rsid w:val="0039284C"/>
    <w:pPr>
      <w:spacing w:before="100" w:beforeAutospacing="1" w:after="100" w:afterAutospacing="1"/>
    </w:pPr>
    <w:rPr>
      <w:rFonts w:ascii="Times New Roman" w:eastAsia="Times New Roman" w:hAnsi="Times New Roman" w:cs="Times New Roman"/>
      <w:szCs w:val="24"/>
      <w:lang w:val="es-CO" w:eastAsia="es-CO"/>
    </w:rPr>
  </w:style>
  <w:style w:type="paragraph" w:styleId="Revisin">
    <w:name w:val="Revision"/>
    <w:hidden/>
    <w:uiPriority w:val="99"/>
    <w:semiHidden/>
    <w:rsid w:val="00411E6A"/>
    <w:pPr>
      <w:spacing w:after="0" w:line="240" w:lineRule="auto"/>
    </w:pPr>
    <w:rPr>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8662">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4835325">
      <w:bodyDiv w:val="1"/>
      <w:marLeft w:val="0"/>
      <w:marRight w:val="0"/>
      <w:marTop w:val="0"/>
      <w:marBottom w:val="0"/>
      <w:divBdr>
        <w:top w:val="none" w:sz="0" w:space="0" w:color="auto"/>
        <w:left w:val="none" w:sz="0" w:space="0" w:color="auto"/>
        <w:bottom w:val="none" w:sz="0" w:space="0" w:color="auto"/>
        <w:right w:val="none" w:sz="0" w:space="0" w:color="auto"/>
      </w:divBdr>
    </w:div>
    <w:div w:id="74859803">
      <w:bodyDiv w:val="1"/>
      <w:marLeft w:val="0"/>
      <w:marRight w:val="0"/>
      <w:marTop w:val="0"/>
      <w:marBottom w:val="0"/>
      <w:divBdr>
        <w:top w:val="none" w:sz="0" w:space="0" w:color="auto"/>
        <w:left w:val="none" w:sz="0" w:space="0" w:color="auto"/>
        <w:bottom w:val="none" w:sz="0" w:space="0" w:color="auto"/>
        <w:right w:val="none" w:sz="0" w:space="0" w:color="auto"/>
      </w:divBdr>
    </w:div>
    <w:div w:id="121198858">
      <w:bodyDiv w:val="1"/>
      <w:marLeft w:val="0"/>
      <w:marRight w:val="0"/>
      <w:marTop w:val="0"/>
      <w:marBottom w:val="0"/>
      <w:divBdr>
        <w:top w:val="none" w:sz="0" w:space="0" w:color="auto"/>
        <w:left w:val="none" w:sz="0" w:space="0" w:color="auto"/>
        <w:bottom w:val="none" w:sz="0" w:space="0" w:color="auto"/>
        <w:right w:val="none" w:sz="0" w:space="0" w:color="auto"/>
      </w:divBdr>
    </w:div>
    <w:div w:id="131563211">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246116411">
      <w:bodyDiv w:val="1"/>
      <w:marLeft w:val="0"/>
      <w:marRight w:val="0"/>
      <w:marTop w:val="0"/>
      <w:marBottom w:val="0"/>
      <w:divBdr>
        <w:top w:val="none" w:sz="0" w:space="0" w:color="auto"/>
        <w:left w:val="none" w:sz="0" w:space="0" w:color="auto"/>
        <w:bottom w:val="none" w:sz="0" w:space="0" w:color="auto"/>
        <w:right w:val="none" w:sz="0" w:space="0" w:color="auto"/>
      </w:divBdr>
    </w:div>
    <w:div w:id="263342648">
      <w:bodyDiv w:val="1"/>
      <w:marLeft w:val="0"/>
      <w:marRight w:val="0"/>
      <w:marTop w:val="0"/>
      <w:marBottom w:val="0"/>
      <w:divBdr>
        <w:top w:val="none" w:sz="0" w:space="0" w:color="auto"/>
        <w:left w:val="none" w:sz="0" w:space="0" w:color="auto"/>
        <w:bottom w:val="none" w:sz="0" w:space="0" w:color="auto"/>
        <w:right w:val="none" w:sz="0" w:space="0" w:color="auto"/>
      </w:divBdr>
    </w:div>
    <w:div w:id="265843300">
      <w:bodyDiv w:val="1"/>
      <w:marLeft w:val="0"/>
      <w:marRight w:val="0"/>
      <w:marTop w:val="0"/>
      <w:marBottom w:val="0"/>
      <w:divBdr>
        <w:top w:val="none" w:sz="0" w:space="0" w:color="auto"/>
        <w:left w:val="none" w:sz="0" w:space="0" w:color="auto"/>
        <w:bottom w:val="none" w:sz="0" w:space="0" w:color="auto"/>
        <w:right w:val="none" w:sz="0" w:space="0" w:color="auto"/>
      </w:divBdr>
    </w:div>
    <w:div w:id="276451897">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13341538">
      <w:bodyDiv w:val="1"/>
      <w:marLeft w:val="0"/>
      <w:marRight w:val="0"/>
      <w:marTop w:val="0"/>
      <w:marBottom w:val="0"/>
      <w:divBdr>
        <w:top w:val="none" w:sz="0" w:space="0" w:color="auto"/>
        <w:left w:val="none" w:sz="0" w:space="0" w:color="auto"/>
        <w:bottom w:val="none" w:sz="0" w:space="0" w:color="auto"/>
        <w:right w:val="none" w:sz="0" w:space="0" w:color="auto"/>
      </w:divBdr>
    </w:div>
    <w:div w:id="384718795">
      <w:bodyDiv w:val="1"/>
      <w:marLeft w:val="0"/>
      <w:marRight w:val="0"/>
      <w:marTop w:val="0"/>
      <w:marBottom w:val="0"/>
      <w:divBdr>
        <w:top w:val="none" w:sz="0" w:space="0" w:color="auto"/>
        <w:left w:val="none" w:sz="0" w:space="0" w:color="auto"/>
        <w:bottom w:val="none" w:sz="0" w:space="0" w:color="auto"/>
        <w:right w:val="none" w:sz="0" w:space="0" w:color="auto"/>
      </w:divBdr>
    </w:div>
    <w:div w:id="422992938">
      <w:bodyDiv w:val="1"/>
      <w:marLeft w:val="0"/>
      <w:marRight w:val="0"/>
      <w:marTop w:val="0"/>
      <w:marBottom w:val="0"/>
      <w:divBdr>
        <w:top w:val="none" w:sz="0" w:space="0" w:color="auto"/>
        <w:left w:val="none" w:sz="0" w:space="0" w:color="auto"/>
        <w:bottom w:val="none" w:sz="0" w:space="0" w:color="auto"/>
        <w:right w:val="none" w:sz="0" w:space="0" w:color="auto"/>
      </w:divBdr>
    </w:div>
    <w:div w:id="497505712">
      <w:bodyDiv w:val="1"/>
      <w:marLeft w:val="0"/>
      <w:marRight w:val="0"/>
      <w:marTop w:val="0"/>
      <w:marBottom w:val="0"/>
      <w:divBdr>
        <w:top w:val="none" w:sz="0" w:space="0" w:color="auto"/>
        <w:left w:val="none" w:sz="0" w:space="0" w:color="auto"/>
        <w:bottom w:val="none" w:sz="0" w:space="0" w:color="auto"/>
        <w:right w:val="none" w:sz="0" w:space="0" w:color="auto"/>
      </w:divBdr>
    </w:div>
    <w:div w:id="502742086">
      <w:bodyDiv w:val="1"/>
      <w:marLeft w:val="0"/>
      <w:marRight w:val="0"/>
      <w:marTop w:val="0"/>
      <w:marBottom w:val="0"/>
      <w:divBdr>
        <w:top w:val="none" w:sz="0" w:space="0" w:color="auto"/>
        <w:left w:val="none" w:sz="0" w:space="0" w:color="auto"/>
        <w:bottom w:val="none" w:sz="0" w:space="0" w:color="auto"/>
        <w:right w:val="none" w:sz="0" w:space="0" w:color="auto"/>
      </w:divBdr>
    </w:div>
    <w:div w:id="507796221">
      <w:bodyDiv w:val="1"/>
      <w:marLeft w:val="0"/>
      <w:marRight w:val="0"/>
      <w:marTop w:val="0"/>
      <w:marBottom w:val="0"/>
      <w:divBdr>
        <w:top w:val="none" w:sz="0" w:space="0" w:color="auto"/>
        <w:left w:val="none" w:sz="0" w:space="0" w:color="auto"/>
        <w:bottom w:val="none" w:sz="0" w:space="0" w:color="auto"/>
        <w:right w:val="none" w:sz="0" w:space="0" w:color="auto"/>
      </w:divBdr>
    </w:div>
    <w:div w:id="509442693">
      <w:bodyDiv w:val="1"/>
      <w:marLeft w:val="0"/>
      <w:marRight w:val="0"/>
      <w:marTop w:val="0"/>
      <w:marBottom w:val="0"/>
      <w:divBdr>
        <w:top w:val="none" w:sz="0" w:space="0" w:color="auto"/>
        <w:left w:val="none" w:sz="0" w:space="0" w:color="auto"/>
        <w:bottom w:val="none" w:sz="0" w:space="0" w:color="auto"/>
        <w:right w:val="none" w:sz="0" w:space="0" w:color="auto"/>
      </w:divBdr>
    </w:div>
    <w:div w:id="529994347">
      <w:bodyDiv w:val="1"/>
      <w:marLeft w:val="0"/>
      <w:marRight w:val="0"/>
      <w:marTop w:val="0"/>
      <w:marBottom w:val="0"/>
      <w:divBdr>
        <w:top w:val="none" w:sz="0" w:space="0" w:color="auto"/>
        <w:left w:val="none" w:sz="0" w:space="0" w:color="auto"/>
        <w:bottom w:val="none" w:sz="0" w:space="0" w:color="auto"/>
        <w:right w:val="none" w:sz="0" w:space="0" w:color="auto"/>
      </w:divBdr>
    </w:div>
    <w:div w:id="533346310">
      <w:bodyDiv w:val="1"/>
      <w:marLeft w:val="0"/>
      <w:marRight w:val="0"/>
      <w:marTop w:val="0"/>
      <w:marBottom w:val="0"/>
      <w:divBdr>
        <w:top w:val="none" w:sz="0" w:space="0" w:color="auto"/>
        <w:left w:val="none" w:sz="0" w:space="0" w:color="auto"/>
        <w:bottom w:val="none" w:sz="0" w:space="0" w:color="auto"/>
        <w:right w:val="none" w:sz="0" w:space="0" w:color="auto"/>
      </w:divBdr>
    </w:div>
    <w:div w:id="611329338">
      <w:bodyDiv w:val="1"/>
      <w:marLeft w:val="0"/>
      <w:marRight w:val="0"/>
      <w:marTop w:val="0"/>
      <w:marBottom w:val="0"/>
      <w:divBdr>
        <w:top w:val="none" w:sz="0" w:space="0" w:color="auto"/>
        <w:left w:val="none" w:sz="0" w:space="0" w:color="auto"/>
        <w:bottom w:val="none" w:sz="0" w:space="0" w:color="auto"/>
        <w:right w:val="none" w:sz="0" w:space="0" w:color="auto"/>
      </w:divBdr>
    </w:div>
    <w:div w:id="637301096">
      <w:bodyDiv w:val="1"/>
      <w:marLeft w:val="0"/>
      <w:marRight w:val="0"/>
      <w:marTop w:val="0"/>
      <w:marBottom w:val="0"/>
      <w:divBdr>
        <w:top w:val="none" w:sz="0" w:space="0" w:color="auto"/>
        <w:left w:val="none" w:sz="0" w:space="0" w:color="auto"/>
        <w:bottom w:val="none" w:sz="0" w:space="0" w:color="auto"/>
        <w:right w:val="none" w:sz="0" w:space="0" w:color="auto"/>
      </w:divBdr>
    </w:div>
    <w:div w:id="665206259">
      <w:bodyDiv w:val="1"/>
      <w:marLeft w:val="0"/>
      <w:marRight w:val="0"/>
      <w:marTop w:val="0"/>
      <w:marBottom w:val="0"/>
      <w:divBdr>
        <w:top w:val="none" w:sz="0" w:space="0" w:color="auto"/>
        <w:left w:val="none" w:sz="0" w:space="0" w:color="auto"/>
        <w:bottom w:val="none" w:sz="0" w:space="0" w:color="auto"/>
        <w:right w:val="none" w:sz="0" w:space="0" w:color="auto"/>
      </w:divBdr>
    </w:div>
    <w:div w:id="757412524">
      <w:bodyDiv w:val="1"/>
      <w:marLeft w:val="0"/>
      <w:marRight w:val="0"/>
      <w:marTop w:val="0"/>
      <w:marBottom w:val="0"/>
      <w:divBdr>
        <w:top w:val="none" w:sz="0" w:space="0" w:color="auto"/>
        <w:left w:val="none" w:sz="0" w:space="0" w:color="auto"/>
        <w:bottom w:val="none" w:sz="0" w:space="0" w:color="auto"/>
        <w:right w:val="none" w:sz="0" w:space="0" w:color="auto"/>
      </w:divBdr>
      <w:divsChild>
        <w:div w:id="250313372">
          <w:marLeft w:val="0"/>
          <w:marRight w:val="0"/>
          <w:marTop w:val="0"/>
          <w:marBottom w:val="0"/>
          <w:divBdr>
            <w:top w:val="none" w:sz="0" w:space="0" w:color="auto"/>
            <w:left w:val="none" w:sz="0" w:space="0" w:color="auto"/>
            <w:bottom w:val="none" w:sz="0" w:space="0" w:color="auto"/>
            <w:right w:val="none" w:sz="0" w:space="0" w:color="auto"/>
          </w:divBdr>
          <w:divsChild>
            <w:div w:id="1712416789">
              <w:marLeft w:val="0"/>
              <w:marRight w:val="0"/>
              <w:marTop w:val="0"/>
              <w:marBottom w:val="0"/>
              <w:divBdr>
                <w:top w:val="none" w:sz="0" w:space="0" w:color="auto"/>
                <w:left w:val="none" w:sz="0" w:space="0" w:color="auto"/>
                <w:bottom w:val="none" w:sz="0" w:space="0" w:color="auto"/>
                <w:right w:val="none" w:sz="0" w:space="0" w:color="auto"/>
              </w:divBdr>
            </w:div>
          </w:divsChild>
        </w:div>
        <w:div w:id="1548492382">
          <w:marLeft w:val="0"/>
          <w:marRight w:val="0"/>
          <w:marTop w:val="300"/>
          <w:marBottom w:val="300"/>
          <w:divBdr>
            <w:top w:val="none" w:sz="0" w:space="0" w:color="auto"/>
            <w:left w:val="none" w:sz="0" w:space="0" w:color="auto"/>
            <w:bottom w:val="none" w:sz="0" w:space="0" w:color="auto"/>
            <w:right w:val="none" w:sz="0" w:space="0" w:color="auto"/>
          </w:divBdr>
        </w:div>
        <w:div w:id="1858930856">
          <w:marLeft w:val="0"/>
          <w:marRight w:val="0"/>
          <w:marTop w:val="0"/>
          <w:marBottom w:val="0"/>
          <w:divBdr>
            <w:top w:val="none" w:sz="0" w:space="0" w:color="auto"/>
            <w:left w:val="none" w:sz="0" w:space="0" w:color="auto"/>
            <w:bottom w:val="none" w:sz="0" w:space="0" w:color="auto"/>
            <w:right w:val="none" w:sz="0" w:space="0" w:color="auto"/>
          </w:divBdr>
          <w:divsChild>
            <w:div w:id="2117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51739">
      <w:bodyDiv w:val="1"/>
      <w:marLeft w:val="0"/>
      <w:marRight w:val="0"/>
      <w:marTop w:val="0"/>
      <w:marBottom w:val="0"/>
      <w:divBdr>
        <w:top w:val="none" w:sz="0" w:space="0" w:color="auto"/>
        <w:left w:val="none" w:sz="0" w:space="0" w:color="auto"/>
        <w:bottom w:val="none" w:sz="0" w:space="0" w:color="auto"/>
        <w:right w:val="none" w:sz="0" w:space="0" w:color="auto"/>
      </w:divBdr>
    </w:div>
    <w:div w:id="800271304">
      <w:bodyDiv w:val="1"/>
      <w:marLeft w:val="0"/>
      <w:marRight w:val="0"/>
      <w:marTop w:val="0"/>
      <w:marBottom w:val="0"/>
      <w:divBdr>
        <w:top w:val="none" w:sz="0" w:space="0" w:color="auto"/>
        <w:left w:val="none" w:sz="0" w:space="0" w:color="auto"/>
        <w:bottom w:val="none" w:sz="0" w:space="0" w:color="auto"/>
        <w:right w:val="none" w:sz="0" w:space="0" w:color="auto"/>
      </w:divBdr>
    </w:div>
    <w:div w:id="864951089">
      <w:bodyDiv w:val="1"/>
      <w:marLeft w:val="0"/>
      <w:marRight w:val="0"/>
      <w:marTop w:val="0"/>
      <w:marBottom w:val="0"/>
      <w:divBdr>
        <w:top w:val="none" w:sz="0" w:space="0" w:color="auto"/>
        <w:left w:val="none" w:sz="0" w:space="0" w:color="auto"/>
        <w:bottom w:val="none" w:sz="0" w:space="0" w:color="auto"/>
        <w:right w:val="none" w:sz="0" w:space="0" w:color="auto"/>
      </w:divBdr>
    </w:div>
    <w:div w:id="866063594">
      <w:bodyDiv w:val="1"/>
      <w:marLeft w:val="0"/>
      <w:marRight w:val="0"/>
      <w:marTop w:val="0"/>
      <w:marBottom w:val="0"/>
      <w:divBdr>
        <w:top w:val="none" w:sz="0" w:space="0" w:color="auto"/>
        <w:left w:val="none" w:sz="0" w:space="0" w:color="auto"/>
        <w:bottom w:val="none" w:sz="0" w:space="0" w:color="auto"/>
        <w:right w:val="none" w:sz="0" w:space="0" w:color="auto"/>
      </w:divBdr>
    </w:div>
    <w:div w:id="880749534">
      <w:bodyDiv w:val="1"/>
      <w:marLeft w:val="0"/>
      <w:marRight w:val="0"/>
      <w:marTop w:val="0"/>
      <w:marBottom w:val="0"/>
      <w:divBdr>
        <w:top w:val="none" w:sz="0" w:space="0" w:color="auto"/>
        <w:left w:val="none" w:sz="0" w:space="0" w:color="auto"/>
        <w:bottom w:val="none" w:sz="0" w:space="0" w:color="auto"/>
        <w:right w:val="none" w:sz="0" w:space="0" w:color="auto"/>
      </w:divBdr>
    </w:div>
    <w:div w:id="910194243">
      <w:bodyDiv w:val="1"/>
      <w:marLeft w:val="0"/>
      <w:marRight w:val="0"/>
      <w:marTop w:val="0"/>
      <w:marBottom w:val="0"/>
      <w:divBdr>
        <w:top w:val="none" w:sz="0" w:space="0" w:color="auto"/>
        <w:left w:val="none" w:sz="0" w:space="0" w:color="auto"/>
        <w:bottom w:val="none" w:sz="0" w:space="0" w:color="auto"/>
        <w:right w:val="none" w:sz="0" w:space="0" w:color="auto"/>
      </w:divBdr>
    </w:div>
    <w:div w:id="932587630">
      <w:bodyDiv w:val="1"/>
      <w:marLeft w:val="0"/>
      <w:marRight w:val="0"/>
      <w:marTop w:val="0"/>
      <w:marBottom w:val="0"/>
      <w:divBdr>
        <w:top w:val="none" w:sz="0" w:space="0" w:color="auto"/>
        <w:left w:val="none" w:sz="0" w:space="0" w:color="auto"/>
        <w:bottom w:val="none" w:sz="0" w:space="0" w:color="auto"/>
        <w:right w:val="none" w:sz="0" w:space="0" w:color="auto"/>
      </w:divBdr>
    </w:div>
    <w:div w:id="938833628">
      <w:bodyDiv w:val="1"/>
      <w:marLeft w:val="0"/>
      <w:marRight w:val="0"/>
      <w:marTop w:val="0"/>
      <w:marBottom w:val="0"/>
      <w:divBdr>
        <w:top w:val="none" w:sz="0" w:space="0" w:color="auto"/>
        <w:left w:val="none" w:sz="0" w:space="0" w:color="auto"/>
        <w:bottom w:val="none" w:sz="0" w:space="0" w:color="auto"/>
        <w:right w:val="none" w:sz="0" w:space="0" w:color="auto"/>
      </w:divBdr>
      <w:divsChild>
        <w:div w:id="752750107">
          <w:marLeft w:val="0"/>
          <w:marRight w:val="0"/>
          <w:marTop w:val="0"/>
          <w:marBottom w:val="0"/>
          <w:divBdr>
            <w:top w:val="none" w:sz="0" w:space="0" w:color="auto"/>
            <w:left w:val="none" w:sz="0" w:space="0" w:color="auto"/>
            <w:bottom w:val="none" w:sz="0" w:space="0" w:color="auto"/>
            <w:right w:val="none" w:sz="0" w:space="0" w:color="auto"/>
          </w:divBdr>
          <w:divsChild>
            <w:div w:id="1728872318">
              <w:marLeft w:val="0"/>
              <w:marRight w:val="0"/>
              <w:marTop w:val="0"/>
              <w:marBottom w:val="0"/>
              <w:divBdr>
                <w:top w:val="none" w:sz="0" w:space="0" w:color="auto"/>
                <w:left w:val="none" w:sz="0" w:space="0" w:color="auto"/>
                <w:bottom w:val="none" w:sz="0" w:space="0" w:color="auto"/>
                <w:right w:val="none" w:sz="0" w:space="0" w:color="auto"/>
              </w:divBdr>
            </w:div>
          </w:divsChild>
        </w:div>
        <w:div w:id="1461878712">
          <w:marLeft w:val="0"/>
          <w:marRight w:val="0"/>
          <w:marTop w:val="0"/>
          <w:marBottom w:val="0"/>
          <w:divBdr>
            <w:top w:val="none" w:sz="0" w:space="0" w:color="auto"/>
            <w:left w:val="none" w:sz="0" w:space="0" w:color="auto"/>
            <w:bottom w:val="none" w:sz="0" w:space="0" w:color="auto"/>
            <w:right w:val="none" w:sz="0" w:space="0" w:color="auto"/>
          </w:divBdr>
          <w:divsChild>
            <w:div w:id="14912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7858">
      <w:bodyDiv w:val="1"/>
      <w:marLeft w:val="0"/>
      <w:marRight w:val="0"/>
      <w:marTop w:val="0"/>
      <w:marBottom w:val="0"/>
      <w:divBdr>
        <w:top w:val="none" w:sz="0" w:space="0" w:color="auto"/>
        <w:left w:val="none" w:sz="0" w:space="0" w:color="auto"/>
        <w:bottom w:val="none" w:sz="0" w:space="0" w:color="auto"/>
        <w:right w:val="none" w:sz="0" w:space="0" w:color="auto"/>
      </w:divBdr>
    </w:div>
    <w:div w:id="1022705072">
      <w:bodyDiv w:val="1"/>
      <w:marLeft w:val="0"/>
      <w:marRight w:val="0"/>
      <w:marTop w:val="0"/>
      <w:marBottom w:val="0"/>
      <w:divBdr>
        <w:top w:val="none" w:sz="0" w:space="0" w:color="auto"/>
        <w:left w:val="none" w:sz="0" w:space="0" w:color="auto"/>
        <w:bottom w:val="none" w:sz="0" w:space="0" w:color="auto"/>
        <w:right w:val="none" w:sz="0" w:space="0" w:color="auto"/>
      </w:divBdr>
    </w:div>
    <w:div w:id="1043210650">
      <w:bodyDiv w:val="1"/>
      <w:marLeft w:val="0"/>
      <w:marRight w:val="0"/>
      <w:marTop w:val="0"/>
      <w:marBottom w:val="0"/>
      <w:divBdr>
        <w:top w:val="none" w:sz="0" w:space="0" w:color="auto"/>
        <w:left w:val="none" w:sz="0" w:space="0" w:color="auto"/>
        <w:bottom w:val="none" w:sz="0" w:space="0" w:color="auto"/>
        <w:right w:val="none" w:sz="0" w:space="0" w:color="auto"/>
      </w:divBdr>
    </w:div>
    <w:div w:id="1194270620">
      <w:bodyDiv w:val="1"/>
      <w:marLeft w:val="0"/>
      <w:marRight w:val="0"/>
      <w:marTop w:val="0"/>
      <w:marBottom w:val="0"/>
      <w:divBdr>
        <w:top w:val="none" w:sz="0" w:space="0" w:color="auto"/>
        <w:left w:val="none" w:sz="0" w:space="0" w:color="auto"/>
        <w:bottom w:val="none" w:sz="0" w:space="0" w:color="auto"/>
        <w:right w:val="none" w:sz="0" w:space="0" w:color="auto"/>
      </w:divBdr>
    </w:div>
    <w:div w:id="1203790537">
      <w:bodyDiv w:val="1"/>
      <w:marLeft w:val="0"/>
      <w:marRight w:val="0"/>
      <w:marTop w:val="0"/>
      <w:marBottom w:val="0"/>
      <w:divBdr>
        <w:top w:val="none" w:sz="0" w:space="0" w:color="auto"/>
        <w:left w:val="none" w:sz="0" w:space="0" w:color="auto"/>
        <w:bottom w:val="none" w:sz="0" w:space="0" w:color="auto"/>
        <w:right w:val="none" w:sz="0" w:space="0" w:color="auto"/>
      </w:divBdr>
    </w:div>
    <w:div w:id="1222406955">
      <w:bodyDiv w:val="1"/>
      <w:marLeft w:val="0"/>
      <w:marRight w:val="0"/>
      <w:marTop w:val="0"/>
      <w:marBottom w:val="0"/>
      <w:divBdr>
        <w:top w:val="none" w:sz="0" w:space="0" w:color="auto"/>
        <w:left w:val="none" w:sz="0" w:space="0" w:color="auto"/>
        <w:bottom w:val="none" w:sz="0" w:space="0" w:color="auto"/>
        <w:right w:val="none" w:sz="0" w:space="0" w:color="auto"/>
      </w:divBdr>
    </w:div>
    <w:div w:id="127081549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1883079">
      <w:bodyDiv w:val="1"/>
      <w:marLeft w:val="0"/>
      <w:marRight w:val="0"/>
      <w:marTop w:val="0"/>
      <w:marBottom w:val="0"/>
      <w:divBdr>
        <w:top w:val="none" w:sz="0" w:space="0" w:color="auto"/>
        <w:left w:val="none" w:sz="0" w:space="0" w:color="auto"/>
        <w:bottom w:val="none" w:sz="0" w:space="0" w:color="auto"/>
        <w:right w:val="none" w:sz="0" w:space="0" w:color="auto"/>
      </w:divBdr>
    </w:div>
    <w:div w:id="1428112701">
      <w:bodyDiv w:val="1"/>
      <w:marLeft w:val="0"/>
      <w:marRight w:val="0"/>
      <w:marTop w:val="0"/>
      <w:marBottom w:val="0"/>
      <w:divBdr>
        <w:top w:val="none" w:sz="0" w:space="0" w:color="auto"/>
        <w:left w:val="none" w:sz="0" w:space="0" w:color="auto"/>
        <w:bottom w:val="none" w:sz="0" w:space="0" w:color="auto"/>
        <w:right w:val="none" w:sz="0" w:space="0" w:color="auto"/>
      </w:divBdr>
    </w:div>
    <w:div w:id="1442795265">
      <w:bodyDiv w:val="1"/>
      <w:marLeft w:val="0"/>
      <w:marRight w:val="0"/>
      <w:marTop w:val="0"/>
      <w:marBottom w:val="0"/>
      <w:divBdr>
        <w:top w:val="none" w:sz="0" w:space="0" w:color="auto"/>
        <w:left w:val="none" w:sz="0" w:space="0" w:color="auto"/>
        <w:bottom w:val="none" w:sz="0" w:space="0" w:color="auto"/>
        <w:right w:val="none" w:sz="0" w:space="0" w:color="auto"/>
      </w:divBdr>
    </w:div>
    <w:div w:id="1503398126">
      <w:bodyDiv w:val="1"/>
      <w:marLeft w:val="0"/>
      <w:marRight w:val="0"/>
      <w:marTop w:val="0"/>
      <w:marBottom w:val="0"/>
      <w:divBdr>
        <w:top w:val="none" w:sz="0" w:space="0" w:color="auto"/>
        <w:left w:val="none" w:sz="0" w:space="0" w:color="auto"/>
        <w:bottom w:val="none" w:sz="0" w:space="0" w:color="auto"/>
        <w:right w:val="none" w:sz="0" w:space="0" w:color="auto"/>
      </w:divBdr>
    </w:div>
    <w:div w:id="1510295183">
      <w:bodyDiv w:val="1"/>
      <w:marLeft w:val="0"/>
      <w:marRight w:val="0"/>
      <w:marTop w:val="0"/>
      <w:marBottom w:val="0"/>
      <w:divBdr>
        <w:top w:val="none" w:sz="0" w:space="0" w:color="auto"/>
        <w:left w:val="none" w:sz="0" w:space="0" w:color="auto"/>
        <w:bottom w:val="none" w:sz="0" w:space="0" w:color="auto"/>
        <w:right w:val="none" w:sz="0" w:space="0" w:color="auto"/>
      </w:divBdr>
    </w:div>
    <w:div w:id="1531139164">
      <w:bodyDiv w:val="1"/>
      <w:marLeft w:val="0"/>
      <w:marRight w:val="0"/>
      <w:marTop w:val="0"/>
      <w:marBottom w:val="0"/>
      <w:divBdr>
        <w:top w:val="none" w:sz="0" w:space="0" w:color="auto"/>
        <w:left w:val="none" w:sz="0" w:space="0" w:color="auto"/>
        <w:bottom w:val="none" w:sz="0" w:space="0" w:color="auto"/>
        <w:right w:val="none" w:sz="0" w:space="0" w:color="auto"/>
      </w:divBdr>
    </w:div>
    <w:div w:id="1565868601">
      <w:bodyDiv w:val="1"/>
      <w:marLeft w:val="0"/>
      <w:marRight w:val="0"/>
      <w:marTop w:val="0"/>
      <w:marBottom w:val="0"/>
      <w:divBdr>
        <w:top w:val="none" w:sz="0" w:space="0" w:color="auto"/>
        <w:left w:val="none" w:sz="0" w:space="0" w:color="auto"/>
        <w:bottom w:val="none" w:sz="0" w:space="0" w:color="auto"/>
        <w:right w:val="none" w:sz="0" w:space="0" w:color="auto"/>
      </w:divBdr>
      <w:divsChild>
        <w:div w:id="1043596105">
          <w:marLeft w:val="0"/>
          <w:marRight w:val="0"/>
          <w:marTop w:val="0"/>
          <w:marBottom w:val="0"/>
          <w:divBdr>
            <w:top w:val="none" w:sz="0" w:space="0" w:color="auto"/>
            <w:left w:val="none" w:sz="0" w:space="0" w:color="auto"/>
            <w:bottom w:val="none" w:sz="0" w:space="0" w:color="auto"/>
            <w:right w:val="none" w:sz="0" w:space="0" w:color="auto"/>
          </w:divBdr>
          <w:divsChild>
            <w:div w:id="1010597805">
              <w:marLeft w:val="0"/>
              <w:marRight w:val="0"/>
              <w:marTop w:val="0"/>
              <w:marBottom w:val="0"/>
              <w:divBdr>
                <w:top w:val="none" w:sz="0" w:space="0" w:color="auto"/>
                <w:left w:val="none" w:sz="0" w:space="0" w:color="auto"/>
                <w:bottom w:val="none" w:sz="0" w:space="0" w:color="auto"/>
                <w:right w:val="none" w:sz="0" w:space="0" w:color="auto"/>
              </w:divBdr>
            </w:div>
          </w:divsChild>
        </w:div>
        <w:div w:id="1646088377">
          <w:marLeft w:val="0"/>
          <w:marRight w:val="0"/>
          <w:marTop w:val="0"/>
          <w:marBottom w:val="0"/>
          <w:divBdr>
            <w:top w:val="none" w:sz="0" w:space="0" w:color="auto"/>
            <w:left w:val="none" w:sz="0" w:space="0" w:color="auto"/>
            <w:bottom w:val="none" w:sz="0" w:space="0" w:color="auto"/>
            <w:right w:val="none" w:sz="0" w:space="0" w:color="auto"/>
          </w:divBdr>
          <w:divsChild>
            <w:div w:id="1419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89379">
      <w:bodyDiv w:val="1"/>
      <w:marLeft w:val="0"/>
      <w:marRight w:val="0"/>
      <w:marTop w:val="0"/>
      <w:marBottom w:val="0"/>
      <w:divBdr>
        <w:top w:val="none" w:sz="0" w:space="0" w:color="auto"/>
        <w:left w:val="none" w:sz="0" w:space="0" w:color="auto"/>
        <w:bottom w:val="none" w:sz="0" w:space="0" w:color="auto"/>
        <w:right w:val="none" w:sz="0" w:space="0" w:color="auto"/>
      </w:divBdr>
    </w:div>
    <w:div w:id="1572079723">
      <w:bodyDiv w:val="1"/>
      <w:marLeft w:val="0"/>
      <w:marRight w:val="0"/>
      <w:marTop w:val="0"/>
      <w:marBottom w:val="0"/>
      <w:divBdr>
        <w:top w:val="none" w:sz="0" w:space="0" w:color="auto"/>
        <w:left w:val="none" w:sz="0" w:space="0" w:color="auto"/>
        <w:bottom w:val="none" w:sz="0" w:space="0" w:color="auto"/>
        <w:right w:val="none" w:sz="0" w:space="0" w:color="auto"/>
      </w:divBdr>
    </w:div>
    <w:div w:id="1583639110">
      <w:bodyDiv w:val="1"/>
      <w:marLeft w:val="0"/>
      <w:marRight w:val="0"/>
      <w:marTop w:val="0"/>
      <w:marBottom w:val="0"/>
      <w:divBdr>
        <w:top w:val="none" w:sz="0" w:space="0" w:color="auto"/>
        <w:left w:val="none" w:sz="0" w:space="0" w:color="auto"/>
        <w:bottom w:val="none" w:sz="0" w:space="0" w:color="auto"/>
        <w:right w:val="none" w:sz="0" w:space="0" w:color="auto"/>
      </w:divBdr>
    </w:div>
    <w:div w:id="1620137380">
      <w:bodyDiv w:val="1"/>
      <w:marLeft w:val="0"/>
      <w:marRight w:val="0"/>
      <w:marTop w:val="0"/>
      <w:marBottom w:val="0"/>
      <w:divBdr>
        <w:top w:val="none" w:sz="0" w:space="0" w:color="auto"/>
        <w:left w:val="none" w:sz="0" w:space="0" w:color="auto"/>
        <w:bottom w:val="none" w:sz="0" w:space="0" w:color="auto"/>
        <w:right w:val="none" w:sz="0" w:space="0" w:color="auto"/>
      </w:divBdr>
    </w:div>
    <w:div w:id="1624069791">
      <w:bodyDiv w:val="1"/>
      <w:marLeft w:val="0"/>
      <w:marRight w:val="0"/>
      <w:marTop w:val="0"/>
      <w:marBottom w:val="0"/>
      <w:divBdr>
        <w:top w:val="none" w:sz="0" w:space="0" w:color="auto"/>
        <w:left w:val="none" w:sz="0" w:space="0" w:color="auto"/>
        <w:bottom w:val="none" w:sz="0" w:space="0" w:color="auto"/>
        <w:right w:val="none" w:sz="0" w:space="0" w:color="auto"/>
      </w:divBdr>
    </w:div>
    <w:div w:id="1697383940">
      <w:bodyDiv w:val="1"/>
      <w:marLeft w:val="0"/>
      <w:marRight w:val="0"/>
      <w:marTop w:val="0"/>
      <w:marBottom w:val="0"/>
      <w:divBdr>
        <w:top w:val="none" w:sz="0" w:space="0" w:color="auto"/>
        <w:left w:val="none" w:sz="0" w:space="0" w:color="auto"/>
        <w:bottom w:val="none" w:sz="0" w:space="0" w:color="auto"/>
        <w:right w:val="none" w:sz="0" w:space="0" w:color="auto"/>
      </w:divBdr>
    </w:div>
    <w:div w:id="1724866852">
      <w:bodyDiv w:val="1"/>
      <w:marLeft w:val="0"/>
      <w:marRight w:val="0"/>
      <w:marTop w:val="0"/>
      <w:marBottom w:val="0"/>
      <w:divBdr>
        <w:top w:val="none" w:sz="0" w:space="0" w:color="auto"/>
        <w:left w:val="none" w:sz="0" w:space="0" w:color="auto"/>
        <w:bottom w:val="none" w:sz="0" w:space="0" w:color="auto"/>
        <w:right w:val="none" w:sz="0" w:space="0" w:color="auto"/>
      </w:divBdr>
    </w:div>
    <w:div w:id="1765026887">
      <w:bodyDiv w:val="1"/>
      <w:marLeft w:val="0"/>
      <w:marRight w:val="0"/>
      <w:marTop w:val="0"/>
      <w:marBottom w:val="0"/>
      <w:divBdr>
        <w:top w:val="none" w:sz="0" w:space="0" w:color="auto"/>
        <w:left w:val="none" w:sz="0" w:space="0" w:color="auto"/>
        <w:bottom w:val="none" w:sz="0" w:space="0" w:color="auto"/>
        <w:right w:val="none" w:sz="0" w:space="0" w:color="auto"/>
      </w:divBdr>
    </w:div>
    <w:div w:id="1821995934">
      <w:bodyDiv w:val="1"/>
      <w:marLeft w:val="0"/>
      <w:marRight w:val="0"/>
      <w:marTop w:val="0"/>
      <w:marBottom w:val="0"/>
      <w:divBdr>
        <w:top w:val="none" w:sz="0" w:space="0" w:color="auto"/>
        <w:left w:val="none" w:sz="0" w:space="0" w:color="auto"/>
        <w:bottom w:val="none" w:sz="0" w:space="0" w:color="auto"/>
        <w:right w:val="none" w:sz="0" w:space="0" w:color="auto"/>
      </w:divBdr>
    </w:div>
    <w:div w:id="1844196729">
      <w:bodyDiv w:val="1"/>
      <w:marLeft w:val="0"/>
      <w:marRight w:val="0"/>
      <w:marTop w:val="0"/>
      <w:marBottom w:val="0"/>
      <w:divBdr>
        <w:top w:val="none" w:sz="0" w:space="0" w:color="auto"/>
        <w:left w:val="none" w:sz="0" w:space="0" w:color="auto"/>
        <w:bottom w:val="none" w:sz="0" w:space="0" w:color="auto"/>
        <w:right w:val="none" w:sz="0" w:space="0" w:color="auto"/>
      </w:divBdr>
    </w:div>
    <w:div w:id="1979139934">
      <w:bodyDiv w:val="1"/>
      <w:marLeft w:val="0"/>
      <w:marRight w:val="0"/>
      <w:marTop w:val="0"/>
      <w:marBottom w:val="0"/>
      <w:divBdr>
        <w:top w:val="none" w:sz="0" w:space="0" w:color="auto"/>
        <w:left w:val="none" w:sz="0" w:space="0" w:color="auto"/>
        <w:bottom w:val="none" w:sz="0" w:space="0" w:color="auto"/>
        <w:right w:val="none" w:sz="0" w:space="0" w:color="auto"/>
      </w:divBdr>
    </w:div>
    <w:div w:id="1997103245">
      <w:bodyDiv w:val="1"/>
      <w:marLeft w:val="0"/>
      <w:marRight w:val="0"/>
      <w:marTop w:val="0"/>
      <w:marBottom w:val="0"/>
      <w:divBdr>
        <w:top w:val="none" w:sz="0" w:space="0" w:color="auto"/>
        <w:left w:val="none" w:sz="0" w:space="0" w:color="auto"/>
        <w:bottom w:val="none" w:sz="0" w:space="0" w:color="auto"/>
        <w:right w:val="none" w:sz="0" w:space="0" w:color="auto"/>
      </w:divBdr>
    </w:div>
    <w:div w:id="1997493031">
      <w:bodyDiv w:val="1"/>
      <w:marLeft w:val="0"/>
      <w:marRight w:val="0"/>
      <w:marTop w:val="0"/>
      <w:marBottom w:val="0"/>
      <w:divBdr>
        <w:top w:val="none" w:sz="0" w:space="0" w:color="auto"/>
        <w:left w:val="none" w:sz="0" w:space="0" w:color="auto"/>
        <w:bottom w:val="none" w:sz="0" w:space="0" w:color="auto"/>
        <w:right w:val="none" w:sz="0" w:space="0" w:color="auto"/>
      </w:divBdr>
    </w:div>
    <w:div w:id="2030905743">
      <w:bodyDiv w:val="1"/>
      <w:marLeft w:val="0"/>
      <w:marRight w:val="0"/>
      <w:marTop w:val="0"/>
      <w:marBottom w:val="0"/>
      <w:divBdr>
        <w:top w:val="none" w:sz="0" w:space="0" w:color="auto"/>
        <w:left w:val="none" w:sz="0" w:space="0" w:color="auto"/>
        <w:bottom w:val="none" w:sz="0" w:space="0" w:color="auto"/>
        <w:right w:val="none" w:sz="0" w:space="0" w:color="auto"/>
      </w:divBdr>
    </w:div>
    <w:div w:id="2094350044">
      <w:bodyDiv w:val="1"/>
      <w:marLeft w:val="0"/>
      <w:marRight w:val="0"/>
      <w:marTop w:val="0"/>
      <w:marBottom w:val="0"/>
      <w:divBdr>
        <w:top w:val="none" w:sz="0" w:space="0" w:color="auto"/>
        <w:left w:val="none" w:sz="0" w:space="0" w:color="auto"/>
        <w:bottom w:val="none" w:sz="0" w:space="0" w:color="auto"/>
        <w:right w:val="none" w:sz="0" w:space="0" w:color="auto"/>
      </w:divBdr>
    </w:div>
    <w:div w:id="2114087025">
      <w:bodyDiv w:val="1"/>
      <w:marLeft w:val="0"/>
      <w:marRight w:val="0"/>
      <w:marTop w:val="0"/>
      <w:marBottom w:val="0"/>
      <w:divBdr>
        <w:top w:val="none" w:sz="0" w:space="0" w:color="auto"/>
        <w:left w:val="none" w:sz="0" w:space="0" w:color="auto"/>
        <w:bottom w:val="none" w:sz="0" w:space="0" w:color="auto"/>
        <w:right w:val="none" w:sz="0" w:space="0" w:color="auto"/>
      </w:divBdr>
    </w:div>
    <w:div w:id="2115712201">
      <w:bodyDiv w:val="1"/>
      <w:marLeft w:val="0"/>
      <w:marRight w:val="0"/>
      <w:marTop w:val="0"/>
      <w:marBottom w:val="0"/>
      <w:divBdr>
        <w:top w:val="none" w:sz="0" w:space="0" w:color="auto"/>
        <w:left w:val="none" w:sz="0" w:space="0" w:color="auto"/>
        <w:bottom w:val="none" w:sz="0" w:space="0" w:color="auto"/>
        <w:right w:val="none" w:sz="0" w:space="0" w:color="auto"/>
      </w:divBdr>
    </w:div>
    <w:div w:id="2127656506">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42C7A-4FB2-40D0-8094-BA5B9EDCA3E9}">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6A3492BD-0C06-429E-90DC-E65713642BFA}">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E08BEEA0-C8AC-4A27-9B73-94EB3CBB7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4007</Words>
  <Characters>22040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subject/>
  <dc:creator>Ximena Alejandra Cabezas Valencia</dc:creator>
  <cp:keywords/>
  <dc:description/>
  <cp:lastModifiedBy>Cindy Natalia Sierra Benítez</cp:lastModifiedBy>
  <cp:revision>2</cp:revision>
  <cp:lastPrinted>2020-01-30T15:05:00Z</cp:lastPrinted>
  <dcterms:created xsi:type="dcterms:W3CDTF">2020-11-17T18:06:00Z</dcterms:created>
  <dcterms:modified xsi:type="dcterms:W3CDTF">2020-11-17T18:06:00Z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