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2744EE" w:rsidR="00891CDD" w:rsidP="32542D46" w:rsidRDefault="00891CDD" w14:paraId="4D8A314F" w14:textId="77777777" w14:noSpellErr="1">
      <w:pPr>
        <w:jc w:val="both"/>
        <w:rPr>
          <w:rFonts w:ascii="Arial" w:hAnsi="Arial" w:eastAsia="Calibri" w:cs="Arial"/>
          <w:b w:val="1"/>
          <w:bCs w:val="1"/>
          <w:color w:val="000000" w:themeColor="text1"/>
          <w:sz w:val="22"/>
          <w:szCs w:val="22"/>
        </w:rPr>
      </w:pPr>
      <w:r w:rsidRPr="32542D46" w:rsidR="00891CDD">
        <w:rPr>
          <w:rFonts w:ascii="Arial" w:hAnsi="Arial" w:eastAsia="Calibri" w:cs="Arial"/>
          <w:b w:val="1"/>
          <w:bCs w:val="1"/>
          <w:color w:val="000000" w:themeColor="text1" w:themeTint="FF" w:themeShade="FF"/>
          <w:sz w:val="22"/>
          <w:szCs w:val="22"/>
        </w:rPr>
        <w:t xml:space="preserve">CAPACIDAD RESIDUAL </w:t>
      </w:r>
      <w:r w:rsidRPr="32542D46" w:rsidR="00891CDD">
        <w:rPr>
          <w:rFonts w:ascii="Arial" w:hAnsi="Arial" w:eastAsia="Calibri" w:cs="Arial"/>
          <w:b w:val="1"/>
          <w:bCs w:val="1"/>
          <w:color w:val="000000" w:themeColor="text1" w:themeTint="FF" w:themeShade="FF"/>
          <w:sz w:val="22"/>
          <w:szCs w:val="22"/>
        </w:rPr>
        <w:t>–</w:t>
      </w:r>
      <w:r w:rsidRPr="32542D46" w:rsidR="00891CDD">
        <w:rPr>
          <w:rFonts w:ascii="Arial" w:hAnsi="Arial" w:eastAsia="Calibri" w:cs="Arial"/>
          <w:b w:val="1"/>
          <w:bCs w:val="1"/>
          <w:color w:val="000000" w:themeColor="text1" w:themeTint="FF" w:themeShade="FF"/>
          <w:sz w:val="22"/>
          <w:szCs w:val="22"/>
        </w:rPr>
        <w:t xml:space="preserve"> Definición</w:t>
      </w:r>
    </w:p>
    <w:p w:rsidRPr="00543959" w:rsidR="00891CDD" w:rsidP="005354D0" w:rsidRDefault="00891CDD" w14:paraId="4D8A3150" w14:textId="77777777">
      <w:pPr>
        <w:jc w:val="both"/>
        <w:rPr>
          <w:rFonts w:ascii="Arial" w:hAnsi="Arial" w:eastAsia="Calibri" w:cs="Arial"/>
          <w:b/>
          <w:color w:val="000000" w:themeColor="text1"/>
          <w:sz w:val="20"/>
          <w:szCs w:val="20"/>
        </w:rPr>
      </w:pPr>
    </w:p>
    <w:p w:rsidRPr="00B30DB3" w:rsidR="005354D0" w:rsidP="00B30DB3" w:rsidRDefault="005354D0" w14:paraId="35FAC549" w14:textId="35870380">
      <w:pPr>
        <w:spacing w:after="120"/>
        <w:jc w:val="both"/>
        <w:rPr>
          <w:rFonts w:eastAsia="Calibri"/>
          <w:bCs/>
          <w:color w:val="000000" w:themeColor="text1"/>
          <w:sz w:val="20"/>
          <w:szCs w:val="20"/>
        </w:rPr>
      </w:pPr>
      <w:r w:rsidRPr="00B30DB3">
        <w:rPr>
          <w:rFonts w:ascii="Arial" w:hAnsi="Arial" w:eastAsia="Calibri" w:cs="Arial"/>
          <w:bCs/>
          <w:color w:val="000000" w:themeColor="text1"/>
          <w:sz w:val="20"/>
          <w:szCs w:val="20"/>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rsidRPr="00B30DB3" w:rsidR="005354D0" w:rsidP="00B30DB3" w:rsidRDefault="005354D0" w14:paraId="706F42B4" w14:textId="77777777">
      <w:pPr>
        <w:spacing w:after="120"/>
        <w:jc w:val="both"/>
        <w:rPr>
          <w:rFonts w:eastAsia="Calibri"/>
          <w:bCs/>
          <w:color w:val="000000" w:themeColor="text1"/>
          <w:sz w:val="20"/>
          <w:szCs w:val="20"/>
        </w:rPr>
      </w:pPr>
      <w:r w:rsidRPr="00B30DB3">
        <w:rPr>
          <w:rFonts w:ascii="Arial" w:hAnsi="Arial" w:eastAsia="Calibri" w:cs="Arial"/>
          <w:bCs/>
          <w:color w:val="000000" w:themeColor="text1"/>
          <w:sz w:val="20"/>
          <w:szCs w:val="20"/>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rsidR="00BE4C16" w:rsidRDefault="00BE4C16" w14:paraId="4D8A3152" w14:textId="77777777">
      <w:pPr>
        <w:jc w:val="both"/>
        <w:rPr>
          <w:rFonts w:ascii="Arial" w:hAnsi="Arial" w:eastAsia="Calibri" w:cs="Arial"/>
          <w:bCs/>
          <w:color w:val="000000" w:themeColor="text1"/>
          <w:sz w:val="20"/>
          <w:szCs w:val="20"/>
        </w:rPr>
      </w:pPr>
    </w:p>
    <w:p w:rsidRPr="002744EE" w:rsidR="00BE4C16" w:rsidRDefault="00BE4C16" w14:paraId="4D8A3153" w14:textId="4AFFA587">
      <w:pPr>
        <w:jc w:val="both"/>
        <w:rPr>
          <w:rFonts w:ascii="Arial" w:hAnsi="Arial" w:eastAsia="Calibri" w:cs="Arial"/>
          <w:b/>
          <w:color w:val="000000" w:themeColor="text1"/>
          <w:sz w:val="22"/>
        </w:rPr>
      </w:pPr>
      <w:r w:rsidRPr="002744EE">
        <w:rPr>
          <w:rFonts w:ascii="Arial" w:hAnsi="Arial" w:eastAsia="Calibri" w:cs="Arial"/>
          <w:b/>
          <w:color w:val="000000" w:themeColor="text1"/>
          <w:sz w:val="22"/>
        </w:rPr>
        <w:t xml:space="preserve">CAPACIDAD RESIDUAL </w:t>
      </w:r>
      <w:r w:rsidRPr="006C15D5">
        <w:rPr>
          <w:rFonts w:ascii="Arial" w:hAnsi="Arial" w:eastAsia="Calibri" w:cs="Arial"/>
          <w:b/>
          <w:color w:val="000000" w:themeColor="text1"/>
          <w:sz w:val="22"/>
        </w:rPr>
        <w:t>–</w:t>
      </w:r>
      <w:r w:rsidRPr="002744EE">
        <w:rPr>
          <w:rFonts w:ascii="Arial" w:hAnsi="Arial" w:eastAsia="Calibri" w:cs="Arial"/>
          <w:b/>
          <w:color w:val="000000" w:themeColor="text1"/>
          <w:sz w:val="22"/>
        </w:rPr>
        <w:t xml:space="preserve"> </w:t>
      </w:r>
      <w:r>
        <w:rPr>
          <w:rFonts w:ascii="Arial" w:hAnsi="Arial" w:eastAsia="Calibri" w:cs="Arial"/>
          <w:b/>
          <w:color w:val="000000" w:themeColor="text1"/>
          <w:sz w:val="22"/>
        </w:rPr>
        <w:t xml:space="preserve">Alcance – Aplicabilidad – </w:t>
      </w:r>
      <w:r w:rsidR="008F188D">
        <w:rPr>
          <w:rFonts w:ascii="Arial" w:hAnsi="Arial" w:eastAsia="Calibri" w:cs="Arial"/>
          <w:b/>
          <w:color w:val="000000" w:themeColor="text1"/>
          <w:sz w:val="22"/>
        </w:rPr>
        <w:t>Mínima cuantía</w:t>
      </w:r>
    </w:p>
    <w:p w:rsidR="00BE4C16" w:rsidRDefault="00BE4C16" w14:paraId="4D8A3154" w14:textId="77777777">
      <w:pPr>
        <w:jc w:val="both"/>
        <w:rPr>
          <w:rFonts w:ascii="Arial" w:hAnsi="Arial" w:eastAsia="Calibri" w:cs="Arial"/>
          <w:bCs/>
          <w:color w:val="000000" w:themeColor="text1"/>
          <w:sz w:val="20"/>
          <w:szCs w:val="20"/>
        </w:rPr>
      </w:pPr>
    </w:p>
    <w:p w:rsidRPr="005354D0" w:rsidR="005354D0" w:rsidP="00B30DB3" w:rsidRDefault="005354D0" w14:paraId="0EE31B8F" w14:textId="77777777">
      <w:pPr>
        <w:spacing w:after="120"/>
        <w:jc w:val="both"/>
        <w:rPr>
          <w:rFonts w:ascii="Arial" w:hAnsi="Arial" w:eastAsia="Calibri" w:cs="Arial"/>
          <w:bCs/>
          <w:color w:val="000000" w:themeColor="text1"/>
          <w:sz w:val="20"/>
          <w:szCs w:val="20"/>
        </w:rPr>
      </w:pPr>
      <w:r w:rsidRPr="005354D0">
        <w:rPr>
          <w:rFonts w:ascii="Arial" w:hAnsi="Arial" w:eastAsia="Calibri" w:cs="Arial"/>
          <w:bCs/>
          <w:color w:val="000000" w:themeColor="text1"/>
          <w:sz w:val="20"/>
          <w:szCs w:val="20"/>
        </w:rPr>
        <w:t>Tanto el artículo 6 de la Ley 1150 de 2007, como el artículo 72 de la Ley 1682 de 2013, al regular lo relativo a la capacidad residual determinan su aplicación respecto de una tipología contractual –contrato de obra– sin restringirla a una modalidad de selección específica. De acuerdo con lo anterior, todas las entidades estatales que adelanten procesos de contratación de obra pública, sin importar la modalidad de selección del contratista, están obligadas a verificar la capacidad residual de los proponentes, como requisito habilitante para participar en el proceso y, por ende, se puede concluir que lo establecido en el artículo 72 de la Ley 1682 de 2013 es aplicable en los procesos de obra realizados a través de la modalidad de selección de mínima cuantía.</w:t>
      </w:r>
    </w:p>
    <w:p w:rsidRPr="00B30DB3" w:rsidR="00BE4C16" w:rsidP="00B30DB3" w:rsidRDefault="005354D0" w14:paraId="4D8A3155" w14:textId="3C237B46">
      <w:pPr>
        <w:spacing w:after="120"/>
        <w:jc w:val="both"/>
        <w:rPr>
          <w:rFonts w:ascii="Arial" w:hAnsi="Arial" w:eastAsia="Calibri" w:cs="Arial"/>
          <w:bCs/>
          <w:color w:val="000000" w:themeColor="text1"/>
          <w:sz w:val="20"/>
          <w:szCs w:val="20"/>
        </w:rPr>
      </w:pPr>
      <w:r w:rsidRPr="005354D0">
        <w:rPr>
          <w:rFonts w:ascii="Arial" w:hAnsi="Arial" w:eastAsia="Calibri" w:cs="Arial"/>
          <w:bCs/>
          <w:color w:val="000000" w:themeColor="text1"/>
          <w:sz w:val="20"/>
          <w:szCs w:val="20"/>
        </w:rPr>
        <w:t xml:space="preserve">La postura anterior además es sostenida en forma concreta por la Agencia Nacional de Contratación – Colombia Compra Eficiente en el Manual para la modalidad de selección de mínima cuantía, al </w:t>
      </w:r>
      <w:proofErr w:type="gramStart"/>
      <w:r w:rsidRPr="005354D0">
        <w:rPr>
          <w:rFonts w:ascii="Arial" w:hAnsi="Arial" w:eastAsia="Calibri" w:cs="Arial"/>
          <w:bCs/>
          <w:color w:val="000000" w:themeColor="text1"/>
          <w:sz w:val="20"/>
          <w:szCs w:val="20"/>
        </w:rPr>
        <w:t>establecer</w:t>
      </w:r>
      <w:proofErr w:type="gramEnd"/>
      <w:r w:rsidRPr="005354D0">
        <w:rPr>
          <w:rFonts w:ascii="Arial" w:hAnsi="Arial" w:eastAsia="Calibri" w:cs="Arial"/>
          <w:bCs/>
          <w:color w:val="000000" w:themeColor="text1"/>
          <w:sz w:val="20"/>
          <w:szCs w:val="20"/>
        </w:rPr>
        <w:t xml:space="preserve"> que: «en los Procesos de Contratación de obra pública en la modalidad de selección de mínima cuantía las Entidades Estatales deberán solicitar la Capacidad Residual o K de Contratación y verificarla directamente, sin solicitar RUP».</w:t>
      </w:r>
    </w:p>
    <w:p w:rsidR="00272923" w:rsidP="00272923" w:rsidRDefault="00272923" w14:paraId="4D8A3156" w14:textId="77777777">
      <w:pPr>
        <w:tabs>
          <w:tab w:val="left" w:pos="709"/>
        </w:tabs>
        <w:jc w:val="both"/>
        <w:rPr>
          <w:rFonts w:ascii="Arial" w:hAnsi="Arial" w:cs="Arial"/>
          <w:color w:val="000000" w:themeColor="text1"/>
          <w:sz w:val="20"/>
          <w:szCs w:val="20"/>
        </w:rPr>
      </w:pPr>
    </w:p>
    <w:p w:rsidRPr="00891CDD" w:rsidR="00BE4C16" w:rsidP="00272923" w:rsidRDefault="00BE4C16" w14:paraId="4D8A3157" w14:textId="77777777">
      <w:pPr>
        <w:tabs>
          <w:tab w:val="left" w:pos="709"/>
        </w:tabs>
        <w:jc w:val="both"/>
        <w:rPr>
          <w:rFonts w:ascii="Arial" w:hAnsi="Arial" w:cs="Arial"/>
          <w:color w:val="000000" w:themeColor="text1"/>
          <w:sz w:val="20"/>
          <w:szCs w:val="20"/>
        </w:rPr>
      </w:pPr>
    </w:p>
    <w:p w:rsidRPr="00222BE8" w:rsidR="00272923" w:rsidP="00272923" w:rsidRDefault="0005230B" w14:paraId="4D8A3158" w14:textId="65891552">
      <w:pPr>
        <w:spacing w:line="276" w:lineRule="auto"/>
        <w:jc w:val="both"/>
        <w:rPr>
          <w:rFonts w:ascii="Arial" w:hAnsi="Arial" w:eastAsia="Calibri" w:cs="Arial"/>
          <w:noProof/>
          <w:color w:val="000000" w:themeColor="text1"/>
          <w:sz w:val="20"/>
          <w:lang w:val="es-ES_tradnl"/>
        </w:rPr>
      </w:pPr>
      <w:r>
        <w:rPr>
          <w:rFonts w:ascii="Arial" w:hAnsi="Arial" w:cs="Arial"/>
          <w:noProof/>
          <w:color w:val="000000" w:themeColor="text1"/>
          <w:sz w:val="22"/>
          <w:lang w:val="es-ES_tradnl"/>
        </w:rPr>
        <w:t>B</w:t>
      </w:r>
      <w:r w:rsidRPr="00222BE8" w:rsidR="00272923">
        <w:rPr>
          <w:rFonts w:ascii="Arial" w:hAnsi="Arial" w:cs="Arial"/>
          <w:noProof/>
          <w:color w:val="000000" w:themeColor="text1"/>
          <w:sz w:val="22"/>
          <w:lang w:val="es-ES_tradnl"/>
        </w:rPr>
        <w:t xml:space="preserve">ogotá D.C., </w:t>
      </w:r>
      <w:r>
        <w:rPr>
          <w:rFonts w:ascii="Arial" w:hAnsi="Arial" w:cs="Arial"/>
          <w:b/>
          <w:noProof/>
          <w:color w:val="000000" w:themeColor="text1"/>
          <w:sz w:val="22"/>
          <w:lang w:val="es-ES_tradnl"/>
        </w:rPr>
        <w:t>20/11/2020 9:13:35s</w:t>
      </w:r>
    </w:p>
    <w:p w:rsidRPr="00222BE8" w:rsidR="00272923" w:rsidP="00272923" w:rsidRDefault="00272923" w14:paraId="4D8A3159" w14:textId="60A0B609">
      <w:pPr>
        <w:spacing w:line="276" w:lineRule="auto"/>
        <w:jc w:val="right"/>
        <w:rPr>
          <w:rFonts w:ascii="Arial" w:hAnsi="Arial" w:cs="Arial"/>
          <w:b/>
          <w:noProof/>
          <w:color w:val="000000" w:themeColor="text1"/>
          <w:sz w:val="22"/>
          <w:lang w:val="es-ES_tradnl"/>
        </w:rPr>
      </w:pPr>
      <w:r w:rsidRPr="00222BE8">
        <w:rPr>
          <w:rFonts w:ascii="Arial" w:hAnsi="Arial" w:cs="Arial"/>
          <w:b/>
          <w:noProof/>
          <w:color w:val="000000" w:themeColor="text1"/>
          <w:sz w:val="22"/>
          <w:lang w:val="es-ES_tradnl"/>
        </w:rPr>
        <w:t xml:space="preserve">N° Radicado: </w:t>
      </w:r>
      <w:r w:rsidRPr="0005230B" w:rsidR="0005230B">
        <w:rPr>
          <w:rFonts w:ascii="Arial" w:hAnsi="Arial" w:cs="Arial"/>
          <w:b/>
          <w:noProof/>
          <w:color w:val="000000" w:themeColor="text1"/>
          <w:sz w:val="22"/>
          <w:lang w:val="es-ES_tradnl"/>
        </w:rPr>
        <w:t>2202013000011479</w:t>
      </w:r>
    </w:p>
    <w:p w:rsidRPr="00222BE8" w:rsidR="00272923" w:rsidP="00272923" w:rsidRDefault="00272923" w14:paraId="4D8A315A" w14:textId="77777777">
      <w:pPr>
        <w:jc w:val="both"/>
        <w:rPr>
          <w:rFonts w:ascii="Arial" w:hAnsi="Arial" w:cs="Arial"/>
          <w:b/>
          <w:color w:val="000000" w:themeColor="text1"/>
          <w:sz w:val="22"/>
          <w:lang w:val="es-ES_tradnl"/>
        </w:rPr>
      </w:pPr>
    </w:p>
    <w:p w:rsidRPr="00222BE8" w:rsidR="00272923" w:rsidP="00272923" w:rsidRDefault="00272923" w14:paraId="4D8A315B" w14:textId="77777777">
      <w:pPr>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Señor</w:t>
      </w:r>
    </w:p>
    <w:p w:rsidRPr="00222BE8" w:rsidR="00272923" w:rsidP="00272923" w:rsidRDefault="00272923" w14:paraId="4D8A315C" w14:textId="77777777">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Edwin Buitrago Duarte</w:t>
      </w:r>
    </w:p>
    <w:p w:rsidRPr="00222BE8" w:rsidR="00272923" w:rsidP="00272923" w:rsidRDefault="00272923" w14:paraId="4D8A315D" w14:textId="77777777">
      <w:pPr>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Ciudad</w:t>
      </w:r>
    </w:p>
    <w:p w:rsidRPr="00222BE8" w:rsidR="00272923" w:rsidP="00272923" w:rsidRDefault="00272923" w14:paraId="4D8A315E" w14:textId="77777777">
      <w:pPr>
        <w:jc w:val="both"/>
        <w:rPr>
          <w:rFonts w:ascii="Arial" w:hAnsi="Arial" w:eastAsia="Calibri" w:cs="Arial"/>
          <w:color w:val="000000" w:themeColor="text1"/>
          <w:sz w:val="22"/>
          <w:lang w:val="es-ES_tradnl"/>
        </w:rPr>
      </w:pPr>
    </w:p>
    <w:p w:rsidRPr="00222BE8" w:rsidR="00272923" w:rsidP="00272923" w:rsidRDefault="00272923" w14:paraId="4D8A315F" w14:textId="77777777">
      <w:pPr>
        <w:jc w:val="both"/>
        <w:rPr>
          <w:rFonts w:ascii="Arial" w:hAnsi="Arial" w:eastAsia="Calibri" w:cs="Arial"/>
          <w:color w:val="000000" w:themeColor="text1"/>
          <w:sz w:val="22"/>
          <w:lang w:val="es-ES_tradnl"/>
        </w:rPr>
      </w:pPr>
    </w:p>
    <w:p w:rsidRPr="00222BE8" w:rsidR="00272923" w:rsidP="00272923" w:rsidRDefault="00744A9D" w14:paraId="4D8A3160" w14:textId="77777777">
      <w:pPr>
        <w:jc w:val="cente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Concepto C ‒ 66</w:t>
      </w:r>
      <w:r w:rsidR="001C774A">
        <w:rPr>
          <w:rFonts w:ascii="Arial" w:hAnsi="Arial" w:eastAsia="Calibri" w:cs="Arial"/>
          <w:b/>
          <w:bCs/>
          <w:color w:val="000000" w:themeColor="text1"/>
          <w:sz w:val="22"/>
          <w:lang w:val="es-ES_tradnl"/>
        </w:rPr>
        <w:t>8</w:t>
      </w:r>
      <w:r w:rsidRPr="00222BE8" w:rsidR="00272923">
        <w:rPr>
          <w:rFonts w:ascii="Arial" w:hAnsi="Arial" w:eastAsia="Calibri" w:cs="Arial"/>
          <w:b/>
          <w:bCs/>
          <w:color w:val="000000" w:themeColor="text1"/>
          <w:sz w:val="22"/>
          <w:lang w:val="es-ES_tradnl"/>
        </w:rPr>
        <w:t xml:space="preserve"> de 2020</w:t>
      </w:r>
    </w:p>
    <w:p w:rsidRPr="00222BE8" w:rsidR="00272923" w:rsidP="00272923" w:rsidRDefault="00272923" w14:paraId="4D8A3161" w14:textId="77777777">
      <w:pPr>
        <w:jc w:val="both"/>
        <w:rPr>
          <w:rFonts w:ascii="Arial" w:hAnsi="Arial" w:eastAsia="Calibri" w:cs="Arial"/>
          <w:color w:val="000000" w:themeColor="text1"/>
          <w:sz w:val="22"/>
          <w:lang w:val="es-ES_tradnl"/>
        </w:rPr>
      </w:pPr>
    </w:p>
    <w:p w:rsidRPr="00222BE8" w:rsidR="00272923" w:rsidP="00272923" w:rsidRDefault="00272923" w14:paraId="4D8A3163"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22BE8" w:rsidR="00272923" w:rsidTr="00EB296C" w14:paraId="4D8A3166" w14:textId="77777777">
        <w:tc>
          <w:tcPr>
            <w:tcW w:w="2689" w:type="dxa"/>
          </w:tcPr>
          <w:p w:rsidRPr="00222BE8" w:rsidR="00272923" w:rsidP="00EB296C" w:rsidRDefault="00272923" w14:paraId="4D8A3164" w14:textId="77777777">
            <w:pPr>
              <w:jc w:val="both"/>
              <w:rPr>
                <w:rFonts w:ascii="Arial" w:hAnsi="Arial" w:eastAsia="Calibri" w:cs="Arial"/>
                <w:color w:val="000000" w:themeColor="text1"/>
                <w:sz w:val="22"/>
                <w:lang w:val="es-ES_tradnl"/>
              </w:rPr>
            </w:pPr>
            <w:r w:rsidRPr="00222BE8">
              <w:rPr>
                <w:rFonts w:ascii="Arial" w:hAnsi="Arial" w:eastAsia="Calibri" w:cs="Arial"/>
                <w:b/>
                <w:color w:val="000000" w:themeColor="text1"/>
                <w:sz w:val="22"/>
                <w:lang w:val="es-ES_tradnl"/>
              </w:rPr>
              <w:t>Temas:</w:t>
            </w:r>
            <w:r w:rsidRPr="00222BE8">
              <w:rPr>
                <w:rFonts w:ascii="Arial" w:hAnsi="Arial" w:eastAsia="Calibri" w:cs="Arial"/>
                <w:color w:val="000000" w:themeColor="text1"/>
                <w:sz w:val="22"/>
                <w:lang w:val="es-ES_tradnl"/>
              </w:rPr>
              <w:t xml:space="preserve">                                      </w:t>
            </w:r>
          </w:p>
        </w:tc>
        <w:tc>
          <w:tcPr>
            <w:tcW w:w="6237" w:type="dxa"/>
          </w:tcPr>
          <w:p w:rsidRPr="00BE4C16" w:rsidR="00272923" w:rsidP="00C2382F" w:rsidRDefault="00BE4C16" w14:paraId="4D8A3165" w14:textId="5E658BF8">
            <w:pPr>
              <w:jc w:val="both"/>
              <w:rPr>
                <w:rFonts w:ascii="Arial" w:hAnsi="Arial" w:eastAsia="Calibri" w:cs="Arial"/>
                <w:color w:val="000000" w:themeColor="text1"/>
                <w:sz w:val="22"/>
              </w:rPr>
            </w:pPr>
            <w:r w:rsidRPr="00BE4C16">
              <w:rPr>
                <w:rFonts w:ascii="Arial" w:hAnsi="Arial" w:eastAsia="Calibri" w:cs="Arial"/>
                <w:color w:val="000000" w:themeColor="text1"/>
                <w:sz w:val="22"/>
              </w:rPr>
              <w:t xml:space="preserve">CAPACIDAD RESIDUAL – Definición / CAPACIDAD RESIDUAL – Alcance – Aplicabilidad – </w:t>
            </w:r>
            <w:r w:rsidRPr="00BE4C16" w:rsidR="00C2382F">
              <w:rPr>
                <w:rFonts w:ascii="Arial" w:hAnsi="Arial" w:eastAsia="Calibri" w:cs="Arial"/>
                <w:color w:val="000000" w:themeColor="text1"/>
                <w:sz w:val="22"/>
              </w:rPr>
              <w:t>M</w:t>
            </w:r>
            <w:r w:rsidR="00C2382F">
              <w:rPr>
                <w:rFonts w:ascii="Arial" w:hAnsi="Arial" w:eastAsia="Calibri" w:cs="Arial"/>
                <w:color w:val="000000" w:themeColor="text1"/>
                <w:sz w:val="22"/>
              </w:rPr>
              <w:t>ínima cuantía</w:t>
            </w:r>
          </w:p>
        </w:tc>
      </w:tr>
      <w:tr w:rsidRPr="00222BE8" w:rsidR="00272923" w:rsidTr="00EB296C" w14:paraId="4D8A316A" w14:textId="77777777">
        <w:tc>
          <w:tcPr>
            <w:tcW w:w="2689" w:type="dxa"/>
          </w:tcPr>
          <w:p w:rsidRPr="00222BE8" w:rsidR="00272923" w:rsidP="00EB296C" w:rsidRDefault="00272923" w14:paraId="4D8A3167" w14:textId="77777777">
            <w:pPr>
              <w:spacing w:before="12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Radicación:</w:t>
            </w:r>
            <w:r w:rsidRPr="00222BE8">
              <w:rPr>
                <w:rFonts w:ascii="Arial" w:hAnsi="Arial" w:eastAsia="Calibri" w:cs="Arial"/>
                <w:color w:val="000000" w:themeColor="text1"/>
                <w:sz w:val="22"/>
                <w:lang w:val="es-ES_tradnl"/>
              </w:rPr>
              <w:t xml:space="preserve">                              </w:t>
            </w:r>
          </w:p>
        </w:tc>
        <w:tc>
          <w:tcPr>
            <w:tcW w:w="6237" w:type="dxa"/>
          </w:tcPr>
          <w:p w:rsidRPr="00222BE8" w:rsidR="00272923" w:rsidP="00EB296C" w:rsidRDefault="00272923" w14:paraId="4D8A3168" w14:textId="77777777">
            <w:pPr>
              <w:spacing w:before="120"/>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Respuesta a consulta # </w:t>
            </w:r>
            <w:r w:rsidRPr="00272923">
              <w:rPr>
                <w:rFonts w:ascii="Arial" w:hAnsi="Arial" w:eastAsia="Calibri" w:cs="Arial"/>
                <w:color w:val="000000" w:themeColor="text1"/>
                <w:sz w:val="22"/>
                <w:lang w:val="es-ES_tradnl"/>
              </w:rPr>
              <w:t>4202013000009114</w:t>
            </w:r>
          </w:p>
          <w:p w:rsidRPr="00222BE8" w:rsidR="00272923" w:rsidP="00EB296C" w:rsidRDefault="00272923" w14:paraId="4D8A3169" w14:textId="77777777">
            <w:pPr>
              <w:spacing w:before="120"/>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 </w:t>
            </w:r>
          </w:p>
        </w:tc>
      </w:tr>
    </w:tbl>
    <w:p w:rsidRPr="00222BE8" w:rsidR="00272923" w:rsidP="00272923" w:rsidRDefault="00272923" w14:paraId="4D8A316C" w14:textId="77777777">
      <w:pPr>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Estimado señor </w:t>
      </w:r>
      <w:r>
        <w:rPr>
          <w:rFonts w:ascii="Arial" w:hAnsi="Arial" w:eastAsia="Calibri" w:cs="Arial"/>
          <w:color w:val="000000" w:themeColor="text1"/>
          <w:sz w:val="22"/>
          <w:lang w:val="es-ES_tradnl"/>
        </w:rPr>
        <w:t>Buitrago:</w:t>
      </w:r>
    </w:p>
    <w:p w:rsidRPr="00222BE8" w:rsidR="00272923" w:rsidP="00272923" w:rsidRDefault="00272923" w14:paraId="4D8A316D" w14:textId="77777777">
      <w:pPr>
        <w:jc w:val="both"/>
        <w:rPr>
          <w:rFonts w:ascii="Arial" w:hAnsi="Arial" w:eastAsia="Calibri" w:cs="Arial"/>
          <w:color w:val="000000" w:themeColor="text1"/>
          <w:sz w:val="22"/>
          <w:lang w:val="es-ES_tradnl"/>
        </w:rPr>
      </w:pPr>
    </w:p>
    <w:p w:rsidRPr="00222BE8" w:rsidR="00272923" w:rsidP="00272923" w:rsidRDefault="00272923" w14:paraId="4D8A316E" w14:textId="77777777">
      <w:pPr>
        <w:spacing w:line="276" w:lineRule="auto"/>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lastRenderedPageBreak/>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Calibri" w:cs="Arial"/>
          <w:color w:val="000000" w:themeColor="text1"/>
          <w:sz w:val="22"/>
          <w:lang w:val="es-ES_tradnl"/>
        </w:rPr>
        <w:t>8</w:t>
      </w:r>
      <w:r w:rsidRPr="00222BE8">
        <w:rPr>
          <w:rFonts w:ascii="Arial" w:hAnsi="Arial" w:eastAsia="Calibri" w:cs="Arial"/>
          <w:color w:val="000000" w:themeColor="text1"/>
          <w:sz w:val="22"/>
          <w:lang w:val="es-ES_tradnl"/>
        </w:rPr>
        <w:t xml:space="preserve"> de </w:t>
      </w:r>
      <w:r w:rsidR="000444FE">
        <w:rPr>
          <w:rFonts w:ascii="Arial" w:hAnsi="Arial" w:eastAsia="Calibri" w:cs="Arial"/>
          <w:color w:val="000000" w:themeColor="text1"/>
          <w:sz w:val="22"/>
          <w:lang w:val="es-ES_tradnl"/>
        </w:rPr>
        <w:t xml:space="preserve">octubre </w:t>
      </w:r>
      <w:r w:rsidRPr="00222BE8">
        <w:rPr>
          <w:rFonts w:ascii="Arial" w:hAnsi="Arial" w:eastAsia="Calibri" w:cs="Arial"/>
          <w:color w:val="000000" w:themeColor="text1"/>
          <w:sz w:val="22"/>
          <w:lang w:val="es-ES_tradnl"/>
        </w:rPr>
        <w:t>del 2020.</w:t>
      </w:r>
    </w:p>
    <w:p w:rsidRPr="00222BE8" w:rsidR="00272923" w:rsidP="00272923" w:rsidRDefault="00272923" w14:paraId="4D8A316F" w14:textId="77777777">
      <w:pPr>
        <w:spacing w:line="276" w:lineRule="auto"/>
        <w:jc w:val="both"/>
        <w:rPr>
          <w:rFonts w:ascii="Arial" w:hAnsi="Arial" w:eastAsia="Calibri" w:cs="Arial"/>
          <w:b/>
          <w:color w:val="000000" w:themeColor="text1"/>
          <w:sz w:val="22"/>
          <w:lang w:val="es-ES_tradnl"/>
        </w:rPr>
      </w:pPr>
    </w:p>
    <w:p w:rsidRPr="00222BE8" w:rsidR="00272923" w:rsidP="00272923" w:rsidRDefault="00272923" w14:paraId="4D8A3170" w14:textId="77777777">
      <w:pPr>
        <w:pStyle w:val="Prrafodelista"/>
        <w:numPr>
          <w:ilvl w:val="0"/>
          <w:numId w:val="1"/>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 xml:space="preserve">Problema planteado </w:t>
      </w:r>
    </w:p>
    <w:p w:rsidRPr="00222BE8" w:rsidR="00272923" w:rsidP="00272923" w:rsidRDefault="00272923" w14:paraId="4D8A3171" w14:textId="77777777">
      <w:pPr>
        <w:tabs>
          <w:tab w:val="left" w:pos="426"/>
        </w:tabs>
        <w:spacing w:line="276" w:lineRule="auto"/>
        <w:jc w:val="both"/>
        <w:rPr>
          <w:rFonts w:ascii="Arial" w:hAnsi="Arial" w:eastAsia="Calibri" w:cs="Arial"/>
          <w:b/>
          <w:color w:val="000000" w:themeColor="text1"/>
          <w:sz w:val="22"/>
          <w:lang w:val="es-ES_tradnl"/>
        </w:rPr>
      </w:pPr>
    </w:p>
    <w:p w:rsidR="00272923" w:rsidP="00272923" w:rsidRDefault="00272923" w14:paraId="4D8A3172" w14:textId="77777777">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Usted realiza la siguiente pregunta:</w:t>
      </w:r>
      <w:r>
        <w:rPr>
          <w:rFonts w:ascii="Arial" w:hAnsi="Arial" w:cs="Arial"/>
          <w:color w:val="000000" w:themeColor="text1"/>
          <w:sz w:val="22"/>
          <w:lang w:val="es-ES_tradnl"/>
        </w:rPr>
        <w:t xml:space="preserve"> </w:t>
      </w:r>
      <w:r w:rsidR="00476AFB">
        <w:rPr>
          <w:rFonts w:ascii="Arial" w:hAnsi="Arial" w:cs="Arial"/>
          <w:color w:val="000000" w:themeColor="text1"/>
          <w:sz w:val="22"/>
          <w:lang w:val="es-ES_tradnl"/>
        </w:rPr>
        <w:t>«</w:t>
      </w:r>
      <w:r w:rsidRPr="00272923">
        <w:rPr>
          <w:rFonts w:ascii="Arial" w:hAnsi="Arial" w:cs="Arial"/>
          <w:color w:val="000000" w:themeColor="text1"/>
          <w:sz w:val="22"/>
          <w:lang w:val="es-ES_tradnl"/>
        </w:rPr>
        <w:t xml:space="preserve">¿Es aplicable en los procesos de obra realizados a través de mínima cuantía, lo establecido en el </w:t>
      </w:r>
      <w:r>
        <w:rPr>
          <w:rFonts w:ascii="Arial" w:hAnsi="Arial" w:cs="Arial"/>
          <w:color w:val="000000" w:themeColor="text1"/>
          <w:sz w:val="22"/>
          <w:lang w:val="es-ES_tradnl"/>
        </w:rPr>
        <w:t>a</w:t>
      </w:r>
      <w:r w:rsidRPr="00272923">
        <w:rPr>
          <w:rFonts w:ascii="Arial" w:hAnsi="Arial" w:cs="Arial"/>
          <w:color w:val="000000" w:themeColor="text1"/>
          <w:sz w:val="22"/>
          <w:lang w:val="es-ES_tradnl"/>
        </w:rPr>
        <w:t>rtículo 72 de la Ley 1682 de 2013?</w:t>
      </w:r>
      <w:r w:rsidRPr="00222BE8">
        <w:rPr>
          <w:rFonts w:ascii="Arial" w:hAnsi="Arial" w:cs="Arial"/>
          <w:color w:val="000000" w:themeColor="text1"/>
          <w:sz w:val="22"/>
          <w:lang w:val="es-ES_tradnl"/>
        </w:rPr>
        <w:t>»</w:t>
      </w:r>
      <w:r>
        <w:rPr>
          <w:rFonts w:ascii="Arial" w:hAnsi="Arial" w:cs="Arial"/>
          <w:color w:val="000000" w:themeColor="text1"/>
          <w:sz w:val="22"/>
          <w:lang w:val="es-ES_tradnl"/>
        </w:rPr>
        <w:t xml:space="preserve"> </w:t>
      </w:r>
    </w:p>
    <w:p w:rsidRPr="00222BE8" w:rsidR="00272923" w:rsidP="00272923" w:rsidRDefault="00272923" w14:paraId="4D8A3173" w14:textId="77777777">
      <w:pPr>
        <w:tabs>
          <w:tab w:val="left" w:pos="426"/>
        </w:tabs>
        <w:spacing w:line="276" w:lineRule="auto"/>
        <w:jc w:val="both"/>
        <w:rPr>
          <w:rFonts w:ascii="Arial" w:hAnsi="Arial" w:eastAsia="Calibri" w:cs="Arial"/>
          <w:color w:val="000000" w:themeColor="text1"/>
          <w:sz w:val="22"/>
          <w:lang w:val="es-ES_tradnl"/>
        </w:rPr>
      </w:pPr>
    </w:p>
    <w:p w:rsidRPr="00222BE8" w:rsidR="00272923" w:rsidP="00272923" w:rsidRDefault="00272923" w14:paraId="4D8A3174" w14:textId="77777777">
      <w:pPr>
        <w:pStyle w:val="Prrafodelista"/>
        <w:numPr>
          <w:ilvl w:val="0"/>
          <w:numId w:val="1"/>
        </w:numPr>
        <w:tabs>
          <w:tab w:val="left" w:pos="0"/>
          <w:tab w:val="left" w:pos="284"/>
        </w:tabs>
        <w:ind w:left="0" w:firstLine="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Consideraciones</w:t>
      </w:r>
    </w:p>
    <w:p w:rsidRPr="00222BE8" w:rsidR="00272923" w:rsidP="00272923" w:rsidRDefault="00272923" w14:paraId="4D8A3175" w14:textId="77777777">
      <w:pPr>
        <w:spacing w:line="276" w:lineRule="auto"/>
        <w:jc w:val="both"/>
        <w:rPr>
          <w:rFonts w:ascii="Arial" w:hAnsi="Arial" w:eastAsia="Calibri" w:cs="Arial"/>
          <w:color w:val="000000" w:themeColor="text1"/>
          <w:sz w:val="20"/>
          <w:szCs w:val="20"/>
          <w:lang w:val="es-ES_tradnl"/>
        </w:rPr>
      </w:pPr>
    </w:p>
    <w:p w:rsidR="001C774A" w:rsidP="001C774A" w:rsidRDefault="00272923" w14:paraId="4D8A3176" w14:textId="77777777">
      <w:pPr>
        <w:spacing w:line="276" w:lineRule="auto"/>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Para resolver su consulta, se analizarán los siguientes temas: i) concepto</w:t>
      </w:r>
      <w:r>
        <w:rPr>
          <w:rFonts w:ascii="Arial" w:hAnsi="Arial" w:eastAsia="Calibri" w:cs="Arial"/>
          <w:color w:val="000000" w:themeColor="text1"/>
          <w:sz w:val="22"/>
          <w:lang w:val="es-ES_tradnl"/>
        </w:rPr>
        <w:t xml:space="preserve"> de </w:t>
      </w:r>
      <w:r w:rsidR="001C774A">
        <w:rPr>
          <w:rFonts w:ascii="Arial" w:hAnsi="Arial" w:eastAsia="Calibri" w:cs="Arial"/>
          <w:color w:val="000000" w:themeColor="text1"/>
          <w:sz w:val="22"/>
          <w:lang w:val="es-ES_tradnl"/>
        </w:rPr>
        <w:t>capacidad residual</w:t>
      </w:r>
      <w:r w:rsidRPr="00222BE8">
        <w:rPr>
          <w:rFonts w:ascii="Arial" w:hAnsi="Arial" w:eastAsia="Calibri" w:cs="Arial"/>
          <w:color w:val="000000" w:themeColor="text1"/>
          <w:sz w:val="22"/>
          <w:lang w:val="es-ES_tradnl"/>
        </w:rPr>
        <w:t xml:space="preserve">, </w:t>
      </w:r>
      <w:r>
        <w:rPr>
          <w:rFonts w:ascii="Arial" w:hAnsi="Arial" w:eastAsia="Calibri" w:cs="Arial"/>
          <w:color w:val="000000" w:themeColor="text1"/>
          <w:sz w:val="22"/>
          <w:lang w:val="es-ES_tradnl"/>
        </w:rPr>
        <w:t xml:space="preserve">y </w:t>
      </w:r>
      <w:r w:rsidRPr="00222BE8">
        <w:rPr>
          <w:rFonts w:ascii="Arial" w:hAnsi="Arial" w:eastAsia="Calibri" w:cs="Arial"/>
          <w:color w:val="000000" w:themeColor="text1"/>
          <w:sz w:val="22"/>
          <w:lang w:val="es-ES_tradnl"/>
        </w:rPr>
        <w:t xml:space="preserve">ii) </w:t>
      </w:r>
      <w:r w:rsidR="001C774A">
        <w:rPr>
          <w:rFonts w:ascii="Arial" w:hAnsi="Arial" w:eastAsia="Calibri" w:cs="Arial"/>
          <w:color w:val="000000" w:themeColor="text1"/>
          <w:sz w:val="22"/>
          <w:lang w:val="es-ES_tradnl"/>
        </w:rPr>
        <w:t xml:space="preserve">el alcance de los artículos </w:t>
      </w:r>
      <w:r w:rsidRPr="001C774A" w:rsidR="001C774A">
        <w:rPr>
          <w:rFonts w:ascii="Arial" w:hAnsi="Arial" w:eastAsia="Calibri" w:cs="Arial"/>
          <w:color w:val="000000" w:themeColor="text1"/>
          <w:sz w:val="22"/>
          <w:lang w:val="es-ES_tradnl"/>
        </w:rPr>
        <w:t>6 Ley 1150 de 2007</w:t>
      </w:r>
      <w:r w:rsidR="001C774A">
        <w:rPr>
          <w:rFonts w:ascii="Arial" w:hAnsi="Arial" w:eastAsia="Calibri" w:cs="Arial"/>
          <w:color w:val="000000" w:themeColor="text1"/>
          <w:sz w:val="22"/>
          <w:lang w:val="es-ES_tradnl"/>
        </w:rPr>
        <w:t xml:space="preserve"> y art</w:t>
      </w:r>
      <w:r w:rsidRPr="001C774A" w:rsidR="001C774A">
        <w:rPr>
          <w:rFonts w:ascii="Arial" w:hAnsi="Arial" w:eastAsia="Calibri" w:cs="Arial"/>
          <w:color w:val="000000" w:themeColor="text1"/>
          <w:sz w:val="22"/>
          <w:lang w:val="es-ES_tradnl"/>
        </w:rPr>
        <w:t>ículo 72 de la Ley 1682</w:t>
      </w:r>
      <w:r w:rsidR="001C774A">
        <w:rPr>
          <w:rFonts w:ascii="Arial" w:hAnsi="Arial" w:eastAsia="Calibri" w:cs="Arial"/>
          <w:color w:val="000000" w:themeColor="text1"/>
          <w:sz w:val="22"/>
          <w:lang w:val="es-ES_tradnl"/>
        </w:rPr>
        <w:t xml:space="preserve"> de 2013.</w:t>
      </w:r>
    </w:p>
    <w:p w:rsidRPr="001C774A" w:rsidR="001C774A" w:rsidP="001C774A" w:rsidRDefault="001C774A" w14:paraId="4D8A3177" w14:textId="77777777">
      <w:pPr>
        <w:spacing w:line="276" w:lineRule="auto"/>
        <w:jc w:val="both"/>
        <w:rPr>
          <w:rFonts w:ascii="Arial" w:hAnsi="Arial" w:eastAsia="Calibri" w:cs="Arial"/>
          <w:color w:val="000000" w:themeColor="text1"/>
          <w:sz w:val="22"/>
          <w:lang w:val="es-ES_tradnl"/>
        </w:rPr>
      </w:pPr>
    </w:p>
    <w:p w:rsidRPr="00222BE8" w:rsidR="00272923" w:rsidP="00272923" w:rsidRDefault="00272923" w14:paraId="4D8A3178" w14:textId="77777777">
      <w:pPr>
        <w:spacing w:line="276" w:lineRule="auto"/>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2.</w:t>
      </w:r>
      <w:r>
        <w:rPr>
          <w:rFonts w:ascii="Arial" w:hAnsi="Arial" w:eastAsia="Calibri" w:cs="Arial"/>
          <w:b/>
          <w:color w:val="000000" w:themeColor="text1"/>
          <w:sz w:val="22"/>
          <w:lang w:val="es-ES_tradnl"/>
        </w:rPr>
        <w:t>1</w:t>
      </w:r>
      <w:r w:rsidRPr="00222BE8">
        <w:rPr>
          <w:rFonts w:ascii="Arial" w:hAnsi="Arial" w:eastAsia="Calibri" w:cs="Arial"/>
          <w:b/>
          <w:color w:val="000000" w:themeColor="text1"/>
          <w:sz w:val="22"/>
          <w:lang w:val="es-ES_tradnl"/>
        </w:rPr>
        <w:t xml:space="preserve">. </w:t>
      </w:r>
      <w:r w:rsidR="001C774A">
        <w:rPr>
          <w:rFonts w:ascii="Arial" w:hAnsi="Arial" w:eastAsia="Calibri" w:cs="Arial"/>
          <w:b/>
          <w:color w:val="000000" w:themeColor="text1"/>
          <w:sz w:val="22"/>
          <w:lang w:val="es-ES_tradnl"/>
        </w:rPr>
        <w:t>Capacidad Residual</w:t>
      </w:r>
      <w:r w:rsidRPr="00222BE8">
        <w:rPr>
          <w:rFonts w:ascii="Arial" w:hAnsi="Arial" w:eastAsia="Calibri" w:cs="Arial"/>
          <w:b/>
          <w:color w:val="000000" w:themeColor="text1"/>
          <w:sz w:val="22"/>
          <w:lang w:val="es-ES_tradnl"/>
        </w:rPr>
        <w:t>. Concepto y régimen jurídico aplicable</w:t>
      </w:r>
    </w:p>
    <w:p w:rsidRPr="00222BE8" w:rsidR="00272923" w:rsidP="00272923" w:rsidRDefault="00272923" w14:paraId="4D8A3179" w14:textId="77777777">
      <w:pPr>
        <w:spacing w:line="276" w:lineRule="auto"/>
        <w:jc w:val="both"/>
        <w:rPr>
          <w:rFonts w:ascii="Arial" w:hAnsi="Arial" w:eastAsia="Calibri" w:cs="Arial"/>
          <w:color w:val="000000" w:themeColor="text1"/>
          <w:sz w:val="22"/>
          <w:lang w:val="es-ES_tradnl"/>
        </w:rPr>
      </w:pPr>
    </w:p>
    <w:p w:rsidRPr="00543959" w:rsidR="001202B9" w:rsidP="001202B9" w:rsidRDefault="001202B9" w14:paraId="4D8A317A" w14:textId="50B356F7">
      <w:pPr>
        <w:spacing w:line="276" w:lineRule="auto"/>
        <w:jc w:val="both"/>
        <w:rPr>
          <w:rFonts w:ascii="Arial" w:hAnsi="Arial" w:eastAsia="Calibri" w:cs="Arial"/>
          <w:color w:val="000000" w:themeColor="text1"/>
          <w:sz w:val="22"/>
        </w:rPr>
      </w:pPr>
      <w:r w:rsidRPr="00543959">
        <w:rPr>
          <w:rFonts w:ascii="Arial" w:hAnsi="Arial" w:eastAsia="Calibri" w:cs="Arial"/>
          <w:color w:val="000000" w:themeColor="text1"/>
          <w:sz w:val="22"/>
        </w:rPr>
        <w:t xml:space="preserve">La Agencia Nacional de Contratación Pública − Colombia Compra Eficiente se ha pronunciado sobre la capacidad residual y la forma en que se debe </w:t>
      </w:r>
      <w:r w:rsidR="00C5587C">
        <w:rPr>
          <w:rFonts w:ascii="Arial" w:hAnsi="Arial" w:eastAsia="Calibri" w:cs="Arial"/>
          <w:color w:val="000000" w:themeColor="text1"/>
          <w:sz w:val="22"/>
        </w:rPr>
        <w:t>acreditar</w:t>
      </w:r>
      <w:r w:rsidRPr="00543959">
        <w:rPr>
          <w:rFonts w:ascii="Arial" w:hAnsi="Arial" w:eastAsia="Calibri" w:cs="Arial"/>
          <w:color w:val="000000" w:themeColor="text1"/>
          <w:sz w:val="22"/>
        </w:rPr>
        <w:t>, en los conceptos del 27 de agosto y el 20 y 26 (2) de diciembre de 2019 −radicados Nos. 2201913000006275, 2201913000009465, 2201913000009642 y 2201913000009640−. Así como también en los conceptos C-022, C-089, C-112, C-133</w:t>
      </w:r>
      <w:r w:rsidR="00DD76C0">
        <w:rPr>
          <w:rFonts w:ascii="Arial" w:hAnsi="Arial" w:eastAsia="Calibri" w:cs="Arial"/>
          <w:color w:val="000000" w:themeColor="text1"/>
          <w:sz w:val="22"/>
        </w:rPr>
        <w:t>,</w:t>
      </w:r>
      <w:r w:rsidRPr="00543959">
        <w:rPr>
          <w:rFonts w:ascii="Arial" w:hAnsi="Arial" w:eastAsia="Calibri" w:cs="Arial"/>
          <w:color w:val="000000" w:themeColor="text1"/>
          <w:sz w:val="22"/>
        </w:rPr>
        <w:t xml:space="preserve"> C-222</w:t>
      </w:r>
      <w:r w:rsidR="00DD76C0">
        <w:rPr>
          <w:rFonts w:ascii="Arial" w:hAnsi="Arial" w:eastAsia="Calibri" w:cs="Arial"/>
          <w:color w:val="000000" w:themeColor="text1"/>
          <w:sz w:val="22"/>
        </w:rPr>
        <w:t xml:space="preserve"> y C-</w:t>
      </w:r>
      <w:r w:rsidR="00572132">
        <w:rPr>
          <w:rFonts w:ascii="Arial" w:hAnsi="Arial" w:eastAsia="Calibri" w:cs="Arial"/>
          <w:color w:val="000000" w:themeColor="text1"/>
          <w:sz w:val="22"/>
        </w:rPr>
        <w:t>458 de 2020</w:t>
      </w:r>
      <w:r w:rsidRPr="00543959">
        <w:rPr>
          <w:rFonts w:ascii="Arial" w:hAnsi="Arial" w:eastAsia="Calibri" w:cs="Arial"/>
          <w:color w:val="000000" w:themeColor="text1"/>
          <w:sz w:val="22"/>
        </w:rPr>
        <w:t>. La</w:t>
      </w:r>
      <w:r w:rsidR="00C5587C">
        <w:rPr>
          <w:rFonts w:ascii="Arial" w:hAnsi="Arial" w:eastAsia="Calibri" w:cs="Arial"/>
          <w:color w:val="000000" w:themeColor="text1"/>
          <w:sz w:val="22"/>
        </w:rPr>
        <w:t>s</w:t>
      </w:r>
      <w:r w:rsidRPr="00543959">
        <w:rPr>
          <w:rFonts w:ascii="Arial" w:hAnsi="Arial" w:eastAsia="Calibri" w:cs="Arial"/>
          <w:color w:val="000000" w:themeColor="text1"/>
          <w:sz w:val="22"/>
        </w:rPr>
        <w:t xml:space="preserve"> tesis</w:t>
      </w:r>
      <w:r w:rsidR="00C5587C">
        <w:rPr>
          <w:rFonts w:ascii="Arial" w:hAnsi="Arial" w:eastAsia="Calibri" w:cs="Arial"/>
          <w:color w:val="000000" w:themeColor="text1"/>
          <w:sz w:val="22"/>
        </w:rPr>
        <w:t xml:space="preserve"> </w:t>
      </w:r>
      <w:r w:rsidRPr="00543959">
        <w:rPr>
          <w:rFonts w:ascii="Arial" w:hAnsi="Arial" w:eastAsia="Calibri" w:cs="Arial"/>
          <w:color w:val="000000" w:themeColor="text1"/>
          <w:sz w:val="22"/>
        </w:rPr>
        <w:t>propuesta</w:t>
      </w:r>
      <w:r w:rsidR="00C5587C">
        <w:rPr>
          <w:rFonts w:ascii="Arial" w:hAnsi="Arial" w:eastAsia="Calibri" w:cs="Arial"/>
          <w:color w:val="000000" w:themeColor="text1"/>
          <w:sz w:val="22"/>
        </w:rPr>
        <w:t>s</w:t>
      </w:r>
      <w:r w:rsidRPr="00543959">
        <w:rPr>
          <w:rFonts w:ascii="Arial" w:hAnsi="Arial" w:eastAsia="Calibri" w:cs="Arial"/>
          <w:color w:val="000000" w:themeColor="text1"/>
          <w:sz w:val="22"/>
        </w:rPr>
        <w:t xml:space="preserve"> se </w:t>
      </w:r>
      <w:r w:rsidR="00C5587C">
        <w:rPr>
          <w:rFonts w:ascii="Arial" w:hAnsi="Arial" w:eastAsia="Calibri" w:cs="Arial"/>
          <w:color w:val="000000" w:themeColor="text1"/>
          <w:sz w:val="22"/>
        </w:rPr>
        <w:t>reiteran</w:t>
      </w:r>
      <w:r w:rsidRPr="00543959" w:rsidR="00C5587C">
        <w:rPr>
          <w:rFonts w:ascii="Arial" w:hAnsi="Arial" w:eastAsia="Calibri" w:cs="Arial"/>
          <w:color w:val="000000" w:themeColor="text1"/>
          <w:sz w:val="22"/>
        </w:rPr>
        <w:t xml:space="preserve"> </w:t>
      </w:r>
      <w:r w:rsidRPr="00543959">
        <w:rPr>
          <w:rFonts w:ascii="Arial" w:hAnsi="Arial" w:eastAsia="Calibri" w:cs="Arial"/>
          <w:color w:val="000000" w:themeColor="text1"/>
          <w:sz w:val="22"/>
        </w:rPr>
        <w:t>en las siguientes consideraciones</w:t>
      </w:r>
      <w:r w:rsidR="00C5587C">
        <w:rPr>
          <w:rFonts w:ascii="Arial" w:hAnsi="Arial" w:eastAsia="Calibri" w:cs="Arial"/>
          <w:color w:val="000000" w:themeColor="text1"/>
          <w:sz w:val="22"/>
        </w:rPr>
        <w:t>.</w:t>
      </w:r>
    </w:p>
    <w:p w:rsidRPr="00543959" w:rsidR="001202B9" w:rsidP="001202B9" w:rsidRDefault="001202B9" w14:paraId="4D8A317B" w14:textId="0B1C1F52">
      <w:pPr>
        <w:pStyle w:val="Textoindependiente"/>
        <w:spacing w:before="120" w:line="276" w:lineRule="auto"/>
        <w:ind w:right="51" w:firstLine="709"/>
        <w:jc w:val="both"/>
        <w:rPr>
          <w:color w:val="000000" w:themeColor="text1"/>
        </w:rPr>
      </w:pPr>
      <w:r w:rsidRPr="00543959">
        <w:rPr>
          <w:color w:val="000000" w:themeColor="text1"/>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w:t>
      </w:r>
      <w:r w:rsidRPr="00543959">
        <w:rPr>
          <w:rStyle w:val="Refdenotaalpie"/>
          <w:color w:val="000000" w:themeColor="text1"/>
        </w:rPr>
        <w:footnoteReference w:id="1"/>
      </w:r>
      <w:r w:rsidRPr="00543959">
        <w:rPr>
          <w:color w:val="000000" w:themeColor="text1"/>
        </w:rPr>
        <w:t>. El Consejo de Estado ha definido la capacidad residual como «la diferencia que existe entre el potencial de contratación que se tiene y los compromisos que haya adquirido y que se encuentren en ejecución, para la fecha de presentación de la oferta»</w:t>
      </w:r>
      <w:r w:rsidRPr="00543959">
        <w:rPr>
          <w:rStyle w:val="Refdenotaalpie"/>
          <w:color w:val="000000" w:themeColor="text1"/>
        </w:rPr>
        <w:footnoteReference w:id="2"/>
      </w:r>
      <w:r w:rsidRPr="00543959">
        <w:rPr>
          <w:color w:val="000000" w:themeColor="text1"/>
        </w:rPr>
        <w:t>.</w:t>
      </w:r>
    </w:p>
    <w:p w:rsidRPr="00543959" w:rsidR="001202B9" w:rsidP="001202B9" w:rsidRDefault="001202B9" w14:paraId="4D8A317C" w14:textId="7BC37388">
      <w:pPr>
        <w:pStyle w:val="Textoindependiente"/>
        <w:spacing w:before="120" w:line="276" w:lineRule="auto"/>
        <w:ind w:right="51" w:firstLine="709"/>
        <w:jc w:val="both"/>
        <w:rPr>
          <w:color w:val="000000" w:themeColor="text1"/>
        </w:rPr>
      </w:pPr>
      <w:r w:rsidRPr="00543959">
        <w:rPr>
          <w:color w:val="000000" w:themeColor="text1"/>
        </w:rPr>
        <w:t>Teniendo en cuenta lo dicho antes, la Agencia Nacional de Contratación Pública</w:t>
      </w:r>
      <w:r w:rsidR="001303A3">
        <w:rPr>
          <w:color w:val="000000" w:themeColor="text1"/>
        </w:rPr>
        <w:t xml:space="preserve"> </w:t>
      </w:r>
      <w:r w:rsidR="00A86A58">
        <w:rPr>
          <w:color w:val="000000" w:themeColor="text1"/>
        </w:rPr>
        <w:t>–</w:t>
      </w:r>
      <w:r w:rsidR="001303A3">
        <w:rPr>
          <w:color w:val="000000" w:themeColor="text1"/>
        </w:rPr>
        <w:t xml:space="preserve"> </w:t>
      </w:r>
      <w:r w:rsidR="001303A3">
        <w:rPr>
          <w:color w:val="000000" w:themeColor="text1"/>
        </w:rPr>
        <w:lastRenderedPageBreak/>
        <w:t>Colombia Compra Eficiente</w:t>
      </w:r>
      <w:r w:rsidRPr="00543959">
        <w:rPr>
          <w:color w:val="000000" w:themeColor="text1"/>
        </w:rPr>
        <w:t xml:space="preserv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rsidRPr="00543959" w:rsidR="001202B9" w:rsidP="001202B9" w:rsidRDefault="001202B9" w14:paraId="4D8A317D" w14:textId="77777777">
      <w:pPr>
        <w:pStyle w:val="Textoindependiente"/>
        <w:spacing w:before="120" w:line="276" w:lineRule="auto"/>
        <w:ind w:right="51" w:firstLine="709"/>
        <w:jc w:val="both"/>
        <w:rPr>
          <w:color w:val="000000" w:themeColor="text1"/>
        </w:rPr>
      </w:pPr>
      <w:r w:rsidRPr="00543959">
        <w:rPr>
          <w:color w:val="000000" w:themeColor="text1"/>
        </w:rPr>
        <w:t>La Ley 1150 de 2007 establece que la capacidad residual de los interesados en participar en procesos de selección para contratos de obra deberá ser igual o superior al que la entidad ha establecido en los pliegos de condiciones, en los siguientes términos:</w:t>
      </w:r>
    </w:p>
    <w:p w:rsidRPr="00543959" w:rsidR="001202B9" w:rsidP="001202B9" w:rsidRDefault="001202B9" w14:paraId="4D8A317E" w14:textId="77777777">
      <w:pPr>
        <w:pStyle w:val="Textoindependiente"/>
        <w:ind w:right="49"/>
        <w:rPr>
          <w:color w:val="000000" w:themeColor="text1"/>
        </w:rPr>
      </w:pPr>
    </w:p>
    <w:p w:rsidRPr="00543959" w:rsidR="001202B9" w:rsidP="001202B9" w:rsidRDefault="001202B9" w14:paraId="4D8A317F" w14:textId="77777777">
      <w:pPr>
        <w:pStyle w:val="Textoindependiente"/>
        <w:ind w:left="709" w:right="758"/>
        <w:jc w:val="both"/>
        <w:rPr>
          <w:color w:val="000000" w:themeColor="text1"/>
          <w:sz w:val="21"/>
          <w:szCs w:val="21"/>
        </w:rPr>
      </w:pPr>
      <w:r w:rsidRPr="00543959">
        <w:rPr>
          <w:color w:val="000000" w:themeColor="text1"/>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543959">
        <w:rPr>
          <w:color w:val="000000" w:themeColor="text1"/>
          <w:spacing w:val="-3"/>
          <w:sz w:val="21"/>
          <w:szCs w:val="21"/>
        </w:rPr>
        <w:t xml:space="preserve"> </w:t>
      </w:r>
      <w:r w:rsidRPr="00543959">
        <w:rPr>
          <w:color w:val="000000" w:themeColor="text1"/>
          <w:sz w:val="21"/>
          <w:szCs w:val="21"/>
        </w:rPr>
        <w:t>principal.</w:t>
      </w:r>
    </w:p>
    <w:p w:rsidRPr="00543959" w:rsidR="001202B9" w:rsidP="00B30DB3" w:rsidRDefault="001303A3" w14:paraId="4D8A3181" w14:textId="3CEB7864">
      <w:pPr>
        <w:pStyle w:val="Textoindependiente"/>
        <w:spacing w:after="120"/>
        <w:ind w:left="709" w:right="760"/>
        <w:rPr>
          <w:color w:val="000000" w:themeColor="text1"/>
          <w:sz w:val="21"/>
          <w:szCs w:val="21"/>
        </w:rPr>
      </w:pPr>
      <w:r>
        <w:rPr>
          <w:color w:val="000000" w:themeColor="text1"/>
          <w:sz w:val="21"/>
          <w:szCs w:val="21"/>
        </w:rPr>
        <w:t>[</w:t>
      </w:r>
      <w:r w:rsidRPr="00543959" w:rsidR="001202B9">
        <w:rPr>
          <w:color w:val="000000" w:themeColor="text1"/>
          <w:sz w:val="21"/>
          <w:szCs w:val="21"/>
        </w:rPr>
        <w:t>…</w:t>
      </w:r>
      <w:r>
        <w:rPr>
          <w:color w:val="000000" w:themeColor="text1"/>
          <w:sz w:val="21"/>
          <w:szCs w:val="21"/>
        </w:rPr>
        <w:t>]</w:t>
      </w:r>
    </w:p>
    <w:p w:rsidRPr="00543959" w:rsidR="001202B9" w:rsidP="001202B9" w:rsidRDefault="001202B9" w14:paraId="4D8A3182" w14:textId="77777777">
      <w:pPr>
        <w:pStyle w:val="Textoindependiente"/>
        <w:ind w:left="709" w:right="758"/>
        <w:jc w:val="both"/>
        <w:rPr>
          <w:color w:val="000000" w:themeColor="text1"/>
          <w:sz w:val="21"/>
          <w:szCs w:val="21"/>
        </w:rPr>
      </w:pPr>
      <w:r w:rsidRPr="00543959">
        <w:rPr>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Pr="00543959" w:rsidR="001202B9" w:rsidP="001202B9" w:rsidRDefault="001202B9" w14:paraId="4D8A3183" w14:textId="77777777">
      <w:pPr>
        <w:pStyle w:val="Textoindependiente"/>
        <w:ind w:right="49"/>
        <w:rPr>
          <w:color w:val="000000" w:themeColor="text1"/>
        </w:rPr>
      </w:pPr>
    </w:p>
    <w:p w:rsidR="00544C03" w:rsidP="001202B9" w:rsidRDefault="001202B9" w14:paraId="4D8A3184" w14:textId="77777777">
      <w:pPr>
        <w:pStyle w:val="Textoindependiente"/>
        <w:spacing w:before="1" w:line="276" w:lineRule="auto"/>
        <w:ind w:right="49" w:firstLine="708"/>
        <w:jc w:val="both"/>
        <w:rPr>
          <w:color w:val="000000" w:themeColor="text1"/>
        </w:rPr>
      </w:pPr>
      <w:r w:rsidRPr="00543959">
        <w:rPr>
          <w:color w:val="000000" w:themeColor="text1"/>
        </w:rPr>
        <w:t>El artículo 72 de la Ley 1682 de 2013,</w:t>
      </w:r>
      <w:r w:rsidRPr="003D4313" w:rsidR="003D4313">
        <w:rPr>
          <w:color w:val="000000" w:themeColor="text1"/>
        </w:rPr>
        <w:t xml:space="preserve"> corregido por el art</w:t>
      </w:r>
      <w:r w:rsidR="00544C03">
        <w:rPr>
          <w:color w:val="000000" w:themeColor="text1"/>
        </w:rPr>
        <w:t>ículo 1 del Decreto 476 de 2014,</w:t>
      </w:r>
      <w:r w:rsidRPr="00543959">
        <w:rPr>
          <w:color w:val="000000" w:themeColor="text1"/>
        </w:rPr>
        <w:t xml:space="preserve"> por la cual se adoptan medidas y disposiciones para los proyectos de infraestructura d</w:t>
      </w:r>
      <w:r w:rsidR="00544C03">
        <w:rPr>
          <w:color w:val="000000" w:themeColor="text1"/>
        </w:rPr>
        <w:t>e transporte, establece:</w:t>
      </w:r>
    </w:p>
    <w:p w:rsidR="00544C03" w:rsidP="001202B9" w:rsidRDefault="00544C03" w14:paraId="4D8A3185" w14:textId="77777777">
      <w:pPr>
        <w:pStyle w:val="Textoindependiente"/>
        <w:spacing w:before="1" w:line="276" w:lineRule="auto"/>
        <w:ind w:right="49" w:firstLine="708"/>
        <w:jc w:val="both"/>
        <w:rPr>
          <w:color w:val="000000" w:themeColor="text1"/>
        </w:rPr>
      </w:pPr>
    </w:p>
    <w:p w:rsidR="00544C03" w:rsidP="00B30DB3" w:rsidRDefault="00544C03" w14:paraId="4D8A3186" w14:textId="7A788810">
      <w:pPr>
        <w:pStyle w:val="Textoindependiente"/>
        <w:spacing w:after="120"/>
        <w:ind w:left="709" w:right="709"/>
        <w:jc w:val="both"/>
        <w:rPr>
          <w:color w:val="000000" w:themeColor="text1"/>
          <w:sz w:val="21"/>
          <w:szCs w:val="21"/>
          <w:lang w:val="es-CO"/>
        </w:rPr>
      </w:pPr>
      <w:r w:rsidRPr="00544C03">
        <w:rPr>
          <w:color w:val="000000" w:themeColor="text1"/>
          <w:sz w:val="21"/>
          <w:szCs w:val="21"/>
          <w:lang w:val="es-CO"/>
        </w:rPr>
        <w:t>La capacidad residual de contratación cuando se realicen contratos de obra pública se obtendrá de sustraer de la capacidad de contratación, el saldo del valor de los contratos en ejecución.</w:t>
      </w:r>
    </w:p>
    <w:p w:rsidR="00544C03" w:rsidP="00B30DB3" w:rsidRDefault="00544C03" w14:paraId="4D8A3188" w14:textId="555E6694">
      <w:pPr>
        <w:pStyle w:val="Textoindependiente"/>
        <w:spacing w:after="120"/>
        <w:ind w:left="709" w:right="709"/>
        <w:jc w:val="both"/>
        <w:rPr>
          <w:color w:val="000000" w:themeColor="text1"/>
          <w:sz w:val="21"/>
          <w:szCs w:val="21"/>
          <w:lang w:val="es-CO"/>
        </w:rPr>
      </w:pPr>
      <w:r w:rsidRPr="00544C03">
        <w:rPr>
          <w:color w:val="000000" w:themeColor="text1"/>
          <w:sz w:val="21"/>
          <w:szCs w:val="21"/>
          <w:lang w:val="es-CO"/>
        </w:rPr>
        <w:t>La capacidad de contratación se deberá calcular mediante la evaluación de los siguientes factores: Experiencia (E), Capacidad Financiera (CF), Capacidad Técnica (CT), y Capacidad de Organización (CO).</w:t>
      </w:r>
    </w:p>
    <w:p w:rsidR="00544C03" w:rsidP="00B30DB3" w:rsidRDefault="00544C03" w14:paraId="4D8A318A" w14:textId="7AEF3D03">
      <w:pPr>
        <w:pStyle w:val="Textoindependiente"/>
        <w:spacing w:after="120"/>
        <w:ind w:left="709" w:right="709"/>
        <w:jc w:val="both"/>
        <w:rPr>
          <w:color w:val="000000" w:themeColor="text1"/>
          <w:sz w:val="21"/>
          <w:szCs w:val="21"/>
          <w:lang w:val="es-CO"/>
        </w:rPr>
      </w:pPr>
      <w:r w:rsidRPr="00544C03">
        <w:rPr>
          <w:color w:val="000000" w:themeColor="text1"/>
          <w:sz w:val="21"/>
          <w:szCs w:val="21"/>
          <w:lang w:val="es-CO"/>
        </w:rPr>
        <w:t>Para los efectos de la evaluación de los factores mencionados en el inciso anterior, por ningún motivo, ni bajo ninguna circunstancia se podrán tener en cuenta la rentabilidad y las utilidades.</w:t>
      </w:r>
    </w:p>
    <w:p w:rsidR="00544C03" w:rsidP="00AC3992" w:rsidRDefault="00544C03" w14:paraId="4D8A318C" w14:textId="55F49176">
      <w:pPr>
        <w:pStyle w:val="Textoindependiente"/>
        <w:ind w:left="709" w:right="709"/>
        <w:jc w:val="both"/>
        <w:rPr>
          <w:color w:val="000000" w:themeColor="text1"/>
          <w:sz w:val="21"/>
          <w:szCs w:val="21"/>
          <w:lang w:val="es-CO"/>
        </w:rPr>
      </w:pPr>
      <w:r w:rsidRPr="00544C03">
        <w:rPr>
          <w:color w:val="000000" w:themeColor="text1"/>
          <w:sz w:val="21"/>
          <w:szCs w:val="21"/>
          <w:lang w:val="es-CO"/>
        </w:rPr>
        <w:t>El Gobierno Nacional reglamentará la materia, dentro de los sesenta (60) días siguientes a la promulgación de la presente ley, acudiendo al concepto técnico de la Sociedad Colombiana de ingenieros, en virtud de la Ley 46 de 1904, para propender por una reglamentación equitativa en la implementación de mínimos y máximos que garanticen los derechos de los pequeños contratistas.</w:t>
      </w:r>
    </w:p>
    <w:p w:rsidR="00AC3992" w:rsidP="00B30DB3" w:rsidRDefault="00AC3992" w14:paraId="227D3EED" w14:textId="77777777">
      <w:pPr>
        <w:pStyle w:val="Textoindependiente"/>
        <w:ind w:left="709" w:right="709"/>
        <w:jc w:val="both"/>
        <w:rPr>
          <w:color w:val="000000" w:themeColor="text1"/>
          <w:sz w:val="21"/>
          <w:szCs w:val="21"/>
          <w:lang w:val="es-CO"/>
        </w:rPr>
      </w:pPr>
    </w:p>
    <w:p w:rsidRPr="00543959" w:rsidR="001202B9" w:rsidP="00B30DB3" w:rsidRDefault="00066FD9" w14:paraId="4D8A318D" w14:textId="48D50BA8">
      <w:pPr>
        <w:pStyle w:val="Textoindependiente"/>
        <w:spacing w:line="276" w:lineRule="auto"/>
        <w:ind w:right="51" w:firstLine="709"/>
        <w:jc w:val="both"/>
        <w:rPr>
          <w:color w:val="000000" w:themeColor="text1"/>
        </w:rPr>
      </w:pPr>
      <w:r>
        <w:t>E</w:t>
      </w:r>
      <w:r w:rsidR="00E339CE">
        <w:t>l</w:t>
      </w:r>
      <w:r w:rsidRPr="00217A3C" w:rsidR="00544C03">
        <w:t xml:space="preserve"> Decreto 1082 de 2015</w:t>
      </w:r>
      <w:r w:rsidR="00E339CE">
        <w:t xml:space="preserve"> en el artículo </w:t>
      </w:r>
      <w:r w:rsidRPr="00217A3C" w:rsidR="00E339CE">
        <w:t xml:space="preserve">2.2.1.1.1.6.4. </w:t>
      </w:r>
      <w:proofErr w:type="gramStart"/>
      <w:r w:rsidR="00E339CE">
        <w:t>r</w:t>
      </w:r>
      <w:r w:rsidRPr="00217A3C" w:rsidR="00544C03">
        <w:t>ecoge</w:t>
      </w:r>
      <w:proofErr w:type="gramEnd"/>
      <w:r w:rsidRPr="00217A3C" w:rsidR="00544C03">
        <w:t xml:space="preserve"> el desarrollo legislativo de </w:t>
      </w:r>
      <w:r w:rsidR="001303A3">
        <w:t>la c</w:t>
      </w:r>
      <w:r w:rsidRPr="00217A3C" w:rsidR="00544C03">
        <w:t xml:space="preserve">apacidad </w:t>
      </w:r>
      <w:r w:rsidR="001303A3">
        <w:t>r</w:t>
      </w:r>
      <w:r w:rsidRPr="00217A3C" w:rsidR="00544C03">
        <w:t>esidual, en especial los componentes de la Ley 1682 de 2013</w:t>
      </w:r>
      <w:r w:rsidR="00E339CE">
        <w:t xml:space="preserve">. De tal forma, el artículo en mención </w:t>
      </w:r>
      <w:r w:rsidRPr="00543959" w:rsidR="001202B9">
        <w:rPr>
          <w:color w:val="000000" w:themeColor="text1"/>
        </w:rPr>
        <w:t>establece que las entidades estatales deberán calcular la capacidad residual conforme a la metodología definida por Colombia Compre Eficiente y precisó que, para tale</w:t>
      </w:r>
      <w:r w:rsidR="00E339CE">
        <w:rPr>
          <w:color w:val="000000" w:themeColor="text1"/>
        </w:rPr>
        <w:t>s</w:t>
      </w:r>
      <w:r w:rsidRPr="00543959" w:rsidR="001202B9">
        <w:rPr>
          <w:color w:val="000000" w:themeColor="text1"/>
        </w:rPr>
        <w:t xml:space="preserve"> fines, resulta necesario tener en cuenta los factores de: i) experiencia; ii) capacidad financiera; iii) capacidad técnica; iv) capacidad de organización; y v) los saldos de los contratos en ejecución, así:</w:t>
      </w:r>
    </w:p>
    <w:p w:rsidRPr="00543959" w:rsidR="001202B9" w:rsidP="001202B9" w:rsidRDefault="001202B9" w14:paraId="4D8A318E" w14:textId="77777777">
      <w:pPr>
        <w:pStyle w:val="Textoindependiente"/>
        <w:spacing w:before="8"/>
        <w:ind w:right="49"/>
        <w:rPr>
          <w:color w:val="000000" w:themeColor="text1"/>
          <w:sz w:val="21"/>
        </w:rPr>
      </w:pPr>
    </w:p>
    <w:p w:rsidRPr="00543959" w:rsidR="001202B9" w:rsidP="00B30DB3" w:rsidRDefault="001202B9" w14:paraId="4D8A3190" w14:textId="4BAB7DA6">
      <w:pPr>
        <w:pStyle w:val="Textoindependiente"/>
        <w:spacing w:after="120"/>
        <w:ind w:left="709" w:right="760"/>
        <w:rPr>
          <w:color w:val="000000" w:themeColor="text1"/>
          <w:sz w:val="21"/>
          <w:szCs w:val="21"/>
        </w:rPr>
      </w:pPr>
      <w:r w:rsidRPr="00543959">
        <w:rPr>
          <w:color w:val="000000" w:themeColor="text1"/>
          <w:sz w:val="21"/>
          <w:szCs w:val="21"/>
        </w:rPr>
        <w:t xml:space="preserve">Artículo 2.2.1.1.1.6.4. Capacidad Residual. El interesado en celebrar contratos </w:t>
      </w:r>
      <w:r w:rsidRPr="00543959">
        <w:rPr>
          <w:color w:val="000000" w:themeColor="text1"/>
          <w:sz w:val="21"/>
          <w:szCs w:val="21"/>
        </w:rPr>
        <w:lastRenderedPageBreak/>
        <w:t xml:space="preserve">de obra pública con Entidades Estatales debe acreditar su Capacidad Residual o K de Contratación con los siguientes documentos: </w:t>
      </w:r>
      <w:r w:rsidR="001303A3">
        <w:rPr>
          <w:color w:val="000000" w:themeColor="text1"/>
          <w:sz w:val="21"/>
          <w:szCs w:val="21"/>
        </w:rPr>
        <w:t>[…]</w:t>
      </w:r>
    </w:p>
    <w:p w:rsidR="001202B9" w:rsidP="001202B9" w:rsidRDefault="001202B9" w14:paraId="4D8A3191" w14:textId="7F9680B8">
      <w:pPr>
        <w:pStyle w:val="Textoindependiente"/>
        <w:ind w:left="709" w:right="760" w:firstLine="2"/>
        <w:jc w:val="both"/>
        <w:rPr>
          <w:color w:val="000000" w:themeColor="text1"/>
          <w:sz w:val="21"/>
          <w:szCs w:val="21"/>
        </w:rPr>
      </w:pPr>
      <w:r w:rsidRPr="00543959">
        <w:rPr>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0080266A" w:rsidP="0080266A" w:rsidRDefault="0080266A" w14:paraId="62A58EEF" w14:textId="6B04BF3D">
      <w:pPr>
        <w:pStyle w:val="Textoindependiente"/>
        <w:ind w:right="760"/>
        <w:jc w:val="both"/>
        <w:rPr>
          <w:color w:val="000000" w:themeColor="text1"/>
          <w:sz w:val="21"/>
          <w:szCs w:val="21"/>
        </w:rPr>
      </w:pPr>
    </w:p>
    <w:p w:rsidRPr="00766C6E" w:rsidR="00C33138" w:rsidP="00C33138" w:rsidRDefault="00C33138" w14:paraId="37F393A6" w14:textId="586BEB11">
      <w:pPr>
        <w:pStyle w:val="Textoindependiente"/>
        <w:spacing w:line="276" w:lineRule="auto"/>
        <w:ind w:right="49" w:firstLine="709"/>
        <w:jc w:val="both"/>
      </w:pPr>
      <w:r w:rsidRPr="00766C6E">
        <w:t xml:space="preserve">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w:t>
      </w:r>
      <w:r w:rsidR="000F7225">
        <w:t xml:space="preserve">le </w:t>
      </w:r>
      <w:r w:rsidRPr="00766C6E">
        <w:t xml:space="preserve">corresponde, primero, establecer la capacidad residual del proceso de contratación </w:t>
      </w:r>
      <w:r>
        <w:t>–</w:t>
      </w:r>
      <w:r w:rsidRPr="00766C6E">
        <w:t>CRPC</w:t>
      </w:r>
      <w:r>
        <w:t>–</w:t>
      </w:r>
      <w:r w:rsidRPr="00766C6E">
        <w:t xml:space="preserve"> y, segundo, determinar si los proponentes cumplen con la capacidad residual del proceso de contratación, claro está, teniendo en cuenta la siguiente información aportada por el proponente:</w:t>
      </w:r>
    </w:p>
    <w:p w:rsidRPr="00766C6E" w:rsidR="00C33138" w:rsidP="00C33138" w:rsidRDefault="00C33138" w14:paraId="1674275E" w14:textId="77777777">
      <w:pPr>
        <w:pStyle w:val="Textoindependiente"/>
        <w:ind w:left="709" w:right="760"/>
        <w:jc w:val="both"/>
        <w:rPr>
          <w:sz w:val="21"/>
          <w:szCs w:val="21"/>
        </w:rPr>
      </w:pPr>
    </w:p>
    <w:p w:rsidRPr="00BB10ED" w:rsidR="00C33138" w:rsidP="00C33138" w:rsidRDefault="00C33138" w14:paraId="0116EF62" w14:textId="77777777">
      <w:pPr>
        <w:pStyle w:val="Textoindependiente"/>
        <w:numPr>
          <w:ilvl w:val="0"/>
          <w:numId w:val="2"/>
        </w:numPr>
        <w:tabs>
          <w:tab w:val="left" w:pos="993"/>
        </w:tabs>
        <w:spacing w:after="120"/>
        <w:ind w:left="709" w:right="760" w:firstLine="0"/>
        <w:jc w:val="both"/>
        <w:rPr>
          <w:sz w:val="21"/>
          <w:szCs w:val="21"/>
        </w:rPr>
      </w:pPr>
      <w:r w:rsidRPr="00BB10ED">
        <w:rPr>
          <w:sz w:val="21"/>
          <w:szCs w:val="21"/>
        </w:rPr>
        <w:t>La lista de los Contratos en Ejecución, así como el valor y plazo de tales con</w:t>
      </w:r>
      <w:r w:rsidRPr="00DE3BBC">
        <w:rPr>
          <w:sz w:val="21"/>
          <w:szCs w:val="21"/>
        </w:rPr>
        <w:t>tratos.</w:t>
      </w:r>
    </w:p>
    <w:p w:rsidRPr="00766C6E" w:rsidR="00C33138" w:rsidP="00C33138" w:rsidRDefault="00C33138" w14:paraId="67EA38D9" w14:textId="77777777">
      <w:pPr>
        <w:pStyle w:val="Textoindependiente"/>
        <w:numPr>
          <w:ilvl w:val="0"/>
          <w:numId w:val="2"/>
        </w:numPr>
        <w:tabs>
          <w:tab w:val="left" w:pos="993"/>
        </w:tabs>
        <w:spacing w:after="120"/>
        <w:ind w:left="709" w:right="760" w:firstLine="0"/>
        <w:jc w:val="both"/>
        <w:rPr>
          <w:sz w:val="21"/>
          <w:szCs w:val="21"/>
        </w:rPr>
      </w:pPr>
      <w:r w:rsidRPr="00766C6E">
        <w:rPr>
          <w:sz w:val="21"/>
          <w:szCs w:val="21"/>
        </w:rPr>
        <w:t>La lista de los Contratos en Ejecución, suscritos por sociedades, consorcios o uniones temporales, en los cuales el proponente tenga participación, así como el valor y plazo de tales contratos.</w:t>
      </w:r>
    </w:p>
    <w:p w:rsidRPr="00766C6E" w:rsidR="00C33138" w:rsidP="00C33138" w:rsidRDefault="00C33138" w14:paraId="1F93CA28" w14:textId="77777777">
      <w:pPr>
        <w:pStyle w:val="Textoindependiente"/>
        <w:numPr>
          <w:ilvl w:val="0"/>
          <w:numId w:val="2"/>
        </w:numPr>
        <w:tabs>
          <w:tab w:val="left" w:pos="993"/>
        </w:tabs>
        <w:ind w:left="709" w:right="760" w:firstLine="0"/>
        <w:jc w:val="both"/>
        <w:rPr>
          <w:sz w:val="21"/>
          <w:szCs w:val="21"/>
        </w:rPr>
      </w:pPr>
      <w:r w:rsidRPr="00766C6E">
        <w:rPr>
          <w:sz w:val="21"/>
          <w:szCs w:val="21"/>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rsidRPr="00766C6E" w:rsidR="00C33138" w:rsidP="00C33138" w:rsidRDefault="00C33138" w14:paraId="03BF2000" w14:textId="77777777">
      <w:pPr>
        <w:pStyle w:val="Textoindependiente"/>
        <w:spacing w:line="276" w:lineRule="auto"/>
        <w:ind w:right="51" w:firstLine="709"/>
        <w:jc w:val="both"/>
      </w:pPr>
    </w:p>
    <w:p w:rsidRPr="00766C6E" w:rsidR="00C33138" w:rsidP="00C33138" w:rsidRDefault="00C33138" w14:paraId="563B4DB5" w14:textId="3213CFEC">
      <w:pPr>
        <w:pStyle w:val="Textoindependiente"/>
        <w:spacing w:line="276" w:lineRule="auto"/>
        <w:ind w:right="51" w:firstLine="709"/>
        <w:jc w:val="both"/>
      </w:pPr>
      <w:r w:rsidRPr="00766C6E">
        <w:t xml:space="preserve">Ahora bien, para lo primero, esto es, para establecer la capacidad residual del proceso de contratación </w:t>
      </w:r>
      <w:r>
        <w:t>–</w:t>
      </w:r>
      <w:r w:rsidRPr="00766C6E">
        <w:t>CRPC</w:t>
      </w:r>
      <w:r>
        <w:t>–</w:t>
      </w:r>
      <w:r w:rsidRPr="00766C6E">
        <w:t>, se debe establecer si el plazo del contrato es superior de doce</w:t>
      </w:r>
      <w:r>
        <w:t xml:space="preserve"> (12)</w:t>
      </w:r>
      <w:r w:rsidRPr="00766C6E">
        <w:t xml:space="preserve"> meses. Si no lo es, la CRPC equivale al presupuesto oficial estimado del </w:t>
      </w:r>
      <w:r w:rsidR="004D6C10">
        <w:t>p</w:t>
      </w:r>
      <w:r w:rsidRPr="00766C6E">
        <w:t xml:space="preserve">roceso de </w:t>
      </w:r>
      <w:r w:rsidR="004D6C10">
        <w:t>c</w:t>
      </w:r>
      <w:r w:rsidRPr="00766C6E">
        <w:t xml:space="preserve">ontratación menos el anticipo o pago anticipado cuando haya lugar. </w:t>
      </w:r>
      <w:r>
        <w:t>De lo contrario</w:t>
      </w:r>
      <w:r w:rsidRPr="00766C6E">
        <w:t>, equivale a la proporción lineal de 12 meses del presupuesto oficial estimado menos el anticipo o pago anticipado.</w:t>
      </w:r>
    </w:p>
    <w:p w:rsidRPr="00766C6E" w:rsidR="00C33138" w:rsidP="00C33138" w:rsidRDefault="00C33138" w14:paraId="3C20EAF3" w14:textId="6AA353B0">
      <w:pPr>
        <w:pStyle w:val="Textoindependiente"/>
        <w:spacing w:before="120" w:line="276" w:lineRule="auto"/>
        <w:ind w:right="51" w:firstLine="709"/>
        <w:jc w:val="both"/>
      </w:pPr>
      <w:r w:rsidRPr="00766C6E">
        <w:t xml:space="preserve">Para lo segundo, es decir, verificar que cada proponente cumple con la CRPC, la entidad pública debe verificar que la capacidad residual del proponente </w:t>
      </w:r>
      <w:r>
        <w:t>–</w:t>
      </w:r>
      <w:r w:rsidR="007462F3">
        <w:t xml:space="preserve">en adelante </w:t>
      </w:r>
      <w:r w:rsidRPr="00766C6E">
        <w:t>CRP</w:t>
      </w:r>
      <w:r>
        <w:t>–</w:t>
      </w:r>
      <w:r w:rsidRPr="00766C6E">
        <w:t xml:space="preserve"> sea igual o superior a la capacidad referida en el párrafo precedente. De todas formas, previamente debe establecer la CRP, con fundamento en los siguientes factores: i) experiencia </w:t>
      </w:r>
      <w:r>
        <w:t>–</w:t>
      </w:r>
      <w:r w:rsidRPr="00766C6E">
        <w:t>E</w:t>
      </w:r>
      <w:r>
        <w:t>–</w:t>
      </w:r>
      <w:r w:rsidRPr="00766C6E">
        <w:t xml:space="preserve">; ii) capacidad financiera </w:t>
      </w:r>
      <w:r>
        <w:t>–</w:t>
      </w:r>
      <w:r w:rsidRPr="00766C6E">
        <w:t>CF</w:t>
      </w:r>
      <w:r>
        <w:t>–,</w:t>
      </w:r>
      <w:r w:rsidRPr="00766C6E">
        <w:t xml:space="preserve"> iii) capacidad técnica </w:t>
      </w:r>
      <w:r>
        <w:t>–</w:t>
      </w:r>
      <w:r w:rsidRPr="00766C6E">
        <w:t>CT</w:t>
      </w:r>
      <w:r>
        <w:t>–</w:t>
      </w:r>
      <w:r w:rsidRPr="00766C6E">
        <w:t xml:space="preserve">, iv) capacidad de organización </w:t>
      </w:r>
      <w:r>
        <w:t>–</w:t>
      </w:r>
      <w:r w:rsidRPr="00766C6E">
        <w:t>CO</w:t>
      </w:r>
      <w:r>
        <w:t>–</w:t>
      </w:r>
      <w:r w:rsidRPr="00766C6E">
        <w:t xml:space="preserve"> y v) los saldos de los contratos en ejecución </w:t>
      </w:r>
      <w:r>
        <w:t>–</w:t>
      </w:r>
      <w:r w:rsidRPr="00766C6E">
        <w:t>SCE</w:t>
      </w:r>
      <w:r>
        <w:t>–</w:t>
      </w:r>
      <w:r w:rsidRPr="00766C6E">
        <w:t>, según la siguiente formula:</w:t>
      </w:r>
    </w:p>
    <w:p w:rsidRPr="00766C6E" w:rsidR="00C33138" w:rsidP="00C33138" w:rsidRDefault="00C33138" w14:paraId="55E25015" w14:textId="77777777">
      <w:pPr>
        <w:pStyle w:val="Textoindependiente"/>
        <w:tabs>
          <w:tab w:val="left" w:pos="709"/>
          <w:tab w:val="left" w:pos="8080"/>
        </w:tabs>
        <w:spacing w:before="10"/>
        <w:ind w:right="49"/>
        <w:rPr>
          <w:sz w:val="18"/>
        </w:rPr>
      </w:pPr>
      <w:r w:rsidRPr="00766C6E">
        <w:rPr>
          <w:noProof/>
          <w:lang w:val="es-CO" w:eastAsia="es-CO" w:bidi="ar-SA"/>
        </w:rPr>
        <w:lastRenderedPageBreak/>
        <w:drawing>
          <wp:anchor distT="0" distB="0" distL="0" distR="0" simplePos="0" relativeHeight="251659264" behindDoc="0" locked="0" layoutInCell="1" allowOverlap="1" wp14:anchorId="75B39F62" wp14:editId="06F6573C">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638040" cy="674370"/>
                    </a:xfrm>
                    <a:prstGeom prst="rect">
                      <a:avLst/>
                    </a:prstGeom>
                  </pic:spPr>
                </pic:pic>
              </a:graphicData>
            </a:graphic>
            <wp14:sizeRelH relativeFrom="margin">
              <wp14:pctWidth>0</wp14:pctWidth>
            </wp14:sizeRelH>
          </wp:anchor>
        </w:drawing>
      </w:r>
      <w:r w:rsidR="32542D46">
        <w:rPr/>
        <w:t/>
      </w:r>
    </w:p>
    <w:p w:rsidRPr="00766C6E" w:rsidR="00C33138" w:rsidP="00C33138" w:rsidRDefault="00C33138" w14:paraId="66270D5E" w14:textId="77777777">
      <w:pPr>
        <w:pStyle w:val="Textoindependiente"/>
        <w:spacing w:before="120" w:line="276" w:lineRule="auto"/>
        <w:ind w:right="51" w:firstLine="709"/>
        <w:jc w:val="both"/>
      </w:pPr>
    </w:p>
    <w:p w:rsidRPr="00766C6E" w:rsidR="00C33138" w:rsidP="00C33138" w:rsidRDefault="00C33138" w14:paraId="0338C3E4" w14:textId="77777777">
      <w:pPr>
        <w:pStyle w:val="Textoindependiente"/>
        <w:spacing w:before="120" w:line="276" w:lineRule="auto"/>
        <w:ind w:right="51" w:firstLine="709"/>
        <w:jc w:val="both"/>
      </w:pPr>
      <w:r w:rsidRPr="00766C6E">
        <w:t>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rsidRPr="00766C6E" w:rsidR="00C33138" w:rsidP="00C33138" w:rsidRDefault="00C33138" w14:paraId="33BFB528" w14:textId="4150C1E6">
      <w:pPr>
        <w:pStyle w:val="Textoindependiente"/>
        <w:numPr>
          <w:ilvl w:val="0"/>
          <w:numId w:val="3"/>
        </w:numPr>
        <w:tabs>
          <w:tab w:val="left" w:pos="993"/>
        </w:tabs>
        <w:spacing w:before="120" w:line="276" w:lineRule="auto"/>
        <w:ind w:left="0" w:right="51" w:firstLine="709"/>
        <w:jc w:val="both"/>
        <w:rPr>
          <w:i/>
          <w:iCs/>
        </w:rPr>
      </w:pPr>
      <w:r w:rsidRPr="00766C6E">
        <w:rPr>
          <w:i/>
          <w:iCs/>
        </w:rPr>
        <w:t>Capacidad financiera.</w:t>
      </w:r>
      <w:r w:rsidRPr="00766C6E">
        <w:t xml:space="preserve"> Se mide por el «índice de liquidez» y este, a su vez, corresponde al resulta</w:t>
      </w:r>
      <w:r w:rsidR="00FB0B4F">
        <w:t>do</w:t>
      </w:r>
      <w:r w:rsidRPr="00766C6E">
        <w:t xml:space="preserve"> de dividir el «activo corriente» sobre el «pasivo corriente». El resultado puede ser calificado entre 20 y cuarenta puntos, según se explica en la Guía.</w:t>
      </w:r>
    </w:p>
    <w:p w:rsidRPr="00766C6E" w:rsidR="00C33138" w:rsidP="00C33138" w:rsidRDefault="00C33138" w14:paraId="5C958344" w14:textId="77777777">
      <w:pPr>
        <w:pStyle w:val="Textoindependiente"/>
        <w:numPr>
          <w:ilvl w:val="0"/>
          <w:numId w:val="3"/>
        </w:numPr>
        <w:tabs>
          <w:tab w:val="left" w:pos="993"/>
        </w:tabs>
        <w:spacing w:before="120" w:line="276" w:lineRule="auto"/>
        <w:ind w:left="0" w:right="51" w:firstLine="709"/>
        <w:jc w:val="both"/>
        <w:rPr>
          <w:i/>
          <w:iCs/>
        </w:rPr>
      </w:pPr>
      <w:r w:rsidRPr="00766C6E">
        <w:rPr>
          <w:i/>
          <w:iCs/>
        </w:rPr>
        <w:t>Capacidad técnica</w:t>
      </w:r>
      <w:r w:rsidRPr="00766C6E">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rsidRPr="00766C6E" w:rsidR="00C33138" w:rsidP="00C33138" w:rsidRDefault="00C33138" w14:paraId="6ED9C056" w14:textId="77777777">
      <w:pPr>
        <w:pStyle w:val="Textoindependiente"/>
        <w:numPr>
          <w:ilvl w:val="0"/>
          <w:numId w:val="3"/>
        </w:numPr>
        <w:tabs>
          <w:tab w:val="left" w:pos="993"/>
        </w:tabs>
        <w:spacing w:before="120" w:line="276" w:lineRule="auto"/>
        <w:ind w:left="0" w:right="51" w:firstLine="709"/>
        <w:jc w:val="both"/>
        <w:rPr>
          <w:i/>
          <w:iCs/>
        </w:rPr>
      </w:pPr>
      <w:r w:rsidRPr="00766C6E">
        <w:rPr>
          <w:i/>
          <w:iCs/>
        </w:rPr>
        <w:t>Capacidad de organización</w:t>
      </w:r>
      <w:r w:rsidRPr="00766C6E">
        <w:t>. Corresponde a los ingresos operacionales, según el siguiente cuadro:</w:t>
      </w:r>
    </w:p>
    <w:p w:rsidRPr="00766C6E" w:rsidR="00C33138" w:rsidP="00C33138" w:rsidRDefault="00C33138" w14:paraId="32B48E04" w14:textId="77777777">
      <w:pPr>
        <w:pStyle w:val="Textoindependiente"/>
        <w:tabs>
          <w:tab w:val="left" w:pos="993"/>
        </w:tabs>
        <w:spacing w:line="276" w:lineRule="auto"/>
        <w:ind w:left="709" w:right="51"/>
        <w:jc w:val="both"/>
        <w:rPr>
          <w:i/>
          <w:iCs/>
        </w:rPr>
      </w:pPr>
    </w:p>
    <w:tbl>
      <w:tblPr>
        <w:tblStyle w:val="Tablaconcuadrcula"/>
        <w:tblW w:w="7366" w:type="dxa"/>
        <w:tblInd w:w="709" w:type="dxa"/>
        <w:tblLook w:val="04A0" w:firstRow="1" w:lastRow="0" w:firstColumn="1" w:lastColumn="0" w:noHBand="0" w:noVBand="1"/>
      </w:tblPr>
      <w:tblGrid>
        <w:gridCol w:w="4053"/>
        <w:gridCol w:w="3313"/>
      </w:tblGrid>
      <w:tr w:rsidRPr="00766C6E" w:rsidR="00C33138" w:rsidTr="002B61C2" w14:paraId="41604CBA" w14:textId="77777777">
        <w:tc>
          <w:tcPr>
            <w:tcW w:w="4053" w:type="dxa"/>
            <w:shd w:val="clear" w:color="auto" w:fill="D9D9D9" w:themeFill="background1" w:themeFillShade="D9"/>
          </w:tcPr>
          <w:p w:rsidRPr="00766C6E" w:rsidR="00C33138" w:rsidP="002B61C2" w:rsidRDefault="00C33138" w14:paraId="53B90326" w14:textId="77777777">
            <w:pPr>
              <w:pStyle w:val="Textoindependiente"/>
              <w:tabs>
                <w:tab w:val="left" w:pos="993"/>
              </w:tabs>
              <w:spacing w:before="120" w:line="276" w:lineRule="auto"/>
              <w:ind w:right="51"/>
              <w:jc w:val="center"/>
              <w:rPr>
                <w:b/>
                <w:bCs/>
                <w:sz w:val="21"/>
                <w:szCs w:val="21"/>
              </w:rPr>
            </w:pPr>
            <w:r w:rsidRPr="00766C6E">
              <w:rPr>
                <w:b/>
                <w:bCs/>
                <w:sz w:val="21"/>
                <w:szCs w:val="21"/>
              </w:rPr>
              <w:t>Años de información financiera</w:t>
            </w:r>
          </w:p>
        </w:tc>
        <w:tc>
          <w:tcPr>
            <w:tcW w:w="3313" w:type="dxa"/>
            <w:shd w:val="clear" w:color="auto" w:fill="D9D9D9" w:themeFill="background1" w:themeFillShade="D9"/>
          </w:tcPr>
          <w:p w:rsidRPr="00766C6E" w:rsidR="00C33138" w:rsidP="002B61C2" w:rsidRDefault="00C33138" w14:paraId="7BBA9E85" w14:textId="77777777">
            <w:pPr>
              <w:pStyle w:val="Textoindependiente"/>
              <w:tabs>
                <w:tab w:val="left" w:pos="993"/>
              </w:tabs>
              <w:spacing w:before="120" w:line="276" w:lineRule="auto"/>
              <w:ind w:right="51"/>
              <w:jc w:val="center"/>
              <w:rPr>
                <w:b/>
                <w:bCs/>
                <w:sz w:val="21"/>
                <w:szCs w:val="21"/>
              </w:rPr>
            </w:pPr>
            <w:r w:rsidRPr="00766C6E">
              <w:rPr>
                <w:b/>
                <w:bCs/>
                <w:sz w:val="21"/>
                <w:szCs w:val="21"/>
              </w:rPr>
              <w:t>Capacidad de organización</w:t>
            </w:r>
          </w:p>
        </w:tc>
      </w:tr>
      <w:tr w:rsidRPr="00766C6E" w:rsidR="00C33138" w:rsidTr="002B61C2" w14:paraId="5BFB9F00" w14:textId="77777777">
        <w:tc>
          <w:tcPr>
            <w:tcW w:w="4053" w:type="dxa"/>
          </w:tcPr>
          <w:p w:rsidRPr="00766C6E" w:rsidR="00C33138" w:rsidP="002B61C2" w:rsidRDefault="00C33138" w14:paraId="266C5184" w14:textId="77777777">
            <w:pPr>
              <w:pStyle w:val="Textoindependiente"/>
              <w:tabs>
                <w:tab w:val="left" w:pos="993"/>
              </w:tabs>
              <w:spacing w:before="120" w:line="276" w:lineRule="auto"/>
              <w:ind w:right="51"/>
              <w:jc w:val="both"/>
              <w:rPr>
                <w:sz w:val="21"/>
                <w:szCs w:val="21"/>
              </w:rPr>
            </w:pPr>
            <w:r w:rsidRPr="00766C6E">
              <w:rPr>
                <w:sz w:val="21"/>
                <w:szCs w:val="21"/>
              </w:rPr>
              <w:t>Cinco (5) años o más</w:t>
            </w:r>
          </w:p>
        </w:tc>
        <w:tc>
          <w:tcPr>
            <w:tcW w:w="3313" w:type="dxa"/>
          </w:tcPr>
          <w:p w:rsidRPr="00766C6E" w:rsidR="00C33138" w:rsidP="002B61C2" w:rsidRDefault="00C33138" w14:paraId="247FF58B" w14:textId="77777777">
            <w:pPr>
              <w:pStyle w:val="Textoindependiente"/>
              <w:tabs>
                <w:tab w:val="left" w:pos="993"/>
              </w:tabs>
              <w:spacing w:before="120" w:line="276" w:lineRule="auto"/>
              <w:ind w:right="51"/>
              <w:jc w:val="both"/>
              <w:rPr>
                <w:sz w:val="21"/>
                <w:szCs w:val="21"/>
              </w:rPr>
            </w:pPr>
            <w:r w:rsidRPr="00766C6E">
              <w:rPr>
                <w:sz w:val="21"/>
                <w:szCs w:val="21"/>
              </w:rPr>
              <w:t>Mayor ingreso operacional de los últimos cinco años</w:t>
            </w:r>
          </w:p>
        </w:tc>
      </w:tr>
      <w:tr w:rsidRPr="00766C6E" w:rsidR="00C33138" w:rsidTr="002B61C2" w14:paraId="7FF88C13" w14:textId="77777777">
        <w:tc>
          <w:tcPr>
            <w:tcW w:w="4053" w:type="dxa"/>
          </w:tcPr>
          <w:p w:rsidRPr="00766C6E" w:rsidR="00C33138" w:rsidP="002B61C2" w:rsidRDefault="00C33138" w14:paraId="5F0FA41B" w14:textId="77777777">
            <w:pPr>
              <w:pStyle w:val="Textoindependiente"/>
              <w:tabs>
                <w:tab w:val="left" w:pos="993"/>
              </w:tabs>
              <w:spacing w:before="120" w:line="276" w:lineRule="auto"/>
              <w:ind w:right="51"/>
              <w:jc w:val="both"/>
              <w:rPr>
                <w:sz w:val="21"/>
                <w:szCs w:val="21"/>
              </w:rPr>
            </w:pPr>
            <w:r w:rsidRPr="00766C6E">
              <w:rPr>
                <w:sz w:val="21"/>
                <w:szCs w:val="21"/>
              </w:rPr>
              <w:t>Entre uno (1) y cinco (5) años</w:t>
            </w:r>
          </w:p>
        </w:tc>
        <w:tc>
          <w:tcPr>
            <w:tcW w:w="3313" w:type="dxa"/>
          </w:tcPr>
          <w:p w:rsidRPr="00766C6E" w:rsidR="00C33138" w:rsidP="002B61C2" w:rsidRDefault="00C33138" w14:paraId="7617893B" w14:textId="77777777">
            <w:pPr>
              <w:pStyle w:val="Textoindependiente"/>
              <w:tabs>
                <w:tab w:val="left" w:pos="993"/>
              </w:tabs>
              <w:spacing w:before="120" w:line="276" w:lineRule="auto"/>
              <w:ind w:right="51"/>
              <w:jc w:val="both"/>
              <w:rPr>
                <w:sz w:val="21"/>
                <w:szCs w:val="21"/>
              </w:rPr>
            </w:pPr>
            <w:r w:rsidRPr="00766C6E">
              <w:rPr>
                <w:sz w:val="21"/>
                <w:szCs w:val="21"/>
              </w:rPr>
              <w:t>Mayor ingreso operacional de los años de vida del oferente</w:t>
            </w:r>
          </w:p>
        </w:tc>
      </w:tr>
      <w:tr w:rsidRPr="00766C6E" w:rsidR="00C33138" w:rsidTr="002B61C2" w14:paraId="526F19B3" w14:textId="77777777">
        <w:tc>
          <w:tcPr>
            <w:tcW w:w="4053" w:type="dxa"/>
          </w:tcPr>
          <w:p w:rsidRPr="00766C6E" w:rsidR="00C33138" w:rsidP="002B61C2" w:rsidRDefault="00C33138" w14:paraId="7D22A79D" w14:textId="77777777">
            <w:pPr>
              <w:pStyle w:val="Textoindependiente"/>
              <w:tabs>
                <w:tab w:val="left" w:pos="993"/>
              </w:tabs>
              <w:spacing w:before="120" w:line="276" w:lineRule="auto"/>
              <w:ind w:right="51"/>
              <w:jc w:val="both"/>
              <w:rPr>
                <w:sz w:val="21"/>
                <w:szCs w:val="21"/>
              </w:rPr>
            </w:pPr>
            <w:r w:rsidRPr="00766C6E">
              <w:rPr>
                <w:sz w:val="21"/>
                <w:szCs w:val="21"/>
              </w:rPr>
              <w:t>Menos de un (1) año</w:t>
            </w:r>
          </w:p>
        </w:tc>
        <w:tc>
          <w:tcPr>
            <w:tcW w:w="3313" w:type="dxa"/>
          </w:tcPr>
          <w:p w:rsidRPr="00766C6E" w:rsidR="00C33138" w:rsidP="002B61C2" w:rsidRDefault="00C33138" w14:paraId="358535D6" w14:textId="77777777">
            <w:pPr>
              <w:pStyle w:val="Textoindependiente"/>
              <w:tabs>
                <w:tab w:val="left" w:pos="993"/>
              </w:tabs>
              <w:spacing w:before="120" w:line="276" w:lineRule="auto"/>
              <w:ind w:right="51"/>
              <w:jc w:val="both"/>
              <w:rPr>
                <w:sz w:val="21"/>
                <w:szCs w:val="21"/>
              </w:rPr>
            </w:pPr>
            <w:r w:rsidRPr="00766C6E">
              <w:rPr>
                <w:sz w:val="21"/>
                <w:szCs w:val="21"/>
              </w:rPr>
              <w:t>USD 125.000</w:t>
            </w:r>
          </w:p>
        </w:tc>
      </w:tr>
    </w:tbl>
    <w:p w:rsidRPr="00766C6E" w:rsidR="00C33138" w:rsidP="00C33138" w:rsidRDefault="00C33138" w14:paraId="0B39C265" w14:textId="77777777">
      <w:pPr>
        <w:pStyle w:val="Textoindependiente"/>
        <w:tabs>
          <w:tab w:val="left" w:pos="993"/>
        </w:tabs>
        <w:spacing w:line="276" w:lineRule="auto"/>
        <w:ind w:left="709" w:right="51"/>
        <w:jc w:val="both"/>
        <w:rPr>
          <w:i/>
          <w:iCs/>
        </w:rPr>
      </w:pPr>
    </w:p>
    <w:p w:rsidRPr="00766C6E" w:rsidR="00C33138" w:rsidP="00C33138" w:rsidRDefault="00C33138" w14:paraId="41E3526A" w14:textId="77777777">
      <w:pPr>
        <w:pStyle w:val="Textoindependiente"/>
        <w:numPr>
          <w:ilvl w:val="0"/>
          <w:numId w:val="3"/>
        </w:numPr>
        <w:tabs>
          <w:tab w:val="left" w:pos="993"/>
        </w:tabs>
        <w:spacing w:line="276" w:lineRule="auto"/>
        <w:ind w:left="0" w:right="51" w:firstLine="709"/>
        <w:jc w:val="both"/>
      </w:pPr>
      <w:r w:rsidRPr="00766C6E">
        <w:rPr>
          <w:i/>
          <w:iCs/>
        </w:rPr>
        <w:t>Saldos de los contratos en ejecución</w:t>
      </w:r>
      <w:r w:rsidRPr="00766C6E">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rsidRPr="00766C6E" w:rsidR="00C33138" w:rsidP="00C33138" w:rsidRDefault="00C33138" w14:paraId="48DD8F6A" w14:textId="4A555F8A">
      <w:pPr>
        <w:pStyle w:val="Textoindependiente"/>
        <w:numPr>
          <w:ilvl w:val="0"/>
          <w:numId w:val="3"/>
        </w:numPr>
        <w:tabs>
          <w:tab w:val="left" w:pos="993"/>
        </w:tabs>
        <w:spacing w:before="120" w:line="276" w:lineRule="auto"/>
        <w:ind w:left="0" w:right="51" w:firstLine="709"/>
        <w:jc w:val="both"/>
      </w:pPr>
      <w:r w:rsidRPr="00766C6E">
        <w:rPr>
          <w:i/>
          <w:iCs/>
        </w:rPr>
        <w:t>Experiencia</w:t>
      </w:r>
      <w:r w:rsidRPr="00766C6E">
        <w:t>. Para efectos de la capacidad residual</w:t>
      </w:r>
      <w:r w:rsidR="00F6791C">
        <w:t xml:space="preserve">, </w:t>
      </w:r>
      <w:r w:rsidRPr="00766C6E">
        <w:t xml:space="preserve">corresponde a la relación entre «el valor total en pesos de los contratos relacionados con la actividad de la construcción inscritos por el proponente en el Registro Único de Proponentes </w:t>
      </w:r>
      <w:r>
        <w:t>–</w:t>
      </w:r>
      <w:r w:rsidRPr="00766C6E">
        <w:t>RUP</w:t>
      </w:r>
      <w:r>
        <w:t>–</w:t>
      </w:r>
      <w:r w:rsidRPr="00766C6E">
        <w:t xml:space="preserve"> en el segmento 72 […] del Clasificador de Bienes y Servicios», de un lado, y el presupuesto oficial estimado del Proceso de Contratación, del otro. La relación indica el número de veces que el proponente ha ejecutado contratos equivalentes a la cuantía del proceso de </w:t>
      </w:r>
      <w:r w:rsidRPr="00766C6E">
        <w:lastRenderedPageBreak/>
        <w:t>contratación, según se explica en esta fórmula:</w:t>
      </w:r>
    </w:p>
    <w:p w:rsidRPr="00766C6E" w:rsidR="00C33138" w:rsidP="00C33138" w:rsidRDefault="00C33138" w14:paraId="76D3A65A" w14:textId="77777777">
      <w:pPr>
        <w:pStyle w:val="Textoindependiente"/>
        <w:spacing w:line="276" w:lineRule="auto"/>
        <w:ind w:right="51"/>
        <w:jc w:val="both"/>
      </w:pPr>
    </w:p>
    <w:p w:rsidRPr="00766C6E" w:rsidR="00C33138" w:rsidP="00C33138" w:rsidRDefault="00C33138" w14:paraId="30A1CA86" w14:textId="77777777">
      <w:pPr>
        <w:pStyle w:val="Textoindependiente"/>
        <w:spacing w:line="276" w:lineRule="auto"/>
        <w:ind w:left="709" w:right="758"/>
        <w:jc w:val="both"/>
      </w:pPr>
      <w:r w:rsidR="00C33138">
        <w:drawing>
          <wp:inline wp14:editId="32542D46" wp14:anchorId="337D4A2D">
            <wp:extent cx="4696459" cy="615315"/>
            <wp:effectExtent l="0" t="0" r="8890" b="0"/>
            <wp:docPr id="1996789253" name="Imagen 6" title=""/>
            <wp:cNvGraphicFramePr>
              <a:graphicFrameLocks noChangeAspect="1"/>
            </wp:cNvGraphicFramePr>
            <a:graphic>
              <a:graphicData uri="http://schemas.openxmlformats.org/drawingml/2006/picture">
                <pic:pic>
                  <pic:nvPicPr>
                    <pic:cNvPr id="0" name="Imagen 6"/>
                    <pic:cNvPicPr/>
                  </pic:nvPicPr>
                  <pic:blipFill>
                    <a:blip r:embed="Rb5d3f4bb92fc4f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96459" cy="615315"/>
                    </a:xfrm>
                    <a:prstGeom prst="rect">
                      <a:avLst/>
                    </a:prstGeom>
                  </pic:spPr>
                </pic:pic>
              </a:graphicData>
            </a:graphic>
          </wp:inline>
        </w:drawing>
      </w:r>
    </w:p>
    <w:p w:rsidRPr="00766C6E" w:rsidR="00C33138" w:rsidP="00C33138" w:rsidRDefault="00C33138" w14:paraId="49E34C06" w14:textId="77777777">
      <w:pPr>
        <w:pStyle w:val="Textoindependiente"/>
        <w:spacing w:line="276" w:lineRule="auto"/>
        <w:ind w:right="51"/>
        <w:jc w:val="both"/>
      </w:pPr>
    </w:p>
    <w:p w:rsidRPr="00766C6E" w:rsidR="00C33138" w:rsidP="00C33138" w:rsidRDefault="00C33138" w14:paraId="2FE857C0" w14:textId="77777777">
      <w:pPr>
        <w:pStyle w:val="Textoindependiente"/>
        <w:spacing w:line="276" w:lineRule="auto"/>
        <w:ind w:right="51" w:firstLine="709"/>
        <w:jc w:val="both"/>
      </w:pPr>
      <w:r w:rsidRPr="00766C6E">
        <w:t>Resulta del caso precisar que si bien es cierto que es la entidad estatal la que debe calcular la capacidad residual de los proponentes, también lo es que estos últimos, como ya se dijo, tienen como carga aportar los documentos para acreditar</w:t>
      </w:r>
      <w:r>
        <w:t>la</w:t>
      </w:r>
      <w:r w:rsidRPr="00766C6E">
        <w:rPr>
          <w:rStyle w:val="Refdenotaalpie"/>
        </w:rPr>
        <w:footnoteReference w:id="3"/>
      </w:r>
      <w:r w:rsidRPr="00766C6E">
        <w:t xml:space="preserve">. Al respecto, la Circular Externa Única de Colombia Compra Eficiente, en el punto 7, </w:t>
      </w:r>
      <w:r>
        <w:t xml:space="preserve">dispone </w:t>
      </w:r>
      <w:r w:rsidRPr="00766C6E">
        <w:t>lo siguiente:</w:t>
      </w:r>
    </w:p>
    <w:p w:rsidRPr="00766C6E" w:rsidR="00C33138" w:rsidP="00C33138" w:rsidRDefault="00C33138" w14:paraId="7F7B24DB" w14:textId="77777777">
      <w:pPr>
        <w:pStyle w:val="Textoindependiente"/>
        <w:spacing w:line="276" w:lineRule="auto"/>
        <w:ind w:right="51" w:firstLine="709"/>
        <w:jc w:val="both"/>
      </w:pPr>
    </w:p>
    <w:p w:rsidRPr="00766C6E" w:rsidR="00C33138" w:rsidP="00C33138" w:rsidRDefault="00C33138" w14:paraId="3241EA08" w14:textId="77777777">
      <w:pPr>
        <w:pStyle w:val="Textoindependiente"/>
        <w:ind w:left="709" w:right="709"/>
        <w:jc w:val="both"/>
        <w:rPr>
          <w:sz w:val="21"/>
          <w:szCs w:val="21"/>
        </w:rPr>
      </w:pPr>
      <w:r w:rsidRPr="00766C6E">
        <w:rPr>
          <w:sz w:val="21"/>
          <w:szCs w:val="21"/>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rsidRPr="00766C6E" w:rsidR="00C33138" w:rsidP="00C33138" w:rsidRDefault="00C33138" w14:paraId="25BC1424" w14:textId="77777777">
      <w:pPr>
        <w:pStyle w:val="Textoindependiente"/>
        <w:ind w:left="709" w:right="709"/>
        <w:jc w:val="both"/>
        <w:rPr>
          <w:sz w:val="21"/>
          <w:szCs w:val="21"/>
        </w:rPr>
      </w:pPr>
    </w:p>
    <w:p w:rsidRPr="00766C6E" w:rsidR="00C33138" w:rsidP="00C33138" w:rsidRDefault="00C33138" w14:paraId="3B5D7DBF" w14:textId="77777777">
      <w:pPr>
        <w:pStyle w:val="Textoindependiente"/>
        <w:ind w:left="709" w:right="709"/>
        <w:jc w:val="both"/>
        <w:rPr>
          <w:sz w:val="21"/>
          <w:szCs w:val="21"/>
        </w:rPr>
      </w:pPr>
      <w:r w:rsidRPr="00766C6E">
        <w:rPr>
          <w:sz w:val="21"/>
          <w:szCs w:val="21"/>
        </w:rPr>
        <w:t xml:space="preserve">La “Guía para determinar y verificar la Capacidad Residual del proponente en los procesos de contratación de obra pública” y el aplicativo de Excel están disponibles en la página web: </w:t>
      </w:r>
      <w:hyperlink w:history="1" r:id="rId9">
        <w:r w:rsidRPr="00766C6E">
          <w:rPr>
            <w:rStyle w:val="Hipervnculo"/>
            <w:sz w:val="21"/>
            <w:szCs w:val="21"/>
          </w:rPr>
          <w:t>https://www.colombiacompra.gov.co/manuales-guias-y-pliegos-tipo/manuales-y-guias</w:t>
        </w:r>
      </w:hyperlink>
    </w:p>
    <w:p w:rsidRPr="00F317B0" w:rsidR="00C33138" w:rsidP="00C33138" w:rsidRDefault="00C33138" w14:paraId="0CADEBF8" w14:textId="77777777">
      <w:pPr>
        <w:pStyle w:val="Textoindependiente"/>
        <w:ind w:left="709" w:right="760"/>
        <w:jc w:val="both"/>
      </w:pPr>
    </w:p>
    <w:p w:rsidRPr="00766C6E" w:rsidR="00C33138" w:rsidP="00C33138" w:rsidRDefault="00C33138" w14:paraId="07424BEF" w14:textId="40D0188F">
      <w:pPr>
        <w:pStyle w:val="Textoindependiente"/>
        <w:spacing w:line="276" w:lineRule="auto"/>
        <w:ind w:right="51" w:firstLine="709"/>
        <w:jc w:val="both"/>
      </w:pPr>
      <w:r w:rsidRPr="00766C6E">
        <w:t xml:space="preserve">Para acreditar el factor experiencia </w:t>
      </w:r>
      <w:r>
        <w:t>–</w:t>
      </w:r>
      <w:r w:rsidRPr="00766C6E">
        <w:t>E</w:t>
      </w:r>
      <w:r>
        <w:t>–</w:t>
      </w:r>
      <w:r w:rsidRPr="00766C6E">
        <w:t xml:space="preserve">, el proponente debe suscribir el formato correspondiente al </w:t>
      </w:r>
      <w:r>
        <w:t>a</w:t>
      </w:r>
      <w:r w:rsidRPr="00766C6E">
        <w:t xml:space="preserve">nexo 1 de la «Guía para Determinar y Verificar la Capacidad Residual del Proponente en los Procesos de Contratación de Obra Pública», el cual debe ser diligenciado, por un lado, con los contratos inscritos en el segmento 72 y, por el otro, con el valor total de dichos contratos expresado en pesos colombianos y liquidados con el SMMLV. El Anexo 1 es </w:t>
      </w:r>
      <w:r>
        <w:t>e</w:t>
      </w:r>
      <w:r w:rsidRPr="00766C6E">
        <w:t>l siguiente:</w:t>
      </w:r>
    </w:p>
    <w:p w:rsidRPr="00766C6E" w:rsidR="00C33138" w:rsidP="00C33138" w:rsidRDefault="00C33138" w14:paraId="48DEB118" w14:textId="77777777">
      <w:pPr>
        <w:pStyle w:val="Textoindependiente"/>
        <w:spacing w:before="120" w:line="276" w:lineRule="auto"/>
        <w:ind w:right="51"/>
        <w:jc w:val="center"/>
      </w:pPr>
      <w:r w:rsidR="00C33138">
        <w:drawing>
          <wp:inline wp14:editId="1251329A" wp14:anchorId="7B0B88E5">
            <wp:extent cx="3701845" cy="3599411"/>
            <wp:effectExtent l="0" t="0" r="0" b="1270"/>
            <wp:docPr id="889191954" name="Imagen 8" title=""/>
            <wp:cNvGraphicFramePr>
              <a:graphicFrameLocks noChangeAspect="1"/>
            </wp:cNvGraphicFramePr>
            <a:graphic>
              <a:graphicData uri="http://schemas.openxmlformats.org/drawingml/2006/picture">
                <pic:pic>
                  <pic:nvPicPr>
                    <pic:cNvPr id="0" name="Imagen 8"/>
                    <pic:cNvPicPr/>
                  </pic:nvPicPr>
                  <pic:blipFill>
                    <a:blip r:embed="R1c11e15dc12c47c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1845" cy="3599411"/>
                    </a:xfrm>
                    <a:prstGeom prst="rect">
                      <a:avLst/>
                    </a:prstGeom>
                  </pic:spPr>
                </pic:pic>
              </a:graphicData>
            </a:graphic>
          </wp:inline>
        </w:drawing>
      </w:r>
    </w:p>
    <w:p w:rsidRPr="00766C6E" w:rsidR="00C33138" w:rsidP="00C33138" w:rsidRDefault="00C33138" w14:paraId="0DD2F68A" w14:textId="1EC8858C">
      <w:pPr>
        <w:pStyle w:val="Textoindependiente"/>
        <w:spacing w:before="120" w:line="276" w:lineRule="auto"/>
        <w:ind w:right="51" w:firstLine="709"/>
        <w:jc w:val="both"/>
      </w:pPr>
      <w:r w:rsidRPr="00766C6E">
        <w:t xml:space="preserve">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que para efectos prácticos el </w:t>
      </w:r>
      <w:r>
        <w:t>a</w:t>
      </w:r>
      <w:r w:rsidRPr="00766C6E">
        <w:t xml:space="preserve">nexo 1 </w:t>
      </w:r>
      <w:r>
        <w:t>hace</w:t>
      </w:r>
      <w:r w:rsidRPr="00766C6E">
        <w:t xml:space="preserve"> referencia: i) al contrato relacionado con la actividad de la construcción −segmento 72, clasificador UNSPSC− y ii) al valor de cada uno de esos contratos de acuerdo a los salarios mínimos mensuales legales vigentes </w:t>
      </w:r>
      <w:r>
        <w:t>–</w:t>
      </w:r>
      <w:r w:rsidRPr="00766C6E">
        <w:t>SMMLV</w:t>
      </w:r>
      <w:r>
        <w:t>–</w:t>
      </w:r>
      <w:r w:rsidRPr="00766C6E">
        <w:t xml:space="preserve"> registrados en el RUP.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rsidRPr="00B30DB3" w:rsidR="00C33138" w:rsidP="00B30DB3" w:rsidRDefault="00C33138" w14:paraId="299DACC5" w14:textId="59F8B7E6">
      <w:pPr>
        <w:spacing w:before="120" w:line="276" w:lineRule="auto"/>
        <w:ind w:right="51" w:firstLine="709"/>
        <w:jc w:val="both"/>
        <w:rPr>
          <w:sz w:val="22"/>
          <w:lang w:val="es-ES"/>
        </w:rPr>
      </w:pPr>
      <w:r w:rsidRPr="00782237">
        <w:rPr>
          <w:rFonts w:ascii="Arial" w:hAnsi="Arial" w:eastAsia="Arial" w:cs="Arial"/>
          <w:sz w:val="22"/>
          <w:lang w:val="es-ES" w:eastAsia="es-ES" w:bidi="es-ES"/>
        </w:rPr>
        <w:t>De todos modos, el valor total de los contratos referidos en el anexo 1 debe liquidarse en pesos colombianos</w:t>
      </w:r>
      <w:r w:rsidRPr="00782237" w:rsidR="009464CA">
        <w:rPr>
          <w:rFonts w:ascii="Arial" w:hAnsi="Arial" w:eastAsia="Arial" w:cs="Arial"/>
          <w:sz w:val="22"/>
          <w:lang w:val="es-ES" w:eastAsia="es-ES" w:bidi="es-ES"/>
        </w:rPr>
        <w:t>,</w:t>
      </w:r>
      <w:r w:rsidRPr="00782237">
        <w:rPr>
          <w:rFonts w:ascii="Arial" w:hAnsi="Arial" w:eastAsia="Arial" w:cs="Arial"/>
          <w:sz w:val="22"/>
          <w:lang w:val="es-ES" w:eastAsia="es-ES" w:bidi="es-ES"/>
        </w:rPr>
        <w:t xml:space="preserve"> según el salario mínimo mensual legal vigente para el momento en el que se realiza la presentación de la oferta. Esta conversión de salarios a pesos encuentra fundamento, por un lado, en los criterios expuestos en la «Guía para Determinar y Verificar la Capacidad Residual del Proponente en los Procesos de Contratación de Obra Pública», particularmente en lo que señala el párrafo 5 de la página 7 de dicho documento. Por otro lado, se justifica en el hecho de que la fórmula a aplicar requiere que la información se exprese en pesos y no en SMMLV. </w:t>
      </w:r>
    </w:p>
    <w:p w:rsidR="0080266A" w:rsidP="004A0E6E" w:rsidRDefault="00C33138" w14:paraId="30296D97" w14:textId="2D3D5ACB">
      <w:pPr>
        <w:pStyle w:val="Textoindependiente"/>
        <w:spacing w:before="120" w:after="120" w:line="276" w:lineRule="auto"/>
        <w:ind w:right="51" w:firstLine="709"/>
        <w:jc w:val="both"/>
      </w:pPr>
      <w:r w:rsidRPr="00766C6E">
        <w:lastRenderedPageBreak/>
        <w:t>En suma, a la entidad contratante</w:t>
      </w:r>
      <w:r w:rsidR="00E954CD">
        <w:t xml:space="preserve"> le</w:t>
      </w:r>
      <w:r w:rsidRPr="00766C6E">
        <w:t xml:space="preserve"> corresponde, por una parte, establecer la capacidad residual del proceso de contratación </w:t>
      </w:r>
      <w:r>
        <w:t>–</w:t>
      </w:r>
      <w:r w:rsidRPr="00766C6E">
        <w:t>CRPC</w:t>
      </w:r>
      <w:r>
        <w:t>–</w:t>
      </w:r>
      <w:r w:rsidRPr="00766C6E">
        <w:t xml:space="preserve"> y, por la otra, determinar si los proponentes cumplen con la capacidad residual del proceso de contratación, claro está, teniendo en cuenta la información aportada por el </w:t>
      </w:r>
      <w:r>
        <w:t>oferente</w:t>
      </w:r>
      <w:r w:rsidRPr="00766C6E">
        <w:t xml:space="preserve">, y según los criterios y directrices </w:t>
      </w:r>
      <w:r>
        <w:t>de</w:t>
      </w:r>
      <w:r w:rsidRPr="00766C6E">
        <w:t xml:space="preserve"> los párrafos precedentes.</w:t>
      </w:r>
    </w:p>
    <w:p w:rsidR="00F664C3" w:rsidP="00B30DB3" w:rsidRDefault="00F43324" w14:paraId="4357699C" w14:textId="694C255C">
      <w:pPr>
        <w:pStyle w:val="Textoindependiente"/>
        <w:spacing w:before="120" w:after="120" w:line="276" w:lineRule="auto"/>
        <w:ind w:right="51" w:firstLine="709"/>
        <w:jc w:val="both"/>
      </w:pPr>
      <w:r>
        <w:t>Expuesto el régimen jurídico general</w:t>
      </w:r>
      <w:r w:rsidR="00AF7E86">
        <w:t>,</w:t>
      </w:r>
      <w:r>
        <w:t xml:space="preserve"> relacionado con la capacidad residual</w:t>
      </w:r>
      <w:r w:rsidRPr="00217A3C" w:rsidR="00066FD9">
        <w:t>,</w:t>
      </w:r>
      <w:r w:rsidR="00066FD9">
        <w:t xml:space="preserve"> </w:t>
      </w:r>
      <w:r w:rsidR="00AF7E86">
        <w:t xml:space="preserve">debe tenerse en cuenta que </w:t>
      </w:r>
      <w:r w:rsidR="00066FD9">
        <w:t xml:space="preserve">el </w:t>
      </w:r>
      <w:r w:rsidR="002F39BC">
        <w:t>m</w:t>
      </w:r>
      <w:r w:rsidR="00066FD9">
        <w:t xml:space="preserve">anual para la modalidad de selección de mínima cuantía, expedido por la Agencia Nacional de Contratación Pública – Colombia Compra Eficiente, al determinar las características propias de esta modalidad establece que </w:t>
      </w:r>
      <w:r w:rsidRPr="00066FD9" w:rsidR="00066FD9">
        <w:rPr>
          <w:i/>
        </w:rPr>
        <w:t>«en los Procesos de Contratación de obra pública en la modalidad de selección de mínima cuantía las Entidades Estatales deberán solicitar la Capacidad Residual o K de Contratación y verificarla directamente, sin solicitar RUP»</w:t>
      </w:r>
      <w:r w:rsidR="00066FD9">
        <w:t>. De ahí que se afirme que la diferencia, por ejemplo</w:t>
      </w:r>
      <w:r w:rsidR="00AF7E86">
        <w:t>,</w:t>
      </w:r>
      <w:r w:rsidR="00066FD9">
        <w:t xml:space="preserve"> con la licitación pública, </w:t>
      </w:r>
      <w:r w:rsidR="00AF7E86">
        <w:t>consiste en</w:t>
      </w:r>
      <w:r w:rsidR="00066FD9">
        <w:t xml:space="preserve"> la forma de verificación</w:t>
      </w:r>
      <w:r w:rsidR="00AF7E86">
        <w:t xml:space="preserve"> de la capacidad residual</w:t>
      </w:r>
      <w:r w:rsidR="00066FD9">
        <w:t>, m</w:t>
      </w:r>
      <w:r w:rsidR="00690FBA">
        <w:t>a</w:t>
      </w:r>
      <w:r w:rsidR="00066FD9">
        <w:t>s no su exigencia</w:t>
      </w:r>
      <w:r w:rsidR="00690FBA">
        <w:t xml:space="preserve">, toda vez que el </w:t>
      </w:r>
      <w:r w:rsidR="006F3D35">
        <w:t>último aspecto depende de la tipología contractual</w:t>
      </w:r>
      <w:r w:rsidR="00AC3992">
        <w:t>, esto es, si se trata de un contrato de obra es procedente el requisito de la capacidad residual.</w:t>
      </w:r>
    </w:p>
    <w:p w:rsidR="00F664C3" w:rsidP="00B30DB3" w:rsidRDefault="00F664C3" w14:paraId="1798CFED" w14:textId="71CE6269">
      <w:pPr>
        <w:pStyle w:val="Textoindependiente"/>
        <w:spacing w:before="120" w:after="120" w:line="276" w:lineRule="auto"/>
        <w:ind w:right="51" w:firstLine="709"/>
        <w:jc w:val="both"/>
      </w:pPr>
      <w:r>
        <w:t xml:space="preserve">Sin embargo, </w:t>
      </w:r>
      <w:r w:rsidR="00EA59E3">
        <w:t>como se desprende del manual, en el aparte transcrito, la entidad en la invitación debe establecer los requisitos y documentos que exigirá a los proponentes dirigidos a evaluar su capacidad residual, toda vez que en los procesos de mínima cuantía no resulta exigible el Registro Único de Proponentes.</w:t>
      </w:r>
    </w:p>
    <w:p w:rsidR="00544C03" w:rsidP="00B30DB3" w:rsidRDefault="00544C03" w14:paraId="4D8A3195" w14:textId="0E287F70">
      <w:pPr>
        <w:pStyle w:val="Textoindependiente"/>
        <w:spacing w:before="120" w:after="120" w:line="276" w:lineRule="auto"/>
        <w:ind w:right="51" w:firstLine="709"/>
        <w:jc w:val="both"/>
      </w:pPr>
      <w:r>
        <w:t xml:space="preserve">En suma, </w:t>
      </w:r>
      <w:r w:rsidR="00E339CE">
        <w:t xml:space="preserve">en respuesta a </w:t>
      </w:r>
      <w:r w:rsidR="00754CFD">
        <w:t xml:space="preserve">la </w:t>
      </w:r>
      <w:r w:rsidR="00E339CE">
        <w:t>pregunta</w:t>
      </w:r>
      <w:r w:rsidR="00754CFD">
        <w:t xml:space="preserve"> del peticionario</w:t>
      </w:r>
      <w:r w:rsidR="00E339CE">
        <w:t xml:space="preserve">, </w:t>
      </w:r>
      <w:r>
        <w:t xml:space="preserve">de acuerdo con las normas mencionadas, </w:t>
      </w:r>
      <w:r w:rsidR="000128E5">
        <w:t>particularmente el</w:t>
      </w:r>
      <w:r w:rsidR="00AC3992">
        <w:t xml:space="preserve"> </w:t>
      </w:r>
      <w:r w:rsidR="000128E5">
        <w:rPr>
          <w:color w:val="000000" w:themeColor="text1"/>
          <w:lang w:val="es-ES_tradnl"/>
        </w:rPr>
        <w:t xml:space="preserve">artículo 6 de la Ley 1150 de 2007 y el artículo 72 de la Ley 1682 de 2013, debido a que </w:t>
      </w:r>
      <w:r w:rsidR="00E339CE">
        <w:t>la normativa hace referencia a un</w:t>
      </w:r>
      <w:r w:rsidR="00192421">
        <w:t>a</w:t>
      </w:r>
      <w:r w:rsidR="00E339CE">
        <w:t xml:space="preserve"> tipología co</w:t>
      </w:r>
      <w:r w:rsidR="00066FD9">
        <w:t>ntra</w:t>
      </w:r>
      <w:r w:rsidR="00E339CE">
        <w:t xml:space="preserve">ctual –contrato de obra– y no restringe a una modalidad de selección específica su aplicación, </w:t>
      </w:r>
      <w:r w:rsidRPr="00217A3C">
        <w:t xml:space="preserve">todas las entidades estatales que adelanten procesos de contratación de obra pública, sin importar la modalidad de selección del contratista, están obligadas a verificar la capacidad residual de los proponentes, como requisito habilitante para participar en el </w:t>
      </w:r>
      <w:r w:rsidR="001F66A8">
        <w:t>procedimiento de selección.</w:t>
      </w:r>
    </w:p>
    <w:p w:rsidRPr="00F84688" w:rsidR="001202B9" w:rsidP="00476AFB" w:rsidRDefault="001202B9" w14:paraId="4D8A3196" w14:textId="77777777">
      <w:pPr>
        <w:widowControl w:val="0"/>
        <w:autoSpaceDE w:val="0"/>
        <w:autoSpaceDN w:val="0"/>
        <w:spacing w:line="276" w:lineRule="auto"/>
        <w:jc w:val="both"/>
        <w:rPr>
          <w:rFonts w:ascii="Arial" w:hAnsi="Arial" w:eastAsia="Arial" w:cs="Arial"/>
          <w:sz w:val="22"/>
        </w:rPr>
      </w:pPr>
    </w:p>
    <w:p w:rsidRPr="00222BE8" w:rsidR="00272923" w:rsidP="00272923" w:rsidRDefault="00272923" w14:paraId="4D8A3197" w14:textId="42ADA682">
      <w:pPr>
        <w:tabs>
          <w:tab w:val="left" w:pos="0"/>
        </w:tabs>
        <w:spacing w:line="276" w:lineRule="auto"/>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3. Respuesta</w:t>
      </w:r>
    </w:p>
    <w:p w:rsidRPr="00222BE8" w:rsidR="00272923" w:rsidP="00272923" w:rsidRDefault="00272923" w14:paraId="4D8A3198" w14:textId="77777777">
      <w:pPr>
        <w:tabs>
          <w:tab w:val="left" w:pos="0"/>
        </w:tabs>
        <w:spacing w:line="276" w:lineRule="auto"/>
        <w:jc w:val="both"/>
        <w:rPr>
          <w:rFonts w:ascii="Arial" w:hAnsi="Arial" w:eastAsia="Calibri" w:cs="Arial"/>
          <w:color w:val="000000" w:themeColor="text1"/>
          <w:sz w:val="22"/>
          <w:lang w:val="es-ES_tradnl"/>
        </w:rPr>
      </w:pPr>
    </w:p>
    <w:p w:rsidR="00272923" w:rsidP="00272923" w:rsidRDefault="00476AFB" w14:paraId="4D8A3199" w14:textId="77777777">
      <w:pPr>
        <w:ind w:left="709" w:right="709"/>
        <w:jc w:val="both"/>
        <w:rPr>
          <w:rFonts w:ascii="Arial" w:hAnsi="Arial" w:cs="Arial"/>
          <w:color w:val="000000" w:themeColor="text1"/>
          <w:sz w:val="22"/>
          <w:lang w:val="es-ES_tradnl"/>
        </w:rPr>
      </w:pPr>
      <w:r>
        <w:rPr>
          <w:rFonts w:ascii="Arial" w:hAnsi="Arial" w:cs="Arial"/>
          <w:color w:val="000000" w:themeColor="text1"/>
          <w:sz w:val="22"/>
          <w:lang w:val="es-ES_tradnl"/>
        </w:rPr>
        <w:t>«Es aplicable en los procesos de obra realizados a través de mínima cuantía, lo establecido en el artículo 72 de la Ley 1682 de 2013»</w:t>
      </w:r>
    </w:p>
    <w:p w:rsidR="00476AFB" w:rsidP="00476AFB" w:rsidRDefault="00476AFB" w14:paraId="4D8A319A" w14:textId="77777777">
      <w:pPr>
        <w:pStyle w:val="Ttulo2"/>
        <w:spacing w:line="276" w:lineRule="auto"/>
        <w:ind w:left="0" w:right="103"/>
        <w:rPr>
          <w:rFonts w:eastAsiaTheme="minorHAnsi"/>
          <w:color w:val="000000" w:themeColor="text1"/>
          <w:sz w:val="21"/>
          <w:szCs w:val="21"/>
          <w:lang w:val="es-ES_tradnl"/>
        </w:rPr>
      </w:pPr>
    </w:p>
    <w:p w:rsidR="00272923" w:rsidP="001303A3" w:rsidRDefault="00476AFB" w14:paraId="4D8A319B" w14:textId="32BEDB4B">
      <w:pPr>
        <w:pStyle w:val="Ttulo2"/>
        <w:spacing w:after="120" w:line="276" w:lineRule="auto"/>
        <w:ind w:left="0" w:right="102"/>
        <w:rPr>
          <w:color w:val="000000" w:themeColor="text1"/>
          <w:lang w:val="es-ES_tradnl"/>
        </w:rPr>
      </w:pPr>
      <w:r>
        <w:rPr>
          <w:color w:val="000000" w:themeColor="text1"/>
          <w:lang w:val="es-ES_tradnl"/>
        </w:rPr>
        <w:t>Tanto el artículo 6 de la Ley 1150 de 2007</w:t>
      </w:r>
      <w:r w:rsidR="001303A3">
        <w:rPr>
          <w:color w:val="000000" w:themeColor="text1"/>
          <w:lang w:val="es-ES_tradnl"/>
        </w:rPr>
        <w:t>,</w:t>
      </w:r>
      <w:r>
        <w:rPr>
          <w:color w:val="000000" w:themeColor="text1"/>
          <w:lang w:val="es-ES_tradnl"/>
        </w:rPr>
        <w:t xml:space="preserve"> como el artículo 72 de la Ley 1682 de 2013</w:t>
      </w:r>
      <w:r w:rsidR="001303A3">
        <w:rPr>
          <w:color w:val="000000" w:themeColor="text1"/>
          <w:lang w:val="es-ES_tradnl"/>
        </w:rPr>
        <w:t>,</w:t>
      </w:r>
      <w:r>
        <w:t xml:space="preserve"> al regular lo relativo a la capacidad residual determinan su aplicación respecto de una tipología contractual –contrato de obra– sin restringirla a una modalidad de selección específica. </w:t>
      </w:r>
      <w:r w:rsidR="001303A3">
        <w:t>De acuerdo con lo anterior</w:t>
      </w:r>
      <w:r>
        <w:t xml:space="preserve">, </w:t>
      </w:r>
      <w:r w:rsidRPr="00217A3C">
        <w:t>todas las entidades estatales que adelanten procesos de contratación de obra pública, sin importar la modalidad de selección del contratista, están obligadas a verificar la capacidad residual de los proponentes, como requisito habilitante para participar en el proceso</w:t>
      </w:r>
      <w:r>
        <w:t xml:space="preserve"> y</w:t>
      </w:r>
      <w:r w:rsidR="001303A3">
        <w:t>,</w:t>
      </w:r>
      <w:r>
        <w:t xml:space="preserve"> por ende</w:t>
      </w:r>
      <w:r w:rsidR="001303A3">
        <w:t>,</w:t>
      </w:r>
      <w:r>
        <w:t xml:space="preserve"> se puede concluir que </w:t>
      </w:r>
      <w:r>
        <w:rPr>
          <w:color w:val="000000" w:themeColor="text1"/>
          <w:lang w:val="es-ES_tradnl"/>
        </w:rPr>
        <w:t>lo establecido en el artículo 72 de la Ley 1682 de 2013 es aplicable en los procesos de obra realizados a través de la modalidad de selección de mínima cuantía.</w:t>
      </w:r>
    </w:p>
    <w:p w:rsidR="001303A3" w:rsidP="00B30DB3" w:rsidRDefault="001303A3" w14:paraId="44F0DD91" w14:textId="6E9A7C7C">
      <w:pPr>
        <w:pStyle w:val="Ttulo2"/>
        <w:spacing w:after="120" w:line="276" w:lineRule="auto"/>
        <w:ind w:left="0" w:right="102"/>
        <w:rPr>
          <w:color w:val="000000" w:themeColor="text1"/>
          <w:lang w:val="es-ES_tradnl"/>
        </w:rPr>
      </w:pPr>
      <w:r>
        <w:rPr>
          <w:color w:val="000000" w:themeColor="text1"/>
          <w:lang w:val="es-ES_tradnl"/>
        </w:rPr>
        <w:lastRenderedPageBreak/>
        <w:tab/>
      </w:r>
      <w:r>
        <w:rPr>
          <w:color w:val="000000" w:themeColor="text1"/>
          <w:lang w:val="es-ES_tradnl"/>
        </w:rPr>
        <w:t xml:space="preserve">La postura anterior además es sostenida </w:t>
      </w:r>
      <w:r w:rsidR="009B35D1">
        <w:rPr>
          <w:color w:val="000000" w:themeColor="text1"/>
          <w:lang w:val="es-ES_tradnl"/>
        </w:rPr>
        <w:t xml:space="preserve">en forma concreta </w:t>
      </w:r>
      <w:r>
        <w:rPr>
          <w:color w:val="000000" w:themeColor="text1"/>
          <w:lang w:val="es-ES_tradnl"/>
        </w:rPr>
        <w:t xml:space="preserve">por la Agencia Nacional de Contratación – Colombia </w:t>
      </w:r>
      <w:r w:rsidRPr="005354D0">
        <w:rPr>
          <w:color w:val="000000" w:themeColor="text1"/>
          <w:lang w:val="es-ES_tradnl"/>
        </w:rPr>
        <w:t xml:space="preserve">Compra Eficiente en </w:t>
      </w:r>
      <w:r w:rsidRPr="005354D0">
        <w:t>el Manual para la modalidad de selección de mínima cuantía</w:t>
      </w:r>
      <w:r w:rsidRPr="005354D0" w:rsidR="009B35D1">
        <w:t xml:space="preserve">, al establecer que: </w:t>
      </w:r>
      <w:r w:rsidRPr="00B30DB3" w:rsidR="009B35D1">
        <w:t>«en los Procesos de Contratación de obra pública en la modalidad de selección de mínima cuantía las Entidades Estatales deberán solicitar la Capacidad Residual o K de Contratación y verificarla directamente, sin solicitar RUP».</w:t>
      </w:r>
      <w:r w:rsidR="00041A65">
        <w:t xml:space="preserve"> En este sentido, en los procesos de mínima cuantía también resulta exigible el requisito habilitante de capacidad</w:t>
      </w:r>
      <w:r w:rsidR="00FF5F08">
        <w:t xml:space="preserve"> residual,</w:t>
      </w:r>
      <w:r w:rsidR="00041A65">
        <w:t xml:space="preserve"> </w:t>
      </w:r>
      <w:r w:rsidR="00FF5F08">
        <w:t>pero</w:t>
      </w:r>
      <w:r w:rsidR="004C689C">
        <w:t xml:space="preserve"> tal</w:t>
      </w:r>
      <w:r w:rsidR="00041A65">
        <w:t xml:space="preserve"> como se desprende del manual, en el aparte transcrito, la entidad en la invitación debe establecer los requisitos y documentos que exigirá a los proponentes dirigidos a evaluar su capacidad residual, toda vez que en los procesos de mínima cuantía no resulta exigible el Registro Único de Proponentes.</w:t>
      </w:r>
    </w:p>
    <w:p w:rsidRPr="00222BE8" w:rsidR="00272923" w:rsidP="00B30DB3" w:rsidRDefault="001303A3" w14:paraId="4D8A319D" w14:textId="28ACC3B8">
      <w:pPr>
        <w:pStyle w:val="Ttulo2"/>
        <w:rPr>
          <w:color w:val="000000" w:themeColor="text1"/>
          <w:sz w:val="21"/>
          <w:szCs w:val="21"/>
          <w:lang w:val="es-ES_tradnl"/>
        </w:rPr>
      </w:pPr>
      <w:r>
        <w:rPr>
          <w:color w:val="000000" w:themeColor="text1"/>
          <w:lang w:val="es-ES_tradnl"/>
        </w:rPr>
        <w:tab/>
      </w:r>
      <w:r>
        <w:rPr>
          <w:color w:val="000000" w:themeColor="text1"/>
          <w:lang w:val="es-ES_tradnl"/>
        </w:rPr>
        <w:tab/>
      </w:r>
    </w:p>
    <w:p w:rsidRPr="00222BE8" w:rsidR="00272923" w:rsidP="00272923" w:rsidRDefault="00272923" w14:paraId="4D8A319E" w14:textId="77777777">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222BE8" w:rsidR="00272923" w:rsidP="00272923" w:rsidRDefault="00272923" w14:paraId="4D8A319F"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222BE8" w:rsidR="00272923" w:rsidP="00272923" w:rsidRDefault="00272923" w14:paraId="4D8A31A0"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rsidR="00272923" w:rsidP="00272923" w:rsidRDefault="00272923" w14:paraId="4D8A31A1" w14:textId="77777777">
      <w:pPr>
        <w:jc w:val="center"/>
        <w:rPr>
          <w:rFonts w:ascii="Arial" w:hAnsi="Arial" w:eastAsia="Times New Roman" w:cs="Arial"/>
          <w:color w:val="000000" w:themeColor="text1"/>
          <w:sz w:val="18"/>
          <w:szCs w:val="20"/>
          <w:lang w:val="es-ES_tradnl" w:eastAsia="es-CO"/>
        </w:rPr>
      </w:pPr>
    </w:p>
    <w:p w:rsidR="00272923" w:rsidP="00272923" w:rsidRDefault="00272923" w14:paraId="4D8A31A2" w14:textId="77777777">
      <w:pPr>
        <w:jc w:val="center"/>
        <w:rPr>
          <w:rFonts w:ascii="Arial" w:hAnsi="Arial" w:eastAsia="Times New Roman" w:cs="Arial"/>
          <w:noProof/>
          <w:color w:val="000000" w:themeColor="text1"/>
          <w:sz w:val="18"/>
          <w:szCs w:val="20"/>
          <w:lang w:val="es-CO" w:eastAsia="es-CO"/>
        </w:rPr>
      </w:pPr>
    </w:p>
    <w:p w:rsidRPr="00222BE8" w:rsidR="00272923" w:rsidP="00272923" w:rsidRDefault="00DE3E0E" w14:paraId="4D8A31A3" w14:textId="607CB1A1">
      <w:pPr>
        <w:jc w:val="center"/>
        <w:rPr>
          <w:rFonts w:ascii="Arial" w:hAnsi="Arial" w:eastAsia="Times New Roman" w:cs="Arial"/>
          <w:color w:val="000000" w:themeColor="text1"/>
          <w:sz w:val="18"/>
          <w:szCs w:val="20"/>
          <w:lang w:val="es-ES_tradnl" w:eastAsia="es-CO"/>
        </w:rPr>
      </w:pPr>
      <w:r w:rsidR="00DE3E0E">
        <w:drawing>
          <wp:inline wp14:editId="2C38AA05" wp14:anchorId="66C3CB60">
            <wp:extent cx="2514600" cy="1114425"/>
            <wp:effectExtent l="0" t="0" r="0" b="9525"/>
            <wp:docPr id="1" name="Imagen 1" descr="C:\Users\Andres\Desktop\CCE\Orginal firmado JANT.jpg" title=""/>
            <wp:cNvGraphicFramePr>
              <a:graphicFrameLocks noChangeAspect="1"/>
            </wp:cNvGraphicFramePr>
            <a:graphic>
              <a:graphicData uri="http://schemas.openxmlformats.org/drawingml/2006/picture">
                <pic:pic>
                  <pic:nvPicPr>
                    <pic:cNvPr id="0" name="Imagen 1"/>
                    <pic:cNvPicPr/>
                  </pic:nvPicPr>
                  <pic:blipFill>
                    <a:blip r:embed="R2e4700027afb4e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4600" cy="1114425"/>
                    </a:xfrm>
                    <a:prstGeom prst="rect">
                      <a:avLst/>
                    </a:prstGeom>
                  </pic:spPr>
                </pic:pic>
              </a:graphicData>
            </a:graphic>
          </wp:inline>
        </w:drawing>
      </w:r>
      <w:bookmarkStart w:name="_GoBack" w:id="1"/>
      <w:bookmarkEnd w:id="1"/>
    </w:p>
    <w:p w:rsidRPr="00222BE8" w:rsidR="00272923" w:rsidP="00272923" w:rsidRDefault="00272923" w14:paraId="4D8A31A4" w14:textId="77777777">
      <w:pPr>
        <w:jc w:val="center"/>
        <w:rPr>
          <w:rFonts w:ascii="Arial" w:hAnsi="Arial" w:eastAsia="Times New Roman" w:cs="Arial"/>
          <w:color w:val="000000" w:themeColor="text1"/>
          <w:sz w:val="18"/>
          <w:szCs w:val="20"/>
          <w:lang w:val="es-ES_tradnl" w:eastAsia="es-CO"/>
        </w:rPr>
      </w:pPr>
    </w:p>
    <w:p w:rsidRPr="00222BE8" w:rsidR="00272923" w:rsidP="00272923" w:rsidRDefault="00272923" w14:paraId="4D8A31A5"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22BE8" w:rsidR="00272923" w:rsidTr="00EB296C" w14:paraId="4D8A31A9" w14:textId="77777777">
        <w:trPr>
          <w:trHeight w:val="315"/>
        </w:trPr>
        <w:tc>
          <w:tcPr>
            <w:tcW w:w="812" w:type="dxa"/>
            <w:vAlign w:val="center"/>
            <w:hideMark/>
          </w:tcPr>
          <w:p w:rsidRPr="00222BE8" w:rsidR="00272923" w:rsidP="00EB296C" w:rsidRDefault="00272923" w14:paraId="4D8A31A6" w14:textId="77777777">
            <w:pPr>
              <w:jc w:val="both"/>
              <w:rPr>
                <w:rFonts w:ascii="Arial" w:hAnsi="Arial" w:eastAsia="Times New Roman" w:cs="Arial"/>
                <w:color w:val="000000" w:themeColor="text1"/>
                <w:sz w:val="16"/>
                <w:szCs w:val="16"/>
                <w:lang w:val="es-ES_tradnl" w:eastAsia="es-ES"/>
              </w:rPr>
            </w:pPr>
            <w:r w:rsidRPr="00222BE8">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222BE8" w:rsidR="00272923" w:rsidP="00EB296C" w:rsidRDefault="00272923" w14:paraId="4D8A31A7"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Nathalia Urrego Jiménez</w:t>
            </w:r>
          </w:p>
          <w:p w:rsidRPr="00222BE8" w:rsidR="00272923" w:rsidP="00EB296C" w:rsidRDefault="00272923" w14:paraId="4D8A31A8" w14:textId="77777777">
            <w:pPr>
              <w:jc w:val="both"/>
              <w:rPr>
                <w:rFonts w:ascii="Arial" w:hAnsi="Arial" w:eastAsia="Times New Roman" w:cs="Arial"/>
                <w:color w:val="000000" w:themeColor="text1"/>
                <w:sz w:val="16"/>
                <w:szCs w:val="16"/>
                <w:lang w:val="es-ES_tradnl" w:eastAsia="es-ES"/>
              </w:rPr>
            </w:pPr>
            <w:r w:rsidRPr="00222BE8">
              <w:rPr>
                <w:rFonts w:ascii="Arial" w:hAnsi="Arial" w:eastAsia="Times New Roman" w:cs="Arial"/>
                <w:color w:val="000000" w:themeColor="text1"/>
                <w:sz w:val="16"/>
                <w:szCs w:val="16"/>
                <w:lang w:val="es-ES_tradnl" w:eastAsia="es-ES"/>
              </w:rPr>
              <w:t>Contratista de la Subdirección de Gestión Contractual</w:t>
            </w:r>
          </w:p>
        </w:tc>
      </w:tr>
      <w:tr w:rsidRPr="00222BE8" w:rsidR="00272923" w:rsidTr="00EB296C" w14:paraId="4D8A31AD" w14:textId="77777777">
        <w:trPr>
          <w:trHeight w:val="330"/>
        </w:trPr>
        <w:tc>
          <w:tcPr>
            <w:tcW w:w="812" w:type="dxa"/>
            <w:vAlign w:val="center"/>
            <w:hideMark/>
          </w:tcPr>
          <w:p w:rsidRPr="00222BE8" w:rsidR="00272923" w:rsidP="00EB296C" w:rsidRDefault="00272923" w14:paraId="4D8A31AA" w14:textId="77777777">
            <w:pPr>
              <w:jc w:val="both"/>
              <w:rPr>
                <w:rFonts w:ascii="Arial" w:hAnsi="Arial" w:eastAsia="Times New Roman" w:cs="Arial"/>
                <w:color w:val="000000" w:themeColor="text1"/>
                <w:sz w:val="16"/>
                <w:szCs w:val="16"/>
                <w:lang w:val="es-ES_tradnl" w:eastAsia="es-ES"/>
              </w:rPr>
            </w:pPr>
            <w:r w:rsidRPr="00222BE8">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22BE8" w:rsidR="00272923" w:rsidP="00EB296C" w:rsidRDefault="00476AFB" w14:paraId="4D8A31AB"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Sebastián Ramírez Grisales</w:t>
            </w:r>
          </w:p>
          <w:p w:rsidRPr="00222BE8" w:rsidR="00272923" w:rsidP="00EB296C" w:rsidRDefault="00476AFB" w14:paraId="4D8A31AC" w14:textId="06DD427D">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 xml:space="preserve">Gestor </w:t>
            </w:r>
            <w:r w:rsidR="00E26057">
              <w:rPr>
                <w:rFonts w:ascii="Arial" w:hAnsi="Arial" w:eastAsia="Times New Roman" w:cs="Arial"/>
                <w:color w:val="000000" w:themeColor="text1"/>
                <w:sz w:val="16"/>
                <w:szCs w:val="16"/>
                <w:lang w:val="es-ES_tradnl" w:eastAsia="es-ES"/>
              </w:rPr>
              <w:t>T1 – 15</w:t>
            </w:r>
            <w:r w:rsidRPr="00222BE8" w:rsidDel="00141B19" w:rsidR="00272923">
              <w:rPr>
                <w:rFonts w:ascii="Arial" w:hAnsi="Arial" w:eastAsia="Times New Roman" w:cs="Arial"/>
                <w:color w:val="000000" w:themeColor="text1"/>
                <w:sz w:val="16"/>
                <w:szCs w:val="16"/>
                <w:lang w:val="es-ES_tradnl" w:eastAsia="es-ES"/>
              </w:rPr>
              <w:t xml:space="preserve"> </w:t>
            </w:r>
            <w:r w:rsidR="00E26057">
              <w:rPr>
                <w:rFonts w:ascii="Arial" w:hAnsi="Arial" w:eastAsia="Times New Roman" w:cs="Arial"/>
                <w:color w:val="000000" w:themeColor="text1"/>
                <w:sz w:val="16"/>
                <w:szCs w:val="16"/>
                <w:lang w:val="es-ES_tradnl" w:eastAsia="es-ES"/>
              </w:rPr>
              <w:t xml:space="preserve">de la </w:t>
            </w:r>
            <w:r w:rsidRPr="00222BE8" w:rsidR="00E26057">
              <w:rPr>
                <w:rFonts w:ascii="Arial" w:hAnsi="Arial" w:eastAsia="Times New Roman" w:cs="Arial"/>
                <w:color w:val="000000" w:themeColor="text1"/>
                <w:sz w:val="16"/>
                <w:szCs w:val="16"/>
                <w:lang w:val="es-ES_tradnl" w:eastAsia="es-ES"/>
              </w:rPr>
              <w:t>Subdirección de Gestión Contractual</w:t>
            </w:r>
          </w:p>
        </w:tc>
      </w:tr>
      <w:tr w:rsidRPr="00222BE8" w:rsidR="00272923" w:rsidTr="00EB296C" w14:paraId="4D8A31B1" w14:textId="77777777">
        <w:trPr>
          <w:trHeight w:val="300"/>
        </w:trPr>
        <w:tc>
          <w:tcPr>
            <w:tcW w:w="812" w:type="dxa"/>
            <w:vAlign w:val="center"/>
            <w:hideMark/>
          </w:tcPr>
          <w:p w:rsidRPr="00222BE8" w:rsidR="00272923" w:rsidP="00EB296C" w:rsidRDefault="00272923" w14:paraId="4D8A31AE" w14:textId="77777777">
            <w:pPr>
              <w:jc w:val="both"/>
              <w:rPr>
                <w:rFonts w:ascii="Arial" w:hAnsi="Arial" w:eastAsia="Times New Roman" w:cs="Arial"/>
                <w:color w:val="000000" w:themeColor="text1"/>
                <w:sz w:val="16"/>
                <w:szCs w:val="16"/>
                <w:lang w:val="es-ES_tradnl" w:eastAsia="es-ES"/>
              </w:rPr>
            </w:pPr>
            <w:r w:rsidRPr="00222BE8">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22BE8" w:rsidR="00272923" w:rsidP="00EB296C" w:rsidRDefault="00272923" w14:paraId="4D8A31AF"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222BE8" w:rsidR="00272923" w:rsidP="00EB296C" w:rsidRDefault="00272923" w14:paraId="4D8A31B0" w14:textId="77777777">
            <w:pPr>
              <w:jc w:val="both"/>
              <w:rPr>
                <w:rFonts w:ascii="Arial" w:hAnsi="Arial" w:eastAsia="Times New Roman" w:cs="Arial"/>
                <w:color w:val="000000" w:themeColor="text1"/>
                <w:sz w:val="16"/>
                <w:szCs w:val="16"/>
                <w:lang w:val="es-ES_tradnl" w:eastAsia="es-ES"/>
              </w:rPr>
            </w:pPr>
            <w:r w:rsidRPr="00222BE8">
              <w:rPr>
                <w:rFonts w:ascii="Arial" w:hAnsi="Arial" w:eastAsia="Times New Roman" w:cs="Arial"/>
                <w:color w:val="000000" w:themeColor="text1"/>
                <w:sz w:val="16"/>
                <w:szCs w:val="16"/>
                <w:lang w:val="es-ES_tradnl" w:eastAsia="es-ES"/>
              </w:rPr>
              <w:t>Subdirector de Gestión Contractual</w:t>
            </w:r>
          </w:p>
        </w:tc>
      </w:tr>
    </w:tbl>
    <w:p w:rsidRPr="00222BE8" w:rsidR="00272923" w:rsidP="00272923" w:rsidRDefault="00272923" w14:paraId="4D8A31B2" w14:textId="77777777">
      <w:pPr>
        <w:jc w:val="both"/>
        <w:rPr>
          <w:rFonts w:ascii="Arial" w:hAnsi="Arial" w:cs="Arial"/>
          <w:lang w:val="es-ES_tradnl"/>
        </w:rPr>
      </w:pPr>
    </w:p>
    <w:p w:rsidRPr="00272923" w:rsidR="00FF4395" w:rsidRDefault="00436196" w14:paraId="4D8A31B3" w14:textId="77777777">
      <w:pPr>
        <w:rPr>
          <w:lang w:val="es-ES_tradnl"/>
        </w:rPr>
      </w:pPr>
    </w:p>
    <w:sectPr w:rsidRPr="00272923" w:rsidR="00FF439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96" w:rsidP="00272923" w:rsidRDefault="00436196" w14:paraId="5A19019F" w14:textId="77777777">
      <w:r>
        <w:separator/>
      </w:r>
    </w:p>
  </w:endnote>
  <w:endnote w:type="continuationSeparator" w:id="0">
    <w:p w:rsidR="00436196" w:rsidP="00272923" w:rsidRDefault="00436196" w14:paraId="5D8330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96" w:rsidP="00272923" w:rsidRDefault="00436196" w14:paraId="776A61B5" w14:textId="77777777">
      <w:r>
        <w:separator/>
      </w:r>
    </w:p>
  </w:footnote>
  <w:footnote w:type="continuationSeparator" w:id="0">
    <w:p w:rsidR="00436196" w:rsidP="00272923" w:rsidRDefault="00436196" w14:paraId="157CB79E" w14:textId="77777777">
      <w:r>
        <w:continuationSeparator/>
      </w:r>
    </w:p>
  </w:footnote>
  <w:footnote w:id="1">
    <w:p w:rsidRPr="00543959" w:rsidR="001202B9" w:rsidP="001202B9" w:rsidRDefault="001202B9" w14:paraId="4D8A31BA" w14:textId="77777777">
      <w:pPr>
        <w:ind w:right="49" w:firstLine="720"/>
        <w:jc w:val="both"/>
        <w:rPr>
          <w:rFonts w:ascii="Arial" w:hAnsi="Arial" w:cs="Arial"/>
          <w:color w:val="000000" w:themeColor="text1"/>
          <w:sz w:val="19"/>
          <w:szCs w:val="19"/>
        </w:rPr>
      </w:pPr>
      <w:r w:rsidRPr="00543959">
        <w:rPr>
          <w:rStyle w:val="Refdenotaalpie"/>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rsidRPr="00543959" w:rsidR="001202B9" w:rsidP="001202B9" w:rsidRDefault="001202B9" w14:paraId="4D8A31BC" w14:textId="714C6450">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rsidRPr="00543959" w:rsidR="001202B9" w:rsidP="001202B9" w:rsidRDefault="001202B9" w14:paraId="4D8A31BD" w14:textId="77777777">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rsidRPr="00543959" w:rsidR="001202B9" w:rsidP="001202B9" w:rsidRDefault="001202B9" w14:paraId="4D8A31BE" w14:textId="77777777">
      <w:pPr>
        <w:ind w:right="49" w:firstLine="708"/>
        <w:jc w:val="both"/>
        <w:rPr>
          <w:rFonts w:ascii="Arial" w:hAnsi="Arial" w:cs="Arial"/>
          <w:color w:val="000000" w:themeColor="text1"/>
          <w:sz w:val="19"/>
          <w:szCs w:val="19"/>
        </w:rPr>
      </w:pPr>
    </w:p>
  </w:footnote>
  <w:footnote w:id="2">
    <w:p w:rsidRPr="00543959" w:rsidR="001202B9" w:rsidP="001202B9" w:rsidRDefault="001202B9" w14:paraId="4D8A31BF" w14:textId="77777777">
      <w:pPr>
        <w:ind w:right="49" w:firstLine="720"/>
        <w:jc w:val="both"/>
        <w:rPr>
          <w:rFonts w:ascii="Arial" w:hAnsi="Arial" w:cs="Arial"/>
          <w:color w:val="000000" w:themeColor="text1"/>
          <w:sz w:val="19"/>
          <w:szCs w:val="19"/>
        </w:rPr>
      </w:pPr>
      <w:r w:rsidRPr="00543959">
        <w:rPr>
          <w:rStyle w:val="Refdenotaalpie"/>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Exp. 13.354. M.P. María Elena Giraldo Gómez.</w:t>
      </w:r>
    </w:p>
    <w:p w:rsidRPr="00543959" w:rsidR="001202B9" w:rsidP="001202B9" w:rsidRDefault="001202B9" w14:paraId="4D8A31C0" w14:textId="77777777">
      <w:pPr>
        <w:pStyle w:val="Textonotapie"/>
        <w:ind w:right="49"/>
        <w:jc w:val="both"/>
        <w:rPr>
          <w:rFonts w:ascii="Arial" w:hAnsi="Arial" w:cs="Arial"/>
          <w:color w:val="000000" w:themeColor="text1"/>
          <w:sz w:val="19"/>
          <w:szCs w:val="19"/>
          <w:lang w:val="es-CO"/>
        </w:rPr>
      </w:pPr>
    </w:p>
  </w:footnote>
  <w:footnote w:id="3">
    <w:p w:rsidRPr="00F317B0" w:rsidR="00C33138" w:rsidP="00C33138" w:rsidRDefault="00C33138" w14:paraId="15782F84" w14:textId="77777777">
      <w:pPr>
        <w:ind w:right="49" w:firstLine="709"/>
        <w:jc w:val="both"/>
      </w:pPr>
      <w:r w:rsidRPr="00F317B0">
        <w:rPr>
          <w:rStyle w:val="Refdenotaalpie"/>
          <w:sz w:val="19"/>
          <w:szCs w:val="19"/>
        </w:rPr>
        <w:footnoteRef/>
      </w:r>
      <w:r w:rsidRPr="00F317B0">
        <w:rPr>
          <w:rFonts w:ascii="Arial" w:hAnsi="Arial" w:cs="Arial"/>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F317B0">
        <w:rPr>
          <w:rFonts w:ascii="Arial" w:hAnsi="Arial" w:cs="Arial"/>
          <w:spacing w:val="-3"/>
          <w:sz w:val="19"/>
          <w:szCs w:val="19"/>
        </w:rPr>
        <w:t xml:space="preserve"> </w:t>
      </w:r>
      <w:r w:rsidRPr="00F317B0">
        <w:rPr>
          <w:rFonts w:ascii="Arial" w:hAnsi="Arial" w:cs="Arial"/>
          <w:sz w:val="19"/>
          <w:szCs w:val="19"/>
        </w:rPr>
        <w:t>documentos:</w:t>
      </w:r>
    </w:p>
    <w:p w:rsidRPr="00F317B0" w:rsidR="00C33138" w:rsidP="00C33138" w:rsidRDefault="00C33138" w14:paraId="3EC3A86E" w14:textId="77777777">
      <w:pPr>
        <w:ind w:right="49" w:firstLine="709"/>
        <w:jc w:val="both"/>
      </w:pPr>
      <w:r w:rsidRPr="00F317B0">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F317B0">
        <w:rPr>
          <w:rFonts w:ascii="Arial" w:hAnsi="Arial" w:cs="Arial"/>
          <w:spacing w:val="-4"/>
          <w:sz w:val="19"/>
          <w:szCs w:val="19"/>
        </w:rPr>
        <w:t xml:space="preserve"> </w:t>
      </w:r>
      <w:r w:rsidRPr="00F317B0">
        <w:rPr>
          <w:rFonts w:ascii="Arial" w:hAnsi="Arial" w:cs="Arial"/>
          <w:sz w:val="19"/>
          <w:szCs w:val="19"/>
        </w:rPr>
        <w:t>concesionarios.</w:t>
      </w:r>
    </w:p>
    <w:p w:rsidRPr="00F317B0" w:rsidR="00C33138" w:rsidP="00C33138" w:rsidRDefault="00C33138" w14:paraId="732156C1" w14:textId="77777777">
      <w:pPr>
        <w:ind w:right="49" w:firstLine="709"/>
        <w:jc w:val="both"/>
        <w:rPr>
          <w:rFonts w:ascii="Arial" w:hAnsi="Arial" w:cs="Arial"/>
          <w:sz w:val="19"/>
          <w:szCs w:val="19"/>
        </w:rPr>
      </w:pPr>
      <w:r w:rsidRPr="00F317B0">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Pr="00F317B0" w:rsidR="00C33138" w:rsidP="00C33138" w:rsidRDefault="00C33138" w14:paraId="610A1F4D" w14:textId="77777777">
      <w:pPr>
        <w:ind w:right="49" w:firstLine="709"/>
        <w:jc w:val="both"/>
      </w:pPr>
      <w:r w:rsidRPr="00F317B0">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0090DB1"/>
    <w:multiLevelType w:val="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23"/>
    <w:rsid w:val="000128E5"/>
    <w:rsid w:val="00041A65"/>
    <w:rsid w:val="000444FE"/>
    <w:rsid w:val="0005230B"/>
    <w:rsid w:val="00066FD9"/>
    <w:rsid w:val="000F7225"/>
    <w:rsid w:val="00105686"/>
    <w:rsid w:val="001202B9"/>
    <w:rsid w:val="001303A3"/>
    <w:rsid w:val="00192421"/>
    <w:rsid w:val="001A255D"/>
    <w:rsid w:val="001C774A"/>
    <w:rsid w:val="001F66A8"/>
    <w:rsid w:val="00200FF9"/>
    <w:rsid w:val="00272923"/>
    <w:rsid w:val="002E0E48"/>
    <w:rsid w:val="002F39BC"/>
    <w:rsid w:val="00346ECA"/>
    <w:rsid w:val="003D2841"/>
    <w:rsid w:val="003D4313"/>
    <w:rsid w:val="003E7F69"/>
    <w:rsid w:val="00436196"/>
    <w:rsid w:val="00476AFB"/>
    <w:rsid w:val="004A0E6E"/>
    <w:rsid w:val="004C689C"/>
    <w:rsid w:val="004D5B3E"/>
    <w:rsid w:val="004D6C10"/>
    <w:rsid w:val="00516EAE"/>
    <w:rsid w:val="005354D0"/>
    <w:rsid w:val="00544C03"/>
    <w:rsid w:val="005518CF"/>
    <w:rsid w:val="00572132"/>
    <w:rsid w:val="00607CD7"/>
    <w:rsid w:val="00650E6B"/>
    <w:rsid w:val="00690FBA"/>
    <w:rsid w:val="006F3D35"/>
    <w:rsid w:val="00744A9D"/>
    <w:rsid w:val="007462F3"/>
    <w:rsid w:val="00754CFD"/>
    <w:rsid w:val="00782237"/>
    <w:rsid w:val="0080266A"/>
    <w:rsid w:val="00805E78"/>
    <w:rsid w:val="00825FE7"/>
    <w:rsid w:val="0083581D"/>
    <w:rsid w:val="00891CDD"/>
    <w:rsid w:val="008F188D"/>
    <w:rsid w:val="009464CA"/>
    <w:rsid w:val="00956C4D"/>
    <w:rsid w:val="009B35D1"/>
    <w:rsid w:val="00A75439"/>
    <w:rsid w:val="00A86A58"/>
    <w:rsid w:val="00AB3C16"/>
    <w:rsid w:val="00AC3992"/>
    <w:rsid w:val="00AF7E86"/>
    <w:rsid w:val="00B30DB3"/>
    <w:rsid w:val="00BE4C16"/>
    <w:rsid w:val="00C2382F"/>
    <w:rsid w:val="00C33138"/>
    <w:rsid w:val="00C46556"/>
    <w:rsid w:val="00C5587C"/>
    <w:rsid w:val="00C73319"/>
    <w:rsid w:val="00D26C79"/>
    <w:rsid w:val="00D306EE"/>
    <w:rsid w:val="00D71672"/>
    <w:rsid w:val="00DD76C0"/>
    <w:rsid w:val="00DE3E0E"/>
    <w:rsid w:val="00E13CEC"/>
    <w:rsid w:val="00E26057"/>
    <w:rsid w:val="00E339CE"/>
    <w:rsid w:val="00E954CD"/>
    <w:rsid w:val="00EA59E3"/>
    <w:rsid w:val="00F21B67"/>
    <w:rsid w:val="00F2327C"/>
    <w:rsid w:val="00F43324"/>
    <w:rsid w:val="00F664C3"/>
    <w:rsid w:val="00F6791C"/>
    <w:rsid w:val="00FB0B4F"/>
    <w:rsid w:val="00FF5F08"/>
    <w:rsid w:val="32542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314F"/>
  <w15:chartTrackingRefBased/>
  <w15:docId w15:val="{C4A9F754-DA52-4913-962B-EE650DF18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2923"/>
    <w:pPr>
      <w:spacing w:after="0" w:line="240" w:lineRule="auto"/>
    </w:pPr>
    <w:rPr>
      <w:sz w:val="24"/>
      <w:lang w:val="es-MX"/>
    </w:rPr>
  </w:style>
  <w:style w:type="paragraph" w:styleId="Ttulo2">
    <w:name w:val="heading 2"/>
    <w:basedOn w:val="Normal"/>
    <w:link w:val="Ttulo2Car"/>
    <w:uiPriority w:val="1"/>
    <w:qFormat/>
    <w:rsid w:val="00544C03"/>
    <w:pPr>
      <w:widowControl w:val="0"/>
      <w:autoSpaceDE w:val="0"/>
      <w:autoSpaceDN w:val="0"/>
      <w:ind w:left="300"/>
      <w:jc w:val="both"/>
      <w:outlineLvl w:val="1"/>
    </w:pPr>
    <w:rPr>
      <w:rFonts w:ascii="Arial" w:hAnsi="Arial" w:eastAsia="Arial" w:cs="Arial"/>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2729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72923"/>
    <w:pPr>
      <w:ind w:left="720"/>
      <w:contextualSpacing/>
    </w:pPr>
  </w:style>
  <w:style w:type="paragraph" w:styleId="NormalWeb">
    <w:name w:val="Normal (Web)"/>
    <w:basedOn w:val="Normal"/>
    <w:uiPriority w:val="99"/>
    <w:unhideWhenUsed/>
    <w:rsid w:val="00272923"/>
    <w:pPr>
      <w:spacing w:before="100" w:beforeAutospacing="1" w:after="100" w:afterAutospacing="1"/>
    </w:pPr>
    <w:rPr>
      <w:rFonts w:ascii="Times New Roman" w:hAnsi="Times New Roman" w:eastAsia="Times New Roman" w:cs="Times New Roman"/>
      <w:szCs w:val="24"/>
      <w:lang w:val="es-CO" w:eastAsia="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29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72923"/>
    <w:rPr>
      <w:sz w:val="20"/>
      <w:szCs w:val="20"/>
    </w:rPr>
  </w:style>
  <w:style w:type="character" w:styleId="TextonotapieCar1" w:customStyle="1">
    <w:name w:val="Texto nota pie Car1"/>
    <w:basedOn w:val="Fuentedeprrafopredeter"/>
    <w:uiPriority w:val="99"/>
    <w:semiHidden/>
    <w:rsid w:val="00272923"/>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7292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72923"/>
    <w:rPr>
      <w:vertAlign w:val="superscript"/>
    </w:rPr>
  </w:style>
  <w:style w:type="paragraph" w:styleId="Appelnotedebasde" w:customStyle="1">
    <w:name w:val="Appel note de bas de..."/>
    <w:basedOn w:val="Normal"/>
    <w:link w:val="Refdenotaalpie"/>
    <w:uiPriority w:val="99"/>
    <w:rsid w:val="00272923"/>
    <w:pPr>
      <w:spacing w:after="160" w:line="240" w:lineRule="exact"/>
    </w:pPr>
    <w:rPr>
      <w:sz w:val="22"/>
      <w:vertAlign w:val="superscript"/>
      <w:lang w:val="es-CO"/>
    </w:rPr>
  </w:style>
  <w:style w:type="paragraph" w:styleId="Textoindependiente">
    <w:name w:val="Body Text"/>
    <w:basedOn w:val="Normal"/>
    <w:link w:val="TextoindependienteCar"/>
    <w:uiPriority w:val="1"/>
    <w:qFormat/>
    <w:rsid w:val="001202B9"/>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1202B9"/>
    <w:rPr>
      <w:rFonts w:ascii="Arial" w:hAnsi="Arial" w:eastAsia="Arial" w:cs="Arial"/>
      <w:lang w:val="es-ES" w:eastAsia="es-ES" w:bidi="es-ES"/>
    </w:rPr>
  </w:style>
  <w:style w:type="character" w:styleId="Ttulo2Car" w:customStyle="1">
    <w:name w:val="Título 2 Car"/>
    <w:basedOn w:val="Fuentedeprrafopredeter"/>
    <w:link w:val="Ttulo2"/>
    <w:uiPriority w:val="1"/>
    <w:rsid w:val="00544C03"/>
    <w:rPr>
      <w:rFonts w:ascii="Arial" w:hAnsi="Arial" w:eastAsia="Arial" w:cs="Arial"/>
      <w:lang w:val="es-ES"/>
    </w:rPr>
  </w:style>
  <w:style w:type="paragraph" w:styleId="Textodeglobo">
    <w:name w:val="Balloon Text"/>
    <w:basedOn w:val="Normal"/>
    <w:link w:val="TextodegloboCar"/>
    <w:uiPriority w:val="99"/>
    <w:semiHidden/>
    <w:unhideWhenUsed/>
    <w:rsid w:val="0019242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2421"/>
    <w:rPr>
      <w:rFonts w:ascii="Segoe UI" w:hAnsi="Segoe UI" w:cs="Segoe UI"/>
      <w:sz w:val="18"/>
      <w:szCs w:val="18"/>
      <w:lang w:val="es-MX"/>
    </w:rPr>
  </w:style>
  <w:style w:type="character" w:styleId="Hipervnculo">
    <w:name w:val="Hyperlink"/>
    <w:basedOn w:val="Fuentedeprrafopredeter"/>
    <w:uiPriority w:val="99"/>
    <w:unhideWhenUsed/>
    <w:rsid w:val="00C33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667472">
      <w:bodyDiv w:val="1"/>
      <w:marLeft w:val="0"/>
      <w:marRight w:val="0"/>
      <w:marTop w:val="0"/>
      <w:marBottom w:val="0"/>
      <w:divBdr>
        <w:top w:val="none" w:sz="0" w:space="0" w:color="auto"/>
        <w:left w:val="none" w:sz="0" w:space="0" w:color="auto"/>
        <w:bottom w:val="none" w:sz="0" w:space="0" w:color="auto"/>
        <w:right w:val="none" w:sz="0" w:space="0" w:color="auto"/>
      </w:divBdr>
    </w:div>
    <w:div w:id="20544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hyperlink" Target="https://www.colombiacompra.gov.co/manuales-guias-y-pliegos-tipo/manuales-y-guias" TargetMode="External" Id="rId9" /><Relationship Type="http://schemas.openxmlformats.org/officeDocument/2006/relationships/customXml" Target="../customXml/item1.xml" Id="rId14" /><Relationship Type="http://schemas.openxmlformats.org/officeDocument/2006/relationships/image" Target="/media/image3.png" Id="Rb5d3f4bb92fc4f8e" /><Relationship Type="http://schemas.openxmlformats.org/officeDocument/2006/relationships/image" Target="/media/image4.png" Id="R1c11e15dc12c47cd" /><Relationship Type="http://schemas.openxmlformats.org/officeDocument/2006/relationships/image" Target="/media/image3.jpg" Id="R2e4700027afb4e0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8870B0E-18B1-46C7-AB3C-CC2B606B8C4C}"/>
</file>

<file path=customXml/itemProps2.xml><?xml version="1.0" encoding="utf-8"?>
<ds:datastoreItem xmlns:ds="http://schemas.openxmlformats.org/officeDocument/2006/customXml" ds:itemID="{74BF855F-DCD7-41BD-9539-647D153E001C}"/>
</file>

<file path=customXml/itemProps3.xml><?xml version="1.0" encoding="utf-8"?>
<ds:datastoreItem xmlns:ds="http://schemas.openxmlformats.org/officeDocument/2006/customXml" ds:itemID="{E37F4445-B2CC-44DB-BEA5-479DAC879A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Urrego</dc:creator>
  <keywords/>
  <dc:description/>
  <lastModifiedBy>Liliana Patricia Sanguino Arenas</lastModifiedBy>
  <revision>4</revision>
  <dcterms:created xsi:type="dcterms:W3CDTF">2020-11-20T14:14:00.0000000Z</dcterms:created>
  <dcterms:modified xsi:type="dcterms:W3CDTF">2021-01-12T16:50:06.0999578Z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