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274370" w:rsidRDefault="00BE1E33" w:rsidP="00BE1E33">
      <w:pPr>
        <w:jc w:val="right"/>
        <w:rPr>
          <w:rFonts w:ascii="Arial" w:hAnsi="Arial" w:cs="Arial"/>
          <w:bCs/>
          <w:color w:val="000000" w:themeColor="text1"/>
          <w:sz w:val="16"/>
          <w:szCs w:val="16"/>
          <w:lang w:val="es-ES_tradnl" w:eastAsia="es-ES"/>
        </w:rPr>
      </w:pPr>
      <w:bookmarkStart w:id="0" w:name="_Hlk28946138"/>
      <w:bookmarkStart w:id="1" w:name="_Hlk29548183"/>
      <w:r w:rsidRPr="00274370">
        <w:rPr>
          <w:rFonts w:ascii="Arial" w:hAnsi="Arial" w:cs="Arial"/>
          <w:b/>
          <w:color w:val="000000" w:themeColor="text1"/>
          <w:sz w:val="16"/>
          <w:szCs w:val="16"/>
          <w:lang w:val="es-ES_tradnl" w:eastAsia="es-ES"/>
        </w:rPr>
        <w:tab/>
      </w:r>
      <w:r w:rsidRPr="00274370">
        <w:rPr>
          <w:rFonts w:ascii="Arial" w:hAnsi="Arial" w:cs="Arial"/>
          <w:bCs/>
          <w:color w:val="000000" w:themeColor="text1"/>
          <w:sz w:val="16"/>
          <w:szCs w:val="16"/>
          <w:lang w:val="es-ES_tradnl" w:eastAsia="es-ES"/>
        </w:rPr>
        <w:t>CCE-DES-FM-17</w:t>
      </w:r>
    </w:p>
    <w:p w14:paraId="25784C1D" w14:textId="77777777" w:rsidR="00BE1E33" w:rsidRPr="00274370" w:rsidRDefault="00BE1E33" w:rsidP="00BE1E33">
      <w:pPr>
        <w:jc w:val="both"/>
        <w:rPr>
          <w:rFonts w:ascii="Arial" w:eastAsia="Calibri" w:hAnsi="Arial" w:cs="Arial"/>
          <w:b/>
          <w:color w:val="000000" w:themeColor="text1"/>
          <w:sz w:val="20"/>
          <w:szCs w:val="20"/>
          <w:lang w:val="es-ES_tradnl"/>
        </w:rPr>
      </w:pPr>
    </w:p>
    <w:p w14:paraId="33BD1F25" w14:textId="5473BA4A" w:rsidR="00BE1E33" w:rsidRPr="00274370" w:rsidRDefault="00DC22C6" w:rsidP="00BE1E33">
      <w:pPr>
        <w:jc w:val="both"/>
        <w:rPr>
          <w:rFonts w:ascii="Arial" w:eastAsia="Calibri" w:hAnsi="Arial" w:cs="Arial"/>
          <w:b/>
          <w:color w:val="000000" w:themeColor="text1"/>
          <w:sz w:val="22"/>
          <w:lang w:val="es-ES_tradnl"/>
        </w:rPr>
      </w:pPr>
      <w:r w:rsidRPr="00274370">
        <w:rPr>
          <w:rFonts w:ascii="Arial" w:eastAsia="Calibri" w:hAnsi="Arial" w:cs="Arial"/>
          <w:b/>
          <w:color w:val="000000" w:themeColor="text1"/>
          <w:sz w:val="22"/>
          <w:lang w:val="es-ES_tradnl"/>
        </w:rPr>
        <w:t>DECRETO 092 DE 2017</w:t>
      </w:r>
      <w:r w:rsidR="00BE1E33" w:rsidRPr="00274370">
        <w:rPr>
          <w:rFonts w:ascii="Arial" w:eastAsia="Calibri" w:hAnsi="Arial" w:cs="Arial"/>
          <w:b/>
          <w:color w:val="000000" w:themeColor="text1"/>
          <w:sz w:val="22"/>
          <w:lang w:val="es-ES_tradnl"/>
        </w:rPr>
        <w:t xml:space="preserve"> </w:t>
      </w:r>
      <w:r w:rsidR="00897DAB" w:rsidRPr="00274370">
        <w:rPr>
          <w:rFonts w:ascii="Arial" w:eastAsia="Calibri" w:hAnsi="Arial" w:cs="Arial"/>
          <w:b/>
          <w:color w:val="000000" w:themeColor="text1"/>
          <w:sz w:val="22"/>
          <w:lang w:val="es-ES_tradnl"/>
        </w:rPr>
        <w:t>–</w:t>
      </w:r>
      <w:r w:rsidR="00BE1E33" w:rsidRPr="00274370">
        <w:rPr>
          <w:rFonts w:ascii="Arial" w:eastAsia="Calibri" w:hAnsi="Arial" w:cs="Arial"/>
          <w:b/>
          <w:color w:val="000000" w:themeColor="text1"/>
          <w:sz w:val="22"/>
          <w:lang w:val="es-ES_tradnl"/>
        </w:rPr>
        <w:t xml:space="preserve"> </w:t>
      </w:r>
      <w:r w:rsidRPr="00274370">
        <w:rPr>
          <w:rFonts w:ascii="Arial" w:eastAsia="Calibri" w:hAnsi="Arial" w:cs="Arial"/>
          <w:b/>
          <w:color w:val="000000" w:themeColor="text1"/>
          <w:sz w:val="22"/>
          <w:lang w:val="es-ES_tradnl"/>
        </w:rPr>
        <w:t>Marco general de contratación</w:t>
      </w:r>
    </w:p>
    <w:p w14:paraId="79609206" w14:textId="77777777" w:rsidR="00BE1E33" w:rsidRPr="00274370" w:rsidRDefault="00BE1E33" w:rsidP="00BE1E33">
      <w:pPr>
        <w:jc w:val="both"/>
        <w:rPr>
          <w:rFonts w:ascii="Arial" w:eastAsia="Calibri" w:hAnsi="Arial" w:cs="Arial"/>
          <w:color w:val="000000" w:themeColor="text1"/>
          <w:sz w:val="20"/>
          <w:szCs w:val="20"/>
          <w:lang w:val="es-ES_tradnl"/>
        </w:rPr>
      </w:pPr>
    </w:p>
    <w:p w14:paraId="08CEEA3E" w14:textId="6EA8B3B9" w:rsidR="00BE1E33" w:rsidRPr="00274370" w:rsidRDefault="00DC22C6" w:rsidP="00BE1E33">
      <w:pPr>
        <w:jc w:val="both"/>
        <w:rPr>
          <w:rFonts w:ascii="Arial" w:eastAsia="Calibri" w:hAnsi="Arial" w:cs="Arial"/>
          <w:bCs/>
          <w:color w:val="000000" w:themeColor="text1"/>
          <w:sz w:val="20"/>
          <w:szCs w:val="20"/>
          <w:lang w:val="es-ES_tradnl"/>
        </w:rPr>
      </w:pPr>
      <w:r w:rsidRPr="00274370">
        <w:rPr>
          <w:rFonts w:ascii="Arial" w:eastAsia="Calibri" w:hAnsi="Arial" w:cs="Arial"/>
          <w:bCs/>
          <w:color w:val="000000" w:themeColor="text1"/>
          <w:sz w:val="20"/>
          <w:szCs w:val="20"/>
          <w:lang w:val="es-ES_tradnl"/>
        </w:rPr>
        <w:t>En los términos del Decreto 092 de 2017, las entidades estatales podrán celebrar contratos con entidades sin ánimo de lucro para el desarrollo de los fines planteados en el artículo 355 de la Constitución Política</w:t>
      </w:r>
      <w:r w:rsidR="00BE1E33" w:rsidRPr="00274370">
        <w:rPr>
          <w:rFonts w:ascii="Arial" w:eastAsia="Calibri" w:hAnsi="Arial" w:cs="Arial"/>
          <w:bCs/>
          <w:color w:val="000000" w:themeColor="text1"/>
          <w:sz w:val="20"/>
          <w:szCs w:val="20"/>
          <w:lang w:val="es-ES_tradnl"/>
        </w:rPr>
        <w:t>.</w:t>
      </w:r>
    </w:p>
    <w:p w14:paraId="04FCFBF5" w14:textId="77777777" w:rsidR="00BE1E33" w:rsidRPr="00274370" w:rsidRDefault="00BE1E33" w:rsidP="00BE1E33">
      <w:pPr>
        <w:jc w:val="both"/>
        <w:rPr>
          <w:rFonts w:ascii="Arial" w:eastAsia="Calibri" w:hAnsi="Arial" w:cs="Arial"/>
          <w:b/>
          <w:color w:val="000000" w:themeColor="text1"/>
          <w:sz w:val="20"/>
          <w:szCs w:val="20"/>
          <w:lang w:val="es-ES_tradnl"/>
        </w:rPr>
      </w:pPr>
    </w:p>
    <w:p w14:paraId="785A98A7" w14:textId="51C37262" w:rsidR="00BE1E33" w:rsidRPr="00274370" w:rsidRDefault="00DC22C6" w:rsidP="00BE1E33">
      <w:pPr>
        <w:jc w:val="both"/>
        <w:rPr>
          <w:rFonts w:ascii="Arial" w:eastAsia="Calibri" w:hAnsi="Arial" w:cs="Arial"/>
          <w:b/>
          <w:color w:val="000000" w:themeColor="text1"/>
          <w:sz w:val="22"/>
          <w:lang w:val="es-ES_tradnl"/>
        </w:rPr>
      </w:pPr>
      <w:r w:rsidRPr="00274370">
        <w:rPr>
          <w:rFonts w:ascii="Arial" w:eastAsia="Calibri" w:hAnsi="Arial" w:cs="Arial"/>
          <w:b/>
          <w:color w:val="000000" w:themeColor="text1"/>
          <w:sz w:val="22"/>
          <w:lang w:val="es-ES_tradnl"/>
        </w:rPr>
        <w:t>DECRETO 092 DE 2017</w:t>
      </w:r>
      <w:r w:rsidR="00BE1E33" w:rsidRPr="00274370">
        <w:rPr>
          <w:rFonts w:ascii="Arial" w:eastAsia="Calibri" w:hAnsi="Arial" w:cs="Arial"/>
          <w:b/>
          <w:color w:val="000000" w:themeColor="text1"/>
          <w:sz w:val="22"/>
          <w:lang w:val="es-ES_tradnl"/>
        </w:rPr>
        <w:t xml:space="preserve"> – </w:t>
      </w:r>
      <w:r w:rsidRPr="00274370">
        <w:rPr>
          <w:rFonts w:ascii="Arial" w:eastAsia="Calibri" w:hAnsi="Arial" w:cs="Arial"/>
          <w:b/>
          <w:color w:val="000000" w:themeColor="text1"/>
          <w:sz w:val="22"/>
          <w:lang w:val="es-ES_tradnl"/>
        </w:rPr>
        <w:t>Convenios de asociación</w:t>
      </w:r>
      <w:r w:rsidR="00BE1E33" w:rsidRPr="00274370">
        <w:rPr>
          <w:rFonts w:ascii="Arial" w:eastAsia="Calibri" w:hAnsi="Arial" w:cs="Arial"/>
          <w:b/>
          <w:color w:val="000000" w:themeColor="text1"/>
          <w:sz w:val="22"/>
          <w:lang w:val="es-ES_tradnl"/>
        </w:rPr>
        <w:t xml:space="preserve"> – </w:t>
      </w:r>
      <w:r w:rsidRPr="00274370">
        <w:rPr>
          <w:rFonts w:ascii="Arial" w:eastAsia="Calibri" w:hAnsi="Arial" w:cs="Arial"/>
          <w:b/>
          <w:color w:val="000000" w:themeColor="text1"/>
          <w:sz w:val="22"/>
          <w:lang w:val="es-ES_tradnl"/>
        </w:rPr>
        <w:t xml:space="preserve">Procesos para </w:t>
      </w:r>
      <w:r w:rsidR="00346F88" w:rsidRPr="00274370">
        <w:rPr>
          <w:rFonts w:ascii="Arial" w:eastAsia="Calibri" w:hAnsi="Arial" w:cs="Arial"/>
          <w:b/>
          <w:color w:val="000000" w:themeColor="text1"/>
          <w:sz w:val="22"/>
          <w:lang w:val="es-ES_tradnl"/>
        </w:rPr>
        <w:t>su</w:t>
      </w:r>
      <w:r w:rsidRPr="00274370">
        <w:rPr>
          <w:rFonts w:ascii="Arial" w:eastAsia="Calibri" w:hAnsi="Arial" w:cs="Arial"/>
          <w:b/>
          <w:color w:val="000000" w:themeColor="text1"/>
          <w:sz w:val="22"/>
          <w:lang w:val="es-ES_tradnl"/>
        </w:rPr>
        <w:t xml:space="preserve"> celebración</w:t>
      </w:r>
    </w:p>
    <w:p w14:paraId="469F36C7" w14:textId="77777777" w:rsidR="00BE1E33" w:rsidRPr="00274370" w:rsidRDefault="00BE1E33" w:rsidP="00BE1E33">
      <w:pPr>
        <w:jc w:val="both"/>
        <w:rPr>
          <w:rFonts w:ascii="Arial" w:eastAsia="Calibri" w:hAnsi="Arial" w:cs="Arial"/>
          <w:b/>
          <w:color w:val="000000" w:themeColor="text1"/>
          <w:sz w:val="20"/>
          <w:szCs w:val="20"/>
          <w:lang w:val="es-ES_tradnl"/>
        </w:rPr>
      </w:pPr>
    </w:p>
    <w:p w14:paraId="650550B9" w14:textId="09BFE2B0" w:rsidR="00BE1E33" w:rsidRPr="00274370" w:rsidRDefault="00DC22C6" w:rsidP="00BE1E33">
      <w:pPr>
        <w:jc w:val="both"/>
        <w:rPr>
          <w:rFonts w:ascii="Arial" w:eastAsia="Calibri" w:hAnsi="Arial" w:cs="Arial"/>
          <w:color w:val="000000" w:themeColor="text1"/>
          <w:sz w:val="20"/>
          <w:szCs w:val="20"/>
          <w:lang w:val="es-ES_tradnl"/>
        </w:rPr>
      </w:pPr>
      <w:r w:rsidRPr="00274370">
        <w:rPr>
          <w:rFonts w:ascii="Arial" w:eastAsia="Calibri" w:hAnsi="Arial" w:cs="Arial"/>
          <w:color w:val="000000" w:themeColor="text1"/>
          <w:sz w:val="20"/>
          <w:szCs w:val="20"/>
          <w:lang w:val="es-ES_tradnl"/>
        </w:rPr>
        <w:t xml:space="preserve">De acuerdo con lo expuesto por el artículo quinto del Decreto 092 de 2017, los procesos de contratación para celebrar convenios solidarios con entidades sin ánimo de lucro en el marco del artículo 96 de la Ley 489 de 1998, podrán adelantarse: i) </w:t>
      </w:r>
      <w:r w:rsidR="00976F3B" w:rsidRPr="00274370">
        <w:rPr>
          <w:rFonts w:ascii="Arial" w:eastAsia="Calibri" w:hAnsi="Arial" w:cs="Arial"/>
          <w:color w:val="000000" w:themeColor="text1"/>
          <w:sz w:val="20"/>
          <w:szCs w:val="20"/>
          <w:lang w:val="es-ES_tradnl"/>
        </w:rPr>
        <w:t>no haya</w:t>
      </w:r>
      <w:r w:rsidRPr="00274370">
        <w:rPr>
          <w:rFonts w:ascii="Arial" w:eastAsia="Calibri" w:hAnsi="Arial" w:cs="Arial"/>
          <w:color w:val="000000" w:themeColor="text1"/>
          <w:sz w:val="20"/>
          <w:szCs w:val="20"/>
          <w:lang w:val="es-ES_tradnl"/>
        </w:rPr>
        <w:t xml:space="preserve"> ESAL que comprometan</w:t>
      </w:r>
      <w:r w:rsidR="000D2220" w:rsidRPr="00274370">
        <w:rPr>
          <w:rFonts w:ascii="Arial" w:eastAsia="Calibri" w:hAnsi="Arial" w:cs="Arial"/>
          <w:color w:val="000000" w:themeColor="text1"/>
          <w:sz w:val="20"/>
          <w:szCs w:val="20"/>
          <w:lang w:val="es-ES_tradnl"/>
        </w:rPr>
        <w:t xml:space="preserve"> recursos en</w:t>
      </w:r>
      <w:r w:rsidRPr="00274370">
        <w:rPr>
          <w:rFonts w:ascii="Arial" w:eastAsia="Calibri" w:hAnsi="Arial" w:cs="Arial"/>
          <w:color w:val="000000" w:themeColor="text1"/>
          <w:sz w:val="20"/>
          <w:szCs w:val="20"/>
          <w:lang w:val="es-ES_tradnl"/>
        </w:rPr>
        <w:t xml:space="preserve"> un porcentaje igual o superior al treinta por ciento (30%) del valor total del convenio; ii) con exclusión de un proceso competitivo</w:t>
      </w:r>
      <w:r w:rsidR="006550F8" w:rsidRPr="00274370">
        <w:rPr>
          <w:rFonts w:ascii="Arial" w:eastAsia="Calibri" w:hAnsi="Arial" w:cs="Arial"/>
          <w:color w:val="000000" w:themeColor="text1"/>
          <w:sz w:val="20"/>
          <w:szCs w:val="20"/>
          <w:lang w:val="es-ES_tradnl"/>
        </w:rPr>
        <w:t>,</w:t>
      </w:r>
      <w:r w:rsidRPr="00274370">
        <w:rPr>
          <w:rFonts w:ascii="Arial" w:eastAsia="Calibri" w:hAnsi="Arial" w:cs="Arial"/>
          <w:color w:val="000000" w:themeColor="text1"/>
          <w:sz w:val="20"/>
          <w:szCs w:val="20"/>
          <w:lang w:val="es-ES_tradnl"/>
        </w:rPr>
        <w:t xml:space="preserve"> cuando se presente solo una ESAL dispuesta a comprometer </w:t>
      </w:r>
      <w:r w:rsidR="000D2220" w:rsidRPr="00274370">
        <w:rPr>
          <w:rFonts w:ascii="Arial" w:eastAsia="Calibri" w:hAnsi="Arial" w:cs="Arial"/>
          <w:color w:val="000000" w:themeColor="text1"/>
          <w:sz w:val="20"/>
          <w:szCs w:val="20"/>
          <w:lang w:val="es-ES_tradnl"/>
        </w:rPr>
        <w:t xml:space="preserve">recursos en </w:t>
      </w:r>
      <w:r w:rsidRPr="00274370">
        <w:rPr>
          <w:rFonts w:ascii="Arial" w:eastAsia="Calibri" w:hAnsi="Arial" w:cs="Arial"/>
          <w:color w:val="000000" w:themeColor="text1"/>
          <w:sz w:val="20"/>
          <w:szCs w:val="20"/>
          <w:lang w:val="es-ES_tradnl"/>
        </w:rPr>
        <w:t xml:space="preserve">un porcentaje igual o superior al treinta por ciento (30%) del valor total del convenio; o, iii) a través de un proceso de selección objetiva cuando </w:t>
      </w:r>
      <w:r w:rsidR="00976F3B" w:rsidRPr="00274370">
        <w:rPr>
          <w:rFonts w:ascii="Arial" w:eastAsia="Calibri" w:hAnsi="Arial" w:cs="Arial"/>
          <w:color w:val="000000" w:themeColor="text1"/>
          <w:sz w:val="20"/>
          <w:szCs w:val="20"/>
          <w:lang w:val="es-ES_tradnl"/>
        </w:rPr>
        <w:t>existan</w:t>
      </w:r>
      <w:r w:rsidRPr="00274370">
        <w:rPr>
          <w:rFonts w:ascii="Arial" w:eastAsia="Calibri" w:hAnsi="Arial" w:cs="Arial"/>
          <w:color w:val="000000" w:themeColor="text1"/>
          <w:sz w:val="20"/>
          <w:szCs w:val="20"/>
          <w:lang w:val="es-ES_tradnl"/>
        </w:rPr>
        <w:t xml:space="preserve"> dos o más ESAL dispuestas a comprometer </w:t>
      </w:r>
      <w:r w:rsidR="000D2220" w:rsidRPr="00274370">
        <w:rPr>
          <w:rFonts w:ascii="Arial" w:eastAsia="Calibri" w:hAnsi="Arial" w:cs="Arial"/>
          <w:color w:val="000000" w:themeColor="text1"/>
          <w:sz w:val="20"/>
          <w:szCs w:val="20"/>
          <w:lang w:val="es-ES_tradnl"/>
        </w:rPr>
        <w:t xml:space="preserve">recursos en </w:t>
      </w:r>
      <w:r w:rsidRPr="00274370">
        <w:rPr>
          <w:rFonts w:ascii="Arial" w:eastAsia="Calibri" w:hAnsi="Arial" w:cs="Arial"/>
          <w:color w:val="000000" w:themeColor="text1"/>
          <w:sz w:val="20"/>
          <w:szCs w:val="20"/>
          <w:lang w:val="es-ES_tradnl"/>
        </w:rPr>
        <w:t>un porcentaje igual o superior al treinta por ciento (30%) del valor total del convenio</w:t>
      </w:r>
      <w:r w:rsidR="006550F8" w:rsidRPr="00274370">
        <w:rPr>
          <w:rFonts w:ascii="Arial" w:eastAsia="Calibri" w:hAnsi="Arial" w:cs="Arial"/>
          <w:color w:val="000000" w:themeColor="text1"/>
          <w:sz w:val="20"/>
          <w:szCs w:val="20"/>
          <w:lang w:val="es-ES_tradnl"/>
        </w:rPr>
        <w:t>.</w:t>
      </w:r>
    </w:p>
    <w:p w14:paraId="17F6C0A5" w14:textId="77777777" w:rsidR="00BE1E33" w:rsidRPr="00274370" w:rsidRDefault="00BE1E33" w:rsidP="00BE1E33">
      <w:pPr>
        <w:jc w:val="both"/>
        <w:rPr>
          <w:rFonts w:ascii="Arial" w:eastAsia="Calibri" w:hAnsi="Arial" w:cs="Arial"/>
          <w:color w:val="000000" w:themeColor="text1"/>
          <w:sz w:val="20"/>
          <w:szCs w:val="20"/>
          <w:lang w:val="es-ES_tradnl"/>
        </w:rPr>
      </w:pPr>
    </w:p>
    <w:p w14:paraId="704941F2" w14:textId="6662BDE4" w:rsidR="00BE1E33" w:rsidRPr="00274370" w:rsidRDefault="000D2220" w:rsidP="00BE1E33">
      <w:pPr>
        <w:jc w:val="both"/>
        <w:rPr>
          <w:rFonts w:ascii="Arial" w:eastAsia="Calibri" w:hAnsi="Arial" w:cs="Arial"/>
          <w:b/>
          <w:color w:val="000000" w:themeColor="text1"/>
          <w:sz w:val="20"/>
          <w:szCs w:val="20"/>
          <w:lang w:val="es-ES_tradnl"/>
        </w:rPr>
      </w:pPr>
      <w:r w:rsidRPr="00274370">
        <w:rPr>
          <w:rFonts w:ascii="Arial" w:eastAsia="Calibri" w:hAnsi="Arial" w:cs="Arial"/>
          <w:b/>
          <w:color w:val="000000" w:themeColor="text1"/>
          <w:sz w:val="22"/>
          <w:lang w:val="es-ES_tradnl"/>
        </w:rPr>
        <w:t>DECRETO 092 DE 2017</w:t>
      </w:r>
      <w:r w:rsidR="00BE1E33" w:rsidRPr="00274370">
        <w:rPr>
          <w:rFonts w:ascii="Arial" w:eastAsia="Calibri" w:hAnsi="Arial" w:cs="Arial"/>
          <w:b/>
          <w:color w:val="000000" w:themeColor="text1"/>
          <w:sz w:val="22"/>
          <w:lang w:val="es-ES_tradnl"/>
        </w:rPr>
        <w:t xml:space="preserve"> – </w:t>
      </w:r>
      <w:r w:rsidRPr="00274370">
        <w:rPr>
          <w:rFonts w:ascii="Arial" w:eastAsia="Calibri" w:hAnsi="Arial" w:cs="Arial"/>
          <w:b/>
          <w:color w:val="000000" w:themeColor="text1"/>
          <w:sz w:val="22"/>
          <w:lang w:val="es-ES_tradnl"/>
        </w:rPr>
        <w:t>Convenios de asociación</w:t>
      </w:r>
      <w:r w:rsidR="00BE1E33" w:rsidRPr="00274370">
        <w:rPr>
          <w:rFonts w:ascii="Arial" w:eastAsia="Calibri" w:hAnsi="Arial" w:cs="Arial"/>
          <w:b/>
          <w:color w:val="000000" w:themeColor="text1"/>
          <w:sz w:val="22"/>
          <w:lang w:val="es-ES_tradnl"/>
        </w:rPr>
        <w:t xml:space="preserve"> –</w:t>
      </w:r>
      <w:r w:rsidR="0023180C" w:rsidRPr="00274370">
        <w:rPr>
          <w:rFonts w:ascii="Arial" w:eastAsia="Calibri" w:hAnsi="Arial" w:cs="Arial"/>
          <w:b/>
          <w:color w:val="000000" w:themeColor="text1"/>
          <w:sz w:val="22"/>
          <w:lang w:val="es-ES_tradnl"/>
        </w:rPr>
        <w:t xml:space="preserve"> </w:t>
      </w:r>
      <w:r w:rsidRPr="00274370">
        <w:rPr>
          <w:rFonts w:ascii="Arial" w:eastAsia="Calibri" w:hAnsi="Arial" w:cs="Arial"/>
          <w:b/>
          <w:color w:val="000000" w:themeColor="text1"/>
          <w:sz w:val="22"/>
          <w:lang w:val="es-ES_tradnl"/>
        </w:rPr>
        <w:t>Proceso de planeación</w:t>
      </w:r>
      <w:r w:rsidR="00BE1E33" w:rsidRPr="00274370">
        <w:rPr>
          <w:rFonts w:ascii="Arial" w:eastAsia="Calibri" w:hAnsi="Arial" w:cs="Arial"/>
          <w:b/>
          <w:color w:val="000000" w:themeColor="text1"/>
          <w:sz w:val="20"/>
          <w:szCs w:val="20"/>
          <w:lang w:val="es-ES_tradnl"/>
        </w:rPr>
        <w:t xml:space="preserve"> </w:t>
      </w:r>
    </w:p>
    <w:p w14:paraId="4573D01C" w14:textId="77777777" w:rsidR="00BE1E33" w:rsidRPr="00274370" w:rsidRDefault="00BE1E33" w:rsidP="00BE1E33">
      <w:pPr>
        <w:jc w:val="both"/>
        <w:rPr>
          <w:rFonts w:ascii="Arial" w:eastAsia="Calibri" w:hAnsi="Arial" w:cs="Arial"/>
          <w:b/>
          <w:color w:val="000000" w:themeColor="text1"/>
          <w:sz w:val="20"/>
          <w:szCs w:val="20"/>
          <w:lang w:val="es-ES_tradnl"/>
        </w:rPr>
      </w:pPr>
    </w:p>
    <w:p w14:paraId="07038AEE" w14:textId="5C6AAE25" w:rsidR="00BE1E33" w:rsidRPr="00274370" w:rsidRDefault="000D2220" w:rsidP="00BE1E33">
      <w:pPr>
        <w:jc w:val="both"/>
        <w:rPr>
          <w:rFonts w:ascii="Arial" w:eastAsia="Calibri" w:hAnsi="Arial" w:cs="Arial"/>
          <w:color w:val="000000" w:themeColor="text1"/>
          <w:sz w:val="20"/>
          <w:szCs w:val="20"/>
          <w:lang w:val="es-ES_tradnl"/>
        </w:rPr>
      </w:pPr>
      <w:r w:rsidRPr="00274370">
        <w:rPr>
          <w:rFonts w:ascii="Arial" w:eastAsia="Calibri" w:hAnsi="Arial" w:cs="Arial"/>
          <w:color w:val="000000" w:themeColor="text1"/>
          <w:sz w:val="20"/>
          <w:szCs w:val="20"/>
          <w:lang w:val="es-ES_tradnl"/>
        </w:rPr>
        <w:t>Si bien la norma prevé que en un proceso de selección adelantado en el marco del Decreto 092 de 2017 y en relación con la celebración de convenios solidarios, cuando se presente solo una ESAL que comprometa recursos en un porcentaje igual o superior al treinta por ciento (30%) del valor total del convenio, esta se encontrará excluida del proceso competitivo, la entidad estatal se encuentra obligada a adelantar un proceso de planeación que le permita identificar las características objetivas del sector. Lo anterior, permitirá que la contratante determine si existen más ESAL facultadas para comprometer recursos en el porcentaje antes indicado, sin que esto implique para ella la obligación de adelantar procesos de convocatoria.</w:t>
      </w:r>
    </w:p>
    <w:p w14:paraId="2DF58E40" w14:textId="77777777" w:rsidR="00BE1E33" w:rsidRPr="00274370" w:rsidRDefault="00BE1E33" w:rsidP="00BE1E33">
      <w:pPr>
        <w:jc w:val="both"/>
        <w:rPr>
          <w:rFonts w:ascii="Arial" w:eastAsia="Calibri" w:hAnsi="Arial" w:cs="Arial"/>
          <w:color w:val="000000" w:themeColor="text1"/>
          <w:sz w:val="20"/>
          <w:szCs w:val="20"/>
          <w:lang w:val="es-ES_tradnl"/>
        </w:rPr>
      </w:pPr>
    </w:p>
    <w:p w14:paraId="405EF329" w14:textId="5732EB55" w:rsidR="00BE1E33" w:rsidRPr="00274370" w:rsidRDefault="000D2220" w:rsidP="00BE1E33">
      <w:pPr>
        <w:jc w:val="both"/>
        <w:rPr>
          <w:rFonts w:ascii="Arial" w:eastAsia="Calibri" w:hAnsi="Arial" w:cs="Arial"/>
          <w:b/>
          <w:color w:val="000000" w:themeColor="text1"/>
          <w:sz w:val="22"/>
          <w:lang w:val="es-ES_tradnl"/>
        </w:rPr>
      </w:pPr>
      <w:r w:rsidRPr="00274370">
        <w:rPr>
          <w:rFonts w:ascii="Arial" w:eastAsia="Calibri" w:hAnsi="Arial" w:cs="Arial"/>
          <w:b/>
          <w:color w:val="000000" w:themeColor="text1"/>
          <w:sz w:val="22"/>
          <w:lang w:val="es-ES_tradnl"/>
        </w:rPr>
        <w:t>DECRETO 092 de 2017</w:t>
      </w:r>
      <w:r w:rsidR="00BE1E33" w:rsidRPr="00274370">
        <w:rPr>
          <w:rFonts w:ascii="Arial" w:eastAsia="Calibri" w:hAnsi="Arial" w:cs="Arial"/>
          <w:b/>
          <w:color w:val="000000" w:themeColor="text1"/>
          <w:sz w:val="22"/>
          <w:lang w:val="es-ES_tradnl"/>
        </w:rPr>
        <w:t xml:space="preserve"> – </w:t>
      </w:r>
      <w:r w:rsidRPr="00274370">
        <w:rPr>
          <w:rFonts w:ascii="Arial" w:eastAsia="Calibri" w:hAnsi="Arial" w:cs="Arial"/>
          <w:b/>
          <w:color w:val="000000" w:themeColor="text1"/>
          <w:sz w:val="22"/>
          <w:lang w:val="es-ES_tradnl"/>
        </w:rPr>
        <w:t>ESAL</w:t>
      </w:r>
      <w:r w:rsidR="00BE1E33" w:rsidRPr="00274370">
        <w:rPr>
          <w:rFonts w:ascii="Arial" w:eastAsia="Calibri" w:hAnsi="Arial" w:cs="Arial"/>
          <w:b/>
          <w:color w:val="000000" w:themeColor="text1"/>
          <w:sz w:val="22"/>
          <w:lang w:val="es-ES_tradnl"/>
        </w:rPr>
        <w:t xml:space="preserve"> – </w:t>
      </w:r>
      <w:r w:rsidRPr="00274370">
        <w:rPr>
          <w:rFonts w:ascii="Arial" w:eastAsia="Calibri" w:hAnsi="Arial" w:cs="Arial"/>
          <w:b/>
          <w:color w:val="000000" w:themeColor="text1"/>
          <w:sz w:val="22"/>
          <w:lang w:val="es-ES_tradnl"/>
        </w:rPr>
        <w:t>Obligatoriedad de registro en SECOP II</w:t>
      </w:r>
    </w:p>
    <w:p w14:paraId="15A3316E" w14:textId="77777777" w:rsidR="00BE1E33" w:rsidRPr="00274370" w:rsidRDefault="00BE1E33" w:rsidP="00BE1E33">
      <w:pPr>
        <w:jc w:val="both"/>
        <w:rPr>
          <w:rFonts w:ascii="Arial" w:eastAsia="Calibri" w:hAnsi="Arial" w:cs="Arial"/>
          <w:color w:val="000000" w:themeColor="text1"/>
          <w:sz w:val="20"/>
          <w:szCs w:val="20"/>
          <w:lang w:val="es-ES_tradnl"/>
        </w:rPr>
      </w:pPr>
    </w:p>
    <w:p w14:paraId="30AC1204" w14:textId="38A8BCE8" w:rsidR="00BE1E33" w:rsidRPr="00274370" w:rsidRDefault="000D2220" w:rsidP="00BE1E33">
      <w:pPr>
        <w:jc w:val="both"/>
        <w:rPr>
          <w:rFonts w:ascii="Arial" w:eastAsia="Calibri" w:hAnsi="Arial" w:cs="Arial"/>
          <w:color w:val="000000" w:themeColor="text1"/>
          <w:sz w:val="20"/>
          <w:szCs w:val="20"/>
          <w:lang w:val="es-ES_tradnl"/>
        </w:rPr>
      </w:pPr>
      <w:r w:rsidRPr="00274370">
        <w:rPr>
          <w:rFonts w:ascii="Arial" w:eastAsia="Calibri" w:hAnsi="Arial" w:cs="Arial"/>
          <w:color w:val="000000" w:themeColor="text1"/>
          <w:sz w:val="20"/>
          <w:szCs w:val="20"/>
          <w:lang w:val="es-ES_tradnl"/>
        </w:rPr>
        <w:t>«En la actualidad el SECOP I es un módulo meramente informativo que no permite el registro de proveedores de manera virtual, mientras que el SECOP II constituye el módulo correspondiente a ingreso de la información prevista en la normativa general de contratación estatal. Adicionalmente, la Agencia Nacional de Contratación Pública – Colombia Compra Eficiente, en su calidad de administradora del Sistema Electrónico para la Contratación Pública, indicó expresamente a través de la Circular Externa No. 1 de 2019 que los procesos de contratación entre todas las entidades del Estado colombiano y las ESAL deben ser tramitadas a través del SECOP II, empleando para tal fin el módulo de régimen especial»</w:t>
      </w:r>
      <w:r w:rsidR="00BE1E33" w:rsidRPr="00274370">
        <w:rPr>
          <w:rFonts w:ascii="Arial" w:eastAsia="Calibri" w:hAnsi="Arial" w:cs="Arial"/>
          <w:color w:val="000000" w:themeColor="text1"/>
          <w:sz w:val="20"/>
          <w:szCs w:val="20"/>
          <w:lang w:val="es-ES_tradnl"/>
        </w:rPr>
        <w:t>.</w:t>
      </w:r>
    </w:p>
    <w:p w14:paraId="2010468C" w14:textId="563ED93F" w:rsidR="00BE1E33" w:rsidRPr="00274370" w:rsidRDefault="00BE1E33" w:rsidP="00BE1E33">
      <w:pPr>
        <w:jc w:val="both"/>
        <w:rPr>
          <w:rFonts w:ascii="Arial" w:eastAsia="Calibri" w:hAnsi="Arial" w:cs="Arial"/>
          <w:bCs/>
          <w:color w:val="000000" w:themeColor="text1"/>
          <w:sz w:val="20"/>
          <w:szCs w:val="20"/>
          <w:lang w:val="es-ES_tradnl"/>
        </w:rPr>
      </w:pPr>
    </w:p>
    <w:p w14:paraId="442129EB" w14:textId="77777777" w:rsidR="000D2220" w:rsidRPr="00274370" w:rsidRDefault="000D2220" w:rsidP="00BE1E33">
      <w:pPr>
        <w:jc w:val="both"/>
        <w:rPr>
          <w:rFonts w:ascii="Arial" w:eastAsia="Calibri" w:hAnsi="Arial" w:cs="Arial"/>
          <w:bCs/>
          <w:color w:val="000000" w:themeColor="text1"/>
          <w:sz w:val="20"/>
          <w:szCs w:val="20"/>
          <w:lang w:val="es-ES_tradnl"/>
        </w:rPr>
      </w:pPr>
    </w:p>
    <w:p w14:paraId="53C47ACF" w14:textId="77777777" w:rsidR="00ED3EF0" w:rsidRPr="00274370" w:rsidRDefault="00ED3EF0" w:rsidP="00BE1E33">
      <w:pPr>
        <w:rPr>
          <w:rFonts w:ascii="Arial" w:hAnsi="Arial" w:cs="Arial"/>
          <w:color w:val="000000" w:themeColor="text1"/>
          <w:sz w:val="22"/>
          <w:lang w:val="es-ES_tradnl"/>
        </w:rPr>
      </w:pPr>
    </w:p>
    <w:p w14:paraId="5A39B297" w14:textId="77777777" w:rsidR="00ED3EF0" w:rsidRPr="00274370" w:rsidRDefault="00ED3EF0" w:rsidP="00BE1E33">
      <w:pPr>
        <w:rPr>
          <w:rFonts w:ascii="Arial" w:hAnsi="Arial" w:cs="Arial"/>
          <w:color w:val="000000" w:themeColor="text1"/>
          <w:sz w:val="22"/>
          <w:lang w:val="es-ES_tradnl"/>
        </w:rPr>
      </w:pPr>
    </w:p>
    <w:p w14:paraId="7CC5E554" w14:textId="77777777" w:rsidR="00ED3EF0" w:rsidRPr="00274370" w:rsidRDefault="00ED3EF0" w:rsidP="00BE1E33">
      <w:pPr>
        <w:rPr>
          <w:rFonts w:ascii="Arial" w:hAnsi="Arial" w:cs="Arial"/>
          <w:color w:val="000000" w:themeColor="text1"/>
          <w:sz w:val="22"/>
          <w:lang w:val="es-ES_tradnl"/>
        </w:rPr>
      </w:pPr>
    </w:p>
    <w:p w14:paraId="29EAC975" w14:textId="77777777" w:rsidR="00ED3EF0" w:rsidRPr="00274370" w:rsidRDefault="00ED3EF0" w:rsidP="00BE1E33">
      <w:pPr>
        <w:rPr>
          <w:rFonts w:ascii="Arial" w:hAnsi="Arial" w:cs="Arial"/>
          <w:color w:val="000000" w:themeColor="text1"/>
          <w:sz w:val="22"/>
          <w:lang w:val="es-ES_tradnl"/>
        </w:rPr>
      </w:pPr>
    </w:p>
    <w:p w14:paraId="2C6FA388" w14:textId="77777777" w:rsidR="00ED3EF0" w:rsidRPr="00274370" w:rsidRDefault="00ED3EF0" w:rsidP="00BE1E33">
      <w:pPr>
        <w:rPr>
          <w:rFonts w:ascii="Arial" w:hAnsi="Arial" w:cs="Arial"/>
          <w:color w:val="000000" w:themeColor="text1"/>
          <w:sz w:val="22"/>
          <w:lang w:val="es-ES_tradnl"/>
        </w:rPr>
      </w:pPr>
    </w:p>
    <w:p w14:paraId="50EB8C6E" w14:textId="77777777" w:rsidR="00ED3EF0" w:rsidRPr="00274370" w:rsidRDefault="00ED3EF0" w:rsidP="00BE1E33">
      <w:pPr>
        <w:rPr>
          <w:rFonts w:ascii="Arial" w:hAnsi="Arial" w:cs="Arial"/>
          <w:color w:val="000000" w:themeColor="text1"/>
          <w:sz w:val="22"/>
          <w:lang w:val="es-ES_tradnl"/>
        </w:rPr>
      </w:pPr>
    </w:p>
    <w:p w14:paraId="320EFF09" w14:textId="77777777" w:rsidR="00ED3EF0" w:rsidRPr="00274370" w:rsidRDefault="00ED3EF0" w:rsidP="00BE1E33">
      <w:pPr>
        <w:rPr>
          <w:rFonts w:ascii="Arial" w:hAnsi="Arial" w:cs="Arial"/>
          <w:color w:val="000000" w:themeColor="text1"/>
          <w:sz w:val="22"/>
          <w:lang w:val="es-ES_tradnl"/>
        </w:rPr>
      </w:pPr>
    </w:p>
    <w:p w14:paraId="6068435F" w14:textId="53E4D8CF" w:rsidR="00BE1E33" w:rsidRPr="006734CA" w:rsidRDefault="00BE1E33" w:rsidP="00BE1E33">
      <w:pPr>
        <w:rPr>
          <w:rFonts w:ascii="Arial" w:hAnsi="Arial" w:cs="Arial"/>
          <w:b/>
          <w:color w:val="000000" w:themeColor="text1"/>
          <w:sz w:val="22"/>
          <w:lang w:val="es-ES_tradnl"/>
        </w:rPr>
      </w:pPr>
      <w:r w:rsidRPr="00274370">
        <w:rPr>
          <w:rFonts w:ascii="Arial" w:hAnsi="Arial" w:cs="Arial"/>
          <w:color w:val="000000" w:themeColor="text1"/>
          <w:sz w:val="22"/>
          <w:lang w:val="es-ES_tradnl"/>
        </w:rPr>
        <w:lastRenderedPageBreak/>
        <w:t xml:space="preserve">Bogotá D.C., </w:t>
      </w:r>
      <w:r w:rsidR="00B2594C" w:rsidRPr="00B2594C">
        <w:rPr>
          <w:rFonts w:ascii="Arial" w:hAnsi="Arial" w:cs="Arial"/>
          <w:b/>
          <w:color w:val="000000" w:themeColor="text1"/>
          <w:sz w:val="22"/>
          <w:lang w:val="es-ES"/>
        </w:rPr>
        <w:t>30/11/2020 Hora 12:54:33s</w:t>
      </w:r>
    </w:p>
    <w:p w14:paraId="352037A2" w14:textId="77777777" w:rsidR="00662792" w:rsidRPr="006734CA" w:rsidRDefault="00662792" w:rsidP="00BE1E33">
      <w:pPr>
        <w:jc w:val="right"/>
        <w:rPr>
          <w:rFonts w:ascii="Arial" w:hAnsi="Arial" w:cs="Arial"/>
          <w:b/>
          <w:color w:val="000000" w:themeColor="text1"/>
          <w:sz w:val="22"/>
          <w:lang w:val="es-ES_tradnl"/>
        </w:rPr>
      </w:pPr>
    </w:p>
    <w:p w14:paraId="1AED6E7A" w14:textId="2B2F260B" w:rsidR="00BE1E33" w:rsidRPr="006734CA" w:rsidRDefault="00BE1E33" w:rsidP="00BE1E33">
      <w:pPr>
        <w:jc w:val="right"/>
        <w:rPr>
          <w:rFonts w:ascii="Arial" w:hAnsi="Arial" w:cs="Arial"/>
          <w:b/>
          <w:color w:val="000000" w:themeColor="text1"/>
          <w:sz w:val="22"/>
          <w:lang w:val="es-ES_tradnl"/>
        </w:rPr>
      </w:pPr>
      <w:r w:rsidRPr="006734CA">
        <w:rPr>
          <w:rFonts w:ascii="Arial" w:hAnsi="Arial" w:cs="Arial"/>
          <w:b/>
          <w:color w:val="000000" w:themeColor="text1"/>
          <w:sz w:val="22"/>
          <w:lang w:val="es-ES_tradnl"/>
        </w:rPr>
        <w:t xml:space="preserve">N° Radicado: </w:t>
      </w:r>
      <w:r w:rsidR="00B2594C" w:rsidRPr="00B2594C">
        <w:rPr>
          <w:rFonts w:ascii="Arial" w:hAnsi="Arial" w:cs="Arial"/>
          <w:b/>
          <w:color w:val="000000" w:themeColor="text1"/>
          <w:sz w:val="22"/>
          <w:lang w:val="es-ES"/>
        </w:rPr>
        <w:t>2202013000011802</w:t>
      </w:r>
    </w:p>
    <w:p w14:paraId="4ED669B5" w14:textId="77777777" w:rsidR="00BE1E33" w:rsidRPr="006734CA" w:rsidRDefault="00BE1E33" w:rsidP="00BE1E33">
      <w:pPr>
        <w:rPr>
          <w:rFonts w:ascii="Arial" w:eastAsia="Calibri" w:hAnsi="Arial" w:cs="Arial"/>
          <w:color w:val="000000" w:themeColor="text1"/>
          <w:sz w:val="22"/>
          <w:lang w:val="es-ES_tradnl"/>
        </w:rPr>
      </w:pPr>
    </w:p>
    <w:p w14:paraId="12A234ED" w14:textId="77777777" w:rsidR="00BE1E33" w:rsidRPr="006734CA" w:rsidRDefault="00BE1E33" w:rsidP="00BE1E33">
      <w:pPr>
        <w:rPr>
          <w:rFonts w:ascii="Arial" w:eastAsia="Calibri" w:hAnsi="Arial" w:cs="Arial"/>
          <w:color w:val="000000" w:themeColor="text1"/>
          <w:sz w:val="22"/>
          <w:lang w:val="es-ES_tradnl"/>
        </w:rPr>
      </w:pPr>
    </w:p>
    <w:p w14:paraId="73D51859" w14:textId="1EB3DDA5" w:rsidR="00BE1E33" w:rsidRPr="006734CA" w:rsidRDefault="00481DE3" w:rsidP="00BE1E33">
      <w:pPr>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Señor</w:t>
      </w:r>
    </w:p>
    <w:p w14:paraId="51140DA2" w14:textId="25028797" w:rsidR="00BE1E33" w:rsidRPr="006734CA" w:rsidRDefault="00AA7209" w:rsidP="00BE1E33">
      <w:pPr>
        <w:rPr>
          <w:rFonts w:ascii="Arial" w:eastAsia="Calibri" w:hAnsi="Arial" w:cs="Arial"/>
          <w:b/>
          <w:color w:val="000000" w:themeColor="text1"/>
          <w:sz w:val="22"/>
          <w:lang w:val="es-ES_tradnl"/>
        </w:rPr>
      </w:pPr>
      <w:r w:rsidRPr="006734CA">
        <w:rPr>
          <w:rFonts w:ascii="Arial" w:eastAsia="Calibri" w:hAnsi="Arial" w:cs="Arial"/>
          <w:b/>
          <w:color w:val="000000" w:themeColor="text1"/>
          <w:sz w:val="22"/>
          <w:lang w:val="es-ES_tradnl"/>
        </w:rPr>
        <w:t>William Alexander Silva Pineda</w:t>
      </w:r>
    </w:p>
    <w:p w14:paraId="095BF112" w14:textId="66275420" w:rsidR="00BE1E33" w:rsidRPr="006734CA" w:rsidRDefault="00AA7209" w:rsidP="00BE1E33">
      <w:pPr>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Armenia, Quindío</w:t>
      </w:r>
    </w:p>
    <w:p w14:paraId="04EF8353" w14:textId="77777777" w:rsidR="00BE1E33" w:rsidRPr="006734CA" w:rsidRDefault="00BE1E33" w:rsidP="00BE1E33">
      <w:pPr>
        <w:rPr>
          <w:rFonts w:ascii="Arial" w:eastAsia="Calibri" w:hAnsi="Arial" w:cs="Arial"/>
          <w:color w:val="000000" w:themeColor="text1"/>
          <w:sz w:val="22"/>
          <w:lang w:val="es-ES_tradnl"/>
        </w:rPr>
      </w:pPr>
    </w:p>
    <w:p w14:paraId="738DBA53" w14:textId="77777777" w:rsidR="00BE1E33" w:rsidRPr="006734CA" w:rsidRDefault="00BE1E33" w:rsidP="00BE1E33">
      <w:pPr>
        <w:rPr>
          <w:rFonts w:ascii="Arial" w:eastAsia="Calibri" w:hAnsi="Arial" w:cs="Arial"/>
          <w:color w:val="000000" w:themeColor="text1"/>
          <w:sz w:val="22"/>
          <w:lang w:val="es-ES_tradnl"/>
        </w:rPr>
      </w:pPr>
    </w:p>
    <w:p w14:paraId="5CEA4ADF" w14:textId="0EE09FEF" w:rsidR="00BE1E33" w:rsidRPr="006734CA" w:rsidRDefault="00BE1E33" w:rsidP="00BE1E33">
      <w:pPr>
        <w:ind w:firstLine="2694"/>
        <w:rPr>
          <w:rFonts w:ascii="Arial" w:eastAsia="Calibri" w:hAnsi="Arial" w:cs="Arial"/>
          <w:b/>
          <w:color w:val="000000" w:themeColor="text1"/>
          <w:sz w:val="22"/>
          <w:lang w:val="es-ES_tradnl"/>
        </w:rPr>
      </w:pPr>
      <w:r w:rsidRPr="006734CA">
        <w:rPr>
          <w:rFonts w:ascii="Arial" w:eastAsia="Calibri" w:hAnsi="Arial" w:cs="Arial"/>
          <w:b/>
          <w:color w:val="000000" w:themeColor="text1"/>
          <w:sz w:val="22"/>
          <w:lang w:val="es-ES_tradnl"/>
        </w:rPr>
        <w:t xml:space="preserve">Concepto C </w:t>
      </w:r>
      <w:r w:rsidR="00490DBF" w:rsidRPr="006734CA">
        <w:rPr>
          <w:rFonts w:ascii="Arial" w:eastAsia="Calibri" w:hAnsi="Arial" w:cs="Arial"/>
          <w:b/>
          <w:color w:val="000000" w:themeColor="text1"/>
          <w:sz w:val="22"/>
          <w:lang w:val="es-ES_tradnl"/>
        </w:rPr>
        <w:t>–</w:t>
      </w:r>
      <w:r w:rsidRPr="006734CA">
        <w:rPr>
          <w:rFonts w:ascii="Arial" w:eastAsia="Calibri" w:hAnsi="Arial" w:cs="Arial"/>
          <w:b/>
          <w:color w:val="000000" w:themeColor="text1"/>
          <w:sz w:val="22"/>
          <w:lang w:val="es-ES_tradnl"/>
        </w:rPr>
        <w:t xml:space="preserve"> </w:t>
      </w:r>
      <w:r w:rsidR="00B77186">
        <w:rPr>
          <w:rFonts w:ascii="Arial" w:eastAsia="Calibri" w:hAnsi="Arial" w:cs="Arial"/>
          <w:b/>
          <w:color w:val="000000" w:themeColor="text1"/>
          <w:sz w:val="22"/>
          <w:lang w:val="es-ES_tradnl"/>
        </w:rPr>
        <w:t>670</w:t>
      </w:r>
      <w:r w:rsidRPr="006734CA">
        <w:rPr>
          <w:rFonts w:ascii="Arial" w:eastAsia="Calibri" w:hAnsi="Arial" w:cs="Arial"/>
          <w:b/>
          <w:color w:val="000000" w:themeColor="text1"/>
          <w:sz w:val="22"/>
          <w:lang w:val="es-ES_tradnl"/>
        </w:rPr>
        <w:t xml:space="preserve"> de </w:t>
      </w:r>
      <w:r w:rsidR="00B77186">
        <w:rPr>
          <w:rFonts w:ascii="Arial" w:eastAsia="Calibri" w:hAnsi="Arial" w:cs="Arial"/>
          <w:b/>
          <w:color w:val="000000" w:themeColor="text1"/>
          <w:sz w:val="22"/>
          <w:lang w:val="es-ES_tradnl"/>
        </w:rPr>
        <w:t>2020</w:t>
      </w:r>
    </w:p>
    <w:p w14:paraId="234727AD" w14:textId="77777777" w:rsidR="00BE1E33" w:rsidRPr="006734CA" w:rsidRDefault="00BE1E33" w:rsidP="00BE1E33">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6B6339" w14:paraId="2553E4F3" w14:textId="77777777" w:rsidTr="004101BC">
        <w:tc>
          <w:tcPr>
            <w:tcW w:w="2689" w:type="dxa"/>
            <w:hideMark/>
          </w:tcPr>
          <w:p w14:paraId="7BC9E971" w14:textId="77777777" w:rsidR="00BE1E33" w:rsidRPr="006734CA" w:rsidRDefault="00BE1E33" w:rsidP="004101BC">
            <w:pPr>
              <w:rPr>
                <w:rFonts w:ascii="Arial" w:eastAsia="Calibri" w:hAnsi="Arial" w:cs="Arial"/>
                <w:color w:val="000000" w:themeColor="text1"/>
                <w:sz w:val="22"/>
                <w:lang w:val="es-ES_tradnl"/>
              </w:rPr>
            </w:pPr>
            <w:r w:rsidRPr="006734CA">
              <w:rPr>
                <w:rFonts w:ascii="Arial" w:eastAsia="Calibri" w:hAnsi="Arial" w:cs="Arial"/>
                <w:b/>
                <w:color w:val="000000" w:themeColor="text1"/>
                <w:sz w:val="22"/>
                <w:lang w:val="es-ES_tradnl"/>
              </w:rPr>
              <w:t>Temas:</w:t>
            </w:r>
            <w:r w:rsidRPr="006734CA">
              <w:rPr>
                <w:rFonts w:ascii="Arial" w:eastAsia="Calibri" w:hAnsi="Arial" w:cs="Arial"/>
                <w:color w:val="000000" w:themeColor="text1"/>
                <w:sz w:val="22"/>
                <w:lang w:val="es-ES_tradnl"/>
              </w:rPr>
              <w:t xml:space="preserve">           </w:t>
            </w:r>
          </w:p>
          <w:p w14:paraId="0C0D8CD7" w14:textId="77777777" w:rsidR="00BE1E33" w:rsidRPr="006734CA" w:rsidRDefault="00BE1E33" w:rsidP="004101BC">
            <w:pPr>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 xml:space="preserve">                           </w:t>
            </w:r>
          </w:p>
        </w:tc>
        <w:tc>
          <w:tcPr>
            <w:tcW w:w="6237" w:type="dxa"/>
            <w:hideMark/>
          </w:tcPr>
          <w:p w14:paraId="0F35FDBD" w14:textId="39A34062" w:rsidR="00BE1E33" w:rsidRPr="006734CA" w:rsidRDefault="00346F88">
            <w:pPr>
              <w:jc w:val="both"/>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DECRETO 092 DE 2017</w:t>
            </w:r>
            <w:r w:rsidR="00BE1E33" w:rsidRPr="006734CA">
              <w:rPr>
                <w:rFonts w:ascii="Arial" w:eastAsia="Calibri" w:hAnsi="Arial" w:cs="Arial"/>
                <w:color w:val="000000" w:themeColor="text1"/>
                <w:sz w:val="22"/>
                <w:lang w:val="es-ES_tradnl"/>
              </w:rPr>
              <w:t xml:space="preserve"> </w:t>
            </w:r>
            <w:r w:rsidR="00490DBF" w:rsidRPr="006734CA">
              <w:rPr>
                <w:rFonts w:ascii="Arial" w:eastAsia="Calibri" w:hAnsi="Arial" w:cs="Arial"/>
                <w:color w:val="000000" w:themeColor="text1"/>
                <w:sz w:val="22"/>
                <w:lang w:val="es-ES_tradnl"/>
              </w:rPr>
              <w:t>–</w:t>
            </w:r>
            <w:r w:rsidR="00BE1E33" w:rsidRPr="006734CA">
              <w:rPr>
                <w:rFonts w:ascii="Arial" w:eastAsia="Calibri" w:hAnsi="Arial" w:cs="Arial"/>
                <w:color w:val="000000" w:themeColor="text1"/>
                <w:sz w:val="22"/>
                <w:lang w:val="es-ES_tradnl"/>
              </w:rPr>
              <w:t xml:space="preserve"> </w:t>
            </w:r>
            <w:r w:rsidRPr="006734CA">
              <w:rPr>
                <w:rFonts w:ascii="Arial" w:eastAsia="Calibri" w:hAnsi="Arial" w:cs="Arial"/>
                <w:color w:val="000000" w:themeColor="text1"/>
                <w:sz w:val="22"/>
                <w:lang w:val="es-ES_tradnl"/>
              </w:rPr>
              <w:t>Marco general de contratación</w:t>
            </w:r>
            <w:r w:rsidR="00BE1E33" w:rsidRPr="006734CA">
              <w:rPr>
                <w:rFonts w:ascii="Arial" w:eastAsia="Calibri" w:hAnsi="Arial" w:cs="Arial"/>
                <w:color w:val="000000" w:themeColor="text1"/>
                <w:sz w:val="22"/>
                <w:lang w:val="es-ES_tradnl"/>
              </w:rPr>
              <w:t xml:space="preserve"> / </w:t>
            </w:r>
            <w:r w:rsidRPr="006734CA">
              <w:rPr>
                <w:rFonts w:ascii="Arial" w:eastAsia="Calibri" w:hAnsi="Arial" w:cs="Arial"/>
                <w:color w:val="000000" w:themeColor="text1"/>
                <w:sz w:val="22"/>
                <w:lang w:val="es-ES_tradnl"/>
              </w:rPr>
              <w:t>DECRETO 092</w:t>
            </w:r>
            <w:r w:rsidR="00BE1E33" w:rsidRPr="006734CA">
              <w:rPr>
                <w:rFonts w:ascii="Arial" w:eastAsia="Calibri" w:hAnsi="Arial" w:cs="Arial"/>
                <w:color w:val="000000" w:themeColor="text1"/>
                <w:sz w:val="22"/>
                <w:lang w:val="es-ES_tradnl"/>
              </w:rPr>
              <w:t xml:space="preserve"> </w:t>
            </w:r>
            <w:r w:rsidRPr="006734CA">
              <w:rPr>
                <w:rFonts w:ascii="Arial" w:eastAsia="Calibri" w:hAnsi="Arial" w:cs="Arial"/>
                <w:color w:val="000000" w:themeColor="text1"/>
                <w:sz w:val="22"/>
                <w:lang w:val="es-ES_tradnl"/>
              </w:rPr>
              <w:t xml:space="preserve">DE 2017 </w:t>
            </w:r>
            <w:r w:rsidR="00BE1E33" w:rsidRPr="006734CA">
              <w:rPr>
                <w:rFonts w:ascii="Arial" w:eastAsia="Calibri" w:hAnsi="Arial" w:cs="Arial"/>
                <w:color w:val="000000" w:themeColor="text1"/>
                <w:sz w:val="22"/>
                <w:lang w:val="es-ES_tradnl"/>
              </w:rPr>
              <w:t xml:space="preserve">– </w:t>
            </w:r>
            <w:r w:rsidRPr="006734CA">
              <w:rPr>
                <w:rFonts w:ascii="Arial" w:eastAsia="Calibri" w:hAnsi="Arial" w:cs="Arial"/>
                <w:color w:val="000000" w:themeColor="text1"/>
                <w:sz w:val="22"/>
                <w:lang w:val="es-ES_tradnl"/>
              </w:rPr>
              <w:t>Convenios de asociación</w:t>
            </w:r>
            <w:r w:rsidR="00BE1E33" w:rsidRPr="006734CA">
              <w:rPr>
                <w:rFonts w:ascii="Arial" w:eastAsia="Calibri" w:hAnsi="Arial" w:cs="Arial"/>
                <w:color w:val="000000" w:themeColor="text1"/>
                <w:sz w:val="22"/>
                <w:lang w:val="es-ES_tradnl"/>
              </w:rPr>
              <w:t xml:space="preserve"> – </w:t>
            </w:r>
            <w:r w:rsidRPr="006734CA">
              <w:rPr>
                <w:rFonts w:ascii="Arial" w:eastAsia="Calibri" w:hAnsi="Arial" w:cs="Arial"/>
                <w:color w:val="000000" w:themeColor="text1"/>
                <w:sz w:val="22"/>
                <w:lang w:val="es-ES_tradnl"/>
              </w:rPr>
              <w:t>Procesos para su celebración</w:t>
            </w:r>
            <w:r w:rsidR="00BE1E33" w:rsidRPr="006734CA">
              <w:rPr>
                <w:rFonts w:ascii="Arial" w:eastAsia="Calibri" w:hAnsi="Arial" w:cs="Arial"/>
                <w:color w:val="000000" w:themeColor="text1"/>
                <w:sz w:val="22"/>
                <w:lang w:val="es-ES_tradnl"/>
              </w:rPr>
              <w:t xml:space="preserve"> / </w:t>
            </w:r>
            <w:r w:rsidRPr="006734CA">
              <w:rPr>
                <w:rFonts w:ascii="Arial" w:eastAsia="Calibri" w:hAnsi="Arial" w:cs="Arial"/>
                <w:color w:val="000000" w:themeColor="text1"/>
                <w:sz w:val="22"/>
                <w:lang w:val="es-ES_tradnl"/>
              </w:rPr>
              <w:t>DECRETO 092 DE 2017</w:t>
            </w:r>
            <w:r w:rsidR="00BE1E33" w:rsidRPr="006734CA">
              <w:rPr>
                <w:rFonts w:ascii="Arial" w:eastAsia="Calibri" w:hAnsi="Arial" w:cs="Arial"/>
                <w:color w:val="000000" w:themeColor="text1"/>
                <w:sz w:val="22"/>
                <w:lang w:val="es-ES_tradnl"/>
              </w:rPr>
              <w:t xml:space="preserve"> – </w:t>
            </w:r>
            <w:r w:rsidRPr="006734CA">
              <w:rPr>
                <w:rFonts w:ascii="Arial" w:eastAsia="Calibri" w:hAnsi="Arial" w:cs="Arial"/>
                <w:color w:val="000000" w:themeColor="text1"/>
                <w:sz w:val="22"/>
                <w:lang w:val="es-ES_tradnl"/>
              </w:rPr>
              <w:t>Convenios de asociación</w:t>
            </w:r>
            <w:r w:rsidR="00BE1E33" w:rsidRPr="006734CA">
              <w:rPr>
                <w:rFonts w:ascii="Arial" w:eastAsia="Calibri" w:hAnsi="Arial" w:cs="Arial"/>
                <w:color w:val="000000" w:themeColor="text1"/>
                <w:sz w:val="22"/>
                <w:lang w:val="es-ES_tradnl"/>
              </w:rPr>
              <w:t xml:space="preserve"> –</w:t>
            </w:r>
            <w:r w:rsidRPr="006734CA">
              <w:rPr>
                <w:rFonts w:ascii="Arial" w:eastAsia="Calibri" w:hAnsi="Arial" w:cs="Arial"/>
                <w:color w:val="000000" w:themeColor="text1"/>
                <w:sz w:val="22"/>
                <w:lang w:val="es-ES_tradnl"/>
              </w:rPr>
              <w:t xml:space="preserve"> Proceso de planeación /</w:t>
            </w:r>
            <w:r w:rsidR="00BE1E33" w:rsidRPr="006734CA">
              <w:rPr>
                <w:rFonts w:ascii="Arial" w:eastAsia="Calibri" w:hAnsi="Arial" w:cs="Arial"/>
                <w:color w:val="000000" w:themeColor="text1"/>
                <w:sz w:val="22"/>
                <w:lang w:val="es-ES_tradnl"/>
              </w:rPr>
              <w:t xml:space="preserve"> </w:t>
            </w:r>
            <w:r w:rsidRPr="006734CA">
              <w:rPr>
                <w:rFonts w:ascii="Arial" w:eastAsia="Calibri" w:hAnsi="Arial" w:cs="Arial"/>
                <w:color w:val="000000" w:themeColor="text1"/>
                <w:sz w:val="22"/>
                <w:lang w:val="es-ES_tradnl"/>
              </w:rPr>
              <w:t>DECRETO 092 de 2017</w:t>
            </w:r>
            <w:r w:rsidR="00BE1E33" w:rsidRPr="006734CA">
              <w:rPr>
                <w:rFonts w:ascii="Arial" w:eastAsia="Calibri" w:hAnsi="Arial" w:cs="Arial"/>
                <w:color w:val="000000" w:themeColor="text1"/>
                <w:sz w:val="22"/>
                <w:lang w:val="es-ES_tradnl"/>
              </w:rPr>
              <w:t xml:space="preserve"> – </w:t>
            </w:r>
            <w:r w:rsidRPr="006734CA">
              <w:rPr>
                <w:rFonts w:ascii="Arial" w:eastAsia="Calibri" w:hAnsi="Arial" w:cs="Arial"/>
                <w:color w:val="000000" w:themeColor="text1"/>
                <w:sz w:val="22"/>
                <w:lang w:val="es-ES_tradnl"/>
              </w:rPr>
              <w:t>ESAL</w:t>
            </w:r>
            <w:r w:rsidR="00BE1E33" w:rsidRPr="006734CA">
              <w:rPr>
                <w:rFonts w:ascii="Arial" w:eastAsia="Calibri" w:hAnsi="Arial" w:cs="Arial"/>
                <w:color w:val="000000" w:themeColor="text1"/>
                <w:sz w:val="22"/>
                <w:lang w:val="es-ES_tradnl"/>
              </w:rPr>
              <w:t xml:space="preserve"> – </w:t>
            </w:r>
            <w:r w:rsidRPr="006734CA">
              <w:rPr>
                <w:rFonts w:ascii="Arial" w:eastAsia="Calibri" w:hAnsi="Arial" w:cs="Arial"/>
                <w:color w:val="000000" w:themeColor="text1"/>
                <w:sz w:val="22"/>
                <w:lang w:val="es-ES_tradnl"/>
              </w:rPr>
              <w:t xml:space="preserve">Obligatoriedad de registro en SECOP II. </w:t>
            </w:r>
          </w:p>
        </w:tc>
      </w:tr>
      <w:tr w:rsidR="003F6D32" w:rsidRPr="006B6339" w14:paraId="20F2A3B6" w14:textId="77777777" w:rsidTr="004101BC">
        <w:tc>
          <w:tcPr>
            <w:tcW w:w="2689" w:type="dxa"/>
          </w:tcPr>
          <w:p w14:paraId="1E82F4FA" w14:textId="77777777" w:rsidR="00BE1E33" w:rsidRPr="006734CA" w:rsidRDefault="00BE1E33" w:rsidP="004101BC">
            <w:pPr>
              <w:spacing w:before="120"/>
              <w:rPr>
                <w:rFonts w:ascii="Arial" w:eastAsia="Calibri" w:hAnsi="Arial" w:cs="Arial"/>
                <w:b/>
                <w:color w:val="000000" w:themeColor="text1"/>
                <w:sz w:val="22"/>
                <w:lang w:val="es-ES_tradnl"/>
              </w:rPr>
            </w:pPr>
            <w:r w:rsidRPr="006734CA">
              <w:rPr>
                <w:rFonts w:ascii="Arial" w:eastAsia="Calibri" w:hAnsi="Arial" w:cs="Arial"/>
                <w:b/>
                <w:color w:val="000000" w:themeColor="text1"/>
                <w:sz w:val="22"/>
                <w:lang w:val="es-ES_tradnl"/>
              </w:rPr>
              <w:t>Radicación:</w:t>
            </w:r>
            <w:r w:rsidRPr="006734CA">
              <w:rPr>
                <w:rFonts w:ascii="Arial" w:eastAsia="Calibri" w:hAnsi="Arial" w:cs="Arial"/>
                <w:color w:val="000000" w:themeColor="text1"/>
                <w:sz w:val="22"/>
                <w:lang w:val="es-ES_tradnl"/>
              </w:rPr>
              <w:t xml:space="preserve">                              </w:t>
            </w:r>
          </w:p>
        </w:tc>
        <w:tc>
          <w:tcPr>
            <w:tcW w:w="6237" w:type="dxa"/>
          </w:tcPr>
          <w:p w14:paraId="20FCE53A" w14:textId="2A3AB033" w:rsidR="00BE1E33" w:rsidRPr="006734CA" w:rsidRDefault="00BE1E33" w:rsidP="004101BC">
            <w:pPr>
              <w:spacing w:before="120"/>
              <w:jc w:val="both"/>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 xml:space="preserve">Respuesta a consulta </w:t>
            </w:r>
            <w:r w:rsidR="00AA7209" w:rsidRPr="006734CA">
              <w:rPr>
                <w:rFonts w:ascii="Arial" w:eastAsia="Calibri" w:hAnsi="Arial" w:cs="Arial"/>
                <w:color w:val="000000" w:themeColor="text1"/>
                <w:sz w:val="22"/>
                <w:lang w:val="es-ES_tradnl"/>
              </w:rPr>
              <w:t>4202013000009495.</w:t>
            </w:r>
          </w:p>
        </w:tc>
      </w:tr>
      <w:tr w:rsidR="00770D7D" w:rsidRPr="006B6339" w14:paraId="27C2F130" w14:textId="77777777" w:rsidTr="004101BC">
        <w:tc>
          <w:tcPr>
            <w:tcW w:w="2689" w:type="dxa"/>
          </w:tcPr>
          <w:p w14:paraId="2CAB0965" w14:textId="77777777" w:rsidR="00770D7D" w:rsidRPr="006734CA" w:rsidRDefault="00770D7D" w:rsidP="004101BC">
            <w:pPr>
              <w:spacing w:before="120"/>
              <w:rPr>
                <w:rFonts w:ascii="Arial" w:eastAsia="Calibri" w:hAnsi="Arial" w:cs="Arial"/>
                <w:b/>
                <w:color w:val="000000" w:themeColor="text1"/>
                <w:sz w:val="22"/>
                <w:lang w:val="es-ES_tradnl"/>
              </w:rPr>
            </w:pPr>
          </w:p>
        </w:tc>
        <w:tc>
          <w:tcPr>
            <w:tcW w:w="6237" w:type="dxa"/>
          </w:tcPr>
          <w:p w14:paraId="38942E59" w14:textId="77777777" w:rsidR="00770D7D" w:rsidRPr="006734CA" w:rsidRDefault="00770D7D" w:rsidP="004101BC">
            <w:pPr>
              <w:spacing w:before="120"/>
              <w:jc w:val="both"/>
              <w:rPr>
                <w:rFonts w:ascii="Arial" w:eastAsia="Calibri" w:hAnsi="Arial" w:cs="Arial"/>
                <w:color w:val="000000" w:themeColor="text1"/>
                <w:sz w:val="22"/>
                <w:lang w:val="es-ES_tradnl"/>
              </w:rPr>
            </w:pPr>
          </w:p>
        </w:tc>
      </w:tr>
    </w:tbl>
    <w:p w14:paraId="177F3517" w14:textId="77777777" w:rsidR="00BE1E33" w:rsidRPr="006734CA" w:rsidRDefault="00BE1E33" w:rsidP="00BE1E33">
      <w:pPr>
        <w:spacing w:before="120"/>
        <w:jc w:val="both"/>
        <w:rPr>
          <w:rFonts w:ascii="Arial" w:eastAsia="Calibri" w:hAnsi="Arial" w:cs="Arial"/>
          <w:color w:val="000000" w:themeColor="text1"/>
          <w:sz w:val="22"/>
          <w:lang w:val="es-ES_tradnl"/>
        </w:rPr>
      </w:pPr>
    </w:p>
    <w:p w14:paraId="06248123" w14:textId="77777777" w:rsidR="00BE1E33" w:rsidRPr="006734CA" w:rsidRDefault="00BE1E33" w:rsidP="00BE1E33">
      <w:pPr>
        <w:jc w:val="both"/>
        <w:rPr>
          <w:rFonts w:ascii="Arial" w:eastAsia="Calibri" w:hAnsi="Arial" w:cs="Arial"/>
          <w:color w:val="000000" w:themeColor="text1"/>
          <w:sz w:val="22"/>
          <w:lang w:val="es-ES_tradnl"/>
        </w:rPr>
      </w:pPr>
    </w:p>
    <w:p w14:paraId="417ABDA8" w14:textId="026390AD" w:rsidR="00BE1E33" w:rsidRPr="006734CA" w:rsidRDefault="00F67011" w:rsidP="00BE1E33">
      <w:pPr>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Estimado señor Silva</w:t>
      </w:r>
      <w:r w:rsidR="00BE1E33" w:rsidRPr="006734CA">
        <w:rPr>
          <w:rFonts w:ascii="Arial" w:eastAsia="Calibri" w:hAnsi="Arial" w:cs="Arial"/>
          <w:color w:val="000000" w:themeColor="text1"/>
          <w:sz w:val="22"/>
          <w:lang w:val="es-ES_tradnl"/>
        </w:rPr>
        <w:t>:</w:t>
      </w:r>
    </w:p>
    <w:p w14:paraId="1CCABABD" w14:textId="77777777" w:rsidR="00BE1E33" w:rsidRPr="006734CA" w:rsidRDefault="00BE1E33" w:rsidP="00BE1E33">
      <w:pPr>
        <w:rPr>
          <w:rFonts w:ascii="Arial" w:eastAsia="Calibri" w:hAnsi="Arial" w:cs="Arial"/>
          <w:color w:val="000000" w:themeColor="text1"/>
          <w:sz w:val="22"/>
          <w:lang w:val="es-ES_tradnl"/>
        </w:rPr>
      </w:pPr>
    </w:p>
    <w:p w14:paraId="286A9CEF" w14:textId="618E7B43" w:rsidR="00BE1E33" w:rsidRPr="006734CA" w:rsidRDefault="00BE1E33" w:rsidP="00BE1E33">
      <w:pPr>
        <w:spacing w:line="276" w:lineRule="auto"/>
        <w:jc w:val="both"/>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 xml:space="preserve">En ejercicio de la competencia otorgada por los artículos 11, numeral 8º, y 3º, numeral 5º, del Decreto Ley 4170 de 2011, la Agencia Nacional de Contratación Pública − Colombia Compra Eficiente responde su consulta del </w:t>
      </w:r>
      <w:r w:rsidR="009E4A43" w:rsidRPr="006734CA">
        <w:rPr>
          <w:rFonts w:ascii="Arial" w:eastAsia="Calibri" w:hAnsi="Arial" w:cs="Arial"/>
          <w:color w:val="000000" w:themeColor="text1"/>
          <w:sz w:val="22"/>
          <w:lang w:val="es-ES_tradnl"/>
        </w:rPr>
        <w:t>24</w:t>
      </w:r>
      <w:r w:rsidRPr="006734CA">
        <w:rPr>
          <w:rFonts w:ascii="Arial" w:eastAsia="Calibri" w:hAnsi="Arial" w:cs="Arial"/>
          <w:color w:val="000000" w:themeColor="text1"/>
          <w:sz w:val="22"/>
          <w:lang w:val="es-ES_tradnl"/>
        </w:rPr>
        <w:t xml:space="preserve"> de marzo de 2020. </w:t>
      </w:r>
    </w:p>
    <w:p w14:paraId="1D13401D" w14:textId="77777777" w:rsidR="00BE1E33" w:rsidRPr="006734CA" w:rsidRDefault="00BE1E33" w:rsidP="00BE1E33">
      <w:pPr>
        <w:spacing w:line="276" w:lineRule="auto"/>
        <w:jc w:val="both"/>
        <w:rPr>
          <w:rFonts w:ascii="Arial" w:eastAsia="Calibri" w:hAnsi="Arial" w:cs="Arial"/>
          <w:color w:val="000000" w:themeColor="text1"/>
          <w:sz w:val="22"/>
          <w:lang w:val="es-ES_tradnl"/>
        </w:rPr>
      </w:pPr>
    </w:p>
    <w:p w14:paraId="068F505C" w14:textId="77777777" w:rsidR="00BE1E33" w:rsidRPr="006734CA"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6734CA">
        <w:rPr>
          <w:rFonts w:ascii="Arial" w:eastAsia="Calibri" w:hAnsi="Arial" w:cs="Arial"/>
          <w:b/>
          <w:color w:val="000000" w:themeColor="text1"/>
          <w:sz w:val="22"/>
          <w:lang w:val="es-ES_tradnl"/>
        </w:rPr>
        <w:t xml:space="preserve">Problemas planteados </w:t>
      </w:r>
    </w:p>
    <w:p w14:paraId="430A9943" w14:textId="77777777" w:rsidR="00BE1E33" w:rsidRPr="006734CA" w:rsidRDefault="00BE1E33" w:rsidP="00BE1E33">
      <w:pPr>
        <w:tabs>
          <w:tab w:val="left" w:pos="426"/>
        </w:tabs>
        <w:spacing w:line="276" w:lineRule="auto"/>
        <w:jc w:val="both"/>
        <w:rPr>
          <w:rFonts w:ascii="Arial" w:eastAsia="Calibri" w:hAnsi="Arial" w:cs="Arial"/>
          <w:b/>
          <w:color w:val="000000" w:themeColor="text1"/>
          <w:sz w:val="22"/>
          <w:lang w:val="es-ES_tradnl"/>
        </w:rPr>
      </w:pPr>
    </w:p>
    <w:p w14:paraId="741F3B6B" w14:textId="2FF53628" w:rsidR="00BE1E33" w:rsidRPr="006734CA" w:rsidRDefault="00371192" w:rsidP="009E4A43">
      <w:pPr>
        <w:tabs>
          <w:tab w:val="left" w:pos="426"/>
        </w:tabs>
        <w:spacing w:line="276" w:lineRule="auto"/>
        <w:jc w:val="both"/>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Con</w:t>
      </w:r>
      <w:r w:rsidR="006550F8" w:rsidRPr="006734CA">
        <w:rPr>
          <w:rFonts w:ascii="Arial" w:eastAsia="Calibri" w:hAnsi="Arial" w:cs="Arial"/>
          <w:color w:val="000000" w:themeColor="text1"/>
          <w:sz w:val="22"/>
          <w:lang w:val="es-ES_tradnl"/>
        </w:rPr>
        <w:t>forme a</w:t>
      </w:r>
      <w:r w:rsidRPr="006734CA">
        <w:rPr>
          <w:rFonts w:ascii="Arial" w:eastAsia="Calibri" w:hAnsi="Arial" w:cs="Arial"/>
          <w:color w:val="000000" w:themeColor="text1"/>
          <w:sz w:val="22"/>
          <w:lang w:val="es-ES_tradnl"/>
        </w:rPr>
        <w:t xml:space="preserve"> la consulta por usted </w:t>
      </w:r>
      <w:r w:rsidR="006550F8" w:rsidRPr="006734CA">
        <w:rPr>
          <w:rFonts w:ascii="Arial" w:eastAsia="Calibri" w:hAnsi="Arial" w:cs="Arial"/>
          <w:color w:val="000000" w:themeColor="text1"/>
          <w:sz w:val="22"/>
          <w:lang w:val="es-ES_tradnl"/>
        </w:rPr>
        <w:t>elevada</w:t>
      </w:r>
      <w:r w:rsidRPr="006734CA">
        <w:rPr>
          <w:rFonts w:ascii="Arial" w:eastAsia="Calibri" w:hAnsi="Arial" w:cs="Arial"/>
          <w:color w:val="000000" w:themeColor="text1"/>
          <w:sz w:val="22"/>
          <w:lang w:val="es-ES_tradnl"/>
        </w:rPr>
        <w:t xml:space="preserve">, se </w:t>
      </w:r>
      <w:r w:rsidR="00F0422A" w:rsidRPr="006734CA">
        <w:rPr>
          <w:rFonts w:ascii="Arial" w:eastAsia="Calibri" w:hAnsi="Arial" w:cs="Arial"/>
          <w:color w:val="000000" w:themeColor="text1"/>
          <w:sz w:val="22"/>
          <w:lang w:val="es-ES_tradnl"/>
        </w:rPr>
        <w:t>interpreta que sus preguntas son las siguientes</w:t>
      </w:r>
      <w:r w:rsidRPr="006734CA">
        <w:rPr>
          <w:rFonts w:ascii="Arial" w:eastAsia="Calibri" w:hAnsi="Arial" w:cs="Arial"/>
          <w:color w:val="000000" w:themeColor="text1"/>
          <w:sz w:val="22"/>
          <w:lang w:val="es-ES_tradnl"/>
        </w:rPr>
        <w:t xml:space="preserve">: con </w:t>
      </w:r>
      <w:r w:rsidR="008149E7" w:rsidRPr="006734CA">
        <w:rPr>
          <w:rFonts w:ascii="Arial" w:eastAsia="Calibri" w:hAnsi="Arial" w:cs="Arial"/>
          <w:color w:val="000000" w:themeColor="text1"/>
          <w:sz w:val="22"/>
          <w:lang w:val="es-ES_tradnl"/>
        </w:rPr>
        <w:t>base en el Decr</w:t>
      </w:r>
      <w:r w:rsidR="00F0422A" w:rsidRPr="006734CA">
        <w:rPr>
          <w:rFonts w:ascii="Arial" w:eastAsia="Calibri" w:hAnsi="Arial" w:cs="Arial"/>
          <w:color w:val="000000" w:themeColor="text1"/>
          <w:sz w:val="22"/>
          <w:lang w:val="es-ES_tradnl"/>
        </w:rPr>
        <w:t xml:space="preserve">eto 092 de 2017 y teniendo en cuenta que este se encuentra parcialmente suspendido, </w:t>
      </w:r>
      <w:r w:rsidR="008149E7" w:rsidRPr="006734CA">
        <w:rPr>
          <w:rFonts w:ascii="Arial" w:eastAsia="Calibri" w:hAnsi="Arial" w:cs="Arial"/>
          <w:color w:val="000000" w:themeColor="text1"/>
          <w:sz w:val="22"/>
          <w:lang w:val="es-ES_tradnl"/>
        </w:rPr>
        <w:t xml:space="preserve">«Si una ESAL compromete el recurso mayor a un 30% del valor del convenio, ¿se hace necesario adelantar convocatoria para determinar si más ESAL </w:t>
      </w:r>
      <w:r w:rsidR="007708B1" w:rsidRPr="006734CA">
        <w:rPr>
          <w:rFonts w:ascii="Arial" w:eastAsia="Calibri" w:hAnsi="Arial" w:cs="Arial"/>
          <w:color w:val="000000" w:themeColor="text1"/>
          <w:sz w:val="22"/>
          <w:lang w:val="es-ES_tradnl"/>
        </w:rPr>
        <w:t>comprometen</w:t>
      </w:r>
      <w:r w:rsidR="008149E7" w:rsidRPr="006734CA">
        <w:rPr>
          <w:rFonts w:ascii="Arial" w:eastAsia="Calibri" w:hAnsi="Arial" w:cs="Arial"/>
          <w:color w:val="000000" w:themeColor="text1"/>
          <w:sz w:val="22"/>
          <w:lang w:val="es-ES_tradnl"/>
        </w:rPr>
        <w:t xml:space="preserve"> dicho recurso? […] ¿Cuál es el fundamento normativo que me obliga a adelantar el proceso por SECOP II, máxime si la entidad no está obligada a </w:t>
      </w:r>
      <w:r w:rsidR="007708B1" w:rsidRPr="006734CA">
        <w:rPr>
          <w:rFonts w:ascii="Arial" w:eastAsia="Calibri" w:hAnsi="Arial" w:cs="Arial"/>
          <w:color w:val="000000" w:themeColor="text1"/>
          <w:sz w:val="22"/>
          <w:lang w:val="es-ES_tradnl"/>
        </w:rPr>
        <w:t>utilizar</w:t>
      </w:r>
      <w:r w:rsidR="008149E7" w:rsidRPr="006734CA">
        <w:rPr>
          <w:rFonts w:ascii="Arial" w:eastAsia="Calibri" w:hAnsi="Arial" w:cs="Arial"/>
          <w:color w:val="000000" w:themeColor="text1"/>
          <w:sz w:val="22"/>
          <w:lang w:val="es-ES_tradnl"/>
        </w:rPr>
        <w:t xml:space="preserve"> SECOP II?</w:t>
      </w:r>
      <w:r w:rsidR="00BE1E33" w:rsidRPr="006734CA">
        <w:rPr>
          <w:rFonts w:ascii="Arial" w:eastAsia="Calibri" w:hAnsi="Arial" w:cs="Arial"/>
          <w:color w:val="000000" w:themeColor="text1"/>
          <w:sz w:val="22"/>
          <w:lang w:val="es-ES_tradnl"/>
        </w:rPr>
        <w:t xml:space="preserve">». </w:t>
      </w:r>
    </w:p>
    <w:p w14:paraId="6D375D8C" w14:textId="77777777" w:rsidR="00BE1E33" w:rsidRPr="006734CA" w:rsidRDefault="00BE1E33" w:rsidP="00BE1E33">
      <w:pPr>
        <w:tabs>
          <w:tab w:val="left" w:pos="709"/>
        </w:tabs>
        <w:spacing w:before="120" w:line="276" w:lineRule="auto"/>
        <w:jc w:val="both"/>
        <w:rPr>
          <w:rFonts w:ascii="Arial" w:eastAsia="Calibri" w:hAnsi="Arial" w:cs="Arial"/>
          <w:color w:val="000000" w:themeColor="text1"/>
          <w:sz w:val="22"/>
          <w:lang w:val="es-ES_tradnl"/>
        </w:rPr>
      </w:pPr>
    </w:p>
    <w:p w14:paraId="000CB06F" w14:textId="77777777" w:rsidR="00BE1E33" w:rsidRPr="006734CA"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_tradnl"/>
        </w:rPr>
      </w:pPr>
      <w:r w:rsidRPr="006734CA">
        <w:rPr>
          <w:rFonts w:ascii="Arial" w:eastAsia="Calibri" w:hAnsi="Arial" w:cs="Arial"/>
          <w:b/>
          <w:color w:val="000000" w:themeColor="text1"/>
          <w:sz w:val="22"/>
          <w:lang w:val="es-ES_tradnl"/>
        </w:rPr>
        <w:t>Consideraciones</w:t>
      </w:r>
    </w:p>
    <w:p w14:paraId="01D94D72" w14:textId="77777777" w:rsidR="00BE1E33" w:rsidRPr="006734CA" w:rsidRDefault="00BE1E33" w:rsidP="00BE1E33">
      <w:pPr>
        <w:spacing w:line="276" w:lineRule="auto"/>
        <w:jc w:val="both"/>
        <w:rPr>
          <w:rFonts w:ascii="Arial" w:eastAsia="Calibri" w:hAnsi="Arial" w:cs="Arial"/>
          <w:color w:val="000000" w:themeColor="text1"/>
          <w:sz w:val="22"/>
          <w:lang w:val="es-ES_tradnl"/>
        </w:rPr>
      </w:pPr>
    </w:p>
    <w:p w14:paraId="087CCDF5" w14:textId="753B5182" w:rsidR="00BE1E33" w:rsidRPr="006734CA" w:rsidRDefault="00BE1E33" w:rsidP="00BE1E33">
      <w:pPr>
        <w:spacing w:line="276" w:lineRule="auto"/>
        <w:jc w:val="both"/>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La Agencia Nacional de Contratación Pública − Colombia Compra Eficiente se ha pronunciado en diferentes conceptos sobre</w:t>
      </w:r>
      <w:r w:rsidR="005940B2" w:rsidRPr="006734CA">
        <w:rPr>
          <w:rFonts w:ascii="Arial" w:eastAsia="Calibri" w:hAnsi="Arial" w:cs="Arial"/>
          <w:color w:val="000000" w:themeColor="text1"/>
          <w:sz w:val="22"/>
          <w:lang w:val="es-ES_tradnl"/>
        </w:rPr>
        <w:t xml:space="preserve"> los alcances del Decreto 092 de 201</w:t>
      </w:r>
      <w:r w:rsidR="00AA7209" w:rsidRPr="006734CA">
        <w:rPr>
          <w:rFonts w:ascii="Arial" w:eastAsia="Calibri" w:hAnsi="Arial" w:cs="Arial"/>
          <w:color w:val="000000" w:themeColor="text1"/>
          <w:sz w:val="22"/>
          <w:lang w:val="es-ES_tradnl"/>
        </w:rPr>
        <w:t>7,</w:t>
      </w:r>
      <w:r w:rsidR="005940B2" w:rsidRPr="006734CA">
        <w:rPr>
          <w:rFonts w:ascii="Arial" w:eastAsia="Calibri" w:hAnsi="Arial" w:cs="Arial"/>
          <w:color w:val="000000" w:themeColor="text1"/>
          <w:sz w:val="22"/>
          <w:lang w:val="es-ES_tradnl"/>
        </w:rPr>
        <w:t xml:space="preserve"> los </w:t>
      </w:r>
      <w:r w:rsidR="005940B2" w:rsidRPr="006734CA">
        <w:rPr>
          <w:rFonts w:ascii="Arial" w:eastAsia="Calibri" w:hAnsi="Arial" w:cs="Arial"/>
          <w:color w:val="000000" w:themeColor="text1"/>
          <w:sz w:val="22"/>
          <w:lang w:val="es-ES_tradnl"/>
        </w:rPr>
        <w:lastRenderedPageBreak/>
        <w:t xml:space="preserve">efectos de su suspensión </w:t>
      </w:r>
      <w:r w:rsidR="00AA7209" w:rsidRPr="006734CA">
        <w:rPr>
          <w:rFonts w:ascii="Arial" w:eastAsia="Calibri" w:hAnsi="Arial" w:cs="Arial"/>
          <w:color w:val="000000" w:themeColor="text1"/>
          <w:sz w:val="22"/>
          <w:lang w:val="es-ES_tradnl"/>
        </w:rPr>
        <w:t xml:space="preserve">provisional parcial y </w:t>
      </w:r>
      <w:r w:rsidR="00D56763" w:rsidRPr="006734CA">
        <w:rPr>
          <w:rFonts w:ascii="Arial" w:eastAsia="Calibri" w:hAnsi="Arial" w:cs="Arial"/>
          <w:color w:val="000000" w:themeColor="text1"/>
          <w:sz w:val="22"/>
          <w:lang w:val="es-ES_tradnl"/>
        </w:rPr>
        <w:t>acerca</w:t>
      </w:r>
      <w:r w:rsidR="00AA7209" w:rsidRPr="006734CA">
        <w:rPr>
          <w:rFonts w:ascii="Arial" w:eastAsia="Calibri" w:hAnsi="Arial" w:cs="Arial"/>
          <w:color w:val="000000" w:themeColor="text1"/>
          <w:sz w:val="22"/>
          <w:lang w:val="es-ES_tradnl"/>
        </w:rPr>
        <w:t xml:space="preserve"> del Sistema Electrónico para la Contratación Pública – SECOP</w:t>
      </w:r>
      <w:r w:rsidR="005940B2" w:rsidRPr="006734CA">
        <w:rPr>
          <w:rFonts w:ascii="Arial" w:eastAsia="Calibri" w:hAnsi="Arial" w:cs="Arial"/>
          <w:color w:val="000000" w:themeColor="text1"/>
          <w:sz w:val="22"/>
          <w:lang w:val="es-ES_tradnl"/>
        </w:rPr>
        <w:t>. Para tal efecto, resulta pertinente acudir a lo</w:t>
      </w:r>
      <w:r w:rsidR="008A37D8" w:rsidRPr="006734CA">
        <w:rPr>
          <w:rFonts w:ascii="Arial" w:eastAsia="Calibri" w:hAnsi="Arial" w:cs="Arial"/>
          <w:color w:val="000000" w:themeColor="text1"/>
          <w:sz w:val="22"/>
          <w:lang w:val="es-ES_tradnl"/>
        </w:rPr>
        <w:t>s conceptos números 2201913000005381 del 09 de agosto de 2019; 4201913000005551 del 15 agosto de 2019; 2201912000005823 del 27 de agosto de 2019</w:t>
      </w:r>
      <w:r w:rsidR="00AA7209" w:rsidRPr="006734CA">
        <w:rPr>
          <w:rFonts w:ascii="Arial" w:eastAsia="Calibri" w:hAnsi="Arial" w:cs="Arial"/>
          <w:color w:val="000000" w:themeColor="text1"/>
          <w:sz w:val="22"/>
          <w:lang w:val="es-ES_tradnl"/>
        </w:rPr>
        <w:t>; 1201913000001574</w:t>
      </w:r>
      <w:r w:rsidR="008A37D8" w:rsidRPr="006734CA">
        <w:rPr>
          <w:rFonts w:ascii="Arial" w:eastAsia="Calibri" w:hAnsi="Arial" w:cs="Arial"/>
          <w:color w:val="000000" w:themeColor="text1"/>
          <w:sz w:val="22"/>
          <w:lang w:val="es-ES_tradnl"/>
        </w:rPr>
        <w:t xml:space="preserve"> </w:t>
      </w:r>
      <w:r w:rsidR="00AA7209" w:rsidRPr="006734CA">
        <w:rPr>
          <w:rFonts w:ascii="Arial" w:eastAsia="Calibri" w:hAnsi="Arial" w:cs="Arial"/>
          <w:color w:val="000000" w:themeColor="text1"/>
          <w:sz w:val="22"/>
          <w:lang w:val="es-ES_tradnl"/>
        </w:rPr>
        <w:t xml:space="preserve">del 19 de noviembre de 2019; </w:t>
      </w:r>
      <w:r w:rsidR="008A37D8" w:rsidRPr="006734CA">
        <w:rPr>
          <w:rFonts w:ascii="Arial" w:eastAsia="Calibri" w:hAnsi="Arial" w:cs="Arial"/>
          <w:color w:val="000000" w:themeColor="text1"/>
          <w:sz w:val="22"/>
          <w:lang w:val="es-ES_tradnl"/>
        </w:rPr>
        <w:t>4201912000007050 del 12 de diciembre de 2019</w:t>
      </w:r>
      <w:r w:rsidR="00AA7209" w:rsidRPr="006734CA">
        <w:rPr>
          <w:rFonts w:ascii="Arial" w:eastAsia="Calibri" w:hAnsi="Arial" w:cs="Arial"/>
          <w:color w:val="000000" w:themeColor="text1"/>
          <w:sz w:val="22"/>
          <w:lang w:val="es-ES_tradnl"/>
        </w:rPr>
        <w:t xml:space="preserve">; </w:t>
      </w:r>
      <w:r w:rsidR="008A37D8" w:rsidRPr="006734CA">
        <w:rPr>
          <w:rFonts w:ascii="Arial" w:eastAsia="Calibri" w:hAnsi="Arial" w:cs="Arial"/>
          <w:color w:val="000000" w:themeColor="text1"/>
          <w:sz w:val="22"/>
          <w:lang w:val="es-ES_tradnl"/>
        </w:rPr>
        <w:t>C–223 de 2020</w:t>
      </w:r>
      <w:r w:rsidR="00AA7209" w:rsidRPr="006734CA">
        <w:rPr>
          <w:rFonts w:ascii="Arial" w:eastAsia="Calibri" w:hAnsi="Arial" w:cs="Arial"/>
          <w:color w:val="000000" w:themeColor="text1"/>
          <w:sz w:val="22"/>
          <w:lang w:val="es-ES_tradnl"/>
        </w:rPr>
        <w:t>;</w:t>
      </w:r>
      <w:r w:rsidR="008A37D8" w:rsidRPr="006734CA">
        <w:rPr>
          <w:rFonts w:ascii="Arial" w:eastAsia="Calibri" w:hAnsi="Arial" w:cs="Arial"/>
          <w:color w:val="000000" w:themeColor="text1"/>
          <w:sz w:val="22"/>
          <w:lang w:val="es-ES_tradnl"/>
        </w:rPr>
        <w:t xml:space="preserve"> C–575 de 2020</w:t>
      </w:r>
      <w:r w:rsidR="00AA7209" w:rsidRPr="006734CA">
        <w:rPr>
          <w:rFonts w:ascii="Arial" w:eastAsia="Calibri" w:hAnsi="Arial" w:cs="Arial"/>
          <w:color w:val="000000" w:themeColor="text1"/>
          <w:sz w:val="22"/>
          <w:lang w:val="es-ES_tradnl"/>
        </w:rPr>
        <w:t xml:space="preserve"> y </w:t>
      </w:r>
      <w:r w:rsidR="008A37D8" w:rsidRPr="006734CA">
        <w:rPr>
          <w:rFonts w:ascii="Arial" w:eastAsia="Calibri" w:hAnsi="Arial" w:cs="Arial"/>
          <w:color w:val="000000" w:themeColor="text1"/>
          <w:sz w:val="22"/>
          <w:lang w:val="es-ES_tradnl"/>
        </w:rPr>
        <w:t>C–575 de 2020.</w:t>
      </w:r>
      <w:r w:rsidR="00AA7209" w:rsidRPr="006734CA">
        <w:rPr>
          <w:rFonts w:ascii="Arial" w:eastAsia="Calibri" w:hAnsi="Arial" w:cs="Arial"/>
          <w:color w:val="000000" w:themeColor="text1"/>
          <w:sz w:val="22"/>
          <w:lang w:val="es-ES_tradnl"/>
        </w:rPr>
        <w:t xml:space="preserve"> </w:t>
      </w:r>
      <w:r w:rsidR="005940B2" w:rsidRPr="006734CA">
        <w:rPr>
          <w:rFonts w:ascii="Arial" w:eastAsia="Calibri" w:hAnsi="Arial" w:cs="Arial"/>
          <w:color w:val="000000" w:themeColor="text1"/>
          <w:sz w:val="22"/>
          <w:lang w:val="es-ES_tradnl"/>
        </w:rPr>
        <w:t>Las tesis propuestas se exponen a continuación.</w:t>
      </w:r>
    </w:p>
    <w:p w14:paraId="1D13BA33" w14:textId="77777777" w:rsidR="005940B2" w:rsidRPr="006734CA" w:rsidRDefault="005940B2" w:rsidP="00BE1E33">
      <w:pPr>
        <w:spacing w:line="276" w:lineRule="auto"/>
        <w:jc w:val="both"/>
        <w:rPr>
          <w:rFonts w:ascii="Arial" w:eastAsia="Calibri" w:hAnsi="Arial" w:cs="Arial"/>
          <w:color w:val="000000" w:themeColor="text1"/>
          <w:sz w:val="22"/>
          <w:lang w:val="es-ES_tradnl"/>
        </w:rPr>
      </w:pPr>
    </w:p>
    <w:p w14:paraId="37A06D78" w14:textId="7FB2CF8D" w:rsidR="005940B2" w:rsidRPr="006734CA" w:rsidRDefault="005940B2" w:rsidP="00BE1E33">
      <w:pPr>
        <w:pStyle w:val="Prrafodelista"/>
        <w:numPr>
          <w:ilvl w:val="1"/>
          <w:numId w:val="6"/>
        </w:numPr>
        <w:tabs>
          <w:tab w:val="left" w:pos="426"/>
        </w:tabs>
        <w:spacing w:line="276" w:lineRule="auto"/>
        <w:jc w:val="both"/>
        <w:rPr>
          <w:rFonts w:ascii="Arial" w:eastAsia="Calibri" w:hAnsi="Arial" w:cs="Arial"/>
          <w:b/>
          <w:color w:val="000000" w:themeColor="text1"/>
          <w:sz w:val="22"/>
          <w:lang w:val="es-ES_tradnl"/>
        </w:rPr>
      </w:pPr>
      <w:r w:rsidRPr="006734CA">
        <w:rPr>
          <w:rFonts w:ascii="Arial" w:eastAsia="Calibri" w:hAnsi="Arial" w:cs="Arial"/>
          <w:b/>
          <w:color w:val="000000" w:themeColor="text1"/>
          <w:sz w:val="22"/>
          <w:lang w:val="es-ES_tradnl"/>
        </w:rPr>
        <w:t xml:space="preserve">Marco normativo </w:t>
      </w:r>
    </w:p>
    <w:p w14:paraId="6E33FE29" w14:textId="77777777" w:rsidR="00D56763" w:rsidRPr="006734CA" w:rsidRDefault="00D56763" w:rsidP="00D56763">
      <w:pPr>
        <w:spacing w:line="276" w:lineRule="auto"/>
        <w:jc w:val="both"/>
        <w:rPr>
          <w:rFonts w:ascii="Arial" w:hAnsi="Arial" w:cs="Arial"/>
          <w:color w:val="000000" w:themeColor="text1"/>
          <w:sz w:val="22"/>
          <w:lang w:val="es-ES_tradnl"/>
        </w:rPr>
      </w:pPr>
    </w:p>
    <w:p w14:paraId="22EBE2FF" w14:textId="45C33E25" w:rsidR="009E2D72" w:rsidRPr="006734CA" w:rsidRDefault="00F33F55" w:rsidP="006734CA">
      <w:pPr>
        <w:spacing w:line="276" w:lineRule="auto"/>
        <w:jc w:val="both"/>
        <w:rPr>
          <w:rFonts w:ascii="Arial" w:hAnsi="Arial" w:cs="Arial"/>
          <w:color w:val="000000" w:themeColor="text1"/>
          <w:sz w:val="22"/>
          <w:lang w:val="es-ES_tradnl"/>
        </w:rPr>
      </w:pPr>
      <w:r w:rsidRPr="006734CA">
        <w:rPr>
          <w:rFonts w:ascii="Arial" w:hAnsi="Arial" w:cs="Arial"/>
          <w:color w:val="000000" w:themeColor="text1"/>
          <w:sz w:val="22"/>
          <w:lang w:val="es-ES_tradnl"/>
        </w:rPr>
        <w:t xml:space="preserve">De conformidad </w:t>
      </w:r>
      <w:r w:rsidR="00E17AA0" w:rsidRPr="006734CA">
        <w:rPr>
          <w:rFonts w:ascii="Arial" w:hAnsi="Arial" w:cs="Arial"/>
          <w:color w:val="000000" w:themeColor="text1"/>
          <w:sz w:val="22"/>
          <w:lang w:val="es-ES_tradnl"/>
        </w:rPr>
        <w:t>con</w:t>
      </w:r>
      <w:r w:rsidRPr="006734CA">
        <w:rPr>
          <w:rFonts w:ascii="Arial" w:hAnsi="Arial" w:cs="Arial"/>
          <w:color w:val="000000" w:themeColor="text1"/>
          <w:sz w:val="22"/>
          <w:lang w:val="es-ES_tradnl"/>
        </w:rPr>
        <w:t xml:space="preserve"> los artículos 209 y 355 de la Constitución Política, la Ley 489 de 1998 determinó en su artículo 96 que: </w:t>
      </w:r>
    </w:p>
    <w:p w14:paraId="477C3AD0" w14:textId="77777777" w:rsidR="00993BFE" w:rsidRPr="006734CA" w:rsidRDefault="00993BFE" w:rsidP="00993BFE">
      <w:pPr>
        <w:ind w:left="709" w:right="709"/>
        <w:jc w:val="both"/>
        <w:rPr>
          <w:rFonts w:ascii="Arial" w:hAnsi="Arial" w:cs="Arial"/>
          <w:color w:val="000000" w:themeColor="text1"/>
          <w:sz w:val="19"/>
          <w:szCs w:val="19"/>
          <w:lang w:val="es-ES_tradnl"/>
        </w:rPr>
      </w:pPr>
    </w:p>
    <w:p w14:paraId="3DA00CA3" w14:textId="1166F0AB" w:rsidR="00F33F55" w:rsidRPr="006734CA" w:rsidRDefault="003C5E88" w:rsidP="006734CA">
      <w:pPr>
        <w:ind w:left="709" w:right="709"/>
        <w:jc w:val="both"/>
        <w:rPr>
          <w:rFonts w:ascii="Arial" w:hAnsi="Arial" w:cs="Arial"/>
          <w:color w:val="000000" w:themeColor="text1"/>
          <w:sz w:val="22"/>
          <w:lang w:val="es-ES_tradnl"/>
        </w:rPr>
      </w:pPr>
      <w:r w:rsidRPr="006734CA">
        <w:rPr>
          <w:rFonts w:ascii="Arial" w:hAnsi="Arial" w:cs="Arial"/>
          <w:color w:val="000000" w:themeColor="text1"/>
          <w:sz w:val="19"/>
          <w:szCs w:val="19"/>
          <w:lang w:val="es-ES_tradnl"/>
        </w:rPr>
        <w:t xml:space="preserve">[…] </w:t>
      </w:r>
      <w:r w:rsidR="00F33F55" w:rsidRPr="006734CA">
        <w:rPr>
          <w:rFonts w:ascii="Arial" w:hAnsi="Arial" w:cs="Arial"/>
          <w:color w:val="000000" w:themeColor="text1"/>
          <w:sz w:val="19"/>
          <w:szCs w:val="19"/>
          <w:lang w:val="es-ES_tradnl"/>
        </w:rPr>
        <w:t>las entidades estatales podrán […] asociarse con personas jurídicas particulares, mediante la celebración de convenios de asociación o la creación de personas jurídicas, para el desarrollo conjunto de actividades en relación con los cometidos y funciones q</w:t>
      </w:r>
      <w:r w:rsidR="00F0422A" w:rsidRPr="006734CA">
        <w:rPr>
          <w:rFonts w:ascii="Arial" w:hAnsi="Arial" w:cs="Arial"/>
          <w:color w:val="000000" w:themeColor="text1"/>
          <w:sz w:val="19"/>
          <w:szCs w:val="19"/>
          <w:lang w:val="es-ES_tradnl"/>
        </w:rPr>
        <w:t>ue les asigna a aquéllas la ley</w:t>
      </w:r>
      <w:r w:rsidR="00F33F55" w:rsidRPr="006734CA">
        <w:rPr>
          <w:rFonts w:ascii="Arial" w:hAnsi="Arial" w:cs="Arial"/>
          <w:color w:val="000000" w:themeColor="text1"/>
          <w:sz w:val="19"/>
          <w:szCs w:val="19"/>
          <w:lang w:val="es-ES_tradnl"/>
        </w:rPr>
        <w:t xml:space="preserve">.   </w:t>
      </w:r>
    </w:p>
    <w:p w14:paraId="4D6F49C4" w14:textId="77777777" w:rsidR="009E2D72" w:rsidRPr="006734CA" w:rsidRDefault="009E2D72" w:rsidP="009E2D72">
      <w:pPr>
        <w:ind w:left="709" w:right="709"/>
        <w:jc w:val="both"/>
        <w:rPr>
          <w:rFonts w:ascii="Arial" w:hAnsi="Arial" w:cs="Arial"/>
          <w:color w:val="000000" w:themeColor="text1"/>
          <w:sz w:val="19"/>
          <w:szCs w:val="19"/>
          <w:lang w:val="es-ES_tradnl"/>
        </w:rPr>
      </w:pPr>
    </w:p>
    <w:p w14:paraId="2208F5A9" w14:textId="7C3CFC30" w:rsidR="00BE1E33" w:rsidRPr="006734CA" w:rsidRDefault="00BE1E33" w:rsidP="009E2D72">
      <w:pPr>
        <w:spacing w:line="276" w:lineRule="auto"/>
        <w:jc w:val="both"/>
        <w:rPr>
          <w:rFonts w:ascii="Arial" w:eastAsia="Calibri" w:hAnsi="Arial" w:cs="Arial"/>
          <w:color w:val="000000" w:themeColor="text1"/>
          <w:sz w:val="22"/>
          <w:lang w:val="es-ES_tradnl"/>
        </w:rPr>
      </w:pPr>
      <w:r w:rsidRPr="006734CA">
        <w:rPr>
          <w:rFonts w:ascii="Arial" w:hAnsi="Arial" w:cs="Arial"/>
          <w:color w:val="000000" w:themeColor="text1"/>
          <w:sz w:val="22"/>
          <w:lang w:val="es-ES_tradnl"/>
        </w:rPr>
        <w:t xml:space="preserve"> </w:t>
      </w:r>
      <w:r w:rsidR="002928EE" w:rsidRPr="006734CA">
        <w:rPr>
          <w:rFonts w:ascii="Arial" w:hAnsi="Arial" w:cs="Arial"/>
          <w:color w:val="000000" w:themeColor="text1"/>
          <w:sz w:val="22"/>
          <w:lang w:val="es-ES_tradnl"/>
        </w:rPr>
        <w:tab/>
      </w:r>
      <w:r w:rsidR="00E17AA0" w:rsidRPr="006734CA">
        <w:rPr>
          <w:rFonts w:ascii="Arial" w:hAnsi="Arial" w:cs="Arial"/>
          <w:color w:val="000000" w:themeColor="text1"/>
          <w:sz w:val="22"/>
          <w:lang w:val="es-ES_tradnl"/>
        </w:rPr>
        <w:t>Por su parte</w:t>
      </w:r>
      <w:r w:rsidR="002928EE" w:rsidRPr="006734CA">
        <w:rPr>
          <w:rFonts w:ascii="Arial" w:hAnsi="Arial" w:cs="Arial"/>
          <w:color w:val="000000" w:themeColor="text1"/>
          <w:sz w:val="22"/>
          <w:lang w:val="es-ES_tradnl"/>
        </w:rPr>
        <w:t xml:space="preserve">, como reglamentación de las normas generales antes mencionadas, el Decreto 092 de 2017 </w:t>
      </w:r>
      <w:r w:rsidR="009E2D72" w:rsidRPr="006734CA">
        <w:rPr>
          <w:rFonts w:ascii="Arial" w:hAnsi="Arial" w:cs="Arial"/>
          <w:color w:val="000000" w:themeColor="text1"/>
          <w:sz w:val="22"/>
          <w:lang w:val="es-ES_tradnl"/>
        </w:rPr>
        <w:t>dispuso</w:t>
      </w:r>
      <w:r w:rsidR="002928EE" w:rsidRPr="006734CA">
        <w:rPr>
          <w:rFonts w:ascii="Arial" w:hAnsi="Arial" w:cs="Arial"/>
          <w:color w:val="000000" w:themeColor="text1"/>
          <w:sz w:val="22"/>
          <w:lang w:val="es-ES_tradnl"/>
        </w:rPr>
        <w:t xml:space="preserve"> </w:t>
      </w:r>
      <w:r w:rsidR="002928EE" w:rsidRPr="006734CA">
        <w:rPr>
          <w:rFonts w:ascii="Arial" w:eastAsia="Calibri" w:hAnsi="Arial" w:cs="Arial"/>
          <w:color w:val="000000" w:themeColor="text1"/>
          <w:sz w:val="22"/>
          <w:lang w:val="es-ES_tradnl"/>
        </w:rPr>
        <w:t xml:space="preserve">que los convenios de asociación pueden ser celebrados con entidades sin ánimo de lucro </w:t>
      </w:r>
      <w:r w:rsidR="007E1611" w:rsidRPr="006734CA">
        <w:rPr>
          <w:rFonts w:ascii="Arial" w:eastAsia="Calibri" w:hAnsi="Arial" w:cs="Arial"/>
          <w:color w:val="000000" w:themeColor="text1"/>
          <w:sz w:val="22"/>
          <w:lang w:val="es-ES_tradnl"/>
        </w:rPr>
        <w:t xml:space="preserve">y </w:t>
      </w:r>
      <w:r w:rsidR="00CC3C9A" w:rsidRPr="006734CA">
        <w:rPr>
          <w:rFonts w:ascii="Arial" w:eastAsia="Calibri" w:hAnsi="Arial" w:cs="Arial"/>
          <w:color w:val="000000" w:themeColor="text1"/>
          <w:sz w:val="22"/>
          <w:lang w:val="es-ES_tradnl"/>
        </w:rPr>
        <w:t>de reconocida idoneidad para el desarrollo conjunto de actividades relacionadas con las funciones de las entidades estatales, indicando</w:t>
      </w:r>
      <w:r w:rsidR="00BE4E4A" w:rsidRPr="006734CA">
        <w:rPr>
          <w:rFonts w:ascii="Arial" w:eastAsia="Calibri" w:hAnsi="Arial" w:cs="Arial"/>
          <w:color w:val="000000" w:themeColor="text1"/>
          <w:sz w:val="22"/>
          <w:lang w:val="es-ES_tradnl"/>
        </w:rPr>
        <w:t xml:space="preserve"> </w:t>
      </w:r>
      <w:r w:rsidR="00CC3C9A" w:rsidRPr="006734CA">
        <w:rPr>
          <w:rFonts w:ascii="Arial" w:eastAsia="Calibri" w:hAnsi="Arial" w:cs="Arial"/>
          <w:color w:val="000000" w:themeColor="text1"/>
          <w:sz w:val="22"/>
          <w:lang w:val="es-ES_tradnl"/>
        </w:rPr>
        <w:t>lo</w:t>
      </w:r>
      <w:r w:rsidR="002928EE" w:rsidRPr="006734CA">
        <w:rPr>
          <w:rFonts w:ascii="Arial" w:eastAsia="Calibri" w:hAnsi="Arial" w:cs="Arial"/>
          <w:color w:val="000000" w:themeColor="text1"/>
          <w:sz w:val="22"/>
          <w:lang w:val="es-ES_tradnl"/>
        </w:rPr>
        <w:t xml:space="preserve">s requisitos para su suscripción. Así, dentro de las </w:t>
      </w:r>
      <w:r w:rsidR="007708B1" w:rsidRPr="006734CA">
        <w:rPr>
          <w:rFonts w:ascii="Arial" w:eastAsia="Calibri" w:hAnsi="Arial" w:cs="Arial"/>
          <w:color w:val="000000" w:themeColor="text1"/>
          <w:sz w:val="22"/>
          <w:lang w:val="es-ES_tradnl"/>
        </w:rPr>
        <w:t>características</w:t>
      </w:r>
      <w:r w:rsidR="002928EE" w:rsidRPr="006734CA">
        <w:rPr>
          <w:rFonts w:ascii="Arial" w:eastAsia="Calibri" w:hAnsi="Arial" w:cs="Arial"/>
          <w:color w:val="000000" w:themeColor="text1"/>
          <w:sz w:val="22"/>
          <w:lang w:val="es-ES_tradnl"/>
        </w:rPr>
        <w:t xml:space="preserve"> específicas </w:t>
      </w:r>
      <w:r w:rsidR="00E17AA0" w:rsidRPr="006734CA">
        <w:rPr>
          <w:rFonts w:ascii="Arial" w:eastAsia="Calibri" w:hAnsi="Arial" w:cs="Arial"/>
          <w:color w:val="000000" w:themeColor="text1"/>
          <w:sz w:val="22"/>
          <w:lang w:val="es-ES_tradnl"/>
        </w:rPr>
        <w:t>d</w:t>
      </w:r>
      <w:r w:rsidR="002928EE" w:rsidRPr="006734CA">
        <w:rPr>
          <w:rFonts w:ascii="Arial" w:eastAsia="Calibri" w:hAnsi="Arial" w:cs="Arial"/>
          <w:color w:val="000000" w:themeColor="text1"/>
          <w:sz w:val="22"/>
          <w:lang w:val="es-ES_tradnl"/>
        </w:rPr>
        <w:t xml:space="preserve">e este tipo especial de contratación se encuentran previstos </w:t>
      </w:r>
      <w:r w:rsidR="009E2D72" w:rsidRPr="006734CA">
        <w:rPr>
          <w:rFonts w:ascii="Arial" w:eastAsia="Calibri" w:hAnsi="Arial" w:cs="Arial"/>
          <w:color w:val="000000" w:themeColor="text1"/>
          <w:sz w:val="22"/>
          <w:lang w:val="es-ES_tradnl"/>
        </w:rPr>
        <w:t>tres</w:t>
      </w:r>
      <w:r w:rsidR="002928EE" w:rsidRPr="006734CA">
        <w:rPr>
          <w:rFonts w:ascii="Arial" w:eastAsia="Calibri" w:hAnsi="Arial" w:cs="Arial"/>
          <w:color w:val="000000" w:themeColor="text1"/>
          <w:sz w:val="22"/>
          <w:lang w:val="es-ES_tradnl"/>
        </w:rPr>
        <w:t xml:space="preserve"> escenarios: en primer lugar, se enmarcan los casos en que</w:t>
      </w:r>
      <w:r w:rsidR="009E2D72" w:rsidRPr="006734CA">
        <w:rPr>
          <w:rFonts w:ascii="Arial" w:eastAsia="Calibri" w:hAnsi="Arial" w:cs="Arial"/>
          <w:color w:val="000000" w:themeColor="text1"/>
          <w:sz w:val="22"/>
          <w:lang w:val="es-ES_tradnl"/>
        </w:rPr>
        <w:t>, dentro de un sector específico, se presente una o más ESAL que no comprometan recursos iguales o superiores al treinta por ciento (30%) del valor total del contrato</w:t>
      </w:r>
      <w:r w:rsidR="00CA3C3B" w:rsidRPr="006734CA">
        <w:rPr>
          <w:rFonts w:ascii="Arial" w:eastAsia="Calibri" w:hAnsi="Arial" w:cs="Arial"/>
          <w:color w:val="000000" w:themeColor="text1"/>
          <w:sz w:val="22"/>
          <w:lang w:val="es-ES_tradnl"/>
        </w:rPr>
        <w:t>, caso en el cual deberá adelantarse un proceso competitivo para la selección del proponente</w:t>
      </w:r>
      <w:r w:rsidR="009E2D72" w:rsidRPr="006734CA">
        <w:rPr>
          <w:rFonts w:ascii="Arial" w:eastAsia="Calibri" w:hAnsi="Arial" w:cs="Arial"/>
          <w:color w:val="000000" w:themeColor="text1"/>
          <w:sz w:val="22"/>
          <w:lang w:val="es-ES_tradnl"/>
        </w:rPr>
        <w:t>; en segundo lugar, se encuentran los procesos en que,</w:t>
      </w:r>
      <w:r w:rsidR="002928EE" w:rsidRPr="006734CA">
        <w:rPr>
          <w:rFonts w:ascii="Arial" w:eastAsia="Calibri" w:hAnsi="Arial" w:cs="Arial"/>
          <w:color w:val="000000" w:themeColor="text1"/>
          <w:sz w:val="22"/>
          <w:lang w:val="es-ES_tradnl"/>
        </w:rPr>
        <w:t xml:space="preserve"> dentro del sector específico, se presente </w:t>
      </w:r>
      <w:r w:rsidR="002F5479" w:rsidRPr="006734CA">
        <w:rPr>
          <w:rFonts w:ascii="Arial" w:eastAsia="Calibri" w:hAnsi="Arial" w:cs="Arial"/>
          <w:color w:val="000000" w:themeColor="text1"/>
          <w:sz w:val="22"/>
          <w:lang w:val="es-ES_tradnl"/>
        </w:rPr>
        <w:t>solo</w:t>
      </w:r>
      <w:r w:rsidR="002928EE" w:rsidRPr="006734CA">
        <w:rPr>
          <w:rFonts w:ascii="Arial" w:eastAsia="Calibri" w:hAnsi="Arial" w:cs="Arial"/>
          <w:color w:val="000000" w:themeColor="text1"/>
          <w:sz w:val="22"/>
          <w:lang w:val="es-ES_tradnl"/>
        </w:rPr>
        <w:t xml:space="preserve"> una ESAL que comprometa recursos en un porcentaje igual o superior al </w:t>
      </w:r>
      <w:r w:rsidR="00AA7209" w:rsidRPr="006734CA">
        <w:rPr>
          <w:rFonts w:ascii="Arial" w:eastAsia="Calibri" w:hAnsi="Arial" w:cs="Arial"/>
          <w:color w:val="000000" w:themeColor="text1"/>
          <w:sz w:val="22"/>
          <w:lang w:val="es-ES_tradnl"/>
        </w:rPr>
        <w:t>treinta por ciento (</w:t>
      </w:r>
      <w:r w:rsidR="002928EE" w:rsidRPr="006734CA">
        <w:rPr>
          <w:rFonts w:ascii="Arial" w:eastAsia="Calibri" w:hAnsi="Arial" w:cs="Arial"/>
          <w:color w:val="000000" w:themeColor="text1"/>
          <w:sz w:val="22"/>
          <w:lang w:val="es-ES_tradnl"/>
        </w:rPr>
        <w:t>30%</w:t>
      </w:r>
      <w:r w:rsidR="00AA7209" w:rsidRPr="006734CA">
        <w:rPr>
          <w:rFonts w:ascii="Arial" w:eastAsia="Calibri" w:hAnsi="Arial" w:cs="Arial"/>
          <w:color w:val="000000" w:themeColor="text1"/>
          <w:sz w:val="22"/>
          <w:lang w:val="es-ES_tradnl"/>
        </w:rPr>
        <w:t>)</w:t>
      </w:r>
      <w:r w:rsidR="002928EE" w:rsidRPr="006734CA">
        <w:rPr>
          <w:rFonts w:ascii="Arial" w:eastAsia="Calibri" w:hAnsi="Arial" w:cs="Arial"/>
          <w:color w:val="000000" w:themeColor="text1"/>
          <w:sz w:val="22"/>
          <w:lang w:val="es-ES_tradnl"/>
        </w:rPr>
        <w:t xml:space="preserve"> del valor del contrato, caso en el cual </w:t>
      </w:r>
      <w:r w:rsidR="000B4552" w:rsidRPr="006734CA">
        <w:rPr>
          <w:rFonts w:ascii="Arial" w:eastAsia="Calibri" w:hAnsi="Arial" w:cs="Arial"/>
          <w:color w:val="000000" w:themeColor="text1"/>
          <w:sz w:val="22"/>
          <w:lang w:val="es-ES_tradnl"/>
        </w:rPr>
        <w:t>no será necesario adelantar un</w:t>
      </w:r>
      <w:r w:rsidR="002928EE" w:rsidRPr="006734CA">
        <w:rPr>
          <w:rFonts w:ascii="Arial" w:eastAsia="Calibri" w:hAnsi="Arial" w:cs="Arial"/>
          <w:color w:val="000000" w:themeColor="text1"/>
          <w:sz w:val="22"/>
          <w:lang w:val="es-ES_tradnl"/>
        </w:rPr>
        <w:t xml:space="preserve"> proceso competitivo; y, ii</w:t>
      </w:r>
      <w:r w:rsidR="00CA3C3B" w:rsidRPr="006734CA">
        <w:rPr>
          <w:rFonts w:ascii="Arial" w:eastAsia="Calibri" w:hAnsi="Arial" w:cs="Arial"/>
          <w:color w:val="000000" w:themeColor="text1"/>
          <w:sz w:val="22"/>
          <w:lang w:val="es-ES_tradnl"/>
        </w:rPr>
        <w:t>i</w:t>
      </w:r>
      <w:r w:rsidR="002928EE" w:rsidRPr="006734CA">
        <w:rPr>
          <w:rFonts w:ascii="Arial" w:eastAsia="Calibri" w:hAnsi="Arial" w:cs="Arial"/>
          <w:color w:val="000000" w:themeColor="text1"/>
          <w:sz w:val="22"/>
          <w:lang w:val="es-ES_tradnl"/>
        </w:rPr>
        <w:t xml:space="preserve">) </w:t>
      </w:r>
      <w:r w:rsidR="009E2D72" w:rsidRPr="006734CA">
        <w:rPr>
          <w:rFonts w:ascii="Arial" w:eastAsia="Calibri" w:hAnsi="Arial" w:cs="Arial"/>
          <w:color w:val="000000" w:themeColor="text1"/>
          <w:sz w:val="22"/>
          <w:lang w:val="es-ES_tradnl"/>
        </w:rPr>
        <w:t xml:space="preserve">en </w:t>
      </w:r>
      <w:r w:rsidR="00CA3C3B" w:rsidRPr="006734CA">
        <w:rPr>
          <w:rFonts w:ascii="Arial" w:eastAsia="Calibri" w:hAnsi="Arial" w:cs="Arial"/>
          <w:color w:val="000000" w:themeColor="text1"/>
          <w:sz w:val="22"/>
          <w:lang w:val="es-ES_tradnl"/>
        </w:rPr>
        <w:t>tercer</w:t>
      </w:r>
      <w:r w:rsidR="009E2D72" w:rsidRPr="006734CA">
        <w:rPr>
          <w:rFonts w:ascii="Arial" w:eastAsia="Calibri" w:hAnsi="Arial" w:cs="Arial"/>
          <w:color w:val="000000" w:themeColor="text1"/>
          <w:sz w:val="22"/>
          <w:lang w:val="es-ES_tradnl"/>
        </w:rPr>
        <w:t xml:space="preserve"> lugar, se encuentran </w:t>
      </w:r>
      <w:r w:rsidR="002928EE" w:rsidRPr="006734CA">
        <w:rPr>
          <w:rFonts w:ascii="Arial" w:eastAsia="Calibri" w:hAnsi="Arial" w:cs="Arial"/>
          <w:color w:val="000000" w:themeColor="text1"/>
          <w:sz w:val="22"/>
          <w:lang w:val="es-ES_tradnl"/>
        </w:rPr>
        <w:t>los casos en que se presenten dos o más ESAL que comprometan</w:t>
      </w:r>
      <w:r w:rsidR="00C25E14" w:rsidRPr="006734CA">
        <w:rPr>
          <w:rFonts w:ascii="Arial" w:eastAsia="Calibri" w:hAnsi="Arial" w:cs="Arial"/>
          <w:color w:val="000000" w:themeColor="text1"/>
          <w:sz w:val="22"/>
          <w:lang w:val="es-ES_tradnl"/>
        </w:rPr>
        <w:t xml:space="preserve"> recursos equivalentes al</w:t>
      </w:r>
      <w:r w:rsidR="002928EE" w:rsidRPr="006734CA">
        <w:rPr>
          <w:rFonts w:ascii="Arial" w:eastAsia="Calibri" w:hAnsi="Arial" w:cs="Arial"/>
          <w:color w:val="000000" w:themeColor="text1"/>
          <w:sz w:val="22"/>
          <w:lang w:val="es-ES_tradnl"/>
        </w:rPr>
        <w:t xml:space="preserve"> </w:t>
      </w:r>
      <w:r w:rsidR="00C25E14" w:rsidRPr="006734CA">
        <w:rPr>
          <w:rFonts w:ascii="Arial" w:eastAsia="Calibri" w:hAnsi="Arial" w:cs="Arial"/>
          <w:color w:val="000000" w:themeColor="text1"/>
          <w:sz w:val="22"/>
          <w:lang w:val="es-ES_tradnl"/>
        </w:rPr>
        <w:t>treinta por ciento</w:t>
      </w:r>
      <w:r w:rsidR="00AA7209" w:rsidRPr="006734CA">
        <w:rPr>
          <w:rFonts w:ascii="Arial" w:eastAsia="Calibri" w:hAnsi="Arial" w:cs="Arial"/>
          <w:color w:val="000000" w:themeColor="text1"/>
          <w:sz w:val="22"/>
          <w:lang w:val="es-ES_tradnl"/>
        </w:rPr>
        <w:t xml:space="preserve"> (30%)</w:t>
      </w:r>
      <w:r w:rsidR="00C25E14" w:rsidRPr="006734CA">
        <w:rPr>
          <w:rFonts w:ascii="Arial" w:eastAsia="Calibri" w:hAnsi="Arial" w:cs="Arial"/>
          <w:color w:val="000000" w:themeColor="text1"/>
          <w:sz w:val="22"/>
          <w:lang w:val="es-ES_tradnl"/>
        </w:rPr>
        <w:t xml:space="preserve"> o más del valor total del contrato</w:t>
      </w:r>
      <w:r w:rsidR="002928EE" w:rsidRPr="006734CA">
        <w:rPr>
          <w:rFonts w:ascii="Arial" w:eastAsia="Calibri" w:hAnsi="Arial" w:cs="Arial"/>
          <w:color w:val="000000" w:themeColor="text1"/>
          <w:sz w:val="22"/>
          <w:lang w:val="es-ES_tradnl"/>
        </w:rPr>
        <w:t xml:space="preserve">, circunstancia en que la entidad estatal deberá adelantar un </w:t>
      </w:r>
      <w:r w:rsidR="009E2D72" w:rsidRPr="006734CA">
        <w:rPr>
          <w:rFonts w:ascii="Arial" w:eastAsia="Calibri" w:hAnsi="Arial" w:cs="Arial"/>
          <w:color w:val="000000" w:themeColor="text1"/>
          <w:sz w:val="22"/>
          <w:lang w:val="es-ES_tradnl"/>
        </w:rPr>
        <w:t>proceso que permita garantizar la selección objetiva entre l</w:t>
      </w:r>
      <w:r w:rsidR="00182BF2" w:rsidRPr="006734CA">
        <w:rPr>
          <w:rFonts w:ascii="Arial" w:eastAsia="Calibri" w:hAnsi="Arial" w:cs="Arial"/>
          <w:color w:val="000000" w:themeColor="text1"/>
          <w:sz w:val="22"/>
          <w:lang w:val="es-ES_tradnl"/>
        </w:rPr>
        <w:t>o</w:t>
      </w:r>
      <w:r w:rsidR="009E2D72" w:rsidRPr="006734CA">
        <w:rPr>
          <w:rFonts w:ascii="Arial" w:eastAsia="Calibri" w:hAnsi="Arial" w:cs="Arial"/>
          <w:color w:val="000000" w:themeColor="text1"/>
          <w:sz w:val="22"/>
          <w:lang w:val="es-ES_tradnl"/>
        </w:rPr>
        <w:t>s proponentes y, en todo caso, deberá justificar su selección.</w:t>
      </w:r>
    </w:p>
    <w:p w14:paraId="6E3A7A4F" w14:textId="77777777" w:rsidR="00C25E14" w:rsidRPr="006734CA" w:rsidRDefault="00C25E14" w:rsidP="009E2D72">
      <w:pPr>
        <w:spacing w:line="276" w:lineRule="auto"/>
        <w:jc w:val="both"/>
        <w:rPr>
          <w:rFonts w:ascii="Arial" w:eastAsia="Calibri" w:hAnsi="Arial" w:cs="Arial"/>
          <w:color w:val="000000" w:themeColor="text1"/>
          <w:sz w:val="22"/>
          <w:lang w:val="es-ES_tradnl"/>
        </w:rPr>
      </w:pPr>
    </w:p>
    <w:p w14:paraId="54731126" w14:textId="4AA3BE17" w:rsidR="00C25E14" w:rsidRPr="006734CA" w:rsidRDefault="00494F12" w:rsidP="003750DA">
      <w:pPr>
        <w:pStyle w:val="Prrafodelista"/>
        <w:numPr>
          <w:ilvl w:val="1"/>
          <w:numId w:val="6"/>
        </w:numPr>
        <w:tabs>
          <w:tab w:val="left" w:pos="426"/>
        </w:tabs>
        <w:spacing w:line="276" w:lineRule="auto"/>
        <w:ind w:left="426" w:hanging="426"/>
        <w:jc w:val="both"/>
        <w:rPr>
          <w:rFonts w:ascii="Arial" w:eastAsia="Calibri" w:hAnsi="Arial" w:cs="Arial"/>
          <w:b/>
          <w:color w:val="000000" w:themeColor="text1"/>
          <w:sz w:val="22"/>
          <w:lang w:val="es-ES_tradnl"/>
        </w:rPr>
      </w:pPr>
      <w:r w:rsidRPr="006734CA">
        <w:rPr>
          <w:rFonts w:ascii="Arial" w:eastAsia="Calibri" w:hAnsi="Arial" w:cs="Arial"/>
          <w:b/>
          <w:color w:val="000000" w:themeColor="text1"/>
          <w:sz w:val="22"/>
          <w:lang w:val="es-ES_tradnl"/>
        </w:rPr>
        <w:t xml:space="preserve">Proceso de selección para pluralidad de ESAL que comprometan, como mínimo, recursos equivalentes al treinta por ciento (30%) del valor total del contrato </w:t>
      </w:r>
    </w:p>
    <w:p w14:paraId="60603E5D" w14:textId="77777777" w:rsidR="00494F12" w:rsidRPr="006734CA" w:rsidRDefault="00494F12" w:rsidP="00494F12">
      <w:pPr>
        <w:tabs>
          <w:tab w:val="left" w:pos="426"/>
        </w:tabs>
        <w:spacing w:line="276" w:lineRule="auto"/>
        <w:jc w:val="both"/>
        <w:rPr>
          <w:rFonts w:ascii="Arial" w:hAnsi="Arial" w:cs="Arial"/>
          <w:color w:val="000000" w:themeColor="text1"/>
          <w:sz w:val="22"/>
          <w:lang w:val="es-ES_tradnl"/>
        </w:rPr>
      </w:pPr>
    </w:p>
    <w:p w14:paraId="557272D8" w14:textId="233E5CF5" w:rsidR="008840CA" w:rsidRPr="006734CA" w:rsidRDefault="008840CA" w:rsidP="002218CE">
      <w:pPr>
        <w:tabs>
          <w:tab w:val="left" w:pos="426"/>
        </w:tabs>
        <w:spacing w:line="276" w:lineRule="auto"/>
        <w:jc w:val="both"/>
        <w:rPr>
          <w:rFonts w:ascii="Arial" w:eastAsia="Calibri" w:hAnsi="Arial" w:cs="Arial"/>
          <w:color w:val="000000" w:themeColor="text1"/>
          <w:sz w:val="22"/>
          <w:lang w:val="es-ES_tradnl"/>
        </w:rPr>
      </w:pPr>
      <w:r w:rsidRPr="006734CA">
        <w:rPr>
          <w:rFonts w:ascii="Arial" w:hAnsi="Arial" w:cs="Arial"/>
          <w:color w:val="000000" w:themeColor="text1"/>
          <w:sz w:val="22"/>
          <w:lang w:val="es-ES_tradnl"/>
        </w:rPr>
        <w:t xml:space="preserve">En términos generales, el Decreto 092 de 2017 determinó que, </w:t>
      </w:r>
      <w:r w:rsidR="00AA7209" w:rsidRPr="006734CA">
        <w:rPr>
          <w:rFonts w:ascii="Arial" w:hAnsi="Arial" w:cs="Arial"/>
          <w:color w:val="000000" w:themeColor="text1"/>
          <w:sz w:val="22"/>
          <w:lang w:val="es-ES_tradnl"/>
        </w:rPr>
        <w:t>de acuerdo con e</w:t>
      </w:r>
      <w:r w:rsidRPr="006734CA">
        <w:rPr>
          <w:rFonts w:ascii="Arial" w:hAnsi="Arial" w:cs="Arial"/>
          <w:color w:val="000000" w:themeColor="text1"/>
          <w:sz w:val="22"/>
          <w:lang w:val="es-ES_tradnl"/>
        </w:rPr>
        <w:t xml:space="preserve">l artículo 355 de la Constitución Política, la contratación con entidades sin ánimo de lucro de </w:t>
      </w:r>
      <w:r w:rsidRPr="006734CA">
        <w:rPr>
          <w:rFonts w:ascii="Arial" w:hAnsi="Arial" w:cs="Arial"/>
          <w:color w:val="000000" w:themeColor="text1"/>
          <w:sz w:val="22"/>
          <w:lang w:val="es-ES_tradnl"/>
        </w:rPr>
        <w:lastRenderedPageBreak/>
        <w:t>reconocida idoneidad debe adelantarse en el marco de un proceso competitivo</w:t>
      </w:r>
      <w:r w:rsidRPr="006734CA">
        <w:rPr>
          <w:rStyle w:val="Refdenotaalpie"/>
          <w:rFonts w:ascii="Arial" w:hAnsi="Arial" w:cs="Arial"/>
          <w:color w:val="000000" w:themeColor="text1"/>
          <w:sz w:val="22"/>
          <w:lang w:val="es-ES_tradnl"/>
        </w:rPr>
        <w:footnoteReference w:id="1"/>
      </w:r>
      <w:r w:rsidR="00AA7209" w:rsidRPr="006734CA">
        <w:rPr>
          <w:rFonts w:ascii="Arial" w:hAnsi="Arial" w:cs="Arial"/>
          <w:color w:val="000000" w:themeColor="text1"/>
          <w:sz w:val="22"/>
          <w:lang w:val="es-ES_tradnl"/>
        </w:rPr>
        <w:t xml:space="preserve">, señalando como </w:t>
      </w:r>
      <w:r w:rsidR="00DC0138" w:rsidRPr="006734CA">
        <w:rPr>
          <w:rFonts w:ascii="Arial" w:hAnsi="Arial" w:cs="Arial"/>
          <w:color w:val="000000" w:themeColor="text1"/>
          <w:sz w:val="22"/>
          <w:lang w:val="es-ES_tradnl"/>
        </w:rPr>
        <w:t xml:space="preserve">uno de los tipos </w:t>
      </w:r>
      <w:r w:rsidR="007708B1" w:rsidRPr="006734CA">
        <w:rPr>
          <w:rFonts w:ascii="Arial" w:hAnsi="Arial" w:cs="Arial"/>
          <w:color w:val="000000" w:themeColor="text1"/>
          <w:sz w:val="22"/>
          <w:lang w:val="es-ES_tradnl"/>
        </w:rPr>
        <w:t>contractuales</w:t>
      </w:r>
      <w:r w:rsidR="00DC0138" w:rsidRPr="006734CA">
        <w:rPr>
          <w:rFonts w:ascii="Arial" w:hAnsi="Arial" w:cs="Arial"/>
          <w:color w:val="000000" w:themeColor="text1"/>
          <w:sz w:val="22"/>
          <w:lang w:val="es-ES_tradnl"/>
        </w:rPr>
        <w:t xml:space="preserve"> </w:t>
      </w:r>
      <w:r w:rsidR="00AA7209" w:rsidRPr="006734CA">
        <w:rPr>
          <w:rFonts w:ascii="Arial" w:hAnsi="Arial" w:cs="Arial"/>
          <w:color w:val="000000" w:themeColor="text1"/>
          <w:sz w:val="22"/>
          <w:lang w:val="es-ES_tradnl"/>
        </w:rPr>
        <w:t xml:space="preserve">permitidos el </w:t>
      </w:r>
      <w:r w:rsidR="00DC0138" w:rsidRPr="006734CA">
        <w:rPr>
          <w:rFonts w:ascii="Arial" w:hAnsi="Arial" w:cs="Arial"/>
          <w:color w:val="000000" w:themeColor="text1"/>
          <w:sz w:val="22"/>
          <w:lang w:val="es-ES_tradnl"/>
        </w:rPr>
        <w:t xml:space="preserve">convenio de </w:t>
      </w:r>
      <w:r w:rsidR="00DC0138" w:rsidRPr="006734CA">
        <w:rPr>
          <w:rFonts w:ascii="Arial" w:eastAsia="Calibri" w:hAnsi="Arial" w:cs="Arial"/>
          <w:color w:val="000000" w:themeColor="text1"/>
          <w:sz w:val="22"/>
          <w:lang w:val="es-ES_tradnl"/>
        </w:rPr>
        <w:t xml:space="preserve">asociación. </w:t>
      </w:r>
    </w:p>
    <w:p w14:paraId="08B6A23F" w14:textId="70884877" w:rsidR="005029C2" w:rsidRPr="006734CA" w:rsidRDefault="007708B1" w:rsidP="006734CA">
      <w:pPr>
        <w:tabs>
          <w:tab w:val="left" w:pos="426"/>
        </w:tabs>
        <w:spacing w:before="120" w:line="276" w:lineRule="auto"/>
        <w:ind w:firstLine="709"/>
        <w:jc w:val="both"/>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Como</w:t>
      </w:r>
      <w:r w:rsidR="00494F12" w:rsidRPr="006734CA">
        <w:rPr>
          <w:rFonts w:ascii="Arial" w:eastAsia="Calibri" w:hAnsi="Arial" w:cs="Arial"/>
          <w:color w:val="000000" w:themeColor="text1"/>
          <w:sz w:val="22"/>
          <w:lang w:val="es-ES_tradnl"/>
        </w:rPr>
        <w:t xml:space="preserve"> se mencionó anteriormente, uno de los escenarios en que las entidades estatales pueden celebrar convenios de asociación con entidades sin ánimo de lucro</w:t>
      </w:r>
      <w:r w:rsidR="00D923D3" w:rsidRPr="006734CA">
        <w:rPr>
          <w:rFonts w:ascii="Arial" w:eastAsia="Calibri" w:hAnsi="Arial" w:cs="Arial"/>
          <w:color w:val="000000" w:themeColor="text1"/>
          <w:sz w:val="22"/>
          <w:lang w:val="es-ES_tradnl"/>
        </w:rPr>
        <w:t>,</w:t>
      </w:r>
      <w:r w:rsidR="004B22E7" w:rsidRPr="006734CA">
        <w:rPr>
          <w:rFonts w:ascii="Arial" w:eastAsia="Calibri" w:hAnsi="Arial" w:cs="Arial"/>
          <w:color w:val="000000" w:themeColor="text1"/>
          <w:sz w:val="22"/>
          <w:lang w:val="es-ES_tradnl"/>
        </w:rPr>
        <w:t xml:space="preserve"> en el marco de lo dispuesto por el artículo 96 de la Ley 489 de 1998</w:t>
      </w:r>
      <w:r w:rsidR="003F3C60" w:rsidRPr="006734CA">
        <w:rPr>
          <w:rFonts w:ascii="Arial" w:eastAsia="Calibri" w:hAnsi="Arial" w:cs="Arial"/>
          <w:color w:val="000000" w:themeColor="text1"/>
          <w:sz w:val="22"/>
          <w:lang w:val="es-ES_tradnl"/>
        </w:rPr>
        <w:t>,</w:t>
      </w:r>
      <w:r w:rsidR="008840CA" w:rsidRPr="006734CA">
        <w:rPr>
          <w:rFonts w:ascii="Arial" w:eastAsia="Calibri" w:hAnsi="Arial" w:cs="Arial"/>
          <w:color w:val="000000" w:themeColor="text1"/>
          <w:sz w:val="22"/>
          <w:lang w:val="es-ES_tradnl"/>
        </w:rPr>
        <w:t xml:space="preserve"> </w:t>
      </w:r>
      <w:r w:rsidR="00494F12" w:rsidRPr="006734CA">
        <w:rPr>
          <w:rFonts w:ascii="Arial" w:eastAsia="Calibri" w:hAnsi="Arial" w:cs="Arial"/>
          <w:color w:val="000000" w:themeColor="text1"/>
          <w:sz w:val="22"/>
          <w:lang w:val="es-ES_tradnl"/>
        </w:rPr>
        <w:t xml:space="preserve">se configura </w:t>
      </w:r>
      <w:r w:rsidR="00DC0138" w:rsidRPr="006734CA">
        <w:rPr>
          <w:rFonts w:ascii="Arial" w:eastAsia="Calibri" w:hAnsi="Arial" w:cs="Arial"/>
          <w:color w:val="000000" w:themeColor="text1"/>
          <w:sz w:val="22"/>
          <w:lang w:val="es-ES_tradnl"/>
        </w:rPr>
        <w:t>en los casos en que</w:t>
      </w:r>
      <w:r w:rsidR="00494F12" w:rsidRPr="006734CA">
        <w:rPr>
          <w:rFonts w:ascii="Arial" w:eastAsia="Calibri" w:hAnsi="Arial" w:cs="Arial"/>
          <w:color w:val="000000" w:themeColor="text1"/>
          <w:sz w:val="22"/>
          <w:lang w:val="es-ES_tradnl"/>
        </w:rPr>
        <w:t xml:space="preserve">, </w:t>
      </w:r>
      <w:r w:rsidR="00D923D3" w:rsidRPr="006734CA">
        <w:rPr>
          <w:rFonts w:ascii="Arial" w:eastAsia="Calibri" w:hAnsi="Arial" w:cs="Arial"/>
          <w:color w:val="000000" w:themeColor="text1"/>
          <w:sz w:val="22"/>
          <w:lang w:val="es-ES_tradnl"/>
        </w:rPr>
        <w:t>en el estudio del sector,</w:t>
      </w:r>
      <w:r w:rsidR="00494F12" w:rsidRPr="006734CA">
        <w:rPr>
          <w:rFonts w:ascii="Arial" w:eastAsia="Calibri" w:hAnsi="Arial" w:cs="Arial"/>
          <w:color w:val="000000" w:themeColor="text1"/>
          <w:sz w:val="22"/>
          <w:lang w:val="es-ES_tradnl"/>
        </w:rPr>
        <w:t xml:space="preserve"> </w:t>
      </w:r>
      <w:r w:rsidR="00D923D3" w:rsidRPr="006734CA">
        <w:rPr>
          <w:rFonts w:ascii="Arial" w:eastAsia="Calibri" w:hAnsi="Arial" w:cs="Arial"/>
          <w:color w:val="000000" w:themeColor="text1"/>
          <w:sz w:val="22"/>
          <w:lang w:val="es-ES_tradnl"/>
        </w:rPr>
        <w:t xml:space="preserve">se evidencia </w:t>
      </w:r>
      <w:r w:rsidR="00494F12" w:rsidRPr="006734CA">
        <w:rPr>
          <w:rFonts w:ascii="Arial" w:eastAsia="Calibri" w:hAnsi="Arial" w:cs="Arial"/>
          <w:color w:val="000000" w:themeColor="text1"/>
          <w:sz w:val="22"/>
          <w:lang w:val="es-ES_tradnl"/>
        </w:rPr>
        <w:t xml:space="preserve">una </w:t>
      </w:r>
      <w:r w:rsidR="00DC0138" w:rsidRPr="006734CA">
        <w:rPr>
          <w:rFonts w:ascii="Arial" w:eastAsia="Calibri" w:hAnsi="Arial" w:cs="Arial"/>
          <w:color w:val="000000" w:themeColor="text1"/>
          <w:sz w:val="22"/>
          <w:lang w:val="es-ES_tradnl"/>
        </w:rPr>
        <w:t xml:space="preserve">única </w:t>
      </w:r>
      <w:r w:rsidR="00494F12" w:rsidRPr="006734CA">
        <w:rPr>
          <w:rFonts w:ascii="Arial" w:eastAsia="Calibri" w:hAnsi="Arial" w:cs="Arial"/>
          <w:color w:val="000000" w:themeColor="text1"/>
          <w:sz w:val="22"/>
          <w:lang w:val="es-ES_tradnl"/>
        </w:rPr>
        <w:t xml:space="preserve">entidad que decide </w:t>
      </w:r>
      <w:r w:rsidR="004B22E7" w:rsidRPr="006734CA">
        <w:rPr>
          <w:rFonts w:ascii="Arial" w:eastAsia="Calibri" w:hAnsi="Arial" w:cs="Arial"/>
          <w:color w:val="000000" w:themeColor="text1"/>
          <w:sz w:val="22"/>
          <w:lang w:val="es-ES_tradnl"/>
        </w:rPr>
        <w:t xml:space="preserve">aportar </w:t>
      </w:r>
      <w:r w:rsidR="002218CE" w:rsidRPr="006734CA">
        <w:rPr>
          <w:rFonts w:ascii="Arial" w:eastAsia="Calibri" w:hAnsi="Arial" w:cs="Arial"/>
          <w:color w:val="000000" w:themeColor="text1"/>
          <w:sz w:val="22"/>
          <w:lang w:val="es-ES_tradnl"/>
        </w:rPr>
        <w:t>recursos equivalentes a</w:t>
      </w:r>
      <w:r w:rsidR="00494F12" w:rsidRPr="006734CA">
        <w:rPr>
          <w:rFonts w:ascii="Arial" w:eastAsia="Calibri" w:hAnsi="Arial" w:cs="Arial"/>
          <w:color w:val="000000" w:themeColor="text1"/>
          <w:sz w:val="22"/>
          <w:lang w:val="es-ES_tradnl"/>
        </w:rPr>
        <w:t xml:space="preserve">l treinta </w:t>
      </w:r>
      <w:r w:rsidR="002218CE" w:rsidRPr="006734CA">
        <w:rPr>
          <w:rFonts w:ascii="Arial" w:eastAsia="Calibri" w:hAnsi="Arial" w:cs="Arial"/>
          <w:color w:val="000000" w:themeColor="text1"/>
          <w:sz w:val="22"/>
          <w:lang w:val="es-ES_tradnl"/>
        </w:rPr>
        <w:t xml:space="preserve">por ciento (30%) </w:t>
      </w:r>
      <w:r w:rsidR="004B22E7" w:rsidRPr="006734CA">
        <w:rPr>
          <w:rFonts w:ascii="Arial" w:eastAsia="Calibri" w:hAnsi="Arial" w:cs="Arial"/>
          <w:color w:val="000000" w:themeColor="text1"/>
          <w:sz w:val="22"/>
          <w:lang w:val="es-ES_tradnl"/>
        </w:rPr>
        <w:t xml:space="preserve">o más </w:t>
      </w:r>
      <w:r w:rsidR="002218CE" w:rsidRPr="006734CA">
        <w:rPr>
          <w:rFonts w:ascii="Arial" w:eastAsia="Calibri" w:hAnsi="Arial" w:cs="Arial"/>
          <w:color w:val="000000" w:themeColor="text1"/>
          <w:sz w:val="22"/>
          <w:lang w:val="es-ES_tradnl"/>
        </w:rPr>
        <w:t>del valor total del contrato</w:t>
      </w:r>
      <w:r w:rsidR="002F5479" w:rsidRPr="006734CA">
        <w:rPr>
          <w:rFonts w:ascii="Arial" w:eastAsia="Calibri" w:hAnsi="Arial" w:cs="Arial"/>
          <w:color w:val="000000" w:themeColor="text1"/>
          <w:sz w:val="22"/>
          <w:lang w:val="es-ES_tradnl"/>
        </w:rPr>
        <w:t xml:space="preserve">, bien sea comprometiendo </w:t>
      </w:r>
      <w:r w:rsidR="004B22E7" w:rsidRPr="006734CA">
        <w:rPr>
          <w:rFonts w:ascii="Arial" w:eastAsia="Calibri" w:hAnsi="Arial" w:cs="Arial"/>
          <w:color w:val="000000" w:themeColor="text1"/>
          <w:sz w:val="22"/>
          <w:lang w:val="es-ES_tradnl"/>
        </w:rPr>
        <w:t xml:space="preserve">dineros propios o provenientes de acuerdos de </w:t>
      </w:r>
      <w:r w:rsidRPr="006734CA">
        <w:rPr>
          <w:rFonts w:ascii="Arial" w:eastAsia="Calibri" w:hAnsi="Arial" w:cs="Arial"/>
          <w:color w:val="000000" w:themeColor="text1"/>
          <w:sz w:val="22"/>
          <w:lang w:val="es-ES_tradnl"/>
        </w:rPr>
        <w:t>cooperación</w:t>
      </w:r>
      <w:r w:rsidR="004B22E7" w:rsidRPr="006734CA">
        <w:rPr>
          <w:rFonts w:ascii="Arial" w:eastAsia="Calibri" w:hAnsi="Arial" w:cs="Arial"/>
          <w:color w:val="000000" w:themeColor="text1"/>
          <w:sz w:val="22"/>
          <w:lang w:val="es-ES_tradnl"/>
        </w:rPr>
        <w:t xml:space="preserve"> internacional</w:t>
      </w:r>
      <w:r w:rsidR="002218CE" w:rsidRPr="006734CA">
        <w:rPr>
          <w:rFonts w:ascii="Arial" w:eastAsia="Calibri" w:hAnsi="Arial" w:cs="Arial"/>
          <w:color w:val="000000" w:themeColor="text1"/>
          <w:sz w:val="22"/>
          <w:lang w:val="es-ES_tradnl"/>
        </w:rPr>
        <w:t xml:space="preserve">. </w:t>
      </w:r>
      <w:r w:rsidR="00DC0138" w:rsidRPr="006734CA">
        <w:rPr>
          <w:rFonts w:ascii="Arial" w:eastAsia="Calibri" w:hAnsi="Arial" w:cs="Arial"/>
          <w:color w:val="000000" w:themeColor="text1"/>
          <w:sz w:val="22"/>
          <w:lang w:val="es-ES_tradnl"/>
        </w:rPr>
        <w:t xml:space="preserve">En estos casos excepcionales, la norma dispone que la respectiva ESAL se encontrará excluida del proceso competitivo; </w:t>
      </w:r>
      <w:r w:rsidR="00AA7209" w:rsidRPr="006734CA">
        <w:rPr>
          <w:rFonts w:ascii="Arial" w:eastAsia="Calibri" w:hAnsi="Arial" w:cs="Arial"/>
          <w:color w:val="000000" w:themeColor="text1"/>
          <w:sz w:val="22"/>
          <w:lang w:val="es-ES_tradnl"/>
        </w:rPr>
        <w:t>no obstante</w:t>
      </w:r>
      <w:r w:rsidR="00DC0138" w:rsidRPr="006734CA">
        <w:rPr>
          <w:rFonts w:ascii="Arial" w:eastAsia="Calibri" w:hAnsi="Arial" w:cs="Arial"/>
          <w:color w:val="000000" w:themeColor="text1"/>
          <w:sz w:val="22"/>
          <w:lang w:val="es-ES_tradnl"/>
        </w:rPr>
        <w:t>, como lo ha indicado esta Agencia</w:t>
      </w:r>
      <w:r w:rsidR="00AA7209" w:rsidRPr="006734CA">
        <w:rPr>
          <w:rFonts w:ascii="Arial" w:eastAsia="Calibri" w:hAnsi="Arial" w:cs="Arial"/>
          <w:color w:val="000000" w:themeColor="text1"/>
          <w:sz w:val="22"/>
          <w:lang w:val="es-ES_tradnl"/>
        </w:rPr>
        <w:t>, la entidad estatal deberá</w:t>
      </w:r>
      <w:r w:rsidR="00182BF2" w:rsidRPr="006734CA">
        <w:rPr>
          <w:rFonts w:ascii="Arial" w:eastAsia="Calibri" w:hAnsi="Arial" w:cs="Arial"/>
          <w:color w:val="000000" w:themeColor="text1"/>
          <w:sz w:val="22"/>
          <w:lang w:val="es-ES_tradnl"/>
        </w:rPr>
        <w:t xml:space="preserve"> </w:t>
      </w:r>
      <w:r w:rsidR="00551564" w:rsidRPr="006734CA">
        <w:rPr>
          <w:rFonts w:ascii="Arial" w:eastAsia="Calibri" w:hAnsi="Arial" w:cs="Arial"/>
          <w:color w:val="000000" w:themeColor="text1"/>
          <w:sz w:val="22"/>
          <w:lang w:val="es-ES_tradnl"/>
        </w:rPr>
        <w:t>«</w:t>
      </w:r>
      <w:r w:rsidR="005029C2" w:rsidRPr="006734CA">
        <w:rPr>
          <w:rFonts w:ascii="Arial" w:eastAsia="Calibri" w:hAnsi="Arial" w:cs="Arial"/>
          <w:color w:val="000000" w:themeColor="text1"/>
          <w:sz w:val="22"/>
          <w:lang w:val="es-ES_tradnl"/>
        </w:rPr>
        <w:t>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00551564" w:rsidRPr="006734CA">
        <w:rPr>
          <w:rFonts w:ascii="Arial" w:eastAsia="Calibri" w:hAnsi="Arial" w:cs="Arial"/>
          <w:color w:val="000000" w:themeColor="text1"/>
          <w:sz w:val="22"/>
          <w:lang w:val="es-ES_tradnl"/>
        </w:rPr>
        <w:t>»</w:t>
      </w:r>
      <w:r w:rsidR="003750DA" w:rsidRPr="006734CA">
        <w:rPr>
          <w:rStyle w:val="Refdenotaalpie"/>
          <w:rFonts w:ascii="Arial" w:hAnsi="Arial" w:cs="Arial"/>
          <w:color w:val="000000" w:themeColor="text1"/>
          <w:sz w:val="19"/>
          <w:szCs w:val="19"/>
          <w:lang w:val="es-ES_tradnl"/>
        </w:rPr>
        <w:footnoteReference w:id="2"/>
      </w:r>
      <w:r w:rsidR="003750DA" w:rsidRPr="006734CA">
        <w:rPr>
          <w:rFonts w:ascii="Arial" w:hAnsi="Arial" w:cs="Arial"/>
          <w:color w:val="000000" w:themeColor="text1"/>
          <w:sz w:val="19"/>
          <w:szCs w:val="19"/>
          <w:lang w:val="es-ES_tradnl"/>
        </w:rPr>
        <w:t>.</w:t>
      </w:r>
    </w:p>
    <w:p w14:paraId="39476C87" w14:textId="4D144D66" w:rsidR="003750DA" w:rsidRPr="006734CA" w:rsidRDefault="000D2220" w:rsidP="006734CA">
      <w:pPr>
        <w:tabs>
          <w:tab w:val="left" w:pos="426"/>
        </w:tabs>
        <w:spacing w:before="120" w:line="276" w:lineRule="auto"/>
        <w:ind w:firstLine="709"/>
        <w:jc w:val="both"/>
        <w:rPr>
          <w:rFonts w:ascii="Arial" w:hAnsi="Arial" w:cs="Arial"/>
          <w:color w:val="000000" w:themeColor="text1"/>
          <w:sz w:val="22"/>
          <w:lang w:val="es-ES_tradnl"/>
        </w:rPr>
      </w:pPr>
      <w:r w:rsidRPr="006734CA">
        <w:rPr>
          <w:rFonts w:ascii="Arial" w:hAnsi="Arial" w:cs="Arial"/>
          <w:color w:val="000000" w:themeColor="text1"/>
          <w:sz w:val="22"/>
          <w:lang w:val="es-ES_tradnl"/>
        </w:rPr>
        <w:t>Para esta circunstancia</w:t>
      </w:r>
      <w:r w:rsidR="003750DA" w:rsidRPr="006734CA">
        <w:rPr>
          <w:rFonts w:ascii="Arial" w:hAnsi="Arial" w:cs="Arial"/>
          <w:color w:val="000000" w:themeColor="text1"/>
          <w:sz w:val="22"/>
          <w:lang w:val="es-ES_tradnl"/>
        </w:rPr>
        <w:t xml:space="preserve">, en relación con la consulta planteada, </w:t>
      </w:r>
      <w:r w:rsidR="002218CE" w:rsidRPr="006734CA">
        <w:rPr>
          <w:rFonts w:ascii="Arial" w:hAnsi="Arial" w:cs="Arial"/>
          <w:color w:val="000000" w:themeColor="text1"/>
          <w:sz w:val="22"/>
          <w:lang w:val="es-ES_tradnl"/>
        </w:rPr>
        <w:t xml:space="preserve">debe indicarse que de la interpretación de la norma no se colige que la entidad estatal deba </w:t>
      </w:r>
      <w:r w:rsidR="00192084" w:rsidRPr="006734CA">
        <w:rPr>
          <w:rFonts w:ascii="Arial" w:hAnsi="Arial" w:cs="Arial"/>
          <w:color w:val="000000" w:themeColor="text1"/>
          <w:sz w:val="22"/>
          <w:lang w:val="es-ES_tradnl"/>
        </w:rPr>
        <w:t xml:space="preserve">efectuar </w:t>
      </w:r>
      <w:r w:rsidR="002218CE" w:rsidRPr="006734CA">
        <w:rPr>
          <w:rFonts w:ascii="Arial" w:hAnsi="Arial" w:cs="Arial"/>
          <w:color w:val="000000" w:themeColor="text1"/>
          <w:sz w:val="22"/>
          <w:lang w:val="es-ES_tradnl"/>
        </w:rPr>
        <w:t>una convocatoria para determinar si existen más ESAL interesadas en igualar el porcentaje ya propuesto.</w:t>
      </w:r>
      <w:r w:rsidR="003750DA" w:rsidRPr="006734CA">
        <w:rPr>
          <w:rFonts w:ascii="Arial" w:hAnsi="Arial" w:cs="Arial"/>
          <w:color w:val="000000" w:themeColor="text1"/>
          <w:sz w:val="22"/>
          <w:lang w:val="es-ES_tradnl"/>
        </w:rPr>
        <w:t xml:space="preserve"> </w:t>
      </w:r>
      <w:r w:rsidR="00C25E14" w:rsidRPr="006734CA">
        <w:rPr>
          <w:rFonts w:ascii="Arial" w:hAnsi="Arial" w:cs="Arial"/>
          <w:color w:val="000000" w:themeColor="text1"/>
          <w:sz w:val="22"/>
          <w:lang w:val="es-ES_tradnl"/>
        </w:rPr>
        <w:t>No obstante, el Estatuto General de Contratación</w:t>
      </w:r>
      <w:r w:rsidR="003750DA" w:rsidRPr="006734CA">
        <w:rPr>
          <w:rFonts w:ascii="Arial" w:hAnsi="Arial" w:cs="Arial"/>
          <w:color w:val="000000" w:themeColor="text1"/>
          <w:sz w:val="22"/>
          <w:lang w:val="es-ES_tradnl"/>
        </w:rPr>
        <w:t xml:space="preserve"> Pública</w:t>
      </w:r>
      <w:r w:rsidR="00C25E14" w:rsidRPr="006734CA">
        <w:rPr>
          <w:rFonts w:ascii="Arial" w:hAnsi="Arial" w:cs="Arial"/>
          <w:color w:val="000000" w:themeColor="text1"/>
          <w:sz w:val="22"/>
          <w:lang w:val="es-ES_tradnl"/>
        </w:rPr>
        <w:t xml:space="preserve"> determina que las entidades estatales se encuentran obligadas a realizar un proceso de planeación que permita determinar las características esenciales de un futuro contrato, la necesidad respecto a su celebración y la identificación del sector.</w:t>
      </w:r>
      <w:r w:rsidR="002218CE" w:rsidRPr="006734CA">
        <w:rPr>
          <w:rFonts w:ascii="Arial" w:hAnsi="Arial" w:cs="Arial"/>
          <w:color w:val="000000" w:themeColor="text1"/>
          <w:sz w:val="22"/>
          <w:lang w:val="es-ES_tradnl"/>
        </w:rPr>
        <w:t xml:space="preserve"> </w:t>
      </w:r>
      <w:r w:rsidR="007708B1" w:rsidRPr="006734CA">
        <w:rPr>
          <w:rFonts w:ascii="Arial" w:hAnsi="Arial" w:cs="Arial"/>
          <w:color w:val="000000" w:themeColor="text1"/>
          <w:sz w:val="22"/>
          <w:lang w:val="es-ES_tradnl"/>
        </w:rPr>
        <w:t>De esta manera</w:t>
      </w:r>
      <w:r w:rsidR="00C25E14" w:rsidRPr="006734CA">
        <w:rPr>
          <w:rFonts w:ascii="Arial" w:hAnsi="Arial" w:cs="Arial"/>
          <w:color w:val="000000" w:themeColor="text1"/>
          <w:sz w:val="22"/>
          <w:lang w:val="es-ES_tradnl"/>
        </w:rPr>
        <w:t>, en concordancia con el artículo 2.2.1.1.1.6.1 del Decreto 1082 de 2015</w:t>
      </w:r>
      <w:r w:rsidR="00173047" w:rsidRPr="006734CA">
        <w:rPr>
          <w:rFonts w:ascii="Arial" w:hAnsi="Arial" w:cs="Arial"/>
          <w:color w:val="000000" w:themeColor="text1"/>
          <w:sz w:val="22"/>
          <w:lang w:val="es-ES_tradnl"/>
        </w:rPr>
        <w:t>,</w:t>
      </w:r>
      <w:r w:rsidR="00C25E14" w:rsidRPr="006734CA">
        <w:rPr>
          <w:rFonts w:ascii="Arial" w:hAnsi="Arial" w:cs="Arial"/>
          <w:color w:val="000000" w:themeColor="text1"/>
          <w:sz w:val="22"/>
          <w:lang w:val="es-ES_tradnl"/>
        </w:rPr>
        <w:t xml:space="preserve"> </w:t>
      </w:r>
      <w:r w:rsidR="00173047" w:rsidRPr="006734CA">
        <w:rPr>
          <w:rFonts w:ascii="Arial" w:hAnsi="Arial" w:cs="Arial"/>
          <w:color w:val="000000" w:themeColor="text1"/>
          <w:sz w:val="22"/>
          <w:lang w:val="es-ES_tradnl"/>
        </w:rPr>
        <w:t>se reitera</w:t>
      </w:r>
      <w:r w:rsidR="00C25E14" w:rsidRPr="006734CA">
        <w:rPr>
          <w:rFonts w:ascii="Arial" w:hAnsi="Arial" w:cs="Arial"/>
          <w:color w:val="000000" w:themeColor="text1"/>
          <w:sz w:val="22"/>
          <w:lang w:val="es-ES_tradnl"/>
        </w:rPr>
        <w:t xml:space="preserve"> lo expresado por </w:t>
      </w:r>
      <w:r w:rsidR="005029C2" w:rsidRPr="006734CA">
        <w:rPr>
          <w:rFonts w:ascii="Arial" w:hAnsi="Arial" w:cs="Arial"/>
          <w:color w:val="000000" w:themeColor="text1"/>
          <w:sz w:val="22"/>
          <w:lang w:val="es-ES_tradnl"/>
        </w:rPr>
        <w:t>Colombia Compra Eficiente</w:t>
      </w:r>
      <w:r w:rsidR="00173047" w:rsidRPr="006734CA">
        <w:rPr>
          <w:rFonts w:ascii="Arial" w:hAnsi="Arial" w:cs="Arial"/>
          <w:color w:val="000000" w:themeColor="text1"/>
          <w:sz w:val="22"/>
          <w:lang w:val="es-ES_tradnl"/>
        </w:rPr>
        <w:t xml:space="preserve"> en el Concepto C-223 de 2020</w:t>
      </w:r>
      <w:r w:rsidR="005029C2" w:rsidRPr="006734CA">
        <w:rPr>
          <w:rFonts w:ascii="Arial" w:hAnsi="Arial" w:cs="Arial"/>
          <w:color w:val="000000" w:themeColor="text1"/>
          <w:sz w:val="22"/>
          <w:lang w:val="es-ES_tradnl"/>
        </w:rPr>
        <w:t>,</w:t>
      </w:r>
      <w:r w:rsidR="00093069" w:rsidRPr="006734CA">
        <w:rPr>
          <w:rFonts w:ascii="Arial" w:hAnsi="Arial" w:cs="Arial"/>
          <w:color w:val="000000" w:themeColor="text1"/>
          <w:sz w:val="22"/>
          <w:lang w:val="es-ES_tradnl"/>
        </w:rPr>
        <w:t xml:space="preserve"> sobre</w:t>
      </w:r>
      <w:r w:rsidR="00173047" w:rsidRPr="006734CA">
        <w:rPr>
          <w:rFonts w:ascii="Arial" w:hAnsi="Arial" w:cs="Arial"/>
          <w:color w:val="000000" w:themeColor="text1"/>
          <w:sz w:val="22"/>
          <w:lang w:val="es-ES_tradnl"/>
        </w:rPr>
        <w:t xml:space="preserve"> </w:t>
      </w:r>
      <w:r w:rsidR="00661CE0" w:rsidRPr="006734CA">
        <w:rPr>
          <w:rFonts w:ascii="Arial" w:hAnsi="Arial" w:cs="Arial"/>
          <w:color w:val="000000" w:themeColor="text1"/>
          <w:sz w:val="22"/>
          <w:lang w:val="es-ES_tradnl"/>
        </w:rPr>
        <w:t xml:space="preserve">el estudio del sector que debe llevarse a cabo para celebrar </w:t>
      </w:r>
      <w:r w:rsidR="00173047" w:rsidRPr="006734CA">
        <w:rPr>
          <w:rFonts w:ascii="Arial" w:hAnsi="Arial" w:cs="Arial"/>
          <w:color w:val="000000" w:themeColor="text1"/>
          <w:sz w:val="22"/>
          <w:lang w:val="es-ES_tradnl"/>
        </w:rPr>
        <w:t xml:space="preserve">los contratos regulados en el </w:t>
      </w:r>
      <w:r w:rsidR="00C25E14" w:rsidRPr="006734CA">
        <w:rPr>
          <w:rFonts w:ascii="Arial" w:hAnsi="Arial" w:cs="Arial"/>
          <w:color w:val="000000" w:themeColor="text1"/>
          <w:sz w:val="22"/>
          <w:lang w:val="es-ES_tradnl"/>
        </w:rPr>
        <w:t>Decreto 092 de 2017</w:t>
      </w:r>
      <w:r w:rsidR="00093069" w:rsidRPr="006734CA">
        <w:rPr>
          <w:rFonts w:ascii="Arial" w:hAnsi="Arial" w:cs="Arial"/>
          <w:color w:val="000000" w:themeColor="text1"/>
          <w:sz w:val="22"/>
          <w:lang w:val="es-ES_tradnl"/>
        </w:rPr>
        <w:t>. Al respecto esta Subdirección indicó:</w:t>
      </w:r>
      <w:r w:rsidR="00C25E14" w:rsidRPr="006734CA">
        <w:rPr>
          <w:rFonts w:ascii="Arial" w:hAnsi="Arial" w:cs="Arial"/>
          <w:color w:val="000000" w:themeColor="text1"/>
          <w:sz w:val="22"/>
          <w:lang w:val="es-ES_tradnl"/>
        </w:rPr>
        <w:t xml:space="preserve"> </w:t>
      </w:r>
    </w:p>
    <w:p w14:paraId="7B727F94" w14:textId="77777777" w:rsidR="00192084" w:rsidRPr="006734CA" w:rsidRDefault="00192084" w:rsidP="00192084">
      <w:pPr>
        <w:ind w:left="709" w:right="709"/>
        <w:jc w:val="both"/>
        <w:rPr>
          <w:rFonts w:ascii="Arial" w:hAnsi="Arial" w:cs="Arial"/>
          <w:color w:val="000000" w:themeColor="text1"/>
          <w:sz w:val="19"/>
          <w:szCs w:val="19"/>
          <w:lang w:val="es-ES_tradnl"/>
        </w:rPr>
      </w:pPr>
    </w:p>
    <w:p w14:paraId="121B79AE" w14:textId="665C3BE4" w:rsidR="002218CE" w:rsidRPr="006734CA" w:rsidRDefault="00C25E14" w:rsidP="006734CA">
      <w:pPr>
        <w:ind w:left="709" w:right="709"/>
        <w:jc w:val="both"/>
        <w:rPr>
          <w:rFonts w:ascii="Arial" w:hAnsi="Arial" w:cs="Arial"/>
          <w:color w:val="000000" w:themeColor="text1"/>
          <w:sz w:val="19"/>
          <w:szCs w:val="19"/>
          <w:lang w:val="es-ES_tradnl"/>
        </w:rPr>
      </w:pPr>
      <w:r w:rsidRPr="006734CA">
        <w:rPr>
          <w:rFonts w:ascii="Arial" w:hAnsi="Arial" w:cs="Arial"/>
          <w:color w:val="000000" w:themeColor="text1"/>
          <w:sz w:val="19"/>
          <w:szCs w:val="19"/>
          <w:lang w:val="es-ES_tradnl"/>
        </w:rPr>
        <w:t>[…] 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w:t>
      </w:r>
      <w:r w:rsidR="005029C2" w:rsidRPr="006734CA">
        <w:rPr>
          <w:rFonts w:ascii="Arial" w:hAnsi="Arial" w:cs="Arial"/>
          <w:color w:val="000000" w:themeColor="text1"/>
          <w:sz w:val="19"/>
          <w:szCs w:val="19"/>
          <w:vertAlign w:val="superscript"/>
          <w:lang w:val="es-ES_tradnl"/>
        </w:rPr>
        <w:footnoteReference w:id="3"/>
      </w:r>
      <w:r w:rsidRPr="006734CA">
        <w:rPr>
          <w:rFonts w:ascii="Arial" w:hAnsi="Arial" w:cs="Arial"/>
          <w:color w:val="000000" w:themeColor="text1"/>
          <w:sz w:val="19"/>
          <w:szCs w:val="19"/>
          <w:lang w:val="es-ES_tradnl"/>
        </w:rPr>
        <w:t xml:space="preserve">. </w:t>
      </w:r>
    </w:p>
    <w:p w14:paraId="59B87554" w14:textId="77777777" w:rsidR="00892517" w:rsidRPr="006734CA" w:rsidRDefault="002218CE" w:rsidP="00892517">
      <w:pPr>
        <w:tabs>
          <w:tab w:val="left" w:pos="426"/>
        </w:tabs>
        <w:spacing w:line="276" w:lineRule="auto"/>
        <w:jc w:val="both"/>
        <w:rPr>
          <w:rFonts w:ascii="Arial" w:hAnsi="Arial" w:cs="Arial"/>
          <w:color w:val="000000" w:themeColor="text1"/>
          <w:sz w:val="22"/>
          <w:lang w:val="es-ES_tradnl"/>
        </w:rPr>
      </w:pPr>
      <w:r w:rsidRPr="006734CA">
        <w:rPr>
          <w:rFonts w:ascii="Arial" w:hAnsi="Arial" w:cs="Arial"/>
          <w:color w:val="000000" w:themeColor="text1"/>
          <w:sz w:val="22"/>
          <w:lang w:val="es-ES_tradnl"/>
        </w:rPr>
        <w:lastRenderedPageBreak/>
        <w:tab/>
      </w:r>
    </w:p>
    <w:p w14:paraId="45344147" w14:textId="660BB986" w:rsidR="00C25E14" w:rsidRPr="006734CA" w:rsidRDefault="00C25E14">
      <w:pPr>
        <w:tabs>
          <w:tab w:val="left" w:pos="426"/>
        </w:tabs>
        <w:spacing w:line="276" w:lineRule="auto"/>
        <w:ind w:firstLine="709"/>
        <w:jc w:val="both"/>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 xml:space="preserve">Lo anterior genera una oportunidad para que la entidad </w:t>
      </w:r>
      <w:r w:rsidR="00892517" w:rsidRPr="006734CA">
        <w:rPr>
          <w:rFonts w:ascii="Arial" w:eastAsia="Calibri" w:hAnsi="Arial" w:cs="Arial"/>
          <w:color w:val="000000" w:themeColor="text1"/>
          <w:sz w:val="22"/>
          <w:lang w:val="es-ES_tradnl"/>
        </w:rPr>
        <w:t xml:space="preserve">estatal </w:t>
      </w:r>
      <w:r w:rsidRPr="006734CA">
        <w:rPr>
          <w:rFonts w:ascii="Arial" w:eastAsia="Calibri" w:hAnsi="Arial" w:cs="Arial"/>
          <w:color w:val="000000" w:themeColor="text1"/>
          <w:sz w:val="22"/>
          <w:lang w:val="es-ES_tradnl"/>
        </w:rPr>
        <w:t>pueda verificar la capacidad financiera y técnica de las ESAL pertenecientes al sector relativo al objeto del contrato</w:t>
      </w:r>
      <w:r w:rsidR="00F55C60" w:rsidRPr="006734CA">
        <w:rPr>
          <w:rFonts w:ascii="Arial" w:eastAsia="Calibri" w:hAnsi="Arial" w:cs="Arial"/>
          <w:color w:val="000000" w:themeColor="text1"/>
          <w:sz w:val="22"/>
          <w:lang w:val="es-ES_tradnl"/>
        </w:rPr>
        <w:t>,</w:t>
      </w:r>
      <w:r w:rsidR="007708B1" w:rsidRPr="006734CA">
        <w:rPr>
          <w:rFonts w:ascii="Arial" w:eastAsia="Calibri" w:hAnsi="Arial" w:cs="Arial"/>
          <w:color w:val="000000" w:themeColor="text1"/>
          <w:sz w:val="22"/>
          <w:lang w:val="es-ES_tradnl"/>
        </w:rPr>
        <w:t xml:space="preserve"> identificando de esta manera</w:t>
      </w:r>
      <w:r w:rsidR="00892517" w:rsidRPr="006734CA">
        <w:rPr>
          <w:rFonts w:ascii="Arial" w:eastAsia="Calibri" w:hAnsi="Arial" w:cs="Arial"/>
          <w:color w:val="000000" w:themeColor="text1"/>
          <w:sz w:val="22"/>
          <w:lang w:val="es-ES_tradnl"/>
        </w:rPr>
        <w:t xml:space="preserve"> si existe otra u otras ESAL que puedan comprometer </w:t>
      </w:r>
      <w:r w:rsidR="007708B1" w:rsidRPr="006734CA">
        <w:rPr>
          <w:rFonts w:ascii="Arial" w:eastAsia="Calibri" w:hAnsi="Arial" w:cs="Arial"/>
          <w:color w:val="000000" w:themeColor="text1"/>
          <w:sz w:val="22"/>
          <w:lang w:val="es-ES_tradnl"/>
        </w:rPr>
        <w:t>recursos en el referido porcentaje</w:t>
      </w:r>
      <w:r w:rsidRPr="006734CA">
        <w:rPr>
          <w:rFonts w:ascii="Arial" w:eastAsia="Calibri" w:hAnsi="Arial" w:cs="Arial"/>
          <w:color w:val="000000" w:themeColor="text1"/>
          <w:sz w:val="22"/>
          <w:lang w:val="es-ES_tradnl"/>
        </w:rPr>
        <w:t>, sin que esto implique una obligación a cargo de la entidad de realizar una convocatoria</w:t>
      </w:r>
      <w:r w:rsidR="00F55C60" w:rsidRPr="006734CA">
        <w:rPr>
          <w:rFonts w:ascii="Arial" w:eastAsia="Calibri" w:hAnsi="Arial" w:cs="Arial"/>
          <w:color w:val="000000" w:themeColor="text1"/>
          <w:sz w:val="22"/>
          <w:lang w:val="es-ES_tradnl"/>
        </w:rPr>
        <w:t>.</w:t>
      </w:r>
    </w:p>
    <w:p w14:paraId="4F0B892B" w14:textId="21DAFCF9" w:rsidR="00F55C60" w:rsidRDefault="00F55C60" w:rsidP="00F55C60">
      <w:pPr>
        <w:tabs>
          <w:tab w:val="left" w:pos="426"/>
        </w:tabs>
        <w:spacing w:before="120" w:line="276" w:lineRule="auto"/>
        <w:ind w:firstLine="709"/>
        <w:jc w:val="both"/>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 xml:space="preserve">En otras palabras, </w:t>
      </w:r>
      <w:r w:rsidR="006B6339" w:rsidRPr="006734CA">
        <w:rPr>
          <w:rFonts w:ascii="Arial" w:eastAsia="Calibri" w:hAnsi="Arial" w:cs="Arial"/>
          <w:color w:val="000000" w:themeColor="text1"/>
          <w:sz w:val="22"/>
          <w:lang w:val="es-ES_tradnl"/>
        </w:rPr>
        <w:t>para celebrar los convenios regulados en el De</w:t>
      </w:r>
      <w:r w:rsidR="006B6339">
        <w:rPr>
          <w:rFonts w:ascii="Arial" w:eastAsia="Calibri" w:hAnsi="Arial" w:cs="Arial"/>
          <w:color w:val="000000" w:themeColor="text1"/>
          <w:sz w:val="22"/>
          <w:lang w:val="es-ES_tradnl"/>
        </w:rPr>
        <w:t>cre</w:t>
      </w:r>
      <w:r w:rsidR="006B6339" w:rsidRPr="006734CA">
        <w:rPr>
          <w:rFonts w:ascii="Arial" w:eastAsia="Calibri" w:hAnsi="Arial" w:cs="Arial"/>
          <w:color w:val="000000" w:themeColor="text1"/>
          <w:sz w:val="22"/>
          <w:lang w:val="es-ES_tradnl"/>
        </w:rPr>
        <w:t>to 092 de 2017</w:t>
      </w:r>
      <w:r w:rsidR="006B6339">
        <w:rPr>
          <w:rFonts w:ascii="Arial" w:eastAsia="Calibri" w:hAnsi="Arial" w:cs="Arial"/>
          <w:color w:val="000000" w:themeColor="text1"/>
          <w:sz w:val="22"/>
          <w:lang w:val="es-ES_tradnl"/>
        </w:rPr>
        <w:t xml:space="preserve"> –incluidos los convenios de asociació</w:t>
      </w:r>
      <w:r w:rsidR="009E41C2">
        <w:rPr>
          <w:rFonts w:ascii="Arial" w:eastAsia="Calibri" w:hAnsi="Arial" w:cs="Arial"/>
          <w:color w:val="000000" w:themeColor="text1"/>
          <w:sz w:val="22"/>
          <w:lang w:val="es-ES_tradnl"/>
        </w:rPr>
        <w:t>n previstos</w:t>
      </w:r>
      <w:r w:rsidR="00A85AFF">
        <w:rPr>
          <w:rFonts w:ascii="Arial" w:eastAsia="Calibri" w:hAnsi="Arial" w:cs="Arial"/>
          <w:color w:val="000000" w:themeColor="text1"/>
          <w:sz w:val="22"/>
          <w:lang w:val="es-ES_tradnl"/>
        </w:rPr>
        <w:t xml:space="preserve"> en el artículo 5 de dicho reglamento–, las entidades estatales deben garantizar el principio de planeación, realizando los estudios previos que permitan concretar la mejor forma de </w:t>
      </w:r>
      <w:r w:rsidR="009E41C2">
        <w:rPr>
          <w:rFonts w:ascii="Arial" w:eastAsia="Calibri" w:hAnsi="Arial" w:cs="Arial"/>
          <w:color w:val="000000" w:themeColor="text1"/>
          <w:sz w:val="22"/>
          <w:lang w:val="es-ES_tradnl"/>
        </w:rPr>
        <w:t>satisfacer la necesidad contractual.</w:t>
      </w:r>
    </w:p>
    <w:p w14:paraId="0C00BCD2" w14:textId="205A121F" w:rsidR="0027329E" w:rsidRDefault="009E41C2" w:rsidP="0027329E">
      <w:pPr>
        <w:tabs>
          <w:tab w:val="left" w:pos="426"/>
        </w:tabs>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Dentro de los estudios previos, las entidades estatales deben efectuar el correspondiente análisis del sector</w:t>
      </w:r>
      <w:r w:rsidR="00FF3519">
        <w:rPr>
          <w:rFonts w:ascii="Arial" w:eastAsia="Calibri" w:hAnsi="Arial" w:cs="Arial"/>
          <w:color w:val="000000" w:themeColor="text1"/>
          <w:sz w:val="22"/>
          <w:lang w:val="es-ES_tradnl"/>
        </w:rPr>
        <w:t xml:space="preserve">, para verificar si dentro del mercado existen o no varias ESAL que puedan </w:t>
      </w:r>
      <w:r w:rsidR="0027329E">
        <w:rPr>
          <w:rFonts w:ascii="Arial" w:eastAsia="Calibri" w:hAnsi="Arial" w:cs="Arial"/>
          <w:color w:val="000000" w:themeColor="text1"/>
          <w:sz w:val="22"/>
          <w:lang w:val="es-ES_tradnl"/>
        </w:rPr>
        <w:t xml:space="preserve">hacer un aporte mínimo del 30% del valor total del convenio a celebrar. </w:t>
      </w:r>
      <w:r w:rsidR="00B100E5">
        <w:rPr>
          <w:rFonts w:ascii="Arial" w:eastAsia="Calibri" w:hAnsi="Arial" w:cs="Arial"/>
          <w:color w:val="000000" w:themeColor="text1"/>
          <w:sz w:val="22"/>
          <w:lang w:val="es-ES_tradnl"/>
        </w:rPr>
        <w:t>Dicho de otra forma</w:t>
      </w:r>
      <w:r w:rsidR="0027329E">
        <w:rPr>
          <w:rFonts w:ascii="Arial" w:eastAsia="Calibri" w:hAnsi="Arial" w:cs="Arial"/>
          <w:color w:val="000000" w:themeColor="text1"/>
          <w:sz w:val="22"/>
          <w:lang w:val="es-ES_tradnl"/>
        </w:rPr>
        <w:t xml:space="preserve">, el estudio del sector permite a las entidades estatales decidir si optan o no por un proceso competitivo, en los términos del artículo 5 del Decreto 092 de 2017. Lo anterior, por cuanto esta disposición normativa establece </w:t>
      </w:r>
      <w:r w:rsidR="00137B0D">
        <w:rPr>
          <w:rFonts w:ascii="Arial" w:eastAsia="Calibri" w:hAnsi="Arial" w:cs="Arial"/>
          <w:color w:val="000000" w:themeColor="text1"/>
          <w:sz w:val="22"/>
          <w:lang w:val="es-ES_tradnl"/>
        </w:rPr>
        <w:t>que,</w:t>
      </w:r>
      <w:r w:rsidR="0027329E">
        <w:rPr>
          <w:rFonts w:ascii="Arial" w:eastAsia="Calibri" w:hAnsi="Arial" w:cs="Arial"/>
          <w:color w:val="000000" w:themeColor="text1"/>
          <w:sz w:val="22"/>
          <w:lang w:val="es-ES_tradnl"/>
        </w:rPr>
        <w:t xml:space="preserve"> si </w:t>
      </w:r>
      <w:r w:rsidR="00A27907">
        <w:rPr>
          <w:rFonts w:ascii="Arial" w:eastAsia="Calibri" w:hAnsi="Arial" w:cs="Arial"/>
          <w:color w:val="000000" w:themeColor="text1"/>
          <w:sz w:val="22"/>
          <w:lang w:val="es-ES_tradnl"/>
        </w:rPr>
        <w:t xml:space="preserve">hay </w:t>
      </w:r>
      <w:r w:rsidR="00137B0D">
        <w:rPr>
          <w:rFonts w:ascii="Arial" w:eastAsia="Calibri" w:hAnsi="Arial" w:cs="Arial"/>
          <w:color w:val="000000" w:themeColor="text1"/>
          <w:sz w:val="22"/>
          <w:lang w:val="es-ES_tradnl"/>
        </w:rPr>
        <w:t xml:space="preserve">solo </w:t>
      </w:r>
      <w:r w:rsidR="00A27907">
        <w:rPr>
          <w:rFonts w:ascii="Arial" w:eastAsia="Calibri" w:hAnsi="Arial" w:cs="Arial"/>
          <w:color w:val="000000" w:themeColor="text1"/>
          <w:sz w:val="22"/>
          <w:lang w:val="es-ES_tradnl"/>
        </w:rPr>
        <w:t>una ESAL que comprometa recursos por el porcentaje indicado, la entidad estatal puede celebrar con ella directamente el convenio de asociación, pero</w:t>
      </w:r>
      <w:r w:rsidR="00137B0D">
        <w:rPr>
          <w:rFonts w:ascii="Arial" w:eastAsia="Calibri" w:hAnsi="Arial" w:cs="Arial"/>
          <w:color w:val="000000" w:themeColor="text1"/>
          <w:sz w:val="22"/>
          <w:lang w:val="es-ES_tradnl"/>
        </w:rPr>
        <w:t>,</w:t>
      </w:r>
      <w:r w:rsidR="00A27907">
        <w:rPr>
          <w:rFonts w:ascii="Arial" w:eastAsia="Calibri" w:hAnsi="Arial" w:cs="Arial"/>
          <w:color w:val="000000" w:themeColor="text1"/>
          <w:sz w:val="22"/>
          <w:lang w:val="es-ES_tradnl"/>
        </w:rPr>
        <w:t xml:space="preserve"> si hay más de una ESAL que </w:t>
      </w:r>
      <w:r w:rsidR="004A6E34">
        <w:rPr>
          <w:rFonts w:ascii="Arial" w:eastAsia="Calibri" w:hAnsi="Arial" w:cs="Arial"/>
          <w:color w:val="000000" w:themeColor="text1"/>
          <w:sz w:val="22"/>
          <w:lang w:val="es-ES_tradnl"/>
        </w:rPr>
        <w:t>esté en capacidad de</w:t>
      </w:r>
      <w:r w:rsidR="00A27907">
        <w:rPr>
          <w:rFonts w:ascii="Arial" w:eastAsia="Calibri" w:hAnsi="Arial" w:cs="Arial"/>
          <w:color w:val="000000" w:themeColor="text1"/>
          <w:sz w:val="22"/>
          <w:lang w:val="es-ES_tradnl"/>
        </w:rPr>
        <w:t xml:space="preserve"> </w:t>
      </w:r>
      <w:r w:rsidR="00962D6C">
        <w:rPr>
          <w:rFonts w:ascii="Arial" w:eastAsia="Calibri" w:hAnsi="Arial" w:cs="Arial"/>
          <w:color w:val="000000" w:themeColor="text1"/>
          <w:sz w:val="22"/>
          <w:lang w:val="es-ES_tradnl"/>
        </w:rPr>
        <w:t>efectuar dicho aporte, la entidad pública debe seleccionarla de manera objetiva.</w:t>
      </w:r>
    </w:p>
    <w:p w14:paraId="409B80B2" w14:textId="2642A22C" w:rsidR="00962D6C" w:rsidRPr="006734CA" w:rsidRDefault="00962D6C" w:rsidP="006734CA">
      <w:pPr>
        <w:tabs>
          <w:tab w:val="left" w:pos="426"/>
        </w:tabs>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Sin embargo, como se indicó en este numeral, </w:t>
      </w:r>
      <w:r w:rsidR="00BD0A88">
        <w:rPr>
          <w:rFonts w:ascii="Arial" w:eastAsia="Calibri" w:hAnsi="Arial" w:cs="Arial"/>
          <w:color w:val="000000" w:themeColor="text1"/>
          <w:sz w:val="22"/>
          <w:lang w:val="es-ES_tradnl"/>
        </w:rPr>
        <w:t xml:space="preserve">para </w:t>
      </w:r>
      <w:r>
        <w:rPr>
          <w:rFonts w:ascii="Arial" w:eastAsia="Calibri" w:hAnsi="Arial" w:cs="Arial"/>
          <w:color w:val="000000" w:themeColor="text1"/>
          <w:sz w:val="22"/>
          <w:lang w:val="es-ES_tradnl"/>
        </w:rPr>
        <w:t xml:space="preserve">la constatación de la existencia de una o varias ESAL que puedan </w:t>
      </w:r>
      <w:r w:rsidR="00BD0A88">
        <w:rPr>
          <w:rFonts w:ascii="Arial" w:eastAsia="Calibri" w:hAnsi="Arial" w:cs="Arial"/>
          <w:color w:val="000000" w:themeColor="text1"/>
          <w:sz w:val="22"/>
          <w:lang w:val="es-ES_tradnl"/>
        </w:rPr>
        <w:t xml:space="preserve">comprometer en dinero recursos por un porcentaje mínimo del 30% del valor del contrato, las entidades estatales no están obligadas a realizar una convocatoria pública. </w:t>
      </w:r>
      <w:r w:rsidR="00D1531B">
        <w:rPr>
          <w:rFonts w:ascii="Arial" w:eastAsia="Calibri" w:hAnsi="Arial" w:cs="Arial"/>
          <w:color w:val="000000" w:themeColor="text1"/>
          <w:sz w:val="22"/>
          <w:lang w:val="es-ES_tradnl"/>
        </w:rPr>
        <w:t>E</w:t>
      </w:r>
      <w:r w:rsidR="00BD0A88">
        <w:rPr>
          <w:rFonts w:ascii="Arial" w:eastAsia="Calibri" w:hAnsi="Arial" w:cs="Arial"/>
          <w:color w:val="000000" w:themeColor="text1"/>
          <w:sz w:val="22"/>
          <w:lang w:val="es-ES_tradnl"/>
        </w:rPr>
        <w:t>sto no lo exige el Decreto 09</w:t>
      </w:r>
      <w:r w:rsidR="00E030B1">
        <w:rPr>
          <w:rFonts w:ascii="Arial" w:eastAsia="Calibri" w:hAnsi="Arial" w:cs="Arial"/>
          <w:color w:val="000000" w:themeColor="text1"/>
          <w:sz w:val="22"/>
          <w:lang w:val="es-ES_tradnl"/>
        </w:rPr>
        <w:t>2</w:t>
      </w:r>
      <w:r w:rsidR="00BD0A88">
        <w:rPr>
          <w:rFonts w:ascii="Arial" w:eastAsia="Calibri" w:hAnsi="Arial" w:cs="Arial"/>
          <w:color w:val="000000" w:themeColor="text1"/>
          <w:sz w:val="22"/>
          <w:lang w:val="es-ES_tradnl"/>
        </w:rPr>
        <w:t xml:space="preserve"> de 2017. Basta con que en la fase del estudio del sector hagan un adecuado análisis sobre la composición del mercado en este ámbito</w:t>
      </w:r>
      <w:r w:rsidR="00433B17">
        <w:rPr>
          <w:rFonts w:ascii="Arial" w:eastAsia="Calibri" w:hAnsi="Arial" w:cs="Arial"/>
          <w:color w:val="000000" w:themeColor="text1"/>
          <w:sz w:val="22"/>
          <w:lang w:val="es-ES_tradnl"/>
        </w:rPr>
        <w:t>, para lo cual pueden servirse de herramientas como la solicitud de cotizaciones, el análisis comparativo de bases de datos, el estudio histórico de la oferta de bienes y servicios, entre otras metodologías.</w:t>
      </w:r>
      <w:r w:rsidR="00BD0A88">
        <w:rPr>
          <w:rFonts w:ascii="Arial" w:eastAsia="Calibri" w:hAnsi="Arial" w:cs="Arial"/>
          <w:color w:val="000000" w:themeColor="text1"/>
          <w:sz w:val="22"/>
          <w:lang w:val="es-ES_tradnl"/>
        </w:rPr>
        <w:t xml:space="preserve"> </w:t>
      </w:r>
    </w:p>
    <w:p w14:paraId="334A2F1D" w14:textId="77777777" w:rsidR="002218CE" w:rsidRPr="006734CA" w:rsidRDefault="002218CE" w:rsidP="002218CE">
      <w:pPr>
        <w:tabs>
          <w:tab w:val="left" w:pos="426"/>
        </w:tabs>
        <w:spacing w:line="276" w:lineRule="auto"/>
        <w:jc w:val="both"/>
        <w:rPr>
          <w:rFonts w:ascii="Arial" w:hAnsi="Arial" w:cs="Arial"/>
          <w:color w:val="000000" w:themeColor="text1"/>
          <w:sz w:val="22"/>
          <w:lang w:val="es-ES_tradnl"/>
        </w:rPr>
      </w:pPr>
    </w:p>
    <w:p w14:paraId="3FFE30D8" w14:textId="051EE73C" w:rsidR="002218CE" w:rsidRPr="006734CA" w:rsidRDefault="002218CE" w:rsidP="003750DA">
      <w:pPr>
        <w:pStyle w:val="Prrafodelista"/>
        <w:numPr>
          <w:ilvl w:val="1"/>
          <w:numId w:val="6"/>
        </w:numPr>
        <w:tabs>
          <w:tab w:val="left" w:pos="426"/>
        </w:tabs>
        <w:spacing w:line="276" w:lineRule="auto"/>
        <w:ind w:left="426" w:hanging="426"/>
        <w:jc w:val="both"/>
        <w:rPr>
          <w:rFonts w:ascii="Arial" w:hAnsi="Arial" w:cs="Arial"/>
          <w:b/>
          <w:color w:val="000000" w:themeColor="text1"/>
          <w:sz w:val="22"/>
          <w:lang w:val="es-ES_tradnl"/>
        </w:rPr>
      </w:pPr>
      <w:r w:rsidRPr="006734CA">
        <w:rPr>
          <w:rFonts w:ascii="Arial" w:hAnsi="Arial" w:cs="Arial"/>
          <w:b/>
          <w:color w:val="000000" w:themeColor="text1"/>
          <w:sz w:val="22"/>
          <w:lang w:val="es-ES_tradnl"/>
        </w:rPr>
        <w:t xml:space="preserve">Obligatoriedad de uso del SECOP II para entidades sin ánimo de lucro que contraten en el marco </w:t>
      </w:r>
      <w:r w:rsidR="00892517" w:rsidRPr="006734CA">
        <w:rPr>
          <w:rFonts w:ascii="Arial" w:hAnsi="Arial" w:cs="Arial"/>
          <w:b/>
          <w:color w:val="000000" w:themeColor="text1"/>
          <w:sz w:val="22"/>
          <w:lang w:val="es-ES_tradnl"/>
        </w:rPr>
        <w:t>del</w:t>
      </w:r>
      <w:r w:rsidRPr="006734CA">
        <w:rPr>
          <w:rFonts w:ascii="Arial" w:hAnsi="Arial" w:cs="Arial"/>
          <w:b/>
          <w:color w:val="000000" w:themeColor="text1"/>
          <w:sz w:val="22"/>
          <w:lang w:val="es-ES_tradnl"/>
        </w:rPr>
        <w:t xml:space="preserve"> Decreto 092 de 2017.</w:t>
      </w:r>
    </w:p>
    <w:p w14:paraId="4E69ABA8" w14:textId="77777777" w:rsidR="002218CE" w:rsidRPr="006734CA" w:rsidRDefault="002218CE" w:rsidP="00C25E14">
      <w:pPr>
        <w:shd w:val="clear" w:color="auto" w:fill="FFFFFF"/>
        <w:rPr>
          <w:rFonts w:ascii="Arial" w:hAnsi="Arial" w:cs="Arial"/>
          <w:color w:val="000000" w:themeColor="text1"/>
          <w:sz w:val="22"/>
          <w:lang w:val="es-ES_tradnl"/>
        </w:rPr>
      </w:pPr>
    </w:p>
    <w:p w14:paraId="3D23ADB2" w14:textId="6AD93CD8" w:rsidR="005A3EDE" w:rsidRPr="006734CA" w:rsidRDefault="002218CE" w:rsidP="00892517">
      <w:pPr>
        <w:shd w:val="clear" w:color="auto" w:fill="FFFFFF"/>
        <w:spacing w:line="276" w:lineRule="auto"/>
        <w:jc w:val="both"/>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C</w:t>
      </w:r>
      <w:r w:rsidR="00C25E14" w:rsidRPr="006734CA">
        <w:rPr>
          <w:rFonts w:ascii="Arial" w:eastAsia="Calibri" w:hAnsi="Arial" w:cs="Arial"/>
          <w:color w:val="000000" w:themeColor="text1"/>
          <w:sz w:val="22"/>
          <w:lang w:val="es-ES_tradnl"/>
        </w:rPr>
        <w:t xml:space="preserve">on respecto a la suspensión provisional del Decreto 092 de 2017, debe tomarse en consideración que no todas sus disposiciones se encuentran afectadas por la medida cautelar decretada por el Consejo de Estado en virtud </w:t>
      </w:r>
      <w:r w:rsidR="000707A0" w:rsidRPr="006734CA">
        <w:rPr>
          <w:rFonts w:ascii="Arial" w:eastAsia="Calibri" w:hAnsi="Arial" w:cs="Arial"/>
          <w:color w:val="000000" w:themeColor="text1"/>
          <w:sz w:val="22"/>
          <w:lang w:val="es-ES_tradnl"/>
        </w:rPr>
        <w:t>del medio de control</w:t>
      </w:r>
      <w:r w:rsidR="00C25E14" w:rsidRPr="006734CA">
        <w:rPr>
          <w:rFonts w:ascii="Arial" w:eastAsia="Calibri" w:hAnsi="Arial" w:cs="Arial"/>
          <w:color w:val="000000" w:themeColor="text1"/>
          <w:sz w:val="22"/>
          <w:lang w:val="es-ES_tradnl"/>
        </w:rPr>
        <w:t xml:space="preserve"> de nulidad interpuesta en </w:t>
      </w:r>
      <w:r w:rsidR="00892517" w:rsidRPr="006734CA">
        <w:rPr>
          <w:rFonts w:ascii="Arial" w:eastAsia="Calibri" w:hAnsi="Arial" w:cs="Arial"/>
          <w:color w:val="000000" w:themeColor="text1"/>
          <w:sz w:val="22"/>
          <w:lang w:val="es-ES_tradnl"/>
        </w:rPr>
        <w:t xml:space="preserve">su </w:t>
      </w:r>
      <w:r w:rsidR="00C25E14" w:rsidRPr="006734CA">
        <w:rPr>
          <w:rFonts w:ascii="Arial" w:eastAsia="Calibri" w:hAnsi="Arial" w:cs="Arial"/>
          <w:color w:val="000000" w:themeColor="text1"/>
          <w:sz w:val="22"/>
          <w:lang w:val="es-ES_tradnl"/>
        </w:rPr>
        <w:t xml:space="preserve">contra. Para tal efecto, es procedente remitirse a lo indicado </w:t>
      </w:r>
      <w:r w:rsidR="003A0C33" w:rsidRPr="006734CA">
        <w:rPr>
          <w:rFonts w:ascii="Arial" w:eastAsia="Calibri" w:hAnsi="Arial" w:cs="Arial"/>
          <w:color w:val="000000" w:themeColor="text1"/>
          <w:sz w:val="22"/>
          <w:lang w:val="es-ES_tradnl"/>
        </w:rPr>
        <w:t xml:space="preserve">por esta </w:t>
      </w:r>
      <w:r w:rsidR="003A0C33" w:rsidRPr="006734CA">
        <w:rPr>
          <w:rFonts w:ascii="Arial" w:eastAsia="Calibri" w:hAnsi="Arial" w:cs="Arial"/>
          <w:color w:val="000000" w:themeColor="text1"/>
          <w:sz w:val="22"/>
          <w:lang w:val="es-ES_tradnl"/>
        </w:rPr>
        <w:lastRenderedPageBreak/>
        <w:t>Agencia en</w:t>
      </w:r>
      <w:r w:rsidR="003750DA" w:rsidRPr="006734CA">
        <w:rPr>
          <w:rFonts w:ascii="Arial" w:eastAsia="Calibri" w:hAnsi="Arial" w:cs="Arial"/>
          <w:color w:val="000000" w:themeColor="text1"/>
          <w:sz w:val="22"/>
          <w:lang w:val="es-ES_tradnl"/>
        </w:rPr>
        <w:t xml:space="preserve"> diversas oportunidades</w:t>
      </w:r>
      <w:r w:rsidR="003750DA" w:rsidRPr="006734CA">
        <w:rPr>
          <w:rStyle w:val="Refdenotaalpie"/>
          <w:sz w:val="22"/>
          <w:lang w:val="es-ES_tradnl"/>
        </w:rPr>
        <w:footnoteReference w:id="4"/>
      </w:r>
      <w:r w:rsidR="005A3EDE" w:rsidRPr="006734CA">
        <w:rPr>
          <w:rFonts w:ascii="Arial" w:eastAsia="Calibri" w:hAnsi="Arial" w:cs="Arial"/>
          <w:color w:val="000000" w:themeColor="text1"/>
          <w:sz w:val="22"/>
          <w:lang w:val="es-ES_tradnl"/>
        </w:rPr>
        <w:t xml:space="preserve"> por lo que </w:t>
      </w:r>
      <w:r w:rsidR="00360F9A" w:rsidRPr="006734CA">
        <w:rPr>
          <w:rFonts w:ascii="Arial" w:eastAsia="Calibri" w:hAnsi="Arial" w:cs="Arial"/>
          <w:color w:val="000000" w:themeColor="text1"/>
          <w:sz w:val="22"/>
          <w:lang w:val="es-ES_tradnl"/>
        </w:rPr>
        <w:t>«</w:t>
      </w:r>
      <w:r w:rsidR="005A3EDE" w:rsidRPr="006734CA">
        <w:rPr>
          <w:rFonts w:ascii="Arial" w:eastAsia="Calibri" w:hAnsi="Arial" w:cs="Arial"/>
          <w:color w:val="000000" w:themeColor="text1"/>
          <w:sz w:val="22"/>
          <w:lang w:val="es-ES_tradnl"/>
        </w:rPr>
        <w:t>se aclara que la solicitud de suspensión provisional no se realizó sobre el Decreto 092 de 2017 en su totalidad, sino solo sobre unas normas específicas</w:t>
      </w:r>
      <w:r w:rsidR="00360F9A" w:rsidRPr="006734CA">
        <w:rPr>
          <w:rFonts w:ascii="Arial" w:eastAsia="Calibri" w:hAnsi="Arial" w:cs="Arial"/>
          <w:color w:val="000000" w:themeColor="text1"/>
          <w:sz w:val="22"/>
          <w:lang w:val="es-ES_tradnl"/>
        </w:rPr>
        <w:t>»</w:t>
      </w:r>
      <w:r w:rsidR="005A3EDE" w:rsidRPr="006734CA">
        <w:rPr>
          <w:rStyle w:val="Refdenotaalpie"/>
          <w:rFonts w:ascii="Arial" w:eastAsia="Calibri" w:hAnsi="Arial" w:cs="Arial"/>
          <w:color w:val="000000" w:themeColor="text1"/>
          <w:sz w:val="22"/>
          <w:lang w:val="es-ES_tradnl"/>
        </w:rPr>
        <w:footnoteReference w:id="5"/>
      </w:r>
      <w:r w:rsidR="005A3EDE" w:rsidRPr="006734CA">
        <w:rPr>
          <w:rFonts w:ascii="Arial" w:eastAsia="Calibri" w:hAnsi="Arial" w:cs="Arial"/>
          <w:color w:val="000000" w:themeColor="text1"/>
          <w:sz w:val="22"/>
          <w:lang w:val="es-ES_tradnl"/>
        </w:rPr>
        <w:t xml:space="preserve">. </w:t>
      </w:r>
    </w:p>
    <w:p w14:paraId="558509F3" w14:textId="557009AB" w:rsidR="00C25E14" w:rsidRPr="006734CA" w:rsidRDefault="005A3EDE" w:rsidP="006734CA">
      <w:pPr>
        <w:shd w:val="clear" w:color="auto" w:fill="FFFFFF"/>
        <w:spacing w:before="120" w:line="276" w:lineRule="auto"/>
        <w:ind w:firstLine="709"/>
        <w:jc w:val="both"/>
        <w:rPr>
          <w:rFonts w:ascii="Arial" w:eastAsia="Times New Roman" w:hAnsi="Arial" w:cs="Arial"/>
          <w:color w:val="222222"/>
          <w:sz w:val="22"/>
          <w:bdr w:val="none" w:sz="0" w:space="0" w:color="auto" w:frame="1"/>
          <w:shd w:val="clear" w:color="auto" w:fill="FFFFFF"/>
          <w:lang w:val="es-ES_tradnl" w:eastAsia="es-ES_tradnl"/>
        </w:rPr>
      </w:pPr>
      <w:r w:rsidRPr="006734CA">
        <w:rPr>
          <w:rFonts w:ascii="Arial" w:eastAsia="Calibri" w:hAnsi="Arial" w:cs="Arial"/>
          <w:color w:val="000000" w:themeColor="text1"/>
          <w:sz w:val="22"/>
          <w:lang w:val="es-ES_tradnl"/>
        </w:rPr>
        <w:t xml:space="preserve">Así, se precisa que la medida cautelar de suspensión provisional recae únicamente sobre el último inciso del artículo primero, los literales a, c y e y el inciso primero del artículo segundo, el último inciso del artículo tercero y el inciso tercero del artículo cuarto del Decreto 092 de 2017. </w:t>
      </w:r>
      <w:r w:rsidR="007708B1" w:rsidRPr="006734CA">
        <w:rPr>
          <w:rFonts w:ascii="Arial" w:eastAsia="Times New Roman" w:hAnsi="Arial" w:cs="Arial"/>
          <w:color w:val="222222"/>
          <w:sz w:val="22"/>
          <w:bdr w:val="none" w:sz="0" w:space="0" w:color="auto" w:frame="1"/>
          <w:shd w:val="clear" w:color="auto" w:fill="FFFFFF"/>
          <w:lang w:val="es-ES_tradnl" w:eastAsia="es-ES_tradnl"/>
        </w:rPr>
        <w:t>Por este motivo</w:t>
      </w:r>
      <w:r w:rsidR="00C25E14" w:rsidRPr="006734CA">
        <w:rPr>
          <w:rFonts w:ascii="Arial" w:eastAsia="Times New Roman" w:hAnsi="Arial" w:cs="Arial"/>
          <w:color w:val="222222"/>
          <w:sz w:val="22"/>
          <w:bdr w:val="none" w:sz="0" w:space="0" w:color="auto" w:frame="1"/>
          <w:shd w:val="clear" w:color="auto" w:fill="FFFFFF"/>
          <w:lang w:val="es-ES_tradnl" w:eastAsia="es-ES_tradnl"/>
        </w:rPr>
        <w:t xml:space="preserve"> es posible concluir que</w:t>
      </w:r>
      <w:r w:rsidRPr="006734CA">
        <w:rPr>
          <w:rFonts w:ascii="Arial" w:eastAsia="Times New Roman" w:hAnsi="Arial" w:cs="Arial"/>
          <w:color w:val="222222"/>
          <w:sz w:val="22"/>
          <w:bdr w:val="none" w:sz="0" w:space="0" w:color="auto" w:frame="1"/>
          <w:shd w:val="clear" w:color="auto" w:fill="FFFFFF"/>
          <w:lang w:val="es-ES_tradnl" w:eastAsia="es-ES_tradnl"/>
        </w:rPr>
        <w:t>, aunque el r</w:t>
      </w:r>
      <w:r w:rsidR="007708B1" w:rsidRPr="006734CA">
        <w:rPr>
          <w:rFonts w:ascii="Arial" w:eastAsia="Times New Roman" w:hAnsi="Arial" w:cs="Arial"/>
          <w:color w:val="222222"/>
          <w:sz w:val="22"/>
          <w:bdr w:val="none" w:sz="0" w:space="0" w:color="auto" w:frame="1"/>
          <w:shd w:val="clear" w:color="auto" w:fill="FFFFFF"/>
          <w:lang w:val="es-ES_tradnl" w:eastAsia="es-ES_tradnl"/>
        </w:rPr>
        <w:t>ef</w:t>
      </w:r>
      <w:r w:rsidRPr="006734CA">
        <w:rPr>
          <w:rFonts w:ascii="Arial" w:eastAsia="Times New Roman" w:hAnsi="Arial" w:cs="Arial"/>
          <w:color w:val="222222"/>
          <w:sz w:val="22"/>
          <w:bdr w:val="none" w:sz="0" w:space="0" w:color="auto" w:frame="1"/>
          <w:shd w:val="clear" w:color="auto" w:fill="FFFFFF"/>
          <w:lang w:val="es-ES_tradnl" w:eastAsia="es-ES_tradnl"/>
        </w:rPr>
        <w:t>erido decreto se encuentra demandado integralmente, sus</w:t>
      </w:r>
      <w:r w:rsidR="00C25E14" w:rsidRPr="006734CA">
        <w:rPr>
          <w:rFonts w:ascii="Arial" w:eastAsia="Times New Roman" w:hAnsi="Arial" w:cs="Arial"/>
          <w:color w:val="222222"/>
          <w:sz w:val="22"/>
          <w:bdr w:val="none" w:sz="0" w:space="0" w:color="auto" w:frame="1"/>
          <w:shd w:val="clear" w:color="auto" w:fill="FFFFFF"/>
          <w:lang w:val="es-ES_tradnl" w:eastAsia="es-ES_tradnl"/>
        </w:rPr>
        <w:t xml:space="preserve"> artículo</w:t>
      </w:r>
      <w:r w:rsidRPr="006734CA">
        <w:rPr>
          <w:rFonts w:ascii="Arial" w:eastAsia="Times New Roman" w:hAnsi="Arial" w:cs="Arial"/>
          <w:color w:val="222222"/>
          <w:sz w:val="22"/>
          <w:bdr w:val="none" w:sz="0" w:space="0" w:color="auto" w:frame="1"/>
          <w:shd w:val="clear" w:color="auto" w:fill="FFFFFF"/>
          <w:lang w:val="es-ES_tradnl" w:eastAsia="es-ES_tradnl"/>
        </w:rPr>
        <w:t>s</w:t>
      </w:r>
      <w:r w:rsidR="00C25E14"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Pr="006734CA">
        <w:rPr>
          <w:rFonts w:ascii="Arial" w:eastAsia="Times New Roman" w:hAnsi="Arial" w:cs="Arial"/>
          <w:color w:val="222222"/>
          <w:sz w:val="22"/>
          <w:bdr w:val="none" w:sz="0" w:space="0" w:color="auto" w:frame="1"/>
          <w:shd w:val="clear" w:color="auto" w:fill="FFFFFF"/>
          <w:lang w:val="es-ES_tradnl" w:eastAsia="es-ES_tradnl"/>
        </w:rPr>
        <w:t>sé</w:t>
      </w:r>
      <w:r w:rsidR="007708B1" w:rsidRPr="006734CA">
        <w:rPr>
          <w:rFonts w:ascii="Arial" w:eastAsia="Times New Roman" w:hAnsi="Arial" w:cs="Arial"/>
          <w:color w:val="222222"/>
          <w:sz w:val="22"/>
          <w:bdr w:val="none" w:sz="0" w:space="0" w:color="auto" w:frame="1"/>
          <w:shd w:val="clear" w:color="auto" w:fill="FFFFFF"/>
          <w:lang w:val="es-ES_tradnl" w:eastAsia="es-ES_tradnl"/>
        </w:rPr>
        <w:t>p</w:t>
      </w:r>
      <w:r w:rsidRPr="006734CA">
        <w:rPr>
          <w:rFonts w:ascii="Arial" w:eastAsia="Times New Roman" w:hAnsi="Arial" w:cs="Arial"/>
          <w:color w:val="222222"/>
          <w:sz w:val="22"/>
          <w:bdr w:val="none" w:sz="0" w:space="0" w:color="auto" w:frame="1"/>
          <w:shd w:val="clear" w:color="auto" w:fill="FFFFFF"/>
          <w:lang w:val="es-ES_tradnl" w:eastAsia="es-ES_tradnl"/>
        </w:rPr>
        <w:t xml:space="preserve">timo y </w:t>
      </w:r>
      <w:r w:rsidR="00C25E14" w:rsidRPr="006734CA">
        <w:rPr>
          <w:rFonts w:ascii="Arial" w:eastAsia="Times New Roman" w:hAnsi="Arial" w:cs="Arial"/>
          <w:color w:val="222222"/>
          <w:sz w:val="22"/>
          <w:bdr w:val="none" w:sz="0" w:space="0" w:color="auto" w:frame="1"/>
          <w:shd w:val="clear" w:color="auto" w:fill="FFFFFF"/>
          <w:lang w:val="es-ES_tradnl" w:eastAsia="es-ES_tradnl"/>
        </w:rPr>
        <w:t>noveno</w:t>
      </w:r>
      <w:r w:rsidRPr="006734CA">
        <w:rPr>
          <w:rFonts w:ascii="Arial" w:eastAsia="Times New Roman" w:hAnsi="Arial" w:cs="Arial"/>
          <w:color w:val="222222"/>
          <w:sz w:val="22"/>
          <w:bdr w:val="none" w:sz="0" w:space="0" w:color="auto" w:frame="1"/>
          <w:shd w:val="clear" w:color="auto" w:fill="FFFFFF"/>
          <w:lang w:val="es-ES_tradnl" w:eastAsia="es-ES_tradnl"/>
        </w:rPr>
        <w:t>, referentes a la obligación de registro y tramitación en el Sistema Electrónico Para la Contratación Pública – SECOP,</w:t>
      </w:r>
      <w:r w:rsidR="00C25E14"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Pr="006734CA">
        <w:rPr>
          <w:rFonts w:ascii="Arial" w:eastAsia="Times New Roman" w:hAnsi="Arial" w:cs="Arial"/>
          <w:color w:val="222222"/>
          <w:sz w:val="22"/>
          <w:bdr w:val="none" w:sz="0" w:space="0" w:color="auto" w:frame="1"/>
          <w:shd w:val="clear" w:color="auto" w:fill="FFFFFF"/>
          <w:lang w:val="es-ES_tradnl" w:eastAsia="es-ES_tradnl"/>
        </w:rPr>
        <w:t>se encuentran vigentes</w:t>
      </w:r>
      <w:r w:rsidR="007708B1"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Pr="006734CA">
        <w:rPr>
          <w:rFonts w:ascii="Arial" w:eastAsia="Times New Roman" w:hAnsi="Arial" w:cs="Arial"/>
          <w:color w:val="222222"/>
          <w:sz w:val="22"/>
          <w:bdr w:val="none" w:sz="0" w:space="0" w:color="auto" w:frame="1"/>
          <w:shd w:val="clear" w:color="auto" w:fill="FFFFFF"/>
          <w:lang w:val="es-ES_tradnl" w:eastAsia="es-ES_tradnl"/>
        </w:rPr>
        <w:t xml:space="preserve">y son plenamente aplicables. </w:t>
      </w:r>
      <w:r w:rsidR="007708B1" w:rsidRPr="006734CA">
        <w:rPr>
          <w:rFonts w:ascii="Arial" w:eastAsia="Times New Roman" w:hAnsi="Arial" w:cs="Arial"/>
          <w:color w:val="222222"/>
          <w:sz w:val="22"/>
          <w:bdr w:val="none" w:sz="0" w:space="0" w:color="auto" w:frame="1"/>
          <w:shd w:val="clear" w:color="auto" w:fill="FFFFFF"/>
          <w:lang w:val="es-ES_tradnl" w:eastAsia="es-ES_tradnl"/>
        </w:rPr>
        <w:t xml:space="preserve"> </w:t>
      </w:r>
    </w:p>
    <w:p w14:paraId="4AE2A0E2" w14:textId="420A1AA0" w:rsidR="005A3EDE" w:rsidRPr="006734CA" w:rsidRDefault="005A3EDE" w:rsidP="006734CA">
      <w:pPr>
        <w:shd w:val="clear" w:color="auto" w:fill="FFFFFF"/>
        <w:spacing w:before="120" w:line="276" w:lineRule="auto"/>
        <w:ind w:firstLine="709"/>
        <w:jc w:val="both"/>
        <w:rPr>
          <w:rFonts w:ascii="Calibri" w:eastAsia="Times New Roman" w:hAnsi="Calibri" w:cs="Times New Roman"/>
          <w:color w:val="000000"/>
          <w:sz w:val="22"/>
          <w:lang w:val="es-ES_tradnl" w:eastAsia="es-ES_tradnl"/>
        </w:rPr>
      </w:pPr>
      <w:r w:rsidRPr="006734CA">
        <w:rPr>
          <w:rFonts w:ascii="Arial" w:eastAsia="Times New Roman" w:hAnsi="Arial" w:cs="Arial"/>
          <w:color w:val="222222"/>
          <w:sz w:val="22"/>
          <w:bdr w:val="none" w:sz="0" w:space="0" w:color="auto" w:frame="1"/>
          <w:shd w:val="clear" w:color="auto" w:fill="FFFFFF"/>
          <w:lang w:val="es-ES_tradnl" w:eastAsia="es-ES_tradnl"/>
        </w:rPr>
        <w:t xml:space="preserve">En cuanto al mencionado sistema, cabe resaltar que </w:t>
      </w:r>
      <w:r w:rsidR="00C25E14" w:rsidRPr="006734CA">
        <w:rPr>
          <w:rFonts w:ascii="Arial" w:eastAsia="Times New Roman" w:hAnsi="Arial" w:cs="Arial"/>
          <w:color w:val="222222"/>
          <w:sz w:val="22"/>
          <w:bdr w:val="none" w:sz="0" w:space="0" w:color="auto" w:frame="1"/>
          <w:shd w:val="clear" w:color="auto" w:fill="FFFFFF"/>
          <w:lang w:val="es-ES_tradnl" w:eastAsia="es-ES_tradnl"/>
        </w:rPr>
        <w:t>a través del artículo tercero de la Ley 1150 de 2007 se autorizó la creación del Sistema Electrónico para la Contratación Pública – SECOP</w:t>
      </w:r>
      <w:r w:rsidR="00D644D8" w:rsidRPr="006734CA">
        <w:rPr>
          <w:rFonts w:ascii="Arial" w:eastAsia="Times New Roman" w:hAnsi="Arial" w:cs="Arial"/>
          <w:color w:val="222222"/>
          <w:sz w:val="22"/>
          <w:bdr w:val="none" w:sz="0" w:space="0" w:color="auto" w:frame="1"/>
          <w:shd w:val="clear" w:color="auto" w:fill="FFFFFF"/>
          <w:lang w:val="es-ES_tradnl" w:eastAsia="es-ES_tradnl"/>
        </w:rPr>
        <w:t>,</w:t>
      </w:r>
      <w:r w:rsidR="00C25E14" w:rsidRPr="006734CA">
        <w:rPr>
          <w:rFonts w:ascii="Arial" w:eastAsia="Times New Roman" w:hAnsi="Arial" w:cs="Arial"/>
          <w:color w:val="222222"/>
          <w:sz w:val="22"/>
          <w:bdr w:val="none" w:sz="0" w:space="0" w:color="auto" w:frame="1"/>
          <w:shd w:val="clear" w:color="auto" w:fill="FFFFFF"/>
          <w:lang w:val="es-ES_tradnl" w:eastAsia="es-ES_tradnl"/>
        </w:rPr>
        <w:t xml:space="preserve"> cuya finalidad, entre otras, es la de ofrecer publicidad y transparencia a todos los contratos en los que participe una entidad estatal. Por su parte, la Ley 1150 ha sido desarrollada por la Ley 1712 de 2014, el Decreto 4170 de 2011, el Decreto 1082 de 2015 y el Decreto 1083 de 2015, normas que determinan que, entre otros, cualquier entidad que maneje recursos públicos, incluidos contratistas, deben registrar su información en el referido sistema. </w:t>
      </w:r>
    </w:p>
    <w:p w14:paraId="636E1BBA" w14:textId="61DBA2DF" w:rsidR="00C25E14" w:rsidRPr="006734CA" w:rsidRDefault="00C25E14" w:rsidP="006734CA">
      <w:pPr>
        <w:shd w:val="clear" w:color="auto" w:fill="FFFFFF"/>
        <w:spacing w:before="120" w:line="276" w:lineRule="auto"/>
        <w:ind w:firstLine="709"/>
        <w:jc w:val="both"/>
        <w:rPr>
          <w:rFonts w:ascii="Calibri" w:eastAsia="Times New Roman" w:hAnsi="Calibri" w:cs="Times New Roman"/>
          <w:color w:val="000000"/>
          <w:sz w:val="22"/>
          <w:lang w:val="es-ES_tradnl" w:eastAsia="es-ES_tradnl"/>
        </w:rPr>
      </w:pPr>
      <w:r w:rsidRPr="006734CA">
        <w:rPr>
          <w:rFonts w:ascii="Arial" w:eastAsia="Times New Roman" w:hAnsi="Arial" w:cs="Arial"/>
          <w:color w:val="222222"/>
          <w:sz w:val="22"/>
          <w:bdr w:val="none" w:sz="0" w:space="0" w:color="auto" w:frame="1"/>
          <w:shd w:val="clear" w:color="auto" w:fill="FFFFFF"/>
          <w:lang w:val="es-ES_tradnl" w:eastAsia="es-ES_tradnl"/>
        </w:rPr>
        <w:t xml:space="preserve">Teniendo en cuenta que, en virtud de la normativa citada, la Agencia Nacional de Contratación Pública - Colombia Compra Eficiente tiene a su cargo la administración del SECOP, esta entidad ha desarrollado dos módulos, a saber: SECOP I y SECOP </w:t>
      </w:r>
      <w:r w:rsidR="007708B1" w:rsidRPr="006734CA">
        <w:rPr>
          <w:rFonts w:ascii="Arial" w:eastAsia="Times New Roman" w:hAnsi="Arial" w:cs="Arial"/>
          <w:color w:val="222222"/>
          <w:sz w:val="22"/>
          <w:bdr w:val="none" w:sz="0" w:space="0" w:color="auto" w:frame="1"/>
          <w:shd w:val="clear" w:color="auto" w:fill="FFFFFF"/>
          <w:lang w:val="es-ES_tradnl" w:eastAsia="es-ES_tradnl"/>
        </w:rPr>
        <w:t>II, determinando</w:t>
      </w:r>
      <w:r w:rsidRPr="006734CA">
        <w:rPr>
          <w:rFonts w:ascii="Arial" w:eastAsia="Times New Roman" w:hAnsi="Arial" w:cs="Arial"/>
          <w:color w:val="222222"/>
          <w:sz w:val="22"/>
          <w:bdr w:val="none" w:sz="0" w:space="0" w:color="auto" w:frame="1"/>
          <w:shd w:val="clear" w:color="auto" w:fill="FFFFFF"/>
          <w:lang w:val="es-ES_tradnl" w:eastAsia="es-ES_tradnl"/>
        </w:rPr>
        <w:t>, como ha sido expuesto por la doctrina de la entidad</w:t>
      </w:r>
      <w:r w:rsidR="007708B1" w:rsidRPr="006734CA">
        <w:rPr>
          <w:rFonts w:ascii="Arial" w:eastAsia="Times New Roman" w:hAnsi="Arial" w:cs="Arial"/>
          <w:color w:val="222222"/>
          <w:sz w:val="22"/>
          <w:bdr w:val="none" w:sz="0" w:space="0" w:color="auto" w:frame="1"/>
          <w:shd w:val="clear" w:color="auto" w:fill="FFFFFF"/>
          <w:lang w:val="es-ES_tradnl" w:eastAsia="es-ES_tradnl"/>
        </w:rPr>
        <w:t>, que</w:t>
      </w:r>
    </w:p>
    <w:p w14:paraId="1363654A" w14:textId="77777777" w:rsidR="0095686F" w:rsidRPr="006734CA" w:rsidRDefault="0095686F" w:rsidP="0095686F">
      <w:pPr>
        <w:ind w:left="709" w:right="709"/>
        <w:jc w:val="both"/>
        <w:rPr>
          <w:rFonts w:ascii="Arial" w:hAnsi="Arial" w:cs="Arial"/>
          <w:color w:val="000000" w:themeColor="text1"/>
          <w:sz w:val="19"/>
          <w:szCs w:val="19"/>
          <w:lang w:val="es-ES_tradnl"/>
        </w:rPr>
      </w:pPr>
    </w:p>
    <w:p w14:paraId="2370BEDC" w14:textId="636ACDBB" w:rsidR="00C25E14" w:rsidRPr="006734CA" w:rsidRDefault="00C25E14" w:rsidP="006734CA">
      <w:pPr>
        <w:ind w:left="709" w:right="709"/>
        <w:jc w:val="both"/>
        <w:rPr>
          <w:rFonts w:ascii="Arial" w:hAnsi="Arial" w:cs="Arial"/>
          <w:color w:val="000000" w:themeColor="text1"/>
          <w:sz w:val="19"/>
          <w:szCs w:val="19"/>
          <w:lang w:val="es-ES_tradnl"/>
        </w:rPr>
      </w:pPr>
      <w:r w:rsidRPr="006734CA">
        <w:rPr>
          <w:rFonts w:ascii="Arial" w:hAnsi="Arial" w:cs="Arial"/>
          <w:color w:val="000000" w:themeColor="text1"/>
          <w:sz w:val="19"/>
          <w:szCs w:val="19"/>
          <w:lang w:val="es-ES_tradnl"/>
        </w:rPr>
        <w:t>[…] 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r w:rsidR="005A3EDE" w:rsidRPr="006734CA">
        <w:rPr>
          <w:rStyle w:val="Refdenotaalpie"/>
          <w:rFonts w:ascii="Arial" w:hAnsi="Arial" w:cs="Arial"/>
          <w:color w:val="000000" w:themeColor="text1"/>
          <w:sz w:val="19"/>
          <w:szCs w:val="19"/>
          <w:lang w:val="es-ES_tradnl"/>
        </w:rPr>
        <w:footnoteReference w:id="6"/>
      </w:r>
      <w:r w:rsidRPr="006734CA">
        <w:rPr>
          <w:rFonts w:ascii="Arial" w:hAnsi="Arial" w:cs="Arial"/>
          <w:color w:val="000000" w:themeColor="text1"/>
          <w:sz w:val="19"/>
          <w:szCs w:val="19"/>
          <w:lang w:val="es-ES_tradnl"/>
        </w:rPr>
        <w:t>.</w:t>
      </w:r>
    </w:p>
    <w:p w14:paraId="69D07D9F" w14:textId="77777777" w:rsidR="0023774F" w:rsidRPr="006734CA" w:rsidRDefault="0023774F" w:rsidP="002218CE">
      <w:pPr>
        <w:shd w:val="clear" w:color="auto" w:fill="FFFFFF"/>
        <w:spacing w:line="235" w:lineRule="atLeast"/>
        <w:jc w:val="both"/>
        <w:rPr>
          <w:rFonts w:ascii="Arial" w:eastAsia="Times New Roman" w:hAnsi="Arial" w:cs="Arial"/>
          <w:color w:val="222222"/>
          <w:sz w:val="22"/>
          <w:u w:val="single"/>
          <w:bdr w:val="none" w:sz="0" w:space="0" w:color="auto" w:frame="1"/>
          <w:shd w:val="clear" w:color="auto" w:fill="FFFFFF"/>
          <w:lang w:val="es-ES_tradnl" w:eastAsia="es-ES_tradnl"/>
        </w:rPr>
      </w:pPr>
    </w:p>
    <w:p w14:paraId="44D9EBC9" w14:textId="1CD311A2" w:rsidR="0091627F" w:rsidRPr="006734CA" w:rsidRDefault="0023774F" w:rsidP="0023774F">
      <w:pPr>
        <w:shd w:val="clear" w:color="auto" w:fill="FFFFFF"/>
        <w:spacing w:line="276" w:lineRule="auto"/>
        <w:ind w:firstLine="708"/>
        <w:jc w:val="both"/>
        <w:rPr>
          <w:rFonts w:ascii="Arial" w:eastAsia="Times New Roman" w:hAnsi="Arial" w:cs="Arial"/>
          <w:color w:val="222222"/>
          <w:sz w:val="22"/>
          <w:bdr w:val="none" w:sz="0" w:space="0" w:color="auto" w:frame="1"/>
          <w:shd w:val="clear" w:color="auto" w:fill="FFFFFF"/>
          <w:lang w:val="es-ES_tradnl" w:eastAsia="es-ES_tradnl"/>
        </w:rPr>
      </w:pPr>
      <w:r w:rsidRPr="006734CA">
        <w:rPr>
          <w:rFonts w:ascii="Arial" w:eastAsia="Times New Roman" w:hAnsi="Arial" w:cs="Arial"/>
          <w:color w:val="222222"/>
          <w:sz w:val="22"/>
          <w:bdr w:val="none" w:sz="0" w:space="0" w:color="auto" w:frame="1"/>
          <w:shd w:val="clear" w:color="auto" w:fill="FFFFFF"/>
          <w:lang w:val="es-ES_tradnl" w:eastAsia="es-ES_tradnl"/>
        </w:rPr>
        <w:t>Ahora bien, respecto a la consulta en concreto, el</w:t>
      </w:r>
      <w:r w:rsidR="00C25E14" w:rsidRPr="006734CA">
        <w:rPr>
          <w:rFonts w:ascii="Arial" w:eastAsia="Times New Roman" w:hAnsi="Arial" w:cs="Arial"/>
          <w:color w:val="222222"/>
          <w:sz w:val="22"/>
          <w:bdr w:val="none" w:sz="0" w:space="0" w:color="auto" w:frame="1"/>
          <w:shd w:val="clear" w:color="auto" w:fill="FFFFFF"/>
          <w:lang w:val="es-ES_tradnl" w:eastAsia="es-ES_tradnl"/>
        </w:rPr>
        <w:t xml:space="preserve"> Decreto 092 de 2017 prevé expresamente que</w:t>
      </w:r>
      <w:r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00C25E14" w:rsidRPr="006734CA">
        <w:rPr>
          <w:rFonts w:ascii="Arial" w:eastAsia="Times New Roman" w:hAnsi="Arial" w:cs="Arial"/>
          <w:color w:val="222222"/>
          <w:sz w:val="22"/>
          <w:bdr w:val="none" w:sz="0" w:space="0" w:color="auto" w:frame="1"/>
          <w:shd w:val="clear" w:color="auto" w:fill="FFFFFF"/>
          <w:lang w:val="es-ES_tradnl" w:eastAsia="es-ES_tradnl"/>
        </w:rPr>
        <w:t xml:space="preserve">las entidades sin ánimo de lucro deberán estar registradas en el SECOP, el cual será el medio para acreditar los indicadores de idoneidad, experiencia, </w:t>
      </w:r>
      <w:r w:rsidR="00C25E14" w:rsidRPr="006734CA">
        <w:rPr>
          <w:rFonts w:ascii="Arial" w:eastAsia="Times New Roman" w:hAnsi="Arial" w:cs="Arial"/>
          <w:color w:val="222222"/>
          <w:sz w:val="22"/>
          <w:bdr w:val="none" w:sz="0" w:space="0" w:color="auto" w:frame="1"/>
          <w:shd w:val="clear" w:color="auto" w:fill="FFFFFF"/>
          <w:lang w:val="es-ES_tradnl" w:eastAsia="es-ES_tradnl"/>
        </w:rPr>
        <w:lastRenderedPageBreak/>
        <w:t>eficacia, eficiencia, economía y de manejo del Riesgo definidos por las Entidades Estatales</w:t>
      </w:r>
      <w:r w:rsidRPr="006734CA">
        <w:rPr>
          <w:rFonts w:ascii="Arial" w:eastAsia="Times New Roman" w:hAnsi="Arial" w:cs="Arial"/>
          <w:color w:val="222222"/>
          <w:sz w:val="22"/>
          <w:bdr w:val="none" w:sz="0" w:space="0" w:color="auto" w:frame="1"/>
          <w:shd w:val="clear" w:color="auto" w:fill="FFFFFF"/>
          <w:lang w:val="es-ES_tradnl" w:eastAsia="es-ES_tradnl"/>
        </w:rPr>
        <w:t>»</w:t>
      </w:r>
      <w:r w:rsidR="00160AB9" w:rsidRPr="006734CA">
        <w:rPr>
          <w:rStyle w:val="Refdenotaalpie"/>
          <w:rFonts w:ascii="Arial" w:hAnsi="Arial" w:cs="Arial"/>
          <w:color w:val="000000" w:themeColor="text1"/>
          <w:sz w:val="19"/>
          <w:szCs w:val="19"/>
          <w:lang w:val="es-ES_tradnl"/>
        </w:rPr>
        <w:footnoteReference w:id="7"/>
      </w:r>
      <w:r w:rsidR="007708B1"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00160AB9" w:rsidRPr="006734CA">
        <w:rPr>
          <w:rFonts w:ascii="Arial" w:eastAsia="Times New Roman" w:hAnsi="Arial" w:cs="Arial"/>
          <w:color w:val="222222"/>
          <w:sz w:val="22"/>
          <w:bdr w:val="none" w:sz="0" w:space="0" w:color="auto" w:frame="1"/>
          <w:shd w:val="clear" w:color="auto" w:fill="FFFFFF"/>
          <w:lang w:val="es-ES_tradnl" w:eastAsia="es-ES_tradnl"/>
        </w:rPr>
        <w:t>De conformidad con lo indicado</w:t>
      </w:r>
      <w:r w:rsidR="00C25E14" w:rsidRPr="006734CA">
        <w:rPr>
          <w:rFonts w:ascii="Arial" w:eastAsia="Times New Roman" w:hAnsi="Arial" w:cs="Arial"/>
          <w:color w:val="222222"/>
          <w:sz w:val="22"/>
          <w:bdr w:val="none" w:sz="0" w:space="0" w:color="auto" w:frame="1"/>
          <w:shd w:val="clear" w:color="auto" w:fill="FFFFFF"/>
          <w:lang w:val="es-ES_tradnl" w:eastAsia="es-ES_tradnl"/>
        </w:rPr>
        <w:t>,</w:t>
      </w:r>
      <w:r w:rsidR="00160AB9" w:rsidRPr="006734CA">
        <w:rPr>
          <w:rFonts w:ascii="Arial" w:eastAsia="Times New Roman" w:hAnsi="Arial" w:cs="Arial"/>
          <w:color w:val="222222"/>
          <w:sz w:val="22"/>
          <w:bdr w:val="none" w:sz="0" w:space="0" w:color="auto" w:frame="1"/>
          <w:shd w:val="clear" w:color="auto" w:fill="FFFFFF"/>
          <w:lang w:val="es-ES_tradnl" w:eastAsia="es-ES_tradnl"/>
        </w:rPr>
        <w:t xml:space="preserve"> cabe resaltar que</w:t>
      </w:r>
      <w:r w:rsidR="00C25E14" w:rsidRPr="006734CA">
        <w:rPr>
          <w:rFonts w:ascii="Arial" w:eastAsia="Times New Roman" w:hAnsi="Arial" w:cs="Arial"/>
          <w:color w:val="222222"/>
          <w:sz w:val="22"/>
          <w:bdr w:val="none" w:sz="0" w:space="0" w:color="auto" w:frame="1"/>
          <w:shd w:val="clear" w:color="auto" w:fill="FFFFFF"/>
          <w:lang w:val="es-ES_tradnl" w:eastAsia="es-ES_tradnl"/>
        </w:rPr>
        <w:t xml:space="preserve"> en la actualidad el SECOP I</w:t>
      </w:r>
      <w:r w:rsidR="00160AB9"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00C25E14" w:rsidRPr="006734CA">
        <w:rPr>
          <w:rFonts w:ascii="Arial" w:eastAsia="Times New Roman" w:hAnsi="Arial" w:cs="Arial"/>
          <w:color w:val="222222"/>
          <w:sz w:val="22"/>
          <w:bdr w:val="none" w:sz="0" w:space="0" w:color="auto" w:frame="1"/>
          <w:shd w:val="clear" w:color="auto" w:fill="FFFFFF"/>
          <w:lang w:val="es-ES_tradnl" w:eastAsia="es-ES_tradnl"/>
        </w:rPr>
        <w:t>es un módulo meramente informativo</w:t>
      </w:r>
      <w:r w:rsidR="0095686F" w:rsidRPr="006734CA">
        <w:rPr>
          <w:rFonts w:ascii="Arial" w:eastAsia="Times New Roman" w:hAnsi="Arial" w:cs="Arial"/>
          <w:color w:val="222222"/>
          <w:sz w:val="22"/>
          <w:bdr w:val="none" w:sz="0" w:space="0" w:color="auto" w:frame="1"/>
          <w:shd w:val="clear" w:color="auto" w:fill="FFFFFF"/>
          <w:lang w:val="es-ES_tradnl" w:eastAsia="es-ES_tradnl"/>
        </w:rPr>
        <w:t>,</w:t>
      </w:r>
      <w:r w:rsidR="00C25E14" w:rsidRPr="006734CA">
        <w:rPr>
          <w:rFonts w:ascii="Arial" w:eastAsia="Times New Roman" w:hAnsi="Arial" w:cs="Arial"/>
          <w:color w:val="222222"/>
          <w:sz w:val="22"/>
          <w:bdr w:val="none" w:sz="0" w:space="0" w:color="auto" w:frame="1"/>
          <w:shd w:val="clear" w:color="auto" w:fill="FFFFFF"/>
          <w:lang w:val="es-ES_tradnl" w:eastAsia="es-ES_tradnl"/>
        </w:rPr>
        <w:t xml:space="preserve"> que no permite el registro de proveedores</w:t>
      </w:r>
      <w:r w:rsidR="0091627F" w:rsidRPr="006734CA">
        <w:rPr>
          <w:rFonts w:ascii="Arial" w:eastAsia="Times New Roman" w:hAnsi="Arial" w:cs="Arial"/>
          <w:color w:val="222222"/>
          <w:sz w:val="22"/>
          <w:bdr w:val="none" w:sz="0" w:space="0" w:color="auto" w:frame="1"/>
          <w:shd w:val="clear" w:color="auto" w:fill="FFFFFF"/>
          <w:lang w:val="es-ES_tradnl" w:eastAsia="es-ES_tradnl"/>
        </w:rPr>
        <w:t xml:space="preserve"> de manera virtual</w:t>
      </w:r>
      <w:r w:rsidR="00C25E14" w:rsidRPr="006734CA">
        <w:rPr>
          <w:rFonts w:ascii="Arial" w:eastAsia="Times New Roman" w:hAnsi="Arial" w:cs="Arial"/>
          <w:color w:val="222222"/>
          <w:sz w:val="22"/>
          <w:bdr w:val="none" w:sz="0" w:space="0" w:color="auto" w:frame="1"/>
          <w:shd w:val="clear" w:color="auto" w:fill="FFFFFF"/>
          <w:lang w:val="es-ES_tradnl" w:eastAsia="es-ES_tradnl"/>
        </w:rPr>
        <w:t>, mientras que el SECOP II constituye el módulo correspondiente a ingreso de la información prevista en la</w:t>
      </w:r>
      <w:r w:rsidR="00DC22C6" w:rsidRPr="006734CA">
        <w:rPr>
          <w:rFonts w:ascii="Arial" w:eastAsia="Times New Roman" w:hAnsi="Arial" w:cs="Arial"/>
          <w:color w:val="222222"/>
          <w:sz w:val="22"/>
          <w:bdr w:val="none" w:sz="0" w:space="0" w:color="auto" w:frame="1"/>
          <w:shd w:val="clear" w:color="auto" w:fill="FFFFFF"/>
          <w:lang w:val="es-ES_tradnl" w:eastAsia="es-ES_tradnl"/>
        </w:rPr>
        <w:t xml:space="preserve"> generalidad de</w:t>
      </w:r>
      <w:r w:rsidR="00C25E14" w:rsidRPr="006734CA">
        <w:rPr>
          <w:rFonts w:ascii="Arial" w:eastAsia="Times New Roman" w:hAnsi="Arial" w:cs="Arial"/>
          <w:color w:val="222222"/>
          <w:sz w:val="22"/>
          <w:bdr w:val="none" w:sz="0" w:space="0" w:color="auto" w:frame="1"/>
          <w:shd w:val="clear" w:color="auto" w:fill="FFFFFF"/>
          <w:lang w:val="es-ES_tradnl" w:eastAsia="es-ES_tradnl"/>
        </w:rPr>
        <w:t xml:space="preserve"> normativa </w:t>
      </w:r>
      <w:r w:rsidR="00DC22C6" w:rsidRPr="006734CA">
        <w:rPr>
          <w:rFonts w:ascii="Arial" w:eastAsia="Times New Roman" w:hAnsi="Arial" w:cs="Arial"/>
          <w:color w:val="222222"/>
          <w:sz w:val="22"/>
          <w:bdr w:val="none" w:sz="0" w:space="0" w:color="auto" w:frame="1"/>
          <w:shd w:val="clear" w:color="auto" w:fill="FFFFFF"/>
          <w:lang w:val="es-ES_tradnl" w:eastAsia="es-ES_tradnl"/>
        </w:rPr>
        <w:t>referente a</w:t>
      </w:r>
      <w:r w:rsidR="00C25E14" w:rsidRPr="006734CA">
        <w:rPr>
          <w:rFonts w:ascii="Arial" w:eastAsia="Times New Roman" w:hAnsi="Arial" w:cs="Arial"/>
          <w:color w:val="222222"/>
          <w:sz w:val="22"/>
          <w:bdr w:val="none" w:sz="0" w:space="0" w:color="auto" w:frame="1"/>
          <w:shd w:val="clear" w:color="auto" w:fill="FFFFFF"/>
          <w:lang w:val="es-ES_tradnl" w:eastAsia="es-ES_tradnl"/>
        </w:rPr>
        <w:t xml:space="preserve"> contratación estatal. </w:t>
      </w:r>
    </w:p>
    <w:p w14:paraId="4CC52099" w14:textId="6D8BB9BB" w:rsidR="00BE1E33" w:rsidRPr="006734CA" w:rsidRDefault="00C25E14" w:rsidP="006734CA">
      <w:pPr>
        <w:shd w:val="clear" w:color="auto" w:fill="FFFFFF"/>
        <w:spacing w:before="120" w:line="276" w:lineRule="auto"/>
        <w:ind w:firstLine="709"/>
        <w:jc w:val="both"/>
        <w:rPr>
          <w:rFonts w:ascii="Arial" w:eastAsia="Times New Roman" w:hAnsi="Arial" w:cs="Arial"/>
          <w:color w:val="222222"/>
          <w:sz w:val="22"/>
          <w:bdr w:val="none" w:sz="0" w:space="0" w:color="auto" w:frame="1"/>
          <w:shd w:val="clear" w:color="auto" w:fill="FFFFFF"/>
          <w:lang w:val="es-ES_tradnl" w:eastAsia="es-ES_tradnl"/>
        </w:rPr>
      </w:pPr>
      <w:r w:rsidRPr="006734CA">
        <w:rPr>
          <w:rFonts w:ascii="Arial" w:eastAsia="Times New Roman" w:hAnsi="Arial" w:cs="Arial"/>
          <w:color w:val="222222"/>
          <w:sz w:val="22"/>
          <w:bdr w:val="none" w:sz="0" w:space="0" w:color="auto" w:frame="1"/>
          <w:shd w:val="clear" w:color="auto" w:fill="FFFFFF"/>
          <w:lang w:val="es-ES_tradnl" w:eastAsia="es-ES_tradnl"/>
        </w:rPr>
        <w:t xml:space="preserve">Por tal </w:t>
      </w:r>
      <w:r w:rsidR="007708B1" w:rsidRPr="006734CA">
        <w:rPr>
          <w:rFonts w:ascii="Arial" w:eastAsia="Times New Roman" w:hAnsi="Arial" w:cs="Arial"/>
          <w:color w:val="222222"/>
          <w:sz w:val="22"/>
          <w:bdr w:val="none" w:sz="0" w:space="0" w:color="auto" w:frame="1"/>
          <w:shd w:val="clear" w:color="auto" w:fill="FFFFFF"/>
          <w:lang w:val="es-ES_tradnl" w:eastAsia="es-ES_tradnl"/>
        </w:rPr>
        <w:t>razón</w:t>
      </w:r>
      <w:r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00FD724A" w:rsidRPr="006734CA">
        <w:rPr>
          <w:rFonts w:ascii="Arial" w:eastAsia="Times New Roman" w:hAnsi="Arial" w:cs="Arial"/>
          <w:color w:val="222222"/>
          <w:sz w:val="22"/>
          <w:bdr w:val="none" w:sz="0" w:space="0" w:color="auto" w:frame="1"/>
          <w:shd w:val="clear" w:color="auto" w:fill="FFFFFF"/>
          <w:lang w:val="es-ES_tradnl" w:eastAsia="es-ES_tradnl"/>
        </w:rPr>
        <w:t xml:space="preserve">se puede </w:t>
      </w:r>
      <w:r w:rsidRPr="006734CA">
        <w:rPr>
          <w:rFonts w:ascii="Arial" w:eastAsia="Times New Roman" w:hAnsi="Arial" w:cs="Arial"/>
          <w:color w:val="222222"/>
          <w:sz w:val="22"/>
          <w:bdr w:val="none" w:sz="0" w:space="0" w:color="auto" w:frame="1"/>
          <w:shd w:val="clear" w:color="auto" w:fill="FFFFFF"/>
          <w:lang w:val="es-ES_tradnl" w:eastAsia="es-ES_tradnl"/>
        </w:rPr>
        <w:t>inferir que el Decreto 092 de 2017 obliga al registro de información de las ESAL en el SECOP II</w:t>
      </w:r>
      <w:r w:rsidR="00B44EB3" w:rsidRPr="006734CA">
        <w:rPr>
          <w:rFonts w:ascii="Arial" w:eastAsia="Times New Roman" w:hAnsi="Arial" w:cs="Arial"/>
          <w:color w:val="222222"/>
          <w:sz w:val="22"/>
          <w:bdr w:val="none" w:sz="0" w:space="0" w:color="auto" w:frame="1"/>
          <w:shd w:val="clear" w:color="auto" w:fill="FFFFFF"/>
          <w:lang w:val="es-ES_tradnl" w:eastAsia="es-ES_tradnl"/>
        </w:rPr>
        <w:t>.</w:t>
      </w:r>
      <w:r w:rsidR="0091627F"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00B44EB3" w:rsidRPr="006734CA">
        <w:rPr>
          <w:rFonts w:ascii="Arial" w:eastAsia="Times New Roman" w:hAnsi="Arial" w:cs="Arial"/>
          <w:color w:val="222222"/>
          <w:sz w:val="22"/>
          <w:bdr w:val="none" w:sz="0" w:space="0" w:color="auto" w:frame="1"/>
          <w:shd w:val="clear" w:color="auto" w:fill="FFFFFF"/>
          <w:lang w:val="es-ES_tradnl" w:eastAsia="es-ES_tradnl"/>
        </w:rPr>
        <w:t>S</w:t>
      </w:r>
      <w:r w:rsidR="0091627F" w:rsidRPr="006734CA">
        <w:rPr>
          <w:rFonts w:ascii="Arial" w:eastAsia="Times New Roman" w:hAnsi="Arial" w:cs="Arial"/>
          <w:color w:val="222222"/>
          <w:sz w:val="22"/>
          <w:bdr w:val="none" w:sz="0" w:space="0" w:color="auto" w:frame="1"/>
          <w:shd w:val="clear" w:color="auto" w:fill="FFFFFF"/>
          <w:lang w:val="es-ES_tradnl" w:eastAsia="es-ES_tradnl"/>
        </w:rPr>
        <w:t>in embargo,</w:t>
      </w:r>
      <w:r w:rsidRPr="006734CA">
        <w:rPr>
          <w:rFonts w:ascii="Arial" w:eastAsia="Times New Roman" w:hAnsi="Arial" w:cs="Arial"/>
          <w:color w:val="222222"/>
          <w:sz w:val="22"/>
          <w:bdr w:val="none" w:sz="0" w:space="0" w:color="auto" w:frame="1"/>
          <w:shd w:val="clear" w:color="auto" w:fill="FFFFFF"/>
          <w:lang w:val="es-ES_tradnl" w:eastAsia="es-ES_tradnl"/>
        </w:rPr>
        <w:t xml:space="preserve"> es necesario destacar que</w:t>
      </w:r>
      <w:r w:rsidR="007462F1" w:rsidRPr="006734CA">
        <w:rPr>
          <w:rFonts w:ascii="Arial" w:eastAsia="Times New Roman" w:hAnsi="Arial" w:cs="Arial"/>
          <w:color w:val="222222"/>
          <w:sz w:val="22"/>
          <w:bdr w:val="none" w:sz="0" w:space="0" w:color="auto" w:frame="1"/>
          <w:shd w:val="clear" w:color="auto" w:fill="FFFFFF"/>
          <w:lang w:val="es-ES_tradnl" w:eastAsia="es-ES_tradnl"/>
        </w:rPr>
        <w:t xml:space="preserve"> la</w:t>
      </w:r>
      <w:r w:rsidR="0091627F" w:rsidRPr="006734CA">
        <w:rPr>
          <w:rFonts w:ascii="Arial" w:eastAsia="Times New Roman" w:hAnsi="Arial" w:cs="Arial"/>
          <w:color w:val="222222"/>
          <w:sz w:val="22"/>
          <w:bdr w:val="none" w:sz="0" w:space="0" w:color="auto" w:frame="1"/>
          <w:shd w:val="clear" w:color="auto" w:fill="FFFFFF"/>
          <w:lang w:val="es-ES_tradnl" w:eastAsia="es-ES_tradnl"/>
        </w:rPr>
        <w:t xml:space="preserve"> Agencia Nacional de Contratación Pública – Colombia Compra Eficiente, en su calidad de administradora del </w:t>
      </w:r>
      <w:r w:rsidR="00DC22C6" w:rsidRPr="006734CA">
        <w:rPr>
          <w:rFonts w:ascii="Arial" w:eastAsia="Times New Roman" w:hAnsi="Arial" w:cs="Arial"/>
          <w:color w:val="222222"/>
          <w:sz w:val="22"/>
          <w:bdr w:val="none" w:sz="0" w:space="0" w:color="auto" w:frame="1"/>
          <w:shd w:val="clear" w:color="auto" w:fill="FFFFFF"/>
          <w:lang w:val="es-ES_tradnl" w:eastAsia="es-ES_tradnl"/>
        </w:rPr>
        <w:t>Sistema</w:t>
      </w:r>
      <w:r w:rsidR="0091627F" w:rsidRPr="006734CA">
        <w:rPr>
          <w:rFonts w:ascii="Arial" w:eastAsia="Times New Roman" w:hAnsi="Arial" w:cs="Arial"/>
          <w:color w:val="222222"/>
          <w:sz w:val="22"/>
          <w:bdr w:val="none" w:sz="0" w:space="0" w:color="auto" w:frame="1"/>
          <w:shd w:val="clear" w:color="auto" w:fill="FFFFFF"/>
          <w:lang w:val="es-ES_tradnl" w:eastAsia="es-ES_tradnl"/>
        </w:rPr>
        <w:t xml:space="preserve"> Electrónico para la Contratación Pública, indicó en su</w:t>
      </w:r>
      <w:r w:rsidRPr="006734CA">
        <w:rPr>
          <w:rFonts w:ascii="Arial" w:eastAsia="Times New Roman" w:hAnsi="Arial" w:cs="Arial"/>
          <w:color w:val="222222"/>
          <w:sz w:val="22"/>
          <w:bdr w:val="none" w:sz="0" w:space="0" w:color="auto" w:frame="1"/>
          <w:shd w:val="clear" w:color="auto" w:fill="FFFFFF"/>
          <w:lang w:val="es-ES_tradnl" w:eastAsia="es-ES_tradnl"/>
        </w:rPr>
        <w:t xml:space="preserve"> Circular Externa No. 1 de 2019 </w:t>
      </w:r>
      <w:r w:rsidR="007462F1" w:rsidRPr="006734CA">
        <w:rPr>
          <w:rFonts w:ascii="Arial" w:eastAsia="Times New Roman" w:hAnsi="Arial" w:cs="Arial"/>
          <w:color w:val="222222"/>
          <w:sz w:val="22"/>
          <w:bdr w:val="none" w:sz="0" w:space="0" w:color="auto" w:frame="1"/>
          <w:shd w:val="clear" w:color="auto" w:fill="FFFFFF"/>
          <w:lang w:val="es-ES_tradnl" w:eastAsia="es-ES_tradnl"/>
        </w:rPr>
        <w:t>el alcance</w:t>
      </w:r>
      <w:r w:rsidRPr="006734CA">
        <w:rPr>
          <w:rFonts w:ascii="Arial" w:eastAsia="Times New Roman" w:hAnsi="Arial" w:cs="Arial"/>
          <w:color w:val="222222"/>
          <w:sz w:val="22"/>
          <w:bdr w:val="none" w:sz="0" w:space="0" w:color="auto" w:frame="1"/>
          <w:shd w:val="clear" w:color="auto" w:fill="FFFFFF"/>
          <w:lang w:val="es-ES_tradnl" w:eastAsia="es-ES_tradnl"/>
        </w:rPr>
        <w:t xml:space="preserve"> de la obligatoriedad del SECOP II para el año 2020, previendo expresamente que </w:t>
      </w:r>
      <w:r w:rsidR="0091627F" w:rsidRPr="006734CA">
        <w:rPr>
          <w:rFonts w:ascii="Arial" w:eastAsia="Times New Roman" w:hAnsi="Arial" w:cs="Arial"/>
          <w:color w:val="222222"/>
          <w:sz w:val="22"/>
          <w:bdr w:val="none" w:sz="0" w:space="0" w:color="auto" w:frame="1"/>
          <w:shd w:val="clear" w:color="auto" w:fill="FFFFFF"/>
          <w:lang w:val="es-ES_tradnl" w:eastAsia="es-ES_tradnl"/>
        </w:rPr>
        <w:t>«</w:t>
      </w:r>
      <w:r w:rsidRPr="006734CA">
        <w:rPr>
          <w:rFonts w:ascii="Arial" w:eastAsia="Times New Roman" w:hAnsi="Arial" w:cs="Arial"/>
          <w:color w:val="222222"/>
          <w:sz w:val="22"/>
          <w:bdr w:val="none" w:sz="0" w:space="0" w:color="auto" w:frame="1"/>
          <w:shd w:val="clear" w:color="auto" w:fill="FFFFFF"/>
          <w:lang w:val="es-ES_tradnl" w:eastAsia="es-ES_tradnl"/>
        </w:rPr>
        <w:t>Todas </w:t>
      </w:r>
      <w:r w:rsidR="0091627F" w:rsidRPr="006734CA">
        <w:rPr>
          <w:rFonts w:ascii="Arial" w:eastAsia="Times New Roman" w:hAnsi="Arial" w:cs="Arial"/>
          <w:color w:val="222222"/>
          <w:sz w:val="22"/>
          <w:bdr w:val="none" w:sz="0" w:space="0" w:color="auto" w:frame="1"/>
          <w:shd w:val="clear" w:color="auto" w:fill="FFFFFF"/>
          <w:lang w:val="es-ES_tradnl" w:eastAsia="es-ES_tradnl"/>
        </w:rPr>
        <w:t>las entidades del Estado colombiano deberán gestionar en SECOP II los procesos de contratación con ESALES (Decreto 092 de 2017) para lo cual encontrarán habilitado el módulo de régimen especial del SECOP II»</w:t>
      </w:r>
      <w:r w:rsidR="0091627F" w:rsidRPr="006734CA">
        <w:rPr>
          <w:rStyle w:val="Refdenotaalpie"/>
          <w:rFonts w:ascii="Arial" w:eastAsia="Times New Roman" w:hAnsi="Arial" w:cs="Arial"/>
          <w:color w:val="222222"/>
          <w:sz w:val="22"/>
          <w:bdr w:val="none" w:sz="0" w:space="0" w:color="auto" w:frame="1"/>
          <w:shd w:val="clear" w:color="auto" w:fill="FFFFFF"/>
          <w:lang w:val="es-ES_tradnl" w:eastAsia="es-ES_tradnl"/>
        </w:rPr>
        <w:footnoteReference w:id="8"/>
      </w:r>
      <w:r w:rsidRPr="006734CA">
        <w:rPr>
          <w:rFonts w:ascii="Arial" w:eastAsia="Times New Roman" w:hAnsi="Arial" w:cs="Arial"/>
          <w:color w:val="222222"/>
          <w:sz w:val="22"/>
          <w:bdr w:val="none" w:sz="0" w:space="0" w:color="auto" w:frame="1"/>
          <w:shd w:val="clear" w:color="auto" w:fill="FFFFFF"/>
          <w:lang w:val="es-ES_tradnl" w:eastAsia="es-ES_tradnl"/>
        </w:rPr>
        <w:t>.</w:t>
      </w:r>
    </w:p>
    <w:p w14:paraId="309950FC" w14:textId="77777777" w:rsidR="0091627F" w:rsidRPr="006734CA" w:rsidRDefault="0091627F" w:rsidP="0023774F">
      <w:pPr>
        <w:shd w:val="clear" w:color="auto" w:fill="FFFFFF"/>
        <w:spacing w:line="276" w:lineRule="auto"/>
        <w:ind w:firstLine="708"/>
        <w:jc w:val="both"/>
        <w:rPr>
          <w:rFonts w:ascii="Arial" w:eastAsia="Times New Roman" w:hAnsi="Arial" w:cs="Arial"/>
          <w:color w:val="222222"/>
          <w:sz w:val="22"/>
          <w:bdr w:val="none" w:sz="0" w:space="0" w:color="auto" w:frame="1"/>
          <w:shd w:val="clear" w:color="auto" w:fill="FFFFFF"/>
          <w:lang w:val="es-ES_tradnl" w:eastAsia="es-ES_tradnl"/>
        </w:rPr>
      </w:pPr>
    </w:p>
    <w:p w14:paraId="4DAE4437" w14:textId="77777777" w:rsidR="00BE1E33" w:rsidRPr="006734CA"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ES_tradnl"/>
        </w:rPr>
      </w:pPr>
      <w:r w:rsidRPr="006734CA">
        <w:rPr>
          <w:rFonts w:ascii="Arial" w:hAnsi="Arial" w:cs="Arial"/>
          <w:b/>
          <w:bCs/>
          <w:color w:val="000000" w:themeColor="text1"/>
          <w:sz w:val="22"/>
          <w:lang w:val="es-ES_tradnl"/>
        </w:rPr>
        <w:t xml:space="preserve">Respuesta </w:t>
      </w:r>
    </w:p>
    <w:p w14:paraId="317BE2F9" w14:textId="77777777" w:rsidR="00BE1E33" w:rsidRPr="006734CA" w:rsidRDefault="00BE1E33" w:rsidP="00BE1E33">
      <w:pPr>
        <w:spacing w:line="276" w:lineRule="auto"/>
        <w:ind w:right="709"/>
        <w:jc w:val="both"/>
        <w:rPr>
          <w:rFonts w:ascii="Arial" w:hAnsi="Arial" w:cs="Arial"/>
          <w:color w:val="000000" w:themeColor="text1"/>
          <w:sz w:val="21"/>
          <w:szCs w:val="21"/>
          <w:lang w:val="es-ES_tradnl"/>
        </w:rPr>
      </w:pPr>
    </w:p>
    <w:p w14:paraId="5C2D6EF8" w14:textId="1B311C61" w:rsidR="00BE1E33" w:rsidRPr="006734CA" w:rsidRDefault="0091627F" w:rsidP="00856B64">
      <w:pPr>
        <w:ind w:left="709" w:right="709"/>
        <w:jc w:val="both"/>
        <w:rPr>
          <w:rFonts w:ascii="Arial" w:eastAsia="Calibri" w:hAnsi="Arial" w:cs="Arial"/>
          <w:color w:val="000000" w:themeColor="text1"/>
          <w:sz w:val="21"/>
          <w:szCs w:val="21"/>
          <w:lang w:val="es-ES_tradnl"/>
        </w:rPr>
      </w:pPr>
      <w:r w:rsidRPr="006734CA">
        <w:rPr>
          <w:rFonts w:ascii="Arial" w:eastAsia="Calibri" w:hAnsi="Arial" w:cs="Arial"/>
          <w:color w:val="000000" w:themeColor="text1"/>
          <w:sz w:val="21"/>
          <w:szCs w:val="21"/>
          <w:lang w:val="es-ES_tradnl"/>
        </w:rPr>
        <w:t>«¿Si una ESAL compromete el recurso mayor a un 30% del valor del convenio, ¿se hace necesario adelantar convocatoria para determinar si más ESAL comrpmeten dicho recurso? […] ¿Cuál es el fundamento normativo que me obliga a adelantar el proceso por SECOP II, máxime si la entidad no está obligada a utilzar SECOP II?»</w:t>
      </w:r>
      <w:r w:rsidR="00982E99" w:rsidRPr="006734CA">
        <w:rPr>
          <w:rFonts w:ascii="Arial" w:eastAsia="Calibri" w:hAnsi="Arial" w:cs="Arial"/>
          <w:color w:val="000000" w:themeColor="text1"/>
          <w:sz w:val="21"/>
          <w:szCs w:val="21"/>
          <w:lang w:val="es-ES_tradnl"/>
        </w:rPr>
        <w:t>?</w:t>
      </w:r>
    </w:p>
    <w:p w14:paraId="2FCE573A" w14:textId="77777777" w:rsidR="00147E4A" w:rsidRPr="006734CA" w:rsidRDefault="00147E4A" w:rsidP="00147E4A">
      <w:pPr>
        <w:tabs>
          <w:tab w:val="left" w:pos="426"/>
        </w:tabs>
        <w:spacing w:line="276" w:lineRule="auto"/>
        <w:jc w:val="both"/>
        <w:rPr>
          <w:rFonts w:ascii="Arial" w:hAnsi="Arial" w:cs="Arial"/>
          <w:color w:val="000000" w:themeColor="text1"/>
          <w:sz w:val="22"/>
          <w:lang w:val="es-ES_tradnl"/>
        </w:rPr>
      </w:pPr>
    </w:p>
    <w:p w14:paraId="6AC8CB38" w14:textId="6EDA4C68" w:rsidR="00147E4A" w:rsidRPr="006734CA" w:rsidRDefault="00147E4A" w:rsidP="00147E4A">
      <w:pPr>
        <w:tabs>
          <w:tab w:val="left" w:pos="426"/>
        </w:tabs>
        <w:spacing w:line="276" w:lineRule="auto"/>
        <w:jc w:val="both"/>
        <w:rPr>
          <w:rFonts w:ascii="Arial" w:eastAsia="Times New Roman" w:hAnsi="Arial" w:cs="Arial"/>
          <w:color w:val="222222"/>
          <w:sz w:val="22"/>
          <w:bdr w:val="none" w:sz="0" w:space="0" w:color="auto" w:frame="1"/>
          <w:shd w:val="clear" w:color="auto" w:fill="FFFFFF"/>
          <w:lang w:val="es-ES_tradnl" w:eastAsia="es-ES_tradnl"/>
        </w:rPr>
      </w:pPr>
      <w:r w:rsidRPr="006734CA">
        <w:rPr>
          <w:rFonts w:ascii="Arial" w:eastAsia="Times New Roman" w:hAnsi="Arial" w:cs="Arial"/>
          <w:color w:val="222222"/>
          <w:sz w:val="22"/>
          <w:bdr w:val="none" w:sz="0" w:space="0" w:color="auto" w:frame="1"/>
          <w:shd w:val="clear" w:color="auto" w:fill="FFFFFF"/>
          <w:lang w:val="es-ES_tradnl" w:eastAsia="es-ES_tradnl"/>
        </w:rPr>
        <w:t>Las entidades estatales se encuentran facultadas para celebrar contratos, entre estos, convenios de asociación, con entidades sin ánimo de lucro</w:t>
      </w:r>
      <w:r w:rsidR="00135E98" w:rsidRPr="006734CA">
        <w:rPr>
          <w:rFonts w:ascii="Arial" w:eastAsia="Times New Roman" w:hAnsi="Arial" w:cs="Arial"/>
          <w:color w:val="222222"/>
          <w:sz w:val="22"/>
          <w:bdr w:val="none" w:sz="0" w:space="0" w:color="auto" w:frame="1"/>
          <w:shd w:val="clear" w:color="auto" w:fill="FFFFFF"/>
          <w:lang w:val="es-ES_tradnl" w:eastAsia="es-ES_tradnl"/>
        </w:rPr>
        <w:t xml:space="preserve"> y de reconocida idoneidad</w:t>
      </w:r>
      <w:r w:rsidRPr="006734CA">
        <w:rPr>
          <w:rFonts w:ascii="Arial" w:eastAsia="Times New Roman" w:hAnsi="Arial" w:cs="Arial"/>
          <w:color w:val="222222"/>
          <w:sz w:val="22"/>
          <w:bdr w:val="none" w:sz="0" w:space="0" w:color="auto" w:frame="1"/>
          <w:shd w:val="clear" w:color="auto" w:fill="FFFFFF"/>
          <w:lang w:val="es-ES_tradnl" w:eastAsia="es-ES_tradnl"/>
        </w:rPr>
        <w:t>, en los términos del artículo 355 de la Constitución Política, la Ley 489 de 1998 y el Decreto 092 de 2017. Para tal efecto, por regla general, la entidad estatal debe realizar un proceso competitivo</w:t>
      </w:r>
      <w:r w:rsidR="0081087D" w:rsidRPr="006734CA">
        <w:rPr>
          <w:rFonts w:ascii="Arial" w:eastAsia="Times New Roman" w:hAnsi="Arial" w:cs="Arial"/>
          <w:color w:val="222222"/>
          <w:sz w:val="22"/>
          <w:bdr w:val="none" w:sz="0" w:space="0" w:color="auto" w:frame="1"/>
          <w:shd w:val="clear" w:color="auto" w:fill="FFFFFF"/>
          <w:lang w:val="es-ES_tradnl" w:eastAsia="es-ES_tradnl"/>
        </w:rPr>
        <w:t>.</w:t>
      </w:r>
      <w:r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0081087D" w:rsidRPr="006734CA">
        <w:rPr>
          <w:rFonts w:ascii="Arial" w:eastAsia="Times New Roman" w:hAnsi="Arial" w:cs="Arial"/>
          <w:color w:val="222222"/>
          <w:sz w:val="22"/>
          <w:bdr w:val="none" w:sz="0" w:space="0" w:color="auto" w:frame="1"/>
          <w:shd w:val="clear" w:color="auto" w:fill="FFFFFF"/>
          <w:lang w:val="es-ES_tradnl" w:eastAsia="es-ES_tradnl"/>
        </w:rPr>
        <w:t>S</w:t>
      </w:r>
      <w:r w:rsidRPr="006734CA">
        <w:rPr>
          <w:rFonts w:ascii="Arial" w:eastAsia="Times New Roman" w:hAnsi="Arial" w:cs="Arial"/>
          <w:color w:val="222222"/>
          <w:sz w:val="22"/>
          <w:bdr w:val="none" w:sz="0" w:space="0" w:color="auto" w:frame="1"/>
          <w:shd w:val="clear" w:color="auto" w:fill="FFFFFF"/>
          <w:lang w:val="es-ES_tradnl" w:eastAsia="es-ES_tradnl"/>
        </w:rPr>
        <w:t>in embargo</w:t>
      </w:r>
      <w:r w:rsidR="00DC22C6" w:rsidRPr="006734CA">
        <w:rPr>
          <w:rFonts w:ascii="Arial" w:eastAsia="Times New Roman" w:hAnsi="Arial" w:cs="Arial"/>
          <w:color w:val="222222"/>
          <w:sz w:val="22"/>
          <w:bdr w:val="none" w:sz="0" w:space="0" w:color="auto" w:frame="1"/>
          <w:shd w:val="clear" w:color="auto" w:fill="FFFFFF"/>
          <w:lang w:val="es-ES_tradnl" w:eastAsia="es-ES_tradnl"/>
        </w:rPr>
        <w:t>,</w:t>
      </w:r>
      <w:r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00DC22C6" w:rsidRPr="006734CA">
        <w:rPr>
          <w:rFonts w:ascii="Arial" w:eastAsia="Times New Roman" w:hAnsi="Arial" w:cs="Arial"/>
          <w:color w:val="222222"/>
          <w:sz w:val="22"/>
          <w:bdr w:val="none" w:sz="0" w:space="0" w:color="auto" w:frame="1"/>
          <w:shd w:val="clear" w:color="auto" w:fill="FFFFFF"/>
          <w:lang w:val="es-ES_tradnl" w:eastAsia="es-ES_tradnl"/>
        </w:rPr>
        <w:t>si en</w:t>
      </w:r>
      <w:r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0081087D" w:rsidRPr="006734CA">
        <w:rPr>
          <w:rFonts w:ascii="Arial" w:eastAsia="Times New Roman" w:hAnsi="Arial" w:cs="Arial"/>
          <w:color w:val="222222"/>
          <w:sz w:val="22"/>
          <w:bdr w:val="none" w:sz="0" w:space="0" w:color="auto" w:frame="1"/>
          <w:shd w:val="clear" w:color="auto" w:fill="FFFFFF"/>
          <w:lang w:val="es-ES_tradnl" w:eastAsia="es-ES_tradnl"/>
        </w:rPr>
        <w:t>la etapa de planeación</w:t>
      </w:r>
      <w:r w:rsidR="00DC22C6"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0081087D" w:rsidRPr="006734CA">
        <w:rPr>
          <w:rFonts w:ascii="Arial" w:eastAsia="Times New Roman" w:hAnsi="Arial" w:cs="Arial"/>
          <w:color w:val="222222"/>
          <w:sz w:val="22"/>
          <w:bdr w:val="none" w:sz="0" w:space="0" w:color="auto" w:frame="1"/>
          <w:shd w:val="clear" w:color="auto" w:fill="FFFFFF"/>
          <w:lang w:val="es-ES_tradnl" w:eastAsia="es-ES_tradnl"/>
        </w:rPr>
        <w:t xml:space="preserve">se observa que hay </w:t>
      </w:r>
      <w:r w:rsidRPr="006734CA">
        <w:rPr>
          <w:rFonts w:ascii="Arial" w:eastAsia="Times New Roman" w:hAnsi="Arial" w:cs="Arial"/>
          <w:color w:val="222222"/>
          <w:sz w:val="22"/>
          <w:bdr w:val="none" w:sz="0" w:space="0" w:color="auto" w:frame="1"/>
          <w:shd w:val="clear" w:color="auto" w:fill="FFFFFF"/>
          <w:lang w:val="es-ES_tradnl" w:eastAsia="es-ES_tradnl"/>
        </w:rPr>
        <w:t xml:space="preserve">una única ESAL </w:t>
      </w:r>
      <w:r w:rsidR="0081087D" w:rsidRPr="006734CA">
        <w:rPr>
          <w:rFonts w:ascii="Arial" w:eastAsia="Times New Roman" w:hAnsi="Arial" w:cs="Arial"/>
          <w:color w:val="222222"/>
          <w:sz w:val="22"/>
          <w:bdr w:val="none" w:sz="0" w:space="0" w:color="auto" w:frame="1"/>
          <w:shd w:val="clear" w:color="auto" w:fill="FFFFFF"/>
          <w:lang w:val="es-ES_tradnl" w:eastAsia="es-ES_tradnl"/>
        </w:rPr>
        <w:t>que podría comprometer</w:t>
      </w:r>
      <w:r w:rsidRPr="006734CA">
        <w:rPr>
          <w:rFonts w:ascii="Arial" w:eastAsia="Times New Roman" w:hAnsi="Arial" w:cs="Arial"/>
          <w:color w:val="222222"/>
          <w:sz w:val="22"/>
          <w:bdr w:val="none" w:sz="0" w:space="0" w:color="auto" w:frame="1"/>
          <w:shd w:val="clear" w:color="auto" w:fill="FFFFFF"/>
          <w:lang w:val="es-ES_tradnl" w:eastAsia="es-ES_tradnl"/>
        </w:rPr>
        <w:t xml:space="preserve"> recursos equivalentes al treinta por ciento (30%) o más del valor total del contrato, la entidad estatal quedará exonerada de adelantar el proceso competitivo</w:t>
      </w:r>
      <w:r w:rsidR="0081087D" w:rsidRPr="006734CA">
        <w:rPr>
          <w:rFonts w:ascii="Arial" w:eastAsia="Times New Roman" w:hAnsi="Arial" w:cs="Arial"/>
          <w:color w:val="222222"/>
          <w:sz w:val="22"/>
          <w:bdr w:val="none" w:sz="0" w:space="0" w:color="auto" w:frame="1"/>
          <w:shd w:val="clear" w:color="auto" w:fill="FFFFFF"/>
          <w:lang w:val="es-ES_tradnl" w:eastAsia="es-ES_tradnl"/>
        </w:rPr>
        <w:t>.</w:t>
      </w:r>
    </w:p>
    <w:p w14:paraId="102FB828" w14:textId="3BB7D1A3" w:rsidR="00DC22C6" w:rsidRPr="006734CA" w:rsidRDefault="00147E4A" w:rsidP="006734CA">
      <w:pPr>
        <w:tabs>
          <w:tab w:val="left" w:pos="426"/>
        </w:tabs>
        <w:spacing w:before="120" w:line="276" w:lineRule="auto"/>
        <w:ind w:firstLine="709"/>
        <w:jc w:val="both"/>
        <w:rPr>
          <w:rFonts w:ascii="Arial" w:eastAsia="Times New Roman" w:hAnsi="Arial" w:cs="Arial"/>
          <w:color w:val="222222"/>
          <w:sz w:val="22"/>
          <w:bdr w:val="none" w:sz="0" w:space="0" w:color="auto" w:frame="1"/>
          <w:shd w:val="clear" w:color="auto" w:fill="FFFFFF"/>
          <w:lang w:val="es-ES_tradnl" w:eastAsia="es-ES_tradnl"/>
        </w:rPr>
      </w:pPr>
      <w:r w:rsidRPr="006734CA">
        <w:rPr>
          <w:rFonts w:ascii="Arial" w:eastAsia="Times New Roman" w:hAnsi="Arial" w:cs="Arial"/>
          <w:color w:val="222222"/>
          <w:sz w:val="22"/>
          <w:bdr w:val="none" w:sz="0" w:space="0" w:color="auto" w:frame="1"/>
          <w:shd w:val="clear" w:color="auto" w:fill="FFFFFF"/>
          <w:lang w:val="es-ES_tradnl" w:eastAsia="es-ES_tradnl"/>
        </w:rPr>
        <w:t xml:space="preserve">No obstante, en virtud de la normativa general de contratación, las entidades estatales se encuentran obligadas a realizar </w:t>
      </w:r>
      <w:r w:rsidR="0081087D" w:rsidRPr="006734CA">
        <w:rPr>
          <w:rFonts w:ascii="Arial" w:eastAsia="Times New Roman" w:hAnsi="Arial" w:cs="Arial"/>
          <w:color w:val="222222"/>
          <w:sz w:val="22"/>
          <w:bdr w:val="none" w:sz="0" w:space="0" w:color="auto" w:frame="1"/>
          <w:shd w:val="clear" w:color="auto" w:fill="FFFFFF"/>
          <w:lang w:val="es-ES_tradnl" w:eastAsia="es-ES_tradnl"/>
        </w:rPr>
        <w:t>una etapa</w:t>
      </w:r>
      <w:r w:rsidRPr="006734CA">
        <w:rPr>
          <w:rFonts w:ascii="Arial" w:eastAsia="Times New Roman" w:hAnsi="Arial" w:cs="Arial"/>
          <w:color w:val="222222"/>
          <w:sz w:val="22"/>
          <w:bdr w:val="none" w:sz="0" w:space="0" w:color="auto" w:frame="1"/>
          <w:shd w:val="clear" w:color="auto" w:fill="FFFFFF"/>
          <w:lang w:val="es-ES_tradnl" w:eastAsia="es-ES_tradnl"/>
        </w:rPr>
        <w:t xml:space="preserve"> de planeación que permita determinar las características esenciales de un futuro contrato a través de un proceso de planeación integral que, entre otros, </w:t>
      </w:r>
      <w:r w:rsidR="002511E0" w:rsidRPr="006734CA">
        <w:rPr>
          <w:rFonts w:ascii="Arial" w:eastAsia="Times New Roman" w:hAnsi="Arial" w:cs="Arial"/>
          <w:color w:val="222222"/>
          <w:sz w:val="22"/>
          <w:bdr w:val="none" w:sz="0" w:space="0" w:color="auto" w:frame="1"/>
          <w:shd w:val="clear" w:color="auto" w:fill="FFFFFF"/>
          <w:lang w:val="es-ES_tradnl" w:eastAsia="es-ES_tradnl"/>
        </w:rPr>
        <w:t xml:space="preserve">posibilite </w:t>
      </w:r>
      <w:r w:rsidRPr="006734CA">
        <w:rPr>
          <w:rFonts w:ascii="Arial" w:eastAsia="Times New Roman" w:hAnsi="Arial" w:cs="Arial"/>
          <w:color w:val="222222"/>
          <w:sz w:val="22"/>
          <w:bdr w:val="none" w:sz="0" w:space="0" w:color="auto" w:frame="1"/>
          <w:shd w:val="clear" w:color="auto" w:fill="FFFFFF"/>
          <w:lang w:val="es-ES_tradnl" w:eastAsia="es-ES_tradnl"/>
        </w:rPr>
        <w:t>analizar a los sujetos que se encuentran en capacidad</w:t>
      </w:r>
      <w:r w:rsidR="008A37D8" w:rsidRPr="006734CA">
        <w:rPr>
          <w:rFonts w:ascii="Arial" w:eastAsia="Times New Roman" w:hAnsi="Arial" w:cs="Arial"/>
          <w:color w:val="222222"/>
          <w:sz w:val="22"/>
          <w:bdr w:val="none" w:sz="0" w:space="0" w:color="auto" w:frame="1"/>
          <w:shd w:val="clear" w:color="auto" w:fill="FFFFFF"/>
          <w:lang w:val="es-ES_tradnl" w:eastAsia="es-ES_tradnl"/>
        </w:rPr>
        <w:t xml:space="preserve"> de ofrecer el bien o servicio, dentro del sector relativo al objeto del contrato. Lo anterior permite que la entidad pueda</w:t>
      </w:r>
      <w:r w:rsidR="00351536" w:rsidRPr="006734CA">
        <w:rPr>
          <w:rFonts w:ascii="Arial" w:eastAsia="Times New Roman" w:hAnsi="Arial" w:cs="Arial"/>
          <w:color w:val="222222"/>
          <w:sz w:val="22"/>
          <w:bdr w:val="none" w:sz="0" w:space="0" w:color="auto" w:frame="1"/>
          <w:shd w:val="clear" w:color="auto" w:fill="FFFFFF"/>
          <w:lang w:val="es-ES_tradnl" w:eastAsia="es-ES_tradnl"/>
        </w:rPr>
        <w:t xml:space="preserve"> analizar,</w:t>
      </w:r>
      <w:r w:rsidR="008A37D8"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Pr="006734CA">
        <w:rPr>
          <w:rFonts w:ascii="Arial" w:eastAsia="Times New Roman" w:hAnsi="Arial" w:cs="Arial"/>
          <w:color w:val="222222"/>
          <w:sz w:val="22"/>
          <w:bdr w:val="none" w:sz="0" w:space="0" w:color="auto" w:frame="1"/>
          <w:shd w:val="clear" w:color="auto" w:fill="FFFFFF"/>
          <w:lang w:val="es-ES_tradnl" w:eastAsia="es-ES_tradnl"/>
        </w:rPr>
        <w:t>financiera y técnica</w:t>
      </w:r>
      <w:r w:rsidR="00351536" w:rsidRPr="006734CA">
        <w:rPr>
          <w:rFonts w:ascii="Arial" w:eastAsia="Times New Roman" w:hAnsi="Arial" w:cs="Arial"/>
          <w:color w:val="222222"/>
          <w:sz w:val="22"/>
          <w:bdr w:val="none" w:sz="0" w:space="0" w:color="auto" w:frame="1"/>
          <w:shd w:val="clear" w:color="auto" w:fill="FFFFFF"/>
          <w:lang w:val="es-ES_tradnl" w:eastAsia="es-ES_tradnl"/>
        </w:rPr>
        <w:t>mente</w:t>
      </w:r>
      <w:r w:rsidRPr="006734CA">
        <w:rPr>
          <w:rFonts w:ascii="Arial" w:eastAsia="Times New Roman" w:hAnsi="Arial" w:cs="Arial"/>
          <w:color w:val="222222"/>
          <w:sz w:val="22"/>
          <w:bdr w:val="none" w:sz="0" w:space="0" w:color="auto" w:frame="1"/>
          <w:shd w:val="clear" w:color="auto" w:fill="FFFFFF"/>
          <w:lang w:val="es-ES_tradnl" w:eastAsia="es-ES_tradnl"/>
        </w:rPr>
        <w:t xml:space="preserve"> las ESAL </w:t>
      </w:r>
      <w:r w:rsidRPr="006734CA">
        <w:rPr>
          <w:rFonts w:ascii="Arial" w:eastAsia="Times New Roman" w:hAnsi="Arial" w:cs="Arial"/>
          <w:color w:val="222222"/>
          <w:sz w:val="22"/>
          <w:bdr w:val="none" w:sz="0" w:space="0" w:color="auto" w:frame="1"/>
          <w:shd w:val="clear" w:color="auto" w:fill="FFFFFF"/>
          <w:lang w:val="es-ES_tradnl" w:eastAsia="es-ES_tradnl"/>
        </w:rPr>
        <w:lastRenderedPageBreak/>
        <w:t>pertenecientes</w:t>
      </w:r>
      <w:r w:rsidR="00190B79" w:rsidRPr="006734CA">
        <w:rPr>
          <w:rFonts w:ascii="Arial" w:eastAsia="Times New Roman" w:hAnsi="Arial" w:cs="Arial"/>
          <w:color w:val="222222"/>
          <w:sz w:val="22"/>
          <w:bdr w:val="none" w:sz="0" w:space="0" w:color="auto" w:frame="1"/>
          <w:shd w:val="clear" w:color="auto" w:fill="FFFFFF"/>
          <w:lang w:val="es-ES_tradnl" w:eastAsia="es-ES_tradnl"/>
        </w:rPr>
        <w:t xml:space="preserve"> a</w:t>
      </w:r>
      <w:r w:rsidRPr="006734CA">
        <w:rPr>
          <w:rFonts w:ascii="Arial" w:eastAsia="Times New Roman" w:hAnsi="Arial" w:cs="Arial"/>
          <w:color w:val="222222"/>
          <w:sz w:val="22"/>
          <w:bdr w:val="none" w:sz="0" w:space="0" w:color="auto" w:frame="1"/>
          <w:shd w:val="clear" w:color="auto" w:fill="FFFFFF"/>
          <w:lang w:val="es-ES_tradnl" w:eastAsia="es-ES_tradnl"/>
        </w:rPr>
        <w:t xml:space="preserve"> </w:t>
      </w:r>
      <w:r w:rsidR="008A37D8" w:rsidRPr="006734CA">
        <w:rPr>
          <w:rFonts w:ascii="Arial" w:eastAsia="Times New Roman" w:hAnsi="Arial" w:cs="Arial"/>
          <w:color w:val="222222"/>
          <w:sz w:val="22"/>
          <w:bdr w:val="none" w:sz="0" w:space="0" w:color="auto" w:frame="1"/>
          <w:shd w:val="clear" w:color="auto" w:fill="FFFFFF"/>
          <w:lang w:val="es-ES_tradnl" w:eastAsia="es-ES_tradnl"/>
        </w:rPr>
        <w:t>este sector</w:t>
      </w:r>
      <w:r w:rsidRPr="006734CA">
        <w:rPr>
          <w:rFonts w:ascii="Arial" w:eastAsia="Times New Roman" w:hAnsi="Arial" w:cs="Arial"/>
          <w:color w:val="222222"/>
          <w:sz w:val="22"/>
          <w:bdr w:val="none" w:sz="0" w:space="0" w:color="auto" w:frame="1"/>
          <w:shd w:val="clear" w:color="auto" w:fill="FFFFFF"/>
          <w:lang w:val="es-ES_tradnl" w:eastAsia="es-ES_tradnl"/>
        </w:rPr>
        <w:t>, sin que esto implique una obligación a cargo de la entidad de realizar una convocatoria en este sentido.</w:t>
      </w:r>
    </w:p>
    <w:p w14:paraId="1BFC00A8" w14:textId="0E0FCB3C" w:rsidR="008A37D8" w:rsidRPr="006734CA" w:rsidRDefault="008A37D8" w:rsidP="006734CA">
      <w:pPr>
        <w:tabs>
          <w:tab w:val="left" w:pos="426"/>
        </w:tabs>
        <w:spacing w:before="120" w:line="276" w:lineRule="auto"/>
        <w:ind w:firstLine="709"/>
        <w:jc w:val="both"/>
        <w:rPr>
          <w:rFonts w:ascii="Arial" w:eastAsia="Times New Roman" w:hAnsi="Arial" w:cs="Arial"/>
          <w:color w:val="222222"/>
          <w:sz w:val="22"/>
          <w:bdr w:val="none" w:sz="0" w:space="0" w:color="auto" w:frame="1"/>
          <w:shd w:val="clear" w:color="auto" w:fill="FFFFFF"/>
          <w:lang w:val="es-ES_tradnl" w:eastAsia="es-ES_tradnl"/>
        </w:rPr>
      </w:pPr>
      <w:r w:rsidRPr="006734CA">
        <w:rPr>
          <w:rFonts w:ascii="Arial" w:eastAsia="Times New Roman" w:hAnsi="Arial" w:cs="Arial"/>
          <w:color w:val="222222"/>
          <w:sz w:val="22"/>
          <w:bdr w:val="none" w:sz="0" w:space="0" w:color="auto" w:frame="1"/>
          <w:shd w:val="clear" w:color="auto" w:fill="FFFFFF"/>
          <w:lang w:val="es-ES_tradnl" w:eastAsia="es-ES_tradnl"/>
        </w:rPr>
        <w:t xml:space="preserve">Ahora bien, en cuanto a la obligación que </w:t>
      </w:r>
      <w:r w:rsidR="001C4850" w:rsidRPr="006734CA">
        <w:rPr>
          <w:rFonts w:ascii="Arial" w:eastAsia="Times New Roman" w:hAnsi="Arial" w:cs="Arial"/>
          <w:color w:val="222222"/>
          <w:sz w:val="22"/>
          <w:bdr w:val="none" w:sz="0" w:space="0" w:color="auto" w:frame="1"/>
          <w:shd w:val="clear" w:color="auto" w:fill="FFFFFF"/>
          <w:lang w:val="es-ES_tradnl" w:eastAsia="es-ES_tradnl"/>
        </w:rPr>
        <w:t xml:space="preserve">les </w:t>
      </w:r>
      <w:r w:rsidRPr="006734CA">
        <w:rPr>
          <w:rFonts w:ascii="Arial" w:eastAsia="Times New Roman" w:hAnsi="Arial" w:cs="Arial"/>
          <w:color w:val="222222"/>
          <w:sz w:val="22"/>
          <w:bdr w:val="none" w:sz="0" w:space="0" w:color="auto" w:frame="1"/>
          <w:shd w:val="clear" w:color="auto" w:fill="FFFFFF"/>
          <w:lang w:val="es-ES_tradnl" w:eastAsia="es-ES_tradnl"/>
        </w:rPr>
        <w:t xml:space="preserve">asiste tanto a entidades estatales como a ESAL </w:t>
      </w:r>
      <w:r w:rsidR="001C4850" w:rsidRPr="006734CA">
        <w:rPr>
          <w:rFonts w:ascii="Arial" w:eastAsia="Times New Roman" w:hAnsi="Arial" w:cs="Arial"/>
          <w:color w:val="222222"/>
          <w:sz w:val="22"/>
          <w:bdr w:val="none" w:sz="0" w:space="0" w:color="auto" w:frame="1"/>
          <w:shd w:val="clear" w:color="auto" w:fill="FFFFFF"/>
          <w:lang w:val="es-ES_tradnl" w:eastAsia="es-ES_tradnl"/>
        </w:rPr>
        <w:t>de</w:t>
      </w:r>
      <w:r w:rsidRPr="006734CA">
        <w:rPr>
          <w:rFonts w:ascii="Arial" w:eastAsia="Times New Roman" w:hAnsi="Arial" w:cs="Arial"/>
          <w:color w:val="222222"/>
          <w:sz w:val="22"/>
          <w:bdr w:val="none" w:sz="0" w:space="0" w:color="auto" w:frame="1"/>
          <w:shd w:val="clear" w:color="auto" w:fill="FFFFFF"/>
          <w:lang w:val="es-ES_tradnl" w:eastAsia="es-ES_tradnl"/>
        </w:rPr>
        <w:t xml:space="preserve"> adelantar el proceso contractual a través del SECOP II, se </w:t>
      </w:r>
      <w:r w:rsidR="00D76E57" w:rsidRPr="006734CA">
        <w:rPr>
          <w:rFonts w:ascii="Arial" w:eastAsia="Times New Roman" w:hAnsi="Arial" w:cs="Arial"/>
          <w:color w:val="222222"/>
          <w:sz w:val="22"/>
          <w:bdr w:val="none" w:sz="0" w:space="0" w:color="auto" w:frame="1"/>
          <w:shd w:val="clear" w:color="auto" w:fill="FFFFFF"/>
          <w:lang w:val="es-ES_tradnl" w:eastAsia="es-ES_tradnl"/>
        </w:rPr>
        <w:t xml:space="preserve">reitera </w:t>
      </w:r>
      <w:r w:rsidRPr="006734CA">
        <w:rPr>
          <w:rFonts w:ascii="Arial" w:eastAsia="Times New Roman" w:hAnsi="Arial" w:cs="Arial"/>
          <w:color w:val="222222"/>
          <w:sz w:val="22"/>
          <w:bdr w:val="none" w:sz="0" w:space="0" w:color="auto" w:frame="1"/>
          <w:shd w:val="clear" w:color="auto" w:fill="FFFFFF"/>
          <w:lang w:val="es-ES_tradnl" w:eastAsia="es-ES_tradnl"/>
        </w:rPr>
        <w:t>que, en la actualidad</w:t>
      </w:r>
      <w:r w:rsidR="00D76E57" w:rsidRPr="006734CA">
        <w:rPr>
          <w:rFonts w:ascii="Arial" w:eastAsia="Times New Roman" w:hAnsi="Arial" w:cs="Arial"/>
          <w:color w:val="222222"/>
          <w:sz w:val="22"/>
          <w:bdr w:val="none" w:sz="0" w:space="0" w:color="auto" w:frame="1"/>
          <w:shd w:val="clear" w:color="auto" w:fill="FFFFFF"/>
          <w:lang w:val="es-ES_tradnl" w:eastAsia="es-ES_tradnl"/>
        </w:rPr>
        <w:t>,</w:t>
      </w:r>
      <w:r w:rsidRPr="006734CA">
        <w:rPr>
          <w:rFonts w:ascii="Arial" w:eastAsia="Times New Roman" w:hAnsi="Arial" w:cs="Arial"/>
          <w:color w:val="222222"/>
          <w:sz w:val="22"/>
          <w:bdr w:val="none" w:sz="0" w:space="0" w:color="auto" w:frame="1"/>
          <w:shd w:val="clear" w:color="auto" w:fill="FFFFFF"/>
          <w:lang w:val="es-ES_tradnl" w:eastAsia="es-ES_tradnl"/>
        </w:rPr>
        <w:t xml:space="preserve"> el SECOP I es un módulo meramente informativo que no permite el registro de proveedores de manera virtual, mientras que el SECOP II constituye el módulo correspondiente a ingreso de la información prevista en la normativa </w:t>
      </w:r>
      <w:r w:rsidR="00DC22C6" w:rsidRPr="006734CA">
        <w:rPr>
          <w:rFonts w:ascii="Arial" w:eastAsia="Times New Roman" w:hAnsi="Arial" w:cs="Arial"/>
          <w:color w:val="222222"/>
          <w:sz w:val="22"/>
          <w:bdr w:val="none" w:sz="0" w:space="0" w:color="auto" w:frame="1"/>
          <w:shd w:val="clear" w:color="auto" w:fill="FFFFFF"/>
          <w:lang w:val="es-ES_tradnl" w:eastAsia="es-ES_tradnl"/>
        </w:rPr>
        <w:t xml:space="preserve">general </w:t>
      </w:r>
      <w:r w:rsidRPr="006734CA">
        <w:rPr>
          <w:rFonts w:ascii="Arial" w:eastAsia="Times New Roman" w:hAnsi="Arial" w:cs="Arial"/>
          <w:color w:val="222222"/>
          <w:sz w:val="22"/>
          <w:bdr w:val="none" w:sz="0" w:space="0" w:color="auto" w:frame="1"/>
          <w:shd w:val="clear" w:color="auto" w:fill="FFFFFF"/>
          <w:lang w:val="es-ES_tradnl" w:eastAsia="es-ES_tradnl"/>
        </w:rPr>
        <w:t xml:space="preserve">de contratación estatal. Adicionalmente, la Agencia Nacional de Contratación Pública – Colombia Compra Eficiente, en su calidad de administradora del </w:t>
      </w:r>
      <w:r w:rsidR="00DC22C6" w:rsidRPr="006734CA">
        <w:rPr>
          <w:rFonts w:ascii="Arial" w:eastAsia="Times New Roman" w:hAnsi="Arial" w:cs="Arial"/>
          <w:color w:val="222222"/>
          <w:sz w:val="22"/>
          <w:bdr w:val="none" w:sz="0" w:space="0" w:color="auto" w:frame="1"/>
          <w:shd w:val="clear" w:color="auto" w:fill="FFFFFF"/>
          <w:lang w:val="es-ES_tradnl" w:eastAsia="es-ES_tradnl"/>
        </w:rPr>
        <w:t>Sistema</w:t>
      </w:r>
      <w:r w:rsidRPr="006734CA">
        <w:rPr>
          <w:rFonts w:ascii="Arial" w:eastAsia="Times New Roman" w:hAnsi="Arial" w:cs="Arial"/>
          <w:color w:val="222222"/>
          <w:sz w:val="22"/>
          <w:bdr w:val="none" w:sz="0" w:space="0" w:color="auto" w:frame="1"/>
          <w:shd w:val="clear" w:color="auto" w:fill="FFFFFF"/>
          <w:lang w:val="es-ES_tradnl" w:eastAsia="es-ES_tradnl"/>
        </w:rPr>
        <w:t xml:space="preserve"> Electrónico para la Contratación Pública, indicó expresamente a través de la Circular Externa No. 1 de 2019 que los procesos de contratación entre todas las entidades del Estado colombiano y las ESAL deben ser tramitadas a través del SECOP II, empleando para tal fin el módulo de régimen especial. </w:t>
      </w:r>
    </w:p>
    <w:p w14:paraId="61266AF2" w14:textId="7652534F" w:rsidR="008A37D8" w:rsidRPr="006734CA" w:rsidRDefault="008A37D8" w:rsidP="006734CA">
      <w:pPr>
        <w:shd w:val="clear" w:color="auto" w:fill="FFFFFF"/>
        <w:spacing w:before="120" w:line="276" w:lineRule="auto"/>
        <w:ind w:firstLine="709"/>
        <w:jc w:val="both"/>
        <w:rPr>
          <w:rFonts w:ascii="Arial" w:eastAsia="Times New Roman" w:hAnsi="Arial" w:cs="Arial"/>
          <w:color w:val="222222"/>
          <w:sz w:val="22"/>
          <w:bdr w:val="none" w:sz="0" w:space="0" w:color="auto" w:frame="1"/>
          <w:shd w:val="clear" w:color="auto" w:fill="FFFFFF"/>
          <w:lang w:val="es-ES_tradnl" w:eastAsia="es-ES_tradnl"/>
        </w:rPr>
      </w:pPr>
      <w:r w:rsidRPr="006734CA">
        <w:rPr>
          <w:rFonts w:ascii="Arial" w:eastAsia="Times New Roman" w:hAnsi="Arial" w:cs="Arial"/>
          <w:color w:val="222222"/>
          <w:sz w:val="22"/>
          <w:bdr w:val="none" w:sz="0" w:space="0" w:color="auto" w:frame="1"/>
          <w:shd w:val="clear" w:color="auto" w:fill="FFFFFF"/>
          <w:lang w:val="es-ES_tradnl" w:eastAsia="es-ES_tradnl"/>
        </w:rPr>
        <w:t xml:space="preserve">De esta manera, atendiendo a lo dispuesto en los artículos séptimo y noveno del Decreto 092 de 2017 en consonancia con las directrices impartidas a través de la Circular Externa No. 1 de 2019, se concluye que los procesos precontractuales y contractuales surgidos en virtud del Decreto 092 de 2017 deben tramitarse a través de la plataforma SECOP II. </w:t>
      </w:r>
    </w:p>
    <w:p w14:paraId="203243C1" w14:textId="435E0E6B" w:rsidR="008A37D8" w:rsidRPr="006734CA" w:rsidRDefault="008A37D8" w:rsidP="008A37D8">
      <w:pPr>
        <w:spacing w:line="276" w:lineRule="auto"/>
        <w:jc w:val="both"/>
        <w:rPr>
          <w:rFonts w:ascii="Arial" w:eastAsia="Times New Roman" w:hAnsi="Arial" w:cs="Arial"/>
          <w:color w:val="222222"/>
          <w:sz w:val="22"/>
          <w:bdr w:val="none" w:sz="0" w:space="0" w:color="auto" w:frame="1"/>
          <w:shd w:val="clear" w:color="auto" w:fill="FFFFFF"/>
          <w:lang w:val="es-ES_tradnl" w:eastAsia="es-ES_tradnl"/>
        </w:rPr>
      </w:pPr>
    </w:p>
    <w:p w14:paraId="66CE4DD8" w14:textId="00FA5F9A" w:rsidR="00BE1E33" w:rsidRPr="006734CA" w:rsidRDefault="00BE1E33" w:rsidP="008A37D8">
      <w:pPr>
        <w:spacing w:line="276" w:lineRule="auto"/>
        <w:jc w:val="both"/>
        <w:rPr>
          <w:rFonts w:ascii="Arial" w:eastAsia="Times New Roman" w:hAnsi="Arial" w:cs="Arial"/>
          <w:color w:val="222222"/>
          <w:sz w:val="22"/>
          <w:bdr w:val="none" w:sz="0" w:space="0" w:color="auto" w:frame="1"/>
          <w:shd w:val="clear" w:color="auto" w:fill="FFFFFF"/>
          <w:lang w:val="es-ES_tradnl" w:eastAsia="es-ES_tradnl"/>
        </w:rPr>
      </w:pPr>
      <w:r w:rsidRPr="006734CA">
        <w:rPr>
          <w:rFonts w:ascii="Arial" w:eastAsia="Times New Roman" w:hAnsi="Arial" w:cs="Arial"/>
          <w:color w:val="222222"/>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138D33A2" w14:textId="77777777" w:rsidR="00BE1E33" w:rsidRPr="006734CA" w:rsidRDefault="00BE1E33" w:rsidP="00BE1E33">
      <w:pPr>
        <w:ind w:firstLine="709"/>
        <w:jc w:val="both"/>
        <w:rPr>
          <w:rFonts w:ascii="Arial" w:eastAsia="Calibri" w:hAnsi="Arial" w:cs="Arial"/>
          <w:color w:val="000000" w:themeColor="text1"/>
          <w:sz w:val="22"/>
          <w:lang w:val="es-ES_tradnl"/>
        </w:rPr>
      </w:pPr>
    </w:p>
    <w:p w14:paraId="2B02915D" w14:textId="77777777" w:rsidR="00BE1E33" w:rsidRPr="006734CA" w:rsidRDefault="00BE1E33" w:rsidP="00BE1E33">
      <w:pPr>
        <w:jc w:val="both"/>
        <w:rPr>
          <w:rFonts w:ascii="Arial" w:eastAsia="Times New Roman" w:hAnsi="Arial" w:cs="Arial"/>
          <w:color w:val="000000" w:themeColor="text1"/>
          <w:sz w:val="22"/>
          <w:lang w:val="es-ES_tradnl" w:eastAsia="es-CO"/>
        </w:rPr>
      </w:pPr>
      <w:r w:rsidRPr="006734CA">
        <w:rPr>
          <w:rFonts w:ascii="Arial" w:eastAsia="Times New Roman" w:hAnsi="Arial" w:cs="Arial"/>
          <w:color w:val="000000" w:themeColor="text1"/>
          <w:sz w:val="22"/>
          <w:lang w:val="es-ES_tradnl" w:eastAsia="es-CO"/>
        </w:rPr>
        <w:t>Atentamente,</w:t>
      </w:r>
    </w:p>
    <w:bookmarkEnd w:id="0"/>
    <w:bookmarkEnd w:id="1"/>
    <w:p w14:paraId="1C8F6984" w14:textId="53100FDA" w:rsidR="00BE1E33" w:rsidRPr="006734CA" w:rsidRDefault="00BE1E33" w:rsidP="00BE1E33">
      <w:pPr>
        <w:jc w:val="center"/>
        <w:rPr>
          <w:rFonts w:ascii="Arial" w:eastAsia="Times New Roman" w:hAnsi="Arial" w:cs="Arial"/>
          <w:color w:val="000000" w:themeColor="text1"/>
          <w:sz w:val="18"/>
          <w:szCs w:val="20"/>
          <w:lang w:val="es-ES_tradnl" w:eastAsia="es-CO"/>
        </w:rPr>
      </w:pPr>
    </w:p>
    <w:p w14:paraId="5598544B" w14:textId="1939C201" w:rsidR="006D31E1" w:rsidRPr="006734CA" w:rsidRDefault="00546BE0" w:rsidP="00BE1E33">
      <w:pPr>
        <w:jc w:val="center"/>
        <w:rPr>
          <w:rFonts w:ascii="Arial" w:eastAsia="Times New Roman" w:hAnsi="Arial" w:cs="Arial"/>
          <w:color w:val="000000" w:themeColor="text1"/>
          <w:sz w:val="18"/>
          <w:szCs w:val="20"/>
          <w:lang w:val="es-ES_tradnl" w:eastAsia="es-CO"/>
        </w:rPr>
      </w:pPr>
      <w:r w:rsidRPr="0007099C">
        <w:rPr>
          <w:rFonts w:ascii="Arial" w:hAnsi="Arial" w:cs="Arial"/>
          <w:noProof/>
          <w:color w:val="000000" w:themeColor="text1"/>
          <w:sz w:val="22"/>
          <w:lang w:val="es-ES_tradnl"/>
        </w:rPr>
        <w:drawing>
          <wp:inline distT="0" distB="0" distL="0" distR="0" wp14:anchorId="57D46200" wp14:editId="09C07857">
            <wp:extent cx="3278990" cy="145318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3278990" cy="1453189"/>
                    </a:xfrm>
                    <a:prstGeom prst="rect">
                      <a:avLst/>
                    </a:prstGeom>
                  </pic:spPr>
                </pic:pic>
              </a:graphicData>
            </a:graphic>
          </wp:inline>
        </w:drawing>
      </w:r>
      <w:r w:rsidR="00346F88" w:rsidRPr="006734CA">
        <w:rPr>
          <w:rFonts w:ascii="Arial" w:hAnsi="Arial" w:cs="Arial"/>
          <w:color w:val="D13438"/>
          <w:sz w:val="18"/>
          <w:szCs w:val="18"/>
          <w:shd w:val="clear" w:color="auto" w:fill="FFFFFF"/>
          <w:lang w:val="es-ES_tradnl"/>
        </w:rPr>
        <w:br/>
      </w:r>
    </w:p>
    <w:p w14:paraId="724B0300" w14:textId="77777777" w:rsidR="00730CDB" w:rsidRPr="006734CA" w:rsidRDefault="00730CDB" w:rsidP="00BE1E33">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6B6339" w14:paraId="7E5CB93D" w14:textId="77777777" w:rsidTr="004101BC">
        <w:trPr>
          <w:trHeight w:val="315"/>
        </w:trPr>
        <w:tc>
          <w:tcPr>
            <w:tcW w:w="812" w:type="dxa"/>
            <w:vAlign w:val="center"/>
            <w:hideMark/>
          </w:tcPr>
          <w:p w14:paraId="44CFA06E" w14:textId="77777777" w:rsidR="00BE1E33" w:rsidRPr="006734CA" w:rsidRDefault="00BE1E33" w:rsidP="004101BC">
            <w:pPr>
              <w:rPr>
                <w:rFonts w:ascii="Arial" w:eastAsia="Times New Roman" w:hAnsi="Arial" w:cs="Arial"/>
                <w:color w:val="000000" w:themeColor="text1"/>
                <w:sz w:val="16"/>
                <w:szCs w:val="16"/>
                <w:lang w:val="es-ES_tradnl" w:eastAsia="es-ES"/>
              </w:rPr>
            </w:pPr>
            <w:r w:rsidRPr="006734CA">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6734CA" w:rsidRDefault="00346F88" w:rsidP="004101BC">
            <w:pPr>
              <w:rPr>
                <w:rFonts w:ascii="Arial" w:eastAsia="Times New Roman" w:hAnsi="Arial" w:cs="Arial"/>
                <w:color w:val="000000" w:themeColor="text1"/>
                <w:sz w:val="16"/>
                <w:szCs w:val="16"/>
                <w:lang w:val="es-ES_tradnl" w:eastAsia="es-ES"/>
              </w:rPr>
            </w:pPr>
            <w:r w:rsidRPr="006734CA">
              <w:rPr>
                <w:rFonts w:ascii="Arial" w:eastAsia="Times New Roman" w:hAnsi="Arial" w:cs="Arial"/>
                <w:color w:val="000000" w:themeColor="text1"/>
                <w:sz w:val="16"/>
                <w:szCs w:val="16"/>
                <w:lang w:val="es-ES_tradnl" w:eastAsia="es-ES"/>
              </w:rPr>
              <w:t>Guillermo Escolar Flórez</w:t>
            </w:r>
          </w:p>
          <w:p w14:paraId="6C4A6DA1" w14:textId="5897BB3C" w:rsidR="00982E99" w:rsidRPr="006734CA" w:rsidRDefault="00982E99" w:rsidP="004101BC">
            <w:pPr>
              <w:rPr>
                <w:rFonts w:ascii="Arial" w:eastAsia="Times New Roman" w:hAnsi="Arial" w:cs="Arial"/>
                <w:color w:val="000000" w:themeColor="text1"/>
                <w:sz w:val="16"/>
                <w:szCs w:val="16"/>
                <w:lang w:val="es-ES_tradnl" w:eastAsia="es-ES"/>
              </w:rPr>
            </w:pPr>
            <w:r w:rsidRPr="006734CA">
              <w:rPr>
                <w:rFonts w:ascii="Arial" w:eastAsia="Times New Roman" w:hAnsi="Arial" w:cs="Arial"/>
                <w:color w:val="000000" w:themeColor="text1"/>
                <w:sz w:val="16"/>
                <w:szCs w:val="16"/>
                <w:lang w:val="es-ES_tradnl" w:eastAsia="es-ES"/>
              </w:rPr>
              <w:t>Contratista de la Subdirección de Gestión Contractual</w:t>
            </w:r>
          </w:p>
        </w:tc>
      </w:tr>
      <w:tr w:rsidR="003F6D32" w:rsidRPr="006B6339" w14:paraId="092BCD16" w14:textId="77777777" w:rsidTr="004101BC">
        <w:trPr>
          <w:trHeight w:val="330"/>
        </w:trPr>
        <w:tc>
          <w:tcPr>
            <w:tcW w:w="812" w:type="dxa"/>
            <w:vAlign w:val="center"/>
            <w:hideMark/>
          </w:tcPr>
          <w:p w14:paraId="463B4DD3" w14:textId="77777777" w:rsidR="00BE1E33" w:rsidRPr="006734CA" w:rsidRDefault="00BE1E33" w:rsidP="004101BC">
            <w:pPr>
              <w:rPr>
                <w:rFonts w:ascii="Arial" w:eastAsia="Times New Roman" w:hAnsi="Arial" w:cs="Arial"/>
                <w:color w:val="000000" w:themeColor="text1"/>
                <w:sz w:val="16"/>
                <w:szCs w:val="16"/>
                <w:lang w:val="es-ES_tradnl" w:eastAsia="es-ES"/>
              </w:rPr>
            </w:pPr>
            <w:r w:rsidRPr="006734CA">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22A02073" w:rsidR="00730CDB" w:rsidRPr="006734CA" w:rsidRDefault="00346F88" w:rsidP="00730CDB">
            <w:pPr>
              <w:rPr>
                <w:rFonts w:ascii="Arial" w:eastAsia="Times New Roman" w:hAnsi="Arial" w:cs="Arial"/>
                <w:color w:val="000000" w:themeColor="text1"/>
                <w:sz w:val="16"/>
                <w:szCs w:val="16"/>
                <w:lang w:val="es-ES_tradnl" w:eastAsia="es-ES"/>
              </w:rPr>
            </w:pPr>
            <w:r w:rsidRPr="006734CA">
              <w:rPr>
                <w:rFonts w:ascii="Arial" w:eastAsia="Times New Roman" w:hAnsi="Arial" w:cs="Arial"/>
                <w:color w:val="000000" w:themeColor="text1"/>
                <w:sz w:val="16"/>
                <w:szCs w:val="16"/>
                <w:lang w:val="es-ES_tradnl" w:eastAsia="es-ES"/>
              </w:rPr>
              <w:t>Cristian Andrés Díaz Díez</w:t>
            </w:r>
          </w:p>
          <w:p w14:paraId="72718C99" w14:textId="48D2148C" w:rsidR="00BE1E33" w:rsidRPr="006734CA" w:rsidRDefault="00346F88" w:rsidP="00730CDB">
            <w:pPr>
              <w:rPr>
                <w:rFonts w:ascii="Arial" w:eastAsia="Times New Roman" w:hAnsi="Arial" w:cs="Arial"/>
                <w:color w:val="000000" w:themeColor="text1"/>
                <w:sz w:val="16"/>
                <w:szCs w:val="16"/>
                <w:lang w:val="es-ES_tradnl" w:eastAsia="es-ES"/>
              </w:rPr>
            </w:pPr>
            <w:r w:rsidRPr="006734CA">
              <w:rPr>
                <w:rFonts w:ascii="Arial" w:eastAsia="Times New Roman" w:hAnsi="Arial" w:cs="Arial"/>
                <w:color w:val="000000" w:themeColor="text1"/>
                <w:sz w:val="16"/>
                <w:szCs w:val="16"/>
                <w:lang w:val="es-ES_tradnl" w:eastAsia="es-ES"/>
              </w:rPr>
              <w:t>Contratista de la Subdirección de Gestión Contractual</w:t>
            </w:r>
          </w:p>
        </w:tc>
      </w:tr>
      <w:tr w:rsidR="00982E99" w:rsidRPr="006B6339" w14:paraId="57DAFEF9" w14:textId="77777777" w:rsidTr="004101BC">
        <w:trPr>
          <w:trHeight w:val="300"/>
        </w:trPr>
        <w:tc>
          <w:tcPr>
            <w:tcW w:w="812" w:type="dxa"/>
            <w:vAlign w:val="center"/>
            <w:hideMark/>
          </w:tcPr>
          <w:p w14:paraId="70677013" w14:textId="77777777" w:rsidR="00BE1E33" w:rsidRPr="006734CA" w:rsidRDefault="00BE1E33" w:rsidP="004101BC">
            <w:pPr>
              <w:rPr>
                <w:rFonts w:ascii="Arial" w:eastAsia="Times New Roman" w:hAnsi="Arial" w:cs="Arial"/>
                <w:color w:val="000000" w:themeColor="text1"/>
                <w:sz w:val="16"/>
                <w:szCs w:val="16"/>
                <w:lang w:val="es-ES_tradnl" w:eastAsia="es-ES"/>
              </w:rPr>
            </w:pPr>
            <w:r w:rsidRPr="006734CA">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6734CA" w:rsidRDefault="00346F88" w:rsidP="004101BC">
            <w:pPr>
              <w:rPr>
                <w:rFonts w:ascii="Arial" w:eastAsia="Times New Roman" w:hAnsi="Arial" w:cs="Arial"/>
                <w:color w:val="000000" w:themeColor="text1"/>
                <w:sz w:val="16"/>
                <w:szCs w:val="16"/>
                <w:lang w:val="es-ES_tradnl" w:eastAsia="es-ES"/>
              </w:rPr>
            </w:pPr>
            <w:r w:rsidRPr="006734CA">
              <w:rPr>
                <w:rFonts w:ascii="Arial" w:eastAsia="Times New Roman" w:hAnsi="Arial" w:cs="Arial"/>
                <w:color w:val="000000" w:themeColor="text1"/>
                <w:sz w:val="16"/>
                <w:szCs w:val="16"/>
                <w:lang w:val="es-ES_tradnl" w:eastAsia="es-ES"/>
              </w:rPr>
              <w:t>Jorge Augusto Tirado Navarro</w:t>
            </w:r>
          </w:p>
          <w:p w14:paraId="75BC677C" w14:textId="76A38807" w:rsidR="00BE1E33" w:rsidRPr="006734CA" w:rsidRDefault="00346F88" w:rsidP="004101BC">
            <w:pPr>
              <w:rPr>
                <w:rFonts w:ascii="Arial" w:eastAsia="Times New Roman" w:hAnsi="Arial" w:cs="Arial"/>
                <w:color w:val="000000" w:themeColor="text1"/>
                <w:sz w:val="16"/>
                <w:szCs w:val="16"/>
                <w:lang w:val="es-ES_tradnl" w:eastAsia="es-ES"/>
              </w:rPr>
            </w:pPr>
            <w:r w:rsidRPr="006734CA">
              <w:rPr>
                <w:rFonts w:ascii="Arial" w:eastAsia="Times New Roman" w:hAnsi="Arial" w:cs="Arial"/>
                <w:color w:val="000000" w:themeColor="text1"/>
                <w:sz w:val="16"/>
                <w:szCs w:val="16"/>
                <w:lang w:val="es-ES_tradnl" w:eastAsia="es-ES"/>
              </w:rPr>
              <w:t>Subdirector de Gestión Contractual</w:t>
            </w:r>
          </w:p>
        </w:tc>
      </w:tr>
    </w:tbl>
    <w:p w14:paraId="085A31AB" w14:textId="77777777" w:rsidR="006C5955" w:rsidRPr="006734CA" w:rsidRDefault="006C5955" w:rsidP="00BE1E33">
      <w:pPr>
        <w:rPr>
          <w:color w:val="000000" w:themeColor="text1"/>
          <w:lang w:val="es-ES_tradnl"/>
        </w:rPr>
      </w:pPr>
    </w:p>
    <w:sectPr w:rsidR="006C5955" w:rsidRPr="006734CA"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D3D9E" w14:textId="77777777" w:rsidR="00487ADF" w:rsidRDefault="00487ADF" w:rsidP="008C487C">
      <w:r>
        <w:separator/>
      </w:r>
    </w:p>
  </w:endnote>
  <w:endnote w:type="continuationSeparator" w:id="0">
    <w:p w14:paraId="3BFD9C52" w14:textId="77777777" w:rsidR="00487ADF" w:rsidRDefault="00487ADF"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8217B7" w:rsidRDefault="00B2594C"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77777777"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9047C5" w:rsidRDefault="008C487C" w:rsidP="0032293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22937" w:rsidRPr="00E756AC" w:rsidRDefault="00B2594C" w:rsidP="007B0854">
    <w:pPr>
      <w:pStyle w:val="Piedepgina"/>
      <w:jc w:val="center"/>
      <w:rPr>
        <w:sz w:val="18"/>
        <w:szCs w:val="18"/>
        <w:lang w:val="es-ES"/>
      </w:rPr>
    </w:pPr>
  </w:p>
  <w:p w14:paraId="428179B1" w14:textId="77777777" w:rsidR="004A34D2" w:rsidRPr="00E756AC" w:rsidRDefault="00B2594C"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13C57" w14:textId="77777777" w:rsidR="00487ADF" w:rsidRDefault="00487ADF" w:rsidP="008C487C">
      <w:r>
        <w:separator/>
      </w:r>
    </w:p>
  </w:footnote>
  <w:footnote w:type="continuationSeparator" w:id="0">
    <w:p w14:paraId="6F87C8B7" w14:textId="77777777" w:rsidR="00487ADF" w:rsidRDefault="00487ADF" w:rsidP="008C487C">
      <w:r>
        <w:continuationSeparator/>
      </w:r>
    </w:p>
  </w:footnote>
  <w:footnote w:id="1">
    <w:p w14:paraId="285886E3" w14:textId="6002A050" w:rsidR="008840CA" w:rsidRDefault="008840CA" w:rsidP="0083350D">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Pr="006734CA">
        <w:rPr>
          <w:rFonts w:ascii="Arial" w:hAnsi="Arial" w:cs="Arial"/>
          <w:sz w:val="19"/>
          <w:szCs w:val="19"/>
          <w:lang w:val="es-CO"/>
        </w:rPr>
        <w:t xml:space="preserve">Decreto 092 de 2017, artículos segundo y cuarto. </w:t>
      </w:r>
    </w:p>
    <w:p w14:paraId="5FCD0968" w14:textId="77777777" w:rsidR="0083350D" w:rsidRPr="006734CA" w:rsidRDefault="0083350D" w:rsidP="006734CA">
      <w:pPr>
        <w:pStyle w:val="Textonotapie"/>
        <w:ind w:firstLine="709"/>
        <w:jc w:val="both"/>
        <w:rPr>
          <w:rFonts w:ascii="Arial" w:hAnsi="Arial" w:cs="Arial"/>
          <w:sz w:val="19"/>
          <w:szCs w:val="19"/>
          <w:lang w:val="es-CO"/>
        </w:rPr>
      </w:pPr>
    </w:p>
  </w:footnote>
  <w:footnote w:id="2">
    <w:p w14:paraId="4EC0F46E" w14:textId="57EECDA5" w:rsidR="003750DA" w:rsidRDefault="003750DA" w:rsidP="0083350D">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Pr="006734CA">
        <w:rPr>
          <w:rFonts w:ascii="Arial" w:hAnsi="Arial" w:cs="Arial"/>
          <w:sz w:val="19"/>
          <w:szCs w:val="19"/>
          <w:lang w:val="es-CO"/>
        </w:rPr>
        <w:t>Agencia Nacional de Contratación Pública – Colombia Compra Eficiente, Concepto del 19 de noviembre de 2019, emitido dentro de la consulta identificada con el radicado número 1201913000001574.</w:t>
      </w:r>
    </w:p>
    <w:p w14:paraId="7F541E3C" w14:textId="77777777" w:rsidR="0083350D" w:rsidRPr="006734CA" w:rsidRDefault="0083350D" w:rsidP="006734CA">
      <w:pPr>
        <w:pStyle w:val="Textonotapie"/>
        <w:ind w:firstLine="709"/>
        <w:jc w:val="both"/>
        <w:rPr>
          <w:rFonts w:ascii="Arial" w:hAnsi="Arial" w:cs="Arial"/>
          <w:sz w:val="19"/>
          <w:szCs w:val="19"/>
          <w:lang w:val="es-CO"/>
        </w:rPr>
      </w:pPr>
    </w:p>
  </w:footnote>
  <w:footnote w:id="3">
    <w:p w14:paraId="73DDD95D" w14:textId="541D3C98" w:rsidR="005029C2" w:rsidRPr="006734CA" w:rsidRDefault="005029C2" w:rsidP="006734CA">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003750DA" w:rsidRPr="006734CA">
        <w:rPr>
          <w:rFonts w:ascii="Arial" w:hAnsi="Arial" w:cs="Arial"/>
          <w:sz w:val="19"/>
          <w:szCs w:val="19"/>
          <w:lang w:val="es-CO"/>
        </w:rPr>
        <w:t>Agencia Nacional de Contratación Pública – Colombia Compra Eficiente, Concepto C – 223 de 2020.</w:t>
      </w:r>
    </w:p>
  </w:footnote>
  <w:footnote w:id="4">
    <w:p w14:paraId="3E55D86B" w14:textId="61340272" w:rsidR="003750DA" w:rsidRPr="006734CA" w:rsidRDefault="003750DA" w:rsidP="006734CA">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Pr="006734CA">
        <w:rPr>
          <w:rFonts w:ascii="Arial" w:hAnsi="Arial" w:cs="Arial"/>
          <w:sz w:val="19"/>
          <w:szCs w:val="19"/>
          <w:lang w:val="es-CO"/>
        </w:rPr>
        <w:t>Para tal efecto, es posible remitirse, entre otros, a los conceptos números 2201913000005381 del 09 de agosto de 2019; 4201913000005551 del 15 agosto de 2019; 2201912000005823 del 27 de agosto de 2019 y 4201912000007050 del 12 de diciembre de 2019</w:t>
      </w:r>
      <w:r w:rsidR="008A37D8" w:rsidRPr="006734CA">
        <w:rPr>
          <w:rFonts w:ascii="Arial" w:hAnsi="Arial" w:cs="Arial"/>
          <w:sz w:val="19"/>
          <w:szCs w:val="19"/>
          <w:lang w:val="es-CO"/>
        </w:rPr>
        <w:t>.</w:t>
      </w:r>
    </w:p>
  </w:footnote>
  <w:footnote w:id="5">
    <w:p w14:paraId="2F4FB526" w14:textId="39F4517B" w:rsidR="005A3EDE" w:rsidRPr="006734CA" w:rsidRDefault="005A3EDE" w:rsidP="006734CA">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Pr="006734CA">
        <w:rPr>
          <w:rFonts w:ascii="Arial" w:hAnsi="Arial" w:cs="Arial"/>
          <w:sz w:val="19"/>
          <w:szCs w:val="19"/>
          <w:lang w:val="es-CO"/>
        </w:rPr>
        <w:t>Agencia Nacional de Contratación Pública – Colombia Compra Eficiente, Concepto de 12 de diciembre de 2019, proferido en el marco de la consulta radicada con el número 4201912000007050.</w:t>
      </w:r>
    </w:p>
  </w:footnote>
  <w:footnote w:id="6">
    <w:p w14:paraId="13BED53B" w14:textId="016EA701" w:rsidR="005A3EDE" w:rsidRPr="006734CA" w:rsidRDefault="005A3EDE" w:rsidP="006734CA">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Pr="006734CA">
        <w:rPr>
          <w:rFonts w:ascii="Arial" w:hAnsi="Arial" w:cs="Arial"/>
          <w:sz w:val="19"/>
          <w:szCs w:val="19"/>
          <w:lang w:val="es-CO"/>
        </w:rPr>
        <w:t xml:space="preserve">Agencia Nacional de Contratación Pública – Colombia Compra Eficiente, Concepto C – </w:t>
      </w:r>
      <w:r w:rsidR="0023774F" w:rsidRPr="006734CA">
        <w:rPr>
          <w:rFonts w:ascii="Arial" w:hAnsi="Arial" w:cs="Arial"/>
          <w:sz w:val="19"/>
          <w:szCs w:val="19"/>
          <w:lang w:val="es-CO"/>
        </w:rPr>
        <w:t>575</w:t>
      </w:r>
      <w:r w:rsidRPr="006734CA">
        <w:rPr>
          <w:rFonts w:ascii="Arial" w:hAnsi="Arial" w:cs="Arial"/>
          <w:sz w:val="19"/>
          <w:szCs w:val="19"/>
          <w:lang w:val="es-CO"/>
        </w:rPr>
        <w:t xml:space="preserve"> de 2020</w:t>
      </w:r>
      <w:r w:rsidR="0023774F" w:rsidRPr="006734CA">
        <w:rPr>
          <w:rFonts w:ascii="Arial" w:hAnsi="Arial" w:cs="Arial"/>
          <w:sz w:val="19"/>
          <w:szCs w:val="19"/>
          <w:lang w:val="es-CO"/>
        </w:rPr>
        <w:t>.</w:t>
      </w:r>
    </w:p>
  </w:footnote>
  <w:footnote w:id="7">
    <w:p w14:paraId="2190E0D7" w14:textId="6A8F1780" w:rsidR="00160AB9" w:rsidRDefault="00160AB9" w:rsidP="0083350D">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Pr="006734CA">
        <w:rPr>
          <w:rFonts w:ascii="Arial" w:hAnsi="Arial" w:cs="Arial"/>
          <w:sz w:val="19"/>
          <w:szCs w:val="19"/>
          <w:lang w:val="es-CO"/>
        </w:rPr>
        <w:t xml:space="preserve">Decreto 092 de 2017, Artículo noveno. </w:t>
      </w:r>
    </w:p>
    <w:p w14:paraId="0E8581D7" w14:textId="77777777" w:rsidR="006E63F1" w:rsidRPr="006734CA" w:rsidRDefault="006E63F1" w:rsidP="006734CA">
      <w:pPr>
        <w:pStyle w:val="Textonotapie"/>
        <w:ind w:firstLine="709"/>
        <w:jc w:val="both"/>
        <w:rPr>
          <w:rFonts w:ascii="Arial" w:hAnsi="Arial" w:cs="Arial"/>
          <w:sz w:val="19"/>
          <w:szCs w:val="19"/>
          <w:lang w:val="es-CO"/>
        </w:rPr>
      </w:pPr>
    </w:p>
  </w:footnote>
  <w:footnote w:id="8">
    <w:p w14:paraId="4BF1580B" w14:textId="540F483B" w:rsidR="0091627F" w:rsidRPr="006734CA" w:rsidRDefault="0091627F" w:rsidP="006734CA">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Pr="006734CA">
        <w:rPr>
          <w:rFonts w:ascii="Arial" w:hAnsi="Arial" w:cs="Arial"/>
          <w:sz w:val="19"/>
          <w:szCs w:val="19"/>
          <w:lang w:val="es-CO"/>
        </w:rPr>
        <w:t xml:space="preserve">Agencia Nacional de Contratación Pública – Colombia Compra Eficiente, </w:t>
      </w:r>
      <w:r w:rsidR="008A37D8" w:rsidRPr="006734CA">
        <w:rPr>
          <w:rFonts w:ascii="Arial" w:hAnsi="Arial" w:cs="Arial"/>
          <w:sz w:val="19"/>
          <w:szCs w:val="19"/>
          <w:lang w:val="es-CO"/>
        </w:rPr>
        <w:t xml:space="preserve">Circular Externa No. 1 de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B0854" w:rsidRDefault="008C487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5"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10D30"/>
    <w:rsid w:val="0003091B"/>
    <w:rsid w:val="000333A2"/>
    <w:rsid w:val="00040C88"/>
    <w:rsid w:val="00040D6E"/>
    <w:rsid w:val="00042C0C"/>
    <w:rsid w:val="00044FF2"/>
    <w:rsid w:val="00061EE4"/>
    <w:rsid w:val="00062B0D"/>
    <w:rsid w:val="0006519B"/>
    <w:rsid w:val="000707A0"/>
    <w:rsid w:val="00086A16"/>
    <w:rsid w:val="00093069"/>
    <w:rsid w:val="00097CD6"/>
    <w:rsid w:val="000A1DBA"/>
    <w:rsid w:val="000A6338"/>
    <w:rsid w:val="000B4552"/>
    <w:rsid w:val="000B4C69"/>
    <w:rsid w:val="000B4E6D"/>
    <w:rsid w:val="000C0E39"/>
    <w:rsid w:val="000D088F"/>
    <w:rsid w:val="000D2220"/>
    <w:rsid w:val="000E4A3C"/>
    <w:rsid w:val="000E6867"/>
    <w:rsid w:val="001056C0"/>
    <w:rsid w:val="00107607"/>
    <w:rsid w:val="00112597"/>
    <w:rsid w:val="001321AB"/>
    <w:rsid w:val="00135E98"/>
    <w:rsid w:val="00137B0D"/>
    <w:rsid w:val="00140E57"/>
    <w:rsid w:val="00141C64"/>
    <w:rsid w:val="0014462B"/>
    <w:rsid w:val="00147E4A"/>
    <w:rsid w:val="00160AB9"/>
    <w:rsid w:val="00164E79"/>
    <w:rsid w:val="00173047"/>
    <w:rsid w:val="0017603D"/>
    <w:rsid w:val="00181A3E"/>
    <w:rsid w:val="00182BF2"/>
    <w:rsid w:val="00190B79"/>
    <w:rsid w:val="00190F26"/>
    <w:rsid w:val="00192084"/>
    <w:rsid w:val="00194C50"/>
    <w:rsid w:val="001A6A98"/>
    <w:rsid w:val="001B2E5D"/>
    <w:rsid w:val="001B5D63"/>
    <w:rsid w:val="001C4850"/>
    <w:rsid w:val="001E4AEB"/>
    <w:rsid w:val="001E5DBB"/>
    <w:rsid w:val="001F1051"/>
    <w:rsid w:val="001F34A8"/>
    <w:rsid w:val="002034AD"/>
    <w:rsid w:val="002218CE"/>
    <w:rsid w:val="002239B4"/>
    <w:rsid w:val="0023180C"/>
    <w:rsid w:val="00234C6C"/>
    <w:rsid w:val="0023774F"/>
    <w:rsid w:val="002511E0"/>
    <w:rsid w:val="00265031"/>
    <w:rsid w:val="00266277"/>
    <w:rsid w:val="0027329E"/>
    <w:rsid w:val="00274370"/>
    <w:rsid w:val="00284C12"/>
    <w:rsid w:val="00286834"/>
    <w:rsid w:val="002928EE"/>
    <w:rsid w:val="002B282F"/>
    <w:rsid w:val="002B4B30"/>
    <w:rsid w:val="002E7BC2"/>
    <w:rsid w:val="002F5479"/>
    <w:rsid w:val="002F63BB"/>
    <w:rsid w:val="002F701E"/>
    <w:rsid w:val="00302F9F"/>
    <w:rsid w:val="00304386"/>
    <w:rsid w:val="00325E03"/>
    <w:rsid w:val="003401FE"/>
    <w:rsid w:val="00340A7A"/>
    <w:rsid w:val="00346D80"/>
    <w:rsid w:val="00346F88"/>
    <w:rsid w:val="00351536"/>
    <w:rsid w:val="00360F9A"/>
    <w:rsid w:val="00371192"/>
    <w:rsid w:val="003750DA"/>
    <w:rsid w:val="00390DCF"/>
    <w:rsid w:val="003A0C33"/>
    <w:rsid w:val="003A2944"/>
    <w:rsid w:val="003B0DEF"/>
    <w:rsid w:val="003C2074"/>
    <w:rsid w:val="003C3ADB"/>
    <w:rsid w:val="003C5E88"/>
    <w:rsid w:val="003D11B5"/>
    <w:rsid w:val="003D134C"/>
    <w:rsid w:val="003D69A5"/>
    <w:rsid w:val="003E14F9"/>
    <w:rsid w:val="003F3119"/>
    <w:rsid w:val="003F3C60"/>
    <w:rsid w:val="003F4D44"/>
    <w:rsid w:val="003F6D32"/>
    <w:rsid w:val="00430B5A"/>
    <w:rsid w:val="00433B17"/>
    <w:rsid w:val="0044207D"/>
    <w:rsid w:val="00443937"/>
    <w:rsid w:val="00447FE5"/>
    <w:rsid w:val="004617B8"/>
    <w:rsid w:val="0046504E"/>
    <w:rsid w:val="004758FE"/>
    <w:rsid w:val="00481DE3"/>
    <w:rsid w:val="004830C8"/>
    <w:rsid w:val="004837AB"/>
    <w:rsid w:val="00483A2F"/>
    <w:rsid w:val="00487ADF"/>
    <w:rsid w:val="00490DBF"/>
    <w:rsid w:val="00494F12"/>
    <w:rsid w:val="004A6E34"/>
    <w:rsid w:val="004A6EE1"/>
    <w:rsid w:val="004B1BEE"/>
    <w:rsid w:val="004B22E7"/>
    <w:rsid w:val="004B2AB8"/>
    <w:rsid w:val="004D770C"/>
    <w:rsid w:val="004E3243"/>
    <w:rsid w:val="004E370E"/>
    <w:rsid w:val="004F4387"/>
    <w:rsid w:val="005029C2"/>
    <w:rsid w:val="00510BF5"/>
    <w:rsid w:val="00521BA7"/>
    <w:rsid w:val="005252E2"/>
    <w:rsid w:val="00546BE0"/>
    <w:rsid w:val="005511D5"/>
    <w:rsid w:val="00551564"/>
    <w:rsid w:val="00575DC6"/>
    <w:rsid w:val="00585FB5"/>
    <w:rsid w:val="00591586"/>
    <w:rsid w:val="005940B2"/>
    <w:rsid w:val="005A3EDE"/>
    <w:rsid w:val="005B6F36"/>
    <w:rsid w:val="005F5D19"/>
    <w:rsid w:val="005F6CBF"/>
    <w:rsid w:val="006062E0"/>
    <w:rsid w:val="006135E6"/>
    <w:rsid w:val="00632EA5"/>
    <w:rsid w:val="006550F8"/>
    <w:rsid w:val="0065701C"/>
    <w:rsid w:val="00661CE0"/>
    <w:rsid w:val="00662792"/>
    <w:rsid w:val="006734CA"/>
    <w:rsid w:val="006818B6"/>
    <w:rsid w:val="006824B8"/>
    <w:rsid w:val="006A7743"/>
    <w:rsid w:val="006B6339"/>
    <w:rsid w:val="006B6C6A"/>
    <w:rsid w:val="006C15D5"/>
    <w:rsid w:val="006C234F"/>
    <w:rsid w:val="006C3D0C"/>
    <w:rsid w:val="006C5955"/>
    <w:rsid w:val="006D31E1"/>
    <w:rsid w:val="006D519D"/>
    <w:rsid w:val="006E63F1"/>
    <w:rsid w:val="006F39D0"/>
    <w:rsid w:val="006F7746"/>
    <w:rsid w:val="00711157"/>
    <w:rsid w:val="00715B7E"/>
    <w:rsid w:val="00730CDB"/>
    <w:rsid w:val="00736C89"/>
    <w:rsid w:val="00745744"/>
    <w:rsid w:val="007462F1"/>
    <w:rsid w:val="0075032A"/>
    <w:rsid w:val="007708B1"/>
    <w:rsid w:val="00770D7D"/>
    <w:rsid w:val="00772497"/>
    <w:rsid w:val="00784474"/>
    <w:rsid w:val="00791377"/>
    <w:rsid w:val="007D62C7"/>
    <w:rsid w:val="007E10EB"/>
    <w:rsid w:val="007E1611"/>
    <w:rsid w:val="007E6A15"/>
    <w:rsid w:val="007F7AC6"/>
    <w:rsid w:val="00803061"/>
    <w:rsid w:val="00807EEE"/>
    <w:rsid w:val="0081087D"/>
    <w:rsid w:val="008135F4"/>
    <w:rsid w:val="00813893"/>
    <w:rsid w:val="008149E7"/>
    <w:rsid w:val="0082266E"/>
    <w:rsid w:val="008234E2"/>
    <w:rsid w:val="00824361"/>
    <w:rsid w:val="008327EE"/>
    <w:rsid w:val="0083350D"/>
    <w:rsid w:val="00842E74"/>
    <w:rsid w:val="00843BE5"/>
    <w:rsid w:val="00856B64"/>
    <w:rsid w:val="00863DD9"/>
    <w:rsid w:val="00866446"/>
    <w:rsid w:val="0086741B"/>
    <w:rsid w:val="008840CA"/>
    <w:rsid w:val="00886F29"/>
    <w:rsid w:val="00892517"/>
    <w:rsid w:val="00892A25"/>
    <w:rsid w:val="00897DAB"/>
    <w:rsid w:val="008A0633"/>
    <w:rsid w:val="008A3386"/>
    <w:rsid w:val="008A37D8"/>
    <w:rsid w:val="008A53F2"/>
    <w:rsid w:val="008B09B1"/>
    <w:rsid w:val="008C1CE8"/>
    <w:rsid w:val="008C24B6"/>
    <w:rsid w:val="008C487C"/>
    <w:rsid w:val="008C4C28"/>
    <w:rsid w:val="008E0FCC"/>
    <w:rsid w:val="008E2FE3"/>
    <w:rsid w:val="008E5F34"/>
    <w:rsid w:val="008F2267"/>
    <w:rsid w:val="008F3EE2"/>
    <w:rsid w:val="0091226B"/>
    <w:rsid w:val="0091627F"/>
    <w:rsid w:val="009231E0"/>
    <w:rsid w:val="0094508D"/>
    <w:rsid w:val="009506A7"/>
    <w:rsid w:val="0095686F"/>
    <w:rsid w:val="00962D6C"/>
    <w:rsid w:val="00967230"/>
    <w:rsid w:val="00972C13"/>
    <w:rsid w:val="00976F3B"/>
    <w:rsid w:val="009812D7"/>
    <w:rsid w:val="00982E99"/>
    <w:rsid w:val="00993BFE"/>
    <w:rsid w:val="009963CB"/>
    <w:rsid w:val="009A5714"/>
    <w:rsid w:val="009A5DA7"/>
    <w:rsid w:val="009B1AEC"/>
    <w:rsid w:val="009C6F56"/>
    <w:rsid w:val="009D1D57"/>
    <w:rsid w:val="009E2544"/>
    <w:rsid w:val="009E2770"/>
    <w:rsid w:val="009E2D72"/>
    <w:rsid w:val="009E41C2"/>
    <w:rsid w:val="009E4A43"/>
    <w:rsid w:val="009F2261"/>
    <w:rsid w:val="009F3537"/>
    <w:rsid w:val="00A25657"/>
    <w:rsid w:val="00A27907"/>
    <w:rsid w:val="00A329B6"/>
    <w:rsid w:val="00A367A1"/>
    <w:rsid w:val="00A415D2"/>
    <w:rsid w:val="00A460BA"/>
    <w:rsid w:val="00A510F6"/>
    <w:rsid w:val="00A651C9"/>
    <w:rsid w:val="00A80739"/>
    <w:rsid w:val="00A83829"/>
    <w:rsid w:val="00A85AFF"/>
    <w:rsid w:val="00A95100"/>
    <w:rsid w:val="00AA2A39"/>
    <w:rsid w:val="00AA615B"/>
    <w:rsid w:val="00AA7209"/>
    <w:rsid w:val="00AB0DED"/>
    <w:rsid w:val="00AC0C81"/>
    <w:rsid w:val="00AD7725"/>
    <w:rsid w:val="00AE668A"/>
    <w:rsid w:val="00AE6858"/>
    <w:rsid w:val="00AF4523"/>
    <w:rsid w:val="00AF5C62"/>
    <w:rsid w:val="00AF7270"/>
    <w:rsid w:val="00B100E5"/>
    <w:rsid w:val="00B17BC5"/>
    <w:rsid w:val="00B2158C"/>
    <w:rsid w:val="00B24E57"/>
    <w:rsid w:val="00B2594C"/>
    <w:rsid w:val="00B30D96"/>
    <w:rsid w:val="00B44EB3"/>
    <w:rsid w:val="00B5123E"/>
    <w:rsid w:val="00B522C4"/>
    <w:rsid w:val="00B52B0E"/>
    <w:rsid w:val="00B5337D"/>
    <w:rsid w:val="00B65290"/>
    <w:rsid w:val="00B70E26"/>
    <w:rsid w:val="00B77186"/>
    <w:rsid w:val="00B97D95"/>
    <w:rsid w:val="00BA7E78"/>
    <w:rsid w:val="00BB0EA7"/>
    <w:rsid w:val="00BB59F9"/>
    <w:rsid w:val="00BC15B8"/>
    <w:rsid w:val="00BC5279"/>
    <w:rsid w:val="00BC6C4E"/>
    <w:rsid w:val="00BD0A88"/>
    <w:rsid w:val="00BD58A7"/>
    <w:rsid w:val="00BE1E33"/>
    <w:rsid w:val="00BE2AD3"/>
    <w:rsid w:val="00BE36F7"/>
    <w:rsid w:val="00BE4E4A"/>
    <w:rsid w:val="00BF2443"/>
    <w:rsid w:val="00C00831"/>
    <w:rsid w:val="00C12201"/>
    <w:rsid w:val="00C1405A"/>
    <w:rsid w:val="00C25E14"/>
    <w:rsid w:val="00C4526C"/>
    <w:rsid w:val="00C50B1B"/>
    <w:rsid w:val="00C52801"/>
    <w:rsid w:val="00C6210F"/>
    <w:rsid w:val="00C745C6"/>
    <w:rsid w:val="00C964DE"/>
    <w:rsid w:val="00CA3C3B"/>
    <w:rsid w:val="00CA5790"/>
    <w:rsid w:val="00CA634C"/>
    <w:rsid w:val="00CC3C9A"/>
    <w:rsid w:val="00CF326B"/>
    <w:rsid w:val="00D0763E"/>
    <w:rsid w:val="00D12644"/>
    <w:rsid w:val="00D1531B"/>
    <w:rsid w:val="00D24682"/>
    <w:rsid w:val="00D24F06"/>
    <w:rsid w:val="00D25AEF"/>
    <w:rsid w:val="00D349EE"/>
    <w:rsid w:val="00D56763"/>
    <w:rsid w:val="00D56D47"/>
    <w:rsid w:val="00D644D8"/>
    <w:rsid w:val="00D70FB4"/>
    <w:rsid w:val="00D74A1C"/>
    <w:rsid w:val="00D76E57"/>
    <w:rsid w:val="00D815C1"/>
    <w:rsid w:val="00D822D9"/>
    <w:rsid w:val="00D85C85"/>
    <w:rsid w:val="00D923D3"/>
    <w:rsid w:val="00D92F6C"/>
    <w:rsid w:val="00D95879"/>
    <w:rsid w:val="00D961FC"/>
    <w:rsid w:val="00D97A6B"/>
    <w:rsid w:val="00DA2FA3"/>
    <w:rsid w:val="00DA585A"/>
    <w:rsid w:val="00DB3F57"/>
    <w:rsid w:val="00DB751D"/>
    <w:rsid w:val="00DC0138"/>
    <w:rsid w:val="00DC22C6"/>
    <w:rsid w:val="00DC679E"/>
    <w:rsid w:val="00DD0E98"/>
    <w:rsid w:val="00DD265C"/>
    <w:rsid w:val="00DE64DE"/>
    <w:rsid w:val="00DE7AB4"/>
    <w:rsid w:val="00DF2F9C"/>
    <w:rsid w:val="00DF4D86"/>
    <w:rsid w:val="00E0053A"/>
    <w:rsid w:val="00E01D84"/>
    <w:rsid w:val="00E030B1"/>
    <w:rsid w:val="00E137BB"/>
    <w:rsid w:val="00E17AA0"/>
    <w:rsid w:val="00E3199C"/>
    <w:rsid w:val="00E64988"/>
    <w:rsid w:val="00E64A38"/>
    <w:rsid w:val="00E756AC"/>
    <w:rsid w:val="00E8381A"/>
    <w:rsid w:val="00E87596"/>
    <w:rsid w:val="00E87794"/>
    <w:rsid w:val="00E96422"/>
    <w:rsid w:val="00EA5A59"/>
    <w:rsid w:val="00EB3D8F"/>
    <w:rsid w:val="00EC1F05"/>
    <w:rsid w:val="00EC2D8F"/>
    <w:rsid w:val="00ED0FE3"/>
    <w:rsid w:val="00ED3EF0"/>
    <w:rsid w:val="00EE121F"/>
    <w:rsid w:val="00EE2707"/>
    <w:rsid w:val="00EF2CA6"/>
    <w:rsid w:val="00F0422A"/>
    <w:rsid w:val="00F117B1"/>
    <w:rsid w:val="00F134F9"/>
    <w:rsid w:val="00F24C62"/>
    <w:rsid w:val="00F33F55"/>
    <w:rsid w:val="00F34138"/>
    <w:rsid w:val="00F379D7"/>
    <w:rsid w:val="00F47FCE"/>
    <w:rsid w:val="00F501D2"/>
    <w:rsid w:val="00F5266F"/>
    <w:rsid w:val="00F55C60"/>
    <w:rsid w:val="00F56447"/>
    <w:rsid w:val="00F64055"/>
    <w:rsid w:val="00F67011"/>
    <w:rsid w:val="00F710C6"/>
    <w:rsid w:val="00F9481A"/>
    <w:rsid w:val="00F96AB1"/>
    <w:rsid w:val="00FC755D"/>
    <w:rsid w:val="00FD724A"/>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18CDDE4E-BAFB-8B45-944D-9BD5AE22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2974</Words>
  <Characters>16362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 Castañeda</cp:lastModifiedBy>
  <cp:revision>21</cp:revision>
  <cp:lastPrinted>2020-03-17T17:42:00Z</cp:lastPrinted>
  <dcterms:created xsi:type="dcterms:W3CDTF">2020-11-27T14:20:00Z</dcterms:created>
  <dcterms:modified xsi:type="dcterms:W3CDTF">2020-11-30T22:43:00Z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