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04E4" w14:textId="77777777" w:rsidR="00D6766B" w:rsidRPr="00593BA7" w:rsidRDefault="00D6766B" w:rsidP="00D6766B">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1C16675C" w14:textId="77777777" w:rsidR="00D6766B" w:rsidRDefault="00D6766B" w:rsidP="00D6766B">
      <w:pPr>
        <w:jc w:val="both"/>
        <w:rPr>
          <w:rFonts w:ascii="Arial" w:eastAsia="Calibri" w:hAnsi="Arial" w:cs="Arial"/>
          <w:b/>
          <w:bCs/>
          <w:color w:val="000000" w:themeColor="text1"/>
          <w:sz w:val="22"/>
          <w:szCs w:val="22"/>
          <w:lang w:val="es-ES"/>
        </w:rPr>
      </w:pPr>
    </w:p>
    <w:p w14:paraId="02E15A49" w14:textId="43FDEF30" w:rsidR="00C673AF" w:rsidRPr="00A9105A" w:rsidRDefault="00C673AF" w:rsidP="00C673AF">
      <w:pPr>
        <w:rPr>
          <w:rFonts w:ascii="Arial" w:eastAsia="Calibri" w:hAnsi="Arial" w:cs="Arial"/>
          <w:b/>
          <w:bCs/>
          <w:color w:val="000000" w:themeColor="text1"/>
          <w:sz w:val="22"/>
        </w:rPr>
      </w:pPr>
      <w:r>
        <w:rPr>
          <w:rFonts w:ascii="Arial" w:eastAsia="Calibri" w:hAnsi="Arial" w:cs="Arial"/>
          <w:b/>
          <w:bCs/>
          <w:color w:val="000000" w:themeColor="text1"/>
          <w:sz w:val="22"/>
          <w:lang w:val="es-ES"/>
        </w:rPr>
        <w:t>MUNICIPIOS</w:t>
      </w:r>
      <w:r w:rsidRPr="00A9105A">
        <w:rPr>
          <w:rFonts w:ascii="Arial" w:eastAsia="Calibri" w:hAnsi="Arial" w:cs="Arial"/>
          <w:b/>
          <w:bCs/>
          <w:color w:val="000000" w:themeColor="text1"/>
          <w:sz w:val="22"/>
        </w:rPr>
        <w:t xml:space="preserve"> – </w:t>
      </w:r>
      <w:r>
        <w:rPr>
          <w:rFonts w:ascii="Arial" w:eastAsia="Calibri" w:hAnsi="Arial" w:cs="Arial"/>
          <w:b/>
          <w:bCs/>
          <w:color w:val="000000" w:themeColor="text1"/>
          <w:sz w:val="22"/>
          <w:lang w:val="es-ES"/>
        </w:rPr>
        <w:t xml:space="preserve">Entidades Estatales – </w:t>
      </w:r>
      <w:r w:rsidR="0043460F">
        <w:rPr>
          <w:rFonts w:ascii="Arial" w:eastAsia="Calibri" w:hAnsi="Arial" w:cs="Arial"/>
          <w:b/>
          <w:bCs/>
          <w:color w:val="000000" w:themeColor="text1"/>
          <w:sz w:val="22"/>
          <w:lang w:val="es-ES"/>
        </w:rPr>
        <w:t>Estatuto General de Contratación</w:t>
      </w:r>
      <w:r w:rsidRPr="00A9105A">
        <w:rPr>
          <w:rFonts w:ascii="Arial" w:eastAsia="Calibri" w:hAnsi="Arial" w:cs="Arial"/>
          <w:b/>
          <w:bCs/>
          <w:color w:val="000000" w:themeColor="text1"/>
          <w:sz w:val="22"/>
        </w:rPr>
        <w:t xml:space="preserve"> </w:t>
      </w:r>
    </w:p>
    <w:p w14:paraId="074BD2C4" w14:textId="36E30975" w:rsidR="00C673AF" w:rsidRDefault="00C673AF" w:rsidP="006C3680">
      <w:pPr>
        <w:rPr>
          <w:rFonts w:ascii="Arial" w:eastAsia="Calibri" w:hAnsi="Arial" w:cs="Arial"/>
          <w:b/>
          <w:bCs/>
          <w:color w:val="000000" w:themeColor="text1"/>
          <w:sz w:val="22"/>
        </w:rPr>
      </w:pPr>
    </w:p>
    <w:p w14:paraId="239C6399" w14:textId="67F5AB2F" w:rsidR="006F7431" w:rsidRDefault="002935F5" w:rsidP="00C673AF">
      <w:pPr>
        <w:pStyle w:val="Textoindependiente"/>
        <w:spacing w:before="1"/>
        <w:ind w:right="103"/>
        <w:jc w:val="both"/>
        <w:rPr>
          <w:rFonts w:eastAsia="Calibri"/>
          <w:color w:val="000000" w:themeColor="text1"/>
          <w:sz w:val="20"/>
          <w:szCs w:val="20"/>
          <w:lang w:val="es-MX" w:eastAsia="en-US" w:bidi="ar-SA"/>
        </w:rPr>
      </w:pPr>
      <w:r>
        <w:rPr>
          <w:rFonts w:eastAsia="Calibri"/>
          <w:color w:val="000000" w:themeColor="text1"/>
          <w:sz w:val="20"/>
          <w:szCs w:val="20"/>
          <w:lang w:val="es-MX" w:eastAsia="en-US" w:bidi="ar-SA"/>
        </w:rPr>
        <w:t xml:space="preserve">[…] </w:t>
      </w:r>
      <w:r w:rsidR="00A16F0E" w:rsidRPr="00A16F0E">
        <w:rPr>
          <w:rFonts w:eastAsia="Calibri"/>
          <w:color w:val="000000" w:themeColor="text1"/>
          <w:sz w:val="20"/>
          <w:szCs w:val="20"/>
          <w:lang w:val="es-MX" w:eastAsia="en-US" w:bidi="ar-SA"/>
        </w:rPr>
        <w:t>los municipios son, sin lugar a duda, entidades estatales para los efectos del Estatuto General de Contratación de la Administración Pública, de lo cual se deriva que se encuentran sometidos a sus reglas y principios. Adicionalmente, se considera relevante anotar que, una vez estudiado el ordenamiento jurídico, no existe norma alguna, posterior, especial, o del Estatuto General de Contratación, que excluyera a los municipios de la aplicación del régimen general de contratación pública de las entidades estatales.</w:t>
      </w:r>
    </w:p>
    <w:p w14:paraId="0BC6181D" w14:textId="42FA6EDB" w:rsidR="00A771CF" w:rsidRDefault="002935F5" w:rsidP="00B22ED1">
      <w:pPr>
        <w:pStyle w:val="Textoindependiente"/>
        <w:spacing w:after="120"/>
        <w:ind w:right="102"/>
        <w:jc w:val="both"/>
        <w:rPr>
          <w:rFonts w:eastAsia="Calibri"/>
          <w:color w:val="000000" w:themeColor="text1"/>
          <w:sz w:val="20"/>
          <w:szCs w:val="20"/>
          <w:lang w:val="es-MX" w:eastAsia="en-US" w:bidi="ar-SA"/>
        </w:rPr>
      </w:pPr>
      <w:r>
        <w:rPr>
          <w:rFonts w:eastAsia="Calibri"/>
          <w:color w:val="000000" w:themeColor="text1"/>
          <w:sz w:val="20"/>
          <w:szCs w:val="20"/>
          <w:lang w:val="es-MX" w:eastAsia="en-US" w:bidi="ar-SA"/>
        </w:rPr>
        <w:t>[…]</w:t>
      </w:r>
    </w:p>
    <w:p w14:paraId="31C82956" w14:textId="084E00EF" w:rsidR="00A771CF" w:rsidRPr="00A771CF" w:rsidRDefault="00A771CF" w:rsidP="00C673AF">
      <w:pPr>
        <w:pStyle w:val="Textoindependiente"/>
        <w:spacing w:before="1"/>
        <w:ind w:right="103"/>
        <w:jc w:val="both"/>
        <w:rPr>
          <w:rFonts w:eastAsia="Calibri"/>
          <w:color w:val="000000" w:themeColor="text1"/>
          <w:sz w:val="20"/>
          <w:szCs w:val="20"/>
          <w:lang w:eastAsia="en-US" w:bidi="ar-SA"/>
        </w:rPr>
      </w:pPr>
      <w:r w:rsidRPr="00A771CF">
        <w:rPr>
          <w:rFonts w:eastAsia="Calibri"/>
          <w:color w:val="000000" w:themeColor="text1"/>
          <w:sz w:val="20"/>
          <w:szCs w:val="20"/>
          <w:lang w:eastAsia="en-US" w:bidi="ar-SA"/>
        </w:rPr>
        <w:t xml:space="preserve">Así las cosas, se puede concluir que tanto las normas del Estatuto General de Contratación de la Administración Pública, como todas sus normas reglamentarias, y en particular las disposiciones del Decreto 1082 de 2015, resultan plenamente aplicables a los municipios en su condición de entidades estatales para los efectos de la Ley 80 de 1993.  </w:t>
      </w:r>
    </w:p>
    <w:p w14:paraId="44BAB252" w14:textId="77777777" w:rsidR="00C673AF" w:rsidRDefault="00C673AF" w:rsidP="006C3680">
      <w:pPr>
        <w:rPr>
          <w:rFonts w:ascii="Arial" w:eastAsia="Calibri" w:hAnsi="Arial" w:cs="Arial"/>
          <w:b/>
          <w:bCs/>
          <w:color w:val="000000" w:themeColor="text1"/>
          <w:sz w:val="22"/>
        </w:rPr>
      </w:pPr>
    </w:p>
    <w:p w14:paraId="550C2208" w14:textId="44E3D1BF" w:rsidR="006C3680" w:rsidRPr="00A9105A" w:rsidRDefault="006C3680" w:rsidP="006C3680">
      <w:pPr>
        <w:rPr>
          <w:rFonts w:ascii="Arial" w:eastAsia="Calibri" w:hAnsi="Arial" w:cs="Arial"/>
          <w:b/>
          <w:bCs/>
          <w:color w:val="000000" w:themeColor="text1"/>
          <w:sz w:val="22"/>
        </w:rPr>
      </w:pPr>
      <w:r w:rsidRPr="00A9105A">
        <w:rPr>
          <w:rFonts w:ascii="Arial" w:eastAsia="Calibri" w:hAnsi="Arial" w:cs="Arial"/>
          <w:b/>
          <w:bCs/>
          <w:color w:val="000000" w:themeColor="text1"/>
          <w:sz w:val="22"/>
        </w:rPr>
        <w:t xml:space="preserve">ADENDAS – Fundamento </w:t>
      </w:r>
    </w:p>
    <w:p w14:paraId="10F74912" w14:textId="48A5A5A1" w:rsidR="00D6766B" w:rsidRDefault="00D6766B" w:rsidP="00D6766B">
      <w:pPr>
        <w:jc w:val="both"/>
        <w:rPr>
          <w:rFonts w:ascii="Arial" w:eastAsia="Calibri" w:hAnsi="Arial" w:cs="Arial"/>
          <w:bCs/>
          <w:color w:val="000000" w:themeColor="text1"/>
          <w:sz w:val="20"/>
          <w:szCs w:val="20"/>
          <w:lang w:val="es-MX"/>
        </w:rPr>
      </w:pPr>
    </w:p>
    <w:p w14:paraId="2F79B263" w14:textId="719DADF7" w:rsidR="00A16F0E" w:rsidRPr="00B22ED1" w:rsidRDefault="00A16F0E" w:rsidP="00B22ED1">
      <w:pPr>
        <w:pStyle w:val="Textoindependiente"/>
        <w:spacing w:after="120"/>
        <w:ind w:right="108"/>
        <w:jc w:val="both"/>
        <w:rPr>
          <w:i/>
          <w:sz w:val="20"/>
          <w:szCs w:val="20"/>
        </w:rPr>
      </w:pPr>
      <w:r w:rsidRPr="00B22ED1">
        <w:rPr>
          <w:sz w:val="20"/>
          <w:szCs w:val="20"/>
        </w:rPr>
        <w:t xml:space="preserve">[…]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a través de </w:t>
      </w:r>
      <w:r w:rsidRPr="00B22ED1">
        <w:rPr>
          <w:i/>
          <w:iCs/>
          <w:sz w:val="20"/>
          <w:szCs w:val="20"/>
        </w:rPr>
        <w:t>adendas</w:t>
      </w:r>
      <w:r w:rsidRPr="00B22ED1">
        <w:rPr>
          <w:i/>
          <w:sz w:val="20"/>
          <w:szCs w:val="20"/>
        </w:rPr>
        <w:t xml:space="preserve">. </w:t>
      </w:r>
    </w:p>
    <w:p w14:paraId="21EBF471" w14:textId="0692C71E" w:rsidR="00A771CF" w:rsidRPr="00A16F0E" w:rsidRDefault="00A16F0E">
      <w:pPr>
        <w:jc w:val="both"/>
        <w:rPr>
          <w:rFonts w:ascii="Arial" w:eastAsia="Calibri" w:hAnsi="Arial" w:cs="Arial"/>
          <w:bCs/>
          <w:color w:val="000000" w:themeColor="text1"/>
          <w:sz w:val="20"/>
          <w:szCs w:val="20"/>
          <w:lang w:val="es-ES"/>
        </w:rPr>
      </w:pPr>
      <w:r w:rsidRPr="00B22ED1">
        <w:rPr>
          <w:rFonts w:ascii="Arial" w:hAnsi="Arial" w:cs="Arial"/>
          <w:iCs/>
          <w:sz w:val="20"/>
          <w:szCs w:val="20"/>
        </w:rPr>
        <w:t>Sin perjuicio de lo anterior,</w:t>
      </w:r>
      <w:r w:rsidRPr="00B22ED1">
        <w:rPr>
          <w:rFonts w:ascii="Arial" w:hAnsi="Arial" w:cs="Arial"/>
          <w:i/>
          <w:sz w:val="20"/>
          <w:szCs w:val="20"/>
        </w:rPr>
        <w:t xml:space="preserve"> </w:t>
      </w:r>
      <w:r w:rsidRPr="00B22ED1">
        <w:rPr>
          <w:rFonts w:ascii="Arial" w:hAnsi="Arial" w:cs="Arial"/>
          <w:sz w:val="20"/>
          <w:szCs w:val="20"/>
        </w:rPr>
        <w:t>como lo ha reconocido la jurisprudencia del Consejo de Estado, dichas modificaciones pueden realizarse por medio de cualquier otro documento que contenga</w:t>
      </w:r>
      <w:r w:rsidRPr="00B22ED1">
        <w:rPr>
          <w:rFonts w:ascii="Arial" w:hAnsi="Arial" w:cs="Arial"/>
          <w:spacing w:val="26"/>
          <w:sz w:val="20"/>
          <w:szCs w:val="20"/>
        </w:rPr>
        <w:t xml:space="preserve"> </w:t>
      </w:r>
      <w:r w:rsidRPr="00B22ED1">
        <w:rPr>
          <w:rFonts w:ascii="Arial" w:hAnsi="Arial" w:cs="Arial"/>
          <w:sz w:val="20"/>
          <w:szCs w:val="20"/>
        </w:rPr>
        <w:t>la</w:t>
      </w:r>
      <w:r w:rsidRPr="00B22ED1">
        <w:rPr>
          <w:rFonts w:ascii="Arial" w:hAnsi="Arial" w:cs="Arial"/>
          <w:spacing w:val="27"/>
          <w:sz w:val="20"/>
          <w:szCs w:val="20"/>
        </w:rPr>
        <w:t xml:space="preserve"> </w:t>
      </w:r>
      <w:r w:rsidRPr="00B22ED1">
        <w:rPr>
          <w:rFonts w:ascii="Arial" w:hAnsi="Arial" w:cs="Arial"/>
          <w:sz w:val="20"/>
          <w:szCs w:val="20"/>
        </w:rPr>
        <w:t>manifestación</w:t>
      </w:r>
      <w:r w:rsidRPr="00B22ED1">
        <w:rPr>
          <w:rFonts w:ascii="Arial" w:hAnsi="Arial" w:cs="Arial"/>
          <w:spacing w:val="26"/>
          <w:sz w:val="20"/>
          <w:szCs w:val="20"/>
        </w:rPr>
        <w:t xml:space="preserve"> </w:t>
      </w:r>
      <w:r w:rsidRPr="00B22ED1">
        <w:rPr>
          <w:rFonts w:ascii="Arial" w:hAnsi="Arial" w:cs="Arial"/>
          <w:sz w:val="20"/>
          <w:szCs w:val="20"/>
        </w:rPr>
        <w:t>de</w:t>
      </w:r>
      <w:r w:rsidRPr="00B22ED1">
        <w:rPr>
          <w:rFonts w:ascii="Arial" w:hAnsi="Arial" w:cs="Arial"/>
          <w:spacing w:val="27"/>
          <w:sz w:val="20"/>
          <w:szCs w:val="20"/>
        </w:rPr>
        <w:t xml:space="preserve"> </w:t>
      </w:r>
      <w:r w:rsidRPr="00B22ED1">
        <w:rPr>
          <w:rFonts w:ascii="Arial" w:hAnsi="Arial" w:cs="Arial"/>
          <w:sz w:val="20"/>
          <w:szCs w:val="20"/>
        </w:rPr>
        <w:t>voluntad</w:t>
      </w:r>
      <w:r w:rsidRPr="00B22ED1">
        <w:rPr>
          <w:rFonts w:ascii="Arial" w:hAnsi="Arial" w:cs="Arial"/>
          <w:spacing w:val="27"/>
          <w:sz w:val="20"/>
          <w:szCs w:val="20"/>
        </w:rPr>
        <w:t xml:space="preserve"> </w:t>
      </w:r>
      <w:r w:rsidRPr="00B22ED1">
        <w:rPr>
          <w:rFonts w:ascii="Arial" w:hAnsi="Arial" w:cs="Arial"/>
          <w:sz w:val="20"/>
          <w:szCs w:val="20"/>
        </w:rPr>
        <w:t>de</w:t>
      </w:r>
      <w:r w:rsidRPr="00B22ED1">
        <w:rPr>
          <w:rFonts w:ascii="Arial" w:hAnsi="Arial" w:cs="Arial"/>
          <w:spacing w:val="26"/>
          <w:sz w:val="20"/>
          <w:szCs w:val="20"/>
        </w:rPr>
        <w:t xml:space="preserve"> </w:t>
      </w:r>
      <w:r w:rsidRPr="00B22ED1">
        <w:rPr>
          <w:rFonts w:ascii="Arial" w:hAnsi="Arial" w:cs="Arial"/>
          <w:sz w:val="20"/>
          <w:szCs w:val="20"/>
        </w:rPr>
        <w:t>la</w:t>
      </w:r>
      <w:r w:rsidRPr="00B22ED1">
        <w:rPr>
          <w:rFonts w:ascii="Arial" w:hAnsi="Arial" w:cs="Arial"/>
          <w:spacing w:val="27"/>
          <w:sz w:val="20"/>
          <w:szCs w:val="20"/>
        </w:rPr>
        <w:t xml:space="preserve"> </w:t>
      </w:r>
      <w:r w:rsidRPr="00B22ED1">
        <w:rPr>
          <w:rFonts w:ascii="Arial" w:hAnsi="Arial" w:cs="Arial"/>
          <w:sz w:val="20"/>
          <w:szCs w:val="20"/>
        </w:rPr>
        <w:t>entidad</w:t>
      </w:r>
      <w:r w:rsidRPr="00B22ED1">
        <w:rPr>
          <w:rFonts w:ascii="Arial" w:hAnsi="Arial" w:cs="Arial"/>
          <w:spacing w:val="27"/>
          <w:sz w:val="20"/>
          <w:szCs w:val="20"/>
        </w:rPr>
        <w:t xml:space="preserve"> </w:t>
      </w:r>
      <w:r w:rsidRPr="00B22ED1">
        <w:rPr>
          <w:rFonts w:ascii="Arial" w:hAnsi="Arial" w:cs="Arial"/>
          <w:sz w:val="20"/>
          <w:szCs w:val="20"/>
        </w:rPr>
        <w:t>de</w:t>
      </w:r>
      <w:r w:rsidRPr="00B22ED1">
        <w:rPr>
          <w:rFonts w:ascii="Arial" w:hAnsi="Arial" w:cs="Arial"/>
          <w:spacing w:val="26"/>
          <w:sz w:val="20"/>
          <w:szCs w:val="20"/>
        </w:rPr>
        <w:t xml:space="preserve"> </w:t>
      </w:r>
      <w:r w:rsidRPr="00B22ED1">
        <w:rPr>
          <w:rFonts w:ascii="Arial" w:hAnsi="Arial" w:cs="Arial"/>
          <w:sz w:val="20"/>
          <w:szCs w:val="20"/>
        </w:rPr>
        <w:t>aclarar,</w:t>
      </w:r>
      <w:r w:rsidRPr="00B22ED1">
        <w:rPr>
          <w:rFonts w:ascii="Arial" w:hAnsi="Arial" w:cs="Arial"/>
          <w:spacing w:val="25"/>
          <w:sz w:val="20"/>
          <w:szCs w:val="20"/>
        </w:rPr>
        <w:t xml:space="preserve"> </w:t>
      </w:r>
      <w:r w:rsidRPr="00B22ED1">
        <w:rPr>
          <w:rFonts w:ascii="Arial" w:hAnsi="Arial" w:cs="Arial"/>
          <w:sz w:val="20"/>
          <w:szCs w:val="20"/>
        </w:rPr>
        <w:t>añadir,</w:t>
      </w:r>
      <w:r w:rsidRPr="00B22ED1">
        <w:rPr>
          <w:rFonts w:ascii="Arial" w:hAnsi="Arial" w:cs="Arial"/>
          <w:spacing w:val="25"/>
          <w:sz w:val="20"/>
          <w:szCs w:val="20"/>
        </w:rPr>
        <w:t xml:space="preserve"> </w:t>
      </w:r>
      <w:r w:rsidRPr="00B22ED1">
        <w:rPr>
          <w:rFonts w:ascii="Arial" w:hAnsi="Arial" w:cs="Arial"/>
          <w:sz w:val="20"/>
          <w:szCs w:val="20"/>
        </w:rPr>
        <w:t xml:space="preserve">adicionar, reemplazar o cambiar un aspecto o condición, incluida en los documentos del procedimiento de contratación, independientemente que a dicho documento se le titule como </w:t>
      </w:r>
      <w:r w:rsidRPr="00B22ED1">
        <w:rPr>
          <w:rFonts w:ascii="Arial" w:hAnsi="Arial" w:cs="Arial"/>
          <w:i/>
          <w:iCs/>
          <w:sz w:val="20"/>
          <w:szCs w:val="20"/>
        </w:rPr>
        <w:t>adenda</w:t>
      </w:r>
      <w:r w:rsidR="00A771CF" w:rsidRPr="00A16F0E">
        <w:rPr>
          <w:rFonts w:ascii="Arial" w:eastAsia="Calibri" w:hAnsi="Arial" w:cs="Arial"/>
          <w:bCs/>
          <w:color w:val="000000" w:themeColor="text1"/>
          <w:sz w:val="20"/>
          <w:szCs w:val="20"/>
          <w:lang w:val="es-ES"/>
        </w:rPr>
        <w:t xml:space="preserve">. </w:t>
      </w:r>
    </w:p>
    <w:p w14:paraId="4864154E" w14:textId="72F259B6" w:rsidR="00D6766B" w:rsidRDefault="00D6766B">
      <w:pPr>
        <w:rPr>
          <w:rFonts w:ascii="Arial" w:hAnsi="Arial" w:cs="Arial"/>
          <w:color w:val="000000" w:themeColor="text1"/>
          <w:sz w:val="22"/>
          <w:lang w:val="es-ES"/>
        </w:rPr>
      </w:pPr>
    </w:p>
    <w:p w14:paraId="56688657" w14:textId="20F16817" w:rsidR="00A771CF" w:rsidRDefault="00A771CF" w:rsidP="00D6766B">
      <w:pPr>
        <w:rPr>
          <w:rFonts w:ascii="Arial" w:hAnsi="Arial" w:cs="Arial"/>
          <w:color w:val="000000" w:themeColor="text1"/>
          <w:sz w:val="22"/>
          <w:lang w:val="es-ES"/>
        </w:rPr>
      </w:pPr>
      <w:r>
        <w:rPr>
          <w:rFonts w:ascii="Arial" w:eastAsia="Calibri" w:hAnsi="Arial" w:cs="Arial"/>
          <w:b/>
          <w:bCs/>
          <w:color w:val="000000" w:themeColor="text1"/>
          <w:sz w:val="22"/>
          <w:lang w:val="es-ES"/>
        </w:rPr>
        <w:t xml:space="preserve">ADENDAS </w:t>
      </w:r>
      <w:r w:rsidRPr="00A9105A">
        <w:rPr>
          <w:rFonts w:ascii="Arial" w:eastAsia="Calibri" w:hAnsi="Arial" w:cs="Arial"/>
          <w:b/>
          <w:bCs/>
          <w:color w:val="000000" w:themeColor="text1"/>
          <w:sz w:val="22"/>
        </w:rPr>
        <w:t>– Oportunidad</w:t>
      </w:r>
    </w:p>
    <w:p w14:paraId="42923271" w14:textId="68275C39" w:rsidR="00D6766B" w:rsidRDefault="00D6766B" w:rsidP="00D6766B">
      <w:pPr>
        <w:rPr>
          <w:rFonts w:ascii="Arial" w:hAnsi="Arial" w:cs="Arial"/>
          <w:color w:val="000000" w:themeColor="text1"/>
          <w:sz w:val="22"/>
          <w:lang w:val="es-ES"/>
        </w:rPr>
      </w:pPr>
    </w:p>
    <w:p w14:paraId="1478169F" w14:textId="47ED876A" w:rsidR="00254CA9" w:rsidRPr="00B22ED1" w:rsidRDefault="002935F5" w:rsidP="00B22ED1">
      <w:pPr>
        <w:pStyle w:val="paragraph"/>
        <w:spacing w:before="0" w:beforeAutospacing="0" w:after="120" w:afterAutospacing="0"/>
        <w:jc w:val="both"/>
        <w:textAlignment w:val="baseline"/>
        <w:rPr>
          <w:rStyle w:val="eop"/>
          <w:rFonts w:ascii="Arial" w:hAnsi="Arial" w:cs="Arial"/>
          <w:sz w:val="20"/>
          <w:szCs w:val="20"/>
        </w:rPr>
      </w:pPr>
      <w:r w:rsidRPr="00254CA9">
        <w:rPr>
          <w:rFonts w:ascii="Arial" w:eastAsia="Calibri" w:hAnsi="Arial" w:cs="Arial"/>
          <w:bCs/>
          <w:color w:val="000000" w:themeColor="text1"/>
          <w:sz w:val="20"/>
          <w:szCs w:val="20"/>
          <w:lang w:val="es-ES"/>
        </w:rPr>
        <w:t>[…]</w:t>
      </w:r>
      <w:r w:rsidR="00254CA9" w:rsidRPr="00254CA9">
        <w:rPr>
          <w:rFonts w:ascii="Arial" w:eastAsia="Calibri" w:hAnsi="Arial" w:cs="Arial"/>
          <w:bCs/>
          <w:color w:val="000000" w:themeColor="text1"/>
          <w:sz w:val="20"/>
          <w:szCs w:val="20"/>
          <w:lang w:val="es-ES"/>
        </w:rPr>
        <w:t xml:space="preserve"> </w:t>
      </w:r>
      <w:r w:rsidR="00254CA9" w:rsidRPr="00B22ED1">
        <w:rPr>
          <w:rStyle w:val="eop"/>
          <w:rFonts w:ascii="Arial" w:hAnsi="Arial" w:cs="Arial"/>
          <w:sz w:val="20"/>
          <w:szCs w:val="20"/>
        </w:rPr>
        <w:t xml:space="preserve">es claro que existen ciertos límites para la publicación de las adendas. En primer lugar, es necesario que las mismas se publiquen entre las 7:00 am y las 7:00 pm de un día hábil. En segundo lugar, esta publicación debe realizarse a más tardar el día hábil anterior al vencimiento del plazo para presentar ofertas a la hora fijada para tal presentación. Así, si el plazo para presentar ofertas vence a las 3:00 pm del jueves 22 de octubre, el plazo para publicar adendas termina a las 3:00 pm del </w:t>
      </w:r>
      <w:proofErr w:type="spellStart"/>
      <w:r w:rsidR="00254CA9" w:rsidRPr="00B22ED1">
        <w:rPr>
          <w:rStyle w:val="eop"/>
          <w:rFonts w:ascii="Arial" w:hAnsi="Arial" w:cs="Arial"/>
          <w:sz w:val="20"/>
          <w:szCs w:val="20"/>
        </w:rPr>
        <w:t>miercóles</w:t>
      </w:r>
      <w:proofErr w:type="spellEnd"/>
      <w:r w:rsidR="00254CA9" w:rsidRPr="00B22ED1">
        <w:rPr>
          <w:rStyle w:val="eop"/>
          <w:rFonts w:ascii="Arial" w:hAnsi="Arial" w:cs="Arial"/>
          <w:sz w:val="20"/>
          <w:szCs w:val="20"/>
        </w:rPr>
        <w:t xml:space="preserve"> 21 de octubre.  En tercer lugar, existe una regla de excepción que deriva directamente del artículo 30-5 de la Ley 80 de 1993 y se reitera en la norma citada del Decreto 1082 de 2015: para la licitación pública las adendas deben publicarse con 3 días de anticipación al día hábil para presentar ofertas. </w:t>
      </w:r>
    </w:p>
    <w:p w14:paraId="4909F004" w14:textId="68B600B7" w:rsidR="00A771CF" w:rsidRPr="00254CA9" w:rsidRDefault="00254CA9">
      <w:pPr>
        <w:spacing w:after="120"/>
        <w:jc w:val="both"/>
        <w:rPr>
          <w:rFonts w:ascii="Arial" w:eastAsia="Calibri" w:hAnsi="Arial" w:cs="Arial"/>
          <w:bCs/>
          <w:color w:val="000000" w:themeColor="text1"/>
          <w:sz w:val="20"/>
          <w:szCs w:val="20"/>
          <w:lang w:val="es-ES"/>
        </w:rPr>
      </w:pPr>
      <w:r w:rsidRPr="00B22ED1">
        <w:rPr>
          <w:rStyle w:val="eop"/>
          <w:rFonts w:ascii="Arial" w:hAnsi="Arial" w:cs="Arial"/>
          <w:sz w:val="20"/>
          <w:szCs w:val="20"/>
        </w:rPr>
        <w:t>En ese orden de ideas, las normas prevén dos límites temporales para la publicación de las adendas: i) 3 días hábiles antes del vencimiento del plazo para presentar ofertas para la licitación pública y ii) un día hábil antes del vencimiento del plazo para presentar ofertas para las demás modalidades de selección.</w:t>
      </w:r>
      <w:r w:rsidR="00A771CF" w:rsidRPr="00254CA9">
        <w:rPr>
          <w:rFonts w:ascii="Arial" w:eastAsia="Calibri" w:hAnsi="Arial" w:cs="Arial"/>
          <w:bCs/>
          <w:color w:val="000000" w:themeColor="text1"/>
          <w:sz w:val="20"/>
          <w:szCs w:val="20"/>
          <w:lang w:val="es-ES"/>
        </w:rPr>
        <w:t xml:space="preserve">  </w:t>
      </w:r>
    </w:p>
    <w:p w14:paraId="60A1127A" w14:textId="77777777" w:rsidR="00254CA9" w:rsidRDefault="00254CA9">
      <w:pPr>
        <w:rPr>
          <w:rFonts w:ascii="Arial" w:hAnsi="Arial" w:cs="Arial"/>
          <w:color w:val="000000" w:themeColor="text1"/>
          <w:sz w:val="22"/>
        </w:rPr>
      </w:pPr>
      <w:r>
        <w:rPr>
          <w:rFonts w:ascii="Arial" w:hAnsi="Arial" w:cs="Arial"/>
          <w:color w:val="000000" w:themeColor="text1"/>
          <w:sz w:val="22"/>
        </w:rPr>
        <w:br w:type="page"/>
      </w:r>
    </w:p>
    <w:p w14:paraId="64B9CB99" w14:textId="6D6A655A" w:rsidR="00D6766B" w:rsidRPr="006C15D5" w:rsidRDefault="00D6766B" w:rsidP="00D6766B">
      <w:pPr>
        <w:rPr>
          <w:rFonts w:ascii="Arial" w:hAnsi="Arial" w:cs="Arial"/>
          <w:b/>
          <w:color w:val="000000" w:themeColor="text1"/>
          <w:sz w:val="22"/>
        </w:rPr>
      </w:pPr>
      <w:r w:rsidRPr="006C15D5">
        <w:rPr>
          <w:rFonts w:ascii="Arial" w:hAnsi="Arial" w:cs="Arial"/>
          <w:color w:val="000000" w:themeColor="text1"/>
          <w:sz w:val="22"/>
        </w:rPr>
        <w:lastRenderedPageBreak/>
        <w:t xml:space="preserve">Bogotá D.C., </w:t>
      </w:r>
      <w:r w:rsidR="0075185B">
        <w:rPr>
          <w:rFonts w:ascii="Arial" w:hAnsi="Arial" w:cs="Arial"/>
          <w:b/>
          <w:color w:val="000000" w:themeColor="text1"/>
          <w:sz w:val="22"/>
        </w:rPr>
        <w:t>18/11/2020 18:14:30s</w:t>
      </w:r>
    </w:p>
    <w:p w14:paraId="46C49F4C" w14:textId="77777777" w:rsidR="00D6766B" w:rsidRDefault="00D6766B" w:rsidP="00D6766B">
      <w:pPr>
        <w:jc w:val="right"/>
        <w:rPr>
          <w:rFonts w:ascii="Arial" w:hAnsi="Arial" w:cs="Arial"/>
          <w:b/>
          <w:color w:val="000000" w:themeColor="text1"/>
          <w:sz w:val="22"/>
        </w:rPr>
      </w:pPr>
    </w:p>
    <w:p w14:paraId="002003F9" w14:textId="1C13784C" w:rsidR="00D6766B" w:rsidRPr="006C15D5" w:rsidRDefault="00D6766B" w:rsidP="00D6766B">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0075185B" w:rsidRPr="0075185B">
        <w:rPr>
          <w:rFonts w:ascii="Arial" w:hAnsi="Arial" w:cs="Arial"/>
          <w:b/>
          <w:color w:val="000000" w:themeColor="text1"/>
          <w:sz w:val="22"/>
        </w:rPr>
        <w:t>2202013000011407</w:t>
      </w:r>
    </w:p>
    <w:p w14:paraId="6745275E" w14:textId="77777777" w:rsidR="00D6766B" w:rsidRPr="00593BA7" w:rsidRDefault="00D6766B" w:rsidP="00D6766B">
      <w:pPr>
        <w:rPr>
          <w:rFonts w:ascii="Arial" w:eastAsia="Calibri" w:hAnsi="Arial" w:cs="Arial"/>
          <w:color w:val="000000" w:themeColor="text1"/>
          <w:sz w:val="22"/>
          <w:lang w:val="es-ES"/>
        </w:rPr>
      </w:pPr>
    </w:p>
    <w:p w14:paraId="63043F07" w14:textId="2B07145C" w:rsidR="00D6766B" w:rsidRPr="00593BA7" w:rsidRDefault="00D6766B" w:rsidP="00D6766B">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r>
        <w:rPr>
          <w:rFonts w:ascii="Arial" w:eastAsia="Calibri" w:hAnsi="Arial" w:cs="Arial"/>
          <w:color w:val="000000" w:themeColor="text1"/>
          <w:sz w:val="22"/>
          <w:lang w:val="es-ES"/>
        </w:rPr>
        <w:t>a</w:t>
      </w:r>
    </w:p>
    <w:p w14:paraId="34F2DDC3" w14:textId="251F1B04" w:rsidR="00D6766B" w:rsidRDefault="00D6766B" w:rsidP="00D6766B">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Rosa María Díaz Hurtado</w:t>
      </w:r>
    </w:p>
    <w:p w14:paraId="64326318" w14:textId="03DCE964" w:rsidR="00D6766B" w:rsidRDefault="00D6766B" w:rsidP="00D6766B">
      <w:pPr>
        <w:rPr>
          <w:rFonts w:ascii="Arial" w:eastAsia="Calibri" w:hAnsi="Arial" w:cs="Arial"/>
          <w:color w:val="000000" w:themeColor="text1"/>
          <w:sz w:val="22"/>
          <w:lang w:val="es-ES"/>
        </w:rPr>
      </w:pPr>
      <w:r>
        <w:rPr>
          <w:rFonts w:ascii="Arial" w:eastAsia="Calibri" w:hAnsi="Arial" w:cs="Arial"/>
          <w:color w:val="000000" w:themeColor="text1"/>
          <w:sz w:val="22"/>
          <w:lang w:val="es-ES"/>
        </w:rPr>
        <w:t>Funza</w:t>
      </w:r>
    </w:p>
    <w:p w14:paraId="7C108714" w14:textId="77777777" w:rsidR="00D6766B" w:rsidRPr="00593BA7" w:rsidRDefault="00D6766B" w:rsidP="00D6766B">
      <w:pPr>
        <w:rPr>
          <w:rFonts w:ascii="Arial" w:eastAsia="Calibri" w:hAnsi="Arial" w:cs="Arial"/>
          <w:color w:val="000000" w:themeColor="text1"/>
          <w:sz w:val="22"/>
          <w:lang w:val="es-ES"/>
        </w:rPr>
      </w:pPr>
    </w:p>
    <w:p w14:paraId="211AF1AB" w14:textId="77777777" w:rsidR="00D6766B" w:rsidRPr="00593BA7" w:rsidRDefault="00D6766B" w:rsidP="00D6766B">
      <w:pPr>
        <w:rPr>
          <w:rFonts w:ascii="Arial" w:eastAsia="Calibri" w:hAnsi="Arial" w:cs="Arial"/>
          <w:color w:val="000000" w:themeColor="text1"/>
          <w:sz w:val="22"/>
          <w:lang w:val="es-ES"/>
        </w:rPr>
      </w:pPr>
    </w:p>
    <w:p w14:paraId="21B5FA13" w14:textId="0CA8D8C7" w:rsidR="00D6766B" w:rsidRPr="00593BA7" w:rsidRDefault="00D6766B" w:rsidP="00D6766B">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w:t>
      </w:r>
      <w:r w:rsidR="002935F5">
        <w:rPr>
          <w:rFonts w:ascii="Arial" w:eastAsia="Calibri" w:hAnsi="Arial" w:cs="Arial"/>
          <w:b/>
          <w:color w:val="000000" w:themeColor="text1"/>
          <w:sz w:val="22"/>
          <w:lang w:val="es-ES"/>
        </w:rPr>
        <w:t>–</w:t>
      </w:r>
      <w:r w:rsidRPr="00593BA7">
        <w:rPr>
          <w:rFonts w:ascii="Arial" w:eastAsia="Calibri" w:hAnsi="Arial" w:cs="Arial"/>
          <w:b/>
          <w:color w:val="000000" w:themeColor="text1"/>
          <w:sz w:val="22"/>
          <w:lang w:val="es-ES"/>
        </w:rPr>
        <w:t xml:space="preserve"> </w:t>
      </w:r>
      <w:r w:rsidR="002935F5">
        <w:rPr>
          <w:rFonts w:ascii="Arial" w:eastAsia="Calibri" w:hAnsi="Arial" w:cs="Arial"/>
          <w:b/>
          <w:color w:val="000000" w:themeColor="text1"/>
          <w:sz w:val="22"/>
          <w:lang w:val="es-ES"/>
        </w:rPr>
        <w:t xml:space="preserve">674 </w:t>
      </w:r>
      <w:r w:rsidRPr="00593BA7">
        <w:rPr>
          <w:rFonts w:ascii="Arial" w:eastAsia="Calibri" w:hAnsi="Arial" w:cs="Arial"/>
          <w:b/>
          <w:color w:val="000000" w:themeColor="text1"/>
          <w:sz w:val="22"/>
          <w:lang w:val="es-ES"/>
        </w:rPr>
        <w:t>de 2020</w:t>
      </w:r>
    </w:p>
    <w:p w14:paraId="5D477348" w14:textId="77777777" w:rsidR="00D6766B" w:rsidRDefault="00D6766B" w:rsidP="00D6766B">
      <w:pPr>
        <w:rPr>
          <w:rFonts w:ascii="Arial" w:eastAsia="Calibri" w:hAnsi="Arial" w:cs="Arial"/>
          <w:color w:val="000000" w:themeColor="text1"/>
          <w:sz w:val="22"/>
          <w:lang w:val="es-ES"/>
        </w:rPr>
      </w:pPr>
    </w:p>
    <w:p w14:paraId="191E7CD5" w14:textId="77777777" w:rsidR="00D6766B" w:rsidRPr="00593BA7" w:rsidRDefault="00D6766B" w:rsidP="00D6766B">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6766B" w:rsidRPr="00593BA7" w14:paraId="0E804FE9" w14:textId="77777777" w:rsidTr="00281FC0">
        <w:tc>
          <w:tcPr>
            <w:tcW w:w="2689" w:type="dxa"/>
            <w:hideMark/>
          </w:tcPr>
          <w:p w14:paraId="41A7AB87" w14:textId="77777777" w:rsidR="00D6766B" w:rsidRPr="00593BA7" w:rsidRDefault="00D6766B" w:rsidP="00281FC0">
            <w:pPr>
              <w:rPr>
                <w:rFonts w:ascii="Arial" w:eastAsia="Calibri" w:hAnsi="Arial" w:cs="Arial"/>
                <w:color w:val="000000" w:themeColor="text1"/>
                <w:lang w:val="es-ES"/>
              </w:rPr>
            </w:pPr>
            <w:r w:rsidRPr="00593BA7">
              <w:rPr>
                <w:rFonts w:ascii="Arial" w:eastAsia="Calibri" w:hAnsi="Arial" w:cs="Arial"/>
                <w:b/>
                <w:color w:val="000000" w:themeColor="text1"/>
                <w:lang w:val="es-ES"/>
              </w:rPr>
              <w:t>Temas:</w:t>
            </w:r>
            <w:r w:rsidRPr="00593BA7">
              <w:rPr>
                <w:rFonts w:ascii="Arial" w:eastAsia="Calibri" w:hAnsi="Arial" w:cs="Arial"/>
                <w:color w:val="000000" w:themeColor="text1"/>
                <w:lang w:val="es-ES"/>
              </w:rPr>
              <w:t xml:space="preserve">           </w:t>
            </w:r>
          </w:p>
          <w:p w14:paraId="586C4411" w14:textId="77777777" w:rsidR="00D6766B" w:rsidRPr="00593BA7" w:rsidRDefault="00D6766B" w:rsidP="00281FC0">
            <w:pPr>
              <w:rPr>
                <w:rFonts w:ascii="Arial" w:eastAsia="Calibri" w:hAnsi="Arial" w:cs="Arial"/>
                <w:color w:val="000000" w:themeColor="text1"/>
                <w:lang w:val="es-ES"/>
              </w:rPr>
            </w:pPr>
            <w:r w:rsidRPr="00593BA7">
              <w:rPr>
                <w:rFonts w:ascii="Arial" w:eastAsia="Calibri" w:hAnsi="Arial" w:cs="Arial"/>
                <w:color w:val="000000" w:themeColor="text1"/>
                <w:lang w:val="es-ES"/>
              </w:rPr>
              <w:t xml:space="preserve">                           </w:t>
            </w:r>
          </w:p>
        </w:tc>
        <w:tc>
          <w:tcPr>
            <w:tcW w:w="6237" w:type="dxa"/>
            <w:hideMark/>
          </w:tcPr>
          <w:p w14:paraId="501E7BB4" w14:textId="603BB655" w:rsidR="00D6766B" w:rsidRDefault="0043460F" w:rsidP="00281FC0">
            <w:pPr>
              <w:jc w:val="both"/>
              <w:rPr>
                <w:rFonts w:ascii="Arial" w:eastAsia="Calibri" w:hAnsi="Arial" w:cs="Arial"/>
                <w:color w:val="000000" w:themeColor="text1"/>
              </w:rPr>
            </w:pPr>
            <w:r w:rsidRPr="0043460F">
              <w:rPr>
                <w:rFonts w:ascii="Arial" w:eastAsia="Calibri" w:hAnsi="Arial" w:cs="Arial"/>
                <w:color w:val="000000" w:themeColor="text1"/>
              </w:rPr>
              <w:t>MUNICIPIOS – Entidades Estatales – Estatuto General de Contratación</w:t>
            </w:r>
            <w:r>
              <w:rPr>
                <w:rFonts w:ascii="Arial" w:eastAsia="Calibri" w:hAnsi="Arial" w:cs="Arial"/>
                <w:color w:val="000000" w:themeColor="text1"/>
              </w:rPr>
              <w:t xml:space="preserve"> / </w:t>
            </w:r>
            <w:r w:rsidRPr="0043460F">
              <w:rPr>
                <w:rFonts w:ascii="Arial" w:eastAsia="Calibri" w:hAnsi="Arial" w:cs="Arial"/>
                <w:color w:val="000000" w:themeColor="text1"/>
              </w:rPr>
              <w:t>ADENDAS – Fundamento</w:t>
            </w:r>
            <w:r>
              <w:rPr>
                <w:rFonts w:ascii="Arial" w:eastAsia="Calibri" w:hAnsi="Arial" w:cs="Arial"/>
                <w:color w:val="000000" w:themeColor="text1"/>
              </w:rPr>
              <w:t xml:space="preserve"> / </w:t>
            </w:r>
            <w:r w:rsidRPr="0043460F">
              <w:rPr>
                <w:rFonts w:ascii="Arial" w:eastAsia="Calibri" w:hAnsi="Arial" w:cs="Arial"/>
                <w:color w:val="000000" w:themeColor="text1"/>
              </w:rPr>
              <w:t>ADENDAS – Oportunidad</w:t>
            </w:r>
            <w:r>
              <w:rPr>
                <w:rFonts w:ascii="Arial" w:eastAsia="Calibri" w:hAnsi="Arial" w:cs="Arial"/>
                <w:color w:val="000000" w:themeColor="text1"/>
              </w:rPr>
              <w:t xml:space="preserve"> </w:t>
            </w:r>
          </w:p>
          <w:p w14:paraId="6DCECD38" w14:textId="77777777" w:rsidR="0043460F" w:rsidRPr="0043460F" w:rsidRDefault="0043460F" w:rsidP="00281FC0">
            <w:pPr>
              <w:jc w:val="both"/>
              <w:rPr>
                <w:rFonts w:ascii="Arial" w:eastAsia="Calibri" w:hAnsi="Arial" w:cs="Arial"/>
                <w:color w:val="000000" w:themeColor="text1"/>
                <w:lang w:val="es-ES"/>
              </w:rPr>
            </w:pPr>
          </w:p>
          <w:p w14:paraId="3C7C7AD0" w14:textId="77777777" w:rsidR="00D6766B" w:rsidRPr="00593BA7" w:rsidRDefault="00D6766B" w:rsidP="00281FC0">
            <w:pPr>
              <w:jc w:val="both"/>
              <w:rPr>
                <w:rFonts w:ascii="Arial" w:eastAsia="Calibri" w:hAnsi="Arial" w:cs="Arial"/>
                <w:color w:val="000000" w:themeColor="text1"/>
                <w:lang w:val="es-ES"/>
              </w:rPr>
            </w:pPr>
          </w:p>
        </w:tc>
      </w:tr>
      <w:tr w:rsidR="00D6766B" w:rsidRPr="00593BA7" w14:paraId="770D1468" w14:textId="77777777" w:rsidTr="00281FC0">
        <w:trPr>
          <w:trHeight w:val="95"/>
        </w:trPr>
        <w:tc>
          <w:tcPr>
            <w:tcW w:w="2689" w:type="dxa"/>
          </w:tcPr>
          <w:p w14:paraId="6B866905" w14:textId="77777777" w:rsidR="00D6766B" w:rsidRPr="00593BA7" w:rsidRDefault="00D6766B" w:rsidP="00281FC0">
            <w:pPr>
              <w:spacing w:before="60"/>
              <w:rPr>
                <w:rFonts w:ascii="Arial" w:eastAsia="Calibri" w:hAnsi="Arial" w:cs="Arial"/>
                <w:b/>
                <w:color w:val="000000" w:themeColor="text1"/>
                <w:lang w:val="es-ES"/>
              </w:rPr>
            </w:pPr>
            <w:r w:rsidRPr="00593BA7">
              <w:rPr>
                <w:rFonts w:ascii="Arial" w:eastAsia="Calibri" w:hAnsi="Arial" w:cs="Arial"/>
                <w:b/>
                <w:color w:val="000000" w:themeColor="text1"/>
                <w:lang w:val="es-ES"/>
              </w:rPr>
              <w:t>Radicación:</w:t>
            </w:r>
            <w:r w:rsidRPr="00593BA7">
              <w:rPr>
                <w:rFonts w:ascii="Arial" w:eastAsia="Calibri" w:hAnsi="Arial" w:cs="Arial"/>
                <w:color w:val="000000" w:themeColor="text1"/>
                <w:lang w:val="es-ES"/>
              </w:rPr>
              <w:t xml:space="preserve">                              </w:t>
            </w:r>
          </w:p>
        </w:tc>
        <w:tc>
          <w:tcPr>
            <w:tcW w:w="6237" w:type="dxa"/>
          </w:tcPr>
          <w:p w14:paraId="1E77DAAE" w14:textId="0C41C4FD" w:rsidR="00D6766B" w:rsidRPr="00593BA7" w:rsidRDefault="00D6766B" w:rsidP="00281FC0">
            <w:pPr>
              <w:spacing w:before="60"/>
              <w:jc w:val="both"/>
              <w:rPr>
                <w:rFonts w:ascii="Arial" w:eastAsia="Calibri" w:hAnsi="Arial" w:cs="Arial"/>
                <w:color w:val="000000" w:themeColor="text1"/>
                <w:lang w:val="es-ES"/>
              </w:rPr>
            </w:pPr>
            <w:r w:rsidRPr="00593BA7">
              <w:rPr>
                <w:rFonts w:ascii="Arial" w:eastAsia="Calibri" w:hAnsi="Arial" w:cs="Arial"/>
                <w:color w:val="000000" w:themeColor="text1"/>
                <w:lang w:val="es-ES"/>
              </w:rPr>
              <w:t xml:space="preserve">Respuesta a consulta # </w:t>
            </w:r>
            <w:r w:rsidRPr="00647EFE">
              <w:rPr>
                <w:rFonts w:ascii="Arial" w:eastAsia="Calibri" w:hAnsi="Arial" w:cs="Arial"/>
                <w:color w:val="000000" w:themeColor="text1"/>
                <w:lang w:val="es-ES"/>
              </w:rPr>
              <w:t>420201</w:t>
            </w:r>
            <w:r>
              <w:rPr>
                <w:rFonts w:ascii="Arial" w:eastAsia="Calibri" w:hAnsi="Arial" w:cs="Arial"/>
                <w:color w:val="000000" w:themeColor="text1"/>
                <w:lang w:val="es-ES"/>
              </w:rPr>
              <w:t>2</w:t>
            </w:r>
            <w:r w:rsidRPr="00647EFE">
              <w:rPr>
                <w:rFonts w:ascii="Arial" w:eastAsia="Calibri" w:hAnsi="Arial" w:cs="Arial"/>
                <w:color w:val="000000" w:themeColor="text1"/>
                <w:lang w:val="es-ES"/>
              </w:rPr>
              <w:t>00000</w:t>
            </w:r>
            <w:r>
              <w:rPr>
                <w:rFonts w:ascii="Arial" w:eastAsia="Calibri" w:hAnsi="Arial" w:cs="Arial"/>
                <w:color w:val="000000" w:themeColor="text1"/>
                <w:lang w:val="es-ES"/>
              </w:rPr>
              <w:t>9105</w:t>
            </w:r>
          </w:p>
        </w:tc>
      </w:tr>
    </w:tbl>
    <w:p w14:paraId="4BD4D9C2" w14:textId="77777777" w:rsidR="00D6766B" w:rsidRPr="00593BA7" w:rsidRDefault="00D6766B" w:rsidP="00D6766B">
      <w:pPr>
        <w:spacing w:before="60"/>
        <w:jc w:val="both"/>
        <w:rPr>
          <w:rFonts w:ascii="Arial" w:eastAsia="Calibri" w:hAnsi="Arial" w:cs="Arial"/>
          <w:color w:val="000000" w:themeColor="text1"/>
          <w:sz w:val="22"/>
          <w:lang w:val="es-ES"/>
        </w:rPr>
      </w:pPr>
    </w:p>
    <w:p w14:paraId="3FB2CA9B" w14:textId="1CDBFBDA" w:rsidR="00D6766B" w:rsidRPr="00593BA7" w:rsidRDefault="00D6766B" w:rsidP="00D6766B">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Pr>
          <w:rFonts w:ascii="Arial" w:eastAsia="Calibri" w:hAnsi="Arial" w:cs="Arial"/>
          <w:color w:val="000000" w:themeColor="text1"/>
          <w:sz w:val="22"/>
          <w:lang w:val="es-ES"/>
        </w:rPr>
        <w:t>a</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señora</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Díaz</w:t>
      </w:r>
      <w:r w:rsidRPr="00593BA7">
        <w:rPr>
          <w:rFonts w:ascii="Arial" w:eastAsia="Calibri" w:hAnsi="Arial" w:cs="Arial"/>
          <w:color w:val="000000" w:themeColor="text1"/>
          <w:sz w:val="22"/>
          <w:lang w:val="es-ES"/>
        </w:rPr>
        <w:t>:</w:t>
      </w:r>
    </w:p>
    <w:p w14:paraId="49138210" w14:textId="77777777" w:rsidR="00D6766B" w:rsidRPr="00593BA7" w:rsidRDefault="00D6766B" w:rsidP="00D6766B">
      <w:pPr>
        <w:rPr>
          <w:rFonts w:ascii="Arial" w:eastAsia="Calibri" w:hAnsi="Arial" w:cs="Arial"/>
          <w:color w:val="000000" w:themeColor="text1"/>
          <w:sz w:val="22"/>
          <w:lang w:val="es-ES"/>
        </w:rPr>
      </w:pPr>
    </w:p>
    <w:p w14:paraId="0C716CEB" w14:textId="117C5908" w:rsidR="00D6766B" w:rsidRPr="00593BA7" w:rsidRDefault="00D6766B" w:rsidP="00D6766B">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Pr>
          <w:rFonts w:ascii="Arial" w:eastAsia="Calibri" w:hAnsi="Arial" w:cs="Arial"/>
          <w:color w:val="000000" w:themeColor="text1"/>
          <w:sz w:val="22"/>
          <w:lang w:val="es-ES"/>
        </w:rPr>
        <w:t>8</w:t>
      </w:r>
      <w:r w:rsidRPr="00593BA7">
        <w:rPr>
          <w:rFonts w:ascii="Arial" w:eastAsia="Calibri" w:hAnsi="Arial" w:cs="Arial"/>
          <w:color w:val="000000" w:themeColor="text1"/>
          <w:sz w:val="22"/>
          <w:lang w:val="es-ES"/>
        </w:rPr>
        <w:t xml:space="preserve"> de </w:t>
      </w:r>
      <w:r>
        <w:rPr>
          <w:rFonts w:ascii="Arial" w:eastAsia="Calibri" w:hAnsi="Arial" w:cs="Arial"/>
          <w:color w:val="000000" w:themeColor="text1"/>
          <w:sz w:val="22"/>
          <w:lang w:val="es-ES"/>
        </w:rPr>
        <w:t>octubre</w:t>
      </w:r>
      <w:r w:rsidRPr="00593BA7">
        <w:rPr>
          <w:rFonts w:ascii="Arial" w:eastAsia="Calibri" w:hAnsi="Arial" w:cs="Arial"/>
          <w:color w:val="000000" w:themeColor="text1"/>
          <w:sz w:val="22"/>
          <w:lang w:val="es-ES"/>
        </w:rPr>
        <w:t xml:space="preserve"> de 2020. </w:t>
      </w:r>
    </w:p>
    <w:p w14:paraId="766C2352" w14:textId="77777777" w:rsidR="00D6766B" w:rsidRPr="00593BA7" w:rsidRDefault="00D6766B" w:rsidP="00D6766B">
      <w:pPr>
        <w:spacing w:line="276" w:lineRule="auto"/>
        <w:jc w:val="both"/>
        <w:rPr>
          <w:rFonts w:ascii="Arial" w:eastAsia="Calibri" w:hAnsi="Arial" w:cs="Arial"/>
          <w:color w:val="000000" w:themeColor="text1"/>
          <w:sz w:val="22"/>
          <w:lang w:val="es-ES"/>
        </w:rPr>
      </w:pPr>
    </w:p>
    <w:p w14:paraId="2D940A95" w14:textId="77777777" w:rsidR="00D6766B" w:rsidRPr="00593BA7" w:rsidRDefault="00D6766B" w:rsidP="00D6766B">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2366D178" w14:textId="77777777" w:rsidR="00D6766B" w:rsidRPr="00593BA7" w:rsidRDefault="00D6766B" w:rsidP="00D6766B">
      <w:pPr>
        <w:tabs>
          <w:tab w:val="left" w:pos="426"/>
        </w:tabs>
        <w:spacing w:line="276" w:lineRule="auto"/>
        <w:jc w:val="both"/>
        <w:rPr>
          <w:rFonts w:ascii="Arial" w:eastAsia="Calibri" w:hAnsi="Arial" w:cs="Arial"/>
          <w:b/>
          <w:color w:val="000000" w:themeColor="text1"/>
          <w:sz w:val="22"/>
          <w:lang w:val="es-ES"/>
        </w:rPr>
      </w:pPr>
    </w:p>
    <w:p w14:paraId="3A7EAC2E" w14:textId="40B0120D" w:rsidR="00D6766B" w:rsidRDefault="00D6766B" w:rsidP="00D6766B">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su consulta usted formula la siguiente pregunta: </w:t>
      </w:r>
      <w:r w:rsidR="00AD679B">
        <w:rPr>
          <w:rFonts w:ascii="Arial" w:eastAsia="Calibri" w:hAnsi="Arial" w:cs="Arial"/>
          <w:color w:val="000000" w:themeColor="text1"/>
          <w:sz w:val="22"/>
          <w:lang w:val="es-ES"/>
        </w:rPr>
        <w:t xml:space="preserve">i) </w:t>
      </w:r>
      <w:r>
        <w:rPr>
          <w:rFonts w:ascii="Arial" w:eastAsia="Calibri" w:hAnsi="Arial" w:cs="Arial"/>
          <w:color w:val="000000" w:themeColor="text1"/>
          <w:sz w:val="22"/>
          <w:lang w:val="es-ES"/>
        </w:rPr>
        <w:t>¿</w:t>
      </w:r>
      <w:r w:rsidR="00835F09">
        <w:rPr>
          <w:rFonts w:ascii="Arial" w:eastAsia="Calibri" w:hAnsi="Arial" w:cs="Arial"/>
          <w:color w:val="000000" w:themeColor="text1"/>
          <w:sz w:val="22"/>
          <w:lang w:val="es-ES"/>
        </w:rPr>
        <w:t xml:space="preserve">Rigen para los municipios las normas sobre observaciones y publicación de adendas del Estatuto General de Contratación de la Administración Pública y sus normas reglamentarias, en particular el artículo </w:t>
      </w:r>
      <w:r w:rsidR="00835F09" w:rsidRPr="00835F09">
        <w:rPr>
          <w:rFonts w:ascii="Arial" w:eastAsia="Calibri" w:hAnsi="Arial" w:cs="Arial"/>
          <w:color w:val="000000" w:themeColor="text1"/>
          <w:sz w:val="22"/>
          <w:lang w:val="es-ES"/>
        </w:rPr>
        <w:t>2.2.1.1.2.2.1</w:t>
      </w:r>
      <w:r w:rsidR="00835F09">
        <w:rPr>
          <w:rFonts w:ascii="Arial" w:eastAsia="Calibri" w:hAnsi="Arial" w:cs="Arial"/>
          <w:color w:val="000000" w:themeColor="text1"/>
          <w:sz w:val="22"/>
          <w:lang w:val="es-ES"/>
        </w:rPr>
        <w:t xml:space="preserve"> del Decreto 1082 de 2015</w:t>
      </w:r>
      <w:r>
        <w:rPr>
          <w:rFonts w:ascii="Arial" w:eastAsia="Calibri" w:hAnsi="Arial" w:cs="Arial"/>
          <w:color w:val="000000" w:themeColor="text1"/>
          <w:sz w:val="22"/>
          <w:lang w:val="es-ES"/>
        </w:rPr>
        <w:t>?</w:t>
      </w:r>
      <w:r w:rsidR="00AD679B">
        <w:rPr>
          <w:rFonts w:ascii="Arial" w:eastAsia="Calibri" w:hAnsi="Arial" w:cs="Arial"/>
          <w:color w:val="000000" w:themeColor="text1"/>
          <w:sz w:val="22"/>
          <w:lang w:val="es-ES"/>
        </w:rPr>
        <w:t xml:space="preserve"> ii) en el evento en que se publique una adenda con antelación menor a un día hábil al vencimiento del plazo para presentar ofertas ¿Se debe modificar la fecha de cierre para permitir que los proponentes cuenten con un tiempo de análisis y preparación suficiente?</w:t>
      </w:r>
    </w:p>
    <w:p w14:paraId="69505588" w14:textId="77777777" w:rsidR="00AD679B" w:rsidRPr="00593BA7" w:rsidRDefault="00AD679B" w:rsidP="00D6766B">
      <w:pPr>
        <w:tabs>
          <w:tab w:val="left" w:pos="426"/>
        </w:tabs>
        <w:spacing w:line="276" w:lineRule="auto"/>
        <w:jc w:val="both"/>
        <w:rPr>
          <w:rFonts w:ascii="Arial" w:eastAsia="Calibri" w:hAnsi="Arial" w:cs="Arial"/>
          <w:color w:val="000000" w:themeColor="text1"/>
          <w:sz w:val="22"/>
          <w:lang w:val="es-ES"/>
        </w:rPr>
      </w:pPr>
    </w:p>
    <w:p w14:paraId="25074F80" w14:textId="77777777" w:rsidR="00D6766B" w:rsidRDefault="00D6766B" w:rsidP="00D6766B">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2481B38C" w14:textId="77777777" w:rsidR="00D6766B" w:rsidRPr="00E32319" w:rsidRDefault="00D6766B" w:rsidP="00D6766B">
      <w:pPr>
        <w:spacing w:line="276" w:lineRule="auto"/>
        <w:jc w:val="both"/>
        <w:rPr>
          <w:rFonts w:ascii="Arial" w:eastAsia="Calibri" w:hAnsi="Arial" w:cs="Arial"/>
          <w:b/>
          <w:bCs/>
          <w:color w:val="000000" w:themeColor="text1"/>
          <w:sz w:val="22"/>
        </w:rPr>
      </w:pPr>
    </w:p>
    <w:p w14:paraId="0CE366B4" w14:textId="77777777" w:rsidR="00A4390F" w:rsidRDefault="001637D3" w:rsidP="00A4390F">
      <w:pPr>
        <w:spacing w:after="120" w:line="276" w:lineRule="auto"/>
        <w:jc w:val="both"/>
        <w:rPr>
          <w:rFonts w:ascii="Arial" w:eastAsia="Calibri" w:hAnsi="Arial" w:cs="Arial"/>
          <w:sz w:val="22"/>
          <w:lang w:val="es-ES"/>
        </w:rPr>
      </w:pPr>
      <w:r w:rsidRPr="0022320F">
        <w:rPr>
          <w:rFonts w:ascii="Arial" w:hAnsi="Arial" w:cs="Arial"/>
          <w:sz w:val="22"/>
        </w:rPr>
        <w:t xml:space="preserve">La Agencia Nacional de Contratación Pública – Colombia Compra Eficiente, </w:t>
      </w:r>
      <w:r w:rsidRPr="0022320F">
        <w:rPr>
          <w:rFonts w:ascii="Arial" w:eastAsia="Calibri" w:hAnsi="Arial" w:cs="Arial"/>
          <w:sz w:val="22"/>
        </w:rPr>
        <w:t xml:space="preserve">en los conceptos con radicado No. </w:t>
      </w:r>
      <w:r w:rsidRPr="0022320F">
        <w:rPr>
          <w:rFonts w:ascii="Arial" w:hAnsi="Arial" w:cs="Arial"/>
          <w:sz w:val="22"/>
        </w:rPr>
        <w:t xml:space="preserve">2201913000006236 de 26 de agosto de 2019, </w:t>
      </w:r>
      <w:r w:rsidRPr="0022320F">
        <w:rPr>
          <w:rFonts w:ascii="Arial" w:eastAsia="Calibri" w:hAnsi="Arial" w:cs="Arial"/>
          <w:sz w:val="22"/>
        </w:rPr>
        <w:t xml:space="preserve"> </w:t>
      </w:r>
      <w:r>
        <w:rPr>
          <w:rFonts w:ascii="Arial" w:eastAsia="Calibri" w:hAnsi="Arial" w:cs="Arial"/>
          <w:sz w:val="22"/>
          <w:lang w:val="es-ES"/>
        </w:rPr>
        <w:t>C–</w:t>
      </w:r>
      <w:r w:rsidR="00CC77BC">
        <w:rPr>
          <w:rFonts w:ascii="Arial" w:eastAsia="Calibri" w:hAnsi="Arial" w:cs="Arial"/>
          <w:sz w:val="22"/>
          <w:lang w:val="es-ES"/>
        </w:rPr>
        <w:t>426 del 24 de julio de 2020, C–465 del 27 de julio de 2020, C–500 del 3 de agosto de 2020</w:t>
      </w:r>
      <w:r w:rsidR="00874E20">
        <w:rPr>
          <w:rFonts w:ascii="Arial" w:eastAsia="Calibri" w:hAnsi="Arial" w:cs="Arial"/>
          <w:sz w:val="22"/>
          <w:lang w:val="es-ES"/>
        </w:rPr>
        <w:t xml:space="preserve"> y C–557 del 21 de agosto de 2020, se pronunció sobre la posibilidad para las entidades estatales de modificar los pliegos de condiciones a través de adendas. </w:t>
      </w:r>
      <w:r w:rsidRPr="0022320F">
        <w:rPr>
          <w:rFonts w:ascii="Arial" w:eastAsia="Calibri" w:hAnsi="Arial" w:cs="Arial"/>
          <w:sz w:val="22"/>
        </w:rPr>
        <w:t>La tesis desarrollada en estos conceptos se reitera a continuación</w:t>
      </w:r>
      <w:r w:rsidR="00A4390F">
        <w:rPr>
          <w:rFonts w:ascii="Arial" w:eastAsia="Calibri" w:hAnsi="Arial" w:cs="Arial"/>
          <w:sz w:val="22"/>
          <w:lang w:val="es-ES"/>
        </w:rPr>
        <w:t>.</w:t>
      </w:r>
    </w:p>
    <w:p w14:paraId="0AE7CA9B" w14:textId="3A52A6AD" w:rsidR="00A4390F" w:rsidRDefault="00A4390F" w:rsidP="00B22ED1">
      <w:pPr>
        <w:tabs>
          <w:tab w:val="left" w:pos="426"/>
        </w:tabs>
        <w:spacing w:line="276" w:lineRule="auto"/>
        <w:jc w:val="both"/>
        <w:rPr>
          <w:rFonts w:ascii="Arial" w:eastAsia="Calibri" w:hAnsi="Arial" w:cs="Arial"/>
          <w:sz w:val="22"/>
          <w:lang w:val="es-ES_tradnl"/>
        </w:rPr>
      </w:pPr>
      <w:r>
        <w:rPr>
          <w:rFonts w:ascii="Arial" w:eastAsia="Calibri" w:hAnsi="Arial" w:cs="Arial"/>
          <w:sz w:val="22"/>
          <w:lang w:val="es-ES_tradnl"/>
        </w:rPr>
        <w:lastRenderedPageBreak/>
        <w:tab/>
      </w:r>
      <w:r w:rsidRPr="00296C72">
        <w:rPr>
          <w:rFonts w:ascii="Arial" w:eastAsia="Calibri" w:hAnsi="Arial" w:cs="Arial"/>
          <w:sz w:val="22"/>
          <w:lang w:val="es-ES_tradnl"/>
        </w:rPr>
        <w:t xml:space="preserve">Para resolver esta consulta se </w:t>
      </w:r>
      <w:r w:rsidR="00132733">
        <w:rPr>
          <w:rFonts w:ascii="Arial" w:eastAsia="Calibri" w:hAnsi="Arial" w:cs="Arial"/>
          <w:sz w:val="22"/>
          <w:lang w:val="es-ES_tradnl"/>
        </w:rPr>
        <w:t>analizarán</w:t>
      </w:r>
      <w:r w:rsidRPr="00296C72">
        <w:rPr>
          <w:rFonts w:ascii="Arial" w:eastAsia="Calibri" w:hAnsi="Arial" w:cs="Arial"/>
          <w:sz w:val="22"/>
          <w:lang w:val="es-ES_tradnl"/>
        </w:rPr>
        <w:t xml:space="preserve"> los siguientes temas: i) </w:t>
      </w:r>
      <w:r>
        <w:rPr>
          <w:rFonts w:ascii="Arial" w:eastAsia="Calibri" w:hAnsi="Arial" w:cs="Arial"/>
          <w:sz w:val="22"/>
          <w:lang w:val="es-ES_tradnl"/>
        </w:rPr>
        <w:t xml:space="preserve">los municipios como entidades estatales, y </w:t>
      </w:r>
      <w:r w:rsidRPr="00296C72">
        <w:rPr>
          <w:rFonts w:ascii="Arial" w:eastAsia="Calibri" w:hAnsi="Arial" w:cs="Arial"/>
          <w:sz w:val="22"/>
          <w:lang w:val="es-ES_tradnl"/>
        </w:rPr>
        <w:t>ii)</w:t>
      </w:r>
      <w:r>
        <w:rPr>
          <w:rFonts w:ascii="Arial" w:eastAsia="Calibri" w:hAnsi="Arial" w:cs="Arial"/>
          <w:sz w:val="22"/>
          <w:lang w:val="es-ES_tradnl"/>
        </w:rPr>
        <w:t xml:space="preserve"> las adendas en los procesos de selección de contratistas.</w:t>
      </w:r>
    </w:p>
    <w:p w14:paraId="1E10E09A" w14:textId="77777777" w:rsidR="00132733" w:rsidRDefault="00132733" w:rsidP="00B22ED1">
      <w:pPr>
        <w:tabs>
          <w:tab w:val="left" w:pos="426"/>
        </w:tabs>
        <w:spacing w:line="276" w:lineRule="auto"/>
        <w:jc w:val="both"/>
        <w:rPr>
          <w:rFonts w:ascii="Arial" w:eastAsia="Calibri" w:hAnsi="Arial" w:cs="Arial"/>
          <w:sz w:val="22"/>
          <w:lang w:val="es-ES_tradnl"/>
        </w:rPr>
      </w:pPr>
    </w:p>
    <w:p w14:paraId="0C506C9F" w14:textId="0FD1003C" w:rsidR="001637D3" w:rsidRDefault="00874E20" w:rsidP="001637D3">
      <w:pPr>
        <w:spacing w:line="276" w:lineRule="auto"/>
        <w:jc w:val="both"/>
        <w:rPr>
          <w:rFonts w:ascii="Arial" w:eastAsia="Calibri" w:hAnsi="Arial" w:cs="Arial"/>
          <w:b/>
          <w:bCs/>
          <w:sz w:val="22"/>
          <w:lang w:val="es-ES"/>
        </w:rPr>
      </w:pPr>
      <w:r w:rsidRPr="00A4390F">
        <w:rPr>
          <w:rFonts w:ascii="Arial" w:eastAsia="Calibri" w:hAnsi="Arial" w:cs="Arial"/>
          <w:b/>
          <w:bCs/>
          <w:sz w:val="22"/>
          <w:lang w:val="es-ES"/>
        </w:rPr>
        <w:t xml:space="preserve"> </w:t>
      </w:r>
      <w:r w:rsidR="00A4390F" w:rsidRPr="00A4390F">
        <w:rPr>
          <w:rFonts w:ascii="Arial" w:eastAsia="Calibri" w:hAnsi="Arial" w:cs="Arial"/>
          <w:b/>
          <w:bCs/>
          <w:sz w:val="22"/>
          <w:lang w:val="es-ES"/>
        </w:rPr>
        <w:t xml:space="preserve">2.1. </w:t>
      </w:r>
      <w:r w:rsidR="00132733">
        <w:rPr>
          <w:rFonts w:ascii="Arial" w:eastAsia="Calibri" w:hAnsi="Arial" w:cs="Arial"/>
          <w:b/>
          <w:bCs/>
          <w:sz w:val="22"/>
          <w:lang w:val="es-ES"/>
        </w:rPr>
        <w:t>Los m</w:t>
      </w:r>
      <w:r w:rsidR="00A4390F">
        <w:rPr>
          <w:rFonts w:ascii="Arial" w:eastAsia="Calibri" w:hAnsi="Arial" w:cs="Arial"/>
          <w:b/>
          <w:bCs/>
          <w:sz w:val="22"/>
          <w:lang w:val="es-ES"/>
        </w:rPr>
        <w:t>unicipios son entidades estatales para el Estatuto General de Contratación de la Administración Pública</w:t>
      </w:r>
    </w:p>
    <w:p w14:paraId="2894D258" w14:textId="78A1F63C" w:rsidR="00A4390F" w:rsidRDefault="00A4390F" w:rsidP="001637D3">
      <w:pPr>
        <w:spacing w:line="276" w:lineRule="auto"/>
        <w:jc w:val="both"/>
        <w:rPr>
          <w:rFonts w:ascii="Arial" w:eastAsia="Calibri" w:hAnsi="Arial" w:cs="Arial"/>
          <w:b/>
          <w:bCs/>
          <w:sz w:val="22"/>
          <w:lang w:val="es-ES"/>
        </w:rPr>
      </w:pPr>
    </w:p>
    <w:p w14:paraId="5A6653C7" w14:textId="637CCEE9" w:rsidR="004F5229" w:rsidRDefault="00087741" w:rsidP="004F5229">
      <w:pPr>
        <w:spacing w:line="276" w:lineRule="auto"/>
        <w:jc w:val="both"/>
        <w:rPr>
          <w:rFonts w:ascii="Arial" w:eastAsia="Calibri" w:hAnsi="Arial" w:cs="Arial"/>
          <w:sz w:val="22"/>
          <w:lang w:val="es-ES"/>
        </w:rPr>
      </w:pPr>
      <w:r>
        <w:rPr>
          <w:rFonts w:ascii="Arial" w:eastAsia="Calibri" w:hAnsi="Arial" w:cs="Arial"/>
          <w:sz w:val="22"/>
          <w:lang w:val="es-ES"/>
        </w:rPr>
        <w:t xml:space="preserve">La ley 80 de 1993 tiene por objeto, según su artículo 1, </w:t>
      </w:r>
      <w:r w:rsidR="00132733">
        <w:rPr>
          <w:rFonts w:ascii="Arial" w:eastAsia="Calibri" w:hAnsi="Arial" w:cs="Arial"/>
          <w:sz w:val="22"/>
          <w:lang w:val="es-ES"/>
        </w:rPr>
        <w:t>«</w:t>
      </w:r>
      <w:r>
        <w:rPr>
          <w:rFonts w:ascii="Arial" w:eastAsia="Calibri" w:hAnsi="Arial" w:cs="Arial"/>
          <w:sz w:val="22"/>
          <w:lang w:val="es-ES"/>
        </w:rPr>
        <w:t>disponer las reglas y principios que rigen los contratos de las entidades estatales</w:t>
      </w:r>
      <w:r w:rsidR="00132733">
        <w:rPr>
          <w:rFonts w:ascii="Arial" w:eastAsia="Calibri" w:hAnsi="Arial" w:cs="Arial"/>
          <w:sz w:val="22"/>
          <w:lang w:val="es-ES"/>
        </w:rPr>
        <w:t>»</w:t>
      </w:r>
      <w:r>
        <w:rPr>
          <w:rFonts w:ascii="Arial" w:eastAsia="Calibri" w:hAnsi="Arial" w:cs="Arial"/>
          <w:sz w:val="22"/>
          <w:lang w:val="es-ES"/>
        </w:rPr>
        <w:t xml:space="preserve">. El artículo 2 del mismo instrumento normativo define con precisión </w:t>
      </w:r>
      <w:r w:rsidR="00E038A7">
        <w:rPr>
          <w:rFonts w:ascii="Arial" w:eastAsia="Calibri" w:hAnsi="Arial" w:cs="Arial"/>
          <w:sz w:val="22"/>
          <w:lang w:val="es-ES"/>
        </w:rPr>
        <w:t>cuáles entidades públicas</w:t>
      </w:r>
      <w:r>
        <w:rPr>
          <w:rFonts w:ascii="Arial" w:eastAsia="Calibri" w:hAnsi="Arial" w:cs="Arial"/>
          <w:sz w:val="22"/>
          <w:lang w:val="es-ES"/>
        </w:rPr>
        <w:t xml:space="preserve"> </w:t>
      </w:r>
      <w:r w:rsidR="00E038A7">
        <w:rPr>
          <w:rFonts w:ascii="Arial" w:eastAsia="Calibri" w:hAnsi="Arial" w:cs="Arial"/>
          <w:sz w:val="22"/>
          <w:lang w:val="es-ES"/>
        </w:rPr>
        <w:t>son</w:t>
      </w:r>
      <w:r w:rsidR="002C11F5">
        <w:rPr>
          <w:rFonts w:ascii="Arial" w:eastAsia="Calibri" w:hAnsi="Arial" w:cs="Arial"/>
          <w:sz w:val="22"/>
          <w:lang w:val="es-ES"/>
        </w:rPr>
        <w:t xml:space="preserve"> entidades estatales</w:t>
      </w:r>
      <w:r w:rsidR="00E038A7">
        <w:rPr>
          <w:rFonts w:ascii="Arial" w:eastAsia="Calibri" w:hAnsi="Arial" w:cs="Arial"/>
          <w:sz w:val="22"/>
          <w:lang w:val="es-ES"/>
        </w:rPr>
        <w:t xml:space="preserve"> para los efectos del Estatuto General de Contratación de la Administración Pública. En esa norma se establece lo siguiente: </w:t>
      </w:r>
      <w:bookmarkStart w:id="2" w:name="2"/>
    </w:p>
    <w:p w14:paraId="26F8D331" w14:textId="77777777" w:rsidR="004F5229" w:rsidRPr="004F5229" w:rsidRDefault="004F5229" w:rsidP="004F5229">
      <w:pPr>
        <w:spacing w:line="276" w:lineRule="auto"/>
        <w:jc w:val="both"/>
        <w:rPr>
          <w:rFonts w:ascii="Arial" w:eastAsia="Calibri" w:hAnsi="Arial" w:cs="Arial"/>
          <w:sz w:val="22"/>
          <w:lang w:val="es-ES"/>
        </w:rPr>
      </w:pPr>
    </w:p>
    <w:p w14:paraId="030C0EDB" w14:textId="461A9BAF" w:rsidR="00E038A7" w:rsidRPr="00E038A7" w:rsidRDefault="00132733" w:rsidP="00E038A7">
      <w:pPr>
        <w:spacing w:after="120"/>
        <w:ind w:left="720" w:right="786"/>
        <w:jc w:val="both"/>
        <w:rPr>
          <w:rFonts w:ascii="Arial" w:eastAsia="Calibri" w:hAnsi="Arial" w:cs="Arial"/>
          <w:sz w:val="21"/>
          <w:szCs w:val="22"/>
        </w:rPr>
      </w:pPr>
      <w:r>
        <w:rPr>
          <w:rFonts w:ascii="Arial" w:eastAsia="Calibri" w:hAnsi="Arial" w:cs="Arial"/>
          <w:sz w:val="21"/>
          <w:szCs w:val="22"/>
        </w:rPr>
        <w:t>A</w:t>
      </w:r>
      <w:r w:rsidRPr="00E038A7">
        <w:rPr>
          <w:rFonts w:ascii="Arial" w:eastAsia="Calibri" w:hAnsi="Arial" w:cs="Arial"/>
          <w:sz w:val="21"/>
          <w:szCs w:val="22"/>
        </w:rPr>
        <w:t>rtículo 2o. de la definición de entidades, servidores y servicios públicos</w:t>
      </w:r>
      <w:r w:rsidR="00E038A7" w:rsidRPr="00E038A7">
        <w:rPr>
          <w:rFonts w:ascii="Arial" w:eastAsia="Calibri" w:hAnsi="Arial" w:cs="Arial"/>
          <w:sz w:val="21"/>
          <w:szCs w:val="22"/>
        </w:rPr>
        <w:t>.</w:t>
      </w:r>
      <w:r w:rsidR="00E038A7" w:rsidRPr="00E038A7">
        <w:rPr>
          <w:rFonts w:ascii="Arial" w:eastAsia="Calibri" w:hAnsi="Arial" w:cs="Arial"/>
          <w:b/>
          <w:bCs/>
          <w:sz w:val="21"/>
          <w:szCs w:val="22"/>
        </w:rPr>
        <w:t> </w:t>
      </w:r>
      <w:bookmarkEnd w:id="2"/>
      <w:r w:rsidR="00E038A7" w:rsidRPr="00E038A7">
        <w:rPr>
          <w:rFonts w:ascii="Arial" w:eastAsia="Calibri" w:hAnsi="Arial" w:cs="Arial"/>
          <w:sz w:val="21"/>
          <w:szCs w:val="22"/>
        </w:rPr>
        <w:t>Para los solos efectos de esta ley:</w:t>
      </w:r>
    </w:p>
    <w:p w14:paraId="545A79FF" w14:textId="77777777" w:rsidR="002C11F5" w:rsidRPr="002C11F5" w:rsidRDefault="002C11F5" w:rsidP="00E038A7">
      <w:pPr>
        <w:spacing w:after="120"/>
        <w:ind w:left="720" w:right="786"/>
        <w:jc w:val="both"/>
        <w:rPr>
          <w:rFonts w:ascii="Arial" w:eastAsia="Calibri" w:hAnsi="Arial" w:cs="Arial"/>
          <w:sz w:val="21"/>
          <w:szCs w:val="22"/>
        </w:rPr>
      </w:pPr>
      <w:r w:rsidRPr="002C11F5">
        <w:rPr>
          <w:rFonts w:ascii="Arial" w:eastAsia="Calibri" w:hAnsi="Arial" w:cs="Arial"/>
          <w:sz w:val="21"/>
          <w:szCs w:val="22"/>
        </w:rPr>
        <w:t xml:space="preserve">1o. </w:t>
      </w:r>
      <w:r w:rsidRPr="002C11F5">
        <w:rPr>
          <w:rFonts w:ascii="Arial" w:eastAsia="Calibri" w:hAnsi="Arial" w:cs="Arial"/>
          <w:i/>
          <w:iCs/>
          <w:sz w:val="21"/>
          <w:szCs w:val="22"/>
        </w:rPr>
        <w:t>Se denominan entidades estatales</w:t>
      </w:r>
      <w:r w:rsidRPr="002C11F5">
        <w:rPr>
          <w:rFonts w:ascii="Arial" w:eastAsia="Calibri" w:hAnsi="Arial" w:cs="Arial"/>
          <w:sz w:val="21"/>
          <w:szCs w:val="22"/>
        </w:rPr>
        <w:t>:</w:t>
      </w:r>
    </w:p>
    <w:p w14:paraId="31280C19" w14:textId="04626FEB" w:rsidR="00E038A7" w:rsidRDefault="002C11F5" w:rsidP="00E038A7">
      <w:pPr>
        <w:ind w:left="720" w:right="788"/>
        <w:jc w:val="both"/>
        <w:rPr>
          <w:rFonts w:ascii="Arial" w:eastAsia="Calibri" w:hAnsi="Arial" w:cs="Arial"/>
          <w:sz w:val="21"/>
          <w:szCs w:val="22"/>
          <w:lang w:val="es-ES"/>
        </w:rPr>
      </w:pPr>
      <w:r w:rsidRPr="002C11F5">
        <w:rPr>
          <w:rFonts w:ascii="Arial" w:eastAsia="Calibri" w:hAnsi="Arial" w:cs="Arial"/>
          <w:sz w:val="21"/>
          <w:szCs w:val="22"/>
        </w:rPr>
        <w:t xml:space="preserve">a) La Nación, las regiones, los departamentos, las provincias, </w:t>
      </w:r>
      <w:r w:rsidRPr="002C11F5">
        <w:rPr>
          <w:rFonts w:ascii="Arial" w:eastAsia="Calibri" w:hAnsi="Arial" w:cs="Arial"/>
          <w:i/>
          <w:iCs/>
          <w:sz w:val="21"/>
          <w:szCs w:val="22"/>
        </w:rPr>
        <w:t>el distrito capital y los distritos especiales, las áreas metropolitanas, las asociaciones de municipios, los territorios indígenas y los municipios</w:t>
      </w:r>
      <w:r w:rsidRPr="002C11F5">
        <w:rPr>
          <w:rFonts w:ascii="Arial" w:eastAsia="Calibri" w:hAnsi="Arial" w:cs="Arial"/>
          <w:sz w:val="21"/>
          <w:szCs w:val="22"/>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E038A7">
        <w:rPr>
          <w:rFonts w:ascii="Arial" w:eastAsia="Calibri" w:hAnsi="Arial" w:cs="Arial"/>
          <w:sz w:val="21"/>
          <w:szCs w:val="22"/>
          <w:lang w:val="es-ES"/>
        </w:rPr>
        <w:t xml:space="preserve"> (cursiva fuera de texto)</w:t>
      </w:r>
    </w:p>
    <w:p w14:paraId="4F6C4138" w14:textId="77777777" w:rsidR="00E038A7" w:rsidRPr="00E038A7" w:rsidRDefault="00E038A7" w:rsidP="00E038A7">
      <w:pPr>
        <w:ind w:left="720" w:right="788"/>
        <w:jc w:val="both"/>
        <w:rPr>
          <w:rFonts w:ascii="Arial" w:eastAsia="Calibri" w:hAnsi="Arial" w:cs="Arial"/>
          <w:sz w:val="21"/>
          <w:szCs w:val="22"/>
          <w:lang w:val="es-ES"/>
        </w:rPr>
      </w:pPr>
    </w:p>
    <w:p w14:paraId="54A93BAB" w14:textId="3608E92D" w:rsidR="00550EC0" w:rsidRDefault="00E038A7" w:rsidP="00550EC0">
      <w:pPr>
        <w:spacing w:after="120" w:line="276" w:lineRule="auto"/>
        <w:ind w:firstLine="720"/>
        <w:jc w:val="both"/>
        <w:rPr>
          <w:rFonts w:ascii="Arial" w:eastAsia="Calibri" w:hAnsi="Arial" w:cs="Arial"/>
          <w:sz w:val="22"/>
          <w:lang w:val="es-ES"/>
        </w:rPr>
      </w:pPr>
      <w:r>
        <w:rPr>
          <w:rFonts w:ascii="Arial" w:eastAsia="Calibri" w:hAnsi="Arial" w:cs="Arial"/>
          <w:sz w:val="22"/>
          <w:lang w:val="es-ES"/>
        </w:rPr>
        <w:t xml:space="preserve">Como se </w:t>
      </w:r>
      <w:r w:rsidR="00132733">
        <w:rPr>
          <w:rFonts w:ascii="Arial" w:eastAsia="Calibri" w:hAnsi="Arial" w:cs="Arial"/>
          <w:sz w:val="22"/>
          <w:lang w:val="es-ES"/>
        </w:rPr>
        <w:t>observa</w:t>
      </w:r>
      <w:r>
        <w:rPr>
          <w:rFonts w:ascii="Arial" w:eastAsia="Calibri" w:hAnsi="Arial" w:cs="Arial"/>
          <w:sz w:val="22"/>
          <w:lang w:val="es-ES"/>
        </w:rPr>
        <w:t>, los municipios son, sin lugar a duda, entidades estatales para los efectos del Estatuto General de Contratación de la Administración Pública, de lo cual se deriva que se encuentran sometid</w:t>
      </w:r>
      <w:r w:rsidR="00A771CF">
        <w:rPr>
          <w:rFonts w:ascii="Arial" w:eastAsia="Calibri" w:hAnsi="Arial" w:cs="Arial"/>
          <w:sz w:val="22"/>
          <w:lang w:val="es-ES"/>
        </w:rPr>
        <w:t>o</w:t>
      </w:r>
      <w:r>
        <w:rPr>
          <w:rFonts w:ascii="Arial" w:eastAsia="Calibri" w:hAnsi="Arial" w:cs="Arial"/>
          <w:sz w:val="22"/>
          <w:lang w:val="es-ES"/>
        </w:rPr>
        <w:t xml:space="preserve">s a </w:t>
      </w:r>
      <w:r w:rsidR="00550EC0">
        <w:rPr>
          <w:rFonts w:ascii="Arial" w:eastAsia="Calibri" w:hAnsi="Arial" w:cs="Arial"/>
          <w:sz w:val="22"/>
          <w:lang w:val="es-ES"/>
        </w:rPr>
        <w:t>sus reglas y</w:t>
      </w:r>
      <w:r>
        <w:rPr>
          <w:rFonts w:ascii="Arial" w:eastAsia="Calibri" w:hAnsi="Arial" w:cs="Arial"/>
          <w:sz w:val="22"/>
          <w:lang w:val="es-ES"/>
        </w:rPr>
        <w:t xml:space="preserve"> principios.</w:t>
      </w:r>
      <w:r w:rsidR="00550EC0">
        <w:rPr>
          <w:rFonts w:ascii="Arial" w:eastAsia="Calibri" w:hAnsi="Arial" w:cs="Arial"/>
          <w:sz w:val="22"/>
          <w:lang w:val="es-ES"/>
        </w:rPr>
        <w:t xml:space="preserve"> Adicionalmente, se considera relevante anotar que, una vez estudiado el ordenamiento jurídico, no </w:t>
      </w:r>
      <w:r w:rsidR="00281FC0">
        <w:rPr>
          <w:rFonts w:ascii="Arial" w:eastAsia="Calibri" w:hAnsi="Arial" w:cs="Arial"/>
          <w:sz w:val="22"/>
          <w:lang w:val="es-ES"/>
        </w:rPr>
        <w:t>existe</w:t>
      </w:r>
      <w:r w:rsidR="00550EC0">
        <w:rPr>
          <w:rFonts w:ascii="Arial" w:eastAsia="Calibri" w:hAnsi="Arial" w:cs="Arial"/>
          <w:sz w:val="22"/>
          <w:lang w:val="es-ES"/>
        </w:rPr>
        <w:t xml:space="preserve"> norma alguna, posterior, especial, o del Estatuto General de Contratación, que excluyera a los municipios de la aplicación del régimen general de contratación pública de las entidades estatales. </w:t>
      </w:r>
    </w:p>
    <w:p w14:paraId="749422B1" w14:textId="2F05EBCC" w:rsidR="00E038A7" w:rsidRPr="00550EC0" w:rsidRDefault="00E038A7" w:rsidP="004F5229">
      <w:pPr>
        <w:spacing w:line="276" w:lineRule="auto"/>
        <w:ind w:firstLine="720"/>
        <w:jc w:val="both"/>
        <w:rPr>
          <w:rFonts w:ascii="Arial" w:eastAsia="Calibri" w:hAnsi="Arial" w:cs="Arial"/>
          <w:sz w:val="22"/>
          <w:lang w:val="es-ES"/>
        </w:rPr>
      </w:pPr>
      <w:r>
        <w:rPr>
          <w:rFonts w:ascii="Arial" w:eastAsia="Calibri" w:hAnsi="Arial" w:cs="Arial"/>
          <w:sz w:val="22"/>
          <w:lang w:val="es-ES"/>
        </w:rPr>
        <w:t xml:space="preserve">Para fortalecer la anterior idea, se trae en cita el Decreto 1082 de 2015, que en su artículo </w:t>
      </w:r>
      <w:r w:rsidRPr="00E038A7">
        <w:rPr>
          <w:rFonts w:ascii="Arial" w:eastAsia="Calibri" w:hAnsi="Arial" w:cs="Arial"/>
          <w:sz w:val="22"/>
          <w:lang w:val="es-ES"/>
        </w:rPr>
        <w:t>2.2.1.1.1.3.1.</w:t>
      </w:r>
      <w:r>
        <w:rPr>
          <w:rFonts w:ascii="Arial" w:eastAsia="Calibri" w:hAnsi="Arial" w:cs="Arial"/>
          <w:sz w:val="22"/>
          <w:lang w:val="es-ES"/>
        </w:rPr>
        <w:t xml:space="preserve"> </w:t>
      </w:r>
      <w:r w:rsidRPr="00550EC0">
        <w:rPr>
          <w:rFonts w:ascii="Arial" w:eastAsia="Calibri" w:hAnsi="Arial" w:cs="Arial"/>
          <w:sz w:val="22"/>
          <w:lang w:val="es-ES"/>
        </w:rPr>
        <w:t>«definiciones»</w:t>
      </w:r>
      <w:r w:rsidR="00550EC0" w:rsidRPr="00550EC0">
        <w:rPr>
          <w:rFonts w:ascii="Arial" w:eastAsia="Calibri" w:hAnsi="Arial" w:cs="Arial"/>
          <w:sz w:val="22"/>
          <w:lang w:val="es-ES"/>
        </w:rPr>
        <w:t xml:space="preserve"> delimita lo que debe entenderse por entidades estatales en los siguiente</w:t>
      </w:r>
      <w:r w:rsidR="00550EC0">
        <w:rPr>
          <w:rFonts w:ascii="Arial" w:eastAsia="Calibri" w:hAnsi="Arial" w:cs="Arial"/>
          <w:sz w:val="22"/>
          <w:lang w:val="es-ES"/>
        </w:rPr>
        <w:t>s</w:t>
      </w:r>
      <w:r w:rsidR="00550EC0" w:rsidRPr="00550EC0">
        <w:rPr>
          <w:rFonts w:ascii="Arial" w:eastAsia="Calibri" w:hAnsi="Arial" w:cs="Arial"/>
          <w:sz w:val="22"/>
          <w:lang w:val="es-ES"/>
        </w:rPr>
        <w:t xml:space="preserve"> términos: </w:t>
      </w:r>
    </w:p>
    <w:p w14:paraId="24712D23" w14:textId="77777777" w:rsidR="004F5229" w:rsidRDefault="004F5229" w:rsidP="00550EC0">
      <w:pPr>
        <w:ind w:left="720" w:right="788"/>
        <w:jc w:val="both"/>
        <w:rPr>
          <w:rFonts w:ascii="Arial" w:eastAsia="Calibri" w:hAnsi="Arial" w:cs="Arial"/>
          <w:sz w:val="21"/>
          <w:szCs w:val="22"/>
        </w:rPr>
      </w:pPr>
    </w:p>
    <w:p w14:paraId="6E4CB911" w14:textId="11E8A0E5" w:rsidR="00550EC0" w:rsidRDefault="00550EC0" w:rsidP="00550EC0">
      <w:pPr>
        <w:ind w:left="720" w:right="788"/>
        <w:jc w:val="both"/>
        <w:rPr>
          <w:rFonts w:ascii="Arial" w:eastAsia="Calibri" w:hAnsi="Arial" w:cs="Arial"/>
          <w:sz w:val="21"/>
          <w:szCs w:val="22"/>
        </w:rPr>
      </w:pPr>
      <w:r w:rsidRPr="00550EC0">
        <w:rPr>
          <w:rFonts w:ascii="Arial" w:eastAsia="Calibri" w:hAnsi="Arial" w:cs="Arial"/>
          <w:sz w:val="21"/>
          <w:szCs w:val="22"/>
        </w:rPr>
        <w:t>Entidad Estatal: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p>
    <w:p w14:paraId="01649A22" w14:textId="77777777" w:rsidR="00550EC0" w:rsidRPr="002C11F5" w:rsidRDefault="00550EC0" w:rsidP="00550EC0">
      <w:pPr>
        <w:ind w:right="788"/>
        <w:jc w:val="both"/>
        <w:rPr>
          <w:rFonts w:ascii="Arial" w:eastAsia="Calibri" w:hAnsi="Arial" w:cs="Arial"/>
          <w:sz w:val="22"/>
        </w:rPr>
      </w:pPr>
    </w:p>
    <w:p w14:paraId="12D2605B" w14:textId="13C92EEA" w:rsidR="00087741" w:rsidRDefault="00422EF6" w:rsidP="00B22ED1">
      <w:pPr>
        <w:spacing w:after="120" w:line="276" w:lineRule="auto"/>
        <w:ind w:firstLine="720"/>
        <w:jc w:val="both"/>
        <w:rPr>
          <w:rFonts w:ascii="Arial" w:eastAsia="Calibri" w:hAnsi="Arial" w:cs="Arial"/>
          <w:sz w:val="22"/>
          <w:lang w:val="es-ES"/>
        </w:rPr>
      </w:pPr>
      <w:r>
        <w:rPr>
          <w:rFonts w:ascii="Arial" w:eastAsia="Calibri" w:hAnsi="Arial" w:cs="Arial"/>
          <w:sz w:val="22"/>
          <w:lang w:val="es-ES"/>
        </w:rPr>
        <w:lastRenderedPageBreak/>
        <w:t>La norma citada, al referir</w:t>
      </w:r>
      <w:r w:rsidR="00281FC0">
        <w:rPr>
          <w:rFonts w:ascii="Arial" w:eastAsia="Calibri" w:hAnsi="Arial" w:cs="Arial"/>
          <w:sz w:val="22"/>
          <w:lang w:val="es-ES"/>
        </w:rPr>
        <w:t xml:space="preserve"> a</w:t>
      </w:r>
      <w:r>
        <w:rPr>
          <w:rFonts w:ascii="Arial" w:eastAsia="Calibri" w:hAnsi="Arial" w:cs="Arial"/>
          <w:sz w:val="22"/>
          <w:lang w:val="es-ES"/>
        </w:rPr>
        <w:t xml:space="preserve">l artículo 2 de la Ley 80 de 1993, incorpora en el ámbito de aplicación del Decreto reglamentario a los municipios. Este es un efecto de la coherencia que debe existir entre los ámbitos de aplicación </w:t>
      </w:r>
      <w:r w:rsidR="00C53401">
        <w:rPr>
          <w:rFonts w:ascii="Arial" w:eastAsia="Calibri" w:hAnsi="Arial" w:cs="Arial"/>
          <w:sz w:val="22"/>
          <w:lang w:val="es-ES"/>
        </w:rPr>
        <w:t xml:space="preserve">de la norma legal y sus normas reglamentarias. Así las cosas, </w:t>
      </w:r>
      <w:r w:rsidR="00DE3C3E">
        <w:rPr>
          <w:rFonts w:ascii="Arial" w:eastAsia="Calibri" w:hAnsi="Arial" w:cs="Arial"/>
          <w:sz w:val="22"/>
          <w:lang w:val="es-ES"/>
        </w:rPr>
        <w:t xml:space="preserve">se </w:t>
      </w:r>
      <w:r w:rsidR="00132733">
        <w:rPr>
          <w:rFonts w:ascii="Arial" w:eastAsia="Calibri" w:hAnsi="Arial" w:cs="Arial"/>
          <w:sz w:val="22"/>
          <w:lang w:val="es-ES"/>
        </w:rPr>
        <w:t>concluye</w:t>
      </w:r>
      <w:r w:rsidR="00C53401">
        <w:rPr>
          <w:rFonts w:ascii="Arial" w:eastAsia="Calibri" w:hAnsi="Arial" w:cs="Arial"/>
          <w:sz w:val="22"/>
          <w:lang w:val="es-ES"/>
        </w:rPr>
        <w:t xml:space="preserve"> que</w:t>
      </w:r>
      <w:r>
        <w:rPr>
          <w:rFonts w:ascii="Arial" w:eastAsia="Calibri" w:hAnsi="Arial" w:cs="Arial"/>
          <w:sz w:val="22"/>
          <w:lang w:val="es-ES"/>
        </w:rPr>
        <w:t xml:space="preserve"> </w:t>
      </w:r>
      <w:r w:rsidR="00C53401">
        <w:rPr>
          <w:rFonts w:ascii="Arial" w:eastAsia="Calibri" w:hAnsi="Arial" w:cs="Arial"/>
          <w:sz w:val="22"/>
          <w:lang w:val="es-ES"/>
        </w:rPr>
        <w:t>tanto</w:t>
      </w:r>
      <w:r>
        <w:rPr>
          <w:rFonts w:ascii="Arial" w:eastAsia="Calibri" w:hAnsi="Arial" w:cs="Arial"/>
          <w:sz w:val="22"/>
          <w:lang w:val="es-ES"/>
        </w:rPr>
        <w:t xml:space="preserve"> las normas del Estatuto General de Contratación de la Administración Pública, </w:t>
      </w:r>
      <w:r w:rsidR="00C53401">
        <w:rPr>
          <w:rFonts w:ascii="Arial" w:eastAsia="Calibri" w:hAnsi="Arial" w:cs="Arial"/>
          <w:sz w:val="22"/>
          <w:lang w:val="es-ES"/>
        </w:rPr>
        <w:t>como</w:t>
      </w:r>
      <w:r>
        <w:rPr>
          <w:rFonts w:ascii="Arial" w:eastAsia="Calibri" w:hAnsi="Arial" w:cs="Arial"/>
          <w:sz w:val="22"/>
          <w:lang w:val="es-ES"/>
        </w:rPr>
        <w:t xml:space="preserve"> todas sus normas reglamentarias, y en particular las disposiciones del Decreto 1082 de 2015, resultan plenamente aplicables a los municipios en su condición de entidades estatales</w:t>
      </w:r>
      <w:r w:rsidR="00C673AF">
        <w:rPr>
          <w:rFonts w:ascii="Arial" w:eastAsia="Calibri" w:hAnsi="Arial" w:cs="Arial"/>
          <w:sz w:val="22"/>
          <w:lang w:val="es-ES"/>
        </w:rPr>
        <w:t xml:space="preserve"> para los efectos de la Ley 80 de 1993</w:t>
      </w:r>
      <w:r>
        <w:rPr>
          <w:rFonts w:ascii="Arial" w:eastAsia="Calibri" w:hAnsi="Arial" w:cs="Arial"/>
          <w:sz w:val="22"/>
          <w:lang w:val="es-ES"/>
        </w:rPr>
        <w:t xml:space="preserve">.  </w:t>
      </w:r>
    </w:p>
    <w:p w14:paraId="4783FF8F" w14:textId="77777777" w:rsidR="00C53401" w:rsidRPr="00087741" w:rsidRDefault="00C53401" w:rsidP="00C53401">
      <w:pPr>
        <w:spacing w:line="276" w:lineRule="auto"/>
        <w:ind w:firstLine="720"/>
        <w:jc w:val="both"/>
        <w:rPr>
          <w:rFonts w:ascii="Arial" w:eastAsia="Calibri" w:hAnsi="Arial" w:cs="Arial"/>
          <w:sz w:val="22"/>
          <w:lang w:val="es-ES"/>
        </w:rPr>
      </w:pPr>
    </w:p>
    <w:p w14:paraId="2B4D6CB6" w14:textId="2968FD3D" w:rsidR="00C53401" w:rsidRDefault="00A4390F" w:rsidP="00C53401">
      <w:pPr>
        <w:jc w:val="both"/>
        <w:rPr>
          <w:rFonts w:ascii="Arial" w:eastAsia="Calibri" w:hAnsi="Arial" w:cs="Arial"/>
          <w:b/>
          <w:bCs/>
          <w:sz w:val="22"/>
          <w:lang w:val="es-ES"/>
        </w:rPr>
      </w:pPr>
      <w:r>
        <w:rPr>
          <w:rFonts w:ascii="Arial" w:eastAsia="Calibri" w:hAnsi="Arial" w:cs="Arial"/>
          <w:b/>
          <w:bCs/>
          <w:sz w:val="22"/>
          <w:lang w:val="es-ES"/>
        </w:rPr>
        <w:t>2.2. Posibilidad de modificar el pliego de condiciones a través de adendas y sus límites temporales</w:t>
      </w:r>
    </w:p>
    <w:p w14:paraId="3BC7D7F0" w14:textId="77777777" w:rsidR="00C53401" w:rsidRPr="00C53401" w:rsidRDefault="00C53401" w:rsidP="00C53401">
      <w:pPr>
        <w:jc w:val="both"/>
        <w:rPr>
          <w:rFonts w:ascii="Arial" w:eastAsia="Calibri" w:hAnsi="Arial" w:cs="Arial"/>
          <w:b/>
          <w:bCs/>
          <w:sz w:val="22"/>
          <w:lang w:val="es-ES"/>
        </w:rPr>
      </w:pPr>
    </w:p>
    <w:p w14:paraId="64ABBC50" w14:textId="40663008" w:rsidR="001637D3" w:rsidRPr="00A9105A" w:rsidRDefault="001637D3" w:rsidP="00C53401">
      <w:pPr>
        <w:pStyle w:val="Textoindependiente"/>
        <w:spacing w:after="120" w:line="276" w:lineRule="auto"/>
        <w:ind w:right="108"/>
        <w:jc w:val="both"/>
      </w:pPr>
      <w:r w:rsidRPr="00A9105A">
        <w:t>El pliego de condiciones es la hoja de ruta o plan</w:t>
      </w:r>
      <w:r w:rsidRPr="00A9105A">
        <w:rPr>
          <w:rStyle w:val="Refdenotaalpie"/>
        </w:rPr>
        <w:footnoteReference w:id="1"/>
      </w:r>
      <w:r w:rsidRPr="00A9105A">
        <w:t xml:space="preserve"> sobre el cual se diseña, estructura y concreta el proceso </w:t>
      </w:r>
      <w:r w:rsidR="00C352BA">
        <w:t>de selección de contratistas</w:t>
      </w:r>
      <w:r w:rsidRPr="00A9105A">
        <w:t>, y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A9105A">
        <w:rPr>
          <w:rStyle w:val="Refdenotaalpie"/>
        </w:rPr>
        <w:footnoteReference w:id="2"/>
      </w:r>
      <w:r w:rsidRPr="00A9105A">
        <w:t>.</w:t>
      </w:r>
    </w:p>
    <w:p w14:paraId="2B6422D4" w14:textId="6BB81786" w:rsidR="001637D3" w:rsidRDefault="00C352BA" w:rsidP="001637D3">
      <w:pPr>
        <w:pStyle w:val="Textoindependiente"/>
        <w:spacing w:line="276" w:lineRule="auto"/>
        <w:ind w:right="108" w:firstLine="708"/>
        <w:jc w:val="both"/>
      </w:pPr>
      <w:r>
        <w:t>El pliego e</w:t>
      </w:r>
      <w:r w:rsidR="001637D3" w:rsidRPr="00A9105A">
        <w:t xml:space="preserve">s un instrumento </w:t>
      </w:r>
      <w:r>
        <w:t xml:space="preserve">en el cual se </w:t>
      </w:r>
      <w:r w:rsidR="001637D3" w:rsidRPr="00A9105A">
        <w:t xml:space="preserve">materializa el principio de transparencia, pues </w:t>
      </w:r>
      <w:r>
        <w:t xml:space="preserve">en él se </w:t>
      </w:r>
      <w:r w:rsidR="001637D3" w:rsidRPr="00A9105A">
        <w:t>prefija</w:t>
      </w:r>
      <w:r>
        <w:t>n</w:t>
      </w:r>
      <w:r w:rsidR="001637D3" w:rsidRPr="00A9105A">
        <w:t xml:space="preserve"> las reglas de escogencia del contratista del Estado, para la selección objetiva de la mejor oferta, la adjudicación y la posterior celebración y ejecución del contrato, </w:t>
      </w:r>
      <w:r>
        <w:t>lo cual lo convierte</w:t>
      </w:r>
      <w:r w:rsidR="001637D3" w:rsidRPr="00A9105A">
        <w:t xml:space="preserve"> en una </w:t>
      </w:r>
      <w:r>
        <w:t>reglamentación</w:t>
      </w:r>
      <w:r w:rsidR="001637D3" w:rsidRPr="00A9105A">
        <w:t xml:space="preserve"> de todo el </w:t>
      </w:r>
      <w:proofErr w:type="spellStart"/>
      <w:r w:rsidR="001637D3" w:rsidRPr="00A9105A">
        <w:t>iter</w:t>
      </w:r>
      <w:proofErr w:type="spellEnd"/>
      <w:r w:rsidR="001637D3" w:rsidRPr="00A9105A">
        <w:t xml:space="preserve"> contractual. Su contenido</w:t>
      </w:r>
      <w:r w:rsidR="001637D3" w:rsidRPr="00A9105A">
        <w:rPr>
          <w:rStyle w:val="Refdenotaalpie"/>
        </w:rPr>
        <w:footnoteReference w:id="3"/>
      </w:r>
      <w:r w:rsidR="001637D3" w:rsidRPr="00A9105A">
        <w:t xml:space="preserve"> está previsto en el numeral 5 del artículo 23 de la Ley 80 de 1993, </w:t>
      </w:r>
      <w:r w:rsidR="00CE6B10">
        <w:t>que establece algunas directrices que deben tenerse en cuenta en su elaboración</w:t>
      </w:r>
      <w:r w:rsidR="001637D3" w:rsidRPr="00A9105A">
        <w:t>:</w:t>
      </w:r>
    </w:p>
    <w:p w14:paraId="52B568FE" w14:textId="77777777" w:rsidR="00831413" w:rsidRPr="00A9105A" w:rsidRDefault="00831413" w:rsidP="001637D3">
      <w:pPr>
        <w:pStyle w:val="Textoindependiente"/>
        <w:spacing w:line="276" w:lineRule="auto"/>
        <w:ind w:right="108" w:firstLine="708"/>
        <w:jc w:val="both"/>
      </w:pPr>
    </w:p>
    <w:p w14:paraId="744B155A" w14:textId="77777777" w:rsidR="001637D3" w:rsidRPr="00A9105A" w:rsidRDefault="001637D3" w:rsidP="00B22ED1">
      <w:pPr>
        <w:pStyle w:val="Textoindependiente"/>
        <w:spacing w:after="120"/>
        <w:ind w:left="800"/>
        <w:rPr>
          <w:sz w:val="21"/>
          <w:szCs w:val="21"/>
        </w:rPr>
      </w:pPr>
      <w:r w:rsidRPr="00A9105A">
        <w:rPr>
          <w:sz w:val="21"/>
          <w:szCs w:val="21"/>
        </w:rPr>
        <w:t>5o. En los pliegos de condiciones:</w:t>
      </w:r>
    </w:p>
    <w:p w14:paraId="48DEE6FE" w14:textId="77777777" w:rsidR="001637D3" w:rsidRPr="00A9105A" w:rsidRDefault="001637D3" w:rsidP="00B22ED1">
      <w:pPr>
        <w:pStyle w:val="Prrafodelista"/>
        <w:widowControl w:val="0"/>
        <w:numPr>
          <w:ilvl w:val="2"/>
          <w:numId w:val="2"/>
        </w:numPr>
        <w:tabs>
          <w:tab w:val="left" w:pos="1126"/>
        </w:tabs>
        <w:autoSpaceDE w:val="0"/>
        <w:autoSpaceDN w:val="0"/>
        <w:spacing w:after="120"/>
        <w:ind w:right="791" w:firstLine="0"/>
        <w:contextualSpacing w:val="0"/>
        <w:jc w:val="both"/>
        <w:rPr>
          <w:rFonts w:ascii="Arial" w:hAnsi="Arial" w:cs="Arial"/>
          <w:sz w:val="21"/>
          <w:szCs w:val="21"/>
        </w:rPr>
      </w:pPr>
      <w:r w:rsidRPr="00A9105A">
        <w:rPr>
          <w:rFonts w:ascii="Arial" w:hAnsi="Arial" w:cs="Arial"/>
          <w:sz w:val="21"/>
          <w:szCs w:val="21"/>
        </w:rPr>
        <w:t>Se indicarán los requisitos objetivos necesarios para participar en el correspondiente proceso de</w:t>
      </w:r>
      <w:r w:rsidRPr="00A9105A">
        <w:rPr>
          <w:rFonts w:ascii="Arial" w:hAnsi="Arial" w:cs="Arial"/>
          <w:spacing w:val="-2"/>
          <w:sz w:val="21"/>
          <w:szCs w:val="21"/>
        </w:rPr>
        <w:t xml:space="preserve"> </w:t>
      </w:r>
      <w:r w:rsidRPr="00A9105A">
        <w:rPr>
          <w:rFonts w:ascii="Arial" w:hAnsi="Arial" w:cs="Arial"/>
          <w:sz w:val="21"/>
          <w:szCs w:val="21"/>
        </w:rPr>
        <w:t>selección.</w:t>
      </w:r>
    </w:p>
    <w:p w14:paraId="6E2DAA69" w14:textId="77777777" w:rsidR="001637D3" w:rsidRPr="00A9105A" w:rsidRDefault="001637D3" w:rsidP="00B22ED1">
      <w:pPr>
        <w:pStyle w:val="Prrafodelista"/>
        <w:widowControl w:val="0"/>
        <w:numPr>
          <w:ilvl w:val="2"/>
          <w:numId w:val="2"/>
        </w:numPr>
        <w:tabs>
          <w:tab w:val="left" w:pos="1088"/>
        </w:tabs>
        <w:autoSpaceDE w:val="0"/>
        <w:autoSpaceDN w:val="0"/>
        <w:spacing w:after="120"/>
        <w:ind w:right="789" w:firstLine="0"/>
        <w:contextualSpacing w:val="0"/>
        <w:jc w:val="both"/>
        <w:rPr>
          <w:rFonts w:ascii="Arial" w:hAnsi="Arial" w:cs="Arial"/>
          <w:sz w:val="21"/>
          <w:szCs w:val="21"/>
        </w:rPr>
      </w:pPr>
      <w:r w:rsidRPr="00A9105A">
        <w:rPr>
          <w:rFonts w:ascii="Arial" w:hAnsi="Arial" w:cs="Arial"/>
          <w:sz w:val="21"/>
          <w:szCs w:val="21"/>
        </w:rPr>
        <w:t>Se definirán reglas objetivas, justas, claras y completas que permitan la confección de ofrecimientos de la misma índole, aseguren una escogencia objetiva y eviten las declaratorias de desierta de la</w:t>
      </w:r>
      <w:r w:rsidRPr="00A9105A">
        <w:rPr>
          <w:rFonts w:ascii="Arial" w:hAnsi="Arial" w:cs="Arial"/>
          <w:spacing w:val="-16"/>
          <w:sz w:val="21"/>
          <w:szCs w:val="21"/>
        </w:rPr>
        <w:t xml:space="preserve"> </w:t>
      </w:r>
      <w:r w:rsidRPr="00A9105A">
        <w:rPr>
          <w:rFonts w:ascii="Arial" w:hAnsi="Arial" w:cs="Arial"/>
          <w:sz w:val="21"/>
          <w:szCs w:val="21"/>
        </w:rPr>
        <w:t>licitación.</w:t>
      </w:r>
    </w:p>
    <w:p w14:paraId="1A17B524" w14:textId="18EC7D3D" w:rsidR="001637D3" w:rsidRPr="00A16F0E" w:rsidRDefault="001637D3" w:rsidP="00B22ED1">
      <w:pPr>
        <w:pStyle w:val="Prrafodelista"/>
        <w:widowControl w:val="0"/>
        <w:numPr>
          <w:ilvl w:val="2"/>
          <w:numId w:val="2"/>
        </w:numPr>
        <w:tabs>
          <w:tab w:val="left" w:pos="1108"/>
        </w:tabs>
        <w:autoSpaceDE w:val="0"/>
        <w:autoSpaceDN w:val="0"/>
        <w:spacing w:after="120"/>
        <w:ind w:right="794" w:firstLine="0"/>
        <w:contextualSpacing w:val="0"/>
        <w:jc w:val="both"/>
        <w:rPr>
          <w:sz w:val="21"/>
          <w:szCs w:val="21"/>
        </w:rPr>
      </w:pPr>
      <w:r w:rsidRPr="003E541A">
        <w:rPr>
          <w:rFonts w:ascii="Arial" w:hAnsi="Arial" w:cs="Arial"/>
          <w:sz w:val="21"/>
          <w:szCs w:val="21"/>
        </w:rPr>
        <w:t>Se definirán con precisión las condiciones de costo y calidad de los bienes, obras o servicios necesarios para la ejecución del objeto del</w:t>
      </w:r>
      <w:r w:rsidRPr="003E541A">
        <w:rPr>
          <w:rFonts w:ascii="Arial" w:hAnsi="Arial" w:cs="Arial"/>
          <w:spacing w:val="-43"/>
          <w:sz w:val="21"/>
          <w:szCs w:val="21"/>
        </w:rPr>
        <w:t xml:space="preserve"> </w:t>
      </w:r>
      <w:r w:rsidRPr="003E541A">
        <w:rPr>
          <w:rFonts w:ascii="Arial" w:hAnsi="Arial" w:cs="Arial"/>
          <w:sz w:val="21"/>
          <w:szCs w:val="21"/>
        </w:rPr>
        <w:t>contrato.</w:t>
      </w:r>
    </w:p>
    <w:p w14:paraId="1A8CF488" w14:textId="77777777" w:rsidR="001637D3" w:rsidRPr="00A9105A" w:rsidRDefault="001637D3" w:rsidP="00B22ED1">
      <w:pPr>
        <w:pStyle w:val="Textoindependiente"/>
        <w:spacing w:after="120"/>
        <w:ind w:left="800" w:right="758"/>
        <w:jc w:val="both"/>
        <w:rPr>
          <w:sz w:val="21"/>
          <w:szCs w:val="21"/>
        </w:rPr>
      </w:pPr>
      <w:r w:rsidRPr="00A9105A">
        <w:rPr>
          <w:sz w:val="21"/>
          <w:szCs w:val="21"/>
        </w:rPr>
        <w:lastRenderedPageBreak/>
        <w:t>No se incluirán condiciones y exigencias de imposible cumplimiento, ni exenciones de la responsabilidad derivada de los datos, informes</w:t>
      </w:r>
      <w:r w:rsidRPr="00A9105A">
        <w:rPr>
          <w:spacing w:val="1"/>
          <w:sz w:val="21"/>
          <w:szCs w:val="21"/>
        </w:rPr>
        <w:t xml:space="preserve"> </w:t>
      </w:r>
      <w:r w:rsidRPr="00A9105A">
        <w:rPr>
          <w:sz w:val="21"/>
          <w:szCs w:val="21"/>
        </w:rPr>
        <w:t>y documentos que se suministren.</w:t>
      </w:r>
    </w:p>
    <w:p w14:paraId="55001C01" w14:textId="77777777" w:rsidR="001637D3" w:rsidRPr="00A9105A" w:rsidRDefault="001637D3" w:rsidP="00B22ED1">
      <w:pPr>
        <w:pStyle w:val="Prrafodelista"/>
        <w:widowControl w:val="0"/>
        <w:numPr>
          <w:ilvl w:val="2"/>
          <w:numId w:val="2"/>
        </w:numPr>
        <w:tabs>
          <w:tab w:val="left" w:pos="1151"/>
        </w:tabs>
        <w:autoSpaceDE w:val="0"/>
        <w:autoSpaceDN w:val="0"/>
        <w:spacing w:after="120"/>
        <w:ind w:right="788" w:firstLine="0"/>
        <w:contextualSpacing w:val="0"/>
        <w:jc w:val="both"/>
        <w:rPr>
          <w:rFonts w:ascii="Arial" w:hAnsi="Arial" w:cs="Arial"/>
          <w:sz w:val="21"/>
          <w:szCs w:val="21"/>
        </w:rPr>
      </w:pPr>
      <w:r w:rsidRPr="00A9105A">
        <w:rPr>
          <w:rFonts w:ascii="Arial" w:hAnsi="Arial" w:cs="Arial"/>
          <w:sz w:val="21"/>
          <w:szCs w:val="21"/>
        </w:rPr>
        <w:t>Se definirán reglas que no induzcan a error a los proponentes y contratistas y que impidan la Formulación de ofrecimientos de extensión ilimitada o que dependan de la voluntad exclusiva de la</w:t>
      </w:r>
      <w:r w:rsidRPr="00A9105A">
        <w:rPr>
          <w:rFonts w:ascii="Arial" w:hAnsi="Arial" w:cs="Arial"/>
          <w:spacing w:val="-20"/>
          <w:sz w:val="21"/>
          <w:szCs w:val="21"/>
        </w:rPr>
        <w:t xml:space="preserve"> </w:t>
      </w:r>
      <w:r w:rsidRPr="00A9105A">
        <w:rPr>
          <w:rFonts w:ascii="Arial" w:hAnsi="Arial" w:cs="Arial"/>
          <w:sz w:val="21"/>
          <w:szCs w:val="21"/>
        </w:rPr>
        <w:t>entidad.</w:t>
      </w:r>
    </w:p>
    <w:p w14:paraId="13C8EA78" w14:textId="77777777" w:rsidR="001637D3" w:rsidRPr="00A9105A" w:rsidRDefault="001637D3" w:rsidP="00B22ED1">
      <w:pPr>
        <w:pStyle w:val="Prrafodelista"/>
        <w:widowControl w:val="0"/>
        <w:numPr>
          <w:ilvl w:val="2"/>
          <w:numId w:val="2"/>
        </w:numPr>
        <w:tabs>
          <w:tab w:val="left" w:pos="1016"/>
        </w:tabs>
        <w:autoSpaceDE w:val="0"/>
        <w:autoSpaceDN w:val="0"/>
        <w:spacing w:after="120"/>
        <w:ind w:right="784" w:firstLine="0"/>
        <w:contextualSpacing w:val="0"/>
        <w:jc w:val="both"/>
        <w:rPr>
          <w:rFonts w:ascii="Arial" w:hAnsi="Arial" w:cs="Arial"/>
          <w:sz w:val="21"/>
          <w:szCs w:val="21"/>
        </w:rPr>
      </w:pPr>
      <w:r w:rsidRPr="00A9105A">
        <w:rPr>
          <w:rFonts w:ascii="Arial" w:hAnsi="Arial" w:cs="Arial"/>
          <w:sz w:val="21"/>
          <w:szCs w:val="21"/>
        </w:rPr>
        <w:t>Se definirá el plazo para la liquidación del contrato, cuando a ello hubiere lugar, teniendo en cuenta su objeto, naturaleza y</w:t>
      </w:r>
      <w:r w:rsidRPr="00A9105A">
        <w:rPr>
          <w:rFonts w:ascii="Arial" w:hAnsi="Arial" w:cs="Arial"/>
          <w:spacing w:val="-13"/>
          <w:sz w:val="21"/>
          <w:szCs w:val="21"/>
        </w:rPr>
        <w:t xml:space="preserve"> </w:t>
      </w:r>
      <w:r w:rsidRPr="00A9105A">
        <w:rPr>
          <w:rFonts w:ascii="Arial" w:hAnsi="Arial" w:cs="Arial"/>
          <w:sz w:val="21"/>
          <w:szCs w:val="21"/>
        </w:rPr>
        <w:t>cuantía.</w:t>
      </w:r>
    </w:p>
    <w:p w14:paraId="784BED15" w14:textId="77777777" w:rsidR="001637D3" w:rsidRPr="00A9105A" w:rsidRDefault="001637D3" w:rsidP="00B22ED1">
      <w:pPr>
        <w:pStyle w:val="Textoindependiente"/>
        <w:spacing w:after="120"/>
        <w:ind w:left="800" w:right="789"/>
        <w:jc w:val="both"/>
        <w:rPr>
          <w:sz w:val="21"/>
          <w:szCs w:val="21"/>
        </w:rPr>
      </w:pPr>
      <w:r w:rsidRPr="00A9105A">
        <w:rPr>
          <w:sz w:val="21"/>
          <w:szCs w:val="21"/>
        </w:rPr>
        <w:t>Serán ineficaces de pleno derecho las estipulaciones de los pliegos y de los contratos que contravengan lo dispuesto en este numeral, o dispongan renuncias a reclamaciones por la ocurrencia de los hechos aquí enunciados.</w:t>
      </w:r>
    </w:p>
    <w:p w14:paraId="13D33398" w14:textId="77777777" w:rsidR="001637D3" w:rsidRPr="00A9105A" w:rsidRDefault="001637D3" w:rsidP="001637D3">
      <w:pPr>
        <w:pStyle w:val="Textoindependiente"/>
        <w:spacing w:before="3"/>
        <w:rPr>
          <w:sz w:val="21"/>
          <w:szCs w:val="21"/>
        </w:rPr>
      </w:pPr>
    </w:p>
    <w:p w14:paraId="71E6DB12" w14:textId="686B2515" w:rsidR="002F7E6E" w:rsidRDefault="000A6FC7" w:rsidP="00A945D8">
      <w:pPr>
        <w:pStyle w:val="Textoindependiente"/>
        <w:spacing w:after="120" w:line="276" w:lineRule="auto"/>
        <w:ind w:left="120" w:right="103" w:firstLine="600"/>
        <w:jc w:val="both"/>
      </w:pPr>
      <w:r>
        <w:t>De conformidad con lo anterior,</w:t>
      </w:r>
      <w:r w:rsidR="001637D3" w:rsidRPr="00A9105A">
        <w:t xml:space="preserve"> la Administración tiene la facultad de configurar las reglas y exigencias de los pliegos </w:t>
      </w:r>
      <w:r w:rsidR="0087334F">
        <w:t xml:space="preserve">de condiciones </w:t>
      </w:r>
      <w:r w:rsidR="001637D3" w:rsidRPr="00A9105A">
        <w:t>de manera libre, dentro de los parámetros y límites de la ley</w:t>
      </w:r>
      <w:r w:rsidR="0087334F">
        <w:t xml:space="preserve">, con fundamento </w:t>
      </w:r>
      <w:r w:rsidR="00A945D8">
        <w:t>en los estudios realizados en la fase de planeación</w:t>
      </w:r>
      <w:r w:rsidR="002F7E6E">
        <w:t>. Además,</w:t>
      </w:r>
      <w:r w:rsidR="001637D3" w:rsidRPr="00A9105A">
        <w:t xml:space="preserve"> tiene la carga de elaborarlos de manera idónea, objetiva, clara, precisa y completa, </w:t>
      </w:r>
      <w:r w:rsidR="002F7E6E">
        <w:t xml:space="preserve">tal como se deduce de la disposición </w:t>
      </w:r>
      <w:r w:rsidR="004864F2">
        <w:t>recién citada.</w:t>
      </w:r>
    </w:p>
    <w:p w14:paraId="48BFF762" w14:textId="717A8B97" w:rsidR="001637D3" w:rsidRPr="001637D3" w:rsidRDefault="004864F2" w:rsidP="00B22ED1">
      <w:pPr>
        <w:pStyle w:val="Textoindependiente"/>
        <w:spacing w:after="120" w:line="276" w:lineRule="auto"/>
        <w:ind w:left="120" w:right="103" w:firstLine="600"/>
        <w:jc w:val="both"/>
      </w:pPr>
      <w:r>
        <w:t xml:space="preserve">Sin perjuicio de lo anterior, </w:t>
      </w:r>
      <w:r w:rsidR="001637D3" w:rsidRPr="00A9105A">
        <w:t xml:space="preserve">puede ocurrir que surja la necesidad de efectuar correcciones, aclaraciones o modificaciones, </w:t>
      </w:r>
      <w:r w:rsidR="006F5819">
        <w:t>bien</w:t>
      </w:r>
      <w:r w:rsidR="001637D3" w:rsidRPr="00A9105A">
        <w:t xml:space="preserve"> sea porque las mismas tienen origen en necesidades identificadas por la entidad contratante o </w:t>
      </w:r>
      <w:r w:rsidR="006F5819">
        <w:t>como consecuencia</w:t>
      </w:r>
      <w:r w:rsidR="001637D3" w:rsidRPr="00A9105A">
        <w:t xml:space="preserve"> </w:t>
      </w:r>
      <w:r w:rsidR="006F5819">
        <w:t xml:space="preserve">de </w:t>
      </w:r>
      <w:r w:rsidR="001637D3" w:rsidRPr="00A9105A">
        <w:t xml:space="preserve">observaciones </w:t>
      </w:r>
      <w:r w:rsidR="006F5819">
        <w:t>realizadas</w:t>
      </w:r>
      <w:r w:rsidR="001637D3" w:rsidRPr="00A9105A">
        <w:t xml:space="preserve"> por los interesados en el</w:t>
      </w:r>
      <w:r w:rsidR="001637D3" w:rsidRPr="00A9105A">
        <w:rPr>
          <w:spacing w:val="-6"/>
        </w:rPr>
        <w:t xml:space="preserve"> </w:t>
      </w:r>
      <w:r w:rsidR="001637D3" w:rsidRPr="00A9105A">
        <w:t>proceso</w:t>
      </w:r>
      <w:r>
        <w:t>, de manera que</w:t>
      </w:r>
      <w:r w:rsidR="00162FA4">
        <w:t>,</w:t>
      </w:r>
      <w:r>
        <w:t xml:space="preserve"> pese </w:t>
      </w:r>
      <w:r w:rsidR="00F3511D">
        <w:t xml:space="preserve">a la planeación previa y </w:t>
      </w:r>
      <w:r w:rsidR="004476B7">
        <w:t>el cumplimiento de</w:t>
      </w:r>
      <w:r w:rsidR="00F3511D">
        <w:t xml:space="preserve"> las disposiciones aplicables, es posible que sea necesario modificar el pliego de condiciones, como se explicará.</w:t>
      </w:r>
    </w:p>
    <w:p w14:paraId="112434A6" w14:textId="72FAF43D" w:rsidR="00F3511D" w:rsidRDefault="001637D3" w:rsidP="00BB037F">
      <w:pPr>
        <w:pStyle w:val="Textoindependiente"/>
        <w:spacing w:after="120" w:line="276" w:lineRule="auto"/>
        <w:ind w:right="107" w:firstLine="708"/>
        <w:jc w:val="both"/>
        <w:rPr>
          <w:i/>
        </w:rPr>
      </w:pPr>
      <w:r w:rsidRPr="00A9105A">
        <w:t>De esta forma, una vez publicados los pliegos de condiciones definitivos</w:t>
      </w:r>
      <w:r w:rsidR="00C352BA">
        <w:t>,</w:t>
      </w:r>
      <w:r w:rsidRPr="00A9105A">
        <w:t xml:space="preserve"> las entidades pueden </w:t>
      </w:r>
      <w:r w:rsidR="00F3511D">
        <w:t>modificar su contenido,</w:t>
      </w:r>
      <w:r w:rsidRPr="00A9105A">
        <w:t xml:space="preserve"> como consecuencia de las observaciones recibidas por parte de los interesados o por iniciativa de la </w:t>
      </w:r>
      <w:r w:rsidR="00F3511D">
        <w:t xml:space="preserve">misma </w:t>
      </w:r>
      <w:r w:rsidRPr="00A9105A">
        <w:t xml:space="preserve">entidad, </w:t>
      </w:r>
      <w:r w:rsidR="00624A37">
        <w:t>cuando quiera que evidencie</w:t>
      </w:r>
      <w:r w:rsidRPr="00A9105A">
        <w:t xml:space="preserve"> la necesidad de modificar, ajustar o aclarar algún aspecto o condición</w:t>
      </w:r>
      <w:r w:rsidR="00F3511D">
        <w:t xml:space="preserve">, modificación que se realiza a través de </w:t>
      </w:r>
      <w:r w:rsidR="00F3511D">
        <w:rPr>
          <w:i/>
          <w:iCs/>
        </w:rPr>
        <w:t>adendas</w:t>
      </w:r>
      <w:r w:rsidR="00624A37">
        <w:rPr>
          <w:i/>
        </w:rPr>
        <w:t xml:space="preserve">. </w:t>
      </w:r>
    </w:p>
    <w:p w14:paraId="0782493D" w14:textId="3005B2B5" w:rsidR="001637D3" w:rsidRDefault="00F3511D" w:rsidP="00BB037F">
      <w:pPr>
        <w:pStyle w:val="Textoindependiente"/>
        <w:spacing w:after="120" w:line="276" w:lineRule="auto"/>
        <w:ind w:right="107" w:firstLine="708"/>
        <w:jc w:val="both"/>
      </w:pPr>
      <w:r>
        <w:rPr>
          <w:iCs/>
        </w:rPr>
        <w:t>Sin perjuicio de lo anterior</w:t>
      </w:r>
      <w:r w:rsidR="00624A37">
        <w:rPr>
          <w:iCs/>
        </w:rPr>
        <w:t>,</w:t>
      </w:r>
      <w:r w:rsidR="00624A37">
        <w:rPr>
          <w:i/>
        </w:rPr>
        <w:t xml:space="preserve"> </w:t>
      </w:r>
      <w:r w:rsidR="001637D3" w:rsidRPr="00A9105A">
        <w:t>como lo ha reconocido la jurisprudencia del Consejo de Estado,</w:t>
      </w:r>
      <w:r w:rsidR="00624A37">
        <w:t xml:space="preserve"> dichas modificaciones pueden </w:t>
      </w:r>
      <w:r w:rsidR="00162FA4">
        <w:t>realizarse</w:t>
      </w:r>
      <w:r w:rsidR="00162FA4" w:rsidRPr="00A9105A">
        <w:t xml:space="preserve"> </w:t>
      </w:r>
      <w:r w:rsidR="001637D3" w:rsidRPr="00A9105A">
        <w:t>por medio de cualquier otro documento que contenga</w:t>
      </w:r>
      <w:r w:rsidR="001637D3" w:rsidRPr="00A9105A">
        <w:rPr>
          <w:spacing w:val="26"/>
        </w:rPr>
        <w:t xml:space="preserve"> </w:t>
      </w:r>
      <w:r w:rsidR="001637D3" w:rsidRPr="00A9105A">
        <w:t>la</w:t>
      </w:r>
      <w:r w:rsidR="001637D3" w:rsidRPr="00A9105A">
        <w:rPr>
          <w:spacing w:val="27"/>
        </w:rPr>
        <w:t xml:space="preserve"> </w:t>
      </w:r>
      <w:r w:rsidR="001637D3" w:rsidRPr="00A9105A">
        <w:t>manifestación</w:t>
      </w:r>
      <w:r w:rsidR="001637D3" w:rsidRPr="00A9105A">
        <w:rPr>
          <w:spacing w:val="26"/>
        </w:rPr>
        <w:t xml:space="preserve"> </w:t>
      </w:r>
      <w:r w:rsidR="001637D3" w:rsidRPr="00A9105A">
        <w:t>de</w:t>
      </w:r>
      <w:r w:rsidR="001637D3" w:rsidRPr="00A9105A">
        <w:rPr>
          <w:spacing w:val="27"/>
        </w:rPr>
        <w:t xml:space="preserve"> </w:t>
      </w:r>
      <w:r w:rsidR="001637D3" w:rsidRPr="00A9105A">
        <w:t>voluntad</w:t>
      </w:r>
      <w:r w:rsidR="001637D3" w:rsidRPr="00A9105A">
        <w:rPr>
          <w:spacing w:val="27"/>
        </w:rPr>
        <w:t xml:space="preserve"> </w:t>
      </w:r>
      <w:r w:rsidR="001637D3" w:rsidRPr="00A9105A">
        <w:t>de</w:t>
      </w:r>
      <w:r w:rsidR="001637D3" w:rsidRPr="00A9105A">
        <w:rPr>
          <w:spacing w:val="26"/>
        </w:rPr>
        <w:t xml:space="preserve"> </w:t>
      </w:r>
      <w:r w:rsidR="001637D3" w:rsidRPr="00A9105A">
        <w:t>la</w:t>
      </w:r>
      <w:r w:rsidR="001637D3" w:rsidRPr="00A9105A">
        <w:rPr>
          <w:spacing w:val="27"/>
        </w:rPr>
        <w:t xml:space="preserve"> </w:t>
      </w:r>
      <w:r w:rsidR="001637D3" w:rsidRPr="00A9105A">
        <w:t>entidad</w:t>
      </w:r>
      <w:r w:rsidR="001637D3" w:rsidRPr="00A9105A">
        <w:rPr>
          <w:spacing w:val="27"/>
        </w:rPr>
        <w:t xml:space="preserve"> </w:t>
      </w:r>
      <w:r w:rsidR="001637D3" w:rsidRPr="00A9105A">
        <w:t>de</w:t>
      </w:r>
      <w:r w:rsidR="001637D3" w:rsidRPr="00A9105A">
        <w:rPr>
          <w:spacing w:val="26"/>
        </w:rPr>
        <w:t xml:space="preserve"> </w:t>
      </w:r>
      <w:r w:rsidR="001637D3" w:rsidRPr="00A9105A">
        <w:t>aclarar,</w:t>
      </w:r>
      <w:r w:rsidR="001637D3" w:rsidRPr="00A9105A">
        <w:rPr>
          <w:spacing w:val="25"/>
        </w:rPr>
        <w:t xml:space="preserve"> </w:t>
      </w:r>
      <w:r w:rsidR="001637D3" w:rsidRPr="00A9105A">
        <w:t>añadir,</w:t>
      </w:r>
      <w:r w:rsidR="001637D3" w:rsidRPr="00A9105A">
        <w:rPr>
          <w:spacing w:val="25"/>
        </w:rPr>
        <w:t xml:space="preserve"> </w:t>
      </w:r>
      <w:r w:rsidR="001637D3" w:rsidRPr="00A9105A">
        <w:t>adicionar, reemplazar o cambiar un aspecto o condición, incluida en los documentos del procedimiento de contratación</w:t>
      </w:r>
      <w:r>
        <w:t xml:space="preserve">, independientemente que a dicho documento se le titule como </w:t>
      </w:r>
      <w:r w:rsidR="00763542">
        <w:rPr>
          <w:i/>
          <w:iCs/>
        </w:rPr>
        <w:t>adenda</w:t>
      </w:r>
      <w:r w:rsidR="001637D3" w:rsidRPr="00A9105A">
        <w:rPr>
          <w:rStyle w:val="Refdenotaalpie"/>
        </w:rPr>
        <w:footnoteReference w:id="4"/>
      </w:r>
      <w:r w:rsidR="001637D3" w:rsidRPr="00A9105A">
        <w:t>.</w:t>
      </w:r>
    </w:p>
    <w:p w14:paraId="5DD2641A" w14:textId="5CB2F862" w:rsidR="00DD55FF" w:rsidRDefault="00DD55FF" w:rsidP="001637D3">
      <w:pPr>
        <w:pStyle w:val="Textoindependiente"/>
        <w:spacing w:before="1" w:after="240" w:line="276" w:lineRule="auto"/>
        <w:ind w:right="107" w:firstLine="708"/>
        <w:jc w:val="both"/>
      </w:pPr>
      <w:r>
        <w:lastRenderedPageBreak/>
        <w:t>En ese sentido, se hace necesario citar el artículo 30, numeral 5, de la Ley 80 de 1993, que dispone:</w:t>
      </w:r>
    </w:p>
    <w:p w14:paraId="49151893" w14:textId="66C24D62" w:rsidR="00DD55FF" w:rsidRPr="00DD55FF" w:rsidRDefault="00DD55FF" w:rsidP="00D91D04">
      <w:pPr>
        <w:pStyle w:val="Textoindependiente"/>
        <w:spacing w:before="1" w:after="240"/>
        <w:ind w:left="708" w:right="644"/>
        <w:jc w:val="both"/>
        <w:rPr>
          <w:sz w:val="21"/>
          <w:szCs w:val="21"/>
        </w:rPr>
      </w:pPr>
      <w:r w:rsidRPr="00DD55FF">
        <w:rPr>
          <w:sz w:val="21"/>
          <w:szCs w:val="21"/>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7299F328" w14:textId="243B3E52" w:rsidR="00BB037F" w:rsidRPr="00BB037F" w:rsidRDefault="00DD55FF" w:rsidP="00BB037F">
      <w:pPr>
        <w:pStyle w:val="Textoindependiente"/>
        <w:ind w:left="709" w:right="646"/>
        <w:jc w:val="both"/>
        <w:rPr>
          <w:sz w:val="21"/>
          <w:szCs w:val="21"/>
        </w:rPr>
      </w:pPr>
      <w:r w:rsidRPr="00DD55FF">
        <w:rPr>
          <w:sz w:val="21"/>
          <w:szCs w:val="21"/>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14:paraId="1E41287E" w14:textId="77777777" w:rsidR="00BB037F" w:rsidRDefault="00BB037F" w:rsidP="00BB037F">
      <w:pPr>
        <w:pStyle w:val="Textoindependiente"/>
        <w:spacing w:line="276" w:lineRule="auto"/>
        <w:ind w:right="102" w:firstLine="709"/>
        <w:jc w:val="both"/>
      </w:pPr>
    </w:p>
    <w:p w14:paraId="205ACDA8" w14:textId="0FD29F97" w:rsidR="001637D3" w:rsidRPr="005020CC" w:rsidRDefault="005020CC" w:rsidP="00BB037F">
      <w:pPr>
        <w:pStyle w:val="Textoindependiente"/>
        <w:spacing w:line="276" w:lineRule="auto"/>
        <w:ind w:right="102" w:firstLine="709"/>
        <w:jc w:val="both"/>
      </w:pPr>
      <w:r>
        <w:t>A esta norma de origen legal, se le da desarrollo reglamentario en el artículo 2.2.1.1.2.2.1. del Decreto 1082 de 2015. Ese artículo contiene el siguiente precepto</w:t>
      </w:r>
      <w:r w:rsidR="001637D3" w:rsidRPr="00B065B6">
        <w:rPr>
          <w:rFonts w:eastAsia="Calibri"/>
          <w:lang w:eastAsia="en-US"/>
        </w:rPr>
        <w:t>:  </w:t>
      </w:r>
    </w:p>
    <w:p w14:paraId="569062CC" w14:textId="77777777" w:rsidR="001637D3" w:rsidRPr="00B065B6" w:rsidRDefault="001637D3" w:rsidP="001637D3">
      <w:pPr>
        <w:pStyle w:val="paragraph"/>
        <w:spacing w:before="0" w:beforeAutospacing="0" w:after="0" w:afterAutospacing="0"/>
        <w:jc w:val="both"/>
        <w:textAlignment w:val="baseline"/>
        <w:rPr>
          <w:rFonts w:ascii="Segoe UI" w:hAnsi="Segoe UI" w:cs="Segoe UI"/>
          <w:sz w:val="18"/>
          <w:szCs w:val="18"/>
        </w:rPr>
      </w:pPr>
      <w:r w:rsidRPr="00B065B6">
        <w:rPr>
          <w:rStyle w:val="eop"/>
          <w:rFonts w:ascii="Arial" w:hAnsi="Arial" w:cs="Arial"/>
          <w:sz w:val="20"/>
          <w:szCs w:val="20"/>
        </w:rPr>
        <w:t> </w:t>
      </w:r>
    </w:p>
    <w:p w14:paraId="7C2B11DC" w14:textId="77777777" w:rsidR="001637D3" w:rsidRPr="00B065B6" w:rsidRDefault="001637D3" w:rsidP="001637D3">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Artículo 2.2.1.1.2.2.1. Modificación de los pliegos de condiciones. La Entidad Estatal puede modificar los pliegos de condiciones a través de Adendas expedidas antes del vencimiento del plazo para presentar ofertas. </w:t>
      </w:r>
    </w:p>
    <w:p w14:paraId="1B591864" w14:textId="77777777" w:rsidR="001637D3" w:rsidRPr="00B065B6" w:rsidRDefault="001637D3" w:rsidP="001637D3">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 </w:t>
      </w:r>
    </w:p>
    <w:p w14:paraId="4409645B" w14:textId="77777777" w:rsidR="001637D3" w:rsidRPr="00B065B6" w:rsidRDefault="001637D3" w:rsidP="001637D3">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La Entidad Estatal puede expedir Adendas para modificar el Cronograma una vez vencido el término para la presentación de las ofertas y antes de la adjudicación del contrato. </w:t>
      </w:r>
    </w:p>
    <w:p w14:paraId="375BE175" w14:textId="0A125C22" w:rsidR="001637D3" w:rsidRPr="00B065B6" w:rsidRDefault="001637D3" w:rsidP="004F5229">
      <w:pPr>
        <w:pStyle w:val="paragraph"/>
        <w:spacing w:before="0" w:beforeAutospacing="0" w:after="0" w:afterAutospacing="0"/>
        <w:ind w:right="709"/>
        <w:jc w:val="both"/>
        <w:textAlignment w:val="baseline"/>
        <w:rPr>
          <w:rFonts w:ascii="Arial" w:eastAsia="Calibri" w:hAnsi="Arial" w:cs="Arial"/>
          <w:sz w:val="21"/>
          <w:szCs w:val="21"/>
          <w:lang w:eastAsia="en-US"/>
        </w:rPr>
      </w:pPr>
    </w:p>
    <w:p w14:paraId="5AE51CA5" w14:textId="77777777" w:rsidR="001637D3" w:rsidRPr="00B065B6" w:rsidRDefault="001637D3" w:rsidP="001637D3">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 xml:space="preserve">La Entidad Estatal debe publicar las Adendas en los días hábiles, entre las 7:00 a. m. y las 7:00 p. m., a más tardar el día hábil anterior al vencimiento del plazo para presentar ofertas a la hora fijada para tal presentación, salvo en la </w:t>
      </w:r>
      <w:r w:rsidRPr="00B065B6">
        <w:rPr>
          <w:rFonts w:ascii="Arial" w:eastAsia="Calibri" w:hAnsi="Arial" w:cs="Arial"/>
          <w:sz w:val="21"/>
          <w:szCs w:val="21"/>
          <w:lang w:eastAsia="en-US"/>
        </w:rPr>
        <w:lastRenderedPageBreak/>
        <w:t>licitación pública pues de conformidad con la ley la publicación debe hacerse con tres (3) días de anticipación. </w:t>
      </w:r>
    </w:p>
    <w:p w14:paraId="2288C94C" w14:textId="77777777" w:rsidR="001637D3" w:rsidRPr="00B065B6" w:rsidRDefault="001637D3" w:rsidP="001637D3">
      <w:pPr>
        <w:pStyle w:val="paragraph"/>
        <w:spacing w:before="0" w:beforeAutospacing="0" w:after="0" w:afterAutospacing="0"/>
        <w:jc w:val="both"/>
        <w:textAlignment w:val="baseline"/>
        <w:rPr>
          <w:rFonts w:ascii="Arial" w:eastAsia="Calibri" w:hAnsi="Arial" w:cs="Arial"/>
          <w:sz w:val="22"/>
          <w:szCs w:val="22"/>
          <w:lang w:eastAsia="en-US"/>
        </w:rPr>
      </w:pPr>
      <w:r w:rsidRPr="00B065B6">
        <w:rPr>
          <w:rFonts w:eastAsia="Calibri"/>
          <w:sz w:val="22"/>
          <w:szCs w:val="22"/>
          <w:lang w:eastAsia="en-US"/>
        </w:rPr>
        <w:t> </w:t>
      </w:r>
    </w:p>
    <w:p w14:paraId="2F0BAF3E" w14:textId="65A5A35E" w:rsidR="00C352BA" w:rsidRDefault="005020CC" w:rsidP="001637D3">
      <w:pPr>
        <w:pStyle w:val="paragraph"/>
        <w:spacing w:before="0" w:beforeAutospacing="0" w:after="120" w:afterAutospacing="0" w:line="276" w:lineRule="auto"/>
        <w:ind w:firstLine="708"/>
        <w:jc w:val="both"/>
        <w:textAlignment w:val="baseline"/>
        <w:rPr>
          <w:rStyle w:val="eop"/>
          <w:rFonts w:ascii="Arial" w:hAnsi="Arial" w:cs="Arial"/>
          <w:sz w:val="22"/>
          <w:szCs w:val="22"/>
        </w:rPr>
      </w:pPr>
      <w:r>
        <w:rPr>
          <w:rStyle w:val="eop"/>
          <w:rFonts w:ascii="Arial" w:hAnsi="Arial" w:cs="Arial"/>
          <w:sz w:val="22"/>
          <w:szCs w:val="22"/>
        </w:rPr>
        <w:t xml:space="preserve">Como </w:t>
      </w:r>
      <w:r w:rsidR="00CC66FB">
        <w:rPr>
          <w:rStyle w:val="eop"/>
          <w:rFonts w:ascii="Arial" w:hAnsi="Arial" w:cs="Arial"/>
          <w:sz w:val="22"/>
          <w:szCs w:val="22"/>
        </w:rPr>
        <w:t>se observa</w:t>
      </w:r>
      <w:r>
        <w:rPr>
          <w:rStyle w:val="eop"/>
          <w:rFonts w:ascii="Arial" w:hAnsi="Arial" w:cs="Arial"/>
          <w:sz w:val="22"/>
          <w:szCs w:val="22"/>
        </w:rPr>
        <w:t xml:space="preserve">, tanto para la licitación pública, como para los demás procedimientos de selección de contratistas, las normas legales y reglamentarias </w:t>
      </w:r>
      <w:r w:rsidR="00DF6091">
        <w:rPr>
          <w:rStyle w:val="eop"/>
          <w:rFonts w:ascii="Arial" w:hAnsi="Arial" w:cs="Arial"/>
          <w:sz w:val="22"/>
          <w:szCs w:val="22"/>
        </w:rPr>
        <w:t xml:space="preserve">preven la posibilidad de modificar los pliegos de condiciones a través de </w:t>
      </w:r>
      <w:r w:rsidR="00DF6091" w:rsidRPr="00B22ED1">
        <w:rPr>
          <w:rStyle w:val="eop"/>
          <w:rFonts w:ascii="Arial" w:hAnsi="Arial" w:cs="Arial"/>
          <w:i/>
          <w:iCs/>
          <w:sz w:val="22"/>
          <w:szCs w:val="22"/>
        </w:rPr>
        <w:t>adendas</w:t>
      </w:r>
      <w:r w:rsidR="00DF6091">
        <w:rPr>
          <w:rStyle w:val="eop"/>
          <w:rFonts w:ascii="Arial" w:hAnsi="Arial" w:cs="Arial"/>
          <w:sz w:val="22"/>
          <w:szCs w:val="22"/>
        </w:rPr>
        <w:t xml:space="preserve"> o, como lo ha señalado el Consejo de Estado, a través de respuestas a las observaciones, </w:t>
      </w:r>
      <w:r w:rsidR="00452532">
        <w:rPr>
          <w:rStyle w:val="eop"/>
          <w:rFonts w:ascii="Arial" w:hAnsi="Arial" w:cs="Arial"/>
          <w:sz w:val="22"/>
          <w:szCs w:val="22"/>
        </w:rPr>
        <w:t xml:space="preserve">que den lugar a variar el contenido del pliego de condiciones, </w:t>
      </w:r>
      <w:r w:rsidR="00DF6091">
        <w:rPr>
          <w:rStyle w:val="eop"/>
          <w:rFonts w:ascii="Arial" w:hAnsi="Arial" w:cs="Arial"/>
          <w:sz w:val="22"/>
          <w:szCs w:val="22"/>
        </w:rPr>
        <w:t xml:space="preserve">sin que para ello importe el nombre o la formalidad específica que adopte la entidad. </w:t>
      </w:r>
    </w:p>
    <w:p w14:paraId="2CDD74BB" w14:textId="1E793048" w:rsidR="005020CC" w:rsidRDefault="00DF6091" w:rsidP="001637D3">
      <w:pPr>
        <w:pStyle w:val="paragraph"/>
        <w:spacing w:before="0" w:beforeAutospacing="0" w:after="120" w:afterAutospacing="0" w:line="276" w:lineRule="auto"/>
        <w:ind w:firstLine="708"/>
        <w:jc w:val="both"/>
        <w:textAlignment w:val="baseline"/>
        <w:rPr>
          <w:rStyle w:val="eop"/>
          <w:rFonts w:ascii="Arial" w:hAnsi="Arial" w:cs="Arial"/>
          <w:sz w:val="22"/>
          <w:szCs w:val="22"/>
        </w:rPr>
      </w:pPr>
      <w:r>
        <w:rPr>
          <w:rStyle w:val="eop"/>
          <w:rFonts w:ascii="Arial" w:hAnsi="Arial" w:cs="Arial"/>
          <w:sz w:val="22"/>
          <w:szCs w:val="22"/>
        </w:rPr>
        <w:t xml:space="preserve">No obstante, en cualquiera de esos casos, es claro que existen ciertos límites para la publicación de las adendas. En primer lugar, es necesario que las mismas se publiquen entre las 7:00 am y las 7:00 pm de un día hábil. En segundo lugar, esta publicación debe </w:t>
      </w:r>
      <w:r w:rsidR="00691C14">
        <w:rPr>
          <w:rStyle w:val="eop"/>
          <w:rFonts w:ascii="Arial" w:hAnsi="Arial" w:cs="Arial"/>
          <w:sz w:val="22"/>
          <w:szCs w:val="22"/>
        </w:rPr>
        <w:t>realizarse</w:t>
      </w:r>
      <w:r>
        <w:rPr>
          <w:rStyle w:val="eop"/>
          <w:rFonts w:ascii="Arial" w:hAnsi="Arial" w:cs="Arial"/>
          <w:sz w:val="22"/>
          <w:szCs w:val="22"/>
        </w:rPr>
        <w:t xml:space="preserve"> a más tardar el día hábil anterior al vencimiento del plazo para presentar ofertas a la hora fijada para tal presentación. Así, si el plazo para presentar ofertas vence a las 3:00 pm del jueves 22 de octubre, el plazo para publicar adendas termina a las 3:00 pm del miercóles 21 de octubre.  En tercer lugar, existe una regla de excepción que deriva directamente del artículo 30-5 de la Ley 80 de 1993 y se reitera en la norma citada del Decreto 1082 de 2015: para la licitación pública las adendas deben publicarse con 3 días de anticipación al día hábil para presentar ofertas. </w:t>
      </w:r>
    </w:p>
    <w:p w14:paraId="3F92DFAC" w14:textId="2A3DF98C" w:rsidR="00DF6091" w:rsidRDefault="00DF6091" w:rsidP="001637D3">
      <w:pPr>
        <w:pStyle w:val="paragraph"/>
        <w:spacing w:before="0" w:beforeAutospacing="0" w:after="120" w:afterAutospacing="0" w:line="276" w:lineRule="auto"/>
        <w:ind w:firstLine="708"/>
        <w:jc w:val="both"/>
        <w:textAlignment w:val="baseline"/>
        <w:rPr>
          <w:rStyle w:val="eop"/>
          <w:rFonts w:ascii="Arial" w:hAnsi="Arial" w:cs="Arial"/>
          <w:sz w:val="22"/>
          <w:szCs w:val="22"/>
        </w:rPr>
      </w:pPr>
      <w:r>
        <w:rPr>
          <w:rStyle w:val="eop"/>
          <w:rFonts w:ascii="Arial" w:hAnsi="Arial" w:cs="Arial"/>
          <w:sz w:val="22"/>
          <w:szCs w:val="22"/>
        </w:rPr>
        <w:t xml:space="preserve">En ese orden de ideas, las normas </w:t>
      </w:r>
      <w:r w:rsidR="00254CA9">
        <w:rPr>
          <w:rStyle w:val="eop"/>
          <w:rFonts w:ascii="Arial" w:hAnsi="Arial" w:cs="Arial"/>
          <w:sz w:val="22"/>
          <w:szCs w:val="22"/>
        </w:rPr>
        <w:t>prevén</w:t>
      </w:r>
      <w:r>
        <w:rPr>
          <w:rStyle w:val="eop"/>
          <w:rFonts w:ascii="Arial" w:hAnsi="Arial" w:cs="Arial"/>
          <w:sz w:val="22"/>
          <w:szCs w:val="22"/>
        </w:rPr>
        <w:t xml:space="preserve"> dos límites temporales para la publicación de las adendas: i) 3 días hábiles antes del vencimiento del plazo para presentar ofertas para la licitación pública </w:t>
      </w:r>
      <w:r w:rsidR="00D91D04">
        <w:rPr>
          <w:rStyle w:val="eop"/>
          <w:rFonts w:ascii="Arial" w:hAnsi="Arial" w:cs="Arial"/>
          <w:sz w:val="22"/>
          <w:szCs w:val="22"/>
        </w:rPr>
        <w:t xml:space="preserve">y </w:t>
      </w:r>
      <w:r>
        <w:rPr>
          <w:rStyle w:val="eop"/>
          <w:rFonts w:ascii="Arial" w:hAnsi="Arial" w:cs="Arial"/>
          <w:sz w:val="22"/>
          <w:szCs w:val="22"/>
        </w:rPr>
        <w:t xml:space="preserve">ii) un día hábil antes del vencimiento del plazo para presentar ofertas para las demás modalidades de selección.  </w:t>
      </w:r>
    </w:p>
    <w:p w14:paraId="749F3CE7" w14:textId="10D37A1C" w:rsidR="001637D3" w:rsidRPr="00D91D04" w:rsidRDefault="00D91D04" w:rsidP="00D91D04">
      <w:pPr>
        <w:pStyle w:val="paragraph"/>
        <w:spacing w:before="0" w:beforeAutospacing="0" w:after="120" w:afterAutospacing="0" w:line="276" w:lineRule="auto"/>
        <w:ind w:firstLine="708"/>
        <w:jc w:val="both"/>
        <w:textAlignment w:val="baseline"/>
        <w:rPr>
          <w:rStyle w:val="normaltextrun"/>
          <w:rFonts w:ascii="Arial" w:hAnsi="Arial" w:cs="Arial"/>
          <w:sz w:val="22"/>
          <w:szCs w:val="22"/>
        </w:rPr>
      </w:pPr>
      <w:r>
        <w:rPr>
          <w:rStyle w:val="eop"/>
          <w:rFonts w:ascii="Arial" w:hAnsi="Arial" w:cs="Arial"/>
          <w:sz w:val="22"/>
          <w:szCs w:val="22"/>
        </w:rPr>
        <w:t xml:space="preserve">Quiere decir lo anterior que para las modalidades de selección de contratistas distintas de la licitación, </w:t>
      </w:r>
      <w:r w:rsidR="001637D3">
        <w:rPr>
          <w:rStyle w:val="normaltextrun"/>
          <w:rFonts w:ascii="Arial" w:hAnsi="Arial" w:cs="Arial"/>
          <w:sz w:val="22"/>
          <w:szCs w:val="22"/>
          <w:lang w:val="es-MX"/>
        </w:rPr>
        <w:t xml:space="preserve">la entidad estatal debe respetar el término del artículo 2.2.1.1.2.2.1, y por ende, </w:t>
      </w:r>
      <w:r w:rsidR="00452532">
        <w:rPr>
          <w:rStyle w:val="normaltextrun"/>
          <w:rFonts w:ascii="Arial" w:hAnsi="Arial" w:cs="Arial"/>
          <w:sz w:val="22"/>
          <w:szCs w:val="22"/>
          <w:lang w:val="es-MX"/>
        </w:rPr>
        <w:t xml:space="preserve">solo puede </w:t>
      </w:r>
      <w:r w:rsidR="001637D3">
        <w:rPr>
          <w:rStyle w:val="normaltextrun"/>
          <w:rFonts w:ascii="Arial" w:hAnsi="Arial" w:cs="Arial"/>
          <w:sz w:val="22"/>
          <w:szCs w:val="22"/>
          <w:lang w:val="es-MX"/>
        </w:rPr>
        <w:t>expedir y publicar adendas a más tardar el día hábil anterior</w:t>
      </w:r>
      <w:r>
        <w:rPr>
          <w:rStyle w:val="normaltextrun"/>
          <w:rFonts w:ascii="Arial" w:hAnsi="Arial" w:cs="Arial"/>
          <w:sz w:val="22"/>
          <w:szCs w:val="22"/>
          <w:lang w:val="es-MX"/>
        </w:rPr>
        <w:t>.</w:t>
      </w:r>
      <w:r w:rsidR="001637D3">
        <w:rPr>
          <w:rStyle w:val="normaltextrun"/>
          <w:rFonts w:ascii="Arial" w:hAnsi="Arial" w:cs="Arial"/>
          <w:sz w:val="22"/>
          <w:szCs w:val="22"/>
          <w:lang w:val="es-MX"/>
        </w:rPr>
        <w:t xml:space="preserve"> </w:t>
      </w:r>
      <w:r>
        <w:rPr>
          <w:rStyle w:val="normaltextrun"/>
          <w:rFonts w:ascii="Arial" w:hAnsi="Arial" w:cs="Arial"/>
          <w:sz w:val="22"/>
          <w:szCs w:val="22"/>
          <w:lang w:val="es-MX"/>
        </w:rPr>
        <w:t>E</w:t>
      </w:r>
      <w:r w:rsidR="001637D3">
        <w:rPr>
          <w:rStyle w:val="normaltextrun"/>
          <w:rFonts w:ascii="Arial" w:hAnsi="Arial" w:cs="Arial"/>
          <w:sz w:val="22"/>
          <w:szCs w:val="22"/>
          <w:lang w:val="es-MX"/>
        </w:rPr>
        <w:t>s decir</w:t>
      </w:r>
      <w:r w:rsidRPr="00D91D04">
        <w:rPr>
          <w:rStyle w:val="normaltextrun"/>
          <w:rFonts w:ascii="Arial" w:hAnsi="Arial" w:cs="Arial"/>
          <w:sz w:val="22"/>
          <w:szCs w:val="22"/>
          <w:lang w:val="es-MX"/>
        </w:rPr>
        <w:t xml:space="preserve"> </w:t>
      </w:r>
      <w:r>
        <w:rPr>
          <w:rStyle w:val="normaltextrun"/>
          <w:rFonts w:ascii="Arial" w:hAnsi="Arial" w:cs="Arial"/>
          <w:sz w:val="22"/>
          <w:szCs w:val="22"/>
          <w:lang w:val="es-MX"/>
        </w:rPr>
        <w:t>que, se reitera,</w:t>
      </w:r>
      <w:r w:rsidR="001637D3">
        <w:rPr>
          <w:rStyle w:val="normaltextrun"/>
          <w:rFonts w:ascii="Arial" w:hAnsi="Arial" w:cs="Arial"/>
          <w:sz w:val="22"/>
          <w:szCs w:val="22"/>
          <w:lang w:val="es-MX"/>
        </w:rPr>
        <w:t xml:space="preserve"> en ningún caso puede transcurrir menos de un día hábil entre la publicación </w:t>
      </w:r>
      <w:r w:rsidR="006B0EF4">
        <w:rPr>
          <w:rStyle w:val="normaltextrun"/>
          <w:rFonts w:ascii="Arial" w:hAnsi="Arial" w:cs="Arial"/>
          <w:sz w:val="22"/>
          <w:szCs w:val="22"/>
          <w:lang w:val="es-MX"/>
        </w:rPr>
        <w:t>de</w:t>
      </w:r>
      <w:r w:rsidR="00557300">
        <w:rPr>
          <w:rStyle w:val="normaltextrun"/>
          <w:rFonts w:ascii="Arial" w:hAnsi="Arial" w:cs="Arial"/>
          <w:sz w:val="22"/>
          <w:szCs w:val="22"/>
          <w:lang w:val="es-MX"/>
        </w:rPr>
        <w:t xml:space="preserve"> una</w:t>
      </w:r>
      <w:r w:rsidR="001637D3">
        <w:rPr>
          <w:rStyle w:val="normaltextrun"/>
          <w:rFonts w:ascii="Arial" w:hAnsi="Arial" w:cs="Arial"/>
          <w:sz w:val="22"/>
          <w:szCs w:val="22"/>
          <w:lang w:val="es-MX"/>
        </w:rPr>
        <w:t xml:space="preserve"> adenda</w:t>
      </w:r>
      <w:r w:rsidR="00557300">
        <w:rPr>
          <w:rStyle w:val="normaltextrun"/>
          <w:rFonts w:ascii="Arial" w:hAnsi="Arial" w:cs="Arial"/>
          <w:sz w:val="22"/>
          <w:szCs w:val="22"/>
          <w:lang w:val="es-MX"/>
        </w:rPr>
        <w:t>, de cualquier tipo,</w:t>
      </w:r>
      <w:r w:rsidR="001637D3">
        <w:rPr>
          <w:rStyle w:val="normaltextrun"/>
          <w:rFonts w:ascii="Arial" w:hAnsi="Arial" w:cs="Arial"/>
          <w:sz w:val="22"/>
          <w:szCs w:val="22"/>
          <w:lang w:val="es-MX"/>
        </w:rPr>
        <w:t xml:space="preserve"> y el momento </w:t>
      </w:r>
      <w:r w:rsidR="00452532">
        <w:rPr>
          <w:rStyle w:val="normaltextrun"/>
          <w:rFonts w:ascii="Arial" w:hAnsi="Arial" w:cs="Arial"/>
          <w:sz w:val="22"/>
          <w:szCs w:val="22"/>
          <w:lang w:val="es-MX"/>
        </w:rPr>
        <w:t xml:space="preserve">previsto para </w:t>
      </w:r>
      <w:r w:rsidR="001637D3">
        <w:rPr>
          <w:rStyle w:val="normaltextrun"/>
          <w:rFonts w:ascii="Arial" w:hAnsi="Arial" w:cs="Arial"/>
          <w:sz w:val="22"/>
          <w:szCs w:val="22"/>
          <w:lang w:val="es-MX"/>
        </w:rPr>
        <w:t>que los proponentes present</w:t>
      </w:r>
      <w:r w:rsidR="00452532">
        <w:rPr>
          <w:rStyle w:val="normaltextrun"/>
          <w:rFonts w:ascii="Arial" w:hAnsi="Arial" w:cs="Arial"/>
          <w:sz w:val="22"/>
          <w:szCs w:val="22"/>
          <w:lang w:val="es-MX"/>
        </w:rPr>
        <w:t>en sus</w:t>
      </w:r>
      <w:r w:rsidR="001637D3">
        <w:rPr>
          <w:rStyle w:val="normaltextrun"/>
          <w:rFonts w:ascii="Arial" w:hAnsi="Arial" w:cs="Arial"/>
          <w:sz w:val="22"/>
          <w:szCs w:val="22"/>
          <w:lang w:val="es-MX"/>
        </w:rPr>
        <w:t xml:space="preserve"> propuestas. </w:t>
      </w:r>
    </w:p>
    <w:p w14:paraId="13E3E6C1" w14:textId="77777777" w:rsidR="00CC77BC" w:rsidRPr="00D6766B" w:rsidRDefault="00CC77BC" w:rsidP="001637D3">
      <w:pPr>
        <w:spacing w:line="276" w:lineRule="auto"/>
        <w:jc w:val="both"/>
        <w:rPr>
          <w:rFonts w:ascii="Arial" w:eastAsia="Calibri" w:hAnsi="Arial" w:cs="Arial"/>
          <w:bCs/>
          <w:color w:val="000000" w:themeColor="text1"/>
          <w:sz w:val="22"/>
          <w:lang w:val="es-ES"/>
        </w:rPr>
      </w:pPr>
    </w:p>
    <w:p w14:paraId="2B2F40CA" w14:textId="77777777" w:rsidR="00D6766B" w:rsidRPr="00144291" w:rsidRDefault="00D6766B" w:rsidP="00D6766B">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4ED54320" w14:textId="275395A0" w:rsidR="00D6766B" w:rsidRDefault="00D6766B" w:rsidP="00D6766B">
      <w:pPr>
        <w:ind w:right="709"/>
        <w:jc w:val="both"/>
        <w:rPr>
          <w:rFonts w:ascii="Arial" w:eastAsia="Calibri" w:hAnsi="Arial" w:cs="Arial"/>
          <w:color w:val="000000" w:themeColor="text1"/>
          <w:sz w:val="21"/>
          <w:szCs w:val="21"/>
          <w:lang w:val="es-ES"/>
        </w:rPr>
      </w:pPr>
    </w:p>
    <w:p w14:paraId="023EFE27" w14:textId="77777777" w:rsidR="00AD679B" w:rsidRDefault="00AD679B" w:rsidP="00AD679B">
      <w:pPr>
        <w:ind w:left="720" w:right="709"/>
        <w:jc w:val="both"/>
      </w:pPr>
      <w:r w:rsidRPr="00AD679B">
        <w:rPr>
          <w:rFonts w:ascii="Arial" w:eastAsia="Calibri" w:hAnsi="Arial" w:cs="Arial"/>
          <w:color w:val="000000" w:themeColor="text1"/>
          <w:sz w:val="21"/>
          <w:szCs w:val="21"/>
          <w:lang w:val="es-ES"/>
        </w:rPr>
        <w:t>¿Rigen para los municipios las normas sobre observaciones y publicación de adendas del Estatuto General de Contratación de la Administración Pública y sus normas reglamentarias, en particular el artículo 2.2.1.1.2.2.1 del Decreto 1082 de 2015?</w:t>
      </w:r>
      <w:r w:rsidRPr="00AD679B">
        <w:t xml:space="preserve"> </w:t>
      </w:r>
    </w:p>
    <w:p w14:paraId="79DB48F7" w14:textId="4B1A816F" w:rsidR="00AD679B" w:rsidRDefault="00AD679B" w:rsidP="00AD679B">
      <w:pPr>
        <w:ind w:right="709"/>
        <w:jc w:val="both"/>
      </w:pPr>
    </w:p>
    <w:p w14:paraId="777C0F93" w14:textId="4F161078" w:rsidR="00C673AF" w:rsidRDefault="00C673AF" w:rsidP="00B22ED1">
      <w:pPr>
        <w:spacing w:line="276" w:lineRule="auto"/>
        <w:jc w:val="both"/>
        <w:rPr>
          <w:rFonts w:ascii="Arial" w:eastAsia="Calibri" w:hAnsi="Arial" w:cs="Arial"/>
          <w:sz w:val="22"/>
          <w:lang w:val="es-ES"/>
        </w:rPr>
      </w:pPr>
      <w:r>
        <w:rPr>
          <w:rFonts w:ascii="Arial" w:eastAsia="Calibri" w:hAnsi="Arial" w:cs="Arial"/>
          <w:sz w:val="22"/>
          <w:lang w:val="es-ES"/>
        </w:rPr>
        <w:t xml:space="preserve">La ley 80 de 1993 tiene por objeto, según su artículo 1, </w:t>
      </w:r>
      <w:r w:rsidR="00452532">
        <w:rPr>
          <w:rFonts w:ascii="Arial" w:eastAsia="Calibri" w:hAnsi="Arial" w:cs="Arial"/>
          <w:sz w:val="22"/>
          <w:lang w:val="es-ES"/>
        </w:rPr>
        <w:t>«</w:t>
      </w:r>
      <w:r>
        <w:rPr>
          <w:rFonts w:ascii="Arial" w:eastAsia="Calibri" w:hAnsi="Arial" w:cs="Arial"/>
          <w:sz w:val="22"/>
          <w:lang w:val="es-ES"/>
        </w:rPr>
        <w:t>disponer las reglas y principios que rigen los contratos de las entidades estatales</w:t>
      </w:r>
      <w:r w:rsidR="00452532">
        <w:rPr>
          <w:rFonts w:ascii="Arial" w:eastAsia="Calibri" w:hAnsi="Arial" w:cs="Arial"/>
          <w:sz w:val="22"/>
          <w:lang w:val="es-ES"/>
        </w:rPr>
        <w:t>»</w:t>
      </w:r>
      <w:r>
        <w:rPr>
          <w:rFonts w:ascii="Arial" w:eastAsia="Calibri" w:hAnsi="Arial" w:cs="Arial"/>
          <w:sz w:val="22"/>
          <w:lang w:val="es-ES"/>
        </w:rPr>
        <w:t xml:space="preserve">. El artículo 2 del mismo instrumento normativo define con precisión cuáles entidades públicas son entidades estatales para los </w:t>
      </w:r>
      <w:r>
        <w:rPr>
          <w:rFonts w:ascii="Arial" w:eastAsia="Calibri" w:hAnsi="Arial" w:cs="Arial"/>
          <w:sz w:val="22"/>
          <w:lang w:val="es-ES"/>
        </w:rPr>
        <w:lastRenderedPageBreak/>
        <w:t xml:space="preserve">efectos del Estatuto General de Contratación de la Administración Pública. En esa norma se establece lo siguiente: </w:t>
      </w:r>
    </w:p>
    <w:p w14:paraId="6ABDAFE9" w14:textId="77777777" w:rsidR="004F5229" w:rsidRDefault="004F5229" w:rsidP="00B22ED1">
      <w:pPr>
        <w:spacing w:line="276" w:lineRule="auto"/>
        <w:jc w:val="both"/>
        <w:rPr>
          <w:rFonts w:ascii="Arial" w:eastAsia="Calibri" w:hAnsi="Arial" w:cs="Arial"/>
          <w:sz w:val="22"/>
          <w:lang w:val="es-ES"/>
        </w:rPr>
      </w:pPr>
    </w:p>
    <w:p w14:paraId="6D6E6446" w14:textId="5A6D8C5E" w:rsidR="00C673AF" w:rsidRPr="00E038A7" w:rsidRDefault="00811F4C" w:rsidP="00B22ED1">
      <w:pPr>
        <w:spacing w:after="120"/>
        <w:ind w:left="709" w:right="709"/>
        <w:jc w:val="both"/>
        <w:rPr>
          <w:rFonts w:ascii="Arial" w:eastAsia="Calibri" w:hAnsi="Arial" w:cs="Arial"/>
          <w:sz w:val="21"/>
          <w:szCs w:val="22"/>
        </w:rPr>
      </w:pPr>
      <w:r w:rsidRPr="00E038A7">
        <w:rPr>
          <w:rFonts w:ascii="Arial" w:eastAsia="Calibri" w:hAnsi="Arial" w:cs="Arial"/>
          <w:sz w:val="21"/>
          <w:szCs w:val="22"/>
        </w:rPr>
        <w:t>A</w:t>
      </w:r>
      <w:r>
        <w:rPr>
          <w:rFonts w:ascii="Arial" w:eastAsia="Calibri" w:hAnsi="Arial" w:cs="Arial"/>
          <w:sz w:val="21"/>
          <w:szCs w:val="22"/>
        </w:rPr>
        <w:t>rtículo</w:t>
      </w:r>
      <w:r w:rsidRPr="00E038A7">
        <w:rPr>
          <w:rFonts w:ascii="Arial" w:eastAsia="Calibri" w:hAnsi="Arial" w:cs="Arial"/>
          <w:sz w:val="21"/>
          <w:szCs w:val="22"/>
        </w:rPr>
        <w:t xml:space="preserve"> </w:t>
      </w:r>
      <w:r w:rsidR="00C673AF" w:rsidRPr="00E038A7">
        <w:rPr>
          <w:rFonts w:ascii="Arial" w:eastAsia="Calibri" w:hAnsi="Arial" w:cs="Arial"/>
          <w:sz w:val="21"/>
          <w:szCs w:val="22"/>
        </w:rPr>
        <w:t xml:space="preserve">2o. </w:t>
      </w:r>
      <w:r>
        <w:rPr>
          <w:rFonts w:ascii="Arial" w:eastAsia="Calibri" w:hAnsi="Arial" w:cs="Arial"/>
          <w:sz w:val="21"/>
          <w:szCs w:val="22"/>
        </w:rPr>
        <w:t>D</w:t>
      </w:r>
      <w:r w:rsidRPr="00E038A7">
        <w:rPr>
          <w:rFonts w:ascii="Arial" w:eastAsia="Calibri" w:hAnsi="Arial" w:cs="Arial"/>
          <w:sz w:val="21"/>
          <w:szCs w:val="22"/>
        </w:rPr>
        <w:t>e la definición de entidades, servidores y servicios públicos</w:t>
      </w:r>
      <w:r w:rsidR="00C673AF" w:rsidRPr="00E038A7">
        <w:rPr>
          <w:rFonts w:ascii="Arial" w:eastAsia="Calibri" w:hAnsi="Arial" w:cs="Arial"/>
          <w:sz w:val="21"/>
          <w:szCs w:val="22"/>
        </w:rPr>
        <w:t>.</w:t>
      </w:r>
      <w:r w:rsidR="00C673AF" w:rsidRPr="00E038A7">
        <w:rPr>
          <w:rFonts w:ascii="Arial" w:eastAsia="Calibri" w:hAnsi="Arial" w:cs="Arial"/>
          <w:b/>
          <w:bCs/>
          <w:sz w:val="21"/>
          <w:szCs w:val="22"/>
        </w:rPr>
        <w:t> </w:t>
      </w:r>
      <w:r w:rsidR="00C673AF" w:rsidRPr="00E038A7">
        <w:rPr>
          <w:rFonts w:ascii="Arial" w:eastAsia="Calibri" w:hAnsi="Arial" w:cs="Arial"/>
          <w:sz w:val="21"/>
          <w:szCs w:val="22"/>
        </w:rPr>
        <w:t>Para los solos efectos de esta ley:</w:t>
      </w:r>
    </w:p>
    <w:p w14:paraId="3F09C498" w14:textId="77777777" w:rsidR="00C673AF" w:rsidRPr="002C11F5" w:rsidRDefault="00C673AF" w:rsidP="00B22ED1">
      <w:pPr>
        <w:spacing w:after="120"/>
        <w:ind w:left="709" w:right="709"/>
        <w:jc w:val="both"/>
        <w:rPr>
          <w:rFonts w:ascii="Arial" w:eastAsia="Calibri" w:hAnsi="Arial" w:cs="Arial"/>
          <w:sz w:val="21"/>
          <w:szCs w:val="22"/>
        </w:rPr>
      </w:pPr>
      <w:r w:rsidRPr="002C11F5">
        <w:rPr>
          <w:rFonts w:ascii="Arial" w:eastAsia="Calibri" w:hAnsi="Arial" w:cs="Arial"/>
          <w:sz w:val="21"/>
          <w:szCs w:val="22"/>
        </w:rPr>
        <w:t xml:space="preserve">1o. </w:t>
      </w:r>
      <w:r w:rsidRPr="002C11F5">
        <w:rPr>
          <w:rFonts w:ascii="Arial" w:eastAsia="Calibri" w:hAnsi="Arial" w:cs="Arial"/>
          <w:i/>
          <w:iCs/>
          <w:sz w:val="21"/>
          <w:szCs w:val="22"/>
        </w:rPr>
        <w:t>Se denominan entidades estatales</w:t>
      </w:r>
      <w:r w:rsidRPr="002C11F5">
        <w:rPr>
          <w:rFonts w:ascii="Arial" w:eastAsia="Calibri" w:hAnsi="Arial" w:cs="Arial"/>
          <w:sz w:val="21"/>
          <w:szCs w:val="22"/>
        </w:rPr>
        <w:t>:</w:t>
      </w:r>
    </w:p>
    <w:p w14:paraId="74C7DC19" w14:textId="77777777" w:rsidR="00C673AF" w:rsidRDefault="00C673AF" w:rsidP="00B22ED1">
      <w:pPr>
        <w:ind w:left="709" w:right="709"/>
        <w:jc w:val="both"/>
        <w:rPr>
          <w:rFonts w:ascii="Arial" w:eastAsia="Calibri" w:hAnsi="Arial" w:cs="Arial"/>
          <w:sz w:val="21"/>
          <w:szCs w:val="22"/>
          <w:lang w:val="es-ES"/>
        </w:rPr>
      </w:pPr>
      <w:r w:rsidRPr="002C11F5">
        <w:rPr>
          <w:rFonts w:ascii="Arial" w:eastAsia="Calibri" w:hAnsi="Arial" w:cs="Arial"/>
          <w:sz w:val="21"/>
          <w:szCs w:val="22"/>
        </w:rPr>
        <w:t xml:space="preserve">a) La Nación, las regiones, los departamentos, las provincias, </w:t>
      </w:r>
      <w:r w:rsidRPr="002C11F5">
        <w:rPr>
          <w:rFonts w:ascii="Arial" w:eastAsia="Calibri" w:hAnsi="Arial" w:cs="Arial"/>
          <w:i/>
          <w:iCs/>
          <w:sz w:val="21"/>
          <w:szCs w:val="22"/>
        </w:rPr>
        <w:t>el distrito capital y los distritos especiales, las áreas metropolitanas, las asociaciones de municipios, los territorios indígenas y los municipios</w:t>
      </w:r>
      <w:r w:rsidRPr="002C11F5">
        <w:rPr>
          <w:rFonts w:ascii="Arial" w:eastAsia="Calibri" w:hAnsi="Arial" w:cs="Arial"/>
          <w:sz w:val="21"/>
          <w:szCs w:val="22"/>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Fonts w:ascii="Arial" w:eastAsia="Calibri" w:hAnsi="Arial" w:cs="Arial"/>
          <w:sz w:val="21"/>
          <w:szCs w:val="22"/>
          <w:lang w:val="es-ES"/>
        </w:rPr>
        <w:t xml:space="preserve"> (cursiva fuera de texto)</w:t>
      </w:r>
    </w:p>
    <w:p w14:paraId="3253A5F7" w14:textId="77777777" w:rsidR="00C673AF" w:rsidRPr="00E038A7" w:rsidRDefault="00C673AF" w:rsidP="00C673AF">
      <w:pPr>
        <w:ind w:left="720" w:right="788"/>
        <w:jc w:val="both"/>
        <w:rPr>
          <w:rFonts w:ascii="Arial" w:eastAsia="Calibri" w:hAnsi="Arial" w:cs="Arial"/>
          <w:sz w:val="21"/>
          <w:szCs w:val="22"/>
          <w:lang w:val="es-ES"/>
        </w:rPr>
      </w:pPr>
    </w:p>
    <w:p w14:paraId="290A74F5" w14:textId="4B1D1349" w:rsidR="00811F4C" w:rsidRDefault="00C673AF" w:rsidP="00C673AF">
      <w:pPr>
        <w:spacing w:after="120" w:line="276" w:lineRule="auto"/>
        <w:ind w:firstLine="720"/>
        <w:jc w:val="both"/>
        <w:rPr>
          <w:rFonts w:ascii="Arial" w:eastAsia="Calibri" w:hAnsi="Arial" w:cs="Arial"/>
          <w:sz w:val="22"/>
          <w:lang w:val="es-ES"/>
        </w:rPr>
      </w:pPr>
      <w:r>
        <w:rPr>
          <w:rFonts w:ascii="Arial" w:eastAsia="Calibri" w:hAnsi="Arial" w:cs="Arial"/>
          <w:sz w:val="22"/>
          <w:lang w:val="es-ES"/>
        </w:rPr>
        <w:t xml:space="preserve">Como se </w:t>
      </w:r>
      <w:r w:rsidR="00811F4C">
        <w:rPr>
          <w:rFonts w:ascii="Arial" w:eastAsia="Calibri" w:hAnsi="Arial" w:cs="Arial"/>
          <w:sz w:val="22"/>
          <w:lang w:val="es-ES"/>
        </w:rPr>
        <w:t>observa</w:t>
      </w:r>
      <w:r>
        <w:rPr>
          <w:rFonts w:ascii="Arial" w:eastAsia="Calibri" w:hAnsi="Arial" w:cs="Arial"/>
          <w:sz w:val="22"/>
          <w:lang w:val="es-ES"/>
        </w:rPr>
        <w:t>, los municipios son, sin lugar a duda, entidades estatales para los efectos del Estatuto General de Contratación de la Administración Pública, de lo cual se deriva que se encuentran sometid</w:t>
      </w:r>
      <w:r w:rsidR="00A771CF">
        <w:rPr>
          <w:rFonts w:ascii="Arial" w:eastAsia="Calibri" w:hAnsi="Arial" w:cs="Arial"/>
          <w:sz w:val="22"/>
          <w:lang w:val="es-ES"/>
        </w:rPr>
        <w:t>o</w:t>
      </w:r>
      <w:r>
        <w:rPr>
          <w:rFonts w:ascii="Arial" w:eastAsia="Calibri" w:hAnsi="Arial" w:cs="Arial"/>
          <w:sz w:val="22"/>
          <w:lang w:val="es-ES"/>
        </w:rPr>
        <w:t>s a sus reglas y principios</w:t>
      </w:r>
      <w:r w:rsidR="00811F4C">
        <w:rPr>
          <w:rFonts w:ascii="Arial" w:eastAsia="Calibri" w:hAnsi="Arial" w:cs="Arial"/>
          <w:sz w:val="22"/>
          <w:lang w:val="es-ES"/>
        </w:rPr>
        <w:t>, lo que se deduce de su inclusión expresa en la disposición citada.</w:t>
      </w:r>
      <w:r>
        <w:rPr>
          <w:rFonts w:ascii="Arial" w:eastAsia="Calibri" w:hAnsi="Arial" w:cs="Arial"/>
          <w:sz w:val="22"/>
          <w:lang w:val="es-ES"/>
        </w:rPr>
        <w:t xml:space="preserve"> </w:t>
      </w:r>
    </w:p>
    <w:p w14:paraId="4E12CA5F" w14:textId="44CA8984" w:rsidR="00C673AF" w:rsidRDefault="00C673AF" w:rsidP="00C673AF">
      <w:pPr>
        <w:spacing w:after="120" w:line="276" w:lineRule="auto"/>
        <w:ind w:firstLine="720"/>
        <w:jc w:val="both"/>
        <w:rPr>
          <w:rFonts w:ascii="Arial" w:eastAsia="Calibri" w:hAnsi="Arial" w:cs="Arial"/>
          <w:sz w:val="22"/>
          <w:lang w:val="es-ES"/>
        </w:rPr>
      </w:pPr>
      <w:r>
        <w:rPr>
          <w:rFonts w:ascii="Arial" w:eastAsia="Calibri" w:hAnsi="Arial" w:cs="Arial"/>
          <w:sz w:val="22"/>
          <w:lang w:val="es-ES"/>
        </w:rPr>
        <w:t xml:space="preserve">Adicionalmente, se considera relevante anotar que, una vez estudiado el ordenamiento jurídico, no fue posible encontrar norma alguna, posterior, especial, o del Estatuto General de Contratación, que excluyera a los municipios de la aplicación del régimen general de contratación pública de las entidades estatales. </w:t>
      </w:r>
    </w:p>
    <w:p w14:paraId="2FC59CBB" w14:textId="3460617D" w:rsidR="00AD679B" w:rsidRPr="004F5229" w:rsidRDefault="00C673AF" w:rsidP="004F5229">
      <w:pPr>
        <w:spacing w:line="276" w:lineRule="auto"/>
        <w:ind w:firstLine="720"/>
        <w:jc w:val="both"/>
        <w:rPr>
          <w:rFonts w:ascii="Arial" w:eastAsia="Calibri" w:hAnsi="Arial" w:cs="Arial"/>
          <w:sz w:val="22"/>
          <w:lang w:val="es-ES"/>
        </w:rPr>
      </w:pPr>
      <w:r>
        <w:rPr>
          <w:rFonts w:ascii="Arial" w:eastAsia="Calibri" w:hAnsi="Arial" w:cs="Arial"/>
          <w:sz w:val="22"/>
          <w:lang w:val="es-ES"/>
        </w:rPr>
        <w:t xml:space="preserve">Así las cosas, se puede concluir que tanto las normas del Estatuto General de Contratación de la Administración Pública, como todas sus normas reglamentarias, y en particular las disposiciones del Decreto 1082 de 2015, resultan plenamente aplicables a los municipios en su condición de entidades estatales para los efectos de la Ley 80 de 1993.  </w:t>
      </w:r>
    </w:p>
    <w:p w14:paraId="11490BED" w14:textId="77777777" w:rsidR="004F5229" w:rsidRDefault="004F5229" w:rsidP="004F5229">
      <w:pPr>
        <w:ind w:left="720" w:right="709"/>
        <w:jc w:val="both"/>
        <w:rPr>
          <w:rFonts w:ascii="Arial" w:eastAsia="Calibri" w:hAnsi="Arial" w:cs="Arial"/>
          <w:color w:val="000000" w:themeColor="text1"/>
          <w:sz w:val="21"/>
          <w:szCs w:val="21"/>
          <w:lang w:val="es-ES"/>
        </w:rPr>
      </w:pPr>
    </w:p>
    <w:p w14:paraId="5F5D12E8" w14:textId="3343A327" w:rsidR="00A93465" w:rsidRDefault="00452532" w:rsidP="004F5229">
      <w:pPr>
        <w:ind w:left="720"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2"/>
          <w:lang w:val="es-ES"/>
        </w:rPr>
        <w:t xml:space="preserve">En el evento en que se publique una adenda con antelación menor a un día hábil al vencimiento del plazo para presentar ofertas </w:t>
      </w:r>
      <w:r w:rsidR="00AD679B" w:rsidRPr="00AD679B">
        <w:rPr>
          <w:rFonts w:ascii="Arial" w:eastAsia="Calibri" w:hAnsi="Arial" w:cs="Arial"/>
          <w:color w:val="000000" w:themeColor="text1"/>
          <w:sz w:val="21"/>
          <w:szCs w:val="21"/>
          <w:lang w:val="es-ES"/>
        </w:rPr>
        <w:t>¿Se debe modificar la fecha de cierre para permitir que los proponentes cuenten con un tiempo de análisis y preparación suficiente?</w:t>
      </w:r>
    </w:p>
    <w:p w14:paraId="7A4496F6" w14:textId="77777777" w:rsidR="004F5229" w:rsidRDefault="004F5229" w:rsidP="004F5229">
      <w:pPr>
        <w:ind w:left="720" w:right="709"/>
        <w:jc w:val="both"/>
        <w:rPr>
          <w:rFonts w:ascii="Arial" w:eastAsia="Calibri" w:hAnsi="Arial" w:cs="Arial"/>
          <w:color w:val="000000" w:themeColor="text1"/>
          <w:sz w:val="21"/>
          <w:szCs w:val="21"/>
          <w:lang w:val="es-ES"/>
        </w:rPr>
      </w:pPr>
    </w:p>
    <w:p w14:paraId="62E24369" w14:textId="1A0B9749" w:rsidR="000727C6" w:rsidRDefault="00452532" w:rsidP="004F5229">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AD679B">
        <w:rPr>
          <w:rFonts w:ascii="Arial" w:eastAsia="Calibri" w:hAnsi="Arial" w:cs="Arial"/>
          <w:color w:val="000000" w:themeColor="text1"/>
          <w:sz w:val="22"/>
          <w:lang w:val="es-ES"/>
        </w:rPr>
        <w:t xml:space="preserve">xiste una obligación de carácter legal y reglamentario de publicar las adendas como mínimo 3 días antes del cierre para la licitación y un día antes del cierre para las demás modalidades de selección. </w:t>
      </w:r>
      <w:r w:rsidR="006C1001">
        <w:rPr>
          <w:rFonts w:ascii="Arial" w:eastAsia="Calibri" w:hAnsi="Arial" w:cs="Arial"/>
          <w:color w:val="000000" w:themeColor="text1"/>
          <w:sz w:val="22"/>
          <w:lang w:val="es-ES"/>
        </w:rPr>
        <w:t>Por tanto, no se pueden publicar adenda</w:t>
      </w:r>
      <w:r w:rsidR="00A771CF">
        <w:rPr>
          <w:rFonts w:ascii="Arial" w:eastAsia="Calibri" w:hAnsi="Arial" w:cs="Arial"/>
          <w:color w:val="000000" w:themeColor="text1"/>
          <w:sz w:val="22"/>
          <w:lang w:val="es-ES"/>
        </w:rPr>
        <w:t>s</w:t>
      </w:r>
      <w:r w:rsidR="006C1001">
        <w:rPr>
          <w:rFonts w:ascii="Arial" w:eastAsia="Calibri" w:hAnsi="Arial" w:cs="Arial"/>
          <w:color w:val="000000" w:themeColor="text1"/>
          <w:sz w:val="22"/>
          <w:lang w:val="es-ES"/>
        </w:rPr>
        <w:t xml:space="preserve"> </w:t>
      </w:r>
      <w:r w:rsidR="00A771CF">
        <w:rPr>
          <w:rFonts w:ascii="Arial" w:eastAsia="Calibri" w:hAnsi="Arial" w:cs="Arial"/>
          <w:color w:val="000000" w:themeColor="text1"/>
          <w:sz w:val="22"/>
          <w:lang w:val="es-ES"/>
        </w:rPr>
        <w:t>después de vencidos</w:t>
      </w:r>
      <w:r w:rsidR="006C1001">
        <w:rPr>
          <w:rFonts w:ascii="Arial" w:eastAsia="Calibri" w:hAnsi="Arial" w:cs="Arial"/>
          <w:color w:val="000000" w:themeColor="text1"/>
          <w:sz w:val="22"/>
          <w:lang w:val="es-ES"/>
        </w:rPr>
        <w:t xml:space="preserve"> los términos recién referidos</w:t>
      </w:r>
      <w:r>
        <w:rPr>
          <w:rFonts w:ascii="Arial" w:eastAsia="Calibri" w:hAnsi="Arial" w:cs="Arial"/>
          <w:color w:val="000000" w:themeColor="text1"/>
          <w:sz w:val="22"/>
          <w:lang w:val="es-ES"/>
        </w:rPr>
        <w:t>. Es decir, los anteriores constituyen límites temporales frente a la oportunidad para expedir y publicar adendas.</w:t>
      </w:r>
    </w:p>
    <w:p w14:paraId="218B1A04" w14:textId="499A905E" w:rsidR="00AD679B" w:rsidRDefault="000727C6" w:rsidP="000727C6">
      <w:pPr>
        <w:spacing w:before="120" w:line="276" w:lineRule="auto"/>
        <w:ind w:firstLine="720"/>
        <w:jc w:val="both"/>
        <w:rPr>
          <w:rFonts w:ascii="Arial" w:eastAsia="Calibri" w:hAnsi="Arial" w:cs="Arial"/>
          <w:bCs/>
          <w:color w:val="000000" w:themeColor="text1"/>
          <w:sz w:val="22"/>
          <w:lang w:val="es-MX"/>
        </w:rPr>
      </w:pPr>
      <w:r>
        <w:rPr>
          <w:rFonts w:ascii="Arial" w:eastAsia="Calibri" w:hAnsi="Arial" w:cs="Arial"/>
          <w:color w:val="000000" w:themeColor="text1"/>
          <w:sz w:val="22"/>
          <w:lang w:val="es-ES"/>
        </w:rPr>
        <w:t xml:space="preserve">De conformidad con los artículos 3 numeral 5, y 11 numeral 8 del Decreto 4170 de 2011, </w:t>
      </w:r>
      <w:r w:rsidR="004F4092">
        <w:rPr>
          <w:rFonts w:ascii="Arial" w:eastAsia="Calibri" w:hAnsi="Arial" w:cs="Arial"/>
          <w:color w:val="000000" w:themeColor="text1"/>
          <w:sz w:val="22"/>
          <w:lang w:val="es-ES"/>
        </w:rPr>
        <w:t xml:space="preserve">a </w:t>
      </w:r>
      <w:r>
        <w:rPr>
          <w:rFonts w:ascii="Arial" w:eastAsia="Calibri" w:hAnsi="Arial" w:cs="Arial"/>
          <w:color w:val="000000" w:themeColor="text1"/>
          <w:sz w:val="22"/>
          <w:lang w:val="es-ES"/>
        </w:rPr>
        <w:t xml:space="preserve">la </w:t>
      </w:r>
      <w:r w:rsidR="004F4092">
        <w:rPr>
          <w:rFonts w:ascii="Arial" w:eastAsia="Calibri" w:hAnsi="Arial" w:cs="Arial"/>
          <w:color w:val="000000" w:themeColor="text1"/>
          <w:sz w:val="22"/>
          <w:lang w:val="es-ES"/>
        </w:rPr>
        <w:t>A</w:t>
      </w:r>
      <w:r>
        <w:rPr>
          <w:rFonts w:ascii="Arial" w:eastAsia="Calibri" w:hAnsi="Arial" w:cs="Arial"/>
          <w:color w:val="000000" w:themeColor="text1"/>
          <w:sz w:val="22"/>
          <w:lang w:val="es-ES"/>
        </w:rPr>
        <w:t>gencia</w:t>
      </w:r>
      <w:r w:rsidR="004F4092">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y</w:t>
      </w:r>
      <w:r w:rsidR="004F4092">
        <w:rPr>
          <w:rFonts w:ascii="Arial" w:eastAsia="Calibri" w:hAnsi="Arial" w:cs="Arial"/>
          <w:color w:val="000000" w:themeColor="text1"/>
          <w:sz w:val="22"/>
          <w:lang w:val="es-ES"/>
        </w:rPr>
        <w:t xml:space="preserve"> en particular</w:t>
      </w:r>
      <w:r>
        <w:rPr>
          <w:rFonts w:ascii="Arial" w:eastAsia="Calibri" w:hAnsi="Arial" w:cs="Arial"/>
          <w:color w:val="000000" w:themeColor="text1"/>
          <w:sz w:val="22"/>
          <w:lang w:val="es-ES"/>
        </w:rPr>
        <w:t xml:space="preserve"> a esta </w:t>
      </w:r>
      <w:r w:rsidR="0093333F">
        <w:rPr>
          <w:rFonts w:ascii="Arial" w:eastAsia="Calibri" w:hAnsi="Arial" w:cs="Arial"/>
          <w:color w:val="000000" w:themeColor="text1"/>
          <w:sz w:val="22"/>
          <w:lang w:val="es-ES"/>
        </w:rPr>
        <w:t>S</w:t>
      </w:r>
      <w:r>
        <w:rPr>
          <w:rFonts w:ascii="Arial" w:eastAsia="Calibri" w:hAnsi="Arial" w:cs="Arial"/>
          <w:color w:val="000000" w:themeColor="text1"/>
          <w:sz w:val="22"/>
          <w:lang w:val="es-ES"/>
        </w:rPr>
        <w:t>ubdirección</w:t>
      </w:r>
      <w:r w:rsidR="004F4092">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4F4092">
        <w:rPr>
          <w:rFonts w:ascii="Arial" w:eastAsia="Calibri" w:hAnsi="Arial" w:cs="Arial"/>
          <w:color w:val="000000" w:themeColor="text1"/>
          <w:sz w:val="22"/>
          <w:lang w:val="es-ES"/>
        </w:rPr>
        <w:t xml:space="preserve">se le atribuyó </w:t>
      </w:r>
      <w:r>
        <w:rPr>
          <w:rFonts w:ascii="Arial" w:eastAsia="Calibri" w:hAnsi="Arial" w:cs="Arial"/>
          <w:color w:val="000000" w:themeColor="text1"/>
          <w:sz w:val="22"/>
          <w:lang w:val="es-ES"/>
        </w:rPr>
        <w:t xml:space="preserve">la competencia de </w:t>
      </w:r>
      <w:r w:rsidRPr="00AD679B">
        <w:rPr>
          <w:rFonts w:ascii="Arial" w:eastAsia="Calibri" w:hAnsi="Arial" w:cs="Arial"/>
          <w:bCs/>
          <w:color w:val="000000" w:themeColor="text1"/>
          <w:sz w:val="22"/>
          <w:lang w:val="es-MX"/>
        </w:rPr>
        <w:lastRenderedPageBreak/>
        <w:t>«absolver consultas sobre la aplicación de normas de carácter general»</w:t>
      </w:r>
      <w:r>
        <w:rPr>
          <w:rFonts w:ascii="Arial" w:eastAsia="Calibri" w:hAnsi="Arial" w:cs="Arial"/>
          <w:bCs/>
          <w:color w:val="000000" w:themeColor="text1"/>
          <w:sz w:val="22"/>
          <w:lang w:val="es-MX"/>
        </w:rPr>
        <w:t xml:space="preserve">. </w:t>
      </w:r>
      <w:r w:rsidR="004F4092">
        <w:rPr>
          <w:rFonts w:ascii="Arial" w:eastAsia="Calibri" w:hAnsi="Arial" w:cs="Arial"/>
          <w:bCs/>
          <w:color w:val="000000" w:themeColor="text1"/>
          <w:sz w:val="22"/>
          <w:lang w:val="es-MX"/>
        </w:rPr>
        <w:t xml:space="preserve">En tal sentido, </w:t>
      </w:r>
      <w:r w:rsidR="00CF1091">
        <w:rPr>
          <w:rFonts w:ascii="Arial" w:eastAsia="Calibri" w:hAnsi="Arial" w:cs="Arial"/>
          <w:bCs/>
          <w:color w:val="000000" w:themeColor="text1"/>
          <w:sz w:val="22"/>
          <w:lang w:val="es-MX"/>
        </w:rPr>
        <w:t>atendiendo al</w:t>
      </w:r>
      <w:r w:rsidR="004F4092">
        <w:rPr>
          <w:rFonts w:ascii="Arial" w:eastAsia="Calibri" w:hAnsi="Arial" w:cs="Arial"/>
          <w:bCs/>
          <w:color w:val="000000" w:themeColor="text1"/>
          <w:sz w:val="22"/>
          <w:lang w:val="es-MX"/>
        </w:rPr>
        <w:t xml:space="preserve"> principio de legalidad</w:t>
      </w:r>
      <w:r w:rsidR="00CF1091">
        <w:rPr>
          <w:rFonts w:ascii="Arial" w:eastAsia="Calibri" w:hAnsi="Arial" w:cs="Arial"/>
          <w:bCs/>
          <w:color w:val="000000" w:themeColor="text1"/>
          <w:sz w:val="22"/>
          <w:lang w:val="es-MX"/>
        </w:rPr>
        <w:t>,</w:t>
      </w:r>
      <w:r w:rsidR="004F4092">
        <w:rPr>
          <w:rFonts w:ascii="Arial" w:eastAsia="Calibri" w:hAnsi="Arial" w:cs="Arial"/>
          <w:bCs/>
          <w:color w:val="000000" w:themeColor="text1"/>
          <w:sz w:val="22"/>
          <w:lang w:val="es-MX"/>
        </w:rPr>
        <w:t xml:space="preserve"> </w:t>
      </w:r>
      <w:r w:rsidR="00CF1091">
        <w:rPr>
          <w:rFonts w:ascii="Arial" w:eastAsia="Calibri" w:hAnsi="Arial" w:cs="Arial"/>
          <w:bCs/>
          <w:color w:val="000000" w:themeColor="text1"/>
          <w:sz w:val="22"/>
          <w:lang w:val="es-MX"/>
        </w:rPr>
        <w:t>la</w:t>
      </w:r>
      <w:r w:rsidR="004F4092">
        <w:rPr>
          <w:rFonts w:ascii="Arial" w:eastAsia="Calibri" w:hAnsi="Arial" w:cs="Arial"/>
          <w:bCs/>
          <w:color w:val="000000" w:themeColor="text1"/>
          <w:sz w:val="22"/>
          <w:lang w:val="es-MX"/>
        </w:rPr>
        <w:t xml:space="preserve"> competencia debe ejercerse con estricta sujeción a la norma que </w:t>
      </w:r>
      <w:r w:rsidR="00CF1091">
        <w:rPr>
          <w:rFonts w:ascii="Arial" w:eastAsia="Calibri" w:hAnsi="Arial" w:cs="Arial"/>
          <w:bCs/>
          <w:color w:val="000000" w:themeColor="text1"/>
          <w:sz w:val="22"/>
          <w:lang w:val="es-MX"/>
        </w:rPr>
        <w:t xml:space="preserve">la atribuye, </w:t>
      </w:r>
      <w:r w:rsidR="0093333F">
        <w:rPr>
          <w:rFonts w:ascii="Arial" w:eastAsia="Calibri" w:hAnsi="Arial" w:cs="Arial"/>
          <w:bCs/>
          <w:color w:val="000000" w:themeColor="text1"/>
          <w:sz w:val="22"/>
          <w:lang w:val="es-MX"/>
        </w:rPr>
        <w:t>por lo que no le compete a</w:t>
      </w:r>
      <w:r>
        <w:rPr>
          <w:rFonts w:ascii="Arial" w:eastAsia="Calibri" w:hAnsi="Arial" w:cs="Arial"/>
          <w:bCs/>
          <w:color w:val="000000" w:themeColor="text1"/>
          <w:sz w:val="22"/>
          <w:lang w:val="es-MX"/>
        </w:rPr>
        <w:t xml:space="preserve"> esta entidad asesorar a las entidades o contratistas sobre la forma en que deben solventar potenciales vulneraciones a normas de contratación estatal o recomendar cambios en los cronogramas contractuales. </w:t>
      </w:r>
      <w:r>
        <w:rPr>
          <w:rFonts w:ascii="Arial" w:eastAsia="Calibri" w:hAnsi="Arial" w:cs="Arial"/>
          <w:color w:val="000000" w:themeColor="text1"/>
          <w:sz w:val="22"/>
          <w:lang w:val="es-ES"/>
        </w:rPr>
        <w:t xml:space="preserve">En otros términos, </w:t>
      </w:r>
      <w:r w:rsidR="00AD679B" w:rsidRPr="00AD679B">
        <w:rPr>
          <w:rFonts w:ascii="Arial" w:eastAsia="Calibri" w:hAnsi="Arial" w:cs="Arial"/>
          <w:bCs/>
          <w:color w:val="000000" w:themeColor="text1"/>
          <w:sz w:val="22"/>
          <w:lang w:val="es-MX"/>
        </w:rPr>
        <w:t xml:space="preserve">no </w:t>
      </w:r>
      <w:r w:rsidR="005B6D18">
        <w:rPr>
          <w:rFonts w:ascii="Arial" w:eastAsia="Calibri" w:hAnsi="Arial" w:cs="Arial"/>
          <w:bCs/>
          <w:color w:val="000000" w:themeColor="text1"/>
          <w:sz w:val="22"/>
          <w:lang w:val="es-MX"/>
        </w:rPr>
        <w:t>le</w:t>
      </w:r>
      <w:r w:rsidR="00AD679B" w:rsidRPr="00AD679B">
        <w:rPr>
          <w:rFonts w:ascii="Arial" w:eastAsia="Calibri" w:hAnsi="Arial" w:cs="Arial"/>
          <w:bCs/>
          <w:color w:val="000000" w:themeColor="text1"/>
          <w:sz w:val="22"/>
          <w:lang w:val="es-MX"/>
        </w:rPr>
        <w:t xml:space="preserve"> </w:t>
      </w:r>
      <w:r>
        <w:rPr>
          <w:rFonts w:ascii="Arial" w:eastAsia="Calibri" w:hAnsi="Arial" w:cs="Arial"/>
          <w:bCs/>
          <w:color w:val="000000" w:themeColor="text1"/>
          <w:sz w:val="22"/>
          <w:lang w:val="es-MX"/>
        </w:rPr>
        <w:t>corresponde</w:t>
      </w:r>
      <w:r w:rsidR="00AD679B" w:rsidRPr="00AD679B">
        <w:rPr>
          <w:rFonts w:ascii="Arial" w:eastAsia="Calibri" w:hAnsi="Arial" w:cs="Arial"/>
          <w:bCs/>
          <w:color w:val="000000" w:themeColor="text1"/>
          <w:sz w:val="22"/>
          <w:lang w:val="es-MX"/>
        </w:rPr>
        <w:t xml:space="preserve"> a la Agencia Nacional de Contratación Pública – Colombia Compra Eficiente pronunciarse sobre casos particulares o </w:t>
      </w:r>
      <w:r w:rsidR="00AD679B">
        <w:rPr>
          <w:rFonts w:ascii="Arial" w:eastAsia="Calibri" w:hAnsi="Arial" w:cs="Arial"/>
          <w:bCs/>
          <w:color w:val="000000" w:themeColor="text1"/>
          <w:sz w:val="22"/>
          <w:lang w:val="es-MX"/>
        </w:rPr>
        <w:t>realizar asesorías</w:t>
      </w:r>
      <w:r w:rsidR="00CF1091">
        <w:rPr>
          <w:rFonts w:ascii="Arial" w:eastAsia="Calibri" w:hAnsi="Arial" w:cs="Arial"/>
          <w:bCs/>
          <w:color w:val="000000" w:themeColor="text1"/>
          <w:sz w:val="22"/>
          <w:lang w:val="es-MX"/>
        </w:rPr>
        <w:t xml:space="preserve"> enfocadas a resolver situaciones particulares; por el contrario, como se indicó, la atribución se dirige a resolver consultas sobre la aplicación de normas de carácter general, lo que se efectuó en el desarrollo de este concepto.</w:t>
      </w:r>
    </w:p>
    <w:p w14:paraId="08CAC47B" w14:textId="77777777" w:rsidR="004F5229" w:rsidRPr="000727C6" w:rsidRDefault="004F5229" w:rsidP="000727C6">
      <w:pPr>
        <w:spacing w:before="120" w:line="276" w:lineRule="auto"/>
        <w:ind w:firstLine="720"/>
        <w:jc w:val="both"/>
        <w:rPr>
          <w:rFonts w:ascii="Arial" w:eastAsia="Calibri" w:hAnsi="Arial" w:cs="Arial"/>
          <w:color w:val="000000" w:themeColor="text1"/>
          <w:sz w:val="22"/>
          <w:lang w:val="es-ES"/>
        </w:rPr>
      </w:pPr>
    </w:p>
    <w:p w14:paraId="4A968AFA" w14:textId="7D18DA04" w:rsidR="00D6766B" w:rsidRPr="00593BA7" w:rsidRDefault="00D6766B" w:rsidP="00D6766B">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bookmarkEnd w:id="0"/>
    <w:bookmarkEnd w:id="1"/>
    <w:p w14:paraId="0C5E7583" w14:textId="77777777" w:rsidR="00D6766B" w:rsidRPr="00593BA7" w:rsidRDefault="00D6766B" w:rsidP="00D6766B">
      <w:pPr>
        <w:rPr>
          <w:lang w:val="es-ES"/>
        </w:rPr>
      </w:pPr>
    </w:p>
    <w:p w14:paraId="1ECECA28" w14:textId="77777777" w:rsidR="00D6766B" w:rsidRPr="00C50936" w:rsidRDefault="00D6766B" w:rsidP="00D6766B">
      <w:pPr>
        <w:spacing w:line="276" w:lineRule="auto"/>
        <w:rPr>
          <w:rFonts w:ascii="Arial" w:hAnsi="Arial" w:cs="Arial"/>
          <w:color w:val="000000" w:themeColor="text1"/>
          <w:sz w:val="22"/>
          <w:lang w:val="es-ES_tradnl" w:eastAsia="es-CO"/>
        </w:rPr>
      </w:pPr>
      <w:r w:rsidRPr="00C50936">
        <w:rPr>
          <w:rFonts w:ascii="Arial" w:hAnsi="Arial" w:cs="Arial"/>
          <w:color w:val="000000" w:themeColor="text1"/>
          <w:sz w:val="22"/>
          <w:lang w:val="es-ES_tradnl" w:eastAsia="es-CO"/>
        </w:rPr>
        <w:t>Atentamente,</w:t>
      </w:r>
    </w:p>
    <w:p w14:paraId="7E2E1068" w14:textId="77777777" w:rsidR="00D6766B" w:rsidRDefault="00D6766B" w:rsidP="00D6766B">
      <w:pPr>
        <w:spacing w:line="276" w:lineRule="auto"/>
        <w:jc w:val="center"/>
        <w:rPr>
          <w:rFonts w:ascii="Arial" w:hAnsi="Arial" w:cs="Arial"/>
          <w:color w:val="000000" w:themeColor="text1"/>
          <w:sz w:val="18"/>
          <w:szCs w:val="20"/>
          <w:lang w:val="es-ES_tradnl" w:eastAsia="es-CO"/>
        </w:rPr>
      </w:pPr>
    </w:p>
    <w:p w14:paraId="4838689B" w14:textId="7EC529CB" w:rsidR="00D6766B" w:rsidRDefault="00E1459B" w:rsidP="00D6766B">
      <w:pPr>
        <w:spacing w:line="276" w:lineRule="auto"/>
        <w:jc w:val="center"/>
        <w:rPr>
          <w:rFonts w:ascii="Arial" w:hAnsi="Arial" w:cs="Arial"/>
          <w:color w:val="000000" w:themeColor="text1"/>
          <w:sz w:val="18"/>
          <w:szCs w:val="20"/>
          <w:lang w:val="es-ES_tradnl" w:eastAsia="es-CO"/>
        </w:rPr>
      </w:pPr>
      <w:r w:rsidRPr="00E1459B">
        <w:rPr>
          <w:rFonts w:ascii="Arial" w:hAnsi="Arial" w:cs="Arial"/>
          <w:noProof/>
          <w:color w:val="000000" w:themeColor="text1"/>
          <w:sz w:val="18"/>
          <w:szCs w:val="20"/>
          <w:lang w:eastAsia="es-CO"/>
        </w:rPr>
        <w:drawing>
          <wp:inline distT="0" distB="0" distL="0" distR="0" wp14:anchorId="2EC231C9" wp14:editId="404DABD0">
            <wp:extent cx="2514600" cy="1114425"/>
            <wp:effectExtent l="0" t="0" r="0" b="9525"/>
            <wp:docPr id="3" name="Imagen 3"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Start w:id="3" w:name="_GoBack"/>
      <w:bookmarkEnd w:id="3"/>
    </w:p>
    <w:p w14:paraId="404526DA" w14:textId="77777777" w:rsidR="00E46C31" w:rsidRPr="00C50936" w:rsidRDefault="00E46C31" w:rsidP="00D6766B">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142"/>
      </w:tblGrid>
      <w:tr w:rsidR="00D6766B" w:rsidRPr="00C50936" w14:paraId="137E07C1" w14:textId="77777777" w:rsidTr="00B22ED1">
        <w:trPr>
          <w:trHeight w:val="315"/>
        </w:trPr>
        <w:tc>
          <w:tcPr>
            <w:tcW w:w="812" w:type="dxa"/>
            <w:vAlign w:val="center"/>
            <w:hideMark/>
          </w:tcPr>
          <w:p w14:paraId="3711E1D8" w14:textId="77777777" w:rsidR="00D6766B" w:rsidRPr="00C50936" w:rsidRDefault="00D6766B" w:rsidP="00B22ED1">
            <w:pPr>
              <w:rPr>
                <w:rFonts w:ascii="Arial" w:hAnsi="Arial" w:cs="Arial"/>
                <w:b/>
                <w:bCs/>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5142" w:type="dxa"/>
            <w:tcBorders>
              <w:top w:val="nil"/>
              <w:left w:val="nil"/>
              <w:bottom w:val="dotted" w:sz="4" w:space="0" w:color="7F7F7F" w:themeColor="text1" w:themeTint="80"/>
              <w:right w:val="nil"/>
            </w:tcBorders>
            <w:vAlign w:val="center"/>
            <w:hideMark/>
          </w:tcPr>
          <w:p w14:paraId="4411E5A6" w14:textId="77777777" w:rsidR="00D6766B" w:rsidRDefault="00D6766B" w:rsidP="00B22ED1">
            <w:pPr>
              <w:rPr>
                <w:rFonts w:ascii="Arial" w:hAnsi="Arial" w:cs="Arial"/>
                <w:b/>
                <w:bCs/>
                <w:color w:val="000000" w:themeColor="text1"/>
                <w:sz w:val="16"/>
                <w:szCs w:val="16"/>
                <w:lang w:val="es-ES_tradnl" w:eastAsia="es-ES"/>
              </w:rPr>
            </w:pPr>
            <w:r>
              <w:rPr>
                <w:rFonts w:ascii="Arial" w:hAnsi="Arial" w:cs="Arial"/>
                <w:color w:val="000000" w:themeColor="text1"/>
                <w:sz w:val="16"/>
                <w:szCs w:val="16"/>
                <w:lang w:val="es-ES_tradnl" w:eastAsia="es-ES"/>
              </w:rPr>
              <w:t>Sebastián Barreto Cifuentes</w:t>
            </w:r>
          </w:p>
          <w:p w14:paraId="7DA3E466" w14:textId="77777777" w:rsidR="00D6766B" w:rsidRPr="00C50936" w:rsidRDefault="00D6766B" w:rsidP="00B22ED1">
            <w:pPr>
              <w:rPr>
                <w:rFonts w:ascii="Arial" w:hAnsi="Arial" w:cs="Arial"/>
                <w:b/>
                <w:bCs/>
                <w:color w:val="000000" w:themeColor="text1"/>
                <w:sz w:val="16"/>
                <w:szCs w:val="16"/>
                <w:lang w:val="es-ES_tradnl" w:eastAsia="es-ES"/>
              </w:rPr>
            </w:pPr>
            <w:r>
              <w:rPr>
                <w:rFonts w:ascii="Arial" w:hAnsi="Arial" w:cs="Arial"/>
                <w:color w:val="000000" w:themeColor="text1"/>
                <w:sz w:val="16"/>
                <w:szCs w:val="16"/>
                <w:lang w:val="es-ES_tradnl" w:eastAsia="es-ES"/>
              </w:rPr>
              <w:t>Contratista Dirección y Subdirección de Gestión Contractual</w:t>
            </w:r>
          </w:p>
        </w:tc>
      </w:tr>
      <w:tr w:rsidR="00D6766B" w:rsidRPr="00C50936" w14:paraId="52FE4CAE" w14:textId="77777777" w:rsidTr="00B22ED1">
        <w:trPr>
          <w:trHeight w:val="330"/>
        </w:trPr>
        <w:tc>
          <w:tcPr>
            <w:tcW w:w="812" w:type="dxa"/>
            <w:vAlign w:val="center"/>
            <w:hideMark/>
          </w:tcPr>
          <w:p w14:paraId="64FC43C3" w14:textId="77777777" w:rsidR="00D6766B" w:rsidRPr="00C50936" w:rsidRDefault="00D6766B" w:rsidP="00B22ED1">
            <w:pPr>
              <w:rPr>
                <w:rFonts w:ascii="Arial" w:hAnsi="Arial" w:cs="Arial"/>
                <w:b/>
                <w:bCs/>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5142" w:type="dxa"/>
            <w:tcBorders>
              <w:top w:val="dotted" w:sz="4" w:space="0" w:color="7F7F7F" w:themeColor="text1" w:themeTint="80"/>
              <w:left w:val="nil"/>
              <w:bottom w:val="dotted" w:sz="4" w:space="0" w:color="7F7F7F" w:themeColor="text1" w:themeTint="80"/>
              <w:right w:val="nil"/>
            </w:tcBorders>
            <w:vAlign w:val="center"/>
            <w:hideMark/>
          </w:tcPr>
          <w:p w14:paraId="0CB5AA68" w14:textId="77777777" w:rsidR="00A771CF" w:rsidRPr="00C50936" w:rsidRDefault="00A771CF" w:rsidP="00B22ED1">
            <w:pPr>
              <w:rPr>
                <w:rFonts w:ascii="Arial" w:hAnsi="Arial" w:cs="Arial"/>
                <w:b/>
                <w:bCs/>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Ramírez Grisales </w:t>
            </w:r>
          </w:p>
          <w:p w14:paraId="415773B2" w14:textId="3B217A4E" w:rsidR="00D6766B" w:rsidRPr="00C50936" w:rsidRDefault="00E46C31" w:rsidP="00B22ED1">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 Subdirección de Gestión Contractual</w:t>
            </w:r>
            <w:r w:rsidDel="00E46C31">
              <w:rPr>
                <w:rFonts w:ascii="Arial" w:hAnsi="Arial" w:cs="Arial"/>
                <w:color w:val="000000" w:themeColor="text1"/>
                <w:sz w:val="16"/>
                <w:szCs w:val="16"/>
                <w:lang w:val="es-ES_tradnl" w:eastAsia="es-ES"/>
              </w:rPr>
              <w:t xml:space="preserve"> </w:t>
            </w:r>
          </w:p>
        </w:tc>
      </w:tr>
      <w:tr w:rsidR="00D6766B" w:rsidRPr="00C50936" w14:paraId="72D7466B" w14:textId="77777777" w:rsidTr="00B22ED1">
        <w:trPr>
          <w:trHeight w:val="274"/>
        </w:trPr>
        <w:tc>
          <w:tcPr>
            <w:tcW w:w="812" w:type="dxa"/>
            <w:vAlign w:val="center"/>
            <w:hideMark/>
          </w:tcPr>
          <w:p w14:paraId="00D080F6" w14:textId="77777777" w:rsidR="00D6766B" w:rsidRPr="00C50936" w:rsidRDefault="00D6766B" w:rsidP="00B22ED1">
            <w:pPr>
              <w:rPr>
                <w:rFonts w:ascii="Arial" w:hAnsi="Arial" w:cs="Arial"/>
                <w:b/>
                <w:bCs/>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5142" w:type="dxa"/>
            <w:tcBorders>
              <w:top w:val="dotted" w:sz="4" w:space="0" w:color="7F7F7F" w:themeColor="text1" w:themeTint="80"/>
              <w:left w:val="nil"/>
              <w:bottom w:val="dotted" w:sz="4" w:space="0" w:color="7F7F7F" w:themeColor="text1" w:themeTint="80"/>
              <w:right w:val="nil"/>
            </w:tcBorders>
            <w:vAlign w:val="center"/>
            <w:hideMark/>
          </w:tcPr>
          <w:p w14:paraId="59F0175C" w14:textId="77777777" w:rsidR="00D6766B" w:rsidRPr="00C50936" w:rsidRDefault="00D6766B" w:rsidP="00B22ED1">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Jorge Tirado Navarro </w:t>
            </w:r>
          </w:p>
          <w:p w14:paraId="6ABD14E3" w14:textId="42AE9E38" w:rsidR="00D6766B" w:rsidRPr="00C50936" w:rsidRDefault="00D6766B" w:rsidP="00B22ED1">
            <w:pPr>
              <w:rPr>
                <w:rFonts w:ascii="Arial" w:hAnsi="Arial" w:cs="Arial"/>
                <w:b/>
                <w:bCs/>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w:t>
            </w:r>
            <w:r w:rsidR="00E46C31">
              <w:rPr>
                <w:rFonts w:ascii="Arial" w:hAnsi="Arial" w:cs="Arial"/>
                <w:color w:val="000000" w:themeColor="text1"/>
                <w:sz w:val="16"/>
                <w:szCs w:val="16"/>
                <w:lang w:val="es-ES_tradnl" w:eastAsia="es-ES"/>
              </w:rPr>
              <w:t>ANCP – CCE</w:t>
            </w:r>
          </w:p>
        </w:tc>
      </w:tr>
    </w:tbl>
    <w:p w14:paraId="47B55DAC" w14:textId="77777777" w:rsidR="00D6766B" w:rsidRPr="00AB24D1" w:rsidRDefault="00D6766B" w:rsidP="00D6766B">
      <w:pPr>
        <w:rPr>
          <w:color w:val="000000" w:themeColor="text1"/>
        </w:rPr>
      </w:pPr>
    </w:p>
    <w:p w14:paraId="13D7716B" w14:textId="77777777" w:rsidR="00D6766B" w:rsidRPr="003343B5" w:rsidRDefault="00D6766B" w:rsidP="00D6766B">
      <w:pPr>
        <w:rPr>
          <w:lang w:val="es-ES"/>
        </w:rPr>
      </w:pPr>
    </w:p>
    <w:p w14:paraId="4B26D8DB" w14:textId="77777777" w:rsidR="00D6766B" w:rsidRPr="00A67D61" w:rsidRDefault="00D6766B" w:rsidP="00D6766B">
      <w:pPr>
        <w:rPr>
          <w:lang w:val="es-ES"/>
        </w:rPr>
      </w:pPr>
    </w:p>
    <w:p w14:paraId="281F68BF" w14:textId="77777777" w:rsidR="00D21AC0" w:rsidRDefault="00D21AC0"/>
    <w:sectPr w:rsidR="00D21AC0" w:rsidSect="004F5229">
      <w:headerReference w:type="default" r:id="rId8"/>
      <w:footerReference w:type="default" r:id="rId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67C9C" w14:textId="77777777" w:rsidR="003D668D" w:rsidRDefault="003D668D" w:rsidP="00D6766B">
      <w:r>
        <w:separator/>
      </w:r>
    </w:p>
  </w:endnote>
  <w:endnote w:type="continuationSeparator" w:id="0">
    <w:p w14:paraId="55EA2AE3" w14:textId="77777777" w:rsidR="003D668D" w:rsidRDefault="003D668D" w:rsidP="00D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3A6C" w14:textId="77777777" w:rsidR="0093333F" w:rsidRDefault="0093333F" w:rsidP="00281FC0">
    <w:pPr>
      <w:pStyle w:val="Sinespaciado"/>
      <w:jc w:val="right"/>
      <w:rPr>
        <w:rFonts w:ascii="Arial" w:hAnsi="Arial" w:cs="Arial"/>
        <w:sz w:val="18"/>
        <w:szCs w:val="18"/>
      </w:rPr>
    </w:pPr>
  </w:p>
  <w:p w14:paraId="4C021AC6" w14:textId="77777777" w:rsidR="0093333F" w:rsidRPr="008217B7" w:rsidRDefault="0093333F" w:rsidP="00281FC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1459B">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1459B">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07C9FA18" w14:textId="77777777" w:rsidR="0093333F" w:rsidRDefault="0093333F" w:rsidP="00281FC0">
    <w:pPr>
      <w:pStyle w:val="Piedepgina"/>
      <w:jc w:val="center"/>
      <w:rPr>
        <w:lang w:val="es-ES"/>
      </w:rPr>
    </w:pPr>
    <w:r>
      <w:rPr>
        <w:noProof/>
        <w:lang w:val="es-CO" w:eastAsia="es-CO"/>
      </w:rPr>
      <w:drawing>
        <wp:inline distT="0" distB="0" distL="0" distR="0" wp14:anchorId="24B88F46" wp14:editId="575D3C2E">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A8C2E3A" w14:textId="77777777" w:rsidR="0093333F" w:rsidRPr="00E756AC" w:rsidRDefault="0093333F" w:rsidP="00281FC0">
    <w:pPr>
      <w:pStyle w:val="Piedepgina"/>
      <w:jc w:val="center"/>
      <w:rPr>
        <w:sz w:val="18"/>
        <w:szCs w:val="18"/>
        <w:lang w:val="es-ES"/>
      </w:rPr>
    </w:pPr>
  </w:p>
  <w:p w14:paraId="1ED65A2A" w14:textId="77777777" w:rsidR="0093333F" w:rsidRPr="00E756AC" w:rsidRDefault="0093333F" w:rsidP="00281FC0">
    <w:pPr>
      <w:pStyle w:val="Piedepgina"/>
      <w:jc w:val="center"/>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DF27F" w14:textId="77777777" w:rsidR="003D668D" w:rsidRDefault="003D668D" w:rsidP="00D6766B">
      <w:r>
        <w:separator/>
      </w:r>
    </w:p>
  </w:footnote>
  <w:footnote w:type="continuationSeparator" w:id="0">
    <w:p w14:paraId="15B0DF5A" w14:textId="77777777" w:rsidR="003D668D" w:rsidRDefault="003D668D" w:rsidP="00D6766B">
      <w:r>
        <w:continuationSeparator/>
      </w:r>
    </w:p>
  </w:footnote>
  <w:footnote w:id="1">
    <w:p w14:paraId="3E8D2F99" w14:textId="33D880BB" w:rsidR="0093333F" w:rsidRPr="009B36A4" w:rsidRDefault="0093333F" w:rsidP="001637D3">
      <w:pPr>
        <w:pStyle w:val="Textonotapie"/>
        <w:ind w:firstLine="708"/>
        <w:jc w:val="both"/>
        <w:rPr>
          <w:rFonts w:ascii="Arial" w:hAnsi="Arial" w:cs="Arial"/>
          <w:sz w:val="19"/>
          <w:szCs w:val="19"/>
        </w:rPr>
      </w:pPr>
      <w:r>
        <w:rPr>
          <w:rStyle w:val="Refdenotaalpie"/>
        </w:rPr>
        <w:footnoteRef/>
      </w:r>
      <w:r>
        <w:t xml:space="preserve"> </w:t>
      </w:r>
      <w:r w:rsidRPr="009B36A4">
        <w:rPr>
          <w:rFonts w:ascii="Arial" w:hAnsi="Arial" w:cs="Arial"/>
          <w:sz w:val="19"/>
          <w:szCs w:val="19"/>
        </w:rPr>
        <w:t>OSPINA MENA, Jesús Marino. Régimen de la Contratación Estatal. Un salto a la contratación líquida</w:t>
      </w:r>
      <w:r>
        <w:rPr>
          <w:rFonts w:ascii="Arial" w:hAnsi="Arial" w:cs="Arial"/>
          <w:sz w:val="19"/>
          <w:szCs w:val="19"/>
        </w:rPr>
        <w:t>.</w:t>
      </w:r>
      <w:r w:rsidRPr="009B36A4">
        <w:rPr>
          <w:rFonts w:ascii="Arial" w:hAnsi="Arial" w:cs="Arial"/>
          <w:sz w:val="19"/>
          <w:szCs w:val="19"/>
        </w:rPr>
        <w:t xml:space="preserve"> </w:t>
      </w:r>
      <w:r>
        <w:rPr>
          <w:rFonts w:ascii="Arial" w:hAnsi="Arial" w:cs="Arial"/>
          <w:sz w:val="19"/>
          <w:szCs w:val="19"/>
        </w:rPr>
        <w:t xml:space="preserve">Bogotá: </w:t>
      </w:r>
      <w:r w:rsidRPr="009B36A4">
        <w:rPr>
          <w:rFonts w:ascii="Arial" w:hAnsi="Arial" w:cs="Arial"/>
          <w:sz w:val="19"/>
          <w:szCs w:val="19"/>
        </w:rPr>
        <w:t xml:space="preserve">Ed. 1ª. </w:t>
      </w:r>
      <w:proofErr w:type="spellStart"/>
      <w:r w:rsidRPr="009B36A4">
        <w:rPr>
          <w:rFonts w:ascii="Arial" w:hAnsi="Arial" w:cs="Arial"/>
          <w:sz w:val="19"/>
          <w:szCs w:val="19"/>
        </w:rPr>
        <w:t>Dik</w:t>
      </w:r>
      <w:r w:rsidR="00B22ED1">
        <w:rPr>
          <w:rFonts w:ascii="Arial" w:hAnsi="Arial" w:cs="Arial"/>
          <w:sz w:val="19"/>
          <w:szCs w:val="19"/>
        </w:rPr>
        <w:t>é</w:t>
      </w:r>
      <w:proofErr w:type="spellEnd"/>
      <w:r>
        <w:rPr>
          <w:rFonts w:ascii="Arial" w:hAnsi="Arial" w:cs="Arial"/>
          <w:sz w:val="19"/>
          <w:szCs w:val="19"/>
        </w:rPr>
        <w:t>,</w:t>
      </w:r>
      <w:r w:rsidRPr="009B36A4">
        <w:rPr>
          <w:rFonts w:ascii="Arial" w:hAnsi="Arial" w:cs="Arial"/>
          <w:sz w:val="19"/>
          <w:szCs w:val="19"/>
        </w:rPr>
        <w:t xml:space="preserve"> 2020</w:t>
      </w:r>
      <w:r>
        <w:rPr>
          <w:rFonts w:ascii="Arial" w:hAnsi="Arial" w:cs="Arial"/>
          <w:sz w:val="19"/>
          <w:szCs w:val="19"/>
        </w:rPr>
        <w:t>.</w:t>
      </w:r>
      <w:r w:rsidRPr="009B36A4">
        <w:rPr>
          <w:rFonts w:ascii="Arial" w:hAnsi="Arial" w:cs="Arial"/>
          <w:sz w:val="19"/>
          <w:szCs w:val="19"/>
        </w:rPr>
        <w:t xml:space="preserve"> p. 383.</w:t>
      </w:r>
    </w:p>
    <w:p w14:paraId="4967E6C9" w14:textId="77777777" w:rsidR="0093333F" w:rsidRPr="009B36A4" w:rsidRDefault="0093333F" w:rsidP="001637D3">
      <w:pPr>
        <w:pStyle w:val="Textonotapie"/>
        <w:ind w:firstLine="708"/>
        <w:jc w:val="both"/>
        <w:rPr>
          <w:rFonts w:ascii="Arial" w:hAnsi="Arial" w:cs="Arial"/>
          <w:sz w:val="19"/>
          <w:szCs w:val="19"/>
        </w:rPr>
      </w:pPr>
    </w:p>
  </w:footnote>
  <w:footnote w:id="2">
    <w:p w14:paraId="320D7D92" w14:textId="6E2B8428" w:rsidR="0093333F" w:rsidRDefault="0093333F" w:rsidP="001637D3">
      <w:pPr>
        <w:pStyle w:val="Textonotapie"/>
        <w:ind w:firstLine="708"/>
        <w:jc w:val="both"/>
        <w:rPr>
          <w:rFonts w:ascii="Arial" w:hAnsi="Arial" w:cs="Arial"/>
          <w:sz w:val="19"/>
          <w:szCs w:val="19"/>
        </w:rPr>
      </w:pPr>
      <w:r w:rsidRPr="009B36A4">
        <w:rPr>
          <w:rStyle w:val="Refdenotaalpie"/>
          <w:rFonts w:ascii="Arial" w:hAnsi="Arial" w:cs="Arial"/>
          <w:sz w:val="19"/>
          <w:szCs w:val="19"/>
        </w:rPr>
        <w:footnoteRef/>
      </w:r>
      <w:r w:rsidRPr="009B36A4">
        <w:rPr>
          <w:rFonts w:ascii="Arial" w:hAnsi="Arial" w:cs="Arial"/>
          <w:sz w:val="19"/>
          <w:szCs w:val="19"/>
        </w:rPr>
        <w:t xml:space="preserve"> CONSEJO DE ESTADO</w:t>
      </w:r>
      <w:r>
        <w:rPr>
          <w:rFonts w:ascii="Arial" w:hAnsi="Arial" w:cs="Arial"/>
          <w:sz w:val="19"/>
          <w:szCs w:val="19"/>
        </w:rPr>
        <w:t>.</w:t>
      </w:r>
      <w:r w:rsidRPr="009B36A4">
        <w:rPr>
          <w:rFonts w:ascii="Arial" w:hAnsi="Arial" w:cs="Arial"/>
          <w:sz w:val="19"/>
          <w:szCs w:val="19"/>
        </w:rPr>
        <w:t xml:space="preserve"> Secc</w:t>
      </w:r>
      <w:r>
        <w:rPr>
          <w:rFonts w:ascii="Arial" w:hAnsi="Arial" w:cs="Arial"/>
          <w:sz w:val="19"/>
          <w:szCs w:val="19"/>
        </w:rPr>
        <w:t>ión</w:t>
      </w:r>
      <w:r w:rsidRPr="009B36A4">
        <w:rPr>
          <w:rFonts w:ascii="Arial" w:hAnsi="Arial" w:cs="Arial"/>
          <w:sz w:val="19"/>
          <w:szCs w:val="19"/>
        </w:rPr>
        <w:t xml:space="preserve"> </w:t>
      </w:r>
      <w:r>
        <w:rPr>
          <w:rFonts w:ascii="Arial" w:hAnsi="Arial" w:cs="Arial"/>
          <w:sz w:val="19"/>
          <w:szCs w:val="19"/>
        </w:rPr>
        <w:t>Tercera.</w:t>
      </w:r>
      <w:r w:rsidRPr="009B36A4">
        <w:rPr>
          <w:rFonts w:ascii="Arial" w:hAnsi="Arial" w:cs="Arial"/>
          <w:sz w:val="19"/>
          <w:szCs w:val="19"/>
        </w:rPr>
        <w:t xml:space="preserve"> </w:t>
      </w:r>
      <w:r>
        <w:rPr>
          <w:rFonts w:ascii="Arial" w:hAnsi="Arial" w:cs="Arial"/>
          <w:sz w:val="19"/>
          <w:szCs w:val="19"/>
        </w:rPr>
        <w:t>S</w:t>
      </w:r>
      <w:r w:rsidRPr="009B36A4">
        <w:rPr>
          <w:rFonts w:ascii="Arial" w:hAnsi="Arial" w:cs="Arial"/>
          <w:sz w:val="19"/>
          <w:szCs w:val="19"/>
        </w:rPr>
        <w:t>entencia de 30 de noviembre de 2006</w:t>
      </w:r>
      <w:r>
        <w:rPr>
          <w:rFonts w:ascii="Arial" w:hAnsi="Arial" w:cs="Arial"/>
          <w:sz w:val="19"/>
          <w:szCs w:val="19"/>
        </w:rPr>
        <w:t>.</w:t>
      </w:r>
      <w:r w:rsidRPr="009B36A4">
        <w:rPr>
          <w:rFonts w:ascii="Arial" w:hAnsi="Arial" w:cs="Arial"/>
          <w:sz w:val="19"/>
          <w:szCs w:val="19"/>
        </w:rPr>
        <w:t xml:space="preserve"> </w:t>
      </w:r>
      <w:r>
        <w:rPr>
          <w:rFonts w:ascii="Arial" w:hAnsi="Arial" w:cs="Arial"/>
          <w:sz w:val="19"/>
          <w:szCs w:val="19"/>
        </w:rPr>
        <w:t>Exp</w:t>
      </w:r>
      <w:r w:rsidRPr="009B36A4">
        <w:rPr>
          <w:rFonts w:ascii="Arial" w:hAnsi="Arial" w:cs="Arial"/>
          <w:sz w:val="19"/>
          <w:szCs w:val="19"/>
        </w:rPr>
        <w:t>. 18.059. M.P. Alier Hernández Enríquez.</w:t>
      </w:r>
    </w:p>
    <w:p w14:paraId="4A9707A1" w14:textId="77777777" w:rsidR="0093333F" w:rsidRPr="009B36A4" w:rsidRDefault="0093333F" w:rsidP="001637D3">
      <w:pPr>
        <w:pStyle w:val="Textonotapie"/>
        <w:jc w:val="both"/>
        <w:rPr>
          <w:rFonts w:ascii="Arial" w:hAnsi="Arial" w:cs="Arial"/>
          <w:sz w:val="19"/>
          <w:szCs w:val="19"/>
        </w:rPr>
      </w:pPr>
    </w:p>
  </w:footnote>
  <w:footnote w:id="3">
    <w:p w14:paraId="1F0C912B" w14:textId="77777777" w:rsidR="0093333F" w:rsidRPr="009B36A4" w:rsidRDefault="0093333F" w:rsidP="001637D3">
      <w:pPr>
        <w:pStyle w:val="Textonotapie"/>
        <w:ind w:firstLine="708"/>
        <w:jc w:val="both"/>
      </w:pPr>
      <w:r w:rsidRPr="009B36A4">
        <w:rPr>
          <w:rStyle w:val="Refdenotaalpie"/>
          <w:rFonts w:ascii="Arial" w:hAnsi="Arial" w:cs="Arial"/>
          <w:sz w:val="19"/>
          <w:szCs w:val="19"/>
        </w:rPr>
        <w:footnoteRef/>
      </w:r>
      <w:r w:rsidRPr="009B36A4">
        <w:rPr>
          <w:rFonts w:ascii="Arial" w:hAnsi="Arial" w:cs="Arial"/>
          <w:sz w:val="19"/>
          <w:szCs w:val="19"/>
        </w:rPr>
        <w:t xml:space="preserve"> Sin perjuicio de los dispuesto en el artículo 2.2.1.1.2.1.3. del Decreto 1082 de 2015 sobre el contenido del pliego de condiciones.</w:t>
      </w:r>
    </w:p>
  </w:footnote>
  <w:footnote w:id="4">
    <w:p w14:paraId="4029E4C1" w14:textId="77777777" w:rsidR="0093333F" w:rsidRPr="00CF5BCD" w:rsidRDefault="0093333F" w:rsidP="001637D3">
      <w:pPr>
        <w:spacing w:line="247" w:lineRule="auto"/>
        <w:ind w:firstLine="720"/>
        <w:jc w:val="both"/>
        <w:rPr>
          <w:rFonts w:ascii="Arial" w:hAnsi="Arial" w:cs="Arial"/>
          <w:sz w:val="19"/>
          <w:szCs w:val="19"/>
        </w:rPr>
      </w:pPr>
      <w:r w:rsidRPr="00CF5BCD">
        <w:rPr>
          <w:rStyle w:val="Refdenotaalpie"/>
          <w:rFonts w:ascii="Arial" w:hAnsi="Arial" w:cs="Arial"/>
          <w:sz w:val="19"/>
          <w:szCs w:val="19"/>
        </w:rPr>
        <w:footnoteRef/>
      </w:r>
      <w:r w:rsidRPr="00CF5BCD">
        <w:rPr>
          <w:rFonts w:ascii="Arial" w:hAnsi="Arial" w:cs="Arial"/>
          <w:sz w:val="19"/>
          <w:szCs w:val="19"/>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16EAF648" w14:textId="77777777" w:rsidR="0093333F" w:rsidRPr="00CF5BCD" w:rsidRDefault="0093333F" w:rsidP="00B22ED1">
      <w:pPr>
        <w:ind w:firstLine="720"/>
        <w:jc w:val="both"/>
        <w:rPr>
          <w:rFonts w:ascii="Arial" w:hAnsi="Arial" w:cs="Arial"/>
          <w:sz w:val="19"/>
          <w:szCs w:val="19"/>
        </w:rPr>
      </w:pPr>
      <w:r w:rsidRPr="00CF5BCD">
        <w:rPr>
          <w:rFonts w:ascii="Arial" w:hAnsi="Arial" w:cs="Arial"/>
          <w:sz w:val="19"/>
          <w:szCs w:val="19"/>
          <w:u w:val="single" w:color="4E4D4D"/>
        </w:rPr>
        <w:t xml:space="preserve"> </w:t>
      </w:r>
      <w:r>
        <w:rPr>
          <w:rFonts w:ascii="Arial" w:hAnsi="Arial" w:cs="Arial"/>
          <w:sz w:val="18"/>
          <w:szCs w:val="19"/>
          <w:u w:val="single" w:color="4E4D4D"/>
        </w:rPr>
        <w:t>«</w:t>
      </w:r>
      <w:r w:rsidRPr="00CF5BCD">
        <w:rPr>
          <w:rFonts w:ascii="Arial" w:hAnsi="Arial" w:cs="Arial"/>
          <w:sz w:val="19"/>
          <w:szCs w:val="19"/>
          <w:u w:val="single" w:color="4E4D4D"/>
        </w:rPr>
        <w:t>5.2. De la fuerza vinculante de las respuestas a las solicitudes de aclaraciones en relación con los términos de</w:t>
      </w:r>
      <w:r w:rsidRPr="00CF5BCD">
        <w:rPr>
          <w:rFonts w:ascii="Arial" w:hAnsi="Arial" w:cs="Arial"/>
          <w:sz w:val="19"/>
          <w:szCs w:val="19"/>
        </w:rPr>
        <w:t xml:space="preserve"> </w:t>
      </w:r>
      <w:r w:rsidRPr="00CF5BCD">
        <w:rPr>
          <w:rFonts w:ascii="Arial" w:hAnsi="Arial" w:cs="Arial"/>
          <w:sz w:val="19"/>
          <w:szCs w:val="19"/>
          <w:u w:val="single" w:color="4E4D4D"/>
        </w:rPr>
        <w:t>referencia.</w:t>
      </w:r>
    </w:p>
    <w:p w14:paraId="4EF6E094" w14:textId="77777777" w:rsidR="0093333F" w:rsidRPr="00CF5BCD" w:rsidRDefault="0093333F" w:rsidP="00B22ED1">
      <w:pPr>
        <w:ind w:firstLine="720"/>
        <w:jc w:val="both"/>
        <w:rPr>
          <w:rFonts w:ascii="Arial" w:hAnsi="Arial" w:cs="Arial"/>
          <w:sz w:val="19"/>
          <w:szCs w:val="19"/>
        </w:rPr>
      </w:pPr>
      <w:r>
        <w:rPr>
          <w:rFonts w:ascii="Arial" w:hAnsi="Arial" w:cs="Arial"/>
          <w:sz w:val="19"/>
          <w:szCs w:val="19"/>
        </w:rPr>
        <w:t>[…]</w:t>
      </w:r>
    </w:p>
    <w:p w14:paraId="70125EFC" w14:textId="77777777" w:rsidR="0093333F" w:rsidRPr="00CF5BCD" w:rsidRDefault="0093333F" w:rsidP="00B22ED1">
      <w:pPr>
        <w:ind w:firstLine="720"/>
        <w:jc w:val="both"/>
        <w:rPr>
          <w:rFonts w:ascii="Arial" w:hAnsi="Arial" w:cs="Arial"/>
          <w:sz w:val="19"/>
          <w:szCs w:val="19"/>
        </w:rPr>
      </w:pPr>
      <w:r>
        <w:rPr>
          <w:rFonts w:ascii="Arial" w:hAnsi="Arial" w:cs="Arial"/>
          <w:sz w:val="19"/>
          <w:szCs w:val="19"/>
        </w:rPr>
        <w:t>»</w:t>
      </w:r>
      <w:r w:rsidRPr="00CF5BCD">
        <w:rPr>
          <w:rFonts w:ascii="Arial" w:hAnsi="Arial" w:cs="Arial"/>
          <w:sz w:val="19"/>
          <w:szCs w:val="19"/>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CF5BCD">
        <w:rPr>
          <w:rFonts w:ascii="Arial" w:hAnsi="Arial" w:cs="Arial"/>
          <w:spacing w:val="-11"/>
          <w:sz w:val="19"/>
          <w:szCs w:val="19"/>
        </w:rPr>
        <w:t xml:space="preserve"> </w:t>
      </w:r>
      <w:r w:rsidRPr="00CF5BCD">
        <w:rPr>
          <w:rFonts w:ascii="Arial" w:hAnsi="Arial" w:cs="Arial"/>
          <w:sz w:val="19"/>
          <w:szCs w:val="19"/>
        </w:rPr>
        <w:t>oferentes.</w:t>
      </w:r>
    </w:p>
    <w:p w14:paraId="0BD2E5DB" w14:textId="77777777" w:rsidR="0093333F" w:rsidRPr="00CF5BCD" w:rsidRDefault="0093333F" w:rsidP="00B22ED1">
      <w:pPr>
        <w:ind w:firstLine="720"/>
        <w:jc w:val="both"/>
        <w:rPr>
          <w:rFonts w:ascii="Arial" w:hAnsi="Arial" w:cs="Arial"/>
          <w:sz w:val="19"/>
          <w:szCs w:val="19"/>
        </w:rPr>
      </w:pPr>
      <w:r>
        <w:rPr>
          <w:rFonts w:ascii="Arial" w:hAnsi="Arial" w:cs="Arial"/>
          <w:sz w:val="19"/>
          <w:szCs w:val="19"/>
        </w:rPr>
        <w:t>»</w:t>
      </w:r>
      <w:r w:rsidRPr="00CF5BCD">
        <w:rPr>
          <w:rFonts w:ascii="Arial" w:hAnsi="Arial" w:cs="Arial"/>
          <w:sz w:val="19"/>
          <w:szCs w:val="19"/>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CF5BCD">
        <w:rPr>
          <w:rFonts w:ascii="Arial" w:hAnsi="Arial" w:cs="Arial"/>
          <w:spacing w:val="-20"/>
          <w:sz w:val="19"/>
          <w:szCs w:val="19"/>
        </w:rPr>
        <w:t xml:space="preserve"> </w:t>
      </w:r>
      <w:r w:rsidRPr="00CF5BCD">
        <w:rPr>
          <w:rFonts w:ascii="Arial" w:hAnsi="Arial" w:cs="Arial"/>
          <w:sz w:val="19"/>
          <w:szCs w:val="19"/>
        </w:rPr>
        <w:t>condiciones</w:t>
      </w:r>
      <w:r>
        <w:rPr>
          <w:rFonts w:ascii="Arial" w:hAnsi="Arial" w:cs="Arial"/>
          <w:sz w:val="19"/>
          <w:szCs w:val="19"/>
        </w:rPr>
        <w:t>»</w:t>
      </w:r>
      <w:r w:rsidRPr="00CF5BCD">
        <w:rPr>
          <w:rFonts w:ascii="Arial" w:hAnsi="Arial" w:cs="Arial"/>
          <w:sz w:val="19"/>
          <w:szCs w:val="19"/>
        </w:rPr>
        <w:t>.</w:t>
      </w:r>
    </w:p>
    <w:p w14:paraId="34C8C339" w14:textId="77777777" w:rsidR="0093333F" w:rsidRPr="00CF5BCD" w:rsidRDefault="0093333F" w:rsidP="001637D3">
      <w:pPr>
        <w:pStyle w:val="Textonotapie"/>
        <w:ind w:firstLine="720"/>
        <w:jc w:val="both"/>
        <w:rPr>
          <w:rFonts w:ascii="Arial" w:hAnsi="Arial" w:cs="Arial"/>
          <w:sz w:val="19"/>
          <w:szCs w:val="19"/>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87EA" w14:textId="77777777" w:rsidR="0093333F" w:rsidRDefault="0093333F">
    <w:pPr>
      <w:pStyle w:val="Encabezado"/>
    </w:pPr>
    <w:r>
      <w:rPr>
        <w:noProof/>
        <w:lang w:val="es-CO" w:eastAsia="es-CO"/>
      </w:rPr>
      <w:drawing>
        <wp:anchor distT="0" distB="0" distL="114300" distR="114300" simplePos="0" relativeHeight="251659264" behindDoc="1" locked="0" layoutInCell="1" allowOverlap="1" wp14:anchorId="5F81EDF8" wp14:editId="16931C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6B"/>
    <w:rsid w:val="000727C6"/>
    <w:rsid w:val="00087741"/>
    <w:rsid w:val="000A6FC7"/>
    <w:rsid w:val="00132733"/>
    <w:rsid w:val="00162FA4"/>
    <w:rsid w:val="001637D3"/>
    <w:rsid w:val="002113D5"/>
    <w:rsid w:val="00254CA9"/>
    <w:rsid w:val="00281FC0"/>
    <w:rsid w:val="002935F5"/>
    <w:rsid w:val="002C11F5"/>
    <w:rsid w:val="002C3740"/>
    <w:rsid w:val="002F7E6E"/>
    <w:rsid w:val="00350CA1"/>
    <w:rsid w:val="003D668D"/>
    <w:rsid w:val="003E541A"/>
    <w:rsid w:val="00422EF6"/>
    <w:rsid w:val="00433212"/>
    <w:rsid w:val="0043460F"/>
    <w:rsid w:val="004476B7"/>
    <w:rsid w:val="00452532"/>
    <w:rsid w:val="004864F2"/>
    <w:rsid w:val="00493DFA"/>
    <w:rsid w:val="004F4092"/>
    <w:rsid w:val="004F5229"/>
    <w:rsid w:val="005020CC"/>
    <w:rsid w:val="00550EC0"/>
    <w:rsid w:val="00557300"/>
    <w:rsid w:val="005A0363"/>
    <w:rsid w:val="005B6D18"/>
    <w:rsid w:val="00624A37"/>
    <w:rsid w:val="00691C14"/>
    <w:rsid w:val="006B0EF4"/>
    <w:rsid w:val="006C1001"/>
    <w:rsid w:val="006C3680"/>
    <w:rsid w:val="006F5819"/>
    <w:rsid w:val="006F7431"/>
    <w:rsid w:val="00700EB7"/>
    <w:rsid w:val="0075185B"/>
    <w:rsid w:val="00763542"/>
    <w:rsid w:val="00763B5B"/>
    <w:rsid w:val="00764275"/>
    <w:rsid w:val="007657D6"/>
    <w:rsid w:val="007E743F"/>
    <w:rsid w:val="00811F4C"/>
    <w:rsid w:val="00831413"/>
    <w:rsid w:val="00835F09"/>
    <w:rsid w:val="0087334F"/>
    <w:rsid w:val="00874E20"/>
    <w:rsid w:val="00895ED9"/>
    <w:rsid w:val="0093333F"/>
    <w:rsid w:val="00947F05"/>
    <w:rsid w:val="00A16F0E"/>
    <w:rsid w:val="00A4390F"/>
    <w:rsid w:val="00A771CF"/>
    <w:rsid w:val="00A93465"/>
    <w:rsid w:val="00A945D8"/>
    <w:rsid w:val="00AD679B"/>
    <w:rsid w:val="00AE2D51"/>
    <w:rsid w:val="00B22ED1"/>
    <w:rsid w:val="00B5425F"/>
    <w:rsid w:val="00BB037F"/>
    <w:rsid w:val="00BB1580"/>
    <w:rsid w:val="00BF2A50"/>
    <w:rsid w:val="00C352BA"/>
    <w:rsid w:val="00C426C1"/>
    <w:rsid w:val="00C53401"/>
    <w:rsid w:val="00C673AF"/>
    <w:rsid w:val="00CC66FB"/>
    <w:rsid w:val="00CC77BC"/>
    <w:rsid w:val="00CE6B10"/>
    <w:rsid w:val="00CF1091"/>
    <w:rsid w:val="00D1749A"/>
    <w:rsid w:val="00D21AC0"/>
    <w:rsid w:val="00D4494D"/>
    <w:rsid w:val="00D6766B"/>
    <w:rsid w:val="00D91D04"/>
    <w:rsid w:val="00DA7A8A"/>
    <w:rsid w:val="00DD55FF"/>
    <w:rsid w:val="00DE3C3E"/>
    <w:rsid w:val="00DE43B3"/>
    <w:rsid w:val="00DF6091"/>
    <w:rsid w:val="00E038A7"/>
    <w:rsid w:val="00E1459B"/>
    <w:rsid w:val="00E46C31"/>
    <w:rsid w:val="00E61876"/>
    <w:rsid w:val="00F3511D"/>
    <w:rsid w:val="00FB1F8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C8E8E"/>
  <w15:docId w15:val="{16914C82-A716-4465-99A1-4802C5C0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66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766B"/>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D6766B"/>
    <w:rPr>
      <w:szCs w:val="22"/>
      <w:lang w:val="es-MX"/>
    </w:rPr>
  </w:style>
  <w:style w:type="paragraph" w:styleId="Encabezado">
    <w:name w:val="header"/>
    <w:basedOn w:val="Normal"/>
    <w:link w:val="EncabezadoCar"/>
    <w:uiPriority w:val="99"/>
    <w:unhideWhenUsed/>
    <w:rsid w:val="00D6766B"/>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D6766B"/>
    <w:rPr>
      <w:szCs w:val="22"/>
      <w:lang w:val="es-MX"/>
    </w:rPr>
  </w:style>
  <w:style w:type="table" w:styleId="Tablaconcuadrcula">
    <w:name w:val="Table Grid"/>
    <w:basedOn w:val="Tablanormal"/>
    <w:uiPriority w:val="39"/>
    <w:rsid w:val="00D676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6766B"/>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D6766B"/>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6766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6766B"/>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D6766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6766B"/>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D6766B"/>
    <w:rPr>
      <w:vertAlign w:val="superscript"/>
    </w:rPr>
  </w:style>
  <w:style w:type="paragraph" w:customStyle="1" w:styleId="paragraph">
    <w:name w:val="paragraph"/>
    <w:basedOn w:val="Normal"/>
    <w:rsid w:val="001637D3"/>
    <w:pPr>
      <w:spacing w:before="100" w:beforeAutospacing="1" w:after="100" w:afterAutospacing="1"/>
    </w:pPr>
    <w:rPr>
      <w:lang w:eastAsia="es-CO"/>
    </w:rPr>
  </w:style>
  <w:style w:type="character" w:customStyle="1" w:styleId="normaltextrun">
    <w:name w:val="normaltextrun"/>
    <w:basedOn w:val="Fuentedeprrafopredeter"/>
    <w:rsid w:val="001637D3"/>
  </w:style>
  <w:style w:type="character" w:customStyle="1" w:styleId="eop">
    <w:name w:val="eop"/>
    <w:basedOn w:val="Fuentedeprrafopredeter"/>
    <w:rsid w:val="001637D3"/>
  </w:style>
  <w:style w:type="character" w:styleId="Refdecomentario">
    <w:name w:val="annotation reference"/>
    <w:basedOn w:val="Fuentedeprrafopredeter"/>
    <w:uiPriority w:val="99"/>
    <w:semiHidden/>
    <w:unhideWhenUsed/>
    <w:rsid w:val="001637D3"/>
    <w:rPr>
      <w:sz w:val="16"/>
      <w:szCs w:val="16"/>
    </w:rPr>
  </w:style>
  <w:style w:type="paragraph" w:styleId="Textocomentario">
    <w:name w:val="annotation text"/>
    <w:basedOn w:val="Normal"/>
    <w:link w:val="TextocomentarioCar"/>
    <w:uiPriority w:val="99"/>
    <w:semiHidden/>
    <w:unhideWhenUsed/>
    <w:rsid w:val="001637D3"/>
    <w:rPr>
      <w:sz w:val="20"/>
      <w:szCs w:val="20"/>
    </w:rPr>
  </w:style>
  <w:style w:type="character" w:customStyle="1" w:styleId="TextocomentarioCar">
    <w:name w:val="Texto comentario Car"/>
    <w:basedOn w:val="Fuentedeprrafopredeter"/>
    <w:link w:val="Textocomentario"/>
    <w:uiPriority w:val="99"/>
    <w:semiHidden/>
    <w:rsid w:val="001637D3"/>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37D3"/>
    <w:rPr>
      <w:b/>
      <w:bCs/>
    </w:rPr>
  </w:style>
  <w:style w:type="character" w:customStyle="1" w:styleId="AsuntodelcomentarioCar">
    <w:name w:val="Asunto del comentario Car"/>
    <w:basedOn w:val="TextocomentarioCar"/>
    <w:link w:val="Asuntodelcomentario"/>
    <w:uiPriority w:val="99"/>
    <w:semiHidden/>
    <w:rsid w:val="001637D3"/>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1637D3"/>
    <w:rPr>
      <w:sz w:val="18"/>
      <w:szCs w:val="18"/>
    </w:rPr>
  </w:style>
  <w:style w:type="character" w:customStyle="1" w:styleId="TextodegloboCar">
    <w:name w:val="Texto de globo Car"/>
    <w:basedOn w:val="Fuentedeprrafopredeter"/>
    <w:link w:val="Textodeglobo"/>
    <w:uiPriority w:val="99"/>
    <w:semiHidden/>
    <w:rsid w:val="001637D3"/>
    <w:rPr>
      <w:rFonts w:ascii="Times New Roman" w:eastAsia="Times New Roman" w:hAnsi="Times New Roman" w:cs="Times New Roman"/>
      <w:sz w:val="18"/>
      <w:szCs w:val="18"/>
    </w:rPr>
  </w:style>
  <w:style w:type="paragraph" w:styleId="Textoindependiente">
    <w:name w:val="Body Text"/>
    <w:basedOn w:val="Normal"/>
    <w:link w:val="TextoindependienteCar"/>
    <w:uiPriority w:val="1"/>
    <w:qFormat/>
    <w:rsid w:val="001637D3"/>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1637D3"/>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DD55FF"/>
    <w:rPr>
      <w:color w:val="0563C1" w:themeColor="hyperlink"/>
      <w:u w:val="single"/>
    </w:rPr>
  </w:style>
  <w:style w:type="character" w:customStyle="1" w:styleId="Mencinsinresolver1">
    <w:name w:val="Mención sin resolver1"/>
    <w:basedOn w:val="Fuentedeprrafopredeter"/>
    <w:uiPriority w:val="99"/>
    <w:semiHidden/>
    <w:unhideWhenUsed/>
    <w:rsid w:val="00DD55FF"/>
    <w:rPr>
      <w:color w:val="605E5C"/>
      <w:shd w:val="clear" w:color="auto" w:fill="E1DFDD"/>
    </w:rPr>
  </w:style>
  <w:style w:type="paragraph" w:customStyle="1" w:styleId="Default">
    <w:name w:val="Default"/>
    <w:rsid w:val="00AD679B"/>
    <w:pPr>
      <w:autoSpaceDE w:val="0"/>
      <w:autoSpaceDN w:val="0"/>
      <w:adjustRightInd w:val="0"/>
    </w:pPr>
    <w:rPr>
      <w:rFonts w:ascii="Arial Narrow" w:hAnsi="Arial Narrow" w:cs="Arial Narrow"/>
      <w:color w:val="000000"/>
      <w:lang w:val="en-US"/>
    </w:rPr>
  </w:style>
  <w:style w:type="character" w:styleId="Textoennegrita">
    <w:name w:val="Strong"/>
    <w:basedOn w:val="Fuentedeprrafopredeter"/>
    <w:uiPriority w:val="22"/>
    <w:qFormat/>
    <w:rsid w:val="00AD679B"/>
    <w:rPr>
      <w:b/>
      <w:bCs/>
    </w:rPr>
  </w:style>
  <w:style w:type="paragraph" w:styleId="NormalWeb">
    <w:name w:val="Normal (Web)"/>
    <w:basedOn w:val="Normal"/>
    <w:uiPriority w:val="99"/>
    <w:semiHidden/>
    <w:unhideWhenUsed/>
    <w:rsid w:val="000877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327">
      <w:bodyDiv w:val="1"/>
      <w:marLeft w:val="0"/>
      <w:marRight w:val="0"/>
      <w:marTop w:val="0"/>
      <w:marBottom w:val="0"/>
      <w:divBdr>
        <w:top w:val="none" w:sz="0" w:space="0" w:color="auto"/>
        <w:left w:val="none" w:sz="0" w:space="0" w:color="auto"/>
        <w:bottom w:val="none" w:sz="0" w:space="0" w:color="auto"/>
        <w:right w:val="none" w:sz="0" w:space="0" w:color="auto"/>
      </w:divBdr>
    </w:div>
    <w:div w:id="102459135">
      <w:bodyDiv w:val="1"/>
      <w:marLeft w:val="0"/>
      <w:marRight w:val="0"/>
      <w:marTop w:val="0"/>
      <w:marBottom w:val="0"/>
      <w:divBdr>
        <w:top w:val="none" w:sz="0" w:space="0" w:color="auto"/>
        <w:left w:val="none" w:sz="0" w:space="0" w:color="auto"/>
        <w:bottom w:val="none" w:sz="0" w:space="0" w:color="auto"/>
        <w:right w:val="none" w:sz="0" w:space="0" w:color="auto"/>
      </w:divBdr>
    </w:div>
    <w:div w:id="192118668">
      <w:bodyDiv w:val="1"/>
      <w:marLeft w:val="0"/>
      <w:marRight w:val="0"/>
      <w:marTop w:val="0"/>
      <w:marBottom w:val="0"/>
      <w:divBdr>
        <w:top w:val="none" w:sz="0" w:space="0" w:color="auto"/>
        <w:left w:val="none" w:sz="0" w:space="0" w:color="auto"/>
        <w:bottom w:val="none" w:sz="0" w:space="0" w:color="auto"/>
        <w:right w:val="none" w:sz="0" w:space="0" w:color="auto"/>
      </w:divBdr>
    </w:div>
    <w:div w:id="233204284">
      <w:bodyDiv w:val="1"/>
      <w:marLeft w:val="0"/>
      <w:marRight w:val="0"/>
      <w:marTop w:val="0"/>
      <w:marBottom w:val="0"/>
      <w:divBdr>
        <w:top w:val="none" w:sz="0" w:space="0" w:color="auto"/>
        <w:left w:val="none" w:sz="0" w:space="0" w:color="auto"/>
        <w:bottom w:val="none" w:sz="0" w:space="0" w:color="auto"/>
        <w:right w:val="none" w:sz="0" w:space="0" w:color="auto"/>
      </w:divBdr>
    </w:div>
    <w:div w:id="406878871">
      <w:bodyDiv w:val="1"/>
      <w:marLeft w:val="0"/>
      <w:marRight w:val="0"/>
      <w:marTop w:val="0"/>
      <w:marBottom w:val="0"/>
      <w:divBdr>
        <w:top w:val="none" w:sz="0" w:space="0" w:color="auto"/>
        <w:left w:val="none" w:sz="0" w:space="0" w:color="auto"/>
        <w:bottom w:val="none" w:sz="0" w:space="0" w:color="auto"/>
        <w:right w:val="none" w:sz="0" w:space="0" w:color="auto"/>
      </w:divBdr>
    </w:div>
    <w:div w:id="436557330">
      <w:bodyDiv w:val="1"/>
      <w:marLeft w:val="0"/>
      <w:marRight w:val="0"/>
      <w:marTop w:val="0"/>
      <w:marBottom w:val="0"/>
      <w:divBdr>
        <w:top w:val="none" w:sz="0" w:space="0" w:color="auto"/>
        <w:left w:val="none" w:sz="0" w:space="0" w:color="auto"/>
        <w:bottom w:val="none" w:sz="0" w:space="0" w:color="auto"/>
        <w:right w:val="none" w:sz="0" w:space="0" w:color="auto"/>
      </w:divBdr>
    </w:div>
    <w:div w:id="609361505">
      <w:bodyDiv w:val="1"/>
      <w:marLeft w:val="0"/>
      <w:marRight w:val="0"/>
      <w:marTop w:val="0"/>
      <w:marBottom w:val="0"/>
      <w:divBdr>
        <w:top w:val="none" w:sz="0" w:space="0" w:color="auto"/>
        <w:left w:val="none" w:sz="0" w:space="0" w:color="auto"/>
        <w:bottom w:val="none" w:sz="0" w:space="0" w:color="auto"/>
        <w:right w:val="none" w:sz="0" w:space="0" w:color="auto"/>
      </w:divBdr>
    </w:div>
    <w:div w:id="649553346">
      <w:bodyDiv w:val="1"/>
      <w:marLeft w:val="0"/>
      <w:marRight w:val="0"/>
      <w:marTop w:val="0"/>
      <w:marBottom w:val="0"/>
      <w:divBdr>
        <w:top w:val="none" w:sz="0" w:space="0" w:color="auto"/>
        <w:left w:val="none" w:sz="0" w:space="0" w:color="auto"/>
        <w:bottom w:val="none" w:sz="0" w:space="0" w:color="auto"/>
        <w:right w:val="none" w:sz="0" w:space="0" w:color="auto"/>
      </w:divBdr>
    </w:div>
    <w:div w:id="1054889751">
      <w:bodyDiv w:val="1"/>
      <w:marLeft w:val="0"/>
      <w:marRight w:val="0"/>
      <w:marTop w:val="0"/>
      <w:marBottom w:val="0"/>
      <w:divBdr>
        <w:top w:val="none" w:sz="0" w:space="0" w:color="auto"/>
        <w:left w:val="none" w:sz="0" w:space="0" w:color="auto"/>
        <w:bottom w:val="none" w:sz="0" w:space="0" w:color="auto"/>
        <w:right w:val="none" w:sz="0" w:space="0" w:color="auto"/>
      </w:divBdr>
    </w:div>
    <w:div w:id="1212309022">
      <w:bodyDiv w:val="1"/>
      <w:marLeft w:val="0"/>
      <w:marRight w:val="0"/>
      <w:marTop w:val="0"/>
      <w:marBottom w:val="0"/>
      <w:divBdr>
        <w:top w:val="none" w:sz="0" w:space="0" w:color="auto"/>
        <w:left w:val="none" w:sz="0" w:space="0" w:color="auto"/>
        <w:bottom w:val="none" w:sz="0" w:space="0" w:color="auto"/>
        <w:right w:val="none" w:sz="0" w:space="0" w:color="auto"/>
      </w:divBdr>
    </w:div>
    <w:div w:id="1415973169">
      <w:bodyDiv w:val="1"/>
      <w:marLeft w:val="0"/>
      <w:marRight w:val="0"/>
      <w:marTop w:val="0"/>
      <w:marBottom w:val="0"/>
      <w:divBdr>
        <w:top w:val="none" w:sz="0" w:space="0" w:color="auto"/>
        <w:left w:val="none" w:sz="0" w:space="0" w:color="auto"/>
        <w:bottom w:val="none" w:sz="0" w:space="0" w:color="auto"/>
        <w:right w:val="none" w:sz="0" w:space="0" w:color="auto"/>
      </w:divBdr>
    </w:div>
    <w:div w:id="1796289415">
      <w:bodyDiv w:val="1"/>
      <w:marLeft w:val="0"/>
      <w:marRight w:val="0"/>
      <w:marTop w:val="0"/>
      <w:marBottom w:val="0"/>
      <w:divBdr>
        <w:top w:val="none" w:sz="0" w:space="0" w:color="auto"/>
        <w:left w:val="none" w:sz="0" w:space="0" w:color="auto"/>
        <w:bottom w:val="none" w:sz="0" w:space="0" w:color="auto"/>
        <w:right w:val="none" w:sz="0" w:space="0" w:color="auto"/>
      </w:divBdr>
    </w:div>
    <w:div w:id="20285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6390197-935B-4775-ABC0-19683F3401CC}"/>
</file>

<file path=customXml/itemProps2.xml><?xml version="1.0" encoding="utf-8"?>
<ds:datastoreItem xmlns:ds="http://schemas.openxmlformats.org/officeDocument/2006/customXml" ds:itemID="{9C69C0FA-BD28-4E9A-9677-C0F004EAF543}"/>
</file>

<file path=customXml/itemProps3.xml><?xml version="1.0" encoding="utf-8"?>
<ds:datastoreItem xmlns:ds="http://schemas.openxmlformats.org/officeDocument/2006/customXml" ds:itemID="{F7B1BB5F-DEDE-4102-85FB-75DF7D12404D}"/>
</file>

<file path=docProps/app.xml><?xml version="1.0" encoding="utf-8"?>
<Properties xmlns="http://schemas.openxmlformats.org/officeDocument/2006/extended-properties" xmlns:vt="http://schemas.openxmlformats.org/officeDocument/2006/docPropsVTypes">
  <Template>Normal</Template>
  <TotalTime>0</TotalTime>
  <Pages>9</Pages>
  <Words>3130</Words>
  <Characters>17220</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Andres Urrego</cp:lastModifiedBy>
  <cp:revision>3</cp:revision>
  <dcterms:created xsi:type="dcterms:W3CDTF">2020-11-18T23:15:00Z</dcterms:created>
  <dcterms:modified xsi:type="dcterms:W3CDTF">2020-11-18T23:15:00Z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