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DE101" w14:textId="77777777" w:rsidR="0050362D" w:rsidRPr="001A65D8" w:rsidRDefault="0050362D" w:rsidP="0050362D">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End w:id="0"/>
      <w:r w:rsidRPr="001A65D8">
        <w:rPr>
          <w:rFonts w:ascii="Arial" w:hAnsi="Arial" w:cs="Arial"/>
          <w:b/>
          <w:color w:val="000000" w:themeColor="text1"/>
          <w:sz w:val="16"/>
          <w:szCs w:val="16"/>
          <w:lang w:eastAsia="es-ES"/>
        </w:rPr>
        <w:t>CCE-DES-FM-17</w:t>
      </w:r>
    </w:p>
    <w:p w14:paraId="5E5DB482" w14:textId="77777777" w:rsidR="0050362D" w:rsidRPr="0078446D" w:rsidRDefault="0050362D" w:rsidP="0050362D">
      <w:pPr>
        <w:jc w:val="both"/>
        <w:rPr>
          <w:rFonts w:ascii="Arial" w:eastAsia="Calibri" w:hAnsi="Arial" w:cs="Arial"/>
          <w:b/>
          <w:color w:val="000000" w:themeColor="text1"/>
          <w:sz w:val="20"/>
          <w:szCs w:val="20"/>
        </w:rPr>
      </w:pPr>
    </w:p>
    <w:bookmarkEnd w:id="1"/>
    <w:bookmarkEnd w:id="2"/>
    <w:p w14:paraId="57557505" w14:textId="0F8C0010" w:rsidR="00475C92" w:rsidRPr="00475C92" w:rsidRDefault="004E01A9" w:rsidP="00475C92">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REGIMENES ESPECIALES EN LA CONTRATACIÓN ESTATAL </w:t>
      </w:r>
    </w:p>
    <w:p w14:paraId="04771783" w14:textId="77777777" w:rsidR="00475C92" w:rsidRPr="00475C92" w:rsidRDefault="00475C92" w:rsidP="00475C92">
      <w:pPr>
        <w:jc w:val="both"/>
        <w:rPr>
          <w:rFonts w:ascii="Arial" w:eastAsia="Calibri" w:hAnsi="Arial" w:cs="Arial"/>
          <w:b/>
          <w:bCs/>
          <w:color w:val="000000" w:themeColor="text1"/>
          <w:sz w:val="22"/>
          <w:lang w:val="es-ES_tradnl"/>
        </w:rPr>
      </w:pPr>
    </w:p>
    <w:p w14:paraId="5C714EF7" w14:textId="77777777" w:rsidR="004E01A9" w:rsidRPr="004E01A9" w:rsidRDefault="004E01A9" w:rsidP="004E01A9">
      <w:pPr>
        <w:jc w:val="both"/>
        <w:rPr>
          <w:rFonts w:ascii="Arial" w:eastAsia="Calibri" w:hAnsi="Arial" w:cs="Arial"/>
          <w:b/>
          <w:bCs/>
          <w:color w:val="000000" w:themeColor="text1"/>
          <w:sz w:val="20"/>
          <w:lang w:val="es-ES_tradnl"/>
        </w:rPr>
      </w:pPr>
      <w:r w:rsidRPr="004E01A9">
        <w:rPr>
          <w:rFonts w:ascii="Arial" w:eastAsia="Calibri" w:hAnsi="Arial" w:cs="Arial"/>
          <w:bCs/>
          <w:color w:val="000000" w:themeColor="text1"/>
          <w:sz w:val="20"/>
          <w:lang w:val="es-ES_tradnl"/>
        </w:rPr>
        <w:t>Las entidades de régimen especial son aquellas que, por expresa disposición legal y por su naturaleza o situación de competencia no están sometidas al Estatuto General de Contratación de la Administración Pública, y por ende sus procedimientos contractuales se rigen por el derecho privado, lo cual está determinado en las normas de creación de las entidades de régimen especial y en sus manuales de contratación.</w:t>
      </w:r>
    </w:p>
    <w:p w14:paraId="589A9492" w14:textId="77777777" w:rsidR="00475C92" w:rsidRDefault="00475C92" w:rsidP="0050362D">
      <w:pPr>
        <w:jc w:val="both"/>
        <w:rPr>
          <w:rFonts w:ascii="Arial" w:eastAsia="Calibri" w:hAnsi="Arial" w:cs="Arial"/>
          <w:b/>
          <w:bCs/>
          <w:color w:val="000000" w:themeColor="text1"/>
          <w:sz w:val="22"/>
        </w:rPr>
      </w:pPr>
    </w:p>
    <w:p w14:paraId="6A7D60D4" w14:textId="6F40A689" w:rsidR="004E01A9" w:rsidRPr="004E01A9" w:rsidRDefault="004E01A9" w:rsidP="004E01A9">
      <w:pPr>
        <w:jc w:val="both"/>
        <w:rPr>
          <w:rFonts w:ascii="Arial" w:eastAsia="Calibri" w:hAnsi="Arial" w:cs="Arial"/>
          <w:b/>
          <w:bCs/>
          <w:color w:val="000000" w:themeColor="text1"/>
          <w:sz w:val="22"/>
          <w:lang w:val="es-ES_tradnl"/>
        </w:rPr>
      </w:pPr>
      <w:r w:rsidRPr="004E01A9">
        <w:rPr>
          <w:rFonts w:ascii="Arial" w:eastAsia="Calibri" w:hAnsi="Arial" w:cs="Arial"/>
          <w:b/>
          <w:bCs/>
          <w:color w:val="000000" w:themeColor="text1"/>
          <w:sz w:val="22"/>
          <w:lang w:val="es-ES_tradnl"/>
        </w:rPr>
        <w:t>CAUSALES DE RECHAZO –</w:t>
      </w:r>
      <w:r>
        <w:rPr>
          <w:rFonts w:ascii="Arial" w:eastAsia="Calibri" w:hAnsi="Arial" w:cs="Arial"/>
          <w:b/>
          <w:bCs/>
          <w:color w:val="000000" w:themeColor="text1"/>
          <w:sz w:val="22"/>
          <w:lang w:val="es-ES"/>
        </w:rPr>
        <w:t xml:space="preserve"> </w:t>
      </w:r>
      <w:r>
        <w:rPr>
          <w:rFonts w:ascii="Arial" w:eastAsia="Calibri" w:hAnsi="Arial" w:cs="Arial"/>
          <w:b/>
          <w:bCs/>
          <w:color w:val="000000" w:themeColor="text1"/>
          <w:sz w:val="22"/>
          <w:lang w:val="es-ES_tradnl"/>
        </w:rPr>
        <w:t>N</w:t>
      </w:r>
      <w:r w:rsidRPr="004E01A9">
        <w:rPr>
          <w:rFonts w:ascii="Arial" w:eastAsia="Calibri" w:hAnsi="Arial" w:cs="Arial"/>
          <w:b/>
          <w:bCs/>
          <w:color w:val="000000" w:themeColor="text1"/>
          <w:sz w:val="22"/>
          <w:lang w:val="es-ES_tradnl"/>
        </w:rPr>
        <w:t>o pueden ser caprichosas ni arbitrarias</w:t>
      </w:r>
    </w:p>
    <w:p w14:paraId="66F89149" w14:textId="77777777" w:rsidR="004E01A9" w:rsidRPr="004E01A9" w:rsidRDefault="004E01A9" w:rsidP="004E01A9">
      <w:pPr>
        <w:jc w:val="both"/>
        <w:rPr>
          <w:rFonts w:ascii="Arial" w:eastAsia="Calibri" w:hAnsi="Arial" w:cs="Arial"/>
          <w:b/>
          <w:bCs/>
          <w:color w:val="000000" w:themeColor="text1"/>
          <w:sz w:val="22"/>
          <w:lang w:val="es-ES_tradnl"/>
        </w:rPr>
      </w:pPr>
    </w:p>
    <w:p w14:paraId="68EA896A" w14:textId="77777777" w:rsidR="004E01A9" w:rsidRPr="004E01A9" w:rsidRDefault="004E01A9" w:rsidP="004E01A9">
      <w:pPr>
        <w:jc w:val="both"/>
        <w:rPr>
          <w:rFonts w:ascii="Arial" w:eastAsia="Calibri" w:hAnsi="Arial" w:cs="Arial"/>
          <w:color w:val="000000" w:themeColor="text1"/>
          <w:sz w:val="20"/>
          <w:szCs w:val="20"/>
          <w:lang w:val="es-ES_tradnl"/>
        </w:rPr>
      </w:pPr>
      <w:r w:rsidRPr="004E01A9">
        <w:rPr>
          <w:rFonts w:ascii="Arial" w:eastAsia="Calibri" w:hAnsi="Arial" w:cs="Arial"/>
          <w:color w:val="000000" w:themeColor="text1"/>
          <w:sz w:val="20"/>
          <w:szCs w:val="20"/>
          <w:lang w:val="es-ES_tradnl"/>
        </w:rPr>
        <w:t>Conforme al inciso 1 del artículo 209 de la Constitución Política de Colombia, la función administrativa está al servicio de los intereses generales y se desarrolla, entre otros, con fundamento en el principio de imparcialidad. En este sentido, el numeral 3 del artículo 3 de la Ley 1437 de 2011 prescribe que «En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 Esta directriz es de especial relevancia en materia de contratación estatal, ya que –en virtud del artículo 77 de la Ley 80 de 1993 y el artículo 13 de la Ley 1150 de 2007– se integra tanto al régimen de las entidades sometidas como al de las exceptuadas del Estatuto General de Contratación de la Administración Pública, guardando una estrecha relación con el principio de selección objetiva.</w:t>
      </w:r>
    </w:p>
    <w:p w14:paraId="1017FD00" w14:textId="77777777" w:rsidR="0050362D" w:rsidRPr="00051568" w:rsidRDefault="0050362D" w:rsidP="0050362D">
      <w:pPr>
        <w:jc w:val="both"/>
        <w:rPr>
          <w:rFonts w:ascii="Arial" w:eastAsia="Calibri" w:hAnsi="Arial" w:cs="Arial"/>
          <w:b/>
          <w:bCs/>
          <w:color w:val="000000" w:themeColor="text1"/>
          <w:sz w:val="20"/>
          <w:szCs w:val="20"/>
        </w:rPr>
      </w:pPr>
    </w:p>
    <w:p w14:paraId="0D6D7EAA" w14:textId="5969D92D" w:rsidR="004E01A9" w:rsidRPr="004E01A9" w:rsidRDefault="004E01A9" w:rsidP="004E01A9">
      <w:pPr>
        <w:jc w:val="both"/>
        <w:rPr>
          <w:rFonts w:ascii="Arial" w:hAnsi="Arial" w:cs="Arial"/>
          <w:b/>
          <w:bCs/>
          <w:color w:val="000000" w:themeColor="text1"/>
          <w:sz w:val="22"/>
          <w:lang w:val="es-ES_tradnl"/>
        </w:rPr>
      </w:pPr>
      <w:r w:rsidRPr="004E01A9">
        <w:rPr>
          <w:rFonts w:ascii="Arial" w:hAnsi="Arial" w:cs="Arial"/>
          <w:b/>
          <w:bCs/>
          <w:color w:val="000000" w:themeColor="text1"/>
          <w:sz w:val="22"/>
          <w:lang w:val="es-ES_tradnl"/>
        </w:rPr>
        <w:t>R</w:t>
      </w:r>
      <w:r>
        <w:rPr>
          <w:rFonts w:ascii="Arial" w:hAnsi="Arial" w:cs="Arial"/>
          <w:b/>
          <w:bCs/>
          <w:color w:val="000000" w:themeColor="text1"/>
          <w:sz w:val="22"/>
          <w:lang w:val="es-ES_tradnl"/>
        </w:rPr>
        <w:t xml:space="preserve">ÉGIMEN DE INHABILIDADES </w:t>
      </w:r>
      <w:r w:rsidRPr="004E01A9">
        <w:rPr>
          <w:rFonts w:ascii="Arial" w:hAnsi="Arial" w:cs="Arial"/>
          <w:b/>
          <w:bCs/>
          <w:color w:val="000000" w:themeColor="text1"/>
          <w:sz w:val="22"/>
          <w:lang w:val="es-ES_tradnl"/>
        </w:rPr>
        <w:t>–</w:t>
      </w:r>
      <w:r>
        <w:rPr>
          <w:rFonts w:ascii="Arial" w:hAnsi="Arial" w:cs="Arial"/>
          <w:b/>
          <w:bCs/>
          <w:color w:val="000000" w:themeColor="text1"/>
          <w:sz w:val="22"/>
          <w:lang w:val="es-ES_tradnl"/>
        </w:rPr>
        <w:t xml:space="preserve"> I</w:t>
      </w:r>
      <w:r w:rsidRPr="004E01A9">
        <w:rPr>
          <w:rFonts w:ascii="Arial" w:hAnsi="Arial" w:cs="Arial"/>
          <w:b/>
          <w:bCs/>
          <w:color w:val="000000" w:themeColor="text1"/>
          <w:sz w:val="22"/>
          <w:lang w:val="es-ES_tradnl"/>
        </w:rPr>
        <w:t xml:space="preserve">mportancia de la reserva legal </w:t>
      </w:r>
    </w:p>
    <w:p w14:paraId="3CA0F735" w14:textId="77777777" w:rsidR="004E01A9" w:rsidRPr="004E01A9" w:rsidRDefault="004E01A9" w:rsidP="004E01A9">
      <w:pPr>
        <w:jc w:val="both"/>
        <w:rPr>
          <w:rFonts w:ascii="Arial" w:hAnsi="Arial" w:cs="Arial"/>
          <w:b/>
          <w:bCs/>
          <w:color w:val="000000" w:themeColor="text1"/>
          <w:sz w:val="22"/>
          <w:lang w:val="es-ES_tradnl"/>
        </w:rPr>
      </w:pPr>
    </w:p>
    <w:p w14:paraId="04AF9F0B" w14:textId="6F0340C9" w:rsidR="00504A12" w:rsidRDefault="004E01A9" w:rsidP="004E01A9">
      <w:pPr>
        <w:jc w:val="both"/>
        <w:rPr>
          <w:rFonts w:ascii="Arial" w:hAnsi="Arial" w:cs="Arial"/>
          <w:color w:val="000000" w:themeColor="text1"/>
          <w:sz w:val="20"/>
          <w:szCs w:val="20"/>
          <w:lang w:val="es-ES_tradnl"/>
        </w:rPr>
      </w:pPr>
      <w:r w:rsidRPr="004E01A9">
        <w:rPr>
          <w:rFonts w:ascii="Arial" w:hAnsi="Arial" w:cs="Arial"/>
          <w:color w:val="000000" w:themeColor="text1"/>
          <w:sz w:val="20"/>
          <w:szCs w:val="20"/>
          <w:lang w:val="es-ES_tradnl"/>
        </w:rPr>
        <w:t xml:space="preserve">Conforme a lo anotado en el numeral precedente, el rechazo está relacionado con impedimentos legales o con defectos u omisiones en el contenido o en la presentación de los documentos que conforman la propuesta. Así las cosas, conforme al marco normativo anteriormente citado, viola el principio de imparcialidad y el de selección objetiva que las causales previstas en el pliego no se fundamenten en alguno de estos motivos. De lo anterior se desprende que actuar por fuera de estos límites implica convertirlas en causales de inhabilidad, las cuales –por esencia– son reguladas por el legislador. </w:t>
      </w:r>
    </w:p>
    <w:p w14:paraId="6AD9491E" w14:textId="77777777" w:rsidR="004E01A9" w:rsidRPr="00051568" w:rsidRDefault="004E01A9" w:rsidP="00504A12">
      <w:pPr>
        <w:rPr>
          <w:rFonts w:ascii="Arial" w:hAnsi="Arial" w:cs="Arial"/>
          <w:color w:val="000000" w:themeColor="text1"/>
          <w:sz w:val="20"/>
          <w:szCs w:val="20"/>
          <w:lang w:val="es-ES_tradnl"/>
        </w:rPr>
      </w:pPr>
    </w:p>
    <w:p w14:paraId="105DB382" w14:textId="75BC4416" w:rsidR="001F7E90" w:rsidRPr="00C27682" w:rsidRDefault="001F7E90" w:rsidP="001F7E90">
      <w:pPr>
        <w:jc w:val="both"/>
        <w:rPr>
          <w:rFonts w:ascii="Arial" w:hAnsi="Arial" w:cs="Arial"/>
          <w:color w:val="000000" w:themeColor="text1"/>
          <w:sz w:val="20"/>
          <w:szCs w:val="20"/>
          <w:lang w:val="es-ES_tradnl"/>
        </w:rPr>
      </w:pPr>
    </w:p>
    <w:p w14:paraId="528CF33B" w14:textId="2737F0E3" w:rsidR="001F7E90" w:rsidRPr="001F7E90" w:rsidRDefault="001F7E90" w:rsidP="001F7E90">
      <w:pPr>
        <w:jc w:val="both"/>
        <w:rPr>
          <w:rFonts w:ascii="Arial" w:hAnsi="Arial" w:cs="Arial"/>
          <w:b/>
          <w:color w:val="000000" w:themeColor="text1"/>
          <w:sz w:val="22"/>
          <w:lang w:val="es-ES_tradnl"/>
        </w:rPr>
      </w:pPr>
      <w:r>
        <w:rPr>
          <w:rFonts w:ascii="Arial" w:hAnsi="Arial" w:cs="Arial"/>
          <w:b/>
          <w:color w:val="000000" w:themeColor="text1"/>
          <w:sz w:val="22"/>
        </w:rPr>
        <w:t xml:space="preserve">SARLAFT </w:t>
      </w:r>
      <w:r w:rsidR="00D4102D">
        <w:rPr>
          <w:rFonts w:ascii="Arial" w:hAnsi="Arial" w:cs="Arial"/>
          <w:b/>
          <w:color w:val="000000" w:themeColor="text1"/>
          <w:sz w:val="22"/>
        </w:rPr>
        <w:t>–</w:t>
      </w:r>
      <w:r>
        <w:rPr>
          <w:rFonts w:ascii="Arial" w:hAnsi="Arial" w:cs="Arial"/>
          <w:b/>
          <w:color w:val="000000" w:themeColor="text1"/>
          <w:sz w:val="22"/>
        </w:rPr>
        <w:t xml:space="preserve"> Fundamento</w:t>
      </w:r>
    </w:p>
    <w:p w14:paraId="296BE4CA" w14:textId="77777777" w:rsidR="001F7E90" w:rsidRPr="00051568" w:rsidRDefault="001F7E90" w:rsidP="00504A12">
      <w:pPr>
        <w:rPr>
          <w:rFonts w:ascii="Arial" w:hAnsi="Arial" w:cs="Arial"/>
          <w:color w:val="000000" w:themeColor="text1"/>
          <w:sz w:val="20"/>
          <w:szCs w:val="20"/>
          <w:lang w:val="es-ES_tradnl"/>
        </w:rPr>
      </w:pPr>
    </w:p>
    <w:p w14:paraId="4FE006AD" w14:textId="6290A49B" w:rsidR="00C27682" w:rsidRDefault="007A7FA7" w:rsidP="007A7FA7">
      <w:pPr>
        <w:jc w:val="both"/>
        <w:rPr>
          <w:rFonts w:ascii="Arial" w:hAnsi="Arial" w:cs="Arial"/>
          <w:color w:val="000000" w:themeColor="text1"/>
          <w:sz w:val="20"/>
          <w:lang w:val="es-CO"/>
        </w:rPr>
      </w:pPr>
      <w:r w:rsidRPr="007A7FA7">
        <w:rPr>
          <w:rFonts w:ascii="Arial" w:hAnsi="Arial" w:cs="Arial"/>
          <w:color w:val="000000" w:themeColor="text1"/>
          <w:sz w:val="20"/>
          <w:lang w:val="es-CO"/>
        </w:rPr>
        <w:t>El Sistema de Administración de Riesgos de Lavado de Activos y Financiación del Terrorismo (SARLAFT) es el sistema de</w:t>
      </w:r>
      <w:r w:rsidR="00B220E3">
        <w:rPr>
          <w:rFonts w:ascii="Arial" w:hAnsi="Arial" w:cs="Arial"/>
          <w:color w:val="000000" w:themeColor="text1"/>
          <w:sz w:val="20"/>
          <w:lang w:val="es-CO"/>
        </w:rPr>
        <w:t xml:space="preserve"> administración de riesgo de lavado de activos y financiación del terrorismo, que tiene como finalidad la</w:t>
      </w:r>
      <w:r w:rsidRPr="007A7FA7">
        <w:rPr>
          <w:rFonts w:ascii="Arial" w:hAnsi="Arial" w:cs="Arial"/>
          <w:color w:val="000000" w:themeColor="text1"/>
          <w:sz w:val="20"/>
          <w:lang w:val="es-CO"/>
        </w:rPr>
        <w:t xml:space="preserve"> prevención y control que deben implementar los vigilados a quienes va</w:t>
      </w:r>
      <w:r w:rsidR="00B220E3">
        <w:rPr>
          <w:rFonts w:ascii="Arial" w:hAnsi="Arial" w:cs="Arial"/>
          <w:color w:val="000000" w:themeColor="text1"/>
          <w:sz w:val="20"/>
          <w:lang w:val="es-CO"/>
        </w:rPr>
        <w:t>n</w:t>
      </w:r>
      <w:r w:rsidRPr="007A7FA7">
        <w:rPr>
          <w:rFonts w:ascii="Arial" w:hAnsi="Arial" w:cs="Arial"/>
          <w:color w:val="000000" w:themeColor="text1"/>
          <w:sz w:val="20"/>
          <w:lang w:val="es-CO"/>
        </w:rPr>
        <w:t xml:space="preserve"> dirigida</w:t>
      </w:r>
      <w:r w:rsidR="00B220E3">
        <w:rPr>
          <w:rFonts w:ascii="Arial" w:hAnsi="Arial" w:cs="Arial"/>
          <w:color w:val="000000" w:themeColor="text1"/>
          <w:sz w:val="20"/>
          <w:lang w:val="es-CO"/>
        </w:rPr>
        <w:t>s</w:t>
      </w:r>
      <w:r w:rsidRPr="007A7FA7">
        <w:rPr>
          <w:rFonts w:ascii="Arial" w:hAnsi="Arial" w:cs="Arial"/>
          <w:color w:val="000000" w:themeColor="text1"/>
          <w:sz w:val="20"/>
          <w:lang w:val="es-CO"/>
        </w:rPr>
        <w:t xml:space="preserve"> las instrucciones de la Circular Externa N° 09 de 2016 expedida por la SNS, para la adecuada gestión del riesgo de LA/FT. Para esto, los vigilados deberán adoptar unas políticas, procedimientos y herramientas mínimas que contemplen todas las actividades que realizan en desarrollo de su objeto social y que se ajusten a su tamaño, actividad económica, forma de comercialización y demás características particulares de cada agente vigilado.</w:t>
      </w:r>
    </w:p>
    <w:p w14:paraId="6207AFB7" w14:textId="77777777" w:rsidR="00C27682" w:rsidRDefault="00C27682">
      <w:pPr>
        <w:spacing w:after="200" w:line="276" w:lineRule="auto"/>
        <w:rPr>
          <w:rFonts w:ascii="Arial" w:hAnsi="Arial" w:cs="Arial"/>
          <w:color w:val="000000" w:themeColor="text1"/>
          <w:sz w:val="20"/>
          <w:lang w:val="es-CO"/>
        </w:rPr>
      </w:pPr>
      <w:r>
        <w:rPr>
          <w:rFonts w:ascii="Arial" w:hAnsi="Arial" w:cs="Arial"/>
          <w:color w:val="000000" w:themeColor="text1"/>
          <w:sz w:val="20"/>
          <w:lang w:val="es-CO"/>
        </w:rPr>
        <w:br w:type="page"/>
      </w:r>
    </w:p>
    <w:p w14:paraId="6075149A" w14:textId="77777777" w:rsidR="00504A12" w:rsidRPr="007A7FA7" w:rsidRDefault="00504A12" w:rsidP="00504A12">
      <w:pPr>
        <w:rPr>
          <w:rFonts w:ascii="Arial" w:hAnsi="Arial" w:cs="Arial"/>
          <w:color w:val="000000" w:themeColor="text1"/>
          <w:sz w:val="22"/>
          <w:lang w:val="es-CO"/>
        </w:rPr>
      </w:pPr>
    </w:p>
    <w:p w14:paraId="06A44D36" w14:textId="77777777" w:rsidR="00504A12" w:rsidRPr="0078446D" w:rsidRDefault="00504A12" w:rsidP="00504A12">
      <w:pPr>
        <w:rPr>
          <w:rFonts w:ascii="Arial" w:hAnsi="Arial" w:cs="Arial"/>
          <w:color w:val="000000" w:themeColor="text1"/>
          <w:sz w:val="22"/>
          <w:lang w:val="es-ES"/>
        </w:rPr>
      </w:pPr>
    </w:p>
    <w:p w14:paraId="6832CE5B" w14:textId="2305F995" w:rsidR="00504A12" w:rsidRPr="0078446D" w:rsidRDefault="001F7E90" w:rsidP="00504A12">
      <w:pPr>
        <w:rPr>
          <w:rFonts w:ascii="Arial" w:hAnsi="Arial" w:cs="Arial"/>
          <w:b/>
          <w:color w:val="000000" w:themeColor="text1"/>
          <w:sz w:val="22"/>
        </w:rPr>
      </w:pPr>
      <w:r>
        <w:rPr>
          <w:rFonts w:ascii="Arial" w:hAnsi="Arial" w:cs="Arial"/>
          <w:color w:val="000000" w:themeColor="text1"/>
          <w:sz w:val="22"/>
        </w:rPr>
        <w:t xml:space="preserve">Bogotá D.C., </w:t>
      </w:r>
      <w:r w:rsidR="002F0208">
        <w:rPr>
          <w:rFonts w:ascii="Arial" w:hAnsi="Arial" w:cs="Arial"/>
          <w:b/>
          <w:color w:val="000000" w:themeColor="text1"/>
          <w:sz w:val="22"/>
        </w:rPr>
        <w:t>24</w:t>
      </w:r>
      <w:r w:rsidR="002F0208" w:rsidRPr="002F0208">
        <w:rPr>
          <w:rFonts w:ascii="Arial" w:hAnsi="Arial" w:cs="Arial"/>
          <w:b/>
          <w:color w:val="000000" w:themeColor="text1"/>
          <w:sz w:val="22"/>
        </w:rPr>
        <w:t>/11/2020 13:</w:t>
      </w:r>
      <w:r w:rsidR="002F0208">
        <w:rPr>
          <w:rFonts w:ascii="Arial" w:hAnsi="Arial" w:cs="Arial"/>
          <w:b/>
          <w:color w:val="000000" w:themeColor="text1"/>
          <w:sz w:val="22"/>
        </w:rPr>
        <w:t>13</w:t>
      </w:r>
      <w:r w:rsidR="002F0208" w:rsidRPr="002F0208">
        <w:rPr>
          <w:rFonts w:ascii="Arial" w:hAnsi="Arial" w:cs="Arial"/>
          <w:b/>
          <w:color w:val="000000" w:themeColor="text1"/>
          <w:sz w:val="22"/>
        </w:rPr>
        <w:t>:</w:t>
      </w:r>
      <w:r w:rsidR="002F0208">
        <w:rPr>
          <w:rFonts w:ascii="Arial" w:hAnsi="Arial" w:cs="Arial"/>
          <w:b/>
          <w:color w:val="000000" w:themeColor="text1"/>
          <w:sz w:val="22"/>
        </w:rPr>
        <w:t>23</w:t>
      </w:r>
      <w:r w:rsidR="002F0208" w:rsidRPr="002F0208">
        <w:rPr>
          <w:rFonts w:ascii="Arial" w:hAnsi="Arial" w:cs="Arial"/>
          <w:b/>
          <w:color w:val="000000" w:themeColor="text1"/>
          <w:sz w:val="22"/>
        </w:rPr>
        <w:t>s</w:t>
      </w:r>
    </w:p>
    <w:p w14:paraId="00236CAD" w14:textId="43E8C86B" w:rsidR="00504A12" w:rsidRDefault="00504A12" w:rsidP="00504A12">
      <w:pPr>
        <w:jc w:val="right"/>
        <w:rPr>
          <w:rFonts w:ascii="Arial" w:hAnsi="Arial" w:cs="Arial"/>
          <w:b/>
          <w:color w:val="000000" w:themeColor="text1"/>
          <w:sz w:val="22"/>
        </w:rPr>
      </w:pPr>
      <w:proofErr w:type="spellStart"/>
      <w:r w:rsidRPr="0078446D">
        <w:rPr>
          <w:rFonts w:ascii="Arial" w:hAnsi="Arial" w:cs="Arial"/>
          <w:b/>
          <w:color w:val="000000" w:themeColor="text1"/>
          <w:sz w:val="22"/>
        </w:rPr>
        <w:t>N°</w:t>
      </w:r>
      <w:proofErr w:type="spellEnd"/>
      <w:r w:rsidRPr="0078446D">
        <w:rPr>
          <w:rFonts w:ascii="Arial" w:hAnsi="Arial" w:cs="Arial"/>
          <w:b/>
          <w:color w:val="000000" w:themeColor="text1"/>
          <w:sz w:val="22"/>
        </w:rPr>
        <w:t xml:space="preserve"> Radicado:</w:t>
      </w:r>
      <w:r w:rsidR="002F0208">
        <w:rPr>
          <w:rFonts w:ascii="Arial" w:hAnsi="Arial" w:cs="Arial"/>
          <w:b/>
          <w:color w:val="000000" w:themeColor="text1"/>
          <w:sz w:val="22"/>
        </w:rPr>
        <w:t xml:space="preserve"> 2202013000011647</w:t>
      </w:r>
    </w:p>
    <w:p w14:paraId="6A0CE6BC" w14:textId="77777777" w:rsidR="00504A12" w:rsidRPr="0078446D" w:rsidRDefault="00504A12" w:rsidP="00504A12">
      <w:pPr>
        <w:jc w:val="center"/>
        <w:rPr>
          <w:rFonts w:ascii="Arial" w:hAnsi="Arial" w:cs="Arial"/>
          <w:b/>
          <w:color w:val="000000" w:themeColor="text1"/>
          <w:sz w:val="22"/>
        </w:rPr>
      </w:pPr>
      <w:bookmarkStart w:id="3" w:name="_GoBack"/>
      <w:bookmarkEnd w:id="3"/>
    </w:p>
    <w:p w14:paraId="0BFCBBDA" w14:textId="77777777" w:rsidR="00504A12" w:rsidRPr="0078446D" w:rsidRDefault="00504A12" w:rsidP="00504A12">
      <w:pPr>
        <w:rPr>
          <w:rFonts w:ascii="Arial" w:eastAsia="Calibri" w:hAnsi="Arial" w:cs="Arial"/>
          <w:color w:val="000000" w:themeColor="text1"/>
          <w:sz w:val="22"/>
        </w:rPr>
      </w:pPr>
    </w:p>
    <w:p w14:paraId="79BF5E3A" w14:textId="3C2F098B" w:rsidR="00504A12" w:rsidRPr="0078446D" w:rsidRDefault="00504A12" w:rsidP="00504A12">
      <w:pPr>
        <w:rPr>
          <w:rFonts w:ascii="Arial" w:eastAsia="Calibri" w:hAnsi="Arial" w:cs="Arial"/>
          <w:color w:val="000000" w:themeColor="text1"/>
          <w:sz w:val="22"/>
        </w:rPr>
      </w:pPr>
      <w:r w:rsidRPr="0078446D">
        <w:rPr>
          <w:rFonts w:ascii="Arial" w:eastAsia="Calibri" w:hAnsi="Arial" w:cs="Arial"/>
          <w:color w:val="000000" w:themeColor="text1"/>
          <w:sz w:val="22"/>
        </w:rPr>
        <w:t>Señor</w:t>
      </w:r>
      <w:r w:rsidR="00713B9C">
        <w:rPr>
          <w:rFonts w:ascii="Arial" w:eastAsia="Calibri" w:hAnsi="Arial" w:cs="Arial"/>
          <w:color w:val="000000" w:themeColor="text1"/>
          <w:sz w:val="22"/>
        </w:rPr>
        <w:t>a</w:t>
      </w:r>
    </w:p>
    <w:p w14:paraId="3D8ED493" w14:textId="494A5B16" w:rsidR="00504A12" w:rsidRPr="0078446D" w:rsidRDefault="00220DCF" w:rsidP="00504A12">
      <w:pPr>
        <w:rPr>
          <w:rFonts w:ascii="Arial" w:eastAsia="Calibri" w:hAnsi="Arial" w:cs="Arial"/>
          <w:b/>
          <w:color w:val="000000" w:themeColor="text1"/>
          <w:sz w:val="22"/>
        </w:rPr>
      </w:pPr>
      <w:r>
        <w:rPr>
          <w:rFonts w:ascii="Arial" w:eastAsia="Calibri" w:hAnsi="Arial" w:cs="Arial"/>
          <w:b/>
          <w:color w:val="000000" w:themeColor="text1"/>
          <w:sz w:val="22"/>
        </w:rPr>
        <w:t>Karen Cecilia Ramírez Moré</w:t>
      </w:r>
    </w:p>
    <w:p w14:paraId="2B7DEED5" w14:textId="3713F963" w:rsidR="00504A12" w:rsidRPr="0078446D" w:rsidRDefault="00C27682" w:rsidP="00504A12">
      <w:pPr>
        <w:rPr>
          <w:rFonts w:ascii="Arial" w:eastAsia="Calibri" w:hAnsi="Arial" w:cs="Arial"/>
          <w:color w:val="000000" w:themeColor="text1"/>
          <w:sz w:val="22"/>
        </w:rPr>
      </w:pPr>
      <w:r>
        <w:rPr>
          <w:rFonts w:ascii="Arial" w:eastAsia="Calibri" w:hAnsi="Arial" w:cs="Arial"/>
          <w:color w:val="000000" w:themeColor="text1"/>
          <w:sz w:val="22"/>
        </w:rPr>
        <w:t>Bogotá D.C.</w:t>
      </w:r>
    </w:p>
    <w:p w14:paraId="19403CA5" w14:textId="291D67AB" w:rsidR="00504A12" w:rsidRDefault="00504A12" w:rsidP="00504A12">
      <w:pPr>
        <w:rPr>
          <w:rFonts w:ascii="Arial" w:eastAsia="Calibri" w:hAnsi="Arial" w:cs="Arial"/>
          <w:color w:val="000000" w:themeColor="text1"/>
          <w:sz w:val="22"/>
        </w:rPr>
      </w:pPr>
    </w:p>
    <w:p w14:paraId="681ED8D2" w14:textId="77777777" w:rsidR="00C27682" w:rsidRPr="0078446D" w:rsidRDefault="00C27682" w:rsidP="00504A12">
      <w:pPr>
        <w:rPr>
          <w:rFonts w:ascii="Arial" w:eastAsia="Calibri" w:hAnsi="Arial" w:cs="Arial"/>
          <w:color w:val="000000" w:themeColor="text1"/>
          <w:sz w:val="22"/>
        </w:rPr>
      </w:pPr>
    </w:p>
    <w:p w14:paraId="0AFD3FC5" w14:textId="28210A8F" w:rsidR="00504A12" w:rsidRPr="002368F0" w:rsidRDefault="0083274C" w:rsidP="00504A12">
      <w:pPr>
        <w:rPr>
          <w:rFonts w:ascii="Arial" w:eastAsia="Calibri" w:hAnsi="Arial" w:cs="Arial"/>
          <w:color w:val="000000" w:themeColor="text1"/>
          <w:sz w:val="22"/>
        </w:rPr>
      </w:pPr>
      <w:r>
        <w:rPr>
          <w:rFonts w:ascii="Arial" w:eastAsia="Calibri" w:hAnsi="Arial" w:cs="Arial"/>
          <w:b/>
          <w:bCs/>
          <w:color w:val="000000" w:themeColor="text1"/>
          <w:sz w:val="22"/>
        </w:rPr>
        <w:t xml:space="preserve">                                            </w:t>
      </w:r>
      <w:r w:rsidR="001F7E90">
        <w:rPr>
          <w:rFonts w:ascii="Arial" w:eastAsia="Calibri" w:hAnsi="Arial" w:cs="Arial"/>
          <w:b/>
          <w:bCs/>
          <w:color w:val="000000" w:themeColor="text1"/>
          <w:sz w:val="22"/>
        </w:rPr>
        <w:t>Concepto C</w:t>
      </w:r>
      <w:r w:rsidR="00F8173A">
        <w:rPr>
          <w:rFonts w:ascii="Arial" w:eastAsia="Calibri" w:hAnsi="Arial" w:cs="Arial"/>
          <w:b/>
          <w:bCs/>
          <w:color w:val="000000" w:themeColor="text1"/>
          <w:sz w:val="22"/>
        </w:rPr>
        <w:t xml:space="preserve"> </w:t>
      </w:r>
      <w:r w:rsidR="001F7E90">
        <w:rPr>
          <w:rFonts w:ascii="Arial" w:eastAsia="Calibri" w:hAnsi="Arial" w:cs="Arial"/>
          <w:b/>
          <w:bCs/>
          <w:color w:val="000000" w:themeColor="text1"/>
          <w:sz w:val="22"/>
        </w:rPr>
        <w:t>‒ 684</w:t>
      </w:r>
      <w:r w:rsidR="00504A12" w:rsidRPr="002368F0">
        <w:rPr>
          <w:rFonts w:ascii="Arial" w:eastAsia="Calibri" w:hAnsi="Arial" w:cs="Arial"/>
          <w:b/>
          <w:bCs/>
          <w:color w:val="000000" w:themeColor="text1"/>
          <w:sz w:val="22"/>
        </w:rPr>
        <w:t xml:space="preserve"> de 2020</w:t>
      </w:r>
    </w:p>
    <w:p w14:paraId="3084178C" w14:textId="77777777" w:rsidR="00504A12" w:rsidRPr="002368F0" w:rsidRDefault="00504A12" w:rsidP="00504A1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04A12" w:rsidRPr="0078446D" w14:paraId="59D893A6" w14:textId="77777777" w:rsidTr="00AC3ED6">
        <w:tc>
          <w:tcPr>
            <w:tcW w:w="2689" w:type="dxa"/>
          </w:tcPr>
          <w:p w14:paraId="56882B6D" w14:textId="77777777" w:rsidR="00504A12" w:rsidRPr="002368F0" w:rsidRDefault="00504A12" w:rsidP="00AC3ED6">
            <w:pPr>
              <w:rPr>
                <w:rFonts w:ascii="Arial" w:eastAsia="Calibri" w:hAnsi="Arial" w:cs="Arial"/>
                <w:color w:val="000000" w:themeColor="text1"/>
                <w:sz w:val="22"/>
              </w:rPr>
            </w:pPr>
            <w:r w:rsidRPr="002368F0">
              <w:rPr>
                <w:rFonts w:ascii="Arial" w:eastAsia="Calibri" w:hAnsi="Arial" w:cs="Arial"/>
                <w:b/>
                <w:color w:val="000000" w:themeColor="text1"/>
                <w:sz w:val="22"/>
              </w:rPr>
              <w:t>Temas:</w:t>
            </w:r>
            <w:r w:rsidRPr="002368F0">
              <w:rPr>
                <w:rFonts w:ascii="Arial" w:eastAsia="Calibri" w:hAnsi="Arial" w:cs="Arial"/>
                <w:color w:val="000000" w:themeColor="text1"/>
                <w:sz w:val="22"/>
              </w:rPr>
              <w:t xml:space="preserve">                                      </w:t>
            </w:r>
          </w:p>
        </w:tc>
        <w:tc>
          <w:tcPr>
            <w:tcW w:w="6237" w:type="dxa"/>
          </w:tcPr>
          <w:p w14:paraId="40F6DF12" w14:textId="3C4D1908" w:rsidR="00504A12" w:rsidRPr="00F54760" w:rsidRDefault="00290002" w:rsidP="00051568">
            <w:pPr>
              <w:jc w:val="both"/>
              <w:rPr>
                <w:rFonts w:ascii="Arial" w:eastAsia="Calibri" w:hAnsi="Arial" w:cs="Arial"/>
                <w:b/>
                <w:bCs/>
                <w:color w:val="000000" w:themeColor="text1"/>
                <w:sz w:val="22"/>
                <w:lang w:val="es-ES"/>
              </w:rPr>
            </w:pPr>
            <w:r>
              <w:rPr>
                <w:rFonts w:ascii="Arial" w:eastAsia="Calibri" w:hAnsi="Arial" w:cs="Arial"/>
                <w:bCs/>
                <w:color w:val="000000" w:themeColor="text1"/>
                <w:sz w:val="22"/>
              </w:rPr>
              <w:t xml:space="preserve">REGIMENES ESPECIALES EN LA CONTRATACIÓN </w:t>
            </w:r>
            <w:proofErr w:type="gramStart"/>
            <w:r>
              <w:rPr>
                <w:rFonts w:ascii="Arial" w:eastAsia="Calibri" w:hAnsi="Arial" w:cs="Arial"/>
                <w:bCs/>
                <w:color w:val="000000" w:themeColor="text1"/>
                <w:sz w:val="22"/>
              </w:rPr>
              <w:t xml:space="preserve">ESTATAL </w:t>
            </w:r>
            <w:r w:rsidR="00475C92" w:rsidRPr="00475C92">
              <w:rPr>
                <w:rFonts w:ascii="Arial" w:eastAsia="Calibri" w:hAnsi="Arial" w:cs="Arial"/>
                <w:color w:val="000000" w:themeColor="text1"/>
                <w:sz w:val="22"/>
              </w:rPr>
              <w:t xml:space="preserve"> /</w:t>
            </w:r>
            <w:proofErr w:type="gramEnd"/>
            <w:r w:rsidR="00475C92" w:rsidRPr="00475C92">
              <w:rPr>
                <w:rFonts w:ascii="Arial" w:eastAsia="Calibri" w:hAnsi="Arial" w:cs="Arial"/>
                <w:color w:val="000000" w:themeColor="text1"/>
                <w:sz w:val="22"/>
              </w:rPr>
              <w:t xml:space="preserve"> </w:t>
            </w:r>
            <w:r>
              <w:rPr>
                <w:rFonts w:ascii="Arial" w:eastAsia="Calibri" w:hAnsi="Arial" w:cs="Arial"/>
                <w:color w:val="000000" w:themeColor="text1"/>
                <w:sz w:val="22"/>
              </w:rPr>
              <w:t xml:space="preserve">CAUSALES DE RECHAZO </w:t>
            </w:r>
            <w:r w:rsidR="00504A12" w:rsidRPr="002368F0">
              <w:rPr>
                <w:rFonts w:ascii="Arial" w:eastAsia="Calibri" w:hAnsi="Arial" w:cs="Arial"/>
                <w:color w:val="000000" w:themeColor="text1"/>
                <w:sz w:val="22"/>
              </w:rPr>
              <w:t xml:space="preserve"> </w:t>
            </w:r>
            <w:r w:rsidR="00051568" w:rsidRPr="00051568">
              <w:rPr>
                <w:rFonts w:ascii="Arial" w:eastAsia="Calibri" w:hAnsi="Arial" w:cs="Arial"/>
                <w:bCs/>
                <w:color w:val="000000" w:themeColor="text1"/>
                <w:sz w:val="22"/>
              </w:rPr>
              <w:t>– No</w:t>
            </w:r>
            <w:r>
              <w:rPr>
                <w:rFonts w:ascii="Arial" w:eastAsia="Calibri" w:hAnsi="Arial" w:cs="Arial"/>
                <w:bCs/>
                <w:color w:val="000000" w:themeColor="text1"/>
                <w:sz w:val="22"/>
              </w:rPr>
              <w:t xml:space="preserve"> pueden ser caprichosas y arbitrarias</w:t>
            </w:r>
            <w:r w:rsidR="00051568" w:rsidRPr="00051568" w:rsidDel="00051568">
              <w:rPr>
                <w:rFonts w:ascii="Arial" w:eastAsia="Calibri" w:hAnsi="Arial" w:cs="Arial"/>
                <w:color w:val="000000" w:themeColor="text1"/>
                <w:sz w:val="22"/>
              </w:rPr>
              <w:t xml:space="preserve"> </w:t>
            </w:r>
            <w:r w:rsidR="00504A12" w:rsidRPr="00F54760">
              <w:rPr>
                <w:rFonts w:ascii="Arial" w:eastAsia="Calibri" w:hAnsi="Arial" w:cs="Arial"/>
                <w:color w:val="000000" w:themeColor="text1"/>
                <w:sz w:val="22"/>
              </w:rPr>
              <w:t xml:space="preserve">/ </w:t>
            </w:r>
            <w:r w:rsidR="00F54760" w:rsidRPr="00F54760">
              <w:rPr>
                <w:rFonts w:ascii="Arial" w:eastAsia="Calibri" w:hAnsi="Arial" w:cs="Arial"/>
                <w:bCs/>
                <w:color w:val="000000" w:themeColor="text1"/>
                <w:sz w:val="22"/>
                <w:lang w:val="es-ES"/>
              </w:rPr>
              <w:t>R</w:t>
            </w:r>
            <w:r>
              <w:rPr>
                <w:rFonts w:ascii="Arial" w:eastAsia="Calibri" w:hAnsi="Arial" w:cs="Arial"/>
                <w:bCs/>
                <w:color w:val="000000" w:themeColor="text1"/>
                <w:sz w:val="22"/>
                <w:lang w:val="es-ES"/>
              </w:rPr>
              <w:t xml:space="preserve">ÉGIMEN DE INHABILIDADES </w:t>
            </w:r>
            <w:r w:rsidR="00F54760" w:rsidRPr="00F54760">
              <w:rPr>
                <w:rFonts w:ascii="Arial" w:eastAsia="Calibri" w:hAnsi="Arial" w:cs="Arial"/>
                <w:bCs/>
                <w:color w:val="000000" w:themeColor="text1"/>
                <w:sz w:val="22"/>
                <w:lang w:val="es-ES"/>
              </w:rPr>
              <w:t xml:space="preserve"> ― </w:t>
            </w:r>
            <w:r>
              <w:rPr>
                <w:rFonts w:ascii="Arial" w:eastAsia="Calibri" w:hAnsi="Arial" w:cs="Arial"/>
                <w:bCs/>
                <w:color w:val="000000" w:themeColor="text1"/>
                <w:sz w:val="22"/>
                <w:lang w:val="es-ES"/>
              </w:rPr>
              <w:t xml:space="preserve">Importancia de la reserva legal </w:t>
            </w:r>
            <w:r w:rsidR="00F54760" w:rsidRPr="00F54760">
              <w:rPr>
                <w:rFonts w:ascii="Arial" w:eastAsia="Calibri" w:hAnsi="Arial" w:cs="Arial"/>
                <w:bCs/>
                <w:color w:val="000000" w:themeColor="text1"/>
                <w:sz w:val="22"/>
              </w:rPr>
              <w:t xml:space="preserve">/ SARLAFT </w:t>
            </w:r>
            <w:r w:rsidR="00D4102D">
              <w:rPr>
                <w:rFonts w:ascii="Arial" w:eastAsia="Calibri" w:hAnsi="Arial" w:cs="Arial"/>
                <w:bCs/>
                <w:color w:val="000000" w:themeColor="text1"/>
                <w:sz w:val="22"/>
              </w:rPr>
              <w:t>–</w:t>
            </w:r>
            <w:r w:rsidR="00F54760" w:rsidRPr="00F54760">
              <w:rPr>
                <w:rFonts w:ascii="Arial" w:eastAsia="Calibri" w:hAnsi="Arial" w:cs="Arial"/>
                <w:bCs/>
                <w:color w:val="000000" w:themeColor="text1"/>
                <w:sz w:val="22"/>
              </w:rPr>
              <w:t xml:space="preserve"> Fundamento</w:t>
            </w:r>
          </w:p>
        </w:tc>
      </w:tr>
      <w:tr w:rsidR="00504A12" w:rsidRPr="0078446D" w14:paraId="3C5CAC0E" w14:textId="77777777" w:rsidTr="00AC3ED6">
        <w:tc>
          <w:tcPr>
            <w:tcW w:w="2689" w:type="dxa"/>
          </w:tcPr>
          <w:p w14:paraId="64A52689" w14:textId="77777777" w:rsidR="00504A12" w:rsidRPr="0078446D" w:rsidRDefault="00504A12" w:rsidP="00AC3ED6">
            <w:pPr>
              <w:spacing w:before="120"/>
              <w:rPr>
                <w:rFonts w:ascii="Arial" w:eastAsia="Calibri" w:hAnsi="Arial" w:cs="Arial"/>
                <w:b/>
                <w:color w:val="000000" w:themeColor="text1"/>
                <w:sz w:val="22"/>
              </w:rPr>
            </w:pPr>
            <w:r w:rsidRPr="0078446D">
              <w:rPr>
                <w:rFonts w:ascii="Arial" w:eastAsia="Calibri" w:hAnsi="Arial" w:cs="Arial"/>
                <w:b/>
                <w:color w:val="000000" w:themeColor="text1"/>
                <w:sz w:val="22"/>
              </w:rPr>
              <w:t>Radicación:</w:t>
            </w:r>
            <w:r w:rsidRPr="0078446D">
              <w:rPr>
                <w:rFonts w:ascii="Arial" w:eastAsia="Calibri" w:hAnsi="Arial" w:cs="Arial"/>
                <w:color w:val="000000" w:themeColor="text1"/>
                <w:sz w:val="22"/>
              </w:rPr>
              <w:t xml:space="preserve">                              </w:t>
            </w:r>
          </w:p>
        </w:tc>
        <w:tc>
          <w:tcPr>
            <w:tcW w:w="6237" w:type="dxa"/>
          </w:tcPr>
          <w:p w14:paraId="2EC450CE" w14:textId="69969A0C" w:rsidR="00504A12" w:rsidRPr="0078446D" w:rsidRDefault="00504A12" w:rsidP="001F7E90">
            <w:pPr>
              <w:spacing w:before="120"/>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Respuesta consulta # </w:t>
            </w:r>
            <w:r w:rsidR="001F7E90" w:rsidRPr="001F7E90">
              <w:rPr>
                <w:rFonts w:ascii="Arial" w:eastAsia="Calibri" w:hAnsi="Arial" w:cs="Arial"/>
                <w:color w:val="000000" w:themeColor="text1"/>
                <w:sz w:val="22"/>
              </w:rPr>
              <w:t>4202013000009283</w:t>
            </w:r>
          </w:p>
        </w:tc>
      </w:tr>
    </w:tbl>
    <w:p w14:paraId="4A4157EC" w14:textId="77777777" w:rsidR="00504A12" w:rsidRPr="00051568" w:rsidRDefault="00504A12" w:rsidP="00504A12">
      <w:pPr>
        <w:jc w:val="both"/>
        <w:rPr>
          <w:rFonts w:ascii="Arial" w:eastAsia="Calibri" w:hAnsi="Arial" w:cs="Arial"/>
          <w:b/>
          <w:bCs/>
          <w:color w:val="000000" w:themeColor="text1"/>
          <w:sz w:val="22"/>
        </w:rPr>
      </w:pPr>
    </w:p>
    <w:p w14:paraId="47D6D379" w14:textId="77777777" w:rsidR="00504A12" w:rsidRPr="0078446D" w:rsidRDefault="00504A12" w:rsidP="00504A12">
      <w:pPr>
        <w:jc w:val="both"/>
        <w:rPr>
          <w:rFonts w:ascii="Arial" w:eastAsia="Calibri" w:hAnsi="Arial" w:cs="Arial"/>
          <w:color w:val="000000" w:themeColor="text1"/>
          <w:sz w:val="22"/>
        </w:rPr>
      </w:pPr>
    </w:p>
    <w:p w14:paraId="177BA186" w14:textId="417542EB" w:rsidR="00504A12" w:rsidRPr="0078446D" w:rsidRDefault="00504A12" w:rsidP="00504A12">
      <w:pPr>
        <w:rPr>
          <w:rFonts w:ascii="Arial" w:eastAsia="Calibri" w:hAnsi="Arial" w:cs="Arial"/>
          <w:color w:val="000000" w:themeColor="text1"/>
          <w:sz w:val="22"/>
        </w:rPr>
      </w:pPr>
      <w:r w:rsidRPr="0078446D">
        <w:rPr>
          <w:rFonts w:ascii="Arial" w:eastAsia="Calibri" w:hAnsi="Arial" w:cs="Arial"/>
          <w:color w:val="000000" w:themeColor="text1"/>
          <w:sz w:val="22"/>
        </w:rPr>
        <w:t>Estimad</w:t>
      </w:r>
      <w:r w:rsidR="0050362D">
        <w:rPr>
          <w:rFonts w:ascii="Arial" w:eastAsia="Calibri" w:hAnsi="Arial" w:cs="Arial"/>
          <w:color w:val="000000" w:themeColor="text1"/>
          <w:sz w:val="22"/>
        </w:rPr>
        <w:t>a</w:t>
      </w:r>
      <w:r w:rsidRPr="0078446D">
        <w:rPr>
          <w:rFonts w:ascii="Arial" w:eastAsia="Calibri" w:hAnsi="Arial" w:cs="Arial"/>
          <w:color w:val="000000" w:themeColor="text1"/>
          <w:sz w:val="22"/>
        </w:rPr>
        <w:t xml:space="preserve"> </w:t>
      </w:r>
      <w:r>
        <w:rPr>
          <w:rFonts w:ascii="Arial" w:eastAsia="Calibri" w:hAnsi="Arial" w:cs="Arial"/>
          <w:color w:val="000000" w:themeColor="text1"/>
          <w:sz w:val="22"/>
        </w:rPr>
        <w:t>señor</w:t>
      </w:r>
      <w:r w:rsidR="00220DCF">
        <w:rPr>
          <w:rFonts w:ascii="Arial" w:eastAsia="Calibri" w:hAnsi="Arial" w:cs="Arial"/>
          <w:color w:val="000000" w:themeColor="text1"/>
          <w:sz w:val="22"/>
        </w:rPr>
        <w:t>a Ramírez Moré</w:t>
      </w:r>
      <w:r w:rsidRPr="0078446D">
        <w:rPr>
          <w:rFonts w:ascii="Arial" w:eastAsia="Calibri" w:hAnsi="Arial" w:cs="Arial"/>
          <w:color w:val="000000" w:themeColor="text1"/>
          <w:sz w:val="22"/>
        </w:rPr>
        <w:t>:</w:t>
      </w:r>
    </w:p>
    <w:p w14:paraId="7CF05FFA" w14:textId="77777777" w:rsidR="00504A12" w:rsidRPr="0078446D" w:rsidRDefault="00504A12" w:rsidP="00504A12">
      <w:pPr>
        <w:rPr>
          <w:rFonts w:ascii="Arial" w:eastAsia="Calibri" w:hAnsi="Arial" w:cs="Arial"/>
          <w:color w:val="000000" w:themeColor="text1"/>
          <w:sz w:val="22"/>
        </w:rPr>
      </w:pPr>
    </w:p>
    <w:p w14:paraId="2C9EF2E8" w14:textId="098B46BF" w:rsidR="00504A12" w:rsidRPr="0078446D" w:rsidRDefault="00504A12" w:rsidP="00504A12">
      <w:pPr>
        <w:spacing w:line="276" w:lineRule="auto"/>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w:t>
      </w:r>
      <w:r w:rsidR="00F8173A">
        <w:rPr>
          <w:rFonts w:ascii="Arial" w:eastAsia="Calibri" w:hAnsi="Arial" w:cs="Arial"/>
          <w:color w:val="000000" w:themeColor="text1"/>
          <w:sz w:val="22"/>
        </w:rPr>
        <w:t>–</w:t>
      </w:r>
      <w:r w:rsidRPr="0078446D">
        <w:rPr>
          <w:rFonts w:ascii="Arial" w:eastAsia="Calibri" w:hAnsi="Arial" w:cs="Arial"/>
          <w:color w:val="000000" w:themeColor="text1"/>
          <w:sz w:val="22"/>
        </w:rPr>
        <w:t xml:space="preserve"> Colombia Compra Eficiente responde su consulta </w:t>
      </w:r>
      <w:r w:rsidR="00220DCF">
        <w:rPr>
          <w:rFonts w:ascii="Arial" w:eastAsia="Calibri" w:hAnsi="Arial" w:cs="Arial"/>
          <w:color w:val="000000" w:themeColor="text1"/>
          <w:sz w:val="22"/>
        </w:rPr>
        <w:t>del 15 de octubre del</w:t>
      </w:r>
      <w:r>
        <w:rPr>
          <w:rFonts w:ascii="Arial" w:eastAsia="Calibri" w:hAnsi="Arial" w:cs="Arial"/>
          <w:color w:val="000000" w:themeColor="text1"/>
          <w:sz w:val="22"/>
        </w:rPr>
        <w:t xml:space="preserve"> año</w:t>
      </w:r>
      <w:r w:rsidRPr="0078446D">
        <w:rPr>
          <w:rFonts w:ascii="Arial" w:eastAsia="Calibri" w:hAnsi="Arial" w:cs="Arial"/>
          <w:color w:val="000000" w:themeColor="text1"/>
          <w:sz w:val="22"/>
        </w:rPr>
        <w:t xml:space="preserve"> 2020. </w:t>
      </w:r>
    </w:p>
    <w:p w14:paraId="380905F0" w14:textId="77777777" w:rsidR="0050362D" w:rsidRPr="0078446D" w:rsidRDefault="0050362D" w:rsidP="0050362D">
      <w:pPr>
        <w:spacing w:line="276" w:lineRule="auto"/>
        <w:jc w:val="both"/>
        <w:rPr>
          <w:rFonts w:ascii="Arial" w:eastAsia="Calibri" w:hAnsi="Arial" w:cs="Arial"/>
          <w:b/>
          <w:color w:val="000000" w:themeColor="text1"/>
          <w:sz w:val="22"/>
        </w:rPr>
      </w:pPr>
    </w:p>
    <w:p w14:paraId="4D35A53F" w14:textId="77777777" w:rsidR="0050362D" w:rsidRPr="0078446D" w:rsidRDefault="0050362D" w:rsidP="0050362D">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rPr>
      </w:pPr>
      <w:r w:rsidRPr="0078446D">
        <w:rPr>
          <w:rFonts w:ascii="Arial" w:eastAsia="Calibri" w:hAnsi="Arial" w:cs="Arial"/>
          <w:b/>
          <w:color w:val="000000" w:themeColor="text1"/>
          <w:sz w:val="22"/>
        </w:rPr>
        <w:t xml:space="preserve">Problema planteado </w:t>
      </w:r>
    </w:p>
    <w:p w14:paraId="1E1152A8" w14:textId="77777777" w:rsidR="0050362D" w:rsidRPr="0078446D" w:rsidRDefault="0050362D" w:rsidP="0050362D">
      <w:pPr>
        <w:tabs>
          <w:tab w:val="left" w:pos="426"/>
        </w:tabs>
        <w:spacing w:line="276" w:lineRule="auto"/>
        <w:jc w:val="both"/>
        <w:rPr>
          <w:rFonts w:ascii="Arial" w:eastAsia="Calibri" w:hAnsi="Arial" w:cs="Arial"/>
          <w:b/>
          <w:color w:val="000000" w:themeColor="text1"/>
          <w:sz w:val="22"/>
        </w:rPr>
      </w:pPr>
    </w:p>
    <w:p w14:paraId="199CB8AC" w14:textId="53884182" w:rsidR="0050362D" w:rsidRPr="00D75FFD" w:rsidRDefault="00F8173A" w:rsidP="0050362D">
      <w:pPr>
        <w:spacing w:line="276" w:lineRule="auto"/>
        <w:jc w:val="both"/>
        <w:rPr>
          <w:rFonts w:ascii="Arial" w:hAnsi="Arial" w:cs="Arial"/>
          <w:color w:val="000000" w:themeColor="text1"/>
          <w:sz w:val="22"/>
        </w:rPr>
      </w:pPr>
      <w:r>
        <w:rPr>
          <w:rFonts w:ascii="Arial" w:hAnsi="Arial" w:cs="Arial"/>
          <w:color w:val="000000" w:themeColor="text1"/>
          <w:sz w:val="22"/>
        </w:rPr>
        <w:t>En la petición se explica</w:t>
      </w:r>
      <w:r w:rsidR="0050362D" w:rsidRPr="00F828C7">
        <w:rPr>
          <w:rFonts w:ascii="Arial" w:hAnsi="Arial" w:cs="Arial"/>
          <w:color w:val="000000" w:themeColor="text1"/>
          <w:sz w:val="22"/>
        </w:rPr>
        <w:t xml:space="preserve"> que «</w:t>
      </w:r>
      <w:r>
        <w:rPr>
          <w:rFonts w:ascii="Arial" w:hAnsi="Arial" w:cs="Arial"/>
          <w:color w:val="000000" w:themeColor="text1"/>
          <w:sz w:val="22"/>
        </w:rPr>
        <w:t xml:space="preserve">[…] </w:t>
      </w:r>
      <w:r w:rsidR="00220DCF" w:rsidRPr="00220DCF">
        <w:rPr>
          <w:rFonts w:ascii="Arial" w:hAnsi="Arial" w:cs="Arial"/>
          <w:color w:val="000000" w:themeColor="text1"/>
          <w:sz w:val="22"/>
        </w:rPr>
        <w:t>la Subred Integrada de Serv</w:t>
      </w:r>
      <w:r w:rsidR="00E82DFE">
        <w:rPr>
          <w:rFonts w:ascii="Arial" w:hAnsi="Arial" w:cs="Arial"/>
          <w:color w:val="000000" w:themeColor="text1"/>
          <w:sz w:val="22"/>
        </w:rPr>
        <w:t xml:space="preserve">icios de Salud Zona Norte, </w:t>
      </w:r>
      <w:r w:rsidR="00220DCF" w:rsidRPr="00220DCF">
        <w:rPr>
          <w:rFonts w:ascii="Arial" w:hAnsi="Arial" w:cs="Arial"/>
          <w:color w:val="000000" w:themeColor="text1"/>
          <w:sz w:val="22"/>
        </w:rPr>
        <w:t>dentro de sus requisitos habilitantes para contratar, viene efectuando la consulta de SARLAF (Sistema de Administración del Riesgo de lavado de activos y la financiación del Terrorismo),  fundamentado en la Circular  Externa de la Superintendencia Nacional de Salud, número  000009 del 21 de abril de 2016,  sin embargo la misma expone la necesidad de  adoptar políticas y controles para reducir riesgos en materia de contratación, en aras a evitar contratar sociedades o personas naturales vinculadas con financiación de terrorismo y lavado de activos; sin embargo, la misma  fue interpretada como un indicador para determinar la idoneidad del proponente, determinándolo</w:t>
      </w:r>
      <w:r w:rsidR="00220DCF">
        <w:rPr>
          <w:rFonts w:ascii="Arial" w:hAnsi="Arial" w:cs="Arial"/>
          <w:color w:val="000000" w:themeColor="text1"/>
          <w:sz w:val="22"/>
        </w:rPr>
        <w:t xml:space="preserve"> como un requisito habilitante</w:t>
      </w:r>
      <w:r w:rsidR="0050362D">
        <w:rPr>
          <w:rFonts w:ascii="Arial" w:hAnsi="Arial" w:cs="Arial"/>
          <w:color w:val="000000" w:themeColor="text1"/>
          <w:sz w:val="22"/>
        </w:rPr>
        <w:t>»</w:t>
      </w:r>
      <w:r w:rsidR="0050362D" w:rsidRPr="00F828C7">
        <w:rPr>
          <w:rFonts w:ascii="Arial" w:hAnsi="Arial" w:cs="Arial"/>
          <w:color w:val="000000" w:themeColor="text1"/>
          <w:sz w:val="22"/>
        </w:rPr>
        <w:t xml:space="preserve">. Teniendo en cuenta </w:t>
      </w:r>
      <w:r>
        <w:rPr>
          <w:rFonts w:ascii="Arial" w:hAnsi="Arial" w:cs="Arial"/>
          <w:color w:val="000000" w:themeColor="text1"/>
          <w:sz w:val="22"/>
        </w:rPr>
        <w:t>lo anterior</w:t>
      </w:r>
      <w:r w:rsidR="0050362D" w:rsidRPr="00F828C7">
        <w:rPr>
          <w:rFonts w:ascii="Arial" w:hAnsi="Arial" w:cs="Arial"/>
          <w:color w:val="000000" w:themeColor="text1"/>
          <w:sz w:val="22"/>
        </w:rPr>
        <w:t xml:space="preserve">, </w:t>
      </w:r>
      <w:r w:rsidR="00220DCF">
        <w:rPr>
          <w:rFonts w:ascii="Arial" w:hAnsi="Arial" w:cs="Arial"/>
          <w:color w:val="000000" w:themeColor="text1"/>
          <w:sz w:val="22"/>
        </w:rPr>
        <w:t xml:space="preserve">solicita </w:t>
      </w:r>
      <w:r>
        <w:rPr>
          <w:rFonts w:ascii="Arial" w:hAnsi="Arial" w:cs="Arial"/>
          <w:color w:val="000000" w:themeColor="text1"/>
          <w:sz w:val="22"/>
        </w:rPr>
        <w:t>conceptuar</w:t>
      </w:r>
      <w:r w:rsidR="00220DCF" w:rsidRPr="00220DCF">
        <w:rPr>
          <w:rFonts w:ascii="Arial" w:hAnsi="Arial" w:cs="Arial"/>
          <w:color w:val="000000" w:themeColor="text1"/>
          <w:sz w:val="22"/>
        </w:rPr>
        <w:t xml:space="preserve"> </w:t>
      </w:r>
      <w:r>
        <w:rPr>
          <w:rFonts w:ascii="Arial" w:hAnsi="Arial" w:cs="Arial"/>
          <w:color w:val="000000" w:themeColor="text1"/>
          <w:sz w:val="22"/>
        </w:rPr>
        <w:t xml:space="preserve">«[…] </w:t>
      </w:r>
      <w:r w:rsidR="00220DCF" w:rsidRPr="00220DCF">
        <w:rPr>
          <w:rFonts w:ascii="Arial" w:hAnsi="Arial" w:cs="Arial"/>
          <w:color w:val="000000" w:themeColor="text1"/>
          <w:sz w:val="22"/>
        </w:rPr>
        <w:t>frente el alcance de la consulta SARLAFT como requisito habilitante en materia de contratación, para las entidades que contratan bajo Régimen Especial, a fin de poder mejorar nuestros procesos contractuales de cara a la normatividad vigente, como doctrina y ci</w:t>
      </w:r>
      <w:r w:rsidR="00220DCF">
        <w:rPr>
          <w:rFonts w:ascii="Arial" w:hAnsi="Arial" w:cs="Arial"/>
          <w:color w:val="000000" w:themeColor="text1"/>
          <w:sz w:val="22"/>
        </w:rPr>
        <w:t>rculares expedidas por ustedes</w:t>
      </w:r>
      <w:r w:rsidR="0050362D" w:rsidRPr="00D75FFD">
        <w:rPr>
          <w:rFonts w:ascii="Arial" w:hAnsi="Arial" w:cs="Arial"/>
          <w:color w:val="000000" w:themeColor="text1"/>
          <w:sz w:val="22"/>
        </w:rPr>
        <w:t>».</w:t>
      </w:r>
    </w:p>
    <w:p w14:paraId="2C655675" w14:textId="77777777" w:rsidR="0050362D" w:rsidRPr="00D75FFD" w:rsidRDefault="0050362D" w:rsidP="0050362D">
      <w:pPr>
        <w:tabs>
          <w:tab w:val="left" w:pos="426"/>
        </w:tabs>
        <w:spacing w:line="276" w:lineRule="auto"/>
        <w:jc w:val="both"/>
        <w:rPr>
          <w:rFonts w:ascii="Arial" w:eastAsia="Calibri" w:hAnsi="Arial" w:cs="Arial"/>
          <w:color w:val="000000" w:themeColor="text1"/>
          <w:sz w:val="22"/>
        </w:rPr>
      </w:pPr>
    </w:p>
    <w:p w14:paraId="46B29448" w14:textId="77777777" w:rsidR="0050362D" w:rsidRPr="00D75FFD" w:rsidRDefault="0050362D" w:rsidP="0050362D">
      <w:pPr>
        <w:pStyle w:val="Prrafodelista"/>
        <w:numPr>
          <w:ilvl w:val="0"/>
          <w:numId w:val="8"/>
        </w:numPr>
        <w:tabs>
          <w:tab w:val="left" w:pos="0"/>
          <w:tab w:val="left" w:pos="284"/>
        </w:tabs>
        <w:ind w:left="0" w:firstLine="0"/>
        <w:rPr>
          <w:rFonts w:ascii="Arial" w:eastAsia="Calibri" w:hAnsi="Arial" w:cs="Arial"/>
          <w:b/>
          <w:color w:val="000000" w:themeColor="text1"/>
          <w:sz w:val="22"/>
        </w:rPr>
      </w:pPr>
      <w:r w:rsidRPr="00D75FFD">
        <w:rPr>
          <w:rFonts w:ascii="Arial" w:eastAsia="Calibri" w:hAnsi="Arial" w:cs="Arial"/>
          <w:b/>
          <w:color w:val="000000" w:themeColor="text1"/>
          <w:sz w:val="22"/>
        </w:rPr>
        <w:t>Consideraciones</w:t>
      </w:r>
    </w:p>
    <w:p w14:paraId="4BEF5676" w14:textId="77777777" w:rsidR="0050362D" w:rsidRPr="00D75FFD" w:rsidRDefault="0050362D" w:rsidP="0050362D">
      <w:pPr>
        <w:spacing w:line="276" w:lineRule="auto"/>
        <w:jc w:val="both"/>
        <w:rPr>
          <w:rFonts w:ascii="Arial" w:eastAsia="Calibri" w:hAnsi="Arial" w:cs="Arial"/>
          <w:color w:val="000000" w:themeColor="text1"/>
          <w:sz w:val="20"/>
          <w:szCs w:val="20"/>
        </w:rPr>
      </w:pPr>
    </w:p>
    <w:p w14:paraId="24562870" w14:textId="6996167F" w:rsidR="00DB6945" w:rsidRDefault="0050362D" w:rsidP="00DB6945">
      <w:pPr>
        <w:spacing w:before="120" w:line="276" w:lineRule="auto"/>
        <w:jc w:val="both"/>
        <w:rPr>
          <w:rFonts w:ascii="Arial" w:eastAsia="Calibri" w:hAnsi="Arial" w:cs="Arial"/>
          <w:color w:val="000000" w:themeColor="text1"/>
          <w:sz w:val="22"/>
          <w:lang w:val="es-ES_tradnl"/>
        </w:rPr>
      </w:pPr>
      <w:r w:rsidRPr="00D75FFD">
        <w:rPr>
          <w:rFonts w:ascii="Arial" w:eastAsia="Calibri" w:hAnsi="Arial" w:cs="Arial"/>
          <w:color w:val="000000" w:themeColor="text1"/>
          <w:sz w:val="22"/>
        </w:rPr>
        <w:lastRenderedPageBreak/>
        <w:t xml:space="preserve">La Agencia Nacional de Contratación Pública </w:t>
      </w:r>
      <w:r w:rsidR="00E7299E">
        <w:rPr>
          <w:rFonts w:ascii="Arial" w:eastAsia="Calibri" w:hAnsi="Arial" w:cs="Arial"/>
          <w:color w:val="000000" w:themeColor="text1"/>
          <w:sz w:val="22"/>
        </w:rPr>
        <w:t>–</w:t>
      </w:r>
      <w:r w:rsidRPr="00D75FFD">
        <w:rPr>
          <w:rFonts w:ascii="Arial" w:eastAsia="Calibri" w:hAnsi="Arial" w:cs="Arial"/>
          <w:color w:val="000000" w:themeColor="text1"/>
          <w:sz w:val="22"/>
        </w:rPr>
        <w:t xml:space="preserve"> Colombia Compra Eficiente</w:t>
      </w:r>
      <w:r w:rsidR="00255904" w:rsidRPr="00255904">
        <w:rPr>
          <w:rFonts w:ascii="Arial" w:eastAsia="Calibri" w:hAnsi="Arial" w:cs="Arial"/>
          <w:color w:val="000000" w:themeColor="text1"/>
          <w:sz w:val="22"/>
          <w:lang w:val="es-ES_tradnl"/>
        </w:rPr>
        <w:t xml:space="preserve"> analizó las disposiciones normativas aplicables a las entidades con régimen especial de contratación</w:t>
      </w:r>
      <w:r w:rsidR="0007385F">
        <w:rPr>
          <w:rFonts w:ascii="Arial" w:eastAsia="Calibri" w:hAnsi="Arial" w:cs="Arial"/>
          <w:color w:val="000000" w:themeColor="text1"/>
          <w:sz w:val="22"/>
          <w:lang w:val="es-ES_tradnl"/>
        </w:rPr>
        <w:t xml:space="preserve"> </w:t>
      </w:r>
      <w:r w:rsidR="0007385F" w:rsidRPr="00D75FFD">
        <w:rPr>
          <w:rFonts w:ascii="Arial" w:eastAsia="Calibri" w:hAnsi="Arial" w:cs="Arial"/>
          <w:color w:val="000000" w:themeColor="text1"/>
          <w:sz w:val="22"/>
        </w:rPr>
        <w:t>en</w:t>
      </w:r>
      <w:r w:rsidR="0007385F">
        <w:rPr>
          <w:rFonts w:ascii="Arial" w:eastAsia="Calibri" w:hAnsi="Arial" w:cs="Arial"/>
          <w:color w:val="000000" w:themeColor="text1"/>
          <w:sz w:val="22"/>
        </w:rPr>
        <w:t xml:space="preserve"> los</w:t>
      </w:r>
      <w:r w:rsidR="0007385F" w:rsidRPr="00D75FFD">
        <w:rPr>
          <w:rFonts w:ascii="Arial" w:eastAsia="Calibri" w:hAnsi="Arial" w:cs="Arial"/>
          <w:color w:val="000000" w:themeColor="text1"/>
          <w:sz w:val="22"/>
        </w:rPr>
        <w:t xml:space="preserve"> </w:t>
      </w:r>
      <w:r w:rsidR="0007385F" w:rsidRPr="00255904">
        <w:rPr>
          <w:rFonts w:ascii="Arial" w:eastAsia="Calibri" w:hAnsi="Arial" w:cs="Arial"/>
          <w:color w:val="000000" w:themeColor="text1"/>
          <w:sz w:val="22"/>
          <w:lang w:val="es-ES_tradnl"/>
        </w:rPr>
        <w:t>Concepto C-032 de</w:t>
      </w:r>
      <w:r w:rsidR="0007385F">
        <w:rPr>
          <w:rFonts w:ascii="Arial" w:eastAsia="Calibri" w:hAnsi="Arial" w:cs="Arial"/>
          <w:color w:val="000000" w:themeColor="text1"/>
          <w:sz w:val="22"/>
          <w:lang w:val="es-ES_tradnl"/>
        </w:rPr>
        <w:t>l 19 de febrero</w:t>
      </w:r>
      <w:r w:rsidR="0007385F" w:rsidRPr="00255904">
        <w:rPr>
          <w:rFonts w:ascii="Arial" w:eastAsia="Calibri" w:hAnsi="Arial" w:cs="Arial"/>
          <w:color w:val="000000" w:themeColor="text1"/>
          <w:sz w:val="22"/>
          <w:lang w:val="es-ES_tradnl"/>
        </w:rPr>
        <w:t xml:space="preserve"> 2020</w:t>
      </w:r>
      <w:r w:rsidR="0007385F">
        <w:rPr>
          <w:rFonts w:ascii="Arial" w:eastAsia="Calibri" w:hAnsi="Arial" w:cs="Arial"/>
          <w:color w:val="000000" w:themeColor="text1"/>
          <w:sz w:val="22"/>
          <w:lang w:val="es-ES_tradnl"/>
        </w:rPr>
        <w:t xml:space="preserve"> y C-191 de 16 de marzo de 2020. En lo pertinente, la tesis de estos conceptos se reitera a continuación</w:t>
      </w:r>
      <w:r w:rsidR="00255904" w:rsidRPr="00255904">
        <w:rPr>
          <w:rFonts w:ascii="Arial" w:eastAsia="Calibri" w:hAnsi="Arial" w:cs="Arial"/>
          <w:color w:val="000000" w:themeColor="text1"/>
          <w:sz w:val="22"/>
          <w:lang w:val="es-ES_tradnl"/>
        </w:rPr>
        <w:t>:</w:t>
      </w:r>
    </w:p>
    <w:p w14:paraId="1CD916AC" w14:textId="77777777" w:rsidR="0007385F" w:rsidRDefault="0007385F" w:rsidP="0041440E">
      <w:pPr>
        <w:spacing w:line="276" w:lineRule="auto"/>
        <w:jc w:val="both"/>
        <w:rPr>
          <w:rFonts w:ascii="Arial" w:eastAsia="Calibri" w:hAnsi="Arial" w:cs="Arial"/>
          <w:color w:val="000000" w:themeColor="text1"/>
          <w:sz w:val="22"/>
          <w:lang w:val="es-ES_tradnl"/>
        </w:rPr>
      </w:pPr>
    </w:p>
    <w:p w14:paraId="347B2A61" w14:textId="07CE7F13" w:rsidR="00255904" w:rsidRDefault="00255904" w:rsidP="0007385F">
      <w:pPr>
        <w:spacing w:line="276" w:lineRule="auto"/>
        <w:jc w:val="both"/>
        <w:rPr>
          <w:rFonts w:ascii="Arial" w:eastAsia="Calibri" w:hAnsi="Arial" w:cs="Arial"/>
          <w:b/>
          <w:color w:val="000000" w:themeColor="text1"/>
          <w:sz w:val="22"/>
          <w:lang w:val="es-ES_tradnl"/>
        </w:rPr>
      </w:pPr>
      <w:r w:rsidRPr="00255904">
        <w:rPr>
          <w:rFonts w:ascii="Arial" w:eastAsia="Calibri" w:hAnsi="Arial" w:cs="Arial"/>
          <w:b/>
          <w:color w:val="000000" w:themeColor="text1"/>
          <w:sz w:val="22"/>
          <w:lang w:val="es-ES_tradnl"/>
        </w:rPr>
        <w:t>2.1. Regímenes especiales en la contratación estatal. Excepciones al Estatuto General de Contratación de la Administración Pública: derecho privado matizado por las reglas y principios del derecho administrativo</w:t>
      </w:r>
    </w:p>
    <w:p w14:paraId="17EDB094" w14:textId="77777777" w:rsidR="0007385F" w:rsidRPr="00255904" w:rsidRDefault="0007385F" w:rsidP="0041440E">
      <w:pPr>
        <w:spacing w:line="276" w:lineRule="auto"/>
        <w:jc w:val="both"/>
        <w:rPr>
          <w:rFonts w:ascii="Arial" w:eastAsia="Calibri" w:hAnsi="Arial" w:cs="Arial"/>
          <w:b/>
          <w:color w:val="000000" w:themeColor="text1"/>
          <w:sz w:val="22"/>
          <w:lang w:val="es-ES_tradnl"/>
        </w:rPr>
      </w:pPr>
    </w:p>
    <w:p w14:paraId="74158B73" w14:textId="226393B9" w:rsidR="00255904" w:rsidRPr="00255904" w:rsidRDefault="00255904" w:rsidP="0041440E">
      <w:pPr>
        <w:spacing w:line="276" w:lineRule="auto"/>
        <w:jc w:val="both"/>
        <w:rPr>
          <w:rFonts w:ascii="Arial" w:eastAsia="Calibri" w:hAnsi="Arial" w:cs="Arial"/>
          <w:b/>
          <w:color w:val="000000" w:themeColor="text1"/>
          <w:sz w:val="22"/>
          <w:lang w:val="es-ES_tradnl"/>
        </w:rPr>
      </w:pPr>
      <w:r w:rsidRPr="00255904">
        <w:rPr>
          <w:rFonts w:ascii="Arial" w:eastAsia="Calibri" w:hAnsi="Arial" w:cs="Arial"/>
          <w:color w:val="000000" w:themeColor="text1"/>
          <w:sz w:val="22"/>
          <w:lang w:val="es-ES_tradnl"/>
        </w:rPr>
        <w:t>Las entidades de régimen especial son aquellas que, por expresa disposición legal y por su naturaleza o situación de competenci</w:t>
      </w:r>
      <w:r w:rsidR="0041440E">
        <w:rPr>
          <w:rFonts w:ascii="Arial" w:eastAsia="Calibri" w:hAnsi="Arial" w:cs="Arial"/>
          <w:color w:val="000000" w:themeColor="text1"/>
          <w:sz w:val="22"/>
          <w:lang w:val="es-ES_tradnl"/>
        </w:rPr>
        <w:t xml:space="preserve">a </w:t>
      </w:r>
      <w:r w:rsidRPr="00255904">
        <w:rPr>
          <w:rFonts w:ascii="Arial" w:eastAsia="Calibri" w:hAnsi="Arial" w:cs="Arial"/>
          <w:color w:val="000000" w:themeColor="text1"/>
          <w:sz w:val="22"/>
          <w:lang w:val="es-ES_tradnl"/>
        </w:rPr>
        <w:t xml:space="preserve">no están sometidas al Estatuto General de Contratación de la Administración Pública, y por ende sus procedimientos contractuales </w:t>
      </w:r>
      <w:r w:rsidR="008B1E56">
        <w:rPr>
          <w:rFonts w:ascii="Arial" w:eastAsia="Calibri" w:hAnsi="Arial" w:cs="Arial"/>
          <w:color w:val="000000" w:themeColor="text1"/>
          <w:sz w:val="22"/>
          <w:lang w:val="es-ES_tradnl"/>
        </w:rPr>
        <w:t>se rigen por</w:t>
      </w:r>
      <w:r w:rsidRPr="00255904">
        <w:rPr>
          <w:rFonts w:ascii="Arial" w:eastAsia="Calibri" w:hAnsi="Arial" w:cs="Arial"/>
          <w:color w:val="000000" w:themeColor="text1"/>
          <w:sz w:val="22"/>
          <w:lang w:val="es-ES_tradnl"/>
        </w:rPr>
        <w:t xml:space="preserve"> el derecho privado, lo cual está determinado en las normas de creación de las entidades de régimen especial y en sus manuales de contratación.</w:t>
      </w:r>
    </w:p>
    <w:p w14:paraId="7993AE2A" w14:textId="4F0AA708" w:rsidR="00255904" w:rsidRPr="00255904" w:rsidRDefault="00255904" w:rsidP="00255904">
      <w:pPr>
        <w:spacing w:before="120" w:line="276" w:lineRule="auto"/>
        <w:jc w:val="both"/>
        <w:rPr>
          <w:rFonts w:ascii="Arial" w:eastAsia="Calibri" w:hAnsi="Arial" w:cs="Arial"/>
          <w:color w:val="000000" w:themeColor="text1"/>
          <w:sz w:val="22"/>
          <w:lang w:val="es-ES_tradnl"/>
        </w:rPr>
      </w:pPr>
      <w:r w:rsidRPr="00255904">
        <w:rPr>
          <w:rFonts w:ascii="Arial" w:eastAsia="Calibri" w:hAnsi="Arial" w:cs="Arial"/>
          <w:color w:val="000000" w:themeColor="text1"/>
          <w:sz w:val="22"/>
          <w:lang w:val="es-ES_tradnl"/>
        </w:rPr>
        <w:tab/>
      </w:r>
      <w:r w:rsidRPr="00CC47E8">
        <w:rPr>
          <w:rFonts w:ascii="Arial" w:eastAsia="Calibri" w:hAnsi="Arial" w:cs="Arial"/>
          <w:color w:val="000000" w:themeColor="text1"/>
          <w:sz w:val="22"/>
          <w:lang w:val="es-ES_tradnl"/>
        </w:rPr>
        <w:t>Teniendo en cuenta que las entidades de régimen especial están facultadas legalmente para aplicar reglas distintas a la</w:t>
      </w:r>
      <w:r w:rsidR="006B7DA3" w:rsidRPr="006B7DA3">
        <w:rPr>
          <w:rFonts w:ascii="Arial" w:eastAsia="Calibri" w:hAnsi="Arial" w:cs="Arial"/>
          <w:color w:val="000000" w:themeColor="text1"/>
          <w:sz w:val="22"/>
          <w:lang w:val="es-ES_tradnl"/>
        </w:rPr>
        <w:t>s de la</w:t>
      </w:r>
      <w:r w:rsidRPr="006B7DA3">
        <w:rPr>
          <w:rFonts w:ascii="Arial" w:eastAsia="Calibri" w:hAnsi="Arial" w:cs="Arial"/>
          <w:color w:val="000000" w:themeColor="text1"/>
          <w:sz w:val="22"/>
          <w:lang w:val="es-ES_tradnl"/>
        </w:rPr>
        <w:t xml:space="preserve"> Ley 80 de 1993 y sus normas complementarias, </w:t>
      </w:r>
      <w:r w:rsidR="006B7DA3" w:rsidRPr="006B7DA3">
        <w:rPr>
          <w:rFonts w:ascii="Arial" w:eastAsia="Calibri" w:hAnsi="Arial" w:cs="Arial"/>
          <w:color w:val="000000" w:themeColor="text1"/>
          <w:sz w:val="22"/>
          <w:lang w:val="es-ES_tradnl"/>
        </w:rPr>
        <w:t>la regulación de los procedimientos de selección depende de lo que estas entidades definan en sus respetivos manuales</w:t>
      </w:r>
      <w:r w:rsidRPr="006B7DA3">
        <w:rPr>
          <w:rFonts w:ascii="Arial" w:eastAsia="Calibri" w:hAnsi="Arial" w:cs="Arial"/>
          <w:color w:val="000000" w:themeColor="text1"/>
          <w:sz w:val="22"/>
          <w:lang w:val="es-ES_tradnl"/>
        </w:rPr>
        <w:t>.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CC47E8">
        <w:rPr>
          <w:rFonts w:ascii="Arial" w:eastAsia="Calibri" w:hAnsi="Arial" w:cs="Arial"/>
          <w:color w:val="000000" w:themeColor="text1"/>
          <w:sz w:val="22"/>
          <w:vertAlign w:val="superscript"/>
          <w:lang w:val="es-ES_tradnl"/>
        </w:rPr>
        <w:footnoteReference w:id="1"/>
      </w:r>
      <w:r w:rsidRPr="00CC47E8">
        <w:rPr>
          <w:rFonts w:ascii="Arial" w:eastAsia="Calibri" w:hAnsi="Arial" w:cs="Arial"/>
          <w:color w:val="000000" w:themeColor="text1"/>
          <w:sz w:val="22"/>
          <w:lang w:val="es-ES_tradnl"/>
        </w:rPr>
        <w:t>.</w:t>
      </w:r>
    </w:p>
    <w:p w14:paraId="1B19EFB9" w14:textId="0BB3C08D" w:rsidR="00255904" w:rsidRDefault="00255904" w:rsidP="00255904">
      <w:pPr>
        <w:spacing w:before="120" w:line="276" w:lineRule="auto"/>
        <w:jc w:val="both"/>
        <w:rPr>
          <w:rFonts w:ascii="Arial" w:eastAsia="Calibri" w:hAnsi="Arial" w:cs="Arial"/>
          <w:color w:val="000000" w:themeColor="text1"/>
          <w:sz w:val="22"/>
          <w:lang w:val="es-ES_tradnl"/>
        </w:rPr>
      </w:pPr>
      <w:r w:rsidRPr="00255904">
        <w:rPr>
          <w:rFonts w:ascii="Arial" w:eastAsia="Calibri" w:hAnsi="Arial" w:cs="Arial"/>
          <w:color w:val="000000" w:themeColor="text1"/>
          <w:sz w:val="22"/>
          <w:lang w:val="es-ES_tradnl"/>
        </w:rPr>
        <w:tab/>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w:t>
      </w:r>
      <w:r w:rsidR="008932D8">
        <w:rPr>
          <w:rFonts w:ascii="Arial" w:eastAsia="Calibri" w:hAnsi="Arial" w:cs="Arial"/>
          <w:color w:val="000000" w:themeColor="text1"/>
          <w:sz w:val="22"/>
          <w:lang w:val="es-ES_tradnl"/>
        </w:rPr>
        <w:t>, como el acatamiento del régimen de inhabilidades e incompatibilidades</w:t>
      </w:r>
      <w:r w:rsidRPr="00255904">
        <w:rPr>
          <w:rFonts w:ascii="Arial" w:eastAsia="Calibri" w:hAnsi="Arial" w:cs="Arial"/>
          <w:color w:val="000000" w:themeColor="text1"/>
          <w:sz w:val="22"/>
          <w:lang w:val="es-ES_tradnl"/>
        </w:rPr>
        <w:t xml:space="preserve">. Lo anterior es </w:t>
      </w:r>
      <w:r w:rsidR="00504362">
        <w:rPr>
          <w:rFonts w:ascii="Arial" w:eastAsia="Calibri" w:hAnsi="Arial" w:cs="Arial"/>
          <w:color w:val="000000" w:themeColor="text1"/>
          <w:sz w:val="22"/>
          <w:lang w:val="es-ES_tradnl"/>
        </w:rPr>
        <w:t>explicado</w:t>
      </w:r>
      <w:r w:rsidR="00504362" w:rsidRPr="00255904">
        <w:rPr>
          <w:rFonts w:ascii="Arial" w:eastAsia="Calibri" w:hAnsi="Arial" w:cs="Arial"/>
          <w:color w:val="000000" w:themeColor="text1"/>
          <w:sz w:val="22"/>
          <w:lang w:val="es-ES_tradnl"/>
        </w:rPr>
        <w:t xml:space="preserve"> </w:t>
      </w:r>
      <w:r w:rsidRPr="00255904">
        <w:rPr>
          <w:rFonts w:ascii="Arial" w:eastAsia="Calibri" w:hAnsi="Arial" w:cs="Arial"/>
          <w:color w:val="000000" w:themeColor="text1"/>
          <w:sz w:val="22"/>
          <w:lang w:val="es-ES_tradnl"/>
        </w:rPr>
        <w:t>por el Consejo de Estado que destaca las reglas que sigue la contratación de las entidades de régimen especial</w:t>
      </w:r>
      <w:r w:rsidR="00504362">
        <w:rPr>
          <w:rFonts w:ascii="Arial" w:eastAsia="Calibri" w:hAnsi="Arial" w:cs="Arial"/>
          <w:color w:val="000000" w:themeColor="text1"/>
          <w:sz w:val="22"/>
          <w:lang w:val="es-ES_tradnl"/>
        </w:rPr>
        <w:t xml:space="preserve"> en los siguientes términos</w:t>
      </w:r>
      <w:r w:rsidRPr="00255904">
        <w:rPr>
          <w:rFonts w:ascii="Arial" w:eastAsia="Calibri" w:hAnsi="Arial" w:cs="Arial"/>
          <w:color w:val="000000" w:themeColor="text1"/>
          <w:sz w:val="22"/>
          <w:lang w:val="es-ES_tradnl"/>
        </w:rPr>
        <w:t>:</w:t>
      </w:r>
    </w:p>
    <w:p w14:paraId="06D9C848" w14:textId="77777777" w:rsidR="00D06764" w:rsidRPr="00255904" w:rsidRDefault="00D06764" w:rsidP="0041440E">
      <w:pPr>
        <w:spacing w:line="276" w:lineRule="auto"/>
        <w:jc w:val="both"/>
        <w:rPr>
          <w:rFonts w:ascii="Arial" w:eastAsia="Calibri" w:hAnsi="Arial" w:cs="Arial"/>
          <w:color w:val="000000" w:themeColor="text1"/>
          <w:sz w:val="22"/>
          <w:lang w:val="es-ES_tradnl"/>
        </w:rPr>
      </w:pPr>
    </w:p>
    <w:p w14:paraId="37E18069" w14:textId="4DD10D18" w:rsidR="00255904" w:rsidRPr="0041440E" w:rsidRDefault="00255904" w:rsidP="0041440E">
      <w:pPr>
        <w:ind w:left="709" w:right="709"/>
        <w:jc w:val="both"/>
        <w:rPr>
          <w:rFonts w:ascii="Arial" w:eastAsia="Calibri" w:hAnsi="Arial" w:cs="Arial"/>
          <w:color w:val="000000" w:themeColor="text1"/>
          <w:sz w:val="21"/>
          <w:szCs w:val="21"/>
          <w:lang w:val="es-ES_tradnl"/>
        </w:rPr>
      </w:pPr>
      <w:r w:rsidRPr="0041440E">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0B57B7B8" w14:textId="67F01E38" w:rsidR="00255904" w:rsidRPr="0041440E" w:rsidRDefault="00255904" w:rsidP="0041440E">
      <w:pPr>
        <w:spacing w:before="120"/>
        <w:ind w:left="709" w:right="709"/>
        <w:jc w:val="both"/>
        <w:rPr>
          <w:rFonts w:ascii="Arial" w:eastAsia="Calibri" w:hAnsi="Arial" w:cs="Arial"/>
          <w:color w:val="000000" w:themeColor="text1"/>
          <w:sz w:val="21"/>
          <w:szCs w:val="21"/>
          <w:lang w:val="es-ES_tradnl"/>
        </w:rPr>
      </w:pPr>
      <w:r w:rsidRPr="0041440E">
        <w:rPr>
          <w:rFonts w:ascii="Arial" w:eastAsia="Calibri" w:hAnsi="Arial" w:cs="Arial"/>
          <w:color w:val="000000" w:themeColor="text1"/>
          <w:sz w:val="21"/>
          <w:szCs w:val="21"/>
          <w:lang w:val="es-ES_tradnl"/>
        </w:rPr>
        <w:lastRenderedPageBreak/>
        <w:t xml:space="preserve">La Sala entiende que el régimen preponderante domina y aporta el gran volumen de normas contractuales y que el régimen inspirador influye y ayuda a </w:t>
      </w:r>
      <w:proofErr w:type="gramStart"/>
      <w:r w:rsidRPr="0041440E">
        <w:rPr>
          <w:rFonts w:ascii="Arial" w:eastAsia="Calibri" w:hAnsi="Arial" w:cs="Arial"/>
          <w:color w:val="000000" w:themeColor="text1"/>
          <w:sz w:val="21"/>
          <w:szCs w:val="21"/>
          <w:lang w:val="es-ES_tradnl"/>
        </w:rPr>
        <w:t>interpretar</w:t>
      </w:r>
      <w:proofErr w:type="gramEnd"/>
      <w:r w:rsidRPr="0041440E">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25016502" w14:textId="0E671C26" w:rsidR="00255904" w:rsidRPr="0041440E" w:rsidRDefault="00255904" w:rsidP="0041440E">
      <w:pPr>
        <w:spacing w:before="120"/>
        <w:ind w:left="709" w:right="709"/>
        <w:jc w:val="both"/>
        <w:rPr>
          <w:rFonts w:ascii="Arial" w:eastAsia="Calibri" w:hAnsi="Arial" w:cs="Arial"/>
          <w:color w:val="000000" w:themeColor="text1"/>
          <w:sz w:val="21"/>
          <w:szCs w:val="21"/>
          <w:lang w:val="es-ES_tradnl"/>
        </w:rPr>
      </w:pPr>
      <w:r w:rsidRPr="0041440E">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41440E">
        <w:rPr>
          <w:rFonts w:ascii="Arial" w:eastAsia="Calibri" w:hAnsi="Arial" w:cs="Arial"/>
          <w:color w:val="000000" w:themeColor="text1"/>
          <w:sz w:val="21"/>
          <w:szCs w:val="21"/>
          <w:vertAlign w:val="superscript"/>
          <w:lang w:val="es-ES_tradnl"/>
        </w:rPr>
        <w:footnoteReference w:id="2"/>
      </w:r>
      <w:r w:rsidRPr="0041440E">
        <w:rPr>
          <w:rFonts w:ascii="Arial" w:eastAsia="Calibri" w:hAnsi="Arial" w:cs="Arial"/>
          <w:color w:val="000000" w:themeColor="text1"/>
          <w:sz w:val="21"/>
          <w:szCs w:val="21"/>
          <w:lang w:val="es-ES_tradnl"/>
        </w:rPr>
        <w:t>.</w:t>
      </w:r>
    </w:p>
    <w:p w14:paraId="24AF9E18" w14:textId="77777777" w:rsidR="00D06764" w:rsidRPr="00255904" w:rsidRDefault="00D06764" w:rsidP="0041440E">
      <w:pPr>
        <w:spacing w:line="276" w:lineRule="auto"/>
        <w:ind w:left="709" w:right="709"/>
        <w:jc w:val="both"/>
        <w:rPr>
          <w:rFonts w:ascii="Arial" w:eastAsia="Calibri" w:hAnsi="Arial" w:cs="Arial"/>
          <w:color w:val="000000" w:themeColor="text1"/>
          <w:sz w:val="22"/>
          <w:lang w:val="es-ES_tradnl"/>
        </w:rPr>
      </w:pPr>
    </w:p>
    <w:p w14:paraId="418CC0DD" w14:textId="2B6C13E1" w:rsidR="00255904" w:rsidRPr="00255904" w:rsidRDefault="00546FF5" w:rsidP="0041440E">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Habida cuenta</w:t>
      </w:r>
      <w:r w:rsidR="00255904" w:rsidRPr="00255904">
        <w:rPr>
          <w:rFonts w:ascii="Arial" w:eastAsia="Calibri" w:hAnsi="Arial" w:cs="Arial"/>
          <w:color w:val="000000" w:themeColor="text1"/>
          <w:sz w:val="22"/>
          <w:lang w:val="es-ES_tradnl"/>
        </w:rPr>
        <w:t xml:space="preserve">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w:t>
      </w:r>
    </w:p>
    <w:p w14:paraId="433629A6" w14:textId="6646B930" w:rsidR="00F8173A" w:rsidRDefault="00255904" w:rsidP="0041440E">
      <w:pPr>
        <w:spacing w:before="120" w:after="120" w:line="276" w:lineRule="auto"/>
        <w:ind w:firstLine="709"/>
        <w:jc w:val="both"/>
        <w:rPr>
          <w:rFonts w:ascii="Arial" w:eastAsia="Calibri" w:hAnsi="Arial" w:cs="Arial"/>
          <w:color w:val="000000" w:themeColor="text1"/>
          <w:sz w:val="22"/>
          <w:lang w:val="es-ES_tradnl"/>
        </w:rPr>
      </w:pPr>
      <w:r w:rsidRPr="00255904">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w:t>
      </w:r>
      <w:r w:rsidR="00D06764" w:rsidRPr="00255904">
        <w:rPr>
          <w:rFonts w:ascii="Arial" w:eastAsia="Calibri" w:hAnsi="Arial" w:cs="Arial"/>
          <w:color w:val="000000" w:themeColor="text1"/>
          <w:sz w:val="22"/>
          <w:lang w:val="es-ES_tradnl"/>
        </w:rPr>
        <w:t>plan anual de adquisiciones</w:t>
      </w:r>
      <w:r w:rsidRPr="00255904">
        <w:rPr>
          <w:rFonts w:ascii="Arial" w:eastAsia="Calibri" w:hAnsi="Arial" w:cs="Arial"/>
          <w:color w:val="000000" w:themeColor="text1"/>
          <w:sz w:val="22"/>
          <w:lang w:val="es-ES_tradnl"/>
        </w:rPr>
        <w:t xml:space="preserve">, la publicación de sus procedimientos de selección a través de la herramienta SECOP </w:t>
      </w:r>
      <w:r w:rsidR="00D06764">
        <w:rPr>
          <w:rFonts w:ascii="Arial" w:eastAsia="Calibri" w:hAnsi="Arial" w:cs="Arial"/>
          <w:color w:val="000000" w:themeColor="text1"/>
          <w:sz w:val="22"/>
          <w:lang w:val="es-ES_tradnl"/>
        </w:rPr>
        <w:t>–</w:t>
      </w:r>
      <w:r w:rsidRPr="00255904">
        <w:rPr>
          <w:rFonts w:ascii="Arial" w:eastAsia="Calibri" w:hAnsi="Arial" w:cs="Arial"/>
          <w:color w:val="000000" w:themeColor="text1"/>
          <w:sz w:val="22"/>
          <w:lang w:val="es-ES_tradnl"/>
        </w:rPr>
        <w:t xml:space="preserve">en la sección </w:t>
      </w:r>
      <w:r w:rsidR="00D06764">
        <w:rPr>
          <w:rFonts w:ascii="Arial" w:eastAsia="Calibri" w:hAnsi="Arial" w:cs="Arial"/>
          <w:color w:val="000000" w:themeColor="text1"/>
          <w:sz w:val="22"/>
          <w:lang w:val="es-ES_tradnl"/>
        </w:rPr>
        <w:t>«</w:t>
      </w:r>
      <w:r w:rsidRPr="00255904">
        <w:rPr>
          <w:rFonts w:ascii="Arial" w:eastAsia="Calibri" w:hAnsi="Arial" w:cs="Arial"/>
          <w:color w:val="000000" w:themeColor="text1"/>
          <w:sz w:val="22"/>
          <w:lang w:val="es-ES_tradnl"/>
        </w:rPr>
        <w:t>Régimen Especial</w:t>
      </w:r>
      <w:r w:rsidR="00D06764">
        <w:rPr>
          <w:rFonts w:ascii="Arial" w:eastAsia="Calibri" w:hAnsi="Arial" w:cs="Arial"/>
          <w:color w:val="000000" w:themeColor="text1"/>
          <w:sz w:val="22"/>
          <w:lang w:val="es-ES_tradnl"/>
        </w:rPr>
        <w:t>»–</w:t>
      </w:r>
      <w:r w:rsidRPr="00255904">
        <w:rPr>
          <w:rFonts w:ascii="Arial" w:eastAsia="Calibri" w:hAnsi="Arial" w:cs="Arial"/>
          <w:color w:val="000000" w:themeColor="text1"/>
          <w:sz w:val="22"/>
          <w:lang w:val="es-ES_tradnl"/>
        </w:rPr>
        <w:t xml:space="preserve">, </w:t>
      </w:r>
      <w:r w:rsidR="00D06764">
        <w:rPr>
          <w:rFonts w:ascii="Arial" w:eastAsia="Calibri" w:hAnsi="Arial" w:cs="Arial"/>
          <w:color w:val="000000" w:themeColor="text1"/>
          <w:sz w:val="22"/>
          <w:lang w:val="es-ES_tradnl"/>
        </w:rPr>
        <w:t>usar</w:t>
      </w:r>
      <w:r w:rsidRPr="00255904">
        <w:rPr>
          <w:rFonts w:ascii="Arial" w:eastAsia="Calibri" w:hAnsi="Arial" w:cs="Arial"/>
          <w:color w:val="000000" w:themeColor="text1"/>
          <w:sz w:val="22"/>
          <w:lang w:val="es-ES_tradnl"/>
        </w:rPr>
        <w:t xml:space="preserve"> del clasificador de bienes y servicios de las Naciones Unidas, reportar las inhabilidades e incompatibilidades de los proveedores de la entidad y analizar el sector económico de los oferentes, entre otras.</w:t>
      </w:r>
    </w:p>
    <w:p w14:paraId="4E617076" w14:textId="7856DBDB" w:rsidR="00475C92" w:rsidRPr="00475C92" w:rsidRDefault="00B35949" w:rsidP="00B35949">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modo que, l</w:t>
      </w:r>
      <w:r w:rsidR="00475C92" w:rsidRPr="00475C92">
        <w:rPr>
          <w:rFonts w:ascii="Arial" w:eastAsia="Calibri" w:hAnsi="Arial" w:cs="Arial"/>
          <w:color w:val="000000" w:themeColor="text1"/>
          <w:sz w:val="22"/>
          <w:lang w:val="es-ES_tradnl"/>
        </w:rPr>
        <w:t xml:space="preserve">as entidades con régimen especial, al estar exceptuadas del Estatuto General de Contratación de la Administración Pública, se rigen en su actividad contractual por las normas del derecho civil y comercial, por su reglamento o manual interno de contratación y por el artículo 13 de la Ley 1150 de 2007, que las obliga a garantizar los principios de la función administrativa y de la gestión fiscal, consagrados respectivamente en los artículos 209 y 267 de la Constitución, así como a respetar el régimen de inhabilidades e incompatibilidades previsto para la contratación estatal. Además, deben observar las disposiciones presupuestales, tributarias y demás normas de orden público aplicables a las entidades estatales, independientemente de su régimen contractual. </w:t>
      </w:r>
    </w:p>
    <w:p w14:paraId="1C866F71" w14:textId="77777777" w:rsidR="00475C92" w:rsidRPr="00DB6945" w:rsidRDefault="00475C92" w:rsidP="000E0E3C">
      <w:pPr>
        <w:spacing w:line="276" w:lineRule="auto"/>
        <w:jc w:val="both"/>
        <w:rPr>
          <w:rFonts w:ascii="Arial" w:eastAsia="Calibri" w:hAnsi="Arial" w:cs="Arial"/>
          <w:color w:val="000000" w:themeColor="text1"/>
          <w:sz w:val="22"/>
          <w:lang w:val="es-ES_tradnl"/>
        </w:rPr>
      </w:pPr>
    </w:p>
    <w:p w14:paraId="6BCA2A83" w14:textId="4DEF93FF" w:rsidR="00456F5A" w:rsidRPr="009C3A2B" w:rsidRDefault="00456F5A" w:rsidP="00456F5A">
      <w:pPr>
        <w:spacing w:line="276" w:lineRule="auto"/>
        <w:jc w:val="both"/>
        <w:rPr>
          <w:rFonts w:ascii="Arial" w:eastAsia="Calibri" w:hAnsi="Arial" w:cs="Arial"/>
          <w:b/>
          <w:bCs/>
          <w:color w:val="000000" w:themeColor="text1"/>
          <w:sz w:val="22"/>
          <w:lang w:val="es-ES_tradnl"/>
        </w:rPr>
      </w:pPr>
      <w:r w:rsidRPr="009C3A2B">
        <w:rPr>
          <w:rFonts w:ascii="Arial" w:eastAsia="Calibri" w:hAnsi="Arial" w:cs="Arial"/>
          <w:b/>
          <w:bCs/>
          <w:color w:val="000000" w:themeColor="text1"/>
          <w:sz w:val="22"/>
          <w:lang w:val="es-ES_tradnl"/>
        </w:rPr>
        <w:lastRenderedPageBreak/>
        <w:t>2.</w:t>
      </w:r>
      <w:r>
        <w:rPr>
          <w:rFonts w:ascii="Arial" w:eastAsia="Calibri" w:hAnsi="Arial" w:cs="Arial"/>
          <w:b/>
          <w:bCs/>
          <w:color w:val="000000" w:themeColor="text1"/>
          <w:sz w:val="22"/>
          <w:lang w:val="es-ES_tradnl"/>
        </w:rPr>
        <w:t>2</w:t>
      </w:r>
      <w:r w:rsidRPr="009C3A2B">
        <w:rPr>
          <w:rFonts w:ascii="Arial" w:eastAsia="Calibri" w:hAnsi="Arial" w:cs="Arial"/>
          <w:b/>
          <w:bCs/>
          <w:color w:val="000000" w:themeColor="text1"/>
          <w:sz w:val="22"/>
          <w:lang w:val="es-ES_tradnl"/>
        </w:rPr>
        <w:t xml:space="preserve">. </w:t>
      </w:r>
      <w:bookmarkStart w:id="4" w:name="_Hlk34855808"/>
      <w:r w:rsidRPr="009C3A2B">
        <w:rPr>
          <w:rFonts w:ascii="Arial" w:eastAsia="Calibri" w:hAnsi="Arial" w:cs="Arial"/>
          <w:b/>
          <w:bCs/>
          <w:color w:val="000000" w:themeColor="text1"/>
          <w:sz w:val="22"/>
          <w:lang w:val="es-ES_tradnl"/>
        </w:rPr>
        <w:t>Las causales de rechazo de las propuestas</w:t>
      </w:r>
      <w:bookmarkEnd w:id="4"/>
      <w:r w:rsidRPr="009C3A2B">
        <w:rPr>
          <w:rFonts w:ascii="Arial" w:eastAsia="Calibri" w:hAnsi="Arial" w:cs="Arial"/>
          <w:b/>
          <w:bCs/>
          <w:color w:val="000000" w:themeColor="text1"/>
          <w:sz w:val="22"/>
          <w:lang w:val="es-ES_tradnl"/>
        </w:rPr>
        <w:t xml:space="preserve"> no pueden ser caprichosas ni arbitrarias</w:t>
      </w:r>
    </w:p>
    <w:p w14:paraId="45CDC479" w14:textId="77777777" w:rsidR="00456F5A" w:rsidRPr="009C3A2B" w:rsidRDefault="00456F5A" w:rsidP="00456F5A">
      <w:pPr>
        <w:spacing w:line="276" w:lineRule="auto"/>
        <w:jc w:val="both"/>
        <w:rPr>
          <w:rFonts w:ascii="Arial" w:eastAsia="Calibri" w:hAnsi="Arial" w:cs="Arial"/>
          <w:color w:val="000000" w:themeColor="text1"/>
          <w:sz w:val="22"/>
          <w:lang w:val="es-ES_tradnl"/>
        </w:rPr>
      </w:pPr>
    </w:p>
    <w:p w14:paraId="01F72A8E" w14:textId="77777777" w:rsidR="00456F5A" w:rsidRPr="009C3A2B" w:rsidRDefault="00456F5A" w:rsidP="0041440E">
      <w:pPr>
        <w:spacing w:line="276" w:lineRule="auto"/>
        <w:jc w:val="both"/>
        <w:rPr>
          <w:rFonts w:ascii="Arial" w:eastAsia="Calibri" w:hAnsi="Arial" w:cs="Arial"/>
          <w:color w:val="000000" w:themeColor="text1"/>
          <w:sz w:val="22"/>
          <w:lang w:val="es-ES_tradnl"/>
        </w:rPr>
      </w:pPr>
      <w:r w:rsidRPr="009C3A2B">
        <w:rPr>
          <w:rFonts w:ascii="Arial" w:eastAsia="Calibri" w:hAnsi="Arial" w:cs="Arial"/>
          <w:color w:val="000000" w:themeColor="text1"/>
          <w:sz w:val="22"/>
          <w:lang w:val="es-ES_tradnl"/>
        </w:rPr>
        <w:t>Conforme al inciso 1 del artículo 209 de la Constitución Política de Colombia, la función administrativa está al servicio de los intereses generales y se desarrolla, entre otros, con fundamento en el principio de imparcialidad. En este sentido, el numeral 3 del artículo 3 de la Ley 1437 de 2011 prescribe que «En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 Esta directriz es de especial relevancia en materia de contratación estatal, ya que –en virtud del artículo 77 de la Ley 80 de 1993 y el artículo 13 de la Ley 1150 de 2007– se integra tanto al régimen de las entidades sometidas como al de las exceptuadas del Estatuto General de Contratación de la Administración Pública, guardando una estrecha relación con el principio de selección objetiva.</w:t>
      </w:r>
    </w:p>
    <w:p w14:paraId="02283FD7" w14:textId="7611EE09" w:rsidR="00456F5A" w:rsidRPr="009C3A2B" w:rsidRDefault="00456F5A" w:rsidP="00456F5A">
      <w:pPr>
        <w:spacing w:before="120" w:line="276" w:lineRule="auto"/>
        <w:jc w:val="both"/>
        <w:rPr>
          <w:rFonts w:ascii="Arial" w:eastAsia="Calibri" w:hAnsi="Arial" w:cs="Arial"/>
          <w:color w:val="000000" w:themeColor="text1"/>
          <w:sz w:val="22"/>
          <w:lang w:val="es-ES_tradnl"/>
        </w:rPr>
      </w:pPr>
      <w:r w:rsidRPr="009C3A2B">
        <w:rPr>
          <w:rFonts w:ascii="Arial" w:eastAsia="Calibri" w:hAnsi="Arial" w:cs="Arial"/>
          <w:color w:val="000000" w:themeColor="text1"/>
          <w:sz w:val="22"/>
          <w:lang w:val="es-ES_tradnl"/>
        </w:rPr>
        <w:tab/>
      </w:r>
      <w:bookmarkStart w:id="5" w:name="_Hlk34855985"/>
      <w:r w:rsidRPr="009C3A2B">
        <w:rPr>
          <w:rFonts w:ascii="Arial" w:eastAsia="Calibri" w:hAnsi="Arial" w:cs="Arial"/>
          <w:color w:val="000000" w:themeColor="text1"/>
          <w:sz w:val="22"/>
          <w:lang w:val="es-ES_tradnl"/>
        </w:rPr>
        <w:t>Dichos principios tienen un papel relevante en la elaboración de los pliegos de condiciones, pues si bien las entidades tienen un margen de autonomía para definir algunos aspectos del futuro negocio, las causales de rechazo de las propuestas deben ser razonables, bien porque algunas de éstas se encuentren previstas en el ordenamiento o porque conducen a que se adjudique el contrato al proponente que cumple con los requisitos técnicos y económicos para su ejecución. En esta medida, dichas causales no deben fundamentarse en el simple capricho o el mero arbitrio, lo cual –además de contrariar los principios analizados– limita la participación</w:t>
      </w:r>
      <w:bookmarkEnd w:id="5"/>
      <w:r w:rsidRPr="009C3A2B">
        <w:rPr>
          <w:rFonts w:ascii="Arial" w:eastAsia="Calibri" w:hAnsi="Arial" w:cs="Arial"/>
          <w:color w:val="000000" w:themeColor="text1"/>
          <w:sz w:val="22"/>
          <w:lang w:val="es-ES_tradnl"/>
        </w:rPr>
        <w:t xml:space="preserve">. </w:t>
      </w:r>
      <w:r w:rsidR="00885FE6">
        <w:rPr>
          <w:rFonts w:ascii="Arial" w:eastAsia="Calibri" w:hAnsi="Arial" w:cs="Arial"/>
          <w:color w:val="000000" w:themeColor="text1"/>
          <w:sz w:val="22"/>
          <w:lang w:val="es-ES_tradnl"/>
        </w:rPr>
        <w:t>Por ello</w:t>
      </w:r>
      <w:r w:rsidRPr="009C3A2B">
        <w:rPr>
          <w:rFonts w:ascii="Arial" w:eastAsia="Calibri" w:hAnsi="Arial" w:cs="Arial"/>
          <w:color w:val="000000" w:themeColor="text1"/>
          <w:sz w:val="22"/>
          <w:lang w:val="es-ES_tradnl"/>
        </w:rPr>
        <w:t>, la jurisprudencia</w:t>
      </w:r>
      <w:r w:rsidR="00885FE6">
        <w:rPr>
          <w:rFonts w:ascii="Arial" w:eastAsia="Calibri" w:hAnsi="Arial" w:cs="Arial"/>
          <w:color w:val="000000" w:themeColor="text1"/>
          <w:sz w:val="22"/>
          <w:lang w:val="es-ES_tradnl"/>
        </w:rPr>
        <w:t xml:space="preserve"> del Consejo de Estado</w:t>
      </w:r>
      <w:r w:rsidRPr="009C3A2B">
        <w:rPr>
          <w:rFonts w:ascii="Arial" w:eastAsia="Calibri" w:hAnsi="Arial" w:cs="Arial"/>
          <w:color w:val="000000" w:themeColor="text1"/>
          <w:sz w:val="22"/>
          <w:lang w:val="es-ES_tradnl"/>
        </w:rPr>
        <w:t xml:space="preserve"> ha sostenido que:</w:t>
      </w:r>
    </w:p>
    <w:p w14:paraId="5D25BBB3" w14:textId="77777777" w:rsidR="00456F5A" w:rsidRPr="009C3A2B" w:rsidRDefault="00456F5A" w:rsidP="00456F5A">
      <w:pPr>
        <w:spacing w:line="276" w:lineRule="auto"/>
        <w:jc w:val="both"/>
        <w:rPr>
          <w:rFonts w:ascii="Arial" w:eastAsia="Calibri" w:hAnsi="Arial" w:cs="Arial"/>
          <w:color w:val="000000" w:themeColor="text1"/>
          <w:sz w:val="22"/>
          <w:lang w:val="es-ES_tradnl"/>
        </w:rPr>
      </w:pPr>
    </w:p>
    <w:p w14:paraId="0B9EB365" w14:textId="77777777" w:rsidR="00456F5A" w:rsidRPr="009C3A2B" w:rsidRDefault="00456F5A" w:rsidP="0041440E">
      <w:pPr>
        <w:ind w:left="709" w:right="709"/>
        <w:jc w:val="both"/>
        <w:rPr>
          <w:rFonts w:ascii="Arial" w:eastAsia="Calibri" w:hAnsi="Arial" w:cs="Arial"/>
          <w:color w:val="000000" w:themeColor="text1"/>
          <w:sz w:val="21"/>
          <w:szCs w:val="21"/>
          <w:lang w:val="es-ES_tradnl"/>
        </w:rPr>
      </w:pPr>
      <w:r w:rsidRPr="009C3A2B">
        <w:rPr>
          <w:rFonts w:ascii="Arial" w:eastAsia="Calibri" w:hAnsi="Arial" w:cs="Arial"/>
          <w:color w:val="000000" w:themeColor="text1"/>
          <w:sz w:val="21"/>
          <w:szCs w:val="21"/>
          <w:lang w:val="es-ES_tradnl"/>
        </w:rPr>
        <w:t>[…]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excluyente debe ser razonable, esencial y proporcionada, toda vez que no tendría justificación excluir una propuesta por una deficiencia que no tenga incidencia alguna en la contratación</w:t>
      </w:r>
      <w:r w:rsidRPr="009C3A2B">
        <w:rPr>
          <w:rStyle w:val="Refdenotaalpie"/>
          <w:rFonts w:ascii="Arial" w:eastAsia="Calibri" w:hAnsi="Arial" w:cs="Arial"/>
          <w:color w:val="000000" w:themeColor="text1"/>
          <w:sz w:val="21"/>
          <w:szCs w:val="21"/>
          <w:lang w:val="es-ES_tradnl"/>
        </w:rPr>
        <w:footnoteReference w:id="3"/>
      </w:r>
      <w:r w:rsidRPr="009C3A2B">
        <w:rPr>
          <w:rFonts w:ascii="Arial" w:eastAsia="Calibri" w:hAnsi="Arial" w:cs="Arial"/>
          <w:color w:val="000000" w:themeColor="text1"/>
          <w:sz w:val="21"/>
          <w:szCs w:val="21"/>
          <w:lang w:val="es-ES_tradnl"/>
        </w:rPr>
        <w:t>.</w:t>
      </w:r>
    </w:p>
    <w:p w14:paraId="6254CEB4" w14:textId="77777777" w:rsidR="00456F5A" w:rsidRPr="009C3A2B" w:rsidRDefault="00456F5A" w:rsidP="00456F5A">
      <w:pPr>
        <w:ind w:left="709" w:right="709"/>
        <w:jc w:val="both"/>
        <w:rPr>
          <w:rFonts w:ascii="Arial" w:eastAsia="Calibri" w:hAnsi="Arial" w:cs="Arial"/>
          <w:color w:val="000000" w:themeColor="text1"/>
          <w:sz w:val="21"/>
          <w:szCs w:val="21"/>
          <w:lang w:val="es-ES_tradnl"/>
        </w:rPr>
      </w:pPr>
    </w:p>
    <w:p w14:paraId="6A8AC540" w14:textId="199AE02E" w:rsidR="00456F5A" w:rsidRPr="009C3A2B" w:rsidRDefault="00456F5A" w:rsidP="0041440E">
      <w:pPr>
        <w:spacing w:line="276" w:lineRule="auto"/>
        <w:ind w:firstLine="708"/>
        <w:jc w:val="both"/>
        <w:rPr>
          <w:rFonts w:ascii="Arial" w:eastAsia="Calibri" w:hAnsi="Arial" w:cs="Arial"/>
          <w:color w:val="000000" w:themeColor="text1"/>
          <w:sz w:val="22"/>
          <w:lang w:val="es-ES_tradnl"/>
        </w:rPr>
      </w:pPr>
      <w:r w:rsidRPr="009C3A2B">
        <w:rPr>
          <w:rFonts w:ascii="Arial" w:eastAsia="Calibri" w:hAnsi="Arial" w:cs="Arial"/>
          <w:color w:val="000000" w:themeColor="text1"/>
          <w:sz w:val="22"/>
          <w:lang w:val="es-ES_tradnl"/>
        </w:rPr>
        <w:t xml:space="preserve">En este contexto, </w:t>
      </w:r>
      <w:bookmarkStart w:id="6" w:name="_Hlk34855896"/>
      <w:r w:rsidRPr="009C3A2B">
        <w:rPr>
          <w:rFonts w:ascii="Arial" w:eastAsia="Calibri" w:hAnsi="Arial" w:cs="Arial"/>
          <w:color w:val="000000" w:themeColor="text1"/>
          <w:sz w:val="22"/>
          <w:lang w:val="es-ES_tradnl"/>
        </w:rPr>
        <w:t>las causales de rechazo de la oferta deben emanar directamente de la ley</w:t>
      </w:r>
      <w:r>
        <w:rPr>
          <w:rFonts w:ascii="Arial" w:eastAsia="Calibri" w:hAnsi="Arial" w:cs="Arial"/>
          <w:color w:val="000000" w:themeColor="text1"/>
          <w:sz w:val="22"/>
          <w:lang w:val="es-ES_tradnl"/>
        </w:rPr>
        <w:t>,</w:t>
      </w:r>
      <w:r w:rsidRPr="009C3A2B">
        <w:rPr>
          <w:rFonts w:ascii="Arial" w:eastAsia="Calibri" w:hAnsi="Arial" w:cs="Arial"/>
          <w:color w:val="000000" w:themeColor="text1"/>
          <w:sz w:val="22"/>
          <w:lang w:val="es-ES_tradnl"/>
        </w:rPr>
        <w:t xml:space="preserve"> del pliego de condiciones</w:t>
      </w:r>
      <w:r>
        <w:rPr>
          <w:rFonts w:ascii="Arial" w:eastAsia="Calibri" w:hAnsi="Arial" w:cs="Arial"/>
          <w:color w:val="000000" w:themeColor="text1"/>
          <w:sz w:val="22"/>
          <w:lang w:val="es-ES_tradnl"/>
        </w:rPr>
        <w:t xml:space="preserve"> o documento equivalente en los regímenes </w:t>
      </w:r>
      <w:r>
        <w:rPr>
          <w:rFonts w:ascii="Arial" w:eastAsia="Calibri" w:hAnsi="Arial" w:cs="Arial"/>
          <w:color w:val="000000" w:themeColor="text1"/>
          <w:sz w:val="22"/>
          <w:lang w:val="es-ES_tradnl"/>
        </w:rPr>
        <w:lastRenderedPageBreak/>
        <w:t>exceptuados</w:t>
      </w:r>
      <w:r w:rsidRPr="009C3A2B">
        <w:rPr>
          <w:rFonts w:ascii="Arial" w:eastAsia="Calibri" w:hAnsi="Arial" w:cs="Arial"/>
          <w:color w:val="000000" w:themeColor="text1"/>
          <w:sz w:val="22"/>
          <w:lang w:val="es-ES_tradnl"/>
        </w:rPr>
        <w:t xml:space="preserve">, pero en </w:t>
      </w:r>
      <w:r>
        <w:rPr>
          <w:rFonts w:ascii="Arial" w:eastAsia="Calibri" w:hAnsi="Arial" w:cs="Arial"/>
          <w:color w:val="000000" w:themeColor="text1"/>
          <w:sz w:val="22"/>
          <w:lang w:val="es-ES_tradnl"/>
        </w:rPr>
        <w:t>todo</w:t>
      </w:r>
      <w:r w:rsidRPr="009C3A2B">
        <w:rPr>
          <w:rFonts w:ascii="Arial" w:eastAsia="Calibri" w:hAnsi="Arial" w:cs="Arial"/>
          <w:color w:val="000000" w:themeColor="text1"/>
          <w:sz w:val="22"/>
          <w:lang w:val="es-ES_tradnl"/>
        </w:rPr>
        <w:t xml:space="preserve"> caso guardan relación con defectos, omisiones o circunstancias impeditivas que permitan deducir</w:t>
      </w:r>
      <w:r w:rsidR="00885FE6">
        <w:rPr>
          <w:rFonts w:ascii="Arial" w:eastAsia="Calibri" w:hAnsi="Arial" w:cs="Arial"/>
          <w:color w:val="000000" w:themeColor="text1"/>
          <w:sz w:val="22"/>
          <w:lang w:val="es-ES_tradnl"/>
        </w:rPr>
        <w:t xml:space="preserve"> o concluir</w:t>
      </w:r>
      <w:r w:rsidRPr="009C3A2B">
        <w:rPr>
          <w:rFonts w:ascii="Arial" w:eastAsia="Calibri" w:hAnsi="Arial" w:cs="Arial"/>
          <w:color w:val="000000" w:themeColor="text1"/>
          <w:sz w:val="22"/>
          <w:lang w:val="es-ES_tradnl"/>
        </w:rPr>
        <w:t xml:space="preserve"> que la misma no resulta favorable para los intereses de la entidad. En otras palabras, no pueden fundamentarse en consideraciones subjetivas, que conviertan dichas causales en inhabilidades para participar en los procesos de selección.</w:t>
      </w:r>
      <w:bookmarkEnd w:id="6"/>
    </w:p>
    <w:p w14:paraId="68BE1DBC" w14:textId="77777777" w:rsidR="00456F5A" w:rsidRPr="009C3A2B" w:rsidRDefault="00456F5A" w:rsidP="0041440E">
      <w:pPr>
        <w:spacing w:line="276" w:lineRule="auto"/>
        <w:jc w:val="both"/>
        <w:rPr>
          <w:rFonts w:ascii="Arial" w:eastAsia="Calibri" w:hAnsi="Arial" w:cs="Arial"/>
          <w:color w:val="000000" w:themeColor="text1"/>
          <w:sz w:val="22"/>
          <w:lang w:val="es-ES_tradnl"/>
        </w:rPr>
      </w:pPr>
    </w:p>
    <w:p w14:paraId="6087AE4E" w14:textId="68EDB030" w:rsidR="00456F5A" w:rsidRPr="009C3A2B" w:rsidRDefault="00456F5A" w:rsidP="00456F5A">
      <w:pPr>
        <w:spacing w:line="276" w:lineRule="auto"/>
        <w:jc w:val="both"/>
        <w:rPr>
          <w:rFonts w:ascii="Arial" w:eastAsia="Calibri" w:hAnsi="Arial" w:cs="Arial"/>
          <w:b/>
          <w:bCs/>
          <w:color w:val="000000" w:themeColor="text1"/>
          <w:sz w:val="22"/>
          <w:lang w:val="es-ES_tradnl"/>
        </w:rPr>
      </w:pPr>
      <w:r w:rsidRPr="009C3A2B">
        <w:rPr>
          <w:rFonts w:ascii="Arial" w:eastAsia="Calibri" w:hAnsi="Arial" w:cs="Arial"/>
          <w:b/>
          <w:bCs/>
          <w:color w:val="000000" w:themeColor="text1"/>
          <w:sz w:val="22"/>
          <w:lang w:val="es-ES_tradnl"/>
        </w:rPr>
        <w:t>2.</w:t>
      </w:r>
      <w:r w:rsidR="00087850">
        <w:rPr>
          <w:rFonts w:ascii="Arial" w:eastAsia="Calibri" w:hAnsi="Arial" w:cs="Arial"/>
          <w:b/>
          <w:bCs/>
          <w:color w:val="000000" w:themeColor="text1"/>
          <w:sz w:val="22"/>
          <w:lang w:val="es-ES_tradnl"/>
        </w:rPr>
        <w:t>3</w:t>
      </w:r>
      <w:r w:rsidRPr="009C3A2B">
        <w:rPr>
          <w:rFonts w:ascii="Arial" w:eastAsia="Calibri" w:hAnsi="Arial" w:cs="Arial"/>
          <w:b/>
          <w:bCs/>
          <w:color w:val="000000" w:themeColor="text1"/>
          <w:sz w:val="22"/>
          <w:lang w:val="es-ES_tradnl"/>
        </w:rPr>
        <w:t xml:space="preserve">. Régimen de inhabilidades: importancia de la reserva legal </w:t>
      </w:r>
    </w:p>
    <w:p w14:paraId="5036CD96" w14:textId="77777777" w:rsidR="00456F5A" w:rsidRPr="009C3A2B" w:rsidRDefault="00456F5A" w:rsidP="00456F5A">
      <w:pPr>
        <w:spacing w:line="276" w:lineRule="auto"/>
        <w:jc w:val="both"/>
        <w:rPr>
          <w:rFonts w:ascii="Arial" w:eastAsia="Calibri" w:hAnsi="Arial" w:cs="Arial"/>
          <w:color w:val="000000" w:themeColor="text1"/>
          <w:sz w:val="22"/>
          <w:lang w:val="es-ES_tradnl"/>
        </w:rPr>
      </w:pPr>
    </w:p>
    <w:p w14:paraId="6179D8DE" w14:textId="10CBA4C2" w:rsidR="00456F5A" w:rsidRPr="009C3A2B" w:rsidRDefault="00456F5A" w:rsidP="00456F5A">
      <w:pPr>
        <w:spacing w:line="276" w:lineRule="auto"/>
        <w:jc w:val="both"/>
        <w:rPr>
          <w:rFonts w:ascii="Arial" w:eastAsia="Calibri" w:hAnsi="Arial" w:cs="Arial"/>
          <w:color w:val="000000" w:themeColor="text1"/>
          <w:sz w:val="22"/>
          <w:lang w:val="es-ES_tradnl"/>
        </w:rPr>
      </w:pPr>
      <w:r w:rsidRPr="009C3A2B">
        <w:rPr>
          <w:rFonts w:ascii="Arial" w:eastAsia="Calibri" w:hAnsi="Arial" w:cs="Arial"/>
          <w:color w:val="000000" w:themeColor="text1"/>
          <w:sz w:val="22"/>
          <w:lang w:val="es-ES_tradnl"/>
        </w:rPr>
        <w:t>Conforme a lo anotado en el numeral precedente, el rechazo está relacionado con impedimentos legales o con defectos u omisiones en el contenido o en la presentación de los documentos que conforman la propuesta. Así las cosas, conforme al marco normativo anteriormente citado, viola el principio de imparcialidad y el de selección objetiva que las causales previstas en el pliego no se fundamenten en alguno de estos motivos.</w:t>
      </w:r>
      <w:r w:rsidR="00983D7A">
        <w:rPr>
          <w:rFonts w:ascii="Arial" w:eastAsia="Calibri" w:hAnsi="Arial" w:cs="Arial"/>
          <w:color w:val="000000" w:themeColor="text1"/>
          <w:sz w:val="22"/>
          <w:lang w:val="es-ES_tradnl"/>
        </w:rPr>
        <w:t xml:space="preserve"> De lo anterior se desprende que</w:t>
      </w:r>
      <w:r w:rsidRPr="009C3A2B">
        <w:rPr>
          <w:rFonts w:ascii="Arial" w:eastAsia="Calibri" w:hAnsi="Arial" w:cs="Arial"/>
          <w:color w:val="000000" w:themeColor="text1"/>
          <w:sz w:val="22"/>
          <w:lang w:val="es-ES_tradnl"/>
        </w:rPr>
        <w:t xml:space="preserve"> </w:t>
      </w:r>
      <w:r w:rsidR="00983D7A">
        <w:rPr>
          <w:rFonts w:ascii="Arial" w:eastAsia="Calibri" w:hAnsi="Arial" w:cs="Arial"/>
          <w:color w:val="000000" w:themeColor="text1"/>
          <w:sz w:val="22"/>
          <w:lang w:val="es-ES_tradnl"/>
        </w:rPr>
        <w:t>a</w:t>
      </w:r>
      <w:r w:rsidRPr="009C3A2B">
        <w:rPr>
          <w:rFonts w:ascii="Arial" w:eastAsia="Calibri" w:hAnsi="Arial" w:cs="Arial"/>
          <w:color w:val="000000" w:themeColor="text1"/>
          <w:sz w:val="22"/>
          <w:lang w:val="es-ES_tradnl"/>
        </w:rPr>
        <w:t xml:space="preserve">ctuar </w:t>
      </w:r>
      <w:r w:rsidR="00983D7A">
        <w:rPr>
          <w:rFonts w:ascii="Arial" w:eastAsia="Calibri" w:hAnsi="Arial" w:cs="Arial"/>
          <w:color w:val="000000" w:themeColor="text1"/>
          <w:sz w:val="22"/>
          <w:lang w:val="es-ES_tradnl"/>
        </w:rPr>
        <w:t xml:space="preserve">por </w:t>
      </w:r>
      <w:r w:rsidRPr="009C3A2B">
        <w:rPr>
          <w:rFonts w:ascii="Arial" w:eastAsia="Calibri" w:hAnsi="Arial" w:cs="Arial"/>
          <w:color w:val="000000" w:themeColor="text1"/>
          <w:sz w:val="22"/>
          <w:lang w:val="es-ES_tradnl"/>
        </w:rPr>
        <w:t xml:space="preserve">fuera de estos límites implica convertirlas en causales de inhabilidad, las cuales –por esencia– son reguladas por el legislador. </w:t>
      </w:r>
      <w:r w:rsidR="00225468">
        <w:rPr>
          <w:rFonts w:ascii="Arial" w:eastAsia="Calibri" w:hAnsi="Arial" w:cs="Arial"/>
          <w:color w:val="000000" w:themeColor="text1"/>
          <w:sz w:val="22"/>
          <w:lang w:val="es-ES_tradnl"/>
        </w:rPr>
        <w:t>Al respecto, el Consejo de Estado ha señalado lo siguiente:</w:t>
      </w:r>
    </w:p>
    <w:p w14:paraId="1A81B3A3" w14:textId="77777777" w:rsidR="00456F5A" w:rsidRPr="009C3A2B" w:rsidRDefault="00456F5A" w:rsidP="00456F5A">
      <w:pPr>
        <w:spacing w:line="276" w:lineRule="auto"/>
        <w:jc w:val="both"/>
        <w:rPr>
          <w:rFonts w:ascii="Arial" w:eastAsia="Calibri" w:hAnsi="Arial" w:cs="Arial"/>
          <w:color w:val="000000" w:themeColor="text1"/>
          <w:sz w:val="22"/>
          <w:lang w:val="es-ES_tradnl"/>
        </w:rPr>
      </w:pPr>
    </w:p>
    <w:p w14:paraId="7CD538C5" w14:textId="77777777" w:rsidR="00456F5A" w:rsidRPr="009C3A2B" w:rsidRDefault="00456F5A" w:rsidP="0041440E">
      <w:pPr>
        <w:ind w:left="709" w:right="709"/>
        <w:jc w:val="both"/>
        <w:rPr>
          <w:rFonts w:ascii="Arial" w:eastAsia="Calibri" w:hAnsi="Arial" w:cs="Arial"/>
          <w:color w:val="000000" w:themeColor="text1"/>
          <w:sz w:val="21"/>
          <w:szCs w:val="21"/>
          <w:lang w:val="es-ES_tradnl"/>
        </w:rPr>
      </w:pPr>
      <w:r w:rsidRPr="009C3A2B">
        <w:rPr>
          <w:rFonts w:ascii="Arial" w:eastAsia="Calibri" w:hAnsi="Arial" w:cs="Arial"/>
          <w:color w:val="000000" w:themeColor="text1"/>
          <w:sz w:val="21"/>
          <w:szCs w:val="21"/>
          <w:lang w:val="es-ES_tradnl"/>
        </w:rPr>
        <w:t>Los regímenes de inhabilidades están concebidos para evitar la indebida utilización del ejercicio de las funciones públicas para el beneficio individual […] Con esta perspectiva la doctrina ha señalado que las inhabilidades se erigen en “(…) circunstancias negativas o impeditivas preexistentes para acceder a la función pública (inelegibilidad), evitando el ingreso de sujetos que no reúnen determinadas condiciones, calidades y cualidades de idoneidad o moralidad, para desarrollar determinadas actividades o adoptar ciertas decisiones, ora para acceder a la contratación estatal…”</w:t>
      </w:r>
    </w:p>
    <w:p w14:paraId="1AEFE57D" w14:textId="77777777" w:rsidR="00456F5A" w:rsidRPr="009C3A2B" w:rsidRDefault="00456F5A" w:rsidP="0041440E">
      <w:pPr>
        <w:ind w:left="709" w:right="709"/>
        <w:jc w:val="both"/>
        <w:rPr>
          <w:rFonts w:ascii="Arial" w:eastAsia="Calibri" w:hAnsi="Arial" w:cs="Arial"/>
          <w:color w:val="000000" w:themeColor="text1"/>
          <w:sz w:val="21"/>
          <w:szCs w:val="21"/>
          <w:lang w:val="es-ES_tradnl"/>
        </w:rPr>
      </w:pPr>
    </w:p>
    <w:p w14:paraId="0043B312" w14:textId="77777777" w:rsidR="00456F5A" w:rsidRPr="009C3A2B" w:rsidRDefault="00456F5A" w:rsidP="0041440E">
      <w:pPr>
        <w:ind w:left="709" w:right="709"/>
        <w:jc w:val="both"/>
        <w:rPr>
          <w:rFonts w:ascii="Arial" w:eastAsia="Calibri" w:hAnsi="Arial" w:cs="Arial"/>
          <w:color w:val="000000" w:themeColor="text1"/>
          <w:sz w:val="21"/>
          <w:szCs w:val="21"/>
          <w:lang w:val="es-ES_tradnl"/>
        </w:rPr>
      </w:pPr>
      <w:r w:rsidRPr="009C3A2B">
        <w:rPr>
          <w:rFonts w:ascii="Arial" w:eastAsia="Calibri" w:hAnsi="Arial" w:cs="Arial"/>
          <w:color w:val="000000" w:themeColor="text1"/>
          <w:sz w:val="21"/>
          <w:szCs w:val="21"/>
          <w:lang w:val="es-ES_tradnl"/>
        </w:rPr>
        <w:t>Dada la fuerte restricción de los derechos fundamentales que este instituto comporta, su previsión y desarrollo es materia exclusiva del legislador (reserva de ley), quien en virtud del principio democrático debe definir y tipificar expresamente sus causas, vigencia, naturaleza y efectos</w:t>
      </w:r>
      <w:r w:rsidRPr="009C3A2B">
        <w:rPr>
          <w:rStyle w:val="Refdenotaalpie"/>
          <w:rFonts w:ascii="Arial" w:eastAsia="Calibri" w:hAnsi="Arial" w:cs="Arial"/>
          <w:color w:val="000000" w:themeColor="text1"/>
          <w:sz w:val="21"/>
          <w:szCs w:val="21"/>
          <w:lang w:val="es-ES_tradnl"/>
        </w:rPr>
        <w:footnoteReference w:id="4"/>
      </w:r>
      <w:r w:rsidRPr="009C3A2B">
        <w:rPr>
          <w:rFonts w:ascii="Arial" w:eastAsia="Calibri" w:hAnsi="Arial" w:cs="Arial"/>
          <w:color w:val="000000" w:themeColor="text1"/>
          <w:sz w:val="21"/>
          <w:szCs w:val="21"/>
          <w:lang w:val="es-ES_tradnl"/>
        </w:rPr>
        <w:t xml:space="preserve">. </w:t>
      </w:r>
    </w:p>
    <w:p w14:paraId="40397808" w14:textId="77777777" w:rsidR="00456F5A" w:rsidRPr="009C3A2B" w:rsidRDefault="00456F5A" w:rsidP="00456F5A">
      <w:pPr>
        <w:spacing w:line="276" w:lineRule="auto"/>
        <w:ind w:left="709" w:right="709"/>
        <w:jc w:val="both"/>
        <w:rPr>
          <w:rFonts w:ascii="Arial" w:eastAsia="Calibri" w:hAnsi="Arial" w:cs="Arial"/>
          <w:color w:val="000000" w:themeColor="text1"/>
          <w:sz w:val="21"/>
          <w:szCs w:val="21"/>
          <w:lang w:val="es-ES_tradnl"/>
        </w:rPr>
      </w:pPr>
    </w:p>
    <w:p w14:paraId="12A1CB31" w14:textId="7645B549" w:rsidR="00456F5A" w:rsidRPr="009C3A2B" w:rsidRDefault="00456F5A" w:rsidP="0041440E">
      <w:pPr>
        <w:pStyle w:val="Sinespaciado"/>
        <w:spacing w:after="120" w:line="276" w:lineRule="auto"/>
        <w:ind w:firstLine="709"/>
        <w:jc w:val="both"/>
        <w:rPr>
          <w:rFonts w:ascii="Arial" w:hAnsi="Arial" w:cs="Arial"/>
          <w:color w:val="000000" w:themeColor="text1"/>
          <w:sz w:val="22"/>
          <w:lang w:val="es-ES"/>
        </w:rPr>
      </w:pPr>
      <w:bookmarkStart w:id="7" w:name="_Hlk34856116"/>
      <w:r w:rsidRPr="009C3A2B">
        <w:rPr>
          <w:rFonts w:ascii="Arial" w:hAnsi="Arial" w:cs="Arial"/>
          <w:color w:val="000000" w:themeColor="text1"/>
          <w:sz w:val="22"/>
        </w:rPr>
        <w:t xml:space="preserve">Las inhabilidades son circunstancias establecidas por la Constitución o la Ley que impiden la posibilidad de que personas naturales o jurídicas sean elegidas o designadas en un cargo público o puedan celebrar contratos con el Estado, con el objetivo de garantizar la idoneidad, imparcialidad, probidad, transparencia y moralidad de la función pública, y garantizar el interés general.  El régimen de inhabilidades para contratar con el Estado es un conjunto de restricciones establecidas por el constituyente o por el legislador que afectan directamente la capacidad de las personas para establecer una relación jurídica contractual con el Estado, que pueden resultar de condenas, sanciones o situaciones previamente establecidas por el ordenamiento jurídico. La Corte Constitucional ha determinado que «las </w:t>
      </w:r>
      <w:r w:rsidRPr="009C3A2B">
        <w:rPr>
          <w:rFonts w:ascii="Arial" w:hAnsi="Arial" w:cs="Arial"/>
          <w:color w:val="000000" w:themeColor="text1"/>
          <w:sz w:val="22"/>
        </w:rPr>
        <w:lastRenderedPageBreak/>
        <w:t>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9C3A2B">
        <w:rPr>
          <w:rFonts w:ascii="Arial" w:hAnsi="Arial" w:cs="Arial"/>
          <w:color w:val="000000" w:themeColor="text1"/>
          <w:sz w:val="22"/>
          <w:vertAlign w:val="superscript"/>
        </w:rPr>
        <w:footnoteReference w:id="5"/>
      </w:r>
      <w:r w:rsidRPr="009C3A2B">
        <w:rPr>
          <w:rFonts w:ascii="Arial" w:hAnsi="Arial" w:cs="Arial"/>
          <w:color w:val="000000" w:themeColor="text1"/>
          <w:sz w:val="22"/>
        </w:rPr>
        <w:t>. Estas restricciones o limitaciones que afectan la capacidad jurídica de las personas para contratar realizan los principios de la función administrativa, consagrados en el artículo 209 de la Constitución Política, con especial énfasis en el de moralidad</w:t>
      </w:r>
      <w:r w:rsidR="00134726" w:rsidRPr="009C3A2B">
        <w:rPr>
          <w:rStyle w:val="Refdenotaalpie"/>
          <w:rFonts w:ascii="Arial" w:hAnsi="Arial" w:cs="Arial"/>
          <w:color w:val="000000" w:themeColor="text1"/>
          <w:sz w:val="21"/>
          <w:szCs w:val="21"/>
          <w:lang w:val="es-ES"/>
        </w:rPr>
        <w:footnoteReference w:id="6"/>
      </w:r>
      <w:r w:rsidRPr="009C3A2B">
        <w:rPr>
          <w:rFonts w:ascii="Arial" w:hAnsi="Arial" w:cs="Arial"/>
          <w:color w:val="000000" w:themeColor="text1"/>
          <w:sz w:val="22"/>
        </w:rPr>
        <w:t>.</w:t>
      </w:r>
    </w:p>
    <w:p w14:paraId="63FCD477" w14:textId="77777777" w:rsidR="00456F5A" w:rsidRPr="009C3A2B" w:rsidRDefault="00456F5A" w:rsidP="00456F5A">
      <w:pPr>
        <w:pStyle w:val="Sinespaciado"/>
        <w:spacing w:line="276" w:lineRule="auto"/>
        <w:ind w:firstLine="708"/>
        <w:jc w:val="both"/>
        <w:rPr>
          <w:rFonts w:ascii="Arial" w:hAnsi="Arial" w:cs="Arial"/>
          <w:color w:val="000000" w:themeColor="text1"/>
          <w:sz w:val="22"/>
          <w:lang w:val="es-ES"/>
        </w:rPr>
      </w:pPr>
      <w:r w:rsidRPr="009C3A2B">
        <w:rPr>
          <w:rFonts w:ascii="Arial" w:hAnsi="Arial" w:cs="Arial"/>
          <w:color w:val="000000" w:themeColor="text1"/>
          <w:sz w:val="22"/>
        </w:rPr>
        <w:t xml:space="preserve">Así las cosas, las inhabilidades son medios que buscan garantizar la transparencia y eficiencia en la actividad contractual del Estado y para ello imponen restricciones en la personalidad jurídica, la igualdad, la libre empresa y, particularmente, el derecho a participar en procesos de licitación y celebrar contratos con la Administración. La Corte Constitucional ha reconocido que estas limitaciones deben estar justificadas en la salvaguarda del interés general y que su lectura e interpretación debe ser taxativa y restrictiva: </w:t>
      </w:r>
    </w:p>
    <w:p w14:paraId="756FC5E0" w14:textId="77777777" w:rsidR="00456F5A" w:rsidRPr="009C3A2B" w:rsidRDefault="00456F5A" w:rsidP="00456F5A">
      <w:pPr>
        <w:rPr>
          <w:rFonts w:ascii="Times New Roman" w:eastAsia="Times New Roman" w:hAnsi="Times New Roman" w:cs="Times New Roman"/>
          <w:color w:val="000000" w:themeColor="text1"/>
          <w:sz w:val="28"/>
          <w:szCs w:val="28"/>
          <w:shd w:val="clear" w:color="auto" w:fill="FFFFFF"/>
          <w:lang w:val="es-CO" w:eastAsia="es-ES_tradnl"/>
        </w:rPr>
      </w:pPr>
    </w:p>
    <w:p w14:paraId="5C070AC0" w14:textId="77777777" w:rsidR="00456F5A" w:rsidRPr="009C3A2B" w:rsidRDefault="00456F5A" w:rsidP="00456F5A">
      <w:pPr>
        <w:ind w:left="709" w:right="709"/>
        <w:jc w:val="both"/>
        <w:rPr>
          <w:rFonts w:ascii="Arial" w:hAnsi="Arial" w:cs="Arial"/>
          <w:color w:val="000000" w:themeColor="text1"/>
          <w:sz w:val="21"/>
          <w:szCs w:val="21"/>
          <w:lang w:val="es-ES"/>
        </w:rPr>
      </w:pPr>
      <w:r w:rsidRPr="009C3A2B">
        <w:rPr>
          <w:rFonts w:ascii="Arial" w:hAnsi="Arial" w:cs="Arial"/>
          <w:color w:val="000000" w:themeColor="text1"/>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153442A4" w14:textId="77777777" w:rsidR="00456F5A" w:rsidRPr="009C3A2B" w:rsidRDefault="00456F5A" w:rsidP="00456F5A">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 </w:t>
      </w:r>
    </w:p>
    <w:p w14:paraId="10ED4DB8" w14:textId="77777777" w:rsidR="00456F5A" w:rsidRPr="009C3A2B" w:rsidRDefault="00456F5A" w:rsidP="00456F5A">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9C3A2B">
        <w:rPr>
          <w:rStyle w:val="Refdenotaalpie"/>
          <w:rFonts w:ascii="Arial" w:hAnsi="Arial" w:cs="Arial"/>
          <w:color w:val="000000" w:themeColor="text1"/>
          <w:sz w:val="21"/>
          <w:szCs w:val="21"/>
        </w:rPr>
        <w:footnoteReference w:id="7"/>
      </w:r>
      <w:r w:rsidRPr="009C3A2B">
        <w:rPr>
          <w:rFonts w:ascii="Arial" w:hAnsi="Arial" w:cs="Arial"/>
          <w:color w:val="000000" w:themeColor="text1"/>
          <w:sz w:val="21"/>
          <w:szCs w:val="21"/>
        </w:rPr>
        <w:t>.</w:t>
      </w:r>
    </w:p>
    <w:p w14:paraId="7ACB51E6" w14:textId="77777777" w:rsidR="00456F5A" w:rsidRPr="009C3A2B" w:rsidRDefault="00456F5A" w:rsidP="00456F5A">
      <w:pPr>
        <w:rPr>
          <w:rFonts w:ascii="Times New Roman" w:eastAsia="Times New Roman" w:hAnsi="Times New Roman" w:cs="Times New Roman"/>
          <w:color w:val="000000" w:themeColor="text1"/>
          <w:sz w:val="28"/>
          <w:szCs w:val="28"/>
          <w:shd w:val="clear" w:color="auto" w:fill="FFFFFF"/>
          <w:lang w:val="es-CO" w:eastAsia="es-ES_tradnl"/>
        </w:rPr>
      </w:pPr>
    </w:p>
    <w:p w14:paraId="6511DE63" w14:textId="77777777" w:rsidR="00456F5A" w:rsidRPr="009C3A2B" w:rsidRDefault="00456F5A" w:rsidP="00456F5A">
      <w:pPr>
        <w:spacing w:line="276" w:lineRule="auto"/>
        <w:ind w:firstLine="708"/>
        <w:jc w:val="both"/>
        <w:rPr>
          <w:rFonts w:ascii="Arial" w:hAnsi="Arial" w:cs="Arial"/>
          <w:color w:val="000000" w:themeColor="text1"/>
          <w:sz w:val="22"/>
          <w:lang w:val="es-ES"/>
        </w:rPr>
      </w:pPr>
      <w:r w:rsidRPr="009C3A2B">
        <w:rPr>
          <w:rFonts w:ascii="Arial" w:hAnsi="Arial" w:cs="Arial"/>
          <w:color w:val="000000" w:themeColor="text1"/>
          <w:sz w:val="22"/>
        </w:rPr>
        <w:t xml:space="preserve">Asimismo, la Corte Constitucional ha resaltado que la competencia para determinar qué hechos o situaciones generan inhabilidad para contratar con el Estado la tiene el legislador, pues este régimen es un aspecto propio del Estatuto General de la Contratación </w:t>
      </w:r>
      <w:r w:rsidRPr="009C3A2B">
        <w:rPr>
          <w:rFonts w:ascii="Arial" w:hAnsi="Arial" w:cs="Arial"/>
          <w:color w:val="000000" w:themeColor="text1"/>
          <w:sz w:val="22"/>
        </w:rPr>
        <w:lastRenderedPageBreak/>
        <w:t>Pública, cuya expedición compete al Congreso de la República, conforme al artículo 150 de la Constitución Política, y que en esta materia rige el principio de legalidad:</w:t>
      </w:r>
    </w:p>
    <w:p w14:paraId="798D634A" w14:textId="77777777" w:rsidR="00456F5A" w:rsidRPr="009C3A2B" w:rsidRDefault="00456F5A" w:rsidP="00456F5A">
      <w:pPr>
        <w:pStyle w:val="Sinespaciado"/>
        <w:tabs>
          <w:tab w:val="left" w:pos="1532"/>
        </w:tabs>
        <w:spacing w:line="276" w:lineRule="auto"/>
        <w:jc w:val="both"/>
        <w:rPr>
          <w:rFonts w:ascii="Arial" w:hAnsi="Arial" w:cs="Arial"/>
          <w:color w:val="000000" w:themeColor="text1"/>
          <w:sz w:val="22"/>
        </w:rPr>
      </w:pPr>
      <w:r w:rsidRPr="009C3A2B">
        <w:rPr>
          <w:rFonts w:ascii="Arial" w:hAnsi="Arial" w:cs="Arial"/>
          <w:color w:val="000000" w:themeColor="text1"/>
        </w:rPr>
        <w:tab/>
      </w:r>
    </w:p>
    <w:p w14:paraId="4026FA3B" w14:textId="77777777" w:rsidR="00456F5A" w:rsidRPr="009C3A2B" w:rsidRDefault="00456F5A" w:rsidP="00456F5A">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9C3A2B">
        <w:rPr>
          <w:rFonts w:ascii="Arial" w:hAnsi="Arial" w:cs="Arial"/>
          <w:color w:val="000000" w:themeColor="text1"/>
          <w:sz w:val="21"/>
          <w:szCs w:val="21"/>
        </w:rPr>
        <w:t>libertate</w:t>
      </w:r>
      <w:proofErr w:type="spellEnd"/>
      <w:r w:rsidRPr="009C3A2B">
        <w:rPr>
          <w:rFonts w:ascii="Arial" w:hAnsi="Arial" w:cs="Arial"/>
          <w:color w:val="000000" w:themeColor="text1"/>
          <w:sz w:val="21"/>
          <w:szCs w:val="21"/>
        </w:rPr>
        <w:t xml:space="preserve">, sino el de legalidad, el que ordena que la función pública debe someterse estrictamente a lo que disponga la Constitución y la ley (CP art. 6). </w:t>
      </w:r>
    </w:p>
    <w:p w14:paraId="325A7616" w14:textId="77777777" w:rsidR="00456F5A" w:rsidRPr="009C3A2B" w:rsidRDefault="00456F5A" w:rsidP="00456F5A">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 xml:space="preserve">[…] </w:t>
      </w:r>
    </w:p>
    <w:p w14:paraId="5370FCDD" w14:textId="77777777" w:rsidR="00456F5A" w:rsidRPr="009C3A2B" w:rsidRDefault="00456F5A" w:rsidP="00456F5A">
      <w:pPr>
        <w:ind w:left="709" w:right="709"/>
        <w:jc w:val="both"/>
        <w:rPr>
          <w:rFonts w:ascii="Arial" w:hAnsi="Arial" w:cs="Arial"/>
          <w:color w:val="000000" w:themeColor="text1"/>
          <w:sz w:val="21"/>
          <w:szCs w:val="21"/>
        </w:rPr>
      </w:pPr>
    </w:p>
    <w:p w14:paraId="30A18014" w14:textId="77777777" w:rsidR="00456F5A" w:rsidRPr="009C3A2B" w:rsidRDefault="00456F5A" w:rsidP="00456F5A">
      <w:pPr>
        <w:ind w:left="709" w:right="709"/>
        <w:jc w:val="both"/>
        <w:rPr>
          <w:rFonts w:ascii="Arial" w:hAnsi="Arial" w:cs="Arial"/>
          <w:color w:val="000000" w:themeColor="text1"/>
          <w:sz w:val="21"/>
          <w:szCs w:val="21"/>
        </w:rPr>
      </w:pPr>
      <w:r w:rsidRPr="009C3A2B">
        <w:rPr>
          <w:rFonts w:ascii="Arial" w:hAnsi="Arial" w:cs="Arial"/>
          <w:color w:val="000000" w:themeColor="text1"/>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9C3A2B">
        <w:rPr>
          <w:rStyle w:val="Refdenotaalpie"/>
          <w:rFonts w:ascii="Arial" w:hAnsi="Arial" w:cs="Arial"/>
          <w:color w:val="000000" w:themeColor="text1"/>
          <w:sz w:val="21"/>
          <w:szCs w:val="21"/>
        </w:rPr>
        <w:footnoteReference w:id="8"/>
      </w:r>
      <w:r w:rsidRPr="009C3A2B">
        <w:rPr>
          <w:rFonts w:ascii="Arial" w:hAnsi="Arial" w:cs="Arial"/>
          <w:color w:val="000000" w:themeColor="text1"/>
          <w:sz w:val="21"/>
          <w:szCs w:val="21"/>
        </w:rPr>
        <w:t>.</w:t>
      </w:r>
    </w:p>
    <w:p w14:paraId="3EBB5848" w14:textId="77777777" w:rsidR="00456F5A" w:rsidRPr="009C3A2B" w:rsidRDefault="00456F5A" w:rsidP="00456F5A">
      <w:pPr>
        <w:pStyle w:val="Sinespaciado"/>
        <w:spacing w:line="276" w:lineRule="auto"/>
        <w:jc w:val="both"/>
        <w:rPr>
          <w:rFonts w:ascii="Arial" w:hAnsi="Arial" w:cs="Arial"/>
          <w:color w:val="000000" w:themeColor="text1"/>
          <w:sz w:val="22"/>
          <w:lang w:val="es-ES"/>
        </w:rPr>
      </w:pPr>
    </w:p>
    <w:p w14:paraId="7E6C9EE5" w14:textId="338D3409" w:rsidR="00456F5A" w:rsidRPr="009C3A2B" w:rsidRDefault="00134726" w:rsidP="0041440E">
      <w:pPr>
        <w:spacing w:line="276" w:lineRule="auto"/>
        <w:ind w:firstLine="709"/>
        <w:jc w:val="both"/>
        <w:rPr>
          <w:rFonts w:ascii="Arial" w:eastAsia="Calibri" w:hAnsi="Arial" w:cs="Arial"/>
          <w:color w:val="000000" w:themeColor="text1"/>
          <w:sz w:val="22"/>
          <w:lang w:val="es-ES_tradnl"/>
        </w:rPr>
      </w:pPr>
      <w:r>
        <w:rPr>
          <w:rFonts w:ascii="Arial" w:hAnsi="Arial" w:cs="Arial"/>
          <w:color w:val="000000" w:themeColor="text1"/>
          <w:sz w:val="22"/>
        </w:rPr>
        <w:t>E</w:t>
      </w:r>
      <w:r w:rsidR="00456F5A" w:rsidRPr="009C3A2B">
        <w:rPr>
          <w:rFonts w:ascii="Arial" w:eastAsia="Calibri" w:hAnsi="Arial" w:cs="Arial"/>
          <w:color w:val="000000" w:themeColor="text1"/>
          <w:sz w:val="22"/>
          <w:lang w:val="es-ES_tradnl"/>
        </w:rPr>
        <w:t>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Bajo estas circunstancias, las entidades públicas no pueden establecer en el pliego de condiciones causales de inhabilidad no previstas en la Constitución o en la ley. En consecuencia, al tratarse de una materia que tiene reserva legal, no es posible que una entidad pública establezca nuevas causales que afecten la capacidad para contratar con el Estado, ni siquiera haciéndolas pasar como causa</w:t>
      </w:r>
      <w:r w:rsidR="00B24550">
        <w:rPr>
          <w:rFonts w:ascii="Arial" w:eastAsia="Calibri" w:hAnsi="Arial" w:cs="Arial"/>
          <w:color w:val="000000" w:themeColor="text1"/>
          <w:sz w:val="22"/>
          <w:lang w:val="es-ES_tradnl"/>
        </w:rPr>
        <w:t>les</w:t>
      </w:r>
      <w:r w:rsidR="00456F5A" w:rsidRPr="009C3A2B">
        <w:rPr>
          <w:rFonts w:ascii="Arial" w:eastAsia="Calibri" w:hAnsi="Arial" w:cs="Arial"/>
          <w:color w:val="000000" w:themeColor="text1"/>
          <w:sz w:val="22"/>
          <w:lang w:val="es-ES_tradnl"/>
        </w:rPr>
        <w:t xml:space="preserve"> para rechazar los ofrecimientos realizados a la entidad</w:t>
      </w:r>
      <w:bookmarkEnd w:id="7"/>
      <w:r w:rsidR="00456F5A" w:rsidRPr="009C3A2B">
        <w:rPr>
          <w:rFonts w:ascii="Arial" w:eastAsia="Calibri" w:hAnsi="Arial" w:cs="Arial"/>
          <w:color w:val="000000" w:themeColor="text1"/>
          <w:sz w:val="22"/>
          <w:lang w:val="es-ES_tradnl"/>
        </w:rPr>
        <w:t xml:space="preserve">. </w:t>
      </w:r>
    </w:p>
    <w:p w14:paraId="2C912C89" w14:textId="071DECAB" w:rsidR="00BF39AA" w:rsidRDefault="00BF39AA" w:rsidP="0041440E">
      <w:pPr>
        <w:spacing w:line="276" w:lineRule="auto"/>
        <w:jc w:val="both"/>
        <w:rPr>
          <w:rFonts w:ascii="Arial" w:eastAsia="Calibri" w:hAnsi="Arial" w:cs="Arial"/>
          <w:color w:val="000000" w:themeColor="text1"/>
          <w:sz w:val="22"/>
          <w:lang w:val="es-ES_tradnl"/>
        </w:rPr>
      </w:pPr>
    </w:p>
    <w:p w14:paraId="48A8AFF8" w14:textId="220D06AF" w:rsidR="00E542D7" w:rsidRPr="00E542D7" w:rsidRDefault="0079045C" w:rsidP="00E542D7">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2.</w:t>
      </w:r>
      <w:r w:rsidR="00662401">
        <w:rPr>
          <w:rFonts w:ascii="Arial" w:eastAsia="Calibri" w:hAnsi="Arial" w:cs="Arial"/>
          <w:b/>
          <w:bCs/>
          <w:color w:val="000000" w:themeColor="text1"/>
          <w:sz w:val="22"/>
          <w:lang w:val="es-ES_tradnl"/>
        </w:rPr>
        <w:t>3</w:t>
      </w:r>
      <w:r w:rsidRPr="0079045C">
        <w:rPr>
          <w:rFonts w:ascii="Arial" w:eastAsia="Calibri" w:hAnsi="Arial" w:cs="Arial"/>
          <w:b/>
          <w:bCs/>
          <w:color w:val="000000" w:themeColor="text1"/>
          <w:sz w:val="22"/>
          <w:lang w:val="es-ES_tradnl"/>
        </w:rPr>
        <w:t xml:space="preserve">. </w:t>
      </w:r>
      <w:r w:rsidR="00661945">
        <w:rPr>
          <w:rFonts w:ascii="Arial" w:eastAsia="Calibri" w:hAnsi="Arial" w:cs="Arial"/>
          <w:b/>
          <w:bCs/>
          <w:color w:val="000000" w:themeColor="text1"/>
          <w:sz w:val="22"/>
          <w:lang w:val="es-ES_tradnl"/>
        </w:rPr>
        <w:t>F</w:t>
      </w:r>
      <w:r w:rsidR="00661945" w:rsidRPr="00661945">
        <w:rPr>
          <w:rFonts w:ascii="Arial" w:eastAsia="Calibri" w:hAnsi="Arial" w:cs="Arial"/>
          <w:b/>
          <w:bCs/>
          <w:color w:val="000000" w:themeColor="text1"/>
          <w:sz w:val="22"/>
          <w:lang w:val="es-ES_tradnl"/>
        </w:rPr>
        <w:t>undamento</w:t>
      </w:r>
      <w:r w:rsidR="00E542D7">
        <w:rPr>
          <w:rFonts w:ascii="Arial" w:eastAsia="Calibri" w:hAnsi="Arial" w:cs="Arial"/>
          <w:b/>
          <w:bCs/>
          <w:color w:val="000000" w:themeColor="text1"/>
          <w:sz w:val="22"/>
          <w:lang w:val="es-ES_tradnl"/>
        </w:rPr>
        <w:t xml:space="preserve"> del S</w:t>
      </w:r>
      <w:proofErr w:type="spellStart"/>
      <w:r w:rsidR="00B83312" w:rsidRPr="00E542D7">
        <w:rPr>
          <w:rFonts w:ascii="Arial" w:eastAsia="Calibri" w:hAnsi="Arial" w:cs="Arial"/>
          <w:b/>
          <w:bCs/>
          <w:color w:val="000000" w:themeColor="text1"/>
          <w:sz w:val="22"/>
        </w:rPr>
        <w:t>istema</w:t>
      </w:r>
      <w:proofErr w:type="spellEnd"/>
      <w:r w:rsidR="00E542D7" w:rsidRPr="00E542D7">
        <w:rPr>
          <w:rFonts w:ascii="Arial" w:eastAsia="Calibri" w:hAnsi="Arial" w:cs="Arial"/>
          <w:b/>
          <w:bCs/>
          <w:color w:val="000000" w:themeColor="text1"/>
          <w:sz w:val="22"/>
        </w:rPr>
        <w:t xml:space="preserve"> de </w:t>
      </w:r>
      <w:r w:rsidR="00E542D7">
        <w:rPr>
          <w:rFonts w:ascii="Arial" w:eastAsia="Calibri" w:hAnsi="Arial" w:cs="Arial"/>
          <w:b/>
          <w:bCs/>
          <w:color w:val="000000" w:themeColor="text1"/>
          <w:sz w:val="22"/>
        </w:rPr>
        <w:t xml:space="preserve">Administración del Riesgo de Lavado de Activos y de la Financiación del Terrorismo </w:t>
      </w:r>
      <w:r w:rsidR="00661945">
        <w:rPr>
          <w:rFonts w:ascii="Arial" w:eastAsia="Calibri" w:hAnsi="Arial" w:cs="Arial"/>
          <w:b/>
          <w:bCs/>
          <w:color w:val="000000" w:themeColor="text1"/>
          <w:sz w:val="22"/>
        </w:rPr>
        <w:t>–</w:t>
      </w:r>
      <w:r w:rsidR="00E542D7">
        <w:rPr>
          <w:rFonts w:ascii="Arial" w:eastAsia="Calibri" w:hAnsi="Arial" w:cs="Arial"/>
          <w:b/>
          <w:bCs/>
          <w:color w:val="000000" w:themeColor="text1"/>
          <w:sz w:val="22"/>
        </w:rPr>
        <w:t>SARLAFT</w:t>
      </w:r>
      <w:r w:rsidR="00661945">
        <w:rPr>
          <w:rFonts w:ascii="Arial" w:eastAsia="Calibri" w:hAnsi="Arial" w:cs="Arial"/>
          <w:b/>
          <w:bCs/>
          <w:color w:val="000000" w:themeColor="text1"/>
          <w:sz w:val="22"/>
        </w:rPr>
        <w:t>–</w:t>
      </w:r>
    </w:p>
    <w:p w14:paraId="167BE72B" w14:textId="77777777" w:rsidR="00B83312" w:rsidRDefault="00B83312" w:rsidP="00E542D7">
      <w:pPr>
        <w:spacing w:line="276" w:lineRule="auto"/>
        <w:jc w:val="both"/>
        <w:rPr>
          <w:rFonts w:ascii="Arial" w:eastAsia="Calibri" w:hAnsi="Arial" w:cs="Arial"/>
          <w:color w:val="000000" w:themeColor="text1"/>
          <w:sz w:val="22"/>
          <w:lang w:val="es-CO"/>
        </w:rPr>
      </w:pPr>
    </w:p>
    <w:p w14:paraId="35406EC3" w14:textId="17ED167E" w:rsidR="007F5401" w:rsidRDefault="00E542D7" w:rsidP="000E0E3C">
      <w:pPr>
        <w:spacing w:after="120" w:line="276" w:lineRule="auto"/>
        <w:jc w:val="both"/>
        <w:rPr>
          <w:rFonts w:ascii="Arial" w:eastAsia="Calibri" w:hAnsi="Arial" w:cs="Arial"/>
          <w:color w:val="000000" w:themeColor="text1"/>
          <w:sz w:val="22"/>
          <w:lang w:val="es-CO"/>
        </w:rPr>
      </w:pPr>
      <w:r w:rsidRPr="00E542D7">
        <w:rPr>
          <w:rFonts w:ascii="Arial" w:eastAsia="Calibri" w:hAnsi="Arial" w:cs="Arial"/>
          <w:color w:val="000000" w:themeColor="text1"/>
          <w:sz w:val="22"/>
          <w:lang w:val="es-CO"/>
        </w:rPr>
        <w:t>La Ley 526 de 1999</w:t>
      </w:r>
      <w:r w:rsidR="00661945">
        <w:rPr>
          <w:rFonts w:ascii="Arial" w:eastAsia="Calibri" w:hAnsi="Arial" w:cs="Arial"/>
          <w:color w:val="000000" w:themeColor="text1"/>
          <w:sz w:val="22"/>
          <w:lang w:val="es-CO"/>
        </w:rPr>
        <w:t>,</w:t>
      </w:r>
      <w:r w:rsidRPr="00E542D7">
        <w:rPr>
          <w:rFonts w:ascii="Arial" w:eastAsia="Calibri" w:hAnsi="Arial" w:cs="Arial"/>
          <w:color w:val="000000" w:themeColor="text1"/>
          <w:sz w:val="22"/>
          <w:lang w:val="es-CO"/>
        </w:rPr>
        <w:t xml:space="preserve"> modificada por la</w:t>
      </w:r>
      <w:r w:rsidR="00661945">
        <w:rPr>
          <w:rFonts w:ascii="Arial" w:eastAsia="Calibri" w:hAnsi="Arial" w:cs="Arial"/>
          <w:color w:val="000000" w:themeColor="text1"/>
          <w:sz w:val="22"/>
          <w:lang w:val="es-CO"/>
        </w:rPr>
        <w:t>s</w:t>
      </w:r>
      <w:r w:rsidRPr="00E542D7">
        <w:rPr>
          <w:rFonts w:ascii="Arial" w:eastAsia="Calibri" w:hAnsi="Arial" w:cs="Arial"/>
          <w:color w:val="000000" w:themeColor="text1"/>
          <w:sz w:val="22"/>
          <w:lang w:val="es-CO"/>
        </w:rPr>
        <w:t xml:space="preserve"> Ley</w:t>
      </w:r>
      <w:r w:rsidR="00661945">
        <w:rPr>
          <w:rFonts w:ascii="Arial" w:eastAsia="Calibri" w:hAnsi="Arial" w:cs="Arial"/>
          <w:color w:val="000000" w:themeColor="text1"/>
          <w:sz w:val="22"/>
          <w:lang w:val="es-CO"/>
        </w:rPr>
        <w:t>es</w:t>
      </w:r>
      <w:r w:rsidRPr="00E542D7">
        <w:rPr>
          <w:rFonts w:ascii="Arial" w:eastAsia="Calibri" w:hAnsi="Arial" w:cs="Arial"/>
          <w:color w:val="000000" w:themeColor="text1"/>
          <w:sz w:val="22"/>
          <w:lang w:val="es-CO"/>
        </w:rPr>
        <w:t xml:space="preserve"> 1121 de 2006</w:t>
      </w:r>
      <w:r w:rsidR="00DD0E15">
        <w:rPr>
          <w:rFonts w:ascii="Arial" w:eastAsia="Calibri" w:hAnsi="Arial" w:cs="Arial"/>
          <w:color w:val="000000" w:themeColor="text1"/>
          <w:sz w:val="22"/>
          <w:lang w:val="es-CO"/>
        </w:rPr>
        <w:t>, 1621 de 2012</w:t>
      </w:r>
      <w:r w:rsidRPr="00E542D7">
        <w:rPr>
          <w:rFonts w:ascii="Arial" w:eastAsia="Calibri" w:hAnsi="Arial" w:cs="Arial"/>
          <w:color w:val="000000" w:themeColor="text1"/>
          <w:sz w:val="22"/>
          <w:lang w:val="es-CO"/>
        </w:rPr>
        <w:t xml:space="preserve"> y 1762 de 2015, creó la </w:t>
      </w:r>
      <w:bookmarkStart w:id="8" w:name="_Hlk56670371"/>
      <w:r w:rsidRPr="00E542D7">
        <w:rPr>
          <w:rFonts w:ascii="Arial" w:eastAsia="Calibri" w:hAnsi="Arial" w:cs="Arial"/>
          <w:color w:val="000000" w:themeColor="text1"/>
          <w:sz w:val="22"/>
          <w:lang w:val="es-CO"/>
        </w:rPr>
        <w:t>Unidad de Información y Análisis Financiero</w:t>
      </w:r>
      <w:bookmarkEnd w:id="8"/>
      <w:r w:rsidRPr="00E542D7">
        <w:rPr>
          <w:rFonts w:ascii="Arial" w:eastAsia="Calibri" w:hAnsi="Arial" w:cs="Arial"/>
          <w:color w:val="000000" w:themeColor="text1"/>
          <w:sz w:val="22"/>
          <w:lang w:val="es-CO"/>
        </w:rPr>
        <w:t xml:space="preserve"> </w:t>
      </w:r>
      <w:r w:rsidR="00DD0E15">
        <w:rPr>
          <w:rFonts w:ascii="Arial" w:eastAsia="Calibri" w:hAnsi="Arial" w:cs="Arial"/>
          <w:color w:val="000000" w:themeColor="text1"/>
          <w:sz w:val="22"/>
          <w:lang w:val="es-CO"/>
        </w:rPr>
        <w:t>–</w:t>
      </w:r>
      <w:r w:rsidRPr="00E542D7">
        <w:rPr>
          <w:rFonts w:ascii="Arial" w:eastAsia="Calibri" w:hAnsi="Arial" w:cs="Arial"/>
          <w:color w:val="000000" w:themeColor="text1"/>
          <w:sz w:val="22"/>
          <w:lang w:val="es-CO"/>
        </w:rPr>
        <w:t>UIAF</w:t>
      </w:r>
      <w:r w:rsidR="00DD0E15">
        <w:rPr>
          <w:rFonts w:ascii="Arial" w:eastAsia="Calibri" w:hAnsi="Arial" w:cs="Arial"/>
          <w:color w:val="000000" w:themeColor="text1"/>
          <w:sz w:val="22"/>
          <w:lang w:val="es-CO"/>
        </w:rPr>
        <w:t>–</w:t>
      </w:r>
      <w:r w:rsidRPr="00E542D7">
        <w:rPr>
          <w:rFonts w:ascii="Arial" w:eastAsia="Calibri" w:hAnsi="Arial" w:cs="Arial"/>
          <w:color w:val="000000" w:themeColor="text1"/>
          <w:sz w:val="22"/>
          <w:lang w:val="es-CO"/>
        </w:rPr>
        <w:t xml:space="preserve"> adscrita al Ministerio de Hacienda y Crédito Público</w:t>
      </w:r>
      <w:r w:rsidR="00DD0E15">
        <w:rPr>
          <w:rFonts w:ascii="Arial" w:eastAsia="Calibri" w:hAnsi="Arial" w:cs="Arial"/>
          <w:color w:val="000000" w:themeColor="text1"/>
          <w:sz w:val="22"/>
          <w:lang w:val="es-CO"/>
        </w:rPr>
        <w:t xml:space="preserve">, con el propósito </w:t>
      </w:r>
      <w:r w:rsidR="00DD0E15" w:rsidRPr="00DD0E15">
        <w:rPr>
          <w:rFonts w:ascii="Arial" w:eastAsia="Calibri" w:hAnsi="Arial" w:cs="Arial"/>
          <w:color w:val="000000" w:themeColor="text1"/>
          <w:sz w:val="22"/>
          <w:lang w:val="es-CO"/>
        </w:rPr>
        <w:t>detectar prácticas asociadas con el lavado de activos, financiación del terrorismo y las conductas relacionadas con la defraudación en materia aduanera</w:t>
      </w:r>
      <w:r w:rsidR="00DD0E15">
        <w:rPr>
          <w:rFonts w:ascii="Arial" w:eastAsia="Calibri" w:hAnsi="Arial" w:cs="Arial"/>
          <w:color w:val="000000" w:themeColor="text1"/>
          <w:sz w:val="22"/>
          <w:lang w:val="es-CO"/>
        </w:rPr>
        <w:t>.</w:t>
      </w:r>
      <w:r w:rsidRPr="00E542D7">
        <w:rPr>
          <w:rFonts w:ascii="Arial" w:eastAsia="Calibri" w:hAnsi="Arial" w:cs="Arial"/>
          <w:color w:val="000000" w:themeColor="text1"/>
          <w:sz w:val="22"/>
          <w:lang w:val="es-CO"/>
        </w:rPr>
        <w:t xml:space="preserve"> </w:t>
      </w:r>
      <w:r w:rsidR="007F5401">
        <w:rPr>
          <w:rFonts w:ascii="Arial" w:eastAsia="Calibri" w:hAnsi="Arial" w:cs="Arial"/>
          <w:color w:val="000000" w:themeColor="text1"/>
          <w:sz w:val="22"/>
          <w:lang w:val="es-CO"/>
        </w:rPr>
        <w:t>Adicionalmente</w:t>
      </w:r>
      <w:r w:rsidRPr="00E542D7">
        <w:rPr>
          <w:rFonts w:ascii="Arial" w:eastAsia="Calibri" w:hAnsi="Arial" w:cs="Arial"/>
          <w:color w:val="000000" w:themeColor="text1"/>
          <w:sz w:val="22"/>
          <w:lang w:val="es-CO"/>
        </w:rPr>
        <w:t>, el</w:t>
      </w:r>
      <w:r w:rsidR="00BF125B">
        <w:rPr>
          <w:rFonts w:ascii="Arial" w:eastAsia="Calibri" w:hAnsi="Arial" w:cs="Arial"/>
          <w:color w:val="000000" w:themeColor="text1"/>
          <w:sz w:val="22"/>
          <w:lang w:val="es-CO"/>
        </w:rPr>
        <w:t xml:space="preserve"> artículo 2 del</w:t>
      </w:r>
      <w:r w:rsidRPr="00E542D7">
        <w:rPr>
          <w:rFonts w:ascii="Arial" w:eastAsia="Calibri" w:hAnsi="Arial" w:cs="Arial"/>
          <w:color w:val="000000" w:themeColor="text1"/>
          <w:sz w:val="22"/>
          <w:lang w:val="es-CO"/>
        </w:rPr>
        <w:t xml:space="preserve"> Decreto 1497 de 2002, actualmente compilado en el Decreto Único Reglamentario 1068 de 2015 del sector Hacienda y Crédito Público</w:t>
      </w:r>
      <w:r w:rsidR="00DD0E15">
        <w:rPr>
          <w:rFonts w:ascii="Arial" w:eastAsia="Calibri" w:hAnsi="Arial" w:cs="Arial"/>
          <w:color w:val="000000" w:themeColor="text1"/>
          <w:sz w:val="22"/>
          <w:lang w:val="es-CO"/>
        </w:rPr>
        <w:t>,</w:t>
      </w:r>
      <w:r w:rsidRPr="00E542D7">
        <w:rPr>
          <w:rFonts w:ascii="Arial" w:eastAsia="Calibri" w:hAnsi="Arial" w:cs="Arial"/>
          <w:color w:val="000000" w:themeColor="text1"/>
          <w:sz w:val="22"/>
          <w:lang w:val="es-CO"/>
        </w:rPr>
        <w:t xml:space="preserve"> dispuso que las entidades públicas y privadas</w:t>
      </w:r>
      <w:r w:rsidR="00BF125B">
        <w:rPr>
          <w:rFonts w:ascii="Arial" w:eastAsia="Calibri" w:hAnsi="Arial" w:cs="Arial"/>
          <w:color w:val="000000" w:themeColor="text1"/>
          <w:sz w:val="22"/>
          <w:lang w:val="es-CO"/>
        </w:rPr>
        <w:t>, incluso, las</w:t>
      </w:r>
      <w:r w:rsidRPr="00E542D7">
        <w:rPr>
          <w:rFonts w:ascii="Arial" w:eastAsia="Calibri" w:hAnsi="Arial" w:cs="Arial"/>
          <w:color w:val="000000" w:themeColor="text1"/>
          <w:sz w:val="22"/>
          <w:lang w:val="es-CO"/>
        </w:rPr>
        <w:t xml:space="preserve"> pertenecientes a </w:t>
      </w:r>
      <w:r w:rsidRPr="00E542D7">
        <w:rPr>
          <w:rFonts w:ascii="Arial" w:eastAsia="Calibri" w:hAnsi="Arial" w:cs="Arial"/>
          <w:color w:val="000000" w:themeColor="text1"/>
          <w:sz w:val="22"/>
          <w:lang w:val="es-CO"/>
        </w:rPr>
        <w:lastRenderedPageBreak/>
        <w:t xml:space="preserve">sectores diferentes al financiero, asegurador y bursátil, están obligadas </w:t>
      </w:r>
      <w:r w:rsidR="007F5401">
        <w:rPr>
          <w:rFonts w:ascii="Arial" w:eastAsia="Calibri" w:hAnsi="Arial" w:cs="Arial"/>
          <w:color w:val="000000" w:themeColor="text1"/>
          <w:sz w:val="22"/>
          <w:lang w:val="es-CO"/>
        </w:rPr>
        <w:t>reportar</w:t>
      </w:r>
      <w:r w:rsidRPr="00E542D7">
        <w:rPr>
          <w:rFonts w:ascii="Arial" w:eastAsia="Calibri" w:hAnsi="Arial" w:cs="Arial"/>
          <w:color w:val="000000" w:themeColor="text1"/>
          <w:sz w:val="22"/>
          <w:lang w:val="es-CO"/>
        </w:rPr>
        <w:t xml:space="preserve"> </w:t>
      </w:r>
      <w:r w:rsidR="007F5401">
        <w:rPr>
          <w:rFonts w:ascii="Arial" w:eastAsia="Calibri" w:hAnsi="Arial" w:cs="Arial"/>
          <w:color w:val="000000" w:themeColor="text1"/>
          <w:sz w:val="22"/>
          <w:lang w:val="es-CO"/>
        </w:rPr>
        <w:t>o</w:t>
      </w:r>
      <w:r w:rsidRPr="00E542D7">
        <w:rPr>
          <w:rFonts w:ascii="Arial" w:eastAsia="Calibri" w:hAnsi="Arial" w:cs="Arial"/>
          <w:color w:val="000000" w:themeColor="text1"/>
          <w:sz w:val="22"/>
          <w:lang w:val="es-CO"/>
        </w:rPr>
        <w:t xml:space="preserve">peraciones </w:t>
      </w:r>
      <w:r w:rsidR="007F5401">
        <w:rPr>
          <w:rFonts w:ascii="Arial" w:eastAsia="Calibri" w:hAnsi="Arial" w:cs="Arial"/>
          <w:color w:val="000000" w:themeColor="text1"/>
          <w:sz w:val="22"/>
          <w:lang w:val="es-CO"/>
        </w:rPr>
        <w:t>s</w:t>
      </w:r>
      <w:r w:rsidRPr="00E542D7">
        <w:rPr>
          <w:rFonts w:ascii="Arial" w:eastAsia="Calibri" w:hAnsi="Arial" w:cs="Arial"/>
          <w:color w:val="000000" w:themeColor="text1"/>
          <w:sz w:val="22"/>
          <w:lang w:val="es-CO"/>
        </w:rPr>
        <w:t>ospechosas a la UIAF</w:t>
      </w:r>
      <w:r w:rsidR="00DD0E15">
        <w:rPr>
          <w:rFonts w:ascii="Arial" w:eastAsia="Calibri" w:hAnsi="Arial" w:cs="Arial"/>
          <w:color w:val="000000" w:themeColor="text1"/>
          <w:sz w:val="22"/>
          <w:lang w:val="es-CO"/>
        </w:rPr>
        <w:t>.</w:t>
      </w:r>
      <w:r w:rsidRPr="00E542D7">
        <w:rPr>
          <w:rFonts w:ascii="Arial" w:eastAsia="Calibri" w:hAnsi="Arial" w:cs="Arial"/>
          <w:color w:val="000000" w:themeColor="text1"/>
          <w:sz w:val="22"/>
          <w:lang w:val="es-CO"/>
        </w:rPr>
        <w:t xml:space="preserve"> </w:t>
      </w:r>
    </w:p>
    <w:p w14:paraId="6836AB30" w14:textId="2569FF20" w:rsidR="0079045C" w:rsidRPr="00380D19" w:rsidRDefault="0058529F" w:rsidP="0041440E">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En lo que se refiere a las normas del sector objeto de la consulta</w:t>
      </w:r>
      <w:r w:rsidR="00E542D7" w:rsidRPr="00E542D7">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los artículo</w:t>
      </w:r>
      <w:r w:rsidR="004E38C0">
        <w:rPr>
          <w:rFonts w:ascii="Arial" w:eastAsia="Calibri" w:hAnsi="Arial" w:cs="Arial"/>
          <w:color w:val="000000" w:themeColor="text1"/>
          <w:sz w:val="22"/>
          <w:lang w:val="es-CO"/>
        </w:rPr>
        <w:t>s</w:t>
      </w:r>
      <w:r>
        <w:rPr>
          <w:rFonts w:ascii="Arial" w:eastAsia="Calibri" w:hAnsi="Arial" w:cs="Arial"/>
          <w:color w:val="000000" w:themeColor="text1"/>
          <w:sz w:val="22"/>
          <w:lang w:val="es-CO"/>
        </w:rPr>
        <w:t xml:space="preserve"> 118 y siguientes de </w:t>
      </w:r>
      <w:r w:rsidR="00E542D7" w:rsidRPr="00E542D7">
        <w:rPr>
          <w:rFonts w:ascii="Arial" w:eastAsia="Calibri" w:hAnsi="Arial" w:cs="Arial"/>
          <w:color w:val="000000" w:themeColor="text1"/>
          <w:sz w:val="22"/>
          <w:lang w:val="es-CO"/>
        </w:rPr>
        <w:t>la Ley 1438 de 2011</w:t>
      </w:r>
      <w:r>
        <w:rPr>
          <w:rFonts w:ascii="Arial" w:eastAsia="Calibri" w:hAnsi="Arial" w:cs="Arial"/>
          <w:color w:val="000000" w:themeColor="text1"/>
          <w:sz w:val="22"/>
          <w:lang w:val="es-CO"/>
        </w:rPr>
        <w:t xml:space="preserve"> </w:t>
      </w:r>
      <w:r w:rsidR="00E542D7" w:rsidRPr="00E542D7">
        <w:rPr>
          <w:rFonts w:ascii="Arial" w:eastAsia="Calibri" w:hAnsi="Arial" w:cs="Arial"/>
          <w:color w:val="000000" w:themeColor="text1"/>
          <w:sz w:val="22"/>
          <w:lang w:val="es-CO"/>
        </w:rPr>
        <w:t>determin</w:t>
      </w:r>
      <w:r w:rsidR="00EB3D90">
        <w:rPr>
          <w:rFonts w:ascii="Arial" w:eastAsia="Calibri" w:hAnsi="Arial" w:cs="Arial"/>
          <w:color w:val="000000" w:themeColor="text1"/>
          <w:sz w:val="22"/>
          <w:lang w:val="es-CO"/>
        </w:rPr>
        <w:t>aron</w:t>
      </w:r>
      <w:r w:rsidR="00E542D7" w:rsidRPr="00E542D7">
        <w:rPr>
          <w:rFonts w:ascii="Arial" w:eastAsia="Calibri" w:hAnsi="Arial" w:cs="Arial"/>
          <w:color w:val="000000" w:themeColor="text1"/>
          <w:sz w:val="22"/>
          <w:lang w:val="es-CO"/>
        </w:rPr>
        <w:t xml:space="preserve"> el alcance de la</w:t>
      </w:r>
      <w:r>
        <w:rPr>
          <w:rFonts w:ascii="Arial" w:eastAsia="Calibri" w:hAnsi="Arial" w:cs="Arial"/>
          <w:color w:val="000000" w:themeColor="text1"/>
          <w:sz w:val="22"/>
          <w:lang w:val="es-CO"/>
        </w:rPr>
        <w:t xml:space="preserve"> función de</w:t>
      </w:r>
      <w:r w:rsidR="00E542D7" w:rsidRPr="00E542D7">
        <w:rPr>
          <w:rFonts w:ascii="Arial" w:eastAsia="Calibri" w:hAnsi="Arial" w:cs="Arial"/>
          <w:color w:val="000000" w:themeColor="text1"/>
          <w:sz w:val="22"/>
          <w:lang w:val="es-CO"/>
        </w:rPr>
        <w:t xml:space="preserve"> </w:t>
      </w:r>
      <w:r w:rsidRPr="00E542D7">
        <w:rPr>
          <w:rFonts w:ascii="Arial" w:eastAsia="Calibri" w:hAnsi="Arial" w:cs="Arial"/>
          <w:color w:val="000000" w:themeColor="text1"/>
          <w:sz w:val="22"/>
          <w:lang w:val="es-CO"/>
        </w:rPr>
        <w:t>inspección, vigilancia y control</w:t>
      </w:r>
      <w:r w:rsidR="00E542D7" w:rsidRPr="00E542D7">
        <w:rPr>
          <w:rFonts w:ascii="Arial" w:eastAsia="Calibri" w:hAnsi="Arial" w:cs="Arial"/>
          <w:color w:val="000000" w:themeColor="text1"/>
          <w:sz w:val="22"/>
          <w:lang w:val="es-CO"/>
        </w:rPr>
        <w:t xml:space="preserve"> de la Superintendencia Nacional de Salud sobre los sujetos vigilados y la forma en que se fortalece </w:t>
      </w:r>
      <w:r>
        <w:rPr>
          <w:rFonts w:ascii="Arial" w:eastAsia="Calibri" w:hAnsi="Arial" w:cs="Arial"/>
          <w:color w:val="000000" w:themeColor="text1"/>
          <w:sz w:val="22"/>
          <w:lang w:val="es-CO"/>
        </w:rPr>
        <w:t>el cumplimiento de estas actividades.</w:t>
      </w:r>
      <w:r w:rsidR="00E542D7" w:rsidRPr="00E542D7">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Además</w:t>
      </w:r>
      <w:r w:rsidR="00E542D7" w:rsidRPr="00E542D7">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el artículo 12 de</w:t>
      </w:r>
      <w:r w:rsidR="00E542D7" w:rsidRPr="00E542D7">
        <w:rPr>
          <w:rFonts w:ascii="Arial" w:eastAsia="Calibri" w:hAnsi="Arial" w:cs="Arial"/>
          <w:color w:val="000000" w:themeColor="text1"/>
          <w:sz w:val="22"/>
          <w:lang w:val="es-CO"/>
        </w:rPr>
        <w:t xml:space="preserve"> la Ley 1474 de 2011 </w:t>
      </w:r>
      <w:r>
        <w:rPr>
          <w:rFonts w:ascii="Arial" w:eastAsia="Calibri" w:hAnsi="Arial" w:cs="Arial"/>
          <w:color w:val="000000" w:themeColor="text1"/>
          <w:sz w:val="22"/>
          <w:lang w:val="es-CO"/>
        </w:rPr>
        <w:t xml:space="preserve">crea </w:t>
      </w:r>
      <w:r w:rsidR="00E542D7" w:rsidRPr="00E542D7">
        <w:rPr>
          <w:rFonts w:ascii="Arial" w:eastAsia="Calibri" w:hAnsi="Arial" w:cs="Arial"/>
          <w:color w:val="000000" w:themeColor="text1"/>
          <w:sz w:val="22"/>
          <w:lang w:val="es-CO"/>
        </w:rPr>
        <w:t>el Sistema Preventivo de Prácticas Riesgosas Financieras y de Atención en Salud del Sistema General de Seguridad Social en Salud</w:t>
      </w:r>
      <w:r>
        <w:rPr>
          <w:rFonts w:ascii="Arial" w:eastAsia="Calibri" w:hAnsi="Arial" w:cs="Arial"/>
          <w:color w:val="000000" w:themeColor="text1"/>
          <w:sz w:val="22"/>
          <w:lang w:val="es-CO"/>
        </w:rPr>
        <w:t>,</w:t>
      </w:r>
      <w:r w:rsidR="009A7079">
        <w:rPr>
          <w:rFonts w:ascii="Arial" w:eastAsia="Calibri" w:hAnsi="Arial" w:cs="Arial"/>
          <w:color w:val="000000" w:themeColor="text1"/>
          <w:sz w:val="22"/>
          <w:lang w:val="es-CO"/>
        </w:rPr>
        <w:t xml:space="preserve"> por lo</w:t>
      </w:r>
      <w:r w:rsidR="00E542D7" w:rsidRPr="00E542D7">
        <w:rPr>
          <w:rFonts w:ascii="Arial" w:eastAsia="Calibri" w:hAnsi="Arial" w:cs="Arial"/>
          <w:color w:val="000000" w:themeColor="text1"/>
          <w:sz w:val="22"/>
          <w:lang w:val="es-CO"/>
        </w:rPr>
        <w:t xml:space="preserve"> que</w:t>
      </w:r>
      <w:r w:rsidR="009A7079">
        <w:rPr>
          <w:rFonts w:ascii="Arial" w:eastAsia="Calibri" w:hAnsi="Arial" w:cs="Arial"/>
          <w:color w:val="000000" w:themeColor="text1"/>
          <w:sz w:val="22"/>
          <w:lang w:val="es-CO"/>
        </w:rPr>
        <w:t xml:space="preserve"> dispone que</w:t>
      </w:r>
      <w:r w:rsidR="00E542D7" w:rsidRPr="00E542D7">
        <w:rPr>
          <w:rFonts w:ascii="Arial" w:eastAsia="Calibri" w:hAnsi="Arial" w:cs="Arial"/>
          <w:color w:val="000000" w:themeColor="text1"/>
          <w:sz w:val="22"/>
          <w:lang w:val="es-CO"/>
        </w:rPr>
        <w:t xml:space="preserve"> la</w:t>
      </w:r>
      <w:r w:rsidR="009A7079">
        <w:rPr>
          <w:rFonts w:ascii="Arial" w:eastAsia="Calibri" w:hAnsi="Arial" w:cs="Arial"/>
          <w:color w:val="000000" w:themeColor="text1"/>
          <w:sz w:val="22"/>
          <w:lang w:val="es-CO"/>
        </w:rPr>
        <w:t xml:space="preserve"> </w:t>
      </w:r>
      <w:r w:rsidR="009A7079" w:rsidRPr="00E542D7">
        <w:rPr>
          <w:rFonts w:ascii="Arial" w:eastAsia="Calibri" w:hAnsi="Arial" w:cs="Arial"/>
          <w:color w:val="000000" w:themeColor="text1"/>
          <w:sz w:val="22"/>
          <w:lang w:val="es-CO"/>
        </w:rPr>
        <w:t>Superintendencia Nacional de Salud</w:t>
      </w:r>
      <w:r w:rsidR="00E542D7" w:rsidRPr="00E542D7">
        <w:rPr>
          <w:rFonts w:ascii="Arial" w:eastAsia="Calibri" w:hAnsi="Arial" w:cs="Arial"/>
          <w:color w:val="000000" w:themeColor="text1"/>
          <w:sz w:val="22"/>
          <w:lang w:val="es-CO"/>
        </w:rPr>
        <w:t xml:space="preserve"> debe definir para sus sujetos vigilados las medidas preventivas para su control, así como los indicadores de alerta temprana, incluyendo indicadores que permitan la identificación, prevención y reporte de eventos sospechosos de corrupción y fraude en el </w:t>
      </w:r>
      <w:r w:rsidR="009A7079" w:rsidRPr="009A7079">
        <w:rPr>
          <w:rFonts w:ascii="Arial" w:eastAsia="Calibri" w:hAnsi="Arial" w:cs="Arial"/>
          <w:color w:val="000000" w:themeColor="text1"/>
          <w:sz w:val="22"/>
          <w:lang w:val="es-CO"/>
        </w:rPr>
        <w:t>Sistema General de Seguridad Social en Salud</w:t>
      </w:r>
      <w:r w:rsidR="00E542D7" w:rsidRPr="00E542D7">
        <w:rPr>
          <w:rFonts w:ascii="Arial" w:eastAsia="Calibri" w:hAnsi="Arial" w:cs="Arial"/>
          <w:color w:val="000000" w:themeColor="text1"/>
          <w:sz w:val="22"/>
          <w:lang w:val="es-CO"/>
        </w:rPr>
        <w:t>, y, que de no cumplirse ser</w:t>
      </w:r>
      <w:r w:rsidR="009A7079">
        <w:rPr>
          <w:rFonts w:ascii="Arial" w:eastAsia="Calibri" w:hAnsi="Arial" w:cs="Arial"/>
          <w:color w:val="000000" w:themeColor="text1"/>
          <w:sz w:val="22"/>
          <w:lang w:val="es-CO"/>
        </w:rPr>
        <w:t>á</w:t>
      </w:r>
      <w:r w:rsidR="00E542D7" w:rsidRPr="00E542D7">
        <w:rPr>
          <w:rFonts w:ascii="Arial" w:eastAsia="Calibri" w:hAnsi="Arial" w:cs="Arial"/>
          <w:color w:val="000000" w:themeColor="text1"/>
          <w:sz w:val="22"/>
          <w:lang w:val="es-CO"/>
        </w:rPr>
        <w:t xml:space="preserve"> sancionado conforme al artículo 131 de la Ley 1438 de 2011</w:t>
      </w:r>
      <w:r w:rsidR="009A7079">
        <w:rPr>
          <w:rFonts w:ascii="Arial" w:eastAsia="Calibri" w:hAnsi="Arial" w:cs="Arial"/>
          <w:color w:val="000000" w:themeColor="text1"/>
          <w:sz w:val="22"/>
          <w:lang w:val="es-CO"/>
        </w:rPr>
        <w:t xml:space="preserve">. Conforme al marco general y específico anteriormente relacionado, esto significa </w:t>
      </w:r>
      <w:r w:rsidR="00E542D7" w:rsidRPr="00E542D7">
        <w:rPr>
          <w:rFonts w:ascii="Arial" w:eastAsia="Calibri" w:hAnsi="Arial" w:cs="Arial"/>
          <w:color w:val="000000" w:themeColor="text1"/>
          <w:sz w:val="22"/>
          <w:lang w:val="es-CO"/>
        </w:rPr>
        <w:t>que las entidades vigiladas del sector salud tienen que implementar</w:t>
      </w:r>
      <w:r w:rsidR="009A7079">
        <w:rPr>
          <w:rFonts w:ascii="Arial" w:eastAsia="Calibri" w:hAnsi="Arial" w:cs="Arial"/>
          <w:color w:val="000000" w:themeColor="text1"/>
          <w:sz w:val="22"/>
          <w:lang w:val="es-CO"/>
        </w:rPr>
        <w:t xml:space="preserve"> medidas para</w:t>
      </w:r>
      <w:r w:rsidR="00E542D7" w:rsidRPr="00E542D7">
        <w:rPr>
          <w:rFonts w:ascii="Arial" w:eastAsia="Calibri" w:hAnsi="Arial" w:cs="Arial"/>
          <w:color w:val="000000" w:themeColor="text1"/>
          <w:sz w:val="22"/>
          <w:lang w:val="es-CO"/>
        </w:rPr>
        <w:t xml:space="preserve"> administrar el riesgo de </w:t>
      </w:r>
      <w:r w:rsidR="009A7079" w:rsidRPr="00E542D7">
        <w:rPr>
          <w:rFonts w:ascii="Arial" w:eastAsia="Calibri" w:hAnsi="Arial" w:cs="Arial"/>
          <w:color w:val="000000" w:themeColor="text1"/>
          <w:sz w:val="22"/>
          <w:lang w:val="es-CO"/>
        </w:rPr>
        <w:t>lavado de activos y financiación del terrorismo</w:t>
      </w:r>
      <w:r w:rsidR="00E542D7" w:rsidRPr="00E542D7">
        <w:rPr>
          <w:rFonts w:ascii="Arial" w:eastAsia="Calibri" w:hAnsi="Arial" w:cs="Arial"/>
          <w:color w:val="000000" w:themeColor="text1"/>
          <w:sz w:val="22"/>
          <w:lang w:val="es-CO"/>
        </w:rPr>
        <w:t>.</w:t>
      </w:r>
    </w:p>
    <w:p w14:paraId="5BE65AA2" w14:textId="1B174AC1" w:rsidR="00B70393" w:rsidRDefault="00380D19" w:rsidP="000E0E3C">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Por lo anterior, l</w:t>
      </w:r>
      <w:r w:rsidRPr="00380D19">
        <w:rPr>
          <w:rFonts w:ascii="Arial" w:eastAsia="Calibri" w:hAnsi="Arial" w:cs="Arial"/>
          <w:color w:val="000000" w:themeColor="text1"/>
          <w:sz w:val="22"/>
          <w:lang w:val="es-CO"/>
        </w:rPr>
        <w:t>a S</w:t>
      </w:r>
      <w:r>
        <w:rPr>
          <w:rFonts w:ascii="Arial" w:eastAsia="Calibri" w:hAnsi="Arial" w:cs="Arial"/>
          <w:color w:val="000000" w:themeColor="text1"/>
          <w:sz w:val="22"/>
          <w:lang w:val="es-CO"/>
        </w:rPr>
        <w:t xml:space="preserve">uperintendencia </w:t>
      </w:r>
      <w:r w:rsidRPr="00380D19">
        <w:rPr>
          <w:rFonts w:ascii="Arial" w:eastAsia="Calibri" w:hAnsi="Arial" w:cs="Arial"/>
          <w:color w:val="000000" w:themeColor="text1"/>
          <w:sz w:val="22"/>
          <w:lang w:val="es-CO"/>
        </w:rPr>
        <w:t>N</w:t>
      </w:r>
      <w:r>
        <w:rPr>
          <w:rFonts w:ascii="Arial" w:eastAsia="Calibri" w:hAnsi="Arial" w:cs="Arial"/>
          <w:color w:val="000000" w:themeColor="text1"/>
          <w:sz w:val="22"/>
          <w:lang w:val="es-CO"/>
        </w:rPr>
        <w:t xml:space="preserve">acional de </w:t>
      </w:r>
      <w:r w:rsidRPr="00380D19">
        <w:rPr>
          <w:rFonts w:ascii="Arial" w:eastAsia="Calibri" w:hAnsi="Arial" w:cs="Arial"/>
          <w:color w:val="000000" w:themeColor="text1"/>
          <w:sz w:val="22"/>
          <w:lang w:val="es-CO"/>
        </w:rPr>
        <w:t>S</w:t>
      </w:r>
      <w:r>
        <w:rPr>
          <w:rFonts w:ascii="Arial" w:eastAsia="Calibri" w:hAnsi="Arial" w:cs="Arial"/>
          <w:color w:val="000000" w:themeColor="text1"/>
          <w:sz w:val="22"/>
          <w:lang w:val="es-CO"/>
        </w:rPr>
        <w:t>alud</w:t>
      </w:r>
      <w:r w:rsidRPr="00380D19">
        <w:rPr>
          <w:rFonts w:ascii="Arial" w:eastAsia="Calibri" w:hAnsi="Arial" w:cs="Arial"/>
          <w:color w:val="000000" w:themeColor="text1"/>
          <w:sz w:val="22"/>
          <w:lang w:val="es-CO"/>
        </w:rPr>
        <w:t xml:space="preserve"> expidió la Circular Externa </w:t>
      </w:r>
      <w:r w:rsidR="009A7079">
        <w:rPr>
          <w:rFonts w:ascii="Arial" w:eastAsia="Calibri" w:hAnsi="Arial" w:cs="Arial"/>
          <w:color w:val="000000" w:themeColor="text1"/>
          <w:sz w:val="22"/>
          <w:lang w:val="es-CO"/>
        </w:rPr>
        <w:t>No.</w:t>
      </w:r>
      <w:r w:rsidRPr="00380D19">
        <w:rPr>
          <w:rFonts w:ascii="Arial" w:eastAsia="Calibri" w:hAnsi="Arial" w:cs="Arial"/>
          <w:color w:val="000000" w:themeColor="text1"/>
          <w:sz w:val="22"/>
          <w:lang w:val="es-CO"/>
        </w:rPr>
        <w:t xml:space="preserve"> 09 de 2016, </w:t>
      </w:r>
      <w:r w:rsidR="007F6987">
        <w:rPr>
          <w:rFonts w:ascii="Arial" w:eastAsia="Calibri" w:hAnsi="Arial" w:cs="Arial"/>
          <w:color w:val="000000" w:themeColor="text1"/>
          <w:sz w:val="22"/>
          <w:lang w:val="es-CO"/>
        </w:rPr>
        <w:t xml:space="preserve">definiendo </w:t>
      </w:r>
      <w:r w:rsidRPr="00380D19">
        <w:rPr>
          <w:rFonts w:ascii="Arial" w:eastAsia="Calibri" w:hAnsi="Arial" w:cs="Arial"/>
          <w:color w:val="000000" w:themeColor="text1"/>
          <w:sz w:val="22"/>
          <w:lang w:val="es-CO"/>
        </w:rPr>
        <w:t>los criterios, directrices y parámetros mínimos que deben tener en cuenta los agentes del S</w:t>
      </w:r>
      <w:r>
        <w:rPr>
          <w:rFonts w:ascii="Arial" w:eastAsia="Calibri" w:hAnsi="Arial" w:cs="Arial"/>
          <w:color w:val="000000" w:themeColor="text1"/>
          <w:sz w:val="22"/>
          <w:lang w:val="es-CO"/>
        </w:rPr>
        <w:t xml:space="preserve">istema </w:t>
      </w:r>
      <w:r w:rsidRPr="00380D19">
        <w:rPr>
          <w:rFonts w:ascii="Arial" w:eastAsia="Calibri" w:hAnsi="Arial" w:cs="Arial"/>
          <w:color w:val="000000" w:themeColor="text1"/>
          <w:sz w:val="22"/>
          <w:lang w:val="es-CO"/>
        </w:rPr>
        <w:t>G</w:t>
      </w:r>
      <w:r>
        <w:rPr>
          <w:rFonts w:ascii="Arial" w:eastAsia="Calibri" w:hAnsi="Arial" w:cs="Arial"/>
          <w:color w:val="000000" w:themeColor="text1"/>
          <w:sz w:val="22"/>
          <w:lang w:val="es-CO"/>
        </w:rPr>
        <w:t xml:space="preserve">eneral de </w:t>
      </w:r>
      <w:r w:rsidRPr="00380D19">
        <w:rPr>
          <w:rFonts w:ascii="Arial" w:eastAsia="Calibri" w:hAnsi="Arial" w:cs="Arial"/>
          <w:color w:val="000000" w:themeColor="text1"/>
          <w:sz w:val="22"/>
          <w:lang w:val="es-CO"/>
        </w:rPr>
        <w:t>S</w:t>
      </w:r>
      <w:r>
        <w:rPr>
          <w:rFonts w:ascii="Arial" w:eastAsia="Calibri" w:hAnsi="Arial" w:cs="Arial"/>
          <w:color w:val="000000" w:themeColor="text1"/>
          <w:sz w:val="22"/>
          <w:lang w:val="es-CO"/>
        </w:rPr>
        <w:t xml:space="preserve">eguridad </w:t>
      </w:r>
      <w:r w:rsidRPr="00380D19">
        <w:rPr>
          <w:rFonts w:ascii="Arial" w:eastAsia="Calibri" w:hAnsi="Arial" w:cs="Arial"/>
          <w:color w:val="000000" w:themeColor="text1"/>
          <w:sz w:val="22"/>
          <w:lang w:val="es-CO"/>
        </w:rPr>
        <w:t>S</w:t>
      </w:r>
      <w:r>
        <w:rPr>
          <w:rFonts w:ascii="Arial" w:eastAsia="Calibri" w:hAnsi="Arial" w:cs="Arial"/>
          <w:color w:val="000000" w:themeColor="text1"/>
          <w:sz w:val="22"/>
          <w:lang w:val="es-CO"/>
        </w:rPr>
        <w:t xml:space="preserve">ocial en </w:t>
      </w:r>
      <w:r w:rsidRPr="00380D19">
        <w:rPr>
          <w:rFonts w:ascii="Arial" w:eastAsia="Calibri" w:hAnsi="Arial" w:cs="Arial"/>
          <w:color w:val="000000" w:themeColor="text1"/>
          <w:sz w:val="22"/>
          <w:lang w:val="es-CO"/>
        </w:rPr>
        <w:t>S</w:t>
      </w:r>
      <w:r>
        <w:rPr>
          <w:rFonts w:ascii="Arial" w:eastAsia="Calibri" w:hAnsi="Arial" w:cs="Arial"/>
          <w:color w:val="000000" w:themeColor="text1"/>
          <w:sz w:val="22"/>
          <w:lang w:val="es-CO"/>
        </w:rPr>
        <w:t>alud</w:t>
      </w:r>
      <w:r w:rsidRPr="00380D19">
        <w:rPr>
          <w:rFonts w:ascii="Arial" w:eastAsia="Calibri" w:hAnsi="Arial" w:cs="Arial"/>
          <w:color w:val="000000" w:themeColor="text1"/>
          <w:sz w:val="22"/>
          <w:lang w:val="es-CO"/>
        </w:rPr>
        <w:t xml:space="preserve"> en el diseño, implementación y funcionamiento de</w:t>
      </w:r>
      <w:r w:rsidR="007F6987">
        <w:rPr>
          <w:rFonts w:ascii="Arial" w:eastAsia="Calibri" w:hAnsi="Arial" w:cs="Arial"/>
          <w:color w:val="000000" w:themeColor="text1"/>
          <w:sz w:val="22"/>
          <w:lang w:val="es-CO"/>
        </w:rPr>
        <w:t>l</w:t>
      </w:r>
      <w:r w:rsidRPr="00380D19">
        <w:rPr>
          <w:rFonts w:ascii="Arial" w:eastAsia="Calibri" w:hAnsi="Arial" w:cs="Arial"/>
          <w:color w:val="000000" w:themeColor="text1"/>
          <w:sz w:val="22"/>
          <w:lang w:val="es-CO"/>
        </w:rPr>
        <w:t xml:space="preserve"> Sistema de Administración de Riesgos de Lavado de Activos y Financiación del Terrorismo </w:t>
      </w:r>
      <w:r w:rsidR="007F6987">
        <w:rPr>
          <w:rFonts w:ascii="Arial" w:eastAsia="Calibri" w:hAnsi="Arial" w:cs="Arial"/>
          <w:color w:val="000000" w:themeColor="text1"/>
          <w:sz w:val="22"/>
          <w:lang w:val="es-CO"/>
        </w:rPr>
        <w:t>–</w:t>
      </w:r>
      <w:r w:rsidRPr="00380D19">
        <w:rPr>
          <w:rFonts w:ascii="Arial" w:eastAsia="Calibri" w:hAnsi="Arial" w:cs="Arial"/>
          <w:color w:val="000000" w:themeColor="text1"/>
          <w:sz w:val="22"/>
          <w:lang w:val="es-CO"/>
        </w:rPr>
        <w:t>SARLAFT</w:t>
      </w:r>
      <w:r w:rsidR="007F6987">
        <w:rPr>
          <w:rFonts w:ascii="Arial" w:eastAsia="Calibri" w:hAnsi="Arial" w:cs="Arial"/>
          <w:color w:val="000000" w:themeColor="text1"/>
          <w:sz w:val="22"/>
          <w:lang w:val="es-CO"/>
        </w:rPr>
        <w:t>–</w:t>
      </w:r>
      <w:r w:rsidRPr="00380D19">
        <w:rPr>
          <w:rFonts w:ascii="Arial" w:eastAsia="Calibri" w:hAnsi="Arial" w:cs="Arial"/>
          <w:color w:val="000000" w:themeColor="text1"/>
          <w:sz w:val="22"/>
          <w:lang w:val="es-CO"/>
        </w:rPr>
        <w:t>.</w:t>
      </w:r>
    </w:p>
    <w:p w14:paraId="32B6B488" w14:textId="6E6D2924" w:rsidR="00C307D3" w:rsidRDefault="00B70393" w:rsidP="000E0E3C">
      <w:pPr>
        <w:spacing w:after="120" w:line="276" w:lineRule="auto"/>
        <w:ind w:firstLine="709"/>
        <w:jc w:val="both"/>
        <w:rPr>
          <w:rFonts w:ascii="Arial" w:eastAsia="Calibri" w:hAnsi="Arial" w:cs="Arial"/>
          <w:color w:val="000000" w:themeColor="text1"/>
          <w:sz w:val="22"/>
          <w:lang w:val="es-CO"/>
        </w:rPr>
      </w:pPr>
      <w:r w:rsidRPr="00B70393">
        <w:rPr>
          <w:rFonts w:ascii="Arial" w:eastAsia="Calibri" w:hAnsi="Arial" w:cs="Arial"/>
          <w:color w:val="000000" w:themeColor="text1"/>
          <w:sz w:val="22"/>
          <w:lang w:val="es-CO"/>
        </w:rPr>
        <w:t xml:space="preserve">En este contexto, la </w:t>
      </w:r>
      <w:r w:rsidR="00085E2D">
        <w:rPr>
          <w:rFonts w:ascii="Arial" w:eastAsia="Calibri" w:hAnsi="Arial" w:cs="Arial"/>
          <w:color w:val="000000" w:themeColor="text1"/>
          <w:sz w:val="22"/>
          <w:lang w:val="es-CO"/>
        </w:rPr>
        <w:t>S</w:t>
      </w:r>
      <w:r w:rsidR="007F6987">
        <w:rPr>
          <w:rFonts w:ascii="Arial" w:eastAsia="Calibri" w:hAnsi="Arial" w:cs="Arial"/>
          <w:color w:val="000000" w:themeColor="text1"/>
          <w:sz w:val="22"/>
          <w:lang w:val="es-CO"/>
        </w:rPr>
        <w:t>uperintendencia</w:t>
      </w:r>
      <w:r w:rsidR="007F6987" w:rsidRPr="00B70393">
        <w:rPr>
          <w:rFonts w:ascii="Arial" w:eastAsia="Calibri" w:hAnsi="Arial" w:cs="Arial"/>
          <w:color w:val="000000" w:themeColor="text1"/>
          <w:sz w:val="22"/>
          <w:lang w:val="es-CO"/>
        </w:rPr>
        <w:t xml:space="preserve"> </w:t>
      </w:r>
      <w:r w:rsidRPr="00B70393">
        <w:rPr>
          <w:rFonts w:ascii="Arial" w:eastAsia="Calibri" w:hAnsi="Arial" w:cs="Arial"/>
          <w:color w:val="000000" w:themeColor="text1"/>
          <w:sz w:val="22"/>
          <w:lang w:val="es-CO"/>
        </w:rPr>
        <w:t xml:space="preserve">pretende que los </w:t>
      </w:r>
      <w:r w:rsidR="007F6987">
        <w:rPr>
          <w:rFonts w:ascii="Arial" w:eastAsia="Calibri" w:hAnsi="Arial" w:cs="Arial"/>
          <w:color w:val="000000" w:themeColor="text1"/>
          <w:sz w:val="22"/>
          <w:lang w:val="es-CO"/>
        </w:rPr>
        <w:t>agentes del Sistema de Seguridad Social</w:t>
      </w:r>
      <w:r w:rsidRPr="00B70393">
        <w:rPr>
          <w:rFonts w:ascii="Arial" w:eastAsia="Calibri" w:hAnsi="Arial" w:cs="Arial"/>
          <w:color w:val="000000" w:themeColor="text1"/>
          <w:sz w:val="22"/>
          <w:lang w:val="es-CO"/>
        </w:rPr>
        <w:t xml:space="preserve"> continúen la lucha contra el </w:t>
      </w:r>
      <w:r w:rsidR="007F6987" w:rsidRPr="00B70393">
        <w:rPr>
          <w:rFonts w:ascii="Arial" w:eastAsia="Calibri" w:hAnsi="Arial" w:cs="Arial"/>
          <w:color w:val="000000" w:themeColor="text1"/>
          <w:sz w:val="22"/>
          <w:lang w:val="es-CO"/>
        </w:rPr>
        <w:t>lavado de activos y la financiación del terrorismo</w:t>
      </w:r>
      <w:r w:rsidRPr="00B70393">
        <w:rPr>
          <w:rFonts w:ascii="Arial" w:eastAsia="Calibri" w:hAnsi="Arial" w:cs="Arial"/>
          <w:color w:val="000000" w:themeColor="text1"/>
          <w:sz w:val="22"/>
          <w:lang w:val="es-CO"/>
        </w:rPr>
        <w:t xml:space="preserve"> con el fin de prevenir que sean utilizadas para dar apariencia de legalidad a activos que provienen de actividades delictivas o que sean utilizadas para ocultar la procedencia de recursos que sean dirigidos finalmente</w:t>
      </w:r>
      <w:r w:rsidR="007F6987">
        <w:rPr>
          <w:rFonts w:ascii="Arial" w:eastAsia="Calibri" w:hAnsi="Arial" w:cs="Arial"/>
          <w:color w:val="000000" w:themeColor="text1"/>
          <w:sz w:val="22"/>
          <w:lang w:val="es-CO"/>
        </w:rPr>
        <w:t xml:space="preserve"> a</w:t>
      </w:r>
      <w:r w:rsidRPr="00B70393">
        <w:rPr>
          <w:rFonts w:ascii="Arial" w:eastAsia="Calibri" w:hAnsi="Arial" w:cs="Arial"/>
          <w:color w:val="000000" w:themeColor="text1"/>
          <w:sz w:val="22"/>
          <w:lang w:val="es-CO"/>
        </w:rPr>
        <w:t xml:space="preserve"> la realización de actividades </w:t>
      </w:r>
      <w:r w:rsidR="007F6987">
        <w:rPr>
          <w:rFonts w:ascii="Arial" w:eastAsia="Calibri" w:hAnsi="Arial" w:cs="Arial"/>
          <w:color w:val="000000" w:themeColor="text1"/>
          <w:sz w:val="22"/>
          <w:lang w:val="es-CO"/>
        </w:rPr>
        <w:t>ilícitas</w:t>
      </w:r>
      <w:r w:rsidRPr="00B70393">
        <w:rPr>
          <w:rFonts w:ascii="Arial" w:eastAsia="Calibri" w:hAnsi="Arial" w:cs="Arial"/>
          <w:color w:val="000000" w:themeColor="text1"/>
          <w:sz w:val="22"/>
          <w:lang w:val="es-CO"/>
        </w:rPr>
        <w:t>.</w:t>
      </w:r>
    </w:p>
    <w:p w14:paraId="2BE195F2" w14:textId="355B8041" w:rsidR="007F6987" w:rsidRDefault="00C307D3" w:rsidP="00C27680">
      <w:pPr>
        <w:spacing w:line="276" w:lineRule="auto"/>
        <w:ind w:firstLine="708"/>
        <w:jc w:val="both"/>
        <w:rPr>
          <w:rFonts w:ascii="Arial" w:eastAsia="Calibri" w:hAnsi="Arial" w:cs="Arial"/>
          <w:color w:val="000000" w:themeColor="text1"/>
          <w:sz w:val="22"/>
        </w:rPr>
      </w:pPr>
      <w:r w:rsidRPr="00C307D3">
        <w:rPr>
          <w:rFonts w:ascii="Arial" w:eastAsia="Calibri" w:hAnsi="Arial" w:cs="Arial"/>
          <w:color w:val="000000" w:themeColor="text1"/>
          <w:sz w:val="22"/>
          <w:lang w:val="es-CO"/>
        </w:rPr>
        <w:t xml:space="preserve">El SARLAFT es el sistema de prevención y control que deben implementar los vigilados a quienes van dirigidas </w:t>
      </w:r>
      <w:r w:rsidR="00390B6F">
        <w:rPr>
          <w:rFonts w:ascii="Arial" w:eastAsia="Calibri" w:hAnsi="Arial" w:cs="Arial"/>
          <w:color w:val="000000" w:themeColor="text1"/>
          <w:sz w:val="22"/>
          <w:lang w:val="es-CO"/>
        </w:rPr>
        <w:t xml:space="preserve">las instrucciones de la </w:t>
      </w:r>
      <w:r w:rsidRPr="00C307D3">
        <w:rPr>
          <w:rFonts w:ascii="Arial" w:eastAsia="Calibri" w:hAnsi="Arial" w:cs="Arial"/>
          <w:color w:val="000000" w:themeColor="text1"/>
          <w:sz w:val="22"/>
          <w:lang w:val="es-CO"/>
        </w:rPr>
        <w:t>Circular Externa</w:t>
      </w:r>
      <w:r w:rsidR="00390B6F">
        <w:rPr>
          <w:rFonts w:ascii="Arial" w:eastAsia="Calibri" w:hAnsi="Arial" w:cs="Arial"/>
          <w:color w:val="000000" w:themeColor="text1"/>
          <w:sz w:val="22"/>
          <w:lang w:val="es-CO"/>
        </w:rPr>
        <w:t xml:space="preserve"> N° 09 de 2016 expedida por la</w:t>
      </w:r>
      <w:r w:rsidR="007F6987">
        <w:rPr>
          <w:rFonts w:ascii="Arial" w:eastAsia="Calibri" w:hAnsi="Arial" w:cs="Arial"/>
          <w:color w:val="000000" w:themeColor="text1"/>
          <w:sz w:val="22"/>
          <w:lang w:val="es-CO"/>
        </w:rPr>
        <w:t xml:space="preserve"> </w:t>
      </w:r>
      <w:r w:rsidR="007F6987" w:rsidRPr="00380D19">
        <w:rPr>
          <w:rFonts w:ascii="Arial" w:eastAsia="Calibri" w:hAnsi="Arial" w:cs="Arial"/>
          <w:color w:val="000000" w:themeColor="text1"/>
          <w:sz w:val="22"/>
          <w:lang w:val="es-CO"/>
        </w:rPr>
        <w:t>S</w:t>
      </w:r>
      <w:r w:rsidR="007F6987">
        <w:rPr>
          <w:rFonts w:ascii="Arial" w:eastAsia="Calibri" w:hAnsi="Arial" w:cs="Arial"/>
          <w:color w:val="000000" w:themeColor="text1"/>
          <w:sz w:val="22"/>
          <w:lang w:val="es-CO"/>
        </w:rPr>
        <w:t xml:space="preserve">uperintendencia </w:t>
      </w:r>
      <w:r w:rsidR="007F6987" w:rsidRPr="00380D19">
        <w:rPr>
          <w:rFonts w:ascii="Arial" w:eastAsia="Calibri" w:hAnsi="Arial" w:cs="Arial"/>
          <w:color w:val="000000" w:themeColor="text1"/>
          <w:sz w:val="22"/>
          <w:lang w:val="es-CO"/>
        </w:rPr>
        <w:t>N</w:t>
      </w:r>
      <w:r w:rsidR="007F6987">
        <w:rPr>
          <w:rFonts w:ascii="Arial" w:eastAsia="Calibri" w:hAnsi="Arial" w:cs="Arial"/>
          <w:color w:val="000000" w:themeColor="text1"/>
          <w:sz w:val="22"/>
          <w:lang w:val="es-CO"/>
        </w:rPr>
        <w:t xml:space="preserve">acional de </w:t>
      </w:r>
      <w:r w:rsidR="007F6987" w:rsidRPr="00380D19">
        <w:rPr>
          <w:rFonts w:ascii="Arial" w:eastAsia="Calibri" w:hAnsi="Arial" w:cs="Arial"/>
          <w:color w:val="000000" w:themeColor="text1"/>
          <w:sz w:val="22"/>
          <w:lang w:val="es-CO"/>
        </w:rPr>
        <w:t>S</w:t>
      </w:r>
      <w:r w:rsidR="007F6987">
        <w:rPr>
          <w:rFonts w:ascii="Arial" w:eastAsia="Calibri" w:hAnsi="Arial" w:cs="Arial"/>
          <w:color w:val="000000" w:themeColor="text1"/>
          <w:sz w:val="22"/>
          <w:lang w:val="es-CO"/>
        </w:rPr>
        <w:t>alud</w:t>
      </w:r>
      <w:r w:rsidR="00390B6F">
        <w:rPr>
          <w:rFonts w:ascii="Arial" w:eastAsia="Calibri" w:hAnsi="Arial" w:cs="Arial"/>
          <w:color w:val="000000" w:themeColor="text1"/>
          <w:sz w:val="22"/>
          <w:lang w:val="es-CO"/>
        </w:rPr>
        <w:t xml:space="preserve">, </w:t>
      </w:r>
      <w:r w:rsidRPr="00C307D3">
        <w:rPr>
          <w:rFonts w:ascii="Arial" w:eastAsia="Calibri" w:hAnsi="Arial" w:cs="Arial"/>
          <w:color w:val="000000" w:themeColor="text1"/>
          <w:sz w:val="22"/>
          <w:lang w:val="es-CO"/>
        </w:rPr>
        <w:t xml:space="preserve">para la adecuada gestión del riesgo de </w:t>
      </w:r>
      <w:r w:rsidR="007F6987" w:rsidRPr="00B70393">
        <w:rPr>
          <w:rFonts w:ascii="Arial" w:eastAsia="Calibri" w:hAnsi="Arial" w:cs="Arial"/>
          <w:color w:val="000000" w:themeColor="text1"/>
          <w:sz w:val="22"/>
          <w:lang w:val="es-CO"/>
        </w:rPr>
        <w:t>lavado de activos y financiación del terrorismo</w:t>
      </w:r>
      <w:r w:rsidRPr="00C307D3">
        <w:rPr>
          <w:rFonts w:ascii="Arial" w:eastAsia="Calibri" w:hAnsi="Arial" w:cs="Arial"/>
          <w:color w:val="000000" w:themeColor="text1"/>
          <w:sz w:val="22"/>
          <w:lang w:val="es-CO"/>
        </w:rPr>
        <w:t>. Para esto, los</w:t>
      </w:r>
      <w:r w:rsidR="007F6987">
        <w:rPr>
          <w:rFonts w:ascii="Arial" w:eastAsia="Calibri" w:hAnsi="Arial" w:cs="Arial"/>
          <w:color w:val="000000" w:themeColor="text1"/>
          <w:sz w:val="22"/>
          <w:lang w:val="es-CO"/>
        </w:rPr>
        <w:t xml:space="preserve"> entes</w:t>
      </w:r>
      <w:r w:rsidRPr="00C307D3">
        <w:rPr>
          <w:rFonts w:ascii="Arial" w:eastAsia="Calibri" w:hAnsi="Arial" w:cs="Arial"/>
          <w:color w:val="000000" w:themeColor="text1"/>
          <w:sz w:val="22"/>
          <w:lang w:val="es-CO"/>
        </w:rPr>
        <w:t xml:space="preserve"> vigilados deberán adoptar unas políticas, procedimientos y herramientas mínimas que contemplen todas las actividades que realizan en desarrollo de su objeto social y que se ajusten a su tamaño, actividad económica, forma de comercialización y demás características particulares de cada agente </w:t>
      </w:r>
      <w:r w:rsidR="007F6987">
        <w:rPr>
          <w:rFonts w:ascii="Arial" w:eastAsia="Calibri" w:hAnsi="Arial" w:cs="Arial"/>
          <w:color w:val="000000" w:themeColor="text1"/>
          <w:sz w:val="22"/>
          <w:lang w:val="es-CO"/>
        </w:rPr>
        <w:t>sujeto a vigilancia</w:t>
      </w:r>
      <w:r w:rsidR="00EB3D90">
        <w:rPr>
          <w:rFonts w:ascii="Arial" w:eastAsia="Calibri" w:hAnsi="Arial" w:cs="Arial"/>
          <w:color w:val="000000" w:themeColor="text1"/>
          <w:sz w:val="22"/>
          <w:lang w:val="es-CO"/>
        </w:rPr>
        <w:t>.</w:t>
      </w:r>
      <w:r w:rsidR="000C705D" w:rsidRPr="000E0E3C">
        <w:rPr>
          <w:rStyle w:val="Refdenotaalpie"/>
          <w:rFonts w:ascii="Arial" w:eastAsia="Calibri" w:hAnsi="Arial" w:cs="Arial"/>
          <w:color w:val="000000" w:themeColor="text1"/>
          <w:sz w:val="21"/>
          <w:szCs w:val="21"/>
        </w:rPr>
        <w:footnoteReference w:id="9"/>
      </w:r>
      <w:r w:rsidR="007F6987" w:rsidRPr="000E0E3C">
        <w:rPr>
          <w:rFonts w:ascii="Arial" w:eastAsia="Calibri" w:hAnsi="Arial" w:cs="Arial"/>
          <w:color w:val="000000" w:themeColor="text1"/>
          <w:sz w:val="21"/>
          <w:szCs w:val="21"/>
        </w:rPr>
        <w:t>.</w:t>
      </w:r>
      <w:r w:rsidR="00021292">
        <w:rPr>
          <w:rFonts w:ascii="Arial" w:eastAsia="Calibri" w:hAnsi="Arial" w:cs="Arial"/>
          <w:color w:val="000000" w:themeColor="text1"/>
          <w:sz w:val="21"/>
          <w:szCs w:val="21"/>
        </w:rPr>
        <w:t xml:space="preserve"> </w:t>
      </w:r>
      <w:r w:rsidR="00EB3D90">
        <w:rPr>
          <w:rFonts w:ascii="Arial" w:eastAsia="Calibri" w:hAnsi="Arial" w:cs="Arial"/>
          <w:color w:val="000000" w:themeColor="text1"/>
          <w:sz w:val="22"/>
        </w:rPr>
        <w:t>Por ello</w:t>
      </w:r>
      <w:r w:rsidR="00021292" w:rsidRPr="006F2F2F">
        <w:rPr>
          <w:rFonts w:ascii="Arial" w:eastAsia="Calibri" w:hAnsi="Arial" w:cs="Arial"/>
          <w:color w:val="000000" w:themeColor="text1"/>
          <w:sz w:val="22"/>
        </w:rPr>
        <w:t xml:space="preserve">, para prevenir el riesgo de corrupción y de delitos </w:t>
      </w:r>
      <w:r w:rsidR="00021292" w:rsidRPr="006F2F2F">
        <w:rPr>
          <w:rFonts w:ascii="Arial" w:eastAsia="Calibri" w:hAnsi="Arial" w:cs="Arial"/>
          <w:color w:val="000000" w:themeColor="text1"/>
          <w:sz w:val="22"/>
        </w:rPr>
        <w:lastRenderedPageBreak/>
        <w:t>derivados de la celebración de contratos estatales, la Sala de Consulta y Servicio Civil del Consejo de Estado explica que</w:t>
      </w:r>
      <w:r w:rsidR="00F64D02">
        <w:rPr>
          <w:rFonts w:ascii="Arial" w:eastAsia="Calibri" w:hAnsi="Arial" w:cs="Arial"/>
          <w:color w:val="000000" w:themeColor="text1"/>
          <w:sz w:val="22"/>
        </w:rPr>
        <w:t xml:space="preserve"> las entidades –tanto sometidas como exceptuadas de la Ley 80 de 1993– tienen las siguientes opciones</w:t>
      </w:r>
      <w:r w:rsidR="00021292" w:rsidRPr="006F2F2F">
        <w:rPr>
          <w:rFonts w:ascii="Arial" w:eastAsia="Calibri" w:hAnsi="Arial" w:cs="Arial"/>
          <w:color w:val="000000" w:themeColor="text1"/>
          <w:sz w:val="22"/>
        </w:rPr>
        <w:t xml:space="preserve">: </w:t>
      </w:r>
    </w:p>
    <w:p w14:paraId="07D8122D" w14:textId="073E014C" w:rsidR="00F64D02" w:rsidRDefault="00F64D02" w:rsidP="00C27680">
      <w:pPr>
        <w:spacing w:line="276" w:lineRule="auto"/>
        <w:ind w:firstLine="708"/>
        <w:jc w:val="both"/>
        <w:rPr>
          <w:rFonts w:ascii="Arial" w:eastAsia="Calibri" w:hAnsi="Arial" w:cs="Arial"/>
          <w:color w:val="000000" w:themeColor="text1"/>
          <w:sz w:val="22"/>
        </w:rPr>
      </w:pPr>
    </w:p>
    <w:p w14:paraId="71BC5F60" w14:textId="0111B059" w:rsidR="00F64D02" w:rsidRPr="006F2F2F" w:rsidRDefault="00F64D02" w:rsidP="006F2F2F">
      <w:pPr>
        <w:spacing w:after="120"/>
        <w:ind w:left="709" w:right="709"/>
        <w:jc w:val="both"/>
        <w:rPr>
          <w:rFonts w:ascii="Arial" w:eastAsia="Calibri" w:hAnsi="Arial" w:cs="Arial"/>
          <w:color w:val="000000" w:themeColor="text1"/>
          <w:sz w:val="21"/>
          <w:szCs w:val="21"/>
          <w:lang w:val="es-CO"/>
        </w:rPr>
      </w:pPr>
      <w:r w:rsidRPr="006F2F2F">
        <w:rPr>
          <w:rFonts w:ascii="Arial" w:eastAsia="Calibri" w:hAnsi="Arial" w:cs="Arial"/>
          <w:color w:val="000000" w:themeColor="text1"/>
          <w:sz w:val="21"/>
          <w:szCs w:val="21"/>
          <w:lang w:val="es-CO"/>
        </w:rPr>
        <w:t xml:space="preserve">(i) </w:t>
      </w:r>
      <w:r w:rsidRPr="006F2F2F">
        <w:rPr>
          <w:rFonts w:ascii="Arial" w:eastAsia="Calibri" w:hAnsi="Arial" w:cs="Arial"/>
          <w:color w:val="000000" w:themeColor="text1"/>
          <w:sz w:val="21"/>
          <w:szCs w:val="21"/>
          <w:lang w:val="es-CO"/>
        </w:rPr>
        <w:tab/>
        <w:t>En los estudios previos que sustentan la contratación: a) tipificar, estimar y asignar los riesgos para prevenir actos de corrupción; b) contemplar las medidas tendientes a verificar las calidades de los proponentes o futuros contratistas;</w:t>
      </w:r>
    </w:p>
    <w:p w14:paraId="62A3C734" w14:textId="1EA6E534" w:rsidR="00F64D02" w:rsidRPr="006F2F2F" w:rsidRDefault="00F64D02" w:rsidP="006F2F2F">
      <w:pPr>
        <w:spacing w:after="120"/>
        <w:ind w:left="709" w:right="709"/>
        <w:jc w:val="both"/>
        <w:rPr>
          <w:rFonts w:ascii="Arial" w:eastAsia="Calibri" w:hAnsi="Arial" w:cs="Arial"/>
          <w:color w:val="000000" w:themeColor="text1"/>
          <w:sz w:val="21"/>
          <w:szCs w:val="21"/>
          <w:lang w:val="es-CO"/>
        </w:rPr>
      </w:pPr>
      <w:r w:rsidRPr="006F2F2F">
        <w:rPr>
          <w:rFonts w:ascii="Arial" w:eastAsia="Calibri" w:hAnsi="Arial" w:cs="Arial"/>
          <w:color w:val="000000" w:themeColor="text1"/>
          <w:sz w:val="21"/>
          <w:szCs w:val="21"/>
          <w:lang w:val="es-CO"/>
        </w:rPr>
        <w:t xml:space="preserve">(ii) </w:t>
      </w:r>
      <w:r w:rsidRPr="006F2F2F">
        <w:rPr>
          <w:rFonts w:ascii="Arial" w:eastAsia="Calibri" w:hAnsi="Arial" w:cs="Arial"/>
          <w:color w:val="000000" w:themeColor="text1"/>
          <w:sz w:val="21"/>
          <w:szCs w:val="21"/>
          <w:lang w:val="es-CO"/>
        </w:rPr>
        <w:tab/>
        <w:t>En los pliegos de condiciones y como parte integrante de la oferta: a) exigir la suscripción de “pactos o compromisos de integridad” y de la “declaración de origen de fondos”; b) identificar plenamente al proponente y verificar los datos pertinentes, de acuerdo con la prerrogativa de la entidad, y c) señalar expresamente que uno de los riesgos asociados al contrato es el de corrupción, el cual se relaciona directamente con el riesgo financiero y, en consecuencia, exigir garantías suficientes que permitan mantener cubierta a la entidad en relación con este riesgo;</w:t>
      </w:r>
    </w:p>
    <w:p w14:paraId="70C475E1" w14:textId="422610B5" w:rsidR="00F64D02" w:rsidRPr="00F64D02" w:rsidRDefault="00F64D02">
      <w:pPr>
        <w:ind w:left="709" w:right="709"/>
        <w:jc w:val="both"/>
        <w:rPr>
          <w:rFonts w:ascii="Arial" w:eastAsia="Calibri" w:hAnsi="Arial" w:cs="Arial"/>
          <w:color w:val="000000" w:themeColor="text1"/>
          <w:sz w:val="21"/>
          <w:szCs w:val="21"/>
          <w:lang w:val="es-CO"/>
        </w:rPr>
      </w:pPr>
      <w:r w:rsidRPr="006F2F2F">
        <w:rPr>
          <w:rFonts w:ascii="Arial" w:eastAsia="Calibri" w:hAnsi="Arial" w:cs="Arial"/>
          <w:color w:val="000000" w:themeColor="text1"/>
          <w:sz w:val="21"/>
          <w:szCs w:val="21"/>
          <w:lang w:val="es-CO"/>
        </w:rPr>
        <w:t xml:space="preserve">(iii) </w:t>
      </w:r>
      <w:r w:rsidRPr="006F2F2F">
        <w:rPr>
          <w:rFonts w:ascii="Arial" w:eastAsia="Calibri" w:hAnsi="Arial" w:cs="Arial"/>
          <w:color w:val="000000" w:themeColor="text1"/>
          <w:sz w:val="21"/>
          <w:szCs w:val="21"/>
          <w:lang w:val="es-CO"/>
        </w:rPr>
        <w:tab/>
        <w:t xml:space="preserve">En las cláusulas contractuales: a) incorporar la obligación a cargo del contratista de reportar periódicamente su información societaria, financiera y comercial, así como la modificación del estado de los mencionados riesgos; b) con el fin de proteger los intereses de la administración, incluir condiciones resolutorias expresas por hechos u omisiones que, aunque no estén tipificadas como causales de inhabilidad o incompatibilidad impliquen por parte del contratista o de las personas vinculadas a él actos de corrupción u otras circunstancias de las cuales se derive el aumento considerable de los riesgos para la entidad contratante o que vulneren los principios de la contratación estatal; c) estipular multas </w:t>
      </w:r>
      <w:r w:rsidR="005C7C59">
        <w:rPr>
          <w:rFonts w:ascii="Arial" w:eastAsia="Calibri" w:hAnsi="Arial" w:cs="Arial"/>
          <w:color w:val="000000" w:themeColor="text1"/>
          <w:sz w:val="21"/>
          <w:szCs w:val="21"/>
          <w:lang w:val="es-CO"/>
        </w:rPr>
        <w:t>en los términos expuestos en este concepto</w:t>
      </w:r>
      <w:r w:rsidR="00DB4834">
        <w:rPr>
          <w:rStyle w:val="Refdenotaalpie"/>
          <w:rFonts w:ascii="Arial" w:eastAsia="Calibri" w:hAnsi="Arial" w:cs="Arial"/>
          <w:color w:val="000000" w:themeColor="text1"/>
          <w:sz w:val="21"/>
          <w:szCs w:val="21"/>
          <w:lang w:val="es-CO"/>
        </w:rPr>
        <w:footnoteReference w:id="10"/>
      </w:r>
    </w:p>
    <w:p w14:paraId="082303BF" w14:textId="016D8C11" w:rsidR="000C705D" w:rsidRPr="00F64D02" w:rsidRDefault="000C705D" w:rsidP="000E0E3C">
      <w:pPr>
        <w:spacing w:line="276" w:lineRule="auto"/>
        <w:ind w:left="709" w:right="709"/>
        <w:jc w:val="both"/>
        <w:rPr>
          <w:rFonts w:ascii="Arial" w:eastAsia="Calibri" w:hAnsi="Arial" w:cs="Arial"/>
          <w:color w:val="000000" w:themeColor="text1"/>
          <w:sz w:val="22"/>
          <w:lang w:val="es-CO"/>
        </w:rPr>
      </w:pPr>
    </w:p>
    <w:p w14:paraId="2809A382" w14:textId="71A5A6A7" w:rsidR="00085E2D" w:rsidRDefault="00B63F4C" w:rsidP="006F2F2F">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En virtud de lo anterior, </w:t>
      </w:r>
      <w:r w:rsidR="00085E2D">
        <w:rPr>
          <w:rFonts w:ascii="Arial" w:eastAsia="Calibri" w:hAnsi="Arial" w:cs="Arial"/>
          <w:color w:val="000000" w:themeColor="text1"/>
          <w:sz w:val="22"/>
          <w:lang w:val="es-CO"/>
        </w:rPr>
        <w:t>puede concluirse</w:t>
      </w:r>
      <w:r>
        <w:rPr>
          <w:rFonts w:ascii="Arial" w:eastAsia="Calibri" w:hAnsi="Arial" w:cs="Arial"/>
          <w:color w:val="000000" w:themeColor="text1"/>
          <w:sz w:val="22"/>
          <w:lang w:val="es-CO"/>
        </w:rPr>
        <w:t xml:space="preserve"> que el SARLAFT es un documento que constituye una política pública de manejo del riesgo,</w:t>
      </w:r>
      <w:r w:rsidR="00A111B5">
        <w:rPr>
          <w:rFonts w:ascii="Arial" w:eastAsia="Calibri" w:hAnsi="Arial" w:cs="Arial"/>
          <w:color w:val="000000" w:themeColor="text1"/>
          <w:sz w:val="22"/>
          <w:lang w:val="es-CO"/>
        </w:rPr>
        <w:t xml:space="preserve"> configurando</w:t>
      </w:r>
      <w:r>
        <w:rPr>
          <w:rFonts w:ascii="Arial" w:eastAsia="Calibri" w:hAnsi="Arial" w:cs="Arial"/>
          <w:color w:val="000000" w:themeColor="text1"/>
          <w:sz w:val="22"/>
          <w:lang w:val="es-CO"/>
        </w:rPr>
        <w:t xml:space="preserve"> la teoría de la </w:t>
      </w:r>
      <w:r w:rsidR="007F6987">
        <w:rPr>
          <w:rFonts w:ascii="Arial" w:eastAsia="Calibri" w:hAnsi="Arial" w:cs="Arial"/>
          <w:color w:val="000000" w:themeColor="text1"/>
          <w:sz w:val="22"/>
          <w:lang w:val="es-CO"/>
        </w:rPr>
        <w:t>d</w:t>
      </w:r>
      <w:r>
        <w:rPr>
          <w:rFonts w:ascii="Arial" w:eastAsia="Calibri" w:hAnsi="Arial" w:cs="Arial"/>
          <w:color w:val="000000" w:themeColor="text1"/>
          <w:sz w:val="22"/>
          <w:lang w:val="es-CO"/>
        </w:rPr>
        <w:t xml:space="preserve">ebida diligencia, la cual </w:t>
      </w:r>
      <w:r w:rsidRPr="00B63F4C">
        <w:rPr>
          <w:rFonts w:ascii="Arial" w:eastAsia="Calibri" w:hAnsi="Arial" w:cs="Arial"/>
          <w:color w:val="000000" w:themeColor="text1"/>
          <w:sz w:val="22"/>
          <w:lang w:val="es-CO"/>
        </w:rPr>
        <w:t>hace referencia a una validación establecida en la gestión interna del riesgo crítico de la organización</w:t>
      </w:r>
      <w:r w:rsidR="00F86246">
        <w:rPr>
          <w:rFonts w:ascii="Arial" w:eastAsia="Calibri" w:hAnsi="Arial" w:cs="Arial"/>
          <w:color w:val="000000" w:themeColor="text1"/>
          <w:sz w:val="22"/>
          <w:lang w:val="es-CO"/>
        </w:rPr>
        <w:t>,</w:t>
      </w:r>
      <w:r w:rsidRPr="00B63F4C">
        <w:rPr>
          <w:rFonts w:ascii="Arial" w:eastAsia="Calibri" w:hAnsi="Arial" w:cs="Arial"/>
          <w:color w:val="000000" w:themeColor="text1"/>
          <w:sz w:val="22"/>
          <w:lang w:val="es-CO"/>
        </w:rPr>
        <w:t xml:space="preserve"> donde se busca el aseguramiento en las relaciones contractuales con sus contrapartes</w:t>
      </w:r>
      <w:r w:rsidR="00B2775A">
        <w:rPr>
          <w:rFonts w:ascii="Arial" w:eastAsia="Calibri" w:hAnsi="Arial" w:cs="Arial"/>
          <w:color w:val="000000" w:themeColor="text1"/>
          <w:sz w:val="22"/>
          <w:lang w:val="es-CO"/>
        </w:rPr>
        <w:t>. Dicho aseguramiento se busca</w:t>
      </w:r>
      <w:r w:rsidRPr="00B63F4C">
        <w:rPr>
          <w:rFonts w:ascii="Arial" w:eastAsia="Calibri" w:hAnsi="Arial" w:cs="Arial"/>
          <w:color w:val="000000" w:themeColor="text1"/>
          <w:sz w:val="22"/>
          <w:lang w:val="es-CO"/>
        </w:rPr>
        <w:t xml:space="preserve"> en materia de prevención de los riesgos asociados al lavado de activos, financiación del terrorismo y la proliferación de armas de destrucción masiva, donde las compañías están expuestas a los riesgos </w:t>
      </w:r>
      <w:r w:rsidR="00F86246">
        <w:rPr>
          <w:rFonts w:ascii="Arial" w:eastAsia="Calibri" w:hAnsi="Arial" w:cs="Arial"/>
          <w:color w:val="000000" w:themeColor="text1"/>
          <w:sz w:val="22"/>
          <w:lang w:val="es-CO"/>
        </w:rPr>
        <w:t xml:space="preserve">de </w:t>
      </w:r>
      <w:r w:rsidRPr="00B63F4C">
        <w:rPr>
          <w:rFonts w:ascii="Arial" w:eastAsia="Calibri" w:hAnsi="Arial" w:cs="Arial"/>
          <w:color w:val="000000" w:themeColor="text1"/>
          <w:sz w:val="22"/>
          <w:lang w:val="es-CO"/>
        </w:rPr>
        <w:t>reputaci</w:t>
      </w:r>
      <w:r w:rsidR="00F86246">
        <w:rPr>
          <w:rFonts w:ascii="Arial" w:eastAsia="Calibri" w:hAnsi="Arial" w:cs="Arial"/>
          <w:color w:val="000000" w:themeColor="text1"/>
          <w:sz w:val="22"/>
          <w:lang w:val="es-CO"/>
        </w:rPr>
        <w:t>ó</w:t>
      </w:r>
      <w:r w:rsidRPr="00B63F4C">
        <w:rPr>
          <w:rFonts w:ascii="Arial" w:eastAsia="Calibri" w:hAnsi="Arial" w:cs="Arial"/>
          <w:color w:val="000000" w:themeColor="text1"/>
          <w:sz w:val="22"/>
          <w:lang w:val="es-CO"/>
        </w:rPr>
        <w:t>n, legales, operacionales y de contagio que afectarían ostensi</w:t>
      </w:r>
      <w:r>
        <w:rPr>
          <w:rFonts w:ascii="Arial" w:eastAsia="Calibri" w:hAnsi="Arial" w:cs="Arial"/>
          <w:color w:val="000000" w:themeColor="text1"/>
          <w:sz w:val="22"/>
          <w:lang w:val="es-CO"/>
        </w:rPr>
        <w:t xml:space="preserve">blemente cualquier organización y la continuidad en la ejecución de una actividad contractual. </w:t>
      </w:r>
    </w:p>
    <w:p w14:paraId="0792171F" w14:textId="7987BCE8" w:rsidR="006F4E4F" w:rsidRPr="006F4E4F" w:rsidRDefault="00B63F4C">
      <w:pPr>
        <w:spacing w:line="276" w:lineRule="auto"/>
        <w:ind w:firstLine="709"/>
        <w:jc w:val="both"/>
        <w:rPr>
          <w:rFonts w:ascii="Arial" w:eastAsia="Calibri" w:hAnsi="Arial" w:cs="Arial"/>
          <w:color w:val="000000" w:themeColor="text1"/>
          <w:sz w:val="22"/>
        </w:rPr>
      </w:pPr>
      <w:r w:rsidRPr="00B63F4C">
        <w:rPr>
          <w:rFonts w:ascii="Arial" w:eastAsia="Calibri" w:hAnsi="Arial" w:cs="Arial"/>
          <w:color w:val="000000" w:themeColor="text1"/>
          <w:sz w:val="22"/>
          <w:lang w:val="es-CO"/>
        </w:rPr>
        <w:lastRenderedPageBreak/>
        <w:t xml:space="preserve">La </w:t>
      </w:r>
      <w:r w:rsidR="007F6987" w:rsidRPr="00B63F4C">
        <w:rPr>
          <w:rFonts w:ascii="Arial" w:eastAsia="Calibri" w:hAnsi="Arial" w:cs="Arial"/>
          <w:color w:val="000000" w:themeColor="text1"/>
          <w:sz w:val="22"/>
          <w:lang w:val="es-CO"/>
        </w:rPr>
        <w:t>debida diligencia</w:t>
      </w:r>
      <w:r w:rsidRPr="00B63F4C">
        <w:rPr>
          <w:rFonts w:ascii="Arial" w:eastAsia="Calibri" w:hAnsi="Arial" w:cs="Arial"/>
          <w:color w:val="000000" w:themeColor="text1"/>
          <w:sz w:val="22"/>
          <w:lang w:val="es-CO"/>
        </w:rPr>
        <w:t xml:space="preserve"> o verificación en listas vinculantes, restrictivas y no restrictivas es una acción fundamental al interior de todos los sistemas de gestión del riesgo de lavado de activos y financiación del</w:t>
      </w:r>
      <w:r>
        <w:rPr>
          <w:rFonts w:ascii="Arial" w:eastAsia="Calibri" w:hAnsi="Arial" w:cs="Arial"/>
          <w:color w:val="000000" w:themeColor="text1"/>
          <w:sz w:val="22"/>
          <w:lang w:val="es-CO"/>
        </w:rPr>
        <w:t xml:space="preserve"> terrorismo, pues se </w:t>
      </w:r>
      <w:r w:rsidR="006F4E4F">
        <w:rPr>
          <w:rFonts w:ascii="Arial" w:eastAsia="Calibri" w:hAnsi="Arial" w:cs="Arial"/>
          <w:color w:val="000000" w:themeColor="text1"/>
          <w:sz w:val="22"/>
          <w:lang w:val="es-CO"/>
        </w:rPr>
        <w:t xml:space="preserve">configura en la etapa de conocimiento del </w:t>
      </w:r>
      <w:r w:rsidR="00085E2D">
        <w:rPr>
          <w:rFonts w:ascii="Arial" w:eastAsia="Calibri" w:hAnsi="Arial" w:cs="Arial"/>
          <w:color w:val="000000" w:themeColor="text1"/>
          <w:sz w:val="22"/>
          <w:lang w:val="es-CO"/>
        </w:rPr>
        <w:t>proveedor</w:t>
      </w:r>
      <w:r w:rsidR="006F4E4F">
        <w:rPr>
          <w:rFonts w:ascii="Arial" w:eastAsia="Calibri" w:hAnsi="Arial" w:cs="Arial"/>
          <w:color w:val="000000" w:themeColor="text1"/>
          <w:sz w:val="22"/>
          <w:lang w:val="es-CO"/>
        </w:rPr>
        <w:t xml:space="preserve">, así como en la vinculación del extremo contractual, satisfaciendo </w:t>
      </w:r>
      <w:r w:rsidR="006F4E4F" w:rsidRPr="006F4E4F">
        <w:rPr>
          <w:rFonts w:ascii="Arial" w:eastAsia="Calibri" w:hAnsi="Arial" w:cs="Arial"/>
          <w:color w:val="000000" w:themeColor="text1"/>
          <w:sz w:val="22"/>
          <w:lang w:val="es-ES_tradnl"/>
        </w:rPr>
        <w:t xml:space="preserve">la necesidad de salvaguardar el interés general inherente en la contratación pública, de forma que implique el menor sacrificio posible al derecho de igualdad y </w:t>
      </w:r>
      <w:r w:rsidR="006F4E4F">
        <w:rPr>
          <w:rFonts w:ascii="Arial" w:eastAsia="Calibri" w:hAnsi="Arial" w:cs="Arial"/>
          <w:color w:val="000000" w:themeColor="text1"/>
          <w:sz w:val="22"/>
          <w:lang w:val="es-ES_tradnl"/>
        </w:rPr>
        <w:t>al</w:t>
      </w:r>
      <w:r w:rsidR="006F4E4F" w:rsidRPr="006F4E4F">
        <w:rPr>
          <w:rFonts w:ascii="Arial" w:eastAsia="Calibri" w:hAnsi="Arial" w:cs="Arial"/>
          <w:color w:val="000000" w:themeColor="text1"/>
          <w:sz w:val="22"/>
          <w:lang w:val="es-ES_tradnl"/>
        </w:rPr>
        <w:t xml:space="preserve"> reconocimiento de la personalidad jurídica de quienes aspiran a contratar con el Estado.</w:t>
      </w:r>
    </w:p>
    <w:p w14:paraId="18EE100A" w14:textId="77777777" w:rsidR="00504A12" w:rsidRPr="00F759E2" w:rsidRDefault="00504A12" w:rsidP="00504A12">
      <w:pPr>
        <w:tabs>
          <w:tab w:val="left" w:pos="0"/>
        </w:tabs>
        <w:spacing w:line="276" w:lineRule="auto"/>
        <w:jc w:val="both"/>
        <w:rPr>
          <w:rFonts w:ascii="Arial" w:eastAsia="Calibri" w:hAnsi="Arial" w:cs="Arial"/>
          <w:b/>
          <w:color w:val="000000" w:themeColor="text1"/>
          <w:sz w:val="22"/>
          <w:lang w:val="es-CO"/>
        </w:rPr>
      </w:pPr>
    </w:p>
    <w:p w14:paraId="7FEA0EF2" w14:textId="77777777" w:rsidR="00504A12" w:rsidRPr="0078446D" w:rsidRDefault="00504A12" w:rsidP="00504A12">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
        </w:rPr>
      </w:pPr>
      <w:r w:rsidRPr="0078446D">
        <w:rPr>
          <w:rFonts w:ascii="Arial" w:eastAsia="Calibri" w:hAnsi="Arial" w:cs="Arial"/>
          <w:b/>
          <w:color w:val="000000" w:themeColor="text1"/>
          <w:sz w:val="22"/>
          <w:lang w:val="es-ES"/>
        </w:rPr>
        <w:t xml:space="preserve"> Respuesta </w:t>
      </w:r>
    </w:p>
    <w:p w14:paraId="514C4669" w14:textId="77777777" w:rsidR="00504A12" w:rsidRPr="0078446D" w:rsidRDefault="00504A12" w:rsidP="00504A12">
      <w:pPr>
        <w:tabs>
          <w:tab w:val="left" w:pos="0"/>
        </w:tabs>
        <w:spacing w:line="276" w:lineRule="auto"/>
        <w:jc w:val="both"/>
        <w:rPr>
          <w:rFonts w:ascii="Arial" w:eastAsia="Calibri" w:hAnsi="Arial" w:cs="Arial"/>
          <w:color w:val="000000" w:themeColor="text1"/>
          <w:sz w:val="22"/>
          <w:lang w:val="es-ES"/>
        </w:rPr>
      </w:pPr>
    </w:p>
    <w:p w14:paraId="115AAB30" w14:textId="7829B434" w:rsidR="00504A12" w:rsidRPr="000E0E3C" w:rsidRDefault="002A5470" w:rsidP="00014783">
      <w:pPr>
        <w:ind w:left="709" w:right="760"/>
        <w:jc w:val="both"/>
        <w:rPr>
          <w:rFonts w:ascii="Arial" w:eastAsia="Calibri" w:hAnsi="Arial" w:cs="Arial"/>
          <w:color w:val="000000" w:themeColor="text1"/>
          <w:sz w:val="21"/>
          <w:szCs w:val="21"/>
        </w:rPr>
      </w:pPr>
      <w:r w:rsidRPr="002A5470">
        <w:rPr>
          <w:rFonts w:ascii="Arial" w:eastAsia="Calibri" w:hAnsi="Arial" w:cs="Arial"/>
          <w:color w:val="000000" w:themeColor="text1"/>
          <w:sz w:val="21"/>
          <w:szCs w:val="21"/>
        </w:rPr>
        <w:t>«[…] la Subred Integrada de Servicios de Salud Zona Norte, dentro de sus requisitos habilitantes para contratar, viene efectuando la consulta de SARLAF (Sistema de Administración del Riesgo de lavado de activos y la financiación del Terrorismo),  fundamentado en la Circular  Externa de la Superintendencia Nacional de Salud, número  000009 del 21 de abril de 2016,  sin embargo la misma expone la necesidad de  adoptar políticas y controles para reducir riesgos en materia de contratación, en aras a evitar contratar sociedades o personas naturales vinculadas con financiación de terrorismo y lavado de activos; sin embargo, la misma  fue interpretada como un indicador para determinar la idoneidad del proponente, determinándolo como un requisito habilitante». Teniendo en cuenta lo anterior, solicita conceptuar «[…] frente el alcance de la consulta SARLAFT como requisito habilitante en materia de contratación, para las entidades que contratan bajo Régimen Especial, a fin de poder mejorar nuestros procesos contractuales de cara a la normatividad vigente, como doctrina y circulares expedidas por ustedes»</w:t>
      </w:r>
      <w:r w:rsidR="002C13B8" w:rsidRPr="000E0E3C">
        <w:rPr>
          <w:rFonts w:ascii="Arial" w:eastAsia="Calibri" w:hAnsi="Arial" w:cs="Arial"/>
          <w:color w:val="000000" w:themeColor="text1"/>
          <w:sz w:val="21"/>
          <w:szCs w:val="21"/>
        </w:rPr>
        <w:t>.</w:t>
      </w:r>
    </w:p>
    <w:p w14:paraId="4EF592A8" w14:textId="77777777" w:rsidR="00207069" w:rsidRDefault="00207069" w:rsidP="00F12295">
      <w:pPr>
        <w:spacing w:line="276" w:lineRule="auto"/>
        <w:jc w:val="both"/>
        <w:rPr>
          <w:rFonts w:ascii="Arial" w:hAnsi="Arial" w:cs="Arial"/>
          <w:color w:val="000000" w:themeColor="text1"/>
          <w:sz w:val="22"/>
        </w:rPr>
      </w:pPr>
    </w:p>
    <w:p w14:paraId="5B2C9B66" w14:textId="34234F0B" w:rsidR="00A63547" w:rsidRDefault="00A111B5" w:rsidP="00F12295">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Con fundamento en lo anteriormente expuesto, </w:t>
      </w:r>
      <w:r w:rsidR="000E0E3C">
        <w:rPr>
          <w:rFonts w:ascii="Arial" w:eastAsia="Calibri" w:hAnsi="Arial" w:cs="Arial"/>
          <w:color w:val="000000" w:themeColor="text1"/>
          <w:sz w:val="22"/>
        </w:rPr>
        <w:t xml:space="preserve">teniendo en cuenta que las entidades de régimen especial </w:t>
      </w:r>
      <w:r w:rsidR="0091521E" w:rsidRPr="000E0E3C">
        <w:rPr>
          <w:rFonts w:ascii="Arial" w:eastAsia="Calibri" w:hAnsi="Arial" w:cs="Arial"/>
          <w:color w:val="000000" w:themeColor="text1"/>
          <w:sz w:val="22"/>
          <w:lang w:val="es-ES_tradnl"/>
        </w:rPr>
        <w:t>deben</w:t>
      </w:r>
      <w:r w:rsidR="000E0E3C" w:rsidRPr="000E0E3C">
        <w:rPr>
          <w:rFonts w:ascii="Arial" w:eastAsia="Calibri" w:hAnsi="Arial" w:cs="Arial"/>
          <w:color w:val="000000" w:themeColor="text1"/>
          <w:sz w:val="22"/>
          <w:lang w:val="es-ES_tradnl"/>
        </w:rPr>
        <w:t xml:space="preserve"> cumplir unas obligaciones transversales a la contratación pública</w:t>
      </w:r>
      <w:r w:rsidR="003A5D1E">
        <w:rPr>
          <w:rFonts w:ascii="Arial" w:eastAsia="Calibri" w:hAnsi="Arial" w:cs="Arial"/>
          <w:color w:val="000000" w:themeColor="text1"/>
          <w:sz w:val="22"/>
          <w:lang w:val="es-ES_tradnl"/>
        </w:rPr>
        <w:t xml:space="preserve"> conforme al artículo 13 de la Ley 1150 de 2007</w:t>
      </w:r>
      <w:r w:rsidR="00D37F94">
        <w:rPr>
          <w:rFonts w:ascii="Arial" w:eastAsia="Calibri" w:hAnsi="Arial" w:cs="Arial"/>
          <w:color w:val="000000" w:themeColor="text1"/>
          <w:sz w:val="22"/>
          <w:lang w:val="es-ES_tradnl"/>
        </w:rPr>
        <w:t>,</w:t>
      </w:r>
      <w:r w:rsidR="000E0E3C">
        <w:rPr>
          <w:rFonts w:ascii="Arial" w:eastAsia="Calibri" w:hAnsi="Arial" w:cs="Arial"/>
          <w:color w:val="000000" w:themeColor="text1"/>
          <w:sz w:val="22"/>
          <w:lang w:val="es-ES_tradnl"/>
        </w:rPr>
        <w:t xml:space="preserve"> </w:t>
      </w:r>
      <w:r w:rsidR="000C558D">
        <w:rPr>
          <w:rFonts w:ascii="Arial" w:eastAsia="Calibri" w:hAnsi="Arial" w:cs="Arial"/>
          <w:color w:val="000000" w:themeColor="text1"/>
          <w:sz w:val="22"/>
        </w:rPr>
        <w:t>las medidas implementadas para el cumplimiento del</w:t>
      </w:r>
      <w:r>
        <w:rPr>
          <w:rFonts w:ascii="Arial" w:eastAsia="Calibri" w:hAnsi="Arial" w:cs="Arial"/>
          <w:color w:val="000000" w:themeColor="text1"/>
          <w:sz w:val="22"/>
        </w:rPr>
        <w:t xml:space="preserve"> </w:t>
      </w:r>
      <w:r w:rsidRPr="00A111B5">
        <w:rPr>
          <w:rFonts w:ascii="Arial" w:eastAsia="Calibri" w:hAnsi="Arial" w:cs="Arial"/>
          <w:color w:val="000000" w:themeColor="text1"/>
          <w:sz w:val="22"/>
        </w:rPr>
        <w:t>SARLAFT</w:t>
      </w:r>
      <w:r w:rsidR="008E5015">
        <w:rPr>
          <w:rFonts w:ascii="Arial" w:eastAsia="Calibri" w:hAnsi="Arial" w:cs="Arial"/>
          <w:color w:val="000000" w:themeColor="text1"/>
          <w:sz w:val="22"/>
        </w:rPr>
        <w:t xml:space="preserve">, especialmente, los reportes obligatorios </w:t>
      </w:r>
      <w:r w:rsidR="00AA14B3">
        <w:rPr>
          <w:rFonts w:ascii="Arial" w:eastAsia="Calibri" w:hAnsi="Arial" w:cs="Arial"/>
          <w:color w:val="000000" w:themeColor="text1"/>
          <w:sz w:val="22"/>
        </w:rPr>
        <w:t>realizados</w:t>
      </w:r>
      <w:r w:rsidR="008E5015">
        <w:rPr>
          <w:rFonts w:ascii="Arial" w:eastAsia="Calibri" w:hAnsi="Arial" w:cs="Arial"/>
          <w:color w:val="000000" w:themeColor="text1"/>
          <w:sz w:val="22"/>
        </w:rPr>
        <w:t xml:space="preserve"> a la </w:t>
      </w:r>
      <w:r w:rsidR="008E5015" w:rsidRPr="008E5015">
        <w:rPr>
          <w:rFonts w:ascii="Arial" w:eastAsia="Calibri" w:hAnsi="Arial" w:cs="Arial"/>
          <w:color w:val="000000" w:themeColor="text1"/>
          <w:sz w:val="22"/>
        </w:rPr>
        <w:t>Unidad de Información y Análisis Financiero</w:t>
      </w:r>
      <w:r w:rsidR="00ED28F5">
        <w:rPr>
          <w:rFonts w:ascii="Arial" w:eastAsia="Calibri" w:hAnsi="Arial" w:cs="Arial"/>
          <w:color w:val="000000" w:themeColor="text1"/>
          <w:sz w:val="22"/>
        </w:rPr>
        <w:t xml:space="preserve">, </w:t>
      </w:r>
      <w:r w:rsidRPr="00A111B5">
        <w:rPr>
          <w:rFonts w:ascii="Arial" w:eastAsia="Calibri" w:hAnsi="Arial" w:cs="Arial"/>
          <w:color w:val="000000" w:themeColor="text1"/>
          <w:sz w:val="22"/>
        </w:rPr>
        <w:t xml:space="preserve">no </w:t>
      </w:r>
      <w:r w:rsidR="000C558D">
        <w:rPr>
          <w:rFonts w:ascii="Arial" w:eastAsia="Calibri" w:hAnsi="Arial" w:cs="Arial"/>
          <w:color w:val="000000" w:themeColor="text1"/>
          <w:sz w:val="22"/>
        </w:rPr>
        <w:t xml:space="preserve">pueden </w:t>
      </w:r>
      <w:r w:rsidR="00457061">
        <w:rPr>
          <w:rFonts w:ascii="Arial" w:eastAsia="Calibri" w:hAnsi="Arial" w:cs="Arial"/>
          <w:color w:val="000000" w:themeColor="text1"/>
          <w:sz w:val="22"/>
        </w:rPr>
        <w:t>erigirse como causales de rechazo o inhabilidad de las propuestas</w:t>
      </w:r>
      <w:r w:rsidR="003A5D1E">
        <w:rPr>
          <w:rFonts w:ascii="Arial" w:eastAsia="Calibri" w:hAnsi="Arial" w:cs="Arial"/>
          <w:color w:val="000000" w:themeColor="text1"/>
          <w:sz w:val="22"/>
        </w:rPr>
        <w:t xml:space="preserve">. </w:t>
      </w:r>
      <w:r w:rsidR="000C558D">
        <w:rPr>
          <w:rFonts w:ascii="Arial" w:eastAsia="Calibri" w:hAnsi="Arial" w:cs="Arial"/>
          <w:color w:val="000000" w:themeColor="text1"/>
          <w:sz w:val="22"/>
        </w:rPr>
        <w:t>Al respecto</w:t>
      </w:r>
      <w:r w:rsidR="003A5D1E" w:rsidRPr="009C3A2B">
        <w:rPr>
          <w:rFonts w:ascii="Arial" w:hAnsi="Arial" w:cs="Arial"/>
          <w:color w:val="000000" w:themeColor="text1"/>
          <w:sz w:val="22"/>
        </w:rPr>
        <w:t xml:space="preserve">, si bien la Administración tiene facultad para </w:t>
      </w:r>
      <w:r w:rsidR="00F27FA8">
        <w:rPr>
          <w:rFonts w:ascii="Arial" w:hAnsi="Arial" w:cs="Arial"/>
          <w:color w:val="000000" w:themeColor="text1"/>
          <w:sz w:val="22"/>
        </w:rPr>
        <w:t>disponer</w:t>
      </w:r>
      <w:r w:rsidR="003A5D1E" w:rsidRPr="009C3A2B">
        <w:rPr>
          <w:rFonts w:ascii="Arial" w:hAnsi="Arial" w:cs="Arial"/>
          <w:color w:val="000000" w:themeColor="text1"/>
          <w:sz w:val="22"/>
        </w:rPr>
        <w:t xml:space="preserve"> causales de rechazo o exclusión de ofertas en sus procesos de selección, que consulten la necesidad de </w:t>
      </w:r>
      <w:r w:rsidR="00F27FA8">
        <w:rPr>
          <w:rFonts w:ascii="Arial" w:hAnsi="Arial" w:cs="Arial"/>
          <w:color w:val="000000" w:themeColor="text1"/>
          <w:sz w:val="22"/>
        </w:rPr>
        <w:t>unas</w:t>
      </w:r>
      <w:r w:rsidR="003A5D1E" w:rsidRPr="009C3A2B">
        <w:rPr>
          <w:rFonts w:ascii="Arial" w:hAnsi="Arial" w:cs="Arial"/>
          <w:color w:val="000000" w:themeColor="text1"/>
          <w:sz w:val="22"/>
        </w:rPr>
        <w:t xml:space="preserve"> exigencias mínimas que deben satisfacer los proponentes para la ejecución del objeto contractual, lo cierto es que esas facultades no le permiten fijar requerimientos que al ser analizados a fondo </w:t>
      </w:r>
      <w:r w:rsidR="007A3372">
        <w:rPr>
          <w:rFonts w:ascii="Arial" w:hAnsi="Arial" w:cs="Arial"/>
          <w:color w:val="000000" w:themeColor="text1"/>
          <w:sz w:val="22"/>
        </w:rPr>
        <w:t xml:space="preserve">puedan </w:t>
      </w:r>
      <w:r w:rsidR="003A5D1E" w:rsidRPr="009C3A2B">
        <w:rPr>
          <w:rFonts w:ascii="Arial" w:hAnsi="Arial" w:cs="Arial"/>
          <w:color w:val="000000" w:themeColor="text1"/>
          <w:sz w:val="22"/>
        </w:rPr>
        <w:t>constitu</w:t>
      </w:r>
      <w:r w:rsidR="007A3372">
        <w:rPr>
          <w:rFonts w:ascii="Arial" w:hAnsi="Arial" w:cs="Arial"/>
          <w:color w:val="000000" w:themeColor="text1"/>
          <w:sz w:val="22"/>
        </w:rPr>
        <w:t>irse</w:t>
      </w:r>
      <w:r w:rsidR="003A5D1E" w:rsidRPr="009C3A2B">
        <w:rPr>
          <w:rFonts w:ascii="Arial" w:hAnsi="Arial" w:cs="Arial"/>
          <w:color w:val="000000" w:themeColor="text1"/>
          <w:sz w:val="22"/>
        </w:rPr>
        <w:t xml:space="preserve"> hechos o situaciones propias del régimen de inhabilidades o incompatibilidades</w:t>
      </w:r>
      <w:r w:rsidR="00AC3169">
        <w:rPr>
          <w:rFonts w:ascii="Arial" w:eastAsia="Calibri" w:hAnsi="Arial" w:cs="Arial"/>
          <w:color w:val="000000" w:themeColor="text1"/>
          <w:sz w:val="22"/>
        </w:rPr>
        <w:t xml:space="preserve">. </w:t>
      </w:r>
    </w:p>
    <w:p w14:paraId="0567997C" w14:textId="125F3862" w:rsidR="00085E2D" w:rsidRDefault="003A5D1E" w:rsidP="00F12295">
      <w:pPr>
        <w:spacing w:after="120" w:line="276" w:lineRule="auto"/>
        <w:ind w:firstLine="708"/>
        <w:jc w:val="both"/>
        <w:rPr>
          <w:rFonts w:ascii="Arial" w:hAnsi="Arial" w:cs="Arial"/>
          <w:color w:val="000000" w:themeColor="text1"/>
          <w:sz w:val="22"/>
          <w:lang w:val="es-ES_tradnl"/>
        </w:rPr>
      </w:pPr>
      <w:r>
        <w:rPr>
          <w:rFonts w:ascii="Arial" w:eastAsia="Calibri" w:hAnsi="Arial" w:cs="Arial"/>
          <w:color w:val="000000" w:themeColor="text1"/>
          <w:sz w:val="22"/>
        </w:rPr>
        <w:t>Bajo esta perspectiva</w:t>
      </w:r>
      <w:r w:rsidR="00AC3169">
        <w:rPr>
          <w:rFonts w:ascii="Arial" w:eastAsia="Calibri" w:hAnsi="Arial" w:cs="Arial"/>
          <w:color w:val="000000" w:themeColor="text1"/>
          <w:sz w:val="22"/>
        </w:rPr>
        <w:t>,</w:t>
      </w:r>
      <w:r w:rsidR="00A63547">
        <w:rPr>
          <w:rFonts w:ascii="Arial" w:eastAsia="Calibri" w:hAnsi="Arial" w:cs="Arial"/>
          <w:color w:val="000000" w:themeColor="text1"/>
          <w:sz w:val="22"/>
        </w:rPr>
        <w:t xml:space="preserve"> la </w:t>
      </w:r>
      <w:r w:rsidR="000C558D">
        <w:rPr>
          <w:rFonts w:ascii="Arial" w:eastAsia="Calibri" w:hAnsi="Arial" w:cs="Arial"/>
          <w:color w:val="000000" w:themeColor="text1"/>
          <w:sz w:val="22"/>
        </w:rPr>
        <w:t xml:space="preserve">Circular Externa </w:t>
      </w:r>
      <w:r w:rsidR="00A63547">
        <w:rPr>
          <w:rFonts w:ascii="Arial" w:eastAsia="Calibri" w:hAnsi="Arial" w:cs="Arial"/>
          <w:color w:val="000000" w:themeColor="text1"/>
          <w:sz w:val="22"/>
        </w:rPr>
        <w:t>N° 09 de 2016,</w:t>
      </w:r>
      <w:r w:rsidR="00A63547" w:rsidRPr="00A111B5">
        <w:rPr>
          <w:rFonts w:ascii="Arial" w:eastAsia="Calibri" w:hAnsi="Arial" w:cs="Arial"/>
          <w:color w:val="000000" w:themeColor="text1"/>
          <w:sz w:val="22"/>
        </w:rPr>
        <w:t xml:space="preserve"> </w:t>
      </w:r>
      <w:r w:rsidR="00A63547">
        <w:rPr>
          <w:rFonts w:ascii="Arial" w:eastAsia="Calibri" w:hAnsi="Arial" w:cs="Arial"/>
          <w:color w:val="000000" w:themeColor="text1"/>
          <w:sz w:val="22"/>
        </w:rPr>
        <w:t xml:space="preserve">expedida por la Superintendencia Nacional de Salud, </w:t>
      </w:r>
      <w:r w:rsidR="00A63547" w:rsidRPr="00A111B5">
        <w:rPr>
          <w:rFonts w:ascii="Arial" w:eastAsia="Calibri" w:hAnsi="Arial" w:cs="Arial"/>
          <w:color w:val="000000" w:themeColor="text1"/>
          <w:sz w:val="22"/>
        </w:rPr>
        <w:t>es un documento que constituye una política pública de manejo del riesgo</w:t>
      </w:r>
      <w:r w:rsidR="00A63547">
        <w:rPr>
          <w:rFonts w:ascii="Arial" w:eastAsia="Calibri" w:hAnsi="Arial" w:cs="Arial"/>
          <w:color w:val="000000" w:themeColor="text1"/>
          <w:sz w:val="22"/>
        </w:rPr>
        <w:t xml:space="preserve"> contra el lavado de activos y financiación del terrorismo</w:t>
      </w:r>
      <w:r w:rsidR="00A63547" w:rsidRPr="00A111B5">
        <w:rPr>
          <w:rFonts w:ascii="Arial" w:eastAsia="Calibri" w:hAnsi="Arial" w:cs="Arial"/>
          <w:color w:val="000000" w:themeColor="text1"/>
          <w:sz w:val="22"/>
        </w:rPr>
        <w:t>, que debe</w:t>
      </w:r>
      <w:r w:rsidR="00A63547">
        <w:rPr>
          <w:rFonts w:ascii="Arial" w:eastAsia="Calibri" w:hAnsi="Arial" w:cs="Arial"/>
          <w:color w:val="000000" w:themeColor="text1"/>
          <w:sz w:val="22"/>
        </w:rPr>
        <w:t xml:space="preserve">n elaborar los </w:t>
      </w:r>
      <w:r w:rsidR="00A63547" w:rsidRPr="00AC3169">
        <w:rPr>
          <w:rFonts w:ascii="Arial" w:eastAsia="Calibri" w:hAnsi="Arial" w:cs="Arial"/>
          <w:color w:val="000000" w:themeColor="text1"/>
          <w:sz w:val="22"/>
          <w:lang w:val="es-CO"/>
        </w:rPr>
        <w:t>agentes del Sistema General de Seguridad Social en Salud</w:t>
      </w:r>
      <w:r w:rsidR="00A63547" w:rsidRPr="00AC3169">
        <w:rPr>
          <w:rFonts w:ascii="Arial" w:eastAsia="Calibri" w:hAnsi="Arial" w:cs="Arial"/>
          <w:color w:val="000000" w:themeColor="text1"/>
          <w:sz w:val="22"/>
        </w:rPr>
        <w:t>,</w:t>
      </w:r>
      <w:r w:rsidR="00A63547" w:rsidRPr="00A111B5">
        <w:rPr>
          <w:rFonts w:ascii="Arial" w:eastAsia="Calibri" w:hAnsi="Arial" w:cs="Arial"/>
          <w:color w:val="000000" w:themeColor="text1"/>
          <w:sz w:val="22"/>
        </w:rPr>
        <w:t xml:space="preserve"> para cumplir de esta manera, las actividades de las que </w:t>
      </w:r>
      <w:r w:rsidR="00A63547">
        <w:rPr>
          <w:rFonts w:ascii="Arial" w:eastAsia="Calibri" w:hAnsi="Arial" w:cs="Arial"/>
          <w:color w:val="000000" w:themeColor="text1"/>
          <w:sz w:val="22"/>
        </w:rPr>
        <w:t>las que van a ser sujetos de inspección, vigilancia y control. En esta medida</w:t>
      </w:r>
      <w:r w:rsidR="00AC3169">
        <w:rPr>
          <w:rFonts w:ascii="Arial" w:eastAsia="Calibri" w:hAnsi="Arial" w:cs="Arial"/>
          <w:color w:val="000000" w:themeColor="text1"/>
          <w:sz w:val="22"/>
        </w:rPr>
        <w:t xml:space="preserve"> podrá contempla</w:t>
      </w:r>
      <w:r w:rsidR="000C558D">
        <w:rPr>
          <w:rFonts w:ascii="Arial" w:eastAsia="Calibri" w:hAnsi="Arial" w:cs="Arial"/>
          <w:color w:val="000000" w:themeColor="text1"/>
          <w:sz w:val="22"/>
        </w:rPr>
        <w:t>rse</w:t>
      </w:r>
      <w:r w:rsidR="00AC3169">
        <w:rPr>
          <w:rFonts w:ascii="Arial" w:eastAsia="Calibri" w:hAnsi="Arial" w:cs="Arial"/>
          <w:color w:val="000000" w:themeColor="text1"/>
          <w:sz w:val="22"/>
        </w:rPr>
        <w:t xml:space="preserve"> </w:t>
      </w:r>
      <w:r w:rsidR="00A111B5" w:rsidRPr="00A111B5">
        <w:rPr>
          <w:rFonts w:ascii="Arial" w:eastAsia="Calibri" w:hAnsi="Arial" w:cs="Arial"/>
          <w:color w:val="000000" w:themeColor="text1"/>
          <w:sz w:val="22"/>
        </w:rPr>
        <w:t xml:space="preserve">como </w:t>
      </w:r>
      <w:r w:rsidR="00AC3169">
        <w:rPr>
          <w:rFonts w:ascii="Arial" w:eastAsia="Calibri" w:hAnsi="Arial" w:cs="Arial"/>
          <w:color w:val="000000" w:themeColor="text1"/>
          <w:sz w:val="22"/>
        </w:rPr>
        <w:t>un riesgo durante la etapa de</w:t>
      </w:r>
      <w:r w:rsidR="00DB4834">
        <w:rPr>
          <w:rFonts w:ascii="Arial" w:eastAsia="Calibri" w:hAnsi="Arial" w:cs="Arial"/>
          <w:color w:val="000000" w:themeColor="text1"/>
          <w:sz w:val="22"/>
        </w:rPr>
        <w:t xml:space="preserve"> </w:t>
      </w:r>
      <w:r w:rsidR="00DB4834">
        <w:rPr>
          <w:rFonts w:ascii="Arial" w:eastAsia="Calibri" w:hAnsi="Arial" w:cs="Arial"/>
          <w:color w:val="000000" w:themeColor="text1"/>
          <w:sz w:val="22"/>
        </w:rPr>
        <w:lastRenderedPageBreak/>
        <w:t>planeación y</w:t>
      </w:r>
      <w:r w:rsidR="00AC3169">
        <w:rPr>
          <w:rFonts w:ascii="Arial" w:eastAsia="Calibri" w:hAnsi="Arial" w:cs="Arial"/>
          <w:color w:val="000000" w:themeColor="text1"/>
          <w:sz w:val="22"/>
        </w:rPr>
        <w:t xml:space="preserve"> ejecución contractual</w:t>
      </w:r>
      <w:r w:rsidR="00ED28F5">
        <w:rPr>
          <w:rFonts w:ascii="Arial" w:eastAsia="Calibri" w:hAnsi="Arial" w:cs="Arial"/>
          <w:color w:val="000000" w:themeColor="text1"/>
          <w:sz w:val="22"/>
        </w:rPr>
        <w:t xml:space="preserve">, caso en el cual </w:t>
      </w:r>
      <w:r w:rsidR="00F27FA8">
        <w:rPr>
          <w:rFonts w:ascii="Arial" w:eastAsia="Calibri" w:hAnsi="Arial" w:cs="Arial"/>
          <w:color w:val="000000" w:themeColor="text1"/>
          <w:sz w:val="22"/>
        </w:rPr>
        <w:t xml:space="preserve">–de acuerdo a lo previsto en los estudios previos, la invitación y las cláusulas del contrato– </w:t>
      </w:r>
      <w:r w:rsidR="00ED28F5">
        <w:rPr>
          <w:rFonts w:ascii="Arial" w:eastAsia="Calibri" w:hAnsi="Arial" w:cs="Arial"/>
          <w:color w:val="000000" w:themeColor="text1"/>
          <w:sz w:val="22"/>
        </w:rPr>
        <w:t xml:space="preserve">adoptará </w:t>
      </w:r>
      <w:r w:rsidR="007A3372">
        <w:rPr>
          <w:rFonts w:ascii="Arial" w:eastAsia="Calibri" w:hAnsi="Arial" w:cs="Arial"/>
          <w:color w:val="000000" w:themeColor="text1"/>
          <w:sz w:val="22"/>
        </w:rPr>
        <w:t>medidas</w:t>
      </w:r>
      <w:r w:rsidR="00F27FA8">
        <w:rPr>
          <w:rFonts w:ascii="Arial" w:eastAsia="Calibri" w:hAnsi="Arial" w:cs="Arial"/>
          <w:color w:val="000000" w:themeColor="text1"/>
          <w:sz w:val="22"/>
        </w:rPr>
        <w:t xml:space="preserve"> para mitigar</w:t>
      </w:r>
      <w:r w:rsidR="007A3372">
        <w:rPr>
          <w:rFonts w:ascii="Arial" w:eastAsia="Calibri" w:hAnsi="Arial" w:cs="Arial"/>
          <w:color w:val="000000" w:themeColor="text1"/>
          <w:sz w:val="22"/>
        </w:rPr>
        <w:t xml:space="preserve"> la concreción o materialización de riesgos relacionados con el lavado de activos y financiación del terrorismo</w:t>
      </w:r>
      <w:r w:rsidR="0079045C" w:rsidRPr="0079045C">
        <w:rPr>
          <w:rFonts w:ascii="Arial" w:hAnsi="Arial" w:cs="Arial"/>
          <w:color w:val="000000" w:themeColor="text1"/>
          <w:sz w:val="22"/>
          <w:lang w:val="es-ES_tradnl"/>
        </w:rPr>
        <w:t>.</w:t>
      </w:r>
    </w:p>
    <w:p w14:paraId="2C3EB500" w14:textId="77777777" w:rsidR="00645C67" w:rsidRPr="0079045C" w:rsidRDefault="00645C67" w:rsidP="00F12295">
      <w:pPr>
        <w:spacing w:line="276" w:lineRule="auto"/>
        <w:jc w:val="both"/>
        <w:rPr>
          <w:rFonts w:ascii="Arial" w:hAnsi="Arial" w:cs="Arial"/>
          <w:color w:val="000000" w:themeColor="text1"/>
          <w:sz w:val="22"/>
          <w:lang w:val="es-ES_tradnl"/>
        </w:rPr>
      </w:pPr>
    </w:p>
    <w:p w14:paraId="735D6CF5" w14:textId="77777777" w:rsidR="00504A12" w:rsidRPr="0078446D" w:rsidRDefault="00504A12" w:rsidP="00F12295">
      <w:pPr>
        <w:spacing w:line="276" w:lineRule="auto"/>
        <w:jc w:val="both"/>
        <w:rPr>
          <w:rFonts w:ascii="Arial" w:hAnsi="Arial" w:cs="Arial"/>
          <w:color w:val="000000" w:themeColor="text1"/>
          <w:sz w:val="22"/>
        </w:rPr>
      </w:pPr>
      <w:r w:rsidRPr="0078446D">
        <w:rPr>
          <w:rFonts w:ascii="Arial" w:hAnsi="Arial" w:cs="Arial"/>
          <w:color w:val="000000" w:themeColor="text1"/>
          <w:sz w:val="22"/>
        </w:rPr>
        <w:t>Este concepto tiene el alcance previsto en el artículo 28 del Código de Procedimiento Administrativo y de lo Contencioso Administrativo.</w:t>
      </w:r>
    </w:p>
    <w:p w14:paraId="6229DBD4" w14:textId="77777777" w:rsidR="00504A12" w:rsidRPr="0078446D" w:rsidRDefault="00504A12" w:rsidP="00504A12">
      <w:pPr>
        <w:pStyle w:val="NormalWeb"/>
        <w:spacing w:before="0" w:beforeAutospacing="0" w:after="0" w:afterAutospacing="0" w:line="276" w:lineRule="auto"/>
        <w:jc w:val="both"/>
        <w:rPr>
          <w:rFonts w:ascii="Arial" w:hAnsi="Arial" w:cs="Arial"/>
          <w:color w:val="000000" w:themeColor="text1"/>
          <w:sz w:val="22"/>
          <w:szCs w:val="22"/>
          <w:lang w:val="es-MX"/>
        </w:rPr>
      </w:pPr>
    </w:p>
    <w:p w14:paraId="790F7478" w14:textId="4063FCE9" w:rsidR="00504A12" w:rsidRDefault="00504A12" w:rsidP="005A16D5">
      <w:pPr>
        <w:pStyle w:val="NormalWeb"/>
        <w:spacing w:before="0" w:beforeAutospacing="0" w:after="0" w:afterAutospacing="0" w:line="276" w:lineRule="auto"/>
        <w:jc w:val="both"/>
        <w:rPr>
          <w:rFonts w:ascii="Arial" w:hAnsi="Arial" w:cs="Arial"/>
          <w:color w:val="000000" w:themeColor="text1"/>
          <w:sz w:val="22"/>
          <w:szCs w:val="22"/>
          <w:lang w:val="es-MX"/>
        </w:rPr>
      </w:pPr>
      <w:r w:rsidRPr="0078446D">
        <w:rPr>
          <w:rFonts w:ascii="Arial" w:hAnsi="Arial" w:cs="Arial"/>
          <w:color w:val="000000" w:themeColor="text1"/>
          <w:sz w:val="22"/>
          <w:szCs w:val="22"/>
          <w:lang w:val="es-MX"/>
        </w:rPr>
        <w:t>Atentamente,</w:t>
      </w:r>
    </w:p>
    <w:p w14:paraId="56EA537B" w14:textId="77777777" w:rsidR="005A16D5" w:rsidRPr="005A16D5" w:rsidRDefault="005A16D5" w:rsidP="005A16D5">
      <w:pPr>
        <w:pStyle w:val="NormalWeb"/>
        <w:spacing w:before="0" w:beforeAutospacing="0" w:after="0" w:afterAutospacing="0" w:line="276" w:lineRule="auto"/>
        <w:jc w:val="both"/>
        <w:rPr>
          <w:rFonts w:ascii="Arial" w:hAnsi="Arial" w:cs="Arial"/>
          <w:color w:val="000000" w:themeColor="text1"/>
          <w:sz w:val="22"/>
          <w:szCs w:val="22"/>
          <w:lang w:val="es-MX"/>
        </w:rPr>
      </w:pPr>
    </w:p>
    <w:p w14:paraId="13FD4655" w14:textId="61785B9D" w:rsidR="005A16D5" w:rsidRPr="005A16D5" w:rsidRDefault="002F0208" w:rsidP="005A16D5">
      <w:pPr>
        <w:jc w:val="center"/>
        <w:rPr>
          <w:rFonts w:ascii="Arial" w:hAnsi="Arial" w:cs="Arial"/>
          <w:b/>
          <w:noProof/>
          <w:color w:val="404040" w:themeColor="text1" w:themeTint="BF"/>
          <w:lang w:val="es-ES_tradnl" w:eastAsia="es-CO"/>
        </w:rPr>
      </w:pPr>
      <w:r>
        <w:rPr>
          <w:noProof/>
          <w:lang w:eastAsia="es-CO"/>
        </w:rPr>
        <w:drawing>
          <wp:inline distT="0" distB="0" distL="0" distR="0" wp14:anchorId="3B969CBE" wp14:editId="1C07F80C">
            <wp:extent cx="2514600" cy="111252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767FE9E4" w14:textId="77777777" w:rsidR="005A16D5" w:rsidRPr="005A16D5" w:rsidRDefault="005A16D5" w:rsidP="005A16D5">
      <w:pPr>
        <w:jc w:val="center"/>
        <w:rPr>
          <w:rFonts w:ascii="Arial" w:hAnsi="Arial" w:cs="Arial"/>
          <w:b/>
          <w:noProof/>
          <w:color w:val="404040" w:themeColor="text1" w:themeTint="BF"/>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A16D5" w:rsidRPr="005A16D5" w14:paraId="4ED102D1" w14:textId="77777777" w:rsidTr="005A16D5">
        <w:trPr>
          <w:trHeight w:val="315"/>
        </w:trPr>
        <w:tc>
          <w:tcPr>
            <w:tcW w:w="812" w:type="dxa"/>
            <w:vAlign w:val="center"/>
            <w:hideMark/>
          </w:tcPr>
          <w:p w14:paraId="243CC6D1" w14:textId="77777777" w:rsidR="005A16D5" w:rsidRPr="005A16D5" w:rsidRDefault="005A16D5" w:rsidP="005A16D5">
            <w:pPr>
              <w:jc w:val="center"/>
              <w:rPr>
                <w:rFonts w:ascii="Arial" w:hAnsi="Arial" w:cs="Arial"/>
                <w:noProof/>
                <w:color w:val="404040" w:themeColor="text1" w:themeTint="BF"/>
                <w:sz w:val="16"/>
                <w:lang w:val="es-ES_tradnl" w:eastAsia="es-CO"/>
              </w:rPr>
            </w:pPr>
            <w:r w:rsidRPr="005A16D5">
              <w:rPr>
                <w:rFonts w:ascii="Arial" w:hAnsi="Arial" w:cs="Arial"/>
                <w:noProof/>
                <w:color w:val="404040" w:themeColor="text1" w:themeTint="BF"/>
                <w:sz w:val="16"/>
                <w:lang w:val="es-ES_tradnl" w:eastAsia="es-CO"/>
              </w:rPr>
              <w:t>Elaboró:</w:t>
            </w:r>
          </w:p>
        </w:tc>
        <w:tc>
          <w:tcPr>
            <w:tcW w:w="4413" w:type="dxa"/>
            <w:tcBorders>
              <w:top w:val="nil"/>
              <w:left w:val="nil"/>
              <w:bottom w:val="dotted" w:sz="4" w:space="0" w:color="7F7F7F" w:themeColor="text1" w:themeTint="80"/>
              <w:right w:val="nil"/>
            </w:tcBorders>
            <w:vAlign w:val="center"/>
            <w:hideMark/>
          </w:tcPr>
          <w:p w14:paraId="4AA4047C" w14:textId="77777777" w:rsidR="005A16D5" w:rsidRPr="005A16D5" w:rsidRDefault="005A16D5" w:rsidP="005A16D5">
            <w:pPr>
              <w:rPr>
                <w:rFonts w:ascii="Arial" w:hAnsi="Arial" w:cs="Arial"/>
                <w:noProof/>
                <w:color w:val="404040" w:themeColor="text1" w:themeTint="BF"/>
                <w:sz w:val="16"/>
                <w:lang w:val="es-ES_tradnl" w:eastAsia="es-CO"/>
              </w:rPr>
            </w:pPr>
            <w:r w:rsidRPr="005A16D5">
              <w:rPr>
                <w:rFonts w:ascii="Arial" w:hAnsi="Arial" w:cs="Arial"/>
                <w:noProof/>
                <w:color w:val="404040" w:themeColor="text1" w:themeTint="BF"/>
                <w:sz w:val="16"/>
                <w:lang w:val="es-ES_tradnl" w:eastAsia="es-CO"/>
              </w:rPr>
              <w:t>Deisy Joanna Forero Forero</w:t>
            </w:r>
          </w:p>
          <w:p w14:paraId="114CEA9B" w14:textId="77777777" w:rsidR="005A16D5" w:rsidRPr="005A16D5" w:rsidRDefault="005A16D5" w:rsidP="005A16D5">
            <w:pPr>
              <w:rPr>
                <w:rFonts w:ascii="Arial" w:hAnsi="Arial" w:cs="Arial"/>
                <w:noProof/>
                <w:color w:val="404040" w:themeColor="text1" w:themeTint="BF"/>
                <w:sz w:val="16"/>
                <w:lang w:val="es-ES_tradnl" w:eastAsia="es-CO"/>
              </w:rPr>
            </w:pPr>
            <w:r w:rsidRPr="005A16D5">
              <w:rPr>
                <w:rFonts w:ascii="Arial" w:hAnsi="Arial" w:cs="Arial"/>
                <w:noProof/>
                <w:color w:val="404040" w:themeColor="text1" w:themeTint="BF"/>
                <w:sz w:val="16"/>
                <w:lang w:val="es-ES_tradnl" w:eastAsia="es-CO"/>
              </w:rPr>
              <w:t>Contratista de la Subdirección de Gestión Contractual</w:t>
            </w:r>
          </w:p>
        </w:tc>
      </w:tr>
      <w:tr w:rsidR="005A16D5" w:rsidRPr="005A16D5" w14:paraId="5297A085" w14:textId="77777777" w:rsidTr="005A16D5">
        <w:trPr>
          <w:trHeight w:val="330"/>
        </w:trPr>
        <w:tc>
          <w:tcPr>
            <w:tcW w:w="812" w:type="dxa"/>
            <w:vAlign w:val="center"/>
            <w:hideMark/>
          </w:tcPr>
          <w:p w14:paraId="4365E2D8" w14:textId="77777777" w:rsidR="005A16D5" w:rsidRPr="005A16D5" w:rsidRDefault="005A16D5" w:rsidP="005A16D5">
            <w:pPr>
              <w:jc w:val="center"/>
              <w:rPr>
                <w:rFonts w:ascii="Arial" w:hAnsi="Arial" w:cs="Arial"/>
                <w:noProof/>
                <w:color w:val="404040" w:themeColor="text1" w:themeTint="BF"/>
                <w:sz w:val="16"/>
                <w:lang w:val="es-ES_tradnl" w:eastAsia="es-CO"/>
              </w:rPr>
            </w:pPr>
            <w:r w:rsidRPr="005A16D5">
              <w:rPr>
                <w:rFonts w:ascii="Arial" w:hAnsi="Arial" w:cs="Arial"/>
                <w:noProof/>
                <w:color w:val="404040" w:themeColor="text1" w:themeTint="BF"/>
                <w:sz w:val="16"/>
                <w:lang w:val="es-ES_tradnl" w:eastAsia="es-CO"/>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BC46EB" w14:textId="381E45A4" w:rsidR="005A16D5" w:rsidRPr="005A16D5" w:rsidRDefault="00CB2D2E" w:rsidP="005A16D5">
            <w:pPr>
              <w:rPr>
                <w:rFonts w:ascii="Arial" w:hAnsi="Arial" w:cs="Arial"/>
                <w:noProof/>
                <w:color w:val="404040" w:themeColor="text1" w:themeTint="BF"/>
                <w:sz w:val="16"/>
                <w:lang w:val="es-ES_tradnl" w:eastAsia="es-CO"/>
              </w:rPr>
            </w:pPr>
            <w:r>
              <w:rPr>
                <w:rFonts w:ascii="Arial" w:hAnsi="Arial" w:cs="Arial"/>
                <w:noProof/>
                <w:color w:val="404040" w:themeColor="text1" w:themeTint="BF"/>
                <w:sz w:val="16"/>
                <w:lang w:val="es-ES_tradnl" w:eastAsia="es-CO"/>
              </w:rPr>
              <w:t xml:space="preserve">Juan David Montoya Penagos </w:t>
            </w:r>
          </w:p>
          <w:p w14:paraId="6FF98607" w14:textId="610F8AA2" w:rsidR="005A16D5" w:rsidRPr="005A16D5" w:rsidRDefault="00CB2D2E" w:rsidP="005A16D5">
            <w:pPr>
              <w:rPr>
                <w:rFonts w:ascii="Arial" w:hAnsi="Arial" w:cs="Arial"/>
                <w:noProof/>
                <w:color w:val="404040" w:themeColor="text1" w:themeTint="BF"/>
                <w:sz w:val="16"/>
                <w:lang w:val="es-ES_tradnl" w:eastAsia="es-CO"/>
              </w:rPr>
            </w:pPr>
            <w:r>
              <w:rPr>
                <w:rFonts w:ascii="Arial" w:hAnsi="Arial" w:cs="Arial"/>
                <w:noProof/>
                <w:color w:val="404040" w:themeColor="text1" w:themeTint="BF"/>
                <w:sz w:val="16"/>
                <w:lang w:val="es-ES_tradnl" w:eastAsia="es-CO"/>
              </w:rPr>
              <w:t>Gestor T1-15</w:t>
            </w:r>
            <w:r w:rsidRPr="005A16D5">
              <w:rPr>
                <w:rFonts w:ascii="Arial" w:hAnsi="Arial" w:cs="Arial"/>
                <w:noProof/>
                <w:color w:val="404040" w:themeColor="text1" w:themeTint="BF"/>
                <w:sz w:val="16"/>
                <w:lang w:val="es-ES_tradnl" w:eastAsia="es-CO"/>
              </w:rPr>
              <w:t xml:space="preserve"> </w:t>
            </w:r>
            <w:r w:rsidR="005A16D5" w:rsidRPr="005A16D5">
              <w:rPr>
                <w:rFonts w:ascii="Arial" w:hAnsi="Arial" w:cs="Arial"/>
                <w:noProof/>
                <w:color w:val="404040" w:themeColor="text1" w:themeTint="BF"/>
                <w:sz w:val="16"/>
                <w:lang w:val="es-ES_tradnl" w:eastAsia="es-CO"/>
              </w:rPr>
              <w:t>de la Subdirección de Gestión Contractual</w:t>
            </w:r>
          </w:p>
        </w:tc>
      </w:tr>
      <w:tr w:rsidR="005A16D5" w:rsidRPr="005A16D5" w14:paraId="2D1C7AC3" w14:textId="77777777" w:rsidTr="005A16D5">
        <w:trPr>
          <w:trHeight w:val="300"/>
        </w:trPr>
        <w:tc>
          <w:tcPr>
            <w:tcW w:w="812" w:type="dxa"/>
            <w:vAlign w:val="center"/>
            <w:hideMark/>
          </w:tcPr>
          <w:p w14:paraId="1DF5F066" w14:textId="77777777" w:rsidR="005A16D5" w:rsidRPr="005A16D5" w:rsidRDefault="005A16D5" w:rsidP="005A16D5">
            <w:pPr>
              <w:jc w:val="center"/>
              <w:rPr>
                <w:rFonts w:ascii="Arial" w:hAnsi="Arial" w:cs="Arial"/>
                <w:noProof/>
                <w:color w:val="404040" w:themeColor="text1" w:themeTint="BF"/>
                <w:sz w:val="16"/>
                <w:lang w:val="es-ES_tradnl" w:eastAsia="es-CO"/>
              </w:rPr>
            </w:pPr>
            <w:r w:rsidRPr="005A16D5">
              <w:rPr>
                <w:rFonts w:ascii="Arial" w:hAnsi="Arial" w:cs="Arial"/>
                <w:noProof/>
                <w:color w:val="404040" w:themeColor="text1" w:themeTint="BF"/>
                <w:sz w:val="16"/>
                <w:lang w:val="es-ES_tradnl" w:eastAsia="es-CO"/>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1449F9" w14:textId="77777777" w:rsidR="005A16D5" w:rsidRPr="005A16D5" w:rsidRDefault="005A16D5" w:rsidP="005A16D5">
            <w:pPr>
              <w:rPr>
                <w:rFonts w:ascii="Arial" w:hAnsi="Arial" w:cs="Arial"/>
                <w:noProof/>
                <w:color w:val="404040" w:themeColor="text1" w:themeTint="BF"/>
                <w:sz w:val="16"/>
                <w:lang w:val="es-ES_tradnl" w:eastAsia="es-CO"/>
              </w:rPr>
            </w:pPr>
            <w:r w:rsidRPr="005A16D5">
              <w:rPr>
                <w:rFonts w:ascii="Arial" w:hAnsi="Arial" w:cs="Arial"/>
                <w:noProof/>
                <w:color w:val="404040" w:themeColor="text1" w:themeTint="BF"/>
                <w:sz w:val="16"/>
                <w:lang w:val="es-ES_tradnl" w:eastAsia="es-CO"/>
              </w:rPr>
              <w:t>Jorge Augusto Tirado Navarro</w:t>
            </w:r>
          </w:p>
          <w:p w14:paraId="4866DC41" w14:textId="330CA620" w:rsidR="005A16D5" w:rsidRPr="005A16D5" w:rsidRDefault="005A16D5" w:rsidP="005A16D5">
            <w:pPr>
              <w:rPr>
                <w:rFonts w:ascii="Arial" w:hAnsi="Arial" w:cs="Arial"/>
                <w:noProof/>
                <w:color w:val="404040" w:themeColor="text1" w:themeTint="BF"/>
                <w:sz w:val="16"/>
                <w:lang w:val="es-ES_tradnl" w:eastAsia="es-CO"/>
              </w:rPr>
            </w:pPr>
            <w:r w:rsidRPr="005A16D5">
              <w:rPr>
                <w:rFonts w:ascii="Arial" w:hAnsi="Arial" w:cs="Arial"/>
                <w:noProof/>
                <w:color w:val="404040" w:themeColor="text1" w:themeTint="BF"/>
                <w:sz w:val="16"/>
                <w:lang w:val="es-ES_tradnl" w:eastAsia="es-CO"/>
              </w:rPr>
              <w:t>Subdirector de Gestión Contractual</w:t>
            </w:r>
            <w:r w:rsidR="00E87DC0">
              <w:rPr>
                <w:rFonts w:ascii="Arial" w:hAnsi="Arial" w:cs="Arial"/>
                <w:noProof/>
                <w:color w:val="404040" w:themeColor="text1" w:themeTint="BF"/>
                <w:sz w:val="16"/>
                <w:lang w:val="es-ES_tradnl" w:eastAsia="es-CO"/>
              </w:rPr>
              <w:t xml:space="preserve"> ANCP - CCE</w:t>
            </w:r>
          </w:p>
        </w:tc>
      </w:tr>
    </w:tbl>
    <w:p w14:paraId="3DEA95DA" w14:textId="6B83915A" w:rsidR="00E04FE9" w:rsidRDefault="00E04FE9" w:rsidP="00504A12">
      <w:pPr>
        <w:jc w:val="center"/>
        <w:rPr>
          <w:rFonts w:ascii="Arial" w:hAnsi="Arial" w:cs="Arial"/>
          <w:noProof/>
          <w:color w:val="404040" w:themeColor="text1" w:themeTint="BF"/>
          <w:lang w:val="es-CO" w:eastAsia="es-CO"/>
        </w:rPr>
      </w:pPr>
    </w:p>
    <w:p w14:paraId="316C1CA3" w14:textId="77777777" w:rsidR="00E04FE9" w:rsidRPr="0078446D" w:rsidRDefault="00E04FE9" w:rsidP="00504A12">
      <w:pPr>
        <w:jc w:val="center"/>
        <w:rPr>
          <w:rFonts w:ascii="Arial" w:eastAsia="Times New Roman" w:hAnsi="Arial" w:cs="Arial"/>
          <w:color w:val="000000" w:themeColor="text1"/>
          <w:sz w:val="18"/>
          <w:szCs w:val="20"/>
          <w:lang w:eastAsia="es-CO"/>
        </w:rPr>
      </w:pPr>
    </w:p>
    <w:p w14:paraId="56FFFA96" w14:textId="77777777" w:rsidR="00504A12" w:rsidRPr="0078446D" w:rsidRDefault="00504A12" w:rsidP="00504A12">
      <w:pPr>
        <w:rPr>
          <w:rFonts w:ascii="Arial" w:eastAsia="Times New Roman" w:hAnsi="Arial" w:cs="Arial"/>
          <w:color w:val="000000" w:themeColor="text1"/>
          <w:sz w:val="16"/>
          <w:szCs w:val="16"/>
          <w:lang w:eastAsia="es-ES"/>
        </w:rPr>
      </w:pPr>
    </w:p>
    <w:p w14:paraId="35B56F46" w14:textId="7B78E08D" w:rsidR="00746E08" w:rsidRDefault="00746E08" w:rsidP="00504A12"/>
    <w:p w14:paraId="561FA1C5" w14:textId="04A94163" w:rsidR="0079045C" w:rsidRPr="0079045C" w:rsidRDefault="0079045C" w:rsidP="0079045C"/>
    <w:sectPr w:rsidR="0079045C" w:rsidRPr="0079045C" w:rsidSect="003225D6">
      <w:headerReference w:type="default" r:id="rId12"/>
      <w:footerReference w:type="default" r:id="rId13"/>
      <w:pgSz w:w="12240" w:h="15840"/>
      <w:pgMar w:top="2041" w:right="1701" w:bottom="1418" w:left="1701" w:header="340" w:footer="227" w:gutter="0"/>
      <w:pgNumType w:fmt="numberInDash"/>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C3E0" w16cex:dateUtc="2020-11-19T15:13:00Z"/>
  <w16cex:commentExtensible w16cex:durableId="2360C431" w16cex:dateUtc="2020-11-19T15:15:00Z"/>
  <w16cex:commentExtensible w16cex:durableId="2361F962" w16cex:dateUtc="2020-11-20T13:14:00Z"/>
  <w16cex:commentExtensible w16cex:durableId="2361FBDB" w16cex:dateUtc="2020-11-20T13:24:00Z"/>
  <w16cex:commentExtensible w16cex:durableId="23620FB1" w16cex:dateUtc="2020-11-20T14:49:00Z"/>
  <w16cex:commentExtensible w16cex:durableId="235FD5B9" w16cex:dateUtc="2020-11-18T22:17:00Z"/>
  <w16cex:commentExtensible w16cex:durableId="235FD586" w16cex:dateUtc="2020-11-18T22: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04EA" w14:textId="77777777" w:rsidR="00781780" w:rsidRDefault="00781780">
      <w:r>
        <w:separator/>
      </w:r>
    </w:p>
  </w:endnote>
  <w:endnote w:type="continuationSeparator" w:id="0">
    <w:p w14:paraId="11E4234F" w14:textId="77777777" w:rsidR="00781780" w:rsidRDefault="0078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2A34" w14:textId="017CC71D" w:rsidR="00821D83" w:rsidRDefault="00821D83" w:rsidP="00322937">
    <w:pPr>
      <w:pStyle w:val="Sinespaciado"/>
      <w:jc w:val="right"/>
      <w:rPr>
        <w:rFonts w:ascii="Arial" w:hAnsi="Arial" w:cs="Arial"/>
        <w:sz w:val="18"/>
        <w:szCs w:val="18"/>
      </w:rPr>
    </w:pPr>
  </w:p>
  <w:p w14:paraId="795C5E5B" w14:textId="77777777" w:rsidR="003C103B" w:rsidRDefault="003C103B" w:rsidP="00322937">
    <w:pPr>
      <w:pStyle w:val="Sinespaciado"/>
      <w:jc w:val="right"/>
      <w:rPr>
        <w:rFonts w:ascii="Arial" w:hAnsi="Arial" w:cs="Arial"/>
        <w:sz w:val="18"/>
        <w:szCs w:val="18"/>
      </w:rPr>
    </w:pPr>
  </w:p>
  <w:p w14:paraId="48FC6A04" w14:textId="5FD1A7C9" w:rsidR="00821D83" w:rsidRDefault="00821D83" w:rsidP="00322937">
    <w:pPr>
      <w:pStyle w:val="Piedepgina"/>
      <w:jc w:val="center"/>
      <w:rPr>
        <w:lang w:val="es-ES"/>
      </w:rPr>
    </w:pPr>
    <w:r>
      <w:rPr>
        <w:noProof/>
        <w:lang w:val="es-CO" w:eastAsia="es-CO"/>
      </w:rPr>
      <w:drawing>
        <wp:inline distT="0" distB="0" distL="0" distR="0" wp14:anchorId="608B196D" wp14:editId="2B20E202">
          <wp:extent cx="3700130" cy="519139"/>
          <wp:effectExtent l="0" t="0" r="0" b="0"/>
          <wp:docPr id="3937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821D83" w:rsidRPr="007B0854" w:rsidRDefault="00821D83" w:rsidP="00A54903">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D455D" w14:textId="77777777" w:rsidR="00781780" w:rsidRDefault="00781780">
      <w:r>
        <w:separator/>
      </w:r>
    </w:p>
  </w:footnote>
  <w:footnote w:type="continuationSeparator" w:id="0">
    <w:p w14:paraId="7FF8656C" w14:textId="77777777" w:rsidR="00781780" w:rsidRDefault="00781780">
      <w:r>
        <w:continuationSeparator/>
      </w:r>
    </w:p>
  </w:footnote>
  <w:footnote w:id="1">
    <w:p w14:paraId="3786CBFF" w14:textId="77777777" w:rsidR="00255904" w:rsidRPr="00C50936" w:rsidRDefault="00255904" w:rsidP="00255904">
      <w:pPr>
        <w:pStyle w:val="Textonotapie"/>
        <w:ind w:firstLine="709"/>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2">
    <w:p w14:paraId="494CBA59" w14:textId="1BF4E416" w:rsidR="00255904" w:rsidRPr="00C50936" w:rsidRDefault="00255904" w:rsidP="00255904">
      <w:pPr>
        <w:pStyle w:val="Textonotapie"/>
        <w:ind w:firstLine="709"/>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Consejo de Estado. Sección Tercera. Radicado No. 45.607 del 24 de octubre de 2016. Consejera Ponente: Mar</w:t>
      </w:r>
      <w:r w:rsidR="0041440E">
        <w:rPr>
          <w:rFonts w:ascii="Arial" w:hAnsi="Arial" w:cs="Arial"/>
          <w:color w:val="000000" w:themeColor="text1"/>
          <w:sz w:val="19"/>
          <w:szCs w:val="19"/>
        </w:rPr>
        <w:t>t</w:t>
      </w:r>
      <w:r w:rsidRPr="00C50936">
        <w:rPr>
          <w:rFonts w:ascii="Arial" w:hAnsi="Arial" w:cs="Arial"/>
          <w:color w:val="000000" w:themeColor="text1"/>
          <w:sz w:val="19"/>
          <w:szCs w:val="19"/>
        </w:rPr>
        <w:t>a Nubia Velásquez Rico.</w:t>
      </w:r>
    </w:p>
    <w:p w14:paraId="1F95B177" w14:textId="77777777" w:rsidR="00255904" w:rsidRPr="00C50936" w:rsidRDefault="00255904" w:rsidP="00255904">
      <w:pPr>
        <w:pStyle w:val="Textonotapie"/>
        <w:ind w:firstLine="709"/>
        <w:jc w:val="both"/>
        <w:rPr>
          <w:rFonts w:ascii="Arial" w:hAnsi="Arial" w:cs="Arial"/>
          <w:color w:val="000000" w:themeColor="text1"/>
          <w:sz w:val="19"/>
          <w:szCs w:val="19"/>
          <w:lang w:val="es-ES"/>
        </w:rPr>
      </w:pPr>
    </w:p>
  </w:footnote>
  <w:footnote w:id="3">
    <w:p w14:paraId="6F266C2A" w14:textId="77777777" w:rsidR="00456F5A" w:rsidRPr="009C3A2B" w:rsidRDefault="00456F5A" w:rsidP="00456F5A">
      <w:pPr>
        <w:pStyle w:val="Textonotapie"/>
        <w:ind w:firstLine="708"/>
        <w:jc w:val="both"/>
        <w:rPr>
          <w:rFonts w:ascii="Arial" w:hAnsi="Arial" w:cs="Arial"/>
          <w:color w:val="000000" w:themeColor="text1"/>
          <w:sz w:val="19"/>
          <w:szCs w:val="19"/>
          <w:lang w:val="es-ES"/>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CONSEJO DE ESTADO. Sección Tercera. Sentencia del 4 de junio de 2008. Exp. 17.783. C.P. Myriam Guerrero de Escobar.</w:t>
      </w:r>
    </w:p>
  </w:footnote>
  <w:footnote w:id="4">
    <w:p w14:paraId="3010684B" w14:textId="77777777" w:rsidR="00456F5A" w:rsidRPr="009C3A2B" w:rsidRDefault="00456F5A" w:rsidP="00456F5A">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CONSEJO DE ESTADO. Sección Tercera. Subsección B. Sentencia del 11 de diciembre de 2015. Exp. 26.496. C.P. Ramiro de Jesús Pazos Guerrero.</w:t>
      </w:r>
    </w:p>
    <w:p w14:paraId="007DC16B" w14:textId="77777777" w:rsidR="00456F5A" w:rsidRPr="009C3A2B" w:rsidRDefault="00456F5A" w:rsidP="00456F5A">
      <w:pPr>
        <w:pStyle w:val="Textonotapie"/>
        <w:ind w:firstLine="708"/>
        <w:jc w:val="both"/>
        <w:rPr>
          <w:rFonts w:ascii="Arial" w:hAnsi="Arial" w:cs="Arial"/>
          <w:color w:val="000000" w:themeColor="text1"/>
          <w:sz w:val="19"/>
          <w:szCs w:val="19"/>
          <w:lang w:val="es-ES"/>
        </w:rPr>
      </w:pPr>
    </w:p>
  </w:footnote>
  <w:footnote w:id="5">
    <w:p w14:paraId="7371D3E0" w14:textId="77777777" w:rsidR="00456F5A" w:rsidRPr="009C3A2B" w:rsidRDefault="00456F5A" w:rsidP="00456F5A">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CORTE CONSTITUCIONAL. Sentencia C-1016 de 2012. M.P. Jorge Iván Palacio. </w:t>
      </w:r>
    </w:p>
    <w:p w14:paraId="70DA2671" w14:textId="77777777" w:rsidR="00456F5A" w:rsidRPr="009C3A2B" w:rsidRDefault="00456F5A" w:rsidP="00456F5A">
      <w:pPr>
        <w:pStyle w:val="Textonotapie"/>
        <w:ind w:firstLine="708"/>
        <w:jc w:val="both"/>
        <w:rPr>
          <w:rFonts w:ascii="Arial" w:hAnsi="Arial" w:cs="Arial"/>
          <w:color w:val="000000" w:themeColor="text1"/>
          <w:sz w:val="19"/>
          <w:szCs w:val="19"/>
        </w:rPr>
      </w:pPr>
    </w:p>
  </w:footnote>
  <w:footnote w:id="6">
    <w:p w14:paraId="7D9C92EF" w14:textId="77777777" w:rsidR="00134726" w:rsidRPr="009C3A2B" w:rsidRDefault="00134726" w:rsidP="00134726">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CONSEJO DE ESTADO. Sección Tercera, Subsección A. Sentencia del 13 de noviembre de 2013. Rad. 25.646.C.P. Mauricio Fajardo Gómez. </w:t>
      </w:r>
    </w:p>
    <w:p w14:paraId="7ABDCA17" w14:textId="77777777" w:rsidR="00134726" w:rsidRPr="009C3A2B" w:rsidRDefault="00134726" w:rsidP="00134726">
      <w:pPr>
        <w:pStyle w:val="Textonotapie"/>
        <w:ind w:firstLine="708"/>
        <w:jc w:val="both"/>
        <w:rPr>
          <w:rFonts w:ascii="Arial" w:hAnsi="Arial" w:cs="Arial"/>
          <w:color w:val="000000" w:themeColor="text1"/>
          <w:sz w:val="19"/>
          <w:szCs w:val="19"/>
        </w:rPr>
      </w:pPr>
    </w:p>
  </w:footnote>
  <w:footnote w:id="7">
    <w:p w14:paraId="3F21226C" w14:textId="77777777" w:rsidR="00456F5A" w:rsidRPr="009C3A2B" w:rsidRDefault="00456F5A" w:rsidP="00456F5A">
      <w:pPr>
        <w:pStyle w:val="Textonotapie"/>
        <w:ind w:firstLine="708"/>
        <w:jc w:val="both"/>
        <w:rPr>
          <w:rFonts w:ascii="Arial" w:hAnsi="Arial" w:cs="Arial"/>
          <w:color w:val="000000" w:themeColor="text1"/>
          <w:sz w:val="19"/>
          <w:szCs w:val="19"/>
        </w:rPr>
      </w:pPr>
      <w:r w:rsidRPr="009C3A2B">
        <w:rPr>
          <w:rFonts w:ascii="Arial" w:hAnsi="Arial" w:cs="Arial"/>
          <w:color w:val="000000" w:themeColor="text1"/>
          <w:sz w:val="19"/>
          <w:szCs w:val="19"/>
          <w:vertAlign w:val="superscript"/>
        </w:rPr>
        <w:footnoteRef/>
      </w:r>
      <w:r w:rsidRPr="009C3A2B">
        <w:rPr>
          <w:rFonts w:ascii="Arial" w:hAnsi="Arial" w:cs="Arial"/>
          <w:color w:val="000000" w:themeColor="text1"/>
          <w:sz w:val="19"/>
          <w:szCs w:val="19"/>
        </w:rPr>
        <w:t xml:space="preserve"> CORTE CONSTITUCIONAL. Sentencia C-415 de 1994. M.P. Eduardo Cifuentes Muñoz. </w:t>
      </w:r>
    </w:p>
    <w:p w14:paraId="75324D6B" w14:textId="77777777" w:rsidR="00456F5A" w:rsidRPr="009C3A2B" w:rsidRDefault="00456F5A" w:rsidP="00456F5A">
      <w:pPr>
        <w:pStyle w:val="Textonotapie"/>
        <w:ind w:firstLine="708"/>
        <w:jc w:val="both"/>
        <w:rPr>
          <w:rFonts w:ascii="Arial" w:hAnsi="Arial" w:cs="Arial"/>
          <w:color w:val="000000" w:themeColor="text1"/>
          <w:sz w:val="19"/>
          <w:szCs w:val="19"/>
        </w:rPr>
      </w:pPr>
    </w:p>
  </w:footnote>
  <w:footnote w:id="8">
    <w:p w14:paraId="25D0E6F4" w14:textId="77777777" w:rsidR="00456F5A" w:rsidRPr="009C3A2B" w:rsidRDefault="00456F5A" w:rsidP="00456F5A">
      <w:pPr>
        <w:pStyle w:val="Textonotapie"/>
        <w:ind w:firstLine="708"/>
        <w:jc w:val="both"/>
        <w:rPr>
          <w:rFonts w:ascii="Arial" w:hAnsi="Arial" w:cs="Arial"/>
          <w:color w:val="000000" w:themeColor="text1"/>
          <w:sz w:val="19"/>
          <w:szCs w:val="19"/>
        </w:rPr>
      </w:pPr>
      <w:r w:rsidRPr="009C3A2B">
        <w:rPr>
          <w:rStyle w:val="Refdenotaalpie"/>
          <w:rFonts w:ascii="Arial" w:hAnsi="Arial" w:cs="Arial"/>
          <w:color w:val="000000" w:themeColor="text1"/>
          <w:sz w:val="19"/>
          <w:szCs w:val="19"/>
        </w:rPr>
        <w:footnoteRef/>
      </w:r>
      <w:r w:rsidRPr="009C3A2B">
        <w:rPr>
          <w:rFonts w:ascii="Arial" w:hAnsi="Arial" w:cs="Arial"/>
          <w:color w:val="000000" w:themeColor="text1"/>
          <w:sz w:val="19"/>
          <w:szCs w:val="19"/>
        </w:rPr>
        <w:t xml:space="preserve"> </w:t>
      </w:r>
      <w:r w:rsidRPr="009C3A2B">
        <w:rPr>
          <w:rFonts w:ascii="Arial" w:hAnsi="Arial" w:cs="Arial"/>
          <w:i/>
          <w:iCs/>
          <w:color w:val="000000" w:themeColor="text1"/>
          <w:sz w:val="19"/>
          <w:szCs w:val="19"/>
        </w:rPr>
        <w:t>Ibid</w:t>
      </w:r>
      <w:r w:rsidRPr="009C3A2B">
        <w:rPr>
          <w:rFonts w:ascii="Arial" w:hAnsi="Arial" w:cs="Arial"/>
          <w:color w:val="000000" w:themeColor="text1"/>
          <w:sz w:val="19"/>
          <w:szCs w:val="19"/>
        </w:rPr>
        <w:t xml:space="preserve">. </w:t>
      </w:r>
    </w:p>
  </w:footnote>
  <w:footnote w:id="9">
    <w:p w14:paraId="3C6D23A2" w14:textId="1253FC08" w:rsidR="000C705D" w:rsidRDefault="000C705D" w:rsidP="00C27680">
      <w:pPr>
        <w:pStyle w:val="Textonotapie"/>
        <w:jc w:val="both"/>
        <w:rPr>
          <w:rFonts w:ascii="Arial" w:hAnsi="Arial" w:cs="Arial"/>
          <w:sz w:val="19"/>
          <w:szCs w:val="19"/>
          <w:lang w:val="es-CO"/>
        </w:rPr>
      </w:pPr>
      <w:r>
        <w:rPr>
          <w:rStyle w:val="Refdenotaalpie"/>
        </w:rPr>
        <w:footnoteRef/>
      </w:r>
      <w:r>
        <w:t xml:space="preserve"> </w:t>
      </w:r>
      <w:r w:rsidR="00C27680" w:rsidRPr="00C27680">
        <w:rPr>
          <w:rFonts w:ascii="Arial" w:hAnsi="Arial" w:cs="Arial"/>
          <w:sz w:val="19"/>
          <w:szCs w:val="19"/>
          <w:lang w:val="es-CO"/>
        </w:rPr>
        <w:t xml:space="preserve">Al respecto, la Superintendencia Nacional de Salud explica que: </w:t>
      </w:r>
      <w:r w:rsidR="00C27680">
        <w:rPr>
          <w:rFonts w:ascii="Arial" w:hAnsi="Arial" w:cs="Arial"/>
          <w:sz w:val="19"/>
          <w:szCs w:val="19"/>
          <w:lang w:val="es-CO"/>
        </w:rPr>
        <w:t>«</w:t>
      </w:r>
      <w:r w:rsidR="00C27680" w:rsidRPr="00C27680">
        <w:rPr>
          <w:rFonts w:ascii="Arial" w:hAnsi="Arial" w:cs="Arial"/>
          <w:sz w:val="19"/>
          <w:szCs w:val="19"/>
          <w:lang w:val="es-CO"/>
        </w:rPr>
        <w:t>El riesgo de Lavado de Activos y Financiación del Terrorismo (LA/FT) es la posibilidad que, en la realización de las operaciones de una entidad, se introduzcan a la economía recursos provenientes de actividades relacionadas con el lavado de activos o la financiación al terrorismo, y/o que estas entidades puedan ser utilizadas por organizaciones al margen de la Ley como instrumento para adquirir, resguardar, ocultar, transportar, transformar, almacenar, conservar, custodiar, recolectar, entregar, recibir, aportar, promover, organizar, apoyar, mantener, financiar, sostener, administrar, invertir o aprovechar dineros, recursos y cualquier otro tipo de bienes provenientes de actividades delictivas o destinados a su financiación, o para dar apariencia de legalidad a las actividades delictivas o a las transacciones y fondos de recursos vinculados con las mismas</w:t>
      </w:r>
      <w:r w:rsidR="00C27680">
        <w:rPr>
          <w:rFonts w:ascii="Arial" w:hAnsi="Arial" w:cs="Arial"/>
          <w:sz w:val="19"/>
          <w:szCs w:val="19"/>
          <w:lang w:val="es-CO"/>
        </w:rPr>
        <w:t>» (</w:t>
      </w:r>
      <w:r w:rsidR="00C27680" w:rsidRPr="000C705D">
        <w:rPr>
          <w:rFonts w:ascii="Arial" w:hAnsi="Arial" w:cs="Arial"/>
          <w:sz w:val="19"/>
          <w:szCs w:val="19"/>
          <w:lang w:val="es-CO"/>
        </w:rPr>
        <w:t>Abecé – Circular externa 09 de 2016 – Implementación del SARLAFT</w:t>
      </w:r>
      <w:r w:rsidR="00C27680">
        <w:rPr>
          <w:rFonts w:ascii="Arial" w:hAnsi="Arial" w:cs="Arial"/>
          <w:sz w:val="19"/>
          <w:szCs w:val="19"/>
          <w:lang w:val="es-CO"/>
        </w:rPr>
        <w:t>).</w:t>
      </w:r>
    </w:p>
    <w:p w14:paraId="70362BDF" w14:textId="77777777" w:rsidR="00DB4834" w:rsidRPr="000C705D" w:rsidRDefault="00DB4834" w:rsidP="006F2F2F">
      <w:pPr>
        <w:pStyle w:val="Textonotapie"/>
        <w:jc w:val="both"/>
        <w:rPr>
          <w:rFonts w:ascii="Arial" w:hAnsi="Arial" w:cs="Arial"/>
          <w:sz w:val="19"/>
          <w:szCs w:val="19"/>
          <w:lang w:val="es-CO"/>
        </w:rPr>
      </w:pPr>
    </w:p>
  </w:footnote>
  <w:footnote w:id="10">
    <w:p w14:paraId="65D0AE04" w14:textId="6ECF275B" w:rsidR="00DB4834" w:rsidRPr="006F2F2F" w:rsidRDefault="00DB4834" w:rsidP="006F2F2F">
      <w:pPr>
        <w:pStyle w:val="Textonotapie"/>
        <w:ind w:firstLine="708"/>
        <w:jc w:val="both"/>
        <w:rPr>
          <w:rFonts w:ascii="Arial" w:hAnsi="Arial" w:cs="Arial"/>
          <w:sz w:val="19"/>
          <w:szCs w:val="19"/>
        </w:rPr>
      </w:pPr>
      <w:r w:rsidRPr="006F2F2F">
        <w:rPr>
          <w:rStyle w:val="Refdenotaalpie"/>
          <w:rFonts w:ascii="Arial" w:hAnsi="Arial" w:cs="Arial"/>
          <w:sz w:val="19"/>
          <w:szCs w:val="19"/>
        </w:rPr>
        <w:footnoteRef/>
      </w:r>
      <w:r w:rsidRPr="006F2F2F">
        <w:rPr>
          <w:rFonts w:ascii="Arial" w:hAnsi="Arial" w:cs="Arial"/>
          <w:sz w:val="19"/>
          <w:szCs w:val="19"/>
        </w:rPr>
        <w:t xml:space="preserve"> CO</w:t>
      </w:r>
      <w:r>
        <w:rPr>
          <w:rFonts w:ascii="Arial" w:hAnsi="Arial" w:cs="Arial"/>
          <w:sz w:val="19"/>
          <w:szCs w:val="19"/>
        </w:rPr>
        <w:t xml:space="preserve">NSEJO DE ESTADO. Sala de Consulta y Servicio Civil. Concepto del 27 de agosto de 2015. Rad. 2.264. C.P. </w:t>
      </w:r>
      <w:r w:rsidRPr="00DB4834">
        <w:rPr>
          <w:rFonts w:ascii="Arial" w:hAnsi="Arial" w:cs="Arial"/>
          <w:sz w:val="19"/>
          <w:szCs w:val="19"/>
        </w:rPr>
        <w:t>Álvaro Namén Vargas</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821D83" w:rsidRDefault="00821D83">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CCE4D0B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093"/>
    <w:rsid w:val="00001D21"/>
    <w:rsid w:val="00003500"/>
    <w:rsid w:val="00003A1E"/>
    <w:rsid w:val="0000445B"/>
    <w:rsid w:val="00007785"/>
    <w:rsid w:val="00013F19"/>
    <w:rsid w:val="00014783"/>
    <w:rsid w:val="00014A9B"/>
    <w:rsid w:val="00014C5D"/>
    <w:rsid w:val="00014DDB"/>
    <w:rsid w:val="00015480"/>
    <w:rsid w:val="00021292"/>
    <w:rsid w:val="000215DE"/>
    <w:rsid w:val="00021A13"/>
    <w:rsid w:val="00021BA8"/>
    <w:rsid w:val="0002467A"/>
    <w:rsid w:val="00024AA0"/>
    <w:rsid w:val="00026F04"/>
    <w:rsid w:val="0002715F"/>
    <w:rsid w:val="000309FC"/>
    <w:rsid w:val="000323BC"/>
    <w:rsid w:val="00032D83"/>
    <w:rsid w:val="000346F0"/>
    <w:rsid w:val="00034E90"/>
    <w:rsid w:val="00037429"/>
    <w:rsid w:val="00044F89"/>
    <w:rsid w:val="0005043C"/>
    <w:rsid w:val="00051214"/>
    <w:rsid w:val="00051568"/>
    <w:rsid w:val="00056017"/>
    <w:rsid w:val="00056188"/>
    <w:rsid w:val="00057F7A"/>
    <w:rsid w:val="00060E3F"/>
    <w:rsid w:val="0006228F"/>
    <w:rsid w:val="000640D2"/>
    <w:rsid w:val="00064B9E"/>
    <w:rsid w:val="000677C6"/>
    <w:rsid w:val="0007062A"/>
    <w:rsid w:val="00073683"/>
    <w:rsid w:val="0007385F"/>
    <w:rsid w:val="00076A49"/>
    <w:rsid w:val="00082376"/>
    <w:rsid w:val="00084456"/>
    <w:rsid w:val="00084B97"/>
    <w:rsid w:val="00085E2D"/>
    <w:rsid w:val="00087850"/>
    <w:rsid w:val="00087C99"/>
    <w:rsid w:val="000904D9"/>
    <w:rsid w:val="00091011"/>
    <w:rsid w:val="00092103"/>
    <w:rsid w:val="00093EF7"/>
    <w:rsid w:val="000942EB"/>
    <w:rsid w:val="00095DED"/>
    <w:rsid w:val="000A1FB8"/>
    <w:rsid w:val="000A4D06"/>
    <w:rsid w:val="000A5A17"/>
    <w:rsid w:val="000A61F6"/>
    <w:rsid w:val="000A77DE"/>
    <w:rsid w:val="000B0E45"/>
    <w:rsid w:val="000B103F"/>
    <w:rsid w:val="000B10A2"/>
    <w:rsid w:val="000B111D"/>
    <w:rsid w:val="000B469D"/>
    <w:rsid w:val="000B48E2"/>
    <w:rsid w:val="000B51CB"/>
    <w:rsid w:val="000C2063"/>
    <w:rsid w:val="000C2966"/>
    <w:rsid w:val="000C3C7B"/>
    <w:rsid w:val="000C558D"/>
    <w:rsid w:val="000C58F9"/>
    <w:rsid w:val="000C705D"/>
    <w:rsid w:val="000C7D37"/>
    <w:rsid w:val="000D364E"/>
    <w:rsid w:val="000D38C2"/>
    <w:rsid w:val="000D4BA7"/>
    <w:rsid w:val="000D4CC7"/>
    <w:rsid w:val="000D6E65"/>
    <w:rsid w:val="000E0E3C"/>
    <w:rsid w:val="000E11D2"/>
    <w:rsid w:val="000E1348"/>
    <w:rsid w:val="000E30E1"/>
    <w:rsid w:val="000E4187"/>
    <w:rsid w:val="000E5AC5"/>
    <w:rsid w:val="000E626F"/>
    <w:rsid w:val="000E7829"/>
    <w:rsid w:val="000E7B14"/>
    <w:rsid w:val="000E7F60"/>
    <w:rsid w:val="000F1236"/>
    <w:rsid w:val="000F14E8"/>
    <w:rsid w:val="000F63AB"/>
    <w:rsid w:val="000F7192"/>
    <w:rsid w:val="001003C8"/>
    <w:rsid w:val="001009E6"/>
    <w:rsid w:val="00103325"/>
    <w:rsid w:val="0010368A"/>
    <w:rsid w:val="00103915"/>
    <w:rsid w:val="00104120"/>
    <w:rsid w:val="001054F0"/>
    <w:rsid w:val="0010593B"/>
    <w:rsid w:val="0011233F"/>
    <w:rsid w:val="0011312F"/>
    <w:rsid w:val="00113705"/>
    <w:rsid w:val="00117821"/>
    <w:rsid w:val="00117EA2"/>
    <w:rsid w:val="001224AC"/>
    <w:rsid w:val="00122B23"/>
    <w:rsid w:val="00123CDB"/>
    <w:rsid w:val="00125E4D"/>
    <w:rsid w:val="00126569"/>
    <w:rsid w:val="00132C93"/>
    <w:rsid w:val="00133134"/>
    <w:rsid w:val="00134726"/>
    <w:rsid w:val="0013551E"/>
    <w:rsid w:val="00136AC8"/>
    <w:rsid w:val="001373AA"/>
    <w:rsid w:val="00137D00"/>
    <w:rsid w:val="00137E23"/>
    <w:rsid w:val="00137FFA"/>
    <w:rsid w:val="0014065D"/>
    <w:rsid w:val="00141C3E"/>
    <w:rsid w:val="00145052"/>
    <w:rsid w:val="00150687"/>
    <w:rsid w:val="00151F9C"/>
    <w:rsid w:val="001559E8"/>
    <w:rsid w:val="001613A0"/>
    <w:rsid w:val="0016204C"/>
    <w:rsid w:val="00162824"/>
    <w:rsid w:val="00163502"/>
    <w:rsid w:val="00164FB6"/>
    <w:rsid w:val="00166DEC"/>
    <w:rsid w:val="0016763A"/>
    <w:rsid w:val="00167AE6"/>
    <w:rsid w:val="00171790"/>
    <w:rsid w:val="00172BA3"/>
    <w:rsid w:val="0017427E"/>
    <w:rsid w:val="00174583"/>
    <w:rsid w:val="00177828"/>
    <w:rsid w:val="00181621"/>
    <w:rsid w:val="00182DC3"/>
    <w:rsid w:val="00182FE5"/>
    <w:rsid w:val="00184310"/>
    <w:rsid w:val="00185F5C"/>
    <w:rsid w:val="00193E1F"/>
    <w:rsid w:val="001A1E4D"/>
    <w:rsid w:val="001A2C61"/>
    <w:rsid w:val="001A4AE9"/>
    <w:rsid w:val="001A65D8"/>
    <w:rsid w:val="001A6A83"/>
    <w:rsid w:val="001A77B6"/>
    <w:rsid w:val="001B0444"/>
    <w:rsid w:val="001B0CDD"/>
    <w:rsid w:val="001B11CC"/>
    <w:rsid w:val="001B3D2F"/>
    <w:rsid w:val="001B5BEC"/>
    <w:rsid w:val="001B6133"/>
    <w:rsid w:val="001C0043"/>
    <w:rsid w:val="001C17C6"/>
    <w:rsid w:val="001C33D0"/>
    <w:rsid w:val="001C56D1"/>
    <w:rsid w:val="001C5A34"/>
    <w:rsid w:val="001C613D"/>
    <w:rsid w:val="001C662E"/>
    <w:rsid w:val="001C7461"/>
    <w:rsid w:val="001D0E79"/>
    <w:rsid w:val="001D1D19"/>
    <w:rsid w:val="001D2A15"/>
    <w:rsid w:val="001D3C7F"/>
    <w:rsid w:val="001D4AEF"/>
    <w:rsid w:val="001D6D29"/>
    <w:rsid w:val="001E246F"/>
    <w:rsid w:val="001E27F5"/>
    <w:rsid w:val="001E3D1E"/>
    <w:rsid w:val="001E4D7C"/>
    <w:rsid w:val="001E530D"/>
    <w:rsid w:val="001F0C23"/>
    <w:rsid w:val="001F13F4"/>
    <w:rsid w:val="001F2A05"/>
    <w:rsid w:val="001F30D9"/>
    <w:rsid w:val="001F4603"/>
    <w:rsid w:val="001F4999"/>
    <w:rsid w:val="001F5684"/>
    <w:rsid w:val="001F6709"/>
    <w:rsid w:val="001F7C07"/>
    <w:rsid w:val="001F7E90"/>
    <w:rsid w:val="00203925"/>
    <w:rsid w:val="00204C79"/>
    <w:rsid w:val="0020593C"/>
    <w:rsid w:val="00205BB7"/>
    <w:rsid w:val="0020632A"/>
    <w:rsid w:val="00206AD7"/>
    <w:rsid w:val="00207069"/>
    <w:rsid w:val="0021065C"/>
    <w:rsid w:val="002110EB"/>
    <w:rsid w:val="00211338"/>
    <w:rsid w:val="00214DED"/>
    <w:rsid w:val="00214EAD"/>
    <w:rsid w:val="00215A9E"/>
    <w:rsid w:val="00220822"/>
    <w:rsid w:val="00220DCF"/>
    <w:rsid w:val="00220F9A"/>
    <w:rsid w:val="00222C3D"/>
    <w:rsid w:val="0022447B"/>
    <w:rsid w:val="00225468"/>
    <w:rsid w:val="00230747"/>
    <w:rsid w:val="00230E0C"/>
    <w:rsid w:val="002333E4"/>
    <w:rsid w:val="00234B84"/>
    <w:rsid w:val="0023521A"/>
    <w:rsid w:val="002357D4"/>
    <w:rsid w:val="002368F0"/>
    <w:rsid w:val="00237AF5"/>
    <w:rsid w:val="0024057C"/>
    <w:rsid w:val="0024067E"/>
    <w:rsid w:val="00242FDD"/>
    <w:rsid w:val="002436CC"/>
    <w:rsid w:val="0024540F"/>
    <w:rsid w:val="002533A2"/>
    <w:rsid w:val="002550CD"/>
    <w:rsid w:val="00255137"/>
    <w:rsid w:val="0025522E"/>
    <w:rsid w:val="00255904"/>
    <w:rsid w:val="002560CA"/>
    <w:rsid w:val="0026149C"/>
    <w:rsid w:val="00261AA9"/>
    <w:rsid w:val="00262430"/>
    <w:rsid w:val="00262F9B"/>
    <w:rsid w:val="00264492"/>
    <w:rsid w:val="00265F6F"/>
    <w:rsid w:val="00266627"/>
    <w:rsid w:val="0026769A"/>
    <w:rsid w:val="00270F94"/>
    <w:rsid w:val="0027202B"/>
    <w:rsid w:val="0027397F"/>
    <w:rsid w:val="00277D4B"/>
    <w:rsid w:val="00280CB9"/>
    <w:rsid w:val="0028166B"/>
    <w:rsid w:val="00282570"/>
    <w:rsid w:val="00283D65"/>
    <w:rsid w:val="00284768"/>
    <w:rsid w:val="00287259"/>
    <w:rsid w:val="00290002"/>
    <w:rsid w:val="00290A29"/>
    <w:rsid w:val="00290EBE"/>
    <w:rsid w:val="0029134D"/>
    <w:rsid w:val="002916F3"/>
    <w:rsid w:val="00291C39"/>
    <w:rsid w:val="002946A7"/>
    <w:rsid w:val="00296813"/>
    <w:rsid w:val="0029747A"/>
    <w:rsid w:val="002A021C"/>
    <w:rsid w:val="002A0940"/>
    <w:rsid w:val="002A27DD"/>
    <w:rsid w:val="002A5470"/>
    <w:rsid w:val="002A7D36"/>
    <w:rsid w:val="002A7D82"/>
    <w:rsid w:val="002B27CC"/>
    <w:rsid w:val="002B3014"/>
    <w:rsid w:val="002B4117"/>
    <w:rsid w:val="002B70EB"/>
    <w:rsid w:val="002C13B8"/>
    <w:rsid w:val="002C1E84"/>
    <w:rsid w:val="002C1FE0"/>
    <w:rsid w:val="002C37C4"/>
    <w:rsid w:val="002C4C0C"/>
    <w:rsid w:val="002C4E4F"/>
    <w:rsid w:val="002D12BF"/>
    <w:rsid w:val="002D2D8C"/>
    <w:rsid w:val="002D4DD1"/>
    <w:rsid w:val="002D5601"/>
    <w:rsid w:val="002D7AD4"/>
    <w:rsid w:val="002E0159"/>
    <w:rsid w:val="002E16E5"/>
    <w:rsid w:val="002E2455"/>
    <w:rsid w:val="002E3EED"/>
    <w:rsid w:val="002E402D"/>
    <w:rsid w:val="002E4DB9"/>
    <w:rsid w:val="002E50D3"/>
    <w:rsid w:val="002F0208"/>
    <w:rsid w:val="002F587A"/>
    <w:rsid w:val="002F7463"/>
    <w:rsid w:val="003012DD"/>
    <w:rsid w:val="00301CE4"/>
    <w:rsid w:val="003033BA"/>
    <w:rsid w:val="00303663"/>
    <w:rsid w:val="00304497"/>
    <w:rsid w:val="00304B63"/>
    <w:rsid w:val="00304CC2"/>
    <w:rsid w:val="0030585E"/>
    <w:rsid w:val="00305E2E"/>
    <w:rsid w:val="0030678F"/>
    <w:rsid w:val="00306F91"/>
    <w:rsid w:val="00314A11"/>
    <w:rsid w:val="00317109"/>
    <w:rsid w:val="0032039E"/>
    <w:rsid w:val="003225D6"/>
    <w:rsid w:val="003225F2"/>
    <w:rsid w:val="003228F5"/>
    <w:rsid w:val="00322937"/>
    <w:rsid w:val="00323E5B"/>
    <w:rsid w:val="0033060A"/>
    <w:rsid w:val="00332B25"/>
    <w:rsid w:val="0033300D"/>
    <w:rsid w:val="003342D4"/>
    <w:rsid w:val="0033494E"/>
    <w:rsid w:val="0033501C"/>
    <w:rsid w:val="00336031"/>
    <w:rsid w:val="00336695"/>
    <w:rsid w:val="0034177C"/>
    <w:rsid w:val="00342D7E"/>
    <w:rsid w:val="0034680A"/>
    <w:rsid w:val="003468A4"/>
    <w:rsid w:val="00346CA9"/>
    <w:rsid w:val="0034701A"/>
    <w:rsid w:val="003533D3"/>
    <w:rsid w:val="003535E1"/>
    <w:rsid w:val="00353C0F"/>
    <w:rsid w:val="00353CFD"/>
    <w:rsid w:val="00353DD5"/>
    <w:rsid w:val="00353E79"/>
    <w:rsid w:val="00354AE4"/>
    <w:rsid w:val="00361428"/>
    <w:rsid w:val="00361ED3"/>
    <w:rsid w:val="003630A7"/>
    <w:rsid w:val="00363F0E"/>
    <w:rsid w:val="00364C43"/>
    <w:rsid w:val="00365587"/>
    <w:rsid w:val="003675F7"/>
    <w:rsid w:val="00367CA9"/>
    <w:rsid w:val="003711F4"/>
    <w:rsid w:val="003728D3"/>
    <w:rsid w:val="0037370D"/>
    <w:rsid w:val="00374024"/>
    <w:rsid w:val="00380D19"/>
    <w:rsid w:val="00380F5C"/>
    <w:rsid w:val="00383390"/>
    <w:rsid w:val="0038416D"/>
    <w:rsid w:val="0038617E"/>
    <w:rsid w:val="00386456"/>
    <w:rsid w:val="00390B6F"/>
    <w:rsid w:val="00394127"/>
    <w:rsid w:val="003949FF"/>
    <w:rsid w:val="00396F0C"/>
    <w:rsid w:val="003A0878"/>
    <w:rsid w:val="003A088D"/>
    <w:rsid w:val="003A1DFB"/>
    <w:rsid w:val="003A1F8E"/>
    <w:rsid w:val="003A21FB"/>
    <w:rsid w:val="003A2FC8"/>
    <w:rsid w:val="003A32E9"/>
    <w:rsid w:val="003A581E"/>
    <w:rsid w:val="003A5D1E"/>
    <w:rsid w:val="003A5D55"/>
    <w:rsid w:val="003B161C"/>
    <w:rsid w:val="003B2391"/>
    <w:rsid w:val="003B3C04"/>
    <w:rsid w:val="003B5A0F"/>
    <w:rsid w:val="003B6939"/>
    <w:rsid w:val="003B6F4E"/>
    <w:rsid w:val="003B76A0"/>
    <w:rsid w:val="003C103B"/>
    <w:rsid w:val="003C14E5"/>
    <w:rsid w:val="003C2DF8"/>
    <w:rsid w:val="003C3083"/>
    <w:rsid w:val="003C5BE1"/>
    <w:rsid w:val="003C6344"/>
    <w:rsid w:val="003C74A1"/>
    <w:rsid w:val="003D2AA0"/>
    <w:rsid w:val="003D3478"/>
    <w:rsid w:val="003D5138"/>
    <w:rsid w:val="003D61BF"/>
    <w:rsid w:val="003D7A49"/>
    <w:rsid w:val="003D7CD3"/>
    <w:rsid w:val="003E17CE"/>
    <w:rsid w:val="003E1A31"/>
    <w:rsid w:val="003E34B2"/>
    <w:rsid w:val="003E3A2B"/>
    <w:rsid w:val="003E40DD"/>
    <w:rsid w:val="003F018A"/>
    <w:rsid w:val="003F1B17"/>
    <w:rsid w:val="003F4236"/>
    <w:rsid w:val="003F5043"/>
    <w:rsid w:val="00401F92"/>
    <w:rsid w:val="0040231C"/>
    <w:rsid w:val="0040668F"/>
    <w:rsid w:val="004073A2"/>
    <w:rsid w:val="00407EAB"/>
    <w:rsid w:val="004111C3"/>
    <w:rsid w:val="0041259B"/>
    <w:rsid w:val="00413655"/>
    <w:rsid w:val="0041440E"/>
    <w:rsid w:val="00417C63"/>
    <w:rsid w:val="00420FA5"/>
    <w:rsid w:val="00422925"/>
    <w:rsid w:val="00423DC9"/>
    <w:rsid w:val="00423F9F"/>
    <w:rsid w:val="004242EB"/>
    <w:rsid w:val="00425554"/>
    <w:rsid w:val="004256F7"/>
    <w:rsid w:val="00426079"/>
    <w:rsid w:val="00426A20"/>
    <w:rsid w:val="0042702D"/>
    <w:rsid w:val="00427BA2"/>
    <w:rsid w:val="00431FBF"/>
    <w:rsid w:val="00433233"/>
    <w:rsid w:val="0043363A"/>
    <w:rsid w:val="00433B59"/>
    <w:rsid w:val="0043587C"/>
    <w:rsid w:val="00440A17"/>
    <w:rsid w:val="004422D6"/>
    <w:rsid w:val="00442933"/>
    <w:rsid w:val="004450E1"/>
    <w:rsid w:val="004502E3"/>
    <w:rsid w:val="004526E5"/>
    <w:rsid w:val="00454846"/>
    <w:rsid w:val="00456F5A"/>
    <w:rsid w:val="00457061"/>
    <w:rsid w:val="00457B1E"/>
    <w:rsid w:val="004611BA"/>
    <w:rsid w:val="00462D9F"/>
    <w:rsid w:val="00464A11"/>
    <w:rsid w:val="00465061"/>
    <w:rsid w:val="004653F5"/>
    <w:rsid w:val="00470667"/>
    <w:rsid w:val="004754F9"/>
    <w:rsid w:val="00475C92"/>
    <w:rsid w:val="004778AC"/>
    <w:rsid w:val="00481990"/>
    <w:rsid w:val="00485DF9"/>
    <w:rsid w:val="004865D1"/>
    <w:rsid w:val="004879F6"/>
    <w:rsid w:val="00490535"/>
    <w:rsid w:val="00491C10"/>
    <w:rsid w:val="0049241A"/>
    <w:rsid w:val="0049795A"/>
    <w:rsid w:val="004A0A92"/>
    <w:rsid w:val="004A269E"/>
    <w:rsid w:val="004A34D2"/>
    <w:rsid w:val="004A5E7F"/>
    <w:rsid w:val="004A71A3"/>
    <w:rsid w:val="004B226F"/>
    <w:rsid w:val="004C04D2"/>
    <w:rsid w:val="004C3674"/>
    <w:rsid w:val="004C4372"/>
    <w:rsid w:val="004C52E2"/>
    <w:rsid w:val="004C5F43"/>
    <w:rsid w:val="004C7670"/>
    <w:rsid w:val="004D004E"/>
    <w:rsid w:val="004D0BA1"/>
    <w:rsid w:val="004D11C3"/>
    <w:rsid w:val="004D2033"/>
    <w:rsid w:val="004D4750"/>
    <w:rsid w:val="004D7B9C"/>
    <w:rsid w:val="004E01A9"/>
    <w:rsid w:val="004E286B"/>
    <w:rsid w:val="004E2ED2"/>
    <w:rsid w:val="004E38C0"/>
    <w:rsid w:val="004E39CE"/>
    <w:rsid w:val="004E3EB9"/>
    <w:rsid w:val="004E5641"/>
    <w:rsid w:val="004E5830"/>
    <w:rsid w:val="004E6421"/>
    <w:rsid w:val="004E6C48"/>
    <w:rsid w:val="004F10EB"/>
    <w:rsid w:val="004F30FE"/>
    <w:rsid w:val="004F4B91"/>
    <w:rsid w:val="004F6DFE"/>
    <w:rsid w:val="004F74DA"/>
    <w:rsid w:val="0050362D"/>
    <w:rsid w:val="0050433C"/>
    <w:rsid w:val="00504362"/>
    <w:rsid w:val="00504A12"/>
    <w:rsid w:val="00506297"/>
    <w:rsid w:val="0051074C"/>
    <w:rsid w:val="00511A63"/>
    <w:rsid w:val="0051361F"/>
    <w:rsid w:val="00513AF2"/>
    <w:rsid w:val="00514B29"/>
    <w:rsid w:val="00515011"/>
    <w:rsid w:val="00515C4C"/>
    <w:rsid w:val="0051676C"/>
    <w:rsid w:val="00516B6F"/>
    <w:rsid w:val="00520AAF"/>
    <w:rsid w:val="005211A1"/>
    <w:rsid w:val="00522B1C"/>
    <w:rsid w:val="005240F8"/>
    <w:rsid w:val="005249DF"/>
    <w:rsid w:val="005257E3"/>
    <w:rsid w:val="0053014B"/>
    <w:rsid w:val="005318B1"/>
    <w:rsid w:val="00532CE4"/>
    <w:rsid w:val="00534702"/>
    <w:rsid w:val="00535360"/>
    <w:rsid w:val="00535B5E"/>
    <w:rsid w:val="00535DEE"/>
    <w:rsid w:val="0054413A"/>
    <w:rsid w:val="005465A7"/>
    <w:rsid w:val="00546FF5"/>
    <w:rsid w:val="00550F70"/>
    <w:rsid w:val="00551097"/>
    <w:rsid w:val="005518AC"/>
    <w:rsid w:val="0055204C"/>
    <w:rsid w:val="005524A3"/>
    <w:rsid w:val="005530A5"/>
    <w:rsid w:val="00553803"/>
    <w:rsid w:val="0055600F"/>
    <w:rsid w:val="005564CA"/>
    <w:rsid w:val="005606DA"/>
    <w:rsid w:val="0056182B"/>
    <w:rsid w:val="005618A8"/>
    <w:rsid w:val="00562631"/>
    <w:rsid w:val="00564327"/>
    <w:rsid w:val="005669CA"/>
    <w:rsid w:val="00566C61"/>
    <w:rsid w:val="00567A3B"/>
    <w:rsid w:val="005702B9"/>
    <w:rsid w:val="005756AA"/>
    <w:rsid w:val="0057632F"/>
    <w:rsid w:val="00576B0D"/>
    <w:rsid w:val="005771CB"/>
    <w:rsid w:val="005818C5"/>
    <w:rsid w:val="00581957"/>
    <w:rsid w:val="00583F0D"/>
    <w:rsid w:val="005842CF"/>
    <w:rsid w:val="0058529F"/>
    <w:rsid w:val="005854FE"/>
    <w:rsid w:val="005855A9"/>
    <w:rsid w:val="00587290"/>
    <w:rsid w:val="00587C4A"/>
    <w:rsid w:val="005910E7"/>
    <w:rsid w:val="00591277"/>
    <w:rsid w:val="005922F1"/>
    <w:rsid w:val="005966EB"/>
    <w:rsid w:val="005A01A9"/>
    <w:rsid w:val="005A16D5"/>
    <w:rsid w:val="005A1FC6"/>
    <w:rsid w:val="005A4A5B"/>
    <w:rsid w:val="005A66AD"/>
    <w:rsid w:val="005B0BCD"/>
    <w:rsid w:val="005B1221"/>
    <w:rsid w:val="005B14E3"/>
    <w:rsid w:val="005B1D34"/>
    <w:rsid w:val="005B1FDF"/>
    <w:rsid w:val="005B48FF"/>
    <w:rsid w:val="005B5C08"/>
    <w:rsid w:val="005C056B"/>
    <w:rsid w:val="005C332A"/>
    <w:rsid w:val="005C4E30"/>
    <w:rsid w:val="005C575C"/>
    <w:rsid w:val="005C7180"/>
    <w:rsid w:val="005C7C59"/>
    <w:rsid w:val="005D0327"/>
    <w:rsid w:val="005D21CA"/>
    <w:rsid w:val="005D33BD"/>
    <w:rsid w:val="005D3BCE"/>
    <w:rsid w:val="005D51FA"/>
    <w:rsid w:val="005D5F25"/>
    <w:rsid w:val="005D791B"/>
    <w:rsid w:val="005E0A1C"/>
    <w:rsid w:val="005E2117"/>
    <w:rsid w:val="005E22FA"/>
    <w:rsid w:val="005E2371"/>
    <w:rsid w:val="005E468B"/>
    <w:rsid w:val="005E4DE5"/>
    <w:rsid w:val="005E5F39"/>
    <w:rsid w:val="005E644F"/>
    <w:rsid w:val="005F2E31"/>
    <w:rsid w:val="005F5E60"/>
    <w:rsid w:val="006014A6"/>
    <w:rsid w:val="00603890"/>
    <w:rsid w:val="00603D5E"/>
    <w:rsid w:val="0060403B"/>
    <w:rsid w:val="006106C2"/>
    <w:rsid w:val="00611084"/>
    <w:rsid w:val="006127F4"/>
    <w:rsid w:val="00614817"/>
    <w:rsid w:val="00621FC5"/>
    <w:rsid w:val="0062433C"/>
    <w:rsid w:val="006252A9"/>
    <w:rsid w:val="006253AA"/>
    <w:rsid w:val="00627624"/>
    <w:rsid w:val="00632BEA"/>
    <w:rsid w:val="00633DBF"/>
    <w:rsid w:val="00636660"/>
    <w:rsid w:val="00636F9E"/>
    <w:rsid w:val="0063706B"/>
    <w:rsid w:val="00642D35"/>
    <w:rsid w:val="00645C67"/>
    <w:rsid w:val="00655371"/>
    <w:rsid w:val="006617EB"/>
    <w:rsid w:val="00661945"/>
    <w:rsid w:val="00662401"/>
    <w:rsid w:val="00663A60"/>
    <w:rsid w:val="006644F5"/>
    <w:rsid w:val="00666E51"/>
    <w:rsid w:val="0066715E"/>
    <w:rsid w:val="00667403"/>
    <w:rsid w:val="0067191A"/>
    <w:rsid w:val="006724A7"/>
    <w:rsid w:val="006724FF"/>
    <w:rsid w:val="006756C2"/>
    <w:rsid w:val="00676247"/>
    <w:rsid w:val="0067668D"/>
    <w:rsid w:val="006771B0"/>
    <w:rsid w:val="0067795F"/>
    <w:rsid w:val="006823F1"/>
    <w:rsid w:val="00682AEE"/>
    <w:rsid w:val="0068493A"/>
    <w:rsid w:val="006862F2"/>
    <w:rsid w:val="006865BA"/>
    <w:rsid w:val="00691854"/>
    <w:rsid w:val="0069528D"/>
    <w:rsid w:val="00695471"/>
    <w:rsid w:val="00697665"/>
    <w:rsid w:val="00697F41"/>
    <w:rsid w:val="006A58F7"/>
    <w:rsid w:val="006A7CB5"/>
    <w:rsid w:val="006A7FD0"/>
    <w:rsid w:val="006B11CF"/>
    <w:rsid w:val="006B16AA"/>
    <w:rsid w:val="006B1FE2"/>
    <w:rsid w:val="006B7DA3"/>
    <w:rsid w:val="006C089F"/>
    <w:rsid w:val="006C5B2E"/>
    <w:rsid w:val="006C7D5D"/>
    <w:rsid w:val="006D0D2C"/>
    <w:rsid w:val="006D1B29"/>
    <w:rsid w:val="006D1E2E"/>
    <w:rsid w:val="006D5C2F"/>
    <w:rsid w:val="006D7687"/>
    <w:rsid w:val="006E0572"/>
    <w:rsid w:val="006E21A5"/>
    <w:rsid w:val="006E225B"/>
    <w:rsid w:val="006E32E5"/>
    <w:rsid w:val="006E5206"/>
    <w:rsid w:val="006E69E3"/>
    <w:rsid w:val="006E7122"/>
    <w:rsid w:val="006F2F2F"/>
    <w:rsid w:val="006F376A"/>
    <w:rsid w:val="006F410C"/>
    <w:rsid w:val="006F4E4F"/>
    <w:rsid w:val="00700727"/>
    <w:rsid w:val="007049F5"/>
    <w:rsid w:val="007052C5"/>
    <w:rsid w:val="00705631"/>
    <w:rsid w:val="00707163"/>
    <w:rsid w:val="0071064E"/>
    <w:rsid w:val="007110B3"/>
    <w:rsid w:val="00711153"/>
    <w:rsid w:val="00711674"/>
    <w:rsid w:val="00713B9C"/>
    <w:rsid w:val="007157DD"/>
    <w:rsid w:val="00715EAA"/>
    <w:rsid w:val="00716537"/>
    <w:rsid w:val="007169B5"/>
    <w:rsid w:val="00722D5E"/>
    <w:rsid w:val="007250B1"/>
    <w:rsid w:val="00725B0A"/>
    <w:rsid w:val="007262CB"/>
    <w:rsid w:val="00726711"/>
    <w:rsid w:val="00727262"/>
    <w:rsid w:val="007306D5"/>
    <w:rsid w:val="007320B4"/>
    <w:rsid w:val="007325BE"/>
    <w:rsid w:val="00732D07"/>
    <w:rsid w:val="00735B6D"/>
    <w:rsid w:val="00736A81"/>
    <w:rsid w:val="00736F43"/>
    <w:rsid w:val="007426AB"/>
    <w:rsid w:val="00742907"/>
    <w:rsid w:val="00742DD2"/>
    <w:rsid w:val="0074520C"/>
    <w:rsid w:val="0074677F"/>
    <w:rsid w:val="00746E08"/>
    <w:rsid w:val="007474B6"/>
    <w:rsid w:val="00747BA0"/>
    <w:rsid w:val="00747C96"/>
    <w:rsid w:val="0075094E"/>
    <w:rsid w:val="007522E8"/>
    <w:rsid w:val="007539D6"/>
    <w:rsid w:val="00753C34"/>
    <w:rsid w:val="0075647A"/>
    <w:rsid w:val="00756CC1"/>
    <w:rsid w:val="00761E39"/>
    <w:rsid w:val="007634AD"/>
    <w:rsid w:val="007636A5"/>
    <w:rsid w:val="007666CD"/>
    <w:rsid w:val="00766C73"/>
    <w:rsid w:val="00767E0E"/>
    <w:rsid w:val="00773B98"/>
    <w:rsid w:val="007767CE"/>
    <w:rsid w:val="007767E5"/>
    <w:rsid w:val="00776FCD"/>
    <w:rsid w:val="0077770B"/>
    <w:rsid w:val="0078055F"/>
    <w:rsid w:val="00780787"/>
    <w:rsid w:val="0078122E"/>
    <w:rsid w:val="00781306"/>
    <w:rsid w:val="00781780"/>
    <w:rsid w:val="0078446D"/>
    <w:rsid w:val="0079045C"/>
    <w:rsid w:val="00791896"/>
    <w:rsid w:val="00795647"/>
    <w:rsid w:val="00796340"/>
    <w:rsid w:val="0079682C"/>
    <w:rsid w:val="007A262A"/>
    <w:rsid w:val="007A3372"/>
    <w:rsid w:val="007A37B5"/>
    <w:rsid w:val="007A4344"/>
    <w:rsid w:val="007A48A0"/>
    <w:rsid w:val="007A7697"/>
    <w:rsid w:val="007A7FA7"/>
    <w:rsid w:val="007B0854"/>
    <w:rsid w:val="007B6DC6"/>
    <w:rsid w:val="007B798B"/>
    <w:rsid w:val="007C0440"/>
    <w:rsid w:val="007C58E6"/>
    <w:rsid w:val="007C5AFF"/>
    <w:rsid w:val="007C5EE7"/>
    <w:rsid w:val="007C719D"/>
    <w:rsid w:val="007D039A"/>
    <w:rsid w:val="007D0FE7"/>
    <w:rsid w:val="007D203D"/>
    <w:rsid w:val="007D3C61"/>
    <w:rsid w:val="007D4686"/>
    <w:rsid w:val="007D5E75"/>
    <w:rsid w:val="007E03E6"/>
    <w:rsid w:val="007E1017"/>
    <w:rsid w:val="007E296D"/>
    <w:rsid w:val="007E2D78"/>
    <w:rsid w:val="007E3ED6"/>
    <w:rsid w:val="007E7065"/>
    <w:rsid w:val="007E7D07"/>
    <w:rsid w:val="007F058F"/>
    <w:rsid w:val="007F224E"/>
    <w:rsid w:val="007F339D"/>
    <w:rsid w:val="007F35FE"/>
    <w:rsid w:val="007F5401"/>
    <w:rsid w:val="007F57CC"/>
    <w:rsid w:val="007F6987"/>
    <w:rsid w:val="007F6B46"/>
    <w:rsid w:val="007F72CB"/>
    <w:rsid w:val="008028DA"/>
    <w:rsid w:val="008038A2"/>
    <w:rsid w:val="00804B66"/>
    <w:rsid w:val="00805423"/>
    <w:rsid w:val="00805D10"/>
    <w:rsid w:val="00805E29"/>
    <w:rsid w:val="00811025"/>
    <w:rsid w:val="00811696"/>
    <w:rsid w:val="0081275C"/>
    <w:rsid w:val="00820342"/>
    <w:rsid w:val="008203DC"/>
    <w:rsid w:val="008217B7"/>
    <w:rsid w:val="00821D83"/>
    <w:rsid w:val="00821EB1"/>
    <w:rsid w:val="00823638"/>
    <w:rsid w:val="00823DDA"/>
    <w:rsid w:val="00824369"/>
    <w:rsid w:val="008256B5"/>
    <w:rsid w:val="00825FCE"/>
    <w:rsid w:val="0082603A"/>
    <w:rsid w:val="00826DF3"/>
    <w:rsid w:val="008271DC"/>
    <w:rsid w:val="00827885"/>
    <w:rsid w:val="0083119B"/>
    <w:rsid w:val="0083274C"/>
    <w:rsid w:val="00832B5C"/>
    <w:rsid w:val="00833833"/>
    <w:rsid w:val="00833A23"/>
    <w:rsid w:val="008344DD"/>
    <w:rsid w:val="00836288"/>
    <w:rsid w:val="00836EAB"/>
    <w:rsid w:val="00837F02"/>
    <w:rsid w:val="0084101C"/>
    <w:rsid w:val="00842041"/>
    <w:rsid w:val="00842051"/>
    <w:rsid w:val="0084254F"/>
    <w:rsid w:val="00842892"/>
    <w:rsid w:val="00844902"/>
    <w:rsid w:val="0084512E"/>
    <w:rsid w:val="00846BC7"/>
    <w:rsid w:val="0085092D"/>
    <w:rsid w:val="00850F79"/>
    <w:rsid w:val="00852035"/>
    <w:rsid w:val="00852D8F"/>
    <w:rsid w:val="0085323E"/>
    <w:rsid w:val="0085358E"/>
    <w:rsid w:val="0085405F"/>
    <w:rsid w:val="0085643E"/>
    <w:rsid w:val="00864011"/>
    <w:rsid w:val="008653B4"/>
    <w:rsid w:val="00865AFF"/>
    <w:rsid w:val="00866274"/>
    <w:rsid w:val="00871C39"/>
    <w:rsid w:val="00873EA4"/>
    <w:rsid w:val="0087439A"/>
    <w:rsid w:val="00874A3E"/>
    <w:rsid w:val="00874C6B"/>
    <w:rsid w:val="00877DC9"/>
    <w:rsid w:val="00880E1C"/>
    <w:rsid w:val="0088329E"/>
    <w:rsid w:val="008853EC"/>
    <w:rsid w:val="00885FE6"/>
    <w:rsid w:val="0088646C"/>
    <w:rsid w:val="00887026"/>
    <w:rsid w:val="0089205D"/>
    <w:rsid w:val="00893146"/>
    <w:rsid w:val="008931AC"/>
    <w:rsid w:val="008932D8"/>
    <w:rsid w:val="00894B8D"/>
    <w:rsid w:val="00895431"/>
    <w:rsid w:val="008956B8"/>
    <w:rsid w:val="008961C6"/>
    <w:rsid w:val="00896EAB"/>
    <w:rsid w:val="0089774F"/>
    <w:rsid w:val="008A31C3"/>
    <w:rsid w:val="008A34C1"/>
    <w:rsid w:val="008A577F"/>
    <w:rsid w:val="008B0135"/>
    <w:rsid w:val="008B134D"/>
    <w:rsid w:val="008B1E56"/>
    <w:rsid w:val="008B2223"/>
    <w:rsid w:val="008B4202"/>
    <w:rsid w:val="008B5546"/>
    <w:rsid w:val="008B602E"/>
    <w:rsid w:val="008C2CEB"/>
    <w:rsid w:val="008C2F58"/>
    <w:rsid w:val="008C455E"/>
    <w:rsid w:val="008C56D0"/>
    <w:rsid w:val="008C61BB"/>
    <w:rsid w:val="008D03AA"/>
    <w:rsid w:val="008D11DC"/>
    <w:rsid w:val="008D1663"/>
    <w:rsid w:val="008D306B"/>
    <w:rsid w:val="008D4363"/>
    <w:rsid w:val="008D4E03"/>
    <w:rsid w:val="008D50FC"/>
    <w:rsid w:val="008D5C96"/>
    <w:rsid w:val="008D5EC1"/>
    <w:rsid w:val="008D742C"/>
    <w:rsid w:val="008D7B41"/>
    <w:rsid w:val="008E1C15"/>
    <w:rsid w:val="008E37F7"/>
    <w:rsid w:val="008E5015"/>
    <w:rsid w:val="008E607A"/>
    <w:rsid w:val="008E63B4"/>
    <w:rsid w:val="008E6902"/>
    <w:rsid w:val="008F0CC4"/>
    <w:rsid w:val="008F23F0"/>
    <w:rsid w:val="008F4CB1"/>
    <w:rsid w:val="008F4F49"/>
    <w:rsid w:val="008F538E"/>
    <w:rsid w:val="009025EE"/>
    <w:rsid w:val="00902F50"/>
    <w:rsid w:val="009037F7"/>
    <w:rsid w:val="009038DA"/>
    <w:rsid w:val="009047C5"/>
    <w:rsid w:val="009118A9"/>
    <w:rsid w:val="00911B73"/>
    <w:rsid w:val="009125A3"/>
    <w:rsid w:val="00913F70"/>
    <w:rsid w:val="0091521E"/>
    <w:rsid w:val="00916B6F"/>
    <w:rsid w:val="00922BB5"/>
    <w:rsid w:val="009236A5"/>
    <w:rsid w:val="00924595"/>
    <w:rsid w:val="00925A83"/>
    <w:rsid w:val="00926216"/>
    <w:rsid w:val="00926B4E"/>
    <w:rsid w:val="00932A9F"/>
    <w:rsid w:val="00932C0C"/>
    <w:rsid w:val="00933BB3"/>
    <w:rsid w:val="009357C7"/>
    <w:rsid w:val="00936424"/>
    <w:rsid w:val="00936D26"/>
    <w:rsid w:val="00936F04"/>
    <w:rsid w:val="00942E45"/>
    <w:rsid w:val="009437A1"/>
    <w:rsid w:val="00943CA6"/>
    <w:rsid w:val="009463B5"/>
    <w:rsid w:val="009502C8"/>
    <w:rsid w:val="0095328D"/>
    <w:rsid w:val="0095385A"/>
    <w:rsid w:val="00954523"/>
    <w:rsid w:val="00954FE7"/>
    <w:rsid w:val="009567DE"/>
    <w:rsid w:val="00956F89"/>
    <w:rsid w:val="00961B83"/>
    <w:rsid w:val="0096200D"/>
    <w:rsid w:val="00963161"/>
    <w:rsid w:val="00964562"/>
    <w:rsid w:val="00964AC4"/>
    <w:rsid w:val="00970615"/>
    <w:rsid w:val="009710BF"/>
    <w:rsid w:val="0097121F"/>
    <w:rsid w:val="009719CF"/>
    <w:rsid w:val="0097209F"/>
    <w:rsid w:val="00972BA0"/>
    <w:rsid w:val="00972FB2"/>
    <w:rsid w:val="009757AA"/>
    <w:rsid w:val="009757AF"/>
    <w:rsid w:val="009778E0"/>
    <w:rsid w:val="00977DA2"/>
    <w:rsid w:val="00980AC2"/>
    <w:rsid w:val="0098155D"/>
    <w:rsid w:val="00981711"/>
    <w:rsid w:val="00983D7A"/>
    <w:rsid w:val="00984452"/>
    <w:rsid w:val="00984782"/>
    <w:rsid w:val="00986565"/>
    <w:rsid w:val="009909E6"/>
    <w:rsid w:val="00993024"/>
    <w:rsid w:val="00995E94"/>
    <w:rsid w:val="009A29DE"/>
    <w:rsid w:val="009A597A"/>
    <w:rsid w:val="009A66DC"/>
    <w:rsid w:val="009A7079"/>
    <w:rsid w:val="009A7FFB"/>
    <w:rsid w:val="009A7FFE"/>
    <w:rsid w:val="009B1ED5"/>
    <w:rsid w:val="009B2008"/>
    <w:rsid w:val="009B3F99"/>
    <w:rsid w:val="009B45B0"/>
    <w:rsid w:val="009B6BEF"/>
    <w:rsid w:val="009C02E4"/>
    <w:rsid w:val="009C1692"/>
    <w:rsid w:val="009C2030"/>
    <w:rsid w:val="009C3386"/>
    <w:rsid w:val="009C4D3C"/>
    <w:rsid w:val="009C5B84"/>
    <w:rsid w:val="009D166E"/>
    <w:rsid w:val="009D17A0"/>
    <w:rsid w:val="009D31DA"/>
    <w:rsid w:val="009D3D2F"/>
    <w:rsid w:val="009D56B5"/>
    <w:rsid w:val="009D6AF2"/>
    <w:rsid w:val="009D708B"/>
    <w:rsid w:val="009D76A3"/>
    <w:rsid w:val="009D7902"/>
    <w:rsid w:val="009E3339"/>
    <w:rsid w:val="009E4079"/>
    <w:rsid w:val="009E5821"/>
    <w:rsid w:val="009E6061"/>
    <w:rsid w:val="009E6707"/>
    <w:rsid w:val="009E7136"/>
    <w:rsid w:val="009F0A48"/>
    <w:rsid w:val="009F1D95"/>
    <w:rsid w:val="009F59C2"/>
    <w:rsid w:val="009F5B31"/>
    <w:rsid w:val="009F75EF"/>
    <w:rsid w:val="009F7B7A"/>
    <w:rsid w:val="009F7D6C"/>
    <w:rsid w:val="00A038CC"/>
    <w:rsid w:val="00A03B66"/>
    <w:rsid w:val="00A0465D"/>
    <w:rsid w:val="00A06271"/>
    <w:rsid w:val="00A069A2"/>
    <w:rsid w:val="00A111B5"/>
    <w:rsid w:val="00A20D98"/>
    <w:rsid w:val="00A24560"/>
    <w:rsid w:val="00A2589B"/>
    <w:rsid w:val="00A30A8B"/>
    <w:rsid w:val="00A31C80"/>
    <w:rsid w:val="00A34538"/>
    <w:rsid w:val="00A34B3E"/>
    <w:rsid w:val="00A36A2C"/>
    <w:rsid w:val="00A376C8"/>
    <w:rsid w:val="00A37FB6"/>
    <w:rsid w:val="00A43A0E"/>
    <w:rsid w:val="00A44989"/>
    <w:rsid w:val="00A44B78"/>
    <w:rsid w:val="00A45B69"/>
    <w:rsid w:val="00A4743D"/>
    <w:rsid w:val="00A5023D"/>
    <w:rsid w:val="00A5042F"/>
    <w:rsid w:val="00A511A7"/>
    <w:rsid w:val="00A513FF"/>
    <w:rsid w:val="00A51B9D"/>
    <w:rsid w:val="00A547AE"/>
    <w:rsid w:val="00A54903"/>
    <w:rsid w:val="00A56A5E"/>
    <w:rsid w:val="00A628BC"/>
    <w:rsid w:val="00A63547"/>
    <w:rsid w:val="00A6375C"/>
    <w:rsid w:val="00A65C0C"/>
    <w:rsid w:val="00A66552"/>
    <w:rsid w:val="00A67EC3"/>
    <w:rsid w:val="00A7170D"/>
    <w:rsid w:val="00A71D21"/>
    <w:rsid w:val="00A71D68"/>
    <w:rsid w:val="00A72401"/>
    <w:rsid w:val="00A758A6"/>
    <w:rsid w:val="00A75EAB"/>
    <w:rsid w:val="00A7777A"/>
    <w:rsid w:val="00A82997"/>
    <w:rsid w:val="00A8562F"/>
    <w:rsid w:val="00A85F66"/>
    <w:rsid w:val="00A874DE"/>
    <w:rsid w:val="00A90822"/>
    <w:rsid w:val="00A916B1"/>
    <w:rsid w:val="00A93678"/>
    <w:rsid w:val="00A94E66"/>
    <w:rsid w:val="00A94F81"/>
    <w:rsid w:val="00A96076"/>
    <w:rsid w:val="00A96235"/>
    <w:rsid w:val="00A9781C"/>
    <w:rsid w:val="00A9786A"/>
    <w:rsid w:val="00AA0731"/>
    <w:rsid w:val="00AA082E"/>
    <w:rsid w:val="00AA08E7"/>
    <w:rsid w:val="00AA14B3"/>
    <w:rsid w:val="00AA2550"/>
    <w:rsid w:val="00AA367A"/>
    <w:rsid w:val="00AA442B"/>
    <w:rsid w:val="00AA5651"/>
    <w:rsid w:val="00AA669D"/>
    <w:rsid w:val="00AA6844"/>
    <w:rsid w:val="00AA7218"/>
    <w:rsid w:val="00AB11B1"/>
    <w:rsid w:val="00AB11CA"/>
    <w:rsid w:val="00AB12E9"/>
    <w:rsid w:val="00AB3D53"/>
    <w:rsid w:val="00AB48BA"/>
    <w:rsid w:val="00AB626C"/>
    <w:rsid w:val="00AB68E7"/>
    <w:rsid w:val="00AC3169"/>
    <w:rsid w:val="00AC3505"/>
    <w:rsid w:val="00AC6420"/>
    <w:rsid w:val="00AC754B"/>
    <w:rsid w:val="00AD0716"/>
    <w:rsid w:val="00AD0863"/>
    <w:rsid w:val="00AD0D7E"/>
    <w:rsid w:val="00AD0E40"/>
    <w:rsid w:val="00AD4293"/>
    <w:rsid w:val="00AD6002"/>
    <w:rsid w:val="00AD68F5"/>
    <w:rsid w:val="00AD6B6D"/>
    <w:rsid w:val="00AE0858"/>
    <w:rsid w:val="00AE0A52"/>
    <w:rsid w:val="00AE1628"/>
    <w:rsid w:val="00AE1DE2"/>
    <w:rsid w:val="00AF0404"/>
    <w:rsid w:val="00AF09E8"/>
    <w:rsid w:val="00AF140C"/>
    <w:rsid w:val="00AF24D9"/>
    <w:rsid w:val="00AF258A"/>
    <w:rsid w:val="00AF3336"/>
    <w:rsid w:val="00AF48C5"/>
    <w:rsid w:val="00AF49FA"/>
    <w:rsid w:val="00AF6B9A"/>
    <w:rsid w:val="00B00900"/>
    <w:rsid w:val="00B029B3"/>
    <w:rsid w:val="00B0378A"/>
    <w:rsid w:val="00B04D3D"/>
    <w:rsid w:val="00B13EC0"/>
    <w:rsid w:val="00B1432D"/>
    <w:rsid w:val="00B1674E"/>
    <w:rsid w:val="00B17B43"/>
    <w:rsid w:val="00B203BB"/>
    <w:rsid w:val="00B20A0B"/>
    <w:rsid w:val="00B220E3"/>
    <w:rsid w:val="00B222C1"/>
    <w:rsid w:val="00B22E22"/>
    <w:rsid w:val="00B23071"/>
    <w:rsid w:val="00B243F8"/>
    <w:rsid w:val="00B24550"/>
    <w:rsid w:val="00B261E7"/>
    <w:rsid w:val="00B2775A"/>
    <w:rsid w:val="00B31971"/>
    <w:rsid w:val="00B34B3F"/>
    <w:rsid w:val="00B35949"/>
    <w:rsid w:val="00B4049E"/>
    <w:rsid w:val="00B42122"/>
    <w:rsid w:val="00B42B3D"/>
    <w:rsid w:val="00B43C08"/>
    <w:rsid w:val="00B44228"/>
    <w:rsid w:val="00B45834"/>
    <w:rsid w:val="00B4671D"/>
    <w:rsid w:val="00B47176"/>
    <w:rsid w:val="00B4795A"/>
    <w:rsid w:val="00B51DD2"/>
    <w:rsid w:val="00B525CB"/>
    <w:rsid w:val="00B52760"/>
    <w:rsid w:val="00B549D6"/>
    <w:rsid w:val="00B54F61"/>
    <w:rsid w:val="00B564AD"/>
    <w:rsid w:val="00B5792C"/>
    <w:rsid w:val="00B60B79"/>
    <w:rsid w:val="00B61053"/>
    <w:rsid w:val="00B62437"/>
    <w:rsid w:val="00B63872"/>
    <w:rsid w:val="00B63CB2"/>
    <w:rsid w:val="00B63F4C"/>
    <w:rsid w:val="00B64EDB"/>
    <w:rsid w:val="00B6557B"/>
    <w:rsid w:val="00B669BC"/>
    <w:rsid w:val="00B70310"/>
    <w:rsid w:val="00B70393"/>
    <w:rsid w:val="00B7202F"/>
    <w:rsid w:val="00B7315F"/>
    <w:rsid w:val="00B73CC4"/>
    <w:rsid w:val="00B73FCA"/>
    <w:rsid w:val="00B7441D"/>
    <w:rsid w:val="00B7752B"/>
    <w:rsid w:val="00B80D67"/>
    <w:rsid w:val="00B80F66"/>
    <w:rsid w:val="00B823D7"/>
    <w:rsid w:val="00B83312"/>
    <w:rsid w:val="00B83F81"/>
    <w:rsid w:val="00B866CA"/>
    <w:rsid w:val="00B90FEF"/>
    <w:rsid w:val="00B91B8E"/>
    <w:rsid w:val="00B92CE9"/>
    <w:rsid w:val="00B93192"/>
    <w:rsid w:val="00B94F15"/>
    <w:rsid w:val="00B9509D"/>
    <w:rsid w:val="00B95CAE"/>
    <w:rsid w:val="00B96300"/>
    <w:rsid w:val="00B96396"/>
    <w:rsid w:val="00B96618"/>
    <w:rsid w:val="00BA1616"/>
    <w:rsid w:val="00BA254F"/>
    <w:rsid w:val="00BA42A3"/>
    <w:rsid w:val="00BA4987"/>
    <w:rsid w:val="00BA6AD7"/>
    <w:rsid w:val="00BB029D"/>
    <w:rsid w:val="00BB1591"/>
    <w:rsid w:val="00BB287C"/>
    <w:rsid w:val="00BB2AD6"/>
    <w:rsid w:val="00BB43A3"/>
    <w:rsid w:val="00BB56B4"/>
    <w:rsid w:val="00BB5D46"/>
    <w:rsid w:val="00BB6522"/>
    <w:rsid w:val="00BC207A"/>
    <w:rsid w:val="00BC5918"/>
    <w:rsid w:val="00BC5BF9"/>
    <w:rsid w:val="00BC65A6"/>
    <w:rsid w:val="00BC69CF"/>
    <w:rsid w:val="00BC7852"/>
    <w:rsid w:val="00BC7BCA"/>
    <w:rsid w:val="00BC7F75"/>
    <w:rsid w:val="00BD0D98"/>
    <w:rsid w:val="00BD2054"/>
    <w:rsid w:val="00BD20B7"/>
    <w:rsid w:val="00BD319C"/>
    <w:rsid w:val="00BD453F"/>
    <w:rsid w:val="00BD78FE"/>
    <w:rsid w:val="00BE0714"/>
    <w:rsid w:val="00BE659F"/>
    <w:rsid w:val="00BF125B"/>
    <w:rsid w:val="00BF20DA"/>
    <w:rsid w:val="00BF39AA"/>
    <w:rsid w:val="00BF3C32"/>
    <w:rsid w:val="00C00612"/>
    <w:rsid w:val="00C0161A"/>
    <w:rsid w:val="00C01718"/>
    <w:rsid w:val="00C02243"/>
    <w:rsid w:val="00C073AA"/>
    <w:rsid w:val="00C076F8"/>
    <w:rsid w:val="00C1033A"/>
    <w:rsid w:val="00C109D1"/>
    <w:rsid w:val="00C11B63"/>
    <w:rsid w:val="00C12961"/>
    <w:rsid w:val="00C134E7"/>
    <w:rsid w:val="00C147E7"/>
    <w:rsid w:val="00C14E6C"/>
    <w:rsid w:val="00C22847"/>
    <w:rsid w:val="00C228D0"/>
    <w:rsid w:val="00C22B1B"/>
    <w:rsid w:val="00C23C1B"/>
    <w:rsid w:val="00C27680"/>
    <w:rsid w:val="00C27682"/>
    <w:rsid w:val="00C307D3"/>
    <w:rsid w:val="00C31D25"/>
    <w:rsid w:val="00C346D2"/>
    <w:rsid w:val="00C401D8"/>
    <w:rsid w:val="00C407AF"/>
    <w:rsid w:val="00C44C26"/>
    <w:rsid w:val="00C45698"/>
    <w:rsid w:val="00C4573A"/>
    <w:rsid w:val="00C5231C"/>
    <w:rsid w:val="00C525DC"/>
    <w:rsid w:val="00C54BDA"/>
    <w:rsid w:val="00C55132"/>
    <w:rsid w:val="00C55CB0"/>
    <w:rsid w:val="00C61019"/>
    <w:rsid w:val="00C639F6"/>
    <w:rsid w:val="00C717C7"/>
    <w:rsid w:val="00C71B6D"/>
    <w:rsid w:val="00C76B05"/>
    <w:rsid w:val="00C80F09"/>
    <w:rsid w:val="00C81938"/>
    <w:rsid w:val="00C8276B"/>
    <w:rsid w:val="00C83AA2"/>
    <w:rsid w:val="00C92908"/>
    <w:rsid w:val="00C96FF0"/>
    <w:rsid w:val="00C972A2"/>
    <w:rsid w:val="00CA055A"/>
    <w:rsid w:val="00CA0F39"/>
    <w:rsid w:val="00CA31EA"/>
    <w:rsid w:val="00CA519C"/>
    <w:rsid w:val="00CA689E"/>
    <w:rsid w:val="00CB1E0E"/>
    <w:rsid w:val="00CB2D2E"/>
    <w:rsid w:val="00CB57B3"/>
    <w:rsid w:val="00CB5AD7"/>
    <w:rsid w:val="00CC00CD"/>
    <w:rsid w:val="00CC0CA7"/>
    <w:rsid w:val="00CC47E8"/>
    <w:rsid w:val="00CC59C9"/>
    <w:rsid w:val="00CC62AE"/>
    <w:rsid w:val="00CC635B"/>
    <w:rsid w:val="00CD0263"/>
    <w:rsid w:val="00CD2160"/>
    <w:rsid w:val="00CD34C9"/>
    <w:rsid w:val="00CD3EF0"/>
    <w:rsid w:val="00CD6760"/>
    <w:rsid w:val="00CE198E"/>
    <w:rsid w:val="00CE39C7"/>
    <w:rsid w:val="00CE483A"/>
    <w:rsid w:val="00CE7356"/>
    <w:rsid w:val="00CF37E7"/>
    <w:rsid w:val="00CF6735"/>
    <w:rsid w:val="00CF6BF5"/>
    <w:rsid w:val="00CF7AF4"/>
    <w:rsid w:val="00D01760"/>
    <w:rsid w:val="00D01902"/>
    <w:rsid w:val="00D0239D"/>
    <w:rsid w:val="00D03073"/>
    <w:rsid w:val="00D05667"/>
    <w:rsid w:val="00D06764"/>
    <w:rsid w:val="00D07D60"/>
    <w:rsid w:val="00D10EC1"/>
    <w:rsid w:val="00D12BA5"/>
    <w:rsid w:val="00D131C0"/>
    <w:rsid w:val="00D14533"/>
    <w:rsid w:val="00D152ED"/>
    <w:rsid w:val="00D16E39"/>
    <w:rsid w:val="00D202BE"/>
    <w:rsid w:val="00D2067F"/>
    <w:rsid w:val="00D20D74"/>
    <w:rsid w:val="00D223B6"/>
    <w:rsid w:val="00D227BD"/>
    <w:rsid w:val="00D22A38"/>
    <w:rsid w:val="00D22DE2"/>
    <w:rsid w:val="00D2318A"/>
    <w:rsid w:val="00D32424"/>
    <w:rsid w:val="00D338C8"/>
    <w:rsid w:val="00D33C21"/>
    <w:rsid w:val="00D33C9D"/>
    <w:rsid w:val="00D3450E"/>
    <w:rsid w:val="00D367D6"/>
    <w:rsid w:val="00D37F94"/>
    <w:rsid w:val="00D400AE"/>
    <w:rsid w:val="00D4102D"/>
    <w:rsid w:val="00D42442"/>
    <w:rsid w:val="00D42465"/>
    <w:rsid w:val="00D4795D"/>
    <w:rsid w:val="00D50E46"/>
    <w:rsid w:val="00D52333"/>
    <w:rsid w:val="00D52525"/>
    <w:rsid w:val="00D55301"/>
    <w:rsid w:val="00D56F6F"/>
    <w:rsid w:val="00D60327"/>
    <w:rsid w:val="00D6042C"/>
    <w:rsid w:val="00D605EE"/>
    <w:rsid w:val="00D60A44"/>
    <w:rsid w:val="00D620B8"/>
    <w:rsid w:val="00D62EDA"/>
    <w:rsid w:val="00D64E1D"/>
    <w:rsid w:val="00D67AC3"/>
    <w:rsid w:val="00D67FE7"/>
    <w:rsid w:val="00D70889"/>
    <w:rsid w:val="00D72E9D"/>
    <w:rsid w:val="00D75FFD"/>
    <w:rsid w:val="00D81216"/>
    <w:rsid w:val="00D82CE5"/>
    <w:rsid w:val="00D850ED"/>
    <w:rsid w:val="00D85290"/>
    <w:rsid w:val="00D86513"/>
    <w:rsid w:val="00D90688"/>
    <w:rsid w:val="00D90AF9"/>
    <w:rsid w:val="00D91F82"/>
    <w:rsid w:val="00D933AB"/>
    <w:rsid w:val="00D93E7A"/>
    <w:rsid w:val="00D94810"/>
    <w:rsid w:val="00D955E2"/>
    <w:rsid w:val="00D96A9A"/>
    <w:rsid w:val="00D97E4C"/>
    <w:rsid w:val="00DA04A6"/>
    <w:rsid w:val="00DA3165"/>
    <w:rsid w:val="00DA3B69"/>
    <w:rsid w:val="00DA40C0"/>
    <w:rsid w:val="00DA4B56"/>
    <w:rsid w:val="00DA5AB1"/>
    <w:rsid w:val="00DB1A88"/>
    <w:rsid w:val="00DB2CF1"/>
    <w:rsid w:val="00DB4834"/>
    <w:rsid w:val="00DB4A47"/>
    <w:rsid w:val="00DB5463"/>
    <w:rsid w:val="00DB6945"/>
    <w:rsid w:val="00DC0143"/>
    <w:rsid w:val="00DC1765"/>
    <w:rsid w:val="00DC37D1"/>
    <w:rsid w:val="00DC3800"/>
    <w:rsid w:val="00DC5CD3"/>
    <w:rsid w:val="00DC62E5"/>
    <w:rsid w:val="00DC6C83"/>
    <w:rsid w:val="00DD0C0F"/>
    <w:rsid w:val="00DD0E15"/>
    <w:rsid w:val="00DD0EC3"/>
    <w:rsid w:val="00DD197D"/>
    <w:rsid w:val="00DD5776"/>
    <w:rsid w:val="00DD735D"/>
    <w:rsid w:val="00DD73CF"/>
    <w:rsid w:val="00DE171D"/>
    <w:rsid w:val="00DE192F"/>
    <w:rsid w:val="00DE1F83"/>
    <w:rsid w:val="00DE2229"/>
    <w:rsid w:val="00DE3119"/>
    <w:rsid w:val="00DE573E"/>
    <w:rsid w:val="00DF1290"/>
    <w:rsid w:val="00DF1778"/>
    <w:rsid w:val="00DF1EAF"/>
    <w:rsid w:val="00DF2157"/>
    <w:rsid w:val="00DF236B"/>
    <w:rsid w:val="00DF45FC"/>
    <w:rsid w:val="00DF7174"/>
    <w:rsid w:val="00E00498"/>
    <w:rsid w:val="00E0238C"/>
    <w:rsid w:val="00E03713"/>
    <w:rsid w:val="00E04231"/>
    <w:rsid w:val="00E04388"/>
    <w:rsid w:val="00E04FE9"/>
    <w:rsid w:val="00E0610E"/>
    <w:rsid w:val="00E06383"/>
    <w:rsid w:val="00E07F87"/>
    <w:rsid w:val="00E104B0"/>
    <w:rsid w:val="00E10BAD"/>
    <w:rsid w:val="00E114AD"/>
    <w:rsid w:val="00E125F3"/>
    <w:rsid w:val="00E12820"/>
    <w:rsid w:val="00E13AB8"/>
    <w:rsid w:val="00E13C2A"/>
    <w:rsid w:val="00E15564"/>
    <w:rsid w:val="00E15785"/>
    <w:rsid w:val="00E162BE"/>
    <w:rsid w:val="00E21BF8"/>
    <w:rsid w:val="00E21C3B"/>
    <w:rsid w:val="00E241EF"/>
    <w:rsid w:val="00E257E5"/>
    <w:rsid w:val="00E25CB3"/>
    <w:rsid w:val="00E30B08"/>
    <w:rsid w:val="00E32439"/>
    <w:rsid w:val="00E33B62"/>
    <w:rsid w:val="00E34074"/>
    <w:rsid w:val="00E3610E"/>
    <w:rsid w:val="00E37F5F"/>
    <w:rsid w:val="00E4143A"/>
    <w:rsid w:val="00E425F5"/>
    <w:rsid w:val="00E42BE3"/>
    <w:rsid w:val="00E42F71"/>
    <w:rsid w:val="00E4379B"/>
    <w:rsid w:val="00E4405E"/>
    <w:rsid w:val="00E44593"/>
    <w:rsid w:val="00E446F2"/>
    <w:rsid w:val="00E4768D"/>
    <w:rsid w:val="00E542D7"/>
    <w:rsid w:val="00E543DF"/>
    <w:rsid w:val="00E54661"/>
    <w:rsid w:val="00E549B6"/>
    <w:rsid w:val="00E54B84"/>
    <w:rsid w:val="00E54F8D"/>
    <w:rsid w:val="00E55CE1"/>
    <w:rsid w:val="00E569CD"/>
    <w:rsid w:val="00E57122"/>
    <w:rsid w:val="00E60BCE"/>
    <w:rsid w:val="00E61051"/>
    <w:rsid w:val="00E62109"/>
    <w:rsid w:val="00E662AB"/>
    <w:rsid w:val="00E66A4D"/>
    <w:rsid w:val="00E7245B"/>
    <w:rsid w:val="00E7299E"/>
    <w:rsid w:val="00E73574"/>
    <w:rsid w:val="00E759D6"/>
    <w:rsid w:val="00E76D24"/>
    <w:rsid w:val="00E76FD8"/>
    <w:rsid w:val="00E8249B"/>
    <w:rsid w:val="00E82DFE"/>
    <w:rsid w:val="00E842C7"/>
    <w:rsid w:val="00E84B6B"/>
    <w:rsid w:val="00E8742A"/>
    <w:rsid w:val="00E87DC0"/>
    <w:rsid w:val="00E923AC"/>
    <w:rsid w:val="00E92A87"/>
    <w:rsid w:val="00E939B8"/>
    <w:rsid w:val="00E94D24"/>
    <w:rsid w:val="00EA067A"/>
    <w:rsid w:val="00EA28BE"/>
    <w:rsid w:val="00EA2DA1"/>
    <w:rsid w:val="00EA4552"/>
    <w:rsid w:val="00EA4A11"/>
    <w:rsid w:val="00EA5340"/>
    <w:rsid w:val="00EA6929"/>
    <w:rsid w:val="00EA6ACD"/>
    <w:rsid w:val="00EB0D6D"/>
    <w:rsid w:val="00EB130F"/>
    <w:rsid w:val="00EB3D90"/>
    <w:rsid w:val="00EB5F9D"/>
    <w:rsid w:val="00EB63D6"/>
    <w:rsid w:val="00EB6D79"/>
    <w:rsid w:val="00EB6EB3"/>
    <w:rsid w:val="00EB718F"/>
    <w:rsid w:val="00EB7A68"/>
    <w:rsid w:val="00EC1BD9"/>
    <w:rsid w:val="00EC1E29"/>
    <w:rsid w:val="00EC2126"/>
    <w:rsid w:val="00EC3B16"/>
    <w:rsid w:val="00EC5E22"/>
    <w:rsid w:val="00EC7D8A"/>
    <w:rsid w:val="00ED0C11"/>
    <w:rsid w:val="00ED11F6"/>
    <w:rsid w:val="00ED28F5"/>
    <w:rsid w:val="00ED415C"/>
    <w:rsid w:val="00ED6869"/>
    <w:rsid w:val="00EE1AB7"/>
    <w:rsid w:val="00EE55F8"/>
    <w:rsid w:val="00EE59B5"/>
    <w:rsid w:val="00EE6ABD"/>
    <w:rsid w:val="00EF36E1"/>
    <w:rsid w:val="00EF49A7"/>
    <w:rsid w:val="00F0060E"/>
    <w:rsid w:val="00F006BE"/>
    <w:rsid w:val="00F018C5"/>
    <w:rsid w:val="00F02984"/>
    <w:rsid w:val="00F031BB"/>
    <w:rsid w:val="00F04D9A"/>
    <w:rsid w:val="00F06A7F"/>
    <w:rsid w:val="00F07882"/>
    <w:rsid w:val="00F10B89"/>
    <w:rsid w:val="00F116F4"/>
    <w:rsid w:val="00F117EF"/>
    <w:rsid w:val="00F12295"/>
    <w:rsid w:val="00F13BB4"/>
    <w:rsid w:val="00F1432A"/>
    <w:rsid w:val="00F144D8"/>
    <w:rsid w:val="00F14F74"/>
    <w:rsid w:val="00F2114F"/>
    <w:rsid w:val="00F2156D"/>
    <w:rsid w:val="00F21D2C"/>
    <w:rsid w:val="00F22E4E"/>
    <w:rsid w:val="00F22F5E"/>
    <w:rsid w:val="00F23EA0"/>
    <w:rsid w:val="00F25A50"/>
    <w:rsid w:val="00F25C6D"/>
    <w:rsid w:val="00F26D1D"/>
    <w:rsid w:val="00F2716F"/>
    <w:rsid w:val="00F278FC"/>
    <w:rsid w:val="00F27FA8"/>
    <w:rsid w:val="00F31A20"/>
    <w:rsid w:val="00F3308A"/>
    <w:rsid w:val="00F367CB"/>
    <w:rsid w:val="00F375BE"/>
    <w:rsid w:val="00F424C5"/>
    <w:rsid w:val="00F4747B"/>
    <w:rsid w:val="00F52861"/>
    <w:rsid w:val="00F54760"/>
    <w:rsid w:val="00F57221"/>
    <w:rsid w:val="00F62605"/>
    <w:rsid w:val="00F626C9"/>
    <w:rsid w:val="00F63D56"/>
    <w:rsid w:val="00F64D02"/>
    <w:rsid w:val="00F6535A"/>
    <w:rsid w:val="00F65BF1"/>
    <w:rsid w:val="00F66AB9"/>
    <w:rsid w:val="00F7181B"/>
    <w:rsid w:val="00F73149"/>
    <w:rsid w:val="00F74A9B"/>
    <w:rsid w:val="00F759E2"/>
    <w:rsid w:val="00F75EE3"/>
    <w:rsid w:val="00F8147A"/>
    <w:rsid w:val="00F8173A"/>
    <w:rsid w:val="00F828C7"/>
    <w:rsid w:val="00F84899"/>
    <w:rsid w:val="00F859F0"/>
    <w:rsid w:val="00F86246"/>
    <w:rsid w:val="00F86D1E"/>
    <w:rsid w:val="00F8799D"/>
    <w:rsid w:val="00F9063B"/>
    <w:rsid w:val="00F92807"/>
    <w:rsid w:val="00FA1342"/>
    <w:rsid w:val="00FA1644"/>
    <w:rsid w:val="00FA4BA7"/>
    <w:rsid w:val="00FA4E68"/>
    <w:rsid w:val="00FB0979"/>
    <w:rsid w:val="00FB536E"/>
    <w:rsid w:val="00FB58A6"/>
    <w:rsid w:val="00FB79E2"/>
    <w:rsid w:val="00FB7B6A"/>
    <w:rsid w:val="00FC0D0E"/>
    <w:rsid w:val="00FC29B2"/>
    <w:rsid w:val="00FC3419"/>
    <w:rsid w:val="00FC3AD6"/>
    <w:rsid w:val="00FC4C35"/>
    <w:rsid w:val="00FC7B9B"/>
    <w:rsid w:val="00FE0D9D"/>
    <w:rsid w:val="00FE141E"/>
    <w:rsid w:val="00FE18E2"/>
    <w:rsid w:val="00FE2E25"/>
    <w:rsid w:val="00FE405C"/>
    <w:rsid w:val="00FE42ED"/>
    <w:rsid w:val="00FE4DA6"/>
    <w:rsid w:val="00FE6C21"/>
    <w:rsid w:val="00FE7D7C"/>
    <w:rsid w:val="00FF44C6"/>
    <w:rsid w:val="00FF4B0C"/>
    <w:rsid w:val="00FF4D34"/>
    <w:rsid w:val="00FF672B"/>
    <w:rsid w:val="00FF7097"/>
    <w:rsid w:val="00FF7ACC"/>
    <w:rsid w:val="5218AF67"/>
    <w:rsid w:val="5912C351"/>
    <w:rsid w:val="69ABDB7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33A23"/>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semiHidden/>
    <w:rsid w:val="00833A23"/>
    <w:rPr>
      <w:rFonts w:eastAsiaTheme="minorEastAsia"/>
      <w:lang w:eastAsia="es-CO"/>
    </w:rPr>
  </w:style>
  <w:style w:type="paragraph" w:customStyle="1" w:styleId="paragraph">
    <w:name w:val="paragraph"/>
    <w:basedOn w:val="Normal"/>
    <w:rsid w:val="00182FE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182FE5"/>
  </w:style>
  <w:style w:type="character" w:customStyle="1" w:styleId="normaltextrun">
    <w:name w:val="normaltextrun"/>
    <w:basedOn w:val="Fuentedeprrafopredeter"/>
    <w:rsid w:val="00182FE5"/>
  </w:style>
  <w:style w:type="character" w:customStyle="1" w:styleId="eop">
    <w:name w:val="eop"/>
    <w:basedOn w:val="Fuentedeprrafopredeter"/>
    <w:rsid w:val="00182FE5"/>
  </w:style>
  <w:style w:type="character" w:customStyle="1" w:styleId="spellingerror">
    <w:name w:val="spellingerror"/>
    <w:basedOn w:val="Fuentedeprrafopredeter"/>
    <w:rsid w:val="0018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4308">
      <w:bodyDiv w:val="1"/>
      <w:marLeft w:val="0"/>
      <w:marRight w:val="0"/>
      <w:marTop w:val="0"/>
      <w:marBottom w:val="0"/>
      <w:divBdr>
        <w:top w:val="none" w:sz="0" w:space="0" w:color="auto"/>
        <w:left w:val="none" w:sz="0" w:space="0" w:color="auto"/>
        <w:bottom w:val="none" w:sz="0" w:space="0" w:color="auto"/>
        <w:right w:val="none" w:sz="0" w:space="0" w:color="auto"/>
      </w:divBdr>
      <w:divsChild>
        <w:div w:id="575213876">
          <w:marLeft w:val="0"/>
          <w:marRight w:val="0"/>
          <w:marTop w:val="0"/>
          <w:marBottom w:val="0"/>
          <w:divBdr>
            <w:top w:val="none" w:sz="0" w:space="0" w:color="auto"/>
            <w:left w:val="none" w:sz="0" w:space="0" w:color="auto"/>
            <w:bottom w:val="none" w:sz="0" w:space="0" w:color="auto"/>
            <w:right w:val="none" w:sz="0" w:space="0" w:color="auto"/>
          </w:divBdr>
          <w:divsChild>
            <w:div w:id="2123915335">
              <w:marLeft w:val="0"/>
              <w:marRight w:val="0"/>
              <w:marTop w:val="0"/>
              <w:marBottom w:val="0"/>
              <w:divBdr>
                <w:top w:val="none" w:sz="0" w:space="0" w:color="auto"/>
                <w:left w:val="none" w:sz="0" w:space="0" w:color="auto"/>
                <w:bottom w:val="none" w:sz="0" w:space="0" w:color="auto"/>
                <w:right w:val="none" w:sz="0" w:space="0" w:color="auto"/>
              </w:divBdr>
              <w:divsChild>
                <w:div w:id="2115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10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7025951">
      <w:bodyDiv w:val="1"/>
      <w:marLeft w:val="0"/>
      <w:marRight w:val="0"/>
      <w:marTop w:val="0"/>
      <w:marBottom w:val="0"/>
      <w:divBdr>
        <w:top w:val="none" w:sz="0" w:space="0" w:color="auto"/>
        <w:left w:val="none" w:sz="0" w:space="0" w:color="auto"/>
        <w:bottom w:val="none" w:sz="0" w:space="0" w:color="auto"/>
        <w:right w:val="none" w:sz="0" w:space="0" w:color="auto"/>
      </w:divBdr>
    </w:div>
    <w:div w:id="83192095">
      <w:bodyDiv w:val="1"/>
      <w:marLeft w:val="0"/>
      <w:marRight w:val="0"/>
      <w:marTop w:val="0"/>
      <w:marBottom w:val="0"/>
      <w:divBdr>
        <w:top w:val="none" w:sz="0" w:space="0" w:color="auto"/>
        <w:left w:val="none" w:sz="0" w:space="0" w:color="auto"/>
        <w:bottom w:val="none" w:sz="0" w:space="0" w:color="auto"/>
        <w:right w:val="none" w:sz="0" w:space="0" w:color="auto"/>
      </w:divBdr>
      <w:divsChild>
        <w:div w:id="1929462385">
          <w:marLeft w:val="0"/>
          <w:marRight w:val="0"/>
          <w:marTop w:val="0"/>
          <w:marBottom w:val="0"/>
          <w:divBdr>
            <w:top w:val="none" w:sz="0" w:space="0" w:color="auto"/>
            <w:left w:val="none" w:sz="0" w:space="0" w:color="auto"/>
            <w:bottom w:val="none" w:sz="0" w:space="0" w:color="auto"/>
            <w:right w:val="none" w:sz="0" w:space="0" w:color="auto"/>
          </w:divBdr>
          <w:divsChild>
            <w:div w:id="386338203">
              <w:marLeft w:val="0"/>
              <w:marRight w:val="0"/>
              <w:marTop w:val="0"/>
              <w:marBottom w:val="0"/>
              <w:divBdr>
                <w:top w:val="none" w:sz="0" w:space="0" w:color="auto"/>
                <w:left w:val="none" w:sz="0" w:space="0" w:color="auto"/>
                <w:bottom w:val="none" w:sz="0" w:space="0" w:color="auto"/>
                <w:right w:val="none" w:sz="0" w:space="0" w:color="auto"/>
              </w:divBdr>
              <w:divsChild>
                <w:div w:id="1724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449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4046160">
      <w:bodyDiv w:val="1"/>
      <w:marLeft w:val="0"/>
      <w:marRight w:val="0"/>
      <w:marTop w:val="0"/>
      <w:marBottom w:val="0"/>
      <w:divBdr>
        <w:top w:val="none" w:sz="0" w:space="0" w:color="auto"/>
        <w:left w:val="none" w:sz="0" w:space="0" w:color="auto"/>
        <w:bottom w:val="none" w:sz="0" w:space="0" w:color="auto"/>
        <w:right w:val="none" w:sz="0" w:space="0" w:color="auto"/>
      </w:divBdr>
    </w:div>
    <w:div w:id="393892844">
      <w:bodyDiv w:val="1"/>
      <w:marLeft w:val="0"/>
      <w:marRight w:val="0"/>
      <w:marTop w:val="0"/>
      <w:marBottom w:val="0"/>
      <w:divBdr>
        <w:top w:val="none" w:sz="0" w:space="0" w:color="auto"/>
        <w:left w:val="none" w:sz="0" w:space="0" w:color="auto"/>
        <w:bottom w:val="none" w:sz="0" w:space="0" w:color="auto"/>
        <w:right w:val="none" w:sz="0" w:space="0" w:color="auto"/>
      </w:divBdr>
    </w:div>
    <w:div w:id="486631407">
      <w:bodyDiv w:val="1"/>
      <w:marLeft w:val="0"/>
      <w:marRight w:val="0"/>
      <w:marTop w:val="0"/>
      <w:marBottom w:val="0"/>
      <w:divBdr>
        <w:top w:val="none" w:sz="0" w:space="0" w:color="auto"/>
        <w:left w:val="none" w:sz="0" w:space="0" w:color="auto"/>
        <w:bottom w:val="none" w:sz="0" w:space="0" w:color="auto"/>
        <w:right w:val="none" w:sz="0" w:space="0" w:color="auto"/>
      </w:divBdr>
      <w:divsChild>
        <w:div w:id="176041521">
          <w:marLeft w:val="0"/>
          <w:marRight w:val="0"/>
          <w:marTop w:val="0"/>
          <w:marBottom w:val="0"/>
          <w:divBdr>
            <w:top w:val="none" w:sz="0" w:space="0" w:color="auto"/>
            <w:left w:val="none" w:sz="0" w:space="0" w:color="auto"/>
            <w:bottom w:val="none" w:sz="0" w:space="0" w:color="auto"/>
            <w:right w:val="none" w:sz="0" w:space="0" w:color="auto"/>
          </w:divBdr>
        </w:div>
        <w:div w:id="641618397">
          <w:marLeft w:val="0"/>
          <w:marRight w:val="0"/>
          <w:marTop w:val="0"/>
          <w:marBottom w:val="0"/>
          <w:divBdr>
            <w:top w:val="none" w:sz="0" w:space="0" w:color="auto"/>
            <w:left w:val="none" w:sz="0" w:space="0" w:color="auto"/>
            <w:bottom w:val="none" w:sz="0" w:space="0" w:color="auto"/>
            <w:right w:val="none" w:sz="0" w:space="0" w:color="auto"/>
          </w:divBdr>
        </w:div>
        <w:div w:id="942348089">
          <w:marLeft w:val="0"/>
          <w:marRight w:val="0"/>
          <w:marTop w:val="0"/>
          <w:marBottom w:val="0"/>
          <w:divBdr>
            <w:top w:val="none" w:sz="0" w:space="0" w:color="auto"/>
            <w:left w:val="none" w:sz="0" w:space="0" w:color="auto"/>
            <w:bottom w:val="none" w:sz="0" w:space="0" w:color="auto"/>
            <w:right w:val="none" w:sz="0" w:space="0" w:color="auto"/>
          </w:divBdr>
        </w:div>
        <w:div w:id="122045357">
          <w:marLeft w:val="0"/>
          <w:marRight w:val="0"/>
          <w:marTop w:val="0"/>
          <w:marBottom w:val="0"/>
          <w:divBdr>
            <w:top w:val="none" w:sz="0" w:space="0" w:color="auto"/>
            <w:left w:val="none" w:sz="0" w:space="0" w:color="auto"/>
            <w:bottom w:val="none" w:sz="0" w:space="0" w:color="auto"/>
            <w:right w:val="none" w:sz="0" w:space="0" w:color="auto"/>
          </w:divBdr>
        </w:div>
        <w:div w:id="1562597630">
          <w:marLeft w:val="0"/>
          <w:marRight w:val="0"/>
          <w:marTop w:val="0"/>
          <w:marBottom w:val="0"/>
          <w:divBdr>
            <w:top w:val="none" w:sz="0" w:space="0" w:color="auto"/>
            <w:left w:val="none" w:sz="0" w:space="0" w:color="auto"/>
            <w:bottom w:val="none" w:sz="0" w:space="0" w:color="auto"/>
            <w:right w:val="none" w:sz="0" w:space="0" w:color="auto"/>
          </w:divBdr>
        </w:div>
        <w:div w:id="655040013">
          <w:marLeft w:val="0"/>
          <w:marRight w:val="0"/>
          <w:marTop w:val="0"/>
          <w:marBottom w:val="0"/>
          <w:divBdr>
            <w:top w:val="none" w:sz="0" w:space="0" w:color="auto"/>
            <w:left w:val="none" w:sz="0" w:space="0" w:color="auto"/>
            <w:bottom w:val="none" w:sz="0" w:space="0" w:color="auto"/>
            <w:right w:val="none" w:sz="0" w:space="0" w:color="auto"/>
          </w:divBdr>
        </w:div>
        <w:div w:id="1598439346">
          <w:marLeft w:val="0"/>
          <w:marRight w:val="0"/>
          <w:marTop w:val="0"/>
          <w:marBottom w:val="0"/>
          <w:divBdr>
            <w:top w:val="none" w:sz="0" w:space="0" w:color="auto"/>
            <w:left w:val="none" w:sz="0" w:space="0" w:color="auto"/>
            <w:bottom w:val="none" w:sz="0" w:space="0" w:color="auto"/>
            <w:right w:val="none" w:sz="0" w:space="0" w:color="auto"/>
          </w:divBdr>
        </w:div>
        <w:div w:id="721096271">
          <w:marLeft w:val="0"/>
          <w:marRight w:val="0"/>
          <w:marTop w:val="0"/>
          <w:marBottom w:val="0"/>
          <w:divBdr>
            <w:top w:val="none" w:sz="0" w:space="0" w:color="auto"/>
            <w:left w:val="none" w:sz="0" w:space="0" w:color="auto"/>
            <w:bottom w:val="none" w:sz="0" w:space="0" w:color="auto"/>
            <w:right w:val="none" w:sz="0" w:space="0" w:color="auto"/>
          </w:divBdr>
        </w:div>
        <w:div w:id="189227487">
          <w:marLeft w:val="0"/>
          <w:marRight w:val="0"/>
          <w:marTop w:val="0"/>
          <w:marBottom w:val="0"/>
          <w:divBdr>
            <w:top w:val="none" w:sz="0" w:space="0" w:color="auto"/>
            <w:left w:val="none" w:sz="0" w:space="0" w:color="auto"/>
            <w:bottom w:val="none" w:sz="0" w:space="0" w:color="auto"/>
            <w:right w:val="none" w:sz="0" w:space="0" w:color="auto"/>
          </w:divBdr>
        </w:div>
        <w:div w:id="1072431892">
          <w:marLeft w:val="0"/>
          <w:marRight w:val="0"/>
          <w:marTop w:val="0"/>
          <w:marBottom w:val="0"/>
          <w:divBdr>
            <w:top w:val="none" w:sz="0" w:space="0" w:color="auto"/>
            <w:left w:val="none" w:sz="0" w:space="0" w:color="auto"/>
            <w:bottom w:val="none" w:sz="0" w:space="0" w:color="auto"/>
            <w:right w:val="none" w:sz="0" w:space="0" w:color="auto"/>
          </w:divBdr>
        </w:div>
        <w:div w:id="695621469">
          <w:marLeft w:val="0"/>
          <w:marRight w:val="0"/>
          <w:marTop w:val="0"/>
          <w:marBottom w:val="0"/>
          <w:divBdr>
            <w:top w:val="none" w:sz="0" w:space="0" w:color="auto"/>
            <w:left w:val="none" w:sz="0" w:space="0" w:color="auto"/>
            <w:bottom w:val="none" w:sz="0" w:space="0" w:color="auto"/>
            <w:right w:val="none" w:sz="0" w:space="0" w:color="auto"/>
          </w:divBdr>
        </w:div>
      </w:divsChild>
    </w:div>
    <w:div w:id="750659902">
      <w:bodyDiv w:val="1"/>
      <w:marLeft w:val="0"/>
      <w:marRight w:val="0"/>
      <w:marTop w:val="0"/>
      <w:marBottom w:val="0"/>
      <w:divBdr>
        <w:top w:val="none" w:sz="0" w:space="0" w:color="auto"/>
        <w:left w:val="none" w:sz="0" w:space="0" w:color="auto"/>
        <w:bottom w:val="none" w:sz="0" w:space="0" w:color="auto"/>
        <w:right w:val="none" w:sz="0" w:space="0" w:color="auto"/>
      </w:divBdr>
      <w:divsChild>
        <w:div w:id="613368467">
          <w:marLeft w:val="0"/>
          <w:marRight w:val="0"/>
          <w:marTop w:val="0"/>
          <w:marBottom w:val="0"/>
          <w:divBdr>
            <w:top w:val="none" w:sz="0" w:space="0" w:color="auto"/>
            <w:left w:val="none" w:sz="0" w:space="0" w:color="auto"/>
            <w:bottom w:val="none" w:sz="0" w:space="0" w:color="auto"/>
            <w:right w:val="none" w:sz="0" w:space="0" w:color="auto"/>
          </w:divBdr>
          <w:divsChild>
            <w:div w:id="1537233126">
              <w:marLeft w:val="0"/>
              <w:marRight w:val="0"/>
              <w:marTop w:val="0"/>
              <w:marBottom w:val="0"/>
              <w:divBdr>
                <w:top w:val="none" w:sz="0" w:space="0" w:color="auto"/>
                <w:left w:val="none" w:sz="0" w:space="0" w:color="auto"/>
                <w:bottom w:val="none" w:sz="0" w:space="0" w:color="auto"/>
                <w:right w:val="none" w:sz="0" w:space="0" w:color="auto"/>
              </w:divBdr>
              <w:divsChild>
                <w:div w:id="20649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07671478">
      <w:bodyDiv w:val="1"/>
      <w:marLeft w:val="0"/>
      <w:marRight w:val="0"/>
      <w:marTop w:val="0"/>
      <w:marBottom w:val="0"/>
      <w:divBdr>
        <w:top w:val="none" w:sz="0" w:space="0" w:color="auto"/>
        <w:left w:val="none" w:sz="0" w:space="0" w:color="auto"/>
        <w:bottom w:val="none" w:sz="0" w:space="0" w:color="auto"/>
        <w:right w:val="none" w:sz="0" w:space="0" w:color="auto"/>
      </w:divBdr>
      <w:divsChild>
        <w:div w:id="2034264736">
          <w:marLeft w:val="0"/>
          <w:marRight w:val="0"/>
          <w:marTop w:val="0"/>
          <w:marBottom w:val="0"/>
          <w:divBdr>
            <w:top w:val="none" w:sz="0" w:space="0" w:color="auto"/>
            <w:left w:val="none" w:sz="0" w:space="0" w:color="auto"/>
            <w:bottom w:val="none" w:sz="0" w:space="0" w:color="auto"/>
            <w:right w:val="none" w:sz="0" w:space="0" w:color="auto"/>
          </w:divBdr>
          <w:divsChild>
            <w:div w:id="1356923120">
              <w:marLeft w:val="0"/>
              <w:marRight w:val="0"/>
              <w:marTop w:val="0"/>
              <w:marBottom w:val="0"/>
              <w:divBdr>
                <w:top w:val="none" w:sz="0" w:space="0" w:color="auto"/>
                <w:left w:val="none" w:sz="0" w:space="0" w:color="auto"/>
                <w:bottom w:val="none" w:sz="0" w:space="0" w:color="auto"/>
                <w:right w:val="none" w:sz="0" w:space="0" w:color="auto"/>
              </w:divBdr>
              <w:divsChild>
                <w:div w:id="859469631">
                  <w:marLeft w:val="0"/>
                  <w:marRight w:val="0"/>
                  <w:marTop w:val="0"/>
                  <w:marBottom w:val="0"/>
                  <w:divBdr>
                    <w:top w:val="none" w:sz="0" w:space="0" w:color="auto"/>
                    <w:left w:val="none" w:sz="0" w:space="0" w:color="auto"/>
                    <w:bottom w:val="none" w:sz="0" w:space="0" w:color="auto"/>
                    <w:right w:val="none" w:sz="0" w:space="0" w:color="auto"/>
                  </w:divBdr>
                  <w:divsChild>
                    <w:div w:id="19768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852768933">
      <w:bodyDiv w:val="1"/>
      <w:marLeft w:val="0"/>
      <w:marRight w:val="0"/>
      <w:marTop w:val="0"/>
      <w:marBottom w:val="0"/>
      <w:divBdr>
        <w:top w:val="none" w:sz="0" w:space="0" w:color="auto"/>
        <w:left w:val="none" w:sz="0" w:space="0" w:color="auto"/>
        <w:bottom w:val="none" w:sz="0" w:space="0" w:color="auto"/>
        <w:right w:val="none" w:sz="0" w:space="0" w:color="auto"/>
      </w:divBdr>
      <w:divsChild>
        <w:div w:id="2096169658">
          <w:marLeft w:val="0"/>
          <w:marRight w:val="0"/>
          <w:marTop w:val="0"/>
          <w:marBottom w:val="0"/>
          <w:divBdr>
            <w:top w:val="none" w:sz="0" w:space="0" w:color="auto"/>
            <w:left w:val="none" w:sz="0" w:space="0" w:color="auto"/>
            <w:bottom w:val="none" w:sz="0" w:space="0" w:color="auto"/>
            <w:right w:val="none" w:sz="0" w:space="0" w:color="auto"/>
          </w:divBdr>
          <w:divsChild>
            <w:div w:id="726952440">
              <w:marLeft w:val="0"/>
              <w:marRight w:val="0"/>
              <w:marTop w:val="0"/>
              <w:marBottom w:val="0"/>
              <w:divBdr>
                <w:top w:val="none" w:sz="0" w:space="0" w:color="auto"/>
                <w:left w:val="none" w:sz="0" w:space="0" w:color="auto"/>
                <w:bottom w:val="none" w:sz="0" w:space="0" w:color="auto"/>
                <w:right w:val="none" w:sz="0" w:space="0" w:color="auto"/>
              </w:divBdr>
              <w:divsChild>
                <w:div w:id="1679193881">
                  <w:marLeft w:val="0"/>
                  <w:marRight w:val="0"/>
                  <w:marTop w:val="0"/>
                  <w:marBottom w:val="0"/>
                  <w:divBdr>
                    <w:top w:val="none" w:sz="0" w:space="0" w:color="auto"/>
                    <w:left w:val="none" w:sz="0" w:space="0" w:color="auto"/>
                    <w:bottom w:val="none" w:sz="0" w:space="0" w:color="auto"/>
                    <w:right w:val="none" w:sz="0" w:space="0" w:color="auto"/>
                  </w:divBdr>
                  <w:divsChild>
                    <w:div w:id="712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964853663">
      <w:bodyDiv w:val="1"/>
      <w:marLeft w:val="0"/>
      <w:marRight w:val="0"/>
      <w:marTop w:val="0"/>
      <w:marBottom w:val="0"/>
      <w:divBdr>
        <w:top w:val="none" w:sz="0" w:space="0" w:color="auto"/>
        <w:left w:val="none" w:sz="0" w:space="0" w:color="auto"/>
        <w:bottom w:val="none" w:sz="0" w:space="0" w:color="auto"/>
        <w:right w:val="none" w:sz="0" w:space="0" w:color="auto"/>
      </w:divBdr>
    </w:div>
    <w:div w:id="973946912">
      <w:bodyDiv w:val="1"/>
      <w:marLeft w:val="0"/>
      <w:marRight w:val="0"/>
      <w:marTop w:val="0"/>
      <w:marBottom w:val="0"/>
      <w:divBdr>
        <w:top w:val="none" w:sz="0" w:space="0" w:color="auto"/>
        <w:left w:val="none" w:sz="0" w:space="0" w:color="auto"/>
        <w:bottom w:val="none" w:sz="0" w:space="0" w:color="auto"/>
        <w:right w:val="none" w:sz="0" w:space="0" w:color="auto"/>
      </w:divBdr>
    </w:div>
    <w:div w:id="1142846232">
      <w:bodyDiv w:val="1"/>
      <w:marLeft w:val="0"/>
      <w:marRight w:val="0"/>
      <w:marTop w:val="0"/>
      <w:marBottom w:val="0"/>
      <w:divBdr>
        <w:top w:val="none" w:sz="0" w:space="0" w:color="auto"/>
        <w:left w:val="none" w:sz="0" w:space="0" w:color="auto"/>
        <w:bottom w:val="none" w:sz="0" w:space="0" w:color="auto"/>
        <w:right w:val="none" w:sz="0" w:space="0" w:color="auto"/>
      </w:divBdr>
    </w:div>
    <w:div w:id="1216743831">
      <w:bodyDiv w:val="1"/>
      <w:marLeft w:val="0"/>
      <w:marRight w:val="0"/>
      <w:marTop w:val="0"/>
      <w:marBottom w:val="0"/>
      <w:divBdr>
        <w:top w:val="none" w:sz="0" w:space="0" w:color="auto"/>
        <w:left w:val="none" w:sz="0" w:space="0" w:color="auto"/>
        <w:bottom w:val="none" w:sz="0" w:space="0" w:color="auto"/>
        <w:right w:val="none" w:sz="0" w:space="0" w:color="auto"/>
      </w:divBdr>
    </w:div>
    <w:div w:id="124364148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21815175">
      <w:bodyDiv w:val="1"/>
      <w:marLeft w:val="0"/>
      <w:marRight w:val="0"/>
      <w:marTop w:val="0"/>
      <w:marBottom w:val="0"/>
      <w:divBdr>
        <w:top w:val="none" w:sz="0" w:space="0" w:color="auto"/>
        <w:left w:val="none" w:sz="0" w:space="0" w:color="auto"/>
        <w:bottom w:val="none" w:sz="0" w:space="0" w:color="auto"/>
        <w:right w:val="none" w:sz="0" w:space="0" w:color="auto"/>
      </w:divBdr>
    </w:div>
    <w:div w:id="1361279688">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2121803641">
      <w:bodyDiv w:val="1"/>
      <w:marLeft w:val="0"/>
      <w:marRight w:val="0"/>
      <w:marTop w:val="0"/>
      <w:marBottom w:val="0"/>
      <w:divBdr>
        <w:top w:val="none" w:sz="0" w:space="0" w:color="auto"/>
        <w:left w:val="none" w:sz="0" w:space="0" w:color="auto"/>
        <w:bottom w:val="none" w:sz="0" w:space="0" w:color="auto"/>
        <w:right w:val="none" w:sz="0" w:space="0" w:color="auto"/>
      </w:divBdr>
      <w:divsChild>
        <w:div w:id="1755005659">
          <w:marLeft w:val="0"/>
          <w:marRight w:val="0"/>
          <w:marTop w:val="0"/>
          <w:marBottom w:val="0"/>
          <w:divBdr>
            <w:top w:val="none" w:sz="0" w:space="0" w:color="auto"/>
            <w:left w:val="none" w:sz="0" w:space="0" w:color="auto"/>
            <w:bottom w:val="none" w:sz="0" w:space="0" w:color="auto"/>
            <w:right w:val="none" w:sz="0" w:space="0" w:color="auto"/>
          </w:divBdr>
        </w:div>
        <w:div w:id="1762870770">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848787739">
          <w:marLeft w:val="0"/>
          <w:marRight w:val="0"/>
          <w:marTop w:val="0"/>
          <w:marBottom w:val="0"/>
          <w:divBdr>
            <w:top w:val="none" w:sz="0" w:space="0" w:color="auto"/>
            <w:left w:val="none" w:sz="0" w:space="0" w:color="auto"/>
            <w:bottom w:val="none" w:sz="0" w:space="0" w:color="auto"/>
            <w:right w:val="none" w:sz="0" w:space="0" w:color="auto"/>
          </w:divBdr>
        </w:div>
        <w:div w:id="984309455">
          <w:marLeft w:val="0"/>
          <w:marRight w:val="0"/>
          <w:marTop w:val="0"/>
          <w:marBottom w:val="0"/>
          <w:divBdr>
            <w:top w:val="none" w:sz="0" w:space="0" w:color="auto"/>
            <w:left w:val="none" w:sz="0" w:space="0" w:color="auto"/>
            <w:bottom w:val="none" w:sz="0" w:space="0" w:color="auto"/>
            <w:right w:val="none" w:sz="0" w:space="0" w:color="auto"/>
          </w:divBdr>
        </w:div>
        <w:div w:id="1191408733">
          <w:marLeft w:val="0"/>
          <w:marRight w:val="0"/>
          <w:marTop w:val="0"/>
          <w:marBottom w:val="0"/>
          <w:divBdr>
            <w:top w:val="none" w:sz="0" w:space="0" w:color="auto"/>
            <w:left w:val="none" w:sz="0" w:space="0" w:color="auto"/>
            <w:bottom w:val="none" w:sz="0" w:space="0" w:color="auto"/>
            <w:right w:val="none" w:sz="0" w:space="0" w:color="auto"/>
          </w:divBdr>
        </w:div>
        <w:div w:id="1071466467">
          <w:marLeft w:val="0"/>
          <w:marRight w:val="0"/>
          <w:marTop w:val="0"/>
          <w:marBottom w:val="0"/>
          <w:divBdr>
            <w:top w:val="none" w:sz="0" w:space="0" w:color="auto"/>
            <w:left w:val="none" w:sz="0" w:space="0" w:color="auto"/>
            <w:bottom w:val="none" w:sz="0" w:space="0" w:color="auto"/>
            <w:right w:val="none" w:sz="0" w:space="0" w:color="auto"/>
          </w:divBdr>
        </w:div>
        <w:div w:id="2053993360">
          <w:marLeft w:val="0"/>
          <w:marRight w:val="0"/>
          <w:marTop w:val="0"/>
          <w:marBottom w:val="0"/>
          <w:divBdr>
            <w:top w:val="none" w:sz="0" w:space="0" w:color="auto"/>
            <w:left w:val="none" w:sz="0" w:space="0" w:color="auto"/>
            <w:bottom w:val="none" w:sz="0" w:space="0" w:color="auto"/>
            <w:right w:val="none" w:sz="0" w:space="0" w:color="auto"/>
          </w:divBdr>
        </w:div>
        <w:div w:id="197553106">
          <w:marLeft w:val="0"/>
          <w:marRight w:val="0"/>
          <w:marTop w:val="0"/>
          <w:marBottom w:val="0"/>
          <w:divBdr>
            <w:top w:val="none" w:sz="0" w:space="0" w:color="auto"/>
            <w:left w:val="none" w:sz="0" w:space="0" w:color="auto"/>
            <w:bottom w:val="none" w:sz="0" w:space="0" w:color="auto"/>
            <w:right w:val="none" w:sz="0" w:space="0" w:color="auto"/>
          </w:divBdr>
        </w:div>
        <w:div w:id="79985260">
          <w:marLeft w:val="0"/>
          <w:marRight w:val="0"/>
          <w:marTop w:val="0"/>
          <w:marBottom w:val="0"/>
          <w:divBdr>
            <w:top w:val="none" w:sz="0" w:space="0" w:color="auto"/>
            <w:left w:val="none" w:sz="0" w:space="0" w:color="auto"/>
            <w:bottom w:val="none" w:sz="0" w:space="0" w:color="auto"/>
            <w:right w:val="none" w:sz="0" w:space="0" w:color="auto"/>
          </w:divBdr>
        </w:div>
        <w:div w:id="745146715">
          <w:marLeft w:val="0"/>
          <w:marRight w:val="0"/>
          <w:marTop w:val="0"/>
          <w:marBottom w:val="0"/>
          <w:divBdr>
            <w:top w:val="none" w:sz="0" w:space="0" w:color="auto"/>
            <w:left w:val="none" w:sz="0" w:space="0" w:color="auto"/>
            <w:bottom w:val="none" w:sz="0" w:space="0" w:color="auto"/>
            <w:right w:val="none" w:sz="0" w:space="0" w:color="auto"/>
          </w:divBdr>
        </w:div>
        <w:div w:id="2130778384">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C1C1-979A-4D18-AA04-74768EDBC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08E5C-A9D9-4959-9777-FC475BD504B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F7C972B-63F7-4313-B84B-AFE5CD5C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4761</Words>
  <Characters>26190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Deisy Joanna Forero Forero</cp:lastModifiedBy>
  <cp:revision>2</cp:revision>
  <cp:lastPrinted>2020-04-13T17:56:00Z</cp:lastPrinted>
  <dcterms:created xsi:type="dcterms:W3CDTF">2020-12-01T22:51:00Z</dcterms:created>
  <dcterms:modified xsi:type="dcterms:W3CDTF">2020-12-01T22:51:00Z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