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7D07A" w14:textId="77777777" w:rsidR="006517F8" w:rsidRDefault="006517F8" w:rsidP="00756C8F">
      <w:pPr>
        <w:rPr>
          <w:rFonts w:ascii="Arial" w:hAnsi="Arial" w:cs="Arial"/>
          <w:color w:val="000000" w:themeColor="text1"/>
          <w:sz w:val="22"/>
        </w:rPr>
      </w:pPr>
      <w:bookmarkStart w:id="0" w:name="_Hlk29890381"/>
    </w:p>
    <w:p w14:paraId="038ABA48" w14:textId="7552A45B" w:rsidR="00756C8F" w:rsidRPr="006C15D5" w:rsidRDefault="00756C8F" w:rsidP="00756C8F">
      <w:pPr>
        <w:rPr>
          <w:rFonts w:ascii="Arial" w:hAnsi="Arial" w:cs="Arial"/>
          <w:b/>
          <w:color w:val="000000" w:themeColor="text1"/>
          <w:sz w:val="22"/>
        </w:rPr>
      </w:pPr>
      <w:r w:rsidRPr="006C15D5">
        <w:rPr>
          <w:rFonts w:ascii="Arial" w:hAnsi="Arial" w:cs="Arial"/>
          <w:color w:val="000000" w:themeColor="text1"/>
          <w:sz w:val="22"/>
        </w:rPr>
        <w:t xml:space="preserve">Bogotá D.C., </w:t>
      </w:r>
      <w:r w:rsidR="00372C91" w:rsidRPr="00372C91">
        <w:rPr>
          <w:rFonts w:ascii="Arial" w:hAnsi="Arial" w:cs="Arial"/>
          <w:b/>
          <w:color w:val="000000" w:themeColor="text1"/>
          <w:sz w:val="22"/>
        </w:rPr>
        <w:t>18/11/2020 Hora 14:29:0s</w:t>
      </w:r>
    </w:p>
    <w:p w14:paraId="7C190969" w14:textId="77777777" w:rsidR="00756C8F" w:rsidRDefault="00756C8F" w:rsidP="00146D26">
      <w:pPr>
        <w:rPr>
          <w:rFonts w:ascii="Arial" w:hAnsi="Arial" w:cs="Arial"/>
          <w:b/>
          <w:color w:val="000000" w:themeColor="text1"/>
          <w:sz w:val="22"/>
        </w:rPr>
      </w:pPr>
    </w:p>
    <w:p w14:paraId="678AF641" w14:textId="5B17DBCA" w:rsidR="00756C8F" w:rsidRPr="006C15D5" w:rsidRDefault="00756C8F" w:rsidP="00756C8F">
      <w:pPr>
        <w:jc w:val="right"/>
        <w:rPr>
          <w:rFonts w:ascii="Arial" w:hAnsi="Arial" w:cs="Arial"/>
          <w:b/>
          <w:color w:val="000000" w:themeColor="text1"/>
          <w:sz w:val="22"/>
        </w:rPr>
      </w:pPr>
      <w:proofErr w:type="spellStart"/>
      <w:r w:rsidRPr="006C15D5">
        <w:rPr>
          <w:rFonts w:ascii="Arial" w:hAnsi="Arial" w:cs="Arial"/>
          <w:b/>
          <w:color w:val="000000" w:themeColor="text1"/>
          <w:sz w:val="22"/>
        </w:rPr>
        <w:t>N°</w:t>
      </w:r>
      <w:proofErr w:type="spellEnd"/>
      <w:r w:rsidRPr="006C15D5">
        <w:rPr>
          <w:rFonts w:ascii="Arial" w:hAnsi="Arial" w:cs="Arial"/>
          <w:b/>
          <w:color w:val="000000" w:themeColor="text1"/>
          <w:sz w:val="22"/>
        </w:rPr>
        <w:t xml:space="preserve"> Radicado: </w:t>
      </w:r>
      <w:r w:rsidR="00372C91" w:rsidRPr="00372C91">
        <w:rPr>
          <w:rFonts w:ascii="Arial" w:hAnsi="Arial" w:cs="Arial"/>
          <w:b/>
          <w:color w:val="000000" w:themeColor="text1"/>
          <w:sz w:val="22"/>
        </w:rPr>
        <w:t>2202013000011394</w:t>
      </w:r>
    </w:p>
    <w:p w14:paraId="03A0C3C3" w14:textId="77777777" w:rsidR="00832C32" w:rsidRPr="006C15D5" w:rsidRDefault="00832C32" w:rsidP="00756C8F">
      <w:pPr>
        <w:rPr>
          <w:rFonts w:ascii="Arial" w:eastAsia="Calibri" w:hAnsi="Arial" w:cs="Arial"/>
          <w:color w:val="000000" w:themeColor="text1"/>
          <w:sz w:val="22"/>
        </w:rPr>
      </w:pPr>
    </w:p>
    <w:p w14:paraId="4C7C450D" w14:textId="77777777" w:rsidR="00D43776" w:rsidRDefault="0010723B" w:rsidP="0010723B">
      <w:pPr>
        <w:rPr>
          <w:rFonts w:ascii="Arial" w:eastAsia="Calibri" w:hAnsi="Arial" w:cs="Arial"/>
          <w:sz w:val="22"/>
          <w:lang w:val="es-ES"/>
        </w:rPr>
      </w:pPr>
      <w:bookmarkStart w:id="1" w:name="_Hlk56601180"/>
      <w:bookmarkStart w:id="2" w:name="_Hlk56601667"/>
      <w:r w:rsidRPr="00D43776">
        <w:rPr>
          <w:rFonts w:ascii="Arial" w:eastAsia="Calibri" w:hAnsi="Arial" w:cs="Arial"/>
          <w:sz w:val="22"/>
          <w:lang w:val="es-ES"/>
        </w:rPr>
        <w:t>Señor</w:t>
      </w:r>
    </w:p>
    <w:p w14:paraId="1631C1DD" w14:textId="0609554F" w:rsidR="00D43776" w:rsidRPr="00D43776" w:rsidRDefault="00D43776" w:rsidP="0010723B">
      <w:pPr>
        <w:rPr>
          <w:rFonts w:ascii="Arial" w:eastAsia="Calibri" w:hAnsi="Arial" w:cs="Arial"/>
          <w:sz w:val="22"/>
          <w:lang w:val="es-ES"/>
        </w:rPr>
      </w:pPr>
      <w:r w:rsidRPr="00D43776">
        <w:rPr>
          <w:rFonts w:ascii="Arial" w:eastAsia="Calibri" w:hAnsi="Arial" w:cs="Arial"/>
          <w:b/>
          <w:sz w:val="22"/>
          <w:lang w:val="es-ES"/>
        </w:rPr>
        <w:t xml:space="preserve">Sandro Walter </w:t>
      </w:r>
      <w:bookmarkStart w:id="3" w:name="_Hlk56589501"/>
      <w:r w:rsidRPr="00D43776">
        <w:rPr>
          <w:rFonts w:ascii="Arial" w:eastAsia="Calibri" w:hAnsi="Arial" w:cs="Arial"/>
          <w:b/>
          <w:sz w:val="22"/>
          <w:lang w:val="es-ES"/>
        </w:rPr>
        <w:t>Carrillo Torres</w:t>
      </w:r>
      <w:bookmarkEnd w:id="3"/>
      <w:r w:rsidRPr="00D43776">
        <w:rPr>
          <w:rFonts w:ascii="Arial" w:eastAsia="Calibri" w:hAnsi="Arial" w:cs="Arial"/>
          <w:b/>
          <w:sz w:val="22"/>
          <w:lang w:val="es-ES"/>
        </w:rPr>
        <w:t xml:space="preserve"> </w:t>
      </w:r>
    </w:p>
    <w:p w14:paraId="39EC91A5" w14:textId="53660DE4" w:rsidR="0010723B" w:rsidRPr="0010723B" w:rsidRDefault="00D43776" w:rsidP="0010723B">
      <w:pPr>
        <w:rPr>
          <w:rFonts w:ascii="Arial" w:eastAsia="Calibri" w:hAnsi="Arial" w:cs="Arial"/>
          <w:sz w:val="22"/>
          <w:lang w:val="es-ES"/>
        </w:rPr>
      </w:pPr>
      <w:r w:rsidRPr="006C15D5">
        <w:rPr>
          <w:rFonts w:ascii="Arial" w:hAnsi="Arial" w:cs="Arial"/>
          <w:color w:val="000000" w:themeColor="text1"/>
          <w:sz w:val="22"/>
        </w:rPr>
        <w:t>Bogotá D.C.</w:t>
      </w:r>
      <w:r w:rsidR="0080772D">
        <w:rPr>
          <w:rFonts w:ascii="Arial" w:eastAsia="Calibri" w:hAnsi="Arial" w:cs="Arial"/>
          <w:sz w:val="22"/>
          <w:lang w:val="es-ES"/>
        </w:rPr>
        <w:t xml:space="preserve"> </w:t>
      </w:r>
    </w:p>
    <w:bookmarkEnd w:id="2"/>
    <w:p w14:paraId="3A82D577" w14:textId="77777777" w:rsidR="00832C32" w:rsidRPr="002F35B3" w:rsidRDefault="00832C32" w:rsidP="0010723B">
      <w:pPr>
        <w:rPr>
          <w:rFonts w:ascii="Arial" w:eastAsia="Calibri" w:hAnsi="Arial" w:cs="Arial"/>
          <w:bCs/>
          <w:sz w:val="22"/>
          <w:lang w:val="es-ES"/>
        </w:rPr>
      </w:pPr>
    </w:p>
    <w:p w14:paraId="6983FE34" w14:textId="5EF5300F" w:rsidR="00372C91" w:rsidRDefault="00372C91" w:rsidP="0010723B">
      <w:pPr>
        <w:jc w:val="right"/>
        <w:rPr>
          <w:rFonts w:ascii="Arial" w:eastAsia="Calibri" w:hAnsi="Arial" w:cs="Arial"/>
          <w:b/>
          <w:sz w:val="22"/>
          <w:lang w:val="es-ES"/>
        </w:rPr>
      </w:pPr>
      <w:r w:rsidRPr="00372C91">
        <w:rPr>
          <w:rFonts w:ascii="Arial" w:eastAsia="Calibri" w:hAnsi="Arial" w:cs="Arial"/>
          <w:b/>
          <w:sz w:val="22"/>
          <w:lang w:val="es-ES"/>
        </w:rPr>
        <w:t>Concepto C ─ 685 de 2020</w:t>
      </w:r>
    </w:p>
    <w:p w14:paraId="2DF52488" w14:textId="3D57B9E9" w:rsidR="0010723B" w:rsidRPr="0010723B" w:rsidRDefault="0010723B" w:rsidP="0010723B">
      <w:pPr>
        <w:jc w:val="right"/>
        <w:rPr>
          <w:rFonts w:ascii="Arial" w:eastAsia="Calibri" w:hAnsi="Arial" w:cs="Arial"/>
          <w:sz w:val="22"/>
          <w:lang w:val="es-ES"/>
        </w:rPr>
      </w:pPr>
      <w:r w:rsidRPr="0010723B">
        <w:rPr>
          <w:rFonts w:ascii="Arial" w:eastAsia="Calibri" w:hAnsi="Arial" w:cs="Arial"/>
          <w:b/>
          <w:sz w:val="22"/>
          <w:lang w:val="es-ES"/>
        </w:rPr>
        <w:t>Asunto:</w:t>
      </w:r>
      <w:r w:rsidRPr="0010723B">
        <w:rPr>
          <w:rFonts w:ascii="Arial" w:eastAsia="Calibri" w:hAnsi="Arial" w:cs="Arial"/>
          <w:sz w:val="22"/>
          <w:lang w:val="es-ES"/>
        </w:rPr>
        <w:t xml:space="preserve"> Respuesta a Radicado No.</w:t>
      </w:r>
      <w:r>
        <w:rPr>
          <w:rFonts w:ascii="Arial" w:eastAsia="Calibri" w:hAnsi="Arial" w:cs="Arial"/>
          <w:sz w:val="22"/>
          <w:lang w:val="es-ES"/>
        </w:rPr>
        <w:t xml:space="preserve"> </w:t>
      </w:r>
      <w:r w:rsidR="00485A89" w:rsidRPr="00485A89">
        <w:rPr>
          <w:rFonts w:ascii="Arial" w:eastAsia="Calibri" w:hAnsi="Arial" w:cs="Arial"/>
          <w:sz w:val="22"/>
          <w:lang w:val="es-ES"/>
        </w:rPr>
        <w:t>4202013000009033</w:t>
      </w:r>
    </w:p>
    <w:p w14:paraId="774027AA" w14:textId="77777777" w:rsidR="00832C32" w:rsidRPr="0010723B" w:rsidRDefault="00832C32" w:rsidP="0010723B">
      <w:pPr>
        <w:rPr>
          <w:rFonts w:ascii="Arial" w:eastAsia="Calibri" w:hAnsi="Arial" w:cs="Arial"/>
          <w:sz w:val="22"/>
          <w:lang w:val="es-ES"/>
        </w:rPr>
      </w:pPr>
    </w:p>
    <w:p w14:paraId="38ADD812" w14:textId="15BEAB36" w:rsidR="0010723B" w:rsidRPr="0010723B" w:rsidRDefault="0010723B" w:rsidP="0010723B">
      <w:pPr>
        <w:spacing w:before="12" w:line="276" w:lineRule="auto"/>
        <w:rPr>
          <w:rFonts w:ascii="Arial" w:eastAsia="Calibri" w:hAnsi="Arial" w:cs="Arial"/>
          <w:sz w:val="22"/>
          <w:lang w:val="es-ES"/>
        </w:rPr>
      </w:pPr>
      <w:bookmarkStart w:id="4" w:name="_Hlk56601711"/>
      <w:r w:rsidRPr="0010723B">
        <w:rPr>
          <w:rFonts w:ascii="Arial" w:eastAsia="Calibri" w:hAnsi="Arial" w:cs="Arial"/>
          <w:sz w:val="22"/>
          <w:lang w:val="es-ES"/>
        </w:rPr>
        <w:t>Estimad</w:t>
      </w:r>
      <w:r w:rsidR="00823516">
        <w:rPr>
          <w:rFonts w:ascii="Arial" w:eastAsia="Calibri" w:hAnsi="Arial" w:cs="Arial"/>
          <w:sz w:val="22"/>
          <w:lang w:val="es-ES"/>
        </w:rPr>
        <w:t>o</w:t>
      </w:r>
      <w:r w:rsidR="0080772D">
        <w:rPr>
          <w:rFonts w:ascii="Arial" w:eastAsia="Calibri" w:hAnsi="Arial" w:cs="Arial"/>
          <w:sz w:val="22"/>
          <w:lang w:val="es-ES"/>
        </w:rPr>
        <w:t xml:space="preserve"> señor </w:t>
      </w:r>
      <w:r w:rsidR="00823516" w:rsidRPr="00823516">
        <w:rPr>
          <w:rFonts w:ascii="Arial" w:eastAsia="Calibri" w:hAnsi="Arial" w:cs="Arial"/>
          <w:sz w:val="22"/>
          <w:lang w:val="es-ES"/>
        </w:rPr>
        <w:t>Carrillo Torres</w:t>
      </w:r>
      <w:r w:rsidR="0080772D">
        <w:rPr>
          <w:rFonts w:ascii="Arial" w:eastAsia="Calibri" w:hAnsi="Arial" w:cs="Arial"/>
          <w:sz w:val="22"/>
          <w:lang w:val="es-ES"/>
        </w:rPr>
        <w:t>:</w:t>
      </w:r>
    </w:p>
    <w:p w14:paraId="6D66D8FD" w14:textId="77777777" w:rsidR="002F35B3" w:rsidRPr="0010723B" w:rsidRDefault="002F35B3" w:rsidP="0080772D">
      <w:pPr>
        <w:spacing w:line="276" w:lineRule="auto"/>
        <w:rPr>
          <w:rFonts w:ascii="Arial" w:eastAsia="Calibri" w:hAnsi="Arial" w:cs="Arial"/>
          <w:sz w:val="22"/>
          <w:lang w:val="es-ES"/>
        </w:rPr>
      </w:pPr>
    </w:p>
    <w:p w14:paraId="54DBA1BA" w14:textId="7F624C40" w:rsidR="00236F9E" w:rsidRDefault="00236F9E" w:rsidP="0080772D">
      <w:pPr>
        <w:spacing w:after="120" w:line="276" w:lineRule="auto"/>
        <w:jc w:val="both"/>
        <w:rPr>
          <w:rStyle w:val="eop"/>
          <w:rFonts w:ascii="Arial" w:hAnsi="Arial" w:cs="Arial"/>
          <w:color w:val="000000"/>
          <w:sz w:val="22"/>
          <w:shd w:val="clear" w:color="auto" w:fill="FFFFFF"/>
        </w:rPr>
      </w:pPr>
      <w:r>
        <w:rPr>
          <w:rStyle w:val="normaltextrun"/>
          <w:rFonts w:ascii="Arial" w:hAnsi="Arial" w:cs="Arial"/>
          <w:color w:val="000000"/>
          <w:sz w:val="22"/>
          <w:shd w:val="clear" w:color="auto" w:fill="FFFFFF"/>
        </w:rPr>
        <w:t xml:space="preserve">En ejercicio de la competencia otorgada por los artículos 11, numeral 8º, y 3º, numeral 5º, del Decreto Ley 4170 de 2011, la Agencia Nacional de Contratación Pública − Colombia Compra Eficiente responde </w:t>
      </w:r>
      <w:r w:rsidR="0080772D">
        <w:rPr>
          <w:rStyle w:val="normaltextrun"/>
          <w:rFonts w:ascii="Arial" w:hAnsi="Arial" w:cs="Arial"/>
          <w:color w:val="000000"/>
          <w:sz w:val="22"/>
          <w:shd w:val="clear" w:color="auto" w:fill="FFFFFF"/>
        </w:rPr>
        <w:t xml:space="preserve">su petición del </w:t>
      </w:r>
      <w:r w:rsidR="00485A89">
        <w:rPr>
          <w:rStyle w:val="normaltextrun"/>
          <w:rFonts w:ascii="Arial" w:hAnsi="Arial" w:cs="Arial"/>
          <w:color w:val="000000"/>
          <w:sz w:val="22"/>
          <w:shd w:val="clear" w:color="auto" w:fill="FFFFFF"/>
        </w:rPr>
        <w:t>6 de noviembre</w:t>
      </w:r>
      <w:r w:rsidR="0080772D">
        <w:rPr>
          <w:rStyle w:val="normaltextrun"/>
          <w:rFonts w:ascii="Arial" w:hAnsi="Arial" w:cs="Arial"/>
          <w:color w:val="000000"/>
          <w:sz w:val="22"/>
          <w:shd w:val="clear" w:color="auto" w:fill="FFFFFF"/>
        </w:rPr>
        <w:t xml:space="preserve"> de 2020, en la cual pregunta</w:t>
      </w:r>
      <w:r w:rsidR="00485A89">
        <w:rPr>
          <w:rStyle w:val="normaltextrun"/>
          <w:rFonts w:ascii="Arial" w:hAnsi="Arial" w:cs="Arial"/>
          <w:color w:val="000000"/>
          <w:sz w:val="22"/>
          <w:shd w:val="clear" w:color="auto" w:fill="FFFFFF"/>
        </w:rPr>
        <w:t xml:space="preserve"> </w:t>
      </w:r>
      <w:r w:rsidR="00485A89" w:rsidRPr="00485A89">
        <w:rPr>
          <w:rStyle w:val="normaltextrun"/>
          <w:rFonts w:ascii="Arial" w:hAnsi="Arial" w:cs="Arial"/>
          <w:color w:val="000000"/>
          <w:sz w:val="22"/>
          <w:shd w:val="clear" w:color="auto" w:fill="FFFFFF"/>
        </w:rPr>
        <w:t xml:space="preserve">si los proyectos </w:t>
      </w:r>
      <w:r w:rsidR="00485A89">
        <w:rPr>
          <w:rStyle w:val="normaltextrun"/>
          <w:rFonts w:ascii="Arial" w:hAnsi="Arial" w:cs="Arial"/>
          <w:color w:val="000000"/>
          <w:sz w:val="22"/>
          <w:shd w:val="clear" w:color="auto" w:fill="FFFFFF"/>
        </w:rPr>
        <w:t>para el</w:t>
      </w:r>
      <w:r w:rsidR="00485A89" w:rsidRPr="00485A89">
        <w:rPr>
          <w:rStyle w:val="normaltextrun"/>
          <w:rFonts w:ascii="Arial" w:hAnsi="Arial" w:cs="Arial"/>
          <w:color w:val="000000"/>
          <w:sz w:val="22"/>
          <w:shd w:val="clear" w:color="auto" w:fill="FFFFFF"/>
        </w:rPr>
        <w:t xml:space="preserve"> </w:t>
      </w:r>
      <w:r w:rsidR="00532F51">
        <w:rPr>
          <w:rStyle w:val="normaltextrun"/>
          <w:rFonts w:ascii="Arial" w:hAnsi="Arial" w:cs="Arial"/>
          <w:color w:val="000000"/>
          <w:sz w:val="22"/>
          <w:shd w:val="clear" w:color="auto" w:fill="FFFFFF"/>
        </w:rPr>
        <w:t>construcción o mejoramiento</w:t>
      </w:r>
      <w:r w:rsidR="00485A89" w:rsidRPr="00485A89">
        <w:rPr>
          <w:rStyle w:val="normaltextrun"/>
          <w:rFonts w:ascii="Arial" w:hAnsi="Arial" w:cs="Arial"/>
          <w:color w:val="000000"/>
          <w:sz w:val="22"/>
          <w:shd w:val="clear" w:color="auto" w:fill="FFFFFF"/>
        </w:rPr>
        <w:t xml:space="preserve"> de puentes peatonale</w:t>
      </w:r>
      <w:r w:rsidR="00485A89">
        <w:rPr>
          <w:rStyle w:val="normaltextrun"/>
          <w:rFonts w:ascii="Arial" w:hAnsi="Arial" w:cs="Arial"/>
          <w:color w:val="000000"/>
          <w:sz w:val="22"/>
          <w:shd w:val="clear" w:color="auto" w:fill="FFFFFF"/>
        </w:rPr>
        <w:t>s</w:t>
      </w:r>
      <w:r w:rsidR="00485A89" w:rsidRPr="00485A89">
        <w:rPr>
          <w:rStyle w:val="normaltextrun"/>
          <w:rFonts w:ascii="Arial" w:hAnsi="Arial" w:cs="Arial"/>
          <w:color w:val="000000"/>
          <w:sz w:val="22"/>
          <w:shd w:val="clear" w:color="auto" w:fill="FFFFFF"/>
        </w:rPr>
        <w:t xml:space="preserve"> se deben contratar por las condiciones del pliego tipo</w:t>
      </w:r>
      <w:r w:rsidR="00485A89">
        <w:rPr>
          <w:rStyle w:val="normaltextrun"/>
          <w:rFonts w:ascii="Arial" w:hAnsi="Arial" w:cs="Arial"/>
          <w:color w:val="000000"/>
          <w:sz w:val="22"/>
          <w:shd w:val="clear" w:color="auto" w:fill="FFFFFF"/>
        </w:rPr>
        <w:t xml:space="preserve"> para los contratos de obra de infraestructura de transporte en cualquiera de sus modalidades –licitación, selección abreviada de menor cuantía o mínima cuantía–</w:t>
      </w:r>
      <w:r>
        <w:rPr>
          <w:rStyle w:val="normaltextrun"/>
          <w:rFonts w:ascii="Arial" w:hAnsi="Arial" w:cs="Arial"/>
          <w:color w:val="000000"/>
          <w:sz w:val="22"/>
          <w:shd w:val="clear" w:color="auto" w:fill="FFFFFF"/>
        </w:rPr>
        <w:t>. </w:t>
      </w:r>
      <w:r>
        <w:rPr>
          <w:rStyle w:val="eop"/>
          <w:rFonts w:ascii="Arial" w:hAnsi="Arial" w:cs="Arial"/>
          <w:color w:val="000000"/>
          <w:sz w:val="22"/>
          <w:shd w:val="clear" w:color="auto" w:fill="FFFFFF"/>
        </w:rPr>
        <w:t> </w:t>
      </w:r>
    </w:p>
    <w:p w14:paraId="304D6B98" w14:textId="556F250D" w:rsidR="001B2C02" w:rsidRDefault="000674F8" w:rsidP="0080772D">
      <w:pPr>
        <w:spacing w:after="120" w:line="276" w:lineRule="auto"/>
        <w:jc w:val="both"/>
        <w:rPr>
          <w:rFonts w:ascii="Arial" w:eastAsia="Calibri" w:hAnsi="Arial" w:cs="Arial"/>
          <w:color w:val="000000" w:themeColor="text1"/>
          <w:sz w:val="22"/>
        </w:rPr>
      </w:pPr>
      <w:r>
        <w:rPr>
          <w:rFonts w:ascii="Arial" w:hAnsi="Arial" w:cs="Arial"/>
          <w:color w:val="000000"/>
          <w:sz w:val="22"/>
          <w:shd w:val="clear" w:color="auto" w:fill="FFFFFF"/>
        </w:rPr>
        <w:tab/>
      </w:r>
      <w:r w:rsidR="00977904">
        <w:rPr>
          <w:rFonts w:ascii="Arial" w:hAnsi="Arial" w:cs="Arial"/>
          <w:color w:val="000000"/>
          <w:sz w:val="22"/>
          <w:shd w:val="clear" w:color="auto" w:fill="FFFFFF"/>
        </w:rPr>
        <w:t>Esta Agencia</w:t>
      </w:r>
      <w:r w:rsidRPr="000674F8">
        <w:rPr>
          <w:rFonts w:ascii="Arial" w:hAnsi="Arial" w:cs="Arial"/>
          <w:color w:val="000000"/>
          <w:sz w:val="22"/>
          <w:shd w:val="clear" w:color="auto" w:fill="FFFFFF"/>
        </w:rPr>
        <w:t xml:space="preserve"> estudió el carácter vinculante de los pliegos tipo en el Concepto 2201913000006232 del 26 de agosto de 2019, así como en los </w:t>
      </w:r>
      <w:r>
        <w:rPr>
          <w:rFonts w:ascii="Arial" w:hAnsi="Arial" w:cs="Arial"/>
          <w:color w:val="000000"/>
          <w:sz w:val="22"/>
          <w:shd w:val="clear" w:color="auto" w:fill="FFFFFF"/>
        </w:rPr>
        <w:t>C</w:t>
      </w:r>
      <w:r w:rsidRPr="000674F8">
        <w:rPr>
          <w:rFonts w:ascii="Arial" w:hAnsi="Arial" w:cs="Arial"/>
          <w:color w:val="000000"/>
          <w:sz w:val="22"/>
          <w:shd w:val="clear" w:color="auto" w:fill="FFFFFF"/>
        </w:rPr>
        <w:t>onceptos C-144 del 2 de marzo de 2020</w:t>
      </w:r>
      <w:r>
        <w:rPr>
          <w:rFonts w:ascii="Arial" w:hAnsi="Arial" w:cs="Arial"/>
          <w:color w:val="000000"/>
          <w:sz w:val="22"/>
          <w:shd w:val="clear" w:color="auto" w:fill="FFFFFF"/>
        </w:rPr>
        <w:t>,</w:t>
      </w:r>
      <w:r w:rsidRPr="000674F8">
        <w:rPr>
          <w:rFonts w:ascii="Arial" w:hAnsi="Arial" w:cs="Arial"/>
          <w:color w:val="000000"/>
          <w:sz w:val="22"/>
          <w:shd w:val="clear" w:color="auto" w:fill="FFFFFF"/>
        </w:rPr>
        <w:t xml:space="preserve"> C-143 del 18 de marzo de 2020</w:t>
      </w:r>
      <w:r>
        <w:rPr>
          <w:rFonts w:ascii="Arial" w:hAnsi="Arial" w:cs="Arial"/>
          <w:color w:val="000000"/>
          <w:sz w:val="22"/>
          <w:shd w:val="clear" w:color="auto" w:fill="FFFFFF"/>
        </w:rPr>
        <w:t xml:space="preserve"> y C-286 del 26 de mayo de 2020</w:t>
      </w:r>
      <w:r w:rsidR="00C86948">
        <w:rPr>
          <w:rFonts w:ascii="Arial" w:hAnsi="Arial" w:cs="Arial"/>
          <w:color w:val="000000"/>
          <w:sz w:val="22"/>
          <w:shd w:val="clear" w:color="auto" w:fill="FFFFFF"/>
        </w:rPr>
        <w:t>,</w:t>
      </w:r>
      <w:r>
        <w:rPr>
          <w:rFonts w:ascii="Arial" w:hAnsi="Arial" w:cs="Arial"/>
          <w:color w:val="000000"/>
          <w:sz w:val="22"/>
          <w:shd w:val="clear" w:color="auto" w:fill="FFFFFF"/>
        </w:rPr>
        <w:t xml:space="preserve"> C-450 del 3 de agosto de 2020</w:t>
      </w:r>
      <w:r w:rsidR="00C86948">
        <w:rPr>
          <w:rFonts w:ascii="Arial" w:hAnsi="Arial" w:cs="Arial"/>
          <w:color w:val="000000"/>
          <w:sz w:val="22"/>
          <w:shd w:val="clear" w:color="auto" w:fill="FFFFFF"/>
        </w:rPr>
        <w:t xml:space="preserve"> y C-643 del 26 de octubre de 2020</w:t>
      </w:r>
      <w:r>
        <w:rPr>
          <w:rFonts w:ascii="Arial" w:hAnsi="Arial" w:cs="Arial"/>
          <w:color w:val="000000"/>
          <w:sz w:val="22"/>
          <w:shd w:val="clear" w:color="auto" w:fill="FFFFFF"/>
        </w:rPr>
        <w:t>.</w:t>
      </w:r>
      <w:r w:rsidR="00CD69EE">
        <w:rPr>
          <w:rFonts w:ascii="Arial" w:hAnsi="Arial" w:cs="Arial"/>
          <w:color w:val="000000"/>
          <w:sz w:val="22"/>
          <w:shd w:val="clear" w:color="auto" w:fill="FFFFFF"/>
        </w:rPr>
        <w:t xml:space="preserve"> </w:t>
      </w:r>
      <w:r w:rsidR="00CD69EE" w:rsidRPr="00452E90">
        <w:rPr>
          <w:rFonts w:ascii="Arial" w:eastAsia="Calibri" w:hAnsi="Arial" w:cs="Arial"/>
          <w:color w:val="000000" w:themeColor="text1"/>
          <w:sz w:val="22"/>
        </w:rPr>
        <w:t>La tesis propuesta en estos conceptos se reitera a continuación:</w:t>
      </w:r>
    </w:p>
    <w:p w14:paraId="76FE3766" w14:textId="43DE7B43" w:rsidR="00E130F5" w:rsidRPr="005B2F33" w:rsidRDefault="00CD69EE" w:rsidP="00BC1ADF">
      <w:pPr>
        <w:spacing w:line="276" w:lineRule="auto"/>
        <w:jc w:val="both"/>
        <w:rPr>
          <w:color w:val="0D0D0D" w:themeColor="text1" w:themeTint="F2"/>
        </w:rPr>
      </w:pPr>
      <w:r>
        <w:rPr>
          <w:rFonts w:ascii="Arial" w:eastAsia="Calibri" w:hAnsi="Arial" w:cs="Arial"/>
          <w:color w:val="000000" w:themeColor="text1"/>
          <w:sz w:val="22"/>
        </w:rPr>
        <w:tab/>
      </w:r>
      <w:bookmarkStart w:id="5" w:name="_Hlk40098008"/>
      <w:r w:rsidR="00E130F5">
        <w:rPr>
          <w:rFonts w:ascii="Arial" w:hAnsi="Arial" w:cs="Arial"/>
          <w:color w:val="0D0D0D" w:themeColor="text1" w:themeTint="F2"/>
          <w:sz w:val="22"/>
          <w:lang w:val="es-ES"/>
        </w:rPr>
        <w:t>L</w:t>
      </w:r>
      <w:r w:rsidR="00E130F5" w:rsidRPr="005B2F33">
        <w:rPr>
          <w:rFonts w:ascii="Arial" w:hAnsi="Arial" w:cs="Arial"/>
          <w:color w:val="0D0D0D" w:themeColor="text1" w:themeTint="F2"/>
          <w:sz w:val="22"/>
          <w:lang w:val="es-ES"/>
        </w:rPr>
        <w:t xml:space="preserve">os llamados pliegos tipo aparecieron en nuestro ordenamiento jurídico en </w:t>
      </w:r>
      <w:r w:rsidR="00E130F5">
        <w:rPr>
          <w:rFonts w:ascii="Arial" w:hAnsi="Arial" w:cs="Arial"/>
          <w:color w:val="0D0D0D" w:themeColor="text1" w:themeTint="F2"/>
          <w:sz w:val="22"/>
          <w:lang w:val="es-ES"/>
        </w:rPr>
        <w:t xml:space="preserve">el </w:t>
      </w:r>
      <w:r w:rsidR="00E130F5" w:rsidRPr="005B2F33">
        <w:rPr>
          <w:rFonts w:ascii="Arial" w:hAnsi="Arial" w:cs="Arial"/>
          <w:color w:val="0D0D0D" w:themeColor="text1" w:themeTint="F2"/>
          <w:sz w:val="22"/>
          <w:lang w:val="es-ES"/>
        </w:rPr>
        <w:t xml:space="preserve">2007, cuando el legislador facultó al Gobierno Nacional para adoptarlos en </w:t>
      </w:r>
      <w:r w:rsidR="00E130F5">
        <w:rPr>
          <w:rFonts w:ascii="Arial" w:hAnsi="Arial" w:cs="Arial"/>
          <w:color w:val="0D0D0D" w:themeColor="text1" w:themeTint="F2"/>
          <w:sz w:val="22"/>
          <w:lang w:val="es-ES"/>
        </w:rPr>
        <w:t>la</w:t>
      </w:r>
      <w:r w:rsidR="00E130F5" w:rsidRPr="005B2F33">
        <w:rPr>
          <w:rFonts w:ascii="Arial" w:hAnsi="Arial" w:cs="Arial"/>
          <w:color w:val="0D0D0D" w:themeColor="text1" w:themeTint="F2"/>
          <w:sz w:val="22"/>
          <w:lang w:val="es-ES"/>
        </w:rPr>
        <w:t xml:space="preserve"> compra o suministro de bienes de características técnicas uniformes</w:t>
      </w:r>
      <w:r w:rsidR="00BC1ADF">
        <w:rPr>
          <w:rStyle w:val="FootnoteReference"/>
          <w:rFonts w:ascii="Arial" w:hAnsi="Arial" w:cs="Arial"/>
          <w:color w:val="0D0D0D" w:themeColor="text1" w:themeTint="F2"/>
          <w:sz w:val="22"/>
          <w:lang w:val="es-ES"/>
        </w:rPr>
        <w:footnoteReference w:id="1"/>
      </w:r>
      <w:r w:rsidR="00E130F5" w:rsidRPr="005B2F33">
        <w:rPr>
          <w:rFonts w:ascii="Arial" w:hAnsi="Arial" w:cs="Arial"/>
          <w:color w:val="0D0D0D" w:themeColor="text1" w:themeTint="F2"/>
          <w:sz w:val="22"/>
          <w:lang w:val="es-ES"/>
        </w:rPr>
        <w:t xml:space="preserve">. La </w:t>
      </w:r>
      <w:r w:rsidR="00E130F5">
        <w:rPr>
          <w:rFonts w:ascii="Arial" w:hAnsi="Arial" w:cs="Arial"/>
          <w:color w:val="0D0D0D" w:themeColor="text1" w:themeTint="F2"/>
          <w:sz w:val="22"/>
          <w:lang w:val="es-ES"/>
        </w:rPr>
        <w:t xml:space="preserve">orientación inicial </w:t>
      </w:r>
      <w:r w:rsidR="00E130F5" w:rsidRPr="005B2F33">
        <w:rPr>
          <w:rFonts w:ascii="Arial" w:hAnsi="Arial" w:cs="Arial"/>
          <w:color w:val="0D0D0D" w:themeColor="text1" w:themeTint="F2"/>
          <w:sz w:val="22"/>
          <w:lang w:val="es-ES"/>
        </w:rPr>
        <w:t xml:space="preserve">del proyecto que se convirtió en la Ley 1150 de 2007 era facultar al Gobierno Nacional para adoptar los </w:t>
      </w:r>
      <w:r w:rsidR="00E130F5">
        <w:rPr>
          <w:rFonts w:ascii="Arial" w:hAnsi="Arial" w:cs="Arial"/>
          <w:color w:val="0D0D0D" w:themeColor="text1" w:themeTint="F2"/>
          <w:sz w:val="22"/>
          <w:lang w:val="es-ES"/>
        </w:rPr>
        <w:t>p</w:t>
      </w:r>
      <w:r w:rsidR="00E130F5" w:rsidRPr="005B2F33">
        <w:rPr>
          <w:rFonts w:ascii="Arial" w:hAnsi="Arial" w:cs="Arial"/>
          <w:color w:val="0D0D0D" w:themeColor="text1" w:themeTint="F2"/>
          <w:sz w:val="22"/>
          <w:lang w:val="es-ES"/>
        </w:rPr>
        <w:t xml:space="preserve">liegos </w:t>
      </w:r>
      <w:r w:rsidR="00E130F5">
        <w:rPr>
          <w:rFonts w:ascii="Arial" w:hAnsi="Arial" w:cs="Arial"/>
          <w:color w:val="0D0D0D" w:themeColor="text1" w:themeTint="F2"/>
          <w:sz w:val="22"/>
          <w:lang w:val="es-ES"/>
        </w:rPr>
        <w:t>t</w:t>
      </w:r>
      <w:r w:rsidR="00E130F5" w:rsidRPr="005B2F33">
        <w:rPr>
          <w:rFonts w:ascii="Arial" w:hAnsi="Arial" w:cs="Arial"/>
          <w:color w:val="0D0D0D" w:themeColor="text1" w:themeTint="F2"/>
          <w:sz w:val="22"/>
          <w:lang w:val="es-ES"/>
        </w:rPr>
        <w:t xml:space="preserve">ipo en todos los contratos estatales, pues </w:t>
      </w:r>
      <w:r w:rsidR="00E130F5">
        <w:rPr>
          <w:rFonts w:ascii="Arial" w:hAnsi="Arial" w:cs="Arial"/>
          <w:color w:val="0D0D0D" w:themeColor="text1" w:themeTint="F2"/>
          <w:sz w:val="22"/>
          <w:lang w:val="es-ES"/>
        </w:rPr>
        <w:t xml:space="preserve">en el proyecto </w:t>
      </w:r>
      <w:r w:rsidR="00E130F5" w:rsidRPr="005B2F33">
        <w:rPr>
          <w:rFonts w:ascii="Arial" w:hAnsi="Arial" w:cs="Arial"/>
          <w:color w:val="0D0D0D" w:themeColor="text1" w:themeTint="F2"/>
          <w:sz w:val="22"/>
          <w:lang w:val="es-ES"/>
        </w:rPr>
        <w:t xml:space="preserve">el parágrafo 3º </w:t>
      </w:r>
      <w:r w:rsidR="00E130F5">
        <w:rPr>
          <w:rFonts w:ascii="Arial" w:hAnsi="Arial" w:cs="Arial"/>
          <w:color w:val="0D0D0D" w:themeColor="text1" w:themeTint="F2"/>
          <w:sz w:val="22"/>
          <w:lang w:val="es-ES"/>
        </w:rPr>
        <w:t>disponía que «</w:t>
      </w:r>
      <w:r w:rsidR="00E130F5" w:rsidRPr="005B2F33">
        <w:rPr>
          <w:rFonts w:ascii="Arial" w:hAnsi="Arial" w:cs="Arial"/>
          <w:color w:val="0D0D0D" w:themeColor="text1" w:themeTint="F2"/>
          <w:sz w:val="22"/>
          <w:lang w:val="es-ES"/>
        </w:rPr>
        <w:t>El Gobierno Nacional tendrá la facultad de estandarizar los pliegos de condiciones o términos de referencia y los contratos de las entidades estatales»</w:t>
      </w:r>
      <w:r w:rsidR="00E130F5" w:rsidRPr="005B2F33">
        <w:rPr>
          <w:rStyle w:val="FootnoteReference"/>
          <w:rFonts w:ascii="Arial" w:hAnsi="Arial" w:cs="Arial"/>
          <w:color w:val="0D0D0D" w:themeColor="text1" w:themeTint="F2"/>
          <w:sz w:val="22"/>
          <w:lang w:val="es-ES"/>
        </w:rPr>
        <w:footnoteReference w:id="2"/>
      </w:r>
      <w:r w:rsidR="00E130F5" w:rsidRPr="005B2F33">
        <w:rPr>
          <w:rFonts w:ascii="Arial" w:hAnsi="Arial" w:cs="Arial"/>
          <w:color w:val="0D0D0D" w:themeColor="text1" w:themeTint="F2"/>
          <w:sz w:val="22"/>
          <w:lang w:val="es-ES"/>
        </w:rPr>
        <w:t>.</w:t>
      </w:r>
    </w:p>
    <w:p w14:paraId="11A02DC8" w14:textId="38536D67" w:rsidR="00E130F5" w:rsidRPr="005B2F33" w:rsidRDefault="00E130F5" w:rsidP="00E130F5">
      <w:pPr>
        <w:spacing w:before="120" w:line="276" w:lineRule="auto"/>
        <w:jc w:val="both"/>
        <w:rPr>
          <w:rFonts w:ascii="Arial" w:hAnsi="Arial" w:cs="Arial"/>
          <w:color w:val="0D0D0D" w:themeColor="text1" w:themeTint="F2"/>
          <w:sz w:val="22"/>
          <w:lang w:val="es-ES"/>
        </w:rPr>
      </w:pPr>
      <w:r w:rsidRPr="005B2F33">
        <w:rPr>
          <w:color w:val="0D0D0D" w:themeColor="text1" w:themeTint="F2"/>
        </w:rPr>
        <w:tab/>
      </w:r>
      <w:r w:rsidRPr="005B2F33">
        <w:rPr>
          <w:rFonts w:ascii="Arial" w:hAnsi="Arial" w:cs="Arial"/>
          <w:color w:val="0D0D0D" w:themeColor="text1" w:themeTint="F2"/>
          <w:sz w:val="22"/>
          <w:lang w:val="es-ES"/>
        </w:rPr>
        <w:t>La intención era agilizar y dar mayor transparencia a los proc</w:t>
      </w:r>
      <w:r>
        <w:rPr>
          <w:rFonts w:ascii="Arial" w:hAnsi="Arial" w:cs="Arial"/>
          <w:color w:val="0D0D0D" w:themeColor="text1" w:themeTint="F2"/>
          <w:sz w:val="22"/>
          <w:lang w:val="es-ES"/>
        </w:rPr>
        <w:t>edimientos</w:t>
      </w:r>
      <w:r w:rsidRPr="005B2F33">
        <w:rPr>
          <w:rFonts w:ascii="Arial" w:hAnsi="Arial" w:cs="Arial"/>
          <w:color w:val="0D0D0D" w:themeColor="text1" w:themeTint="F2"/>
          <w:sz w:val="22"/>
          <w:lang w:val="es-ES"/>
        </w:rPr>
        <w:t xml:space="preserve"> de selección</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w:t>
      </w:r>
      <w:r>
        <w:rPr>
          <w:rFonts w:ascii="Arial" w:hAnsi="Arial" w:cs="Arial"/>
          <w:color w:val="0D0D0D" w:themeColor="text1" w:themeTint="F2"/>
          <w:sz w:val="22"/>
          <w:lang w:val="es-ES"/>
        </w:rPr>
        <w:t>así como</w:t>
      </w:r>
      <w:r w:rsidRPr="005B2F33">
        <w:rPr>
          <w:rFonts w:ascii="Arial" w:hAnsi="Arial" w:cs="Arial"/>
          <w:color w:val="0D0D0D" w:themeColor="text1" w:themeTint="F2"/>
          <w:sz w:val="22"/>
          <w:lang w:val="es-ES"/>
        </w:rPr>
        <w:t xml:space="preserve"> evitar el direccionamiento</w:t>
      </w:r>
      <w:r>
        <w:rPr>
          <w:rFonts w:ascii="Arial" w:hAnsi="Arial" w:cs="Arial"/>
          <w:color w:val="0D0D0D" w:themeColor="text1" w:themeTint="F2"/>
          <w:sz w:val="22"/>
          <w:lang w:val="es-ES"/>
        </w:rPr>
        <w:t xml:space="preserve">, razón por la cual –conforme a lo explicado </w:t>
      </w:r>
      <w:r>
        <w:rPr>
          <w:rFonts w:ascii="Arial" w:hAnsi="Arial" w:cs="Arial"/>
          <w:color w:val="0D0D0D" w:themeColor="text1" w:themeTint="F2"/>
          <w:sz w:val="22"/>
          <w:lang w:val="es-ES"/>
        </w:rPr>
        <w:lastRenderedPageBreak/>
        <w:t xml:space="preserve">en la exposición de motivos– </w:t>
      </w:r>
      <w:r w:rsidRPr="005B2F33">
        <w:rPr>
          <w:rFonts w:ascii="Arial" w:hAnsi="Arial" w:cs="Arial"/>
          <w:color w:val="0D0D0D" w:themeColor="text1" w:themeTint="F2"/>
          <w:sz w:val="22"/>
          <w:lang w:val="es-ES"/>
        </w:rPr>
        <w:t>«[…] se asigna al Gobierno Nacional la facultad de estandarizar los pliegos de condiciones y términos de referencia de los contratos, medida que redundará en la agilidad y claridad de los procedimientos»</w:t>
      </w:r>
      <w:r w:rsidRPr="005B2F33">
        <w:rPr>
          <w:rFonts w:ascii="Arial" w:hAnsi="Arial" w:cs="Arial"/>
          <w:color w:val="0D0D0D" w:themeColor="text1" w:themeTint="F2"/>
          <w:sz w:val="22"/>
          <w:vertAlign w:val="superscript"/>
          <w:lang w:val="es-ES"/>
        </w:rPr>
        <w:footnoteReference w:id="3"/>
      </w:r>
      <w:r w:rsidRPr="005B2F33">
        <w:rPr>
          <w:rFonts w:ascii="Arial" w:hAnsi="Arial" w:cs="Arial"/>
          <w:color w:val="0D0D0D" w:themeColor="text1" w:themeTint="F2"/>
          <w:sz w:val="22"/>
          <w:vertAlign w:val="superscript"/>
          <w:lang w:val="es-ES"/>
        </w:rPr>
        <w:t>.</w:t>
      </w:r>
      <w:r w:rsidRPr="005B2F33">
        <w:rPr>
          <w:rFonts w:ascii="Arial" w:hAnsi="Arial" w:cs="Arial"/>
          <w:color w:val="0D0D0D" w:themeColor="text1" w:themeTint="F2"/>
          <w:sz w:val="22"/>
          <w:lang w:val="es-ES"/>
        </w:rPr>
        <w:t>. Sin embargo, en el texto aprobado</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los </w:t>
      </w:r>
      <w:r>
        <w:rPr>
          <w:rFonts w:ascii="Arial" w:hAnsi="Arial" w:cs="Arial"/>
          <w:color w:val="0D0D0D" w:themeColor="text1" w:themeTint="F2"/>
          <w:sz w:val="22"/>
          <w:lang w:val="es-ES"/>
        </w:rPr>
        <w:t>p</w:t>
      </w:r>
      <w:r w:rsidRPr="005B2F33">
        <w:rPr>
          <w:rFonts w:ascii="Arial" w:hAnsi="Arial" w:cs="Arial"/>
          <w:color w:val="0D0D0D" w:themeColor="text1" w:themeTint="F2"/>
          <w:sz w:val="22"/>
          <w:lang w:val="es-ES"/>
        </w:rPr>
        <w:t xml:space="preserve">liegos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 se limitaron a la adquisición o suministro de bienes de características técnicas uniformes</w:t>
      </w:r>
      <w:r w:rsidRPr="005B2F33">
        <w:rPr>
          <w:rStyle w:val="FootnoteReference"/>
          <w:rFonts w:ascii="Arial" w:hAnsi="Arial" w:cs="Arial"/>
          <w:color w:val="0D0D0D" w:themeColor="text1" w:themeTint="F2"/>
          <w:sz w:val="21"/>
          <w:szCs w:val="21"/>
          <w:lang w:val="es-ES"/>
        </w:rPr>
        <w:footnoteReference w:id="4"/>
      </w:r>
      <w:r w:rsidRPr="005B2F33">
        <w:rPr>
          <w:rFonts w:ascii="Arial" w:hAnsi="Arial" w:cs="Arial"/>
          <w:color w:val="0D0D0D" w:themeColor="text1" w:themeTint="F2"/>
          <w:sz w:val="21"/>
          <w:szCs w:val="21"/>
          <w:lang w:val="es-ES"/>
        </w:rPr>
        <w:t>.</w:t>
      </w:r>
      <w:bookmarkEnd w:id="5"/>
    </w:p>
    <w:p w14:paraId="49091085" w14:textId="77777777" w:rsidR="00E130F5" w:rsidRPr="005B2F33" w:rsidRDefault="00E130F5" w:rsidP="00E130F5">
      <w:pPr>
        <w:spacing w:before="120" w:line="276" w:lineRule="auto"/>
        <w:ind w:firstLine="709"/>
        <w:jc w:val="both"/>
        <w:rPr>
          <w:rFonts w:ascii="Arial" w:hAnsi="Arial" w:cs="Arial"/>
          <w:color w:val="0D0D0D" w:themeColor="text1" w:themeTint="F2"/>
          <w:sz w:val="22"/>
        </w:rPr>
      </w:pPr>
      <w:r w:rsidRPr="005B2F33">
        <w:rPr>
          <w:rFonts w:ascii="Arial" w:hAnsi="Arial" w:cs="Arial"/>
          <w:color w:val="0D0D0D" w:themeColor="text1" w:themeTint="F2"/>
          <w:sz w:val="22"/>
        </w:rPr>
        <w:t xml:space="preserve">Posteriormente, el artículo 2, parágrafo 7º, de la Ley 1150 de 2007, adicionado por el artículo 4 de la Ley 1882 de 2018, establece la obligatoriedad de la adopción de documentos tipo para </w:t>
      </w:r>
      <w:r>
        <w:rPr>
          <w:rFonts w:ascii="Arial" w:hAnsi="Arial" w:cs="Arial"/>
          <w:color w:val="0D0D0D" w:themeColor="text1" w:themeTint="F2"/>
          <w:sz w:val="22"/>
        </w:rPr>
        <w:t>algunos contratos</w:t>
      </w:r>
      <w:r w:rsidRPr="005B2F33">
        <w:rPr>
          <w:rFonts w:ascii="Arial" w:hAnsi="Arial" w:cs="Arial"/>
          <w:color w:val="0D0D0D" w:themeColor="text1" w:themeTint="F2"/>
          <w:sz w:val="22"/>
        </w:rPr>
        <w:t xml:space="preserve">, en los siguientes términos: </w:t>
      </w:r>
    </w:p>
    <w:p w14:paraId="7BCBA75D" w14:textId="77777777" w:rsidR="00E130F5" w:rsidRPr="005B2F33" w:rsidRDefault="00E130F5" w:rsidP="00E130F5">
      <w:pPr>
        <w:ind w:firstLine="709"/>
        <w:jc w:val="both"/>
        <w:rPr>
          <w:rFonts w:ascii="Arial" w:hAnsi="Arial" w:cs="Arial"/>
          <w:color w:val="0D0D0D" w:themeColor="text1" w:themeTint="F2"/>
          <w:sz w:val="22"/>
        </w:rPr>
      </w:pPr>
    </w:p>
    <w:p w14:paraId="4EE08DF3" w14:textId="501B1667" w:rsidR="00E130F5" w:rsidRPr="005B2F33" w:rsidRDefault="00E130F5" w:rsidP="002F35B3">
      <w:pPr>
        <w:spacing w:line="276" w:lineRule="auto"/>
        <w:ind w:left="709" w:right="709"/>
        <w:jc w:val="both"/>
        <w:rPr>
          <w:rFonts w:ascii="Arial" w:hAnsi="Arial" w:cs="Arial"/>
          <w:color w:val="0D0D0D" w:themeColor="text1" w:themeTint="F2"/>
          <w:sz w:val="21"/>
          <w:szCs w:val="21"/>
        </w:rPr>
      </w:pPr>
      <w:r w:rsidRPr="005B2F33">
        <w:rPr>
          <w:rFonts w:ascii="Arial" w:hAnsi="Arial" w:cs="Arial"/>
          <w:color w:val="0D0D0D" w:themeColor="text1" w:themeTint="F2"/>
          <w:sz w:val="21"/>
          <w:szCs w:val="21"/>
        </w:rPr>
        <w:t xml:space="preserve">Parágrafo 7°. </w:t>
      </w:r>
      <w:r w:rsidRPr="00E130F5">
        <w:rPr>
          <w:rFonts w:ascii="Arial" w:hAnsi="Arial" w:cs="Arial"/>
          <w:color w:val="0D0D0D" w:themeColor="text1" w:themeTint="F2"/>
          <w:sz w:val="21"/>
          <w:szCs w:val="21"/>
        </w:rPr>
        <w:t xml:space="preserve">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E130F5">
        <w:rPr>
          <w:rFonts w:ascii="Arial" w:hAnsi="Arial" w:cs="Arial"/>
          <w:i/>
          <w:iCs/>
          <w:color w:val="0D0D0D" w:themeColor="text1" w:themeTint="F2"/>
          <w:sz w:val="21"/>
          <w:szCs w:val="21"/>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Pr>
          <w:rFonts w:ascii="Arial" w:hAnsi="Arial" w:cs="Arial"/>
          <w:color w:val="0D0D0D" w:themeColor="text1" w:themeTint="F2"/>
          <w:sz w:val="21"/>
          <w:szCs w:val="21"/>
        </w:rPr>
        <w:t xml:space="preserve"> […]</w:t>
      </w:r>
      <w:r w:rsidRPr="00E130F5">
        <w:rPr>
          <w:rFonts w:ascii="Arial" w:hAnsi="Arial" w:cs="Arial"/>
          <w:color w:val="0D0D0D" w:themeColor="text1" w:themeTint="F2"/>
          <w:sz w:val="21"/>
          <w:szCs w:val="21"/>
        </w:rPr>
        <w:t xml:space="preserve"> </w:t>
      </w:r>
      <w:r w:rsidRPr="00E130F5">
        <w:rPr>
          <w:rFonts w:ascii="Arial" w:hAnsi="Arial" w:cs="Arial"/>
          <w:i/>
          <w:iCs/>
          <w:color w:val="0D0D0D" w:themeColor="text1" w:themeTint="F2"/>
          <w:sz w:val="21"/>
          <w:szCs w:val="21"/>
        </w:rPr>
        <w:t>teniendo en cuenta la naturaleza y cuantía de los contratos</w:t>
      </w:r>
      <w:r>
        <w:rPr>
          <w:rFonts w:ascii="Arial" w:hAnsi="Arial" w:cs="Arial"/>
          <w:color w:val="0D0D0D" w:themeColor="text1" w:themeTint="F2"/>
          <w:sz w:val="21"/>
          <w:szCs w:val="21"/>
        </w:rPr>
        <w:t xml:space="preserve"> </w:t>
      </w:r>
      <w:r w:rsidRPr="005B2F33">
        <w:rPr>
          <w:rFonts w:ascii="Arial" w:hAnsi="Arial" w:cs="Arial"/>
          <w:color w:val="0D0D0D" w:themeColor="text1" w:themeTint="F2"/>
          <w:sz w:val="21"/>
          <w:szCs w:val="21"/>
        </w:rPr>
        <w:t>[…].</w:t>
      </w:r>
      <w:r>
        <w:rPr>
          <w:rFonts w:ascii="Arial" w:hAnsi="Arial" w:cs="Arial"/>
          <w:color w:val="0D0D0D" w:themeColor="text1" w:themeTint="F2"/>
          <w:sz w:val="21"/>
          <w:szCs w:val="21"/>
        </w:rPr>
        <w:t xml:space="preserve"> </w:t>
      </w:r>
      <w:r w:rsidRPr="00E130F5">
        <w:rPr>
          <w:rFonts w:ascii="Arial" w:hAnsi="Arial" w:cs="Arial"/>
          <w:color w:val="0D0D0D" w:themeColor="text1" w:themeTint="F2"/>
          <w:sz w:val="21"/>
          <w:szCs w:val="21"/>
        </w:rPr>
        <w:t>(Énfasis fuera de texto)</w:t>
      </w:r>
    </w:p>
    <w:p w14:paraId="17B2842A" w14:textId="77777777" w:rsidR="00E130F5" w:rsidRPr="005B2F33" w:rsidRDefault="00E130F5" w:rsidP="002F35B3">
      <w:pPr>
        <w:spacing w:line="276" w:lineRule="auto"/>
        <w:jc w:val="both"/>
        <w:rPr>
          <w:rFonts w:ascii="Arial" w:hAnsi="Arial" w:cs="Arial"/>
          <w:color w:val="0D0D0D" w:themeColor="text1" w:themeTint="F2"/>
          <w:sz w:val="22"/>
        </w:rPr>
      </w:pPr>
    </w:p>
    <w:p w14:paraId="163B53C8" w14:textId="53C19CD0" w:rsidR="00E130F5" w:rsidRDefault="00E130F5" w:rsidP="00E130F5">
      <w:pPr>
        <w:spacing w:line="276" w:lineRule="auto"/>
        <w:ind w:firstLine="708"/>
        <w:jc w:val="both"/>
        <w:rPr>
          <w:rFonts w:ascii="Arial" w:hAnsi="Arial" w:cs="Arial"/>
          <w:color w:val="0D0D0D" w:themeColor="text1" w:themeTint="F2"/>
          <w:sz w:val="22"/>
        </w:rPr>
      </w:pPr>
      <w:r w:rsidRPr="002D413A">
        <w:rPr>
          <w:rFonts w:ascii="Arial" w:hAnsi="Arial" w:cs="Arial"/>
          <w:color w:val="0D0D0D" w:themeColor="text1" w:themeTint="F2"/>
          <w:sz w:val="22"/>
        </w:rPr>
        <w:t xml:space="preserve">Sin embargo, el 22 de julio de 2020, el Gobierno Nacional sancionó la Ley 2022, llamada la </w:t>
      </w:r>
      <w:r>
        <w:rPr>
          <w:rFonts w:ascii="Arial" w:hAnsi="Arial" w:cs="Arial"/>
          <w:color w:val="0D0D0D" w:themeColor="text1" w:themeTint="F2"/>
          <w:sz w:val="22"/>
        </w:rPr>
        <w:t>«</w:t>
      </w:r>
      <w:r w:rsidRPr="002D413A">
        <w:rPr>
          <w:rFonts w:ascii="Arial" w:hAnsi="Arial" w:cs="Arial"/>
          <w:color w:val="0D0D0D" w:themeColor="text1" w:themeTint="F2"/>
          <w:sz w:val="22"/>
        </w:rPr>
        <w:t>ley de pliegos tipo</w:t>
      </w:r>
      <w:r>
        <w:rPr>
          <w:rFonts w:ascii="Arial" w:hAnsi="Arial" w:cs="Arial"/>
          <w:color w:val="0D0D0D" w:themeColor="text1" w:themeTint="F2"/>
          <w:sz w:val="22"/>
        </w:rPr>
        <w:t>»</w:t>
      </w:r>
      <w:r w:rsidRPr="002D413A">
        <w:rPr>
          <w:rFonts w:ascii="Arial" w:hAnsi="Arial" w:cs="Arial"/>
          <w:color w:val="0D0D0D" w:themeColor="text1" w:themeTint="F2"/>
          <w:sz w:val="22"/>
        </w:rPr>
        <w:t xml:space="preserve">, que rige a partir de su publicación y cuyo artículo 1 modifica el artículo 4 de la Ley 1882 de 2018 </w:t>
      </w:r>
      <w:r>
        <w:rPr>
          <w:rFonts w:ascii="Arial" w:hAnsi="Arial" w:cs="Arial"/>
          <w:color w:val="0D0D0D" w:themeColor="text1" w:themeTint="F2"/>
          <w:sz w:val="22"/>
        </w:rPr>
        <w:t>en relación con</w:t>
      </w:r>
      <w:r w:rsidR="00CE0E21">
        <w:rPr>
          <w:rFonts w:ascii="Arial" w:hAnsi="Arial" w:cs="Arial"/>
          <w:color w:val="0D0D0D" w:themeColor="text1" w:themeTint="F2"/>
          <w:sz w:val="22"/>
        </w:rPr>
        <w:t xml:space="preserve"> los siguientes aspectos</w:t>
      </w:r>
      <w:r w:rsidRPr="002D413A">
        <w:rPr>
          <w:rFonts w:ascii="Arial" w:hAnsi="Arial" w:cs="Arial"/>
          <w:color w:val="0D0D0D" w:themeColor="text1" w:themeTint="F2"/>
          <w:sz w:val="22"/>
        </w:rPr>
        <w:t xml:space="preserve">: i) </w:t>
      </w:r>
      <w:r>
        <w:rPr>
          <w:rFonts w:ascii="Arial" w:hAnsi="Arial" w:cs="Arial"/>
          <w:color w:val="0D0D0D" w:themeColor="text1" w:themeTint="F2"/>
          <w:sz w:val="22"/>
        </w:rPr>
        <w:t xml:space="preserve">el </w:t>
      </w:r>
      <w:r w:rsidRPr="002D413A">
        <w:rPr>
          <w:rFonts w:ascii="Arial" w:hAnsi="Arial" w:cs="Arial"/>
          <w:color w:val="0D0D0D" w:themeColor="text1" w:themeTint="F2"/>
          <w:sz w:val="22"/>
        </w:rPr>
        <w:t>sujeto encargado de la adopción de los documentos tipo, ya que antes se señalaba al Gobierno Nacional y ahora la entidad encargada</w:t>
      </w:r>
      <w:r>
        <w:rPr>
          <w:rFonts w:ascii="Arial" w:hAnsi="Arial" w:cs="Arial"/>
          <w:color w:val="0D0D0D" w:themeColor="text1" w:themeTint="F2"/>
          <w:sz w:val="22"/>
        </w:rPr>
        <w:t xml:space="preserve"> directamente por la Ley</w:t>
      </w:r>
      <w:r w:rsidRPr="002D413A">
        <w:rPr>
          <w:rFonts w:ascii="Arial" w:hAnsi="Arial" w:cs="Arial"/>
          <w:color w:val="0D0D0D" w:themeColor="text1" w:themeTint="F2"/>
          <w:sz w:val="22"/>
        </w:rPr>
        <w:t xml:space="preserve"> es la Agencia Nacional de Contratación Pública – Colombia Compra Eficiente o quien haga sus veces; </w:t>
      </w:r>
      <w:proofErr w:type="spellStart"/>
      <w:r w:rsidRPr="002D413A">
        <w:rPr>
          <w:rFonts w:ascii="Arial" w:hAnsi="Arial" w:cs="Arial"/>
          <w:color w:val="0D0D0D" w:themeColor="text1" w:themeTint="F2"/>
          <w:sz w:val="22"/>
        </w:rPr>
        <w:t>ii</w:t>
      </w:r>
      <w:proofErr w:type="spellEnd"/>
      <w:r w:rsidRPr="002D413A">
        <w:rPr>
          <w:rFonts w:ascii="Arial" w:hAnsi="Arial" w:cs="Arial"/>
          <w:color w:val="0D0D0D" w:themeColor="text1" w:themeTint="F2"/>
          <w:sz w:val="22"/>
        </w:rPr>
        <w:t>)</w:t>
      </w:r>
      <w:r>
        <w:rPr>
          <w:rFonts w:ascii="Arial" w:hAnsi="Arial" w:cs="Arial"/>
          <w:color w:val="0D0D0D" w:themeColor="text1" w:themeTint="F2"/>
          <w:sz w:val="22"/>
        </w:rPr>
        <w:t xml:space="preserve"> la</w:t>
      </w:r>
      <w:r w:rsidRPr="002D413A">
        <w:rPr>
          <w:rFonts w:ascii="Arial" w:hAnsi="Arial" w:cs="Arial"/>
          <w:color w:val="0D0D0D" w:themeColor="text1" w:themeTint="F2"/>
          <w:sz w:val="22"/>
        </w:rPr>
        <w:t xml:space="preserve"> inclusión de buenas prácticas contractuales y los principios de la contratación pública para establecer los requisitos habilitantes, factores técnicos, económicos y otros factores de escogencia en los documentos tipo; </w:t>
      </w:r>
      <w:proofErr w:type="spellStart"/>
      <w:r w:rsidRPr="002D413A">
        <w:rPr>
          <w:rFonts w:ascii="Arial" w:hAnsi="Arial" w:cs="Arial"/>
          <w:color w:val="0D0D0D" w:themeColor="text1" w:themeTint="F2"/>
          <w:sz w:val="22"/>
        </w:rPr>
        <w:t>iii</w:t>
      </w:r>
      <w:proofErr w:type="spellEnd"/>
      <w:r w:rsidRPr="002D413A">
        <w:rPr>
          <w:rFonts w:ascii="Arial" w:hAnsi="Arial" w:cs="Arial"/>
          <w:color w:val="0D0D0D" w:themeColor="text1" w:themeTint="F2"/>
          <w:sz w:val="22"/>
        </w:rPr>
        <w:t xml:space="preserve">) </w:t>
      </w:r>
      <w:r>
        <w:rPr>
          <w:rFonts w:ascii="Arial" w:hAnsi="Arial" w:cs="Arial"/>
          <w:color w:val="0D0D0D" w:themeColor="text1" w:themeTint="F2"/>
          <w:sz w:val="22"/>
        </w:rPr>
        <w:t xml:space="preserve">la </w:t>
      </w:r>
      <w:r w:rsidRPr="002D413A">
        <w:rPr>
          <w:rFonts w:ascii="Arial" w:hAnsi="Arial" w:cs="Arial"/>
          <w:color w:val="0D0D0D" w:themeColor="text1" w:themeTint="F2"/>
          <w:sz w:val="22"/>
        </w:rPr>
        <w:t xml:space="preserve">implementación de procesos de capacitación en los municipios para la utilización de los documentos tipo buscando el desarrollo de la economía local; y </w:t>
      </w:r>
      <w:proofErr w:type="spellStart"/>
      <w:r w:rsidRPr="002D413A">
        <w:rPr>
          <w:rFonts w:ascii="Arial" w:hAnsi="Arial" w:cs="Arial"/>
          <w:color w:val="0D0D0D" w:themeColor="text1" w:themeTint="F2"/>
          <w:sz w:val="22"/>
        </w:rPr>
        <w:t>iv</w:t>
      </w:r>
      <w:proofErr w:type="spellEnd"/>
      <w:r w:rsidRPr="002D413A">
        <w:rPr>
          <w:rFonts w:ascii="Arial" w:hAnsi="Arial" w:cs="Arial"/>
          <w:color w:val="0D0D0D" w:themeColor="text1" w:themeTint="F2"/>
          <w:sz w:val="22"/>
        </w:rPr>
        <w:t xml:space="preserve">) </w:t>
      </w:r>
      <w:r>
        <w:rPr>
          <w:rFonts w:ascii="Arial" w:hAnsi="Arial" w:cs="Arial"/>
          <w:color w:val="0D0D0D" w:themeColor="text1" w:themeTint="F2"/>
          <w:sz w:val="22"/>
        </w:rPr>
        <w:t>la</w:t>
      </w:r>
      <w:r w:rsidR="005D20EC">
        <w:rPr>
          <w:rFonts w:ascii="Arial" w:hAnsi="Arial" w:cs="Arial"/>
          <w:color w:val="0D0D0D" w:themeColor="text1" w:themeTint="F2"/>
          <w:sz w:val="22"/>
        </w:rPr>
        <w:t>s</w:t>
      </w:r>
      <w:r>
        <w:rPr>
          <w:rFonts w:ascii="Arial" w:hAnsi="Arial" w:cs="Arial"/>
          <w:color w:val="0D0D0D" w:themeColor="text1" w:themeTint="F2"/>
          <w:sz w:val="22"/>
        </w:rPr>
        <w:t xml:space="preserve"> </w:t>
      </w:r>
      <w:r w:rsidRPr="002D413A">
        <w:rPr>
          <w:rFonts w:ascii="Arial" w:hAnsi="Arial" w:cs="Arial"/>
          <w:color w:val="0D0D0D" w:themeColor="text1" w:themeTint="F2"/>
          <w:sz w:val="22"/>
        </w:rPr>
        <w:t>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Pr>
          <w:rStyle w:val="FootnoteReference"/>
          <w:rFonts w:ascii="Arial" w:hAnsi="Arial" w:cs="Arial"/>
          <w:color w:val="0D0D0D" w:themeColor="text1" w:themeTint="F2"/>
          <w:sz w:val="22"/>
        </w:rPr>
        <w:footnoteReference w:id="5"/>
      </w:r>
      <w:r w:rsidRPr="002D413A">
        <w:rPr>
          <w:rFonts w:ascii="Arial" w:hAnsi="Arial" w:cs="Arial"/>
          <w:color w:val="0D0D0D" w:themeColor="text1" w:themeTint="F2"/>
          <w:sz w:val="22"/>
        </w:rPr>
        <w:t>.</w:t>
      </w:r>
      <w:r>
        <w:rPr>
          <w:rFonts w:ascii="Arial" w:hAnsi="Arial" w:cs="Arial"/>
          <w:color w:val="0D0D0D" w:themeColor="text1" w:themeTint="F2"/>
          <w:sz w:val="22"/>
        </w:rPr>
        <w:t xml:space="preserve"> </w:t>
      </w:r>
    </w:p>
    <w:p w14:paraId="6717109C" w14:textId="77777777" w:rsidR="00E130F5" w:rsidRPr="005B2F33" w:rsidRDefault="00E130F5" w:rsidP="00E67ACF">
      <w:pPr>
        <w:spacing w:before="120" w:after="120" w:line="276" w:lineRule="auto"/>
        <w:ind w:firstLine="703"/>
        <w:jc w:val="both"/>
        <w:rPr>
          <w:rFonts w:ascii="Arial" w:hAnsi="Arial" w:cs="Arial"/>
          <w:color w:val="0D0D0D" w:themeColor="text1" w:themeTint="F2"/>
          <w:sz w:val="22"/>
          <w:lang w:val="es-ES"/>
        </w:rPr>
      </w:pPr>
      <w:r>
        <w:rPr>
          <w:rFonts w:ascii="Arial" w:hAnsi="Arial" w:cs="Arial"/>
          <w:color w:val="0D0D0D" w:themeColor="text1" w:themeTint="F2"/>
          <w:sz w:val="22"/>
          <w:lang w:val="es-ES"/>
        </w:rPr>
        <w:lastRenderedPageBreak/>
        <w:t>Sin perjuicio de lo anterior, l</w:t>
      </w:r>
      <w:r w:rsidRPr="005B2F33">
        <w:rPr>
          <w:rFonts w:ascii="Arial" w:hAnsi="Arial" w:cs="Arial"/>
          <w:color w:val="0D0D0D" w:themeColor="text1" w:themeTint="F2"/>
          <w:sz w:val="22"/>
          <w:lang w:val="es-ES"/>
        </w:rPr>
        <w:t xml:space="preserve">a exposición de motivos del proyecto que se convirtió en la Ley 1882 de 2018 se refirió a la necesidad de utilizar documentos tipo, pues reducen el tiempo de los procesos de contratación y contribuyen </w:t>
      </w:r>
      <w:r>
        <w:rPr>
          <w:rFonts w:ascii="Arial" w:hAnsi="Arial" w:cs="Arial"/>
          <w:color w:val="0D0D0D" w:themeColor="text1" w:themeTint="F2"/>
          <w:sz w:val="22"/>
          <w:lang w:val="es-ES"/>
        </w:rPr>
        <w:t>a</w:t>
      </w:r>
      <w:r w:rsidRPr="005B2F33">
        <w:rPr>
          <w:rFonts w:ascii="Arial" w:hAnsi="Arial" w:cs="Arial"/>
          <w:color w:val="0D0D0D" w:themeColor="text1" w:themeTint="F2"/>
          <w:sz w:val="22"/>
          <w:lang w:val="es-ES"/>
        </w:rPr>
        <w:t xml:space="preserve">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w:t>
      </w:r>
      <w:r>
        <w:rPr>
          <w:rFonts w:ascii="Arial" w:hAnsi="Arial" w:cs="Arial"/>
          <w:color w:val="0D0D0D" w:themeColor="text1" w:themeTint="F2"/>
          <w:sz w:val="22"/>
          <w:lang w:val="es-ES"/>
        </w:rPr>
        <w:t>a</w:t>
      </w:r>
      <w:r w:rsidRPr="005B2F33">
        <w:rPr>
          <w:rFonts w:ascii="Arial" w:hAnsi="Arial" w:cs="Arial"/>
          <w:color w:val="0D0D0D" w:themeColor="text1" w:themeTint="F2"/>
          <w:sz w:val="22"/>
          <w:lang w:val="es-ES"/>
        </w:rPr>
        <w:t>dministración pública más eficiente y moderna.</w:t>
      </w:r>
    </w:p>
    <w:p w14:paraId="0A022578" w14:textId="762C1E94" w:rsidR="00572AC3" w:rsidRPr="005B2F33" w:rsidRDefault="00572AC3" w:rsidP="00572AC3">
      <w:pPr>
        <w:spacing w:before="120" w:after="120" w:line="276" w:lineRule="auto"/>
        <w:ind w:firstLine="705"/>
        <w:jc w:val="both"/>
        <w:rPr>
          <w:rFonts w:ascii="Arial" w:hAnsi="Arial" w:cs="Arial"/>
          <w:color w:val="0D0D0D" w:themeColor="text1" w:themeTint="F2"/>
          <w:sz w:val="22"/>
          <w:lang w:val="es-ES"/>
        </w:rPr>
      </w:pPr>
      <w:r w:rsidRPr="005B2F33">
        <w:rPr>
          <w:rFonts w:ascii="Arial" w:hAnsi="Arial" w:cs="Arial"/>
          <w:color w:val="0D0D0D" w:themeColor="text1" w:themeTint="F2"/>
          <w:sz w:val="22"/>
          <w:lang w:val="es-ES"/>
        </w:rPr>
        <w:t>En ejercicio de la competencia conferida por el citado parágrafo, el Gobierno Nacional expidió el Decreto 342 de 2019, por medio del que se adoptaron los documentos tipo para licitaciones públicas para selección de contratistas de obra de infraestructura de transporte</w:t>
      </w:r>
      <w:r>
        <w:rPr>
          <w:rFonts w:ascii="Arial" w:hAnsi="Arial" w:cs="Arial"/>
          <w:color w:val="0D0D0D" w:themeColor="text1" w:themeTint="F2"/>
          <w:sz w:val="22"/>
          <w:lang w:val="es-ES"/>
        </w:rPr>
        <w:t>. En esta medida, el reglamento</w:t>
      </w:r>
      <w:r w:rsidRPr="005B2F33">
        <w:rPr>
          <w:rFonts w:ascii="Arial" w:hAnsi="Arial" w:cs="Arial"/>
          <w:color w:val="0D0D0D" w:themeColor="text1" w:themeTint="F2"/>
          <w:sz w:val="22"/>
          <w:lang w:val="es-ES"/>
        </w:rPr>
        <w:t xml:space="preserve"> adicionó </w:t>
      </w:r>
      <w:r w:rsidRPr="005B2F33">
        <w:rPr>
          <w:rFonts w:ascii="Arial" w:hAnsi="Arial" w:cs="Arial"/>
          <w:color w:val="0D0D0D" w:themeColor="text1" w:themeTint="F2"/>
          <w:sz w:val="22"/>
        </w:rPr>
        <w:t>la Sección 6 y la Subsección 1 al Capítulo 2 del Título 1 de la Parte 2 del Libro 2 del Decreto 1082 de 2015, Decreto Único Reglamentario del Sector Administrativo de Planeación Nacional.</w:t>
      </w:r>
      <w:r w:rsidRPr="005B2F33">
        <w:rPr>
          <w:rFonts w:ascii="Arial" w:hAnsi="Arial" w:cs="Arial"/>
          <w:color w:val="0D0D0D" w:themeColor="text1" w:themeTint="F2"/>
          <w:sz w:val="22"/>
          <w:lang w:val="es-ES"/>
        </w:rPr>
        <w:t xml:space="preserve"> </w:t>
      </w:r>
    </w:p>
    <w:p w14:paraId="0F642D43" w14:textId="0BB65E8B" w:rsidR="00572AC3" w:rsidRPr="005B2F33" w:rsidRDefault="00572AC3" w:rsidP="00572AC3">
      <w:pPr>
        <w:spacing w:before="120" w:after="120" w:line="276" w:lineRule="auto"/>
        <w:ind w:firstLine="705"/>
        <w:jc w:val="both"/>
        <w:rPr>
          <w:color w:val="0D0D0D" w:themeColor="text1" w:themeTint="F2"/>
        </w:rPr>
      </w:pPr>
      <w:r w:rsidRPr="005B2F33">
        <w:rPr>
          <w:rFonts w:ascii="Arial" w:hAnsi="Arial" w:cs="Arial"/>
          <w:color w:val="0D0D0D" w:themeColor="text1" w:themeTint="F2"/>
          <w:sz w:val="22"/>
          <w:lang w:val="es-ES"/>
        </w:rPr>
        <w:t xml:space="preserve">El artículo 2.2.1.2.6.1.1 del Decreto 1082 de 2015, sobre el objeto de los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Documentos Tipo</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adoptados por el Decreto 342 de 2019, señala que «La presente subsección tiene por objeto adoptar los Documentos Tipo para los pliegos de condiciones de los procesos de selección de licitación de obra pública de infraestructura de transporte».</w:t>
      </w:r>
      <w:r>
        <w:rPr>
          <w:rFonts w:ascii="Arial" w:hAnsi="Arial" w:cs="Arial"/>
          <w:color w:val="0D0D0D" w:themeColor="text1" w:themeTint="F2"/>
          <w:sz w:val="22"/>
          <w:lang w:val="es-ES"/>
        </w:rPr>
        <w:t xml:space="preserve"> Además</w:t>
      </w:r>
      <w:r w:rsidRPr="005B2F33">
        <w:rPr>
          <w:rFonts w:ascii="Arial" w:hAnsi="Arial" w:cs="Arial"/>
          <w:color w:val="0D0D0D" w:themeColor="text1" w:themeTint="F2"/>
          <w:sz w:val="22"/>
          <w:lang w:val="es-ES"/>
        </w:rPr>
        <w:t>, el artículo 2.2.1.2.6.1.2</w:t>
      </w:r>
      <w:r>
        <w:rPr>
          <w:rFonts w:ascii="Arial" w:hAnsi="Arial" w:cs="Arial"/>
          <w:color w:val="0D0D0D" w:themeColor="text1" w:themeTint="F2"/>
          <w:sz w:val="22"/>
          <w:lang w:val="es-ES"/>
        </w:rPr>
        <w:t xml:space="preserve"> del Decreto</w:t>
      </w:r>
      <w:r w:rsidRPr="005B2F33">
        <w:rPr>
          <w:rFonts w:ascii="Arial" w:hAnsi="Arial" w:cs="Arial"/>
          <w:color w:val="0D0D0D" w:themeColor="text1" w:themeTint="F2"/>
          <w:sz w:val="22"/>
          <w:lang w:val="es-ES"/>
        </w:rPr>
        <w:t xml:space="preserve"> </w:t>
      </w:r>
      <w:r>
        <w:rPr>
          <w:rFonts w:ascii="Arial" w:hAnsi="Arial" w:cs="Arial"/>
          <w:color w:val="0D0D0D" w:themeColor="text1" w:themeTint="F2"/>
          <w:sz w:val="22"/>
          <w:lang w:val="es-ES"/>
        </w:rPr>
        <w:t>–referido</w:t>
      </w:r>
      <w:r w:rsidRPr="005B2F33">
        <w:rPr>
          <w:rFonts w:ascii="Arial" w:hAnsi="Arial" w:cs="Arial"/>
          <w:color w:val="0D0D0D" w:themeColor="text1" w:themeTint="F2"/>
          <w:sz w:val="22"/>
          <w:lang w:val="es-ES"/>
        </w:rPr>
        <w:t xml:space="preserve"> al alcance de los documentos tipo</w:t>
      </w:r>
      <w:r>
        <w:rPr>
          <w:rFonts w:ascii="Arial" w:hAnsi="Arial" w:cs="Arial"/>
          <w:color w:val="0D0D0D" w:themeColor="text1" w:themeTint="F2"/>
          <w:sz w:val="22"/>
          <w:lang w:val="es-ES"/>
        </w:rPr>
        <w:t>–dispone que</w:t>
      </w:r>
      <w:r w:rsidRPr="005B2F33">
        <w:rPr>
          <w:rFonts w:ascii="Arial" w:hAnsi="Arial" w:cs="Arial"/>
          <w:color w:val="0D0D0D" w:themeColor="text1" w:themeTint="F2"/>
          <w:sz w:val="22"/>
          <w:lang w:val="es-ES"/>
        </w:rPr>
        <w:t xml:space="preserve"> «contienen parámetros obligatorios para las entidades estatales sometidas al Estatuto General de la Contratación Pública que adelanten procesos de selección de licitación de obra pública de infraestructura de transporte».</w:t>
      </w:r>
      <w:r w:rsidRPr="005B2F33">
        <w:rPr>
          <w:color w:val="0D0D0D" w:themeColor="text1" w:themeTint="F2"/>
          <w:lang w:val="es-ES"/>
        </w:rPr>
        <w:t xml:space="preserve"> </w:t>
      </w:r>
    </w:p>
    <w:p w14:paraId="11290D74" w14:textId="198E337C" w:rsidR="00572AC3" w:rsidRPr="005B2F33" w:rsidRDefault="00572AC3" w:rsidP="00572AC3">
      <w:pPr>
        <w:spacing w:before="120" w:after="120" w:line="276" w:lineRule="auto"/>
        <w:ind w:firstLine="705"/>
        <w:jc w:val="both"/>
        <w:rPr>
          <w:rFonts w:ascii="Arial" w:hAnsi="Arial" w:cs="Arial"/>
          <w:color w:val="0D0D0D" w:themeColor="text1" w:themeTint="F2"/>
          <w:sz w:val="22"/>
          <w:lang w:val="es-ES"/>
        </w:rPr>
      </w:pPr>
      <w:r w:rsidRPr="005B2F33">
        <w:rPr>
          <w:rFonts w:ascii="Arial" w:hAnsi="Arial" w:cs="Arial"/>
          <w:color w:val="0D0D0D" w:themeColor="text1" w:themeTint="F2"/>
          <w:sz w:val="22"/>
          <w:lang w:val="es-ES"/>
        </w:rPr>
        <w:lastRenderedPageBreak/>
        <w:t xml:space="preserve">El Gobierno Nacional mediante el artículo 2.2.1.2.6.1.3 del Decreto 1082 de 2015, adicionado por el Decreto 342 de 2019, facultó a la Agencia Nacional de Contratación Pública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para que en coordinación con el Departamento Nacional de Planeación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DNP</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y el Ministerio de Transporte, desarrollara e implementara los Documentos Tipo</w:t>
      </w:r>
      <w:r w:rsidR="005210DF">
        <w:rPr>
          <w:rFonts w:ascii="Arial" w:hAnsi="Arial" w:cs="Arial"/>
          <w:color w:val="0D0D0D" w:themeColor="text1" w:themeTint="F2"/>
          <w:sz w:val="22"/>
          <w:lang w:val="es-ES"/>
        </w:rPr>
        <w:t>. Esto</w:t>
      </w:r>
      <w:r w:rsidRPr="005B2F33">
        <w:rPr>
          <w:rFonts w:ascii="Arial" w:hAnsi="Arial" w:cs="Arial"/>
          <w:color w:val="0D0D0D" w:themeColor="text1" w:themeTint="F2"/>
          <w:sz w:val="22"/>
          <w:lang w:val="es-ES"/>
        </w:rPr>
        <w:t xml:space="preserve"> tuvo lugar con la expedición de la Resolución No. 1798 del 1</w:t>
      </w:r>
      <w:r>
        <w:rPr>
          <w:rFonts w:ascii="Arial" w:hAnsi="Arial" w:cs="Arial"/>
          <w:color w:val="0D0D0D" w:themeColor="text1" w:themeTint="F2"/>
          <w:sz w:val="22"/>
          <w:lang w:val="es-ES"/>
        </w:rPr>
        <w:t>º</w:t>
      </w:r>
      <w:r w:rsidRPr="005B2F33">
        <w:rPr>
          <w:rFonts w:ascii="Arial" w:hAnsi="Arial" w:cs="Arial"/>
          <w:color w:val="0D0D0D" w:themeColor="text1" w:themeTint="F2"/>
          <w:sz w:val="22"/>
          <w:lang w:val="es-ES"/>
        </w:rPr>
        <w:t xml:space="preserve"> de abril de 2019 que implementó la Versión 1 de los documentos tipo para procesos de licitación de obra pública de infraestructura de transporte.</w:t>
      </w:r>
    </w:p>
    <w:p w14:paraId="6EF5D1C3" w14:textId="642C0A87" w:rsidR="00572AC3" w:rsidRPr="005B2F33" w:rsidRDefault="00572AC3" w:rsidP="00572AC3">
      <w:pPr>
        <w:spacing w:before="120" w:after="120" w:line="276" w:lineRule="auto"/>
        <w:jc w:val="both"/>
        <w:rPr>
          <w:rFonts w:ascii="Arial" w:hAnsi="Arial" w:cs="Arial"/>
          <w:color w:val="0D0D0D" w:themeColor="text1" w:themeTint="F2"/>
          <w:sz w:val="22"/>
        </w:rPr>
      </w:pPr>
      <w:r w:rsidRPr="005B2F33">
        <w:rPr>
          <w:rFonts w:ascii="Arial" w:hAnsi="Arial" w:cs="Arial"/>
          <w:color w:val="0D0D0D" w:themeColor="text1" w:themeTint="F2"/>
          <w:sz w:val="22"/>
          <w:lang w:val="es-ES"/>
        </w:rPr>
        <w:tab/>
        <w:t xml:space="preserve">La Agencia Nacional de Contratación Pública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luego de identificar, junto con el Departamento Nacional de Planeación y el Ministerio de Transporte</w:t>
      </w:r>
      <w:r w:rsidR="005210DF">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la necesidad de actualizar los documentos tipo para los procesos de licitación pública en orden de </w:t>
      </w:r>
      <w:r w:rsidRPr="005B2F33">
        <w:rPr>
          <w:rFonts w:ascii="Arial" w:hAnsi="Arial" w:cs="Arial"/>
          <w:color w:val="0D0D0D" w:themeColor="text1" w:themeTint="F2"/>
          <w:sz w:val="22"/>
        </w:rPr>
        <w:t>fortalecerlos y adaptarlos a la realidad de la contratación del país, implementó la Versión 2</w:t>
      </w:r>
      <w:r w:rsidR="005210DF">
        <w:rPr>
          <w:rFonts w:ascii="Arial" w:hAnsi="Arial" w:cs="Arial"/>
          <w:color w:val="0D0D0D" w:themeColor="text1" w:themeTint="F2"/>
          <w:sz w:val="22"/>
        </w:rPr>
        <w:t>. De esta manera</w:t>
      </w:r>
      <w:r w:rsidRPr="005B2F33">
        <w:rPr>
          <w:rFonts w:ascii="Arial" w:hAnsi="Arial" w:cs="Arial"/>
          <w:color w:val="0D0D0D" w:themeColor="text1" w:themeTint="F2"/>
          <w:sz w:val="22"/>
        </w:rPr>
        <w:t xml:space="preserve"> expidi</w:t>
      </w:r>
      <w:r w:rsidR="005210DF">
        <w:rPr>
          <w:rFonts w:ascii="Arial" w:hAnsi="Arial" w:cs="Arial"/>
          <w:color w:val="0D0D0D" w:themeColor="text1" w:themeTint="F2"/>
          <w:sz w:val="22"/>
        </w:rPr>
        <w:t>ó</w:t>
      </w:r>
      <w:r w:rsidRPr="005B2F33">
        <w:rPr>
          <w:rFonts w:ascii="Arial" w:hAnsi="Arial" w:cs="Arial"/>
          <w:color w:val="0D0D0D" w:themeColor="text1" w:themeTint="F2"/>
          <w:sz w:val="22"/>
        </w:rPr>
        <w:t xml:space="preserve"> la Resolución No. 045 del 14 de febrero de 2020, «Por la cual se actualizan los Documentos Tipo para los procesos de selección de licitación de obra pública de infraestructura de transporte y se deroga la Resolución 1798 de 2019». </w:t>
      </w:r>
    </w:p>
    <w:p w14:paraId="43CDCC56" w14:textId="0E3EF5C9" w:rsidR="00572AC3" w:rsidRPr="005B2F33" w:rsidRDefault="00572AC3" w:rsidP="00572AC3">
      <w:pPr>
        <w:spacing w:before="120" w:after="120" w:line="276" w:lineRule="auto"/>
        <w:ind w:firstLine="708"/>
        <w:jc w:val="both"/>
        <w:rPr>
          <w:rFonts w:ascii="Arial" w:hAnsi="Arial" w:cs="Arial"/>
          <w:color w:val="0D0D0D" w:themeColor="text1" w:themeTint="F2"/>
          <w:sz w:val="22"/>
          <w:lang w:val="es-ES"/>
        </w:rPr>
      </w:pPr>
      <w:r w:rsidRPr="005B2F33">
        <w:rPr>
          <w:rFonts w:ascii="Arial" w:hAnsi="Arial" w:cs="Arial"/>
          <w:color w:val="0D0D0D" w:themeColor="text1" w:themeTint="F2"/>
          <w:sz w:val="22"/>
          <w:lang w:val="es-ES"/>
        </w:rPr>
        <w:t xml:space="preserve">El Gobierno Nacional ejerció nuevamente la competencia </w:t>
      </w:r>
      <w:r>
        <w:rPr>
          <w:rFonts w:ascii="Arial" w:hAnsi="Arial" w:cs="Arial"/>
          <w:color w:val="0D0D0D" w:themeColor="text1" w:themeTint="F2"/>
          <w:sz w:val="22"/>
          <w:lang w:val="es-ES"/>
        </w:rPr>
        <w:t>prevista en</w:t>
      </w:r>
      <w:r w:rsidRPr="005B2F33">
        <w:rPr>
          <w:rFonts w:ascii="Arial" w:hAnsi="Arial" w:cs="Arial"/>
          <w:color w:val="0D0D0D" w:themeColor="text1" w:themeTint="F2"/>
          <w:sz w:val="22"/>
          <w:lang w:val="es-ES"/>
        </w:rPr>
        <w:t xml:space="preserve"> el citado artículo 4 de la Ley 1882 de 2018, expidiendo el Decreto 2096 de 2019</w:t>
      </w:r>
      <w:r w:rsidR="00437E5A">
        <w:rPr>
          <w:rFonts w:ascii="Arial" w:hAnsi="Arial" w:cs="Arial"/>
          <w:color w:val="0D0D0D" w:themeColor="text1" w:themeTint="F2"/>
          <w:sz w:val="22"/>
          <w:lang w:val="es-ES"/>
        </w:rPr>
        <w:t>. A través de él se</w:t>
      </w:r>
      <w:r w:rsidRPr="005B2F33">
        <w:rPr>
          <w:rFonts w:ascii="Arial" w:hAnsi="Arial" w:cs="Arial"/>
          <w:color w:val="0D0D0D" w:themeColor="text1" w:themeTint="F2"/>
          <w:sz w:val="22"/>
          <w:lang w:val="es-ES"/>
        </w:rPr>
        <w:t xml:space="preserve"> </w:t>
      </w:r>
      <w:r w:rsidR="00437E5A">
        <w:rPr>
          <w:rFonts w:ascii="Arial" w:hAnsi="Arial" w:cs="Arial"/>
          <w:color w:val="0D0D0D" w:themeColor="text1" w:themeTint="F2"/>
          <w:sz w:val="22"/>
          <w:lang w:val="es-ES"/>
        </w:rPr>
        <w:t>autorizaron</w:t>
      </w:r>
      <w:r w:rsidRPr="005B2F33">
        <w:rPr>
          <w:rFonts w:ascii="Arial" w:hAnsi="Arial" w:cs="Arial"/>
          <w:color w:val="0D0D0D" w:themeColor="text1" w:themeTint="F2"/>
          <w:sz w:val="22"/>
          <w:lang w:val="es-ES"/>
        </w:rPr>
        <w:t xml:space="preserve">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 para procesos de contratación de obra pública de infraestructura de transporte adelantados en la modalidad de selección abreviada de menor cuantía</w:t>
      </w:r>
      <w:r w:rsidR="005210DF">
        <w:rPr>
          <w:rFonts w:ascii="Arial" w:hAnsi="Arial" w:cs="Arial"/>
          <w:color w:val="0D0D0D" w:themeColor="text1" w:themeTint="F2"/>
          <w:sz w:val="22"/>
          <w:lang w:val="es-ES"/>
        </w:rPr>
        <w:t xml:space="preserve">. Este reglamento </w:t>
      </w:r>
      <w:r w:rsidRPr="005B2F33">
        <w:rPr>
          <w:rFonts w:ascii="Arial" w:hAnsi="Arial" w:cs="Arial"/>
          <w:color w:val="0D0D0D" w:themeColor="text1" w:themeTint="F2"/>
          <w:sz w:val="22"/>
          <w:lang w:val="es-ES"/>
        </w:rPr>
        <w:t xml:space="preserve">adicionó la Subsección 2 a la Sección 6 </w:t>
      </w:r>
      <w:r w:rsidRPr="005B2F33">
        <w:rPr>
          <w:rFonts w:ascii="Arial" w:hAnsi="Arial" w:cs="Arial"/>
          <w:color w:val="0D0D0D" w:themeColor="text1" w:themeTint="F2"/>
          <w:sz w:val="22"/>
        </w:rPr>
        <w:t xml:space="preserve">del Capítulo 2 del Título 1 de la parte 2 del Libro 2 </w:t>
      </w:r>
      <w:r w:rsidRPr="005B2F33">
        <w:rPr>
          <w:rFonts w:ascii="Arial" w:hAnsi="Arial" w:cs="Arial"/>
          <w:color w:val="0D0D0D" w:themeColor="text1" w:themeTint="F2"/>
          <w:sz w:val="22"/>
          <w:lang w:val="es-ES"/>
        </w:rPr>
        <w:t>del Decreto 1082 de 2015</w:t>
      </w:r>
      <w:r w:rsidRPr="005B2F33">
        <w:rPr>
          <w:rFonts w:ascii="Arial" w:hAnsi="Arial" w:cs="Arial"/>
          <w:color w:val="0D0D0D" w:themeColor="text1" w:themeTint="F2"/>
          <w:sz w:val="22"/>
        </w:rPr>
        <w:t>.</w:t>
      </w:r>
    </w:p>
    <w:p w14:paraId="4924DD34" w14:textId="45A9B260" w:rsidR="00572AC3" w:rsidRDefault="00572AC3" w:rsidP="00572AC3">
      <w:pPr>
        <w:spacing w:before="120" w:after="120" w:line="276" w:lineRule="auto"/>
        <w:jc w:val="both"/>
        <w:rPr>
          <w:rFonts w:ascii="Arial" w:eastAsia="Calibri" w:hAnsi="Arial" w:cs="Arial"/>
          <w:bCs/>
          <w:color w:val="0D0D0D" w:themeColor="text1" w:themeTint="F2"/>
          <w:sz w:val="22"/>
        </w:rPr>
      </w:pPr>
      <w:r w:rsidRPr="005B2F33">
        <w:rPr>
          <w:rFonts w:ascii="Arial" w:eastAsia="Calibri" w:hAnsi="Arial" w:cs="Arial"/>
          <w:bCs/>
          <w:color w:val="0D0D0D" w:themeColor="text1" w:themeTint="F2"/>
          <w:sz w:val="22"/>
        </w:rPr>
        <w:tab/>
      </w:r>
      <w:r>
        <w:rPr>
          <w:rFonts w:ascii="Arial" w:eastAsia="Calibri" w:hAnsi="Arial" w:cs="Arial"/>
          <w:bCs/>
          <w:color w:val="0D0D0D" w:themeColor="text1" w:themeTint="F2"/>
          <w:sz w:val="22"/>
        </w:rPr>
        <w:t>E</w:t>
      </w:r>
      <w:r w:rsidRPr="005B2F33">
        <w:rPr>
          <w:rFonts w:ascii="Arial" w:eastAsia="Calibri" w:hAnsi="Arial" w:cs="Arial"/>
          <w:bCs/>
          <w:color w:val="0D0D0D" w:themeColor="text1" w:themeTint="F2"/>
          <w:sz w:val="22"/>
        </w:rPr>
        <w:t>l artículo 2.2.1.2.6.2.2</w:t>
      </w:r>
      <w:r w:rsidRPr="00BA4FEC">
        <w:rPr>
          <w:rFonts w:ascii="Arial" w:eastAsia="Calibri" w:hAnsi="Arial" w:cs="Arial"/>
          <w:bCs/>
          <w:color w:val="0D0D0D" w:themeColor="text1" w:themeTint="F2"/>
          <w:sz w:val="22"/>
        </w:rPr>
        <w:t xml:space="preserve"> </w:t>
      </w:r>
      <w:r w:rsidR="005D20EC">
        <w:rPr>
          <w:rFonts w:ascii="Arial" w:eastAsia="Calibri" w:hAnsi="Arial" w:cs="Arial"/>
          <w:bCs/>
          <w:color w:val="0D0D0D" w:themeColor="text1" w:themeTint="F2"/>
          <w:sz w:val="22"/>
        </w:rPr>
        <w:t>d</w:t>
      </w:r>
      <w:r>
        <w:rPr>
          <w:rFonts w:ascii="Arial" w:eastAsia="Calibri" w:hAnsi="Arial" w:cs="Arial"/>
          <w:bCs/>
          <w:color w:val="0D0D0D" w:themeColor="text1" w:themeTint="F2"/>
          <w:sz w:val="22"/>
        </w:rPr>
        <w:t>e</w:t>
      </w:r>
      <w:r w:rsidRPr="005B2F33">
        <w:rPr>
          <w:rFonts w:ascii="Arial" w:eastAsia="Calibri" w:hAnsi="Arial" w:cs="Arial"/>
          <w:bCs/>
          <w:color w:val="0D0D0D" w:themeColor="text1" w:themeTint="F2"/>
          <w:sz w:val="22"/>
        </w:rPr>
        <w:t xml:space="preserve">l Decreto 1082 de 2015 contiene el listado de los </w:t>
      </w:r>
      <w:r>
        <w:rPr>
          <w:rFonts w:ascii="Arial" w:eastAsia="Calibri" w:hAnsi="Arial" w:cs="Arial"/>
          <w:bCs/>
          <w:color w:val="0D0D0D" w:themeColor="text1" w:themeTint="F2"/>
          <w:sz w:val="22"/>
        </w:rPr>
        <w:t>d</w:t>
      </w:r>
      <w:r w:rsidRPr="005B2F33">
        <w:rPr>
          <w:rFonts w:ascii="Arial" w:eastAsia="Calibri" w:hAnsi="Arial" w:cs="Arial"/>
          <w:bCs/>
          <w:color w:val="0D0D0D" w:themeColor="text1" w:themeTint="F2"/>
          <w:sz w:val="22"/>
        </w:rPr>
        <w:t xml:space="preserve">ocumentos </w:t>
      </w:r>
      <w:r>
        <w:rPr>
          <w:rFonts w:ascii="Arial" w:eastAsia="Calibri" w:hAnsi="Arial" w:cs="Arial"/>
          <w:bCs/>
          <w:color w:val="0D0D0D" w:themeColor="text1" w:themeTint="F2"/>
          <w:sz w:val="22"/>
        </w:rPr>
        <w:t>t</w:t>
      </w:r>
      <w:r w:rsidRPr="005B2F33">
        <w:rPr>
          <w:rFonts w:ascii="Arial" w:eastAsia="Calibri" w:hAnsi="Arial" w:cs="Arial"/>
          <w:bCs/>
          <w:color w:val="0D0D0D" w:themeColor="text1" w:themeTint="F2"/>
          <w:sz w:val="22"/>
        </w:rPr>
        <w:t xml:space="preserve">ipo aplicables a los </w:t>
      </w:r>
      <w:r w:rsidRPr="005B2F33">
        <w:rPr>
          <w:rFonts w:ascii="Arial" w:hAnsi="Arial" w:cs="Arial"/>
          <w:color w:val="0D0D0D" w:themeColor="text1" w:themeTint="F2"/>
          <w:sz w:val="22"/>
        </w:rPr>
        <w:t>procesos de selección abreviada de menor cuantía para la contratación de obra pública de infraestructura de transporte</w:t>
      </w:r>
      <w:r w:rsidR="005210DF">
        <w:rPr>
          <w:rFonts w:ascii="Arial" w:eastAsia="Calibri" w:hAnsi="Arial" w:cs="Arial"/>
          <w:bCs/>
          <w:color w:val="0D0D0D" w:themeColor="text1" w:themeTint="F2"/>
          <w:sz w:val="22"/>
        </w:rPr>
        <w:t>. Además,</w:t>
      </w:r>
      <w:r w:rsidRPr="005B2F33">
        <w:rPr>
          <w:rFonts w:ascii="Arial" w:eastAsia="Calibri" w:hAnsi="Arial" w:cs="Arial"/>
          <w:bCs/>
          <w:color w:val="0D0D0D" w:themeColor="text1" w:themeTint="F2"/>
          <w:sz w:val="22"/>
        </w:rPr>
        <w:t xml:space="preserve"> el </w:t>
      </w:r>
      <w:r w:rsidRPr="005B2F33">
        <w:rPr>
          <w:rFonts w:ascii="Arial" w:hAnsi="Arial" w:cs="Arial"/>
          <w:color w:val="0D0D0D" w:themeColor="text1" w:themeTint="F2"/>
          <w:sz w:val="22"/>
        </w:rPr>
        <w:t xml:space="preserve">2.2.1.2.6.2.3 </w:t>
      </w:r>
      <w:r w:rsidR="005210DF" w:rsidRPr="005210DF">
        <w:rPr>
          <w:rFonts w:ascii="Arial" w:hAnsi="Arial" w:cs="Arial"/>
          <w:i/>
          <w:iCs/>
          <w:color w:val="0D0D0D" w:themeColor="text1" w:themeTint="F2"/>
          <w:sz w:val="22"/>
        </w:rPr>
        <w:t>ibidem</w:t>
      </w:r>
      <w:r w:rsidR="005210DF">
        <w:rPr>
          <w:rFonts w:ascii="Arial" w:hAnsi="Arial" w:cs="Arial"/>
          <w:color w:val="0D0D0D" w:themeColor="text1" w:themeTint="F2"/>
          <w:sz w:val="22"/>
        </w:rPr>
        <w:t xml:space="preserve"> </w:t>
      </w:r>
      <w:r w:rsidRPr="005B2F33">
        <w:rPr>
          <w:rFonts w:ascii="Arial" w:hAnsi="Arial" w:cs="Arial"/>
          <w:color w:val="0D0D0D" w:themeColor="text1" w:themeTint="F2"/>
          <w:sz w:val="22"/>
          <w:lang w:val="es-ES"/>
        </w:rPr>
        <w:t xml:space="preserve">facultó a la Agencia Nacional de Contratación Pública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para que en coordinación con el Departamento Nacional de Planeación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DNP</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y el Ministerio de Transporte, desarrollara e implementara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w:t>
      </w:r>
      <w:r w:rsidR="005210DF">
        <w:rPr>
          <w:rFonts w:ascii="Arial" w:hAnsi="Arial" w:cs="Arial"/>
          <w:color w:val="0D0D0D" w:themeColor="text1" w:themeTint="F2"/>
          <w:sz w:val="22"/>
          <w:lang w:val="es-ES"/>
        </w:rPr>
        <w:t>. La entidad ejerció esta competencia mediante</w:t>
      </w:r>
      <w:r w:rsidRPr="005B2F33">
        <w:rPr>
          <w:rFonts w:ascii="Arial" w:hAnsi="Arial" w:cs="Arial"/>
          <w:color w:val="0D0D0D" w:themeColor="text1" w:themeTint="F2"/>
          <w:sz w:val="22"/>
          <w:lang w:val="es-ES"/>
        </w:rPr>
        <w:t xml:space="preserve"> la expedición de la Resolución No. 044 del 14 de febrero de 2020 que implementó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 para esta modalidad de selección</w:t>
      </w:r>
      <w:r>
        <w:rPr>
          <w:rFonts w:ascii="Arial" w:hAnsi="Arial" w:cs="Arial"/>
          <w:color w:val="0D0D0D" w:themeColor="text1" w:themeTint="F2"/>
          <w:sz w:val="22"/>
          <w:lang w:val="es-ES"/>
        </w:rPr>
        <w:t>.</w:t>
      </w:r>
      <w:r w:rsidRPr="005B2F33">
        <w:rPr>
          <w:rFonts w:ascii="Arial" w:eastAsia="Calibri" w:hAnsi="Arial" w:cs="Arial"/>
          <w:bCs/>
          <w:color w:val="0D0D0D" w:themeColor="text1" w:themeTint="F2"/>
          <w:sz w:val="22"/>
        </w:rPr>
        <w:t xml:space="preserve"> </w:t>
      </w:r>
    </w:p>
    <w:p w14:paraId="2646E531" w14:textId="330D1BD4" w:rsidR="00572AC3" w:rsidRDefault="00572AC3" w:rsidP="00572AC3">
      <w:pPr>
        <w:spacing w:before="120" w:after="120" w:line="276" w:lineRule="auto"/>
        <w:ind w:firstLine="708"/>
        <w:jc w:val="both"/>
        <w:rPr>
          <w:rFonts w:ascii="Arial" w:hAnsi="Arial" w:cs="Arial"/>
          <w:color w:val="0D0D0D" w:themeColor="text1" w:themeTint="F2"/>
          <w:sz w:val="22"/>
        </w:rPr>
      </w:pPr>
      <w:r>
        <w:rPr>
          <w:rFonts w:ascii="Arial" w:eastAsia="Calibri" w:hAnsi="Arial" w:cs="Arial"/>
          <w:bCs/>
          <w:color w:val="0D0D0D" w:themeColor="text1" w:themeTint="F2"/>
          <w:sz w:val="22"/>
        </w:rPr>
        <w:t xml:space="preserve">Finalmente, </w:t>
      </w:r>
      <w:r>
        <w:rPr>
          <w:rFonts w:ascii="Arial" w:hAnsi="Arial" w:cs="Arial"/>
          <w:color w:val="0D0D0D" w:themeColor="text1" w:themeTint="F2"/>
          <w:sz w:val="22"/>
          <w:lang w:val="es-ES"/>
        </w:rPr>
        <w:t>e</w:t>
      </w:r>
      <w:r w:rsidRPr="005B2F33">
        <w:rPr>
          <w:rFonts w:ascii="Arial" w:hAnsi="Arial" w:cs="Arial"/>
          <w:color w:val="0D0D0D" w:themeColor="text1" w:themeTint="F2"/>
          <w:sz w:val="22"/>
          <w:lang w:val="es-ES"/>
        </w:rPr>
        <w:t xml:space="preserve">l Gobierno Nacional ejerció la competencia </w:t>
      </w:r>
      <w:r>
        <w:rPr>
          <w:rFonts w:ascii="Arial" w:hAnsi="Arial" w:cs="Arial"/>
          <w:color w:val="0D0D0D" w:themeColor="text1" w:themeTint="F2"/>
          <w:sz w:val="22"/>
          <w:lang w:val="es-ES"/>
        </w:rPr>
        <w:t>prevista en</w:t>
      </w:r>
      <w:r w:rsidRPr="005B2F33">
        <w:rPr>
          <w:rFonts w:ascii="Arial" w:hAnsi="Arial" w:cs="Arial"/>
          <w:color w:val="0D0D0D" w:themeColor="text1" w:themeTint="F2"/>
          <w:sz w:val="22"/>
          <w:lang w:val="es-ES"/>
        </w:rPr>
        <w:t xml:space="preserve"> el citado artículo 4 de la Ley 1882 de 2018, expidiendo el Decreto </w:t>
      </w:r>
      <w:r>
        <w:rPr>
          <w:rFonts w:ascii="Arial" w:hAnsi="Arial" w:cs="Arial"/>
          <w:color w:val="0D0D0D" w:themeColor="text1" w:themeTint="F2"/>
          <w:sz w:val="22"/>
          <w:lang w:val="es-ES"/>
        </w:rPr>
        <w:t>594 de 2020,</w:t>
      </w:r>
      <w:r w:rsidRPr="005B2F33">
        <w:rPr>
          <w:rFonts w:ascii="Arial" w:hAnsi="Arial" w:cs="Arial"/>
          <w:color w:val="0D0D0D" w:themeColor="text1" w:themeTint="F2"/>
          <w:sz w:val="22"/>
          <w:lang w:val="es-ES"/>
        </w:rPr>
        <w:t xml:space="preserve"> el cual adoptó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 xml:space="preserve">ipo para procesos de contratación de obra pública de infraestructura de transporte adelantados en la modalidad de </w:t>
      </w:r>
      <w:r>
        <w:rPr>
          <w:rFonts w:ascii="Arial" w:hAnsi="Arial" w:cs="Arial"/>
          <w:color w:val="0D0D0D" w:themeColor="text1" w:themeTint="F2"/>
          <w:sz w:val="22"/>
          <w:lang w:val="es-ES"/>
        </w:rPr>
        <w:t>mínima cuantía</w:t>
      </w:r>
      <w:r w:rsidR="00CE0E21">
        <w:rPr>
          <w:rFonts w:ascii="Arial" w:hAnsi="Arial" w:cs="Arial"/>
          <w:color w:val="0D0D0D" w:themeColor="text1" w:themeTint="F2"/>
          <w:sz w:val="22"/>
          <w:lang w:val="es-ES"/>
        </w:rPr>
        <w:t>. Este reglamento</w:t>
      </w:r>
      <w:r w:rsidRPr="005B2F33">
        <w:rPr>
          <w:rFonts w:ascii="Arial" w:hAnsi="Arial" w:cs="Arial"/>
          <w:color w:val="0D0D0D" w:themeColor="text1" w:themeTint="F2"/>
          <w:sz w:val="22"/>
          <w:lang w:val="es-ES"/>
        </w:rPr>
        <w:t xml:space="preserve"> adicionó la Subsección </w:t>
      </w:r>
      <w:r>
        <w:rPr>
          <w:rFonts w:ascii="Arial" w:hAnsi="Arial" w:cs="Arial"/>
          <w:color w:val="0D0D0D" w:themeColor="text1" w:themeTint="F2"/>
          <w:sz w:val="22"/>
          <w:lang w:val="es-ES"/>
        </w:rPr>
        <w:t>3</w:t>
      </w:r>
      <w:r w:rsidRPr="005B2F33">
        <w:rPr>
          <w:rFonts w:ascii="Arial" w:hAnsi="Arial" w:cs="Arial"/>
          <w:color w:val="0D0D0D" w:themeColor="text1" w:themeTint="F2"/>
          <w:sz w:val="22"/>
          <w:lang w:val="es-ES"/>
        </w:rPr>
        <w:t xml:space="preserve"> a la Sección 6 </w:t>
      </w:r>
      <w:r w:rsidRPr="005B2F33">
        <w:rPr>
          <w:rFonts w:ascii="Arial" w:hAnsi="Arial" w:cs="Arial"/>
          <w:color w:val="0D0D0D" w:themeColor="text1" w:themeTint="F2"/>
          <w:sz w:val="22"/>
        </w:rPr>
        <w:t xml:space="preserve">del Capítulo 2 del Título 1 de la parte 2 del Libro 2 </w:t>
      </w:r>
      <w:r w:rsidRPr="005B2F33">
        <w:rPr>
          <w:rFonts w:ascii="Arial" w:hAnsi="Arial" w:cs="Arial"/>
          <w:color w:val="0D0D0D" w:themeColor="text1" w:themeTint="F2"/>
          <w:sz w:val="22"/>
          <w:lang w:val="es-ES"/>
        </w:rPr>
        <w:t>del Decreto 1082 de 2015</w:t>
      </w:r>
      <w:r w:rsidRPr="005B2F33">
        <w:rPr>
          <w:rFonts w:ascii="Arial" w:hAnsi="Arial" w:cs="Arial"/>
          <w:color w:val="0D0D0D" w:themeColor="text1" w:themeTint="F2"/>
          <w:sz w:val="22"/>
        </w:rPr>
        <w:t>.</w:t>
      </w:r>
    </w:p>
    <w:p w14:paraId="08D33F5A" w14:textId="217A889A" w:rsidR="00572AC3" w:rsidRPr="005B2F33" w:rsidRDefault="00572AC3" w:rsidP="00572AC3">
      <w:pPr>
        <w:spacing w:before="120" w:after="120" w:line="276" w:lineRule="auto"/>
        <w:ind w:firstLine="708"/>
        <w:jc w:val="both"/>
        <w:rPr>
          <w:rFonts w:ascii="Arial" w:hAnsi="Arial" w:cs="Arial"/>
          <w:color w:val="0D0D0D" w:themeColor="text1" w:themeTint="F2"/>
          <w:sz w:val="22"/>
          <w:lang w:val="es-ES"/>
        </w:rPr>
      </w:pPr>
      <w:r w:rsidRPr="003C6AE8">
        <w:rPr>
          <w:rFonts w:ascii="Arial" w:eastAsia="Calibri" w:hAnsi="Arial" w:cs="Arial"/>
          <w:bCs/>
          <w:color w:val="0D0D0D" w:themeColor="text1" w:themeTint="F2"/>
          <w:sz w:val="22"/>
        </w:rPr>
        <w:t>El artículo 2.2.1.2.6.3.2 del Decreto 1082 de 2015</w:t>
      </w:r>
      <w:r w:rsidRPr="005B2F33">
        <w:rPr>
          <w:rFonts w:ascii="Arial" w:eastAsia="Calibri" w:hAnsi="Arial" w:cs="Arial"/>
          <w:bCs/>
          <w:color w:val="0D0D0D" w:themeColor="text1" w:themeTint="F2"/>
          <w:sz w:val="22"/>
        </w:rPr>
        <w:t xml:space="preserve"> contiene el listado de los </w:t>
      </w:r>
      <w:r>
        <w:rPr>
          <w:rFonts w:ascii="Arial" w:eastAsia="Calibri" w:hAnsi="Arial" w:cs="Arial"/>
          <w:bCs/>
          <w:color w:val="0D0D0D" w:themeColor="text1" w:themeTint="F2"/>
          <w:sz w:val="22"/>
        </w:rPr>
        <w:t>d</w:t>
      </w:r>
      <w:r w:rsidRPr="005B2F33">
        <w:rPr>
          <w:rFonts w:ascii="Arial" w:eastAsia="Calibri" w:hAnsi="Arial" w:cs="Arial"/>
          <w:bCs/>
          <w:color w:val="0D0D0D" w:themeColor="text1" w:themeTint="F2"/>
          <w:sz w:val="22"/>
        </w:rPr>
        <w:t xml:space="preserve">ocumentos </w:t>
      </w:r>
      <w:r>
        <w:rPr>
          <w:rFonts w:ascii="Arial" w:eastAsia="Calibri" w:hAnsi="Arial" w:cs="Arial"/>
          <w:bCs/>
          <w:color w:val="0D0D0D" w:themeColor="text1" w:themeTint="F2"/>
          <w:sz w:val="22"/>
        </w:rPr>
        <w:t>t</w:t>
      </w:r>
      <w:r w:rsidRPr="005B2F33">
        <w:rPr>
          <w:rFonts w:ascii="Arial" w:eastAsia="Calibri" w:hAnsi="Arial" w:cs="Arial"/>
          <w:bCs/>
          <w:color w:val="0D0D0D" w:themeColor="text1" w:themeTint="F2"/>
          <w:sz w:val="22"/>
        </w:rPr>
        <w:t xml:space="preserve">ipo aplicables a los </w:t>
      </w:r>
      <w:r w:rsidRPr="005B2F33">
        <w:rPr>
          <w:rFonts w:ascii="Arial" w:hAnsi="Arial" w:cs="Arial"/>
          <w:color w:val="0D0D0D" w:themeColor="text1" w:themeTint="F2"/>
          <w:sz w:val="22"/>
        </w:rPr>
        <w:t xml:space="preserve">procesos de </w:t>
      </w:r>
      <w:r>
        <w:rPr>
          <w:rFonts w:ascii="Arial" w:hAnsi="Arial" w:cs="Arial"/>
          <w:color w:val="0D0D0D" w:themeColor="text1" w:themeTint="F2"/>
          <w:sz w:val="22"/>
        </w:rPr>
        <w:t>mínima</w:t>
      </w:r>
      <w:r w:rsidRPr="005B2F33">
        <w:rPr>
          <w:rFonts w:ascii="Arial" w:hAnsi="Arial" w:cs="Arial"/>
          <w:color w:val="0D0D0D" w:themeColor="text1" w:themeTint="F2"/>
          <w:sz w:val="22"/>
        </w:rPr>
        <w:t xml:space="preserve"> cuantía para la contratación de </w:t>
      </w:r>
      <w:r w:rsidRPr="005B2F33">
        <w:rPr>
          <w:rFonts w:ascii="Arial" w:hAnsi="Arial" w:cs="Arial"/>
          <w:color w:val="0D0D0D" w:themeColor="text1" w:themeTint="F2"/>
          <w:sz w:val="22"/>
        </w:rPr>
        <w:lastRenderedPageBreak/>
        <w:t>obra pública de infraestructura de transporte</w:t>
      </w:r>
      <w:r w:rsidRPr="005B2F33">
        <w:rPr>
          <w:rFonts w:ascii="Arial" w:eastAsia="Calibri" w:hAnsi="Arial" w:cs="Arial"/>
          <w:bCs/>
          <w:color w:val="0D0D0D" w:themeColor="text1" w:themeTint="F2"/>
          <w:sz w:val="22"/>
        </w:rPr>
        <w:t xml:space="preserve">, mientras que el </w:t>
      </w:r>
      <w:r w:rsidRPr="003C6AE8">
        <w:rPr>
          <w:rFonts w:ascii="Arial" w:hAnsi="Arial" w:cs="Arial"/>
          <w:color w:val="0D0D0D" w:themeColor="text1" w:themeTint="F2"/>
          <w:sz w:val="22"/>
        </w:rPr>
        <w:t>2.2.1.2.6.3.3</w:t>
      </w:r>
      <w:r w:rsidRPr="005B2F33">
        <w:rPr>
          <w:rFonts w:ascii="Arial" w:hAnsi="Arial" w:cs="Arial"/>
          <w:color w:val="0D0D0D" w:themeColor="text1" w:themeTint="F2"/>
          <w:sz w:val="22"/>
        </w:rPr>
        <w:t xml:space="preserve"> </w:t>
      </w:r>
      <w:r w:rsidRPr="005B2F33">
        <w:rPr>
          <w:rFonts w:ascii="Arial" w:hAnsi="Arial" w:cs="Arial"/>
          <w:color w:val="0D0D0D" w:themeColor="text1" w:themeTint="F2"/>
          <w:sz w:val="22"/>
          <w:lang w:val="es-ES"/>
        </w:rPr>
        <w:t xml:space="preserve">facultó a la Agencia Nacional de Contratación Pública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para que en coordinación con el Departamento Nacional de Planeación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DNP</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y el Ministerio de Transporte, desarrollara e implementara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w:t>
      </w:r>
      <w:r w:rsidR="00CE0E21">
        <w:rPr>
          <w:rFonts w:ascii="Arial" w:hAnsi="Arial" w:cs="Arial"/>
          <w:color w:val="0D0D0D" w:themeColor="text1" w:themeTint="F2"/>
          <w:sz w:val="22"/>
          <w:lang w:val="es-ES"/>
        </w:rPr>
        <w:t>. Esta</w:t>
      </w:r>
      <w:r w:rsidRPr="005B2F33">
        <w:rPr>
          <w:rFonts w:ascii="Arial" w:hAnsi="Arial" w:cs="Arial"/>
          <w:color w:val="0D0D0D" w:themeColor="text1" w:themeTint="F2"/>
          <w:sz w:val="22"/>
          <w:lang w:val="es-ES"/>
        </w:rPr>
        <w:t xml:space="preserve"> competencia </w:t>
      </w:r>
      <w:r w:rsidR="00CE0E21">
        <w:rPr>
          <w:rFonts w:ascii="Arial" w:hAnsi="Arial" w:cs="Arial"/>
          <w:color w:val="0D0D0D" w:themeColor="text1" w:themeTint="F2"/>
          <w:sz w:val="22"/>
          <w:lang w:val="es-ES"/>
        </w:rPr>
        <w:t xml:space="preserve">fue </w:t>
      </w:r>
      <w:r w:rsidRPr="005B2F33">
        <w:rPr>
          <w:rFonts w:ascii="Arial" w:hAnsi="Arial" w:cs="Arial"/>
          <w:color w:val="0D0D0D" w:themeColor="text1" w:themeTint="F2"/>
          <w:sz w:val="22"/>
          <w:lang w:val="es-ES"/>
        </w:rPr>
        <w:t xml:space="preserve">ejercida mediante la expedición de la Resolución No. </w:t>
      </w:r>
      <w:r>
        <w:rPr>
          <w:rFonts w:ascii="Arial" w:hAnsi="Arial" w:cs="Arial"/>
          <w:color w:val="0D0D0D" w:themeColor="text1" w:themeTint="F2"/>
          <w:sz w:val="22"/>
          <w:lang w:val="es-ES"/>
        </w:rPr>
        <w:t>094</w:t>
      </w:r>
      <w:r w:rsidRPr="005B2F33">
        <w:rPr>
          <w:rFonts w:ascii="Arial" w:hAnsi="Arial" w:cs="Arial"/>
          <w:color w:val="0D0D0D" w:themeColor="text1" w:themeTint="F2"/>
          <w:sz w:val="22"/>
          <w:lang w:val="es-ES"/>
        </w:rPr>
        <w:t xml:space="preserve"> del </w:t>
      </w:r>
      <w:r>
        <w:rPr>
          <w:rFonts w:ascii="Arial" w:hAnsi="Arial" w:cs="Arial"/>
          <w:color w:val="0D0D0D" w:themeColor="text1" w:themeTint="F2"/>
          <w:sz w:val="22"/>
          <w:lang w:val="es-ES"/>
        </w:rPr>
        <w:t>21 de mayo</w:t>
      </w:r>
      <w:r w:rsidRPr="005B2F33">
        <w:rPr>
          <w:rFonts w:ascii="Arial" w:hAnsi="Arial" w:cs="Arial"/>
          <w:color w:val="0D0D0D" w:themeColor="text1" w:themeTint="F2"/>
          <w:sz w:val="22"/>
          <w:lang w:val="es-ES"/>
        </w:rPr>
        <w:t xml:space="preserve"> de 2020 que implementó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 para esta modalidad de selección</w:t>
      </w:r>
      <w:r w:rsidRPr="005B2F33">
        <w:rPr>
          <w:rFonts w:ascii="Arial" w:eastAsia="Calibri" w:hAnsi="Arial" w:cs="Arial"/>
          <w:bCs/>
          <w:color w:val="0D0D0D" w:themeColor="text1" w:themeTint="F2"/>
          <w:sz w:val="22"/>
        </w:rPr>
        <w:t>.</w:t>
      </w:r>
    </w:p>
    <w:p w14:paraId="2C12B091" w14:textId="53CE6106" w:rsidR="00433A49" w:rsidRPr="0075327A" w:rsidRDefault="008D6ABA" w:rsidP="0075327A">
      <w:pPr>
        <w:spacing w:before="120" w:after="120" w:line="276" w:lineRule="auto"/>
        <w:ind w:firstLine="703"/>
        <w:jc w:val="both"/>
        <w:rPr>
          <w:rFonts w:ascii="Arial" w:hAnsi="Arial" w:cs="Arial"/>
          <w:color w:val="0D0D0D" w:themeColor="text1" w:themeTint="F2"/>
          <w:sz w:val="22"/>
        </w:rPr>
      </w:pPr>
      <w:r>
        <w:rPr>
          <w:rFonts w:ascii="Arial" w:hAnsi="Arial" w:cs="Arial"/>
          <w:color w:val="0D0D0D" w:themeColor="text1" w:themeTint="F2"/>
          <w:sz w:val="22"/>
        </w:rPr>
        <w:t>En lo que respecta al alcance</w:t>
      </w:r>
      <w:r w:rsidR="00CE0E21">
        <w:rPr>
          <w:rFonts w:ascii="Arial" w:hAnsi="Arial" w:cs="Arial"/>
          <w:color w:val="0D0D0D" w:themeColor="text1" w:themeTint="F2"/>
          <w:sz w:val="22"/>
        </w:rPr>
        <w:t>,</w:t>
      </w:r>
      <w:r>
        <w:rPr>
          <w:rFonts w:ascii="Arial" w:hAnsi="Arial" w:cs="Arial"/>
          <w:color w:val="0D0D0D" w:themeColor="text1" w:themeTint="F2"/>
          <w:sz w:val="22"/>
        </w:rPr>
        <w:t xml:space="preserve"> </w:t>
      </w:r>
      <w:r w:rsidR="001F3CE1">
        <w:rPr>
          <w:rFonts w:ascii="Arial" w:hAnsi="Arial" w:cs="Arial"/>
          <w:color w:val="0D0D0D" w:themeColor="text1" w:themeTint="F2"/>
          <w:sz w:val="22"/>
        </w:rPr>
        <w:t>la parte introductoria</w:t>
      </w:r>
      <w:r w:rsidR="00CE0E21">
        <w:rPr>
          <w:rFonts w:ascii="Arial" w:hAnsi="Arial" w:cs="Arial"/>
          <w:color w:val="0D0D0D" w:themeColor="text1" w:themeTint="F2"/>
          <w:sz w:val="22"/>
        </w:rPr>
        <w:t xml:space="preserve"> de los documentos base de licitación pública y selección abreviada de menor cuantía, así como la invitación de la mínima cuantía, disponen que </w:t>
      </w:r>
      <w:r w:rsidR="00437E5A">
        <w:rPr>
          <w:rFonts w:ascii="Arial" w:hAnsi="Arial" w:cs="Arial"/>
          <w:color w:val="0D0D0D" w:themeColor="text1" w:themeTint="F2"/>
          <w:sz w:val="22"/>
        </w:rPr>
        <w:t>los documentos tipo se aplican a los procedimientos de selección para</w:t>
      </w:r>
      <w:r w:rsidR="00437E5A" w:rsidRPr="00437E5A">
        <w:rPr>
          <w:rFonts w:ascii="Arial" w:hAnsi="Arial" w:cs="Arial"/>
          <w:color w:val="0D0D0D" w:themeColor="text1" w:themeTint="F2"/>
          <w:sz w:val="22"/>
        </w:rPr>
        <w:t xml:space="preserve"> obra pública de infraestructura de transporte que correspondan a las actividades definidas en la </w:t>
      </w:r>
      <w:r w:rsidR="00437E5A">
        <w:rPr>
          <w:rFonts w:ascii="Arial" w:hAnsi="Arial" w:cs="Arial"/>
          <w:color w:val="0D0D0D" w:themeColor="text1" w:themeTint="F2"/>
          <w:sz w:val="22"/>
        </w:rPr>
        <w:t>«</w:t>
      </w:r>
      <w:r w:rsidR="00437E5A" w:rsidRPr="00437E5A">
        <w:rPr>
          <w:rFonts w:ascii="Arial" w:hAnsi="Arial" w:cs="Arial"/>
          <w:color w:val="0D0D0D" w:themeColor="text1" w:themeTint="F2"/>
          <w:sz w:val="22"/>
        </w:rPr>
        <w:t>Matriz 1 – Experiencia</w:t>
      </w:r>
      <w:r w:rsidR="00437E5A">
        <w:rPr>
          <w:rFonts w:ascii="Arial" w:hAnsi="Arial" w:cs="Arial"/>
          <w:color w:val="0D0D0D" w:themeColor="text1" w:themeTint="F2"/>
          <w:sz w:val="22"/>
        </w:rPr>
        <w:t>»</w:t>
      </w:r>
      <w:r w:rsidR="00437E5A" w:rsidRPr="00437E5A">
        <w:rPr>
          <w:rFonts w:ascii="Arial" w:hAnsi="Arial" w:cs="Arial"/>
          <w:color w:val="0D0D0D" w:themeColor="text1" w:themeTint="F2"/>
          <w:sz w:val="22"/>
        </w:rPr>
        <w:t xml:space="preserve">. </w:t>
      </w:r>
      <w:r w:rsidR="00437E5A">
        <w:rPr>
          <w:rFonts w:ascii="Arial" w:hAnsi="Arial" w:cs="Arial"/>
          <w:color w:val="0D0D0D" w:themeColor="text1" w:themeTint="F2"/>
          <w:sz w:val="22"/>
        </w:rPr>
        <w:t>En consecuencia</w:t>
      </w:r>
      <w:r w:rsidR="00437E5A" w:rsidRPr="00437E5A">
        <w:rPr>
          <w:rFonts w:ascii="Arial" w:hAnsi="Arial" w:cs="Arial"/>
          <w:color w:val="0D0D0D" w:themeColor="text1" w:themeTint="F2"/>
          <w:sz w:val="22"/>
        </w:rPr>
        <w:t>,</w:t>
      </w:r>
      <w:r w:rsidR="00437E5A">
        <w:rPr>
          <w:rFonts w:ascii="Arial" w:hAnsi="Arial" w:cs="Arial"/>
          <w:color w:val="0D0D0D" w:themeColor="text1" w:themeTint="F2"/>
          <w:sz w:val="22"/>
        </w:rPr>
        <w:t xml:space="preserve"> sin perjuicio de lo previsto en los artículos </w:t>
      </w:r>
      <w:r w:rsidR="00437E5A" w:rsidRPr="00CE0E21">
        <w:rPr>
          <w:rFonts w:ascii="Arial" w:hAnsi="Arial" w:cs="Arial"/>
          <w:color w:val="0D0D0D" w:themeColor="text1" w:themeTint="F2"/>
          <w:sz w:val="22"/>
        </w:rPr>
        <w:t>2.2.1.2.6.1.5</w:t>
      </w:r>
      <w:r w:rsidR="00437E5A">
        <w:rPr>
          <w:rFonts w:ascii="Arial" w:hAnsi="Arial" w:cs="Arial"/>
          <w:color w:val="0D0D0D" w:themeColor="text1" w:themeTint="F2"/>
          <w:sz w:val="22"/>
        </w:rPr>
        <w:t xml:space="preserve">, </w:t>
      </w:r>
      <w:r w:rsidR="00437E5A" w:rsidRPr="00CE0E21">
        <w:rPr>
          <w:rFonts w:ascii="Arial" w:hAnsi="Arial" w:cs="Arial"/>
          <w:color w:val="0D0D0D" w:themeColor="text1" w:themeTint="F2"/>
          <w:sz w:val="22"/>
        </w:rPr>
        <w:t>2.2.1.2.6.2.3</w:t>
      </w:r>
      <w:r w:rsidR="00437E5A">
        <w:rPr>
          <w:rFonts w:ascii="Arial" w:hAnsi="Arial" w:cs="Arial"/>
          <w:color w:val="0D0D0D" w:themeColor="text1" w:themeTint="F2"/>
          <w:sz w:val="22"/>
        </w:rPr>
        <w:t xml:space="preserve"> y </w:t>
      </w:r>
      <w:r w:rsidR="00437E5A" w:rsidRPr="00CE0E21">
        <w:rPr>
          <w:rFonts w:ascii="Arial" w:hAnsi="Arial" w:cs="Arial"/>
          <w:color w:val="0D0D0D" w:themeColor="text1" w:themeTint="F2"/>
          <w:sz w:val="22"/>
        </w:rPr>
        <w:t>2.2.1.2.6.3.5</w:t>
      </w:r>
      <w:r w:rsidR="00437E5A">
        <w:rPr>
          <w:rFonts w:ascii="Arial" w:hAnsi="Arial" w:cs="Arial"/>
          <w:color w:val="0D0D0D" w:themeColor="text1" w:themeTint="F2"/>
          <w:sz w:val="22"/>
        </w:rPr>
        <w:t xml:space="preserve"> del Decreto 1082 de 2015,</w:t>
      </w:r>
      <w:r w:rsidR="00437E5A" w:rsidRPr="00437E5A">
        <w:rPr>
          <w:rFonts w:ascii="Arial" w:hAnsi="Arial" w:cs="Arial"/>
          <w:color w:val="0D0D0D" w:themeColor="text1" w:themeTint="F2"/>
          <w:sz w:val="22"/>
        </w:rPr>
        <w:t xml:space="preserve"> </w:t>
      </w:r>
      <w:r w:rsidR="00437E5A">
        <w:rPr>
          <w:rFonts w:ascii="Arial" w:hAnsi="Arial" w:cs="Arial"/>
          <w:color w:val="0D0D0D" w:themeColor="text1" w:themeTint="F2"/>
          <w:sz w:val="22"/>
        </w:rPr>
        <w:t xml:space="preserve">para </w:t>
      </w:r>
      <w:r w:rsidR="00437E5A" w:rsidRPr="00437E5A">
        <w:rPr>
          <w:rFonts w:ascii="Arial" w:hAnsi="Arial" w:cs="Arial"/>
          <w:color w:val="0D0D0D" w:themeColor="text1" w:themeTint="F2"/>
          <w:sz w:val="22"/>
        </w:rPr>
        <w:t xml:space="preserve">las actividades de infraestructura de transporte </w:t>
      </w:r>
      <w:r w:rsidR="00437E5A">
        <w:rPr>
          <w:rFonts w:ascii="Arial" w:hAnsi="Arial" w:cs="Arial"/>
          <w:color w:val="0D0D0D" w:themeColor="text1" w:themeTint="F2"/>
          <w:sz w:val="22"/>
        </w:rPr>
        <w:t xml:space="preserve">no previstas en </w:t>
      </w:r>
      <w:r w:rsidR="0075327A">
        <w:rPr>
          <w:rFonts w:ascii="Arial" w:hAnsi="Arial" w:cs="Arial"/>
          <w:color w:val="0D0D0D" w:themeColor="text1" w:themeTint="F2"/>
          <w:sz w:val="22"/>
        </w:rPr>
        <w:t>esta</w:t>
      </w:r>
      <w:r w:rsidR="00437E5A">
        <w:rPr>
          <w:rFonts w:ascii="Arial" w:hAnsi="Arial" w:cs="Arial"/>
          <w:color w:val="0D0D0D" w:themeColor="text1" w:themeTint="F2"/>
          <w:sz w:val="22"/>
        </w:rPr>
        <w:t xml:space="preserve"> matriz</w:t>
      </w:r>
      <w:r w:rsidR="0075327A">
        <w:rPr>
          <w:rFonts w:ascii="Arial" w:hAnsi="Arial" w:cs="Arial"/>
          <w:color w:val="0D0D0D" w:themeColor="text1" w:themeTint="F2"/>
          <w:sz w:val="22"/>
        </w:rPr>
        <w:t xml:space="preserve"> no es obligatorio aplicar los documentos tipo.</w:t>
      </w:r>
      <w:r w:rsidR="00437E5A">
        <w:rPr>
          <w:rFonts w:ascii="Arial" w:hAnsi="Arial" w:cs="Arial"/>
          <w:color w:val="0D0D0D" w:themeColor="text1" w:themeTint="F2"/>
          <w:sz w:val="22"/>
        </w:rPr>
        <w:t xml:space="preserve"> </w:t>
      </w:r>
    </w:p>
    <w:p w14:paraId="501D6F79" w14:textId="04AED7E7" w:rsidR="00C86E7D" w:rsidRDefault="0075327A" w:rsidP="00532F51">
      <w:pPr>
        <w:spacing w:after="120" w:line="276" w:lineRule="auto"/>
        <w:ind w:firstLine="709"/>
        <w:jc w:val="both"/>
        <w:rPr>
          <w:rFonts w:ascii="Arial" w:hAnsi="Arial" w:cs="Arial"/>
          <w:color w:val="0D0D0D" w:themeColor="text1" w:themeTint="F2"/>
          <w:sz w:val="22"/>
        </w:rPr>
      </w:pPr>
      <w:r>
        <w:rPr>
          <w:rFonts w:ascii="Arial" w:hAnsi="Arial" w:cs="Arial"/>
          <w:color w:val="0D0D0D" w:themeColor="text1" w:themeTint="F2"/>
          <w:sz w:val="22"/>
        </w:rPr>
        <w:t>Concretamente, p</w:t>
      </w:r>
      <w:r w:rsidR="00433A49" w:rsidRPr="005B2F33">
        <w:rPr>
          <w:rFonts w:ascii="Arial" w:hAnsi="Arial" w:cs="Arial"/>
          <w:color w:val="0D0D0D" w:themeColor="text1" w:themeTint="F2"/>
          <w:sz w:val="22"/>
        </w:rPr>
        <w:t xml:space="preserve">ara determinar el ámbito de aplicación de los </w:t>
      </w:r>
      <w:r w:rsidR="00433A49">
        <w:rPr>
          <w:rFonts w:ascii="Arial" w:hAnsi="Arial" w:cs="Arial"/>
          <w:color w:val="0D0D0D" w:themeColor="text1" w:themeTint="F2"/>
          <w:sz w:val="22"/>
        </w:rPr>
        <w:t>d</w:t>
      </w:r>
      <w:r w:rsidR="00433A49" w:rsidRPr="005B2F33">
        <w:rPr>
          <w:rFonts w:ascii="Arial" w:hAnsi="Arial" w:cs="Arial"/>
          <w:color w:val="0D0D0D" w:themeColor="text1" w:themeTint="F2"/>
          <w:sz w:val="22"/>
        </w:rPr>
        <w:t xml:space="preserve">ocumentos </w:t>
      </w:r>
      <w:r w:rsidR="00433A49">
        <w:rPr>
          <w:rFonts w:ascii="Arial" w:hAnsi="Arial" w:cs="Arial"/>
          <w:color w:val="0D0D0D" w:themeColor="text1" w:themeTint="F2"/>
          <w:sz w:val="22"/>
        </w:rPr>
        <w:t>t</w:t>
      </w:r>
      <w:r w:rsidR="00433A49" w:rsidRPr="005B2F33">
        <w:rPr>
          <w:rFonts w:ascii="Arial" w:hAnsi="Arial" w:cs="Arial"/>
          <w:color w:val="0D0D0D" w:themeColor="text1" w:themeTint="F2"/>
          <w:sz w:val="22"/>
        </w:rPr>
        <w:t>ipo debe acudir</w:t>
      </w:r>
      <w:r w:rsidR="00433A49">
        <w:rPr>
          <w:rFonts w:ascii="Arial" w:hAnsi="Arial" w:cs="Arial"/>
          <w:color w:val="0D0D0D" w:themeColor="text1" w:themeTint="F2"/>
          <w:sz w:val="22"/>
        </w:rPr>
        <w:t>se</w:t>
      </w:r>
      <w:r w:rsidR="00433A49" w:rsidRPr="005B2F33">
        <w:rPr>
          <w:rFonts w:ascii="Arial" w:hAnsi="Arial" w:cs="Arial"/>
          <w:color w:val="0D0D0D" w:themeColor="text1" w:themeTint="F2"/>
          <w:sz w:val="22"/>
        </w:rPr>
        <w:t xml:space="preserve"> a la </w:t>
      </w:r>
      <w:r w:rsidR="00433A49">
        <w:rPr>
          <w:rFonts w:ascii="Arial" w:hAnsi="Arial" w:cs="Arial"/>
          <w:color w:val="0D0D0D" w:themeColor="text1" w:themeTint="F2"/>
          <w:sz w:val="22"/>
        </w:rPr>
        <w:t>«</w:t>
      </w:r>
      <w:r w:rsidR="00433A49" w:rsidRPr="005B2F33">
        <w:rPr>
          <w:rFonts w:ascii="Arial" w:hAnsi="Arial" w:cs="Arial"/>
          <w:color w:val="0D0D0D" w:themeColor="text1" w:themeTint="F2"/>
          <w:sz w:val="22"/>
        </w:rPr>
        <w:t xml:space="preserve">Matriz 1 </w:t>
      </w:r>
      <w:r>
        <w:rPr>
          <w:rFonts w:ascii="Arial" w:hAnsi="Arial" w:cs="Arial"/>
          <w:color w:val="0D0D0D" w:themeColor="text1" w:themeTint="F2"/>
          <w:sz w:val="22"/>
        </w:rPr>
        <w:t>–</w:t>
      </w:r>
      <w:r w:rsidR="00433A49" w:rsidRPr="005B2F33">
        <w:rPr>
          <w:rFonts w:ascii="Arial" w:hAnsi="Arial" w:cs="Arial"/>
          <w:color w:val="0D0D0D" w:themeColor="text1" w:themeTint="F2"/>
          <w:sz w:val="22"/>
        </w:rPr>
        <w:t xml:space="preserve"> Experiencia</w:t>
      </w:r>
      <w:r w:rsidR="00433A49">
        <w:rPr>
          <w:rFonts w:ascii="Arial" w:hAnsi="Arial" w:cs="Arial"/>
          <w:color w:val="0D0D0D" w:themeColor="text1" w:themeTint="F2"/>
          <w:sz w:val="22"/>
        </w:rPr>
        <w:t>»</w:t>
      </w:r>
      <w:r>
        <w:rPr>
          <w:rFonts w:ascii="Arial" w:hAnsi="Arial" w:cs="Arial"/>
          <w:color w:val="0D0D0D" w:themeColor="text1" w:themeTint="F2"/>
          <w:sz w:val="22"/>
        </w:rPr>
        <w:t>. Esta matriz está</w:t>
      </w:r>
      <w:r w:rsidR="00433A49">
        <w:rPr>
          <w:rFonts w:ascii="Arial" w:hAnsi="Arial" w:cs="Arial"/>
          <w:color w:val="0D0D0D" w:themeColor="text1" w:themeTint="F2"/>
          <w:sz w:val="22"/>
        </w:rPr>
        <w:t xml:space="preserve"> </w:t>
      </w:r>
      <w:r w:rsidR="00433A49" w:rsidRPr="005B2F33">
        <w:rPr>
          <w:rFonts w:ascii="Arial" w:hAnsi="Arial" w:cs="Arial"/>
          <w:color w:val="0D0D0D" w:themeColor="text1" w:themeTint="F2"/>
          <w:sz w:val="22"/>
        </w:rPr>
        <w:t>constituida por ocho (8) tipos de obras de infraestructura de transporte, identificadas con un número y su descripción, l</w:t>
      </w:r>
      <w:r w:rsidR="00433A49">
        <w:rPr>
          <w:rFonts w:ascii="Arial" w:hAnsi="Arial" w:cs="Arial"/>
          <w:color w:val="0D0D0D" w:themeColor="text1" w:themeTint="F2"/>
          <w:sz w:val="22"/>
        </w:rPr>
        <w:t>a</w:t>
      </w:r>
      <w:r w:rsidR="00433A49" w:rsidRPr="005B2F33">
        <w:rPr>
          <w:rFonts w:ascii="Arial" w:hAnsi="Arial" w:cs="Arial"/>
          <w:color w:val="0D0D0D" w:themeColor="text1" w:themeTint="F2"/>
          <w:sz w:val="22"/>
        </w:rPr>
        <w:t xml:space="preserve">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w:t>
      </w:r>
      <w:bookmarkStart w:id="6" w:name="_Hlk56437390"/>
      <w:r w:rsidR="00433A49" w:rsidRPr="005B2F33">
        <w:rPr>
          <w:rFonts w:ascii="Arial" w:hAnsi="Arial" w:cs="Arial"/>
          <w:color w:val="0D0D0D" w:themeColor="text1" w:themeTint="F2"/>
          <w:sz w:val="22"/>
        </w:rPr>
        <w:t>obras en puentes</w:t>
      </w:r>
      <w:bookmarkEnd w:id="6"/>
      <w:r w:rsidR="00433A49" w:rsidRPr="005B2F33">
        <w:rPr>
          <w:rFonts w:ascii="Arial" w:hAnsi="Arial" w:cs="Arial"/>
          <w:color w:val="0D0D0D" w:themeColor="text1" w:themeTint="F2"/>
          <w:sz w:val="22"/>
        </w:rPr>
        <w:t xml:space="preserve"> y 8) obras aeroportuarias. Estas obras de infraestructura de transporte, a su vez, se encuentran subdivididas en la Matriz 1 como «actividades a contratar».</w:t>
      </w:r>
      <w:r w:rsidR="00532F51">
        <w:rPr>
          <w:rFonts w:ascii="Arial" w:hAnsi="Arial" w:cs="Arial"/>
          <w:color w:val="0D0D0D" w:themeColor="text1" w:themeTint="F2"/>
          <w:sz w:val="22"/>
        </w:rPr>
        <w:t xml:space="preserve"> </w:t>
      </w:r>
    </w:p>
    <w:p w14:paraId="26E269DD" w14:textId="1F8386F1" w:rsidR="00C86E7D" w:rsidRDefault="00C86E7D" w:rsidP="00C86E7D">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sz w:val="22"/>
          <w:szCs w:val="22"/>
        </w:rPr>
        <w:t xml:space="preserve">De conformidad con lo anterior, los documentos tipo para «licitación» de «obra pública de infraestructura de transporte», así como los documentos tipo para los procedimientos de «selección abreviada de menor cuantía» y «mínima cuantía», son obligatorios </w:t>
      </w:r>
      <w:r w:rsidR="003072FD">
        <w:rPr>
          <w:rStyle w:val="normaltextrun"/>
          <w:rFonts w:ascii="Arial" w:hAnsi="Arial" w:cs="Arial"/>
          <w:sz w:val="22"/>
          <w:szCs w:val="22"/>
        </w:rPr>
        <w:t>para</w:t>
      </w:r>
      <w:r>
        <w:rPr>
          <w:rStyle w:val="normaltextrun"/>
          <w:rFonts w:ascii="Arial" w:hAnsi="Arial" w:cs="Arial"/>
          <w:sz w:val="22"/>
          <w:szCs w:val="22"/>
        </w:rPr>
        <w:t xml:space="preserve"> las entidades sometidas al Estatuto General de la Contratación de la Administración Pública</w:t>
      </w:r>
      <w:r w:rsidR="003072FD">
        <w:rPr>
          <w:rStyle w:val="normaltextrun"/>
          <w:rFonts w:ascii="Arial" w:hAnsi="Arial" w:cs="Arial"/>
          <w:sz w:val="22"/>
          <w:szCs w:val="22"/>
        </w:rPr>
        <w:t>,</w:t>
      </w:r>
      <w:r>
        <w:rPr>
          <w:rStyle w:val="normaltextrun"/>
          <w:rFonts w:ascii="Arial" w:hAnsi="Arial" w:cs="Arial"/>
          <w:sz w:val="22"/>
          <w:szCs w:val="22"/>
        </w:rPr>
        <w:t xml:space="preserve"> de conformidad con lo establecido </w:t>
      </w:r>
      <w:r w:rsidR="003072FD">
        <w:rPr>
          <w:rStyle w:val="normaltextrun"/>
          <w:rFonts w:ascii="Arial" w:hAnsi="Arial" w:cs="Arial"/>
          <w:sz w:val="22"/>
          <w:szCs w:val="22"/>
        </w:rPr>
        <w:t>en la L</w:t>
      </w:r>
      <w:r>
        <w:rPr>
          <w:rStyle w:val="normaltextrun"/>
          <w:rFonts w:ascii="Arial" w:hAnsi="Arial" w:cs="Arial"/>
          <w:sz w:val="22"/>
          <w:szCs w:val="22"/>
        </w:rPr>
        <w:t>ey 1882 de 2018 </w:t>
      </w:r>
      <w:r w:rsidR="003072FD">
        <w:rPr>
          <w:rStyle w:val="normaltextrun"/>
          <w:rFonts w:ascii="Arial" w:hAnsi="Arial" w:cs="Arial"/>
          <w:sz w:val="22"/>
          <w:szCs w:val="22"/>
        </w:rPr>
        <w:t>modificada por la Ley</w:t>
      </w:r>
      <w:r>
        <w:rPr>
          <w:rStyle w:val="normaltextrun"/>
          <w:rFonts w:ascii="Arial" w:hAnsi="Arial" w:cs="Arial"/>
          <w:sz w:val="22"/>
          <w:szCs w:val="22"/>
        </w:rPr>
        <w:t xml:space="preserve"> 2022 de 2020</w:t>
      </w:r>
      <w:r w:rsidR="003072FD">
        <w:rPr>
          <w:rStyle w:val="normaltextrun"/>
          <w:rFonts w:ascii="Arial" w:hAnsi="Arial" w:cs="Arial"/>
          <w:sz w:val="22"/>
          <w:szCs w:val="22"/>
        </w:rPr>
        <w:t xml:space="preserve">. Estos documentos tipo deben aplicarse </w:t>
      </w:r>
      <w:r>
        <w:rPr>
          <w:rStyle w:val="normaltextrun"/>
          <w:rFonts w:ascii="Arial" w:hAnsi="Arial" w:cs="Arial"/>
          <w:sz w:val="22"/>
          <w:szCs w:val="22"/>
        </w:rPr>
        <w:t>los proce</w:t>
      </w:r>
      <w:r w:rsidR="003072FD">
        <w:rPr>
          <w:rStyle w:val="normaltextrun"/>
          <w:rFonts w:ascii="Arial" w:hAnsi="Arial" w:cs="Arial"/>
          <w:sz w:val="22"/>
          <w:szCs w:val="22"/>
        </w:rPr>
        <w:t>dimientos</w:t>
      </w:r>
      <w:r>
        <w:rPr>
          <w:rStyle w:val="normaltextrun"/>
          <w:rFonts w:ascii="Arial" w:hAnsi="Arial" w:cs="Arial"/>
          <w:sz w:val="22"/>
          <w:szCs w:val="22"/>
        </w:rPr>
        <w:t xml:space="preserve"> de contratación </w:t>
      </w:r>
      <w:r w:rsidR="003072FD">
        <w:rPr>
          <w:rStyle w:val="normaltextrun"/>
          <w:rFonts w:ascii="Arial" w:hAnsi="Arial" w:cs="Arial"/>
          <w:sz w:val="22"/>
          <w:szCs w:val="22"/>
        </w:rPr>
        <w:t>para</w:t>
      </w:r>
      <w:r>
        <w:rPr>
          <w:rStyle w:val="normaltextrun"/>
          <w:rFonts w:ascii="Arial" w:hAnsi="Arial" w:cs="Arial"/>
          <w:sz w:val="22"/>
          <w:szCs w:val="22"/>
        </w:rPr>
        <w:t xml:space="preserve"> infraestructura de transporte </w:t>
      </w:r>
      <w:r w:rsidR="007A5AF2">
        <w:rPr>
          <w:rStyle w:val="normaltextrun"/>
          <w:rFonts w:ascii="Arial" w:hAnsi="Arial" w:cs="Arial"/>
          <w:sz w:val="22"/>
          <w:szCs w:val="22"/>
        </w:rPr>
        <w:t>enmarcadas en</w:t>
      </w:r>
      <w:r>
        <w:rPr>
          <w:rStyle w:val="normaltextrun"/>
          <w:rFonts w:ascii="Arial" w:hAnsi="Arial" w:cs="Arial"/>
          <w:sz w:val="22"/>
          <w:szCs w:val="22"/>
        </w:rPr>
        <w:t xml:space="preserve"> las actividades definidas en la Matriz 1.</w:t>
      </w:r>
      <w:r>
        <w:rPr>
          <w:rStyle w:val="eop"/>
          <w:rFonts w:ascii="Arial" w:hAnsi="Arial" w:cs="Arial"/>
          <w:sz w:val="22"/>
          <w:szCs w:val="22"/>
        </w:rPr>
        <w:t> </w:t>
      </w:r>
    </w:p>
    <w:p w14:paraId="429D6666" w14:textId="13DC8E77" w:rsidR="00C86E7D" w:rsidRPr="00C86E7D" w:rsidRDefault="00C86E7D" w:rsidP="00C86E7D">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sz w:val="22"/>
          <w:szCs w:val="22"/>
        </w:rPr>
        <w:t>En esta medida, existen tres (3) criterios para determinar si procede de forma obligatoria la contratación de una actividad mediante los documentos tipo: i) que se trate de una obra pública de infraestructura de transporte; </w:t>
      </w:r>
      <w:proofErr w:type="spellStart"/>
      <w:r>
        <w:rPr>
          <w:rStyle w:val="normaltextrun"/>
          <w:rFonts w:ascii="Arial" w:hAnsi="Arial" w:cs="Arial"/>
          <w:sz w:val="22"/>
          <w:szCs w:val="22"/>
        </w:rPr>
        <w:t>ii</w:t>
      </w:r>
      <w:proofErr w:type="spellEnd"/>
      <w:r>
        <w:rPr>
          <w:rStyle w:val="normaltextrun"/>
          <w:rFonts w:ascii="Arial" w:hAnsi="Arial" w:cs="Arial"/>
          <w:sz w:val="22"/>
          <w:szCs w:val="22"/>
        </w:rPr>
        <w:t>) que el contratante sea una entidad sometida al Estatuto General de Contratación de la Administración Pública; y </w:t>
      </w:r>
      <w:proofErr w:type="spellStart"/>
      <w:r>
        <w:rPr>
          <w:rStyle w:val="normaltextrun"/>
          <w:rFonts w:ascii="Arial" w:hAnsi="Arial" w:cs="Arial"/>
          <w:sz w:val="22"/>
          <w:szCs w:val="22"/>
        </w:rPr>
        <w:t>iii</w:t>
      </w:r>
      <w:proofErr w:type="spellEnd"/>
      <w:r>
        <w:rPr>
          <w:rStyle w:val="normaltextrun"/>
          <w:rFonts w:ascii="Arial" w:hAnsi="Arial" w:cs="Arial"/>
          <w:sz w:val="22"/>
          <w:szCs w:val="22"/>
        </w:rPr>
        <w:t>) que el objeto a contratar esté asociado a alguno de los tipos de obra y actividades señaladas en la Matriz 1. La coexistencia de tales condiciones hace obligatoria la aplicación de los documentos tipo. </w:t>
      </w:r>
      <w:r>
        <w:rPr>
          <w:rStyle w:val="eop"/>
          <w:rFonts w:ascii="Arial" w:hAnsi="Arial" w:cs="Arial"/>
          <w:sz w:val="22"/>
          <w:szCs w:val="22"/>
        </w:rPr>
        <w:t> </w:t>
      </w:r>
    </w:p>
    <w:p w14:paraId="0B18B73B" w14:textId="3F5CB44F" w:rsidR="00446A7E" w:rsidRDefault="004F41BB" w:rsidP="00C86E7D">
      <w:pPr>
        <w:spacing w:after="120" w:line="276" w:lineRule="auto"/>
        <w:ind w:firstLine="709"/>
        <w:jc w:val="both"/>
        <w:rPr>
          <w:rStyle w:val="normaltextrun"/>
          <w:rFonts w:ascii="Arial" w:hAnsi="Arial" w:cs="Arial"/>
          <w:color w:val="000000"/>
          <w:sz w:val="22"/>
          <w:shd w:val="clear" w:color="auto" w:fill="FFFFFF"/>
        </w:rPr>
      </w:pPr>
      <w:r>
        <w:rPr>
          <w:rFonts w:ascii="Arial" w:hAnsi="Arial" w:cs="Arial"/>
          <w:color w:val="0D0D0D" w:themeColor="text1" w:themeTint="F2"/>
          <w:sz w:val="22"/>
        </w:rPr>
        <w:lastRenderedPageBreak/>
        <w:t xml:space="preserve">De acuerdo con lo anterior, </w:t>
      </w:r>
      <w:r>
        <w:rPr>
          <w:rStyle w:val="normaltextrun"/>
          <w:rFonts w:ascii="Arial" w:hAnsi="Arial" w:cs="Arial"/>
          <w:color w:val="000000"/>
          <w:sz w:val="22"/>
          <w:shd w:val="clear" w:color="auto" w:fill="FFFFFF"/>
        </w:rPr>
        <w:t xml:space="preserve">las actividades </w:t>
      </w:r>
      <w:r w:rsidR="00990A0E">
        <w:rPr>
          <w:rStyle w:val="normaltextrun"/>
          <w:rFonts w:ascii="Arial" w:hAnsi="Arial" w:cs="Arial"/>
          <w:color w:val="000000"/>
          <w:sz w:val="22"/>
          <w:shd w:val="clear" w:color="auto" w:fill="FFFFFF"/>
        </w:rPr>
        <w:t>para</w:t>
      </w:r>
      <w:r>
        <w:rPr>
          <w:rStyle w:val="normaltextrun"/>
          <w:rFonts w:ascii="Arial" w:hAnsi="Arial" w:cs="Arial"/>
          <w:color w:val="000000"/>
          <w:sz w:val="22"/>
          <w:shd w:val="clear" w:color="auto" w:fill="FFFFFF"/>
        </w:rPr>
        <w:t xml:space="preserve"> </w:t>
      </w:r>
      <w:r w:rsidR="00532F51">
        <w:rPr>
          <w:rStyle w:val="normaltextrun"/>
          <w:rFonts w:ascii="Arial" w:hAnsi="Arial" w:cs="Arial"/>
          <w:color w:val="000000"/>
          <w:sz w:val="22"/>
          <w:shd w:val="clear" w:color="auto" w:fill="FFFFFF"/>
        </w:rPr>
        <w:t>la construcción o mejoramiento</w:t>
      </w:r>
      <w:r w:rsidR="00D26E0D" w:rsidRPr="00D26E0D">
        <w:rPr>
          <w:rStyle w:val="normaltextrun"/>
          <w:rFonts w:ascii="Arial" w:hAnsi="Arial" w:cs="Arial"/>
          <w:color w:val="000000"/>
          <w:sz w:val="22"/>
          <w:shd w:val="clear" w:color="auto" w:fill="FFFFFF"/>
        </w:rPr>
        <w:t xml:space="preserve"> de puentes peatonales</w:t>
      </w:r>
      <w:r>
        <w:rPr>
          <w:rStyle w:val="normaltextrun"/>
          <w:rFonts w:ascii="Arial" w:hAnsi="Arial" w:cs="Arial"/>
          <w:color w:val="000000"/>
          <w:sz w:val="22"/>
          <w:shd w:val="clear" w:color="auto" w:fill="FFFFFF"/>
        </w:rPr>
        <w:t xml:space="preserve"> son obras de infraestructura de transporte. </w:t>
      </w:r>
      <w:r w:rsidR="00532F51" w:rsidRPr="009B4F91">
        <w:rPr>
          <w:rStyle w:val="normaltextrun"/>
          <w:rFonts w:ascii="Arial" w:hAnsi="Arial" w:cs="Arial"/>
          <w:color w:val="000000"/>
          <w:sz w:val="22"/>
          <w:shd w:val="clear" w:color="auto" w:fill="FFFFFF"/>
        </w:rPr>
        <w:t xml:space="preserve">En lo que respecta </w:t>
      </w:r>
      <w:r w:rsidR="00C86E7D" w:rsidRPr="009B4F91">
        <w:rPr>
          <w:rStyle w:val="normaltextrun"/>
          <w:rFonts w:ascii="Arial" w:hAnsi="Arial" w:cs="Arial"/>
          <w:color w:val="000000"/>
          <w:sz w:val="22"/>
          <w:shd w:val="clear" w:color="auto" w:fill="FFFFFF"/>
        </w:rPr>
        <w:t>a los</w:t>
      </w:r>
      <w:r w:rsidR="00C86E7D">
        <w:rPr>
          <w:rStyle w:val="normaltextrun"/>
          <w:rFonts w:ascii="Arial" w:hAnsi="Arial" w:cs="Arial"/>
          <w:i/>
          <w:iCs/>
          <w:color w:val="000000"/>
          <w:sz w:val="22"/>
          <w:shd w:val="clear" w:color="auto" w:fill="FFFFFF"/>
        </w:rPr>
        <w:t xml:space="preserve"> proyectos de construcción</w:t>
      </w:r>
      <w:r>
        <w:rPr>
          <w:rStyle w:val="normaltextrun"/>
          <w:rFonts w:ascii="Arial" w:hAnsi="Arial" w:cs="Arial"/>
          <w:color w:val="000000"/>
          <w:sz w:val="22"/>
          <w:shd w:val="clear" w:color="auto" w:fill="FFFFFF"/>
        </w:rPr>
        <w:t xml:space="preserve">, </w:t>
      </w:r>
      <w:r w:rsidR="00070D2F">
        <w:rPr>
          <w:rStyle w:val="normaltextrun"/>
          <w:rFonts w:ascii="Arial" w:hAnsi="Arial" w:cs="Arial"/>
          <w:color w:val="000000"/>
          <w:sz w:val="22"/>
          <w:shd w:val="clear" w:color="auto" w:fill="FFFFFF"/>
        </w:rPr>
        <w:t xml:space="preserve">para efectos de la </w:t>
      </w:r>
      <w:r w:rsidR="00070D2F">
        <w:rPr>
          <w:rFonts w:ascii="Arial" w:hAnsi="Arial" w:cs="Arial"/>
          <w:color w:val="0D0D0D" w:themeColor="text1" w:themeTint="F2"/>
          <w:sz w:val="22"/>
        </w:rPr>
        <w:t>«</w:t>
      </w:r>
      <w:r w:rsidR="00070D2F" w:rsidRPr="005B2F33">
        <w:rPr>
          <w:rFonts w:ascii="Arial" w:hAnsi="Arial" w:cs="Arial"/>
          <w:color w:val="0D0D0D" w:themeColor="text1" w:themeTint="F2"/>
          <w:sz w:val="22"/>
        </w:rPr>
        <w:t xml:space="preserve">Matriz 1 </w:t>
      </w:r>
      <w:r w:rsidR="00532F51">
        <w:rPr>
          <w:rFonts w:ascii="Arial" w:hAnsi="Arial" w:cs="Arial"/>
          <w:color w:val="0D0D0D" w:themeColor="text1" w:themeTint="F2"/>
          <w:sz w:val="22"/>
        </w:rPr>
        <w:t>–</w:t>
      </w:r>
      <w:r w:rsidR="00070D2F" w:rsidRPr="005B2F33">
        <w:rPr>
          <w:rFonts w:ascii="Arial" w:hAnsi="Arial" w:cs="Arial"/>
          <w:color w:val="0D0D0D" w:themeColor="text1" w:themeTint="F2"/>
          <w:sz w:val="22"/>
        </w:rPr>
        <w:t xml:space="preserve"> Experiencia</w:t>
      </w:r>
      <w:r w:rsidR="00070D2F">
        <w:rPr>
          <w:rFonts w:ascii="Arial" w:hAnsi="Arial" w:cs="Arial"/>
          <w:color w:val="0D0D0D" w:themeColor="text1" w:themeTint="F2"/>
          <w:sz w:val="22"/>
        </w:rPr>
        <w:t>» de los documentos tipo adoptados mediante</w:t>
      </w:r>
      <w:r w:rsidR="00532F51">
        <w:rPr>
          <w:rFonts w:ascii="Arial" w:hAnsi="Arial" w:cs="Arial"/>
          <w:color w:val="0D0D0D" w:themeColor="text1" w:themeTint="F2"/>
          <w:sz w:val="22"/>
        </w:rPr>
        <w:t xml:space="preserve"> las</w:t>
      </w:r>
      <w:r w:rsidR="00070D2F">
        <w:rPr>
          <w:rFonts w:ascii="Arial" w:hAnsi="Arial" w:cs="Arial"/>
          <w:color w:val="0D0D0D" w:themeColor="text1" w:themeTint="F2"/>
          <w:sz w:val="22"/>
        </w:rPr>
        <w:t xml:space="preserve"> </w:t>
      </w:r>
      <w:r w:rsidR="00070D2F" w:rsidRPr="005B2F33">
        <w:rPr>
          <w:rFonts w:ascii="Arial" w:hAnsi="Arial" w:cs="Arial"/>
          <w:color w:val="0D0D0D" w:themeColor="text1" w:themeTint="F2"/>
          <w:sz w:val="22"/>
        </w:rPr>
        <w:t>Resoluci</w:t>
      </w:r>
      <w:r w:rsidR="00532F51">
        <w:rPr>
          <w:rFonts w:ascii="Arial" w:hAnsi="Arial" w:cs="Arial"/>
          <w:color w:val="0D0D0D" w:themeColor="text1" w:themeTint="F2"/>
          <w:sz w:val="22"/>
        </w:rPr>
        <w:t>ones</w:t>
      </w:r>
      <w:r w:rsidR="00070D2F" w:rsidRPr="005B2F33">
        <w:rPr>
          <w:rFonts w:ascii="Arial" w:hAnsi="Arial" w:cs="Arial"/>
          <w:color w:val="0D0D0D" w:themeColor="text1" w:themeTint="F2"/>
          <w:sz w:val="22"/>
        </w:rPr>
        <w:t xml:space="preserve"> No. 0</w:t>
      </w:r>
      <w:r w:rsidR="00532F51">
        <w:rPr>
          <w:rFonts w:ascii="Arial" w:hAnsi="Arial" w:cs="Arial"/>
          <w:color w:val="0D0D0D" w:themeColor="text1" w:themeTint="F2"/>
          <w:sz w:val="22"/>
        </w:rPr>
        <w:t>44, 0</w:t>
      </w:r>
      <w:r w:rsidR="00070D2F" w:rsidRPr="005B2F33">
        <w:rPr>
          <w:rFonts w:ascii="Arial" w:hAnsi="Arial" w:cs="Arial"/>
          <w:color w:val="0D0D0D" w:themeColor="text1" w:themeTint="F2"/>
          <w:sz w:val="22"/>
        </w:rPr>
        <w:t>45</w:t>
      </w:r>
      <w:r w:rsidR="00532F51">
        <w:rPr>
          <w:rFonts w:ascii="Arial" w:hAnsi="Arial" w:cs="Arial"/>
          <w:color w:val="0D0D0D" w:themeColor="text1" w:themeTint="F2"/>
          <w:sz w:val="22"/>
        </w:rPr>
        <w:t xml:space="preserve"> y 094</w:t>
      </w:r>
      <w:r w:rsidR="00070D2F" w:rsidRPr="005B2F33">
        <w:rPr>
          <w:rFonts w:ascii="Arial" w:hAnsi="Arial" w:cs="Arial"/>
          <w:color w:val="0D0D0D" w:themeColor="text1" w:themeTint="F2"/>
          <w:sz w:val="22"/>
        </w:rPr>
        <w:t xml:space="preserve"> de 2020</w:t>
      </w:r>
      <w:r w:rsidR="00070D2F">
        <w:rPr>
          <w:rFonts w:ascii="Arial" w:hAnsi="Arial" w:cs="Arial"/>
          <w:color w:val="0D0D0D" w:themeColor="text1" w:themeTint="F2"/>
          <w:sz w:val="22"/>
        </w:rPr>
        <w:t xml:space="preserve">, </w:t>
      </w:r>
      <w:r w:rsidR="00532F51">
        <w:rPr>
          <w:rStyle w:val="normaltextrun"/>
          <w:rFonts w:ascii="Arial" w:hAnsi="Arial" w:cs="Arial"/>
          <w:color w:val="000000"/>
          <w:sz w:val="22"/>
          <w:shd w:val="clear" w:color="auto" w:fill="FFFFFF"/>
        </w:rPr>
        <w:t>esta actividad</w:t>
      </w:r>
      <w:r w:rsidR="00070D2F">
        <w:rPr>
          <w:rStyle w:val="normaltextrun"/>
          <w:rFonts w:ascii="Arial" w:hAnsi="Arial" w:cs="Arial"/>
          <w:color w:val="000000"/>
          <w:sz w:val="22"/>
          <w:shd w:val="clear" w:color="auto" w:fill="FFFFFF"/>
        </w:rPr>
        <w:t xml:space="preserve"> se encuentra dentro de </w:t>
      </w:r>
      <w:r w:rsidR="0009373B">
        <w:rPr>
          <w:rStyle w:val="normaltextrun"/>
          <w:rFonts w:ascii="Arial" w:hAnsi="Arial" w:cs="Arial"/>
          <w:color w:val="000000"/>
          <w:sz w:val="22"/>
          <w:shd w:val="clear" w:color="auto" w:fill="FFFFFF"/>
        </w:rPr>
        <w:t xml:space="preserve">las actividades </w:t>
      </w:r>
      <w:r w:rsidR="00070D2F">
        <w:rPr>
          <w:rStyle w:val="normaltextrun"/>
          <w:rFonts w:ascii="Arial" w:hAnsi="Arial" w:cs="Arial"/>
          <w:color w:val="000000"/>
          <w:sz w:val="22"/>
          <w:shd w:val="clear" w:color="auto" w:fill="FFFFFF"/>
        </w:rPr>
        <w:t xml:space="preserve">relacionadas con </w:t>
      </w:r>
      <w:r w:rsidR="0009373B">
        <w:rPr>
          <w:rStyle w:val="normaltextrun"/>
          <w:rFonts w:ascii="Arial" w:hAnsi="Arial" w:cs="Arial"/>
          <w:color w:val="000000"/>
          <w:sz w:val="22"/>
          <w:shd w:val="clear" w:color="auto" w:fill="FFFFFF"/>
        </w:rPr>
        <w:t>«</w:t>
      </w:r>
      <w:r w:rsidR="00C86E7D" w:rsidRPr="00C86E7D">
        <w:rPr>
          <w:rStyle w:val="normaltextrun"/>
          <w:rFonts w:ascii="Arial" w:hAnsi="Arial" w:cs="Arial"/>
          <w:color w:val="000000"/>
          <w:sz w:val="22"/>
          <w:shd w:val="clear" w:color="auto" w:fill="FFFFFF"/>
        </w:rPr>
        <w:t>obras en puente</w:t>
      </w:r>
      <w:r w:rsidR="00C86E7D">
        <w:rPr>
          <w:rStyle w:val="normaltextrun"/>
          <w:rFonts w:ascii="Arial" w:hAnsi="Arial" w:cs="Arial"/>
          <w:color w:val="000000"/>
          <w:sz w:val="22"/>
          <w:shd w:val="clear" w:color="auto" w:fill="FFFFFF"/>
        </w:rPr>
        <w:t>s</w:t>
      </w:r>
      <w:r w:rsidR="0009373B">
        <w:rPr>
          <w:rStyle w:val="normaltextrun"/>
          <w:rFonts w:ascii="Arial" w:hAnsi="Arial" w:cs="Arial"/>
          <w:color w:val="000000"/>
          <w:sz w:val="22"/>
          <w:shd w:val="clear" w:color="auto" w:fill="FFFFFF"/>
        </w:rPr>
        <w:t>»</w:t>
      </w:r>
      <w:r w:rsidR="00446A7E">
        <w:rPr>
          <w:rStyle w:val="normaltextrun"/>
          <w:rFonts w:ascii="Arial" w:hAnsi="Arial" w:cs="Arial"/>
          <w:color w:val="000000"/>
          <w:sz w:val="22"/>
          <w:shd w:val="clear" w:color="auto" w:fill="FFFFFF"/>
        </w:rPr>
        <w:t xml:space="preserve">, la cual corresponde al numeral </w:t>
      </w:r>
      <w:r w:rsidR="00C86E7D">
        <w:rPr>
          <w:rStyle w:val="normaltextrun"/>
          <w:rFonts w:ascii="Arial" w:hAnsi="Arial" w:cs="Arial"/>
          <w:color w:val="000000"/>
          <w:sz w:val="22"/>
          <w:shd w:val="clear" w:color="auto" w:fill="FFFFFF"/>
        </w:rPr>
        <w:t>7</w:t>
      </w:r>
      <w:r w:rsidR="00446A7E">
        <w:rPr>
          <w:rStyle w:val="normaltextrun"/>
          <w:rFonts w:ascii="Arial" w:hAnsi="Arial" w:cs="Arial"/>
          <w:color w:val="000000"/>
          <w:sz w:val="22"/>
          <w:shd w:val="clear" w:color="auto" w:fill="FFFFFF"/>
        </w:rPr>
        <w:t xml:space="preserve"> de la matriz</w:t>
      </w:r>
      <w:r w:rsidR="0009373B">
        <w:rPr>
          <w:rStyle w:val="normaltextrun"/>
          <w:rFonts w:ascii="Arial" w:hAnsi="Arial" w:cs="Arial"/>
          <w:color w:val="000000"/>
          <w:sz w:val="22"/>
          <w:shd w:val="clear" w:color="auto" w:fill="FFFFFF"/>
        </w:rPr>
        <w:t xml:space="preserve">. </w:t>
      </w:r>
      <w:r w:rsidR="00C86E7D">
        <w:rPr>
          <w:rStyle w:val="normaltextrun"/>
          <w:rFonts w:ascii="Arial" w:hAnsi="Arial" w:cs="Arial"/>
          <w:color w:val="000000"/>
          <w:sz w:val="22"/>
          <w:shd w:val="clear" w:color="auto" w:fill="FFFFFF"/>
        </w:rPr>
        <w:t>Este numeral se</w:t>
      </w:r>
      <w:r w:rsidR="007F4622">
        <w:rPr>
          <w:rStyle w:val="normaltextrun"/>
          <w:rFonts w:ascii="Arial" w:hAnsi="Arial" w:cs="Arial"/>
          <w:color w:val="000000"/>
          <w:sz w:val="22"/>
          <w:shd w:val="clear" w:color="auto" w:fill="FFFFFF"/>
        </w:rPr>
        <w:t xml:space="preserve"> desagrega </w:t>
      </w:r>
      <w:r w:rsidR="00C86E7D">
        <w:rPr>
          <w:rStyle w:val="normaltextrun"/>
          <w:rFonts w:ascii="Arial" w:hAnsi="Arial" w:cs="Arial"/>
          <w:color w:val="000000"/>
          <w:sz w:val="22"/>
          <w:shd w:val="clear" w:color="auto" w:fill="FFFFFF"/>
        </w:rPr>
        <w:t xml:space="preserve">en </w:t>
      </w:r>
      <w:r w:rsidR="007F4622">
        <w:rPr>
          <w:rStyle w:val="normaltextrun"/>
          <w:rFonts w:ascii="Arial" w:hAnsi="Arial" w:cs="Arial"/>
          <w:color w:val="000000"/>
          <w:sz w:val="22"/>
          <w:shd w:val="clear" w:color="auto" w:fill="FFFFFF"/>
        </w:rPr>
        <w:t xml:space="preserve">varias actividades para efectos de determinar la experiencia en cada procedimiento de selección. En este sentido, </w:t>
      </w:r>
      <w:r w:rsidR="00C86E7D">
        <w:rPr>
          <w:rStyle w:val="normaltextrun"/>
          <w:rFonts w:ascii="Arial" w:hAnsi="Arial" w:cs="Arial"/>
          <w:color w:val="000000"/>
          <w:sz w:val="22"/>
          <w:shd w:val="clear" w:color="auto" w:fill="FFFFFF"/>
        </w:rPr>
        <w:t xml:space="preserve">el </w:t>
      </w:r>
      <w:r w:rsidR="00BB3FB3">
        <w:rPr>
          <w:rStyle w:val="normaltextrun"/>
          <w:rFonts w:ascii="Arial" w:hAnsi="Arial" w:cs="Arial"/>
          <w:color w:val="000000"/>
          <w:sz w:val="22"/>
          <w:shd w:val="clear" w:color="auto" w:fill="FFFFFF"/>
        </w:rPr>
        <w:t>objeto de consulta</w:t>
      </w:r>
      <w:r w:rsidR="007F4622">
        <w:rPr>
          <w:rStyle w:val="normaltextrun"/>
          <w:rFonts w:ascii="Arial" w:hAnsi="Arial" w:cs="Arial"/>
          <w:color w:val="000000"/>
          <w:sz w:val="22"/>
          <w:shd w:val="clear" w:color="auto" w:fill="FFFFFF"/>
        </w:rPr>
        <w:t xml:space="preserve"> está </w:t>
      </w:r>
      <w:r w:rsidR="00E403EC">
        <w:rPr>
          <w:rStyle w:val="normaltextrun"/>
          <w:rFonts w:ascii="Arial" w:hAnsi="Arial" w:cs="Arial"/>
          <w:color w:val="000000"/>
          <w:sz w:val="22"/>
          <w:shd w:val="clear" w:color="auto" w:fill="FFFFFF"/>
        </w:rPr>
        <w:t>expresamente</w:t>
      </w:r>
      <w:r w:rsidR="009B4F91">
        <w:rPr>
          <w:rStyle w:val="normaltextrun"/>
          <w:rFonts w:ascii="Arial" w:hAnsi="Arial" w:cs="Arial"/>
          <w:color w:val="000000"/>
          <w:sz w:val="22"/>
          <w:shd w:val="clear" w:color="auto" w:fill="FFFFFF"/>
        </w:rPr>
        <w:t xml:space="preserve"> </w:t>
      </w:r>
      <w:r w:rsidR="007F4622">
        <w:rPr>
          <w:rStyle w:val="normaltextrun"/>
          <w:rFonts w:ascii="Arial" w:hAnsi="Arial" w:cs="Arial"/>
          <w:color w:val="000000"/>
          <w:sz w:val="22"/>
          <w:shd w:val="clear" w:color="auto" w:fill="FFFFFF"/>
        </w:rPr>
        <w:t>relacionad</w:t>
      </w:r>
      <w:r w:rsidR="00C86E7D">
        <w:rPr>
          <w:rStyle w:val="normaltextrun"/>
          <w:rFonts w:ascii="Arial" w:hAnsi="Arial" w:cs="Arial"/>
          <w:color w:val="000000"/>
          <w:sz w:val="22"/>
          <w:shd w:val="clear" w:color="auto" w:fill="FFFFFF"/>
        </w:rPr>
        <w:t>o</w:t>
      </w:r>
      <w:r w:rsidR="007F4622">
        <w:rPr>
          <w:rStyle w:val="normaltextrun"/>
          <w:rFonts w:ascii="Arial" w:hAnsi="Arial" w:cs="Arial"/>
          <w:color w:val="000000"/>
          <w:sz w:val="22"/>
          <w:shd w:val="clear" w:color="auto" w:fill="FFFFFF"/>
        </w:rPr>
        <w:t xml:space="preserve"> </w:t>
      </w:r>
      <w:r w:rsidR="00E403EC">
        <w:rPr>
          <w:rStyle w:val="normaltextrun"/>
          <w:rFonts w:ascii="Arial" w:hAnsi="Arial" w:cs="Arial"/>
          <w:color w:val="000000"/>
          <w:sz w:val="22"/>
          <w:shd w:val="clear" w:color="auto" w:fill="FFFFFF"/>
        </w:rPr>
        <w:t>en</w:t>
      </w:r>
      <w:r w:rsidR="009B4F91">
        <w:rPr>
          <w:rStyle w:val="normaltextrun"/>
          <w:rFonts w:ascii="Arial" w:hAnsi="Arial" w:cs="Arial"/>
          <w:color w:val="000000"/>
          <w:sz w:val="22"/>
          <w:shd w:val="clear" w:color="auto" w:fill="FFFFFF"/>
        </w:rPr>
        <w:t xml:space="preserve"> el numeral</w:t>
      </w:r>
      <w:r w:rsidR="007F4622">
        <w:rPr>
          <w:rStyle w:val="normaltextrun"/>
          <w:rFonts w:ascii="Arial" w:hAnsi="Arial" w:cs="Arial"/>
          <w:color w:val="000000"/>
          <w:sz w:val="22"/>
          <w:shd w:val="clear" w:color="auto" w:fill="FFFFFF"/>
        </w:rPr>
        <w:t xml:space="preserve"> «</w:t>
      </w:r>
      <w:r w:rsidR="009B4F91" w:rsidRPr="009B4F91">
        <w:rPr>
          <w:rStyle w:val="normaltextrun"/>
          <w:rFonts w:ascii="Arial" w:hAnsi="Arial" w:cs="Arial"/>
          <w:color w:val="000000"/>
          <w:sz w:val="22"/>
          <w:shd w:val="clear" w:color="auto" w:fill="FFFFFF"/>
        </w:rPr>
        <w:t>7.7</w:t>
      </w:r>
      <w:r w:rsidR="009B4F91">
        <w:rPr>
          <w:rStyle w:val="normaltextrun"/>
          <w:rFonts w:ascii="Arial" w:hAnsi="Arial" w:cs="Arial"/>
          <w:color w:val="000000"/>
          <w:sz w:val="22"/>
          <w:shd w:val="clear" w:color="auto" w:fill="FFFFFF"/>
        </w:rPr>
        <w:t>. C</w:t>
      </w:r>
      <w:r w:rsidR="009B4F91" w:rsidRPr="009B4F91">
        <w:rPr>
          <w:rStyle w:val="normaltextrun"/>
          <w:rFonts w:ascii="Arial" w:hAnsi="Arial" w:cs="Arial"/>
          <w:color w:val="000000"/>
          <w:sz w:val="22"/>
          <w:shd w:val="clear" w:color="auto" w:fill="FFFFFF"/>
        </w:rPr>
        <w:t>onstrucción de puentes peatonales en estructura metálica o en concreto</w:t>
      </w:r>
      <w:r w:rsidR="007F4622">
        <w:rPr>
          <w:rStyle w:val="normaltextrun"/>
          <w:rFonts w:ascii="Arial" w:hAnsi="Arial" w:cs="Arial"/>
          <w:color w:val="000000"/>
          <w:sz w:val="22"/>
          <w:shd w:val="clear" w:color="auto" w:fill="FFFFFF"/>
        </w:rPr>
        <w:t xml:space="preserve">». </w:t>
      </w:r>
    </w:p>
    <w:p w14:paraId="3C6761F9" w14:textId="59D17810" w:rsidR="005967A7" w:rsidRDefault="00381AE6" w:rsidP="007F415E">
      <w:pPr>
        <w:spacing w:after="120" w:line="276" w:lineRule="auto"/>
        <w:ind w:firstLine="709"/>
        <w:jc w:val="both"/>
        <w:rPr>
          <w:rStyle w:val="normaltextrun"/>
          <w:rFonts w:ascii="Arial" w:hAnsi="Arial" w:cs="Arial"/>
          <w:color w:val="000000"/>
          <w:sz w:val="22"/>
          <w:shd w:val="clear" w:color="auto" w:fill="FFFFFF"/>
        </w:rPr>
      </w:pPr>
      <w:r>
        <w:rPr>
          <w:rStyle w:val="normaltextrun"/>
          <w:rFonts w:ascii="Arial" w:hAnsi="Arial" w:cs="Arial"/>
          <w:color w:val="000000"/>
          <w:sz w:val="22"/>
          <w:shd w:val="clear" w:color="auto" w:fill="FFFFFF"/>
        </w:rPr>
        <w:t>No obstante</w:t>
      </w:r>
      <w:r w:rsidR="005967A7">
        <w:rPr>
          <w:rStyle w:val="normaltextrun"/>
          <w:rFonts w:ascii="Arial" w:hAnsi="Arial" w:cs="Arial"/>
          <w:color w:val="000000"/>
          <w:sz w:val="22"/>
          <w:shd w:val="clear" w:color="auto" w:fill="FFFFFF"/>
        </w:rPr>
        <w:t>, también es necesario</w:t>
      </w:r>
      <w:r w:rsidR="0030413C">
        <w:rPr>
          <w:rStyle w:val="normaltextrun"/>
          <w:rFonts w:ascii="Arial" w:hAnsi="Arial" w:cs="Arial"/>
          <w:color w:val="000000"/>
          <w:sz w:val="22"/>
          <w:shd w:val="clear" w:color="auto" w:fill="FFFFFF"/>
        </w:rPr>
        <w:t xml:space="preserve"> analizar</w:t>
      </w:r>
      <w:r w:rsidR="005967A7">
        <w:rPr>
          <w:rStyle w:val="normaltextrun"/>
          <w:rFonts w:ascii="Arial" w:hAnsi="Arial" w:cs="Arial"/>
          <w:color w:val="000000"/>
          <w:sz w:val="22"/>
          <w:shd w:val="clear" w:color="auto" w:fill="FFFFFF"/>
        </w:rPr>
        <w:t xml:space="preserve"> </w:t>
      </w:r>
      <w:r>
        <w:rPr>
          <w:rStyle w:val="normaltextrun"/>
          <w:rFonts w:ascii="Arial" w:hAnsi="Arial" w:cs="Arial"/>
          <w:color w:val="000000"/>
          <w:sz w:val="22"/>
          <w:shd w:val="clear" w:color="auto" w:fill="FFFFFF"/>
        </w:rPr>
        <w:t>si los documentos tipo aplican a los</w:t>
      </w:r>
      <w:r w:rsidR="009B4F91">
        <w:rPr>
          <w:rStyle w:val="normaltextrun"/>
          <w:rFonts w:ascii="Arial" w:hAnsi="Arial" w:cs="Arial"/>
          <w:color w:val="000000"/>
          <w:sz w:val="22"/>
          <w:shd w:val="clear" w:color="auto" w:fill="FFFFFF"/>
        </w:rPr>
        <w:t xml:space="preserve"> </w:t>
      </w:r>
      <w:r w:rsidR="009B4F91" w:rsidRPr="009B4F91">
        <w:rPr>
          <w:rStyle w:val="normaltextrun"/>
          <w:rFonts w:ascii="Arial" w:hAnsi="Arial" w:cs="Arial"/>
          <w:i/>
          <w:iCs/>
          <w:color w:val="000000"/>
          <w:sz w:val="22"/>
          <w:shd w:val="clear" w:color="auto" w:fill="FFFFFF"/>
        </w:rPr>
        <w:t>proyectos de mejoramiento</w:t>
      </w:r>
      <w:r w:rsidR="009B4F91">
        <w:rPr>
          <w:rStyle w:val="normaltextrun"/>
          <w:rFonts w:ascii="Arial" w:hAnsi="Arial" w:cs="Arial"/>
          <w:color w:val="000000"/>
          <w:sz w:val="22"/>
          <w:shd w:val="clear" w:color="auto" w:fill="FFFFFF"/>
        </w:rPr>
        <w:t xml:space="preserve">. </w:t>
      </w:r>
      <w:r>
        <w:rPr>
          <w:rStyle w:val="normaltextrun"/>
          <w:rFonts w:ascii="Arial" w:hAnsi="Arial" w:cs="Arial"/>
          <w:color w:val="000000"/>
          <w:sz w:val="22"/>
          <w:shd w:val="clear" w:color="auto" w:fill="FFFFFF"/>
        </w:rPr>
        <w:t>Este punto</w:t>
      </w:r>
      <w:r w:rsidR="009B4F91">
        <w:rPr>
          <w:rStyle w:val="normaltextrun"/>
          <w:rFonts w:ascii="Arial" w:hAnsi="Arial" w:cs="Arial"/>
          <w:color w:val="000000"/>
          <w:sz w:val="22"/>
          <w:shd w:val="clear" w:color="auto" w:fill="FFFFFF"/>
        </w:rPr>
        <w:t xml:space="preserve"> amerita mayor discusión, pues </w:t>
      </w:r>
      <w:r w:rsidR="003072FD">
        <w:rPr>
          <w:rStyle w:val="normaltextrun"/>
          <w:rFonts w:ascii="Arial" w:hAnsi="Arial" w:cs="Arial"/>
          <w:color w:val="000000"/>
          <w:sz w:val="22"/>
          <w:shd w:val="clear" w:color="auto" w:fill="FFFFFF"/>
        </w:rPr>
        <w:t>–</w:t>
      </w:r>
      <w:r w:rsidR="009B4F91">
        <w:rPr>
          <w:rStyle w:val="normaltextrun"/>
          <w:rFonts w:ascii="Arial" w:hAnsi="Arial" w:cs="Arial"/>
          <w:color w:val="000000"/>
          <w:sz w:val="22"/>
          <w:shd w:val="clear" w:color="auto" w:fill="FFFFFF"/>
        </w:rPr>
        <w:t xml:space="preserve">si bien </w:t>
      </w:r>
      <w:r w:rsidR="003072FD">
        <w:rPr>
          <w:rStyle w:val="normaltextrun"/>
          <w:rFonts w:ascii="Arial" w:hAnsi="Arial" w:cs="Arial"/>
          <w:color w:val="000000"/>
          <w:sz w:val="22"/>
          <w:shd w:val="clear" w:color="auto" w:fill="FFFFFF"/>
        </w:rPr>
        <w:t>la actividad también está relacionada con «</w:t>
      </w:r>
      <w:r w:rsidR="003072FD" w:rsidRPr="00C86E7D">
        <w:rPr>
          <w:rStyle w:val="normaltextrun"/>
          <w:rFonts w:ascii="Arial" w:hAnsi="Arial" w:cs="Arial"/>
          <w:color w:val="000000"/>
          <w:sz w:val="22"/>
          <w:shd w:val="clear" w:color="auto" w:fill="FFFFFF"/>
        </w:rPr>
        <w:t>obras en puente</w:t>
      </w:r>
      <w:r w:rsidR="003072FD">
        <w:rPr>
          <w:rStyle w:val="normaltextrun"/>
          <w:rFonts w:ascii="Arial" w:hAnsi="Arial" w:cs="Arial"/>
          <w:color w:val="000000"/>
          <w:sz w:val="22"/>
          <w:shd w:val="clear" w:color="auto" w:fill="FFFFFF"/>
        </w:rPr>
        <w:t xml:space="preserve">s»– </w:t>
      </w:r>
      <w:r>
        <w:rPr>
          <w:rStyle w:val="normaltextrun"/>
          <w:rFonts w:ascii="Arial" w:hAnsi="Arial" w:cs="Arial"/>
          <w:color w:val="000000"/>
          <w:sz w:val="22"/>
          <w:shd w:val="clear" w:color="auto" w:fill="FFFFFF"/>
        </w:rPr>
        <w:t xml:space="preserve">el numeral 7.8 de </w:t>
      </w:r>
      <w:r w:rsidR="003072FD">
        <w:rPr>
          <w:rStyle w:val="normaltextrun"/>
          <w:rFonts w:ascii="Arial" w:hAnsi="Arial" w:cs="Arial"/>
          <w:color w:val="000000"/>
          <w:sz w:val="22"/>
          <w:shd w:val="clear" w:color="auto" w:fill="FFFFFF"/>
        </w:rPr>
        <w:t xml:space="preserve">la </w:t>
      </w:r>
      <w:r w:rsidR="003072FD">
        <w:rPr>
          <w:rFonts w:ascii="Arial" w:hAnsi="Arial" w:cs="Arial"/>
          <w:color w:val="0D0D0D" w:themeColor="text1" w:themeTint="F2"/>
          <w:sz w:val="22"/>
        </w:rPr>
        <w:t>«</w:t>
      </w:r>
      <w:r w:rsidR="003072FD" w:rsidRPr="005B2F33">
        <w:rPr>
          <w:rFonts w:ascii="Arial" w:hAnsi="Arial" w:cs="Arial"/>
          <w:color w:val="0D0D0D" w:themeColor="text1" w:themeTint="F2"/>
          <w:sz w:val="22"/>
        </w:rPr>
        <w:t xml:space="preserve">Matriz 1 </w:t>
      </w:r>
      <w:r w:rsidR="003072FD">
        <w:rPr>
          <w:rFonts w:ascii="Arial" w:hAnsi="Arial" w:cs="Arial"/>
          <w:color w:val="0D0D0D" w:themeColor="text1" w:themeTint="F2"/>
          <w:sz w:val="22"/>
        </w:rPr>
        <w:t>–</w:t>
      </w:r>
      <w:r w:rsidR="003072FD" w:rsidRPr="005B2F33">
        <w:rPr>
          <w:rFonts w:ascii="Arial" w:hAnsi="Arial" w:cs="Arial"/>
          <w:color w:val="0D0D0D" w:themeColor="text1" w:themeTint="F2"/>
          <w:sz w:val="22"/>
        </w:rPr>
        <w:t xml:space="preserve"> Experiencia</w:t>
      </w:r>
      <w:r w:rsidR="003072FD">
        <w:rPr>
          <w:rFonts w:ascii="Arial" w:hAnsi="Arial" w:cs="Arial"/>
          <w:color w:val="0D0D0D" w:themeColor="text1" w:themeTint="F2"/>
          <w:sz w:val="22"/>
        </w:rPr>
        <w:t xml:space="preserve">» de los documentos tipo adoptados mediante las </w:t>
      </w:r>
      <w:r w:rsidR="003072FD" w:rsidRPr="005B2F33">
        <w:rPr>
          <w:rFonts w:ascii="Arial" w:hAnsi="Arial" w:cs="Arial"/>
          <w:color w:val="0D0D0D" w:themeColor="text1" w:themeTint="F2"/>
          <w:sz w:val="22"/>
        </w:rPr>
        <w:t>Resoluci</w:t>
      </w:r>
      <w:r w:rsidR="003072FD">
        <w:rPr>
          <w:rFonts w:ascii="Arial" w:hAnsi="Arial" w:cs="Arial"/>
          <w:color w:val="0D0D0D" w:themeColor="text1" w:themeTint="F2"/>
          <w:sz w:val="22"/>
        </w:rPr>
        <w:t>ones</w:t>
      </w:r>
      <w:r w:rsidR="003072FD" w:rsidRPr="005B2F33">
        <w:rPr>
          <w:rFonts w:ascii="Arial" w:hAnsi="Arial" w:cs="Arial"/>
          <w:color w:val="0D0D0D" w:themeColor="text1" w:themeTint="F2"/>
          <w:sz w:val="22"/>
        </w:rPr>
        <w:t xml:space="preserve"> No. 0</w:t>
      </w:r>
      <w:r w:rsidR="003072FD">
        <w:rPr>
          <w:rFonts w:ascii="Arial" w:hAnsi="Arial" w:cs="Arial"/>
          <w:color w:val="0D0D0D" w:themeColor="text1" w:themeTint="F2"/>
          <w:sz w:val="22"/>
        </w:rPr>
        <w:t>44, 0</w:t>
      </w:r>
      <w:r w:rsidR="003072FD" w:rsidRPr="005B2F33">
        <w:rPr>
          <w:rFonts w:ascii="Arial" w:hAnsi="Arial" w:cs="Arial"/>
          <w:color w:val="0D0D0D" w:themeColor="text1" w:themeTint="F2"/>
          <w:sz w:val="22"/>
        </w:rPr>
        <w:t>45</w:t>
      </w:r>
      <w:r w:rsidR="003072FD">
        <w:rPr>
          <w:rFonts w:ascii="Arial" w:hAnsi="Arial" w:cs="Arial"/>
          <w:color w:val="0D0D0D" w:themeColor="text1" w:themeTint="F2"/>
          <w:sz w:val="22"/>
        </w:rPr>
        <w:t xml:space="preserve"> y 094</w:t>
      </w:r>
      <w:r w:rsidR="003072FD" w:rsidRPr="005B2F33">
        <w:rPr>
          <w:rFonts w:ascii="Arial" w:hAnsi="Arial" w:cs="Arial"/>
          <w:color w:val="0D0D0D" w:themeColor="text1" w:themeTint="F2"/>
          <w:sz w:val="22"/>
        </w:rPr>
        <w:t xml:space="preserve"> de 2020</w:t>
      </w:r>
      <w:r>
        <w:rPr>
          <w:rFonts w:ascii="Arial" w:hAnsi="Arial" w:cs="Arial"/>
          <w:color w:val="0D0D0D" w:themeColor="text1" w:themeTint="F2"/>
          <w:sz w:val="22"/>
        </w:rPr>
        <w:t xml:space="preserve"> se refiere a los proyectos de «</w:t>
      </w:r>
      <w:r w:rsidRPr="00E61B56">
        <w:rPr>
          <w:rFonts w:ascii="Arial" w:hAnsi="Arial" w:cs="Arial"/>
          <w:i/>
          <w:iCs/>
          <w:color w:val="0D0D0D" w:themeColor="text1" w:themeTint="F2"/>
          <w:sz w:val="22"/>
        </w:rPr>
        <w:t>mantenimiento</w:t>
      </w:r>
      <w:r w:rsidRPr="00381AE6">
        <w:rPr>
          <w:rFonts w:ascii="Arial" w:hAnsi="Arial" w:cs="Arial"/>
          <w:color w:val="0D0D0D" w:themeColor="text1" w:themeTint="F2"/>
          <w:sz w:val="22"/>
        </w:rPr>
        <w:t xml:space="preserve"> de puentes peatonales en estructura metálica o en concreto</w:t>
      </w:r>
      <w:r>
        <w:rPr>
          <w:rFonts w:ascii="Arial" w:hAnsi="Arial" w:cs="Arial"/>
          <w:color w:val="0D0D0D" w:themeColor="text1" w:themeTint="F2"/>
          <w:sz w:val="22"/>
        </w:rPr>
        <w:t>»</w:t>
      </w:r>
      <w:r w:rsidR="00E61B56">
        <w:rPr>
          <w:rFonts w:ascii="Arial" w:hAnsi="Arial" w:cs="Arial"/>
          <w:color w:val="0D0D0D" w:themeColor="text1" w:themeTint="F2"/>
          <w:sz w:val="22"/>
        </w:rPr>
        <w:t xml:space="preserve"> (Énfasis fuera de texto)</w:t>
      </w:r>
      <w:r>
        <w:rPr>
          <w:rFonts w:ascii="Arial" w:hAnsi="Arial" w:cs="Arial"/>
          <w:color w:val="0D0D0D" w:themeColor="text1" w:themeTint="F2"/>
          <w:sz w:val="22"/>
        </w:rPr>
        <w:t xml:space="preserve">. En este punto el problema consiste en determinar si </w:t>
      </w:r>
      <w:r w:rsidR="008B351C">
        <w:rPr>
          <w:rFonts w:ascii="Arial" w:hAnsi="Arial" w:cs="Arial"/>
          <w:color w:val="0D0D0D" w:themeColor="text1" w:themeTint="F2"/>
          <w:sz w:val="22"/>
        </w:rPr>
        <w:t>el concepto de</w:t>
      </w:r>
      <w:r>
        <w:rPr>
          <w:rFonts w:ascii="Arial" w:hAnsi="Arial" w:cs="Arial"/>
          <w:color w:val="0D0D0D" w:themeColor="text1" w:themeTint="F2"/>
          <w:sz w:val="22"/>
        </w:rPr>
        <w:t xml:space="preserve"> «mantenimiento» </w:t>
      </w:r>
      <w:r w:rsidR="007A5AF2">
        <w:rPr>
          <w:rFonts w:ascii="Arial" w:hAnsi="Arial" w:cs="Arial"/>
          <w:color w:val="0D0D0D" w:themeColor="text1" w:themeTint="F2"/>
          <w:sz w:val="22"/>
        </w:rPr>
        <w:t>está relacionado con</w:t>
      </w:r>
      <w:r w:rsidR="008B351C">
        <w:rPr>
          <w:rFonts w:ascii="Arial" w:hAnsi="Arial" w:cs="Arial"/>
          <w:color w:val="0D0D0D" w:themeColor="text1" w:themeTint="F2"/>
          <w:sz w:val="22"/>
        </w:rPr>
        <w:t xml:space="preserve"> el de «mejoramiento»</w:t>
      </w:r>
      <w:r>
        <w:rPr>
          <w:rFonts w:ascii="Arial" w:hAnsi="Arial" w:cs="Arial"/>
          <w:color w:val="0D0D0D" w:themeColor="text1" w:themeTint="F2"/>
          <w:sz w:val="22"/>
        </w:rPr>
        <w:t>.</w:t>
      </w:r>
      <w:r w:rsidR="003072FD">
        <w:rPr>
          <w:rStyle w:val="normaltextrun"/>
          <w:rFonts w:ascii="Arial" w:hAnsi="Arial" w:cs="Arial"/>
          <w:color w:val="000000"/>
          <w:sz w:val="22"/>
          <w:shd w:val="clear" w:color="auto" w:fill="FFFFFF"/>
        </w:rPr>
        <w:t xml:space="preserve"> </w:t>
      </w:r>
      <w:r w:rsidR="004758C7">
        <w:rPr>
          <w:rStyle w:val="normaltextrun"/>
          <w:rFonts w:ascii="Arial" w:hAnsi="Arial" w:cs="Arial"/>
          <w:color w:val="000000"/>
          <w:sz w:val="22"/>
          <w:shd w:val="clear" w:color="auto" w:fill="FFFFFF"/>
        </w:rPr>
        <w:t xml:space="preserve"> </w:t>
      </w:r>
    </w:p>
    <w:p w14:paraId="605F02F7" w14:textId="5942E288" w:rsidR="00E61B56" w:rsidRDefault="00E61B56" w:rsidP="007F415E">
      <w:pPr>
        <w:spacing w:after="120" w:line="276" w:lineRule="auto"/>
        <w:ind w:firstLine="709"/>
        <w:jc w:val="both"/>
        <w:rPr>
          <w:rStyle w:val="normaltextrun"/>
          <w:rFonts w:ascii="Arial" w:hAnsi="Arial" w:cs="Arial"/>
          <w:color w:val="000000"/>
          <w:sz w:val="22"/>
          <w:shd w:val="clear" w:color="auto" w:fill="FFFFFF"/>
        </w:rPr>
      </w:pPr>
      <w:r>
        <w:rPr>
          <w:rStyle w:val="normaltextrun"/>
          <w:rFonts w:ascii="Arial" w:hAnsi="Arial" w:cs="Arial"/>
          <w:color w:val="000000"/>
          <w:sz w:val="22"/>
          <w:shd w:val="clear" w:color="auto" w:fill="FFFFFF"/>
        </w:rPr>
        <w:t>Al respecto</w:t>
      </w:r>
      <w:r w:rsidR="0030413C">
        <w:rPr>
          <w:rStyle w:val="normaltextrun"/>
          <w:rFonts w:ascii="Arial" w:hAnsi="Arial" w:cs="Arial"/>
          <w:color w:val="000000"/>
          <w:sz w:val="22"/>
          <w:shd w:val="clear" w:color="auto" w:fill="FFFFFF"/>
        </w:rPr>
        <w:t xml:space="preserve">, el «Anexo 8 – Glosario» define el «proyecto de conservación y/o mantenimiento de puentes» como «[…] </w:t>
      </w:r>
      <w:r w:rsidR="0030413C" w:rsidRPr="0030413C">
        <w:rPr>
          <w:rStyle w:val="normaltextrun"/>
          <w:rFonts w:ascii="Arial" w:hAnsi="Arial" w:cs="Arial"/>
          <w:color w:val="000000"/>
          <w:sz w:val="22"/>
          <w:shd w:val="clear" w:color="auto" w:fill="FFFFFF"/>
        </w:rPr>
        <w:t>toda obra efectuada tanto a la infraestructura como a la superestructura encaminada a preservar las condiciones físico mecánicas iniciales del puente</w:t>
      </w:r>
      <w:r w:rsidR="0030413C">
        <w:rPr>
          <w:rStyle w:val="normaltextrun"/>
          <w:rFonts w:ascii="Arial" w:hAnsi="Arial" w:cs="Arial"/>
          <w:color w:val="000000"/>
          <w:sz w:val="22"/>
          <w:shd w:val="clear" w:color="auto" w:fill="FFFFFF"/>
        </w:rPr>
        <w:t xml:space="preserve">». </w:t>
      </w:r>
      <w:r>
        <w:rPr>
          <w:rStyle w:val="normaltextrun"/>
          <w:rFonts w:ascii="Arial" w:hAnsi="Arial" w:cs="Arial"/>
          <w:color w:val="000000"/>
          <w:sz w:val="22"/>
          <w:shd w:val="clear" w:color="auto" w:fill="FFFFFF"/>
        </w:rPr>
        <w:t xml:space="preserve">Por otra parte, también define el «proyecto de mejoramiento» como «[…] </w:t>
      </w:r>
      <w:bookmarkStart w:id="7" w:name="_Hlk56444940"/>
      <w:r w:rsidRPr="00E61B56">
        <w:rPr>
          <w:rStyle w:val="normaltextrun"/>
          <w:rFonts w:ascii="Arial" w:hAnsi="Arial" w:cs="Arial"/>
          <w:color w:val="000000"/>
          <w:sz w:val="22"/>
          <w:shd w:val="clear" w:color="auto" w:fill="FFFFFF"/>
        </w:rPr>
        <w:t>el cambio de especificaciones y dimensiones de la obra; para lo cual, se hace necesaria la construcción de obras en infraestructura ya existente, que permitan una adecuación de la obra a los niveles de servicio requeridos por las condiciones actuales y proyectadas</w:t>
      </w:r>
      <w:r>
        <w:rPr>
          <w:rStyle w:val="normaltextrun"/>
          <w:rFonts w:ascii="Arial" w:hAnsi="Arial" w:cs="Arial"/>
          <w:color w:val="000000"/>
          <w:sz w:val="22"/>
          <w:shd w:val="clear" w:color="auto" w:fill="FFFFFF"/>
        </w:rPr>
        <w:t xml:space="preserve"> </w:t>
      </w:r>
      <w:bookmarkEnd w:id="7"/>
      <w:r>
        <w:rPr>
          <w:rStyle w:val="normaltextrun"/>
          <w:rFonts w:ascii="Arial" w:hAnsi="Arial" w:cs="Arial"/>
          <w:color w:val="000000"/>
          <w:sz w:val="22"/>
          <w:shd w:val="clear" w:color="auto" w:fill="FFFFFF"/>
        </w:rPr>
        <w:t>[…]».</w:t>
      </w:r>
    </w:p>
    <w:p w14:paraId="41FF7356" w14:textId="5819CD50" w:rsidR="008B351C" w:rsidRDefault="008B351C" w:rsidP="007F415E">
      <w:pPr>
        <w:spacing w:after="120" w:line="276" w:lineRule="auto"/>
        <w:ind w:firstLine="709"/>
        <w:jc w:val="both"/>
        <w:rPr>
          <w:rStyle w:val="normaltextrun"/>
          <w:rFonts w:ascii="Arial" w:hAnsi="Arial" w:cs="Arial"/>
          <w:color w:val="000000"/>
          <w:sz w:val="22"/>
          <w:shd w:val="clear" w:color="auto" w:fill="FFFFFF"/>
        </w:rPr>
      </w:pPr>
      <w:r>
        <w:rPr>
          <w:rStyle w:val="normaltextrun"/>
          <w:rFonts w:ascii="Arial" w:hAnsi="Arial" w:cs="Arial"/>
          <w:color w:val="000000"/>
          <w:sz w:val="22"/>
          <w:shd w:val="clear" w:color="auto" w:fill="FFFFFF"/>
        </w:rPr>
        <w:t>Desde esta perspectiva</w:t>
      </w:r>
      <w:r w:rsidR="00E61B56">
        <w:rPr>
          <w:rStyle w:val="normaltextrun"/>
          <w:rFonts w:ascii="Arial" w:hAnsi="Arial" w:cs="Arial"/>
          <w:color w:val="000000"/>
          <w:sz w:val="22"/>
          <w:shd w:val="clear" w:color="auto" w:fill="FFFFFF"/>
        </w:rPr>
        <w:t>,</w:t>
      </w:r>
      <w:r w:rsidR="00F00015">
        <w:rPr>
          <w:rStyle w:val="normaltextrun"/>
          <w:rFonts w:ascii="Arial" w:hAnsi="Arial" w:cs="Arial"/>
          <w:color w:val="000000"/>
          <w:sz w:val="22"/>
          <w:shd w:val="clear" w:color="auto" w:fill="FFFFFF"/>
        </w:rPr>
        <w:t xml:space="preserve"> </w:t>
      </w:r>
      <w:r w:rsidR="00E61B56">
        <w:rPr>
          <w:rStyle w:val="normaltextrun"/>
          <w:rFonts w:ascii="Arial" w:hAnsi="Arial" w:cs="Arial"/>
          <w:color w:val="000000"/>
          <w:sz w:val="22"/>
          <w:shd w:val="clear" w:color="auto" w:fill="FFFFFF"/>
        </w:rPr>
        <w:t>los conceptos de mejoramiento y mantenimiento serían diferentes</w:t>
      </w:r>
      <w:r w:rsidR="002C4875">
        <w:rPr>
          <w:rStyle w:val="normaltextrun"/>
          <w:rFonts w:ascii="Arial" w:hAnsi="Arial" w:cs="Arial"/>
          <w:color w:val="000000"/>
          <w:sz w:val="22"/>
          <w:shd w:val="clear" w:color="auto" w:fill="FFFFFF"/>
        </w:rPr>
        <w:t>,</w:t>
      </w:r>
      <w:r w:rsidR="00E61B56">
        <w:rPr>
          <w:rStyle w:val="normaltextrun"/>
          <w:rFonts w:ascii="Arial" w:hAnsi="Arial" w:cs="Arial"/>
          <w:color w:val="000000"/>
          <w:sz w:val="22"/>
          <w:shd w:val="clear" w:color="auto" w:fill="FFFFFF"/>
        </w:rPr>
        <w:t xml:space="preserve"> razón por la cual, si bien los documentos tipo aplican directamente a las actividades de mantenimiento de puentes peatonales, </w:t>
      </w:r>
      <w:r w:rsidR="00F00015">
        <w:rPr>
          <w:rStyle w:val="normaltextrun"/>
          <w:rFonts w:ascii="Arial" w:hAnsi="Arial" w:cs="Arial"/>
          <w:color w:val="000000"/>
          <w:sz w:val="22"/>
          <w:shd w:val="clear" w:color="auto" w:fill="FFFFFF"/>
        </w:rPr>
        <w:t>no cubrirían</w:t>
      </w:r>
      <w:r w:rsidR="00E61B56">
        <w:rPr>
          <w:rStyle w:val="normaltextrun"/>
          <w:rFonts w:ascii="Arial" w:hAnsi="Arial" w:cs="Arial"/>
          <w:color w:val="000000"/>
          <w:sz w:val="22"/>
          <w:shd w:val="clear" w:color="auto" w:fill="FFFFFF"/>
        </w:rPr>
        <w:t xml:space="preserve"> las</w:t>
      </w:r>
      <w:r w:rsidR="00F00015">
        <w:rPr>
          <w:rStyle w:val="normaltextrun"/>
          <w:rFonts w:ascii="Arial" w:hAnsi="Arial" w:cs="Arial"/>
          <w:color w:val="000000"/>
          <w:sz w:val="22"/>
          <w:shd w:val="clear" w:color="auto" w:fill="FFFFFF"/>
        </w:rPr>
        <w:t xml:space="preserve"> de mejoramiento. De hecho, más allá del significado técnico de las palabras en la rama de la ingeniería, esta conclusión sería acorde a las definiciones de la RAE. </w:t>
      </w:r>
      <w:r w:rsidR="00C6415E">
        <w:rPr>
          <w:rStyle w:val="normaltextrun"/>
          <w:rFonts w:ascii="Arial" w:hAnsi="Arial" w:cs="Arial"/>
          <w:color w:val="000000"/>
          <w:sz w:val="22"/>
          <w:shd w:val="clear" w:color="auto" w:fill="FFFFFF"/>
        </w:rPr>
        <w:t>De hecho</w:t>
      </w:r>
      <w:r w:rsidR="00F00015">
        <w:rPr>
          <w:rStyle w:val="normaltextrun"/>
          <w:rFonts w:ascii="Arial" w:hAnsi="Arial" w:cs="Arial"/>
          <w:color w:val="000000"/>
          <w:sz w:val="22"/>
          <w:shd w:val="clear" w:color="auto" w:fill="FFFFFF"/>
        </w:rPr>
        <w:t>, mientras el verbo «</w:t>
      </w:r>
      <w:r>
        <w:rPr>
          <w:rStyle w:val="normaltextrun"/>
          <w:rFonts w:ascii="Arial" w:hAnsi="Arial" w:cs="Arial"/>
          <w:color w:val="000000"/>
          <w:sz w:val="22"/>
          <w:shd w:val="clear" w:color="auto" w:fill="FFFFFF"/>
        </w:rPr>
        <w:t>mantener» se refiere a «</w:t>
      </w:r>
      <w:r w:rsidRPr="008B351C">
        <w:rPr>
          <w:rStyle w:val="normaltextrun"/>
          <w:rFonts w:ascii="Arial" w:hAnsi="Arial" w:cs="Arial"/>
          <w:color w:val="000000"/>
          <w:sz w:val="22"/>
          <w:shd w:val="clear" w:color="auto" w:fill="FFFFFF"/>
        </w:rPr>
        <w:t>Conservar algo en su ser, darle vigor y permanencia</w:t>
      </w:r>
      <w:r>
        <w:rPr>
          <w:rStyle w:val="normaltextrun"/>
          <w:rFonts w:ascii="Arial" w:hAnsi="Arial" w:cs="Arial"/>
          <w:color w:val="000000"/>
          <w:sz w:val="22"/>
          <w:shd w:val="clear" w:color="auto" w:fill="FFFFFF"/>
        </w:rPr>
        <w:t>»,</w:t>
      </w:r>
      <w:r w:rsidR="00F00015">
        <w:rPr>
          <w:rStyle w:val="normaltextrun"/>
          <w:rFonts w:ascii="Arial" w:hAnsi="Arial" w:cs="Arial"/>
          <w:color w:val="000000"/>
          <w:sz w:val="22"/>
          <w:shd w:val="clear" w:color="auto" w:fill="FFFFFF"/>
        </w:rPr>
        <w:t xml:space="preserve"> el verbo «mejorar» alude a «</w:t>
      </w:r>
      <w:r w:rsidR="00F00015" w:rsidRPr="00F00015">
        <w:rPr>
          <w:rStyle w:val="normaltextrun"/>
          <w:rFonts w:ascii="Arial" w:hAnsi="Arial" w:cs="Arial"/>
          <w:color w:val="000000"/>
          <w:sz w:val="22"/>
          <w:shd w:val="clear" w:color="auto" w:fill="FFFFFF"/>
        </w:rPr>
        <w:t>Adelantar, acrecentar algo, haciéndolo pasar a un estado mejor</w:t>
      </w:r>
      <w:r w:rsidR="00F00015">
        <w:rPr>
          <w:rStyle w:val="normaltextrun"/>
          <w:rFonts w:ascii="Arial" w:hAnsi="Arial" w:cs="Arial"/>
          <w:color w:val="000000"/>
          <w:sz w:val="22"/>
          <w:shd w:val="clear" w:color="auto" w:fill="FFFFFF"/>
        </w:rPr>
        <w:t>»</w:t>
      </w:r>
      <w:r w:rsidR="00F00015" w:rsidRPr="00F00015">
        <w:rPr>
          <w:rStyle w:val="normaltextrun"/>
          <w:rFonts w:ascii="Arial" w:hAnsi="Arial" w:cs="Arial"/>
          <w:color w:val="000000"/>
          <w:sz w:val="22"/>
          <w:shd w:val="clear" w:color="auto" w:fill="FFFFFF"/>
        </w:rPr>
        <w:t>.</w:t>
      </w:r>
      <w:r>
        <w:rPr>
          <w:rStyle w:val="normaltextrun"/>
          <w:rFonts w:ascii="Arial" w:hAnsi="Arial" w:cs="Arial"/>
          <w:color w:val="000000"/>
          <w:sz w:val="22"/>
          <w:shd w:val="clear" w:color="auto" w:fill="FFFFFF"/>
        </w:rPr>
        <w:t xml:space="preserve"> </w:t>
      </w:r>
      <w:r w:rsidR="00E61B56">
        <w:rPr>
          <w:rStyle w:val="normaltextrun"/>
          <w:rFonts w:ascii="Arial" w:hAnsi="Arial" w:cs="Arial"/>
          <w:color w:val="000000"/>
          <w:sz w:val="22"/>
          <w:shd w:val="clear" w:color="auto" w:fill="FFFFFF"/>
        </w:rPr>
        <w:t xml:space="preserve">  </w:t>
      </w:r>
    </w:p>
    <w:p w14:paraId="20FFAF2F" w14:textId="77777777" w:rsidR="00C6415E" w:rsidRDefault="008B351C" w:rsidP="007F415E">
      <w:pPr>
        <w:spacing w:after="120" w:line="276" w:lineRule="auto"/>
        <w:ind w:firstLine="709"/>
        <w:jc w:val="both"/>
        <w:rPr>
          <w:rFonts w:ascii="Arial" w:hAnsi="Arial" w:cs="Arial"/>
          <w:color w:val="0D0D0D" w:themeColor="text1" w:themeTint="F2"/>
          <w:sz w:val="22"/>
        </w:rPr>
      </w:pPr>
      <w:r>
        <w:rPr>
          <w:rStyle w:val="normaltextrun"/>
          <w:rFonts w:ascii="Arial" w:hAnsi="Arial" w:cs="Arial"/>
          <w:color w:val="000000"/>
          <w:sz w:val="22"/>
          <w:shd w:val="clear" w:color="auto" w:fill="FFFFFF"/>
        </w:rPr>
        <w:t xml:space="preserve">Sin embargo, la Subdirección de Gestión Contractual no comparte esta tesis, ya que si bien las actividades de mejoramiento no están </w:t>
      </w:r>
      <w:r w:rsidR="00E403EC">
        <w:rPr>
          <w:rStyle w:val="normaltextrun"/>
          <w:rFonts w:ascii="Arial" w:hAnsi="Arial" w:cs="Arial"/>
          <w:color w:val="000000"/>
          <w:sz w:val="22"/>
          <w:shd w:val="clear" w:color="auto" w:fill="FFFFFF"/>
        </w:rPr>
        <w:t xml:space="preserve">expresamente previstas </w:t>
      </w:r>
      <w:r>
        <w:rPr>
          <w:rStyle w:val="normaltextrun"/>
          <w:rFonts w:ascii="Arial" w:hAnsi="Arial" w:cs="Arial"/>
          <w:color w:val="000000"/>
          <w:sz w:val="22"/>
          <w:shd w:val="clear" w:color="auto" w:fill="FFFFFF"/>
        </w:rPr>
        <w:t xml:space="preserve">en el numeral 7.8 de la </w:t>
      </w:r>
      <w:r>
        <w:rPr>
          <w:rFonts w:ascii="Arial" w:hAnsi="Arial" w:cs="Arial"/>
          <w:color w:val="0D0D0D" w:themeColor="text1" w:themeTint="F2"/>
          <w:sz w:val="22"/>
        </w:rPr>
        <w:t>«</w:t>
      </w:r>
      <w:r w:rsidRPr="005B2F33">
        <w:rPr>
          <w:rFonts w:ascii="Arial" w:hAnsi="Arial" w:cs="Arial"/>
          <w:color w:val="0D0D0D" w:themeColor="text1" w:themeTint="F2"/>
          <w:sz w:val="22"/>
        </w:rPr>
        <w:t xml:space="preserve">Matriz 1 </w:t>
      </w:r>
      <w:r>
        <w:rPr>
          <w:rFonts w:ascii="Arial" w:hAnsi="Arial" w:cs="Arial"/>
          <w:color w:val="0D0D0D" w:themeColor="text1" w:themeTint="F2"/>
          <w:sz w:val="22"/>
        </w:rPr>
        <w:t>–</w:t>
      </w:r>
      <w:r w:rsidRPr="005B2F33">
        <w:rPr>
          <w:rFonts w:ascii="Arial" w:hAnsi="Arial" w:cs="Arial"/>
          <w:color w:val="0D0D0D" w:themeColor="text1" w:themeTint="F2"/>
          <w:sz w:val="22"/>
        </w:rPr>
        <w:t xml:space="preserve"> Experiencia</w:t>
      </w:r>
      <w:r>
        <w:rPr>
          <w:rFonts w:ascii="Arial" w:hAnsi="Arial" w:cs="Arial"/>
          <w:color w:val="0D0D0D" w:themeColor="text1" w:themeTint="F2"/>
          <w:sz w:val="22"/>
        </w:rPr>
        <w:t xml:space="preserve">» de los documentos tipo adoptados mediante </w:t>
      </w:r>
      <w:bookmarkStart w:id="8" w:name="_Hlk56445135"/>
      <w:r>
        <w:rPr>
          <w:rFonts w:ascii="Arial" w:hAnsi="Arial" w:cs="Arial"/>
          <w:color w:val="0D0D0D" w:themeColor="text1" w:themeTint="F2"/>
          <w:sz w:val="22"/>
        </w:rPr>
        <w:t xml:space="preserve">las </w:t>
      </w:r>
      <w:r w:rsidRPr="005B2F33">
        <w:rPr>
          <w:rFonts w:ascii="Arial" w:hAnsi="Arial" w:cs="Arial"/>
          <w:color w:val="0D0D0D" w:themeColor="text1" w:themeTint="F2"/>
          <w:sz w:val="22"/>
        </w:rPr>
        <w:t>Resoluci</w:t>
      </w:r>
      <w:r>
        <w:rPr>
          <w:rFonts w:ascii="Arial" w:hAnsi="Arial" w:cs="Arial"/>
          <w:color w:val="0D0D0D" w:themeColor="text1" w:themeTint="F2"/>
          <w:sz w:val="22"/>
        </w:rPr>
        <w:t>ones</w:t>
      </w:r>
      <w:r w:rsidRPr="005B2F33">
        <w:rPr>
          <w:rFonts w:ascii="Arial" w:hAnsi="Arial" w:cs="Arial"/>
          <w:color w:val="0D0D0D" w:themeColor="text1" w:themeTint="F2"/>
          <w:sz w:val="22"/>
        </w:rPr>
        <w:t xml:space="preserve"> No. 0</w:t>
      </w:r>
      <w:r>
        <w:rPr>
          <w:rFonts w:ascii="Arial" w:hAnsi="Arial" w:cs="Arial"/>
          <w:color w:val="0D0D0D" w:themeColor="text1" w:themeTint="F2"/>
          <w:sz w:val="22"/>
        </w:rPr>
        <w:t>44, 0</w:t>
      </w:r>
      <w:r w:rsidRPr="005B2F33">
        <w:rPr>
          <w:rFonts w:ascii="Arial" w:hAnsi="Arial" w:cs="Arial"/>
          <w:color w:val="0D0D0D" w:themeColor="text1" w:themeTint="F2"/>
          <w:sz w:val="22"/>
        </w:rPr>
        <w:t>45</w:t>
      </w:r>
      <w:r>
        <w:rPr>
          <w:rFonts w:ascii="Arial" w:hAnsi="Arial" w:cs="Arial"/>
          <w:color w:val="0D0D0D" w:themeColor="text1" w:themeTint="F2"/>
          <w:sz w:val="22"/>
        </w:rPr>
        <w:t xml:space="preserve"> y 094</w:t>
      </w:r>
      <w:r w:rsidRPr="005B2F33">
        <w:rPr>
          <w:rFonts w:ascii="Arial" w:hAnsi="Arial" w:cs="Arial"/>
          <w:color w:val="0D0D0D" w:themeColor="text1" w:themeTint="F2"/>
          <w:sz w:val="22"/>
        </w:rPr>
        <w:t xml:space="preserve"> de 2020</w:t>
      </w:r>
      <w:bookmarkEnd w:id="8"/>
      <w:r>
        <w:rPr>
          <w:rFonts w:ascii="Arial" w:hAnsi="Arial" w:cs="Arial"/>
          <w:color w:val="0D0D0D" w:themeColor="text1" w:themeTint="F2"/>
          <w:sz w:val="22"/>
        </w:rPr>
        <w:t>,</w:t>
      </w:r>
      <w:r w:rsidR="00E403EC">
        <w:rPr>
          <w:rFonts w:ascii="Arial" w:hAnsi="Arial" w:cs="Arial"/>
          <w:color w:val="0D0D0D" w:themeColor="text1" w:themeTint="F2"/>
          <w:sz w:val="22"/>
        </w:rPr>
        <w:t xml:space="preserve"> de</w:t>
      </w:r>
      <w:r>
        <w:rPr>
          <w:rFonts w:ascii="Arial" w:hAnsi="Arial" w:cs="Arial"/>
          <w:color w:val="0D0D0D" w:themeColor="text1" w:themeTint="F2"/>
          <w:sz w:val="22"/>
        </w:rPr>
        <w:t xml:space="preserve"> la experiencia general y específica solicitada para la ejecución de este objeto contractual </w:t>
      </w:r>
      <w:r w:rsidR="00E403EC">
        <w:rPr>
          <w:rFonts w:ascii="Arial" w:hAnsi="Arial" w:cs="Arial"/>
          <w:color w:val="0D0D0D" w:themeColor="text1" w:themeTint="F2"/>
          <w:sz w:val="22"/>
        </w:rPr>
        <w:t xml:space="preserve">se observa que estos proyectos están incluidos en los de mantenimiento. </w:t>
      </w:r>
    </w:p>
    <w:p w14:paraId="266989EB" w14:textId="7A283759" w:rsidR="0030413C" w:rsidRDefault="00C6415E" w:rsidP="007F415E">
      <w:pPr>
        <w:spacing w:after="120" w:line="276" w:lineRule="auto"/>
        <w:ind w:firstLine="709"/>
        <w:jc w:val="both"/>
        <w:rPr>
          <w:rStyle w:val="normaltextrun"/>
          <w:rFonts w:ascii="Arial" w:hAnsi="Arial" w:cs="Arial"/>
          <w:color w:val="000000"/>
          <w:sz w:val="22"/>
          <w:shd w:val="clear" w:color="auto" w:fill="FFFFFF"/>
        </w:rPr>
      </w:pPr>
      <w:r>
        <w:rPr>
          <w:rFonts w:ascii="Arial" w:hAnsi="Arial" w:cs="Arial"/>
          <w:color w:val="0D0D0D" w:themeColor="text1" w:themeTint="F2"/>
          <w:sz w:val="22"/>
        </w:rPr>
        <w:lastRenderedPageBreak/>
        <w:t>En efecto</w:t>
      </w:r>
      <w:r w:rsidR="00E403EC">
        <w:rPr>
          <w:rFonts w:ascii="Arial" w:hAnsi="Arial" w:cs="Arial"/>
          <w:color w:val="0D0D0D" w:themeColor="text1" w:themeTint="F2"/>
          <w:sz w:val="22"/>
        </w:rPr>
        <w:t>, la matriz</w:t>
      </w:r>
      <w:r>
        <w:rPr>
          <w:rFonts w:ascii="Arial" w:hAnsi="Arial" w:cs="Arial"/>
          <w:color w:val="0D0D0D" w:themeColor="text1" w:themeTint="F2"/>
          <w:sz w:val="22"/>
        </w:rPr>
        <w:t xml:space="preserve"> de los documentos tipo para los tres (3) procedimientos de selección objeto de consulta,</w:t>
      </w:r>
      <w:r w:rsidR="00E403EC">
        <w:rPr>
          <w:rFonts w:ascii="Arial" w:hAnsi="Arial" w:cs="Arial"/>
          <w:color w:val="0D0D0D" w:themeColor="text1" w:themeTint="F2"/>
          <w:sz w:val="22"/>
        </w:rPr>
        <w:t xml:space="preserve"> exige</w:t>
      </w:r>
      <w:r>
        <w:rPr>
          <w:rFonts w:ascii="Arial" w:hAnsi="Arial" w:cs="Arial"/>
          <w:color w:val="0D0D0D" w:themeColor="text1" w:themeTint="F2"/>
          <w:sz w:val="22"/>
        </w:rPr>
        <w:t>n</w:t>
      </w:r>
      <w:r w:rsidR="00E403EC">
        <w:rPr>
          <w:rFonts w:ascii="Arial" w:hAnsi="Arial" w:cs="Arial"/>
          <w:color w:val="0D0D0D" w:themeColor="text1" w:themeTint="F2"/>
          <w:sz w:val="22"/>
        </w:rPr>
        <w:t xml:space="preserve"> experiencia en </w:t>
      </w:r>
      <w:r>
        <w:rPr>
          <w:rFonts w:ascii="Arial" w:hAnsi="Arial" w:cs="Arial"/>
          <w:color w:val="0D0D0D" w:themeColor="text1" w:themeTint="F2"/>
          <w:sz w:val="22"/>
        </w:rPr>
        <w:t xml:space="preserve">la </w:t>
      </w:r>
      <w:r w:rsidR="00E403EC">
        <w:rPr>
          <w:rFonts w:ascii="Arial" w:hAnsi="Arial" w:cs="Arial"/>
          <w:color w:val="0D0D0D" w:themeColor="text1" w:themeTint="F2"/>
          <w:sz w:val="22"/>
        </w:rPr>
        <w:t>«</w:t>
      </w:r>
      <w:r w:rsidRPr="00C6415E">
        <w:rPr>
          <w:rFonts w:ascii="Arial" w:hAnsi="Arial" w:cs="Arial"/>
          <w:color w:val="0D0D0D" w:themeColor="text1" w:themeTint="F2"/>
          <w:sz w:val="22"/>
        </w:rPr>
        <w:t>construcción o reforzamiento o mantenimiento o ampliación estructural de puentes peatonales o vehiculares (metálicos o en concreto)</w:t>
      </w:r>
      <w:r>
        <w:rPr>
          <w:rFonts w:ascii="Arial" w:hAnsi="Arial" w:cs="Arial"/>
          <w:color w:val="0D0D0D" w:themeColor="text1" w:themeTint="F2"/>
          <w:sz w:val="22"/>
        </w:rPr>
        <w:t xml:space="preserve">». </w:t>
      </w:r>
      <w:r w:rsidR="00AE7D06">
        <w:rPr>
          <w:rFonts w:ascii="Arial" w:hAnsi="Arial" w:cs="Arial"/>
          <w:color w:val="0D0D0D" w:themeColor="text1" w:themeTint="F2"/>
          <w:sz w:val="22"/>
        </w:rPr>
        <w:t>De esta manera</w:t>
      </w:r>
      <w:r>
        <w:rPr>
          <w:rFonts w:ascii="Arial" w:hAnsi="Arial" w:cs="Arial"/>
          <w:color w:val="0D0D0D" w:themeColor="text1" w:themeTint="F2"/>
          <w:sz w:val="22"/>
        </w:rPr>
        <w:t xml:space="preserve">, </w:t>
      </w:r>
      <w:r w:rsidR="00AE7D06">
        <w:rPr>
          <w:rFonts w:ascii="Arial" w:hAnsi="Arial" w:cs="Arial"/>
          <w:color w:val="0D0D0D" w:themeColor="text1" w:themeTint="F2"/>
          <w:sz w:val="22"/>
        </w:rPr>
        <w:t>por medio del</w:t>
      </w:r>
      <w:r>
        <w:rPr>
          <w:rFonts w:ascii="Arial" w:hAnsi="Arial" w:cs="Arial"/>
          <w:color w:val="0D0D0D" w:themeColor="text1" w:themeTint="F2"/>
          <w:sz w:val="22"/>
        </w:rPr>
        <w:t xml:space="preserve"> «reforzamiento» o de</w:t>
      </w:r>
      <w:r w:rsidR="00AE7D06">
        <w:rPr>
          <w:rFonts w:ascii="Arial" w:hAnsi="Arial" w:cs="Arial"/>
          <w:color w:val="0D0D0D" w:themeColor="text1" w:themeTint="F2"/>
          <w:sz w:val="22"/>
        </w:rPr>
        <w:t xml:space="preserve"> la</w:t>
      </w:r>
      <w:r>
        <w:rPr>
          <w:rFonts w:ascii="Arial" w:hAnsi="Arial" w:cs="Arial"/>
          <w:color w:val="0D0D0D" w:themeColor="text1" w:themeTint="F2"/>
          <w:sz w:val="22"/>
        </w:rPr>
        <w:t xml:space="preserve"> «ampliación estructural» </w:t>
      </w:r>
      <w:r w:rsidR="00AE7D06">
        <w:rPr>
          <w:rFonts w:ascii="Arial" w:hAnsi="Arial" w:cs="Arial"/>
          <w:color w:val="0D0D0D" w:themeColor="text1" w:themeTint="F2"/>
          <w:sz w:val="22"/>
        </w:rPr>
        <w:t>es posible adelantar</w:t>
      </w:r>
      <w:r>
        <w:rPr>
          <w:rFonts w:ascii="Arial" w:hAnsi="Arial" w:cs="Arial"/>
          <w:color w:val="0D0D0D" w:themeColor="text1" w:themeTint="F2"/>
          <w:sz w:val="22"/>
        </w:rPr>
        <w:t xml:space="preserve"> actividades de mejoramiento, ya que </w:t>
      </w:r>
      <w:r w:rsidR="00AE7D06">
        <w:rPr>
          <w:rFonts w:ascii="Arial" w:hAnsi="Arial" w:cs="Arial"/>
          <w:color w:val="0D0D0D" w:themeColor="text1" w:themeTint="F2"/>
          <w:sz w:val="22"/>
        </w:rPr>
        <w:t>–sin perjuicio de adelantar</w:t>
      </w:r>
      <w:r>
        <w:rPr>
          <w:rFonts w:ascii="Arial" w:hAnsi="Arial" w:cs="Arial"/>
          <w:color w:val="0D0D0D" w:themeColor="text1" w:themeTint="F2"/>
          <w:sz w:val="22"/>
        </w:rPr>
        <w:t xml:space="preserve"> </w:t>
      </w:r>
      <w:r w:rsidR="00AE7D06">
        <w:rPr>
          <w:rFonts w:ascii="Arial" w:hAnsi="Arial" w:cs="Arial"/>
          <w:color w:val="0D0D0D" w:themeColor="text1" w:themeTint="F2"/>
          <w:sz w:val="22"/>
        </w:rPr>
        <w:t>nuevas labores</w:t>
      </w:r>
      <w:r>
        <w:rPr>
          <w:rFonts w:ascii="Arial" w:hAnsi="Arial" w:cs="Arial"/>
          <w:color w:val="0D0D0D" w:themeColor="text1" w:themeTint="F2"/>
          <w:sz w:val="22"/>
        </w:rPr>
        <w:t xml:space="preserve"> de «construcción»</w:t>
      </w:r>
      <w:r w:rsidR="00AE7D06">
        <w:rPr>
          <w:rFonts w:ascii="Arial" w:hAnsi="Arial" w:cs="Arial"/>
          <w:color w:val="0D0D0D" w:themeColor="text1" w:themeTint="F2"/>
          <w:sz w:val="22"/>
        </w:rPr>
        <w:t>–</w:t>
      </w:r>
      <w:r>
        <w:rPr>
          <w:rFonts w:ascii="Arial" w:hAnsi="Arial" w:cs="Arial"/>
          <w:color w:val="0D0D0D" w:themeColor="text1" w:themeTint="F2"/>
          <w:sz w:val="22"/>
        </w:rPr>
        <w:t xml:space="preserve"> es posible aumentar la resistencia o el tamaño de la obra inicial</w:t>
      </w:r>
      <w:r w:rsidR="00AE7D06">
        <w:rPr>
          <w:rFonts w:ascii="Arial" w:hAnsi="Arial" w:cs="Arial"/>
          <w:color w:val="0D0D0D" w:themeColor="text1" w:themeTint="F2"/>
          <w:sz w:val="22"/>
        </w:rPr>
        <w:t>mente concebida</w:t>
      </w:r>
      <w:r w:rsidR="00DF2C9D">
        <w:rPr>
          <w:rFonts w:ascii="Arial" w:hAnsi="Arial" w:cs="Arial"/>
          <w:color w:val="0D0D0D" w:themeColor="text1" w:themeTint="F2"/>
          <w:sz w:val="22"/>
        </w:rPr>
        <w:t>, según sea el alcance del proyecto a contratar</w:t>
      </w:r>
      <w:r w:rsidR="00AE7D06">
        <w:rPr>
          <w:rFonts w:ascii="Arial" w:hAnsi="Arial" w:cs="Arial"/>
          <w:color w:val="0D0D0D" w:themeColor="text1" w:themeTint="F2"/>
          <w:sz w:val="22"/>
        </w:rPr>
        <w:t xml:space="preserve">. Esto implica la realización de actividades más allá del concepto </w:t>
      </w:r>
      <w:r w:rsidR="00F77041">
        <w:rPr>
          <w:rFonts w:ascii="Arial" w:hAnsi="Arial" w:cs="Arial"/>
          <w:color w:val="0D0D0D" w:themeColor="text1" w:themeTint="F2"/>
          <w:sz w:val="22"/>
        </w:rPr>
        <w:t xml:space="preserve">estricto </w:t>
      </w:r>
      <w:r w:rsidR="00AE7D06">
        <w:rPr>
          <w:rFonts w:ascii="Arial" w:hAnsi="Arial" w:cs="Arial"/>
          <w:color w:val="0D0D0D" w:themeColor="text1" w:themeTint="F2"/>
          <w:sz w:val="22"/>
        </w:rPr>
        <w:t xml:space="preserve">de «mantenimiento», ya que la experiencia solicitada en el numeral 7.8 de la matriz de experiencia de los documentos tipo habilita al proponente no solo para ejecutar labores de conservación sino también permite el </w:t>
      </w:r>
      <w:r w:rsidR="00AE7D06" w:rsidRPr="00AE7D06">
        <w:rPr>
          <w:rFonts w:ascii="Arial" w:hAnsi="Arial" w:cs="Arial"/>
          <w:color w:val="0D0D0D" w:themeColor="text1" w:themeTint="F2"/>
          <w:sz w:val="22"/>
        </w:rPr>
        <w:t>cambio de especificaciones y dimensiones de la obra</w:t>
      </w:r>
      <w:r w:rsidR="00AE7D06">
        <w:rPr>
          <w:rFonts w:ascii="Arial" w:hAnsi="Arial" w:cs="Arial"/>
          <w:color w:val="0D0D0D" w:themeColor="text1" w:themeTint="F2"/>
          <w:sz w:val="22"/>
        </w:rPr>
        <w:t xml:space="preserve">.  </w:t>
      </w:r>
      <w:r>
        <w:rPr>
          <w:rFonts w:ascii="Arial" w:hAnsi="Arial" w:cs="Arial"/>
          <w:color w:val="0D0D0D" w:themeColor="text1" w:themeTint="F2"/>
          <w:sz w:val="22"/>
        </w:rPr>
        <w:t xml:space="preserve">        </w:t>
      </w:r>
      <w:r>
        <w:rPr>
          <w:rStyle w:val="normaltextrun"/>
          <w:rFonts w:ascii="Arial" w:hAnsi="Arial" w:cs="Arial"/>
          <w:color w:val="000000"/>
          <w:sz w:val="22"/>
          <w:shd w:val="clear" w:color="auto" w:fill="FFFFFF"/>
        </w:rPr>
        <w:t xml:space="preserve">       </w:t>
      </w:r>
    </w:p>
    <w:p w14:paraId="0E3ABDE4" w14:textId="20A84C60" w:rsidR="00DF09A7" w:rsidRDefault="007A5AF2" w:rsidP="00E71936">
      <w:pPr>
        <w:spacing w:line="276" w:lineRule="auto"/>
        <w:ind w:firstLine="709"/>
        <w:jc w:val="both"/>
        <w:rPr>
          <w:rStyle w:val="normaltextrun"/>
          <w:rFonts w:ascii="Arial" w:hAnsi="Arial" w:cs="Arial"/>
          <w:color w:val="000000"/>
          <w:sz w:val="22"/>
          <w:shd w:val="clear" w:color="auto" w:fill="FFFFFF"/>
        </w:rPr>
      </w:pPr>
      <w:r>
        <w:rPr>
          <w:rStyle w:val="normaltextrun"/>
          <w:rFonts w:ascii="Arial" w:hAnsi="Arial" w:cs="Arial"/>
          <w:color w:val="000000"/>
          <w:sz w:val="22"/>
          <w:shd w:val="clear" w:color="auto" w:fill="FFFFFF"/>
        </w:rPr>
        <w:t>En resumen</w:t>
      </w:r>
      <w:r w:rsidR="00DF09A7">
        <w:rPr>
          <w:rStyle w:val="normaltextrun"/>
          <w:rFonts w:ascii="Arial" w:hAnsi="Arial" w:cs="Arial"/>
          <w:color w:val="000000"/>
          <w:sz w:val="22"/>
          <w:shd w:val="clear" w:color="auto" w:fill="FFFFFF"/>
        </w:rPr>
        <w:t xml:space="preserve">, para las entidades sometidas al Estatuto General de Contratación de la Administración Pública, los pliegos tipo aprobados a través de </w:t>
      </w:r>
      <w:r w:rsidRPr="007A5AF2">
        <w:rPr>
          <w:rFonts w:ascii="Arial" w:hAnsi="Arial" w:cs="Arial"/>
          <w:color w:val="0D0D0D" w:themeColor="text1" w:themeTint="F2"/>
          <w:sz w:val="22"/>
        </w:rPr>
        <w:t>las Resoluciones No. 044, 045 y 094 de 2020</w:t>
      </w:r>
      <w:r w:rsidR="00DF09A7">
        <w:rPr>
          <w:rFonts w:ascii="Arial" w:hAnsi="Arial" w:cs="Arial"/>
          <w:color w:val="0D0D0D" w:themeColor="text1" w:themeTint="F2"/>
          <w:sz w:val="22"/>
        </w:rPr>
        <w:t xml:space="preserve"> son obligatorios</w:t>
      </w:r>
      <w:r w:rsidR="00DF09A7">
        <w:rPr>
          <w:rStyle w:val="normaltextrun"/>
          <w:rFonts w:ascii="Arial" w:hAnsi="Arial" w:cs="Arial"/>
          <w:color w:val="000000"/>
          <w:sz w:val="22"/>
          <w:shd w:val="clear" w:color="auto" w:fill="FFFFFF"/>
        </w:rPr>
        <w:t xml:space="preserve"> en los</w:t>
      </w:r>
      <w:r w:rsidR="004A3202">
        <w:rPr>
          <w:rStyle w:val="normaltextrun"/>
          <w:rFonts w:ascii="Arial" w:hAnsi="Arial" w:cs="Arial"/>
          <w:color w:val="000000"/>
          <w:sz w:val="22"/>
          <w:shd w:val="clear" w:color="auto" w:fill="FFFFFF"/>
        </w:rPr>
        <w:t xml:space="preserve"> </w:t>
      </w:r>
      <w:r w:rsidR="00DF09A7">
        <w:rPr>
          <w:rStyle w:val="normaltextrun"/>
          <w:rFonts w:ascii="Arial" w:hAnsi="Arial" w:cs="Arial"/>
          <w:color w:val="000000"/>
          <w:sz w:val="22"/>
          <w:shd w:val="clear" w:color="auto" w:fill="FFFFFF"/>
        </w:rPr>
        <w:t>procedimiento</w:t>
      </w:r>
      <w:r w:rsidR="004A3202">
        <w:rPr>
          <w:rStyle w:val="normaltextrun"/>
          <w:rFonts w:ascii="Arial" w:hAnsi="Arial" w:cs="Arial"/>
          <w:color w:val="000000"/>
          <w:sz w:val="22"/>
          <w:shd w:val="clear" w:color="auto" w:fill="FFFFFF"/>
        </w:rPr>
        <w:t>s</w:t>
      </w:r>
      <w:r w:rsidR="00DF09A7">
        <w:rPr>
          <w:rStyle w:val="normaltextrun"/>
          <w:rFonts w:ascii="Arial" w:hAnsi="Arial" w:cs="Arial"/>
          <w:color w:val="000000"/>
          <w:sz w:val="22"/>
          <w:shd w:val="clear" w:color="auto" w:fill="FFFFFF"/>
        </w:rPr>
        <w:t xml:space="preserve"> de licitación</w:t>
      </w:r>
      <w:r>
        <w:rPr>
          <w:rStyle w:val="normaltextrun"/>
          <w:rFonts w:ascii="Arial" w:hAnsi="Arial" w:cs="Arial"/>
          <w:color w:val="000000"/>
          <w:sz w:val="22"/>
          <w:shd w:val="clear" w:color="auto" w:fill="FFFFFF"/>
        </w:rPr>
        <w:t xml:space="preserve"> pública, selección abreviada de menor cuantía y de mínima</w:t>
      </w:r>
      <w:r w:rsidR="00DF09A7">
        <w:rPr>
          <w:rStyle w:val="normaltextrun"/>
          <w:rFonts w:ascii="Arial" w:hAnsi="Arial" w:cs="Arial"/>
          <w:color w:val="000000"/>
          <w:sz w:val="22"/>
          <w:shd w:val="clear" w:color="auto" w:fill="FFFFFF"/>
        </w:rPr>
        <w:t xml:space="preserve"> para contratos de obra de infraestructura cuyo fin principal consista </w:t>
      </w:r>
      <w:r>
        <w:rPr>
          <w:rStyle w:val="normaltextrun"/>
          <w:rFonts w:ascii="Arial" w:hAnsi="Arial" w:cs="Arial"/>
          <w:color w:val="000000"/>
          <w:sz w:val="22"/>
          <w:shd w:val="clear" w:color="auto" w:fill="FFFFFF"/>
        </w:rPr>
        <w:t>en la construcción o el mejoramiento</w:t>
      </w:r>
      <w:r w:rsidRPr="00485A89">
        <w:rPr>
          <w:rStyle w:val="normaltextrun"/>
          <w:rFonts w:ascii="Arial" w:hAnsi="Arial" w:cs="Arial"/>
          <w:color w:val="000000"/>
          <w:sz w:val="22"/>
          <w:shd w:val="clear" w:color="auto" w:fill="FFFFFF"/>
        </w:rPr>
        <w:t xml:space="preserve"> de puentes peatonale</w:t>
      </w:r>
      <w:r>
        <w:rPr>
          <w:rStyle w:val="normaltextrun"/>
          <w:rFonts w:ascii="Arial" w:hAnsi="Arial" w:cs="Arial"/>
          <w:color w:val="000000"/>
          <w:sz w:val="22"/>
          <w:shd w:val="clear" w:color="auto" w:fill="FFFFFF"/>
        </w:rPr>
        <w:t>s</w:t>
      </w:r>
      <w:r w:rsidR="004A3202">
        <w:rPr>
          <w:rStyle w:val="normaltextrun"/>
          <w:rFonts w:ascii="Arial" w:hAnsi="Arial" w:cs="Arial"/>
          <w:color w:val="000000"/>
          <w:sz w:val="22"/>
          <w:shd w:val="clear" w:color="auto" w:fill="FFFFFF"/>
        </w:rPr>
        <w:t>.</w:t>
      </w:r>
      <w:r w:rsidR="00F77041">
        <w:rPr>
          <w:rStyle w:val="normaltextrun"/>
          <w:rFonts w:ascii="Arial" w:hAnsi="Arial" w:cs="Arial"/>
          <w:color w:val="000000"/>
          <w:sz w:val="22"/>
          <w:shd w:val="clear" w:color="auto" w:fill="FFFFFF"/>
        </w:rPr>
        <w:t xml:space="preserve"> Naturalmente, teniendo en cuenta generalidad de los términos en que se realiza la consulta, la aplicación puntual de los documentos tipo a</w:t>
      </w:r>
      <w:r w:rsidR="002429B4">
        <w:rPr>
          <w:rStyle w:val="normaltextrun"/>
          <w:rFonts w:ascii="Arial" w:hAnsi="Arial" w:cs="Arial"/>
          <w:color w:val="000000"/>
          <w:sz w:val="22"/>
          <w:shd w:val="clear" w:color="auto" w:fill="FFFFFF"/>
        </w:rPr>
        <w:t>l</w:t>
      </w:r>
      <w:r w:rsidR="00F77041">
        <w:rPr>
          <w:rStyle w:val="normaltextrun"/>
          <w:rFonts w:ascii="Arial" w:hAnsi="Arial" w:cs="Arial"/>
          <w:color w:val="000000"/>
          <w:sz w:val="22"/>
          <w:shd w:val="clear" w:color="auto" w:fill="FFFFFF"/>
        </w:rPr>
        <w:t xml:space="preserve"> caso concreto depende del objeto y el alcance de las obligaciones que defina la entidad para el futuro contrato, pues constituye el parámetro para determinar la experiencia requerida. </w:t>
      </w:r>
      <w:r w:rsidR="00F77041" w:rsidRPr="00F77041">
        <w:rPr>
          <w:rStyle w:val="normaltextrun"/>
          <w:rFonts w:ascii="Arial" w:hAnsi="Arial" w:cs="Arial"/>
          <w:color w:val="000000"/>
          <w:sz w:val="22"/>
          <w:shd w:val="clear" w:color="auto" w:fill="FFFFFF"/>
        </w:rPr>
        <w:t xml:space="preserve">   </w:t>
      </w:r>
    </w:p>
    <w:p w14:paraId="149E6684" w14:textId="77777777" w:rsidR="00E71936" w:rsidRDefault="00E71936" w:rsidP="00E71936">
      <w:pPr>
        <w:spacing w:line="276" w:lineRule="auto"/>
        <w:jc w:val="both"/>
        <w:rPr>
          <w:rStyle w:val="normaltextrun"/>
          <w:rFonts w:ascii="Arial" w:hAnsi="Arial" w:cs="Arial"/>
          <w:color w:val="000000"/>
          <w:sz w:val="22"/>
          <w:shd w:val="clear" w:color="auto" w:fill="FFFFFF"/>
        </w:rPr>
      </w:pPr>
    </w:p>
    <w:p w14:paraId="6D3E773E" w14:textId="50C0EF05" w:rsidR="004A3202" w:rsidRDefault="004A3202" w:rsidP="00E71936">
      <w:pPr>
        <w:spacing w:before="120" w:line="276" w:lineRule="auto"/>
        <w:jc w:val="both"/>
        <w:rPr>
          <w:rFonts w:ascii="Arial" w:eastAsia="Calibri" w:hAnsi="Arial" w:cs="Arial"/>
          <w:color w:val="000000" w:themeColor="text1"/>
          <w:sz w:val="22"/>
        </w:rPr>
      </w:pPr>
      <w:r>
        <w:rPr>
          <w:rFonts w:ascii="Arial" w:eastAsia="Calibri" w:hAnsi="Arial" w:cs="Arial"/>
          <w:color w:val="000000" w:themeColor="text1"/>
          <w:sz w:val="22"/>
        </w:rPr>
        <w:t>Este concepto tiene el alcance previsto en el artículo 28 del Código de Procedimiento Administrativo y de lo Contencioso Administrativo.</w:t>
      </w:r>
    </w:p>
    <w:p w14:paraId="2F0C054C" w14:textId="77777777" w:rsidR="000674F8" w:rsidRPr="00816FF9" w:rsidRDefault="000674F8" w:rsidP="00953860">
      <w:pPr>
        <w:rPr>
          <w:rFonts w:ascii="Arial" w:eastAsia="Times New Roman" w:hAnsi="Arial" w:cs="Arial"/>
          <w:lang w:val="es-ES" w:eastAsia="es-CO"/>
        </w:rPr>
      </w:pPr>
    </w:p>
    <w:p w14:paraId="74BEA464" w14:textId="2438F6A4" w:rsidR="00953860" w:rsidRDefault="00953860" w:rsidP="00953860">
      <w:pPr>
        <w:rPr>
          <w:rFonts w:ascii="Arial" w:eastAsia="Times New Roman" w:hAnsi="Arial" w:cs="Arial"/>
          <w:sz w:val="22"/>
          <w:lang w:val="es-ES" w:eastAsia="es-CO"/>
        </w:rPr>
      </w:pPr>
      <w:r w:rsidRPr="00953860">
        <w:rPr>
          <w:rFonts w:ascii="Arial" w:eastAsia="Times New Roman" w:hAnsi="Arial" w:cs="Arial"/>
          <w:sz w:val="22"/>
          <w:lang w:val="es-ES" w:eastAsia="es-CO"/>
        </w:rPr>
        <w:t>Atentamente,</w:t>
      </w:r>
    </w:p>
    <w:p w14:paraId="385AB40A" w14:textId="0AB9C1E5" w:rsidR="002429B4" w:rsidRDefault="002429B4" w:rsidP="00953860">
      <w:pPr>
        <w:rPr>
          <w:rFonts w:ascii="Arial" w:eastAsia="Times New Roman" w:hAnsi="Arial" w:cs="Arial"/>
          <w:sz w:val="22"/>
          <w:lang w:val="es-ES" w:eastAsia="es-CO"/>
        </w:rPr>
      </w:pPr>
    </w:p>
    <w:p w14:paraId="50B58777" w14:textId="42CFFFC5" w:rsidR="00953860" w:rsidRPr="00832C32" w:rsidRDefault="002429B4" w:rsidP="00832C32">
      <w:pPr>
        <w:jc w:val="center"/>
        <w:rPr>
          <w:rFonts w:ascii="Arial" w:eastAsia="Times New Roman" w:hAnsi="Arial" w:cs="Arial"/>
          <w:sz w:val="22"/>
          <w:lang w:val="es-ES" w:eastAsia="es-CO"/>
        </w:rPr>
      </w:pPr>
      <w:r w:rsidRPr="00BB0056">
        <w:rPr>
          <w:noProof/>
          <w:lang w:val="en-US"/>
        </w:rPr>
        <w:drawing>
          <wp:inline distT="0" distB="0" distL="0" distR="0" wp14:anchorId="26EAD0F5" wp14:editId="5E30C2CE">
            <wp:extent cx="2498803" cy="110742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bwMode="auto">
                    <a:xfrm>
                      <a:off x="0" y="0"/>
                      <a:ext cx="2498803" cy="1107424"/>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bl>
      <w:tblPr>
        <w:tblStyle w:val="Tablaconcuadrcula1"/>
        <w:tblpPr w:leftFromText="141" w:rightFromText="141" w:vertAnchor="text" w:horzAnchor="margin" w:tblpY="4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1B2C02" w:rsidRPr="00816FF9" w14:paraId="0B48DA7D" w14:textId="77777777" w:rsidTr="005D20EC">
        <w:trPr>
          <w:trHeight w:val="286"/>
        </w:trPr>
        <w:tc>
          <w:tcPr>
            <w:tcW w:w="817" w:type="dxa"/>
            <w:vAlign w:val="center"/>
          </w:tcPr>
          <w:p w14:paraId="5F1AB2E0" w14:textId="77777777" w:rsidR="001B2C02" w:rsidRPr="00816FF9" w:rsidRDefault="001B2C02" w:rsidP="001B2C02">
            <w:pPr>
              <w:rPr>
                <w:rFonts w:ascii="Arial" w:eastAsia="Times New Roman" w:hAnsi="Arial" w:cs="Arial"/>
                <w:sz w:val="14"/>
                <w:szCs w:val="14"/>
                <w:lang w:eastAsia="es-ES"/>
              </w:rPr>
            </w:pPr>
            <w:r w:rsidRPr="00816FF9">
              <w:rPr>
                <w:rFonts w:ascii="Arial" w:eastAsia="Times New Roman" w:hAnsi="Arial" w:cs="Arial"/>
                <w:sz w:val="14"/>
                <w:szCs w:val="14"/>
                <w:lang w:eastAsia="es-ES"/>
              </w:rPr>
              <w:t>Elaboró:</w:t>
            </w:r>
          </w:p>
        </w:tc>
        <w:tc>
          <w:tcPr>
            <w:tcW w:w="4445" w:type="dxa"/>
            <w:tcBorders>
              <w:bottom w:val="dotted" w:sz="4" w:space="0" w:color="7F7F7F"/>
            </w:tcBorders>
            <w:vAlign w:val="center"/>
          </w:tcPr>
          <w:p w14:paraId="195ED212" w14:textId="56C8324D" w:rsidR="001B2C02" w:rsidRPr="00816FF9" w:rsidRDefault="00CD6EB7" w:rsidP="001B2C02">
            <w:pPr>
              <w:rPr>
                <w:rFonts w:ascii="Arial" w:eastAsia="Times New Roman" w:hAnsi="Arial" w:cs="Arial"/>
                <w:sz w:val="14"/>
                <w:szCs w:val="14"/>
                <w:lang w:eastAsia="es-ES"/>
              </w:rPr>
            </w:pPr>
            <w:r>
              <w:rPr>
                <w:rFonts w:ascii="Arial" w:eastAsia="Times New Roman" w:hAnsi="Arial" w:cs="Arial"/>
                <w:sz w:val="14"/>
                <w:szCs w:val="14"/>
                <w:lang w:eastAsia="es-ES"/>
              </w:rPr>
              <w:t xml:space="preserve">Donaldo Cesar Ariza </w:t>
            </w:r>
            <w:proofErr w:type="spellStart"/>
            <w:r>
              <w:rPr>
                <w:rFonts w:ascii="Arial" w:eastAsia="Times New Roman" w:hAnsi="Arial" w:cs="Arial"/>
                <w:sz w:val="14"/>
                <w:szCs w:val="14"/>
                <w:lang w:eastAsia="es-ES"/>
              </w:rPr>
              <w:t>Arguellez</w:t>
            </w:r>
            <w:proofErr w:type="spellEnd"/>
            <w:r>
              <w:rPr>
                <w:rFonts w:ascii="Arial" w:eastAsia="Times New Roman" w:hAnsi="Arial" w:cs="Arial"/>
                <w:sz w:val="14"/>
                <w:szCs w:val="14"/>
                <w:lang w:eastAsia="es-ES"/>
              </w:rPr>
              <w:t xml:space="preserve"> </w:t>
            </w:r>
          </w:p>
          <w:p w14:paraId="10363982" w14:textId="65ADCE5C" w:rsidR="001B2C02" w:rsidRPr="00816FF9" w:rsidRDefault="001B2C02" w:rsidP="001B2C02">
            <w:pPr>
              <w:rPr>
                <w:rFonts w:ascii="Arial" w:eastAsia="Times New Roman" w:hAnsi="Arial" w:cs="Arial"/>
                <w:sz w:val="14"/>
                <w:szCs w:val="14"/>
                <w:lang w:eastAsia="es-ES"/>
              </w:rPr>
            </w:pPr>
            <w:r>
              <w:rPr>
                <w:rFonts w:ascii="Arial" w:eastAsia="Times New Roman" w:hAnsi="Arial" w:cs="Arial"/>
                <w:sz w:val="14"/>
                <w:szCs w:val="14"/>
                <w:lang w:eastAsia="es-ES"/>
              </w:rPr>
              <w:t xml:space="preserve">Contratista de la </w:t>
            </w:r>
            <w:r w:rsidRPr="00816FF9">
              <w:rPr>
                <w:rFonts w:ascii="Arial" w:eastAsia="Times New Roman" w:hAnsi="Arial" w:cs="Arial"/>
                <w:sz w:val="14"/>
                <w:szCs w:val="14"/>
                <w:lang w:eastAsia="es-ES"/>
              </w:rPr>
              <w:t>Subdirec</w:t>
            </w:r>
            <w:r>
              <w:rPr>
                <w:rFonts w:ascii="Arial" w:eastAsia="Times New Roman" w:hAnsi="Arial" w:cs="Arial"/>
                <w:sz w:val="14"/>
                <w:szCs w:val="14"/>
                <w:lang w:eastAsia="es-ES"/>
              </w:rPr>
              <w:t>ción</w:t>
            </w:r>
            <w:r w:rsidRPr="00816FF9">
              <w:rPr>
                <w:rFonts w:ascii="Arial" w:eastAsia="Times New Roman" w:hAnsi="Arial" w:cs="Arial"/>
                <w:sz w:val="14"/>
                <w:szCs w:val="14"/>
                <w:lang w:eastAsia="es-ES"/>
              </w:rPr>
              <w:t xml:space="preserve"> de Gestión Contractual</w:t>
            </w:r>
          </w:p>
        </w:tc>
      </w:tr>
      <w:tr w:rsidR="001B2C02" w:rsidRPr="00816FF9" w14:paraId="2BAC2657" w14:textId="77777777" w:rsidTr="005D20EC">
        <w:trPr>
          <w:trHeight w:val="299"/>
        </w:trPr>
        <w:tc>
          <w:tcPr>
            <w:tcW w:w="817" w:type="dxa"/>
            <w:vAlign w:val="center"/>
          </w:tcPr>
          <w:p w14:paraId="04F2B1F9" w14:textId="77777777" w:rsidR="001B2C02" w:rsidRPr="00816FF9" w:rsidRDefault="001B2C02" w:rsidP="001B2C02">
            <w:pPr>
              <w:rPr>
                <w:rFonts w:ascii="Arial" w:eastAsia="Times New Roman" w:hAnsi="Arial" w:cs="Arial"/>
                <w:sz w:val="14"/>
                <w:szCs w:val="14"/>
                <w:lang w:eastAsia="es-ES"/>
              </w:rPr>
            </w:pPr>
            <w:r w:rsidRPr="00816FF9">
              <w:rPr>
                <w:rFonts w:ascii="Arial" w:eastAsia="Times New Roman" w:hAnsi="Arial" w:cs="Arial"/>
                <w:sz w:val="14"/>
                <w:szCs w:val="14"/>
                <w:lang w:eastAsia="es-ES"/>
              </w:rPr>
              <w:t>Revisó:</w:t>
            </w:r>
          </w:p>
        </w:tc>
        <w:tc>
          <w:tcPr>
            <w:tcW w:w="4445" w:type="dxa"/>
            <w:tcBorders>
              <w:top w:val="dotted" w:sz="4" w:space="0" w:color="7F7F7F"/>
              <w:bottom w:val="dotted" w:sz="4" w:space="0" w:color="7F7F7F"/>
            </w:tcBorders>
            <w:vAlign w:val="center"/>
          </w:tcPr>
          <w:p w14:paraId="6839DD5E" w14:textId="77777777" w:rsidR="002429B4" w:rsidRPr="002429B4" w:rsidRDefault="002429B4" w:rsidP="002429B4">
            <w:pPr>
              <w:rPr>
                <w:rFonts w:ascii="Arial" w:eastAsia="Times New Roman" w:hAnsi="Arial" w:cs="Arial"/>
                <w:sz w:val="14"/>
                <w:szCs w:val="14"/>
                <w:lang w:eastAsia="es-ES"/>
              </w:rPr>
            </w:pPr>
            <w:proofErr w:type="spellStart"/>
            <w:r w:rsidRPr="002429B4">
              <w:rPr>
                <w:rFonts w:ascii="Arial" w:eastAsia="Times New Roman" w:hAnsi="Arial" w:cs="Arial"/>
                <w:sz w:val="14"/>
                <w:szCs w:val="14"/>
                <w:lang w:eastAsia="es-ES"/>
              </w:rPr>
              <w:t>Karlo</w:t>
            </w:r>
            <w:proofErr w:type="spellEnd"/>
            <w:r w:rsidRPr="002429B4">
              <w:rPr>
                <w:rFonts w:ascii="Arial" w:eastAsia="Times New Roman" w:hAnsi="Arial" w:cs="Arial"/>
                <w:sz w:val="14"/>
                <w:szCs w:val="14"/>
                <w:lang w:eastAsia="es-ES"/>
              </w:rPr>
              <w:t xml:space="preserve"> Fernández Cala</w:t>
            </w:r>
          </w:p>
          <w:p w14:paraId="2B1EF888" w14:textId="77777777" w:rsidR="002429B4" w:rsidRDefault="002429B4" w:rsidP="002429B4">
            <w:pPr>
              <w:rPr>
                <w:rFonts w:ascii="Arial" w:eastAsia="Times New Roman" w:hAnsi="Arial" w:cs="Arial"/>
                <w:sz w:val="14"/>
                <w:szCs w:val="14"/>
                <w:lang w:eastAsia="es-ES"/>
              </w:rPr>
            </w:pPr>
            <w:r w:rsidRPr="002429B4">
              <w:rPr>
                <w:rFonts w:ascii="Arial" w:eastAsia="Times New Roman" w:hAnsi="Arial" w:cs="Arial"/>
                <w:sz w:val="14"/>
                <w:szCs w:val="14"/>
                <w:lang w:eastAsia="es-ES"/>
              </w:rPr>
              <w:t xml:space="preserve">Gestor T1-15 de la Dirección General </w:t>
            </w:r>
          </w:p>
          <w:p w14:paraId="6000800C" w14:textId="66ECF279" w:rsidR="000674F8" w:rsidRPr="00816FF9" w:rsidRDefault="00CD6EB7" w:rsidP="002429B4">
            <w:pPr>
              <w:rPr>
                <w:rFonts w:ascii="Arial" w:eastAsia="Times New Roman" w:hAnsi="Arial" w:cs="Arial"/>
                <w:sz w:val="14"/>
                <w:szCs w:val="14"/>
                <w:lang w:eastAsia="es-ES"/>
              </w:rPr>
            </w:pPr>
            <w:r>
              <w:rPr>
                <w:rFonts w:ascii="Arial" w:eastAsia="Times New Roman" w:hAnsi="Arial" w:cs="Arial"/>
                <w:sz w:val="14"/>
                <w:szCs w:val="14"/>
                <w:lang w:eastAsia="es-ES"/>
              </w:rPr>
              <w:t xml:space="preserve">Juan David Montoya Penagos </w:t>
            </w:r>
          </w:p>
          <w:p w14:paraId="082FC52E" w14:textId="2563A4AE" w:rsidR="0028582C" w:rsidRPr="00816FF9" w:rsidRDefault="00CD6EB7" w:rsidP="000674F8">
            <w:pPr>
              <w:rPr>
                <w:rFonts w:ascii="Arial" w:eastAsia="Times New Roman" w:hAnsi="Arial" w:cs="Arial"/>
                <w:sz w:val="14"/>
                <w:szCs w:val="14"/>
                <w:lang w:eastAsia="es-ES"/>
              </w:rPr>
            </w:pPr>
            <w:r>
              <w:rPr>
                <w:rFonts w:ascii="Arial" w:eastAsia="Times New Roman" w:hAnsi="Arial" w:cs="Arial"/>
                <w:sz w:val="14"/>
                <w:szCs w:val="14"/>
                <w:lang w:eastAsia="es-ES"/>
              </w:rPr>
              <w:t>Gestor T1-15</w:t>
            </w:r>
            <w:r w:rsidR="000674F8">
              <w:rPr>
                <w:rFonts w:ascii="Arial" w:eastAsia="Times New Roman" w:hAnsi="Arial" w:cs="Arial"/>
                <w:sz w:val="14"/>
                <w:szCs w:val="14"/>
                <w:lang w:eastAsia="es-ES"/>
              </w:rPr>
              <w:t xml:space="preserve"> de la </w:t>
            </w:r>
            <w:r w:rsidR="000674F8" w:rsidRPr="00816FF9">
              <w:rPr>
                <w:rFonts w:ascii="Arial" w:eastAsia="Times New Roman" w:hAnsi="Arial" w:cs="Arial"/>
                <w:sz w:val="14"/>
                <w:szCs w:val="14"/>
                <w:lang w:eastAsia="es-ES"/>
              </w:rPr>
              <w:t>Subdirec</w:t>
            </w:r>
            <w:r w:rsidR="000674F8">
              <w:rPr>
                <w:rFonts w:ascii="Arial" w:eastAsia="Times New Roman" w:hAnsi="Arial" w:cs="Arial"/>
                <w:sz w:val="14"/>
                <w:szCs w:val="14"/>
                <w:lang w:eastAsia="es-ES"/>
              </w:rPr>
              <w:t>ción</w:t>
            </w:r>
            <w:r w:rsidR="000674F8" w:rsidRPr="00816FF9">
              <w:rPr>
                <w:rFonts w:ascii="Arial" w:eastAsia="Times New Roman" w:hAnsi="Arial" w:cs="Arial"/>
                <w:sz w:val="14"/>
                <w:szCs w:val="14"/>
                <w:lang w:eastAsia="es-ES"/>
              </w:rPr>
              <w:t xml:space="preserve"> de Gestión Contractual</w:t>
            </w:r>
          </w:p>
        </w:tc>
      </w:tr>
      <w:tr w:rsidR="001B2C02" w:rsidRPr="00816FF9" w14:paraId="4E9446DD" w14:textId="77777777" w:rsidTr="005D20EC">
        <w:trPr>
          <w:trHeight w:val="272"/>
        </w:trPr>
        <w:tc>
          <w:tcPr>
            <w:tcW w:w="817" w:type="dxa"/>
            <w:vAlign w:val="center"/>
          </w:tcPr>
          <w:p w14:paraId="0647AD07" w14:textId="77777777" w:rsidR="001B2C02" w:rsidRPr="00816FF9" w:rsidRDefault="001B2C02" w:rsidP="001B2C02">
            <w:pPr>
              <w:rPr>
                <w:rFonts w:ascii="Arial" w:eastAsia="Times New Roman" w:hAnsi="Arial" w:cs="Arial"/>
                <w:sz w:val="14"/>
                <w:szCs w:val="14"/>
                <w:lang w:eastAsia="es-ES"/>
              </w:rPr>
            </w:pPr>
            <w:r w:rsidRPr="00816FF9">
              <w:rPr>
                <w:rFonts w:ascii="Arial" w:eastAsia="Times New Roman" w:hAnsi="Arial" w:cs="Arial"/>
                <w:sz w:val="14"/>
                <w:szCs w:val="14"/>
                <w:lang w:eastAsia="es-ES"/>
              </w:rPr>
              <w:t>Aprobó:</w:t>
            </w:r>
          </w:p>
        </w:tc>
        <w:tc>
          <w:tcPr>
            <w:tcW w:w="4445" w:type="dxa"/>
            <w:tcBorders>
              <w:top w:val="dotted" w:sz="4" w:space="0" w:color="7F7F7F"/>
              <w:bottom w:val="dotted" w:sz="4" w:space="0" w:color="7F7F7F"/>
            </w:tcBorders>
            <w:vAlign w:val="center"/>
          </w:tcPr>
          <w:p w14:paraId="3173ED52" w14:textId="77777777" w:rsidR="00284890" w:rsidRPr="00284890" w:rsidRDefault="00284890" w:rsidP="00284890">
            <w:pPr>
              <w:rPr>
                <w:rFonts w:ascii="Arial" w:eastAsia="Times New Roman" w:hAnsi="Arial" w:cs="Arial"/>
                <w:sz w:val="14"/>
                <w:szCs w:val="14"/>
                <w:lang w:eastAsia="es-ES"/>
              </w:rPr>
            </w:pPr>
            <w:r w:rsidRPr="00284890">
              <w:rPr>
                <w:rFonts w:ascii="Arial" w:eastAsia="Times New Roman" w:hAnsi="Arial" w:cs="Arial"/>
                <w:sz w:val="14"/>
                <w:szCs w:val="14"/>
                <w:lang w:eastAsia="es-ES"/>
              </w:rPr>
              <w:t>Jorge Augusto Tirado Navarro</w:t>
            </w:r>
          </w:p>
          <w:p w14:paraId="65F3A1D5" w14:textId="47643B6E" w:rsidR="001B2C02" w:rsidRPr="00816FF9" w:rsidRDefault="00284890" w:rsidP="00284890">
            <w:pPr>
              <w:rPr>
                <w:rFonts w:ascii="Arial" w:eastAsia="Times New Roman" w:hAnsi="Arial" w:cs="Arial"/>
                <w:sz w:val="14"/>
                <w:szCs w:val="14"/>
                <w:lang w:eastAsia="es-ES"/>
              </w:rPr>
            </w:pPr>
            <w:r w:rsidRPr="00284890">
              <w:rPr>
                <w:rFonts w:ascii="Arial" w:eastAsia="Times New Roman" w:hAnsi="Arial" w:cs="Arial"/>
                <w:sz w:val="14"/>
                <w:szCs w:val="14"/>
                <w:lang w:eastAsia="es-ES"/>
              </w:rPr>
              <w:t>Subdirector de Gestión Contractual ANCP – CCE</w:t>
            </w:r>
          </w:p>
        </w:tc>
      </w:tr>
      <w:bookmarkEnd w:id="0"/>
    </w:tbl>
    <w:p w14:paraId="7EBF297E" w14:textId="5410F3A8" w:rsidR="007B0854" w:rsidRDefault="007B0854" w:rsidP="000674F8">
      <w:pPr>
        <w:rPr>
          <w:rFonts w:ascii="Arial" w:hAnsi="Arial" w:cs="Arial"/>
          <w:sz w:val="22"/>
        </w:rPr>
      </w:pPr>
    </w:p>
    <w:p w14:paraId="296060C1" w14:textId="716C9517" w:rsidR="002429B4" w:rsidRDefault="002429B4" w:rsidP="000674F8">
      <w:pPr>
        <w:rPr>
          <w:rFonts w:ascii="Arial" w:hAnsi="Arial" w:cs="Arial"/>
          <w:sz w:val="22"/>
        </w:rPr>
      </w:pPr>
    </w:p>
    <w:p w14:paraId="6DA09069" w14:textId="43D0EC21" w:rsidR="002429B4" w:rsidRDefault="002429B4" w:rsidP="000674F8">
      <w:pPr>
        <w:rPr>
          <w:rFonts w:ascii="Arial" w:hAnsi="Arial" w:cs="Arial"/>
          <w:sz w:val="22"/>
        </w:rPr>
      </w:pPr>
    </w:p>
    <w:bookmarkEnd w:id="1"/>
    <w:bookmarkEnd w:id="4"/>
    <w:p w14:paraId="40FF7BB0" w14:textId="77777777" w:rsidR="002429B4" w:rsidRPr="0010723B" w:rsidRDefault="002429B4" w:rsidP="000674F8">
      <w:pPr>
        <w:rPr>
          <w:rFonts w:ascii="Arial" w:hAnsi="Arial" w:cs="Arial"/>
          <w:sz w:val="22"/>
        </w:rPr>
      </w:pPr>
    </w:p>
    <w:sectPr w:rsidR="002429B4" w:rsidRPr="0010723B"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95748" w14:textId="77777777" w:rsidR="0044422D" w:rsidRDefault="0044422D">
      <w:r>
        <w:separator/>
      </w:r>
    </w:p>
  </w:endnote>
  <w:endnote w:type="continuationSeparator" w:id="0">
    <w:p w14:paraId="09D6C314" w14:textId="77777777" w:rsidR="0044422D" w:rsidRDefault="0044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2C4875" w:rsidRDefault="002C4875" w:rsidP="007B0854">
    <w:pPr>
      <w:pStyle w:val="NoSpacing"/>
      <w:jc w:val="center"/>
      <w:rPr>
        <w:rFonts w:ascii="Arial" w:hAnsi="Arial" w:cs="Arial"/>
        <w:sz w:val="18"/>
        <w:szCs w:val="18"/>
      </w:rPr>
    </w:pPr>
  </w:p>
  <w:p w14:paraId="312C4A14" w14:textId="1CC17C36" w:rsidR="002C4875" w:rsidRPr="005A79FE" w:rsidRDefault="002C4875" w:rsidP="005A79FE">
    <w:pPr>
      <w:pStyle w:val="Footer"/>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961EF">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961EF">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p>
  <w:p w14:paraId="48FC6A04" w14:textId="0E0B8C38" w:rsidR="002C4875" w:rsidRDefault="002C4875" w:rsidP="007B0854">
    <w:pPr>
      <w:pStyle w:val="Footer"/>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2C4875" w:rsidRPr="007B0854" w:rsidRDefault="002C4875" w:rsidP="007B0854">
    <w:pPr>
      <w:pStyle w:val="Footer"/>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84A33" w14:textId="77777777" w:rsidR="0044422D" w:rsidRDefault="0044422D">
      <w:r>
        <w:separator/>
      </w:r>
    </w:p>
  </w:footnote>
  <w:footnote w:type="continuationSeparator" w:id="0">
    <w:p w14:paraId="4798BD4E" w14:textId="77777777" w:rsidR="0044422D" w:rsidRDefault="0044422D">
      <w:r>
        <w:continuationSeparator/>
      </w:r>
    </w:p>
  </w:footnote>
  <w:footnote w:id="1">
    <w:p w14:paraId="04339EED" w14:textId="3613393B" w:rsidR="002F35B3" w:rsidRPr="00BC1ADF" w:rsidRDefault="002C4875" w:rsidP="00382597">
      <w:pPr>
        <w:pStyle w:val="FootnoteText"/>
        <w:ind w:firstLine="708"/>
        <w:jc w:val="both"/>
        <w:rPr>
          <w:rFonts w:ascii="Arial" w:hAnsi="Arial" w:cs="Arial"/>
          <w:sz w:val="19"/>
          <w:szCs w:val="19"/>
        </w:rPr>
      </w:pPr>
      <w:r w:rsidRPr="00BC1ADF">
        <w:rPr>
          <w:rStyle w:val="FootnoteReference"/>
          <w:rFonts w:ascii="Arial" w:hAnsi="Arial" w:cs="Arial"/>
          <w:sz w:val="19"/>
          <w:szCs w:val="19"/>
        </w:rPr>
        <w:footnoteRef/>
      </w:r>
      <w:r w:rsidRPr="00BC1ADF">
        <w:rPr>
          <w:rFonts w:ascii="Arial" w:hAnsi="Arial" w:cs="Arial"/>
          <w:sz w:val="19"/>
          <w:szCs w:val="19"/>
        </w:rPr>
        <w:t xml:space="preserve"> El parágrafo 3 del artículo 2 de la Ley 1150 de 2007 facultó por primera vez al Gobierno Nacional para adoptar estándares generales en los pliegos de condiciones, razón por la cual dispuso lo siguiente:</w:t>
      </w:r>
      <w:r>
        <w:rPr>
          <w:rFonts w:ascii="Arial" w:hAnsi="Arial" w:cs="Arial"/>
          <w:sz w:val="19"/>
          <w:szCs w:val="19"/>
        </w:rPr>
        <w:t xml:space="preserve"> «</w:t>
      </w:r>
      <w:r w:rsidRPr="00BC1ADF">
        <w:rPr>
          <w:rFonts w:ascii="Arial" w:hAnsi="Arial" w:cs="Arial"/>
          <w:sz w:val="19"/>
          <w:szCs w:val="19"/>
        </w:rPr>
        <w:t>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r>
        <w:rPr>
          <w:rFonts w:ascii="Arial" w:hAnsi="Arial" w:cs="Arial"/>
          <w:sz w:val="19"/>
          <w:szCs w:val="19"/>
        </w:rPr>
        <w:t>»</w:t>
      </w:r>
      <w:r w:rsidRPr="00BC1ADF">
        <w:rPr>
          <w:rFonts w:ascii="Arial" w:hAnsi="Arial" w:cs="Arial"/>
          <w:sz w:val="19"/>
          <w:szCs w:val="19"/>
        </w:rPr>
        <w:t>.</w:t>
      </w:r>
    </w:p>
  </w:footnote>
  <w:footnote w:id="2">
    <w:p w14:paraId="1F6C6310" w14:textId="7C21FD06" w:rsidR="002C4875" w:rsidRPr="00146D26" w:rsidRDefault="002C4875" w:rsidP="00146D26">
      <w:pPr>
        <w:pStyle w:val="FootnoteText"/>
        <w:ind w:firstLine="708"/>
        <w:jc w:val="both"/>
        <w:rPr>
          <w:rFonts w:ascii="Arial" w:eastAsia="Calibri" w:hAnsi="Arial" w:cs="Arial"/>
          <w:sz w:val="19"/>
          <w:szCs w:val="19"/>
        </w:rPr>
      </w:pPr>
      <w:r w:rsidRPr="0016135D">
        <w:rPr>
          <w:rStyle w:val="FootnoteReference"/>
          <w:rFonts w:ascii="Arial" w:hAnsi="Arial" w:cs="Arial"/>
          <w:sz w:val="19"/>
          <w:szCs w:val="19"/>
        </w:rPr>
        <w:footnoteRef/>
      </w:r>
      <w:r w:rsidRPr="0016135D">
        <w:rPr>
          <w:rFonts w:ascii="Arial" w:hAnsi="Arial" w:cs="Arial"/>
          <w:sz w:val="19"/>
          <w:szCs w:val="19"/>
        </w:rPr>
        <w:t xml:space="preserve"> </w:t>
      </w:r>
      <w:r w:rsidRPr="0016135D">
        <w:rPr>
          <w:rFonts w:ascii="Arial" w:eastAsia="Calibri" w:hAnsi="Arial" w:cs="Arial"/>
          <w:sz w:val="19"/>
          <w:szCs w:val="19"/>
        </w:rPr>
        <w:t xml:space="preserve">Diario Oficial. Gaceta del Congreso 458 de 2005. </w:t>
      </w:r>
    </w:p>
  </w:footnote>
  <w:footnote w:id="3">
    <w:p w14:paraId="3B389B88" w14:textId="39EC3753" w:rsidR="002C4875" w:rsidRPr="0016135D" w:rsidRDefault="002C4875" w:rsidP="00382597">
      <w:pPr>
        <w:pStyle w:val="FootnoteText"/>
        <w:ind w:left="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vertAlign w:val="superscript"/>
          <w:lang w:val="es-ES"/>
        </w:rPr>
        <w:t xml:space="preserve"> </w:t>
      </w:r>
      <w:proofErr w:type="spellStart"/>
      <w:r w:rsidRPr="0016135D">
        <w:rPr>
          <w:rFonts w:ascii="Arial" w:hAnsi="Arial" w:cs="Arial"/>
          <w:i/>
          <w:iCs/>
          <w:sz w:val="19"/>
          <w:szCs w:val="19"/>
          <w:lang w:val="es-ES"/>
        </w:rPr>
        <w:t>Ibídem</w:t>
      </w:r>
      <w:proofErr w:type="spellEnd"/>
      <w:r w:rsidRPr="0016135D">
        <w:rPr>
          <w:rFonts w:ascii="Arial" w:hAnsi="Arial" w:cs="Arial"/>
          <w:sz w:val="19"/>
          <w:szCs w:val="19"/>
          <w:lang w:val="es-ES"/>
        </w:rPr>
        <w:t xml:space="preserve">. </w:t>
      </w:r>
    </w:p>
  </w:footnote>
  <w:footnote w:id="4">
    <w:p w14:paraId="6FB5AE49" w14:textId="28AFD242" w:rsidR="002F35B3" w:rsidRPr="0016135D" w:rsidRDefault="002C4875" w:rsidP="00146D26">
      <w:pPr>
        <w:pStyle w:val="FootnoteText"/>
        <w:ind w:firstLine="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lang w:val="es-ES"/>
        </w:rPr>
        <w:t xml:space="preserve"> Diario Oficial. Gaceta del Congreso 416 de 2007, Informe de Conciliación Senado.</w:t>
      </w:r>
    </w:p>
  </w:footnote>
  <w:footnote w:id="5">
    <w:p w14:paraId="6AAD079F" w14:textId="77777777" w:rsidR="002C4875" w:rsidRPr="00270009" w:rsidRDefault="002C4875" w:rsidP="00146D26">
      <w:pPr>
        <w:pStyle w:val="FootnoteText"/>
        <w:ind w:firstLine="709"/>
        <w:jc w:val="both"/>
        <w:rPr>
          <w:rFonts w:ascii="Arial" w:hAnsi="Arial" w:cs="Arial"/>
          <w:sz w:val="19"/>
          <w:szCs w:val="19"/>
        </w:rPr>
      </w:pPr>
      <w:r w:rsidRPr="00270009">
        <w:rPr>
          <w:rStyle w:val="FootnoteReference"/>
          <w:rFonts w:ascii="Arial" w:hAnsi="Arial" w:cs="Arial"/>
          <w:sz w:val="19"/>
          <w:szCs w:val="19"/>
        </w:rPr>
        <w:footnoteRef/>
      </w:r>
      <w:r w:rsidRPr="00270009">
        <w:rPr>
          <w:rFonts w:ascii="Arial" w:hAnsi="Arial" w:cs="Arial"/>
          <w:sz w:val="19"/>
          <w:szCs w:val="19"/>
        </w:rP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0B0A5EAB" w14:textId="77777777" w:rsidR="002C4875" w:rsidRPr="00270009" w:rsidRDefault="002C4875" w:rsidP="00146D26">
      <w:pPr>
        <w:pStyle w:val="FootnoteText"/>
        <w:ind w:firstLine="709"/>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Dentro</w:t>
      </w:r>
      <w:proofErr w:type="gramEnd"/>
      <w:r w:rsidRPr="00270009">
        <w:rPr>
          <w:rFonts w:ascii="Arial" w:hAnsi="Arial" w:cs="Arial"/>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27DE7BEC" w14:textId="77777777" w:rsidR="002C4875" w:rsidRPr="00270009" w:rsidRDefault="002C4875" w:rsidP="00146D26">
      <w:pPr>
        <w:pStyle w:val="FootnoteText"/>
        <w:ind w:firstLine="709"/>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Con</w:t>
      </w:r>
      <w:proofErr w:type="gramEnd"/>
      <w:r w:rsidRPr="00270009">
        <w:rPr>
          <w:rFonts w:ascii="Arial" w:hAnsi="Arial" w:cs="Arial"/>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1D44D03F" w14:textId="77777777" w:rsidR="002C4875" w:rsidRPr="00270009" w:rsidRDefault="002C4875" w:rsidP="00146D26">
      <w:pPr>
        <w:pStyle w:val="FootnoteText"/>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270416A5" w14:textId="75BB2CBA" w:rsidR="002F35B3" w:rsidRPr="00146D26" w:rsidRDefault="002C4875" w:rsidP="00146D26">
      <w:pPr>
        <w:pStyle w:val="FootnoteText"/>
        <w:ind w:firstLine="708"/>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En</w:t>
      </w:r>
      <w:proofErr w:type="gramEnd"/>
      <w:r w:rsidRPr="00270009">
        <w:rPr>
          <w:rFonts w:ascii="Arial" w:hAnsi="Arial" w:cs="Arial"/>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2C4875" w:rsidRDefault="002C4875">
    <w:pPr>
      <w:pStyle w:val="Header"/>
    </w:pPr>
  </w:p>
  <w:p w14:paraId="6A4C7F2C" w14:textId="7D093DBB" w:rsidR="002C4875" w:rsidRDefault="002C4875">
    <w:pPr>
      <w:pStyle w:val="Header"/>
    </w:pPr>
  </w:p>
  <w:p w14:paraId="055F2E1F" w14:textId="0B935ADD" w:rsidR="002C4875" w:rsidRDefault="002C4875">
    <w:pPr>
      <w:pStyle w:val="Header"/>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2C4875" w:rsidRDefault="002C4875">
    <w:pPr>
      <w:pStyle w:val="Header"/>
    </w:pPr>
  </w:p>
  <w:p w14:paraId="3D323BDB" w14:textId="04AF0DE6" w:rsidR="002C4875" w:rsidRDefault="002C4875">
    <w:pPr>
      <w:pStyle w:val="Header"/>
    </w:pPr>
  </w:p>
  <w:p w14:paraId="6520770B" w14:textId="18EB07B5" w:rsidR="002C4875" w:rsidRDefault="002C4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144E5"/>
    <w:rsid w:val="000566D5"/>
    <w:rsid w:val="00064536"/>
    <w:rsid w:val="000674F8"/>
    <w:rsid w:val="00070D2F"/>
    <w:rsid w:val="0009373B"/>
    <w:rsid w:val="000942EB"/>
    <w:rsid w:val="000B103F"/>
    <w:rsid w:val="000F14E8"/>
    <w:rsid w:val="00101382"/>
    <w:rsid w:val="00103915"/>
    <w:rsid w:val="0010723B"/>
    <w:rsid w:val="00122B23"/>
    <w:rsid w:val="00137FFA"/>
    <w:rsid w:val="00146D26"/>
    <w:rsid w:val="00164413"/>
    <w:rsid w:val="00170F96"/>
    <w:rsid w:val="00181558"/>
    <w:rsid w:val="001843AF"/>
    <w:rsid w:val="00190239"/>
    <w:rsid w:val="001A39B9"/>
    <w:rsid w:val="001B2004"/>
    <w:rsid w:val="001B2C02"/>
    <w:rsid w:val="001D7431"/>
    <w:rsid w:val="001F3CE1"/>
    <w:rsid w:val="001F57B8"/>
    <w:rsid w:val="00234B84"/>
    <w:rsid w:val="00236F9E"/>
    <w:rsid w:val="002429B4"/>
    <w:rsid w:val="00271E83"/>
    <w:rsid w:val="00284890"/>
    <w:rsid w:val="0028582C"/>
    <w:rsid w:val="002C4875"/>
    <w:rsid w:val="002E3A72"/>
    <w:rsid w:val="002F35B3"/>
    <w:rsid w:val="002F38A2"/>
    <w:rsid w:val="003033BA"/>
    <w:rsid w:val="0030413C"/>
    <w:rsid w:val="003072FD"/>
    <w:rsid w:val="00317FB3"/>
    <w:rsid w:val="00322BEC"/>
    <w:rsid w:val="0034680A"/>
    <w:rsid w:val="00360396"/>
    <w:rsid w:val="00372C91"/>
    <w:rsid w:val="00381AE6"/>
    <w:rsid w:val="00382597"/>
    <w:rsid w:val="00386456"/>
    <w:rsid w:val="003965D4"/>
    <w:rsid w:val="003A581E"/>
    <w:rsid w:val="003D50E7"/>
    <w:rsid w:val="003F7F46"/>
    <w:rsid w:val="00433A49"/>
    <w:rsid w:val="00437E5A"/>
    <w:rsid w:val="004422D6"/>
    <w:rsid w:val="0044422D"/>
    <w:rsid w:val="00446A7E"/>
    <w:rsid w:val="004758C7"/>
    <w:rsid w:val="00485A89"/>
    <w:rsid w:val="00493B85"/>
    <w:rsid w:val="004A3202"/>
    <w:rsid w:val="004A34D2"/>
    <w:rsid w:val="004D2B1C"/>
    <w:rsid w:val="004F41BB"/>
    <w:rsid w:val="00505B4E"/>
    <w:rsid w:val="0051074C"/>
    <w:rsid w:val="00513AF2"/>
    <w:rsid w:val="005210DF"/>
    <w:rsid w:val="00532F51"/>
    <w:rsid w:val="005335DD"/>
    <w:rsid w:val="0054413A"/>
    <w:rsid w:val="00545CAB"/>
    <w:rsid w:val="005564CA"/>
    <w:rsid w:val="00572AC3"/>
    <w:rsid w:val="00593CA2"/>
    <w:rsid w:val="005967A7"/>
    <w:rsid w:val="005A0519"/>
    <w:rsid w:val="005A79FE"/>
    <w:rsid w:val="005B2680"/>
    <w:rsid w:val="005D20EC"/>
    <w:rsid w:val="005D2EB6"/>
    <w:rsid w:val="005F47B5"/>
    <w:rsid w:val="00614BF0"/>
    <w:rsid w:val="00633D5F"/>
    <w:rsid w:val="006517F8"/>
    <w:rsid w:val="00655371"/>
    <w:rsid w:val="00673CB2"/>
    <w:rsid w:val="00697665"/>
    <w:rsid w:val="006A0F8C"/>
    <w:rsid w:val="006A7FD0"/>
    <w:rsid w:val="006B7C1A"/>
    <w:rsid w:val="006C1769"/>
    <w:rsid w:val="006D0CBE"/>
    <w:rsid w:val="006D7687"/>
    <w:rsid w:val="006E0572"/>
    <w:rsid w:val="006E2DF6"/>
    <w:rsid w:val="00705631"/>
    <w:rsid w:val="00712A66"/>
    <w:rsid w:val="00714BC1"/>
    <w:rsid w:val="00717D61"/>
    <w:rsid w:val="00742DD2"/>
    <w:rsid w:val="0075327A"/>
    <w:rsid w:val="0075647A"/>
    <w:rsid w:val="00756C8F"/>
    <w:rsid w:val="007634AD"/>
    <w:rsid w:val="0078122E"/>
    <w:rsid w:val="007A5AF2"/>
    <w:rsid w:val="007B0854"/>
    <w:rsid w:val="007E048C"/>
    <w:rsid w:val="007F415E"/>
    <w:rsid w:val="007F4622"/>
    <w:rsid w:val="007F5B7F"/>
    <w:rsid w:val="007F72CB"/>
    <w:rsid w:val="0080772D"/>
    <w:rsid w:val="00812146"/>
    <w:rsid w:val="008142A2"/>
    <w:rsid w:val="00823516"/>
    <w:rsid w:val="0083119B"/>
    <w:rsid w:val="00832C32"/>
    <w:rsid w:val="00836EAB"/>
    <w:rsid w:val="0085092D"/>
    <w:rsid w:val="00867290"/>
    <w:rsid w:val="00884A4C"/>
    <w:rsid w:val="00897949"/>
    <w:rsid w:val="008B351C"/>
    <w:rsid w:val="008C3849"/>
    <w:rsid w:val="008D6ABA"/>
    <w:rsid w:val="008E1C15"/>
    <w:rsid w:val="008E61E9"/>
    <w:rsid w:val="008F3278"/>
    <w:rsid w:val="008F6349"/>
    <w:rsid w:val="009047C5"/>
    <w:rsid w:val="00913B55"/>
    <w:rsid w:val="00927873"/>
    <w:rsid w:val="009328CF"/>
    <w:rsid w:val="0095385A"/>
    <w:rsid w:val="00953860"/>
    <w:rsid w:val="00962B65"/>
    <w:rsid w:val="00977904"/>
    <w:rsid w:val="00990A0E"/>
    <w:rsid w:val="009A1C9D"/>
    <w:rsid w:val="009B3CE8"/>
    <w:rsid w:val="009B4F91"/>
    <w:rsid w:val="009C0831"/>
    <w:rsid w:val="009E71DF"/>
    <w:rsid w:val="009F237E"/>
    <w:rsid w:val="009F4AEA"/>
    <w:rsid w:val="00A11903"/>
    <w:rsid w:val="00A156CA"/>
    <w:rsid w:val="00A22D0B"/>
    <w:rsid w:val="00A24560"/>
    <w:rsid w:val="00A34538"/>
    <w:rsid w:val="00AA442B"/>
    <w:rsid w:val="00AA5DED"/>
    <w:rsid w:val="00AB114E"/>
    <w:rsid w:val="00AC3F07"/>
    <w:rsid w:val="00AD073E"/>
    <w:rsid w:val="00AE7D06"/>
    <w:rsid w:val="00B0495A"/>
    <w:rsid w:val="00B22E22"/>
    <w:rsid w:val="00B520C3"/>
    <w:rsid w:val="00B525CB"/>
    <w:rsid w:val="00B63CB2"/>
    <w:rsid w:val="00BB3FB3"/>
    <w:rsid w:val="00BC1ADF"/>
    <w:rsid w:val="00BC5C10"/>
    <w:rsid w:val="00BD78FE"/>
    <w:rsid w:val="00C07312"/>
    <w:rsid w:val="00C33FC7"/>
    <w:rsid w:val="00C57493"/>
    <w:rsid w:val="00C6415E"/>
    <w:rsid w:val="00C7520C"/>
    <w:rsid w:val="00C86948"/>
    <w:rsid w:val="00C86E7D"/>
    <w:rsid w:val="00C92E9D"/>
    <w:rsid w:val="00C961EF"/>
    <w:rsid w:val="00CA287E"/>
    <w:rsid w:val="00CA3027"/>
    <w:rsid w:val="00CC00CD"/>
    <w:rsid w:val="00CD69EE"/>
    <w:rsid w:val="00CD6EB7"/>
    <w:rsid w:val="00CE0E21"/>
    <w:rsid w:val="00D16E39"/>
    <w:rsid w:val="00D26E0D"/>
    <w:rsid w:val="00D43776"/>
    <w:rsid w:val="00D57F96"/>
    <w:rsid w:val="00D72E9D"/>
    <w:rsid w:val="00D7491B"/>
    <w:rsid w:val="00D82CE5"/>
    <w:rsid w:val="00DA5AB1"/>
    <w:rsid w:val="00DC62E5"/>
    <w:rsid w:val="00DD735D"/>
    <w:rsid w:val="00DE3119"/>
    <w:rsid w:val="00DF09A7"/>
    <w:rsid w:val="00DF236B"/>
    <w:rsid w:val="00DF2C9D"/>
    <w:rsid w:val="00DF3F7D"/>
    <w:rsid w:val="00E07D09"/>
    <w:rsid w:val="00E130F5"/>
    <w:rsid w:val="00E13AB8"/>
    <w:rsid w:val="00E30D43"/>
    <w:rsid w:val="00E33B62"/>
    <w:rsid w:val="00E403EC"/>
    <w:rsid w:val="00E61B56"/>
    <w:rsid w:val="00E67ACF"/>
    <w:rsid w:val="00E71936"/>
    <w:rsid w:val="00E72D0B"/>
    <w:rsid w:val="00E8669A"/>
    <w:rsid w:val="00E97C76"/>
    <w:rsid w:val="00EA2DF7"/>
    <w:rsid w:val="00EB26B1"/>
    <w:rsid w:val="00EC3486"/>
    <w:rsid w:val="00EC59B6"/>
    <w:rsid w:val="00EE1040"/>
    <w:rsid w:val="00F00015"/>
    <w:rsid w:val="00F6565A"/>
    <w:rsid w:val="00F77041"/>
    <w:rsid w:val="00F84899"/>
    <w:rsid w:val="00F859F0"/>
    <w:rsid w:val="00FB1EAA"/>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79201A15-31EF-437C-A6B0-76C01523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4538"/>
    <w:pPr>
      <w:tabs>
        <w:tab w:val="center" w:pos="4419"/>
        <w:tab w:val="right" w:pos="8838"/>
      </w:tabs>
    </w:pPr>
  </w:style>
  <w:style w:type="character" w:customStyle="1" w:styleId="FooterChar">
    <w:name w:val="Footer Char"/>
    <w:basedOn w:val="DefaultParagraphFont"/>
    <w:link w:val="Footer"/>
    <w:uiPriority w:val="99"/>
    <w:rsid w:val="00A34538"/>
    <w:rPr>
      <w:sz w:val="24"/>
      <w:lang w:val="es-MX"/>
    </w:rPr>
  </w:style>
  <w:style w:type="paragraph" w:styleId="BalloonText">
    <w:name w:val="Balloon Text"/>
    <w:basedOn w:val="Normal"/>
    <w:link w:val="BalloonTextChar"/>
    <w:uiPriority w:val="99"/>
    <w:semiHidden/>
    <w:unhideWhenUsed/>
    <w:rsid w:val="00A34538"/>
    <w:rPr>
      <w:rFonts w:ascii="Tahoma" w:hAnsi="Tahoma" w:cs="Tahoma"/>
      <w:sz w:val="16"/>
      <w:szCs w:val="16"/>
    </w:rPr>
  </w:style>
  <w:style w:type="character" w:customStyle="1" w:styleId="BalloonTextChar">
    <w:name w:val="Balloon Text Char"/>
    <w:basedOn w:val="DefaultParagraphFont"/>
    <w:link w:val="BalloonText"/>
    <w:uiPriority w:val="99"/>
    <w:semiHidden/>
    <w:rsid w:val="00A34538"/>
    <w:rPr>
      <w:rFonts w:ascii="Tahoma" w:hAnsi="Tahoma" w:cs="Tahoma"/>
      <w:sz w:val="16"/>
      <w:szCs w:val="16"/>
      <w:lang w:val="es-MX"/>
    </w:rPr>
  </w:style>
  <w:style w:type="paragraph" w:styleId="Header">
    <w:name w:val="header"/>
    <w:basedOn w:val="Normal"/>
    <w:link w:val="HeaderChar"/>
    <w:uiPriority w:val="99"/>
    <w:unhideWhenUsed/>
    <w:rsid w:val="009047C5"/>
    <w:pPr>
      <w:tabs>
        <w:tab w:val="center" w:pos="4252"/>
        <w:tab w:val="right" w:pos="8504"/>
      </w:tabs>
    </w:pPr>
  </w:style>
  <w:style w:type="character" w:customStyle="1" w:styleId="HeaderChar">
    <w:name w:val="Header Char"/>
    <w:basedOn w:val="DefaultParagraphFont"/>
    <w:link w:val="Header"/>
    <w:uiPriority w:val="99"/>
    <w:rsid w:val="009047C5"/>
    <w:rPr>
      <w:sz w:val="24"/>
      <w:lang w:val="es-MX"/>
    </w:rPr>
  </w:style>
  <w:style w:type="table" w:styleId="TableGrid">
    <w:name w:val="Table Grid"/>
    <w:basedOn w:val="Table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
    <w:basedOn w:val="Normal"/>
    <w:link w:val="ListParagraphChar"/>
    <w:uiPriority w:val="34"/>
    <w:qFormat/>
    <w:rsid w:val="009047C5"/>
    <w:pPr>
      <w:ind w:left="720"/>
      <w:contextualSpacing/>
    </w:pPr>
  </w:style>
  <w:style w:type="character" w:styleId="CommentReference">
    <w:name w:val="annotation reference"/>
    <w:basedOn w:val="DefaultParagraphFont"/>
    <w:uiPriority w:val="99"/>
    <w:semiHidden/>
    <w:unhideWhenUsed/>
    <w:rsid w:val="00DA5AB1"/>
    <w:rPr>
      <w:sz w:val="16"/>
      <w:szCs w:val="16"/>
    </w:rPr>
  </w:style>
  <w:style w:type="paragraph" w:styleId="CommentText">
    <w:name w:val="annotation text"/>
    <w:basedOn w:val="Normal"/>
    <w:link w:val="CommentTextChar"/>
    <w:uiPriority w:val="99"/>
    <w:semiHidden/>
    <w:unhideWhenUsed/>
    <w:rsid w:val="00DA5AB1"/>
    <w:rPr>
      <w:sz w:val="20"/>
      <w:szCs w:val="20"/>
    </w:rPr>
  </w:style>
  <w:style w:type="character" w:customStyle="1" w:styleId="CommentTextChar">
    <w:name w:val="Comment Text Char"/>
    <w:basedOn w:val="DefaultParagraphFont"/>
    <w:link w:val="CommentText"/>
    <w:uiPriority w:val="99"/>
    <w:semiHidden/>
    <w:rsid w:val="00DA5AB1"/>
    <w:rPr>
      <w:sz w:val="20"/>
      <w:szCs w:val="20"/>
      <w:lang w:val="es-MX"/>
    </w:rPr>
  </w:style>
  <w:style w:type="paragraph" w:styleId="CommentSubject">
    <w:name w:val="annotation subject"/>
    <w:basedOn w:val="CommentText"/>
    <w:next w:val="CommentText"/>
    <w:link w:val="CommentSubjectChar"/>
    <w:uiPriority w:val="99"/>
    <w:semiHidden/>
    <w:unhideWhenUsed/>
    <w:rsid w:val="00DA5AB1"/>
    <w:rPr>
      <w:b/>
      <w:bCs/>
    </w:rPr>
  </w:style>
  <w:style w:type="character" w:customStyle="1" w:styleId="CommentSubjectChar">
    <w:name w:val="Comment Subject Char"/>
    <w:basedOn w:val="CommentTextChar"/>
    <w:link w:val="CommentSubject"/>
    <w:uiPriority w:val="99"/>
    <w:semiHidden/>
    <w:rsid w:val="00DA5AB1"/>
    <w:rPr>
      <w:b/>
      <w:bCs/>
      <w:sz w:val="20"/>
      <w:szCs w:val="20"/>
      <w:lang w:val="es-MX"/>
    </w:rPr>
  </w:style>
  <w:style w:type="character" w:styleId="Hyperlink">
    <w:name w:val="Hyperlink"/>
    <w:basedOn w:val="DefaultParagraphFont"/>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NoSpacing">
    <w:name w:val="No Spacing"/>
    <w:uiPriority w:val="1"/>
    <w:qFormat/>
    <w:rsid w:val="007B0854"/>
    <w:pPr>
      <w:spacing w:after="0" w:line="240" w:lineRule="auto"/>
    </w:pPr>
    <w:rPr>
      <w:sz w:val="24"/>
      <w:lang w:val="es-MX"/>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locked/>
    <w:rsid w:val="007B0854"/>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FootnoteTextChar"/>
    <w:uiPriority w:val="99"/>
    <w:unhideWhenUsed/>
    <w:qFormat/>
    <w:rsid w:val="007B0854"/>
    <w:rPr>
      <w:sz w:val="20"/>
      <w:szCs w:val="20"/>
    </w:rPr>
  </w:style>
  <w:style w:type="character" w:customStyle="1" w:styleId="TextonotapieCar1">
    <w:name w:val="Texto nota pie Car1"/>
    <w:basedOn w:val="DefaultParagraphFont"/>
    <w:uiPriority w:val="99"/>
    <w:semiHidden/>
    <w:rsid w:val="007B0854"/>
    <w:rPr>
      <w:sz w:val="20"/>
      <w:szCs w:val="20"/>
      <w:lang w:val="es-MX"/>
    </w:rPr>
  </w:style>
  <w:style w:type="character" w:customStyle="1" w:styleId="ListParagraphChar">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FootnoteReference">
    <w:name w:val="footnote reference"/>
    <w:aliases w:val="Ref. de nota al pie 2,Ref,de nota al pie,FC,Appel note de bas de p,f,4_G,16 Point,Superscript 6 Point,Texto nota al pie,Pie de Página,Texto de nota al pi,Nota de pie,Footnote symbol,Footnote,Ref. de nota al pie2,Pie de pagina"/>
    <w:basedOn w:val="DefaultParagraphFont"/>
    <w:uiPriority w:val="99"/>
    <w:unhideWhenUsed/>
    <w:qFormat/>
    <w:rsid w:val="007B0854"/>
    <w:rPr>
      <w:vertAlign w:val="superscript"/>
    </w:rPr>
  </w:style>
  <w:style w:type="paragraph" w:customStyle="1" w:styleId="ft1">
    <w:name w:val="ft1"/>
    <w:basedOn w:val="Normal"/>
    <w:next w:val="FootnoteText"/>
    <w:unhideWhenUsed/>
    <w:qFormat/>
    <w:rsid w:val="0010723B"/>
    <w:rPr>
      <w:sz w:val="20"/>
      <w:szCs w:val="20"/>
    </w:rPr>
  </w:style>
  <w:style w:type="character" w:customStyle="1" w:styleId="normaltextrun">
    <w:name w:val="normaltextrun"/>
    <w:basedOn w:val="DefaultParagraphFont"/>
    <w:rsid w:val="00236F9E"/>
  </w:style>
  <w:style w:type="character" w:customStyle="1" w:styleId="eop">
    <w:name w:val="eop"/>
    <w:basedOn w:val="DefaultParagraphFont"/>
    <w:rsid w:val="00236F9E"/>
  </w:style>
  <w:style w:type="table" w:customStyle="1" w:styleId="Tablaconcuadrcula1">
    <w:name w:val="Tabla con cuadrícula1"/>
    <w:basedOn w:val="TableNormal"/>
    <w:next w:val="TableGrid"/>
    <w:uiPriority w:val="59"/>
    <w:rsid w:val="00953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67ACF"/>
    <w:rPr>
      <w:b/>
      <w:bCs/>
    </w:rPr>
  </w:style>
  <w:style w:type="character" w:styleId="Emphasis">
    <w:name w:val="Emphasis"/>
    <w:basedOn w:val="DefaultParagraphFont"/>
    <w:uiPriority w:val="20"/>
    <w:qFormat/>
    <w:rsid w:val="00E67ACF"/>
    <w:rPr>
      <w:i/>
      <w:iCs/>
    </w:rPr>
  </w:style>
  <w:style w:type="paragraph" w:customStyle="1" w:styleId="paragraph">
    <w:name w:val="paragraph"/>
    <w:basedOn w:val="Normal"/>
    <w:rsid w:val="00C86E7D"/>
    <w:pPr>
      <w:spacing w:before="100" w:beforeAutospacing="1" w:after="100" w:afterAutospacing="1"/>
    </w:pPr>
    <w:rPr>
      <w:rFonts w:ascii="Times New Roman" w:eastAsia="Times New Roman" w:hAnsi="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7074">
      <w:bodyDiv w:val="1"/>
      <w:marLeft w:val="0"/>
      <w:marRight w:val="0"/>
      <w:marTop w:val="0"/>
      <w:marBottom w:val="0"/>
      <w:divBdr>
        <w:top w:val="none" w:sz="0" w:space="0" w:color="auto"/>
        <w:left w:val="none" w:sz="0" w:space="0" w:color="auto"/>
        <w:bottom w:val="none" w:sz="0" w:space="0" w:color="auto"/>
        <w:right w:val="none" w:sz="0" w:space="0" w:color="auto"/>
      </w:divBdr>
      <w:divsChild>
        <w:div w:id="123041043">
          <w:marLeft w:val="0"/>
          <w:marRight w:val="0"/>
          <w:marTop w:val="0"/>
          <w:marBottom w:val="0"/>
          <w:divBdr>
            <w:top w:val="none" w:sz="0" w:space="0" w:color="auto"/>
            <w:left w:val="none" w:sz="0" w:space="0" w:color="auto"/>
            <w:bottom w:val="none" w:sz="0" w:space="0" w:color="auto"/>
            <w:right w:val="none" w:sz="0" w:space="0" w:color="auto"/>
          </w:divBdr>
        </w:div>
        <w:div w:id="91973879">
          <w:marLeft w:val="0"/>
          <w:marRight w:val="0"/>
          <w:marTop w:val="0"/>
          <w:marBottom w:val="0"/>
          <w:divBdr>
            <w:top w:val="none" w:sz="0" w:space="0" w:color="auto"/>
            <w:left w:val="none" w:sz="0" w:space="0" w:color="auto"/>
            <w:bottom w:val="none" w:sz="0" w:space="0" w:color="auto"/>
            <w:right w:val="none" w:sz="0" w:space="0" w:color="auto"/>
          </w:divBdr>
        </w:div>
      </w:divsChild>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340887075">
      <w:bodyDiv w:val="1"/>
      <w:marLeft w:val="0"/>
      <w:marRight w:val="0"/>
      <w:marTop w:val="0"/>
      <w:marBottom w:val="0"/>
      <w:divBdr>
        <w:top w:val="none" w:sz="0" w:space="0" w:color="auto"/>
        <w:left w:val="none" w:sz="0" w:space="0" w:color="auto"/>
        <w:bottom w:val="none" w:sz="0" w:space="0" w:color="auto"/>
        <w:right w:val="none" w:sz="0" w:space="0" w:color="auto"/>
      </w:divBdr>
      <w:divsChild>
        <w:div w:id="726957651">
          <w:marLeft w:val="0"/>
          <w:marRight w:val="0"/>
          <w:marTop w:val="0"/>
          <w:marBottom w:val="0"/>
          <w:divBdr>
            <w:top w:val="none" w:sz="0" w:space="0" w:color="auto"/>
            <w:left w:val="none" w:sz="0" w:space="0" w:color="auto"/>
            <w:bottom w:val="none" w:sz="0" w:space="0" w:color="auto"/>
            <w:right w:val="none" w:sz="0" w:space="0" w:color="auto"/>
          </w:divBdr>
        </w:div>
        <w:div w:id="1449356097">
          <w:marLeft w:val="0"/>
          <w:marRight w:val="0"/>
          <w:marTop w:val="0"/>
          <w:marBottom w:val="0"/>
          <w:divBdr>
            <w:top w:val="none" w:sz="0" w:space="0" w:color="auto"/>
            <w:left w:val="none" w:sz="0" w:space="0" w:color="auto"/>
            <w:bottom w:val="none" w:sz="0" w:space="0" w:color="auto"/>
            <w:right w:val="none" w:sz="0" w:space="0" w:color="auto"/>
          </w:divBdr>
        </w:div>
      </w:divsChild>
    </w:div>
    <w:div w:id="1585992418">
      <w:bodyDiv w:val="1"/>
      <w:marLeft w:val="0"/>
      <w:marRight w:val="0"/>
      <w:marTop w:val="0"/>
      <w:marBottom w:val="0"/>
      <w:divBdr>
        <w:top w:val="none" w:sz="0" w:space="0" w:color="auto"/>
        <w:left w:val="none" w:sz="0" w:space="0" w:color="auto"/>
        <w:bottom w:val="none" w:sz="0" w:space="0" w:color="auto"/>
        <w:right w:val="none" w:sz="0" w:space="0" w:color="auto"/>
      </w:divBdr>
      <w:divsChild>
        <w:div w:id="1627198434">
          <w:marLeft w:val="0"/>
          <w:marRight w:val="0"/>
          <w:marTop w:val="0"/>
          <w:marBottom w:val="0"/>
          <w:divBdr>
            <w:top w:val="none" w:sz="0" w:space="0" w:color="auto"/>
            <w:left w:val="none" w:sz="0" w:space="0" w:color="auto"/>
            <w:bottom w:val="none" w:sz="0" w:space="0" w:color="auto"/>
            <w:right w:val="none" w:sz="0" w:space="0" w:color="auto"/>
          </w:divBdr>
        </w:div>
        <w:div w:id="1324774407">
          <w:marLeft w:val="0"/>
          <w:marRight w:val="0"/>
          <w:marTop w:val="0"/>
          <w:marBottom w:val="0"/>
          <w:divBdr>
            <w:top w:val="none" w:sz="0" w:space="0" w:color="auto"/>
            <w:left w:val="none" w:sz="0" w:space="0" w:color="auto"/>
            <w:bottom w:val="none" w:sz="0" w:space="0" w:color="auto"/>
            <w:right w:val="none" w:sz="0" w:space="0" w:color="auto"/>
          </w:divBdr>
        </w:div>
        <w:div w:id="1848130727">
          <w:marLeft w:val="0"/>
          <w:marRight w:val="0"/>
          <w:marTop w:val="0"/>
          <w:marBottom w:val="0"/>
          <w:divBdr>
            <w:top w:val="none" w:sz="0" w:space="0" w:color="auto"/>
            <w:left w:val="none" w:sz="0" w:space="0" w:color="auto"/>
            <w:bottom w:val="none" w:sz="0" w:space="0" w:color="auto"/>
            <w:right w:val="none" w:sz="0" w:space="0" w:color="auto"/>
          </w:divBdr>
        </w:div>
      </w:divsChild>
    </w:div>
    <w:div w:id="202952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ipo Documental" ma:contentTypeID="0x0101007045E28AA3084979BF2513D1CFD6D4F50086C83865E0D7C74B8532A9336F313947" ma:contentTypeVersion="2" ma:contentTypeDescription="Tipo de contenido asociado a la lista de Tipos de Documentos / Plantillas de Documentos" ma:contentTypeScope="" ma:versionID="735a450d3b9e6a6505cfa7645587d2fa">
  <xsd:schema xmlns:xsd="http://www.w3.org/2001/XMLSchema" xmlns:xs="http://www.w3.org/2001/XMLSchema" xmlns:p="http://schemas.microsoft.com/office/2006/metadata/properties" xmlns:ns2="b18a110d-c4ac-4c11-a41b-6e6a659cb70f" xmlns:ns3="aae88665-0b56-4ff3-bd36-5f8213d73777" targetNamespace="http://schemas.microsoft.com/office/2006/metadata/properties" ma:root="true" ma:fieldsID="0eea638d4095bbf8d4ed9022f2868ddc" ns2:_="" ns3:_="">
    <xsd:import namespace="b18a110d-c4ac-4c11-a41b-6e6a659cb70f"/>
    <xsd:import namespace="aae88665-0b56-4ff3-bd36-5f8213d73777"/>
    <xsd:element name="properties">
      <xsd:complexType>
        <xsd:sequence>
          <xsd:element name="documentManagement">
            <xsd:complexType>
              <xsd:all>
                <xsd:element ref="ns2:_dlc_DocId" minOccurs="0"/>
                <xsd:element ref="ns2:_dlc_DocIdUrl" minOccurs="0"/>
                <xsd:element ref="ns2:_dlc_DocIdPersistId" minOccurs="0"/>
                <xsd:element ref="ns3:Code" minOccurs="0"/>
                <xsd:element ref="ns3:TemplateVersion" minOccurs="0"/>
                <xsd:element ref="ns3:TemplateCreationDate"/>
                <xsd:element ref="ns3:HasTemplateAssociated" minOccurs="0"/>
                <xsd:element ref="ns3:CCAM_Es_Requeri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a110d-c4ac-4c11-a41b-6e6a659cb70f"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e88665-0b56-4ff3-bd36-5f8213d73777" elementFormDefault="qualified">
    <xsd:import namespace="http://schemas.microsoft.com/office/2006/documentManagement/types"/>
    <xsd:import namespace="http://schemas.microsoft.com/office/infopath/2007/PartnerControls"/>
    <xsd:element name="Code" ma:index="11" nillable="true" ma:displayName="Código" ma:indexed="true" ma:internalName="Code">
      <xsd:simpleType>
        <xsd:restriction base="dms:Text">
          <xsd:maxLength value="10"/>
        </xsd:restriction>
      </xsd:simpleType>
    </xsd:element>
    <xsd:element name="TemplateVersion" ma:index="12" nillable="true" ma:displayName="Versión" ma:internalName="TemplateVersion">
      <xsd:simpleType>
        <xsd:restriction base="dms:Number"/>
      </xsd:simpleType>
    </xsd:element>
    <xsd:element name="TemplateCreationDate" ma:index="13" ma:displayName="Fecha de Creación" ma:format="DateOnly" ma:internalName="TemplateCreationDate">
      <xsd:simpleType>
        <xsd:restriction base="dms:DateTime"/>
      </xsd:simpleType>
    </xsd:element>
    <xsd:element name="HasTemplateAssociated" ma:index="14" nillable="true" ma:displayName="Tiene Archivo Asociado" ma:internalName="HasTemplateAssociated">
      <xsd:simpleType>
        <xsd:restriction base="dms:Boolean"/>
      </xsd:simpleType>
    </xsd:element>
    <xsd:element name="CCAM_Es_Requerido" ma:index="15" nillable="true" ma:displayName="Es Requerido tipo documental" ma:internalName="CCAM_Es_Requerid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0E685DA-02DC-4513-BD54-FDDD37964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a110d-c4ac-4c11-a41b-6e6a659cb70f"/>
    <ds:schemaRef ds:uri="aae88665-0b56-4ff3-bd36-5f8213d73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6E5926-13D2-F449-AE6F-FCD7CAEB30C6}">
  <ds:schemaRefs>
    <ds:schemaRef ds:uri="http://schemas.openxmlformats.org/officeDocument/2006/bibliography"/>
  </ds:schemaRefs>
</ds:datastoreItem>
</file>

<file path=customXml/itemProps3.xml><?xml version="1.0" encoding="utf-8"?>
<ds:datastoreItem xmlns:ds="http://schemas.openxmlformats.org/officeDocument/2006/customXml" ds:itemID="{1FD2E1C3-C324-479F-BCC2-141C497362CD}"/>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5.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6.xml><?xml version="1.0" encoding="utf-8"?>
<ds:datastoreItem xmlns:ds="http://schemas.openxmlformats.org/officeDocument/2006/customXml" ds:itemID="{774E646F-4DBC-4D2E-93AE-34A3EE182253}"/>
</file>

<file path=docProps/app.xml><?xml version="1.0" encoding="utf-8"?>
<Properties xmlns="http://schemas.openxmlformats.org/officeDocument/2006/extended-properties" xmlns:vt="http://schemas.openxmlformats.org/officeDocument/2006/docPropsVTypes">
  <Template>Respuesta a consultas</Template>
  <TotalTime>0</TotalTime>
  <Pages>7</Pages>
  <Words>2623</Words>
  <Characters>14955</Characters>
  <Application>Microsoft Office Word</Application>
  <DocSecurity>0</DocSecurity>
  <Lines>124</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RESPUESTA DIRECCIÓN CONTRACTUAL</vt:lpstr>
      <vt:lpstr>RESPUESTA DIRECCIÓN CONTRACTUAL</vt:lpstr>
    </vt:vector>
  </TitlesOfParts>
  <Company/>
  <LinksUpToDate>false</LinksUpToDate>
  <CharactersWithSpaces>17543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Duvan Zuluaga Gomez</cp:lastModifiedBy>
  <cp:revision>2</cp:revision>
  <dcterms:created xsi:type="dcterms:W3CDTF">2020-11-18T19:47:00Z</dcterms:created>
  <dcterms:modified xsi:type="dcterms:W3CDTF">2020-11-18T19:47:00Z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