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5CA50" w14:textId="77777777" w:rsidR="00904CD9" w:rsidRPr="00BB0056" w:rsidRDefault="00904CD9" w:rsidP="00904CD9">
      <w:pPr>
        <w:spacing w:line="276" w:lineRule="auto"/>
        <w:jc w:val="right"/>
        <w:rPr>
          <w:rFonts w:ascii="Arial" w:eastAsia="Calibri" w:hAnsi="Arial" w:cs="Arial"/>
          <w:b/>
          <w:bCs/>
          <w:sz w:val="22"/>
          <w:lang w:val="es-CO"/>
        </w:rPr>
      </w:pPr>
      <w:bookmarkStart w:id="0" w:name="_Hlk29890381"/>
      <w:bookmarkEnd w:id="0"/>
      <w:r w:rsidRPr="00BB0056">
        <w:rPr>
          <w:rFonts w:ascii="Arial" w:eastAsia="Times New Roman" w:hAnsi="Arial" w:cs="Arial"/>
          <w:b/>
          <w:bCs/>
          <w:sz w:val="16"/>
          <w:szCs w:val="16"/>
          <w:lang w:val="es-CO" w:eastAsia="es-ES"/>
        </w:rPr>
        <w:t>CCE-DES-FM-17</w:t>
      </w:r>
    </w:p>
    <w:p w14:paraId="38FF1264" w14:textId="77777777" w:rsidR="00904CD9" w:rsidRPr="00BB0056" w:rsidRDefault="00904CD9" w:rsidP="00904CD9">
      <w:pPr>
        <w:jc w:val="both"/>
        <w:rPr>
          <w:rFonts w:ascii="Arial" w:eastAsia="Calibri" w:hAnsi="Arial" w:cs="Arial"/>
          <w:sz w:val="20"/>
          <w:szCs w:val="20"/>
          <w:lang w:val="es-CO"/>
        </w:rPr>
      </w:pPr>
    </w:p>
    <w:p w14:paraId="15BB3A70" w14:textId="77777777" w:rsidR="00503872" w:rsidRPr="00066821" w:rsidRDefault="00503872" w:rsidP="00503872">
      <w:pPr>
        <w:jc w:val="both"/>
        <w:rPr>
          <w:rFonts w:ascii="Arial" w:eastAsia="Calibri" w:hAnsi="Arial" w:cs="Arial"/>
          <w:b/>
          <w:bCs/>
          <w:sz w:val="22"/>
        </w:rPr>
      </w:pPr>
      <w:r w:rsidRPr="00066821">
        <w:rPr>
          <w:rFonts w:ascii="Arial" w:eastAsia="Calibri" w:hAnsi="Arial" w:cs="Arial"/>
          <w:b/>
          <w:bCs/>
          <w:sz w:val="22"/>
        </w:rPr>
        <w:t xml:space="preserve">DOCUMENTOS TIPO – Matriz 1 – Experiencia general </w:t>
      </w:r>
      <w:r w:rsidRPr="00066821">
        <w:rPr>
          <w:rFonts w:ascii="Arial" w:eastAsia="Arial" w:hAnsi="Arial" w:cs="Arial"/>
          <w:b/>
          <w:bCs/>
          <w:sz w:val="22"/>
        </w:rPr>
        <w:t>– Experiencia</w:t>
      </w:r>
      <w:r w:rsidRPr="00066821">
        <w:rPr>
          <w:rFonts w:ascii="Arial" w:eastAsia="Calibri" w:hAnsi="Arial" w:cs="Arial"/>
          <w:b/>
          <w:bCs/>
          <w:sz w:val="22"/>
        </w:rPr>
        <w:t xml:space="preserve"> específica</w:t>
      </w:r>
    </w:p>
    <w:p w14:paraId="4ABD91AF" w14:textId="77777777" w:rsidR="00503872" w:rsidRPr="00066821" w:rsidRDefault="00503872" w:rsidP="00503872">
      <w:pPr>
        <w:jc w:val="both"/>
        <w:rPr>
          <w:rFonts w:ascii="Arial" w:eastAsia="Calibri" w:hAnsi="Arial" w:cs="Arial"/>
          <w:b/>
          <w:sz w:val="20"/>
          <w:szCs w:val="20"/>
        </w:rPr>
      </w:pPr>
    </w:p>
    <w:p w14:paraId="14CE2E34" w14:textId="577748D0" w:rsidR="0091085E" w:rsidRPr="00503872" w:rsidRDefault="00503872" w:rsidP="00503872">
      <w:pPr>
        <w:jc w:val="both"/>
        <w:rPr>
          <w:rFonts w:ascii="Arial" w:eastAsia="Calibri" w:hAnsi="Arial" w:cs="Arial"/>
          <w:sz w:val="20"/>
          <w:szCs w:val="20"/>
        </w:rPr>
      </w:pPr>
      <w:r>
        <w:rPr>
          <w:rFonts w:ascii="Arial" w:eastAsia="Calibri" w:hAnsi="Arial" w:cs="Arial"/>
          <w:sz w:val="20"/>
          <w:szCs w:val="20"/>
        </w:rPr>
        <w:t>[…]</w:t>
      </w:r>
      <w:r w:rsidRPr="00CC6C47">
        <w:rPr>
          <w:rFonts w:ascii="Arial" w:eastAsia="Calibri" w:hAnsi="Arial" w:cs="Arial"/>
          <w:sz w:val="20"/>
          <w:szCs w:val="20"/>
        </w:rPr>
        <w:t xml:space="preserve"> 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w:t>
      </w:r>
      <w:r w:rsidR="0091085E">
        <w:rPr>
          <w:rFonts w:ascii="Arial" w:eastAsia="Calibri" w:hAnsi="Arial" w:cs="Arial"/>
          <w:sz w:val="20"/>
          <w:szCs w:val="20"/>
          <w:lang w:val="es-CO"/>
        </w:rPr>
        <w:t>.</w:t>
      </w:r>
    </w:p>
    <w:p w14:paraId="420648A0" w14:textId="77777777" w:rsidR="00904CD9" w:rsidRPr="00BB0056" w:rsidRDefault="00904CD9" w:rsidP="00904CD9">
      <w:pPr>
        <w:jc w:val="both"/>
        <w:rPr>
          <w:rFonts w:ascii="Arial" w:eastAsia="Calibri" w:hAnsi="Arial" w:cs="Arial"/>
          <w:sz w:val="20"/>
          <w:szCs w:val="20"/>
          <w:lang w:val="es-CO"/>
        </w:rPr>
      </w:pPr>
    </w:p>
    <w:p w14:paraId="3BB70E99" w14:textId="60C86778" w:rsidR="00503872" w:rsidRPr="00066821" w:rsidRDefault="00503872" w:rsidP="00503872">
      <w:pPr>
        <w:jc w:val="both"/>
        <w:rPr>
          <w:rFonts w:ascii="Arial" w:eastAsia="Calibri" w:hAnsi="Arial" w:cs="Arial"/>
          <w:b/>
          <w:bCs/>
          <w:sz w:val="22"/>
        </w:rPr>
      </w:pPr>
      <w:r>
        <w:rPr>
          <w:rFonts w:ascii="Arial" w:eastAsia="Calibri" w:hAnsi="Arial" w:cs="Arial"/>
          <w:b/>
          <w:bCs/>
          <w:sz w:val="22"/>
        </w:rPr>
        <w:t>I</w:t>
      </w:r>
      <w:r w:rsidRPr="00066821">
        <w:rPr>
          <w:rFonts w:ascii="Arial" w:eastAsia="Calibri" w:hAnsi="Arial" w:cs="Arial"/>
          <w:b/>
          <w:bCs/>
          <w:sz w:val="22"/>
        </w:rPr>
        <w:t xml:space="preserve">NALTERABILIDAD </w:t>
      </w:r>
      <w:r>
        <w:rPr>
          <w:rFonts w:ascii="Arial" w:eastAsia="Calibri" w:hAnsi="Arial" w:cs="Arial"/>
          <w:b/>
          <w:bCs/>
          <w:sz w:val="22"/>
        </w:rPr>
        <w:t>– Documentos tipo – Licitación pública – Fundamento</w:t>
      </w:r>
    </w:p>
    <w:p w14:paraId="78B7DDDE" w14:textId="77777777" w:rsidR="00503872" w:rsidRPr="00066821" w:rsidRDefault="00503872" w:rsidP="00503872">
      <w:pPr>
        <w:jc w:val="both"/>
        <w:rPr>
          <w:rFonts w:ascii="Arial" w:eastAsia="Calibri" w:hAnsi="Arial" w:cs="Arial"/>
          <w:sz w:val="20"/>
          <w:szCs w:val="20"/>
        </w:rPr>
      </w:pPr>
    </w:p>
    <w:p w14:paraId="737CCBB0" w14:textId="267DF402" w:rsidR="00BF0945" w:rsidRDefault="00503872" w:rsidP="00503872">
      <w:pPr>
        <w:jc w:val="both"/>
        <w:rPr>
          <w:rFonts w:ascii="Arial" w:eastAsia="Calibri" w:hAnsi="Arial" w:cs="Arial"/>
          <w:sz w:val="20"/>
          <w:szCs w:val="20"/>
          <w:lang w:val="es-CO"/>
        </w:rPr>
      </w:pPr>
      <w:r w:rsidRPr="00CC6C47">
        <w:rPr>
          <w:rFonts w:ascii="Arial" w:eastAsia="Calibri" w:hAnsi="Arial" w:cs="Arial"/>
          <w:bCs/>
          <w:sz w:val="20"/>
          <w:szCs w:val="20"/>
        </w:rPr>
        <w:t>Para el procedimiento de licitación pública, el artículo 2.2.1.2.6.1.4 del Decreto 1082 de 2015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r w:rsidR="00BF0945" w:rsidRPr="00BF0945">
        <w:rPr>
          <w:rFonts w:ascii="Arial" w:eastAsia="Calibri" w:hAnsi="Arial" w:cs="Arial"/>
          <w:sz w:val="20"/>
          <w:szCs w:val="20"/>
          <w:lang w:val="es-CO"/>
        </w:rPr>
        <w:t>.</w:t>
      </w:r>
    </w:p>
    <w:p w14:paraId="4906C65F" w14:textId="23F4F598" w:rsidR="00503872" w:rsidRDefault="00503872" w:rsidP="00503872">
      <w:pPr>
        <w:jc w:val="both"/>
        <w:rPr>
          <w:rFonts w:ascii="Arial" w:eastAsia="Calibri" w:hAnsi="Arial" w:cs="Arial"/>
          <w:sz w:val="20"/>
          <w:szCs w:val="20"/>
          <w:lang w:val="es-CO"/>
        </w:rPr>
      </w:pPr>
    </w:p>
    <w:p w14:paraId="1A61ED14" w14:textId="468A7133" w:rsidR="00503872" w:rsidRPr="00066821" w:rsidRDefault="00503872" w:rsidP="00503872">
      <w:pPr>
        <w:jc w:val="both"/>
        <w:rPr>
          <w:rFonts w:ascii="Arial" w:eastAsia="Calibri" w:hAnsi="Arial" w:cs="Arial"/>
          <w:b/>
          <w:bCs/>
          <w:sz w:val="22"/>
        </w:rPr>
      </w:pPr>
      <w:r>
        <w:rPr>
          <w:rFonts w:ascii="Arial" w:eastAsia="Calibri" w:hAnsi="Arial" w:cs="Arial"/>
          <w:b/>
          <w:bCs/>
          <w:sz w:val="22"/>
        </w:rPr>
        <w:t xml:space="preserve">EXPERIENCIA – Longitud de la vía – Alcance </w:t>
      </w:r>
      <w:r w:rsidRPr="00066821">
        <w:rPr>
          <w:rFonts w:ascii="Arial" w:eastAsia="Calibri" w:hAnsi="Arial" w:cs="Arial"/>
          <w:b/>
          <w:bCs/>
          <w:sz w:val="22"/>
        </w:rPr>
        <w:t xml:space="preserve"> </w:t>
      </w:r>
    </w:p>
    <w:p w14:paraId="39D0E96A" w14:textId="77777777" w:rsidR="00503872" w:rsidRPr="00066821" w:rsidRDefault="00503872" w:rsidP="00503872">
      <w:pPr>
        <w:jc w:val="both"/>
        <w:rPr>
          <w:rFonts w:ascii="Arial" w:eastAsia="Calibri" w:hAnsi="Arial" w:cs="Arial"/>
          <w:sz w:val="20"/>
          <w:szCs w:val="20"/>
        </w:rPr>
      </w:pPr>
    </w:p>
    <w:p w14:paraId="1C8CF651" w14:textId="77777777" w:rsidR="000E00A8" w:rsidRPr="000E00A8" w:rsidRDefault="000E00A8" w:rsidP="000E00A8">
      <w:pPr>
        <w:spacing w:after="120"/>
        <w:jc w:val="both"/>
        <w:rPr>
          <w:rFonts w:ascii="Arial" w:eastAsia="Calibri" w:hAnsi="Arial" w:cs="Arial"/>
          <w:bCs/>
          <w:sz w:val="20"/>
          <w:szCs w:val="20"/>
        </w:rPr>
      </w:pPr>
      <w:r w:rsidRPr="000E00A8">
        <w:rPr>
          <w:rFonts w:ascii="Arial" w:eastAsia="Calibri" w:hAnsi="Arial" w:cs="Arial"/>
          <w:bCs/>
          <w:sz w:val="20"/>
          <w:szCs w:val="20"/>
        </w:rPr>
        <w:t xml:space="preserve">Para efectos de la experiencia de los proponentes, la longitud de la vía equivale al total de la caracterización vial en kilómetros lineales. En esta medida, tratándose de obras en placa huella, no es posible calcular el porcentaje para solicitar la experiencia sobre la longitud de las obras efectivamente ejecutadas en el tramo respectivo (considerando cada longitud de la franja que conforma la placa huella), pues lo contrario implica una alteración de las condiciones estandarizadas en los «Documentos Tipo – Versión 2» para los procedimientos de licitación pública de infraestructura de transporte.   </w:t>
      </w:r>
    </w:p>
    <w:p w14:paraId="1E97567C" w14:textId="66D24E9A" w:rsidR="00503872" w:rsidRDefault="000E00A8" w:rsidP="000E00A8">
      <w:pPr>
        <w:jc w:val="both"/>
        <w:rPr>
          <w:rFonts w:ascii="Arial" w:eastAsia="Calibri" w:hAnsi="Arial" w:cs="Arial"/>
          <w:sz w:val="20"/>
          <w:szCs w:val="20"/>
          <w:lang w:val="es-CO"/>
        </w:rPr>
      </w:pPr>
      <w:r w:rsidRPr="000E00A8">
        <w:rPr>
          <w:rFonts w:ascii="Arial" w:eastAsia="Calibri" w:hAnsi="Arial" w:cs="Arial"/>
          <w:bCs/>
          <w:sz w:val="20"/>
          <w:szCs w:val="20"/>
        </w:rPr>
        <w:t>Esta conclusión no solo se sustenta en la interpretación literal de la «Matriz 1 – Experiencia» sino también en las definiciones del «Anexo 3 – Glosario», el cual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construir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tramos o segmentos viales</w:t>
      </w:r>
      <w:r w:rsidR="00503872" w:rsidRPr="00BF0945">
        <w:rPr>
          <w:rFonts w:ascii="Arial" w:eastAsia="Calibri" w:hAnsi="Arial" w:cs="Arial"/>
          <w:sz w:val="20"/>
          <w:szCs w:val="20"/>
          <w:lang w:val="es-CO"/>
        </w:rPr>
        <w:t>.</w:t>
      </w:r>
    </w:p>
    <w:p w14:paraId="7918C7BA" w14:textId="46B3290D" w:rsidR="009313B8" w:rsidRDefault="009313B8" w:rsidP="00904CD9">
      <w:pPr>
        <w:rPr>
          <w:rFonts w:ascii="Arial" w:hAnsi="Arial" w:cs="Arial"/>
          <w:color w:val="000000" w:themeColor="text1"/>
          <w:sz w:val="22"/>
          <w:lang w:val="pt-BR"/>
        </w:rPr>
      </w:pPr>
      <w:bookmarkStart w:id="1" w:name="_Hlk57621034"/>
    </w:p>
    <w:p w14:paraId="623AA293" w14:textId="77777777" w:rsidR="009313B8" w:rsidRDefault="009313B8" w:rsidP="00904CD9">
      <w:pPr>
        <w:rPr>
          <w:rFonts w:ascii="Arial" w:hAnsi="Arial" w:cs="Arial"/>
          <w:color w:val="000000" w:themeColor="text1"/>
          <w:sz w:val="22"/>
          <w:lang w:val="pt-BR"/>
        </w:rPr>
      </w:pPr>
    </w:p>
    <w:p w14:paraId="773F789C" w14:textId="1F436F7D" w:rsidR="00904CD9" w:rsidRPr="009313B8" w:rsidRDefault="00904CD9" w:rsidP="00904CD9">
      <w:pPr>
        <w:rPr>
          <w:rFonts w:ascii="Arial" w:hAnsi="Arial" w:cs="Arial"/>
          <w:b/>
          <w:color w:val="000000" w:themeColor="text1"/>
          <w:sz w:val="22"/>
          <w:lang w:val="pt-BR"/>
        </w:rPr>
      </w:pPr>
      <w:r w:rsidRPr="009313B8">
        <w:rPr>
          <w:rFonts w:ascii="Arial" w:hAnsi="Arial" w:cs="Arial"/>
          <w:color w:val="000000" w:themeColor="text1"/>
          <w:sz w:val="22"/>
          <w:lang w:val="pt-BR"/>
        </w:rPr>
        <w:t>Bogotá D.C.</w:t>
      </w:r>
      <w:bookmarkEnd w:id="1"/>
      <w:r w:rsidRPr="009313B8">
        <w:rPr>
          <w:rFonts w:ascii="Arial" w:hAnsi="Arial" w:cs="Arial"/>
          <w:color w:val="000000" w:themeColor="text1"/>
          <w:sz w:val="22"/>
          <w:lang w:val="pt-BR"/>
        </w:rPr>
        <w:t xml:space="preserve">, </w:t>
      </w:r>
      <w:r w:rsidR="00DD3F40" w:rsidRPr="009313B8">
        <w:rPr>
          <w:rFonts w:ascii="Arial" w:hAnsi="Arial" w:cs="Arial"/>
          <w:b/>
          <w:color w:val="000000" w:themeColor="text1"/>
          <w:sz w:val="22"/>
          <w:lang w:val="pt-BR"/>
        </w:rPr>
        <w:t>02/12/2020 Hora 14:35:41s</w:t>
      </w:r>
    </w:p>
    <w:p w14:paraId="5902DF3F" w14:textId="77777777" w:rsidR="00904CD9" w:rsidRPr="009313B8" w:rsidRDefault="00904CD9" w:rsidP="00904CD9">
      <w:pPr>
        <w:jc w:val="right"/>
        <w:rPr>
          <w:rFonts w:ascii="Arial" w:hAnsi="Arial" w:cs="Arial"/>
          <w:bCs/>
          <w:color w:val="000000" w:themeColor="text1"/>
          <w:sz w:val="22"/>
          <w:lang w:val="pt-BR"/>
        </w:rPr>
      </w:pPr>
    </w:p>
    <w:p w14:paraId="5E3B675A" w14:textId="179B53ED" w:rsidR="00904CD9" w:rsidRPr="009313B8" w:rsidRDefault="00904CD9" w:rsidP="00904CD9">
      <w:pPr>
        <w:jc w:val="right"/>
        <w:rPr>
          <w:rFonts w:ascii="Arial" w:hAnsi="Arial" w:cs="Arial"/>
          <w:b/>
          <w:color w:val="000000" w:themeColor="text1"/>
          <w:sz w:val="22"/>
          <w:lang w:val="pt-BR"/>
        </w:rPr>
      </w:pPr>
      <w:r w:rsidRPr="009313B8">
        <w:rPr>
          <w:rFonts w:ascii="Arial" w:hAnsi="Arial" w:cs="Arial"/>
          <w:b/>
          <w:color w:val="000000" w:themeColor="text1"/>
          <w:sz w:val="22"/>
          <w:lang w:val="pt-BR"/>
        </w:rPr>
        <w:t xml:space="preserve">N° Radicado: </w:t>
      </w:r>
      <w:r w:rsidR="00DD3F40" w:rsidRPr="009313B8">
        <w:rPr>
          <w:rFonts w:ascii="Arial" w:hAnsi="Arial" w:cs="Arial"/>
          <w:b/>
          <w:color w:val="000000" w:themeColor="text1"/>
          <w:sz w:val="22"/>
          <w:lang w:val="pt-BR"/>
        </w:rPr>
        <w:t>2202013000011871</w:t>
      </w:r>
    </w:p>
    <w:p w14:paraId="27F8BE04" w14:textId="77777777" w:rsidR="00904CD9" w:rsidRPr="009313B8" w:rsidRDefault="00904CD9" w:rsidP="00904CD9">
      <w:pPr>
        <w:rPr>
          <w:rFonts w:ascii="Arial" w:eastAsia="Calibri" w:hAnsi="Arial" w:cs="Arial"/>
          <w:sz w:val="22"/>
          <w:lang w:val="pt-BR"/>
        </w:rPr>
      </w:pPr>
    </w:p>
    <w:p w14:paraId="32503595" w14:textId="77777777" w:rsidR="00904CD9" w:rsidRPr="00BB0056" w:rsidRDefault="00904CD9" w:rsidP="00904CD9">
      <w:pPr>
        <w:rPr>
          <w:rFonts w:ascii="Arial" w:eastAsia="Calibri" w:hAnsi="Arial" w:cs="Arial"/>
          <w:sz w:val="22"/>
          <w:lang w:val="es-CO"/>
        </w:rPr>
      </w:pPr>
      <w:r w:rsidRPr="00BB0056">
        <w:rPr>
          <w:rFonts w:ascii="Arial" w:eastAsia="Calibri" w:hAnsi="Arial" w:cs="Arial"/>
          <w:sz w:val="22"/>
          <w:lang w:val="es-CO"/>
        </w:rPr>
        <w:t>Señor</w:t>
      </w:r>
    </w:p>
    <w:p w14:paraId="7EC52231" w14:textId="48D6595F" w:rsidR="00B5146F" w:rsidRDefault="0061135A" w:rsidP="00904CD9">
      <w:pPr>
        <w:rPr>
          <w:rFonts w:ascii="Arial" w:eastAsia="Calibri" w:hAnsi="Arial" w:cs="Arial"/>
          <w:b/>
          <w:sz w:val="22"/>
          <w:lang w:val="es-CO"/>
        </w:rPr>
      </w:pPr>
      <w:r>
        <w:rPr>
          <w:rFonts w:ascii="Arial" w:eastAsia="Calibri" w:hAnsi="Arial" w:cs="Arial"/>
          <w:b/>
          <w:sz w:val="22"/>
          <w:lang w:val="es-CO"/>
        </w:rPr>
        <w:t xml:space="preserve">Elder José Garrido Guayabo </w:t>
      </w:r>
    </w:p>
    <w:p w14:paraId="6E60E433" w14:textId="15214A27" w:rsidR="00904CD9" w:rsidRPr="00BB0056" w:rsidRDefault="00B5146F" w:rsidP="00904CD9">
      <w:pPr>
        <w:rPr>
          <w:rFonts w:ascii="Arial" w:eastAsia="Calibri" w:hAnsi="Arial" w:cs="Arial"/>
          <w:sz w:val="22"/>
          <w:lang w:val="es-CO"/>
        </w:rPr>
      </w:pPr>
      <w:r w:rsidRPr="00B5146F">
        <w:rPr>
          <w:rFonts w:ascii="Arial" w:eastAsia="Calibri" w:hAnsi="Arial" w:cs="Arial"/>
          <w:sz w:val="22"/>
          <w:lang w:val="es-CO"/>
        </w:rPr>
        <w:lastRenderedPageBreak/>
        <w:t>Bogotá D.C.</w:t>
      </w:r>
      <w:r w:rsidR="00904CD9">
        <w:rPr>
          <w:rFonts w:ascii="Arial" w:eastAsia="Calibri" w:hAnsi="Arial" w:cs="Arial"/>
          <w:sz w:val="22"/>
          <w:lang w:val="es-CO"/>
        </w:rPr>
        <w:t xml:space="preserve"> </w:t>
      </w:r>
    </w:p>
    <w:p w14:paraId="161F743D" w14:textId="77777777" w:rsidR="00904CD9" w:rsidRPr="00BB0056" w:rsidRDefault="00904CD9" w:rsidP="00904CD9">
      <w:pPr>
        <w:rPr>
          <w:rFonts w:ascii="Arial" w:eastAsia="Calibri" w:hAnsi="Arial" w:cs="Arial"/>
          <w:sz w:val="22"/>
          <w:lang w:val="es-CO"/>
        </w:rPr>
      </w:pPr>
    </w:p>
    <w:p w14:paraId="4FBAF770" w14:textId="77777777" w:rsidR="00904CD9" w:rsidRPr="00BB0056" w:rsidRDefault="00904CD9" w:rsidP="00904CD9">
      <w:pPr>
        <w:rPr>
          <w:rFonts w:ascii="Arial" w:eastAsia="Calibri" w:hAnsi="Arial" w:cs="Arial"/>
          <w:sz w:val="22"/>
          <w:lang w:val="es-CO"/>
        </w:rPr>
      </w:pPr>
    </w:p>
    <w:p w14:paraId="52B37521" w14:textId="4998A48C" w:rsidR="00904CD9" w:rsidRPr="00BB0056" w:rsidRDefault="00904CD9" w:rsidP="00904CD9">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Concepto C – 6</w:t>
      </w:r>
      <w:r w:rsidR="00AB1AC8">
        <w:rPr>
          <w:rFonts w:ascii="Arial" w:eastAsia="Calibri" w:hAnsi="Arial" w:cs="Arial"/>
          <w:b/>
          <w:sz w:val="22"/>
          <w:lang w:val="es-CO"/>
        </w:rPr>
        <w:t>97</w:t>
      </w:r>
      <w:r w:rsidRPr="00BB0056">
        <w:rPr>
          <w:rFonts w:ascii="Arial" w:eastAsia="Calibri" w:hAnsi="Arial" w:cs="Arial"/>
          <w:b/>
          <w:sz w:val="22"/>
          <w:lang w:val="es-CO"/>
        </w:rPr>
        <w:t xml:space="preserve"> de 2020</w:t>
      </w:r>
    </w:p>
    <w:p w14:paraId="49A14CFA" w14:textId="77777777" w:rsidR="00904CD9" w:rsidRPr="00BB0056" w:rsidRDefault="00904CD9" w:rsidP="00904CD9">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04CD9" w:rsidRPr="00BB0056" w14:paraId="14AF0284" w14:textId="77777777" w:rsidTr="00C67675">
        <w:tc>
          <w:tcPr>
            <w:tcW w:w="2689" w:type="dxa"/>
            <w:hideMark/>
          </w:tcPr>
          <w:p w14:paraId="4C12F26E" w14:textId="77777777" w:rsidR="00904CD9" w:rsidRPr="00BB0056" w:rsidRDefault="00904CD9" w:rsidP="00C67675">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0DEB371D" w14:textId="77777777" w:rsidR="00904CD9" w:rsidRPr="00BB0056" w:rsidRDefault="00904CD9" w:rsidP="00C67675">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13ADFC26" w14:textId="075B2E1F" w:rsidR="00904CD9" w:rsidRPr="00BB0056" w:rsidRDefault="00503872" w:rsidP="00C67675">
            <w:pPr>
              <w:spacing w:after="120"/>
              <w:jc w:val="both"/>
              <w:rPr>
                <w:rFonts w:ascii="Arial" w:hAnsi="Arial" w:cs="Arial"/>
                <w:sz w:val="22"/>
                <w:lang w:val="es-CO"/>
              </w:rPr>
            </w:pPr>
            <w:r w:rsidRPr="00503872">
              <w:rPr>
                <w:rFonts w:ascii="Arial" w:hAnsi="Arial" w:cs="Arial"/>
                <w:sz w:val="22"/>
                <w:lang w:val="es-CO"/>
              </w:rPr>
              <w:t>DOCUMENTOS TIPO – Matriz 1 – Experiencia general – Experiencia específica</w:t>
            </w:r>
            <w:r w:rsidR="00904CD9" w:rsidRPr="00BB0056">
              <w:rPr>
                <w:rFonts w:ascii="Arial" w:hAnsi="Arial" w:cs="Arial"/>
                <w:sz w:val="22"/>
                <w:lang w:val="es-CO"/>
              </w:rPr>
              <w:t xml:space="preserve"> / </w:t>
            </w:r>
            <w:r w:rsidRPr="00503872">
              <w:rPr>
                <w:rFonts w:ascii="Arial" w:hAnsi="Arial" w:cs="Arial"/>
                <w:sz w:val="22"/>
                <w:lang w:val="es-CO"/>
              </w:rPr>
              <w:t>INALTERABILIDAD – Documentos tipo – Licitación pública – Fundamento</w:t>
            </w:r>
            <w:r w:rsidR="00904CD9" w:rsidRPr="00BB0056">
              <w:rPr>
                <w:rFonts w:ascii="Arial" w:hAnsi="Arial" w:cs="Arial"/>
                <w:sz w:val="22"/>
                <w:lang w:val="es-CO"/>
              </w:rPr>
              <w:t xml:space="preserve"> /</w:t>
            </w:r>
            <w:r w:rsidR="008F1D84">
              <w:rPr>
                <w:rFonts w:ascii="Arial" w:hAnsi="Arial" w:cs="Arial"/>
                <w:sz w:val="22"/>
                <w:lang w:val="es-CO"/>
              </w:rPr>
              <w:t xml:space="preserve"> </w:t>
            </w:r>
            <w:r w:rsidRPr="00503872">
              <w:rPr>
                <w:rFonts w:ascii="Arial" w:hAnsi="Arial" w:cs="Arial"/>
                <w:sz w:val="22"/>
                <w:lang w:val="es-CO"/>
              </w:rPr>
              <w:t>EXPERIENCIA – Longitud de la vía – Alcance</w:t>
            </w:r>
            <w:r w:rsidR="008F1D84" w:rsidRPr="008F1D84">
              <w:rPr>
                <w:rFonts w:ascii="Arial" w:hAnsi="Arial" w:cs="Arial"/>
                <w:sz w:val="22"/>
                <w:lang w:val="es-CO"/>
              </w:rPr>
              <w:t xml:space="preserve"> </w:t>
            </w:r>
            <w:r w:rsidR="00904CD9" w:rsidRPr="00BB0056">
              <w:rPr>
                <w:rFonts w:ascii="Arial" w:hAnsi="Arial" w:cs="Arial"/>
                <w:sz w:val="22"/>
                <w:lang w:val="es-CO"/>
              </w:rPr>
              <w:t xml:space="preserve"> </w:t>
            </w:r>
          </w:p>
        </w:tc>
      </w:tr>
      <w:tr w:rsidR="00904CD9" w:rsidRPr="00BB0056" w14:paraId="1F0040A5" w14:textId="77777777" w:rsidTr="00C67675">
        <w:tc>
          <w:tcPr>
            <w:tcW w:w="2689" w:type="dxa"/>
          </w:tcPr>
          <w:p w14:paraId="19004B16" w14:textId="77777777" w:rsidR="00904CD9" w:rsidRPr="00BB0056" w:rsidRDefault="00904CD9" w:rsidP="00C67675">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3B4D4942" w14:textId="14810CB0" w:rsidR="00904CD9" w:rsidRPr="00BB0056" w:rsidRDefault="00904CD9" w:rsidP="00C67675">
            <w:pPr>
              <w:spacing w:before="60"/>
              <w:jc w:val="both"/>
              <w:rPr>
                <w:rFonts w:ascii="Arial" w:eastAsia="Calibri" w:hAnsi="Arial" w:cs="Arial"/>
                <w:sz w:val="22"/>
                <w:lang w:val="es-CO"/>
              </w:rPr>
            </w:pPr>
            <w:r w:rsidRPr="00BB0056">
              <w:rPr>
                <w:rFonts w:ascii="Arial" w:eastAsia="Calibri" w:hAnsi="Arial" w:cs="Arial"/>
                <w:sz w:val="22"/>
                <w:lang w:val="es-CO"/>
              </w:rPr>
              <w:t>Respuesta a la</w:t>
            </w:r>
            <w:r w:rsidR="0061135A">
              <w:rPr>
                <w:rFonts w:ascii="Arial" w:eastAsia="Calibri" w:hAnsi="Arial" w:cs="Arial"/>
                <w:sz w:val="22"/>
                <w:lang w:val="es-CO"/>
              </w:rPr>
              <w:t>s</w:t>
            </w:r>
            <w:r w:rsidRPr="00BB0056">
              <w:rPr>
                <w:rFonts w:ascii="Arial" w:eastAsia="Calibri" w:hAnsi="Arial" w:cs="Arial"/>
                <w:sz w:val="22"/>
                <w:lang w:val="es-CO"/>
              </w:rPr>
              <w:t xml:space="preserve"> consulta</w:t>
            </w:r>
            <w:r w:rsidR="0061135A">
              <w:rPr>
                <w:rFonts w:ascii="Arial" w:eastAsia="Calibri" w:hAnsi="Arial" w:cs="Arial"/>
                <w:sz w:val="22"/>
                <w:lang w:val="es-CO"/>
              </w:rPr>
              <w:t>s</w:t>
            </w:r>
            <w:r w:rsidRPr="00BB0056">
              <w:rPr>
                <w:rFonts w:ascii="Arial" w:eastAsia="Calibri" w:hAnsi="Arial" w:cs="Arial"/>
                <w:sz w:val="22"/>
                <w:lang w:val="es-CO"/>
              </w:rPr>
              <w:t xml:space="preserve"> </w:t>
            </w:r>
            <w:r w:rsidR="0061135A" w:rsidRPr="0061135A">
              <w:rPr>
                <w:rFonts w:ascii="Arial" w:eastAsia="Calibri" w:hAnsi="Arial" w:cs="Arial"/>
                <w:sz w:val="22"/>
                <w:lang w:val="es-CO"/>
              </w:rPr>
              <w:t>204202013000009722</w:t>
            </w:r>
            <w:r w:rsidR="0061135A">
              <w:rPr>
                <w:rFonts w:ascii="Arial" w:eastAsia="Calibri" w:hAnsi="Arial" w:cs="Arial"/>
                <w:sz w:val="22"/>
                <w:lang w:val="es-CO"/>
              </w:rPr>
              <w:t xml:space="preserve"> y </w:t>
            </w:r>
            <w:r w:rsidR="0061135A" w:rsidRPr="0061135A">
              <w:rPr>
                <w:rFonts w:ascii="Arial" w:eastAsia="Calibri" w:hAnsi="Arial" w:cs="Arial"/>
                <w:sz w:val="22"/>
                <w:lang w:val="es-CO"/>
              </w:rPr>
              <w:t>204202012000009800</w:t>
            </w:r>
            <w:r w:rsidR="0061135A">
              <w:rPr>
                <w:rFonts w:ascii="Arial" w:eastAsia="Calibri" w:hAnsi="Arial" w:cs="Arial"/>
                <w:sz w:val="22"/>
                <w:lang w:val="es-CO"/>
              </w:rPr>
              <w:t xml:space="preserve"> –acumulados–</w:t>
            </w:r>
          </w:p>
        </w:tc>
      </w:tr>
    </w:tbl>
    <w:p w14:paraId="67BCC159" w14:textId="77777777" w:rsidR="00904CD9" w:rsidRPr="00BB0056" w:rsidRDefault="00904CD9" w:rsidP="00904CD9">
      <w:pPr>
        <w:spacing w:before="60"/>
        <w:jc w:val="both"/>
        <w:rPr>
          <w:rFonts w:ascii="Arial" w:eastAsia="Calibri" w:hAnsi="Arial" w:cs="Arial"/>
          <w:sz w:val="22"/>
          <w:lang w:val="es-CO"/>
        </w:rPr>
      </w:pPr>
    </w:p>
    <w:p w14:paraId="4F525124" w14:textId="77777777" w:rsidR="00904CD9" w:rsidRPr="00BB0056" w:rsidRDefault="00904CD9" w:rsidP="00904CD9">
      <w:pPr>
        <w:rPr>
          <w:rFonts w:ascii="Arial" w:eastAsia="Calibri" w:hAnsi="Arial" w:cs="Arial"/>
          <w:sz w:val="22"/>
          <w:lang w:val="es-CO"/>
        </w:rPr>
      </w:pPr>
    </w:p>
    <w:p w14:paraId="23FFBBCE" w14:textId="0F9E932D" w:rsidR="00904CD9" w:rsidRPr="00BB0056" w:rsidRDefault="00904CD9" w:rsidP="00904CD9">
      <w:pPr>
        <w:rPr>
          <w:rFonts w:ascii="Arial" w:eastAsia="Calibri" w:hAnsi="Arial" w:cs="Arial"/>
          <w:sz w:val="22"/>
          <w:lang w:val="es-CO"/>
        </w:rPr>
      </w:pPr>
      <w:r w:rsidRPr="00BB0056">
        <w:rPr>
          <w:rFonts w:ascii="Arial" w:eastAsia="Calibri" w:hAnsi="Arial" w:cs="Arial"/>
          <w:sz w:val="22"/>
          <w:lang w:val="es-CO"/>
        </w:rPr>
        <w:t>Estimad</w:t>
      </w:r>
      <w:r>
        <w:rPr>
          <w:rFonts w:ascii="Arial" w:eastAsia="Calibri" w:hAnsi="Arial" w:cs="Arial"/>
          <w:sz w:val="22"/>
          <w:lang w:val="es-CO"/>
        </w:rPr>
        <w:t>o</w:t>
      </w:r>
      <w:r w:rsidRPr="00BB0056">
        <w:rPr>
          <w:rFonts w:ascii="Arial" w:eastAsia="Calibri" w:hAnsi="Arial" w:cs="Arial"/>
          <w:sz w:val="22"/>
          <w:lang w:val="es-CO"/>
        </w:rPr>
        <w:t xml:space="preserve"> señor </w:t>
      </w:r>
      <w:r w:rsidR="00A52E43">
        <w:rPr>
          <w:rFonts w:ascii="Arial" w:eastAsia="Calibri" w:hAnsi="Arial" w:cs="Arial"/>
          <w:sz w:val="22"/>
          <w:lang w:val="es-CO"/>
        </w:rPr>
        <w:t>Garrido</w:t>
      </w:r>
      <w:r w:rsidRPr="00BB0056">
        <w:rPr>
          <w:rFonts w:ascii="Arial" w:eastAsia="Calibri" w:hAnsi="Arial" w:cs="Arial"/>
          <w:sz w:val="22"/>
          <w:lang w:val="es-CO"/>
        </w:rPr>
        <w:t>:</w:t>
      </w:r>
    </w:p>
    <w:p w14:paraId="24D48CA1" w14:textId="77777777" w:rsidR="00904CD9" w:rsidRPr="00BB0056" w:rsidRDefault="00904CD9" w:rsidP="00904CD9">
      <w:pPr>
        <w:rPr>
          <w:rFonts w:ascii="Arial" w:eastAsia="Calibri" w:hAnsi="Arial" w:cs="Arial"/>
          <w:sz w:val="22"/>
          <w:lang w:val="es-CO"/>
        </w:rPr>
      </w:pPr>
    </w:p>
    <w:p w14:paraId="0923B836" w14:textId="730ECD4E" w:rsidR="00904CD9" w:rsidRPr="00BB0056" w:rsidRDefault="00904CD9" w:rsidP="00904CD9">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 responde la</w:t>
      </w:r>
      <w:r w:rsidR="0061135A">
        <w:rPr>
          <w:rFonts w:ascii="Arial" w:eastAsia="Calibri" w:hAnsi="Arial" w:cs="Arial"/>
          <w:sz w:val="22"/>
          <w:lang w:val="es-CO"/>
        </w:rPr>
        <w:t>s</w:t>
      </w:r>
      <w:r w:rsidRPr="00BB0056">
        <w:rPr>
          <w:rFonts w:ascii="Arial" w:eastAsia="Calibri" w:hAnsi="Arial" w:cs="Arial"/>
          <w:sz w:val="22"/>
          <w:lang w:val="es-CO"/>
        </w:rPr>
        <w:t xml:space="preserve"> consulta</w:t>
      </w:r>
      <w:r w:rsidR="0061135A">
        <w:rPr>
          <w:rFonts w:ascii="Arial" w:eastAsia="Calibri" w:hAnsi="Arial" w:cs="Arial"/>
          <w:sz w:val="22"/>
          <w:lang w:val="es-CO"/>
        </w:rPr>
        <w:t>s</w:t>
      </w:r>
      <w:r w:rsidRPr="00BB0056">
        <w:rPr>
          <w:rFonts w:ascii="Arial" w:eastAsia="Calibri" w:hAnsi="Arial" w:cs="Arial"/>
          <w:sz w:val="22"/>
          <w:lang w:val="es-CO"/>
        </w:rPr>
        <w:t xml:space="preserve"> realizada</w:t>
      </w:r>
      <w:r w:rsidR="0061135A">
        <w:rPr>
          <w:rFonts w:ascii="Arial" w:eastAsia="Calibri" w:hAnsi="Arial" w:cs="Arial"/>
          <w:sz w:val="22"/>
          <w:lang w:val="es-CO"/>
        </w:rPr>
        <w:t>s</w:t>
      </w:r>
      <w:r w:rsidRPr="00BB0056">
        <w:rPr>
          <w:rFonts w:ascii="Arial" w:eastAsia="Calibri" w:hAnsi="Arial" w:cs="Arial"/>
          <w:sz w:val="22"/>
          <w:lang w:val="es-CO"/>
        </w:rPr>
        <w:t xml:space="preserve"> el </w:t>
      </w:r>
      <w:r w:rsidR="00B5146F">
        <w:rPr>
          <w:rFonts w:ascii="Arial" w:eastAsia="Calibri" w:hAnsi="Arial" w:cs="Arial"/>
          <w:sz w:val="22"/>
          <w:lang w:val="es-CO"/>
        </w:rPr>
        <w:t>2</w:t>
      </w:r>
      <w:r w:rsidR="0061135A">
        <w:rPr>
          <w:rFonts w:ascii="Arial" w:eastAsia="Calibri" w:hAnsi="Arial" w:cs="Arial"/>
          <w:sz w:val="22"/>
          <w:lang w:val="es-CO"/>
        </w:rPr>
        <w:t>6</w:t>
      </w:r>
      <w:r>
        <w:rPr>
          <w:rFonts w:ascii="Arial" w:eastAsia="Calibri" w:hAnsi="Arial" w:cs="Arial"/>
          <w:sz w:val="22"/>
          <w:lang w:val="es-CO"/>
        </w:rPr>
        <w:t xml:space="preserve"> </w:t>
      </w:r>
      <w:r w:rsidR="0061135A">
        <w:rPr>
          <w:rFonts w:ascii="Arial" w:eastAsia="Calibri" w:hAnsi="Arial" w:cs="Arial"/>
          <w:sz w:val="22"/>
          <w:lang w:val="es-CO"/>
        </w:rPr>
        <w:t xml:space="preserve">y 28 </w:t>
      </w:r>
      <w:r>
        <w:rPr>
          <w:rFonts w:ascii="Arial" w:eastAsia="Calibri" w:hAnsi="Arial" w:cs="Arial"/>
          <w:sz w:val="22"/>
          <w:lang w:val="es-CO"/>
        </w:rPr>
        <w:t>de octubre</w:t>
      </w:r>
      <w:r w:rsidRPr="00BB0056">
        <w:rPr>
          <w:rFonts w:ascii="Arial" w:eastAsia="Calibri" w:hAnsi="Arial" w:cs="Arial"/>
          <w:sz w:val="22"/>
          <w:lang w:val="es-CO"/>
        </w:rPr>
        <w:t xml:space="preserve"> de 2020. </w:t>
      </w:r>
    </w:p>
    <w:p w14:paraId="3A5E9A2D" w14:textId="77777777" w:rsidR="00904CD9" w:rsidRPr="00BB0056" w:rsidRDefault="00904CD9" w:rsidP="00904CD9">
      <w:pPr>
        <w:spacing w:line="276" w:lineRule="auto"/>
        <w:jc w:val="both"/>
        <w:rPr>
          <w:rFonts w:ascii="Arial" w:eastAsia="Calibri" w:hAnsi="Arial" w:cs="Arial"/>
          <w:sz w:val="22"/>
          <w:lang w:val="es-CO"/>
        </w:rPr>
      </w:pPr>
    </w:p>
    <w:p w14:paraId="5A4D90C7" w14:textId="17500CB8" w:rsidR="00904CD9" w:rsidRPr="00BB0056"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Problema</w:t>
      </w:r>
      <w:r w:rsidR="00B5146F">
        <w:rPr>
          <w:rFonts w:ascii="Arial" w:eastAsia="Calibri" w:hAnsi="Arial" w:cs="Arial"/>
          <w:b/>
          <w:sz w:val="22"/>
          <w:lang w:val="es-CO"/>
        </w:rPr>
        <w:t>s</w:t>
      </w:r>
      <w:r w:rsidRPr="00BB0056">
        <w:rPr>
          <w:rFonts w:ascii="Arial" w:eastAsia="Calibri" w:hAnsi="Arial" w:cs="Arial"/>
          <w:b/>
          <w:sz w:val="22"/>
          <w:lang w:val="es-CO"/>
        </w:rPr>
        <w:t xml:space="preserve"> planteado</w:t>
      </w:r>
      <w:r w:rsidR="00B5146F">
        <w:rPr>
          <w:rFonts w:ascii="Arial" w:eastAsia="Calibri" w:hAnsi="Arial" w:cs="Arial"/>
          <w:b/>
          <w:sz w:val="22"/>
          <w:lang w:val="es-CO"/>
        </w:rPr>
        <w:t>s</w:t>
      </w:r>
      <w:r w:rsidRPr="00BB0056">
        <w:rPr>
          <w:rFonts w:ascii="Arial" w:eastAsia="Calibri" w:hAnsi="Arial" w:cs="Arial"/>
          <w:b/>
          <w:sz w:val="22"/>
          <w:lang w:val="es-CO"/>
        </w:rPr>
        <w:t xml:space="preserve"> </w:t>
      </w:r>
    </w:p>
    <w:p w14:paraId="6CB819BA" w14:textId="77777777" w:rsidR="00904CD9" w:rsidRPr="00BB0056" w:rsidRDefault="00904CD9" w:rsidP="00904CD9">
      <w:pPr>
        <w:tabs>
          <w:tab w:val="left" w:pos="426"/>
        </w:tabs>
        <w:spacing w:line="276" w:lineRule="auto"/>
        <w:jc w:val="both"/>
        <w:rPr>
          <w:rFonts w:ascii="Arial" w:eastAsia="Calibri" w:hAnsi="Arial" w:cs="Arial"/>
          <w:b/>
          <w:sz w:val="22"/>
          <w:lang w:val="es-CO"/>
        </w:rPr>
      </w:pPr>
    </w:p>
    <w:p w14:paraId="75720074" w14:textId="724DE3C9" w:rsidR="00904CD9" w:rsidRDefault="00E23732" w:rsidP="00904CD9">
      <w:pPr>
        <w:tabs>
          <w:tab w:val="left" w:pos="426"/>
        </w:tabs>
        <w:spacing w:line="276" w:lineRule="auto"/>
        <w:jc w:val="both"/>
        <w:rPr>
          <w:rFonts w:ascii="Arial" w:eastAsia="Calibri" w:hAnsi="Arial" w:cs="Arial"/>
          <w:sz w:val="22"/>
          <w:lang w:val="es-CO"/>
        </w:rPr>
      </w:pPr>
      <w:r>
        <w:rPr>
          <w:rFonts w:ascii="Arial" w:eastAsia="Calibri" w:hAnsi="Arial" w:cs="Arial"/>
          <w:sz w:val="22"/>
          <w:lang w:val="es-CO"/>
        </w:rPr>
        <w:t>Para efectos de los «Documentos Tipo – Versión 2» de licitación para obra pública de infraestructura de transporte, u</w:t>
      </w:r>
      <w:r w:rsidR="00904CD9" w:rsidRPr="002F6148">
        <w:rPr>
          <w:rFonts w:ascii="Arial" w:eastAsia="Calibri" w:hAnsi="Arial" w:cs="Arial"/>
          <w:sz w:val="22"/>
          <w:lang w:val="es-CO"/>
        </w:rPr>
        <w:t>sted realiza la</w:t>
      </w:r>
      <w:r w:rsidR="00B5146F">
        <w:rPr>
          <w:rFonts w:ascii="Arial" w:eastAsia="Calibri" w:hAnsi="Arial" w:cs="Arial"/>
          <w:sz w:val="22"/>
          <w:lang w:val="es-CO"/>
        </w:rPr>
        <w:t>s</w:t>
      </w:r>
      <w:r w:rsidR="00904CD9" w:rsidRPr="002F6148">
        <w:rPr>
          <w:rFonts w:ascii="Arial" w:eastAsia="Calibri" w:hAnsi="Arial" w:cs="Arial"/>
          <w:sz w:val="22"/>
          <w:lang w:val="es-CO"/>
        </w:rPr>
        <w:t xml:space="preserve"> siguient</w:t>
      </w:r>
      <w:r w:rsidR="00B5146F">
        <w:rPr>
          <w:rFonts w:ascii="Arial" w:eastAsia="Calibri" w:hAnsi="Arial" w:cs="Arial"/>
          <w:sz w:val="22"/>
          <w:lang w:val="es-CO"/>
        </w:rPr>
        <w:t>es</w:t>
      </w:r>
      <w:r w:rsidR="00904CD9" w:rsidRPr="002F6148">
        <w:rPr>
          <w:rFonts w:ascii="Arial" w:eastAsia="Calibri" w:hAnsi="Arial" w:cs="Arial"/>
          <w:sz w:val="22"/>
          <w:lang w:val="es-CO"/>
        </w:rPr>
        <w:t xml:space="preserve"> pregunta</w:t>
      </w:r>
      <w:r w:rsidR="00B5146F">
        <w:rPr>
          <w:rFonts w:ascii="Arial" w:eastAsia="Calibri" w:hAnsi="Arial" w:cs="Arial"/>
          <w:sz w:val="22"/>
          <w:lang w:val="es-CO"/>
        </w:rPr>
        <w:t>s</w:t>
      </w:r>
      <w:r w:rsidR="00904CD9" w:rsidRPr="002F6148">
        <w:rPr>
          <w:rFonts w:ascii="Arial" w:eastAsia="Calibri" w:hAnsi="Arial" w:cs="Arial"/>
          <w:sz w:val="22"/>
          <w:lang w:val="es-CO"/>
        </w:rPr>
        <w:t xml:space="preserve">: </w:t>
      </w:r>
      <w:r>
        <w:rPr>
          <w:rFonts w:ascii="Arial" w:eastAsia="Calibri" w:hAnsi="Arial" w:cs="Arial"/>
          <w:sz w:val="22"/>
          <w:lang w:val="es-CO"/>
        </w:rPr>
        <w:t>i) «</w:t>
      </w:r>
      <w:r w:rsidRPr="00E23732">
        <w:rPr>
          <w:rFonts w:ascii="Arial" w:eastAsia="Calibri" w:hAnsi="Arial" w:cs="Arial"/>
          <w:sz w:val="22"/>
          <w:lang w:val="es-CO"/>
        </w:rPr>
        <w:t>Si una Entidad Estatal (Alcaldía) va a ejecutar un proyecto de mejoramiento de vías terciarias dentro del Programa “Colombia Rural”, el cual consiste en la construcción de 500,00 Ml de PLACA HUELLAS y la Caracterización Vial es de 25 Km., ¿para acreditar el 50% de la longitud de vía a construir, debo aplicar sobre los 500,00 ML de Placa Huellas o sobre los 25 KM de Caracterización vial?</w:t>
      </w:r>
      <w:r>
        <w:rPr>
          <w:rFonts w:ascii="Arial" w:eastAsia="Calibri" w:hAnsi="Arial" w:cs="Arial"/>
          <w:sz w:val="22"/>
          <w:lang w:val="es-CO"/>
        </w:rPr>
        <w:t xml:space="preserve">» y </w:t>
      </w:r>
      <w:bookmarkStart w:id="2" w:name="_Hlk57652330"/>
      <w:proofErr w:type="spellStart"/>
      <w:r>
        <w:rPr>
          <w:rFonts w:ascii="Arial" w:eastAsia="Calibri" w:hAnsi="Arial" w:cs="Arial"/>
          <w:sz w:val="22"/>
          <w:lang w:val="es-CO"/>
        </w:rPr>
        <w:t>ii</w:t>
      </w:r>
      <w:proofErr w:type="spellEnd"/>
      <w:r>
        <w:rPr>
          <w:rFonts w:ascii="Arial" w:eastAsia="Calibri" w:hAnsi="Arial" w:cs="Arial"/>
          <w:sz w:val="22"/>
          <w:lang w:val="es-CO"/>
        </w:rPr>
        <w:t>) «</w:t>
      </w:r>
      <w:r w:rsidRPr="00E23732">
        <w:rPr>
          <w:rFonts w:ascii="Arial" w:eastAsia="Calibri" w:hAnsi="Arial" w:cs="Arial"/>
          <w:sz w:val="22"/>
          <w:lang w:val="es-CO"/>
        </w:rPr>
        <w:t>Si los Contratos que se ejecutan de Infraestructura Vial la Unidad de Pago de Pavimento es M2 o M3; La Entidad Estatal (Alcaldía) al calificar el requerimiento del 50% de la longitud de vía a construir, ¿debe tomarlo en METROS LINEALES (ML) o puede ser calificado por METRO CUADRADO (M2) o METRO CÚBICO (M3) ?, ya que hay contratos que dentro de los documentos aportados (Certificación, Actas de Recibo final o Actas de Liquidación) NO se identifica la longitud de PAVIMENTO y tampoco anchos de vía o espesores para realizar las conversiones respectivas</w:t>
      </w:r>
      <w:r>
        <w:rPr>
          <w:rFonts w:ascii="Arial" w:eastAsia="Calibri" w:hAnsi="Arial" w:cs="Arial"/>
          <w:sz w:val="22"/>
          <w:lang w:val="es-CO"/>
        </w:rPr>
        <w:t>»</w:t>
      </w:r>
      <w:bookmarkEnd w:id="2"/>
      <w:r>
        <w:rPr>
          <w:rFonts w:ascii="Arial" w:eastAsia="Calibri" w:hAnsi="Arial" w:cs="Arial"/>
          <w:sz w:val="22"/>
          <w:lang w:val="es-CO"/>
        </w:rPr>
        <w:t>.</w:t>
      </w:r>
    </w:p>
    <w:p w14:paraId="1E437AFA" w14:textId="77777777" w:rsidR="00E23732" w:rsidRPr="00BB0056" w:rsidRDefault="00E23732" w:rsidP="00904CD9">
      <w:pPr>
        <w:tabs>
          <w:tab w:val="left" w:pos="426"/>
        </w:tabs>
        <w:spacing w:line="276" w:lineRule="auto"/>
        <w:jc w:val="both"/>
        <w:rPr>
          <w:rFonts w:ascii="Arial" w:eastAsia="Calibri" w:hAnsi="Arial" w:cs="Arial"/>
          <w:sz w:val="22"/>
          <w:lang w:val="es-CO"/>
        </w:rPr>
      </w:pPr>
    </w:p>
    <w:p w14:paraId="3188584E" w14:textId="77777777" w:rsidR="00904CD9" w:rsidRPr="00BB0056" w:rsidRDefault="00904CD9" w:rsidP="00904CD9">
      <w:pPr>
        <w:pStyle w:val="Prrafodelista"/>
        <w:numPr>
          <w:ilvl w:val="0"/>
          <w:numId w:val="6"/>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56B06D0B" w14:textId="654C903C" w:rsidR="00904CD9" w:rsidRDefault="00904CD9" w:rsidP="00843BC4">
      <w:pPr>
        <w:tabs>
          <w:tab w:val="left" w:pos="426"/>
        </w:tabs>
        <w:spacing w:line="276" w:lineRule="auto"/>
        <w:jc w:val="both"/>
        <w:rPr>
          <w:rFonts w:ascii="Arial" w:eastAsia="Calibri" w:hAnsi="Arial" w:cs="Arial"/>
          <w:b/>
          <w:sz w:val="22"/>
          <w:lang w:val="es-CO"/>
        </w:rPr>
      </w:pPr>
    </w:p>
    <w:p w14:paraId="32FD80C3" w14:textId="6F190594" w:rsidR="00843BC4" w:rsidRPr="003A4F71" w:rsidRDefault="00843BC4" w:rsidP="00843BC4">
      <w:pPr>
        <w:spacing w:after="120" w:line="276" w:lineRule="auto"/>
        <w:jc w:val="both"/>
        <w:rPr>
          <w:rFonts w:ascii="Arial" w:hAnsi="Arial" w:cs="Arial"/>
          <w:sz w:val="22"/>
        </w:rPr>
      </w:pPr>
      <w:r w:rsidRPr="003A4F71">
        <w:rPr>
          <w:rFonts w:ascii="Arial" w:hAnsi="Arial" w:cs="Arial"/>
          <w:sz w:val="22"/>
        </w:rPr>
        <w:t xml:space="preserve">La Agencia Nacional de Contratación Pública </w:t>
      </w:r>
      <w:r w:rsidRPr="003A4F71">
        <w:rPr>
          <w:rFonts w:ascii="Arial" w:eastAsia="Calibri" w:hAnsi="Arial" w:cs="Arial"/>
          <w:sz w:val="22"/>
        </w:rPr>
        <w:t>–</w:t>
      </w:r>
      <w:r w:rsidRPr="003A4F71">
        <w:rPr>
          <w:rFonts w:ascii="Arial" w:hAnsi="Arial" w:cs="Arial"/>
          <w:sz w:val="22"/>
        </w:rPr>
        <w:t xml:space="preserve"> Colombia Compra Eficiente se ha pronunciado en diferentes conceptos sobre la forma de establecer y acreditar la experiencia </w:t>
      </w:r>
      <w:r w:rsidRPr="003A4F71">
        <w:rPr>
          <w:rFonts w:ascii="Arial" w:hAnsi="Arial" w:cs="Arial"/>
          <w:sz w:val="22"/>
        </w:rPr>
        <w:lastRenderedPageBreak/>
        <w:t xml:space="preserve">exigible en procesos de contratación adelantados con documentos tipo, en los </w:t>
      </w:r>
      <w:r w:rsidR="00037BF5">
        <w:rPr>
          <w:rFonts w:ascii="Arial" w:hAnsi="Arial" w:cs="Arial"/>
          <w:sz w:val="22"/>
        </w:rPr>
        <w:t>C</w:t>
      </w:r>
      <w:r w:rsidRPr="003A4F71">
        <w:rPr>
          <w:rFonts w:ascii="Arial" w:hAnsi="Arial" w:cs="Arial"/>
          <w:sz w:val="22"/>
        </w:rPr>
        <w:t>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y C-698 del 19 de noviembre de 2020. En lo pertinente, la tesis expuesta en estos conceptos se reitera a continuación:</w:t>
      </w:r>
    </w:p>
    <w:p w14:paraId="3ED0E587" w14:textId="626730AC" w:rsidR="00843BC4" w:rsidRPr="005B2F33" w:rsidRDefault="00843BC4" w:rsidP="00843BC4">
      <w:pPr>
        <w:spacing w:line="276" w:lineRule="auto"/>
        <w:ind w:firstLine="708"/>
        <w:jc w:val="both"/>
        <w:rPr>
          <w:color w:val="0D0D0D" w:themeColor="text1" w:themeTint="F2"/>
        </w:rPr>
      </w:pPr>
      <w:bookmarkStart w:id="3" w:name="_Hlk40098008"/>
      <w:r>
        <w:rPr>
          <w:rFonts w:ascii="Arial" w:hAnsi="Arial" w:cs="Arial"/>
          <w:color w:val="0D0D0D" w:themeColor="text1" w:themeTint="F2"/>
          <w:sz w:val="22"/>
          <w:lang w:val="es-ES"/>
        </w:rPr>
        <w:t>L</w:t>
      </w:r>
      <w:r w:rsidRPr="005B2F33">
        <w:rPr>
          <w:rFonts w:ascii="Arial" w:hAnsi="Arial" w:cs="Arial"/>
          <w:color w:val="0D0D0D" w:themeColor="text1" w:themeTint="F2"/>
          <w:sz w:val="22"/>
          <w:lang w:val="es-ES"/>
        </w:rPr>
        <w:t xml:space="preserve">os pliegos tipo aparecieron en nuestro ordenamiento jurídico en </w:t>
      </w:r>
      <w:r>
        <w:rPr>
          <w:rFonts w:ascii="Arial" w:hAnsi="Arial" w:cs="Arial"/>
          <w:color w:val="0D0D0D" w:themeColor="text1" w:themeTint="F2"/>
          <w:sz w:val="22"/>
          <w:lang w:val="es-ES"/>
        </w:rPr>
        <w:t xml:space="preserve">el </w:t>
      </w:r>
      <w:r w:rsidRPr="005B2F33">
        <w:rPr>
          <w:rFonts w:ascii="Arial" w:hAnsi="Arial" w:cs="Arial"/>
          <w:color w:val="0D0D0D" w:themeColor="text1" w:themeTint="F2"/>
          <w:sz w:val="22"/>
          <w:lang w:val="es-ES"/>
        </w:rPr>
        <w:t xml:space="preserve">2007, 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1"/>
      </w:r>
      <w:r w:rsidRPr="005B2F33">
        <w:rPr>
          <w:rFonts w:ascii="Arial" w:hAnsi="Arial" w:cs="Arial"/>
          <w:color w:val="0D0D0D" w:themeColor="text1" w:themeTint="F2"/>
          <w:sz w:val="22"/>
          <w:lang w:val="es-ES"/>
        </w:rPr>
        <w:t xml:space="preserve">. La </w:t>
      </w:r>
      <w:r>
        <w:rPr>
          <w:rFonts w:ascii="Arial" w:hAnsi="Arial" w:cs="Arial"/>
          <w:color w:val="0D0D0D" w:themeColor="text1" w:themeTint="F2"/>
          <w:sz w:val="22"/>
          <w:lang w:val="es-ES"/>
        </w:rPr>
        <w:t xml:space="preserve">orientación inicial </w:t>
      </w:r>
      <w:r w:rsidRPr="005B2F33">
        <w:rPr>
          <w:rFonts w:ascii="Arial" w:hAnsi="Arial" w:cs="Arial"/>
          <w:color w:val="0D0D0D" w:themeColor="text1" w:themeTint="F2"/>
          <w:sz w:val="22"/>
          <w:lang w:val="es-ES"/>
        </w:rPr>
        <w:t xml:space="preserve">del proyecto que se convirtió en la Ley 1150 de 2007 era facultar al Gobierno Nacional para adoptar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en todos los contratos estatales, pues </w:t>
      </w:r>
      <w:r>
        <w:rPr>
          <w:rFonts w:ascii="Arial" w:hAnsi="Arial" w:cs="Arial"/>
          <w:color w:val="0D0D0D" w:themeColor="text1" w:themeTint="F2"/>
          <w:sz w:val="22"/>
          <w:lang w:val="es-ES"/>
        </w:rPr>
        <w:t xml:space="preserve">en el proyecto </w:t>
      </w:r>
      <w:r w:rsidRPr="005B2F33">
        <w:rPr>
          <w:rFonts w:ascii="Arial" w:hAnsi="Arial" w:cs="Arial"/>
          <w:color w:val="0D0D0D" w:themeColor="text1" w:themeTint="F2"/>
          <w:sz w:val="22"/>
          <w:lang w:val="es-ES"/>
        </w:rPr>
        <w:t xml:space="preserve">el parágrafo 3º </w:t>
      </w:r>
      <w:r>
        <w:rPr>
          <w:rFonts w:ascii="Arial" w:hAnsi="Arial" w:cs="Arial"/>
          <w:color w:val="0D0D0D" w:themeColor="text1" w:themeTint="F2"/>
          <w:sz w:val="22"/>
          <w:lang w:val="es-ES"/>
        </w:rPr>
        <w:t>disponía que «</w:t>
      </w:r>
      <w:r w:rsidRPr="005B2F33">
        <w:rPr>
          <w:rFonts w:ascii="Arial" w:hAnsi="Arial" w:cs="Arial"/>
          <w:color w:val="0D0D0D" w:themeColor="text1" w:themeTint="F2"/>
          <w:sz w:val="22"/>
          <w:lang w:val="es-ES"/>
        </w:rPr>
        <w:t>El Gobierno Nacional tendrá la facultad de estandarizar los pliegos de condiciones o términos de referencia y los contratos de las entidades estatales»</w:t>
      </w:r>
      <w:r w:rsidRPr="005B2F33">
        <w:rPr>
          <w:rStyle w:val="Refdenotaalpie"/>
          <w:rFonts w:ascii="Arial" w:hAnsi="Arial" w:cs="Arial"/>
          <w:color w:val="0D0D0D" w:themeColor="text1" w:themeTint="F2"/>
          <w:sz w:val="22"/>
          <w:lang w:val="es-ES"/>
        </w:rPr>
        <w:footnoteReference w:id="2"/>
      </w:r>
      <w:r w:rsidRPr="005B2F33">
        <w:rPr>
          <w:rFonts w:ascii="Arial" w:hAnsi="Arial" w:cs="Arial"/>
          <w:color w:val="0D0D0D" w:themeColor="text1" w:themeTint="F2"/>
          <w:sz w:val="22"/>
          <w:lang w:val="es-ES"/>
        </w:rPr>
        <w:t>.</w:t>
      </w:r>
    </w:p>
    <w:p w14:paraId="6F024A60" w14:textId="77777777" w:rsidR="00843BC4" w:rsidRPr="005B2F33" w:rsidRDefault="00843BC4" w:rsidP="00843BC4">
      <w:pPr>
        <w:spacing w:before="120" w:line="276" w:lineRule="auto"/>
        <w:jc w:val="both"/>
        <w:rPr>
          <w:rFonts w:ascii="Arial" w:hAnsi="Arial" w:cs="Arial"/>
          <w:color w:val="0D0D0D" w:themeColor="text1" w:themeTint="F2"/>
          <w:sz w:val="22"/>
          <w:lang w:val="es-ES"/>
        </w:rPr>
      </w:pPr>
      <w:r w:rsidRPr="005B2F33">
        <w:rPr>
          <w:color w:val="0D0D0D" w:themeColor="text1" w:themeTint="F2"/>
        </w:rPr>
        <w:tab/>
      </w:r>
      <w:r w:rsidRPr="005B2F33">
        <w:rPr>
          <w:rFonts w:ascii="Arial" w:hAnsi="Arial" w:cs="Arial"/>
          <w:color w:val="0D0D0D" w:themeColor="text1" w:themeTint="F2"/>
          <w:sz w:val="22"/>
          <w:lang w:val="es-ES"/>
        </w:rPr>
        <w:t>La intención era agilizar y dar mayor transparencia a los proc</w:t>
      </w:r>
      <w:r>
        <w:rPr>
          <w:rFonts w:ascii="Arial" w:hAnsi="Arial" w:cs="Arial"/>
          <w:color w:val="0D0D0D" w:themeColor="text1" w:themeTint="F2"/>
          <w:sz w:val="22"/>
          <w:lang w:val="es-ES"/>
        </w:rPr>
        <w:t>edimientos</w:t>
      </w:r>
      <w:r w:rsidRPr="005B2F33">
        <w:rPr>
          <w:rFonts w:ascii="Arial" w:hAnsi="Arial" w:cs="Arial"/>
          <w:color w:val="0D0D0D" w:themeColor="text1" w:themeTint="F2"/>
          <w:sz w:val="22"/>
          <w:lang w:val="es-ES"/>
        </w:rPr>
        <w:t xml:space="preserve"> de selección</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así como</w:t>
      </w:r>
      <w:r w:rsidRPr="005B2F33">
        <w:rPr>
          <w:rFonts w:ascii="Arial" w:hAnsi="Arial" w:cs="Arial"/>
          <w:color w:val="0D0D0D" w:themeColor="text1" w:themeTint="F2"/>
          <w:sz w:val="22"/>
          <w:lang w:val="es-ES"/>
        </w:rPr>
        <w:t xml:space="preserve"> evitar el direccionamiento</w:t>
      </w:r>
      <w:r>
        <w:rPr>
          <w:rFonts w:ascii="Arial" w:hAnsi="Arial" w:cs="Arial"/>
          <w:color w:val="0D0D0D" w:themeColor="text1" w:themeTint="F2"/>
          <w:sz w:val="22"/>
          <w:lang w:val="es-ES"/>
        </w:rPr>
        <w:t xml:space="preserve">, razón por la cual –conforme a lo explicado en la exposición de motivos– </w:t>
      </w:r>
      <w:r w:rsidRPr="005B2F33">
        <w:rPr>
          <w:rFonts w:ascii="Arial" w:hAnsi="Arial" w:cs="Arial"/>
          <w:color w:val="0D0D0D" w:themeColor="text1" w:themeTint="F2"/>
          <w:sz w:val="22"/>
          <w:lang w:val="es-ES"/>
        </w:rPr>
        <w:t>«[…] se asigna al Gobierno Nacional la facultad de estandarizar los pliegos de condiciones y términos de referencia de los contratos, medida que redundará en la agilidad y claridad de los procedimientos»</w:t>
      </w:r>
      <w:r w:rsidRPr="005B2F33">
        <w:rPr>
          <w:rFonts w:ascii="Arial" w:hAnsi="Arial" w:cs="Arial"/>
          <w:color w:val="0D0D0D" w:themeColor="text1" w:themeTint="F2"/>
          <w:sz w:val="22"/>
          <w:vertAlign w:val="superscript"/>
          <w:lang w:val="es-ES"/>
        </w:rPr>
        <w:footnoteReference w:id="3"/>
      </w:r>
      <w:r w:rsidRPr="005B2F33">
        <w:rPr>
          <w:rFonts w:ascii="Arial" w:hAnsi="Arial" w:cs="Arial"/>
          <w:color w:val="0D0D0D" w:themeColor="text1" w:themeTint="F2"/>
          <w:sz w:val="22"/>
          <w:vertAlign w:val="superscript"/>
          <w:lang w:val="es-ES"/>
        </w:rPr>
        <w:t>.</w:t>
      </w:r>
      <w:r w:rsidRPr="005B2F33">
        <w:rPr>
          <w:rFonts w:ascii="Arial" w:hAnsi="Arial" w:cs="Arial"/>
          <w:color w:val="0D0D0D" w:themeColor="text1" w:themeTint="F2"/>
          <w:sz w:val="22"/>
          <w:lang w:val="es-ES"/>
        </w:rPr>
        <w:t>. Sin embargo, en el texto aprobado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se limitaron a la adquisición o suministro de bienes de características técnicas uniformes</w:t>
      </w:r>
      <w:r w:rsidRPr="005B2F33">
        <w:rPr>
          <w:rStyle w:val="Refdenotaalpie"/>
          <w:rFonts w:ascii="Arial" w:hAnsi="Arial" w:cs="Arial"/>
          <w:color w:val="0D0D0D" w:themeColor="text1" w:themeTint="F2"/>
          <w:sz w:val="21"/>
          <w:szCs w:val="21"/>
          <w:lang w:val="es-ES"/>
        </w:rPr>
        <w:footnoteReference w:id="4"/>
      </w:r>
      <w:r w:rsidRPr="005B2F33">
        <w:rPr>
          <w:rFonts w:ascii="Arial" w:hAnsi="Arial" w:cs="Arial"/>
          <w:color w:val="0D0D0D" w:themeColor="text1" w:themeTint="F2"/>
          <w:sz w:val="21"/>
          <w:szCs w:val="21"/>
          <w:lang w:val="es-ES"/>
        </w:rPr>
        <w:t>.</w:t>
      </w:r>
      <w:bookmarkEnd w:id="3"/>
    </w:p>
    <w:p w14:paraId="45EC3904" w14:textId="77777777" w:rsidR="00843BC4" w:rsidRPr="005B2F33" w:rsidRDefault="00843BC4" w:rsidP="00843BC4">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 xml:space="preserve">Posteriormente, el artículo 2, parágrafo 7º, de la Ley 1150 de 2007, adicionado por el artículo 4 de la Ley 1882 de 2018, establece la obligatoriedad de la adopción de documentos tipo para </w:t>
      </w:r>
      <w:r>
        <w:rPr>
          <w:rFonts w:ascii="Arial" w:hAnsi="Arial" w:cs="Arial"/>
          <w:color w:val="0D0D0D" w:themeColor="text1" w:themeTint="F2"/>
          <w:sz w:val="22"/>
        </w:rPr>
        <w:t>algunos contratos</w:t>
      </w:r>
      <w:r w:rsidRPr="005B2F33">
        <w:rPr>
          <w:rFonts w:ascii="Arial" w:hAnsi="Arial" w:cs="Arial"/>
          <w:color w:val="0D0D0D" w:themeColor="text1" w:themeTint="F2"/>
          <w:sz w:val="22"/>
        </w:rPr>
        <w:t xml:space="preserve">, en los siguientes términos: </w:t>
      </w:r>
    </w:p>
    <w:p w14:paraId="125416E9" w14:textId="77777777" w:rsidR="00843BC4" w:rsidRPr="005B2F33" w:rsidRDefault="00843BC4" w:rsidP="00843BC4">
      <w:pPr>
        <w:ind w:firstLine="709"/>
        <w:jc w:val="both"/>
        <w:rPr>
          <w:rFonts w:ascii="Arial" w:hAnsi="Arial" w:cs="Arial"/>
          <w:color w:val="0D0D0D" w:themeColor="text1" w:themeTint="F2"/>
          <w:sz w:val="22"/>
        </w:rPr>
      </w:pPr>
    </w:p>
    <w:p w14:paraId="3EFFB4EC" w14:textId="77777777" w:rsidR="00843BC4" w:rsidRPr="005B2F33" w:rsidRDefault="00843BC4" w:rsidP="00843BC4">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lastRenderedPageBreak/>
        <w:t xml:space="preserve">Parágrafo 7°. </w:t>
      </w:r>
      <w:r w:rsidRPr="00E130F5">
        <w:rPr>
          <w:rFonts w:ascii="Arial" w:hAnsi="Arial" w:cs="Arial"/>
          <w:color w:val="0D0D0D" w:themeColor="text1" w:themeTint="F2"/>
          <w:sz w:val="21"/>
          <w:szCs w:val="21"/>
        </w:rPr>
        <w:t xml:space="preserve">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E130F5">
        <w:rPr>
          <w:rFonts w:ascii="Arial" w:hAnsi="Arial" w:cs="Arial"/>
          <w:i/>
          <w:iCs/>
          <w:color w:val="0D0D0D" w:themeColor="text1" w:themeTint="F2"/>
          <w:sz w:val="21"/>
          <w:szCs w:val="21"/>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 xml:space="preserve"> </w:t>
      </w:r>
      <w:r w:rsidRPr="00E130F5">
        <w:rPr>
          <w:rFonts w:ascii="Arial" w:hAnsi="Arial" w:cs="Arial"/>
          <w:i/>
          <w:iCs/>
          <w:color w:val="0D0D0D" w:themeColor="text1" w:themeTint="F2"/>
          <w:sz w:val="21"/>
          <w:szCs w:val="21"/>
        </w:rPr>
        <w:t>teniendo en cuenta la naturaleza y cuantía de los contratos</w:t>
      </w:r>
      <w:r>
        <w:rPr>
          <w:rFonts w:ascii="Arial" w:hAnsi="Arial" w:cs="Arial"/>
          <w:color w:val="0D0D0D" w:themeColor="text1" w:themeTint="F2"/>
          <w:sz w:val="21"/>
          <w:szCs w:val="21"/>
        </w:rPr>
        <w:t xml:space="preserve"> </w:t>
      </w:r>
      <w:r w:rsidRPr="005B2F33">
        <w:rPr>
          <w:rFonts w:ascii="Arial" w:hAnsi="Arial" w:cs="Arial"/>
          <w:color w:val="0D0D0D" w:themeColor="text1" w:themeTint="F2"/>
          <w:sz w:val="21"/>
          <w:szCs w:val="21"/>
        </w:rPr>
        <w:t>[…].</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(Énfasis fuera de texto)</w:t>
      </w:r>
    </w:p>
    <w:p w14:paraId="72CC9820" w14:textId="77777777" w:rsidR="00843BC4" w:rsidRPr="005B2F33" w:rsidRDefault="00843BC4" w:rsidP="00843BC4">
      <w:pPr>
        <w:spacing w:line="276" w:lineRule="auto"/>
        <w:jc w:val="both"/>
        <w:rPr>
          <w:rFonts w:ascii="Arial" w:hAnsi="Arial" w:cs="Arial"/>
          <w:color w:val="0D0D0D" w:themeColor="text1" w:themeTint="F2"/>
          <w:sz w:val="22"/>
        </w:rPr>
      </w:pPr>
    </w:p>
    <w:p w14:paraId="2DF4EE06" w14:textId="7BE4347F" w:rsidR="00843BC4" w:rsidRDefault="00843BC4" w:rsidP="00843BC4">
      <w:pPr>
        <w:spacing w:line="276" w:lineRule="auto"/>
        <w:ind w:firstLine="708"/>
        <w:jc w:val="both"/>
        <w:rPr>
          <w:rFonts w:ascii="Arial" w:hAnsi="Arial" w:cs="Arial"/>
          <w:color w:val="0D0D0D" w:themeColor="text1" w:themeTint="F2"/>
          <w:sz w:val="22"/>
        </w:rPr>
      </w:pPr>
      <w:r w:rsidRPr="002D413A">
        <w:rPr>
          <w:rFonts w:ascii="Arial" w:hAnsi="Arial" w:cs="Arial"/>
          <w:color w:val="0D0D0D" w:themeColor="text1" w:themeTint="F2"/>
          <w:sz w:val="22"/>
        </w:rPr>
        <w:t xml:space="preserve">Sin embargo, el 22 de julio de 2020, el Gobierno Nacional sancionó la Ley 2022, </w:t>
      </w:r>
      <w:r w:rsidR="00C02F56">
        <w:rPr>
          <w:rFonts w:ascii="Arial" w:hAnsi="Arial" w:cs="Arial"/>
          <w:color w:val="0D0D0D" w:themeColor="text1" w:themeTint="F2"/>
          <w:sz w:val="22"/>
        </w:rPr>
        <w:t>denominada</w:t>
      </w:r>
      <w:r w:rsidRPr="002D413A">
        <w:rPr>
          <w:rFonts w:ascii="Arial" w:hAnsi="Arial" w:cs="Arial"/>
          <w:color w:val="0D0D0D" w:themeColor="text1" w:themeTint="F2"/>
          <w:sz w:val="22"/>
        </w:rPr>
        <w:t xml:space="preserve"> </w:t>
      </w:r>
      <w:r>
        <w:rPr>
          <w:rFonts w:ascii="Arial" w:hAnsi="Arial" w:cs="Arial"/>
          <w:color w:val="0D0D0D" w:themeColor="text1" w:themeTint="F2"/>
          <w:sz w:val="22"/>
        </w:rPr>
        <w:t>«</w:t>
      </w:r>
      <w:r w:rsidRPr="002D413A">
        <w:rPr>
          <w:rFonts w:ascii="Arial" w:hAnsi="Arial" w:cs="Arial"/>
          <w:color w:val="0D0D0D" w:themeColor="text1" w:themeTint="F2"/>
          <w:sz w:val="22"/>
        </w:rPr>
        <w:t>ley de pliegos tipo</w:t>
      </w:r>
      <w:r>
        <w:rPr>
          <w:rFonts w:ascii="Arial" w:hAnsi="Arial" w:cs="Arial"/>
          <w:color w:val="0D0D0D" w:themeColor="text1" w:themeTint="F2"/>
          <w:sz w:val="22"/>
        </w:rPr>
        <w:t>»</w:t>
      </w:r>
      <w:r w:rsidRPr="002D413A">
        <w:rPr>
          <w:rFonts w:ascii="Arial" w:hAnsi="Arial" w:cs="Arial"/>
          <w:color w:val="0D0D0D" w:themeColor="text1" w:themeTint="F2"/>
          <w:sz w:val="22"/>
        </w:rPr>
        <w:t xml:space="preserve">, que rige a partir de su publicación y cuyo artículo 1 modifica el artículo 4 de la Ley 1882 de 2018 </w:t>
      </w:r>
      <w:r>
        <w:rPr>
          <w:rFonts w:ascii="Arial" w:hAnsi="Arial" w:cs="Arial"/>
          <w:color w:val="0D0D0D" w:themeColor="text1" w:themeTint="F2"/>
          <w:sz w:val="22"/>
        </w:rPr>
        <w:t>en relación con los siguientes aspectos</w:t>
      </w:r>
      <w:r w:rsidRPr="002D413A">
        <w:rPr>
          <w:rFonts w:ascii="Arial" w:hAnsi="Arial" w:cs="Arial"/>
          <w:color w:val="0D0D0D" w:themeColor="text1" w:themeTint="F2"/>
          <w:sz w:val="22"/>
        </w:rPr>
        <w:t xml:space="preserve">: i) </w:t>
      </w:r>
      <w:r>
        <w:rPr>
          <w:rFonts w:ascii="Arial" w:hAnsi="Arial" w:cs="Arial"/>
          <w:color w:val="0D0D0D" w:themeColor="text1" w:themeTint="F2"/>
          <w:sz w:val="22"/>
        </w:rPr>
        <w:t xml:space="preserve">el </w:t>
      </w:r>
      <w:r w:rsidRPr="002D413A">
        <w:rPr>
          <w:rFonts w:ascii="Arial" w:hAnsi="Arial" w:cs="Arial"/>
          <w:color w:val="0D0D0D" w:themeColor="text1" w:themeTint="F2"/>
          <w:sz w:val="22"/>
        </w:rPr>
        <w:t>sujeto encargado de la adopción de los documentos tipo, ya que antes se señalaba al Gobierno Nacional y ahora la entidad encargada</w:t>
      </w:r>
      <w:r>
        <w:rPr>
          <w:rFonts w:ascii="Arial" w:hAnsi="Arial" w:cs="Arial"/>
          <w:color w:val="0D0D0D" w:themeColor="text1" w:themeTint="F2"/>
          <w:sz w:val="22"/>
        </w:rPr>
        <w:t xml:space="preserve"> directamente por la Ley</w:t>
      </w:r>
      <w:r w:rsidRPr="002D413A">
        <w:rPr>
          <w:rFonts w:ascii="Arial" w:hAnsi="Arial" w:cs="Arial"/>
          <w:color w:val="0D0D0D" w:themeColor="text1" w:themeTint="F2"/>
          <w:sz w:val="22"/>
        </w:rPr>
        <w:t xml:space="preserve"> es la Agencia Nacional de Contratación Pública – Colombia Compra Eficiente o quien haga sus veces; </w:t>
      </w:r>
      <w:proofErr w:type="spellStart"/>
      <w:r w:rsidRPr="002D413A">
        <w:rPr>
          <w:rFonts w:ascii="Arial" w:hAnsi="Arial" w:cs="Arial"/>
          <w:color w:val="0D0D0D" w:themeColor="text1" w:themeTint="F2"/>
          <w:sz w:val="22"/>
        </w:rPr>
        <w:t>ii</w:t>
      </w:r>
      <w:proofErr w:type="spellEnd"/>
      <w:r w:rsidRPr="002D413A">
        <w:rPr>
          <w:rFonts w:ascii="Arial" w:hAnsi="Arial" w:cs="Arial"/>
          <w:color w:val="0D0D0D" w:themeColor="text1" w:themeTint="F2"/>
          <w:sz w:val="22"/>
        </w:rPr>
        <w:t>)</w:t>
      </w:r>
      <w:r>
        <w:rPr>
          <w:rFonts w:ascii="Arial" w:hAnsi="Arial" w:cs="Arial"/>
          <w:color w:val="0D0D0D" w:themeColor="text1" w:themeTint="F2"/>
          <w:sz w:val="22"/>
        </w:rPr>
        <w:t xml:space="preserve"> la</w:t>
      </w:r>
      <w:r w:rsidRPr="002D413A">
        <w:rPr>
          <w:rFonts w:ascii="Arial" w:hAnsi="Arial" w:cs="Arial"/>
          <w:color w:val="0D0D0D" w:themeColor="text1" w:themeTint="F2"/>
          <w:sz w:val="22"/>
        </w:rPr>
        <w:t xml:space="preserve"> inclusión de buenas prácticas contractuales y los principios de la contratación pública para establecer los requisitos habilitantes, factores técnicos, económicos y otros factores de escogencia en los documentos tipo; </w:t>
      </w:r>
      <w:proofErr w:type="spellStart"/>
      <w:r w:rsidRPr="002D413A">
        <w:rPr>
          <w:rFonts w:ascii="Arial" w:hAnsi="Arial" w:cs="Arial"/>
          <w:color w:val="0D0D0D" w:themeColor="text1" w:themeTint="F2"/>
          <w:sz w:val="22"/>
        </w:rPr>
        <w:t>iii</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 xml:space="preserve">implementación de procesos de capacitación en los municipios para la utilización de los documentos tipo buscando el desarrollo de la economía local; y </w:t>
      </w:r>
      <w:proofErr w:type="spellStart"/>
      <w:r w:rsidRPr="002D413A">
        <w:rPr>
          <w:rFonts w:ascii="Arial" w:hAnsi="Arial" w:cs="Arial"/>
          <w:color w:val="0D0D0D" w:themeColor="text1" w:themeTint="F2"/>
          <w:sz w:val="22"/>
        </w:rPr>
        <w:t>iv</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las </w:t>
      </w:r>
      <w:r w:rsidRPr="002D413A">
        <w:rPr>
          <w:rFonts w:ascii="Arial" w:hAnsi="Arial" w:cs="Arial"/>
          <w:color w:val="0D0D0D" w:themeColor="text1" w:themeTint="F2"/>
          <w:sz w:val="22"/>
        </w:rPr>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Pr>
          <w:rStyle w:val="Refdenotaalpie"/>
          <w:rFonts w:ascii="Arial" w:hAnsi="Arial" w:cs="Arial"/>
          <w:color w:val="0D0D0D" w:themeColor="text1" w:themeTint="F2"/>
          <w:sz w:val="22"/>
        </w:rPr>
        <w:footnoteReference w:id="5"/>
      </w:r>
      <w:r w:rsidRPr="002D413A">
        <w:rPr>
          <w:rFonts w:ascii="Arial" w:hAnsi="Arial" w:cs="Arial"/>
          <w:color w:val="0D0D0D" w:themeColor="text1" w:themeTint="F2"/>
          <w:sz w:val="22"/>
        </w:rPr>
        <w:t>.</w:t>
      </w:r>
      <w:r>
        <w:rPr>
          <w:rFonts w:ascii="Arial" w:hAnsi="Arial" w:cs="Arial"/>
          <w:color w:val="0D0D0D" w:themeColor="text1" w:themeTint="F2"/>
          <w:sz w:val="22"/>
        </w:rPr>
        <w:t xml:space="preserve"> </w:t>
      </w:r>
    </w:p>
    <w:p w14:paraId="285C3353" w14:textId="77777777" w:rsidR="00843BC4" w:rsidRPr="005B2F33" w:rsidRDefault="00843BC4" w:rsidP="00843BC4">
      <w:pPr>
        <w:spacing w:before="120" w:after="120" w:line="276" w:lineRule="auto"/>
        <w:ind w:firstLine="703"/>
        <w:jc w:val="both"/>
        <w:rPr>
          <w:rFonts w:ascii="Arial" w:hAnsi="Arial" w:cs="Arial"/>
          <w:color w:val="0D0D0D" w:themeColor="text1" w:themeTint="F2"/>
          <w:sz w:val="22"/>
          <w:lang w:val="es-ES"/>
        </w:rPr>
      </w:pPr>
      <w:r>
        <w:rPr>
          <w:rFonts w:ascii="Arial" w:hAnsi="Arial" w:cs="Arial"/>
          <w:color w:val="0D0D0D" w:themeColor="text1" w:themeTint="F2"/>
          <w:sz w:val="22"/>
          <w:lang w:val="es-ES"/>
        </w:rPr>
        <w:lastRenderedPageBreak/>
        <w:t>Sin perjuicio de lo anterior, l</w:t>
      </w:r>
      <w:r w:rsidRPr="005B2F33">
        <w:rPr>
          <w:rFonts w:ascii="Arial" w:hAnsi="Arial" w:cs="Arial"/>
          <w:color w:val="0D0D0D" w:themeColor="text1" w:themeTint="F2"/>
          <w:sz w:val="22"/>
          <w:lang w:val="es-ES"/>
        </w:rPr>
        <w:t xml:space="preserve">a exposición de motivos del proyecto que se convirtió en la Ley 1882 de 2018 se refirió a la necesidad de utilizar documentos tipo, pues reducen el tiempo de los procesos de contratación y contribuyen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 xml:space="preserve">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dministración pública más eficiente y moderna.</w:t>
      </w:r>
    </w:p>
    <w:p w14:paraId="7429B424" w14:textId="77777777" w:rsidR="00843BC4" w:rsidRPr="005B2F33" w:rsidRDefault="00843BC4" w:rsidP="00843BC4">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En ejercicio de la competencia conferida por el citado parágrafo, el Gobierno Nacional expidió el Decreto 342 de 2019, por medio del que se adoptaron los documentos tipo para licitaciones públicas para selección de contratistas de obra de infraestructura de transporte</w:t>
      </w:r>
      <w:r>
        <w:rPr>
          <w:rFonts w:ascii="Arial" w:hAnsi="Arial" w:cs="Arial"/>
          <w:color w:val="0D0D0D" w:themeColor="text1" w:themeTint="F2"/>
          <w:sz w:val="22"/>
          <w:lang w:val="es-ES"/>
        </w:rPr>
        <w:t>. En esta medida, el reglamento</w:t>
      </w:r>
      <w:r w:rsidRPr="005B2F33">
        <w:rPr>
          <w:rFonts w:ascii="Arial" w:hAnsi="Arial" w:cs="Arial"/>
          <w:color w:val="0D0D0D" w:themeColor="text1" w:themeTint="F2"/>
          <w:sz w:val="22"/>
          <w:lang w:val="es-ES"/>
        </w:rPr>
        <w:t xml:space="preserve"> adicionó </w:t>
      </w:r>
      <w:r w:rsidRPr="005B2F33">
        <w:rPr>
          <w:rFonts w:ascii="Arial" w:hAnsi="Arial" w:cs="Arial"/>
          <w:color w:val="0D0D0D" w:themeColor="text1" w:themeTint="F2"/>
          <w:sz w:val="22"/>
        </w:rPr>
        <w:t>la Sección 6 y la Subsección 1 al Capítulo 2 del Título 1 de la Parte 2 del Libro 2 del Decreto 1082 de 2015, Decreto Único Reglamentario del Sector Administrativo de Planeación Nacional.</w:t>
      </w:r>
      <w:r w:rsidRPr="005B2F33">
        <w:rPr>
          <w:rFonts w:ascii="Arial" w:hAnsi="Arial" w:cs="Arial"/>
          <w:color w:val="0D0D0D" w:themeColor="text1" w:themeTint="F2"/>
          <w:sz w:val="22"/>
          <w:lang w:val="es-ES"/>
        </w:rPr>
        <w:t xml:space="preserve"> </w:t>
      </w:r>
    </w:p>
    <w:p w14:paraId="7EF0C3BB" w14:textId="77777777" w:rsidR="00843BC4" w:rsidRPr="005B2F33" w:rsidRDefault="00843BC4" w:rsidP="00843BC4">
      <w:pPr>
        <w:spacing w:before="120" w:after="120" w:line="276" w:lineRule="auto"/>
        <w:ind w:firstLine="705"/>
        <w:jc w:val="both"/>
        <w:rPr>
          <w:color w:val="0D0D0D" w:themeColor="text1" w:themeTint="F2"/>
        </w:rPr>
      </w:pPr>
      <w:r w:rsidRPr="005B2F33">
        <w:rPr>
          <w:rFonts w:ascii="Arial" w:hAnsi="Arial" w:cs="Arial"/>
          <w:color w:val="0D0D0D" w:themeColor="text1" w:themeTint="F2"/>
          <w:sz w:val="22"/>
          <w:lang w:val="es-ES"/>
        </w:rPr>
        <w:t xml:space="preserve">El artículo 2.2.1.2.6.1.1 del Decreto 1082 de 2015, sobre el objeto de los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Documentos Tipo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adoptados por el Decreto 342 de 2019, señala que «La presente subsección tiene por objeto adoptar los Documentos Tipo para los pliegos de condiciones de los procesos de selección de licitación de obra pública de infraestructura de transporte».</w:t>
      </w:r>
      <w:r>
        <w:rPr>
          <w:rFonts w:ascii="Arial" w:hAnsi="Arial" w:cs="Arial"/>
          <w:color w:val="0D0D0D" w:themeColor="text1" w:themeTint="F2"/>
          <w:sz w:val="22"/>
          <w:lang w:val="es-ES"/>
        </w:rPr>
        <w:t xml:space="preserve"> Además</w:t>
      </w:r>
      <w:r w:rsidRPr="005B2F33">
        <w:rPr>
          <w:rFonts w:ascii="Arial" w:hAnsi="Arial" w:cs="Arial"/>
          <w:color w:val="0D0D0D" w:themeColor="text1" w:themeTint="F2"/>
          <w:sz w:val="22"/>
          <w:lang w:val="es-ES"/>
        </w:rPr>
        <w:t>, el artículo 2.2.1.2.6.1.2</w:t>
      </w:r>
      <w:r>
        <w:rPr>
          <w:rFonts w:ascii="Arial" w:hAnsi="Arial" w:cs="Arial"/>
          <w:color w:val="0D0D0D" w:themeColor="text1" w:themeTint="F2"/>
          <w:sz w:val="22"/>
          <w:lang w:val="es-ES"/>
        </w:rPr>
        <w:t xml:space="preserve"> del Decreto</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–referido</w:t>
      </w:r>
      <w:r w:rsidRPr="005B2F33">
        <w:rPr>
          <w:rFonts w:ascii="Arial" w:hAnsi="Arial" w:cs="Arial"/>
          <w:color w:val="0D0D0D" w:themeColor="text1" w:themeTint="F2"/>
          <w:sz w:val="22"/>
          <w:lang w:val="es-ES"/>
        </w:rPr>
        <w:t xml:space="preserve"> al alcance de los documentos tipo</w:t>
      </w:r>
      <w:r>
        <w:rPr>
          <w:rFonts w:ascii="Arial" w:hAnsi="Arial" w:cs="Arial"/>
          <w:color w:val="0D0D0D" w:themeColor="text1" w:themeTint="F2"/>
          <w:sz w:val="22"/>
          <w:lang w:val="es-ES"/>
        </w:rPr>
        <w:t>–dispone que</w:t>
      </w:r>
      <w:r w:rsidRPr="005B2F33">
        <w:rPr>
          <w:rFonts w:ascii="Arial" w:hAnsi="Arial" w:cs="Arial"/>
          <w:color w:val="0D0D0D" w:themeColor="text1" w:themeTint="F2"/>
          <w:sz w:val="22"/>
          <w:lang w:val="es-ES"/>
        </w:rPr>
        <w:t xml:space="preserve"> «contienen parámetros obligatorios para las entidades estatales sometidas al Estatuto General de la Contratación Pública que adelanten procesos de selección de licitación de obra pública de infraestructura de transporte».</w:t>
      </w:r>
      <w:r w:rsidRPr="005B2F33">
        <w:rPr>
          <w:color w:val="0D0D0D" w:themeColor="text1" w:themeTint="F2"/>
          <w:lang w:val="es-ES"/>
        </w:rPr>
        <w:t xml:space="preserve"> </w:t>
      </w:r>
    </w:p>
    <w:p w14:paraId="7591EA78" w14:textId="77777777" w:rsidR="00843BC4" w:rsidRPr="005B2F33" w:rsidRDefault="00843BC4" w:rsidP="00843BC4">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mediante el artículo 2.2.1.2.6.1.3 del Decreto 1082 de 2015, adicionado por el Decreto 342 de 2019, 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Documentos Tipo</w:t>
      </w:r>
      <w:r>
        <w:rPr>
          <w:rFonts w:ascii="Arial" w:hAnsi="Arial" w:cs="Arial"/>
          <w:color w:val="0D0D0D" w:themeColor="text1" w:themeTint="F2"/>
          <w:sz w:val="22"/>
          <w:lang w:val="es-ES"/>
        </w:rPr>
        <w:t>. Esto</w:t>
      </w:r>
      <w:r w:rsidRPr="005B2F33">
        <w:rPr>
          <w:rFonts w:ascii="Arial" w:hAnsi="Arial" w:cs="Arial"/>
          <w:color w:val="0D0D0D" w:themeColor="text1" w:themeTint="F2"/>
          <w:sz w:val="22"/>
          <w:lang w:val="es-ES"/>
        </w:rPr>
        <w:t xml:space="preserve"> tuvo lugar con la expedición de la Resolución No. 1798 del 1</w:t>
      </w:r>
      <w:r>
        <w:rPr>
          <w:rFonts w:ascii="Arial" w:hAnsi="Arial" w:cs="Arial"/>
          <w:color w:val="0D0D0D" w:themeColor="text1" w:themeTint="F2"/>
          <w:sz w:val="22"/>
          <w:lang w:val="es-ES"/>
        </w:rPr>
        <w:t>º</w:t>
      </w:r>
      <w:r w:rsidRPr="005B2F33">
        <w:rPr>
          <w:rFonts w:ascii="Arial" w:hAnsi="Arial" w:cs="Arial"/>
          <w:color w:val="0D0D0D" w:themeColor="text1" w:themeTint="F2"/>
          <w:sz w:val="22"/>
          <w:lang w:val="es-ES"/>
        </w:rPr>
        <w:t xml:space="preserve"> de abril de 2019 que implementó la Versión 1 de los documentos tipo para procesos de licitación de obra pública de infraestructura de transporte.</w:t>
      </w:r>
    </w:p>
    <w:p w14:paraId="79DD0270" w14:textId="77777777" w:rsidR="00843BC4" w:rsidRPr="005B2F33" w:rsidRDefault="00843BC4" w:rsidP="00843BC4">
      <w:pPr>
        <w:spacing w:before="120" w:after="120" w:line="276" w:lineRule="auto"/>
        <w:jc w:val="both"/>
        <w:rPr>
          <w:rFonts w:ascii="Arial" w:hAnsi="Arial" w:cs="Arial"/>
          <w:color w:val="0D0D0D" w:themeColor="text1" w:themeTint="F2"/>
          <w:sz w:val="22"/>
        </w:rPr>
      </w:pPr>
      <w:r w:rsidRPr="005B2F33">
        <w:rPr>
          <w:rFonts w:ascii="Arial" w:hAnsi="Arial" w:cs="Arial"/>
          <w:color w:val="0D0D0D" w:themeColor="text1" w:themeTint="F2"/>
          <w:sz w:val="22"/>
          <w:lang w:val="es-ES"/>
        </w:rPr>
        <w:tab/>
        <w:t xml:space="preserve">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luego de identificar, junto con el Departamento Nacional de Planeación y el Ministerio de Transporte</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la necesidad de actualizar los documentos tipo para los procesos de licitación </w:t>
      </w:r>
      <w:r w:rsidRPr="005B2F33">
        <w:rPr>
          <w:rFonts w:ascii="Arial" w:hAnsi="Arial" w:cs="Arial"/>
          <w:color w:val="0D0D0D" w:themeColor="text1" w:themeTint="F2"/>
          <w:sz w:val="22"/>
          <w:lang w:val="es-ES"/>
        </w:rPr>
        <w:lastRenderedPageBreak/>
        <w:t xml:space="preserve">pública en orden de </w:t>
      </w:r>
      <w:r w:rsidRPr="005B2F33">
        <w:rPr>
          <w:rFonts w:ascii="Arial" w:hAnsi="Arial" w:cs="Arial"/>
          <w:color w:val="0D0D0D" w:themeColor="text1" w:themeTint="F2"/>
          <w:sz w:val="22"/>
        </w:rPr>
        <w:t>fortalecerlos y adaptarlos a la realidad de la contratación del país, implementó la Versión 2</w:t>
      </w:r>
      <w:r>
        <w:rPr>
          <w:rFonts w:ascii="Arial" w:hAnsi="Arial" w:cs="Arial"/>
          <w:color w:val="0D0D0D" w:themeColor="text1" w:themeTint="F2"/>
          <w:sz w:val="22"/>
        </w:rPr>
        <w:t>. De esta manera</w:t>
      </w:r>
      <w:r w:rsidRPr="005B2F33">
        <w:rPr>
          <w:rFonts w:ascii="Arial" w:hAnsi="Arial" w:cs="Arial"/>
          <w:color w:val="0D0D0D" w:themeColor="text1" w:themeTint="F2"/>
          <w:sz w:val="22"/>
        </w:rPr>
        <w:t xml:space="preserve"> expidi</w:t>
      </w:r>
      <w:r>
        <w:rPr>
          <w:rFonts w:ascii="Arial" w:hAnsi="Arial" w:cs="Arial"/>
          <w:color w:val="0D0D0D" w:themeColor="text1" w:themeTint="F2"/>
          <w:sz w:val="22"/>
        </w:rPr>
        <w:t>ó</w:t>
      </w:r>
      <w:r w:rsidRPr="005B2F33">
        <w:rPr>
          <w:rFonts w:ascii="Arial" w:hAnsi="Arial" w:cs="Arial"/>
          <w:color w:val="0D0D0D" w:themeColor="text1" w:themeTint="F2"/>
          <w:sz w:val="22"/>
        </w:rPr>
        <w:t xml:space="preserve"> la Resolución No. 045 del 14 de febrero de 2020, «Por la cual se actualizan los Documentos Tipo para los procesos de selección de licitación de obra pública de infraestructura de transporte y se deroga la Resolución 1798 de 2019». </w:t>
      </w:r>
    </w:p>
    <w:p w14:paraId="2EB384D7" w14:textId="343268FA" w:rsidR="00843BC4" w:rsidRPr="005B2F33" w:rsidRDefault="00843BC4" w:rsidP="00843BC4">
      <w:pPr>
        <w:spacing w:before="120" w:after="120" w:line="276" w:lineRule="auto"/>
        <w:ind w:firstLine="708"/>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ejerció nuevamente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2096 de 2019</w:t>
      </w:r>
      <w:r>
        <w:rPr>
          <w:rFonts w:ascii="Arial" w:hAnsi="Arial" w:cs="Arial"/>
          <w:color w:val="0D0D0D" w:themeColor="text1" w:themeTint="F2"/>
          <w:sz w:val="22"/>
          <w:lang w:val="es-ES"/>
        </w:rPr>
        <w:t xml:space="preserve">. </w:t>
      </w:r>
      <w:r w:rsidR="00C02F56">
        <w:rPr>
          <w:rFonts w:ascii="Arial" w:hAnsi="Arial" w:cs="Arial"/>
          <w:color w:val="0D0D0D" w:themeColor="text1" w:themeTint="F2"/>
          <w:sz w:val="22"/>
          <w:lang w:val="es-ES"/>
        </w:rPr>
        <w:t>En efecto, el Decreto mencionado autorizó</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procesos de contratación de obra pública de infraestructura de transporte adelantados en la modalidad de selección abreviada de menor cuantía</w:t>
      </w:r>
      <w:r>
        <w:rPr>
          <w:rFonts w:ascii="Arial" w:hAnsi="Arial" w:cs="Arial"/>
          <w:color w:val="0D0D0D" w:themeColor="text1" w:themeTint="F2"/>
          <w:sz w:val="22"/>
          <w:lang w:val="es-ES"/>
        </w:rPr>
        <w:t xml:space="preserve">. Este reglamento </w:t>
      </w:r>
      <w:r w:rsidRPr="005B2F33">
        <w:rPr>
          <w:rFonts w:ascii="Arial" w:hAnsi="Arial" w:cs="Arial"/>
          <w:color w:val="0D0D0D" w:themeColor="text1" w:themeTint="F2"/>
          <w:sz w:val="22"/>
          <w:lang w:val="es-ES"/>
        </w:rPr>
        <w:t xml:space="preserve">adicionó la Subsección 2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37FBF337" w14:textId="77777777" w:rsidR="00843BC4" w:rsidRDefault="00843BC4" w:rsidP="00843BC4">
      <w:pPr>
        <w:spacing w:before="120" w:after="120" w:line="276" w:lineRule="auto"/>
        <w:jc w:val="both"/>
        <w:rPr>
          <w:rFonts w:ascii="Arial" w:eastAsia="Calibri" w:hAnsi="Arial" w:cs="Arial"/>
          <w:bCs/>
          <w:color w:val="0D0D0D" w:themeColor="text1" w:themeTint="F2"/>
          <w:sz w:val="22"/>
        </w:rPr>
      </w:pPr>
      <w:r w:rsidRPr="005B2F33">
        <w:rPr>
          <w:rFonts w:ascii="Arial" w:eastAsia="Calibri" w:hAnsi="Arial" w:cs="Arial"/>
          <w:bCs/>
          <w:color w:val="0D0D0D" w:themeColor="text1" w:themeTint="F2"/>
          <w:sz w:val="22"/>
        </w:rPr>
        <w:tab/>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artículo 2.2.1.2.6.2.2</w:t>
      </w:r>
      <w:r w:rsidRPr="00BA4FEC">
        <w:rPr>
          <w:rFonts w:ascii="Arial" w:eastAsia="Calibri" w:hAnsi="Arial" w:cs="Arial"/>
          <w:bCs/>
          <w:color w:val="0D0D0D" w:themeColor="text1" w:themeTint="F2"/>
          <w:sz w:val="22"/>
        </w:rPr>
        <w:t xml:space="preserve"> </w:t>
      </w:r>
      <w:r>
        <w:rPr>
          <w:rFonts w:ascii="Arial" w:eastAsia="Calibri" w:hAnsi="Arial" w:cs="Arial"/>
          <w:bCs/>
          <w:color w:val="0D0D0D" w:themeColor="text1" w:themeTint="F2"/>
          <w:sz w:val="22"/>
        </w:rPr>
        <w:t>de</w:t>
      </w:r>
      <w:r w:rsidRPr="005B2F33">
        <w:rPr>
          <w:rFonts w:ascii="Arial" w:eastAsia="Calibri" w:hAnsi="Arial" w:cs="Arial"/>
          <w:bCs/>
          <w:color w:val="0D0D0D" w:themeColor="text1" w:themeTint="F2"/>
          <w:sz w:val="22"/>
        </w:rPr>
        <w:t xml:space="preserve">l Decreto 1082 de 2015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procesos de selección abreviada de menor cuantía para la contratación de obra pública de infraestructura de transporte</w:t>
      </w:r>
      <w:r>
        <w:rPr>
          <w:rFonts w:ascii="Arial" w:eastAsia="Calibri" w:hAnsi="Arial" w:cs="Arial"/>
          <w:bCs/>
          <w:color w:val="0D0D0D" w:themeColor="text1" w:themeTint="F2"/>
          <w:sz w:val="22"/>
        </w:rPr>
        <w:t>. Además,</w:t>
      </w:r>
      <w:r w:rsidRPr="005B2F33">
        <w:rPr>
          <w:rFonts w:ascii="Arial" w:eastAsia="Calibri" w:hAnsi="Arial" w:cs="Arial"/>
          <w:bCs/>
          <w:color w:val="0D0D0D" w:themeColor="text1" w:themeTint="F2"/>
          <w:sz w:val="22"/>
        </w:rPr>
        <w:t xml:space="preserve"> el </w:t>
      </w:r>
      <w:r w:rsidRPr="005B2F33">
        <w:rPr>
          <w:rFonts w:ascii="Arial" w:hAnsi="Arial" w:cs="Arial"/>
          <w:color w:val="0D0D0D" w:themeColor="text1" w:themeTint="F2"/>
          <w:sz w:val="22"/>
        </w:rPr>
        <w:t xml:space="preserve">2.2.1.2.6.2.3 </w:t>
      </w:r>
      <w:r w:rsidRPr="005210DF">
        <w:rPr>
          <w:rFonts w:ascii="Arial" w:hAnsi="Arial" w:cs="Arial"/>
          <w:i/>
          <w:iCs/>
          <w:color w:val="0D0D0D" w:themeColor="text1" w:themeTint="F2"/>
          <w:sz w:val="22"/>
        </w:rPr>
        <w:t>ibidem</w:t>
      </w:r>
      <w:r>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w:t>
      </w:r>
      <w:r>
        <w:rPr>
          <w:rFonts w:ascii="Arial" w:hAnsi="Arial" w:cs="Arial"/>
          <w:color w:val="0D0D0D" w:themeColor="text1" w:themeTint="F2"/>
          <w:sz w:val="22"/>
          <w:lang w:val="es-ES"/>
        </w:rPr>
        <w:t>. La entidad ejerció esta competencia mediante</w:t>
      </w:r>
      <w:r w:rsidRPr="005B2F33">
        <w:rPr>
          <w:rFonts w:ascii="Arial" w:hAnsi="Arial" w:cs="Arial"/>
          <w:color w:val="0D0D0D" w:themeColor="text1" w:themeTint="F2"/>
          <w:sz w:val="22"/>
          <w:lang w:val="es-ES"/>
        </w:rPr>
        <w:t xml:space="preserve"> la expedición de la Resolución No. 044 del 14 de febrero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esta modalidad de selección</w:t>
      </w:r>
      <w:r>
        <w:rPr>
          <w:rFonts w:ascii="Arial" w:hAnsi="Arial" w:cs="Arial"/>
          <w:color w:val="0D0D0D" w:themeColor="text1" w:themeTint="F2"/>
          <w:sz w:val="22"/>
          <w:lang w:val="es-ES"/>
        </w:rPr>
        <w:t>.</w:t>
      </w:r>
      <w:r w:rsidRPr="005B2F33">
        <w:rPr>
          <w:rFonts w:ascii="Arial" w:eastAsia="Calibri" w:hAnsi="Arial" w:cs="Arial"/>
          <w:bCs/>
          <w:color w:val="0D0D0D" w:themeColor="text1" w:themeTint="F2"/>
          <w:sz w:val="22"/>
        </w:rPr>
        <w:t xml:space="preserve"> </w:t>
      </w:r>
    </w:p>
    <w:p w14:paraId="57AE46EB" w14:textId="77777777" w:rsidR="00843BC4" w:rsidRDefault="00843BC4" w:rsidP="00843BC4">
      <w:pPr>
        <w:spacing w:before="120" w:after="120" w:line="276" w:lineRule="auto"/>
        <w:ind w:firstLine="708"/>
        <w:jc w:val="both"/>
        <w:rPr>
          <w:rFonts w:ascii="Arial" w:hAnsi="Arial" w:cs="Arial"/>
          <w:color w:val="0D0D0D" w:themeColor="text1" w:themeTint="F2"/>
          <w:sz w:val="22"/>
        </w:rPr>
      </w:pPr>
      <w:r>
        <w:rPr>
          <w:rFonts w:ascii="Arial" w:eastAsia="Calibri" w:hAnsi="Arial" w:cs="Arial"/>
          <w:bCs/>
          <w:color w:val="0D0D0D" w:themeColor="text1" w:themeTint="F2"/>
          <w:sz w:val="22"/>
        </w:rPr>
        <w:t xml:space="preserve">Finalmente, </w:t>
      </w:r>
      <w:r>
        <w:rPr>
          <w:rFonts w:ascii="Arial" w:hAnsi="Arial" w:cs="Arial"/>
          <w:color w:val="0D0D0D" w:themeColor="text1" w:themeTint="F2"/>
          <w:sz w:val="22"/>
          <w:lang w:val="es-ES"/>
        </w:rPr>
        <w:t>e</w:t>
      </w:r>
      <w:r w:rsidRPr="005B2F33">
        <w:rPr>
          <w:rFonts w:ascii="Arial" w:hAnsi="Arial" w:cs="Arial"/>
          <w:color w:val="0D0D0D" w:themeColor="text1" w:themeTint="F2"/>
          <w:sz w:val="22"/>
          <w:lang w:val="es-ES"/>
        </w:rPr>
        <w:t xml:space="preserve">l Gobierno Nacional ejerció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w:t>
      </w:r>
      <w:r>
        <w:rPr>
          <w:rFonts w:ascii="Arial" w:hAnsi="Arial" w:cs="Arial"/>
          <w:color w:val="0D0D0D" w:themeColor="text1" w:themeTint="F2"/>
          <w:sz w:val="22"/>
          <w:lang w:val="es-ES"/>
        </w:rPr>
        <w:t>594 de 2020,</w:t>
      </w:r>
      <w:r w:rsidRPr="005B2F33">
        <w:rPr>
          <w:rFonts w:ascii="Arial" w:hAnsi="Arial" w:cs="Arial"/>
          <w:color w:val="0D0D0D" w:themeColor="text1" w:themeTint="F2"/>
          <w:sz w:val="22"/>
          <w:lang w:val="es-ES"/>
        </w:rPr>
        <w:t xml:space="preserve"> el cual adoptó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procesos de contratación de obra pública de infraestructura de transporte adelantados en la modalidad de </w:t>
      </w:r>
      <w:r>
        <w:rPr>
          <w:rFonts w:ascii="Arial" w:hAnsi="Arial" w:cs="Arial"/>
          <w:color w:val="0D0D0D" w:themeColor="text1" w:themeTint="F2"/>
          <w:sz w:val="22"/>
          <w:lang w:val="es-ES"/>
        </w:rPr>
        <w:t>mínima cuantía. Este reglamento</w:t>
      </w:r>
      <w:r w:rsidRPr="005B2F33">
        <w:rPr>
          <w:rFonts w:ascii="Arial" w:hAnsi="Arial" w:cs="Arial"/>
          <w:color w:val="0D0D0D" w:themeColor="text1" w:themeTint="F2"/>
          <w:sz w:val="22"/>
          <w:lang w:val="es-ES"/>
        </w:rPr>
        <w:t xml:space="preserve"> adicionó la Subsección </w:t>
      </w:r>
      <w:r>
        <w:rPr>
          <w:rFonts w:ascii="Arial" w:hAnsi="Arial" w:cs="Arial"/>
          <w:color w:val="0D0D0D" w:themeColor="text1" w:themeTint="F2"/>
          <w:sz w:val="22"/>
          <w:lang w:val="es-ES"/>
        </w:rPr>
        <w:t>3</w:t>
      </w:r>
      <w:r w:rsidRPr="005B2F33">
        <w:rPr>
          <w:rFonts w:ascii="Arial" w:hAnsi="Arial" w:cs="Arial"/>
          <w:color w:val="0D0D0D" w:themeColor="text1" w:themeTint="F2"/>
          <w:sz w:val="22"/>
          <w:lang w:val="es-ES"/>
        </w:rPr>
        <w:t xml:space="preserve">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53E37937" w14:textId="39D6E64F" w:rsidR="00843BC4" w:rsidRDefault="00843BC4" w:rsidP="00843BC4">
      <w:pPr>
        <w:spacing w:before="120" w:after="120" w:line="276" w:lineRule="auto"/>
        <w:ind w:firstLine="708"/>
        <w:jc w:val="both"/>
        <w:rPr>
          <w:rFonts w:ascii="Arial" w:eastAsia="Calibri" w:hAnsi="Arial" w:cs="Arial"/>
          <w:bCs/>
          <w:color w:val="0D0D0D" w:themeColor="text1" w:themeTint="F2"/>
          <w:sz w:val="22"/>
        </w:rPr>
      </w:pPr>
      <w:r w:rsidRPr="003C6AE8">
        <w:rPr>
          <w:rFonts w:ascii="Arial" w:eastAsia="Calibri" w:hAnsi="Arial" w:cs="Arial"/>
          <w:bCs/>
          <w:color w:val="0D0D0D" w:themeColor="text1" w:themeTint="F2"/>
          <w:sz w:val="22"/>
        </w:rPr>
        <w:t>El artículo 2.2.1.2.6.3.2 del Decreto 1082 de 2015</w:t>
      </w:r>
      <w:r w:rsidRPr="005B2F33">
        <w:rPr>
          <w:rFonts w:ascii="Arial" w:eastAsia="Calibri" w:hAnsi="Arial" w:cs="Arial"/>
          <w:bCs/>
          <w:color w:val="0D0D0D" w:themeColor="text1" w:themeTint="F2"/>
          <w:sz w:val="22"/>
        </w:rPr>
        <w:t xml:space="preserve">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 xml:space="preserve">procesos de </w:t>
      </w:r>
      <w:r>
        <w:rPr>
          <w:rFonts w:ascii="Arial" w:hAnsi="Arial" w:cs="Arial"/>
          <w:color w:val="0D0D0D" w:themeColor="text1" w:themeTint="F2"/>
          <w:sz w:val="22"/>
        </w:rPr>
        <w:t>mínima</w:t>
      </w:r>
      <w:r w:rsidRPr="005B2F33">
        <w:rPr>
          <w:rFonts w:ascii="Arial" w:hAnsi="Arial" w:cs="Arial"/>
          <w:color w:val="0D0D0D" w:themeColor="text1" w:themeTint="F2"/>
          <w:sz w:val="22"/>
        </w:rPr>
        <w:t xml:space="preserve"> cuantía para la contratación de obra pública de infraestructura de transporte</w:t>
      </w:r>
      <w:r w:rsidRPr="005B2F33">
        <w:rPr>
          <w:rFonts w:ascii="Arial" w:eastAsia="Calibri" w:hAnsi="Arial" w:cs="Arial"/>
          <w:bCs/>
          <w:color w:val="0D0D0D" w:themeColor="text1" w:themeTint="F2"/>
          <w:sz w:val="22"/>
        </w:rPr>
        <w:t xml:space="preserve">, mientras que el </w:t>
      </w:r>
      <w:r w:rsidRPr="003C6AE8">
        <w:rPr>
          <w:rFonts w:ascii="Arial" w:hAnsi="Arial" w:cs="Arial"/>
          <w:color w:val="0D0D0D" w:themeColor="text1" w:themeTint="F2"/>
          <w:sz w:val="22"/>
        </w:rPr>
        <w:t>2.2.1.2.6.3.3</w:t>
      </w:r>
      <w:r w:rsidRPr="005B2F33">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w:t>
      </w:r>
      <w:r>
        <w:rPr>
          <w:rFonts w:ascii="Arial" w:hAnsi="Arial" w:cs="Arial"/>
          <w:color w:val="0D0D0D" w:themeColor="text1" w:themeTint="F2"/>
          <w:sz w:val="22"/>
          <w:lang w:val="es-ES"/>
        </w:rPr>
        <w:t>. Esta</w:t>
      </w:r>
      <w:r w:rsidRPr="005B2F33">
        <w:rPr>
          <w:rFonts w:ascii="Arial" w:hAnsi="Arial" w:cs="Arial"/>
          <w:color w:val="0D0D0D" w:themeColor="text1" w:themeTint="F2"/>
          <w:sz w:val="22"/>
          <w:lang w:val="es-ES"/>
        </w:rPr>
        <w:t xml:space="preserve"> competencia </w:t>
      </w:r>
      <w:r>
        <w:rPr>
          <w:rFonts w:ascii="Arial" w:hAnsi="Arial" w:cs="Arial"/>
          <w:color w:val="0D0D0D" w:themeColor="text1" w:themeTint="F2"/>
          <w:sz w:val="22"/>
          <w:lang w:val="es-ES"/>
        </w:rPr>
        <w:t xml:space="preserve">fue </w:t>
      </w:r>
      <w:r w:rsidRPr="005B2F33">
        <w:rPr>
          <w:rFonts w:ascii="Arial" w:hAnsi="Arial" w:cs="Arial"/>
          <w:color w:val="0D0D0D" w:themeColor="text1" w:themeTint="F2"/>
          <w:sz w:val="22"/>
          <w:lang w:val="es-ES"/>
        </w:rPr>
        <w:t xml:space="preserve">ejercida mediante la expedición de la Resolución No. </w:t>
      </w:r>
      <w:r>
        <w:rPr>
          <w:rFonts w:ascii="Arial" w:hAnsi="Arial" w:cs="Arial"/>
          <w:color w:val="0D0D0D" w:themeColor="text1" w:themeTint="F2"/>
          <w:sz w:val="22"/>
          <w:lang w:val="es-ES"/>
        </w:rPr>
        <w:t>094</w:t>
      </w:r>
      <w:r w:rsidRPr="005B2F33">
        <w:rPr>
          <w:rFonts w:ascii="Arial" w:hAnsi="Arial" w:cs="Arial"/>
          <w:color w:val="0D0D0D" w:themeColor="text1" w:themeTint="F2"/>
          <w:sz w:val="22"/>
          <w:lang w:val="es-ES"/>
        </w:rPr>
        <w:t xml:space="preserve"> del </w:t>
      </w:r>
      <w:r>
        <w:rPr>
          <w:rFonts w:ascii="Arial" w:hAnsi="Arial" w:cs="Arial"/>
          <w:color w:val="0D0D0D" w:themeColor="text1" w:themeTint="F2"/>
          <w:sz w:val="22"/>
          <w:lang w:val="es-ES"/>
        </w:rPr>
        <w:t>21 de mayo</w:t>
      </w:r>
      <w:r w:rsidRPr="005B2F33">
        <w:rPr>
          <w:rFonts w:ascii="Arial" w:hAnsi="Arial" w:cs="Arial"/>
          <w:color w:val="0D0D0D" w:themeColor="text1" w:themeTint="F2"/>
          <w:sz w:val="22"/>
          <w:lang w:val="es-ES"/>
        </w:rPr>
        <w:t xml:space="preserve">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esta modalidad de selección</w:t>
      </w:r>
      <w:r w:rsidRPr="005B2F33">
        <w:rPr>
          <w:rFonts w:ascii="Arial" w:eastAsia="Calibri" w:hAnsi="Arial" w:cs="Arial"/>
          <w:bCs/>
          <w:color w:val="0D0D0D" w:themeColor="text1" w:themeTint="F2"/>
          <w:sz w:val="22"/>
        </w:rPr>
        <w:t>.</w:t>
      </w:r>
    </w:p>
    <w:p w14:paraId="495A75F4" w14:textId="0CF20FBF" w:rsidR="00F0755F" w:rsidRPr="00066821" w:rsidRDefault="003112B5" w:rsidP="00F0755F">
      <w:pPr>
        <w:spacing w:before="120" w:line="276" w:lineRule="auto"/>
        <w:ind w:firstLine="708"/>
        <w:jc w:val="both"/>
        <w:rPr>
          <w:rFonts w:ascii="Arial" w:hAnsi="Arial" w:cs="Arial"/>
          <w:sz w:val="22"/>
        </w:rPr>
      </w:pPr>
      <w:r>
        <w:rPr>
          <w:rFonts w:ascii="Arial" w:hAnsi="Arial" w:cs="Arial"/>
          <w:sz w:val="22"/>
        </w:rPr>
        <w:t>Teniendo en cuenta el marco normativo anteriormente expuesto</w:t>
      </w:r>
      <w:r w:rsidR="00F0755F">
        <w:rPr>
          <w:rFonts w:ascii="Arial" w:hAnsi="Arial" w:cs="Arial"/>
          <w:sz w:val="22"/>
        </w:rPr>
        <w:t>, d</w:t>
      </w:r>
      <w:r w:rsidR="00F0755F" w:rsidRPr="00066821">
        <w:rPr>
          <w:rFonts w:ascii="Arial" w:hAnsi="Arial" w:cs="Arial"/>
          <w:sz w:val="22"/>
        </w:rPr>
        <w:t xml:space="preserve">e acuerdo con las condiciones fijadas en los «Documentos Base», la acreditación del requisito habilitante </w:t>
      </w:r>
      <w:r w:rsidR="00F0755F">
        <w:rPr>
          <w:rFonts w:ascii="Arial" w:hAnsi="Arial" w:cs="Arial"/>
          <w:sz w:val="22"/>
        </w:rPr>
        <w:t>de experiencia se aborda</w:t>
      </w:r>
      <w:r w:rsidR="00F0755F" w:rsidRPr="00066821">
        <w:rPr>
          <w:rFonts w:ascii="Arial" w:hAnsi="Arial" w:cs="Arial"/>
          <w:sz w:val="22"/>
        </w:rPr>
        <w:t xml:space="preserve"> desde distintos criterios. En primer lugar, los contratos presentados por los proponentes deben corresponder a la actividad o actividades de </w:t>
      </w:r>
      <w:r w:rsidR="00F0755F" w:rsidRPr="00066821">
        <w:rPr>
          <w:rFonts w:ascii="Arial" w:hAnsi="Arial" w:cs="Arial"/>
          <w:sz w:val="22"/>
        </w:rPr>
        <w:lastRenderedPageBreak/>
        <w:t xml:space="preserve">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w:t>
      </w:r>
      <w:r w:rsidR="00C02F56">
        <w:rPr>
          <w:rFonts w:ascii="Arial" w:hAnsi="Arial" w:cs="Arial"/>
          <w:sz w:val="22"/>
        </w:rPr>
        <w:t>Por último</w:t>
      </w:r>
      <w:r w:rsidR="00F0755F" w:rsidRPr="00066821">
        <w:rPr>
          <w:rFonts w:ascii="Arial" w:hAnsi="Arial" w:cs="Arial"/>
          <w:sz w:val="22"/>
        </w:rPr>
        <w:t xml:space="preserve">, el número de contratos aportados por el proponente debe certificar un valor mínimo correspondiente a un porcentaje del presupuesto oficial del proceso de obra expresado en SMMLV, cuya verificación se hará </w:t>
      </w:r>
      <w:r w:rsidR="00F0755F">
        <w:rPr>
          <w:rFonts w:ascii="Arial" w:hAnsi="Arial" w:cs="Arial"/>
          <w:sz w:val="22"/>
        </w:rPr>
        <w:t>de acuerdo a</w:t>
      </w:r>
      <w:r w:rsidR="00F0755F" w:rsidRPr="00066821">
        <w:rPr>
          <w:rFonts w:ascii="Arial" w:hAnsi="Arial" w:cs="Arial"/>
          <w:sz w:val="22"/>
        </w:rPr>
        <w:t xml:space="preserve"> la sumatoria de los valores totales ejecutados de los contratos que cumplan con los requisitos establecidos en el pliego de condiciones. </w:t>
      </w:r>
    </w:p>
    <w:p w14:paraId="2E6BEDBB"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066821">
        <w:rPr>
          <w:rFonts w:ascii="Arial" w:hAnsi="Arial" w:cs="Arial"/>
          <w:sz w:val="22"/>
        </w:rPr>
        <w:t>ii</w:t>
      </w:r>
      <w:proofErr w:type="spellEnd"/>
      <w:r w:rsidRPr="00066821">
        <w:rPr>
          <w:rFonts w:ascii="Arial" w:hAnsi="Arial" w:cs="Arial"/>
          <w:sz w:val="22"/>
        </w:rPr>
        <w:t xml:space="preserve">) la actividad a contratar y </w:t>
      </w:r>
      <w:proofErr w:type="spellStart"/>
      <w:r w:rsidRPr="00066821">
        <w:rPr>
          <w:rFonts w:ascii="Arial" w:hAnsi="Arial" w:cs="Arial"/>
          <w:sz w:val="22"/>
        </w:rPr>
        <w:t>iii</w:t>
      </w:r>
      <w:proofErr w:type="spellEnd"/>
      <w:r w:rsidRPr="00066821">
        <w:rPr>
          <w:rFonts w:ascii="Arial" w:hAnsi="Arial" w:cs="Arial"/>
          <w:sz w:val="22"/>
        </w:rPr>
        <w:t>) la cuantía del proceso de contratación.</w:t>
      </w:r>
    </w:p>
    <w:p w14:paraId="7D8BDB79" w14:textId="3D52CC75" w:rsidR="00F0755F" w:rsidRPr="00066821" w:rsidRDefault="00C02F56" w:rsidP="00F0755F">
      <w:pPr>
        <w:spacing w:before="120" w:line="276" w:lineRule="auto"/>
        <w:ind w:firstLine="708"/>
        <w:jc w:val="both"/>
        <w:rPr>
          <w:rFonts w:ascii="Arial" w:hAnsi="Arial" w:cs="Arial"/>
          <w:sz w:val="22"/>
        </w:rPr>
      </w:pPr>
      <w:r>
        <w:rPr>
          <w:rFonts w:ascii="Arial" w:hAnsi="Arial" w:cs="Arial"/>
          <w:sz w:val="22"/>
        </w:rPr>
        <w:t>En relación con e</w:t>
      </w:r>
      <w:r w:rsidR="00F0755F" w:rsidRPr="00066821">
        <w:rPr>
          <w:rFonts w:ascii="Arial" w:hAnsi="Arial" w:cs="Arial"/>
          <w:sz w:val="22"/>
        </w:rPr>
        <w:t xml:space="preserv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w:t>
      </w:r>
      <w:r w:rsidR="003112B5" w:rsidRPr="00066821">
        <w:rPr>
          <w:rFonts w:ascii="Arial" w:hAnsi="Arial" w:cs="Arial"/>
          <w:sz w:val="22"/>
        </w:rPr>
        <w:t>documentos tipo</w:t>
      </w:r>
      <w:r w:rsidR="00F0755F" w:rsidRPr="00066821">
        <w:rPr>
          <w:rFonts w:ascii="Arial" w:hAnsi="Arial" w:cs="Arial"/>
          <w:sz w:val="22"/>
        </w:rPr>
        <w:t xml:space="preserve">, dado que comprenden todas aquellas actividades que constituyen obra pública de infraestructura de transporte y que han sido objeto de estandarización mediante el Decreto 342 de 2019 para procesos de licitación pública, así como por </w:t>
      </w:r>
      <w:r w:rsidR="003112B5">
        <w:rPr>
          <w:rFonts w:ascii="Arial" w:hAnsi="Arial" w:cs="Arial"/>
          <w:sz w:val="22"/>
        </w:rPr>
        <w:t>los</w:t>
      </w:r>
      <w:r w:rsidR="00F0755F" w:rsidRPr="00066821">
        <w:rPr>
          <w:rFonts w:ascii="Arial" w:hAnsi="Arial" w:cs="Arial"/>
          <w:sz w:val="22"/>
        </w:rPr>
        <w:t xml:space="preserve"> Decreto</w:t>
      </w:r>
      <w:r w:rsidR="003112B5">
        <w:rPr>
          <w:rFonts w:ascii="Arial" w:hAnsi="Arial" w:cs="Arial"/>
          <w:sz w:val="22"/>
        </w:rPr>
        <w:t>s</w:t>
      </w:r>
      <w:r w:rsidR="00F0755F" w:rsidRPr="00066821">
        <w:rPr>
          <w:rFonts w:ascii="Arial" w:hAnsi="Arial" w:cs="Arial"/>
          <w:sz w:val="22"/>
        </w:rPr>
        <w:t xml:space="preserve"> 2096 de 2019</w:t>
      </w:r>
      <w:r w:rsidR="003112B5">
        <w:rPr>
          <w:rFonts w:ascii="Arial" w:hAnsi="Arial" w:cs="Arial"/>
          <w:sz w:val="22"/>
        </w:rPr>
        <w:t xml:space="preserve"> y 594 de 2020</w:t>
      </w:r>
      <w:r w:rsidR="00F0755F" w:rsidRPr="00066821">
        <w:rPr>
          <w:rFonts w:ascii="Arial" w:hAnsi="Arial" w:cs="Arial"/>
          <w:sz w:val="22"/>
        </w:rPr>
        <w:t xml:space="preserve"> para </w:t>
      </w:r>
      <w:r w:rsidR="003112B5">
        <w:rPr>
          <w:rFonts w:ascii="Arial" w:hAnsi="Arial" w:cs="Arial"/>
          <w:sz w:val="22"/>
        </w:rPr>
        <w:t xml:space="preserve">los </w:t>
      </w:r>
      <w:r w:rsidR="00F0755F" w:rsidRPr="00066821">
        <w:rPr>
          <w:rFonts w:ascii="Arial" w:hAnsi="Arial" w:cs="Arial"/>
          <w:sz w:val="22"/>
        </w:rPr>
        <w:t xml:space="preserve">procedimientos </w:t>
      </w:r>
      <w:r w:rsidR="003112B5">
        <w:rPr>
          <w:rFonts w:ascii="Arial" w:hAnsi="Arial" w:cs="Arial"/>
          <w:sz w:val="22"/>
        </w:rPr>
        <w:t>menor y mínima cuantía</w:t>
      </w:r>
      <w:r w:rsidR="00F0755F" w:rsidRPr="00066821">
        <w:rPr>
          <w:rFonts w:ascii="Arial" w:hAnsi="Arial" w:cs="Arial"/>
          <w:sz w:val="22"/>
        </w:rPr>
        <w:t>.</w:t>
      </w:r>
    </w:p>
    <w:p w14:paraId="796FA82A"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Con respecto a la actividad a contratar, la Matriz 1 establece cuáles son las que corresponden a cada uno de los tipos de infraestructura mencionados, con el fin de que la entidad identifi</w:t>
      </w:r>
      <w:r>
        <w:rPr>
          <w:rFonts w:ascii="Arial" w:hAnsi="Arial" w:cs="Arial"/>
          <w:sz w:val="22"/>
        </w:rPr>
        <w:t>que</w:t>
      </w:r>
      <w:r w:rsidRPr="00066821">
        <w:rPr>
          <w:rFonts w:ascii="Arial" w:hAnsi="Arial" w:cs="Arial"/>
          <w:sz w:val="22"/>
        </w:rPr>
        <w:t xml:space="preserve"> aquellas en las cuales puede encuadrarse de mejor forma el objeto que pretende ejecutar y determinar los requisitos de experiencia exigibles. Por ejemplo, para el tipo de infraestructura «1.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4B935329" w14:textId="50F2DBCF"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artículo 4 de la Ley 1882 de 2018 y en el artículo 2.2.1.2.6.1.3</w:t>
      </w:r>
      <w:r w:rsidR="00F803F1">
        <w:rPr>
          <w:rFonts w:ascii="Arial" w:hAnsi="Arial" w:cs="Arial"/>
          <w:sz w:val="22"/>
        </w:rPr>
        <w:t xml:space="preserve">, </w:t>
      </w:r>
      <w:r w:rsidR="00F803F1" w:rsidRPr="00F803F1">
        <w:rPr>
          <w:rFonts w:ascii="Arial" w:hAnsi="Arial" w:cs="Arial"/>
          <w:sz w:val="22"/>
        </w:rPr>
        <w:t>2.2.1.2.6.2.3</w:t>
      </w:r>
      <w:r w:rsidR="00F803F1">
        <w:rPr>
          <w:rFonts w:ascii="Arial" w:hAnsi="Arial" w:cs="Arial"/>
          <w:sz w:val="22"/>
        </w:rPr>
        <w:t xml:space="preserve"> y </w:t>
      </w:r>
      <w:r w:rsidR="00F803F1" w:rsidRPr="00F803F1">
        <w:rPr>
          <w:rFonts w:ascii="Arial" w:hAnsi="Arial" w:cs="Arial"/>
          <w:sz w:val="22"/>
        </w:rPr>
        <w:t>2.2.1.2.6.3.3</w:t>
      </w:r>
      <w:r w:rsidRPr="00066821">
        <w:rPr>
          <w:rFonts w:ascii="Arial" w:hAnsi="Arial" w:cs="Arial"/>
          <w:sz w:val="22"/>
        </w:rPr>
        <w:t xml:space="preserve"> del </w:t>
      </w:r>
      <w:r w:rsidRPr="00066821">
        <w:rPr>
          <w:rFonts w:ascii="Arial" w:hAnsi="Arial" w:cs="Arial"/>
          <w:sz w:val="22"/>
        </w:rPr>
        <w:lastRenderedPageBreak/>
        <w:t xml:space="preserve">Decreto 1082 de 2015, conforme a los cuales las condiciones habilitantes fijadas en los documentos tipo deben tener en cuenta la naturaleza y cuantía del tipo de intervención. </w:t>
      </w:r>
    </w:p>
    <w:p w14:paraId="6DEA2821" w14:textId="318C7D60" w:rsidR="00F0755F" w:rsidRPr="00066821" w:rsidRDefault="00F0755F" w:rsidP="00F0755F">
      <w:pPr>
        <w:spacing w:before="120" w:after="120" w:line="276" w:lineRule="auto"/>
        <w:ind w:firstLine="709"/>
        <w:jc w:val="both"/>
        <w:rPr>
          <w:rFonts w:ascii="Arial" w:hAnsi="Arial" w:cs="Arial"/>
          <w:sz w:val="22"/>
        </w:rPr>
      </w:pPr>
      <w:r w:rsidRPr="00066821">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r w:rsidR="00782024">
        <w:rPr>
          <w:rFonts w:ascii="Arial" w:hAnsi="Arial" w:cs="Arial"/>
          <w:sz w:val="22"/>
        </w:rPr>
        <w:t>por lo que son</w:t>
      </w:r>
      <w:r w:rsidRPr="00066821">
        <w:rPr>
          <w:rFonts w:ascii="Arial" w:hAnsi="Arial" w:cs="Arial"/>
          <w:sz w:val="22"/>
        </w:rPr>
        <w:t xml:space="preserve"> de obligatorio cumplimiento. Igualmente, se encuentran sometidos a la reglamentación establecida en</w:t>
      </w:r>
      <w:r w:rsidR="003112B5">
        <w:rPr>
          <w:rFonts w:ascii="Arial" w:hAnsi="Arial" w:cs="Arial"/>
          <w:sz w:val="22"/>
        </w:rPr>
        <w:t xml:space="preserve"> </w:t>
      </w:r>
      <w:r w:rsidRPr="00066821">
        <w:rPr>
          <w:rFonts w:ascii="Arial" w:hAnsi="Arial" w:cs="Arial"/>
          <w:sz w:val="22"/>
        </w:rPr>
        <w:t>l</w:t>
      </w:r>
      <w:r w:rsidR="003112B5">
        <w:rPr>
          <w:rFonts w:ascii="Arial" w:hAnsi="Arial" w:cs="Arial"/>
          <w:sz w:val="22"/>
        </w:rPr>
        <w:t>os</w:t>
      </w:r>
      <w:r w:rsidRPr="00066821">
        <w:rPr>
          <w:rFonts w:ascii="Arial" w:hAnsi="Arial" w:cs="Arial"/>
          <w:sz w:val="22"/>
        </w:rPr>
        <w:t xml:space="preserve"> Decreto</w:t>
      </w:r>
      <w:r w:rsidR="003112B5">
        <w:rPr>
          <w:rFonts w:ascii="Arial" w:hAnsi="Arial" w:cs="Arial"/>
          <w:sz w:val="22"/>
        </w:rPr>
        <w:t>s</w:t>
      </w:r>
      <w:r w:rsidRPr="00066821">
        <w:rPr>
          <w:rFonts w:ascii="Arial" w:hAnsi="Arial" w:cs="Arial"/>
          <w:sz w:val="22"/>
        </w:rPr>
        <w:t xml:space="preserve"> 342 de 2019</w:t>
      </w:r>
      <w:r w:rsidR="00782024">
        <w:rPr>
          <w:rFonts w:ascii="Arial" w:hAnsi="Arial" w:cs="Arial"/>
          <w:sz w:val="22"/>
        </w:rPr>
        <w:t xml:space="preserve">, </w:t>
      </w:r>
      <w:r w:rsidR="00782024" w:rsidRPr="00066821">
        <w:rPr>
          <w:rFonts w:ascii="Arial" w:hAnsi="Arial" w:cs="Arial"/>
          <w:sz w:val="22"/>
        </w:rPr>
        <w:t>2096 de 2019</w:t>
      </w:r>
      <w:r w:rsidR="00782024">
        <w:rPr>
          <w:rFonts w:ascii="Arial" w:hAnsi="Arial" w:cs="Arial"/>
          <w:sz w:val="22"/>
        </w:rPr>
        <w:t xml:space="preserve"> y 594 de </w:t>
      </w:r>
      <w:proofErr w:type="gramStart"/>
      <w:r w:rsidR="00782024">
        <w:rPr>
          <w:rFonts w:ascii="Arial" w:hAnsi="Arial" w:cs="Arial"/>
          <w:sz w:val="22"/>
        </w:rPr>
        <w:t>2020</w:t>
      </w:r>
      <w:r w:rsidR="00782024" w:rsidRPr="00066821">
        <w:rPr>
          <w:rFonts w:ascii="Arial" w:hAnsi="Arial" w:cs="Arial"/>
          <w:sz w:val="22"/>
        </w:rPr>
        <w:t xml:space="preserve"> </w:t>
      </w:r>
      <w:r w:rsidRPr="00066821">
        <w:rPr>
          <w:rFonts w:ascii="Arial" w:hAnsi="Arial" w:cs="Arial"/>
          <w:sz w:val="22"/>
        </w:rPr>
        <w:t xml:space="preserve"> no</w:t>
      </w:r>
      <w:proofErr w:type="gramEnd"/>
      <w:r w:rsidRPr="00066821">
        <w:rPr>
          <w:rFonts w:ascii="Arial" w:hAnsi="Arial" w:cs="Arial"/>
          <w:sz w:val="22"/>
        </w:rPr>
        <w:t xml:space="preserve"> pueden ser alterados, modificados o adicionados en su contenido. </w:t>
      </w:r>
    </w:p>
    <w:p w14:paraId="4B126AD4"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1C993623"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14:paraId="3CBE9E81"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 xml:space="preserve">b) Definido el tipo de infraestructura, identificar la </w:t>
      </w:r>
      <w:r w:rsidRPr="00066821">
        <w:rPr>
          <w:rFonts w:ascii="Arial" w:eastAsia="Calibri" w:hAnsi="Arial" w:cs="Arial"/>
          <w:sz w:val="22"/>
        </w:rPr>
        <w:t>«</w:t>
      </w:r>
      <w:r w:rsidRPr="00066821">
        <w:rPr>
          <w:rFonts w:ascii="Arial" w:hAnsi="Arial" w:cs="Arial"/>
          <w:sz w:val="22"/>
        </w:rPr>
        <w:t>ACTIVIDAD A CONTRATAR</w:t>
      </w:r>
      <w:r w:rsidRPr="00066821">
        <w:rPr>
          <w:rFonts w:ascii="Arial" w:eastAsia="Calibri" w:hAnsi="Arial" w:cs="Arial"/>
          <w:sz w:val="22"/>
        </w:rPr>
        <w:t>»</w:t>
      </w:r>
      <w:r w:rsidRPr="00066821">
        <w:rPr>
          <w:rFonts w:ascii="Arial" w:hAnsi="Arial" w:cs="Arial"/>
          <w:sz w:val="22"/>
        </w:rPr>
        <w:t xml:space="preserve"> acorde con la Matriz 1. </w:t>
      </w:r>
    </w:p>
    <w:p w14:paraId="77D380C5"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 xml:space="preserve">c) Identificar el rango en el cual se encuentra el Proceso de Contratación de acuerdo con el presupuesto oficial. </w:t>
      </w:r>
    </w:p>
    <w:p w14:paraId="07FFF178"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 xml:space="preserve">d) Identificar la </w:t>
      </w:r>
      <w:r w:rsidRPr="00066821">
        <w:rPr>
          <w:rFonts w:ascii="Arial" w:eastAsia="Calibri" w:hAnsi="Arial" w:cs="Arial"/>
          <w:sz w:val="22"/>
        </w:rPr>
        <w:t>«</w:t>
      </w:r>
      <w:r w:rsidRPr="00066821">
        <w:rPr>
          <w:rFonts w:ascii="Arial" w:hAnsi="Arial" w:cs="Arial"/>
          <w:sz w:val="22"/>
        </w:rPr>
        <w:t>experiencia general</w:t>
      </w:r>
      <w:r w:rsidRPr="00066821">
        <w:rPr>
          <w:rFonts w:ascii="Arial" w:eastAsia="Calibri" w:hAnsi="Arial" w:cs="Arial"/>
          <w:sz w:val="22"/>
        </w:rPr>
        <w:t>»</w:t>
      </w:r>
      <w:r w:rsidRPr="00066821">
        <w:rPr>
          <w:rFonts w:ascii="Arial" w:hAnsi="Arial" w:cs="Arial"/>
          <w:sz w:val="22"/>
        </w:rPr>
        <w:t xml:space="preserve"> exigible acorde con la Matriz 1 teniendo en cuenta la actividad a contratar y el rango de la cuantía del Proceso de Contratación. </w:t>
      </w:r>
    </w:p>
    <w:p w14:paraId="00DF2B4A"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 xml:space="preserve">e) Identificar la </w:t>
      </w:r>
      <w:r w:rsidRPr="00066821">
        <w:rPr>
          <w:rFonts w:ascii="Arial" w:eastAsia="Calibri" w:hAnsi="Arial" w:cs="Arial"/>
          <w:sz w:val="22"/>
        </w:rPr>
        <w:t>«</w:t>
      </w:r>
      <w:r w:rsidRPr="00066821">
        <w:rPr>
          <w:rFonts w:ascii="Arial" w:hAnsi="Arial" w:cs="Arial"/>
          <w:sz w:val="22"/>
        </w:rPr>
        <w:t>experiencia específica</w:t>
      </w:r>
      <w:r w:rsidRPr="00066821">
        <w:rPr>
          <w:rFonts w:ascii="Arial" w:eastAsia="Calibri" w:hAnsi="Arial" w:cs="Arial"/>
          <w:sz w:val="22"/>
        </w:rPr>
        <w:t>»</w:t>
      </w:r>
      <w:r w:rsidRPr="00066821">
        <w:rPr>
          <w:rFonts w:ascii="Arial" w:hAnsi="Arial" w:cs="Arial"/>
          <w:sz w:val="22"/>
        </w:rPr>
        <w:t xml:space="preserve"> exigible y el porcentaje de dimensionamiento que se puede solicitar acorde con la longitud a ejecutar, de acuerdo con la cuantía del proceso de contratación. Cuando en la </w:t>
      </w:r>
      <w:r w:rsidRPr="00066821">
        <w:rPr>
          <w:rFonts w:ascii="Arial" w:eastAsia="Calibri" w:hAnsi="Arial" w:cs="Arial"/>
          <w:sz w:val="22"/>
        </w:rPr>
        <w:t>«</w:t>
      </w:r>
      <w:r w:rsidRPr="00066821">
        <w:rPr>
          <w:rFonts w:ascii="Arial" w:hAnsi="Arial" w:cs="Arial"/>
          <w:sz w:val="22"/>
        </w:rPr>
        <w:t>experiencia específica</w:t>
      </w:r>
      <w:r w:rsidRPr="00066821">
        <w:rPr>
          <w:rFonts w:ascii="Arial" w:eastAsia="Calibri" w:hAnsi="Arial" w:cs="Arial"/>
          <w:sz w:val="22"/>
        </w:rPr>
        <w:t>»</w:t>
      </w:r>
      <w:r w:rsidRPr="00066821">
        <w:rPr>
          <w:rFonts w:ascii="Arial" w:hAnsi="Arial" w:cs="Arial"/>
          <w:sz w:val="22"/>
        </w:rPr>
        <w:t xml:space="preserve"> se indiquen las siglas </w:t>
      </w:r>
      <w:r w:rsidRPr="00066821">
        <w:rPr>
          <w:rFonts w:ascii="Arial" w:hAnsi="Arial" w:cs="Arial"/>
          <w:i/>
          <w:iCs/>
          <w:sz w:val="22"/>
        </w:rPr>
        <w:t>N.A</w:t>
      </w:r>
      <w:r w:rsidRPr="00066821">
        <w:rPr>
          <w:rFonts w:ascii="Arial" w:hAnsi="Arial" w:cs="Arial"/>
          <w:sz w:val="22"/>
        </w:rPr>
        <w:t xml:space="preserve"> significa que la entidad estatal no puede exigir a los proponentes experiencia específica en los procesos de contratación. </w:t>
      </w:r>
    </w:p>
    <w:p w14:paraId="0C8C6D2F" w14:textId="078E19D3" w:rsidR="00F0755F" w:rsidRPr="008E5296" w:rsidRDefault="00F0755F" w:rsidP="00F0755F">
      <w:pPr>
        <w:spacing w:before="120" w:after="120" w:line="276" w:lineRule="auto"/>
        <w:ind w:firstLine="708"/>
        <w:jc w:val="both"/>
        <w:rPr>
          <w:rFonts w:ascii="Arial" w:hAnsi="Arial" w:cs="Arial"/>
          <w:color w:val="000000" w:themeColor="text1"/>
          <w:sz w:val="22"/>
          <w:lang w:val="es-CO"/>
        </w:rPr>
      </w:pPr>
      <w:r w:rsidRPr="008E5296">
        <w:rPr>
          <w:rFonts w:ascii="Arial" w:hAnsi="Arial" w:cs="Arial"/>
          <w:color w:val="000000" w:themeColor="text1"/>
          <w:sz w:val="22"/>
          <w:lang w:val="es-CO"/>
        </w:rPr>
        <w:t>A</w:t>
      </w:r>
      <w:r>
        <w:rPr>
          <w:rFonts w:ascii="Arial" w:hAnsi="Arial" w:cs="Arial"/>
          <w:color w:val="000000" w:themeColor="text1"/>
          <w:sz w:val="22"/>
          <w:lang w:val="es-CO"/>
        </w:rPr>
        <w:t xml:space="preserve"> manera de ejemplo, </w:t>
      </w:r>
      <w:r w:rsidR="00F803F1">
        <w:rPr>
          <w:rFonts w:ascii="Arial" w:hAnsi="Arial" w:cs="Arial"/>
          <w:color w:val="000000" w:themeColor="text1"/>
          <w:sz w:val="22"/>
          <w:lang w:val="es-CO"/>
        </w:rPr>
        <w:t>para efectos de</w:t>
      </w:r>
      <w:r w:rsidR="00B243F7">
        <w:rPr>
          <w:rFonts w:ascii="Arial" w:hAnsi="Arial" w:cs="Arial"/>
          <w:color w:val="000000" w:themeColor="text1"/>
          <w:sz w:val="22"/>
          <w:lang w:val="es-CO"/>
        </w:rPr>
        <w:t xml:space="preserve"> </w:t>
      </w:r>
      <w:r w:rsidR="00F803F1">
        <w:rPr>
          <w:rFonts w:ascii="Arial" w:hAnsi="Arial" w:cs="Arial"/>
          <w:color w:val="000000" w:themeColor="text1"/>
          <w:sz w:val="22"/>
          <w:lang w:val="es-CO"/>
        </w:rPr>
        <w:t>l</w:t>
      </w:r>
      <w:r w:rsidR="00B243F7">
        <w:rPr>
          <w:rFonts w:ascii="Arial" w:hAnsi="Arial" w:cs="Arial"/>
          <w:color w:val="000000" w:themeColor="text1"/>
          <w:sz w:val="22"/>
          <w:lang w:val="es-CO"/>
        </w:rPr>
        <w:t>os</w:t>
      </w:r>
      <w:r w:rsidR="00F803F1">
        <w:rPr>
          <w:rFonts w:ascii="Arial" w:hAnsi="Arial" w:cs="Arial"/>
          <w:color w:val="000000" w:themeColor="text1"/>
          <w:sz w:val="22"/>
          <w:lang w:val="es-CO"/>
        </w:rPr>
        <w:t xml:space="preserve"> «Documento</w:t>
      </w:r>
      <w:r w:rsidR="00B243F7">
        <w:rPr>
          <w:rFonts w:ascii="Arial" w:hAnsi="Arial" w:cs="Arial"/>
          <w:color w:val="000000" w:themeColor="text1"/>
          <w:sz w:val="22"/>
          <w:lang w:val="es-CO"/>
        </w:rPr>
        <w:t>s</w:t>
      </w:r>
      <w:r w:rsidR="00F803F1">
        <w:rPr>
          <w:rFonts w:ascii="Arial" w:hAnsi="Arial" w:cs="Arial"/>
          <w:color w:val="000000" w:themeColor="text1"/>
          <w:sz w:val="22"/>
          <w:lang w:val="es-CO"/>
        </w:rPr>
        <w:t xml:space="preserve"> Tipo – Versión 2» de licitación pública, </w:t>
      </w:r>
      <w:r w:rsidRPr="008E5296">
        <w:rPr>
          <w:rFonts w:ascii="Arial" w:hAnsi="Arial" w:cs="Arial"/>
          <w:color w:val="000000" w:themeColor="text1"/>
          <w:sz w:val="22"/>
          <w:lang w:val="es-CO"/>
        </w:rPr>
        <w:t>se identifica la experiencia general y específica que la entidad estatal solicitará en un contrato cuyo objeto consista en el mantenimiento de vías terciarias, de acuerdo con las características y parámetros explicados previamente:</w:t>
      </w:r>
    </w:p>
    <w:p w14:paraId="02455981" w14:textId="77777777" w:rsidR="00F0755F" w:rsidRPr="008E5296" w:rsidRDefault="00F0755F" w:rsidP="00F0755F">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a) De acuerdo con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Matriz 1 – Experiencia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el tipo de infraestructura que se relaciona con el objeto contractual es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 OBRAS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39875609" w14:textId="77777777" w:rsidR="00F0755F" w:rsidRPr="008E5296" w:rsidRDefault="00F0755F" w:rsidP="00F0755F">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b) La actividad que se relaciona es el numeral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2.2 MEJORAMIENTO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17FC60E4" w14:textId="77777777" w:rsidR="00F0755F" w:rsidRPr="008E5296" w:rsidRDefault="00F0755F" w:rsidP="00F0755F">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lastRenderedPageBreak/>
        <w:t xml:space="preserve">c) </w:t>
      </w:r>
      <w:r w:rsidRPr="008E5296">
        <w:rPr>
          <w:rFonts w:ascii="Arial" w:eastAsia="Calibri" w:hAnsi="Arial" w:cs="Arial"/>
          <w:color w:val="000000" w:themeColor="text1"/>
          <w:sz w:val="22"/>
          <w:lang w:val="es-CO"/>
        </w:rPr>
        <w:t>La experiencia general que se debe solicitar en este proceso de contratación es «CONSTRUCCIÓN O MEJORAMIENTO EN PAVIMENTO ASFALTICO O CONCRECTO HIDRÁÚLICO O PLACA HUELLA DE VÍAS PRIMARIAS O SECUNDARIAS O VÍAS TERCIARIAS O VÍAS URBANAS O PISTAS DE AEROPUERTOS»</w:t>
      </w:r>
      <w:r>
        <w:rPr>
          <w:rFonts w:ascii="Arial" w:eastAsia="Calibri" w:hAnsi="Arial" w:cs="Arial"/>
          <w:color w:val="000000" w:themeColor="text1"/>
          <w:sz w:val="22"/>
          <w:lang w:val="es-CO"/>
        </w:rPr>
        <w:t>. Al respecto, incluye una nota la cual dispone que «</w:t>
      </w:r>
      <w:r w:rsidRPr="006B323D">
        <w:rPr>
          <w:rFonts w:ascii="Arial" w:eastAsia="Calibri" w:hAnsi="Arial" w:cs="Arial"/>
          <w:color w:val="000000" w:themeColor="text1"/>
          <w:sz w:val="22"/>
          <w:lang w:val="es-CO"/>
        </w:rPr>
        <w:t xml:space="preserve">Será válida la experiencia que haya sido ejecutada a través de Construcción o Mejoramiento o Mantenimiento de Vías en Asfalto Natural o </w:t>
      </w:r>
      <w:proofErr w:type="spellStart"/>
      <w:r w:rsidRPr="006B323D">
        <w:rPr>
          <w:rFonts w:ascii="Arial" w:eastAsia="Calibri" w:hAnsi="Arial" w:cs="Arial"/>
          <w:color w:val="000000" w:themeColor="text1"/>
          <w:sz w:val="22"/>
          <w:lang w:val="es-CO"/>
        </w:rPr>
        <w:t>Asfaltita</w:t>
      </w:r>
      <w:proofErr w:type="spellEnd"/>
      <w:r>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De ninguna manera </w:t>
      </w:r>
      <w:r w:rsidRPr="005C0B5C">
        <w:rPr>
          <w:rFonts w:ascii="Arial" w:eastAsia="Calibri" w:hAnsi="Arial" w:cs="Arial"/>
          <w:color w:val="000000" w:themeColor="text1"/>
          <w:sz w:val="22"/>
          <w:lang w:val="es-CO"/>
        </w:rPr>
        <w:t>la entidad podrá modificar la experiencia exigible, dado que así fue establecida en la «Matriz 1 – Experiencia»</w:t>
      </w:r>
      <w:r w:rsidRPr="008E5296">
        <w:rPr>
          <w:rFonts w:ascii="Arial" w:eastAsia="Calibri" w:hAnsi="Arial" w:cs="Arial"/>
          <w:color w:val="000000" w:themeColor="text1"/>
          <w:sz w:val="22"/>
          <w:lang w:val="es-CO"/>
        </w:rPr>
        <w:t>.</w:t>
      </w:r>
    </w:p>
    <w:p w14:paraId="481DD3CF" w14:textId="3D14B7B6" w:rsidR="00F0755F" w:rsidRDefault="00F0755F" w:rsidP="008C0AF6">
      <w:pPr>
        <w:spacing w:after="120" w:line="276" w:lineRule="auto"/>
        <w:ind w:firstLine="709"/>
        <w:jc w:val="both"/>
        <w:rPr>
          <w:rFonts w:ascii="Arial" w:eastAsia="Calibri" w:hAnsi="Arial" w:cs="Arial"/>
          <w:color w:val="000000" w:themeColor="text1"/>
          <w:sz w:val="22"/>
          <w:lang w:val="es-CO"/>
        </w:rPr>
      </w:pPr>
      <w:r w:rsidRPr="008E5296">
        <w:rPr>
          <w:rFonts w:ascii="Arial" w:hAnsi="Arial" w:cs="Arial"/>
          <w:color w:val="000000" w:themeColor="text1"/>
          <w:sz w:val="22"/>
          <w:lang w:val="es-CO"/>
        </w:rPr>
        <w:t xml:space="preserve">d) </w:t>
      </w:r>
      <w:r w:rsidRPr="008E5296">
        <w:rPr>
          <w:rFonts w:ascii="Arial" w:eastAsia="Calibri" w:hAnsi="Arial" w:cs="Arial"/>
          <w:color w:val="000000" w:themeColor="text1"/>
          <w:sz w:val="22"/>
          <w:lang w:val="es-CO"/>
        </w:rPr>
        <w:t xml:space="preserve">La experiencia específica </w:t>
      </w:r>
      <w:r>
        <w:rPr>
          <w:rFonts w:ascii="Arial" w:eastAsia="Calibri" w:hAnsi="Arial" w:cs="Arial"/>
          <w:color w:val="000000" w:themeColor="text1"/>
          <w:sz w:val="22"/>
          <w:lang w:val="es-CO"/>
        </w:rPr>
        <w:t>depende de</w:t>
      </w:r>
      <w:r w:rsidRPr="008E5296">
        <w:rPr>
          <w:rFonts w:ascii="Arial" w:eastAsia="Calibri" w:hAnsi="Arial" w:cs="Arial"/>
          <w:color w:val="000000" w:themeColor="text1"/>
          <w:sz w:val="22"/>
          <w:lang w:val="es-CO"/>
        </w:rPr>
        <w:t xml:space="preserve"> la cuantía del proceso de contratación: </w:t>
      </w:r>
      <w:r>
        <w:rPr>
          <w:rFonts w:ascii="Arial" w:eastAsia="Calibri" w:hAnsi="Arial" w:cs="Arial"/>
          <w:color w:val="000000" w:themeColor="text1"/>
          <w:sz w:val="22"/>
          <w:lang w:val="es-CO"/>
        </w:rPr>
        <w:t>para contratos de</w:t>
      </w:r>
      <w:r w:rsidRPr="008E5296">
        <w:rPr>
          <w:rFonts w:ascii="Arial" w:eastAsia="Calibri" w:hAnsi="Arial" w:cs="Arial"/>
          <w:color w:val="000000" w:themeColor="text1"/>
          <w:sz w:val="22"/>
          <w:lang w:val="es-CO"/>
        </w:rPr>
        <w:t xml:space="preserve"> menos de 100 SMMLV </w:t>
      </w:r>
      <w:r>
        <w:rPr>
          <w:rFonts w:ascii="Arial" w:eastAsia="Calibri" w:hAnsi="Arial" w:cs="Arial"/>
          <w:color w:val="000000" w:themeColor="text1"/>
          <w:sz w:val="22"/>
          <w:lang w:val="es-CO"/>
        </w:rPr>
        <w:t>o e</w:t>
      </w:r>
      <w:r w:rsidRPr="008E5296">
        <w:rPr>
          <w:rFonts w:ascii="Arial" w:eastAsia="Calibri" w:hAnsi="Arial" w:cs="Arial"/>
          <w:color w:val="000000" w:themeColor="text1"/>
          <w:sz w:val="22"/>
          <w:lang w:val="es-CO"/>
        </w:rPr>
        <w:t xml:space="preserve">ntre 100 </w:t>
      </w:r>
      <w:r>
        <w:rPr>
          <w:rFonts w:ascii="Arial" w:eastAsia="Calibri" w:hAnsi="Arial" w:cs="Arial"/>
          <w:color w:val="000000" w:themeColor="text1"/>
          <w:sz w:val="22"/>
          <w:lang w:val="es-CO"/>
        </w:rPr>
        <w:t xml:space="preserve">a </w:t>
      </w:r>
      <w:r w:rsidRPr="008E5296">
        <w:rPr>
          <w:rFonts w:ascii="Arial" w:eastAsia="Calibri" w:hAnsi="Arial" w:cs="Arial"/>
          <w:color w:val="000000" w:themeColor="text1"/>
          <w:sz w:val="22"/>
          <w:lang w:val="es-CO"/>
        </w:rPr>
        <w:t>1.000 SMMLV</w:t>
      </w:r>
      <w:r>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l</w:t>
      </w:r>
      <w:r w:rsidRPr="008E5296">
        <w:rPr>
          <w:rFonts w:ascii="Arial" w:eastAsia="Calibri" w:hAnsi="Arial" w:cs="Arial"/>
          <w:color w:val="000000" w:themeColor="text1"/>
          <w:sz w:val="22"/>
          <w:lang w:val="es-CO"/>
        </w:rPr>
        <w:t>a entidad estatal no puede exigir experiencia específica en sus procesos de contratación; entre 1.001 y 27.000 SMMLV, la entidad deberá exigir por lo menos un contrato cuya longitud intervenida corresponda al 50% de la longitud de la vía a construir mediante el proceso de contratación</w:t>
      </w:r>
      <w:r>
        <w:rPr>
          <w:rFonts w:ascii="Arial" w:eastAsia="Calibri" w:hAnsi="Arial" w:cs="Arial"/>
          <w:color w:val="000000" w:themeColor="text1"/>
          <w:sz w:val="22"/>
          <w:lang w:val="es-CO"/>
        </w:rPr>
        <w:t>; finalmente,</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cuando es </w:t>
      </w:r>
      <w:r w:rsidRPr="008E5296">
        <w:rPr>
          <w:rFonts w:ascii="Arial" w:eastAsia="Calibri" w:hAnsi="Arial" w:cs="Arial"/>
          <w:color w:val="000000" w:themeColor="text1"/>
          <w:sz w:val="22"/>
          <w:lang w:val="es-CO"/>
        </w:rPr>
        <w:t xml:space="preserve">mayor a 27.001 SMMLV, la entidad deberá exigir que por lo menos uno de los contratos válidos aportados acredite que la longitud intervenida corresponde al 100% de la longitud de vía a construir mediante el proceso de contratación. </w:t>
      </w:r>
    </w:p>
    <w:p w14:paraId="26D6DBCE" w14:textId="77777777" w:rsidR="000E00A8" w:rsidRDefault="008C0AF6" w:rsidP="000E00A8">
      <w:pPr>
        <w:spacing w:after="120"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ab/>
      </w:r>
      <w:r w:rsidR="000E00A8">
        <w:rPr>
          <w:rFonts w:ascii="Arial" w:eastAsia="Calibri" w:hAnsi="Arial" w:cs="Arial"/>
          <w:color w:val="000000" w:themeColor="text1"/>
          <w:sz w:val="22"/>
          <w:lang w:val="es-CO"/>
        </w:rPr>
        <w:t xml:space="preserve">Para la aplicación de este último criterio es importante tener en cuenta que la longitud de la vía equivale al total de la caracterización vial en kilómetros lineales. Por ejemplo, si el tramo del proyecto se extiende desde el kilómetro 20+000 hasta el kilómetro 50+000, esto significa que la longitud de la vía a intervenir es de 30 kilómetros. Por tanto, para calcular la experiencia específica en función de la cuantía, el proponente deberá acreditar que en por los menos uno de los contratos que certifican la experiencia general intervino la mitad de la vía –15 kilómetros, cuando el valor del presupuesto oficial oscila entre los </w:t>
      </w:r>
      <w:r w:rsidR="000E00A8" w:rsidRPr="008E5296">
        <w:rPr>
          <w:rFonts w:ascii="Arial" w:eastAsia="Calibri" w:hAnsi="Arial" w:cs="Arial"/>
          <w:color w:val="000000" w:themeColor="text1"/>
          <w:sz w:val="22"/>
          <w:lang w:val="es-CO"/>
        </w:rPr>
        <w:t xml:space="preserve">1.001 y </w:t>
      </w:r>
      <w:r w:rsidR="000E00A8">
        <w:rPr>
          <w:rFonts w:ascii="Arial" w:eastAsia="Calibri" w:hAnsi="Arial" w:cs="Arial"/>
          <w:color w:val="000000" w:themeColor="text1"/>
          <w:sz w:val="22"/>
          <w:lang w:val="es-CO"/>
        </w:rPr>
        <w:t xml:space="preserve">los </w:t>
      </w:r>
      <w:r w:rsidR="000E00A8" w:rsidRPr="008E5296">
        <w:rPr>
          <w:rFonts w:ascii="Arial" w:eastAsia="Calibri" w:hAnsi="Arial" w:cs="Arial"/>
          <w:color w:val="000000" w:themeColor="text1"/>
          <w:sz w:val="22"/>
          <w:lang w:val="es-CO"/>
        </w:rPr>
        <w:t>27.000 SMMLV</w:t>
      </w:r>
      <w:r w:rsidR="000E00A8">
        <w:rPr>
          <w:rFonts w:ascii="Arial" w:eastAsia="Calibri" w:hAnsi="Arial" w:cs="Arial"/>
          <w:color w:val="000000" w:themeColor="text1"/>
          <w:sz w:val="22"/>
          <w:lang w:val="es-CO"/>
        </w:rPr>
        <w:t xml:space="preserve">– o su totalidad –30 kilómetros, si el presupuesto es mayor de </w:t>
      </w:r>
      <w:r w:rsidR="000E00A8" w:rsidRPr="008E5296">
        <w:rPr>
          <w:rFonts w:ascii="Arial" w:eastAsia="Calibri" w:hAnsi="Arial" w:cs="Arial"/>
          <w:color w:val="000000" w:themeColor="text1"/>
          <w:sz w:val="22"/>
          <w:lang w:val="es-CO"/>
        </w:rPr>
        <w:t>27.00</w:t>
      </w:r>
      <w:r w:rsidR="000E00A8">
        <w:rPr>
          <w:rFonts w:ascii="Arial" w:eastAsia="Calibri" w:hAnsi="Arial" w:cs="Arial"/>
          <w:color w:val="000000" w:themeColor="text1"/>
          <w:sz w:val="22"/>
          <w:lang w:val="es-CO"/>
        </w:rPr>
        <w:t>1</w:t>
      </w:r>
      <w:r w:rsidR="000E00A8" w:rsidRPr="008E5296">
        <w:rPr>
          <w:rFonts w:ascii="Arial" w:eastAsia="Calibri" w:hAnsi="Arial" w:cs="Arial"/>
          <w:color w:val="000000" w:themeColor="text1"/>
          <w:sz w:val="22"/>
          <w:lang w:val="es-CO"/>
        </w:rPr>
        <w:t xml:space="preserve"> SMMLV</w:t>
      </w:r>
      <w:r w:rsidR="000E00A8">
        <w:rPr>
          <w:rFonts w:ascii="Arial" w:eastAsia="Calibri" w:hAnsi="Arial" w:cs="Arial"/>
          <w:color w:val="000000" w:themeColor="text1"/>
          <w:sz w:val="22"/>
          <w:lang w:val="es-CO"/>
        </w:rPr>
        <w:t xml:space="preserve">–.  </w:t>
      </w:r>
    </w:p>
    <w:p w14:paraId="1BBB2C7B" w14:textId="77777777" w:rsidR="000E00A8" w:rsidRDefault="000E00A8" w:rsidP="000E00A8">
      <w:pPr>
        <w:spacing w:after="120"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ab/>
        <w:t xml:space="preserve">Esta conclusión no solo se sustenta en la interpretación literal de la «Matriz 1 – Experiencia» sino también en las definiciones del «Anexo 3 – Glosario». En efecto, el anexo define la vía como «[…] </w:t>
      </w:r>
      <w:r w:rsidRPr="00F50F9E">
        <w:rPr>
          <w:rFonts w:ascii="Arial" w:eastAsia="Calibri" w:hAnsi="Arial" w:cs="Arial"/>
          <w:color w:val="000000" w:themeColor="text1"/>
          <w:sz w:val="22"/>
          <w:lang w:val="es-CO"/>
        </w:rPr>
        <w:t>la zona de la vía destinada a la circulación de vehículos, se define como franja de uso público o privado, abierta al público, destinada al tránsito de vehículos, personas y animales</w:t>
      </w:r>
      <w:r>
        <w:rPr>
          <w:rFonts w:ascii="Arial" w:eastAsia="Calibri" w:hAnsi="Arial" w:cs="Arial"/>
          <w:color w:val="000000" w:themeColor="text1"/>
          <w:sz w:val="22"/>
          <w:lang w:val="es-CO"/>
        </w:rPr>
        <w:t>». Por tanto, como la matriz se refiere exclusivamente a la «[…] l</w:t>
      </w:r>
      <w:r w:rsidRPr="00F50F9E">
        <w:rPr>
          <w:rFonts w:ascii="Arial" w:eastAsia="Calibri" w:hAnsi="Arial" w:cs="Arial"/>
          <w:color w:val="000000" w:themeColor="text1"/>
          <w:sz w:val="22"/>
          <w:lang w:val="es-CO"/>
        </w:rPr>
        <w:t>ongitud de vía a construir</w:t>
      </w:r>
      <w:r>
        <w:rPr>
          <w:rFonts w:ascii="Arial" w:eastAsia="Calibri" w:hAnsi="Arial" w:cs="Arial"/>
          <w:color w:val="000000" w:themeColor="text1"/>
          <w:sz w:val="22"/>
          <w:lang w:val="es-CO"/>
        </w:rPr>
        <w:t xml:space="preserve"> […]», el porcentaje requerido para acreditar la experiencia específica del proponente equivale a la distancia en kilómetros lineales entre el punto de inicio y de finalización de las obras, o como la longitud total producto de la sumatoria de tramos discontinuos de intervención en el escenario en el cual sea realizado por tramos o segmentos viales. </w:t>
      </w:r>
    </w:p>
    <w:p w14:paraId="250F43CA" w14:textId="6A8250E8" w:rsidR="00727EAE" w:rsidRDefault="000E00A8" w:rsidP="000E00A8">
      <w:pPr>
        <w:spacing w:after="120"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ab/>
        <w:t>La precisión es importante en los proyectos de construcción o mejoramiento de vías en «placa huella», las cuales define el «Anexo 3 – Glosario» como «[…]</w:t>
      </w:r>
      <w:r w:rsidRPr="00893165">
        <w:t xml:space="preserve"> </w:t>
      </w:r>
      <w:r w:rsidRPr="00893165">
        <w:rPr>
          <w:rFonts w:ascii="Arial" w:eastAsia="Calibri" w:hAnsi="Arial" w:cs="Arial"/>
          <w:color w:val="000000" w:themeColor="text1"/>
          <w:sz w:val="22"/>
          <w:lang w:val="es-CO"/>
        </w:rPr>
        <w:t xml:space="preserve">la estructura conformada por placas de concreto hidráulico reforzado separadas por franjas de concreto </w:t>
      </w:r>
      <w:r w:rsidRPr="00893165">
        <w:rPr>
          <w:rFonts w:ascii="Arial" w:eastAsia="Calibri" w:hAnsi="Arial" w:cs="Arial"/>
          <w:color w:val="000000" w:themeColor="text1"/>
          <w:sz w:val="22"/>
          <w:lang w:val="es-CO"/>
        </w:rPr>
        <w:lastRenderedPageBreak/>
        <w:t>ciclópeo, confinadas por bordillos y/o cunetas construidas sobre una base de afirmado y/o material seleccionado compactado</w:t>
      </w:r>
      <w:r>
        <w:rPr>
          <w:rFonts w:ascii="Arial" w:eastAsia="Calibri" w:hAnsi="Arial" w:cs="Arial"/>
          <w:color w:val="000000" w:themeColor="text1"/>
          <w:sz w:val="22"/>
          <w:lang w:val="es-CO"/>
        </w:rPr>
        <w:t>»</w:t>
      </w:r>
      <w:r w:rsidRPr="00893165">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Lo anterior en la medida que, siguiendo el ejemplo anterior, si bien en un tramo de 30 kilómetros es posible construir 60 kilómetros de placas huella (considerando cada franja que conforma la placa huella), la Matriz 1 de los Documentos Tipo de licitación solo permite calcular la experiencia específica respecto al primero, no sobre el segundo. En otras palabras, la «[…] l</w:t>
      </w:r>
      <w:r w:rsidRPr="00F50F9E">
        <w:rPr>
          <w:rFonts w:ascii="Arial" w:eastAsia="Calibri" w:hAnsi="Arial" w:cs="Arial"/>
          <w:color w:val="000000" w:themeColor="text1"/>
          <w:sz w:val="22"/>
          <w:lang w:val="es-CO"/>
        </w:rPr>
        <w:t>ongitud de vía a construir</w:t>
      </w:r>
      <w:r>
        <w:rPr>
          <w:rFonts w:ascii="Arial" w:eastAsia="Calibri" w:hAnsi="Arial" w:cs="Arial"/>
          <w:color w:val="000000" w:themeColor="text1"/>
          <w:sz w:val="22"/>
          <w:lang w:val="es-CO"/>
        </w:rPr>
        <w:t xml:space="preserve"> […]» no equivale a los kilómetros lineales de placa huella construidos sobre misma, sino a la longitud de la caracterización vial del proyecto; razón por la que, so pena de la alteración de las condiciones dispuestas en los documentos tipo, no es posible calcular el porcentaje para solicitar la experiencia específica sobre la longitud de las obras efectivamente ejecutadas en el tramo respectivo.  </w:t>
      </w:r>
      <w:r w:rsidR="008C0AF6">
        <w:rPr>
          <w:rFonts w:ascii="Arial" w:eastAsia="Calibri" w:hAnsi="Arial" w:cs="Arial"/>
          <w:color w:val="000000" w:themeColor="text1"/>
          <w:sz w:val="22"/>
          <w:lang w:val="es-CO"/>
        </w:rPr>
        <w:t xml:space="preserve"> </w:t>
      </w:r>
    </w:p>
    <w:p w14:paraId="21A1D996" w14:textId="23CD7EFF" w:rsidR="00FB0D40" w:rsidRPr="008E5296" w:rsidRDefault="008C0AF6" w:rsidP="00FB0D40">
      <w:pPr>
        <w:spacing w:after="120" w:line="276" w:lineRule="auto"/>
        <w:ind w:firstLine="708"/>
        <w:jc w:val="both"/>
        <w:rPr>
          <w:rFonts w:ascii="Arial" w:hAnsi="Arial" w:cs="Arial"/>
          <w:color w:val="000000" w:themeColor="text1"/>
          <w:sz w:val="22"/>
          <w:lang w:val="es-CO"/>
        </w:rPr>
      </w:pPr>
      <w:r>
        <w:rPr>
          <w:rFonts w:ascii="Arial" w:hAnsi="Arial" w:cs="Arial"/>
          <w:color w:val="000000" w:themeColor="text1"/>
          <w:sz w:val="22"/>
          <w:lang w:val="es-CO"/>
        </w:rPr>
        <w:t>En síntesis</w:t>
      </w:r>
      <w:r w:rsidR="00F0755F" w:rsidRPr="008E5296">
        <w:rPr>
          <w:rFonts w:ascii="Arial" w:hAnsi="Arial" w:cs="Arial"/>
          <w:color w:val="000000" w:themeColor="text1"/>
          <w:sz w:val="22"/>
          <w:lang w:val="es-CO"/>
        </w:rPr>
        <w:t xml:space="preserve">, la </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experiencia general</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 xml:space="preserve"> y la </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experiencia específica</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 xml:space="preserve"> </w:t>
      </w:r>
      <w:r w:rsidR="00F0755F">
        <w:rPr>
          <w:rFonts w:ascii="Arial" w:hAnsi="Arial" w:cs="Arial"/>
          <w:color w:val="000000" w:themeColor="text1"/>
          <w:sz w:val="22"/>
          <w:lang w:val="es-CO"/>
        </w:rPr>
        <w:t>requerida</w:t>
      </w:r>
      <w:r w:rsidR="00F0755F" w:rsidRPr="008E5296">
        <w:rPr>
          <w:rFonts w:ascii="Arial" w:hAnsi="Arial" w:cs="Arial"/>
          <w:color w:val="000000" w:themeColor="text1"/>
          <w:sz w:val="22"/>
          <w:lang w:val="es-CO"/>
        </w:rPr>
        <w:t xml:space="preserve"> es el resultado de aplicar los parámetros obligatorios fijados en los documentos tipo, de acuerdo con el tipo de infraestructura, la actividad a contratar y la cuantía del proceso de contratación</w:t>
      </w:r>
      <w:r w:rsidR="00F0755F">
        <w:rPr>
          <w:rFonts w:ascii="Arial" w:hAnsi="Arial" w:cs="Arial"/>
          <w:color w:val="000000" w:themeColor="text1"/>
          <w:sz w:val="22"/>
          <w:lang w:val="es-CO"/>
        </w:rPr>
        <w:t>. P</w:t>
      </w:r>
      <w:r w:rsidR="00F0755F" w:rsidRPr="008E5296">
        <w:rPr>
          <w:rFonts w:ascii="Arial" w:hAnsi="Arial" w:cs="Arial"/>
          <w:color w:val="000000" w:themeColor="text1"/>
          <w:sz w:val="22"/>
          <w:lang w:val="es-CO"/>
        </w:rPr>
        <w:t>or lo tanto, no podrá exigir actividades o cantidades distintas a las previstas en la «Matriz 1 – Experiencia»</w:t>
      </w:r>
      <w:r w:rsidR="00F0755F">
        <w:rPr>
          <w:rFonts w:ascii="Arial" w:hAnsi="Arial" w:cs="Arial"/>
          <w:color w:val="000000" w:themeColor="text1"/>
          <w:sz w:val="22"/>
          <w:lang w:val="es-CO"/>
        </w:rPr>
        <w:t xml:space="preserve"> o restringir a una actividad específica cuando dicho formato determine que la experiencia puede acreditarse mediante una de varias actividades. </w:t>
      </w:r>
    </w:p>
    <w:p w14:paraId="368673CD" w14:textId="0878D74C" w:rsidR="00904CD9" w:rsidRDefault="00F0755F" w:rsidP="00FB0D40">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lang w:val="es-CO"/>
        </w:rPr>
        <w:t>De esta forma</w:t>
      </w:r>
      <w:r>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w:t>
      </w:r>
      <w:r w:rsidR="00F803F1">
        <w:rPr>
          <w:rStyle w:val="normaltextrun"/>
          <w:rFonts w:ascii="Arial" w:hAnsi="Arial" w:cs="Arial"/>
          <w:color w:val="000000"/>
          <w:sz w:val="22"/>
          <w:shd w:val="clear" w:color="auto" w:fill="FFFFFF"/>
          <w:lang w:val="es-ES"/>
        </w:rPr>
        <w:t>í</w:t>
      </w:r>
      <w:r>
        <w:rPr>
          <w:rStyle w:val="normaltextrun"/>
          <w:rFonts w:ascii="Arial" w:hAnsi="Arial" w:cs="Arial"/>
          <w:color w:val="000000"/>
          <w:sz w:val="22"/>
          <w:shd w:val="clear" w:color="auto" w:fill="FFFFFF"/>
          <w:lang w:val="es-ES"/>
        </w:rPr>
        <w:t>fica.</w:t>
      </w:r>
    </w:p>
    <w:p w14:paraId="1EE82EB7" w14:textId="1A07298E" w:rsidR="00727EAE" w:rsidRPr="00503872" w:rsidRDefault="00727EAE" w:rsidP="00503872">
      <w:pPr>
        <w:spacing w:before="120" w:line="276" w:lineRule="auto"/>
        <w:ind w:firstLine="708"/>
        <w:jc w:val="both"/>
        <w:rPr>
          <w:rStyle w:val="normaltextrun"/>
          <w:rFonts w:ascii="Arial" w:hAnsi="Arial" w:cs="Arial"/>
          <w:sz w:val="22"/>
          <w:shd w:val="clear" w:color="auto" w:fill="FFFFFF"/>
        </w:rPr>
      </w:pPr>
      <w:r>
        <w:rPr>
          <w:rFonts w:ascii="Arial" w:hAnsi="Arial" w:cs="Arial"/>
          <w:sz w:val="22"/>
          <w:shd w:val="clear" w:color="auto" w:fill="FFFFFF"/>
        </w:rPr>
        <w:t>Para el procedimiento de licitación pública, e</w:t>
      </w:r>
      <w:r w:rsidRPr="00066821">
        <w:rPr>
          <w:rFonts w:ascii="Arial" w:hAnsi="Arial" w:cs="Arial"/>
          <w:sz w:val="22"/>
          <w:shd w:val="clear" w:color="auto" w:fill="FFFFFF"/>
        </w:rPr>
        <w:t xml:space="preserve">l artículo 2.2.1.2.6.1.4 del Decreto 1082 de 2015 </w:t>
      </w:r>
      <w:r>
        <w:rPr>
          <w:rFonts w:ascii="Arial" w:hAnsi="Arial" w:cs="Arial"/>
          <w:sz w:val="22"/>
          <w:shd w:val="clear" w:color="auto" w:fill="FFFFFF"/>
        </w:rPr>
        <w:t>dispone</w:t>
      </w:r>
      <w:r w:rsidRPr="00066821">
        <w:rPr>
          <w:rFonts w:ascii="Arial" w:hAnsi="Arial" w:cs="Arial"/>
          <w:sz w:val="22"/>
          <w:shd w:val="clear" w:color="auto" w:fill="FFFFFF"/>
        </w:rPr>
        <w:t xml:space="preserve"> la inalterabilidad de los Documentos Tipo, </w:t>
      </w:r>
      <w:r>
        <w:rPr>
          <w:rFonts w:ascii="Arial" w:hAnsi="Arial" w:cs="Arial"/>
          <w:sz w:val="22"/>
          <w:shd w:val="clear" w:color="auto" w:fill="FFFFFF"/>
        </w:rPr>
        <w:t>la cual</w:t>
      </w:r>
      <w:r w:rsidRPr="00066821">
        <w:rPr>
          <w:rFonts w:ascii="Arial" w:hAnsi="Arial" w:cs="Arial"/>
          <w:sz w:val="22"/>
          <w:shd w:val="clear" w:color="auto" w:fill="FFFFFF"/>
        </w:rPr>
        <w:t xml:space="preserve"> consiste en que las entidades estatales no pueden incluir o modificar en los </w:t>
      </w:r>
      <w:r w:rsidRPr="00066821">
        <w:rPr>
          <w:rFonts w:ascii="Arial" w:hAnsi="Arial" w:cs="Arial"/>
          <w:i/>
          <w:iCs/>
          <w:sz w:val="22"/>
          <w:shd w:val="clear" w:color="auto" w:fill="FFFFFF"/>
        </w:rPr>
        <w:t>Documentos del Proceso</w:t>
      </w:r>
      <w:r w:rsidRPr="00066821">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0DCB767B" w14:textId="77777777" w:rsidR="00FB0D40" w:rsidRPr="009735A5" w:rsidRDefault="00FB0D40" w:rsidP="00FB0D40">
      <w:pPr>
        <w:spacing w:line="276" w:lineRule="auto"/>
        <w:ind w:firstLine="708"/>
        <w:jc w:val="both"/>
        <w:rPr>
          <w:rFonts w:ascii="Arial" w:hAnsi="Arial" w:cs="Arial"/>
          <w:sz w:val="22"/>
          <w:lang w:val="es-CO"/>
        </w:rPr>
      </w:pPr>
    </w:p>
    <w:p w14:paraId="5F15466E" w14:textId="77777777" w:rsidR="00904CD9" w:rsidRPr="00BB0056" w:rsidRDefault="00904CD9" w:rsidP="00904CD9">
      <w:pPr>
        <w:pStyle w:val="Prrafodelista"/>
        <w:numPr>
          <w:ilvl w:val="0"/>
          <w:numId w:val="6"/>
        </w:numPr>
        <w:tabs>
          <w:tab w:val="left" w:pos="284"/>
        </w:tabs>
        <w:spacing w:line="276" w:lineRule="auto"/>
        <w:ind w:left="0" w:firstLine="0"/>
        <w:jc w:val="both"/>
        <w:rPr>
          <w:rFonts w:ascii="Arial" w:eastAsia="Calibri" w:hAnsi="Arial" w:cs="Arial"/>
          <w:sz w:val="22"/>
          <w:lang w:val="es-CO"/>
        </w:rPr>
      </w:pPr>
      <w:r w:rsidRPr="00BB0056">
        <w:rPr>
          <w:rFonts w:ascii="Arial" w:eastAsia="Calibri" w:hAnsi="Arial" w:cs="Arial"/>
          <w:b/>
          <w:sz w:val="22"/>
          <w:lang w:val="es-CO"/>
        </w:rPr>
        <w:t>Respuestas</w:t>
      </w:r>
    </w:p>
    <w:p w14:paraId="4E3BC453" w14:textId="77777777" w:rsidR="00904CD9" w:rsidRPr="00BB0056" w:rsidRDefault="00904CD9" w:rsidP="00904CD9">
      <w:pPr>
        <w:spacing w:line="276" w:lineRule="auto"/>
        <w:ind w:right="709"/>
        <w:jc w:val="both"/>
        <w:rPr>
          <w:rFonts w:ascii="Arial" w:eastAsia="Calibri" w:hAnsi="Arial" w:cs="Arial"/>
          <w:iCs/>
          <w:sz w:val="22"/>
          <w:lang w:val="es-CO"/>
        </w:rPr>
      </w:pPr>
    </w:p>
    <w:p w14:paraId="65E7803D" w14:textId="0A3048FE" w:rsidR="00904CD9" w:rsidRPr="00860B10" w:rsidRDefault="00E23732" w:rsidP="00860B10">
      <w:pPr>
        <w:tabs>
          <w:tab w:val="left" w:pos="426"/>
        </w:tabs>
        <w:ind w:left="709" w:right="709"/>
        <w:jc w:val="both"/>
        <w:rPr>
          <w:rFonts w:ascii="Arial" w:eastAsia="Calibri" w:hAnsi="Arial" w:cs="Arial"/>
          <w:sz w:val="22"/>
          <w:lang w:val="es-CO"/>
        </w:rPr>
      </w:pPr>
      <w:r w:rsidRPr="00E23732">
        <w:rPr>
          <w:rFonts w:ascii="Arial" w:hAnsi="Arial" w:cs="Arial"/>
          <w:sz w:val="21"/>
          <w:szCs w:val="21"/>
        </w:rPr>
        <w:t xml:space="preserve">i) «Si una Entidad Estatal (Alcaldía) va a ejecutar un proyecto de mejoramiento de vías terciarias dentro del Programa “Colombia Rural”, el cual consiste en la </w:t>
      </w:r>
      <w:r w:rsidRPr="00E23732">
        <w:rPr>
          <w:rFonts w:ascii="Arial" w:hAnsi="Arial" w:cs="Arial"/>
          <w:sz w:val="21"/>
          <w:szCs w:val="21"/>
        </w:rPr>
        <w:lastRenderedPageBreak/>
        <w:t>construcción de 500,00 Ml de PLACA HUELLAS y la Caracterización Vial es de 25 Km., ¿para acreditar el 50% de la longitud de vía a construir, debo aplicar sobre los 500,00 ML de Placa Huellas o sobre los 25 KM de Caracterización vial?»</w:t>
      </w:r>
      <w:r w:rsidR="00904CD9" w:rsidRPr="00BB0056">
        <w:rPr>
          <w:rFonts w:ascii="Arial" w:eastAsia="Calibri" w:hAnsi="Arial" w:cs="Arial"/>
          <w:sz w:val="21"/>
          <w:szCs w:val="21"/>
          <w:lang w:val="es-CO"/>
        </w:rPr>
        <w:t>.</w:t>
      </w:r>
    </w:p>
    <w:p w14:paraId="7D2F8710" w14:textId="77777777" w:rsidR="00904CD9" w:rsidRPr="00E768B7" w:rsidRDefault="00904CD9" w:rsidP="00860B10">
      <w:pPr>
        <w:spacing w:line="276" w:lineRule="auto"/>
        <w:ind w:right="709"/>
        <w:jc w:val="both"/>
        <w:rPr>
          <w:rFonts w:ascii="Arial" w:eastAsia="Calibri" w:hAnsi="Arial" w:cs="Arial"/>
          <w:sz w:val="22"/>
          <w:lang w:val="es-CO"/>
        </w:rPr>
      </w:pPr>
    </w:p>
    <w:p w14:paraId="2C5F55CD" w14:textId="77777777" w:rsidR="000E00A8" w:rsidRPr="00705FE1" w:rsidRDefault="000E00A8" w:rsidP="000E00A8">
      <w:pPr>
        <w:spacing w:after="120" w:line="276" w:lineRule="auto"/>
        <w:jc w:val="both"/>
        <w:rPr>
          <w:rFonts w:ascii="Arial" w:eastAsia="Calibri" w:hAnsi="Arial" w:cs="Arial"/>
          <w:color w:val="000000" w:themeColor="text1"/>
          <w:sz w:val="22"/>
          <w:lang w:val="es-CO"/>
        </w:rPr>
      </w:pPr>
      <w:bookmarkStart w:id="4" w:name="_Hlk57650395"/>
      <w:r>
        <w:rPr>
          <w:rFonts w:ascii="Arial" w:eastAsia="Calibri" w:hAnsi="Arial" w:cs="Arial"/>
          <w:sz w:val="22"/>
          <w:lang w:val="es-CO"/>
        </w:rPr>
        <w:t xml:space="preserve">Para efectos de la experiencia de los proponentes, </w:t>
      </w:r>
      <w:r>
        <w:rPr>
          <w:rFonts w:ascii="Arial" w:eastAsia="Calibri" w:hAnsi="Arial" w:cs="Arial"/>
          <w:color w:val="000000" w:themeColor="text1"/>
          <w:sz w:val="22"/>
          <w:lang w:val="es-CO"/>
        </w:rPr>
        <w:t xml:space="preserve">la longitud de la vía equivale al total de la caracterización vial en kilómetros lineales. En esta medida, </w:t>
      </w:r>
      <w:r>
        <w:rPr>
          <w:rFonts w:ascii="Arial" w:eastAsia="Calibri" w:hAnsi="Arial" w:cs="Arial"/>
          <w:sz w:val="22"/>
          <w:lang w:val="es-CO"/>
        </w:rPr>
        <w:t>tratándose de obras en placa huella</w:t>
      </w:r>
      <w:r>
        <w:rPr>
          <w:rFonts w:ascii="Arial" w:eastAsia="Calibri" w:hAnsi="Arial" w:cs="Arial"/>
          <w:color w:val="000000" w:themeColor="text1"/>
          <w:sz w:val="22"/>
          <w:lang w:val="es-CO"/>
        </w:rPr>
        <w:t xml:space="preserve">, no es posible calcular el porcentaje para solicitar la experiencia sobre la longitud de las obras efectivamente ejecutadas en el tramo respectivo (considerando cada longitud de la franja que conforma la placa huella), pues lo contrario implica una alteración de las condiciones estandarizadas en los «Documentos Tipo – Versión 2» para los procedimientos de licitación pública de infraestructura de transporte.   </w:t>
      </w:r>
    </w:p>
    <w:p w14:paraId="04EB7B65" w14:textId="606B7110" w:rsidR="000B3893" w:rsidRDefault="000E00A8" w:rsidP="000E00A8">
      <w:pPr>
        <w:spacing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 xml:space="preserve">Esta conclusión no solo se sustenta en la interpretación literal de la «Matriz 1 – Experiencia» sino también en las definiciones del «Anexo 3 – Glosario», el cual define la vía como «[…] </w:t>
      </w:r>
      <w:r w:rsidRPr="00F50F9E">
        <w:rPr>
          <w:rFonts w:ascii="Arial" w:eastAsia="Calibri" w:hAnsi="Arial" w:cs="Arial"/>
          <w:color w:val="000000" w:themeColor="text1"/>
          <w:sz w:val="22"/>
          <w:lang w:val="es-CO"/>
        </w:rPr>
        <w:t>la zona de la vía destinada a la circulación de vehículos, se define como franja de uso público o privado, abierta al público, destinada al tránsito de vehículos, personas y animales</w:t>
      </w:r>
      <w:r>
        <w:rPr>
          <w:rFonts w:ascii="Arial" w:eastAsia="Calibri" w:hAnsi="Arial" w:cs="Arial"/>
          <w:color w:val="000000" w:themeColor="text1"/>
          <w:sz w:val="22"/>
          <w:lang w:val="es-CO"/>
        </w:rPr>
        <w:t>». Por tanto, como la matriz se refiere exclusivamente a la «[…] l</w:t>
      </w:r>
      <w:r w:rsidRPr="00F50F9E">
        <w:rPr>
          <w:rFonts w:ascii="Arial" w:eastAsia="Calibri" w:hAnsi="Arial" w:cs="Arial"/>
          <w:color w:val="000000" w:themeColor="text1"/>
          <w:sz w:val="22"/>
          <w:lang w:val="es-CO"/>
        </w:rPr>
        <w:t>ongitud de vía a construir</w:t>
      </w:r>
      <w:r>
        <w:rPr>
          <w:rFonts w:ascii="Arial" w:eastAsia="Calibri" w:hAnsi="Arial" w:cs="Arial"/>
          <w:color w:val="000000" w:themeColor="text1"/>
          <w:sz w:val="22"/>
          <w:lang w:val="es-CO"/>
        </w:rPr>
        <w:t xml:space="preserve">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tramos o segmentos viales</w:t>
      </w:r>
      <w:r w:rsidR="000B3893">
        <w:rPr>
          <w:rFonts w:ascii="Arial" w:eastAsia="Calibri" w:hAnsi="Arial" w:cs="Arial"/>
          <w:color w:val="000000" w:themeColor="text1"/>
          <w:sz w:val="22"/>
          <w:lang w:val="es-CO"/>
        </w:rPr>
        <w:t>.</w:t>
      </w:r>
    </w:p>
    <w:p w14:paraId="3D93A9C9" w14:textId="77777777" w:rsidR="00E23732" w:rsidRPr="00BB0056" w:rsidRDefault="00E23732" w:rsidP="00E23732">
      <w:pPr>
        <w:spacing w:line="276" w:lineRule="auto"/>
        <w:ind w:right="709"/>
        <w:jc w:val="both"/>
        <w:rPr>
          <w:rFonts w:ascii="Arial" w:eastAsia="Calibri" w:hAnsi="Arial" w:cs="Arial"/>
          <w:iCs/>
          <w:sz w:val="22"/>
          <w:lang w:val="es-CO"/>
        </w:rPr>
      </w:pPr>
    </w:p>
    <w:p w14:paraId="64E554DD" w14:textId="4FB77844" w:rsidR="00E23732" w:rsidRPr="00860B10" w:rsidRDefault="00E23732" w:rsidP="00E23732">
      <w:pPr>
        <w:tabs>
          <w:tab w:val="left" w:pos="426"/>
        </w:tabs>
        <w:ind w:left="709" w:right="709"/>
        <w:jc w:val="both"/>
        <w:rPr>
          <w:rFonts w:ascii="Arial" w:eastAsia="Calibri" w:hAnsi="Arial" w:cs="Arial"/>
          <w:sz w:val="22"/>
          <w:lang w:val="es-CO"/>
        </w:rPr>
      </w:pPr>
      <w:proofErr w:type="spellStart"/>
      <w:r w:rsidRPr="00E23732">
        <w:rPr>
          <w:rFonts w:ascii="Arial" w:hAnsi="Arial" w:cs="Arial"/>
          <w:sz w:val="21"/>
          <w:szCs w:val="21"/>
        </w:rPr>
        <w:t>ii</w:t>
      </w:r>
      <w:proofErr w:type="spellEnd"/>
      <w:r w:rsidRPr="00E23732">
        <w:rPr>
          <w:rFonts w:ascii="Arial" w:hAnsi="Arial" w:cs="Arial"/>
          <w:sz w:val="21"/>
          <w:szCs w:val="21"/>
        </w:rPr>
        <w:t>) «Si los Contratos que se ejecutan de Infraestructura Vial la Unidad de Pago de Pavimento es M2 o M3; La Entidad Estatal (Alcaldía) al calificar el requerimiento del 50% de la longitud de vía a construir, ¿debe tomarlo en METROS LINEALES (ML) o puede ser calificado por METRO CUADRADO (M2) o METRO CÚBICO (M3) ?, ya que hay contratos que dentro de los documentos aportados (Certificación, Actas de Recibo final o Actas de Liquidación) NO se identifica la longitud de PAVIMENTO y tampoco anchos de vía o espesores para realizar las conversiones respectivas»</w:t>
      </w:r>
      <w:r w:rsidRPr="00BB0056">
        <w:rPr>
          <w:rFonts w:ascii="Arial" w:eastAsia="Calibri" w:hAnsi="Arial" w:cs="Arial"/>
          <w:sz w:val="21"/>
          <w:szCs w:val="21"/>
          <w:lang w:val="es-CO"/>
        </w:rPr>
        <w:t>.</w:t>
      </w:r>
    </w:p>
    <w:p w14:paraId="4CF5A21D" w14:textId="77777777" w:rsidR="00E23732" w:rsidRPr="00E768B7" w:rsidRDefault="00E23732" w:rsidP="00E23732">
      <w:pPr>
        <w:spacing w:line="276" w:lineRule="auto"/>
        <w:ind w:right="709"/>
        <w:jc w:val="both"/>
        <w:rPr>
          <w:rFonts w:ascii="Arial" w:eastAsia="Calibri" w:hAnsi="Arial" w:cs="Arial"/>
          <w:sz w:val="22"/>
          <w:lang w:val="es-CO"/>
        </w:rPr>
      </w:pPr>
    </w:p>
    <w:p w14:paraId="065907BC" w14:textId="43FB683D" w:rsidR="00E23732" w:rsidRPr="00705FE1" w:rsidRDefault="0049189C" w:rsidP="00E23732">
      <w:pPr>
        <w:spacing w:after="120" w:line="276" w:lineRule="auto"/>
        <w:jc w:val="both"/>
        <w:rPr>
          <w:rFonts w:ascii="Arial" w:eastAsia="Calibri" w:hAnsi="Arial" w:cs="Arial"/>
          <w:color w:val="000000" w:themeColor="text1"/>
          <w:sz w:val="22"/>
          <w:lang w:val="es-CO"/>
        </w:rPr>
      </w:pPr>
      <w:r>
        <w:rPr>
          <w:rFonts w:ascii="Arial" w:eastAsia="Calibri" w:hAnsi="Arial" w:cs="Arial"/>
          <w:sz w:val="22"/>
          <w:lang w:val="es-CO"/>
        </w:rPr>
        <w:t>S</w:t>
      </w:r>
      <w:r w:rsidR="00C9425D">
        <w:rPr>
          <w:rFonts w:ascii="Arial" w:eastAsia="Calibri" w:hAnsi="Arial" w:cs="Arial"/>
          <w:sz w:val="22"/>
          <w:lang w:val="es-CO"/>
        </w:rPr>
        <w:t>e reitera</w:t>
      </w:r>
      <w:r>
        <w:rPr>
          <w:rFonts w:ascii="Arial" w:eastAsia="Calibri" w:hAnsi="Arial" w:cs="Arial"/>
          <w:sz w:val="22"/>
          <w:lang w:val="es-CO"/>
        </w:rPr>
        <w:t xml:space="preserve"> que, para efectos de la experiencia solicitada en los «Documentos Tipo – Versión 2» de licitación de infraestructura de transporte, </w:t>
      </w:r>
      <w:r>
        <w:rPr>
          <w:rFonts w:ascii="Arial" w:eastAsia="Calibri" w:hAnsi="Arial" w:cs="Arial"/>
          <w:color w:val="000000" w:themeColor="text1"/>
          <w:sz w:val="22"/>
          <w:lang w:val="es-CO"/>
        </w:rPr>
        <w:t>la longitud de la vía equivale al total de la caracterización vial en kilómetros lineales, lo que excluye medidas de área</w:t>
      </w:r>
      <w:r w:rsidR="00AC65A4">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volumen </w:t>
      </w:r>
      <w:r w:rsidR="00AC65A4">
        <w:rPr>
          <w:rFonts w:ascii="Arial" w:eastAsia="Calibri" w:hAnsi="Arial" w:cs="Arial"/>
          <w:color w:val="000000" w:themeColor="text1"/>
          <w:sz w:val="22"/>
          <w:lang w:val="es-CO"/>
        </w:rPr>
        <w:t xml:space="preserve">o kilómetros-carril </w:t>
      </w:r>
      <w:r>
        <w:rPr>
          <w:rFonts w:ascii="Arial" w:eastAsia="Calibri" w:hAnsi="Arial" w:cs="Arial"/>
          <w:color w:val="000000" w:themeColor="text1"/>
          <w:sz w:val="22"/>
          <w:lang w:val="es-CO"/>
        </w:rPr>
        <w:t xml:space="preserve">para el cálculo de la misma. </w:t>
      </w:r>
      <w:r w:rsidR="00EC44C2">
        <w:rPr>
          <w:rFonts w:ascii="Arial" w:eastAsia="Calibri" w:hAnsi="Arial" w:cs="Arial"/>
          <w:color w:val="000000" w:themeColor="text1"/>
          <w:sz w:val="22"/>
          <w:lang w:val="es-CO"/>
        </w:rPr>
        <w:t>No obstante, si excepcionalmente no es posible determinar la longitud</w:t>
      </w:r>
      <w:r w:rsidR="00AC65A4">
        <w:rPr>
          <w:rFonts w:ascii="Arial" w:eastAsia="Calibri" w:hAnsi="Arial" w:cs="Arial"/>
          <w:color w:val="000000" w:themeColor="text1"/>
          <w:sz w:val="22"/>
          <w:lang w:val="es-CO"/>
        </w:rPr>
        <w:t xml:space="preserve"> a través de los documentos soporte</w:t>
      </w:r>
      <w:r w:rsidR="00EC44C2">
        <w:rPr>
          <w:rFonts w:ascii="Arial" w:eastAsia="Calibri" w:hAnsi="Arial" w:cs="Arial"/>
          <w:color w:val="000000" w:themeColor="text1"/>
          <w:sz w:val="22"/>
          <w:lang w:val="es-CO"/>
        </w:rPr>
        <w:t xml:space="preserve"> por la ausencia de información sobre las variables necesarias para determinar el número de kilómetros </w:t>
      </w:r>
      <w:r w:rsidR="00AC65A4">
        <w:rPr>
          <w:rFonts w:ascii="Arial" w:eastAsia="Calibri" w:hAnsi="Arial" w:cs="Arial"/>
          <w:color w:val="000000" w:themeColor="text1"/>
          <w:sz w:val="22"/>
          <w:lang w:val="es-CO"/>
        </w:rPr>
        <w:t>lineales</w:t>
      </w:r>
      <w:r w:rsidR="00EC44C2">
        <w:rPr>
          <w:rFonts w:ascii="Arial" w:eastAsia="Calibri" w:hAnsi="Arial" w:cs="Arial"/>
          <w:color w:val="000000" w:themeColor="text1"/>
          <w:sz w:val="22"/>
          <w:lang w:val="es-CO"/>
        </w:rPr>
        <w:t>, es necesario tener en cuenta que en los documentos de procedimiento de contratación se informa, como mínimo, el punto de inicio y finalización de las obras</w:t>
      </w:r>
      <w:r w:rsidR="00AC65A4">
        <w:rPr>
          <w:rFonts w:ascii="Arial" w:eastAsia="Calibri" w:hAnsi="Arial" w:cs="Arial"/>
          <w:color w:val="000000" w:themeColor="text1"/>
          <w:sz w:val="22"/>
          <w:lang w:val="es-CO"/>
        </w:rPr>
        <w:t xml:space="preserve">, el cual como caso generalizado en su gran mayoría se encuentra en el objeto contractual o </w:t>
      </w:r>
      <w:r w:rsidR="00AC65A4">
        <w:rPr>
          <w:rFonts w:ascii="Arial" w:eastAsia="Calibri" w:hAnsi="Arial" w:cs="Arial"/>
          <w:color w:val="000000" w:themeColor="text1"/>
          <w:sz w:val="22"/>
          <w:lang w:val="es-CO"/>
        </w:rPr>
        <w:lastRenderedPageBreak/>
        <w:t>alcance al mismo</w:t>
      </w:r>
      <w:r w:rsidR="00EC44C2">
        <w:rPr>
          <w:rFonts w:ascii="Arial" w:eastAsia="Calibri" w:hAnsi="Arial" w:cs="Arial"/>
          <w:color w:val="000000" w:themeColor="text1"/>
          <w:sz w:val="22"/>
          <w:lang w:val="es-CO"/>
        </w:rPr>
        <w:t xml:space="preserve">. Con </w:t>
      </w:r>
      <w:proofErr w:type="spellStart"/>
      <w:r w:rsidR="00EC44C2">
        <w:rPr>
          <w:rFonts w:ascii="Arial" w:eastAsia="Calibri" w:hAnsi="Arial" w:cs="Arial"/>
          <w:color w:val="000000" w:themeColor="text1"/>
          <w:sz w:val="22"/>
          <w:lang w:val="es-CO"/>
        </w:rPr>
        <w:t>lo</w:t>
      </w:r>
      <w:proofErr w:type="spellEnd"/>
      <w:r w:rsidR="00EC44C2">
        <w:rPr>
          <w:rFonts w:ascii="Arial" w:eastAsia="Calibri" w:hAnsi="Arial" w:cs="Arial"/>
          <w:color w:val="000000" w:themeColor="text1"/>
          <w:sz w:val="22"/>
          <w:lang w:val="es-CO"/>
        </w:rPr>
        <w:t xml:space="preserve"> datos del tramo correspondiente, es posible calcular </w:t>
      </w:r>
      <w:r w:rsidR="00BF0068">
        <w:rPr>
          <w:rFonts w:ascii="Arial" w:eastAsia="Calibri" w:hAnsi="Arial" w:cs="Arial"/>
          <w:color w:val="000000" w:themeColor="text1"/>
          <w:sz w:val="22"/>
          <w:lang w:val="es-CO"/>
        </w:rPr>
        <w:t>la distancia entre uno y otro</w:t>
      </w:r>
      <w:r w:rsidR="00EC44C2">
        <w:rPr>
          <w:rFonts w:ascii="Arial" w:eastAsia="Calibri" w:hAnsi="Arial" w:cs="Arial"/>
          <w:color w:val="000000" w:themeColor="text1"/>
          <w:sz w:val="22"/>
          <w:lang w:val="es-CO"/>
        </w:rPr>
        <w:t xml:space="preserve"> con ayuda</w:t>
      </w:r>
      <w:r w:rsidR="00AC65A4">
        <w:rPr>
          <w:rFonts w:ascii="Arial" w:eastAsia="Calibri" w:hAnsi="Arial" w:cs="Arial"/>
          <w:color w:val="000000" w:themeColor="text1"/>
          <w:sz w:val="22"/>
          <w:lang w:val="es-CO"/>
        </w:rPr>
        <w:t xml:space="preserve"> de sistemas de información geográfico (SIG) como es el caso del aplicativo </w:t>
      </w:r>
      <w:r w:rsidR="00EC44C2">
        <w:rPr>
          <w:rFonts w:ascii="Arial" w:eastAsia="Calibri" w:hAnsi="Arial" w:cs="Arial"/>
          <w:color w:val="000000" w:themeColor="text1"/>
          <w:sz w:val="22"/>
          <w:lang w:val="es-CO"/>
        </w:rPr>
        <w:t>dispuest</w:t>
      </w:r>
      <w:r w:rsidR="0035216C">
        <w:rPr>
          <w:rFonts w:ascii="Arial" w:eastAsia="Calibri" w:hAnsi="Arial" w:cs="Arial"/>
          <w:color w:val="000000" w:themeColor="text1"/>
          <w:sz w:val="22"/>
          <w:lang w:val="es-CO"/>
        </w:rPr>
        <w:t>o</w:t>
      </w:r>
      <w:r w:rsidR="00EC44C2">
        <w:rPr>
          <w:rFonts w:ascii="Arial" w:eastAsia="Calibri" w:hAnsi="Arial" w:cs="Arial"/>
          <w:color w:val="000000" w:themeColor="text1"/>
          <w:sz w:val="22"/>
          <w:lang w:val="es-CO"/>
        </w:rPr>
        <w:t xml:space="preserve"> por el INVIAS en la página web </w:t>
      </w:r>
      <w:hyperlink r:id="rId11" w:history="1">
        <w:r w:rsidR="00BF0068" w:rsidRPr="00BF0068">
          <w:rPr>
            <w:rStyle w:val="Hipervnculo"/>
            <w:rFonts w:ascii="Arial" w:eastAsia="Calibri" w:hAnsi="Arial" w:cs="Arial"/>
            <w:color w:val="0E63A8" w:themeColor="text2"/>
            <w:sz w:val="22"/>
            <w:lang w:val="es-CO"/>
          </w:rPr>
          <w:t>https://hermes.invias.gov.co/carreteras/</w:t>
        </w:r>
      </w:hyperlink>
      <w:r w:rsidR="00AC65A4">
        <w:rPr>
          <w:rFonts w:ascii="Arial" w:eastAsia="Calibri" w:hAnsi="Arial" w:cs="Arial"/>
          <w:color w:val="000000" w:themeColor="text1"/>
          <w:sz w:val="22"/>
          <w:lang w:val="es-CO"/>
        </w:rPr>
        <w:t xml:space="preserve">, entre otros visores de mapas que puedan permitir establecer la dimensión lineal de la infraestructura carretera en el país. </w:t>
      </w:r>
      <w:r w:rsidR="00BF0068">
        <w:rPr>
          <w:rFonts w:ascii="Arial" w:eastAsia="Calibri" w:hAnsi="Arial" w:cs="Arial"/>
          <w:color w:val="000000" w:themeColor="text1"/>
          <w:sz w:val="22"/>
          <w:lang w:val="es-CO"/>
        </w:rPr>
        <w:t xml:space="preserve"> </w:t>
      </w:r>
      <w:r w:rsidR="00EC44C2">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  </w:t>
      </w:r>
      <w:r w:rsidR="00E23732">
        <w:rPr>
          <w:rFonts w:ascii="Arial" w:eastAsia="Calibri" w:hAnsi="Arial" w:cs="Arial"/>
          <w:color w:val="000000" w:themeColor="text1"/>
          <w:sz w:val="22"/>
          <w:lang w:val="es-CO"/>
        </w:rPr>
        <w:t xml:space="preserve">   </w:t>
      </w:r>
    </w:p>
    <w:bookmarkEnd w:id="4"/>
    <w:p w14:paraId="1CE87560" w14:textId="77777777" w:rsidR="000B3893" w:rsidRPr="000B3893" w:rsidRDefault="000B3893" w:rsidP="00E23732">
      <w:pPr>
        <w:spacing w:line="276" w:lineRule="auto"/>
        <w:jc w:val="both"/>
        <w:rPr>
          <w:rFonts w:ascii="Arial" w:eastAsia="Calibri" w:hAnsi="Arial" w:cs="Arial"/>
          <w:color w:val="000000" w:themeColor="text1"/>
          <w:sz w:val="22"/>
          <w:lang w:val="es-CO"/>
        </w:rPr>
      </w:pPr>
    </w:p>
    <w:p w14:paraId="00CE8453" w14:textId="77777777" w:rsidR="00904CD9" w:rsidRPr="00BB0056" w:rsidRDefault="00904CD9" w:rsidP="00904CD9">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 lo Contencioso Administrativo.</w:t>
      </w:r>
    </w:p>
    <w:p w14:paraId="0DB72472" w14:textId="77777777" w:rsidR="00904CD9" w:rsidRPr="00BB0056" w:rsidRDefault="00904CD9" w:rsidP="00904CD9">
      <w:pPr>
        <w:jc w:val="both"/>
        <w:rPr>
          <w:rFonts w:ascii="Arial" w:eastAsia="Calibri" w:hAnsi="Arial" w:cs="Arial"/>
          <w:sz w:val="22"/>
          <w:lang w:val="es-CO"/>
        </w:rPr>
      </w:pPr>
      <w:r w:rsidRPr="00BB0056">
        <w:rPr>
          <w:noProof/>
          <w:lang w:val="es-CO"/>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72EB9A"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5FDD70C" w14:textId="77777777" w:rsidR="00904CD9" w:rsidRPr="00BB0056" w:rsidRDefault="00904CD9" w:rsidP="00904CD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362FBE17" w14:textId="77777777" w:rsidR="00904CD9" w:rsidRPr="00BB0056" w:rsidRDefault="00904CD9" w:rsidP="00904CD9">
      <w:pPr>
        <w:rPr>
          <w:rFonts w:ascii="Arial" w:eastAsia="Times New Roman" w:hAnsi="Arial" w:cs="Arial"/>
          <w:sz w:val="22"/>
          <w:lang w:val="es-CO" w:eastAsia="es-CO"/>
        </w:rPr>
      </w:pPr>
    </w:p>
    <w:p w14:paraId="609C4887" w14:textId="52EC30EF" w:rsidR="00904CD9" w:rsidRPr="00BB0056" w:rsidRDefault="003C7DFA" w:rsidP="00904CD9">
      <w:pPr>
        <w:jc w:val="center"/>
        <w:rPr>
          <w:rFonts w:ascii="Arial" w:eastAsia="Times New Roman" w:hAnsi="Arial" w:cs="Arial"/>
          <w:sz w:val="22"/>
          <w:lang w:val="es-CO" w:eastAsia="es-CO"/>
        </w:rPr>
      </w:pPr>
      <w:r>
        <w:rPr>
          <w:noProof/>
        </w:rPr>
        <w:drawing>
          <wp:inline distT="0" distB="0" distL="0" distR="0" wp14:anchorId="21F92B57" wp14:editId="6F007FE5">
            <wp:extent cx="2514600" cy="111442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r w:rsidR="00904CD9" w:rsidRPr="00BB0056">
        <w:rPr>
          <w:noProof/>
          <w:lang w:val="es-CO"/>
        </w:rPr>
        <w:t xml:space="preserve"> </w:t>
      </w:r>
    </w:p>
    <w:p w14:paraId="66974A84" w14:textId="77777777" w:rsidR="00904CD9" w:rsidRPr="00BB0056" w:rsidRDefault="00904CD9" w:rsidP="00904CD9">
      <w:pPr>
        <w:rPr>
          <w:rFonts w:ascii="Arial" w:eastAsia="Times New Roman" w:hAnsi="Arial" w:cs="Arial"/>
          <w:sz w:val="22"/>
          <w:lang w:val="es-CO" w:eastAsia="es-CO"/>
        </w:rPr>
      </w:pPr>
    </w:p>
    <w:p w14:paraId="5512A43C" w14:textId="77777777" w:rsidR="00904CD9" w:rsidRPr="00BB0056" w:rsidRDefault="00904CD9" w:rsidP="00904CD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4CD9" w:rsidRPr="00BB0056" w14:paraId="2464DB35" w14:textId="77777777" w:rsidTr="00C67675">
        <w:trPr>
          <w:trHeight w:val="315"/>
        </w:trPr>
        <w:tc>
          <w:tcPr>
            <w:tcW w:w="488" w:type="dxa"/>
            <w:vAlign w:val="center"/>
            <w:hideMark/>
          </w:tcPr>
          <w:p w14:paraId="47337C6B"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1D3900EC"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 xml:space="preserve">Juan David Montoya Penagos </w:t>
            </w:r>
          </w:p>
          <w:p w14:paraId="2EE50E5D"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904CD9" w:rsidRPr="00BB0056" w14:paraId="29969DA1" w14:textId="77777777" w:rsidTr="00C67675">
        <w:trPr>
          <w:trHeight w:val="330"/>
        </w:trPr>
        <w:tc>
          <w:tcPr>
            <w:tcW w:w="488" w:type="dxa"/>
            <w:vAlign w:val="center"/>
            <w:hideMark/>
          </w:tcPr>
          <w:p w14:paraId="4C3A366D"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E62EDF" w14:textId="77777777" w:rsidR="000F6869" w:rsidRPr="00BB0056" w:rsidRDefault="000F6869" w:rsidP="000F6869">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0EAE5406" w14:textId="77777777" w:rsidR="00904CD9" w:rsidRDefault="000F6869" w:rsidP="000F6869">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Pr>
                <w:rFonts w:ascii="Arial" w:eastAsia="Times New Roman" w:hAnsi="Arial" w:cs="Arial"/>
                <w:sz w:val="16"/>
                <w:szCs w:val="16"/>
                <w:lang w:val="es-CO" w:eastAsia="es-ES"/>
              </w:rPr>
              <w:t xml:space="preserve"> ANCP – CCE</w:t>
            </w:r>
          </w:p>
          <w:p w14:paraId="17136D73" w14:textId="77777777" w:rsidR="00B243F7" w:rsidRPr="00485F24" w:rsidRDefault="00B243F7" w:rsidP="00B243F7">
            <w:pPr>
              <w:rPr>
                <w:rFonts w:ascii="Arial" w:eastAsia="Times New Roman" w:hAnsi="Arial" w:cs="Arial"/>
                <w:sz w:val="16"/>
                <w:szCs w:val="16"/>
                <w:lang w:val="es-CO" w:eastAsia="es-ES"/>
              </w:rPr>
            </w:pPr>
            <w:r w:rsidRPr="00485F24">
              <w:rPr>
                <w:rFonts w:ascii="Arial" w:eastAsia="Times New Roman" w:hAnsi="Arial" w:cs="Arial"/>
                <w:sz w:val="16"/>
                <w:szCs w:val="16"/>
                <w:lang w:val="es-CO" w:eastAsia="es-ES"/>
              </w:rPr>
              <w:t>Karlo Fernández Cala</w:t>
            </w:r>
          </w:p>
          <w:p w14:paraId="69241DC2" w14:textId="430B24C2" w:rsidR="00B243F7" w:rsidRPr="00B243F7" w:rsidRDefault="00B243F7" w:rsidP="000F6869">
            <w:pPr>
              <w:rPr>
                <w:rFonts w:ascii="Arial" w:eastAsia="Times New Roman" w:hAnsi="Arial" w:cs="Arial"/>
                <w:sz w:val="14"/>
                <w:szCs w:val="14"/>
                <w:lang w:eastAsia="es-ES"/>
              </w:rPr>
            </w:pPr>
            <w:r w:rsidRPr="00485F24">
              <w:rPr>
                <w:rFonts w:ascii="Arial" w:eastAsia="Times New Roman" w:hAnsi="Arial" w:cs="Arial"/>
                <w:sz w:val="16"/>
                <w:szCs w:val="16"/>
                <w:lang w:val="es-CO" w:eastAsia="es-ES"/>
              </w:rPr>
              <w:t>Gestor T1-15 de la Dirección General</w:t>
            </w:r>
            <w:r w:rsidRPr="002429B4">
              <w:rPr>
                <w:rFonts w:ascii="Arial" w:eastAsia="Times New Roman" w:hAnsi="Arial" w:cs="Arial"/>
                <w:sz w:val="14"/>
                <w:szCs w:val="14"/>
                <w:lang w:eastAsia="es-ES"/>
              </w:rPr>
              <w:t xml:space="preserve"> </w:t>
            </w:r>
          </w:p>
        </w:tc>
      </w:tr>
      <w:tr w:rsidR="00904CD9" w:rsidRPr="00BB0056" w14:paraId="7602497E" w14:textId="77777777" w:rsidTr="00C67675">
        <w:trPr>
          <w:trHeight w:val="300"/>
        </w:trPr>
        <w:tc>
          <w:tcPr>
            <w:tcW w:w="488" w:type="dxa"/>
            <w:vAlign w:val="center"/>
            <w:hideMark/>
          </w:tcPr>
          <w:p w14:paraId="1229F086"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FCFFA5"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1DE85B46" w14:textId="7E9D2E4D"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sidR="00720966">
              <w:rPr>
                <w:rFonts w:ascii="Arial" w:eastAsia="Times New Roman" w:hAnsi="Arial" w:cs="Arial"/>
                <w:sz w:val="16"/>
                <w:szCs w:val="16"/>
                <w:lang w:val="es-CO" w:eastAsia="es-ES"/>
              </w:rPr>
              <w:t xml:space="preserve"> ANCP – CCE</w:t>
            </w:r>
          </w:p>
        </w:tc>
      </w:tr>
    </w:tbl>
    <w:p w14:paraId="50CA6866" w14:textId="77777777" w:rsidR="00904CD9" w:rsidRPr="00BB0056" w:rsidRDefault="00904CD9" w:rsidP="00904CD9">
      <w:pPr>
        <w:jc w:val="both"/>
        <w:rPr>
          <w:rFonts w:ascii="Arial" w:eastAsia="Calibri" w:hAnsi="Arial" w:cs="Arial"/>
          <w:sz w:val="22"/>
          <w:lang w:val="es-CO"/>
        </w:rPr>
      </w:pPr>
    </w:p>
    <w:p w14:paraId="0013F430" w14:textId="77777777" w:rsidR="00904CD9" w:rsidRPr="00BB0056" w:rsidRDefault="00904CD9" w:rsidP="00904CD9">
      <w:pPr>
        <w:rPr>
          <w:lang w:val="es-CO"/>
        </w:rPr>
      </w:pPr>
    </w:p>
    <w:p w14:paraId="7EBF297E" w14:textId="77777777" w:rsidR="007B0854" w:rsidRPr="00904CD9" w:rsidRDefault="007B0854" w:rsidP="00904CD9"/>
    <w:sectPr w:rsidR="007B0854" w:rsidRPr="00904CD9"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283D2" w14:textId="77777777" w:rsidR="00D9054B" w:rsidRDefault="00D9054B">
      <w:r>
        <w:separator/>
      </w:r>
    </w:p>
  </w:endnote>
  <w:endnote w:type="continuationSeparator" w:id="0">
    <w:p w14:paraId="45B191F2" w14:textId="77777777" w:rsidR="00D9054B" w:rsidRDefault="00D9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D1CB" w14:textId="1AB2AE8F" w:rsidR="00C67675" w:rsidRDefault="00C67675" w:rsidP="00B6444C">
    <w:pPr>
      <w:pStyle w:val="Sinespaciado"/>
      <w:rPr>
        <w:rFonts w:ascii="Arial" w:hAnsi="Arial" w:cs="Arial"/>
        <w:sz w:val="18"/>
        <w:szCs w:val="18"/>
      </w:rPr>
    </w:pPr>
  </w:p>
  <w:p w14:paraId="53DF6B5B" w14:textId="77777777" w:rsidR="00C67675" w:rsidRDefault="00C67675" w:rsidP="00B6444C">
    <w:pPr>
      <w:pStyle w:val="Sinespaciado"/>
      <w:rPr>
        <w:rFonts w:ascii="Arial" w:hAnsi="Arial" w:cs="Arial"/>
        <w:sz w:val="18"/>
        <w:szCs w:val="18"/>
      </w:rPr>
    </w:pPr>
  </w:p>
  <w:p w14:paraId="312C4A14" w14:textId="6A24D930" w:rsidR="00C67675" w:rsidRPr="005A79FE" w:rsidRDefault="00C67675"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4A5E79D2" w:rsidR="00C67675" w:rsidRDefault="00C67675" w:rsidP="007B0854">
    <w:pPr>
      <w:pStyle w:val="Piedepgina"/>
      <w:jc w:val="center"/>
      <w:rPr>
        <w:lang w:val="es-ES"/>
      </w:rPr>
    </w:pPr>
    <w:r>
      <w:rPr>
        <w:noProof/>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C67675" w:rsidRDefault="00C67675" w:rsidP="007B0854">
    <w:pPr>
      <w:pStyle w:val="Piedepgina"/>
      <w:jc w:val="center"/>
      <w:rPr>
        <w:lang w:val="es-ES"/>
      </w:rPr>
    </w:pPr>
  </w:p>
  <w:p w14:paraId="645768A8" w14:textId="77777777" w:rsidR="00C67675" w:rsidRPr="007B0854" w:rsidRDefault="00C67675"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DD78D" w14:textId="77777777" w:rsidR="00D9054B" w:rsidRDefault="00D9054B">
      <w:r>
        <w:separator/>
      </w:r>
    </w:p>
  </w:footnote>
  <w:footnote w:type="continuationSeparator" w:id="0">
    <w:p w14:paraId="155886E8" w14:textId="77777777" w:rsidR="00D9054B" w:rsidRDefault="00D9054B">
      <w:r>
        <w:continuationSeparator/>
      </w:r>
    </w:p>
  </w:footnote>
  <w:footnote w:id="1">
    <w:p w14:paraId="58AE16A2" w14:textId="77777777" w:rsidR="00843BC4" w:rsidRPr="00BC1ADF" w:rsidRDefault="00843BC4" w:rsidP="00843BC4">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footnote>
  <w:footnote w:id="2">
    <w:p w14:paraId="29A73505" w14:textId="77777777" w:rsidR="00843BC4" w:rsidRPr="00146D26" w:rsidRDefault="00843BC4" w:rsidP="00843BC4">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footnote>
  <w:footnote w:id="3">
    <w:p w14:paraId="0EA9D770" w14:textId="77777777" w:rsidR="00843BC4" w:rsidRPr="0016135D" w:rsidRDefault="00843BC4" w:rsidP="00843BC4">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footnote>
  <w:footnote w:id="4">
    <w:p w14:paraId="24BA9644" w14:textId="77777777" w:rsidR="00843BC4" w:rsidRPr="0016135D" w:rsidRDefault="00843BC4" w:rsidP="00843BC4">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footnote>
  <w:footnote w:id="5">
    <w:p w14:paraId="2523797C" w14:textId="77777777" w:rsidR="00843BC4" w:rsidRPr="00270009" w:rsidRDefault="00843BC4" w:rsidP="00843BC4">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CF84829" w14:textId="77777777" w:rsidR="00843BC4" w:rsidRPr="00270009" w:rsidRDefault="00843BC4" w:rsidP="00843BC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BF53CFD" w14:textId="77777777" w:rsidR="00843BC4" w:rsidRPr="00270009" w:rsidRDefault="00843BC4" w:rsidP="00843BC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A31858F" w14:textId="77777777" w:rsidR="00843BC4" w:rsidRPr="00270009" w:rsidRDefault="00843BC4" w:rsidP="00843BC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8DD9C02" w14:textId="77777777" w:rsidR="00843BC4" w:rsidRPr="00146D26" w:rsidRDefault="00843BC4" w:rsidP="00843BC4">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C67675" w:rsidRDefault="00C67675">
    <w:pPr>
      <w:pStyle w:val="Encabezado"/>
    </w:pPr>
  </w:p>
  <w:p w14:paraId="6A4C7F2C" w14:textId="7D093DBB" w:rsidR="00C67675" w:rsidRDefault="00C67675">
    <w:pPr>
      <w:pStyle w:val="Encabezado"/>
    </w:pPr>
  </w:p>
  <w:p w14:paraId="055F2E1F" w14:textId="0B935ADD" w:rsidR="00C67675" w:rsidRDefault="00C67675">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C67675" w:rsidRDefault="00C67675">
    <w:pPr>
      <w:pStyle w:val="Encabezado"/>
    </w:pPr>
  </w:p>
  <w:p w14:paraId="3D323BDB" w14:textId="04AF0DE6" w:rsidR="00C67675" w:rsidRDefault="00C67675">
    <w:pPr>
      <w:pStyle w:val="Encabezado"/>
    </w:pPr>
  </w:p>
  <w:p w14:paraId="6520770B" w14:textId="18EB07B5" w:rsidR="00C67675" w:rsidRDefault="00C676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9"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
    <w:lvlOverride w:ilvl="0">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0645E"/>
    <w:rsid w:val="000126BB"/>
    <w:rsid w:val="00012A1B"/>
    <w:rsid w:val="000136DC"/>
    <w:rsid w:val="00016F33"/>
    <w:rsid w:val="00016FAC"/>
    <w:rsid w:val="0001726A"/>
    <w:rsid w:val="0001795B"/>
    <w:rsid w:val="00020801"/>
    <w:rsid w:val="00024BE5"/>
    <w:rsid w:val="00026AD9"/>
    <w:rsid w:val="000271AD"/>
    <w:rsid w:val="00027940"/>
    <w:rsid w:val="00027F74"/>
    <w:rsid w:val="000303EC"/>
    <w:rsid w:val="000365C0"/>
    <w:rsid w:val="00037112"/>
    <w:rsid w:val="00037BF5"/>
    <w:rsid w:val="000503A1"/>
    <w:rsid w:val="00056024"/>
    <w:rsid w:val="00057953"/>
    <w:rsid w:val="0006293E"/>
    <w:rsid w:val="0006625D"/>
    <w:rsid w:val="00070770"/>
    <w:rsid w:val="00070A22"/>
    <w:rsid w:val="00071D6E"/>
    <w:rsid w:val="0007590A"/>
    <w:rsid w:val="00080D35"/>
    <w:rsid w:val="00081AF3"/>
    <w:rsid w:val="0008260E"/>
    <w:rsid w:val="00084DC0"/>
    <w:rsid w:val="00085CC3"/>
    <w:rsid w:val="00087888"/>
    <w:rsid w:val="000939E0"/>
    <w:rsid w:val="00093D35"/>
    <w:rsid w:val="000942EB"/>
    <w:rsid w:val="0009651A"/>
    <w:rsid w:val="00096EAB"/>
    <w:rsid w:val="0009712F"/>
    <w:rsid w:val="000972BA"/>
    <w:rsid w:val="000A15CB"/>
    <w:rsid w:val="000A1B81"/>
    <w:rsid w:val="000A2C01"/>
    <w:rsid w:val="000A5189"/>
    <w:rsid w:val="000A668C"/>
    <w:rsid w:val="000A7E46"/>
    <w:rsid w:val="000B103F"/>
    <w:rsid w:val="000B1C28"/>
    <w:rsid w:val="000B3893"/>
    <w:rsid w:val="000B4FC6"/>
    <w:rsid w:val="000B53D0"/>
    <w:rsid w:val="000C0B7C"/>
    <w:rsid w:val="000C2DD2"/>
    <w:rsid w:val="000C6347"/>
    <w:rsid w:val="000D0AFA"/>
    <w:rsid w:val="000E00A8"/>
    <w:rsid w:val="000E1761"/>
    <w:rsid w:val="000E1F13"/>
    <w:rsid w:val="000E68FA"/>
    <w:rsid w:val="000E6962"/>
    <w:rsid w:val="000E6D84"/>
    <w:rsid w:val="000F14E8"/>
    <w:rsid w:val="000F3B04"/>
    <w:rsid w:val="000F6869"/>
    <w:rsid w:val="000F7AE4"/>
    <w:rsid w:val="001015E9"/>
    <w:rsid w:val="001017F1"/>
    <w:rsid w:val="00102AA1"/>
    <w:rsid w:val="00103915"/>
    <w:rsid w:val="00103D3D"/>
    <w:rsid w:val="001065D1"/>
    <w:rsid w:val="00106B75"/>
    <w:rsid w:val="001112CF"/>
    <w:rsid w:val="00111438"/>
    <w:rsid w:val="00111636"/>
    <w:rsid w:val="00112192"/>
    <w:rsid w:val="00112D2F"/>
    <w:rsid w:val="00114236"/>
    <w:rsid w:val="001152BA"/>
    <w:rsid w:val="0011561C"/>
    <w:rsid w:val="001170AB"/>
    <w:rsid w:val="001214FF"/>
    <w:rsid w:val="001229C6"/>
    <w:rsid w:val="00122B23"/>
    <w:rsid w:val="00124E73"/>
    <w:rsid w:val="00124EC3"/>
    <w:rsid w:val="00125291"/>
    <w:rsid w:val="00125D4C"/>
    <w:rsid w:val="0012754A"/>
    <w:rsid w:val="0013236F"/>
    <w:rsid w:val="001332D0"/>
    <w:rsid w:val="001344AA"/>
    <w:rsid w:val="00137BA1"/>
    <w:rsid w:val="00137FFA"/>
    <w:rsid w:val="001425C5"/>
    <w:rsid w:val="001448B5"/>
    <w:rsid w:val="00146E1D"/>
    <w:rsid w:val="00152609"/>
    <w:rsid w:val="0015382E"/>
    <w:rsid w:val="001550CF"/>
    <w:rsid w:val="001554A4"/>
    <w:rsid w:val="00156DAF"/>
    <w:rsid w:val="0016135A"/>
    <w:rsid w:val="0016149E"/>
    <w:rsid w:val="00161D78"/>
    <w:rsid w:val="00165EA8"/>
    <w:rsid w:val="0016680A"/>
    <w:rsid w:val="00167B9D"/>
    <w:rsid w:val="00167F0C"/>
    <w:rsid w:val="00170733"/>
    <w:rsid w:val="00172E0A"/>
    <w:rsid w:val="00174107"/>
    <w:rsid w:val="001755EC"/>
    <w:rsid w:val="00175795"/>
    <w:rsid w:val="00177BAA"/>
    <w:rsid w:val="00180B3B"/>
    <w:rsid w:val="00184E93"/>
    <w:rsid w:val="001900CF"/>
    <w:rsid w:val="001918D6"/>
    <w:rsid w:val="001939B7"/>
    <w:rsid w:val="001963C6"/>
    <w:rsid w:val="0019745D"/>
    <w:rsid w:val="001A08F7"/>
    <w:rsid w:val="001A0DF1"/>
    <w:rsid w:val="001A0EC0"/>
    <w:rsid w:val="001A27D7"/>
    <w:rsid w:val="001A3721"/>
    <w:rsid w:val="001A387A"/>
    <w:rsid w:val="001B2EA0"/>
    <w:rsid w:val="001B3306"/>
    <w:rsid w:val="001B464A"/>
    <w:rsid w:val="001B4A46"/>
    <w:rsid w:val="001B528A"/>
    <w:rsid w:val="001B53B4"/>
    <w:rsid w:val="001B6044"/>
    <w:rsid w:val="001B686F"/>
    <w:rsid w:val="001B7618"/>
    <w:rsid w:val="001B7DEA"/>
    <w:rsid w:val="001C219D"/>
    <w:rsid w:val="001C33CB"/>
    <w:rsid w:val="001C722C"/>
    <w:rsid w:val="001D172E"/>
    <w:rsid w:val="001D5E4D"/>
    <w:rsid w:val="001E0042"/>
    <w:rsid w:val="001E008B"/>
    <w:rsid w:val="001E0545"/>
    <w:rsid w:val="001E0849"/>
    <w:rsid w:val="001E1A13"/>
    <w:rsid w:val="001E453C"/>
    <w:rsid w:val="001F140A"/>
    <w:rsid w:val="001F1AFA"/>
    <w:rsid w:val="001F2AD0"/>
    <w:rsid w:val="001F3D53"/>
    <w:rsid w:val="001F416A"/>
    <w:rsid w:val="001F6AAC"/>
    <w:rsid w:val="001F790E"/>
    <w:rsid w:val="002005CC"/>
    <w:rsid w:val="00203F1A"/>
    <w:rsid w:val="00204114"/>
    <w:rsid w:val="00204C65"/>
    <w:rsid w:val="002059AF"/>
    <w:rsid w:val="002135F3"/>
    <w:rsid w:val="002146C0"/>
    <w:rsid w:val="00216F1A"/>
    <w:rsid w:val="0021759E"/>
    <w:rsid w:val="00220CE5"/>
    <w:rsid w:val="002215FF"/>
    <w:rsid w:val="002236DB"/>
    <w:rsid w:val="00224570"/>
    <w:rsid w:val="0022655C"/>
    <w:rsid w:val="00233A24"/>
    <w:rsid w:val="0023484E"/>
    <w:rsid w:val="00234B84"/>
    <w:rsid w:val="00235EAA"/>
    <w:rsid w:val="00237329"/>
    <w:rsid w:val="002416BA"/>
    <w:rsid w:val="002457FD"/>
    <w:rsid w:val="00245C7E"/>
    <w:rsid w:val="00250718"/>
    <w:rsid w:val="00251445"/>
    <w:rsid w:val="00253276"/>
    <w:rsid w:val="00253C1D"/>
    <w:rsid w:val="00254319"/>
    <w:rsid w:val="002563B9"/>
    <w:rsid w:val="0025685E"/>
    <w:rsid w:val="0025768C"/>
    <w:rsid w:val="00265C96"/>
    <w:rsid w:val="00265CEB"/>
    <w:rsid w:val="00265ED0"/>
    <w:rsid w:val="00266E0C"/>
    <w:rsid w:val="00270234"/>
    <w:rsid w:val="0027071C"/>
    <w:rsid w:val="00272C62"/>
    <w:rsid w:val="00275701"/>
    <w:rsid w:val="00276521"/>
    <w:rsid w:val="00283380"/>
    <w:rsid w:val="00284F66"/>
    <w:rsid w:val="00285D7E"/>
    <w:rsid w:val="00285FED"/>
    <w:rsid w:val="00286A53"/>
    <w:rsid w:val="00287542"/>
    <w:rsid w:val="002877E9"/>
    <w:rsid w:val="0029159E"/>
    <w:rsid w:val="00294801"/>
    <w:rsid w:val="002A4F10"/>
    <w:rsid w:val="002A63F4"/>
    <w:rsid w:val="002B4907"/>
    <w:rsid w:val="002B50DA"/>
    <w:rsid w:val="002B7DD1"/>
    <w:rsid w:val="002C087E"/>
    <w:rsid w:val="002C27C5"/>
    <w:rsid w:val="002C2BF2"/>
    <w:rsid w:val="002D3456"/>
    <w:rsid w:val="002D4BB3"/>
    <w:rsid w:val="002D7E62"/>
    <w:rsid w:val="002D7F92"/>
    <w:rsid w:val="002E0A18"/>
    <w:rsid w:val="002E1964"/>
    <w:rsid w:val="002E1E7E"/>
    <w:rsid w:val="002E6B6F"/>
    <w:rsid w:val="002F0800"/>
    <w:rsid w:val="002F3606"/>
    <w:rsid w:val="002F5131"/>
    <w:rsid w:val="002F70EB"/>
    <w:rsid w:val="002F779E"/>
    <w:rsid w:val="003033BA"/>
    <w:rsid w:val="003038BC"/>
    <w:rsid w:val="00303EFC"/>
    <w:rsid w:val="003046D6"/>
    <w:rsid w:val="003112B5"/>
    <w:rsid w:val="0031293C"/>
    <w:rsid w:val="00313BBA"/>
    <w:rsid w:val="00313D9F"/>
    <w:rsid w:val="00314899"/>
    <w:rsid w:val="00315623"/>
    <w:rsid w:val="00316182"/>
    <w:rsid w:val="0032072B"/>
    <w:rsid w:val="00320DFD"/>
    <w:rsid w:val="00326F22"/>
    <w:rsid w:val="0033002D"/>
    <w:rsid w:val="00332906"/>
    <w:rsid w:val="00332C3C"/>
    <w:rsid w:val="00333BE1"/>
    <w:rsid w:val="00334B76"/>
    <w:rsid w:val="00336644"/>
    <w:rsid w:val="00337299"/>
    <w:rsid w:val="0033763C"/>
    <w:rsid w:val="0034149E"/>
    <w:rsid w:val="00341CE5"/>
    <w:rsid w:val="00342202"/>
    <w:rsid w:val="003429C9"/>
    <w:rsid w:val="00344889"/>
    <w:rsid w:val="0034680A"/>
    <w:rsid w:val="00347661"/>
    <w:rsid w:val="003478E7"/>
    <w:rsid w:val="00351383"/>
    <w:rsid w:val="0035216C"/>
    <w:rsid w:val="00352927"/>
    <w:rsid w:val="00353FDF"/>
    <w:rsid w:val="00354545"/>
    <w:rsid w:val="003555B4"/>
    <w:rsid w:val="00362486"/>
    <w:rsid w:val="0036497E"/>
    <w:rsid w:val="00364F1A"/>
    <w:rsid w:val="00366C32"/>
    <w:rsid w:val="0037099D"/>
    <w:rsid w:val="00372A55"/>
    <w:rsid w:val="00374F25"/>
    <w:rsid w:val="00377AD6"/>
    <w:rsid w:val="00381B41"/>
    <w:rsid w:val="00383DDA"/>
    <w:rsid w:val="00384B44"/>
    <w:rsid w:val="00385EC9"/>
    <w:rsid w:val="00386456"/>
    <w:rsid w:val="00387241"/>
    <w:rsid w:val="0039010E"/>
    <w:rsid w:val="003901D8"/>
    <w:rsid w:val="00391D93"/>
    <w:rsid w:val="00393184"/>
    <w:rsid w:val="0039340C"/>
    <w:rsid w:val="003934DD"/>
    <w:rsid w:val="00396D23"/>
    <w:rsid w:val="003A046A"/>
    <w:rsid w:val="003A25E4"/>
    <w:rsid w:val="003A2C66"/>
    <w:rsid w:val="003A4F71"/>
    <w:rsid w:val="003A581E"/>
    <w:rsid w:val="003A651C"/>
    <w:rsid w:val="003B0B16"/>
    <w:rsid w:val="003B79A5"/>
    <w:rsid w:val="003C40DD"/>
    <w:rsid w:val="003C4141"/>
    <w:rsid w:val="003C50C9"/>
    <w:rsid w:val="003C62BD"/>
    <w:rsid w:val="003C7DFA"/>
    <w:rsid w:val="003D284B"/>
    <w:rsid w:val="003D40F4"/>
    <w:rsid w:val="003D4F72"/>
    <w:rsid w:val="003E07B4"/>
    <w:rsid w:val="003E11A8"/>
    <w:rsid w:val="003E14B0"/>
    <w:rsid w:val="003E5505"/>
    <w:rsid w:val="003E5ED1"/>
    <w:rsid w:val="003E6682"/>
    <w:rsid w:val="003E7261"/>
    <w:rsid w:val="003E7A20"/>
    <w:rsid w:val="003F0FBE"/>
    <w:rsid w:val="003F28CF"/>
    <w:rsid w:val="003F328D"/>
    <w:rsid w:val="003F47E5"/>
    <w:rsid w:val="003F5CDD"/>
    <w:rsid w:val="003F5F8D"/>
    <w:rsid w:val="003F7E6A"/>
    <w:rsid w:val="00400083"/>
    <w:rsid w:val="0040059A"/>
    <w:rsid w:val="00407BD2"/>
    <w:rsid w:val="0041043C"/>
    <w:rsid w:val="00411B85"/>
    <w:rsid w:val="00416511"/>
    <w:rsid w:val="004207E3"/>
    <w:rsid w:val="00420D01"/>
    <w:rsid w:val="0042321C"/>
    <w:rsid w:val="00423267"/>
    <w:rsid w:val="004252E8"/>
    <w:rsid w:val="00426EEE"/>
    <w:rsid w:val="00426F4A"/>
    <w:rsid w:val="0043155D"/>
    <w:rsid w:val="00432915"/>
    <w:rsid w:val="00435AA2"/>
    <w:rsid w:val="004363BC"/>
    <w:rsid w:val="0043754D"/>
    <w:rsid w:val="00437BF5"/>
    <w:rsid w:val="00437BF8"/>
    <w:rsid w:val="004422D6"/>
    <w:rsid w:val="00442BFD"/>
    <w:rsid w:val="00444A46"/>
    <w:rsid w:val="00445EE4"/>
    <w:rsid w:val="00447095"/>
    <w:rsid w:val="004507CF"/>
    <w:rsid w:val="0045342C"/>
    <w:rsid w:val="00454B0F"/>
    <w:rsid w:val="00463997"/>
    <w:rsid w:val="0046604D"/>
    <w:rsid w:val="0047250D"/>
    <w:rsid w:val="0047444E"/>
    <w:rsid w:val="00474614"/>
    <w:rsid w:val="00474880"/>
    <w:rsid w:val="004768C9"/>
    <w:rsid w:val="00476A0B"/>
    <w:rsid w:val="00477A49"/>
    <w:rsid w:val="00477BFF"/>
    <w:rsid w:val="00481FA4"/>
    <w:rsid w:val="004838AB"/>
    <w:rsid w:val="00485F24"/>
    <w:rsid w:val="004878C1"/>
    <w:rsid w:val="0049189C"/>
    <w:rsid w:val="0049505C"/>
    <w:rsid w:val="00496626"/>
    <w:rsid w:val="0049684A"/>
    <w:rsid w:val="00497B27"/>
    <w:rsid w:val="004A34D2"/>
    <w:rsid w:val="004A411B"/>
    <w:rsid w:val="004A488B"/>
    <w:rsid w:val="004B219E"/>
    <w:rsid w:val="004B4A0E"/>
    <w:rsid w:val="004B6DE0"/>
    <w:rsid w:val="004C003F"/>
    <w:rsid w:val="004C0993"/>
    <w:rsid w:val="004C1226"/>
    <w:rsid w:val="004C1F44"/>
    <w:rsid w:val="004C1F93"/>
    <w:rsid w:val="004C5092"/>
    <w:rsid w:val="004D2B08"/>
    <w:rsid w:val="004D2C64"/>
    <w:rsid w:val="004D3473"/>
    <w:rsid w:val="004D4556"/>
    <w:rsid w:val="004D7A98"/>
    <w:rsid w:val="004E2973"/>
    <w:rsid w:val="004E4142"/>
    <w:rsid w:val="004E5102"/>
    <w:rsid w:val="004E5B78"/>
    <w:rsid w:val="004F0B50"/>
    <w:rsid w:val="004F1050"/>
    <w:rsid w:val="004F32CC"/>
    <w:rsid w:val="004F4EB9"/>
    <w:rsid w:val="00502467"/>
    <w:rsid w:val="00502929"/>
    <w:rsid w:val="00502F06"/>
    <w:rsid w:val="005037CD"/>
    <w:rsid w:val="00503872"/>
    <w:rsid w:val="005053B0"/>
    <w:rsid w:val="0051074C"/>
    <w:rsid w:val="0051089A"/>
    <w:rsid w:val="00510BB6"/>
    <w:rsid w:val="0051288D"/>
    <w:rsid w:val="00513A69"/>
    <w:rsid w:val="00513AF2"/>
    <w:rsid w:val="005152C2"/>
    <w:rsid w:val="005200B5"/>
    <w:rsid w:val="00521B54"/>
    <w:rsid w:val="0052307C"/>
    <w:rsid w:val="00524F8D"/>
    <w:rsid w:val="0052715F"/>
    <w:rsid w:val="00533367"/>
    <w:rsid w:val="00535161"/>
    <w:rsid w:val="0053606E"/>
    <w:rsid w:val="005418FA"/>
    <w:rsid w:val="0054413A"/>
    <w:rsid w:val="005443C9"/>
    <w:rsid w:val="00545144"/>
    <w:rsid w:val="00545326"/>
    <w:rsid w:val="005457A0"/>
    <w:rsid w:val="00550551"/>
    <w:rsid w:val="005564CA"/>
    <w:rsid w:val="00561510"/>
    <w:rsid w:val="005620AD"/>
    <w:rsid w:val="005626E7"/>
    <w:rsid w:val="00571897"/>
    <w:rsid w:val="005731B5"/>
    <w:rsid w:val="0057389B"/>
    <w:rsid w:val="00574D20"/>
    <w:rsid w:val="00575B77"/>
    <w:rsid w:val="00575D08"/>
    <w:rsid w:val="005770F6"/>
    <w:rsid w:val="005811F1"/>
    <w:rsid w:val="00584E86"/>
    <w:rsid w:val="00590DD9"/>
    <w:rsid w:val="0059266D"/>
    <w:rsid w:val="005A0585"/>
    <w:rsid w:val="005A1570"/>
    <w:rsid w:val="005A34F0"/>
    <w:rsid w:val="005A456B"/>
    <w:rsid w:val="005A4A4C"/>
    <w:rsid w:val="005A5275"/>
    <w:rsid w:val="005A6DCD"/>
    <w:rsid w:val="005A79FE"/>
    <w:rsid w:val="005B2AF3"/>
    <w:rsid w:val="005B4AA6"/>
    <w:rsid w:val="005B7215"/>
    <w:rsid w:val="005B7515"/>
    <w:rsid w:val="005B7A2F"/>
    <w:rsid w:val="005C0D43"/>
    <w:rsid w:val="005C1FFD"/>
    <w:rsid w:val="005C266E"/>
    <w:rsid w:val="005C51A7"/>
    <w:rsid w:val="005C5A22"/>
    <w:rsid w:val="005C5B5C"/>
    <w:rsid w:val="005D29B5"/>
    <w:rsid w:val="005D3445"/>
    <w:rsid w:val="005D474D"/>
    <w:rsid w:val="005D552E"/>
    <w:rsid w:val="005E2F44"/>
    <w:rsid w:val="005E3788"/>
    <w:rsid w:val="005E605B"/>
    <w:rsid w:val="005E67FC"/>
    <w:rsid w:val="005E7572"/>
    <w:rsid w:val="005E7A0B"/>
    <w:rsid w:val="005F0C78"/>
    <w:rsid w:val="005F1050"/>
    <w:rsid w:val="005F3431"/>
    <w:rsid w:val="005F4BF5"/>
    <w:rsid w:val="006007CC"/>
    <w:rsid w:val="00601496"/>
    <w:rsid w:val="00601FCA"/>
    <w:rsid w:val="006030AA"/>
    <w:rsid w:val="00603BDE"/>
    <w:rsid w:val="00604673"/>
    <w:rsid w:val="00610C94"/>
    <w:rsid w:val="0061135A"/>
    <w:rsid w:val="00612BDB"/>
    <w:rsid w:val="006134DB"/>
    <w:rsid w:val="00620CBF"/>
    <w:rsid w:val="00620E47"/>
    <w:rsid w:val="0062567A"/>
    <w:rsid w:val="006334A8"/>
    <w:rsid w:val="006367B1"/>
    <w:rsid w:val="0063788B"/>
    <w:rsid w:val="006404C9"/>
    <w:rsid w:val="00642D57"/>
    <w:rsid w:val="00647622"/>
    <w:rsid w:val="00651D31"/>
    <w:rsid w:val="006524BE"/>
    <w:rsid w:val="00652A5C"/>
    <w:rsid w:val="006533F8"/>
    <w:rsid w:val="00655360"/>
    <w:rsid w:val="00655371"/>
    <w:rsid w:val="006563C3"/>
    <w:rsid w:val="006623E2"/>
    <w:rsid w:val="00666AF7"/>
    <w:rsid w:val="00667EBB"/>
    <w:rsid w:val="00670B1B"/>
    <w:rsid w:val="00672EEC"/>
    <w:rsid w:val="00673789"/>
    <w:rsid w:val="00673AB7"/>
    <w:rsid w:val="00683085"/>
    <w:rsid w:val="0068338B"/>
    <w:rsid w:val="0069158F"/>
    <w:rsid w:val="00691C58"/>
    <w:rsid w:val="00693CC2"/>
    <w:rsid w:val="0069678A"/>
    <w:rsid w:val="00697665"/>
    <w:rsid w:val="00697D73"/>
    <w:rsid w:val="006A12F4"/>
    <w:rsid w:val="006A1A12"/>
    <w:rsid w:val="006A2F2D"/>
    <w:rsid w:val="006A3206"/>
    <w:rsid w:val="006A3CD1"/>
    <w:rsid w:val="006A454C"/>
    <w:rsid w:val="006A58B8"/>
    <w:rsid w:val="006A64A9"/>
    <w:rsid w:val="006A7FD0"/>
    <w:rsid w:val="006B161A"/>
    <w:rsid w:val="006B2195"/>
    <w:rsid w:val="006B34D7"/>
    <w:rsid w:val="006B55C5"/>
    <w:rsid w:val="006C084F"/>
    <w:rsid w:val="006C68E5"/>
    <w:rsid w:val="006D23BA"/>
    <w:rsid w:val="006D2CB8"/>
    <w:rsid w:val="006D40DC"/>
    <w:rsid w:val="006D4F07"/>
    <w:rsid w:val="006D7687"/>
    <w:rsid w:val="006E0385"/>
    <w:rsid w:val="006E0572"/>
    <w:rsid w:val="006E1324"/>
    <w:rsid w:val="006E1CCF"/>
    <w:rsid w:val="006E6D63"/>
    <w:rsid w:val="006E6E42"/>
    <w:rsid w:val="006F3DAA"/>
    <w:rsid w:val="00700377"/>
    <w:rsid w:val="007020A1"/>
    <w:rsid w:val="00702115"/>
    <w:rsid w:val="00703E2C"/>
    <w:rsid w:val="00705631"/>
    <w:rsid w:val="00705FE1"/>
    <w:rsid w:val="00706399"/>
    <w:rsid w:val="00707FF5"/>
    <w:rsid w:val="00711A50"/>
    <w:rsid w:val="00713DE5"/>
    <w:rsid w:val="00714254"/>
    <w:rsid w:val="00714718"/>
    <w:rsid w:val="00715929"/>
    <w:rsid w:val="00720966"/>
    <w:rsid w:val="007210EC"/>
    <w:rsid w:val="0072127D"/>
    <w:rsid w:val="007229B0"/>
    <w:rsid w:val="007252B4"/>
    <w:rsid w:val="00725AC2"/>
    <w:rsid w:val="00726DBE"/>
    <w:rsid w:val="00727EAE"/>
    <w:rsid w:val="00727FB6"/>
    <w:rsid w:val="007300F3"/>
    <w:rsid w:val="00731139"/>
    <w:rsid w:val="00734D43"/>
    <w:rsid w:val="007404BC"/>
    <w:rsid w:val="00742DD2"/>
    <w:rsid w:val="00752568"/>
    <w:rsid w:val="00754621"/>
    <w:rsid w:val="0075647A"/>
    <w:rsid w:val="007634AD"/>
    <w:rsid w:val="00764CD2"/>
    <w:rsid w:val="0076566F"/>
    <w:rsid w:val="007656E6"/>
    <w:rsid w:val="00765BE2"/>
    <w:rsid w:val="007673F0"/>
    <w:rsid w:val="00772C6C"/>
    <w:rsid w:val="00772FD2"/>
    <w:rsid w:val="007741D9"/>
    <w:rsid w:val="007743B6"/>
    <w:rsid w:val="007748F6"/>
    <w:rsid w:val="007750BB"/>
    <w:rsid w:val="0078122E"/>
    <w:rsid w:val="00782024"/>
    <w:rsid w:val="00783506"/>
    <w:rsid w:val="0078442B"/>
    <w:rsid w:val="00785A12"/>
    <w:rsid w:val="0078614D"/>
    <w:rsid w:val="00791C0F"/>
    <w:rsid w:val="00793845"/>
    <w:rsid w:val="0079520D"/>
    <w:rsid w:val="00796EC8"/>
    <w:rsid w:val="00797DF7"/>
    <w:rsid w:val="007A0D0E"/>
    <w:rsid w:val="007A4C5A"/>
    <w:rsid w:val="007A615D"/>
    <w:rsid w:val="007B0854"/>
    <w:rsid w:val="007B0F58"/>
    <w:rsid w:val="007B24B5"/>
    <w:rsid w:val="007C0326"/>
    <w:rsid w:val="007C6410"/>
    <w:rsid w:val="007C672F"/>
    <w:rsid w:val="007C744F"/>
    <w:rsid w:val="007C7638"/>
    <w:rsid w:val="007C7F04"/>
    <w:rsid w:val="007D0305"/>
    <w:rsid w:val="007D1AD1"/>
    <w:rsid w:val="007D5E0B"/>
    <w:rsid w:val="007E01FC"/>
    <w:rsid w:val="007E750C"/>
    <w:rsid w:val="007F0D40"/>
    <w:rsid w:val="007F168F"/>
    <w:rsid w:val="007F367B"/>
    <w:rsid w:val="007F4347"/>
    <w:rsid w:val="007F72CB"/>
    <w:rsid w:val="007F7BDE"/>
    <w:rsid w:val="00802A13"/>
    <w:rsid w:val="00804C29"/>
    <w:rsid w:val="00804CE6"/>
    <w:rsid w:val="00804EB1"/>
    <w:rsid w:val="0080594C"/>
    <w:rsid w:val="008101D2"/>
    <w:rsid w:val="008111B0"/>
    <w:rsid w:val="00811ED3"/>
    <w:rsid w:val="00813504"/>
    <w:rsid w:val="008159D3"/>
    <w:rsid w:val="00816302"/>
    <w:rsid w:val="00817CA8"/>
    <w:rsid w:val="00822D58"/>
    <w:rsid w:val="008259B9"/>
    <w:rsid w:val="00826A9D"/>
    <w:rsid w:val="0083119B"/>
    <w:rsid w:val="0083133A"/>
    <w:rsid w:val="008366AF"/>
    <w:rsid w:val="00836EAB"/>
    <w:rsid w:val="00841280"/>
    <w:rsid w:val="0084152B"/>
    <w:rsid w:val="00841639"/>
    <w:rsid w:val="00842535"/>
    <w:rsid w:val="00842F23"/>
    <w:rsid w:val="00843BC4"/>
    <w:rsid w:val="00843E6C"/>
    <w:rsid w:val="0085092D"/>
    <w:rsid w:val="008509DD"/>
    <w:rsid w:val="00850DF5"/>
    <w:rsid w:val="0085128C"/>
    <w:rsid w:val="00852018"/>
    <w:rsid w:val="008524B4"/>
    <w:rsid w:val="0085264F"/>
    <w:rsid w:val="00852E12"/>
    <w:rsid w:val="00852F5E"/>
    <w:rsid w:val="00853776"/>
    <w:rsid w:val="00854DBB"/>
    <w:rsid w:val="00857F63"/>
    <w:rsid w:val="00860B10"/>
    <w:rsid w:val="00861408"/>
    <w:rsid w:val="008617E0"/>
    <w:rsid w:val="00862B2A"/>
    <w:rsid w:val="00865967"/>
    <w:rsid w:val="008705DE"/>
    <w:rsid w:val="00873BCF"/>
    <w:rsid w:val="00877366"/>
    <w:rsid w:val="008817ED"/>
    <w:rsid w:val="0088243F"/>
    <w:rsid w:val="0088457C"/>
    <w:rsid w:val="00885AA7"/>
    <w:rsid w:val="00886201"/>
    <w:rsid w:val="008871CF"/>
    <w:rsid w:val="00887B15"/>
    <w:rsid w:val="00890882"/>
    <w:rsid w:val="008927A8"/>
    <w:rsid w:val="00893165"/>
    <w:rsid w:val="008A0A11"/>
    <w:rsid w:val="008A257A"/>
    <w:rsid w:val="008A3228"/>
    <w:rsid w:val="008A53F7"/>
    <w:rsid w:val="008A54C1"/>
    <w:rsid w:val="008A575E"/>
    <w:rsid w:val="008A69BA"/>
    <w:rsid w:val="008B1A31"/>
    <w:rsid w:val="008C0AF6"/>
    <w:rsid w:val="008C26E3"/>
    <w:rsid w:val="008C41C5"/>
    <w:rsid w:val="008D1B84"/>
    <w:rsid w:val="008D3411"/>
    <w:rsid w:val="008D3FBB"/>
    <w:rsid w:val="008D4225"/>
    <w:rsid w:val="008D4C63"/>
    <w:rsid w:val="008D76C2"/>
    <w:rsid w:val="008D776A"/>
    <w:rsid w:val="008E1C15"/>
    <w:rsid w:val="008E3219"/>
    <w:rsid w:val="008E6F70"/>
    <w:rsid w:val="008F14CC"/>
    <w:rsid w:val="008F1D84"/>
    <w:rsid w:val="008F2734"/>
    <w:rsid w:val="008F4227"/>
    <w:rsid w:val="008F5C25"/>
    <w:rsid w:val="008F646E"/>
    <w:rsid w:val="008F6E4A"/>
    <w:rsid w:val="00900239"/>
    <w:rsid w:val="00900DDB"/>
    <w:rsid w:val="0090136A"/>
    <w:rsid w:val="009015DF"/>
    <w:rsid w:val="009030CB"/>
    <w:rsid w:val="009047C5"/>
    <w:rsid w:val="00904CD9"/>
    <w:rsid w:val="009064C4"/>
    <w:rsid w:val="009066C0"/>
    <w:rsid w:val="00907A73"/>
    <w:rsid w:val="0091085E"/>
    <w:rsid w:val="00910B86"/>
    <w:rsid w:val="00914F02"/>
    <w:rsid w:val="00916C89"/>
    <w:rsid w:val="009176F3"/>
    <w:rsid w:val="00917700"/>
    <w:rsid w:val="00921659"/>
    <w:rsid w:val="00923DC9"/>
    <w:rsid w:val="00924541"/>
    <w:rsid w:val="0092462A"/>
    <w:rsid w:val="0092465E"/>
    <w:rsid w:val="0092478E"/>
    <w:rsid w:val="009278F1"/>
    <w:rsid w:val="009313B8"/>
    <w:rsid w:val="0093193A"/>
    <w:rsid w:val="00931B7E"/>
    <w:rsid w:val="00932FBD"/>
    <w:rsid w:val="00937BFF"/>
    <w:rsid w:val="009409CA"/>
    <w:rsid w:val="00944EA4"/>
    <w:rsid w:val="009465F7"/>
    <w:rsid w:val="00946737"/>
    <w:rsid w:val="00946CFA"/>
    <w:rsid w:val="00950258"/>
    <w:rsid w:val="0095385A"/>
    <w:rsid w:val="00955CAC"/>
    <w:rsid w:val="009568DA"/>
    <w:rsid w:val="00956C80"/>
    <w:rsid w:val="00956E82"/>
    <w:rsid w:val="00962034"/>
    <w:rsid w:val="00962A37"/>
    <w:rsid w:val="00965849"/>
    <w:rsid w:val="00973F55"/>
    <w:rsid w:val="00975D1B"/>
    <w:rsid w:val="00976CC3"/>
    <w:rsid w:val="00977088"/>
    <w:rsid w:val="00981B5D"/>
    <w:rsid w:val="00982489"/>
    <w:rsid w:val="009859D0"/>
    <w:rsid w:val="009866C8"/>
    <w:rsid w:val="009874B4"/>
    <w:rsid w:val="00987F32"/>
    <w:rsid w:val="00990A2F"/>
    <w:rsid w:val="009A353C"/>
    <w:rsid w:val="009B0CB9"/>
    <w:rsid w:val="009B1BF2"/>
    <w:rsid w:val="009B29F8"/>
    <w:rsid w:val="009C24BD"/>
    <w:rsid w:val="009C2A57"/>
    <w:rsid w:val="009C376A"/>
    <w:rsid w:val="009C782E"/>
    <w:rsid w:val="009D0FC4"/>
    <w:rsid w:val="009D3049"/>
    <w:rsid w:val="009D54EC"/>
    <w:rsid w:val="009E0D1B"/>
    <w:rsid w:val="009E2882"/>
    <w:rsid w:val="009E48B1"/>
    <w:rsid w:val="009F48F0"/>
    <w:rsid w:val="009F6B3F"/>
    <w:rsid w:val="00A028FC"/>
    <w:rsid w:val="00A03556"/>
    <w:rsid w:val="00A035A4"/>
    <w:rsid w:val="00A036C4"/>
    <w:rsid w:val="00A044A1"/>
    <w:rsid w:val="00A07446"/>
    <w:rsid w:val="00A10135"/>
    <w:rsid w:val="00A11267"/>
    <w:rsid w:val="00A118A0"/>
    <w:rsid w:val="00A14F3C"/>
    <w:rsid w:val="00A24560"/>
    <w:rsid w:val="00A26D28"/>
    <w:rsid w:val="00A27EFE"/>
    <w:rsid w:val="00A305CD"/>
    <w:rsid w:val="00A308D1"/>
    <w:rsid w:val="00A316F7"/>
    <w:rsid w:val="00A32559"/>
    <w:rsid w:val="00A338FC"/>
    <w:rsid w:val="00A34538"/>
    <w:rsid w:val="00A35156"/>
    <w:rsid w:val="00A37529"/>
    <w:rsid w:val="00A41BFA"/>
    <w:rsid w:val="00A42A3B"/>
    <w:rsid w:val="00A43FD5"/>
    <w:rsid w:val="00A44DA5"/>
    <w:rsid w:val="00A470F2"/>
    <w:rsid w:val="00A47DA6"/>
    <w:rsid w:val="00A47F59"/>
    <w:rsid w:val="00A507B2"/>
    <w:rsid w:val="00A5235A"/>
    <w:rsid w:val="00A52E43"/>
    <w:rsid w:val="00A53B56"/>
    <w:rsid w:val="00A546CA"/>
    <w:rsid w:val="00A54AB9"/>
    <w:rsid w:val="00A572E1"/>
    <w:rsid w:val="00A578E2"/>
    <w:rsid w:val="00A61FEE"/>
    <w:rsid w:val="00A6404B"/>
    <w:rsid w:val="00A72A3B"/>
    <w:rsid w:val="00A814D6"/>
    <w:rsid w:val="00A84361"/>
    <w:rsid w:val="00A84904"/>
    <w:rsid w:val="00A852F0"/>
    <w:rsid w:val="00A97342"/>
    <w:rsid w:val="00AA03C4"/>
    <w:rsid w:val="00AA18DB"/>
    <w:rsid w:val="00AA3DEF"/>
    <w:rsid w:val="00AA442B"/>
    <w:rsid w:val="00AA6CC1"/>
    <w:rsid w:val="00AB00BD"/>
    <w:rsid w:val="00AB0D4D"/>
    <w:rsid w:val="00AB0FFD"/>
    <w:rsid w:val="00AB14CE"/>
    <w:rsid w:val="00AB196B"/>
    <w:rsid w:val="00AB1AC8"/>
    <w:rsid w:val="00AB30DF"/>
    <w:rsid w:val="00AB3E40"/>
    <w:rsid w:val="00AB47E2"/>
    <w:rsid w:val="00AB4DF6"/>
    <w:rsid w:val="00AC0EEB"/>
    <w:rsid w:val="00AC1646"/>
    <w:rsid w:val="00AC3414"/>
    <w:rsid w:val="00AC3ACC"/>
    <w:rsid w:val="00AC65A4"/>
    <w:rsid w:val="00AD0B1D"/>
    <w:rsid w:val="00AD22FC"/>
    <w:rsid w:val="00AD2F7B"/>
    <w:rsid w:val="00AD47FB"/>
    <w:rsid w:val="00AD48B1"/>
    <w:rsid w:val="00AD5E7A"/>
    <w:rsid w:val="00AD6135"/>
    <w:rsid w:val="00AD7C52"/>
    <w:rsid w:val="00AE1289"/>
    <w:rsid w:val="00AE19FC"/>
    <w:rsid w:val="00AE4119"/>
    <w:rsid w:val="00AE4E69"/>
    <w:rsid w:val="00AE5B43"/>
    <w:rsid w:val="00AE65B9"/>
    <w:rsid w:val="00AE6D68"/>
    <w:rsid w:val="00AF1383"/>
    <w:rsid w:val="00AF1ED8"/>
    <w:rsid w:val="00AF5CE1"/>
    <w:rsid w:val="00AF713D"/>
    <w:rsid w:val="00B04843"/>
    <w:rsid w:val="00B055C7"/>
    <w:rsid w:val="00B0560B"/>
    <w:rsid w:val="00B06243"/>
    <w:rsid w:val="00B07BE4"/>
    <w:rsid w:val="00B1060D"/>
    <w:rsid w:val="00B118E9"/>
    <w:rsid w:val="00B120C2"/>
    <w:rsid w:val="00B16E58"/>
    <w:rsid w:val="00B17763"/>
    <w:rsid w:val="00B21D6C"/>
    <w:rsid w:val="00B22E22"/>
    <w:rsid w:val="00B243F7"/>
    <w:rsid w:val="00B258A0"/>
    <w:rsid w:val="00B32C0B"/>
    <w:rsid w:val="00B32DE6"/>
    <w:rsid w:val="00B33D08"/>
    <w:rsid w:val="00B36E67"/>
    <w:rsid w:val="00B371E9"/>
    <w:rsid w:val="00B439B4"/>
    <w:rsid w:val="00B43C9B"/>
    <w:rsid w:val="00B50315"/>
    <w:rsid w:val="00B512C3"/>
    <w:rsid w:val="00B5146F"/>
    <w:rsid w:val="00B5178D"/>
    <w:rsid w:val="00B525CB"/>
    <w:rsid w:val="00B531D7"/>
    <w:rsid w:val="00B53F68"/>
    <w:rsid w:val="00B5556E"/>
    <w:rsid w:val="00B55682"/>
    <w:rsid w:val="00B60926"/>
    <w:rsid w:val="00B613B9"/>
    <w:rsid w:val="00B6143C"/>
    <w:rsid w:val="00B6341F"/>
    <w:rsid w:val="00B637F3"/>
    <w:rsid w:val="00B63CB2"/>
    <w:rsid w:val="00B64278"/>
    <w:rsid w:val="00B6444C"/>
    <w:rsid w:val="00B71561"/>
    <w:rsid w:val="00B73B11"/>
    <w:rsid w:val="00B754CA"/>
    <w:rsid w:val="00B75BAA"/>
    <w:rsid w:val="00B75C7C"/>
    <w:rsid w:val="00B80316"/>
    <w:rsid w:val="00B80794"/>
    <w:rsid w:val="00B80D60"/>
    <w:rsid w:val="00B81F14"/>
    <w:rsid w:val="00B8385C"/>
    <w:rsid w:val="00B90205"/>
    <w:rsid w:val="00B90B34"/>
    <w:rsid w:val="00B914C4"/>
    <w:rsid w:val="00B93287"/>
    <w:rsid w:val="00BA1433"/>
    <w:rsid w:val="00BA4904"/>
    <w:rsid w:val="00BA4B5B"/>
    <w:rsid w:val="00BA549C"/>
    <w:rsid w:val="00BA54F0"/>
    <w:rsid w:val="00BB37BD"/>
    <w:rsid w:val="00BB5C7A"/>
    <w:rsid w:val="00BC0980"/>
    <w:rsid w:val="00BC1901"/>
    <w:rsid w:val="00BC3610"/>
    <w:rsid w:val="00BC46FA"/>
    <w:rsid w:val="00BC4CFC"/>
    <w:rsid w:val="00BC638A"/>
    <w:rsid w:val="00BD0942"/>
    <w:rsid w:val="00BD16E4"/>
    <w:rsid w:val="00BD404B"/>
    <w:rsid w:val="00BD5979"/>
    <w:rsid w:val="00BD78FE"/>
    <w:rsid w:val="00BE1B2E"/>
    <w:rsid w:val="00BE43C0"/>
    <w:rsid w:val="00BE4C31"/>
    <w:rsid w:val="00BE60C5"/>
    <w:rsid w:val="00BF0068"/>
    <w:rsid w:val="00BF0945"/>
    <w:rsid w:val="00BF0F80"/>
    <w:rsid w:val="00BF239F"/>
    <w:rsid w:val="00BF2E6F"/>
    <w:rsid w:val="00BF3E3E"/>
    <w:rsid w:val="00BF46EB"/>
    <w:rsid w:val="00BF52BB"/>
    <w:rsid w:val="00BF59DD"/>
    <w:rsid w:val="00BF6F68"/>
    <w:rsid w:val="00C02F56"/>
    <w:rsid w:val="00C03D7A"/>
    <w:rsid w:val="00C06C24"/>
    <w:rsid w:val="00C07969"/>
    <w:rsid w:val="00C07EFC"/>
    <w:rsid w:val="00C1063D"/>
    <w:rsid w:val="00C108FF"/>
    <w:rsid w:val="00C215F9"/>
    <w:rsid w:val="00C21979"/>
    <w:rsid w:val="00C22C1C"/>
    <w:rsid w:val="00C2341D"/>
    <w:rsid w:val="00C236F1"/>
    <w:rsid w:val="00C248E6"/>
    <w:rsid w:val="00C25356"/>
    <w:rsid w:val="00C2785E"/>
    <w:rsid w:val="00C32E42"/>
    <w:rsid w:val="00C35CCA"/>
    <w:rsid w:val="00C3789F"/>
    <w:rsid w:val="00C37E77"/>
    <w:rsid w:val="00C40C20"/>
    <w:rsid w:val="00C41A44"/>
    <w:rsid w:val="00C421D2"/>
    <w:rsid w:val="00C4266A"/>
    <w:rsid w:val="00C43FAA"/>
    <w:rsid w:val="00C44120"/>
    <w:rsid w:val="00C4553B"/>
    <w:rsid w:val="00C474F7"/>
    <w:rsid w:val="00C50FFB"/>
    <w:rsid w:val="00C51383"/>
    <w:rsid w:val="00C52AA0"/>
    <w:rsid w:val="00C606C0"/>
    <w:rsid w:val="00C63537"/>
    <w:rsid w:val="00C63B97"/>
    <w:rsid w:val="00C67675"/>
    <w:rsid w:val="00C713D7"/>
    <w:rsid w:val="00C74D7F"/>
    <w:rsid w:val="00C75515"/>
    <w:rsid w:val="00C8023B"/>
    <w:rsid w:val="00C81AC2"/>
    <w:rsid w:val="00C82754"/>
    <w:rsid w:val="00C83D45"/>
    <w:rsid w:val="00C845E6"/>
    <w:rsid w:val="00C878E8"/>
    <w:rsid w:val="00C87FB1"/>
    <w:rsid w:val="00C92306"/>
    <w:rsid w:val="00C9425D"/>
    <w:rsid w:val="00C97546"/>
    <w:rsid w:val="00CA0C3E"/>
    <w:rsid w:val="00CA1540"/>
    <w:rsid w:val="00CA287E"/>
    <w:rsid w:val="00CA44C0"/>
    <w:rsid w:val="00CA44E6"/>
    <w:rsid w:val="00CA5926"/>
    <w:rsid w:val="00CA5FFD"/>
    <w:rsid w:val="00CA6B80"/>
    <w:rsid w:val="00CA73A8"/>
    <w:rsid w:val="00CB084F"/>
    <w:rsid w:val="00CB21C6"/>
    <w:rsid w:val="00CB3DAB"/>
    <w:rsid w:val="00CB4B63"/>
    <w:rsid w:val="00CB532E"/>
    <w:rsid w:val="00CB7FCB"/>
    <w:rsid w:val="00CC00CD"/>
    <w:rsid w:val="00CC2C34"/>
    <w:rsid w:val="00CC5BE0"/>
    <w:rsid w:val="00CC5E3E"/>
    <w:rsid w:val="00CC670C"/>
    <w:rsid w:val="00CC786F"/>
    <w:rsid w:val="00CD080F"/>
    <w:rsid w:val="00CD1A2C"/>
    <w:rsid w:val="00CD2F3A"/>
    <w:rsid w:val="00CD4CEE"/>
    <w:rsid w:val="00CD5F34"/>
    <w:rsid w:val="00CE041B"/>
    <w:rsid w:val="00CE33FA"/>
    <w:rsid w:val="00CE3652"/>
    <w:rsid w:val="00CF2CA1"/>
    <w:rsid w:val="00CF2EF6"/>
    <w:rsid w:val="00CF4690"/>
    <w:rsid w:val="00CF6B14"/>
    <w:rsid w:val="00CF7DE3"/>
    <w:rsid w:val="00D004A0"/>
    <w:rsid w:val="00D03273"/>
    <w:rsid w:val="00D04268"/>
    <w:rsid w:val="00D04F45"/>
    <w:rsid w:val="00D054BD"/>
    <w:rsid w:val="00D063D2"/>
    <w:rsid w:val="00D06D43"/>
    <w:rsid w:val="00D1185B"/>
    <w:rsid w:val="00D11E53"/>
    <w:rsid w:val="00D15D40"/>
    <w:rsid w:val="00D16345"/>
    <w:rsid w:val="00D16E36"/>
    <w:rsid w:val="00D16E39"/>
    <w:rsid w:val="00D20C61"/>
    <w:rsid w:val="00D24CC2"/>
    <w:rsid w:val="00D250D0"/>
    <w:rsid w:val="00D31F4A"/>
    <w:rsid w:val="00D32C9D"/>
    <w:rsid w:val="00D35D5C"/>
    <w:rsid w:val="00D361D0"/>
    <w:rsid w:val="00D376C1"/>
    <w:rsid w:val="00D40DDB"/>
    <w:rsid w:val="00D44846"/>
    <w:rsid w:val="00D50796"/>
    <w:rsid w:val="00D5088B"/>
    <w:rsid w:val="00D53EA2"/>
    <w:rsid w:val="00D55E8F"/>
    <w:rsid w:val="00D56AB8"/>
    <w:rsid w:val="00D57255"/>
    <w:rsid w:val="00D577D1"/>
    <w:rsid w:val="00D63787"/>
    <w:rsid w:val="00D644AA"/>
    <w:rsid w:val="00D64797"/>
    <w:rsid w:val="00D65554"/>
    <w:rsid w:val="00D70679"/>
    <w:rsid w:val="00D710DF"/>
    <w:rsid w:val="00D729F6"/>
    <w:rsid w:val="00D72E9D"/>
    <w:rsid w:val="00D73D62"/>
    <w:rsid w:val="00D74389"/>
    <w:rsid w:val="00D74E75"/>
    <w:rsid w:val="00D76689"/>
    <w:rsid w:val="00D80EB6"/>
    <w:rsid w:val="00D82CE5"/>
    <w:rsid w:val="00D84D9D"/>
    <w:rsid w:val="00D856F4"/>
    <w:rsid w:val="00D9054B"/>
    <w:rsid w:val="00D9294F"/>
    <w:rsid w:val="00DA01E8"/>
    <w:rsid w:val="00DA0FD1"/>
    <w:rsid w:val="00DA1E8F"/>
    <w:rsid w:val="00DA2FF5"/>
    <w:rsid w:val="00DA3452"/>
    <w:rsid w:val="00DA5AB1"/>
    <w:rsid w:val="00DA6EE1"/>
    <w:rsid w:val="00DA72B4"/>
    <w:rsid w:val="00DB12BD"/>
    <w:rsid w:val="00DB2EB1"/>
    <w:rsid w:val="00DB3448"/>
    <w:rsid w:val="00DB44D8"/>
    <w:rsid w:val="00DB49AA"/>
    <w:rsid w:val="00DB5ED4"/>
    <w:rsid w:val="00DB768D"/>
    <w:rsid w:val="00DC32BD"/>
    <w:rsid w:val="00DC3D67"/>
    <w:rsid w:val="00DC578F"/>
    <w:rsid w:val="00DC62E5"/>
    <w:rsid w:val="00DC6ACC"/>
    <w:rsid w:val="00DD160B"/>
    <w:rsid w:val="00DD1C18"/>
    <w:rsid w:val="00DD31A9"/>
    <w:rsid w:val="00DD3432"/>
    <w:rsid w:val="00DD3F40"/>
    <w:rsid w:val="00DD735D"/>
    <w:rsid w:val="00DD7D8D"/>
    <w:rsid w:val="00DE0618"/>
    <w:rsid w:val="00DE1FEF"/>
    <w:rsid w:val="00DE3119"/>
    <w:rsid w:val="00DE6B11"/>
    <w:rsid w:val="00DE6E79"/>
    <w:rsid w:val="00DE70D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3AB8"/>
    <w:rsid w:val="00E13FD3"/>
    <w:rsid w:val="00E14299"/>
    <w:rsid w:val="00E144AB"/>
    <w:rsid w:val="00E17C49"/>
    <w:rsid w:val="00E17EE1"/>
    <w:rsid w:val="00E21494"/>
    <w:rsid w:val="00E23732"/>
    <w:rsid w:val="00E240E7"/>
    <w:rsid w:val="00E2553E"/>
    <w:rsid w:val="00E3090F"/>
    <w:rsid w:val="00E33B62"/>
    <w:rsid w:val="00E36BAD"/>
    <w:rsid w:val="00E36E37"/>
    <w:rsid w:val="00E42CEA"/>
    <w:rsid w:val="00E43A34"/>
    <w:rsid w:val="00E449E0"/>
    <w:rsid w:val="00E45104"/>
    <w:rsid w:val="00E453B7"/>
    <w:rsid w:val="00E52D01"/>
    <w:rsid w:val="00E5557F"/>
    <w:rsid w:val="00E5588F"/>
    <w:rsid w:val="00E60196"/>
    <w:rsid w:val="00E60756"/>
    <w:rsid w:val="00E61E09"/>
    <w:rsid w:val="00E64B60"/>
    <w:rsid w:val="00E66E98"/>
    <w:rsid w:val="00E67E83"/>
    <w:rsid w:val="00E737A7"/>
    <w:rsid w:val="00E768B7"/>
    <w:rsid w:val="00E80C3F"/>
    <w:rsid w:val="00E832F8"/>
    <w:rsid w:val="00E83789"/>
    <w:rsid w:val="00E87315"/>
    <w:rsid w:val="00E91477"/>
    <w:rsid w:val="00E915AC"/>
    <w:rsid w:val="00E9178F"/>
    <w:rsid w:val="00E91DA5"/>
    <w:rsid w:val="00E9754A"/>
    <w:rsid w:val="00E9760B"/>
    <w:rsid w:val="00E97CC7"/>
    <w:rsid w:val="00EA04EF"/>
    <w:rsid w:val="00EA1131"/>
    <w:rsid w:val="00EA3483"/>
    <w:rsid w:val="00EA704D"/>
    <w:rsid w:val="00EA79EB"/>
    <w:rsid w:val="00EB0DF1"/>
    <w:rsid w:val="00EC44C2"/>
    <w:rsid w:val="00EC5F41"/>
    <w:rsid w:val="00EC60CB"/>
    <w:rsid w:val="00EC7B4C"/>
    <w:rsid w:val="00ED0667"/>
    <w:rsid w:val="00ED0F19"/>
    <w:rsid w:val="00ED2EFF"/>
    <w:rsid w:val="00ED3BF4"/>
    <w:rsid w:val="00ED4234"/>
    <w:rsid w:val="00ED7F90"/>
    <w:rsid w:val="00EE094E"/>
    <w:rsid w:val="00EE1CCD"/>
    <w:rsid w:val="00EE4DB7"/>
    <w:rsid w:val="00EE5189"/>
    <w:rsid w:val="00EE776B"/>
    <w:rsid w:val="00EF15DA"/>
    <w:rsid w:val="00EF16DD"/>
    <w:rsid w:val="00EF66D5"/>
    <w:rsid w:val="00EF66D6"/>
    <w:rsid w:val="00F04CC2"/>
    <w:rsid w:val="00F058FE"/>
    <w:rsid w:val="00F06B15"/>
    <w:rsid w:val="00F0755F"/>
    <w:rsid w:val="00F109B1"/>
    <w:rsid w:val="00F1157D"/>
    <w:rsid w:val="00F11EDA"/>
    <w:rsid w:val="00F1301C"/>
    <w:rsid w:val="00F13DF7"/>
    <w:rsid w:val="00F155B7"/>
    <w:rsid w:val="00F24361"/>
    <w:rsid w:val="00F277D0"/>
    <w:rsid w:val="00F36E11"/>
    <w:rsid w:val="00F379A3"/>
    <w:rsid w:val="00F42730"/>
    <w:rsid w:val="00F449FE"/>
    <w:rsid w:val="00F44CA3"/>
    <w:rsid w:val="00F46903"/>
    <w:rsid w:val="00F47B8F"/>
    <w:rsid w:val="00F50F9E"/>
    <w:rsid w:val="00F55AA3"/>
    <w:rsid w:val="00F562BD"/>
    <w:rsid w:val="00F57B5D"/>
    <w:rsid w:val="00F608B9"/>
    <w:rsid w:val="00F60DB7"/>
    <w:rsid w:val="00F60E91"/>
    <w:rsid w:val="00F71570"/>
    <w:rsid w:val="00F72BAE"/>
    <w:rsid w:val="00F7558E"/>
    <w:rsid w:val="00F76205"/>
    <w:rsid w:val="00F803F1"/>
    <w:rsid w:val="00F8177B"/>
    <w:rsid w:val="00F81B47"/>
    <w:rsid w:val="00F83B75"/>
    <w:rsid w:val="00F84899"/>
    <w:rsid w:val="00F859F0"/>
    <w:rsid w:val="00F8789E"/>
    <w:rsid w:val="00F92E29"/>
    <w:rsid w:val="00FA06A3"/>
    <w:rsid w:val="00FA310C"/>
    <w:rsid w:val="00FA3B5A"/>
    <w:rsid w:val="00FA40C0"/>
    <w:rsid w:val="00FA4A30"/>
    <w:rsid w:val="00FA540E"/>
    <w:rsid w:val="00FA6587"/>
    <w:rsid w:val="00FB0D40"/>
    <w:rsid w:val="00FB301D"/>
    <w:rsid w:val="00FB42FF"/>
    <w:rsid w:val="00FB47F3"/>
    <w:rsid w:val="00FB516F"/>
    <w:rsid w:val="00FC711A"/>
    <w:rsid w:val="00FD2533"/>
    <w:rsid w:val="00FD3213"/>
    <w:rsid w:val="00FD3A2E"/>
    <w:rsid w:val="00FD4AFF"/>
    <w:rsid w:val="00FD674C"/>
    <w:rsid w:val="00FD7A75"/>
    <w:rsid w:val="00FD7C89"/>
    <w:rsid w:val="00FE0DC4"/>
    <w:rsid w:val="00FE125A"/>
    <w:rsid w:val="00FE141E"/>
    <w:rsid w:val="00FE24F4"/>
    <w:rsid w:val="00FE2A33"/>
    <w:rsid w:val="00FE5ECC"/>
    <w:rsid w:val="00FE674D"/>
    <w:rsid w:val="00FF3657"/>
    <w:rsid w:val="00FF417D"/>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styleId="Mencinsinresolver">
    <w:name w:val="Unresolved Mention"/>
    <w:basedOn w:val="Fuentedeprrafopredeter"/>
    <w:uiPriority w:val="99"/>
    <w:semiHidden/>
    <w:unhideWhenUsed/>
    <w:rsid w:val="00BF0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rmes.invias.gov.co/carreter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552CB-207F-4BCF-8E21-2E0339EF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0697A-B701-EE4D-B519-4E7F041353B6}">
  <ds:schemaRefs>
    <ds:schemaRef ds:uri="http://schemas.openxmlformats.org/officeDocument/2006/bibliography"/>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45</TotalTime>
  <Pages>12</Pages>
  <Words>4739</Words>
  <Characters>26068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16</cp:revision>
  <dcterms:created xsi:type="dcterms:W3CDTF">2020-12-01T22:10:00Z</dcterms:created>
  <dcterms:modified xsi:type="dcterms:W3CDTF">2021-01-12T17:04:00Z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