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9E58F2"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9E58F2">
        <w:rPr>
          <w:rFonts w:ascii="Arial" w:hAnsi="Arial" w:cs="Arial"/>
          <w:b/>
          <w:color w:val="000000" w:themeColor="text1"/>
          <w:sz w:val="16"/>
          <w:szCs w:val="16"/>
          <w:lang w:val="es-ES_tradnl" w:eastAsia="es-ES"/>
        </w:rPr>
        <w:t>CCE-DES-FM-17</w:t>
      </w:r>
    </w:p>
    <w:bookmarkEnd w:id="0"/>
    <w:bookmarkEnd w:id="1"/>
    <w:p w14:paraId="1BED658F" w14:textId="77777777" w:rsidR="00F02D25" w:rsidRPr="00404C61" w:rsidRDefault="00F02D25" w:rsidP="00E548C3">
      <w:pPr>
        <w:jc w:val="both"/>
        <w:rPr>
          <w:rFonts w:ascii="Arial" w:eastAsia="Calibri" w:hAnsi="Arial" w:cs="Arial"/>
          <w:b/>
          <w:bCs/>
          <w:color w:val="000000" w:themeColor="text1"/>
          <w:sz w:val="22"/>
          <w:lang w:val="es-ES_tradnl"/>
        </w:rPr>
      </w:pPr>
    </w:p>
    <w:p w14:paraId="02C1911D" w14:textId="2A579FF9" w:rsidR="008E3BA4" w:rsidRPr="0033016F" w:rsidRDefault="008E3BA4" w:rsidP="008E3BA4">
      <w:pPr>
        <w:jc w:val="both"/>
        <w:rPr>
          <w:rFonts w:ascii="Arial" w:eastAsia="Calibri" w:hAnsi="Arial" w:cs="Arial"/>
          <w:b/>
          <w:sz w:val="22"/>
          <w:lang w:val="es-ES_tradnl"/>
        </w:rPr>
      </w:pPr>
      <w:r>
        <w:rPr>
          <w:rFonts w:ascii="Arial" w:eastAsia="Calibri" w:hAnsi="Arial" w:cs="Arial"/>
          <w:b/>
          <w:sz w:val="22"/>
          <w:lang w:val="es-ES_tradnl"/>
        </w:rPr>
        <w:t xml:space="preserve">PRECIOS UNITARIOS </w:t>
      </w:r>
      <w:bookmarkStart w:id="2" w:name="_Hlk39666823"/>
      <w:r w:rsidRPr="006C15D5">
        <w:rPr>
          <w:rFonts w:ascii="Arial" w:eastAsia="Calibri" w:hAnsi="Arial" w:cs="Arial"/>
          <w:b/>
          <w:color w:val="000000" w:themeColor="text1"/>
          <w:sz w:val="22"/>
        </w:rPr>
        <w:t>–</w:t>
      </w:r>
      <w:bookmarkEnd w:id="2"/>
      <w:r>
        <w:rPr>
          <w:rFonts w:ascii="Arial" w:eastAsia="Calibri" w:hAnsi="Arial" w:cs="Arial"/>
          <w:b/>
          <w:sz w:val="22"/>
          <w:lang w:val="es-ES_tradnl"/>
        </w:rPr>
        <w:t xml:space="preserve"> APU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sz w:val="22"/>
          <w:lang w:val="es-ES_tradnl"/>
        </w:rPr>
        <w:t xml:space="preserve">AIU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Diferencias </w:t>
      </w:r>
    </w:p>
    <w:p w14:paraId="56E8C287" w14:textId="77777777" w:rsidR="008E3BA4" w:rsidRPr="0033016F" w:rsidRDefault="008E3BA4" w:rsidP="008E3BA4">
      <w:pPr>
        <w:jc w:val="both"/>
        <w:rPr>
          <w:rFonts w:ascii="Arial" w:eastAsia="Calibri" w:hAnsi="Arial" w:cs="Arial"/>
          <w:sz w:val="20"/>
          <w:szCs w:val="20"/>
          <w:lang w:val="es-ES_tradnl"/>
        </w:rPr>
      </w:pPr>
    </w:p>
    <w:p w14:paraId="3A7B8957" w14:textId="77777777" w:rsidR="008E3BA4" w:rsidRDefault="008E3BA4" w:rsidP="008E3BA4">
      <w:pPr>
        <w:spacing w:after="120"/>
        <w:jc w:val="both"/>
        <w:rPr>
          <w:rFonts w:ascii="Arial" w:eastAsia="Calibri" w:hAnsi="Arial" w:cs="Arial"/>
          <w:sz w:val="20"/>
          <w:szCs w:val="20"/>
          <w:lang w:val="es-ES_tradnl"/>
        </w:rPr>
      </w:pPr>
      <w:r w:rsidRPr="0033016F">
        <w:rPr>
          <w:rFonts w:ascii="Arial" w:eastAsia="Calibri" w:hAnsi="Arial" w:cs="Arial"/>
          <w:sz w:val="20"/>
          <w:szCs w:val="20"/>
          <w:lang w:val="es-ES_tradnl"/>
        </w:rPr>
        <w:t>[…]</w:t>
      </w:r>
      <w:r>
        <w:rPr>
          <w:rFonts w:ascii="Arial" w:eastAsia="Calibri" w:hAnsi="Arial" w:cs="Arial"/>
          <w:sz w:val="20"/>
          <w:szCs w:val="20"/>
          <w:lang w:val="es-ES_tradnl"/>
        </w:rPr>
        <w:t xml:space="preserve"> e</w:t>
      </w:r>
      <w:r w:rsidRPr="0033016F">
        <w:rPr>
          <w:rFonts w:ascii="Arial" w:eastAsia="Calibri" w:hAnsi="Arial" w:cs="Arial"/>
          <w:sz w:val="20"/>
          <w:szCs w:val="20"/>
          <w:lang w:val="es-ES_tradnl"/>
        </w:rPr>
        <w:t>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p>
    <w:p w14:paraId="3050A659" w14:textId="099D7F99" w:rsidR="008E3BA4" w:rsidRPr="0033016F" w:rsidRDefault="008E3BA4" w:rsidP="008E3BA4">
      <w:pPr>
        <w:jc w:val="both"/>
        <w:rPr>
          <w:rFonts w:ascii="Arial" w:eastAsia="Calibri" w:hAnsi="Arial" w:cs="Arial"/>
          <w:sz w:val="20"/>
          <w:szCs w:val="20"/>
          <w:lang w:val="es-ES_tradnl"/>
        </w:rPr>
      </w:pPr>
      <w:r w:rsidRPr="0033016F">
        <w:rPr>
          <w:rFonts w:ascii="Arial" w:eastAsia="Calibri" w:hAnsi="Arial" w:cs="Arial"/>
          <w:sz w:val="20"/>
          <w:szCs w:val="20"/>
          <w:lang w:val="es-ES_tradnl"/>
        </w:rPr>
        <w:t>En consecuencia, tanto las entidades sometidas al Estatuto General de Contratación de la Administración Pública, como las excluidas de este –es decir, las que cuentan con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w:t>
      </w:r>
      <w:r w:rsidR="002C09B1">
        <w:rPr>
          <w:rFonts w:ascii="Arial" w:eastAsia="Calibri" w:hAnsi="Arial" w:cs="Arial"/>
          <w:sz w:val="20"/>
          <w:szCs w:val="20"/>
          <w:lang w:val="es-ES_tradnl"/>
        </w:rPr>
        <w:t>,</w:t>
      </w:r>
      <w:r w:rsidRPr="0033016F">
        <w:rPr>
          <w:rFonts w:ascii="Arial" w:eastAsia="Calibri" w:hAnsi="Arial" w:cs="Arial"/>
          <w:sz w:val="20"/>
          <w:szCs w:val="20"/>
          <w:lang w:val="es-ES_tradnl"/>
        </w:rPr>
        <w:t xml:space="preserve"> postulado que exige la optimización de los recursos públicos.</w:t>
      </w:r>
    </w:p>
    <w:p w14:paraId="210A72B6" w14:textId="77777777" w:rsidR="008E3BA4" w:rsidRPr="0033016F" w:rsidRDefault="008E3BA4" w:rsidP="008E3BA4">
      <w:pPr>
        <w:jc w:val="both"/>
        <w:rPr>
          <w:rFonts w:ascii="Arial" w:eastAsia="Calibri" w:hAnsi="Arial" w:cs="Arial"/>
          <w:sz w:val="20"/>
          <w:szCs w:val="20"/>
          <w:lang w:val="es-ES_tradnl"/>
        </w:rPr>
      </w:pPr>
    </w:p>
    <w:p w14:paraId="28DF6372" w14:textId="77777777" w:rsidR="008E3BA4" w:rsidRPr="0033016F" w:rsidRDefault="008E3BA4" w:rsidP="008E3BA4">
      <w:pPr>
        <w:jc w:val="both"/>
        <w:rPr>
          <w:rFonts w:ascii="Arial" w:eastAsia="Calibri" w:hAnsi="Arial" w:cs="Arial"/>
          <w:b/>
          <w:bCs/>
          <w:sz w:val="22"/>
          <w:lang w:val="es-ES_tradnl"/>
        </w:rPr>
      </w:pPr>
      <w:r w:rsidRPr="0033016F">
        <w:rPr>
          <w:rFonts w:ascii="Arial" w:eastAsia="Calibri" w:hAnsi="Arial" w:cs="Arial"/>
          <w:b/>
          <w:bCs/>
          <w:sz w:val="22"/>
          <w:lang w:val="es-ES_tradnl"/>
        </w:rPr>
        <w:t xml:space="preserve">AIU </w:t>
      </w:r>
      <w:r w:rsidRPr="006C15D5">
        <w:rPr>
          <w:rFonts w:ascii="Arial" w:eastAsia="Calibri" w:hAnsi="Arial" w:cs="Arial"/>
          <w:b/>
          <w:color w:val="000000" w:themeColor="text1"/>
          <w:sz w:val="22"/>
        </w:rPr>
        <w:t>–</w:t>
      </w:r>
      <w:r w:rsidRPr="0033016F">
        <w:rPr>
          <w:rFonts w:ascii="Arial" w:eastAsia="Calibri" w:hAnsi="Arial" w:cs="Arial"/>
          <w:b/>
          <w:bCs/>
          <w:sz w:val="22"/>
          <w:lang w:val="es-ES_tradnl"/>
        </w:rPr>
        <w:t xml:space="preserve"> </w:t>
      </w:r>
      <w:r>
        <w:rPr>
          <w:rFonts w:ascii="Arial" w:eastAsia="Calibri" w:hAnsi="Arial" w:cs="Arial"/>
          <w:b/>
          <w:bCs/>
          <w:sz w:val="22"/>
          <w:lang w:val="es-ES_tradnl"/>
        </w:rPr>
        <w:t xml:space="preserve">Costos indirectos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Finalidad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Riesgos inherentes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Ejecución del contrato </w:t>
      </w:r>
    </w:p>
    <w:p w14:paraId="1CF6D027" w14:textId="77777777" w:rsidR="008E3BA4" w:rsidRPr="0033016F" w:rsidRDefault="008E3BA4" w:rsidP="008E3BA4">
      <w:pPr>
        <w:jc w:val="both"/>
        <w:rPr>
          <w:rFonts w:ascii="Arial" w:eastAsia="Calibri" w:hAnsi="Arial" w:cs="Arial"/>
          <w:b/>
          <w:bCs/>
          <w:sz w:val="20"/>
          <w:szCs w:val="20"/>
          <w:lang w:val="es-ES_tradnl"/>
        </w:rPr>
      </w:pPr>
    </w:p>
    <w:p w14:paraId="439C2370" w14:textId="71BED7CE" w:rsidR="008E3BA4" w:rsidRPr="0033016F" w:rsidRDefault="008E3BA4" w:rsidP="008E3BA4">
      <w:pPr>
        <w:jc w:val="both"/>
        <w:rPr>
          <w:rFonts w:ascii="Arial" w:eastAsia="Calibri" w:hAnsi="Arial" w:cs="Arial"/>
          <w:sz w:val="20"/>
          <w:szCs w:val="20"/>
          <w:lang w:val="es-ES_tradnl"/>
        </w:rPr>
      </w:pPr>
      <w:r w:rsidRPr="0033016F">
        <w:rPr>
          <w:rFonts w:ascii="Arial" w:eastAsia="Calibri" w:hAnsi="Arial" w:cs="Arial"/>
          <w:sz w:val="20"/>
          <w:szCs w:val="20"/>
          <w:lang w:val="es-ES_tradnl"/>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 aquel valor se le suma este. Así las cosas, las partes asumen los riesgos inherentes a esta forma de pactar el precio, entendiendo aceptados los </w:t>
      </w:r>
      <w:proofErr w:type="spellStart"/>
      <w:r w:rsidRPr="0033016F">
        <w:rPr>
          <w:rFonts w:ascii="Arial" w:eastAsia="Calibri" w:hAnsi="Arial" w:cs="Arial"/>
          <w:sz w:val="20"/>
          <w:szCs w:val="20"/>
          <w:lang w:val="es-ES_tradnl"/>
        </w:rPr>
        <w:t>áleas</w:t>
      </w:r>
      <w:proofErr w:type="spellEnd"/>
      <w:r w:rsidRPr="0033016F">
        <w:rPr>
          <w:rFonts w:ascii="Arial" w:eastAsia="Calibri" w:hAnsi="Arial" w:cs="Arial"/>
          <w:sz w:val="20"/>
          <w:szCs w:val="20"/>
          <w:lang w:val="es-ES_tradnl"/>
        </w:rPr>
        <w:t xml:space="preserve"> normales que se presenten en la ejecución del contrato, de manera </w:t>
      </w:r>
      <w:proofErr w:type="gramStart"/>
      <w:r w:rsidRPr="0033016F">
        <w:rPr>
          <w:rFonts w:ascii="Arial" w:eastAsia="Calibri" w:hAnsi="Arial" w:cs="Arial"/>
          <w:sz w:val="20"/>
          <w:szCs w:val="20"/>
          <w:lang w:val="es-ES_tradnl"/>
        </w:rPr>
        <w:t>que</w:t>
      </w:r>
      <w:proofErr w:type="gramEnd"/>
      <w:r w:rsidRPr="0033016F">
        <w:rPr>
          <w:rFonts w:ascii="Arial" w:eastAsia="Calibri" w:hAnsi="Arial" w:cs="Arial"/>
          <w:sz w:val="20"/>
          <w:szCs w:val="20"/>
          <w:lang w:val="es-ES_tradnl"/>
        </w:rPr>
        <w:t xml:space="preserve"> aunque el contratista incurra en: mayores costos de los ítems incluidos en la Administración al presentar su oferta, o que estos disminuyan, aparezcan algunos nuevos o desaparezcan algunos de ellos, el valor se mantenga invariable</w:t>
      </w:r>
      <w:r w:rsidR="00775A4B">
        <w:rPr>
          <w:rFonts w:ascii="Arial" w:eastAsia="Calibri" w:hAnsi="Arial" w:cs="Arial"/>
          <w:sz w:val="20"/>
          <w:szCs w:val="20"/>
          <w:lang w:val="es-ES_tradnl"/>
        </w:rPr>
        <w:t>.</w:t>
      </w:r>
      <w:r w:rsidRPr="0033016F">
        <w:rPr>
          <w:rFonts w:ascii="Arial" w:eastAsia="Calibri" w:hAnsi="Arial" w:cs="Arial"/>
          <w:sz w:val="20"/>
          <w:szCs w:val="20"/>
          <w:lang w:val="es-ES_tradnl"/>
        </w:rPr>
        <w:t xml:space="preserve"> </w:t>
      </w:r>
      <w:r w:rsidR="00775A4B">
        <w:rPr>
          <w:rFonts w:ascii="Arial" w:eastAsia="Calibri" w:hAnsi="Arial" w:cs="Arial"/>
          <w:sz w:val="20"/>
          <w:szCs w:val="20"/>
          <w:lang w:val="es-ES_tradnl"/>
        </w:rPr>
        <w:t>D</w:t>
      </w:r>
      <w:r w:rsidRPr="0033016F">
        <w:rPr>
          <w:rFonts w:ascii="Arial" w:eastAsia="Calibri" w:hAnsi="Arial" w:cs="Arial"/>
          <w:sz w:val="20"/>
          <w:szCs w:val="20"/>
          <w:lang w:val="es-ES_tradnl"/>
        </w:rPr>
        <w:t xml:space="preserve">e </w:t>
      </w:r>
      <w:r w:rsidR="00775A4B">
        <w:rPr>
          <w:rFonts w:ascii="Arial" w:eastAsia="Calibri" w:hAnsi="Arial" w:cs="Arial"/>
          <w:sz w:val="20"/>
          <w:szCs w:val="20"/>
          <w:lang w:val="es-ES_tradnl"/>
        </w:rPr>
        <w:t>esta forma</w:t>
      </w:r>
      <w:r w:rsidRPr="0033016F">
        <w:rPr>
          <w:rFonts w:ascii="Arial" w:eastAsia="Calibri" w:hAnsi="Arial" w:cs="Arial"/>
          <w:sz w:val="20"/>
          <w:szCs w:val="20"/>
          <w:lang w:val="es-ES_tradnl"/>
        </w:rPr>
        <w:t xml:space="preserve"> las partes optan por darle estabilidad al negocio asumiendo cada una de ellas lo que le favorezca o desfavorezca, lo que evita, además, incurrir en costos de transacción relacionados con la necesidad de acreditar y verificar cada costo específico asociado a la Administración, lo que generaría más gastos tanto para la entidad como para el contratista. </w:t>
      </w:r>
    </w:p>
    <w:p w14:paraId="58084D2A" w14:textId="77777777" w:rsidR="008E3BA4" w:rsidRPr="0033016F" w:rsidRDefault="008E3BA4" w:rsidP="008E3BA4">
      <w:pPr>
        <w:jc w:val="both"/>
        <w:rPr>
          <w:rFonts w:ascii="Arial" w:eastAsia="Calibri" w:hAnsi="Arial" w:cs="Arial"/>
          <w:sz w:val="20"/>
          <w:szCs w:val="20"/>
          <w:lang w:val="es-ES_tradnl"/>
        </w:rPr>
      </w:pPr>
    </w:p>
    <w:p w14:paraId="02456C23" w14:textId="11F53032" w:rsidR="00C6742E" w:rsidRDefault="00C6742E" w:rsidP="00DF76A2">
      <w:pPr>
        <w:spacing w:line="276" w:lineRule="auto"/>
        <w:jc w:val="both"/>
        <w:rPr>
          <w:rFonts w:ascii="Arial" w:eastAsia="Calibri" w:hAnsi="Arial" w:cs="Arial"/>
          <w:color w:val="000000"/>
          <w:sz w:val="20"/>
          <w:szCs w:val="20"/>
          <w:lang w:val="es-ES"/>
        </w:rPr>
      </w:pPr>
    </w:p>
    <w:p w14:paraId="0646A431" w14:textId="5F159DDA" w:rsidR="001B0366" w:rsidRDefault="001B0366" w:rsidP="00DF76A2">
      <w:pPr>
        <w:spacing w:line="276" w:lineRule="auto"/>
        <w:jc w:val="both"/>
        <w:rPr>
          <w:rFonts w:ascii="Arial" w:eastAsia="Calibri" w:hAnsi="Arial" w:cs="Arial"/>
          <w:color w:val="000000"/>
          <w:sz w:val="20"/>
          <w:szCs w:val="20"/>
          <w:lang w:val="es-ES"/>
        </w:rPr>
      </w:pPr>
    </w:p>
    <w:p w14:paraId="5B559AEC" w14:textId="7E252AB2" w:rsidR="001B0366" w:rsidRDefault="001B0366" w:rsidP="00DF76A2">
      <w:pPr>
        <w:spacing w:line="276" w:lineRule="auto"/>
        <w:jc w:val="both"/>
        <w:rPr>
          <w:rFonts w:ascii="Arial" w:eastAsia="Calibri" w:hAnsi="Arial" w:cs="Arial"/>
          <w:color w:val="000000"/>
          <w:sz w:val="20"/>
          <w:szCs w:val="20"/>
          <w:lang w:val="es-ES"/>
        </w:rPr>
      </w:pPr>
    </w:p>
    <w:p w14:paraId="72E3DC22" w14:textId="2A80ECBA" w:rsidR="001B0366" w:rsidRDefault="001B0366" w:rsidP="00DF76A2">
      <w:pPr>
        <w:spacing w:line="276" w:lineRule="auto"/>
        <w:jc w:val="both"/>
        <w:rPr>
          <w:rFonts w:ascii="Arial" w:eastAsia="Calibri" w:hAnsi="Arial" w:cs="Arial"/>
          <w:color w:val="000000"/>
          <w:sz w:val="20"/>
          <w:szCs w:val="20"/>
          <w:lang w:val="es-ES"/>
        </w:rPr>
      </w:pPr>
    </w:p>
    <w:p w14:paraId="2F067676" w14:textId="77777777" w:rsidR="001B0366" w:rsidRDefault="001B0366" w:rsidP="00DF76A2">
      <w:pPr>
        <w:spacing w:line="276" w:lineRule="auto"/>
        <w:jc w:val="both"/>
        <w:rPr>
          <w:rFonts w:ascii="Arial" w:hAnsi="Arial" w:cs="Arial"/>
          <w:noProof/>
          <w:color w:val="000000" w:themeColor="text1"/>
          <w:sz w:val="22"/>
        </w:rPr>
      </w:pPr>
    </w:p>
    <w:p w14:paraId="4E5C1D62" w14:textId="457C6178" w:rsidR="00DD5B04" w:rsidRPr="009E58F2" w:rsidRDefault="00DD5B04" w:rsidP="00DF76A2">
      <w:pPr>
        <w:spacing w:line="276" w:lineRule="auto"/>
        <w:jc w:val="both"/>
        <w:rPr>
          <w:rFonts w:ascii="Arial" w:eastAsia="Calibri" w:hAnsi="Arial" w:cs="Arial"/>
          <w:noProof/>
          <w:color w:val="000000" w:themeColor="text1"/>
          <w:sz w:val="20"/>
          <w:lang w:val="pt-BR"/>
        </w:rPr>
      </w:pPr>
      <w:r w:rsidRPr="009E58F2">
        <w:rPr>
          <w:rFonts w:ascii="Arial" w:hAnsi="Arial" w:cs="Arial"/>
          <w:noProof/>
          <w:color w:val="000000" w:themeColor="text1"/>
          <w:sz w:val="22"/>
          <w:lang w:val="pt-BR"/>
        </w:rPr>
        <w:lastRenderedPageBreak/>
        <w:t xml:space="preserve">Bogotá D.C., </w:t>
      </w:r>
      <w:r w:rsidR="00012463" w:rsidRPr="009E58F2">
        <w:rPr>
          <w:rFonts w:ascii="Arial" w:hAnsi="Arial" w:cs="Arial"/>
          <w:b/>
          <w:bCs/>
          <w:noProof/>
          <w:color w:val="000000" w:themeColor="text1"/>
          <w:sz w:val="22"/>
          <w:lang w:val="pt-BR"/>
        </w:rPr>
        <w:t>09/12/2020</w:t>
      </w:r>
      <w:r w:rsidR="00DA6FB3">
        <w:rPr>
          <w:rFonts w:ascii="Arial" w:hAnsi="Arial" w:cs="Arial"/>
          <w:b/>
          <w:bCs/>
          <w:noProof/>
          <w:color w:val="000000" w:themeColor="text1"/>
          <w:sz w:val="22"/>
          <w:lang w:val="pt-BR"/>
        </w:rPr>
        <w:t xml:space="preserve"> Hora: 12:30 s</w:t>
      </w:r>
    </w:p>
    <w:p w14:paraId="3EE008C6" w14:textId="581F48A5" w:rsidR="00DD5B04" w:rsidRPr="009E58F2" w:rsidRDefault="00DD5B04" w:rsidP="002A1A58">
      <w:pPr>
        <w:spacing w:line="276" w:lineRule="auto"/>
        <w:jc w:val="right"/>
        <w:rPr>
          <w:rFonts w:ascii="Arial" w:hAnsi="Arial" w:cs="Arial"/>
          <w:b/>
          <w:noProof/>
          <w:color w:val="000000" w:themeColor="text1"/>
          <w:sz w:val="22"/>
          <w:lang w:val="pt-BR"/>
        </w:rPr>
      </w:pPr>
      <w:r w:rsidRPr="009E58F2">
        <w:rPr>
          <w:rFonts w:ascii="Arial" w:hAnsi="Arial" w:cs="Arial"/>
          <w:b/>
          <w:noProof/>
          <w:color w:val="000000" w:themeColor="text1"/>
          <w:sz w:val="22"/>
          <w:lang w:val="pt-BR"/>
        </w:rPr>
        <w:t>N° Radicado:</w:t>
      </w:r>
      <w:r w:rsidR="00FB3C06" w:rsidRPr="009E58F2">
        <w:rPr>
          <w:rFonts w:ascii="Arial" w:hAnsi="Arial" w:cs="Arial"/>
          <w:b/>
          <w:noProof/>
          <w:color w:val="000000" w:themeColor="text1"/>
          <w:sz w:val="22"/>
          <w:lang w:val="pt-BR"/>
        </w:rPr>
        <w:t xml:space="preserve"> </w:t>
      </w:r>
      <w:r w:rsidR="00D57BAE" w:rsidRPr="009E58F2">
        <w:rPr>
          <w:rFonts w:ascii="Arial" w:hAnsi="Arial" w:cs="Arial"/>
          <w:b/>
          <w:bCs/>
          <w:noProof/>
          <w:color w:val="000000" w:themeColor="text1"/>
          <w:sz w:val="22"/>
          <w:lang w:val="pt-BR"/>
        </w:rPr>
        <w:t>2202013000011949</w:t>
      </w:r>
    </w:p>
    <w:p w14:paraId="33BD7B68" w14:textId="77777777" w:rsidR="00DD5B04" w:rsidRPr="009E58F2" w:rsidRDefault="00DD5B04" w:rsidP="00DF76A2">
      <w:pPr>
        <w:jc w:val="both"/>
        <w:rPr>
          <w:rFonts w:ascii="Arial" w:hAnsi="Arial" w:cs="Arial"/>
          <w:b/>
          <w:color w:val="000000" w:themeColor="text1"/>
          <w:sz w:val="22"/>
          <w:lang w:val="pt-BR"/>
        </w:rPr>
      </w:pPr>
    </w:p>
    <w:p w14:paraId="74A475A6" w14:textId="144570E0"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Señor</w:t>
      </w:r>
      <w:r w:rsidR="00EA434E">
        <w:rPr>
          <w:rFonts w:ascii="Arial" w:eastAsia="Calibri" w:hAnsi="Arial" w:cs="Arial"/>
          <w:color w:val="000000" w:themeColor="text1"/>
          <w:sz w:val="22"/>
          <w:lang w:val="es-ES_tradnl"/>
        </w:rPr>
        <w:t>a</w:t>
      </w:r>
    </w:p>
    <w:p w14:paraId="6011130B" w14:textId="19E57EFD" w:rsidR="00AE1990" w:rsidRPr="00404C61" w:rsidRDefault="00662F39" w:rsidP="00DF76A2">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Sandra María</w:t>
      </w:r>
      <w:r w:rsidR="00EA434E">
        <w:rPr>
          <w:rFonts w:ascii="Arial" w:eastAsia="Calibri" w:hAnsi="Arial" w:cs="Arial"/>
          <w:b/>
          <w:color w:val="000000" w:themeColor="text1"/>
          <w:sz w:val="22"/>
          <w:lang w:val="es-ES_tradnl"/>
        </w:rPr>
        <w:t xml:space="preserve"> García Henao</w:t>
      </w:r>
    </w:p>
    <w:p w14:paraId="5E9E4CD6" w14:textId="4F1126FA"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Ciudad</w:t>
      </w:r>
    </w:p>
    <w:p w14:paraId="79F69118" w14:textId="77777777" w:rsidR="00DD5B04" w:rsidRPr="00404C61" w:rsidRDefault="00DD5B04" w:rsidP="00DF76A2">
      <w:pPr>
        <w:jc w:val="both"/>
        <w:rPr>
          <w:rFonts w:ascii="Arial" w:eastAsia="Calibri" w:hAnsi="Arial" w:cs="Arial"/>
          <w:color w:val="000000" w:themeColor="text1"/>
          <w:sz w:val="22"/>
          <w:lang w:val="es-ES_tradnl"/>
        </w:rPr>
      </w:pPr>
    </w:p>
    <w:p w14:paraId="03294061" w14:textId="77777777" w:rsidR="00DD5B04" w:rsidRPr="00404C61" w:rsidRDefault="00DD5B04" w:rsidP="00DF76A2">
      <w:pPr>
        <w:jc w:val="both"/>
        <w:rPr>
          <w:rFonts w:ascii="Arial" w:eastAsia="Calibri" w:hAnsi="Arial" w:cs="Arial"/>
          <w:color w:val="000000" w:themeColor="text1"/>
          <w:sz w:val="22"/>
          <w:lang w:val="es-ES_tradnl"/>
        </w:rPr>
      </w:pPr>
    </w:p>
    <w:p w14:paraId="60978A0D" w14:textId="233B568B" w:rsidR="00DD5B04" w:rsidRPr="00404C61" w:rsidRDefault="00DD5B04" w:rsidP="002A1A58">
      <w:pPr>
        <w:jc w:val="center"/>
        <w:rPr>
          <w:rFonts w:ascii="Arial" w:eastAsia="Calibri" w:hAnsi="Arial" w:cs="Arial"/>
          <w:b/>
          <w:bCs/>
          <w:color w:val="000000" w:themeColor="text1"/>
          <w:sz w:val="22"/>
          <w:lang w:val="es-ES_tradnl"/>
        </w:rPr>
      </w:pPr>
      <w:r w:rsidRPr="005E273D">
        <w:rPr>
          <w:rFonts w:ascii="Arial" w:eastAsia="Calibri" w:hAnsi="Arial" w:cs="Arial"/>
          <w:b/>
          <w:bCs/>
          <w:color w:val="000000" w:themeColor="text1"/>
          <w:sz w:val="22"/>
          <w:lang w:val="es-ES_tradnl"/>
        </w:rPr>
        <w:t>Concepto C</w:t>
      </w:r>
      <w:r w:rsidR="00FE144E"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 xml:space="preserve">‒ </w:t>
      </w:r>
      <w:r w:rsidR="00662F39">
        <w:rPr>
          <w:rFonts w:ascii="Arial" w:eastAsia="Calibri" w:hAnsi="Arial" w:cs="Arial"/>
          <w:b/>
          <w:bCs/>
          <w:color w:val="000000" w:themeColor="text1"/>
          <w:sz w:val="22"/>
          <w:lang w:val="es-ES_tradnl"/>
        </w:rPr>
        <w:t>714</w:t>
      </w:r>
      <w:r w:rsidR="00B52697" w:rsidRPr="005E273D">
        <w:rPr>
          <w:rFonts w:ascii="Arial" w:eastAsia="Calibri" w:hAnsi="Arial" w:cs="Arial"/>
          <w:b/>
          <w:bCs/>
          <w:color w:val="000000" w:themeColor="text1"/>
          <w:sz w:val="22"/>
          <w:lang w:val="es-ES_tradnl"/>
        </w:rPr>
        <w:t xml:space="preserve"> </w:t>
      </w:r>
      <w:r w:rsidRPr="005E273D">
        <w:rPr>
          <w:rFonts w:ascii="Arial" w:eastAsia="Calibri" w:hAnsi="Arial" w:cs="Arial"/>
          <w:b/>
          <w:bCs/>
          <w:color w:val="000000" w:themeColor="text1"/>
          <w:sz w:val="22"/>
          <w:lang w:val="es-ES_tradnl"/>
        </w:rPr>
        <w:t>de 2020</w:t>
      </w:r>
    </w:p>
    <w:p w14:paraId="3C334747" w14:textId="77777777" w:rsidR="00F02D25" w:rsidRPr="00404C61" w:rsidRDefault="00F02D25" w:rsidP="00DF76A2">
      <w:pPr>
        <w:jc w:val="both"/>
        <w:rPr>
          <w:rFonts w:ascii="Arial" w:eastAsia="Calibri" w:hAnsi="Arial" w:cs="Arial"/>
          <w:color w:val="000000" w:themeColor="text1"/>
          <w:sz w:val="22"/>
          <w:lang w:val="es-ES_tradnl"/>
        </w:rPr>
      </w:pPr>
    </w:p>
    <w:p w14:paraId="50574B19" w14:textId="77777777" w:rsidR="00DD5B04" w:rsidRPr="00404C61"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404C61" w14:paraId="10318206" w14:textId="77777777" w:rsidTr="00083F1B">
        <w:tc>
          <w:tcPr>
            <w:tcW w:w="2689" w:type="dxa"/>
          </w:tcPr>
          <w:p w14:paraId="3FE8DF90" w14:textId="77777777"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b/>
                <w:color w:val="000000" w:themeColor="text1"/>
                <w:sz w:val="22"/>
                <w:lang w:val="es-ES_tradnl"/>
              </w:rPr>
              <w:t>Temas:</w:t>
            </w:r>
            <w:r w:rsidRPr="00404C61">
              <w:rPr>
                <w:rFonts w:ascii="Arial" w:eastAsia="Calibri" w:hAnsi="Arial" w:cs="Arial"/>
                <w:color w:val="000000" w:themeColor="text1"/>
                <w:sz w:val="22"/>
                <w:lang w:val="es-ES_tradnl"/>
              </w:rPr>
              <w:t xml:space="preserve">                                      </w:t>
            </w:r>
          </w:p>
        </w:tc>
        <w:tc>
          <w:tcPr>
            <w:tcW w:w="6237" w:type="dxa"/>
          </w:tcPr>
          <w:p w14:paraId="63D57D37" w14:textId="60B50A1F" w:rsidR="00DD5B04" w:rsidRPr="00404C61" w:rsidRDefault="00BE3442" w:rsidP="00DF76A2">
            <w:pPr>
              <w:jc w:val="both"/>
              <w:rPr>
                <w:rFonts w:ascii="Arial" w:eastAsia="Calibri" w:hAnsi="Arial" w:cs="Arial"/>
                <w:color w:val="000000" w:themeColor="text1"/>
                <w:sz w:val="22"/>
                <w:lang w:val="es-ES_tradnl"/>
              </w:rPr>
            </w:pPr>
            <w:r w:rsidRPr="00EA442D">
              <w:rPr>
                <w:rFonts w:ascii="Arial" w:eastAsia="Calibri" w:hAnsi="Arial" w:cs="Arial"/>
                <w:bCs/>
                <w:sz w:val="22"/>
                <w:lang w:val="es-ES_tradnl"/>
              </w:rPr>
              <w:t xml:space="preserve">PRECIOS UNITARIOS – APU – AIU – Diferencias – Configuración </w:t>
            </w:r>
            <w:r>
              <w:rPr>
                <w:rFonts w:ascii="Arial" w:eastAsia="Calibri" w:hAnsi="Arial" w:cs="Arial"/>
                <w:bCs/>
                <w:sz w:val="22"/>
                <w:lang w:val="es-ES_tradnl"/>
              </w:rPr>
              <w:t xml:space="preserve">/ </w:t>
            </w:r>
            <w:r w:rsidRPr="00EA442D">
              <w:rPr>
                <w:rFonts w:ascii="Arial" w:eastAsia="Calibri" w:hAnsi="Arial" w:cs="Arial"/>
                <w:bCs/>
                <w:sz w:val="22"/>
                <w:lang w:val="es-ES_tradnl"/>
              </w:rPr>
              <w:t>AIU – Costos indirectos – Finalidad – Riesgos inherentes – Ejecución del contrato</w:t>
            </w:r>
            <w:r w:rsidR="00DE7108" w:rsidRPr="00404C61">
              <w:rPr>
                <w:rFonts w:ascii="Arial" w:eastAsia="Arial" w:hAnsi="Arial" w:cs="Arial"/>
                <w:sz w:val="22"/>
                <w:lang w:val="es-ES_tradnl"/>
              </w:rPr>
              <w:t>.</w:t>
            </w:r>
          </w:p>
        </w:tc>
      </w:tr>
      <w:tr w:rsidR="00DD5B04" w:rsidRPr="00404C61" w14:paraId="60E06E0C" w14:textId="77777777" w:rsidTr="00083F1B">
        <w:tc>
          <w:tcPr>
            <w:tcW w:w="2689" w:type="dxa"/>
          </w:tcPr>
          <w:p w14:paraId="5655C7E4" w14:textId="77777777" w:rsidR="00DD5B04" w:rsidRPr="00404C61" w:rsidRDefault="00DD5B04" w:rsidP="00DF76A2">
            <w:pPr>
              <w:spacing w:before="12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Radicación:</w:t>
            </w:r>
            <w:r w:rsidRPr="00404C61">
              <w:rPr>
                <w:rFonts w:ascii="Arial" w:eastAsia="Calibri" w:hAnsi="Arial" w:cs="Arial"/>
                <w:color w:val="000000" w:themeColor="text1"/>
                <w:sz w:val="22"/>
                <w:lang w:val="es-ES_tradnl"/>
              </w:rPr>
              <w:t xml:space="preserve">                              </w:t>
            </w:r>
          </w:p>
        </w:tc>
        <w:tc>
          <w:tcPr>
            <w:tcW w:w="6237" w:type="dxa"/>
          </w:tcPr>
          <w:p w14:paraId="33E25A02" w14:textId="45CF0054"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Respuesta</w:t>
            </w:r>
            <w:r w:rsidR="008100F7" w:rsidRPr="00404C61">
              <w:rPr>
                <w:rFonts w:ascii="Arial" w:eastAsia="Calibri" w:hAnsi="Arial" w:cs="Arial"/>
                <w:color w:val="000000" w:themeColor="text1"/>
                <w:sz w:val="22"/>
                <w:lang w:val="es-ES_tradnl"/>
              </w:rPr>
              <w:t xml:space="preserve"> </w:t>
            </w:r>
            <w:r w:rsidR="00CA5812" w:rsidRPr="00404C61">
              <w:rPr>
                <w:rFonts w:ascii="Arial" w:eastAsia="Calibri" w:hAnsi="Arial" w:cs="Arial"/>
                <w:color w:val="000000" w:themeColor="text1"/>
                <w:sz w:val="22"/>
                <w:lang w:val="es-ES_tradnl"/>
              </w:rPr>
              <w:t xml:space="preserve">a </w:t>
            </w:r>
            <w:r w:rsidRPr="00404C61">
              <w:rPr>
                <w:rFonts w:ascii="Arial" w:eastAsia="Calibri" w:hAnsi="Arial" w:cs="Arial"/>
                <w:color w:val="000000" w:themeColor="text1"/>
                <w:sz w:val="22"/>
                <w:lang w:val="es-ES_tradnl"/>
              </w:rPr>
              <w:t>consulta</w:t>
            </w:r>
            <w:r w:rsidR="008022C9" w:rsidRPr="00404C61">
              <w:rPr>
                <w:rFonts w:ascii="Arial" w:eastAsia="Calibri" w:hAnsi="Arial" w:cs="Arial"/>
                <w:color w:val="000000" w:themeColor="text1"/>
                <w:sz w:val="22"/>
                <w:lang w:val="es-ES_tradnl"/>
              </w:rPr>
              <w:t xml:space="preserve"> </w:t>
            </w:r>
            <w:r w:rsidRPr="00404C61">
              <w:rPr>
                <w:rFonts w:ascii="Arial" w:eastAsia="Calibri" w:hAnsi="Arial" w:cs="Arial"/>
                <w:color w:val="000000" w:themeColor="text1"/>
                <w:sz w:val="22"/>
                <w:lang w:val="es-ES_tradnl"/>
              </w:rPr>
              <w:t xml:space="preserve"># </w:t>
            </w:r>
            <w:r w:rsidR="008C6B89" w:rsidRPr="008C6B89">
              <w:rPr>
                <w:rFonts w:ascii="Arial" w:eastAsia="Calibri" w:hAnsi="Arial" w:cs="Arial"/>
                <w:color w:val="000000" w:themeColor="text1"/>
                <w:sz w:val="22"/>
                <w:lang w:val="es-ES_tradnl"/>
              </w:rPr>
              <w:t>4202013000009689</w:t>
            </w:r>
          </w:p>
          <w:p w14:paraId="0DA3D2F3" w14:textId="77777777" w:rsidR="00DD5B04" w:rsidRPr="00404C61" w:rsidRDefault="00DD5B04" w:rsidP="00DF76A2">
            <w:pPr>
              <w:spacing w:before="120"/>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 </w:t>
            </w:r>
          </w:p>
        </w:tc>
      </w:tr>
    </w:tbl>
    <w:p w14:paraId="3D1F1089" w14:textId="77777777" w:rsidR="005305E5" w:rsidRPr="00404C61" w:rsidRDefault="005305E5" w:rsidP="00DF76A2">
      <w:pPr>
        <w:jc w:val="both"/>
        <w:rPr>
          <w:rFonts w:ascii="Arial" w:eastAsia="Calibri" w:hAnsi="Arial" w:cs="Arial"/>
          <w:color w:val="000000" w:themeColor="text1"/>
          <w:sz w:val="22"/>
          <w:lang w:val="es-ES_tradnl"/>
        </w:rPr>
      </w:pPr>
    </w:p>
    <w:p w14:paraId="30BB5B67" w14:textId="10DAFA3A" w:rsidR="00DD5B04" w:rsidRPr="00404C61" w:rsidRDefault="00DD5B04" w:rsidP="00DF76A2">
      <w:pPr>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Estimad</w:t>
      </w:r>
      <w:r w:rsidR="00EA434E">
        <w:rPr>
          <w:rFonts w:ascii="Arial" w:eastAsia="Calibri" w:hAnsi="Arial" w:cs="Arial"/>
          <w:color w:val="000000" w:themeColor="text1"/>
          <w:sz w:val="22"/>
          <w:lang w:val="es-ES_tradnl"/>
        </w:rPr>
        <w:t>a</w:t>
      </w:r>
      <w:r w:rsidRPr="00404C61">
        <w:rPr>
          <w:rFonts w:ascii="Arial" w:eastAsia="Calibri" w:hAnsi="Arial" w:cs="Arial"/>
          <w:color w:val="000000" w:themeColor="text1"/>
          <w:sz w:val="22"/>
          <w:lang w:val="es-ES_tradnl"/>
        </w:rPr>
        <w:t xml:space="preserve"> señor</w:t>
      </w:r>
      <w:r w:rsidR="00EA434E">
        <w:rPr>
          <w:rFonts w:ascii="Arial" w:eastAsia="Calibri" w:hAnsi="Arial" w:cs="Arial"/>
          <w:color w:val="000000" w:themeColor="text1"/>
          <w:sz w:val="22"/>
          <w:lang w:val="es-ES_tradnl"/>
        </w:rPr>
        <w:t>a</w:t>
      </w:r>
      <w:r w:rsidRPr="00404C61">
        <w:rPr>
          <w:rFonts w:ascii="Arial" w:eastAsia="Calibri" w:hAnsi="Arial" w:cs="Arial"/>
          <w:color w:val="000000" w:themeColor="text1"/>
          <w:sz w:val="22"/>
          <w:lang w:val="es-ES_tradnl"/>
        </w:rPr>
        <w:t xml:space="preserve"> </w:t>
      </w:r>
      <w:r w:rsidR="00EA434E">
        <w:rPr>
          <w:rFonts w:ascii="Arial" w:eastAsia="Calibri" w:hAnsi="Arial" w:cs="Arial"/>
          <w:color w:val="000000" w:themeColor="text1"/>
          <w:sz w:val="22"/>
          <w:lang w:val="es-ES_tradnl"/>
        </w:rPr>
        <w:t>García</w:t>
      </w:r>
      <w:r w:rsidRPr="00404C61">
        <w:rPr>
          <w:rFonts w:ascii="Arial" w:eastAsia="Calibri" w:hAnsi="Arial" w:cs="Arial"/>
          <w:color w:val="000000" w:themeColor="text1"/>
          <w:sz w:val="22"/>
          <w:lang w:val="es-ES_tradnl"/>
        </w:rPr>
        <w:t>:</w:t>
      </w:r>
    </w:p>
    <w:p w14:paraId="1EAE5543" w14:textId="77777777" w:rsidR="00DD5B04" w:rsidRPr="00404C61" w:rsidRDefault="00DD5B04" w:rsidP="00DF76A2">
      <w:pPr>
        <w:jc w:val="both"/>
        <w:rPr>
          <w:rFonts w:ascii="Arial" w:eastAsia="Calibri" w:hAnsi="Arial" w:cs="Arial"/>
          <w:color w:val="000000" w:themeColor="text1"/>
          <w:sz w:val="22"/>
          <w:lang w:val="es-ES_tradnl"/>
        </w:rPr>
      </w:pPr>
    </w:p>
    <w:p w14:paraId="2109B2D3" w14:textId="72E216C4" w:rsidR="00DD5B04" w:rsidRPr="00404C61" w:rsidRDefault="00DD5B04" w:rsidP="00DF76A2">
      <w:pPr>
        <w:spacing w:line="276" w:lineRule="auto"/>
        <w:jc w:val="both"/>
        <w:rPr>
          <w:rFonts w:ascii="Arial" w:eastAsia="Calibri" w:hAnsi="Arial" w:cs="Arial"/>
          <w:color w:val="000000" w:themeColor="text1"/>
          <w:sz w:val="22"/>
          <w:lang w:val="es-ES_tradnl"/>
        </w:rPr>
      </w:pPr>
      <w:r w:rsidRPr="00404C6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D8711B">
        <w:rPr>
          <w:rFonts w:ascii="Arial" w:eastAsia="Calibri" w:hAnsi="Arial" w:cs="Arial"/>
          <w:color w:val="000000" w:themeColor="text1"/>
          <w:sz w:val="22"/>
          <w:lang w:val="es-ES_tradnl"/>
        </w:rPr>
        <w:t>2</w:t>
      </w:r>
      <w:r w:rsidR="00223102">
        <w:rPr>
          <w:rFonts w:ascii="Arial" w:eastAsia="Calibri" w:hAnsi="Arial" w:cs="Arial"/>
          <w:color w:val="000000" w:themeColor="text1"/>
          <w:sz w:val="22"/>
          <w:lang w:val="es-ES_tradnl"/>
        </w:rPr>
        <w:t>6</w:t>
      </w:r>
      <w:r w:rsidR="00FD4AF3" w:rsidRPr="00404C61">
        <w:rPr>
          <w:rFonts w:ascii="Arial" w:eastAsia="Calibri" w:hAnsi="Arial" w:cs="Arial"/>
          <w:color w:val="000000" w:themeColor="text1"/>
          <w:sz w:val="22"/>
          <w:lang w:val="es-ES_tradnl"/>
        </w:rPr>
        <w:t xml:space="preserve"> de </w:t>
      </w:r>
      <w:r w:rsidR="007A0EAB" w:rsidRPr="00404C61">
        <w:rPr>
          <w:rFonts w:ascii="Arial" w:eastAsia="Calibri" w:hAnsi="Arial" w:cs="Arial"/>
          <w:color w:val="000000" w:themeColor="text1"/>
          <w:sz w:val="22"/>
          <w:lang w:val="es-ES_tradnl"/>
        </w:rPr>
        <w:t>octubre</w:t>
      </w:r>
      <w:r w:rsidRPr="00404C61">
        <w:rPr>
          <w:rFonts w:ascii="Arial" w:eastAsia="Calibri" w:hAnsi="Arial" w:cs="Arial"/>
          <w:color w:val="000000" w:themeColor="text1"/>
          <w:sz w:val="22"/>
          <w:lang w:val="es-ES_tradnl"/>
        </w:rPr>
        <w:t xml:space="preserve"> del</w:t>
      </w:r>
      <w:r w:rsidR="007E74BF" w:rsidRPr="00404C61">
        <w:rPr>
          <w:rFonts w:ascii="Arial" w:eastAsia="Calibri" w:hAnsi="Arial" w:cs="Arial"/>
          <w:color w:val="000000" w:themeColor="text1"/>
          <w:sz w:val="22"/>
          <w:lang w:val="es-ES_tradnl"/>
        </w:rPr>
        <w:t xml:space="preserve"> </w:t>
      </w:r>
      <w:r w:rsidRPr="00404C61">
        <w:rPr>
          <w:rFonts w:ascii="Arial" w:eastAsia="Calibri" w:hAnsi="Arial" w:cs="Arial"/>
          <w:color w:val="000000" w:themeColor="text1"/>
          <w:sz w:val="22"/>
          <w:lang w:val="es-ES_tradnl"/>
        </w:rPr>
        <w:t>2020</w:t>
      </w:r>
      <w:r w:rsidR="00FD4AF3" w:rsidRPr="00404C61">
        <w:rPr>
          <w:rFonts w:ascii="Arial" w:eastAsia="Calibri" w:hAnsi="Arial" w:cs="Arial"/>
          <w:color w:val="000000" w:themeColor="text1"/>
          <w:sz w:val="22"/>
          <w:lang w:val="es-ES_tradnl"/>
        </w:rPr>
        <w:t>.</w:t>
      </w:r>
    </w:p>
    <w:p w14:paraId="0C1E0712" w14:textId="77777777" w:rsidR="00DD5B04" w:rsidRPr="00404C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404C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 xml:space="preserve">Problema planteado </w:t>
      </w:r>
    </w:p>
    <w:p w14:paraId="224B43D3" w14:textId="77777777" w:rsidR="00DD5B04" w:rsidRPr="00404C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8F61693" w:rsidR="00443B55" w:rsidRPr="00404C61" w:rsidRDefault="00DD5B04" w:rsidP="0099583D">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 xml:space="preserve">Usted </w:t>
      </w:r>
      <w:r w:rsidR="00B422C0" w:rsidRPr="00404C61">
        <w:rPr>
          <w:rFonts w:ascii="Arial" w:hAnsi="Arial" w:cs="Arial"/>
          <w:color w:val="000000" w:themeColor="text1"/>
          <w:sz w:val="22"/>
          <w:lang w:val="es-ES_tradnl"/>
        </w:rPr>
        <w:t>formula</w:t>
      </w:r>
      <w:r w:rsidR="006D46A3" w:rsidRPr="00404C61">
        <w:rPr>
          <w:rFonts w:ascii="Arial" w:hAnsi="Arial" w:cs="Arial"/>
          <w:color w:val="000000" w:themeColor="text1"/>
          <w:sz w:val="22"/>
          <w:lang w:val="es-ES_tradnl"/>
        </w:rPr>
        <w:t xml:space="preserve"> la</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siguiente</w:t>
      </w:r>
      <w:r w:rsidR="00443B55" w:rsidRPr="00404C61">
        <w:rPr>
          <w:rFonts w:ascii="Arial" w:hAnsi="Arial" w:cs="Arial"/>
          <w:color w:val="000000" w:themeColor="text1"/>
          <w:sz w:val="22"/>
          <w:lang w:val="es-ES_tradnl"/>
        </w:rPr>
        <w:t>s</w:t>
      </w:r>
      <w:r w:rsidR="006D46A3" w:rsidRPr="00404C61">
        <w:rPr>
          <w:rFonts w:ascii="Arial" w:hAnsi="Arial" w:cs="Arial"/>
          <w:color w:val="000000" w:themeColor="text1"/>
          <w:sz w:val="22"/>
          <w:lang w:val="es-ES_tradnl"/>
        </w:rPr>
        <w:t xml:space="preserve"> pregunta</w:t>
      </w:r>
      <w:r w:rsidR="00443B55" w:rsidRPr="00404C61">
        <w:rPr>
          <w:rFonts w:ascii="Arial" w:hAnsi="Arial" w:cs="Arial"/>
          <w:color w:val="000000" w:themeColor="text1"/>
          <w:sz w:val="22"/>
          <w:lang w:val="es-ES_tradnl"/>
        </w:rPr>
        <w:t>s</w:t>
      </w:r>
      <w:r w:rsidR="00B422C0" w:rsidRPr="00404C61">
        <w:rPr>
          <w:rFonts w:ascii="Arial" w:hAnsi="Arial" w:cs="Arial"/>
          <w:color w:val="000000" w:themeColor="text1"/>
          <w:sz w:val="22"/>
          <w:lang w:val="es-ES_tradnl"/>
        </w:rPr>
        <w:t>:</w:t>
      </w:r>
      <w:r w:rsidR="007E18DF" w:rsidRPr="00404C61">
        <w:rPr>
          <w:rFonts w:ascii="Arial" w:hAnsi="Arial" w:cs="Arial"/>
          <w:color w:val="000000" w:themeColor="text1"/>
          <w:sz w:val="22"/>
          <w:lang w:val="es-ES_tradnl"/>
        </w:rPr>
        <w:t xml:space="preserve"> </w:t>
      </w:r>
    </w:p>
    <w:p w14:paraId="559EE20C" w14:textId="77777777" w:rsidR="00443B55" w:rsidRPr="00404C61" w:rsidRDefault="00443B55" w:rsidP="0099583D">
      <w:pPr>
        <w:spacing w:line="276" w:lineRule="auto"/>
        <w:jc w:val="both"/>
        <w:rPr>
          <w:rFonts w:ascii="Arial" w:hAnsi="Arial" w:cs="Arial"/>
          <w:color w:val="000000" w:themeColor="text1"/>
          <w:sz w:val="22"/>
          <w:lang w:val="es-ES_tradnl"/>
        </w:rPr>
      </w:pPr>
    </w:p>
    <w:p w14:paraId="5C17F179" w14:textId="4520B773" w:rsidR="003A1561" w:rsidRPr="003A1561" w:rsidRDefault="00443B55" w:rsidP="003A1561">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003A1561" w:rsidRPr="003A1561">
        <w:rPr>
          <w:rFonts w:ascii="Arial" w:hAnsi="Arial" w:cs="Arial"/>
          <w:color w:val="000000" w:themeColor="text1"/>
          <w:sz w:val="21"/>
          <w:szCs w:val="21"/>
          <w:lang w:val="es-ES_tradnl"/>
        </w:rPr>
        <w:t xml:space="preserve">Respetuosamente nos permitimos elevar consulta respecto al siguiente tema concerniente al AIU o AU de los Contrato de Obra </w:t>
      </w:r>
      <w:r w:rsidR="00F300A8" w:rsidRPr="003A1561">
        <w:rPr>
          <w:rFonts w:ascii="Arial" w:hAnsi="Arial" w:cs="Arial"/>
          <w:color w:val="000000" w:themeColor="text1"/>
          <w:sz w:val="21"/>
          <w:szCs w:val="21"/>
          <w:lang w:val="es-ES_tradnl"/>
        </w:rPr>
        <w:t>Pública</w:t>
      </w:r>
      <w:r w:rsidR="003A1561" w:rsidRPr="003A1561">
        <w:rPr>
          <w:rFonts w:ascii="Arial" w:hAnsi="Arial" w:cs="Arial"/>
          <w:color w:val="000000" w:themeColor="text1"/>
          <w:sz w:val="21"/>
          <w:szCs w:val="21"/>
          <w:lang w:val="es-ES_tradnl"/>
        </w:rPr>
        <w:t xml:space="preserve"> celebrados con entidades estatales, </w:t>
      </w:r>
      <w:r w:rsidR="00F300A8" w:rsidRPr="003A1561">
        <w:rPr>
          <w:rFonts w:ascii="Arial" w:hAnsi="Arial" w:cs="Arial"/>
          <w:color w:val="000000" w:themeColor="text1"/>
          <w:sz w:val="21"/>
          <w:szCs w:val="21"/>
          <w:lang w:val="es-ES_tradnl"/>
        </w:rPr>
        <w:t>as</w:t>
      </w:r>
      <w:r w:rsidR="00F300A8">
        <w:rPr>
          <w:rFonts w:ascii="Arial" w:hAnsi="Arial" w:cs="Arial"/>
          <w:color w:val="000000" w:themeColor="text1"/>
          <w:sz w:val="21"/>
          <w:szCs w:val="21"/>
          <w:lang w:val="es-ES_tradnl"/>
        </w:rPr>
        <w:t>í</w:t>
      </w:r>
      <w:r w:rsidR="003A1561" w:rsidRPr="003A1561">
        <w:rPr>
          <w:rFonts w:ascii="Arial" w:hAnsi="Arial" w:cs="Arial"/>
          <w:color w:val="000000" w:themeColor="text1"/>
          <w:sz w:val="21"/>
          <w:szCs w:val="21"/>
          <w:lang w:val="es-ES_tradnl"/>
        </w:rPr>
        <w:t>:</w:t>
      </w:r>
    </w:p>
    <w:p w14:paraId="1D97A725" w14:textId="77777777" w:rsidR="003A1561" w:rsidRPr="003A1561" w:rsidRDefault="003A1561" w:rsidP="003A1561">
      <w:pPr>
        <w:ind w:left="709" w:right="709"/>
        <w:jc w:val="both"/>
        <w:rPr>
          <w:rFonts w:ascii="Arial" w:hAnsi="Arial" w:cs="Arial"/>
          <w:color w:val="000000" w:themeColor="text1"/>
          <w:sz w:val="21"/>
          <w:szCs w:val="21"/>
          <w:lang w:val="es-ES_tradnl"/>
        </w:rPr>
      </w:pPr>
    </w:p>
    <w:p w14:paraId="5DF3F767" w14:textId="3B1AA9CF" w:rsidR="003A1561" w:rsidRDefault="00F300A8" w:rsidP="003A15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1561" w:rsidRPr="003A1561">
        <w:rPr>
          <w:rFonts w:ascii="Arial" w:hAnsi="Arial" w:cs="Arial"/>
          <w:color w:val="000000" w:themeColor="text1"/>
          <w:sz w:val="21"/>
          <w:szCs w:val="21"/>
          <w:lang w:val="es-ES_tradnl"/>
        </w:rPr>
        <w:t>1. ¿Es el AIU o AU de los contratos una partida considerada como parte de la estructura de costos del contrato?</w:t>
      </w:r>
    </w:p>
    <w:p w14:paraId="08F14D2F" w14:textId="77777777" w:rsidR="00F300A8" w:rsidRPr="003A1561" w:rsidRDefault="00F300A8" w:rsidP="003A1561">
      <w:pPr>
        <w:ind w:left="709" w:right="709"/>
        <w:jc w:val="both"/>
        <w:rPr>
          <w:rFonts w:ascii="Arial" w:hAnsi="Arial" w:cs="Arial"/>
          <w:color w:val="000000" w:themeColor="text1"/>
          <w:sz w:val="21"/>
          <w:szCs w:val="21"/>
          <w:lang w:val="es-ES_tradnl"/>
        </w:rPr>
      </w:pPr>
    </w:p>
    <w:p w14:paraId="736716C3" w14:textId="1DCE11E7" w:rsidR="003A1561" w:rsidRPr="003A1561" w:rsidRDefault="00F300A8" w:rsidP="003A15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1561" w:rsidRPr="003A1561">
        <w:rPr>
          <w:rFonts w:ascii="Arial" w:hAnsi="Arial" w:cs="Arial"/>
          <w:color w:val="000000" w:themeColor="text1"/>
          <w:sz w:val="21"/>
          <w:szCs w:val="21"/>
          <w:lang w:val="es-ES_tradnl"/>
        </w:rPr>
        <w:t xml:space="preserve">2. ¿Existe una relativa libertad del contratista en la </w:t>
      </w:r>
      <w:r w:rsidRPr="003A1561">
        <w:rPr>
          <w:rFonts w:ascii="Arial" w:hAnsi="Arial" w:cs="Arial"/>
          <w:color w:val="000000" w:themeColor="text1"/>
          <w:sz w:val="21"/>
          <w:szCs w:val="21"/>
          <w:lang w:val="es-ES_tradnl"/>
        </w:rPr>
        <w:t>destinación</w:t>
      </w:r>
      <w:r w:rsidR="003A1561" w:rsidRPr="003A1561">
        <w:rPr>
          <w:rFonts w:ascii="Arial" w:hAnsi="Arial" w:cs="Arial"/>
          <w:color w:val="000000" w:themeColor="text1"/>
          <w:sz w:val="21"/>
          <w:szCs w:val="21"/>
          <w:lang w:val="es-ES_tradnl"/>
        </w:rPr>
        <w:t xml:space="preserve"> de esa partida, salvo </w:t>
      </w:r>
      <w:r w:rsidRPr="003A1561">
        <w:rPr>
          <w:rFonts w:ascii="Arial" w:hAnsi="Arial" w:cs="Arial"/>
          <w:color w:val="000000" w:themeColor="text1"/>
          <w:sz w:val="21"/>
          <w:szCs w:val="21"/>
          <w:lang w:val="es-ES_tradnl"/>
        </w:rPr>
        <w:t>disposición</w:t>
      </w:r>
      <w:r w:rsidR="003A1561" w:rsidRPr="003A1561">
        <w:rPr>
          <w:rFonts w:ascii="Arial" w:hAnsi="Arial" w:cs="Arial"/>
          <w:color w:val="000000" w:themeColor="text1"/>
          <w:sz w:val="21"/>
          <w:szCs w:val="21"/>
          <w:lang w:val="es-ES_tradnl"/>
        </w:rPr>
        <w:t xml:space="preserve"> contractual en contrario?</w:t>
      </w:r>
    </w:p>
    <w:p w14:paraId="54E129B4" w14:textId="2C2AB587" w:rsidR="003A1561" w:rsidRDefault="00F300A8" w:rsidP="003A15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1561" w:rsidRPr="003A1561">
        <w:rPr>
          <w:rFonts w:ascii="Arial" w:hAnsi="Arial" w:cs="Arial"/>
          <w:color w:val="000000" w:themeColor="text1"/>
          <w:sz w:val="21"/>
          <w:szCs w:val="21"/>
          <w:lang w:val="es-ES_tradnl"/>
        </w:rPr>
        <w:t xml:space="preserve">3. ¿Debe rendir cuentas un contratista de obra sobre los </w:t>
      </w:r>
      <w:r w:rsidRPr="003A1561">
        <w:rPr>
          <w:rFonts w:ascii="Arial" w:hAnsi="Arial" w:cs="Arial"/>
          <w:color w:val="000000" w:themeColor="text1"/>
          <w:sz w:val="21"/>
          <w:szCs w:val="21"/>
          <w:lang w:val="es-ES_tradnl"/>
        </w:rPr>
        <w:t>ítems</w:t>
      </w:r>
      <w:r w:rsidR="003A1561" w:rsidRPr="003A1561">
        <w:rPr>
          <w:rFonts w:ascii="Arial" w:hAnsi="Arial" w:cs="Arial"/>
          <w:color w:val="000000" w:themeColor="text1"/>
          <w:sz w:val="21"/>
          <w:szCs w:val="21"/>
          <w:lang w:val="es-ES_tradnl"/>
        </w:rPr>
        <w:t xml:space="preserve"> determinados en la A, en la I y en la U?</w:t>
      </w:r>
    </w:p>
    <w:p w14:paraId="7D82D162" w14:textId="77777777" w:rsidR="00F300A8" w:rsidRPr="003A1561" w:rsidRDefault="00F300A8" w:rsidP="003A1561">
      <w:pPr>
        <w:ind w:left="709" w:right="709"/>
        <w:jc w:val="both"/>
        <w:rPr>
          <w:rFonts w:ascii="Arial" w:hAnsi="Arial" w:cs="Arial"/>
          <w:color w:val="000000" w:themeColor="text1"/>
          <w:sz w:val="21"/>
          <w:szCs w:val="21"/>
          <w:lang w:val="es-ES_tradnl"/>
        </w:rPr>
      </w:pPr>
    </w:p>
    <w:p w14:paraId="7E8B8948" w14:textId="0AC5FD2E" w:rsidR="008D1A2A" w:rsidRPr="00404C61" w:rsidRDefault="00F300A8" w:rsidP="003A1561">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3A1561" w:rsidRPr="003A1561">
        <w:rPr>
          <w:rFonts w:ascii="Arial" w:hAnsi="Arial" w:cs="Arial"/>
          <w:color w:val="000000" w:themeColor="text1"/>
          <w:sz w:val="21"/>
          <w:szCs w:val="21"/>
          <w:lang w:val="es-ES_tradnl"/>
        </w:rPr>
        <w:t xml:space="preserve">4. ¿La entidad estatal contratante puede solicitar al contratista una </w:t>
      </w:r>
      <w:r w:rsidRPr="003A1561">
        <w:rPr>
          <w:rFonts w:ascii="Arial" w:hAnsi="Arial" w:cs="Arial"/>
          <w:color w:val="000000" w:themeColor="text1"/>
          <w:sz w:val="21"/>
          <w:szCs w:val="21"/>
          <w:lang w:val="es-ES_tradnl"/>
        </w:rPr>
        <w:t>devolución</w:t>
      </w:r>
      <w:r w:rsidR="003A1561" w:rsidRPr="003A1561">
        <w:rPr>
          <w:rFonts w:ascii="Arial" w:hAnsi="Arial" w:cs="Arial"/>
          <w:color w:val="000000" w:themeColor="text1"/>
          <w:sz w:val="21"/>
          <w:szCs w:val="21"/>
          <w:lang w:val="es-ES_tradnl"/>
        </w:rPr>
        <w:t xml:space="preserve"> de los recursos contemplados en el AIU o AU, o </w:t>
      </w:r>
      <w:r w:rsidRPr="003A1561">
        <w:rPr>
          <w:rFonts w:ascii="Arial" w:hAnsi="Arial" w:cs="Arial"/>
          <w:color w:val="000000" w:themeColor="text1"/>
          <w:sz w:val="21"/>
          <w:szCs w:val="21"/>
          <w:lang w:val="es-ES_tradnl"/>
        </w:rPr>
        <w:t>podrá</w:t>
      </w:r>
      <w:r w:rsidR="003A1561" w:rsidRPr="003A1561">
        <w:rPr>
          <w:rFonts w:ascii="Arial" w:hAnsi="Arial" w:cs="Arial"/>
          <w:color w:val="000000" w:themeColor="text1"/>
          <w:sz w:val="21"/>
          <w:szCs w:val="21"/>
          <w:lang w:val="es-ES_tradnl"/>
        </w:rPr>
        <w:t xml:space="preserve"> exigir justificaciones o soportes de la </w:t>
      </w:r>
      <w:r w:rsidRPr="003A1561">
        <w:rPr>
          <w:rFonts w:ascii="Arial" w:hAnsi="Arial" w:cs="Arial"/>
          <w:color w:val="000000" w:themeColor="text1"/>
          <w:sz w:val="21"/>
          <w:szCs w:val="21"/>
          <w:lang w:val="es-ES_tradnl"/>
        </w:rPr>
        <w:t>inversión</w:t>
      </w:r>
      <w:r w:rsidR="003A1561" w:rsidRPr="003A1561">
        <w:rPr>
          <w:rFonts w:ascii="Arial" w:hAnsi="Arial" w:cs="Arial"/>
          <w:color w:val="000000" w:themeColor="text1"/>
          <w:sz w:val="21"/>
          <w:szCs w:val="21"/>
          <w:lang w:val="es-ES_tradnl"/>
        </w:rPr>
        <w:t xml:space="preserve"> realizada en estos conceptos?</w:t>
      </w:r>
      <w:r w:rsidR="00F23759" w:rsidRPr="00404C61">
        <w:rPr>
          <w:rFonts w:ascii="Arial" w:hAnsi="Arial" w:cs="Arial"/>
          <w:color w:val="000000" w:themeColor="text1"/>
          <w:sz w:val="21"/>
          <w:szCs w:val="21"/>
          <w:lang w:val="es-ES_tradnl"/>
        </w:rPr>
        <w:t>»</w:t>
      </w:r>
      <w:r w:rsidR="00D32A27" w:rsidRPr="00404C61">
        <w:rPr>
          <w:rFonts w:ascii="Arial" w:hAnsi="Arial" w:cs="Arial"/>
          <w:color w:val="000000" w:themeColor="text1"/>
          <w:sz w:val="21"/>
          <w:szCs w:val="21"/>
          <w:lang w:val="es-ES_tradnl"/>
        </w:rPr>
        <w:t>.</w:t>
      </w:r>
    </w:p>
    <w:p w14:paraId="5354A87B" w14:textId="77777777" w:rsidR="00CF24FE" w:rsidRPr="00404C61" w:rsidRDefault="00CF24FE" w:rsidP="006A457D">
      <w:pPr>
        <w:spacing w:line="276" w:lineRule="auto"/>
        <w:jc w:val="both"/>
        <w:rPr>
          <w:rFonts w:ascii="Arial" w:hAnsi="Arial" w:cs="Arial"/>
          <w:color w:val="000000" w:themeColor="text1"/>
          <w:sz w:val="22"/>
          <w:lang w:val="es-ES_tradnl"/>
        </w:rPr>
      </w:pPr>
    </w:p>
    <w:p w14:paraId="124D2DCA" w14:textId="77777777" w:rsidR="00DD5B04" w:rsidRPr="00404C6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Consideraciones</w:t>
      </w:r>
    </w:p>
    <w:p w14:paraId="35E25E39" w14:textId="28CA4E22" w:rsidR="00DD5B04" w:rsidRPr="00404C61" w:rsidRDefault="00DD5B04" w:rsidP="00DF76A2">
      <w:pPr>
        <w:spacing w:line="276" w:lineRule="auto"/>
        <w:jc w:val="both"/>
        <w:rPr>
          <w:rFonts w:ascii="Arial" w:eastAsia="Calibri" w:hAnsi="Arial" w:cs="Arial"/>
          <w:color w:val="000000" w:themeColor="text1"/>
          <w:sz w:val="20"/>
          <w:szCs w:val="20"/>
          <w:lang w:val="es-ES_tradnl"/>
        </w:rPr>
      </w:pPr>
    </w:p>
    <w:p w14:paraId="20753499" w14:textId="6E645518" w:rsidR="005C529E" w:rsidRPr="00B024ED" w:rsidRDefault="005C529E" w:rsidP="00B024ED">
      <w:pPr>
        <w:spacing w:line="276" w:lineRule="auto"/>
        <w:contextualSpacing/>
        <w:jc w:val="both"/>
        <w:rPr>
          <w:rFonts w:ascii="Arial" w:hAnsi="Arial" w:cs="Arial"/>
          <w:sz w:val="22"/>
          <w:lang w:val="es-ES"/>
        </w:rPr>
      </w:pPr>
      <w:r w:rsidRPr="00404C61">
        <w:rPr>
          <w:rFonts w:ascii="Arial" w:eastAsia="Calibri" w:hAnsi="Arial" w:cs="Arial"/>
          <w:color w:val="000000"/>
          <w:sz w:val="22"/>
          <w:lang w:val="es-ES_tradnl" w:eastAsia="en-GB"/>
        </w:rPr>
        <w:t xml:space="preserve">Para abordar </w:t>
      </w:r>
      <w:r w:rsidR="00866495">
        <w:rPr>
          <w:rFonts w:ascii="Arial" w:eastAsia="Calibri" w:hAnsi="Arial" w:cs="Arial"/>
          <w:color w:val="000000"/>
          <w:sz w:val="22"/>
          <w:lang w:val="es-ES_tradnl" w:eastAsia="en-GB"/>
        </w:rPr>
        <w:t>los</w:t>
      </w:r>
      <w:r w:rsidRPr="00404C61">
        <w:rPr>
          <w:rFonts w:ascii="Arial" w:eastAsia="Calibri" w:hAnsi="Arial" w:cs="Arial"/>
          <w:color w:val="000000"/>
          <w:sz w:val="22"/>
          <w:lang w:val="es-ES_tradnl" w:eastAsia="en-GB"/>
        </w:rPr>
        <w:t xml:space="preserve"> interrogante</w:t>
      </w:r>
      <w:r w:rsidR="00866495">
        <w:rPr>
          <w:rFonts w:ascii="Arial" w:eastAsia="Calibri" w:hAnsi="Arial" w:cs="Arial"/>
          <w:color w:val="000000"/>
          <w:sz w:val="22"/>
          <w:lang w:val="es-ES_tradnl" w:eastAsia="en-GB"/>
        </w:rPr>
        <w:t>s</w:t>
      </w:r>
      <w:r w:rsidRPr="00404C61">
        <w:rPr>
          <w:rFonts w:ascii="Arial" w:eastAsia="Calibri" w:hAnsi="Arial" w:cs="Arial"/>
          <w:color w:val="000000"/>
          <w:sz w:val="22"/>
          <w:lang w:val="es-ES_tradnl" w:eastAsia="en-GB"/>
        </w:rPr>
        <w:t xml:space="preserve"> planteado</w:t>
      </w:r>
      <w:r w:rsidR="00866495">
        <w:rPr>
          <w:rFonts w:ascii="Arial" w:eastAsia="Calibri" w:hAnsi="Arial" w:cs="Arial"/>
          <w:color w:val="000000"/>
          <w:sz w:val="22"/>
          <w:lang w:val="es-ES_tradnl" w:eastAsia="en-GB"/>
        </w:rPr>
        <w:t>s</w:t>
      </w:r>
      <w:r w:rsidR="007B303E">
        <w:rPr>
          <w:rFonts w:ascii="Arial" w:eastAsia="Calibri" w:hAnsi="Arial" w:cs="Arial"/>
          <w:color w:val="000000"/>
          <w:sz w:val="22"/>
          <w:lang w:val="es-ES_tradnl" w:eastAsia="en-GB"/>
        </w:rPr>
        <w:t>,</w:t>
      </w:r>
      <w:r w:rsidRPr="00404C61">
        <w:rPr>
          <w:rFonts w:ascii="Arial" w:eastAsia="Calibri" w:hAnsi="Arial" w:cs="Arial"/>
          <w:color w:val="000000"/>
          <w:sz w:val="22"/>
          <w:lang w:val="es-ES_tradnl" w:eastAsia="en-GB"/>
        </w:rPr>
        <w:t xml:space="preserve"> se analizarán los siguientes temas:</w:t>
      </w:r>
      <w:r w:rsidR="00910683">
        <w:rPr>
          <w:rFonts w:ascii="Arial" w:eastAsia="Calibri" w:hAnsi="Arial" w:cs="Arial"/>
          <w:color w:val="000000"/>
          <w:sz w:val="22"/>
          <w:lang w:val="es-ES_tradnl" w:eastAsia="en-GB"/>
        </w:rPr>
        <w:t xml:space="preserve"> </w:t>
      </w:r>
      <w:r w:rsidR="00B024ED">
        <w:rPr>
          <w:rFonts w:ascii="Arial" w:eastAsia="Calibri" w:hAnsi="Arial" w:cs="Arial"/>
          <w:color w:val="000000"/>
          <w:sz w:val="22"/>
          <w:lang w:val="es-ES_tradnl" w:eastAsia="en-GB"/>
        </w:rPr>
        <w:t>i</w:t>
      </w:r>
      <w:r w:rsidR="00910683">
        <w:rPr>
          <w:rFonts w:ascii="Arial" w:eastAsia="Calibri" w:hAnsi="Arial" w:cs="Arial"/>
          <w:color w:val="000000"/>
          <w:sz w:val="22"/>
          <w:lang w:val="es-ES_tradnl" w:eastAsia="en-GB"/>
        </w:rPr>
        <w:t xml:space="preserve">) </w:t>
      </w:r>
      <w:r w:rsidR="00DE064A">
        <w:rPr>
          <w:rFonts w:ascii="Arial" w:eastAsia="Calibri" w:hAnsi="Arial" w:cs="Arial"/>
          <w:color w:val="000000"/>
          <w:sz w:val="22"/>
          <w:lang w:val="es-ES_tradnl" w:eastAsia="en-GB"/>
        </w:rPr>
        <w:t>a</w:t>
      </w:r>
      <w:r w:rsidR="00DE064A" w:rsidRPr="00DE064A">
        <w:rPr>
          <w:rFonts w:ascii="Arial" w:eastAsia="Calibri" w:hAnsi="Arial" w:cs="Arial"/>
          <w:color w:val="000000"/>
          <w:sz w:val="22"/>
          <w:lang w:val="es-ES_tradnl" w:eastAsia="en-GB"/>
        </w:rPr>
        <w:t>utonomía</w:t>
      </w:r>
      <w:r w:rsidR="00B024ED">
        <w:rPr>
          <w:rFonts w:ascii="Arial" w:eastAsia="Calibri" w:hAnsi="Arial" w:cs="Arial"/>
          <w:color w:val="000000"/>
          <w:sz w:val="22"/>
          <w:lang w:val="es-ES_tradnl" w:eastAsia="en-GB"/>
        </w:rPr>
        <w:t xml:space="preserve"> de las entidades estatales</w:t>
      </w:r>
      <w:r w:rsidR="00DE064A" w:rsidRPr="00DE064A">
        <w:rPr>
          <w:rFonts w:ascii="Arial" w:eastAsia="Calibri" w:hAnsi="Arial" w:cs="Arial"/>
          <w:color w:val="000000"/>
          <w:sz w:val="22"/>
          <w:lang w:val="es-ES_tradnl" w:eastAsia="en-GB"/>
        </w:rPr>
        <w:t xml:space="preserve"> para incluir el AIU –Administración, Imprevistos y Utilidad–, como metodología para calcular el precio en los contratos estatales</w:t>
      </w:r>
      <w:r w:rsidR="00607E9F">
        <w:rPr>
          <w:rFonts w:ascii="Arial" w:eastAsia="Calibri" w:hAnsi="Arial" w:cs="Arial"/>
          <w:color w:val="000000"/>
          <w:sz w:val="22"/>
          <w:lang w:val="es-ES_tradnl" w:eastAsia="en-GB"/>
        </w:rPr>
        <w:t xml:space="preserve"> y ii) </w:t>
      </w:r>
      <w:r w:rsidR="00EC73DE">
        <w:rPr>
          <w:rFonts w:ascii="Arial" w:eastAsia="Calibri" w:hAnsi="Arial" w:cs="Arial"/>
          <w:color w:val="000000"/>
          <w:sz w:val="22"/>
          <w:lang w:val="es-ES_tradnl" w:eastAsia="en-GB"/>
        </w:rPr>
        <w:t>gestión</w:t>
      </w:r>
      <w:r w:rsidR="00607E9F">
        <w:rPr>
          <w:rFonts w:ascii="Arial" w:eastAsia="Calibri" w:hAnsi="Arial" w:cs="Arial"/>
          <w:color w:val="000000"/>
          <w:sz w:val="22"/>
          <w:lang w:val="es-ES_tradnl" w:eastAsia="en-GB"/>
        </w:rPr>
        <w:t xml:space="preserve"> contractual de los componentes del AIU.</w:t>
      </w:r>
    </w:p>
    <w:p w14:paraId="7C2FAB5A" w14:textId="4E017B2E" w:rsidR="000473E8" w:rsidRPr="000473E8" w:rsidRDefault="000473E8" w:rsidP="00B024ED">
      <w:pPr>
        <w:tabs>
          <w:tab w:val="left" w:pos="0"/>
        </w:tabs>
        <w:spacing w:before="120" w:line="276" w:lineRule="auto"/>
        <w:ind w:firstLine="709"/>
        <w:jc w:val="both"/>
        <w:rPr>
          <w:rFonts w:ascii="Arial" w:eastAsia="Calibri" w:hAnsi="Arial" w:cs="Arial"/>
          <w:bCs/>
          <w:sz w:val="22"/>
          <w:lang w:val="es-ES_tradnl"/>
        </w:rPr>
      </w:pPr>
      <w:r w:rsidRPr="000473E8">
        <w:rPr>
          <w:rFonts w:ascii="Arial" w:eastAsia="Calibri" w:hAnsi="Arial" w:cs="Arial"/>
          <w:bCs/>
          <w:sz w:val="22"/>
          <w:lang w:val="es-ES_tradnl"/>
        </w:rPr>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sidRPr="000473E8">
        <w:rPr>
          <w:rFonts w:ascii="Arial" w:eastAsia="Calibri" w:hAnsi="Arial" w:cs="Arial"/>
          <w:sz w:val="22"/>
          <w:lang w:val="es-ES_tradnl"/>
        </w:rPr>
        <w:t xml:space="preserve"> y 4201912000006463 del 19 de septiembre de 2019; 4201912000007375 del 28 de octubre de 2019; </w:t>
      </w:r>
      <w:r w:rsidRPr="000473E8">
        <w:rPr>
          <w:rFonts w:ascii="Arial" w:eastAsia="Calibri" w:hAnsi="Arial" w:cs="Arial"/>
          <w:sz w:val="22"/>
          <w:lang w:val="es-MX"/>
        </w:rPr>
        <w:t>4201912000007092 del 29 de noviembre de 2019;</w:t>
      </w:r>
      <w:r w:rsidRPr="000473E8">
        <w:rPr>
          <w:rFonts w:ascii="Arial" w:eastAsia="Calibri" w:hAnsi="Arial" w:cs="Arial"/>
          <w:sz w:val="22"/>
          <w:lang w:val="es-ES_tradnl"/>
        </w:rPr>
        <w:t xml:space="preserve"> 4202012000000093</w:t>
      </w:r>
      <w:r>
        <w:rPr>
          <w:rFonts w:ascii="Arial" w:eastAsia="Calibri" w:hAnsi="Arial" w:cs="Arial"/>
          <w:sz w:val="22"/>
          <w:lang w:val="es-ES_tradnl"/>
        </w:rPr>
        <w:t xml:space="preserve">, </w:t>
      </w:r>
      <w:r w:rsidRPr="000473E8">
        <w:rPr>
          <w:rFonts w:ascii="Arial" w:eastAsia="Calibri" w:hAnsi="Arial" w:cs="Arial"/>
          <w:sz w:val="22"/>
          <w:lang w:val="es-ES_tradnl"/>
        </w:rPr>
        <w:t>C–037 del 28 de enero de 2020</w:t>
      </w:r>
      <w:r w:rsidR="0049030C">
        <w:rPr>
          <w:rFonts w:ascii="Arial" w:eastAsia="Calibri" w:hAnsi="Arial" w:cs="Arial"/>
          <w:sz w:val="22"/>
          <w:lang w:val="es-ES_tradnl"/>
        </w:rPr>
        <w:t xml:space="preserve">, </w:t>
      </w:r>
      <w:r w:rsidRPr="000473E8">
        <w:rPr>
          <w:rFonts w:ascii="Arial" w:eastAsia="Calibri" w:hAnsi="Arial" w:cs="Arial"/>
          <w:sz w:val="22"/>
          <w:lang w:val="es-ES_tradnl"/>
        </w:rPr>
        <w:t>4202012000000664 del 30 de enero de 2020</w:t>
      </w:r>
      <w:r w:rsidR="0049030C">
        <w:rPr>
          <w:rFonts w:ascii="Arial" w:eastAsia="Calibri" w:hAnsi="Arial" w:cs="Arial"/>
          <w:sz w:val="22"/>
          <w:lang w:val="es-ES_tradnl"/>
        </w:rPr>
        <w:t xml:space="preserve">, </w:t>
      </w:r>
      <w:r w:rsidR="0020022E">
        <w:rPr>
          <w:rFonts w:ascii="Arial" w:eastAsia="Calibri" w:hAnsi="Arial" w:cs="Arial"/>
          <w:sz w:val="22"/>
          <w:lang w:val="es-ES_tradnl"/>
        </w:rPr>
        <w:t>C-191 del 16 de marzo de 2020</w:t>
      </w:r>
      <w:r w:rsidR="004370FA">
        <w:rPr>
          <w:rFonts w:ascii="Arial" w:eastAsia="Calibri" w:hAnsi="Arial" w:cs="Arial"/>
          <w:sz w:val="22"/>
          <w:lang w:val="es-ES_tradnl"/>
        </w:rPr>
        <w:t xml:space="preserve"> y C-211 del 8 de abril de 2020</w:t>
      </w:r>
      <w:r w:rsidRPr="000473E8">
        <w:rPr>
          <w:rFonts w:ascii="Arial" w:eastAsia="Calibri" w:hAnsi="Arial" w:cs="Arial"/>
          <w:sz w:val="22"/>
          <w:lang w:val="es-ES_tradnl"/>
        </w:rPr>
        <w:t xml:space="preserve">. En estos conceptos la Agencia ha precisado que el AIU –Administración, Imprevistos y Utilidad– no está definido normativamente, sino que es una figura empleada en la práctica de los negocios. </w:t>
      </w:r>
      <w:r w:rsidR="00491D3C">
        <w:rPr>
          <w:rFonts w:ascii="Arial" w:eastAsia="Calibri" w:hAnsi="Arial" w:cs="Arial"/>
          <w:sz w:val="22"/>
          <w:lang w:val="es-ES_tradnl"/>
        </w:rPr>
        <w:t xml:space="preserve">Dicha </w:t>
      </w:r>
      <w:r w:rsidR="00DF2681">
        <w:rPr>
          <w:rFonts w:ascii="Arial" w:eastAsia="Calibri" w:hAnsi="Arial" w:cs="Arial"/>
          <w:sz w:val="22"/>
          <w:lang w:val="es-ES_tradnl"/>
        </w:rPr>
        <w:t>tesis</w:t>
      </w:r>
      <w:r w:rsidRPr="000473E8">
        <w:rPr>
          <w:rFonts w:ascii="Arial" w:eastAsia="Calibri" w:hAnsi="Arial" w:cs="Arial"/>
          <w:sz w:val="22"/>
          <w:lang w:val="es-ES_tradnl"/>
        </w:rPr>
        <w:t xml:space="preserve"> se reitera a continuación.</w:t>
      </w:r>
    </w:p>
    <w:p w14:paraId="4C71AA29" w14:textId="1C3BFD40" w:rsidR="00D90683" w:rsidRDefault="00D90683" w:rsidP="00510DE9">
      <w:pPr>
        <w:tabs>
          <w:tab w:val="left" w:pos="0"/>
        </w:tabs>
        <w:jc w:val="both"/>
        <w:rPr>
          <w:rFonts w:ascii="Arial" w:eastAsia="Calibri" w:hAnsi="Arial" w:cs="Arial"/>
          <w:b/>
          <w:color w:val="000000" w:themeColor="text1"/>
          <w:sz w:val="22"/>
          <w:lang w:val="es-ES_tradnl"/>
        </w:rPr>
      </w:pPr>
    </w:p>
    <w:p w14:paraId="3446338B" w14:textId="77777777" w:rsidR="00990701" w:rsidRPr="0033016F" w:rsidRDefault="00990701" w:rsidP="00990701">
      <w:pPr>
        <w:spacing w:line="276" w:lineRule="auto"/>
        <w:jc w:val="both"/>
        <w:rPr>
          <w:rFonts w:ascii="Arial" w:hAnsi="Arial" w:cs="Arial"/>
          <w:b/>
          <w:sz w:val="22"/>
          <w:lang w:val="es-ES_tradnl"/>
        </w:rPr>
      </w:pPr>
      <w:r w:rsidRPr="0033016F">
        <w:rPr>
          <w:rFonts w:ascii="Arial" w:hAnsi="Arial" w:cs="Arial"/>
          <w:b/>
          <w:sz w:val="22"/>
          <w:lang w:val="es-ES_tradnl"/>
        </w:rPr>
        <w:t>2.1. Autonomía para incluir el AIU –Administración, Imprevistos y Utilidad–, como metodología para calcular el precio en los contratos estatales</w:t>
      </w:r>
    </w:p>
    <w:p w14:paraId="20DA36C5" w14:textId="77777777" w:rsidR="0087331A" w:rsidRDefault="0087331A" w:rsidP="0087331A">
      <w:pPr>
        <w:spacing w:line="276" w:lineRule="auto"/>
        <w:jc w:val="both"/>
        <w:rPr>
          <w:rFonts w:ascii="Arial" w:hAnsi="Arial" w:cs="Arial"/>
          <w:bCs/>
          <w:sz w:val="22"/>
          <w:lang w:val="es-ES_tradnl"/>
        </w:rPr>
      </w:pPr>
    </w:p>
    <w:p w14:paraId="5D445C5D" w14:textId="36F99BC9" w:rsidR="00990701" w:rsidRPr="0033016F" w:rsidRDefault="00990701" w:rsidP="0087331A">
      <w:pPr>
        <w:spacing w:after="120" w:line="276" w:lineRule="auto"/>
        <w:jc w:val="both"/>
        <w:rPr>
          <w:rFonts w:ascii="Arial" w:hAnsi="Arial" w:cs="Arial"/>
          <w:bCs/>
          <w:sz w:val="22"/>
          <w:lang w:val="es-ES_tradnl"/>
        </w:rPr>
      </w:pPr>
      <w:r w:rsidRPr="0033016F">
        <w:rPr>
          <w:rFonts w:ascii="Arial" w:hAnsi="Arial" w:cs="Arial"/>
          <w:bCs/>
          <w:sz w:val="22"/>
          <w:lang w:val="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22985698" w14:textId="6F6AA5A4" w:rsidR="00990701" w:rsidRPr="0033016F" w:rsidRDefault="00990701" w:rsidP="00990701">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w:t>
      </w:r>
      <w:r w:rsidR="004E17B7">
        <w:rPr>
          <w:rFonts w:ascii="Arial" w:hAnsi="Arial" w:cs="Arial"/>
          <w:bCs/>
          <w:sz w:val="22"/>
          <w:lang w:val="es-ES_tradnl"/>
        </w:rPr>
        <w:t>,</w:t>
      </w:r>
      <w:r w:rsidRPr="0033016F">
        <w:rPr>
          <w:rFonts w:ascii="Arial" w:hAnsi="Arial" w:cs="Arial"/>
          <w:bCs/>
          <w:sz w:val="22"/>
          <w:lang w:val="es-ES_tradnl"/>
        </w:rPr>
        <w:t xml:space="preserve"> por mencionar algunos ejemplos</w:t>
      </w:r>
      <w:r w:rsidRPr="0033016F">
        <w:rPr>
          <w:rStyle w:val="Refdenotaalpie"/>
          <w:rFonts w:ascii="Arial" w:hAnsi="Arial" w:cs="Arial"/>
          <w:bCs/>
          <w:sz w:val="22"/>
          <w:lang w:val="es-ES_tradnl"/>
        </w:rPr>
        <w:footnoteReference w:id="2"/>
      </w:r>
      <w:r w:rsidRPr="0033016F">
        <w:rPr>
          <w:rFonts w:ascii="Arial" w:hAnsi="Arial" w:cs="Arial"/>
          <w:bCs/>
          <w:sz w:val="22"/>
          <w:lang w:val="es-ES_tradnl"/>
        </w:rPr>
        <w:t xml:space="preserve">. No hay, pues, una sola </w:t>
      </w:r>
      <w:r w:rsidRPr="0033016F">
        <w:rPr>
          <w:rFonts w:ascii="Arial" w:hAnsi="Arial" w:cs="Arial"/>
          <w:bCs/>
          <w:sz w:val="22"/>
          <w:lang w:val="es-ES_tradnl"/>
        </w:rPr>
        <w:lastRenderedPageBreak/>
        <w:t>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93ED3E5" w14:textId="77777777" w:rsidR="00990701" w:rsidRPr="0033016F" w:rsidRDefault="00990701" w:rsidP="00990701">
      <w:pPr>
        <w:spacing w:line="276" w:lineRule="auto"/>
        <w:ind w:firstLine="709"/>
        <w:jc w:val="both"/>
        <w:rPr>
          <w:rFonts w:ascii="Arial" w:hAnsi="Arial" w:cs="Arial"/>
          <w:bCs/>
          <w:sz w:val="22"/>
          <w:lang w:val="es-ES_tradnl"/>
        </w:rPr>
      </w:pPr>
      <w:r w:rsidRPr="0033016F">
        <w:rPr>
          <w:rFonts w:ascii="Arial" w:hAnsi="Arial" w:cs="Arial"/>
          <w:bCs/>
          <w:sz w:val="22"/>
          <w:lang w:val="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3016F">
        <w:rPr>
          <w:rFonts w:ascii="Arial" w:hAnsi="Arial" w:cs="Arial"/>
          <w:bCs/>
          <w:i/>
          <w:iCs/>
          <w:sz w:val="22"/>
          <w:lang w:val="es-ES_tradnl"/>
        </w:rPr>
        <w:t>ítems</w:t>
      </w:r>
      <w:r w:rsidRPr="0033016F">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14:paraId="0A53C765" w14:textId="7DE3213D" w:rsidR="00990701" w:rsidRPr="0033016F" w:rsidRDefault="00990701" w:rsidP="00990701">
      <w:pPr>
        <w:spacing w:before="120" w:line="276" w:lineRule="auto"/>
        <w:ind w:firstLine="709"/>
        <w:jc w:val="both"/>
        <w:rPr>
          <w:rFonts w:ascii="Arial" w:hAnsi="Arial" w:cs="Arial"/>
          <w:sz w:val="22"/>
          <w:lang w:val="es-ES_tradnl"/>
        </w:rPr>
      </w:pPr>
      <w:r w:rsidRPr="0033016F">
        <w:rPr>
          <w:rFonts w:ascii="Arial" w:hAnsi="Arial" w:cs="Arial"/>
          <w:sz w:val="22"/>
          <w:lang w:val="es-ES_tradnl"/>
        </w:rPr>
        <w:t>De acuerdo con la Sección Tercera del Consejo de Estado, el AIU, concepto de común utilización en los contratos de tracto sucesiv</w:t>
      </w:r>
      <w:r w:rsidR="004F3064">
        <w:rPr>
          <w:rFonts w:ascii="Arial" w:hAnsi="Arial" w:cs="Arial"/>
          <w:sz w:val="22"/>
          <w:lang w:val="es-ES_tradnl"/>
        </w:rPr>
        <w:t>o</w:t>
      </w:r>
      <w:r w:rsidRPr="0033016F">
        <w:rPr>
          <w:rFonts w:ascii="Arial" w:hAnsi="Arial" w:cs="Arial"/>
          <w:sz w:val="22"/>
          <w:lang w:val="es-ES_tradnl"/>
        </w:rPr>
        <w:t xml:space="preserve"> –entre ellos, los contratos de obra– no cuenta con una definición normativa, pero hay elementos que permiten precisar su alcance, así: </w:t>
      </w:r>
    </w:p>
    <w:p w14:paraId="4B1520F1" w14:textId="77777777" w:rsidR="00990701" w:rsidRPr="0033016F" w:rsidRDefault="00990701" w:rsidP="00990701">
      <w:pPr>
        <w:spacing w:line="276" w:lineRule="auto"/>
        <w:ind w:left="709"/>
        <w:jc w:val="both"/>
        <w:rPr>
          <w:rFonts w:ascii="Arial" w:hAnsi="Arial" w:cs="Arial"/>
          <w:sz w:val="22"/>
          <w:lang w:val="es-ES_tradnl"/>
        </w:rPr>
      </w:pPr>
    </w:p>
    <w:p w14:paraId="049DA0AF"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lastRenderedPageBreak/>
        <w:t xml:space="preserve">[…] el AIU propuesto para el contrato, corresponde a: </w:t>
      </w:r>
    </w:p>
    <w:p w14:paraId="2E2A18F7" w14:textId="77777777" w:rsidR="00990701" w:rsidRPr="0033016F" w:rsidRDefault="00990701" w:rsidP="00990701">
      <w:pPr>
        <w:ind w:left="709" w:right="709"/>
        <w:jc w:val="both"/>
        <w:rPr>
          <w:rFonts w:ascii="Arial" w:hAnsi="Arial" w:cs="Arial"/>
          <w:sz w:val="21"/>
          <w:szCs w:val="21"/>
          <w:lang w:val="es-ES_tradnl"/>
        </w:rPr>
      </w:pPr>
    </w:p>
    <w:p w14:paraId="200C88D5"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14:paraId="1BEA29B3" w14:textId="77777777" w:rsidR="00990701" w:rsidRPr="0033016F" w:rsidRDefault="00990701" w:rsidP="00990701">
      <w:pPr>
        <w:ind w:left="709" w:right="709"/>
        <w:jc w:val="both"/>
        <w:rPr>
          <w:rFonts w:ascii="Arial" w:hAnsi="Arial" w:cs="Arial"/>
          <w:sz w:val="21"/>
          <w:szCs w:val="21"/>
          <w:lang w:val="es-ES_tradnl"/>
        </w:rPr>
      </w:pPr>
    </w:p>
    <w:p w14:paraId="014E7519"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 los imprevistos, que es el porcentaje destinado a cubrir los gastos con los que no se contaba y que se presenten durante la ejecución del contrato, esto es, el </w:t>
      </w:r>
      <w:proofErr w:type="spellStart"/>
      <w:r w:rsidRPr="0033016F">
        <w:rPr>
          <w:rFonts w:ascii="Arial" w:hAnsi="Arial" w:cs="Arial"/>
          <w:sz w:val="21"/>
          <w:szCs w:val="21"/>
          <w:lang w:val="es-ES_tradnl"/>
        </w:rPr>
        <w:t>álea</w:t>
      </w:r>
      <w:proofErr w:type="spellEnd"/>
      <w:r w:rsidRPr="0033016F">
        <w:rPr>
          <w:rFonts w:ascii="Arial" w:hAnsi="Arial" w:cs="Arial"/>
          <w:sz w:val="21"/>
          <w:szCs w:val="21"/>
          <w:lang w:val="es-ES_tradnl"/>
        </w:rPr>
        <w:t xml:space="preserve"> normal del contrato: I; </w:t>
      </w:r>
    </w:p>
    <w:p w14:paraId="39EEF4FB" w14:textId="77777777" w:rsidR="00990701" w:rsidRPr="0033016F" w:rsidRDefault="00990701" w:rsidP="00990701">
      <w:pPr>
        <w:ind w:left="709" w:right="709"/>
        <w:jc w:val="both"/>
        <w:rPr>
          <w:rFonts w:ascii="Arial" w:hAnsi="Arial" w:cs="Arial"/>
          <w:sz w:val="21"/>
          <w:szCs w:val="21"/>
          <w:lang w:val="es-ES_tradnl"/>
        </w:rPr>
      </w:pPr>
    </w:p>
    <w:p w14:paraId="1F39242B"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iii) la utilidad o el beneficio económico que pretende percibir el contratista por la ejecución del contrato, esto es: U. </w:t>
      </w:r>
    </w:p>
    <w:p w14:paraId="6E2D4289" w14:textId="77777777" w:rsidR="00990701" w:rsidRPr="0033016F" w:rsidRDefault="00990701" w:rsidP="00990701">
      <w:pPr>
        <w:ind w:left="709" w:right="709"/>
        <w:jc w:val="both"/>
        <w:rPr>
          <w:rFonts w:ascii="Arial" w:hAnsi="Arial" w:cs="Arial"/>
          <w:sz w:val="21"/>
          <w:szCs w:val="21"/>
          <w:lang w:val="es-ES_tradnl"/>
        </w:rPr>
      </w:pPr>
    </w:p>
    <w:p w14:paraId="595E7575"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33016F">
        <w:rPr>
          <w:rStyle w:val="Refdenotaalpie"/>
          <w:rFonts w:ascii="Arial" w:hAnsi="Arial" w:cs="Arial"/>
          <w:sz w:val="21"/>
          <w:szCs w:val="21"/>
          <w:lang w:val="es-ES_tradnl"/>
        </w:rPr>
        <w:footnoteReference w:id="3"/>
      </w:r>
      <w:r w:rsidRPr="0033016F">
        <w:rPr>
          <w:rFonts w:ascii="Arial" w:hAnsi="Arial" w:cs="Arial"/>
          <w:sz w:val="21"/>
          <w:szCs w:val="21"/>
          <w:lang w:val="es-ES_tradnl"/>
        </w:rPr>
        <w:t>.</w:t>
      </w:r>
    </w:p>
    <w:p w14:paraId="17CCF4BB" w14:textId="77777777" w:rsidR="00990701" w:rsidRPr="0033016F" w:rsidRDefault="00990701" w:rsidP="00990701">
      <w:pPr>
        <w:spacing w:line="276" w:lineRule="auto"/>
        <w:ind w:firstLine="709"/>
        <w:jc w:val="both"/>
        <w:rPr>
          <w:rFonts w:ascii="Arial" w:hAnsi="Arial" w:cs="Arial"/>
          <w:sz w:val="22"/>
          <w:lang w:val="es-ES_tradnl"/>
        </w:rPr>
      </w:pPr>
    </w:p>
    <w:p w14:paraId="2CD55AA3" w14:textId="77777777" w:rsidR="00990701" w:rsidRPr="0033016F" w:rsidRDefault="00990701" w:rsidP="00990701">
      <w:pPr>
        <w:spacing w:line="276" w:lineRule="auto"/>
        <w:ind w:firstLine="709"/>
        <w:jc w:val="both"/>
        <w:rPr>
          <w:rFonts w:ascii="Arial" w:hAnsi="Arial" w:cs="Arial"/>
          <w:sz w:val="22"/>
          <w:lang w:val="es-ES_tradnl"/>
        </w:rPr>
      </w:pPr>
      <w:r w:rsidRPr="0033016F">
        <w:rPr>
          <w:rFonts w:ascii="Arial" w:hAnsi="Arial" w:cs="Arial"/>
          <w:sz w:val="22"/>
          <w:lang w:val="es-ES_tradnl"/>
        </w:rPr>
        <w:t>Por su parte, la Sala de Consulta y Servicio Civil del Consejo de Estado sostuvo en concepto del 5 de septiembre de 2018</w:t>
      </w:r>
      <w:r w:rsidRPr="0033016F">
        <w:rPr>
          <w:rStyle w:val="Refdenotaalpie"/>
          <w:rFonts w:ascii="Arial" w:hAnsi="Arial" w:cs="Arial"/>
          <w:sz w:val="22"/>
          <w:lang w:val="es-ES_tradnl"/>
        </w:rPr>
        <w:footnoteReference w:id="4"/>
      </w:r>
      <w:r w:rsidRPr="0033016F">
        <w:rPr>
          <w:rFonts w:ascii="Arial" w:hAnsi="Arial" w:cs="Arial"/>
          <w:sz w:val="22"/>
          <w:lang w:val="es-ES_tradnl"/>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33016F">
        <w:rPr>
          <w:rFonts w:ascii="Arial" w:hAnsi="Arial" w:cs="Arial"/>
          <w:sz w:val="22"/>
          <w:lang w:val="es-ES_tradnl"/>
        </w:rPr>
        <w:t>la misma</w:t>
      </w:r>
      <w:proofErr w:type="gramEnd"/>
      <w:r w:rsidRPr="0033016F">
        <w:rPr>
          <w:rStyle w:val="Refdenotaalpie"/>
          <w:rFonts w:ascii="Arial" w:hAnsi="Arial" w:cs="Arial"/>
          <w:sz w:val="22"/>
          <w:lang w:val="es-ES_tradnl"/>
        </w:rPr>
        <w:footnoteReference w:id="5"/>
      </w:r>
      <w:r w:rsidRPr="0033016F">
        <w:rPr>
          <w:rFonts w:ascii="Arial" w:hAnsi="Arial" w:cs="Arial"/>
          <w:sz w:val="22"/>
          <w:lang w:val="es-ES_tradnl"/>
        </w:rPr>
        <w:t>, sin perjuicio que en otros contratos este valor no aparezca discriminado y se incorpore en el valor de los precios unitarios»</w:t>
      </w:r>
      <w:r w:rsidRPr="0033016F">
        <w:rPr>
          <w:rStyle w:val="Refdenotaalpie"/>
          <w:rFonts w:ascii="Arial" w:hAnsi="Arial" w:cs="Arial"/>
          <w:sz w:val="22"/>
          <w:lang w:val="es-ES_tradnl"/>
        </w:rPr>
        <w:footnoteReference w:id="6"/>
      </w:r>
      <w:r w:rsidRPr="0033016F">
        <w:rPr>
          <w:rFonts w:ascii="Arial" w:hAnsi="Arial" w:cs="Arial"/>
          <w:sz w:val="22"/>
          <w:lang w:val="es-ES_tradnl"/>
        </w:rPr>
        <w:t xml:space="preserve">. </w:t>
      </w:r>
    </w:p>
    <w:p w14:paraId="1002FB9B" w14:textId="77777777" w:rsidR="00990701" w:rsidRPr="0033016F" w:rsidRDefault="00990701" w:rsidP="00990701">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 xml:space="preserve">Así pues, ni el sistema de precios unitarios –como metodología de estipulación del valor contractual–, ni el concepto de AIU, ni mucho menos la forma de calcularlo –es decir, </w:t>
      </w:r>
      <w:r w:rsidRPr="0033016F">
        <w:rPr>
          <w:rFonts w:ascii="Arial" w:hAnsi="Arial" w:cs="Arial"/>
          <w:bCs/>
          <w:sz w:val="22"/>
          <w:lang w:val="es-ES_tradnl"/>
        </w:rPr>
        <w:lastRenderedPageBreak/>
        <w:t>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33016F">
        <w:rPr>
          <w:rStyle w:val="Refdenotaalpie"/>
          <w:rFonts w:ascii="Arial" w:hAnsi="Arial" w:cs="Arial"/>
          <w:bCs/>
          <w:sz w:val="22"/>
          <w:lang w:val="es-ES_tradnl"/>
        </w:rPr>
        <w:footnoteReference w:id="7"/>
      </w:r>
      <w:r w:rsidRPr="0033016F">
        <w:rPr>
          <w:rFonts w:ascii="Arial" w:hAnsi="Arial" w:cs="Arial"/>
          <w:bCs/>
          <w:sz w:val="22"/>
          <w:lang w:val="es-ES_tradnl"/>
        </w:rPr>
        <w:t xml:space="preserve">. De otro lado, quien define el valor de cada </w:t>
      </w:r>
      <w:r w:rsidRPr="0033016F">
        <w:rPr>
          <w:rFonts w:ascii="Arial" w:hAnsi="Arial" w:cs="Arial"/>
          <w:bCs/>
          <w:i/>
          <w:iCs/>
          <w:sz w:val="22"/>
          <w:lang w:val="es-ES_tradnl"/>
        </w:rPr>
        <w:t>letra</w:t>
      </w:r>
      <w:r w:rsidRPr="0033016F">
        <w:rPr>
          <w:rFonts w:ascii="Arial" w:hAnsi="Arial" w:cs="Arial"/>
          <w:bCs/>
          <w:sz w:val="22"/>
          <w:lang w:val="es-ES_tradnl"/>
        </w:rPr>
        <w:t xml:space="preserve"> –AIU– es el proponente, pues goza de libertad empresarial para hacerlo en la elaboración de su oferta</w:t>
      </w:r>
      <w:r w:rsidRPr="0033016F">
        <w:rPr>
          <w:rStyle w:val="Refdenotaalpie"/>
          <w:rFonts w:ascii="Arial" w:hAnsi="Arial" w:cs="Arial"/>
          <w:bCs/>
          <w:sz w:val="22"/>
          <w:lang w:val="es-ES_tradnl"/>
        </w:rPr>
        <w:footnoteReference w:id="8"/>
      </w:r>
      <w:r w:rsidRPr="0033016F">
        <w:rPr>
          <w:rFonts w:ascii="Arial" w:hAnsi="Arial" w:cs="Arial"/>
          <w:bCs/>
          <w:sz w:val="22"/>
          <w:lang w:val="es-ES_tradnl"/>
        </w:rPr>
        <w:t>.</w:t>
      </w:r>
    </w:p>
    <w:p w14:paraId="5D7B1B5C" w14:textId="2F684BF6" w:rsidR="00990701" w:rsidRPr="0033016F" w:rsidRDefault="00990701" w:rsidP="00990701">
      <w:pPr>
        <w:spacing w:before="120" w:line="276" w:lineRule="auto"/>
        <w:ind w:firstLine="709"/>
        <w:jc w:val="both"/>
        <w:rPr>
          <w:rFonts w:ascii="Arial" w:hAnsi="Arial" w:cs="Arial"/>
          <w:bCs/>
          <w:sz w:val="22"/>
          <w:lang w:val="es-ES_tradnl"/>
        </w:rPr>
      </w:pPr>
      <w:r w:rsidRPr="0033016F">
        <w:rPr>
          <w:rFonts w:ascii="Arial" w:hAnsi="Arial" w:cs="Arial"/>
          <w:bCs/>
          <w:sz w:val="22"/>
          <w:lang w:val="es-ES_tradn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w:t>
      </w:r>
      <w:r w:rsidR="00D66962">
        <w:rPr>
          <w:rFonts w:ascii="Arial" w:hAnsi="Arial" w:cs="Arial"/>
          <w:bCs/>
          <w:sz w:val="22"/>
          <w:lang w:val="es-ES_tradnl"/>
        </w:rPr>
        <w:t>. Lo anterior en armonía</w:t>
      </w:r>
      <w:r w:rsidRPr="0033016F">
        <w:rPr>
          <w:rFonts w:ascii="Arial" w:hAnsi="Arial" w:cs="Arial"/>
          <w:bCs/>
          <w:sz w:val="22"/>
          <w:lang w:val="es-ES_tradnl"/>
        </w:rPr>
        <w:t xml:space="preserve"> con la garantía de los principios de la función administrativa y de la gestión fiscal, dentro de los cuales se halla el principio de economía</w:t>
      </w:r>
      <w:r w:rsidR="00323A90">
        <w:rPr>
          <w:rFonts w:ascii="Arial" w:hAnsi="Arial" w:cs="Arial"/>
          <w:bCs/>
          <w:sz w:val="22"/>
          <w:lang w:val="es-ES_tradnl"/>
        </w:rPr>
        <w:t>,</w:t>
      </w:r>
      <w:r w:rsidRPr="0033016F">
        <w:rPr>
          <w:rFonts w:ascii="Arial" w:hAnsi="Arial" w:cs="Arial"/>
          <w:bCs/>
          <w:sz w:val="22"/>
          <w:lang w:val="es-ES_tradnl"/>
        </w:rPr>
        <w:t xml:space="preserve"> postulado que exige la optimización de los recursos públicos.</w:t>
      </w:r>
    </w:p>
    <w:p w14:paraId="56D57F26" w14:textId="77777777" w:rsidR="00990701" w:rsidRPr="0033016F" w:rsidRDefault="00990701" w:rsidP="00990701">
      <w:pPr>
        <w:spacing w:line="276" w:lineRule="auto"/>
        <w:ind w:firstLine="709"/>
        <w:contextualSpacing/>
        <w:jc w:val="both"/>
        <w:rPr>
          <w:rFonts w:ascii="Arial" w:hAnsi="Arial" w:cs="Arial"/>
          <w:b/>
          <w:sz w:val="22"/>
          <w:lang w:val="es-ES_tradnl"/>
        </w:rPr>
      </w:pPr>
    </w:p>
    <w:p w14:paraId="577BAFC4" w14:textId="632DEC55" w:rsidR="00990701" w:rsidRPr="0033016F" w:rsidRDefault="00990701" w:rsidP="00990701">
      <w:pPr>
        <w:spacing w:line="276" w:lineRule="auto"/>
        <w:jc w:val="both"/>
        <w:rPr>
          <w:rFonts w:ascii="Arial" w:hAnsi="Arial" w:cs="Arial"/>
          <w:b/>
          <w:sz w:val="22"/>
          <w:lang w:val="es-ES_tradnl"/>
        </w:rPr>
      </w:pPr>
      <w:r w:rsidRPr="0033016F">
        <w:rPr>
          <w:rFonts w:ascii="Arial" w:hAnsi="Arial" w:cs="Arial"/>
          <w:b/>
          <w:sz w:val="22"/>
          <w:lang w:val="es-ES_tradnl"/>
        </w:rPr>
        <w:t xml:space="preserve">2.2. </w:t>
      </w:r>
      <w:r w:rsidR="00EC73DE">
        <w:rPr>
          <w:rFonts w:ascii="Arial" w:hAnsi="Arial" w:cs="Arial"/>
          <w:b/>
          <w:sz w:val="22"/>
          <w:lang w:val="es-ES_tradnl"/>
        </w:rPr>
        <w:t xml:space="preserve">Gestión contractual </w:t>
      </w:r>
      <w:r>
        <w:rPr>
          <w:rFonts w:ascii="Arial" w:hAnsi="Arial" w:cs="Arial"/>
          <w:b/>
          <w:sz w:val="22"/>
          <w:lang w:val="es-ES_tradnl"/>
        </w:rPr>
        <w:t>de los componentes del AIU. Algunas reglas de común utilización</w:t>
      </w:r>
    </w:p>
    <w:p w14:paraId="3F12DFAC" w14:textId="77777777" w:rsidR="00990701" w:rsidRPr="0033016F" w:rsidRDefault="00990701" w:rsidP="00990701">
      <w:pPr>
        <w:spacing w:line="276" w:lineRule="auto"/>
        <w:jc w:val="both"/>
        <w:rPr>
          <w:rFonts w:ascii="Arial" w:hAnsi="Arial" w:cs="Arial"/>
          <w:bCs/>
          <w:sz w:val="22"/>
          <w:lang w:val="es-ES_tradnl"/>
        </w:rPr>
      </w:pPr>
    </w:p>
    <w:p w14:paraId="521BB1C9" w14:textId="77777777" w:rsidR="00990701" w:rsidRPr="0033016F" w:rsidRDefault="00990701" w:rsidP="00990701">
      <w:pPr>
        <w:spacing w:after="120" w:line="276" w:lineRule="auto"/>
        <w:jc w:val="both"/>
        <w:rPr>
          <w:rFonts w:ascii="Arial" w:hAnsi="Arial" w:cs="Arial"/>
          <w:bCs/>
          <w:sz w:val="22"/>
          <w:lang w:val="es-ES_tradnl"/>
        </w:rPr>
      </w:pPr>
      <w:r w:rsidRPr="0033016F">
        <w:rPr>
          <w:rFonts w:ascii="Arial" w:hAnsi="Arial" w:cs="Arial"/>
          <w:bCs/>
          <w:sz w:val="22"/>
          <w:lang w:val="es-ES_tradnl"/>
        </w:rPr>
        <w:t>Partiendo de las consideraciones anteriores,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w:t>
      </w:r>
    </w:p>
    <w:p w14:paraId="0B803FDE" w14:textId="097F0D37" w:rsidR="00990701" w:rsidRPr="0033016F" w:rsidRDefault="00990701" w:rsidP="00990701">
      <w:pPr>
        <w:spacing w:after="120" w:line="276" w:lineRule="auto"/>
        <w:jc w:val="both"/>
        <w:rPr>
          <w:rFonts w:ascii="Arial" w:hAnsi="Arial" w:cs="Arial"/>
          <w:bCs/>
          <w:sz w:val="22"/>
          <w:lang w:val="es-ES_tradnl"/>
        </w:rPr>
      </w:pPr>
      <w:r w:rsidRPr="0033016F">
        <w:rPr>
          <w:rFonts w:ascii="Arial" w:hAnsi="Arial" w:cs="Arial"/>
          <w:bCs/>
          <w:sz w:val="22"/>
          <w:lang w:val="es-ES_tradnl"/>
        </w:rPr>
        <w:tab/>
        <w:t>Ahora bien, nada obstaría para que las partes le dieran otros efectos particulares a la forma en que pagan el precio estructurado con AIU</w:t>
      </w:r>
      <w:r w:rsidR="000A4E56">
        <w:rPr>
          <w:rFonts w:ascii="Arial" w:hAnsi="Arial" w:cs="Arial"/>
          <w:bCs/>
          <w:sz w:val="22"/>
          <w:lang w:val="es-ES_tradnl"/>
        </w:rPr>
        <w:t>. Por ejemplo,</w:t>
      </w:r>
      <w:r w:rsidRPr="0033016F">
        <w:rPr>
          <w:rFonts w:ascii="Arial" w:hAnsi="Arial" w:cs="Arial"/>
          <w:bCs/>
          <w:sz w:val="22"/>
          <w:lang w:val="es-ES_tradnl"/>
        </w:rPr>
        <w:t xml:space="preserve"> podrían incluir cláusulas o reglas bajo las cuales se estableciera que el valor de alguno o de todos los componentes de la Administración o los Imprevistos solo se pagan si el contratista demuestra que incurrió en algunos costos específicos. Así, podrían pactar que algunos de los ítems o costos que </w:t>
      </w:r>
      <w:r w:rsidRPr="0033016F">
        <w:rPr>
          <w:rFonts w:ascii="Arial" w:hAnsi="Arial" w:cs="Arial"/>
          <w:bCs/>
          <w:sz w:val="22"/>
          <w:lang w:val="es-ES_tradnl"/>
        </w:rPr>
        <w:lastRenderedPageBreak/>
        <w:t xml:space="preserve">conforman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solo se paguen si el contratista acredita que incurrió en ellos y bajo el monto que este logre demostrar.</w:t>
      </w:r>
    </w:p>
    <w:p w14:paraId="521EE4F0" w14:textId="4CAFCCFB" w:rsidR="00990701" w:rsidRPr="0033016F" w:rsidRDefault="00990701" w:rsidP="00990701">
      <w:pPr>
        <w:spacing w:after="120" w:line="276" w:lineRule="auto"/>
        <w:jc w:val="both"/>
        <w:rPr>
          <w:rFonts w:ascii="Arial" w:hAnsi="Arial" w:cs="Arial"/>
          <w:bCs/>
          <w:sz w:val="22"/>
          <w:lang w:val="es-ES_tradnl"/>
        </w:rPr>
      </w:pPr>
      <w:r w:rsidRPr="0033016F">
        <w:rPr>
          <w:rFonts w:ascii="Arial" w:hAnsi="Arial" w:cs="Arial"/>
          <w:bCs/>
          <w:sz w:val="22"/>
          <w:lang w:val="es-ES_tradnl"/>
        </w:rPr>
        <w:tab/>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w:t>
      </w:r>
      <w:r w:rsidR="006E6DD5">
        <w:rPr>
          <w:rFonts w:ascii="Arial" w:hAnsi="Arial" w:cs="Arial"/>
          <w:bCs/>
          <w:sz w:val="22"/>
          <w:lang w:val="es-ES_tradnl"/>
        </w:rPr>
        <w:t>al</w:t>
      </w:r>
      <w:r w:rsidRPr="0033016F">
        <w:rPr>
          <w:rFonts w:ascii="Arial" w:hAnsi="Arial" w:cs="Arial"/>
          <w:bCs/>
          <w:sz w:val="22"/>
          <w:lang w:val="es-ES_tradnl"/>
        </w:rPr>
        <w:t xml:space="preserve"> valor</w:t>
      </w:r>
      <w:r w:rsidR="000227D8">
        <w:rPr>
          <w:rFonts w:ascii="Arial" w:hAnsi="Arial" w:cs="Arial"/>
          <w:bCs/>
          <w:sz w:val="22"/>
          <w:lang w:val="es-ES_tradnl"/>
        </w:rPr>
        <w:t xml:space="preserve"> de los costos directos</w:t>
      </w:r>
      <w:r w:rsidRPr="0033016F">
        <w:rPr>
          <w:rFonts w:ascii="Arial" w:hAnsi="Arial" w:cs="Arial"/>
          <w:bCs/>
          <w:sz w:val="22"/>
          <w:lang w:val="es-ES_tradnl"/>
        </w:rPr>
        <w:t xml:space="preserve"> se le sum</w:t>
      </w:r>
      <w:r w:rsidR="000227D8">
        <w:rPr>
          <w:rFonts w:ascii="Arial" w:hAnsi="Arial" w:cs="Arial"/>
          <w:bCs/>
          <w:sz w:val="22"/>
          <w:lang w:val="es-ES_tradnl"/>
        </w:rPr>
        <w:t>e</w:t>
      </w:r>
      <w:r w:rsidRPr="0033016F">
        <w:rPr>
          <w:rFonts w:ascii="Arial" w:hAnsi="Arial" w:cs="Arial"/>
          <w:bCs/>
          <w:sz w:val="22"/>
          <w:lang w:val="es-ES_tradnl"/>
        </w:rPr>
        <w:t xml:space="preserve"> </w:t>
      </w:r>
      <w:r w:rsidR="000227D8">
        <w:rPr>
          <w:rFonts w:ascii="Arial" w:hAnsi="Arial" w:cs="Arial"/>
          <w:bCs/>
          <w:sz w:val="22"/>
          <w:lang w:val="es-ES_tradnl"/>
        </w:rPr>
        <w:t>el AIU</w:t>
      </w:r>
      <w:r w:rsidRPr="0033016F">
        <w:rPr>
          <w:rFonts w:ascii="Arial" w:hAnsi="Arial" w:cs="Arial"/>
          <w:bCs/>
          <w:sz w:val="22"/>
          <w:lang w:val="es-ES_tradnl"/>
        </w:rPr>
        <w:t xml:space="preserve">. Así las cosas, las partes asumen los riesgos inherentes a esta forma de pactar el precio, entendiendo aceptados los </w:t>
      </w:r>
      <w:proofErr w:type="spellStart"/>
      <w:r w:rsidRPr="0033016F">
        <w:rPr>
          <w:rFonts w:ascii="Arial" w:hAnsi="Arial" w:cs="Arial"/>
          <w:bCs/>
          <w:sz w:val="22"/>
          <w:lang w:val="es-ES_tradnl"/>
        </w:rPr>
        <w:t>áleas</w:t>
      </w:r>
      <w:proofErr w:type="spellEnd"/>
      <w:r w:rsidRPr="0033016F">
        <w:rPr>
          <w:rFonts w:ascii="Arial" w:hAnsi="Arial" w:cs="Arial"/>
          <w:bCs/>
          <w:sz w:val="22"/>
          <w:lang w:val="es-ES_tradnl"/>
        </w:rPr>
        <w:t xml:space="preserve"> normales que se presenten en la ejecución del contrato, de manera </w:t>
      </w:r>
      <w:proofErr w:type="gramStart"/>
      <w:r w:rsidRPr="0033016F">
        <w:rPr>
          <w:rFonts w:ascii="Arial" w:hAnsi="Arial" w:cs="Arial"/>
          <w:bCs/>
          <w:sz w:val="22"/>
          <w:lang w:val="es-ES_tradnl"/>
        </w:rPr>
        <w:t>que</w:t>
      </w:r>
      <w:proofErr w:type="gramEnd"/>
      <w:r w:rsidRPr="0033016F">
        <w:rPr>
          <w:rFonts w:ascii="Arial" w:hAnsi="Arial" w:cs="Arial"/>
          <w:bCs/>
          <w:sz w:val="22"/>
          <w:lang w:val="es-ES_tradnl"/>
        </w:rPr>
        <w:t xml:space="preserve"> aunque el contratista incurra en: mayores costos de los ítems incluidos en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al presentar su oferta, o que estos disminuyan, aparezcan algunos nuevos o desaparezcan algunos de ellos, el valor se mantenga invariable</w:t>
      </w:r>
      <w:r w:rsidR="005F0FDD">
        <w:rPr>
          <w:rFonts w:ascii="Arial" w:hAnsi="Arial" w:cs="Arial"/>
          <w:bCs/>
          <w:sz w:val="22"/>
          <w:lang w:val="es-ES_tradnl"/>
        </w:rPr>
        <w:t>. De este modo,</w:t>
      </w:r>
      <w:r w:rsidRPr="0033016F">
        <w:rPr>
          <w:rFonts w:ascii="Arial" w:hAnsi="Arial" w:cs="Arial"/>
          <w:bCs/>
          <w:sz w:val="22"/>
          <w:lang w:val="es-ES_tradnl"/>
        </w:rPr>
        <w:t xml:space="preserve"> las partes optan por darle estabilidad al negocio</w:t>
      </w:r>
      <w:r>
        <w:rPr>
          <w:rFonts w:ascii="Arial" w:hAnsi="Arial" w:cs="Arial"/>
          <w:bCs/>
          <w:sz w:val="22"/>
          <w:lang w:val="es-ES_tradnl"/>
        </w:rPr>
        <w:t>,</w:t>
      </w:r>
      <w:r w:rsidRPr="0033016F">
        <w:rPr>
          <w:rFonts w:ascii="Arial" w:hAnsi="Arial" w:cs="Arial"/>
          <w:bCs/>
          <w:sz w:val="22"/>
          <w:lang w:val="es-ES_tradnl"/>
        </w:rPr>
        <w:t xml:space="preserve"> asumiendo cada una de ellas lo que le favorezca o desfavorezca, lo que evita, además, incurrir en costos de transacción relacionados con la necesidad de acreditar y verificar cada costo específico asociado a la </w:t>
      </w:r>
      <w:r w:rsidRPr="0033016F">
        <w:rPr>
          <w:rFonts w:ascii="Arial" w:hAnsi="Arial" w:cs="Arial"/>
          <w:bCs/>
          <w:i/>
          <w:iCs/>
          <w:sz w:val="22"/>
          <w:lang w:val="es-ES_tradnl"/>
        </w:rPr>
        <w:t>Administración</w:t>
      </w:r>
      <w:r w:rsidRPr="0033016F">
        <w:rPr>
          <w:rFonts w:ascii="Arial" w:hAnsi="Arial" w:cs="Arial"/>
          <w:bCs/>
          <w:sz w:val="22"/>
          <w:lang w:val="es-ES_tradnl"/>
        </w:rPr>
        <w:t>, lo que generaría más gastos tanto para la entidad como para el contratista.</w:t>
      </w:r>
    </w:p>
    <w:p w14:paraId="45EE2D5B" w14:textId="73A938F2" w:rsidR="000038D1" w:rsidRDefault="00990701" w:rsidP="00990701">
      <w:pPr>
        <w:spacing w:after="120" w:line="276" w:lineRule="auto"/>
        <w:jc w:val="both"/>
        <w:rPr>
          <w:rFonts w:ascii="Arial" w:hAnsi="Arial" w:cs="Arial"/>
          <w:bCs/>
          <w:sz w:val="22"/>
          <w:lang w:val="es-ES_tradnl"/>
        </w:rPr>
      </w:pPr>
      <w:r w:rsidRPr="0033016F">
        <w:rPr>
          <w:rFonts w:ascii="Arial" w:hAnsi="Arial" w:cs="Arial"/>
          <w:bCs/>
          <w:sz w:val="22"/>
          <w:lang w:val="es-ES_tradnl"/>
        </w:rPr>
        <w:tab/>
        <w:t xml:space="preserve">En este sentido, cuando las entidades estatales incluyen esta forma de desglosar el precio, en los últimos términos </w:t>
      </w:r>
      <w:proofErr w:type="gramStart"/>
      <w:r w:rsidRPr="0033016F">
        <w:rPr>
          <w:rFonts w:ascii="Arial" w:hAnsi="Arial" w:cs="Arial"/>
          <w:bCs/>
          <w:sz w:val="22"/>
          <w:lang w:val="es-ES_tradnl"/>
        </w:rPr>
        <w:t>indicados,  al</w:t>
      </w:r>
      <w:proofErr w:type="gramEnd"/>
      <w:r w:rsidRPr="0033016F">
        <w:rPr>
          <w:rFonts w:ascii="Arial" w:hAnsi="Arial" w:cs="Arial"/>
          <w:bCs/>
          <w:sz w:val="22"/>
          <w:lang w:val="es-ES_tradnl"/>
        </w:rPr>
        <w:t xml:space="preserve"> realizar el estudio de mercado elaboran un presupuesto estimado del valor de la ejecución del contrato</w:t>
      </w:r>
      <w:r w:rsidR="00E175FF">
        <w:rPr>
          <w:rFonts w:ascii="Arial" w:hAnsi="Arial" w:cs="Arial"/>
          <w:bCs/>
          <w:sz w:val="22"/>
          <w:lang w:val="es-ES_tradnl"/>
        </w:rPr>
        <w:t>.</w:t>
      </w:r>
      <w:r w:rsidRPr="0033016F">
        <w:rPr>
          <w:rFonts w:ascii="Arial" w:hAnsi="Arial" w:cs="Arial"/>
          <w:bCs/>
          <w:sz w:val="22"/>
          <w:lang w:val="es-ES_tradnl"/>
        </w:rPr>
        <w:t xml:space="preserve"> </w:t>
      </w:r>
      <w:r w:rsidR="00E175FF">
        <w:rPr>
          <w:rFonts w:ascii="Arial" w:hAnsi="Arial" w:cs="Arial"/>
          <w:bCs/>
          <w:sz w:val="22"/>
          <w:lang w:val="es-ES_tradnl"/>
        </w:rPr>
        <w:t xml:space="preserve">Dicho presupuesto </w:t>
      </w:r>
      <w:r w:rsidR="00C1019A">
        <w:rPr>
          <w:rFonts w:ascii="Arial" w:hAnsi="Arial" w:cs="Arial"/>
          <w:bCs/>
          <w:sz w:val="22"/>
          <w:lang w:val="es-ES_tradnl"/>
        </w:rPr>
        <w:t xml:space="preserve">estimado </w:t>
      </w:r>
      <w:r w:rsidRPr="0033016F">
        <w:rPr>
          <w:rFonts w:ascii="Arial" w:hAnsi="Arial" w:cs="Arial"/>
          <w:bCs/>
          <w:sz w:val="22"/>
          <w:lang w:val="es-ES_tradnl"/>
        </w:rPr>
        <w:t xml:space="preserve">incluye los costos genéricos </w:t>
      </w:r>
      <w:r w:rsidRPr="0033016F">
        <w:rPr>
          <w:rFonts w:ascii="Arial" w:hAnsi="Arial" w:cs="Arial"/>
          <w:bCs/>
          <w:i/>
          <w:iCs/>
          <w:sz w:val="22"/>
          <w:lang w:val="es-ES_tradnl"/>
        </w:rPr>
        <w:t xml:space="preserve">indirectos </w:t>
      </w:r>
      <w:r w:rsidRPr="0033016F">
        <w:rPr>
          <w:rFonts w:ascii="Arial" w:hAnsi="Arial" w:cs="Arial"/>
          <w:bCs/>
          <w:sz w:val="22"/>
          <w:lang w:val="es-ES_tradnl"/>
        </w:rPr>
        <w:t xml:space="preserve">en que incurren los contratistas, entre ellos, los de la </w:t>
      </w:r>
      <w:r w:rsidRPr="0033016F">
        <w:rPr>
          <w:rFonts w:ascii="Arial" w:hAnsi="Arial" w:cs="Arial"/>
          <w:bCs/>
          <w:i/>
          <w:iCs/>
          <w:sz w:val="22"/>
          <w:lang w:val="es-ES_tradnl"/>
        </w:rPr>
        <w:t>Administración</w:t>
      </w:r>
      <w:r w:rsidRPr="0033016F">
        <w:rPr>
          <w:rFonts w:ascii="Arial" w:hAnsi="Arial" w:cs="Arial"/>
          <w:bCs/>
          <w:sz w:val="22"/>
          <w:lang w:val="es-ES_tradnl"/>
        </w:rPr>
        <w:t xml:space="preserve">, para efectos de definir el porcentaje con el que calculan el presupuesto, pese a que el monto de este componente varía ostensiblemente de un proponente a otro, pues el valor real de la </w:t>
      </w:r>
      <w:r w:rsidRPr="0033016F">
        <w:rPr>
          <w:rFonts w:ascii="Arial" w:hAnsi="Arial" w:cs="Arial"/>
          <w:bCs/>
          <w:i/>
          <w:iCs/>
          <w:sz w:val="22"/>
          <w:lang w:val="es-ES_tradnl"/>
        </w:rPr>
        <w:t>Administración</w:t>
      </w:r>
      <w:r w:rsidRPr="0033016F">
        <w:rPr>
          <w:rFonts w:ascii="Arial" w:hAnsi="Arial" w:cs="Arial"/>
          <w:bCs/>
          <w:sz w:val="22"/>
          <w:lang w:val="es-ES_tradnl"/>
        </w:rPr>
        <w:t xml:space="preserve"> depende de circunstancias particulares de los proponentes</w:t>
      </w:r>
      <w:r w:rsidRPr="0033016F">
        <w:rPr>
          <w:rStyle w:val="Refdenotaalpie"/>
          <w:rFonts w:ascii="Arial" w:hAnsi="Arial" w:cs="Arial"/>
          <w:bCs/>
          <w:sz w:val="22"/>
          <w:lang w:val="es-ES_tradnl"/>
        </w:rPr>
        <w:footnoteReference w:id="9"/>
      </w:r>
      <w:r w:rsidRPr="0033016F">
        <w:rPr>
          <w:rFonts w:ascii="Arial" w:hAnsi="Arial" w:cs="Arial"/>
          <w:bCs/>
          <w:sz w:val="22"/>
          <w:lang w:val="es-ES_tradnl"/>
        </w:rPr>
        <w:t xml:space="preserve">. </w:t>
      </w:r>
    </w:p>
    <w:p w14:paraId="0641BB5C" w14:textId="3DFA90BA" w:rsidR="00990701" w:rsidRPr="0033016F" w:rsidRDefault="00990701" w:rsidP="00030F57">
      <w:pPr>
        <w:spacing w:after="120" w:line="276" w:lineRule="auto"/>
        <w:ind w:firstLine="708"/>
        <w:jc w:val="both"/>
        <w:rPr>
          <w:rFonts w:ascii="Arial" w:hAnsi="Arial" w:cs="Arial"/>
          <w:bCs/>
          <w:sz w:val="22"/>
          <w:lang w:val="es-ES_tradnl"/>
        </w:rPr>
      </w:pPr>
      <w:r w:rsidRPr="0033016F">
        <w:rPr>
          <w:rFonts w:ascii="Arial" w:hAnsi="Arial" w:cs="Arial"/>
          <w:bCs/>
          <w:sz w:val="22"/>
          <w:lang w:val="es-ES_tradnl"/>
        </w:rPr>
        <w:t>De manera que las entidades calculan un valor estimado que, a su vez, sirve de guía para que los proponentes formulen sus ofertas</w:t>
      </w:r>
      <w:r w:rsidR="000038D1">
        <w:rPr>
          <w:rFonts w:ascii="Arial" w:hAnsi="Arial" w:cs="Arial"/>
          <w:bCs/>
          <w:sz w:val="22"/>
          <w:lang w:val="es-ES_tradnl"/>
        </w:rPr>
        <w:t>,</w:t>
      </w:r>
      <w:r w:rsidRPr="0033016F">
        <w:rPr>
          <w:rFonts w:ascii="Arial" w:hAnsi="Arial" w:cs="Arial"/>
          <w:bCs/>
          <w:sz w:val="22"/>
          <w:lang w:val="es-ES_tradnl"/>
        </w:rPr>
        <w:t xml:space="preserve">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manera que la fijación de un porcentaje fijo y estable también </w:t>
      </w:r>
      <w:r w:rsidR="00B12F94">
        <w:rPr>
          <w:rFonts w:ascii="Arial" w:hAnsi="Arial" w:cs="Arial"/>
          <w:bCs/>
          <w:sz w:val="22"/>
          <w:lang w:val="es-ES_tradnl"/>
        </w:rPr>
        <w:t xml:space="preserve">puede </w:t>
      </w:r>
      <w:r w:rsidRPr="0033016F">
        <w:rPr>
          <w:rFonts w:ascii="Arial" w:hAnsi="Arial" w:cs="Arial"/>
          <w:bCs/>
          <w:sz w:val="22"/>
          <w:lang w:val="es-ES_tradnl"/>
        </w:rPr>
        <w:t>resulta</w:t>
      </w:r>
      <w:r w:rsidR="00B12F94">
        <w:rPr>
          <w:rFonts w:ascii="Arial" w:hAnsi="Arial" w:cs="Arial"/>
          <w:bCs/>
          <w:sz w:val="22"/>
          <w:lang w:val="es-ES_tradnl"/>
        </w:rPr>
        <w:t>r</w:t>
      </w:r>
      <w:r w:rsidRPr="0033016F">
        <w:rPr>
          <w:rFonts w:ascii="Arial" w:hAnsi="Arial" w:cs="Arial"/>
          <w:bCs/>
          <w:sz w:val="22"/>
          <w:lang w:val="es-ES_tradnl"/>
        </w:rPr>
        <w:t xml:space="preserve"> favorable a la entidad estatal, pues su </w:t>
      </w:r>
      <w:r w:rsidRPr="0033016F">
        <w:rPr>
          <w:rFonts w:ascii="Arial" w:hAnsi="Arial" w:cs="Arial"/>
          <w:bCs/>
          <w:sz w:val="22"/>
          <w:lang w:val="es-ES_tradnl"/>
        </w:rPr>
        <w:lastRenderedPageBreak/>
        <w:t>contraparte no le podrá exigir un monto superior, bajo el argumento de que incurrió en costos adicionales asociados al componente Administración</w:t>
      </w:r>
      <w:r w:rsidRPr="0033016F">
        <w:rPr>
          <w:rStyle w:val="Refdenotaalpie"/>
          <w:rFonts w:ascii="Arial" w:hAnsi="Arial" w:cs="Arial"/>
          <w:bCs/>
          <w:sz w:val="22"/>
          <w:lang w:val="es-ES_tradnl"/>
        </w:rPr>
        <w:footnoteReference w:id="10"/>
      </w:r>
      <w:r w:rsidRPr="0033016F">
        <w:rPr>
          <w:rFonts w:ascii="Arial" w:hAnsi="Arial" w:cs="Arial"/>
          <w:bCs/>
          <w:sz w:val="22"/>
          <w:lang w:val="es-ES_tradnl"/>
        </w:rPr>
        <w:t>.</w:t>
      </w:r>
    </w:p>
    <w:p w14:paraId="22BD68AE" w14:textId="77777777" w:rsidR="00990701" w:rsidRPr="0033016F" w:rsidRDefault="00990701" w:rsidP="00990701">
      <w:pPr>
        <w:spacing w:before="120" w:line="276" w:lineRule="auto"/>
        <w:jc w:val="both"/>
        <w:rPr>
          <w:rFonts w:ascii="Arial" w:hAnsi="Arial" w:cs="Arial"/>
          <w:bCs/>
          <w:sz w:val="22"/>
          <w:lang w:val="es-ES_tradnl"/>
        </w:rPr>
      </w:pPr>
      <w:r w:rsidRPr="0033016F">
        <w:rPr>
          <w:rFonts w:ascii="Arial" w:hAnsi="Arial" w:cs="Arial"/>
          <w:bCs/>
          <w:sz w:val="22"/>
          <w:lang w:val="es-ES_tradnl"/>
        </w:rPr>
        <w:tab/>
        <w:t xml:space="preserve">En efecto, frente a los costos que suelen incluirse en la Administración –A–, la jurisprudencia, a partir de la práctica de las entidades estatales, ha señalado que: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En términos similares, pero más precisos, la doctrina, recogiendo la casuística de los contratos estatales, señala de forma más pormenorizada los gastos que se asocian a la –A–, donde se incluyen importantes costos indirectos en que se incurre en la ejecución: </w:t>
      </w:r>
    </w:p>
    <w:p w14:paraId="57658DC9" w14:textId="77777777" w:rsidR="00990701" w:rsidRPr="0033016F" w:rsidRDefault="00990701" w:rsidP="00990701">
      <w:pPr>
        <w:spacing w:line="276" w:lineRule="auto"/>
        <w:jc w:val="both"/>
        <w:rPr>
          <w:rFonts w:ascii="Arial" w:hAnsi="Arial" w:cs="Arial"/>
          <w:bCs/>
          <w:sz w:val="22"/>
          <w:lang w:val="es-ES_tradnl"/>
        </w:rPr>
      </w:pPr>
    </w:p>
    <w:p w14:paraId="6DFD4929" w14:textId="7CDFEB6E"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Para entender mejor el tema conviene especificar que si los gastos que hacen parte de la A se encuentran: i) el pago de salarios y prestaciones sociales del personal profesional y especializado necesario para ejecutar la obra –es el caso del Director de obra, los arquitectos, ingenieros y contadores, eventualmente abogados u otros; pero no se incluyen los obreros–, ii) pago de salarios y prestaciones sociales del personal logístico y de apoyo no dedicado directamente con la ejecución del contrato –por ejemplo: las secretarias de la empresa, el servicio de cafetería en mensajero, la vigilancia, los seguros, etc.– sin los que la empresa no puede funcionar; iii) pago de arrendamiento de las instalaciones necesarias para e</w:t>
      </w:r>
      <w:r w:rsidR="005542A9">
        <w:rPr>
          <w:rFonts w:ascii="Arial" w:hAnsi="Arial" w:cs="Arial"/>
          <w:sz w:val="21"/>
          <w:szCs w:val="21"/>
          <w:lang w:val="es-ES_tradnl"/>
        </w:rPr>
        <w:t>l</w:t>
      </w:r>
      <w:r w:rsidRPr="0033016F">
        <w:rPr>
          <w:rFonts w:ascii="Arial" w:hAnsi="Arial" w:cs="Arial"/>
          <w:sz w:val="21"/>
          <w:szCs w:val="21"/>
          <w:lang w:val="es-ES_tradnl"/>
        </w:rPr>
        <w:t xml:space="preserve"> funcionamiento de la empresa –oficinas y campamento de la obra–; iv) pago de impuestos y gravámenes en general que afectan la actividad o el contrato; v) valor de las fotocopias, papelería en general y equipos de oficina, vi) transporte terrestre, tiquetes aéreos y arrendamiento de vehículos –distintos de la maquinaria que se emplea en la obra–, vii) pólizas del contrato, viii) pago de servicios públicos y otras comunicaciones –como el servicio celular– y ix) gastos en que se incurra para realizar ensayos de laboratorio</w:t>
      </w:r>
      <w:r w:rsidRPr="0033016F">
        <w:rPr>
          <w:rStyle w:val="Refdenotaalpie"/>
          <w:rFonts w:ascii="Arial" w:hAnsi="Arial" w:cs="Arial"/>
          <w:sz w:val="21"/>
          <w:szCs w:val="21"/>
          <w:lang w:val="es-ES_tradnl"/>
        </w:rPr>
        <w:footnoteReference w:id="11"/>
      </w:r>
      <w:r w:rsidRPr="0033016F">
        <w:rPr>
          <w:rFonts w:ascii="Arial" w:hAnsi="Arial" w:cs="Arial"/>
          <w:sz w:val="21"/>
          <w:szCs w:val="21"/>
          <w:lang w:val="es-ES_tradnl"/>
        </w:rPr>
        <w:t>.</w:t>
      </w:r>
    </w:p>
    <w:p w14:paraId="28EC8E60" w14:textId="77777777" w:rsidR="00990701" w:rsidRPr="0033016F" w:rsidRDefault="00990701" w:rsidP="00990701">
      <w:pPr>
        <w:spacing w:line="276" w:lineRule="auto"/>
        <w:jc w:val="both"/>
        <w:rPr>
          <w:rFonts w:ascii="Arial" w:hAnsi="Arial" w:cs="Arial"/>
          <w:sz w:val="21"/>
          <w:szCs w:val="21"/>
          <w:lang w:val="es-ES_tradnl"/>
        </w:rPr>
      </w:pPr>
    </w:p>
    <w:p w14:paraId="161EC2AF" w14:textId="77777777" w:rsidR="00990701" w:rsidRPr="0033016F" w:rsidRDefault="00990701" w:rsidP="00990701">
      <w:pPr>
        <w:spacing w:line="276" w:lineRule="auto"/>
        <w:jc w:val="both"/>
        <w:rPr>
          <w:rFonts w:ascii="Arial" w:hAnsi="Arial" w:cs="Arial"/>
          <w:sz w:val="21"/>
          <w:szCs w:val="21"/>
          <w:lang w:val="es-ES_tradnl"/>
        </w:rPr>
      </w:pPr>
      <w:r w:rsidRPr="0033016F">
        <w:rPr>
          <w:rFonts w:ascii="Arial" w:hAnsi="Arial" w:cs="Arial"/>
          <w:sz w:val="21"/>
          <w:szCs w:val="21"/>
          <w:lang w:val="es-ES_tradnl"/>
        </w:rPr>
        <w:tab/>
      </w:r>
      <w:r w:rsidRPr="0033016F">
        <w:rPr>
          <w:rFonts w:ascii="Arial" w:hAnsi="Arial" w:cs="Arial"/>
          <w:bCs/>
          <w:sz w:val="22"/>
          <w:lang w:val="es-ES_tradnl"/>
        </w:rPr>
        <w:t xml:space="preserve">Partiendo de la forma usual como se estructuran los contratos estatales bajo la metodología del AIU, la doctrina expresa que este porcentaje se mantiene invariable, pese a los costos reales en que se incurra en la ejecución, pues las partes previamente acuerdan la forma de pago del precio del contrato, que se realiza con base en los costos directos del </w:t>
      </w:r>
      <w:r w:rsidRPr="0033016F">
        <w:rPr>
          <w:rFonts w:ascii="Arial" w:hAnsi="Arial" w:cs="Arial"/>
          <w:bCs/>
          <w:sz w:val="22"/>
          <w:lang w:val="es-ES_tradnl"/>
        </w:rPr>
        <w:lastRenderedPageBreak/>
        <w:t>contrato, sumados con el porcentaje del AIU aplicado a aquellos costos</w:t>
      </w:r>
      <w:r>
        <w:rPr>
          <w:rStyle w:val="Refdenotaalpie"/>
          <w:rFonts w:ascii="Arial" w:hAnsi="Arial" w:cs="Arial"/>
          <w:bCs/>
          <w:sz w:val="22"/>
          <w:lang w:val="es-ES_tradnl"/>
        </w:rPr>
        <w:footnoteReference w:id="12"/>
      </w:r>
      <w:r w:rsidRPr="0033016F">
        <w:rPr>
          <w:rFonts w:ascii="Arial" w:hAnsi="Arial" w:cs="Arial"/>
          <w:bCs/>
          <w:sz w:val="22"/>
          <w:lang w:val="es-ES_tradnl"/>
        </w:rPr>
        <w:t xml:space="preserve">. En particular frente al componente A, expresa: </w:t>
      </w:r>
      <w:r w:rsidRPr="0033016F">
        <w:rPr>
          <w:rFonts w:ascii="Arial" w:hAnsi="Arial" w:cs="Arial"/>
          <w:sz w:val="21"/>
          <w:szCs w:val="21"/>
          <w:lang w:val="es-ES_tradnl"/>
        </w:rPr>
        <w:t xml:space="preserve"> </w:t>
      </w:r>
    </w:p>
    <w:p w14:paraId="351F63D4" w14:textId="77777777" w:rsidR="00990701" w:rsidRPr="0033016F" w:rsidRDefault="00990701" w:rsidP="00990701">
      <w:pPr>
        <w:spacing w:line="276" w:lineRule="auto"/>
        <w:jc w:val="both"/>
        <w:rPr>
          <w:rFonts w:ascii="Arial" w:hAnsi="Arial" w:cs="Arial"/>
          <w:sz w:val="21"/>
          <w:szCs w:val="21"/>
          <w:lang w:val="es-ES_tradnl"/>
        </w:rPr>
      </w:pPr>
    </w:p>
    <w:p w14:paraId="104594F5" w14:textId="77777777" w:rsidR="00990701" w:rsidRPr="0033016F" w:rsidRDefault="00990701" w:rsidP="00990701">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Este porcentaje del valor del contrato también lo determina cada oferente–contratista con libertad, pues a él incumbe establecer cuánto ascienden sus gastos de administración, y si al final resultan superiores no puede exigir de la entidad, por esa sola circunstancia, un reembolso, porque para ella se trataba de un dato indicativo sobre la manera como se halla el valor total de la obra, de ninguna manera determinante de la forma como se paga cada actividad. A la inversa sucede lo mismo, si el gasto es inferior al presupuestado la entidad no puede pagar menos de lo pactado, sino los precios unitarios acordados por la </w:t>
      </w:r>
      <w:r w:rsidRPr="0033016F">
        <w:rPr>
          <w:rFonts w:ascii="Arial" w:hAnsi="Arial" w:cs="Arial"/>
          <w:i/>
          <w:iCs/>
          <w:sz w:val="21"/>
          <w:szCs w:val="21"/>
          <w:lang w:val="es-ES_tradnl"/>
        </w:rPr>
        <w:t>A</w:t>
      </w:r>
      <w:r w:rsidRPr="0033016F">
        <w:rPr>
          <w:rFonts w:ascii="Arial" w:hAnsi="Arial" w:cs="Arial"/>
          <w:sz w:val="21"/>
          <w:szCs w:val="21"/>
          <w:lang w:val="es-ES_tradnl"/>
        </w:rPr>
        <w:t xml:space="preserve"> –</w:t>
      </w:r>
      <w:proofErr w:type="gramStart"/>
      <w:r w:rsidRPr="0033016F">
        <w:rPr>
          <w:rFonts w:ascii="Arial" w:hAnsi="Arial" w:cs="Arial"/>
          <w:sz w:val="21"/>
          <w:szCs w:val="21"/>
          <w:lang w:val="es-ES_tradnl"/>
        </w:rPr>
        <w:t>y</w:t>
      </w:r>
      <w:proofErr w:type="gramEnd"/>
      <w:r w:rsidRPr="0033016F">
        <w:rPr>
          <w:rFonts w:ascii="Arial" w:hAnsi="Arial" w:cs="Arial"/>
          <w:sz w:val="21"/>
          <w:szCs w:val="21"/>
          <w:lang w:val="es-ES_tradnl"/>
        </w:rPr>
        <w:t xml:space="preserve"> dicho sea de paso, también por la </w:t>
      </w:r>
      <w:r w:rsidRPr="0033016F">
        <w:rPr>
          <w:rFonts w:ascii="Arial" w:hAnsi="Arial" w:cs="Arial"/>
          <w:i/>
          <w:iCs/>
          <w:sz w:val="21"/>
          <w:szCs w:val="21"/>
          <w:lang w:val="es-ES_tradnl"/>
        </w:rPr>
        <w:t>I</w:t>
      </w:r>
      <w:r w:rsidRPr="0033016F">
        <w:rPr>
          <w:rFonts w:ascii="Arial" w:hAnsi="Arial" w:cs="Arial"/>
          <w:sz w:val="21"/>
          <w:szCs w:val="21"/>
          <w:lang w:val="es-ES_tradnl"/>
        </w:rPr>
        <w:t xml:space="preserve"> y la </w:t>
      </w:r>
      <w:r w:rsidRPr="0033016F">
        <w:rPr>
          <w:rFonts w:ascii="Arial" w:hAnsi="Arial" w:cs="Arial"/>
          <w:i/>
          <w:iCs/>
          <w:sz w:val="21"/>
          <w:szCs w:val="21"/>
          <w:lang w:val="es-ES_tradnl"/>
        </w:rPr>
        <w:t>U</w:t>
      </w:r>
      <w:r w:rsidRPr="0033016F">
        <w:rPr>
          <w:rFonts w:ascii="Arial" w:hAnsi="Arial" w:cs="Arial"/>
          <w:sz w:val="21"/>
          <w:szCs w:val="21"/>
          <w:lang w:val="es-ES_tradnl"/>
        </w:rPr>
        <w:t xml:space="preserve">–. </w:t>
      </w:r>
    </w:p>
    <w:p w14:paraId="587045C8" w14:textId="77777777" w:rsidR="00990701" w:rsidRPr="0033016F" w:rsidRDefault="00990701" w:rsidP="00990701">
      <w:pPr>
        <w:spacing w:line="276" w:lineRule="auto"/>
        <w:jc w:val="both"/>
        <w:rPr>
          <w:rFonts w:ascii="Arial" w:hAnsi="Arial" w:cs="Arial"/>
          <w:bCs/>
          <w:sz w:val="22"/>
          <w:lang w:val="es-ES_tradnl"/>
        </w:rPr>
      </w:pPr>
    </w:p>
    <w:p w14:paraId="6631EE22" w14:textId="77777777" w:rsidR="00990701" w:rsidRPr="0033016F" w:rsidRDefault="00990701" w:rsidP="00990701">
      <w:pPr>
        <w:spacing w:line="276" w:lineRule="auto"/>
        <w:ind w:firstLine="709"/>
        <w:jc w:val="both"/>
        <w:rPr>
          <w:rFonts w:ascii="Arial" w:hAnsi="Arial" w:cs="Arial"/>
          <w:bCs/>
          <w:sz w:val="22"/>
          <w:lang w:val="es-ES_tradnl"/>
        </w:rPr>
      </w:pPr>
      <w:r w:rsidRPr="0033016F">
        <w:rPr>
          <w:rFonts w:ascii="Arial" w:hAnsi="Arial" w:cs="Arial"/>
          <w:bCs/>
          <w:sz w:val="22"/>
          <w:lang w:val="es-ES_tradnl"/>
        </w:rPr>
        <w:t>Tal es la forma usual como se pacta el precio en los contratos estatales cuyo valor se define con base en la metodología del AIU. Lo anterior, sin perjuicio de que las partes en el contrato establezcan las cláusulas que a bien tengan, pues se trata de un aspecto en que la autonomía de la voluntad de que gozan las entidades estatales –y sus contratistas– despliega importantes efectos, por tratarse de un aspecto que no regula de forma específica el EGCAP.</w:t>
      </w:r>
    </w:p>
    <w:p w14:paraId="5E3A436E" w14:textId="77777777" w:rsidR="007A36C3" w:rsidRDefault="007A36C3" w:rsidP="00510DE9">
      <w:pPr>
        <w:tabs>
          <w:tab w:val="left" w:pos="0"/>
        </w:tabs>
        <w:jc w:val="both"/>
        <w:rPr>
          <w:rFonts w:ascii="Arial" w:eastAsia="Calibri" w:hAnsi="Arial" w:cs="Arial"/>
          <w:b/>
          <w:color w:val="000000" w:themeColor="text1"/>
          <w:sz w:val="22"/>
          <w:lang w:val="es-ES_tradnl"/>
        </w:rPr>
      </w:pPr>
    </w:p>
    <w:p w14:paraId="37CA9805" w14:textId="5E12DF66" w:rsidR="00DD5B04" w:rsidRPr="00404C61" w:rsidRDefault="004177A6" w:rsidP="00510DE9">
      <w:pPr>
        <w:tabs>
          <w:tab w:val="left" w:pos="0"/>
        </w:tabs>
        <w:jc w:val="both"/>
        <w:rPr>
          <w:rFonts w:ascii="Arial" w:eastAsia="Calibri" w:hAnsi="Arial" w:cs="Arial"/>
          <w:b/>
          <w:color w:val="000000" w:themeColor="text1"/>
          <w:sz w:val="22"/>
          <w:lang w:val="es-ES_tradnl"/>
        </w:rPr>
      </w:pPr>
      <w:r w:rsidRPr="00404C61">
        <w:rPr>
          <w:rFonts w:ascii="Arial" w:eastAsia="Calibri" w:hAnsi="Arial" w:cs="Arial"/>
          <w:b/>
          <w:color w:val="000000" w:themeColor="text1"/>
          <w:sz w:val="22"/>
          <w:lang w:val="es-ES_tradnl"/>
        </w:rPr>
        <w:t>3</w:t>
      </w:r>
      <w:r w:rsidR="00B011A9" w:rsidRPr="00404C61">
        <w:rPr>
          <w:rFonts w:ascii="Arial" w:eastAsia="Calibri" w:hAnsi="Arial" w:cs="Arial"/>
          <w:b/>
          <w:color w:val="000000" w:themeColor="text1"/>
          <w:sz w:val="22"/>
          <w:lang w:val="es-ES_tradnl"/>
        </w:rPr>
        <w:t xml:space="preserve">. </w:t>
      </w:r>
      <w:r w:rsidR="00DD5B04" w:rsidRPr="00404C61">
        <w:rPr>
          <w:rFonts w:ascii="Arial" w:eastAsia="Calibri" w:hAnsi="Arial" w:cs="Arial"/>
          <w:b/>
          <w:color w:val="000000" w:themeColor="text1"/>
          <w:sz w:val="22"/>
          <w:lang w:val="es-ES_tradnl"/>
        </w:rPr>
        <w:t>Respuesta</w:t>
      </w:r>
      <w:r w:rsidR="00CC71D3">
        <w:rPr>
          <w:rFonts w:ascii="Arial" w:eastAsia="Calibri" w:hAnsi="Arial" w:cs="Arial"/>
          <w:b/>
          <w:color w:val="000000" w:themeColor="text1"/>
          <w:sz w:val="22"/>
          <w:lang w:val="es-ES_tradnl"/>
        </w:rPr>
        <w:t>s</w:t>
      </w:r>
    </w:p>
    <w:p w14:paraId="0B74D5B8" w14:textId="7F0A7F13" w:rsidR="00C4581D" w:rsidRPr="00404C61" w:rsidRDefault="00C4581D" w:rsidP="00510DE9">
      <w:pPr>
        <w:tabs>
          <w:tab w:val="left" w:pos="0"/>
        </w:tabs>
        <w:jc w:val="both"/>
        <w:rPr>
          <w:rFonts w:ascii="Arial" w:eastAsia="Calibri" w:hAnsi="Arial" w:cs="Arial"/>
          <w:color w:val="000000" w:themeColor="text1"/>
          <w:sz w:val="22"/>
          <w:lang w:val="es-ES_tradnl"/>
        </w:rPr>
      </w:pPr>
    </w:p>
    <w:p w14:paraId="01B34B90" w14:textId="28B0BF18" w:rsidR="004C74C9" w:rsidRDefault="004C74C9" w:rsidP="003805DB">
      <w:pPr>
        <w:ind w:left="709" w:right="709"/>
        <w:jc w:val="both"/>
        <w:rPr>
          <w:rFonts w:ascii="Arial" w:hAnsi="Arial" w:cs="Arial"/>
          <w:color w:val="000000" w:themeColor="text1"/>
          <w:sz w:val="21"/>
          <w:szCs w:val="21"/>
          <w:lang w:val="es-ES_tradnl"/>
        </w:rPr>
      </w:pPr>
      <w:r w:rsidRPr="00404C61">
        <w:rPr>
          <w:rFonts w:ascii="Arial" w:hAnsi="Arial" w:cs="Arial"/>
          <w:color w:val="000000" w:themeColor="text1"/>
          <w:sz w:val="21"/>
          <w:szCs w:val="21"/>
          <w:lang w:val="es-ES_tradnl"/>
        </w:rPr>
        <w:t>«</w:t>
      </w:r>
      <w:r w:rsidRPr="003A1561">
        <w:rPr>
          <w:rFonts w:ascii="Arial" w:hAnsi="Arial" w:cs="Arial"/>
          <w:color w:val="000000" w:themeColor="text1"/>
          <w:sz w:val="21"/>
          <w:szCs w:val="21"/>
          <w:lang w:val="es-ES_tradnl"/>
        </w:rPr>
        <w:t>1. ¿Es el AIU o AU de los contratos una partida considerada como parte de la estructura de costos del contrato?</w:t>
      </w:r>
      <w:r w:rsidR="003805DB">
        <w:rPr>
          <w:rFonts w:ascii="Arial" w:hAnsi="Arial" w:cs="Arial"/>
          <w:color w:val="000000" w:themeColor="text1"/>
          <w:sz w:val="21"/>
          <w:szCs w:val="21"/>
          <w:lang w:val="es-ES_tradnl"/>
        </w:rPr>
        <w:t>»</w:t>
      </w:r>
    </w:p>
    <w:p w14:paraId="52174A87" w14:textId="77777777" w:rsidR="00B737FB" w:rsidRDefault="00B737FB" w:rsidP="00B737FB">
      <w:pPr>
        <w:jc w:val="both"/>
        <w:rPr>
          <w:rFonts w:ascii="Arial" w:hAnsi="Arial" w:cs="Arial"/>
          <w:color w:val="000000" w:themeColor="text1"/>
          <w:sz w:val="21"/>
          <w:szCs w:val="21"/>
        </w:rPr>
      </w:pPr>
    </w:p>
    <w:p w14:paraId="56668B5C" w14:textId="7EA027F5" w:rsidR="004C74C9" w:rsidRPr="00B737FB" w:rsidRDefault="00B737FB" w:rsidP="00A15C19">
      <w:pPr>
        <w:spacing w:line="276" w:lineRule="auto"/>
        <w:jc w:val="both"/>
        <w:rPr>
          <w:rFonts w:ascii="Arial" w:hAnsi="Arial" w:cs="Arial"/>
          <w:color w:val="000000" w:themeColor="text1"/>
          <w:sz w:val="22"/>
          <w:szCs w:val="22"/>
        </w:rPr>
      </w:pPr>
      <w:r w:rsidRPr="00B737FB">
        <w:rPr>
          <w:rFonts w:ascii="Arial" w:hAnsi="Arial" w:cs="Arial"/>
          <w:color w:val="000000" w:themeColor="text1"/>
          <w:sz w:val="22"/>
          <w:szCs w:val="22"/>
        </w:rPr>
        <w:t>En efecto, el AIU o AU hace parte del precio de los contratos, cuando se ha pactado esta metodología de cálculo de los costos indirectos</w:t>
      </w:r>
      <w:r w:rsidR="00BD6728">
        <w:rPr>
          <w:rFonts w:ascii="Arial" w:hAnsi="Arial" w:cs="Arial"/>
          <w:color w:val="000000" w:themeColor="text1"/>
          <w:sz w:val="22"/>
          <w:szCs w:val="22"/>
        </w:rPr>
        <w:t>,</w:t>
      </w:r>
      <w:r w:rsidRPr="00B737FB">
        <w:rPr>
          <w:rFonts w:ascii="Arial" w:hAnsi="Arial" w:cs="Arial"/>
          <w:color w:val="000000" w:themeColor="text1"/>
          <w:sz w:val="22"/>
          <w:szCs w:val="22"/>
        </w:rPr>
        <w:t xml:space="preserve"> que resulta más común, sobre todo, en los contratos de tracto sucesivo, como los de obra pública a precios unitarios.</w:t>
      </w:r>
    </w:p>
    <w:p w14:paraId="3EA264E8" w14:textId="77777777" w:rsidR="00B737FB" w:rsidRPr="00B737FB" w:rsidRDefault="00B737FB" w:rsidP="00B737FB">
      <w:pPr>
        <w:jc w:val="both"/>
        <w:rPr>
          <w:rFonts w:ascii="Arial" w:hAnsi="Arial" w:cs="Arial"/>
          <w:color w:val="000000" w:themeColor="text1"/>
          <w:sz w:val="21"/>
          <w:szCs w:val="21"/>
        </w:rPr>
      </w:pPr>
    </w:p>
    <w:p w14:paraId="36FD1D2B" w14:textId="7849213D" w:rsidR="004C74C9" w:rsidRPr="003A1561" w:rsidRDefault="003805DB" w:rsidP="004C74C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4C74C9" w:rsidRPr="003A1561">
        <w:rPr>
          <w:rFonts w:ascii="Arial" w:hAnsi="Arial" w:cs="Arial"/>
          <w:color w:val="000000" w:themeColor="text1"/>
          <w:sz w:val="21"/>
          <w:szCs w:val="21"/>
          <w:lang w:val="es-ES_tradnl"/>
        </w:rPr>
        <w:t>2. ¿Existe una relativa libertad del contratista en la destinación de esa partida, salvo disposición contractual en contrario?</w:t>
      </w:r>
      <w:r>
        <w:rPr>
          <w:rFonts w:ascii="Arial" w:hAnsi="Arial" w:cs="Arial"/>
          <w:color w:val="000000" w:themeColor="text1"/>
          <w:sz w:val="21"/>
          <w:szCs w:val="21"/>
          <w:lang w:val="es-ES_tradnl"/>
        </w:rPr>
        <w:t>»</w:t>
      </w:r>
    </w:p>
    <w:p w14:paraId="43427B02" w14:textId="3DEE9F3A" w:rsidR="003805DB" w:rsidRDefault="003805DB" w:rsidP="004C74C9">
      <w:pPr>
        <w:ind w:left="709" w:right="709"/>
        <w:jc w:val="both"/>
        <w:rPr>
          <w:rFonts w:ascii="Arial" w:hAnsi="Arial" w:cs="Arial"/>
          <w:color w:val="000000" w:themeColor="text1"/>
          <w:sz w:val="21"/>
          <w:szCs w:val="21"/>
          <w:lang w:val="es-ES_tradnl"/>
        </w:rPr>
      </w:pPr>
    </w:p>
    <w:p w14:paraId="065F587A" w14:textId="112EDF38" w:rsidR="007C3570" w:rsidRDefault="007C3570" w:rsidP="00A15C19">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Como se indicó en las considereciones de este concepto, a</w:t>
      </w:r>
      <w:r w:rsidRPr="007C3570">
        <w:rPr>
          <w:rFonts w:ascii="Arial" w:hAnsi="Arial" w:cs="Arial"/>
          <w:color w:val="000000" w:themeColor="text1"/>
          <w:sz w:val="22"/>
          <w:szCs w:val="22"/>
        </w:rPr>
        <w:t xml:space="preserve">l </w:t>
      </w:r>
      <w:r>
        <w:rPr>
          <w:rFonts w:ascii="Arial" w:hAnsi="Arial" w:cs="Arial"/>
          <w:color w:val="000000" w:themeColor="text1"/>
          <w:sz w:val="22"/>
          <w:szCs w:val="22"/>
        </w:rPr>
        <w:t xml:space="preserve">ser el AIU un elemento que integra </w:t>
      </w:r>
      <w:r w:rsidRPr="007C3570">
        <w:rPr>
          <w:rFonts w:ascii="Arial" w:hAnsi="Arial" w:cs="Arial"/>
          <w:color w:val="000000" w:themeColor="text1"/>
          <w:sz w:val="22"/>
          <w:szCs w:val="22"/>
        </w:rPr>
        <w:t>el precio que se paga al contratista, este goza</w:t>
      </w:r>
      <w:r>
        <w:rPr>
          <w:rFonts w:ascii="Arial" w:hAnsi="Arial" w:cs="Arial"/>
          <w:color w:val="000000" w:themeColor="text1"/>
          <w:sz w:val="22"/>
          <w:szCs w:val="22"/>
        </w:rPr>
        <w:t>,</w:t>
      </w:r>
      <w:r w:rsidRPr="007C3570">
        <w:rPr>
          <w:rFonts w:ascii="Arial" w:hAnsi="Arial" w:cs="Arial"/>
          <w:color w:val="000000" w:themeColor="text1"/>
          <w:sz w:val="22"/>
          <w:szCs w:val="22"/>
        </w:rPr>
        <w:t xml:space="preserve"> en principio</w:t>
      </w:r>
      <w:r>
        <w:rPr>
          <w:rFonts w:ascii="Arial" w:hAnsi="Arial" w:cs="Arial"/>
          <w:color w:val="000000" w:themeColor="text1"/>
          <w:sz w:val="22"/>
          <w:szCs w:val="22"/>
        </w:rPr>
        <w:t xml:space="preserve">, </w:t>
      </w:r>
      <w:r w:rsidRPr="007C3570">
        <w:rPr>
          <w:rFonts w:ascii="Arial" w:hAnsi="Arial" w:cs="Arial"/>
          <w:color w:val="000000" w:themeColor="text1"/>
          <w:sz w:val="22"/>
          <w:szCs w:val="22"/>
        </w:rPr>
        <w:t>de libertad en la destinación de la partida, salvo que las partes hayan acordado una metodología especial en el contrato, que le imponga al contratista algunas restricciones, en virtud de la autonomía de la voluntad.</w:t>
      </w:r>
    </w:p>
    <w:p w14:paraId="2D1BD9B2" w14:textId="77777777" w:rsidR="007C3570" w:rsidRPr="007C3570" w:rsidRDefault="007C3570" w:rsidP="007C3570">
      <w:pPr>
        <w:jc w:val="both"/>
        <w:rPr>
          <w:rFonts w:ascii="Arial" w:hAnsi="Arial" w:cs="Arial"/>
          <w:color w:val="000000" w:themeColor="text1"/>
          <w:sz w:val="22"/>
          <w:szCs w:val="22"/>
        </w:rPr>
      </w:pPr>
    </w:p>
    <w:p w14:paraId="2754D5D0" w14:textId="0AD135E3" w:rsidR="004C74C9" w:rsidRDefault="003805DB" w:rsidP="004C74C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lastRenderedPageBreak/>
        <w:t>«</w:t>
      </w:r>
      <w:r w:rsidR="004C74C9" w:rsidRPr="003A1561">
        <w:rPr>
          <w:rFonts w:ascii="Arial" w:hAnsi="Arial" w:cs="Arial"/>
          <w:color w:val="000000" w:themeColor="text1"/>
          <w:sz w:val="21"/>
          <w:szCs w:val="21"/>
          <w:lang w:val="es-ES_tradnl"/>
        </w:rPr>
        <w:t>3. ¿Debe rendir cuentas un contratista de obra sobre los ítems determinados en la A, en la I y en la U?</w:t>
      </w:r>
      <w:r>
        <w:rPr>
          <w:rFonts w:ascii="Arial" w:hAnsi="Arial" w:cs="Arial"/>
          <w:color w:val="000000" w:themeColor="text1"/>
          <w:sz w:val="21"/>
          <w:szCs w:val="21"/>
          <w:lang w:val="es-ES_tradnl"/>
        </w:rPr>
        <w:t>»</w:t>
      </w:r>
    </w:p>
    <w:p w14:paraId="7C9B4235" w14:textId="1E8B9FCA" w:rsidR="004C74C9" w:rsidRDefault="004C74C9" w:rsidP="004C74C9">
      <w:pPr>
        <w:ind w:left="709" w:right="709"/>
        <w:jc w:val="both"/>
        <w:rPr>
          <w:rFonts w:ascii="Arial" w:hAnsi="Arial" w:cs="Arial"/>
          <w:color w:val="000000" w:themeColor="text1"/>
          <w:sz w:val="21"/>
          <w:szCs w:val="21"/>
          <w:lang w:val="es-ES_tradnl"/>
        </w:rPr>
      </w:pPr>
    </w:p>
    <w:p w14:paraId="662564E1" w14:textId="6ECCE1A1" w:rsidR="00491577" w:rsidRPr="00491577" w:rsidRDefault="00491577" w:rsidP="00491577">
      <w:pPr>
        <w:spacing w:line="276" w:lineRule="auto"/>
        <w:jc w:val="both"/>
        <w:rPr>
          <w:rFonts w:ascii="Arial" w:hAnsi="Arial" w:cs="Arial"/>
          <w:color w:val="000000" w:themeColor="text1"/>
          <w:sz w:val="22"/>
          <w:szCs w:val="22"/>
        </w:rPr>
      </w:pPr>
      <w:r w:rsidRPr="00491577">
        <w:rPr>
          <w:rFonts w:ascii="Arial" w:hAnsi="Arial" w:cs="Arial"/>
          <w:color w:val="000000" w:themeColor="text1"/>
          <w:sz w:val="22"/>
          <w:szCs w:val="22"/>
        </w:rPr>
        <w:t>Al no estar el AIU regulado normativamente, no existe un deber jurídico consagrado en el Estatuto General de Contratación de la Administración Pública dirigido al contratista</w:t>
      </w:r>
      <w:r>
        <w:rPr>
          <w:rFonts w:ascii="Arial" w:hAnsi="Arial" w:cs="Arial"/>
          <w:color w:val="000000" w:themeColor="text1"/>
          <w:sz w:val="22"/>
          <w:szCs w:val="22"/>
        </w:rPr>
        <w:t>,</w:t>
      </w:r>
      <w:r w:rsidRPr="00491577">
        <w:rPr>
          <w:rFonts w:ascii="Arial" w:hAnsi="Arial" w:cs="Arial"/>
          <w:color w:val="000000" w:themeColor="text1"/>
          <w:sz w:val="22"/>
          <w:szCs w:val="22"/>
        </w:rPr>
        <w:t xml:space="preserve"> para que este rinda cuentas sobre la destinación de los ítems que componen dicha partida. Como se dijo, la metodología de estipulación y administración del AIU ha sido un desarrollo de la costumbre mercantil que se ha venido adoptado voluntariamente por parte de las entidades estatales. Sin embargo, en caso de que el pliego de condiciones o el contrato establezca la obligación de rendir dichas cuentas, deberá respetarse este pacto.</w:t>
      </w:r>
    </w:p>
    <w:p w14:paraId="6D7DC812" w14:textId="77777777" w:rsidR="00491577" w:rsidRPr="00491577" w:rsidRDefault="00491577" w:rsidP="00491577">
      <w:pPr>
        <w:ind w:right="709"/>
        <w:jc w:val="both"/>
        <w:rPr>
          <w:rFonts w:ascii="Arial" w:hAnsi="Arial" w:cs="Arial"/>
          <w:color w:val="000000" w:themeColor="text1"/>
          <w:sz w:val="21"/>
          <w:szCs w:val="21"/>
        </w:rPr>
      </w:pPr>
    </w:p>
    <w:p w14:paraId="54C11B64" w14:textId="2E9D7AB9" w:rsidR="00A849A3" w:rsidRDefault="003805DB" w:rsidP="004C74C9">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4C74C9" w:rsidRPr="003A1561">
        <w:rPr>
          <w:rFonts w:ascii="Arial" w:hAnsi="Arial" w:cs="Arial"/>
          <w:color w:val="000000" w:themeColor="text1"/>
          <w:sz w:val="21"/>
          <w:szCs w:val="21"/>
          <w:lang w:val="es-ES_tradnl"/>
        </w:rPr>
        <w:t>4. ¿La entidad estatal contratante puede solicitar al contratista una devolución de los recursos contemplados en el AIU o AU, o podrá exigir justificaciones o soportes de la inversión realizada en estos conceptos?</w:t>
      </w:r>
      <w:r w:rsidR="004C74C9" w:rsidRPr="00404C61">
        <w:rPr>
          <w:rFonts w:ascii="Arial" w:hAnsi="Arial" w:cs="Arial"/>
          <w:color w:val="000000" w:themeColor="text1"/>
          <w:sz w:val="21"/>
          <w:szCs w:val="21"/>
          <w:lang w:val="es-ES_tradnl"/>
        </w:rPr>
        <w:t>».</w:t>
      </w:r>
    </w:p>
    <w:p w14:paraId="09421456" w14:textId="139DF80F" w:rsidR="00E16382" w:rsidRDefault="00E16382" w:rsidP="00DF76A2">
      <w:pPr>
        <w:spacing w:line="276" w:lineRule="auto"/>
        <w:jc w:val="both"/>
        <w:rPr>
          <w:rFonts w:ascii="Arial" w:hAnsi="Arial" w:cs="Arial"/>
          <w:color w:val="000000" w:themeColor="text1"/>
          <w:sz w:val="22"/>
          <w:lang w:val="es-ES_tradnl"/>
        </w:rPr>
      </w:pPr>
    </w:p>
    <w:p w14:paraId="2E420A2D" w14:textId="2874D764" w:rsidR="00102686" w:rsidRDefault="00102686" w:rsidP="00DF76A2">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Según se explicó</w:t>
      </w:r>
      <w:r w:rsidRPr="00102686">
        <w:rPr>
          <w:rFonts w:ascii="Arial" w:hAnsi="Arial" w:cs="Arial"/>
          <w:color w:val="000000" w:themeColor="text1"/>
          <w:sz w:val="22"/>
          <w:szCs w:val="22"/>
        </w:rPr>
        <w:t xml:space="preserve">, ni el Estatuto General de Contratación de la Administración Pública, ni el Decreto 1082 de 2015, imponen al contratista dicho deber, ni exigen que la entidad estatal contratante le solicite acreditar los soportes del AIU. Pero si esto se estipula en el pliego de condiciones o en el contrato, según el análisis de oportunidad y conveniencia efectuado por la entidad estatal contratante, deben observarse los términos del acuerdo o las cláusulas del pliego, pues, acorde con el articulo 1602 del Código Civil, aquello es </w:t>
      </w:r>
      <w:r>
        <w:rPr>
          <w:rFonts w:ascii="Arial" w:hAnsi="Arial" w:cs="Arial"/>
          <w:color w:val="000000" w:themeColor="text1"/>
          <w:sz w:val="22"/>
          <w:szCs w:val="22"/>
        </w:rPr>
        <w:t>«</w:t>
      </w:r>
      <w:r w:rsidRPr="00102686">
        <w:rPr>
          <w:rFonts w:ascii="Arial" w:hAnsi="Arial" w:cs="Arial"/>
          <w:color w:val="000000" w:themeColor="text1"/>
          <w:sz w:val="22"/>
          <w:szCs w:val="22"/>
        </w:rPr>
        <w:t>ley para las partes</w:t>
      </w:r>
      <w:r>
        <w:rPr>
          <w:rFonts w:ascii="Arial" w:hAnsi="Arial" w:cs="Arial"/>
          <w:color w:val="000000" w:themeColor="text1"/>
          <w:sz w:val="22"/>
          <w:szCs w:val="22"/>
        </w:rPr>
        <w:t>»</w:t>
      </w:r>
      <w:r w:rsidRPr="00102686">
        <w:rPr>
          <w:rFonts w:ascii="Arial" w:hAnsi="Arial" w:cs="Arial"/>
          <w:color w:val="000000" w:themeColor="text1"/>
          <w:sz w:val="22"/>
          <w:szCs w:val="22"/>
        </w:rPr>
        <w:t>.</w:t>
      </w:r>
    </w:p>
    <w:p w14:paraId="77101A9B" w14:textId="77777777" w:rsidR="00102686" w:rsidRPr="00102686" w:rsidRDefault="00102686" w:rsidP="00DF76A2">
      <w:pPr>
        <w:spacing w:line="276" w:lineRule="auto"/>
        <w:jc w:val="both"/>
        <w:rPr>
          <w:rFonts w:ascii="Arial" w:hAnsi="Arial" w:cs="Arial"/>
          <w:color w:val="000000" w:themeColor="text1"/>
          <w:sz w:val="22"/>
          <w:szCs w:val="22"/>
        </w:rPr>
      </w:pPr>
    </w:p>
    <w:p w14:paraId="7B2C921D" w14:textId="75FD7089" w:rsidR="00DD5B04" w:rsidRPr="00404C61" w:rsidRDefault="00DD5B04" w:rsidP="00DF76A2">
      <w:pPr>
        <w:spacing w:line="276" w:lineRule="auto"/>
        <w:jc w:val="both"/>
        <w:rPr>
          <w:rFonts w:ascii="Arial" w:hAnsi="Arial" w:cs="Arial"/>
          <w:color w:val="000000" w:themeColor="text1"/>
          <w:sz w:val="22"/>
          <w:lang w:val="es-ES_tradnl"/>
        </w:rPr>
      </w:pPr>
      <w:r w:rsidRPr="00404C6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04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404C6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04C61">
        <w:rPr>
          <w:rFonts w:ascii="Arial" w:hAnsi="Arial" w:cs="Arial"/>
          <w:color w:val="000000" w:themeColor="text1"/>
          <w:sz w:val="22"/>
          <w:szCs w:val="22"/>
          <w:lang w:val="es-ES_tradnl"/>
        </w:rPr>
        <w:t>Atentamente,</w:t>
      </w:r>
    </w:p>
    <w:p w14:paraId="692FC307" w14:textId="210AA6B5" w:rsidR="00921304" w:rsidRPr="00404C6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EFD4569" w:rsidR="00921304" w:rsidRPr="00404C61" w:rsidRDefault="00DA6FB3"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18"/>
          <w:szCs w:val="20"/>
        </w:rPr>
        <w:drawing>
          <wp:inline distT="0" distB="0" distL="0" distR="0" wp14:anchorId="155C9228" wp14:editId="1B5FC72D">
            <wp:extent cx="2047297" cy="905774"/>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CBAE239" w14:textId="77777777" w:rsidR="00425C43" w:rsidRPr="00404C61" w:rsidRDefault="00425C43" w:rsidP="00B37657">
      <w:pPr>
        <w:jc w:val="center"/>
        <w:rPr>
          <w:rFonts w:ascii="Arial" w:hAnsi="Arial" w:cs="Arial"/>
          <w:color w:val="000000" w:themeColor="text1"/>
          <w:sz w:val="18"/>
          <w:szCs w:val="20"/>
          <w:lang w:val="es-ES_tradnl" w:eastAsia="es-CO"/>
        </w:rPr>
      </w:pPr>
    </w:p>
    <w:p w14:paraId="49730030" w14:textId="217D35F3" w:rsidR="00DD5B04" w:rsidRPr="00404C6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404C61" w14:paraId="0C7DC5F7" w14:textId="77777777" w:rsidTr="00083F1B">
        <w:trPr>
          <w:trHeight w:val="315"/>
        </w:trPr>
        <w:tc>
          <w:tcPr>
            <w:tcW w:w="812" w:type="dxa"/>
            <w:vAlign w:val="center"/>
            <w:hideMark/>
          </w:tcPr>
          <w:p w14:paraId="5BDB1AC9"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Cristian Andrés Díaz Díez</w:t>
            </w:r>
          </w:p>
          <w:p w14:paraId="240C71FD" w14:textId="31312C95"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Contratista</w:t>
            </w:r>
            <w:r w:rsidR="00FF0050" w:rsidRPr="00404C61">
              <w:rPr>
                <w:rFonts w:ascii="Arial" w:hAnsi="Arial" w:cs="Arial"/>
                <w:color w:val="000000" w:themeColor="text1"/>
                <w:sz w:val="16"/>
                <w:szCs w:val="16"/>
                <w:lang w:val="es-ES_tradnl" w:eastAsia="es-ES"/>
              </w:rPr>
              <w:t xml:space="preserve"> de la </w:t>
            </w:r>
            <w:r w:rsidRPr="00404C61">
              <w:rPr>
                <w:rFonts w:ascii="Arial" w:hAnsi="Arial" w:cs="Arial"/>
                <w:color w:val="000000" w:themeColor="text1"/>
                <w:sz w:val="16"/>
                <w:szCs w:val="16"/>
                <w:lang w:val="es-ES_tradnl" w:eastAsia="es-ES"/>
              </w:rPr>
              <w:t>Subdirección de Gestión Contractual</w:t>
            </w:r>
          </w:p>
        </w:tc>
      </w:tr>
      <w:tr w:rsidR="00DD5B04" w:rsidRPr="00404C61" w14:paraId="2F8FD650" w14:textId="77777777" w:rsidTr="00083F1B">
        <w:trPr>
          <w:trHeight w:val="330"/>
        </w:trPr>
        <w:tc>
          <w:tcPr>
            <w:tcW w:w="812" w:type="dxa"/>
            <w:vAlign w:val="center"/>
            <w:hideMark/>
          </w:tcPr>
          <w:p w14:paraId="50203A0B"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878C2EE" w:rsidR="00C05A61" w:rsidRPr="00404C61" w:rsidRDefault="00C05A61" w:rsidP="00C05A61">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734655">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14:paraId="130B3228" w14:textId="7D08C1BB" w:rsidR="00DD5B04" w:rsidRPr="00404C61" w:rsidRDefault="00C05A61" w:rsidP="00C05A61">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r w:rsidR="00DD5B04" w:rsidRPr="00404C61" w14:paraId="0FCBCA4A" w14:textId="77777777" w:rsidTr="00083F1B">
        <w:trPr>
          <w:trHeight w:val="300"/>
        </w:trPr>
        <w:tc>
          <w:tcPr>
            <w:tcW w:w="812" w:type="dxa"/>
            <w:vAlign w:val="center"/>
            <w:hideMark/>
          </w:tcPr>
          <w:p w14:paraId="3C1D943A" w14:textId="77777777"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64FD4C4C" w:rsidR="006A55EE" w:rsidRPr="00404C61" w:rsidRDefault="00C05A61"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 xml:space="preserve">Jorge </w:t>
            </w:r>
            <w:r w:rsidR="00734655">
              <w:rPr>
                <w:rFonts w:ascii="Arial" w:hAnsi="Arial" w:cs="Arial"/>
                <w:color w:val="000000" w:themeColor="text1"/>
                <w:sz w:val="16"/>
                <w:szCs w:val="16"/>
                <w:lang w:val="es-ES_tradnl" w:eastAsia="es-ES"/>
              </w:rPr>
              <w:t xml:space="preserve">Augusto </w:t>
            </w:r>
            <w:r w:rsidRPr="00404C61">
              <w:rPr>
                <w:rFonts w:ascii="Arial" w:hAnsi="Arial" w:cs="Arial"/>
                <w:color w:val="000000" w:themeColor="text1"/>
                <w:sz w:val="16"/>
                <w:szCs w:val="16"/>
                <w:lang w:val="es-ES_tradnl" w:eastAsia="es-ES"/>
              </w:rPr>
              <w:t>Tirado Navarro</w:t>
            </w:r>
          </w:p>
          <w:p w14:paraId="1ADC483B" w14:textId="77CBA2AF" w:rsidR="00DD5B04" w:rsidRPr="00404C61" w:rsidRDefault="00DD5B04" w:rsidP="00DF76A2">
            <w:pPr>
              <w:jc w:val="both"/>
              <w:rPr>
                <w:rFonts w:ascii="Arial" w:hAnsi="Arial" w:cs="Arial"/>
                <w:color w:val="000000" w:themeColor="text1"/>
                <w:sz w:val="16"/>
                <w:szCs w:val="16"/>
                <w:lang w:val="es-ES_tradnl" w:eastAsia="es-ES"/>
              </w:rPr>
            </w:pPr>
            <w:r w:rsidRPr="00404C61">
              <w:rPr>
                <w:rFonts w:ascii="Arial" w:hAnsi="Arial" w:cs="Arial"/>
                <w:color w:val="000000" w:themeColor="text1"/>
                <w:sz w:val="16"/>
                <w:szCs w:val="16"/>
                <w:lang w:val="es-ES_tradnl" w:eastAsia="es-ES"/>
              </w:rPr>
              <w:t>Subdirector de Gestión Contractual</w:t>
            </w:r>
          </w:p>
        </w:tc>
      </w:tr>
    </w:tbl>
    <w:p w14:paraId="35B56F46" w14:textId="77777777" w:rsidR="00746E08" w:rsidRPr="00404C61" w:rsidRDefault="00746E08" w:rsidP="00215B8E">
      <w:pPr>
        <w:jc w:val="both"/>
        <w:rPr>
          <w:rFonts w:ascii="Arial" w:hAnsi="Arial" w:cs="Arial"/>
          <w:lang w:val="es-ES_tradnl"/>
        </w:rPr>
      </w:pPr>
    </w:p>
    <w:sectPr w:rsidR="00746E08" w:rsidRPr="00404C61"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7D36" w14:textId="77777777" w:rsidR="0075749E" w:rsidRDefault="0075749E">
      <w:r>
        <w:separator/>
      </w:r>
    </w:p>
  </w:endnote>
  <w:endnote w:type="continuationSeparator" w:id="0">
    <w:p w14:paraId="0A6DF139" w14:textId="77777777" w:rsidR="0075749E" w:rsidRDefault="0075749E">
      <w:r>
        <w:continuationSeparator/>
      </w:r>
    </w:p>
  </w:endnote>
  <w:endnote w:type="continuationNotice" w:id="1">
    <w:p w14:paraId="44442FFA" w14:textId="77777777" w:rsidR="0075749E" w:rsidRDefault="00757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5F76F" w14:textId="77777777" w:rsidR="0075749E" w:rsidRDefault="0075749E">
      <w:r>
        <w:separator/>
      </w:r>
    </w:p>
  </w:footnote>
  <w:footnote w:type="continuationSeparator" w:id="0">
    <w:p w14:paraId="7D005B4A" w14:textId="77777777" w:rsidR="0075749E" w:rsidRDefault="0075749E">
      <w:r>
        <w:continuationSeparator/>
      </w:r>
    </w:p>
  </w:footnote>
  <w:footnote w:type="continuationNotice" w:id="1">
    <w:p w14:paraId="526EFA39" w14:textId="77777777" w:rsidR="0075749E" w:rsidRDefault="0075749E"/>
  </w:footnote>
  <w:footnote w:id="2">
    <w:p w14:paraId="24897E72" w14:textId="77777777" w:rsidR="00990701" w:rsidRPr="0033016F" w:rsidRDefault="00990701" w:rsidP="00990701">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9C4AB10" w14:textId="77777777" w:rsidR="00990701" w:rsidRPr="0033016F" w:rsidRDefault="00990701" w:rsidP="00990701">
      <w:pPr>
        <w:pStyle w:val="Textonotapie"/>
        <w:ind w:firstLine="709"/>
        <w:jc w:val="both"/>
        <w:rPr>
          <w:rFonts w:ascii="Arial" w:hAnsi="Arial" w:cs="Arial"/>
          <w:sz w:val="19"/>
          <w:szCs w:val="19"/>
          <w:lang w:val="es-ES"/>
        </w:rPr>
      </w:pPr>
      <w:proofErr w:type="gramStart"/>
      <w:r w:rsidRPr="0033016F">
        <w:rPr>
          <w:rFonts w:ascii="Arial" w:hAnsi="Arial" w:cs="Arial"/>
          <w:sz w:val="19"/>
          <w:szCs w:val="19"/>
          <w:lang w:val="es-ES"/>
        </w:rPr>
        <w:t>»Sin</w:t>
      </w:r>
      <w:proofErr w:type="gramEnd"/>
      <w:r w:rsidRPr="0033016F">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Pr="0033016F">
        <w:rPr>
          <w:rFonts w:ascii="Arial" w:hAnsi="Arial" w:cs="Arial"/>
          <w:i/>
          <w:iCs/>
          <w:sz w:val="19"/>
          <w:szCs w:val="19"/>
          <w:lang w:val="es-ES"/>
        </w:rPr>
        <w:t>costos directos</w:t>
      </w:r>
      <w:r w:rsidRPr="0033016F">
        <w:rPr>
          <w:rFonts w:ascii="Arial" w:hAnsi="Arial" w:cs="Arial"/>
          <w:sz w:val="19"/>
          <w:szCs w:val="19"/>
          <w:lang w:val="es-ES"/>
        </w:rPr>
        <w:t xml:space="preserve"> y los</w:t>
      </w:r>
      <w:r w:rsidRPr="0033016F">
        <w:rPr>
          <w:rFonts w:ascii="Arial" w:hAnsi="Arial" w:cs="Arial"/>
          <w:i/>
          <w:iCs/>
          <w:sz w:val="19"/>
          <w:szCs w:val="19"/>
          <w:lang w:val="es-ES"/>
        </w:rPr>
        <w:t xml:space="preserve"> costos indirectos</w:t>
      </w:r>
      <w:r w:rsidRPr="0033016F">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33016F">
        <w:rPr>
          <w:rFonts w:ascii="Arial" w:hAnsi="Arial" w:cs="Arial"/>
          <w:i/>
          <w:iCs/>
          <w:sz w:val="19"/>
          <w:szCs w:val="19"/>
          <w:lang w:val="es-ES"/>
        </w:rPr>
        <w:t>ítems</w:t>
      </w:r>
      <w:r w:rsidRPr="0033016F">
        <w:rPr>
          <w:rFonts w:ascii="Arial" w:hAnsi="Arial" w:cs="Arial"/>
          <w:sz w:val="19"/>
          <w:szCs w:val="19"/>
          <w:lang w:val="es-ES"/>
        </w:rPr>
        <w:t xml:space="preserve"> que componen el contrato–. Los costos </w:t>
      </w:r>
      <w:r w:rsidRPr="0033016F">
        <w:rPr>
          <w:rFonts w:ascii="Arial" w:hAnsi="Arial" w:cs="Arial"/>
          <w:i/>
          <w:iCs/>
          <w:sz w:val="19"/>
          <w:szCs w:val="19"/>
          <w:lang w:val="es-ES"/>
        </w:rPr>
        <w:t>indirectos</w:t>
      </w:r>
      <w:r w:rsidRPr="0033016F">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18E361E0" w14:textId="77777777" w:rsidR="00990701" w:rsidRPr="0033016F"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Consejo de Estado. Sección Tercera. Subsección B. Sentencia del 14 de octubre de 2011. Exp. 20811, C.P. Ruth Stella Correa Palacio.</w:t>
      </w:r>
    </w:p>
    <w:p w14:paraId="662E98C7" w14:textId="77777777" w:rsidR="00990701" w:rsidRPr="0033016F" w:rsidRDefault="00990701" w:rsidP="00990701">
      <w:pPr>
        <w:pStyle w:val="Textonotapie"/>
        <w:jc w:val="both"/>
        <w:rPr>
          <w:rFonts w:ascii="Arial" w:hAnsi="Arial" w:cs="Arial"/>
          <w:sz w:val="19"/>
          <w:szCs w:val="19"/>
          <w:lang w:val="es-ES"/>
        </w:rPr>
      </w:pPr>
    </w:p>
  </w:footnote>
  <w:footnote w:id="4">
    <w:p w14:paraId="24A7F24C" w14:textId="77777777" w:rsidR="00990701" w:rsidRPr="0033016F"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Consejo de Estado. Sala de Consulta y Servicio Civil. Concepto del 5 de septiembre de 2018, radicado No. 11001-03-06-000-2018-00124-00 C.P. Édgar González López.</w:t>
      </w:r>
    </w:p>
    <w:p w14:paraId="5A070594" w14:textId="77777777" w:rsidR="00990701" w:rsidRPr="0033016F" w:rsidRDefault="00990701" w:rsidP="00990701">
      <w:pPr>
        <w:pStyle w:val="Textonotapie"/>
        <w:jc w:val="both"/>
        <w:rPr>
          <w:rFonts w:ascii="Arial" w:hAnsi="Arial" w:cs="Arial"/>
          <w:sz w:val="19"/>
          <w:szCs w:val="19"/>
          <w:lang w:val="es-ES"/>
        </w:rPr>
      </w:pPr>
    </w:p>
  </w:footnote>
  <w:footnote w:id="5">
    <w:p w14:paraId="5A6DF2E7" w14:textId="77777777" w:rsidR="00990701" w:rsidRPr="0033016F"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70C7696" w14:textId="77777777" w:rsidR="00990701" w:rsidRPr="0033016F" w:rsidRDefault="00990701" w:rsidP="00990701">
      <w:pPr>
        <w:pStyle w:val="Textonotapie"/>
        <w:ind w:firstLine="708"/>
        <w:jc w:val="both"/>
        <w:rPr>
          <w:rFonts w:ascii="Arial" w:hAnsi="Arial" w:cs="Arial"/>
          <w:sz w:val="19"/>
          <w:szCs w:val="19"/>
          <w:lang w:val="es-ES"/>
        </w:rPr>
      </w:pPr>
    </w:p>
  </w:footnote>
  <w:footnote w:id="6">
    <w:p w14:paraId="442E3D32" w14:textId="77777777" w:rsidR="00990701" w:rsidRPr="0033016F"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eastAsia="Times New Roman" w:hAnsi="Arial"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33016F">
        <w:rPr>
          <w:rFonts w:ascii="Arial" w:hAnsi="Arial" w:cs="Arial"/>
          <w:sz w:val="19"/>
          <w:szCs w:val="19"/>
        </w:rPr>
        <w:t>» (</w:t>
      </w:r>
      <w:r w:rsidRPr="0033016F">
        <w:rPr>
          <w:rFonts w:ascii="Arial" w:hAnsi="Arial" w:cs="Arial"/>
          <w:sz w:val="19"/>
          <w:szCs w:val="19"/>
          <w:lang w:val="es-CO"/>
        </w:rPr>
        <w:t>Consejo de Estado. Sección Tercera. Consejero Ponente: Ramiro Saavedra Becerra. Sentencia del 28 de agosto de 2003. Radicado: 17.554).</w:t>
      </w:r>
      <w:r w:rsidRPr="0033016F">
        <w:rPr>
          <w:rFonts w:ascii="Arial" w:hAnsi="Arial" w:cs="Arial"/>
          <w:sz w:val="19"/>
          <w:szCs w:val="19"/>
        </w:rPr>
        <w:t xml:space="preserve"> </w:t>
      </w:r>
    </w:p>
    <w:p w14:paraId="3CEE85CD" w14:textId="77777777" w:rsidR="00990701" w:rsidRPr="0033016F" w:rsidRDefault="00990701" w:rsidP="00990701">
      <w:pPr>
        <w:pStyle w:val="Textonotapie"/>
        <w:ind w:firstLine="708"/>
        <w:jc w:val="both"/>
        <w:rPr>
          <w:rFonts w:ascii="Arial" w:hAnsi="Arial" w:cs="Arial"/>
          <w:sz w:val="19"/>
          <w:szCs w:val="19"/>
          <w:lang w:val="es-CO"/>
        </w:rPr>
      </w:pPr>
    </w:p>
  </w:footnote>
  <w:footnote w:id="7">
    <w:p w14:paraId="258FCCC3" w14:textId="77777777" w:rsidR="00990701" w:rsidRPr="0033016F" w:rsidRDefault="00990701" w:rsidP="00990701">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 xml:space="preserve">MARÍN, </w:t>
      </w:r>
      <w:proofErr w:type="spellStart"/>
      <w:r w:rsidRPr="0033016F">
        <w:rPr>
          <w:rFonts w:ascii="Arial" w:hAnsi="Arial" w:cs="Arial"/>
          <w:sz w:val="19"/>
          <w:szCs w:val="19"/>
          <w:lang w:val="es-ES"/>
        </w:rPr>
        <w:t>Op</w:t>
      </w:r>
      <w:proofErr w:type="spellEnd"/>
      <w:r w:rsidRPr="0033016F">
        <w:rPr>
          <w:rFonts w:ascii="Arial" w:hAnsi="Arial" w:cs="Arial"/>
          <w:sz w:val="19"/>
          <w:szCs w:val="19"/>
          <w:lang w:val="es-ES"/>
        </w:rPr>
        <w:t>. Cit., pp. 64-65.</w:t>
      </w:r>
    </w:p>
    <w:p w14:paraId="18AF0CAA" w14:textId="77777777" w:rsidR="00990701" w:rsidRPr="0033016F" w:rsidRDefault="00990701" w:rsidP="00990701">
      <w:pPr>
        <w:pStyle w:val="Textonotapie"/>
        <w:ind w:firstLine="709"/>
        <w:jc w:val="both"/>
        <w:rPr>
          <w:rFonts w:ascii="Arial" w:hAnsi="Arial" w:cs="Arial"/>
          <w:sz w:val="19"/>
          <w:szCs w:val="19"/>
          <w:lang w:val="es-ES"/>
        </w:rPr>
      </w:pPr>
    </w:p>
  </w:footnote>
  <w:footnote w:id="8">
    <w:p w14:paraId="0E85959A" w14:textId="77777777" w:rsidR="00990701" w:rsidRPr="0033016F" w:rsidRDefault="00990701" w:rsidP="00990701">
      <w:pPr>
        <w:pStyle w:val="Textonotapie"/>
        <w:ind w:firstLine="709"/>
        <w:jc w:val="both"/>
        <w:rPr>
          <w:rFonts w:ascii="Arial" w:hAnsi="Arial" w:cs="Arial"/>
          <w:sz w:val="19"/>
          <w:szCs w:val="19"/>
          <w:lang w:val="es-ES"/>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sz w:val="19"/>
          <w:szCs w:val="19"/>
          <w:lang w:val="es-ES"/>
        </w:rPr>
        <w:t>Ibíd., p. 66.</w:t>
      </w:r>
    </w:p>
  </w:footnote>
  <w:footnote w:id="9">
    <w:p w14:paraId="35C8DF22" w14:textId="77777777" w:rsidR="00990701" w:rsidRPr="0033016F" w:rsidRDefault="00990701" w:rsidP="00990701">
      <w:pPr>
        <w:pStyle w:val="Textonotapie"/>
        <w:ind w:firstLine="708"/>
        <w:jc w:val="both"/>
        <w:rPr>
          <w:rFonts w:ascii="Arial" w:hAnsi="Arial" w:cs="Arial"/>
          <w:bCs/>
          <w:sz w:val="19"/>
          <w:szCs w:val="19"/>
          <w:lang w:val="es-ES_tradnl"/>
        </w:rPr>
      </w:pPr>
      <w:r w:rsidRPr="0033016F">
        <w:rPr>
          <w:rStyle w:val="Refdenotaalpie"/>
          <w:rFonts w:ascii="Arial" w:hAnsi="Arial" w:cs="Arial"/>
          <w:sz w:val="19"/>
          <w:szCs w:val="19"/>
        </w:rPr>
        <w:footnoteRef/>
      </w:r>
      <w:r w:rsidRPr="0033016F">
        <w:rPr>
          <w:rFonts w:ascii="Arial" w:hAnsi="Arial" w:cs="Arial"/>
          <w:sz w:val="19"/>
          <w:szCs w:val="19"/>
        </w:rPr>
        <w:t xml:space="preserve"> </w:t>
      </w:r>
      <w:r w:rsidRPr="0033016F">
        <w:rPr>
          <w:rFonts w:ascii="Arial" w:hAnsi="Arial" w:cs="Arial"/>
          <w:bCs/>
          <w:sz w:val="19"/>
          <w:szCs w:val="19"/>
          <w:lang w:val="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w:t>
      </w:r>
      <w:proofErr w:type="spellStart"/>
      <w:r w:rsidRPr="0033016F">
        <w:rPr>
          <w:rFonts w:ascii="Arial" w:hAnsi="Arial" w:cs="Arial"/>
          <w:bCs/>
          <w:sz w:val="19"/>
          <w:szCs w:val="19"/>
          <w:lang w:val="es-ES_tradnl"/>
        </w:rPr>
        <w:t>Ibíd</w:t>
      </w:r>
      <w:proofErr w:type="spellEnd"/>
      <w:r w:rsidRPr="0033016F">
        <w:rPr>
          <w:rFonts w:ascii="Arial" w:hAnsi="Arial" w:cs="Arial"/>
          <w:bCs/>
          <w:sz w:val="19"/>
          <w:szCs w:val="19"/>
          <w:lang w:val="es-ES_tradnl"/>
        </w:rPr>
        <w:t>, p. 76).</w:t>
      </w:r>
    </w:p>
    <w:p w14:paraId="7624D8F1" w14:textId="77777777" w:rsidR="00990701" w:rsidRPr="0033016F" w:rsidRDefault="00990701" w:rsidP="00990701">
      <w:pPr>
        <w:pStyle w:val="Textonotapie"/>
        <w:ind w:firstLine="708"/>
        <w:jc w:val="both"/>
        <w:rPr>
          <w:rFonts w:ascii="Arial" w:hAnsi="Arial" w:cs="Arial"/>
          <w:sz w:val="19"/>
          <w:szCs w:val="19"/>
          <w:lang w:val="es-CO"/>
        </w:rPr>
      </w:pPr>
    </w:p>
  </w:footnote>
  <w:footnote w:id="10">
    <w:p w14:paraId="7EA37B3A" w14:textId="77777777" w:rsidR="00990701" w:rsidRPr="0033016F"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Lo anterior, sin perjuicio de las fórmulas de reajuste que se establezcan en el contrato y lo establecido en el artículo 27 de la Ley 80 de 1993.</w:t>
      </w:r>
      <w:r>
        <w:rPr>
          <w:rFonts w:ascii="Arial" w:hAnsi="Arial" w:cs="Arial"/>
          <w:sz w:val="19"/>
          <w:szCs w:val="19"/>
        </w:rPr>
        <w:t xml:space="preserve"> En tal sentido,</w:t>
      </w:r>
      <w:r w:rsidRPr="001A1FF0">
        <w:rPr>
          <w:rFonts w:ascii="Arial" w:hAnsi="Arial" w:cs="Arial"/>
          <w:sz w:val="19"/>
          <w:szCs w:val="19"/>
        </w:rPr>
        <w:t xml:space="preserve"> en los casos de desequilibrio económico, porque los costos indirectos en los que incurre el contratista exceden el </w:t>
      </w:r>
      <w:r>
        <w:rPr>
          <w:rFonts w:ascii="Arial" w:hAnsi="Arial" w:cs="Arial"/>
          <w:sz w:val="19"/>
          <w:szCs w:val="19"/>
        </w:rPr>
        <w:t>a</w:t>
      </w:r>
      <w:r w:rsidRPr="001A1FF0">
        <w:rPr>
          <w:rFonts w:ascii="Arial" w:hAnsi="Arial" w:cs="Arial"/>
          <w:sz w:val="19"/>
          <w:szCs w:val="19"/>
        </w:rPr>
        <w:t>lea normal, es decir, le causan una afectación grave de su economía, podría exigirle a la entidad que le pague más de lo que se estipuló en la A o en la I, siendo esta una circunstancia extraordinaria.</w:t>
      </w:r>
    </w:p>
    <w:p w14:paraId="60BB4CA4" w14:textId="77777777" w:rsidR="00990701" w:rsidRPr="001A1FF0" w:rsidRDefault="00990701" w:rsidP="00990701">
      <w:pPr>
        <w:pStyle w:val="Textonotapie"/>
        <w:ind w:firstLine="708"/>
        <w:jc w:val="both"/>
        <w:rPr>
          <w:rFonts w:ascii="Arial" w:hAnsi="Arial" w:cs="Arial"/>
          <w:sz w:val="19"/>
          <w:szCs w:val="19"/>
        </w:rPr>
      </w:pPr>
    </w:p>
  </w:footnote>
  <w:footnote w:id="11">
    <w:p w14:paraId="0C781110" w14:textId="77777777" w:rsidR="00990701" w:rsidRDefault="00990701" w:rsidP="00990701">
      <w:pPr>
        <w:pStyle w:val="Textonotapie"/>
        <w:ind w:firstLine="708"/>
        <w:jc w:val="both"/>
        <w:rPr>
          <w:rFonts w:ascii="Arial" w:hAnsi="Arial" w:cs="Arial"/>
          <w:sz w:val="19"/>
          <w:szCs w:val="19"/>
        </w:rPr>
      </w:pPr>
      <w:r w:rsidRPr="0033016F">
        <w:rPr>
          <w:rStyle w:val="Refdenotaalpie"/>
          <w:rFonts w:ascii="Arial" w:hAnsi="Arial" w:cs="Arial"/>
          <w:sz w:val="19"/>
          <w:szCs w:val="19"/>
        </w:rPr>
        <w:footnoteRef/>
      </w:r>
      <w:r w:rsidRPr="0033016F">
        <w:rPr>
          <w:rFonts w:ascii="Arial" w:hAnsi="Arial" w:cs="Arial"/>
          <w:sz w:val="19"/>
          <w:szCs w:val="19"/>
        </w:rPr>
        <w:t xml:space="preserve"> Ibíd, p. 77. </w:t>
      </w:r>
    </w:p>
    <w:p w14:paraId="75335259" w14:textId="77777777" w:rsidR="00990701" w:rsidRPr="0033016F" w:rsidRDefault="00990701" w:rsidP="00990701">
      <w:pPr>
        <w:pStyle w:val="Textonotapie"/>
        <w:ind w:firstLine="708"/>
        <w:jc w:val="both"/>
        <w:rPr>
          <w:rFonts w:ascii="Arial" w:hAnsi="Arial" w:cs="Arial"/>
          <w:sz w:val="19"/>
          <w:szCs w:val="19"/>
          <w:lang w:val="es-CO"/>
        </w:rPr>
      </w:pPr>
    </w:p>
  </w:footnote>
  <w:footnote w:id="12">
    <w:p w14:paraId="4CEB21BC" w14:textId="77777777" w:rsidR="00990701" w:rsidRPr="003C3AA9" w:rsidRDefault="00990701" w:rsidP="00990701">
      <w:pPr>
        <w:pStyle w:val="Textonotapie"/>
        <w:ind w:firstLine="708"/>
        <w:jc w:val="both"/>
        <w:rPr>
          <w:lang w:val="es-CO"/>
        </w:rPr>
      </w:pPr>
      <w:r>
        <w:rPr>
          <w:rStyle w:val="Refdenotaalpie"/>
        </w:rPr>
        <w:footnoteRef/>
      </w:r>
      <w:r>
        <w:t xml:space="preserve"> </w:t>
      </w:r>
      <w:r w:rsidRPr="0033016F">
        <w:rPr>
          <w:rFonts w:ascii="Arial" w:hAnsi="Arial" w:cs="Arial"/>
          <w:sz w:val="19"/>
          <w:szCs w:val="19"/>
        </w:rPr>
        <w:t>Lo anterior, sin perjuicio de las fórmulas de reajuste que se establezcan en el contrato y lo establecido en el artículo 27 de la Ley 80 de 1993.</w:t>
      </w:r>
      <w:r>
        <w:rPr>
          <w:rFonts w:ascii="Arial" w:hAnsi="Arial" w:cs="Arial"/>
          <w:sz w:val="19"/>
          <w:szCs w:val="19"/>
        </w:rPr>
        <w:t xml:space="preserve"> En tal sentido,</w:t>
      </w:r>
      <w:r w:rsidRPr="001A1FF0">
        <w:rPr>
          <w:rFonts w:ascii="Arial" w:hAnsi="Arial" w:cs="Arial"/>
          <w:sz w:val="19"/>
          <w:szCs w:val="19"/>
        </w:rPr>
        <w:t xml:space="preserve"> en los casos de desequilibrio económico, porque los costos indirectos en los que incurre el contratista exceden el </w:t>
      </w:r>
      <w:r>
        <w:rPr>
          <w:rFonts w:ascii="Arial" w:hAnsi="Arial" w:cs="Arial"/>
          <w:sz w:val="19"/>
          <w:szCs w:val="19"/>
        </w:rPr>
        <w:t>a</w:t>
      </w:r>
      <w:r w:rsidRPr="001A1FF0">
        <w:rPr>
          <w:rFonts w:ascii="Arial" w:hAnsi="Arial" w:cs="Arial"/>
          <w:sz w:val="19"/>
          <w:szCs w:val="19"/>
        </w:rPr>
        <w:t>lea normal, es decir, le causan una afectación grave de su economía, podría exigirle a la entidad que le pague más de lo que se estipuló en la A o en la I, siendo esta una circunstancia extraordinaria</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8D1"/>
    <w:rsid w:val="00003C5C"/>
    <w:rsid w:val="000040D7"/>
    <w:rsid w:val="000051AF"/>
    <w:rsid w:val="000059D3"/>
    <w:rsid w:val="0000600A"/>
    <w:rsid w:val="00006081"/>
    <w:rsid w:val="00007750"/>
    <w:rsid w:val="000077FD"/>
    <w:rsid w:val="00007E37"/>
    <w:rsid w:val="00010C40"/>
    <w:rsid w:val="000112B4"/>
    <w:rsid w:val="00011DCC"/>
    <w:rsid w:val="00012463"/>
    <w:rsid w:val="00012532"/>
    <w:rsid w:val="00012B9E"/>
    <w:rsid w:val="00012FBA"/>
    <w:rsid w:val="00013C6B"/>
    <w:rsid w:val="0001406B"/>
    <w:rsid w:val="000143F8"/>
    <w:rsid w:val="00014624"/>
    <w:rsid w:val="00015B44"/>
    <w:rsid w:val="00016081"/>
    <w:rsid w:val="000165AC"/>
    <w:rsid w:val="00016651"/>
    <w:rsid w:val="000171A2"/>
    <w:rsid w:val="00017B65"/>
    <w:rsid w:val="00020158"/>
    <w:rsid w:val="000207E0"/>
    <w:rsid w:val="00020F8F"/>
    <w:rsid w:val="00021A95"/>
    <w:rsid w:val="0002256F"/>
    <w:rsid w:val="000227D8"/>
    <w:rsid w:val="00023DAE"/>
    <w:rsid w:val="00024896"/>
    <w:rsid w:val="000263F0"/>
    <w:rsid w:val="00026407"/>
    <w:rsid w:val="00026608"/>
    <w:rsid w:val="00027787"/>
    <w:rsid w:val="00030F57"/>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40AF"/>
    <w:rsid w:val="00064CAE"/>
    <w:rsid w:val="00064DB7"/>
    <w:rsid w:val="00064FA7"/>
    <w:rsid w:val="00065195"/>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42EB"/>
    <w:rsid w:val="00095B70"/>
    <w:rsid w:val="0009617E"/>
    <w:rsid w:val="000979CF"/>
    <w:rsid w:val="000A03C8"/>
    <w:rsid w:val="000A0861"/>
    <w:rsid w:val="000A0F89"/>
    <w:rsid w:val="000A12DB"/>
    <w:rsid w:val="000A17C8"/>
    <w:rsid w:val="000A2128"/>
    <w:rsid w:val="000A362F"/>
    <w:rsid w:val="000A3B49"/>
    <w:rsid w:val="000A4E56"/>
    <w:rsid w:val="000A5AAF"/>
    <w:rsid w:val="000A5F97"/>
    <w:rsid w:val="000A648E"/>
    <w:rsid w:val="000A73BB"/>
    <w:rsid w:val="000A7EF4"/>
    <w:rsid w:val="000B0A15"/>
    <w:rsid w:val="000B103F"/>
    <w:rsid w:val="000B1437"/>
    <w:rsid w:val="000B1470"/>
    <w:rsid w:val="000B2B86"/>
    <w:rsid w:val="000B3051"/>
    <w:rsid w:val="000B419B"/>
    <w:rsid w:val="000B5781"/>
    <w:rsid w:val="000C0185"/>
    <w:rsid w:val="000C0F81"/>
    <w:rsid w:val="000C128D"/>
    <w:rsid w:val="000C17A3"/>
    <w:rsid w:val="000C1D4B"/>
    <w:rsid w:val="000C3260"/>
    <w:rsid w:val="000C3B77"/>
    <w:rsid w:val="000C4F49"/>
    <w:rsid w:val="000C5861"/>
    <w:rsid w:val="000C639D"/>
    <w:rsid w:val="000C6DBC"/>
    <w:rsid w:val="000C6F79"/>
    <w:rsid w:val="000C7476"/>
    <w:rsid w:val="000C7711"/>
    <w:rsid w:val="000C7AA2"/>
    <w:rsid w:val="000D0462"/>
    <w:rsid w:val="000D053D"/>
    <w:rsid w:val="000D0ED2"/>
    <w:rsid w:val="000D2563"/>
    <w:rsid w:val="000D25BF"/>
    <w:rsid w:val="000D3FDC"/>
    <w:rsid w:val="000D4E38"/>
    <w:rsid w:val="000D50DB"/>
    <w:rsid w:val="000D6288"/>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2605"/>
    <w:rsid w:val="00102686"/>
    <w:rsid w:val="00103915"/>
    <w:rsid w:val="00103EA0"/>
    <w:rsid w:val="001051E5"/>
    <w:rsid w:val="00105A74"/>
    <w:rsid w:val="00105ACB"/>
    <w:rsid w:val="00105AEF"/>
    <w:rsid w:val="00106259"/>
    <w:rsid w:val="001078CE"/>
    <w:rsid w:val="00110F61"/>
    <w:rsid w:val="001111BD"/>
    <w:rsid w:val="0011165A"/>
    <w:rsid w:val="00112774"/>
    <w:rsid w:val="00112B2E"/>
    <w:rsid w:val="00113003"/>
    <w:rsid w:val="00113062"/>
    <w:rsid w:val="00113705"/>
    <w:rsid w:val="00113975"/>
    <w:rsid w:val="00113CFC"/>
    <w:rsid w:val="00113FEA"/>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F6D"/>
    <w:rsid w:val="00130355"/>
    <w:rsid w:val="00131B5A"/>
    <w:rsid w:val="00132EFD"/>
    <w:rsid w:val="00133AED"/>
    <w:rsid w:val="00135039"/>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3D7A"/>
    <w:rsid w:val="00164281"/>
    <w:rsid w:val="001676A9"/>
    <w:rsid w:val="00167A50"/>
    <w:rsid w:val="00167DF5"/>
    <w:rsid w:val="00170001"/>
    <w:rsid w:val="00172198"/>
    <w:rsid w:val="00172612"/>
    <w:rsid w:val="00172817"/>
    <w:rsid w:val="001734E3"/>
    <w:rsid w:val="001742BF"/>
    <w:rsid w:val="00175E49"/>
    <w:rsid w:val="001805C1"/>
    <w:rsid w:val="001813AF"/>
    <w:rsid w:val="001829CD"/>
    <w:rsid w:val="00182F01"/>
    <w:rsid w:val="00184ABD"/>
    <w:rsid w:val="0018519B"/>
    <w:rsid w:val="00185AFE"/>
    <w:rsid w:val="00185E78"/>
    <w:rsid w:val="00187177"/>
    <w:rsid w:val="00187ABD"/>
    <w:rsid w:val="0019087A"/>
    <w:rsid w:val="00191C5A"/>
    <w:rsid w:val="00191CEB"/>
    <w:rsid w:val="00191E63"/>
    <w:rsid w:val="00192D68"/>
    <w:rsid w:val="0019388B"/>
    <w:rsid w:val="0019460A"/>
    <w:rsid w:val="001946AE"/>
    <w:rsid w:val="001946D5"/>
    <w:rsid w:val="00194E8C"/>
    <w:rsid w:val="001962EC"/>
    <w:rsid w:val="001963DD"/>
    <w:rsid w:val="00196DC9"/>
    <w:rsid w:val="001A0236"/>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69C5"/>
    <w:rsid w:val="001C07C6"/>
    <w:rsid w:val="001C19CD"/>
    <w:rsid w:val="001C22D5"/>
    <w:rsid w:val="001C2515"/>
    <w:rsid w:val="001C26FB"/>
    <w:rsid w:val="001C33C1"/>
    <w:rsid w:val="001C3E30"/>
    <w:rsid w:val="001C3E5C"/>
    <w:rsid w:val="001C5072"/>
    <w:rsid w:val="001C5B2A"/>
    <w:rsid w:val="001C600B"/>
    <w:rsid w:val="001C6898"/>
    <w:rsid w:val="001C6DD8"/>
    <w:rsid w:val="001D068D"/>
    <w:rsid w:val="001D12D1"/>
    <w:rsid w:val="001D15DF"/>
    <w:rsid w:val="001D31A0"/>
    <w:rsid w:val="001D338E"/>
    <w:rsid w:val="001D56E9"/>
    <w:rsid w:val="001D796A"/>
    <w:rsid w:val="001D7A84"/>
    <w:rsid w:val="001D7C79"/>
    <w:rsid w:val="001E1CC4"/>
    <w:rsid w:val="001E1D38"/>
    <w:rsid w:val="001E4258"/>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7065"/>
    <w:rsid w:val="00237589"/>
    <w:rsid w:val="0023758D"/>
    <w:rsid w:val="002375A7"/>
    <w:rsid w:val="0024019A"/>
    <w:rsid w:val="0024131D"/>
    <w:rsid w:val="00242D62"/>
    <w:rsid w:val="002431D7"/>
    <w:rsid w:val="00244058"/>
    <w:rsid w:val="00245718"/>
    <w:rsid w:val="00245E07"/>
    <w:rsid w:val="00247712"/>
    <w:rsid w:val="00250EC6"/>
    <w:rsid w:val="00251866"/>
    <w:rsid w:val="00251A9F"/>
    <w:rsid w:val="00252492"/>
    <w:rsid w:val="00252B35"/>
    <w:rsid w:val="0025316D"/>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3101"/>
    <w:rsid w:val="00263201"/>
    <w:rsid w:val="00263A37"/>
    <w:rsid w:val="002653A6"/>
    <w:rsid w:val="002661F1"/>
    <w:rsid w:val="002711A4"/>
    <w:rsid w:val="00271F13"/>
    <w:rsid w:val="00274DB5"/>
    <w:rsid w:val="00275BB1"/>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6AFB"/>
    <w:rsid w:val="002A733D"/>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73B0"/>
    <w:rsid w:val="002C09B1"/>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6C6"/>
    <w:rsid w:val="002D37C1"/>
    <w:rsid w:val="002D444B"/>
    <w:rsid w:val="002D4A45"/>
    <w:rsid w:val="002D4B42"/>
    <w:rsid w:val="002D5A1B"/>
    <w:rsid w:val="002D65BC"/>
    <w:rsid w:val="002E055C"/>
    <w:rsid w:val="002E1050"/>
    <w:rsid w:val="002E18E5"/>
    <w:rsid w:val="002E1953"/>
    <w:rsid w:val="002E2D7D"/>
    <w:rsid w:val="002E3D76"/>
    <w:rsid w:val="002E40A1"/>
    <w:rsid w:val="002E48EC"/>
    <w:rsid w:val="002E4B44"/>
    <w:rsid w:val="002E4ECB"/>
    <w:rsid w:val="002E7847"/>
    <w:rsid w:val="002F240B"/>
    <w:rsid w:val="002F2F50"/>
    <w:rsid w:val="002F3601"/>
    <w:rsid w:val="002F45F6"/>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2078D"/>
    <w:rsid w:val="0032137B"/>
    <w:rsid w:val="00321FA3"/>
    <w:rsid w:val="003227D3"/>
    <w:rsid w:val="00322937"/>
    <w:rsid w:val="00323881"/>
    <w:rsid w:val="00323A90"/>
    <w:rsid w:val="00325D98"/>
    <w:rsid w:val="0032682A"/>
    <w:rsid w:val="00327A5C"/>
    <w:rsid w:val="0033092C"/>
    <w:rsid w:val="0033122A"/>
    <w:rsid w:val="003315AC"/>
    <w:rsid w:val="00331932"/>
    <w:rsid w:val="00333A88"/>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36F6"/>
    <w:rsid w:val="00353DD5"/>
    <w:rsid w:val="00355131"/>
    <w:rsid w:val="00361A59"/>
    <w:rsid w:val="00363348"/>
    <w:rsid w:val="00363857"/>
    <w:rsid w:val="00363D59"/>
    <w:rsid w:val="003640F7"/>
    <w:rsid w:val="00365A38"/>
    <w:rsid w:val="00365D3A"/>
    <w:rsid w:val="003664FF"/>
    <w:rsid w:val="00366BD2"/>
    <w:rsid w:val="003670B8"/>
    <w:rsid w:val="003706F2"/>
    <w:rsid w:val="0037124F"/>
    <w:rsid w:val="00373827"/>
    <w:rsid w:val="0037401C"/>
    <w:rsid w:val="0037507B"/>
    <w:rsid w:val="00375C7C"/>
    <w:rsid w:val="00377135"/>
    <w:rsid w:val="00380272"/>
    <w:rsid w:val="003805DB"/>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65D7"/>
    <w:rsid w:val="003B65E0"/>
    <w:rsid w:val="003B6BD4"/>
    <w:rsid w:val="003B6F4D"/>
    <w:rsid w:val="003B6FE7"/>
    <w:rsid w:val="003C0D1F"/>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21C1"/>
    <w:rsid w:val="003D3B2E"/>
    <w:rsid w:val="003D484D"/>
    <w:rsid w:val="003D49CB"/>
    <w:rsid w:val="003D6B8F"/>
    <w:rsid w:val="003D7566"/>
    <w:rsid w:val="003E09BB"/>
    <w:rsid w:val="003E159D"/>
    <w:rsid w:val="003E2997"/>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D9A"/>
    <w:rsid w:val="00415194"/>
    <w:rsid w:val="00415B88"/>
    <w:rsid w:val="00415D32"/>
    <w:rsid w:val="004160A2"/>
    <w:rsid w:val="004170D7"/>
    <w:rsid w:val="004177A6"/>
    <w:rsid w:val="00417EFD"/>
    <w:rsid w:val="004200EE"/>
    <w:rsid w:val="004209D2"/>
    <w:rsid w:val="00421BD2"/>
    <w:rsid w:val="00421E00"/>
    <w:rsid w:val="00421FCB"/>
    <w:rsid w:val="00422DCA"/>
    <w:rsid w:val="00423F9F"/>
    <w:rsid w:val="00425C43"/>
    <w:rsid w:val="004273FA"/>
    <w:rsid w:val="00430186"/>
    <w:rsid w:val="0043269A"/>
    <w:rsid w:val="004333C2"/>
    <w:rsid w:val="00434787"/>
    <w:rsid w:val="00434C13"/>
    <w:rsid w:val="0043683F"/>
    <w:rsid w:val="00436F40"/>
    <w:rsid w:val="004370FA"/>
    <w:rsid w:val="00440DB0"/>
    <w:rsid w:val="00440FAD"/>
    <w:rsid w:val="004420AB"/>
    <w:rsid w:val="004422D6"/>
    <w:rsid w:val="00442D4D"/>
    <w:rsid w:val="0044374D"/>
    <w:rsid w:val="00443B55"/>
    <w:rsid w:val="00443D27"/>
    <w:rsid w:val="00446037"/>
    <w:rsid w:val="0044642F"/>
    <w:rsid w:val="0044772C"/>
    <w:rsid w:val="00450846"/>
    <w:rsid w:val="00451A52"/>
    <w:rsid w:val="0045271D"/>
    <w:rsid w:val="00452755"/>
    <w:rsid w:val="00452803"/>
    <w:rsid w:val="004529C6"/>
    <w:rsid w:val="00452EAD"/>
    <w:rsid w:val="004534D1"/>
    <w:rsid w:val="00454548"/>
    <w:rsid w:val="00454717"/>
    <w:rsid w:val="00455354"/>
    <w:rsid w:val="0045558D"/>
    <w:rsid w:val="00456970"/>
    <w:rsid w:val="00456BB1"/>
    <w:rsid w:val="00456DDB"/>
    <w:rsid w:val="00460915"/>
    <w:rsid w:val="00460946"/>
    <w:rsid w:val="004614A9"/>
    <w:rsid w:val="00461E97"/>
    <w:rsid w:val="0046268F"/>
    <w:rsid w:val="00462B10"/>
    <w:rsid w:val="00462C04"/>
    <w:rsid w:val="0046320A"/>
    <w:rsid w:val="004638E2"/>
    <w:rsid w:val="00464030"/>
    <w:rsid w:val="004647F8"/>
    <w:rsid w:val="004647FB"/>
    <w:rsid w:val="00465677"/>
    <w:rsid w:val="00466616"/>
    <w:rsid w:val="00466A0C"/>
    <w:rsid w:val="00470A6A"/>
    <w:rsid w:val="00470D92"/>
    <w:rsid w:val="00471DF7"/>
    <w:rsid w:val="004734CF"/>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61B4"/>
    <w:rsid w:val="00486BD0"/>
    <w:rsid w:val="00486D00"/>
    <w:rsid w:val="00487263"/>
    <w:rsid w:val="0048734F"/>
    <w:rsid w:val="0049029D"/>
    <w:rsid w:val="0049030C"/>
    <w:rsid w:val="004903C0"/>
    <w:rsid w:val="0049114B"/>
    <w:rsid w:val="004912A8"/>
    <w:rsid w:val="00491577"/>
    <w:rsid w:val="0049196E"/>
    <w:rsid w:val="00491D3C"/>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58EE"/>
    <w:rsid w:val="004A59B7"/>
    <w:rsid w:val="004A623B"/>
    <w:rsid w:val="004A6A04"/>
    <w:rsid w:val="004A6A52"/>
    <w:rsid w:val="004B0F0B"/>
    <w:rsid w:val="004B2197"/>
    <w:rsid w:val="004B298A"/>
    <w:rsid w:val="004B578D"/>
    <w:rsid w:val="004B5BE7"/>
    <w:rsid w:val="004B5E2D"/>
    <w:rsid w:val="004B6C07"/>
    <w:rsid w:val="004B788E"/>
    <w:rsid w:val="004B7E5D"/>
    <w:rsid w:val="004C22F7"/>
    <w:rsid w:val="004C2B27"/>
    <w:rsid w:val="004C3929"/>
    <w:rsid w:val="004C5EF0"/>
    <w:rsid w:val="004C7226"/>
    <w:rsid w:val="004C74C9"/>
    <w:rsid w:val="004C7D70"/>
    <w:rsid w:val="004D02F9"/>
    <w:rsid w:val="004D03FE"/>
    <w:rsid w:val="004D0446"/>
    <w:rsid w:val="004D0F95"/>
    <w:rsid w:val="004D36AF"/>
    <w:rsid w:val="004D3BD1"/>
    <w:rsid w:val="004D3F91"/>
    <w:rsid w:val="004D4BA1"/>
    <w:rsid w:val="004D584D"/>
    <w:rsid w:val="004D6826"/>
    <w:rsid w:val="004E023F"/>
    <w:rsid w:val="004E0742"/>
    <w:rsid w:val="004E0C64"/>
    <w:rsid w:val="004E0F6B"/>
    <w:rsid w:val="004E1545"/>
    <w:rsid w:val="004E17B7"/>
    <w:rsid w:val="004E1F1C"/>
    <w:rsid w:val="004E2A35"/>
    <w:rsid w:val="004E40CE"/>
    <w:rsid w:val="004E5736"/>
    <w:rsid w:val="004E5B36"/>
    <w:rsid w:val="004E6045"/>
    <w:rsid w:val="004E6F43"/>
    <w:rsid w:val="004E7200"/>
    <w:rsid w:val="004F0960"/>
    <w:rsid w:val="004F0A5C"/>
    <w:rsid w:val="004F163F"/>
    <w:rsid w:val="004F18A0"/>
    <w:rsid w:val="004F1A08"/>
    <w:rsid w:val="004F3064"/>
    <w:rsid w:val="004F3764"/>
    <w:rsid w:val="004F3EEF"/>
    <w:rsid w:val="004F5930"/>
    <w:rsid w:val="004F5F0C"/>
    <w:rsid w:val="004F6121"/>
    <w:rsid w:val="004F6161"/>
    <w:rsid w:val="004F66BC"/>
    <w:rsid w:val="004F6C26"/>
    <w:rsid w:val="004F7AC9"/>
    <w:rsid w:val="0050062F"/>
    <w:rsid w:val="0050284E"/>
    <w:rsid w:val="005075CA"/>
    <w:rsid w:val="0051074C"/>
    <w:rsid w:val="00510DE9"/>
    <w:rsid w:val="005111E2"/>
    <w:rsid w:val="00511231"/>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6AD"/>
    <w:rsid w:val="00534EFB"/>
    <w:rsid w:val="00534F60"/>
    <w:rsid w:val="00536053"/>
    <w:rsid w:val="005369E6"/>
    <w:rsid w:val="005371AC"/>
    <w:rsid w:val="00537672"/>
    <w:rsid w:val="0053772F"/>
    <w:rsid w:val="00537B77"/>
    <w:rsid w:val="0054275A"/>
    <w:rsid w:val="00542BD7"/>
    <w:rsid w:val="00543084"/>
    <w:rsid w:val="0054413A"/>
    <w:rsid w:val="00544288"/>
    <w:rsid w:val="005446BB"/>
    <w:rsid w:val="00545E30"/>
    <w:rsid w:val="00546C9B"/>
    <w:rsid w:val="00547BF6"/>
    <w:rsid w:val="00551598"/>
    <w:rsid w:val="0055162B"/>
    <w:rsid w:val="00551D68"/>
    <w:rsid w:val="00552B3E"/>
    <w:rsid w:val="005542A9"/>
    <w:rsid w:val="005551AA"/>
    <w:rsid w:val="005564CA"/>
    <w:rsid w:val="005568EA"/>
    <w:rsid w:val="00557140"/>
    <w:rsid w:val="00560C87"/>
    <w:rsid w:val="00560F51"/>
    <w:rsid w:val="00561249"/>
    <w:rsid w:val="00561663"/>
    <w:rsid w:val="0056182B"/>
    <w:rsid w:val="00561AF3"/>
    <w:rsid w:val="00561E0B"/>
    <w:rsid w:val="00562141"/>
    <w:rsid w:val="00562D86"/>
    <w:rsid w:val="005645F6"/>
    <w:rsid w:val="00564704"/>
    <w:rsid w:val="00564712"/>
    <w:rsid w:val="005657A8"/>
    <w:rsid w:val="00566866"/>
    <w:rsid w:val="00567AB8"/>
    <w:rsid w:val="005703A2"/>
    <w:rsid w:val="00570A26"/>
    <w:rsid w:val="00572539"/>
    <w:rsid w:val="0057337D"/>
    <w:rsid w:val="00573504"/>
    <w:rsid w:val="00574708"/>
    <w:rsid w:val="00574D81"/>
    <w:rsid w:val="005756AA"/>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1C03"/>
    <w:rsid w:val="00591E2A"/>
    <w:rsid w:val="005923C4"/>
    <w:rsid w:val="00593F75"/>
    <w:rsid w:val="005940A0"/>
    <w:rsid w:val="00596AF7"/>
    <w:rsid w:val="00596CCE"/>
    <w:rsid w:val="005A1976"/>
    <w:rsid w:val="005A2120"/>
    <w:rsid w:val="005A2501"/>
    <w:rsid w:val="005A2C80"/>
    <w:rsid w:val="005A3066"/>
    <w:rsid w:val="005A3B35"/>
    <w:rsid w:val="005A3C4B"/>
    <w:rsid w:val="005A3E5A"/>
    <w:rsid w:val="005A43F3"/>
    <w:rsid w:val="005A496F"/>
    <w:rsid w:val="005A4A56"/>
    <w:rsid w:val="005A5A3D"/>
    <w:rsid w:val="005A6035"/>
    <w:rsid w:val="005A6B75"/>
    <w:rsid w:val="005A6E00"/>
    <w:rsid w:val="005A718A"/>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954"/>
    <w:rsid w:val="005C1C0B"/>
    <w:rsid w:val="005C2011"/>
    <w:rsid w:val="005C3EA3"/>
    <w:rsid w:val="005C5011"/>
    <w:rsid w:val="005C529E"/>
    <w:rsid w:val="005C57BA"/>
    <w:rsid w:val="005C5C52"/>
    <w:rsid w:val="005C5D3D"/>
    <w:rsid w:val="005C5F05"/>
    <w:rsid w:val="005C7F3E"/>
    <w:rsid w:val="005D2044"/>
    <w:rsid w:val="005D2917"/>
    <w:rsid w:val="005D2EB2"/>
    <w:rsid w:val="005D2F48"/>
    <w:rsid w:val="005D464B"/>
    <w:rsid w:val="005D466F"/>
    <w:rsid w:val="005D49F0"/>
    <w:rsid w:val="005D51FA"/>
    <w:rsid w:val="005D53E8"/>
    <w:rsid w:val="005D5A9D"/>
    <w:rsid w:val="005D6651"/>
    <w:rsid w:val="005D691D"/>
    <w:rsid w:val="005D6A72"/>
    <w:rsid w:val="005D791B"/>
    <w:rsid w:val="005D7CF2"/>
    <w:rsid w:val="005D7F92"/>
    <w:rsid w:val="005E0D7B"/>
    <w:rsid w:val="005E1595"/>
    <w:rsid w:val="005E1F1D"/>
    <w:rsid w:val="005E273D"/>
    <w:rsid w:val="005E3278"/>
    <w:rsid w:val="005E363B"/>
    <w:rsid w:val="005F0FDD"/>
    <w:rsid w:val="005F305B"/>
    <w:rsid w:val="005F3361"/>
    <w:rsid w:val="005F3958"/>
    <w:rsid w:val="005F3B47"/>
    <w:rsid w:val="005F4481"/>
    <w:rsid w:val="005F49AF"/>
    <w:rsid w:val="005F4A58"/>
    <w:rsid w:val="005F5888"/>
    <w:rsid w:val="005F5984"/>
    <w:rsid w:val="005F6CE2"/>
    <w:rsid w:val="005F72E9"/>
    <w:rsid w:val="00600473"/>
    <w:rsid w:val="006013C9"/>
    <w:rsid w:val="00602B45"/>
    <w:rsid w:val="006035F5"/>
    <w:rsid w:val="00603CC2"/>
    <w:rsid w:val="006047D1"/>
    <w:rsid w:val="00604A55"/>
    <w:rsid w:val="00605AC3"/>
    <w:rsid w:val="00606908"/>
    <w:rsid w:val="00607996"/>
    <w:rsid w:val="00607A37"/>
    <w:rsid w:val="00607E9F"/>
    <w:rsid w:val="0061085E"/>
    <w:rsid w:val="0061139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8B"/>
    <w:rsid w:val="006231AA"/>
    <w:rsid w:val="00623482"/>
    <w:rsid w:val="00623AC2"/>
    <w:rsid w:val="006266D7"/>
    <w:rsid w:val="00626D42"/>
    <w:rsid w:val="00626EE3"/>
    <w:rsid w:val="006274AD"/>
    <w:rsid w:val="00627532"/>
    <w:rsid w:val="006302AA"/>
    <w:rsid w:val="006310C3"/>
    <w:rsid w:val="0063161E"/>
    <w:rsid w:val="00631BB5"/>
    <w:rsid w:val="00631DD0"/>
    <w:rsid w:val="00633DBF"/>
    <w:rsid w:val="00633E07"/>
    <w:rsid w:val="00634122"/>
    <w:rsid w:val="00635E32"/>
    <w:rsid w:val="006365DE"/>
    <w:rsid w:val="00637836"/>
    <w:rsid w:val="00637C26"/>
    <w:rsid w:val="00637F44"/>
    <w:rsid w:val="00641078"/>
    <w:rsid w:val="00641242"/>
    <w:rsid w:val="00642A32"/>
    <w:rsid w:val="006433D5"/>
    <w:rsid w:val="00646B20"/>
    <w:rsid w:val="00646D0F"/>
    <w:rsid w:val="00647DCC"/>
    <w:rsid w:val="00647EFA"/>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1DE9"/>
    <w:rsid w:val="00691EAA"/>
    <w:rsid w:val="00693772"/>
    <w:rsid w:val="00694160"/>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CB5"/>
    <w:rsid w:val="006A7FD0"/>
    <w:rsid w:val="006B025C"/>
    <w:rsid w:val="006B2534"/>
    <w:rsid w:val="006B2CB2"/>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572"/>
    <w:rsid w:val="006E05D8"/>
    <w:rsid w:val="006E08EE"/>
    <w:rsid w:val="006E155A"/>
    <w:rsid w:val="006E39D1"/>
    <w:rsid w:val="006E437F"/>
    <w:rsid w:val="006E4D5B"/>
    <w:rsid w:val="006E602F"/>
    <w:rsid w:val="006E6DD5"/>
    <w:rsid w:val="006E7275"/>
    <w:rsid w:val="006E77B8"/>
    <w:rsid w:val="006F15CC"/>
    <w:rsid w:val="006F4147"/>
    <w:rsid w:val="006F4315"/>
    <w:rsid w:val="006F4CB0"/>
    <w:rsid w:val="006F4F78"/>
    <w:rsid w:val="006F547E"/>
    <w:rsid w:val="006F5CCF"/>
    <w:rsid w:val="0070138A"/>
    <w:rsid w:val="0070157E"/>
    <w:rsid w:val="007030D4"/>
    <w:rsid w:val="00703B61"/>
    <w:rsid w:val="00703E11"/>
    <w:rsid w:val="00704102"/>
    <w:rsid w:val="0070461C"/>
    <w:rsid w:val="00705631"/>
    <w:rsid w:val="00705F62"/>
    <w:rsid w:val="0070773F"/>
    <w:rsid w:val="00707A14"/>
    <w:rsid w:val="00707ED3"/>
    <w:rsid w:val="007101B7"/>
    <w:rsid w:val="00710668"/>
    <w:rsid w:val="007110F4"/>
    <w:rsid w:val="007112B1"/>
    <w:rsid w:val="0071130F"/>
    <w:rsid w:val="00712714"/>
    <w:rsid w:val="007129AB"/>
    <w:rsid w:val="00712B63"/>
    <w:rsid w:val="00713526"/>
    <w:rsid w:val="00713FC5"/>
    <w:rsid w:val="00715BBF"/>
    <w:rsid w:val="00715C29"/>
    <w:rsid w:val="00715CBD"/>
    <w:rsid w:val="00715EAA"/>
    <w:rsid w:val="00716CAD"/>
    <w:rsid w:val="00716F18"/>
    <w:rsid w:val="00717363"/>
    <w:rsid w:val="00717786"/>
    <w:rsid w:val="00717ACB"/>
    <w:rsid w:val="00721BFF"/>
    <w:rsid w:val="007236C4"/>
    <w:rsid w:val="00724635"/>
    <w:rsid w:val="0072554B"/>
    <w:rsid w:val="00725AFD"/>
    <w:rsid w:val="00726603"/>
    <w:rsid w:val="00727DDC"/>
    <w:rsid w:val="00730CD6"/>
    <w:rsid w:val="00730F74"/>
    <w:rsid w:val="0073114B"/>
    <w:rsid w:val="00734655"/>
    <w:rsid w:val="00734952"/>
    <w:rsid w:val="00734990"/>
    <w:rsid w:val="00734F97"/>
    <w:rsid w:val="00734FF5"/>
    <w:rsid w:val="00735B78"/>
    <w:rsid w:val="00735DA7"/>
    <w:rsid w:val="007368B4"/>
    <w:rsid w:val="007378E0"/>
    <w:rsid w:val="00740529"/>
    <w:rsid w:val="00741358"/>
    <w:rsid w:val="00741626"/>
    <w:rsid w:val="00742332"/>
    <w:rsid w:val="00742DD2"/>
    <w:rsid w:val="007437C6"/>
    <w:rsid w:val="007441A2"/>
    <w:rsid w:val="00744E80"/>
    <w:rsid w:val="00745035"/>
    <w:rsid w:val="00745547"/>
    <w:rsid w:val="007459D0"/>
    <w:rsid w:val="0074623A"/>
    <w:rsid w:val="00746420"/>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A2F"/>
    <w:rsid w:val="007573E1"/>
    <w:rsid w:val="0075749E"/>
    <w:rsid w:val="00757B2D"/>
    <w:rsid w:val="00757BAD"/>
    <w:rsid w:val="00757D62"/>
    <w:rsid w:val="00760867"/>
    <w:rsid w:val="00760EB6"/>
    <w:rsid w:val="007616DB"/>
    <w:rsid w:val="0076228A"/>
    <w:rsid w:val="00762440"/>
    <w:rsid w:val="007629B7"/>
    <w:rsid w:val="00762E60"/>
    <w:rsid w:val="007634AD"/>
    <w:rsid w:val="00766ECC"/>
    <w:rsid w:val="007672F3"/>
    <w:rsid w:val="007677B5"/>
    <w:rsid w:val="007678B1"/>
    <w:rsid w:val="007708A8"/>
    <w:rsid w:val="007734E4"/>
    <w:rsid w:val="0077380D"/>
    <w:rsid w:val="00773BC8"/>
    <w:rsid w:val="0077466F"/>
    <w:rsid w:val="007752B7"/>
    <w:rsid w:val="007759A8"/>
    <w:rsid w:val="00775A4B"/>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FF0"/>
    <w:rsid w:val="007923D0"/>
    <w:rsid w:val="007930D3"/>
    <w:rsid w:val="0079381F"/>
    <w:rsid w:val="007948F5"/>
    <w:rsid w:val="00795647"/>
    <w:rsid w:val="007963F6"/>
    <w:rsid w:val="00796E80"/>
    <w:rsid w:val="007979AD"/>
    <w:rsid w:val="00797A9C"/>
    <w:rsid w:val="007A0EAB"/>
    <w:rsid w:val="007A2341"/>
    <w:rsid w:val="007A36C3"/>
    <w:rsid w:val="007A38A1"/>
    <w:rsid w:val="007A3BBE"/>
    <w:rsid w:val="007B0313"/>
    <w:rsid w:val="007B0854"/>
    <w:rsid w:val="007B1D1B"/>
    <w:rsid w:val="007B303E"/>
    <w:rsid w:val="007B32F7"/>
    <w:rsid w:val="007B3659"/>
    <w:rsid w:val="007B4632"/>
    <w:rsid w:val="007B46A2"/>
    <w:rsid w:val="007B4828"/>
    <w:rsid w:val="007B4D4A"/>
    <w:rsid w:val="007B5428"/>
    <w:rsid w:val="007B6C64"/>
    <w:rsid w:val="007B6EC8"/>
    <w:rsid w:val="007B6F81"/>
    <w:rsid w:val="007B7EA2"/>
    <w:rsid w:val="007C097D"/>
    <w:rsid w:val="007C1672"/>
    <w:rsid w:val="007C3570"/>
    <w:rsid w:val="007C3F3B"/>
    <w:rsid w:val="007C4241"/>
    <w:rsid w:val="007C55FF"/>
    <w:rsid w:val="007C6339"/>
    <w:rsid w:val="007C7254"/>
    <w:rsid w:val="007C7C43"/>
    <w:rsid w:val="007C7F0D"/>
    <w:rsid w:val="007D1134"/>
    <w:rsid w:val="007D23F7"/>
    <w:rsid w:val="007D2566"/>
    <w:rsid w:val="007D2C18"/>
    <w:rsid w:val="007D2D74"/>
    <w:rsid w:val="007D3693"/>
    <w:rsid w:val="007D481A"/>
    <w:rsid w:val="007D58C5"/>
    <w:rsid w:val="007D5DE8"/>
    <w:rsid w:val="007D7CFC"/>
    <w:rsid w:val="007E18DF"/>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E6D"/>
    <w:rsid w:val="008014D9"/>
    <w:rsid w:val="0080150F"/>
    <w:rsid w:val="0080153A"/>
    <w:rsid w:val="00801A2A"/>
    <w:rsid w:val="00802041"/>
    <w:rsid w:val="008022C9"/>
    <w:rsid w:val="00802F9E"/>
    <w:rsid w:val="00803D9D"/>
    <w:rsid w:val="008059C6"/>
    <w:rsid w:val="00805AD7"/>
    <w:rsid w:val="00805BD6"/>
    <w:rsid w:val="00805DE3"/>
    <w:rsid w:val="00807C35"/>
    <w:rsid w:val="008100F7"/>
    <w:rsid w:val="00810206"/>
    <w:rsid w:val="00811898"/>
    <w:rsid w:val="008124D8"/>
    <w:rsid w:val="00813A7B"/>
    <w:rsid w:val="00813F04"/>
    <w:rsid w:val="00815558"/>
    <w:rsid w:val="00815DA5"/>
    <w:rsid w:val="00816221"/>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893"/>
    <w:rsid w:val="008423EC"/>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6C06"/>
    <w:rsid w:val="0085790B"/>
    <w:rsid w:val="00857C95"/>
    <w:rsid w:val="00857E78"/>
    <w:rsid w:val="00860AEF"/>
    <w:rsid w:val="0086122C"/>
    <w:rsid w:val="00861310"/>
    <w:rsid w:val="00861F53"/>
    <w:rsid w:val="0086394E"/>
    <w:rsid w:val="00863F8A"/>
    <w:rsid w:val="00863FE3"/>
    <w:rsid w:val="00864241"/>
    <w:rsid w:val="0086468A"/>
    <w:rsid w:val="008650BE"/>
    <w:rsid w:val="0086633B"/>
    <w:rsid w:val="00866495"/>
    <w:rsid w:val="00866931"/>
    <w:rsid w:val="00867512"/>
    <w:rsid w:val="0087033C"/>
    <w:rsid w:val="008715ED"/>
    <w:rsid w:val="008717D8"/>
    <w:rsid w:val="00871E3C"/>
    <w:rsid w:val="00872F97"/>
    <w:rsid w:val="0087331A"/>
    <w:rsid w:val="00874607"/>
    <w:rsid w:val="00874915"/>
    <w:rsid w:val="00874B89"/>
    <w:rsid w:val="00875403"/>
    <w:rsid w:val="00875434"/>
    <w:rsid w:val="00876215"/>
    <w:rsid w:val="00876815"/>
    <w:rsid w:val="00877932"/>
    <w:rsid w:val="008808C7"/>
    <w:rsid w:val="0088106B"/>
    <w:rsid w:val="0088107D"/>
    <w:rsid w:val="00881E64"/>
    <w:rsid w:val="00882E39"/>
    <w:rsid w:val="008850EB"/>
    <w:rsid w:val="008861D1"/>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2A23"/>
    <w:rsid w:val="008A2AF5"/>
    <w:rsid w:val="008A2B5A"/>
    <w:rsid w:val="008A3F9D"/>
    <w:rsid w:val="008A5474"/>
    <w:rsid w:val="008A57A9"/>
    <w:rsid w:val="008A5C9A"/>
    <w:rsid w:val="008A6A55"/>
    <w:rsid w:val="008A6F6E"/>
    <w:rsid w:val="008A7888"/>
    <w:rsid w:val="008A796E"/>
    <w:rsid w:val="008B0862"/>
    <w:rsid w:val="008B088C"/>
    <w:rsid w:val="008B1BF5"/>
    <w:rsid w:val="008B263F"/>
    <w:rsid w:val="008B47A6"/>
    <w:rsid w:val="008B672C"/>
    <w:rsid w:val="008C0743"/>
    <w:rsid w:val="008C0B4C"/>
    <w:rsid w:val="008C11F0"/>
    <w:rsid w:val="008C1DBA"/>
    <w:rsid w:val="008C24E7"/>
    <w:rsid w:val="008C2500"/>
    <w:rsid w:val="008C2CAC"/>
    <w:rsid w:val="008C3E2A"/>
    <w:rsid w:val="008C45BD"/>
    <w:rsid w:val="008C4B19"/>
    <w:rsid w:val="008C62D4"/>
    <w:rsid w:val="008C6B89"/>
    <w:rsid w:val="008D18AA"/>
    <w:rsid w:val="008D1A2A"/>
    <w:rsid w:val="008D35D9"/>
    <w:rsid w:val="008D3B85"/>
    <w:rsid w:val="008D462D"/>
    <w:rsid w:val="008D66CA"/>
    <w:rsid w:val="008D69B1"/>
    <w:rsid w:val="008E0012"/>
    <w:rsid w:val="008E0DF7"/>
    <w:rsid w:val="008E0FAD"/>
    <w:rsid w:val="008E1347"/>
    <w:rsid w:val="008E16E0"/>
    <w:rsid w:val="008E1C15"/>
    <w:rsid w:val="008E28BD"/>
    <w:rsid w:val="008E38B4"/>
    <w:rsid w:val="008E3BA4"/>
    <w:rsid w:val="008E44AB"/>
    <w:rsid w:val="008E5179"/>
    <w:rsid w:val="008E7884"/>
    <w:rsid w:val="008E7D6E"/>
    <w:rsid w:val="008F1056"/>
    <w:rsid w:val="008F2E8D"/>
    <w:rsid w:val="008F387B"/>
    <w:rsid w:val="008F3DD9"/>
    <w:rsid w:val="008F4814"/>
    <w:rsid w:val="008F4DA6"/>
    <w:rsid w:val="008F538E"/>
    <w:rsid w:val="008F5ABA"/>
    <w:rsid w:val="008F7989"/>
    <w:rsid w:val="00902E5C"/>
    <w:rsid w:val="009046E5"/>
    <w:rsid w:val="009047C5"/>
    <w:rsid w:val="00910683"/>
    <w:rsid w:val="00910E00"/>
    <w:rsid w:val="009116CE"/>
    <w:rsid w:val="00911714"/>
    <w:rsid w:val="009136D4"/>
    <w:rsid w:val="00914B9A"/>
    <w:rsid w:val="00914C3F"/>
    <w:rsid w:val="00914F33"/>
    <w:rsid w:val="00915FCE"/>
    <w:rsid w:val="00916AFE"/>
    <w:rsid w:val="00916FC8"/>
    <w:rsid w:val="009170D3"/>
    <w:rsid w:val="0091759C"/>
    <w:rsid w:val="00920026"/>
    <w:rsid w:val="009203E2"/>
    <w:rsid w:val="00921304"/>
    <w:rsid w:val="00921805"/>
    <w:rsid w:val="00923396"/>
    <w:rsid w:val="00923F56"/>
    <w:rsid w:val="00925743"/>
    <w:rsid w:val="00925FA0"/>
    <w:rsid w:val="009279A7"/>
    <w:rsid w:val="00927E8D"/>
    <w:rsid w:val="00927F23"/>
    <w:rsid w:val="009307CD"/>
    <w:rsid w:val="00931451"/>
    <w:rsid w:val="009314FA"/>
    <w:rsid w:val="0093194F"/>
    <w:rsid w:val="00931BF3"/>
    <w:rsid w:val="00931C55"/>
    <w:rsid w:val="00933333"/>
    <w:rsid w:val="0093349A"/>
    <w:rsid w:val="00933FCB"/>
    <w:rsid w:val="00934E69"/>
    <w:rsid w:val="00937401"/>
    <w:rsid w:val="00937D6B"/>
    <w:rsid w:val="00940477"/>
    <w:rsid w:val="00940876"/>
    <w:rsid w:val="00940A53"/>
    <w:rsid w:val="00940F3C"/>
    <w:rsid w:val="009410E0"/>
    <w:rsid w:val="009444B4"/>
    <w:rsid w:val="00946A24"/>
    <w:rsid w:val="009470D4"/>
    <w:rsid w:val="00947337"/>
    <w:rsid w:val="00953018"/>
    <w:rsid w:val="009533E2"/>
    <w:rsid w:val="00953554"/>
    <w:rsid w:val="0095385A"/>
    <w:rsid w:val="0095780A"/>
    <w:rsid w:val="009579E4"/>
    <w:rsid w:val="00957AA4"/>
    <w:rsid w:val="00960BDB"/>
    <w:rsid w:val="0096147D"/>
    <w:rsid w:val="00961E5F"/>
    <w:rsid w:val="009625C6"/>
    <w:rsid w:val="009629B5"/>
    <w:rsid w:val="00962A50"/>
    <w:rsid w:val="00964138"/>
    <w:rsid w:val="00964B3F"/>
    <w:rsid w:val="00964C98"/>
    <w:rsid w:val="0096770E"/>
    <w:rsid w:val="00971441"/>
    <w:rsid w:val="009715D4"/>
    <w:rsid w:val="0097494E"/>
    <w:rsid w:val="00974B58"/>
    <w:rsid w:val="009761ED"/>
    <w:rsid w:val="0098022F"/>
    <w:rsid w:val="009810DE"/>
    <w:rsid w:val="009822D7"/>
    <w:rsid w:val="0098427D"/>
    <w:rsid w:val="00984567"/>
    <w:rsid w:val="009865D5"/>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D47"/>
    <w:rsid w:val="009A4D63"/>
    <w:rsid w:val="009A5356"/>
    <w:rsid w:val="009A5468"/>
    <w:rsid w:val="009A5D99"/>
    <w:rsid w:val="009A608C"/>
    <w:rsid w:val="009A6FDF"/>
    <w:rsid w:val="009A76D6"/>
    <w:rsid w:val="009B2E29"/>
    <w:rsid w:val="009B422F"/>
    <w:rsid w:val="009B46BC"/>
    <w:rsid w:val="009B4D1A"/>
    <w:rsid w:val="009B558B"/>
    <w:rsid w:val="009B6D21"/>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A14"/>
    <w:rsid w:val="009D1E2A"/>
    <w:rsid w:val="009D1FA0"/>
    <w:rsid w:val="009D2BDF"/>
    <w:rsid w:val="009D3736"/>
    <w:rsid w:val="009D4529"/>
    <w:rsid w:val="009D604F"/>
    <w:rsid w:val="009D61BB"/>
    <w:rsid w:val="009D6410"/>
    <w:rsid w:val="009D68BB"/>
    <w:rsid w:val="009D6D90"/>
    <w:rsid w:val="009D7ADB"/>
    <w:rsid w:val="009E0703"/>
    <w:rsid w:val="009E0EFE"/>
    <w:rsid w:val="009E16DA"/>
    <w:rsid w:val="009E1CD4"/>
    <w:rsid w:val="009E2391"/>
    <w:rsid w:val="009E476A"/>
    <w:rsid w:val="009E4E05"/>
    <w:rsid w:val="009E56FF"/>
    <w:rsid w:val="009E58F2"/>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585B"/>
    <w:rsid w:val="00A15C19"/>
    <w:rsid w:val="00A16809"/>
    <w:rsid w:val="00A17EA2"/>
    <w:rsid w:val="00A20264"/>
    <w:rsid w:val="00A20997"/>
    <w:rsid w:val="00A21454"/>
    <w:rsid w:val="00A22025"/>
    <w:rsid w:val="00A22498"/>
    <w:rsid w:val="00A22571"/>
    <w:rsid w:val="00A24560"/>
    <w:rsid w:val="00A25B0F"/>
    <w:rsid w:val="00A25BBB"/>
    <w:rsid w:val="00A30368"/>
    <w:rsid w:val="00A30E02"/>
    <w:rsid w:val="00A30F6A"/>
    <w:rsid w:val="00A31C3E"/>
    <w:rsid w:val="00A34538"/>
    <w:rsid w:val="00A3540F"/>
    <w:rsid w:val="00A35630"/>
    <w:rsid w:val="00A35914"/>
    <w:rsid w:val="00A36189"/>
    <w:rsid w:val="00A37E73"/>
    <w:rsid w:val="00A37FB6"/>
    <w:rsid w:val="00A4104A"/>
    <w:rsid w:val="00A41081"/>
    <w:rsid w:val="00A411CA"/>
    <w:rsid w:val="00A42096"/>
    <w:rsid w:val="00A426F3"/>
    <w:rsid w:val="00A42FDF"/>
    <w:rsid w:val="00A430A9"/>
    <w:rsid w:val="00A431FE"/>
    <w:rsid w:val="00A439E5"/>
    <w:rsid w:val="00A4497A"/>
    <w:rsid w:val="00A44BE8"/>
    <w:rsid w:val="00A44C96"/>
    <w:rsid w:val="00A44F54"/>
    <w:rsid w:val="00A45F9B"/>
    <w:rsid w:val="00A46574"/>
    <w:rsid w:val="00A52EE5"/>
    <w:rsid w:val="00A53037"/>
    <w:rsid w:val="00A532B9"/>
    <w:rsid w:val="00A5351D"/>
    <w:rsid w:val="00A53E79"/>
    <w:rsid w:val="00A54031"/>
    <w:rsid w:val="00A55122"/>
    <w:rsid w:val="00A56DE7"/>
    <w:rsid w:val="00A57EB2"/>
    <w:rsid w:val="00A6009E"/>
    <w:rsid w:val="00A60B1F"/>
    <w:rsid w:val="00A61C60"/>
    <w:rsid w:val="00A62C3A"/>
    <w:rsid w:val="00A63812"/>
    <w:rsid w:val="00A668BA"/>
    <w:rsid w:val="00A66FA7"/>
    <w:rsid w:val="00A67E16"/>
    <w:rsid w:val="00A703CC"/>
    <w:rsid w:val="00A70C5C"/>
    <w:rsid w:val="00A71EA7"/>
    <w:rsid w:val="00A730AD"/>
    <w:rsid w:val="00A73D64"/>
    <w:rsid w:val="00A74216"/>
    <w:rsid w:val="00A751E3"/>
    <w:rsid w:val="00A75504"/>
    <w:rsid w:val="00A77168"/>
    <w:rsid w:val="00A7723B"/>
    <w:rsid w:val="00A80085"/>
    <w:rsid w:val="00A8043B"/>
    <w:rsid w:val="00A81323"/>
    <w:rsid w:val="00A820CB"/>
    <w:rsid w:val="00A82342"/>
    <w:rsid w:val="00A83BEF"/>
    <w:rsid w:val="00A84443"/>
    <w:rsid w:val="00A8487F"/>
    <w:rsid w:val="00A849A3"/>
    <w:rsid w:val="00A84A0E"/>
    <w:rsid w:val="00A86E0B"/>
    <w:rsid w:val="00A90F12"/>
    <w:rsid w:val="00A93101"/>
    <w:rsid w:val="00A94293"/>
    <w:rsid w:val="00A9496E"/>
    <w:rsid w:val="00A94BDE"/>
    <w:rsid w:val="00A94FCA"/>
    <w:rsid w:val="00A96C60"/>
    <w:rsid w:val="00A9740B"/>
    <w:rsid w:val="00A9766C"/>
    <w:rsid w:val="00A977F8"/>
    <w:rsid w:val="00AA08E7"/>
    <w:rsid w:val="00AA0A06"/>
    <w:rsid w:val="00AA1351"/>
    <w:rsid w:val="00AA1C84"/>
    <w:rsid w:val="00AA3D7B"/>
    <w:rsid w:val="00AA42A0"/>
    <w:rsid w:val="00AA442B"/>
    <w:rsid w:val="00AA46A4"/>
    <w:rsid w:val="00AA5779"/>
    <w:rsid w:val="00AA58A1"/>
    <w:rsid w:val="00AA61C7"/>
    <w:rsid w:val="00AA669D"/>
    <w:rsid w:val="00AA6BE1"/>
    <w:rsid w:val="00AA7416"/>
    <w:rsid w:val="00AA7A60"/>
    <w:rsid w:val="00AA7B42"/>
    <w:rsid w:val="00AB041C"/>
    <w:rsid w:val="00AB14E8"/>
    <w:rsid w:val="00AB1B1D"/>
    <w:rsid w:val="00AB2216"/>
    <w:rsid w:val="00AB358D"/>
    <w:rsid w:val="00AB37A1"/>
    <w:rsid w:val="00AB3CFD"/>
    <w:rsid w:val="00AB49BC"/>
    <w:rsid w:val="00AB4DEE"/>
    <w:rsid w:val="00AB4E32"/>
    <w:rsid w:val="00AB724B"/>
    <w:rsid w:val="00AB726C"/>
    <w:rsid w:val="00AB72B4"/>
    <w:rsid w:val="00AC02AA"/>
    <w:rsid w:val="00AC0537"/>
    <w:rsid w:val="00AC0A84"/>
    <w:rsid w:val="00AC2A0B"/>
    <w:rsid w:val="00AC2BEE"/>
    <w:rsid w:val="00AC2E53"/>
    <w:rsid w:val="00AC484F"/>
    <w:rsid w:val="00AC4B20"/>
    <w:rsid w:val="00AC56F2"/>
    <w:rsid w:val="00AC71C3"/>
    <w:rsid w:val="00AD1EFA"/>
    <w:rsid w:val="00AD2072"/>
    <w:rsid w:val="00AD2DBD"/>
    <w:rsid w:val="00AD2FBF"/>
    <w:rsid w:val="00AD455D"/>
    <w:rsid w:val="00AD463C"/>
    <w:rsid w:val="00AD4F60"/>
    <w:rsid w:val="00AD5044"/>
    <w:rsid w:val="00AD5114"/>
    <w:rsid w:val="00AD6236"/>
    <w:rsid w:val="00AD7770"/>
    <w:rsid w:val="00AE1990"/>
    <w:rsid w:val="00AE25E8"/>
    <w:rsid w:val="00AE2AD4"/>
    <w:rsid w:val="00AE2CA7"/>
    <w:rsid w:val="00AE2F1D"/>
    <w:rsid w:val="00AE6582"/>
    <w:rsid w:val="00AE6DC5"/>
    <w:rsid w:val="00AE7686"/>
    <w:rsid w:val="00AE799A"/>
    <w:rsid w:val="00AF0E81"/>
    <w:rsid w:val="00AF117A"/>
    <w:rsid w:val="00AF19DF"/>
    <w:rsid w:val="00AF26CF"/>
    <w:rsid w:val="00AF4E92"/>
    <w:rsid w:val="00AF5C9B"/>
    <w:rsid w:val="00AF5D53"/>
    <w:rsid w:val="00AF5E2D"/>
    <w:rsid w:val="00AF644B"/>
    <w:rsid w:val="00AF6CA6"/>
    <w:rsid w:val="00AF6EB6"/>
    <w:rsid w:val="00AF7796"/>
    <w:rsid w:val="00B011A9"/>
    <w:rsid w:val="00B024ED"/>
    <w:rsid w:val="00B033F8"/>
    <w:rsid w:val="00B03C1E"/>
    <w:rsid w:val="00B04400"/>
    <w:rsid w:val="00B04835"/>
    <w:rsid w:val="00B05A55"/>
    <w:rsid w:val="00B05DE1"/>
    <w:rsid w:val="00B06595"/>
    <w:rsid w:val="00B10109"/>
    <w:rsid w:val="00B1085E"/>
    <w:rsid w:val="00B10FD1"/>
    <w:rsid w:val="00B12735"/>
    <w:rsid w:val="00B12F94"/>
    <w:rsid w:val="00B13C48"/>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7FBF"/>
    <w:rsid w:val="00B72B91"/>
    <w:rsid w:val="00B73019"/>
    <w:rsid w:val="00B7315F"/>
    <w:rsid w:val="00B7323A"/>
    <w:rsid w:val="00B7353B"/>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91B8E"/>
    <w:rsid w:val="00B92531"/>
    <w:rsid w:val="00B92618"/>
    <w:rsid w:val="00B92B69"/>
    <w:rsid w:val="00B92CC6"/>
    <w:rsid w:val="00B935C9"/>
    <w:rsid w:val="00B93E3D"/>
    <w:rsid w:val="00B95464"/>
    <w:rsid w:val="00B95E3D"/>
    <w:rsid w:val="00B9691F"/>
    <w:rsid w:val="00B96EEC"/>
    <w:rsid w:val="00B976C7"/>
    <w:rsid w:val="00BA0C54"/>
    <w:rsid w:val="00BA1382"/>
    <w:rsid w:val="00BA20D8"/>
    <w:rsid w:val="00BA22FC"/>
    <w:rsid w:val="00BA2F30"/>
    <w:rsid w:val="00BA4771"/>
    <w:rsid w:val="00BA5027"/>
    <w:rsid w:val="00BA7370"/>
    <w:rsid w:val="00BA778B"/>
    <w:rsid w:val="00BB0888"/>
    <w:rsid w:val="00BB0E9B"/>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6728"/>
    <w:rsid w:val="00BD78FE"/>
    <w:rsid w:val="00BE0149"/>
    <w:rsid w:val="00BE0767"/>
    <w:rsid w:val="00BE12D7"/>
    <w:rsid w:val="00BE1775"/>
    <w:rsid w:val="00BE18DA"/>
    <w:rsid w:val="00BE26C0"/>
    <w:rsid w:val="00BE3442"/>
    <w:rsid w:val="00BE47B2"/>
    <w:rsid w:val="00BE48C7"/>
    <w:rsid w:val="00BE4F66"/>
    <w:rsid w:val="00BE5238"/>
    <w:rsid w:val="00BE6074"/>
    <w:rsid w:val="00BE7257"/>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3305"/>
    <w:rsid w:val="00C03738"/>
    <w:rsid w:val="00C037A6"/>
    <w:rsid w:val="00C043F5"/>
    <w:rsid w:val="00C044E3"/>
    <w:rsid w:val="00C04BDB"/>
    <w:rsid w:val="00C052C6"/>
    <w:rsid w:val="00C05A61"/>
    <w:rsid w:val="00C06CCF"/>
    <w:rsid w:val="00C1019A"/>
    <w:rsid w:val="00C10417"/>
    <w:rsid w:val="00C1159D"/>
    <w:rsid w:val="00C1233E"/>
    <w:rsid w:val="00C12FB3"/>
    <w:rsid w:val="00C13D85"/>
    <w:rsid w:val="00C14E82"/>
    <w:rsid w:val="00C14FF6"/>
    <w:rsid w:val="00C1641B"/>
    <w:rsid w:val="00C165FC"/>
    <w:rsid w:val="00C176D5"/>
    <w:rsid w:val="00C2082C"/>
    <w:rsid w:val="00C20EB0"/>
    <w:rsid w:val="00C21005"/>
    <w:rsid w:val="00C220B6"/>
    <w:rsid w:val="00C22D7C"/>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58D4"/>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2370"/>
    <w:rsid w:val="00C6305F"/>
    <w:rsid w:val="00C6325B"/>
    <w:rsid w:val="00C63E99"/>
    <w:rsid w:val="00C64A64"/>
    <w:rsid w:val="00C65151"/>
    <w:rsid w:val="00C66119"/>
    <w:rsid w:val="00C66292"/>
    <w:rsid w:val="00C672A3"/>
    <w:rsid w:val="00C672F1"/>
    <w:rsid w:val="00C673D0"/>
    <w:rsid w:val="00C6742E"/>
    <w:rsid w:val="00C70012"/>
    <w:rsid w:val="00C71E2A"/>
    <w:rsid w:val="00C733BA"/>
    <w:rsid w:val="00C760DC"/>
    <w:rsid w:val="00C8082B"/>
    <w:rsid w:val="00C81A88"/>
    <w:rsid w:val="00C81D46"/>
    <w:rsid w:val="00C82298"/>
    <w:rsid w:val="00C833B4"/>
    <w:rsid w:val="00C84284"/>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A0031"/>
    <w:rsid w:val="00CA0413"/>
    <w:rsid w:val="00CA043A"/>
    <w:rsid w:val="00CA1691"/>
    <w:rsid w:val="00CA41E7"/>
    <w:rsid w:val="00CA5812"/>
    <w:rsid w:val="00CA5BD4"/>
    <w:rsid w:val="00CA5C14"/>
    <w:rsid w:val="00CA76FC"/>
    <w:rsid w:val="00CA7E7B"/>
    <w:rsid w:val="00CB0236"/>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514"/>
    <w:rsid w:val="00CC2F69"/>
    <w:rsid w:val="00CC315F"/>
    <w:rsid w:val="00CC3D38"/>
    <w:rsid w:val="00CC40C3"/>
    <w:rsid w:val="00CC4E5D"/>
    <w:rsid w:val="00CC50AE"/>
    <w:rsid w:val="00CC69EC"/>
    <w:rsid w:val="00CC71D3"/>
    <w:rsid w:val="00CC743D"/>
    <w:rsid w:val="00CD050A"/>
    <w:rsid w:val="00CD205D"/>
    <w:rsid w:val="00CD2A22"/>
    <w:rsid w:val="00CD2B50"/>
    <w:rsid w:val="00CD4506"/>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FFB"/>
    <w:rsid w:val="00D058E9"/>
    <w:rsid w:val="00D0612A"/>
    <w:rsid w:val="00D1060D"/>
    <w:rsid w:val="00D10E7C"/>
    <w:rsid w:val="00D11182"/>
    <w:rsid w:val="00D11807"/>
    <w:rsid w:val="00D11DB3"/>
    <w:rsid w:val="00D12D82"/>
    <w:rsid w:val="00D1306E"/>
    <w:rsid w:val="00D134CD"/>
    <w:rsid w:val="00D14B5F"/>
    <w:rsid w:val="00D14E13"/>
    <w:rsid w:val="00D14F23"/>
    <w:rsid w:val="00D16740"/>
    <w:rsid w:val="00D16A8B"/>
    <w:rsid w:val="00D16E39"/>
    <w:rsid w:val="00D17AD8"/>
    <w:rsid w:val="00D2104A"/>
    <w:rsid w:val="00D21BB5"/>
    <w:rsid w:val="00D21FFC"/>
    <w:rsid w:val="00D223B6"/>
    <w:rsid w:val="00D223E8"/>
    <w:rsid w:val="00D22DC8"/>
    <w:rsid w:val="00D2531C"/>
    <w:rsid w:val="00D2742F"/>
    <w:rsid w:val="00D2754F"/>
    <w:rsid w:val="00D279D9"/>
    <w:rsid w:val="00D312DC"/>
    <w:rsid w:val="00D31B84"/>
    <w:rsid w:val="00D31C6A"/>
    <w:rsid w:val="00D31EDF"/>
    <w:rsid w:val="00D31FF9"/>
    <w:rsid w:val="00D32149"/>
    <w:rsid w:val="00D32256"/>
    <w:rsid w:val="00D32A27"/>
    <w:rsid w:val="00D32ABC"/>
    <w:rsid w:val="00D34F4E"/>
    <w:rsid w:val="00D357F3"/>
    <w:rsid w:val="00D35C0E"/>
    <w:rsid w:val="00D373A8"/>
    <w:rsid w:val="00D401BE"/>
    <w:rsid w:val="00D4043A"/>
    <w:rsid w:val="00D40DB0"/>
    <w:rsid w:val="00D41858"/>
    <w:rsid w:val="00D422DB"/>
    <w:rsid w:val="00D42AC2"/>
    <w:rsid w:val="00D4498E"/>
    <w:rsid w:val="00D4515F"/>
    <w:rsid w:val="00D466C9"/>
    <w:rsid w:val="00D47275"/>
    <w:rsid w:val="00D51E15"/>
    <w:rsid w:val="00D52B7E"/>
    <w:rsid w:val="00D52E2F"/>
    <w:rsid w:val="00D52F59"/>
    <w:rsid w:val="00D53E3E"/>
    <w:rsid w:val="00D55904"/>
    <w:rsid w:val="00D5616F"/>
    <w:rsid w:val="00D57940"/>
    <w:rsid w:val="00D57BAE"/>
    <w:rsid w:val="00D60327"/>
    <w:rsid w:val="00D61526"/>
    <w:rsid w:val="00D61F81"/>
    <w:rsid w:val="00D62BE6"/>
    <w:rsid w:val="00D63766"/>
    <w:rsid w:val="00D63912"/>
    <w:rsid w:val="00D63923"/>
    <w:rsid w:val="00D6451B"/>
    <w:rsid w:val="00D64B57"/>
    <w:rsid w:val="00D65DEA"/>
    <w:rsid w:val="00D66962"/>
    <w:rsid w:val="00D67BC7"/>
    <w:rsid w:val="00D705D3"/>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223C"/>
    <w:rsid w:val="00D82B57"/>
    <w:rsid w:val="00D82CE5"/>
    <w:rsid w:val="00D8342C"/>
    <w:rsid w:val="00D85494"/>
    <w:rsid w:val="00D85D61"/>
    <w:rsid w:val="00D8616D"/>
    <w:rsid w:val="00D8711B"/>
    <w:rsid w:val="00D90683"/>
    <w:rsid w:val="00D915C8"/>
    <w:rsid w:val="00D9310B"/>
    <w:rsid w:val="00D93726"/>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FB3"/>
    <w:rsid w:val="00DA7462"/>
    <w:rsid w:val="00DA7AD0"/>
    <w:rsid w:val="00DB03CC"/>
    <w:rsid w:val="00DB12D4"/>
    <w:rsid w:val="00DB14F0"/>
    <w:rsid w:val="00DB1745"/>
    <w:rsid w:val="00DB1AFF"/>
    <w:rsid w:val="00DB219A"/>
    <w:rsid w:val="00DB4292"/>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46"/>
    <w:rsid w:val="00DD735D"/>
    <w:rsid w:val="00DE0159"/>
    <w:rsid w:val="00DE064A"/>
    <w:rsid w:val="00DE082D"/>
    <w:rsid w:val="00DE3119"/>
    <w:rsid w:val="00DE3FF0"/>
    <w:rsid w:val="00DE4105"/>
    <w:rsid w:val="00DE5189"/>
    <w:rsid w:val="00DE7108"/>
    <w:rsid w:val="00DE78D1"/>
    <w:rsid w:val="00DF0263"/>
    <w:rsid w:val="00DF1E36"/>
    <w:rsid w:val="00DF236B"/>
    <w:rsid w:val="00DF2681"/>
    <w:rsid w:val="00DF2A91"/>
    <w:rsid w:val="00DF3889"/>
    <w:rsid w:val="00DF3CC9"/>
    <w:rsid w:val="00DF4451"/>
    <w:rsid w:val="00DF49FF"/>
    <w:rsid w:val="00DF4FFB"/>
    <w:rsid w:val="00DF5236"/>
    <w:rsid w:val="00DF651F"/>
    <w:rsid w:val="00DF6F43"/>
    <w:rsid w:val="00DF752F"/>
    <w:rsid w:val="00DF76A2"/>
    <w:rsid w:val="00DF7F5E"/>
    <w:rsid w:val="00E00B7A"/>
    <w:rsid w:val="00E02186"/>
    <w:rsid w:val="00E026BB"/>
    <w:rsid w:val="00E027C5"/>
    <w:rsid w:val="00E03124"/>
    <w:rsid w:val="00E03951"/>
    <w:rsid w:val="00E03DB8"/>
    <w:rsid w:val="00E05E70"/>
    <w:rsid w:val="00E064BC"/>
    <w:rsid w:val="00E07225"/>
    <w:rsid w:val="00E109DD"/>
    <w:rsid w:val="00E11229"/>
    <w:rsid w:val="00E114CA"/>
    <w:rsid w:val="00E1397F"/>
    <w:rsid w:val="00E13AB8"/>
    <w:rsid w:val="00E1482E"/>
    <w:rsid w:val="00E15E9A"/>
    <w:rsid w:val="00E16382"/>
    <w:rsid w:val="00E1699C"/>
    <w:rsid w:val="00E16E75"/>
    <w:rsid w:val="00E175FF"/>
    <w:rsid w:val="00E2012A"/>
    <w:rsid w:val="00E205A2"/>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37A28"/>
    <w:rsid w:val="00E40430"/>
    <w:rsid w:val="00E40690"/>
    <w:rsid w:val="00E4143A"/>
    <w:rsid w:val="00E424C8"/>
    <w:rsid w:val="00E4251D"/>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FF1"/>
    <w:rsid w:val="00E56090"/>
    <w:rsid w:val="00E565B9"/>
    <w:rsid w:val="00E5733B"/>
    <w:rsid w:val="00E601BE"/>
    <w:rsid w:val="00E60B5F"/>
    <w:rsid w:val="00E613AE"/>
    <w:rsid w:val="00E613FA"/>
    <w:rsid w:val="00E61ABB"/>
    <w:rsid w:val="00E623E6"/>
    <w:rsid w:val="00E630C0"/>
    <w:rsid w:val="00E634E6"/>
    <w:rsid w:val="00E63DCE"/>
    <w:rsid w:val="00E64700"/>
    <w:rsid w:val="00E65074"/>
    <w:rsid w:val="00E65E70"/>
    <w:rsid w:val="00E66087"/>
    <w:rsid w:val="00E66D79"/>
    <w:rsid w:val="00E66FF9"/>
    <w:rsid w:val="00E67856"/>
    <w:rsid w:val="00E679C8"/>
    <w:rsid w:val="00E724E7"/>
    <w:rsid w:val="00E72B41"/>
    <w:rsid w:val="00E7347B"/>
    <w:rsid w:val="00E73D03"/>
    <w:rsid w:val="00E77AF5"/>
    <w:rsid w:val="00E823F9"/>
    <w:rsid w:val="00E82C1F"/>
    <w:rsid w:val="00E83671"/>
    <w:rsid w:val="00E84A71"/>
    <w:rsid w:val="00E86556"/>
    <w:rsid w:val="00E86D35"/>
    <w:rsid w:val="00E86DC2"/>
    <w:rsid w:val="00E86E32"/>
    <w:rsid w:val="00E8732E"/>
    <w:rsid w:val="00E9011F"/>
    <w:rsid w:val="00E906EB"/>
    <w:rsid w:val="00E9241E"/>
    <w:rsid w:val="00E92460"/>
    <w:rsid w:val="00E92E62"/>
    <w:rsid w:val="00E93804"/>
    <w:rsid w:val="00E95434"/>
    <w:rsid w:val="00E96467"/>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63EF"/>
    <w:rsid w:val="00EB0A89"/>
    <w:rsid w:val="00EB1573"/>
    <w:rsid w:val="00EB1910"/>
    <w:rsid w:val="00EB2E97"/>
    <w:rsid w:val="00EB31C8"/>
    <w:rsid w:val="00EB4AE1"/>
    <w:rsid w:val="00EB52F4"/>
    <w:rsid w:val="00EB5779"/>
    <w:rsid w:val="00EB67F1"/>
    <w:rsid w:val="00EB72CD"/>
    <w:rsid w:val="00EB749A"/>
    <w:rsid w:val="00EB76B6"/>
    <w:rsid w:val="00EB7D8A"/>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F03"/>
    <w:rsid w:val="00ED2D27"/>
    <w:rsid w:val="00ED3347"/>
    <w:rsid w:val="00ED43A2"/>
    <w:rsid w:val="00ED4967"/>
    <w:rsid w:val="00ED538C"/>
    <w:rsid w:val="00ED5771"/>
    <w:rsid w:val="00ED587F"/>
    <w:rsid w:val="00ED5964"/>
    <w:rsid w:val="00ED623F"/>
    <w:rsid w:val="00ED72E9"/>
    <w:rsid w:val="00ED732E"/>
    <w:rsid w:val="00ED77F0"/>
    <w:rsid w:val="00ED7FBC"/>
    <w:rsid w:val="00EE0253"/>
    <w:rsid w:val="00EE0297"/>
    <w:rsid w:val="00EE13DA"/>
    <w:rsid w:val="00EE1668"/>
    <w:rsid w:val="00EE366D"/>
    <w:rsid w:val="00EE59B5"/>
    <w:rsid w:val="00EE5FB7"/>
    <w:rsid w:val="00EE7B54"/>
    <w:rsid w:val="00EE7C88"/>
    <w:rsid w:val="00EE7C8B"/>
    <w:rsid w:val="00EF0209"/>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5505"/>
    <w:rsid w:val="00F15BFF"/>
    <w:rsid w:val="00F213A0"/>
    <w:rsid w:val="00F21D54"/>
    <w:rsid w:val="00F23113"/>
    <w:rsid w:val="00F23255"/>
    <w:rsid w:val="00F23759"/>
    <w:rsid w:val="00F24644"/>
    <w:rsid w:val="00F26F33"/>
    <w:rsid w:val="00F300A8"/>
    <w:rsid w:val="00F30400"/>
    <w:rsid w:val="00F3079E"/>
    <w:rsid w:val="00F3399B"/>
    <w:rsid w:val="00F346ED"/>
    <w:rsid w:val="00F34945"/>
    <w:rsid w:val="00F34E1E"/>
    <w:rsid w:val="00F3570C"/>
    <w:rsid w:val="00F368FF"/>
    <w:rsid w:val="00F37068"/>
    <w:rsid w:val="00F37F3F"/>
    <w:rsid w:val="00F40992"/>
    <w:rsid w:val="00F41518"/>
    <w:rsid w:val="00F41596"/>
    <w:rsid w:val="00F41D8B"/>
    <w:rsid w:val="00F42121"/>
    <w:rsid w:val="00F424B3"/>
    <w:rsid w:val="00F428B1"/>
    <w:rsid w:val="00F428B4"/>
    <w:rsid w:val="00F4345D"/>
    <w:rsid w:val="00F4387B"/>
    <w:rsid w:val="00F45B91"/>
    <w:rsid w:val="00F46639"/>
    <w:rsid w:val="00F50183"/>
    <w:rsid w:val="00F50D92"/>
    <w:rsid w:val="00F51765"/>
    <w:rsid w:val="00F51A51"/>
    <w:rsid w:val="00F51CB4"/>
    <w:rsid w:val="00F52324"/>
    <w:rsid w:val="00F52C9D"/>
    <w:rsid w:val="00F533F1"/>
    <w:rsid w:val="00F55679"/>
    <w:rsid w:val="00F561E3"/>
    <w:rsid w:val="00F565E6"/>
    <w:rsid w:val="00F56AFA"/>
    <w:rsid w:val="00F575E2"/>
    <w:rsid w:val="00F579FF"/>
    <w:rsid w:val="00F600E0"/>
    <w:rsid w:val="00F605EC"/>
    <w:rsid w:val="00F60F60"/>
    <w:rsid w:val="00F612CE"/>
    <w:rsid w:val="00F624A7"/>
    <w:rsid w:val="00F62AB6"/>
    <w:rsid w:val="00F65A3C"/>
    <w:rsid w:val="00F67D8B"/>
    <w:rsid w:val="00F70961"/>
    <w:rsid w:val="00F71397"/>
    <w:rsid w:val="00F72389"/>
    <w:rsid w:val="00F72516"/>
    <w:rsid w:val="00F735E5"/>
    <w:rsid w:val="00F73E80"/>
    <w:rsid w:val="00F7469C"/>
    <w:rsid w:val="00F7492E"/>
    <w:rsid w:val="00F74945"/>
    <w:rsid w:val="00F749A3"/>
    <w:rsid w:val="00F74AE8"/>
    <w:rsid w:val="00F76C11"/>
    <w:rsid w:val="00F77021"/>
    <w:rsid w:val="00F77E61"/>
    <w:rsid w:val="00F815AC"/>
    <w:rsid w:val="00F823E7"/>
    <w:rsid w:val="00F83B33"/>
    <w:rsid w:val="00F840BF"/>
    <w:rsid w:val="00F843DF"/>
    <w:rsid w:val="00F84899"/>
    <w:rsid w:val="00F85585"/>
    <w:rsid w:val="00F859F0"/>
    <w:rsid w:val="00F85CC1"/>
    <w:rsid w:val="00F86B5D"/>
    <w:rsid w:val="00F87C13"/>
    <w:rsid w:val="00F87E29"/>
    <w:rsid w:val="00F87F18"/>
    <w:rsid w:val="00F87F68"/>
    <w:rsid w:val="00F90C4D"/>
    <w:rsid w:val="00F9167D"/>
    <w:rsid w:val="00F91CB2"/>
    <w:rsid w:val="00F9289C"/>
    <w:rsid w:val="00F93DBC"/>
    <w:rsid w:val="00F94644"/>
    <w:rsid w:val="00F9537B"/>
    <w:rsid w:val="00F95B99"/>
    <w:rsid w:val="00F963FC"/>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3C06"/>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EF4"/>
    <w:rsid w:val="00FC431B"/>
    <w:rsid w:val="00FC434C"/>
    <w:rsid w:val="00FC4FDF"/>
    <w:rsid w:val="00FC5CF4"/>
    <w:rsid w:val="00FC6A39"/>
    <w:rsid w:val="00FC79AB"/>
    <w:rsid w:val="00FC7DAC"/>
    <w:rsid w:val="00FD04AE"/>
    <w:rsid w:val="00FD1890"/>
    <w:rsid w:val="00FD1994"/>
    <w:rsid w:val="00FD3508"/>
    <w:rsid w:val="00FD393C"/>
    <w:rsid w:val="00FD43BB"/>
    <w:rsid w:val="00FD4AF3"/>
    <w:rsid w:val="00FD798D"/>
    <w:rsid w:val="00FE141E"/>
    <w:rsid w:val="00FE144E"/>
    <w:rsid w:val="00FE2560"/>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4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74</TotalTime>
  <Pages>10</Pages>
  <Words>3609</Words>
  <Characters>19855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93</cp:revision>
  <cp:lastPrinted>2020-01-30T15:05:00Z</cp:lastPrinted>
  <dcterms:created xsi:type="dcterms:W3CDTF">2020-12-08T21:37:00Z</dcterms:created>
  <dcterms:modified xsi:type="dcterms:W3CDTF">2021-01-12T17:05:00Z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