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8F480A" w:rsidRDefault="004A303C" w:rsidP="00E928A5">
      <w:pPr>
        <w:jc w:val="right"/>
        <w:outlineLvl w:val="0"/>
        <w:rPr>
          <w:rFonts w:ascii="Arial" w:hAnsi="Arial" w:cs="Arial"/>
          <w:b/>
          <w:color w:val="000000" w:themeColor="text1"/>
          <w:sz w:val="16"/>
          <w:szCs w:val="16"/>
          <w:lang w:eastAsia="es-ES"/>
        </w:rPr>
      </w:pPr>
      <w:bookmarkStart w:id="0" w:name="_Hlk28946138"/>
      <w:bookmarkStart w:id="1" w:name="_Hlk29548183"/>
      <w:r w:rsidRPr="00211099">
        <w:rPr>
          <w:rFonts w:ascii="Arial" w:hAnsi="Arial" w:cs="Arial"/>
          <w:b/>
          <w:color w:val="000000" w:themeColor="text1"/>
          <w:sz w:val="16"/>
          <w:szCs w:val="16"/>
          <w:lang w:eastAsia="es-ES"/>
        </w:rPr>
        <w:tab/>
      </w:r>
      <w:r w:rsidRPr="008F480A">
        <w:rPr>
          <w:rFonts w:ascii="Arial" w:hAnsi="Arial" w:cs="Arial"/>
          <w:b/>
          <w:color w:val="000000" w:themeColor="text1"/>
          <w:sz w:val="16"/>
          <w:szCs w:val="16"/>
          <w:lang w:eastAsia="es-ES"/>
        </w:rPr>
        <w:t>CCE-DES-FM-17</w:t>
      </w:r>
    </w:p>
    <w:p w14:paraId="312F24C0" w14:textId="77777777" w:rsidR="004A303C" w:rsidRPr="00211099" w:rsidRDefault="004A303C" w:rsidP="00E928A5">
      <w:pPr>
        <w:jc w:val="both"/>
        <w:rPr>
          <w:rFonts w:ascii="Arial" w:eastAsia="Calibri" w:hAnsi="Arial" w:cs="Arial"/>
          <w:b/>
          <w:color w:val="000000" w:themeColor="text1"/>
          <w:sz w:val="20"/>
          <w:szCs w:val="20"/>
        </w:rPr>
      </w:pPr>
    </w:p>
    <w:p w14:paraId="1181EE96" w14:textId="5A2A7DF7" w:rsidR="00D9022C" w:rsidRPr="00211099" w:rsidRDefault="00D9022C" w:rsidP="00E928A5">
      <w:pPr>
        <w:jc w:val="both"/>
        <w:rPr>
          <w:rFonts w:ascii="Arial" w:eastAsia="Calibri" w:hAnsi="Arial" w:cs="Arial"/>
          <w:b/>
          <w:color w:val="000000" w:themeColor="text1"/>
          <w:sz w:val="20"/>
          <w:szCs w:val="20"/>
        </w:rPr>
      </w:pPr>
      <w:r w:rsidRPr="00211099">
        <w:rPr>
          <w:rFonts w:ascii="Arial" w:eastAsia="Calibri" w:hAnsi="Arial" w:cs="Arial"/>
          <w:b/>
          <w:color w:val="000000" w:themeColor="text1"/>
          <w:sz w:val="20"/>
          <w:szCs w:val="20"/>
        </w:rPr>
        <w:t xml:space="preserve">DISTRIBUCIÓN DE RIESGOS – </w:t>
      </w:r>
      <w:r w:rsidR="00DC29BD" w:rsidRPr="00211099">
        <w:rPr>
          <w:rFonts w:ascii="Arial" w:eastAsia="Calibri" w:hAnsi="Arial" w:cs="Arial"/>
          <w:b/>
          <w:color w:val="000000" w:themeColor="text1"/>
          <w:sz w:val="20"/>
          <w:szCs w:val="20"/>
        </w:rPr>
        <w:t xml:space="preserve">Deber legal </w:t>
      </w:r>
    </w:p>
    <w:p w14:paraId="6FD0F6B3" w14:textId="77777777" w:rsidR="00D9022C" w:rsidRPr="00211099" w:rsidRDefault="00D9022C" w:rsidP="00E928A5">
      <w:pPr>
        <w:jc w:val="both"/>
        <w:rPr>
          <w:rFonts w:ascii="Arial" w:eastAsia="Calibri" w:hAnsi="Arial" w:cs="Arial"/>
          <w:color w:val="000000" w:themeColor="text1"/>
          <w:sz w:val="22"/>
        </w:rPr>
      </w:pPr>
    </w:p>
    <w:p w14:paraId="7D82D470" w14:textId="2FFDE0E6" w:rsidR="00B942CA" w:rsidRPr="00211099" w:rsidRDefault="00D9022C" w:rsidP="00E928A5">
      <w:pPr>
        <w:jc w:val="both"/>
        <w:rPr>
          <w:rFonts w:ascii="Arial" w:hAnsi="Arial" w:cs="Arial"/>
          <w:color w:val="000000" w:themeColor="text1"/>
          <w:sz w:val="20"/>
          <w:szCs w:val="20"/>
        </w:rPr>
      </w:pPr>
      <w:r w:rsidRPr="00211099">
        <w:rPr>
          <w:rFonts w:ascii="Arial" w:hAnsi="Arial" w:cs="Arial"/>
          <w:color w:val="000000" w:themeColor="text1"/>
          <w:sz w:val="20"/>
          <w:szCs w:val="20"/>
        </w:rPr>
        <w:t xml:space="preserve">En materia de contratación pública, la regulación normativa ha dispuesto el deber de las entidades públicas de incluir en los pliegos de condiciones o sus equivalentes la estimación, tipificación y asignación de riesgos previsibles </w:t>
      </w:r>
      <w:r w:rsidR="00E950C1" w:rsidRPr="00211099">
        <w:rPr>
          <w:rFonts w:ascii="Arial" w:hAnsi="Arial" w:cs="Arial"/>
          <w:color w:val="000000" w:themeColor="text1"/>
          <w:sz w:val="20"/>
          <w:szCs w:val="20"/>
        </w:rPr>
        <w:t>involucrados en la contratación.</w:t>
      </w:r>
      <w:r w:rsidRPr="00211099">
        <w:rPr>
          <w:rFonts w:ascii="Arial" w:hAnsi="Arial" w:cs="Arial"/>
          <w:color w:val="000000" w:themeColor="text1"/>
          <w:sz w:val="20"/>
          <w:szCs w:val="20"/>
        </w:rPr>
        <w:t xml:space="preserve"> </w:t>
      </w:r>
      <w:r w:rsidR="00E950C1" w:rsidRPr="00211099">
        <w:rPr>
          <w:rFonts w:ascii="Arial" w:hAnsi="Arial" w:cs="Arial"/>
          <w:color w:val="000000" w:themeColor="text1"/>
          <w:sz w:val="20"/>
          <w:szCs w:val="20"/>
        </w:rPr>
        <w:t>Esto con el</w:t>
      </w:r>
      <w:r w:rsidRPr="00211099">
        <w:rPr>
          <w:rFonts w:ascii="Arial" w:hAnsi="Arial" w:cs="Arial"/>
          <w:color w:val="000000" w:themeColor="text1"/>
          <w:sz w:val="20"/>
          <w:szCs w:val="20"/>
        </w:rPr>
        <w:t xml:space="preserve"> fin de administrarlos, controlarlos, gestionarlos, mitigarlos y efectuar una distribución proporcional entre las partes, «actividad que debe sujetarse a un criterio de justicia y equidad, al tiempo que corresponde ejercerse con apego a los principios y reglas constitucionales y legales que orientan la actividad contractual del Estado».</w:t>
      </w:r>
    </w:p>
    <w:p w14:paraId="4CC3CD34" w14:textId="77777777" w:rsidR="00D9022C" w:rsidRPr="00211099" w:rsidRDefault="00D9022C" w:rsidP="00E928A5">
      <w:pPr>
        <w:jc w:val="both"/>
        <w:rPr>
          <w:rFonts w:ascii="Arial" w:hAnsi="Arial" w:cs="Arial"/>
          <w:color w:val="000000" w:themeColor="text1"/>
          <w:sz w:val="20"/>
          <w:szCs w:val="20"/>
        </w:rPr>
      </w:pPr>
    </w:p>
    <w:p w14:paraId="26AEA6D6" w14:textId="16E86076" w:rsidR="00D9022C" w:rsidRPr="00211099" w:rsidRDefault="00D9022C" w:rsidP="00E928A5">
      <w:pPr>
        <w:jc w:val="both"/>
        <w:rPr>
          <w:rFonts w:ascii="Arial" w:hAnsi="Arial" w:cs="Arial"/>
          <w:b/>
          <w:color w:val="000000" w:themeColor="text1"/>
          <w:sz w:val="20"/>
          <w:szCs w:val="20"/>
        </w:rPr>
      </w:pPr>
      <w:r w:rsidRPr="00211099">
        <w:rPr>
          <w:rFonts w:ascii="Arial" w:hAnsi="Arial" w:cs="Arial"/>
          <w:b/>
          <w:color w:val="000000" w:themeColor="text1"/>
          <w:sz w:val="20"/>
          <w:szCs w:val="20"/>
        </w:rPr>
        <w:t xml:space="preserve">AUDIENCIA DE ASIGNACIÓN DE RIESGOS – Marco </w:t>
      </w:r>
      <w:r w:rsidR="00AE0165" w:rsidRPr="00211099">
        <w:rPr>
          <w:rFonts w:ascii="Arial" w:hAnsi="Arial" w:cs="Arial"/>
          <w:b/>
          <w:color w:val="000000" w:themeColor="text1"/>
          <w:sz w:val="20"/>
          <w:szCs w:val="20"/>
        </w:rPr>
        <w:t>normativo</w:t>
      </w:r>
      <w:r w:rsidR="003D1F97" w:rsidRPr="00211099">
        <w:rPr>
          <w:rFonts w:ascii="Arial" w:hAnsi="Arial" w:cs="Arial"/>
          <w:b/>
          <w:color w:val="000000" w:themeColor="text1"/>
          <w:sz w:val="20"/>
          <w:szCs w:val="20"/>
        </w:rPr>
        <w:t xml:space="preserve"> </w:t>
      </w:r>
      <w:r w:rsidR="00B922AB" w:rsidRPr="00211099">
        <w:rPr>
          <w:rFonts w:ascii="Arial" w:hAnsi="Arial" w:cs="Arial"/>
          <w:b/>
          <w:color w:val="000000" w:themeColor="text1"/>
          <w:sz w:val="20"/>
          <w:szCs w:val="20"/>
        </w:rPr>
        <w:t xml:space="preserve">– Licitación pública </w:t>
      </w:r>
    </w:p>
    <w:p w14:paraId="53BB1FD2" w14:textId="77777777" w:rsidR="00D9022C" w:rsidRPr="00211099" w:rsidRDefault="00D9022C" w:rsidP="00E928A5">
      <w:pPr>
        <w:jc w:val="both"/>
        <w:rPr>
          <w:rFonts w:ascii="Arial" w:hAnsi="Arial" w:cs="Arial"/>
          <w:b/>
          <w:color w:val="000000" w:themeColor="text1"/>
          <w:sz w:val="20"/>
          <w:szCs w:val="20"/>
        </w:rPr>
      </w:pPr>
    </w:p>
    <w:p w14:paraId="4C0CB996" w14:textId="7609E072" w:rsidR="00D9022C" w:rsidRPr="00211099" w:rsidRDefault="00D9022C" w:rsidP="008F480A">
      <w:pPr>
        <w:spacing w:after="120"/>
        <w:jc w:val="both"/>
        <w:rPr>
          <w:rFonts w:ascii="Arial" w:hAnsi="Arial" w:cs="Arial"/>
          <w:color w:val="000000" w:themeColor="text1"/>
          <w:sz w:val="20"/>
          <w:szCs w:val="20"/>
        </w:rPr>
      </w:pPr>
      <w:r w:rsidRPr="00211099">
        <w:rPr>
          <w:rFonts w:ascii="Arial" w:hAnsi="Arial" w:cs="Arial"/>
          <w:color w:val="000000" w:themeColor="text1"/>
          <w:sz w:val="20"/>
          <w:szCs w:val="20"/>
        </w:rPr>
        <w:t xml:space="preserve">Para el caso de la licitación pública, el artículo 4 de la Ley 1150 de </w:t>
      </w:r>
      <w:r w:rsidR="003D0539" w:rsidRPr="00211099">
        <w:rPr>
          <w:rFonts w:ascii="Arial" w:hAnsi="Arial" w:cs="Arial"/>
          <w:color w:val="000000" w:themeColor="text1"/>
          <w:sz w:val="20"/>
          <w:szCs w:val="20"/>
        </w:rPr>
        <w:t>20</w:t>
      </w:r>
      <w:r w:rsidR="003D0539">
        <w:rPr>
          <w:rFonts w:ascii="Arial" w:hAnsi="Arial" w:cs="Arial"/>
          <w:color w:val="000000" w:themeColor="text1"/>
          <w:sz w:val="20"/>
          <w:szCs w:val="20"/>
        </w:rPr>
        <w:t>07</w:t>
      </w:r>
      <w:r w:rsidR="003D0539" w:rsidRPr="00211099">
        <w:rPr>
          <w:rFonts w:ascii="Arial" w:hAnsi="Arial" w:cs="Arial"/>
          <w:color w:val="000000" w:themeColor="text1"/>
          <w:sz w:val="20"/>
          <w:szCs w:val="20"/>
        </w:rPr>
        <w:t xml:space="preserve"> </w:t>
      </w:r>
      <w:r w:rsidRPr="00211099">
        <w:rPr>
          <w:rFonts w:ascii="Arial" w:hAnsi="Arial" w:cs="Arial"/>
          <w:color w:val="000000" w:themeColor="text1"/>
          <w:sz w:val="20"/>
          <w:szCs w:val="20"/>
        </w:rPr>
        <w:t>dispuso que las entidades estatales deberán señalar el momento en el que los oferentes y la entidad revisarán la asignación de riesgos</w:t>
      </w:r>
      <w:r w:rsidR="003919C8">
        <w:rPr>
          <w:rFonts w:ascii="Arial" w:hAnsi="Arial" w:cs="Arial"/>
          <w:color w:val="000000" w:themeColor="text1"/>
          <w:sz w:val="20"/>
          <w:szCs w:val="20"/>
        </w:rPr>
        <w:t>,</w:t>
      </w:r>
      <w:r w:rsidRPr="00211099">
        <w:rPr>
          <w:rFonts w:ascii="Arial" w:hAnsi="Arial" w:cs="Arial"/>
          <w:color w:val="000000" w:themeColor="text1"/>
          <w:sz w:val="20"/>
          <w:szCs w:val="20"/>
        </w:rPr>
        <w:t xml:space="preserve"> con el fin de establecer su distribución definitiva, lo cual se efectuará con anterioridad a la presentación de las ofertas. En igual sentido, el art</w:t>
      </w:r>
      <w:r w:rsidR="00911EB7">
        <w:rPr>
          <w:rFonts w:ascii="Arial" w:hAnsi="Arial" w:cs="Arial"/>
          <w:color w:val="000000" w:themeColor="text1"/>
          <w:sz w:val="20"/>
          <w:szCs w:val="20"/>
        </w:rPr>
        <w:t>í</w:t>
      </w:r>
      <w:r w:rsidRPr="00211099">
        <w:rPr>
          <w:rFonts w:ascii="Arial" w:hAnsi="Arial" w:cs="Arial"/>
          <w:color w:val="000000" w:themeColor="text1"/>
          <w:sz w:val="20"/>
          <w:szCs w:val="20"/>
        </w:rPr>
        <w:t>culo 30 numeral 4 de la Ley 80 de 1993, modificado por el artículo 220 del Decreto 019 de 2012, establece la necesidad de que se revise en audiencia la asignación de riesgos previsibles, con el fin de establecer su estimación, tipificación y asignación definitiva.</w:t>
      </w:r>
    </w:p>
    <w:p w14:paraId="1F389938" w14:textId="38888598" w:rsidR="00D9022C" w:rsidRPr="00211099" w:rsidRDefault="00D9022C" w:rsidP="008F480A">
      <w:pPr>
        <w:jc w:val="both"/>
        <w:rPr>
          <w:rFonts w:ascii="Arial" w:hAnsi="Arial" w:cs="Arial"/>
          <w:color w:val="000000" w:themeColor="text1"/>
          <w:sz w:val="20"/>
          <w:szCs w:val="20"/>
        </w:rPr>
      </w:pPr>
      <w:r w:rsidRPr="00211099">
        <w:rPr>
          <w:rFonts w:ascii="Arial" w:hAnsi="Arial" w:cs="Arial"/>
          <w:color w:val="000000" w:themeColor="text1"/>
          <w:sz w:val="20"/>
          <w:szCs w:val="20"/>
        </w:rPr>
        <w:t xml:space="preserve">El artículo 2.2.1.2.1.1.2. del Decreto 1082 de 2015 determinó que en la etapa de selección de la licitación hay dos audiencias públicas obligatorias: i) la de asignación de riesgos y </w:t>
      </w:r>
      <w:proofErr w:type="spellStart"/>
      <w:r w:rsidRPr="00211099">
        <w:rPr>
          <w:rFonts w:ascii="Arial" w:hAnsi="Arial" w:cs="Arial"/>
          <w:color w:val="000000" w:themeColor="text1"/>
          <w:sz w:val="20"/>
          <w:szCs w:val="20"/>
        </w:rPr>
        <w:t>ii</w:t>
      </w:r>
      <w:proofErr w:type="spellEnd"/>
      <w:r w:rsidRPr="00211099">
        <w:rPr>
          <w:rFonts w:ascii="Arial" w:hAnsi="Arial" w:cs="Arial"/>
          <w:color w:val="000000" w:themeColor="text1"/>
          <w:sz w:val="20"/>
          <w:szCs w:val="20"/>
        </w:rPr>
        <w:t>) la de adjudicación</w:t>
      </w:r>
      <w:r w:rsidR="00B537EF">
        <w:rPr>
          <w:rFonts w:ascii="Arial" w:hAnsi="Arial" w:cs="Arial"/>
          <w:color w:val="000000" w:themeColor="text1"/>
          <w:sz w:val="20"/>
          <w:szCs w:val="20"/>
        </w:rPr>
        <w:t>. E</w:t>
      </w:r>
      <w:r w:rsidRPr="00211099">
        <w:rPr>
          <w:rFonts w:ascii="Arial" w:hAnsi="Arial" w:cs="Arial"/>
          <w:color w:val="000000" w:themeColor="text1"/>
          <w:sz w:val="20"/>
          <w:szCs w:val="20"/>
        </w:rPr>
        <w:t>n relación con la primera, indicó que la entidad estatal debe presentar el análisis de riesgos efectuado y hacer la asignación de riesgos definitiva.</w:t>
      </w:r>
    </w:p>
    <w:p w14:paraId="1543279A" w14:textId="77777777" w:rsidR="00D9022C" w:rsidRPr="00211099" w:rsidRDefault="00D9022C" w:rsidP="008F480A">
      <w:pPr>
        <w:jc w:val="both"/>
        <w:rPr>
          <w:rFonts w:ascii="Arial" w:hAnsi="Arial" w:cs="Arial"/>
          <w:b/>
          <w:color w:val="000000" w:themeColor="text1"/>
          <w:sz w:val="20"/>
          <w:szCs w:val="20"/>
        </w:rPr>
      </w:pPr>
    </w:p>
    <w:p w14:paraId="398A1E1D" w14:textId="2AF42EC9" w:rsidR="00AE0165" w:rsidRPr="00211099" w:rsidRDefault="00AE0165" w:rsidP="008F480A">
      <w:pPr>
        <w:jc w:val="both"/>
        <w:rPr>
          <w:rFonts w:ascii="Arial" w:hAnsi="Arial" w:cs="Arial"/>
          <w:b/>
          <w:color w:val="000000" w:themeColor="text1"/>
          <w:sz w:val="20"/>
          <w:szCs w:val="20"/>
        </w:rPr>
      </w:pPr>
      <w:r w:rsidRPr="00211099">
        <w:rPr>
          <w:rFonts w:ascii="Arial" w:hAnsi="Arial" w:cs="Arial"/>
          <w:b/>
          <w:color w:val="000000" w:themeColor="text1"/>
          <w:sz w:val="20"/>
          <w:szCs w:val="20"/>
        </w:rPr>
        <w:t>AUDIENCIA DE ASIGNACIÓN DE RIESGOS –</w:t>
      </w:r>
      <w:r w:rsidR="00E70D56" w:rsidRPr="00211099">
        <w:rPr>
          <w:rFonts w:ascii="Arial" w:hAnsi="Arial" w:cs="Arial"/>
          <w:b/>
          <w:color w:val="000000" w:themeColor="text1"/>
          <w:sz w:val="20"/>
          <w:szCs w:val="20"/>
        </w:rPr>
        <w:t xml:space="preserve"> Documento CONPES</w:t>
      </w:r>
    </w:p>
    <w:p w14:paraId="40A3090B" w14:textId="77777777" w:rsidR="00DC29BD" w:rsidRPr="00211099" w:rsidRDefault="00DC29BD" w:rsidP="008F480A">
      <w:pPr>
        <w:jc w:val="both"/>
        <w:rPr>
          <w:rFonts w:ascii="Arial" w:hAnsi="Arial" w:cs="Arial"/>
          <w:b/>
          <w:color w:val="000000" w:themeColor="text1"/>
          <w:sz w:val="20"/>
          <w:szCs w:val="20"/>
        </w:rPr>
      </w:pPr>
    </w:p>
    <w:p w14:paraId="46C24EBE" w14:textId="77777777" w:rsidR="00E70D56" w:rsidRPr="00211099" w:rsidRDefault="00E70D56" w:rsidP="008F480A">
      <w:pPr>
        <w:jc w:val="both"/>
        <w:rPr>
          <w:rFonts w:ascii="Arial" w:hAnsi="Arial" w:cs="Arial"/>
          <w:color w:val="000000" w:themeColor="text1"/>
          <w:sz w:val="20"/>
          <w:szCs w:val="20"/>
        </w:rPr>
      </w:pPr>
      <w:r w:rsidRPr="00211099">
        <w:rPr>
          <w:rFonts w:ascii="Arial" w:hAnsi="Arial" w:cs="Arial"/>
          <w:color w:val="000000" w:themeColor="text1"/>
          <w:sz w:val="20"/>
          <w:szCs w:val="20"/>
        </w:rPr>
        <w:t xml:space="preserve">El artículo 4 de la Ley 1150 de 2007 estableció, en el caso de la licitación pública, un espacio de diálogo para analizar y elaborar la propuesta definitiva de tipificación, estimación y asignación de riesgos previsibles, por medio de la realización de una audiencia especial, que deberá tener lugar con posterioridad al acto que ordena la apertura del proceso y de manera previa al inicio del plazo para la presentación de las respectivas ofertas. </w:t>
      </w:r>
    </w:p>
    <w:p w14:paraId="701C171E" w14:textId="77777777" w:rsidR="00DC29BD" w:rsidRPr="00211099" w:rsidRDefault="00DC29BD" w:rsidP="00E928A5">
      <w:pPr>
        <w:jc w:val="both"/>
        <w:rPr>
          <w:rFonts w:ascii="Arial" w:hAnsi="Arial" w:cs="Arial"/>
          <w:color w:val="000000" w:themeColor="text1"/>
          <w:sz w:val="20"/>
          <w:szCs w:val="20"/>
        </w:rPr>
      </w:pPr>
    </w:p>
    <w:p w14:paraId="00AFD4B6" w14:textId="3C47A7C1" w:rsidR="00DC29BD" w:rsidRPr="00211099" w:rsidRDefault="00DC29BD" w:rsidP="00E928A5">
      <w:pPr>
        <w:jc w:val="both"/>
        <w:rPr>
          <w:rFonts w:ascii="Arial" w:hAnsi="Arial" w:cs="Arial"/>
          <w:b/>
          <w:color w:val="000000" w:themeColor="text1"/>
          <w:sz w:val="20"/>
          <w:szCs w:val="20"/>
        </w:rPr>
      </w:pPr>
      <w:r w:rsidRPr="00211099">
        <w:rPr>
          <w:rFonts w:ascii="Arial" w:hAnsi="Arial" w:cs="Arial"/>
          <w:b/>
          <w:color w:val="000000" w:themeColor="text1"/>
          <w:sz w:val="20"/>
          <w:szCs w:val="20"/>
        </w:rPr>
        <w:t>AUDIEN</w:t>
      </w:r>
      <w:r w:rsidR="003D1F97" w:rsidRPr="00211099">
        <w:rPr>
          <w:rFonts w:ascii="Arial" w:hAnsi="Arial" w:cs="Arial"/>
          <w:b/>
          <w:color w:val="000000" w:themeColor="text1"/>
          <w:sz w:val="20"/>
          <w:szCs w:val="20"/>
        </w:rPr>
        <w:t>CIA DE ASIGNACIÓN DE RIESGOS – P</w:t>
      </w:r>
      <w:r w:rsidR="00E70D56" w:rsidRPr="00211099">
        <w:rPr>
          <w:rFonts w:ascii="Arial" w:hAnsi="Arial" w:cs="Arial"/>
          <w:b/>
          <w:color w:val="000000" w:themeColor="text1"/>
          <w:sz w:val="20"/>
          <w:szCs w:val="20"/>
        </w:rPr>
        <w:t>articipación</w:t>
      </w:r>
      <w:r w:rsidR="00B922AB" w:rsidRPr="00211099">
        <w:rPr>
          <w:rFonts w:ascii="Arial" w:hAnsi="Arial" w:cs="Arial"/>
          <w:b/>
          <w:color w:val="000000" w:themeColor="text1"/>
          <w:sz w:val="20"/>
          <w:szCs w:val="20"/>
        </w:rPr>
        <w:t xml:space="preserve"> </w:t>
      </w:r>
      <w:r w:rsidR="00E70D56" w:rsidRPr="00211099">
        <w:rPr>
          <w:rFonts w:ascii="Arial" w:hAnsi="Arial" w:cs="Arial"/>
          <w:b/>
          <w:color w:val="000000" w:themeColor="text1"/>
          <w:sz w:val="20"/>
          <w:szCs w:val="20"/>
        </w:rPr>
        <w:t>del proponente</w:t>
      </w:r>
    </w:p>
    <w:p w14:paraId="499ECDAD" w14:textId="77777777" w:rsidR="00DC29BD" w:rsidRPr="00211099" w:rsidRDefault="00DC29BD" w:rsidP="00E928A5">
      <w:pPr>
        <w:jc w:val="both"/>
        <w:rPr>
          <w:rFonts w:ascii="Arial" w:hAnsi="Arial" w:cs="Arial"/>
          <w:b/>
          <w:color w:val="000000" w:themeColor="text1"/>
          <w:sz w:val="20"/>
          <w:szCs w:val="20"/>
        </w:rPr>
      </w:pPr>
    </w:p>
    <w:p w14:paraId="28F2C316" w14:textId="526DFA53" w:rsidR="00E70D56" w:rsidRPr="00211099" w:rsidRDefault="00E950C1" w:rsidP="008F480A">
      <w:pPr>
        <w:spacing w:after="120"/>
        <w:jc w:val="both"/>
        <w:rPr>
          <w:rFonts w:ascii="Arial" w:hAnsi="Arial" w:cs="Arial"/>
          <w:color w:val="000000" w:themeColor="text1"/>
          <w:sz w:val="20"/>
          <w:szCs w:val="20"/>
        </w:rPr>
      </w:pPr>
      <w:r w:rsidRPr="00211099">
        <w:rPr>
          <w:rFonts w:ascii="Arial" w:hAnsi="Arial" w:cs="Arial"/>
          <w:color w:val="000000" w:themeColor="text1"/>
          <w:sz w:val="20"/>
          <w:szCs w:val="20"/>
        </w:rPr>
        <w:t>La participación en la audiencia de asignación de riesgos en los procesos de licitación pública es un derecho del futuro proponente</w:t>
      </w:r>
      <w:r w:rsidR="00263733">
        <w:rPr>
          <w:rFonts w:ascii="Arial" w:hAnsi="Arial" w:cs="Arial"/>
          <w:color w:val="000000" w:themeColor="text1"/>
          <w:sz w:val="20"/>
          <w:szCs w:val="20"/>
        </w:rPr>
        <w:t>,</w:t>
      </w:r>
      <w:r w:rsidRPr="00211099">
        <w:rPr>
          <w:rFonts w:ascii="Arial" w:hAnsi="Arial" w:cs="Arial"/>
          <w:color w:val="000000" w:themeColor="text1"/>
          <w:sz w:val="20"/>
          <w:szCs w:val="20"/>
        </w:rPr>
        <w:t xml:space="preserve"> que puede o no ejercer.  El efecto práctico de su inasistencia no es otro que la aceptación de los riesgos en la forma que lo haya establecido la entidad pública contratante. </w:t>
      </w:r>
    </w:p>
    <w:p w14:paraId="4B815C7A" w14:textId="4A839E78" w:rsidR="00E950C1" w:rsidRPr="00211099" w:rsidRDefault="00E950C1" w:rsidP="008F480A">
      <w:pPr>
        <w:jc w:val="both"/>
        <w:rPr>
          <w:rFonts w:ascii="Arial" w:hAnsi="Arial" w:cs="Arial"/>
          <w:color w:val="000000" w:themeColor="text1"/>
          <w:sz w:val="20"/>
          <w:szCs w:val="20"/>
        </w:rPr>
      </w:pPr>
      <w:r w:rsidRPr="00211099">
        <w:rPr>
          <w:rFonts w:ascii="Arial" w:hAnsi="Arial" w:cs="Arial"/>
          <w:color w:val="000000" w:themeColor="text1"/>
          <w:sz w:val="20"/>
          <w:szCs w:val="20"/>
        </w:rPr>
        <w:t xml:space="preserve">Lo señalado significa </w:t>
      </w:r>
      <w:r w:rsidR="00E94885" w:rsidRPr="00211099">
        <w:rPr>
          <w:rFonts w:ascii="Arial" w:hAnsi="Arial" w:cs="Arial"/>
          <w:color w:val="000000" w:themeColor="text1"/>
          <w:sz w:val="20"/>
          <w:szCs w:val="20"/>
        </w:rPr>
        <w:t>que,</w:t>
      </w:r>
      <w:r w:rsidRPr="00211099">
        <w:rPr>
          <w:rFonts w:ascii="Arial" w:hAnsi="Arial" w:cs="Arial"/>
          <w:color w:val="000000" w:themeColor="text1"/>
          <w:sz w:val="20"/>
          <w:szCs w:val="20"/>
        </w:rPr>
        <w:t xml:space="preserve"> si el futuro proponente no acude a la audiencia de asignación de riesgos y tampoco efectúa las observaciones respectivas durante la etapa establecida en el pliego de condiciones para tal efecto, se produce una aceptación de la forma en que los riesgos han sido estimados, tipificados y distribuidos a las partes, lo cual tendrá repercusión en todas las etapas del proceso de contratación. </w:t>
      </w:r>
    </w:p>
    <w:p w14:paraId="3CC597C0" w14:textId="77777777" w:rsidR="00E950C1" w:rsidRPr="00211099" w:rsidRDefault="00E950C1" w:rsidP="008F480A">
      <w:pPr>
        <w:jc w:val="both"/>
        <w:rPr>
          <w:rFonts w:ascii="Arial" w:hAnsi="Arial" w:cs="Arial"/>
          <w:color w:val="000000" w:themeColor="text1"/>
          <w:sz w:val="20"/>
          <w:szCs w:val="20"/>
        </w:rPr>
      </w:pPr>
    </w:p>
    <w:p w14:paraId="7E03792A" w14:textId="1CD0BBFF" w:rsidR="00E70D56" w:rsidRPr="00211099" w:rsidRDefault="00E70D56" w:rsidP="008F480A">
      <w:pPr>
        <w:jc w:val="both"/>
        <w:rPr>
          <w:rFonts w:ascii="Arial" w:hAnsi="Arial" w:cs="Arial"/>
          <w:b/>
          <w:color w:val="000000" w:themeColor="text1"/>
          <w:sz w:val="20"/>
          <w:szCs w:val="20"/>
        </w:rPr>
      </w:pPr>
      <w:r w:rsidRPr="00211099">
        <w:rPr>
          <w:rFonts w:ascii="Arial" w:hAnsi="Arial" w:cs="Arial"/>
          <w:b/>
          <w:color w:val="000000" w:themeColor="text1"/>
          <w:sz w:val="20"/>
          <w:szCs w:val="20"/>
        </w:rPr>
        <w:t>REQUISITOS HABILITANTES – Selección objetiva</w:t>
      </w:r>
      <w:r w:rsidR="00B47359">
        <w:rPr>
          <w:rFonts w:ascii="Arial" w:hAnsi="Arial" w:cs="Arial"/>
          <w:b/>
          <w:color w:val="000000" w:themeColor="text1"/>
          <w:sz w:val="20"/>
          <w:szCs w:val="20"/>
        </w:rPr>
        <w:t xml:space="preserve"> </w:t>
      </w:r>
      <w:r w:rsidRPr="00211099">
        <w:rPr>
          <w:rFonts w:ascii="Arial" w:hAnsi="Arial" w:cs="Arial"/>
          <w:b/>
          <w:color w:val="000000" w:themeColor="text1"/>
          <w:sz w:val="20"/>
          <w:szCs w:val="20"/>
        </w:rPr>
        <w:t>– Ley 1150</w:t>
      </w:r>
      <w:r w:rsidR="00B47359">
        <w:rPr>
          <w:rFonts w:ascii="Arial" w:hAnsi="Arial" w:cs="Arial"/>
          <w:b/>
          <w:color w:val="000000" w:themeColor="text1"/>
          <w:sz w:val="20"/>
          <w:szCs w:val="20"/>
        </w:rPr>
        <w:t xml:space="preserve"> de 2007</w:t>
      </w:r>
      <w:r w:rsidRPr="00211099">
        <w:rPr>
          <w:rFonts w:ascii="Arial" w:hAnsi="Arial" w:cs="Arial"/>
          <w:b/>
          <w:color w:val="000000" w:themeColor="text1"/>
          <w:sz w:val="20"/>
          <w:szCs w:val="20"/>
        </w:rPr>
        <w:t xml:space="preserve"> – Carácter enunciativo</w:t>
      </w:r>
    </w:p>
    <w:p w14:paraId="3C9E5A42" w14:textId="77777777" w:rsidR="00E950C1" w:rsidRPr="00211099" w:rsidRDefault="00E950C1" w:rsidP="008F480A">
      <w:pPr>
        <w:jc w:val="both"/>
        <w:rPr>
          <w:rFonts w:ascii="Arial" w:hAnsi="Arial" w:cs="Arial"/>
          <w:b/>
          <w:color w:val="000000" w:themeColor="text1"/>
          <w:sz w:val="20"/>
          <w:szCs w:val="20"/>
        </w:rPr>
      </w:pPr>
    </w:p>
    <w:p w14:paraId="64101984" w14:textId="55811640" w:rsidR="00E70D56" w:rsidRPr="00211099" w:rsidRDefault="00E70D56" w:rsidP="008F480A">
      <w:pPr>
        <w:spacing w:after="120"/>
        <w:jc w:val="both"/>
        <w:rPr>
          <w:rFonts w:ascii="Arial" w:hAnsi="Arial" w:cs="Arial"/>
          <w:color w:val="000000" w:themeColor="text1"/>
          <w:sz w:val="20"/>
          <w:szCs w:val="20"/>
        </w:rPr>
      </w:pPr>
      <w:r w:rsidRPr="00211099">
        <w:rPr>
          <w:rFonts w:ascii="Arial" w:hAnsi="Arial" w:cs="Arial"/>
          <w:color w:val="000000" w:themeColor="text1"/>
          <w:sz w:val="20"/>
          <w:szCs w:val="20"/>
        </w:rPr>
        <w:lastRenderedPageBreak/>
        <w:t>Según el artículo 5 de la ley 1150 de 2007, se considera «objetiva la selección en la cual la escogencia se haga al ofrecimiento más favorable a la entidad y a los fines que ella busca, sin tener en consideración factores de afecto o de interés y, en general, cualquier clase de motivación subjetiva». En este contexto, para la participación en los procesos de selección las entidades públicas tendrán en cuenta, entre otros aspectos, los criterios habilitantes referidos a la capacidad jurídica, financiera, organizacional y de experiencia.</w:t>
      </w:r>
    </w:p>
    <w:p w14:paraId="43DCB148" w14:textId="633A6A26" w:rsidR="00B47359" w:rsidRDefault="00E70D56" w:rsidP="008F480A">
      <w:pPr>
        <w:jc w:val="both"/>
        <w:rPr>
          <w:rFonts w:ascii="Arial" w:hAnsi="Arial" w:cs="Arial"/>
          <w:color w:val="000000" w:themeColor="text1"/>
          <w:sz w:val="20"/>
          <w:szCs w:val="20"/>
        </w:rPr>
      </w:pPr>
      <w:r w:rsidRPr="00211099">
        <w:rPr>
          <w:rFonts w:ascii="Arial" w:hAnsi="Arial" w:cs="Arial"/>
          <w:color w:val="000000" w:themeColor="text1"/>
          <w:sz w:val="20"/>
          <w:szCs w:val="20"/>
        </w:rPr>
        <w:t xml:space="preserve">Los requisitos habilitantes mencionados en el numeral 1 del artículo 5 de la Ley 1150 de 2007 son enunciativos y no taxativos, puesto que, </w:t>
      </w:r>
      <w:r w:rsidR="00E950C1" w:rsidRPr="00211099">
        <w:rPr>
          <w:rFonts w:ascii="Arial" w:hAnsi="Arial" w:cs="Arial"/>
          <w:color w:val="000000" w:themeColor="text1"/>
          <w:sz w:val="20"/>
          <w:szCs w:val="20"/>
        </w:rPr>
        <w:t xml:space="preserve">con fundamento en el </w:t>
      </w:r>
      <w:r w:rsidRPr="00211099">
        <w:rPr>
          <w:rFonts w:ascii="Arial" w:hAnsi="Arial" w:cs="Arial"/>
          <w:color w:val="000000" w:themeColor="text1"/>
          <w:sz w:val="20"/>
          <w:szCs w:val="20"/>
        </w:rPr>
        <w:t>principio de la autonomía de la voluntad, aplicable en materia de contratación pública, las entidades estatales pueden solicitar requisitos habilitantes adicionales o diferentes a los establecidos en dicha norma.</w:t>
      </w:r>
    </w:p>
    <w:p w14:paraId="53071715" w14:textId="3663B0F9" w:rsidR="008F480A" w:rsidRDefault="008F480A" w:rsidP="008F480A">
      <w:pPr>
        <w:jc w:val="both"/>
        <w:rPr>
          <w:rFonts w:ascii="Arial" w:eastAsia="Calibri" w:hAnsi="Arial" w:cs="Arial"/>
          <w:bCs/>
          <w:color w:val="000000" w:themeColor="text1"/>
          <w:sz w:val="20"/>
          <w:szCs w:val="20"/>
        </w:rPr>
      </w:pPr>
    </w:p>
    <w:p w14:paraId="298900D3" w14:textId="77777777" w:rsidR="008F480A" w:rsidRDefault="008F480A" w:rsidP="008F480A">
      <w:pPr>
        <w:jc w:val="both"/>
        <w:rPr>
          <w:rFonts w:ascii="Arial" w:eastAsia="Calibri" w:hAnsi="Arial" w:cs="Arial"/>
          <w:bCs/>
          <w:color w:val="000000" w:themeColor="text1"/>
          <w:sz w:val="20"/>
          <w:szCs w:val="20"/>
        </w:rPr>
      </w:pPr>
    </w:p>
    <w:p w14:paraId="11AB0BF4" w14:textId="5834F48B" w:rsidR="00493FF7" w:rsidRPr="008F480A" w:rsidRDefault="00493FF7" w:rsidP="008F480A">
      <w:pPr>
        <w:rPr>
          <w:rFonts w:ascii="Arial" w:hAnsi="Arial" w:cs="Arial"/>
          <w:b/>
          <w:color w:val="000000" w:themeColor="text1"/>
          <w:sz w:val="22"/>
          <w:lang w:val="pt-BR"/>
        </w:rPr>
      </w:pPr>
      <w:r w:rsidRPr="008F480A">
        <w:rPr>
          <w:rFonts w:ascii="Arial" w:hAnsi="Arial" w:cs="Arial"/>
          <w:color w:val="000000" w:themeColor="text1"/>
          <w:sz w:val="22"/>
          <w:lang w:val="pt-BR"/>
        </w:rPr>
        <w:t xml:space="preserve">Bogotá D.C., </w:t>
      </w:r>
      <w:r w:rsidR="00B670F7" w:rsidRPr="008F480A">
        <w:rPr>
          <w:rFonts w:ascii="Arial" w:hAnsi="Arial" w:cs="Arial"/>
          <w:b/>
          <w:color w:val="000000" w:themeColor="text1"/>
          <w:sz w:val="22"/>
          <w:lang w:val="pt-BR"/>
        </w:rPr>
        <w:t>14/12/2020 Hora 17:48:25s</w:t>
      </w:r>
    </w:p>
    <w:p w14:paraId="69F64391" w14:textId="77777777" w:rsidR="00493FF7" w:rsidRPr="008F480A" w:rsidRDefault="00493FF7" w:rsidP="00493FF7">
      <w:pPr>
        <w:jc w:val="right"/>
        <w:rPr>
          <w:rFonts w:ascii="Arial" w:hAnsi="Arial" w:cs="Arial"/>
          <w:b/>
          <w:color w:val="000000" w:themeColor="text1"/>
          <w:sz w:val="22"/>
          <w:lang w:val="pt-BR"/>
        </w:rPr>
      </w:pPr>
    </w:p>
    <w:p w14:paraId="278AF24C" w14:textId="03F3D0EA" w:rsidR="00493FF7" w:rsidRPr="008F480A" w:rsidRDefault="00493FF7" w:rsidP="00493FF7">
      <w:pPr>
        <w:jc w:val="right"/>
        <w:rPr>
          <w:rFonts w:ascii="Arial" w:hAnsi="Arial" w:cs="Arial"/>
          <w:b/>
          <w:color w:val="000000" w:themeColor="text1"/>
          <w:sz w:val="22"/>
          <w:lang w:val="pt-BR"/>
        </w:rPr>
      </w:pPr>
      <w:r w:rsidRPr="008F480A">
        <w:rPr>
          <w:rFonts w:ascii="Arial" w:hAnsi="Arial" w:cs="Arial"/>
          <w:b/>
          <w:color w:val="000000" w:themeColor="text1"/>
          <w:sz w:val="22"/>
          <w:lang w:val="pt-BR"/>
        </w:rPr>
        <w:t xml:space="preserve">N° Radicado: </w:t>
      </w:r>
      <w:r w:rsidR="001D79F7" w:rsidRPr="008F480A">
        <w:rPr>
          <w:rFonts w:ascii="Arial" w:hAnsi="Arial" w:cs="Arial"/>
          <w:b/>
          <w:color w:val="000000" w:themeColor="text1"/>
          <w:sz w:val="22"/>
          <w:lang w:val="pt-BR"/>
        </w:rPr>
        <w:t>2202013000012004</w:t>
      </w:r>
    </w:p>
    <w:p w14:paraId="11A6E11A" w14:textId="2AEDD737" w:rsidR="008026C6" w:rsidRPr="00211099" w:rsidRDefault="004A303C" w:rsidP="00E928A5">
      <w:pPr>
        <w:outlineLvl w:val="0"/>
        <w:rPr>
          <w:rFonts w:ascii="Arial" w:eastAsia="Calibri" w:hAnsi="Arial" w:cs="Arial"/>
          <w:color w:val="000000" w:themeColor="text1"/>
          <w:sz w:val="22"/>
        </w:rPr>
      </w:pPr>
      <w:r w:rsidRPr="00211099">
        <w:rPr>
          <w:rFonts w:ascii="Arial" w:eastAsia="Calibri" w:hAnsi="Arial" w:cs="Arial"/>
          <w:color w:val="000000" w:themeColor="text1"/>
          <w:sz w:val="22"/>
        </w:rPr>
        <w:t>Señor</w:t>
      </w:r>
    </w:p>
    <w:p w14:paraId="0166220A" w14:textId="06F17902" w:rsidR="00A842AA" w:rsidRPr="00211099" w:rsidRDefault="00926468" w:rsidP="00E928A5">
      <w:pPr>
        <w:outlineLvl w:val="0"/>
        <w:rPr>
          <w:rFonts w:ascii="Arial" w:eastAsia="Calibri" w:hAnsi="Arial" w:cs="Arial"/>
          <w:b/>
          <w:color w:val="000000" w:themeColor="text1"/>
          <w:sz w:val="22"/>
        </w:rPr>
      </w:pPr>
      <w:r w:rsidRPr="00211099">
        <w:rPr>
          <w:rFonts w:ascii="Arial" w:eastAsia="Calibri" w:hAnsi="Arial" w:cs="Arial"/>
          <w:b/>
          <w:color w:val="000000" w:themeColor="text1"/>
          <w:sz w:val="22"/>
        </w:rPr>
        <w:t>OSCAR OVI</w:t>
      </w:r>
      <w:r w:rsidR="00A842AA" w:rsidRPr="00211099">
        <w:rPr>
          <w:rFonts w:ascii="Arial" w:eastAsia="Calibri" w:hAnsi="Arial" w:cs="Arial"/>
          <w:b/>
          <w:color w:val="000000" w:themeColor="text1"/>
          <w:sz w:val="22"/>
        </w:rPr>
        <w:t>D</w:t>
      </w:r>
      <w:r w:rsidRPr="00211099">
        <w:rPr>
          <w:rFonts w:ascii="Arial" w:eastAsia="Calibri" w:hAnsi="Arial" w:cs="Arial"/>
          <w:b/>
          <w:color w:val="000000" w:themeColor="text1"/>
          <w:sz w:val="22"/>
        </w:rPr>
        <w:t>I</w:t>
      </w:r>
      <w:r w:rsidR="00A842AA" w:rsidRPr="00211099">
        <w:rPr>
          <w:rFonts w:ascii="Arial" w:eastAsia="Calibri" w:hAnsi="Arial" w:cs="Arial"/>
          <w:b/>
          <w:color w:val="000000" w:themeColor="text1"/>
          <w:sz w:val="22"/>
        </w:rPr>
        <w:t>O MUÑOZ CAMPO</w:t>
      </w:r>
    </w:p>
    <w:p w14:paraId="12B2DFE8" w14:textId="44557EB2" w:rsidR="008A795F" w:rsidRPr="00211099" w:rsidRDefault="008868E7" w:rsidP="00E928A5">
      <w:pPr>
        <w:outlineLvl w:val="0"/>
        <w:rPr>
          <w:rFonts w:ascii="Arial" w:eastAsia="Calibri" w:hAnsi="Arial" w:cs="Arial"/>
          <w:color w:val="000000" w:themeColor="text1"/>
          <w:sz w:val="22"/>
        </w:rPr>
      </w:pPr>
      <w:r>
        <w:rPr>
          <w:rFonts w:ascii="Arial" w:eastAsia="Calibri" w:hAnsi="Arial" w:cs="Arial"/>
          <w:color w:val="000000" w:themeColor="text1"/>
          <w:sz w:val="22"/>
        </w:rPr>
        <w:t>Bogotá D.C.</w:t>
      </w:r>
    </w:p>
    <w:p w14:paraId="2926E06B" w14:textId="77777777" w:rsidR="004A303C" w:rsidRPr="00211099" w:rsidRDefault="004A303C" w:rsidP="00E928A5">
      <w:pPr>
        <w:rPr>
          <w:rFonts w:ascii="Arial" w:eastAsia="Calibri" w:hAnsi="Arial" w:cs="Arial"/>
          <w:color w:val="000000" w:themeColor="text1"/>
          <w:sz w:val="20"/>
          <w:szCs w:val="20"/>
        </w:rPr>
      </w:pPr>
    </w:p>
    <w:p w14:paraId="537C2E2E" w14:textId="77777777" w:rsidR="004A303C" w:rsidRPr="00211099" w:rsidRDefault="004A303C" w:rsidP="00E928A5">
      <w:pPr>
        <w:rPr>
          <w:rFonts w:ascii="Arial" w:eastAsia="Calibri" w:hAnsi="Arial" w:cs="Arial"/>
          <w:color w:val="000000" w:themeColor="text1"/>
          <w:sz w:val="20"/>
          <w:szCs w:val="20"/>
        </w:rPr>
      </w:pPr>
    </w:p>
    <w:p w14:paraId="5E047539" w14:textId="26974009" w:rsidR="004A303C" w:rsidRPr="00211099" w:rsidRDefault="004A303C" w:rsidP="00E928A5">
      <w:pPr>
        <w:ind w:firstLine="2694"/>
        <w:outlineLvl w:val="0"/>
        <w:rPr>
          <w:rFonts w:ascii="Arial" w:eastAsia="Calibri" w:hAnsi="Arial" w:cs="Arial"/>
          <w:b/>
          <w:color w:val="000000" w:themeColor="text1"/>
          <w:sz w:val="22"/>
        </w:rPr>
      </w:pPr>
      <w:r w:rsidRPr="00211099">
        <w:rPr>
          <w:rFonts w:ascii="Arial" w:eastAsia="Calibri" w:hAnsi="Arial" w:cs="Arial"/>
          <w:b/>
          <w:color w:val="000000" w:themeColor="text1"/>
          <w:sz w:val="22"/>
        </w:rPr>
        <w:t xml:space="preserve">Concepto C – </w:t>
      </w:r>
      <w:r w:rsidR="009C46AA" w:rsidRPr="00C07AE7">
        <w:rPr>
          <w:rFonts w:ascii="Arial" w:eastAsia="Calibri" w:hAnsi="Arial" w:cs="Arial"/>
          <w:b/>
          <w:color w:val="000000" w:themeColor="text1"/>
          <w:sz w:val="22"/>
        </w:rPr>
        <w:t>725</w:t>
      </w:r>
      <w:r w:rsidRPr="00211099">
        <w:rPr>
          <w:rFonts w:ascii="Arial" w:eastAsia="Calibri" w:hAnsi="Arial" w:cs="Arial"/>
          <w:b/>
          <w:color w:val="000000" w:themeColor="text1"/>
          <w:sz w:val="22"/>
        </w:rPr>
        <w:t xml:space="preserve"> de 2020</w:t>
      </w:r>
    </w:p>
    <w:p w14:paraId="6C11F5BA" w14:textId="77777777" w:rsidR="004A303C" w:rsidRPr="00211099" w:rsidRDefault="004A303C" w:rsidP="00E928A5">
      <w:pPr>
        <w:rPr>
          <w:rFonts w:ascii="Arial" w:eastAsia="Calibri" w:hAnsi="Arial" w:cs="Arial"/>
          <w:color w:val="000000" w:themeColor="text1"/>
          <w:sz w:val="20"/>
          <w:szCs w:val="20"/>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211099" w14:paraId="1A0E95A2" w14:textId="77777777" w:rsidTr="00A52EA7">
        <w:tc>
          <w:tcPr>
            <w:tcW w:w="2689" w:type="dxa"/>
            <w:hideMark/>
          </w:tcPr>
          <w:p w14:paraId="080CE19A" w14:textId="77777777" w:rsidR="004A303C" w:rsidRPr="00211099" w:rsidRDefault="004A303C" w:rsidP="00E928A5">
            <w:pPr>
              <w:rPr>
                <w:rFonts w:ascii="Arial" w:eastAsia="Calibri" w:hAnsi="Arial" w:cs="Arial"/>
                <w:color w:val="000000" w:themeColor="text1"/>
                <w:sz w:val="22"/>
              </w:rPr>
            </w:pPr>
            <w:r w:rsidRPr="00211099">
              <w:rPr>
                <w:rFonts w:ascii="Arial" w:eastAsia="Calibri" w:hAnsi="Arial" w:cs="Arial"/>
                <w:b/>
                <w:color w:val="000000" w:themeColor="text1"/>
                <w:sz w:val="22"/>
              </w:rPr>
              <w:t>Temas:</w:t>
            </w:r>
            <w:r w:rsidRPr="00211099">
              <w:rPr>
                <w:rFonts w:ascii="Arial" w:eastAsia="Calibri" w:hAnsi="Arial" w:cs="Arial"/>
                <w:color w:val="000000" w:themeColor="text1"/>
                <w:sz w:val="22"/>
              </w:rPr>
              <w:t xml:space="preserve">           </w:t>
            </w:r>
          </w:p>
          <w:p w14:paraId="71377C53" w14:textId="77777777" w:rsidR="004A303C" w:rsidRPr="00211099" w:rsidRDefault="004A303C" w:rsidP="00E928A5">
            <w:pPr>
              <w:rPr>
                <w:rFonts w:ascii="Arial" w:eastAsia="Calibri" w:hAnsi="Arial" w:cs="Arial"/>
                <w:color w:val="000000" w:themeColor="text1"/>
                <w:sz w:val="22"/>
              </w:rPr>
            </w:pPr>
            <w:r w:rsidRPr="00211099">
              <w:rPr>
                <w:rFonts w:ascii="Arial" w:eastAsia="Calibri" w:hAnsi="Arial" w:cs="Arial"/>
                <w:color w:val="000000" w:themeColor="text1"/>
                <w:sz w:val="22"/>
              </w:rPr>
              <w:t xml:space="preserve">                           </w:t>
            </w:r>
          </w:p>
        </w:tc>
        <w:tc>
          <w:tcPr>
            <w:tcW w:w="6237" w:type="dxa"/>
            <w:hideMark/>
          </w:tcPr>
          <w:p w14:paraId="78A982DF" w14:textId="13311DAA" w:rsidR="004A303C" w:rsidRPr="00211099" w:rsidRDefault="00D9022C" w:rsidP="00E70D56">
            <w:pPr>
              <w:jc w:val="both"/>
              <w:rPr>
                <w:rFonts w:ascii="Arial" w:eastAsia="Calibri" w:hAnsi="Arial" w:cs="Arial"/>
                <w:color w:val="000000" w:themeColor="text1"/>
                <w:sz w:val="22"/>
              </w:rPr>
            </w:pPr>
            <w:r w:rsidRPr="00211099">
              <w:rPr>
                <w:rFonts w:ascii="Arial" w:eastAsia="Calibri" w:hAnsi="Arial" w:cs="Arial"/>
                <w:color w:val="000000" w:themeColor="text1"/>
                <w:sz w:val="22"/>
              </w:rPr>
              <w:t xml:space="preserve">DISTRIBUCIÓN DE RIESGOS – </w:t>
            </w:r>
            <w:r w:rsidR="00DC29BD" w:rsidRPr="00211099">
              <w:rPr>
                <w:rFonts w:ascii="Arial" w:eastAsia="Calibri" w:hAnsi="Arial" w:cs="Arial"/>
                <w:color w:val="000000" w:themeColor="text1"/>
                <w:sz w:val="22"/>
              </w:rPr>
              <w:t xml:space="preserve">Deber legal </w:t>
            </w:r>
            <w:r w:rsidRPr="00211099">
              <w:rPr>
                <w:rFonts w:ascii="Arial" w:eastAsia="Calibri" w:hAnsi="Arial" w:cs="Arial"/>
                <w:color w:val="000000" w:themeColor="text1"/>
                <w:sz w:val="22"/>
              </w:rPr>
              <w:t>/ AUDIENCIA DE ASIGNACIÓN DE RIESGOS –</w:t>
            </w:r>
            <w:r w:rsidR="00AE0165" w:rsidRPr="00211099">
              <w:rPr>
                <w:rFonts w:ascii="Arial" w:eastAsia="Calibri" w:hAnsi="Arial" w:cs="Arial"/>
                <w:color w:val="000000" w:themeColor="text1"/>
                <w:sz w:val="22"/>
              </w:rPr>
              <w:t xml:space="preserve"> Marco normativo</w:t>
            </w:r>
            <w:r w:rsidR="00B922AB" w:rsidRPr="00211099">
              <w:rPr>
                <w:rFonts w:ascii="Arial" w:eastAsia="Calibri" w:hAnsi="Arial" w:cs="Arial"/>
                <w:color w:val="000000" w:themeColor="text1"/>
                <w:sz w:val="22"/>
              </w:rPr>
              <w:t>- licitación pública</w:t>
            </w:r>
            <w:r w:rsidRPr="00211099">
              <w:rPr>
                <w:rFonts w:ascii="Arial" w:eastAsia="Calibri" w:hAnsi="Arial" w:cs="Arial"/>
                <w:color w:val="000000" w:themeColor="text1"/>
                <w:sz w:val="22"/>
              </w:rPr>
              <w:t xml:space="preserve">/ </w:t>
            </w:r>
            <w:r w:rsidR="00AE0165" w:rsidRPr="00211099">
              <w:rPr>
                <w:rFonts w:ascii="Arial" w:eastAsia="Calibri" w:hAnsi="Arial" w:cs="Arial"/>
                <w:color w:val="000000" w:themeColor="text1"/>
                <w:sz w:val="22"/>
              </w:rPr>
              <w:t xml:space="preserve">AUDIENCIA DE ASIGNACIÓN DE RIESGOS – Documento </w:t>
            </w:r>
            <w:proofErr w:type="spellStart"/>
            <w:r w:rsidR="00AE0165" w:rsidRPr="00211099">
              <w:rPr>
                <w:rFonts w:ascii="Arial" w:eastAsia="Calibri" w:hAnsi="Arial" w:cs="Arial"/>
                <w:color w:val="000000" w:themeColor="text1"/>
                <w:sz w:val="22"/>
              </w:rPr>
              <w:t>Conpes</w:t>
            </w:r>
            <w:proofErr w:type="spellEnd"/>
            <w:r w:rsidR="00AE0165" w:rsidRPr="00211099">
              <w:rPr>
                <w:rFonts w:ascii="Arial" w:eastAsia="Calibri" w:hAnsi="Arial" w:cs="Arial"/>
                <w:color w:val="000000" w:themeColor="text1"/>
                <w:sz w:val="22"/>
              </w:rPr>
              <w:t xml:space="preserve"> –</w:t>
            </w:r>
            <w:r w:rsidR="00DC29BD" w:rsidRPr="00211099">
              <w:rPr>
                <w:rFonts w:ascii="Arial" w:eastAsia="Calibri" w:hAnsi="Arial" w:cs="Arial"/>
                <w:color w:val="000000" w:themeColor="text1"/>
                <w:sz w:val="22"/>
              </w:rPr>
              <w:t xml:space="preserve"> AUDIENCIA DE ASIGNACIÓN DE RIESGOS – participación </w:t>
            </w:r>
            <w:r w:rsidR="00E70D56" w:rsidRPr="00211099">
              <w:rPr>
                <w:rFonts w:ascii="Arial" w:eastAsia="Calibri" w:hAnsi="Arial" w:cs="Arial"/>
                <w:color w:val="000000" w:themeColor="text1"/>
                <w:sz w:val="22"/>
              </w:rPr>
              <w:t>del proponente</w:t>
            </w:r>
            <w:r w:rsidR="003D1F97" w:rsidRPr="00211099">
              <w:rPr>
                <w:rFonts w:ascii="Arial" w:eastAsia="Calibri" w:hAnsi="Arial" w:cs="Arial"/>
                <w:color w:val="000000" w:themeColor="text1"/>
                <w:sz w:val="22"/>
              </w:rPr>
              <w:t xml:space="preserve">/ </w:t>
            </w:r>
            <w:r w:rsidR="00E70D56" w:rsidRPr="00211099">
              <w:rPr>
                <w:rFonts w:ascii="Arial" w:eastAsia="Calibri" w:hAnsi="Arial" w:cs="Arial"/>
                <w:color w:val="000000" w:themeColor="text1"/>
                <w:sz w:val="22"/>
              </w:rPr>
              <w:t>REQUISITOS HABILITANTES – Selección objetiva – Artículo 5 – Ley 1150 – Carácter enunciativo</w:t>
            </w:r>
          </w:p>
        </w:tc>
      </w:tr>
      <w:tr w:rsidR="000079A6" w:rsidRPr="00211099" w14:paraId="4A23AD64" w14:textId="77777777" w:rsidTr="00A52EA7">
        <w:tc>
          <w:tcPr>
            <w:tcW w:w="2689" w:type="dxa"/>
          </w:tcPr>
          <w:p w14:paraId="3C8F1BA1" w14:textId="77777777" w:rsidR="004A303C" w:rsidRPr="00211099" w:rsidRDefault="004A303C" w:rsidP="00E928A5">
            <w:pPr>
              <w:spacing w:before="120"/>
              <w:rPr>
                <w:rFonts w:ascii="Arial" w:eastAsia="Calibri" w:hAnsi="Arial" w:cs="Arial"/>
                <w:b/>
                <w:color w:val="000000" w:themeColor="text1"/>
                <w:sz w:val="22"/>
              </w:rPr>
            </w:pPr>
            <w:r w:rsidRPr="00211099">
              <w:rPr>
                <w:rFonts w:ascii="Arial" w:eastAsia="Calibri" w:hAnsi="Arial" w:cs="Arial"/>
                <w:b/>
                <w:color w:val="000000" w:themeColor="text1"/>
                <w:sz w:val="22"/>
              </w:rPr>
              <w:t>Radicación:</w:t>
            </w:r>
            <w:r w:rsidRPr="00211099">
              <w:rPr>
                <w:rFonts w:ascii="Arial" w:eastAsia="Calibri" w:hAnsi="Arial" w:cs="Arial"/>
                <w:color w:val="000000" w:themeColor="text1"/>
                <w:sz w:val="22"/>
              </w:rPr>
              <w:t xml:space="preserve">                              </w:t>
            </w:r>
          </w:p>
        </w:tc>
        <w:tc>
          <w:tcPr>
            <w:tcW w:w="6237" w:type="dxa"/>
          </w:tcPr>
          <w:p w14:paraId="5923B6AB" w14:textId="52015166" w:rsidR="004A303C" w:rsidRPr="00211099" w:rsidRDefault="004A303C" w:rsidP="00A842AA">
            <w:pPr>
              <w:spacing w:before="120"/>
              <w:jc w:val="both"/>
              <w:rPr>
                <w:rFonts w:ascii="Arial" w:eastAsia="Calibri" w:hAnsi="Arial" w:cs="Arial"/>
                <w:color w:val="000000" w:themeColor="text1"/>
                <w:sz w:val="22"/>
              </w:rPr>
            </w:pPr>
            <w:r w:rsidRPr="00211099">
              <w:rPr>
                <w:rFonts w:ascii="Arial" w:eastAsia="Calibri" w:hAnsi="Arial" w:cs="Arial"/>
                <w:color w:val="000000" w:themeColor="text1"/>
                <w:sz w:val="22"/>
              </w:rPr>
              <w:t>Respuesta a consulta</w:t>
            </w:r>
            <w:r w:rsidR="00AF0279">
              <w:rPr>
                <w:rFonts w:ascii="Arial" w:eastAsia="Calibri" w:hAnsi="Arial" w:cs="Arial"/>
                <w:color w:val="000000" w:themeColor="text1"/>
                <w:sz w:val="22"/>
              </w:rPr>
              <w:t xml:space="preserve"> 42</w:t>
            </w:r>
            <w:r w:rsidR="00CC679F">
              <w:rPr>
                <w:rFonts w:ascii="Arial" w:eastAsia="Calibri" w:hAnsi="Arial" w:cs="Arial"/>
                <w:color w:val="000000" w:themeColor="text1"/>
                <w:sz w:val="22"/>
              </w:rPr>
              <w:t>02013000009873</w:t>
            </w:r>
            <w:r w:rsidR="009C46AA" w:rsidRPr="00211099">
              <w:rPr>
                <w:rFonts w:ascii="Arial" w:eastAsia="Calibri" w:hAnsi="Arial" w:cs="Arial"/>
                <w:color w:val="000000" w:themeColor="text1"/>
                <w:sz w:val="22"/>
              </w:rPr>
              <w:t xml:space="preserve"> </w:t>
            </w:r>
          </w:p>
        </w:tc>
      </w:tr>
      <w:tr w:rsidR="000079A6" w:rsidRPr="00211099" w14:paraId="0E9AFD66" w14:textId="77777777" w:rsidTr="00A52EA7">
        <w:tc>
          <w:tcPr>
            <w:tcW w:w="2689" w:type="dxa"/>
          </w:tcPr>
          <w:p w14:paraId="55BFA50D" w14:textId="77777777" w:rsidR="004A303C" w:rsidRPr="00211099" w:rsidRDefault="004A303C" w:rsidP="00E928A5">
            <w:pPr>
              <w:spacing w:before="120"/>
              <w:rPr>
                <w:rFonts w:ascii="Arial" w:eastAsia="Calibri" w:hAnsi="Arial" w:cs="Arial"/>
                <w:b/>
                <w:color w:val="000000" w:themeColor="text1"/>
                <w:sz w:val="20"/>
                <w:szCs w:val="20"/>
              </w:rPr>
            </w:pPr>
          </w:p>
        </w:tc>
        <w:tc>
          <w:tcPr>
            <w:tcW w:w="6237" w:type="dxa"/>
          </w:tcPr>
          <w:p w14:paraId="342BC7C1" w14:textId="77777777" w:rsidR="004A303C" w:rsidRPr="00211099" w:rsidRDefault="004A303C" w:rsidP="00E928A5">
            <w:pPr>
              <w:spacing w:before="120"/>
              <w:jc w:val="both"/>
              <w:rPr>
                <w:rFonts w:ascii="Arial" w:eastAsia="Calibri" w:hAnsi="Arial" w:cs="Arial"/>
                <w:color w:val="000000" w:themeColor="text1"/>
                <w:sz w:val="20"/>
                <w:szCs w:val="20"/>
              </w:rPr>
            </w:pPr>
          </w:p>
        </w:tc>
      </w:tr>
    </w:tbl>
    <w:p w14:paraId="0FDE03AB" w14:textId="6B06BAFA" w:rsidR="008026C6" w:rsidRDefault="008026C6" w:rsidP="00E928A5">
      <w:pPr>
        <w:jc w:val="both"/>
        <w:rPr>
          <w:rFonts w:ascii="Arial" w:eastAsia="Calibri" w:hAnsi="Arial" w:cs="Arial"/>
          <w:color w:val="000000" w:themeColor="text1"/>
          <w:sz w:val="20"/>
          <w:szCs w:val="20"/>
        </w:rPr>
      </w:pPr>
    </w:p>
    <w:p w14:paraId="2743BE98" w14:textId="3BA1870D" w:rsidR="004A303C" w:rsidRDefault="00861ADD" w:rsidP="00072334">
      <w:pPr>
        <w:spacing w:line="276" w:lineRule="auto"/>
        <w:rPr>
          <w:rFonts w:ascii="Arial" w:eastAsia="Calibri" w:hAnsi="Arial" w:cs="Arial"/>
          <w:color w:val="000000" w:themeColor="text1"/>
          <w:sz w:val="22"/>
        </w:rPr>
      </w:pPr>
      <w:r w:rsidRPr="00211099">
        <w:rPr>
          <w:rFonts w:ascii="Arial" w:eastAsia="Calibri" w:hAnsi="Arial" w:cs="Arial"/>
          <w:color w:val="000000" w:themeColor="text1"/>
          <w:sz w:val="22"/>
        </w:rPr>
        <w:t>Estimado</w:t>
      </w:r>
      <w:r w:rsidR="00A842AA" w:rsidRPr="00211099">
        <w:rPr>
          <w:rFonts w:ascii="Arial" w:eastAsia="Calibri" w:hAnsi="Arial" w:cs="Arial"/>
          <w:color w:val="000000" w:themeColor="text1"/>
          <w:sz w:val="22"/>
        </w:rPr>
        <w:t xml:space="preserve"> señor</w:t>
      </w:r>
      <w:r w:rsidR="004A303C" w:rsidRPr="00211099">
        <w:rPr>
          <w:rFonts w:ascii="Arial" w:eastAsia="Calibri" w:hAnsi="Arial" w:cs="Arial"/>
          <w:color w:val="000000" w:themeColor="text1"/>
          <w:sz w:val="22"/>
        </w:rPr>
        <w:t xml:space="preserve"> </w:t>
      </w:r>
      <w:r w:rsidR="00A842AA" w:rsidRPr="00211099">
        <w:rPr>
          <w:rFonts w:ascii="Arial" w:eastAsia="Calibri" w:hAnsi="Arial" w:cs="Arial"/>
          <w:color w:val="000000" w:themeColor="text1"/>
          <w:sz w:val="22"/>
        </w:rPr>
        <w:t>Muñoz</w:t>
      </w:r>
      <w:r w:rsidR="004A303C" w:rsidRPr="00211099">
        <w:rPr>
          <w:rFonts w:ascii="Arial" w:eastAsia="Calibri" w:hAnsi="Arial" w:cs="Arial"/>
          <w:color w:val="000000" w:themeColor="text1"/>
          <w:sz w:val="22"/>
        </w:rPr>
        <w:t>:</w:t>
      </w:r>
    </w:p>
    <w:p w14:paraId="3EC6C880" w14:textId="77777777" w:rsidR="00072334" w:rsidRPr="00211099" w:rsidRDefault="00072334" w:rsidP="00072334">
      <w:pPr>
        <w:spacing w:line="276" w:lineRule="auto"/>
        <w:rPr>
          <w:rFonts w:ascii="Arial" w:eastAsia="Calibri" w:hAnsi="Arial" w:cs="Arial"/>
          <w:color w:val="000000" w:themeColor="text1"/>
          <w:sz w:val="22"/>
        </w:rPr>
      </w:pPr>
    </w:p>
    <w:p w14:paraId="093127E9" w14:textId="53687E3F" w:rsidR="00F876B5" w:rsidRPr="00211099" w:rsidRDefault="00F876B5" w:rsidP="00072334">
      <w:pPr>
        <w:spacing w:line="276" w:lineRule="auto"/>
        <w:jc w:val="both"/>
        <w:rPr>
          <w:rFonts w:ascii="Arial" w:eastAsia="Calibri" w:hAnsi="Arial" w:cs="Arial"/>
          <w:color w:val="000000" w:themeColor="text1"/>
          <w:sz w:val="22"/>
        </w:rPr>
      </w:pPr>
      <w:r w:rsidRPr="00211099">
        <w:rPr>
          <w:rFonts w:ascii="Arial" w:eastAsia="Calibri" w:hAnsi="Arial" w:cs="Arial"/>
          <w:color w:val="000000" w:themeColor="text1"/>
          <w:sz w:val="22"/>
        </w:rPr>
        <w:t xml:space="preserve">En ejercicio de la competencia otorgada por el numeral 8 del artículo 11 y el numeral 5 del artículo del Decreto Ley 4170 de 2011, la Agencia Nacional de Contratación Pública − Colombia Compra Eficiente responde su consulta del </w:t>
      </w:r>
      <w:r w:rsidR="00C571BD" w:rsidRPr="00211099">
        <w:rPr>
          <w:rFonts w:ascii="Arial" w:eastAsia="Calibri" w:hAnsi="Arial" w:cs="Arial"/>
          <w:color w:val="000000" w:themeColor="text1"/>
          <w:sz w:val="22"/>
        </w:rPr>
        <w:t>29</w:t>
      </w:r>
      <w:r w:rsidRPr="00211099">
        <w:rPr>
          <w:rFonts w:ascii="Arial" w:eastAsia="Calibri" w:hAnsi="Arial" w:cs="Arial"/>
          <w:color w:val="000000" w:themeColor="text1"/>
          <w:sz w:val="22"/>
        </w:rPr>
        <w:t xml:space="preserve"> de </w:t>
      </w:r>
      <w:r w:rsidR="00C571BD" w:rsidRPr="00211099">
        <w:rPr>
          <w:rFonts w:ascii="Arial" w:eastAsia="Calibri" w:hAnsi="Arial" w:cs="Arial"/>
          <w:color w:val="000000" w:themeColor="text1"/>
          <w:sz w:val="22"/>
        </w:rPr>
        <w:t>octubre</w:t>
      </w:r>
      <w:r w:rsidRPr="00211099">
        <w:rPr>
          <w:rFonts w:ascii="Arial" w:eastAsia="Calibri" w:hAnsi="Arial" w:cs="Arial"/>
          <w:color w:val="000000" w:themeColor="text1"/>
          <w:sz w:val="22"/>
        </w:rPr>
        <w:t xml:space="preserve"> de 2020. </w:t>
      </w:r>
    </w:p>
    <w:p w14:paraId="595A07C2" w14:textId="77777777" w:rsidR="004A303C" w:rsidRPr="00211099" w:rsidRDefault="004A303C" w:rsidP="006C23E1">
      <w:pPr>
        <w:spacing w:line="276" w:lineRule="auto"/>
        <w:jc w:val="both"/>
        <w:rPr>
          <w:rFonts w:ascii="Arial" w:eastAsia="Calibri" w:hAnsi="Arial" w:cs="Arial"/>
          <w:color w:val="000000" w:themeColor="text1"/>
          <w:sz w:val="22"/>
        </w:rPr>
      </w:pPr>
    </w:p>
    <w:p w14:paraId="6DE8907D" w14:textId="77777777" w:rsidR="004A303C" w:rsidRPr="00211099" w:rsidRDefault="004A303C" w:rsidP="006C23E1">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211099">
        <w:rPr>
          <w:rFonts w:ascii="Arial" w:eastAsia="Calibri" w:hAnsi="Arial" w:cs="Arial"/>
          <w:b/>
          <w:color w:val="000000" w:themeColor="text1"/>
          <w:sz w:val="22"/>
        </w:rPr>
        <w:t xml:space="preserve">Problemas planteados </w:t>
      </w:r>
    </w:p>
    <w:p w14:paraId="3332E46C" w14:textId="77777777" w:rsidR="00CA05E4" w:rsidRPr="00211099" w:rsidRDefault="00CA05E4" w:rsidP="00CA05E4">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_tradnl"/>
        </w:rPr>
      </w:pPr>
    </w:p>
    <w:p w14:paraId="10E0DC0E" w14:textId="177D7A17" w:rsidR="004A303C" w:rsidRPr="00A04DA3" w:rsidRDefault="00F876B5" w:rsidP="00FE1477">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_tradnl"/>
        </w:rPr>
      </w:pPr>
      <w:r w:rsidRPr="00211099">
        <w:rPr>
          <w:rFonts w:ascii="Arial" w:eastAsia="Calibri" w:hAnsi="Arial" w:cs="Arial"/>
          <w:color w:val="000000" w:themeColor="text1"/>
          <w:sz w:val="22"/>
          <w:szCs w:val="22"/>
          <w:lang w:val="es-ES_tradnl"/>
        </w:rPr>
        <w:t>Usted formula las siguientes preguntas:</w:t>
      </w:r>
      <w:r w:rsidR="00861ADD" w:rsidRPr="00211099">
        <w:rPr>
          <w:rFonts w:ascii="Arial" w:eastAsia="Calibri" w:hAnsi="Arial" w:cs="Arial"/>
          <w:color w:val="000000" w:themeColor="text1"/>
          <w:sz w:val="22"/>
          <w:szCs w:val="22"/>
          <w:lang w:val="es-ES_tradnl"/>
        </w:rPr>
        <w:t xml:space="preserve"> </w:t>
      </w:r>
      <w:r w:rsidR="00861ADD" w:rsidRPr="00BA17D9">
        <w:rPr>
          <w:rFonts w:ascii="Arial" w:eastAsia="Calibri" w:hAnsi="Arial" w:cs="Arial"/>
          <w:color w:val="000000" w:themeColor="text1"/>
          <w:sz w:val="22"/>
          <w:szCs w:val="22"/>
          <w:lang w:val="es-ES_tradnl"/>
        </w:rPr>
        <w:t>«¿</w:t>
      </w:r>
      <w:r w:rsidR="00A842AA" w:rsidRPr="00BA17D9">
        <w:rPr>
          <w:rFonts w:ascii="Arial" w:eastAsia="Calibri" w:hAnsi="Arial" w:cs="Arial"/>
          <w:color w:val="000000" w:themeColor="text1"/>
          <w:sz w:val="22"/>
          <w:szCs w:val="22"/>
          <w:lang w:val="es-ES_tradnl"/>
        </w:rPr>
        <w:t>Es obligatoria la asistencia de los oferentes a las audiencias de Asignación de Riesgos y Aclaración de pliegos</w:t>
      </w:r>
      <w:r w:rsidR="00861ADD" w:rsidRPr="00BA17D9">
        <w:rPr>
          <w:rFonts w:ascii="Arial" w:eastAsia="Calibri" w:hAnsi="Arial" w:cs="Arial"/>
          <w:color w:val="000000" w:themeColor="text1"/>
          <w:sz w:val="22"/>
          <w:szCs w:val="22"/>
          <w:lang w:val="es-ES_tradnl"/>
        </w:rPr>
        <w:t>?</w:t>
      </w:r>
      <w:r w:rsidR="00BA17D9">
        <w:rPr>
          <w:rFonts w:ascii="Arial" w:eastAsia="Calibri" w:hAnsi="Arial" w:cs="Arial"/>
          <w:color w:val="000000" w:themeColor="text1"/>
          <w:sz w:val="22"/>
          <w:szCs w:val="22"/>
          <w:lang w:val="es-ES_tradnl"/>
        </w:rPr>
        <w:t xml:space="preserve"> </w:t>
      </w:r>
      <w:r w:rsidR="00A842AA" w:rsidRPr="00BA17D9">
        <w:rPr>
          <w:rFonts w:ascii="Arial" w:eastAsia="Calibri" w:hAnsi="Arial" w:cs="Arial"/>
          <w:color w:val="000000" w:themeColor="text1"/>
          <w:sz w:val="22"/>
          <w:szCs w:val="22"/>
          <w:lang w:val="es-ES_tradnl"/>
        </w:rPr>
        <w:t>¿Se puede exigir como requisito para participar en un proceso de selección, la asistencia obligatoria de los oferentes a las audiencias de Asignación de Riesgos y Aclaración de pliegos?».</w:t>
      </w:r>
    </w:p>
    <w:p w14:paraId="27E6FF1D" w14:textId="77777777" w:rsidR="00F876B5" w:rsidRPr="00211099" w:rsidRDefault="00F876B5" w:rsidP="00FE1477">
      <w:pPr>
        <w:pStyle w:val="NormalWeb"/>
        <w:shd w:val="clear" w:color="auto" w:fill="FFFFFF"/>
        <w:spacing w:before="0" w:beforeAutospacing="0" w:after="0" w:afterAutospacing="0" w:line="276" w:lineRule="auto"/>
        <w:ind w:left="709" w:right="709"/>
        <w:jc w:val="both"/>
        <w:rPr>
          <w:rFonts w:ascii="Arial" w:eastAsia="Calibri" w:hAnsi="Arial" w:cs="Arial"/>
          <w:color w:val="000000" w:themeColor="text1"/>
          <w:sz w:val="22"/>
          <w:lang w:val="es-ES_tradnl"/>
        </w:rPr>
      </w:pPr>
    </w:p>
    <w:p w14:paraId="1D66CE98" w14:textId="77777777" w:rsidR="004A303C" w:rsidRPr="00211099" w:rsidRDefault="004A303C" w:rsidP="006C23E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211099">
        <w:rPr>
          <w:rFonts w:ascii="Arial" w:eastAsia="Calibri" w:hAnsi="Arial" w:cs="Arial"/>
          <w:b/>
          <w:color w:val="000000" w:themeColor="text1"/>
          <w:sz w:val="22"/>
        </w:rPr>
        <w:t>Consideraciones.</w:t>
      </w:r>
    </w:p>
    <w:p w14:paraId="2B0B4E01" w14:textId="73EC6DC6" w:rsidR="00066F11" w:rsidRPr="00211099" w:rsidRDefault="00C571BD" w:rsidP="004624B8">
      <w:pPr>
        <w:spacing w:after="120" w:line="276" w:lineRule="auto"/>
        <w:jc w:val="both"/>
        <w:rPr>
          <w:rFonts w:ascii="Arial" w:eastAsia="Calibri" w:hAnsi="Arial" w:cs="Arial"/>
          <w:color w:val="000000" w:themeColor="text1"/>
          <w:sz w:val="22"/>
        </w:rPr>
      </w:pPr>
      <w:r w:rsidRPr="00AE21A5">
        <w:rPr>
          <w:rFonts w:ascii="Arial" w:eastAsia="Calibri" w:hAnsi="Arial" w:cs="Arial"/>
          <w:color w:val="000000" w:themeColor="text1"/>
          <w:sz w:val="22"/>
          <w:lang w:val="es-MX"/>
        </w:rPr>
        <w:t>Para</w:t>
      </w:r>
      <w:r w:rsidRPr="00211099">
        <w:rPr>
          <w:rFonts w:ascii="Arial" w:eastAsia="Calibri" w:hAnsi="Arial" w:cs="Arial"/>
          <w:color w:val="000000"/>
          <w:sz w:val="22"/>
          <w:lang w:eastAsia="en-GB"/>
        </w:rPr>
        <w:t xml:space="preserve"> abordar los interrogantes planteados se analizarán los siguientes temas</w:t>
      </w:r>
      <w:r w:rsidR="00814EE7" w:rsidRPr="00211099">
        <w:rPr>
          <w:rFonts w:ascii="Arial" w:eastAsia="Calibri" w:hAnsi="Arial" w:cs="Arial"/>
          <w:color w:val="000000"/>
          <w:sz w:val="22"/>
          <w:lang w:eastAsia="en-GB"/>
        </w:rPr>
        <w:t>:</w:t>
      </w:r>
      <w:r w:rsidRPr="00211099">
        <w:rPr>
          <w:rFonts w:ascii="Arial" w:eastAsia="Calibri" w:hAnsi="Arial" w:cs="Arial"/>
          <w:color w:val="000000"/>
          <w:sz w:val="22"/>
          <w:lang w:eastAsia="en-GB"/>
        </w:rPr>
        <w:t xml:space="preserve"> </w:t>
      </w:r>
      <w:r w:rsidRPr="00211099">
        <w:rPr>
          <w:rFonts w:ascii="Arial" w:eastAsia="Calibri" w:hAnsi="Arial" w:cs="Arial"/>
          <w:color w:val="000000" w:themeColor="text1"/>
          <w:sz w:val="22"/>
        </w:rPr>
        <w:t xml:space="preserve">i) </w:t>
      </w:r>
      <w:r w:rsidR="00ED19C5" w:rsidRPr="00211099">
        <w:rPr>
          <w:rFonts w:ascii="Arial" w:eastAsia="Calibri" w:hAnsi="Arial" w:cs="Arial"/>
          <w:color w:val="000000" w:themeColor="text1"/>
          <w:sz w:val="22"/>
        </w:rPr>
        <w:t>la audiencia de asignación de riesgo</w:t>
      </w:r>
      <w:r w:rsidR="007A17C5">
        <w:rPr>
          <w:rFonts w:ascii="Arial" w:eastAsia="Calibri" w:hAnsi="Arial" w:cs="Arial"/>
          <w:color w:val="000000" w:themeColor="text1"/>
          <w:sz w:val="22"/>
        </w:rPr>
        <w:t>s</w:t>
      </w:r>
      <w:r w:rsidR="00ED19C5" w:rsidRPr="00211099">
        <w:rPr>
          <w:rFonts w:ascii="Arial" w:eastAsia="Calibri" w:hAnsi="Arial" w:cs="Arial"/>
          <w:color w:val="000000" w:themeColor="text1"/>
          <w:sz w:val="22"/>
        </w:rPr>
        <w:t xml:space="preserve"> en el marco de los procesos de selección </w:t>
      </w:r>
      <w:r w:rsidR="00142E79" w:rsidRPr="00211099">
        <w:rPr>
          <w:rFonts w:ascii="Arial" w:eastAsia="Calibri" w:hAnsi="Arial" w:cs="Arial"/>
          <w:color w:val="000000" w:themeColor="text1"/>
          <w:sz w:val="22"/>
        </w:rPr>
        <w:t>de contratación pública</w:t>
      </w:r>
      <w:r w:rsidR="00584CC0" w:rsidRPr="00211099">
        <w:rPr>
          <w:rFonts w:ascii="Arial" w:eastAsia="Calibri" w:hAnsi="Arial" w:cs="Arial"/>
          <w:color w:val="000000" w:themeColor="text1"/>
          <w:sz w:val="22"/>
        </w:rPr>
        <w:t xml:space="preserve"> y</w:t>
      </w:r>
      <w:r w:rsidR="000A6E67" w:rsidRPr="00211099">
        <w:rPr>
          <w:rFonts w:ascii="Arial" w:eastAsia="Calibri" w:hAnsi="Arial" w:cs="Arial"/>
          <w:color w:val="000000" w:themeColor="text1"/>
          <w:sz w:val="22"/>
        </w:rPr>
        <w:t xml:space="preserve"> </w:t>
      </w:r>
      <w:proofErr w:type="spellStart"/>
      <w:r w:rsidRPr="00211099">
        <w:rPr>
          <w:rFonts w:ascii="Arial" w:eastAsia="Calibri" w:hAnsi="Arial" w:cs="Arial"/>
          <w:color w:val="000000" w:themeColor="text1"/>
          <w:sz w:val="22"/>
        </w:rPr>
        <w:t>ii</w:t>
      </w:r>
      <w:proofErr w:type="spellEnd"/>
      <w:r w:rsidRPr="00211099">
        <w:rPr>
          <w:rFonts w:ascii="Arial" w:eastAsia="Calibri" w:hAnsi="Arial" w:cs="Arial"/>
          <w:color w:val="000000" w:themeColor="text1"/>
          <w:sz w:val="22"/>
        </w:rPr>
        <w:t xml:space="preserve">) </w:t>
      </w:r>
      <w:r w:rsidR="000A6E67" w:rsidRPr="00211099">
        <w:rPr>
          <w:rFonts w:ascii="Arial" w:eastAsia="Calibri" w:hAnsi="Arial" w:cs="Arial"/>
          <w:color w:val="000000" w:themeColor="text1"/>
          <w:sz w:val="22"/>
        </w:rPr>
        <w:t xml:space="preserve">los requisitos </w:t>
      </w:r>
      <w:r w:rsidRPr="00211099">
        <w:rPr>
          <w:rFonts w:ascii="Arial" w:eastAsia="Calibri" w:hAnsi="Arial" w:cs="Arial"/>
          <w:color w:val="000000" w:themeColor="text1"/>
          <w:sz w:val="22"/>
        </w:rPr>
        <w:t xml:space="preserve">habilitantes </w:t>
      </w:r>
      <w:r w:rsidR="000A6E67" w:rsidRPr="00211099">
        <w:rPr>
          <w:rFonts w:ascii="Arial" w:eastAsia="Calibri" w:hAnsi="Arial" w:cs="Arial"/>
          <w:color w:val="000000" w:themeColor="text1"/>
          <w:sz w:val="22"/>
        </w:rPr>
        <w:t>para participación en los procesos</w:t>
      </w:r>
      <w:r w:rsidR="00B922AB" w:rsidRPr="00211099">
        <w:rPr>
          <w:rFonts w:ascii="Arial" w:eastAsia="Calibri" w:hAnsi="Arial" w:cs="Arial"/>
          <w:color w:val="000000" w:themeColor="text1"/>
          <w:sz w:val="22"/>
        </w:rPr>
        <w:t xml:space="preserve"> de selección.</w:t>
      </w:r>
    </w:p>
    <w:p w14:paraId="59A6FB98" w14:textId="3161D0A3" w:rsidR="00B54C95" w:rsidRPr="00211099" w:rsidRDefault="00B54C95" w:rsidP="004624B8">
      <w:pPr>
        <w:tabs>
          <w:tab w:val="left" w:pos="426"/>
        </w:tabs>
        <w:spacing w:before="120" w:after="120" w:line="276" w:lineRule="auto"/>
        <w:ind w:firstLine="709"/>
        <w:jc w:val="both"/>
        <w:rPr>
          <w:rFonts w:ascii="Arial" w:eastAsia="Calibri" w:hAnsi="Arial" w:cs="Arial"/>
          <w:color w:val="000000" w:themeColor="text1"/>
          <w:sz w:val="22"/>
        </w:rPr>
      </w:pPr>
      <w:r w:rsidRPr="00211099">
        <w:rPr>
          <w:rFonts w:ascii="Arial" w:eastAsia="Calibri" w:hAnsi="Arial" w:cs="Arial"/>
          <w:color w:val="000000"/>
          <w:sz w:val="22"/>
          <w:lang w:eastAsia="en-GB"/>
        </w:rPr>
        <w:t>La Agencia Nacional de Contratación Pública – Colombia Compra Eficiente</w:t>
      </w:r>
      <w:r w:rsidR="00814EE7" w:rsidRPr="00211099">
        <w:rPr>
          <w:rFonts w:ascii="Arial" w:eastAsia="Calibri" w:hAnsi="Arial" w:cs="Arial"/>
          <w:color w:val="000000"/>
          <w:sz w:val="22"/>
          <w:lang w:eastAsia="en-GB"/>
        </w:rPr>
        <w:t>,</w:t>
      </w:r>
      <w:r w:rsidRPr="00211099">
        <w:rPr>
          <w:rFonts w:ascii="Arial" w:eastAsia="Calibri" w:hAnsi="Arial" w:cs="Arial"/>
          <w:color w:val="000000"/>
          <w:sz w:val="22"/>
          <w:lang w:eastAsia="en-GB"/>
        </w:rPr>
        <w:t xml:space="preserve"> </w:t>
      </w:r>
      <w:r w:rsidRPr="00211099">
        <w:rPr>
          <w:rFonts w:ascii="Arial" w:eastAsia="Calibri" w:hAnsi="Arial" w:cs="Arial"/>
          <w:color w:val="000000" w:themeColor="text1"/>
          <w:sz w:val="22"/>
        </w:rPr>
        <w:t>mediante los conceptos C-166 del 13 de abril de 2020, C-587 del 31 de agosto de 2020, C-614 del 16 de septiembre de 2020 y C-633 del 2 de octubre de 2020, se pronunció sobre la facultad de las entidades de exigir requisitos habilitantes</w:t>
      </w:r>
      <w:r w:rsidR="00382B30" w:rsidRPr="00211099">
        <w:rPr>
          <w:rFonts w:ascii="Arial" w:eastAsia="Calibri" w:hAnsi="Arial" w:cs="Arial"/>
          <w:color w:val="000000" w:themeColor="text1"/>
          <w:sz w:val="22"/>
        </w:rPr>
        <w:t xml:space="preserve">. </w:t>
      </w:r>
      <w:r w:rsidR="00017DFA">
        <w:rPr>
          <w:rFonts w:ascii="Arial" w:eastAsia="Calibri" w:hAnsi="Arial" w:cs="Arial"/>
          <w:color w:val="000000" w:themeColor="text1"/>
          <w:sz w:val="22"/>
        </w:rPr>
        <w:t xml:space="preserve">Las tesis expuestas en dichos conceptos </w:t>
      </w:r>
      <w:r w:rsidR="00C05C43">
        <w:rPr>
          <w:rFonts w:ascii="Arial" w:eastAsia="Calibri" w:hAnsi="Arial" w:cs="Arial"/>
          <w:color w:val="000000" w:themeColor="text1"/>
          <w:sz w:val="22"/>
        </w:rPr>
        <w:t>se reiteran a continuación.</w:t>
      </w:r>
    </w:p>
    <w:p w14:paraId="1F7E8681" w14:textId="77777777" w:rsidR="004A303C" w:rsidRPr="00211099" w:rsidRDefault="004A303C" w:rsidP="00382B30">
      <w:pPr>
        <w:tabs>
          <w:tab w:val="left" w:pos="426"/>
        </w:tabs>
        <w:spacing w:line="276" w:lineRule="auto"/>
        <w:jc w:val="both"/>
        <w:rPr>
          <w:rFonts w:ascii="Arial" w:eastAsia="Calibri" w:hAnsi="Arial" w:cs="Arial"/>
          <w:b/>
          <w:color w:val="000000" w:themeColor="text1"/>
          <w:sz w:val="22"/>
        </w:rPr>
      </w:pPr>
    </w:p>
    <w:p w14:paraId="66A5F34F" w14:textId="7A586AF5" w:rsidR="00142E79" w:rsidRPr="00F84B86" w:rsidRDefault="00C05C43" w:rsidP="00F84B86">
      <w:pPr>
        <w:tabs>
          <w:tab w:val="left" w:pos="426"/>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2.1. </w:t>
      </w:r>
      <w:r w:rsidR="00C571BD" w:rsidRPr="00F84B86">
        <w:rPr>
          <w:rFonts w:ascii="Arial" w:eastAsia="Calibri" w:hAnsi="Arial" w:cs="Arial"/>
          <w:b/>
          <w:color w:val="000000" w:themeColor="text1"/>
          <w:sz w:val="22"/>
        </w:rPr>
        <w:t xml:space="preserve">Audiencia de asignación de riesgos en el marco de los procesos de selección de contratación pública </w:t>
      </w:r>
    </w:p>
    <w:p w14:paraId="47CAF46D" w14:textId="77777777" w:rsidR="00382B30" w:rsidRPr="002F711B" w:rsidRDefault="00382B30" w:rsidP="002F711B">
      <w:pPr>
        <w:spacing w:line="276" w:lineRule="auto"/>
        <w:jc w:val="both"/>
        <w:rPr>
          <w:rFonts w:ascii="Arial" w:eastAsia="Calibri" w:hAnsi="Arial" w:cs="Arial"/>
          <w:color w:val="000000" w:themeColor="text1"/>
          <w:sz w:val="22"/>
          <w:lang w:val="es-MX"/>
        </w:rPr>
      </w:pPr>
    </w:p>
    <w:p w14:paraId="70C7AAE7" w14:textId="6B7AB1D6" w:rsidR="00C571BD" w:rsidRPr="00211099" w:rsidRDefault="00861ADD" w:rsidP="00DB3EAF">
      <w:pPr>
        <w:spacing w:line="276" w:lineRule="auto"/>
        <w:jc w:val="both"/>
        <w:rPr>
          <w:rFonts w:ascii="ArialMT" w:eastAsia="Times New Roman" w:hAnsi="ArialMT" w:cs="Times New Roman"/>
          <w:color w:val="000000" w:themeColor="text1"/>
          <w:sz w:val="22"/>
          <w:lang w:eastAsia="es-ES_tradnl"/>
        </w:rPr>
      </w:pPr>
      <w:r w:rsidRPr="002F711B">
        <w:rPr>
          <w:rFonts w:ascii="Arial" w:eastAsia="Calibri" w:hAnsi="Arial" w:cs="Arial"/>
          <w:color w:val="000000" w:themeColor="text1"/>
          <w:sz w:val="22"/>
          <w:lang w:val="es-MX"/>
        </w:rPr>
        <w:t>En</w:t>
      </w:r>
      <w:r w:rsidRPr="00211099">
        <w:rPr>
          <w:rFonts w:ascii="ArialMT" w:eastAsia="Times New Roman" w:hAnsi="ArialMT" w:cs="Times New Roman"/>
          <w:color w:val="000000" w:themeColor="text1"/>
          <w:sz w:val="22"/>
          <w:lang w:eastAsia="es-ES_tradnl"/>
        </w:rPr>
        <w:t xml:space="preserve"> materia de contratación </w:t>
      </w:r>
      <w:r w:rsidR="00167479" w:rsidRPr="00211099">
        <w:rPr>
          <w:rFonts w:ascii="ArialMT" w:eastAsia="Times New Roman" w:hAnsi="ArialMT" w:cs="Times New Roman"/>
          <w:color w:val="000000" w:themeColor="text1"/>
          <w:sz w:val="22"/>
          <w:lang w:eastAsia="es-ES_tradnl"/>
        </w:rPr>
        <w:t>pública</w:t>
      </w:r>
      <w:r w:rsidR="00D62C42" w:rsidRPr="00211099">
        <w:rPr>
          <w:rFonts w:ascii="ArialMT" w:eastAsia="Times New Roman" w:hAnsi="ArialMT" w:cs="Times New Roman"/>
          <w:color w:val="000000" w:themeColor="text1"/>
          <w:sz w:val="22"/>
          <w:lang w:eastAsia="es-ES_tradnl"/>
        </w:rPr>
        <w:t xml:space="preserve">, </w:t>
      </w:r>
      <w:r w:rsidR="004B0BC7">
        <w:rPr>
          <w:rFonts w:ascii="ArialMT" w:eastAsia="Times New Roman" w:hAnsi="ArialMT" w:cs="Times New Roman"/>
          <w:color w:val="000000" w:themeColor="text1"/>
          <w:sz w:val="22"/>
          <w:lang w:eastAsia="es-ES_tradnl"/>
        </w:rPr>
        <w:t>el marco</w:t>
      </w:r>
      <w:r w:rsidR="00D62C42" w:rsidRPr="00211099">
        <w:rPr>
          <w:rFonts w:ascii="ArialMT" w:eastAsia="Times New Roman" w:hAnsi="ArialMT" w:cs="Times New Roman"/>
          <w:color w:val="000000" w:themeColor="text1"/>
          <w:sz w:val="22"/>
          <w:lang w:eastAsia="es-ES_tradnl"/>
        </w:rPr>
        <w:t xml:space="preserve"> normativ</w:t>
      </w:r>
      <w:r w:rsidR="004B0BC7">
        <w:rPr>
          <w:rFonts w:ascii="ArialMT" w:eastAsia="Times New Roman" w:hAnsi="ArialMT" w:cs="Times New Roman"/>
          <w:color w:val="000000" w:themeColor="text1"/>
          <w:sz w:val="22"/>
          <w:lang w:eastAsia="es-ES_tradnl"/>
        </w:rPr>
        <w:t>o</w:t>
      </w:r>
      <w:r w:rsidR="00AB06D1" w:rsidRPr="00211099">
        <w:rPr>
          <w:rFonts w:ascii="ArialMT" w:eastAsia="Times New Roman" w:hAnsi="ArialMT" w:cs="Times New Roman"/>
          <w:color w:val="000000" w:themeColor="text1"/>
          <w:sz w:val="22"/>
          <w:lang w:eastAsia="es-ES_tradnl"/>
        </w:rPr>
        <w:t xml:space="preserve"> </w:t>
      </w:r>
      <w:r w:rsidR="00D25A3A" w:rsidRPr="00211099">
        <w:rPr>
          <w:rFonts w:ascii="ArialMT" w:eastAsia="Times New Roman" w:hAnsi="ArialMT" w:cs="Times New Roman"/>
          <w:color w:val="000000" w:themeColor="text1"/>
          <w:sz w:val="22"/>
          <w:lang w:eastAsia="es-ES_tradnl"/>
        </w:rPr>
        <w:t>ha establecido</w:t>
      </w:r>
      <w:r w:rsidR="00167479" w:rsidRPr="00211099">
        <w:rPr>
          <w:rFonts w:ascii="ArialMT" w:eastAsia="Times New Roman" w:hAnsi="ArialMT" w:cs="Times New Roman"/>
          <w:color w:val="000000" w:themeColor="text1"/>
          <w:sz w:val="22"/>
          <w:lang w:eastAsia="es-ES_tradnl"/>
        </w:rPr>
        <w:t xml:space="preserve"> el deber de las entidades públicas de incluir </w:t>
      </w:r>
      <w:r w:rsidR="0046174F" w:rsidRPr="00211099">
        <w:rPr>
          <w:rFonts w:ascii="ArialMT" w:eastAsia="Times New Roman" w:hAnsi="ArialMT" w:cs="Times New Roman"/>
          <w:color w:val="000000" w:themeColor="text1"/>
          <w:sz w:val="22"/>
          <w:lang w:eastAsia="es-ES_tradnl"/>
        </w:rPr>
        <w:t xml:space="preserve">en los pliegos de condiciones </w:t>
      </w:r>
      <w:r w:rsidR="00686486" w:rsidRPr="00211099">
        <w:rPr>
          <w:rFonts w:ascii="ArialMT" w:eastAsia="Times New Roman" w:hAnsi="ArialMT" w:cs="Times New Roman"/>
          <w:color w:val="000000" w:themeColor="text1"/>
          <w:sz w:val="22"/>
          <w:lang w:eastAsia="es-ES_tradnl"/>
        </w:rPr>
        <w:t>o sus equivalentes</w:t>
      </w:r>
      <w:r w:rsidR="00D25A3A" w:rsidRPr="00211099">
        <w:rPr>
          <w:rFonts w:ascii="ArialMT" w:eastAsia="Times New Roman" w:hAnsi="ArialMT" w:cs="Times New Roman"/>
          <w:color w:val="000000" w:themeColor="text1"/>
          <w:sz w:val="22"/>
          <w:lang w:eastAsia="es-ES_tradnl"/>
        </w:rPr>
        <w:t>,</w:t>
      </w:r>
      <w:r w:rsidR="00686486" w:rsidRPr="00211099">
        <w:rPr>
          <w:rFonts w:ascii="ArialMT" w:eastAsia="Times New Roman" w:hAnsi="ArialMT" w:cs="Times New Roman"/>
          <w:color w:val="000000" w:themeColor="text1"/>
          <w:sz w:val="22"/>
          <w:lang w:eastAsia="es-ES_tradnl"/>
        </w:rPr>
        <w:t xml:space="preserve"> </w:t>
      </w:r>
      <w:r w:rsidR="00167479" w:rsidRPr="00211099">
        <w:rPr>
          <w:rFonts w:ascii="ArialMT" w:eastAsia="Times New Roman" w:hAnsi="ArialMT" w:cs="Times New Roman"/>
          <w:color w:val="000000" w:themeColor="text1"/>
          <w:sz w:val="22"/>
          <w:lang w:eastAsia="es-ES_tradnl"/>
        </w:rPr>
        <w:t xml:space="preserve">la estimación, tipificación y asignación de riesgos previsibles </w:t>
      </w:r>
      <w:r w:rsidR="00D937E1" w:rsidRPr="00211099">
        <w:rPr>
          <w:rFonts w:ascii="ArialMT" w:eastAsia="Times New Roman" w:hAnsi="ArialMT" w:cs="Times New Roman"/>
          <w:color w:val="000000" w:themeColor="text1"/>
          <w:sz w:val="22"/>
          <w:lang w:eastAsia="es-ES_tradnl"/>
        </w:rPr>
        <w:t>involucrados en la contratación</w:t>
      </w:r>
      <w:r w:rsidR="00814EE7" w:rsidRPr="00211099">
        <w:rPr>
          <w:rFonts w:ascii="ArialMT" w:eastAsia="Times New Roman" w:hAnsi="ArialMT" w:cs="Times New Roman"/>
          <w:color w:val="000000" w:themeColor="text1"/>
          <w:sz w:val="22"/>
          <w:lang w:eastAsia="es-ES_tradnl"/>
        </w:rPr>
        <w:t>. Esto</w:t>
      </w:r>
      <w:r w:rsidR="006C0517" w:rsidRPr="00211099">
        <w:rPr>
          <w:rFonts w:ascii="ArialMT" w:eastAsia="Times New Roman" w:hAnsi="ArialMT" w:cs="Times New Roman"/>
          <w:color w:val="000000" w:themeColor="text1"/>
          <w:sz w:val="22"/>
          <w:lang w:eastAsia="es-ES_tradnl"/>
        </w:rPr>
        <w:t>,</w:t>
      </w:r>
      <w:r w:rsidR="00814EE7" w:rsidRPr="00211099">
        <w:rPr>
          <w:rFonts w:ascii="ArialMT" w:eastAsia="Times New Roman" w:hAnsi="ArialMT" w:cs="Times New Roman"/>
          <w:color w:val="000000" w:themeColor="text1"/>
          <w:sz w:val="22"/>
          <w:lang w:eastAsia="es-ES_tradnl"/>
        </w:rPr>
        <w:t xml:space="preserve"> con el</w:t>
      </w:r>
      <w:r w:rsidR="00D937E1" w:rsidRPr="00211099">
        <w:rPr>
          <w:rFonts w:ascii="ArialMT" w:eastAsia="Times New Roman" w:hAnsi="ArialMT" w:cs="Times New Roman"/>
          <w:color w:val="000000" w:themeColor="text1"/>
          <w:sz w:val="22"/>
          <w:lang w:eastAsia="es-ES_tradnl"/>
        </w:rPr>
        <w:t xml:space="preserve"> fin de </w:t>
      </w:r>
      <w:r w:rsidR="00960C4B" w:rsidRPr="00211099">
        <w:rPr>
          <w:rFonts w:ascii="ArialMT" w:eastAsia="Times New Roman" w:hAnsi="ArialMT" w:cs="Times New Roman"/>
          <w:color w:val="000000" w:themeColor="text1"/>
          <w:sz w:val="22"/>
          <w:lang w:eastAsia="es-ES_tradnl"/>
        </w:rPr>
        <w:t xml:space="preserve">administrarlos, controlarlos, </w:t>
      </w:r>
      <w:r w:rsidR="00FC6015" w:rsidRPr="00211099">
        <w:rPr>
          <w:rFonts w:ascii="ArialMT" w:eastAsia="Times New Roman" w:hAnsi="ArialMT" w:cs="Times New Roman"/>
          <w:color w:val="000000" w:themeColor="text1"/>
          <w:sz w:val="22"/>
          <w:lang w:eastAsia="es-ES_tradnl"/>
        </w:rPr>
        <w:t>gestionarlos</w:t>
      </w:r>
      <w:r w:rsidR="00246CBC" w:rsidRPr="00211099">
        <w:rPr>
          <w:rFonts w:ascii="ArialMT" w:eastAsia="Times New Roman" w:hAnsi="ArialMT" w:cs="Times New Roman"/>
          <w:color w:val="000000" w:themeColor="text1"/>
          <w:sz w:val="22"/>
          <w:lang w:eastAsia="es-ES_tradnl"/>
        </w:rPr>
        <w:t>, mitigarlos</w:t>
      </w:r>
      <w:r w:rsidR="00D937E1" w:rsidRPr="00211099">
        <w:rPr>
          <w:rFonts w:ascii="ArialMT" w:eastAsia="Times New Roman" w:hAnsi="ArialMT" w:cs="Times New Roman"/>
          <w:color w:val="000000" w:themeColor="text1"/>
          <w:sz w:val="22"/>
          <w:lang w:eastAsia="es-ES_tradnl"/>
        </w:rPr>
        <w:t xml:space="preserve"> y efectuar una distribución </w:t>
      </w:r>
      <w:r w:rsidR="00246CBC" w:rsidRPr="00211099">
        <w:rPr>
          <w:rFonts w:ascii="ArialMT" w:eastAsia="Times New Roman" w:hAnsi="ArialMT" w:cs="Times New Roman"/>
          <w:color w:val="000000" w:themeColor="text1"/>
          <w:sz w:val="22"/>
          <w:lang w:eastAsia="es-ES_tradnl"/>
        </w:rPr>
        <w:t xml:space="preserve">proporcional </w:t>
      </w:r>
      <w:r w:rsidR="005E574C" w:rsidRPr="00211099">
        <w:rPr>
          <w:rFonts w:ascii="ArialMT" w:eastAsia="Times New Roman" w:hAnsi="ArialMT" w:cs="Times New Roman"/>
          <w:color w:val="000000" w:themeColor="text1"/>
          <w:sz w:val="22"/>
          <w:lang w:eastAsia="es-ES_tradnl"/>
        </w:rPr>
        <w:t>entre las partes</w:t>
      </w:r>
      <w:r w:rsidR="00D56B7A" w:rsidRPr="00211099">
        <w:rPr>
          <w:rFonts w:ascii="ArialMT" w:eastAsia="Times New Roman" w:hAnsi="ArialMT" w:cs="Times New Roman"/>
          <w:color w:val="000000" w:themeColor="text1"/>
          <w:sz w:val="22"/>
          <w:lang w:eastAsia="es-ES_tradnl"/>
        </w:rPr>
        <w:t>,</w:t>
      </w:r>
      <w:r w:rsidR="00D50B5C" w:rsidRPr="00211099">
        <w:rPr>
          <w:rFonts w:ascii="ArialMT" w:eastAsia="Times New Roman" w:hAnsi="ArialMT" w:cs="Times New Roman"/>
          <w:color w:val="000000" w:themeColor="text1"/>
          <w:sz w:val="22"/>
          <w:lang w:eastAsia="es-ES_tradnl"/>
        </w:rPr>
        <w:t xml:space="preserve"> «actividad que debe sujetarse a un criterio de justicia y equidad, al tiempo que corresponde ejercerse con apego a los principios y reglas constitucionales y legales que orientan la actividad contractual del Estado</w:t>
      </w:r>
      <w:r w:rsidR="00FA14EF" w:rsidRPr="003168D4">
        <w:rPr>
          <w:rFonts w:ascii="Arial" w:eastAsia="Calibri" w:hAnsi="Arial" w:cs="Arial"/>
          <w:color w:val="000000" w:themeColor="text1"/>
          <w:sz w:val="22"/>
        </w:rPr>
        <w:t>»</w:t>
      </w:r>
      <w:r w:rsidR="00D50B5C" w:rsidRPr="003875DC">
        <w:rPr>
          <w:rFonts w:ascii="Arial" w:hAnsi="Arial" w:cs="Arial"/>
          <w:vertAlign w:val="superscript"/>
        </w:rPr>
        <w:footnoteReference w:id="1"/>
      </w:r>
      <w:r w:rsidR="0052779B" w:rsidRPr="003168D4">
        <w:rPr>
          <w:rFonts w:ascii="Arial" w:eastAsia="Calibri" w:hAnsi="Arial" w:cs="Arial"/>
          <w:color w:val="000000" w:themeColor="text1"/>
          <w:sz w:val="22"/>
        </w:rPr>
        <w:t>.</w:t>
      </w:r>
      <w:r w:rsidR="00FA14EF">
        <w:rPr>
          <w:rFonts w:ascii="Arial" w:eastAsia="Calibri" w:hAnsi="Arial" w:cs="Arial"/>
          <w:color w:val="000000" w:themeColor="text1"/>
          <w:sz w:val="22"/>
        </w:rPr>
        <w:t xml:space="preserve"> </w:t>
      </w:r>
      <w:r w:rsidR="00F03C84" w:rsidRPr="00211099">
        <w:rPr>
          <w:rFonts w:ascii="ArialMT" w:eastAsia="Times New Roman" w:hAnsi="ArialMT" w:cs="Times New Roman"/>
          <w:color w:val="000000" w:themeColor="text1"/>
          <w:sz w:val="22"/>
          <w:lang w:eastAsia="es-ES_tradnl"/>
        </w:rPr>
        <w:t>L</w:t>
      </w:r>
      <w:r w:rsidR="00FE7B74" w:rsidRPr="00211099">
        <w:rPr>
          <w:rFonts w:ascii="ArialMT" w:eastAsia="Times New Roman" w:hAnsi="ArialMT" w:cs="Times New Roman"/>
          <w:color w:val="000000" w:themeColor="text1"/>
          <w:sz w:val="22"/>
          <w:lang w:eastAsia="es-ES_tradnl"/>
        </w:rPr>
        <w:t>a</w:t>
      </w:r>
      <w:r w:rsidR="005E574C" w:rsidRPr="00211099">
        <w:rPr>
          <w:rFonts w:ascii="ArialMT" w:eastAsia="Times New Roman" w:hAnsi="ArialMT" w:cs="Times New Roman"/>
          <w:color w:val="000000" w:themeColor="text1"/>
          <w:sz w:val="22"/>
          <w:lang w:eastAsia="es-ES_tradnl"/>
        </w:rPr>
        <w:t xml:space="preserve"> Ley 1150 de </w:t>
      </w:r>
      <w:r w:rsidR="003168D4" w:rsidRPr="00211099">
        <w:rPr>
          <w:rFonts w:ascii="ArialMT" w:eastAsia="Times New Roman" w:hAnsi="ArialMT" w:cs="Times New Roman"/>
          <w:color w:val="000000" w:themeColor="text1"/>
          <w:sz w:val="22"/>
          <w:lang w:eastAsia="es-ES_tradnl"/>
        </w:rPr>
        <w:t>20</w:t>
      </w:r>
      <w:r w:rsidR="003168D4">
        <w:rPr>
          <w:rFonts w:ascii="ArialMT" w:eastAsia="Times New Roman" w:hAnsi="ArialMT" w:cs="Times New Roman"/>
          <w:color w:val="000000" w:themeColor="text1"/>
          <w:sz w:val="22"/>
          <w:lang w:eastAsia="es-ES_tradnl"/>
        </w:rPr>
        <w:t>07</w:t>
      </w:r>
      <w:r w:rsidR="004D178B" w:rsidRPr="00211099">
        <w:rPr>
          <w:rFonts w:ascii="ArialMT" w:eastAsia="Times New Roman" w:hAnsi="ArialMT" w:cs="Times New Roman"/>
          <w:color w:val="000000" w:themeColor="text1"/>
          <w:sz w:val="22"/>
          <w:lang w:eastAsia="es-ES_tradnl"/>
        </w:rPr>
        <w:t>, en su artículo 4</w:t>
      </w:r>
      <w:r w:rsidR="00F03C84" w:rsidRPr="00211099">
        <w:rPr>
          <w:rFonts w:ascii="ArialMT" w:eastAsia="Times New Roman" w:hAnsi="ArialMT" w:cs="Times New Roman"/>
          <w:color w:val="000000" w:themeColor="text1"/>
          <w:sz w:val="22"/>
          <w:lang w:eastAsia="es-ES_tradnl"/>
        </w:rPr>
        <w:t>,</w:t>
      </w:r>
      <w:r w:rsidR="00FE7B74" w:rsidRPr="00211099">
        <w:rPr>
          <w:rFonts w:ascii="ArialMT" w:eastAsia="Times New Roman" w:hAnsi="ArialMT" w:cs="Times New Roman"/>
          <w:color w:val="000000" w:themeColor="text1"/>
          <w:sz w:val="22"/>
          <w:lang w:eastAsia="es-ES_tradnl"/>
        </w:rPr>
        <w:t xml:space="preserve"> regula la materia y prescribe lo siguiente</w:t>
      </w:r>
      <w:r w:rsidR="00D25A3A" w:rsidRPr="00211099">
        <w:rPr>
          <w:rFonts w:ascii="ArialMT" w:eastAsia="Times New Roman" w:hAnsi="ArialMT" w:cs="Times New Roman"/>
          <w:color w:val="000000" w:themeColor="text1"/>
          <w:sz w:val="22"/>
          <w:lang w:eastAsia="es-ES_tradnl"/>
        </w:rPr>
        <w:t xml:space="preserve">: </w:t>
      </w:r>
    </w:p>
    <w:p w14:paraId="3B97DA29" w14:textId="77777777" w:rsidR="00D25A3A" w:rsidRPr="00211099" w:rsidRDefault="00D25A3A" w:rsidP="00DB3EAF">
      <w:pPr>
        <w:spacing w:line="276" w:lineRule="auto"/>
        <w:ind w:firstLine="709"/>
        <w:jc w:val="both"/>
        <w:rPr>
          <w:rFonts w:ascii="ArialMT" w:eastAsia="Times New Roman" w:hAnsi="ArialMT" w:cs="Times New Roman"/>
          <w:color w:val="000000" w:themeColor="text1"/>
          <w:sz w:val="19"/>
          <w:szCs w:val="19"/>
          <w:lang w:eastAsia="es-ES_tradnl"/>
        </w:rPr>
      </w:pPr>
    </w:p>
    <w:p w14:paraId="2263B123" w14:textId="77777777" w:rsidR="00D25A3A" w:rsidRPr="008D154D" w:rsidRDefault="00D25A3A" w:rsidP="00D25A3A">
      <w:pPr>
        <w:ind w:left="709" w:right="709"/>
        <w:jc w:val="both"/>
        <w:rPr>
          <w:rFonts w:ascii="Arial" w:hAnsi="Arial" w:cs="Arial"/>
          <w:color w:val="000000" w:themeColor="text1"/>
          <w:sz w:val="19"/>
          <w:szCs w:val="19"/>
        </w:rPr>
      </w:pPr>
      <w:r w:rsidRPr="008D154D">
        <w:rPr>
          <w:rFonts w:ascii="Arial" w:hAnsi="Arial" w:cs="Arial"/>
          <w:color w:val="000000" w:themeColor="text1"/>
          <w:sz w:val="19"/>
          <w:szCs w:val="19"/>
        </w:rPr>
        <w:t>ARTÍCULO 4o. DE LA DISTRIBUCIÓN DE RIESGOS EN LOS CONTRATOS ESTATALES. Los pliegos de condiciones o sus equivalentes deberán incluir la estimación, tipificación y asignación de los riesgos previsibles involucrados en la contratación.</w:t>
      </w:r>
    </w:p>
    <w:p w14:paraId="658F62B4" w14:textId="77777777" w:rsidR="00D25A3A" w:rsidRPr="008D154D" w:rsidRDefault="00D25A3A" w:rsidP="00D25A3A">
      <w:pPr>
        <w:ind w:left="709" w:right="709"/>
        <w:jc w:val="both"/>
        <w:rPr>
          <w:rFonts w:ascii="Arial" w:hAnsi="Arial" w:cs="Arial"/>
          <w:color w:val="000000" w:themeColor="text1"/>
          <w:sz w:val="19"/>
          <w:szCs w:val="19"/>
        </w:rPr>
      </w:pPr>
    </w:p>
    <w:p w14:paraId="584654F0" w14:textId="48CA8F2C" w:rsidR="00C571BD" w:rsidRPr="008D154D" w:rsidRDefault="00D25A3A" w:rsidP="00D25A3A">
      <w:pPr>
        <w:ind w:left="709" w:right="709"/>
        <w:jc w:val="both"/>
        <w:rPr>
          <w:rFonts w:ascii="Arial" w:hAnsi="Arial" w:cs="Arial"/>
          <w:color w:val="000000" w:themeColor="text1"/>
          <w:sz w:val="19"/>
          <w:szCs w:val="19"/>
        </w:rPr>
      </w:pPr>
      <w:r w:rsidRPr="008D154D">
        <w:rPr>
          <w:rFonts w:ascii="Arial" w:hAnsi="Arial" w:cs="Arial"/>
          <w:color w:val="000000" w:themeColor="text1"/>
          <w:sz w:val="19"/>
          <w:szCs w:val="19"/>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2D7D566A" w14:textId="77777777" w:rsidR="00D25A3A" w:rsidRPr="00211099" w:rsidRDefault="00D25A3A" w:rsidP="00DB3EAF">
      <w:pPr>
        <w:spacing w:line="276" w:lineRule="auto"/>
        <w:ind w:left="709" w:right="709"/>
        <w:jc w:val="both"/>
        <w:rPr>
          <w:rFonts w:ascii="Arial" w:eastAsia="Calibri" w:hAnsi="Arial" w:cs="Arial"/>
          <w:color w:val="000000"/>
          <w:sz w:val="21"/>
          <w:szCs w:val="21"/>
        </w:rPr>
      </w:pPr>
    </w:p>
    <w:p w14:paraId="6E2A49F8" w14:textId="7A11E444" w:rsidR="00FE7B74" w:rsidRPr="00211099" w:rsidRDefault="00FE7B74" w:rsidP="001F32E2">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 xml:space="preserve">De la lectura de este precepto se </w:t>
      </w:r>
      <w:r w:rsidR="00B20506">
        <w:rPr>
          <w:rFonts w:ascii="ArialMT" w:eastAsia="Times New Roman" w:hAnsi="ArialMT" w:cs="Times New Roman"/>
          <w:color w:val="000000" w:themeColor="text1"/>
          <w:sz w:val="22"/>
          <w:lang w:eastAsia="es-ES_tradnl"/>
        </w:rPr>
        <w:t>deduce</w:t>
      </w:r>
      <w:r w:rsidR="00B20506"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 xml:space="preserve">que, en los procesos de selección, las entidades estatales deben incorporar en sus pliegos de condiciones la estimación, tipificación y asignación de </w:t>
      </w:r>
      <w:r w:rsidR="00943E3A">
        <w:rPr>
          <w:rFonts w:ascii="ArialMT" w:eastAsia="Times New Roman" w:hAnsi="ArialMT" w:cs="Times New Roman"/>
          <w:color w:val="000000" w:themeColor="text1"/>
          <w:sz w:val="22"/>
          <w:lang w:eastAsia="es-ES_tradnl"/>
        </w:rPr>
        <w:t xml:space="preserve">los </w:t>
      </w:r>
      <w:r w:rsidRPr="00211099">
        <w:rPr>
          <w:rFonts w:ascii="ArialMT" w:eastAsia="Times New Roman" w:hAnsi="ArialMT" w:cs="Times New Roman"/>
          <w:color w:val="000000" w:themeColor="text1"/>
          <w:sz w:val="22"/>
          <w:lang w:eastAsia="es-ES_tradnl"/>
        </w:rPr>
        <w:t xml:space="preserve">riesgos previsibles. </w:t>
      </w:r>
      <w:r w:rsidR="008613A1" w:rsidRPr="00211099">
        <w:rPr>
          <w:rFonts w:ascii="ArialMT" w:eastAsia="Times New Roman" w:hAnsi="ArialMT" w:cs="Times New Roman"/>
          <w:color w:val="000000" w:themeColor="text1"/>
          <w:sz w:val="22"/>
          <w:lang w:eastAsia="es-ES_tradnl"/>
        </w:rPr>
        <w:t xml:space="preserve">En </w:t>
      </w:r>
      <w:r w:rsidR="006C0517" w:rsidRPr="00211099">
        <w:rPr>
          <w:rFonts w:ascii="ArialMT" w:eastAsia="Times New Roman" w:hAnsi="ArialMT" w:cs="Times New Roman"/>
          <w:color w:val="000000" w:themeColor="text1"/>
          <w:sz w:val="22"/>
          <w:lang w:eastAsia="es-ES_tradnl"/>
        </w:rPr>
        <w:t>lo concerniente a</w:t>
      </w:r>
      <w:r w:rsidRPr="00211099">
        <w:rPr>
          <w:rFonts w:ascii="ArialMT" w:eastAsia="Times New Roman" w:hAnsi="ArialMT" w:cs="Times New Roman"/>
          <w:color w:val="000000" w:themeColor="text1"/>
          <w:sz w:val="22"/>
          <w:lang w:eastAsia="es-ES_tradnl"/>
        </w:rPr>
        <w:t xml:space="preserve"> la licitación pública, </w:t>
      </w:r>
      <w:r w:rsidR="008613A1" w:rsidRPr="00211099">
        <w:rPr>
          <w:rFonts w:ascii="ArialMT" w:eastAsia="Times New Roman" w:hAnsi="ArialMT" w:cs="Times New Roman"/>
          <w:color w:val="000000" w:themeColor="text1"/>
          <w:sz w:val="22"/>
          <w:lang w:eastAsia="es-ES_tradnl"/>
        </w:rPr>
        <w:t>además de lo anterior, se impone el deber a las entidades públicas de establecer un espacio para que</w:t>
      </w:r>
      <w:r w:rsidRPr="00211099">
        <w:rPr>
          <w:rFonts w:ascii="ArialMT" w:eastAsia="Times New Roman" w:hAnsi="ArialMT" w:cs="Times New Roman"/>
          <w:color w:val="000000" w:themeColor="text1"/>
          <w:sz w:val="22"/>
          <w:lang w:eastAsia="es-ES_tradnl"/>
        </w:rPr>
        <w:t xml:space="preserve"> los oferentes y la entidad </w:t>
      </w:r>
      <w:r w:rsidR="008613A1" w:rsidRPr="00211099">
        <w:rPr>
          <w:rFonts w:ascii="ArialMT" w:eastAsia="Times New Roman" w:hAnsi="ArialMT" w:cs="Times New Roman"/>
          <w:color w:val="000000" w:themeColor="text1"/>
          <w:sz w:val="22"/>
          <w:lang w:eastAsia="es-ES_tradnl"/>
        </w:rPr>
        <w:t>revisen</w:t>
      </w:r>
      <w:r w:rsidRPr="00211099">
        <w:rPr>
          <w:rFonts w:ascii="ArialMT" w:eastAsia="Times New Roman" w:hAnsi="ArialMT" w:cs="Times New Roman"/>
          <w:color w:val="000000" w:themeColor="text1"/>
          <w:sz w:val="22"/>
          <w:lang w:eastAsia="es-ES_tradnl"/>
        </w:rPr>
        <w:t xml:space="preserve"> la asignación de </w:t>
      </w:r>
      <w:r w:rsidR="00281C0E">
        <w:rPr>
          <w:rFonts w:ascii="ArialMT" w:eastAsia="Times New Roman" w:hAnsi="ArialMT" w:cs="Times New Roman"/>
          <w:color w:val="000000" w:themeColor="text1"/>
          <w:sz w:val="22"/>
          <w:lang w:eastAsia="es-ES_tradnl"/>
        </w:rPr>
        <w:t xml:space="preserve">los </w:t>
      </w:r>
      <w:r w:rsidRPr="00211099">
        <w:rPr>
          <w:rFonts w:ascii="ArialMT" w:eastAsia="Times New Roman" w:hAnsi="ArialMT" w:cs="Times New Roman"/>
          <w:color w:val="000000" w:themeColor="text1"/>
          <w:sz w:val="22"/>
          <w:lang w:eastAsia="es-ES_tradnl"/>
        </w:rPr>
        <w:t>riesgos</w:t>
      </w:r>
      <w:r w:rsidR="008613A1" w:rsidRPr="00211099">
        <w:rPr>
          <w:rFonts w:ascii="ArialMT" w:eastAsia="Times New Roman" w:hAnsi="ArialMT" w:cs="Times New Roman"/>
          <w:color w:val="000000" w:themeColor="text1"/>
          <w:sz w:val="22"/>
          <w:lang w:eastAsia="es-ES_tradnl"/>
        </w:rPr>
        <w:t>,</w:t>
      </w:r>
      <w:r w:rsidRPr="00211099">
        <w:rPr>
          <w:rFonts w:ascii="ArialMT" w:eastAsia="Times New Roman" w:hAnsi="ArialMT" w:cs="Times New Roman"/>
          <w:color w:val="000000" w:themeColor="text1"/>
          <w:sz w:val="22"/>
          <w:lang w:eastAsia="es-ES_tradnl"/>
        </w:rPr>
        <w:t xml:space="preserve"> </w:t>
      </w:r>
      <w:r w:rsidR="008613A1" w:rsidRPr="00211099">
        <w:rPr>
          <w:rFonts w:ascii="ArialMT" w:eastAsia="Times New Roman" w:hAnsi="ArialMT" w:cs="Times New Roman"/>
          <w:color w:val="000000" w:themeColor="text1"/>
          <w:sz w:val="22"/>
          <w:lang w:eastAsia="es-ES_tradnl"/>
        </w:rPr>
        <w:t xml:space="preserve">con el fin de </w:t>
      </w:r>
      <w:r w:rsidR="008613A1" w:rsidRPr="00211099">
        <w:rPr>
          <w:rFonts w:ascii="ArialMT" w:eastAsia="Times New Roman" w:hAnsi="ArialMT" w:cs="Times New Roman"/>
          <w:color w:val="000000" w:themeColor="text1"/>
          <w:sz w:val="22"/>
          <w:lang w:eastAsia="es-ES_tradnl"/>
        </w:rPr>
        <w:lastRenderedPageBreak/>
        <w:t>determinar</w:t>
      </w:r>
      <w:r w:rsidRPr="00211099">
        <w:rPr>
          <w:rFonts w:ascii="ArialMT" w:eastAsia="Times New Roman" w:hAnsi="ArialMT" w:cs="Times New Roman"/>
          <w:color w:val="000000" w:themeColor="text1"/>
          <w:sz w:val="22"/>
          <w:lang w:eastAsia="es-ES_tradnl"/>
        </w:rPr>
        <w:t xml:space="preserve"> su distribución definitiva</w:t>
      </w:r>
      <w:r w:rsidR="00F9668A">
        <w:rPr>
          <w:rFonts w:ascii="ArialMT" w:eastAsia="Times New Roman" w:hAnsi="ArialMT" w:cs="Times New Roman"/>
          <w:color w:val="000000" w:themeColor="text1"/>
          <w:sz w:val="22"/>
          <w:lang w:eastAsia="es-ES_tradnl"/>
        </w:rPr>
        <w:t>, lo cual</w:t>
      </w:r>
      <w:r w:rsidR="00281C0E">
        <w:rPr>
          <w:rFonts w:ascii="ArialMT" w:eastAsia="Times New Roman" w:hAnsi="ArialMT" w:cs="Times New Roman"/>
          <w:color w:val="000000" w:themeColor="text1"/>
          <w:sz w:val="22"/>
          <w:lang w:eastAsia="es-ES_tradnl"/>
        </w:rPr>
        <w:t xml:space="preserve"> debe efectuarse</w:t>
      </w:r>
      <w:r w:rsidRPr="00211099">
        <w:rPr>
          <w:rFonts w:ascii="ArialMT" w:eastAsia="Times New Roman" w:hAnsi="ArialMT" w:cs="Times New Roman"/>
          <w:color w:val="000000" w:themeColor="text1"/>
          <w:sz w:val="22"/>
          <w:lang w:eastAsia="es-ES_tradnl"/>
        </w:rPr>
        <w:t xml:space="preserve"> con anterioridad a la presentación de las ofertas. </w:t>
      </w:r>
    </w:p>
    <w:p w14:paraId="71452FAB" w14:textId="53BFA460" w:rsidR="00FF349F" w:rsidRPr="00211099" w:rsidRDefault="00AB06D1" w:rsidP="001F32E2">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E</w:t>
      </w:r>
      <w:r w:rsidR="00475C68" w:rsidRPr="00211099">
        <w:rPr>
          <w:rFonts w:ascii="ArialMT" w:eastAsia="Times New Roman" w:hAnsi="ArialMT" w:cs="Times New Roman"/>
          <w:color w:val="000000" w:themeColor="text1"/>
          <w:sz w:val="22"/>
          <w:lang w:eastAsia="es-ES_tradnl"/>
        </w:rPr>
        <w:t>n igual</w:t>
      </w:r>
      <w:r w:rsidRPr="00211099">
        <w:rPr>
          <w:rFonts w:ascii="ArialMT" w:eastAsia="Times New Roman" w:hAnsi="ArialMT" w:cs="Times New Roman"/>
          <w:color w:val="000000" w:themeColor="text1"/>
          <w:sz w:val="22"/>
          <w:lang w:eastAsia="es-ES_tradnl"/>
        </w:rPr>
        <w:t xml:space="preserve"> sentido</w:t>
      </w:r>
      <w:r w:rsidR="005E574C" w:rsidRPr="00211099">
        <w:rPr>
          <w:rFonts w:ascii="ArialMT" w:eastAsia="Times New Roman" w:hAnsi="ArialMT" w:cs="Times New Roman"/>
          <w:color w:val="000000" w:themeColor="text1"/>
          <w:sz w:val="22"/>
          <w:lang w:eastAsia="es-ES_tradnl"/>
        </w:rPr>
        <w:t xml:space="preserve">, </w:t>
      </w:r>
      <w:r w:rsidR="00FE7B74" w:rsidRPr="00211099">
        <w:rPr>
          <w:rFonts w:ascii="ArialMT" w:eastAsia="Times New Roman" w:hAnsi="ArialMT" w:cs="Times New Roman"/>
          <w:color w:val="000000" w:themeColor="text1"/>
          <w:sz w:val="22"/>
          <w:lang w:eastAsia="es-ES_tradnl"/>
        </w:rPr>
        <w:t>el artí</w:t>
      </w:r>
      <w:r w:rsidRPr="00211099">
        <w:rPr>
          <w:rFonts w:ascii="ArialMT" w:eastAsia="Times New Roman" w:hAnsi="ArialMT" w:cs="Times New Roman"/>
          <w:color w:val="000000" w:themeColor="text1"/>
          <w:sz w:val="22"/>
          <w:lang w:eastAsia="es-ES_tradnl"/>
        </w:rPr>
        <w:t>culo 30 numeral 4 de la Ley 80 de 1993, modificado por el artículo 220 de</w:t>
      </w:r>
      <w:r w:rsidR="008613A1" w:rsidRPr="00211099">
        <w:rPr>
          <w:rFonts w:ascii="ArialMT" w:eastAsia="Times New Roman" w:hAnsi="ArialMT" w:cs="Times New Roman"/>
          <w:color w:val="000000" w:themeColor="text1"/>
          <w:sz w:val="22"/>
          <w:lang w:eastAsia="es-ES_tradnl"/>
        </w:rPr>
        <w:t xml:space="preserve">l Decreto 019 de 2012, </w:t>
      </w:r>
      <w:r w:rsidR="00264BE7">
        <w:rPr>
          <w:rFonts w:ascii="ArialMT" w:eastAsia="Times New Roman" w:hAnsi="ArialMT" w:cs="Times New Roman"/>
          <w:color w:val="000000" w:themeColor="text1"/>
          <w:sz w:val="22"/>
          <w:lang w:eastAsia="es-ES_tradnl"/>
        </w:rPr>
        <w:t>indica</w:t>
      </w:r>
      <w:r w:rsidR="00264BE7" w:rsidRPr="00211099">
        <w:rPr>
          <w:rFonts w:ascii="ArialMT" w:eastAsia="Times New Roman" w:hAnsi="ArialMT" w:cs="Times New Roman"/>
          <w:color w:val="000000" w:themeColor="text1"/>
          <w:sz w:val="22"/>
          <w:lang w:eastAsia="es-ES_tradnl"/>
        </w:rPr>
        <w:t xml:space="preserve"> </w:t>
      </w:r>
      <w:r w:rsidR="008613A1" w:rsidRPr="00211099">
        <w:rPr>
          <w:rFonts w:ascii="ArialMT" w:eastAsia="Times New Roman" w:hAnsi="ArialMT" w:cs="Times New Roman"/>
          <w:color w:val="000000" w:themeColor="text1"/>
          <w:sz w:val="22"/>
          <w:lang w:eastAsia="es-ES_tradnl"/>
        </w:rPr>
        <w:t xml:space="preserve">que en los procesos de licitación </w:t>
      </w:r>
      <w:r w:rsidR="002233A4" w:rsidRPr="00211099">
        <w:rPr>
          <w:rFonts w:ascii="ArialMT" w:eastAsia="Times New Roman" w:hAnsi="ArialMT" w:cs="Times New Roman"/>
          <w:color w:val="000000" w:themeColor="text1"/>
          <w:sz w:val="22"/>
          <w:lang w:eastAsia="es-ES_tradnl"/>
        </w:rPr>
        <w:t>pública se</w:t>
      </w:r>
      <w:r w:rsidR="008613A1" w:rsidRPr="00211099">
        <w:rPr>
          <w:rFonts w:ascii="ArialMT" w:eastAsia="Times New Roman" w:hAnsi="ArialMT" w:cs="Times New Roman"/>
          <w:color w:val="000000" w:themeColor="text1"/>
          <w:sz w:val="22"/>
          <w:lang w:eastAsia="es-ES_tradnl"/>
        </w:rPr>
        <w:t xml:space="preserve"> debe revisar </w:t>
      </w:r>
      <w:r w:rsidRPr="00211099">
        <w:rPr>
          <w:rFonts w:ascii="ArialMT" w:eastAsia="Times New Roman" w:hAnsi="ArialMT" w:cs="Times New Roman"/>
          <w:color w:val="000000" w:themeColor="text1"/>
          <w:sz w:val="22"/>
          <w:lang w:eastAsia="es-ES_tradnl"/>
        </w:rPr>
        <w:t xml:space="preserve">en audiencia la asignación </w:t>
      </w:r>
      <w:r w:rsidR="0046174F" w:rsidRPr="00211099">
        <w:rPr>
          <w:rFonts w:ascii="ArialMT" w:eastAsia="Times New Roman" w:hAnsi="ArialMT" w:cs="Times New Roman"/>
          <w:color w:val="000000" w:themeColor="text1"/>
          <w:sz w:val="22"/>
          <w:lang w:eastAsia="es-ES_tradnl"/>
        </w:rPr>
        <w:t>d</w:t>
      </w:r>
      <w:r w:rsidRPr="00211099">
        <w:rPr>
          <w:rFonts w:ascii="ArialMT" w:eastAsia="Times New Roman" w:hAnsi="ArialMT" w:cs="Times New Roman"/>
          <w:color w:val="000000" w:themeColor="text1"/>
          <w:sz w:val="22"/>
          <w:lang w:eastAsia="es-ES_tradnl"/>
        </w:rPr>
        <w:t>e riesgos previsibles</w:t>
      </w:r>
      <w:r w:rsidR="00223524" w:rsidRPr="00211099">
        <w:rPr>
          <w:rFonts w:ascii="ArialMT" w:eastAsia="Times New Roman" w:hAnsi="ArialMT" w:cs="Times New Roman"/>
          <w:color w:val="000000" w:themeColor="text1"/>
          <w:sz w:val="22"/>
          <w:lang w:eastAsia="es-ES_tradnl"/>
        </w:rPr>
        <w:t>,</w:t>
      </w:r>
      <w:r w:rsidRPr="00211099">
        <w:rPr>
          <w:rFonts w:ascii="ArialMT" w:eastAsia="Times New Roman" w:hAnsi="ArialMT" w:cs="Times New Roman"/>
          <w:color w:val="000000" w:themeColor="text1"/>
          <w:sz w:val="22"/>
          <w:lang w:eastAsia="es-ES_tradnl"/>
        </w:rPr>
        <w:t xml:space="preserve"> con el fin de establecer su estimación, tipificación y asignación</w:t>
      </w:r>
      <w:r w:rsidR="008613A1" w:rsidRPr="00211099">
        <w:rPr>
          <w:rFonts w:ascii="ArialMT" w:eastAsia="Times New Roman" w:hAnsi="ArialMT" w:cs="Times New Roman"/>
          <w:color w:val="000000" w:themeColor="text1"/>
          <w:sz w:val="22"/>
          <w:lang w:eastAsia="es-ES_tradnl"/>
        </w:rPr>
        <w:t xml:space="preserve"> definitiva. Al </w:t>
      </w:r>
      <w:r w:rsidR="00FF349F" w:rsidRPr="00211099">
        <w:rPr>
          <w:rFonts w:ascii="ArialMT" w:eastAsia="Times New Roman" w:hAnsi="ArialMT" w:cs="Times New Roman"/>
          <w:color w:val="000000" w:themeColor="text1"/>
          <w:sz w:val="22"/>
          <w:lang w:eastAsia="es-ES_tradnl"/>
        </w:rPr>
        <w:t xml:space="preserve">respecto, </w:t>
      </w:r>
      <w:r w:rsidR="006C0517" w:rsidRPr="00211099">
        <w:rPr>
          <w:rFonts w:ascii="ArialMT" w:eastAsia="Times New Roman" w:hAnsi="ArialMT" w:cs="Times New Roman"/>
          <w:color w:val="000000" w:themeColor="text1"/>
          <w:sz w:val="22"/>
          <w:lang w:eastAsia="es-ES_tradnl"/>
        </w:rPr>
        <w:t xml:space="preserve">esta norma </w:t>
      </w:r>
      <w:r w:rsidR="00FF349F" w:rsidRPr="00211099">
        <w:rPr>
          <w:rFonts w:ascii="ArialMT" w:eastAsia="Times New Roman" w:hAnsi="ArialMT" w:cs="Times New Roman"/>
          <w:color w:val="000000" w:themeColor="text1"/>
          <w:sz w:val="22"/>
          <w:lang w:eastAsia="es-ES_tradnl"/>
        </w:rPr>
        <w:t>dispone lo siguiente:</w:t>
      </w:r>
    </w:p>
    <w:p w14:paraId="186F7274" w14:textId="0EF87037" w:rsidR="008613A1" w:rsidRPr="00211099" w:rsidRDefault="00FF349F" w:rsidP="00FF349F">
      <w:pPr>
        <w:ind w:left="709" w:right="709"/>
        <w:jc w:val="both"/>
        <w:rPr>
          <w:rFonts w:ascii="Arial" w:eastAsia="Calibri" w:hAnsi="Arial" w:cs="Arial"/>
          <w:color w:val="000000"/>
          <w:sz w:val="19"/>
          <w:szCs w:val="19"/>
        </w:rPr>
      </w:pPr>
      <w:bookmarkStart w:id="2" w:name="30"/>
      <w:r w:rsidRPr="00211099">
        <w:rPr>
          <w:rFonts w:ascii="Arial" w:eastAsia="Calibri" w:hAnsi="Arial" w:cs="Arial"/>
          <w:color w:val="000000"/>
          <w:sz w:val="19"/>
          <w:szCs w:val="19"/>
        </w:rPr>
        <w:t>ARTÍCULO 30. DE LA ESTRUCTURA DE LOS PROCEDIMIENTOS DE SELECCIÓN.</w:t>
      </w:r>
      <w:bookmarkEnd w:id="2"/>
      <w:r w:rsidRPr="00211099">
        <w:rPr>
          <w:rFonts w:ascii="Arial" w:eastAsia="Calibri" w:hAnsi="Arial" w:cs="Arial"/>
          <w:color w:val="000000"/>
          <w:sz w:val="19"/>
          <w:szCs w:val="19"/>
        </w:rPr>
        <w:t xml:space="preserve"> La licitación se efectuará conforme a las siguientes reglas:</w:t>
      </w:r>
    </w:p>
    <w:p w14:paraId="020E14EB" w14:textId="77777777" w:rsidR="00FF349F" w:rsidRPr="00211099" w:rsidRDefault="00FF349F" w:rsidP="00FF349F">
      <w:pPr>
        <w:ind w:left="709" w:right="709"/>
        <w:jc w:val="both"/>
        <w:rPr>
          <w:rFonts w:ascii="Arial" w:eastAsia="Calibri" w:hAnsi="Arial" w:cs="Arial"/>
          <w:color w:val="000000"/>
          <w:sz w:val="19"/>
          <w:szCs w:val="19"/>
        </w:rPr>
      </w:pPr>
    </w:p>
    <w:p w14:paraId="4F180958" w14:textId="6C8E7FA1" w:rsidR="00FF349F" w:rsidRPr="00211099" w:rsidRDefault="00FF349F" w:rsidP="00FF349F">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4o. &lt;Numeral modificado por el artículo 220 del Decreto 19 de 2012. El nuevo texto es el siguiente:&gt; 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4 de la Ley 1150 de 2007 con el fin de establecer su tipificación, estimación y asignación definitiva.</w:t>
      </w:r>
    </w:p>
    <w:p w14:paraId="682B5A1F" w14:textId="77777777" w:rsidR="00FF349F" w:rsidRPr="00211099" w:rsidRDefault="00FF349F" w:rsidP="00FF349F">
      <w:pPr>
        <w:ind w:left="709" w:right="709"/>
        <w:jc w:val="both"/>
        <w:rPr>
          <w:rFonts w:ascii="Arial" w:eastAsia="Calibri" w:hAnsi="Arial" w:cs="Arial"/>
          <w:color w:val="000000"/>
          <w:sz w:val="19"/>
          <w:szCs w:val="19"/>
        </w:rPr>
      </w:pPr>
    </w:p>
    <w:p w14:paraId="7BFDB5E3" w14:textId="2C718507" w:rsidR="00FF349F" w:rsidRPr="00211099" w:rsidRDefault="00FF349F" w:rsidP="00FF349F">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14:paraId="3488E035" w14:textId="77777777" w:rsidR="00FF349F" w:rsidRPr="00211099" w:rsidRDefault="00FF349F" w:rsidP="00FF349F">
      <w:pPr>
        <w:ind w:left="709" w:right="709"/>
        <w:jc w:val="both"/>
        <w:rPr>
          <w:rFonts w:ascii="Arial" w:eastAsia="Calibri" w:hAnsi="Arial" w:cs="Arial"/>
          <w:color w:val="000000"/>
          <w:sz w:val="19"/>
          <w:szCs w:val="19"/>
        </w:rPr>
      </w:pPr>
    </w:p>
    <w:p w14:paraId="1F6BE125" w14:textId="5134429A" w:rsidR="00FF349F" w:rsidRPr="00211099" w:rsidRDefault="00FF349F" w:rsidP="00FF349F">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 xml:space="preserve">Lo anterior no </w:t>
      </w:r>
      <w:r w:rsidR="000500C6" w:rsidRPr="00211099">
        <w:rPr>
          <w:rFonts w:ascii="Arial" w:eastAsia="Calibri" w:hAnsi="Arial" w:cs="Arial"/>
          <w:color w:val="000000"/>
          <w:sz w:val="19"/>
          <w:szCs w:val="19"/>
        </w:rPr>
        <w:t xml:space="preserve">impide </w:t>
      </w:r>
      <w:proofErr w:type="gramStart"/>
      <w:r w:rsidR="000500C6" w:rsidRPr="00211099">
        <w:rPr>
          <w:rFonts w:ascii="Arial" w:eastAsia="Calibri" w:hAnsi="Arial" w:cs="Arial"/>
          <w:color w:val="000000"/>
          <w:sz w:val="19"/>
          <w:szCs w:val="19"/>
        </w:rPr>
        <w:t>que</w:t>
      </w:r>
      <w:proofErr w:type="gramEnd"/>
      <w:r w:rsidR="000500C6" w:rsidRPr="00211099">
        <w:rPr>
          <w:rFonts w:ascii="Arial" w:eastAsia="Calibri" w:hAnsi="Arial" w:cs="Arial"/>
          <w:color w:val="000000"/>
          <w:sz w:val="19"/>
          <w:szCs w:val="19"/>
        </w:rPr>
        <w:t xml:space="preserve"> dentro del plazo de l</w:t>
      </w:r>
      <w:r w:rsidRPr="00211099">
        <w:rPr>
          <w:rFonts w:ascii="Arial" w:eastAsia="Calibri" w:hAnsi="Arial" w:cs="Arial"/>
          <w:color w:val="000000"/>
          <w:sz w:val="19"/>
          <w:szCs w:val="19"/>
        </w:rPr>
        <w:t>a licitación, cualquier interesado pueda solicita</w:t>
      </w:r>
      <w:r w:rsidR="000500C6" w:rsidRPr="00211099">
        <w:rPr>
          <w:rFonts w:ascii="Arial" w:eastAsia="Calibri" w:hAnsi="Arial" w:cs="Arial"/>
          <w:color w:val="000000"/>
          <w:sz w:val="19"/>
          <w:szCs w:val="19"/>
        </w:rPr>
        <w:t>r aclaraciones adicionales que l</w:t>
      </w:r>
      <w:r w:rsidRPr="00211099">
        <w:rPr>
          <w:rFonts w:ascii="Arial" w:eastAsia="Calibri" w:hAnsi="Arial" w:cs="Arial"/>
          <w:color w:val="000000"/>
          <w:sz w:val="19"/>
          <w:szCs w:val="19"/>
        </w:rPr>
        <w:t xml:space="preserve">a entidad contratante responderá </w:t>
      </w:r>
      <w:r w:rsidR="000500C6" w:rsidRPr="00211099">
        <w:rPr>
          <w:rFonts w:ascii="Arial" w:eastAsia="Calibri" w:hAnsi="Arial" w:cs="Arial"/>
          <w:color w:val="000000"/>
          <w:sz w:val="19"/>
          <w:szCs w:val="19"/>
        </w:rPr>
        <w:t>mediante comunicación escrita, l</w:t>
      </w:r>
      <w:r w:rsidRPr="00211099">
        <w:rPr>
          <w:rFonts w:ascii="Arial" w:eastAsia="Calibri" w:hAnsi="Arial" w:cs="Arial"/>
          <w:color w:val="000000"/>
          <w:sz w:val="19"/>
          <w:szCs w:val="19"/>
        </w:rPr>
        <w:t>a cual remitirá al interesado y publicará en el SECOP para conocimiento público.</w:t>
      </w:r>
    </w:p>
    <w:p w14:paraId="5CEBE2FD" w14:textId="77777777" w:rsidR="000500C6" w:rsidRPr="00211099" w:rsidRDefault="000500C6" w:rsidP="00382B30">
      <w:pPr>
        <w:spacing w:line="276" w:lineRule="auto"/>
        <w:ind w:left="709" w:right="709"/>
        <w:jc w:val="both"/>
        <w:rPr>
          <w:rFonts w:ascii="Arial" w:eastAsia="Calibri" w:hAnsi="Arial" w:cs="Arial"/>
          <w:color w:val="000000"/>
          <w:sz w:val="21"/>
          <w:szCs w:val="21"/>
        </w:rPr>
      </w:pPr>
    </w:p>
    <w:p w14:paraId="6E3B5FEF" w14:textId="3E7B524D" w:rsidR="00310242" w:rsidRPr="00211099" w:rsidRDefault="00AB06D1" w:rsidP="00E055E5">
      <w:pPr>
        <w:spacing w:after="120" w:line="276" w:lineRule="auto"/>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ab/>
      </w:r>
      <w:r w:rsidR="00066F11" w:rsidRPr="00211099">
        <w:rPr>
          <w:rFonts w:ascii="ArialMT" w:eastAsia="Times New Roman" w:hAnsi="ArialMT" w:cs="Times New Roman"/>
          <w:color w:val="000000" w:themeColor="text1"/>
          <w:sz w:val="22"/>
          <w:lang w:eastAsia="es-ES_tradnl"/>
        </w:rPr>
        <w:t>E</w:t>
      </w:r>
      <w:r w:rsidR="005E574C" w:rsidRPr="00211099">
        <w:rPr>
          <w:rFonts w:ascii="ArialMT" w:eastAsia="Times New Roman" w:hAnsi="ArialMT" w:cs="Times New Roman"/>
          <w:color w:val="000000" w:themeColor="text1"/>
          <w:sz w:val="22"/>
          <w:lang w:eastAsia="es-ES_tradnl"/>
        </w:rPr>
        <w:t xml:space="preserve">l artículo </w:t>
      </w:r>
      <w:r w:rsidR="001246F6" w:rsidRPr="00211099">
        <w:rPr>
          <w:rFonts w:ascii="ArialMT" w:eastAsia="Times New Roman" w:hAnsi="ArialMT" w:cs="Times New Roman"/>
          <w:color w:val="000000" w:themeColor="text1"/>
          <w:sz w:val="22"/>
          <w:lang w:eastAsia="es-ES_tradnl"/>
        </w:rPr>
        <w:t xml:space="preserve">2.2.1.1.2.1.3 del Decreto 1082 de 2015 </w:t>
      </w:r>
      <w:r w:rsidR="006017ED">
        <w:rPr>
          <w:rFonts w:ascii="ArialMT" w:eastAsia="Times New Roman" w:hAnsi="ArialMT" w:cs="Times New Roman"/>
          <w:color w:val="000000" w:themeColor="text1"/>
          <w:sz w:val="22"/>
          <w:lang w:eastAsia="es-ES_tradnl"/>
        </w:rPr>
        <w:t>establece</w:t>
      </w:r>
      <w:r w:rsidR="001246F6" w:rsidRPr="00211099">
        <w:rPr>
          <w:rFonts w:ascii="ArialMT" w:eastAsia="Times New Roman" w:hAnsi="ArialMT" w:cs="Times New Roman"/>
          <w:color w:val="000000" w:themeColor="text1"/>
          <w:sz w:val="22"/>
          <w:lang w:eastAsia="es-ES_tradnl"/>
        </w:rPr>
        <w:t xml:space="preserve"> que los pliegos de condiciones deben contener, entre otros aspectos, </w:t>
      </w:r>
      <w:r w:rsidR="001246F6" w:rsidRPr="00211099">
        <w:rPr>
          <w:rFonts w:ascii="Arial" w:eastAsia="Calibri" w:hAnsi="Arial" w:cs="Arial"/>
          <w:color w:val="000000" w:themeColor="text1"/>
          <w:sz w:val="21"/>
          <w:szCs w:val="21"/>
        </w:rPr>
        <w:t>«</w:t>
      </w:r>
      <w:r w:rsidR="001246F6" w:rsidRPr="00211099">
        <w:rPr>
          <w:rFonts w:ascii="ArialMT" w:eastAsia="Times New Roman" w:hAnsi="ArialMT" w:cs="Times New Roman"/>
          <w:color w:val="000000" w:themeColor="text1"/>
          <w:sz w:val="22"/>
          <w:lang w:eastAsia="es-ES_tradnl"/>
        </w:rPr>
        <w:t>los Riesgos asociados al contrato, la forma de mitigarlos y la asignación del Riesgo entre las partes contratantes</w:t>
      </w:r>
      <w:r w:rsidR="001246F6" w:rsidRPr="00211099">
        <w:rPr>
          <w:rFonts w:ascii="ArialMT" w:eastAsia="Times New Roman" w:hAnsi="ArialMT" w:cs="Times New Roman"/>
          <w:color w:val="000000" w:themeColor="text1"/>
          <w:sz w:val="22"/>
          <w:vertAlign w:val="superscript"/>
          <w:lang w:eastAsia="es-ES_tradnl"/>
        </w:rPr>
        <w:t>»</w:t>
      </w:r>
      <w:r w:rsidR="001246F6" w:rsidRPr="00211099">
        <w:rPr>
          <w:rFonts w:ascii="ArialMT" w:eastAsia="Times New Roman" w:hAnsi="ArialMT" w:cs="Times New Roman"/>
          <w:color w:val="000000" w:themeColor="text1"/>
          <w:sz w:val="22"/>
          <w:lang w:eastAsia="es-ES_tradnl"/>
        </w:rPr>
        <w:t xml:space="preserve">. </w:t>
      </w:r>
      <w:r w:rsidR="00EB7167" w:rsidRPr="00211099">
        <w:rPr>
          <w:rFonts w:ascii="ArialMT" w:eastAsia="Times New Roman" w:hAnsi="ArialMT" w:cs="Times New Roman"/>
          <w:color w:val="000000" w:themeColor="text1"/>
          <w:sz w:val="22"/>
          <w:lang w:eastAsia="es-ES_tradnl"/>
        </w:rPr>
        <w:t>Así mismo, e</w:t>
      </w:r>
      <w:r w:rsidR="001246F6" w:rsidRPr="00211099">
        <w:rPr>
          <w:rFonts w:ascii="ArialMT" w:eastAsia="Times New Roman" w:hAnsi="ArialMT" w:cs="Times New Roman"/>
          <w:color w:val="000000" w:themeColor="text1"/>
          <w:sz w:val="22"/>
          <w:lang w:eastAsia="es-ES_tradnl"/>
        </w:rPr>
        <w:t xml:space="preserve">l artículo </w:t>
      </w:r>
      <w:r w:rsidR="005E574C" w:rsidRPr="00211099">
        <w:rPr>
          <w:rFonts w:ascii="ArialMT" w:eastAsia="Times New Roman" w:hAnsi="ArialMT" w:cs="Times New Roman"/>
          <w:color w:val="000000" w:themeColor="text1"/>
          <w:sz w:val="22"/>
          <w:lang w:eastAsia="es-ES_tradnl"/>
        </w:rPr>
        <w:t xml:space="preserve">2.2.1.2.1.1.2. del Decreto 1082 de 2015 </w:t>
      </w:r>
      <w:r w:rsidR="00A968DE" w:rsidRPr="00211099">
        <w:rPr>
          <w:rFonts w:ascii="ArialMT" w:eastAsia="Times New Roman" w:hAnsi="ArialMT" w:cs="Times New Roman"/>
          <w:color w:val="000000" w:themeColor="text1"/>
          <w:sz w:val="22"/>
          <w:lang w:eastAsia="es-ES_tradnl"/>
        </w:rPr>
        <w:t xml:space="preserve">fijó dos audiencias públicas obligatorias </w:t>
      </w:r>
      <w:r w:rsidR="005E574C" w:rsidRPr="00211099">
        <w:rPr>
          <w:rFonts w:ascii="ArialMT" w:eastAsia="Times New Roman" w:hAnsi="ArialMT" w:cs="Times New Roman"/>
          <w:color w:val="000000" w:themeColor="text1"/>
          <w:sz w:val="22"/>
          <w:lang w:eastAsia="es-ES_tradnl"/>
        </w:rPr>
        <w:t>en la etap</w:t>
      </w:r>
      <w:r w:rsidR="001246F6" w:rsidRPr="00211099">
        <w:rPr>
          <w:rFonts w:ascii="ArialMT" w:eastAsia="Times New Roman" w:hAnsi="ArialMT" w:cs="Times New Roman"/>
          <w:color w:val="000000" w:themeColor="text1"/>
          <w:sz w:val="22"/>
          <w:lang w:eastAsia="es-ES_tradnl"/>
        </w:rPr>
        <w:t>a de selección</w:t>
      </w:r>
      <w:r w:rsidR="009E4A69" w:rsidRPr="00211099">
        <w:rPr>
          <w:rFonts w:ascii="ArialMT" w:eastAsia="Times New Roman" w:hAnsi="ArialMT" w:cs="Times New Roman"/>
          <w:color w:val="000000" w:themeColor="text1"/>
          <w:sz w:val="22"/>
          <w:lang w:eastAsia="es-ES_tradnl"/>
        </w:rPr>
        <w:t xml:space="preserve"> de la licitación pública</w:t>
      </w:r>
      <w:r w:rsidR="00A968DE" w:rsidRPr="00211099">
        <w:rPr>
          <w:rFonts w:ascii="ArialMT" w:eastAsia="Times New Roman" w:hAnsi="ArialMT" w:cs="Times New Roman"/>
          <w:color w:val="000000" w:themeColor="text1"/>
          <w:sz w:val="22"/>
          <w:lang w:eastAsia="es-ES_tradnl"/>
        </w:rPr>
        <w:t xml:space="preserve">: </w:t>
      </w:r>
      <w:r w:rsidR="005E574C" w:rsidRPr="00211099">
        <w:rPr>
          <w:rFonts w:ascii="ArialMT" w:eastAsia="Times New Roman" w:hAnsi="ArialMT" w:cs="Times New Roman"/>
          <w:color w:val="000000" w:themeColor="text1"/>
          <w:sz w:val="22"/>
          <w:lang w:eastAsia="es-ES_tradnl"/>
        </w:rPr>
        <w:t>i) la de asignación de ri</w:t>
      </w:r>
      <w:r w:rsidR="00A968DE" w:rsidRPr="00211099">
        <w:rPr>
          <w:rFonts w:ascii="ArialMT" w:eastAsia="Times New Roman" w:hAnsi="ArialMT" w:cs="Times New Roman"/>
          <w:color w:val="000000" w:themeColor="text1"/>
          <w:sz w:val="22"/>
          <w:lang w:eastAsia="es-ES_tradnl"/>
        </w:rPr>
        <w:t xml:space="preserve">esgos y </w:t>
      </w:r>
      <w:proofErr w:type="spellStart"/>
      <w:r w:rsidR="00A968DE" w:rsidRPr="00211099">
        <w:rPr>
          <w:rFonts w:ascii="ArialMT" w:eastAsia="Times New Roman" w:hAnsi="ArialMT" w:cs="Times New Roman"/>
          <w:color w:val="000000" w:themeColor="text1"/>
          <w:sz w:val="22"/>
          <w:lang w:eastAsia="es-ES_tradnl"/>
        </w:rPr>
        <w:t>ii</w:t>
      </w:r>
      <w:proofErr w:type="spellEnd"/>
      <w:r w:rsidR="00A968DE" w:rsidRPr="00211099">
        <w:rPr>
          <w:rFonts w:ascii="ArialMT" w:eastAsia="Times New Roman" w:hAnsi="ArialMT" w:cs="Times New Roman"/>
          <w:color w:val="000000" w:themeColor="text1"/>
          <w:sz w:val="22"/>
          <w:lang w:eastAsia="es-ES_tradnl"/>
        </w:rPr>
        <w:t>) la de adjudicación. E</w:t>
      </w:r>
      <w:r w:rsidR="005E574C" w:rsidRPr="00211099">
        <w:rPr>
          <w:rFonts w:ascii="ArialMT" w:eastAsia="Times New Roman" w:hAnsi="ArialMT" w:cs="Times New Roman"/>
          <w:color w:val="000000" w:themeColor="text1"/>
          <w:sz w:val="22"/>
          <w:lang w:eastAsia="es-ES_tradnl"/>
        </w:rPr>
        <w:t xml:space="preserve">n relación con la primera, indicó que </w:t>
      </w:r>
      <w:r w:rsidRPr="00211099">
        <w:rPr>
          <w:rFonts w:ascii="ArialMT" w:eastAsia="Times New Roman" w:hAnsi="ArialMT" w:cs="Times New Roman"/>
          <w:color w:val="000000" w:themeColor="text1"/>
          <w:sz w:val="22"/>
          <w:lang w:eastAsia="es-ES_tradnl"/>
        </w:rPr>
        <w:t>la entidad e</w:t>
      </w:r>
      <w:r w:rsidR="005E574C" w:rsidRPr="00211099">
        <w:rPr>
          <w:rFonts w:ascii="ArialMT" w:eastAsia="Times New Roman" w:hAnsi="ArialMT" w:cs="Times New Roman"/>
          <w:color w:val="000000" w:themeColor="text1"/>
          <w:sz w:val="22"/>
          <w:lang w:eastAsia="es-ES_tradnl"/>
        </w:rPr>
        <w:t xml:space="preserve">statal debe presentar el análisis de </w:t>
      </w:r>
      <w:r w:rsidR="004D69C3" w:rsidRPr="00211099">
        <w:rPr>
          <w:rFonts w:ascii="ArialMT" w:eastAsia="Times New Roman" w:hAnsi="ArialMT" w:cs="Times New Roman"/>
          <w:color w:val="000000" w:themeColor="text1"/>
          <w:sz w:val="22"/>
          <w:lang w:eastAsia="es-ES_tradnl"/>
        </w:rPr>
        <w:t>r</w:t>
      </w:r>
      <w:r w:rsidR="005E574C" w:rsidRPr="00211099">
        <w:rPr>
          <w:rFonts w:ascii="ArialMT" w:eastAsia="Times New Roman" w:hAnsi="ArialMT" w:cs="Times New Roman"/>
          <w:color w:val="000000" w:themeColor="text1"/>
          <w:sz w:val="22"/>
          <w:lang w:eastAsia="es-ES_tradnl"/>
        </w:rPr>
        <w:t>iesgos efec</w:t>
      </w:r>
      <w:r w:rsidR="004D69C3" w:rsidRPr="00211099">
        <w:rPr>
          <w:rFonts w:ascii="ArialMT" w:eastAsia="Times New Roman" w:hAnsi="ArialMT" w:cs="Times New Roman"/>
          <w:color w:val="000000" w:themeColor="text1"/>
          <w:sz w:val="22"/>
          <w:lang w:eastAsia="es-ES_tradnl"/>
        </w:rPr>
        <w:t>tuado y hacer la asignación de r</w:t>
      </w:r>
      <w:r w:rsidR="005E574C" w:rsidRPr="00211099">
        <w:rPr>
          <w:rFonts w:ascii="ArialMT" w:eastAsia="Times New Roman" w:hAnsi="ArialMT" w:cs="Times New Roman"/>
          <w:color w:val="000000" w:themeColor="text1"/>
          <w:sz w:val="22"/>
          <w:lang w:eastAsia="es-ES_tradnl"/>
        </w:rPr>
        <w:t>iesgos definitiva</w:t>
      </w:r>
      <w:r w:rsidR="00A968DE" w:rsidRPr="00211099">
        <w:rPr>
          <w:rStyle w:val="Refdenotaalpie"/>
          <w:rFonts w:ascii="ArialMT" w:eastAsia="Times New Roman" w:hAnsi="ArialMT" w:cs="Times New Roman"/>
          <w:color w:val="000000" w:themeColor="text1"/>
          <w:sz w:val="22"/>
          <w:lang w:eastAsia="es-ES_tradnl"/>
        </w:rPr>
        <w:footnoteReference w:id="2"/>
      </w:r>
      <w:r w:rsidR="001F02D6" w:rsidRPr="00211099">
        <w:rPr>
          <w:rFonts w:ascii="ArialMT" w:eastAsia="Times New Roman" w:hAnsi="ArialMT" w:cs="Times New Roman"/>
          <w:color w:val="000000" w:themeColor="text1"/>
          <w:sz w:val="22"/>
          <w:lang w:eastAsia="es-ES_tradnl"/>
        </w:rPr>
        <w:t xml:space="preserve"> y, en caso de ser necesario, </w:t>
      </w:r>
      <w:r w:rsidR="00C127C1">
        <w:rPr>
          <w:rFonts w:ascii="ArialMT" w:eastAsia="Times New Roman" w:hAnsi="ArialMT" w:cs="Times New Roman"/>
          <w:color w:val="000000" w:themeColor="text1"/>
          <w:sz w:val="22"/>
          <w:lang w:eastAsia="es-ES_tradnl"/>
        </w:rPr>
        <w:t>debe</w:t>
      </w:r>
      <w:r w:rsidR="00C127C1" w:rsidRPr="00211099">
        <w:rPr>
          <w:rFonts w:ascii="ArialMT" w:eastAsia="Times New Roman" w:hAnsi="ArialMT" w:cs="Times New Roman"/>
          <w:color w:val="000000" w:themeColor="text1"/>
          <w:sz w:val="22"/>
          <w:lang w:eastAsia="es-ES_tradnl"/>
        </w:rPr>
        <w:t xml:space="preserve"> </w:t>
      </w:r>
      <w:r w:rsidR="001F02D6" w:rsidRPr="00211099">
        <w:rPr>
          <w:rFonts w:ascii="ArialMT" w:eastAsia="Times New Roman" w:hAnsi="ArialMT" w:cs="Times New Roman"/>
          <w:color w:val="000000" w:themeColor="text1"/>
          <w:sz w:val="22"/>
          <w:lang w:eastAsia="es-ES_tradnl"/>
        </w:rPr>
        <w:t xml:space="preserve">precisar el alcance y contenido del pliego de condiciones. </w:t>
      </w:r>
    </w:p>
    <w:p w14:paraId="10792DF1" w14:textId="347F1729" w:rsidR="00F514E9" w:rsidRPr="00211099" w:rsidRDefault="009E4A69" w:rsidP="000E3C4F">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Bajo estos parámetros normativos</w:t>
      </w:r>
      <w:r w:rsidR="005420C8" w:rsidRPr="00211099">
        <w:rPr>
          <w:rFonts w:ascii="ArialMT" w:eastAsia="Times New Roman" w:hAnsi="ArialMT" w:cs="Times New Roman"/>
          <w:color w:val="000000" w:themeColor="text1"/>
          <w:sz w:val="22"/>
          <w:lang w:eastAsia="es-ES_tradnl"/>
        </w:rPr>
        <w:t>,</w:t>
      </w:r>
      <w:r w:rsidRPr="00211099">
        <w:rPr>
          <w:rFonts w:ascii="ArialMT" w:eastAsia="Times New Roman" w:hAnsi="ArialMT" w:cs="Times New Roman"/>
          <w:color w:val="000000" w:themeColor="text1"/>
          <w:sz w:val="22"/>
          <w:lang w:eastAsia="es-ES_tradnl"/>
        </w:rPr>
        <w:t xml:space="preserve"> </w:t>
      </w:r>
      <w:r w:rsidR="00F514E9" w:rsidRPr="00211099">
        <w:rPr>
          <w:rFonts w:ascii="ArialMT" w:eastAsia="Times New Roman" w:hAnsi="ArialMT" w:cs="Times New Roman"/>
          <w:color w:val="000000" w:themeColor="text1"/>
          <w:sz w:val="22"/>
          <w:lang w:eastAsia="es-ES_tradnl"/>
        </w:rPr>
        <w:t xml:space="preserve">es claro que </w:t>
      </w:r>
      <w:r w:rsidR="005420C8" w:rsidRPr="00211099">
        <w:rPr>
          <w:rFonts w:ascii="ArialMT" w:eastAsia="Times New Roman" w:hAnsi="ArialMT" w:cs="Times New Roman"/>
          <w:color w:val="000000" w:themeColor="text1"/>
          <w:sz w:val="22"/>
          <w:lang w:eastAsia="es-ES_tradnl"/>
        </w:rPr>
        <w:t>la estimación, tipificación y asignación de los riesgos</w:t>
      </w:r>
      <w:r w:rsidR="00F03C84" w:rsidRPr="00211099">
        <w:rPr>
          <w:rFonts w:ascii="ArialMT" w:eastAsia="Times New Roman" w:hAnsi="ArialMT" w:cs="Times New Roman"/>
          <w:color w:val="000000" w:themeColor="text1"/>
          <w:sz w:val="22"/>
          <w:lang w:eastAsia="es-ES_tradnl"/>
        </w:rPr>
        <w:t xml:space="preserve"> </w:t>
      </w:r>
      <w:r w:rsidR="005420C8" w:rsidRPr="00211099">
        <w:rPr>
          <w:rFonts w:ascii="ArialMT" w:eastAsia="Times New Roman" w:hAnsi="ArialMT" w:cs="Times New Roman"/>
          <w:color w:val="000000" w:themeColor="text1"/>
          <w:sz w:val="22"/>
          <w:lang w:eastAsia="es-ES_tradnl"/>
        </w:rPr>
        <w:t>es un deber que le</w:t>
      </w:r>
      <w:r w:rsidR="00DE0079">
        <w:rPr>
          <w:rFonts w:ascii="ArialMT" w:eastAsia="Times New Roman" w:hAnsi="ArialMT" w:cs="Times New Roman"/>
          <w:color w:val="000000" w:themeColor="text1"/>
          <w:sz w:val="22"/>
          <w:lang w:eastAsia="es-ES_tradnl"/>
        </w:rPr>
        <w:t>s</w:t>
      </w:r>
      <w:r w:rsidR="005420C8" w:rsidRPr="00211099">
        <w:rPr>
          <w:rFonts w:ascii="ArialMT" w:eastAsia="Times New Roman" w:hAnsi="ArialMT" w:cs="Times New Roman"/>
          <w:color w:val="000000" w:themeColor="text1"/>
          <w:sz w:val="22"/>
          <w:lang w:eastAsia="es-ES_tradnl"/>
        </w:rPr>
        <w:t xml:space="preserve"> corresponde a las entidades públicas incluir</w:t>
      </w:r>
      <w:r w:rsidR="00817C2C" w:rsidRPr="00211099">
        <w:rPr>
          <w:rFonts w:ascii="ArialMT" w:eastAsia="Times New Roman" w:hAnsi="ArialMT" w:cs="Times New Roman"/>
          <w:color w:val="000000" w:themeColor="text1"/>
          <w:sz w:val="22"/>
          <w:lang w:eastAsia="es-ES_tradnl"/>
        </w:rPr>
        <w:t xml:space="preserve"> </w:t>
      </w:r>
      <w:r w:rsidR="005420C8" w:rsidRPr="00211099">
        <w:rPr>
          <w:rFonts w:ascii="ArialMT" w:eastAsia="Times New Roman" w:hAnsi="ArialMT" w:cs="Times New Roman"/>
          <w:color w:val="000000" w:themeColor="text1"/>
          <w:sz w:val="22"/>
          <w:lang w:eastAsia="es-ES_tradnl"/>
        </w:rPr>
        <w:lastRenderedPageBreak/>
        <w:t>en los pliegos de condiciones o sus equivalentes</w:t>
      </w:r>
      <w:r w:rsidR="006C0517" w:rsidRPr="00211099">
        <w:rPr>
          <w:rFonts w:ascii="ArialMT" w:eastAsia="Times New Roman" w:hAnsi="ArialMT" w:cs="Times New Roman"/>
          <w:color w:val="000000" w:themeColor="text1"/>
          <w:sz w:val="22"/>
          <w:lang w:eastAsia="es-ES_tradnl"/>
        </w:rPr>
        <w:t xml:space="preserve">. </w:t>
      </w:r>
      <w:r w:rsidR="00066F11" w:rsidRPr="00211099">
        <w:rPr>
          <w:rFonts w:ascii="ArialMT" w:eastAsia="Times New Roman" w:hAnsi="ArialMT" w:cs="Times New Roman"/>
          <w:color w:val="000000" w:themeColor="text1"/>
          <w:sz w:val="22"/>
          <w:lang w:eastAsia="es-ES_tradnl"/>
        </w:rPr>
        <w:t>Su finalidad</w:t>
      </w:r>
      <w:r w:rsidR="0083200E" w:rsidRPr="00211099">
        <w:rPr>
          <w:rFonts w:ascii="ArialMT" w:eastAsia="Times New Roman" w:hAnsi="ArialMT" w:cs="Times New Roman"/>
          <w:color w:val="000000" w:themeColor="text1"/>
          <w:sz w:val="22"/>
          <w:lang w:eastAsia="es-ES_tradnl"/>
        </w:rPr>
        <w:t xml:space="preserve"> </w:t>
      </w:r>
      <w:r w:rsidR="005420C8" w:rsidRPr="00211099">
        <w:rPr>
          <w:rFonts w:ascii="ArialMT" w:eastAsia="Times New Roman" w:hAnsi="ArialMT" w:cs="Times New Roman"/>
          <w:color w:val="000000" w:themeColor="text1"/>
          <w:sz w:val="22"/>
          <w:lang w:eastAsia="es-ES_tradnl"/>
        </w:rPr>
        <w:t xml:space="preserve">es determinar los riesgos previsibles que se pueden </w:t>
      </w:r>
      <w:r w:rsidR="00CD4380">
        <w:rPr>
          <w:rFonts w:ascii="ArialMT" w:eastAsia="Times New Roman" w:hAnsi="ArialMT" w:cs="Times New Roman"/>
          <w:color w:val="000000" w:themeColor="text1"/>
          <w:sz w:val="22"/>
          <w:lang w:eastAsia="es-ES_tradnl"/>
        </w:rPr>
        <w:t>materializar</w:t>
      </w:r>
      <w:r w:rsidR="00CD4380" w:rsidRPr="00211099">
        <w:rPr>
          <w:rFonts w:ascii="ArialMT" w:eastAsia="Times New Roman" w:hAnsi="ArialMT" w:cs="Times New Roman"/>
          <w:color w:val="000000" w:themeColor="text1"/>
          <w:sz w:val="22"/>
          <w:lang w:eastAsia="es-ES_tradnl"/>
        </w:rPr>
        <w:t xml:space="preserve"> </w:t>
      </w:r>
      <w:r w:rsidR="005420C8" w:rsidRPr="00211099">
        <w:rPr>
          <w:rFonts w:ascii="ArialMT" w:eastAsia="Times New Roman" w:hAnsi="ArialMT" w:cs="Times New Roman"/>
          <w:color w:val="000000" w:themeColor="text1"/>
          <w:sz w:val="22"/>
          <w:lang w:eastAsia="es-ES_tradnl"/>
        </w:rPr>
        <w:t>en el proceso de selección y durante la ejecución del contrato, en aras de establecer cuál de las partes debe asumir</w:t>
      </w:r>
      <w:r w:rsidR="00CD4380">
        <w:rPr>
          <w:rFonts w:ascii="ArialMT" w:eastAsia="Times New Roman" w:hAnsi="ArialMT" w:cs="Times New Roman"/>
          <w:color w:val="000000" w:themeColor="text1"/>
          <w:sz w:val="22"/>
          <w:lang w:eastAsia="es-ES_tradnl"/>
        </w:rPr>
        <w:t xml:space="preserve"> cada riesgo</w:t>
      </w:r>
      <w:r w:rsidR="005420C8" w:rsidRPr="00211099">
        <w:rPr>
          <w:rFonts w:ascii="ArialMT" w:eastAsia="Times New Roman" w:hAnsi="ArialMT" w:cs="Times New Roman"/>
          <w:color w:val="000000" w:themeColor="text1"/>
          <w:sz w:val="22"/>
          <w:lang w:eastAsia="es-ES_tradnl"/>
        </w:rPr>
        <w:t xml:space="preserve"> conforme a su capacidad para sop</w:t>
      </w:r>
      <w:r w:rsidR="00170AAB">
        <w:rPr>
          <w:rFonts w:ascii="ArialMT" w:eastAsia="Times New Roman" w:hAnsi="ArialMT" w:cs="Times New Roman"/>
          <w:color w:val="000000" w:themeColor="text1"/>
          <w:sz w:val="22"/>
          <w:lang w:eastAsia="es-ES_tradnl"/>
        </w:rPr>
        <w:t>o</w:t>
      </w:r>
      <w:r w:rsidR="005420C8" w:rsidRPr="00211099">
        <w:rPr>
          <w:rFonts w:ascii="ArialMT" w:eastAsia="Times New Roman" w:hAnsi="ArialMT" w:cs="Times New Roman"/>
          <w:color w:val="000000" w:themeColor="text1"/>
          <w:sz w:val="22"/>
          <w:lang w:eastAsia="es-ES_tradnl"/>
        </w:rPr>
        <w:t>rta</w:t>
      </w:r>
      <w:r w:rsidR="00170AAB">
        <w:rPr>
          <w:rFonts w:ascii="ArialMT" w:eastAsia="Times New Roman" w:hAnsi="ArialMT" w:cs="Times New Roman"/>
          <w:color w:val="000000" w:themeColor="text1"/>
          <w:sz w:val="22"/>
          <w:lang w:eastAsia="es-ES_tradnl"/>
        </w:rPr>
        <w:t>r</w:t>
      </w:r>
      <w:r w:rsidR="005420C8" w:rsidRPr="00211099">
        <w:rPr>
          <w:rFonts w:ascii="ArialMT" w:eastAsia="Times New Roman" w:hAnsi="ArialMT" w:cs="Times New Roman"/>
          <w:color w:val="000000" w:themeColor="text1"/>
          <w:sz w:val="22"/>
          <w:lang w:eastAsia="es-ES_tradnl"/>
        </w:rPr>
        <w:t>l</w:t>
      </w:r>
      <w:r w:rsidR="00925025" w:rsidRPr="00211099">
        <w:rPr>
          <w:rFonts w:ascii="ArialMT" w:eastAsia="Times New Roman" w:hAnsi="ArialMT" w:cs="Times New Roman"/>
          <w:color w:val="000000" w:themeColor="text1"/>
          <w:sz w:val="22"/>
          <w:lang w:eastAsia="es-ES_tradnl"/>
        </w:rPr>
        <w:t>o, gestionarlo y administrarlo.</w:t>
      </w:r>
      <w:r w:rsidR="00AC68A8" w:rsidRPr="00211099">
        <w:rPr>
          <w:rFonts w:ascii="ArialMT" w:eastAsia="Times New Roman" w:hAnsi="ArialMT" w:cs="Times New Roman"/>
          <w:color w:val="000000" w:themeColor="text1"/>
          <w:sz w:val="22"/>
          <w:lang w:eastAsia="es-ES_tradnl"/>
        </w:rPr>
        <w:t xml:space="preserve"> </w:t>
      </w:r>
    </w:p>
    <w:p w14:paraId="59D8C38B" w14:textId="2950C2C1" w:rsidR="0066447B" w:rsidRPr="00211099" w:rsidRDefault="005A1EEF" w:rsidP="000E3C4F">
      <w:pPr>
        <w:spacing w:after="120" w:line="276" w:lineRule="auto"/>
        <w:ind w:firstLine="709"/>
        <w:jc w:val="both"/>
        <w:rPr>
          <w:rFonts w:ascii="Arial" w:eastAsia="Calibri" w:hAnsi="Arial" w:cs="Arial"/>
          <w:color w:val="000000"/>
          <w:sz w:val="22"/>
        </w:rPr>
      </w:pPr>
      <w:r w:rsidRPr="00211099">
        <w:rPr>
          <w:rFonts w:ascii="ArialMT" w:eastAsia="Times New Roman" w:hAnsi="ArialMT" w:cs="Times New Roman"/>
          <w:color w:val="000000" w:themeColor="text1"/>
          <w:sz w:val="22"/>
          <w:lang w:eastAsia="es-ES_tradnl"/>
        </w:rPr>
        <w:t>L</w:t>
      </w:r>
      <w:r w:rsidR="005420C8" w:rsidRPr="00211099">
        <w:rPr>
          <w:rFonts w:ascii="ArialMT" w:eastAsia="Times New Roman" w:hAnsi="ArialMT" w:cs="Times New Roman"/>
          <w:color w:val="000000" w:themeColor="text1"/>
          <w:sz w:val="22"/>
          <w:lang w:eastAsia="es-ES_tradnl"/>
        </w:rPr>
        <w:t xml:space="preserve">a audiencia de asignación </w:t>
      </w:r>
      <w:r w:rsidR="00B07F92" w:rsidRPr="00211099">
        <w:rPr>
          <w:rFonts w:ascii="ArialMT" w:eastAsia="Times New Roman" w:hAnsi="ArialMT" w:cs="Times New Roman"/>
          <w:color w:val="000000" w:themeColor="text1"/>
          <w:sz w:val="22"/>
          <w:lang w:eastAsia="es-ES_tradnl"/>
        </w:rPr>
        <w:t>de riesgo</w:t>
      </w:r>
      <w:r w:rsidR="001F02D6" w:rsidRPr="00211099">
        <w:rPr>
          <w:rFonts w:ascii="ArialMT" w:eastAsia="Times New Roman" w:hAnsi="ArialMT" w:cs="Times New Roman"/>
          <w:color w:val="000000" w:themeColor="text1"/>
          <w:sz w:val="22"/>
          <w:lang w:eastAsia="es-ES_tradnl"/>
        </w:rPr>
        <w:t xml:space="preserve"> </w:t>
      </w:r>
      <w:r w:rsidR="00B07F92" w:rsidRPr="00211099">
        <w:rPr>
          <w:rFonts w:ascii="ArialMT" w:eastAsia="Times New Roman" w:hAnsi="ArialMT" w:cs="Times New Roman"/>
          <w:color w:val="000000" w:themeColor="text1"/>
          <w:sz w:val="22"/>
          <w:lang w:eastAsia="es-ES_tradnl"/>
        </w:rPr>
        <w:t>no fue prevista para todos los procesos de selección,</w:t>
      </w:r>
      <w:r w:rsidR="00F03C84" w:rsidRPr="00211099">
        <w:rPr>
          <w:rFonts w:ascii="ArialMT" w:eastAsia="Times New Roman" w:hAnsi="ArialMT" w:cs="Times New Roman"/>
          <w:color w:val="000000" w:themeColor="text1"/>
          <w:sz w:val="22"/>
          <w:lang w:eastAsia="es-ES_tradnl"/>
        </w:rPr>
        <w:t xml:space="preserve"> sino únicamente en </w:t>
      </w:r>
      <w:r w:rsidR="0058662D" w:rsidRPr="00211099">
        <w:rPr>
          <w:rFonts w:ascii="ArialMT" w:eastAsia="Times New Roman" w:hAnsi="ArialMT" w:cs="Times New Roman"/>
          <w:color w:val="000000" w:themeColor="text1"/>
          <w:sz w:val="22"/>
          <w:lang w:eastAsia="es-ES_tradnl"/>
        </w:rPr>
        <w:t xml:space="preserve">la </w:t>
      </w:r>
      <w:r w:rsidR="005420C8" w:rsidRPr="00211099">
        <w:rPr>
          <w:rFonts w:ascii="ArialMT" w:eastAsia="Times New Roman" w:hAnsi="ArialMT" w:cs="Times New Roman"/>
          <w:color w:val="000000" w:themeColor="text1"/>
          <w:sz w:val="22"/>
          <w:lang w:eastAsia="es-ES_tradnl"/>
        </w:rPr>
        <w:t>licitación pública</w:t>
      </w:r>
      <w:r w:rsidR="000F0AA3" w:rsidRPr="00211099">
        <w:rPr>
          <w:rFonts w:ascii="ArialMT" w:eastAsia="Times New Roman" w:hAnsi="ArialMT" w:cs="Times New Roman"/>
          <w:color w:val="000000" w:themeColor="text1"/>
          <w:sz w:val="22"/>
          <w:lang w:eastAsia="es-ES_tradnl"/>
        </w:rPr>
        <w:t>, en l</w:t>
      </w:r>
      <w:r w:rsidR="0058662D" w:rsidRPr="00211099">
        <w:rPr>
          <w:rFonts w:ascii="ArialMT" w:eastAsia="Times New Roman" w:hAnsi="ArialMT" w:cs="Times New Roman"/>
          <w:color w:val="000000" w:themeColor="text1"/>
          <w:sz w:val="22"/>
          <w:lang w:eastAsia="es-ES_tradnl"/>
        </w:rPr>
        <w:t>a</w:t>
      </w:r>
      <w:r w:rsidR="000F0AA3" w:rsidRPr="00211099">
        <w:rPr>
          <w:rFonts w:ascii="ArialMT" w:eastAsia="Times New Roman" w:hAnsi="ArialMT" w:cs="Times New Roman"/>
          <w:color w:val="000000" w:themeColor="text1"/>
          <w:sz w:val="22"/>
          <w:lang w:eastAsia="es-ES_tradnl"/>
        </w:rPr>
        <w:t xml:space="preserve"> cual</w:t>
      </w:r>
      <w:r w:rsidR="001A4A46" w:rsidRPr="00211099">
        <w:rPr>
          <w:rFonts w:ascii="ArialMT" w:eastAsia="Times New Roman" w:hAnsi="ArialMT" w:cs="Times New Roman"/>
          <w:color w:val="000000" w:themeColor="text1"/>
          <w:sz w:val="22"/>
          <w:lang w:eastAsia="es-ES_tradnl"/>
        </w:rPr>
        <w:t xml:space="preserve"> se torna obligatoria</w:t>
      </w:r>
      <w:r w:rsidR="000F0AA3" w:rsidRPr="00211099">
        <w:rPr>
          <w:rFonts w:ascii="ArialMT" w:eastAsia="Times New Roman" w:hAnsi="ArialMT" w:cs="Times New Roman"/>
          <w:color w:val="000000" w:themeColor="text1"/>
          <w:sz w:val="22"/>
          <w:lang w:eastAsia="es-ES_tradnl"/>
        </w:rPr>
        <w:t xml:space="preserve"> su realización</w:t>
      </w:r>
      <w:r w:rsidR="006B5E1A" w:rsidRPr="00211099">
        <w:rPr>
          <w:rFonts w:ascii="ArialMT" w:eastAsia="Times New Roman" w:hAnsi="ArialMT" w:cs="Times New Roman"/>
          <w:color w:val="000000" w:themeColor="text1"/>
          <w:sz w:val="22"/>
          <w:lang w:eastAsia="es-ES_tradnl"/>
        </w:rPr>
        <w:t xml:space="preserve">. </w:t>
      </w:r>
      <w:r w:rsidR="006B5E1A" w:rsidRPr="00211099">
        <w:rPr>
          <w:rFonts w:ascii="Arial" w:eastAsia="Calibri" w:hAnsi="Arial" w:cs="Arial"/>
          <w:color w:val="000000"/>
          <w:sz w:val="22"/>
        </w:rPr>
        <w:t>Su propósito</w:t>
      </w:r>
      <w:r w:rsidR="006B5E1A" w:rsidRPr="00211099">
        <w:rPr>
          <w:rFonts w:ascii="ArialMT" w:eastAsia="Times New Roman" w:hAnsi="ArialMT" w:cs="Times New Roman"/>
          <w:color w:val="000000" w:themeColor="text1"/>
          <w:sz w:val="22"/>
          <w:lang w:eastAsia="es-ES_tradnl"/>
        </w:rPr>
        <w:t xml:space="preserve"> es que</w:t>
      </w:r>
      <w:r w:rsidR="00DE422E" w:rsidRPr="00211099">
        <w:rPr>
          <w:rFonts w:ascii="ArialMT" w:eastAsia="Times New Roman" w:hAnsi="ArialMT" w:cs="Times New Roman"/>
          <w:color w:val="000000" w:themeColor="text1"/>
          <w:sz w:val="22"/>
          <w:lang w:eastAsia="es-ES_tradnl"/>
        </w:rPr>
        <w:t xml:space="preserve"> los oferentes y la entidad</w:t>
      </w:r>
      <w:r w:rsidR="006B5E1A" w:rsidRPr="00211099">
        <w:rPr>
          <w:rFonts w:ascii="ArialMT" w:eastAsia="Times New Roman" w:hAnsi="ArialMT" w:cs="Times New Roman"/>
          <w:color w:val="000000" w:themeColor="text1"/>
          <w:sz w:val="22"/>
          <w:lang w:eastAsia="es-ES_tradnl"/>
        </w:rPr>
        <w:t xml:space="preserve"> revisen</w:t>
      </w:r>
      <w:r w:rsidR="00B639CD" w:rsidRPr="00211099">
        <w:rPr>
          <w:rFonts w:ascii="ArialMT" w:eastAsia="Times New Roman" w:hAnsi="ArialMT" w:cs="Times New Roman"/>
          <w:color w:val="000000" w:themeColor="text1"/>
          <w:sz w:val="22"/>
          <w:lang w:eastAsia="es-ES_tradnl"/>
        </w:rPr>
        <w:t>, en un espacio de diálogo,</w:t>
      </w:r>
      <w:r w:rsidR="006B5E1A" w:rsidRPr="00211099">
        <w:rPr>
          <w:rFonts w:ascii="ArialMT" w:eastAsia="Times New Roman" w:hAnsi="ArialMT" w:cs="Times New Roman"/>
          <w:color w:val="000000" w:themeColor="text1"/>
          <w:sz w:val="22"/>
          <w:lang w:eastAsia="es-ES_tradnl"/>
        </w:rPr>
        <w:t xml:space="preserve"> </w:t>
      </w:r>
      <w:r w:rsidR="00DE422E" w:rsidRPr="00211099">
        <w:rPr>
          <w:rFonts w:ascii="ArialMT" w:eastAsia="Times New Roman" w:hAnsi="ArialMT" w:cs="Times New Roman"/>
          <w:color w:val="000000" w:themeColor="text1"/>
          <w:sz w:val="22"/>
          <w:lang w:eastAsia="es-ES_tradnl"/>
        </w:rPr>
        <w:t>la asignación de los</w:t>
      </w:r>
      <w:r w:rsidR="004D7B01" w:rsidRPr="00211099">
        <w:rPr>
          <w:rFonts w:ascii="ArialMT" w:eastAsia="Times New Roman" w:hAnsi="ArialMT" w:cs="Times New Roman"/>
          <w:color w:val="000000" w:themeColor="text1"/>
          <w:sz w:val="22"/>
          <w:lang w:eastAsia="es-ES_tradnl"/>
        </w:rPr>
        <w:t xml:space="preserve"> riesgos</w:t>
      </w:r>
      <w:r w:rsidR="00DE422E" w:rsidRPr="00211099">
        <w:rPr>
          <w:rFonts w:ascii="ArialMT" w:eastAsia="Times New Roman" w:hAnsi="ArialMT" w:cs="Times New Roman"/>
          <w:color w:val="000000" w:themeColor="text1"/>
          <w:sz w:val="22"/>
          <w:lang w:eastAsia="es-ES_tradnl"/>
        </w:rPr>
        <w:t xml:space="preserve"> que</w:t>
      </w:r>
      <w:r w:rsidR="004D7B01" w:rsidRPr="00211099">
        <w:rPr>
          <w:rFonts w:ascii="ArialMT" w:eastAsia="Times New Roman" w:hAnsi="ArialMT" w:cs="Times New Roman"/>
          <w:color w:val="000000" w:themeColor="text1"/>
          <w:sz w:val="22"/>
          <w:lang w:eastAsia="es-ES_tradnl"/>
        </w:rPr>
        <w:t xml:space="preserve"> </w:t>
      </w:r>
      <w:r w:rsidR="00DE422E" w:rsidRPr="00211099">
        <w:rPr>
          <w:rFonts w:ascii="ArialMT" w:eastAsia="Times New Roman" w:hAnsi="ArialMT" w:cs="Times New Roman"/>
          <w:color w:val="000000" w:themeColor="text1"/>
          <w:sz w:val="22"/>
          <w:lang w:eastAsia="es-ES_tradnl"/>
        </w:rPr>
        <w:t xml:space="preserve">previamente </w:t>
      </w:r>
      <w:r w:rsidR="00B639CD" w:rsidRPr="00211099">
        <w:rPr>
          <w:rFonts w:ascii="ArialMT" w:eastAsia="Times New Roman" w:hAnsi="ArialMT" w:cs="Times New Roman"/>
          <w:color w:val="000000" w:themeColor="text1"/>
          <w:sz w:val="22"/>
          <w:lang w:eastAsia="es-ES_tradnl"/>
        </w:rPr>
        <w:t>se ha</w:t>
      </w:r>
      <w:r w:rsidR="00AC68A8" w:rsidRPr="00211099">
        <w:rPr>
          <w:rFonts w:ascii="ArialMT" w:eastAsia="Times New Roman" w:hAnsi="ArialMT" w:cs="Times New Roman"/>
          <w:color w:val="000000" w:themeColor="text1"/>
          <w:sz w:val="22"/>
          <w:lang w:eastAsia="es-ES_tradnl"/>
        </w:rPr>
        <w:t>n</w:t>
      </w:r>
      <w:r w:rsidR="00DE422E" w:rsidRPr="00211099">
        <w:rPr>
          <w:rFonts w:ascii="ArialMT" w:eastAsia="Times New Roman" w:hAnsi="ArialMT" w:cs="Times New Roman"/>
          <w:color w:val="000000" w:themeColor="text1"/>
          <w:sz w:val="22"/>
          <w:lang w:eastAsia="es-ES_tradnl"/>
        </w:rPr>
        <w:t xml:space="preserve"> incluido en </w:t>
      </w:r>
      <w:r w:rsidR="004D7B01" w:rsidRPr="00211099">
        <w:rPr>
          <w:rFonts w:ascii="ArialMT" w:eastAsia="Times New Roman" w:hAnsi="ArialMT" w:cs="Times New Roman"/>
          <w:color w:val="000000" w:themeColor="text1"/>
          <w:sz w:val="22"/>
          <w:lang w:eastAsia="es-ES_tradnl"/>
        </w:rPr>
        <w:t xml:space="preserve">el pliego de </w:t>
      </w:r>
      <w:r w:rsidR="00DE422E" w:rsidRPr="00211099">
        <w:rPr>
          <w:rFonts w:ascii="ArialMT" w:eastAsia="Times New Roman" w:hAnsi="ArialMT" w:cs="Times New Roman"/>
          <w:color w:val="000000" w:themeColor="text1"/>
          <w:sz w:val="22"/>
          <w:lang w:eastAsia="es-ES_tradnl"/>
        </w:rPr>
        <w:t>condiciones</w:t>
      </w:r>
      <w:r w:rsidRPr="00211099">
        <w:rPr>
          <w:rFonts w:ascii="ArialMT" w:eastAsia="Times New Roman" w:hAnsi="ArialMT" w:cs="Times New Roman"/>
          <w:color w:val="000000" w:themeColor="text1"/>
          <w:sz w:val="22"/>
          <w:lang w:eastAsia="es-ES_tradnl"/>
        </w:rPr>
        <w:t>. D</w:t>
      </w:r>
      <w:r w:rsidR="00AC68A8" w:rsidRPr="00211099">
        <w:rPr>
          <w:rFonts w:ascii="ArialMT" w:eastAsia="Times New Roman" w:hAnsi="ArialMT" w:cs="Times New Roman"/>
          <w:color w:val="000000" w:themeColor="text1"/>
          <w:sz w:val="22"/>
          <w:lang w:eastAsia="es-ES_tradnl"/>
        </w:rPr>
        <w:t>e esta manera,</w:t>
      </w:r>
      <w:r w:rsidR="00DE422E"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 xml:space="preserve">podrán </w:t>
      </w:r>
      <w:r w:rsidR="006B5E1A" w:rsidRPr="00211099">
        <w:rPr>
          <w:rFonts w:ascii="ArialMT" w:eastAsia="Times New Roman" w:hAnsi="ArialMT" w:cs="Times New Roman"/>
          <w:color w:val="000000" w:themeColor="text1"/>
          <w:sz w:val="22"/>
          <w:lang w:eastAsia="es-ES_tradnl"/>
        </w:rPr>
        <w:t>identifi</w:t>
      </w:r>
      <w:r w:rsidRPr="00211099">
        <w:rPr>
          <w:rFonts w:ascii="ArialMT" w:eastAsia="Times New Roman" w:hAnsi="ArialMT" w:cs="Times New Roman"/>
          <w:color w:val="000000" w:themeColor="text1"/>
          <w:sz w:val="22"/>
          <w:lang w:eastAsia="es-ES_tradnl"/>
        </w:rPr>
        <w:t>car</w:t>
      </w:r>
      <w:r w:rsidR="006B5E1A" w:rsidRPr="00211099">
        <w:rPr>
          <w:rFonts w:ascii="ArialMT" w:eastAsia="Times New Roman" w:hAnsi="ArialMT" w:cs="Times New Roman"/>
          <w:color w:val="000000" w:themeColor="text1"/>
          <w:sz w:val="22"/>
          <w:lang w:eastAsia="es-ES_tradnl"/>
        </w:rPr>
        <w:t xml:space="preserve"> y valor</w:t>
      </w:r>
      <w:r w:rsidRPr="00211099">
        <w:rPr>
          <w:rFonts w:ascii="ArialMT" w:eastAsia="Times New Roman" w:hAnsi="ArialMT" w:cs="Times New Roman"/>
          <w:color w:val="000000" w:themeColor="text1"/>
          <w:sz w:val="22"/>
          <w:lang w:eastAsia="es-ES_tradnl"/>
        </w:rPr>
        <w:t>ar</w:t>
      </w:r>
      <w:r w:rsidR="006B5E1A" w:rsidRPr="00211099">
        <w:rPr>
          <w:rFonts w:ascii="ArialMT" w:eastAsia="Times New Roman" w:hAnsi="ArialMT" w:cs="Times New Roman"/>
          <w:color w:val="000000" w:themeColor="text1"/>
          <w:sz w:val="22"/>
          <w:lang w:eastAsia="es-ES_tradnl"/>
        </w:rPr>
        <w:t xml:space="preserve"> los riesgos previsibles</w:t>
      </w:r>
      <w:r w:rsidR="00AC68A8" w:rsidRPr="00211099">
        <w:rPr>
          <w:rFonts w:ascii="ArialMT" w:eastAsia="Times New Roman" w:hAnsi="ArialMT" w:cs="Times New Roman"/>
          <w:color w:val="000000" w:themeColor="text1"/>
          <w:sz w:val="22"/>
          <w:lang w:eastAsia="es-ES_tradnl"/>
        </w:rPr>
        <w:t xml:space="preserve"> del contrato</w:t>
      </w:r>
      <w:r w:rsidRPr="00211099">
        <w:rPr>
          <w:rFonts w:ascii="ArialMT" w:eastAsia="Times New Roman" w:hAnsi="ArialMT" w:cs="Times New Roman"/>
          <w:color w:val="000000" w:themeColor="text1"/>
          <w:sz w:val="22"/>
          <w:lang w:eastAsia="es-ES_tradnl"/>
        </w:rPr>
        <w:t>, así como</w:t>
      </w:r>
      <w:r w:rsidR="006B5E1A" w:rsidRPr="00211099">
        <w:rPr>
          <w:rFonts w:ascii="ArialMT" w:eastAsia="Times New Roman" w:hAnsi="ArialMT" w:cs="Times New Roman"/>
          <w:color w:val="000000" w:themeColor="text1"/>
          <w:sz w:val="22"/>
          <w:lang w:eastAsia="es-ES_tradnl"/>
        </w:rPr>
        <w:t xml:space="preserve"> design</w:t>
      </w:r>
      <w:r w:rsidRPr="00211099">
        <w:rPr>
          <w:rFonts w:ascii="ArialMT" w:eastAsia="Times New Roman" w:hAnsi="ArialMT" w:cs="Times New Roman"/>
          <w:color w:val="000000" w:themeColor="text1"/>
          <w:sz w:val="22"/>
          <w:lang w:eastAsia="es-ES_tradnl"/>
        </w:rPr>
        <w:t>ar</w:t>
      </w:r>
      <w:r w:rsidR="006B5E1A" w:rsidRPr="00211099">
        <w:rPr>
          <w:rFonts w:ascii="ArialMT" w:eastAsia="Times New Roman" w:hAnsi="ArialMT" w:cs="Times New Roman"/>
          <w:color w:val="000000" w:themeColor="text1"/>
          <w:sz w:val="22"/>
          <w:lang w:eastAsia="es-ES_tradnl"/>
        </w:rPr>
        <w:t xml:space="preserve"> a la parte contractual que tendrá la responsabilidad de tomar las medidas para prevenir y mitigar el riesgo, </w:t>
      </w:r>
      <w:r w:rsidR="006B5E1A" w:rsidRPr="00211099">
        <w:rPr>
          <w:rFonts w:ascii="Arial" w:eastAsia="Calibri" w:hAnsi="Arial" w:cs="Arial"/>
          <w:color w:val="000000"/>
          <w:sz w:val="22"/>
        </w:rPr>
        <w:t>c</w:t>
      </w:r>
      <w:r w:rsidR="00DE422E" w:rsidRPr="00211099">
        <w:rPr>
          <w:rFonts w:ascii="Arial" w:eastAsia="Calibri" w:hAnsi="Arial" w:cs="Arial"/>
          <w:color w:val="000000"/>
          <w:sz w:val="22"/>
        </w:rPr>
        <w:t>on el fin de establecer su distribución definitiva</w:t>
      </w:r>
      <w:r w:rsidR="006B5E1A" w:rsidRPr="00211099">
        <w:rPr>
          <w:rFonts w:ascii="Arial" w:eastAsia="Calibri" w:hAnsi="Arial" w:cs="Arial"/>
          <w:color w:val="000000"/>
          <w:sz w:val="22"/>
        </w:rPr>
        <w:t>.</w:t>
      </w:r>
      <w:r w:rsidR="00B07F92" w:rsidRPr="00211099">
        <w:rPr>
          <w:rFonts w:ascii="Arial" w:eastAsia="Calibri" w:hAnsi="Arial" w:cs="Arial"/>
          <w:color w:val="000000"/>
          <w:sz w:val="22"/>
        </w:rPr>
        <w:t xml:space="preserve"> </w:t>
      </w:r>
    </w:p>
    <w:p w14:paraId="28D9E6A0" w14:textId="0AA83D7D" w:rsidR="00F514E9" w:rsidRPr="00211099" w:rsidRDefault="001A4A46" w:rsidP="000E3C4F">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 xml:space="preserve">Ahora bien, </w:t>
      </w:r>
      <w:r w:rsidR="00913816" w:rsidRPr="00211099">
        <w:rPr>
          <w:rFonts w:ascii="ArialMT" w:eastAsia="Times New Roman" w:hAnsi="ArialMT" w:cs="Times New Roman"/>
          <w:color w:val="000000" w:themeColor="text1"/>
          <w:sz w:val="22"/>
          <w:lang w:eastAsia="es-ES_tradnl"/>
        </w:rPr>
        <w:t>aunque</w:t>
      </w:r>
      <w:r w:rsidR="00AC68A8"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 xml:space="preserve">la </w:t>
      </w:r>
      <w:r w:rsidR="00AC68A8" w:rsidRPr="00211099">
        <w:rPr>
          <w:rFonts w:ascii="ArialMT" w:eastAsia="Times New Roman" w:hAnsi="ArialMT" w:cs="Times New Roman"/>
          <w:color w:val="000000" w:themeColor="text1"/>
          <w:sz w:val="22"/>
          <w:lang w:eastAsia="es-ES_tradnl"/>
        </w:rPr>
        <w:t xml:space="preserve">audiencia </w:t>
      </w:r>
      <w:r w:rsidRPr="00211099">
        <w:rPr>
          <w:rFonts w:ascii="ArialMT" w:eastAsia="Times New Roman" w:hAnsi="ArialMT" w:cs="Times New Roman"/>
          <w:color w:val="000000" w:themeColor="text1"/>
          <w:sz w:val="22"/>
          <w:lang w:eastAsia="es-ES_tradnl"/>
        </w:rPr>
        <w:t xml:space="preserve">de asignación de riesgos </w:t>
      </w:r>
      <w:r w:rsidR="00AC68A8" w:rsidRPr="00211099">
        <w:rPr>
          <w:rFonts w:ascii="ArialMT" w:eastAsia="Times New Roman" w:hAnsi="ArialMT" w:cs="Times New Roman"/>
          <w:color w:val="000000" w:themeColor="text1"/>
          <w:sz w:val="22"/>
          <w:lang w:eastAsia="es-ES_tradnl"/>
        </w:rPr>
        <w:t xml:space="preserve">es </w:t>
      </w:r>
      <w:r w:rsidR="00584CC0" w:rsidRPr="00211099">
        <w:rPr>
          <w:rFonts w:ascii="ArialMT" w:eastAsia="Times New Roman" w:hAnsi="ArialMT" w:cs="Times New Roman"/>
          <w:color w:val="000000" w:themeColor="text1"/>
          <w:sz w:val="22"/>
          <w:lang w:eastAsia="es-ES_tradnl"/>
        </w:rPr>
        <w:t xml:space="preserve">obligatoria </w:t>
      </w:r>
      <w:r w:rsidR="0058662D" w:rsidRPr="00211099">
        <w:rPr>
          <w:rFonts w:ascii="ArialMT" w:eastAsia="Times New Roman" w:hAnsi="ArialMT" w:cs="Times New Roman"/>
          <w:color w:val="000000" w:themeColor="text1"/>
          <w:sz w:val="22"/>
          <w:lang w:eastAsia="es-ES_tradnl"/>
        </w:rPr>
        <w:t>en los procesos de</w:t>
      </w:r>
      <w:r w:rsidR="00F514E9" w:rsidRPr="00211099">
        <w:rPr>
          <w:rFonts w:ascii="ArialMT" w:eastAsia="Times New Roman" w:hAnsi="ArialMT" w:cs="Times New Roman"/>
          <w:color w:val="000000" w:themeColor="text1"/>
          <w:sz w:val="22"/>
          <w:lang w:eastAsia="es-ES_tradnl"/>
        </w:rPr>
        <w:t xml:space="preserve"> licitación pública</w:t>
      </w:r>
      <w:r w:rsidR="00925025" w:rsidRPr="00211099">
        <w:rPr>
          <w:rFonts w:ascii="ArialMT" w:eastAsia="Times New Roman" w:hAnsi="ArialMT" w:cs="Times New Roman"/>
          <w:color w:val="000000" w:themeColor="text1"/>
          <w:sz w:val="22"/>
          <w:lang w:eastAsia="es-ES_tradnl"/>
        </w:rPr>
        <w:t>,</w:t>
      </w:r>
      <w:r w:rsidR="00913816" w:rsidRPr="00211099">
        <w:rPr>
          <w:rFonts w:ascii="ArialMT" w:eastAsia="Times New Roman" w:hAnsi="ArialMT" w:cs="Times New Roman"/>
          <w:color w:val="000000" w:themeColor="text1"/>
          <w:sz w:val="22"/>
          <w:lang w:eastAsia="es-ES_tradnl"/>
        </w:rPr>
        <w:t xml:space="preserve"> lo cierto es que</w:t>
      </w:r>
      <w:r w:rsidR="00925025" w:rsidRPr="00211099">
        <w:rPr>
          <w:rFonts w:ascii="ArialMT" w:eastAsia="Times New Roman" w:hAnsi="ArialMT" w:cs="Times New Roman"/>
          <w:color w:val="000000" w:themeColor="text1"/>
          <w:sz w:val="22"/>
          <w:lang w:eastAsia="es-ES_tradnl"/>
        </w:rPr>
        <w:t xml:space="preserve"> </w:t>
      </w:r>
      <w:r w:rsidR="003948CC" w:rsidRPr="00211099">
        <w:rPr>
          <w:rFonts w:ascii="ArialMT" w:eastAsia="Times New Roman" w:hAnsi="ArialMT" w:cs="Times New Roman"/>
          <w:color w:val="000000" w:themeColor="text1"/>
          <w:sz w:val="22"/>
          <w:lang w:eastAsia="es-ES_tradnl"/>
        </w:rPr>
        <w:t>dicha obligatoriedad</w:t>
      </w:r>
      <w:r w:rsidR="00894306" w:rsidRPr="00211099">
        <w:rPr>
          <w:rFonts w:ascii="ArialMT" w:eastAsia="Times New Roman" w:hAnsi="ArialMT" w:cs="Times New Roman"/>
          <w:color w:val="000000" w:themeColor="text1"/>
          <w:sz w:val="22"/>
          <w:lang w:eastAsia="es-ES_tradnl"/>
        </w:rPr>
        <w:t xml:space="preserve"> tiene que ver con la necesidad de realizarla</w:t>
      </w:r>
      <w:r w:rsidR="00273F26" w:rsidRPr="00211099">
        <w:rPr>
          <w:rFonts w:ascii="ArialMT" w:eastAsia="Times New Roman" w:hAnsi="ArialMT" w:cs="Times New Roman"/>
          <w:color w:val="000000" w:themeColor="text1"/>
          <w:sz w:val="22"/>
          <w:lang w:eastAsia="es-ES_tradnl"/>
        </w:rPr>
        <w:t xml:space="preserve"> por parte de la entidad pública</w:t>
      </w:r>
      <w:r w:rsidR="00894306" w:rsidRPr="00211099">
        <w:rPr>
          <w:rFonts w:ascii="ArialMT" w:eastAsia="Times New Roman" w:hAnsi="ArialMT" w:cs="Times New Roman"/>
          <w:color w:val="000000" w:themeColor="text1"/>
          <w:sz w:val="22"/>
          <w:lang w:eastAsia="es-ES_tradnl"/>
        </w:rPr>
        <w:t xml:space="preserve">, </w:t>
      </w:r>
      <w:r w:rsidR="00DD1ED4" w:rsidRPr="00211099">
        <w:rPr>
          <w:rFonts w:ascii="ArialMT" w:eastAsia="Times New Roman" w:hAnsi="ArialMT" w:cs="Times New Roman"/>
          <w:color w:val="000000" w:themeColor="text1"/>
          <w:sz w:val="22"/>
          <w:lang w:eastAsia="es-ES_tradnl"/>
        </w:rPr>
        <w:t>más</w:t>
      </w:r>
      <w:r w:rsidR="00894306" w:rsidRPr="00211099">
        <w:rPr>
          <w:rFonts w:ascii="ArialMT" w:eastAsia="Times New Roman" w:hAnsi="ArialMT" w:cs="Times New Roman"/>
          <w:color w:val="000000" w:themeColor="text1"/>
          <w:sz w:val="22"/>
          <w:lang w:eastAsia="es-ES_tradnl"/>
        </w:rPr>
        <w:t xml:space="preserve"> no</w:t>
      </w:r>
      <w:r w:rsidR="005A1EEF" w:rsidRPr="00211099">
        <w:rPr>
          <w:rFonts w:ascii="ArialMT" w:eastAsia="Times New Roman" w:hAnsi="ArialMT" w:cs="Times New Roman"/>
          <w:color w:val="000000" w:themeColor="text1"/>
          <w:sz w:val="22"/>
          <w:lang w:eastAsia="es-ES_tradnl"/>
        </w:rPr>
        <w:t xml:space="preserve"> con</w:t>
      </w:r>
      <w:r w:rsidR="004D7B01" w:rsidRPr="00211099">
        <w:rPr>
          <w:rFonts w:ascii="ArialMT" w:eastAsia="Times New Roman" w:hAnsi="ArialMT" w:cs="Times New Roman"/>
          <w:color w:val="000000" w:themeColor="text1"/>
          <w:sz w:val="22"/>
          <w:lang w:eastAsia="es-ES_tradnl"/>
        </w:rPr>
        <w:t xml:space="preserve"> </w:t>
      </w:r>
      <w:r w:rsidR="002C4C5C" w:rsidRPr="00211099">
        <w:rPr>
          <w:rFonts w:ascii="ArialMT" w:eastAsia="Times New Roman" w:hAnsi="ArialMT" w:cs="Times New Roman"/>
          <w:color w:val="000000" w:themeColor="text1"/>
          <w:sz w:val="22"/>
          <w:lang w:eastAsia="es-ES_tradnl"/>
        </w:rPr>
        <w:t>la</w:t>
      </w:r>
      <w:r w:rsidR="00894306" w:rsidRPr="00211099">
        <w:rPr>
          <w:rFonts w:ascii="ArialMT" w:eastAsia="Times New Roman" w:hAnsi="ArialMT" w:cs="Times New Roman"/>
          <w:color w:val="000000" w:themeColor="text1"/>
          <w:sz w:val="22"/>
          <w:lang w:eastAsia="es-ES_tradnl"/>
        </w:rPr>
        <w:t xml:space="preserve"> </w:t>
      </w:r>
      <w:r w:rsidR="005420C8" w:rsidRPr="00211099">
        <w:rPr>
          <w:rFonts w:ascii="ArialMT" w:eastAsia="Times New Roman" w:hAnsi="ArialMT" w:cs="Times New Roman"/>
          <w:color w:val="000000" w:themeColor="text1"/>
          <w:sz w:val="22"/>
          <w:lang w:eastAsia="es-ES_tradnl"/>
        </w:rPr>
        <w:t xml:space="preserve">asistencia a la misma por parte de los </w:t>
      </w:r>
      <w:r w:rsidR="00894306" w:rsidRPr="00211099">
        <w:rPr>
          <w:rFonts w:ascii="ArialMT" w:eastAsia="Times New Roman" w:hAnsi="ArialMT" w:cs="Times New Roman"/>
          <w:color w:val="000000" w:themeColor="text1"/>
          <w:sz w:val="22"/>
          <w:lang w:eastAsia="es-ES_tradnl"/>
        </w:rPr>
        <w:t>futuros oferentes</w:t>
      </w:r>
      <w:r w:rsidR="00DD1ED4" w:rsidRPr="00211099">
        <w:rPr>
          <w:rFonts w:ascii="ArialMT" w:eastAsia="Times New Roman" w:hAnsi="ArialMT" w:cs="Times New Roman"/>
          <w:color w:val="000000" w:themeColor="text1"/>
          <w:sz w:val="22"/>
          <w:lang w:eastAsia="es-ES_tradnl"/>
        </w:rPr>
        <w:t>. Ello es así</w:t>
      </w:r>
      <w:r w:rsidR="00913816" w:rsidRPr="00211099">
        <w:rPr>
          <w:rFonts w:ascii="ArialMT" w:eastAsia="Times New Roman" w:hAnsi="ArialMT" w:cs="Times New Roman"/>
          <w:color w:val="000000" w:themeColor="text1"/>
          <w:sz w:val="22"/>
          <w:lang w:eastAsia="es-ES_tradnl"/>
        </w:rPr>
        <w:t>,</w:t>
      </w:r>
      <w:r w:rsidR="00DD1ED4" w:rsidRPr="00211099">
        <w:rPr>
          <w:rFonts w:ascii="ArialMT" w:eastAsia="Times New Roman" w:hAnsi="ArialMT" w:cs="Times New Roman"/>
          <w:color w:val="000000" w:themeColor="text1"/>
          <w:sz w:val="22"/>
          <w:lang w:eastAsia="es-ES_tradnl"/>
        </w:rPr>
        <w:t xml:space="preserve"> por cuanto</w:t>
      </w:r>
      <w:r w:rsidR="00B64040" w:rsidRPr="00211099">
        <w:rPr>
          <w:rFonts w:ascii="ArialMT" w:eastAsia="Times New Roman" w:hAnsi="ArialMT" w:cs="Times New Roman"/>
          <w:color w:val="000000" w:themeColor="text1"/>
          <w:sz w:val="22"/>
          <w:lang w:eastAsia="es-ES_tradnl"/>
        </w:rPr>
        <w:t xml:space="preserve"> </w:t>
      </w:r>
      <w:r w:rsidR="00925025" w:rsidRPr="00211099">
        <w:rPr>
          <w:rFonts w:ascii="ArialMT" w:eastAsia="Times New Roman" w:hAnsi="ArialMT" w:cs="Times New Roman"/>
          <w:color w:val="000000" w:themeColor="text1"/>
          <w:sz w:val="22"/>
          <w:lang w:eastAsia="es-ES_tradnl"/>
        </w:rPr>
        <w:t>los preceptos norm</w:t>
      </w:r>
      <w:r w:rsidR="00DD1ED4" w:rsidRPr="00211099">
        <w:rPr>
          <w:rFonts w:ascii="ArialMT" w:eastAsia="Times New Roman" w:hAnsi="ArialMT" w:cs="Times New Roman"/>
          <w:color w:val="000000" w:themeColor="text1"/>
          <w:sz w:val="22"/>
          <w:lang w:eastAsia="es-ES_tradnl"/>
        </w:rPr>
        <w:t>ativos señalados</w:t>
      </w:r>
      <w:r w:rsidR="00925025" w:rsidRPr="00211099">
        <w:rPr>
          <w:rFonts w:ascii="ArialMT" w:eastAsia="Times New Roman" w:hAnsi="ArialMT" w:cs="Times New Roman"/>
          <w:color w:val="000000" w:themeColor="text1"/>
          <w:sz w:val="22"/>
          <w:lang w:eastAsia="es-ES_tradnl"/>
        </w:rPr>
        <w:t xml:space="preserve"> </w:t>
      </w:r>
      <w:r w:rsidR="004D7B01" w:rsidRPr="00211099">
        <w:rPr>
          <w:rFonts w:ascii="ArialMT" w:eastAsia="Times New Roman" w:hAnsi="ArialMT" w:cs="Times New Roman"/>
          <w:color w:val="000000" w:themeColor="text1"/>
          <w:sz w:val="22"/>
          <w:lang w:eastAsia="es-ES_tradnl"/>
        </w:rPr>
        <w:t xml:space="preserve">nada </w:t>
      </w:r>
      <w:r w:rsidR="00925025" w:rsidRPr="00211099">
        <w:rPr>
          <w:rFonts w:ascii="ArialMT" w:eastAsia="Times New Roman" w:hAnsi="ArialMT" w:cs="Times New Roman"/>
          <w:color w:val="000000" w:themeColor="text1"/>
          <w:sz w:val="22"/>
          <w:lang w:eastAsia="es-ES_tradnl"/>
        </w:rPr>
        <w:t>establecieron</w:t>
      </w:r>
      <w:r w:rsidR="00B64040" w:rsidRPr="00211099">
        <w:rPr>
          <w:rFonts w:ascii="ArialMT" w:eastAsia="Times New Roman" w:hAnsi="ArialMT" w:cs="Times New Roman"/>
          <w:color w:val="000000" w:themeColor="text1"/>
          <w:sz w:val="22"/>
          <w:lang w:eastAsia="es-ES_tradnl"/>
        </w:rPr>
        <w:t xml:space="preserve"> sobre</w:t>
      </w:r>
      <w:r w:rsidR="0066447B" w:rsidRPr="00211099">
        <w:rPr>
          <w:rFonts w:ascii="ArialMT" w:eastAsia="Times New Roman" w:hAnsi="ArialMT" w:cs="Times New Roman"/>
          <w:color w:val="000000" w:themeColor="text1"/>
          <w:sz w:val="22"/>
          <w:lang w:eastAsia="es-ES_tradnl"/>
        </w:rPr>
        <w:t xml:space="preserve"> la obligación de</w:t>
      </w:r>
      <w:r w:rsidR="0058662D" w:rsidRPr="00211099">
        <w:rPr>
          <w:rFonts w:ascii="ArialMT" w:eastAsia="Times New Roman" w:hAnsi="ArialMT" w:cs="Times New Roman"/>
          <w:color w:val="000000" w:themeColor="text1"/>
          <w:sz w:val="22"/>
          <w:lang w:eastAsia="es-ES_tradnl"/>
        </w:rPr>
        <w:t xml:space="preserve"> </w:t>
      </w:r>
      <w:r w:rsidR="0021268F" w:rsidRPr="00211099">
        <w:rPr>
          <w:rFonts w:ascii="ArialMT" w:eastAsia="Times New Roman" w:hAnsi="ArialMT" w:cs="Times New Roman"/>
          <w:color w:val="000000" w:themeColor="text1"/>
          <w:sz w:val="22"/>
          <w:lang w:eastAsia="es-ES_tradnl"/>
        </w:rPr>
        <w:t>asist</w:t>
      </w:r>
      <w:r w:rsidR="0021268F">
        <w:rPr>
          <w:rFonts w:ascii="ArialMT" w:eastAsia="Times New Roman" w:hAnsi="ArialMT" w:cs="Times New Roman"/>
          <w:color w:val="000000" w:themeColor="text1"/>
          <w:sz w:val="22"/>
          <w:lang w:eastAsia="es-ES_tradnl"/>
        </w:rPr>
        <w:t>ir</w:t>
      </w:r>
      <w:r w:rsidR="006D4586">
        <w:rPr>
          <w:rFonts w:ascii="ArialMT" w:eastAsia="Times New Roman" w:hAnsi="ArialMT" w:cs="Times New Roman"/>
          <w:color w:val="000000" w:themeColor="text1"/>
          <w:sz w:val="22"/>
          <w:lang w:eastAsia="es-ES_tradnl"/>
        </w:rPr>
        <w:t xml:space="preserve"> por parte de los eventuales interesados</w:t>
      </w:r>
      <w:r w:rsidR="008E1CA0" w:rsidRPr="00211099">
        <w:rPr>
          <w:rFonts w:ascii="ArialMT" w:eastAsia="Times New Roman" w:hAnsi="ArialMT" w:cs="Times New Roman"/>
          <w:color w:val="000000" w:themeColor="text1"/>
          <w:sz w:val="22"/>
          <w:lang w:eastAsia="es-ES_tradnl"/>
        </w:rPr>
        <w:t xml:space="preserve">. </w:t>
      </w:r>
    </w:p>
    <w:p w14:paraId="0954A9D5" w14:textId="75A869BD" w:rsidR="00D62C42" w:rsidRPr="000E3C4F" w:rsidRDefault="00B355E8" w:rsidP="000E3C4F">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 xml:space="preserve">Lo expuesto encuentra sustento en el documento </w:t>
      </w:r>
      <w:r w:rsidR="00FE1477">
        <w:rPr>
          <w:rFonts w:ascii="ArialMT" w:eastAsia="Times New Roman" w:hAnsi="ArialMT" w:cs="Times New Roman"/>
          <w:color w:val="000000" w:themeColor="text1"/>
          <w:sz w:val="22"/>
          <w:lang w:eastAsia="es-ES_tradnl"/>
        </w:rPr>
        <w:t>CONPES</w:t>
      </w:r>
      <w:r w:rsidRPr="00211099">
        <w:rPr>
          <w:rFonts w:ascii="ArialMT" w:eastAsia="Times New Roman" w:hAnsi="ArialMT" w:cs="Times New Roman"/>
          <w:color w:val="000000" w:themeColor="text1"/>
          <w:sz w:val="22"/>
          <w:lang w:eastAsia="es-ES_tradnl"/>
        </w:rPr>
        <w:t xml:space="preserve"> 3714 de 2011 que expidió </w:t>
      </w:r>
      <w:r w:rsidR="009174CF" w:rsidRPr="00211099">
        <w:rPr>
          <w:rFonts w:ascii="ArialMT" w:eastAsia="Times New Roman" w:hAnsi="ArialMT" w:cs="Times New Roman"/>
          <w:color w:val="000000" w:themeColor="text1"/>
          <w:sz w:val="22"/>
          <w:lang w:eastAsia="es-ES_tradnl"/>
        </w:rPr>
        <w:t>el Gobierno Nacional</w:t>
      </w:r>
      <w:r w:rsidRPr="00211099">
        <w:rPr>
          <w:rFonts w:ascii="ArialMT" w:eastAsia="Times New Roman" w:hAnsi="ArialMT" w:cs="Times New Roman"/>
          <w:color w:val="000000" w:themeColor="text1"/>
          <w:sz w:val="22"/>
          <w:lang w:eastAsia="es-ES_tradnl"/>
        </w:rPr>
        <w:t xml:space="preserve"> </w:t>
      </w:r>
      <w:r w:rsidR="001246F6" w:rsidRPr="00211099">
        <w:rPr>
          <w:rFonts w:ascii="ArialMT" w:eastAsia="Times New Roman" w:hAnsi="ArialMT" w:cs="Times New Roman"/>
          <w:color w:val="000000" w:themeColor="text1"/>
          <w:sz w:val="22"/>
          <w:lang w:eastAsia="es-ES_tradnl"/>
        </w:rPr>
        <w:t>e</w:t>
      </w:r>
      <w:r w:rsidR="00475C68" w:rsidRPr="00211099">
        <w:rPr>
          <w:rFonts w:ascii="ArialMT" w:eastAsia="Times New Roman" w:hAnsi="ArialMT" w:cs="Times New Roman"/>
          <w:color w:val="000000" w:themeColor="text1"/>
          <w:sz w:val="22"/>
          <w:lang w:eastAsia="es-ES_tradnl"/>
        </w:rPr>
        <w:t>n el M</w:t>
      </w:r>
      <w:r w:rsidR="00AB06D1" w:rsidRPr="00211099">
        <w:rPr>
          <w:rFonts w:ascii="ArialMT" w:eastAsia="Times New Roman" w:hAnsi="ArialMT" w:cs="Times New Roman"/>
          <w:color w:val="000000" w:themeColor="text1"/>
          <w:sz w:val="22"/>
          <w:lang w:eastAsia="es-ES_tradnl"/>
        </w:rPr>
        <w:t xml:space="preserve">arco de la </w:t>
      </w:r>
      <w:r w:rsidR="00475C68" w:rsidRPr="00211099">
        <w:rPr>
          <w:rFonts w:ascii="ArialMT" w:eastAsia="Times New Roman" w:hAnsi="ArialMT" w:cs="Times New Roman"/>
          <w:color w:val="000000" w:themeColor="text1"/>
          <w:sz w:val="22"/>
          <w:lang w:eastAsia="es-ES_tradnl"/>
        </w:rPr>
        <w:t>P</w:t>
      </w:r>
      <w:r w:rsidR="00AB06D1" w:rsidRPr="00211099">
        <w:rPr>
          <w:rFonts w:ascii="ArialMT" w:eastAsia="Times New Roman" w:hAnsi="ArialMT" w:cs="Times New Roman"/>
          <w:color w:val="000000" w:themeColor="text1"/>
          <w:sz w:val="22"/>
          <w:lang w:eastAsia="es-ES_tradnl"/>
        </w:rPr>
        <w:t xml:space="preserve">olítica </w:t>
      </w:r>
      <w:r w:rsidR="00475C68" w:rsidRPr="00211099">
        <w:rPr>
          <w:rFonts w:ascii="ArialMT" w:eastAsia="Times New Roman" w:hAnsi="ArialMT" w:cs="Times New Roman"/>
          <w:color w:val="000000" w:themeColor="text1"/>
          <w:sz w:val="22"/>
          <w:lang w:eastAsia="es-ES_tradnl"/>
        </w:rPr>
        <w:t>de C</w:t>
      </w:r>
      <w:r w:rsidR="00AB06D1" w:rsidRPr="00211099">
        <w:rPr>
          <w:rFonts w:ascii="ArialMT" w:eastAsia="Times New Roman" w:hAnsi="ArialMT" w:cs="Times New Roman"/>
          <w:color w:val="000000" w:themeColor="text1"/>
          <w:sz w:val="22"/>
          <w:lang w:eastAsia="es-ES_tradnl"/>
        </w:rPr>
        <w:t>ontrataci</w:t>
      </w:r>
      <w:r w:rsidR="00475C68" w:rsidRPr="00211099">
        <w:rPr>
          <w:rFonts w:ascii="ArialMT" w:eastAsia="Times New Roman" w:hAnsi="ArialMT" w:cs="Times New Roman"/>
          <w:color w:val="000000" w:themeColor="text1"/>
          <w:sz w:val="22"/>
          <w:lang w:eastAsia="es-ES_tradnl"/>
        </w:rPr>
        <w:t>ón P</w:t>
      </w:r>
      <w:r w:rsidR="00AB06D1" w:rsidRPr="00211099">
        <w:rPr>
          <w:rFonts w:ascii="ArialMT" w:eastAsia="Times New Roman" w:hAnsi="ArialMT" w:cs="Times New Roman"/>
          <w:color w:val="000000" w:themeColor="text1"/>
          <w:sz w:val="22"/>
          <w:lang w:eastAsia="es-ES_tradnl"/>
        </w:rPr>
        <w:t>ública</w:t>
      </w:r>
      <w:r w:rsidR="005A1EEF" w:rsidRPr="00211099">
        <w:rPr>
          <w:rFonts w:ascii="ArialMT" w:eastAsia="Times New Roman" w:hAnsi="ArialMT" w:cs="Times New Roman"/>
          <w:color w:val="000000" w:themeColor="text1"/>
          <w:sz w:val="22"/>
          <w:lang w:eastAsia="es-ES_tradnl"/>
        </w:rPr>
        <w:t>.</w:t>
      </w:r>
      <w:r w:rsidR="00475C68" w:rsidRPr="00211099">
        <w:rPr>
          <w:rFonts w:ascii="ArialMT" w:eastAsia="Times New Roman" w:hAnsi="ArialMT" w:cs="Times New Roman"/>
          <w:color w:val="000000" w:themeColor="text1"/>
          <w:sz w:val="22"/>
          <w:lang w:eastAsia="es-ES_tradnl"/>
        </w:rPr>
        <w:t xml:space="preserve"> </w:t>
      </w:r>
      <w:r w:rsidR="005A1EEF" w:rsidRPr="00211099">
        <w:rPr>
          <w:rFonts w:ascii="ArialMT" w:eastAsia="Times New Roman" w:hAnsi="ArialMT" w:cs="Times New Roman"/>
          <w:color w:val="000000" w:themeColor="text1"/>
          <w:sz w:val="22"/>
          <w:lang w:eastAsia="es-ES_tradnl"/>
        </w:rPr>
        <w:t>E</w:t>
      </w:r>
      <w:r w:rsidR="00475C68" w:rsidRPr="00211099">
        <w:rPr>
          <w:rFonts w:ascii="ArialMT" w:eastAsia="Times New Roman" w:hAnsi="ArialMT" w:cs="Times New Roman"/>
          <w:color w:val="000000" w:themeColor="text1"/>
          <w:sz w:val="22"/>
          <w:lang w:eastAsia="es-ES_tradnl"/>
        </w:rPr>
        <w:t xml:space="preserve">n virtud </w:t>
      </w:r>
      <w:r w:rsidR="005A1EEF" w:rsidRPr="00211099">
        <w:rPr>
          <w:rFonts w:ascii="ArialMT" w:eastAsia="Times New Roman" w:hAnsi="ArialMT" w:cs="Times New Roman"/>
          <w:color w:val="000000" w:themeColor="text1"/>
          <w:sz w:val="22"/>
          <w:lang w:eastAsia="es-ES_tradnl"/>
        </w:rPr>
        <w:t>de dicho documento,</w:t>
      </w:r>
      <w:r w:rsidR="00475C68" w:rsidRPr="00211099">
        <w:rPr>
          <w:rFonts w:ascii="ArialMT" w:eastAsia="Times New Roman" w:hAnsi="ArialMT" w:cs="Times New Roman"/>
          <w:color w:val="000000" w:themeColor="text1"/>
          <w:sz w:val="22"/>
          <w:lang w:eastAsia="es-ES_tradnl"/>
        </w:rPr>
        <w:t xml:space="preserve"> se establece</w:t>
      </w:r>
      <w:r w:rsidR="005A1EEF" w:rsidRPr="00211099">
        <w:rPr>
          <w:rFonts w:ascii="ArialMT" w:eastAsia="Times New Roman" w:hAnsi="ArialMT" w:cs="Times New Roman"/>
          <w:color w:val="000000" w:themeColor="text1"/>
          <w:sz w:val="22"/>
          <w:lang w:eastAsia="es-ES_tradnl"/>
        </w:rPr>
        <w:t>n</w:t>
      </w:r>
      <w:r w:rsidR="00475C68" w:rsidRPr="00211099">
        <w:rPr>
          <w:rFonts w:ascii="ArialMT" w:eastAsia="Times New Roman" w:hAnsi="ArialMT" w:cs="Times New Roman"/>
          <w:color w:val="000000" w:themeColor="text1"/>
          <w:sz w:val="22"/>
          <w:lang w:eastAsia="es-ES_tradnl"/>
        </w:rPr>
        <w:t xml:space="preserve"> una serie de lineamientos básicos para el entendimiento del concepto de riesgo previsible </w:t>
      </w:r>
      <w:r w:rsidR="00497DA1" w:rsidRPr="00211099">
        <w:rPr>
          <w:rFonts w:ascii="ArialMT" w:eastAsia="Times New Roman" w:hAnsi="ArialMT" w:cs="Times New Roman"/>
          <w:color w:val="000000" w:themeColor="text1"/>
          <w:sz w:val="22"/>
          <w:lang w:eastAsia="es-ES_tradnl"/>
        </w:rPr>
        <w:t xml:space="preserve">respecto de </w:t>
      </w:r>
      <w:r w:rsidR="00475C68" w:rsidRPr="00211099">
        <w:rPr>
          <w:rFonts w:ascii="ArialMT" w:eastAsia="Times New Roman" w:hAnsi="ArialMT" w:cs="Times New Roman"/>
          <w:color w:val="000000" w:themeColor="text1"/>
          <w:sz w:val="22"/>
          <w:lang w:eastAsia="es-ES_tradnl"/>
        </w:rPr>
        <w:t>las adquisiciones sometidas al Estatuto General de Contrataci</w:t>
      </w:r>
      <w:r w:rsidR="00497DA1" w:rsidRPr="00211099">
        <w:rPr>
          <w:rFonts w:ascii="ArialMT" w:eastAsia="Times New Roman" w:hAnsi="ArialMT" w:cs="Times New Roman"/>
          <w:color w:val="000000" w:themeColor="text1"/>
          <w:sz w:val="22"/>
          <w:lang w:eastAsia="es-ES_tradnl"/>
        </w:rPr>
        <w:t>ón de la Administración Pública</w:t>
      </w:r>
      <w:r w:rsidR="00475C68" w:rsidRPr="00211099">
        <w:rPr>
          <w:rFonts w:ascii="ArialMT" w:eastAsia="Times New Roman" w:hAnsi="ArialMT" w:cs="Times New Roman"/>
          <w:color w:val="000000" w:themeColor="text1"/>
          <w:sz w:val="22"/>
          <w:lang w:eastAsia="es-ES_tradnl"/>
        </w:rPr>
        <w:t xml:space="preserve">. </w:t>
      </w:r>
      <w:r w:rsidR="00497DA1" w:rsidRPr="00211099">
        <w:rPr>
          <w:rFonts w:ascii="ArialMT" w:eastAsia="Times New Roman" w:hAnsi="ArialMT" w:cs="Times New Roman"/>
          <w:color w:val="000000" w:themeColor="text1"/>
          <w:sz w:val="22"/>
          <w:lang w:eastAsia="es-ES_tradnl"/>
        </w:rPr>
        <w:t>En particular, sobre la audiencia de asignación de riesgos</w:t>
      </w:r>
      <w:r w:rsidR="005A1EEF" w:rsidRPr="00211099">
        <w:rPr>
          <w:rFonts w:ascii="ArialMT" w:eastAsia="Times New Roman" w:hAnsi="ArialMT" w:cs="Times New Roman"/>
          <w:color w:val="000000" w:themeColor="text1"/>
          <w:sz w:val="22"/>
          <w:lang w:eastAsia="es-ES_tradnl"/>
        </w:rPr>
        <w:t>,</w:t>
      </w:r>
      <w:r w:rsidR="00497DA1" w:rsidRPr="00211099">
        <w:rPr>
          <w:rFonts w:ascii="ArialMT" w:eastAsia="Times New Roman" w:hAnsi="ArialMT" w:cs="Times New Roman"/>
          <w:color w:val="000000" w:themeColor="text1"/>
          <w:sz w:val="22"/>
          <w:lang w:eastAsia="es-ES_tradnl"/>
        </w:rPr>
        <w:t xml:space="preserve"> </w:t>
      </w:r>
      <w:r w:rsidR="005A1EEF" w:rsidRPr="00211099">
        <w:rPr>
          <w:rFonts w:ascii="ArialMT" w:eastAsia="Times New Roman" w:hAnsi="ArialMT" w:cs="Times New Roman"/>
          <w:color w:val="000000" w:themeColor="text1"/>
          <w:sz w:val="22"/>
          <w:lang w:eastAsia="es-ES_tradnl"/>
        </w:rPr>
        <w:t>señala lo siguiente</w:t>
      </w:r>
      <w:r w:rsidR="00497DA1" w:rsidRPr="00211099">
        <w:rPr>
          <w:rFonts w:ascii="ArialMT" w:eastAsia="Times New Roman" w:hAnsi="ArialMT" w:cs="Times New Roman"/>
          <w:color w:val="000000" w:themeColor="text1"/>
          <w:sz w:val="22"/>
          <w:lang w:eastAsia="es-ES_tradnl"/>
        </w:rPr>
        <w:t xml:space="preserve">: </w:t>
      </w:r>
    </w:p>
    <w:p w14:paraId="538C47CF" w14:textId="6CB6D7B3" w:rsidR="00E2360F" w:rsidRPr="00211099" w:rsidRDefault="00211099" w:rsidP="00C571BD">
      <w:pPr>
        <w:ind w:left="709" w:right="709"/>
        <w:jc w:val="both"/>
        <w:rPr>
          <w:rFonts w:ascii="Arial" w:eastAsia="Calibri" w:hAnsi="Arial" w:cs="Arial"/>
          <w:color w:val="000000"/>
          <w:sz w:val="19"/>
          <w:szCs w:val="19"/>
        </w:rPr>
      </w:pPr>
      <w:r>
        <w:rPr>
          <w:rFonts w:ascii="Arial" w:eastAsia="Calibri" w:hAnsi="Arial" w:cs="Arial"/>
          <w:color w:val="000000"/>
          <w:sz w:val="19"/>
          <w:szCs w:val="19"/>
        </w:rPr>
        <w:t>E</w:t>
      </w:r>
      <w:r w:rsidR="00E2360F" w:rsidRPr="00211099">
        <w:rPr>
          <w:rFonts w:ascii="Arial" w:eastAsia="Calibri" w:hAnsi="Arial" w:cs="Arial"/>
          <w:color w:val="000000"/>
          <w:sz w:val="19"/>
          <w:szCs w:val="19"/>
        </w:rPr>
        <w:t xml:space="preserve">l artículo 4 de la Ley 1150 de 2007 estableció, en el caso de la licitación pública, un espacio de diálogo para analizar y elaborar la propuesta definitiva de tipificación, estimación y asignación de riesgos previsibles, por medio de la realización de una audiencia especial, que deberá tener lugar con posterioridad al acto que ordena la apertura del proceso y de manera previa al inicio del plazo para la presentación de las respectivas ofertas. </w:t>
      </w:r>
    </w:p>
    <w:p w14:paraId="215BFFA6" w14:textId="77777777" w:rsidR="00E2360F" w:rsidRPr="00211099" w:rsidRDefault="00E2360F" w:rsidP="00C571BD">
      <w:pPr>
        <w:ind w:left="709" w:right="709"/>
        <w:jc w:val="both"/>
        <w:rPr>
          <w:rFonts w:ascii="Arial" w:eastAsia="Calibri" w:hAnsi="Arial" w:cs="Arial"/>
          <w:color w:val="000000"/>
          <w:sz w:val="19"/>
          <w:szCs w:val="19"/>
        </w:rPr>
      </w:pPr>
    </w:p>
    <w:p w14:paraId="616B501B" w14:textId="77777777" w:rsidR="00E2360F" w:rsidRPr="00211099" w:rsidRDefault="00E2360F" w:rsidP="00C571BD">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 xml:space="preserve">Así, y en atención a la participación que se espera de los proponentes en los diversos espacios previstos en el procedimiento para tal efecto, el ejercicio definitivo de tipificación, estimación y asignación -con el cual se regirá el proceso contractual–, se encuentra en la práctica, elaborado en conjunto por las entidades contratantes y los oferentes. Suponiendo así que, la presentación de las ofertas implica la aceptación por parte del proponente de la distribución de riesgos previsibles contenida en los Pliegos definitivos. </w:t>
      </w:r>
    </w:p>
    <w:p w14:paraId="5AA406F3" w14:textId="77777777" w:rsidR="00E2360F" w:rsidRPr="00211099" w:rsidRDefault="00E2360F" w:rsidP="00C571BD">
      <w:pPr>
        <w:ind w:left="709" w:right="709"/>
        <w:jc w:val="both"/>
        <w:rPr>
          <w:rFonts w:ascii="Arial" w:eastAsia="Calibri" w:hAnsi="Arial" w:cs="Arial"/>
          <w:color w:val="000000"/>
          <w:sz w:val="19"/>
          <w:szCs w:val="19"/>
        </w:rPr>
      </w:pPr>
    </w:p>
    <w:p w14:paraId="353EB9A4" w14:textId="77777777" w:rsidR="00310242" w:rsidRPr="00211099" w:rsidRDefault="00E2360F" w:rsidP="00C571BD">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 xml:space="preserve">Por su parte, en las demás modalidades de selección diferentes a la licitación pública en los cuales no existe la obligación legal de celebrar </w:t>
      </w:r>
      <w:proofErr w:type="gramStart"/>
      <w:r w:rsidRPr="00211099">
        <w:rPr>
          <w:rFonts w:ascii="Arial" w:eastAsia="Calibri" w:hAnsi="Arial" w:cs="Arial"/>
          <w:color w:val="000000"/>
          <w:sz w:val="19"/>
          <w:szCs w:val="19"/>
        </w:rPr>
        <w:t>ésta</w:t>
      </w:r>
      <w:proofErr w:type="gramEnd"/>
      <w:r w:rsidRPr="00211099">
        <w:rPr>
          <w:rFonts w:ascii="Arial" w:eastAsia="Calibri" w:hAnsi="Arial" w:cs="Arial"/>
          <w:color w:val="000000"/>
          <w:sz w:val="19"/>
          <w:szCs w:val="19"/>
        </w:rPr>
        <w:t xml:space="preserve"> audiencia, las entidades podrán, en virtud de los principios de la Función Administrativa y aquellos contenidos en el EGCAP, tanto generar una audiencia especial para escuchar a los contratistas; como </w:t>
      </w:r>
      <w:r w:rsidRPr="00211099">
        <w:rPr>
          <w:rFonts w:ascii="Arial" w:eastAsia="Calibri" w:hAnsi="Arial" w:cs="Arial"/>
          <w:color w:val="000000"/>
          <w:sz w:val="19"/>
          <w:szCs w:val="19"/>
        </w:rPr>
        <w:lastRenderedPageBreak/>
        <w:t>utilizar el mecanismo que consideren adecuado para que los interesados se pronuncien sobre el particular.</w:t>
      </w:r>
    </w:p>
    <w:p w14:paraId="21488F93" w14:textId="77777777" w:rsidR="00310242" w:rsidRPr="00211099" w:rsidRDefault="00310242" w:rsidP="00874CD4">
      <w:pPr>
        <w:tabs>
          <w:tab w:val="left" w:pos="426"/>
        </w:tabs>
        <w:spacing w:line="276" w:lineRule="auto"/>
        <w:ind w:left="709" w:right="760"/>
        <w:jc w:val="both"/>
        <w:rPr>
          <w:rFonts w:ascii="Arial" w:eastAsia="Calibri" w:hAnsi="Arial" w:cs="Arial"/>
          <w:color w:val="000000" w:themeColor="text1"/>
          <w:sz w:val="19"/>
          <w:szCs w:val="19"/>
        </w:rPr>
      </w:pPr>
    </w:p>
    <w:p w14:paraId="064344A8" w14:textId="734BA3B9" w:rsidR="002C4C5C" w:rsidRPr="00211099" w:rsidRDefault="00D96C95" w:rsidP="000E3C4F">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 xml:space="preserve">Del </w:t>
      </w:r>
      <w:r w:rsidR="0066447B" w:rsidRPr="00211099">
        <w:rPr>
          <w:rFonts w:ascii="ArialMT" w:eastAsia="Times New Roman" w:hAnsi="ArialMT" w:cs="Times New Roman"/>
          <w:color w:val="000000" w:themeColor="text1"/>
          <w:sz w:val="22"/>
          <w:lang w:eastAsia="es-ES_tradnl"/>
        </w:rPr>
        <w:t xml:space="preserve">documento </w:t>
      </w:r>
      <w:r w:rsidR="005961EB">
        <w:rPr>
          <w:rFonts w:ascii="ArialMT" w:eastAsia="Times New Roman" w:hAnsi="ArialMT" w:cs="Times New Roman"/>
          <w:color w:val="000000" w:themeColor="text1"/>
          <w:sz w:val="22"/>
          <w:lang w:eastAsia="es-ES_tradnl"/>
        </w:rPr>
        <w:t xml:space="preserve">CONPES </w:t>
      </w:r>
      <w:r w:rsidR="0066447B" w:rsidRPr="00211099">
        <w:rPr>
          <w:rFonts w:ascii="ArialMT" w:eastAsia="Times New Roman" w:hAnsi="ArialMT" w:cs="Times New Roman"/>
          <w:color w:val="000000" w:themeColor="text1"/>
          <w:sz w:val="22"/>
          <w:lang w:eastAsia="es-ES_tradnl"/>
        </w:rPr>
        <w:t>citado,</w:t>
      </w:r>
      <w:r w:rsidR="00C11E59" w:rsidRPr="00211099">
        <w:rPr>
          <w:rFonts w:ascii="ArialMT" w:eastAsia="Times New Roman" w:hAnsi="ArialMT" w:cs="Times New Roman"/>
          <w:color w:val="000000" w:themeColor="text1"/>
          <w:sz w:val="22"/>
          <w:lang w:eastAsia="es-ES_tradnl"/>
        </w:rPr>
        <w:t xml:space="preserve"> llama la atención que</w:t>
      </w:r>
      <w:r w:rsidR="0066447B" w:rsidRPr="00211099">
        <w:rPr>
          <w:rFonts w:ascii="ArialMT" w:eastAsia="Times New Roman" w:hAnsi="ArialMT" w:cs="Times New Roman"/>
          <w:color w:val="000000" w:themeColor="text1"/>
          <w:sz w:val="22"/>
          <w:lang w:eastAsia="es-ES_tradnl"/>
        </w:rPr>
        <w:t xml:space="preserve"> se</w:t>
      </w:r>
      <w:r w:rsidR="00C11E59" w:rsidRPr="00211099">
        <w:rPr>
          <w:rFonts w:ascii="ArialMT" w:eastAsia="Times New Roman" w:hAnsi="ArialMT" w:cs="Times New Roman"/>
          <w:color w:val="000000" w:themeColor="text1"/>
          <w:sz w:val="22"/>
          <w:lang w:eastAsia="es-ES_tradnl"/>
        </w:rPr>
        <w:t xml:space="preserve"> </w:t>
      </w:r>
      <w:r w:rsidR="00360968" w:rsidRPr="00211099">
        <w:rPr>
          <w:rFonts w:ascii="ArialMT" w:eastAsia="Times New Roman" w:hAnsi="ArialMT" w:cs="Times New Roman"/>
          <w:color w:val="000000" w:themeColor="text1"/>
          <w:sz w:val="22"/>
          <w:lang w:eastAsia="es-ES_tradnl"/>
        </w:rPr>
        <w:t>hace referencia a la</w:t>
      </w:r>
      <w:r w:rsidR="002C4C5C" w:rsidRPr="00211099">
        <w:rPr>
          <w:rFonts w:ascii="ArialMT" w:eastAsia="Times New Roman" w:hAnsi="ArialMT" w:cs="Times New Roman"/>
          <w:color w:val="000000" w:themeColor="text1"/>
          <w:sz w:val="22"/>
          <w:lang w:eastAsia="es-ES_tradnl"/>
        </w:rPr>
        <w:t xml:space="preserve"> «participación que se espera de los oferentes en los diversos espacios previstos en el procedimiento para tal efecto»</w:t>
      </w:r>
      <w:r w:rsidR="00360968" w:rsidRPr="00211099">
        <w:rPr>
          <w:rFonts w:ascii="ArialMT" w:eastAsia="Times New Roman" w:hAnsi="ArialMT" w:cs="Times New Roman"/>
          <w:color w:val="000000" w:themeColor="text1"/>
          <w:sz w:val="22"/>
          <w:lang w:eastAsia="es-ES_tradnl"/>
        </w:rPr>
        <w:t xml:space="preserve">. </w:t>
      </w:r>
      <w:r w:rsidR="007237EE">
        <w:rPr>
          <w:rFonts w:ascii="ArialMT" w:eastAsia="Times New Roman" w:hAnsi="ArialMT" w:cs="Times New Roman"/>
          <w:color w:val="000000" w:themeColor="text1"/>
          <w:sz w:val="22"/>
          <w:lang w:eastAsia="es-ES_tradnl"/>
        </w:rPr>
        <w:t>En relación con</w:t>
      </w:r>
      <w:r w:rsidR="00360968" w:rsidRPr="00211099">
        <w:rPr>
          <w:rFonts w:ascii="ArialMT" w:eastAsia="Times New Roman" w:hAnsi="ArialMT" w:cs="Times New Roman"/>
          <w:color w:val="000000" w:themeColor="text1"/>
          <w:sz w:val="22"/>
          <w:lang w:eastAsia="es-ES_tradnl"/>
        </w:rPr>
        <w:t xml:space="preserve"> este aspecto, </w:t>
      </w:r>
      <w:r w:rsidR="002C4C5C" w:rsidRPr="00211099">
        <w:rPr>
          <w:rFonts w:ascii="ArialMT" w:eastAsia="Times New Roman" w:hAnsi="ArialMT" w:cs="Times New Roman"/>
          <w:color w:val="000000" w:themeColor="text1"/>
          <w:sz w:val="22"/>
          <w:lang w:eastAsia="es-ES_tradnl"/>
        </w:rPr>
        <w:t>es viable</w:t>
      </w:r>
      <w:r w:rsidR="00360968" w:rsidRPr="00211099">
        <w:rPr>
          <w:rFonts w:ascii="ArialMT" w:eastAsia="Times New Roman" w:hAnsi="ArialMT" w:cs="Times New Roman"/>
          <w:color w:val="000000" w:themeColor="text1"/>
          <w:sz w:val="22"/>
          <w:lang w:eastAsia="es-ES_tradnl"/>
        </w:rPr>
        <w:t xml:space="preserve"> concluir que la asistencia a dicha audiencia es una </w:t>
      </w:r>
      <w:r w:rsidR="002C4C5C" w:rsidRPr="00211099">
        <w:rPr>
          <w:rFonts w:ascii="ArialMT" w:eastAsia="Times New Roman" w:hAnsi="ArialMT" w:cs="Times New Roman"/>
          <w:color w:val="000000" w:themeColor="text1"/>
          <w:sz w:val="22"/>
          <w:lang w:eastAsia="es-ES_tradnl"/>
        </w:rPr>
        <w:t xml:space="preserve">potestad </w:t>
      </w:r>
      <w:r w:rsidR="00360968" w:rsidRPr="00211099">
        <w:rPr>
          <w:rFonts w:ascii="ArialMT" w:eastAsia="Times New Roman" w:hAnsi="ArialMT" w:cs="Times New Roman"/>
          <w:color w:val="000000" w:themeColor="text1"/>
          <w:sz w:val="22"/>
          <w:lang w:eastAsia="es-ES_tradnl"/>
        </w:rPr>
        <w:t>d</w:t>
      </w:r>
      <w:r w:rsidR="002C4C5C" w:rsidRPr="00211099">
        <w:rPr>
          <w:rFonts w:ascii="ArialMT" w:eastAsia="Times New Roman" w:hAnsi="ArialMT" w:cs="Times New Roman"/>
          <w:color w:val="000000" w:themeColor="text1"/>
          <w:sz w:val="22"/>
          <w:lang w:eastAsia="es-ES_tradnl"/>
        </w:rPr>
        <w:t>el proponente y no una obligación</w:t>
      </w:r>
      <w:r w:rsidR="00273F26" w:rsidRPr="00211099">
        <w:rPr>
          <w:rFonts w:ascii="ArialMT" w:eastAsia="Times New Roman" w:hAnsi="ArialMT" w:cs="Times New Roman"/>
          <w:color w:val="000000" w:themeColor="text1"/>
          <w:sz w:val="22"/>
          <w:lang w:eastAsia="es-ES_tradnl"/>
        </w:rPr>
        <w:t>, puesto que</w:t>
      </w:r>
      <w:r w:rsidR="00360968" w:rsidRPr="00211099">
        <w:rPr>
          <w:rFonts w:ascii="ArialMT" w:eastAsia="Times New Roman" w:hAnsi="ArialMT" w:cs="Times New Roman"/>
          <w:color w:val="000000" w:themeColor="text1"/>
          <w:sz w:val="22"/>
          <w:lang w:eastAsia="es-ES_tradnl"/>
        </w:rPr>
        <w:t xml:space="preserve"> </w:t>
      </w:r>
      <w:r w:rsidR="00F047EE" w:rsidRPr="00211099">
        <w:rPr>
          <w:rFonts w:ascii="ArialMT" w:eastAsia="Times New Roman" w:hAnsi="ArialMT" w:cs="Times New Roman"/>
          <w:color w:val="000000" w:themeColor="text1"/>
          <w:sz w:val="22"/>
          <w:lang w:eastAsia="es-ES_tradnl"/>
        </w:rPr>
        <w:t>alude</w:t>
      </w:r>
      <w:r w:rsidR="00360968" w:rsidRPr="00211099">
        <w:rPr>
          <w:rFonts w:ascii="ArialMT" w:eastAsia="Times New Roman" w:hAnsi="ArialMT" w:cs="Times New Roman"/>
          <w:color w:val="000000" w:themeColor="text1"/>
          <w:sz w:val="22"/>
          <w:lang w:eastAsia="es-ES_tradnl"/>
        </w:rPr>
        <w:t xml:space="preserve"> al </w:t>
      </w:r>
      <w:r w:rsidRPr="00211099">
        <w:rPr>
          <w:rFonts w:ascii="ArialMT" w:eastAsia="Times New Roman" w:hAnsi="ArialMT" w:cs="Times New Roman"/>
          <w:color w:val="000000" w:themeColor="text1"/>
          <w:sz w:val="22"/>
          <w:lang w:eastAsia="es-ES_tradnl"/>
        </w:rPr>
        <w:t>término</w:t>
      </w:r>
      <w:r w:rsidR="00360968"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i/>
          <w:color w:val="000000" w:themeColor="text1"/>
          <w:sz w:val="22"/>
          <w:lang w:eastAsia="es-ES_tradnl"/>
        </w:rPr>
        <w:t>se</w:t>
      </w:r>
      <w:r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i/>
          <w:color w:val="000000" w:themeColor="text1"/>
          <w:sz w:val="22"/>
          <w:lang w:eastAsia="es-ES_tradnl"/>
        </w:rPr>
        <w:t>espera</w:t>
      </w:r>
      <w:r w:rsidR="00360968" w:rsidRPr="00211099">
        <w:rPr>
          <w:rFonts w:ascii="ArialMT" w:eastAsia="Times New Roman" w:hAnsi="ArialMT" w:cs="Times New Roman"/>
          <w:i/>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el cual</w:t>
      </w:r>
      <w:r w:rsidRPr="00211099">
        <w:rPr>
          <w:rFonts w:ascii="ArialMT" w:eastAsia="Times New Roman" w:hAnsi="ArialMT" w:cs="Times New Roman"/>
          <w:i/>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es</w:t>
      </w:r>
      <w:r w:rsidRPr="00211099">
        <w:rPr>
          <w:rFonts w:ascii="ArialMT" w:eastAsia="Times New Roman" w:hAnsi="ArialMT" w:cs="Times New Roman"/>
          <w:i/>
          <w:color w:val="000000" w:themeColor="text1"/>
          <w:sz w:val="22"/>
          <w:lang w:eastAsia="es-ES_tradnl"/>
        </w:rPr>
        <w:t xml:space="preserve"> </w:t>
      </w:r>
      <w:r w:rsidR="00360968" w:rsidRPr="00211099">
        <w:rPr>
          <w:rFonts w:ascii="ArialMT" w:eastAsia="Times New Roman" w:hAnsi="ArialMT" w:cs="Times New Roman"/>
          <w:color w:val="000000" w:themeColor="text1"/>
          <w:sz w:val="22"/>
          <w:lang w:eastAsia="es-ES_tradnl"/>
        </w:rPr>
        <w:t>indicativo de</w:t>
      </w:r>
      <w:r w:rsidR="00360968" w:rsidRPr="00211099">
        <w:rPr>
          <w:rFonts w:ascii="ArialMT" w:eastAsia="Times New Roman" w:hAnsi="ArialMT" w:cs="Times New Roman"/>
          <w:i/>
          <w:color w:val="000000" w:themeColor="text1"/>
          <w:sz w:val="22"/>
          <w:lang w:eastAsia="es-ES_tradnl"/>
        </w:rPr>
        <w:t xml:space="preserve"> </w:t>
      </w:r>
      <w:r w:rsidR="00360968" w:rsidRPr="00211099">
        <w:rPr>
          <w:rFonts w:ascii="ArialMT" w:eastAsia="Times New Roman" w:hAnsi="ArialMT" w:cs="Times New Roman"/>
          <w:color w:val="000000" w:themeColor="text1"/>
          <w:sz w:val="22"/>
          <w:lang w:eastAsia="es-ES_tradnl"/>
        </w:rPr>
        <w:t xml:space="preserve">que la participación puede o no realizarse. </w:t>
      </w:r>
    </w:p>
    <w:p w14:paraId="35E9333B" w14:textId="6474A6BF" w:rsidR="00894306" w:rsidRPr="00211099" w:rsidRDefault="00E16BBB" w:rsidP="000E3C4F">
      <w:pPr>
        <w:spacing w:after="120" w:line="276" w:lineRule="auto"/>
        <w:ind w:firstLine="709"/>
        <w:jc w:val="both"/>
        <w:rPr>
          <w:rFonts w:ascii="ArialMT" w:eastAsia="Times New Roman" w:hAnsi="ArialMT" w:cs="Times New Roman"/>
          <w:color w:val="000000" w:themeColor="text1"/>
          <w:sz w:val="22"/>
          <w:lang w:eastAsia="es-ES_tradnl"/>
        </w:rPr>
      </w:pPr>
      <w:r>
        <w:rPr>
          <w:rFonts w:ascii="ArialMT" w:eastAsia="Times New Roman" w:hAnsi="ArialMT" w:cs="Times New Roman"/>
          <w:color w:val="000000" w:themeColor="text1"/>
          <w:sz w:val="22"/>
          <w:lang w:eastAsia="es-ES_tradnl"/>
        </w:rPr>
        <w:t>E</w:t>
      </w:r>
      <w:r w:rsidR="008B4095" w:rsidRPr="00211099">
        <w:rPr>
          <w:rFonts w:ascii="ArialMT" w:eastAsia="Times New Roman" w:hAnsi="ArialMT" w:cs="Times New Roman"/>
          <w:color w:val="000000" w:themeColor="text1"/>
          <w:sz w:val="22"/>
          <w:lang w:eastAsia="es-ES_tradnl"/>
        </w:rPr>
        <w:t xml:space="preserve">l Manual de Administración de Riesgos para el Proceso de Contratación </w:t>
      </w:r>
      <w:r w:rsidR="0066447B" w:rsidRPr="00211099">
        <w:rPr>
          <w:rFonts w:ascii="ArialMT" w:eastAsia="Times New Roman" w:hAnsi="ArialMT" w:cs="Times New Roman"/>
          <w:color w:val="000000" w:themeColor="text1"/>
          <w:sz w:val="22"/>
          <w:lang w:eastAsia="es-ES_tradnl"/>
        </w:rPr>
        <w:t xml:space="preserve">expedido por Colombia Compra Eficiente </w:t>
      </w:r>
      <w:r w:rsidR="00273F26" w:rsidRPr="00211099">
        <w:rPr>
          <w:rFonts w:ascii="ArialMT" w:eastAsia="Times New Roman" w:hAnsi="ArialMT" w:cs="Times New Roman"/>
          <w:color w:val="000000" w:themeColor="text1"/>
          <w:sz w:val="22"/>
          <w:lang w:eastAsia="es-ES_tradnl"/>
        </w:rPr>
        <w:t xml:space="preserve">reitera </w:t>
      </w:r>
      <w:r w:rsidR="007158FC" w:rsidRPr="00211099">
        <w:rPr>
          <w:rFonts w:ascii="ArialMT" w:eastAsia="Times New Roman" w:hAnsi="ArialMT" w:cs="Times New Roman"/>
          <w:color w:val="000000" w:themeColor="text1"/>
          <w:sz w:val="22"/>
          <w:lang w:eastAsia="es-ES_tradnl"/>
        </w:rPr>
        <w:t>el deber</w:t>
      </w:r>
      <w:r w:rsidR="002F17A4" w:rsidRPr="00211099">
        <w:rPr>
          <w:rFonts w:ascii="ArialMT" w:eastAsia="Times New Roman" w:hAnsi="ArialMT" w:cs="Times New Roman"/>
          <w:color w:val="000000" w:themeColor="text1"/>
          <w:sz w:val="22"/>
          <w:lang w:eastAsia="es-ES_tradnl"/>
        </w:rPr>
        <w:t xml:space="preserve"> </w:t>
      </w:r>
      <w:r w:rsidR="00D712B5" w:rsidRPr="00211099">
        <w:rPr>
          <w:rFonts w:ascii="ArialMT" w:eastAsia="Times New Roman" w:hAnsi="ArialMT" w:cs="Times New Roman"/>
          <w:color w:val="000000" w:themeColor="text1"/>
          <w:sz w:val="22"/>
          <w:lang w:eastAsia="es-ES_tradnl"/>
        </w:rPr>
        <w:t xml:space="preserve">aquí comentado. En efecto, dispone que </w:t>
      </w:r>
      <w:r w:rsidR="002F17A4" w:rsidRPr="00211099">
        <w:rPr>
          <w:rFonts w:ascii="ArialMT" w:eastAsia="Times New Roman" w:hAnsi="ArialMT" w:cs="Times New Roman"/>
          <w:color w:val="000000" w:themeColor="text1"/>
          <w:sz w:val="22"/>
          <w:lang w:eastAsia="es-ES_tradnl"/>
        </w:rPr>
        <w:t>la entidad e</w:t>
      </w:r>
      <w:r w:rsidR="007158FC" w:rsidRPr="00211099">
        <w:rPr>
          <w:rFonts w:ascii="ArialMT" w:eastAsia="Times New Roman" w:hAnsi="ArialMT" w:cs="Times New Roman"/>
          <w:color w:val="000000" w:themeColor="text1"/>
          <w:sz w:val="22"/>
          <w:lang w:eastAsia="es-ES_tradnl"/>
        </w:rPr>
        <w:t xml:space="preserve">statal, en los procesos de licitación pública, </w:t>
      </w:r>
      <w:r w:rsidR="00D712B5" w:rsidRPr="00211099">
        <w:rPr>
          <w:rFonts w:ascii="ArialMT" w:eastAsia="Times New Roman" w:hAnsi="ArialMT" w:cs="Times New Roman"/>
          <w:color w:val="000000" w:themeColor="text1"/>
          <w:sz w:val="22"/>
          <w:lang w:eastAsia="es-ES_tradnl"/>
        </w:rPr>
        <w:t xml:space="preserve">deben adelantar </w:t>
      </w:r>
      <w:r w:rsidR="002F17A4" w:rsidRPr="00211099">
        <w:rPr>
          <w:rFonts w:ascii="ArialMT" w:eastAsia="Times New Roman" w:hAnsi="ArialMT" w:cs="Times New Roman"/>
          <w:color w:val="000000" w:themeColor="text1"/>
          <w:sz w:val="22"/>
          <w:lang w:eastAsia="es-ES_tradnl"/>
        </w:rPr>
        <w:t>una aud</w:t>
      </w:r>
      <w:r w:rsidR="007158FC" w:rsidRPr="00211099">
        <w:rPr>
          <w:rFonts w:ascii="ArialMT" w:eastAsia="Times New Roman" w:hAnsi="ArialMT" w:cs="Times New Roman"/>
          <w:color w:val="000000" w:themeColor="text1"/>
          <w:sz w:val="22"/>
          <w:lang w:eastAsia="es-ES_tradnl"/>
        </w:rPr>
        <w:t>iencia de asignación de r</w:t>
      </w:r>
      <w:r w:rsidR="002F17A4" w:rsidRPr="00211099">
        <w:rPr>
          <w:rFonts w:ascii="ArialMT" w:eastAsia="Times New Roman" w:hAnsi="ArialMT" w:cs="Times New Roman"/>
          <w:color w:val="000000" w:themeColor="text1"/>
          <w:sz w:val="22"/>
          <w:lang w:eastAsia="es-ES_tradnl"/>
        </w:rPr>
        <w:t>iesgos</w:t>
      </w:r>
      <w:r w:rsidR="00D60950">
        <w:rPr>
          <w:rFonts w:ascii="ArialMT" w:eastAsia="Times New Roman" w:hAnsi="ArialMT" w:cs="Times New Roman"/>
          <w:color w:val="000000" w:themeColor="text1"/>
          <w:sz w:val="22"/>
          <w:lang w:eastAsia="es-ES_tradnl"/>
        </w:rPr>
        <w:t>,</w:t>
      </w:r>
      <w:r w:rsidR="002F17A4" w:rsidRPr="00211099">
        <w:rPr>
          <w:rFonts w:ascii="ArialMT" w:eastAsia="Times New Roman" w:hAnsi="ArialMT" w:cs="Times New Roman"/>
          <w:color w:val="000000" w:themeColor="text1"/>
          <w:sz w:val="22"/>
          <w:lang w:eastAsia="es-ES_tradnl"/>
        </w:rPr>
        <w:t xml:space="preserve"> en la cual</w:t>
      </w:r>
      <w:r w:rsidR="007158FC" w:rsidRPr="00211099">
        <w:rPr>
          <w:rFonts w:ascii="ArialMT" w:eastAsia="Times New Roman" w:hAnsi="ArialMT" w:cs="Times New Roman"/>
          <w:color w:val="000000" w:themeColor="text1"/>
          <w:sz w:val="22"/>
          <w:lang w:eastAsia="es-ES_tradnl"/>
        </w:rPr>
        <w:t xml:space="preserve"> debe</w:t>
      </w:r>
      <w:r w:rsidR="00D60950">
        <w:rPr>
          <w:rFonts w:ascii="ArialMT" w:eastAsia="Times New Roman" w:hAnsi="ArialMT" w:cs="Times New Roman"/>
          <w:color w:val="000000" w:themeColor="text1"/>
          <w:sz w:val="22"/>
          <w:lang w:eastAsia="es-ES_tradnl"/>
        </w:rPr>
        <w:t>n</w:t>
      </w:r>
      <w:r w:rsidR="007158FC" w:rsidRPr="00211099">
        <w:rPr>
          <w:rFonts w:ascii="ArialMT" w:eastAsia="Times New Roman" w:hAnsi="ArialMT" w:cs="Times New Roman"/>
          <w:color w:val="000000" w:themeColor="text1"/>
          <w:sz w:val="22"/>
          <w:lang w:eastAsia="es-ES_tradnl"/>
        </w:rPr>
        <w:t xml:space="preserve"> presentar</w:t>
      </w:r>
      <w:r w:rsidR="00CF589E" w:rsidRPr="00211099">
        <w:rPr>
          <w:rFonts w:ascii="ArialMT" w:eastAsia="Times New Roman" w:hAnsi="ArialMT" w:cs="Times New Roman"/>
          <w:color w:val="000000" w:themeColor="text1"/>
          <w:sz w:val="22"/>
          <w:lang w:eastAsia="es-ES_tradnl"/>
        </w:rPr>
        <w:t xml:space="preserve"> </w:t>
      </w:r>
      <w:r w:rsidR="007158FC" w:rsidRPr="00211099">
        <w:rPr>
          <w:rFonts w:ascii="ArialMT" w:eastAsia="Times New Roman" w:hAnsi="ArialMT" w:cs="Times New Roman"/>
          <w:color w:val="000000" w:themeColor="text1"/>
          <w:sz w:val="22"/>
          <w:lang w:eastAsia="es-ES_tradnl"/>
        </w:rPr>
        <w:t>el análisis de riesgos efectuado,</w:t>
      </w:r>
      <w:r w:rsidR="002F17A4" w:rsidRPr="00211099">
        <w:rPr>
          <w:rFonts w:ascii="ArialMT" w:eastAsia="Times New Roman" w:hAnsi="ArialMT" w:cs="Times New Roman"/>
          <w:color w:val="000000" w:themeColor="text1"/>
          <w:sz w:val="22"/>
          <w:lang w:eastAsia="es-ES_tradnl"/>
        </w:rPr>
        <w:t xml:space="preserve"> la matriz incluida en los pliegos y revisar la asignación de lo</w:t>
      </w:r>
      <w:r w:rsidR="007158FC" w:rsidRPr="00211099">
        <w:rPr>
          <w:rFonts w:ascii="ArialMT" w:eastAsia="Times New Roman" w:hAnsi="ArialMT" w:cs="Times New Roman"/>
          <w:color w:val="000000" w:themeColor="text1"/>
          <w:sz w:val="22"/>
          <w:lang w:eastAsia="es-ES_tradnl"/>
        </w:rPr>
        <w:t>s r</w:t>
      </w:r>
      <w:r w:rsidR="002F17A4" w:rsidRPr="00211099">
        <w:rPr>
          <w:rFonts w:ascii="ArialMT" w:eastAsia="Times New Roman" w:hAnsi="ArialMT" w:cs="Times New Roman"/>
          <w:color w:val="000000" w:themeColor="text1"/>
          <w:sz w:val="22"/>
          <w:lang w:eastAsia="es-ES_tradnl"/>
        </w:rPr>
        <w:t>iesgos</w:t>
      </w:r>
      <w:r w:rsidR="00E648B9" w:rsidRPr="00211099">
        <w:rPr>
          <w:rFonts w:ascii="ArialMT" w:eastAsia="Times New Roman" w:hAnsi="ArialMT" w:cs="Times New Roman"/>
          <w:color w:val="000000" w:themeColor="text1"/>
          <w:sz w:val="22"/>
          <w:lang w:eastAsia="es-ES_tradnl"/>
        </w:rPr>
        <w:t xml:space="preserve">. </w:t>
      </w:r>
    </w:p>
    <w:p w14:paraId="566E6C69" w14:textId="61381E58" w:rsidR="008525EB" w:rsidRPr="00211099" w:rsidRDefault="00D712B5" w:rsidP="00E73597">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De acuerdo</w:t>
      </w:r>
      <w:r w:rsidR="00CF589E" w:rsidRPr="00211099">
        <w:rPr>
          <w:rFonts w:ascii="ArialMT" w:eastAsia="Times New Roman" w:hAnsi="ArialMT" w:cs="Times New Roman"/>
          <w:color w:val="000000" w:themeColor="text1"/>
          <w:sz w:val="22"/>
          <w:lang w:eastAsia="es-ES_tradnl"/>
        </w:rPr>
        <w:t xml:space="preserve"> con la normativa que rige la materia y los lineamientos del Gobierno Nacional,</w:t>
      </w:r>
      <w:r w:rsidR="008525EB" w:rsidRPr="00211099">
        <w:rPr>
          <w:rFonts w:ascii="ArialMT" w:eastAsia="Times New Roman" w:hAnsi="ArialMT" w:cs="Times New Roman"/>
          <w:color w:val="000000" w:themeColor="text1"/>
          <w:sz w:val="22"/>
          <w:lang w:eastAsia="es-ES_tradnl"/>
        </w:rPr>
        <w:t xml:space="preserve"> </w:t>
      </w:r>
      <w:r w:rsidR="00A265AC" w:rsidRPr="00211099">
        <w:rPr>
          <w:rFonts w:ascii="ArialMT" w:eastAsia="Times New Roman" w:hAnsi="ArialMT" w:cs="Times New Roman"/>
          <w:color w:val="000000" w:themeColor="text1"/>
          <w:sz w:val="22"/>
          <w:lang w:eastAsia="es-ES_tradnl"/>
        </w:rPr>
        <w:t xml:space="preserve">cuando se trate de procesos de licitación pública, </w:t>
      </w:r>
      <w:r w:rsidR="008525EB" w:rsidRPr="00211099">
        <w:rPr>
          <w:rFonts w:ascii="ArialMT" w:eastAsia="Times New Roman" w:hAnsi="ArialMT" w:cs="Times New Roman"/>
          <w:color w:val="000000" w:themeColor="text1"/>
          <w:sz w:val="22"/>
          <w:lang w:eastAsia="es-ES_tradnl"/>
        </w:rPr>
        <w:t xml:space="preserve">se </w:t>
      </w:r>
      <w:r w:rsidR="00D60950">
        <w:rPr>
          <w:rFonts w:ascii="ArialMT" w:eastAsia="Times New Roman" w:hAnsi="ArialMT" w:cs="Times New Roman"/>
          <w:color w:val="000000" w:themeColor="text1"/>
          <w:sz w:val="22"/>
          <w:lang w:eastAsia="es-ES_tradnl"/>
        </w:rPr>
        <w:t>concluye entonces que existe una</w:t>
      </w:r>
      <w:r w:rsidR="00D60950" w:rsidRPr="00211099">
        <w:rPr>
          <w:rFonts w:ascii="ArialMT" w:eastAsia="Times New Roman" w:hAnsi="ArialMT" w:cs="Times New Roman"/>
          <w:color w:val="000000" w:themeColor="text1"/>
          <w:sz w:val="22"/>
          <w:lang w:eastAsia="es-ES_tradnl"/>
        </w:rPr>
        <w:t xml:space="preserve"> </w:t>
      </w:r>
      <w:r w:rsidR="008525EB" w:rsidRPr="00211099">
        <w:rPr>
          <w:rFonts w:ascii="ArialMT" w:eastAsia="Times New Roman" w:hAnsi="ArialMT" w:cs="Times New Roman"/>
          <w:color w:val="000000" w:themeColor="text1"/>
          <w:sz w:val="22"/>
          <w:lang w:eastAsia="es-ES_tradnl"/>
        </w:rPr>
        <w:t>obligación en cabeza de la entidad estatal de incluir</w:t>
      </w:r>
      <w:r w:rsidRPr="00211099">
        <w:rPr>
          <w:rFonts w:ascii="ArialMT" w:eastAsia="Times New Roman" w:hAnsi="ArialMT" w:cs="Times New Roman"/>
          <w:color w:val="000000" w:themeColor="text1"/>
          <w:sz w:val="22"/>
          <w:lang w:eastAsia="es-ES_tradnl"/>
        </w:rPr>
        <w:t xml:space="preserve"> un espacio de di</w:t>
      </w:r>
      <w:r w:rsidR="008B6A41">
        <w:rPr>
          <w:rFonts w:ascii="ArialMT" w:eastAsia="Times New Roman" w:hAnsi="ArialMT" w:cs="Times New Roman"/>
          <w:color w:val="000000" w:themeColor="text1"/>
          <w:sz w:val="22"/>
          <w:lang w:eastAsia="es-ES_tradnl"/>
        </w:rPr>
        <w:t>á</w:t>
      </w:r>
      <w:r w:rsidRPr="00211099">
        <w:rPr>
          <w:rFonts w:ascii="ArialMT" w:eastAsia="Times New Roman" w:hAnsi="ArialMT" w:cs="Times New Roman"/>
          <w:color w:val="000000" w:themeColor="text1"/>
          <w:sz w:val="22"/>
          <w:lang w:eastAsia="es-ES_tradnl"/>
        </w:rPr>
        <w:t>logo</w:t>
      </w:r>
      <w:r w:rsidR="00D60950">
        <w:rPr>
          <w:rFonts w:ascii="ArialMT" w:eastAsia="Times New Roman" w:hAnsi="ArialMT" w:cs="Times New Roman"/>
          <w:color w:val="000000" w:themeColor="text1"/>
          <w:sz w:val="22"/>
          <w:lang w:eastAsia="es-ES_tradnl"/>
        </w:rPr>
        <w:t xml:space="preserve"> sobre los riesgos,</w:t>
      </w:r>
      <w:r w:rsidRPr="00211099">
        <w:rPr>
          <w:rFonts w:ascii="ArialMT" w:eastAsia="Times New Roman" w:hAnsi="ArialMT" w:cs="Times New Roman"/>
          <w:color w:val="000000" w:themeColor="text1"/>
          <w:sz w:val="22"/>
          <w:lang w:eastAsia="es-ES_tradnl"/>
        </w:rPr>
        <w:t xml:space="preserve"> que se desarrollará en </w:t>
      </w:r>
      <w:r w:rsidR="00A265AC" w:rsidRPr="00211099">
        <w:rPr>
          <w:rFonts w:ascii="ArialMT" w:eastAsia="Times New Roman" w:hAnsi="ArialMT" w:cs="Times New Roman"/>
          <w:color w:val="000000" w:themeColor="text1"/>
          <w:sz w:val="22"/>
          <w:lang w:eastAsia="es-ES_tradnl"/>
        </w:rPr>
        <w:t xml:space="preserve">audiencia especial. </w:t>
      </w:r>
      <w:r w:rsidR="00D60950">
        <w:rPr>
          <w:rFonts w:ascii="ArialMT" w:eastAsia="Times New Roman" w:hAnsi="ArialMT" w:cs="Times New Roman"/>
          <w:color w:val="000000" w:themeColor="text1"/>
          <w:sz w:val="22"/>
          <w:lang w:eastAsia="es-ES_tradnl"/>
        </w:rPr>
        <w:t>C</w:t>
      </w:r>
      <w:r w:rsidR="00D60950" w:rsidRPr="00211099">
        <w:rPr>
          <w:rFonts w:ascii="ArialMT" w:eastAsia="Times New Roman" w:hAnsi="ArialMT" w:cs="Times New Roman"/>
          <w:color w:val="000000" w:themeColor="text1"/>
          <w:sz w:val="22"/>
          <w:lang w:eastAsia="es-ES_tradnl"/>
        </w:rPr>
        <w:t xml:space="preserve">on ello </w:t>
      </w:r>
      <w:r w:rsidR="00D60950">
        <w:rPr>
          <w:rFonts w:ascii="ArialMT" w:eastAsia="Times New Roman" w:hAnsi="ArialMT" w:cs="Times New Roman"/>
          <w:color w:val="000000" w:themeColor="text1"/>
          <w:sz w:val="22"/>
          <w:lang w:eastAsia="es-ES_tradnl"/>
        </w:rPr>
        <w:t>s</w:t>
      </w:r>
      <w:r w:rsidR="00A265AC" w:rsidRPr="00211099">
        <w:rPr>
          <w:rFonts w:ascii="ArialMT" w:eastAsia="Times New Roman" w:hAnsi="ArialMT" w:cs="Times New Roman"/>
          <w:color w:val="000000" w:themeColor="text1"/>
          <w:sz w:val="22"/>
          <w:lang w:eastAsia="es-ES_tradnl"/>
        </w:rPr>
        <w:t xml:space="preserve">e busca </w:t>
      </w:r>
      <w:r w:rsidR="008525EB" w:rsidRPr="00211099">
        <w:rPr>
          <w:rFonts w:ascii="ArialMT" w:eastAsia="Times New Roman" w:hAnsi="ArialMT" w:cs="Times New Roman"/>
          <w:color w:val="000000" w:themeColor="text1"/>
          <w:sz w:val="22"/>
          <w:lang w:eastAsia="es-ES_tradnl"/>
        </w:rPr>
        <w:t>que la entidad y los futuros proponentes</w:t>
      </w:r>
      <w:r w:rsidR="00393BD3" w:rsidRPr="00211099">
        <w:rPr>
          <w:rFonts w:ascii="ArialMT" w:eastAsia="Times New Roman" w:hAnsi="ArialMT" w:cs="Times New Roman"/>
          <w:color w:val="000000" w:themeColor="text1"/>
          <w:sz w:val="22"/>
          <w:lang w:eastAsia="es-ES_tradnl"/>
        </w:rPr>
        <w:t>, de manera conjunta,</w:t>
      </w:r>
      <w:r w:rsidR="008525EB" w:rsidRPr="00211099">
        <w:rPr>
          <w:rFonts w:ascii="ArialMT" w:eastAsia="Times New Roman" w:hAnsi="ArialMT" w:cs="Times New Roman"/>
          <w:color w:val="000000" w:themeColor="text1"/>
          <w:sz w:val="22"/>
          <w:lang w:eastAsia="es-ES_tradnl"/>
        </w:rPr>
        <w:t xml:space="preserve"> revisen la asignación de riesgos efectuada en los pliegos de condiciones. </w:t>
      </w:r>
      <w:r w:rsidR="002A22E1">
        <w:rPr>
          <w:rFonts w:ascii="ArialMT" w:eastAsia="Times New Roman" w:hAnsi="ArialMT" w:cs="Times New Roman"/>
          <w:color w:val="000000" w:themeColor="text1"/>
          <w:sz w:val="22"/>
          <w:lang w:eastAsia="es-ES_tradnl"/>
        </w:rPr>
        <w:t>Por ello</w:t>
      </w:r>
      <w:r w:rsidR="008525EB" w:rsidRPr="00211099">
        <w:rPr>
          <w:rFonts w:ascii="ArialMT" w:eastAsia="Times New Roman" w:hAnsi="ArialMT" w:cs="Times New Roman"/>
          <w:color w:val="000000" w:themeColor="text1"/>
          <w:sz w:val="22"/>
          <w:lang w:eastAsia="es-ES_tradnl"/>
        </w:rPr>
        <w:t>, la obligación que se asigna en</w:t>
      </w:r>
      <w:r w:rsidR="00C9198E" w:rsidRPr="00211099">
        <w:rPr>
          <w:rFonts w:ascii="ArialMT" w:eastAsia="Times New Roman" w:hAnsi="ArialMT" w:cs="Times New Roman"/>
          <w:color w:val="000000" w:themeColor="text1"/>
          <w:sz w:val="22"/>
          <w:lang w:eastAsia="es-ES_tradnl"/>
        </w:rPr>
        <w:t xml:space="preserve"> esta materia</w:t>
      </w:r>
      <w:r w:rsidR="008525EB" w:rsidRPr="00211099">
        <w:rPr>
          <w:rFonts w:ascii="ArialMT" w:eastAsia="Times New Roman" w:hAnsi="ArialMT" w:cs="Times New Roman"/>
          <w:color w:val="000000" w:themeColor="text1"/>
          <w:sz w:val="22"/>
          <w:lang w:eastAsia="es-ES_tradnl"/>
        </w:rPr>
        <w:t xml:space="preserve"> </w:t>
      </w:r>
      <w:r w:rsidR="00393BD3" w:rsidRPr="00211099">
        <w:rPr>
          <w:rFonts w:ascii="ArialMT" w:eastAsia="Times New Roman" w:hAnsi="ArialMT" w:cs="Times New Roman"/>
          <w:color w:val="000000" w:themeColor="text1"/>
          <w:sz w:val="22"/>
          <w:lang w:eastAsia="es-ES_tradnl"/>
        </w:rPr>
        <w:t xml:space="preserve">recae en </w:t>
      </w:r>
      <w:r w:rsidR="008525EB" w:rsidRPr="00211099">
        <w:rPr>
          <w:rFonts w:ascii="ArialMT" w:eastAsia="Times New Roman" w:hAnsi="ArialMT" w:cs="Times New Roman"/>
          <w:color w:val="000000" w:themeColor="text1"/>
          <w:sz w:val="22"/>
          <w:lang w:eastAsia="es-ES_tradnl"/>
        </w:rPr>
        <w:t xml:space="preserve">la entidad pública, </w:t>
      </w:r>
      <w:r w:rsidR="00C9198E" w:rsidRPr="00211099">
        <w:rPr>
          <w:rFonts w:ascii="ArialMT" w:eastAsia="Times New Roman" w:hAnsi="ArialMT" w:cs="Times New Roman"/>
          <w:color w:val="000000" w:themeColor="text1"/>
          <w:sz w:val="22"/>
          <w:lang w:eastAsia="es-ES_tradnl"/>
        </w:rPr>
        <w:t xml:space="preserve">dirigida a </w:t>
      </w:r>
      <w:r w:rsidR="001B04B0">
        <w:rPr>
          <w:rFonts w:ascii="ArialMT" w:eastAsia="Times New Roman" w:hAnsi="ArialMT" w:cs="Times New Roman"/>
          <w:color w:val="000000" w:themeColor="text1"/>
          <w:sz w:val="22"/>
          <w:lang w:eastAsia="es-ES_tradnl"/>
        </w:rPr>
        <w:t>incluir dentro del pliego de condiciones</w:t>
      </w:r>
      <w:r w:rsidR="00C9198E" w:rsidRPr="00211099">
        <w:rPr>
          <w:rFonts w:ascii="ArialMT" w:eastAsia="Times New Roman" w:hAnsi="ArialMT" w:cs="Times New Roman"/>
          <w:color w:val="000000" w:themeColor="text1"/>
          <w:sz w:val="22"/>
          <w:lang w:eastAsia="es-ES_tradnl"/>
        </w:rPr>
        <w:t xml:space="preserve"> un momento </w:t>
      </w:r>
      <w:r w:rsidR="0081619A">
        <w:rPr>
          <w:rFonts w:ascii="ArialMT" w:eastAsia="Times New Roman" w:hAnsi="ArialMT" w:cs="Times New Roman"/>
          <w:color w:val="000000" w:themeColor="text1"/>
          <w:sz w:val="22"/>
          <w:lang w:eastAsia="es-ES_tradnl"/>
        </w:rPr>
        <w:t xml:space="preserve">determinado </w:t>
      </w:r>
      <w:r w:rsidR="00C9198E" w:rsidRPr="00211099">
        <w:rPr>
          <w:rFonts w:ascii="ArialMT" w:eastAsia="Times New Roman" w:hAnsi="ArialMT" w:cs="Times New Roman"/>
          <w:color w:val="000000" w:themeColor="text1"/>
          <w:sz w:val="22"/>
          <w:lang w:eastAsia="es-ES_tradnl"/>
        </w:rPr>
        <w:t xml:space="preserve">para tratar el asunto. </w:t>
      </w:r>
    </w:p>
    <w:p w14:paraId="621CA09D" w14:textId="09796FA4" w:rsidR="00137E58" w:rsidRPr="00211099" w:rsidRDefault="00D10D1B" w:rsidP="00E73597">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Respecto d</w:t>
      </w:r>
      <w:r w:rsidR="00393BD3" w:rsidRPr="00211099">
        <w:rPr>
          <w:rFonts w:ascii="ArialMT" w:eastAsia="Times New Roman" w:hAnsi="ArialMT" w:cs="Times New Roman"/>
          <w:color w:val="000000" w:themeColor="text1"/>
          <w:sz w:val="22"/>
          <w:lang w:eastAsia="es-ES_tradnl"/>
        </w:rPr>
        <w:t>el futuro proponente</w:t>
      </w:r>
      <w:r w:rsidR="00EB273F"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 xml:space="preserve">en cambio, </w:t>
      </w:r>
      <w:r w:rsidR="00EB273F" w:rsidRPr="00211099">
        <w:rPr>
          <w:rFonts w:ascii="ArialMT" w:eastAsia="Times New Roman" w:hAnsi="ArialMT" w:cs="Times New Roman"/>
          <w:color w:val="000000" w:themeColor="text1"/>
          <w:sz w:val="22"/>
          <w:lang w:eastAsia="es-ES_tradnl"/>
        </w:rPr>
        <w:t xml:space="preserve">la audiencia de asignación de riesgos </w:t>
      </w:r>
      <w:r w:rsidR="00174843" w:rsidRPr="00211099">
        <w:rPr>
          <w:rFonts w:ascii="ArialMT" w:eastAsia="Times New Roman" w:hAnsi="ArialMT" w:cs="Times New Roman"/>
          <w:color w:val="000000" w:themeColor="text1"/>
          <w:sz w:val="22"/>
          <w:lang w:eastAsia="es-ES_tradnl"/>
        </w:rPr>
        <w:t>representa</w:t>
      </w:r>
      <w:r w:rsidR="00EB273F" w:rsidRPr="00211099">
        <w:rPr>
          <w:rFonts w:ascii="ArialMT" w:eastAsia="Times New Roman" w:hAnsi="ArialMT" w:cs="Times New Roman"/>
          <w:color w:val="000000" w:themeColor="text1"/>
          <w:sz w:val="22"/>
          <w:lang w:eastAsia="es-ES_tradnl"/>
        </w:rPr>
        <w:t xml:space="preserve"> </w:t>
      </w:r>
      <w:r w:rsidR="00C32659" w:rsidRPr="00211099">
        <w:rPr>
          <w:rFonts w:ascii="ArialMT" w:eastAsia="Times New Roman" w:hAnsi="ArialMT" w:cs="Times New Roman"/>
          <w:color w:val="000000" w:themeColor="text1"/>
          <w:sz w:val="22"/>
          <w:lang w:eastAsia="es-ES_tradnl"/>
        </w:rPr>
        <w:t>el</w:t>
      </w:r>
      <w:r w:rsidR="00393BD3" w:rsidRPr="00211099">
        <w:rPr>
          <w:rFonts w:ascii="ArialMT" w:eastAsia="Times New Roman" w:hAnsi="ArialMT" w:cs="Times New Roman"/>
          <w:color w:val="000000" w:themeColor="text1"/>
          <w:sz w:val="22"/>
          <w:lang w:eastAsia="es-ES_tradnl"/>
        </w:rPr>
        <w:t xml:space="preserve"> derecho </w:t>
      </w:r>
      <w:r w:rsidR="008525EB" w:rsidRPr="00211099">
        <w:rPr>
          <w:rFonts w:ascii="ArialMT" w:eastAsia="Times New Roman" w:hAnsi="ArialMT" w:cs="Times New Roman"/>
          <w:color w:val="000000" w:themeColor="text1"/>
          <w:sz w:val="22"/>
          <w:lang w:eastAsia="es-ES_tradnl"/>
        </w:rPr>
        <w:t>de discutir esa estimación, tipificación y distribución de los riesgos</w:t>
      </w:r>
      <w:r w:rsidRPr="00211099">
        <w:rPr>
          <w:rFonts w:ascii="ArialMT" w:eastAsia="Times New Roman" w:hAnsi="ArialMT" w:cs="Times New Roman"/>
          <w:color w:val="000000" w:themeColor="text1"/>
          <w:sz w:val="22"/>
          <w:lang w:eastAsia="es-ES_tradnl"/>
        </w:rPr>
        <w:t>.</w:t>
      </w:r>
      <w:r w:rsidR="00137E58" w:rsidRPr="00211099">
        <w:rPr>
          <w:rFonts w:ascii="ArialMT" w:eastAsia="Times New Roman" w:hAnsi="ArialMT" w:cs="Times New Roman"/>
          <w:color w:val="000000" w:themeColor="text1"/>
          <w:sz w:val="22"/>
          <w:lang w:eastAsia="es-ES_tradnl"/>
        </w:rPr>
        <w:t xml:space="preserve"> </w:t>
      </w:r>
      <w:r w:rsidR="00D60950">
        <w:rPr>
          <w:rFonts w:ascii="ArialMT" w:eastAsia="Times New Roman" w:hAnsi="ArialMT" w:cs="Times New Roman"/>
          <w:color w:val="000000" w:themeColor="text1"/>
          <w:sz w:val="22"/>
          <w:lang w:eastAsia="es-ES_tradnl"/>
        </w:rPr>
        <w:t>D</w:t>
      </w:r>
      <w:r w:rsidRPr="00211099">
        <w:rPr>
          <w:rFonts w:ascii="ArialMT" w:eastAsia="Times New Roman" w:hAnsi="ArialMT" w:cs="Times New Roman"/>
          <w:color w:val="000000" w:themeColor="text1"/>
          <w:sz w:val="22"/>
          <w:lang w:eastAsia="es-ES_tradnl"/>
        </w:rPr>
        <w:t>e esta manera</w:t>
      </w:r>
      <w:r w:rsidR="00D60950">
        <w:rPr>
          <w:rFonts w:ascii="ArialMT" w:eastAsia="Times New Roman" w:hAnsi="ArialMT" w:cs="Times New Roman"/>
          <w:color w:val="000000" w:themeColor="text1"/>
          <w:sz w:val="22"/>
          <w:lang w:eastAsia="es-ES_tradnl"/>
        </w:rPr>
        <w:t xml:space="preserve">, </w:t>
      </w:r>
      <w:r w:rsidR="00D20D4A">
        <w:rPr>
          <w:rFonts w:ascii="ArialMT" w:eastAsia="Times New Roman" w:hAnsi="ArialMT" w:cs="Times New Roman"/>
          <w:color w:val="000000" w:themeColor="text1"/>
          <w:sz w:val="22"/>
          <w:lang w:eastAsia="es-ES_tradnl"/>
        </w:rPr>
        <w:t xml:space="preserve">los eventuales interesados </w:t>
      </w:r>
      <w:r w:rsidR="00A10DEB" w:rsidRPr="00211099">
        <w:rPr>
          <w:rFonts w:ascii="ArialMT" w:eastAsia="Times New Roman" w:hAnsi="ArialMT" w:cs="Times New Roman"/>
          <w:color w:val="000000" w:themeColor="text1"/>
          <w:sz w:val="22"/>
          <w:lang w:eastAsia="es-ES_tradnl"/>
        </w:rPr>
        <w:t>podrá</w:t>
      </w:r>
      <w:r w:rsidR="00D20D4A">
        <w:rPr>
          <w:rFonts w:ascii="ArialMT" w:eastAsia="Times New Roman" w:hAnsi="ArialMT" w:cs="Times New Roman"/>
          <w:color w:val="000000" w:themeColor="text1"/>
          <w:sz w:val="22"/>
          <w:lang w:eastAsia="es-ES_tradnl"/>
        </w:rPr>
        <w:t>n</w:t>
      </w:r>
      <w:r w:rsidR="00A10DEB" w:rsidRPr="00211099">
        <w:rPr>
          <w:rFonts w:ascii="ArialMT" w:eastAsia="Times New Roman" w:hAnsi="ArialMT" w:cs="Times New Roman"/>
          <w:color w:val="000000" w:themeColor="text1"/>
          <w:sz w:val="22"/>
          <w:lang w:eastAsia="es-ES_tradnl"/>
        </w:rPr>
        <w:t xml:space="preserve"> complementar o controvertir la información plasmada por la entidad, de acuerdo con sus conocimientos especiales sobre el objeto a contratar</w:t>
      </w:r>
      <w:r w:rsidR="00EB273F" w:rsidRPr="00211099">
        <w:rPr>
          <w:rFonts w:ascii="ArialMT" w:eastAsia="Times New Roman" w:hAnsi="ArialMT" w:cs="Times New Roman"/>
          <w:color w:val="000000" w:themeColor="text1"/>
          <w:sz w:val="22"/>
          <w:lang w:eastAsia="es-ES_tradnl"/>
        </w:rPr>
        <w:t xml:space="preserve"> y su ejecución</w:t>
      </w:r>
      <w:r w:rsidRPr="00211099">
        <w:rPr>
          <w:rFonts w:ascii="ArialMT" w:eastAsia="Times New Roman" w:hAnsi="ArialMT" w:cs="Times New Roman"/>
          <w:color w:val="000000" w:themeColor="text1"/>
          <w:sz w:val="22"/>
          <w:lang w:eastAsia="es-ES_tradnl"/>
        </w:rPr>
        <w:t>. Ello,</w:t>
      </w:r>
      <w:r w:rsidR="00EB273F" w:rsidRPr="00211099">
        <w:rPr>
          <w:rFonts w:ascii="ArialMT" w:eastAsia="Times New Roman" w:hAnsi="ArialMT" w:cs="Times New Roman"/>
          <w:color w:val="000000" w:themeColor="text1"/>
          <w:sz w:val="22"/>
          <w:lang w:eastAsia="es-ES_tradnl"/>
        </w:rPr>
        <w:t xml:space="preserve"> sin perjuicio de las demás oportunidad</w:t>
      </w:r>
      <w:r w:rsidR="00066AA7" w:rsidRPr="00211099">
        <w:rPr>
          <w:rFonts w:ascii="ArialMT" w:eastAsia="Times New Roman" w:hAnsi="ArialMT" w:cs="Times New Roman"/>
          <w:color w:val="000000" w:themeColor="text1"/>
          <w:sz w:val="22"/>
          <w:lang w:eastAsia="es-ES_tradnl"/>
        </w:rPr>
        <w:t>es</w:t>
      </w:r>
      <w:r w:rsidR="00EB273F" w:rsidRPr="00211099">
        <w:rPr>
          <w:rFonts w:ascii="ArialMT" w:eastAsia="Times New Roman" w:hAnsi="ArialMT" w:cs="Times New Roman"/>
          <w:color w:val="000000" w:themeColor="text1"/>
          <w:sz w:val="22"/>
          <w:lang w:eastAsia="es-ES_tradnl"/>
        </w:rPr>
        <w:t xml:space="preserve"> establecidas en el pliego </w:t>
      </w:r>
      <w:r w:rsidR="00066AA7" w:rsidRPr="00211099">
        <w:rPr>
          <w:rFonts w:ascii="ArialMT" w:eastAsia="Times New Roman" w:hAnsi="ArialMT" w:cs="Times New Roman"/>
          <w:color w:val="000000" w:themeColor="text1"/>
          <w:sz w:val="22"/>
          <w:lang w:eastAsia="es-ES_tradnl"/>
        </w:rPr>
        <w:t xml:space="preserve">de condiciones </w:t>
      </w:r>
      <w:r w:rsidR="00EB273F" w:rsidRPr="00211099">
        <w:rPr>
          <w:rFonts w:ascii="ArialMT" w:eastAsia="Times New Roman" w:hAnsi="ArialMT" w:cs="Times New Roman"/>
          <w:color w:val="000000" w:themeColor="text1"/>
          <w:sz w:val="22"/>
          <w:lang w:eastAsia="es-ES_tradnl"/>
        </w:rPr>
        <w:t xml:space="preserve">para presentar observaciones al mismo. </w:t>
      </w:r>
    </w:p>
    <w:p w14:paraId="311757C5" w14:textId="1154F98D" w:rsidR="00E73597" w:rsidRPr="00211099" w:rsidRDefault="00A10DEB" w:rsidP="00E73597">
      <w:pPr>
        <w:spacing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 xml:space="preserve">Lo anterior obedece a que esta distribución de riesgos debe efectuarse con base </w:t>
      </w:r>
      <w:r w:rsidR="00D10D1B" w:rsidRPr="00211099">
        <w:rPr>
          <w:rFonts w:ascii="ArialMT" w:eastAsia="Times New Roman" w:hAnsi="ArialMT" w:cs="Times New Roman"/>
          <w:color w:val="000000" w:themeColor="text1"/>
          <w:sz w:val="22"/>
          <w:lang w:eastAsia="es-ES_tradnl"/>
        </w:rPr>
        <w:t>en</w:t>
      </w:r>
      <w:r w:rsidRPr="00211099">
        <w:rPr>
          <w:rFonts w:ascii="ArialMT" w:eastAsia="Times New Roman" w:hAnsi="ArialMT" w:cs="Times New Roman"/>
          <w:color w:val="000000" w:themeColor="text1"/>
          <w:sz w:val="22"/>
          <w:lang w:eastAsia="es-ES_tradnl"/>
        </w:rPr>
        <w:t xml:space="preserve"> las reglas constitucionales y legales</w:t>
      </w:r>
      <w:r w:rsidR="00CC22B0">
        <w:rPr>
          <w:rFonts w:ascii="ArialMT" w:eastAsia="Times New Roman" w:hAnsi="ArialMT" w:cs="Times New Roman"/>
          <w:color w:val="000000" w:themeColor="text1"/>
          <w:sz w:val="22"/>
          <w:lang w:eastAsia="es-ES_tradnl"/>
        </w:rPr>
        <w:t>, es decir, debe estar</w:t>
      </w:r>
      <w:r w:rsidRPr="00211099">
        <w:rPr>
          <w:rFonts w:ascii="ArialMT" w:eastAsia="Times New Roman" w:hAnsi="ArialMT" w:cs="Times New Roman"/>
          <w:color w:val="000000" w:themeColor="text1"/>
          <w:sz w:val="22"/>
          <w:lang w:eastAsia="es-ES_tradnl"/>
        </w:rPr>
        <w:t xml:space="preserve"> sujeta a </w:t>
      </w:r>
      <w:r w:rsidR="00924004" w:rsidRPr="00211099">
        <w:rPr>
          <w:rFonts w:ascii="ArialMT" w:eastAsia="Times New Roman" w:hAnsi="ArialMT" w:cs="Times New Roman"/>
          <w:color w:val="000000" w:themeColor="text1"/>
          <w:sz w:val="22"/>
          <w:lang w:eastAsia="es-ES_tradnl"/>
        </w:rPr>
        <w:t xml:space="preserve">criterios de justicia y equidad, </w:t>
      </w:r>
      <w:r w:rsidR="00CC22B0">
        <w:rPr>
          <w:rFonts w:ascii="ArialMT" w:eastAsia="Times New Roman" w:hAnsi="ArialMT" w:cs="Times New Roman"/>
          <w:color w:val="000000" w:themeColor="text1"/>
          <w:sz w:val="22"/>
          <w:lang w:eastAsia="es-ES_tradnl"/>
        </w:rPr>
        <w:t>permitiendo</w:t>
      </w:r>
      <w:r w:rsidR="00924004" w:rsidRPr="00211099">
        <w:rPr>
          <w:rFonts w:ascii="ArialMT" w:eastAsia="Times New Roman" w:hAnsi="ArialMT" w:cs="Times New Roman"/>
          <w:color w:val="000000" w:themeColor="text1"/>
          <w:sz w:val="22"/>
          <w:lang w:eastAsia="es-ES_tradnl"/>
        </w:rPr>
        <w:t xml:space="preserve"> a las partes </w:t>
      </w:r>
      <w:r w:rsidR="00817C2C" w:rsidRPr="00211099">
        <w:rPr>
          <w:rFonts w:ascii="ArialMT" w:eastAsia="Times New Roman" w:hAnsi="ArialMT" w:cs="Times New Roman"/>
          <w:color w:val="000000" w:themeColor="text1"/>
          <w:sz w:val="22"/>
          <w:lang w:eastAsia="es-ES_tradnl"/>
        </w:rPr>
        <w:t>su revisión conjunta,</w:t>
      </w:r>
      <w:r w:rsidR="00924004" w:rsidRPr="00211099">
        <w:rPr>
          <w:rFonts w:ascii="ArialMT" w:eastAsia="Times New Roman" w:hAnsi="ArialMT" w:cs="Times New Roman"/>
          <w:color w:val="000000" w:themeColor="text1"/>
          <w:sz w:val="22"/>
          <w:lang w:eastAsia="es-ES_tradnl"/>
        </w:rPr>
        <w:t xml:space="preserve"> </w:t>
      </w:r>
      <w:r w:rsidR="005C3F23" w:rsidRPr="00211099">
        <w:rPr>
          <w:rFonts w:ascii="ArialMT" w:eastAsia="Times New Roman" w:hAnsi="ArialMT" w:cs="Times New Roman"/>
          <w:color w:val="000000" w:themeColor="text1"/>
          <w:sz w:val="22"/>
          <w:lang w:eastAsia="es-ES_tradnl"/>
        </w:rPr>
        <w:t>para</w:t>
      </w:r>
      <w:r w:rsidR="00924004" w:rsidRPr="00211099">
        <w:rPr>
          <w:rFonts w:ascii="ArialMT" w:eastAsia="Times New Roman" w:hAnsi="ArialMT" w:cs="Times New Roman"/>
          <w:color w:val="000000" w:themeColor="text1"/>
          <w:sz w:val="22"/>
          <w:lang w:eastAsia="es-ES_tradnl"/>
        </w:rPr>
        <w:t xml:space="preserve"> </w:t>
      </w:r>
      <w:r w:rsidR="005C3F23" w:rsidRPr="00211099">
        <w:rPr>
          <w:rFonts w:ascii="ArialMT" w:eastAsia="Times New Roman" w:hAnsi="ArialMT" w:cs="Times New Roman"/>
          <w:color w:val="000000" w:themeColor="text1"/>
          <w:sz w:val="22"/>
          <w:lang w:eastAsia="es-ES_tradnl"/>
        </w:rPr>
        <w:t>que no se presente</w:t>
      </w:r>
      <w:r w:rsidR="00C11E59" w:rsidRPr="00211099">
        <w:rPr>
          <w:rFonts w:ascii="ArialMT" w:eastAsia="Times New Roman" w:hAnsi="ArialMT" w:cs="Times New Roman"/>
          <w:color w:val="000000" w:themeColor="text1"/>
          <w:sz w:val="22"/>
          <w:lang w:eastAsia="es-ES_tradnl"/>
        </w:rPr>
        <w:t>n</w:t>
      </w:r>
      <w:r w:rsidR="005C3F23" w:rsidRPr="00211099">
        <w:rPr>
          <w:rFonts w:ascii="ArialMT" w:eastAsia="Times New Roman" w:hAnsi="ArialMT" w:cs="Times New Roman"/>
          <w:color w:val="000000" w:themeColor="text1"/>
          <w:sz w:val="22"/>
          <w:lang w:eastAsia="es-ES_tradnl"/>
        </w:rPr>
        <w:t xml:space="preserve"> arbitrariedades </w:t>
      </w:r>
      <w:r w:rsidR="00817C2C" w:rsidRPr="00211099">
        <w:rPr>
          <w:rFonts w:ascii="ArialMT" w:eastAsia="Times New Roman" w:hAnsi="ArialMT" w:cs="Times New Roman"/>
          <w:color w:val="000000" w:themeColor="text1"/>
          <w:sz w:val="22"/>
          <w:lang w:eastAsia="es-ES_tradnl"/>
        </w:rPr>
        <w:t>en su</w:t>
      </w:r>
      <w:r w:rsidR="005C3F23" w:rsidRPr="00211099">
        <w:rPr>
          <w:rFonts w:ascii="ArialMT" w:eastAsia="Times New Roman" w:hAnsi="ArialMT" w:cs="Times New Roman"/>
          <w:color w:val="000000" w:themeColor="text1"/>
          <w:sz w:val="22"/>
          <w:lang w:eastAsia="es-ES_tradnl"/>
        </w:rPr>
        <w:t xml:space="preserve"> asignación</w:t>
      </w:r>
      <w:r w:rsidR="00924004" w:rsidRPr="00211099">
        <w:rPr>
          <w:rFonts w:ascii="ArialMT" w:eastAsia="Times New Roman" w:hAnsi="ArialMT" w:cs="Times New Roman"/>
          <w:color w:val="000000" w:themeColor="text1"/>
          <w:sz w:val="22"/>
          <w:lang w:eastAsia="es-ES_tradnl"/>
        </w:rPr>
        <w:t>.</w:t>
      </w:r>
      <w:r w:rsidRPr="00211099">
        <w:rPr>
          <w:rFonts w:ascii="ArialMT" w:eastAsia="Times New Roman" w:hAnsi="ArialMT" w:cs="Times New Roman"/>
          <w:color w:val="000000" w:themeColor="text1"/>
          <w:sz w:val="22"/>
          <w:lang w:eastAsia="es-ES_tradnl"/>
        </w:rPr>
        <w:t xml:space="preserve"> Sobre este punto</w:t>
      </w:r>
      <w:r w:rsidR="00C11E59" w:rsidRPr="00211099">
        <w:rPr>
          <w:rFonts w:ascii="ArialMT" w:eastAsia="Times New Roman" w:hAnsi="ArialMT" w:cs="Times New Roman"/>
          <w:color w:val="000000" w:themeColor="text1"/>
          <w:sz w:val="22"/>
          <w:lang w:eastAsia="es-ES_tradnl"/>
        </w:rPr>
        <w:t>,</w:t>
      </w:r>
      <w:r w:rsidRPr="00211099">
        <w:rPr>
          <w:rFonts w:ascii="ArialMT" w:eastAsia="Times New Roman" w:hAnsi="ArialMT" w:cs="Times New Roman"/>
          <w:color w:val="000000" w:themeColor="text1"/>
          <w:sz w:val="22"/>
          <w:lang w:eastAsia="es-ES_tradnl"/>
        </w:rPr>
        <w:t xml:space="preserve"> el Consejo de </w:t>
      </w:r>
      <w:r w:rsidR="00CC22B0">
        <w:rPr>
          <w:rFonts w:ascii="ArialMT" w:eastAsia="Times New Roman" w:hAnsi="ArialMT" w:cs="Times New Roman"/>
          <w:color w:val="000000" w:themeColor="text1"/>
          <w:sz w:val="22"/>
          <w:lang w:eastAsia="es-ES_tradnl"/>
        </w:rPr>
        <w:t>E</w:t>
      </w:r>
      <w:r w:rsidRPr="00211099">
        <w:rPr>
          <w:rFonts w:ascii="ArialMT" w:eastAsia="Times New Roman" w:hAnsi="ArialMT" w:cs="Times New Roman"/>
          <w:color w:val="000000" w:themeColor="text1"/>
          <w:sz w:val="22"/>
          <w:lang w:eastAsia="es-ES_tradnl"/>
        </w:rPr>
        <w:t xml:space="preserve">stado ha señalado lo siguiente: </w:t>
      </w:r>
    </w:p>
    <w:p w14:paraId="6B11FF2C" w14:textId="261DA9E2" w:rsidR="00924004" w:rsidRPr="00211099" w:rsidRDefault="00924004" w:rsidP="00924004">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 xml:space="preserve">[…] desde antes de la expedición de la referida preceptiva, a la luz de los dictados de la Ley 80 de 1993, por vía de la interpretación a los alcances de lo dispuesto por el numeral 5 del artículo 24, se avizoraba que cualquier esquema de distribución de riesgos en el campo contractual del Estado debía contener previsiones y reglas justas, claras y objetivas que permitieran ofrecimientos de la misma índole. De igual forma, se habrían de definir con exactitud las condiciones de costo y calidad de los bienes necesarios para la ejecución del contrato, no se incluirían condiciones y exigencias de imposible </w:t>
      </w:r>
      <w:r w:rsidRPr="00211099">
        <w:rPr>
          <w:rFonts w:ascii="Arial" w:eastAsia="Calibri" w:hAnsi="Arial" w:cs="Arial"/>
          <w:color w:val="000000"/>
          <w:sz w:val="19"/>
          <w:szCs w:val="19"/>
        </w:rPr>
        <w:lastRenderedPageBreak/>
        <w:t>cumplimiento y no se establecerían reglas que permitieran ofrecimientos de extensión ilimitada.</w:t>
      </w:r>
    </w:p>
    <w:p w14:paraId="2C7728D5" w14:textId="77777777" w:rsidR="00924004" w:rsidRPr="00211099" w:rsidRDefault="00924004" w:rsidP="00924004">
      <w:pPr>
        <w:ind w:left="709" w:right="709"/>
        <w:jc w:val="both"/>
        <w:rPr>
          <w:rFonts w:ascii="Arial" w:eastAsia="Calibri" w:hAnsi="Arial" w:cs="Arial"/>
          <w:color w:val="000000"/>
          <w:sz w:val="19"/>
          <w:szCs w:val="19"/>
        </w:rPr>
      </w:pPr>
    </w:p>
    <w:p w14:paraId="5A9218FF" w14:textId="03889BDE" w:rsidR="00137E58" w:rsidRPr="00211099" w:rsidRDefault="00924004" w:rsidP="00924004">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 xml:space="preserve">Siguiendo esa misma línea de pensamiento, tampoco resultaría ajustado a derecho atender a un sistema de distribución de riesgos cuya materialización se </w:t>
      </w:r>
      <w:proofErr w:type="gramStart"/>
      <w:r w:rsidRPr="00211099">
        <w:rPr>
          <w:rFonts w:ascii="Arial" w:eastAsia="Calibri" w:hAnsi="Arial" w:cs="Arial"/>
          <w:color w:val="000000"/>
          <w:sz w:val="19"/>
          <w:szCs w:val="19"/>
        </w:rPr>
        <w:t>derivara</w:t>
      </w:r>
      <w:proofErr w:type="gramEnd"/>
      <w:r w:rsidRPr="00211099">
        <w:rPr>
          <w:rFonts w:ascii="Arial" w:eastAsia="Calibri" w:hAnsi="Arial" w:cs="Arial"/>
          <w:color w:val="000000"/>
          <w:sz w:val="19"/>
          <w:szCs w:val="19"/>
        </w:rPr>
        <w:t xml:space="preserve"> directamente de la voluntad exclusiva de la entidad contratante y que tuviera la virtualidad de afectar la normal ejecución del contrato. Tal sería el caso de los supuestos de incumplimiento contractual o de la ocurrencia de circunstancias constitutivas de ruptura del equilibrio económico del contrato originadas en la actuación de la Administración contratante como se presentaría en los eventos del ejercicio del ius variandi o del hecho del príncipe</w:t>
      </w:r>
      <w:r w:rsidR="001E3925" w:rsidRPr="00211099">
        <w:rPr>
          <w:rStyle w:val="Refdenotaalpie"/>
          <w:rFonts w:ascii="Arial" w:eastAsia="Calibri" w:hAnsi="Arial" w:cs="Arial"/>
          <w:color w:val="000000"/>
          <w:sz w:val="19"/>
          <w:szCs w:val="19"/>
        </w:rPr>
        <w:footnoteReference w:id="3"/>
      </w:r>
      <w:r w:rsidRPr="00211099">
        <w:rPr>
          <w:rFonts w:ascii="Arial" w:eastAsia="Calibri" w:hAnsi="Arial" w:cs="Arial"/>
          <w:color w:val="000000"/>
          <w:sz w:val="19"/>
          <w:szCs w:val="19"/>
        </w:rPr>
        <w:t xml:space="preserve">. </w:t>
      </w:r>
    </w:p>
    <w:p w14:paraId="51CA1919" w14:textId="77777777" w:rsidR="00924004" w:rsidRPr="00211099" w:rsidRDefault="00924004" w:rsidP="00924004">
      <w:pPr>
        <w:ind w:left="709" w:right="709"/>
        <w:jc w:val="both"/>
        <w:rPr>
          <w:rFonts w:ascii="Arial" w:eastAsia="Calibri" w:hAnsi="Arial" w:cs="Arial"/>
          <w:color w:val="000000"/>
          <w:sz w:val="19"/>
          <w:szCs w:val="19"/>
        </w:rPr>
      </w:pPr>
    </w:p>
    <w:p w14:paraId="69873882" w14:textId="31DABE3D" w:rsidR="00892409" w:rsidRPr="00211099" w:rsidRDefault="00885841" w:rsidP="00271166">
      <w:pPr>
        <w:spacing w:after="120" w:line="276" w:lineRule="auto"/>
        <w:ind w:firstLine="709"/>
        <w:jc w:val="both"/>
        <w:rPr>
          <w:rFonts w:ascii="ArialMT" w:eastAsia="Times New Roman" w:hAnsi="ArialMT" w:cs="Times New Roman"/>
          <w:color w:val="000000" w:themeColor="text1"/>
          <w:sz w:val="22"/>
          <w:lang w:eastAsia="es-ES_tradnl"/>
        </w:rPr>
      </w:pPr>
      <w:r>
        <w:rPr>
          <w:rFonts w:ascii="ArialMT" w:eastAsia="Times New Roman" w:hAnsi="ArialMT" w:cs="Times New Roman"/>
          <w:color w:val="000000" w:themeColor="text1"/>
          <w:sz w:val="22"/>
          <w:lang w:eastAsia="es-ES_tradnl"/>
        </w:rPr>
        <w:t>Así las cosas</w:t>
      </w:r>
      <w:r w:rsidR="00393BD3" w:rsidRPr="00211099">
        <w:rPr>
          <w:rFonts w:ascii="ArialMT" w:eastAsia="Times New Roman" w:hAnsi="ArialMT" w:cs="Times New Roman"/>
          <w:color w:val="000000" w:themeColor="text1"/>
          <w:sz w:val="22"/>
          <w:lang w:eastAsia="es-ES_tradnl"/>
        </w:rPr>
        <w:t xml:space="preserve">, </w:t>
      </w:r>
      <w:r w:rsidR="00924004" w:rsidRPr="00211099">
        <w:rPr>
          <w:rFonts w:ascii="ArialMT" w:eastAsia="Times New Roman" w:hAnsi="ArialMT" w:cs="Times New Roman"/>
          <w:color w:val="000000" w:themeColor="text1"/>
          <w:sz w:val="22"/>
          <w:lang w:eastAsia="es-ES_tradnl"/>
        </w:rPr>
        <w:t xml:space="preserve">la participación en la audiencia de asignación de riesgos en los procesos de licitación </w:t>
      </w:r>
      <w:r w:rsidR="00095E7C" w:rsidRPr="00211099">
        <w:rPr>
          <w:rFonts w:ascii="ArialMT" w:eastAsia="Times New Roman" w:hAnsi="ArialMT" w:cs="Times New Roman"/>
          <w:color w:val="000000" w:themeColor="text1"/>
          <w:sz w:val="22"/>
          <w:lang w:eastAsia="es-ES_tradnl"/>
        </w:rPr>
        <w:t>pública</w:t>
      </w:r>
      <w:r w:rsidR="00924004" w:rsidRPr="00211099">
        <w:rPr>
          <w:rFonts w:ascii="ArialMT" w:eastAsia="Times New Roman" w:hAnsi="ArialMT" w:cs="Times New Roman"/>
          <w:color w:val="000000" w:themeColor="text1"/>
          <w:sz w:val="22"/>
          <w:lang w:eastAsia="es-ES_tradnl"/>
        </w:rPr>
        <w:t xml:space="preserve"> es u</w:t>
      </w:r>
      <w:r w:rsidR="00584CC0" w:rsidRPr="00211099">
        <w:rPr>
          <w:rFonts w:ascii="ArialMT" w:eastAsia="Times New Roman" w:hAnsi="ArialMT" w:cs="Times New Roman"/>
          <w:color w:val="000000" w:themeColor="text1"/>
          <w:sz w:val="22"/>
          <w:lang w:eastAsia="es-ES_tradnl"/>
        </w:rPr>
        <w:t>n derecho del futuro proponente</w:t>
      </w:r>
      <w:r w:rsidR="00FE2549">
        <w:rPr>
          <w:rFonts w:ascii="ArialMT" w:eastAsia="Times New Roman" w:hAnsi="ArialMT" w:cs="Times New Roman"/>
          <w:color w:val="000000" w:themeColor="text1"/>
          <w:sz w:val="22"/>
          <w:lang w:eastAsia="es-ES_tradnl"/>
        </w:rPr>
        <w:t>,</w:t>
      </w:r>
      <w:r w:rsidR="00924004" w:rsidRPr="00211099">
        <w:rPr>
          <w:rFonts w:ascii="ArialMT" w:eastAsia="Times New Roman" w:hAnsi="ArialMT" w:cs="Times New Roman"/>
          <w:color w:val="000000" w:themeColor="text1"/>
          <w:sz w:val="22"/>
          <w:lang w:eastAsia="es-ES_tradnl"/>
        </w:rPr>
        <w:t xml:space="preserve"> que puede o no ejercer</w:t>
      </w:r>
      <w:r w:rsidR="00095E7C" w:rsidRPr="00211099">
        <w:rPr>
          <w:rFonts w:ascii="ArialMT" w:eastAsia="Times New Roman" w:hAnsi="ArialMT" w:cs="Times New Roman"/>
          <w:color w:val="000000" w:themeColor="text1"/>
          <w:sz w:val="22"/>
          <w:lang w:eastAsia="es-ES_tradnl"/>
        </w:rPr>
        <w:t xml:space="preserve">. </w:t>
      </w:r>
      <w:r w:rsidR="00924004" w:rsidRPr="00211099">
        <w:rPr>
          <w:rFonts w:ascii="ArialMT" w:eastAsia="Times New Roman" w:hAnsi="ArialMT" w:cs="Times New Roman"/>
          <w:color w:val="000000" w:themeColor="text1"/>
          <w:sz w:val="22"/>
          <w:lang w:eastAsia="es-ES_tradnl"/>
        </w:rPr>
        <w:t xml:space="preserve"> </w:t>
      </w:r>
      <w:r w:rsidR="00095E7C" w:rsidRPr="00211099">
        <w:rPr>
          <w:rFonts w:ascii="ArialMT" w:eastAsia="Times New Roman" w:hAnsi="ArialMT" w:cs="Times New Roman"/>
          <w:color w:val="000000" w:themeColor="text1"/>
          <w:sz w:val="22"/>
          <w:lang w:eastAsia="es-ES_tradnl"/>
        </w:rPr>
        <w:t>E</w:t>
      </w:r>
      <w:r w:rsidR="00393BD3" w:rsidRPr="00211099">
        <w:rPr>
          <w:rFonts w:ascii="ArialMT" w:eastAsia="Times New Roman" w:hAnsi="ArialMT" w:cs="Times New Roman"/>
          <w:color w:val="000000" w:themeColor="text1"/>
          <w:sz w:val="22"/>
          <w:lang w:eastAsia="es-ES_tradnl"/>
        </w:rPr>
        <w:t>l efecto práctico</w:t>
      </w:r>
      <w:r w:rsidR="00C11E59" w:rsidRPr="00211099">
        <w:rPr>
          <w:rFonts w:ascii="ArialMT" w:eastAsia="Times New Roman" w:hAnsi="ArialMT" w:cs="Times New Roman"/>
          <w:color w:val="000000" w:themeColor="text1"/>
          <w:sz w:val="22"/>
          <w:lang w:eastAsia="es-ES_tradnl"/>
        </w:rPr>
        <w:t xml:space="preserve"> de su</w:t>
      </w:r>
      <w:r w:rsidR="00393BD3" w:rsidRPr="00211099">
        <w:rPr>
          <w:rFonts w:ascii="ArialMT" w:eastAsia="Times New Roman" w:hAnsi="ArialMT" w:cs="Times New Roman"/>
          <w:color w:val="000000" w:themeColor="text1"/>
          <w:sz w:val="22"/>
          <w:lang w:eastAsia="es-ES_tradnl"/>
        </w:rPr>
        <w:t xml:space="preserve"> </w:t>
      </w:r>
      <w:r w:rsidR="00B35DD6" w:rsidRPr="00211099">
        <w:rPr>
          <w:rFonts w:ascii="ArialMT" w:eastAsia="Times New Roman" w:hAnsi="ArialMT" w:cs="Times New Roman"/>
          <w:color w:val="000000" w:themeColor="text1"/>
          <w:sz w:val="22"/>
          <w:lang w:eastAsia="es-ES_tradnl"/>
        </w:rPr>
        <w:t>inasistencia</w:t>
      </w:r>
      <w:r w:rsidR="00C11E59" w:rsidRPr="00211099">
        <w:rPr>
          <w:rFonts w:ascii="ArialMT" w:eastAsia="Times New Roman" w:hAnsi="ArialMT" w:cs="Times New Roman"/>
          <w:color w:val="000000" w:themeColor="text1"/>
          <w:sz w:val="22"/>
          <w:lang w:eastAsia="es-ES_tradnl"/>
        </w:rPr>
        <w:t xml:space="preserve"> </w:t>
      </w:r>
      <w:r w:rsidR="00D40490" w:rsidRPr="00211099">
        <w:rPr>
          <w:rFonts w:ascii="ArialMT" w:eastAsia="Times New Roman" w:hAnsi="ArialMT" w:cs="Times New Roman"/>
          <w:color w:val="000000" w:themeColor="text1"/>
          <w:sz w:val="22"/>
          <w:lang w:eastAsia="es-ES_tradnl"/>
        </w:rPr>
        <w:t>no es otro</w:t>
      </w:r>
      <w:r w:rsidR="003178E8" w:rsidRPr="00211099">
        <w:rPr>
          <w:rFonts w:ascii="ArialMT" w:eastAsia="Times New Roman" w:hAnsi="ArialMT" w:cs="Times New Roman"/>
          <w:color w:val="000000" w:themeColor="text1"/>
          <w:sz w:val="22"/>
          <w:lang w:eastAsia="es-ES_tradnl"/>
        </w:rPr>
        <w:t xml:space="preserve"> que </w:t>
      </w:r>
      <w:r w:rsidR="00352C64" w:rsidRPr="00211099">
        <w:rPr>
          <w:rFonts w:ascii="ArialMT" w:eastAsia="Times New Roman" w:hAnsi="ArialMT" w:cs="Times New Roman"/>
          <w:color w:val="000000" w:themeColor="text1"/>
          <w:sz w:val="22"/>
          <w:lang w:eastAsia="es-ES_tradnl"/>
        </w:rPr>
        <w:t>la aceptación de los riesgos en la forma que lo haya establecido la entidad pública</w:t>
      </w:r>
      <w:r w:rsidR="00C32E4E" w:rsidRPr="00211099">
        <w:rPr>
          <w:rFonts w:ascii="ArialMT" w:eastAsia="Times New Roman" w:hAnsi="ArialMT" w:cs="Times New Roman"/>
          <w:color w:val="000000" w:themeColor="text1"/>
          <w:sz w:val="22"/>
          <w:lang w:eastAsia="es-ES_tradnl"/>
        </w:rPr>
        <w:t xml:space="preserve"> contratante</w:t>
      </w:r>
      <w:r w:rsidR="00095E7C" w:rsidRPr="00211099">
        <w:rPr>
          <w:rFonts w:ascii="ArialMT" w:eastAsia="Times New Roman" w:hAnsi="ArialMT" w:cs="Times New Roman"/>
          <w:color w:val="000000" w:themeColor="text1"/>
          <w:sz w:val="22"/>
          <w:lang w:eastAsia="es-ES_tradnl"/>
        </w:rPr>
        <w:t>.</w:t>
      </w:r>
      <w:r w:rsidR="00066AA7" w:rsidRPr="00211099">
        <w:rPr>
          <w:rFonts w:ascii="ArialMT" w:eastAsia="Times New Roman" w:hAnsi="ArialMT" w:cs="Times New Roman"/>
          <w:color w:val="000000" w:themeColor="text1"/>
          <w:sz w:val="22"/>
          <w:lang w:eastAsia="es-ES_tradnl"/>
        </w:rPr>
        <w:t xml:space="preserve"> </w:t>
      </w:r>
      <w:r w:rsidR="00352C64" w:rsidRPr="00211099">
        <w:rPr>
          <w:rFonts w:ascii="ArialMT" w:eastAsia="Times New Roman" w:hAnsi="ArialMT" w:cs="Times New Roman"/>
          <w:color w:val="000000" w:themeColor="text1"/>
          <w:sz w:val="22"/>
          <w:lang w:eastAsia="es-ES_tradnl"/>
        </w:rPr>
        <w:t>Lo</w:t>
      </w:r>
      <w:r w:rsidR="00C9198E" w:rsidRPr="00211099">
        <w:rPr>
          <w:rFonts w:ascii="ArialMT" w:eastAsia="Times New Roman" w:hAnsi="ArialMT" w:cs="Times New Roman"/>
          <w:color w:val="000000" w:themeColor="text1"/>
          <w:sz w:val="22"/>
          <w:lang w:eastAsia="es-ES_tradnl"/>
        </w:rPr>
        <w:t xml:space="preserve"> </w:t>
      </w:r>
      <w:r w:rsidR="00382B30" w:rsidRPr="00211099">
        <w:rPr>
          <w:rFonts w:ascii="ArialMT" w:eastAsia="Times New Roman" w:hAnsi="ArialMT" w:cs="Times New Roman"/>
          <w:color w:val="000000" w:themeColor="text1"/>
          <w:sz w:val="22"/>
          <w:lang w:eastAsia="es-ES_tradnl"/>
        </w:rPr>
        <w:t>señalado</w:t>
      </w:r>
      <w:r w:rsidR="00393BD3" w:rsidRPr="00211099">
        <w:rPr>
          <w:rFonts w:ascii="ArialMT" w:eastAsia="Times New Roman" w:hAnsi="ArialMT" w:cs="Times New Roman"/>
          <w:color w:val="000000" w:themeColor="text1"/>
          <w:sz w:val="22"/>
          <w:lang w:eastAsia="es-ES_tradnl"/>
        </w:rPr>
        <w:t xml:space="preserve"> </w:t>
      </w:r>
      <w:r w:rsidR="00C9198E" w:rsidRPr="00211099">
        <w:rPr>
          <w:rFonts w:ascii="ArialMT" w:eastAsia="Times New Roman" w:hAnsi="ArialMT" w:cs="Times New Roman"/>
          <w:color w:val="000000" w:themeColor="text1"/>
          <w:sz w:val="22"/>
          <w:lang w:eastAsia="es-ES_tradnl"/>
        </w:rPr>
        <w:t>si</w:t>
      </w:r>
      <w:r w:rsidR="001007F0" w:rsidRPr="00211099">
        <w:rPr>
          <w:rFonts w:ascii="ArialMT" w:eastAsia="Times New Roman" w:hAnsi="ArialMT" w:cs="Times New Roman"/>
          <w:color w:val="000000" w:themeColor="text1"/>
          <w:sz w:val="22"/>
          <w:lang w:eastAsia="es-ES_tradnl"/>
        </w:rPr>
        <w:t>gnifica que</w:t>
      </w:r>
      <w:r w:rsidR="00B35DD6">
        <w:rPr>
          <w:rFonts w:ascii="ArialMT" w:eastAsia="Times New Roman" w:hAnsi="ArialMT" w:cs="Times New Roman"/>
          <w:color w:val="000000" w:themeColor="text1"/>
          <w:sz w:val="22"/>
          <w:lang w:eastAsia="es-ES_tradnl"/>
        </w:rPr>
        <w:t>,</w:t>
      </w:r>
      <w:r w:rsidR="001007F0" w:rsidRPr="00211099">
        <w:rPr>
          <w:rFonts w:ascii="ArialMT" w:eastAsia="Times New Roman" w:hAnsi="ArialMT" w:cs="Times New Roman"/>
          <w:color w:val="000000" w:themeColor="text1"/>
          <w:sz w:val="22"/>
          <w:lang w:eastAsia="es-ES_tradnl"/>
        </w:rPr>
        <w:t xml:space="preserve"> </w:t>
      </w:r>
      <w:r w:rsidR="00393BD3" w:rsidRPr="00211099">
        <w:rPr>
          <w:rFonts w:ascii="ArialMT" w:eastAsia="Times New Roman" w:hAnsi="ArialMT" w:cs="Times New Roman"/>
          <w:color w:val="000000" w:themeColor="text1"/>
          <w:sz w:val="22"/>
          <w:lang w:eastAsia="es-ES_tradnl"/>
        </w:rPr>
        <w:t xml:space="preserve">si el futuro proponente no acude a la audiencia de asignación de riesgos y tampoco efectúa las observaciones </w:t>
      </w:r>
      <w:r w:rsidR="00352C64" w:rsidRPr="00211099">
        <w:rPr>
          <w:rFonts w:ascii="ArialMT" w:eastAsia="Times New Roman" w:hAnsi="ArialMT" w:cs="Times New Roman"/>
          <w:color w:val="000000" w:themeColor="text1"/>
          <w:sz w:val="22"/>
          <w:lang w:eastAsia="es-ES_tradnl"/>
        </w:rPr>
        <w:t>respectivas</w:t>
      </w:r>
      <w:r w:rsidR="00393BD3" w:rsidRPr="00211099">
        <w:rPr>
          <w:rFonts w:ascii="ArialMT" w:eastAsia="Times New Roman" w:hAnsi="ArialMT" w:cs="Times New Roman"/>
          <w:color w:val="000000" w:themeColor="text1"/>
          <w:sz w:val="22"/>
          <w:lang w:eastAsia="es-ES_tradnl"/>
        </w:rPr>
        <w:t xml:space="preserve"> durante la etapa</w:t>
      </w:r>
      <w:r w:rsidR="00352C64" w:rsidRPr="00211099">
        <w:rPr>
          <w:rFonts w:ascii="ArialMT" w:eastAsia="Times New Roman" w:hAnsi="ArialMT" w:cs="Times New Roman"/>
          <w:color w:val="000000" w:themeColor="text1"/>
          <w:sz w:val="22"/>
          <w:lang w:eastAsia="es-ES_tradnl"/>
        </w:rPr>
        <w:t xml:space="preserve"> </w:t>
      </w:r>
      <w:r w:rsidR="00393BD3" w:rsidRPr="00211099">
        <w:rPr>
          <w:rFonts w:ascii="ArialMT" w:eastAsia="Times New Roman" w:hAnsi="ArialMT" w:cs="Times New Roman"/>
          <w:color w:val="000000" w:themeColor="text1"/>
          <w:sz w:val="22"/>
          <w:lang w:eastAsia="es-ES_tradnl"/>
        </w:rPr>
        <w:t>establecida en el pliego de condiciones</w:t>
      </w:r>
      <w:r w:rsidR="00352C64" w:rsidRPr="00211099">
        <w:rPr>
          <w:rFonts w:ascii="ArialMT" w:eastAsia="Times New Roman" w:hAnsi="ArialMT" w:cs="Times New Roman"/>
          <w:color w:val="000000" w:themeColor="text1"/>
          <w:sz w:val="22"/>
          <w:lang w:eastAsia="es-ES_tradnl"/>
        </w:rPr>
        <w:t xml:space="preserve"> para tal efecto</w:t>
      </w:r>
      <w:r w:rsidR="00393BD3" w:rsidRPr="00211099">
        <w:rPr>
          <w:rFonts w:ascii="ArialMT" w:eastAsia="Times New Roman" w:hAnsi="ArialMT" w:cs="Times New Roman"/>
          <w:color w:val="000000" w:themeColor="text1"/>
          <w:sz w:val="22"/>
          <w:lang w:eastAsia="es-ES_tradnl"/>
        </w:rPr>
        <w:t xml:space="preserve">, </w:t>
      </w:r>
      <w:r w:rsidR="00352C64" w:rsidRPr="00211099">
        <w:rPr>
          <w:rFonts w:ascii="ArialMT" w:eastAsia="Times New Roman" w:hAnsi="ArialMT" w:cs="Times New Roman"/>
          <w:color w:val="000000" w:themeColor="text1"/>
          <w:sz w:val="22"/>
          <w:lang w:eastAsia="es-ES_tradnl"/>
        </w:rPr>
        <w:t>se produce una aceptación de la forma en que los riesgos han sido estimados, tipificados y distribuidos a las partes, lo cual tendrá repercusi</w:t>
      </w:r>
      <w:r w:rsidR="003178E8" w:rsidRPr="00211099">
        <w:rPr>
          <w:rFonts w:ascii="ArialMT" w:eastAsia="Times New Roman" w:hAnsi="ArialMT" w:cs="Times New Roman"/>
          <w:color w:val="000000" w:themeColor="text1"/>
          <w:sz w:val="22"/>
          <w:lang w:eastAsia="es-ES_tradnl"/>
        </w:rPr>
        <w:t>ón en todas las etapas del proceso de contratación</w:t>
      </w:r>
      <w:r w:rsidR="00352C64" w:rsidRPr="00211099">
        <w:rPr>
          <w:rFonts w:ascii="ArialMT" w:eastAsia="Times New Roman" w:hAnsi="ArialMT" w:cs="Times New Roman"/>
          <w:color w:val="000000" w:themeColor="text1"/>
          <w:sz w:val="22"/>
          <w:lang w:eastAsia="es-ES_tradnl"/>
        </w:rPr>
        <w:t xml:space="preserve">. De ahí la importancia de que los posibles oferentes conozcan la distribución de los </w:t>
      </w:r>
      <w:r w:rsidR="00095E7C" w:rsidRPr="00211099">
        <w:rPr>
          <w:rFonts w:ascii="ArialMT" w:eastAsia="Times New Roman" w:hAnsi="ArialMT" w:cs="Times New Roman"/>
          <w:color w:val="000000" w:themeColor="text1"/>
          <w:sz w:val="22"/>
          <w:lang w:eastAsia="es-ES_tradnl"/>
        </w:rPr>
        <w:t xml:space="preserve">riesgos </w:t>
      </w:r>
      <w:r w:rsidR="00352C64" w:rsidRPr="00211099">
        <w:rPr>
          <w:rFonts w:ascii="ArialMT" w:eastAsia="Times New Roman" w:hAnsi="ArialMT" w:cs="Times New Roman"/>
          <w:color w:val="000000" w:themeColor="text1"/>
          <w:sz w:val="22"/>
          <w:lang w:eastAsia="es-ES_tradnl"/>
        </w:rPr>
        <w:t>y puedan tener la oportunidad de revisarlos y objetarlos</w:t>
      </w:r>
      <w:r w:rsidR="00095E7C" w:rsidRPr="00211099">
        <w:rPr>
          <w:rFonts w:ascii="ArialMT" w:eastAsia="Times New Roman" w:hAnsi="ArialMT" w:cs="Times New Roman"/>
          <w:color w:val="000000" w:themeColor="text1"/>
          <w:sz w:val="22"/>
          <w:lang w:eastAsia="es-ES_tradnl"/>
        </w:rPr>
        <w:t xml:space="preserve">. </w:t>
      </w:r>
      <w:r w:rsidR="00C32E4E" w:rsidRPr="00211099">
        <w:rPr>
          <w:rFonts w:ascii="ArialMT" w:eastAsia="Times New Roman" w:hAnsi="ArialMT" w:cs="Times New Roman"/>
          <w:color w:val="000000" w:themeColor="text1"/>
          <w:sz w:val="22"/>
          <w:lang w:eastAsia="es-ES_tradnl"/>
        </w:rPr>
        <w:t xml:space="preserve"> </w:t>
      </w:r>
      <w:r w:rsidR="00095E7C" w:rsidRPr="00211099">
        <w:rPr>
          <w:rFonts w:ascii="ArialMT" w:eastAsia="Times New Roman" w:hAnsi="ArialMT" w:cs="Times New Roman"/>
          <w:color w:val="000000" w:themeColor="text1"/>
          <w:sz w:val="22"/>
          <w:lang w:eastAsia="es-ES_tradnl"/>
        </w:rPr>
        <w:t>E</w:t>
      </w:r>
      <w:r w:rsidR="00892409" w:rsidRPr="00211099">
        <w:rPr>
          <w:rFonts w:ascii="ArialMT" w:eastAsia="Times New Roman" w:hAnsi="ArialMT" w:cs="Times New Roman"/>
          <w:color w:val="000000" w:themeColor="text1"/>
          <w:sz w:val="22"/>
          <w:lang w:eastAsia="es-ES_tradnl"/>
        </w:rPr>
        <w:t>n caso de que se concrete</w:t>
      </w:r>
      <w:r w:rsidR="00C32E4E" w:rsidRPr="00211099">
        <w:rPr>
          <w:rFonts w:ascii="ArialMT" w:eastAsia="Times New Roman" w:hAnsi="ArialMT" w:cs="Times New Roman"/>
          <w:color w:val="000000" w:themeColor="text1"/>
          <w:sz w:val="22"/>
          <w:lang w:eastAsia="es-ES_tradnl"/>
        </w:rPr>
        <w:t xml:space="preserve"> el riesgo, estos deberán asumirse de la manera en que fueron dispuestos y aceptados por las partes, sin mayor discusión. </w:t>
      </w:r>
      <w:r w:rsidR="005C3F23" w:rsidRPr="00211099">
        <w:rPr>
          <w:rFonts w:ascii="ArialMT" w:eastAsia="Times New Roman" w:hAnsi="ArialMT" w:cs="Times New Roman"/>
          <w:color w:val="000000" w:themeColor="text1"/>
          <w:sz w:val="22"/>
          <w:lang w:eastAsia="es-ES_tradnl"/>
        </w:rPr>
        <w:t xml:space="preserve">Así lo ha indicado el Consejo de Estado: </w:t>
      </w:r>
    </w:p>
    <w:p w14:paraId="34E86958" w14:textId="77777777" w:rsidR="00E73597" w:rsidRDefault="00892409" w:rsidP="00E73597">
      <w:pPr>
        <w:ind w:left="709" w:right="709"/>
        <w:jc w:val="both"/>
        <w:rPr>
          <w:rFonts w:ascii="Arial" w:eastAsia="Calibri" w:hAnsi="Arial" w:cs="Arial"/>
          <w:color w:val="000000"/>
          <w:sz w:val="19"/>
          <w:szCs w:val="19"/>
        </w:rPr>
      </w:pPr>
      <w:r w:rsidRPr="00211099">
        <w:rPr>
          <w:rFonts w:ascii="Arial" w:eastAsia="Calibri" w:hAnsi="Arial" w:cs="Arial"/>
          <w:color w:val="000000"/>
          <w:sz w:val="19"/>
          <w:szCs w:val="19"/>
        </w:rPr>
        <w:t xml:space="preserve">[…] si el riesgo que acontece </w:t>
      </w:r>
      <w:proofErr w:type="gramStart"/>
      <w:r w:rsidRPr="00211099">
        <w:rPr>
          <w:rFonts w:ascii="Arial" w:eastAsia="Calibri" w:hAnsi="Arial" w:cs="Arial"/>
          <w:color w:val="000000"/>
          <w:sz w:val="19"/>
          <w:szCs w:val="19"/>
        </w:rPr>
        <w:t>se enmarca dentro de</w:t>
      </w:r>
      <w:proofErr w:type="gramEnd"/>
      <w:r w:rsidRPr="00211099">
        <w:rPr>
          <w:rFonts w:ascii="Arial" w:eastAsia="Calibri" w:hAnsi="Arial" w:cs="Arial"/>
          <w:color w:val="000000"/>
          <w:sz w:val="19"/>
          <w:szCs w:val="19"/>
        </w:rPr>
        <w:t xml:space="preserve"> los linderos de la respectiva tipificación, valoración y asignación, no habrá lugar a alegar la ruptura del equilibrio económico del contrato por cuenta de su ocurrencia, bajo la comprensión de que el mismo ya fue cubierto por la respectiva matriz y corresponderá asumirlo a quien allí se haya dispuesto en la estimación acordada</w:t>
      </w:r>
      <w:r w:rsidR="00D40490" w:rsidRPr="00211099">
        <w:rPr>
          <w:rStyle w:val="Refdenotaalpie"/>
          <w:rFonts w:ascii="Arial" w:eastAsia="Calibri" w:hAnsi="Arial" w:cs="Arial"/>
          <w:color w:val="000000"/>
          <w:sz w:val="19"/>
          <w:szCs w:val="19"/>
        </w:rPr>
        <w:footnoteReference w:id="4"/>
      </w:r>
      <w:r w:rsidRPr="00211099">
        <w:rPr>
          <w:rFonts w:ascii="Arial" w:eastAsia="Calibri" w:hAnsi="Arial" w:cs="Arial"/>
          <w:color w:val="000000"/>
          <w:sz w:val="19"/>
          <w:szCs w:val="19"/>
        </w:rPr>
        <w:t>.</w:t>
      </w:r>
    </w:p>
    <w:p w14:paraId="6727ABA5" w14:textId="77777777" w:rsidR="00E73597" w:rsidRDefault="00E73597" w:rsidP="00E73597">
      <w:pPr>
        <w:ind w:left="709" w:right="709"/>
        <w:jc w:val="both"/>
        <w:rPr>
          <w:rFonts w:ascii="Arial" w:eastAsia="Calibri" w:hAnsi="Arial" w:cs="Arial"/>
          <w:color w:val="000000"/>
          <w:sz w:val="19"/>
          <w:szCs w:val="19"/>
        </w:rPr>
      </w:pPr>
    </w:p>
    <w:p w14:paraId="438C2C5C" w14:textId="05B0BDE1" w:rsidR="00066AA7" w:rsidRPr="00E73597" w:rsidRDefault="00B41188" w:rsidP="00B35DD6">
      <w:pPr>
        <w:spacing w:after="120" w:line="276" w:lineRule="auto"/>
        <w:ind w:firstLine="709"/>
        <w:jc w:val="both"/>
        <w:rPr>
          <w:rFonts w:ascii="ArialMT" w:eastAsia="Times New Roman" w:hAnsi="ArialMT" w:cs="Times New Roman"/>
          <w:color w:val="000000" w:themeColor="text1"/>
          <w:sz w:val="22"/>
          <w:lang w:eastAsia="es-ES_tradnl"/>
        </w:rPr>
      </w:pPr>
      <w:r w:rsidRPr="00E73597">
        <w:rPr>
          <w:rFonts w:ascii="ArialMT" w:eastAsia="Times New Roman" w:hAnsi="ArialMT" w:cs="Times New Roman"/>
          <w:color w:val="000000" w:themeColor="text1"/>
          <w:sz w:val="22"/>
          <w:lang w:eastAsia="es-ES_tradnl"/>
        </w:rPr>
        <w:t xml:space="preserve">Así las cosas, la asistencia a la audiencia de asignación de riesgos </w:t>
      </w:r>
      <w:r w:rsidR="00CC1662" w:rsidRPr="00E73597">
        <w:rPr>
          <w:rFonts w:ascii="ArialMT" w:eastAsia="Times New Roman" w:hAnsi="ArialMT" w:cs="Times New Roman"/>
          <w:color w:val="000000" w:themeColor="text1"/>
          <w:sz w:val="22"/>
          <w:lang w:eastAsia="es-ES_tradnl"/>
        </w:rPr>
        <w:t>es un derecho del futuro proponente y no una obligación</w:t>
      </w:r>
      <w:r w:rsidR="00FB3594">
        <w:rPr>
          <w:rFonts w:ascii="ArialMT" w:eastAsia="Times New Roman" w:hAnsi="ArialMT" w:cs="Times New Roman"/>
          <w:color w:val="000000" w:themeColor="text1"/>
          <w:sz w:val="22"/>
          <w:lang w:eastAsia="es-ES_tradnl"/>
        </w:rPr>
        <w:t>.</w:t>
      </w:r>
      <w:r w:rsidR="00CC1662" w:rsidRPr="00E73597">
        <w:rPr>
          <w:rFonts w:ascii="ArialMT" w:eastAsia="Times New Roman" w:hAnsi="ArialMT" w:cs="Times New Roman"/>
          <w:color w:val="000000" w:themeColor="text1"/>
          <w:sz w:val="22"/>
          <w:lang w:eastAsia="es-ES_tradnl"/>
        </w:rPr>
        <w:t xml:space="preserve"> </w:t>
      </w:r>
      <w:r w:rsidR="00FB3594">
        <w:rPr>
          <w:rFonts w:ascii="ArialMT" w:eastAsia="Times New Roman" w:hAnsi="ArialMT" w:cs="Times New Roman"/>
          <w:color w:val="000000" w:themeColor="text1"/>
          <w:sz w:val="22"/>
          <w:lang w:eastAsia="es-ES_tradnl"/>
        </w:rPr>
        <w:t>P</w:t>
      </w:r>
      <w:r w:rsidR="00CC1662" w:rsidRPr="00E73597">
        <w:rPr>
          <w:rFonts w:ascii="ArialMT" w:eastAsia="Times New Roman" w:hAnsi="ArialMT" w:cs="Times New Roman"/>
          <w:color w:val="000000" w:themeColor="text1"/>
          <w:sz w:val="22"/>
          <w:lang w:eastAsia="es-ES_tradnl"/>
        </w:rPr>
        <w:t>or tal motivo no puede ser una ca</w:t>
      </w:r>
      <w:r w:rsidR="00AD1A60">
        <w:rPr>
          <w:rFonts w:ascii="ArialMT" w:eastAsia="Times New Roman" w:hAnsi="ArialMT" w:cs="Times New Roman"/>
          <w:color w:val="000000" w:themeColor="text1"/>
          <w:sz w:val="22"/>
          <w:lang w:eastAsia="es-ES_tradnl"/>
        </w:rPr>
        <w:t>u</w:t>
      </w:r>
      <w:r w:rsidR="00CC1662" w:rsidRPr="00E73597">
        <w:rPr>
          <w:rFonts w:ascii="ArialMT" w:eastAsia="Times New Roman" w:hAnsi="ArialMT" w:cs="Times New Roman"/>
          <w:color w:val="000000" w:themeColor="text1"/>
          <w:sz w:val="22"/>
          <w:lang w:eastAsia="es-ES_tradnl"/>
        </w:rPr>
        <w:t xml:space="preserve">sal que implique el rechazo de la oferta o impida la presentación de </w:t>
      </w:r>
      <w:proofErr w:type="gramStart"/>
      <w:r w:rsidR="00CC1662" w:rsidRPr="00E73597">
        <w:rPr>
          <w:rFonts w:ascii="ArialMT" w:eastAsia="Times New Roman" w:hAnsi="ArialMT" w:cs="Times New Roman"/>
          <w:color w:val="000000" w:themeColor="text1"/>
          <w:sz w:val="22"/>
          <w:lang w:eastAsia="es-ES_tradnl"/>
        </w:rPr>
        <w:t>la misma</w:t>
      </w:r>
      <w:proofErr w:type="gramEnd"/>
      <w:r w:rsidR="00CC1662" w:rsidRPr="00E73597">
        <w:rPr>
          <w:rFonts w:ascii="ArialMT" w:eastAsia="Times New Roman" w:hAnsi="ArialMT" w:cs="Times New Roman"/>
          <w:color w:val="000000" w:themeColor="text1"/>
          <w:sz w:val="22"/>
          <w:lang w:eastAsia="es-ES_tradnl"/>
        </w:rPr>
        <w:t xml:space="preserve">. Sin embargo, se reitera que </w:t>
      </w:r>
      <w:r w:rsidR="00995673">
        <w:rPr>
          <w:rFonts w:ascii="ArialMT" w:eastAsia="Times New Roman" w:hAnsi="ArialMT" w:cs="Times New Roman"/>
          <w:color w:val="000000" w:themeColor="text1"/>
          <w:sz w:val="22"/>
          <w:lang w:eastAsia="es-ES_tradnl"/>
        </w:rPr>
        <w:t>la</w:t>
      </w:r>
      <w:r w:rsidR="00CC1662" w:rsidRPr="00E73597">
        <w:rPr>
          <w:rFonts w:ascii="ArialMT" w:eastAsia="Times New Roman" w:hAnsi="ArialMT" w:cs="Times New Roman"/>
          <w:color w:val="000000" w:themeColor="text1"/>
          <w:sz w:val="22"/>
          <w:lang w:eastAsia="es-ES_tradnl"/>
        </w:rPr>
        <w:t xml:space="preserve"> inasistencia</w:t>
      </w:r>
      <w:r w:rsidR="00995673">
        <w:rPr>
          <w:rFonts w:ascii="ArialMT" w:eastAsia="Times New Roman" w:hAnsi="ArialMT" w:cs="Times New Roman"/>
          <w:color w:val="000000" w:themeColor="text1"/>
          <w:sz w:val="22"/>
          <w:lang w:eastAsia="es-ES_tradnl"/>
        </w:rPr>
        <w:t xml:space="preserve"> a la audiencia</w:t>
      </w:r>
      <w:r w:rsidR="00CC1662" w:rsidRPr="00E73597">
        <w:rPr>
          <w:rFonts w:ascii="ArialMT" w:eastAsia="Times New Roman" w:hAnsi="ArialMT" w:cs="Times New Roman"/>
          <w:color w:val="000000" w:themeColor="text1"/>
          <w:sz w:val="22"/>
          <w:lang w:eastAsia="es-ES_tradnl"/>
        </w:rPr>
        <w:t xml:space="preserve"> implica la aceptación por parte del oferente de la forma en la que han sido estimados, tipificados y distribuidos los riesgos por parte de la entidad pública. </w:t>
      </w:r>
    </w:p>
    <w:p w14:paraId="07C6573C" w14:textId="2AF44E33" w:rsidR="00BD638B" w:rsidRPr="00211099" w:rsidRDefault="00C11E59" w:rsidP="001B04B0">
      <w:pPr>
        <w:tabs>
          <w:tab w:val="left" w:pos="426"/>
        </w:tabs>
        <w:spacing w:line="276" w:lineRule="auto"/>
        <w:ind w:right="49" w:firstLine="709"/>
        <w:jc w:val="both"/>
        <w:rPr>
          <w:rFonts w:ascii="Arial" w:eastAsia="Calibri" w:hAnsi="Arial" w:cs="Arial"/>
          <w:color w:val="000000" w:themeColor="text1"/>
          <w:sz w:val="22"/>
        </w:rPr>
      </w:pPr>
      <w:r w:rsidRPr="00E73597">
        <w:rPr>
          <w:rFonts w:ascii="ArialMT" w:eastAsia="Times New Roman" w:hAnsi="ArialMT" w:cs="Times New Roman"/>
          <w:color w:val="000000" w:themeColor="text1"/>
          <w:sz w:val="22"/>
          <w:lang w:eastAsia="es-ES_tradnl"/>
        </w:rPr>
        <w:t>Finalmente, e</w:t>
      </w:r>
      <w:r w:rsidR="00584CC0" w:rsidRPr="00E73597">
        <w:rPr>
          <w:rFonts w:ascii="ArialMT" w:eastAsia="Times New Roman" w:hAnsi="ArialMT" w:cs="Times New Roman"/>
          <w:color w:val="000000" w:themeColor="text1"/>
          <w:sz w:val="22"/>
          <w:lang w:eastAsia="es-ES_tradnl"/>
        </w:rPr>
        <w:t>n lo que atañe</w:t>
      </w:r>
      <w:r w:rsidR="00584CC0" w:rsidRPr="00211099">
        <w:rPr>
          <w:rFonts w:ascii="Arial" w:eastAsia="Calibri" w:hAnsi="Arial" w:cs="Arial"/>
          <w:color w:val="000000"/>
          <w:sz w:val="22"/>
        </w:rPr>
        <w:t xml:space="preserve"> a los demás procesos de selecci</w:t>
      </w:r>
      <w:r w:rsidR="00BD638B" w:rsidRPr="00211099">
        <w:rPr>
          <w:rFonts w:ascii="Arial" w:eastAsia="Calibri" w:hAnsi="Arial" w:cs="Arial"/>
          <w:color w:val="000000"/>
          <w:sz w:val="22"/>
        </w:rPr>
        <w:t xml:space="preserve">ón </w:t>
      </w:r>
      <w:r w:rsidR="00584CC0" w:rsidRPr="00211099">
        <w:rPr>
          <w:rFonts w:ascii="Arial" w:eastAsia="Calibri" w:hAnsi="Arial" w:cs="Arial"/>
          <w:color w:val="000000"/>
          <w:sz w:val="22"/>
        </w:rPr>
        <w:t>diferentes de la licitación pública,</w:t>
      </w:r>
      <w:r w:rsidR="00BD638B" w:rsidRPr="00211099">
        <w:rPr>
          <w:rFonts w:ascii="Arial" w:eastAsia="Calibri" w:hAnsi="Arial" w:cs="Arial"/>
          <w:color w:val="000000"/>
          <w:sz w:val="22"/>
        </w:rPr>
        <w:t xml:space="preserve"> la </w:t>
      </w:r>
      <w:r w:rsidR="00AE05B9" w:rsidRPr="00211099">
        <w:rPr>
          <w:rFonts w:ascii="Arial" w:eastAsia="Calibri" w:hAnsi="Arial" w:cs="Arial"/>
          <w:color w:val="000000"/>
          <w:sz w:val="22"/>
        </w:rPr>
        <w:t xml:space="preserve">realización de la </w:t>
      </w:r>
      <w:r w:rsidR="00BD638B" w:rsidRPr="00211099">
        <w:rPr>
          <w:rFonts w:ascii="Arial" w:eastAsia="Calibri" w:hAnsi="Arial" w:cs="Arial"/>
          <w:color w:val="000000"/>
          <w:sz w:val="22"/>
        </w:rPr>
        <w:t>audiencia de asignación de riesgos no es obligatoria</w:t>
      </w:r>
      <w:r w:rsidR="00236C4A" w:rsidRPr="00211099">
        <w:rPr>
          <w:rFonts w:ascii="Arial" w:eastAsia="Calibri" w:hAnsi="Arial" w:cs="Arial"/>
          <w:color w:val="000000"/>
          <w:sz w:val="22"/>
        </w:rPr>
        <w:t>.</w:t>
      </w:r>
      <w:r w:rsidR="00BD638B" w:rsidRPr="00211099">
        <w:rPr>
          <w:rFonts w:ascii="Arial" w:eastAsia="Calibri" w:hAnsi="Arial" w:cs="Arial"/>
          <w:color w:val="000000"/>
          <w:sz w:val="22"/>
        </w:rPr>
        <w:t xml:space="preserve"> </w:t>
      </w:r>
      <w:r w:rsidR="00236C4A" w:rsidRPr="00211099">
        <w:rPr>
          <w:rFonts w:ascii="Arial" w:eastAsia="Calibri" w:hAnsi="Arial" w:cs="Arial"/>
          <w:color w:val="000000"/>
          <w:sz w:val="22"/>
        </w:rPr>
        <w:t>N</w:t>
      </w:r>
      <w:r w:rsidR="00BD638B" w:rsidRPr="00211099">
        <w:rPr>
          <w:rFonts w:ascii="Arial" w:eastAsia="Calibri" w:hAnsi="Arial" w:cs="Arial"/>
          <w:color w:val="000000"/>
          <w:sz w:val="22"/>
        </w:rPr>
        <w:t>o obstante, la entidad podrá</w:t>
      </w:r>
      <w:r w:rsidR="00BD638B" w:rsidRPr="00211099">
        <w:rPr>
          <w:rFonts w:ascii="Arial" w:eastAsia="Calibri" w:hAnsi="Arial" w:cs="Arial"/>
          <w:color w:val="000000" w:themeColor="text1"/>
          <w:sz w:val="22"/>
        </w:rPr>
        <w:t xml:space="preserve"> determinar si se realiza y, en cualquier caso, siempre deberá </w:t>
      </w:r>
      <w:r w:rsidR="00BD638B" w:rsidRPr="00211099">
        <w:rPr>
          <w:rFonts w:ascii="Arial" w:eastAsia="Calibri" w:hAnsi="Arial" w:cs="Arial"/>
          <w:color w:val="000000" w:themeColor="text1"/>
          <w:sz w:val="22"/>
        </w:rPr>
        <w:lastRenderedPageBreak/>
        <w:t>atender y considerar las solicitudes que efectúen los futuros proponentes sobre la estimación, tipificación y distribución de los riesgos establecidos</w:t>
      </w:r>
      <w:r w:rsidR="00817C2C" w:rsidRPr="00211099">
        <w:rPr>
          <w:rFonts w:ascii="Arial" w:eastAsia="Calibri" w:hAnsi="Arial" w:cs="Arial"/>
          <w:color w:val="000000" w:themeColor="text1"/>
          <w:sz w:val="22"/>
        </w:rPr>
        <w:t xml:space="preserve"> en los pliegos de condiciones. </w:t>
      </w:r>
    </w:p>
    <w:p w14:paraId="25F9B4B7" w14:textId="77777777" w:rsidR="001246F6" w:rsidRPr="00211099" w:rsidRDefault="001246F6" w:rsidP="001B04B0">
      <w:pPr>
        <w:tabs>
          <w:tab w:val="left" w:pos="426"/>
        </w:tabs>
        <w:spacing w:line="276" w:lineRule="auto"/>
        <w:jc w:val="both"/>
        <w:rPr>
          <w:rFonts w:ascii="Arial" w:eastAsia="Calibri" w:hAnsi="Arial" w:cs="Arial"/>
          <w:color w:val="000000" w:themeColor="text1"/>
          <w:sz w:val="22"/>
        </w:rPr>
      </w:pPr>
    </w:p>
    <w:p w14:paraId="76A9BE13" w14:textId="44E8B36F" w:rsidR="001246F6" w:rsidRPr="007F1FA1" w:rsidRDefault="00C05C43" w:rsidP="007F1FA1">
      <w:pPr>
        <w:tabs>
          <w:tab w:val="left" w:pos="426"/>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2.2. </w:t>
      </w:r>
      <w:r w:rsidR="001246F6" w:rsidRPr="007F1FA1">
        <w:rPr>
          <w:rFonts w:ascii="Arial" w:eastAsia="Calibri" w:hAnsi="Arial" w:cs="Arial"/>
          <w:b/>
          <w:color w:val="000000" w:themeColor="text1"/>
          <w:sz w:val="22"/>
        </w:rPr>
        <w:t xml:space="preserve">Requisitos habilitantes para </w:t>
      </w:r>
      <w:r w:rsidR="00E7492A" w:rsidRPr="007F1FA1">
        <w:rPr>
          <w:rFonts w:ascii="Arial" w:eastAsia="Calibri" w:hAnsi="Arial" w:cs="Arial"/>
          <w:b/>
          <w:color w:val="000000" w:themeColor="text1"/>
          <w:sz w:val="22"/>
        </w:rPr>
        <w:t xml:space="preserve">la </w:t>
      </w:r>
      <w:r w:rsidR="001246F6" w:rsidRPr="007F1FA1">
        <w:rPr>
          <w:rFonts w:ascii="Arial" w:eastAsia="Calibri" w:hAnsi="Arial" w:cs="Arial"/>
          <w:b/>
          <w:color w:val="000000" w:themeColor="text1"/>
          <w:sz w:val="22"/>
        </w:rPr>
        <w:t>participación en los procesos de selección</w:t>
      </w:r>
    </w:p>
    <w:p w14:paraId="5BDB7BBD" w14:textId="77777777" w:rsidR="00E70D56" w:rsidRPr="00211099" w:rsidRDefault="00E70D56" w:rsidP="00FE1477">
      <w:pPr>
        <w:tabs>
          <w:tab w:val="left" w:pos="426"/>
        </w:tabs>
        <w:spacing w:line="276" w:lineRule="auto"/>
        <w:jc w:val="both"/>
        <w:rPr>
          <w:rFonts w:ascii="Arial" w:eastAsia="Calibri" w:hAnsi="Arial" w:cs="Arial"/>
          <w:b/>
          <w:color w:val="000000" w:themeColor="text1"/>
          <w:sz w:val="22"/>
        </w:rPr>
      </w:pPr>
    </w:p>
    <w:p w14:paraId="49CA3AC4" w14:textId="627ED842" w:rsidR="00862C78" w:rsidRPr="00211099" w:rsidRDefault="006D17E4" w:rsidP="00FE1477">
      <w:pPr>
        <w:spacing w:line="276" w:lineRule="auto"/>
        <w:jc w:val="both"/>
        <w:rPr>
          <w:rFonts w:ascii="ArialMT" w:eastAsia="Times New Roman" w:hAnsi="ArialMT" w:cs="Times New Roman"/>
          <w:color w:val="000000" w:themeColor="text1"/>
          <w:sz w:val="22"/>
          <w:lang w:eastAsia="es-ES_tradnl"/>
        </w:rPr>
      </w:pPr>
      <w:r>
        <w:rPr>
          <w:rFonts w:ascii="ArialMT" w:eastAsia="Times New Roman" w:hAnsi="ArialMT" w:cs="Times New Roman"/>
          <w:color w:val="000000" w:themeColor="text1"/>
          <w:sz w:val="22"/>
          <w:lang w:eastAsia="es-ES_tradnl"/>
        </w:rPr>
        <w:t>De acuerdo con</w:t>
      </w:r>
      <w:r w:rsidR="00824E6B" w:rsidRPr="00211099">
        <w:rPr>
          <w:rFonts w:ascii="ArialMT" w:eastAsia="Times New Roman" w:hAnsi="ArialMT" w:cs="Times New Roman"/>
          <w:color w:val="000000" w:themeColor="text1"/>
          <w:sz w:val="22"/>
          <w:lang w:eastAsia="es-ES_tradnl"/>
        </w:rPr>
        <w:t xml:space="preserve"> el artículo 5 de la </w:t>
      </w:r>
      <w:r w:rsidR="00E7492A" w:rsidRPr="00211099">
        <w:rPr>
          <w:rFonts w:ascii="ArialMT" w:eastAsia="Times New Roman" w:hAnsi="ArialMT" w:cs="Times New Roman"/>
          <w:color w:val="000000" w:themeColor="text1"/>
          <w:sz w:val="22"/>
          <w:lang w:eastAsia="es-ES_tradnl"/>
        </w:rPr>
        <w:t>L</w:t>
      </w:r>
      <w:r w:rsidR="00824E6B" w:rsidRPr="00211099">
        <w:rPr>
          <w:rFonts w:ascii="ArialMT" w:eastAsia="Times New Roman" w:hAnsi="ArialMT" w:cs="Times New Roman"/>
          <w:color w:val="000000" w:themeColor="text1"/>
          <w:sz w:val="22"/>
          <w:lang w:eastAsia="es-ES_tradnl"/>
        </w:rPr>
        <w:t xml:space="preserve">ey 1150 de 2007, </w:t>
      </w:r>
      <w:r w:rsidR="00C8297D" w:rsidRPr="00211099">
        <w:rPr>
          <w:rFonts w:ascii="Arial" w:eastAsia="Calibri" w:hAnsi="Arial" w:cs="Arial"/>
          <w:color w:val="000000" w:themeColor="text1"/>
          <w:sz w:val="22"/>
        </w:rPr>
        <w:t>se considera «objetiva la selección en la cual la escogencia se haga al ofrecimiento más favorable a la entidad y a los fines que ella busca, sin tener en consideración factores de afecto o de interés y, en general, cualquier clase de motivación subjetiva»</w:t>
      </w:r>
      <w:r w:rsidR="00C8297D" w:rsidRPr="00211099">
        <w:rPr>
          <w:rFonts w:ascii="ArialMT" w:eastAsia="Times New Roman" w:hAnsi="ArialMT" w:cs="Times New Roman"/>
          <w:color w:val="000000" w:themeColor="text1"/>
          <w:sz w:val="22"/>
          <w:lang w:eastAsia="es-ES_tradnl"/>
        </w:rPr>
        <w:t>.</w:t>
      </w:r>
      <w:r w:rsidR="0010004D" w:rsidRPr="00211099">
        <w:rPr>
          <w:rFonts w:ascii="ArialMT" w:eastAsia="Times New Roman" w:hAnsi="ArialMT" w:cs="Times New Roman"/>
          <w:color w:val="000000" w:themeColor="text1"/>
          <w:sz w:val="22"/>
          <w:lang w:eastAsia="es-ES_tradnl"/>
        </w:rPr>
        <w:t xml:space="preserve"> </w:t>
      </w:r>
      <w:r w:rsidR="001656CC" w:rsidRPr="00211099">
        <w:rPr>
          <w:rFonts w:ascii="ArialMT" w:eastAsia="Times New Roman" w:hAnsi="ArialMT" w:cs="Times New Roman"/>
          <w:color w:val="000000" w:themeColor="text1"/>
          <w:sz w:val="22"/>
          <w:lang w:eastAsia="es-ES_tradnl"/>
        </w:rPr>
        <w:t>En este contexto, p</w:t>
      </w:r>
      <w:r w:rsidR="00862C78" w:rsidRPr="00211099">
        <w:rPr>
          <w:rFonts w:ascii="ArialMT" w:eastAsia="Times New Roman" w:hAnsi="ArialMT" w:cs="Times New Roman"/>
          <w:color w:val="000000" w:themeColor="text1"/>
          <w:sz w:val="22"/>
          <w:lang w:eastAsia="es-ES_tradnl"/>
        </w:rPr>
        <w:t>ara la participación en los</w:t>
      </w:r>
      <w:r w:rsidR="00D16B8D" w:rsidRPr="00211099">
        <w:rPr>
          <w:rFonts w:ascii="ArialMT" w:eastAsia="Times New Roman" w:hAnsi="ArialMT" w:cs="Times New Roman"/>
          <w:color w:val="000000" w:themeColor="text1"/>
          <w:sz w:val="22"/>
          <w:lang w:eastAsia="es-ES_tradnl"/>
        </w:rPr>
        <w:t xml:space="preserve"> proceso</w:t>
      </w:r>
      <w:r w:rsidR="00862C78" w:rsidRPr="00211099">
        <w:rPr>
          <w:rFonts w:ascii="ArialMT" w:eastAsia="Times New Roman" w:hAnsi="ArialMT" w:cs="Times New Roman"/>
          <w:color w:val="000000" w:themeColor="text1"/>
          <w:sz w:val="22"/>
          <w:lang w:eastAsia="es-ES_tradnl"/>
        </w:rPr>
        <w:t>s</w:t>
      </w:r>
      <w:r w:rsidR="00D16B8D" w:rsidRPr="00211099">
        <w:rPr>
          <w:rFonts w:ascii="ArialMT" w:eastAsia="Times New Roman" w:hAnsi="ArialMT" w:cs="Times New Roman"/>
          <w:color w:val="000000" w:themeColor="text1"/>
          <w:sz w:val="22"/>
          <w:lang w:eastAsia="es-ES_tradnl"/>
        </w:rPr>
        <w:t xml:space="preserve"> de selección</w:t>
      </w:r>
      <w:r w:rsidR="00B55CDA" w:rsidRPr="00211099">
        <w:rPr>
          <w:rFonts w:ascii="ArialMT" w:eastAsia="Times New Roman" w:hAnsi="ArialMT" w:cs="Times New Roman"/>
          <w:color w:val="000000" w:themeColor="text1"/>
          <w:sz w:val="22"/>
          <w:lang w:eastAsia="es-ES_tradnl"/>
        </w:rPr>
        <w:t>,</w:t>
      </w:r>
      <w:r w:rsidR="00D16B8D" w:rsidRPr="00211099">
        <w:rPr>
          <w:rFonts w:ascii="ArialMT" w:eastAsia="Times New Roman" w:hAnsi="ArialMT" w:cs="Times New Roman"/>
          <w:color w:val="000000" w:themeColor="text1"/>
          <w:sz w:val="22"/>
          <w:lang w:eastAsia="es-ES_tradnl"/>
        </w:rPr>
        <w:t xml:space="preserve"> las entidades públicas </w:t>
      </w:r>
      <w:r w:rsidR="00862C78" w:rsidRPr="00211099">
        <w:rPr>
          <w:rFonts w:ascii="ArialMT" w:eastAsia="Times New Roman" w:hAnsi="ArialMT" w:cs="Times New Roman"/>
          <w:color w:val="000000" w:themeColor="text1"/>
          <w:sz w:val="22"/>
          <w:lang w:eastAsia="es-ES_tradnl"/>
        </w:rPr>
        <w:t>tendrán en cuenta</w:t>
      </w:r>
      <w:r w:rsidR="00D904C6" w:rsidRPr="00211099">
        <w:rPr>
          <w:rFonts w:ascii="ArialMT" w:eastAsia="Times New Roman" w:hAnsi="ArialMT" w:cs="Times New Roman"/>
          <w:color w:val="000000" w:themeColor="text1"/>
          <w:sz w:val="22"/>
          <w:lang w:eastAsia="es-ES_tradnl"/>
        </w:rPr>
        <w:t>, entre otros aspectos, los</w:t>
      </w:r>
      <w:r w:rsidR="00862C78" w:rsidRPr="00211099">
        <w:rPr>
          <w:rFonts w:ascii="ArialMT" w:eastAsia="Times New Roman" w:hAnsi="ArialMT" w:cs="Times New Roman"/>
          <w:color w:val="000000" w:themeColor="text1"/>
          <w:sz w:val="22"/>
          <w:lang w:eastAsia="es-ES_tradnl"/>
        </w:rPr>
        <w:t xml:space="preserve"> criterios</w:t>
      </w:r>
      <w:r w:rsidR="00824E6B" w:rsidRPr="00211099">
        <w:rPr>
          <w:rFonts w:ascii="ArialMT" w:eastAsia="Times New Roman" w:hAnsi="ArialMT" w:cs="Times New Roman"/>
          <w:color w:val="000000" w:themeColor="text1"/>
          <w:sz w:val="22"/>
          <w:lang w:eastAsia="es-ES_tradnl"/>
        </w:rPr>
        <w:t xml:space="preserve"> habilitantes </w:t>
      </w:r>
      <w:r w:rsidR="00D904C6" w:rsidRPr="00211099">
        <w:rPr>
          <w:rFonts w:ascii="ArialMT" w:eastAsia="Times New Roman" w:hAnsi="ArialMT" w:cs="Times New Roman"/>
          <w:color w:val="000000" w:themeColor="text1"/>
          <w:sz w:val="22"/>
          <w:lang w:eastAsia="es-ES_tradnl"/>
        </w:rPr>
        <w:t xml:space="preserve">referidos a la </w:t>
      </w:r>
      <w:r w:rsidR="00824E6B" w:rsidRPr="00211099">
        <w:rPr>
          <w:rFonts w:ascii="ArialMT" w:eastAsia="Times New Roman" w:hAnsi="ArialMT" w:cs="Times New Roman"/>
          <w:color w:val="000000" w:themeColor="text1"/>
          <w:sz w:val="22"/>
          <w:lang w:eastAsia="es-ES_tradnl"/>
        </w:rPr>
        <w:t>capacidad jurídica, financiera, organizaciona</w:t>
      </w:r>
      <w:r w:rsidR="00B41188" w:rsidRPr="00211099">
        <w:rPr>
          <w:rFonts w:ascii="ArialMT" w:eastAsia="Times New Roman" w:hAnsi="ArialMT" w:cs="Times New Roman"/>
          <w:color w:val="000000" w:themeColor="text1"/>
          <w:sz w:val="22"/>
          <w:lang w:eastAsia="es-ES_tradnl"/>
        </w:rPr>
        <w:t>l y de experiencia</w:t>
      </w:r>
      <w:r w:rsidR="00B41188" w:rsidRPr="00211099">
        <w:rPr>
          <w:rFonts w:ascii="Arial" w:eastAsia="Calibri" w:hAnsi="Arial" w:cs="Arial"/>
          <w:color w:val="000000" w:themeColor="text1"/>
          <w:sz w:val="22"/>
        </w:rPr>
        <w:t>. El</w:t>
      </w:r>
      <w:r w:rsidR="001656CC" w:rsidRPr="00211099">
        <w:rPr>
          <w:rFonts w:ascii="Arial" w:eastAsia="Calibri" w:hAnsi="Arial" w:cs="Arial"/>
          <w:color w:val="000000" w:themeColor="text1"/>
          <w:sz w:val="22"/>
        </w:rPr>
        <w:t xml:space="preserve"> </w:t>
      </w:r>
      <w:r w:rsidR="00D904C6" w:rsidRPr="00211099">
        <w:rPr>
          <w:rFonts w:ascii="Arial" w:eastAsia="Calibri" w:hAnsi="Arial" w:cs="Arial"/>
          <w:color w:val="000000" w:themeColor="text1"/>
          <w:sz w:val="22"/>
        </w:rPr>
        <w:t>numeral primero d</w:t>
      </w:r>
      <w:r w:rsidR="00E7492A" w:rsidRPr="00211099">
        <w:rPr>
          <w:rFonts w:ascii="Arial" w:eastAsia="Calibri" w:hAnsi="Arial" w:cs="Arial"/>
          <w:color w:val="000000" w:themeColor="text1"/>
          <w:sz w:val="22"/>
        </w:rPr>
        <w:t>e la norma</w:t>
      </w:r>
      <w:r w:rsidR="001656CC" w:rsidRPr="00211099">
        <w:rPr>
          <w:rFonts w:ascii="Arial" w:eastAsia="Calibri" w:hAnsi="Arial" w:cs="Arial"/>
          <w:color w:val="000000" w:themeColor="text1"/>
          <w:sz w:val="22"/>
        </w:rPr>
        <w:t xml:space="preserve"> en mención </w:t>
      </w:r>
      <w:r w:rsidR="00862C78" w:rsidRPr="00211099">
        <w:rPr>
          <w:rFonts w:ascii="Arial" w:eastAsia="Calibri" w:hAnsi="Arial" w:cs="Arial"/>
          <w:color w:val="000000" w:themeColor="text1"/>
          <w:sz w:val="22"/>
        </w:rPr>
        <w:t xml:space="preserve">dispone: </w:t>
      </w:r>
    </w:p>
    <w:p w14:paraId="6E3D5335" w14:textId="77777777" w:rsidR="00862C78" w:rsidRPr="00211099" w:rsidRDefault="00862C78" w:rsidP="00CA05E4">
      <w:pPr>
        <w:spacing w:line="23" w:lineRule="atLeast"/>
        <w:jc w:val="both"/>
        <w:rPr>
          <w:rFonts w:ascii="Arial" w:eastAsia="Calibri" w:hAnsi="Arial" w:cs="Arial"/>
          <w:color w:val="000000" w:themeColor="text1"/>
          <w:sz w:val="22"/>
        </w:rPr>
      </w:pPr>
    </w:p>
    <w:p w14:paraId="41AE0892" w14:textId="674E3422" w:rsidR="00862C78" w:rsidRPr="00211099" w:rsidRDefault="00862C78" w:rsidP="00C60CA1">
      <w:pPr>
        <w:ind w:left="709" w:right="709"/>
        <w:jc w:val="both"/>
        <w:rPr>
          <w:rFonts w:ascii="Arial" w:eastAsia="Calibri" w:hAnsi="Arial" w:cs="Arial"/>
          <w:color w:val="000000" w:themeColor="text1"/>
          <w:sz w:val="19"/>
          <w:szCs w:val="19"/>
        </w:rPr>
      </w:pPr>
      <w:r w:rsidRPr="00211099">
        <w:rPr>
          <w:rFonts w:ascii="Arial" w:eastAsia="Calibri" w:hAnsi="Arial" w:cs="Arial"/>
          <w:color w:val="000000" w:themeColor="text1"/>
          <w:sz w:val="19"/>
          <w:szCs w:val="19"/>
        </w:rPr>
        <w:t xml:space="preserve">Artículo 5. De la Selección Objetiva. </w:t>
      </w:r>
    </w:p>
    <w:p w14:paraId="3E32F31D" w14:textId="77777777" w:rsidR="00B55CDA" w:rsidRPr="00211099" w:rsidRDefault="00B55CDA" w:rsidP="00C60CA1">
      <w:pPr>
        <w:ind w:left="709" w:right="709"/>
        <w:jc w:val="both"/>
        <w:rPr>
          <w:rFonts w:ascii="Arial" w:eastAsia="Calibri" w:hAnsi="Arial" w:cs="Arial"/>
          <w:color w:val="000000" w:themeColor="text1"/>
          <w:sz w:val="19"/>
          <w:szCs w:val="19"/>
        </w:rPr>
      </w:pPr>
    </w:p>
    <w:p w14:paraId="4C8BADAB" w14:textId="77777777" w:rsidR="00862C78" w:rsidRPr="00211099" w:rsidRDefault="00862C78" w:rsidP="00C60CA1">
      <w:pPr>
        <w:ind w:left="709" w:right="709"/>
        <w:jc w:val="both"/>
        <w:rPr>
          <w:rFonts w:ascii="Arial" w:eastAsia="Calibri" w:hAnsi="Arial" w:cs="Arial"/>
          <w:color w:val="000000" w:themeColor="text1"/>
          <w:sz w:val="19"/>
          <w:szCs w:val="19"/>
        </w:rPr>
      </w:pPr>
      <w:r w:rsidRPr="00211099">
        <w:rPr>
          <w:rFonts w:ascii="Arial" w:eastAsia="Calibri" w:hAnsi="Arial" w:cs="Arial"/>
          <w:color w:val="000000" w:themeColor="text1"/>
          <w:sz w:val="19"/>
          <w:szCs w:val="19"/>
        </w:rPr>
        <w:t>[…]</w:t>
      </w:r>
    </w:p>
    <w:p w14:paraId="259250CA" w14:textId="77777777" w:rsidR="00862C78" w:rsidRPr="00211099" w:rsidRDefault="00862C78" w:rsidP="00C60CA1">
      <w:pPr>
        <w:ind w:left="709" w:right="709"/>
        <w:jc w:val="both"/>
        <w:rPr>
          <w:rFonts w:ascii="Arial" w:eastAsia="Calibri" w:hAnsi="Arial" w:cs="Arial"/>
          <w:color w:val="000000" w:themeColor="text1"/>
          <w:sz w:val="19"/>
          <w:szCs w:val="19"/>
        </w:rPr>
      </w:pPr>
    </w:p>
    <w:p w14:paraId="643880BA" w14:textId="77777777" w:rsidR="001B04B0" w:rsidRDefault="00862C78" w:rsidP="00C60CA1">
      <w:pPr>
        <w:ind w:left="709" w:right="709"/>
        <w:jc w:val="both"/>
        <w:rPr>
          <w:rFonts w:ascii="Arial" w:eastAsia="Calibri" w:hAnsi="Arial" w:cs="Arial"/>
          <w:color w:val="000000" w:themeColor="text1"/>
          <w:sz w:val="19"/>
          <w:szCs w:val="19"/>
        </w:rPr>
      </w:pPr>
      <w:r w:rsidRPr="00211099">
        <w:rPr>
          <w:rFonts w:ascii="Arial" w:eastAsia="Calibri"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26FD4A8D" w14:textId="77777777" w:rsidR="00D73FC9" w:rsidRDefault="00D73FC9" w:rsidP="00D73FC9">
      <w:pPr>
        <w:ind w:right="709"/>
        <w:jc w:val="both"/>
        <w:rPr>
          <w:rFonts w:ascii="Arial" w:hAnsi="Arial" w:cs="Arial"/>
          <w:color w:val="000000" w:themeColor="text1"/>
          <w:sz w:val="22"/>
        </w:rPr>
      </w:pPr>
    </w:p>
    <w:p w14:paraId="12043BFB" w14:textId="7B375330" w:rsidR="00BE1568" w:rsidRPr="00D73FC9" w:rsidRDefault="00AB2890" w:rsidP="00D73FC9">
      <w:pPr>
        <w:spacing w:after="120" w:line="276" w:lineRule="auto"/>
        <w:ind w:firstLine="708"/>
        <w:jc w:val="both"/>
        <w:rPr>
          <w:rFonts w:ascii="Arial" w:hAnsi="Arial" w:cs="Arial"/>
          <w:color w:val="000000" w:themeColor="text1"/>
          <w:sz w:val="22"/>
        </w:rPr>
      </w:pPr>
      <w:r w:rsidRPr="00211099">
        <w:rPr>
          <w:rFonts w:ascii="Arial" w:hAnsi="Arial" w:cs="Arial"/>
          <w:color w:val="000000" w:themeColor="text1"/>
          <w:sz w:val="22"/>
        </w:rPr>
        <w:t>L</w:t>
      </w:r>
      <w:r w:rsidR="00403353" w:rsidRPr="00211099">
        <w:rPr>
          <w:rFonts w:ascii="Arial" w:hAnsi="Arial" w:cs="Arial"/>
          <w:color w:val="000000" w:themeColor="text1"/>
          <w:sz w:val="22"/>
        </w:rPr>
        <w:t>a Agencia Nacional de Contratación Pública elaboró</w:t>
      </w:r>
      <w:r w:rsidR="009D672C" w:rsidRPr="00211099">
        <w:rPr>
          <w:rFonts w:ascii="Arial" w:hAnsi="Arial" w:cs="Arial"/>
          <w:color w:val="000000" w:themeColor="text1"/>
          <w:sz w:val="22"/>
        </w:rPr>
        <w:t xml:space="preserve"> el </w:t>
      </w:r>
      <w:r w:rsidR="00BE1568" w:rsidRPr="00211099">
        <w:rPr>
          <w:rFonts w:ascii="Arial" w:hAnsi="Arial" w:cs="Arial"/>
          <w:color w:val="000000" w:themeColor="text1"/>
          <w:sz w:val="22"/>
        </w:rPr>
        <w:t>«Manual para determinar y verificar los requisitos habilitantes en</w:t>
      </w:r>
      <w:r w:rsidR="00403353" w:rsidRPr="00211099">
        <w:rPr>
          <w:rFonts w:ascii="Arial" w:hAnsi="Arial" w:cs="Arial"/>
          <w:color w:val="000000" w:themeColor="text1"/>
          <w:sz w:val="22"/>
        </w:rPr>
        <w:t xml:space="preserve"> los Procesos de Contratación»</w:t>
      </w:r>
      <w:r w:rsidR="00E27921">
        <w:rPr>
          <w:rFonts w:ascii="Arial" w:hAnsi="Arial" w:cs="Arial"/>
          <w:color w:val="000000" w:themeColor="text1"/>
          <w:sz w:val="22"/>
        </w:rPr>
        <w:t>,</w:t>
      </w:r>
      <w:r w:rsidR="00403353" w:rsidRPr="00211099">
        <w:rPr>
          <w:rFonts w:ascii="Arial" w:hAnsi="Arial" w:cs="Arial"/>
          <w:color w:val="000000" w:themeColor="text1"/>
          <w:sz w:val="22"/>
        </w:rPr>
        <w:t xml:space="preserve"> en el cual se determinaron los parámetros para </w:t>
      </w:r>
      <w:r w:rsidR="00403353" w:rsidRPr="00D73FC9">
        <w:rPr>
          <w:rFonts w:ascii="Arial" w:hAnsi="Arial" w:cs="Arial"/>
          <w:color w:val="000000" w:themeColor="text1"/>
          <w:sz w:val="22"/>
        </w:rPr>
        <w:t>establecer</w:t>
      </w:r>
      <w:r w:rsidR="00403353" w:rsidRPr="00211099">
        <w:rPr>
          <w:rFonts w:ascii="Arial" w:hAnsi="Arial" w:cs="Arial"/>
          <w:color w:val="000000" w:themeColor="text1"/>
          <w:sz w:val="22"/>
        </w:rPr>
        <w:t xml:space="preserve">, </w:t>
      </w:r>
      <w:r w:rsidR="00403353" w:rsidRPr="00D73FC9">
        <w:rPr>
          <w:rFonts w:ascii="Arial" w:hAnsi="Arial" w:cs="Arial"/>
          <w:color w:val="000000" w:themeColor="text1"/>
          <w:sz w:val="22"/>
        </w:rPr>
        <w:t>acreditar</w:t>
      </w:r>
      <w:r w:rsidR="00403353" w:rsidRPr="00211099">
        <w:rPr>
          <w:rFonts w:ascii="Arial" w:hAnsi="Arial" w:cs="Arial"/>
          <w:color w:val="000000" w:themeColor="text1"/>
          <w:sz w:val="22"/>
        </w:rPr>
        <w:t xml:space="preserve"> y </w:t>
      </w:r>
      <w:r w:rsidR="00403353" w:rsidRPr="00D73FC9">
        <w:rPr>
          <w:rFonts w:ascii="Arial" w:hAnsi="Arial" w:cs="Arial"/>
          <w:color w:val="000000" w:themeColor="text1"/>
          <w:sz w:val="22"/>
        </w:rPr>
        <w:t>subsanar</w:t>
      </w:r>
      <w:r w:rsidR="00403353" w:rsidRPr="00211099">
        <w:rPr>
          <w:rFonts w:ascii="Arial" w:hAnsi="Arial" w:cs="Arial"/>
          <w:color w:val="000000" w:themeColor="text1"/>
          <w:sz w:val="22"/>
        </w:rPr>
        <w:t xml:space="preserve"> </w:t>
      </w:r>
      <w:r w:rsidR="00B55CDA" w:rsidRPr="00211099">
        <w:rPr>
          <w:rFonts w:ascii="Arial" w:hAnsi="Arial" w:cs="Arial"/>
          <w:color w:val="000000" w:themeColor="text1"/>
          <w:sz w:val="22"/>
        </w:rPr>
        <w:t>dichos requisitos</w:t>
      </w:r>
      <w:r w:rsidR="00403353" w:rsidRPr="00211099">
        <w:rPr>
          <w:rFonts w:ascii="Arial" w:hAnsi="Arial" w:cs="Arial"/>
          <w:color w:val="000000" w:themeColor="text1"/>
          <w:sz w:val="22"/>
        </w:rPr>
        <w:t xml:space="preserve">. </w:t>
      </w:r>
      <w:r w:rsidR="00197457">
        <w:rPr>
          <w:rFonts w:ascii="Arial" w:hAnsi="Arial" w:cs="Arial"/>
          <w:color w:val="000000" w:themeColor="text1"/>
          <w:sz w:val="22"/>
        </w:rPr>
        <w:t>En el Manual señalado</w:t>
      </w:r>
      <w:r w:rsidR="00B55CDA" w:rsidRPr="00211099">
        <w:rPr>
          <w:rFonts w:ascii="Arial" w:hAnsi="Arial" w:cs="Arial"/>
          <w:color w:val="000000" w:themeColor="text1"/>
          <w:sz w:val="22"/>
        </w:rPr>
        <w:t xml:space="preserve"> se </w:t>
      </w:r>
      <w:r w:rsidR="00D904C6" w:rsidRPr="00211099">
        <w:rPr>
          <w:rFonts w:ascii="Arial" w:hAnsi="Arial" w:cs="Arial"/>
          <w:color w:val="000000" w:themeColor="text1"/>
          <w:sz w:val="22"/>
        </w:rPr>
        <w:t>definieron los requisitos habilitantes</w:t>
      </w:r>
      <w:r w:rsidR="001E12B1" w:rsidRPr="00211099">
        <w:rPr>
          <w:rFonts w:ascii="Arial" w:hAnsi="Arial" w:cs="Arial"/>
          <w:color w:val="000000" w:themeColor="text1"/>
          <w:sz w:val="22"/>
        </w:rPr>
        <w:t xml:space="preserve"> </w:t>
      </w:r>
      <w:r w:rsidR="009D672C" w:rsidRPr="00211099">
        <w:rPr>
          <w:rFonts w:ascii="Arial" w:hAnsi="Arial" w:cs="Arial"/>
          <w:color w:val="000000" w:themeColor="text1"/>
          <w:sz w:val="22"/>
        </w:rPr>
        <w:t>como</w:t>
      </w:r>
      <w:r w:rsidR="002B5C37">
        <w:rPr>
          <w:rFonts w:ascii="Arial" w:hAnsi="Arial" w:cs="Arial"/>
          <w:color w:val="000000" w:themeColor="text1"/>
          <w:sz w:val="22"/>
        </w:rPr>
        <w:t xml:space="preserve"> aquellas exigencias relacionadas con</w:t>
      </w:r>
      <w:r w:rsidR="009D672C" w:rsidRPr="00211099">
        <w:rPr>
          <w:rFonts w:ascii="Arial" w:hAnsi="Arial" w:cs="Arial"/>
          <w:color w:val="000000" w:themeColor="text1"/>
          <w:sz w:val="22"/>
        </w:rPr>
        <w:t xml:space="preserve"> </w:t>
      </w:r>
      <w:r w:rsidR="001E12B1" w:rsidRPr="00211099">
        <w:rPr>
          <w:rFonts w:ascii="Arial" w:hAnsi="Arial" w:cs="Arial"/>
          <w:color w:val="000000" w:themeColor="text1"/>
          <w:sz w:val="22"/>
        </w:rPr>
        <w:t xml:space="preserve">la aptitud del proponente para participar en </w:t>
      </w:r>
      <w:r w:rsidR="00BC1A9A" w:rsidRPr="00211099">
        <w:rPr>
          <w:rFonts w:ascii="Arial" w:hAnsi="Arial" w:cs="Arial"/>
          <w:color w:val="000000" w:themeColor="text1"/>
          <w:sz w:val="22"/>
        </w:rPr>
        <w:t>un proceso de c</w:t>
      </w:r>
      <w:r w:rsidR="001E12B1" w:rsidRPr="00211099">
        <w:rPr>
          <w:rFonts w:ascii="Arial" w:hAnsi="Arial" w:cs="Arial"/>
          <w:color w:val="000000" w:themeColor="text1"/>
          <w:sz w:val="22"/>
        </w:rPr>
        <w:t>ontratación como oferente</w:t>
      </w:r>
      <w:r w:rsidR="00B55CDA" w:rsidRPr="00211099">
        <w:rPr>
          <w:rFonts w:ascii="Arial" w:hAnsi="Arial" w:cs="Arial"/>
          <w:color w:val="000000" w:themeColor="text1"/>
          <w:sz w:val="22"/>
        </w:rPr>
        <w:t xml:space="preserve">. </w:t>
      </w:r>
      <w:r w:rsidR="00393615">
        <w:rPr>
          <w:rFonts w:ascii="Arial" w:hAnsi="Arial" w:cs="Arial"/>
          <w:color w:val="000000" w:themeColor="text1"/>
          <w:sz w:val="22"/>
        </w:rPr>
        <w:t>De igual forma,</w:t>
      </w:r>
      <w:r w:rsidR="00B55CDA" w:rsidRPr="00211099">
        <w:rPr>
          <w:rFonts w:ascii="Arial" w:hAnsi="Arial" w:cs="Arial"/>
          <w:color w:val="000000" w:themeColor="text1"/>
          <w:sz w:val="22"/>
        </w:rPr>
        <w:t xml:space="preserve"> se </w:t>
      </w:r>
      <w:r w:rsidR="002B5C37">
        <w:rPr>
          <w:rFonts w:ascii="Arial" w:hAnsi="Arial" w:cs="Arial"/>
          <w:color w:val="000000" w:themeColor="text1"/>
          <w:sz w:val="22"/>
        </w:rPr>
        <w:t>indicó</w:t>
      </w:r>
      <w:r w:rsidR="002B5C37" w:rsidRPr="00211099">
        <w:rPr>
          <w:rFonts w:ascii="Arial" w:hAnsi="Arial" w:cs="Arial"/>
          <w:color w:val="000000" w:themeColor="text1"/>
          <w:sz w:val="22"/>
        </w:rPr>
        <w:t xml:space="preserve"> </w:t>
      </w:r>
      <w:r w:rsidR="00B55CDA" w:rsidRPr="00211099">
        <w:rPr>
          <w:rFonts w:ascii="Arial" w:hAnsi="Arial" w:cs="Arial"/>
          <w:color w:val="000000" w:themeColor="text1"/>
          <w:sz w:val="22"/>
        </w:rPr>
        <w:t>que</w:t>
      </w:r>
      <w:r w:rsidR="001E12B1" w:rsidRPr="00211099">
        <w:rPr>
          <w:rFonts w:ascii="Arial" w:hAnsi="Arial" w:cs="Arial"/>
          <w:color w:val="000000" w:themeColor="text1"/>
          <w:sz w:val="22"/>
        </w:rPr>
        <w:t xml:space="preserve"> su</w:t>
      </w:r>
      <w:r w:rsidR="00BE1568" w:rsidRPr="00211099">
        <w:rPr>
          <w:rFonts w:ascii="Arial" w:hAnsi="Arial" w:cs="Arial"/>
          <w:color w:val="000000" w:themeColor="text1"/>
          <w:sz w:val="22"/>
        </w:rPr>
        <w:t xml:space="preserve"> propósito es </w:t>
      </w:r>
      <w:r w:rsidR="001E12B1" w:rsidRPr="00211099">
        <w:rPr>
          <w:rFonts w:ascii="Arial" w:hAnsi="Arial" w:cs="Arial"/>
          <w:color w:val="000000" w:themeColor="text1"/>
          <w:sz w:val="22"/>
        </w:rPr>
        <w:t>«</w:t>
      </w:r>
      <w:r w:rsidR="00BE1568" w:rsidRPr="00211099">
        <w:rPr>
          <w:rFonts w:ascii="Arial" w:hAnsi="Arial" w:cs="Arial"/>
          <w:color w:val="000000" w:themeColor="text1"/>
          <w:sz w:val="22"/>
        </w:rPr>
        <w:t>establecer unas condiciones mínimas para los proponentes de tal manera que la Entidad Estatal sólo evalúe las ofertas de aquellos que están en condiciones de cumplir con el obj</w:t>
      </w:r>
      <w:r w:rsidR="001E12B1" w:rsidRPr="00211099">
        <w:rPr>
          <w:rFonts w:ascii="Arial" w:hAnsi="Arial" w:cs="Arial"/>
          <w:color w:val="000000" w:themeColor="text1"/>
          <w:sz w:val="22"/>
        </w:rPr>
        <w:t>eto del Proceso de Contratación».</w:t>
      </w:r>
    </w:p>
    <w:p w14:paraId="6D4627E3" w14:textId="7D0D7E12" w:rsidR="00C645B4" w:rsidRPr="00211099" w:rsidRDefault="00C645B4" w:rsidP="00C60CA1">
      <w:pPr>
        <w:spacing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Así mismo,</w:t>
      </w:r>
      <w:r w:rsidR="006B4A8B" w:rsidRPr="00211099">
        <w:rPr>
          <w:rFonts w:ascii="Arial" w:hAnsi="Arial" w:cs="Arial"/>
          <w:color w:val="000000" w:themeColor="text1"/>
          <w:sz w:val="22"/>
        </w:rPr>
        <w:t xml:space="preserve"> el Manual precisó</w:t>
      </w:r>
      <w:r w:rsidRPr="00211099">
        <w:rPr>
          <w:rFonts w:ascii="Arial" w:hAnsi="Arial" w:cs="Arial"/>
          <w:color w:val="000000" w:themeColor="text1"/>
          <w:sz w:val="22"/>
        </w:rPr>
        <w:t xml:space="preserve"> el alcance y contenido de cada uno de ellos, como a continuación se expone brevemente:</w:t>
      </w:r>
    </w:p>
    <w:p w14:paraId="4A75566B" w14:textId="52D9FFCF" w:rsidR="00C645B4" w:rsidRPr="00211099" w:rsidRDefault="00C645B4" w:rsidP="00C60CA1">
      <w:pPr>
        <w:spacing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 xml:space="preserve">La capacidad jurídica </w:t>
      </w:r>
      <w:r w:rsidR="003D0511" w:rsidRPr="00211099">
        <w:rPr>
          <w:rFonts w:ascii="Arial" w:hAnsi="Arial" w:cs="Arial"/>
          <w:color w:val="000000" w:themeColor="text1"/>
          <w:sz w:val="22"/>
        </w:rPr>
        <w:t>es la facultad que tiene una persona natural o jurídica o una forma asociativa para celebrar con</w:t>
      </w:r>
      <w:r w:rsidR="00BC1A9A" w:rsidRPr="00211099">
        <w:rPr>
          <w:rFonts w:ascii="Arial" w:hAnsi="Arial" w:cs="Arial"/>
          <w:color w:val="000000" w:themeColor="text1"/>
          <w:sz w:val="22"/>
        </w:rPr>
        <w:t xml:space="preserve">tratos con una entidad estatal. Ello supone, por un lado, la facultad para obligarse a cumplir el objeto del contrato y, por otro lado, no estar incurso en inhabilidades o incompatibilidades que impidan la celebración del contrato. Respecto de </w:t>
      </w:r>
      <w:r w:rsidR="00BC1A9A" w:rsidRPr="00211099">
        <w:rPr>
          <w:rFonts w:ascii="Arial" w:hAnsi="Arial" w:cs="Arial"/>
          <w:color w:val="000000" w:themeColor="text1"/>
          <w:sz w:val="22"/>
        </w:rPr>
        <w:lastRenderedPageBreak/>
        <w:t xml:space="preserve">las personas naturales, la capacidad jurídica </w:t>
      </w:r>
      <w:r w:rsidR="00D904C6" w:rsidRPr="00211099">
        <w:rPr>
          <w:rFonts w:ascii="Arial" w:hAnsi="Arial" w:cs="Arial"/>
          <w:color w:val="000000" w:themeColor="text1"/>
          <w:sz w:val="22"/>
        </w:rPr>
        <w:t>se adquiere</w:t>
      </w:r>
      <w:r w:rsidR="006B4A8B" w:rsidRPr="00211099">
        <w:rPr>
          <w:rFonts w:ascii="Arial" w:hAnsi="Arial" w:cs="Arial"/>
          <w:color w:val="000000" w:themeColor="text1"/>
          <w:sz w:val="22"/>
        </w:rPr>
        <w:t xml:space="preserve"> a partir</w:t>
      </w:r>
      <w:r w:rsidR="00BC1A9A" w:rsidRPr="00211099">
        <w:rPr>
          <w:rFonts w:ascii="Arial" w:hAnsi="Arial" w:cs="Arial"/>
          <w:color w:val="000000" w:themeColor="text1"/>
          <w:sz w:val="22"/>
        </w:rPr>
        <w:t xml:space="preserve"> de los 18 años</w:t>
      </w:r>
      <w:r w:rsidR="00B55CDA" w:rsidRPr="00211099">
        <w:rPr>
          <w:rFonts w:ascii="Arial" w:hAnsi="Arial" w:cs="Arial"/>
          <w:color w:val="000000" w:themeColor="text1"/>
          <w:sz w:val="22"/>
        </w:rPr>
        <w:t>,</w:t>
      </w:r>
      <w:r w:rsidR="00D904C6" w:rsidRPr="00211099">
        <w:rPr>
          <w:rFonts w:ascii="Arial" w:hAnsi="Arial" w:cs="Arial"/>
          <w:color w:val="000000" w:themeColor="text1"/>
          <w:sz w:val="22"/>
        </w:rPr>
        <w:t xml:space="preserve"> a menos que </w:t>
      </w:r>
      <w:r w:rsidR="00AE3FC6" w:rsidRPr="00211099">
        <w:rPr>
          <w:rFonts w:ascii="Arial" w:hAnsi="Arial" w:cs="Arial"/>
          <w:color w:val="000000" w:themeColor="text1"/>
          <w:sz w:val="22"/>
        </w:rPr>
        <w:t>su capacidad haya sido expresamente limitada, como es el caso de la interdicción judicial</w:t>
      </w:r>
      <w:r w:rsidR="00BC1A9A" w:rsidRPr="00211099">
        <w:rPr>
          <w:rFonts w:ascii="Arial" w:hAnsi="Arial" w:cs="Arial"/>
          <w:color w:val="000000" w:themeColor="text1"/>
          <w:sz w:val="22"/>
        </w:rPr>
        <w:t>. Por su parte, la capacidad de las personas jurídica</w:t>
      </w:r>
      <w:r w:rsidR="00B55CDA" w:rsidRPr="00211099">
        <w:rPr>
          <w:rFonts w:ascii="Arial" w:hAnsi="Arial" w:cs="Arial"/>
          <w:color w:val="000000" w:themeColor="text1"/>
          <w:sz w:val="22"/>
        </w:rPr>
        <w:t>s</w:t>
      </w:r>
      <w:r w:rsidR="00BC1A9A" w:rsidRPr="00211099">
        <w:rPr>
          <w:rFonts w:ascii="Arial" w:hAnsi="Arial" w:cs="Arial"/>
          <w:color w:val="000000" w:themeColor="text1"/>
          <w:sz w:val="22"/>
        </w:rPr>
        <w:t xml:space="preserve"> tiene que ver con </w:t>
      </w:r>
      <w:r w:rsidR="006B4A8B" w:rsidRPr="00211099">
        <w:rPr>
          <w:rFonts w:ascii="Arial" w:hAnsi="Arial" w:cs="Arial"/>
          <w:color w:val="000000" w:themeColor="text1"/>
          <w:sz w:val="22"/>
        </w:rPr>
        <w:t>la posibilidad de adelantar</w:t>
      </w:r>
      <w:r w:rsidR="00BC1A9A" w:rsidRPr="00211099">
        <w:rPr>
          <w:rFonts w:ascii="Arial" w:hAnsi="Arial" w:cs="Arial"/>
          <w:color w:val="000000" w:themeColor="text1"/>
          <w:sz w:val="22"/>
        </w:rPr>
        <w:t xml:space="preserve"> actividades relacionadas en su objeto social y las facultades de su representante legal, con </w:t>
      </w:r>
      <w:r w:rsidR="00455617" w:rsidRPr="00211099">
        <w:rPr>
          <w:rFonts w:ascii="Arial" w:hAnsi="Arial" w:cs="Arial"/>
          <w:color w:val="000000" w:themeColor="text1"/>
          <w:sz w:val="22"/>
        </w:rPr>
        <w:t>las</w:t>
      </w:r>
      <w:r w:rsidR="00BC1A9A" w:rsidRPr="00211099">
        <w:rPr>
          <w:rFonts w:ascii="Arial" w:hAnsi="Arial" w:cs="Arial"/>
          <w:color w:val="000000" w:themeColor="text1"/>
          <w:sz w:val="22"/>
        </w:rPr>
        <w:t xml:space="preserve"> respectivas autorizaciones del órgano societario</w:t>
      </w:r>
      <w:r w:rsidR="006B4A8B" w:rsidRPr="00211099">
        <w:rPr>
          <w:rFonts w:ascii="Arial" w:hAnsi="Arial" w:cs="Arial"/>
          <w:color w:val="000000" w:themeColor="text1"/>
          <w:sz w:val="22"/>
        </w:rPr>
        <w:t>, si es necesario.</w:t>
      </w:r>
      <w:r w:rsidR="00AE3FC6" w:rsidRPr="00211099">
        <w:rPr>
          <w:rFonts w:ascii="Arial" w:hAnsi="Arial" w:cs="Arial"/>
          <w:color w:val="000000" w:themeColor="text1"/>
          <w:sz w:val="22"/>
        </w:rPr>
        <w:t xml:space="preserve"> </w:t>
      </w:r>
    </w:p>
    <w:p w14:paraId="39C2F522" w14:textId="50003FEF" w:rsidR="00BC1A9A" w:rsidRPr="00211099" w:rsidRDefault="00BC1A9A" w:rsidP="00952171">
      <w:pPr>
        <w:spacing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L</w:t>
      </w:r>
      <w:r w:rsidR="006B4A8B" w:rsidRPr="00211099">
        <w:rPr>
          <w:rFonts w:ascii="Arial" w:hAnsi="Arial" w:cs="Arial"/>
          <w:color w:val="000000" w:themeColor="text1"/>
          <w:sz w:val="22"/>
        </w:rPr>
        <w:t>a experiencia es definida como «el conocimiento del proponente derivado de su participación previa en actividades iguales o similares a las previstas en el objeto del contrato». Debe ser adecuada y proporcional a la naturaleza del contrato y su valor, es decir, tiene que ser a</w:t>
      </w:r>
      <w:r w:rsidR="00455617" w:rsidRPr="00211099">
        <w:rPr>
          <w:rFonts w:ascii="Arial" w:hAnsi="Arial" w:cs="Arial"/>
          <w:color w:val="000000" w:themeColor="text1"/>
          <w:sz w:val="22"/>
        </w:rPr>
        <w:t>fí</w:t>
      </w:r>
      <w:r w:rsidR="006B4A8B" w:rsidRPr="00211099">
        <w:rPr>
          <w:rFonts w:ascii="Arial" w:hAnsi="Arial" w:cs="Arial"/>
          <w:color w:val="000000" w:themeColor="text1"/>
          <w:sz w:val="22"/>
        </w:rPr>
        <w:t>n</w:t>
      </w:r>
      <w:r w:rsidR="00466BDD" w:rsidRPr="00211099">
        <w:rPr>
          <w:rFonts w:ascii="Arial" w:hAnsi="Arial" w:cs="Arial"/>
          <w:color w:val="000000" w:themeColor="text1"/>
          <w:sz w:val="22"/>
        </w:rPr>
        <w:t xml:space="preserve"> </w:t>
      </w:r>
      <w:r w:rsidR="006B4A8B" w:rsidRPr="00211099">
        <w:rPr>
          <w:rFonts w:ascii="Arial" w:hAnsi="Arial" w:cs="Arial"/>
          <w:color w:val="000000" w:themeColor="text1"/>
          <w:sz w:val="22"/>
        </w:rPr>
        <w:t xml:space="preserve">al tipo de actividades previstas en el objeto del contrato a celebrar y tener relación con el alcance, la cuantía y complejidad </w:t>
      </w:r>
      <w:proofErr w:type="gramStart"/>
      <w:r w:rsidR="006B4A8B" w:rsidRPr="00211099">
        <w:rPr>
          <w:rFonts w:ascii="Arial" w:hAnsi="Arial" w:cs="Arial"/>
          <w:color w:val="000000" w:themeColor="text1"/>
          <w:sz w:val="22"/>
        </w:rPr>
        <w:t xml:space="preserve">del </w:t>
      </w:r>
      <w:r w:rsidR="00455617" w:rsidRPr="00211099">
        <w:rPr>
          <w:rFonts w:ascii="Arial" w:hAnsi="Arial" w:cs="Arial"/>
          <w:color w:val="000000" w:themeColor="text1"/>
          <w:sz w:val="22"/>
        </w:rPr>
        <w:t>mismo</w:t>
      </w:r>
      <w:proofErr w:type="gramEnd"/>
      <w:r w:rsidR="00AE3FC6" w:rsidRPr="00211099">
        <w:rPr>
          <w:rFonts w:ascii="Arial" w:hAnsi="Arial" w:cs="Arial"/>
          <w:color w:val="000000" w:themeColor="text1"/>
          <w:sz w:val="22"/>
        </w:rPr>
        <w:t xml:space="preserve">. Igualmente, </w:t>
      </w:r>
      <w:r w:rsidR="00466BDD" w:rsidRPr="00211099">
        <w:rPr>
          <w:rStyle w:val="normaltextrun"/>
          <w:rFonts w:ascii="Arial" w:hAnsi="Arial" w:cs="Arial"/>
          <w:color w:val="000000" w:themeColor="text1"/>
          <w:sz w:val="22"/>
        </w:rPr>
        <w:t xml:space="preserve">debe inscribirse, renovarse o actualizarse en el RUP, pues en dicho documento se verifica </w:t>
      </w:r>
      <w:r w:rsidR="00D904C6" w:rsidRPr="00211099">
        <w:rPr>
          <w:rStyle w:val="normaltextrun"/>
          <w:rFonts w:ascii="Arial" w:hAnsi="Arial" w:cs="Arial"/>
          <w:color w:val="000000" w:themeColor="text1"/>
          <w:sz w:val="22"/>
        </w:rPr>
        <w:t>cuando e</w:t>
      </w:r>
      <w:r w:rsidR="00466BDD" w:rsidRPr="00211099">
        <w:rPr>
          <w:rStyle w:val="normaltextrun"/>
          <w:rFonts w:ascii="Arial" w:hAnsi="Arial" w:cs="Arial"/>
          <w:color w:val="000000" w:themeColor="text1"/>
          <w:sz w:val="22"/>
        </w:rPr>
        <w:t xml:space="preserve">ste sea exigible. </w:t>
      </w:r>
    </w:p>
    <w:p w14:paraId="68978D33" w14:textId="102AD209" w:rsidR="00C645B4" w:rsidRPr="00211099" w:rsidRDefault="00466BDD" w:rsidP="00952171">
      <w:pPr>
        <w:spacing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 xml:space="preserve">Con la capacidad financiera se busca verificar que el proponente cuenta con </w:t>
      </w:r>
      <w:r w:rsidR="00E67F50" w:rsidRPr="00211099">
        <w:rPr>
          <w:rFonts w:ascii="Arial" w:hAnsi="Arial" w:cs="Arial"/>
          <w:color w:val="000000" w:themeColor="text1"/>
          <w:sz w:val="22"/>
        </w:rPr>
        <w:t xml:space="preserve">indicadores financieros adecuados para el cumplimiento oportuno y cabal del objeto contractual. Esta capacidad se determina a través de índices de liquidez y de endeudamiento y la entidad estatal revisará la necesidad de solicitar indicadores adicionales en los casos en que, por las características del objeto a contratar, y la complejidad y naturaleza </w:t>
      </w:r>
      <w:proofErr w:type="gramStart"/>
      <w:r w:rsidR="00E67F50" w:rsidRPr="00211099">
        <w:rPr>
          <w:rFonts w:ascii="Arial" w:hAnsi="Arial" w:cs="Arial"/>
          <w:color w:val="000000" w:themeColor="text1"/>
          <w:sz w:val="22"/>
        </w:rPr>
        <w:t>del mismo</w:t>
      </w:r>
      <w:proofErr w:type="gramEnd"/>
      <w:r w:rsidR="00E67F50" w:rsidRPr="00211099">
        <w:rPr>
          <w:rFonts w:ascii="Arial" w:hAnsi="Arial" w:cs="Arial"/>
          <w:color w:val="000000" w:themeColor="text1"/>
          <w:sz w:val="22"/>
        </w:rPr>
        <w:t xml:space="preserve">, amerite establecerlos. Para tales efectos, las entidades estatales no deben limitarse a determinar y aplicar de forma mecánica fórmulas financieras para </w:t>
      </w:r>
      <w:r w:rsidR="00AE3FC6" w:rsidRPr="00211099">
        <w:rPr>
          <w:rFonts w:ascii="Arial" w:hAnsi="Arial" w:cs="Arial"/>
          <w:color w:val="000000" w:themeColor="text1"/>
          <w:sz w:val="22"/>
        </w:rPr>
        <w:t xml:space="preserve">determinar los indicadores. </w:t>
      </w:r>
    </w:p>
    <w:p w14:paraId="6A363F01" w14:textId="1DD741AC" w:rsidR="00AE2865" w:rsidRPr="00211099" w:rsidRDefault="0080771F" w:rsidP="00952171">
      <w:pPr>
        <w:spacing w:before="120"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L</w:t>
      </w:r>
      <w:r w:rsidR="00E67F50" w:rsidRPr="00211099">
        <w:rPr>
          <w:rFonts w:ascii="Arial" w:hAnsi="Arial" w:cs="Arial"/>
          <w:color w:val="000000" w:themeColor="text1"/>
          <w:sz w:val="22"/>
        </w:rPr>
        <w:t>a capacidad organizacional se refiere a «la aptitud de un proponente para cumplir oportuna y cabalmente el objeto del contrato en función de su organización interna».</w:t>
      </w:r>
      <w:r w:rsidR="00AE3FC6" w:rsidRPr="00211099">
        <w:rPr>
          <w:rFonts w:ascii="Arial" w:hAnsi="Arial" w:cs="Arial"/>
          <w:color w:val="000000" w:themeColor="text1"/>
          <w:sz w:val="22"/>
        </w:rPr>
        <w:t xml:space="preserve"> Los indicadores de rentabilidad sobre patrimonio y rentabilidad sobre activos fueron establecidos por el artículo </w:t>
      </w:r>
      <w:r w:rsidR="00211099">
        <w:rPr>
          <w:rFonts w:ascii="Arial" w:hAnsi="Arial" w:cs="Arial"/>
          <w:color w:val="000000" w:themeColor="text1"/>
          <w:sz w:val="22"/>
        </w:rPr>
        <w:t>2.2.1.1.1.5.3</w:t>
      </w:r>
      <w:r w:rsidR="00AE3FC6" w:rsidRPr="00211099">
        <w:rPr>
          <w:rFonts w:ascii="Arial" w:hAnsi="Arial" w:cs="Arial"/>
          <w:color w:val="000000" w:themeColor="text1"/>
          <w:sz w:val="22"/>
        </w:rPr>
        <w:t xml:space="preserve"> del Decreto 1082 de 2015</w:t>
      </w:r>
      <w:r w:rsidR="00455617" w:rsidRPr="00211099">
        <w:rPr>
          <w:rFonts w:ascii="Arial" w:hAnsi="Arial" w:cs="Arial"/>
          <w:color w:val="000000" w:themeColor="text1"/>
          <w:sz w:val="22"/>
        </w:rPr>
        <w:t>,</w:t>
      </w:r>
      <w:r w:rsidR="00AE3FC6" w:rsidRPr="00211099">
        <w:rPr>
          <w:rFonts w:ascii="Arial" w:hAnsi="Arial" w:cs="Arial"/>
          <w:color w:val="000000" w:themeColor="text1"/>
          <w:sz w:val="22"/>
        </w:rPr>
        <w:t xml:space="preserve"> </w:t>
      </w:r>
      <w:r w:rsidR="00455617" w:rsidRPr="00211099">
        <w:rPr>
          <w:rFonts w:ascii="Arial" w:hAnsi="Arial" w:cs="Arial"/>
          <w:color w:val="000000" w:themeColor="text1"/>
          <w:sz w:val="22"/>
        </w:rPr>
        <w:t>con la finalidad</w:t>
      </w:r>
      <w:r w:rsidR="00AE3FC6" w:rsidRPr="00211099">
        <w:rPr>
          <w:rFonts w:ascii="Arial" w:hAnsi="Arial" w:cs="Arial"/>
          <w:color w:val="000000" w:themeColor="text1"/>
          <w:sz w:val="22"/>
        </w:rPr>
        <w:t xml:space="preserve"> </w:t>
      </w:r>
      <w:r w:rsidR="002868DE">
        <w:rPr>
          <w:rFonts w:ascii="Arial" w:hAnsi="Arial" w:cs="Arial"/>
          <w:color w:val="000000" w:themeColor="text1"/>
          <w:sz w:val="22"/>
        </w:rPr>
        <w:t xml:space="preserve">de </w:t>
      </w:r>
      <w:r w:rsidR="00AE3FC6" w:rsidRPr="00211099">
        <w:rPr>
          <w:rFonts w:ascii="Arial" w:hAnsi="Arial" w:cs="Arial"/>
          <w:color w:val="000000" w:themeColor="text1"/>
          <w:sz w:val="22"/>
        </w:rPr>
        <w:t>medir el rendimiento de las inversiones y la eficiencia en el uso de activos del interesado</w:t>
      </w:r>
      <w:r w:rsidR="00AE2865" w:rsidRPr="00211099">
        <w:rPr>
          <w:rFonts w:ascii="Arial" w:hAnsi="Arial" w:cs="Arial"/>
          <w:color w:val="000000" w:themeColor="text1"/>
          <w:sz w:val="22"/>
        </w:rPr>
        <w:t>.</w:t>
      </w:r>
    </w:p>
    <w:p w14:paraId="4DEECF76" w14:textId="762F6BB6" w:rsidR="00C645B4" w:rsidRPr="00211099" w:rsidRDefault="00AE2865" w:rsidP="00952171">
      <w:pPr>
        <w:spacing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P</w:t>
      </w:r>
      <w:r w:rsidR="009D672C" w:rsidRPr="00211099">
        <w:rPr>
          <w:rFonts w:ascii="Arial" w:hAnsi="Arial" w:cs="Arial"/>
          <w:color w:val="000000" w:themeColor="text1"/>
          <w:sz w:val="22"/>
        </w:rPr>
        <w:t>ara la determinaci</w:t>
      </w:r>
      <w:r w:rsidRPr="00211099">
        <w:rPr>
          <w:rFonts w:ascii="Arial" w:hAnsi="Arial" w:cs="Arial"/>
          <w:color w:val="000000" w:themeColor="text1"/>
          <w:sz w:val="22"/>
        </w:rPr>
        <w:t>ón de los</w:t>
      </w:r>
      <w:r w:rsidR="009D672C" w:rsidRPr="00211099">
        <w:rPr>
          <w:rFonts w:ascii="Arial" w:hAnsi="Arial" w:cs="Arial"/>
          <w:color w:val="000000" w:themeColor="text1"/>
          <w:sz w:val="22"/>
        </w:rPr>
        <w:t xml:space="preserve"> requisitos habilitantes, el artículo 2.2.1.1.1.6.2 del Decreto 1082 de 2015 </w:t>
      </w:r>
      <w:r w:rsidR="00957AA9" w:rsidRPr="00211099">
        <w:rPr>
          <w:rFonts w:ascii="Arial" w:hAnsi="Arial" w:cs="Arial"/>
          <w:color w:val="000000" w:themeColor="text1"/>
          <w:sz w:val="22"/>
        </w:rPr>
        <w:t xml:space="preserve">establece que </w:t>
      </w:r>
      <w:r w:rsidR="009D672C" w:rsidRPr="00211099">
        <w:rPr>
          <w:rFonts w:ascii="Arial" w:hAnsi="Arial" w:cs="Arial"/>
          <w:color w:val="000000" w:themeColor="text1"/>
          <w:sz w:val="22"/>
        </w:rPr>
        <w:t>la entidad estatal debe tener en cuenta el riesgo del p</w:t>
      </w:r>
      <w:r w:rsidR="006767A2" w:rsidRPr="00211099">
        <w:rPr>
          <w:rFonts w:ascii="Arial" w:hAnsi="Arial" w:cs="Arial"/>
          <w:color w:val="000000" w:themeColor="text1"/>
          <w:sz w:val="22"/>
        </w:rPr>
        <w:t>roceso de c</w:t>
      </w:r>
      <w:r w:rsidR="00957AA9" w:rsidRPr="00211099">
        <w:rPr>
          <w:rFonts w:ascii="Arial" w:hAnsi="Arial" w:cs="Arial"/>
          <w:color w:val="000000" w:themeColor="text1"/>
          <w:sz w:val="22"/>
        </w:rPr>
        <w:t>ontratación</w:t>
      </w:r>
      <w:r w:rsidR="007947F0">
        <w:rPr>
          <w:rFonts w:ascii="Arial" w:hAnsi="Arial" w:cs="Arial"/>
          <w:color w:val="000000" w:themeColor="text1"/>
          <w:sz w:val="22"/>
        </w:rPr>
        <w:t>,</w:t>
      </w:r>
      <w:r w:rsidR="009D672C" w:rsidRPr="00211099">
        <w:rPr>
          <w:rFonts w:ascii="Arial" w:hAnsi="Arial" w:cs="Arial"/>
          <w:color w:val="000000" w:themeColor="text1"/>
          <w:sz w:val="22"/>
        </w:rPr>
        <w:t xml:space="preserve"> el valor del contrato objeto del proceso de contratación</w:t>
      </w:r>
      <w:r w:rsidR="007947F0">
        <w:rPr>
          <w:rFonts w:ascii="Arial" w:hAnsi="Arial" w:cs="Arial"/>
          <w:color w:val="000000" w:themeColor="text1"/>
          <w:sz w:val="22"/>
        </w:rPr>
        <w:t>,</w:t>
      </w:r>
      <w:r w:rsidR="009D672C" w:rsidRPr="00211099">
        <w:rPr>
          <w:rFonts w:ascii="Arial" w:hAnsi="Arial" w:cs="Arial"/>
          <w:color w:val="000000" w:themeColor="text1"/>
          <w:sz w:val="22"/>
        </w:rPr>
        <w:t xml:space="preserve"> el análisis del sector económico respectivo y el conocimiento de fondo de los posibles oferentes desde la perspectiva comercial. </w:t>
      </w:r>
      <w:r w:rsidR="00C645B4" w:rsidRPr="00211099">
        <w:rPr>
          <w:rFonts w:ascii="Arial" w:hAnsi="Arial" w:cs="Arial"/>
          <w:color w:val="000000" w:themeColor="text1"/>
          <w:sz w:val="22"/>
        </w:rPr>
        <w:t>En concordancia con lo anterior, en virtud del principio de transparencia contenido en la Ley 80 de 1993, las entidades estatales deben plasmar dentro de la estructuración de los pliegos de condiciones requisitos objetivos para participar en el proceso de contratación, indicando reglas objetivas, justas, claras y completas que permitan la confección de ofrecimientos de la misma índole, garantizando la selección objetiva.</w:t>
      </w:r>
    </w:p>
    <w:p w14:paraId="4F36B979" w14:textId="111FBD2A" w:rsidR="00CD6F0A" w:rsidRPr="00211099" w:rsidRDefault="00CD6F0A" w:rsidP="00952171">
      <w:pPr>
        <w:spacing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lastRenderedPageBreak/>
        <w:t>En este punto, vale la pena precisar que, como ya se ha reiterado por esta Subdirección</w:t>
      </w:r>
      <w:r w:rsidRPr="00211099">
        <w:rPr>
          <w:rStyle w:val="Refdenotaalpie"/>
          <w:rFonts w:ascii="Arial" w:hAnsi="Arial" w:cs="Arial"/>
          <w:color w:val="000000" w:themeColor="text1"/>
          <w:sz w:val="22"/>
        </w:rPr>
        <w:footnoteReference w:id="5"/>
      </w:r>
      <w:r w:rsidRPr="00211099">
        <w:rPr>
          <w:rFonts w:ascii="Arial" w:hAnsi="Arial" w:cs="Arial"/>
          <w:color w:val="000000" w:themeColor="text1"/>
          <w:sz w:val="22"/>
        </w:rPr>
        <w:t xml:space="preserve">, los requisitos habilitantes mencionados en el numeral 1 del artículo 5 de la Ley 1150 de 2007 son enunciativos y no taxativos, pues </w:t>
      </w:r>
      <w:r w:rsidR="00455617" w:rsidRPr="00211099">
        <w:rPr>
          <w:rFonts w:ascii="Arial" w:hAnsi="Arial" w:cs="Arial"/>
          <w:color w:val="000000" w:themeColor="text1"/>
          <w:sz w:val="22"/>
        </w:rPr>
        <w:t xml:space="preserve">con fundamento en </w:t>
      </w:r>
      <w:r w:rsidRPr="00211099">
        <w:rPr>
          <w:rFonts w:ascii="Arial" w:hAnsi="Arial" w:cs="Arial"/>
          <w:color w:val="000000" w:themeColor="text1"/>
          <w:sz w:val="22"/>
        </w:rPr>
        <w:t xml:space="preserve">el principio de la autonomía de la voluntad, aplicable en materia de contratación pública, las entidades estatales pueden solicitar requisitos habilitantes adicionales o diferentes a los establecidos en dicha norma. De esta manera, las entidades son autónomas en la elaboración de sus procesos de contratación, </w:t>
      </w:r>
      <w:proofErr w:type="gramStart"/>
      <w:r w:rsidRPr="00211099">
        <w:rPr>
          <w:rFonts w:ascii="Arial" w:hAnsi="Arial" w:cs="Arial"/>
          <w:color w:val="000000" w:themeColor="text1"/>
          <w:sz w:val="22"/>
        </w:rPr>
        <w:t>y</w:t>
      </w:r>
      <w:proofErr w:type="gramEnd"/>
      <w:r w:rsidRPr="00211099">
        <w:rPr>
          <w:rFonts w:ascii="Arial" w:hAnsi="Arial" w:cs="Arial"/>
          <w:color w:val="000000" w:themeColor="text1"/>
          <w:sz w:val="22"/>
        </w:rPr>
        <w:t xml:space="preserve"> por consiguiente, son las responsables de determinar los requisitos que permitirán escoger la oferta más favorable.</w:t>
      </w:r>
    </w:p>
    <w:p w14:paraId="4CBECFCD" w14:textId="17AEB462" w:rsidR="00CD6F0A" w:rsidRPr="00211099" w:rsidRDefault="00CD6F0A" w:rsidP="00952171">
      <w:pPr>
        <w:spacing w:before="120" w:after="120" w:line="276" w:lineRule="auto"/>
        <w:ind w:firstLine="709"/>
        <w:jc w:val="both"/>
        <w:rPr>
          <w:rFonts w:ascii="Arial" w:hAnsi="Arial" w:cs="Arial"/>
          <w:color w:val="000000" w:themeColor="text1"/>
          <w:sz w:val="22"/>
        </w:rPr>
      </w:pPr>
      <w:r w:rsidRPr="00211099">
        <w:rPr>
          <w:rFonts w:ascii="Arial" w:hAnsi="Arial" w:cs="Arial"/>
          <w:color w:val="000000" w:themeColor="text1"/>
          <w:sz w:val="22"/>
        </w:rPr>
        <w:t xml:space="preserve">No obstante, aunque gozan de un margen de discrecionalidad en la configuración de los pliegos de condiciones, es claro </w:t>
      </w:r>
      <w:r w:rsidR="00455617" w:rsidRPr="00211099">
        <w:rPr>
          <w:rFonts w:ascii="Arial" w:hAnsi="Arial" w:cs="Arial"/>
          <w:color w:val="000000" w:themeColor="text1"/>
          <w:sz w:val="22"/>
        </w:rPr>
        <w:t xml:space="preserve">que </w:t>
      </w:r>
      <w:r w:rsidRPr="00211099">
        <w:rPr>
          <w:rFonts w:ascii="Arial" w:hAnsi="Arial" w:cs="Arial"/>
          <w:color w:val="000000" w:themeColor="text1"/>
          <w:sz w:val="22"/>
        </w:rPr>
        <w:t xml:space="preserve">los requisitos habitantes que soliciten deben </w:t>
      </w:r>
      <w:proofErr w:type="gramStart"/>
      <w:r w:rsidR="00CB06C2" w:rsidRPr="00211099">
        <w:rPr>
          <w:rFonts w:ascii="Arial" w:hAnsi="Arial" w:cs="Arial"/>
          <w:color w:val="000000" w:themeColor="text1"/>
          <w:sz w:val="22"/>
        </w:rPr>
        <w:t>enmarcarse</w:t>
      </w:r>
      <w:r w:rsidRPr="00211099">
        <w:rPr>
          <w:rFonts w:ascii="Arial" w:hAnsi="Arial" w:cs="Arial"/>
          <w:color w:val="000000" w:themeColor="text1"/>
          <w:sz w:val="22"/>
        </w:rPr>
        <w:t xml:space="preserve"> </w:t>
      </w:r>
      <w:r w:rsidR="00455617" w:rsidRPr="00211099">
        <w:rPr>
          <w:rFonts w:ascii="Arial" w:hAnsi="Arial" w:cs="Arial"/>
          <w:color w:val="000000" w:themeColor="text1"/>
          <w:sz w:val="22"/>
        </w:rPr>
        <w:t>dentro de</w:t>
      </w:r>
      <w:proofErr w:type="gramEnd"/>
      <w:r w:rsidRPr="00211099">
        <w:rPr>
          <w:rFonts w:ascii="Arial" w:hAnsi="Arial" w:cs="Arial"/>
          <w:color w:val="000000" w:themeColor="text1"/>
          <w:sz w:val="22"/>
        </w:rPr>
        <w:t xml:space="preserve"> los parámetros de los principios de </w:t>
      </w:r>
      <w:r w:rsidR="00CB06C2" w:rsidRPr="00211099">
        <w:rPr>
          <w:rFonts w:ascii="Arial" w:hAnsi="Arial" w:cs="Arial"/>
          <w:color w:val="000000" w:themeColor="text1"/>
          <w:sz w:val="22"/>
        </w:rPr>
        <w:t xml:space="preserve">planeación, </w:t>
      </w:r>
      <w:r w:rsidRPr="00211099">
        <w:rPr>
          <w:rFonts w:ascii="Arial" w:hAnsi="Arial" w:cs="Arial"/>
          <w:color w:val="000000" w:themeColor="text1"/>
          <w:sz w:val="22"/>
        </w:rPr>
        <w:t>selecci</w:t>
      </w:r>
      <w:r w:rsidR="00CB06C2" w:rsidRPr="00211099">
        <w:rPr>
          <w:rFonts w:ascii="Arial" w:hAnsi="Arial" w:cs="Arial"/>
          <w:color w:val="000000" w:themeColor="text1"/>
          <w:sz w:val="22"/>
        </w:rPr>
        <w:t>ón objetiva y trasparencia</w:t>
      </w:r>
      <w:r w:rsidR="00455617" w:rsidRPr="00211099">
        <w:rPr>
          <w:rFonts w:ascii="Arial" w:hAnsi="Arial" w:cs="Arial"/>
          <w:color w:val="000000" w:themeColor="text1"/>
          <w:sz w:val="22"/>
        </w:rPr>
        <w:t>,</w:t>
      </w:r>
      <w:r w:rsidRPr="00211099">
        <w:rPr>
          <w:rFonts w:ascii="Arial" w:hAnsi="Arial" w:cs="Arial"/>
          <w:color w:val="000000" w:themeColor="text1"/>
          <w:sz w:val="22"/>
        </w:rPr>
        <w:t xml:space="preserve"> establecidos en la Ley</w:t>
      </w:r>
      <w:r w:rsidR="00CB06C2" w:rsidRPr="00211099">
        <w:rPr>
          <w:rFonts w:ascii="Arial" w:hAnsi="Arial" w:cs="Arial"/>
          <w:color w:val="000000" w:themeColor="text1"/>
          <w:sz w:val="22"/>
        </w:rPr>
        <w:t xml:space="preserve"> y el Decreto 1082 de 2015</w:t>
      </w:r>
      <w:r w:rsidR="00290AA5" w:rsidRPr="00211099">
        <w:rPr>
          <w:rFonts w:ascii="Arial" w:hAnsi="Arial" w:cs="Arial"/>
          <w:color w:val="000000" w:themeColor="text1"/>
          <w:sz w:val="22"/>
        </w:rPr>
        <w:t xml:space="preserve">. </w:t>
      </w:r>
    </w:p>
    <w:p w14:paraId="5B8074F0" w14:textId="4B737B0B" w:rsidR="00AE2865" w:rsidRPr="00211099" w:rsidRDefault="0010004D" w:rsidP="005D55F3">
      <w:pPr>
        <w:spacing w:before="120" w:after="120" w:line="276" w:lineRule="auto"/>
        <w:ind w:firstLine="709"/>
        <w:jc w:val="both"/>
        <w:rPr>
          <w:rFonts w:ascii="ArialMT" w:eastAsia="Times New Roman" w:hAnsi="ArialMT" w:cs="Times New Roman"/>
          <w:color w:val="000000" w:themeColor="text1"/>
          <w:sz w:val="22"/>
          <w:lang w:eastAsia="es-ES_tradnl"/>
        </w:rPr>
      </w:pPr>
      <w:r w:rsidRPr="00211099">
        <w:rPr>
          <w:rFonts w:ascii="ArialMT" w:eastAsia="Times New Roman" w:hAnsi="ArialMT" w:cs="Times New Roman"/>
          <w:color w:val="000000" w:themeColor="text1"/>
          <w:sz w:val="22"/>
          <w:lang w:eastAsia="es-ES_tradnl"/>
        </w:rPr>
        <w:t xml:space="preserve">En este </w:t>
      </w:r>
      <w:r w:rsidR="001656CC" w:rsidRPr="00211099">
        <w:rPr>
          <w:rFonts w:ascii="ArialMT" w:eastAsia="Times New Roman" w:hAnsi="ArialMT" w:cs="Times New Roman"/>
          <w:color w:val="000000" w:themeColor="text1"/>
          <w:sz w:val="22"/>
          <w:lang w:eastAsia="es-ES_tradnl"/>
        </w:rPr>
        <w:t>sentido</w:t>
      </w:r>
      <w:r w:rsidRPr="00211099">
        <w:rPr>
          <w:rFonts w:ascii="ArialMT" w:eastAsia="Times New Roman" w:hAnsi="ArialMT" w:cs="Times New Roman"/>
          <w:color w:val="000000" w:themeColor="text1"/>
          <w:sz w:val="22"/>
          <w:lang w:eastAsia="es-ES_tradnl"/>
        </w:rPr>
        <w:t>, corresponde a las entidades estatale</w:t>
      </w:r>
      <w:r w:rsidR="002405D7" w:rsidRPr="00211099">
        <w:rPr>
          <w:rFonts w:ascii="ArialMT" w:eastAsia="Times New Roman" w:hAnsi="ArialMT" w:cs="Times New Roman"/>
          <w:color w:val="000000" w:themeColor="text1"/>
          <w:sz w:val="22"/>
          <w:lang w:eastAsia="es-ES_tradnl"/>
        </w:rPr>
        <w:t>s establecer</w:t>
      </w:r>
      <w:r w:rsidRPr="00211099">
        <w:rPr>
          <w:rFonts w:ascii="ArialMT" w:eastAsia="Times New Roman" w:hAnsi="ArialMT" w:cs="Times New Roman"/>
          <w:color w:val="000000" w:themeColor="text1"/>
          <w:sz w:val="22"/>
          <w:lang w:eastAsia="es-ES_tradnl"/>
        </w:rPr>
        <w:t xml:space="preserve"> </w:t>
      </w:r>
      <w:r w:rsidR="001E12B1" w:rsidRPr="00211099">
        <w:rPr>
          <w:rFonts w:ascii="ArialMT" w:eastAsia="Times New Roman" w:hAnsi="ArialMT" w:cs="Times New Roman"/>
          <w:color w:val="000000" w:themeColor="text1"/>
          <w:sz w:val="22"/>
          <w:lang w:eastAsia="es-ES_tradnl"/>
        </w:rPr>
        <w:t xml:space="preserve">criterios objetivos, </w:t>
      </w:r>
      <w:r w:rsidR="002405D7" w:rsidRPr="00211099">
        <w:rPr>
          <w:rFonts w:ascii="ArialMT" w:eastAsia="Times New Roman" w:hAnsi="ArialMT" w:cs="Times New Roman"/>
          <w:color w:val="000000" w:themeColor="text1"/>
          <w:sz w:val="22"/>
          <w:lang w:eastAsia="es-ES_tradnl"/>
        </w:rPr>
        <w:t xml:space="preserve">los cuales deben ser adecuados y </w:t>
      </w:r>
      <w:proofErr w:type="gramStart"/>
      <w:r w:rsidR="002405D7" w:rsidRPr="00211099">
        <w:rPr>
          <w:rFonts w:ascii="ArialMT" w:eastAsia="Times New Roman" w:hAnsi="ArialMT" w:cs="Times New Roman"/>
          <w:color w:val="000000" w:themeColor="text1"/>
          <w:sz w:val="22"/>
          <w:lang w:eastAsia="es-ES_tradnl"/>
        </w:rPr>
        <w:t>proporcionales</w:t>
      </w:r>
      <w:proofErr w:type="gramEnd"/>
      <w:r w:rsidR="002405D7" w:rsidRPr="00211099">
        <w:rPr>
          <w:rFonts w:ascii="ArialMT" w:eastAsia="Times New Roman" w:hAnsi="ArialMT" w:cs="Times New Roman"/>
          <w:color w:val="000000" w:themeColor="text1"/>
          <w:sz w:val="22"/>
          <w:lang w:eastAsia="es-ES_tradnl"/>
        </w:rPr>
        <w:t xml:space="preserve"> a la naturaleza del contrato a suscribir, </w:t>
      </w:r>
      <w:r w:rsidR="001E12B1" w:rsidRPr="00211099">
        <w:rPr>
          <w:rFonts w:ascii="ArialMT" w:eastAsia="Times New Roman" w:hAnsi="ArialMT" w:cs="Times New Roman"/>
          <w:color w:val="000000" w:themeColor="text1"/>
          <w:sz w:val="22"/>
          <w:lang w:eastAsia="es-ES_tradnl"/>
        </w:rPr>
        <w:t xml:space="preserve">atendiendo </w:t>
      </w:r>
      <w:r w:rsidR="002405D7" w:rsidRPr="00211099">
        <w:rPr>
          <w:rFonts w:ascii="ArialMT" w:eastAsia="Times New Roman" w:hAnsi="ArialMT" w:cs="Times New Roman"/>
          <w:color w:val="000000" w:themeColor="text1"/>
          <w:sz w:val="22"/>
          <w:lang w:eastAsia="es-ES_tradnl"/>
        </w:rPr>
        <w:t xml:space="preserve">a su valor, complejidad, plazo y forma de pago, de manera que se asegure la escogencia objetiva </w:t>
      </w:r>
      <w:r w:rsidR="00AE2865" w:rsidRPr="00211099">
        <w:rPr>
          <w:rFonts w:ascii="ArialMT" w:eastAsia="Times New Roman" w:hAnsi="ArialMT" w:cs="Times New Roman"/>
          <w:color w:val="000000" w:themeColor="text1"/>
          <w:sz w:val="22"/>
          <w:lang w:eastAsia="es-ES_tradnl"/>
        </w:rPr>
        <w:t xml:space="preserve">de la propuesta más favorable. Ello es </w:t>
      </w:r>
      <w:r w:rsidR="000E40D3" w:rsidRPr="00211099">
        <w:rPr>
          <w:rFonts w:ascii="ArialMT" w:eastAsia="Times New Roman" w:hAnsi="ArialMT" w:cs="Times New Roman"/>
          <w:color w:val="000000" w:themeColor="text1"/>
          <w:sz w:val="22"/>
          <w:lang w:eastAsia="es-ES_tradnl"/>
        </w:rPr>
        <w:t>así</w:t>
      </w:r>
      <w:r w:rsidR="00AE2865" w:rsidRPr="00211099">
        <w:rPr>
          <w:rFonts w:ascii="ArialMT" w:eastAsia="Times New Roman" w:hAnsi="ArialMT" w:cs="Times New Roman"/>
          <w:color w:val="000000" w:themeColor="text1"/>
          <w:sz w:val="22"/>
          <w:lang w:eastAsia="es-ES_tradnl"/>
        </w:rPr>
        <w:t xml:space="preserve">, por cuanto </w:t>
      </w:r>
      <w:r w:rsidR="000E40D3" w:rsidRPr="00211099">
        <w:rPr>
          <w:rFonts w:ascii="Arial" w:hAnsi="Arial" w:cs="Arial"/>
          <w:color w:val="000000" w:themeColor="text1"/>
          <w:sz w:val="22"/>
        </w:rPr>
        <w:t>«el ejercicio de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por ejemplo, como el que estable el artículo 5, parágrafo 2, de la Ley 1150 de 2007, relacionado con la prohibición de exigir certificaciones de sistemas de gestión de calidad como requisito habilitante</w:t>
      </w:r>
      <w:r w:rsidR="005D55F3" w:rsidRPr="00211099">
        <w:rPr>
          <w:rFonts w:ascii="Arial" w:eastAsia="Calibri" w:hAnsi="Arial" w:cs="Arial"/>
          <w:color w:val="000000" w:themeColor="text1"/>
          <w:sz w:val="22"/>
        </w:rPr>
        <w:t>»</w:t>
      </w:r>
      <w:r w:rsidR="006767A2" w:rsidRPr="00211099">
        <w:rPr>
          <w:rStyle w:val="Refdenotaalpie"/>
          <w:rFonts w:ascii="Arial" w:hAnsi="Arial" w:cs="Arial"/>
          <w:color w:val="000000" w:themeColor="text1"/>
          <w:sz w:val="22"/>
        </w:rPr>
        <w:footnoteReference w:id="6"/>
      </w:r>
      <w:r w:rsidR="000E40D3" w:rsidRPr="00211099">
        <w:rPr>
          <w:rFonts w:ascii="Arial" w:hAnsi="Arial" w:cs="Arial"/>
          <w:color w:val="000000" w:themeColor="text1"/>
          <w:sz w:val="22"/>
        </w:rPr>
        <w:t>.</w:t>
      </w:r>
    </w:p>
    <w:p w14:paraId="4093A28D" w14:textId="09A8BD3E" w:rsidR="004B0A2B" w:rsidRPr="00211099" w:rsidRDefault="004B0A2B" w:rsidP="005D55F3">
      <w:pPr>
        <w:tabs>
          <w:tab w:val="left" w:pos="426"/>
        </w:tabs>
        <w:spacing w:before="120" w:after="120" w:line="276" w:lineRule="auto"/>
        <w:ind w:right="51" w:firstLine="709"/>
        <w:jc w:val="both"/>
        <w:rPr>
          <w:rFonts w:ascii="Arial" w:hAnsi="Arial" w:cs="Arial"/>
          <w:color w:val="000000" w:themeColor="text1"/>
          <w:sz w:val="22"/>
        </w:rPr>
      </w:pPr>
      <w:r w:rsidRPr="00211099">
        <w:rPr>
          <w:rFonts w:ascii="Arial" w:hAnsi="Arial" w:cs="Arial"/>
          <w:color w:val="000000" w:themeColor="text1"/>
          <w:sz w:val="22"/>
        </w:rPr>
        <w:t xml:space="preserve">Ahora bien, </w:t>
      </w:r>
      <w:r w:rsidR="00455617" w:rsidRPr="00211099">
        <w:rPr>
          <w:rFonts w:ascii="Arial" w:hAnsi="Arial" w:cs="Arial"/>
          <w:color w:val="000000" w:themeColor="text1"/>
          <w:sz w:val="22"/>
        </w:rPr>
        <w:t xml:space="preserve">conforme a lo señalado </w:t>
      </w:r>
      <w:r w:rsidR="001E21EC">
        <w:rPr>
          <w:rFonts w:ascii="Arial" w:hAnsi="Arial" w:cs="Arial"/>
          <w:color w:val="000000" w:themeColor="text1"/>
          <w:sz w:val="22"/>
        </w:rPr>
        <w:t>anteriormente</w:t>
      </w:r>
      <w:r w:rsidR="00455617" w:rsidRPr="00211099">
        <w:rPr>
          <w:rFonts w:ascii="Arial" w:hAnsi="Arial" w:cs="Arial"/>
          <w:color w:val="000000" w:themeColor="text1"/>
          <w:sz w:val="22"/>
        </w:rPr>
        <w:t xml:space="preserve">, </w:t>
      </w:r>
      <w:r w:rsidR="007C42D3" w:rsidRPr="00211099">
        <w:rPr>
          <w:rFonts w:ascii="Arial" w:hAnsi="Arial" w:cs="Arial"/>
          <w:color w:val="000000" w:themeColor="text1"/>
          <w:sz w:val="22"/>
        </w:rPr>
        <w:t>es viable concluir que la asistencia a la audiencia de asignación de riesgos no es un criterio que pueda identificar las condiciones del proponente para ejecutar el contrato estatal. Estas condiciones están determinadas por</w:t>
      </w:r>
      <w:r w:rsidRPr="00211099">
        <w:rPr>
          <w:rFonts w:ascii="Arial" w:hAnsi="Arial" w:cs="Arial"/>
          <w:color w:val="000000" w:themeColor="text1"/>
          <w:sz w:val="22"/>
        </w:rPr>
        <w:t xml:space="preserve"> </w:t>
      </w:r>
      <w:r w:rsidR="00290AA5" w:rsidRPr="00211099">
        <w:rPr>
          <w:rFonts w:ascii="Arial" w:hAnsi="Arial" w:cs="Arial"/>
          <w:color w:val="000000" w:themeColor="text1"/>
          <w:sz w:val="22"/>
        </w:rPr>
        <w:t>los requisitos habilitantes que se soliciten en el marco de los procesos de selección</w:t>
      </w:r>
      <w:r w:rsidR="007C42D3" w:rsidRPr="00211099">
        <w:rPr>
          <w:rFonts w:ascii="Arial" w:hAnsi="Arial" w:cs="Arial"/>
          <w:color w:val="000000" w:themeColor="text1"/>
          <w:sz w:val="22"/>
        </w:rPr>
        <w:t>.</w:t>
      </w:r>
    </w:p>
    <w:p w14:paraId="403EAF14" w14:textId="2970A3DB" w:rsidR="00290AA5" w:rsidRPr="00211099" w:rsidRDefault="004B0A2B" w:rsidP="005D55F3">
      <w:pPr>
        <w:tabs>
          <w:tab w:val="left" w:pos="426"/>
        </w:tabs>
        <w:spacing w:after="120" w:line="276" w:lineRule="auto"/>
        <w:ind w:right="51" w:firstLine="709"/>
        <w:jc w:val="both"/>
        <w:rPr>
          <w:rFonts w:ascii="Arial" w:hAnsi="Arial" w:cs="Arial"/>
          <w:color w:val="000000" w:themeColor="text1"/>
          <w:sz w:val="22"/>
        </w:rPr>
      </w:pPr>
      <w:r w:rsidRPr="00211099">
        <w:rPr>
          <w:rFonts w:ascii="Arial" w:hAnsi="Arial" w:cs="Arial"/>
          <w:color w:val="000000" w:themeColor="text1"/>
          <w:sz w:val="22"/>
        </w:rPr>
        <w:t>En efecto,</w:t>
      </w:r>
      <w:r w:rsidR="00145F2E" w:rsidRPr="00211099">
        <w:rPr>
          <w:rFonts w:ascii="Arial" w:hAnsi="Arial" w:cs="Arial"/>
          <w:color w:val="000000" w:themeColor="text1"/>
          <w:sz w:val="22"/>
        </w:rPr>
        <w:t xml:space="preserve"> </w:t>
      </w:r>
      <w:r w:rsidRPr="00211099">
        <w:rPr>
          <w:rFonts w:ascii="Arial" w:hAnsi="Arial" w:cs="Arial"/>
          <w:color w:val="000000" w:themeColor="text1"/>
          <w:sz w:val="22"/>
        </w:rPr>
        <w:t xml:space="preserve">como se dijo en el acápite </w:t>
      </w:r>
      <w:r w:rsidR="007C42D3" w:rsidRPr="00211099">
        <w:rPr>
          <w:rFonts w:ascii="Arial" w:hAnsi="Arial" w:cs="Arial"/>
          <w:color w:val="000000" w:themeColor="text1"/>
          <w:sz w:val="22"/>
        </w:rPr>
        <w:t>anterior</w:t>
      </w:r>
      <w:r w:rsidRPr="00211099">
        <w:rPr>
          <w:rFonts w:ascii="Arial" w:hAnsi="Arial" w:cs="Arial"/>
          <w:color w:val="000000" w:themeColor="text1"/>
          <w:sz w:val="22"/>
        </w:rPr>
        <w:t>, la</w:t>
      </w:r>
      <w:r w:rsidR="00145F2E" w:rsidRPr="00211099">
        <w:rPr>
          <w:rFonts w:ascii="Arial" w:hAnsi="Arial" w:cs="Arial"/>
          <w:color w:val="000000" w:themeColor="text1"/>
          <w:sz w:val="22"/>
        </w:rPr>
        <w:t xml:space="preserve"> finalidad </w:t>
      </w:r>
      <w:r w:rsidRPr="00211099">
        <w:rPr>
          <w:rFonts w:ascii="Arial" w:hAnsi="Arial" w:cs="Arial"/>
          <w:color w:val="000000" w:themeColor="text1"/>
          <w:sz w:val="22"/>
        </w:rPr>
        <w:t xml:space="preserve">de la audiencia de asignación de riesgos </w:t>
      </w:r>
      <w:r w:rsidR="00145F2E" w:rsidRPr="00211099">
        <w:rPr>
          <w:rFonts w:ascii="Arial" w:hAnsi="Arial" w:cs="Arial"/>
          <w:color w:val="000000" w:themeColor="text1"/>
          <w:sz w:val="22"/>
        </w:rPr>
        <w:t xml:space="preserve">es revisar </w:t>
      </w:r>
      <w:r w:rsidR="009B262D" w:rsidRPr="00211099">
        <w:rPr>
          <w:rFonts w:ascii="Arial" w:hAnsi="Arial" w:cs="Arial"/>
          <w:color w:val="000000" w:themeColor="text1"/>
          <w:sz w:val="22"/>
        </w:rPr>
        <w:t>de manera conjunta</w:t>
      </w:r>
      <w:r w:rsidRPr="00211099">
        <w:rPr>
          <w:rFonts w:ascii="Arial" w:hAnsi="Arial" w:cs="Arial"/>
          <w:color w:val="000000" w:themeColor="text1"/>
          <w:sz w:val="22"/>
        </w:rPr>
        <w:t>, entre la entidad y los futuros oferentes</w:t>
      </w:r>
      <w:r w:rsidR="003C763A" w:rsidRPr="00211099">
        <w:rPr>
          <w:rFonts w:ascii="Arial" w:hAnsi="Arial" w:cs="Arial"/>
          <w:color w:val="000000" w:themeColor="text1"/>
          <w:sz w:val="22"/>
        </w:rPr>
        <w:t xml:space="preserve">, </w:t>
      </w:r>
      <w:r w:rsidR="009B262D" w:rsidRPr="00211099">
        <w:rPr>
          <w:rFonts w:ascii="Arial" w:hAnsi="Arial" w:cs="Arial"/>
          <w:color w:val="000000" w:themeColor="text1"/>
          <w:sz w:val="22"/>
        </w:rPr>
        <w:t>la tipificación, estimación y distribución de los riesgos</w:t>
      </w:r>
      <w:r w:rsidRPr="00211099">
        <w:rPr>
          <w:rFonts w:ascii="Arial" w:hAnsi="Arial" w:cs="Arial"/>
          <w:color w:val="000000" w:themeColor="text1"/>
          <w:sz w:val="22"/>
        </w:rPr>
        <w:t xml:space="preserve"> previsibles</w:t>
      </w:r>
      <w:r w:rsidR="003C763A" w:rsidRPr="00211099">
        <w:rPr>
          <w:rFonts w:ascii="Arial" w:hAnsi="Arial" w:cs="Arial"/>
          <w:color w:val="000000" w:themeColor="text1"/>
          <w:sz w:val="22"/>
        </w:rPr>
        <w:t xml:space="preserve"> del contrato a celebrar. En </w:t>
      </w:r>
      <w:r w:rsidR="00E372FC">
        <w:rPr>
          <w:rFonts w:ascii="Arial" w:hAnsi="Arial" w:cs="Arial"/>
          <w:color w:val="000000" w:themeColor="text1"/>
          <w:sz w:val="22"/>
        </w:rPr>
        <w:t>dicha audiencia</w:t>
      </w:r>
      <w:r w:rsidR="003C763A" w:rsidRPr="00211099">
        <w:rPr>
          <w:rFonts w:ascii="Arial" w:hAnsi="Arial" w:cs="Arial"/>
          <w:color w:val="000000" w:themeColor="text1"/>
          <w:sz w:val="22"/>
        </w:rPr>
        <w:t xml:space="preserve"> no se acredita una condición </w:t>
      </w:r>
      <w:r w:rsidR="0021596E" w:rsidRPr="00211099">
        <w:rPr>
          <w:rFonts w:ascii="Arial" w:hAnsi="Arial" w:cs="Arial"/>
          <w:color w:val="000000" w:themeColor="text1"/>
          <w:sz w:val="22"/>
        </w:rPr>
        <w:t xml:space="preserve">particular del oferente, </w:t>
      </w:r>
      <w:r w:rsidR="003C763A" w:rsidRPr="00211099">
        <w:rPr>
          <w:rFonts w:ascii="Arial" w:hAnsi="Arial" w:cs="Arial"/>
          <w:color w:val="000000" w:themeColor="text1"/>
          <w:sz w:val="22"/>
        </w:rPr>
        <w:t xml:space="preserve">sino que se busca discutir sobre la forma en la que </w:t>
      </w:r>
      <w:r w:rsidR="0021596E" w:rsidRPr="00211099">
        <w:rPr>
          <w:rFonts w:ascii="Arial" w:hAnsi="Arial" w:cs="Arial"/>
          <w:color w:val="000000" w:themeColor="text1"/>
          <w:sz w:val="22"/>
        </w:rPr>
        <w:t xml:space="preserve">se han distribuido los riesgos. Tampoco </w:t>
      </w:r>
      <w:r w:rsidR="0021596E" w:rsidRPr="00211099">
        <w:rPr>
          <w:rFonts w:ascii="Arial" w:eastAsia="Calibri" w:hAnsi="Arial" w:cs="Arial"/>
          <w:color w:val="000000" w:themeColor="text1"/>
          <w:sz w:val="22"/>
        </w:rPr>
        <w:t xml:space="preserve">podría afirmarse que mediante la asistencia a dicha audiencia se permitiría la escogencia de la </w:t>
      </w:r>
      <w:r w:rsidR="0021596E" w:rsidRPr="00211099">
        <w:rPr>
          <w:rFonts w:ascii="Arial" w:eastAsia="Calibri" w:hAnsi="Arial" w:cs="Arial"/>
          <w:color w:val="000000" w:themeColor="text1"/>
          <w:sz w:val="22"/>
        </w:rPr>
        <w:lastRenderedPageBreak/>
        <w:t xml:space="preserve">oferta más favorable para la ejecución del contrato, pues esta no </w:t>
      </w:r>
      <w:r w:rsidR="00AD634D" w:rsidRPr="00211099">
        <w:rPr>
          <w:rFonts w:ascii="Arial" w:eastAsia="Calibri" w:hAnsi="Arial" w:cs="Arial"/>
          <w:color w:val="000000" w:themeColor="text1"/>
          <w:sz w:val="22"/>
        </w:rPr>
        <w:t xml:space="preserve">determina una característica especial que satisfaga la necesidad del adquiriente. </w:t>
      </w:r>
    </w:p>
    <w:p w14:paraId="20FF2F66" w14:textId="6253CC69" w:rsidR="0021596E" w:rsidRPr="00211099" w:rsidRDefault="0021596E" w:rsidP="000858A1">
      <w:pPr>
        <w:tabs>
          <w:tab w:val="left" w:pos="426"/>
        </w:tabs>
        <w:spacing w:line="276" w:lineRule="auto"/>
        <w:ind w:right="51" w:firstLine="709"/>
        <w:jc w:val="both"/>
        <w:rPr>
          <w:rFonts w:ascii="Arial" w:eastAsia="Calibri" w:hAnsi="Arial" w:cs="Arial"/>
          <w:color w:val="000000" w:themeColor="text1"/>
          <w:sz w:val="22"/>
        </w:rPr>
      </w:pPr>
      <w:r w:rsidRPr="00211099">
        <w:rPr>
          <w:rFonts w:ascii="Arial" w:eastAsia="Calibri" w:hAnsi="Arial" w:cs="Arial"/>
          <w:color w:val="000000" w:themeColor="text1"/>
          <w:sz w:val="22"/>
        </w:rPr>
        <w:t xml:space="preserve">En esta medida, </w:t>
      </w:r>
      <w:r w:rsidR="007C42D3" w:rsidRPr="00211099">
        <w:rPr>
          <w:rFonts w:ascii="Arial" w:eastAsia="Calibri" w:hAnsi="Arial" w:cs="Arial"/>
          <w:color w:val="000000" w:themeColor="text1"/>
          <w:sz w:val="22"/>
        </w:rPr>
        <w:t>el</w:t>
      </w:r>
      <w:r w:rsidRPr="00211099">
        <w:rPr>
          <w:rFonts w:ascii="Arial" w:eastAsia="Calibri" w:hAnsi="Arial" w:cs="Arial"/>
          <w:color w:val="000000" w:themeColor="text1"/>
          <w:sz w:val="22"/>
        </w:rPr>
        <w:t xml:space="preserve"> establecimiento </w:t>
      </w:r>
      <w:r w:rsidR="007C42D3" w:rsidRPr="00211099">
        <w:rPr>
          <w:rFonts w:ascii="Arial" w:eastAsia="Calibri" w:hAnsi="Arial" w:cs="Arial"/>
          <w:color w:val="000000" w:themeColor="text1"/>
          <w:sz w:val="22"/>
        </w:rPr>
        <w:t xml:space="preserve">de la asistencia a la audiencia de asignación de riesgos </w:t>
      </w:r>
      <w:r w:rsidRPr="00211099">
        <w:rPr>
          <w:rFonts w:ascii="Arial" w:eastAsia="Calibri" w:hAnsi="Arial" w:cs="Arial"/>
          <w:color w:val="000000" w:themeColor="text1"/>
          <w:sz w:val="22"/>
        </w:rPr>
        <w:t xml:space="preserve">como un requisito </w:t>
      </w:r>
      <w:r w:rsidR="00C765E7">
        <w:rPr>
          <w:rFonts w:ascii="Arial" w:eastAsia="Calibri" w:hAnsi="Arial" w:cs="Arial"/>
          <w:color w:val="000000" w:themeColor="text1"/>
          <w:sz w:val="22"/>
        </w:rPr>
        <w:t xml:space="preserve">obligatorio </w:t>
      </w:r>
      <w:r w:rsidRPr="00211099">
        <w:rPr>
          <w:rFonts w:ascii="Arial" w:eastAsia="Calibri" w:hAnsi="Arial" w:cs="Arial"/>
          <w:color w:val="000000" w:themeColor="text1"/>
          <w:sz w:val="22"/>
        </w:rPr>
        <w:t>para</w:t>
      </w:r>
      <w:r w:rsidR="00AD634D" w:rsidRPr="00211099">
        <w:rPr>
          <w:rFonts w:ascii="Arial" w:eastAsia="Calibri" w:hAnsi="Arial" w:cs="Arial"/>
          <w:color w:val="000000" w:themeColor="text1"/>
          <w:sz w:val="22"/>
        </w:rPr>
        <w:t xml:space="preserve"> participar en el proceso de contratación,</w:t>
      </w:r>
      <w:r w:rsidRPr="00211099">
        <w:rPr>
          <w:rFonts w:ascii="Arial" w:eastAsia="Calibri" w:hAnsi="Arial" w:cs="Arial"/>
          <w:color w:val="000000" w:themeColor="text1"/>
          <w:sz w:val="22"/>
        </w:rPr>
        <w:t xml:space="preserve"> desconocería los principios de selección objetiva y transparencia a los que deben ceñirse las entidades </w:t>
      </w:r>
      <w:r w:rsidR="00AD634D" w:rsidRPr="00211099">
        <w:rPr>
          <w:rFonts w:ascii="Arial" w:eastAsia="Calibri" w:hAnsi="Arial" w:cs="Arial"/>
          <w:color w:val="000000" w:themeColor="text1"/>
          <w:sz w:val="22"/>
        </w:rPr>
        <w:t>públicas</w:t>
      </w:r>
      <w:r w:rsidRPr="00211099">
        <w:rPr>
          <w:rFonts w:ascii="Arial" w:eastAsia="Calibri" w:hAnsi="Arial" w:cs="Arial"/>
          <w:color w:val="000000" w:themeColor="text1"/>
          <w:sz w:val="22"/>
        </w:rPr>
        <w:t xml:space="preserve"> en la estructuración de </w:t>
      </w:r>
      <w:r w:rsidR="00AD634D" w:rsidRPr="00211099">
        <w:rPr>
          <w:rFonts w:ascii="Arial" w:eastAsia="Calibri" w:hAnsi="Arial" w:cs="Arial"/>
          <w:color w:val="000000" w:themeColor="text1"/>
          <w:sz w:val="22"/>
        </w:rPr>
        <w:t xml:space="preserve">los requisitos habilitantes de </w:t>
      </w:r>
      <w:r w:rsidRPr="00211099">
        <w:rPr>
          <w:rFonts w:ascii="Arial" w:eastAsia="Calibri" w:hAnsi="Arial" w:cs="Arial"/>
          <w:color w:val="000000" w:themeColor="text1"/>
          <w:sz w:val="22"/>
        </w:rPr>
        <w:t xml:space="preserve">los </w:t>
      </w:r>
      <w:r w:rsidR="00AD634D" w:rsidRPr="00211099">
        <w:rPr>
          <w:rFonts w:ascii="Arial" w:eastAsia="Calibri" w:hAnsi="Arial" w:cs="Arial"/>
          <w:color w:val="000000" w:themeColor="text1"/>
          <w:sz w:val="22"/>
        </w:rPr>
        <w:t xml:space="preserve">pliegos de condiciones. </w:t>
      </w:r>
    </w:p>
    <w:p w14:paraId="0A41C55C" w14:textId="77777777" w:rsidR="00AD634D" w:rsidRPr="00211099" w:rsidRDefault="00AD634D" w:rsidP="000858A1">
      <w:pPr>
        <w:tabs>
          <w:tab w:val="left" w:pos="426"/>
        </w:tabs>
        <w:spacing w:line="276" w:lineRule="auto"/>
        <w:ind w:right="51" w:firstLine="709"/>
        <w:jc w:val="both"/>
        <w:rPr>
          <w:rFonts w:ascii="Arial" w:eastAsia="Calibri" w:hAnsi="Arial" w:cs="Arial"/>
          <w:color w:val="000000" w:themeColor="text1"/>
          <w:sz w:val="21"/>
          <w:szCs w:val="21"/>
        </w:rPr>
      </w:pPr>
    </w:p>
    <w:p w14:paraId="649FC627" w14:textId="614AC21A" w:rsidR="00D16B8D" w:rsidRPr="007F1FA1" w:rsidRDefault="00C05C43" w:rsidP="007F1FA1">
      <w:pPr>
        <w:shd w:val="clear" w:color="auto" w:fill="FFFFFF"/>
        <w:tabs>
          <w:tab w:val="left" w:pos="426"/>
        </w:tabs>
        <w:ind w:right="709"/>
        <w:jc w:val="both"/>
        <w:rPr>
          <w:rFonts w:ascii="Arial" w:hAnsi="Arial" w:cs="Arial"/>
          <w:color w:val="000000" w:themeColor="text1"/>
          <w:sz w:val="21"/>
          <w:szCs w:val="21"/>
        </w:rPr>
      </w:pPr>
      <w:r>
        <w:rPr>
          <w:rFonts w:ascii="Arial" w:eastAsia="Calibri" w:hAnsi="Arial" w:cs="Arial"/>
          <w:b/>
          <w:color w:val="000000" w:themeColor="text1"/>
          <w:sz w:val="22"/>
        </w:rPr>
        <w:t xml:space="preserve">3. </w:t>
      </w:r>
      <w:r w:rsidR="00D16B8D" w:rsidRPr="007F1FA1">
        <w:rPr>
          <w:rFonts w:ascii="Arial" w:eastAsia="Calibri" w:hAnsi="Arial" w:cs="Arial"/>
          <w:b/>
          <w:color w:val="000000" w:themeColor="text1"/>
          <w:sz w:val="22"/>
        </w:rPr>
        <w:t xml:space="preserve">Respuestas </w:t>
      </w:r>
    </w:p>
    <w:p w14:paraId="6081ABD8" w14:textId="77777777" w:rsidR="00D16B8D" w:rsidRPr="00211099" w:rsidRDefault="00D16B8D" w:rsidP="00382B30">
      <w:pPr>
        <w:pStyle w:val="Prrafodelista"/>
        <w:shd w:val="clear" w:color="auto" w:fill="FFFFFF"/>
        <w:tabs>
          <w:tab w:val="left" w:pos="426"/>
        </w:tabs>
        <w:spacing w:line="276" w:lineRule="auto"/>
        <w:ind w:left="380" w:right="709"/>
        <w:jc w:val="both"/>
        <w:rPr>
          <w:rFonts w:ascii="Arial" w:eastAsia="Calibri" w:hAnsi="Arial" w:cs="Arial"/>
          <w:color w:val="000000" w:themeColor="text1"/>
          <w:sz w:val="19"/>
          <w:szCs w:val="19"/>
        </w:rPr>
      </w:pPr>
    </w:p>
    <w:p w14:paraId="1952C461" w14:textId="77777777" w:rsidR="005561A3" w:rsidRDefault="00D16B8D" w:rsidP="005561A3">
      <w:pPr>
        <w:pStyle w:val="Prrafodelista"/>
        <w:tabs>
          <w:tab w:val="left" w:pos="426"/>
        </w:tabs>
        <w:ind w:left="709" w:right="709"/>
        <w:jc w:val="both"/>
        <w:rPr>
          <w:rFonts w:ascii="Arial" w:eastAsia="Calibri" w:hAnsi="Arial" w:cs="Arial"/>
          <w:color w:val="000000" w:themeColor="text1"/>
          <w:sz w:val="19"/>
          <w:szCs w:val="19"/>
        </w:rPr>
      </w:pPr>
      <w:r w:rsidRPr="00211099">
        <w:rPr>
          <w:rFonts w:ascii="Arial" w:eastAsia="Calibri" w:hAnsi="Arial" w:cs="Arial"/>
          <w:color w:val="000000" w:themeColor="text1"/>
          <w:sz w:val="19"/>
          <w:szCs w:val="19"/>
        </w:rPr>
        <w:t xml:space="preserve">«¿Es obligatoria la asistencia de los oferentes a las audiencias de Asignación de Riesgos y Aclaración de pliegos?» </w:t>
      </w:r>
    </w:p>
    <w:p w14:paraId="1802DE65" w14:textId="77777777" w:rsidR="005561A3" w:rsidRDefault="005561A3" w:rsidP="005561A3">
      <w:pPr>
        <w:tabs>
          <w:tab w:val="left" w:pos="426"/>
        </w:tabs>
        <w:ind w:right="709"/>
        <w:jc w:val="both"/>
        <w:rPr>
          <w:rFonts w:ascii="ArialMT" w:eastAsia="Times New Roman" w:hAnsi="ArialMT" w:cs="Times New Roman"/>
          <w:color w:val="000000" w:themeColor="text1"/>
          <w:sz w:val="22"/>
          <w:lang w:eastAsia="es-ES_tradnl"/>
        </w:rPr>
      </w:pPr>
    </w:p>
    <w:p w14:paraId="467E10C6" w14:textId="121A5034" w:rsidR="00D46D8F" w:rsidRPr="005561A3" w:rsidRDefault="00D16B8D" w:rsidP="005561A3">
      <w:pPr>
        <w:tabs>
          <w:tab w:val="left" w:pos="426"/>
        </w:tabs>
        <w:spacing w:line="276" w:lineRule="auto"/>
        <w:jc w:val="both"/>
        <w:rPr>
          <w:rFonts w:ascii="Arial" w:eastAsia="Calibri" w:hAnsi="Arial" w:cs="Arial"/>
          <w:color w:val="000000" w:themeColor="text1"/>
          <w:sz w:val="19"/>
          <w:szCs w:val="19"/>
        </w:rPr>
      </w:pPr>
      <w:r w:rsidRPr="005561A3">
        <w:rPr>
          <w:rFonts w:ascii="ArialMT" w:eastAsia="Times New Roman" w:hAnsi="ArialMT" w:cs="Times New Roman"/>
          <w:color w:val="000000" w:themeColor="text1"/>
          <w:sz w:val="22"/>
          <w:lang w:eastAsia="es-ES_tradnl"/>
        </w:rPr>
        <w:t>De conformidad con la normativa</w:t>
      </w:r>
      <w:r w:rsidR="00DC7FEF" w:rsidRPr="005561A3">
        <w:rPr>
          <w:rFonts w:ascii="ArialMT" w:eastAsia="Times New Roman" w:hAnsi="ArialMT" w:cs="Times New Roman"/>
          <w:color w:val="000000" w:themeColor="text1"/>
          <w:sz w:val="22"/>
          <w:lang w:eastAsia="es-ES_tradnl"/>
        </w:rPr>
        <w:t xml:space="preserve"> que rige </w:t>
      </w:r>
      <w:r w:rsidRPr="005561A3">
        <w:rPr>
          <w:rFonts w:ascii="ArialMT" w:eastAsia="Times New Roman" w:hAnsi="ArialMT" w:cs="Times New Roman"/>
          <w:color w:val="000000" w:themeColor="text1"/>
          <w:sz w:val="22"/>
          <w:lang w:eastAsia="es-ES_tradnl"/>
        </w:rPr>
        <w:t>la materia,</w:t>
      </w:r>
      <w:r w:rsidR="00DC7FEF" w:rsidRPr="005561A3">
        <w:rPr>
          <w:rFonts w:ascii="ArialMT" w:eastAsia="Times New Roman" w:hAnsi="ArialMT" w:cs="Times New Roman"/>
          <w:color w:val="000000" w:themeColor="text1"/>
          <w:sz w:val="22"/>
          <w:lang w:eastAsia="es-ES_tradnl"/>
        </w:rPr>
        <w:t xml:space="preserve"> le corresponde a la entidad pública efectuar un ejercicio minucioso de estimación, tipificación y estimación de los riesgos previsibles involucrados en la contratación</w:t>
      </w:r>
      <w:r w:rsidR="00B35D30" w:rsidRPr="005561A3">
        <w:rPr>
          <w:rFonts w:ascii="ArialMT" w:eastAsia="Times New Roman" w:hAnsi="ArialMT" w:cs="Times New Roman"/>
          <w:color w:val="000000" w:themeColor="text1"/>
          <w:sz w:val="22"/>
          <w:lang w:eastAsia="es-ES_tradnl"/>
        </w:rPr>
        <w:t>.</w:t>
      </w:r>
      <w:r w:rsidR="00DC7FEF" w:rsidRPr="005561A3">
        <w:rPr>
          <w:rFonts w:ascii="ArialMT" w:eastAsia="Times New Roman" w:hAnsi="ArialMT" w:cs="Times New Roman"/>
          <w:color w:val="000000" w:themeColor="text1"/>
          <w:sz w:val="22"/>
          <w:lang w:eastAsia="es-ES_tradnl"/>
        </w:rPr>
        <w:t xml:space="preserve"> </w:t>
      </w:r>
      <w:r w:rsidR="00B35D30" w:rsidRPr="005561A3">
        <w:rPr>
          <w:rFonts w:ascii="ArialMT" w:eastAsia="Times New Roman" w:hAnsi="ArialMT" w:cs="Times New Roman"/>
          <w:color w:val="000000" w:themeColor="text1"/>
          <w:sz w:val="22"/>
          <w:lang w:eastAsia="es-ES_tradnl"/>
        </w:rPr>
        <w:t>E</w:t>
      </w:r>
      <w:r w:rsidR="00DC7FEF" w:rsidRPr="005561A3">
        <w:rPr>
          <w:rFonts w:ascii="ArialMT" w:eastAsia="Times New Roman" w:hAnsi="ArialMT" w:cs="Times New Roman"/>
          <w:color w:val="000000" w:themeColor="text1"/>
          <w:sz w:val="22"/>
          <w:lang w:eastAsia="es-ES_tradnl"/>
        </w:rPr>
        <w:t xml:space="preserve">n el caso de la licitación, es obligatoria la realización de una </w:t>
      </w:r>
      <w:r w:rsidRPr="005561A3">
        <w:rPr>
          <w:rFonts w:ascii="ArialMT" w:eastAsia="Times New Roman" w:hAnsi="ArialMT" w:cs="Times New Roman"/>
          <w:color w:val="000000" w:themeColor="text1"/>
          <w:sz w:val="22"/>
          <w:lang w:eastAsia="es-ES_tradnl"/>
        </w:rPr>
        <w:t>audiencia de asignación de riesgos</w:t>
      </w:r>
      <w:r w:rsidR="005E0F0A" w:rsidRPr="005561A3">
        <w:rPr>
          <w:rFonts w:ascii="ArialMT" w:eastAsia="Times New Roman" w:hAnsi="ArialMT" w:cs="Times New Roman"/>
          <w:color w:val="000000" w:themeColor="text1"/>
          <w:sz w:val="22"/>
          <w:lang w:eastAsia="es-ES_tradnl"/>
        </w:rPr>
        <w:t>, con anterioridad a la presentación de las ofertas</w:t>
      </w:r>
      <w:r w:rsidR="00B35D30" w:rsidRPr="005561A3">
        <w:rPr>
          <w:rFonts w:ascii="ArialMT" w:eastAsia="Times New Roman" w:hAnsi="ArialMT" w:cs="Times New Roman"/>
          <w:color w:val="000000" w:themeColor="text1"/>
          <w:sz w:val="22"/>
          <w:lang w:eastAsia="es-ES_tradnl"/>
        </w:rPr>
        <w:t xml:space="preserve">. En </w:t>
      </w:r>
      <w:r w:rsidR="0094554D">
        <w:rPr>
          <w:rFonts w:ascii="ArialMT" w:eastAsia="Times New Roman" w:hAnsi="ArialMT" w:cs="Times New Roman"/>
          <w:color w:val="000000" w:themeColor="text1"/>
          <w:sz w:val="22"/>
          <w:lang w:eastAsia="es-ES_tradnl"/>
        </w:rPr>
        <w:t xml:space="preserve">dicha </w:t>
      </w:r>
      <w:r w:rsidR="00802185">
        <w:rPr>
          <w:rFonts w:ascii="ArialMT" w:eastAsia="Times New Roman" w:hAnsi="ArialMT" w:cs="Times New Roman"/>
          <w:color w:val="000000" w:themeColor="text1"/>
          <w:sz w:val="22"/>
          <w:lang w:eastAsia="es-ES_tradnl"/>
        </w:rPr>
        <w:t>audiencia</w:t>
      </w:r>
      <w:r w:rsidR="00DC7FEF" w:rsidRPr="005561A3">
        <w:rPr>
          <w:rFonts w:ascii="ArialMT" w:eastAsia="Times New Roman" w:hAnsi="ArialMT" w:cs="Times New Roman"/>
          <w:color w:val="000000" w:themeColor="text1"/>
          <w:sz w:val="22"/>
          <w:lang w:eastAsia="es-ES_tradnl"/>
        </w:rPr>
        <w:t xml:space="preserve"> se revisará la asignación de riesgos con el fin de establecer su distribución definitiva</w:t>
      </w:r>
      <w:r w:rsidR="005E0F0A" w:rsidRPr="005561A3">
        <w:rPr>
          <w:rFonts w:ascii="ArialMT" w:eastAsia="Times New Roman" w:hAnsi="ArialMT" w:cs="Times New Roman"/>
          <w:color w:val="000000" w:themeColor="text1"/>
          <w:sz w:val="22"/>
          <w:lang w:eastAsia="es-ES_tradnl"/>
        </w:rPr>
        <w:t>. Sin embargo</w:t>
      </w:r>
      <w:r w:rsidRPr="005561A3">
        <w:rPr>
          <w:rFonts w:ascii="ArialMT" w:eastAsia="Times New Roman" w:hAnsi="ArialMT" w:cs="Times New Roman"/>
          <w:color w:val="000000" w:themeColor="text1"/>
          <w:sz w:val="22"/>
          <w:lang w:eastAsia="es-ES_tradnl"/>
        </w:rPr>
        <w:t xml:space="preserve">, </w:t>
      </w:r>
      <w:r w:rsidR="00290AA5" w:rsidRPr="005561A3">
        <w:rPr>
          <w:rFonts w:ascii="ArialMT" w:eastAsia="Times New Roman" w:hAnsi="ArialMT" w:cs="Times New Roman"/>
          <w:color w:val="000000" w:themeColor="text1"/>
          <w:sz w:val="22"/>
          <w:lang w:eastAsia="es-ES_tradnl"/>
        </w:rPr>
        <w:t xml:space="preserve">la Ley no establece la </w:t>
      </w:r>
      <w:r w:rsidRPr="005561A3">
        <w:rPr>
          <w:rFonts w:ascii="ArialMT" w:eastAsia="Times New Roman" w:hAnsi="ArialMT" w:cs="Times New Roman"/>
          <w:color w:val="000000" w:themeColor="text1"/>
          <w:sz w:val="22"/>
          <w:lang w:eastAsia="es-ES_tradnl"/>
        </w:rPr>
        <w:t>obligatoriedad de la asistencia por parte de los posibles oferentes,</w:t>
      </w:r>
      <w:r w:rsidR="00D46D8F" w:rsidRPr="005561A3">
        <w:rPr>
          <w:rFonts w:ascii="ArialMT" w:eastAsia="Times New Roman" w:hAnsi="ArialMT" w:cs="Times New Roman"/>
          <w:color w:val="000000" w:themeColor="text1"/>
          <w:sz w:val="22"/>
          <w:lang w:eastAsia="es-ES_tradnl"/>
        </w:rPr>
        <w:t xml:space="preserve"> motivo por el cual </w:t>
      </w:r>
      <w:r w:rsidR="00D46D8F" w:rsidRPr="005561A3">
        <w:rPr>
          <w:rFonts w:ascii="Arial" w:hAnsi="Arial" w:cs="Arial"/>
          <w:color w:val="000000"/>
          <w:sz w:val="22"/>
        </w:rPr>
        <w:t xml:space="preserve">la participación de aquellos </w:t>
      </w:r>
      <w:r w:rsidR="004B0A2B" w:rsidRPr="005561A3">
        <w:rPr>
          <w:rFonts w:ascii="Arial" w:hAnsi="Arial" w:cs="Arial"/>
          <w:color w:val="000000"/>
          <w:sz w:val="22"/>
        </w:rPr>
        <w:t>se torna</w:t>
      </w:r>
      <w:r w:rsidR="00D46D8F" w:rsidRPr="005561A3">
        <w:rPr>
          <w:rFonts w:ascii="Arial" w:hAnsi="Arial" w:cs="Arial"/>
          <w:color w:val="000000"/>
          <w:sz w:val="22"/>
        </w:rPr>
        <w:t xml:space="preserve"> potestativa y no obligatoria.</w:t>
      </w:r>
    </w:p>
    <w:p w14:paraId="75DCDCFD" w14:textId="168395F0" w:rsidR="00D46D8F" w:rsidRPr="00211099" w:rsidRDefault="00B35D30" w:rsidP="005561A3">
      <w:pPr>
        <w:spacing w:before="120" w:line="276" w:lineRule="auto"/>
        <w:ind w:firstLine="709"/>
        <w:jc w:val="both"/>
        <w:rPr>
          <w:rFonts w:ascii="ArialMT" w:eastAsia="Times New Roman" w:hAnsi="ArialMT" w:cs="Times New Roman"/>
          <w:color w:val="000000" w:themeColor="text1"/>
          <w:sz w:val="22"/>
          <w:lang w:eastAsia="es-ES_tradnl"/>
        </w:rPr>
      </w:pPr>
      <w:r w:rsidRPr="00211099">
        <w:rPr>
          <w:rFonts w:ascii="Arial" w:hAnsi="Arial" w:cs="Arial"/>
          <w:color w:val="000000"/>
          <w:sz w:val="22"/>
        </w:rPr>
        <w:t xml:space="preserve">En todo caso, </w:t>
      </w:r>
      <w:r w:rsidR="00D46D8F" w:rsidRPr="00211099">
        <w:rPr>
          <w:rFonts w:ascii="Arial" w:hAnsi="Arial" w:cs="Arial"/>
          <w:color w:val="000000"/>
          <w:sz w:val="22"/>
        </w:rPr>
        <w:t xml:space="preserve">se aclara que, en </w:t>
      </w:r>
      <w:r w:rsidRPr="00211099">
        <w:rPr>
          <w:rFonts w:ascii="Arial" w:hAnsi="Arial" w:cs="Arial"/>
          <w:color w:val="000000"/>
          <w:sz w:val="22"/>
        </w:rPr>
        <w:t>el evento</w:t>
      </w:r>
      <w:r w:rsidR="00D46D8F" w:rsidRPr="00211099">
        <w:rPr>
          <w:rFonts w:ascii="Arial" w:hAnsi="Arial" w:cs="Arial"/>
          <w:color w:val="000000"/>
          <w:sz w:val="22"/>
        </w:rPr>
        <w:t xml:space="preserve"> </w:t>
      </w:r>
      <w:r w:rsidR="008660DD">
        <w:rPr>
          <w:rFonts w:ascii="Arial" w:hAnsi="Arial" w:cs="Arial"/>
          <w:color w:val="000000"/>
          <w:sz w:val="22"/>
        </w:rPr>
        <w:t>en</w:t>
      </w:r>
      <w:r w:rsidR="008660DD" w:rsidRPr="00211099">
        <w:rPr>
          <w:rFonts w:ascii="Arial" w:hAnsi="Arial" w:cs="Arial"/>
          <w:color w:val="000000"/>
          <w:sz w:val="22"/>
        </w:rPr>
        <w:t xml:space="preserve"> </w:t>
      </w:r>
      <w:r w:rsidR="004B0A2B" w:rsidRPr="00211099">
        <w:rPr>
          <w:rFonts w:ascii="Arial" w:hAnsi="Arial" w:cs="Arial"/>
          <w:color w:val="000000"/>
          <w:sz w:val="22"/>
        </w:rPr>
        <w:t xml:space="preserve">que el futuro proponente no </w:t>
      </w:r>
      <w:r w:rsidR="006443D1" w:rsidRPr="00211099">
        <w:rPr>
          <w:rFonts w:ascii="Arial" w:hAnsi="Arial" w:cs="Arial"/>
          <w:color w:val="000000"/>
          <w:sz w:val="22"/>
        </w:rPr>
        <w:t>asista</w:t>
      </w:r>
      <w:r w:rsidR="004B0A2B" w:rsidRPr="00211099">
        <w:rPr>
          <w:rFonts w:ascii="Arial" w:hAnsi="Arial" w:cs="Arial"/>
          <w:color w:val="000000"/>
          <w:sz w:val="22"/>
        </w:rPr>
        <w:t xml:space="preserve"> a </w:t>
      </w:r>
      <w:r w:rsidR="00D46D8F" w:rsidRPr="00211099">
        <w:rPr>
          <w:rFonts w:ascii="ArialMT" w:eastAsia="Times New Roman" w:hAnsi="ArialMT" w:cs="Times New Roman"/>
          <w:color w:val="000000" w:themeColor="text1"/>
          <w:sz w:val="22"/>
          <w:lang w:eastAsia="es-ES_tradnl"/>
        </w:rPr>
        <w:t>la audiencia de asignación de riesgos en los procesos de licitación pública,</w:t>
      </w:r>
      <w:r w:rsidR="004B0A2B"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 xml:space="preserve">ni </w:t>
      </w:r>
      <w:r w:rsidR="00B41188" w:rsidRPr="00211099">
        <w:rPr>
          <w:rFonts w:ascii="ArialMT" w:eastAsia="Times New Roman" w:hAnsi="ArialMT" w:cs="Times New Roman"/>
          <w:color w:val="000000" w:themeColor="text1"/>
          <w:sz w:val="22"/>
          <w:lang w:eastAsia="es-ES_tradnl"/>
        </w:rPr>
        <w:t>efectúe</w:t>
      </w:r>
      <w:r w:rsidR="004B0A2B" w:rsidRPr="00211099">
        <w:rPr>
          <w:rFonts w:ascii="ArialMT" w:eastAsia="Times New Roman" w:hAnsi="ArialMT" w:cs="Times New Roman"/>
          <w:color w:val="000000" w:themeColor="text1"/>
          <w:sz w:val="22"/>
          <w:lang w:eastAsia="es-ES_tradnl"/>
        </w:rPr>
        <w:t xml:space="preserve"> observaciones </w:t>
      </w:r>
      <w:r w:rsidRPr="00211099">
        <w:rPr>
          <w:rFonts w:ascii="ArialMT" w:eastAsia="Times New Roman" w:hAnsi="ArialMT" w:cs="Times New Roman"/>
          <w:color w:val="000000" w:themeColor="text1"/>
          <w:sz w:val="22"/>
          <w:lang w:eastAsia="es-ES_tradnl"/>
        </w:rPr>
        <w:t>dentro</w:t>
      </w:r>
      <w:r w:rsidR="004B0A2B" w:rsidRPr="00211099">
        <w:rPr>
          <w:rFonts w:ascii="ArialMT" w:eastAsia="Times New Roman" w:hAnsi="ArialMT" w:cs="Times New Roman"/>
          <w:color w:val="000000" w:themeColor="text1"/>
          <w:sz w:val="22"/>
          <w:lang w:eastAsia="es-ES_tradnl"/>
        </w:rPr>
        <w:t xml:space="preserve"> </w:t>
      </w:r>
      <w:r w:rsidRPr="00211099">
        <w:rPr>
          <w:rFonts w:ascii="ArialMT" w:eastAsia="Times New Roman" w:hAnsi="ArialMT" w:cs="Times New Roman"/>
          <w:color w:val="000000" w:themeColor="text1"/>
          <w:sz w:val="22"/>
          <w:lang w:eastAsia="es-ES_tradnl"/>
        </w:rPr>
        <w:t>d</w:t>
      </w:r>
      <w:r w:rsidR="004B0A2B" w:rsidRPr="00211099">
        <w:rPr>
          <w:rFonts w:ascii="ArialMT" w:eastAsia="Times New Roman" w:hAnsi="ArialMT" w:cs="Times New Roman"/>
          <w:color w:val="000000" w:themeColor="text1"/>
          <w:sz w:val="22"/>
          <w:lang w:eastAsia="es-ES_tradnl"/>
        </w:rPr>
        <w:t>el plazo establecido en el pliego de condiciones, se considera que hay una</w:t>
      </w:r>
      <w:r w:rsidR="00D46D8F" w:rsidRPr="00211099">
        <w:rPr>
          <w:rFonts w:ascii="ArialMT" w:eastAsia="Times New Roman" w:hAnsi="ArialMT" w:cs="Times New Roman"/>
          <w:color w:val="000000" w:themeColor="text1"/>
          <w:sz w:val="22"/>
          <w:lang w:eastAsia="es-ES_tradnl"/>
        </w:rPr>
        <w:t xml:space="preserve"> aceptación de los ries</w:t>
      </w:r>
      <w:r w:rsidR="004B0A2B" w:rsidRPr="00211099">
        <w:rPr>
          <w:rFonts w:ascii="ArialMT" w:eastAsia="Times New Roman" w:hAnsi="ArialMT" w:cs="Times New Roman"/>
          <w:color w:val="000000" w:themeColor="text1"/>
          <w:sz w:val="22"/>
          <w:lang w:eastAsia="es-ES_tradnl"/>
        </w:rPr>
        <w:t>gos en la forma que lo haya definido la entidad pública</w:t>
      </w:r>
      <w:r w:rsidR="00D46D8F" w:rsidRPr="00211099">
        <w:rPr>
          <w:rFonts w:ascii="ArialMT" w:eastAsia="Times New Roman" w:hAnsi="ArialMT" w:cs="Times New Roman"/>
          <w:color w:val="000000" w:themeColor="text1"/>
          <w:sz w:val="22"/>
          <w:lang w:eastAsia="es-ES_tradnl"/>
        </w:rPr>
        <w:t xml:space="preserve">, sin que posteriormente haya lugar a reclamación sobre los puntos allí contemplados. </w:t>
      </w:r>
    </w:p>
    <w:p w14:paraId="2E271846" w14:textId="77777777" w:rsidR="00B35D30" w:rsidRPr="00211099" w:rsidRDefault="00B35D30" w:rsidP="00CA05E4">
      <w:pPr>
        <w:spacing w:line="276" w:lineRule="auto"/>
        <w:ind w:firstLine="709"/>
        <w:jc w:val="both"/>
        <w:rPr>
          <w:rFonts w:ascii="ArialMT" w:eastAsia="Times New Roman" w:hAnsi="ArialMT" w:cs="Times New Roman"/>
          <w:color w:val="000000" w:themeColor="text1"/>
          <w:sz w:val="19"/>
          <w:szCs w:val="19"/>
          <w:lang w:eastAsia="es-ES_tradnl"/>
        </w:rPr>
      </w:pPr>
    </w:p>
    <w:p w14:paraId="392B5C49" w14:textId="77777777" w:rsidR="00206B05" w:rsidRDefault="00D16B8D" w:rsidP="000858A1">
      <w:pPr>
        <w:pStyle w:val="Prrafodelista"/>
        <w:shd w:val="clear" w:color="auto" w:fill="FFFFFF"/>
        <w:tabs>
          <w:tab w:val="left" w:pos="426"/>
        </w:tabs>
        <w:ind w:left="709" w:right="709"/>
        <w:jc w:val="both"/>
        <w:rPr>
          <w:rFonts w:ascii="Arial" w:hAnsi="Arial" w:cs="Arial"/>
          <w:color w:val="000000" w:themeColor="text1"/>
          <w:sz w:val="19"/>
          <w:szCs w:val="19"/>
        </w:rPr>
      </w:pPr>
      <w:r w:rsidRPr="00211099">
        <w:rPr>
          <w:rFonts w:ascii="Arial" w:hAnsi="Arial" w:cs="Arial"/>
          <w:color w:val="000000" w:themeColor="text1"/>
          <w:sz w:val="19"/>
          <w:szCs w:val="19"/>
        </w:rPr>
        <w:t>«¿Se puede exigir como requisito para participar en un proceso de selección, la asistencia obligatoria de los oferentes a las audiencias de Asignación de Riesgos y Aclaración de pliegos?».</w:t>
      </w:r>
    </w:p>
    <w:p w14:paraId="7289CE85" w14:textId="77777777" w:rsidR="00206B05" w:rsidRDefault="00206B05" w:rsidP="00206B05">
      <w:pPr>
        <w:shd w:val="clear" w:color="auto" w:fill="FFFFFF"/>
        <w:tabs>
          <w:tab w:val="left" w:pos="426"/>
        </w:tabs>
        <w:ind w:right="709"/>
        <w:jc w:val="both"/>
        <w:rPr>
          <w:rFonts w:ascii="Arial" w:eastAsia="Calibri" w:hAnsi="Arial" w:cs="Arial"/>
          <w:color w:val="000000" w:themeColor="text1"/>
          <w:sz w:val="22"/>
        </w:rPr>
      </w:pPr>
    </w:p>
    <w:p w14:paraId="72702D42" w14:textId="511BD0C2" w:rsidR="00595860" w:rsidRPr="00206B05" w:rsidRDefault="00B35D30" w:rsidP="000858A1">
      <w:pPr>
        <w:shd w:val="clear" w:color="auto" w:fill="FFFFFF"/>
        <w:tabs>
          <w:tab w:val="left" w:pos="709"/>
        </w:tabs>
        <w:spacing w:after="120" w:line="276" w:lineRule="auto"/>
        <w:jc w:val="both"/>
        <w:rPr>
          <w:rFonts w:ascii="Arial" w:hAnsi="Arial" w:cs="Arial"/>
          <w:color w:val="000000" w:themeColor="text1"/>
          <w:sz w:val="19"/>
          <w:szCs w:val="19"/>
        </w:rPr>
      </w:pPr>
      <w:r w:rsidRPr="00206B05">
        <w:rPr>
          <w:rFonts w:ascii="Arial" w:eastAsia="Calibri" w:hAnsi="Arial" w:cs="Arial"/>
          <w:color w:val="000000" w:themeColor="text1"/>
          <w:sz w:val="22"/>
        </w:rPr>
        <w:t>E</w:t>
      </w:r>
      <w:r w:rsidR="00D16B8D" w:rsidRPr="00206B05">
        <w:rPr>
          <w:rFonts w:ascii="Arial" w:eastAsia="Calibri" w:hAnsi="Arial" w:cs="Arial"/>
          <w:color w:val="000000" w:themeColor="text1"/>
          <w:sz w:val="22"/>
        </w:rPr>
        <w:t>n la estructuración de los procesos de selección</w:t>
      </w:r>
      <w:r w:rsidRPr="00206B05">
        <w:rPr>
          <w:rFonts w:ascii="Arial" w:eastAsia="Calibri" w:hAnsi="Arial" w:cs="Arial"/>
          <w:color w:val="000000" w:themeColor="text1"/>
          <w:sz w:val="22"/>
        </w:rPr>
        <w:t>, l</w:t>
      </w:r>
      <w:r w:rsidR="00B41188" w:rsidRPr="00206B05">
        <w:rPr>
          <w:rFonts w:ascii="Arial" w:eastAsia="Calibri" w:hAnsi="Arial" w:cs="Arial"/>
          <w:color w:val="000000" w:themeColor="text1"/>
          <w:sz w:val="22"/>
        </w:rPr>
        <w:t>as entidades p</w:t>
      </w:r>
      <w:r w:rsidRPr="00206B05">
        <w:rPr>
          <w:rFonts w:ascii="Arial" w:eastAsia="Calibri" w:hAnsi="Arial" w:cs="Arial"/>
          <w:color w:val="000000" w:themeColor="text1"/>
          <w:sz w:val="22"/>
        </w:rPr>
        <w:t>úblicas</w:t>
      </w:r>
      <w:r w:rsidR="00D16B8D" w:rsidRPr="00206B05">
        <w:rPr>
          <w:rFonts w:ascii="Arial" w:eastAsia="Calibri" w:hAnsi="Arial" w:cs="Arial"/>
          <w:color w:val="000000" w:themeColor="text1"/>
          <w:sz w:val="22"/>
        </w:rPr>
        <w:t xml:space="preserve"> deben establecer requisitos habilitantes y de calificación </w:t>
      </w:r>
      <w:r w:rsidR="00AA7884" w:rsidRPr="00206B05">
        <w:rPr>
          <w:rFonts w:ascii="Arial" w:eastAsia="Calibri" w:hAnsi="Arial" w:cs="Arial"/>
          <w:color w:val="000000" w:themeColor="text1"/>
          <w:sz w:val="22"/>
        </w:rPr>
        <w:t>que garanticen la selección objetiva y la escogencia del oferente con la mejor propuesta,</w:t>
      </w:r>
      <w:r w:rsidR="00595860" w:rsidRPr="00206B05">
        <w:rPr>
          <w:rFonts w:ascii="Arial" w:eastAsia="Calibri" w:hAnsi="Arial" w:cs="Arial"/>
          <w:color w:val="000000" w:themeColor="text1"/>
          <w:sz w:val="22"/>
        </w:rPr>
        <w:t xml:space="preserve"> </w:t>
      </w:r>
      <w:r w:rsidR="00AA7884" w:rsidRPr="00206B05">
        <w:rPr>
          <w:rFonts w:ascii="Arial" w:eastAsia="Calibri" w:hAnsi="Arial" w:cs="Arial"/>
          <w:color w:val="000000" w:themeColor="text1"/>
          <w:sz w:val="22"/>
        </w:rPr>
        <w:t>según lo establecido en</w:t>
      </w:r>
      <w:r w:rsidR="00595860" w:rsidRPr="00206B05">
        <w:rPr>
          <w:rFonts w:ascii="Arial" w:eastAsia="Calibri" w:hAnsi="Arial" w:cs="Arial"/>
          <w:color w:val="000000" w:themeColor="text1"/>
          <w:sz w:val="22"/>
        </w:rPr>
        <w:t xml:space="preserve"> la Ley</w:t>
      </w:r>
      <w:r w:rsidR="00FD7A3E">
        <w:rPr>
          <w:rFonts w:ascii="Arial" w:eastAsia="Calibri" w:hAnsi="Arial" w:cs="Arial"/>
          <w:color w:val="000000" w:themeColor="text1"/>
          <w:sz w:val="22"/>
        </w:rPr>
        <w:t xml:space="preserve"> 1150 de 2007</w:t>
      </w:r>
      <w:r w:rsidR="00595860" w:rsidRPr="00206B05">
        <w:rPr>
          <w:rFonts w:ascii="Arial" w:eastAsia="Calibri" w:hAnsi="Arial" w:cs="Arial"/>
          <w:color w:val="000000" w:themeColor="text1"/>
          <w:sz w:val="22"/>
        </w:rPr>
        <w:t xml:space="preserve"> y </w:t>
      </w:r>
      <w:r w:rsidR="00AA7884" w:rsidRPr="00206B05">
        <w:rPr>
          <w:rFonts w:ascii="Arial" w:eastAsia="Calibri" w:hAnsi="Arial" w:cs="Arial"/>
          <w:color w:val="000000" w:themeColor="text1"/>
          <w:sz w:val="22"/>
        </w:rPr>
        <w:t>en</w:t>
      </w:r>
      <w:r w:rsidR="00595860" w:rsidRPr="00206B05">
        <w:rPr>
          <w:rFonts w:ascii="Arial" w:eastAsia="Calibri" w:hAnsi="Arial" w:cs="Arial"/>
          <w:color w:val="000000" w:themeColor="text1"/>
          <w:sz w:val="22"/>
        </w:rPr>
        <w:t xml:space="preserve"> el Decreto 1082 de</w:t>
      </w:r>
      <w:r w:rsidR="00AA7884" w:rsidRPr="00206B05">
        <w:rPr>
          <w:rFonts w:ascii="Arial" w:eastAsia="Calibri" w:hAnsi="Arial" w:cs="Arial"/>
          <w:color w:val="000000" w:themeColor="text1"/>
          <w:sz w:val="22"/>
        </w:rPr>
        <w:t xml:space="preserve"> </w:t>
      </w:r>
      <w:r w:rsidR="00595860" w:rsidRPr="00206B05">
        <w:rPr>
          <w:rFonts w:ascii="Arial" w:eastAsia="Calibri" w:hAnsi="Arial" w:cs="Arial"/>
          <w:color w:val="000000" w:themeColor="text1"/>
          <w:sz w:val="22"/>
        </w:rPr>
        <w:t>2015</w:t>
      </w:r>
      <w:r w:rsidR="00D16B8D" w:rsidRPr="00206B05">
        <w:rPr>
          <w:rFonts w:ascii="Arial" w:eastAsia="Calibri" w:hAnsi="Arial" w:cs="Arial"/>
          <w:color w:val="000000" w:themeColor="text1"/>
          <w:sz w:val="22"/>
        </w:rPr>
        <w:t xml:space="preserve">. En tal sentido, no pueden </w:t>
      </w:r>
      <w:r w:rsidR="00AA7884" w:rsidRPr="00206B05">
        <w:rPr>
          <w:rFonts w:ascii="Arial" w:eastAsia="Calibri" w:hAnsi="Arial" w:cs="Arial"/>
          <w:color w:val="000000" w:themeColor="text1"/>
          <w:sz w:val="22"/>
        </w:rPr>
        <w:t xml:space="preserve">estipular </w:t>
      </w:r>
      <w:r w:rsidR="00D16B8D" w:rsidRPr="00206B05">
        <w:rPr>
          <w:rFonts w:ascii="Arial" w:eastAsia="Calibri" w:hAnsi="Arial" w:cs="Arial"/>
          <w:color w:val="000000" w:themeColor="text1"/>
          <w:sz w:val="22"/>
        </w:rPr>
        <w:t xml:space="preserve">requisitos para participar en un proceso de selección que no </w:t>
      </w:r>
      <w:r w:rsidR="00B41188" w:rsidRPr="00206B05">
        <w:rPr>
          <w:rFonts w:ascii="Arial" w:eastAsia="Calibri" w:hAnsi="Arial" w:cs="Arial"/>
          <w:color w:val="000000" w:themeColor="text1"/>
          <w:sz w:val="22"/>
        </w:rPr>
        <w:t>atienda</w:t>
      </w:r>
      <w:r w:rsidR="00D16B8D" w:rsidRPr="00206B05">
        <w:rPr>
          <w:rFonts w:ascii="Arial" w:eastAsia="Calibri" w:hAnsi="Arial" w:cs="Arial"/>
          <w:color w:val="000000" w:themeColor="text1"/>
          <w:sz w:val="22"/>
        </w:rPr>
        <w:t xml:space="preserve"> </w:t>
      </w:r>
      <w:r w:rsidR="00AA7884" w:rsidRPr="00206B05">
        <w:rPr>
          <w:rFonts w:ascii="Arial" w:eastAsia="Calibri" w:hAnsi="Arial" w:cs="Arial"/>
          <w:color w:val="000000" w:themeColor="text1"/>
          <w:sz w:val="22"/>
        </w:rPr>
        <w:t>e</w:t>
      </w:r>
      <w:r w:rsidR="00D16B8D" w:rsidRPr="00206B05">
        <w:rPr>
          <w:rFonts w:ascii="Arial" w:eastAsia="Calibri" w:hAnsi="Arial" w:cs="Arial"/>
          <w:color w:val="000000" w:themeColor="text1"/>
          <w:sz w:val="22"/>
        </w:rPr>
        <w:t>l cumplimiento de los principios de selección objetiva y de transparencia exigidos por la normativa</w:t>
      </w:r>
      <w:r w:rsidR="00AA7884" w:rsidRPr="00206B05">
        <w:rPr>
          <w:rFonts w:ascii="Arial" w:eastAsia="Calibri" w:hAnsi="Arial" w:cs="Arial"/>
          <w:color w:val="000000" w:themeColor="text1"/>
          <w:sz w:val="22"/>
        </w:rPr>
        <w:t>. Tampoco pueden prever</w:t>
      </w:r>
      <w:r w:rsidR="00D16B8D" w:rsidRPr="00206B05">
        <w:rPr>
          <w:rFonts w:ascii="Arial" w:eastAsia="Calibri" w:hAnsi="Arial" w:cs="Arial"/>
          <w:color w:val="000000" w:themeColor="text1"/>
          <w:sz w:val="22"/>
        </w:rPr>
        <w:t xml:space="preserve"> o incluir causales de exclusi</w:t>
      </w:r>
      <w:r w:rsidR="008A795F" w:rsidRPr="00206B05">
        <w:rPr>
          <w:rFonts w:ascii="Arial" w:eastAsia="Calibri" w:hAnsi="Arial" w:cs="Arial"/>
          <w:color w:val="000000" w:themeColor="text1"/>
          <w:sz w:val="22"/>
        </w:rPr>
        <w:t xml:space="preserve">ón o de rechazo de las ofertas </w:t>
      </w:r>
      <w:r w:rsidR="00D16B8D" w:rsidRPr="00206B05">
        <w:rPr>
          <w:rFonts w:ascii="Arial" w:eastAsia="Calibri" w:hAnsi="Arial" w:cs="Arial"/>
          <w:color w:val="000000" w:themeColor="text1"/>
          <w:sz w:val="22"/>
        </w:rPr>
        <w:t xml:space="preserve">que no correspondan a previsiones previamente consagradas en la </w:t>
      </w:r>
      <w:r w:rsidR="00AA7884" w:rsidRPr="00206B05">
        <w:rPr>
          <w:rFonts w:ascii="Arial" w:eastAsia="Calibri" w:hAnsi="Arial" w:cs="Arial"/>
          <w:color w:val="000000" w:themeColor="text1"/>
          <w:sz w:val="22"/>
        </w:rPr>
        <w:t>L</w:t>
      </w:r>
      <w:r w:rsidR="00D16B8D" w:rsidRPr="00206B05">
        <w:rPr>
          <w:rFonts w:ascii="Arial" w:eastAsia="Calibri" w:hAnsi="Arial" w:cs="Arial"/>
          <w:color w:val="000000" w:themeColor="text1"/>
          <w:sz w:val="22"/>
        </w:rPr>
        <w:t xml:space="preserve">ey, como lo es la asistencia obligatoria a la audiencia de asignación de riesgos, respecto de la cual la norma no establece tal obligatoriedad. </w:t>
      </w:r>
    </w:p>
    <w:p w14:paraId="010BEF26" w14:textId="332481A3" w:rsidR="003D12FA" w:rsidRDefault="00595860" w:rsidP="003D12FA">
      <w:pPr>
        <w:spacing w:line="276" w:lineRule="auto"/>
        <w:ind w:firstLine="709"/>
        <w:jc w:val="both"/>
        <w:rPr>
          <w:rFonts w:ascii="Arial" w:hAnsi="Arial" w:cs="Arial"/>
          <w:color w:val="000000" w:themeColor="text1"/>
          <w:sz w:val="22"/>
        </w:rPr>
      </w:pPr>
      <w:r w:rsidRPr="00211099">
        <w:rPr>
          <w:rFonts w:ascii="Arial" w:hAnsi="Arial" w:cs="Arial"/>
          <w:color w:val="000000" w:themeColor="text1"/>
          <w:sz w:val="22"/>
        </w:rPr>
        <w:lastRenderedPageBreak/>
        <w:t>Se recuerda qu</w:t>
      </w:r>
      <w:r w:rsidR="00290AA5" w:rsidRPr="00211099">
        <w:rPr>
          <w:rFonts w:ascii="Arial" w:hAnsi="Arial" w:cs="Arial"/>
          <w:color w:val="000000" w:themeColor="text1"/>
          <w:sz w:val="22"/>
        </w:rPr>
        <w:t>e los requisitos habilitantes tienen como fin primordial medir la aptitud y las condiciones del proponente para ejecutar el contrato estatal. En consecuencia,</w:t>
      </w:r>
      <w:r w:rsidRPr="00211099">
        <w:rPr>
          <w:rFonts w:ascii="Arial" w:hAnsi="Arial" w:cs="Arial"/>
          <w:color w:val="000000" w:themeColor="text1"/>
          <w:sz w:val="22"/>
        </w:rPr>
        <w:t xml:space="preserve"> </w:t>
      </w:r>
      <w:r w:rsidR="00B54C95" w:rsidRPr="00211099">
        <w:rPr>
          <w:rFonts w:ascii="Arial" w:hAnsi="Arial" w:cs="Arial"/>
          <w:color w:val="000000" w:themeColor="text1"/>
          <w:sz w:val="22"/>
        </w:rPr>
        <w:t xml:space="preserve">esa facultad </w:t>
      </w:r>
      <w:r w:rsidRPr="00211099">
        <w:rPr>
          <w:rFonts w:ascii="Arial" w:hAnsi="Arial" w:cs="Arial"/>
          <w:color w:val="000000" w:themeColor="text1"/>
          <w:sz w:val="22"/>
        </w:rPr>
        <w:t xml:space="preserve">de estructuración de los pliegos de condiciones </w:t>
      </w:r>
      <w:r w:rsidR="00B54C95" w:rsidRPr="00211099">
        <w:rPr>
          <w:rFonts w:ascii="Arial" w:hAnsi="Arial" w:cs="Arial"/>
          <w:color w:val="000000" w:themeColor="text1"/>
          <w:sz w:val="22"/>
        </w:rPr>
        <w:t>con la que cuentan las entidades públicas debe ejercerse de</w:t>
      </w:r>
      <w:r w:rsidRPr="00211099">
        <w:rPr>
          <w:rFonts w:ascii="Arial" w:hAnsi="Arial" w:cs="Arial"/>
          <w:color w:val="000000" w:themeColor="text1"/>
          <w:sz w:val="22"/>
        </w:rPr>
        <w:t xml:space="preserve"> forma adecuada y proporcional</w:t>
      </w:r>
      <w:r w:rsidR="00B54C95" w:rsidRPr="00211099">
        <w:rPr>
          <w:rFonts w:ascii="Arial" w:hAnsi="Arial" w:cs="Arial"/>
          <w:color w:val="000000" w:themeColor="text1"/>
          <w:sz w:val="22"/>
        </w:rPr>
        <w:t xml:space="preserve">, lo que implica la necesidad de </w:t>
      </w:r>
      <w:r w:rsidR="005E2984">
        <w:rPr>
          <w:rFonts w:ascii="Arial" w:hAnsi="Arial" w:cs="Arial"/>
          <w:color w:val="000000" w:themeColor="text1"/>
          <w:sz w:val="22"/>
        </w:rPr>
        <w:t>considerar</w:t>
      </w:r>
      <w:r w:rsidR="005E2984" w:rsidRPr="00211099">
        <w:rPr>
          <w:rFonts w:ascii="Arial" w:hAnsi="Arial" w:cs="Arial"/>
          <w:color w:val="000000" w:themeColor="text1"/>
          <w:sz w:val="22"/>
        </w:rPr>
        <w:t xml:space="preserve"> </w:t>
      </w:r>
      <w:r w:rsidR="00B54C95" w:rsidRPr="00211099">
        <w:rPr>
          <w:rFonts w:ascii="Arial" w:hAnsi="Arial" w:cs="Arial"/>
          <w:color w:val="000000" w:themeColor="text1"/>
          <w:sz w:val="22"/>
        </w:rPr>
        <w:t>la naturaleza, el valor del contrato, la</w:t>
      </w:r>
      <w:r w:rsidR="00290AA5" w:rsidRPr="00211099">
        <w:rPr>
          <w:rFonts w:ascii="Arial" w:hAnsi="Arial" w:cs="Arial"/>
          <w:color w:val="000000" w:themeColor="text1"/>
          <w:sz w:val="22"/>
        </w:rPr>
        <w:t xml:space="preserve"> forma de pago</w:t>
      </w:r>
      <w:r w:rsidR="00B54C95" w:rsidRPr="00211099">
        <w:rPr>
          <w:rFonts w:ascii="Arial" w:hAnsi="Arial" w:cs="Arial"/>
          <w:color w:val="000000" w:themeColor="text1"/>
          <w:sz w:val="22"/>
        </w:rPr>
        <w:t>, el plazo y la complejidad de ejecución del objeto, aspectos estos</w:t>
      </w:r>
      <w:r w:rsidR="00290AA5" w:rsidRPr="00211099">
        <w:rPr>
          <w:rFonts w:ascii="Arial" w:hAnsi="Arial" w:cs="Arial"/>
          <w:color w:val="000000" w:themeColor="text1"/>
          <w:sz w:val="22"/>
        </w:rPr>
        <w:t xml:space="preserve"> que</w:t>
      </w:r>
      <w:r w:rsidR="00B54C95" w:rsidRPr="00211099">
        <w:rPr>
          <w:rFonts w:ascii="Arial" w:hAnsi="Arial" w:cs="Arial"/>
          <w:color w:val="000000" w:themeColor="text1"/>
          <w:sz w:val="22"/>
        </w:rPr>
        <w:t xml:space="preserve"> </w:t>
      </w:r>
      <w:r w:rsidR="00290AA5" w:rsidRPr="00211099">
        <w:rPr>
          <w:rFonts w:ascii="Arial" w:hAnsi="Arial" w:cs="Arial"/>
          <w:color w:val="000000" w:themeColor="text1"/>
          <w:sz w:val="22"/>
        </w:rPr>
        <w:t xml:space="preserve">no se relacionan con la obligación de asistir a la audiencia de asignación de riesgos. </w:t>
      </w:r>
    </w:p>
    <w:p w14:paraId="32287F57" w14:textId="77777777" w:rsidR="007E3FAB" w:rsidRDefault="007E3FAB" w:rsidP="003D12FA">
      <w:pPr>
        <w:spacing w:line="276" w:lineRule="auto"/>
        <w:jc w:val="both"/>
        <w:rPr>
          <w:rFonts w:ascii="Arial" w:eastAsia="Calibri" w:hAnsi="Arial" w:cs="Arial"/>
          <w:color w:val="000000" w:themeColor="text1"/>
          <w:sz w:val="22"/>
        </w:rPr>
      </w:pPr>
    </w:p>
    <w:p w14:paraId="66ADC695" w14:textId="30331139" w:rsidR="004A303C" w:rsidRPr="003D12FA" w:rsidRDefault="004A303C" w:rsidP="003D12FA">
      <w:pPr>
        <w:spacing w:line="276" w:lineRule="auto"/>
        <w:jc w:val="both"/>
        <w:rPr>
          <w:rFonts w:ascii="Arial" w:hAnsi="Arial" w:cs="Arial"/>
          <w:color w:val="000000" w:themeColor="text1"/>
          <w:sz w:val="22"/>
        </w:rPr>
      </w:pPr>
      <w:r w:rsidRPr="00211099">
        <w:rPr>
          <w:rFonts w:ascii="Arial" w:eastAsia="Calibri" w:hAnsi="Arial" w:cs="Arial"/>
          <w:color w:val="000000" w:themeColor="text1"/>
          <w:sz w:val="22"/>
        </w:rPr>
        <w:t>Este concepto tiene el alcance previsto en el artículo 28 del Código de Procedimiento Administrativo y de lo Contencioso Administrativo.</w:t>
      </w:r>
    </w:p>
    <w:p w14:paraId="33A82DBA" w14:textId="77777777" w:rsidR="004A303C" w:rsidRPr="00211099" w:rsidRDefault="004A303C" w:rsidP="004A303C">
      <w:pPr>
        <w:ind w:firstLine="709"/>
        <w:jc w:val="both"/>
        <w:rPr>
          <w:rFonts w:ascii="Arial" w:eastAsia="Calibri" w:hAnsi="Arial" w:cs="Arial"/>
          <w:color w:val="000000" w:themeColor="text1"/>
          <w:sz w:val="22"/>
        </w:rPr>
      </w:pPr>
    </w:p>
    <w:p w14:paraId="51C0AC5D" w14:textId="77777777" w:rsidR="007E3FAB" w:rsidRDefault="007E3FAB" w:rsidP="004A303C">
      <w:pPr>
        <w:jc w:val="both"/>
        <w:rPr>
          <w:rFonts w:ascii="Arial" w:eastAsia="Times New Roman" w:hAnsi="Arial" w:cs="Arial"/>
          <w:color w:val="000000" w:themeColor="text1"/>
          <w:sz w:val="22"/>
          <w:lang w:eastAsia="es-CO"/>
        </w:rPr>
      </w:pPr>
    </w:p>
    <w:p w14:paraId="55EF1794" w14:textId="56A9F8F5" w:rsidR="004A303C" w:rsidRDefault="004A303C" w:rsidP="004A303C">
      <w:pPr>
        <w:jc w:val="both"/>
        <w:rPr>
          <w:rFonts w:ascii="Arial" w:eastAsia="Times New Roman" w:hAnsi="Arial" w:cs="Arial"/>
          <w:color w:val="000000" w:themeColor="text1"/>
          <w:sz w:val="22"/>
          <w:lang w:eastAsia="es-CO"/>
        </w:rPr>
      </w:pPr>
      <w:r w:rsidRPr="00211099">
        <w:rPr>
          <w:rFonts w:ascii="Arial" w:eastAsia="Times New Roman" w:hAnsi="Arial" w:cs="Arial"/>
          <w:color w:val="000000" w:themeColor="text1"/>
          <w:sz w:val="22"/>
          <w:lang w:eastAsia="es-CO"/>
        </w:rPr>
        <w:t>Atentamente,</w:t>
      </w:r>
    </w:p>
    <w:p w14:paraId="5FFE9AED" w14:textId="1F1B7502" w:rsidR="006671D9" w:rsidRDefault="006671D9" w:rsidP="004A303C">
      <w:pPr>
        <w:jc w:val="both"/>
        <w:rPr>
          <w:rFonts w:ascii="Arial" w:eastAsia="Times New Roman" w:hAnsi="Arial" w:cs="Arial"/>
          <w:color w:val="000000" w:themeColor="text1"/>
          <w:sz w:val="22"/>
          <w:lang w:eastAsia="es-CO"/>
        </w:rPr>
      </w:pPr>
    </w:p>
    <w:p w14:paraId="7B649654" w14:textId="1A277015" w:rsidR="006671D9" w:rsidRPr="00211099" w:rsidRDefault="006671D9" w:rsidP="006671D9">
      <w:pPr>
        <w:jc w:val="center"/>
        <w:rPr>
          <w:rFonts w:ascii="Arial" w:eastAsia="Times New Roman" w:hAnsi="Arial" w:cs="Arial"/>
          <w:color w:val="000000" w:themeColor="text1"/>
          <w:sz w:val="22"/>
          <w:lang w:eastAsia="es-CO"/>
        </w:rPr>
      </w:pPr>
      <w:r w:rsidRPr="0007099C">
        <w:rPr>
          <w:rFonts w:ascii="Arial" w:hAnsi="Arial" w:cs="Arial"/>
          <w:noProof/>
          <w:color w:val="000000" w:themeColor="text1"/>
          <w:sz w:val="22"/>
        </w:rPr>
        <w:drawing>
          <wp:inline distT="0" distB="0" distL="0" distR="0" wp14:anchorId="76038C2C" wp14:editId="2FBBC328">
            <wp:extent cx="2204214" cy="976867"/>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224662" cy="985929"/>
                    </a:xfrm>
                    <a:prstGeom prst="rect">
                      <a:avLst/>
                    </a:prstGeom>
                  </pic:spPr>
                </pic:pic>
              </a:graphicData>
            </a:graphic>
          </wp:inline>
        </w:drawing>
      </w:r>
    </w:p>
    <w:bookmarkEnd w:id="0"/>
    <w:bookmarkEnd w:id="1"/>
    <w:p w14:paraId="0D6748A8" w14:textId="77777777" w:rsidR="006F7835" w:rsidRPr="00211099" w:rsidRDefault="006F7835" w:rsidP="004A303C">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211099" w14:paraId="3845EF28" w14:textId="77777777" w:rsidTr="00CE49BE">
        <w:trPr>
          <w:trHeight w:val="315"/>
        </w:trPr>
        <w:tc>
          <w:tcPr>
            <w:tcW w:w="812" w:type="dxa"/>
            <w:vAlign w:val="center"/>
            <w:hideMark/>
          </w:tcPr>
          <w:p w14:paraId="46573DA4" w14:textId="77777777" w:rsidR="004A303C" w:rsidRPr="00211099" w:rsidRDefault="004A303C"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211099" w:rsidRDefault="004A303C"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Guillermo Escolar Flórez</w:t>
            </w:r>
          </w:p>
          <w:p w14:paraId="2D2324C2" w14:textId="6439F39A" w:rsidR="00186E11" w:rsidRPr="00211099" w:rsidRDefault="00186E11"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Contratista de la Subdirección de Gestión Contractual</w:t>
            </w:r>
          </w:p>
        </w:tc>
      </w:tr>
      <w:tr w:rsidR="000079A6" w:rsidRPr="00211099" w14:paraId="185A8054" w14:textId="77777777" w:rsidTr="00CE49BE">
        <w:trPr>
          <w:trHeight w:val="330"/>
        </w:trPr>
        <w:tc>
          <w:tcPr>
            <w:tcW w:w="812" w:type="dxa"/>
            <w:vAlign w:val="center"/>
            <w:hideMark/>
          </w:tcPr>
          <w:p w14:paraId="6DF4B2B6" w14:textId="77777777" w:rsidR="004A303C" w:rsidRPr="00211099" w:rsidRDefault="004A303C"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77777777" w:rsidR="004A303C" w:rsidRPr="00211099" w:rsidRDefault="00163A8B"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Cristian Andrés Díaz Díez</w:t>
            </w:r>
          </w:p>
          <w:p w14:paraId="3B49C6C0" w14:textId="3129AA04" w:rsidR="00186E11" w:rsidRPr="00211099" w:rsidRDefault="00186E11"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Contratista de la Subdirección de Gestión Contractual</w:t>
            </w:r>
          </w:p>
        </w:tc>
      </w:tr>
      <w:tr w:rsidR="000079A6" w:rsidRPr="00211099" w14:paraId="0264BFAB" w14:textId="77777777" w:rsidTr="00CE49BE">
        <w:trPr>
          <w:trHeight w:val="300"/>
        </w:trPr>
        <w:tc>
          <w:tcPr>
            <w:tcW w:w="812" w:type="dxa"/>
            <w:vAlign w:val="center"/>
            <w:hideMark/>
          </w:tcPr>
          <w:p w14:paraId="62F9E26B" w14:textId="77777777" w:rsidR="004A303C" w:rsidRPr="00211099" w:rsidRDefault="004A303C"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211099" w:rsidRDefault="00A443F2"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Jorge Augusto Tirado Navarro</w:t>
            </w:r>
          </w:p>
          <w:p w14:paraId="0E4183AA" w14:textId="77777777" w:rsidR="004A303C" w:rsidRPr="00211099" w:rsidRDefault="004A303C" w:rsidP="00CE49BE">
            <w:pPr>
              <w:rPr>
                <w:rFonts w:ascii="Arial" w:eastAsia="Times New Roman" w:hAnsi="Arial" w:cs="Arial"/>
                <w:color w:val="000000" w:themeColor="text1"/>
                <w:sz w:val="16"/>
                <w:szCs w:val="16"/>
                <w:lang w:eastAsia="es-ES"/>
              </w:rPr>
            </w:pPr>
            <w:r w:rsidRPr="00211099">
              <w:rPr>
                <w:rFonts w:ascii="Arial" w:eastAsia="Times New Roman" w:hAnsi="Arial" w:cs="Arial"/>
                <w:color w:val="000000" w:themeColor="text1"/>
                <w:sz w:val="16"/>
                <w:szCs w:val="16"/>
                <w:lang w:eastAsia="es-ES"/>
              </w:rPr>
              <w:t>Subdirector de Gestión Contractual</w:t>
            </w:r>
          </w:p>
        </w:tc>
      </w:tr>
    </w:tbl>
    <w:p w14:paraId="1B0D48EA" w14:textId="77777777" w:rsidR="00BD6605" w:rsidRPr="00211099" w:rsidRDefault="00BD6605">
      <w:pPr>
        <w:rPr>
          <w:color w:val="000000" w:themeColor="text1"/>
        </w:rPr>
      </w:pPr>
    </w:p>
    <w:sectPr w:rsidR="00BD6605" w:rsidRPr="00211099" w:rsidSect="00CE49BE">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B707C" w14:textId="77777777" w:rsidR="004C21DA" w:rsidRDefault="004C21DA" w:rsidP="004A303C">
      <w:r>
        <w:separator/>
      </w:r>
    </w:p>
  </w:endnote>
  <w:endnote w:type="continuationSeparator" w:id="0">
    <w:p w14:paraId="5BD094A7" w14:textId="77777777" w:rsidR="004C21DA" w:rsidRDefault="004C21DA"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F2E7" w14:textId="77777777" w:rsidR="008F480A" w:rsidRPr="008F480A" w:rsidRDefault="008F480A" w:rsidP="00CE49BE">
    <w:pPr>
      <w:pStyle w:val="Piedepgina"/>
      <w:jc w:val="right"/>
      <w:rPr>
        <w:rFonts w:ascii="Arial" w:hAnsi="Arial" w:cs="Arial"/>
        <w:bCs/>
        <w:color w:val="7F7F7F" w:themeColor="text1" w:themeTint="80"/>
        <w:szCs w:val="24"/>
      </w:rPr>
    </w:pPr>
  </w:p>
  <w:p w14:paraId="53CAD16D" w14:textId="77777777" w:rsidR="008F480A" w:rsidRDefault="008F480A" w:rsidP="00CE49BE">
    <w:pPr>
      <w:pStyle w:val="Piedepgina"/>
      <w:jc w:val="right"/>
      <w:rPr>
        <w:rFonts w:ascii="Arial" w:hAnsi="Arial" w:cs="Arial"/>
        <w:bCs/>
        <w:color w:val="7F7F7F" w:themeColor="text1" w:themeTint="80"/>
        <w:sz w:val="16"/>
        <w:szCs w:val="16"/>
      </w:rPr>
    </w:pPr>
  </w:p>
  <w:p w14:paraId="4FC63438" w14:textId="188F7D69" w:rsidR="00CE49BE" w:rsidRPr="008217B7" w:rsidRDefault="00CE49BE" w:rsidP="00CE49B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11099">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11099">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01CE2E1A" w14:textId="77777777" w:rsidR="00CE49BE" w:rsidRDefault="00CE49BE" w:rsidP="00CE49B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CE49BE" w:rsidRPr="00E756AC" w:rsidRDefault="00CE49BE" w:rsidP="00CE49BE">
    <w:pPr>
      <w:pStyle w:val="Piedepgina"/>
      <w:jc w:val="center"/>
      <w:rPr>
        <w:sz w:val="18"/>
        <w:szCs w:val="18"/>
        <w:lang w:val="es-ES"/>
      </w:rPr>
    </w:pPr>
  </w:p>
  <w:p w14:paraId="59B6DB65" w14:textId="77777777" w:rsidR="00CE49BE" w:rsidRPr="00E756AC" w:rsidRDefault="00CE49BE" w:rsidP="00CE49B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96E83" w14:textId="77777777" w:rsidR="004C21DA" w:rsidRDefault="004C21DA" w:rsidP="004A303C">
      <w:r>
        <w:separator/>
      </w:r>
    </w:p>
  </w:footnote>
  <w:footnote w:type="continuationSeparator" w:id="0">
    <w:p w14:paraId="0E13907E" w14:textId="77777777" w:rsidR="004C21DA" w:rsidRDefault="004C21DA" w:rsidP="004A303C">
      <w:r>
        <w:continuationSeparator/>
      </w:r>
    </w:p>
  </w:footnote>
  <w:footnote w:id="1">
    <w:p w14:paraId="4DC2DC5F" w14:textId="1E296F27" w:rsidR="00CE49BE" w:rsidRPr="00D50B5C" w:rsidRDefault="00CE49BE" w:rsidP="00C571BD">
      <w:pPr>
        <w:pStyle w:val="Textonotapie"/>
        <w:ind w:firstLine="709"/>
        <w:jc w:val="both"/>
        <w:rPr>
          <w:rFonts w:ascii="Arial" w:hAnsi="Arial" w:cs="Arial"/>
          <w:lang w:val="es-CO"/>
        </w:rPr>
      </w:pPr>
      <w:r w:rsidRPr="00D50B5C">
        <w:rPr>
          <w:rStyle w:val="Refdenotaalpie"/>
          <w:rFonts w:ascii="Arial" w:hAnsi="Arial" w:cs="Arial"/>
        </w:rPr>
        <w:footnoteRef/>
      </w:r>
      <w:r w:rsidRPr="00D50B5C">
        <w:rPr>
          <w:rFonts w:ascii="Arial" w:hAnsi="Arial" w:cs="Arial"/>
        </w:rPr>
        <w:t xml:space="preserve"> </w:t>
      </w:r>
      <w:r w:rsidRPr="00C128CA">
        <w:rPr>
          <w:rFonts w:ascii="Arial" w:hAnsi="Arial" w:cs="Arial"/>
          <w:sz w:val="19"/>
          <w:szCs w:val="19"/>
          <w:lang w:val="es-CO"/>
        </w:rPr>
        <w:t>Consejo de Estado, Sección Tercera, Sentencia del 23 de marzo de 2017. C.P: Marta Nubia Velásquez Rico. Exp.51526</w:t>
      </w:r>
    </w:p>
  </w:footnote>
  <w:footnote w:id="2">
    <w:p w14:paraId="262B272F" w14:textId="0C5855FB" w:rsidR="00CE49BE" w:rsidRPr="00C128CA" w:rsidRDefault="00CE49BE" w:rsidP="00894306">
      <w:pPr>
        <w:pStyle w:val="Textonotapie"/>
        <w:ind w:firstLine="709"/>
        <w:jc w:val="both"/>
        <w:rPr>
          <w:rFonts w:ascii="Arial" w:hAnsi="Arial" w:cs="Arial"/>
          <w:sz w:val="19"/>
          <w:szCs w:val="19"/>
        </w:rPr>
      </w:pPr>
      <w:r w:rsidRPr="00C128CA">
        <w:rPr>
          <w:rFonts w:ascii="Arial" w:hAnsi="Arial" w:cs="Arial"/>
          <w:sz w:val="19"/>
          <w:szCs w:val="19"/>
          <w:vertAlign w:val="superscript"/>
        </w:rPr>
        <w:footnoteRef/>
      </w:r>
      <w:r w:rsidRPr="00C128CA">
        <w:rPr>
          <w:rFonts w:ascii="Arial" w:hAnsi="Arial" w:cs="Arial"/>
          <w:sz w:val="19"/>
          <w:szCs w:val="19"/>
          <w:vertAlign w:val="superscript"/>
        </w:rPr>
        <w:t xml:space="preserve"> </w:t>
      </w:r>
      <w:r w:rsidRPr="00C128CA">
        <w:rPr>
          <w:rFonts w:ascii="Arial" w:hAnsi="Arial" w:cs="Arial"/>
          <w:sz w:val="19"/>
          <w:szCs w:val="19"/>
        </w:rPr>
        <w:t>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1FAC600D" w14:textId="608AEAF9" w:rsidR="00CE49BE" w:rsidRPr="00C128CA" w:rsidRDefault="00CE49BE" w:rsidP="00894306">
      <w:pPr>
        <w:pStyle w:val="Textonotapie"/>
        <w:ind w:firstLine="709"/>
        <w:jc w:val="both"/>
        <w:rPr>
          <w:sz w:val="19"/>
          <w:szCs w:val="19"/>
          <w:lang w:val="es-CO"/>
        </w:rPr>
      </w:pPr>
      <w:r w:rsidRPr="00C128CA">
        <w:rPr>
          <w:rFonts w:ascii="Arial" w:hAnsi="Arial" w:cs="Arial"/>
          <w:sz w:val="19"/>
          <w:szCs w:val="19"/>
        </w:rPr>
        <w:t>En la audiencia de asignación de Riesgos, la Entidad Estatal debe presentar el análisis de Riesgos efectuado y hacer la asignación de Riesgos definitiva.</w:t>
      </w:r>
    </w:p>
  </w:footnote>
  <w:footnote w:id="3">
    <w:p w14:paraId="2AD03C30" w14:textId="19F9DE32" w:rsidR="00CE49BE" w:rsidRPr="00C128CA" w:rsidRDefault="00CE49BE" w:rsidP="00BD638B">
      <w:pPr>
        <w:pStyle w:val="Textonotapie"/>
        <w:ind w:firstLine="709"/>
        <w:rPr>
          <w:sz w:val="19"/>
          <w:szCs w:val="19"/>
          <w:lang w:val="es-CO"/>
        </w:rPr>
      </w:pPr>
      <w:r w:rsidRPr="00C128CA">
        <w:rPr>
          <w:rStyle w:val="Refdenotaalpie"/>
          <w:sz w:val="19"/>
          <w:szCs w:val="19"/>
        </w:rPr>
        <w:footnoteRef/>
      </w:r>
      <w:r w:rsidRPr="00C128CA">
        <w:rPr>
          <w:sz w:val="19"/>
          <w:szCs w:val="19"/>
        </w:rPr>
        <w:t xml:space="preserve"> </w:t>
      </w:r>
      <w:r w:rsidRPr="00C128CA">
        <w:rPr>
          <w:rFonts w:ascii="Arial" w:hAnsi="Arial" w:cs="Arial"/>
          <w:sz w:val="19"/>
          <w:szCs w:val="19"/>
          <w:lang w:val="es-CO"/>
        </w:rPr>
        <w:t xml:space="preserve">Consejo de </w:t>
      </w:r>
      <w:r w:rsidR="00D10D1B" w:rsidRPr="00C128CA">
        <w:rPr>
          <w:rFonts w:ascii="Arial" w:hAnsi="Arial" w:cs="Arial"/>
          <w:sz w:val="19"/>
          <w:szCs w:val="19"/>
          <w:lang w:val="es-CO"/>
        </w:rPr>
        <w:t>E</w:t>
      </w:r>
      <w:r w:rsidRPr="00C128CA">
        <w:rPr>
          <w:rFonts w:ascii="Arial" w:hAnsi="Arial" w:cs="Arial"/>
          <w:sz w:val="19"/>
          <w:szCs w:val="19"/>
          <w:lang w:val="es-CO"/>
        </w:rPr>
        <w:t>stado. Sección Tercera, Sentencia del 23 de marzo de 2017. C.P: Marta Nubia Velásquez Rico. Exp.51526</w:t>
      </w:r>
    </w:p>
  </w:footnote>
  <w:footnote w:id="4">
    <w:p w14:paraId="4953F880" w14:textId="4CEA21D3" w:rsidR="00CE49BE" w:rsidRPr="00C128CA" w:rsidRDefault="00CE49BE" w:rsidP="00BD638B">
      <w:pPr>
        <w:pStyle w:val="Textonotapie"/>
        <w:ind w:firstLine="709"/>
        <w:rPr>
          <w:rFonts w:ascii="Arial" w:hAnsi="Arial" w:cs="Arial"/>
          <w:sz w:val="19"/>
          <w:szCs w:val="19"/>
          <w:lang w:val="es-CO"/>
        </w:rPr>
      </w:pPr>
      <w:r w:rsidRPr="00C128CA">
        <w:rPr>
          <w:rStyle w:val="Refdenotaalpie"/>
          <w:rFonts w:ascii="Arial" w:hAnsi="Arial" w:cs="Arial"/>
          <w:sz w:val="19"/>
          <w:szCs w:val="19"/>
        </w:rPr>
        <w:footnoteRef/>
      </w:r>
      <w:r w:rsidRPr="00C128CA">
        <w:rPr>
          <w:rFonts w:ascii="Arial" w:hAnsi="Arial" w:cs="Arial"/>
          <w:sz w:val="19"/>
          <w:szCs w:val="19"/>
        </w:rPr>
        <w:t xml:space="preserve"> </w:t>
      </w:r>
      <w:proofErr w:type="spellStart"/>
      <w:r w:rsidRPr="00C128CA">
        <w:rPr>
          <w:rFonts w:ascii="Arial" w:hAnsi="Arial" w:cs="Arial"/>
          <w:sz w:val="19"/>
          <w:szCs w:val="19"/>
          <w:lang w:val="es-CO"/>
        </w:rPr>
        <w:t>Ibídem</w:t>
      </w:r>
      <w:proofErr w:type="spellEnd"/>
      <w:r w:rsidRPr="00C128CA">
        <w:rPr>
          <w:rFonts w:ascii="Arial" w:hAnsi="Arial" w:cs="Arial"/>
          <w:sz w:val="19"/>
          <w:szCs w:val="19"/>
          <w:lang w:val="es-CO"/>
        </w:rPr>
        <w:t xml:space="preserve"> </w:t>
      </w:r>
    </w:p>
  </w:footnote>
  <w:footnote w:id="5">
    <w:p w14:paraId="2EBC2DF7" w14:textId="062E087E" w:rsidR="00CD6F0A" w:rsidRPr="00C128CA" w:rsidRDefault="00CD6F0A" w:rsidP="00CD6F0A">
      <w:pPr>
        <w:pStyle w:val="Textonotapie"/>
        <w:ind w:firstLine="709"/>
        <w:rPr>
          <w:sz w:val="19"/>
          <w:szCs w:val="19"/>
          <w:lang w:val="es-CO"/>
        </w:rPr>
      </w:pPr>
      <w:r w:rsidRPr="00C128CA">
        <w:rPr>
          <w:rStyle w:val="Refdenotaalpie"/>
          <w:rFonts w:ascii="Arial" w:hAnsi="Arial" w:cs="Arial"/>
          <w:sz w:val="19"/>
          <w:szCs w:val="19"/>
        </w:rPr>
        <w:footnoteRef/>
      </w:r>
      <w:r w:rsidRPr="00C128CA">
        <w:rPr>
          <w:rFonts w:ascii="Arial" w:hAnsi="Arial" w:cs="Arial"/>
          <w:sz w:val="19"/>
          <w:szCs w:val="19"/>
        </w:rPr>
        <w:t xml:space="preserve">  </w:t>
      </w:r>
      <w:r w:rsidR="00C128CA" w:rsidRPr="00855B8D">
        <w:rPr>
          <w:rFonts w:ascii="Arial" w:hAnsi="Arial" w:cs="Arial"/>
          <w:sz w:val="19"/>
          <w:szCs w:val="19"/>
          <w:lang w:val="es-CO"/>
        </w:rPr>
        <w:t>Para t</w:t>
      </w:r>
      <w:r w:rsidR="00C128CA">
        <w:rPr>
          <w:rFonts w:ascii="Arial" w:hAnsi="Arial" w:cs="Arial"/>
          <w:sz w:val="19"/>
          <w:szCs w:val="19"/>
          <w:lang w:val="es-CO"/>
        </w:rPr>
        <w:t xml:space="preserve">al efecto, es posible remitirse a los </w:t>
      </w:r>
      <w:r w:rsidRPr="00C128CA">
        <w:rPr>
          <w:rFonts w:ascii="Arial" w:hAnsi="Arial" w:cs="Arial"/>
          <w:sz w:val="19"/>
          <w:szCs w:val="19"/>
          <w:lang w:val="es-CO"/>
        </w:rPr>
        <w:t>conceptos C-614 y C-633 de 2020.</w:t>
      </w:r>
    </w:p>
  </w:footnote>
  <w:footnote w:id="6">
    <w:p w14:paraId="75D49591" w14:textId="73D5334E" w:rsidR="006767A2" w:rsidRPr="00C128CA" w:rsidRDefault="006767A2" w:rsidP="000F10E3">
      <w:pPr>
        <w:pStyle w:val="Textonotapie"/>
        <w:ind w:firstLine="709"/>
        <w:rPr>
          <w:rFonts w:ascii="Arial" w:hAnsi="Arial" w:cs="Arial"/>
          <w:sz w:val="19"/>
          <w:szCs w:val="19"/>
          <w:lang w:val="es-CO"/>
        </w:rPr>
      </w:pPr>
      <w:r w:rsidRPr="00C128CA">
        <w:rPr>
          <w:rStyle w:val="Refdenotaalpie"/>
          <w:rFonts w:ascii="Arial" w:hAnsi="Arial" w:cs="Arial"/>
          <w:sz w:val="19"/>
          <w:szCs w:val="19"/>
        </w:rPr>
        <w:footnoteRef/>
      </w:r>
      <w:r w:rsidR="00C128CA">
        <w:rPr>
          <w:rFonts w:ascii="Arial" w:hAnsi="Arial" w:cs="Arial"/>
          <w:sz w:val="19"/>
          <w:szCs w:val="19"/>
          <w:lang w:val="es-CO"/>
        </w:rPr>
        <w:t xml:space="preserve"> </w:t>
      </w:r>
      <w:r w:rsidR="00C128CA" w:rsidRPr="00855B8D">
        <w:rPr>
          <w:rFonts w:ascii="Arial" w:hAnsi="Arial" w:cs="Arial"/>
          <w:sz w:val="19"/>
          <w:szCs w:val="19"/>
          <w:lang w:val="es-CO"/>
        </w:rPr>
        <w:t>Agencia Nacional de Contratación Pública – Colombia Compra Eficiente</w:t>
      </w:r>
      <w:r w:rsidR="00C128CA">
        <w:rPr>
          <w:rFonts w:ascii="Arial" w:hAnsi="Arial" w:cs="Arial"/>
          <w:sz w:val="19"/>
          <w:szCs w:val="19"/>
          <w:lang w:val="es-CO"/>
        </w:rPr>
        <w:t>.</w:t>
      </w:r>
      <w:r w:rsidRPr="00C128CA">
        <w:rPr>
          <w:rFonts w:ascii="Arial" w:hAnsi="Arial" w:cs="Arial"/>
          <w:sz w:val="19"/>
          <w:szCs w:val="19"/>
        </w:rPr>
        <w:t xml:space="preserve"> </w:t>
      </w:r>
      <w:r w:rsidRPr="00C128CA">
        <w:rPr>
          <w:rFonts w:ascii="Arial" w:hAnsi="Arial" w:cs="Arial"/>
          <w:sz w:val="19"/>
          <w:szCs w:val="19"/>
          <w:lang w:val="es-CO"/>
        </w:rPr>
        <w:t>Concepto C-614</w:t>
      </w:r>
      <w:r w:rsidR="000F10E3" w:rsidRPr="00C128CA">
        <w:rPr>
          <w:rFonts w:ascii="Arial" w:hAnsi="Arial" w:cs="Arial"/>
          <w:sz w:val="19"/>
          <w:szCs w:val="19"/>
          <w:lang w:val="es-CO"/>
        </w:rPr>
        <w:t xml:space="preserve"> de </w:t>
      </w:r>
      <w:r w:rsidRPr="00C128CA">
        <w:rPr>
          <w:rFonts w:ascii="Arial" w:hAnsi="Arial" w:cs="Arial"/>
          <w:sz w:val="19"/>
          <w:szCs w:val="19"/>
          <w:lang w:val="es-CO"/>
        </w:rPr>
        <w:t xml:space="preserve">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CE49BE" w:rsidRDefault="00CE49BE">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3B27F9"/>
    <w:multiLevelType w:val="multilevel"/>
    <w:tmpl w:val="FA02BA56"/>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620B"/>
    <w:rsid w:val="00017DFA"/>
    <w:rsid w:val="000234B2"/>
    <w:rsid w:val="00026B88"/>
    <w:rsid w:val="00034222"/>
    <w:rsid w:val="00045B9D"/>
    <w:rsid w:val="0004614C"/>
    <w:rsid w:val="000500C6"/>
    <w:rsid w:val="00057FCD"/>
    <w:rsid w:val="00062F28"/>
    <w:rsid w:val="00063AC1"/>
    <w:rsid w:val="00066AA7"/>
    <w:rsid w:val="00066F11"/>
    <w:rsid w:val="00072334"/>
    <w:rsid w:val="00074899"/>
    <w:rsid w:val="000778DE"/>
    <w:rsid w:val="00081913"/>
    <w:rsid w:val="000858A1"/>
    <w:rsid w:val="00087EDA"/>
    <w:rsid w:val="000919DA"/>
    <w:rsid w:val="00093E07"/>
    <w:rsid w:val="00095E7C"/>
    <w:rsid w:val="000A0AEC"/>
    <w:rsid w:val="000A6E67"/>
    <w:rsid w:val="000B660E"/>
    <w:rsid w:val="000B7FDC"/>
    <w:rsid w:val="000C770E"/>
    <w:rsid w:val="000D071C"/>
    <w:rsid w:val="000E3C4F"/>
    <w:rsid w:val="000E40D3"/>
    <w:rsid w:val="000F0AA3"/>
    <w:rsid w:val="000F10E3"/>
    <w:rsid w:val="000F393A"/>
    <w:rsid w:val="000F61D3"/>
    <w:rsid w:val="0010004D"/>
    <w:rsid w:val="001007F0"/>
    <w:rsid w:val="0011698D"/>
    <w:rsid w:val="001224B0"/>
    <w:rsid w:val="001246F6"/>
    <w:rsid w:val="00127307"/>
    <w:rsid w:val="0012781C"/>
    <w:rsid w:val="00137E58"/>
    <w:rsid w:val="00142E79"/>
    <w:rsid w:val="00145F2E"/>
    <w:rsid w:val="00146B60"/>
    <w:rsid w:val="00162EC2"/>
    <w:rsid w:val="00163A8B"/>
    <w:rsid w:val="001656CC"/>
    <w:rsid w:val="00167479"/>
    <w:rsid w:val="00170558"/>
    <w:rsid w:val="001708CF"/>
    <w:rsid w:val="00170AAB"/>
    <w:rsid w:val="00174843"/>
    <w:rsid w:val="00186E11"/>
    <w:rsid w:val="0019117C"/>
    <w:rsid w:val="00196BD7"/>
    <w:rsid w:val="00197457"/>
    <w:rsid w:val="001A4A46"/>
    <w:rsid w:val="001B04B0"/>
    <w:rsid w:val="001B5526"/>
    <w:rsid w:val="001C359E"/>
    <w:rsid w:val="001D2743"/>
    <w:rsid w:val="001D79F7"/>
    <w:rsid w:val="001E12B1"/>
    <w:rsid w:val="001E21EC"/>
    <w:rsid w:val="001E3925"/>
    <w:rsid w:val="001E5852"/>
    <w:rsid w:val="001F02D6"/>
    <w:rsid w:val="001F32E2"/>
    <w:rsid w:val="00206B05"/>
    <w:rsid w:val="00207F73"/>
    <w:rsid w:val="00210930"/>
    <w:rsid w:val="00211099"/>
    <w:rsid w:val="0021268F"/>
    <w:rsid w:val="0021596E"/>
    <w:rsid w:val="002233A4"/>
    <w:rsid w:val="00223524"/>
    <w:rsid w:val="00223AF5"/>
    <w:rsid w:val="0022772A"/>
    <w:rsid w:val="0023044E"/>
    <w:rsid w:val="00230A7E"/>
    <w:rsid w:val="002354D5"/>
    <w:rsid w:val="00236796"/>
    <w:rsid w:val="00236C4A"/>
    <w:rsid w:val="00237EAB"/>
    <w:rsid w:val="002405D7"/>
    <w:rsid w:val="00241F51"/>
    <w:rsid w:val="00246CBC"/>
    <w:rsid w:val="00247959"/>
    <w:rsid w:val="00256B18"/>
    <w:rsid w:val="00263733"/>
    <w:rsid w:val="00264BE7"/>
    <w:rsid w:val="00265CEE"/>
    <w:rsid w:val="0027010C"/>
    <w:rsid w:val="00271166"/>
    <w:rsid w:val="00273F26"/>
    <w:rsid w:val="00274556"/>
    <w:rsid w:val="00281C0E"/>
    <w:rsid w:val="00281F95"/>
    <w:rsid w:val="002868DE"/>
    <w:rsid w:val="00290AA5"/>
    <w:rsid w:val="002A0B44"/>
    <w:rsid w:val="002A22E1"/>
    <w:rsid w:val="002A2F5B"/>
    <w:rsid w:val="002A6120"/>
    <w:rsid w:val="002B1CB3"/>
    <w:rsid w:val="002B5C37"/>
    <w:rsid w:val="002B7134"/>
    <w:rsid w:val="002C4C5C"/>
    <w:rsid w:val="002C554A"/>
    <w:rsid w:val="002C593D"/>
    <w:rsid w:val="002C62F1"/>
    <w:rsid w:val="002E1529"/>
    <w:rsid w:val="002E3086"/>
    <w:rsid w:val="002E7F45"/>
    <w:rsid w:val="002F17A4"/>
    <w:rsid w:val="002F711B"/>
    <w:rsid w:val="0030206E"/>
    <w:rsid w:val="00310242"/>
    <w:rsid w:val="00313F62"/>
    <w:rsid w:val="003168D4"/>
    <w:rsid w:val="003178E8"/>
    <w:rsid w:val="003263C4"/>
    <w:rsid w:val="003273B8"/>
    <w:rsid w:val="0033514B"/>
    <w:rsid w:val="00344DD9"/>
    <w:rsid w:val="00352C64"/>
    <w:rsid w:val="00360968"/>
    <w:rsid w:val="003643A9"/>
    <w:rsid w:val="00366846"/>
    <w:rsid w:val="00374A17"/>
    <w:rsid w:val="0037511A"/>
    <w:rsid w:val="0037569C"/>
    <w:rsid w:val="003820E3"/>
    <w:rsid w:val="003828A9"/>
    <w:rsid w:val="00382B30"/>
    <w:rsid w:val="003837DA"/>
    <w:rsid w:val="003875DC"/>
    <w:rsid w:val="003919C8"/>
    <w:rsid w:val="00393615"/>
    <w:rsid w:val="00393BD3"/>
    <w:rsid w:val="003948CC"/>
    <w:rsid w:val="003B06C3"/>
    <w:rsid w:val="003B5D12"/>
    <w:rsid w:val="003C763A"/>
    <w:rsid w:val="003C7AE5"/>
    <w:rsid w:val="003D0511"/>
    <w:rsid w:val="003D0539"/>
    <w:rsid w:val="003D12FA"/>
    <w:rsid w:val="003D1F97"/>
    <w:rsid w:val="003D63A4"/>
    <w:rsid w:val="0040004C"/>
    <w:rsid w:val="00403353"/>
    <w:rsid w:val="0040378C"/>
    <w:rsid w:val="00405C93"/>
    <w:rsid w:val="004128C5"/>
    <w:rsid w:val="004213D4"/>
    <w:rsid w:val="00424422"/>
    <w:rsid w:val="00426F03"/>
    <w:rsid w:val="00427FA7"/>
    <w:rsid w:val="00430023"/>
    <w:rsid w:val="00430582"/>
    <w:rsid w:val="004315F6"/>
    <w:rsid w:val="004326E6"/>
    <w:rsid w:val="004336D8"/>
    <w:rsid w:val="00435D91"/>
    <w:rsid w:val="00442019"/>
    <w:rsid w:val="00455617"/>
    <w:rsid w:val="0046174F"/>
    <w:rsid w:val="004624B8"/>
    <w:rsid w:val="0046502B"/>
    <w:rsid w:val="00466BDD"/>
    <w:rsid w:val="00471790"/>
    <w:rsid w:val="00475C68"/>
    <w:rsid w:val="00481F27"/>
    <w:rsid w:val="004843C2"/>
    <w:rsid w:val="00485F62"/>
    <w:rsid w:val="00493FF7"/>
    <w:rsid w:val="00497DA1"/>
    <w:rsid w:val="004A303C"/>
    <w:rsid w:val="004A743C"/>
    <w:rsid w:val="004A7CA1"/>
    <w:rsid w:val="004B0A2B"/>
    <w:rsid w:val="004B0BC7"/>
    <w:rsid w:val="004C17CF"/>
    <w:rsid w:val="004C21DA"/>
    <w:rsid w:val="004D178B"/>
    <w:rsid w:val="004D3217"/>
    <w:rsid w:val="004D69C3"/>
    <w:rsid w:val="004D7B01"/>
    <w:rsid w:val="004E09B0"/>
    <w:rsid w:val="004E285B"/>
    <w:rsid w:val="004E2DC2"/>
    <w:rsid w:val="004E3619"/>
    <w:rsid w:val="004E54C9"/>
    <w:rsid w:val="004E67A4"/>
    <w:rsid w:val="00502096"/>
    <w:rsid w:val="005052D5"/>
    <w:rsid w:val="00510272"/>
    <w:rsid w:val="0051547E"/>
    <w:rsid w:val="00523EB9"/>
    <w:rsid w:val="0052779B"/>
    <w:rsid w:val="005420C8"/>
    <w:rsid w:val="00543C0D"/>
    <w:rsid w:val="005561A3"/>
    <w:rsid w:val="00561A25"/>
    <w:rsid w:val="00580F88"/>
    <w:rsid w:val="00584CC0"/>
    <w:rsid w:val="0058662D"/>
    <w:rsid w:val="00595860"/>
    <w:rsid w:val="00595BCC"/>
    <w:rsid w:val="005961EB"/>
    <w:rsid w:val="0059714E"/>
    <w:rsid w:val="005A1EEF"/>
    <w:rsid w:val="005B03D8"/>
    <w:rsid w:val="005C0D14"/>
    <w:rsid w:val="005C17DB"/>
    <w:rsid w:val="005C3F23"/>
    <w:rsid w:val="005C46A2"/>
    <w:rsid w:val="005D17E8"/>
    <w:rsid w:val="005D2063"/>
    <w:rsid w:val="005D55F3"/>
    <w:rsid w:val="005D7684"/>
    <w:rsid w:val="005E0F0A"/>
    <w:rsid w:val="005E2984"/>
    <w:rsid w:val="005E574C"/>
    <w:rsid w:val="006017ED"/>
    <w:rsid w:val="00606D2B"/>
    <w:rsid w:val="0060708B"/>
    <w:rsid w:val="0061316D"/>
    <w:rsid w:val="0061417E"/>
    <w:rsid w:val="006158F4"/>
    <w:rsid w:val="00617785"/>
    <w:rsid w:val="00620E83"/>
    <w:rsid w:val="006220FB"/>
    <w:rsid w:val="00626F3F"/>
    <w:rsid w:val="00631789"/>
    <w:rsid w:val="00633255"/>
    <w:rsid w:val="0064247D"/>
    <w:rsid w:val="006443D1"/>
    <w:rsid w:val="00660ED0"/>
    <w:rsid w:val="006627DA"/>
    <w:rsid w:val="0066447B"/>
    <w:rsid w:val="006671D9"/>
    <w:rsid w:val="00671A2C"/>
    <w:rsid w:val="00674877"/>
    <w:rsid w:val="006767A2"/>
    <w:rsid w:val="00681396"/>
    <w:rsid w:val="00686486"/>
    <w:rsid w:val="0069123A"/>
    <w:rsid w:val="00693758"/>
    <w:rsid w:val="006B4A8B"/>
    <w:rsid w:val="006B5E1A"/>
    <w:rsid w:val="006C0517"/>
    <w:rsid w:val="006C23E1"/>
    <w:rsid w:val="006D17E4"/>
    <w:rsid w:val="006D4586"/>
    <w:rsid w:val="006D695A"/>
    <w:rsid w:val="006E2AF0"/>
    <w:rsid w:val="006E7476"/>
    <w:rsid w:val="006F7835"/>
    <w:rsid w:val="0070576E"/>
    <w:rsid w:val="0070780B"/>
    <w:rsid w:val="007158FC"/>
    <w:rsid w:val="007237EE"/>
    <w:rsid w:val="007241E4"/>
    <w:rsid w:val="0073221D"/>
    <w:rsid w:val="00751950"/>
    <w:rsid w:val="007569AA"/>
    <w:rsid w:val="0076516E"/>
    <w:rsid w:val="007667CB"/>
    <w:rsid w:val="00767090"/>
    <w:rsid w:val="007711FA"/>
    <w:rsid w:val="0078185D"/>
    <w:rsid w:val="00781C22"/>
    <w:rsid w:val="0078219D"/>
    <w:rsid w:val="007947F0"/>
    <w:rsid w:val="00795AE7"/>
    <w:rsid w:val="007A17C5"/>
    <w:rsid w:val="007A77F9"/>
    <w:rsid w:val="007B0DE5"/>
    <w:rsid w:val="007B2DB7"/>
    <w:rsid w:val="007B4A37"/>
    <w:rsid w:val="007B51DF"/>
    <w:rsid w:val="007C42D3"/>
    <w:rsid w:val="007E3FAB"/>
    <w:rsid w:val="007E6480"/>
    <w:rsid w:val="007F1FA1"/>
    <w:rsid w:val="007F5920"/>
    <w:rsid w:val="00802185"/>
    <w:rsid w:val="008026C6"/>
    <w:rsid w:val="0080771F"/>
    <w:rsid w:val="00812997"/>
    <w:rsid w:val="00814493"/>
    <w:rsid w:val="00814EE7"/>
    <w:rsid w:val="0081619A"/>
    <w:rsid w:val="00816C02"/>
    <w:rsid w:val="00817C2C"/>
    <w:rsid w:val="00824C33"/>
    <w:rsid w:val="00824E6B"/>
    <w:rsid w:val="00824F6A"/>
    <w:rsid w:val="0083200E"/>
    <w:rsid w:val="00837D0A"/>
    <w:rsid w:val="00841841"/>
    <w:rsid w:val="0084278C"/>
    <w:rsid w:val="00844558"/>
    <w:rsid w:val="008525EB"/>
    <w:rsid w:val="0086037B"/>
    <w:rsid w:val="008613A1"/>
    <w:rsid w:val="00861ADD"/>
    <w:rsid w:val="00862C78"/>
    <w:rsid w:val="008660DD"/>
    <w:rsid w:val="00874CD4"/>
    <w:rsid w:val="00877AF6"/>
    <w:rsid w:val="0088150A"/>
    <w:rsid w:val="00883122"/>
    <w:rsid w:val="00885841"/>
    <w:rsid w:val="008868E7"/>
    <w:rsid w:val="00891FA3"/>
    <w:rsid w:val="00892409"/>
    <w:rsid w:val="00893B06"/>
    <w:rsid w:val="00894306"/>
    <w:rsid w:val="0089592C"/>
    <w:rsid w:val="008A795F"/>
    <w:rsid w:val="008B4095"/>
    <w:rsid w:val="008B6321"/>
    <w:rsid w:val="008B6A41"/>
    <w:rsid w:val="008D154D"/>
    <w:rsid w:val="008D45AE"/>
    <w:rsid w:val="008E1CA0"/>
    <w:rsid w:val="008F1902"/>
    <w:rsid w:val="008F480A"/>
    <w:rsid w:val="00905BED"/>
    <w:rsid w:val="009104B7"/>
    <w:rsid w:val="00911EB7"/>
    <w:rsid w:val="00913816"/>
    <w:rsid w:val="009141CA"/>
    <w:rsid w:val="00914684"/>
    <w:rsid w:val="009174CF"/>
    <w:rsid w:val="009177BC"/>
    <w:rsid w:val="00924004"/>
    <w:rsid w:val="00925025"/>
    <w:rsid w:val="00926468"/>
    <w:rsid w:val="009413FD"/>
    <w:rsid w:val="00941EA5"/>
    <w:rsid w:val="00943E3A"/>
    <w:rsid w:val="0094554D"/>
    <w:rsid w:val="00952171"/>
    <w:rsid w:val="00957AA9"/>
    <w:rsid w:val="00960C4B"/>
    <w:rsid w:val="009775B0"/>
    <w:rsid w:val="00984A9E"/>
    <w:rsid w:val="00987CA8"/>
    <w:rsid w:val="00992771"/>
    <w:rsid w:val="00995673"/>
    <w:rsid w:val="00996310"/>
    <w:rsid w:val="0099758F"/>
    <w:rsid w:val="00997C49"/>
    <w:rsid w:val="009A1863"/>
    <w:rsid w:val="009A21B5"/>
    <w:rsid w:val="009A466F"/>
    <w:rsid w:val="009B262D"/>
    <w:rsid w:val="009C46AA"/>
    <w:rsid w:val="009C495F"/>
    <w:rsid w:val="009C538B"/>
    <w:rsid w:val="009D10E5"/>
    <w:rsid w:val="009D147B"/>
    <w:rsid w:val="009D672C"/>
    <w:rsid w:val="009D6BCD"/>
    <w:rsid w:val="009E4A69"/>
    <w:rsid w:val="009F2969"/>
    <w:rsid w:val="009F69D6"/>
    <w:rsid w:val="00A02BDB"/>
    <w:rsid w:val="00A04DA3"/>
    <w:rsid w:val="00A10DEB"/>
    <w:rsid w:val="00A14317"/>
    <w:rsid w:val="00A25613"/>
    <w:rsid w:val="00A2588C"/>
    <w:rsid w:val="00A265AC"/>
    <w:rsid w:val="00A41E01"/>
    <w:rsid w:val="00A443F2"/>
    <w:rsid w:val="00A52EA7"/>
    <w:rsid w:val="00A842AA"/>
    <w:rsid w:val="00A8590D"/>
    <w:rsid w:val="00A93C16"/>
    <w:rsid w:val="00A94EDC"/>
    <w:rsid w:val="00A9650A"/>
    <w:rsid w:val="00A968DE"/>
    <w:rsid w:val="00A97DD8"/>
    <w:rsid w:val="00AA3352"/>
    <w:rsid w:val="00AA7884"/>
    <w:rsid w:val="00AB06D1"/>
    <w:rsid w:val="00AB2890"/>
    <w:rsid w:val="00AB756D"/>
    <w:rsid w:val="00AC0B37"/>
    <w:rsid w:val="00AC68A8"/>
    <w:rsid w:val="00AD1A60"/>
    <w:rsid w:val="00AD24C3"/>
    <w:rsid w:val="00AD2D7E"/>
    <w:rsid w:val="00AD3702"/>
    <w:rsid w:val="00AD634D"/>
    <w:rsid w:val="00AE0165"/>
    <w:rsid w:val="00AE05B9"/>
    <w:rsid w:val="00AE21A5"/>
    <w:rsid w:val="00AE2865"/>
    <w:rsid w:val="00AE2F9D"/>
    <w:rsid w:val="00AE3FC6"/>
    <w:rsid w:val="00AE7421"/>
    <w:rsid w:val="00AF0279"/>
    <w:rsid w:val="00AF08A4"/>
    <w:rsid w:val="00AF1CBB"/>
    <w:rsid w:val="00AF75F2"/>
    <w:rsid w:val="00B00B5F"/>
    <w:rsid w:val="00B07AE6"/>
    <w:rsid w:val="00B07F92"/>
    <w:rsid w:val="00B109B2"/>
    <w:rsid w:val="00B20506"/>
    <w:rsid w:val="00B20B62"/>
    <w:rsid w:val="00B355E8"/>
    <w:rsid w:val="00B35D30"/>
    <w:rsid w:val="00B35DD6"/>
    <w:rsid w:val="00B37F25"/>
    <w:rsid w:val="00B41188"/>
    <w:rsid w:val="00B42055"/>
    <w:rsid w:val="00B47359"/>
    <w:rsid w:val="00B536D9"/>
    <w:rsid w:val="00B537DD"/>
    <w:rsid w:val="00B537EF"/>
    <w:rsid w:val="00B54C95"/>
    <w:rsid w:val="00B55CDA"/>
    <w:rsid w:val="00B639CD"/>
    <w:rsid w:val="00B64040"/>
    <w:rsid w:val="00B670F7"/>
    <w:rsid w:val="00B731B0"/>
    <w:rsid w:val="00B74E4A"/>
    <w:rsid w:val="00B81517"/>
    <w:rsid w:val="00B922AB"/>
    <w:rsid w:val="00B942CA"/>
    <w:rsid w:val="00BA17D9"/>
    <w:rsid w:val="00BB4728"/>
    <w:rsid w:val="00BB6E86"/>
    <w:rsid w:val="00BC1A9A"/>
    <w:rsid w:val="00BC3F64"/>
    <w:rsid w:val="00BC6235"/>
    <w:rsid w:val="00BD638B"/>
    <w:rsid w:val="00BD6605"/>
    <w:rsid w:val="00BE14D8"/>
    <w:rsid w:val="00BE1568"/>
    <w:rsid w:val="00BF2CE2"/>
    <w:rsid w:val="00BF3745"/>
    <w:rsid w:val="00BF3F44"/>
    <w:rsid w:val="00C04028"/>
    <w:rsid w:val="00C05C43"/>
    <w:rsid w:val="00C07AE7"/>
    <w:rsid w:val="00C111A7"/>
    <w:rsid w:val="00C11E59"/>
    <w:rsid w:val="00C127C1"/>
    <w:rsid w:val="00C128CA"/>
    <w:rsid w:val="00C13CF7"/>
    <w:rsid w:val="00C1629E"/>
    <w:rsid w:val="00C171BD"/>
    <w:rsid w:val="00C32659"/>
    <w:rsid w:val="00C32E4E"/>
    <w:rsid w:val="00C335F9"/>
    <w:rsid w:val="00C44F4D"/>
    <w:rsid w:val="00C50FA2"/>
    <w:rsid w:val="00C54924"/>
    <w:rsid w:val="00C571BD"/>
    <w:rsid w:val="00C60CA1"/>
    <w:rsid w:val="00C645B4"/>
    <w:rsid w:val="00C662ED"/>
    <w:rsid w:val="00C71673"/>
    <w:rsid w:val="00C76465"/>
    <w:rsid w:val="00C765E7"/>
    <w:rsid w:val="00C76A02"/>
    <w:rsid w:val="00C8250C"/>
    <w:rsid w:val="00C8297D"/>
    <w:rsid w:val="00C840DC"/>
    <w:rsid w:val="00C91752"/>
    <w:rsid w:val="00C9198E"/>
    <w:rsid w:val="00CA05E4"/>
    <w:rsid w:val="00CA5CF9"/>
    <w:rsid w:val="00CA65BC"/>
    <w:rsid w:val="00CB06C2"/>
    <w:rsid w:val="00CB258A"/>
    <w:rsid w:val="00CC1662"/>
    <w:rsid w:val="00CC22B0"/>
    <w:rsid w:val="00CC46F2"/>
    <w:rsid w:val="00CC679F"/>
    <w:rsid w:val="00CC7133"/>
    <w:rsid w:val="00CD4380"/>
    <w:rsid w:val="00CD6F0A"/>
    <w:rsid w:val="00CD73F8"/>
    <w:rsid w:val="00CE2500"/>
    <w:rsid w:val="00CE49BE"/>
    <w:rsid w:val="00CF589E"/>
    <w:rsid w:val="00D016BB"/>
    <w:rsid w:val="00D0172E"/>
    <w:rsid w:val="00D02D31"/>
    <w:rsid w:val="00D10D1B"/>
    <w:rsid w:val="00D134A9"/>
    <w:rsid w:val="00D14744"/>
    <w:rsid w:val="00D16B8D"/>
    <w:rsid w:val="00D20D4A"/>
    <w:rsid w:val="00D2594A"/>
    <w:rsid w:val="00D25A3A"/>
    <w:rsid w:val="00D26648"/>
    <w:rsid w:val="00D307AE"/>
    <w:rsid w:val="00D377ED"/>
    <w:rsid w:val="00D40490"/>
    <w:rsid w:val="00D40FC9"/>
    <w:rsid w:val="00D43A34"/>
    <w:rsid w:val="00D46D8F"/>
    <w:rsid w:val="00D50B5C"/>
    <w:rsid w:val="00D533DC"/>
    <w:rsid w:val="00D53CBD"/>
    <w:rsid w:val="00D56B7A"/>
    <w:rsid w:val="00D60950"/>
    <w:rsid w:val="00D62C42"/>
    <w:rsid w:val="00D712B5"/>
    <w:rsid w:val="00D73FC9"/>
    <w:rsid w:val="00D80F66"/>
    <w:rsid w:val="00D9022C"/>
    <w:rsid w:val="00D904C6"/>
    <w:rsid w:val="00D937E1"/>
    <w:rsid w:val="00D96C95"/>
    <w:rsid w:val="00DA37E4"/>
    <w:rsid w:val="00DB095A"/>
    <w:rsid w:val="00DB3EAF"/>
    <w:rsid w:val="00DC29BD"/>
    <w:rsid w:val="00DC5660"/>
    <w:rsid w:val="00DC7FEF"/>
    <w:rsid w:val="00DD1ED4"/>
    <w:rsid w:val="00DE0079"/>
    <w:rsid w:val="00DE1661"/>
    <w:rsid w:val="00DE422E"/>
    <w:rsid w:val="00E055E5"/>
    <w:rsid w:val="00E12410"/>
    <w:rsid w:val="00E154AF"/>
    <w:rsid w:val="00E16BBB"/>
    <w:rsid w:val="00E2360F"/>
    <w:rsid w:val="00E27921"/>
    <w:rsid w:val="00E30329"/>
    <w:rsid w:val="00E33DA6"/>
    <w:rsid w:val="00E370B4"/>
    <w:rsid w:val="00E372FC"/>
    <w:rsid w:val="00E41492"/>
    <w:rsid w:val="00E45586"/>
    <w:rsid w:val="00E46A6C"/>
    <w:rsid w:val="00E549C6"/>
    <w:rsid w:val="00E648B9"/>
    <w:rsid w:val="00E67F50"/>
    <w:rsid w:val="00E70D56"/>
    <w:rsid w:val="00E73597"/>
    <w:rsid w:val="00E7425B"/>
    <w:rsid w:val="00E7492A"/>
    <w:rsid w:val="00E8651C"/>
    <w:rsid w:val="00E928A5"/>
    <w:rsid w:val="00E94885"/>
    <w:rsid w:val="00E950C1"/>
    <w:rsid w:val="00EA3DB5"/>
    <w:rsid w:val="00EA50EB"/>
    <w:rsid w:val="00EA6591"/>
    <w:rsid w:val="00EA7BD8"/>
    <w:rsid w:val="00EB273F"/>
    <w:rsid w:val="00EB7167"/>
    <w:rsid w:val="00EC5730"/>
    <w:rsid w:val="00ED19C5"/>
    <w:rsid w:val="00ED34D6"/>
    <w:rsid w:val="00EE13E5"/>
    <w:rsid w:val="00EF7781"/>
    <w:rsid w:val="00F0305D"/>
    <w:rsid w:val="00F03C84"/>
    <w:rsid w:val="00F047EE"/>
    <w:rsid w:val="00F35E41"/>
    <w:rsid w:val="00F375E4"/>
    <w:rsid w:val="00F43280"/>
    <w:rsid w:val="00F43897"/>
    <w:rsid w:val="00F514E9"/>
    <w:rsid w:val="00F52A9A"/>
    <w:rsid w:val="00F55ECC"/>
    <w:rsid w:val="00F56796"/>
    <w:rsid w:val="00F65227"/>
    <w:rsid w:val="00F84B86"/>
    <w:rsid w:val="00F8745D"/>
    <w:rsid w:val="00F876B5"/>
    <w:rsid w:val="00F9226F"/>
    <w:rsid w:val="00F9668A"/>
    <w:rsid w:val="00FA14EF"/>
    <w:rsid w:val="00FA19BE"/>
    <w:rsid w:val="00FA220E"/>
    <w:rsid w:val="00FA26B9"/>
    <w:rsid w:val="00FB3594"/>
    <w:rsid w:val="00FB633E"/>
    <w:rsid w:val="00FC4D0C"/>
    <w:rsid w:val="00FC6015"/>
    <w:rsid w:val="00FD6A7D"/>
    <w:rsid w:val="00FD7A3E"/>
    <w:rsid w:val="00FE1477"/>
    <w:rsid w:val="00FE2549"/>
    <w:rsid w:val="00FE4F25"/>
    <w:rsid w:val="00FE7B74"/>
    <w:rsid w:val="00FF04D2"/>
    <w:rsid w:val="00FF349F"/>
    <w:rsid w:val="00FF442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3C"/>
    <w:pPr>
      <w:spacing w:after="0" w:line="240" w:lineRule="auto"/>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character" w:styleId="Hipervnculo">
    <w:name w:val="Hyperlink"/>
    <w:basedOn w:val="Fuentedeprrafopredeter"/>
    <w:uiPriority w:val="99"/>
    <w:unhideWhenUsed/>
    <w:rsid w:val="00FF349F"/>
    <w:rPr>
      <w:color w:val="0563C1" w:themeColor="hyperlink"/>
      <w:u w:val="single"/>
    </w:rPr>
  </w:style>
  <w:style w:type="character" w:customStyle="1" w:styleId="normaltextrun">
    <w:name w:val="normaltextrun"/>
    <w:basedOn w:val="Fuentedeprrafopredeter"/>
    <w:rsid w:val="0046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7870">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3585">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6395">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8405">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A906-F577-4F58-BC3D-DC2D12860810}">
  <ds:schemaRefs>
    <ds:schemaRef ds:uri="http://purl.org/dc/terms/"/>
    <ds:schemaRef ds:uri="http://purl.org/dc/elements/1.1/"/>
    <ds:schemaRef ds:uri="http://www.w3.org/XML/1998/namespace"/>
    <ds:schemaRef ds:uri="http://schemas.microsoft.com/office/2006/documentManagement/types"/>
    <ds:schemaRef ds:uri="9d85dbaf-23eb-4e57-a637-93dcacc8b1a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7934AFD7-9EC4-40CE-81E4-BA37A170B259}">
  <ds:schemaRefs>
    <ds:schemaRef ds:uri="http://schemas.microsoft.com/sharepoint/v3/contenttype/forms"/>
  </ds:schemaRefs>
</ds:datastoreItem>
</file>

<file path=customXml/itemProps3.xml><?xml version="1.0" encoding="utf-8"?>
<ds:datastoreItem xmlns:ds="http://schemas.openxmlformats.org/officeDocument/2006/customXml" ds:itemID="{CAEFC134-9511-4611-8B57-759A4FAA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1144E-C5A2-4E20-B738-343B0DFA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4877</Words>
  <Characters>26827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Carlos Mario Castrillón Endo</cp:lastModifiedBy>
  <cp:revision>10</cp:revision>
  <cp:lastPrinted>2020-10-23T22:20:00Z</cp:lastPrinted>
  <dcterms:created xsi:type="dcterms:W3CDTF">2020-12-14T21:07:00Z</dcterms:created>
  <dcterms:modified xsi:type="dcterms:W3CDTF">2021-01-12T19:09:00Z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