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A4E26" w:rsidR="00191267" w:rsidP="00191267" w:rsidRDefault="00191267" w14:paraId="327D5410" w14:textId="77777777">
      <w:pPr>
        <w:jc w:val="right"/>
        <w:rPr>
          <w:rFonts w:ascii="Arial" w:hAnsi="Arial" w:eastAsia="Arial" w:cs="Arial"/>
          <w:b/>
          <w:sz w:val="16"/>
          <w:szCs w:val="16"/>
        </w:rPr>
      </w:pPr>
      <w:bookmarkStart w:name="_gjdgxs" w:colFirst="0" w:colLast="0" w:id="0"/>
      <w:bookmarkEnd w:id="0"/>
      <w:r w:rsidRPr="00CA4E26">
        <w:rPr>
          <w:rFonts w:ascii="Arial" w:hAnsi="Arial" w:eastAsia="Arial" w:cs="Arial"/>
          <w:b/>
          <w:sz w:val="16"/>
          <w:szCs w:val="16"/>
        </w:rPr>
        <w:tab/>
      </w:r>
      <w:r w:rsidRPr="00CA4E26">
        <w:rPr>
          <w:rFonts w:ascii="Arial" w:hAnsi="Arial" w:eastAsia="Arial" w:cs="Arial"/>
          <w:b/>
          <w:sz w:val="16"/>
          <w:szCs w:val="16"/>
        </w:rPr>
        <w:t>CCE-DES-FM-17</w:t>
      </w:r>
    </w:p>
    <w:p w:rsidRPr="00A076F1" w:rsidR="00191267" w:rsidP="00191267" w:rsidRDefault="00191267" w14:paraId="0D0EAD8D" w14:textId="77777777">
      <w:pPr>
        <w:jc w:val="both"/>
        <w:rPr>
          <w:rFonts w:ascii="Arial" w:hAnsi="Arial" w:eastAsia="Arial" w:cs="Arial"/>
          <w:sz w:val="16"/>
          <w:szCs w:val="16"/>
        </w:rPr>
      </w:pPr>
    </w:p>
    <w:p w:rsidRPr="00CA4E26" w:rsidR="00191267" w:rsidP="007D584D" w:rsidRDefault="00191267" w14:paraId="0724B57F" w14:textId="77777777">
      <w:pPr>
        <w:jc w:val="both"/>
        <w:rPr>
          <w:rFonts w:ascii="Arial" w:hAnsi="Arial" w:eastAsia="Arial" w:cs="Arial"/>
          <w:sz w:val="20"/>
          <w:szCs w:val="20"/>
        </w:rPr>
      </w:pPr>
      <w:r w:rsidRPr="00CA4E26">
        <w:rPr>
          <w:rFonts w:ascii="Arial" w:hAnsi="Arial" w:eastAsia="Arial" w:cs="Arial"/>
          <w:b/>
          <w:bCs/>
          <w:sz w:val="22"/>
          <w:szCs w:val="22"/>
        </w:rPr>
        <w:t>FACTOR DE CALIDAD – Mantenimiento adicional – Finalidad</w:t>
      </w:r>
    </w:p>
    <w:p w:rsidRPr="00CA4E26" w:rsidR="00191267" w:rsidP="007D584D" w:rsidRDefault="00191267" w14:paraId="26537040" w14:textId="77777777">
      <w:pPr>
        <w:jc w:val="both"/>
        <w:rPr>
          <w:rFonts w:ascii="Arial" w:hAnsi="Arial" w:eastAsia="Arial" w:cs="Arial"/>
          <w:sz w:val="20"/>
          <w:szCs w:val="20"/>
        </w:rPr>
      </w:pPr>
    </w:p>
    <w:p w:rsidRPr="007D584D" w:rsidR="007D584D" w:rsidP="007D584D" w:rsidRDefault="007D584D" w14:paraId="1376FE88" w14:textId="77777777">
      <w:pPr>
        <w:jc w:val="both"/>
        <w:rPr>
          <w:rFonts w:ascii="Arial" w:hAnsi="Arial" w:eastAsia="Arial" w:cs="Arial"/>
          <w:sz w:val="20"/>
          <w:szCs w:val="20"/>
        </w:rPr>
      </w:pPr>
      <w:r w:rsidRPr="007D584D">
        <w:rPr>
          <w:rFonts w:ascii="Arial" w:hAnsi="Arial" w:eastAsia="Arial" w:cs="Arial"/>
          <w:sz w:val="20"/>
          <w:szCs w:val="20"/>
        </w:rPr>
        <w:t xml:space="preserve">El factor de calidad de mantenimiento adicional tiene como objeto mejorar la calidad de la obra, ya que se garantiza un mantenimiento rutinario, situación que otorga beneficios a las entidades y a la ciudadanía en cuanto a la durabilidad de las condiciones de la infraestructura de transporte, diferentes a las asociadas con la estabilidad y calidad de la obra.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rsidRPr="00CA4E26" w:rsidR="00191267" w:rsidP="007D584D" w:rsidRDefault="00191267" w14:paraId="07220D30" w14:textId="49F461CD">
      <w:pPr>
        <w:jc w:val="both"/>
        <w:rPr>
          <w:rFonts w:ascii="Arial" w:hAnsi="Arial" w:eastAsia="Arial" w:cs="Arial"/>
          <w:sz w:val="20"/>
          <w:szCs w:val="20"/>
        </w:rPr>
      </w:pPr>
    </w:p>
    <w:p w:rsidRPr="00CA4E26" w:rsidR="00191267" w:rsidP="00191267" w:rsidRDefault="00191267" w14:paraId="4060A136" w14:textId="77777777">
      <w:pPr>
        <w:jc w:val="both"/>
        <w:rPr>
          <w:rFonts w:ascii="Arial" w:hAnsi="Arial" w:eastAsia="Arial" w:cs="Arial"/>
          <w:sz w:val="20"/>
          <w:szCs w:val="20"/>
        </w:rPr>
      </w:pPr>
      <w:r w:rsidRPr="00CA4E26">
        <w:rPr>
          <w:rFonts w:ascii="Arial" w:hAnsi="Arial" w:eastAsia="Arial" w:cs="Arial"/>
          <w:b/>
          <w:bCs/>
          <w:sz w:val="22"/>
          <w:szCs w:val="22"/>
        </w:rPr>
        <w:t>FACTOR DE CALIDAD – Mantenimiento adicional – Resolución No. 116 de 2020 – Límites – Ofertas</w:t>
      </w:r>
    </w:p>
    <w:p w:rsidRPr="00CA4E26" w:rsidR="00191267" w:rsidP="00191267" w:rsidRDefault="00191267" w14:paraId="561565FD" w14:textId="77777777">
      <w:pPr>
        <w:jc w:val="both"/>
        <w:rPr>
          <w:rFonts w:ascii="Arial" w:hAnsi="Arial" w:eastAsia="Arial" w:cs="Arial"/>
          <w:sz w:val="20"/>
          <w:szCs w:val="20"/>
        </w:rPr>
      </w:pPr>
    </w:p>
    <w:p w:rsidRPr="007D584D" w:rsidR="00191267" w:rsidP="007D584D" w:rsidRDefault="00191267" w14:paraId="0DF67ECB" w14:textId="1B2A3B3D">
      <w:pPr>
        <w:jc w:val="both"/>
        <w:rPr>
          <w:rFonts w:ascii="Arial" w:hAnsi="Arial" w:eastAsia="Arial" w:cs="Arial"/>
          <w:sz w:val="20"/>
          <w:szCs w:val="20"/>
        </w:rPr>
      </w:pPr>
      <w:r w:rsidRPr="007D584D">
        <w:rPr>
          <w:rFonts w:ascii="Arial" w:hAnsi="Arial" w:eastAsia="Arial" w:cs="Arial"/>
          <w:sz w:val="20"/>
          <w:szCs w:val="20"/>
        </w:rPr>
        <w:t xml:space="preserve">[L]as </w:t>
      </w:r>
      <w:r w:rsidRPr="007D584D" w:rsidR="007D584D">
        <w:rPr>
          <w:rFonts w:ascii="Arial" w:hAnsi="Arial" w:cs="Arial"/>
          <w:sz w:val="20"/>
          <w:szCs w:val="20"/>
        </w:rPr>
        <w:t>entidades estatales al aplicar la versión 2 del Documento Tipo para licitación pública, con la modificación introducida por la Resolución No. 116 de 2020, deberán determinar un número máximo de meses de mantenimiento adicional que no podrán superar los oferentes en sus propuestas. Esto significa que, a diferencia de la versión inicial del Documento Base adoptado por la Resolución No. 045 de 2020, después de la referida modificación las entidades estatales deben establecer topes para los ofrecimientos que se realicen con ocasión del factor de calidad de mantenimiento adicional. Sin embargo, esta facultad está sometida a cierta limitación, en la medida en que el número máximo de meses que debe ser fijado por la entidad debe corresponder a un porcentaje de entre el 30% y 50% del plazo establecido por la entidad para la garantía de estabilidad y calidad de la obra, conforme al artículo 2.2.1.2.3.1.14. del Decreto 1082 de 2015</w:t>
      </w:r>
      <w:r w:rsidR="007D584D">
        <w:rPr>
          <w:rFonts w:ascii="Arial" w:hAnsi="Arial" w:cs="Arial"/>
          <w:sz w:val="20"/>
          <w:szCs w:val="20"/>
        </w:rPr>
        <w:t>.</w:t>
      </w:r>
    </w:p>
    <w:p w:rsidRPr="00CA4E26" w:rsidR="00191267" w:rsidP="007D584D" w:rsidRDefault="00191267" w14:paraId="446AEA18" w14:textId="77777777">
      <w:pPr>
        <w:jc w:val="both"/>
        <w:rPr>
          <w:rFonts w:ascii="Arial" w:hAnsi="Arial" w:eastAsia="Arial" w:cs="Arial"/>
          <w:sz w:val="20"/>
          <w:szCs w:val="20"/>
        </w:rPr>
      </w:pPr>
    </w:p>
    <w:p w:rsidRPr="00CA4E26" w:rsidR="00191267" w:rsidP="007D584D" w:rsidRDefault="00191267" w14:paraId="54A364F9" w14:textId="77777777">
      <w:pPr>
        <w:jc w:val="both"/>
        <w:rPr>
          <w:rFonts w:ascii="Arial" w:hAnsi="Arial" w:eastAsia="Arial" w:cs="Arial"/>
          <w:sz w:val="20"/>
          <w:szCs w:val="20"/>
        </w:rPr>
      </w:pPr>
      <w:r w:rsidRPr="00CA4E26">
        <w:rPr>
          <w:rFonts w:ascii="Arial" w:hAnsi="Arial" w:eastAsia="Arial" w:cs="Arial"/>
          <w:b/>
          <w:bCs/>
          <w:sz w:val="22"/>
          <w:szCs w:val="22"/>
        </w:rPr>
        <w:t>FACTOR DE CALIDAD – Manten</w:t>
      </w:r>
      <w:r>
        <w:rPr>
          <w:rFonts w:ascii="Arial" w:hAnsi="Arial" w:eastAsia="Arial" w:cs="Arial"/>
          <w:b/>
          <w:bCs/>
          <w:sz w:val="22"/>
          <w:szCs w:val="22"/>
        </w:rPr>
        <w:t>imiento adicional – Término – Có</w:t>
      </w:r>
      <w:r w:rsidRPr="00CA4E26">
        <w:rPr>
          <w:rFonts w:ascii="Arial" w:hAnsi="Arial" w:eastAsia="Arial" w:cs="Arial"/>
          <w:b/>
          <w:bCs/>
          <w:sz w:val="22"/>
          <w:szCs w:val="22"/>
        </w:rPr>
        <w:t xml:space="preserve">mputo – Ejecución </w:t>
      </w:r>
    </w:p>
    <w:p w:rsidR="00191267" w:rsidP="007D584D" w:rsidRDefault="00191267" w14:paraId="1B657E86" w14:textId="77777777">
      <w:pPr>
        <w:jc w:val="both"/>
        <w:rPr>
          <w:rFonts w:ascii="Arial" w:hAnsi="Arial" w:eastAsia="Arial" w:cs="Arial"/>
          <w:sz w:val="20"/>
          <w:szCs w:val="20"/>
        </w:rPr>
      </w:pPr>
    </w:p>
    <w:p w:rsidRPr="007D584D" w:rsidR="007D584D" w:rsidP="007D584D" w:rsidRDefault="00191267" w14:paraId="6A4822F0" w14:textId="77777777">
      <w:pPr>
        <w:spacing w:after="120"/>
        <w:jc w:val="both"/>
        <w:rPr>
          <w:rFonts w:ascii="Arial" w:hAnsi="Arial" w:cs="Arial"/>
          <w:sz w:val="20"/>
          <w:szCs w:val="20"/>
        </w:rPr>
      </w:pPr>
      <w:r w:rsidRPr="007D584D">
        <w:rPr>
          <w:rFonts w:ascii="Arial" w:hAnsi="Arial" w:eastAsia="Arial" w:cs="Arial"/>
          <w:sz w:val="20"/>
          <w:szCs w:val="20"/>
        </w:rPr>
        <w:t xml:space="preserve">[E]l </w:t>
      </w:r>
      <w:r w:rsidRPr="007D584D" w:rsidR="007D584D">
        <w:rPr>
          <w:rFonts w:ascii="Arial" w:hAnsi="Arial" w:cs="Arial"/>
          <w:sz w:val="20"/>
          <w:szCs w:val="20"/>
        </w:rPr>
        <w:t>el proponente deberá ofertar el número de meses durante los cuales se compromete a realizar por su propia cuenta y riesgo las labores de mantenimiento rutinario de la obra construida, dentro de los límites establecidos por la entidad, término que, según se desprende del punto I del numeral 4.2.6 del Documento Base, será contado a partir de la terminación de las obras contratadas y hará parte del periodo de ejecución.</w:t>
      </w:r>
    </w:p>
    <w:p w:rsidRPr="007D584D" w:rsidR="007D584D" w:rsidP="007D584D" w:rsidRDefault="007D584D" w14:paraId="4CB96B83" w14:textId="61FA8C7C">
      <w:pPr>
        <w:spacing w:after="120"/>
        <w:jc w:val="both"/>
        <w:rPr>
          <w:rFonts w:ascii="Arial" w:hAnsi="Arial" w:cs="Arial"/>
          <w:sz w:val="20"/>
          <w:szCs w:val="20"/>
        </w:rPr>
      </w:pPr>
      <w:r w:rsidRPr="007D584D">
        <w:rPr>
          <w:rFonts w:ascii="Arial" w:hAnsi="Arial" w:cs="Arial"/>
          <w:sz w:val="20"/>
          <w:szCs w:val="20"/>
        </w:rPr>
        <w:t>Esto último quiere decir que el término de meses durante el cual el adjudicatario se compromete a realizar labores de mantenimiento rutinario deberá contarse a partir de la terminación de la obra contratada, esto es, una vez cumplido a cabalidad el objeto contractual. Este término, además, conforme al punto I del numeral 4.2.6 del Documento Base, estará comprendido dentro del período de ejecución del contrato.</w:t>
      </w:r>
    </w:p>
    <w:p w:rsidRPr="007D584D" w:rsidR="00765F00" w:rsidP="007D584D" w:rsidRDefault="007D584D" w14:paraId="65EDA978" w14:textId="5107699D">
      <w:pPr>
        <w:spacing w:after="120"/>
        <w:jc w:val="both"/>
        <w:rPr>
          <w:rFonts w:ascii="Arial" w:hAnsi="Arial" w:eastAsia="Arial" w:cs="Arial"/>
          <w:color w:val="FF0000"/>
          <w:sz w:val="20"/>
          <w:szCs w:val="20"/>
        </w:rPr>
      </w:pPr>
      <w:r w:rsidRPr="007D584D">
        <w:rPr>
          <w:rFonts w:ascii="Arial" w:hAnsi="Arial" w:cs="Arial"/>
          <w:sz w:val="20"/>
          <w:szCs w:val="20"/>
        </w:rPr>
        <w:t>Esto significa que el periodo de ejecución de los contratos adjudicados a proponentes que realizaron ofrecimientos de meses de mantenimiento rutinario no acaba con la entrega y recibo a satisfacción de las obras contratadas, sino una vez vencido el término de mantenimiento rutinario ofertado. En otras palabras, cuando se adjudique un contrato de obra a un proponente que se comprometió a realizar labores de mantenimiento rutinario, el período de ejecución del contrato estará comprendido por el lapso durante el que se ejecuten las obras, más los meses de mantenimiento rutinario ofertados</w:t>
      </w:r>
    </w:p>
    <w:p w:rsidRPr="004E1829" w:rsidR="004E1829" w:rsidP="00191267" w:rsidRDefault="004E1829" w14:paraId="1D03C6AB" w14:textId="77777777">
      <w:pPr>
        <w:rPr>
          <w:rFonts w:ascii="Arial" w:hAnsi="Arial" w:cs="Arial"/>
          <w:b/>
          <w:bCs/>
          <w:sz w:val="22"/>
          <w:szCs w:val="22"/>
          <w:lang w:val="pt-BR"/>
        </w:rPr>
      </w:pPr>
      <w:r w:rsidRPr="004E1829">
        <w:rPr>
          <w:rFonts w:ascii="Arial" w:hAnsi="Arial" w:cs="Arial"/>
          <w:sz w:val="22"/>
          <w:szCs w:val="22"/>
          <w:lang w:val="pt-BR"/>
        </w:rPr>
        <w:lastRenderedPageBreak/>
        <w:t xml:space="preserve">Bogotá D.C., </w:t>
      </w:r>
      <w:r w:rsidRPr="004E1829">
        <w:rPr>
          <w:rFonts w:ascii="Arial" w:hAnsi="Arial" w:cs="Arial"/>
          <w:b/>
          <w:bCs/>
          <w:sz w:val="22"/>
          <w:szCs w:val="22"/>
          <w:lang w:val="pt-BR"/>
        </w:rPr>
        <w:t xml:space="preserve">14/12/2020 Hora 20:41:18s </w:t>
      </w:r>
    </w:p>
    <w:p w:rsidRPr="004E1829" w:rsidR="00191267" w:rsidP="004E1829" w:rsidRDefault="004E1829" w14:paraId="3D811E65" w14:textId="59368E73">
      <w:pPr>
        <w:jc w:val="right"/>
        <w:rPr>
          <w:rFonts w:ascii="Arial" w:hAnsi="Arial" w:eastAsia="Arial" w:cs="Arial"/>
          <w:b/>
          <w:bCs/>
          <w:sz w:val="22"/>
          <w:szCs w:val="22"/>
          <w:lang w:val="pt-BR"/>
        </w:rPr>
      </w:pPr>
      <w:r w:rsidRPr="004E1829">
        <w:rPr>
          <w:rFonts w:ascii="Arial" w:hAnsi="Arial" w:cs="Arial"/>
          <w:b/>
          <w:bCs/>
          <w:sz w:val="22"/>
          <w:szCs w:val="22"/>
          <w:lang w:val="pt-BR"/>
        </w:rPr>
        <w:t>N° Radicado: 2202013000012011</w:t>
      </w:r>
    </w:p>
    <w:p w:rsidR="004E1829" w:rsidP="00191267" w:rsidRDefault="004E1829" w14:paraId="75974474" w14:textId="71CE33E9">
      <w:pPr>
        <w:rPr>
          <w:rFonts w:ascii="Arial" w:hAnsi="Arial" w:cs="Arial"/>
          <w:b/>
          <w:bCs/>
          <w:sz w:val="22"/>
          <w:szCs w:val="22"/>
        </w:rPr>
      </w:pPr>
    </w:p>
    <w:p w:rsidRPr="004E1829" w:rsidR="009D0935" w:rsidP="00191267" w:rsidRDefault="009D0935" w14:paraId="0EAA5B5F" w14:textId="77777777">
      <w:pPr>
        <w:rPr>
          <w:rFonts w:ascii="Arial" w:hAnsi="Arial" w:cs="Arial"/>
          <w:b/>
          <w:bCs/>
          <w:sz w:val="22"/>
          <w:szCs w:val="22"/>
        </w:rPr>
      </w:pPr>
    </w:p>
    <w:p w:rsidRPr="00920015" w:rsidR="00920015" w:rsidP="00191267" w:rsidRDefault="00920015" w14:paraId="6E6ADA32" w14:textId="34E94F62">
      <w:pPr>
        <w:rPr>
          <w:rFonts w:ascii="Arial" w:hAnsi="Arial" w:cs="Arial"/>
          <w:sz w:val="22"/>
          <w:szCs w:val="22"/>
        </w:rPr>
      </w:pPr>
      <w:r w:rsidRPr="00920015">
        <w:rPr>
          <w:rFonts w:ascii="Arial" w:hAnsi="Arial" w:cs="Arial"/>
          <w:sz w:val="22"/>
          <w:szCs w:val="22"/>
        </w:rPr>
        <w:t>Señor</w:t>
      </w:r>
    </w:p>
    <w:p w:rsidRPr="00920015" w:rsidR="00920015" w:rsidP="00191267" w:rsidRDefault="00920015" w14:paraId="3A59AE68" w14:textId="0DB10363">
      <w:pPr>
        <w:rPr>
          <w:rFonts w:ascii="Arial" w:hAnsi="Arial" w:cs="Arial"/>
          <w:b/>
          <w:bCs/>
          <w:sz w:val="22"/>
          <w:szCs w:val="22"/>
        </w:rPr>
      </w:pPr>
      <w:r w:rsidRPr="00920015">
        <w:rPr>
          <w:rFonts w:ascii="Arial" w:hAnsi="Arial" w:cs="Arial"/>
          <w:b/>
          <w:bCs/>
          <w:sz w:val="22"/>
          <w:szCs w:val="22"/>
        </w:rPr>
        <w:t xml:space="preserve">Norberto Soto </w:t>
      </w:r>
    </w:p>
    <w:p w:rsidRPr="00920015" w:rsidR="00920015" w:rsidP="00191267" w:rsidRDefault="00920015" w14:paraId="01C7997C" w14:textId="6157E158">
      <w:pPr>
        <w:rPr>
          <w:rFonts w:ascii="Arial" w:hAnsi="Arial" w:cs="Arial"/>
          <w:sz w:val="22"/>
          <w:szCs w:val="22"/>
        </w:rPr>
      </w:pPr>
      <w:r w:rsidRPr="00920015">
        <w:rPr>
          <w:rFonts w:ascii="Arial" w:hAnsi="Arial" w:cs="Arial"/>
          <w:sz w:val="22"/>
          <w:szCs w:val="22"/>
        </w:rPr>
        <w:t>CONSTRUCOING S.A.S.</w:t>
      </w:r>
    </w:p>
    <w:p w:rsidRPr="00920015" w:rsidR="00191267" w:rsidP="00191267" w:rsidRDefault="00920015" w14:paraId="55F7DA86" w14:textId="7F5E9882">
      <w:pPr>
        <w:rPr>
          <w:rFonts w:ascii="Arial" w:hAnsi="Arial" w:cs="Arial"/>
          <w:sz w:val="22"/>
          <w:szCs w:val="22"/>
        </w:rPr>
      </w:pPr>
      <w:r w:rsidRPr="00920015">
        <w:rPr>
          <w:rFonts w:ascii="Arial" w:hAnsi="Arial" w:cs="Arial"/>
          <w:sz w:val="22"/>
          <w:szCs w:val="22"/>
        </w:rPr>
        <w:t>Gerente General</w:t>
      </w:r>
    </w:p>
    <w:p w:rsidRPr="00920015" w:rsidR="00920015" w:rsidP="00191267" w:rsidRDefault="00920015" w14:paraId="6B0DB1DA" w14:textId="06F8DCB8">
      <w:pPr>
        <w:rPr>
          <w:rFonts w:ascii="Arial" w:hAnsi="Arial" w:eastAsia="Arial" w:cs="Arial"/>
          <w:sz w:val="22"/>
          <w:szCs w:val="22"/>
        </w:rPr>
      </w:pPr>
      <w:r w:rsidRPr="00920015">
        <w:rPr>
          <w:rFonts w:ascii="Arial" w:hAnsi="Arial" w:cs="Arial"/>
          <w:sz w:val="22"/>
          <w:szCs w:val="22"/>
        </w:rPr>
        <w:t>Floridablanca, Santander</w:t>
      </w:r>
    </w:p>
    <w:p w:rsidRPr="00F027A3" w:rsidR="00191267" w:rsidP="00191267" w:rsidRDefault="00191267" w14:paraId="2087252B" w14:textId="77777777">
      <w:pPr>
        <w:rPr>
          <w:rFonts w:ascii="Arial" w:hAnsi="Arial" w:eastAsia="Arial" w:cs="Arial"/>
          <w:sz w:val="22"/>
          <w:szCs w:val="22"/>
        </w:rPr>
      </w:pPr>
    </w:p>
    <w:p w:rsidRPr="00F027A3" w:rsidR="00191267" w:rsidP="00191267" w:rsidRDefault="00191267" w14:paraId="7BA997F7" w14:textId="7FF07CCF">
      <w:pPr>
        <w:ind w:firstLine="2694"/>
        <w:rPr>
          <w:rFonts w:ascii="Arial" w:hAnsi="Arial" w:eastAsia="Arial" w:cs="Arial"/>
          <w:b/>
          <w:sz w:val="22"/>
          <w:szCs w:val="22"/>
        </w:rPr>
      </w:pPr>
      <w:r w:rsidRPr="00F027A3">
        <w:rPr>
          <w:rFonts w:ascii="Arial" w:hAnsi="Arial" w:eastAsia="Arial" w:cs="Arial"/>
          <w:b/>
          <w:sz w:val="22"/>
          <w:szCs w:val="22"/>
        </w:rPr>
        <w:t>Concepto C –</w:t>
      </w:r>
      <w:r w:rsidR="00196FAB">
        <w:rPr>
          <w:rFonts w:ascii="Arial" w:hAnsi="Arial" w:eastAsia="Arial" w:cs="Arial"/>
          <w:b/>
          <w:sz w:val="22"/>
          <w:szCs w:val="22"/>
        </w:rPr>
        <w:t xml:space="preserve"> 732 de 2020</w:t>
      </w:r>
    </w:p>
    <w:p w:rsidRPr="00F027A3" w:rsidR="00191267" w:rsidP="00191267" w:rsidRDefault="00191267" w14:paraId="3437EB86" w14:textId="77777777">
      <w:pPr>
        <w:rPr>
          <w:rFonts w:ascii="Arial" w:hAnsi="Arial" w:eastAsia="Arial" w:cs="Arial"/>
          <w:sz w:val="22"/>
          <w:szCs w:val="22"/>
        </w:rPr>
      </w:pPr>
    </w:p>
    <w:tbl>
      <w:tblPr>
        <w:tblW w:w="8926"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Pr="00F027A3" w:rsidR="00191267" w:rsidTr="00CA3497" w14:paraId="56DD1F16" w14:textId="77777777">
        <w:tc>
          <w:tcPr>
            <w:tcW w:w="2689" w:type="dxa"/>
          </w:tcPr>
          <w:p w:rsidRPr="00F027A3" w:rsidR="00191267" w:rsidP="00CA3497" w:rsidRDefault="00191267" w14:paraId="605332D8" w14:textId="77777777">
            <w:pPr>
              <w:rPr>
                <w:rFonts w:ascii="Arial" w:hAnsi="Arial" w:eastAsia="Arial" w:cs="Arial"/>
                <w:sz w:val="22"/>
                <w:szCs w:val="22"/>
              </w:rPr>
            </w:pPr>
            <w:r w:rsidRPr="00F027A3">
              <w:rPr>
                <w:rFonts w:ascii="Arial" w:hAnsi="Arial" w:eastAsia="Arial" w:cs="Arial"/>
                <w:b/>
                <w:sz w:val="22"/>
                <w:szCs w:val="22"/>
              </w:rPr>
              <w:t>Temas:</w:t>
            </w:r>
            <w:r w:rsidRPr="00F027A3">
              <w:rPr>
                <w:rFonts w:ascii="Arial" w:hAnsi="Arial" w:eastAsia="Arial" w:cs="Arial"/>
                <w:sz w:val="22"/>
                <w:szCs w:val="22"/>
              </w:rPr>
              <w:t xml:space="preserve">           </w:t>
            </w:r>
          </w:p>
          <w:p w:rsidRPr="00F027A3" w:rsidR="00191267" w:rsidP="00CA3497" w:rsidRDefault="00191267" w14:paraId="72D26707" w14:textId="77777777">
            <w:pPr>
              <w:rPr>
                <w:rFonts w:ascii="Arial" w:hAnsi="Arial" w:eastAsia="Arial" w:cs="Arial"/>
                <w:sz w:val="22"/>
                <w:szCs w:val="22"/>
              </w:rPr>
            </w:pPr>
            <w:r w:rsidRPr="00F027A3">
              <w:rPr>
                <w:rFonts w:ascii="Arial" w:hAnsi="Arial" w:eastAsia="Arial" w:cs="Arial"/>
                <w:sz w:val="22"/>
                <w:szCs w:val="22"/>
              </w:rPr>
              <w:t xml:space="preserve">                           </w:t>
            </w:r>
          </w:p>
        </w:tc>
        <w:tc>
          <w:tcPr>
            <w:tcW w:w="6237" w:type="dxa"/>
          </w:tcPr>
          <w:p w:rsidRPr="00F027A3" w:rsidR="00191267" w:rsidP="007D584D" w:rsidRDefault="00191267" w14:paraId="0CC75A3A" w14:textId="77777777">
            <w:pPr>
              <w:jc w:val="both"/>
              <w:rPr>
                <w:rFonts w:ascii="Arial" w:hAnsi="Arial" w:eastAsia="Arial" w:cs="Arial"/>
                <w:sz w:val="22"/>
                <w:szCs w:val="22"/>
              </w:rPr>
            </w:pPr>
            <w:r w:rsidRPr="00F027A3">
              <w:rPr>
                <w:rFonts w:ascii="Arial" w:hAnsi="Arial" w:eastAsia="Arial" w:cs="Arial"/>
                <w:sz w:val="22"/>
                <w:szCs w:val="22"/>
              </w:rPr>
              <w:t>FACTOR DE CALIDAD – Mantenimiento adicional – Finalidad / FACTOR DE CALIDAD – Mantenimiento adicional – Resolución No. 116 de 2020 – Límites – Ofertas / FACTOR DE CALIDAD – Mantenimiento adicional – Término – Computo – Ejecución</w:t>
            </w:r>
          </w:p>
        </w:tc>
      </w:tr>
      <w:tr w:rsidRPr="00F027A3" w:rsidR="00191267" w:rsidTr="00CA3497" w14:paraId="5F7BC386" w14:textId="77777777">
        <w:tc>
          <w:tcPr>
            <w:tcW w:w="2689" w:type="dxa"/>
          </w:tcPr>
          <w:p w:rsidRPr="00F027A3" w:rsidR="00191267" w:rsidP="00CA3497" w:rsidRDefault="00191267" w14:paraId="7BFE7BC9" w14:textId="77777777">
            <w:pPr>
              <w:spacing w:before="120"/>
              <w:rPr>
                <w:rFonts w:ascii="Arial" w:hAnsi="Arial" w:eastAsia="Arial" w:cs="Arial"/>
                <w:b/>
                <w:sz w:val="22"/>
                <w:szCs w:val="22"/>
              </w:rPr>
            </w:pPr>
            <w:r w:rsidRPr="00F027A3">
              <w:rPr>
                <w:rFonts w:ascii="Arial" w:hAnsi="Arial" w:eastAsia="Arial" w:cs="Arial"/>
                <w:b/>
                <w:sz w:val="22"/>
                <w:szCs w:val="22"/>
              </w:rPr>
              <w:t>Radicación:</w:t>
            </w:r>
            <w:r w:rsidRPr="00F027A3">
              <w:rPr>
                <w:rFonts w:ascii="Arial" w:hAnsi="Arial" w:eastAsia="Arial" w:cs="Arial"/>
                <w:sz w:val="22"/>
                <w:szCs w:val="22"/>
              </w:rPr>
              <w:t xml:space="preserve">                              </w:t>
            </w:r>
          </w:p>
        </w:tc>
        <w:tc>
          <w:tcPr>
            <w:tcW w:w="6237" w:type="dxa"/>
          </w:tcPr>
          <w:p w:rsidRPr="00F027A3" w:rsidR="00191267" w:rsidP="00CA3497" w:rsidRDefault="00191267" w14:paraId="6CDFC454" w14:textId="241ED1E6">
            <w:pPr>
              <w:spacing w:before="120"/>
              <w:rPr>
                <w:rFonts w:ascii="Arial" w:hAnsi="Arial" w:eastAsia="Arial" w:cs="Arial"/>
                <w:sz w:val="22"/>
                <w:szCs w:val="22"/>
              </w:rPr>
            </w:pPr>
            <w:r w:rsidRPr="00F027A3">
              <w:rPr>
                <w:rFonts w:ascii="Arial" w:hAnsi="Arial" w:eastAsia="Arial" w:cs="Arial"/>
                <w:sz w:val="22"/>
                <w:szCs w:val="22"/>
              </w:rPr>
              <w:t>Respuesta a consulta</w:t>
            </w:r>
            <w:r w:rsidRPr="00196FAB">
              <w:rPr>
                <w:rFonts w:ascii="Arial" w:hAnsi="Arial" w:eastAsia="Arial" w:cs="Arial"/>
                <w:sz w:val="22"/>
                <w:szCs w:val="22"/>
              </w:rPr>
              <w:t xml:space="preserve"> </w:t>
            </w:r>
            <w:r w:rsidR="00A344B6">
              <w:rPr>
                <w:rFonts w:ascii="Arial" w:hAnsi="Arial" w:eastAsia="Arial" w:cs="Arial"/>
                <w:sz w:val="22"/>
                <w:szCs w:val="22"/>
              </w:rPr>
              <w:t xml:space="preserve"># </w:t>
            </w:r>
            <w:r w:rsidRPr="00196FAB" w:rsidR="00196FAB">
              <w:rPr>
                <w:rFonts w:ascii="Arial" w:hAnsi="Arial" w:cs="Arial"/>
                <w:sz w:val="22"/>
                <w:szCs w:val="22"/>
              </w:rPr>
              <w:t>4202013000009892</w:t>
            </w:r>
          </w:p>
        </w:tc>
      </w:tr>
    </w:tbl>
    <w:p w:rsidRPr="00F027A3" w:rsidR="00191267" w:rsidP="00191267" w:rsidRDefault="00191267" w14:paraId="2A08D302" w14:textId="77777777">
      <w:pPr>
        <w:rPr>
          <w:rFonts w:ascii="Arial" w:hAnsi="Arial" w:eastAsia="Arial" w:cs="Arial"/>
          <w:sz w:val="22"/>
          <w:szCs w:val="22"/>
        </w:rPr>
      </w:pPr>
    </w:p>
    <w:p w:rsidRPr="00F027A3" w:rsidR="00191267" w:rsidP="00191267" w:rsidRDefault="00191267" w14:paraId="2F93B9B6" w14:textId="77777777">
      <w:pPr>
        <w:rPr>
          <w:rFonts w:ascii="Arial" w:hAnsi="Arial" w:eastAsia="Arial" w:cs="Arial"/>
          <w:sz w:val="22"/>
          <w:szCs w:val="22"/>
        </w:rPr>
      </w:pPr>
    </w:p>
    <w:p w:rsidRPr="00F027A3" w:rsidR="00191267" w:rsidP="00191267" w:rsidRDefault="00191267" w14:paraId="5148479E" w14:textId="7E69D608">
      <w:pPr>
        <w:rPr>
          <w:rFonts w:ascii="Arial" w:hAnsi="Arial" w:eastAsia="Arial" w:cs="Arial"/>
          <w:sz w:val="22"/>
          <w:szCs w:val="22"/>
        </w:rPr>
      </w:pPr>
      <w:r w:rsidRPr="00F027A3">
        <w:rPr>
          <w:rFonts w:ascii="Arial" w:hAnsi="Arial" w:eastAsia="Arial" w:cs="Arial"/>
          <w:sz w:val="22"/>
          <w:szCs w:val="22"/>
        </w:rPr>
        <w:t>Estimado señor S</w:t>
      </w:r>
      <w:r w:rsidR="00196FAB">
        <w:rPr>
          <w:rFonts w:ascii="Arial" w:hAnsi="Arial" w:eastAsia="Arial" w:cs="Arial"/>
          <w:sz w:val="22"/>
          <w:szCs w:val="22"/>
        </w:rPr>
        <w:t>oto</w:t>
      </w:r>
      <w:r w:rsidRPr="00F027A3">
        <w:rPr>
          <w:rFonts w:ascii="Arial" w:hAnsi="Arial" w:eastAsia="Arial" w:cs="Arial"/>
          <w:sz w:val="22"/>
          <w:szCs w:val="22"/>
        </w:rPr>
        <w:t>,</w:t>
      </w:r>
    </w:p>
    <w:p w:rsidRPr="00F027A3" w:rsidR="00191267" w:rsidP="00191267" w:rsidRDefault="00191267" w14:paraId="5CF063B2" w14:textId="77777777">
      <w:pPr>
        <w:rPr>
          <w:rFonts w:ascii="Arial" w:hAnsi="Arial" w:eastAsia="Arial" w:cs="Arial"/>
          <w:sz w:val="22"/>
          <w:szCs w:val="22"/>
        </w:rPr>
      </w:pPr>
    </w:p>
    <w:p w:rsidRPr="00F027A3" w:rsidR="00191267" w:rsidP="00191267" w:rsidRDefault="00191267" w14:paraId="0D2D81B4" w14:textId="50ECEB7D">
      <w:pPr>
        <w:spacing w:line="276" w:lineRule="auto"/>
        <w:jc w:val="both"/>
        <w:rPr>
          <w:rFonts w:ascii="Arial" w:hAnsi="Arial" w:eastAsia="Arial" w:cs="Arial"/>
          <w:sz w:val="22"/>
          <w:szCs w:val="22"/>
        </w:rPr>
      </w:pPr>
      <w:r w:rsidRPr="00F027A3">
        <w:rPr>
          <w:rFonts w:ascii="Arial" w:hAnsi="Arial" w:eastAsia="Arial" w:cs="Arial"/>
          <w:sz w:val="22"/>
          <w:szCs w:val="22"/>
        </w:rPr>
        <w:t xml:space="preserve">La Agencia Nacional de Contratación Pública -Colombia Compra Eficiente- responde su consulta del </w:t>
      </w:r>
      <w:r w:rsidR="004C0F56">
        <w:rPr>
          <w:rFonts w:ascii="Arial" w:hAnsi="Arial" w:eastAsia="Arial" w:cs="Arial"/>
          <w:sz w:val="22"/>
          <w:szCs w:val="22"/>
        </w:rPr>
        <w:t>29</w:t>
      </w:r>
      <w:r w:rsidRPr="00F027A3">
        <w:rPr>
          <w:rFonts w:ascii="Arial" w:hAnsi="Arial" w:eastAsia="Arial" w:cs="Arial"/>
          <w:sz w:val="22"/>
          <w:szCs w:val="22"/>
        </w:rPr>
        <w:t xml:space="preserve"> de </w:t>
      </w:r>
      <w:r w:rsidR="004C0F56">
        <w:rPr>
          <w:rFonts w:ascii="Arial" w:hAnsi="Arial" w:eastAsia="Arial" w:cs="Arial"/>
          <w:sz w:val="22"/>
          <w:szCs w:val="22"/>
        </w:rPr>
        <w:t>octubre</w:t>
      </w:r>
      <w:r w:rsidRPr="00F027A3">
        <w:rPr>
          <w:rFonts w:ascii="Arial" w:hAnsi="Arial" w:eastAsia="Arial" w:cs="Arial"/>
          <w:sz w:val="22"/>
          <w:szCs w:val="22"/>
        </w:rPr>
        <w:t xml:space="preserve"> de 2020, en ejercicio de la competencia otorgada por el numeral 8 del artículo 11 y el numeral 5 del artículo 3 del Decreto Ley 4170 de 2011. </w:t>
      </w:r>
    </w:p>
    <w:p w:rsidRPr="00F027A3" w:rsidR="00191267" w:rsidP="00191267" w:rsidRDefault="00191267" w14:paraId="25D5884B" w14:textId="77777777">
      <w:pPr>
        <w:spacing w:line="276" w:lineRule="auto"/>
        <w:jc w:val="both"/>
        <w:rPr>
          <w:rFonts w:ascii="Arial" w:hAnsi="Arial" w:eastAsia="Arial" w:cs="Arial"/>
          <w:sz w:val="22"/>
          <w:szCs w:val="22"/>
        </w:rPr>
      </w:pPr>
    </w:p>
    <w:p w:rsidRPr="00F027A3" w:rsidR="00191267" w:rsidP="00191267" w:rsidRDefault="00191267" w14:paraId="0BDA7E0A" w14:textId="77777777">
      <w:pPr>
        <w:spacing w:line="276" w:lineRule="auto"/>
        <w:jc w:val="both"/>
        <w:rPr>
          <w:rFonts w:ascii="Arial" w:hAnsi="Arial" w:eastAsia="Arial" w:cs="Arial"/>
          <w:b/>
          <w:sz w:val="22"/>
          <w:szCs w:val="22"/>
        </w:rPr>
      </w:pPr>
      <w:r w:rsidRPr="00F027A3">
        <w:rPr>
          <w:rFonts w:ascii="Arial" w:hAnsi="Arial" w:eastAsia="Arial" w:cs="Arial"/>
          <w:b/>
          <w:sz w:val="22"/>
          <w:szCs w:val="22"/>
        </w:rPr>
        <w:t>1. Problemas planteados</w:t>
      </w:r>
    </w:p>
    <w:p w:rsidRPr="00DA65A6" w:rsidR="00191267" w:rsidP="00191267" w:rsidRDefault="00191267" w14:paraId="58220279" w14:textId="77777777">
      <w:pPr>
        <w:spacing w:line="276" w:lineRule="auto"/>
        <w:jc w:val="both"/>
        <w:rPr>
          <w:rFonts w:ascii="Arial" w:hAnsi="Arial" w:eastAsia="Arial" w:cs="Arial"/>
          <w:sz w:val="22"/>
          <w:szCs w:val="22"/>
        </w:rPr>
      </w:pPr>
    </w:p>
    <w:p w:rsidRPr="00DA65A6" w:rsidR="00191267" w:rsidP="00DA65A6" w:rsidRDefault="00191267" w14:paraId="2BC5C8AE" w14:textId="5C59EBF2">
      <w:pPr>
        <w:spacing w:line="276" w:lineRule="auto"/>
        <w:jc w:val="both"/>
        <w:rPr>
          <w:rFonts w:ascii="Arial" w:hAnsi="Arial" w:eastAsia="Arial" w:cs="Arial"/>
          <w:sz w:val="22"/>
          <w:szCs w:val="22"/>
          <w:u w:val="single"/>
        </w:rPr>
      </w:pPr>
      <w:r w:rsidRPr="00DA65A6">
        <w:rPr>
          <w:rFonts w:ascii="Arial" w:hAnsi="Arial" w:eastAsia="Arial" w:cs="Arial"/>
          <w:sz w:val="22"/>
          <w:szCs w:val="22"/>
        </w:rPr>
        <w:t>Usted realiza la</w:t>
      </w:r>
      <w:r w:rsidRPr="00DA65A6" w:rsidR="00DA65A6">
        <w:rPr>
          <w:rFonts w:ascii="Arial" w:hAnsi="Arial" w:eastAsia="Arial" w:cs="Arial"/>
          <w:sz w:val="22"/>
          <w:szCs w:val="22"/>
        </w:rPr>
        <w:t>s</w:t>
      </w:r>
      <w:r w:rsidRPr="00DA65A6">
        <w:rPr>
          <w:rFonts w:ascii="Arial" w:hAnsi="Arial" w:eastAsia="Arial" w:cs="Arial"/>
          <w:sz w:val="22"/>
          <w:szCs w:val="22"/>
        </w:rPr>
        <w:t xml:space="preserve"> siguiente</w:t>
      </w:r>
      <w:r w:rsidRPr="00DA65A6" w:rsidR="00DA65A6">
        <w:rPr>
          <w:rFonts w:ascii="Arial" w:hAnsi="Arial" w:eastAsia="Arial" w:cs="Arial"/>
          <w:sz w:val="22"/>
          <w:szCs w:val="22"/>
        </w:rPr>
        <w:t>s</w:t>
      </w:r>
      <w:r w:rsidRPr="00DA65A6">
        <w:rPr>
          <w:rFonts w:ascii="Arial" w:hAnsi="Arial" w:eastAsia="Arial" w:cs="Arial"/>
          <w:sz w:val="22"/>
          <w:szCs w:val="22"/>
        </w:rPr>
        <w:t xml:space="preserve"> pregunta</w:t>
      </w:r>
      <w:r w:rsidRPr="00DA65A6" w:rsidR="00DA65A6">
        <w:rPr>
          <w:rFonts w:ascii="Arial" w:hAnsi="Arial" w:eastAsia="Arial" w:cs="Arial"/>
          <w:sz w:val="22"/>
          <w:szCs w:val="22"/>
        </w:rPr>
        <w:t>s</w:t>
      </w:r>
      <w:r w:rsidRPr="00DA65A6">
        <w:rPr>
          <w:rFonts w:ascii="Arial" w:hAnsi="Arial" w:eastAsia="Arial" w:cs="Arial"/>
          <w:sz w:val="22"/>
          <w:szCs w:val="22"/>
        </w:rPr>
        <w:t xml:space="preserve">: </w:t>
      </w:r>
      <w:r w:rsidRPr="00DA65A6" w:rsidR="00DA65A6">
        <w:rPr>
          <w:rFonts w:ascii="Arial" w:hAnsi="Arial" w:eastAsia="Arial" w:cs="Arial"/>
          <w:sz w:val="22"/>
          <w:szCs w:val="22"/>
        </w:rPr>
        <w:t xml:space="preserve">i) </w:t>
      </w:r>
      <w:r w:rsidRPr="00DA65A6" w:rsidR="00DA65A6">
        <w:rPr>
          <w:rFonts w:ascii="Arial" w:hAnsi="Arial" w:cs="Arial"/>
          <w:sz w:val="22"/>
          <w:szCs w:val="22"/>
        </w:rPr>
        <w:t>« En caso de que un proponente oferte treinta (30) meses de Mantenimiento Adicional, ¿el contrato se liquidará dentro de los cuatro (04) meses posteriores a la terminación de los trabajos o se liquidará una vez culminados los treinta (30) meses?</w:t>
      </w:r>
      <w:r w:rsidR="00DA65A6">
        <w:rPr>
          <w:rFonts w:ascii="Arial" w:hAnsi="Arial" w:cs="Arial"/>
          <w:sz w:val="22"/>
          <w:szCs w:val="22"/>
        </w:rPr>
        <w:t>» y ii)</w:t>
      </w:r>
      <w:r w:rsidRPr="00DA65A6" w:rsidR="00DA65A6">
        <w:rPr>
          <w:rFonts w:ascii="Arial" w:hAnsi="Arial" w:cs="Arial"/>
          <w:sz w:val="22"/>
          <w:szCs w:val="22"/>
        </w:rPr>
        <w:t xml:space="preserve"> </w:t>
      </w:r>
      <w:r w:rsidR="00DA65A6">
        <w:rPr>
          <w:rFonts w:ascii="Arial" w:hAnsi="Arial" w:cs="Arial"/>
          <w:sz w:val="22"/>
          <w:szCs w:val="22"/>
        </w:rPr>
        <w:t>«</w:t>
      </w:r>
      <w:r w:rsidRPr="00DA65A6" w:rsidR="00DA65A6">
        <w:rPr>
          <w:rFonts w:ascii="Arial" w:hAnsi="Arial" w:cs="Arial"/>
          <w:sz w:val="22"/>
          <w:szCs w:val="22"/>
        </w:rPr>
        <w:t>¿El acta de recibo final se suscribirá una vez hayan culminado las obras o hasta que finalicen los treinta (30) meses de Mantenimiento Adicional?»</w:t>
      </w:r>
      <w:r w:rsidR="00DA65A6">
        <w:rPr>
          <w:rFonts w:ascii="Arial" w:hAnsi="Arial" w:cs="Arial"/>
          <w:sz w:val="22"/>
          <w:szCs w:val="22"/>
        </w:rPr>
        <w:t>.</w:t>
      </w:r>
    </w:p>
    <w:p w:rsidRPr="00F027A3" w:rsidR="00191267" w:rsidP="00DA65A6" w:rsidRDefault="00191267" w14:paraId="5DB08431" w14:textId="77777777">
      <w:pPr>
        <w:spacing w:line="276" w:lineRule="auto"/>
        <w:jc w:val="right"/>
        <w:rPr>
          <w:rFonts w:ascii="Arial" w:hAnsi="Arial" w:eastAsia="Arial" w:cs="Arial"/>
          <w:b/>
          <w:sz w:val="22"/>
          <w:szCs w:val="22"/>
        </w:rPr>
      </w:pPr>
    </w:p>
    <w:p w:rsidRPr="00F027A3" w:rsidR="00191267" w:rsidP="00DA65A6" w:rsidRDefault="00191267" w14:paraId="57CC227E" w14:textId="77777777">
      <w:pPr>
        <w:spacing w:line="276" w:lineRule="auto"/>
        <w:jc w:val="both"/>
        <w:rPr>
          <w:rFonts w:ascii="Arial" w:hAnsi="Arial" w:eastAsia="Arial" w:cs="Arial"/>
          <w:b/>
          <w:sz w:val="22"/>
          <w:szCs w:val="22"/>
        </w:rPr>
      </w:pPr>
      <w:r w:rsidRPr="00F027A3">
        <w:rPr>
          <w:rFonts w:ascii="Arial" w:hAnsi="Arial" w:eastAsia="Arial" w:cs="Arial"/>
          <w:b/>
          <w:sz w:val="22"/>
          <w:szCs w:val="22"/>
        </w:rPr>
        <w:t>2. Consideraciones</w:t>
      </w:r>
    </w:p>
    <w:p w:rsidR="00DA65A6" w:rsidP="00DA65A6" w:rsidRDefault="00DA65A6" w14:paraId="6E6C0771" w14:textId="77777777">
      <w:pPr>
        <w:spacing w:line="276" w:lineRule="auto"/>
        <w:jc w:val="both"/>
        <w:rPr>
          <w:rFonts w:ascii="Arial" w:hAnsi="Arial" w:cs="Arial"/>
          <w:sz w:val="22"/>
          <w:szCs w:val="22"/>
        </w:rPr>
      </w:pPr>
    </w:p>
    <w:p w:rsidRPr="00F027A3" w:rsidR="00191267" w:rsidP="00D8415B" w:rsidRDefault="00191267" w14:paraId="2EB6CF3C" w14:textId="4559B2B5">
      <w:pPr>
        <w:spacing w:line="276" w:lineRule="auto"/>
        <w:jc w:val="both"/>
        <w:rPr>
          <w:rFonts w:ascii="Arial" w:hAnsi="Arial" w:eastAsia="Arial" w:cs="Arial"/>
          <w:sz w:val="22"/>
          <w:szCs w:val="22"/>
        </w:rPr>
      </w:pPr>
      <w:r w:rsidRPr="00F027A3">
        <w:rPr>
          <w:rFonts w:ascii="Arial" w:hAnsi="Arial" w:cs="Arial"/>
          <w:sz w:val="22"/>
          <w:szCs w:val="22"/>
        </w:rPr>
        <w:t xml:space="preserve">La Agencia </w:t>
      </w:r>
      <w:r w:rsidRPr="00F027A3">
        <w:rPr>
          <w:rFonts w:ascii="Arial" w:hAnsi="Arial" w:cs="Arial"/>
          <w:bCs/>
          <w:sz w:val="22"/>
          <w:szCs w:val="22"/>
        </w:rPr>
        <w:t xml:space="preserve">Nacional de Contratación Pública – Colombia Compra Eficiente </w:t>
      </w:r>
      <w:r w:rsidR="00346A3D">
        <w:rPr>
          <w:rFonts w:ascii="Arial" w:hAnsi="Arial" w:cs="Arial"/>
          <w:bCs/>
          <w:sz w:val="22"/>
          <w:szCs w:val="22"/>
        </w:rPr>
        <w:t>se pronunció</w:t>
      </w:r>
      <w:r w:rsidRPr="00F027A3">
        <w:rPr>
          <w:rFonts w:ascii="Arial" w:hAnsi="Arial" w:cs="Arial"/>
          <w:bCs/>
          <w:sz w:val="22"/>
          <w:szCs w:val="22"/>
        </w:rPr>
        <w:t xml:space="preserve"> sobre el factor de calidad </w:t>
      </w:r>
      <w:r w:rsidR="00346A3D">
        <w:rPr>
          <w:rFonts w:ascii="Arial" w:hAnsi="Arial" w:cs="Arial"/>
          <w:bCs/>
          <w:sz w:val="22"/>
          <w:szCs w:val="22"/>
        </w:rPr>
        <w:t xml:space="preserve">de mantenimiento adicional </w:t>
      </w:r>
      <w:r w:rsidRPr="00F027A3">
        <w:rPr>
          <w:rFonts w:ascii="Arial" w:hAnsi="Arial" w:cs="Arial"/>
          <w:bCs/>
          <w:sz w:val="22"/>
          <w:szCs w:val="22"/>
        </w:rPr>
        <w:t xml:space="preserve">en procesos de selección con documentos tipo en </w:t>
      </w:r>
      <w:r w:rsidRPr="00F027A3">
        <w:rPr>
          <w:rFonts w:ascii="Arial" w:hAnsi="Arial" w:eastAsia="Arial" w:cs="Arial"/>
          <w:sz w:val="22"/>
          <w:szCs w:val="22"/>
        </w:rPr>
        <w:t>los conceptos C-294 del 18 de mayo de 2020; C-276 y C-277 del 26 de mayo de 2020; C–380 y C–381 del 1 de junio de 2020; C-404 del 12 de junio de 2020, C-352 del 30 de junio de 2020, C-430 del 7 de julio de 2020</w:t>
      </w:r>
      <w:r>
        <w:rPr>
          <w:rFonts w:ascii="Arial" w:hAnsi="Arial" w:eastAsia="Arial" w:cs="Arial"/>
          <w:sz w:val="22"/>
          <w:szCs w:val="22"/>
        </w:rPr>
        <w:t>,</w:t>
      </w:r>
      <w:r w:rsidRPr="00F027A3">
        <w:rPr>
          <w:rFonts w:ascii="Arial" w:hAnsi="Arial" w:eastAsia="Arial" w:cs="Arial"/>
          <w:sz w:val="22"/>
          <w:szCs w:val="22"/>
        </w:rPr>
        <w:t xml:space="preserve"> C-481 del 27 de julio de 2020</w:t>
      </w:r>
      <w:r>
        <w:rPr>
          <w:rFonts w:ascii="Arial" w:hAnsi="Arial" w:eastAsia="Arial" w:cs="Arial"/>
          <w:sz w:val="22"/>
          <w:szCs w:val="22"/>
        </w:rPr>
        <w:t xml:space="preserve"> y </w:t>
      </w:r>
      <w:r w:rsidRPr="00191267">
        <w:rPr>
          <w:rFonts w:ascii="Arial" w:hAnsi="Arial" w:eastAsia="Arial" w:cs="Arial"/>
          <w:sz w:val="22"/>
          <w:szCs w:val="22"/>
        </w:rPr>
        <w:lastRenderedPageBreak/>
        <w:t xml:space="preserve">C-539 del </w:t>
      </w:r>
      <w:r w:rsidRPr="00191267">
        <w:rPr>
          <w:rFonts w:ascii="Arial" w:hAnsi="Arial" w:cs="Arial"/>
          <w:color w:val="000000"/>
          <w:sz w:val="22"/>
          <w:szCs w:val="22"/>
          <w:lang w:val="es-CO"/>
        </w:rPr>
        <w:t>19 septiembre de 2020</w:t>
      </w:r>
      <w:r w:rsidRPr="00F027A3">
        <w:rPr>
          <w:rFonts w:ascii="Arial" w:hAnsi="Arial" w:eastAsia="Arial" w:cs="Arial"/>
          <w:sz w:val="22"/>
          <w:szCs w:val="22"/>
        </w:rPr>
        <w:t>.</w:t>
      </w:r>
      <w:r>
        <w:rPr>
          <w:rFonts w:ascii="Arial" w:hAnsi="Arial" w:eastAsia="Arial" w:cs="Arial"/>
          <w:sz w:val="22"/>
          <w:szCs w:val="22"/>
        </w:rPr>
        <w:t xml:space="preserve"> Por otra parte, en los conceptos </w:t>
      </w:r>
      <w:r w:rsidR="00FE4CF9">
        <w:rPr>
          <w:rFonts w:ascii="Arial" w:hAnsi="Arial" w:eastAsia="Arial" w:cs="Arial"/>
          <w:sz w:val="22"/>
          <w:szCs w:val="22"/>
        </w:rPr>
        <w:t xml:space="preserve">C-242 del 21 de abril de 2020, C-276 del 26 de mayo de 2020, C-352 del 30 de junio de 2020, C-432 del 27 de julio de 2020 y C-539 </w:t>
      </w:r>
      <w:r w:rsidRPr="00191267" w:rsidR="00FE4CF9">
        <w:rPr>
          <w:rFonts w:ascii="Arial" w:hAnsi="Arial" w:eastAsia="Arial" w:cs="Arial"/>
          <w:sz w:val="22"/>
          <w:szCs w:val="22"/>
        </w:rPr>
        <w:t xml:space="preserve">del </w:t>
      </w:r>
      <w:r w:rsidRPr="00191267" w:rsidR="00FE4CF9">
        <w:rPr>
          <w:rFonts w:ascii="Arial" w:hAnsi="Arial" w:cs="Arial"/>
          <w:color w:val="000000"/>
          <w:sz w:val="22"/>
          <w:szCs w:val="22"/>
          <w:lang w:val="es-CO"/>
        </w:rPr>
        <w:t>19 septiembre de 2020</w:t>
      </w:r>
      <w:r w:rsidR="00FE4CF9">
        <w:rPr>
          <w:rFonts w:ascii="Arial" w:hAnsi="Arial" w:cs="Arial"/>
          <w:color w:val="000000"/>
          <w:sz w:val="22"/>
          <w:szCs w:val="22"/>
          <w:lang w:val="es-CO"/>
        </w:rPr>
        <w:t xml:space="preserve">, se pronunció </w:t>
      </w:r>
      <w:r w:rsidR="00FE4CF9">
        <w:rPr>
          <w:rFonts w:ascii="Arial" w:hAnsi="Arial" w:cs="Arial"/>
          <w:sz w:val="22"/>
          <w:szCs w:val="22"/>
        </w:rPr>
        <w:t>sobre</w:t>
      </w:r>
      <w:r w:rsidRPr="00F027A3" w:rsidR="00FE4CF9">
        <w:rPr>
          <w:rFonts w:ascii="Arial" w:hAnsi="Arial" w:cs="Arial"/>
          <w:sz w:val="22"/>
          <w:szCs w:val="22"/>
        </w:rPr>
        <w:t xml:space="preserve"> el</w:t>
      </w:r>
      <w:r w:rsidR="00123760">
        <w:rPr>
          <w:rFonts w:ascii="Arial" w:hAnsi="Arial" w:cs="Arial"/>
          <w:sz w:val="22"/>
          <w:szCs w:val="22"/>
        </w:rPr>
        <w:t xml:space="preserve"> </w:t>
      </w:r>
      <w:r w:rsidR="00FE4CF9">
        <w:rPr>
          <w:rFonts w:ascii="Arial" w:hAnsi="Arial" w:cs="Arial"/>
          <w:sz w:val="22"/>
          <w:szCs w:val="22"/>
        </w:rPr>
        <w:t>«</w:t>
      </w:r>
      <w:r w:rsidRPr="00F027A3" w:rsidR="00FE4CF9">
        <w:rPr>
          <w:rFonts w:ascii="Arial" w:hAnsi="Arial" w:cs="Arial"/>
          <w:sz w:val="22"/>
          <w:szCs w:val="22"/>
        </w:rPr>
        <w:t>Mantenimiento adicional</w:t>
      </w:r>
      <w:r w:rsidR="00FE4CF9">
        <w:rPr>
          <w:rFonts w:ascii="Arial" w:hAnsi="Arial" w:cs="Arial"/>
          <w:sz w:val="22"/>
          <w:szCs w:val="22"/>
        </w:rPr>
        <w:t>»</w:t>
      </w:r>
      <w:r w:rsidRPr="00F027A3" w:rsidR="00FE4CF9">
        <w:rPr>
          <w:rFonts w:ascii="Arial" w:hAnsi="Arial" w:cs="Arial"/>
          <w:sz w:val="22"/>
          <w:szCs w:val="22"/>
        </w:rPr>
        <w:t xml:space="preserve"> </w:t>
      </w:r>
      <w:r w:rsidR="00FE4CF9">
        <w:rPr>
          <w:rFonts w:ascii="Arial" w:hAnsi="Arial" w:cs="Arial"/>
          <w:sz w:val="22"/>
          <w:szCs w:val="22"/>
        </w:rPr>
        <w:t xml:space="preserve">como </w:t>
      </w:r>
      <w:r w:rsidRPr="00F027A3" w:rsidR="00FE4CF9">
        <w:rPr>
          <w:rFonts w:ascii="Arial" w:hAnsi="Arial" w:cs="Arial"/>
          <w:sz w:val="22"/>
          <w:szCs w:val="22"/>
        </w:rPr>
        <w:t>parte de la ejecución del contrato y</w:t>
      </w:r>
      <w:r w:rsidR="00FE4CF9">
        <w:rPr>
          <w:rFonts w:ascii="Arial" w:hAnsi="Arial" w:cs="Arial"/>
          <w:sz w:val="22"/>
          <w:szCs w:val="22"/>
        </w:rPr>
        <w:t xml:space="preserve"> la posibilidad de realizar la </w:t>
      </w:r>
      <w:r w:rsidRPr="00F027A3" w:rsidR="00FE4CF9">
        <w:rPr>
          <w:rFonts w:ascii="Arial" w:hAnsi="Arial" w:cs="Arial"/>
          <w:sz w:val="22"/>
          <w:szCs w:val="22"/>
        </w:rPr>
        <w:t>liquidación final vencido dicho término.</w:t>
      </w:r>
      <w:r w:rsidR="00FE4CF9">
        <w:rPr>
          <w:rFonts w:ascii="Arial" w:hAnsi="Arial" w:cs="Arial"/>
          <w:sz w:val="22"/>
          <w:szCs w:val="22"/>
        </w:rPr>
        <w:t xml:space="preserve"> </w:t>
      </w:r>
      <w:r w:rsidRPr="00F027A3">
        <w:rPr>
          <w:rFonts w:ascii="Arial" w:hAnsi="Arial" w:eastAsia="Arial" w:cs="Arial"/>
          <w:sz w:val="22"/>
          <w:szCs w:val="22"/>
        </w:rPr>
        <w:t>La</w:t>
      </w:r>
      <w:r w:rsidR="00346A3D">
        <w:rPr>
          <w:rFonts w:ascii="Arial" w:hAnsi="Arial" w:eastAsia="Arial" w:cs="Arial"/>
          <w:sz w:val="22"/>
          <w:szCs w:val="22"/>
        </w:rPr>
        <w:t>s</w:t>
      </w:r>
      <w:r w:rsidRPr="00F027A3">
        <w:rPr>
          <w:rFonts w:ascii="Arial" w:hAnsi="Arial" w:eastAsia="Arial" w:cs="Arial"/>
          <w:sz w:val="22"/>
          <w:szCs w:val="22"/>
        </w:rPr>
        <w:t xml:space="preserve"> tesis expuesta</w:t>
      </w:r>
      <w:r w:rsidR="00346A3D">
        <w:rPr>
          <w:rFonts w:ascii="Arial" w:hAnsi="Arial" w:eastAsia="Arial" w:cs="Arial"/>
          <w:sz w:val="22"/>
          <w:szCs w:val="22"/>
        </w:rPr>
        <w:t>s</w:t>
      </w:r>
      <w:r w:rsidRPr="00F027A3">
        <w:rPr>
          <w:rFonts w:ascii="Arial" w:hAnsi="Arial" w:eastAsia="Arial" w:cs="Arial"/>
          <w:sz w:val="22"/>
          <w:szCs w:val="22"/>
        </w:rPr>
        <w:t xml:space="preserve"> en estos conceptos se reitera</w:t>
      </w:r>
      <w:r w:rsidR="00346A3D">
        <w:rPr>
          <w:rFonts w:ascii="Arial" w:hAnsi="Arial" w:eastAsia="Arial" w:cs="Arial"/>
          <w:sz w:val="22"/>
          <w:szCs w:val="22"/>
        </w:rPr>
        <w:t>n</w:t>
      </w:r>
      <w:r w:rsidRPr="00F027A3">
        <w:rPr>
          <w:rFonts w:ascii="Arial" w:hAnsi="Arial" w:eastAsia="Arial" w:cs="Arial"/>
          <w:sz w:val="22"/>
          <w:szCs w:val="22"/>
        </w:rPr>
        <w:t xml:space="preserve"> a continuación</w:t>
      </w:r>
      <w:r w:rsidR="00346A3D">
        <w:rPr>
          <w:rFonts w:ascii="Arial" w:hAnsi="Arial" w:eastAsia="Arial" w:cs="Arial"/>
          <w:sz w:val="22"/>
          <w:szCs w:val="22"/>
        </w:rPr>
        <w:t>.</w:t>
      </w:r>
    </w:p>
    <w:p w:rsidR="00F679B1" w:rsidP="007D584D" w:rsidRDefault="00F679B1" w14:paraId="15698C00" w14:textId="77777777">
      <w:pPr>
        <w:tabs>
          <w:tab w:val="left" w:pos="426"/>
        </w:tabs>
        <w:spacing w:line="276" w:lineRule="auto"/>
        <w:jc w:val="both"/>
        <w:rPr>
          <w:rFonts w:ascii="Arial" w:hAnsi="Arial" w:eastAsia="Arial" w:cs="Arial"/>
          <w:sz w:val="22"/>
          <w:szCs w:val="22"/>
        </w:rPr>
      </w:pPr>
    </w:p>
    <w:p w:rsidR="00F679B1" w:rsidP="007D584D" w:rsidRDefault="00F679B1" w14:paraId="5C3573BF" w14:textId="1D2996C8">
      <w:pPr>
        <w:tabs>
          <w:tab w:val="left" w:pos="426"/>
        </w:tabs>
        <w:spacing w:line="276" w:lineRule="auto"/>
        <w:jc w:val="both"/>
        <w:rPr>
          <w:rFonts w:ascii="Arial" w:hAnsi="Arial" w:eastAsia="Arial" w:cs="Arial"/>
          <w:sz w:val="22"/>
          <w:szCs w:val="22"/>
        </w:rPr>
      </w:pPr>
      <w:r>
        <w:rPr>
          <w:rFonts w:ascii="Arial" w:hAnsi="Arial" w:eastAsia="Arial" w:cs="Arial"/>
          <w:b/>
          <w:bCs/>
          <w:sz w:val="22"/>
          <w:szCs w:val="22"/>
        </w:rPr>
        <w:t>2.1</w:t>
      </w:r>
      <w:r w:rsidRPr="00D8415B">
        <w:rPr>
          <w:rFonts w:ascii="Arial" w:hAnsi="Arial" w:eastAsia="Arial" w:cs="Arial"/>
          <w:b/>
          <w:bCs/>
          <w:sz w:val="22"/>
          <w:szCs w:val="22"/>
        </w:rPr>
        <w:t xml:space="preserve">. </w:t>
      </w:r>
      <w:r w:rsidRPr="007D584D">
        <w:rPr>
          <w:rFonts w:ascii="Arial" w:hAnsi="Arial" w:eastAsia="Arial" w:cs="Arial"/>
          <w:b/>
          <w:bCs/>
          <w:sz w:val="22"/>
          <w:szCs w:val="22"/>
        </w:rPr>
        <w:t>El factor de calidad de mantenimiento adicional</w:t>
      </w:r>
    </w:p>
    <w:p w:rsidR="00F679B1" w:rsidP="007D584D" w:rsidRDefault="00F679B1" w14:paraId="4D7B9A64" w14:textId="77777777">
      <w:pPr>
        <w:tabs>
          <w:tab w:val="left" w:pos="426"/>
        </w:tabs>
        <w:spacing w:line="276" w:lineRule="auto"/>
        <w:jc w:val="both"/>
        <w:rPr>
          <w:rFonts w:ascii="Arial" w:hAnsi="Arial" w:eastAsia="Arial" w:cs="Arial"/>
          <w:sz w:val="22"/>
          <w:szCs w:val="22"/>
        </w:rPr>
      </w:pPr>
    </w:p>
    <w:p w:rsidRPr="00F027A3" w:rsidR="00191267" w:rsidP="00191267" w:rsidRDefault="005A7CD7" w14:paraId="3638EF4A" w14:textId="321A9AE6">
      <w:pPr>
        <w:tabs>
          <w:tab w:val="left" w:pos="426"/>
        </w:tabs>
        <w:spacing w:after="120" w:line="276" w:lineRule="auto"/>
        <w:jc w:val="both"/>
        <w:rPr>
          <w:rFonts w:ascii="Arial" w:hAnsi="Arial" w:eastAsia="Arial" w:cs="Arial"/>
          <w:sz w:val="22"/>
          <w:szCs w:val="22"/>
        </w:rPr>
      </w:pPr>
      <w:r>
        <w:rPr>
          <w:rFonts w:ascii="Arial" w:hAnsi="Arial" w:eastAsia="Arial" w:cs="Arial"/>
          <w:sz w:val="22"/>
          <w:szCs w:val="22"/>
        </w:rPr>
        <w:t>Previo al análisis de</w:t>
      </w:r>
      <w:r w:rsidRPr="00F027A3" w:rsidR="00191267">
        <w:rPr>
          <w:rFonts w:ascii="Arial" w:hAnsi="Arial" w:eastAsia="Arial" w:cs="Arial"/>
          <w:sz w:val="22"/>
          <w:szCs w:val="22"/>
        </w:rPr>
        <w:t xml:space="preserve"> los interrogantes planteados, es necesario resaltar que los numerales 4.2.4, 4.2.5. y 4.2.6. del Documento Base de los Documentos Tipo para licitaciones públicas de infraestructura de trasporte –versión 2–, relativos a los factores de calidad de garantía suplementaria, cuadrillas de trabajo adicional y mantenimiento adicional,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rsidRPr="00F027A3" w:rsidR="00191267" w:rsidP="00191267" w:rsidRDefault="00191267" w14:paraId="4140B017" w14:textId="41B529B2">
      <w:pPr>
        <w:tabs>
          <w:tab w:val="left" w:pos="709"/>
        </w:tabs>
        <w:spacing w:before="120" w:line="276" w:lineRule="auto"/>
        <w:jc w:val="both"/>
        <w:rPr>
          <w:rFonts w:ascii="Arial" w:hAnsi="Arial" w:eastAsia="Arial" w:cs="Arial"/>
          <w:sz w:val="22"/>
          <w:szCs w:val="22"/>
        </w:rPr>
      </w:pPr>
      <w:r w:rsidRPr="00F027A3">
        <w:rPr>
          <w:rFonts w:ascii="Arial" w:hAnsi="Arial" w:eastAsia="Arial" w:cs="Arial"/>
          <w:sz w:val="22"/>
          <w:szCs w:val="22"/>
        </w:rPr>
        <w:tab/>
      </w:r>
      <w:r w:rsidRPr="00F027A3">
        <w:rPr>
          <w:rFonts w:ascii="Arial" w:hAnsi="Arial" w:eastAsia="Arial" w:cs="Arial"/>
          <w:sz w:val="22"/>
          <w:szCs w:val="22"/>
        </w:rPr>
        <w:t xml:space="preserve">En relación con </w:t>
      </w:r>
      <w:r w:rsidR="00346A3D">
        <w:rPr>
          <w:rFonts w:ascii="Arial" w:hAnsi="Arial" w:eastAsia="Arial" w:cs="Arial"/>
          <w:sz w:val="22"/>
          <w:szCs w:val="22"/>
        </w:rPr>
        <w:t>los</w:t>
      </w:r>
      <w:r w:rsidRPr="00F027A3" w:rsidR="00346A3D">
        <w:rPr>
          <w:rFonts w:ascii="Arial" w:hAnsi="Arial" w:eastAsia="Arial" w:cs="Arial"/>
          <w:sz w:val="22"/>
          <w:szCs w:val="22"/>
        </w:rPr>
        <w:t xml:space="preserve"> </w:t>
      </w:r>
      <w:r w:rsidRPr="00F027A3">
        <w:rPr>
          <w:rFonts w:ascii="Arial" w:hAnsi="Arial" w:eastAsia="Arial" w:cs="Arial"/>
          <w:sz w:val="22"/>
          <w:szCs w:val="22"/>
        </w:rPr>
        <w:t>«factor</w:t>
      </w:r>
      <w:r w:rsidR="00346A3D">
        <w:rPr>
          <w:rFonts w:ascii="Arial" w:hAnsi="Arial" w:eastAsia="Arial" w:cs="Arial"/>
          <w:sz w:val="22"/>
          <w:szCs w:val="22"/>
        </w:rPr>
        <w:t>es</w:t>
      </w:r>
      <w:r w:rsidRPr="00F027A3">
        <w:rPr>
          <w:rFonts w:ascii="Arial" w:hAnsi="Arial" w:eastAsia="Arial" w:cs="Arial"/>
          <w:sz w:val="22"/>
          <w:szCs w:val="22"/>
        </w:rPr>
        <w:t xml:space="preserve"> de calidad», la versión 2 de los Documentos Tipo para procesos de licitación de obra pública de infraestructura de transporte –Resolución No. 045 de 2020–, conserva los tres factores existentes en la versión 1 –Resolución No. 1798 de 2019–, e incluye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rsidRPr="00F027A3" w:rsidR="00191267" w:rsidP="00191267" w:rsidRDefault="00E7750A" w14:paraId="69B043C3" w14:textId="5E0D57B8">
      <w:pPr>
        <w:spacing w:before="120" w:line="276" w:lineRule="auto"/>
        <w:ind w:firstLine="709"/>
        <w:jc w:val="both"/>
        <w:rPr>
          <w:rFonts w:ascii="Arial" w:hAnsi="Arial" w:eastAsia="Arial" w:cs="Arial"/>
          <w:sz w:val="22"/>
          <w:szCs w:val="22"/>
        </w:rPr>
      </w:pPr>
      <w:r>
        <w:rPr>
          <w:rFonts w:ascii="Arial" w:hAnsi="Arial" w:eastAsia="Arial" w:cs="Arial"/>
          <w:sz w:val="22"/>
          <w:szCs w:val="22"/>
        </w:rPr>
        <w:t>En relación</w:t>
      </w:r>
      <w:r w:rsidRPr="00F027A3" w:rsidR="00191267">
        <w:rPr>
          <w:rFonts w:ascii="Arial" w:hAnsi="Arial" w:eastAsia="Arial" w:cs="Arial"/>
          <w:sz w:val="22"/>
          <w:szCs w:val="22"/>
        </w:rPr>
        <w:t xml:space="preserve"> </w:t>
      </w:r>
      <w:r w:rsidR="00BF6F79">
        <w:rPr>
          <w:rFonts w:ascii="Arial" w:hAnsi="Arial" w:eastAsia="Arial" w:cs="Arial"/>
          <w:sz w:val="22"/>
          <w:szCs w:val="22"/>
        </w:rPr>
        <w:t xml:space="preserve">con </w:t>
      </w:r>
      <w:r w:rsidRPr="00F027A3" w:rsidR="00191267">
        <w:rPr>
          <w:rFonts w:ascii="Arial" w:hAnsi="Arial" w:eastAsia="Arial" w:cs="Arial"/>
          <w:sz w:val="22"/>
          <w:szCs w:val="22"/>
        </w:rPr>
        <w:t>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rsidRPr="00F027A3" w:rsidR="00191267" w:rsidP="00D8415B" w:rsidRDefault="00191267" w14:paraId="2A246EC7" w14:textId="78F354E3">
      <w:pPr>
        <w:spacing w:before="120" w:line="276" w:lineRule="auto"/>
        <w:ind w:firstLine="709"/>
        <w:jc w:val="both"/>
        <w:rPr>
          <w:rFonts w:ascii="Arial" w:hAnsi="Arial" w:eastAsia="Arial" w:cs="Arial"/>
          <w:sz w:val="22"/>
          <w:szCs w:val="22"/>
        </w:rPr>
      </w:pPr>
      <w:r w:rsidRPr="00F027A3">
        <w:rPr>
          <w:rFonts w:ascii="Arial" w:hAnsi="Arial" w:eastAsia="Arial" w:cs="Arial"/>
          <w:sz w:val="22"/>
          <w:szCs w:val="22"/>
        </w:rPr>
        <w:t xml:space="preserve">Adicionalmente, </w:t>
      </w:r>
      <w:r w:rsidR="00346A3D">
        <w:rPr>
          <w:rFonts w:ascii="Arial" w:hAnsi="Arial" w:eastAsia="Arial" w:cs="Arial"/>
          <w:sz w:val="22"/>
          <w:szCs w:val="22"/>
        </w:rPr>
        <w:t xml:space="preserve">la Versión 2 </w:t>
      </w:r>
      <w:r w:rsidRPr="00F027A3">
        <w:rPr>
          <w:rFonts w:ascii="Arial" w:hAnsi="Arial" w:eastAsia="Arial" w:cs="Arial"/>
          <w:sz w:val="22"/>
          <w:szCs w:val="22"/>
        </w:rPr>
        <w:t xml:space="preserve">de los Documentos Tipo </w:t>
      </w:r>
      <w:r w:rsidR="00346A3D">
        <w:rPr>
          <w:rFonts w:ascii="Arial" w:hAnsi="Arial" w:eastAsia="Arial" w:cs="Arial"/>
          <w:sz w:val="22"/>
          <w:szCs w:val="22"/>
        </w:rPr>
        <w:t xml:space="preserve">de licitación </w:t>
      </w:r>
      <w:r w:rsidRPr="00F027A3">
        <w:rPr>
          <w:rFonts w:ascii="Arial" w:hAnsi="Arial" w:eastAsia="Arial" w:cs="Arial"/>
          <w:sz w:val="22"/>
          <w:szCs w:val="22"/>
        </w:rPr>
        <w:t>conserva el puntaje establecido para el factor de calidad en la Versión 1, de modo que no se alteró el total de los 19 puntos que puede otorgar la entidad por este criterio de evaluación. Estos 19</w:t>
      </w:r>
      <w:r w:rsidR="00346A3D">
        <w:rPr>
          <w:rFonts w:ascii="Arial" w:hAnsi="Arial" w:eastAsia="Arial" w:cs="Arial"/>
          <w:sz w:val="22"/>
          <w:szCs w:val="22"/>
        </w:rPr>
        <w:t xml:space="preserve"> </w:t>
      </w:r>
      <w:r w:rsidRPr="00F027A3">
        <w:rPr>
          <w:rFonts w:ascii="Arial" w:hAnsi="Arial" w:eastAsia="Arial" w:cs="Arial"/>
          <w:sz w:val="22"/>
          <w:szCs w:val="22"/>
        </w:rPr>
        <w:t xml:space="preserve">puntos corresponden al total de los que </w:t>
      </w:r>
      <w:r w:rsidR="00346A3D">
        <w:rPr>
          <w:rFonts w:ascii="Arial" w:hAnsi="Arial" w:eastAsia="Arial" w:cs="Arial"/>
          <w:sz w:val="22"/>
          <w:szCs w:val="22"/>
        </w:rPr>
        <w:t>pueden</w:t>
      </w:r>
      <w:r w:rsidRPr="00F027A3" w:rsidR="00346A3D">
        <w:rPr>
          <w:rFonts w:ascii="Arial" w:hAnsi="Arial" w:eastAsia="Arial" w:cs="Arial"/>
          <w:sz w:val="22"/>
          <w:szCs w:val="22"/>
        </w:rPr>
        <w:t xml:space="preserve"> </w:t>
      </w:r>
      <w:r w:rsidRPr="00F027A3">
        <w:rPr>
          <w:rFonts w:ascii="Arial" w:hAnsi="Arial" w:eastAsia="Arial" w:cs="Arial"/>
          <w:sz w:val="22"/>
          <w:szCs w:val="22"/>
        </w:rPr>
        <w:t xml:space="preserve">asignarse </w:t>
      </w:r>
      <w:r w:rsidR="00346A3D">
        <w:rPr>
          <w:rFonts w:ascii="Arial" w:hAnsi="Arial" w:eastAsia="Arial" w:cs="Arial"/>
          <w:sz w:val="22"/>
          <w:szCs w:val="22"/>
        </w:rPr>
        <w:t>por el</w:t>
      </w:r>
      <w:r w:rsidRPr="00F027A3">
        <w:rPr>
          <w:rFonts w:ascii="Arial" w:hAnsi="Arial" w:eastAsia="Arial" w:cs="Arial"/>
          <w:sz w:val="22"/>
          <w:szCs w:val="22"/>
        </w:rPr>
        <w:t xml:space="preserve"> factor de calidad</w:t>
      </w:r>
      <w:r w:rsidR="00346A3D">
        <w:rPr>
          <w:rFonts w:ascii="Arial" w:hAnsi="Arial" w:eastAsia="Arial" w:cs="Arial"/>
          <w:sz w:val="22"/>
          <w:szCs w:val="22"/>
        </w:rPr>
        <w:t>.</w:t>
      </w:r>
      <w:r w:rsidRPr="00F027A3">
        <w:rPr>
          <w:rFonts w:ascii="Arial" w:hAnsi="Arial" w:eastAsia="Arial" w:cs="Arial"/>
          <w:sz w:val="22"/>
          <w:szCs w:val="22"/>
        </w:rPr>
        <w:t xml:space="preserve"> </w:t>
      </w:r>
      <w:r w:rsidR="008D40BC">
        <w:rPr>
          <w:rFonts w:ascii="Arial" w:hAnsi="Arial" w:eastAsia="Arial" w:cs="Arial"/>
          <w:sz w:val="22"/>
          <w:szCs w:val="22"/>
        </w:rPr>
        <w:t xml:space="preserve">En este </w:t>
      </w:r>
      <w:r w:rsidR="008D40BC">
        <w:rPr>
          <w:rFonts w:ascii="Arial" w:hAnsi="Arial" w:eastAsia="Arial" w:cs="Arial"/>
          <w:sz w:val="22"/>
          <w:szCs w:val="22"/>
        </w:rPr>
        <w:lastRenderedPageBreak/>
        <w:t>sentido, e</w:t>
      </w:r>
      <w:r w:rsidRPr="00F027A3">
        <w:rPr>
          <w:rFonts w:ascii="Arial" w:hAnsi="Arial" w:eastAsia="Arial" w:cs="Arial"/>
          <w:sz w:val="22"/>
          <w:szCs w:val="22"/>
        </w:rPr>
        <w:t xml:space="preserve">n caso de que se opte por </w:t>
      </w:r>
      <w:r w:rsidR="00346A3D">
        <w:rPr>
          <w:rFonts w:ascii="Arial" w:hAnsi="Arial" w:eastAsia="Arial" w:cs="Arial"/>
          <w:sz w:val="22"/>
          <w:szCs w:val="22"/>
        </w:rPr>
        <w:t xml:space="preserve">incluir </w:t>
      </w:r>
      <w:r w:rsidRPr="00F027A3">
        <w:rPr>
          <w:rFonts w:ascii="Arial" w:hAnsi="Arial" w:eastAsia="Arial" w:cs="Arial"/>
          <w:sz w:val="22"/>
          <w:szCs w:val="22"/>
        </w:rPr>
        <w:t>varios factores</w:t>
      </w:r>
      <w:r w:rsidR="00346A3D">
        <w:rPr>
          <w:rFonts w:ascii="Arial" w:hAnsi="Arial" w:eastAsia="Arial" w:cs="Arial"/>
          <w:sz w:val="22"/>
          <w:szCs w:val="22"/>
        </w:rPr>
        <w:t>,</w:t>
      </w:r>
      <w:r w:rsidRPr="00F027A3">
        <w:rPr>
          <w:rFonts w:ascii="Arial" w:hAnsi="Arial" w:eastAsia="Arial" w:cs="Arial"/>
          <w:sz w:val="22"/>
          <w:szCs w:val="22"/>
        </w:rPr>
        <w:t xml:space="preserve"> estos 19 puntos deberán </w:t>
      </w:r>
      <w:r w:rsidR="00346A3D">
        <w:rPr>
          <w:rFonts w:ascii="Arial" w:hAnsi="Arial" w:eastAsia="Arial" w:cs="Arial"/>
          <w:sz w:val="22"/>
          <w:szCs w:val="22"/>
        </w:rPr>
        <w:t>repartirse</w:t>
      </w:r>
      <w:r w:rsidRPr="00F027A3">
        <w:rPr>
          <w:rFonts w:ascii="Arial" w:hAnsi="Arial" w:eastAsia="Arial" w:cs="Arial"/>
          <w:sz w:val="22"/>
          <w:szCs w:val="22"/>
        </w:rPr>
        <w:t xml:space="preserve"> entre </w:t>
      </w:r>
      <w:r w:rsidR="00346A3D">
        <w:rPr>
          <w:rFonts w:ascii="Arial" w:hAnsi="Arial" w:eastAsia="Arial" w:cs="Arial"/>
          <w:sz w:val="22"/>
          <w:szCs w:val="22"/>
        </w:rPr>
        <w:t>ello</w:t>
      </w:r>
      <w:r w:rsidRPr="00F027A3">
        <w:rPr>
          <w:rFonts w:ascii="Arial" w:hAnsi="Arial" w:eastAsia="Arial" w:cs="Arial"/>
          <w:sz w:val="22"/>
          <w:szCs w:val="22"/>
        </w:rPr>
        <w:t xml:space="preserve">s, de manera que la sumatoria no sobrepase </w:t>
      </w:r>
      <w:r w:rsidR="008D40BC">
        <w:rPr>
          <w:rFonts w:ascii="Arial" w:hAnsi="Arial" w:eastAsia="Arial" w:cs="Arial"/>
          <w:sz w:val="22"/>
          <w:szCs w:val="22"/>
        </w:rPr>
        <w:t>el total indicado</w:t>
      </w:r>
      <w:r w:rsidRPr="00F027A3">
        <w:rPr>
          <w:rFonts w:ascii="Arial" w:hAnsi="Arial" w:eastAsia="Arial" w:cs="Arial"/>
          <w:sz w:val="22"/>
          <w:szCs w:val="22"/>
        </w:rPr>
        <w:t xml:space="preserve">.  </w:t>
      </w:r>
    </w:p>
    <w:p w:rsidRPr="00F027A3" w:rsidR="00191267" w:rsidP="00191267" w:rsidRDefault="00191267" w14:paraId="52BA8116" w14:textId="67F20194">
      <w:pPr>
        <w:spacing w:before="120" w:line="276" w:lineRule="auto"/>
        <w:ind w:firstLine="709"/>
        <w:jc w:val="both"/>
        <w:rPr>
          <w:rFonts w:ascii="Arial" w:hAnsi="Arial" w:eastAsia="Arial" w:cs="Arial"/>
          <w:sz w:val="22"/>
          <w:szCs w:val="22"/>
        </w:rPr>
      </w:pPr>
      <w:r w:rsidRPr="00F027A3">
        <w:rPr>
          <w:rFonts w:ascii="Arial" w:hAnsi="Arial" w:eastAsia="Arial" w:cs="Arial"/>
          <w:sz w:val="22"/>
          <w:szCs w:val="22"/>
        </w:rPr>
        <w:t>El factor de calidad de mantenimiento adicional tiene como objeto mejorar la calidad de la obra, ya que se garantiza un mantenimiento rutinario, situación que otorga beneficios a las entidades y a la ciudadanía en cuanto a la durabilidad de las condiciones de la infraestructura de transporte</w:t>
      </w:r>
      <w:r w:rsidR="0053011E">
        <w:rPr>
          <w:rFonts w:ascii="Arial" w:hAnsi="Arial" w:eastAsia="Arial" w:cs="Arial"/>
          <w:sz w:val="22"/>
          <w:szCs w:val="22"/>
        </w:rPr>
        <w:t>, diferentes a las asociadas con la estabilidad y calidad de la obra</w:t>
      </w:r>
      <w:r w:rsidRPr="00F027A3">
        <w:rPr>
          <w:rFonts w:ascii="Arial" w:hAnsi="Arial" w:eastAsia="Arial" w:cs="Arial"/>
          <w:sz w:val="22"/>
          <w:szCs w:val="22"/>
        </w:rPr>
        <w:t xml:space="preserv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rsidRPr="00F027A3" w:rsidR="00191267" w:rsidP="00191267" w:rsidRDefault="00191267" w14:paraId="57F71D0E" w14:textId="769F079C">
      <w:pPr>
        <w:tabs>
          <w:tab w:val="left" w:pos="709"/>
        </w:tabs>
        <w:spacing w:before="120" w:line="276" w:lineRule="auto"/>
        <w:jc w:val="both"/>
        <w:rPr>
          <w:rFonts w:ascii="Arial" w:hAnsi="Arial" w:eastAsia="Arial" w:cs="Arial"/>
          <w:sz w:val="22"/>
          <w:szCs w:val="22"/>
        </w:rPr>
      </w:pPr>
      <w:r w:rsidRPr="00F027A3">
        <w:rPr>
          <w:rFonts w:ascii="Arial" w:hAnsi="Arial" w:eastAsia="Arial" w:cs="Arial"/>
          <w:sz w:val="22"/>
          <w:szCs w:val="22"/>
        </w:rPr>
        <w:tab/>
      </w:r>
      <w:r w:rsidRPr="00F027A3">
        <w:rPr>
          <w:rFonts w:ascii="Arial" w:hAnsi="Arial" w:eastAsia="Arial" w:cs="Arial"/>
          <w:sz w:val="22"/>
          <w:szCs w:val="22"/>
        </w:rPr>
        <w:t xml:space="preserve">De otra parte, </w:t>
      </w:r>
      <w:r w:rsidR="008D40BC">
        <w:rPr>
          <w:rFonts w:ascii="Arial" w:hAnsi="Arial" w:eastAsia="Arial" w:cs="Arial"/>
          <w:sz w:val="22"/>
          <w:szCs w:val="22"/>
          <w:lang w:val="es-CO"/>
        </w:rPr>
        <w:t>de acuerdo con</w:t>
      </w:r>
      <w:r w:rsidRPr="00F027A3" w:rsidR="008D40BC">
        <w:rPr>
          <w:rFonts w:ascii="Arial" w:hAnsi="Arial" w:eastAsia="Arial" w:cs="Arial"/>
          <w:sz w:val="22"/>
          <w:szCs w:val="22"/>
          <w:lang w:val="es-CO"/>
        </w:rPr>
        <w:t xml:space="preserve"> </w:t>
      </w:r>
      <w:r w:rsidRPr="00F027A3">
        <w:rPr>
          <w:rFonts w:ascii="Arial" w:hAnsi="Arial" w:eastAsia="Arial" w:cs="Arial"/>
          <w:sz w:val="22"/>
          <w:szCs w:val="22"/>
          <w:lang w:val="es-CO"/>
        </w:rPr>
        <w:t xml:space="preserve">la modificación </w:t>
      </w:r>
      <w:r w:rsidR="008D40BC">
        <w:rPr>
          <w:rFonts w:ascii="Arial" w:hAnsi="Arial" w:eastAsia="Arial" w:cs="Arial"/>
          <w:sz w:val="22"/>
          <w:szCs w:val="22"/>
          <w:lang w:val="es-CO"/>
        </w:rPr>
        <w:t>realizada</w:t>
      </w:r>
      <w:r w:rsidRPr="00F027A3" w:rsidR="008D40BC">
        <w:rPr>
          <w:rFonts w:ascii="Arial" w:hAnsi="Arial" w:eastAsia="Arial" w:cs="Arial"/>
          <w:sz w:val="22"/>
          <w:szCs w:val="22"/>
          <w:lang w:val="es-CO"/>
        </w:rPr>
        <w:t xml:space="preserve"> </w:t>
      </w:r>
      <w:r w:rsidRPr="00F027A3">
        <w:rPr>
          <w:rFonts w:ascii="Arial" w:hAnsi="Arial" w:eastAsia="Arial" w:cs="Arial"/>
          <w:sz w:val="22"/>
          <w:szCs w:val="22"/>
          <w:lang w:val="es-CO"/>
        </w:rPr>
        <w:t>por la Resolución No. 116 de 2020, las entidades deberán establecer un tope para los ofrecimientos que se realicen con ocasión del factor de calidad de mantenimiento adicional, el cual no podr</w:t>
      </w:r>
      <w:r w:rsidR="008D40BC">
        <w:rPr>
          <w:rFonts w:ascii="Arial" w:hAnsi="Arial" w:eastAsia="Arial" w:cs="Arial"/>
          <w:sz w:val="22"/>
          <w:szCs w:val="22"/>
          <w:lang w:val="es-CO"/>
        </w:rPr>
        <w:t>á</w:t>
      </w:r>
      <w:r w:rsidRPr="00F027A3">
        <w:rPr>
          <w:rFonts w:ascii="Arial" w:hAnsi="Arial" w:eastAsia="Arial" w:cs="Arial"/>
          <w:sz w:val="22"/>
          <w:szCs w:val="22"/>
          <w:lang w:val="es-CO"/>
        </w:rPr>
        <w:t xml:space="preserve"> superar </w:t>
      </w:r>
      <w:r w:rsidRPr="00F027A3">
        <w:rPr>
          <w:rFonts w:ascii="Arial" w:hAnsi="Arial" w:eastAsia="Arial" w:cs="Arial"/>
          <w:sz w:val="22"/>
          <w:szCs w:val="22"/>
        </w:rPr>
        <w:t>el «[…] valor porcentual máximo entre el siguiente rango: entre el 30% y el 50% del plazo establecido por la entidad para la garantía de estabilidad y calidad de la obra […]»</w:t>
      </w:r>
      <w:r w:rsidRPr="00F027A3">
        <w:rPr>
          <w:rStyle w:val="Refdenotaalpie"/>
          <w:rFonts w:ascii="Arial" w:hAnsi="Arial" w:eastAsia="Arial" w:cs="Arial"/>
          <w:sz w:val="22"/>
          <w:szCs w:val="22"/>
        </w:rPr>
        <w:footnoteReference w:id="1"/>
      </w:r>
      <w:r w:rsidRPr="00F027A3">
        <w:rPr>
          <w:rFonts w:ascii="Arial" w:hAnsi="Arial" w:eastAsia="Arial" w:cs="Arial"/>
          <w:sz w:val="22"/>
          <w:szCs w:val="22"/>
        </w:rPr>
        <w:t xml:space="preserve">, valor porcentual que fija libremente la autoridad contratante dentro del referido rango. Además, dispone la nueva redacción del numeral 4.2.6: </w:t>
      </w:r>
    </w:p>
    <w:p w:rsidRPr="00F027A3" w:rsidR="00191267" w:rsidP="00191267" w:rsidRDefault="00191267" w14:paraId="3E2289CA" w14:textId="77777777">
      <w:pPr>
        <w:tabs>
          <w:tab w:val="left" w:pos="709"/>
        </w:tabs>
        <w:spacing w:line="276" w:lineRule="auto"/>
        <w:jc w:val="both"/>
        <w:rPr>
          <w:rFonts w:ascii="Arial" w:hAnsi="Arial" w:eastAsia="Arial" w:cs="Arial"/>
          <w:sz w:val="22"/>
          <w:szCs w:val="22"/>
        </w:rPr>
      </w:pPr>
    </w:p>
    <w:p w:rsidRPr="00F027A3" w:rsidR="00191267" w:rsidP="00191267" w:rsidRDefault="00191267" w14:paraId="4E0CCCD8" w14:textId="77777777">
      <w:pPr>
        <w:tabs>
          <w:tab w:val="left" w:pos="709"/>
        </w:tabs>
        <w:ind w:left="709" w:right="709"/>
        <w:jc w:val="both"/>
        <w:rPr>
          <w:rFonts w:ascii="Arial" w:hAnsi="Arial" w:cs="Arial"/>
          <w:sz w:val="21"/>
          <w:szCs w:val="21"/>
        </w:rPr>
      </w:pPr>
      <w:r w:rsidRPr="00F027A3">
        <w:rPr>
          <w:rFonts w:ascii="Arial" w:hAnsi="Arial" w:cs="Arial"/>
          <w:sz w:val="21"/>
          <w:szCs w:val="21"/>
        </w:rPr>
        <w:t xml:space="preserve">En caso de que el proponente se comprometa a ofertar este Factor de Calidad debe tener en cuenta las siguientes consideraciones: </w:t>
      </w:r>
    </w:p>
    <w:p w:rsidRPr="00F027A3" w:rsidR="00191267" w:rsidP="00191267" w:rsidRDefault="00191267" w14:paraId="5C1B58BA" w14:textId="77777777">
      <w:pPr>
        <w:tabs>
          <w:tab w:val="left" w:pos="709"/>
        </w:tabs>
        <w:ind w:left="709" w:right="709"/>
        <w:jc w:val="both"/>
        <w:rPr>
          <w:rFonts w:ascii="Arial" w:hAnsi="Arial" w:cs="Arial"/>
          <w:sz w:val="21"/>
          <w:szCs w:val="21"/>
        </w:rPr>
      </w:pPr>
    </w:p>
    <w:p w:rsidRPr="00F027A3" w:rsidR="00191267" w:rsidP="00191267" w:rsidRDefault="00191267" w14:paraId="2027C4BE" w14:textId="77777777">
      <w:pPr>
        <w:pStyle w:val="Prrafodelista"/>
        <w:numPr>
          <w:ilvl w:val="0"/>
          <w:numId w:val="1"/>
        </w:numPr>
        <w:tabs>
          <w:tab w:val="left" w:pos="709"/>
        </w:tabs>
        <w:ind w:left="709" w:right="709" w:firstLine="0"/>
        <w:jc w:val="both"/>
        <w:rPr>
          <w:rFonts w:ascii="Arial" w:hAnsi="Arial" w:cs="Arial"/>
          <w:sz w:val="21"/>
          <w:szCs w:val="21"/>
        </w:rPr>
      </w:pPr>
      <w:r w:rsidRPr="00F027A3">
        <w:rPr>
          <w:rFonts w:ascii="Arial" w:hAnsi="Arial" w:cs="Arial"/>
          <w:sz w:val="21"/>
          <w:szCs w:val="21"/>
        </w:rPr>
        <w:t xml:space="preserve">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el cual no podrá ser superior al tope establecido por la entidad. </w:t>
      </w:r>
    </w:p>
    <w:p w:rsidRPr="00F027A3" w:rsidR="00191267" w:rsidP="00191267" w:rsidRDefault="00191267" w14:paraId="30B37974" w14:textId="77777777">
      <w:pPr>
        <w:pStyle w:val="Prrafodelista"/>
        <w:tabs>
          <w:tab w:val="left" w:pos="709"/>
        </w:tabs>
        <w:spacing w:before="120"/>
        <w:ind w:left="709" w:right="709"/>
        <w:jc w:val="both"/>
        <w:rPr>
          <w:rFonts w:ascii="Arial" w:hAnsi="Arial" w:cs="Arial"/>
          <w:sz w:val="21"/>
          <w:szCs w:val="21"/>
        </w:rPr>
      </w:pPr>
    </w:p>
    <w:p w:rsidRPr="008D40BC" w:rsidR="00191267" w:rsidP="00191267" w:rsidRDefault="00191267" w14:paraId="7047151B" w14:textId="77777777">
      <w:pPr>
        <w:pStyle w:val="Prrafodelista"/>
        <w:numPr>
          <w:ilvl w:val="0"/>
          <w:numId w:val="1"/>
        </w:numPr>
        <w:tabs>
          <w:tab w:val="left" w:pos="709"/>
        </w:tabs>
        <w:spacing w:before="120"/>
        <w:ind w:left="709" w:right="709" w:firstLine="0"/>
        <w:jc w:val="both"/>
        <w:rPr>
          <w:rFonts w:ascii="Arial" w:hAnsi="Arial" w:eastAsia="Arial" w:cs="Arial"/>
          <w:sz w:val="21"/>
          <w:szCs w:val="21"/>
        </w:rPr>
      </w:pPr>
      <w:r w:rsidRPr="00F027A3">
        <w:rPr>
          <w:rFonts w:ascii="Arial" w:hAnsi="Arial" w:cs="Arial"/>
          <w:sz w:val="21"/>
          <w:szCs w:val="21"/>
        </w:rPr>
        <w:t xml:space="preserve">El ofrecimiento realizado por el proponente no podrá superar el </w:t>
      </w:r>
      <w:r w:rsidRPr="007D584D">
        <w:rPr>
          <w:rFonts w:ascii="Arial" w:hAnsi="Arial" w:cs="Arial"/>
          <w:sz w:val="21"/>
          <w:szCs w:val="21"/>
          <w:highlight w:val="lightGray"/>
        </w:rPr>
        <w:t>[la entidad deberá determinar el valor porcentual máximo entre el siguiente rango: 30% y 50%]</w:t>
      </w:r>
      <w:r w:rsidRPr="00F027A3">
        <w:rPr>
          <w:rFonts w:ascii="Arial" w:hAnsi="Arial" w:cs="Arial"/>
          <w:sz w:val="21"/>
          <w:szCs w:val="21"/>
        </w:rPr>
        <w:t xml:space="preserve"> del plazo establecido por la entidad para la garantía de estabilidad y calidad de la obra de acuerdo con las disposiciones del artículo 2.2.1.2.3.1.14. del Decreto 1082 de 2015. </w:t>
      </w:r>
      <w:r w:rsidRPr="007D584D">
        <w:rPr>
          <w:rFonts w:ascii="Arial" w:hAnsi="Arial" w:cs="Arial"/>
          <w:sz w:val="21"/>
          <w:szCs w:val="21"/>
          <w:highlight w:val="lightGray"/>
        </w:rPr>
        <w:t>[Es decir, si fue establecido un plazo de estabilidad y calidad de la obra de 5 años, y fue fijado un valor máximo del 50%, el proponente podrá ofertar hasta máximo 30 meses de mantenimiento adicional.]</w:t>
      </w:r>
      <w:r w:rsidRPr="00D8415B">
        <w:rPr>
          <w:rFonts w:ascii="Arial" w:hAnsi="Arial" w:cs="Arial"/>
          <w:sz w:val="21"/>
          <w:szCs w:val="21"/>
        </w:rPr>
        <w:t xml:space="preserve"> </w:t>
      </w:r>
    </w:p>
    <w:p w:rsidRPr="008D40BC" w:rsidR="00191267" w:rsidP="00191267" w:rsidRDefault="00191267" w14:paraId="72018EF6" w14:textId="77777777">
      <w:pPr>
        <w:pStyle w:val="Prrafodelista"/>
        <w:tabs>
          <w:tab w:val="left" w:pos="709"/>
        </w:tabs>
        <w:spacing w:before="120"/>
        <w:ind w:left="709" w:right="709"/>
        <w:jc w:val="both"/>
        <w:rPr>
          <w:rFonts w:ascii="Arial" w:hAnsi="Arial" w:eastAsia="Arial" w:cs="Arial"/>
          <w:sz w:val="21"/>
          <w:szCs w:val="21"/>
        </w:rPr>
      </w:pPr>
    </w:p>
    <w:p w:rsidRPr="007D584D" w:rsidR="00191267" w:rsidP="007D584D" w:rsidRDefault="008D40BC" w14:paraId="40D671C6" w14:textId="2E1E1FA2">
      <w:pPr>
        <w:pStyle w:val="Prrafodelista"/>
        <w:tabs>
          <w:tab w:val="left" w:pos="709"/>
        </w:tabs>
        <w:spacing w:before="120"/>
        <w:ind w:left="709" w:right="709"/>
        <w:jc w:val="both"/>
        <w:rPr>
          <w:rFonts w:ascii="Arial" w:hAnsi="Arial" w:eastAsia="Arial" w:cs="Arial"/>
          <w:sz w:val="21"/>
          <w:szCs w:val="21"/>
          <w:highlight w:val="lightGray"/>
        </w:rPr>
      </w:pPr>
      <w:r>
        <w:rPr>
          <w:rFonts w:ascii="Arial" w:hAnsi="Arial" w:cs="Arial"/>
          <w:sz w:val="21"/>
          <w:szCs w:val="21"/>
        </w:rPr>
        <w:lastRenderedPageBreak/>
        <w:t xml:space="preserve">III. </w:t>
      </w:r>
      <w:r>
        <w:rPr>
          <w:rFonts w:ascii="Arial" w:hAnsi="Arial" w:cs="Arial"/>
          <w:sz w:val="21"/>
          <w:szCs w:val="21"/>
        </w:rPr>
        <w:tab/>
      </w:r>
      <w:r w:rsidRPr="00D8415B" w:rsidR="00191267">
        <w:rPr>
          <w:rFonts w:ascii="Arial" w:hAnsi="Arial" w:cs="Arial"/>
          <w:sz w:val="21"/>
          <w:szCs w:val="21"/>
        </w:rPr>
        <w:t>El plazo máximo que podrá ser ofrecido por el proponente por concepto de Mantenimiento</w:t>
      </w:r>
      <w:r w:rsidRPr="00F027A3" w:rsidR="00191267">
        <w:rPr>
          <w:rFonts w:ascii="Arial" w:hAnsi="Arial" w:cs="Arial"/>
          <w:sz w:val="21"/>
          <w:szCs w:val="21"/>
        </w:rPr>
        <w:t xml:space="preserve"> Adicional es de: </w:t>
      </w:r>
      <w:r w:rsidRPr="007D584D" w:rsidR="00191267">
        <w:rPr>
          <w:rFonts w:ascii="Arial" w:hAnsi="Arial" w:cs="Arial"/>
          <w:sz w:val="21"/>
          <w:szCs w:val="21"/>
          <w:highlight w:val="lightGray"/>
        </w:rPr>
        <w:t>[la entidad deberá establecer el valor máximo en meses a ofertar de acuerdo con el numeral II por concepto de Mantenimiento Adicional]</w:t>
      </w:r>
    </w:p>
    <w:p w:rsidRPr="00F027A3" w:rsidR="00191267" w:rsidP="00191267" w:rsidRDefault="00191267" w14:paraId="7DD77CE3" w14:textId="77777777">
      <w:pPr>
        <w:spacing w:line="276" w:lineRule="auto"/>
        <w:ind w:right="49"/>
        <w:jc w:val="both"/>
        <w:rPr>
          <w:rFonts w:ascii="Arial" w:hAnsi="Arial" w:cs="Arial"/>
        </w:rPr>
      </w:pPr>
    </w:p>
    <w:p w:rsidRPr="00F027A3" w:rsidR="00191267" w:rsidP="00191267" w:rsidRDefault="00191267" w14:paraId="4EDF0700" w14:textId="17357C3B">
      <w:pPr>
        <w:spacing w:after="120" w:line="276" w:lineRule="auto"/>
        <w:ind w:right="51" w:firstLine="709"/>
        <w:jc w:val="both"/>
        <w:rPr>
          <w:rFonts w:ascii="Arial" w:hAnsi="Arial" w:cs="Arial"/>
          <w:sz w:val="22"/>
          <w:szCs w:val="22"/>
        </w:rPr>
      </w:pPr>
      <w:r w:rsidRPr="00F027A3">
        <w:rPr>
          <w:rFonts w:ascii="Arial" w:hAnsi="Arial" w:cs="Arial"/>
          <w:sz w:val="22"/>
          <w:szCs w:val="22"/>
        </w:rPr>
        <w:t xml:space="preserve">Conforme a los apartados transcritos, las entidades estatales al aplicar la versión 2 del Documento Tipo para licitación pública, con la modificación introducida por la Resolución No. 116 de 2020, deberán determinar un número máximo de meses de mantenimiento adicional que no podrán superar los oferentes en sus propuestas. Esto significa que, a diferencia de la versión inicial del Documento Base adoptado por la Resolución No. 045 de 2020, </w:t>
      </w:r>
      <w:r w:rsidR="000D1062">
        <w:rPr>
          <w:rFonts w:ascii="Arial" w:hAnsi="Arial" w:cs="Arial"/>
          <w:sz w:val="22"/>
          <w:szCs w:val="22"/>
        </w:rPr>
        <w:t>despué</w:t>
      </w:r>
      <w:r w:rsidRPr="00F027A3">
        <w:rPr>
          <w:rFonts w:ascii="Arial" w:hAnsi="Arial" w:cs="Arial"/>
          <w:sz w:val="22"/>
          <w:szCs w:val="22"/>
        </w:rPr>
        <w:t xml:space="preserve">s </w:t>
      </w:r>
      <w:r w:rsidR="000D1062">
        <w:rPr>
          <w:rFonts w:ascii="Arial" w:hAnsi="Arial" w:cs="Arial"/>
          <w:sz w:val="22"/>
          <w:szCs w:val="22"/>
        </w:rPr>
        <w:t xml:space="preserve">de </w:t>
      </w:r>
      <w:r w:rsidRPr="00F027A3">
        <w:rPr>
          <w:rFonts w:ascii="Arial" w:hAnsi="Arial" w:cs="Arial"/>
          <w:sz w:val="22"/>
          <w:szCs w:val="22"/>
        </w:rPr>
        <w:t>la referida modificación las entidades estatales deben establecer topes para los ofrecimientos que se realicen con ocasión del factor de calidad de mantenimiento adicional. Sin embargo, esta facultad está sometida a cierta limitación, en la medida en que el número máximo de meses que debe ser fijado por la entidad debe corresponder a un porcentaje de entre el 30% y 50% del plazo establecido por la entidad para la garantía de estabilidad y calidad de la obra</w:t>
      </w:r>
      <w:r w:rsidR="008D40BC">
        <w:rPr>
          <w:rFonts w:ascii="Arial" w:hAnsi="Arial" w:cs="Arial"/>
          <w:sz w:val="22"/>
          <w:szCs w:val="22"/>
        </w:rPr>
        <w:t>,</w:t>
      </w:r>
      <w:r w:rsidRPr="00F027A3">
        <w:rPr>
          <w:rFonts w:ascii="Arial" w:hAnsi="Arial" w:cs="Arial"/>
          <w:sz w:val="22"/>
          <w:szCs w:val="22"/>
        </w:rPr>
        <w:t xml:space="preserve"> conforme al artículo 2.2.1.2.3.1.14. del Decreto 1082 de 2015</w:t>
      </w:r>
      <w:r w:rsidRPr="00F027A3">
        <w:rPr>
          <w:rStyle w:val="Refdenotaalpie"/>
          <w:rFonts w:ascii="Arial" w:hAnsi="Arial" w:cs="Arial"/>
          <w:sz w:val="22"/>
          <w:szCs w:val="22"/>
        </w:rPr>
        <w:footnoteReference w:id="2"/>
      </w:r>
      <w:r w:rsidRPr="00F027A3">
        <w:rPr>
          <w:rFonts w:ascii="Arial" w:hAnsi="Arial" w:cs="Arial"/>
          <w:sz w:val="22"/>
          <w:szCs w:val="22"/>
        </w:rPr>
        <w:t xml:space="preserve">.  </w:t>
      </w:r>
    </w:p>
    <w:p w:rsidRPr="00F027A3" w:rsidR="00191267" w:rsidP="00191267" w:rsidRDefault="00191267" w14:paraId="5D1C72A0" w14:textId="79EBAFEF">
      <w:pPr>
        <w:spacing w:before="120" w:line="276" w:lineRule="auto"/>
        <w:ind w:firstLine="709"/>
        <w:jc w:val="both"/>
        <w:rPr>
          <w:rFonts w:ascii="Arial" w:hAnsi="Arial" w:cs="Arial"/>
          <w:sz w:val="22"/>
          <w:szCs w:val="22"/>
        </w:rPr>
      </w:pPr>
      <w:r w:rsidRPr="00F027A3">
        <w:rPr>
          <w:rFonts w:ascii="Arial" w:hAnsi="Arial" w:cs="Arial"/>
          <w:sz w:val="22"/>
          <w:szCs w:val="22"/>
        </w:rPr>
        <w:t xml:space="preserve">En ese orden, el proponente deberá ofertar el número de meses durante los cuales se compromete a realizar por su propia cuenta y riesgo las labores de mantenimiento rutinario de la obra construida, dentro de los límites establecidos por la entidad, término que, según se desprende del punto I del numeral 4.2.6 del Documento Base, será </w:t>
      </w:r>
      <w:r w:rsidR="008D40BC">
        <w:rPr>
          <w:rFonts w:ascii="Arial" w:hAnsi="Arial" w:cs="Arial"/>
          <w:sz w:val="22"/>
          <w:szCs w:val="22"/>
        </w:rPr>
        <w:t>contado</w:t>
      </w:r>
      <w:r w:rsidRPr="00F027A3" w:rsidR="008D40BC">
        <w:rPr>
          <w:rFonts w:ascii="Arial" w:hAnsi="Arial" w:cs="Arial"/>
          <w:sz w:val="22"/>
          <w:szCs w:val="22"/>
        </w:rPr>
        <w:t xml:space="preserve"> </w:t>
      </w:r>
      <w:r w:rsidRPr="00F027A3">
        <w:rPr>
          <w:rFonts w:ascii="Arial" w:hAnsi="Arial" w:cs="Arial"/>
          <w:sz w:val="22"/>
          <w:szCs w:val="22"/>
        </w:rPr>
        <w:t>a partir de la terminación de las obras contratadas y hará parte del periodo de ejecución.</w:t>
      </w:r>
    </w:p>
    <w:p w:rsidRPr="00F027A3" w:rsidR="00191267" w:rsidP="00191267" w:rsidRDefault="00191267" w14:paraId="276645FC" w14:textId="61C94F1F">
      <w:pPr>
        <w:spacing w:before="120" w:line="276" w:lineRule="auto"/>
        <w:ind w:firstLine="709"/>
        <w:jc w:val="both"/>
        <w:rPr>
          <w:rFonts w:ascii="Arial" w:hAnsi="Arial" w:cs="Arial"/>
          <w:sz w:val="22"/>
          <w:szCs w:val="22"/>
        </w:rPr>
      </w:pPr>
      <w:r w:rsidRPr="00F027A3">
        <w:rPr>
          <w:rFonts w:ascii="Arial" w:hAnsi="Arial" w:cs="Arial"/>
          <w:sz w:val="22"/>
          <w:szCs w:val="22"/>
        </w:rPr>
        <w:t>Esto último quiere decir que el término de meses durante el cual el adjudicatario se compromete a realizar labores de mantenimiento rutinario deberá contarse a partir de la terminación de la obra contratada, esto es, una vez cumplido a cabalidad el objeto</w:t>
      </w:r>
      <w:r w:rsidR="0036359E">
        <w:rPr>
          <w:rFonts w:ascii="Arial" w:hAnsi="Arial" w:cs="Arial"/>
          <w:sz w:val="22"/>
          <w:szCs w:val="22"/>
        </w:rPr>
        <w:t xml:space="preserve"> contractual</w:t>
      </w:r>
      <w:r w:rsidRPr="00F027A3">
        <w:rPr>
          <w:rFonts w:ascii="Arial" w:hAnsi="Arial" w:cs="Arial"/>
          <w:sz w:val="22"/>
          <w:szCs w:val="22"/>
        </w:rPr>
        <w:t>. Este término, además, conforme al punto I del numeral 4.2.6 del Documento Base, estará comprendido dentro del per</w:t>
      </w:r>
      <w:r w:rsidR="006A67C9">
        <w:rPr>
          <w:rFonts w:ascii="Arial" w:hAnsi="Arial" w:cs="Arial"/>
          <w:sz w:val="22"/>
          <w:szCs w:val="22"/>
        </w:rPr>
        <w:t>í</w:t>
      </w:r>
      <w:r w:rsidRPr="00F027A3">
        <w:rPr>
          <w:rFonts w:ascii="Arial" w:hAnsi="Arial" w:cs="Arial"/>
          <w:sz w:val="22"/>
          <w:szCs w:val="22"/>
        </w:rPr>
        <w:t>odo de ejecución del contrato.</w:t>
      </w:r>
    </w:p>
    <w:p w:rsidRPr="00F027A3" w:rsidR="00191267" w:rsidP="00191267" w:rsidRDefault="00191267" w14:paraId="19979091" w14:textId="6148D9E0">
      <w:pPr>
        <w:spacing w:before="120" w:line="276" w:lineRule="auto"/>
        <w:ind w:firstLine="709"/>
        <w:jc w:val="both"/>
        <w:rPr>
          <w:rFonts w:ascii="Arial" w:hAnsi="Arial" w:cs="Arial"/>
          <w:sz w:val="22"/>
          <w:szCs w:val="22"/>
        </w:rPr>
      </w:pPr>
      <w:r w:rsidRPr="00F027A3">
        <w:rPr>
          <w:rFonts w:ascii="Arial" w:hAnsi="Arial" w:cs="Arial"/>
          <w:sz w:val="22"/>
          <w:szCs w:val="22"/>
        </w:rPr>
        <w:t xml:space="preserve">Esto significa que el periodo de ejecución de los contratos adjudicados a proponentes que realizaron ofrecimientos de meses de mantenimiento rutinario no acaba con la entrega y recibo a satisfacción de las obras contratadas, sino una vez vencido el término de mantenimiento rutinario ofertado. En otras palabras, cuando se </w:t>
      </w:r>
      <w:r w:rsidR="00F679B1">
        <w:rPr>
          <w:rFonts w:ascii="Arial" w:hAnsi="Arial" w:cs="Arial"/>
          <w:sz w:val="22"/>
          <w:szCs w:val="22"/>
        </w:rPr>
        <w:t>adjudique</w:t>
      </w:r>
      <w:r w:rsidRPr="00F027A3">
        <w:rPr>
          <w:rFonts w:ascii="Arial" w:hAnsi="Arial" w:cs="Arial"/>
          <w:sz w:val="22"/>
          <w:szCs w:val="22"/>
        </w:rPr>
        <w:t xml:space="preserve"> un </w:t>
      </w:r>
      <w:r w:rsidRPr="00F027A3">
        <w:rPr>
          <w:rFonts w:ascii="Arial" w:hAnsi="Arial" w:cs="Arial"/>
          <w:sz w:val="22"/>
          <w:szCs w:val="22"/>
        </w:rPr>
        <w:lastRenderedPageBreak/>
        <w:t xml:space="preserve">contrato de obra </w:t>
      </w:r>
      <w:r w:rsidR="00F679B1">
        <w:rPr>
          <w:rFonts w:ascii="Arial" w:hAnsi="Arial" w:cs="Arial"/>
          <w:sz w:val="22"/>
          <w:szCs w:val="22"/>
        </w:rPr>
        <w:t xml:space="preserve">a </w:t>
      </w:r>
      <w:r w:rsidRPr="00F027A3">
        <w:rPr>
          <w:rFonts w:ascii="Arial" w:hAnsi="Arial" w:cs="Arial"/>
          <w:sz w:val="22"/>
          <w:szCs w:val="22"/>
        </w:rPr>
        <w:t>un proponente que se comprometió a realizar labores de mantenimiento rutinario, el per</w:t>
      </w:r>
      <w:r w:rsidR="002C4812">
        <w:rPr>
          <w:rFonts w:ascii="Arial" w:hAnsi="Arial" w:cs="Arial"/>
          <w:sz w:val="22"/>
          <w:szCs w:val="22"/>
        </w:rPr>
        <w:t>í</w:t>
      </w:r>
      <w:r w:rsidRPr="00F027A3">
        <w:rPr>
          <w:rFonts w:ascii="Arial" w:hAnsi="Arial" w:cs="Arial"/>
          <w:sz w:val="22"/>
          <w:szCs w:val="22"/>
        </w:rPr>
        <w:t>odo de ejecución del contrato estará comprendido por el lapso durante el que se ejecuten las obras, más los meses de mantenimiento rutinario ofertados</w:t>
      </w:r>
      <w:r w:rsidR="0036359E">
        <w:rPr>
          <w:rFonts w:ascii="Arial" w:hAnsi="Arial" w:cs="Arial"/>
          <w:sz w:val="22"/>
          <w:szCs w:val="22"/>
        </w:rPr>
        <w:t xml:space="preserve"> por los cuales fue acreedor de puntaje en el proceso de selección</w:t>
      </w:r>
      <w:r w:rsidRPr="00F027A3">
        <w:rPr>
          <w:rFonts w:ascii="Arial" w:hAnsi="Arial" w:cs="Arial"/>
          <w:sz w:val="22"/>
          <w:szCs w:val="22"/>
        </w:rPr>
        <w:t>.</w:t>
      </w:r>
    </w:p>
    <w:p w:rsidR="00191267" w:rsidP="00191267" w:rsidRDefault="00191267" w14:paraId="6691D11B" w14:textId="4E48036D">
      <w:pPr>
        <w:spacing w:before="120" w:line="276" w:lineRule="auto"/>
        <w:ind w:firstLine="709"/>
        <w:jc w:val="both"/>
        <w:rPr>
          <w:rFonts w:ascii="Arial" w:hAnsi="Arial" w:cs="Arial"/>
          <w:sz w:val="22"/>
        </w:rPr>
      </w:pPr>
      <w:r w:rsidRPr="00F027A3">
        <w:rPr>
          <w:rFonts w:ascii="Arial" w:hAnsi="Arial" w:cs="Arial"/>
          <w:sz w:val="22"/>
        </w:rPr>
        <w:t>El hecho de que el término ofertado del mantenimiento adicional haga parte de la ejecución del contrato tiene un particular efecto respecto de la liquidación, y es que no será posible que se realice la liquidación final del contrato hasta que no venza el plazo ofrecido, en la medida que este extiende el per</w:t>
      </w:r>
      <w:r w:rsidR="000E4632">
        <w:rPr>
          <w:rFonts w:ascii="Arial" w:hAnsi="Arial" w:cs="Arial"/>
          <w:sz w:val="22"/>
        </w:rPr>
        <w:t>í</w:t>
      </w:r>
      <w:r w:rsidRPr="00F027A3">
        <w:rPr>
          <w:rFonts w:ascii="Arial" w:hAnsi="Arial" w:cs="Arial"/>
          <w:sz w:val="22"/>
        </w:rPr>
        <w:t>odo de ejecución del contrato</w:t>
      </w:r>
      <w:r w:rsidR="00F679B1">
        <w:rPr>
          <w:rFonts w:ascii="Arial" w:hAnsi="Arial" w:cs="Arial"/>
          <w:sz w:val="22"/>
        </w:rPr>
        <w:t xml:space="preserve">, tal como se </w:t>
      </w:r>
      <w:r w:rsidR="00083446">
        <w:rPr>
          <w:rFonts w:ascii="Arial" w:hAnsi="Arial" w:cs="Arial"/>
          <w:sz w:val="22"/>
        </w:rPr>
        <w:t>explicará</w:t>
      </w:r>
      <w:r w:rsidR="00F679B1">
        <w:rPr>
          <w:rFonts w:ascii="Arial" w:hAnsi="Arial" w:cs="Arial"/>
          <w:sz w:val="22"/>
        </w:rPr>
        <w:t xml:space="preserve"> a continuación.</w:t>
      </w:r>
    </w:p>
    <w:p w:rsidR="00F679B1" w:rsidP="007D584D" w:rsidRDefault="00F679B1" w14:paraId="0CA1727A" w14:textId="28B158FC">
      <w:pPr>
        <w:spacing w:line="276" w:lineRule="auto"/>
        <w:jc w:val="both"/>
        <w:rPr>
          <w:rFonts w:ascii="Arial" w:hAnsi="Arial" w:cs="Arial"/>
          <w:sz w:val="22"/>
        </w:rPr>
      </w:pPr>
    </w:p>
    <w:p w:rsidRPr="007D584D" w:rsidR="00F679B1" w:rsidP="007D584D" w:rsidRDefault="00F679B1" w14:paraId="36AF8AE6" w14:textId="6B7B72A5">
      <w:pPr>
        <w:spacing w:line="276" w:lineRule="auto"/>
        <w:jc w:val="both"/>
        <w:rPr>
          <w:rFonts w:ascii="Arial" w:hAnsi="Arial" w:cs="Arial"/>
          <w:b/>
          <w:bCs/>
          <w:sz w:val="22"/>
        </w:rPr>
      </w:pPr>
      <w:r>
        <w:rPr>
          <w:rFonts w:ascii="Arial" w:hAnsi="Arial" w:cs="Arial"/>
          <w:b/>
          <w:bCs/>
          <w:sz w:val="22"/>
        </w:rPr>
        <w:t>2.2. La liquidación del contrato. Incidencia del mantenimiento adicional en los términos para liquidar</w:t>
      </w:r>
    </w:p>
    <w:p w:rsidRPr="00F027A3" w:rsidR="00F679B1" w:rsidP="007D584D" w:rsidRDefault="00F679B1" w14:paraId="04D2B9EE" w14:textId="77777777">
      <w:pPr>
        <w:spacing w:line="276" w:lineRule="auto"/>
        <w:ind w:firstLine="709"/>
        <w:jc w:val="both"/>
        <w:rPr>
          <w:rFonts w:ascii="Arial" w:hAnsi="Arial" w:cs="Arial"/>
          <w:sz w:val="22"/>
          <w:szCs w:val="22"/>
        </w:rPr>
      </w:pPr>
    </w:p>
    <w:p w:rsidRPr="00F027A3" w:rsidR="00191267" w:rsidP="007D584D" w:rsidRDefault="00191267" w14:paraId="030FEF20" w14:textId="07ADC974">
      <w:pPr>
        <w:spacing w:line="276" w:lineRule="auto"/>
        <w:jc w:val="both"/>
        <w:rPr>
          <w:rFonts w:ascii="Arial" w:hAnsi="Arial" w:cs="Arial"/>
          <w:sz w:val="22"/>
        </w:rPr>
      </w:pPr>
      <w:r w:rsidRPr="00F027A3">
        <w:rPr>
          <w:rFonts w:ascii="Arial" w:hAnsi="Arial" w:cs="Arial"/>
          <w:sz w:val="22"/>
        </w:rPr>
        <w:t xml:space="preserve">La Agencia Nacional de Contratación Pública se pronunció en relación con el alcance de la liquidación en el Concepto CU-028 del 25 de febrero de 2020, explicando que es el ajuste de cuentas donde las partes hacen un balance económico, técnico y jurídico del cumplimiento de las obligaciones que tienen a su cargo. Así lo manifestó el Consejo de Estado en la </w:t>
      </w:r>
      <w:bookmarkStart w:name="_Hlk39562501" w:id="1"/>
      <w:r w:rsidRPr="00F027A3">
        <w:rPr>
          <w:rFonts w:ascii="Arial" w:hAnsi="Arial" w:cs="Arial"/>
          <w:sz w:val="22"/>
        </w:rPr>
        <w:t>Sentencia del 20 de octubre de 2014</w:t>
      </w:r>
      <w:bookmarkEnd w:id="1"/>
      <w:r w:rsidRPr="00F027A3">
        <w:rPr>
          <w:rFonts w:ascii="Arial" w:hAnsi="Arial" w:cs="Arial"/>
          <w:sz w:val="22"/>
        </w:rPr>
        <w:t xml:space="preserve">, en la que consideró, por un lado, que </w:t>
      </w:r>
      <w:r w:rsidRPr="00F027A3">
        <w:rPr>
          <w:rFonts w:ascii="Arial" w:hAnsi="Arial" w:cs="Arial"/>
          <w:i/>
          <w:iCs/>
          <w:sz w:val="22"/>
        </w:rPr>
        <w:t>liquidar</w:t>
      </w:r>
      <w:r w:rsidRPr="00F027A3">
        <w:rPr>
          <w:rFonts w:ascii="Arial" w:hAnsi="Arial" w:cs="Arial"/>
          <w:sz w:val="22"/>
        </w:rPr>
        <w:t xml:space="preserve"> supone un ajuste en relación con las cuentas y el estado de cumplimiento del contrato estatal y, por el otro, que la </w:t>
      </w:r>
      <w:r w:rsidRPr="00F027A3">
        <w:rPr>
          <w:rFonts w:ascii="Arial" w:hAnsi="Arial" w:cs="Arial"/>
          <w:i/>
          <w:iCs/>
          <w:sz w:val="22"/>
        </w:rPr>
        <w:t>liquidación</w:t>
      </w:r>
      <w:r w:rsidRPr="00F027A3">
        <w:rPr>
          <w:rFonts w:ascii="Arial" w:hAnsi="Arial" w:cs="Arial"/>
          <w:sz w:val="22"/>
        </w:rPr>
        <w:t xml:space="preserve"> debe incluir el análisis de las condiciones de calidad y oportunidad en la entrega de los bienes, obras o servicios, así como el balance económico y el comportamiento financiero del negocio</w:t>
      </w:r>
      <w:r w:rsidRPr="00F027A3">
        <w:rPr>
          <w:rStyle w:val="Refdenotaalpie"/>
          <w:rFonts w:ascii="Arial" w:hAnsi="Arial" w:cs="Arial"/>
          <w:sz w:val="22"/>
        </w:rPr>
        <w:footnoteReference w:id="3"/>
      </w:r>
      <w:r w:rsidRPr="00F027A3">
        <w:rPr>
          <w:rFonts w:ascii="Arial" w:hAnsi="Arial" w:cs="Arial"/>
          <w:sz w:val="22"/>
        </w:rPr>
        <w:t xml:space="preserve">. </w:t>
      </w:r>
    </w:p>
    <w:p w:rsidRPr="00F027A3" w:rsidR="00191267" w:rsidP="00191267" w:rsidRDefault="00191267" w14:paraId="15554AD6" w14:textId="77777777">
      <w:pPr>
        <w:spacing w:before="120" w:line="276" w:lineRule="auto"/>
        <w:ind w:firstLine="709"/>
        <w:jc w:val="both"/>
        <w:rPr>
          <w:rFonts w:ascii="Arial" w:hAnsi="Arial" w:cs="Arial"/>
          <w:sz w:val="22"/>
        </w:rPr>
      </w:pPr>
      <w:r w:rsidRPr="00F027A3">
        <w:rPr>
          <w:rFonts w:ascii="Arial" w:hAnsi="Arial" w:cs="Arial"/>
          <w:sz w:val="22"/>
        </w:rPr>
        <w:t xml:space="preserve">Conforme al artículo 60 de la Ley 80 de 1993, deben liquidarse los contratos de tracto sucesivo, aquellos cuya ejecución o cumplimiento se prolongue en el tiempo y, en general, los demás que lo requieran. En ese contexto, cuando se alude al acta de liquidación, se hace referencia al documento que materializa los acuerdos a los que, de manera bilateral, llegan las partes en la liquidación del contrato, el cual, según el artículo referido, debe contener «los acuerdos, conciliaciones y transacciones a que </w:t>
      </w:r>
      <w:r w:rsidRPr="00F027A3">
        <w:rPr>
          <w:rFonts w:ascii="Arial" w:hAnsi="Arial" w:cs="Arial"/>
          <w:iCs/>
          <w:sz w:val="22"/>
        </w:rPr>
        <w:t>llegaren las partes para poner fin a las divergencias presentadas y poder declararse a paz y salvo»</w:t>
      </w:r>
      <w:r w:rsidRPr="00F027A3">
        <w:rPr>
          <w:rStyle w:val="Refdenotaalpie"/>
          <w:rFonts w:ascii="Arial" w:hAnsi="Arial" w:cs="Arial"/>
          <w:sz w:val="22"/>
        </w:rPr>
        <w:footnoteReference w:id="4"/>
      </w:r>
      <w:r w:rsidRPr="00F027A3">
        <w:rPr>
          <w:rFonts w:ascii="Arial" w:hAnsi="Arial" w:cs="Arial"/>
          <w:sz w:val="22"/>
        </w:rPr>
        <w:t>.</w:t>
      </w:r>
    </w:p>
    <w:p w:rsidRPr="00F027A3" w:rsidR="00191267" w:rsidP="00191267" w:rsidRDefault="00191267" w14:paraId="0424ADAB" w14:textId="77ADFB51">
      <w:pPr>
        <w:spacing w:before="120" w:line="276" w:lineRule="auto"/>
        <w:ind w:firstLine="709"/>
        <w:jc w:val="both"/>
        <w:rPr>
          <w:rFonts w:ascii="Arial" w:hAnsi="Arial" w:cs="Arial"/>
          <w:sz w:val="22"/>
        </w:rPr>
      </w:pPr>
      <w:r w:rsidRPr="00F027A3">
        <w:rPr>
          <w:rFonts w:ascii="Arial" w:hAnsi="Arial" w:cs="Arial"/>
          <w:sz w:val="22"/>
        </w:rPr>
        <w:lastRenderedPageBreak/>
        <w:t>De</w:t>
      </w:r>
      <w:r w:rsidRPr="00F027A3">
        <w:rPr>
          <w:rFonts w:ascii="Arial" w:hAnsi="Arial" w:cs="Arial"/>
          <w:iCs/>
          <w:sz w:val="22"/>
        </w:rPr>
        <w:t xml:space="preserve"> acuerdo con el artículo 11 de la Ley 1150 de 2007, existen tres tipos de liquidación: i) bilateral, ii) unilateral y iii) judicial. En términos generales, la primera, que puede ser total o parcial</w:t>
      </w:r>
      <w:r w:rsidRPr="00F027A3">
        <w:rPr>
          <w:rStyle w:val="Refdenotaalpie"/>
          <w:rFonts w:ascii="Arial" w:hAnsi="Arial" w:cs="Arial"/>
          <w:iCs/>
          <w:sz w:val="22"/>
        </w:rPr>
        <w:footnoteReference w:id="5"/>
      </w:r>
      <w:r w:rsidRPr="00F027A3">
        <w:rPr>
          <w:rFonts w:ascii="Arial" w:hAnsi="Arial" w:cs="Arial"/>
          <w:iCs/>
          <w:sz w:val="22"/>
        </w:rPr>
        <w:t>, debe hacerse en el término que estipulen las partes o, en su defecto, dentro del término supletivo de cuatro meses</w:t>
      </w:r>
      <w:r w:rsidR="00555381">
        <w:rPr>
          <w:rFonts w:ascii="Arial" w:hAnsi="Arial" w:cs="Arial"/>
          <w:iCs/>
          <w:sz w:val="22"/>
        </w:rPr>
        <w:t>,</w:t>
      </w:r>
      <w:r w:rsidRPr="00F027A3">
        <w:rPr>
          <w:rFonts w:ascii="Arial" w:hAnsi="Arial" w:cs="Arial"/>
          <w:iCs/>
          <w:sz w:val="22"/>
        </w:rPr>
        <w:t xml:space="preserve"> y el documento que la contiene</w:t>
      </w:r>
      <w:r w:rsidR="00F679B1">
        <w:rPr>
          <w:rFonts w:ascii="Arial" w:hAnsi="Arial" w:cs="Arial"/>
          <w:iCs/>
          <w:sz w:val="22"/>
        </w:rPr>
        <w:t xml:space="preserve"> es susceptible de</w:t>
      </w:r>
      <w:r w:rsidRPr="00F027A3">
        <w:rPr>
          <w:rFonts w:ascii="Arial" w:hAnsi="Arial" w:cs="Arial"/>
          <w:iCs/>
          <w:sz w:val="22"/>
        </w:rPr>
        <w:t xml:space="preserve"> presta</w:t>
      </w:r>
      <w:r w:rsidR="00F679B1">
        <w:rPr>
          <w:rFonts w:ascii="Arial" w:hAnsi="Arial" w:cs="Arial"/>
          <w:iCs/>
          <w:sz w:val="22"/>
        </w:rPr>
        <w:t>r</w:t>
      </w:r>
      <w:r w:rsidRPr="00F027A3">
        <w:rPr>
          <w:rFonts w:ascii="Arial" w:hAnsi="Arial" w:cs="Arial"/>
          <w:iCs/>
          <w:sz w:val="22"/>
        </w:rPr>
        <w:t xml:space="preserve"> mérito ejecutivo. La segunda, se debe practicar d</w:t>
      </w:r>
      <w:r w:rsidRPr="00F027A3">
        <w:rPr>
          <w:rFonts w:ascii="Arial" w:hAnsi="Arial" w:cs="Arial"/>
          <w:sz w:val="22"/>
        </w:rPr>
        <w:t>entro de los dos meses siguientes al vencimiento del término que acuerden las partes</w:t>
      </w:r>
      <w:r w:rsidRPr="00F027A3">
        <w:rPr>
          <w:rStyle w:val="Refdenotaalpie"/>
          <w:rFonts w:ascii="Arial" w:hAnsi="Arial" w:cs="Arial"/>
          <w:sz w:val="22"/>
        </w:rPr>
        <w:footnoteReference w:id="6"/>
      </w:r>
      <w:r w:rsidRPr="00F027A3">
        <w:rPr>
          <w:rFonts w:ascii="Arial" w:hAnsi="Arial" w:cs="Arial"/>
          <w:sz w:val="22"/>
        </w:rPr>
        <w:t>, o ante el silencio de estas de los cuatro meses para realizar la liquidación bilateral, sin que ésta se efectúe</w:t>
      </w:r>
      <w:r w:rsidRPr="00F027A3">
        <w:rPr>
          <w:rStyle w:val="Refdenotaalpie"/>
          <w:rFonts w:ascii="Arial" w:hAnsi="Arial" w:cs="Arial"/>
          <w:sz w:val="22"/>
        </w:rPr>
        <w:footnoteReference w:id="7"/>
      </w:r>
      <w:r w:rsidR="008A07B5">
        <w:rPr>
          <w:rFonts w:ascii="Arial" w:hAnsi="Arial" w:cs="Arial"/>
          <w:sz w:val="22"/>
        </w:rPr>
        <w:t>,</w:t>
      </w:r>
      <w:r w:rsidRPr="00F027A3">
        <w:rPr>
          <w:rFonts w:ascii="Arial" w:hAnsi="Arial" w:cs="Arial"/>
          <w:sz w:val="22"/>
        </w:rPr>
        <w:t xml:space="preserve"> y el acto administrativo que la contiene es susceptible del recurso de reposición. La tercera la realiza el juez contencioso administrativo dentro de un proceso de controversias contractuales. Además, la jurisprudencia explica que para iniciar la liquidación es necesario que finalice el contrato, ya sea por el vencimiento del plazo fijado o por cualquier otra causa. De esta forma, la liquidación </w:t>
      </w:r>
      <w:r w:rsidR="00FE7970">
        <w:rPr>
          <w:rFonts w:ascii="Arial" w:hAnsi="Arial" w:cs="Arial"/>
          <w:sz w:val="22"/>
        </w:rPr>
        <w:t xml:space="preserve">–final– </w:t>
      </w:r>
      <w:r w:rsidRPr="00F027A3">
        <w:rPr>
          <w:rFonts w:ascii="Arial" w:hAnsi="Arial" w:cs="Arial"/>
          <w:sz w:val="22"/>
        </w:rPr>
        <w:t>únicamente procede una vez terminada la relación contractual</w:t>
      </w:r>
      <w:r w:rsidR="00581F92">
        <w:rPr>
          <w:rFonts w:ascii="Arial" w:hAnsi="Arial" w:cs="Arial"/>
          <w:sz w:val="22"/>
        </w:rPr>
        <w:t>, en los siguientes términos</w:t>
      </w:r>
      <w:r w:rsidRPr="00F027A3">
        <w:rPr>
          <w:rFonts w:ascii="Arial" w:hAnsi="Arial" w:cs="Arial"/>
          <w:sz w:val="22"/>
        </w:rPr>
        <w:t xml:space="preserve">: </w:t>
      </w:r>
    </w:p>
    <w:p w:rsidRPr="00F027A3" w:rsidR="00191267" w:rsidP="00191267" w:rsidRDefault="00191267" w14:paraId="0E272CE6" w14:textId="77777777">
      <w:pPr>
        <w:spacing w:line="276" w:lineRule="auto"/>
        <w:ind w:firstLine="709"/>
        <w:jc w:val="both"/>
        <w:rPr>
          <w:rFonts w:ascii="Arial" w:hAnsi="Arial" w:cs="Arial"/>
          <w:sz w:val="22"/>
        </w:rPr>
      </w:pPr>
    </w:p>
    <w:p w:rsidRPr="00F027A3" w:rsidR="00191267" w:rsidP="00191267" w:rsidRDefault="00191267" w14:paraId="0FF23ABD" w14:textId="688F4E0E">
      <w:pPr>
        <w:ind w:left="708" w:right="709" w:firstLine="1"/>
        <w:jc w:val="both"/>
        <w:rPr>
          <w:rFonts w:ascii="Arial" w:hAnsi="Arial" w:cs="Arial"/>
          <w:sz w:val="21"/>
          <w:szCs w:val="21"/>
          <w:shd w:val="clear" w:color="auto" w:fill="FFFFFF"/>
        </w:rPr>
      </w:pPr>
      <w:r w:rsidRPr="00F027A3">
        <w:rPr>
          <w:rFonts w:ascii="Arial" w:hAnsi="Arial" w:cs="Arial"/>
          <w:sz w:val="21"/>
          <w:szCs w:val="21"/>
          <w:shd w:val="clear" w:color="auto" w:fill="FFFFFF"/>
        </w:rPr>
        <w:t>Se tiene en cuenta como uno de los supuestos de hecho de la procedencia de la liquidación de común acuerdo cuando no hay previsión contractual del término, la de realizarla «a más tardar antes del vencimiento de los cuatro (4) meses siguientes a la finalización del contrato» (art. 60), de lo cual infiere la Sala que la finalización del contrato es tratada por la ley como un presupuesto previo para la procedencia de esta primera etapa de la liquidación y, por contera, de las subsiguientes, de tal manera que mal podría empezar a correr el t</w:t>
      </w:r>
      <w:r w:rsidR="00FE7970">
        <w:rPr>
          <w:rFonts w:ascii="Arial" w:hAnsi="Arial" w:cs="Arial"/>
          <w:sz w:val="21"/>
          <w:szCs w:val="21"/>
          <w:shd w:val="clear" w:color="auto" w:fill="FFFFFF"/>
        </w:rPr>
        <w:t>é</w:t>
      </w:r>
      <w:r w:rsidRPr="00F027A3">
        <w:rPr>
          <w:rFonts w:ascii="Arial" w:hAnsi="Arial" w:cs="Arial"/>
          <w:sz w:val="21"/>
          <w:szCs w:val="21"/>
          <w:shd w:val="clear" w:color="auto" w:fill="FFFFFF"/>
        </w:rPr>
        <w:t>rmino para dicha liquidación si no se ha producido la finalización del contrato, de acuerdo con los términos pactados, ya sea por concluir su ejecución, por el vencimiento del plazo fijado o por cualquier otra causa</w:t>
      </w:r>
      <w:r w:rsidRPr="00F027A3">
        <w:rPr>
          <w:rStyle w:val="Refdenotaalpie"/>
          <w:rFonts w:ascii="Arial" w:hAnsi="Arial" w:cs="Arial"/>
          <w:sz w:val="21"/>
          <w:szCs w:val="21"/>
          <w:shd w:val="clear" w:color="auto" w:fill="FFFFFF"/>
        </w:rPr>
        <w:footnoteReference w:id="8"/>
      </w:r>
      <w:r w:rsidRPr="00F027A3">
        <w:rPr>
          <w:rFonts w:ascii="Arial" w:hAnsi="Arial" w:cs="Arial"/>
          <w:sz w:val="21"/>
          <w:szCs w:val="21"/>
          <w:shd w:val="clear" w:color="auto" w:fill="FFFFFF"/>
        </w:rPr>
        <w:t>.</w:t>
      </w:r>
    </w:p>
    <w:p w:rsidRPr="00F027A3" w:rsidR="00191267" w:rsidP="00191267" w:rsidRDefault="00191267" w14:paraId="5AC42D90" w14:textId="77777777">
      <w:pPr>
        <w:ind w:left="708" w:right="709" w:firstLine="1"/>
        <w:jc w:val="both"/>
        <w:rPr>
          <w:rFonts w:ascii="Arial" w:hAnsi="Arial" w:cs="Arial"/>
          <w:sz w:val="21"/>
          <w:szCs w:val="21"/>
        </w:rPr>
      </w:pPr>
    </w:p>
    <w:p w:rsidRPr="00F027A3" w:rsidR="00191267" w:rsidP="00191267" w:rsidRDefault="00191267" w14:paraId="3314E367" w14:textId="420B6D80">
      <w:pPr>
        <w:spacing w:after="120" w:line="276" w:lineRule="auto"/>
        <w:jc w:val="both"/>
        <w:rPr>
          <w:rFonts w:ascii="Arial" w:hAnsi="Arial" w:cs="Arial"/>
          <w:sz w:val="22"/>
          <w:szCs w:val="22"/>
        </w:rPr>
      </w:pPr>
      <w:r w:rsidRPr="00F027A3">
        <w:rPr>
          <w:rFonts w:ascii="Arial" w:hAnsi="Arial" w:cs="Arial"/>
          <w:sz w:val="22"/>
        </w:rPr>
        <w:lastRenderedPageBreak/>
        <w:tab/>
      </w:r>
      <w:r w:rsidR="00FE7970">
        <w:rPr>
          <w:rFonts w:ascii="Arial" w:hAnsi="Arial" w:cs="Arial"/>
          <w:sz w:val="22"/>
          <w:szCs w:val="22"/>
        </w:rPr>
        <w:t>Teniendo en cuenta los fundamentos anteriores</w:t>
      </w:r>
      <w:r w:rsidRPr="00F027A3">
        <w:rPr>
          <w:rFonts w:ascii="Arial" w:hAnsi="Arial" w:cs="Arial"/>
          <w:sz w:val="22"/>
          <w:szCs w:val="22"/>
        </w:rPr>
        <w:t>, esta Agencia en el concepto C-352 de 30 de junio de 2020 explicó</w:t>
      </w:r>
      <w:r w:rsidR="00FE7970">
        <w:rPr>
          <w:rFonts w:ascii="Arial" w:hAnsi="Arial" w:cs="Arial"/>
          <w:sz w:val="22"/>
          <w:szCs w:val="22"/>
        </w:rPr>
        <w:t>, en relación con el mantenimiento adicional,</w:t>
      </w:r>
      <w:r w:rsidRPr="00F027A3">
        <w:rPr>
          <w:rFonts w:ascii="Arial" w:hAnsi="Arial" w:cs="Arial"/>
          <w:sz w:val="22"/>
          <w:szCs w:val="22"/>
        </w:rPr>
        <w:t xml:space="preserve"> que «no es posible que este mantenimiento se ofrezca durante o después de la liquidación, ya que se debe realizar en la ejecución del contrato. Una vez finalizado el plazo ofrecido de </w:t>
      </w:r>
      <w:r w:rsidR="00FE7970">
        <w:rPr>
          <w:rFonts w:ascii="Arial" w:hAnsi="Arial" w:cs="Arial"/>
          <w:sz w:val="22"/>
          <w:szCs w:val="22"/>
        </w:rPr>
        <w:t>“</w:t>
      </w:r>
      <w:r w:rsidRPr="00F027A3">
        <w:rPr>
          <w:rFonts w:ascii="Arial" w:hAnsi="Arial" w:cs="Arial"/>
          <w:sz w:val="22"/>
          <w:szCs w:val="22"/>
        </w:rPr>
        <w:t>Mantenimiento adicional</w:t>
      </w:r>
      <w:r w:rsidR="00FE7970">
        <w:rPr>
          <w:rFonts w:ascii="Arial" w:hAnsi="Arial" w:cs="Arial"/>
          <w:sz w:val="22"/>
          <w:szCs w:val="22"/>
        </w:rPr>
        <w:t>”</w:t>
      </w:r>
      <w:r w:rsidRPr="00F027A3">
        <w:rPr>
          <w:rFonts w:ascii="Arial" w:hAnsi="Arial" w:cs="Arial"/>
          <w:sz w:val="22"/>
          <w:szCs w:val="22"/>
        </w:rPr>
        <w:t xml:space="preserve"> será posible liquidarlo. En conclusión, el ofrecimiento relacionado con el </w:t>
      </w:r>
      <w:r w:rsidR="00FE7970">
        <w:rPr>
          <w:rFonts w:ascii="Arial" w:hAnsi="Arial" w:cs="Arial"/>
          <w:sz w:val="22"/>
          <w:szCs w:val="22"/>
        </w:rPr>
        <w:t>“</w:t>
      </w:r>
      <w:r w:rsidRPr="00F027A3">
        <w:rPr>
          <w:rFonts w:ascii="Arial" w:hAnsi="Arial" w:cs="Arial"/>
          <w:sz w:val="22"/>
          <w:szCs w:val="22"/>
        </w:rPr>
        <w:t>Mantenimiento adicional</w:t>
      </w:r>
      <w:r w:rsidR="00FE7970">
        <w:rPr>
          <w:rFonts w:ascii="Arial" w:hAnsi="Arial" w:cs="Arial"/>
          <w:sz w:val="22"/>
          <w:szCs w:val="22"/>
        </w:rPr>
        <w:t>”</w:t>
      </w:r>
      <w:r w:rsidRPr="00F027A3">
        <w:rPr>
          <w:rFonts w:ascii="Arial" w:hAnsi="Arial" w:cs="Arial"/>
          <w:sz w:val="22"/>
          <w:szCs w:val="22"/>
        </w:rPr>
        <w:t xml:space="preserve"> hace parte de la ejecución del contrato y, por tanto, la liquidación final solo se puede realizar una vez vencido dicho término».</w:t>
      </w:r>
    </w:p>
    <w:p w:rsidR="00191267" w:rsidP="007D584D" w:rsidRDefault="00191267" w14:paraId="1C10CF4B" w14:textId="1EDB2BDC">
      <w:pPr>
        <w:spacing w:line="276" w:lineRule="auto"/>
        <w:ind w:firstLine="708"/>
        <w:jc w:val="both"/>
        <w:rPr>
          <w:rFonts w:ascii="Arial" w:hAnsi="Arial" w:cs="Arial"/>
          <w:sz w:val="22"/>
        </w:rPr>
      </w:pPr>
      <w:r>
        <w:rPr>
          <w:rFonts w:ascii="Arial" w:hAnsi="Arial" w:cs="Arial"/>
          <w:sz w:val="22"/>
        </w:rPr>
        <w:t xml:space="preserve">De igual forma, esta Agencia mediante el concepto C-432 del 27 de julio de 2020, </w:t>
      </w:r>
      <w:r w:rsidR="00FE7970">
        <w:rPr>
          <w:rFonts w:ascii="Arial" w:hAnsi="Arial" w:cs="Arial"/>
          <w:sz w:val="22"/>
        </w:rPr>
        <w:t xml:space="preserve">señaló </w:t>
      </w:r>
      <w:r>
        <w:rPr>
          <w:rFonts w:ascii="Arial" w:hAnsi="Arial" w:cs="Arial"/>
          <w:sz w:val="22"/>
        </w:rPr>
        <w:t xml:space="preserve">que es posible liquidar </w:t>
      </w:r>
      <w:r w:rsidR="00FE7970">
        <w:rPr>
          <w:rFonts w:ascii="Arial" w:hAnsi="Arial" w:cs="Arial"/>
          <w:sz w:val="22"/>
        </w:rPr>
        <w:t xml:space="preserve">anticipada y </w:t>
      </w:r>
      <w:r>
        <w:rPr>
          <w:rFonts w:ascii="Arial" w:hAnsi="Arial" w:cs="Arial"/>
          <w:sz w:val="22"/>
        </w:rPr>
        <w:t>parcialmente el contrato</w:t>
      </w:r>
      <w:r w:rsidR="00FE7970">
        <w:rPr>
          <w:rFonts w:ascii="Arial" w:hAnsi="Arial" w:cs="Arial"/>
          <w:sz w:val="22"/>
        </w:rPr>
        <w:t>, pese a que esté pendiente el mantenimiento adicional,</w:t>
      </w:r>
      <w:r>
        <w:rPr>
          <w:rFonts w:ascii="Arial" w:hAnsi="Arial" w:cs="Arial"/>
          <w:sz w:val="22"/>
        </w:rPr>
        <w:t xml:space="preserve"> siempre y cuando en el acta de liquidación parcial se incluya la existencia del mantenimiento adicional y el plazo fijado para este, con el fin de que su obligatoriedad se conserve a pesar de la liquidación y que el contratista deba cumplir con dicha obligación. Así pues, el ofrecimiento relacionado con el «Mantenimiento adicional» </w:t>
      </w:r>
      <w:r w:rsidR="00FE7970">
        <w:rPr>
          <w:rFonts w:ascii="Arial" w:hAnsi="Arial" w:cs="Arial"/>
          <w:sz w:val="22"/>
        </w:rPr>
        <w:t>hace «</w:t>
      </w:r>
      <w:r w:rsidRPr="007D584D" w:rsidR="00FE7970">
        <w:rPr>
          <w:rFonts w:ascii="Arial" w:hAnsi="Arial" w:cs="Arial"/>
          <w:sz w:val="22"/>
        </w:rPr>
        <w:t>parte del periodo de ejecución del contrato»</w:t>
      </w:r>
      <w:r w:rsidR="00FE7970">
        <w:rPr>
          <w:rFonts w:ascii="Arial" w:hAnsi="Arial" w:cs="Arial"/>
          <w:sz w:val="22"/>
        </w:rPr>
        <w:t xml:space="preserve">, como lo establece el numeral 4.2.6 </w:t>
      </w:r>
      <w:r>
        <w:rPr>
          <w:rFonts w:ascii="Arial" w:hAnsi="Arial" w:cs="Arial"/>
          <w:sz w:val="22"/>
        </w:rPr>
        <w:t xml:space="preserve">y, por tanto, la liquidación final solo se puede realizar una vez vencido dicho término. </w:t>
      </w:r>
    </w:p>
    <w:p w:rsidR="00FE7970" w:rsidP="00D8415B" w:rsidRDefault="00FE7970" w14:paraId="1E44BE2D" w14:textId="4E4089BB">
      <w:pPr>
        <w:spacing w:line="276" w:lineRule="auto"/>
        <w:jc w:val="both"/>
        <w:rPr>
          <w:rFonts w:ascii="Arial" w:hAnsi="Arial" w:cs="Arial"/>
          <w:color w:val="000000" w:themeColor="text1"/>
          <w:sz w:val="22"/>
        </w:rPr>
      </w:pPr>
    </w:p>
    <w:p w:rsidRPr="007D584D" w:rsidR="00FE7970" w:rsidP="007D584D" w:rsidRDefault="00FE7970" w14:paraId="1CF0AC6B" w14:textId="11189672">
      <w:pPr>
        <w:spacing w:line="276" w:lineRule="auto"/>
        <w:jc w:val="both"/>
        <w:rPr>
          <w:rFonts w:ascii="Arial" w:hAnsi="Arial" w:cs="Arial"/>
          <w:b/>
          <w:bCs/>
          <w:color w:val="000000" w:themeColor="text1"/>
          <w:sz w:val="22"/>
        </w:rPr>
      </w:pPr>
      <w:r>
        <w:rPr>
          <w:rFonts w:ascii="Arial" w:hAnsi="Arial" w:cs="Arial"/>
          <w:b/>
          <w:bCs/>
          <w:color w:val="000000" w:themeColor="text1"/>
          <w:sz w:val="22"/>
        </w:rPr>
        <w:t>2.3. El «acta de recibo final»</w:t>
      </w:r>
    </w:p>
    <w:p w:rsidR="00FE7970" w:rsidP="00765349" w:rsidRDefault="00FE7970" w14:paraId="496914E5" w14:textId="77777777">
      <w:pPr>
        <w:spacing w:line="276" w:lineRule="auto"/>
        <w:ind w:firstLine="708"/>
        <w:jc w:val="both"/>
        <w:rPr>
          <w:rFonts w:ascii="Arial" w:hAnsi="Arial" w:cs="Arial"/>
          <w:color w:val="000000" w:themeColor="text1"/>
          <w:sz w:val="22"/>
        </w:rPr>
      </w:pPr>
    </w:p>
    <w:p w:rsidRPr="00EE44D4" w:rsidR="00692334" w:rsidP="007D584D" w:rsidRDefault="00765349" w14:paraId="76643F35" w14:textId="61EE6572">
      <w:pPr>
        <w:spacing w:line="276" w:lineRule="auto"/>
        <w:jc w:val="both"/>
        <w:rPr>
          <w:rFonts w:ascii="Arial" w:hAnsi="Arial" w:cs="Arial"/>
          <w:color w:val="000000" w:themeColor="text1"/>
          <w:sz w:val="22"/>
        </w:rPr>
      </w:pPr>
      <w:r>
        <w:rPr>
          <w:rFonts w:ascii="Arial" w:hAnsi="Arial" w:cs="Arial"/>
          <w:color w:val="000000" w:themeColor="text1"/>
          <w:sz w:val="22"/>
        </w:rPr>
        <w:t xml:space="preserve">En relación con la segunda pregunta </w:t>
      </w:r>
      <w:r w:rsidR="00FE7970">
        <w:rPr>
          <w:rFonts w:ascii="Arial" w:hAnsi="Arial" w:cs="Arial"/>
          <w:color w:val="000000" w:themeColor="text1"/>
          <w:sz w:val="22"/>
        </w:rPr>
        <w:t>del peticionario</w:t>
      </w:r>
      <w:r w:rsidR="00692334">
        <w:rPr>
          <w:rFonts w:ascii="Arial" w:hAnsi="Arial" w:cs="Arial"/>
          <w:color w:val="000000" w:themeColor="text1"/>
          <w:sz w:val="22"/>
        </w:rPr>
        <w:t xml:space="preserve">, </w:t>
      </w:r>
      <w:r w:rsidR="00692334">
        <w:rPr>
          <w:rFonts w:ascii="Arial" w:hAnsi="Arial" w:cs="Arial"/>
          <w:sz w:val="22"/>
        </w:rPr>
        <w:t>l</w:t>
      </w:r>
      <w:r w:rsidRPr="00F027A3" w:rsidR="00692334">
        <w:rPr>
          <w:rFonts w:ascii="Arial" w:hAnsi="Arial" w:cs="Arial"/>
          <w:sz w:val="22"/>
        </w:rPr>
        <w:t xml:space="preserve">a Agencia Nacional de Contratación Pública </w:t>
      </w:r>
      <w:r w:rsidR="00FE7970">
        <w:rPr>
          <w:rFonts w:ascii="Arial" w:hAnsi="Arial" w:cs="Arial"/>
          <w:sz w:val="22"/>
        </w:rPr>
        <w:t xml:space="preserve">– Colombia Compra eficiente </w:t>
      </w:r>
      <w:r w:rsidRPr="00F027A3" w:rsidR="00692334">
        <w:rPr>
          <w:rFonts w:ascii="Arial" w:hAnsi="Arial" w:cs="Arial"/>
          <w:sz w:val="22"/>
        </w:rPr>
        <w:t>se pronun</w:t>
      </w:r>
      <w:r w:rsidRPr="00692334" w:rsidR="00692334">
        <w:rPr>
          <w:rFonts w:ascii="Arial" w:hAnsi="Arial" w:cs="Arial"/>
          <w:sz w:val="22"/>
        </w:rPr>
        <w:t xml:space="preserve">ció en relación con el </w:t>
      </w:r>
      <w:r w:rsidRPr="00692334" w:rsidR="00692334">
        <w:rPr>
          <w:rFonts w:ascii="Arial" w:hAnsi="Arial" w:cs="Arial"/>
          <w:color w:val="000000" w:themeColor="text1"/>
          <w:sz w:val="22"/>
        </w:rPr>
        <w:t xml:space="preserve">acta de recibo final del contrato estatal en </w:t>
      </w:r>
      <w:r>
        <w:rPr>
          <w:rFonts w:ascii="Arial" w:hAnsi="Arial" w:cs="Arial"/>
          <w:color w:val="000000" w:themeColor="text1"/>
          <w:sz w:val="22"/>
        </w:rPr>
        <w:t>e</w:t>
      </w:r>
      <w:r w:rsidRPr="00F027A3">
        <w:rPr>
          <w:rFonts w:ascii="Arial" w:hAnsi="Arial" w:cs="Arial"/>
          <w:sz w:val="22"/>
        </w:rPr>
        <w:t>l Concepto CU-028 del 25 de febrero de 2020</w:t>
      </w:r>
      <w:r>
        <w:rPr>
          <w:rFonts w:ascii="Arial" w:hAnsi="Arial" w:cs="Arial"/>
          <w:sz w:val="22"/>
        </w:rPr>
        <w:t xml:space="preserve">, en </w:t>
      </w:r>
      <w:r w:rsidRPr="00692334" w:rsidR="00692334">
        <w:rPr>
          <w:rFonts w:ascii="Arial" w:hAnsi="Arial" w:cs="Arial"/>
          <w:color w:val="000000" w:themeColor="text1"/>
          <w:sz w:val="22"/>
        </w:rPr>
        <w:t>los términos</w:t>
      </w:r>
      <w:r w:rsidR="00692334">
        <w:rPr>
          <w:rFonts w:ascii="Arial" w:hAnsi="Arial" w:cs="Arial"/>
          <w:color w:val="000000" w:themeColor="text1"/>
          <w:sz w:val="22"/>
        </w:rPr>
        <w:t xml:space="preserve"> que se presentan a continuación. </w:t>
      </w:r>
    </w:p>
    <w:p w:rsidR="00692334" w:rsidP="007D584D" w:rsidRDefault="00692334" w14:paraId="6253E5DE" w14:textId="4B14C898">
      <w:pPr>
        <w:spacing w:before="120" w:after="120" w:line="276" w:lineRule="auto"/>
        <w:ind w:firstLine="709"/>
        <w:jc w:val="both"/>
        <w:rPr>
          <w:rFonts w:ascii="Arial" w:hAnsi="Arial" w:cs="Arial"/>
          <w:color w:val="000000" w:themeColor="text1"/>
          <w:sz w:val="22"/>
        </w:rPr>
      </w:pPr>
      <w:r w:rsidRPr="00EE44D4">
        <w:rPr>
          <w:rFonts w:ascii="Arial" w:hAnsi="Arial" w:cs="Arial"/>
          <w:color w:val="000000" w:themeColor="text1"/>
          <w:sz w:val="22"/>
        </w:rPr>
        <w:t xml:space="preserve">El acta de recibo final del contrato no está regulada </w:t>
      </w:r>
      <w:r w:rsidR="00FE7970">
        <w:rPr>
          <w:rFonts w:ascii="Arial" w:hAnsi="Arial" w:cs="Arial"/>
          <w:color w:val="000000" w:themeColor="text1"/>
          <w:sz w:val="22"/>
        </w:rPr>
        <w:t>en</w:t>
      </w:r>
      <w:r w:rsidRPr="00EE44D4" w:rsidR="00FE7970">
        <w:rPr>
          <w:rFonts w:ascii="Arial" w:hAnsi="Arial" w:cs="Arial"/>
          <w:color w:val="000000" w:themeColor="text1"/>
          <w:sz w:val="22"/>
        </w:rPr>
        <w:t xml:space="preserve"> </w:t>
      </w:r>
      <w:r w:rsidRPr="00EE44D4">
        <w:rPr>
          <w:rFonts w:ascii="Arial" w:hAnsi="Arial" w:cs="Arial"/>
          <w:color w:val="000000" w:themeColor="text1"/>
          <w:sz w:val="22"/>
        </w:rPr>
        <w:t>las normas de contratación pública. Sin embargo, en virtud de la autonomía de la voluntad, la entidad y el contratista pueden acordar su suscripción, con el objeto de facilitar la verificación de la ejecución de las obligaciones a cargo de aquel</w:t>
      </w:r>
      <w:r w:rsidR="00FE7970">
        <w:rPr>
          <w:rFonts w:ascii="Arial" w:hAnsi="Arial" w:cs="Arial"/>
          <w:color w:val="000000" w:themeColor="text1"/>
          <w:sz w:val="22"/>
        </w:rPr>
        <w:t>, además que e</w:t>
      </w:r>
      <w:r w:rsidRPr="00EE44D4">
        <w:rPr>
          <w:rFonts w:ascii="Arial" w:hAnsi="Arial" w:cs="Arial"/>
          <w:color w:val="000000" w:themeColor="text1"/>
          <w:sz w:val="22"/>
        </w:rPr>
        <w:t>ste documento también es útil para liquidar el contrato.</w:t>
      </w:r>
    </w:p>
    <w:p w:rsidRPr="003873DF" w:rsidR="00692334" w:rsidP="003873DF" w:rsidRDefault="00FE7970" w14:paraId="5B737B1E" w14:textId="6BB5322E">
      <w:pPr>
        <w:spacing w:after="120" w:line="276" w:lineRule="auto"/>
        <w:ind w:firstLine="709"/>
        <w:jc w:val="both"/>
        <w:rPr>
          <w:rFonts w:ascii="Arial" w:hAnsi="Arial" w:cs="Arial"/>
          <w:color w:val="000000" w:themeColor="text1"/>
          <w:sz w:val="22"/>
        </w:rPr>
      </w:pPr>
      <w:r>
        <w:rPr>
          <w:rFonts w:ascii="Arial" w:hAnsi="Arial" w:cs="Arial"/>
          <w:sz w:val="22"/>
          <w:szCs w:val="22"/>
        </w:rPr>
        <w:t>En este sentido, e</w:t>
      </w:r>
      <w:r w:rsidRPr="00765349" w:rsidR="00692334">
        <w:rPr>
          <w:rFonts w:ascii="Arial" w:hAnsi="Arial" w:cs="Arial"/>
          <w:sz w:val="22"/>
          <w:szCs w:val="22"/>
        </w:rPr>
        <w:t xml:space="preserve">l </w:t>
      </w:r>
      <w:r>
        <w:rPr>
          <w:rFonts w:ascii="Arial" w:hAnsi="Arial" w:cs="Arial"/>
          <w:sz w:val="22"/>
          <w:szCs w:val="22"/>
        </w:rPr>
        <w:t>«</w:t>
      </w:r>
      <w:r w:rsidRPr="00765349" w:rsidR="00692334">
        <w:rPr>
          <w:rFonts w:ascii="Arial" w:hAnsi="Arial" w:cs="Arial"/>
          <w:sz w:val="22"/>
          <w:szCs w:val="22"/>
        </w:rPr>
        <w:t>acta de recibo final</w:t>
      </w:r>
      <w:r>
        <w:rPr>
          <w:rFonts w:ascii="Arial" w:hAnsi="Arial" w:cs="Arial"/>
          <w:sz w:val="22"/>
          <w:szCs w:val="22"/>
        </w:rPr>
        <w:t>»</w:t>
      </w:r>
      <w:r w:rsidRPr="00765349" w:rsidR="00692334">
        <w:rPr>
          <w:rFonts w:ascii="Arial" w:hAnsi="Arial" w:cs="Arial"/>
          <w:sz w:val="22"/>
          <w:szCs w:val="22"/>
        </w:rPr>
        <w:t xml:space="preserve"> es un elemento accidental del contrato estatal</w:t>
      </w:r>
      <w:r w:rsidRPr="00765349" w:rsidR="00692334">
        <w:rPr>
          <w:rStyle w:val="Refdenotaalpie"/>
          <w:rFonts w:ascii="Arial" w:hAnsi="Arial" w:cs="Arial"/>
          <w:sz w:val="22"/>
          <w:szCs w:val="22"/>
        </w:rPr>
        <w:footnoteReference w:id="9"/>
      </w:r>
      <w:r w:rsidRPr="00765349" w:rsidR="00692334">
        <w:rPr>
          <w:rFonts w:ascii="Arial" w:hAnsi="Arial" w:cs="Arial"/>
          <w:sz w:val="22"/>
          <w:szCs w:val="22"/>
        </w:rPr>
        <w:t xml:space="preserve">, pues de acuerdo con las cláusulas pactadas en el mismo, las partes la utilizan dentro del negocio jurídico, por un lado, para verificar la ejecución del contrato cualitativa y </w:t>
      </w:r>
      <w:r w:rsidRPr="00765349" w:rsidR="00692334">
        <w:rPr>
          <w:rFonts w:ascii="Arial" w:hAnsi="Arial" w:cs="Arial"/>
          <w:sz w:val="22"/>
          <w:szCs w:val="22"/>
        </w:rPr>
        <w:lastRenderedPageBreak/>
        <w:t>cuantitativamente y, por el otro, como insumo par</w:t>
      </w:r>
      <w:r w:rsidRPr="003873DF" w:rsidR="00692334">
        <w:rPr>
          <w:rFonts w:ascii="Arial" w:hAnsi="Arial" w:cs="Arial"/>
          <w:color w:val="000000" w:themeColor="text1"/>
          <w:sz w:val="22"/>
        </w:rPr>
        <w:t xml:space="preserve">a definir </w:t>
      </w:r>
      <w:r>
        <w:rPr>
          <w:rFonts w:ascii="Arial" w:hAnsi="Arial" w:cs="Arial"/>
          <w:color w:val="000000" w:themeColor="text1"/>
          <w:sz w:val="22"/>
        </w:rPr>
        <w:t>algunas</w:t>
      </w:r>
      <w:r w:rsidRPr="003873DF">
        <w:rPr>
          <w:rFonts w:ascii="Arial" w:hAnsi="Arial" w:cs="Arial"/>
          <w:color w:val="000000" w:themeColor="text1"/>
          <w:sz w:val="22"/>
        </w:rPr>
        <w:t xml:space="preserve"> </w:t>
      </w:r>
      <w:r w:rsidRPr="003873DF" w:rsidR="00692334">
        <w:rPr>
          <w:rFonts w:ascii="Arial" w:hAnsi="Arial" w:cs="Arial"/>
          <w:color w:val="000000" w:themeColor="text1"/>
          <w:sz w:val="22"/>
        </w:rPr>
        <w:t>prestaciones a cargo de cada una de ellas.</w:t>
      </w:r>
    </w:p>
    <w:p w:rsidR="00530705" w:rsidP="003873DF" w:rsidRDefault="00765349" w14:paraId="361FB00C" w14:textId="2EA17C6D">
      <w:pPr>
        <w:spacing w:after="120" w:line="276" w:lineRule="auto"/>
        <w:ind w:firstLine="709"/>
        <w:jc w:val="both"/>
        <w:rPr>
          <w:rFonts w:ascii="Arial" w:hAnsi="Arial" w:eastAsia="Times New Roman" w:cs="Arial"/>
          <w:sz w:val="22"/>
          <w:lang w:val="es-ES" w:eastAsia="es-CO"/>
        </w:rPr>
      </w:pPr>
      <w:r w:rsidRPr="003873DF">
        <w:rPr>
          <w:rFonts w:ascii="Arial" w:hAnsi="Arial" w:cs="Arial"/>
          <w:color w:val="000000" w:themeColor="text1"/>
          <w:sz w:val="22"/>
        </w:rPr>
        <w:t>Por otra parte</w:t>
      </w:r>
      <w:r w:rsidR="00FE7970">
        <w:rPr>
          <w:rFonts w:ascii="Arial" w:hAnsi="Arial" w:cs="Arial"/>
          <w:color w:val="000000" w:themeColor="text1"/>
          <w:sz w:val="22"/>
        </w:rPr>
        <w:t>,</w:t>
      </w:r>
      <w:r w:rsidRPr="003873DF">
        <w:rPr>
          <w:rFonts w:ascii="Arial" w:hAnsi="Arial" w:cs="Arial"/>
          <w:color w:val="000000" w:themeColor="text1"/>
          <w:sz w:val="22"/>
        </w:rPr>
        <w:t xml:space="preserve"> </w:t>
      </w:r>
      <w:r w:rsidRPr="003873DF" w:rsidR="00692334">
        <w:rPr>
          <w:rFonts w:ascii="Arial" w:hAnsi="Arial" w:cs="Arial"/>
          <w:color w:val="000000" w:themeColor="text1"/>
          <w:sz w:val="22"/>
        </w:rPr>
        <w:t>el Documento</w:t>
      </w:r>
      <w:r w:rsidRPr="00765349" w:rsidR="00692334">
        <w:rPr>
          <w:rFonts w:ascii="Arial" w:hAnsi="Arial" w:cs="Arial"/>
          <w:sz w:val="22"/>
        </w:rPr>
        <w:t xml:space="preserve"> Base o Pliego tipo</w:t>
      </w:r>
      <w:r w:rsidR="00FE7970">
        <w:rPr>
          <w:rFonts w:ascii="Arial" w:hAnsi="Arial" w:cs="Arial"/>
          <w:sz w:val="22"/>
        </w:rPr>
        <w:t>, en el</w:t>
      </w:r>
      <w:r w:rsidRPr="00765349" w:rsidR="00692334">
        <w:rPr>
          <w:rFonts w:ascii="Arial" w:hAnsi="Arial" w:cs="Arial"/>
          <w:sz w:val="22"/>
        </w:rPr>
        <w:t xml:space="preserve"> numeral 7.2.2 </w:t>
      </w:r>
      <w:bookmarkStart w:name="_Toc5006170" w:id="2"/>
      <w:bookmarkStart w:name="_Toc46321198" w:id="3"/>
      <w:r>
        <w:rPr>
          <w:rFonts w:ascii="Arial" w:hAnsi="Arial" w:cs="Arial"/>
          <w:sz w:val="22"/>
        </w:rPr>
        <w:t>«</w:t>
      </w:r>
      <w:r>
        <w:rPr>
          <w:rFonts w:ascii="Arial" w:hAnsi="Arial" w:eastAsia="Arial" w:cs="Arial"/>
          <w:sz w:val="22"/>
        </w:rPr>
        <w:t>E</w:t>
      </w:r>
      <w:r w:rsidRPr="00765349">
        <w:rPr>
          <w:rFonts w:ascii="Arial" w:hAnsi="Arial" w:eastAsia="Arial" w:cs="Arial"/>
          <w:sz w:val="22"/>
        </w:rPr>
        <w:t>stabilidad de la obra y periodo de garantía</w:t>
      </w:r>
      <w:bookmarkEnd w:id="2"/>
      <w:bookmarkEnd w:id="3"/>
      <w:r>
        <w:rPr>
          <w:rFonts w:ascii="Arial" w:hAnsi="Arial" w:eastAsia="Arial" w:cs="Arial"/>
          <w:sz w:val="22"/>
        </w:rPr>
        <w:t>»</w:t>
      </w:r>
      <w:r w:rsidRPr="00765349" w:rsidR="00692334">
        <w:rPr>
          <w:rFonts w:ascii="Arial" w:hAnsi="Arial" w:eastAsia="Arial" w:cs="Arial"/>
          <w:sz w:val="22"/>
        </w:rPr>
        <w:t>, al igual que en el Anexo 5- Minuta del Contrato</w:t>
      </w:r>
      <w:r>
        <w:rPr>
          <w:rFonts w:ascii="Arial" w:hAnsi="Arial" w:eastAsia="Arial" w:cs="Arial"/>
          <w:sz w:val="22"/>
        </w:rPr>
        <w:t>,</w:t>
      </w:r>
      <w:r w:rsidRPr="00765349" w:rsidR="00692334">
        <w:rPr>
          <w:rFonts w:ascii="Arial" w:hAnsi="Arial" w:eastAsia="Arial" w:cs="Arial"/>
          <w:sz w:val="22"/>
        </w:rPr>
        <w:t xml:space="preserve"> numeral 18.2 </w:t>
      </w:r>
      <w:r>
        <w:rPr>
          <w:rFonts w:ascii="Arial" w:hAnsi="Arial" w:eastAsia="Arial" w:cs="Arial"/>
          <w:sz w:val="22"/>
        </w:rPr>
        <w:t>«</w:t>
      </w:r>
      <w:r w:rsidRPr="00765349">
        <w:rPr>
          <w:rFonts w:ascii="Arial" w:hAnsi="Arial" w:cs="Arial"/>
          <w:sz w:val="22"/>
        </w:rPr>
        <w:t>estabilidad de la obra y periodo de garantía</w:t>
      </w:r>
      <w:r>
        <w:rPr>
          <w:rFonts w:ascii="Arial" w:hAnsi="Arial" w:cs="Arial"/>
          <w:sz w:val="22"/>
        </w:rPr>
        <w:t>»</w:t>
      </w:r>
      <w:r w:rsidRPr="00765349" w:rsidR="00692334">
        <w:rPr>
          <w:rFonts w:ascii="Arial" w:hAnsi="Arial" w:cs="Arial"/>
          <w:sz w:val="22"/>
        </w:rPr>
        <w:t>, estableció que «</w:t>
      </w:r>
      <w:r>
        <w:rPr>
          <w:rFonts w:ascii="Arial" w:hAnsi="Arial" w:cs="Arial"/>
          <w:sz w:val="22"/>
        </w:rPr>
        <w:t>[…]</w:t>
      </w:r>
      <w:r w:rsidRPr="00765349" w:rsidR="00692334">
        <w:rPr>
          <w:rFonts w:ascii="Arial" w:hAnsi="Arial" w:eastAsia="Times New Roman" w:cs="Arial"/>
          <w:sz w:val="22"/>
          <w:lang w:val="es-ES" w:eastAsia="es-CO"/>
        </w:rPr>
        <w:t xml:space="preserve"> </w:t>
      </w:r>
      <w:r w:rsidRPr="007D584D" w:rsidR="00692334">
        <w:rPr>
          <w:rFonts w:ascii="Arial" w:hAnsi="Arial" w:cs="Arial"/>
          <w:sz w:val="22"/>
          <w:highlight w:val="lightGray"/>
        </w:rPr>
        <w:t>[La entidad debe definir el t</w:t>
      </w:r>
      <w:r w:rsidR="00E20160">
        <w:rPr>
          <w:rFonts w:ascii="Arial" w:hAnsi="Arial" w:cs="Arial"/>
          <w:sz w:val="22"/>
          <w:highlight w:val="lightGray"/>
        </w:rPr>
        <w:t>é</w:t>
      </w:r>
      <w:r w:rsidRPr="007D584D" w:rsidR="00692334">
        <w:rPr>
          <w:rFonts w:ascii="Arial" w:hAnsi="Arial" w:cs="Arial"/>
          <w:sz w:val="22"/>
          <w:highlight w:val="lightGray"/>
        </w:rPr>
        <w:t>rmino de vigencia del amparo de acuerdo con el artículo 2.2.1.2.3.1.14. del Decreto 1082 de 2015]</w:t>
      </w:r>
      <w:r w:rsidRPr="00765349" w:rsidR="00692334">
        <w:rPr>
          <w:rFonts w:ascii="Arial" w:hAnsi="Arial" w:cs="Arial"/>
          <w:sz w:val="22"/>
        </w:rPr>
        <w:t xml:space="preserve"> </w:t>
      </w:r>
      <w:r w:rsidRPr="00765349" w:rsidR="00692334">
        <w:rPr>
          <w:rFonts w:ascii="Arial" w:hAnsi="Arial" w:eastAsia="Times New Roman" w:cs="Arial"/>
          <w:sz w:val="22"/>
          <w:lang w:val="es-ES" w:eastAsia="es-CO"/>
        </w:rPr>
        <w:t>contados a partir de la fecha del Acta de Recibo Definitivo de las obras</w:t>
      </w:r>
      <w:r w:rsidR="00974D77">
        <w:rPr>
          <w:rFonts w:ascii="Arial" w:hAnsi="Arial" w:eastAsia="Times New Roman" w:cs="Arial"/>
          <w:sz w:val="22"/>
          <w:lang w:val="es-ES" w:eastAsia="es-CO"/>
        </w:rPr>
        <w:t>, por lo que e</w:t>
      </w:r>
      <w:r w:rsidRPr="00765349" w:rsidR="00692334">
        <w:rPr>
          <w:rFonts w:ascii="Arial" w:hAnsi="Arial" w:eastAsia="Times New Roman" w:cs="Arial"/>
          <w:sz w:val="22"/>
          <w:lang w:val="es-ES" w:eastAsia="es-CO"/>
        </w:rPr>
        <w:t>l Contratista procederá a reparar los defectos dentro de los términos que la Entidad le señale en la comunicación escrita que le enviará al respecto</w:t>
      </w:r>
      <w:r w:rsidRPr="00765349">
        <w:rPr>
          <w:rFonts w:ascii="Arial" w:hAnsi="Arial" w:eastAsia="Times New Roman" w:cs="Arial"/>
          <w:sz w:val="22"/>
          <w:lang w:val="es-ES" w:eastAsia="es-CO"/>
        </w:rPr>
        <w:t>»</w:t>
      </w:r>
      <w:r w:rsidR="003751FF">
        <w:rPr>
          <w:rFonts w:ascii="Arial" w:hAnsi="Arial" w:eastAsia="Times New Roman" w:cs="Arial"/>
          <w:sz w:val="22"/>
          <w:lang w:val="es-ES" w:eastAsia="es-CO"/>
        </w:rPr>
        <w:t>.</w:t>
      </w:r>
      <w:r w:rsidRPr="00765349">
        <w:rPr>
          <w:rFonts w:ascii="Arial" w:hAnsi="Arial" w:eastAsia="Times New Roman" w:cs="Arial"/>
          <w:sz w:val="22"/>
          <w:lang w:val="es-ES" w:eastAsia="es-CO"/>
        </w:rPr>
        <w:t xml:space="preserve"> </w:t>
      </w:r>
    </w:p>
    <w:p w:rsidR="00692334" w:rsidP="003873DF" w:rsidRDefault="003751FF" w14:paraId="7AE7A58C" w14:textId="1406B2CD">
      <w:pPr>
        <w:spacing w:after="120" w:line="276" w:lineRule="auto"/>
        <w:ind w:firstLine="709"/>
        <w:jc w:val="both"/>
        <w:rPr>
          <w:rFonts w:ascii="Arial" w:hAnsi="Arial" w:eastAsia="Times New Roman" w:cs="Arial"/>
          <w:sz w:val="22"/>
          <w:lang w:val="es-ES" w:eastAsia="es-CO"/>
        </w:rPr>
      </w:pPr>
      <w:r>
        <w:rPr>
          <w:rFonts w:ascii="Arial" w:hAnsi="Arial" w:eastAsia="Times New Roman" w:cs="Arial"/>
          <w:sz w:val="22"/>
          <w:lang w:val="es-ES" w:eastAsia="es-CO"/>
        </w:rPr>
        <w:t>P</w:t>
      </w:r>
      <w:r w:rsidR="00765349">
        <w:rPr>
          <w:rFonts w:ascii="Arial" w:hAnsi="Arial" w:eastAsia="Times New Roman" w:cs="Arial"/>
          <w:sz w:val="22"/>
          <w:lang w:val="es-ES" w:eastAsia="es-CO"/>
        </w:rPr>
        <w:t xml:space="preserve">or lo anterior, el </w:t>
      </w:r>
      <w:r w:rsidR="00B32400">
        <w:rPr>
          <w:rFonts w:ascii="Arial" w:hAnsi="Arial" w:eastAsia="Times New Roman" w:cs="Arial"/>
          <w:sz w:val="22"/>
          <w:lang w:val="es-ES" w:eastAsia="es-CO"/>
        </w:rPr>
        <w:t xml:space="preserve">concepto </w:t>
      </w:r>
      <w:r w:rsidR="00765349">
        <w:rPr>
          <w:rFonts w:ascii="Arial" w:hAnsi="Arial" w:eastAsia="Times New Roman" w:cs="Arial"/>
          <w:sz w:val="22"/>
          <w:lang w:val="es-ES" w:eastAsia="es-CO"/>
        </w:rPr>
        <w:t>«</w:t>
      </w:r>
      <w:r w:rsidRPr="00765349" w:rsidR="00765349">
        <w:rPr>
          <w:rFonts w:ascii="Arial" w:hAnsi="Arial" w:eastAsia="Times New Roman" w:cs="Arial"/>
          <w:sz w:val="22"/>
          <w:lang w:val="es-ES" w:eastAsia="es-CO"/>
        </w:rPr>
        <w:t>Acta de Recibo</w:t>
      </w:r>
      <w:r w:rsidR="00765349">
        <w:rPr>
          <w:rFonts w:ascii="Arial" w:hAnsi="Arial" w:eastAsia="Times New Roman" w:cs="Arial"/>
          <w:sz w:val="22"/>
          <w:lang w:val="es-ES" w:eastAsia="es-CO"/>
        </w:rPr>
        <w:t>»</w:t>
      </w:r>
      <w:r w:rsidR="00B32400">
        <w:rPr>
          <w:rFonts w:ascii="Arial" w:hAnsi="Arial" w:eastAsia="Times New Roman" w:cs="Arial"/>
          <w:sz w:val="22"/>
          <w:lang w:val="es-ES" w:eastAsia="es-CO"/>
        </w:rPr>
        <w:t>,</w:t>
      </w:r>
      <w:r w:rsidR="00765349">
        <w:rPr>
          <w:rFonts w:ascii="Arial" w:hAnsi="Arial" w:eastAsia="Times New Roman" w:cs="Arial"/>
          <w:sz w:val="22"/>
          <w:lang w:val="es-ES" w:eastAsia="es-CO"/>
        </w:rPr>
        <w:t xml:space="preserve"> resulta pertinente y relevante en relación con la garantía de estabilidad de la obra, y no con el mantenimiento adicional, lo que implica que el mantenimiento adicional no es óbice para que se realice el acta de recibo, a partir del cual se empieza a contar el término de </w:t>
      </w:r>
      <w:r w:rsidR="00B32400">
        <w:rPr>
          <w:rFonts w:ascii="Arial" w:hAnsi="Arial" w:eastAsia="Times New Roman" w:cs="Arial"/>
          <w:sz w:val="22"/>
          <w:lang w:val="es-ES" w:eastAsia="es-CO"/>
        </w:rPr>
        <w:t xml:space="preserve">la </w:t>
      </w:r>
      <w:r w:rsidR="00765349">
        <w:rPr>
          <w:rFonts w:ascii="Arial" w:hAnsi="Arial" w:eastAsia="Times New Roman" w:cs="Arial"/>
          <w:sz w:val="22"/>
          <w:lang w:val="es-ES" w:eastAsia="es-CO"/>
        </w:rPr>
        <w:t>garantía</w:t>
      </w:r>
      <w:r w:rsidR="00B32400">
        <w:rPr>
          <w:rFonts w:ascii="Arial" w:hAnsi="Arial" w:eastAsia="Times New Roman" w:cs="Arial"/>
          <w:sz w:val="22"/>
          <w:lang w:val="es-ES" w:eastAsia="es-CO"/>
        </w:rPr>
        <w:t xml:space="preserve"> de estabilidad y calidad de las obras. </w:t>
      </w:r>
      <w:r w:rsidR="00E20160">
        <w:rPr>
          <w:rFonts w:ascii="Arial" w:hAnsi="Arial" w:eastAsia="Times New Roman" w:cs="Arial"/>
          <w:sz w:val="22"/>
          <w:lang w:val="es-ES" w:eastAsia="es-CO"/>
        </w:rPr>
        <w:t xml:space="preserve">Lo anterior, también resulta coherente con el término de vigencia de esta garantía, de conformidad con lo establecido en el artículo </w:t>
      </w:r>
      <w:r w:rsidRPr="007D584D" w:rsidR="00E20160">
        <w:rPr>
          <w:rFonts w:ascii="Arial" w:hAnsi="Arial" w:eastAsia="Times New Roman" w:cs="Arial"/>
          <w:sz w:val="22"/>
          <w:lang w:val="es-ES" w:eastAsia="es-CO"/>
        </w:rPr>
        <w:t>2.2.1.2.3.1.14.</w:t>
      </w:r>
      <w:r w:rsidR="00E20160">
        <w:rPr>
          <w:rFonts w:ascii="Arial" w:hAnsi="Arial" w:eastAsia="Times New Roman" w:cs="Arial"/>
          <w:sz w:val="22"/>
          <w:lang w:val="es-ES" w:eastAsia="es-CO"/>
        </w:rPr>
        <w:t>, que establece que «</w:t>
      </w:r>
      <w:r w:rsidRPr="007D584D" w:rsidR="00E20160">
        <w:rPr>
          <w:rFonts w:ascii="Arial" w:hAnsi="Arial" w:eastAsia="Times New Roman" w:cs="Arial"/>
          <w:sz w:val="22"/>
          <w:lang w:val="es-ES" w:eastAsia="es-CO"/>
        </w:rPr>
        <w:t xml:space="preserve">Esta garantía debe estar vigente por un término no inferior a cinco (5) años </w:t>
      </w:r>
      <w:r w:rsidRPr="007D584D" w:rsidR="00E20160">
        <w:rPr>
          <w:rFonts w:ascii="Arial" w:hAnsi="Arial" w:eastAsia="Times New Roman" w:cs="Arial"/>
          <w:i/>
          <w:iCs/>
          <w:sz w:val="22"/>
          <w:lang w:val="es-ES" w:eastAsia="es-CO"/>
        </w:rPr>
        <w:t>contados a partir de la fecha en la cual la Entidad Estatal recibe a satisfacción la obra</w:t>
      </w:r>
      <w:r w:rsidR="00E20160">
        <w:rPr>
          <w:rFonts w:ascii="Arial" w:hAnsi="Arial" w:eastAsia="Times New Roman" w:cs="Arial"/>
          <w:sz w:val="22"/>
          <w:lang w:val="es-ES" w:eastAsia="es-CO"/>
        </w:rPr>
        <w:t>» (Cursiva fuera del original).</w:t>
      </w:r>
    </w:p>
    <w:p w:rsidRPr="00F027A3" w:rsidR="00765349" w:rsidP="00765349" w:rsidRDefault="00765349" w14:paraId="4C14CBDC" w14:textId="77777777">
      <w:pPr>
        <w:pStyle w:val="Clusula10"/>
        <w:numPr>
          <w:ilvl w:val="0"/>
          <w:numId w:val="0"/>
        </w:numPr>
        <w:tabs>
          <w:tab w:val="left" w:pos="851"/>
        </w:tabs>
        <w:rPr>
          <w:rFonts w:ascii="Arial" w:hAnsi="Arial" w:eastAsia="Arial" w:cs="Arial"/>
          <w:b/>
          <w:sz w:val="22"/>
        </w:rPr>
      </w:pPr>
    </w:p>
    <w:p w:rsidRPr="00F027A3" w:rsidR="00191267" w:rsidP="00191267" w:rsidRDefault="00191267" w14:paraId="4BF37FD6" w14:textId="77777777">
      <w:pPr>
        <w:spacing w:line="276" w:lineRule="auto"/>
        <w:jc w:val="both"/>
        <w:rPr>
          <w:rFonts w:ascii="Arial" w:hAnsi="Arial" w:eastAsia="Arial" w:cs="Arial"/>
          <w:b/>
          <w:sz w:val="22"/>
          <w:szCs w:val="22"/>
        </w:rPr>
      </w:pPr>
      <w:r w:rsidRPr="00F027A3">
        <w:rPr>
          <w:rFonts w:ascii="Arial" w:hAnsi="Arial" w:eastAsia="Arial" w:cs="Arial"/>
          <w:b/>
          <w:sz w:val="22"/>
          <w:szCs w:val="22"/>
        </w:rPr>
        <w:t>3. Respuestas</w:t>
      </w:r>
    </w:p>
    <w:p w:rsidRPr="00DA65A6" w:rsidR="00E20160" w:rsidP="00DA65A6" w:rsidRDefault="00E20160" w14:paraId="35E874E6" w14:textId="77777777">
      <w:pPr>
        <w:spacing w:line="276" w:lineRule="auto"/>
        <w:ind w:left="709" w:right="709"/>
        <w:jc w:val="both"/>
        <w:rPr>
          <w:rFonts w:ascii="Arial" w:hAnsi="Arial" w:eastAsia="Arial" w:cs="Arial"/>
          <w:b/>
          <w:sz w:val="21"/>
          <w:szCs w:val="21"/>
        </w:rPr>
      </w:pPr>
    </w:p>
    <w:p w:rsidRPr="007D584D" w:rsidR="00DA65A6" w:rsidP="007D584D" w:rsidRDefault="00DA65A6" w14:paraId="5E1E49C8" w14:textId="1A0C118F">
      <w:pPr>
        <w:ind w:left="709" w:right="709"/>
        <w:jc w:val="both"/>
        <w:rPr>
          <w:rFonts w:ascii="Arial" w:hAnsi="Arial" w:cs="Arial"/>
          <w:sz w:val="21"/>
          <w:szCs w:val="21"/>
        </w:rPr>
      </w:pPr>
      <w:r w:rsidRPr="007D584D">
        <w:rPr>
          <w:rFonts w:ascii="Arial" w:hAnsi="Arial" w:cs="Arial"/>
          <w:sz w:val="21"/>
          <w:szCs w:val="21"/>
        </w:rPr>
        <w:t xml:space="preserve">«En caso de que un proponente oferte treinta (30) meses de Mantenimiento Adicional, ¿el contrato se liquidará dentro de los cuatro (04) meses posteriores a la terminación de los trabajos o se liquidará una vez culminados los treinta (30) meses?» </w:t>
      </w:r>
    </w:p>
    <w:p w:rsidR="00DA65A6" w:rsidP="00DA65A6" w:rsidRDefault="00DA65A6" w14:paraId="5DFBA594" w14:textId="5C0A58EA">
      <w:pPr>
        <w:pStyle w:val="Prrafodelista"/>
        <w:spacing w:line="276" w:lineRule="auto"/>
        <w:ind w:left="1429" w:right="709"/>
        <w:jc w:val="both"/>
        <w:rPr>
          <w:rFonts w:ascii="Arial" w:hAnsi="Arial" w:cs="Arial"/>
          <w:sz w:val="21"/>
          <w:szCs w:val="21"/>
        </w:rPr>
      </w:pPr>
    </w:p>
    <w:p w:rsidR="00DA65A6" w:rsidP="007D584D" w:rsidRDefault="00DA65A6" w14:paraId="187BEB23" w14:textId="7B477184">
      <w:pPr>
        <w:spacing w:after="120" w:line="276" w:lineRule="auto"/>
        <w:jc w:val="both"/>
        <w:rPr>
          <w:rFonts w:ascii="Arial" w:hAnsi="Arial" w:cs="Arial"/>
          <w:sz w:val="22"/>
        </w:rPr>
      </w:pPr>
      <w:r>
        <w:rPr>
          <w:rFonts w:ascii="Arial" w:hAnsi="Arial" w:cs="Arial"/>
          <w:sz w:val="22"/>
          <w:szCs w:val="22"/>
        </w:rPr>
        <w:t xml:space="preserve">De acuerdo con los planteamientos desarrollados en este concepto, </w:t>
      </w:r>
      <w:r w:rsidR="00E20160">
        <w:rPr>
          <w:rFonts w:ascii="Arial" w:hAnsi="Arial" w:cs="Arial"/>
          <w:sz w:val="22"/>
          <w:szCs w:val="22"/>
        </w:rPr>
        <w:t xml:space="preserve">y sin perjuicio de los topes señalados en relación con este factor de calidad, </w:t>
      </w:r>
      <w:r w:rsidRPr="00F027A3">
        <w:rPr>
          <w:rFonts w:ascii="Arial" w:hAnsi="Arial" w:cs="Arial"/>
          <w:sz w:val="22"/>
          <w:szCs w:val="22"/>
        </w:rPr>
        <w:t xml:space="preserve">el ofrecimiento relacionado con el </w:t>
      </w:r>
      <w:r>
        <w:rPr>
          <w:rFonts w:ascii="Arial" w:hAnsi="Arial" w:cs="Arial"/>
          <w:sz w:val="22"/>
          <w:szCs w:val="22"/>
        </w:rPr>
        <w:t>«</w:t>
      </w:r>
      <w:r w:rsidRPr="00F027A3">
        <w:rPr>
          <w:rFonts w:ascii="Arial" w:hAnsi="Arial" w:cs="Arial"/>
          <w:sz w:val="22"/>
          <w:szCs w:val="22"/>
        </w:rPr>
        <w:t>Mantenimiento adicional</w:t>
      </w:r>
      <w:r>
        <w:rPr>
          <w:rFonts w:ascii="Arial" w:hAnsi="Arial" w:cs="Arial"/>
          <w:sz w:val="22"/>
          <w:szCs w:val="22"/>
        </w:rPr>
        <w:t>»</w:t>
      </w:r>
      <w:r w:rsidRPr="00F027A3">
        <w:rPr>
          <w:rFonts w:ascii="Arial" w:hAnsi="Arial" w:cs="Arial"/>
          <w:sz w:val="22"/>
          <w:szCs w:val="22"/>
        </w:rPr>
        <w:t xml:space="preserve"> hace parte de la ejecución del contrato y, por tanto, la liquidación final solo se puede realizar una vez vencido dicho término</w:t>
      </w:r>
      <w:r w:rsidR="00E20160">
        <w:rPr>
          <w:rFonts w:ascii="Arial" w:hAnsi="Arial" w:cs="Arial"/>
          <w:sz w:val="22"/>
          <w:szCs w:val="22"/>
        </w:rPr>
        <w:t>.</w:t>
      </w:r>
      <w:r>
        <w:rPr>
          <w:rFonts w:ascii="Arial" w:hAnsi="Arial" w:cs="Arial"/>
          <w:sz w:val="22"/>
          <w:szCs w:val="22"/>
        </w:rPr>
        <w:t xml:space="preserve"> </w:t>
      </w:r>
      <w:r w:rsidR="00E20160">
        <w:rPr>
          <w:rFonts w:ascii="Arial" w:hAnsi="Arial" w:cs="Arial"/>
          <w:sz w:val="22"/>
          <w:szCs w:val="22"/>
        </w:rPr>
        <w:t>E</w:t>
      </w:r>
      <w:r>
        <w:rPr>
          <w:rFonts w:ascii="Arial" w:hAnsi="Arial" w:cs="Arial"/>
          <w:sz w:val="22"/>
          <w:szCs w:val="22"/>
        </w:rPr>
        <w:t xml:space="preserve">s decir, </w:t>
      </w:r>
      <w:r w:rsidR="00E20160">
        <w:rPr>
          <w:rFonts w:ascii="Arial" w:hAnsi="Arial" w:cs="Arial"/>
          <w:sz w:val="22"/>
        </w:rPr>
        <w:t>los</w:t>
      </w:r>
      <w:r w:rsidR="000A440E">
        <w:rPr>
          <w:rFonts w:ascii="Arial" w:hAnsi="Arial" w:cs="Arial"/>
          <w:sz w:val="22"/>
        </w:rPr>
        <w:t xml:space="preserve"> término</w:t>
      </w:r>
      <w:r w:rsidR="00E20160">
        <w:rPr>
          <w:rFonts w:ascii="Arial" w:hAnsi="Arial" w:cs="Arial"/>
          <w:sz w:val="22"/>
        </w:rPr>
        <w:t>s</w:t>
      </w:r>
      <w:r w:rsidR="000A440E">
        <w:rPr>
          <w:rFonts w:ascii="Arial" w:hAnsi="Arial" w:cs="Arial"/>
          <w:sz w:val="22"/>
        </w:rPr>
        <w:t xml:space="preserve"> para liquidar el contrato previsto</w:t>
      </w:r>
      <w:r w:rsidR="00E20160">
        <w:rPr>
          <w:rFonts w:ascii="Arial" w:hAnsi="Arial" w:cs="Arial"/>
          <w:sz w:val="22"/>
        </w:rPr>
        <w:t>s</w:t>
      </w:r>
      <w:r w:rsidR="000A440E">
        <w:rPr>
          <w:rFonts w:ascii="Arial" w:hAnsi="Arial" w:cs="Arial"/>
          <w:sz w:val="22"/>
        </w:rPr>
        <w:t xml:space="preserve"> en el artículo 11 de la Ley 1150 de 2007, comienza</w:t>
      </w:r>
      <w:r w:rsidR="00E20160">
        <w:rPr>
          <w:rFonts w:ascii="Arial" w:hAnsi="Arial" w:cs="Arial"/>
          <w:sz w:val="22"/>
        </w:rPr>
        <w:t>n</w:t>
      </w:r>
      <w:r w:rsidR="000A440E">
        <w:rPr>
          <w:rFonts w:ascii="Arial" w:hAnsi="Arial" w:cs="Arial"/>
          <w:sz w:val="22"/>
        </w:rPr>
        <w:t xml:space="preserve"> a </w:t>
      </w:r>
      <w:r w:rsidR="00E20160">
        <w:rPr>
          <w:rFonts w:ascii="Arial" w:hAnsi="Arial" w:cs="Arial"/>
          <w:sz w:val="22"/>
        </w:rPr>
        <w:t xml:space="preserve">contarse </w:t>
      </w:r>
      <w:r w:rsidR="000A440E">
        <w:rPr>
          <w:rFonts w:ascii="Arial" w:hAnsi="Arial" w:cs="Arial"/>
          <w:sz w:val="22"/>
        </w:rPr>
        <w:t>después del término de mantenimiento adicional que se haya fijado como obligación en el contrato</w:t>
      </w:r>
      <w:r w:rsidR="00E20160">
        <w:rPr>
          <w:rFonts w:ascii="Arial" w:hAnsi="Arial" w:cs="Arial"/>
          <w:sz w:val="22"/>
        </w:rPr>
        <w:t xml:space="preserve">, sin perjuicio de la posibilidad de realizar una liquidación parcial. </w:t>
      </w:r>
    </w:p>
    <w:p w:rsidRPr="00F027A3" w:rsidR="00E20160" w:rsidP="000A440E" w:rsidRDefault="00E20160" w14:paraId="6A9EF17F" w14:textId="6EE7EB95">
      <w:pPr>
        <w:spacing w:line="276" w:lineRule="auto"/>
        <w:jc w:val="both"/>
        <w:rPr>
          <w:rFonts w:ascii="Arial" w:hAnsi="Arial" w:cs="Arial"/>
          <w:sz w:val="22"/>
          <w:szCs w:val="22"/>
        </w:rPr>
      </w:pPr>
      <w:r>
        <w:rPr>
          <w:rFonts w:ascii="Arial" w:hAnsi="Arial" w:cs="Arial"/>
          <w:sz w:val="22"/>
        </w:rPr>
        <w:tab/>
      </w:r>
      <w:r>
        <w:rPr>
          <w:rFonts w:ascii="Arial" w:hAnsi="Arial" w:cs="Arial"/>
          <w:sz w:val="22"/>
        </w:rPr>
        <w:t xml:space="preserve">Lo anterior se fundamenta en lo establecido en el numeral </w:t>
      </w:r>
      <w:r w:rsidRPr="007D584D">
        <w:rPr>
          <w:rFonts w:ascii="Arial" w:hAnsi="Arial" w:cs="Arial"/>
          <w:sz w:val="22"/>
        </w:rPr>
        <w:t>4.2.6 del pliego tipo</w:t>
      </w:r>
      <w:r w:rsidR="00815280">
        <w:rPr>
          <w:rFonts w:ascii="Arial" w:hAnsi="Arial" w:cs="Arial"/>
          <w:sz w:val="22"/>
        </w:rPr>
        <w:t>,</w:t>
      </w:r>
      <w:r w:rsidRPr="007D584D">
        <w:rPr>
          <w:rFonts w:ascii="Arial" w:hAnsi="Arial" w:cs="Arial"/>
          <w:sz w:val="22"/>
        </w:rPr>
        <w:t xml:space="preserve"> al establecer </w:t>
      </w:r>
      <w:r w:rsidRPr="007D584D" w:rsidR="00815280">
        <w:rPr>
          <w:rFonts w:ascii="Arial" w:hAnsi="Arial" w:cs="Arial"/>
          <w:sz w:val="22"/>
        </w:rPr>
        <w:t xml:space="preserve">frente al mantenimiento adicional que «el término ofertado será contado a partir de la terminación de las obras objeto del proceso de contratación y </w:t>
      </w:r>
      <w:r w:rsidRPr="007D584D" w:rsidR="00815280">
        <w:rPr>
          <w:rFonts w:ascii="Arial" w:hAnsi="Arial" w:cs="Arial"/>
          <w:i/>
          <w:iCs/>
          <w:sz w:val="22"/>
        </w:rPr>
        <w:t>hará parte del periodo de ejecución del contrato</w:t>
      </w:r>
      <w:r w:rsidR="00815280">
        <w:rPr>
          <w:rFonts w:ascii="Arial" w:hAnsi="Arial" w:cs="Arial"/>
          <w:sz w:val="22"/>
        </w:rPr>
        <w:t>». (Cursiva fuera del original).</w:t>
      </w:r>
    </w:p>
    <w:p w:rsidRPr="00DA65A6" w:rsidR="00DA65A6" w:rsidP="000A440E" w:rsidRDefault="00DA65A6" w14:paraId="3D38C81E" w14:textId="77777777">
      <w:pPr>
        <w:pStyle w:val="Prrafodelista"/>
        <w:spacing w:line="276" w:lineRule="auto"/>
        <w:ind w:left="1429" w:right="709"/>
        <w:jc w:val="both"/>
        <w:rPr>
          <w:rFonts w:ascii="Arial" w:hAnsi="Arial" w:cs="Arial"/>
          <w:sz w:val="21"/>
          <w:szCs w:val="21"/>
        </w:rPr>
      </w:pPr>
    </w:p>
    <w:p w:rsidRPr="007D584D" w:rsidR="00DA65A6" w:rsidP="007D584D" w:rsidRDefault="00DA65A6" w14:paraId="44D62C01" w14:textId="514E4677">
      <w:pPr>
        <w:ind w:left="709" w:right="709"/>
        <w:jc w:val="both"/>
        <w:rPr>
          <w:rFonts w:ascii="Arial" w:hAnsi="Arial" w:cs="Arial"/>
          <w:sz w:val="21"/>
          <w:szCs w:val="21"/>
        </w:rPr>
      </w:pPr>
      <w:r w:rsidRPr="007D584D">
        <w:rPr>
          <w:rFonts w:ascii="Arial" w:hAnsi="Arial" w:cs="Arial"/>
          <w:sz w:val="21"/>
          <w:szCs w:val="21"/>
        </w:rPr>
        <w:lastRenderedPageBreak/>
        <w:t>«¿El acta de recibo final se suscribirá una vez hayan culminado las obras o hasta que finalicen los treinta (30) meses de Mantenimiento Adicional?».</w:t>
      </w:r>
    </w:p>
    <w:p w:rsidRPr="00F027A3" w:rsidR="00191267" w:rsidP="000A440E" w:rsidRDefault="00191267" w14:paraId="6C8255BB" w14:textId="77777777">
      <w:pPr>
        <w:spacing w:line="276" w:lineRule="auto"/>
        <w:ind w:left="709" w:right="709"/>
        <w:jc w:val="both"/>
        <w:rPr>
          <w:rFonts w:ascii="Arial" w:hAnsi="Arial" w:eastAsia="Arial" w:cs="Arial"/>
          <w:sz w:val="21"/>
          <w:szCs w:val="21"/>
        </w:rPr>
      </w:pPr>
    </w:p>
    <w:p w:rsidRPr="00F027A3" w:rsidR="00191267" w:rsidP="000A440E" w:rsidRDefault="00920015" w14:paraId="5F1FD9F2" w14:textId="10D9C738">
      <w:pPr>
        <w:spacing w:line="276" w:lineRule="auto"/>
        <w:jc w:val="both"/>
        <w:rPr>
          <w:rFonts w:ascii="Arial" w:hAnsi="Arial" w:cs="Arial"/>
          <w:sz w:val="22"/>
        </w:rPr>
      </w:pPr>
      <w:r>
        <w:rPr>
          <w:rFonts w:ascii="Arial" w:hAnsi="Arial" w:cs="Arial"/>
          <w:sz w:val="22"/>
        </w:rPr>
        <w:t>El</w:t>
      </w:r>
      <w:r w:rsidRPr="00F027A3" w:rsidR="00765349">
        <w:rPr>
          <w:rFonts w:ascii="Arial" w:hAnsi="Arial" w:cs="Arial"/>
          <w:sz w:val="22"/>
          <w:szCs w:val="22"/>
        </w:rPr>
        <w:t xml:space="preserve"> ofrecimiento relacionado con el </w:t>
      </w:r>
      <w:r w:rsidR="00226256">
        <w:rPr>
          <w:rFonts w:ascii="Arial" w:hAnsi="Arial" w:cs="Arial"/>
          <w:sz w:val="22"/>
          <w:szCs w:val="22"/>
        </w:rPr>
        <w:t>m</w:t>
      </w:r>
      <w:r w:rsidRPr="00F027A3" w:rsidR="00765349">
        <w:rPr>
          <w:rFonts w:ascii="Arial" w:hAnsi="Arial" w:cs="Arial"/>
          <w:sz w:val="22"/>
          <w:szCs w:val="22"/>
        </w:rPr>
        <w:t>antenimiento adicional</w:t>
      </w:r>
      <w:r w:rsidR="00765349">
        <w:rPr>
          <w:rFonts w:ascii="Arial" w:hAnsi="Arial" w:cs="Arial"/>
          <w:sz w:val="22"/>
          <w:szCs w:val="22"/>
        </w:rPr>
        <w:t xml:space="preserve">, </w:t>
      </w:r>
      <w:r w:rsidR="00765349">
        <w:rPr>
          <w:rFonts w:ascii="Arial" w:hAnsi="Arial" w:cs="Arial"/>
          <w:sz w:val="22"/>
        </w:rPr>
        <w:t xml:space="preserve">fijado como obligación en el contrato, no es impedimento para que se realice el </w:t>
      </w:r>
      <w:r>
        <w:rPr>
          <w:rFonts w:ascii="Arial" w:hAnsi="Arial" w:eastAsia="Times New Roman" w:cs="Arial"/>
          <w:sz w:val="22"/>
          <w:szCs w:val="22"/>
          <w:lang w:val="es-ES" w:eastAsia="es-CO"/>
        </w:rPr>
        <w:t>a</w:t>
      </w:r>
      <w:r w:rsidRPr="00765349">
        <w:rPr>
          <w:rFonts w:ascii="Arial" w:hAnsi="Arial" w:eastAsia="Times New Roman" w:cs="Arial"/>
          <w:sz w:val="22"/>
          <w:szCs w:val="22"/>
          <w:lang w:val="es-ES" w:eastAsia="es-CO"/>
        </w:rPr>
        <w:t xml:space="preserve">cta de </w:t>
      </w:r>
      <w:r>
        <w:rPr>
          <w:rFonts w:ascii="Arial" w:hAnsi="Arial" w:eastAsia="Times New Roman" w:cs="Arial"/>
          <w:sz w:val="22"/>
          <w:szCs w:val="22"/>
          <w:lang w:val="es-ES" w:eastAsia="es-CO"/>
        </w:rPr>
        <w:t>r</w:t>
      </w:r>
      <w:r w:rsidRPr="00765349">
        <w:rPr>
          <w:rFonts w:ascii="Arial" w:hAnsi="Arial" w:eastAsia="Times New Roman" w:cs="Arial"/>
          <w:sz w:val="22"/>
          <w:szCs w:val="22"/>
          <w:lang w:val="es-ES" w:eastAsia="es-CO"/>
        </w:rPr>
        <w:t xml:space="preserve">ecibo </w:t>
      </w:r>
      <w:r>
        <w:rPr>
          <w:rFonts w:ascii="Arial" w:hAnsi="Arial" w:eastAsia="Times New Roman" w:cs="Arial"/>
          <w:sz w:val="22"/>
          <w:szCs w:val="22"/>
          <w:lang w:val="es-ES" w:eastAsia="es-CO"/>
        </w:rPr>
        <w:t>d</w:t>
      </w:r>
      <w:r w:rsidRPr="00765349">
        <w:rPr>
          <w:rFonts w:ascii="Arial" w:hAnsi="Arial" w:eastAsia="Times New Roman" w:cs="Arial"/>
          <w:sz w:val="22"/>
          <w:szCs w:val="22"/>
          <w:lang w:val="es-ES" w:eastAsia="es-CO"/>
        </w:rPr>
        <w:t>efinitivo de las obras</w:t>
      </w:r>
      <w:r w:rsidRPr="00920015">
        <w:rPr>
          <w:rFonts w:ascii="Arial" w:hAnsi="Arial" w:cs="Arial"/>
          <w:color w:val="000000" w:themeColor="text1"/>
          <w:sz w:val="22"/>
        </w:rPr>
        <w:t xml:space="preserve"> </w:t>
      </w:r>
      <w:r>
        <w:rPr>
          <w:rFonts w:ascii="Arial" w:hAnsi="Arial" w:cs="Arial"/>
          <w:color w:val="000000" w:themeColor="text1"/>
          <w:sz w:val="22"/>
        </w:rPr>
        <w:t>cuando haya sido acordada entre</w:t>
      </w:r>
      <w:r w:rsidRPr="00EE44D4">
        <w:rPr>
          <w:rFonts w:ascii="Arial" w:hAnsi="Arial" w:cs="Arial"/>
          <w:color w:val="000000" w:themeColor="text1"/>
          <w:sz w:val="22"/>
        </w:rPr>
        <w:t xml:space="preserve"> la entidad y el contratista</w:t>
      </w:r>
      <w:r>
        <w:rPr>
          <w:rFonts w:ascii="Arial" w:hAnsi="Arial" w:cs="Arial"/>
          <w:color w:val="000000" w:themeColor="text1"/>
          <w:sz w:val="22"/>
        </w:rPr>
        <w:t xml:space="preserve">, toda vez que esta va a ser relevante para el cómputo del término de la </w:t>
      </w:r>
      <w:r w:rsidR="00226256">
        <w:rPr>
          <w:rFonts w:ascii="Arial" w:hAnsi="Arial" w:cs="Arial"/>
          <w:color w:val="000000" w:themeColor="text1"/>
          <w:sz w:val="22"/>
        </w:rPr>
        <w:t xml:space="preserve">garantía de </w:t>
      </w:r>
      <w:r w:rsidRPr="00765349">
        <w:rPr>
          <w:rFonts w:ascii="Arial" w:hAnsi="Arial" w:cs="Arial"/>
          <w:sz w:val="22"/>
        </w:rPr>
        <w:t>estabilidad</w:t>
      </w:r>
      <w:r w:rsidR="00226256">
        <w:rPr>
          <w:rFonts w:ascii="Arial" w:hAnsi="Arial" w:cs="Arial"/>
          <w:sz w:val="22"/>
        </w:rPr>
        <w:t xml:space="preserve"> y calidad</w:t>
      </w:r>
      <w:r w:rsidRPr="00765349">
        <w:rPr>
          <w:rFonts w:ascii="Arial" w:hAnsi="Arial" w:cs="Arial"/>
          <w:sz w:val="22"/>
        </w:rPr>
        <w:t xml:space="preserve"> de la obra</w:t>
      </w:r>
      <w:r w:rsidR="00574C9B">
        <w:rPr>
          <w:rFonts w:ascii="Arial" w:hAnsi="Arial" w:cs="Arial"/>
          <w:sz w:val="22"/>
          <w:szCs w:val="22"/>
        </w:rPr>
        <w:t>, sin que resulte afectado por el mantenimiento adicional.</w:t>
      </w:r>
    </w:p>
    <w:p w:rsidR="00191267" w:rsidP="00191267" w:rsidRDefault="00191267" w14:paraId="63F91239" w14:textId="743FAF37">
      <w:pPr>
        <w:spacing w:line="276" w:lineRule="auto"/>
        <w:jc w:val="both"/>
        <w:rPr>
          <w:rFonts w:ascii="Arial" w:hAnsi="Arial" w:cs="Arial"/>
          <w:sz w:val="22"/>
        </w:rPr>
      </w:pPr>
      <w:r w:rsidRPr="00F027A3">
        <w:rPr>
          <w:rFonts w:ascii="Arial" w:hAnsi="Arial" w:cs="Arial"/>
          <w:sz w:val="22"/>
        </w:rPr>
        <w:tab/>
      </w:r>
      <w:bookmarkStart w:name="_3znysh7" w:colFirst="0" w:colLast="0" w:id="4"/>
      <w:bookmarkEnd w:id="4"/>
    </w:p>
    <w:p w:rsidRPr="00F027A3" w:rsidR="00D8415B" w:rsidP="00191267" w:rsidRDefault="00D8415B" w14:paraId="4A31C6D8" w14:textId="77777777">
      <w:pPr>
        <w:spacing w:line="276" w:lineRule="auto"/>
        <w:jc w:val="both"/>
        <w:rPr>
          <w:rFonts w:ascii="Arial" w:hAnsi="Arial" w:eastAsia="Arial" w:cs="Arial"/>
          <w:sz w:val="22"/>
          <w:szCs w:val="22"/>
        </w:rPr>
      </w:pPr>
    </w:p>
    <w:p w:rsidR="00191267" w:rsidP="00191267" w:rsidRDefault="00191267" w14:paraId="653CF177" w14:textId="1E5E54A0">
      <w:pPr>
        <w:spacing w:line="276" w:lineRule="auto"/>
        <w:jc w:val="both"/>
        <w:rPr>
          <w:rFonts w:ascii="Arial" w:hAnsi="Arial" w:eastAsia="Arial" w:cs="Arial"/>
          <w:sz w:val="22"/>
          <w:szCs w:val="22"/>
        </w:rPr>
      </w:pPr>
      <w:r w:rsidRPr="00F027A3">
        <w:rPr>
          <w:rFonts w:ascii="Arial" w:hAnsi="Arial" w:eastAsia="Arial" w:cs="Arial"/>
          <w:sz w:val="22"/>
          <w:szCs w:val="22"/>
        </w:rPr>
        <w:t>Este concepto tiene el alcance previsto en el artículo 28 del Código de Procedimiento Administrativo y de lo Contencioso Administrativo.</w:t>
      </w:r>
    </w:p>
    <w:p w:rsidR="00920015" w:rsidP="00191267" w:rsidRDefault="00920015" w14:paraId="23E13F51" w14:textId="1346BAF4">
      <w:pPr>
        <w:spacing w:line="276" w:lineRule="auto"/>
        <w:jc w:val="both"/>
        <w:rPr>
          <w:rFonts w:ascii="Arial" w:hAnsi="Arial" w:eastAsia="Arial" w:cs="Arial"/>
          <w:sz w:val="22"/>
          <w:szCs w:val="22"/>
        </w:rPr>
      </w:pPr>
    </w:p>
    <w:p w:rsidR="00920015" w:rsidP="00920015" w:rsidRDefault="00920015" w14:paraId="6DCED8B6" w14:textId="77777777">
      <w:pPr>
        <w:spacing w:line="276" w:lineRule="auto"/>
        <w:rPr>
          <w:rFonts w:ascii="Arial" w:hAnsi="Arial" w:eastAsia="Arial" w:cs="Arial"/>
          <w:sz w:val="22"/>
          <w:szCs w:val="22"/>
        </w:rPr>
      </w:pPr>
      <w:r w:rsidRPr="00F31238">
        <w:rPr>
          <w:rFonts w:ascii="Arial" w:hAnsi="Arial" w:eastAsia="Arial" w:cs="Arial"/>
          <w:sz w:val="22"/>
          <w:szCs w:val="22"/>
        </w:rPr>
        <w:t>Atentamente,</w:t>
      </w:r>
    </w:p>
    <w:p w:rsidRPr="00F027A3" w:rsidR="00920015" w:rsidP="00191267" w:rsidRDefault="00920015" w14:paraId="1B7EE2C8" w14:textId="77777777">
      <w:pPr>
        <w:spacing w:line="276" w:lineRule="auto"/>
        <w:jc w:val="both"/>
        <w:rPr>
          <w:rFonts w:ascii="Arial" w:hAnsi="Arial" w:eastAsia="Arial" w:cs="Arial"/>
          <w:sz w:val="22"/>
          <w:szCs w:val="22"/>
        </w:rPr>
      </w:pPr>
    </w:p>
    <w:p w:rsidR="00920015" w:rsidP="00920015" w:rsidRDefault="00920015" w14:paraId="25F70BB7" w14:textId="77777777">
      <w:pPr>
        <w:jc w:val="center"/>
        <w:rPr>
          <w:rFonts w:ascii="Arial" w:hAnsi="Arial" w:eastAsia="Times New Roman" w:cs="Arial"/>
          <w:sz w:val="18"/>
          <w:szCs w:val="20"/>
          <w:lang w:eastAsia="es-CO"/>
        </w:rPr>
      </w:pPr>
    </w:p>
    <w:p w:rsidR="00920015" w:rsidP="104DD1A8" w:rsidRDefault="00920015" w14:paraId="118933F0" w14:textId="1EE4F2F8">
      <w:pPr>
        <w:pStyle w:val="Normal"/>
        <w:jc w:val="center"/>
      </w:pPr>
      <w:r w:rsidR="2FDF2A68">
        <w:drawing>
          <wp:inline wp14:editId="62607EEF" wp14:anchorId="584F86A3">
            <wp:extent cx="2371725" cy="1000125"/>
            <wp:effectExtent l="0" t="0" r="0" b="0"/>
            <wp:docPr id="59813865" name="" title=""/>
            <wp:cNvGraphicFramePr>
              <a:graphicFrameLocks noChangeAspect="1"/>
            </wp:cNvGraphicFramePr>
            <a:graphic>
              <a:graphicData uri="http://schemas.openxmlformats.org/drawingml/2006/picture">
                <pic:pic>
                  <pic:nvPicPr>
                    <pic:cNvPr id="0" name=""/>
                    <pic:cNvPicPr/>
                  </pic:nvPicPr>
                  <pic:blipFill>
                    <a:blip r:embed="Rd5457c80b06244ea">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00920015" w:rsidP="00920015" w:rsidRDefault="00920015" w14:paraId="579A4A77" w14:textId="77777777">
      <w:pPr>
        <w:jc w:val="center"/>
        <w:rPr>
          <w:lang w:val="es-ES"/>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920015" w:rsidTr="00CA3497" w14:paraId="6B6274F8" w14:textId="77777777">
        <w:trPr>
          <w:trHeight w:val="315"/>
        </w:trPr>
        <w:tc>
          <w:tcPr>
            <w:tcW w:w="812" w:type="dxa"/>
            <w:vAlign w:val="center"/>
            <w:hideMark/>
          </w:tcPr>
          <w:p w:rsidR="00920015" w:rsidP="00CA3497" w:rsidRDefault="00920015" w14:paraId="55278D9F"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00920015" w:rsidP="00CA3497" w:rsidRDefault="00920015" w14:paraId="6970F728"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Carlos Mario Castrillon Endo</w:t>
            </w:r>
          </w:p>
          <w:p w:rsidR="00920015" w:rsidP="00CA3497" w:rsidRDefault="00920015" w14:paraId="2DC6B70A"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de la Subdirección de Gestión Contractual</w:t>
            </w:r>
          </w:p>
          <w:p w:rsidR="00920015" w:rsidP="00CA3497" w:rsidRDefault="00920015" w14:paraId="3B68B7A0"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Karlo Fernández Cala </w:t>
            </w:r>
          </w:p>
          <w:p w:rsidR="00920015" w:rsidP="00CA3497" w:rsidRDefault="00920015" w14:paraId="3B59496C"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Gestor T1 – 15 Dirección General </w:t>
            </w:r>
          </w:p>
        </w:tc>
      </w:tr>
      <w:tr w:rsidR="00920015" w:rsidTr="00CA3497" w14:paraId="48A086A3" w14:textId="77777777">
        <w:trPr>
          <w:trHeight w:val="330"/>
        </w:trPr>
        <w:tc>
          <w:tcPr>
            <w:tcW w:w="812" w:type="dxa"/>
            <w:vAlign w:val="center"/>
            <w:hideMark/>
          </w:tcPr>
          <w:p w:rsidR="00920015" w:rsidP="00CA3497" w:rsidRDefault="00920015" w14:paraId="3B2E4BE6"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tcPr>
          <w:p w:rsidR="00920015" w:rsidP="00CA3497" w:rsidRDefault="00920015" w14:paraId="7A228F7E"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Sebastián Ramírez Grisales </w:t>
            </w:r>
          </w:p>
          <w:p w:rsidR="00920015" w:rsidP="00CA3497" w:rsidRDefault="00920015" w14:paraId="1AE7C5EB" w14:textId="43A500B3">
            <w:pPr>
              <w:rPr>
                <w:rFonts w:ascii="Arial" w:hAnsi="Arial" w:cs="Arial"/>
                <w:color w:val="000000" w:themeColor="text1"/>
                <w:sz w:val="16"/>
                <w:szCs w:val="16"/>
                <w:lang w:val="es-ES" w:eastAsia="es-ES"/>
              </w:rPr>
            </w:pPr>
            <w:r w:rsidRPr="000906AC">
              <w:rPr>
                <w:rFonts w:ascii="Arial" w:hAnsi="Arial" w:cs="Arial"/>
                <w:sz w:val="16"/>
                <w:szCs w:val="16"/>
                <w:lang w:eastAsia="es-CO"/>
              </w:rPr>
              <w:t>Gestor T</w:t>
            </w:r>
            <w:r w:rsidR="00346A3D">
              <w:rPr>
                <w:rFonts w:ascii="Arial" w:hAnsi="Arial" w:cs="Arial"/>
                <w:sz w:val="16"/>
                <w:szCs w:val="16"/>
                <w:lang w:eastAsia="es-CO"/>
              </w:rPr>
              <w:t>1</w:t>
            </w:r>
            <w:r>
              <w:rPr>
                <w:rFonts w:ascii="Arial" w:hAnsi="Arial" w:cs="Arial"/>
                <w:sz w:val="16"/>
                <w:szCs w:val="16"/>
                <w:lang w:eastAsia="es-CO"/>
              </w:rPr>
              <w:t xml:space="preserve"> - 15</w:t>
            </w:r>
            <w:r w:rsidR="00D967B0">
              <w:rPr>
                <w:rFonts w:ascii="Arial" w:hAnsi="Arial" w:cs="Arial"/>
                <w:color w:val="000000" w:themeColor="text1"/>
                <w:sz w:val="16"/>
                <w:szCs w:val="16"/>
                <w:lang w:val="es-ES" w:eastAsia="es-ES"/>
              </w:rPr>
              <w:t xml:space="preserve"> de la Subdirección de Gestión Contractual</w:t>
            </w:r>
          </w:p>
        </w:tc>
      </w:tr>
      <w:tr w:rsidR="00920015" w:rsidTr="00CA3497" w14:paraId="7746DEFE" w14:textId="77777777">
        <w:trPr>
          <w:trHeight w:val="300"/>
        </w:trPr>
        <w:tc>
          <w:tcPr>
            <w:tcW w:w="812" w:type="dxa"/>
            <w:vAlign w:val="center"/>
            <w:hideMark/>
          </w:tcPr>
          <w:p w:rsidR="00920015" w:rsidP="00CA3497" w:rsidRDefault="00920015" w14:paraId="5159F2E1"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920015" w:rsidP="00CA3497" w:rsidRDefault="00920015" w14:paraId="02C78F83" w14:textId="0DBC653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Jorge </w:t>
            </w:r>
            <w:r w:rsidR="00233F09">
              <w:rPr>
                <w:rFonts w:ascii="Arial" w:hAnsi="Arial" w:cs="Arial"/>
                <w:color w:val="000000" w:themeColor="text1"/>
                <w:sz w:val="16"/>
                <w:szCs w:val="16"/>
                <w:lang w:val="es-ES" w:eastAsia="es-ES"/>
              </w:rPr>
              <w:t>Augusto</w:t>
            </w:r>
            <w:r>
              <w:rPr>
                <w:rFonts w:ascii="Arial" w:hAnsi="Arial" w:cs="Arial"/>
                <w:color w:val="000000" w:themeColor="text1"/>
                <w:sz w:val="16"/>
                <w:szCs w:val="16"/>
                <w:lang w:val="es-ES" w:eastAsia="es-ES"/>
              </w:rPr>
              <w:t xml:space="preserve"> Tirado Navarro</w:t>
            </w:r>
          </w:p>
          <w:p w:rsidR="00920015" w:rsidP="00CA3497" w:rsidRDefault="00920015" w14:paraId="3CD94C0A" w14:textId="77777777">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Subdirector de Gestión Contractual</w:t>
            </w:r>
          </w:p>
        </w:tc>
      </w:tr>
    </w:tbl>
    <w:p w:rsidR="00A97F4D" w:rsidRDefault="00A97F4D" w14:paraId="6F35F59A" w14:textId="77777777"/>
    <w:sectPr w:rsidR="00A97F4D">
      <w:headerReference w:type="default" r:id="rId9"/>
      <w:footerReference w:type="default" r:id="rId10"/>
      <w:pgSz w:w="12240" w:h="15840" w:orient="portrait"/>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4CAC" w:rsidP="00191267" w:rsidRDefault="002B4CAC" w14:paraId="54DB0A52" w14:textId="77777777">
      <w:r>
        <w:separator/>
      </w:r>
    </w:p>
  </w:endnote>
  <w:endnote w:type="continuationSeparator" w:id="0">
    <w:p w:rsidR="002B4CAC" w:rsidP="00191267" w:rsidRDefault="002B4CAC" w14:paraId="7C2E73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873DF" w:rsidP="003873DF" w:rsidRDefault="003873DF" w14:paraId="1E1F206F" w14:textId="58482372">
    <w:pPr>
      <w:pBdr>
        <w:top w:val="nil"/>
        <w:left w:val="nil"/>
        <w:bottom w:val="nil"/>
        <w:right w:val="nil"/>
        <w:between w:val="nil"/>
      </w:pBdr>
      <w:spacing w:line="120" w:lineRule="auto"/>
      <w:jc w:val="center"/>
      <w:rPr>
        <w:rFonts w:ascii="Arial" w:hAnsi="Arial" w:cs="Arial"/>
        <w:color w:val="000000"/>
        <w:sz w:val="16"/>
        <w:szCs w:val="16"/>
        <w:lang w:val="es-ES"/>
      </w:rPr>
    </w:pPr>
  </w:p>
  <w:p w:rsidR="009D0935" w:rsidP="00CD3593" w:rsidRDefault="009D0935" w14:paraId="6C12F4A1" w14:textId="4D81B7F3">
    <w:pPr>
      <w:pBdr>
        <w:top w:val="nil"/>
        <w:left w:val="nil"/>
        <w:bottom w:val="nil"/>
        <w:right w:val="nil"/>
        <w:between w:val="nil"/>
      </w:pBdr>
      <w:jc w:val="center"/>
      <w:rPr>
        <w:rFonts w:ascii="Arial" w:hAnsi="Arial" w:cs="Arial"/>
        <w:color w:val="000000"/>
        <w:sz w:val="20"/>
        <w:szCs w:val="20"/>
        <w:lang w:val="es-ES"/>
      </w:rPr>
    </w:pPr>
  </w:p>
  <w:p w:rsidRPr="00CD3593" w:rsidR="00FD0AF6" w:rsidP="00CD3593" w:rsidRDefault="00FD0AF6" w14:paraId="047AC7BD" w14:textId="77777777">
    <w:pPr>
      <w:pBdr>
        <w:top w:val="nil"/>
        <w:left w:val="nil"/>
        <w:bottom w:val="nil"/>
        <w:right w:val="nil"/>
        <w:between w:val="nil"/>
      </w:pBdr>
      <w:jc w:val="center"/>
      <w:rPr>
        <w:rFonts w:ascii="Arial" w:hAnsi="Arial" w:cs="Arial"/>
        <w:color w:val="000000"/>
        <w:sz w:val="20"/>
        <w:szCs w:val="20"/>
        <w:lang w:val="es-ES"/>
      </w:rPr>
    </w:pPr>
  </w:p>
  <w:p w:rsidRPr="008217B7" w:rsidR="003873DF" w:rsidP="00CD3593" w:rsidRDefault="003873DF" w14:paraId="3A610B5F" w14:textId="77777777">
    <w:pPr>
      <w:pStyle w:val="Piedepgina"/>
      <w:jc w:val="right"/>
      <w:rPr>
        <w:rFonts w:ascii="Arial" w:hAnsi="Arial" w:cs="Arial"/>
        <w:color w:val="7F7F7F" w:themeColor="text1" w:themeTint="80"/>
        <w:sz w:val="16"/>
        <w:szCs w:val="16"/>
      </w:rPr>
    </w:pPr>
    <w:r w:rsidRPr="00CD3593">
      <w:rPr>
        <w:rFonts w:ascii="Arial" w:hAnsi="Arial" w:cs="Arial"/>
        <w:bCs/>
        <w:color w:val="7F7F7F" w:themeColor="text1" w:themeTint="80"/>
        <w:sz w:val="20"/>
        <w:szCs w:val="20"/>
      </w:rPr>
      <w:t>Página</w:t>
    </w:r>
    <w:r w:rsidRPr="008217B7">
      <w:rPr>
        <w:rFonts w:ascii="Arial" w:hAnsi="Arial" w:cs="Arial"/>
        <w:bCs/>
        <w:color w:val="7F7F7F" w:themeColor="text1" w:themeTint="80"/>
        <w:sz w:val="16"/>
        <w:szCs w:val="16"/>
      </w:rPr>
      <w:t xml:space="preserv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19</w:t>
    </w:r>
    <w:r w:rsidRPr="00084B97">
      <w:rPr>
        <w:rFonts w:ascii="Arial" w:hAnsi="Arial" w:cs="Arial"/>
        <w:b/>
        <w:bCs/>
        <w:color w:val="7F7F7F" w:themeColor="text1" w:themeTint="80"/>
        <w:sz w:val="16"/>
        <w:szCs w:val="16"/>
      </w:rPr>
      <w:fldChar w:fldCharType="end"/>
    </w:r>
  </w:p>
  <w:p w:rsidR="003873DF" w:rsidP="003873DF" w:rsidRDefault="003873DF" w14:paraId="37FE120E" w14:textId="77777777">
    <w:pPr>
      <w:pStyle w:val="Piedepgina"/>
      <w:jc w:val="center"/>
      <w:rPr>
        <w:lang w:val="es-ES"/>
      </w:rPr>
    </w:pPr>
    <w:r w:rsidR="104DD1A8">
      <w:drawing>
        <wp:inline wp14:editId="194FF377" wp14:anchorId="2907750F">
          <wp:extent cx="3700130" cy="519139"/>
          <wp:effectExtent l="0" t="0" r="0" b="0"/>
          <wp:docPr id="937666974" name="Imagen 3" title=""/>
          <wp:cNvGraphicFramePr>
            <a:graphicFrameLocks noChangeAspect="1"/>
          </wp:cNvGraphicFramePr>
          <a:graphic>
            <a:graphicData uri="http://schemas.openxmlformats.org/drawingml/2006/picture">
              <pic:pic>
                <pic:nvPicPr>
                  <pic:cNvPr id="0" name="Imagen 3"/>
                  <pic:cNvPicPr/>
                </pic:nvPicPr>
                <pic:blipFill>
                  <a:blip r:embed="Rbb3a0e14c61542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653A7F" w:rsidP="00F63EA1" w:rsidRDefault="00A40023" w14:paraId="5CE68014" w14:textId="286835F1">
    <w:pPr>
      <w:pBdr>
        <w:top w:val="nil"/>
        <w:left w:val="nil"/>
        <w:bottom w:val="nil"/>
        <w:right w:val="nil"/>
        <w:between w:val="nil"/>
      </w:pBdr>
      <w:tabs>
        <w:tab w:val="center" w:pos="4419"/>
        <w:tab w:val="right" w:pos="8838"/>
      </w:tabs>
      <w:jc w:val="center"/>
      <w:rPr>
        <w:color w:val="000000"/>
      </w:rPr>
    </w:pPr>
  </w:p>
  <w:p w:rsidR="00FD0AF6" w:rsidP="00F63EA1" w:rsidRDefault="00FD0AF6" w14:paraId="40EA15C6" w14:textId="77777777">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4CAC" w:rsidP="00191267" w:rsidRDefault="002B4CAC" w14:paraId="2DBB24D7" w14:textId="77777777">
      <w:r>
        <w:separator/>
      </w:r>
    </w:p>
  </w:footnote>
  <w:footnote w:type="continuationSeparator" w:id="0">
    <w:p w:rsidR="002B4CAC" w:rsidP="00191267" w:rsidRDefault="002B4CAC" w14:paraId="143B58E6" w14:textId="77777777">
      <w:r>
        <w:continuationSeparator/>
      </w:r>
    </w:p>
  </w:footnote>
  <w:footnote w:id="1">
    <w:p w:rsidRPr="00E86699" w:rsidR="00191267" w:rsidP="00191267" w:rsidRDefault="00191267" w14:paraId="51A7EAD8" w14:textId="7777777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Ibid.</w:t>
      </w:r>
    </w:p>
  </w:footnote>
  <w:footnote w:id="2">
    <w:p w:rsidR="00191267" w:rsidP="00191267" w:rsidRDefault="00191267" w14:paraId="31E942DA" w14:textId="77777777">
      <w:pPr>
        <w:pStyle w:val="Textonotapie"/>
        <w:ind w:firstLine="708"/>
        <w:jc w:val="both"/>
        <w:rPr>
          <w:rFonts w:ascii="Arial" w:hAnsi="Arial" w:cs="Arial" w:eastAsiaTheme="minorHAnsi"/>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w:t>
      </w:r>
    </w:p>
    <w:p w:rsidR="00191267" w:rsidP="00191267" w:rsidRDefault="00191267" w14:paraId="5CB66BA0" w14:textId="77777777">
      <w:pPr>
        <w:pStyle w:val="Textonotapie"/>
        <w:ind w:firstLine="708"/>
        <w:jc w:val="both"/>
        <w:rPr>
          <w:rFonts w:ascii="Arial" w:hAnsi="Arial" w:cs="Arial"/>
          <w:sz w:val="19"/>
          <w:szCs w:val="19"/>
        </w:rPr>
      </w:pPr>
      <w:r>
        <w:rPr>
          <w:rFonts w:ascii="Arial" w:hAnsi="Arial" w:cs="Arial"/>
          <w:sz w:val="19"/>
          <w:szCs w:val="19"/>
        </w:rPr>
        <w:t>»La Entidad Estatal puede aceptar que esta garantía tenga una vigencia inferior a cinco (5) años previa justificación técnica de un experto en la materia objeto del contrato».</w:t>
      </w:r>
    </w:p>
    <w:p w:rsidR="00191267" w:rsidP="00191267" w:rsidRDefault="00191267" w14:paraId="5D4BCF6F" w14:textId="77777777">
      <w:pPr>
        <w:pStyle w:val="Textonotapie"/>
        <w:ind w:firstLine="708"/>
        <w:rPr>
          <w:rFonts w:asciiTheme="minorHAnsi" w:hAnsiTheme="minorHAnsi" w:cstheme="minorBidi"/>
          <w:lang w:val="es-CO"/>
        </w:rPr>
      </w:pPr>
    </w:p>
  </w:footnote>
  <w:footnote w:id="3">
    <w:p w:rsidRPr="00DF492B" w:rsidR="00191267" w:rsidP="00191267" w:rsidRDefault="00191267" w14:paraId="4061CE42" w14:textId="77777777">
      <w:pPr>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CONSEJO DE ESTADO. Sección Tercera. Subsección C. Sentencia del 20 de octubre de 2014. Exp. 27.777. C.P. Enrique Gil Botero. Allí se explicó lo siguiente: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rsidRPr="00DF492B" w:rsidR="00191267" w:rsidP="00191267" w:rsidRDefault="00191267" w14:paraId="03329A43" w14:textId="77777777">
      <w:pPr>
        <w:pStyle w:val="Textonotapie"/>
        <w:ind w:firstLine="708"/>
        <w:jc w:val="both"/>
        <w:rPr>
          <w:rFonts w:ascii="Arial" w:hAnsi="Arial" w:cs="Arial"/>
          <w:sz w:val="19"/>
          <w:szCs w:val="19"/>
          <w:lang w:val="es-ES"/>
        </w:rPr>
      </w:pPr>
    </w:p>
  </w:footnote>
  <w:footnote w:id="4">
    <w:p w:rsidRPr="00DF492B" w:rsidR="00191267" w:rsidP="00191267" w:rsidRDefault="00191267" w14:paraId="4754BF7A" w14:textId="77777777">
      <w:pPr>
        <w:pStyle w:val="Textonotapie"/>
        <w:ind w:firstLine="708"/>
        <w:jc w:val="both"/>
        <w:rPr>
          <w:rFonts w:ascii="Arial" w:hAnsi="Arial" w:cs="Arial"/>
          <w:sz w:val="19"/>
          <w:szCs w:val="19"/>
        </w:rPr>
      </w:pPr>
      <w:r w:rsidRPr="00DF492B">
        <w:rPr>
          <w:rFonts w:ascii="Arial" w:hAnsi="Arial" w:cs="Arial"/>
          <w:sz w:val="19"/>
          <w:szCs w:val="19"/>
          <w:vertAlign w:val="superscript"/>
        </w:rPr>
        <w:footnoteRef/>
      </w:r>
      <w:r w:rsidRPr="00DF492B">
        <w:rPr>
          <w:rFonts w:ascii="Arial" w:hAnsi="Arial" w:cs="Arial"/>
          <w:sz w:val="19"/>
          <w:szCs w:val="19"/>
          <w:vertAlign w:val="superscript"/>
        </w:rPr>
        <w:t xml:space="preserve"> «</w:t>
      </w:r>
      <w:r w:rsidRPr="00DF492B">
        <w:rPr>
          <w:rFonts w:ascii="Arial" w:hAnsi="Arial" w:cs="Arial"/>
          <w:sz w:val="19"/>
          <w:szCs w:val="19"/>
        </w:rPr>
        <w:t>Artículo 60. De la ocurrencia y contenido de la liquidación. […]</w:t>
      </w:r>
    </w:p>
    <w:p w:rsidRPr="00DF492B" w:rsidR="00191267" w:rsidP="00191267" w:rsidRDefault="00191267" w14:paraId="19427B93" w14:textId="77777777">
      <w:pPr>
        <w:pStyle w:val="Textonotapie"/>
        <w:ind w:firstLine="708"/>
        <w:jc w:val="both"/>
        <w:rPr>
          <w:rFonts w:ascii="Arial" w:hAnsi="Arial" w:cs="Arial"/>
          <w:sz w:val="19"/>
          <w:szCs w:val="19"/>
        </w:rPr>
      </w:pPr>
      <w:r w:rsidRPr="00DF492B">
        <w:rPr>
          <w:rFonts w:ascii="Arial" w:hAnsi="Arial" w:cs="Arial"/>
          <w:sz w:val="19"/>
          <w:szCs w:val="19"/>
        </w:rPr>
        <w:t>»En el acta de liquidación constarán los acuerdos, conciliaciones y transacciones a que llegaren las partes para poner fin a las divergencias presentadas y poder declararse a paz y salvo».</w:t>
      </w:r>
    </w:p>
    <w:p w:rsidRPr="00DF492B" w:rsidR="00191267" w:rsidP="00191267" w:rsidRDefault="00191267" w14:paraId="268B6F20" w14:textId="77777777">
      <w:pPr>
        <w:pStyle w:val="Textonotapie"/>
        <w:jc w:val="both"/>
        <w:rPr>
          <w:rFonts w:ascii="Arial" w:hAnsi="Arial" w:cs="Arial"/>
          <w:sz w:val="19"/>
          <w:szCs w:val="19"/>
        </w:rPr>
      </w:pPr>
    </w:p>
  </w:footnote>
  <w:footnote w:id="5">
    <w:p w:rsidRPr="00DF492B" w:rsidR="00191267" w:rsidP="00191267" w:rsidRDefault="00191267" w14:paraId="1195BFE2" w14:textId="0F83DFD3">
      <w:pPr>
        <w:pStyle w:val="Textonotapie"/>
        <w:ind w:firstLine="708"/>
        <w:jc w:val="both"/>
        <w:rPr>
          <w:rFonts w:ascii="Arial" w:hAnsi="Arial" w:cs="Arial"/>
          <w:sz w:val="19"/>
          <w:szCs w:val="19"/>
          <w:lang w:val="es-ES"/>
        </w:rPr>
      </w:pPr>
      <w:r w:rsidRPr="00DF492B">
        <w:rPr>
          <w:rStyle w:val="Refdenotaalpie"/>
          <w:rFonts w:ascii="Arial" w:hAnsi="Arial" w:cs="Arial"/>
          <w:sz w:val="19"/>
          <w:szCs w:val="19"/>
        </w:rPr>
        <w:footnoteRef/>
      </w:r>
      <w:r w:rsidRPr="00DF492B">
        <w:rPr>
          <w:rFonts w:ascii="Arial" w:hAnsi="Arial" w:cs="Arial"/>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footnote>
  <w:footnote w:id="6">
    <w:p w:rsidRPr="00DF492B" w:rsidR="00191267" w:rsidP="00191267" w:rsidRDefault="00191267" w14:paraId="38EF0330" w14:textId="6A3E65F3">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Es importante advertir que durante estos dos meses </w:t>
      </w:r>
      <w:r w:rsidR="00F679B1">
        <w:rPr>
          <w:rFonts w:ascii="Arial" w:hAnsi="Arial" w:cs="Arial"/>
          <w:sz w:val="19"/>
          <w:szCs w:val="19"/>
        </w:rPr>
        <w:t xml:space="preserve">también </w:t>
      </w:r>
      <w:r w:rsidRPr="00DF492B">
        <w:rPr>
          <w:rFonts w:ascii="Arial" w:hAnsi="Arial" w:cs="Arial"/>
          <w:sz w:val="19"/>
          <w:szCs w:val="19"/>
        </w:rPr>
        <w:t xml:space="preserve">se podrá realizar una liquidación bilateral, esto es, de mutuo acuerdo, lo cual significa que el plazo para </w:t>
      </w:r>
      <w:r w:rsidR="00F679B1">
        <w:rPr>
          <w:rFonts w:ascii="Arial" w:hAnsi="Arial" w:cs="Arial"/>
          <w:sz w:val="19"/>
          <w:szCs w:val="19"/>
        </w:rPr>
        <w:t>realizar</w:t>
      </w:r>
      <w:r w:rsidRPr="00DF492B" w:rsidR="00F679B1">
        <w:rPr>
          <w:rFonts w:ascii="Arial" w:hAnsi="Arial" w:cs="Arial"/>
          <w:sz w:val="19"/>
          <w:szCs w:val="19"/>
        </w:rPr>
        <w:t xml:space="preserve"> </w:t>
      </w:r>
      <w:r w:rsidRPr="00DF492B">
        <w:rPr>
          <w:rFonts w:ascii="Arial" w:hAnsi="Arial" w:cs="Arial"/>
          <w:sz w:val="19"/>
          <w:szCs w:val="19"/>
        </w:rPr>
        <w:t>la liquidación bilateral no es un término perentorio.</w:t>
      </w:r>
    </w:p>
    <w:p w:rsidRPr="00DF492B" w:rsidR="00191267" w:rsidP="00191267" w:rsidRDefault="00191267" w14:paraId="445A2A38" w14:textId="77777777">
      <w:pPr>
        <w:pStyle w:val="Textonotapie"/>
        <w:ind w:firstLine="708"/>
        <w:jc w:val="both"/>
        <w:rPr>
          <w:rFonts w:ascii="Arial" w:hAnsi="Arial" w:cs="Arial"/>
          <w:sz w:val="19"/>
          <w:szCs w:val="19"/>
          <w:lang w:val="es-ES"/>
        </w:rPr>
      </w:pPr>
    </w:p>
  </w:footnote>
  <w:footnote w:id="7">
    <w:p w:rsidRPr="00DF492B" w:rsidR="00191267" w:rsidP="00191267" w:rsidRDefault="00191267" w14:paraId="521281C1" w14:textId="77777777">
      <w:pPr>
        <w:jc w:val="both"/>
        <w:rPr>
          <w:rFonts w:ascii="Arial" w:hAnsi="Arial" w:cs="Arial"/>
          <w:sz w:val="19"/>
          <w:szCs w:val="19"/>
          <w:lang w:val="es-CO"/>
        </w:rPr>
      </w:pPr>
      <w:r w:rsidRPr="00DF492B">
        <w:rPr>
          <w:rFonts w:ascii="Arial" w:hAnsi="Arial" w:cs="Arial"/>
          <w:sz w:val="19"/>
          <w:szCs w:val="19"/>
        </w:rPr>
        <w:tab/>
      </w:r>
      <w:r w:rsidRPr="00DF492B">
        <w:rPr>
          <w:rStyle w:val="Refdenotaalpie"/>
          <w:rFonts w:ascii="Arial" w:hAnsi="Arial" w:cs="Arial"/>
          <w:sz w:val="19"/>
          <w:szCs w:val="19"/>
        </w:rPr>
        <w:footnoteRef/>
      </w:r>
      <w:r w:rsidRPr="00DF492B">
        <w:rPr>
          <w:rFonts w:ascii="Arial" w:hAnsi="Arial" w:cs="Arial"/>
          <w:sz w:val="19"/>
          <w:szCs w:val="19"/>
        </w:rPr>
        <w:t xml:space="preserve"> No hay que esperar a que culmine el plazo para liquidar bilateralmente si se materializan los supuestos de hecho contenidos en el artículo 11 de la Ley 1150 de 2007, según los cuales si «[…] el contratista no se present</w:t>
      </w:r>
      <w:r>
        <w:rPr>
          <w:rFonts w:ascii="Arial" w:hAnsi="Arial" w:cs="Arial"/>
          <w:sz w:val="19"/>
          <w:szCs w:val="19"/>
        </w:rPr>
        <w:t>[</w:t>
      </w:r>
      <w:r w:rsidRPr="00DF492B">
        <w:rPr>
          <w:rFonts w:ascii="Arial" w:hAnsi="Arial" w:cs="Arial"/>
          <w:sz w:val="19"/>
          <w:szCs w:val="19"/>
        </w:rPr>
        <w:t>a</w:t>
      </w:r>
      <w:r>
        <w:rPr>
          <w:rFonts w:ascii="Arial" w:hAnsi="Arial" w:cs="Arial"/>
          <w:sz w:val="19"/>
          <w:szCs w:val="19"/>
        </w:rPr>
        <w:t>]</w:t>
      </w:r>
      <w:r w:rsidRPr="00DF492B">
        <w:rPr>
          <w:rFonts w:ascii="Arial" w:hAnsi="Arial" w:cs="Arial"/>
          <w:sz w:val="19"/>
          <w:szCs w:val="19"/>
        </w:rPr>
        <w:t xml:space="preserve"> a la liquidación previa notificación o convocatoria que le haga la entidad, o las partes no lleguen a un acuerdo sobre su contenido, la entidad tendrá la facultad de liquidar en forma unilateral dentro de los dos (2) meses siguientes […]».</w:t>
      </w:r>
    </w:p>
    <w:p w:rsidRPr="00DF492B" w:rsidR="00191267" w:rsidP="00191267" w:rsidRDefault="00191267" w14:paraId="2B08BA08" w14:textId="77777777">
      <w:pPr>
        <w:pStyle w:val="Textonotapie"/>
        <w:jc w:val="both"/>
        <w:rPr>
          <w:rFonts w:ascii="Arial" w:hAnsi="Arial" w:cs="Arial"/>
          <w:sz w:val="19"/>
          <w:szCs w:val="19"/>
          <w:lang w:val="es-ES"/>
        </w:rPr>
      </w:pPr>
    </w:p>
  </w:footnote>
  <w:footnote w:id="8">
    <w:p w:rsidRPr="00DF492B" w:rsidR="00191267" w:rsidP="00191267" w:rsidRDefault="00191267" w14:paraId="08D5947C" w14:textId="77777777">
      <w:pPr>
        <w:pStyle w:val="Textonotapie"/>
        <w:ind w:firstLine="708"/>
        <w:jc w:val="both"/>
        <w:rPr>
          <w:rFonts w:ascii="Arial" w:hAnsi="Arial" w:cs="Arial"/>
          <w:sz w:val="19"/>
          <w:szCs w:val="19"/>
          <w:lang w:val="es-CO"/>
        </w:rPr>
      </w:pPr>
      <w:r w:rsidRPr="00DF492B">
        <w:rPr>
          <w:rStyle w:val="Refdenotaalpie"/>
          <w:rFonts w:ascii="Arial" w:hAnsi="Arial" w:cs="Arial"/>
          <w:sz w:val="19"/>
          <w:szCs w:val="19"/>
        </w:rPr>
        <w:footnoteRef/>
      </w:r>
      <w:r w:rsidRPr="00DF492B">
        <w:rPr>
          <w:rFonts w:ascii="Arial" w:hAnsi="Arial" w:cs="Arial"/>
          <w:sz w:val="19"/>
          <w:szCs w:val="19"/>
        </w:rPr>
        <w:t xml:space="preserve"> CONSEJO DE ESTADO. Sala de Consulta y Servicio Civil. Concepto del 9 de marzo de 2000. Exp. 1.254. C.P. Augusto Trejos Jaramillo. </w:t>
      </w:r>
    </w:p>
  </w:footnote>
  <w:footnote w:id="9">
    <w:p w:rsidRPr="00D85D2F" w:rsidR="00692334" w:rsidP="00692334" w:rsidRDefault="00692334" w14:paraId="29E5A7E0" w14:textId="77777777">
      <w:pPr>
        <w:pStyle w:val="Textonotapie"/>
        <w:ind w:firstLine="708"/>
        <w:jc w:val="both"/>
        <w:rPr>
          <w:rFonts w:ascii="Arial" w:hAnsi="Arial" w:cs="Arial"/>
          <w:color w:val="000000" w:themeColor="text1"/>
          <w:sz w:val="19"/>
          <w:szCs w:val="19"/>
        </w:rPr>
      </w:pPr>
      <w:r w:rsidRPr="00D85D2F">
        <w:rPr>
          <w:rStyle w:val="Refdenotaalpie"/>
          <w:rFonts w:ascii="Arial" w:hAnsi="Arial" w:cs="Arial"/>
          <w:color w:val="000000" w:themeColor="text1"/>
          <w:sz w:val="19"/>
          <w:szCs w:val="19"/>
        </w:rPr>
        <w:footnoteRef/>
      </w:r>
      <w:r w:rsidRPr="00D85D2F">
        <w:rPr>
          <w:rStyle w:val="Refdenotaalpie"/>
          <w:rFonts w:ascii="Arial" w:hAnsi="Arial" w:cs="Arial"/>
          <w:color w:val="000000" w:themeColor="text1"/>
          <w:sz w:val="19"/>
          <w:szCs w:val="19"/>
        </w:rPr>
        <w:t xml:space="preserve"> </w:t>
      </w:r>
      <w:r w:rsidRPr="00D85D2F">
        <w:rPr>
          <w:rFonts w:ascii="Arial" w:hAnsi="Arial" w:cs="Arial"/>
          <w:color w:val="000000" w:themeColor="text1"/>
          <w:sz w:val="19"/>
          <w:szCs w:val="19"/>
        </w:rPr>
        <w:t>Código Civil,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p w:rsidRPr="00D85D2F" w:rsidR="00692334" w:rsidP="00692334" w:rsidRDefault="00692334" w14:paraId="6A66165D" w14:textId="77777777">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53A7F" w:rsidRDefault="00D967B0" w14:paraId="04AE08C8" w14:textId="77777777">
    <w:pPr>
      <w:pBdr>
        <w:top w:val="nil"/>
        <w:left w:val="nil"/>
        <w:bottom w:val="nil"/>
        <w:right w:val="nil"/>
        <w:between w:val="nil"/>
      </w:pBdr>
      <w:tabs>
        <w:tab w:val="center" w:pos="4252"/>
        <w:tab w:val="right" w:pos="8504"/>
      </w:tabs>
      <w:rPr>
        <w:color w:val="000000"/>
      </w:rPr>
    </w:pPr>
    <w:r>
      <w:rPr>
        <w:noProof/>
        <w:lang w:val="en-US" w:eastAsia="en-US"/>
      </w:rPr>
      <w:drawing>
        <wp:anchor distT="0" distB="0" distL="114300" distR="114300" simplePos="0" relativeHeight="251659264" behindDoc="0" locked="0" layoutInCell="1" hidden="0" allowOverlap="1" wp14:anchorId="68D0A37A" wp14:editId="271C6D64">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r w:rsidR="104DD1A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305A5"/>
    <w:multiLevelType w:val="hybridMultilevel"/>
    <w:tmpl w:val="AD8A2C7C"/>
    <w:lvl w:ilvl="0" w:tplc="2EEA3110">
      <w:start w:val="1"/>
      <w:numFmt w:val="lowerRoman"/>
      <w:lvlText w:val="%1)"/>
      <w:lvlJc w:val="left"/>
      <w:pPr>
        <w:ind w:left="1080" w:hanging="720"/>
      </w:pPr>
      <w:rPr>
        <w:rFonts w:hint="default" w:eastAsia="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6E5BE7"/>
    <w:multiLevelType w:val="hybridMultilevel"/>
    <w:tmpl w:val="BC8244AA"/>
    <w:lvl w:ilvl="0">
      <w:start w:val="1"/>
      <w:numFmt w:val="decimal"/>
      <w:pStyle w:val="Captulo7"/>
      <w:lvlText w:val="7.%1."/>
      <w:lvlJc w:val="left"/>
      <w:pPr>
        <w:ind w:left="360" w:hanging="360"/>
      </w:pPr>
      <w:rPr>
        <w:rFonts w:hint="default"/>
      </w:rPr>
    </w:lvl>
    <w:lvl w:ilvl="1">
      <w:start w:val="1"/>
      <w:numFmt w:val="decimal"/>
      <w:lvlText w:val="7.2.%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976F38"/>
    <w:multiLevelType w:val="multilevel"/>
    <w:tmpl w:val="1FB266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67"/>
    <w:rsid w:val="00083446"/>
    <w:rsid w:val="000A440E"/>
    <w:rsid w:val="000D1062"/>
    <w:rsid w:val="000E4632"/>
    <w:rsid w:val="00123760"/>
    <w:rsid w:val="00191267"/>
    <w:rsid w:val="00196FAB"/>
    <w:rsid w:val="001C0B2F"/>
    <w:rsid w:val="00226256"/>
    <w:rsid w:val="00233F09"/>
    <w:rsid w:val="002B4CAC"/>
    <w:rsid w:val="002C4812"/>
    <w:rsid w:val="00346A3D"/>
    <w:rsid w:val="00352F90"/>
    <w:rsid w:val="0036359E"/>
    <w:rsid w:val="003751FF"/>
    <w:rsid w:val="003873DF"/>
    <w:rsid w:val="004546B8"/>
    <w:rsid w:val="004C0F56"/>
    <w:rsid w:val="004E1829"/>
    <w:rsid w:val="0053011E"/>
    <w:rsid w:val="00530705"/>
    <w:rsid w:val="00555381"/>
    <w:rsid w:val="005700D3"/>
    <w:rsid w:val="00574C9B"/>
    <w:rsid w:val="00581F92"/>
    <w:rsid w:val="005A7CD7"/>
    <w:rsid w:val="00643430"/>
    <w:rsid w:val="00692334"/>
    <w:rsid w:val="006A67C9"/>
    <w:rsid w:val="00725421"/>
    <w:rsid w:val="00757D7F"/>
    <w:rsid w:val="00765349"/>
    <w:rsid w:val="00765F00"/>
    <w:rsid w:val="007D584D"/>
    <w:rsid w:val="007E1BB5"/>
    <w:rsid w:val="00815280"/>
    <w:rsid w:val="00896421"/>
    <w:rsid w:val="008A07B5"/>
    <w:rsid w:val="008A41E4"/>
    <w:rsid w:val="008D40BC"/>
    <w:rsid w:val="00920015"/>
    <w:rsid w:val="00974D77"/>
    <w:rsid w:val="009905AD"/>
    <w:rsid w:val="009A6D45"/>
    <w:rsid w:val="009C0DD0"/>
    <w:rsid w:val="009D0935"/>
    <w:rsid w:val="00A102F9"/>
    <w:rsid w:val="00A344B6"/>
    <w:rsid w:val="00A40023"/>
    <w:rsid w:val="00A7115B"/>
    <w:rsid w:val="00A97F4D"/>
    <w:rsid w:val="00B32400"/>
    <w:rsid w:val="00BF6F79"/>
    <w:rsid w:val="00CD3593"/>
    <w:rsid w:val="00D21EB4"/>
    <w:rsid w:val="00D342A3"/>
    <w:rsid w:val="00D8415B"/>
    <w:rsid w:val="00D967B0"/>
    <w:rsid w:val="00DA65A6"/>
    <w:rsid w:val="00E20160"/>
    <w:rsid w:val="00E62874"/>
    <w:rsid w:val="00E7750A"/>
    <w:rsid w:val="00F13234"/>
    <w:rsid w:val="00F230AF"/>
    <w:rsid w:val="00F532F9"/>
    <w:rsid w:val="00F679B1"/>
    <w:rsid w:val="00FD0AF6"/>
    <w:rsid w:val="00FE4CF9"/>
    <w:rsid w:val="00FE7970"/>
    <w:rsid w:val="00FF63B4"/>
    <w:rsid w:val="104DD1A8"/>
    <w:rsid w:val="2FDF2A6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7BCDD"/>
  <w15:chartTrackingRefBased/>
  <w15:docId w15:val="{FEF2434F-EB60-4488-89BD-F6078F8241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1267"/>
    <w:pPr>
      <w:spacing w:after="0" w:line="240" w:lineRule="auto"/>
    </w:pPr>
    <w:rPr>
      <w:rFonts w:ascii="Calibri" w:hAnsi="Calibri" w:eastAsia="Calibri" w:cs="Calibri"/>
      <w:sz w:val="24"/>
      <w:szCs w:val="24"/>
      <w:lang w:val="es-MX"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191267"/>
    <w:rPr>
      <w:sz w:val="20"/>
      <w:szCs w:val="20"/>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rsid w:val="00191267"/>
    <w:rPr>
      <w:rFonts w:ascii="Calibri" w:hAnsi="Calibri" w:eastAsia="Calibri" w:cs="Calibri"/>
      <w:sz w:val="20"/>
      <w:szCs w:val="20"/>
      <w:lang w:val="es-MX" w:eastAsia="es-ES_tradnl"/>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191267"/>
    <w:rPr>
      <w:vertAlign w:val="superscript"/>
    </w:rPr>
  </w:style>
  <w:style w:type="paragraph" w:styleId="Default" w:customStyle="1">
    <w:name w:val="Default"/>
    <w:rsid w:val="00191267"/>
    <w:pPr>
      <w:autoSpaceDE w:val="0"/>
      <w:autoSpaceDN w:val="0"/>
      <w:adjustRightInd w:val="0"/>
      <w:spacing w:after="0" w:line="240" w:lineRule="auto"/>
    </w:pPr>
    <w:rPr>
      <w:rFonts w:ascii="Arial" w:hAnsi="Arial" w:eastAsia="Calibri" w:cs="Arial"/>
      <w:color w:val="000000"/>
      <w:sz w:val="24"/>
      <w:szCs w:val="24"/>
      <w:lang w:eastAsia="es-ES_tradnl"/>
    </w:rPr>
  </w:style>
  <w:style w:type="paragraph" w:styleId="Prrafodelista">
    <w:name w:val="List Paragraph"/>
    <w:basedOn w:val="Normal"/>
    <w:uiPriority w:val="34"/>
    <w:qFormat/>
    <w:rsid w:val="00191267"/>
    <w:pPr>
      <w:ind w:left="720"/>
      <w:contextualSpacing/>
    </w:pPr>
  </w:style>
  <w:style w:type="character" w:styleId="Refdecomentario">
    <w:name w:val="annotation reference"/>
    <w:basedOn w:val="Fuentedeprrafopredeter"/>
    <w:uiPriority w:val="99"/>
    <w:semiHidden/>
    <w:unhideWhenUsed/>
    <w:rsid w:val="00DA65A6"/>
    <w:rPr>
      <w:sz w:val="16"/>
      <w:szCs w:val="16"/>
    </w:rPr>
  </w:style>
  <w:style w:type="paragraph" w:styleId="Textocomentario">
    <w:name w:val="annotation text"/>
    <w:basedOn w:val="Normal"/>
    <w:link w:val="TextocomentarioCar"/>
    <w:uiPriority w:val="99"/>
    <w:semiHidden/>
    <w:unhideWhenUsed/>
    <w:rsid w:val="00DA65A6"/>
    <w:rPr>
      <w:sz w:val="20"/>
      <w:szCs w:val="20"/>
    </w:rPr>
  </w:style>
  <w:style w:type="character" w:styleId="TextocomentarioCar" w:customStyle="1">
    <w:name w:val="Texto comentario Car"/>
    <w:basedOn w:val="Fuentedeprrafopredeter"/>
    <w:link w:val="Textocomentario"/>
    <w:uiPriority w:val="99"/>
    <w:semiHidden/>
    <w:rsid w:val="00DA65A6"/>
    <w:rPr>
      <w:rFonts w:ascii="Calibri" w:hAnsi="Calibri" w:eastAsia="Calibri" w:cs="Calibri"/>
      <w:sz w:val="20"/>
      <w:szCs w:val="20"/>
      <w:lang w:val="es-MX" w:eastAsia="es-ES_tradnl"/>
    </w:rPr>
  </w:style>
  <w:style w:type="paragraph" w:styleId="Asuntodelcomentario">
    <w:name w:val="annotation subject"/>
    <w:basedOn w:val="Textocomentario"/>
    <w:next w:val="Textocomentario"/>
    <w:link w:val="AsuntodelcomentarioCar"/>
    <w:uiPriority w:val="99"/>
    <w:semiHidden/>
    <w:unhideWhenUsed/>
    <w:rsid w:val="00DA65A6"/>
    <w:rPr>
      <w:b/>
      <w:bCs/>
    </w:rPr>
  </w:style>
  <w:style w:type="character" w:styleId="AsuntodelcomentarioCar" w:customStyle="1">
    <w:name w:val="Asunto del comentario Car"/>
    <w:basedOn w:val="TextocomentarioCar"/>
    <w:link w:val="Asuntodelcomentario"/>
    <w:uiPriority w:val="99"/>
    <w:semiHidden/>
    <w:rsid w:val="00DA65A6"/>
    <w:rPr>
      <w:rFonts w:ascii="Calibri" w:hAnsi="Calibri" w:eastAsia="Calibri" w:cs="Calibri"/>
      <w:b/>
      <w:bCs/>
      <w:sz w:val="20"/>
      <w:szCs w:val="20"/>
      <w:lang w:val="es-MX" w:eastAsia="es-ES_tradnl"/>
    </w:rPr>
  </w:style>
  <w:style w:type="paragraph" w:styleId="Textodeglobo">
    <w:name w:val="Balloon Text"/>
    <w:basedOn w:val="Normal"/>
    <w:link w:val="TextodegloboCar"/>
    <w:uiPriority w:val="99"/>
    <w:semiHidden/>
    <w:unhideWhenUsed/>
    <w:rsid w:val="00DA65A6"/>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A65A6"/>
    <w:rPr>
      <w:rFonts w:ascii="Segoe UI" w:hAnsi="Segoe UI" w:eastAsia="Calibri" w:cs="Segoe UI"/>
      <w:sz w:val="18"/>
      <w:szCs w:val="18"/>
      <w:lang w:val="es-MX" w:eastAsia="es-ES_tradnl"/>
    </w:rPr>
  </w:style>
  <w:style w:type="paragraph" w:styleId="Sinespaciado">
    <w:name w:val="No Spacing"/>
    <w:aliases w:val="No Indent"/>
    <w:uiPriority w:val="1"/>
    <w:qFormat/>
    <w:rsid w:val="00692334"/>
    <w:pPr>
      <w:spacing w:after="0" w:line="240" w:lineRule="auto"/>
    </w:pPr>
    <w:rPr>
      <w:sz w:val="24"/>
      <w:lang w:val="es-MX"/>
    </w:rPr>
  </w:style>
  <w:style w:type="paragraph" w:styleId="Captulo7" w:customStyle="1">
    <w:name w:val="Capítulo 7"/>
    <w:basedOn w:val="Prrafodelista"/>
    <w:qFormat/>
    <w:rsid w:val="00692334"/>
    <w:pPr>
      <w:numPr>
        <w:numId w:val="3"/>
      </w:numPr>
      <w:spacing w:after="200" w:line="276" w:lineRule="auto"/>
    </w:pPr>
    <w:rPr>
      <w:rFonts w:ascii="Arial" w:hAnsi="Arial" w:cs="Arial"/>
      <w:b/>
      <w:bCs/>
      <w:color w:val="1C1C1C"/>
      <w:sz w:val="20"/>
      <w:szCs w:val="20"/>
      <w:lang w:val="es-CO" w:eastAsia="en-US"/>
    </w:rPr>
  </w:style>
  <w:style w:type="paragraph" w:styleId="Clusula10" w:customStyle="1">
    <w:name w:val="Cláusula 10"/>
    <w:basedOn w:val="Normal"/>
    <w:qFormat/>
    <w:rsid w:val="00692334"/>
    <w:pPr>
      <w:numPr>
        <w:numId w:val="4"/>
      </w:numPr>
      <w:ind w:left="680" w:firstLine="0"/>
      <w:jc w:val="both"/>
    </w:pPr>
    <w:rPr>
      <w:rFonts w:asciiTheme="minorHAnsi" w:hAnsiTheme="minorHAnsi" w:eastAsiaTheme="minorHAnsi" w:cstheme="minorBidi"/>
      <w:color w:val="AEAAAA" w:themeColor="background2" w:themeShade="BF"/>
      <w:sz w:val="20"/>
      <w:szCs w:val="22"/>
      <w:lang w:eastAsia="en-US"/>
    </w:rPr>
  </w:style>
  <w:style w:type="table" w:styleId="Tablaconcuadrcula">
    <w:name w:val="Table Grid"/>
    <w:basedOn w:val="Tablanormal"/>
    <w:uiPriority w:val="39"/>
    <w:rsid w:val="009200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3873DF"/>
    <w:pPr>
      <w:tabs>
        <w:tab w:val="center" w:pos="4419"/>
        <w:tab w:val="right" w:pos="8838"/>
      </w:tabs>
    </w:pPr>
  </w:style>
  <w:style w:type="character" w:styleId="EncabezadoCar" w:customStyle="1">
    <w:name w:val="Encabezado Car"/>
    <w:basedOn w:val="Fuentedeprrafopredeter"/>
    <w:link w:val="Encabezado"/>
    <w:uiPriority w:val="99"/>
    <w:rsid w:val="003873DF"/>
    <w:rPr>
      <w:rFonts w:ascii="Calibri" w:hAnsi="Calibri" w:eastAsia="Calibri" w:cs="Calibri"/>
      <w:sz w:val="24"/>
      <w:szCs w:val="24"/>
      <w:lang w:val="es-MX" w:eastAsia="es-ES_tradnl"/>
    </w:rPr>
  </w:style>
  <w:style w:type="paragraph" w:styleId="Piedepgina">
    <w:name w:val="footer"/>
    <w:basedOn w:val="Normal"/>
    <w:link w:val="PiedepginaCar"/>
    <w:uiPriority w:val="99"/>
    <w:unhideWhenUsed/>
    <w:rsid w:val="003873DF"/>
    <w:pPr>
      <w:tabs>
        <w:tab w:val="center" w:pos="4419"/>
        <w:tab w:val="right" w:pos="8838"/>
      </w:tabs>
    </w:pPr>
  </w:style>
  <w:style w:type="character" w:styleId="PiedepginaCar" w:customStyle="1">
    <w:name w:val="Pie de página Car"/>
    <w:basedOn w:val="Fuentedeprrafopredeter"/>
    <w:link w:val="Piedepgina"/>
    <w:uiPriority w:val="99"/>
    <w:rsid w:val="003873DF"/>
    <w:rPr>
      <w:rFonts w:ascii="Calibri" w:hAnsi="Calibri" w:eastAsia="Calibri" w:cs="Calibri"/>
      <w:sz w:val="24"/>
      <w:szCs w:val="24"/>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image" Target="/media/image4.png" Id="Rd5457c80b06244ea" /></Relationships>
</file>

<file path=word/_rels/footer1.xml.rels>&#65279;<?xml version="1.0" encoding="utf-8"?><Relationships xmlns="http://schemas.openxmlformats.org/package/2006/relationships"><Relationship Type="http://schemas.openxmlformats.org/officeDocument/2006/relationships/image" Target="/media/image5.png" Id="Rbb3a0e14c615423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1893FF9-E76F-4AD3-A998-5939B4573DC2}">
  <ds:schemaRefs>
    <ds:schemaRef ds:uri="http://schemas.openxmlformats.org/officeDocument/2006/bibliography"/>
  </ds:schemaRefs>
</ds:datastoreItem>
</file>

<file path=customXml/itemProps2.xml><?xml version="1.0" encoding="utf-8"?>
<ds:datastoreItem xmlns:ds="http://schemas.openxmlformats.org/officeDocument/2006/customXml" ds:itemID="{0E504701-600B-4C39-ACEC-2DC175C7F35A}"/>
</file>

<file path=customXml/itemProps3.xml><?xml version="1.0" encoding="utf-8"?>
<ds:datastoreItem xmlns:ds="http://schemas.openxmlformats.org/officeDocument/2006/customXml" ds:itemID="{0BCD8E56-11FB-465E-9E09-229FF67F5272}"/>
</file>

<file path=customXml/itemProps4.xml><?xml version="1.0" encoding="utf-8"?>
<ds:datastoreItem xmlns:ds="http://schemas.openxmlformats.org/officeDocument/2006/customXml" ds:itemID="{586019DD-F9CB-4F24-B40F-2EB847A6CB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Manuel Castillo López</dc:creator>
  <keywords/>
  <dc:description/>
  <lastModifiedBy>Nina María Padrón</lastModifiedBy>
  <revision>9</revision>
  <dcterms:created xsi:type="dcterms:W3CDTF">2020-12-15T01:32:00.0000000Z</dcterms:created>
  <dcterms:modified xsi:type="dcterms:W3CDTF">2021-01-12T16:15:37.2273418Z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