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77621" w:rsidR="005A79FE" w:rsidP="001E053F" w:rsidRDefault="005A79FE" w14:paraId="21F87225" w14:textId="3066CD13">
      <w:pPr>
        <w:spacing w:line="276" w:lineRule="auto"/>
        <w:jc w:val="right"/>
        <w:rPr>
          <w:rFonts w:ascii="Arial" w:hAnsi="Arial" w:eastAsia="Calibri" w:cs="Arial"/>
          <w:b/>
          <w:sz w:val="18"/>
          <w:szCs w:val="18"/>
        </w:rPr>
      </w:pPr>
      <w:r w:rsidRPr="00577621">
        <w:rPr>
          <w:rFonts w:ascii="Arial" w:hAnsi="Arial" w:cs="Arial"/>
          <w:sz w:val="18"/>
          <w:szCs w:val="18"/>
        </w:rPr>
        <w:t>CCE-DES-FM-17</w:t>
      </w:r>
    </w:p>
    <w:p w:rsidRPr="00C50586" w:rsidR="005A79FE" w:rsidP="00841FF1" w:rsidRDefault="00C74B91" w14:paraId="3ED48AA9" w14:textId="46397E4E">
      <w:pPr>
        <w:jc w:val="both"/>
        <w:rPr>
          <w:rFonts w:ascii="Arial" w:hAnsi="Arial" w:eastAsia="Calibri" w:cs="Arial"/>
          <w:b/>
          <w:sz w:val="22"/>
        </w:rPr>
      </w:pPr>
      <w:r w:rsidRPr="00C50586">
        <w:rPr>
          <w:rFonts w:ascii="Arial" w:hAnsi="Arial" w:eastAsia="Calibri" w:cs="Arial"/>
          <w:b/>
          <w:sz w:val="22"/>
        </w:rPr>
        <w:t>DOCUMENTOS TIPO</w:t>
      </w:r>
      <w:r w:rsidRPr="00C50586" w:rsidR="005A79FE">
        <w:rPr>
          <w:rFonts w:ascii="Arial" w:hAnsi="Arial" w:eastAsia="Calibri" w:cs="Arial"/>
          <w:b/>
          <w:sz w:val="22"/>
        </w:rPr>
        <w:t xml:space="preserve"> – </w:t>
      </w:r>
      <w:r w:rsidRPr="00C50586">
        <w:rPr>
          <w:rFonts w:ascii="Arial" w:hAnsi="Arial" w:eastAsia="Calibri" w:cs="Arial"/>
          <w:b/>
          <w:sz w:val="22"/>
        </w:rPr>
        <w:t>Bienes o servicios adicionales</w:t>
      </w:r>
      <w:r w:rsidRPr="00C50586" w:rsidR="005A79FE">
        <w:rPr>
          <w:rFonts w:ascii="Arial" w:hAnsi="Arial" w:eastAsia="Calibri" w:cs="Arial"/>
          <w:b/>
          <w:sz w:val="22"/>
        </w:rPr>
        <w:t xml:space="preserve"> – </w:t>
      </w:r>
      <w:r w:rsidRPr="00C50586">
        <w:rPr>
          <w:rFonts w:ascii="Arial" w:hAnsi="Arial" w:eastAsia="Calibri" w:cs="Arial"/>
          <w:b/>
          <w:sz w:val="22"/>
        </w:rPr>
        <w:t>Experiencia adicional – Parámetros</w:t>
      </w:r>
    </w:p>
    <w:p w:rsidRPr="00C50586" w:rsidR="005A79FE" w:rsidP="00841FF1" w:rsidRDefault="005A79FE" w14:paraId="7AD85AC5" w14:textId="77777777">
      <w:pPr>
        <w:jc w:val="both"/>
        <w:rPr>
          <w:rFonts w:ascii="Arial" w:hAnsi="Arial" w:cs="Arial"/>
          <w:sz w:val="20"/>
          <w:szCs w:val="20"/>
        </w:rPr>
      </w:pPr>
    </w:p>
    <w:p w:rsidRPr="00051242" w:rsidR="00051242" w:rsidP="00051242" w:rsidRDefault="00051242" w14:paraId="6D2AAB51" w14:textId="77777777">
      <w:pPr>
        <w:jc w:val="both"/>
        <w:rPr>
          <w:rFonts w:ascii="Arial" w:hAnsi="Arial" w:eastAsia="Calibri" w:cs="Arial"/>
          <w:sz w:val="20"/>
          <w:szCs w:val="20"/>
        </w:rPr>
      </w:pPr>
      <w:r w:rsidRPr="00051242">
        <w:rPr>
          <w:rFonts w:ascii="Arial" w:hAnsi="Arial" w:eastAsia="Calibri" w:cs="Arial"/>
          <w:sz w:val="20"/>
          <w:szCs w:val="20"/>
        </w:rPr>
        <w:t>Cuando la entidad requiere bienes y servicios que no se encuentran incluidos como infraestructura de transporte, debe aplicar el artículo 2.2.1.2.6.1.5. del Decreto 342 de 2019. Esta norma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w:t>
      </w:r>
    </w:p>
    <w:p w:rsidR="00051242" w:rsidP="00051242" w:rsidRDefault="00051242" w14:paraId="4D5AD8BF" w14:textId="77777777">
      <w:pPr>
        <w:pStyle w:val="Prrafodelista"/>
        <w:ind w:left="0"/>
        <w:jc w:val="both"/>
        <w:rPr>
          <w:rFonts w:ascii="Arial" w:hAnsi="Arial" w:eastAsia="Calibri" w:cs="Arial"/>
          <w:sz w:val="20"/>
          <w:szCs w:val="20"/>
        </w:rPr>
      </w:pPr>
    </w:p>
    <w:p w:rsidRPr="00C50586" w:rsidR="005A79FE" w:rsidP="00051242" w:rsidRDefault="00051242" w14:paraId="1C49C226" w14:textId="5CE84DE1">
      <w:pPr>
        <w:pStyle w:val="Prrafodelista"/>
        <w:ind w:left="0"/>
        <w:jc w:val="both"/>
        <w:rPr>
          <w:rFonts w:ascii="Arial" w:hAnsi="Arial" w:eastAsia="Calibri" w:cs="Arial"/>
          <w:sz w:val="20"/>
          <w:szCs w:val="20"/>
        </w:rPr>
      </w:pPr>
      <w:r w:rsidRPr="00051242">
        <w:rPr>
          <w:rFonts w:ascii="Arial" w:hAnsi="Arial" w:eastAsia="Calibri" w:cs="Arial"/>
          <w:sz w:val="20"/>
          <w:szCs w:val="20"/>
        </w:rPr>
        <w:t>No obstante,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Pr>
          <w:rFonts w:ascii="Arial" w:hAnsi="Arial" w:eastAsia="Calibri" w:cs="Arial"/>
          <w:sz w:val="20"/>
          <w:szCs w:val="20"/>
        </w:rPr>
        <w:t>.</w:t>
      </w:r>
    </w:p>
    <w:p w:rsidRPr="00C50586" w:rsidR="00C74B91" w:rsidP="00841FF1" w:rsidRDefault="00C74B91" w14:paraId="3DB6DFEF" w14:textId="77777777">
      <w:pPr>
        <w:pStyle w:val="Prrafodelista"/>
        <w:ind w:left="0"/>
        <w:jc w:val="both"/>
        <w:rPr>
          <w:rFonts w:ascii="Arial" w:hAnsi="Arial" w:eastAsia="Calibri" w:cs="Arial"/>
          <w:sz w:val="20"/>
          <w:szCs w:val="20"/>
        </w:rPr>
      </w:pPr>
    </w:p>
    <w:p w:rsidRPr="00C50586" w:rsidR="00C74B91" w:rsidP="00841FF1" w:rsidRDefault="00511F0A" w14:paraId="5CF749E6" w14:textId="4311BA2D">
      <w:pPr>
        <w:jc w:val="both"/>
        <w:rPr>
          <w:rFonts w:ascii="Arial" w:hAnsi="Arial" w:eastAsia="Calibri" w:cs="Arial"/>
          <w:b/>
          <w:sz w:val="22"/>
        </w:rPr>
      </w:pPr>
      <w:r w:rsidRPr="00C50586">
        <w:rPr>
          <w:rFonts w:ascii="Arial" w:hAnsi="Arial" w:eastAsia="Calibri" w:cs="Arial"/>
          <w:b/>
          <w:sz w:val="22"/>
        </w:rPr>
        <w:t xml:space="preserve">BIENES O SERVICIOS ADICIONALES </w:t>
      </w:r>
      <w:r w:rsidRPr="00C50586" w:rsidR="00C74B91">
        <w:rPr>
          <w:rFonts w:ascii="Arial" w:hAnsi="Arial" w:eastAsia="Calibri" w:cs="Arial"/>
          <w:b/>
          <w:sz w:val="22"/>
        </w:rPr>
        <w:t>– Experiencia adicional – Casos</w:t>
      </w:r>
    </w:p>
    <w:p w:rsidRPr="00C50586" w:rsidR="005A79FE" w:rsidP="00841FF1" w:rsidRDefault="005A79FE" w14:paraId="150FB183" w14:textId="77777777">
      <w:pPr>
        <w:pStyle w:val="Prrafodelista"/>
        <w:ind w:left="0"/>
        <w:jc w:val="both"/>
        <w:rPr>
          <w:rFonts w:ascii="Arial" w:hAnsi="Arial" w:eastAsia="Calibri" w:cs="Arial"/>
          <w:sz w:val="20"/>
          <w:szCs w:val="20"/>
        </w:rPr>
      </w:pPr>
    </w:p>
    <w:p w:rsidRPr="00C50586" w:rsidR="005A79FE" w:rsidP="00841FF1" w:rsidRDefault="00051242" w14:paraId="0F90377D" w14:textId="781B18E2">
      <w:pPr>
        <w:jc w:val="both"/>
        <w:rPr>
          <w:rFonts w:ascii="Arial" w:hAnsi="Arial" w:eastAsia="Calibri" w:cs="Arial"/>
          <w:sz w:val="20"/>
          <w:szCs w:val="20"/>
        </w:rPr>
      </w:pPr>
      <w:r w:rsidRPr="00051242">
        <w:rPr>
          <w:rFonts w:ascii="Arial" w:hAnsi="Arial" w:eastAsia="Calibri" w:cs="Arial"/>
          <w:sz w:val="20"/>
          <w:szCs w:val="20"/>
        </w:rPr>
        <w:t>La posibilidad de solicitar experiencia adicional sólo es posible cuando el objeto contractual incluye bienes o servicios adicionales a la obra pública de infraestructura de transporte. Esto implica que: i) la actividad que se requiere si bien es una actividad de obra no está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o de consultoría para realizar los estudios y diseños de la obra de infraestructura de transporte</w:t>
      </w:r>
      <w:r w:rsidRPr="00C50586" w:rsidR="00C74B91">
        <w:rPr>
          <w:rFonts w:ascii="Arial" w:hAnsi="Arial" w:eastAsia="Calibri" w:cs="Arial"/>
          <w:sz w:val="20"/>
          <w:szCs w:val="20"/>
        </w:rPr>
        <w:t>.</w:t>
      </w:r>
    </w:p>
    <w:p w:rsidRPr="00C50586" w:rsidR="00C74B91" w:rsidP="00841FF1" w:rsidRDefault="00C74B91" w14:paraId="4CDF1339" w14:textId="77777777">
      <w:pPr>
        <w:jc w:val="both"/>
        <w:rPr>
          <w:rFonts w:ascii="Arial" w:hAnsi="Arial" w:eastAsia="Calibri" w:cs="Arial"/>
          <w:b/>
          <w:sz w:val="20"/>
          <w:szCs w:val="20"/>
        </w:rPr>
      </w:pPr>
    </w:p>
    <w:p w:rsidRPr="00C50586" w:rsidR="00AB1D78" w:rsidP="00AB1D78" w:rsidRDefault="00511F0A" w14:paraId="77ADA4F4" w14:textId="10946643">
      <w:pPr>
        <w:rPr>
          <w:rFonts w:ascii="Arial" w:hAnsi="Arial" w:cs="Arial"/>
          <w:sz w:val="22"/>
        </w:rPr>
      </w:pPr>
      <w:r w:rsidRPr="00C50586">
        <w:rPr>
          <w:rFonts w:ascii="Arial" w:hAnsi="Arial" w:eastAsia="Calibri" w:cs="Arial"/>
          <w:b/>
          <w:sz w:val="22"/>
        </w:rPr>
        <w:t>BIENES O SERVICIOS ADICIONALES – Experiencia adicional – Solicitud</w:t>
      </w:r>
    </w:p>
    <w:p w:rsidRPr="00C50586" w:rsidR="00511F0A" w:rsidP="00AB1D78" w:rsidRDefault="00511F0A" w14:paraId="218F2062" w14:textId="2823C17A">
      <w:pPr>
        <w:rPr>
          <w:rFonts w:ascii="Arial" w:hAnsi="Arial" w:cs="Arial"/>
          <w:sz w:val="20"/>
          <w:szCs w:val="20"/>
        </w:rPr>
      </w:pPr>
    </w:p>
    <w:p w:rsidRPr="00051242" w:rsidR="00051242" w:rsidP="00051242" w:rsidRDefault="00051242" w14:paraId="7D414166" w14:textId="77777777">
      <w:pPr>
        <w:jc w:val="both"/>
        <w:rPr>
          <w:rFonts w:ascii="Arial" w:hAnsi="Arial" w:eastAsia="Calibri" w:cs="Arial"/>
          <w:sz w:val="20"/>
          <w:szCs w:val="20"/>
        </w:rPr>
      </w:pPr>
      <w:r w:rsidRPr="00051242">
        <w:rPr>
          <w:rFonts w:ascii="Arial" w:hAnsi="Arial" w:eastAsia="Calibri" w:cs="Arial"/>
          <w:sz w:val="20"/>
          <w:szCs w:val="20"/>
        </w:rPr>
        <w:t xml:space="preserve">De otro lado,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instrucciones que precise el pliego. </w:t>
      </w:r>
    </w:p>
    <w:p w:rsidRPr="009A4A28" w:rsidR="00511F0A" w:rsidP="00051242" w:rsidRDefault="00051242" w14:paraId="7EC23471" w14:textId="6C6D284A">
      <w:pPr>
        <w:jc w:val="both"/>
        <w:rPr>
          <w:rFonts w:ascii="Arial" w:hAnsi="Arial" w:eastAsia="Calibri" w:cs="Arial"/>
          <w:sz w:val="20"/>
          <w:szCs w:val="20"/>
        </w:rPr>
      </w:pPr>
      <w:r w:rsidRPr="00051242">
        <w:rPr>
          <w:rFonts w:ascii="Arial" w:hAnsi="Arial" w:eastAsia="Calibri" w:cs="Arial"/>
          <w:sz w:val="20"/>
          <w:szCs w:val="20"/>
        </w:rPr>
        <w:t>Por consiguiente, para poder solicitar los bienes o servicios adicionales que no se encuentren contemplados en la «Matriz 1 – Experiencia», debe aplicarse lo establecido en el literal G del numeral 3.5.1. del Documento Base. Este literal contiene una nota en corchetes y resaltado en gris</w:t>
      </w:r>
      <w:r>
        <w:rPr>
          <w:rFonts w:ascii="Arial" w:hAnsi="Arial" w:eastAsia="Calibri" w:cs="Arial"/>
          <w:sz w:val="20"/>
          <w:szCs w:val="20"/>
        </w:rPr>
        <w:t xml:space="preserve"> </w:t>
      </w:r>
      <w:r w:rsidRPr="00C50586" w:rsidR="00B226F6">
        <w:rPr>
          <w:rFonts w:ascii="Arial" w:hAnsi="Arial" w:eastAsia="Calibri" w:cs="Arial"/>
          <w:sz w:val="20"/>
          <w:szCs w:val="20"/>
        </w:rPr>
        <w:t>[...]</w:t>
      </w:r>
      <w:r>
        <w:rPr>
          <w:rFonts w:ascii="Arial" w:hAnsi="Arial" w:eastAsia="Calibri" w:cs="Arial"/>
          <w:sz w:val="20"/>
          <w:szCs w:val="20"/>
        </w:rPr>
        <w:t>.</w:t>
      </w:r>
    </w:p>
    <w:p w:rsidRPr="009A4A28" w:rsidR="00511F0A" w:rsidP="00AB1D78" w:rsidRDefault="00511F0A" w14:paraId="183B42C7" w14:textId="0E786F90">
      <w:pPr>
        <w:rPr>
          <w:rFonts w:ascii="Arial" w:hAnsi="Arial" w:cs="Arial"/>
          <w:sz w:val="22"/>
        </w:rPr>
      </w:pPr>
    </w:p>
    <w:p w:rsidRPr="009A4A28" w:rsidR="00B226F6" w:rsidP="00AB1D78" w:rsidRDefault="00B226F6" w14:paraId="3D5C96D1" w14:textId="77777777">
      <w:pPr>
        <w:rPr>
          <w:rFonts w:ascii="Arial" w:hAnsi="Arial" w:cs="Arial"/>
          <w:sz w:val="22"/>
        </w:rPr>
      </w:pPr>
    </w:p>
    <w:p w:rsidR="00B539C1" w:rsidRDefault="00B539C1" w14:paraId="6271E6D8" w14:textId="77777777">
      <w:pPr>
        <w:spacing w:after="200" w:line="276" w:lineRule="auto"/>
        <w:rPr>
          <w:rFonts w:ascii="Arial" w:hAnsi="Arial" w:cs="Arial"/>
          <w:sz w:val="22"/>
          <w:szCs w:val="20"/>
        </w:rPr>
      </w:pPr>
      <w:r>
        <w:rPr>
          <w:rFonts w:ascii="Arial" w:hAnsi="Arial" w:cs="Arial"/>
          <w:sz w:val="22"/>
          <w:szCs w:val="20"/>
        </w:rPr>
        <w:br w:type="page"/>
      </w:r>
    </w:p>
    <w:p w:rsidRPr="00425B43" w:rsidR="00DD46B3" w:rsidP="00DD46B3" w:rsidRDefault="00DD46B3" w14:paraId="1B9F1586" w14:textId="4C531488">
      <w:pPr>
        <w:spacing w:line="276" w:lineRule="auto"/>
        <w:rPr>
          <w:rFonts w:ascii="Arial" w:hAnsi="Arial" w:cs="Arial"/>
          <w:b/>
          <w:sz w:val="22"/>
          <w:szCs w:val="20"/>
          <w:lang w:val="es-CO"/>
        </w:rPr>
      </w:pPr>
      <w:r w:rsidRPr="00425B43">
        <w:rPr>
          <w:rFonts w:ascii="Arial" w:hAnsi="Arial" w:cs="Arial"/>
          <w:sz w:val="22"/>
          <w:szCs w:val="20"/>
        </w:rPr>
        <w:lastRenderedPageBreak/>
        <w:t xml:space="preserve">Bogotá D.C., </w:t>
      </w:r>
      <w:r w:rsidR="00131F8A">
        <w:rPr>
          <w:rFonts w:ascii="Arial" w:hAnsi="Arial" w:cs="Arial"/>
          <w:b/>
          <w:sz w:val="22"/>
          <w:szCs w:val="20"/>
        </w:rPr>
        <w:t>15/12/2020</w:t>
      </w:r>
    </w:p>
    <w:p w:rsidRPr="00425B43" w:rsidR="00DD46B3" w:rsidP="00DD46B3" w:rsidRDefault="00DD46B3" w14:paraId="41097ECF" w14:textId="02EC4984">
      <w:pPr>
        <w:jc w:val="right"/>
        <w:rPr>
          <w:rFonts w:ascii="Arial" w:hAnsi="Arial" w:cs="Arial"/>
          <w:sz w:val="22"/>
          <w:lang w:val="es-ES" w:eastAsia="en-GB"/>
        </w:rPr>
      </w:pPr>
      <w:r w:rsidRPr="00425B43">
        <w:rPr>
          <w:rFonts w:ascii="Arial" w:hAnsi="Arial" w:cs="Arial"/>
          <w:b/>
          <w:sz w:val="22"/>
          <w:szCs w:val="20"/>
        </w:rPr>
        <w:t xml:space="preserve">N° Radicado: </w:t>
      </w:r>
      <w:r w:rsidRPr="00131F8A" w:rsidR="00131F8A">
        <w:rPr>
          <w:rFonts w:ascii="Arial" w:hAnsi="Arial" w:cs="Arial"/>
          <w:b/>
          <w:sz w:val="22"/>
          <w:szCs w:val="20"/>
        </w:rPr>
        <w:t>2202013000012018</w:t>
      </w:r>
    </w:p>
    <w:p w:rsidRPr="009A4A28" w:rsidR="00937E03" w:rsidP="005A79FE" w:rsidRDefault="00937E03" w14:paraId="6858FE7F" w14:textId="77777777">
      <w:pPr>
        <w:jc w:val="right"/>
        <w:rPr>
          <w:rFonts w:ascii="Arial" w:hAnsi="Arial" w:cs="Arial"/>
          <w:b/>
          <w:sz w:val="22"/>
        </w:rPr>
      </w:pPr>
    </w:p>
    <w:p w:rsidRPr="009A4A28" w:rsidR="005A79FE" w:rsidP="005A79FE" w:rsidRDefault="005A79FE" w14:paraId="2853595C" w14:textId="77777777">
      <w:pPr>
        <w:tabs>
          <w:tab w:val="left" w:pos="3374"/>
        </w:tabs>
        <w:rPr>
          <w:rFonts w:ascii="Arial" w:hAnsi="Arial" w:eastAsia="Calibri" w:cs="Arial"/>
          <w:sz w:val="22"/>
        </w:rPr>
      </w:pPr>
      <w:r w:rsidRPr="009A4A28">
        <w:rPr>
          <w:rFonts w:ascii="Arial" w:hAnsi="Arial" w:eastAsia="Calibri" w:cs="Arial"/>
          <w:sz w:val="22"/>
        </w:rPr>
        <w:tab/>
      </w:r>
    </w:p>
    <w:p w:rsidRPr="009A4A28" w:rsidR="005A79FE" w:rsidP="005A79FE" w:rsidRDefault="005A79FE" w14:paraId="2097EFDF" w14:textId="6810C22D">
      <w:pPr>
        <w:rPr>
          <w:rFonts w:ascii="Arial" w:hAnsi="Arial" w:eastAsia="Calibri" w:cs="Arial"/>
          <w:sz w:val="22"/>
        </w:rPr>
      </w:pPr>
      <w:r w:rsidRPr="009A4A28">
        <w:rPr>
          <w:rFonts w:ascii="Arial" w:hAnsi="Arial" w:eastAsia="Calibri" w:cs="Arial"/>
          <w:sz w:val="22"/>
        </w:rPr>
        <w:t>Señor</w:t>
      </w:r>
    </w:p>
    <w:p w:rsidRPr="009A4A28" w:rsidR="005A79FE" w:rsidP="005A79FE" w:rsidRDefault="00DD46B3" w14:paraId="7FDA027E" w14:textId="67BBD2B1">
      <w:pPr>
        <w:rPr>
          <w:rFonts w:ascii="Arial" w:hAnsi="Arial" w:eastAsia="Calibri" w:cs="Arial"/>
          <w:b/>
          <w:sz w:val="22"/>
          <w:lang w:val="es-ES"/>
        </w:rPr>
      </w:pPr>
      <w:r>
        <w:rPr>
          <w:rFonts w:ascii="Arial" w:hAnsi="Arial" w:eastAsia="Calibri" w:cs="Arial"/>
          <w:b/>
          <w:sz w:val="22"/>
          <w:lang w:val="es-ES"/>
        </w:rPr>
        <w:t xml:space="preserve">Iván Daniel García </w:t>
      </w:r>
    </w:p>
    <w:p w:rsidR="005A79FE" w:rsidP="005A79FE" w:rsidRDefault="00DD46B3" w14:paraId="699E9CB9" w14:textId="384CE404">
      <w:pPr>
        <w:rPr>
          <w:rFonts w:ascii="Arial" w:hAnsi="Arial" w:eastAsia="Calibri" w:cs="Arial"/>
          <w:sz w:val="22"/>
        </w:rPr>
      </w:pPr>
      <w:r>
        <w:rPr>
          <w:rFonts w:ascii="Arial" w:hAnsi="Arial" w:eastAsia="Calibri" w:cs="Arial"/>
          <w:sz w:val="22"/>
        </w:rPr>
        <w:t>Bogotá D.C.</w:t>
      </w:r>
    </w:p>
    <w:p w:rsidR="00937E03" w:rsidP="00937E03" w:rsidRDefault="00937E03" w14:paraId="2111D15F" w14:textId="6FC8A947">
      <w:pPr>
        <w:rPr>
          <w:rFonts w:ascii="Arial" w:hAnsi="Arial" w:eastAsia="Calibri" w:cs="Arial"/>
          <w:sz w:val="22"/>
        </w:rPr>
      </w:pPr>
      <w:r>
        <w:rPr>
          <w:rFonts w:ascii="Arial" w:hAnsi="Arial" w:eastAsia="Calibri" w:cs="Arial"/>
          <w:sz w:val="22"/>
        </w:rPr>
        <w:t xml:space="preserve">                                            </w:t>
      </w:r>
    </w:p>
    <w:p w:rsidRPr="009A4A28" w:rsidR="00937E03" w:rsidRDefault="00937E03" w14:paraId="056891EA" w14:textId="77777777">
      <w:pPr>
        <w:rPr>
          <w:rFonts w:ascii="Arial" w:hAnsi="Arial" w:eastAsia="Calibri" w:cs="Arial"/>
          <w:sz w:val="22"/>
        </w:rPr>
      </w:pPr>
    </w:p>
    <w:p w:rsidRPr="009A4A28" w:rsidR="005A79FE" w:rsidP="001E053F" w:rsidRDefault="00937E03" w14:paraId="04EF5647" w14:textId="4A60FCCA">
      <w:pPr>
        <w:rPr>
          <w:rFonts w:ascii="Arial" w:hAnsi="Arial" w:eastAsia="Calibri" w:cs="Arial"/>
          <w:b/>
          <w:sz w:val="22"/>
        </w:rPr>
      </w:pPr>
      <w:r>
        <w:rPr>
          <w:rFonts w:ascii="Arial" w:hAnsi="Arial" w:eastAsia="Calibri" w:cs="Arial"/>
          <w:b/>
          <w:sz w:val="22"/>
        </w:rPr>
        <w:t xml:space="preserve">                                            </w:t>
      </w:r>
      <w:r w:rsidRPr="009A4A28" w:rsidR="005A79FE">
        <w:rPr>
          <w:rFonts w:ascii="Arial" w:hAnsi="Arial" w:eastAsia="Calibri" w:cs="Arial"/>
          <w:b/>
          <w:sz w:val="22"/>
        </w:rPr>
        <w:t xml:space="preserve">Concepto C </w:t>
      </w:r>
      <w:r>
        <w:rPr>
          <w:rFonts w:ascii="Arial" w:hAnsi="Arial" w:eastAsia="Calibri" w:cs="Arial"/>
          <w:b/>
          <w:sz w:val="22"/>
        </w:rPr>
        <w:t>–</w:t>
      </w:r>
      <w:r w:rsidRPr="009A4A28" w:rsidR="005A79FE">
        <w:rPr>
          <w:rFonts w:ascii="Arial" w:hAnsi="Arial" w:eastAsia="Calibri" w:cs="Arial"/>
          <w:b/>
          <w:sz w:val="22"/>
        </w:rPr>
        <w:t xml:space="preserve"> </w:t>
      </w:r>
      <w:r w:rsidR="00F43169">
        <w:rPr>
          <w:rFonts w:ascii="Arial" w:hAnsi="Arial" w:eastAsia="Calibri" w:cs="Arial"/>
          <w:b/>
          <w:sz w:val="22"/>
        </w:rPr>
        <w:t>73</w:t>
      </w:r>
      <w:r w:rsidRPr="009A4A28" w:rsidR="00C163A4">
        <w:rPr>
          <w:rFonts w:ascii="Arial" w:hAnsi="Arial" w:eastAsia="Calibri" w:cs="Arial"/>
          <w:b/>
          <w:sz w:val="22"/>
        </w:rPr>
        <w:t>6</w:t>
      </w:r>
      <w:r w:rsidRPr="009A4A28" w:rsidR="005A79FE">
        <w:rPr>
          <w:rFonts w:ascii="Arial" w:hAnsi="Arial" w:eastAsia="Calibri" w:cs="Arial"/>
          <w:b/>
          <w:sz w:val="22"/>
        </w:rPr>
        <w:t xml:space="preserve"> de 2020</w:t>
      </w:r>
    </w:p>
    <w:p w:rsidRPr="009A4A28" w:rsidR="005A79FE" w:rsidP="005A79FE" w:rsidRDefault="005A79FE" w14:paraId="6CCD98F0"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D46B3" w:rsidR="009A4A28" w:rsidTr="00897943" w14:paraId="21699201" w14:textId="77777777">
        <w:tc>
          <w:tcPr>
            <w:tcW w:w="2689" w:type="dxa"/>
            <w:hideMark/>
          </w:tcPr>
          <w:p w:rsidRPr="009A4A28" w:rsidR="005A79FE" w:rsidP="00897943" w:rsidRDefault="005A79FE" w14:paraId="26712367" w14:textId="77777777">
            <w:pPr>
              <w:rPr>
                <w:rFonts w:ascii="Arial" w:hAnsi="Arial" w:eastAsia="Calibri" w:cs="Arial"/>
                <w:sz w:val="22"/>
              </w:rPr>
            </w:pPr>
            <w:r w:rsidRPr="009A4A28">
              <w:rPr>
                <w:rFonts w:ascii="Arial" w:hAnsi="Arial" w:eastAsia="Calibri" w:cs="Arial"/>
                <w:b/>
                <w:sz w:val="22"/>
              </w:rPr>
              <w:t>Temas:</w:t>
            </w:r>
            <w:r w:rsidRPr="009A4A28">
              <w:rPr>
                <w:rFonts w:ascii="Arial" w:hAnsi="Arial" w:eastAsia="Calibri" w:cs="Arial"/>
                <w:sz w:val="22"/>
              </w:rPr>
              <w:t xml:space="preserve">           </w:t>
            </w:r>
          </w:p>
          <w:p w:rsidRPr="009A4A28" w:rsidR="005A79FE" w:rsidP="00897943" w:rsidRDefault="005A79FE" w14:paraId="5D67F5C4" w14:textId="77777777">
            <w:pPr>
              <w:rPr>
                <w:rFonts w:ascii="Arial" w:hAnsi="Arial" w:eastAsia="Calibri" w:cs="Arial"/>
                <w:sz w:val="22"/>
              </w:rPr>
            </w:pPr>
            <w:r w:rsidRPr="009A4A28">
              <w:rPr>
                <w:rFonts w:ascii="Arial" w:hAnsi="Arial" w:eastAsia="Calibri" w:cs="Arial"/>
                <w:sz w:val="22"/>
              </w:rPr>
              <w:t xml:space="preserve">                           </w:t>
            </w:r>
          </w:p>
        </w:tc>
        <w:tc>
          <w:tcPr>
            <w:tcW w:w="6237" w:type="dxa"/>
            <w:hideMark/>
          </w:tcPr>
          <w:p w:rsidRPr="00DD46B3" w:rsidR="005A79FE" w:rsidP="00DD46B3" w:rsidRDefault="00776C38" w14:paraId="784C47C0" w14:textId="00E2557F">
            <w:pPr>
              <w:jc w:val="both"/>
              <w:rPr>
                <w:rFonts w:ascii="Arial" w:hAnsi="Arial" w:eastAsia="Calibri" w:cs="Arial"/>
                <w:sz w:val="22"/>
                <w:highlight w:val="yellow"/>
              </w:rPr>
            </w:pPr>
            <w:r w:rsidRPr="00C50586">
              <w:rPr>
                <w:rFonts w:ascii="Arial" w:hAnsi="Arial" w:eastAsia="Calibri" w:cs="Arial"/>
                <w:sz w:val="22"/>
              </w:rPr>
              <w:t xml:space="preserve">DOCUMENTOS TIPO – Bienes o servicios adicionales – Experiencia adicional – Parámetros / </w:t>
            </w:r>
            <w:r w:rsidRPr="00C50586" w:rsidR="00511F0A">
              <w:rPr>
                <w:rFonts w:ascii="Arial" w:hAnsi="Arial" w:eastAsia="Calibri" w:cs="Arial"/>
                <w:sz w:val="22"/>
              </w:rPr>
              <w:t>BIENES O SERVICIOS ADICIONALES – Experiencia adicional – Casos / BIENES O SERVICIOS ADICIONALES – Experiencia adicional – Solicitud</w:t>
            </w:r>
          </w:p>
        </w:tc>
      </w:tr>
      <w:tr w:rsidRPr="009A4A28" w:rsidR="00A945C1" w:rsidTr="00897943" w14:paraId="7C0A7D18" w14:textId="77777777">
        <w:tc>
          <w:tcPr>
            <w:tcW w:w="2689" w:type="dxa"/>
          </w:tcPr>
          <w:p w:rsidRPr="009A4A28" w:rsidR="005A79FE" w:rsidP="00897943" w:rsidRDefault="005A79FE" w14:paraId="6A12F093" w14:textId="77777777">
            <w:pPr>
              <w:rPr>
                <w:rFonts w:ascii="Arial" w:hAnsi="Arial" w:eastAsia="Calibri" w:cs="Arial"/>
                <w:b/>
                <w:sz w:val="22"/>
              </w:rPr>
            </w:pPr>
            <w:r w:rsidRPr="009A4A28">
              <w:rPr>
                <w:rFonts w:ascii="Arial" w:hAnsi="Arial" w:eastAsia="Calibri" w:cs="Arial"/>
                <w:b/>
                <w:sz w:val="22"/>
              </w:rPr>
              <w:t>Radicación:</w:t>
            </w:r>
            <w:r w:rsidRPr="009A4A28">
              <w:rPr>
                <w:rFonts w:ascii="Arial" w:hAnsi="Arial" w:eastAsia="Calibri" w:cs="Arial"/>
                <w:sz w:val="22"/>
              </w:rPr>
              <w:t xml:space="preserve">                              </w:t>
            </w:r>
          </w:p>
        </w:tc>
        <w:tc>
          <w:tcPr>
            <w:tcW w:w="6237" w:type="dxa"/>
          </w:tcPr>
          <w:p w:rsidRPr="009A4A28" w:rsidR="005A79FE" w:rsidP="00897943" w:rsidRDefault="005A79FE" w14:paraId="73A42ACA" w14:textId="4AF4C477">
            <w:pPr>
              <w:jc w:val="both"/>
              <w:rPr>
                <w:rFonts w:ascii="Arial" w:hAnsi="Arial" w:eastAsia="Calibri" w:cs="Arial"/>
                <w:sz w:val="22"/>
              </w:rPr>
            </w:pPr>
            <w:r w:rsidRPr="009A4A28">
              <w:rPr>
                <w:rFonts w:ascii="Arial" w:hAnsi="Arial" w:eastAsia="Calibri" w:cs="Arial"/>
                <w:sz w:val="22"/>
              </w:rPr>
              <w:t xml:space="preserve">Respuesta a consulta # </w:t>
            </w:r>
            <w:r w:rsidRPr="00DD46B3" w:rsidR="00DD46B3">
              <w:rPr>
                <w:rFonts w:ascii="Arial" w:hAnsi="Arial" w:eastAsia="Calibri" w:cs="Arial"/>
                <w:sz w:val="22"/>
              </w:rPr>
              <w:t>4202012000009948</w:t>
            </w:r>
          </w:p>
        </w:tc>
      </w:tr>
    </w:tbl>
    <w:p w:rsidRPr="009A4A28" w:rsidR="005A79FE" w:rsidP="005A79FE" w:rsidRDefault="005A79FE" w14:paraId="396DE958" w14:textId="77777777">
      <w:pPr>
        <w:jc w:val="both"/>
        <w:rPr>
          <w:rFonts w:ascii="Arial" w:hAnsi="Arial" w:eastAsia="Calibri" w:cs="Arial"/>
          <w:sz w:val="22"/>
        </w:rPr>
      </w:pPr>
    </w:p>
    <w:p w:rsidRPr="009A4A28" w:rsidR="005A79FE" w:rsidP="005A79FE" w:rsidRDefault="005A79FE" w14:paraId="489DB6E6" w14:textId="77777777">
      <w:pPr>
        <w:rPr>
          <w:rFonts w:ascii="Arial" w:hAnsi="Arial" w:eastAsia="Calibri" w:cs="Arial"/>
          <w:sz w:val="22"/>
        </w:rPr>
      </w:pPr>
    </w:p>
    <w:p w:rsidRPr="009A4A28" w:rsidR="005A79FE" w:rsidP="005A79FE" w:rsidRDefault="005A79FE" w14:paraId="657E7EE7" w14:textId="47A8B663">
      <w:pPr>
        <w:rPr>
          <w:rFonts w:ascii="Arial" w:hAnsi="Arial" w:eastAsia="Calibri" w:cs="Arial"/>
          <w:sz w:val="22"/>
        </w:rPr>
      </w:pPr>
      <w:r w:rsidRPr="009A4A28">
        <w:rPr>
          <w:rFonts w:ascii="Arial" w:hAnsi="Arial" w:eastAsia="Calibri" w:cs="Arial"/>
          <w:sz w:val="22"/>
        </w:rPr>
        <w:t>Estimado señor</w:t>
      </w:r>
      <w:r w:rsidRPr="009A4A28" w:rsidR="00712060">
        <w:rPr>
          <w:rFonts w:ascii="Arial" w:hAnsi="Arial" w:eastAsia="Calibri" w:cs="Arial"/>
          <w:sz w:val="22"/>
        </w:rPr>
        <w:t xml:space="preserve"> </w:t>
      </w:r>
      <w:r w:rsidR="00DD46B3">
        <w:rPr>
          <w:rFonts w:ascii="Arial" w:hAnsi="Arial" w:eastAsia="Calibri" w:cs="Arial"/>
          <w:sz w:val="22"/>
        </w:rPr>
        <w:t>Ga</w:t>
      </w:r>
      <w:r w:rsidRPr="009A4A28" w:rsidR="00664A94">
        <w:rPr>
          <w:rFonts w:ascii="Arial" w:hAnsi="Arial" w:eastAsia="Calibri" w:cs="Arial"/>
          <w:sz w:val="22"/>
        </w:rPr>
        <w:t>r</w:t>
      </w:r>
      <w:r w:rsidR="00DD46B3">
        <w:rPr>
          <w:rFonts w:ascii="Arial" w:hAnsi="Arial" w:eastAsia="Calibri" w:cs="Arial"/>
          <w:sz w:val="22"/>
        </w:rPr>
        <w:t>cía</w:t>
      </w:r>
      <w:r w:rsidRPr="009A4A28">
        <w:rPr>
          <w:rFonts w:ascii="Arial" w:hAnsi="Arial" w:eastAsia="Calibri" w:cs="Arial"/>
          <w:sz w:val="22"/>
        </w:rPr>
        <w:t>,</w:t>
      </w:r>
    </w:p>
    <w:p w:rsidRPr="009A4A28" w:rsidR="005A79FE" w:rsidP="005A79FE" w:rsidRDefault="005A79FE" w14:paraId="40D74C98" w14:textId="77777777">
      <w:pPr>
        <w:rPr>
          <w:rFonts w:ascii="Arial" w:hAnsi="Arial" w:eastAsia="Calibri" w:cs="Arial"/>
          <w:sz w:val="22"/>
        </w:rPr>
      </w:pPr>
    </w:p>
    <w:p w:rsidRPr="009A4A28" w:rsidR="001D20CD" w:rsidP="001D20CD" w:rsidRDefault="001D20CD" w14:paraId="1412627B" w14:textId="4E1DBB43">
      <w:pPr>
        <w:spacing w:line="276" w:lineRule="auto"/>
        <w:jc w:val="both"/>
        <w:rPr>
          <w:rFonts w:ascii="Arial" w:hAnsi="Arial" w:eastAsia="Calibri" w:cs="Arial"/>
          <w:sz w:val="22"/>
        </w:rPr>
      </w:pPr>
      <w:r w:rsidRPr="009A4A28">
        <w:rPr>
          <w:rFonts w:ascii="Arial" w:hAnsi="Arial" w:eastAsia="Calibri"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Pr="009A4A28" w:rsidR="00ED5AB4">
        <w:rPr>
          <w:rFonts w:ascii="Arial" w:hAnsi="Arial" w:eastAsia="Calibri" w:cs="Arial"/>
          <w:sz w:val="22"/>
        </w:rPr>
        <w:t>3</w:t>
      </w:r>
      <w:r w:rsidRPr="009A4A28">
        <w:rPr>
          <w:rFonts w:ascii="Arial" w:hAnsi="Arial" w:eastAsia="Calibri" w:cs="Arial"/>
          <w:sz w:val="22"/>
        </w:rPr>
        <w:t xml:space="preserve"> de </w:t>
      </w:r>
      <w:r w:rsidR="00DD46B3">
        <w:rPr>
          <w:rFonts w:ascii="Arial" w:hAnsi="Arial" w:eastAsia="Calibri" w:cs="Arial"/>
          <w:sz w:val="22"/>
        </w:rPr>
        <w:t>noviembre</w:t>
      </w:r>
      <w:r w:rsidRPr="009A4A28">
        <w:rPr>
          <w:rFonts w:ascii="Arial" w:hAnsi="Arial" w:eastAsia="Calibri" w:cs="Arial"/>
          <w:sz w:val="22"/>
        </w:rPr>
        <w:t xml:space="preserve"> del 2020.</w:t>
      </w:r>
    </w:p>
    <w:p w:rsidRPr="009A4A28" w:rsidR="005A79FE" w:rsidP="005A79FE" w:rsidRDefault="005A79FE" w14:paraId="4FA02A8B" w14:textId="77777777">
      <w:pPr>
        <w:spacing w:line="276" w:lineRule="auto"/>
        <w:jc w:val="both"/>
        <w:rPr>
          <w:rFonts w:ascii="Arial" w:hAnsi="Arial" w:eastAsia="Calibri" w:cs="Arial"/>
          <w:sz w:val="22"/>
        </w:rPr>
      </w:pPr>
    </w:p>
    <w:p w:rsidRPr="009A4A28" w:rsidR="00A945C1" w:rsidP="00A945C1" w:rsidRDefault="00A945C1" w14:paraId="17A88694" w14:textId="02497AD0">
      <w:pPr>
        <w:pStyle w:val="Prrafodelista"/>
        <w:tabs>
          <w:tab w:val="left" w:pos="284"/>
        </w:tabs>
        <w:spacing w:line="276" w:lineRule="auto"/>
        <w:ind w:left="0"/>
        <w:jc w:val="both"/>
        <w:rPr>
          <w:rFonts w:ascii="Arial" w:hAnsi="Arial" w:eastAsia="Calibri" w:cs="Arial"/>
          <w:b/>
          <w:sz w:val="22"/>
        </w:rPr>
      </w:pPr>
      <w:bookmarkStart w:name="_Hlk29890381" w:id="0"/>
      <w:r w:rsidRPr="009A4A28">
        <w:rPr>
          <w:rFonts w:ascii="Arial" w:hAnsi="Arial" w:eastAsia="Calibri" w:cs="Arial"/>
          <w:b/>
          <w:sz w:val="22"/>
        </w:rPr>
        <w:t>1. Problema</w:t>
      </w:r>
      <w:r w:rsidR="0053204A">
        <w:rPr>
          <w:rFonts w:ascii="Arial" w:hAnsi="Arial" w:eastAsia="Calibri" w:cs="Arial"/>
          <w:b/>
          <w:sz w:val="22"/>
        </w:rPr>
        <w:t>s</w:t>
      </w:r>
      <w:r w:rsidRPr="009A4A28">
        <w:rPr>
          <w:rFonts w:ascii="Arial" w:hAnsi="Arial" w:eastAsia="Calibri" w:cs="Arial"/>
          <w:b/>
          <w:sz w:val="22"/>
        </w:rPr>
        <w:t xml:space="preserve"> planteado</w:t>
      </w:r>
      <w:r w:rsidR="0053204A">
        <w:rPr>
          <w:rFonts w:ascii="Arial" w:hAnsi="Arial" w:eastAsia="Calibri" w:cs="Arial"/>
          <w:b/>
          <w:sz w:val="22"/>
        </w:rPr>
        <w:t>s</w:t>
      </w:r>
    </w:p>
    <w:p w:rsidRPr="009A4A28" w:rsidR="00A945C1" w:rsidP="00A945C1" w:rsidRDefault="00A945C1" w14:paraId="373F8D38" w14:textId="77777777">
      <w:pPr>
        <w:tabs>
          <w:tab w:val="left" w:pos="426"/>
        </w:tabs>
        <w:spacing w:line="276" w:lineRule="auto"/>
        <w:jc w:val="both"/>
        <w:rPr>
          <w:rFonts w:ascii="Arial" w:hAnsi="Arial" w:eastAsia="Calibri" w:cs="Arial"/>
          <w:b/>
          <w:sz w:val="22"/>
        </w:rPr>
      </w:pPr>
    </w:p>
    <w:p w:rsidR="0053204A" w:rsidP="00577621" w:rsidRDefault="00A945C1" w14:paraId="1CF4CF14" w14:textId="720C2638">
      <w:pPr>
        <w:tabs>
          <w:tab w:val="left" w:pos="426"/>
        </w:tabs>
        <w:spacing w:after="120" w:line="276" w:lineRule="auto"/>
        <w:jc w:val="both"/>
        <w:rPr>
          <w:rFonts w:ascii="Arial" w:hAnsi="Arial" w:eastAsia="Calibri" w:cs="Arial"/>
          <w:sz w:val="22"/>
        </w:rPr>
      </w:pPr>
      <w:r w:rsidRPr="009A4A28">
        <w:rPr>
          <w:rFonts w:ascii="Arial" w:hAnsi="Arial" w:eastAsia="Calibri" w:cs="Arial"/>
          <w:sz w:val="22"/>
        </w:rPr>
        <w:t>Usted realiza la</w:t>
      </w:r>
      <w:r w:rsidR="0053204A">
        <w:rPr>
          <w:rFonts w:ascii="Arial" w:hAnsi="Arial" w:eastAsia="Calibri" w:cs="Arial"/>
          <w:sz w:val="22"/>
        </w:rPr>
        <w:t>s</w:t>
      </w:r>
      <w:r w:rsidRPr="009A4A28">
        <w:rPr>
          <w:rFonts w:ascii="Arial" w:hAnsi="Arial" w:eastAsia="Calibri" w:cs="Arial"/>
          <w:sz w:val="22"/>
        </w:rPr>
        <w:t xml:space="preserve"> siguiente</w:t>
      </w:r>
      <w:r w:rsidR="0053204A">
        <w:rPr>
          <w:rFonts w:ascii="Arial" w:hAnsi="Arial" w:eastAsia="Calibri" w:cs="Arial"/>
          <w:sz w:val="22"/>
        </w:rPr>
        <w:t>s</w:t>
      </w:r>
      <w:r w:rsidRPr="009A4A28">
        <w:rPr>
          <w:rFonts w:ascii="Arial" w:hAnsi="Arial" w:eastAsia="Calibri" w:cs="Arial"/>
          <w:sz w:val="22"/>
        </w:rPr>
        <w:t xml:space="preserve"> pregunta</w:t>
      </w:r>
      <w:r w:rsidR="0053204A">
        <w:rPr>
          <w:rFonts w:ascii="Arial" w:hAnsi="Arial" w:eastAsia="Calibri" w:cs="Arial"/>
          <w:sz w:val="22"/>
        </w:rPr>
        <w:t>s</w:t>
      </w:r>
      <w:r w:rsidRPr="009A4A28">
        <w:rPr>
          <w:rFonts w:ascii="Arial" w:hAnsi="Arial" w:eastAsia="Calibri" w:cs="Arial"/>
          <w:sz w:val="22"/>
        </w:rPr>
        <w:t xml:space="preserve">: </w:t>
      </w:r>
      <w:r w:rsidRPr="009A4A28" w:rsidR="000E4342">
        <w:rPr>
          <w:rFonts w:ascii="Arial" w:hAnsi="Arial" w:eastAsia="Calibri" w:cs="Arial"/>
          <w:sz w:val="22"/>
        </w:rPr>
        <w:t>«</w:t>
      </w:r>
      <w:r w:rsidRPr="0053204A" w:rsidR="0053204A">
        <w:rPr>
          <w:rFonts w:ascii="Arial" w:hAnsi="Arial" w:eastAsia="Calibri" w:cs="Arial"/>
          <w:sz w:val="22"/>
        </w:rPr>
        <w:t>¿En las obras de construcción de muros que permitan la contención, mitiguen erosión, socavación y garanticen la protección ante la inminente amenaza de inundación y que dentro del presupuesto de obra incluya la construcción de obras arquitectónicas y complementarias como parques, senderos peatonales y malecones, aplica la utilización de los documentos tipo de infraestructura de transporte?</w:t>
      </w:r>
    </w:p>
    <w:p w:rsidRPr="009A4A28" w:rsidR="00A945C1" w:rsidP="00577621" w:rsidRDefault="00B539C1" w14:paraId="1C1972B1" w14:textId="2E1CEA58">
      <w:pPr>
        <w:tabs>
          <w:tab w:val="left" w:pos="426"/>
        </w:tabs>
        <w:spacing w:after="120" w:line="276" w:lineRule="auto"/>
        <w:jc w:val="both"/>
        <w:rPr>
          <w:rFonts w:ascii="Arial" w:hAnsi="Arial" w:eastAsia="Calibri" w:cs="Arial"/>
          <w:sz w:val="22"/>
        </w:rPr>
      </w:pPr>
      <w:r>
        <w:rPr>
          <w:rFonts w:ascii="Arial" w:hAnsi="Arial" w:eastAsia="Calibri" w:cs="Arial"/>
          <w:sz w:val="22"/>
        </w:rPr>
        <w:tab/>
      </w:r>
      <w:r w:rsidR="0053204A">
        <w:rPr>
          <w:rFonts w:ascii="Arial" w:hAnsi="Arial" w:eastAsia="Calibri" w:cs="Arial"/>
          <w:sz w:val="22"/>
        </w:rPr>
        <w:t>»</w:t>
      </w:r>
      <w:r w:rsidRPr="0053204A" w:rsidR="0053204A">
        <w:rPr>
          <w:rFonts w:ascii="Arial" w:hAnsi="Arial" w:eastAsia="Calibri" w:cs="Arial"/>
          <w:sz w:val="22"/>
        </w:rPr>
        <w:t>Con el fin de complementar la consulta anterior, cual</w:t>
      </w:r>
      <w:r w:rsidR="0053204A">
        <w:rPr>
          <w:rFonts w:ascii="Arial" w:hAnsi="Arial" w:eastAsia="Calibri" w:cs="Arial"/>
          <w:sz w:val="22"/>
        </w:rPr>
        <w:t xml:space="preserve"> (sic)</w:t>
      </w:r>
      <w:r w:rsidRPr="0053204A" w:rsidR="0053204A">
        <w:rPr>
          <w:rFonts w:ascii="Arial" w:hAnsi="Arial" w:eastAsia="Calibri" w:cs="Arial"/>
          <w:sz w:val="22"/>
        </w:rPr>
        <w:t xml:space="preserve"> es la interpretación que hace Colombia Compra Eficiente como organismo rector de la contratación en el país, a lo definido en el documento denominado “Anexo 3- Glosario CCE-EICP-IDI-03 Licitación”, puntualmente en lo establecido en numeral 2do – Glosario especifico técnico, ítem 2.34. Espacio Público Asociado a la Infraestructura de Transporte</w:t>
      </w:r>
      <w:r w:rsidR="00421516">
        <w:rPr>
          <w:rFonts w:ascii="Arial" w:hAnsi="Arial" w:eastAsia="Calibri" w:cs="Arial"/>
          <w:sz w:val="22"/>
        </w:rPr>
        <w:t xml:space="preserve"> </w:t>
      </w:r>
      <w:r w:rsidR="0053204A">
        <w:rPr>
          <w:rFonts w:ascii="Arial" w:hAnsi="Arial" w:eastAsia="Calibri" w:cs="Arial"/>
          <w:sz w:val="22"/>
        </w:rPr>
        <w:t>[…]</w:t>
      </w:r>
      <w:r w:rsidR="00211D02">
        <w:rPr>
          <w:rFonts w:ascii="Arial" w:hAnsi="Arial" w:eastAsia="Calibri" w:cs="Arial"/>
          <w:sz w:val="22"/>
        </w:rPr>
        <w:t xml:space="preserve"> </w:t>
      </w:r>
      <w:r w:rsidRPr="00211D02" w:rsidR="00211D02">
        <w:rPr>
          <w:rFonts w:ascii="Arial" w:hAnsi="Arial" w:eastAsia="Calibri" w:cs="Arial"/>
          <w:sz w:val="22"/>
        </w:rPr>
        <w:t>Favor definir de manera puntual y específica, sí dentro de este tipo definiciones planteadas dentro del documento denominado Glosario especifico técnico se puede inferir que las obras de infraestructura de transporte como la construcción de muros tipo muelle y que incluya la construcción de obras arquitectónicas y complementarias como parques, senderos peatonales y malecones, aplica la utilización de los documentos tipo de infraestructura de transporte?</w:t>
      </w:r>
      <w:r w:rsidR="0053204A">
        <w:rPr>
          <w:rFonts w:ascii="Arial" w:hAnsi="Arial" w:eastAsia="Calibri" w:cs="Arial"/>
          <w:sz w:val="22"/>
        </w:rPr>
        <w:t>»</w:t>
      </w:r>
      <w:r w:rsidRPr="009A4A28" w:rsidR="000E4342">
        <w:rPr>
          <w:rFonts w:ascii="Arial" w:hAnsi="Arial" w:eastAsia="Calibri" w:cs="Arial"/>
          <w:sz w:val="22"/>
        </w:rPr>
        <w:t>.</w:t>
      </w:r>
      <w:r w:rsidRPr="009A4A28" w:rsidR="00B63C03">
        <w:rPr>
          <w:rFonts w:ascii="Arial" w:hAnsi="Arial" w:eastAsia="Calibri" w:cs="Arial"/>
          <w:sz w:val="22"/>
        </w:rPr>
        <w:t xml:space="preserve"> </w:t>
      </w:r>
    </w:p>
    <w:p w:rsidRPr="009A4A28" w:rsidR="00A945C1" w:rsidP="00A945C1" w:rsidRDefault="00A945C1" w14:paraId="17519F82" w14:textId="77777777">
      <w:pPr>
        <w:tabs>
          <w:tab w:val="left" w:pos="426"/>
        </w:tabs>
        <w:spacing w:line="276" w:lineRule="auto"/>
        <w:jc w:val="both"/>
        <w:rPr>
          <w:rFonts w:ascii="Arial" w:hAnsi="Arial" w:eastAsia="Calibri" w:cs="Arial"/>
          <w:sz w:val="22"/>
        </w:rPr>
      </w:pPr>
    </w:p>
    <w:p w:rsidRPr="009A4A28" w:rsidR="00A945C1" w:rsidP="00A945C1" w:rsidRDefault="00A945C1" w14:paraId="31610256" w14:textId="77777777">
      <w:pPr>
        <w:tabs>
          <w:tab w:val="left" w:pos="426"/>
        </w:tabs>
        <w:spacing w:line="276" w:lineRule="auto"/>
        <w:jc w:val="both"/>
        <w:rPr>
          <w:rFonts w:ascii="Arial" w:hAnsi="Arial" w:eastAsia="Calibri" w:cs="Arial"/>
          <w:b/>
          <w:sz w:val="22"/>
        </w:rPr>
      </w:pPr>
      <w:r w:rsidRPr="009A4A28">
        <w:rPr>
          <w:rFonts w:ascii="Arial" w:hAnsi="Arial" w:eastAsia="Calibri" w:cs="Arial"/>
          <w:b/>
          <w:sz w:val="22"/>
        </w:rPr>
        <w:t>2. Consideraciones</w:t>
      </w:r>
    </w:p>
    <w:p w:rsidRPr="009A4A28" w:rsidR="00A945C1" w:rsidP="00A945C1" w:rsidRDefault="00A945C1" w14:paraId="71A37B59" w14:textId="77777777">
      <w:pPr>
        <w:tabs>
          <w:tab w:val="left" w:pos="426"/>
        </w:tabs>
        <w:spacing w:line="276" w:lineRule="auto"/>
        <w:jc w:val="both"/>
        <w:rPr>
          <w:rFonts w:ascii="Arial" w:hAnsi="Arial" w:eastAsia="Calibri" w:cs="Arial"/>
          <w:b/>
          <w:sz w:val="22"/>
        </w:rPr>
      </w:pPr>
    </w:p>
    <w:p w:rsidRPr="009A4A28" w:rsidR="00A945C1" w:rsidP="003620E1" w:rsidRDefault="00A945C1" w14:paraId="27C00AEE" w14:textId="79035F0C">
      <w:pPr>
        <w:tabs>
          <w:tab w:val="left" w:pos="426"/>
        </w:tabs>
        <w:spacing w:after="120" w:line="276" w:lineRule="auto"/>
        <w:jc w:val="both"/>
        <w:rPr>
          <w:rFonts w:ascii="Arial" w:hAnsi="Arial" w:eastAsia="Calibri" w:cs="Arial"/>
          <w:b/>
          <w:sz w:val="22"/>
        </w:rPr>
      </w:pPr>
      <w:r w:rsidRPr="009A4A28">
        <w:rPr>
          <w:rFonts w:ascii="Arial" w:hAnsi="Arial" w:eastAsia="Calibri" w:cs="Arial"/>
          <w:bCs/>
          <w:sz w:val="22"/>
          <w:lang w:val="es-ES_tradnl"/>
        </w:rPr>
        <w:t xml:space="preserve">Teniendo en cuenta que la consulta se realiza en vigencia de los </w:t>
      </w:r>
      <w:r w:rsidR="00724FA3">
        <w:rPr>
          <w:rFonts w:ascii="Arial" w:hAnsi="Arial" w:eastAsia="Calibri" w:cs="Arial"/>
          <w:bCs/>
          <w:sz w:val="22"/>
          <w:lang w:val="es-ES_tradnl"/>
        </w:rPr>
        <w:t>«</w:t>
      </w:r>
      <w:r w:rsidRPr="009A4A28">
        <w:rPr>
          <w:rFonts w:ascii="Arial" w:hAnsi="Arial" w:eastAsia="Calibri" w:cs="Arial"/>
          <w:bCs/>
          <w:sz w:val="22"/>
          <w:lang w:val="es-ES_tradnl"/>
        </w:rPr>
        <w:t>Documentos Tipo</w:t>
      </w:r>
      <w:r w:rsidR="00724FA3">
        <w:rPr>
          <w:rFonts w:ascii="Arial" w:hAnsi="Arial" w:eastAsia="Calibri" w:cs="Arial"/>
          <w:bCs/>
          <w:sz w:val="22"/>
          <w:lang w:val="es-ES_tradnl"/>
        </w:rPr>
        <w:t xml:space="preserve"> – Versión 2»</w:t>
      </w:r>
      <w:r w:rsidRPr="009A4A28">
        <w:rPr>
          <w:rFonts w:ascii="Arial" w:hAnsi="Arial" w:eastAsia="Calibri" w:cs="Arial"/>
          <w:bCs/>
          <w:sz w:val="22"/>
          <w:lang w:val="es-ES_tradnl"/>
        </w:rPr>
        <w:t xml:space="preserve"> para licitación de obra pública de infraestructura de transporte, las consideraciones que se presentan a continuación están relacionadas con los formatos de estos documentos.</w:t>
      </w:r>
    </w:p>
    <w:p w:rsidR="00977F75" w:rsidP="00FC11D1" w:rsidRDefault="009A42A4" w14:paraId="7A45D2F5" w14:textId="77777777">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La Agencia </w:t>
      </w:r>
      <w:r w:rsidRPr="009A4A28">
        <w:rPr>
          <w:rFonts w:ascii="Arial" w:hAnsi="Arial" w:eastAsia="Calibri" w:cs="Arial"/>
          <w:bCs/>
          <w:sz w:val="22"/>
        </w:rPr>
        <w:t>Nacional de Contratación Pública – Colombia Compra Eficiente,</w:t>
      </w:r>
      <w:r w:rsidRPr="009A4A28">
        <w:t xml:space="preserve"> </w:t>
      </w:r>
      <w:r w:rsidRPr="009A4A28">
        <w:rPr>
          <w:rFonts w:ascii="Arial" w:hAnsi="Arial" w:eastAsia="Calibri" w:cs="Arial"/>
          <w:bCs/>
          <w:sz w:val="22"/>
        </w:rPr>
        <w:t xml:space="preserve">en el concepto con radicado No. </w:t>
      </w:r>
      <w:r w:rsidRPr="009A4A28" w:rsidR="00581D70">
        <w:rPr>
          <w:rFonts w:ascii="Arial" w:hAnsi="Arial" w:eastAsia="Calibri" w:cs="Arial"/>
          <w:bCs/>
          <w:sz w:val="22"/>
        </w:rPr>
        <w:t>4201912000004855 del 13 de agosto de 2019</w:t>
      </w:r>
      <w:r w:rsidRPr="009A4A28">
        <w:rPr>
          <w:rFonts w:ascii="Arial" w:hAnsi="Arial" w:eastAsia="Calibri" w:cs="Arial"/>
          <w:bCs/>
          <w:sz w:val="22"/>
        </w:rPr>
        <w:t>, reiterado y desarrollado en los conceptos No.</w:t>
      </w:r>
      <w:r w:rsidR="00FC11D1">
        <w:rPr>
          <w:rFonts w:ascii="Arial" w:hAnsi="Arial" w:eastAsia="Calibri" w:cs="Arial"/>
          <w:bCs/>
          <w:sz w:val="22"/>
        </w:rPr>
        <w:t xml:space="preserve"> </w:t>
      </w:r>
      <w:r w:rsidRPr="009A4A28" w:rsidR="00FC11D1">
        <w:rPr>
          <w:rFonts w:ascii="Arial" w:hAnsi="Arial" w:eastAsia="Calibri" w:cs="Arial"/>
          <w:sz w:val="22"/>
        </w:rPr>
        <w:t>4201912000006117 del 7 de septiembre de 2019</w:t>
      </w:r>
      <w:r w:rsidR="00FC11D1">
        <w:rPr>
          <w:rFonts w:ascii="Arial" w:hAnsi="Arial" w:eastAsia="Calibri" w:cs="Arial"/>
          <w:sz w:val="22"/>
        </w:rPr>
        <w:t>,</w:t>
      </w:r>
      <w:r w:rsidRPr="009A4A28" w:rsidR="002351A0">
        <w:rPr>
          <w:rFonts w:ascii="Arial" w:hAnsi="Arial" w:eastAsia="Calibri" w:cs="Arial"/>
          <w:bCs/>
          <w:sz w:val="22"/>
        </w:rPr>
        <w:t xml:space="preserve"> 4201912000005786 del 7 de octubre de 2019</w:t>
      </w:r>
      <w:r w:rsidRPr="009A4A28">
        <w:rPr>
          <w:rFonts w:ascii="Arial" w:hAnsi="Arial" w:eastAsia="Calibri" w:cs="Arial"/>
          <w:sz w:val="22"/>
        </w:rPr>
        <w:t>,</w:t>
      </w:r>
      <w:r w:rsidR="00FC11D1">
        <w:rPr>
          <w:rFonts w:ascii="Arial" w:hAnsi="Arial" w:eastAsia="Calibri" w:cs="Arial"/>
          <w:sz w:val="22"/>
        </w:rPr>
        <w:t xml:space="preserve"> </w:t>
      </w:r>
      <w:r w:rsidRPr="009A4A28" w:rsidR="00460876">
        <w:rPr>
          <w:rFonts w:ascii="Arial" w:hAnsi="Arial" w:cs="Arial"/>
          <w:sz w:val="22"/>
        </w:rPr>
        <w:t>4201912000006928, 4201912000006929 y 4201913000006952 del 8 de octubre de 2019,</w:t>
      </w:r>
      <w:r w:rsidR="00FC11D1">
        <w:rPr>
          <w:rFonts w:ascii="Arial" w:hAnsi="Arial" w:cs="Arial"/>
          <w:sz w:val="22"/>
        </w:rPr>
        <w:t xml:space="preserve"> </w:t>
      </w:r>
      <w:r w:rsidRPr="009A4A28" w:rsidR="00FC11D1">
        <w:rPr>
          <w:rFonts w:ascii="Arial" w:hAnsi="Arial" w:eastAsia="Calibri" w:cs="Arial"/>
          <w:sz w:val="22"/>
        </w:rPr>
        <w:t>4201912000006613 del 24 de octubre de 2019</w:t>
      </w:r>
      <w:r w:rsidR="00FC11D1">
        <w:rPr>
          <w:rFonts w:ascii="Arial" w:hAnsi="Arial" w:eastAsia="Calibri" w:cs="Arial"/>
          <w:sz w:val="22"/>
        </w:rPr>
        <w:t xml:space="preserve">, </w:t>
      </w:r>
      <w:r w:rsidRPr="009A4A28" w:rsidR="00FC11D1">
        <w:rPr>
          <w:rFonts w:ascii="Arial" w:hAnsi="Arial" w:eastAsia="Calibri" w:cs="Arial"/>
          <w:sz w:val="22"/>
        </w:rPr>
        <w:t>4201912000006576 del 6 de noviembre de 2019</w:t>
      </w:r>
      <w:r w:rsidRPr="009A4A28" w:rsidR="00460876">
        <w:rPr>
          <w:rFonts w:ascii="Arial" w:hAnsi="Arial" w:eastAsia="Calibri" w:cs="Arial"/>
          <w:sz w:val="22"/>
        </w:rPr>
        <w:t xml:space="preserve">, </w:t>
      </w:r>
      <w:r w:rsidRPr="009A4A28" w:rsidR="00ED7ECF">
        <w:rPr>
          <w:rFonts w:ascii="Arial" w:hAnsi="Arial" w:eastAsia="Calibri" w:cs="Arial"/>
          <w:sz w:val="22"/>
        </w:rPr>
        <w:t>4201912000007375</w:t>
      </w:r>
      <w:r w:rsidRPr="009A4A28" w:rsidR="009D0C84">
        <w:rPr>
          <w:rFonts w:ascii="Arial" w:hAnsi="Arial" w:eastAsia="Calibri" w:cs="Arial"/>
          <w:sz w:val="22"/>
        </w:rPr>
        <w:t xml:space="preserve"> y 4201912000007452</w:t>
      </w:r>
      <w:r w:rsidRPr="009A4A28" w:rsidR="00ED7ECF">
        <w:rPr>
          <w:rFonts w:ascii="Arial" w:hAnsi="Arial" w:eastAsia="Calibri" w:cs="Arial"/>
          <w:sz w:val="22"/>
        </w:rPr>
        <w:t xml:space="preserve"> del 14 de noviembre de 2019,</w:t>
      </w:r>
      <w:r w:rsidR="00FC11D1">
        <w:rPr>
          <w:rFonts w:ascii="Arial" w:hAnsi="Arial" w:eastAsia="Calibri" w:cs="Arial"/>
          <w:sz w:val="22"/>
        </w:rPr>
        <w:t xml:space="preserve"> </w:t>
      </w:r>
      <w:r w:rsidRPr="009A4A28" w:rsidR="00FC11D1">
        <w:rPr>
          <w:rFonts w:ascii="Arial" w:hAnsi="Arial" w:eastAsia="Calibri" w:cs="Arial"/>
          <w:sz w:val="22"/>
        </w:rPr>
        <w:t>4201912000007166 del 2 de diciembre de 2019</w:t>
      </w:r>
      <w:r w:rsidR="00FC11D1">
        <w:rPr>
          <w:rFonts w:ascii="Arial" w:hAnsi="Arial" w:eastAsia="Calibri" w:cs="Arial"/>
          <w:sz w:val="22"/>
        </w:rPr>
        <w:t>,</w:t>
      </w:r>
      <w:r w:rsidRPr="009A4A28" w:rsidR="00ED7ECF">
        <w:rPr>
          <w:rFonts w:ascii="Arial" w:hAnsi="Arial" w:eastAsia="Calibri" w:cs="Arial"/>
          <w:sz w:val="22"/>
        </w:rPr>
        <w:t xml:space="preserve"> </w:t>
      </w:r>
      <w:r w:rsidRPr="009A4A28" w:rsidR="00FC11D1">
        <w:rPr>
          <w:rFonts w:ascii="Arial" w:hAnsi="Arial" w:eastAsia="Calibri" w:cs="Arial"/>
          <w:sz w:val="22"/>
        </w:rPr>
        <w:t>4201912000007996 del 9 de diciembre de 2019</w:t>
      </w:r>
      <w:r w:rsidR="00FC11D1">
        <w:rPr>
          <w:rFonts w:ascii="Arial" w:hAnsi="Arial" w:eastAsia="Calibri" w:cs="Arial"/>
          <w:sz w:val="22"/>
        </w:rPr>
        <w:t xml:space="preserve">, </w:t>
      </w:r>
      <w:r w:rsidRPr="009A4A28" w:rsidR="00ED7ECF">
        <w:rPr>
          <w:rFonts w:ascii="Arial" w:hAnsi="Arial" w:eastAsia="Calibri" w:cs="Arial"/>
          <w:sz w:val="22"/>
        </w:rPr>
        <w:t>4201912000007465 del 13 de diciembre de 2019, 4201912000007755</w:t>
      </w:r>
      <w:r w:rsidR="00FC11D1">
        <w:rPr>
          <w:rFonts w:ascii="Arial" w:hAnsi="Arial" w:eastAsia="Calibri" w:cs="Arial"/>
          <w:sz w:val="22"/>
        </w:rPr>
        <w:t xml:space="preserve"> y </w:t>
      </w:r>
      <w:r w:rsidRPr="009A4A28" w:rsidR="00FC11D1">
        <w:rPr>
          <w:rFonts w:ascii="Arial" w:hAnsi="Arial" w:eastAsia="Calibri" w:cs="Arial"/>
          <w:sz w:val="22"/>
        </w:rPr>
        <w:t>4201912000007931</w:t>
      </w:r>
      <w:r w:rsidRPr="009A4A28" w:rsidR="00ED7ECF">
        <w:rPr>
          <w:rFonts w:ascii="Arial" w:hAnsi="Arial" w:eastAsia="Calibri" w:cs="Arial"/>
          <w:sz w:val="22"/>
        </w:rPr>
        <w:t xml:space="preserve"> del 20 de diciembre de 2019</w:t>
      </w:r>
      <w:r w:rsidRPr="009A4A28" w:rsidR="006908F4">
        <w:rPr>
          <w:rFonts w:ascii="Arial" w:hAnsi="Arial" w:eastAsia="Calibri" w:cs="Arial"/>
          <w:sz w:val="22"/>
        </w:rPr>
        <w:t>,</w:t>
      </w:r>
      <w:r w:rsidRPr="009A4A28" w:rsidR="00707240">
        <w:rPr>
          <w:rFonts w:ascii="Arial" w:hAnsi="Arial" w:eastAsia="Calibri" w:cs="Arial"/>
          <w:sz w:val="22"/>
        </w:rPr>
        <w:t xml:space="preserve"> 4201912000008017 del 26 de diciembre de 2019,</w:t>
      </w:r>
      <w:r w:rsidRPr="009A4A28">
        <w:rPr>
          <w:rFonts w:ascii="Arial" w:hAnsi="Arial" w:eastAsia="Calibri" w:cs="Arial"/>
          <w:sz w:val="22"/>
        </w:rPr>
        <w:t xml:space="preserve"> 4201912000008</w:t>
      </w:r>
      <w:r w:rsidRPr="009A4A28" w:rsidR="00DA6592">
        <w:rPr>
          <w:rFonts w:ascii="Arial" w:hAnsi="Arial" w:eastAsia="Calibri" w:cs="Arial"/>
          <w:sz w:val="22"/>
        </w:rPr>
        <w:t>465</w:t>
      </w:r>
      <w:r w:rsidRPr="009A4A28">
        <w:rPr>
          <w:rFonts w:ascii="Arial" w:hAnsi="Arial" w:eastAsia="Calibri" w:cs="Arial"/>
          <w:sz w:val="22"/>
        </w:rPr>
        <w:t xml:space="preserve"> del </w:t>
      </w:r>
      <w:r w:rsidRPr="009A4A28" w:rsidR="00547FF4">
        <w:rPr>
          <w:rFonts w:ascii="Arial" w:hAnsi="Arial" w:eastAsia="Calibri" w:cs="Arial"/>
          <w:sz w:val="22"/>
        </w:rPr>
        <w:t>8</w:t>
      </w:r>
      <w:r w:rsidRPr="009A4A28">
        <w:rPr>
          <w:rFonts w:ascii="Arial" w:hAnsi="Arial" w:eastAsia="Calibri" w:cs="Arial"/>
          <w:sz w:val="22"/>
        </w:rPr>
        <w:t xml:space="preserve"> de </w:t>
      </w:r>
      <w:r w:rsidRPr="009A4A28" w:rsidR="00547FF4">
        <w:rPr>
          <w:rFonts w:ascii="Arial" w:hAnsi="Arial" w:eastAsia="Calibri" w:cs="Arial"/>
          <w:sz w:val="22"/>
        </w:rPr>
        <w:t>enero</w:t>
      </w:r>
      <w:r w:rsidRPr="009A4A28">
        <w:rPr>
          <w:rFonts w:ascii="Arial" w:hAnsi="Arial" w:eastAsia="Calibri" w:cs="Arial"/>
          <w:sz w:val="22"/>
        </w:rPr>
        <w:t xml:space="preserve"> de 20</w:t>
      </w:r>
      <w:r w:rsidR="00FC11D1">
        <w:rPr>
          <w:rFonts w:ascii="Arial" w:hAnsi="Arial" w:eastAsia="Calibri" w:cs="Arial"/>
          <w:sz w:val="22"/>
        </w:rPr>
        <w:t>20</w:t>
      </w:r>
      <w:r w:rsidRPr="009A4A28" w:rsidR="009D0C84">
        <w:rPr>
          <w:rFonts w:ascii="Arial" w:hAnsi="Arial" w:eastAsia="Calibri" w:cs="Arial"/>
          <w:sz w:val="22"/>
        </w:rPr>
        <w:t>, C-133 del 30 de marzo de 2020</w:t>
      </w:r>
      <w:r w:rsidRPr="009A4A28" w:rsidR="00547FF4">
        <w:rPr>
          <w:rFonts w:ascii="Arial" w:hAnsi="Arial" w:eastAsia="Calibri" w:cs="Arial"/>
          <w:sz w:val="22"/>
        </w:rPr>
        <w:t xml:space="preserve"> </w:t>
      </w:r>
      <w:r w:rsidRPr="009A4A28" w:rsidR="00707240">
        <w:rPr>
          <w:rFonts w:ascii="Arial" w:hAnsi="Arial" w:eastAsia="Calibri" w:cs="Arial"/>
          <w:sz w:val="22"/>
        </w:rPr>
        <w:t xml:space="preserve">y </w:t>
      </w:r>
      <w:r w:rsidRPr="009A4A28" w:rsidR="00547FF4">
        <w:rPr>
          <w:rFonts w:ascii="Arial" w:hAnsi="Arial" w:eastAsia="Calibri" w:cs="Arial"/>
          <w:sz w:val="22"/>
        </w:rPr>
        <w:t>C</w:t>
      </w:r>
      <w:r w:rsidRPr="009A4A28" w:rsidR="009D0C84">
        <w:rPr>
          <w:rFonts w:ascii="Arial" w:hAnsi="Arial" w:eastAsia="Calibri" w:cs="Arial"/>
          <w:sz w:val="22"/>
        </w:rPr>
        <w:t>-</w:t>
      </w:r>
      <w:r w:rsidRPr="009A4A28" w:rsidR="00547FF4">
        <w:rPr>
          <w:rFonts w:ascii="Arial" w:hAnsi="Arial" w:eastAsia="Calibri" w:cs="Arial"/>
          <w:sz w:val="22"/>
        </w:rPr>
        <w:t>144 de</w:t>
      </w:r>
      <w:r w:rsidRPr="009A4A28" w:rsidR="009D0C84">
        <w:rPr>
          <w:rFonts w:ascii="Arial" w:hAnsi="Arial" w:eastAsia="Calibri" w:cs="Arial"/>
          <w:sz w:val="22"/>
        </w:rPr>
        <w:t>l 2 de marzo de</w:t>
      </w:r>
      <w:r w:rsidRPr="009A4A28" w:rsidR="00547FF4">
        <w:rPr>
          <w:rFonts w:ascii="Arial" w:hAnsi="Arial" w:eastAsia="Calibri" w:cs="Arial"/>
          <w:sz w:val="22"/>
        </w:rPr>
        <w:t xml:space="preserve"> 2020 </w:t>
      </w:r>
      <w:r w:rsidRPr="009A4A28" w:rsidR="00C00B91">
        <w:rPr>
          <w:rFonts w:ascii="Arial" w:hAnsi="Arial" w:eastAsia="Calibri" w:cs="Arial"/>
          <w:sz w:val="22"/>
        </w:rPr>
        <w:t>estudi</w:t>
      </w:r>
      <w:r w:rsidRPr="009A4A28" w:rsidR="00C6620F">
        <w:rPr>
          <w:rFonts w:ascii="Arial" w:hAnsi="Arial" w:eastAsia="Calibri" w:cs="Arial"/>
          <w:sz w:val="22"/>
        </w:rPr>
        <w:t>ó</w:t>
      </w:r>
      <w:r w:rsidRPr="009A4A28" w:rsidR="00C00B91">
        <w:rPr>
          <w:rFonts w:ascii="Arial" w:hAnsi="Arial" w:eastAsia="Calibri" w:cs="Arial"/>
          <w:sz w:val="22"/>
        </w:rPr>
        <w:t xml:space="preserve"> el artículo 2.2.1.2.6.1.5</w:t>
      </w:r>
      <w:r w:rsidRPr="009A4A28" w:rsidR="00C6620F">
        <w:rPr>
          <w:rFonts w:ascii="Arial" w:hAnsi="Arial" w:eastAsia="Calibri" w:cs="Arial"/>
          <w:sz w:val="22"/>
        </w:rPr>
        <w:t>.</w:t>
      </w:r>
      <w:r w:rsidRPr="009A4A28" w:rsidR="00C00B91">
        <w:rPr>
          <w:rFonts w:ascii="Arial" w:hAnsi="Arial" w:eastAsia="Calibri" w:cs="Arial"/>
          <w:sz w:val="22"/>
        </w:rPr>
        <w:t xml:space="preserve"> del Decreto 1082 de 2015 que contempla la posibilidad de solicitar experiencia adicional cuando se trata de bienes o servicios adicionales a la obra pública de infraestructura de transporte</w:t>
      </w:r>
      <w:r w:rsidRPr="009A4A28">
        <w:rPr>
          <w:rFonts w:ascii="Arial" w:hAnsi="Arial" w:eastAsia="Calibri" w:cs="Arial"/>
          <w:sz w:val="22"/>
        </w:rPr>
        <w:t>.</w:t>
      </w:r>
    </w:p>
    <w:p w:rsidRPr="00FC11D1" w:rsidR="000D0DB2" w:rsidP="00977F75" w:rsidRDefault="00C35089" w14:paraId="451A6A7D" w14:textId="1C31D290">
      <w:pPr>
        <w:spacing w:before="120" w:after="120" w:line="276" w:lineRule="auto"/>
        <w:ind w:firstLine="709"/>
        <w:jc w:val="both"/>
        <w:rPr>
          <w:rFonts w:ascii="Arial" w:hAnsi="Arial" w:cs="Arial"/>
          <w:sz w:val="22"/>
        </w:rPr>
      </w:pPr>
      <w:r>
        <w:rPr>
          <w:rFonts w:ascii="Arial" w:hAnsi="Arial" w:eastAsia="Calibri" w:cs="Arial"/>
          <w:sz w:val="22"/>
        </w:rPr>
        <w:t>De igual forma</w:t>
      </w:r>
      <w:r w:rsidR="00977F75">
        <w:rPr>
          <w:rFonts w:ascii="Arial" w:hAnsi="Arial" w:eastAsia="Calibri" w:cs="Arial"/>
          <w:sz w:val="22"/>
        </w:rPr>
        <w:t>, r</w:t>
      </w:r>
      <w:r w:rsidRPr="009A4A28" w:rsidR="00977F75">
        <w:rPr>
          <w:rFonts w:ascii="Arial" w:hAnsi="Arial" w:eastAsia="Calibri" w:cs="Arial"/>
          <w:bCs/>
          <w:sz w:val="22"/>
        </w:rPr>
        <w:t xml:space="preserve">especto a la inalterabilidad de los </w:t>
      </w:r>
      <w:r w:rsidR="00E84881">
        <w:rPr>
          <w:rFonts w:ascii="Arial" w:hAnsi="Arial" w:eastAsia="Calibri" w:cs="Arial"/>
          <w:bCs/>
          <w:sz w:val="22"/>
        </w:rPr>
        <w:t>D</w:t>
      </w:r>
      <w:r w:rsidRPr="009A4A28" w:rsidR="00977F75">
        <w:rPr>
          <w:rFonts w:ascii="Arial" w:hAnsi="Arial" w:eastAsia="Calibri" w:cs="Arial"/>
          <w:bCs/>
          <w:sz w:val="22"/>
        </w:rPr>
        <w:t xml:space="preserve">ocumentos </w:t>
      </w:r>
      <w:r w:rsidR="00E84881">
        <w:rPr>
          <w:rFonts w:ascii="Arial" w:hAnsi="Arial" w:eastAsia="Calibri" w:cs="Arial"/>
          <w:bCs/>
          <w:sz w:val="22"/>
        </w:rPr>
        <w:t>T</w:t>
      </w:r>
      <w:r w:rsidRPr="009A4A28" w:rsidR="00977F75">
        <w:rPr>
          <w:rFonts w:ascii="Arial" w:hAnsi="Arial" w:eastAsia="Calibri" w:cs="Arial"/>
          <w:bCs/>
          <w:sz w:val="22"/>
        </w:rPr>
        <w:t xml:space="preserve">ipo, </w:t>
      </w:r>
      <w:r w:rsidR="00977F75">
        <w:rPr>
          <w:rFonts w:ascii="Arial" w:hAnsi="Arial" w:eastAsia="Calibri" w:cs="Arial"/>
          <w:bCs/>
          <w:sz w:val="22"/>
        </w:rPr>
        <w:t>esta entidad</w:t>
      </w:r>
      <w:r w:rsidRPr="009A4A28" w:rsidR="00977F75">
        <w:rPr>
          <w:rFonts w:ascii="Arial" w:hAnsi="Arial" w:eastAsia="Calibri" w:cs="Arial"/>
          <w:bCs/>
          <w:sz w:val="22"/>
        </w:rPr>
        <w:t xml:space="preserve"> estudió el tema en los conceptos C</w:t>
      </w:r>
      <w:r w:rsidR="00977F75">
        <w:rPr>
          <w:rFonts w:ascii="Arial" w:hAnsi="Arial" w:eastAsia="Calibri" w:cs="Arial"/>
          <w:bCs/>
          <w:sz w:val="22"/>
        </w:rPr>
        <w:t>-</w:t>
      </w:r>
      <w:r w:rsidRPr="009A4A28" w:rsidR="00977F75">
        <w:rPr>
          <w:rFonts w:ascii="Arial" w:hAnsi="Arial" w:eastAsia="Calibri" w:cs="Arial"/>
          <w:bCs/>
          <w:sz w:val="22"/>
        </w:rPr>
        <w:t>009 del 14 de enero 2020, C</w:t>
      </w:r>
      <w:r w:rsidR="00977F75">
        <w:rPr>
          <w:rFonts w:ascii="Arial" w:hAnsi="Arial" w:eastAsia="Calibri" w:cs="Arial"/>
          <w:bCs/>
          <w:sz w:val="22"/>
        </w:rPr>
        <w:t>-</w:t>
      </w:r>
      <w:r w:rsidRPr="009A4A28" w:rsidR="00977F75">
        <w:rPr>
          <w:rFonts w:ascii="Arial" w:hAnsi="Arial" w:eastAsia="Calibri" w:cs="Arial"/>
          <w:bCs/>
          <w:sz w:val="22"/>
        </w:rPr>
        <w:t>022 del 20 de enero de 2020 y C</w:t>
      </w:r>
      <w:r w:rsidR="00977F75">
        <w:rPr>
          <w:rFonts w:ascii="Arial" w:hAnsi="Arial" w:eastAsia="Calibri" w:cs="Arial"/>
          <w:bCs/>
          <w:sz w:val="22"/>
        </w:rPr>
        <w:t>-</w:t>
      </w:r>
      <w:r w:rsidRPr="009A4A28" w:rsidR="00977F75">
        <w:rPr>
          <w:rFonts w:ascii="Arial" w:hAnsi="Arial" w:eastAsia="Calibri" w:cs="Arial"/>
          <w:bCs/>
          <w:sz w:val="22"/>
        </w:rPr>
        <w:t>036 del 7 de febrero de 2020</w:t>
      </w:r>
      <w:r w:rsidR="00E84881">
        <w:rPr>
          <w:rFonts w:ascii="Arial" w:hAnsi="Arial" w:eastAsia="Calibri" w:cs="Arial"/>
          <w:bCs/>
          <w:sz w:val="22"/>
        </w:rPr>
        <w:t xml:space="preserve">, </w:t>
      </w:r>
      <w:r w:rsidR="00E84881">
        <w:rPr>
          <w:rFonts w:ascii="Arial" w:hAnsi="Arial" w:cs="Arial"/>
          <w:color w:val="000000"/>
          <w:sz w:val="22"/>
          <w:shd w:val="clear" w:color="auto" w:fill="FFFFFF"/>
        </w:rPr>
        <w:t>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y C-501 del 29 de julio de 2020</w:t>
      </w:r>
      <w:r w:rsidR="00977F75">
        <w:rPr>
          <w:rFonts w:ascii="Arial" w:hAnsi="Arial" w:eastAsia="Calibri" w:cs="Arial"/>
          <w:bCs/>
          <w:sz w:val="22"/>
        </w:rPr>
        <w:t>.</w:t>
      </w:r>
      <w:r w:rsidRPr="009A4A28" w:rsidR="009A42A4">
        <w:rPr>
          <w:rFonts w:ascii="Arial" w:hAnsi="Arial" w:eastAsia="Calibri" w:cs="Arial"/>
          <w:sz w:val="22"/>
        </w:rPr>
        <w:t xml:space="preserve"> La tesis </w:t>
      </w:r>
      <w:r w:rsidR="00B539C1">
        <w:rPr>
          <w:rFonts w:ascii="Arial" w:hAnsi="Arial" w:eastAsia="Calibri" w:cs="Arial"/>
          <w:sz w:val="22"/>
        </w:rPr>
        <w:t xml:space="preserve">expuestas se </w:t>
      </w:r>
      <w:r w:rsidRPr="009A4A28" w:rsidR="009A42A4">
        <w:rPr>
          <w:rFonts w:ascii="Arial" w:hAnsi="Arial" w:eastAsia="Calibri" w:cs="Arial"/>
          <w:sz w:val="22"/>
        </w:rPr>
        <w:t>desarrolla</w:t>
      </w:r>
      <w:r w:rsidR="00B539C1">
        <w:rPr>
          <w:rFonts w:ascii="Arial" w:hAnsi="Arial" w:eastAsia="Calibri" w:cs="Arial"/>
          <w:sz w:val="22"/>
        </w:rPr>
        <w:t>n</w:t>
      </w:r>
      <w:r w:rsidRPr="009A4A28" w:rsidR="009A42A4">
        <w:rPr>
          <w:rFonts w:ascii="Arial" w:hAnsi="Arial" w:eastAsia="Calibri" w:cs="Arial"/>
          <w:sz w:val="22"/>
        </w:rPr>
        <w:t xml:space="preserve"> a continuación</w:t>
      </w:r>
      <w:r w:rsidR="00724FA3">
        <w:rPr>
          <w:rFonts w:ascii="Arial" w:hAnsi="Arial" w:eastAsia="Calibri" w:cs="Arial"/>
          <w:sz w:val="22"/>
        </w:rPr>
        <w:t>:</w:t>
      </w:r>
    </w:p>
    <w:p w:rsidRPr="009A4A28" w:rsidR="000D0DB2" w:rsidP="00DF5F44" w:rsidRDefault="000D0DB2" w14:paraId="4310EF14" w14:textId="3E67A2DF">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En los </w:t>
      </w:r>
      <w:r w:rsidRPr="009A4A28" w:rsidR="00EC3DFE">
        <w:rPr>
          <w:rFonts w:ascii="Arial" w:hAnsi="Arial" w:eastAsia="Calibri" w:cs="Arial"/>
          <w:sz w:val="22"/>
        </w:rPr>
        <w:t xml:space="preserve">documentos tipo </w:t>
      </w:r>
      <w:r w:rsidRPr="009A4A28">
        <w:rPr>
          <w:rFonts w:ascii="Arial" w:hAnsi="Arial" w:eastAsia="Calibri" w:cs="Arial"/>
          <w:sz w:val="22"/>
        </w:rPr>
        <w:t xml:space="preserve">implementados </w:t>
      </w:r>
      <w:r w:rsidR="003927AA">
        <w:rPr>
          <w:rFonts w:ascii="Arial" w:hAnsi="Arial" w:eastAsia="Calibri" w:cs="Arial"/>
          <w:sz w:val="22"/>
        </w:rPr>
        <w:t>mediante</w:t>
      </w:r>
      <w:r w:rsidRPr="009A4A28">
        <w:rPr>
          <w:rFonts w:ascii="Arial" w:hAnsi="Arial" w:eastAsia="Calibri" w:cs="Arial"/>
          <w:sz w:val="22"/>
        </w:rPr>
        <w:t xml:space="preserve"> la Resolución No. </w:t>
      </w:r>
      <w:r w:rsidRPr="009A4A28" w:rsidR="00DF5F44">
        <w:rPr>
          <w:rFonts w:ascii="Arial" w:hAnsi="Arial" w:eastAsia="Calibri" w:cs="Arial"/>
          <w:sz w:val="22"/>
        </w:rPr>
        <w:t>0045</w:t>
      </w:r>
      <w:r w:rsidRPr="009A4A28">
        <w:rPr>
          <w:rFonts w:ascii="Arial" w:hAnsi="Arial" w:eastAsia="Calibri" w:cs="Arial"/>
          <w:sz w:val="22"/>
        </w:rPr>
        <w:t xml:space="preserve"> del 1</w:t>
      </w:r>
      <w:r w:rsidRPr="009A4A28" w:rsidR="00DF5F44">
        <w:rPr>
          <w:rFonts w:ascii="Arial" w:hAnsi="Arial" w:eastAsia="Calibri" w:cs="Arial"/>
          <w:sz w:val="22"/>
        </w:rPr>
        <w:t>4</w:t>
      </w:r>
      <w:r w:rsidRPr="009A4A28">
        <w:rPr>
          <w:rFonts w:ascii="Arial" w:hAnsi="Arial" w:eastAsia="Calibri" w:cs="Arial"/>
          <w:sz w:val="22"/>
        </w:rPr>
        <w:t xml:space="preserve"> de </w:t>
      </w:r>
      <w:r w:rsidRPr="009A4A28" w:rsidR="00DF5F44">
        <w:rPr>
          <w:rFonts w:ascii="Arial" w:hAnsi="Arial" w:eastAsia="Calibri" w:cs="Arial"/>
          <w:sz w:val="22"/>
        </w:rPr>
        <w:t>febrero</w:t>
      </w:r>
      <w:r w:rsidRPr="009A4A28">
        <w:rPr>
          <w:rFonts w:ascii="Arial" w:hAnsi="Arial" w:eastAsia="Calibri" w:cs="Arial"/>
          <w:sz w:val="22"/>
        </w:rPr>
        <w:t xml:space="preserve"> de 2</w:t>
      </w:r>
      <w:r w:rsidRPr="009A4A28" w:rsidR="00DF5F44">
        <w:rPr>
          <w:rFonts w:ascii="Arial" w:hAnsi="Arial" w:eastAsia="Calibri" w:cs="Arial"/>
          <w:sz w:val="22"/>
        </w:rPr>
        <w:t>020</w:t>
      </w:r>
      <w:r w:rsidRPr="009A4A28">
        <w:rPr>
          <w:rFonts w:ascii="Arial" w:hAnsi="Arial" w:eastAsia="Calibri" w:cs="Arial"/>
          <w:sz w:val="22"/>
        </w:rPr>
        <w:t>, aplicables a los procesos de licitación de obra pública de infraestructura de transporte</w:t>
      </w:r>
      <w:r w:rsidR="00B539C1">
        <w:rPr>
          <w:rFonts w:ascii="Arial" w:hAnsi="Arial" w:eastAsia="Calibri" w:cs="Arial"/>
          <w:sz w:val="22"/>
        </w:rPr>
        <w:t xml:space="preserve"> –Versión 2–</w:t>
      </w:r>
      <w:r w:rsidRPr="009A4A28">
        <w:rPr>
          <w:rFonts w:ascii="Arial" w:hAnsi="Arial" w:eastAsia="Calibri" w:cs="Arial"/>
          <w:sz w:val="22"/>
        </w:rPr>
        <w:t xml:space="preserve">, para definir </w:t>
      </w:r>
      <w:r w:rsidR="0053204A">
        <w:rPr>
          <w:rFonts w:ascii="Arial" w:hAnsi="Arial" w:eastAsia="Calibri" w:cs="Arial"/>
          <w:sz w:val="22"/>
        </w:rPr>
        <w:t>si aplican a un tipo de obra específico</w:t>
      </w:r>
      <w:r w:rsidRPr="009A4A28">
        <w:rPr>
          <w:rFonts w:ascii="Arial" w:hAnsi="Arial" w:eastAsia="Calibri" w:cs="Arial"/>
          <w:sz w:val="22"/>
        </w:rPr>
        <w:t>, la entidad estatal, en la</w:t>
      </w:r>
      <w:r w:rsidRPr="009A4A28" w:rsidR="00C6620F">
        <w:rPr>
          <w:rFonts w:ascii="Arial" w:hAnsi="Arial" w:eastAsia="Calibri" w:cs="Arial"/>
          <w:sz w:val="22"/>
        </w:rPr>
        <w:t xml:space="preserve"> </w:t>
      </w:r>
      <w:r w:rsidRPr="009A4A28">
        <w:rPr>
          <w:rFonts w:ascii="Arial" w:hAnsi="Arial" w:eastAsia="Calibri" w:cs="Arial"/>
          <w:sz w:val="22"/>
        </w:rPr>
        <w:t xml:space="preserve">etapa de planeación, debe identificar, de acuerdo con el alcance del objeto a contratar, el tipo de infraestructura y las actividades definidas en la </w:t>
      </w:r>
      <w:r w:rsidR="00EC3DFE">
        <w:rPr>
          <w:rFonts w:ascii="Arial" w:hAnsi="Arial" w:eastAsia="Calibri" w:cs="Arial"/>
          <w:sz w:val="22"/>
        </w:rPr>
        <w:t>«</w:t>
      </w:r>
      <w:r w:rsidRPr="009A4A28">
        <w:rPr>
          <w:rFonts w:ascii="Arial" w:hAnsi="Arial" w:eastAsia="Calibri" w:cs="Arial"/>
          <w:sz w:val="22"/>
        </w:rPr>
        <w:t>Matriz 1</w:t>
      </w:r>
      <w:r w:rsidRPr="009A4A28" w:rsidR="00D73FD3">
        <w:rPr>
          <w:rFonts w:ascii="Arial" w:hAnsi="Arial" w:eastAsia="Calibri" w:cs="Arial"/>
          <w:sz w:val="22"/>
        </w:rPr>
        <w:t xml:space="preserve"> </w:t>
      </w:r>
      <w:r w:rsidR="00EC3DFE">
        <w:rPr>
          <w:rFonts w:ascii="Arial" w:hAnsi="Arial" w:eastAsia="Calibri" w:cs="Arial"/>
          <w:sz w:val="22"/>
        </w:rPr>
        <w:t>–</w:t>
      </w:r>
      <w:r w:rsidRPr="009A4A28">
        <w:rPr>
          <w:rFonts w:ascii="Arial" w:hAnsi="Arial" w:eastAsia="Calibri" w:cs="Arial"/>
          <w:sz w:val="22"/>
        </w:rPr>
        <w:t xml:space="preserve"> Experiencia</w:t>
      </w:r>
      <w:r w:rsidR="00EC3DFE">
        <w:rPr>
          <w:rFonts w:ascii="Arial" w:hAnsi="Arial" w:eastAsia="Calibri" w:cs="Arial"/>
          <w:sz w:val="22"/>
        </w:rPr>
        <w:t>»</w:t>
      </w:r>
      <w:r w:rsidRPr="009A4A28">
        <w:rPr>
          <w:rFonts w:ascii="Arial" w:hAnsi="Arial" w:eastAsia="Calibri" w:cs="Arial"/>
          <w:sz w:val="22"/>
        </w:rPr>
        <w:t xml:space="preserve">. De igual manera, para establecer si los </w:t>
      </w:r>
      <w:r w:rsidRPr="009A4A28" w:rsidR="00EC3DFE">
        <w:rPr>
          <w:rFonts w:ascii="Arial" w:hAnsi="Arial" w:eastAsia="Calibri" w:cs="Arial"/>
          <w:sz w:val="22"/>
        </w:rPr>
        <w:t xml:space="preserve">documentos tipo </w:t>
      </w:r>
      <w:r w:rsidRPr="009A4A28">
        <w:rPr>
          <w:rFonts w:ascii="Arial" w:hAnsi="Arial" w:eastAsia="Calibri" w:cs="Arial"/>
          <w:sz w:val="22"/>
        </w:rPr>
        <w:t xml:space="preserve">son aplicables, debe tener en cuenta los conceptos propios de la ingeniería civil y los definidos del </w:t>
      </w:r>
      <w:r w:rsidR="00EC3DFE">
        <w:rPr>
          <w:rFonts w:ascii="Arial" w:hAnsi="Arial" w:eastAsia="Calibri" w:cs="Arial"/>
          <w:sz w:val="22"/>
        </w:rPr>
        <w:t>«</w:t>
      </w:r>
      <w:r w:rsidRPr="009A4A28">
        <w:rPr>
          <w:rFonts w:ascii="Arial" w:hAnsi="Arial" w:eastAsia="Calibri" w:cs="Arial"/>
          <w:sz w:val="22"/>
        </w:rPr>
        <w:t xml:space="preserve">Anexo 3 </w:t>
      </w:r>
      <w:r w:rsidR="00EC3DFE">
        <w:rPr>
          <w:rFonts w:ascii="Arial" w:hAnsi="Arial" w:eastAsia="Calibri" w:cs="Arial"/>
          <w:sz w:val="22"/>
        </w:rPr>
        <w:t>–</w:t>
      </w:r>
      <w:r w:rsidRPr="009A4A28">
        <w:rPr>
          <w:rFonts w:ascii="Arial" w:hAnsi="Arial" w:eastAsia="Calibri" w:cs="Arial"/>
          <w:sz w:val="22"/>
        </w:rPr>
        <w:t xml:space="preserve"> Glosario</w:t>
      </w:r>
      <w:r w:rsidR="00EC3DFE">
        <w:rPr>
          <w:rFonts w:ascii="Arial" w:hAnsi="Arial" w:eastAsia="Calibri" w:cs="Arial"/>
          <w:sz w:val="22"/>
        </w:rPr>
        <w:t>»</w:t>
      </w:r>
      <w:r w:rsidR="00546D7B">
        <w:rPr>
          <w:rFonts w:ascii="Arial" w:hAnsi="Arial" w:eastAsia="Calibri" w:cs="Arial"/>
          <w:sz w:val="22"/>
        </w:rPr>
        <w:t>.</w:t>
      </w:r>
      <w:r w:rsidRPr="009A4A28">
        <w:rPr>
          <w:rFonts w:ascii="Arial" w:hAnsi="Arial" w:eastAsia="Calibri" w:cs="Arial"/>
          <w:sz w:val="22"/>
        </w:rPr>
        <w:t xml:space="preserve"> </w:t>
      </w:r>
      <w:r w:rsidR="00546D7B">
        <w:rPr>
          <w:rFonts w:ascii="Arial" w:hAnsi="Arial" w:eastAsia="Calibri" w:cs="Arial"/>
          <w:sz w:val="22"/>
        </w:rPr>
        <w:t xml:space="preserve">Esto </w:t>
      </w:r>
      <w:r w:rsidRPr="009A4A28">
        <w:rPr>
          <w:rFonts w:ascii="Arial" w:hAnsi="Arial" w:eastAsia="Calibri" w:cs="Arial"/>
          <w:sz w:val="22"/>
        </w:rPr>
        <w:t>con el fin de verificar si el objeto a contratar se encuentra enmarcado en dichas actividades.</w:t>
      </w:r>
    </w:p>
    <w:p w:rsidRPr="009A4A28" w:rsidR="000D0DB2" w:rsidP="004015A7" w:rsidRDefault="000D0DB2" w14:paraId="41F88E4D" w14:textId="629B8EE4">
      <w:pPr>
        <w:spacing w:after="120" w:line="276" w:lineRule="auto"/>
        <w:ind w:firstLine="708"/>
        <w:jc w:val="both"/>
        <w:rPr>
          <w:rFonts w:ascii="Arial" w:hAnsi="Arial" w:eastAsia="Calibri" w:cs="Arial"/>
          <w:sz w:val="22"/>
        </w:rPr>
      </w:pPr>
      <w:r w:rsidRPr="009A4A28">
        <w:rPr>
          <w:rFonts w:ascii="Arial" w:hAnsi="Arial" w:eastAsia="Calibri" w:cs="Arial"/>
          <w:sz w:val="22"/>
        </w:rPr>
        <w:lastRenderedPageBreak/>
        <w:t xml:space="preserve">De esta manera, la entidad estatal, para definir la experiencia exigible en un </w:t>
      </w:r>
      <w:r w:rsidRPr="009A4A28" w:rsidR="00EC3DFE">
        <w:rPr>
          <w:rFonts w:ascii="Arial" w:hAnsi="Arial" w:eastAsia="Calibri" w:cs="Arial"/>
          <w:sz w:val="22"/>
        </w:rPr>
        <w:t>proce</w:t>
      </w:r>
      <w:r w:rsidR="00EC3DFE">
        <w:rPr>
          <w:rFonts w:ascii="Arial" w:hAnsi="Arial" w:eastAsia="Calibri" w:cs="Arial"/>
          <w:sz w:val="22"/>
        </w:rPr>
        <w:t>dimiento</w:t>
      </w:r>
      <w:r w:rsidRPr="009A4A28" w:rsidR="00EC3DFE">
        <w:rPr>
          <w:rFonts w:ascii="Arial" w:hAnsi="Arial" w:eastAsia="Calibri" w:cs="Arial"/>
          <w:sz w:val="22"/>
        </w:rPr>
        <w:t xml:space="preserve"> </w:t>
      </w:r>
      <w:r w:rsidRPr="009A4A28">
        <w:rPr>
          <w:rFonts w:ascii="Arial" w:hAnsi="Arial" w:eastAsia="Calibri" w:cs="Arial"/>
          <w:sz w:val="22"/>
        </w:rPr>
        <w:t xml:space="preserve">de licitación de obra pública de infraestructura de transporte, </w:t>
      </w:r>
      <w:r w:rsidR="00B539C1">
        <w:rPr>
          <w:rFonts w:ascii="Arial" w:hAnsi="Arial" w:eastAsia="Calibri" w:cs="Arial"/>
          <w:sz w:val="22"/>
        </w:rPr>
        <w:t xml:space="preserve">sometida a los documentos tipo, </w:t>
      </w:r>
      <w:r w:rsidRPr="009A4A28">
        <w:rPr>
          <w:rFonts w:ascii="Arial" w:hAnsi="Arial" w:eastAsia="Calibri" w:cs="Arial"/>
          <w:sz w:val="22"/>
        </w:rPr>
        <w:t xml:space="preserve">debe seguir </w:t>
      </w:r>
      <w:r w:rsidRPr="009A4A28" w:rsidR="00C6620F">
        <w:rPr>
          <w:rFonts w:ascii="Arial" w:hAnsi="Arial" w:eastAsia="Calibri" w:cs="Arial"/>
          <w:sz w:val="22"/>
        </w:rPr>
        <w:t>estos</w:t>
      </w:r>
      <w:r w:rsidRPr="009A4A28">
        <w:rPr>
          <w:rFonts w:ascii="Arial" w:hAnsi="Arial" w:eastAsia="Calibri" w:cs="Arial"/>
          <w:sz w:val="22"/>
        </w:rPr>
        <w:t xml:space="preserve"> pasos:</w:t>
      </w:r>
    </w:p>
    <w:p w:rsidRPr="009A4A28" w:rsidR="000D0DB2" w:rsidP="004015A7" w:rsidRDefault="00C6620F" w14:paraId="525B1F5A" w14:textId="1401D8C7">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a) </w:t>
      </w:r>
      <w:r w:rsidRPr="009A4A28" w:rsidR="000D0DB2">
        <w:rPr>
          <w:rFonts w:ascii="Arial" w:hAnsi="Arial" w:eastAsia="Calibri" w:cs="Arial"/>
          <w:sz w:val="22"/>
        </w:rPr>
        <w:t xml:space="preserve">Identificar en la </w:t>
      </w:r>
      <w:r w:rsidR="00EC3DFE">
        <w:rPr>
          <w:rFonts w:ascii="Arial" w:hAnsi="Arial" w:eastAsia="Calibri" w:cs="Arial"/>
          <w:sz w:val="22"/>
        </w:rPr>
        <w:t>«</w:t>
      </w:r>
      <w:r w:rsidRPr="009A4A28" w:rsidR="000D0DB2">
        <w:rPr>
          <w:rFonts w:ascii="Arial" w:hAnsi="Arial" w:eastAsia="Calibri" w:cs="Arial"/>
          <w:sz w:val="22"/>
        </w:rPr>
        <w:t>Matriz 1</w:t>
      </w:r>
      <w:r w:rsidRPr="009A4A28" w:rsidR="00D73FD3">
        <w:rPr>
          <w:rFonts w:ascii="Arial" w:hAnsi="Arial" w:eastAsia="Calibri" w:cs="Arial"/>
          <w:sz w:val="22"/>
        </w:rPr>
        <w:t xml:space="preserve"> </w:t>
      </w:r>
      <w:r w:rsidR="00EC3DFE">
        <w:rPr>
          <w:rFonts w:ascii="Arial" w:hAnsi="Arial" w:eastAsia="Calibri" w:cs="Arial"/>
          <w:sz w:val="22"/>
        </w:rPr>
        <w:t>–</w:t>
      </w:r>
      <w:r w:rsidRPr="009A4A28" w:rsidR="000D0DB2">
        <w:rPr>
          <w:rFonts w:ascii="Arial" w:hAnsi="Arial" w:eastAsia="Calibri" w:cs="Arial"/>
          <w:sz w:val="22"/>
        </w:rPr>
        <w:t xml:space="preserve"> Experiencia</w:t>
      </w:r>
      <w:r w:rsidR="00EC3DFE">
        <w:rPr>
          <w:rFonts w:ascii="Arial" w:hAnsi="Arial" w:eastAsia="Calibri" w:cs="Arial"/>
          <w:sz w:val="22"/>
        </w:rPr>
        <w:t>»</w:t>
      </w:r>
      <w:r w:rsidRPr="009A4A28" w:rsidR="000D0DB2">
        <w:rPr>
          <w:rFonts w:ascii="Arial" w:hAnsi="Arial" w:eastAsia="Calibri" w:cs="Arial"/>
          <w:sz w:val="22"/>
        </w:rPr>
        <w:t>,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rsidRPr="009A4A28" w:rsidR="000D0DB2" w:rsidP="004015A7" w:rsidRDefault="000D0DB2" w14:paraId="6EA55A44" w14:textId="05D0BF88">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b) Una vez definido el tipo de infraestructura, identificar la </w:t>
      </w:r>
      <w:r w:rsidRPr="009A4A28" w:rsidR="00D73FD3">
        <w:rPr>
          <w:rFonts w:ascii="Arial" w:hAnsi="Arial" w:eastAsia="Calibri" w:cs="Arial"/>
          <w:sz w:val="22"/>
        </w:rPr>
        <w:t>«</w:t>
      </w:r>
      <w:r w:rsidRPr="009A4A28">
        <w:rPr>
          <w:rFonts w:ascii="Arial" w:hAnsi="Arial" w:eastAsia="Calibri" w:cs="Arial"/>
          <w:sz w:val="22"/>
        </w:rPr>
        <w:t>ACTIVIDAD A CONTRATAR</w:t>
      </w:r>
      <w:r w:rsidRPr="009A4A28" w:rsidR="00D73FD3">
        <w:rPr>
          <w:rFonts w:ascii="Arial" w:hAnsi="Arial" w:eastAsia="Calibri" w:cs="Arial"/>
          <w:sz w:val="22"/>
        </w:rPr>
        <w:t>»</w:t>
      </w:r>
      <w:r w:rsidRPr="009A4A28">
        <w:rPr>
          <w:rFonts w:ascii="Arial" w:hAnsi="Arial" w:eastAsia="Calibri" w:cs="Arial"/>
          <w:sz w:val="22"/>
        </w:rPr>
        <w:t xml:space="preserve"> acorde con la Matriz 1</w:t>
      </w:r>
      <w:r w:rsidRPr="009A4A28" w:rsidR="00D73FD3">
        <w:rPr>
          <w:rFonts w:ascii="Arial" w:hAnsi="Arial" w:eastAsia="Calibri" w:cs="Arial"/>
          <w:sz w:val="22"/>
        </w:rPr>
        <w:t xml:space="preserve"> </w:t>
      </w:r>
      <w:r w:rsidRPr="009A4A28">
        <w:rPr>
          <w:rFonts w:ascii="Arial" w:hAnsi="Arial" w:eastAsia="Calibri" w:cs="Arial"/>
          <w:sz w:val="22"/>
        </w:rPr>
        <w:t>- Experiencia.</w:t>
      </w:r>
    </w:p>
    <w:p w:rsidRPr="009A4A28" w:rsidR="000D0DB2" w:rsidP="004015A7" w:rsidRDefault="000D0DB2" w14:paraId="789522FB" w14:textId="25E5FFDE">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c) Identificar el rango en el cual se encuentra el </w:t>
      </w:r>
      <w:r w:rsidRPr="009A4A28" w:rsidR="00EC3DFE">
        <w:rPr>
          <w:rFonts w:ascii="Arial" w:hAnsi="Arial" w:eastAsia="Calibri" w:cs="Arial"/>
          <w:sz w:val="22"/>
        </w:rPr>
        <w:t>proce</w:t>
      </w:r>
      <w:r w:rsidR="00EC3DFE">
        <w:rPr>
          <w:rFonts w:ascii="Arial" w:hAnsi="Arial" w:eastAsia="Calibri" w:cs="Arial"/>
          <w:sz w:val="22"/>
        </w:rPr>
        <w:t>dimiento</w:t>
      </w:r>
      <w:r w:rsidRPr="009A4A28" w:rsidR="00EC3DFE">
        <w:rPr>
          <w:rFonts w:ascii="Arial" w:hAnsi="Arial" w:eastAsia="Calibri" w:cs="Arial"/>
          <w:sz w:val="22"/>
        </w:rPr>
        <w:t xml:space="preserve"> de contratación </w:t>
      </w:r>
      <w:r w:rsidRPr="009A4A28">
        <w:rPr>
          <w:rFonts w:ascii="Arial" w:hAnsi="Arial" w:eastAsia="Calibri" w:cs="Arial"/>
          <w:sz w:val="22"/>
        </w:rPr>
        <w:t>de acuerdo con el presupuesto oficial.</w:t>
      </w:r>
    </w:p>
    <w:p w:rsidRPr="009A4A28" w:rsidR="000D0DB2" w:rsidP="004015A7" w:rsidRDefault="000D0DB2" w14:paraId="2215E422" w14:textId="2271D27E">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d) Identificar la </w:t>
      </w:r>
      <w:r w:rsidRPr="009A4A28" w:rsidR="00D73FD3">
        <w:rPr>
          <w:rFonts w:ascii="Arial" w:hAnsi="Arial" w:eastAsia="Calibri" w:cs="Arial"/>
          <w:sz w:val="22"/>
        </w:rPr>
        <w:t>«</w:t>
      </w:r>
      <w:r w:rsidRPr="009A4A28">
        <w:rPr>
          <w:rFonts w:ascii="Arial" w:hAnsi="Arial" w:eastAsia="Calibri" w:cs="Arial"/>
          <w:sz w:val="22"/>
        </w:rPr>
        <w:t>experiencia general</w:t>
      </w:r>
      <w:r w:rsidRPr="009A4A28" w:rsidR="00D73FD3">
        <w:rPr>
          <w:rFonts w:ascii="Arial" w:hAnsi="Arial" w:eastAsia="Calibri" w:cs="Arial"/>
          <w:sz w:val="22"/>
        </w:rPr>
        <w:t>»</w:t>
      </w:r>
      <w:r w:rsidRPr="009A4A28">
        <w:rPr>
          <w:rFonts w:ascii="Arial" w:hAnsi="Arial" w:eastAsia="Calibri" w:cs="Arial"/>
          <w:sz w:val="22"/>
        </w:rPr>
        <w:t xml:space="preserve"> exigible acorde con la </w:t>
      </w:r>
      <w:r w:rsidR="00EC3DFE">
        <w:rPr>
          <w:rFonts w:ascii="Arial" w:hAnsi="Arial" w:eastAsia="Calibri" w:cs="Arial"/>
          <w:sz w:val="22"/>
        </w:rPr>
        <w:t>«</w:t>
      </w:r>
      <w:r w:rsidRPr="009A4A28">
        <w:rPr>
          <w:rFonts w:ascii="Arial" w:hAnsi="Arial" w:eastAsia="Calibri" w:cs="Arial"/>
          <w:sz w:val="22"/>
        </w:rPr>
        <w:t>Matriz 1</w:t>
      </w:r>
      <w:r w:rsidRPr="009A4A28" w:rsidR="00D73FD3">
        <w:rPr>
          <w:rFonts w:ascii="Arial" w:hAnsi="Arial" w:eastAsia="Calibri" w:cs="Arial"/>
          <w:sz w:val="22"/>
        </w:rPr>
        <w:t xml:space="preserve"> </w:t>
      </w:r>
      <w:r w:rsidR="00EC3DFE">
        <w:rPr>
          <w:rFonts w:ascii="Arial" w:hAnsi="Arial" w:eastAsia="Calibri" w:cs="Arial"/>
          <w:sz w:val="22"/>
        </w:rPr>
        <w:t>–</w:t>
      </w:r>
      <w:r w:rsidRPr="009A4A28">
        <w:rPr>
          <w:rFonts w:ascii="Arial" w:hAnsi="Arial" w:eastAsia="Calibri" w:cs="Arial"/>
          <w:sz w:val="22"/>
        </w:rPr>
        <w:t xml:space="preserve"> Experiencia</w:t>
      </w:r>
      <w:r w:rsidR="00EC3DFE">
        <w:rPr>
          <w:rFonts w:ascii="Arial" w:hAnsi="Arial" w:eastAsia="Calibri" w:cs="Arial"/>
          <w:sz w:val="22"/>
        </w:rPr>
        <w:t>»</w:t>
      </w:r>
      <w:r w:rsidRPr="009A4A28">
        <w:rPr>
          <w:rFonts w:ascii="Arial" w:hAnsi="Arial" w:eastAsia="Calibri" w:cs="Arial"/>
          <w:sz w:val="22"/>
        </w:rPr>
        <w:t xml:space="preserve">, teniendo en cuenta la actividad a contratar y el rango de la cuantía del </w:t>
      </w:r>
      <w:r w:rsidR="00EC3DFE">
        <w:rPr>
          <w:rFonts w:ascii="Arial" w:hAnsi="Arial" w:eastAsia="Calibri" w:cs="Arial"/>
          <w:sz w:val="22"/>
        </w:rPr>
        <w:t>procedimiento contractual</w:t>
      </w:r>
      <w:r w:rsidRPr="009A4A28">
        <w:rPr>
          <w:rFonts w:ascii="Arial" w:hAnsi="Arial" w:eastAsia="Calibri" w:cs="Arial"/>
          <w:sz w:val="22"/>
        </w:rPr>
        <w:t>.</w:t>
      </w:r>
    </w:p>
    <w:p w:rsidRPr="009A4A28" w:rsidR="000D0DB2" w:rsidP="004015A7" w:rsidRDefault="000D0DB2" w14:paraId="21F24405" w14:textId="13893281">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e) Identificar la </w:t>
      </w:r>
      <w:r w:rsidRPr="009A4A28" w:rsidR="00D73FD3">
        <w:rPr>
          <w:rFonts w:ascii="Arial" w:hAnsi="Arial" w:eastAsia="Calibri" w:cs="Arial"/>
          <w:sz w:val="22"/>
        </w:rPr>
        <w:t>«</w:t>
      </w:r>
      <w:r w:rsidRPr="009A4A28">
        <w:rPr>
          <w:rFonts w:ascii="Arial" w:hAnsi="Arial" w:eastAsia="Calibri" w:cs="Arial"/>
          <w:sz w:val="22"/>
        </w:rPr>
        <w:t>experiencia específica</w:t>
      </w:r>
      <w:r w:rsidRPr="009A4A28" w:rsidR="00D73FD3">
        <w:rPr>
          <w:rFonts w:ascii="Arial" w:hAnsi="Arial" w:eastAsia="Calibri" w:cs="Arial"/>
          <w:sz w:val="22"/>
        </w:rPr>
        <w:t>»</w:t>
      </w:r>
      <w:r w:rsidRPr="009A4A28">
        <w:rPr>
          <w:rFonts w:ascii="Arial" w:hAnsi="Arial" w:eastAsia="Calibri" w:cs="Arial"/>
          <w:sz w:val="22"/>
        </w:rPr>
        <w:t xml:space="preserve"> exigible y el porcentaje de dimensionamiento que se puede solicitar, acorde con la longitud a ejecutar, de acuerdo con la cuantía del proce</w:t>
      </w:r>
      <w:r w:rsidR="00EC3DFE">
        <w:rPr>
          <w:rFonts w:ascii="Arial" w:hAnsi="Arial" w:eastAsia="Calibri" w:cs="Arial"/>
          <w:sz w:val="22"/>
        </w:rPr>
        <w:t>dimiento</w:t>
      </w:r>
      <w:r w:rsidRPr="009A4A28">
        <w:rPr>
          <w:rFonts w:ascii="Arial" w:hAnsi="Arial" w:eastAsia="Calibri" w:cs="Arial"/>
          <w:sz w:val="22"/>
        </w:rPr>
        <w:t xml:space="preserve"> de contratación. Cuando en la </w:t>
      </w:r>
      <w:r w:rsidRPr="009A4A28" w:rsidR="00D73FD3">
        <w:rPr>
          <w:rFonts w:ascii="Arial" w:hAnsi="Arial" w:eastAsia="Calibri" w:cs="Arial"/>
          <w:sz w:val="22"/>
        </w:rPr>
        <w:t>«experiencia específica»</w:t>
      </w:r>
      <w:r w:rsidRPr="009A4A28">
        <w:rPr>
          <w:rFonts w:ascii="Arial" w:hAnsi="Arial" w:eastAsia="Calibri" w:cs="Arial"/>
          <w:sz w:val="22"/>
        </w:rPr>
        <w:t xml:space="preserve"> se indique</w:t>
      </w:r>
      <w:r w:rsidR="0054642B">
        <w:rPr>
          <w:rFonts w:ascii="Arial" w:hAnsi="Arial" w:eastAsia="Calibri" w:cs="Arial"/>
          <w:sz w:val="22"/>
        </w:rPr>
        <w:t>n</w:t>
      </w:r>
      <w:r w:rsidRPr="009A4A28">
        <w:rPr>
          <w:rFonts w:ascii="Arial" w:hAnsi="Arial" w:eastAsia="Calibri" w:cs="Arial"/>
          <w:sz w:val="22"/>
        </w:rPr>
        <w:t xml:space="preserve"> las siglas N.A</w:t>
      </w:r>
      <w:r w:rsidR="0054642B">
        <w:rPr>
          <w:rFonts w:ascii="Arial" w:hAnsi="Arial" w:eastAsia="Calibri" w:cs="Arial"/>
          <w:sz w:val="22"/>
        </w:rPr>
        <w:t>.,</w:t>
      </w:r>
      <w:r w:rsidRPr="009A4A28">
        <w:rPr>
          <w:rFonts w:ascii="Arial" w:hAnsi="Arial" w:eastAsia="Calibri" w:cs="Arial"/>
          <w:sz w:val="22"/>
        </w:rPr>
        <w:t xml:space="preserve"> significa que la entidad estatal no puede exigir a los proponentes ningún tipo de experiencia específica en los proce</w:t>
      </w:r>
      <w:r w:rsidR="00EC3DFE">
        <w:rPr>
          <w:rFonts w:ascii="Arial" w:hAnsi="Arial" w:eastAsia="Calibri" w:cs="Arial"/>
          <w:sz w:val="22"/>
        </w:rPr>
        <w:t>dimientos</w:t>
      </w:r>
      <w:r w:rsidRPr="009A4A28">
        <w:rPr>
          <w:rFonts w:ascii="Arial" w:hAnsi="Arial" w:eastAsia="Calibri" w:cs="Arial"/>
          <w:sz w:val="22"/>
        </w:rPr>
        <w:t xml:space="preserve"> de contratación.</w:t>
      </w:r>
    </w:p>
    <w:p w:rsidRPr="009A4A28" w:rsidR="000D0DB2" w:rsidP="004015A7" w:rsidRDefault="000D0DB2" w14:paraId="2FD0FEE4" w14:textId="216988B5">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En este sentido, la </w:t>
      </w:r>
      <w:r w:rsidRPr="009A4A28" w:rsidR="004015A7">
        <w:rPr>
          <w:rFonts w:ascii="Arial" w:hAnsi="Arial" w:eastAsia="Calibri" w:cs="Arial"/>
          <w:sz w:val="22"/>
        </w:rPr>
        <w:t>«</w:t>
      </w:r>
      <w:r w:rsidRPr="009A4A28">
        <w:rPr>
          <w:rFonts w:ascii="Arial" w:hAnsi="Arial" w:eastAsia="Calibri" w:cs="Arial"/>
          <w:sz w:val="22"/>
        </w:rPr>
        <w:t>experiencia general</w:t>
      </w:r>
      <w:r w:rsidRPr="009A4A28" w:rsidR="004015A7">
        <w:rPr>
          <w:rFonts w:ascii="Arial" w:hAnsi="Arial" w:eastAsia="Calibri" w:cs="Arial"/>
          <w:sz w:val="22"/>
        </w:rPr>
        <w:t>»</w:t>
      </w:r>
      <w:r w:rsidRPr="009A4A28">
        <w:rPr>
          <w:rFonts w:ascii="Arial" w:hAnsi="Arial" w:eastAsia="Calibri" w:cs="Arial"/>
          <w:sz w:val="22"/>
        </w:rPr>
        <w:t xml:space="preserve"> y la </w:t>
      </w:r>
      <w:r w:rsidRPr="009A4A28" w:rsidR="00D73FD3">
        <w:rPr>
          <w:rFonts w:ascii="Arial" w:hAnsi="Arial" w:eastAsia="Calibri" w:cs="Arial"/>
          <w:sz w:val="22"/>
        </w:rPr>
        <w:t>«experiencia específica»</w:t>
      </w:r>
      <w:r w:rsidRPr="009A4A28">
        <w:rPr>
          <w:rFonts w:ascii="Arial" w:hAnsi="Arial" w:eastAsia="Calibri" w:cs="Arial"/>
          <w:sz w:val="22"/>
        </w:rPr>
        <w:t xml:space="preserve"> se exigirán de acuerdo con la actividad a contratar y con la cuantía del </w:t>
      </w:r>
      <w:r w:rsidR="00EC3DFE">
        <w:rPr>
          <w:rFonts w:ascii="Arial" w:hAnsi="Arial" w:eastAsia="Calibri" w:cs="Arial"/>
          <w:sz w:val="22"/>
        </w:rPr>
        <w:t>procedimiento de contratació</w:t>
      </w:r>
      <w:r w:rsidR="0054642B">
        <w:rPr>
          <w:rFonts w:ascii="Arial" w:hAnsi="Arial" w:eastAsia="Calibri" w:cs="Arial"/>
          <w:sz w:val="22"/>
        </w:rPr>
        <w:t>n. P</w:t>
      </w:r>
      <w:r w:rsidRPr="009A4A28">
        <w:rPr>
          <w:rFonts w:ascii="Arial" w:hAnsi="Arial" w:eastAsia="Calibri" w:cs="Arial"/>
          <w:sz w:val="22"/>
        </w:rPr>
        <w:t xml:space="preserve">or lo tanto no se podrán exigir actividades o cantidades distintas a las previstas en la </w:t>
      </w:r>
      <w:r w:rsidR="00EC3DFE">
        <w:rPr>
          <w:rFonts w:ascii="Arial" w:hAnsi="Arial" w:eastAsia="Calibri" w:cs="Arial"/>
          <w:sz w:val="22"/>
        </w:rPr>
        <w:t>«</w:t>
      </w:r>
      <w:r w:rsidRPr="009A4A28">
        <w:rPr>
          <w:rFonts w:ascii="Arial" w:hAnsi="Arial" w:eastAsia="Calibri" w:cs="Arial"/>
          <w:sz w:val="22"/>
        </w:rPr>
        <w:t>Matriz 1</w:t>
      </w:r>
      <w:r w:rsidRPr="009A4A28" w:rsidR="00FF4FC8">
        <w:rPr>
          <w:rFonts w:ascii="Arial" w:hAnsi="Arial" w:eastAsia="Calibri" w:cs="Arial"/>
          <w:sz w:val="22"/>
        </w:rPr>
        <w:t xml:space="preserve"> </w:t>
      </w:r>
      <w:r w:rsidR="00EC3DFE">
        <w:rPr>
          <w:rFonts w:ascii="Arial" w:hAnsi="Arial" w:eastAsia="Calibri" w:cs="Arial"/>
          <w:sz w:val="22"/>
        </w:rPr>
        <w:t>–</w:t>
      </w:r>
      <w:r w:rsidRPr="009A4A28">
        <w:rPr>
          <w:rFonts w:ascii="Arial" w:hAnsi="Arial" w:eastAsia="Calibri" w:cs="Arial"/>
          <w:sz w:val="22"/>
        </w:rPr>
        <w:t xml:space="preserve"> Experiencia</w:t>
      </w:r>
      <w:r w:rsidR="00EC3DFE">
        <w:rPr>
          <w:rFonts w:ascii="Arial" w:hAnsi="Arial" w:eastAsia="Calibri" w:cs="Arial"/>
          <w:sz w:val="22"/>
        </w:rPr>
        <w:t>»</w:t>
      </w:r>
      <w:r w:rsidRPr="009A4A28">
        <w:rPr>
          <w:rFonts w:ascii="Arial" w:hAnsi="Arial" w:eastAsia="Calibri" w:cs="Arial"/>
          <w:sz w:val="22"/>
        </w:rPr>
        <w:t>.</w:t>
      </w:r>
    </w:p>
    <w:p w:rsidRPr="009A4A28" w:rsidR="00627FA4" w:rsidP="004015A7" w:rsidRDefault="00627FA4" w14:paraId="2BC867D7" w14:textId="3A34758C">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Una excepción a la anterior regla fue desarrollada por el </w:t>
      </w:r>
      <w:r w:rsidRPr="009A4A28" w:rsidR="004F0E02">
        <w:rPr>
          <w:rFonts w:ascii="Arial" w:hAnsi="Arial" w:eastAsia="Calibri" w:cs="Arial"/>
          <w:sz w:val="22"/>
        </w:rPr>
        <w:t>Decreto 342 de 2019</w:t>
      </w:r>
      <w:r w:rsidRPr="009A4A28">
        <w:rPr>
          <w:rFonts w:ascii="Arial" w:hAnsi="Arial" w:eastAsia="Calibri" w:cs="Arial"/>
          <w:sz w:val="22"/>
        </w:rPr>
        <w:t xml:space="preserve">, </w:t>
      </w:r>
      <w:r w:rsidR="00B539C1">
        <w:rPr>
          <w:rFonts w:ascii="Arial" w:hAnsi="Arial" w:eastAsia="Calibri" w:cs="Arial"/>
          <w:sz w:val="22"/>
        </w:rPr>
        <w:t xml:space="preserve">que modificó el Decreto 1082 de 2015, </w:t>
      </w:r>
      <w:r w:rsidRPr="009A4A28">
        <w:rPr>
          <w:rFonts w:ascii="Arial" w:hAnsi="Arial" w:eastAsia="Calibri" w:cs="Arial"/>
          <w:sz w:val="22"/>
        </w:rPr>
        <w:t>al contemplar que la entidad pueda solicitar experiencia adicional para evaluar la idoneidad del contratista en procesos de contratación de licitación de obra pública de infraestructura de transporte</w:t>
      </w:r>
      <w:r w:rsidR="0054642B">
        <w:rPr>
          <w:rFonts w:ascii="Arial" w:hAnsi="Arial" w:eastAsia="Calibri" w:cs="Arial"/>
          <w:sz w:val="22"/>
        </w:rPr>
        <w:t>,</w:t>
      </w:r>
      <w:r w:rsidRPr="009A4A28">
        <w:rPr>
          <w:rFonts w:ascii="Arial" w:hAnsi="Arial" w:eastAsia="Calibri" w:cs="Arial"/>
          <w:sz w:val="22"/>
        </w:rPr>
        <w:t xml:space="preserve"> que incluyen bienes o servicios adicionales</w:t>
      </w:r>
      <w:r w:rsidR="0054642B">
        <w:rPr>
          <w:rFonts w:ascii="Arial" w:hAnsi="Arial" w:eastAsia="Calibri" w:cs="Arial"/>
          <w:sz w:val="22"/>
        </w:rPr>
        <w:t>.</w:t>
      </w:r>
      <w:r w:rsidRPr="009A4A28">
        <w:rPr>
          <w:rFonts w:ascii="Arial" w:hAnsi="Arial" w:eastAsia="Calibri" w:cs="Arial"/>
          <w:sz w:val="22"/>
        </w:rPr>
        <w:t xml:space="preserve"> </w:t>
      </w:r>
      <w:r w:rsidR="0054642B">
        <w:rPr>
          <w:rFonts w:ascii="Arial" w:hAnsi="Arial" w:eastAsia="Calibri" w:cs="Arial"/>
          <w:sz w:val="22"/>
        </w:rPr>
        <w:t>Estos</w:t>
      </w:r>
      <w:r w:rsidRPr="009A4A28">
        <w:rPr>
          <w:rFonts w:ascii="Arial" w:hAnsi="Arial" w:eastAsia="Calibri" w:cs="Arial"/>
          <w:sz w:val="22"/>
        </w:rPr>
        <w:t xml:space="preserve"> deben ser necesidades que no están incluid</w:t>
      </w:r>
      <w:r w:rsidRPr="009A4A28" w:rsidR="004F0E02">
        <w:rPr>
          <w:rFonts w:ascii="Arial" w:hAnsi="Arial" w:eastAsia="Calibri" w:cs="Arial"/>
          <w:sz w:val="22"/>
        </w:rPr>
        <w:t>a</w:t>
      </w:r>
      <w:r w:rsidRPr="009A4A28">
        <w:rPr>
          <w:rFonts w:ascii="Arial" w:hAnsi="Arial" w:eastAsia="Calibri" w:cs="Arial"/>
          <w:sz w:val="22"/>
        </w:rPr>
        <w:t>s en el alcance de la obra y que su ejecución se contempla en el mismo proce</w:t>
      </w:r>
      <w:r w:rsidR="00EC3DFE">
        <w:rPr>
          <w:rFonts w:ascii="Arial" w:hAnsi="Arial" w:eastAsia="Calibri" w:cs="Arial"/>
          <w:sz w:val="22"/>
        </w:rPr>
        <w:t>dimiento</w:t>
      </w:r>
      <w:r w:rsidRPr="009A4A28">
        <w:rPr>
          <w:rFonts w:ascii="Arial" w:hAnsi="Arial" w:eastAsia="Calibri" w:cs="Arial"/>
          <w:sz w:val="22"/>
        </w:rPr>
        <w:t xml:space="preserve"> de contratación</w:t>
      </w:r>
      <w:r w:rsidR="006D0B81">
        <w:rPr>
          <w:rFonts w:ascii="Arial" w:hAnsi="Arial" w:eastAsia="Calibri" w:cs="Arial"/>
          <w:sz w:val="22"/>
        </w:rPr>
        <w:t xml:space="preserve">. </w:t>
      </w:r>
      <w:r w:rsidR="008D193F">
        <w:rPr>
          <w:rFonts w:ascii="Arial" w:hAnsi="Arial" w:eastAsia="Calibri" w:cs="Arial"/>
          <w:sz w:val="22"/>
        </w:rPr>
        <w:t>Por ello</w:t>
      </w:r>
      <w:r w:rsidRPr="009A4A28">
        <w:rPr>
          <w:rFonts w:ascii="Arial" w:hAnsi="Arial" w:eastAsia="Calibri" w:cs="Arial"/>
          <w:sz w:val="22"/>
        </w:rPr>
        <w:t xml:space="preserve">, con esta disposición las entidades pueden requerir experiencia cuando el bien o servicio adicional es de tal magnitud que no es posible valorar la idoneidad del contratista a partir de la experiencia establecida en la </w:t>
      </w:r>
      <w:r w:rsidR="00EC3DFE">
        <w:rPr>
          <w:rFonts w:ascii="Arial" w:hAnsi="Arial" w:eastAsia="Calibri" w:cs="Arial"/>
          <w:sz w:val="22"/>
        </w:rPr>
        <w:t>«</w:t>
      </w:r>
      <w:r w:rsidRPr="009A4A28" w:rsidR="000078AA">
        <w:rPr>
          <w:rFonts w:ascii="Arial" w:hAnsi="Arial" w:eastAsia="Calibri" w:cs="Arial"/>
          <w:sz w:val="22"/>
        </w:rPr>
        <w:t>M</w:t>
      </w:r>
      <w:r w:rsidRPr="009A4A28">
        <w:rPr>
          <w:rFonts w:ascii="Arial" w:hAnsi="Arial" w:eastAsia="Calibri" w:cs="Arial"/>
          <w:sz w:val="22"/>
        </w:rPr>
        <w:t>atriz 1</w:t>
      </w:r>
      <w:r w:rsidRPr="009A4A28" w:rsidR="00FF4FC8">
        <w:rPr>
          <w:rFonts w:ascii="Arial" w:hAnsi="Arial" w:eastAsia="Calibri" w:cs="Arial"/>
          <w:sz w:val="22"/>
        </w:rPr>
        <w:t xml:space="preserve"> </w:t>
      </w:r>
      <w:r w:rsidR="00EC3DFE">
        <w:rPr>
          <w:rFonts w:ascii="Arial" w:hAnsi="Arial" w:eastAsia="Calibri" w:cs="Arial"/>
          <w:sz w:val="22"/>
        </w:rPr>
        <w:t>–</w:t>
      </w:r>
      <w:r w:rsidRPr="009A4A28">
        <w:rPr>
          <w:rFonts w:ascii="Arial" w:hAnsi="Arial" w:eastAsia="Calibri" w:cs="Arial"/>
          <w:sz w:val="22"/>
        </w:rPr>
        <w:t xml:space="preserve"> Experiencia</w:t>
      </w:r>
      <w:r w:rsidR="00EC3DFE">
        <w:rPr>
          <w:rFonts w:ascii="Arial" w:hAnsi="Arial" w:eastAsia="Calibri" w:cs="Arial"/>
          <w:sz w:val="22"/>
        </w:rPr>
        <w:t>»</w:t>
      </w:r>
      <w:r w:rsidRPr="009A4A28">
        <w:rPr>
          <w:rFonts w:ascii="Arial" w:hAnsi="Arial" w:eastAsia="Calibri" w:cs="Arial"/>
          <w:sz w:val="22"/>
        </w:rPr>
        <w:t>.</w:t>
      </w:r>
    </w:p>
    <w:p w:rsidR="006374D2" w:rsidP="004015A7" w:rsidRDefault="004F0E02" w14:paraId="1D4FECB5" w14:textId="77777777">
      <w:pPr>
        <w:spacing w:after="120" w:line="276" w:lineRule="auto"/>
        <w:ind w:firstLine="708"/>
        <w:jc w:val="both"/>
        <w:rPr>
          <w:rFonts w:ascii="Arial" w:hAnsi="Arial" w:eastAsia="Calibri" w:cs="Arial"/>
          <w:sz w:val="22"/>
        </w:rPr>
      </w:pPr>
      <w:r w:rsidRPr="009A4A28">
        <w:rPr>
          <w:rFonts w:ascii="Arial" w:hAnsi="Arial" w:eastAsia="Calibri" w:cs="Arial"/>
          <w:sz w:val="22"/>
        </w:rPr>
        <w:t>C</w:t>
      </w:r>
      <w:r w:rsidRPr="009A4A28" w:rsidR="000D0DB2">
        <w:rPr>
          <w:rFonts w:ascii="Arial" w:hAnsi="Arial" w:eastAsia="Calibri" w:cs="Arial"/>
          <w:sz w:val="22"/>
        </w:rPr>
        <w:t>uando la entidad requiere bienes y servicios que no se encuentran incluidos como infraestructura de transporte, debe aplicar el artículo 2.2.1.2.6.1.5</w:t>
      </w:r>
      <w:r w:rsidRPr="009A4A28" w:rsidR="004015A7">
        <w:rPr>
          <w:rFonts w:ascii="Arial" w:hAnsi="Arial" w:eastAsia="Calibri" w:cs="Arial"/>
          <w:sz w:val="22"/>
        </w:rPr>
        <w:t>.</w:t>
      </w:r>
      <w:r w:rsidRPr="009A4A28" w:rsidR="000D0DB2">
        <w:rPr>
          <w:rFonts w:ascii="Arial" w:hAnsi="Arial" w:eastAsia="Calibri" w:cs="Arial"/>
          <w:sz w:val="22"/>
        </w:rPr>
        <w:t xml:space="preserve"> del Decreto 342 de </w:t>
      </w:r>
      <w:r w:rsidRPr="009A4A28" w:rsidR="000D0DB2">
        <w:rPr>
          <w:rFonts w:ascii="Arial" w:hAnsi="Arial" w:eastAsia="Calibri" w:cs="Arial"/>
          <w:sz w:val="22"/>
        </w:rPr>
        <w:lastRenderedPageBreak/>
        <w:t>2019</w:t>
      </w:r>
      <w:r w:rsidR="006D0B81">
        <w:rPr>
          <w:rFonts w:ascii="Arial" w:hAnsi="Arial" w:eastAsia="Calibri" w:cs="Arial"/>
          <w:sz w:val="22"/>
        </w:rPr>
        <w:t>. Esta norma</w:t>
      </w:r>
      <w:r w:rsidRPr="009A4A28" w:rsidR="000D0DB2">
        <w:rPr>
          <w:rFonts w:ascii="Arial" w:hAnsi="Arial" w:eastAsia="Calibri" w:cs="Arial"/>
          <w:sz w:val="22"/>
        </w:rPr>
        <w:t xml:space="preserve">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w:t>
      </w:r>
      <w:r w:rsidR="006374D2">
        <w:rPr>
          <w:rFonts w:ascii="Arial" w:hAnsi="Arial" w:eastAsia="Calibri" w:cs="Arial"/>
          <w:sz w:val="22"/>
        </w:rPr>
        <w:t>a.</w:t>
      </w:r>
    </w:p>
    <w:p w:rsidRPr="009A4A28" w:rsidR="00C6620F" w:rsidP="004015A7" w:rsidRDefault="006374D2" w14:paraId="2F59D588" w14:textId="6169E994">
      <w:pPr>
        <w:spacing w:after="120" w:line="276" w:lineRule="auto"/>
        <w:ind w:firstLine="708"/>
        <w:jc w:val="both"/>
        <w:rPr>
          <w:rFonts w:ascii="Arial" w:hAnsi="Arial" w:eastAsia="Calibri" w:cs="Arial"/>
          <w:sz w:val="22"/>
        </w:rPr>
      </w:pPr>
      <w:r>
        <w:rPr>
          <w:rFonts w:ascii="Arial" w:hAnsi="Arial" w:eastAsia="Calibri" w:cs="Arial"/>
          <w:sz w:val="22"/>
        </w:rPr>
        <w:t>N</w:t>
      </w:r>
      <w:r w:rsidRPr="009A4A28" w:rsidR="000D0DB2">
        <w:rPr>
          <w:rFonts w:ascii="Arial" w:hAnsi="Arial" w:eastAsia="Calibri" w:cs="Arial"/>
          <w:sz w:val="22"/>
        </w:rPr>
        <w:t xml:space="preserve">o obstante, se deben seguir </w:t>
      </w:r>
      <w:r w:rsidRPr="009A4A28" w:rsidR="004F0E02">
        <w:rPr>
          <w:rFonts w:ascii="Arial" w:hAnsi="Arial" w:eastAsia="Calibri" w:cs="Arial"/>
          <w:sz w:val="22"/>
        </w:rPr>
        <w:t xml:space="preserve">estos </w:t>
      </w:r>
      <w:r w:rsidRPr="009A4A28" w:rsidR="000D0DB2">
        <w:rPr>
          <w:rFonts w:ascii="Arial" w:hAnsi="Arial" w:eastAsia="Calibri" w:cs="Arial"/>
          <w:sz w:val="22"/>
        </w:rPr>
        <w:t>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Pr="009A4A28" w:rsidR="000D0DB2">
        <w:rPr>
          <w:rStyle w:val="Refdenotaalpie"/>
          <w:rFonts w:ascii="Arial" w:hAnsi="Arial" w:eastAsia="Calibri" w:cs="Arial"/>
          <w:sz w:val="22"/>
        </w:rPr>
        <w:footnoteReference w:id="1"/>
      </w:r>
      <w:r w:rsidRPr="009A4A28" w:rsidR="000D0DB2">
        <w:rPr>
          <w:rFonts w:ascii="Arial" w:hAnsi="Arial" w:eastAsia="Calibri" w:cs="Arial"/>
          <w:sz w:val="22"/>
        </w:rPr>
        <w:t>.</w:t>
      </w:r>
    </w:p>
    <w:p w:rsidRPr="009A4A28" w:rsidR="00627FA4" w:rsidP="004F0E02" w:rsidRDefault="00627FA4" w14:paraId="733ECCDA" w14:textId="340A6ABE">
      <w:pPr>
        <w:spacing w:after="120" w:line="276" w:lineRule="auto"/>
        <w:ind w:firstLine="708"/>
        <w:jc w:val="both"/>
        <w:rPr>
          <w:rFonts w:ascii="Arial" w:hAnsi="Arial" w:eastAsia="Calibri" w:cs="Arial"/>
          <w:sz w:val="22"/>
        </w:rPr>
      </w:pPr>
      <w:r w:rsidRPr="009A4A28">
        <w:rPr>
          <w:rFonts w:ascii="Arial" w:hAnsi="Arial" w:eastAsia="Calibri" w:cs="Arial"/>
          <w:sz w:val="22"/>
        </w:rPr>
        <w:t>La entidad que opte por solicitar experiencia adicional en desarrollo de esta norma debe evidenciar en los documentos del proceso que agotó estos parámetros. Para ello, debe justificar en los estudios y document</w:t>
      </w:r>
      <w:r w:rsidRPr="009A4A28" w:rsidR="008526AF">
        <w:rPr>
          <w:rFonts w:ascii="Arial" w:hAnsi="Arial" w:eastAsia="Calibri" w:cs="Arial"/>
          <w:sz w:val="22"/>
        </w:rPr>
        <w:t>os</w:t>
      </w:r>
      <w:r w:rsidRPr="009A4A28">
        <w:rPr>
          <w:rFonts w:ascii="Arial" w:hAnsi="Arial" w:eastAsia="Calibri" w:cs="Arial"/>
          <w:sz w:val="22"/>
        </w:rPr>
        <w:t xml:space="preserve"> previos como parte del deber de análisis, que ha verificado que la experiencia adicional relacionada con los bienes o servicios no afecta </w:t>
      </w:r>
      <w:r w:rsidR="00B539C1">
        <w:rPr>
          <w:rFonts w:ascii="Arial" w:hAnsi="Arial" w:eastAsia="Calibri" w:cs="Arial"/>
          <w:sz w:val="22"/>
        </w:rPr>
        <w:t xml:space="preserve">significativamente </w:t>
      </w:r>
      <w:r w:rsidRPr="009A4A28">
        <w:rPr>
          <w:rFonts w:ascii="Arial" w:hAnsi="Arial" w:eastAsia="Calibri" w:cs="Arial"/>
          <w:sz w:val="22"/>
        </w:rPr>
        <w:t>la pluralidad de oferentes</w:t>
      </w:r>
      <w:r w:rsidR="00905E2D">
        <w:rPr>
          <w:rFonts w:ascii="Arial" w:hAnsi="Arial" w:eastAsia="Calibri" w:cs="Arial"/>
          <w:sz w:val="22"/>
        </w:rPr>
        <w:t>.</w:t>
      </w:r>
      <w:r w:rsidRPr="009A4A28">
        <w:rPr>
          <w:rFonts w:ascii="Arial" w:hAnsi="Arial" w:eastAsia="Calibri" w:cs="Arial"/>
          <w:sz w:val="22"/>
        </w:rPr>
        <w:t xml:space="preserve"> </w:t>
      </w:r>
      <w:r w:rsidR="00905E2D">
        <w:rPr>
          <w:rFonts w:ascii="Arial" w:hAnsi="Arial" w:eastAsia="Calibri" w:cs="Arial"/>
          <w:sz w:val="22"/>
        </w:rPr>
        <w:t>E</w:t>
      </w:r>
      <w:r w:rsidRPr="009A4A28">
        <w:rPr>
          <w:rFonts w:ascii="Arial" w:hAnsi="Arial" w:eastAsia="Calibri" w:cs="Arial"/>
          <w:sz w:val="22"/>
        </w:rPr>
        <w:t>s decir,</w:t>
      </w:r>
      <w:r w:rsidR="00905E2D">
        <w:rPr>
          <w:rFonts w:ascii="Arial" w:hAnsi="Arial" w:eastAsia="Calibri" w:cs="Arial"/>
          <w:sz w:val="22"/>
        </w:rPr>
        <w:t xml:space="preserve"> la entidad debe revisar</w:t>
      </w:r>
      <w:r w:rsidRPr="009A4A28">
        <w:rPr>
          <w:rFonts w:ascii="Arial" w:hAnsi="Arial" w:eastAsia="Calibri" w:cs="Arial"/>
          <w:sz w:val="22"/>
        </w:rPr>
        <w:t xml:space="preserve"> que al solicitar esta experiencia existen suficientes potenciales proponentes que puedan acreditar estas condiciones. </w:t>
      </w:r>
    </w:p>
    <w:p w:rsidRPr="009A4A28" w:rsidR="00627FA4" w:rsidP="004F0E02" w:rsidRDefault="00627FA4" w14:paraId="4F17D4AA" w14:textId="456EDD94">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En segundo lugar, la solicitud de esta experiencia no permite que la entidad modifique los requisitos habilitantes y de ponderación de la propuesta, por lo cual se deben mantener los establecidos en los </w:t>
      </w:r>
      <w:r w:rsidRPr="009A4A28" w:rsidR="00EC3DFE">
        <w:rPr>
          <w:rFonts w:ascii="Arial" w:hAnsi="Arial" w:eastAsia="Calibri" w:cs="Arial"/>
          <w:sz w:val="22"/>
        </w:rPr>
        <w:t>documentos tipo</w:t>
      </w:r>
      <w:r w:rsidRPr="009A4A28">
        <w:rPr>
          <w:rFonts w:ascii="Arial" w:hAnsi="Arial" w:eastAsia="Calibri" w:cs="Arial"/>
          <w:sz w:val="22"/>
        </w:rPr>
        <w:t xml:space="preserve">. </w:t>
      </w:r>
    </w:p>
    <w:p w:rsidRPr="00905E2D" w:rsidR="00627FA4" w:rsidP="00905E2D" w:rsidRDefault="00627FA4" w14:paraId="068FAF44" w14:textId="0EADDBAF">
      <w:pPr>
        <w:spacing w:after="120" w:line="276" w:lineRule="auto"/>
        <w:ind w:firstLine="708"/>
        <w:jc w:val="both"/>
        <w:rPr>
          <w:rFonts w:ascii="Arial" w:hAnsi="Arial" w:eastAsia="Calibri" w:cs="Arial"/>
          <w:sz w:val="22"/>
        </w:rPr>
      </w:pPr>
      <w:r w:rsidRPr="009A4A28">
        <w:rPr>
          <w:rFonts w:ascii="Arial" w:hAnsi="Arial" w:eastAsia="Calibri" w:cs="Arial"/>
          <w:sz w:val="22"/>
        </w:rPr>
        <w:t>En tercer lugar, la experiencia adicional solicitada debe relaciona</w:t>
      </w:r>
      <w:r w:rsidR="00EC3DFE">
        <w:rPr>
          <w:rFonts w:ascii="Arial" w:hAnsi="Arial" w:eastAsia="Calibri" w:cs="Arial"/>
          <w:sz w:val="22"/>
        </w:rPr>
        <w:t>rse</w:t>
      </w:r>
      <w:r w:rsidRPr="009A4A28">
        <w:rPr>
          <w:rFonts w:ascii="Arial" w:hAnsi="Arial" w:eastAsia="Calibri" w:cs="Arial"/>
          <w:sz w:val="22"/>
        </w:rPr>
        <w:t xml:space="preserve"> con los bienes y servicios sobre los cuales la entidad requiere que se demuestre idoneidad por parte de los proponente</w:t>
      </w:r>
      <w:r w:rsidR="00905E2D">
        <w:rPr>
          <w:rFonts w:ascii="Arial" w:hAnsi="Arial" w:eastAsia="Calibri" w:cs="Arial"/>
          <w:sz w:val="22"/>
        </w:rPr>
        <w:t>s. Esta experiencia</w:t>
      </w:r>
      <w:r w:rsidRPr="009A4A28">
        <w:rPr>
          <w:rFonts w:ascii="Arial" w:hAnsi="Arial" w:eastAsia="Calibri" w:cs="Arial"/>
          <w:sz w:val="22"/>
        </w:rPr>
        <w:t xml:space="preserve"> no puede estar limitada o referida a que</w:t>
      </w:r>
      <w:r w:rsidR="00905E2D">
        <w:rPr>
          <w:rFonts w:ascii="Arial" w:hAnsi="Arial" w:eastAsia="Calibri" w:cs="Arial"/>
          <w:sz w:val="22"/>
        </w:rPr>
        <w:t xml:space="preserve"> </w:t>
      </w:r>
      <w:r w:rsidRPr="009A4A28">
        <w:rPr>
          <w:rFonts w:ascii="Arial" w:hAnsi="Arial" w:eastAsia="Calibri" w:cs="Arial"/>
          <w:sz w:val="22"/>
        </w:rPr>
        <w:t xml:space="preserve">se haya </w:t>
      </w:r>
      <w:r w:rsidRPr="009A4A28">
        <w:rPr>
          <w:rFonts w:ascii="Arial" w:hAnsi="Arial" w:eastAsia="Calibri" w:cs="Arial"/>
          <w:sz w:val="22"/>
        </w:rPr>
        <w:lastRenderedPageBreak/>
        <w:t>adquirido en un territorio o con alguna entidad determinada, ni establecer limitantes temporales</w:t>
      </w:r>
      <w:r w:rsidR="00285AF6">
        <w:rPr>
          <w:rFonts w:ascii="Arial" w:hAnsi="Arial" w:eastAsia="Calibri" w:cs="Arial"/>
          <w:sz w:val="22"/>
        </w:rPr>
        <w:t xml:space="preserve"> o </w:t>
      </w:r>
      <w:r w:rsidRPr="009A4A28">
        <w:rPr>
          <w:rFonts w:ascii="Arial" w:hAnsi="Arial" w:eastAsia="Calibri" w:cs="Arial"/>
          <w:sz w:val="22"/>
        </w:rPr>
        <w:t xml:space="preserve">la acreditación de volúmenes o cantidades. </w:t>
      </w:r>
      <w:r w:rsidR="00EC3DFE">
        <w:rPr>
          <w:rFonts w:ascii="Arial" w:hAnsi="Arial" w:eastAsia="Calibri" w:cs="Arial"/>
          <w:sz w:val="22"/>
        </w:rPr>
        <w:t>E</w:t>
      </w:r>
      <w:r w:rsidRPr="009A4A28">
        <w:rPr>
          <w:rFonts w:ascii="Arial" w:hAnsi="Arial" w:eastAsia="Calibri" w:cs="Arial"/>
          <w:sz w:val="22"/>
        </w:rPr>
        <w:t>ste parámetro va encaminado a determinar si la experiencia solicitada es acorde, adecuada y proporcional a la necesidad identificada por la entidad, por lo cual no puede desbordar los l</w:t>
      </w:r>
      <w:r w:rsidR="00285AF6">
        <w:rPr>
          <w:rFonts w:ascii="Arial" w:hAnsi="Arial" w:eastAsia="Calibri" w:cs="Arial"/>
          <w:sz w:val="22"/>
        </w:rPr>
        <w:t>í</w:t>
      </w:r>
      <w:r w:rsidRPr="009A4A28">
        <w:rPr>
          <w:rFonts w:ascii="Arial" w:hAnsi="Arial" w:eastAsia="Calibri" w:cs="Arial"/>
          <w:sz w:val="22"/>
        </w:rPr>
        <w:t>mites racionales ni solicitar experiencias</w:t>
      </w:r>
      <w:r w:rsidRPr="009A4A28">
        <w:rPr>
          <w:rFonts w:ascii="Arial" w:hAnsi="Arial" w:cs="Arial"/>
          <w:sz w:val="22"/>
        </w:rPr>
        <w:t xml:space="preserve"> de imposible cumplimiento. </w:t>
      </w:r>
    </w:p>
    <w:p w:rsidRPr="009A4A28" w:rsidR="00627FA4" w:rsidP="004F0E02" w:rsidRDefault="000907B8" w14:paraId="236E1AD3" w14:textId="68268E5E">
      <w:pPr>
        <w:spacing w:after="120" w:line="276" w:lineRule="auto"/>
        <w:ind w:firstLine="708"/>
        <w:jc w:val="both"/>
        <w:rPr>
          <w:rFonts w:ascii="Arial" w:hAnsi="Arial" w:eastAsia="Calibri" w:cs="Arial"/>
          <w:sz w:val="22"/>
        </w:rPr>
      </w:pPr>
      <w:r>
        <w:rPr>
          <w:rFonts w:ascii="Arial" w:hAnsi="Arial" w:eastAsia="Calibri" w:cs="Arial"/>
          <w:sz w:val="22"/>
        </w:rPr>
        <w:t>Por</w:t>
      </w:r>
      <w:r w:rsidRPr="009A4A28" w:rsidR="00627FA4">
        <w:rPr>
          <w:rFonts w:ascii="Arial" w:hAnsi="Arial" w:eastAsia="Calibri" w:cs="Arial"/>
          <w:sz w:val="22"/>
        </w:rPr>
        <w:t xml:space="preserve"> último, la experiencia requerida debe estar clasificada hasta el tercer nivel del </w:t>
      </w:r>
      <w:r w:rsidRPr="009A4A28" w:rsidR="005F39A2">
        <w:rPr>
          <w:rFonts w:ascii="Arial" w:hAnsi="Arial" w:eastAsia="Calibri" w:cs="Arial"/>
          <w:sz w:val="22"/>
        </w:rPr>
        <w:t>clasificador de bienes y servicios</w:t>
      </w:r>
      <w:r w:rsidRPr="009A4A28" w:rsidR="00627FA4">
        <w:rPr>
          <w:rFonts w:ascii="Arial" w:hAnsi="Arial" w:eastAsia="Calibri" w:cs="Arial"/>
          <w:sz w:val="22"/>
        </w:rPr>
        <w:t xml:space="preserve">, por lo tanto, la entidad no puede requerir que se acredite el </w:t>
      </w:r>
      <w:r w:rsidRPr="009A4A28" w:rsidR="008526AF">
        <w:rPr>
          <w:rFonts w:ascii="Arial" w:hAnsi="Arial" w:eastAsia="Calibri" w:cs="Arial"/>
          <w:sz w:val="22"/>
        </w:rPr>
        <w:t>«</w:t>
      </w:r>
      <w:r w:rsidRPr="009A4A28" w:rsidR="00627FA4">
        <w:rPr>
          <w:rFonts w:ascii="Arial" w:hAnsi="Arial" w:eastAsia="Calibri" w:cs="Arial"/>
          <w:sz w:val="22"/>
        </w:rPr>
        <w:t>producto</w:t>
      </w:r>
      <w:r w:rsidRPr="009A4A28" w:rsidR="008526AF">
        <w:rPr>
          <w:rFonts w:ascii="Arial" w:hAnsi="Arial" w:eastAsia="Calibri" w:cs="Arial"/>
          <w:sz w:val="22"/>
        </w:rPr>
        <w:t>»</w:t>
      </w:r>
      <w:r w:rsidRPr="009A4A28" w:rsidR="00627FA4">
        <w:rPr>
          <w:rFonts w:ascii="Arial" w:hAnsi="Arial" w:eastAsia="Calibri" w:cs="Arial"/>
          <w:sz w:val="22"/>
        </w:rPr>
        <w:t xml:space="preserve"> de este clasificador. </w:t>
      </w:r>
    </w:p>
    <w:p w:rsidRPr="009A4A28" w:rsidR="000D0DB2" w:rsidP="004015A7" w:rsidRDefault="000D0DB2" w14:paraId="48DCE8C1" w14:textId="4AF1AFE2">
      <w:pPr>
        <w:spacing w:after="120" w:line="276" w:lineRule="auto"/>
        <w:ind w:firstLine="708"/>
        <w:jc w:val="both"/>
        <w:rPr>
          <w:rFonts w:ascii="Arial" w:hAnsi="Arial" w:eastAsia="Calibri" w:cs="Arial"/>
          <w:sz w:val="22"/>
        </w:rPr>
      </w:pPr>
      <w:r w:rsidRPr="009A4A28">
        <w:rPr>
          <w:rFonts w:ascii="Arial" w:hAnsi="Arial" w:eastAsia="Calibri" w:cs="Arial"/>
          <w:sz w:val="22"/>
        </w:rPr>
        <w:t>La posibilidad de solicitar experiencia adicional s</w:t>
      </w:r>
      <w:r w:rsidR="00B539C1">
        <w:rPr>
          <w:rFonts w:ascii="Arial" w:hAnsi="Arial" w:eastAsia="Calibri" w:cs="Arial"/>
          <w:sz w:val="22"/>
        </w:rPr>
        <w:t>o</w:t>
      </w:r>
      <w:r w:rsidRPr="009A4A28">
        <w:rPr>
          <w:rFonts w:ascii="Arial" w:hAnsi="Arial" w:eastAsia="Calibri" w:cs="Arial"/>
          <w:sz w:val="22"/>
        </w:rPr>
        <w:t>lo es posible cuando el objeto contractual incluye bienes o servicios adicionales a la obra pública de infraestructura de transporte</w:t>
      </w:r>
      <w:r w:rsidR="00561988">
        <w:rPr>
          <w:rFonts w:ascii="Arial" w:hAnsi="Arial" w:eastAsia="Calibri" w:cs="Arial"/>
          <w:sz w:val="22"/>
        </w:rPr>
        <w:t>. Esto implica que</w:t>
      </w:r>
      <w:r w:rsidRPr="009A4A28">
        <w:rPr>
          <w:rFonts w:ascii="Arial" w:hAnsi="Arial" w:eastAsia="Calibri" w:cs="Arial"/>
          <w:sz w:val="22"/>
        </w:rPr>
        <w:t>: i) la actividad que se requiere</w:t>
      </w:r>
      <w:r w:rsidR="00B539C1">
        <w:rPr>
          <w:rFonts w:ascii="Arial" w:hAnsi="Arial" w:eastAsia="Calibri" w:cs="Arial"/>
          <w:sz w:val="22"/>
        </w:rPr>
        <w:t>,</w:t>
      </w:r>
      <w:r w:rsidRPr="009A4A28">
        <w:rPr>
          <w:rFonts w:ascii="Arial" w:hAnsi="Arial" w:eastAsia="Calibri" w:cs="Arial"/>
          <w:sz w:val="22"/>
        </w:rPr>
        <w:t xml:space="preserve"> si bien es una </w:t>
      </w:r>
      <w:r w:rsidR="00B539C1">
        <w:rPr>
          <w:rFonts w:ascii="Arial" w:hAnsi="Arial" w:eastAsia="Calibri" w:cs="Arial"/>
          <w:sz w:val="22"/>
        </w:rPr>
        <w:t>labor</w:t>
      </w:r>
      <w:r w:rsidRPr="009A4A28" w:rsidR="00B539C1">
        <w:rPr>
          <w:rFonts w:ascii="Arial" w:hAnsi="Arial" w:eastAsia="Calibri" w:cs="Arial"/>
          <w:sz w:val="22"/>
        </w:rPr>
        <w:t xml:space="preserve"> </w:t>
      </w:r>
      <w:r w:rsidRPr="009A4A28">
        <w:rPr>
          <w:rFonts w:ascii="Arial" w:hAnsi="Arial" w:eastAsia="Calibri" w:cs="Arial"/>
          <w:sz w:val="22"/>
        </w:rPr>
        <w:t>de obra no está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o de consultoría para realizar los estudios y diseños de la obra de infraestructura de transporte.</w:t>
      </w:r>
    </w:p>
    <w:p w:rsidRPr="009A4A28" w:rsidR="000D0DB2" w:rsidP="004015A7" w:rsidRDefault="000D0DB2" w14:paraId="12F408B1" w14:textId="6D004DAB">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En este orden de ideas, los proponentes deben acreditar la experiencia de los bienes y servicios adicionales aplicando las reglas de los </w:t>
      </w:r>
      <w:r w:rsidRPr="009A4A28" w:rsidR="005F39A2">
        <w:rPr>
          <w:rFonts w:ascii="Arial" w:hAnsi="Arial" w:eastAsia="Calibri" w:cs="Arial"/>
          <w:sz w:val="22"/>
        </w:rPr>
        <w:t>documentos tipo</w:t>
      </w:r>
      <w:r w:rsidR="006B744B">
        <w:rPr>
          <w:rFonts w:ascii="Arial" w:hAnsi="Arial" w:eastAsia="Calibri" w:cs="Arial"/>
          <w:sz w:val="22"/>
        </w:rPr>
        <w:t xml:space="preserve">. Por ende, la experiencia </w:t>
      </w:r>
      <w:r w:rsidRPr="009A4A28">
        <w:rPr>
          <w:rFonts w:ascii="Arial" w:hAnsi="Arial" w:eastAsia="Calibri" w:cs="Arial"/>
          <w:sz w:val="22"/>
        </w:rPr>
        <w:t xml:space="preserve">debe presentarse de acuerdo con lo establecido en el numeral 3.5 del </w:t>
      </w:r>
      <w:r w:rsidRPr="009A4A28" w:rsidR="005F39A2">
        <w:rPr>
          <w:rFonts w:ascii="Arial" w:hAnsi="Arial" w:eastAsia="Calibri" w:cs="Arial"/>
          <w:sz w:val="22"/>
        </w:rPr>
        <w:t>documento base</w:t>
      </w:r>
      <w:r w:rsidRPr="009A4A28">
        <w:rPr>
          <w:rFonts w:ascii="Arial" w:hAnsi="Arial" w:eastAsia="Calibri" w:cs="Arial"/>
          <w:sz w:val="22"/>
        </w:rPr>
        <w:t xml:space="preserve">, </w:t>
      </w:r>
      <w:r w:rsidR="006B744B">
        <w:rPr>
          <w:rFonts w:ascii="Arial" w:hAnsi="Arial" w:eastAsia="Calibri" w:cs="Arial"/>
          <w:sz w:val="22"/>
        </w:rPr>
        <w:t>esto</w:t>
      </w:r>
      <w:r w:rsidRPr="009A4A28">
        <w:rPr>
          <w:rFonts w:ascii="Arial" w:hAnsi="Arial" w:eastAsia="Calibri" w:cs="Arial"/>
          <w:sz w:val="22"/>
        </w:rPr>
        <w:t xml:space="preserve"> es</w:t>
      </w:r>
      <w:r w:rsidR="006B744B">
        <w:rPr>
          <w:rFonts w:ascii="Arial" w:hAnsi="Arial" w:eastAsia="Calibri" w:cs="Arial"/>
          <w:sz w:val="22"/>
        </w:rPr>
        <w:t>,</w:t>
      </w:r>
      <w:r w:rsidRPr="009A4A28">
        <w:rPr>
          <w:rFonts w:ascii="Arial" w:hAnsi="Arial" w:eastAsia="Calibri" w:cs="Arial"/>
          <w:sz w:val="22"/>
        </w:rPr>
        <w:t xml:space="preserve"> a través de la información suministrada en el Registro Único de Proponentes y la presentación del </w:t>
      </w:r>
      <w:r w:rsidR="005F39A2">
        <w:rPr>
          <w:rFonts w:ascii="Arial" w:hAnsi="Arial" w:eastAsia="Calibri" w:cs="Arial"/>
          <w:sz w:val="22"/>
        </w:rPr>
        <w:t>«</w:t>
      </w:r>
      <w:r w:rsidRPr="009A4A28">
        <w:rPr>
          <w:rFonts w:ascii="Arial" w:hAnsi="Arial" w:eastAsia="Calibri" w:cs="Arial"/>
          <w:sz w:val="22"/>
        </w:rPr>
        <w:t xml:space="preserve">Formato 3 </w:t>
      </w:r>
      <w:r w:rsidR="005F39A2">
        <w:rPr>
          <w:rFonts w:ascii="Arial" w:hAnsi="Arial" w:eastAsia="Calibri" w:cs="Arial"/>
          <w:sz w:val="22"/>
        </w:rPr>
        <w:t>–</w:t>
      </w:r>
      <w:r w:rsidRPr="009A4A28">
        <w:rPr>
          <w:rFonts w:ascii="Arial" w:hAnsi="Arial" w:eastAsia="Calibri" w:cs="Arial"/>
          <w:sz w:val="22"/>
        </w:rPr>
        <w:t xml:space="preserve"> Experiencia</w:t>
      </w:r>
      <w:r w:rsidR="005F39A2">
        <w:rPr>
          <w:rFonts w:ascii="Arial" w:hAnsi="Arial" w:eastAsia="Calibri" w:cs="Arial"/>
          <w:sz w:val="22"/>
        </w:rPr>
        <w:t>»</w:t>
      </w:r>
      <w:r w:rsidRPr="009A4A28">
        <w:rPr>
          <w:rFonts w:ascii="Arial" w:hAnsi="Arial" w:eastAsia="Calibri" w:cs="Arial"/>
          <w:sz w:val="22"/>
        </w:rPr>
        <w:t xml:space="preserve">. </w:t>
      </w:r>
    </w:p>
    <w:p w:rsidRPr="009A4A28" w:rsidR="000D0DB2" w:rsidP="004015A7" w:rsidRDefault="000D0DB2" w14:paraId="515F3E90" w14:textId="5D2A7075">
      <w:pPr>
        <w:spacing w:line="276" w:lineRule="auto"/>
        <w:ind w:firstLine="708"/>
        <w:jc w:val="both"/>
        <w:rPr>
          <w:rFonts w:ascii="Arial" w:hAnsi="Arial" w:eastAsia="Calibri" w:cs="Arial"/>
          <w:sz w:val="22"/>
        </w:rPr>
      </w:pPr>
      <w:r w:rsidRPr="009A4A28">
        <w:rPr>
          <w:rFonts w:ascii="Arial" w:hAnsi="Arial" w:eastAsia="Calibri" w:cs="Arial"/>
          <w:sz w:val="22"/>
        </w:rPr>
        <w:t xml:space="preserve">En este formato se deberán presentar los contratos requeridos en relación con los parámetros que señala la </w:t>
      </w:r>
      <w:r w:rsidR="00122D9B">
        <w:rPr>
          <w:rFonts w:ascii="Arial" w:hAnsi="Arial" w:eastAsia="Calibri" w:cs="Arial"/>
          <w:sz w:val="22"/>
        </w:rPr>
        <w:t>«</w:t>
      </w:r>
      <w:r w:rsidRPr="009A4A28">
        <w:rPr>
          <w:rFonts w:ascii="Arial" w:hAnsi="Arial" w:eastAsia="Calibri" w:cs="Arial"/>
          <w:sz w:val="22"/>
        </w:rPr>
        <w:t xml:space="preserve">Matriz 1 </w:t>
      </w:r>
      <w:r w:rsidR="00122D9B">
        <w:rPr>
          <w:rFonts w:ascii="Arial" w:hAnsi="Arial" w:eastAsia="Calibri" w:cs="Arial"/>
          <w:sz w:val="22"/>
        </w:rPr>
        <w:t>–</w:t>
      </w:r>
      <w:r w:rsidRPr="009A4A28">
        <w:rPr>
          <w:rFonts w:ascii="Arial" w:hAnsi="Arial" w:eastAsia="Calibri" w:cs="Arial"/>
          <w:sz w:val="22"/>
        </w:rPr>
        <w:t xml:space="preserve"> Experiencia</w:t>
      </w:r>
      <w:r w:rsidR="00122D9B">
        <w:rPr>
          <w:rFonts w:ascii="Arial" w:hAnsi="Arial" w:eastAsia="Calibri" w:cs="Arial"/>
          <w:sz w:val="22"/>
        </w:rPr>
        <w:t>»</w:t>
      </w:r>
      <w:r w:rsidRPr="009A4A28">
        <w:rPr>
          <w:rFonts w:ascii="Arial" w:hAnsi="Arial" w:eastAsia="Calibri" w:cs="Arial"/>
          <w:sz w:val="22"/>
        </w:rPr>
        <w:t xml:space="preserve"> y los contratos que la entidad haya identificado en los estudios previos, acorde con los porcentajes requeridos en la tabla del numeral 3.5.7. del </w:t>
      </w:r>
      <w:r w:rsidRPr="009A4A28" w:rsidR="00122D9B">
        <w:rPr>
          <w:rFonts w:ascii="Arial" w:hAnsi="Arial" w:eastAsia="Calibri" w:cs="Arial"/>
          <w:sz w:val="22"/>
        </w:rPr>
        <w:t>documento base</w:t>
      </w:r>
      <w:r w:rsidRPr="009A4A28">
        <w:rPr>
          <w:rFonts w:ascii="Arial" w:hAnsi="Arial" w:eastAsia="Calibri" w:cs="Arial"/>
          <w:sz w:val="22"/>
        </w:rPr>
        <w:t xml:space="preserve">, que establece: </w:t>
      </w:r>
    </w:p>
    <w:p w:rsidR="000D0DB2" w:rsidP="004015A7" w:rsidRDefault="000D0DB2" w14:paraId="4DF00409" w14:textId="77777777">
      <w:pPr>
        <w:spacing w:after="120" w:line="276" w:lineRule="auto"/>
        <w:jc w:val="both"/>
        <w:rPr>
          <w:rFonts w:ascii="Arial" w:hAnsi="Arial" w:eastAsia="Calibri" w:cs="Arial"/>
          <w:color w:val="4E4D4D"/>
          <w:sz w:val="22"/>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055"/>
        <w:gridCol w:w="4179"/>
      </w:tblGrid>
      <w:tr w:rsidRPr="00840A8C" w:rsidR="000D0DB2" w:rsidTr="00CF7AFA" w14:paraId="0A08ADC5" w14:textId="77777777">
        <w:trPr>
          <w:trHeight w:val="737"/>
          <w:jc w:val="center"/>
        </w:trPr>
        <w:tc>
          <w:tcPr>
            <w:tcW w:w="3055" w:type="dxa"/>
            <w:tcBorders>
              <w:top w:val="double" w:color="auto" w:sz="4" w:space="0"/>
              <w:left w:val="double" w:color="auto" w:sz="4" w:space="0"/>
              <w:bottom w:val="single" w:color="000000" w:themeColor="text1" w:sz="4" w:space="0"/>
              <w:right w:val="single" w:color="000000" w:themeColor="text1" w:sz="4" w:space="0"/>
            </w:tcBorders>
            <w:shd w:val="clear" w:color="auto" w:fill="404040" w:themeFill="text1" w:themeFillTint="BF"/>
            <w:vAlign w:val="center"/>
            <w:hideMark/>
          </w:tcPr>
          <w:p w:rsidRPr="00840A8C" w:rsidR="000D0DB2" w:rsidP="004015A7" w:rsidRDefault="000D0DB2" w14:paraId="0BD7B26D" w14:textId="77777777">
            <w:pPr>
              <w:spacing w:after="120" w:line="276" w:lineRule="auto"/>
              <w:jc w:val="center"/>
              <w:rPr>
                <w:rFonts w:ascii="Arial" w:hAnsi="Arial" w:eastAsia="Calibri" w:cs="Arial"/>
                <w:b/>
                <w:bCs/>
                <w:color w:val="FFFFFF" w:themeColor="accent2"/>
                <w:sz w:val="21"/>
                <w:szCs w:val="21"/>
                <w:lang w:val="es-ES"/>
              </w:rPr>
            </w:pPr>
            <w:r w:rsidRPr="00840A8C">
              <w:rPr>
                <w:rFonts w:ascii="Arial" w:hAnsi="Arial" w:eastAsia="Calibri" w:cs="Arial"/>
                <w:b/>
                <w:bCs/>
                <w:color w:val="FFFFFF" w:themeColor="accent2"/>
                <w:sz w:val="21"/>
                <w:szCs w:val="21"/>
                <w:lang w:val="es-ES"/>
              </w:rPr>
              <w:t>Número de contratos con los cuales el proponente cumple la experiencia acreditada</w:t>
            </w:r>
          </w:p>
        </w:tc>
        <w:tc>
          <w:tcPr>
            <w:tcW w:w="4179" w:type="dxa"/>
            <w:tcBorders>
              <w:top w:val="double" w:color="auto" w:sz="4" w:space="0"/>
              <w:left w:val="single" w:color="000000" w:themeColor="text1" w:sz="4" w:space="0"/>
              <w:bottom w:val="single" w:color="000000" w:themeColor="text1" w:sz="4" w:space="0"/>
              <w:right w:val="double" w:color="auto" w:sz="4" w:space="0"/>
            </w:tcBorders>
            <w:shd w:val="clear" w:color="auto" w:fill="404040" w:themeFill="text1" w:themeFillTint="BF"/>
            <w:vAlign w:val="center"/>
            <w:hideMark/>
          </w:tcPr>
          <w:p w:rsidRPr="00840A8C" w:rsidR="000D0DB2" w:rsidP="004015A7" w:rsidRDefault="000D0DB2" w14:paraId="6CE4BB50" w14:textId="77777777">
            <w:pPr>
              <w:spacing w:after="120" w:line="276" w:lineRule="auto"/>
              <w:jc w:val="center"/>
              <w:rPr>
                <w:rFonts w:ascii="Arial" w:hAnsi="Arial" w:eastAsia="Calibri" w:cs="Arial"/>
                <w:b/>
                <w:bCs/>
                <w:color w:val="FFFFFF" w:themeColor="accent2"/>
                <w:sz w:val="21"/>
                <w:szCs w:val="21"/>
                <w:lang w:val="es-ES"/>
              </w:rPr>
            </w:pPr>
            <w:r w:rsidRPr="00840A8C">
              <w:rPr>
                <w:rFonts w:ascii="Arial" w:hAnsi="Arial" w:eastAsia="Calibri" w:cs="Arial"/>
                <w:b/>
                <w:bCs/>
                <w:color w:val="FFFFFF" w:themeColor="accent2"/>
                <w:sz w:val="21"/>
                <w:szCs w:val="21"/>
                <w:lang w:val="es-ES"/>
              </w:rPr>
              <w:t>Valor mínimo a certificar</w:t>
            </w:r>
          </w:p>
          <w:p w:rsidRPr="00840A8C" w:rsidR="000D0DB2" w:rsidP="004015A7" w:rsidRDefault="000D0DB2" w14:paraId="1DF2E35A" w14:textId="77777777">
            <w:pPr>
              <w:spacing w:after="120" w:line="276" w:lineRule="auto"/>
              <w:jc w:val="center"/>
              <w:rPr>
                <w:rFonts w:ascii="Arial" w:hAnsi="Arial" w:eastAsia="Calibri" w:cs="Arial"/>
                <w:b/>
                <w:bCs/>
                <w:color w:val="FFFFFF" w:themeColor="accent2"/>
                <w:sz w:val="21"/>
                <w:szCs w:val="21"/>
                <w:lang w:val="es-ES"/>
              </w:rPr>
            </w:pPr>
            <w:r w:rsidRPr="00840A8C">
              <w:rPr>
                <w:rFonts w:ascii="Arial" w:hAnsi="Arial" w:eastAsia="Calibri" w:cs="Arial"/>
                <w:b/>
                <w:bCs/>
                <w:color w:val="FFFFFF" w:themeColor="accent2"/>
                <w:sz w:val="21"/>
                <w:szCs w:val="21"/>
                <w:lang w:val="es-ES"/>
              </w:rPr>
              <w:t>(como % del Presupuesto Oficial de obra expresado en SMMLV)</w:t>
            </w:r>
          </w:p>
        </w:tc>
      </w:tr>
      <w:tr w:rsidRPr="00840A8C" w:rsidR="000D0DB2" w:rsidTr="00CF7AFA" w14:paraId="4672714E" w14:textId="77777777">
        <w:trPr>
          <w:jc w:val="center"/>
        </w:trPr>
        <w:tc>
          <w:tcPr>
            <w:tcW w:w="3055"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840A8C" w:rsidR="000D0DB2" w:rsidP="004015A7" w:rsidRDefault="000D0DB2" w14:paraId="09FF0947" w14:textId="77777777">
            <w:pPr>
              <w:spacing w:after="120" w:line="276" w:lineRule="auto"/>
              <w:jc w:val="center"/>
              <w:rPr>
                <w:rFonts w:ascii="Arial" w:hAnsi="Arial" w:eastAsia="Calibri" w:cs="Arial"/>
                <w:color w:val="4E4D4D"/>
                <w:sz w:val="21"/>
                <w:szCs w:val="21"/>
                <w:lang w:val="es-ES"/>
              </w:rPr>
            </w:pPr>
            <w:r w:rsidRPr="00840A8C">
              <w:rPr>
                <w:rFonts w:ascii="Arial" w:hAnsi="Arial" w:eastAsia="Calibri" w:cs="Arial"/>
                <w:color w:val="4E4D4D"/>
                <w:sz w:val="21"/>
                <w:szCs w:val="21"/>
                <w:lang w:val="es-ES"/>
              </w:rPr>
              <w:t>De 1 hasta 2</w:t>
            </w:r>
          </w:p>
        </w:tc>
        <w:tc>
          <w:tcPr>
            <w:tcW w:w="4179"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840A8C" w:rsidR="000D0DB2" w:rsidP="004015A7" w:rsidRDefault="000D0DB2" w14:paraId="1813B0CD" w14:textId="77777777">
            <w:pPr>
              <w:spacing w:after="120" w:line="276" w:lineRule="auto"/>
              <w:jc w:val="center"/>
              <w:rPr>
                <w:rFonts w:ascii="Arial" w:hAnsi="Arial" w:eastAsia="Calibri" w:cs="Arial"/>
                <w:color w:val="4E4D4D"/>
                <w:sz w:val="21"/>
                <w:szCs w:val="21"/>
                <w:lang w:val="es-ES"/>
              </w:rPr>
            </w:pPr>
            <w:r w:rsidRPr="00840A8C">
              <w:rPr>
                <w:rFonts w:ascii="Arial" w:hAnsi="Arial" w:eastAsia="Calibri" w:cs="Arial"/>
                <w:color w:val="4E4D4D"/>
                <w:sz w:val="21"/>
                <w:szCs w:val="21"/>
                <w:lang w:val="es-ES"/>
              </w:rPr>
              <w:t>75%</w:t>
            </w:r>
          </w:p>
        </w:tc>
      </w:tr>
      <w:tr w:rsidRPr="00840A8C" w:rsidR="000D0DB2" w:rsidTr="00CF7AFA" w14:paraId="677D2922" w14:textId="77777777">
        <w:trPr>
          <w:jc w:val="center"/>
        </w:trPr>
        <w:tc>
          <w:tcPr>
            <w:tcW w:w="3055"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840A8C" w:rsidR="000D0DB2" w:rsidP="004015A7" w:rsidRDefault="000D0DB2" w14:paraId="2F718618" w14:textId="77777777">
            <w:pPr>
              <w:spacing w:after="120" w:line="276" w:lineRule="auto"/>
              <w:jc w:val="center"/>
              <w:rPr>
                <w:rFonts w:ascii="Arial" w:hAnsi="Arial" w:eastAsia="Calibri" w:cs="Arial"/>
                <w:color w:val="4E4D4D"/>
                <w:sz w:val="21"/>
                <w:szCs w:val="21"/>
                <w:lang w:val="es-ES"/>
              </w:rPr>
            </w:pPr>
            <w:r w:rsidRPr="00840A8C">
              <w:rPr>
                <w:rFonts w:ascii="Arial" w:hAnsi="Arial" w:eastAsia="Calibri" w:cs="Arial"/>
                <w:color w:val="4E4D4D"/>
                <w:sz w:val="21"/>
                <w:szCs w:val="21"/>
                <w:lang w:val="es-ES"/>
              </w:rPr>
              <w:t>De 3 hasta 4</w:t>
            </w:r>
          </w:p>
        </w:tc>
        <w:tc>
          <w:tcPr>
            <w:tcW w:w="4179"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840A8C" w:rsidR="000D0DB2" w:rsidP="004015A7" w:rsidRDefault="000D0DB2" w14:paraId="31320882" w14:textId="77777777">
            <w:pPr>
              <w:spacing w:after="120" w:line="276" w:lineRule="auto"/>
              <w:jc w:val="center"/>
              <w:rPr>
                <w:rFonts w:ascii="Arial" w:hAnsi="Arial" w:eastAsia="Calibri" w:cs="Arial"/>
                <w:color w:val="4E4D4D"/>
                <w:sz w:val="21"/>
                <w:szCs w:val="21"/>
                <w:lang w:val="es-ES"/>
              </w:rPr>
            </w:pPr>
            <w:r w:rsidRPr="00840A8C">
              <w:rPr>
                <w:rFonts w:ascii="Arial" w:hAnsi="Arial" w:eastAsia="Calibri" w:cs="Arial"/>
                <w:color w:val="4E4D4D"/>
                <w:sz w:val="21"/>
                <w:szCs w:val="21"/>
                <w:lang w:val="es-ES"/>
              </w:rPr>
              <w:t>120%</w:t>
            </w:r>
          </w:p>
        </w:tc>
      </w:tr>
      <w:tr w:rsidRPr="00840A8C" w:rsidR="000D0DB2" w:rsidTr="00CF7AFA" w14:paraId="670C5EFF" w14:textId="77777777">
        <w:trPr>
          <w:jc w:val="center"/>
        </w:trPr>
        <w:tc>
          <w:tcPr>
            <w:tcW w:w="3055" w:type="dxa"/>
            <w:tcBorders>
              <w:top w:val="single" w:color="000000" w:themeColor="text1" w:sz="4" w:space="0"/>
              <w:left w:val="double" w:color="auto" w:sz="4" w:space="0"/>
              <w:bottom w:val="double" w:color="auto" w:sz="4" w:space="0"/>
              <w:right w:val="single" w:color="000000" w:themeColor="text1" w:sz="4" w:space="0"/>
            </w:tcBorders>
            <w:vAlign w:val="center"/>
            <w:hideMark/>
          </w:tcPr>
          <w:p w:rsidRPr="00840A8C" w:rsidR="000D0DB2" w:rsidP="004015A7" w:rsidRDefault="000D0DB2" w14:paraId="479FE940" w14:textId="77777777">
            <w:pPr>
              <w:spacing w:line="276" w:lineRule="auto"/>
              <w:jc w:val="center"/>
              <w:rPr>
                <w:rFonts w:ascii="Arial" w:hAnsi="Arial" w:eastAsia="Calibri" w:cs="Arial"/>
                <w:color w:val="4E4D4D"/>
                <w:sz w:val="21"/>
                <w:szCs w:val="21"/>
                <w:lang w:val="es-ES"/>
              </w:rPr>
            </w:pPr>
            <w:r w:rsidRPr="00840A8C">
              <w:rPr>
                <w:rFonts w:ascii="Arial" w:hAnsi="Arial" w:eastAsia="Calibri" w:cs="Arial"/>
                <w:color w:val="4E4D4D"/>
                <w:sz w:val="21"/>
                <w:szCs w:val="21"/>
                <w:lang w:val="es-ES"/>
              </w:rPr>
              <w:t>De 5 hasta 6</w:t>
            </w:r>
          </w:p>
        </w:tc>
        <w:tc>
          <w:tcPr>
            <w:tcW w:w="4179" w:type="dxa"/>
            <w:tcBorders>
              <w:top w:val="single" w:color="000000" w:themeColor="text1" w:sz="4" w:space="0"/>
              <w:left w:val="single" w:color="000000" w:themeColor="text1" w:sz="4" w:space="0"/>
              <w:bottom w:val="double" w:color="auto" w:sz="4" w:space="0"/>
              <w:right w:val="double" w:color="auto" w:sz="4" w:space="0"/>
            </w:tcBorders>
            <w:vAlign w:val="center"/>
            <w:hideMark/>
          </w:tcPr>
          <w:p w:rsidRPr="00840A8C" w:rsidR="000D0DB2" w:rsidP="004015A7" w:rsidRDefault="000D0DB2" w14:paraId="5CC4054E" w14:textId="77777777">
            <w:pPr>
              <w:spacing w:line="276" w:lineRule="auto"/>
              <w:jc w:val="center"/>
              <w:rPr>
                <w:rFonts w:ascii="Arial" w:hAnsi="Arial" w:eastAsia="Calibri" w:cs="Arial"/>
                <w:color w:val="4E4D4D"/>
                <w:sz w:val="21"/>
                <w:szCs w:val="21"/>
                <w:lang w:val="es-ES"/>
              </w:rPr>
            </w:pPr>
            <w:r w:rsidRPr="00840A8C">
              <w:rPr>
                <w:rFonts w:ascii="Arial" w:hAnsi="Arial" w:eastAsia="Calibri" w:cs="Arial"/>
                <w:color w:val="4E4D4D"/>
                <w:sz w:val="21"/>
                <w:szCs w:val="21"/>
                <w:lang w:val="es-ES"/>
              </w:rPr>
              <w:t>150%</w:t>
            </w:r>
          </w:p>
        </w:tc>
      </w:tr>
    </w:tbl>
    <w:p w:rsidRPr="00C02623" w:rsidR="000D0DB2" w:rsidP="004015A7" w:rsidRDefault="000D0DB2" w14:paraId="60A5386C" w14:textId="77777777">
      <w:pPr>
        <w:spacing w:line="276" w:lineRule="auto"/>
        <w:jc w:val="both"/>
        <w:rPr>
          <w:rFonts w:ascii="Arial" w:hAnsi="Arial" w:eastAsia="Calibri" w:cs="Arial"/>
          <w:color w:val="4E4D4D"/>
          <w:sz w:val="22"/>
        </w:rPr>
      </w:pPr>
    </w:p>
    <w:p w:rsidRPr="009A4A28" w:rsidR="000D0DB2" w:rsidP="004015A7" w:rsidRDefault="000D0DB2" w14:paraId="3D7274A1" w14:textId="08A01E7D">
      <w:pPr>
        <w:spacing w:after="120" w:line="276" w:lineRule="auto"/>
        <w:ind w:firstLine="708"/>
        <w:jc w:val="both"/>
        <w:rPr>
          <w:rFonts w:ascii="Arial" w:hAnsi="Arial" w:eastAsia="Calibri" w:cs="Arial"/>
          <w:sz w:val="22"/>
        </w:rPr>
      </w:pPr>
      <w:r w:rsidRPr="009A4A28">
        <w:rPr>
          <w:rFonts w:ascii="Arial" w:hAnsi="Arial" w:eastAsia="Calibri" w:cs="Arial"/>
          <w:sz w:val="22"/>
        </w:rPr>
        <w:t>Es decir, la verificación se hará con base en la sumatoria de los valores totales</w:t>
      </w:r>
      <w:r w:rsidRPr="009A4A28" w:rsidR="004015A7">
        <w:rPr>
          <w:rFonts w:ascii="Arial" w:hAnsi="Arial" w:eastAsia="Calibri" w:cs="Arial"/>
          <w:sz w:val="22"/>
        </w:rPr>
        <w:t xml:space="preserve"> </w:t>
      </w:r>
      <w:r w:rsidR="00B539C1">
        <w:rPr>
          <w:rFonts w:ascii="Arial" w:hAnsi="Arial" w:eastAsia="Calibri" w:cs="Arial"/>
          <w:sz w:val="22"/>
        </w:rPr>
        <w:t>–i</w:t>
      </w:r>
      <w:r w:rsidRPr="009A4A28">
        <w:rPr>
          <w:rFonts w:ascii="Arial" w:hAnsi="Arial" w:eastAsia="Calibri" w:cs="Arial"/>
          <w:sz w:val="22"/>
        </w:rPr>
        <w:t>ncluido IVA</w:t>
      </w:r>
      <w:r w:rsidR="00B539C1">
        <w:rPr>
          <w:rFonts w:ascii="Arial" w:hAnsi="Arial" w:eastAsia="Calibri" w:cs="Arial"/>
          <w:sz w:val="22"/>
        </w:rPr>
        <w:t>–</w:t>
      </w:r>
      <w:r w:rsidRPr="009A4A28" w:rsidR="004015A7">
        <w:rPr>
          <w:rFonts w:ascii="Arial" w:hAnsi="Arial" w:eastAsia="Calibri" w:cs="Arial"/>
          <w:sz w:val="22"/>
        </w:rPr>
        <w:t xml:space="preserve"> </w:t>
      </w:r>
      <w:r w:rsidRPr="009A4A28">
        <w:rPr>
          <w:rFonts w:ascii="Arial" w:hAnsi="Arial" w:eastAsia="Calibri" w:cs="Arial"/>
          <w:sz w:val="22"/>
        </w:rPr>
        <w:t xml:space="preserve">en SMMLV ejecutados de los contratos relacionados con la obra pública de infraestructura de transporte y los contratos que acreditan la verificación de bienes y </w:t>
      </w:r>
      <w:r w:rsidRPr="009A4A28">
        <w:rPr>
          <w:rFonts w:ascii="Arial" w:hAnsi="Arial" w:eastAsia="Calibri" w:cs="Arial"/>
          <w:sz w:val="22"/>
        </w:rPr>
        <w:lastRenderedPageBreak/>
        <w:t xml:space="preserve">servicios adicionales a la obra pública que cumplen con los requisitos establecidos en </w:t>
      </w:r>
      <w:r w:rsidR="00B539C1">
        <w:rPr>
          <w:rFonts w:ascii="Arial" w:hAnsi="Arial" w:eastAsia="Calibri" w:cs="Arial"/>
          <w:sz w:val="22"/>
        </w:rPr>
        <w:t>el p</w:t>
      </w:r>
      <w:r w:rsidRPr="009A4A28">
        <w:rPr>
          <w:rFonts w:ascii="Arial" w:hAnsi="Arial" w:eastAsia="Calibri" w:cs="Arial"/>
          <w:sz w:val="22"/>
        </w:rPr>
        <w:t xml:space="preserve">liego de </w:t>
      </w:r>
      <w:r w:rsidR="00B539C1">
        <w:rPr>
          <w:rFonts w:ascii="Arial" w:hAnsi="Arial" w:eastAsia="Calibri" w:cs="Arial"/>
          <w:sz w:val="22"/>
        </w:rPr>
        <w:t>c</w:t>
      </w:r>
      <w:r w:rsidRPr="009A4A28">
        <w:rPr>
          <w:rFonts w:ascii="Arial" w:hAnsi="Arial" w:eastAsia="Calibri" w:cs="Arial"/>
          <w:sz w:val="22"/>
        </w:rPr>
        <w:t>ondiciones</w:t>
      </w:r>
      <w:r w:rsidR="00370953">
        <w:rPr>
          <w:rFonts w:ascii="Arial" w:hAnsi="Arial" w:eastAsia="Calibri" w:cs="Arial"/>
          <w:sz w:val="22"/>
        </w:rPr>
        <w:t>. En todo caso no</w:t>
      </w:r>
      <w:r w:rsidRPr="009A4A28">
        <w:rPr>
          <w:rFonts w:ascii="Arial" w:hAnsi="Arial" w:eastAsia="Calibri" w:cs="Arial"/>
          <w:sz w:val="22"/>
        </w:rPr>
        <w:t xml:space="preserve"> pued</w:t>
      </w:r>
      <w:r w:rsidR="00370953">
        <w:rPr>
          <w:rFonts w:ascii="Arial" w:hAnsi="Arial" w:eastAsia="Calibri" w:cs="Arial"/>
          <w:sz w:val="22"/>
        </w:rPr>
        <w:t>e</w:t>
      </w:r>
      <w:r w:rsidRPr="009A4A28">
        <w:rPr>
          <w:rFonts w:ascii="Arial" w:hAnsi="Arial" w:eastAsia="Calibri" w:cs="Arial"/>
          <w:sz w:val="22"/>
        </w:rPr>
        <w:t xml:space="preserve">n aportarse más de </w:t>
      </w:r>
      <w:r w:rsidR="0004309E">
        <w:rPr>
          <w:rFonts w:ascii="Arial" w:hAnsi="Arial" w:eastAsia="Calibri" w:cs="Arial"/>
          <w:sz w:val="22"/>
        </w:rPr>
        <w:t>seis (</w:t>
      </w:r>
      <w:r w:rsidRPr="009A4A28">
        <w:rPr>
          <w:rFonts w:ascii="Arial" w:hAnsi="Arial" w:eastAsia="Calibri" w:cs="Arial"/>
          <w:sz w:val="22"/>
        </w:rPr>
        <w:t>6</w:t>
      </w:r>
      <w:r w:rsidR="0004309E">
        <w:rPr>
          <w:rFonts w:ascii="Arial" w:hAnsi="Arial" w:eastAsia="Calibri" w:cs="Arial"/>
          <w:sz w:val="22"/>
        </w:rPr>
        <w:t>)</w:t>
      </w:r>
      <w:r w:rsidRPr="009A4A28">
        <w:rPr>
          <w:rFonts w:ascii="Arial" w:hAnsi="Arial" w:eastAsia="Calibri" w:cs="Arial"/>
          <w:sz w:val="22"/>
        </w:rPr>
        <w:t xml:space="preserve"> contratos.</w:t>
      </w:r>
    </w:p>
    <w:p w:rsidRPr="009A4A28" w:rsidR="000D0DB2" w:rsidP="004015A7" w:rsidRDefault="000D0DB2" w14:paraId="4044C141" w14:textId="4029200E">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En este sentido, si el contratista aporta dos (2) contratos que permiten acreditar la experiencia exigida en la </w:t>
      </w:r>
      <w:r w:rsidR="0004309E">
        <w:rPr>
          <w:rFonts w:ascii="Arial" w:hAnsi="Arial" w:eastAsia="Calibri" w:cs="Arial"/>
          <w:sz w:val="22"/>
        </w:rPr>
        <w:t>«</w:t>
      </w:r>
      <w:r w:rsidRPr="009A4A28">
        <w:rPr>
          <w:rFonts w:ascii="Arial" w:hAnsi="Arial" w:eastAsia="Calibri" w:cs="Arial"/>
          <w:sz w:val="22"/>
        </w:rPr>
        <w:t xml:space="preserve">Matriz 1 </w:t>
      </w:r>
      <w:r w:rsidR="0004309E">
        <w:rPr>
          <w:rFonts w:ascii="Arial" w:hAnsi="Arial" w:eastAsia="Calibri" w:cs="Arial"/>
          <w:sz w:val="22"/>
        </w:rPr>
        <w:t>–</w:t>
      </w:r>
      <w:r w:rsidRPr="009A4A28" w:rsidR="004015A7">
        <w:rPr>
          <w:rFonts w:ascii="Arial" w:hAnsi="Arial" w:eastAsia="Calibri" w:cs="Arial"/>
          <w:sz w:val="22"/>
        </w:rPr>
        <w:t xml:space="preserve"> </w:t>
      </w:r>
      <w:r w:rsidRPr="009A4A28">
        <w:rPr>
          <w:rFonts w:ascii="Arial" w:hAnsi="Arial" w:eastAsia="Calibri" w:cs="Arial"/>
          <w:sz w:val="22"/>
        </w:rPr>
        <w:t>Experiencia</w:t>
      </w:r>
      <w:r w:rsidR="0004309E">
        <w:rPr>
          <w:rFonts w:ascii="Arial" w:hAnsi="Arial" w:eastAsia="Calibri" w:cs="Arial"/>
          <w:sz w:val="22"/>
        </w:rPr>
        <w:t>»</w:t>
      </w:r>
      <w:r w:rsidRPr="009A4A28">
        <w:rPr>
          <w:rFonts w:ascii="Arial" w:hAnsi="Arial" w:eastAsia="Calibri" w:cs="Arial"/>
          <w:sz w:val="22"/>
        </w:rPr>
        <w:t xml:space="preserve">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rsidRPr="009A4A28" w:rsidR="000D0DB2" w:rsidP="00F97EA8" w:rsidRDefault="000D0DB2" w14:paraId="05A58743" w14:textId="04BF93FA">
      <w:pPr>
        <w:spacing w:line="276" w:lineRule="auto"/>
        <w:ind w:firstLine="708"/>
        <w:jc w:val="both"/>
        <w:rPr>
          <w:rFonts w:ascii="Arial" w:hAnsi="Arial" w:eastAsia="Calibri" w:cs="Arial"/>
          <w:sz w:val="22"/>
        </w:rPr>
      </w:pPr>
      <w:r w:rsidRPr="009A4A28">
        <w:rPr>
          <w:rFonts w:ascii="Arial" w:hAnsi="Arial" w:eastAsia="Calibri" w:cs="Arial"/>
          <w:sz w:val="22"/>
          <w:lang w:val="es-ES"/>
        </w:rPr>
        <w:t xml:space="preserve">En caso de que el número de contratos con los cuales el </w:t>
      </w:r>
      <w:r w:rsidR="0004309E">
        <w:rPr>
          <w:rFonts w:ascii="Arial" w:hAnsi="Arial" w:eastAsia="Calibri" w:cs="Arial"/>
          <w:sz w:val="22"/>
          <w:lang w:val="es-ES"/>
        </w:rPr>
        <w:t>p</w:t>
      </w:r>
      <w:r w:rsidRPr="009A4A28">
        <w:rPr>
          <w:rFonts w:ascii="Arial" w:hAnsi="Arial" w:eastAsia="Calibri" w:cs="Arial"/>
          <w:sz w:val="22"/>
          <w:lang w:val="es-ES"/>
        </w:rPr>
        <w:t xml:space="preserve">roponente acredita la experiencia no satisfaga el porcentaje mínimo a certificar, establecido en la anterior tabla, se </w:t>
      </w:r>
      <w:r w:rsidRPr="009A4A28">
        <w:rPr>
          <w:rFonts w:ascii="Arial" w:hAnsi="Arial" w:eastAsia="Calibri" w:cs="Arial"/>
          <w:sz w:val="22"/>
        </w:rPr>
        <w:t>calificará la propuesta como no hábil.</w:t>
      </w:r>
    </w:p>
    <w:p w:rsidRPr="009A4A28" w:rsidR="001F49CD" w:rsidP="001F49CD" w:rsidRDefault="00B539C1" w14:paraId="2BE6EE1E" w14:textId="01BE544A">
      <w:pPr>
        <w:spacing w:before="120" w:after="120" w:line="276" w:lineRule="auto"/>
        <w:ind w:firstLine="709"/>
        <w:jc w:val="both"/>
        <w:rPr>
          <w:rFonts w:ascii="Arial" w:hAnsi="Arial" w:eastAsia="Calibri" w:cs="Arial"/>
          <w:sz w:val="22"/>
        </w:rPr>
      </w:pPr>
      <w:r>
        <w:rPr>
          <w:rFonts w:ascii="Arial" w:hAnsi="Arial" w:eastAsia="Calibri" w:cs="Arial"/>
          <w:sz w:val="22"/>
        </w:rPr>
        <w:t>Además de lo anterior, debe tenerse presente la regla de la</w:t>
      </w:r>
      <w:r w:rsidR="00977F75">
        <w:rPr>
          <w:rFonts w:ascii="Arial" w:hAnsi="Arial" w:eastAsia="Calibri" w:cs="Arial"/>
          <w:sz w:val="22"/>
        </w:rPr>
        <w:t xml:space="preserve"> inalterabilidad de los Documentos Tipo, </w:t>
      </w:r>
      <w:r>
        <w:rPr>
          <w:rFonts w:ascii="Arial" w:hAnsi="Arial" w:eastAsia="Calibri" w:cs="Arial"/>
          <w:sz w:val="22"/>
        </w:rPr>
        <w:t xml:space="preserve">que se fundamenta en </w:t>
      </w:r>
      <w:r w:rsidR="00977F75">
        <w:rPr>
          <w:rFonts w:ascii="Arial" w:hAnsi="Arial" w:eastAsia="Calibri" w:cs="Arial"/>
          <w:sz w:val="22"/>
        </w:rPr>
        <w:t>e</w:t>
      </w:r>
      <w:r w:rsidRPr="009A4A28" w:rsidR="002826C0">
        <w:rPr>
          <w:rFonts w:ascii="Arial" w:hAnsi="Arial" w:eastAsia="Calibri" w:cs="Arial"/>
          <w:sz w:val="22"/>
        </w:rPr>
        <w:t>l artículo 2.2.1.2.6.1.4</w:t>
      </w:r>
      <w:r w:rsidR="002826C0">
        <w:rPr>
          <w:rFonts w:ascii="Arial" w:hAnsi="Arial" w:eastAsia="Calibri" w:cs="Arial"/>
          <w:sz w:val="22"/>
        </w:rPr>
        <w:t xml:space="preserve"> de</w:t>
      </w:r>
      <w:r w:rsidRPr="009A4A28" w:rsidR="001F49CD">
        <w:rPr>
          <w:rFonts w:ascii="Arial" w:hAnsi="Arial" w:eastAsia="Calibri" w:cs="Arial"/>
          <w:sz w:val="22"/>
        </w:rPr>
        <w:t>l Decreto 342 de 2019</w:t>
      </w:r>
      <w:r>
        <w:rPr>
          <w:rFonts w:ascii="Arial" w:hAnsi="Arial" w:eastAsia="Calibri" w:cs="Arial"/>
          <w:sz w:val="22"/>
        </w:rPr>
        <w:t>, que</w:t>
      </w:r>
      <w:r w:rsidR="003B1A82">
        <w:rPr>
          <w:rFonts w:ascii="Arial" w:hAnsi="Arial" w:eastAsia="Calibri" w:cs="Arial"/>
          <w:sz w:val="22"/>
        </w:rPr>
        <w:t xml:space="preserve"> </w:t>
      </w:r>
      <w:r w:rsidR="002826C0">
        <w:rPr>
          <w:rFonts w:ascii="Arial" w:hAnsi="Arial" w:eastAsia="Calibri" w:cs="Arial"/>
          <w:sz w:val="22"/>
        </w:rPr>
        <w:t>dispone</w:t>
      </w:r>
      <w:r w:rsidRPr="009A4A28" w:rsidR="001F49CD">
        <w:rPr>
          <w:rFonts w:ascii="Arial" w:hAnsi="Arial" w:eastAsia="Calibri" w:cs="Arial"/>
          <w:sz w:val="22"/>
        </w:rPr>
        <w:t xml:space="preserve"> que las entidades contratantes no podrán incluir o modificar dentro de los </w:t>
      </w:r>
      <w:r w:rsidRPr="009A4A28" w:rsidR="002826C0">
        <w:rPr>
          <w:rFonts w:ascii="Arial" w:hAnsi="Arial" w:eastAsia="Calibri" w:cs="Arial"/>
          <w:sz w:val="22"/>
        </w:rPr>
        <w:t xml:space="preserve">documentos del proceso </w:t>
      </w:r>
      <w:r w:rsidRPr="009A4A28" w:rsidR="001F49CD">
        <w:rPr>
          <w:rFonts w:ascii="Arial" w:hAnsi="Arial" w:eastAsia="Calibri" w:cs="Arial"/>
          <w:sz w:val="22"/>
        </w:rPr>
        <w:t xml:space="preserve">las condiciones habilitantes, los factores técnicos y económicos de escogencia y los sistemas de ponderación señalados en los </w:t>
      </w:r>
      <w:r w:rsidRPr="009A4A28" w:rsidR="002826C0">
        <w:rPr>
          <w:rFonts w:ascii="Arial" w:hAnsi="Arial" w:eastAsia="Calibri" w:cs="Arial"/>
          <w:sz w:val="22"/>
        </w:rPr>
        <w:t>documentos tipo</w:t>
      </w:r>
      <w:r w:rsidRPr="009A4A28" w:rsidR="001F49CD">
        <w:rPr>
          <w:rStyle w:val="Refdenotaalpie"/>
          <w:rFonts w:ascii="Arial" w:hAnsi="Arial" w:eastAsia="Calibri" w:cs="Arial"/>
          <w:sz w:val="22"/>
        </w:rPr>
        <w:footnoteReference w:id="2"/>
      </w:r>
      <w:r w:rsidRPr="009A4A28" w:rsidR="001F49CD">
        <w:rPr>
          <w:rFonts w:ascii="Arial" w:hAnsi="Arial" w:eastAsia="Calibri" w:cs="Arial"/>
          <w:sz w:val="22"/>
        </w:rPr>
        <w:t xml:space="preserve">. </w:t>
      </w:r>
    </w:p>
    <w:p w:rsidRPr="009A4A28" w:rsidR="001F49CD" w:rsidP="001F49CD" w:rsidRDefault="00E325A7" w14:paraId="5549C080" w14:textId="0F647A2B">
      <w:pPr>
        <w:spacing w:before="120" w:after="120" w:line="276" w:lineRule="auto"/>
        <w:ind w:firstLine="709"/>
        <w:jc w:val="both"/>
        <w:rPr>
          <w:rFonts w:ascii="Arial" w:hAnsi="Arial" w:eastAsia="Calibri" w:cs="Arial"/>
          <w:sz w:val="22"/>
        </w:rPr>
      </w:pPr>
      <w:r>
        <w:rPr>
          <w:rFonts w:ascii="Arial" w:hAnsi="Arial" w:eastAsia="Calibri" w:cs="Arial"/>
          <w:sz w:val="22"/>
        </w:rPr>
        <w:t>De otro lado</w:t>
      </w:r>
      <w:r w:rsidRPr="009A4A28" w:rsidR="001F49CD">
        <w:rPr>
          <w:rFonts w:ascii="Arial" w:hAnsi="Arial" w:eastAsia="Calibri" w:cs="Arial"/>
          <w:sz w:val="22"/>
        </w:rPr>
        <w:t xml:space="preserve">, la parte introductoria de los </w:t>
      </w:r>
      <w:r w:rsidRPr="009A4A28" w:rsidR="002826C0">
        <w:rPr>
          <w:rFonts w:ascii="Arial" w:hAnsi="Arial" w:eastAsia="Calibri" w:cs="Arial"/>
          <w:sz w:val="22"/>
        </w:rPr>
        <w:t>documentos tipo</w:t>
      </w:r>
      <w:r w:rsidRPr="009A4A28" w:rsidR="001F49CD">
        <w:rPr>
          <w:rFonts w:ascii="Arial" w:hAnsi="Arial" w:eastAsia="Calibri" w:cs="Arial"/>
          <w:sz w:val="22"/>
        </w:rPr>
        <w:t xml:space="preserve"> señala que los aspectos incluidos en corchetes y resaltado gris deben ser diligenciados por la entidad. Es así como en cada acápite que esté resaltado en gris la entidad tendrá la libertad de determinar la información que se diligenciará en los </w:t>
      </w:r>
      <w:r w:rsidRPr="009A4A28" w:rsidR="002826C0">
        <w:rPr>
          <w:rFonts w:ascii="Arial" w:hAnsi="Arial" w:eastAsia="Calibri" w:cs="Arial"/>
          <w:sz w:val="22"/>
        </w:rPr>
        <w:t>documentos tipo</w:t>
      </w:r>
      <w:r w:rsidR="00275CEE">
        <w:rPr>
          <w:rFonts w:ascii="Arial" w:hAnsi="Arial" w:eastAsia="Calibri" w:cs="Arial"/>
          <w:sz w:val="22"/>
        </w:rPr>
        <w:t>. Esto,</w:t>
      </w:r>
      <w:r w:rsidRPr="009A4A28" w:rsidR="001F49CD">
        <w:rPr>
          <w:rFonts w:ascii="Arial" w:hAnsi="Arial" w:eastAsia="Calibri" w:cs="Arial"/>
          <w:sz w:val="22"/>
        </w:rPr>
        <w:t xml:space="preserve"> de acuerdo con su necesidad y las instrucciones que precise el pliego. </w:t>
      </w:r>
    </w:p>
    <w:p w:rsidRPr="009A4A28" w:rsidR="001F49CD" w:rsidP="001F49CD" w:rsidRDefault="009C2458" w14:paraId="02784A3D" w14:textId="2D741C5C">
      <w:pPr>
        <w:spacing w:line="276" w:lineRule="auto"/>
        <w:ind w:firstLine="708"/>
        <w:jc w:val="both"/>
        <w:rPr>
          <w:rFonts w:ascii="Arial" w:hAnsi="Arial" w:eastAsia="Calibri" w:cs="Arial"/>
          <w:sz w:val="22"/>
        </w:rPr>
      </w:pPr>
      <w:r w:rsidRPr="009A4A28">
        <w:rPr>
          <w:rFonts w:ascii="Arial" w:hAnsi="Arial" w:eastAsia="Calibri" w:cs="Arial"/>
          <w:sz w:val="22"/>
        </w:rPr>
        <w:t>Por consiguiente,</w:t>
      </w:r>
      <w:r w:rsidRPr="009A4A28" w:rsidR="001F49CD">
        <w:rPr>
          <w:rFonts w:ascii="Arial" w:hAnsi="Arial" w:eastAsia="Calibri" w:cs="Arial"/>
          <w:sz w:val="22"/>
        </w:rPr>
        <w:t xml:space="preserve"> para poder solicitar los bienes o servicios adicionales que no se encuentren contemplados en la </w:t>
      </w:r>
      <w:r w:rsidR="002826C0">
        <w:rPr>
          <w:rFonts w:ascii="Arial" w:hAnsi="Arial" w:eastAsia="Calibri" w:cs="Arial"/>
          <w:sz w:val="22"/>
        </w:rPr>
        <w:t>«</w:t>
      </w:r>
      <w:r w:rsidRPr="009A4A28" w:rsidR="001F49CD">
        <w:rPr>
          <w:rFonts w:ascii="Arial" w:hAnsi="Arial" w:eastAsia="Calibri" w:cs="Arial"/>
          <w:sz w:val="22"/>
        </w:rPr>
        <w:t xml:space="preserve">Matriz 1 </w:t>
      </w:r>
      <w:r w:rsidR="002826C0">
        <w:rPr>
          <w:rFonts w:ascii="Arial" w:hAnsi="Arial" w:eastAsia="Calibri" w:cs="Arial"/>
          <w:sz w:val="22"/>
        </w:rPr>
        <w:t>–</w:t>
      </w:r>
      <w:r w:rsidRPr="009A4A28" w:rsidR="001F49CD">
        <w:rPr>
          <w:rFonts w:ascii="Arial" w:hAnsi="Arial" w:eastAsia="Calibri" w:cs="Arial"/>
          <w:sz w:val="22"/>
        </w:rPr>
        <w:t xml:space="preserve"> Experiencia</w:t>
      </w:r>
      <w:r w:rsidR="002826C0">
        <w:rPr>
          <w:rFonts w:ascii="Arial" w:hAnsi="Arial" w:eastAsia="Calibri" w:cs="Arial"/>
          <w:sz w:val="22"/>
        </w:rPr>
        <w:t>»</w:t>
      </w:r>
      <w:r w:rsidRPr="009A4A28" w:rsidR="001F49CD">
        <w:rPr>
          <w:rFonts w:ascii="Arial" w:hAnsi="Arial" w:eastAsia="Calibri" w:cs="Arial"/>
          <w:sz w:val="22"/>
        </w:rPr>
        <w:t xml:space="preserve">, debe aplicarse lo establecido en el literal G del numeral 3.5.1. del </w:t>
      </w:r>
      <w:r w:rsidRPr="009A4A28">
        <w:rPr>
          <w:rFonts w:ascii="Arial" w:hAnsi="Arial" w:eastAsia="Calibri" w:cs="Arial"/>
          <w:sz w:val="22"/>
        </w:rPr>
        <w:t>Documento Base</w:t>
      </w:r>
      <w:r w:rsidR="00123B36">
        <w:rPr>
          <w:rFonts w:ascii="Arial" w:hAnsi="Arial" w:eastAsia="Calibri" w:cs="Arial"/>
          <w:sz w:val="22"/>
        </w:rPr>
        <w:t>. Este literal</w:t>
      </w:r>
      <w:r w:rsidRPr="009A4A28" w:rsidR="0019793F">
        <w:rPr>
          <w:rFonts w:ascii="Arial" w:hAnsi="Arial" w:eastAsia="Calibri" w:cs="Arial"/>
          <w:sz w:val="22"/>
        </w:rPr>
        <w:t xml:space="preserve"> contiene una nota en corchetes y resaltado en gris</w:t>
      </w:r>
      <w:r w:rsidRPr="009A4A28" w:rsidR="001F49CD">
        <w:rPr>
          <w:rFonts w:ascii="Arial" w:hAnsi="Arial" w:eastAsia="Calibri" w:cs="Arial"/>
          <w:sz w:val="22"/>
        </w:rPr>
        <w:t>:</w:t>
      </w:r>
    </w:p>
    <w:p w:rsidRPr="009A4A28" w:rsidR="001F49CD" w:rsidP="001F49CD" w:rsidRDefault="001F49CD" w14:paraId="5BC4AC86" w14:textId="77777777">
      <w:pPr>
        <w:spacing w:line="276" w:lineRule="auto"/>
        <w:ind w:firstLine="708"/>
        <w:jc w:val="both"/>
        <w:rPr>
          <w:rFonts w:ascii="Arial" w:hAnsi="Arial" w:eastAsia="Calibri" w:cs="Arial"/>
          <w:sz w:val="22"/>
        </w:rPr>
      </w:pPr>
    </w:p>
    <w:p w:rsidRPr="00577621" w:rsidR="001F49CD" w:rsidP="001E053F" w:rsidRDefault="0019793F" w14:paraId="3EE6B7F3" w14:textId="26B8AA40">
      <w:pPr>
        <w:spacing w:after="120" w:line="276" w:lineRule="auto"/>
        <w:ind w:left="709" w:right="709"/>
        <w:jc w:val="both"/>
        <w:rPr>
          <w:rFonts w:ascii="Arial" w:hAnsi="Arial" w:eastAsia="Calibri" w:cs="Arial"/>
          <w:sz w:val="21"/>
          <w:szCs w:val="21"/>
          <w:highlight w:val="lightGray"/>
        </w:rPr>
      </w:pPr>
      <w:r w:rsidRPr="009A4A28">
        <w:rPr>
          <w:rFonts w:ascii="Arial" w:hAnsi="Arial" w:eastAsia="Calibri" w:cs="Arial"/>
          <w:sz w:val="21"/>
          <w:szCs w:val="21"/>
        </w:rPr>
        <w:t>G</w:t>
      </w:r>
      <w:r w:rsidRPr="009A4A28" w:rsidR="001F49CD">
        <w:rPr>
          <w:rFonts w:ascii="Arial" w:hAnsi="Arial" w:eastAsia="Calibri" w:cs="Arial"/>
          <w:sz w:val="21"/>
          <w:szCs w:val="21"/>
        </w:rPr>
        <w:t xml:space="preserve">. </w:t>
      </w:r>
      <w:r w:rsidRPr="00577621" w:rsidR="001F49CD">
        <w:rPr>
          <w:rFonts w:ascii="Arial" w:hAnsi="Arial" w:eastAsia="Calibri" w:cs="Arial"/>
          <w:sz w:val="21"/>
          <w:szCs w:val="21"/>
          <w:highlight w:val="lightGray"/>
        </w:rPr>
        <w:t>[Cuando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rsidRPr="00577621" w:rsidR="001F49CD" w:rsidP="001E053F" w:rsidRDefault="001F49CD" w14:paraId="0E77C641" w14:textId="1568174B">
      <w:pPr>
        <w:spacing w:after="120" w:line="276" w:lineRule="auto"/>
        <w:ind w:left="709" w:right="709"/>
        <w:jc w:val="both"/>
        <w:rPr>
          <w:rFonts w:ascii="Arial" w:hAnsi="Arial" w:eastAsia="Calibri" w:cs="Arial"/>
          <w:sz w:val="21"/>
          <w:szCs w:val="21"/>
          <w:highlight w:val="lightGray"/>
        </w:rPr>
      </w:pPr>
      <w:r w:rsidRPr="00577621">
        <w:rPr>
          <w:rFonts w:ascii="Arial" w:hAnsi="Arial" w:eastAsia="Calibri" w:cs="Arial"/>
          <w:sz w:val="21"/>
          <w:szCs w:val="21"/>
          <w:highlight w:val="lightGray"/>
        </w:rPr>
        <w:t>Conforme a esta disposición, la Entidad no puede requerir experiencia adicional que incluya volúmenes o cantidades de obra específica expresadas en SMMLV]</w:t>
      </w:r>
    </w:p>
    <w:p w:rsidRPr="009A4A28" w:rsidR="001F49CD" w:rsidP="001F49CD" w:rsidRDefault="001F49CD" w14:paraId="6EA77808" w14:textId="342BC6D6">
      <w:pPr>
        <w:spacing w:line="276" w:lineRule="auto"/>
        <w:ind w:left="709" w:right="709"/>
        <w:jc w:val="both"/>
        <w:rPr>
          <w:rFonts w:ascii="Arial" w:hAnsi="Arial" w:eastAsia="Calibri" w:cs="Arial"/>
          <w:sz w:val="21"/>
          <w:szCs w:val="21"/>
        </w:rPr>
      </w:pPr>
      <w:r w:rsidRPr="00577621">
        <w:rPr>
          <w:rFonts w:ascii="Arial" w:hAnsi="Arial" w:eastAsia="Calibri" w:cs="Arial"/>
          <w:sz w:val="21"/>
          <w:szCs w:val="21"/>
          <w:highlight w:val="lightGray"/>
        </w:rPr>
        <w:lastRenderedPageBreak/>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rsidRPr="009A4A28" w:rsidR="001F49CD" w:rsidP="001F49CD" w:rsidRDefault="001F49CD" w14:paraId="6DD258FD" w14:textId="77777777">
      <w:pPr>
        <w:spacing w:line="276" w:lineRule="auto"/>
        <w:ind w:firstLine="708"/>
        <w:jc w:val="both"/>
        <w:rPr>
          <w:rFonts w:ascii="Arial" w:hAnsi="Arial" w:eastAsia="Calibri" w:cs="Arial"/>
          <w:sz w:val="22"/>
        </w:rPr>
      </w:pPr>
    </w:p>
    <w:p w:rsidRPr="009A4A28" w:rsidR="009C2458" w:rsidP="00A34C26" w:rsidRDefault="009C2458" w14:paraId="3218B592" w14:textId="7DB45B2B">
      <w:pPr>
        <w:spacing w:after="120" w:line="276" w:lineRule="auto"/>
        <w:ind w:firstLine="708"/>
        <w:jc w:val="both"/>
        <w:rPr>
          <w:rFonts w:ascii="Arial" w:hAnsi="Arial" w:eastAsia="Calibri" w:cs="Arial"/>
          <w:sz w:val="22"/>
        </w:rPr>
      </w:pPr>
      <w:r w:rsidRPr="009A4A28">
        <w:rPr>
          <w:rFonts w:ascii="Arial" w:hAnsi="Arial" w:eastAsia="Calibri" w:cs="Arial"/>
          <w:sz w:val="22"/>
        </w:rPr>
        <w:t xml:space="preserve">Conforme a lo anterior, la regla general frente </w:t>
      </w:r>
      <w:r w:rsidR="00163756">
        <w:rPr>
          <w:rFonts w:ascii="Arial" w:hAnsi="Arial" w:eastAsia="Calibri" w:cs="Arial"/>
          <w:sz w:val="22"/>
        </w:rPr>
        <w:t xml:space="preserve">a </w:t>
      </w:r>
      <w:r w:rsidRPr="009A4A28">
        <w:rPr>
          <w:rFonts w:ascii="Arial" w:hAnsi="Arial" w:eastAsia="Calibri" w:cs="Arial"/>
          <w:sz w:val="22"/>
        </w:rPr>
        <w:t xml:space="preserve">la aplicación del </w:t>
      </w:r>
      <w:r w:rsidRPr="009A4A28" w:rsidR="00DE29D3">
        <w:rPr>
          <w:rFonts w:ascii="Arial" w:hAnsi="Arial" w:eastAsia="Calibri" w:cs="Arial"/>
          <w:sz w:val="22"/>
        </w:rPr>
        <w:t xml:space="preserve">documento base </w:t>
      </w:r>
      <w:r w:rsidRPr="009A4A28">
        <w:rPr>
          <w:rFonts w:ascii="Arial" w:hAnsi="Arial" w:eastAsia="Calibri" w:cs="Arial"/>
          <w:sz w:val="22"/>
        </w:rPr>
        <w:t>es su inalterabilidad</w:t>
      </w:r>
      <w:r w:rsidR="00A34C26">
        <w:rPr>
          <w:rFonts w:ascii="Arial" w:hAnsi="Arial" w:eastAsia="Calibri" w:cs="Arial"/>
          <w:sz w:val="22"/>
        </w:rPr>
        <w:t>.</w:t>
      </w:r>
      <w:r w:rsidRPr="009A4A28">
        <w:rPr>
          <w:rFonts w:ascii="Arial" w:hAnsi="Arial" w:eastAsia="Calibri" w:cs="Arial"/>
          <w:sz w:val="22"/>
        </w:rPr>
        <w:t xml:space="preserve"> </w:t>
      </w:r>
      <w:r w:rsidR="00A34C26">
        <w:rPr>
          <w:rFonts w:ascii="Arial" w:hAnsi="Arial" w:eastAsia="Calibri" w:cs="Arial"/>
          <w:sz w:val="22"/>
        </w:rPr>
        <w:t>P</w:t>
      </w:r>
      <w:r w:rsidRPr="009A4A28">
        <w:rPr>
          <w:rFonts w:ascii="Arial" w:hAnsi="Arial" w:eastAsia="Calibri" w:cs="Arial"/>
          <w:sz w:val="22"/>
        </w:rPr>
        <w:t>or lo tanto</w:t>
      </w:r>
      <w:r w:rsidR="008071A1">
        <w:rPr>
          <w:rFonts w:ascii="Arial" w:hAnsi="Arial" w:eastAsia="Calibri" w:cs="Arial"/>
          <w:sz w:val="22"/>
        </w:rPr>
        <w:t>,</w:t>
      </w:r>
      <w:r w:rsidRPr="009A4A28">
        <w:rPr>
          <w:rFonts w:ascii="Arial" w:hAnsi="Arial" w:eastAsia="Calibri" w:cs="Arial"/>
          <w:sz w:val="22"/>
        </w:rPr>
        <w:t xml:space="preserve"> no se podrán incluir o modificar dentro de los </w:t>
      </w:r>
      <w:r w:rsidRPr="009A4A28" w:rsidR="00DE29D3">
        <w:rPr>
          <w:rFonts w:ascii="Arial" w:hAnsi="Arial" w:eastAsia="Calibri" w:cs="Arial"/>
          <w:sz w:val="22"/>
        </w:rPr>
        <w:t xml:space="preserve">documentos del proceso </w:t>
      </w:r>
      <w:r w:rsidRPr="009A4A28">
        <w:rPr>
          <w:rFonts w:ascii="Arial" w:hAnsi="Arial" w:eastAsia="Calibri" w:cs="Arial"/>
          <w:sz w:val="22"/>
        </w:rPr>
        <w:t xml:space="preserve">las condiciones habilitantes, los factores técnicos y económicos de escogencia y los sistemas de ponderación señalados en los </w:t>
      </w:r>
      <w:r w:rsidRPr="009A4A28" w:rsidR="00DE29D3">
        <w:rPr>
          <w:rFonts w:ascii="Arial" w:hAnsi="Arial" w:eastAsia="Calibri" w:cs="Arial"/>
          <w:sz w:val="22"/>
        </w:rPr>
        <w:t>documentos tipo</w:t>
      </w:r>
      <w:r w:rsidRPr="009A4A28">
        <w:rPr>
          <w:rFonts w:ascii="Arial" w:hAnsi="Arial" w:eastAsia="Calibri" w:cs="Arial"/>
          <w:sz w:val="22"/>
        </w:rPr>
        <w:t>. Salvo lo previsto en el artículo 2.2.1.2.6.1.5</w:t>
      </w:r>
      <w:r w:rsidR="009403BC">
        <w:rPr>
          <w:rFonts w:ascii="Arial" w:hAnsi="Arial" w:eastAsia="Calibri" w:cs="Arial"/>
          <w:sz w:val="22"/>
        </w:rPr>
        <w:t>.</w:t>
      </w:r>
      <w:r w:rsidRPr="009A4A28">
        <w:rPr>
          <w:rFonts w:ascii="Arial" w:hAnsi="Arial" w:eastAsia="Calibri" w:cs="Arial"/>
          <w:sz w:val="22"/>
        </w:rPr>
        <w:t xml:space="preserve"> del Decreto 1082 de 2015, </w:t>
      </w:r>
      <w:r w:rsidR="00B539C1">
        <w:rPr>
          <w:rFonts w:ascii="Arial" w:hAnsi="Arial" w:eastAsia="Calibri" w:cs="Arial"/>
          <w:sz w:val="22"/>
        </w:rPr>
        <w:t xml:space="preserve">esto es, </w:t>
      </w:r>
      <w:r w:rsidRPr="009A4A28">
        <w:rPr>
          <w:rFonts w:ascii="Arial" w:hAnsi="Arial" w:eastAsia="Calibri" w:cs="Arial"/>
          <w:sz w:val="22"/>
        </w:rPr>
        <w:t>si el objeto contractual incluye bienes o servicios ajenos a la obra pública de infraestructura de transporte</w:t>
      </w:r>
      <w:r w:rsidR="009461B4">
        <w:rPr>
          <w:rFonts w:ascii="Arial" w:hAnsi="Arial" w:eastAsia="Calibri" w:cs="Arial"/>
          <w:sz w:val="22"/>
        </w:rPr>
        <w:t xml:space="preserve">, caso en el que, como se explicó, </w:t>
      </w:r>
      <w:r w:rsidRPr="009A4A28">
        <w:rPr>
          <w:rFonts w:ascii="Arial" w:hAnsi="Arial" w:eastAsia="Calibri" w:cs="Arial"/>
          <w:sz w:val="22"/>
        </w:rPr>
        <w:t>se podrá incluir experiencia adicional.</w:t>
      </w:r>
    </w:p>
    <w:p w:rsidRPr="009A4A28" w:rsidR="001F49CD" w:rsidP="001F49CD" w:rsidRDefault="00983578" w14:paraId="30AB623C" w14:textId="11ECD16B">
      <w:pPr>
        <w:spacing w:line="276" w:lineRule="auto"/>
        <w:ind w:firstLine="708"/>
        <w:jc w:val="both"/>
        <w:rPr>
          <w:rFonts w:ascii="Arial" w:hAnsi="Arial" w:eastAsia="Calibri" w:cs="Arial"/>
          <w:sz w:val="22"/>
        </w:rPr>
      </w:pPr>
      <w:r>
        <w:rPr>
          <w:rFonts w:ascii="Arial" w:hAnsi="Arial" w:eastAsia="Calibri" w:cs="Arial"/>
          <w:sz w:val="22"/>
        </w:rPr>
        <w:t>Así las cosas</w:t>
      </w:r>
      <w:r w:rsidRPr="009A4A28" w:rsidR="001F49CD">
        <w:rPr>
          <w:rFonts w:ascii="Arial" w:hAnsi="Arial" w:eastAsia="Calibri" w:cs="Arial"/>
          <w:sz w:val="22"/>
        </w:rPr>
        <w:t xml:space="preserve">, </w:t>
      </w:r>
      <w:r>
        <w:rPr>
          <w:rFonts w:ascii="Arial" w:hAnsi="Arial" w:eastAsia="Calibri" w:cs="Arial"/>
          <w:sz w:val="22"/>
        </w:rPr>
        <w:t xml:space="preserve">en </w:t>
      </w:r>
      <w:r w:rsidR="009461B4">
        <w:rPr>
          <w:rFonts w:ascii="Arial" w:hAnsi="Arial" w:eastAsia="Calibri" w:cs="Arial"/>
          <w:sz w:val="22"/>
        </w:rPr>
        <w:t>tratándose de</w:t>
      </w:r>
      <w:r w:rsidRPr="009A4A28" w:rsidR="001F49CD">
        <w:rPr>
          <w:rFonts w:ascii="Arial" w:hAnsi="Arial" w:eastAsia="Calibri" w:cs="Arial"/>
          <w:sz w:val="22"/>
        </w:rPr>
        <w:t xml:space="preserve"> bienes o servicios adicionales que no </w:t>
      </w:r>
      <w:r w:rsidRPr="009A4A28" w:rsidR="009C2458">
        <w:rPr>
          <w:rFonts w:ascii="Arial" w:hAnsi="Arial" w:eastAsia="Calibri" w:cs="Arial"/>
          <w:sz w:val="22"/>
        </w:rPr>
        <w:t xml:space="preserve">están </w:t>
      </w:r>
      <w:r w:rsidRPr="009A4A28" w:rsidR="001F49CD">
        <w:rPr>
          <w:rFonts w:ascii="Arial" w:hAnsi="Arial" w:eastAsia="Calibri" w:cs="Arial"/>
          <w:sz w:val="22"/>
        </w:rPr>
        <w:t xml:space="preserve">contemplados en la </w:t>
      </w:r>
      <w:r w:rsidR="00DE29D3">
        <w:rPr>
          <w:rFonts w:ascii="Arial" w:hAnsi="Arial" w:eastAsia="Calibri" w:cs="Arial"/>
          <w:sz w:val="22"/>
        </w:rPr>
        <w:t>«</w:t>
      </w:r>
      <w:r w:rsidRPr="009A4A28" w:rsidR="001F49CD">
        <w:rPr>
          <w:rFonts w:ascii="Arial" w:hAnsi="Arial" w:eastAsia="Calibri" w:cs="Arial"/>
          <w:sz w:val="22"/>
        </w:rPr>
        <w:t>Matriz 1 – Experiencia</w:t>
      </w:r>
      <w:r w:rsidR="00DE29D3">
        <w:rPr>
          <w:rFonts w:ascii="Arial" w:hAnsi="Arial" w:eastAsia="Calibri" w:cs="Arial"/>
          <w:sz w:val="22"/>
        </w:rPr>
        <w:t>»</w:t>
      </w:r>
      <w:r w:rsidRPr="009A4A28" w:rsidR="001F49CD">
        <w:rPr>
          <w:rFonts w:ascii="Arial" w:hAnsi="Arial" w:eastAsia="Calibri" w:cs="Arial"/>
          <w:sz w:val="22"/>
        </w:rPr>
        <w:t xml:space="preserve">, </w:t>
      </w:r>
      <w:r w:rsidR="00CF7B1D">
        <w:rPr>
          <w:rFonts w:ascii="Arial" w:hAnsi="Arial" w:eastAsia="Calibri" w:cs="Arial"/>
          <w:sz w:val="22"/>
        </w:rPr>
        <w:t xml:space="preserve">la entidad </w:t>
      </w:r>
      <w:r w:rsidRPr="009A4A28" w:rsidR="001F49CD">
        <w:rPr>
          <w:rFonts w:ascii="Arial" w:hAnsi="Arial" w:eastAsia="Calibri" w:cs="Arial"/>
          <w:sz w:val="22"/>
        </w:rPr>
        <w:t>debe solicitar la experiencia adicional como fue descrito previamente.</w:t>
      </w:r>
    </w:p>
    <w:p w:rsidRPr="009A4A28" w:rsidR="00A945C1" w:rsidP="00A945C1" w:rsidRDefault="00A945C1" w14:paraId="0491A807" w14:textId="77777777">
      <w:pPr>
        <w:spacing w:line="276" w:lineRule="auto"/>
        <w:jc w:val="both"/>
        <w:rPr>
          <w:rFonts w:ascii="Arial" w:hAnsi="Arial" w:eastAsia="Calibri" w:cs="Arial"/>
          <w:b/>
          <w:bCs/>
          <w:sz w:val="22"/>
        </w:rPr>
      </w:pPr>
    </w:p>
    <w:p w:rsidRPr="009A4A28" w:rsidR="00A945C1" w:rsidP="00860CDF" w:rsidRDefault="00A945C1" w14:paraId="760E4337" w14:textId="7A20519E">
      <w:pPr>
        <w:pStyle w:val="Prrafodelista"/>
        <w:tabs>
          <w:tab w:val="left" w:pos="284"/>
        </w:tabs>
        <w:spacing w:line="276" w:lineRule="auto"/>
        <w:ind w:left="0"/>
        <w:jc w:val="both"/>
        <w:rPr>
          <w:rFonts w:ascii="Arial" w:hAnsi="Arial" w:eastAsia="Calibri" w:cs="Arial"/>
          <w:sz w:val="22"/>
        </w:rPr>
      </w:pPr>
      <w:r w:rsidRPr="009A4A28">
        <w:rPr>
          <w:rFonts w:ascii="Arial" w:hAnsi="Arial" w:eastAsia="Calibri" w:cs="Arial"/>
          <w:b/>
          <w:sz w:val="22"/>
        </w:rPr>
        <w:t>3. Respuesta</w:t>
      </w:r>
    </w:p>
    <w:p w:rsidRPr="009A4A28" w:rsidR="00A945C1" w:rsidP="00A945C1" w:rsidRDefault="00A945C1" w14:paraId="1C3599AE" w14:textId="77777777">
      <w:pPr>
        <w:spacing w:line="276" w:lineRule="auto"/>
        <w:ind w:left="709" w:right="709"/>
        <w:jc w:val="both"/>
        <w:rPr>
          <w:rFonts w:ascii="Arial" w:hAnsi="Arial" w:eastAsia="Calibri" w:cs="Arial"/>
          <w:i/>
          <w:sz w:val="22"/>
        </w:rPr>
      </w:pPr>
    </w:p>
    <w:p w:rsidRPr="00211D02" w:rsidR="00211D02" w:rsidP="00211D02" w:rsidRDefault="00211D02" w14:paraId="15DCE3A6" w14:textId="77777777">
      <w:pPr>
        <w:ind w:left="709" w:right="709"/>
        <w:jc w:val="both"/>
        <w:rPr>
          <w:rFonts w:ascii="Arial" w:hAnsi="Arial" w:eastAsia="Calibri" w:cs="Arial"/>
          <w:sz w:val="21"/>
          <w:szCs w:val="21"/>
        </w:rPr>
      </w:pPr>
      <w:r w:rsidRPr="00211D02">
        <w:rPr>
          <w:rFonts w:ascii="Arial" w:hAnsi="Arial" w:eastAsia="Calibri" w:cs="Arial"/>
          <w:sz w:val="21"/>
          <w:szCs w:val="21"/>
        </w:rPr>
        <w:t>«¿En las obras de construcción de muros que permitan la contención, mitiguen erosión, socavación y garanticen la protección ante la inminente amenaza de inundación y que dentro del presupuesto de obra incluya la construcción de obras arquitectónicas y complementarias como parques, senderos peatonales y malecones, aplica la utilización de los documentos tipo de infraestructura de transporte?</w:t>
      </w:r>
    </w:p>
    <w:p w:rsidRPr="00211D02" w:rsidR="00211D02" w:rsidP="00211D02" w:rsidRDefault="00211D02" w14:paraId="56160A08" w14:textId="77777777">
      <w:pPr>
        <w:ind w:left="709" w:right="709"/>
        <w:jc w:val="both"/>
        <w:rPr>
          <w:rFonts w:ascii="Arial" w:hAnsi="Arial" w:eastAsia="Calibri" w:cs="Arial"/>
          <w:sz w:val="21"/>
          <w:szCs w:val="21"/>
        </w:rPr>
      </w:pPr>
    </w:p>
    <w:p w:rsidRPr="009A4A28" w:rsidR="00A945C1" w:rsidP="00211D02" w:rsidRDefault="00211D02" w14:paraId="52A69853" w14:textId="268BADA0">
      <w:pPr>
        <w:ind w:left="709" w:right="709"/>
        <w:jc w:val="both"/>
        <w:rPr>
          <w:rFonts w:ascii="Arial" w:hAnsi="Arial" w:eastAsia="Calibri" w:cs="Arial"/>
          <w:sz w:val="21"/>
          <w:szCs w:val="21"/>
        </w:rPr>
      </w:pPr>
      <w:r w:rsidRPr="00211D02">
        <w:rPr>
          <w:rFonts w:ascii="Arial" w:hAnsi="Arial" w:eastAsia="Calibri" w:cs="Arial"/>
          <w:sz w:val="21"/>
          <w:szCs w:val="21"/>
        </w:rPr>
        <w:t>»Con el fin de complementar la consulta anterior, cual (sic) es la interpretación que hace Colombia Compra Eficiente como organismo rector de la contratación en el país, a lo definido en el documento denominado “Anexo 3- Glosario CCE-EICP-IDI-03 Licitación”, puntualmente en lo establecido en numeral 2do – Glosario especifico técnico, ítem 2.34. Espacio Público Asociado a la Infraestructura de Transporte […] Favor definir de manera puntual y específica, sí dentro de este tipo definiciones planteadas dentro del documento denominado Glosario especifico técnico se puede inferir que las obras de infraestructura de transporte como la construcción de muros tipo muelle y que incluya la construcción de obras arquitectónicas y complementarias como parques, senderos peatonales y malecones, aplica la utilización de los documentos tipo de infraestructura de transporte?</w:t>
      </w:r>
      <w:r w:rsidRPr="009A4A28" w:rsidR="00C163A4">
        <w:rPr>
          <w:rFonts w:ascii="Arial" w:hAnsi="Arial" w:eastAsia="Calibri" w:cs="Arial"/>
          <w:sz w:val="21"/>
          <w:szCs w:val="21"/>
        </w:rPr>
        <w:t>»</w:t>
      </w:r>
    </w:p>
    <w:p w:rsidRPr="009A4A28" w:rsidR="00487D0D" w:rsidP="0037725F" w:rsidRDefault="00487D0D" w14:paraId="74F85EF9" w14:textId="77777777">
      <w:pPr>
        <w:spacing w:line="276" w:lineRule="auto"/>
        <w:ind w:left="709" w:right="709"/>
        <w:jc w:val="both"/>
        <w:rPr>
          <w:rFonts w:ascii="Arial" w:hAnsi="Arial" w:eastAsia="Calibri" w:cs="Arial"/>
          <w:sz w:val="22"/>
        </w:rPr>
      </w:pPr>
    </w:p>
    <w:p w:rsidR="00C50586" w:rsidP="003620E1" w:rsidRDefault="00C50586" w14:paraId="43EE6861" w14:textId="3198C3EB">
      <w:pPr>
        <w:spacing w:after="120" w:line="276" w:lineRule="auto"/>
        <w:jc w:val="both"/>
        <w:rPr>
          <w:rFonts w:ascii="Arial" w:hAnsi="Arial" w:eastAsia="Calibri" w:cs="Arial"/>
          <w:sz w:val="22"/>
        </w:rPr>
      </w:pPr>
      <w:r w:rsidRPr="009A4A28">
        <w:rPr>
          <w:rFonts w:ascii="Arial" w:hAnsi="Arial" w:eastAsia="Calibri" w:cs="Arial"/>
          <w:sz w:val="22"/>
        </w:rPr>
        <w:t xml:space="preserve">En los </w:t>
      </w:r>
      <w:r>
        <w:rPr>
          <w:rFonts w:ascii="Arial" w:hAnsi="Arial" w:eastAsia="Calibri" w:cs="Arial"/>
          <w:sz w:val="22"/>
        </w:rPr>
        <w:t>D</w:t>
      </w:r>
      <w:r w:rsidRPr="009A4A28">
        <w:rPr>
          <w:rFonts w:ascii="Arial" w:hAnsi="Arial" w:eastAsia="Calibri" w:cs="Arial"/>
          <w:sz w:val="22"/>
        </w:rPr>
        <w:t xml:space="preserve">ocumentos </w:t>
      </w:r>
      <w:r>
        <w:rPr>
          <w:rFonts w:ascii="Arial" w:hAnsi="Arial" w:eastAsia="Calibri" w:cs="Arial"/>
          <w:sz w:val="22"/>
        </w:rPr>
        <w:t>T</w:t>
      </w:r>
      <w:r w:rsidRPr="009A4A28">
        <w:rPr>
          <w:rFonts w:ascii="Arial" w:hAnsi="Arial" w:eastAsia="Calibri" w:cs="Arial"/>
          <w:sz w:val="22"/>
        </w:rPr>
        <w:t xml:space="preserve">ipo aplicables a los procesos de licitación de obra pública de infraestructura de transporte, para definir </w:t>
      </w:r>
      <w:r>
        <w:rPr>
          <w:rFonts w:ascii="Arial" w:hAnsi="Arial" w:eastAsia="Calibri" w:cs="Arial"/>
          <w:sz w:val="22"/>
        </w:rPr>
        <w:t>si aplican a un tipo de obra específico</w:t>
      </w:r>
      <w:r w:rsidRPr="009A4A28">
        <w:rPr>
          <w:rFonts w:ascii="Arial" w:hAnsi="Arial" w:eastAsia="Calibri" w:cs="Arial"/>
          <w:sz w:val="22"/>
        </w:rPr>
        <w:t>, la entidad estatal</w:t>
      </w:r>
      <w:r>
        <w:rPr>
          <w:rFonts w:ascii="Arial" w:hAnsi="Arial" w:eastAsia="Calibri" w:cs="Arial"/>
          <w:sz w:val="22"/>
        </w:rPr>
        <w:t xml:space="preserve"> </w:t>
      </w:r>
      <w:r w:rsidRPr="009A4A28">
        <w:rPr>
          <w:rFonts w:ascii="Arial" w:hAnsi="Arial" w:eastAsia="Calibri" w:cs="Arial"/>
          <w:sz w:val="22"/>
        </w:rPr>
        <w:t>debe identificar</w:t>
      </w:r>
      <w:r>
        <w:rPr>
          <w:rFonts w:ascii="Arial" w:hAnsi="Arial" w:eastAsia="Calibri" w:cs="Arial"/>
          <w:sz w:val="22"/>
        </w:rPr>
        <w:t xml:space="preserve"> si corresponde con</w:t>
      </w:r>
      <w:r w:rsidRPr="009A4A28">
        <w:rPr>
          <w:rFonts w:ascii="Arial" w:hAnsi="Arial" w:eastAsia="Calibri" w:cs="Arial"/>
          <w:sz w:val="22"/>
        </w:rPr>
        <w:t xml:space="preserve"> las actividades definidas en la </w:t>
      </w:r>
      <w:r>
        <w:rPr>
          <w:rFonts w:ascii="Arial" w:hAnsi="Arial" w:eastAsia="Calibri" w:cs="Arial"/>
          <w:sz w:val="22"/>
        </w:rPr>
        <w:t>«</w:t>
      </w:r>
      <w:r w:rsidRPr="009A4A28">
        <w:rPr>
          <w:rFonts w:ascii="Arial" w:hAnsi="Arial" w:eastAsia="Calibri" w:cs="Arial"/>
          <w:sz w:val="22"/>
        </w:rPr>
        <w:t xml:space="preserve">Matriz 1 </w:t>
      </w:r>
      <w:r>
        <w:rPr>
          <w:rFonts w:ascii="Arial" w:hAnsi="Arial" w:eastAsia="Calibri" w:cs="Arial"/>
          <w:sz w:val="22"/>
        </w:rPr>
        <w:t>–</w:t>
      </w:r>
      <w:r w:rsidRPr="009A4A28">
        <w:rPr>
          <w:rFonts w:ascii="Arial" w:hAnsi="Arial" w:eastAsia="Calibri" w:cs="Arial"/>
          <w:sz w:val="22"/>
        </w:rPr>
        <w:t xml:space="preserve"> Experiencia</w:t>
      </w:r>
      <w:r>
        <w:rPr>
          <w:rFonts w:ascii="Arial" w:hAnsi="Arial" w:eastAsia="Calibri" w:cs="Arial"/>
          <w:sz w:val="22"/>
        </w:rPr>
        <w:t>»</w:t>
      </w:r>
      <w:r w:rsidR="009403BC">
        <w:rPr>
          <w:rFonts w:ascii="Arial" w:hAnsi="Arial" w:eastAsia="Calibri" w:cs="Arial"/>
          <w:sz w:val="22"/>
        </w:rPr>
        <w:t>. Además,</w:t>
      </w:r>
      <w:r>
        <w:rPr>
          <w:rFonts w:ascii="Arial" w:hAnsi="Arial" w:eastAsia="Calibri" w:cs="Arial"/>
          <w:sz w:val="22"/>
        </w:rPr>
        <w:t xml:space="preserve"> </w:t>
      </w:r>
      <w:r w:rsidRPr="009A4A28">
        <w:rPr>
          <w:rFonts w:ascii="Arial" w:hAnsi="Arial" w:eastAsia="Calibri" w:cs="Arial"/>
          <w:sz w:val="22"/>
        </w:rPr>
        <w:t xml:space="preserve">debe tener en cuenta los conceptos propios de la ingeniería civil y </w:t>
      </w:r>
      <w:r w:rsidRPr="009A4A28">
        <w:rPr>
          <w:rFonts w:ascii="Arial" w:hAnsi="Arial" w:eastAsia="Calibri" w:cs="Arial"/>
          <w:sz w:val="22"/>
        </w:rPr>
        <w:lastRenderedPageBreak/>
        <w:t xml:space="preserve">los definidos del </w:t>
      </w:r>
      <w:r>
        <w:rPr>
          <w:rFonts w:ascii="Arial" w:hAnsi="Arial" w:eastAsia="Calibri" w:cs="Arial"/>
          <w:sz w:val="22"/>
        </w:rPr>
        <w:t>«</w:t>
      </w:r>
      <w:r w:rsidRPr="009A4A28">
        <w:rPr>
          <w:rFonts w:ascii="Arial" w:hAnsi="Arial" w:eastAsia="Calibri" w:cs="Arial"/>
          <w:sz w:val="22"/>
        </w:rPr>
        <w:t xml:space="preserve">Anexo 3 </w:t>
      </w:r>
      <w:r>
        <w:rPr>
          <w:rFonts w:ascii="Arial" w:hAnsi="Arial" w:eastAsia="Calibri" w:cs="Arial"/>
          <w:sz w:val="22"/>
        </w:rPr>
        <w:t>–</w:t>
      </w:r>
      <w:r w:rsidRPr="009A4A28">
        <w:rPr>
          <w:rFonts w:ascii="Arial" w:hAnsi="Arial" w:eastAsia="Calibri" w:cs="Arial"/>
          <w:sz w:val="22"/>
        </w:rPr>
        <w:t xml:space="preserve"> Glosario</w:t>
      </w:r>
      <w:r>
        <w:rPr>
          <w:rFonts w:ascii="Arial" w:hAnsi="Arial" w:eastAsia="Calibri" w:cs="Arial"/>
          <w:sz w:val="22"/>
        </w:rPr>
        <w:t>»</w:t>
      </w:r>
      <w:r w:rsidRPr="009A4A28">
        <w:rPr>
          <w:rFonts w:ascii="Arial" w:hAnsi="Arial" w:eastAsia="Calibri" w:cs="Arial"/>
          <w:sz w:val="22"/>
        </w:rPr>
        <w:t>, con el fin de verificar si el objeto a contratar se encuentra enmarcado en dichas actividades.</w:t>
      </w:r>
    </w:p>
    <w:p w:rsidR="00D43475" w:rsidP="00D43475" w:rsidRDefault="00D43475" w14:paraId="1A82D9CC" w14:textId="452AAE5E">
      <w:pPr>
        <w:spacing w:after="120" w:line="276" w:lineRule="auto"/>
        <w:ind w:firstLine="708"/>
        <w:jc w:val="both"/>
        <w:rPr>
          <w:rFonts w:ascii="Arial" w:hAnsi="Arial" w:eastAsia="Calibri" w:cs="Arial"/>
          <w:sz w:val="22"/>
          <w:lang w:val="es-ES"/>
        </w:rPr>
      </w:pPr>
      <w:r>
        <w:rPr>
          <w:rFonts w:ascii="Arial" w:hAnsi="Arial" w:eastAsia="Calibri" w:cs="Arial"/>
          <w:sz w:val="22"/>
        </w:rPr>
        <w:t>El numeral 2.34 del «</w:t>
      </w:r>
      <w:r w:rsidRPr="009A4A28">
        <w:rPr>
          <w:rFonts w:ascii="Arial" w:hAnsi="Arial" w:eastAsia="Calibri" w:cs="Arial"/>
          <w:sz w:val="22"/>
        </w:rPr>
        <w:t xml:space="preserve">Anexo 3 </w:t>
      </w:r>
      <w:r>
        <w:rPr>
          <w:rFonts w:ascii="Arial" w:hAnsi="Arial" w:eastAsia="Calibri" w:cs="Arial"/>
          <w:sz w:val="22"/>
        </w:rPr>
        <w:t>–</w:t>
      </w:r>
      <w:r w:rsidRPr="009A4A28">
        <w:rPr>
          <w:rFonts w:ascii="Arial" w:hAnsi="Arial" w:eastAsia="Calibri" w:cs="Arial"/>
          <w:sz w:val="22"/>
        </w:rPr>
        <w:t xml:space="preserve"> Glosario</w:t>
      </w:r>
      <w:r>
        <w:rPr>
          <w:rFonts w:ascii="Arial" w:hAnsi="Arial" w:eastAsia="Calibri" w:cs="Arial"/>
          <w:sz w:val="22"/>
        </w:rPr>
        <w:t xml:space="preserve">» que trata del </w:t>
      </w:r>
      <w:r w:rsidRPr="009403BC">
        <w:rPr>
          <w:rFonts w:ascii="Arial" w:hAnsi="Arial" w:eastAsia="Calibri" w:cs="Arial"/>
          <w:sz w:val="22"/>
        </w:rPr>
        <w:t xml:space="preserve">Espacio Público Asociado a la Infraestructura de Transporte, es claro en señalar que los elementos allí </w:t>
      </w:r>
      <w:r w:rsidR="009403BC">
        <w:rPr>
          <w:rFonts w:ascii="Arial" w:hAnsi="Arial" w:eastAsia="Calibri" w:cs="Arial"/>
          <w:sz w:val="22"/>
        </w:rPr>
        <w:t>descritos</w:t>
      </w:r>
      <w:r w:rsidR="00E873C4">
        <w:rPr>
          <w:rFonts w:ascii="Arial" w:hAnsi="Arial" w:eastAsia="Calibri" w:cs="Arial"/>
          <w:sz w:val="22"/>
        </w:rPr>
        <w:t>,</w:t>
      </w:r>
      <w:r w:rsidRPr="009403BC">
        <w:rPr>
          <w:rFonts w:ascii="Arial" w:hAnsi="Arial" w:eastAsia="Calibri" w:cs="Arial"/>
          <w:sz w:val="22"/>
        </w:rPr>
        <w:t xml:space="preserve"> como andenes y malecones, deben estar asociados o vinculados a una infraestructura de transporte</w:t>
      </w:r>
      <w:r w:rsidR="009461B4">
        <w:rPr>
          <w:rFonts w:ascii="Arial" w:hAnsi="Arial" w:eastAsia="Calibri" w:cs="Arial"/>
          <w:sz w:val="22"/>
        </w:rPr>
        <w:t>, para efectos de la aplicación de los documentos tipo</w:t>
      </w:r>
      <w:r w:rsidR="00E873C4">
        <w:rPr>
          <w:rFonts w:ascii="Arial" w:hAnsi="Arial" w:eastAsia="Calibri" w:cs="Arial"/>
          <w:sz w:val="22"/>
        </w:rPr>
        <w:t xml:space="preserve">. </w:t>
      </w:r>
      <w:r w:rsidR="009461B4">
        <w:rPr>
          <w:rFonts w:ascii="Arial" w:hAnsi="Arial" w:eastAsia="Calibri" w:cs="Arial"/>
          <w:sz w:val="22"/>
        </w:rPr>
        <w:t xml:space="preserve">La noción de qué es una infraestructura de transporte, en relación con los documentos tipo, </w:t>
      </w:r>
      <w:r w:rsidR="00E873C4">
        <w:rPr>
          <w:rFonts w:ascii="Arial" w:hAnsi="Arial" w:eastAsia="Calibri" w:cs="Arial"/>
          <w:sz w:val="22"/>
        </w:rPr>
        <w:t>se define</w:t>
      </w:r>
      <w:r w:rsidRPr="009403BC">
        <w:rPr>
          <w:rFonts w:ascii="Arial" w:hAnsi="Arial" w:eastAsia="Calibri" w:cs="Arial"/>
          <w:sz w:val="22"/>
        </w:rPr>
        <w:t xml:space="preserve"> a partir de las actividades señaladas en la </w:t>
      </w:r>
      <w:r w:rsidR="00257BF2">
        <w:rPr>
          <w:rFonts w:ascii="Arial" w:hAnsi="Arial" w:eastAsia="Calibri" w:cs="Arial"/>
          <w:sz w:val="22"/>
        </w:rPr>
        <w:t>«</w:t>
      </w:r>
      <w:r w:rsidRPr="009A4A28">
        <w:rPr>
          <w:rFonts w:ascii="Arial" w:hAnsi="Arial" w:eastAsia="Calibri" w:cs="Arial"/>
          <w:sz w:val="22"/>
        </w:rPr>
        <w:t xml:space="preserve">Matriz 1 </w:t>
      </w:r>
      <w:r>
        <w:rPr>
          <w:rFonts w:ascii="Arial" w:hAnsi="Arial" w:eastAsia="Calibri" w:cs="Arial"/>
          <w:sz w:val="22"/>
        </w:rPr>
        <w:t>–</w:t>
      </w:r>
      <w:r w:rsidRPr="009A4A28">
        <w:rPr>
          <w:rFonts w:ascii="Arial" w:hAnsi="Arial" w:eastAsia="Calibri" w:cs="Arial"/>
          <w:sz w:val="22"/>
        </w:rPr>
        <w:t xml:space="preserve"> Experiencia</w:t>
      </w:r>
      <w:r>
        <w:rPr>
          <w:rFonts w:ascii="Arial" w:hAnsi="Arial" w:eastAsia="Calibri" w:cs="Arial"/>
          <w:sz w:val="22"/>
        </w:rPr>
        <w:t>».</w:t>
      </w:r>
      <w:r w:rsidR="00257BF2">
        <w:rPr>
          <w:rFonts w:ascii="Arial" w:hAnsi="Arial" w:eastAsia="Calibri" w:cs="Arial"/>
          <w:sz w:val="22"/>
        </w:rPr>
        <w:t xml:space="preserve"> Es decir que si alguno de los elementos del numeral 2.34 del «</w:t>
      </w:r>
      <w:r w:rsidRPr="009A4A28" w:rsidR="00257BF2">
        <w:rPr>
          <w:rFonts w:ascii="Arial" w:hAnsi="Arial" w:eastAsia="Calibri" w:cs="Arial"/>
          <w:sz w:val="22"/>
        </w:rPr>
        <w:t xml:space="preserve">Anexo 3 </w:t>
      </w:r>
      <w:r w:rsidR="00257BF2">
        <w:rPr>
          <w:rFonts w:ascii="Arial" w:hAnsi="Arial" w:eastAsia="Calibri" w:cs="Arial"/>
          <w:sz w:val="22"/>
        </w:rPr>
        <w:t>–</w:t>
      </w:r>
      <w:r w:rsidRPr="009A4A28" w:rsidR="00257BF2">
        <w:rPr>
          <w:rFonts w:ascii="Arial" w:hAnsi="Arial" w:eastAsia="Calibri" w:cs="Arial"/>
          <w:sz w:val="22"/>
        </w:rPr>
        <w:t xml:space="preserve"> Glosario</w:t>
      </w:r>
      <w:r w:rsidR="00257BF2">
        <w:rPr>
          <w:rFonts w:ascii="Arial" w:hAnsi="Arial" w:eastAsia="Calibri" w:cs="Arial"/>
          <w:sz w:val="22"/>
        </w:rPr>
        <w:t>» se asocia a alguna de las obras y actividades relacionadas en la «</w:t>
      </w:r>
      <w:r w:rsidRPr="009A4A28" w:rsidR="00257BF2">
        <w:rPr>
          <w:rFonts w:ascii="Arial" w:hAnsi="Arial" w:eastAsia="Calibri" w:cs="Arial"/>
          <w:sz w:val="22"/>
        </w:rPr>
        <w:t xml:space="preserve">Matriz 1 </w:t>
      </w:r>
      <w:r w:rsidR="00257BF2">
        <w:rPr>
          <w:rFonts w:ascii="Arial" w:hAnsi="Arial" w:eastAsia="Calibri" w:cs="Arial"/>
          <w:sz w:val="22"/>
        </w:rPr>
        <w:t>–</w:t>
      </w:r>
      <w:r w:rsidRPr="009A4A28" w:rsidR="00257BF2">
        <w:rPr>
          <w:rFonts w:ascii="Arial" w:hAnsi="Arial" w:eastAsia="Calibri" w:cs="Arial"/>
          <w:sz w:val="22"/>
        </w:rPr>
        <w:t xml:space="preserve"> Experiencia</w:t>
      </w:r>
      <w:r w:rsidR="00257BF2">
        <w:rPr>
          <w:rFonts w:ascii="Arial" w:hAnsi="Arial" w:eastAsia="Calibri" w:cs="Arial"/>
          <w:sz w:val="22"/>
        </w:rPr>
        <w:t xml:space="preserve">», serán aplicables los Documentos Tipo de </w:t>
      </w:r>
      <w:r w:rsidRPr="009A4A28" w:rsidR="00257BF2">
        <w:rPr>
          <w:rFonts w:ascii="Arial" w:hAnsi="Arial" w:eastAsia="Calibri" w:cs="Arial"/>
          <w:sz w:val="22"/>
        </w:rPr>
        <w:t>licitación de obra pública de infraestructura de transporte</w:t>
      </w:r>
      <w:r w:rsidR="00257BF2">
        <w:rPr>
          <w:rFonts w:ascii="Arial" w:hAnsi="Arial" w:eastAsia="Calibri" w:cs="Arial"/>
          <w:sz w:val="22"/>
        </w:rPr>
        <w:t>.</w:t>
      </w:r>
    </w:p>
    <w:p w:rsidRPr="009A4A28" w:rsidR="00197327" w:rsidP="00121C2D" w:rsidRDefault="0014743E" w14:paraId="6CC29080" w14:textId="3598406D">
      <w:pPr>
        <w:spacing w:after="120" w:line="276" w:lineRule="auto"/>
        <w:ind w:firstLine="708"/>
        <w:jc w:val="both"/>
        <w:rPr>
          <w:rFonts w:ascii="Arial" w:hAnsi="Arial" w:eastAsia="Calibri" w:cs="Arial"/>
          <w:sz w:val="22"/>
          <w:lang w:val="es-ES"/>
        </w:rPr>
      </w:pPr>
      <w:r>
        <w:rPr>
          <w:rFonts w:ascii="Arial" w:hAnsi="Arial" w:eastAsia="Calibri" w:cs="Arial"/>
          <w:sz w:val="22"/>
          <w:lang w:val="es-ES"/>
        </w:rPr>
        <w:t>No obstante, d</w:t>
      </w:r>
      <w:r w:rsidRPr="009A4A28" w:rsidR="00197327">
        <w:rPr>
          <w:rFonts w:ascii="Arial" w:hAnsi="Arial" w:eastAsia="Calibri" w:cs="Arial"/>
          <w:sz w:val="22"/>
          <w:lang w:val="es-ES"/>
        </w:rPr>
        <w:t>e acuerdo con el artículo 2.2.1.2.6.1.5</w:t>
      </w:r>
      <w:r w:rsidRPr="009A4A28" w:rsidR="002B637D">
        <w:rPr>
          <w:rFonts w:ascii="Arial" w:hAnsi="Arial" w:eastAsia="Calibri" w:cs="Arial"/>
          <w:sz w:val="22"/>
          <w:lang w:val="es-ES"/>
        </w:rPr>
        <w:t>.</w:t>
      </w:r>
      <w:r w:rsidRPr="009A4A28" w:rsidR="00197327">
        <w:rPr>
          <w:rFonts w:ascii="Arial" w:hAnsi="Arial" w:eastAsia="Calibri" w:cs="Arial"/>
          <w:sz w:val="22"/>
          <w:lang w:val="es-ES"/>
        </w:rPr>
        <w:t xml:space="preserve"> del Decreto 1082 de 2015, cuando la entidad haya identificado algún bien o servicio adicional a la obra </w:t>
      </w:r>
      <w:r w:rsidRPr="009A4A28" w:rsidR="002638A9">
        <w:rPr>
          <w:rFonts w:ascii="Arial" w:hAnsi="Arial" w:eastAsia="Calibri" w:cs="Arial"/>
          <w:sz w:val="22"/>
          <w:lang w:val="es-ES"/>
        </w:rPr>
        <w:t>pública</w:t>
      </w:r>
      <w:r w:rsidRPr="009A4A28" w:rsidR="00197327">
        <w:rPr>
          <w:rFonts w:ascii="Arial" w:hAnsi="Arial" w:eastAsia="Calibri" w:cs="Arial"/>
          <w:sz w:val="22"/>
          <w:lang w:val="es-ES"/>
        </w:rPr>
        <w:t xml:space="preserve"> de infraestructura de transporte</w:t>
      </w:r>
      <w:r w:rsidRPr="009A4A28" w:rsidR="00AC3FB0">
        <w:rPr>
          <w:rFonts w:ascii="Arial" w:hAnsi="Arial" w:eastAsia="Calibri" w:cs="Arial"/>
          <w:sz w:val="22"/>
          <w:lang w:val="es-ES"/>
        </w:rPr>
        <w:t>,</w:t>
      </w:r>
      <w:r w:rsidRPr="009A4A28" w:rsidR="00197327">
        <w:rPr>
          <w:rFonts w:ascii="Arial" w:hAnsi="Arial" w:eastAsia="Calibri" w:cs="Arial"/>
          <w:sz w:val="22"/>
          <w:lang w:val="es-ES"/>
        </w:rPr>
        <w:t xml:space="preserve"> y la experiencia definida en la </w:t>
      </w:r>
      <w:r w:rsidR="00DE29D3">
        <w:rPr>
          <w:rFonts w:ascii="Arial" w:hAnsi="Arial" w:eastAsia="Calibri" w:cs="Arial"/>
          <w:sz w:val="22"/>
          <w:lang w:val="es-ES"/>
        </w:rPr>
        <w:t>«</w:t>
      </w:r>
      <w:r w:rsidRPr="009A4A28" w:rsidR="00197327">
        <w:rPr>
          <w:rFonts w:ascii="Arial" w:hAnsi="Arial" w:eastAsia="Calibri" w:cs="Arial"/>
          <w:sz w:val="22"/>
          <w:lang w:val="es-ES"/>
        </w:rPr>
        <w:t>Matriz 1</w:t>
      </w:r>
      <w:r w:rsidRPr="009A4A28" w:rsidR="00AC3FB0">
        <w:rPr>
          <w:rFonts w:ascii="Arial" w:hAnsi="Arial" w:eastAsia="Calibri" w:cs="Arial"/>
          <w:sz w:val="22"/>
          <w:lang w:val="es-ES"/>
        </w:rPr>
        <w:t xml:space="preserve"> </w:t>
      </w:r>
      <w:r w:rsidR="00DE29D3">
        <w:rPr>
          <w:rFonts w:ascii="Arial" w:hAnsi="Arial" w:eastAsia="Calibri" w:cs="Arial"/>
          <w:sz w:val="22"/>
          <w:lang w:val="es-ES"/>
        </w:rPr>
        <w:t>–</w:t>
      </w:r>
      <w:r w:rsidRPr="009A4A28" w:rsidR="00197327">
        <w:rPr>
          <w:rFonts w:ascii="Arial" w:hAnsi="Arial" w:eastAsia="Calibri" w:cs="Arial"/>
          <w:sz w:val="22"/>
          <w:lang w:val="es-ES"/>
        </w:rPr>
        <w:t xml:space="preserve"> Experiencia</w:t>
      </w:r>
      <w:r w:rsidR="00DE29D3">
        <w:rPr>
          <w:rFonts w:ascii="Arial" w:hAnsi="Arial" w:eastAsia="Calibri" w:cs="Arial"/>
          <w:sz w:val="22"/>
          <w:lang w:val="es-ES"/>
        </w:rPr>
        <w:t>»</w:t>
      </w:r>
      <w:r w:rsidRPr="009A4A28" w:rsidR="00197327">
        <w:rPr>
          <w:rFonts w:ascii="Arial" w:hAnsi="Arial" w:eastAsia="Calibri" w:cs="Arial"/>
          <w:sz w:val="22"/>
          <w:lang w:val="es-ES"/>
        </w:rPr>
        <w:t xml:space="preserve"> no permita garantizar la idoneidad del contratista, deberá agotar los parámetros definidos en esta norma. </w:t>
      </w:r>
    </w:p>
    <w:p w:rsidRPr="009A4A28" w:rsidR="009962F4" w:rsidP="003E0AB0" w:rsidRDefault="00197327" w14:paraId="6A5375E3" w14:textId="162EEF6E">
      <w:pPr>
        <w:spacing w:after="120" w:line="276" w:lineRule="auto"/>
        <w:ind w:firstLine="709"/>
        <w:jc w:val="both"/>
        <w:rPr>
          <w:rFonts w:ascii="Arial" w:hAnsi="Arial" w:eastAsia="Calibri" w:cs="Arial"/>
          <w:sz w:val="22"/>
          <w:lang w:val="es-ES"/>
        </w:rPr>
      </w:pPr>
      <w:r w:rsidRPr="009A4A28">
        <w:rPr>
          <w:rFonts w:ascii="Arial" w:hAnsi="Arial" w:eastAsia="Calibri" w:cs="Arial"/>
          <w:sz w:val="22"/>
          <w:lang w:val="es-ES"/>
        </w:rPr>
        <w:t>Para los bienes y servicios adicionales a obra pública</w:t>
      </w:r>
      <w:r w:rsidRPr="009A4A28" w:rsidR="009962F4">
        <w:rPr>
          <w:rFonts w:ascii="Arial" w:hAnsi="Arial" w:eastAsia="Calibri" w:cs="Arial"/>
          <w:sz w:val="22"/>
          <w:lang w:val="es-ES"/>
        </w:rPr>
        <w:t xml:space="preserve">, </w:t>
      </w:r>
      <w:r w:rsidR="002C05C4">
        <w:rPr>
          <w:rFonts w:ascii="Arial" w:hAnsi="Arial" w:eastAsia="Calibri" w:cs="Arial"/>
          <w:sz w:val="22"/>
          <w:lang w:val="es-ES"/>
        </w:rPr>
        <w:t>si se contrataran sin estar asociados a una obra pública de infraestructura de transporte,</w:t>
      </w:r>
      <w:r w:rsidR="009461B4">
        <w:rPr>
          <w:rFonts w:ascii="Arial" w:hAnsi="Arial" w:eastAsia="Calibri" w:cs="Arial"/>
          <w:sz w:val="22"/>
          <w:lang w:val="es-ES"/>
        </w:rPr>
        <w:t xml:space="preserve"> </w:t>
      </w:r>
      <w:r w:rsidRPr="009A4A28" w:rsidR="009962F4">
        <w:rPr>
          <w:rFonts w:ascii="Arial" w:hAnsi="Arial" w:eastAsia="Calibri" w:cs="Arial"/>
          <w:sz w:val="22"/>
          <w:lang w:val="es-ES"/>
        </w:rPr>
        <w:t xml:space="preserve">la entidad no está obligada a tener en cuenta y aplicar los </w:t>
      </w:r>
      <w:r w:rsidRPr="009A4A28" w:rsidR="00DE29D3">
        <w:rPr>
          <w:rFonts w:ascii="Arial" w:hAnsi="Arial" w:eastAsia="Calibri" w:cs="Arial"/>
          <w:sz w:val="22"/>
          <w:lang w:val="es-ES"/>
        </w:rPr>
        <w:t>documentos tipo</w:t>
      </w:r>
      <w:r w:rsidRPr="009A4A28" w:rsidR="009962F4">
        <w:rPr>
          <w:rFonts w:ascii="Arial" w:hAnsi="Arial" w:eastAsia="Calibri" w:cs="Arial"/>
          <w:sz w:val="22"/>
          <w:lang w:val="es-ES"/>
        </w:rPr>
        <w:t xml:space="preserve">, debido a que: i) </w:t>
      </w:r>
      <w:r w:rsidRPr="009A4A28">
        <w:rPr>
          <w:rFonts w:ascii="Arial" w:hAnsi="Arial" w:eastAsia="Calibri" w:cs="Arial"/>
          <w:sz w:val="22"/>
          <w:lang w:val="es-ES"/>
        </w:rPr>
        <w:t>la</w:t>
      </w:r>
      <w:r w:rsidRPr="009A4A28" w:rsidR="009962F4">
        <w:rPr>
          <w:rFonts w:ascii="Arial" w:hAnsi="Arial" w:eastAsia="Calibri" w:cs="Arial"/>
          <w:sz w:val="22"/>
          <w:lang w:val="es-ES"/>
        </w:rPr>
        <w:t xml:space="preserve"> actividad no está relacionada en la Matriz 1 de los </w:t>
      </w:r>
      <w:r w:rsidRPr="009A4A28" w:rsidR="00DE29D3">
        <w:rPr>
          <w:rFonts w:ascii="Arial" w:hAnsi="Arial" w:eastAsia="Calibri" w:cs="Arial"/>
          <w:sz w:val="22"/>
          <w:lang w:val="es-ES"/>
        </w:rPr>
        <w:t>pliegos</w:t>
      </w:r>
      <w:r w:rsidRPr="009A4A28" w:rsidR="009962F4">
        <w:rPr>
          <w:rFonts w:ascii="Arial" w:hAnsi="Arial" w:eastAsia="Calibri" w:cs="Arial"/>
          <w:sz w:val="22"/>
          <w:lang w:val="es-ES"/>
        </w:rPr>
        <w:t>, pues no se trata de un contrato de obra pública de infraestructura de transporte</w:t>
      </w:r>
      <w:r w:rsidR="00CF23AE">
        <w:rPr>
          <w:rFonts w:ascii="Arial" w:hAnsi="Arial" w:eastAsia="Calibri" w:cs="Arial"/>
          <w:sz w:val="22"/>
          <w:lang w:val="es-ES"/>
        </w:rPr>
        <w:t>.</w:t>
      </w:r>
      <w:r w:rsidRPr="009A4A28" w:rsidR="009962F4">
        <w:rPr>
          <w:rFonts w:ascii="Arial" w:hAnsi="Arial" w:eastAsia="Calibri" w:cs="Arial"/>
          <w:sz w:val="22"/>
          <w:lang w:val="es-ES"/>
        </w:rPr>
        <w:t xml:space="preserve"> </w:t>
      </w:r>
      <w:r w:rsidR="00E71D04">
        <w:rPr>
          <w:rFonts w:ascii="Arial" w:hAnsi="Arial" w:eastAsia="Calibri" w:cs="Arial"/>
          <w:sz w:val="22"/>
          <w:lang w:val="es-ES"/>
        </w:rPr>
        <w:t>De igual forma,</w:t>
      </w:r>
      <w:r w:rsidRPr="009A4A28" w:rsidR="009962F4">
        <w:rPr>
          <w:rFonts w:ascii="Arial" w:hAnsi="Arial" w:eastAsia="Calibri" w:cs="Arial"/>
          <w:sz w:val="22"/>
          <w:lang w:val="es-ES"/>
        </w:rPr>
        <w:t xml:space="preserve"> ii) no es obligatorio el uso de tales documentos por la aplicación del artículo 2.2.1.2.6.1.5. del Decreto 1082 de 2015, adicionado por el artículo 1º del Decreto 342 de 2019</w:t>
      </w:r>
      <w:r w:rsidR="00CF23AE">
        <w:rPr>
          <w:rFonts w:ascii="Arial" w:hAnsi="Arial" w:eastAsia="Calibri" w:cs="Arial"/>
          <w:sz w:val="22"/>
          <w:lang w:val="es-ES"/>
        </w:rPr>
        <w:t xml:space="preserve">. Lo anterior puesto </w:t>
      </w:r>
      <w:r w:rsidRPr="009A4A28" w:rsidR="009962F4">
        <w:rPr>
          <w:rFonts w:ascii="Arial" w:hAnsi="Arial" w:eastAsia="Calibri" w:cs="Arial"/>
          <w:sz w:val="22"/>
          <w:lang w:val="es-ES"/>
        </w:rPr>
        <w:t xml:space="preserve">que el contrato a celebrar </w:t>
      </w:r>
      <w:r w:rsidRPr="009A4A28">
        <w:rPr>
          <w:rFonts w:ascii="Arial" w:hAnsi="Arial" w:eastAsia="Calibri" w:cs="Arial"/>
          <w:sz w:val="22"/>
          <w:lang w:val="es-ES"/>
        </w:rPr>
        <w:t>no es</w:t>
      </w:r>
      <w:r w:rsidRPr="009A4A28" w:rsidR="009962F4">
        <w:rPr>
          <w:rFonts w:ascii="Arial" w:hAnsi="Arial" w:eastAsia="Calibri" w:cs="Arial"/>
          <w:sz w:val="22"/>
          <w:lang w:val="es-ES"/>
        </w:rPr>
        <w:t xml:space="preserve"> de obra pública de infraestructura de transporte ni de obras públicas relacionadas con infraestructura de transporte.</w:t>
      </w:r>
    </w:p>
    <w:p w:rsidRPr="009A4A28" w:rsidR="004071F5" w:rsidP="003E0AB0" w:rsidRDefault="009C2458" w14:paraId="7F743650" w14:textId="5F1D4BED">
      <w:pPr>
        <w:spacing w:after="120" w:line="276" w:lineRule="auto"/>
        <w:ind w:firstLine="709"/>
        <w:jc w:val="both"/>
        <w:rPr>
          <w:rFonts w:ascii="Arial" w:hAnsi="Arial" w:eastAsia="Calibri" w:cs="Arial"/>
          <w:sz w:val="22"/>
          <w:lang w:val="es-ES"/>
        </w:rPr>
      </w:pPr>
      <w:r w:rsidRPr="009A4A28">
        <w:rPr>
          <w:rFonts w:ascii="Arial" w:hAnsi="Arial" w:eastAsia="Calibri" w:cs="Arial"/>
          <w:sz w:val="22"/>
          <w:lang w:val="es-ES"/>
        </w:rPr>
        <w:t>R</w:t>
      </w:r>
      <w:r w:rsidRPr="009A4A28" w:rsidR="00627FA4">
        <w:rPr>
          <w:rFonts w:ascii="Arial" w:hAnsi="Arial" w:eastAsia="Calibri" w:cs="Arial"/>
          <w:sz w:val="22"/>
          <w:lang w:val="es-ES"/>
        </w:rPr>
        <w:t xml:space="preserve">especto de </w:t>
      </w:r>
      <w:r w:rsidRPr="009A4A28" w:rsidR="00197327">
        <w:rPr>
          <w:rFonts w:ascii="Arial" w:hAnsi="Arial" w:eastAsia="Calibri" w:cs="Arial"/>
          <w:sz w:val="22"/>
          <w:lang w:val="es-ES"/>
        </w:rPr>
        <w:t>los bienes y servicios adicionales a obra pública</w:t>
      </w:r>
      <w:r w:rsidRPr="009A4A28" w:rsidR="00627FA4">
        <w:rPr>
          <w:rFonts w:ascii="Arial" w:hAnsi="Arial" w:eastAsia="Calibri" w:cs="Arial"/>
          <w:sz w:val="22"/>
          <w:lang w:val="es-ES"/>
        </w:rPr>
        <w:t xml:space="preserve">, </w:t>
      </w:r>
      <w:r w:rsidR="0003179A">
        <w:rPr>
          <w:rFonts w:ascii="Arial" w:hAnsi="Arial" w:eastAsia="Calibri" w:cs="Arial"/>
          <w:sz w:val="22"/>
          <w:lang w:val="es-ES"/>
        </w:rPr>
        <w:t xml:space="preserve">aplicados a procesos efectivamente regidos por documentos tipo, </w:t>
      </w:r>
      <w:r w:rsidRPr="009A4A28" w:rsidR="00627FA4">
        <w:rPr>
          <w:rFonts w:ascii="Arial" w:hAnsi="Arial" w:eastAsia="Calibri" w:cs="Arial"/>
          <w:sz w:val="22"/>
          <w:lang w:val="es-ES"/>
        </w:rPr>
        <w:t>le corresponde a la entidad</w:t>
      </w:r>
      <w:r w:rsidR="0003179A">
        <w:rPr>
          <w:rFonts w:ascii="Arial" w:hAnsi="Arial" w:eastAsia="Calibri" w:cs="Arial"/>
          <w:sz w:val="22"/>
          <w:lang w:val="es-ES"/>
        </w:rPr>
        <w:t>,</w:t>
      </w:r>
      <w:r w:rsidRPr="009A4A28" w:rsidR="00627FA4">
        <w:rPr>
          <w:rFonts w:ascii="Arial" w:hAnsi="Arial" w:eastAsia="Calibri" w:cs="Arial"/>
          <w:sz w:val="22"/>
          <w:lang w:val="es-ES"/>
        </w:rPr>
        <w:t xml:space="preserve"> al estructurar el proceso de contratación, determinar si con la experiencia definida en la </w:t>
      </w:r>
      <w:r w:rsidR="00DE29D3">
        <w:rPr>
          <w:rFonts w:ascii="Arial" w:hAnsi="Arial" w:eastAsia="Calibri" w:cs="Arial"/>
          <w:sz w:val="22"/>
          <w:lang w:val="es-ES"/>
        </w:rPr>
        <w:t>«</w:t>
      </w:r>
      <w:r w:rsidRPr="009A4A28" w:rsidR="00627FA4">
        <w:rPr>
          <w:rFonts w:ascii="Arial" w:hAnsi="Arial" w:eastAsia="Calibri" w:cs="Arial"/>
          <w:sz w:val="22"/>
          <w:lang w:val="es-ES"/>
        </w:rPr>
        <w:t xml:space="preserve">Matriz 1 </w:t>
      </w:r>
      <w:r w:rsidR="00DE29D3">
        <w:rPr>
          <w:rFonts w:ascii="Arial" w:hAnsi="Arial" w:eastAsia="Calibri" w:cs="Arial"/>
          <w:sz w:val="22"/>
          <w:lang w:val="es-ES"/>
        </w:rPr>
        <w:t>–</w:t>
      </w:r>
      <w:r w:rsidRPr="009A4A28" w:rsidR="00627FA4">
        <w:rPr>
          <w:rFonts w:ascii="Arial" w:hAnsi="Arial" w:eastAsia="Calibri" w:cs="Arial"/>
          <w:sz w:val="22"/>
          <w:lang w:val="es-ES"/>
        </w:rPr>
        <w:t xml:space="preserve"> Experiencia</w:t>
      </w:r>
      <w:r w:rsidR="00DE29D3">
        <w:rPr>
          <w:rFonts w:ascii="Arial" w:hAnsi="Arial" w:eastAsia="Calibri" w:cs="Arial"/>
          <w:sz w:val="22"/>
          <w:lang w:val="es-ES"/>
        </w:rPr>
        <w:t>»</w:t>
      </w:r>
      <w:r w:rsidRPr="009A4A28" w:rsidR="00627FA4">
        <w:rPr>
          <w:rFonts w:ascii="Arial" w:hAnsi="Arial" w:eastAsia="Calibri" w:cs="Arial"/>
          <w:sz w:val="22"/>
          <w:lang w:val="es-ES"/>
        </w:rPr>
        <w:t xml:space="preserve"> para la actividad principal se garantiza la idoneidad del proponente. Adicionalmente, debe verificar si </w:t>
      </w:r>
      <w:r w:rsidRPr="009A4A28" w:rsidR="00D03173">
        <w:rPr>
          <w:rFonts w:ascii="Arial" w:hAnsi="Arial" w:eastAsia="Calibri" w:cs="Arial"/>
          <w:sz w:val="22"/>
          <w:lang w:val="es-ES"/>
        </w:rPr>
        <w:t xml:space="preserve">las </w:t>
      </w:r>
      <w:r w:rsidRPr="009A4A28" w:rsidR="00627FA4">
        <w:rPr>
          <w:rFonts w:ascii="Arial" w:hAnsi="Arial" w:eastAsia="Calibri" w:cs="Arial"/>
          <w:sz w:val="22"/>
          <w:lang w:val="es-ES"/>
        </w:rPr>
        <w:t xml:space="preserve">actividades están contempladas en la </w:t>
      </w:r>
      <w:r w:rsidR="00DE29D3">
        <w:rPr>
          <w:rFonts w:ascii="Arial" w:hAnsi="Arial" w:eastAsia="Calibri" w:cs="Arial"/>
          <w:sz w:val="22"/>
          <w:lang w:val="es-ES"/>
        </w:rPr>
        <w:t>«</w:t>
      </w:r>
      <w:r w:rsidRPr="009A4A28" w:rsidR="00627FA4">
        <w:rPr>
          <w:rFonts w:ascii="Arial" w:hAnsi="Arial" w:eastAsia="Calibri" w:cs="Arial"/>
          <w:sz w:val="22"/>
          <w:lang w:val="es-ES"/>
        </w:rPr>
        <w:t xml:space="preserve">Matriz 1 </w:t>
      </w:r>
      <w:r w:rsidR="00DE29D3">
        <w:rPr>
          <w:rFonts w:ascii="Arial" w:hAnsi="Arial" w:eastAsia="Calibri" w:cs="Arial"/>
          <w:sz w:val="22"/>
          <w:lang w:val="es-ES"/>
        </w:rPr>
        <w:t>–</w:t>
      </w:r>
      <w:r w:rsidRPr="009A4A28" w:rsidR="00627FA4">
        <w:rPr>
          <w:rFonts w:ascii="Arial" w:hAnsi="Arial" w:eastAsia="Calibri" w:cs="Arial"/>
          <w:sz w:val="22"/>
          <w:lang w:val="es-ES"/>
        </w:rPr>
        <w:t xml:space="preserve"> Experiencia</w:t>
      </w:r>
      <w:r w:rsidR="00DE29D3">
        <w:rPr>
          <w:rFonts w:ascii="Arial" w:hAnsi="Arial" w:eastAsia="Calibri" w:cs="Arial"/>
          <w:sz w:val="22"/>
          <w:lang w:val="es-ES"/>
        </w:rPr>
        <w:t>»</w:t>
      </w:r>
      <w:r w:rsidRPr="009A4A28" w:rsidR="00627FA4">
        <w:rPr>
          <w:rFonts w:ascii="Arial" w:hAnsi="Arial" w:eastAsia="Calibri" w:cs="Arial"/>
          <w:sz w:val="22"/>
          <w:lang w:val="es-ES"/>
        </w:rPr>
        <w:t xml:space="preserve">, por cuanto de ser así, se deberá solicitar la experiencia en la forma allí prevista. Si la actividad a contratar no se encuentra contemplada en la </w:t>
      </w:r>
      <w:r w:rsidR="00DE29D3">
        <w:rPr>
          <w:rFonts w:ascii="Arial" w:hAnsi="Arial" w:eastAsia="Calibri" w:cs="Arial"/>
          <w:sz w:val="22"/>
          <w:lang w:val="es-ES"/>
        </w:rPr>
        <w:t>«</w:t>
      </w:r>
      <w:r w:rsidRPr="009A4A28" w:rsidR="00627FA4">
        <w:rPr>
          <w:rFonts w:ascii="Arial" w:hAnsi="Arial" w:eastAsia="Calibri" w:cs="Arial"/>
          <w:sz w:val="22"/>
          <w:lang w:val="es-ES"/>
        </w:rPr>
        <w:t>Matriz 1</w:t>
      </w:r>
      <w:r w:rsidRPr="009A4A28" w:rsidR="00D03173">
        <w:rPr>
          <w:rFonts w:ascii="Arial" w:hAnsi="Arial" w:eastAsia="Calibri" w:cs="Arial"/>
          <w:sz w:val="22"/>
          <w:lang w:val="es-ES"/>
        </w:rPr>
        <w:t xml:space="preserve"> </w:t>
      </w:r>
      <w:r w:rsidR="00DE29D3">
        <w:rPr>
          <w:rFonts w:ascii="Arial" w:hAnsi="Arial" w:eastAsia="Calibri" w:cs="Arial"/>
          <w:sz w:val="22"/>
          <w:lang w:val="es-ES"/>
        </w:rPr>
        <w:t>–</w:t>
      </w:r>
      <w:r w:rsidRPr="009A4A28" w:rsidR="00627FA4">
        <w:rPr>
          <w:rFonts w:ascii="Arial" w:hAnsi="Arial" w:eastAsia="Calibri" w:cs="Arial"/>
          <w:sz w:val="22"/>
          <w:lang w:val="es-ES"/>
        </w:rPr>
        <w:t xml:space="preserve"> Experiencia</w:t>
      </w:r>
      <w:r w:rsidR="00DE29D3">
        <w:rPr>
          <w:rFonts w:ascii="Arial" w:hAnsi="Arial" w:eastAsia="Calibri" w:cs="Arial"/>
          <w:sz w:val="22"/>
          <w:lang w:val="es-ES"/>
        </w:rPr>
        <w:t>»</w:t>
      </w:r>
      <w:r w:rsidRPr="009A4A28" w:rsidR="00627FA4">
        <w:rPr>
          <w:rFonts w:ascii="Arial" w:hAnsi="Arial" w:eastAsia="Calibri" w:cs="Arial"/>
          <w:sz w:val="22"/>
          <w:lang w:val="es-ES"/>
        </w:rPr>
        <w:t>, la entidad deberá agotar los parámetros previstos en el artículo 2.2.1.2.6.1.5</w:t>
      </w:r>
      <w:r w:rsidR="00AB1D39">
        <w:rPr>
          <w:rFonts w:ascii="Arial" w:hAnsi="Arial" w:eastAsia="Calibri" w:cs="Arial"/>
          <w:sz w:val="22"/>
          <w:lang w:val="es-ES"/>
        </w:rPr>
        <w:t>.</w:t>
      </w:r>
      <w:r w:rsidRPr="009A4A28" w:rsidR="00627FA4">
        <w:rPr>
          <w:rFonts w:ascii="Arial" w:hAnsi="Arial" w:eastAsia="Calibri" w:cs="Arial"/>
          <w:sz w:val="22"/>
          <w:lang w:val="es-ES"/>
        </w:rPr>
        <w:t xml:space="preserve"> del Decreto 1082 de 2015 y dejar las respectivas justificaciones en los estudios y documentos previos para poder solicitar experiencia adicional. </w:t>
      </w:r>
    </w:p>
    <w:p w:rsidRPr="009A4A28" w:rsidR="00627FA4" w:rsidP="00D03173" w:rsidRDefault="00627FA4" w14:paraId="227F7525" w14:textId="60799B21">
      <w:pPr>
        <w:spacing w:line="276" w:lineRule="auto"/>
        <w:ind w:firstLine="709"/>
        <w:jc w:val="both"/>
        <w:rPr>
          <w:rFonts w:ascii="Arial" w:hAnsi="Arial" w:eastAsia="Calibri" w:cs="Arial"/>
          <w:sz w:val="22"/>
          <w:lang w:val="es-ES"/>
        </w:rPr>
      </w:pPr>
      <w:r w:rsidRPr="009A4A28">
        <w:rPr>
          <w:rFonts w:ascii="Arial" w:hAnsi="Arial" w:eastAsia="Calibri" w:cs="Arial"/>
          <w:sz w:val="22"/>
          <w:lang w:val="es-ES"/>
        </w:rPr>
        <w:t xml:space="preserve">Por </w:t>
      </w:r>
      <w:r w:rsidRPr="009A4A28" w:rsidR="00D03173">
        <w:rPr>
          <w:rFonts w:ascii="Arial" w:hAnsi="Arial" w:eastAsia="Calibri" w:cs="Arial"/>
          <w:sz w:val="22"/>
          <w:lang w:val="es-ES"/>
        </w:rPr>
        <w:t>tanto</w:t>
      </w:r>
      <w:r w:rsidR="00CF7B1D">
        <w:rPr>
          <w:rFonts w:ascii="Arial" w:hAnsi="Arial" w:eastAsia="Calibri" w:cs="Arial"/>
          <w:sz w:val="22"/>
          <w:lang w:val="es-ES"/>
        </w:rPr>
        <w:t>,</w:t>
      </w:r>
      <w:r w:rsidRPr="009A4A28" w:rsidR="00D03173">
        <w:rPr>
          <w:rFonts w:ascii="Arial" w:hAnsi="Arial" w:eastAsia="Calibri" w:cs="Arial"/>
          <w:sz w:val="22"/>
          <w:lang w:val="es-ES"/>
        </w:rPr>
        <w:t xml:space="preserve"> para</w:t>
      </w:r>
      <w:r w:rsidRPr="009A4A28">
        <w:rPr>
          <w:rFonts w:ascii="Arial" w:hAnsi="Arial" w:eastAsia="Calibri" w:cs="Arial"/>
          <w:sz w:val="22"/>
          <w:lang w:val="es-ES"/>
        </w:rPr>
        <w:t xml:space="preserve"> </w:t>
      </w:r>
      <w:r w:rsidRPr="009A4A28" w:rsidR="009C2458">
        <w:rPr>
          <w:rFonts w:ascii="Arial" w:hAnsi="Arial" w:eastAsia="Calibri" w:cs="Arial"/>
          <w:sz w:val="22"/>
          <w:lang w:val="es-ES"/>
        </w:rPr>
        <w:t>solicitar</w:t>
      </w:r>
      <w:r w:rsidRPr="009A4A28">
        <w:rPr>
          <w:rFonts w:ascii="Arial" w:hAnsi="Arial" w:eastAsia="Calibri" w:cs="Arial"/>
          <w:sz w:val="22"/>
          <w:lang w:val="es-ES"/>
        </w:rPr>
        <w:t xml:space="preserve"> la experiencia </w:t>
      </w:r>
      <w:r w:rsidRPr="009A4A28" w:rsidR="009C2458">
        <w:rPr>
          <w:rFonts w:ascii="Arial" w:hAnsi="Arial" w:eastAsia="Calibri" w:cs="Arial"/>
          <w:sz w:val="22"/>
          <w:lang w:val="es-ES"/>
        </w:rPr>
        <w:t xml:space="preserve">adicional </w:t>
      </w:r>
      <w:r w:rsidRPr="009A4A28">
        <w:rPr>
          <w:rFonts w:ascii="Arial" w:hAnsi="Arial" w:eastAsia="Calibri" w:cs="Arial"/>
          <w:sz w:val="22"/>
          <w:lang w:val="es-ES"/>
        </w:rPr>
        <w:t xml:space="preserve">se deberá </w:t>
      </w:r>
      <w:r w:rsidR="0003179A">
        <w:rPr>
          <w:rFonts w:ascii="Arial" w:hAnsi="Arial" w:eastAsia="Calibri" w:cs="Arial"/>
          <w:sz w:val="22"/>
          <w:lang w:val="es-ES"/>
        </w:rPr>
        <w:t>tener en cuenta</w:t>
      </w:r>
      <w:r w:rsidRPr="009A4A28">
        <w:rPr>
          <w:rFonts w:ascii="Arial" w:hAnsi="Arial" w:eastAsia="Calibri" w:cs="Arial"/>
          <w:sz w:val="22"/>
          <w:lang w:val="es-ES"/>
        </w:rPr>
        <w:t xml:space="preserve"> las reglas fijadas en el </w:t>
      </w:r>
      <w:r w:rsidR="00CF7B1D">
        <w:rPr>
          <w:rFonts w:ascii="Arial" w:hAnsi="Arial" w:eastAsia="Calibri" w:cs="Arial"/>
          <w:sz w:val="22"/>
          <w:lang w:val="es-ES"/>
        </w:rPr>
        <w:t>«</w:t>
      </w:r>
      <w:r w:rsidRPr="009A4A28">
        <w:rPr>
          <w:rFonts w:ascii="Arial" w:hAnsi="Arial" w:eastAsia="Calibri" w:cs="Arial"/>
          <w:sz w:val="22"/>
          <w:lang w:val="es-ES"/>
        </w:rPr>
        <w:t>numeral 3.5</w:t>
      </w:r>
      <w:r w:rsidR="00CF7B1D">
        <w:rPr>
          <w:rFonts w:ascii="Arial" w:hAnsi="Arial" w:eastAsia="Calibri" w:cs="Arial"/>
          <w:sz w:val="22"/>
          <w:lang w:val="es-ES"/>
        </w:rPr>
        <w:t xml:space="preserve"> – </w:t>
      </w:r>
      <w:r w:rsidRPr="009A4A28">
        <w:rPr>
          <w:rFonts w:ascii="Arial" w:hAnsi="Arial" w:eastAsia="Calibri" w:cs="Arial"/>
          <w:sz w:val="22"/>
          <w:lang w:val="es-ES"/>
        </w:rPr>
        <w:t>Experiencia</w:t>
      </w:r>
      <w:r w:rsidR="00CF7B1D">
        <w:rPr>
          <w:rFonts w:ascii="Arial" w:hAnsi="Arial" w:eastAsia="Calibri" w:cs="Arial"/>
          <w:sz w:val="22"/>
          <w:lang w:val="es-ES"/>
        </w:rPr>
        <w:t>»</w:t>
      </w:r>
      <w:r w:rsidRPr="009A4A28">
        <w:rPr>
          <w:rFonts w:ascii="Arial" w:hAnsi="Arial" w:eastAsia="Calibri" w:cs="Arial"/>
          <w:sz w:val="22"/>
          <w:lang w:val="es-ES"/>
        </w:rPr>
        <w:t xml:space="preserve"> del </w:t>
      </w:r>
      <w:r w:rsidRPr="009A4A28" w:rsidR="00CF7B1D">
        <w:rPr>
          <w:rFonts w:ascii="Arial" w:hAnsi="Arial" w:eastAsia="Calibri" w:cs="Arial"/>
          <w:sz w:val="22"/>
          <w:lang w:val="es-ES"/>
        </w:rPr>
        <w:t>pliego tipo</w:t>
      </w:r>
      <w:r w:rsidRPr="009A4A28">
        <w:rPr>
          <w:rFonts w:ascii="Arial" w:hAnsi="Arial" w:eastAsia="Calibri" w:cs="Arial"/>
          <w:sz w:val="22"/>
          <w:lang w:val="es-ES"/>
        </w:rPr>
        <w:t xml:space="preserve">. </w:t>
      </w:r>
      <w:r w:rsidRPr="009A4A28" w:rsidR="009C2458">
        <w:rPr>
          <w:rFonts w:ascii="Arial" w:hAnsi="Arial" w:eastAsia="Calibri" w:cs="Arial"/>
          <w:sz w:val="22"/>
          <w:lang w:val="es-ES"/>
        </w:rPr>
        <w:t>Específicamente</w:t>
      </w:r>
      <w:r w:rsidR="0003179A">
        <w:rPr>
          <w:rFonts w:ascii="Arial" w:hAnsi="Arial" w:eastAsia="Calibri" w:cs="Arial"/>
          <w:sz w:val="22"/>
          <w:lang w:val="es-ES"/>
        </w:rPr>
        <w:t>,</w:t>
      </w:r>
      <w:r w:rsidRPr="009A4A28" w:rsidR="009C2458">
        <w:rPr>
          <w:rFonts w:ascii="Arial" w:hAnsi="Arial" w:eastAsia="Calibri" w:cs="Arial"/>
          <w:sz w:val="22"/>
          <w:lang w:val="es-ES"/>
        </w:rPr>
        <w:t xml:space="preserve"> el literal G del numeral 3.5.1 contiene una nota en gris y corchetes que la entidad puede modificar para </w:t>
      </w:r>
      <w:r w:rsidRPr="009A4A28" w:rsidR="009C2458">
        <w:rPr>
          <w:rFonts w:ascii="Arial" w:hAnsi="Arial" w:eastAsia="Calibri" w:cs="Arial"/>
          <w:sz w:val="22"/>
          <w:lang w:val="es-ES"/>
        </w:rPr>
        <w:lastRenderedPageBreak/>
        <w:t>señalar la experiencia adicional</w:t>
      </w:r>
      <w:r w:rsidR="00AB1D39">
        <w:rPr>
          <w:rFonts w:ascii="Arial" w:hAnsi="Arial" w:eastAsia="Calibri" w:cs="Arial"/>
          <w:sz w:val="22"/>
          <w:lang w:val="es-ES"/>
        </w:rPr>
        <w:t>.</w:t>
      </w:r>
      <w:r w:rsidRPr="009A4A28" w:rsidR="009C2458">
        <w:rPr>
          <w:rFonts w:ascii="Arial" w:hAnsi="Arial" w:eastAsia="Calibri" w:cs="Arial"/>
          <w:sz w:val="22"/>
          <w:lang w:val="es-ES"/>
        </w:rPr>
        <w:t xml:space="preserve"> </w:t>
      </w:r>
      <w:r w:rsidR="00AB1D39">
        <w:rPr>
          <w:rFonts w:ascii="Arial" w:hAnsi="Arial" w:eastAsia="Calibri" w:cs="Arial"/>
          <w:sz w:val="22"/>
          <w:lang w:val="es-ES"/>
        </w:rPr>
        <w:t>P</w:t>
      </w:r>
      <w:r w:rsidRPr="009A4A28" w:rsidR="009C2458">
        <w:rPr>
          <w:rFonts w:ascii="Arial" w:hAnsi="Arial" w:eastAsia="Calibri" w:cs="Arial"/>
          <w:sz w:val="22"/>
          <w:lang w:val="es-ES"/>
        </w:rPr>
        <w:t xml:space="preserve">or </w:t>
      </w:r>
      <w:r w:rsidR="00191D2F">
        <w:rPr>
          <w:rFonts w:ascii="Arial" w:hAnsi="Arial" w:eastAsia="Calibri" w:cs="Arial"/>
          <w:sz w:val="22"/>
          <w:lang w:val="es-ES"/>
        </w:rPr>
        <w:t xml:space="preserve">ello, </w:t>
      </w:r>
      <w:r w:rsidRPr="009A4A28" w:rsidR="009C2458">
        <w:rPr>
          <w:rFonts w:ascii="Arial" w:hAnsi="Arial" w:eastAsia="Calibri" w:cs="Arial"/>
          <w:sz w:val="22"/>
          <w:lang w:val="es-ES"/>
        </w:rPr>
        <w:t xml:space="preserve">debido al principio de inalterabilidad de los </w:t>
      </w:r>
      <w:r w:rsidRPr="009A4A28" w:rsidR="00DE29D3">
        <w:rPr>
          <w:rFonts w:ascii="Arial" w:hAnsi="Arial" w:eastAsia="Calibri" w:cs="Arial"/>
          <w:sz w:val="22"/>
          <w:lang w:val="es-ES"/>
        </w:rPr>
        <w:t>documento</w:t>
      </w:r>
      <w:r w:rsidR="00DE29D3">
        <w:rPr>
          <w:rFonts w:ascii="Arial" w:hAnsi="Arial" w:eastAsia="Calibri" w:cs="Arial"/>
          <w:sz w:val="22"/>
          <w:lang w:val="es-ES"/>
        </w:rPr>
        <w:t>s</w:t>
      </w:r>
      <w:r w:rsidRPr="009A4A28" w:rsidR="00DE29D3">
        <w:rPr>
          <w:rFonts w:ascii="Arial" w:hAnsi="Arial" w:eastAsia="Calibri" w:cs="Arial"/>
          <w:sz w:val="22"/>
          <w:lang w:val="es-ES"/>
        </w:rPr>
        <w:t xml:space="preserve"> tipo</w:t>
      </w:r>
      <w:r w:rsidR="00AB1D39">
        <w:rPr>
          <w:rFonts w:ascii="Arial" w:hAnsi="Arial" w:eastAsia="Calibri" w:cs="Arial"/>
          <w:sz w:val="22"/>
          <w:lang w:val="es-ES"/>
        </w:rPr>
        <w:t>,</w:t>
      </w:r>
      <w:r w:rsidRPr="009A4A28" w:rsidR="00DE29D3">
        <w:rPr>
          <w:rFonts w:ascii="Arial" w:hAnsi="Arial" w:eastAsia="Calibri" w:cs="Arial"/>
          <w:sz w:val="22"/>
          <w:lang w:val="es-ES"/>
        </w:rPr>
        <w:t xml:space="preserve"> </w:t>
      </w:r>
      <w:r w:rsidRPr="009A4A28" w:rsidR="009C2458">
        <w:rPr>
          <w:rFonts w:ascii="Arial" w:hAnsi="Arial" w:eastAsia="Calibri" w:cs="Arial"/>
          <w:sz w:val="22"/>
          <w:lang w:val="es-ES"/>
        </w:rPr>
        <w:t>no es posible incluir</w:t>
      </w:r>
      <w:r w:rsidRPr="009A4A28" w:rsidR="00505631">
        <w:rPr>
          <w:rFonts w:ascii="Arial" w:hAnsi="Arial" w:eastAsia="Calibri" w:cs="Arial"/>
          <w:sz w:val="22"/>
          <w:lang w:val="es-ES"/>
        </w:rPr>
        <w:t xml:space="preserve"> un</w:t>
      </w:r>
      <w:r w:rsidRPr="009A4A28" w:rsidR="009C2458">
        <w:rPr>
          <w:rFonts w:ascii="Arial" w:hAnsi="Arial" w:eastAsia="Calibri" w:cs="Arial"/>
          <w:sz w:val="22"/>
          <w:lang w:val="es-ES"/>
        </w:rPr>
        <w:t xml:space="preserve"> nuevo elemento en la </w:t>
      </w:r>
      <w:r w:rsidR="00DE29D3">
        <w:rPr>
          <w:rFonts w:ascii="Arial" w:hAnsi="Arial" w:eastAsia="Calibri" w:cs="Arial"/>
          <w:sz w:val="22"/>
          <w:lang w:val="es-ES"/>
        </w:rPr>
        <w:t>«</w:t>
      </w:r>
      <w:r w:rsidRPr="009A4A28" w:rsidR="00505631">
        <w:rPr>
          <w:rFonts w:ascii="Arial" w:hAnsi="Arial" w:eastAsia="Calibri" w:cs="Arial"/>
          <w:sz w:val="22"/>
          <w:lang w:val="es-ES"/>
        </w:rPr>
        <w:t>M</w:t>
      </w:r>
      <w:r w:rsidRPr="009A4A28" w:rsidR="009C2458">
        <w:rPr>
          <w:rFonts w:ascii="Arial" w:hAnsi="Arial" w:eastAsia="Calibri" w:cs="Arial"/>
          <w:sz w:val="22"/>
          <w:lang w:val="es-ES"/>
        </w:rPr>
        <w:t>atriz</w:t>
      </w:r>
      <w:r w:rsidRPr="009A4A28" w:rsidR="00505631">
        <w:rPr>
          <w:rFonts w:ascii="Arial" w:hAnsi="Arial" w:eastAsia="Calibri" w:cs="Arial"/>
          <w:sz w:val="22"/>
          <w:lang w:val="es-ES"/>
        </w:rPr>
        <w:t xml:space="preserve"> 1</w:t>
      </w:r>
      <w:r w:rsidRPr="009A4A28" w:rsidR="00FF4FC8">
        <w:rPr>
          <w:rFonts w:ascii="Arial" w:hAnsi="Arial" w:eastAsia="Calibri" w:cs="Arial"/>
          <w:sz w:val="22"/>
          <w:lang w:val="es-ES"/>
        </w:rPr>
        <w:t xml:space="preserve"> </w:t>
      </w:r>
      <w:r w:rsidR="00DE29D3">
        <w:rPr>
          <w:rFonts w:ascii="Arial" w:hAnsi="Arial" w:eastAsia="Calibri" w:cs="Arial"/>
          <w:sz w:val="22"/>
          <w:lang w:val="es-ES"/>
        </w:rPr>
        <w:t>–</w:t>
      </w:r>
      <w:r w:rsidRPr="009A4A28" w:rsidR="00FF4FC8">
        <w:rPr>
          <w:rFonts w:ascii="Arial" w:hAnsi="Arial" w:eastAsia="Calibri" w:cs="Arial"/>
          <w:sz w:val="22"/>
          <w:lang w:val="es-ES"/>
        </w:rPr>
        <w:t xml:space="preserve"> </w:t>
      </w:r>
      <w:r w:rsidRPr="009A4A28" w:rsidR="009C2458">
        <w:rPr>
          <w:rFonts w:ascii="Arial" w:hAnsi="Arial" w:eastAsia="Calibri" w:cs="Arial"/>
          <w:sz w:val="22"/>
          <w:lang w:val="es-ES"/>
        </w:rPr>
        <w:t>Experiencia</w:t>
      </w:r>
      <w:r w:rsidR="00DE29D3">
        <w:rPr>
          <w:rFonts w:ascii="Arial" w:hAnsi="Arial" w:eastAsia="Calibri" w:cs="Arial"/>
          <w:sz w:val="22"/>
          <w:lang w:val="es-ES"/>
        </w:rPr>
        <w:t>»</w:t>
      </w:r>
      <w:r w:rsidRPr="009A4A28" w:rsidR="00505631">
        <w:rPr>
          <w:rFonts w:ascii="Arial" w:hAnsi="Arial" w:eastAsia="Calibri" w:cs="Arial"/>
          <w:sz w:val="22"/>
          <w:lang w:val="es-ES"/>
        </w:rPr>
        <w:t xml:space="preserve"> ni</w:t>
      </w:r>
      <w:r w:rsidRPr="009A4A28" w:rsidR="009C2458">
        <w:rPr>
          <w:rFonts w:ascii="Arial" w:hAnsi="Arial" w:eastAsia="Calibri" w:cs="Arial"/>
          <w:sz w:val="22"/>
          <w:lang w:val="es-ES"/>
        </w:rPr>
        <w:t xml:space="preserve"> publicar una nueva matriz y/o anexo</w:t>
      </w:r>
      <w:r w:rsidRPr="009A4A28" w:rsidR="00505631">
        <w:rPr>
          <w:rFonts w:ascii="Arial" w:hAnsi="Arial" w:eastAsia="Calibri" w:cs="Arial"/>
          <w:sz w:val="22"/>
          <w:lang w:val="es-ES"/>
        </w:rPr>
        <w:t>.</w:t>
      </w:r>
      <w:r w:rsidRPr="009A4A28" w:rsidR="009C2458">
        <w:rPr>
          <w:rFonts w:ascii="Arial" w:hAnsi="Arial" w:eastAsia="Calibri" w:cs="Arial"/>
          <w:sz w:val="22"/>
          <w:lang w:val="es-ES"/>
        </w:rPr>
        <w:t xml:space="preserve"> </w:t>
      </w:r>
    </w:p>
    <w:p w:rsidRPr="009A4A28" w:rsidR="007E75DE" w:rsidP="00A945C1" w:rsidRDefault="007E75DE" w14:paraId="57F43EFD" w14:textId="77777777">
      <w:pPr>
        <w:autoSpaceDE w:val="0"/>
        <w:autoSpaceDN w:val="0"/>
        <w:adjustRightInd w:val="0"/>
        <w:spacing w:line="276" w:lineRule="auto"/>
        <w:jc w:val="both"/>
        <w:rPr>
          <w:rFonts w:ascii="Arial" w:hAnsi="Arial" w:cs="Arial"/>
          <w:sz w:val="22"/>
          <w:highlight w:val="yellow"/>
          <w:lang w:val="es-ES"/>
        </w:rPr>
      </w:pPr>
    </w:p>
    <w:p w:rsidRPr="009A4A28" w:rsidR="00A945C1" w:rsidP="00A945C1" w:rsidRDefault="00A945C1" w14:paraId="02AA1A67" w14:textId="77777777">
      <w:pPr>
        <w:spacing w:line="276" w:lineRule="auto"/>
        <w:jc w:val="both"/>
        <w:rPr>
          <w:rFonts w:ascii="Arial" w:hAnsi="Arial" w:eastAsia="Calibri" w:cs="Arial"/>
          <w:sz w:val="22"/>
        </w:rPr>
      </w:pPr>
    </w:p>
    <w:p w:rsidRPr="00425B43" w:rsidR="00506910" w:rsidP="00506910" w:rsidRDefault="00506910" w14:paraId="063FF8BF" w14:textId="77777777">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Este concepto tiene el alcance previsto en el artículo 28 del Código de Procedimiento Administrativo y de lo Contencioso Administrativo.</w:t>
      </w:r>
    </w:p>
    <w:p w:rsidRPr="00425B43" w:rsidR="00506910" w:rsidP="00506910" w:rsidRDefault="00506910" w14:paraId="5F367820" w14:textId="77777777">
      <w:pPr>
        <w:spacing w:line="276" w:lineRule="auto"/>
        <w:jc w:val="both"/>
        <w:rPr>
          <w:rFonts w:ascii="Arial" w:hAnsi="Arial" w:cs="Arial"/>
          <w:noProof/>
          <w:color w:val="000000" w:themeColor="text1"/>
          <w:sz w:val="22"/>
          <w:lang w:val="es-ES_tradnl"/>
        </w:rPr>
      </w:pPr>
    </w:p>
    <w:p w:rsidRPr="00425B43" w:rsidR="00506910" w:rsidP="00506910" w:rsidRDefault="00506910" w14:paraId="47AB3B11" w14:textId="77777777">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EF7FEEF" wp14:editId="3AFC0F9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E8F4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425B43" w:rsidR="00506910" w:rsidP="00506910" w:rsidRDefault="00506910" w14:paraId="0F05D40B" w14:textId="77777777">
      <w:pPr>
        <w:rPr>
          <w:rFonts w:ascii="Arial" w:hAnsi="Arial" w:eastAsia="Times New Roman" w:cs="Arial"/>
          <w:sz w:val="22"/>
          <w:lang w:val="es-CO" w:eastAsia="es-CO"/>
        </w:rPr>
      </w:pPr>
      <w:bookmarkStart w:name="_Hlk50986665" w:id="1"/>
      <w:bookmarkStart w:name="_Hlk55258198" w:id="2"/>
      <w:r w:rsidRPr="00425B43">
        <w:rPr>
          <w:rFonts w:ascii="Arial" w:hAnsi="Arial" w:cs="Arial"/>
          <w:sz w:val="22"/>
          <w:lang w:eastAsia="es-CO"/>
        </w:rPr>
        <w:t>Atentamente,</w:t>
      </w:r>
    </w:p>
    <w:p w:rsidRPr="00425B43" w:rsidR="00506910" w:rsidP="00506910" w:rsidRDefault="00506910" w14:paraId="6DA46DCE" w14:textId="77777777">
      <w:pPr>
        <w:rPr>
          <w:rFonts w:ascii="Arial" w:hAnsi="Arial" w:cs="Arial"/>
          <w:sz w:val="22"/>
          <w:lang w:eastAsia="es-CO"/>
        </w:rPr>
      </w:pPr>
    </w:p>
    <w:p w:rsidRPr="00425B43" w:rsidR="00506910" w:rsidP="5DC41ECB" w:rsidRDefault="00506910" w14:paraId="5815606F" w14:textId="3293B6B4">
      <w:pPr>
        <w:pStyle w:val="Normal"/>
        <w:jc w:val="center"/>
      </w:pPr>
      <w:r w:rsidR="70C88814">
        <w:drawing>
          <wp:inline wp14:editId="72B5A13E" wp14:anchorId="7A060A93">
            <wp:extent cx="2371725" cy="1000125"/>
            <wp:effectExtent l="0" t="0" r="0" b="0"/>
            <wp:docPr id="1867030548" name="" title=""/>
            <wp:cNvGraphicFramePr>
              <a:graphicFrameLocks noChangeAspect="1"/>
            </wp:cNvGraphicFramePr>
            <a:graphic>
              <a:graphicData uri="http://schemas.openxmlformats.org/drawingml/2006/picture">
                <pic:pic>
                  <pic:nvPicPr>
                    <pic:cNvPr id="0" name=""/>
                    <pic:cNvPicPr/>
                  </pic:nvPicPr>
                  <pic:blipFill>
                    <a:blip r:embed="R45f4888302ac401e">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425B43" w:rsidR="00506910" w:rsidP="00506910" w:rsidRDefault="00506910" w14:paraId="4721720B" w14:textId="77777777">
      <w:pPr>
        <w:jc w:val="center"/>
        <w:rPr>
          <w:rFonts w:ascii="Arial" w:hAnsi="Arial" w:cs="Arial"/>
          <w:sz w:val="18"/>
          <w:szCs w:val="20"/>
          <w:lang w:eastAsia="es-CO"/>
        </w:rPr>
      </w:pPr>
    </w:p>
    <w:p w:rsidRPr="00425B43" w:rsidR="00506910" w:rsidP="00506910" w:rsidRDefault="00506910" w14:paraId="6920E32A"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25B43" w:rsidR="00506910" w:rsidTr="0090610C" w14:paraId="1A1D70A5" w14:textId="77777777">
        <w:trPr>
          <w:trHeight w:val="315"/>
        </w:trPr>
        <w:tc>
          <w:tcPr>
            <w:tcW w:w="488" w:type="dxa"/>
            <w:vAlign w:val="center"/>
            <w:hideMark/>
          </w:tcPr>
          <w:p w:rsidRPr="00425B43" w:rsidR="00506910" w:rsidP="0090610C" w:rsidRDefault="00506910" w14:paraId="2DB7B3ED" w14:textId="77777777">
            <w:pPr>
              <w:rPr>
                <w:rFonts w:ascii="Arial" w:hAnsi="Arial" w:cs="Arial"/>
                <w:sz w:val="16"/>
                <w:szCs w:val="16"/>
                <w:lang w:eastAsia="es-ES"/>
              </w:rPr>
            </w:pPr>
            <w:r w:rsidRPr="00425B43">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425B43" w:rsidR="00506910" w:rsidP="0090610C" w:rsidRDefault="00506910" w14:paraId="7B7E53A0" w14:textId="77777777">
            <w:pPr>
              <w:rPr>
                <w:rFonts w:ascii="Arial" w:hAnsi="Arial" w:cs="Arial"/>
                <w:sz w:val="16"/>
                <w:szCs w:val="16"/>
                <w:lang w:eastAsia="es-ES"/>
              </w:rPr>
            </w:pPr>
            <w:r w:rsidRPr="00425B43">
              <w:rPr>
                <w:rFonts w:ascii="Arial" w:hAnsi="Arial" w:cs="Arial"/>
                <w:sz w:val="16"/>
                <w:szCs w:val="16"/>
                <w:lang w:eastAsia="es-ES"/>
              </w:rPr>
              <w:t>Ximena Ríos López</w:t>
            </w:r>
          </w:p>
          <w:p w:rsidRPr="00425B43" w:rsidR="00506910" w:rsidP="0090610C" w:rsidRDefault="00506910" w14:paraId="385B1ABC" w14:textId="412FF1EB">
            <w:pPr>
              <w:rPr>
                <w:rFonts w:ascii="Arial" w:hAnsi="Arial" w:cs="Arial"/>
                <w:sz w:val="16"/>
                <w:szCs w:val="16"/>
                <w:lang w:eastAsia="es-ES"/>
              </w:rPr>
            </w:pPr>
            <w:r w:rsidRPr="00425B43">
              <w:rPr>
                <w:rFonts w:ascii="Arial" w:hAnsi="Arial" w:cs="Arial"/>
                <w:sz w:val="16"/>
                <w:szCs w:val="16"/>
                <w:lang w:eastAsia="es-ES"/>
              </w:rPr>
              <w:t>Gestor T1-11 de la Subdirección de Gestión Contractual</w:t>
            </w:r>
          </w:p>
        </w:tc>
      </w:tr>
      <w:tr w:rsidRPr="00425B43" w:rsidR="00506910" w:rsidTr="0090610C" w14:paraId="14C8373F" w14:textId="77777777">
        <w:trPr>
          <w:trHeight w:val="330"/>
        </w:trPr>
        <w:tc>
          <w:tcPr>
            <w:tcW w:w="488" w:type="dxa"/>
            <w:vAlign w:val="center"/>
            <w:hideMark/>
          </w:tcPr>
          <w:p w:rsidRPr="00425B43" w:rsidR="00506910" w:rsidP="0090610C" w:rsidRDefault="00506910" w14:paraId="76773551" w14:textId="77777777">
            <w:pPr>
              <w:rPr>
                <w:rFonts w:ascii="Arial" w:hAnsi="Arial" w:cs="Arial"/>
                <w:sz w:val="16"/>
                <w:szCs w:val="16"/>
                <w:lang w:eastAsia="es-ES"/>
              </w:rPr>
            </w:pPr>
            <w:r w:rsidRPr="00425B43">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25B43" w:rsidR="00506910" w:rsidP="0090610C" w:rsidRDefault="00506910" w14:paraId="56455A49" w14:textId="3F09B337">
            <w:pPr>
              <w:rPr>
                <w:rFonts w:ascii="Arial" w:hAnsi="Arial" w:cs="Arial"/>
                <w:sz w:val="16"/>
                <w:szCs w:val="16"/>
                <w:lang w:eastAsia="es-ES"/>
              </w:rPr>
            </w:pPr>
            <w:r>
              <w:rPr>
                <w:rFonts w:ascii="Arial" w:hAnsi="Arial" w:cs="Arial"/>
                <w:sz w:val="16"/>
                <w:szCs w:val="16"/>
                <w:lang w:eastAsia="es-ES"/>
              </w:rPr>
              <w:t>Sebastián Ramírez Grisales</w:t>
            </w:r>
          </w:p>
          <w:p w:rsidRPr="00425B43" w:rsidR="00506910" w:rsidP="0090610C" w:rsidRDefault="00506910" w14:paraId="3DA59815" w14:textId="1155F267">
            <w:pPr>
              <w:rPr>
                <w:rFonts w:ascii="Arial" w:hAnsi="Arial" w:cs="Arial"/>
                <w:sz w:val="16"/>
                <w:szCs w:val="16"/>
                <w:lang w:eastAsia="es-ES"/>
              </w:rPr>
            </w:pPr>
            <w:r w:rsidRPr="00425B43">
              <w:rPr>
                <w:rFonts w:ascii="Arial" w:hAnsi="Arial" w:cs="Arial"/>
                <w:sz w:val="16"/>
                <w:szCs w:val="16"/>
                <w:lang w:eastAsia="es-ES"/>
              </w:rPr>
              <w:t>Gestor T1-1</w:t>
            </w:r>
            <w:r>
              <w:rPr>
                <w:rFonts w:ascii="Arial" w:hAnsi="Arial" w:cs="Arial"/>
                <w:sz w:val="16"/>
                <w:szCs w:val="16"/>
                <w:lang w:eastAsia="es-ES"/>
              </w:rPr>
              <w:t>5</w:t>
            </w:r>
            <w:r w:rsidRPr="00425B43">
              <w:rPr>
                <w:rFonts w:ascii="Arial" w:hAnsi="Arial" w:cs="Arial"/>
                <w:sz w:val="16"/>
                <w:szCs w:val="16"/>
                <w:lang w:eastAsia="es-ES"/>
              </w:rPr>
              <w:t xml:space="preserve"> de la Subdirección de Gestión Contractual</w:t>
            </w:r>
          </w:p>
        </w:tc>
      </w:tr>
      <w:tr w:rsidRPr="00425B43" w:rsidR="00506910" w:rsidTr="0090610C" w14:paraId="7D38598E" w14:textId="77777777">
        <w:trPr>
          <w:trHeight w:val="300"/>
        </w:trPr>
        <w:tc>
          <w:tcPr>
            <w:tcW w:w="488" w:type="dxa"/>
            <w:vAlign w:val="center"/>
            <w:hideMark/>
          </w:tcPr>
          <w:p w:rsidRPr="00425B43" w:rsidR="00506910" w:rsidP="0090610C" w:rsidRDefault="00506910" w14:paraId="5FFC28A7" w14:textId="77777777">
            <w:pPr>
              <w:rPr>
                <w:rFonts w:ascii="Arial" w:hAnsi="Arial" w:cs="Arial"/>
                <w:sz w:val="16"/>
                <w:szCs w:val="16"/>
                <w:lang w:eastAsia="es-ES"/>
              </w:rPr>
            </w:pPr>
            <w:r w:rsidRPr="00425B43">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25B43" w:rsidR="00506910" w:rsidP="0090610C" w:rsidRDefault="00506910" w14:paraId="67B0746B" w14:textId="77777777">
            <w:pPr>
              <w:rPr>
                <w:rFonts w:ascii="Arial" w:hAnsi="Arial" w:cs="Arial"/>
                <w:sz w:val="16"/>
                <w:szCs w:val="16"/>
                <w:lang w:eastAsia="es-ES"/>
              </w:rPr>
            </w:pPr>
            <w:r w:rsidRPr="00425B43">
              <w:rPr>
                <w:rFonts w:ascii="Arial" w:hAnsi="Arial" w:cs="Arial"/>
                <w:sz w:val="16"/>
                <w:szCs w:val="16"/>
                <w:lang w:eastAsia="es-ES"/>
              </w:rPr>
              <w:t>Jorge Augusto Tirado Navarro</w:t>
            </w:r>
          </w:p>
          <w:p w:rsidRPr="00425B43" w:rsidR="00506910" w:rsidP="0090610C" w:rsidRDefault="00506910" w14:paraId="776F2055" w14:textId="77777777">
            <w:pPr>
              <w:rPr>
                <w:rFonts w:ascii="Arial" w:hAnsi="Arial" w:cs="Arial"/>
                <w:sz w:val="16"/>
                <w:szCs w:val="16"/>
                <w:lang w:eastAsia="es-ES"/>
              </w:rPr>
            </w:pPr>
            <w:r w:rsidRPr="00425B43">
              <w:rPr>
                <w:rFonts w:ascii="Arial" w:hAnsi="Arial" w:cs="Arial"/>
                <w:sz w:val="16"/>
                <w:szCs w:val="16"/>
                <w:lang w:eastAsia="es-ES"/>
              </w:rPr>
              <w:t>Subdirector de Gestión Contractual</w:t>
            </w:r>
          </w:p>
        </w:tc>
      </w:tr>
      <w:tr w:rsidRPr="00425B43" w:rsidR="00506910" w:rsidTr="0090610C" w14:paraId="6A4E9B6C" w14:textId="77777777">
        <w:trPr>
          <w:trHeight w:val="300"/>
        </w:trPr>
        <w:tc>
          <w:tcPr>
            <w:tcW w:w="488" w:type="dxa"/>
            <w:vAlign w:val="center"/>
            <w:hideMark/>
          </w:tcPr>
          <w:p w:rsidRPr="00425B43" w:rsidR="00506910" w:rsidP="0090610C" w:rsidRDefault="00506910" w14:paraId="75D0A660" w14:textId="77777777">
            <w:pPr>
              <w:rPr>
                <w:rFonts w:ascii="Arial" w:hAnsi="Arial" w:cs="Arial"/>
                <w:sz w:val="16"/>
                <w:szCs w:val="16"/>
                <w:lang w:eastAsia="es-ES"/>
              </w:rPr>
            </w:pPr>
            <w:r w:rsidRPr="00425B43">
              <w:rPr>
                <w:rFonts w:ascii="Arial" w:hAnsi="Arial"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25B43" w:rsidR="00506910" w:rsidP="0090610C" w:rsidRDefault="00506910" w14:paraId="608BB293" w14:textId="77777777">
            <w:pPr>
              <w:rPr>
                <w:rFonts w:ascii="Arial" w:hAnsi="Arial" w:cs="Arial"/>
                <w:sz w:val="16"/>
                <w:szCs w:val="16"/>
                <w:lang w:eastAsia="es-ES"/>
              </w:rPr>
            </w:pPr>
            <w:r w:rsidRPr="00425B43">
              <w:rPr>
                <w:rFonts w:ascii="Arial" w:hAnsi="Arial" w:cs="Arial"/>
                <w:sz w:val="16"/>
                <w:szCs w:val="16"/>
                <w:lang w:eastAsia="es-ES"/>
              </w:rPr>
              <w:t>0</w:t>
            </w:r>
          </w:p>
        </w:tc>
        <w:bookmarkEnd w:id="1"/>
      </w:tr>
      <w:bookmarkEnd w:id="2"/>
    </w:tbl>
    <w:p w:rsidRPr="00425B43" w:rsidR="00506910" w:rsidP="00506910" w:rsidRDefault="00506910" w14:paraId="64AD7F42" w14:textId="77777777">
      <w:pPr>
        <w:jc w:val="both"/>
        <w:rPr>
          <w:rFonts w:ascii="Arial" w:hAnsi="Arial" w:cs="Arial"/>
          <w:sz w:val="22"/>
        </w:rPr>
      </w:pPr>
    </w:p>
    <w:p w:rsidRPr="009A4A28" w:rsidR="00A945C1" w:rsidP="00A945C1" w:rsidRDefault="00A945C1" w14:paraId="4EDD095B" w14:textId="77777777">
      <w:pPr>
        <w:jc w:val="both"/>
        <w:rPr>
          <w:rFonts w:ascii="Arial" w:hAnsi="Arial" w:eastAsia="Calibri" w:cs="Arial"/>
          <w:sz w:val="22"/>
        </w:rPr>
      </w:pPr>
    </w:p>
    <w:p w:rsidRPr="009A4A28" w:rsidR="00A945C1" w:rsidP="00A945C1" w:rsidRDefault="00A945C1" w14:paraId="10BCDA54" w14:textId="77777777"/>
    <w:bookmarkEnd w:id="0"/>
    <w:p w:rsidRPr="009A4A28" w:rsidR="007B0854" w:rsidP="00A945C1" w:rsidRDefault="007B0854" w14:paraId="7EBF297E" w14:textId="77777777">
      <w:pPr>
        <w:pStyle w:val="Prrafodelista"/>
        <w:tabs>
          <w:tab w:val="left" w:pos="284"/>
        </w:tabs>
        <w:spacing w:line="276" w:lineRule="auto"/>
        <w:ind w:left="0"/>
        <w:jc w:val="both"/>
        <w:rPr>
          <w:rFonts w:ascii="Arial" w:hAnsi="Arial" w:eastAsia="Calibri" w:cs="Arial"/>
          <w:sz w:val="22"/>
        </w:rPr>
      </w:pPr>
    </w:p>
    <w:sectPr w:rsidRPr="009A4A28" w:rsidR="007B0854" w:rsidSect="005A79FE">
      <w:headerReference w:type="default" r:id="rId13"/>
      <w:footerReference w:type="default" r:id="rId14"/>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28E9" w:rsidRDefault="00A928E9" w14:paraId="16E5D269" w14:textId="77777777">
      <w:r>
        <w:separator/>
      </w:r>
    </w:p>
  </w:endnote>
  <w:endnote w:type="continuationSeparator" w:id="0">
    <w:p w:rsidR="00A928E9" w:rsidRDefault="00A928E9" w14:paraId="01213D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7943" w:rsidP="007B0854" w:rsidRDefault="00897943" w14:paraId="6E90F2C9" w14:textId="77777777">
    <w:pPr>
      <w:pStyle w:val="Sinespaciado"/>
      <w:jc w:val="center"/>
      <w:rPr>
        <w:rFonts w:ascii="Arial" w:hAnsi="Arial" w:cs="Arial"/>
        <w:sz w:val="18"/>
        <w:szCs w:val="18"/>
      </w:rPr>
    </w:pPr>
  </w:p>
  <w:p w:rsidRPr="005A79FE" w:rsidR="00897943" w:rsidP="005A79FE" w:rsidRDefault="00897943"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897943" w:rsidP="007B0854" w:rsidRDefault="00897943" w14:paraId="48FC6A04" w14:textId="0E0B8C38">
    <w:pPr>
      <w:pStyle w:val="Piedepgina"/>
      <w:jc w:val="center"/>
      <w:rPr>
        <w:lang w:val="es-ES"/>
      </w:rPr>
    </w:pPr>
    <w:r w:rsidR="5DC41ECB">
      <w:drawing>
        <wp:inline wp14:editId="1BBE1673" wp14:anchorId="608B196D">
          <wp:extent cx="4241994" cy="595165"/>
          <wp:effectExtent l="0" t="0" r="6350" b="0"/>
          <wp:docPr id="12" name="Imagen 12" title=""/>
          <wp:cNvGraphicFramePr>
            <a:graphicFrameLocks noChangeAspect="1"/>
          </wp:cNvGraphicFramePr>
          <a:graphic>
            <a:graphicData uri="http://schemas.openxmlformats.org/drawingml/2006/picture">
              <pic:pic>
                <pic:nvPicPr>
                  <pic:cNvPr id="0" name="Imagen 12"/>
                  <pic:cNvPicPr/>
                </pic:nvPicPr>
                <pic:blipFill>
                  <a:blip r:embed="Rac38f5b4d07e40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897943" w:rsidP="007B0854" w:rsidRDefault="0089794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28E9" w:rsidRDefault="00A928E9" w14:paraId="32B5B882" w14:textId="77777777">
      <w:r>
        <w:separator/>
      </w:r>
    </w:p>
  </w:footnote>
  <w:footnote w:type="continuationSeparator" w:id="0">
    <w:p w:rsidR="00A928E9" w:rsidRDefault="00A928E9" w14:paraId="7F9F08A2" w14:textId="77777777">
      <w:r>
        <w:continuationSeparator/>
      </w:r>
    </w:p>
  </w:footnote>
  <w:footnote w:id="1">
    <w:p w:rsidRPr="009A4A28" w:rsidR="000D0DB2" w:rsidP="006441DA" w:rsidRDefault="000D0DB2" w14:paraId="3A42D1F5" w14:textId="6D652B9E">
      <w:pPr>
        <w:pStyle w:val="Textonotapie"/>
        <w:ind w:firstLine="708"/>
        <w:jc w:val="both"/>
        <w:rPr>
          <w:rFonts w:ascii="Arial" w:hAnsi="Arial" w:eastAsia="Calibri" w:cs="Arial"/>
          <w:sz w:val="19"/>
          <w:szCs w:val="19"/>
        </w:rPr>
      </w:pPr>
      <w:r w:rsidRPr="009A4A28">
        <w:rPr>
          <w:rStyle w:val="Refdenotaalpie"/>
          <w:rFonts w:ascii="Arial" w:hAnsi="Arial" w:cs="Arial"/>
          <w:sz w:val="19"/>
          <w:szCs w:val="19"/>
        </w:rPr>
        <w:footnoteRef/>
      </w:r>
      <w:r w:rsidRPr="009A4A28">
        <w:rPr>
          <w:rFonts w:ascii="Arial" w:hAnsi="Arial" w:cs="Arial"/>
          <w:sz w:val="19"/>
          <w:szCs w:val="19"/>
        </w:rPr>
        <w:t xml:space="preserve"> </w:t>
      </w:r>
      <w:r w:rsidRPr="009A4A28">
        <w:rPr>
          <w:rFonts w:ascii="Arial" w:hAnsi="Arial" w:eastAsia="Calibri" w:cs="Arial"/>
          <w:sz w:val="19"/>
          <w:szCs w:val="19"/>
        </w:rPr>
        <w:t>Decreto 342 de 2019</w:t>
      </w:r>
      <w:r w:rsidRPr="009A4A28" w:rsidR="004015A7">
        <w:rPr>
          <w:rFonts w:ascii="Arial" w:hAnsi="Arial" w:eastAsia="Calibri" w:cs="Arial"/>
          <w:sz w:val="19"/>
          <w:szCs w:val="19"/>
        </w:rPr>
        <w:t>: «</w:t>
      </w:r>
      <w:r w:rsidRPr="009A4A28">
        <w:rPr>
          <w:rFonts w:ascii="Arial" w:hAnsi="Arial" w:eastAsia="Calibri" w:cs="Arial"/>
          <w:sz w:val="19"/>
          <w:szCs w:val="19"/>
        </w:rPr>
        <w:t>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9A4A28" w:rsidR="000D0DB2" w:rsidP="006441DA" w:rsidRDefault="004015A7" w14:paraId="5903FCA2" w14:textId="2E1276DD">
      <w:pPr>
        <w:pStyle w:val="Textonotapie"/>
        <w:ind w:firstLine="708"/>
        <w:jc w:val="both"/>
        <w:rPr>
          <w:rFonts w:ascii="Arial" w:hAnsi="Arial" w:eastAsia="Calibri" w:cs="Arial"/>
          <w:sz w:val="19"/>
          <w:szCs w:val="19"/>
        </w:rPr>
      </w:pPr>
      <w:r w:rsidRPr="009A4A28">
        <w:rPr>
          <w:rFonts w:ascii="Arial" w:hAnsi="Arial" w:eastAsia="Calibri" w:cs="Arial"/>
          <w:sz w:val="19"/>
          <w:szCs w:val="19"/>
        </w:rPr>
        <w:t>»</w:t>
      </w:r>
      <w:r w:rsidRPr="009A4A28" w:rsidR="000D0DB2">
        <w:rPr>
          <w:rFonts w:ascii="Arial" w:hAnsi="Arial" w:eastAsia="Calibri"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Pr="009A4A28" w:rsidR="000D0DB2" w:rsidP="006441DA" w:rsidRDefault="004015A7" w14:paraId="52ECFB58" w14:textId="2482D405">
      <w:pPr>
        <w:pStyle w:val="Textonotapie"/>
        <w:ind w:firstLine="708"/>
        <w:jc w:val="both"/>
        <w:rPr>
          <w:rFonts w:ascii="Arial" w:hAnsi="Arial" w:eastAsia="Calibri" w:cs="Arial"/>
          <w:sz w:val="19"/>
          <w:szCs w:val="19"/>
        </w:rPr>
      </w:pPr>
      <w:r w:rsidRPr="009A4A28">
        <w:rPr>
          <w:rFonts w:ascii="Arial" w:hAnsi="Arial" w:eastAsia="Calibri" w:cs="Arial"/>
          <w:sz w:val="19"/>
          <w:szCs w:val="19"/>
        </w:rPr>
        <w:t>»</w:t>
      </w:r>
      <w:r w:rsidRPr="009A4A28" w:rsidR="000D0DB2">
        <w:rPr>
          <w:rFonts w:ascii="Arial" w:hAnsi="Arial" w:eastAsia="Calibri" w:cs="Arial"/>
          <w:sz w:val="19"/>
          <w:szCs w:val="19"/>
        </w:rPr>
        <w:t>2. Conservar los requisitos exigidos en los Documentos Tipo.</w:t>
      </w:r>
    </w:p>
    <w:p w:rsidRPr="009A4A28" w:rsidR="000D0DB2" w:rsidP="006441DA" w:rsidRDefault="004015A7" w14:paraId="27FB0780" w14:textId="4A0C7B6A">
      <w:pPr>
        <w:pStyle w:val="Textonotapie"/>
        <w:ind w:firstLine="708"/>
        <w:jc w:val="both"/>
        <w:rPr>
          <w:rFonts w:ascii="Arial" w:hAnsi="Arial" w:eastAsia="Calibri" w:cs="Arial"/>
          <w:sz w:val="19"/>
          <w:szCs w:val="19"/>
        </w:rPr>
      </w:pPr>
      <w:r w:rsidRPr="009A4A28">
        <w:rPr>
          <w:rFonts w:ascii="Arial" w:hAnsi="Arial" w:eastAsia="Calibri" w:cs="Arial"/>
          <w:sz w:val="19"/>
          <w:szCs w:val="19"/>
        </w:rPr>
        <w:t>»</w:t>
      </w:r>
      <w:r w:rsidRPr="009A4A28" w:rsidR="000D0DB2">
        <w:rPr>
          <w:rFonts w:ascii="Arial" w:hAnsi="Arial" w:eastAsia="Calibri" w:cs="Arial"/>
          <w:sz w:val="19"/>
          <w:szCs w:val="19"/>
        </w:rPr>
        <w:t>3. Abstenerse de pedir experiencia exclusiva con entidades estatales, experiencia previa en un territorio específico, limitada en el tiempo o que incluya volúmenes o cantidades de obra específica.</w:t>
      </w:r>
    </w:p>
    <w:p w:rsidRPr="009A4A28" w:rsidR="004015A7" w:rsidP="00EC3DFE" w:rsidRDefault="004015A7" w14:paraId="4073D94B" w14:textId="0F3ABF43">
      <w:pPr>
        <w:pStyle w:val="Textonotapie"/>
        <w:ind w:firstLine="708"/>
        <w:jc w:val="both"/>
        <w:rPr>
          <w:rFonts w:ascii="Arial" w:hAnsi="Arial" w:cs="Arial"/>
          <w:sz w:val="19"/>
          <w:szCs w:val="19"/>
          <w:lang w:val="es-ES"/>
        </w:rPr>
      </w:pPr>
      <w:r w:rsidRPr="009A4A28">
        <w:rPr>
          <w:rFonts w:ascii="Arial" w:hAnsi="Arial" w:eastAsia="Calibri" w:cs="Arial"/>
          <w:sz w:val="19"/>
          <w:szCs w:val="19"/>
        </w:rPr>
        <w:t>»</w:t>
      </w:r>
      <w:r w:rsidRPr="009A4A28" w:rsidR="000D0DB2">
        <w:rPr>
          <w:rFonts w:ascii="Arial" w:hAnsi="Arial" w:eastAsia="Calibri" w:cs="Arial"/>
          <w:sz w:val="19"/>
          <w:szCs w:val="19"/>
        </w:rPr>
        <w:t>4. Clasificar la experiencia requerida solo hasta el tercer nivel del Clasificador de Bienes y Servicios e incluir exclusivamente los códigos que estén relacionados directamente con el objeto a contratar</w:t>
      </w:r>
      <w:r w:rsidRPr="009A4A28">
        <w:rPr>
          <w:rFonts w:ascii="Arial" w:hAnsi="Arial" w:eastAsia="Calibri" w:cs="Arial"/>
          <w:sz w:val="19"/>
          <w:szCs w:val="19"/>
        </w:rPr>
        <w:t>»</w:t>
      </w:r>
      <w:r w:rsidRPr="009A4A28" w:rsidR="000D0DB2">
        <w:rPr>
          <w:rFonts w:ascii="Arial" w:hAnsi="Arial" w:eastAsia="Calibri" w:cs="Arial"/>
          <w:sz w:val="19"/>
          <w:szCs w:val="19"/>
        </w:rPr>
        <w:t>.</w:t>
      </w:r>
    </w:p>
  </w:footnote>
  <w:footnote w:id="2">
    <w:p w:rsidRPr="009A4A28" w:rsidR="001F49CD" w:rsidP="001F49CD" w:rsidRDefault="001F49CD" w14:paraId="4C137DD4" w14:textId="77777777">
      <w:pPr>
        <w:pStyle w:val="Textonotapie"/>
        <w:ind w:firstLine="708"/>
        <w:jc w:val="both"/>
        <w:rPr>
          <w:rFonts w:ascii="Arial" w:hAnsi="Arial" w:cs="Arial"/>
          <w:sz w:val="19"/>
          <w:szCs w:val="19"/>
        </w:rPr>
      </w:pPr>
      <w:r w:rsidRPr="009A4A28">
        <w:rPr>
          <w:rStyle w:val="Refdenotaalpie"/>
          <w:rFonts w:ascii="Arial" w:hAnsi="Arial" w:cs="Arial"/>
          <w:sz w:val="19"/>
          <w:szCs w:val="19"/>
        </w:rPr>
        <w:footnoteRef/>
      </w:r>
      <w:r w:rsidRPr="009A4A28">
        <w:rPr>
          <w:rFonts w:ascii="Arial" w:hAnsi="Arial" w:cs="Arial"/>
          <w:sz w:val="19"/>
          <w:szCs w:val="19"/>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7943" w:rsidRDefault="00897943" w14:paraId="4CEB5923" w14:textId="72BD7C0A">
    <w:pPr>
      <w:pStyle w:val="Encabezado"/>
    </w:pPr>
  </w:p>
  <w:p w:rsidR="00897943" w:rsidRDefault="00897943" w14:paraId="6A4C7F2C" w14:textId="7D093DBB">
    <w:pPr>
      <w:pStyle w:val="Encabezado"/>
    </w:pPr>
  </w:p>
  <w:p w:rsidR="00897943" w:rsidRDefault="00897943"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DC41ECB">
      <w:rPr/>
      <w:t/>
    </w:r>
  </w:p>
  <w:p w:rsidR="00897943" w:rsidRDefault="00897943" w14:paraId="51400574" w14:textId="61BAF652">
    <w:pPr>
      <w:pStyle w:val="Encabezado"/>
    </w:pPr>
  </w:p>
  <w:p w:rsidR="00897943" w:rsidRDefault="00897943" w14:paraId="3D323BDB" w14:textId="04AF0DE6">
    <w:pPr>
      <w:pStyle w:val="Encabezado"/>
    </w:pPr>
  </w:p>
  <w:p w:rsidR="00897943" w:rsidRDefault="00897943"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F4D0F05"/>
    <w:multiLevelType w:val="hybrid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7FB645C"/>
    <w:multiLevelType w:val="multilevel"/>
    <w:tmpl w:val="F8B4A888"/>
    <w:lvl w:ilvl="0" w:tplc="0C0A0003">
      <w:start w:val="1"/>
      <w:numFmt w:val="bullet"/>
      <w:lvlText w:val="o"/>
      <w:lvlJc w:val="left"/>
      <w:pPr>
        <w:ind w:left="1428" w:hanging="360"/>
      </w:pPr>
      <w:rPr>
        <w:rFonts w:hint="default" w:ascii="Courier New" w:hAnsi="Courier New" w:cs="Courier New"/>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8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7AC"/>
    <w:rsid w:val="000078AA"/>
    <w:rsid w:val="00010979"/>
    <w:rsid w:val="000231D8"/>
    <w:rsid w:val="00027ABA"/>
    <w:rsid w:val="0003179A"/>
    <w:rsid w:val="00035FBD"/>
    <w:rsid w:val="00041ECC"/>
    <w:rsid w:val="0004309E"/>
    <w:rsid w:val="00051242"/>
    <w:rsid w:val="000907B8"/>
    <w:rsid w:val="000942EB"/>
    <w:rsid w:val="000B103F"/>
    <w:rsid w:val="000D0DB2"/>
    <w:rsid w:val="000D27C4"/>
    <w:rsid w:val="000E4342"/>
    <w:rsid w:val="000F14E8"/>
    <w:rsid w:val="00103915"/>
    <w:rsid w:val="0010586E"/>
    <w:rsid w:val="00121C2D"/>
    <w:rsid w:val="00122B23"/>
    <w:rsid w:val="00122D9B"/>
    <w:rsid w:val="00123B36"/>
    <w:rsid w:val="00124FC1"/>
    <w:rsid w:val="00125630"/>
    <w:rsid w:val="00131F8A"/>
    <w:rsid w:val="00137FFA"/>
    <w:rsid w:val="00142106"/>
    <w:rsid w:val="00145E82"/>
    <w:rsid w:val="0014613F"/>
    <w:rsid w:val="0014743E"/>
    <w:rsid w:val="00163756"/>
    <w:rsid w:val="0017348D"/>
    <w:rsid w:val="001746D4"/>
    <w:rsid w:val="00191D2F"/>
    <w:rsid w:val="00197327"/>
    <w:rsid w:val="0019793F"/>
    <w:rsid w:val="00197ADD"/>
    <w:rsid w:val="001A1007"/>
    <w:rsid w:val="001B7014"/>
    <w:rsid w:val="001D20CD"/>
    <w:rsid w:val="001D3005"/>
    <w:rsid w:val="001E053F"/>
    <w:rsid w:val="001F49CD"/>
    <w:rsid w:val="00211D02"/>
    <w:rsid w:val="00234B84"/>
    <w:rsid w:val="002351A0"/>
    <w:rsid w:val="0024086E"/>
    <w:rsid w:val="0025225C"/>
    <w:rsid w:val="00256ABA"/>
    <w:rsid w:val="00257BF2"/>
    <w:rsid w:val="002638A9"/>
    <w:rsid w:val="00275CEE"/>
    <w:rsid w:val="002826C0"/>
    <w:rsid w:val="00285AF6"/>
    <w:rsid w:val="002909A5"/>
    <w:rsid w:val="002A171C"/>
    <w:rsid w:val="002B637D"/>
    <w:rsid w:val="002C05C4"/>
    <w:rsid w:val="002C7489"/>
    <w:rsid w:val="003033BA"/>
    <w:rsid w:val="003132A3"/>
    <w:rsid w:val="003408FE"/>
    <w:rsid w:val="0034412E"/>
    <w:rsid w:val="00345843"/>
    <w:rsid w:val="00346338"/>
    <w:rsid w:val="0034680A"/>
    <w:rsid w:val="003620E1"/>
    <w:rsid w:val="00370953"/>
    <w:rsid w:val="003766A6"/>
    <w:rsid w:val="00376712"/>
    <w:rsid w:val="0037725F"/>
    <w:rsid w:val="00386456"/>
    <w:rsid w:val="003927AA"/>
    <w:rsid w:val="003A4C3D"/>
    <w:rsid w:val="003A581E"/>
    <w:rsid w:val="003B1A82"/>
    <w:rsid w:val="003E0AB0"/>
    <w:rsid w:val="004015A7"/>
    <w:rsid w:val="004071F5"/>
    <w:rsid w:val="0041235E"/>
    <w:rsid w:val="004213E6"/>
    <w:rsid w:val="00421516"/>
    <w:rsid w:val="004422D6"/>
    <w:rsid w:val="00451CB4"/>
    <w:rsid w:val="00460876"/>
    <w:rsid w:val="00464F10"/>
    <w:rsid w:val="00465C4A"/>
    <w:rsid w:val="00466FE8"/>
    <w:rsid w:val="00487D0D"/>
    <w:rsid w:val="00494D08"/>
    <w:rsid w:val="004A34D2"/>
    <w:rsid w:val="004A5B4D"/>
    <w:rsid w:val="004F0E02"/>
    <w:rsid w:val="00505631"/>
    <w:rsid w:val="00506910"/>
    <w:rsid w:val="0051074C"/>
    <w:rsid w:val="00511F0A"/>
    <w:rsid w:val="00513AF2"/>
    <w:rsid w:val="00523D5F"/>
    <w:rsid w:val="0053204A"/>
    <w:rsid w:val="005342CA"/>
    <w:rsid w:val="0054413A"/>
    <w:rsid w:val="0054642B"/>
    <w:rsid w:val="00546D7B"/>
    <w:rsid w:val="00547FF4"/>
    <w:rsid w:val="005564CA"/>
    <w:rsid w:val="00561988"/>
    <w:rsid w:val="00562817"/>
    <w:rsid w:val="00566472"/>
    <w:rsid w:val="00567074"/>
    <w:rsid w:val="00577621"/>
    <w:rsid w:val="00581D70"/>
    <w:rsid w:val="00582551"/>
    <w:rsid w:val="005A79FE"/>
    <w:rsid w:val="005C1EA6"/>
    <w:rsid w:val="005C59C8"/>
    <w:rsid w:val="005D46AC"/>
    <w:rsid w:val="005E1B99"/>
    <w:rsid w:val="005F11D1"/>
    <w:rsid w:val="005F1448"/>
    <w:rsid w:val="005F39A2"/>
    <w:rsid w:val="006131E1"/>
    <w:rsid w:val="00627FA4"/>
    <w:rsid w:val="006374D2"/>
    <w:rsid w:val="006441DA"/>
    <w:rsid w:val="00654542"/>
    <w:rsid w:val="00655371"/>
    <w:rsid w:val="00664A94"/>
    <w:rsid w:val="006838BB"/>
    <w:rsid w:val="0069051D"/>
    <w:rsid w:val="006908F4"/>
    <w:rsid w:val="00691333"/>
    <w:rsid w:val="006918B3"/>
    <w:rsid w:val="00696FAD"/>
    <w:rsid w:val="00697665"/>
    <w:rsid w:val="006A1E97"/>
    <w:rsid w:val="006A7FD0"/>
    <w:rsid w:val="006B3BB5"/>
    <w:rsid w:val="006B6FCB"/>
    <w:rsid w:val="006B744B"/>
    <w:rsid w:val="006C73E7"/>
    <w:rsid w:val="006D0B81"/>
    <w:rsid w:val="006D7687"/>
    <w:rsid w:val="006E0572"/>
    <w:rsid w:val="006F6EB9"/>
    <w:rsid w:val="00700A94"/>
    <w:rsid w:val="00705631"/>
    <w:rsid w:val="00706DB7"/>
    <w:rsid w:val="00707240"/>
    <w:rsid w:val="007106DA"/>
    <w:rsid w:val="00712060"/>
    <w:rsid w:val="00724FA3"/>
    <w:rsid w:val="00725ECD"/>
    <w:rsid w:val="00742DD2"/>
    <w:rsid w:val="0075647A"/>
    <w:rsid w:val="007634AD"/>
    <w:rsid w:val="0077157E"/>
    <w:rsid w:val="00776C38"/>
    <w:rsid w:val="00777245"/>
    <w:rsid w:val="0078122E"/>
    <w:rsid w:val="007865C2"/>
    <w:rsid w:val="00787D11"/>
    <w:rsid w:val="007976FB"/>
    <w:rsid w:val="007A1EA2"/>
    <w:rsid w:val="007A2272"/>
    <w:rsid w:val="007B0854"/>
    <w:rsid w:val="007B6449"/>
    <w:rsid w:val="007C1187"/>
    <w:rsid w:val="007C147D"/>
    <w:rsid w:val="007C7A5C"/>
    <w:rsid w:val="007E689F"/>
    <w:rsid w:val="007E75DE"/>
    <w:rsid w:val="007F1DD3"/>
    <w:rsid w:val="007F390C"/>
    <w:rsid w:val="007F72CB"/>
    <w:rsid w:val="00803BE6"/>
    <w:rsid w:val="008071A1"/>
    <w:rsid w:val="0080776D"/>
    <w:rsid w:val="00822915"/>
    <w:rsid w:val="008243F2"/>
    <w:rsid w:val="0083119B"/>
    <w:rsid w:val="00836EAB"/>
    <w:rsid w:val="00841FF1"/>
    <w:rsid w:val="0085092D"/>
    <w:rsid w:val="008526AF"/>
    <w:rsid w:val="00860CDF"/>
    <w:rsid w:val="0088474C"/>
    <w:rsid w:val="0089404F"/>
    <w:rsid w:val="00897943"/>
    <w:rsid w:val="008B1D94"/>
    <w:rsid w:val="008D193F"/>
    <w:rsid w:val="008D7194"/>
    <w:rsid w:val="008E1C15"/>
    <w:rsid w:val="008E5456"/>
    <w:rsid w:val="00901EC2"/>
    <w:rsid w:val="009047C5"/>
    <w:rsid w:val="00905E2D"/>
    <w:rsid w:val="009307A1"/>
    <w:rsid w:val="0093385A"/>
    <w:rsid w:val="00937E03"/>
    <w:rsid w:val="009403BC"/>
    <w:rsid w:val="00941B4B"/>
    <w:rsid w:val="009461B4"/>
    <w:rsid w:val="0095385A"/>
    <w:rsid w:val="00963569"/>
    <w:rsid w:val="00963784"/>
    <w:rsid w:val="00970E87"/>
    <w:rsid w:val="00977F75"/>
    <w:rsid w:val="00983578"/>
    <w:rsid w:val="009962F4"/>
    <w:rsid w:val="009A247F"/>
    <w:rsid w:val="009A42A4"/>
    <w:rsid w:val="009A4A28"/>
    <w:rsid w:val="009B62DB"/>
    <w:rsid w:val="009C2458"/>
    <w:rsid w:val="009D0C84"/>
    <w:rsid w:val="00A24560"/>
    <w:rsid w:val="00A34538"/>
    <w:rsid w:val="00A3490D"/>
    <w:rsid w:val="00A34C26"/>
    <w:rsid w:val="00A34DFB"/>
    <w:rsid w:val="00A429B5"/>
    <w:rsid w:val="00A55DD5"/>
    <w:rsid w:val="00A6721F"/>
    <w:rsid w:val="00A75945"/>
    <w:rsid w:val="00A84A49"/>
    <w:rsid w:val="00A928E9"/>
    <w:rsid w:val="00A945C1"/>
    <w:rsid w:val="00AA442B"/>
    <w:rsid w:val="00AB19AD"/>
    <w:rsid w:val="00AB1D39"/>
    <w:rsid w:val="00AB1D78"/>
    <w:rsid w:val="00AC3FB0"/>
    <w:rsid w:val="00AC6173"/>
    <w:rsid w:val="00B2019B"/>
    <w:rsid w:val="00B226F6"/>
    <w:rsid w:val="00B22E22"/>
    <w:rsid w:val="00B525CB"/>
    <w:rsid w:val="00B539C1"/>
    <w:rsid w:val="00B53F15"/>
    <w:rsid w:val="00B63C03"/>
    <w:rsid w:val="00B63CB2"/>
    <w:rsid w:val="00B67F34"/>
    <w:rsid w:val="00B95151"/>
    <w:rsid w:val="00BC6417"/>
    <w:rsid w:val="00BD78FE"/>
    <w:rsid w:val="00BE0980"/>
    <w:rsid w:val="00BE4067"/>
    <w:rsid w:val="00BF215D"/>
    <w:rsid w:val="00C00B91"/>
    <w:rsid w:val="00C11860"/>
    <w:rsid w:val="00C13F7D"/>
    <w:rsid w:val="00C145F3"/>
    <w:rsid w:val="00C163A4"/>
    <w:rsid w:val="00C3439C"/>
    <w:rsid w:val="00C35089"/>
    <w:rsid w:val="00C36036"/>
    <w:rsid w:val="00C43635"/>
    <w:rsid w:val="00C44FE6"/>
    <w:rsid w:val="00C50586"/>
    <w:rsid w:val="00C57BDD"/>
    <w:rsid w:val="00C6620F"/>
    <w:rsid w:val="00C74B91"/>
    <w:rsid w:val="00C8140C"/>
    <w:rsid w:val="00C9016E"/>
    <w:rsid w:val="00CA287E"/>
    <w:rsid w:val="00CB00C5"/>
    <w:rsid w:val="00CC00CD"/>
    <w:rsid w:val="00CD75EC"/>
    <w:rsid w:val="00CF23AE"/>
    <w:rsid w:val="00CF7B1D"/>
    <w:rsid w:val="00D03173"/>
    <w:rsid w:val="00D101E9"/>
    <w:rsid w:val="00D15514"/>
    <w:rsid w:val="00D16E39"/>
    <w:rsid w:val="00D43475"/>
    <w:rsid w:val="00D44F8C"/>
    <w:rsid w:val="00D558D5"/>
    <w:rsid w:val="00D72E9D"/>
    <w:rsid w:val="00D73FD3"/>
    <w:rsid w:val="00D766B8"/>
    <w:rsid w:val="00D80630"/>
    <w:rsid w:val="00D82CE5"/>
    <w:rsid w:val="00DA1ACF"/>
    <w:rsid w:val="00DA260B"/>
    <w:rsid w:val="00DA5AB1"/>
    <w:rsid w:val="00DA6592"/>
    <w:rsid w:val="00DB6039"/>
    <w:rsid w:val="00DC62E5"/>
    <w:rsid w:val="00DC6A38"/>
    <w:rsid w:val="00DD46B3"/>
    <w:rsid w:val="00DD735D"/>
    <w:rsid w:val="00DE29D3"/>
    <w:rsid w:val="00DE3119"/>
    <w:rsid w:val="00DE73B4"/>
    <w:rsid w:val="00DF236B"/>
    <w:rsid w:val="00DF5F44"/>
    <w:rsid w:val="00E12483"/>
    <w:rsid w:val="00E13AB8"/>
    <w:rsid w:val="00E325A7"/>
    <w:rsid w:val="00E33B62"/>
    <w:rsid w:val="00E368D8"/>
    <w:rsid w:val="00E47408"/>
    <w:rsid w:val="00E51E69"/>
    <w:rsid w:val="00E60329"/>
    <w:rsid w:val="00E62AED"/>
    <w:rsid w:val="00E71D04"/>
    <w:rsid w:val="00E76DDD"/>
    <w:rsid w:val="00E84881"/>
    <w:rsid w:val="00E86F09"/>
    <w:rsid w:val="00E873C4"/>
    <w:rsid w:val="00E953AC"/>
    <w:rsid w:val="00E953C5"/>
    <w:rsid w:val="00EA7835"/>
    <w:rsid w:val="00EB2EDC"/>
    <w:rsid w:val="00EB643A"/>
    <w:rsid w:val="00EC3DFE"/>
    <w:rsid w:val="00ED5AB4"/>
    <w:rsid w:val="00ED7ECF"/>
    <w:rsid w:val="00EF4809"/>
    <w:rsid w:val="00F071F7"/>
    <w:rsid w:val="00F0743E"/>
    <w:rsid w:val="00F11F68"/>
    <w:rsid w:val="00F2543D"/>
    <w:rsid w:val="00F42BD4"/>
    <w:rsid w:val="00F43169"/>
    <w:rsid w:val="00F5043C"/>
    <w:rsid w:val="00F54D7D"/>
    <w:rsid w:val="00F82838"/>
    <w:rsid w:val="00F84899"/>
    <w:rsid w:val="00F859F0"/>
    <w:rsid w:val="00F9101B"/>
    <w:rsid w:val="00F91722"/>
    <w:rsid w:val="00F97EA8"/>
    <w:rsid w:val="00FA1DA9"/>
    <w:rsid w:val="00FA5084"/>
    <w:rsid w:val="00FA5450"/>
    <w:rsid w:val="00FC11D1"/>
    <w:rsid w:val="00FC2F33"/>
    <w:rsid w:val="00FE141E"/>
    <w:rsid w:val="00FF0BEB"/>
    <w:rsid w:val="00FF0C59"/>
    <w:rsid w:val="00FF4FC8"/>
    <w:rsid w:val="5DC41ECB"/>
    <w:rsid w:val="70C888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A945C1"/>
    <w:rPr>
      <w:rFonts w:ascii="Arial" w:hAnsi="Arial" w:eastAsia="Arial" w:cs="Arial"/>
      <w:lang w:val="es-ES" w:eastAsia="es-ES" w:bidi="es-ES"/>
    </w:rPr>
  </w:style>
  <w:style w:type="character" w:styleId="Textoennegrita">
    <w:name w:val="Strong"/>
    <w:basedOn w:val="Fuentedeprrafopredeter"/>
    <w:uiPriority w:val="22"/>
    <w:qFormat/>
    <w:rsid w:val="005D46AC"/>
    <w:rPr>
      <w:b/>
      <w:bCs/>
    </w:rPr>
  </w:style>
  <w:style w:type="paragraph" w:styleId="Default" w:customStyle="1">
    <w:name w:val="Default"/>
    <w:rsid w:val="006131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4516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footer" Target="footer1.xml" Id="rId14" /><Relationship Type="http://schemas.openxmlformats.org/officeDocument/2006/relationships/webSettings" Target="webSettings.xml" Id="rId9" /><Relationship Type="http://schemas.openxmlformats.org/officeDocument/2006/relationships/image" Target="/media/image4.png" Id="R45f4888302ac401e" /></Relationships>
</file>

<file path=word/_rels/footer1.xml.rels>&#65279;<?xml version="1.0" encoding="utf-8"?><Relationships xmlns="http://schemas.openxmlformats.org/package/2006/relationships"><Relationship Type="http://schemas.openxmlformats.org/officeDocument/2006/relationships/image" Target="/media/image5.png" Id="Rac38f5b4d07e40b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_layouts/15/MS.InformationManagement.Metadata/DocumentType.aspx?mode=view</Display>
  <Edit>_layouts/15/MS.InformationManagement.Metadata/DocumentType.aspx?mode=edit</Edit>
  <New>_layouts/15/MS.InformationManagement.Metadata/DocumentType.aspx?mode=new</New>
</FormUrls>
</file>

<file path=customXml/item5.xml><?xml version="1.0" encoding="utf-8"?>
<ct:contentTypeSchema xmlns:ct="http://schemas.microsoft.com/office/2006/metadata/contentType" xmlns:ma="http://schemas.microsoft.com/office/2006/metadata/properties/metaAttributes" ct:_="" ma:_="" ma:contentTypeName="Tipo Documental" ma:contentTypeID="0x0101007045E28AA3084979BF2513D1CFD6D4F50086C83865E0D7C74B8532A9336F313947" ma:contentTypeVersion="2" ma:contentTypeDescription="Tipo de contenido asociado a la lista de Tipos de Documentos / Plantillas de Documentos" ma:contentTypeScope="" ma:versionID="735a450d3b9e6a6505cfa7645587d2fa">
  <xsd:schema xmlns:xsd="http://www.w3.org/2001/XMLSchema" xmlns:xs="http://www.w3.org/2001/XMLSchema" xmlns:p="http://schemas.microsoft.com/office/2006/metadata/properties" xmlns:ns2="b18a110d-c4ac-4c11-a41b-6e6a659cb70f" xmlns:ns3="aae88665-0b56-4ff3-bd36-5f8213d73777" targetNamespace="http://schemas.microsoft.com/office/2006/metadata/properties" ma:root="true" ma:fieldsID="0eea638d4095bbf8d4ed9022f2868ddc" ns2:_="" ns3:_="">
    <xsd:import namespace="b18a110d-c4ac-4c11-a41b-6e6a659cb70f"/>
    <xsd:import namespace="aae88665-0b56-4ff3-bd36-5f8213d73777"/>
    <xsd:element name="properties">
      <xsd:complexType>
        <xsd:sequence>
          <xsd:element name="documentManagement">
            <xsd:complexType>
              <xsd:all>
                <xsd:element ref="ns2:_dlc_DocId" minOccurs="0"/>
                <xsd:element ref="ns2:_dlc_DocIdUrl" minOccurs="0"/>
                <xsd:element ref="ns2:_dlc_DocIdPersistId" minOccurs="0"/>
                <xsd:element ref="ns3:Code" minOccurs="0"/>
                <xsd:element ref="ns3:TemplateVersion" minOccurs="0"/>
                <xsd:element ref="ns3:TemplateCreationDate"/>
                <xsd:element ref="ns3:HasTemplateAssociated" minOccurs="0"/>
                <xsd:element ref="ns3:CCAM_Es_Requer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110d-c4ac-4c11-a41b-6e6a659cb70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88665-0b56-4ff3-bd36-5f8213d73777" elementFormDefault="qualified">
    <xsd:import namespace="http://schemas.microsoft.com/office/2006/documentManagement/types"/>
    <xsd:import namespace="http://schemas.microsoft.com/office/infopath/2007/PartnerControls"/>
    <xsd:element name="Code" ma:index="11" nillable="true" ma:displayName="Código" ma:indexed="true" ma:internalName="Code">
      <xsd:simpleType>
        <xsd:restriction base="dms:Text">
          <xsd:maxLength value="10"/>
        </xsd:restriction>
      </xsd:simpleType>
    </xsd:element>
    <xsd:element name="TemplateVersion" ma:index="12" nillable="true" ma:displayName="Versión" ma:internalName="TemplateVersion">
      <xsd:simpleType>
        <xsd:restriction base="dms:Number"/>
      </xsd:simpleType>
    </xsd:element>
    <xsd:element name="TemplateCreationDate" ma:index="13" ma:displayName="Fecha de Creación" ma:format="DateOnly" ma:internalName="TemplateCreationDate">
      <xsd:simpleType>
        <xsd:restriction base="dms:DateTime"/>
      </xsd:simpleType>
    </xsd:element>
    <xsd:element name="HasTemplateAssociated" ma:index="14" nillable="true" ma:displayName="Tiene Archivo Asociado" ma:internalName="HasTemplateAssociated">
      <xsd:simpleType>
        <xsd:restriction base="dms:Boolean"/>
      </xsd:simpleType>
    </xsd:element>
    <xsd:element name="CCAM_Es_Requerido" ma:index="15" nillable="true" ma:displayName="Es Requerido tipo documental" ma:internalName="CCAM_Es_Requerid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C485959-AA7C-4948-9C93-770A09C07CFB}"/>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6A52FBF-D02A-4D84-9B39-4C89ADB89FDA}">
  <ds:schemaRefs>
    <ds:schemaRef ds:uri="http://schemas.openxmlformats.org/officeDocument/2006/bibliography"/>
  </ds:schemaRefs>
</ds:datastoreItem>
</file>

<file path=customXml/itemProps4.xml><?xml version="1.0" encoding="utf-8"?>
<ds:datastoreItem xmlns:ds="http://schemas.openxmlformats.org/officeDocument/2006/customXml" ds:itemID="{25942184-946D-430D-92E6-2B7677246C86}">
  <ds:schemaRefs>
    <ds:schemaRef ds:uri="http://schemas.microsoft.com/sharepoint/v3/contenttype/forms/url"/>
  </ds:schemaRefs>
</ds:datastoreItem>
</file>

<file path=customXml/itemProps5.xml><?xml version="1.0" encoding="utf-8"?>
<ds:datastoreItem xmlns:ds="http://schemas.openxmlformats.org/officeDocument/2006/customXml" ds:itemID="{90E685DA-02DC-4513-BD54-FDDD3796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110d-c4ac-4c11-a41b-6e6a659cb70f"/>
    <ds:schemaRef ds:uri="aae88665-0b56-4ff3-bd36-5f8213d7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5E2967-8AA6-4F93-97ED-55C7D224E2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4</revision>
  <dcterms:created xsi:type="dcterms:W3CDTF">2020-12-15T19:21:00.0000000Z</dcterms:created>
  <dcterms:modified xsi:type="dcterms:W3CDTF">2021-01-12T16:30:20.4467612Z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