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C12EE0" w:rsidR="004A303C" w:rsidP="004A303C" w:rsidRDefault="004A303C" w14:paraId="09A59AC5" w14:textId="77777777">
      <w:pPr>
        <w:jc w:val="right"/>
        <w:outlineLvl w:val="0"/>
        <w:rPr>
          <w:rFonts w:ascii="Arial" w:hAnsi="Arial" w:cs="Arial"/>
          <w:bCs/>
          <w:noProof/>
          <w:color w:val="000000" w:themeColor="text1"/>
          <w:sz w:val="16"/>
          <w:szCs w:val="16"/>
          <w:lang w:val="es-ES" w:eastAsia="es-ES"/>
        </w:rPr>
      </w:pPr>
      <w:bookmarkStart w:name="_Hlk28946138" w:id="0"/>
      <w:bookmarkStart w:name="_Hlk29548183" w:id="1"/>
      <w:r w:rsidRPr="00C12EE0">
        <w:rPr>
          <w:rFonts w:ascii="Arial" w:hAnsi="Arial" w:cs="Arial"/>
          <w:b/>
          <w:noProof/>
          <w:color w:val="000000" w:themeColor="text1"/>
          <w:sz w:val="16"/>
          <w:szCs w:val="16"/>
          <w:lang w:val="es-ES" w:eastAsia="es-ES"/>
        </w:rPr>
        <w:tab/>
      </w:r>
      <w:r w:rsidRPr="00C12EE0">
        <w:rPr>
          <w:rFonts w:ascii="Arial" w:hAnsi="Arial" w:cs="Arial"/>
          <w:bCs/>
          <w:noProof/>
          <w:color w:val="000000" w:themeColor="text1"/>
          <w:sz w:val="16"/>
          <w:szCs w:val="16"/>
          <w:lang w:val="es-ES" w:eastAsia="es-ES"/>
        </w:rPr>
        <w:t>CCE-DES-FM-17</w:t>
      </w:r>
    </w:p>
    <w:p w:rsidRPr="00C12EE0" w:rsidR="0033211E" w:rsidP="004A303C" w:rsidRDefault="0033211E" w14:paraId="008635B5" w14:textId="77777777">
      <w:pPr>
        <w:outlineLvl w:val="0"/>
        <w:rPr>
          <w:rFonts w:ascii="Arial" w:hAnsi="Arial" w:eastAsia="Calibri" w:cs="Arial"/>
          <w:b/>
          <w:color w:val="000000" w:themeColor="text1"/>
          <w:sz w:val="22"/>
          <w:lang w:val="es-ES"/>
        </w:rPr>
      </w:pPr>
    </w:p>
    <w:p w:rsidRPr="00C12EE0" w:rsidR="008130B6" w:rsidP="004A303C" w:rsidRDefault="00D76B77" w14:paraId="2F59958C" w14:textId="7F0CFB42">
      <w:pPr>
        <w:outlineLvl w:val="0"/>
        <w:rPr>
          <w:rFonts w:ascii="Arial" w:hAnsi="Arial" w:eastAsia="Calibri" w:cs="Arial"/>
          <w:b/>
          <w:color w:val="000000" w:themeColor="text1"/>
          <w:sz w:val="22"/>
          <w:lang w:val="es-ES"/>
        </w:rPr>
      </w:pPr>
      <w:r>
        <w:rPr>
          <w:rFonts w:ascii="Arial" w:hAnsi="Arial" w:eastAsia="Calibri" w:cs="Arial"/>
          <w:b/>
          <w:color w:val="000000" w:themeColor="text1"/>
          <w:sz w:val="22"/>
          <w:lang w:val="es-ES"/>
        </w:rPr>
        <w:t>CONTRATACIÓN DE MÍNIMA CUANTÍA</w:t>
      </w:r>
      <w:r w:rsidRPr="00C12EE0" w:rsidR="00290041">
        <w:rPr>
          <w:rFonts w:ascii="Arial" w:hAnsi="Arial" w:eastAsia="Calibri" w:cs="Arial"/>
          <w:b/>
          <w:color w:val="000000" w:themeColor="text1"/>
          <w:sz w:val="22"/>
          <w:lang w:val="es-ES"/>
        </w:rPr>
        <w:t xml:space="preserve"> – </w:t>
      </w:r>
      <w:r>
        <w:rPr>
          <w:rFonts w:ascii="Arial" w:hAnsi="Arial" w:eastAsia="Calibri" w:cs="Arial"/>
          <w:b/>
          <w:color w:val="000000" w:themeColor="text1"/>
          <w:sz w:val="22"/>
          <w:lang w:val="es-ES"/>
        </w:rPr>
        <w:t>Procedimiento general</w:t>
      </w:r>
    </w:p>
    <w:p w:rsidRPr="00C12EE0" w:rsidR="00290041" w:rsidP="004A303C" w:rsidRDefault="00290041" w14:paraId="173F4439" w14:textId="77777777">
      <w:pPr>
        <w:outlineLvl w:val="0"/>
        <w:rPr>
          <w:rFonts w:ascii="Arial" w:hAnsi="Arial" w:eastAsia="Calibri" w:cs="Arial"/>
          <w:b/>
          <w:color w:val="000000" w:themeColor="text1"/>
          <w:sz w:val="22"/>
          <w:lang w:val="es-ES"/>
        </w:rPr>
      </w:pPr>
    </w:p>
    <w:p w:rsidRPr="00690181" w:rsidR="00290041" w:rsidP="00690181" w:rsidRDefault="00AE115B" w14:paraId="7128FD58" w14:textId="6EB618B0">
      <w:pPr>
        <w:jc w:val="both"/>
        <w:outlineLvl w:val="0"/>
        <w:rPr>
          <w:rFonts w:ascii="Arial" w:hAnsi="Arial" w:cs="Arial"/>
          <w:color w:val="000000" w:themeColor="text1"/>
          <w:sz w:val="20"/>
          <w:szCs w:val="20"/>
          <w:lang w:val="es-ES"/>
        </w:rPr>
      </w:pPr>
      <w:r w:rsidRPr="00AE115B">
        <w:rPr>
          <w:rFonts w:ascii="Arial" w:hAnsi="Arial" w:cs="Arial"/>
          <w:color w:val="000000" w:themeColor="text1"/>
          <w:sz w:val="20"/>
          <w:szCs w:val="20"/>
          <w:lang w:val="es-ES"/>
        </w:rPr>
        <w:t>La Ley 1150 de 2007 reguló</w:t>
      </w:r>
      <w:r w:rsidR="00043E01">
        <w:rPr>
          <w:rFonts w:ascii="Arial" w:hAnsi="Arial" w:cs="Arial"/>
          <w:color w:val="000000" w:themeColor="text1"/>
          <w:sz w:val="20"/>
          <w:szCs w:val="20"/>
          <w:lang w:val="es-ES"/>
        </w:rPr>
        <w:t>,</w:t>
      </w:r>
      <w:r w:rsidRPr="00AE115B">
        <w:rPr>
          <w:rFonts w:ascii="Arial" w:hAnsi="Arial" w:cs="Arial"/>
          <w:color w:val="000000" w:themeColor="text1"/>
          <w:sz w:val="20"/>
          <w:szCs w:val="20"/>
          <w:lang w:val="es-ES"/>
        </w:rPr>
        <w:t xml:space="preserve"> </w:t>
      </w:r>
      <w:r w:rsidR="00043E01">
        <w:rPr>
          <w:rFonts w:ascii="Arial" w:hAnsi="Arial" w:cs="Arial"/>
          <w:color w:val="000000" w:themeColor="text1"/>
          <w:sz w:val="20"/>
          <w:szCs w:val="20"/>
          <w:lang w:val="es-ES"/>
        </w:rPr>
        <w:t xml:space="preserve">en </w:t>
      </w:r>
      <w:r w:rsidRPr="00AE115B">
        <w:rPr>
          <w:rFonts w:ascii="Arial" w:hAnsi="Arial" w:cs="Arial"/>
          <w:color w:val="000000" w:themeColor="text1"/>
          <w:sz w:val="20"/>
          <w:szCs w:val="20"/>
          <w:lang w:val="es-ES"/>
        </w:rPr>
        <w:t>el numeral quinto del artículo segundo</w:t>
      </w:r>
      <w:r w:rsidR="00043E01">
        <w:rPr>
          <w:rFonts w:ascii="Arial" w:hAnsi="Arial" w:cs="Arial"/>
          <w:color w:val="000000" w:themeColor="text1"/>
          <w:sz w:val="20"/>
          <w:szCs w:val="20"/>
          <w:lang w:val="es-ES"/>
        </w:rPr>
        <w:t>,</w:t>
      </w:r>
      <w:r w:rsidRPr="00AE115B">
        <w:rPr>
          <w:rFonts w:ascii="Arial" w:hAnsi="Arial" w:cs="Arial"/>
          <w:color w:val="000000" w:themeColor="text1"/>
          <w:sz w:val="20"/>
          <w:szCs w:val="20"/>
          <w:lang w:val="es-ES"/>
        </w:rPr>
        <w:t xml:space="preserve"> la modalidad de contratación de mínima cuantía, la cual tiene lugar cuando el valor del instrumento no supera el diez por ciento de la menor cuantía prevista para la entidad contratante. A su vez, la referida norma indicó el procedimiento especial que debe adelantarse en </w:t>
      </w:r>
      <w:r w:rsidR="00D74B4E">
        <w:rPr>
          <w:rFonts w:ascii="Arial" w:hAnsi="Arial" w:cs="Arial"/>
          <w:color w:val="000000" w:themeColor="text1"/>
          <w:sz w:val="20"/>
          <w:szCs w:val="20"/>
          <w:lang w:val="es-ES"/>
        </w:rPr>
        <w:t>esta modalidad de contratación</w:t>
      </w:r>
      <w:r w:rsidRPr="00AE115B">
        <w:rPr>
          <w:rFonts w:ascii="Arial" w:hAnsi="Arial" w:cs="Arial"/>
          <w:color w:val="000000" w:themeColor="text1"/>
          <w:sz w:val="20"/>
          <w:szCs w:val="20"/>
          <w:lang w:val="es-ES"/>
        </w:rPr>
        <w:t xml:space="preserve">, </w:t>
      </w:r>
      <w:r w:rsidR="00E8375A">
        <w:rPr>
          <w:rFonts w:ascii="Arial" w:hAnsi="Arial" w:cs="Arial"/>
          <w:color w:val="000000" w:themeColor="text1"/>
          <w:sz w:val="20"/>
          <w:szCs w:val="20"/>
          <w:lang w:val="es-ES"/>
        </w:rPr>
        <w:t>determinado</w:t>
      </w:r>
      <w:r w:rsidRPr="00AE115B">
        <w:rPr>
          <w:rFonts w:ascii="Arial" w:hAnsi="Arial" w:cs="Arial"/>
          <w:color w:val="000000" w:themeColor="text1"/>
          <w:sz w:val="20"/>
          <w:szCs w:val="20"/>
          <w:lang w:val="es-ES"/>
        </w:rPr>
        <w:t xml:space="preserve">, entre otros, que la selección del contratista debe basarse en la oferta de menor valor que cumpla con todos los requisitos y condiciones exigidas. En todo caso, las entidades estatales deben adelantar el procedimiento </w:t>
      </w:r>
      <w:r w:rsidRPr="001848B8">
        <w:rPr>
          <w:rFonts w:ascii="Arial" w:hAnsi="Arial" w:cs="Arial"/>
          <w:color w:val="000000" w:themeColor="text1"/>
          <w:sz w:val="20"/>
          <w:szCs w:val="20"/>
          <w:lang w:val="es-ES"/>
        </w:rPr>
        <w:t xml:space="preserve">con </w:t>
      </w:r>
      <w:r w:rsidRPr="001848B8" w:rsidR="00BD3931">
        <w:rPr>
          <w:rFonts w:ascii="Arial" w:hAnsi="Arial" w:cs="Arial"/>
          <w:color w:val="000000" w:themeColor="text1"/>
          <w:sz w:val="20"/>
          <w:szCs w:val="20"/>
          <w:lang w:val="es-ES"/>
        </w:rPr>
        <w:t>fundamento</w:t>
      </w:r>
      <w:r w:rsidRPr="001848B8">
        <w:rPr>
          <w:rFonts w:ascii="Arial" w:hAnsi="Arial" w:cs="Arial"/>
          <w:color w:val="000000" w:themeColor="text1"/>
          <w:sz w:val="20"/>
          <w:szCs w:val="20"/>
          <w:lang w:val="es-ES"/>
        </w:rPr>
        <w:t xml:space="preserve"> en los</w:t>
      </w:r>
      <w:r w:rsidRPr="00AE115B">
        <w:rPr>
          <w:rFonts w:ascii="Arial" w:hAnsi="Arial" w:cs="Arial"/>
          <w:color w:val="000000" w:themeColor="text1"/>
          <w:sz w:val="20"/>
          <w:szCs w:val="20"/>
          <w:lang w:val="es-ES"/>
        </w:rPr>
        <w:t xml:space="preserve"> estudios previos que describan el marco general del contrato</w:t>
      </w:r>
      <w:r w:rsidR="001848B8">
        <w:rPr>
          <w:rFonts w:ascii="Arial" w:hAnsi="Arial" w:cs="Arial"/>
          <w:color w:val="000000" w:themeColor="text1"/>
          <w:sz w:val="20"/>
          <w:szCs w:val="20"/>
          <w:lang w:val="es-ES"/>
        </w:rPr>
        <w:t>.</w:t>
      </w:r>
    </w:p>
    <w:p w:rsidRPr="00C12EE0" w:rsidR="00290041" w:rsidP="004A303C" w:rsidRDefault="00290041" w14:paraId="28A1288F" w14:textId="77777777">
      <w:pPr>
        <w:outlineLvl w:val="0"/>
        <w:rPr>
          <w:rFonts w:ascii="Arial" w:hAnsi="Arial" w:cs="Arial"/>
          <w:color w:val="000000" w:themeColor="text1"/>
          <w:sz w:val="22"/>
          <w:lang w:val="es-ES"/>
        </w:rPr>
      </w:pPr>
    </w:p>
    <w:p w:rsidRPr="00C12EE0" w:rsidR="00290041" w:rsidP="004A303C" w:rsidRDefault="00AD276D" w14:paraId="5666104D" w14:textId="5DBD62F9">
      <w:pPr>
        <w:outlineLvl w:val="0"/>
        <w:rPr>
          <w:rFonts w:ascii="Arial" w:hAnsi="Arial" w:eastAsia="Calibri" w:cs="Arial"/>
          <w:b/>
          <w:color w:val="000000" w:themeColor="text1"/>
          <w:sz w:val="22"/>
          <w:lang w:val="es-ES"/>
        </w:rPr>
      </w:pPr>
      <w:r>
        <w:rPr>
          <w:rFonts w:ascii="Arial" w:hAnsi="Arial" w:eastAsia="Calibri" w:cs="Arial"/>
          <w:b/>
          <w:color w:val="000000" w:themeColor="text1"/>
          <w:sz w:val="22"/>
          <w:lang w:val="es-ES"/>
        </w:rPr>
        <w:t>CONTRATACIÓN</w:t>
      </w:r>
      <w:r w:rsidR="00D76B77">
        <w:rPr>
          <w:rFonts w:ascii="Arial" w:hAnsi="Arial" w:eastAsia="Calibri" w:cs="Arial"/>
          <w:b/>
          <w:color w:val="000000" w:themeColor="text1"/>
          <w:sz w:val="22"/>
          <w:lang w:val="es-ES"/>
        </w:rPr>
        <w:t xml:space="preserve"> DE MÍNIMA CUANTÍA</w:t>
      </w:r>
      <w:r w:rsidRPr="00C12EE0" w:rsidR="000E780F">
        <w:rPr>
          <w:rFonts w:ascii="Arial" w:hAnsi="Arial" w:eastAsia="Calibri" w:cs="Arial"/>
          <w:b/>
          <w:color w:val="000000" w:themeColor="text1"/>
          <w:sz w:val="22"/>
          <w:lang w:val="es-ES"/>
        </w:rPr>
        <w:t xml:space="preserve"> –</w:t>
      </w:r>
      <w:r w:rsidRPr="00C12EE0" w:rsidR="00290041">
        <w:rPr>
          <w:rFonts w:ascii="Arial" w:hAnsi="Arial" w:eastAsia="Calibri" w:cs="Arial"/>
          <w:b/>
          <w:color w:val="000000" w:themeColor="text1"/>
          <w:sz w:val="22"/>
          <w:lang w:val="es-ES"/>
        </w:rPr>
        <w:t xml:space="preserve"> </w:t>
      </w:r>
      <w:r w:rsidR="00D76B77">
        <w:rPr>
          <w:rFonts w:ascii="Arial" w:hAnsi="Arial" w:eastAsia="Calibri" w:cs="Arial"/>
          <w:b/>
          <w:color w:val="000000" w:themeColor="text1"/>
          <w:sz w:val="22"/>
          <w:lang w:val="es-ES"/>
        </w:rPr>
        <w:t>Apertura de sobres</w:t>
      </w:r>
    </w:p>
    <w:p w:rsidRPr="00C12EE0" w:rsidR="00290041" w:rsidP="004A303C" w:rsidRDefault="00290041" w14:paraId="35B351BB" w14:textId="77777777">
      <w:pPr>
        <w:outlineLvl w:val="0"/>
        <w:rPr>
          <w:rFonts w:ascii="Arial" w:hAnsi="Arial" w:eastAsia="Calibri" w:cs="Arial"/>
          <w:b/>
          <w:color w:val="000000" w:themeColor="text1"/>
          <w:sz w:val="22"/>
          <w:lang w:val="es-ES"/>
        </w:rPr>
      </w:pPr>
    </w:p>
    <w:p w:rsidRPr="00690181" w:rsidR="00290041" w:rsidP="00690181" w:rsidRDefault="00D74B4E" w14:paraId="3B534368" w14:textId="17F82E91">
      <w:pPr>
        <w:jc w:val="both"/>
        <w:outlineLvl w:val="0"/>
        <w:rPr>
          <w:rFonts w:ascii="Arial" w:hAnsi="Arial" w:cs="Arial"/>
          <w:color w:val="000000" w:themeColor="text1"/>
          <w:sz w:val="20"/>
          <w:szCs w:val="20"/>
          <w:lang w:val="es-ES"/>
        </w:rPr>
      </w:pPr>
      <w:r w:rsidRPr="00D74B4E">
        <w:rPr>
          <w:rFonts w:ascii="Arial" w:hAnsi="Arial" w:cs="Arial"/>
          <w:color w:val="000000" w:themeColor="text1"/>
          <w:sz w:val="20"/>
          <w:szCs w:val="20"/>
        </w:rPr>
        <w:t>El literal c</w:t>
      </w:r>
      <w:r w:rsidR="00080163">
        <w:rPr>
          <w:rFonts w:ascii="Arial" w:hAnsi="Arial" w:cs="Arial"/>
          <w:color w:val="000000" w:themeColor="text1"/>
          <w:sz w:val="20"/>
          <w:szCs w:val="20"/>
        </w:rPr>
        <w:t>)</w:t>
      </w:r>
      <w:r w:rsidRPr="00D74B4E">
        <w:rPr>
          <w:rFonts w:ascii="Arial" w:hAnsi="Arial" w:cs="Arial"/>
          <w:color w:val="000000" w:themeColor="text1"/>
          <w:sz w:val="20"/>
          <w:szCs w:val="20"/>
        </w:rPr>
        <w:t xml:space="preserve"> del numeral quinto del artículo segundo de la Ley 1150 de 2007 indica que la entidad estatal convocante deberá seleccionar la propuesta de menor precio que cumpla con las condiciones exigidas. De esta regulación no se desprenden requisitos adicionales para</w:t>
      </w:r>
      <w:r w:rsidR="003112D3">
        <w:rPr>
          <w:rFonts w:ascii="Arial" w:hAnsi="Arial" w:cs="Arial"/>
          <w:color w:val="000000" w:themeColor="text1"/>
          <w:sz w:val="20"/>
          <w:szCs w:val="20"/>
        </w:rPr>
        <w:t xml:space="preserve"> adelantar</w:t>
      </w:r>
      <w:r w:rsidRPr="00D74B4E">
        <w:rPr>
          <w:rFonts w:ascii="Arial" w:hAnsi="Arial" w:cs="Arial"/>
          <w:color w:val="000000" w:themeColor="text1"/>
          <w:sz w:val="20"/>
          <w:szCs w:val="20"/>
        </w:rPr>
        <w:t xml:space="preserve"> la apertura de sobres o la evaluación de ofertas, es decir, no existe una norma expresa que genere la obligación de adelantar este procedimiento a través de audiencia pública. Sin embargo, debe</w:t>
      </w:r>
      <w:r w:rsidR="00A93A09">
        <w:rPr>
          <w:rFonts w:ascii="Arial" w:hAnsi="Arial" w:cs="Arial"/>
          <w:color w:val="000000" w:themeColor="text1"/>
          <w:sz w:val="20"/>
          <w:szCs w:val="20"/>
        </w:rPr>
        <w:t>n</w:t>
      </w:r>
      <w:r w:rsidRPr="00D74B4E">
        <w:rPr>
          <w:rFonts w:ascii="Arial" w:hAnsi="Arial" w:cs="Arial"/>
          <w:color w:val="000000" w:themeColor="text1"/>
          <w:sz w:val="20"/>
          <w:szCs w:val="20"/>
        </w:rPr>
        <w:t xml:space="preserve"> </w:t>
      </w:r>
      <w:r w:rsidR="00A93A09">
        <w:rPr>
          <w:rFonts w:ascii="Arial" w:hAnsi="Arial" w:cs="Arial"/>
          <w:color w:val="000000" w:themeColor="text1"/>
          <w:sz w:val="20"/>
          <w:szCs w:val="20"/>
        </w:rPr>
        <w:t>observarse</w:t>
      </w:r>
      <w:r w:rsidRPr="00D74B4E">
        <w:rPr>
          <w:rFonts w:ascii="Arial" w:hAnsi="Arial" w:cs="Arial"/>
          <w:color w:val="000000" w:themeColor="text1"/>
          <w:sz w:val="20"/>
          <w:szCs w:val="20"/>
        </w:rPr>
        <w:t xml:space="preserve"> l</w:t>
      </w:r>
      <w:r>
        <w:rPr>
          <w:rFonts w:ascii="Arial" w:hAnsi="Arial" w:cs="Arial"/>
          <w:color w:val="000000" w:themeColor="text1"/>
          <w:sz w:val="20"/>
          <w:szCs w:val="20"/>
        </w:rPr>
        <w:t xml:space="preserve">os diferentes mecanismos legales implementados para garantizar la publicidad y transparencia en el marco de la contratación pública, entre ellos, la obligatoriedad del SECOP I </w:t>
      </w:r>
      <w:r w:rsidR="0063526C">
        <w:rPr>
          <w:rFonts w:ascii="Arial" w:hAnsi="Arial" w:cs="Arial"/>
          <w:color w:val="000000" w:themeColor="text1"/>
          <w:sz w:val="20"/>
          <w:szCs w:val="20"/>
        </w:rPr>
        <w:t xml:space="preserve">o </w:t>
      </w:r>
      <w:r>
        <w:rPr>
          <w:rFonts w:ascii="Arial" w:hAnsi="Arial" w:cs="Arial"/>
          <w:color w:val="000000" w:themeColor="text1"/>
          <w:sz w:val="20"/>
          <w:szCs w:val="20"/>
        </w:rPr>
        <w:t xml:space="preserve">II y las implicaciones que conlleva el uso de una u otra plataforma. </w:t>
      </w:r>
    </w:p>
    <w:p w:rsidRPr="00C12EE0" w:rsidR="00290041" w:rsidP="00290041" w:rsidRDefault="00290041" w14:paraId="67770C8F" w14:textId="77777777">
      <w:pPr>
        <w:jc w:val="both"/>
        <w:outlineLvl w:val="0"/>
        <w:rPr>
          <w:rFonts w:ascii="Arial" w:hAnsi="Arial" w:cs="Arial"/>
          <w:color w:val="000000" w:themeColor="text1"/>
          <w:sz w:val="22"/>
          <w:lang w:val="es-ES"/>
        </w:rPr>
      </w:pPr>
    </w:p>
    <w:p w:rsidRPr="00C12EE0" w:rsidR="00290041" w:rsidP="00290041" w:rsidRDefault="00D76B77" w14:paraId="47C3609D" w14:textId="55219CBA">
      <w:pPr>
        <w:jc w:val="both"/>
        <w:outlineLvl w:val="0"/>
        <w:rPr>
          <w:rFonts w:ascii="Arial" w:hAnsi="Arial" w:cs="Arial"/>
          <w:b/>
          <w:color w:val="000000" w:themeColor="text1"/>
          <w:sz w:val="22"/>
          <w:lang w:val="es-ES"/>
        </w:rPr>
      </w:pPr>
      <w:r>
        <w:rPr>
          <w:rFonts w:ascii="Arial" w:hAnsi="Arial" w:eastAsia="Calibri" w:cs="Arial"/>
          <w:b/>
          <w:color w:val="000000" w:themeColor="text1"/>
          <w:sz w:val="22"/>
          <w:lang w:val="es-ES"/>
        </w:rPr>
        <w:t>PRINCIPIO DE PUBLICIDAD</w:t>
      </w:r>
      <w:r w:rsidRPr="00C12EE0" w:rsidR="000E780F">
        <w:rPr>
          <w:rFonts w:ascii="Arial" w:hAnsi="Arial" w:eastAsia="Calibri" w:cs="Arial"/>
          <w:b/>
          <w:color w:val="000000" w:themeColor="text1"/>
          <w:sz w:val="22"/>
          <w:lang w:val="es-ES"/>
        </w:rPr>
        <w:t xml:space="preserve"> –</w:t>
      </w:r>
      <w:r w:rsidRPr="00C12EE0" w:rsidR="00290041">
        <w:rPr>
          <w:rFonts w:ascii="Arial" w:hAnsi="Arial" w:eastAsia="Calibri" w:cs="Arial"/>
          <w:b/>
          <w:color w:val="000000" w:themeColor="text1"/>
          <w:sz w:val="22"/>
          <w:lang w:val="es-ES"/>
        </w:rPr>
        <w:t xml:space="preserve"> </w:t>
      </w:r>
      <w:r>
        <w:rPr>
          <w:rFonts w:ascii="Arial" w:hAnsi="Arial" w:eastAsia="Calibri" w:cs="Arial"/>
          <w:b/>
          <w:color w:val="000000" w:themeColor="text1"/>
          <w:sz w:val="22"/>
          <w:lang w:val="es-ES"/>
        </w:rPr>
        <w:t>Pluralidad de mecanismos</w:t>
      </w:r>
    </w:p>
    <w:p w:rsidRPr="00C12EE0" w:rsidR="00290041" w:rsidP="00290041" w:rsidRDefault="00290041" w14:paraId="1278D3BC" w14:textId="77777777">
      <w:pPr>
        <w:jc w:val="both"/>
        <w:outlineLvl w:val="0"/>
        <w:rPr>
          <w:rFonts w:ascii="Arial" w:hAnsi="Arial" w:cs="Arial"/>
          <w:color w:val="000000" w:themeColor="text1"/>
          <w:sz w:val="22"/>
          <w:lang w:val="es-ES"/>
        </w:rPr>
      </w:pPr>
    </w:p>
    <w:p w:rsidRPr="00690181" w:rsidR="00290041" w:rsidP="00690181" w:rsidRDefault="00890EEC" w14:paraId="1D9EE5BB" w14:textId="02744E18">
      <w:pPr>
        <w:tabs>
          <w:tab w:val="left" w:pos="426"/>
        </w:tabs>
        <w:jc w:val="both"/>
        <w:rPr>
          <w:rFonts w:ascii="Arial" w:hAnsi="Arial" w:eastAsia="Calibri" w:cs="Arial"/>
          <w:color w:val="000000" w:themeColor="text1"/>
          <w:sz w:val="20"/>
          <w:szCs w:val="20"/>
          <w:lang w:val="es-ES"/>
        </w:rPr>
      </w:pPr>
      <w:r w:rsidRPr="00890EEC">
        <w:rPr>
          <w:rFonts w:ascii="Arial" w:hAnsi="Arial" w:eastAsia="Calibri" w:cs="Arial"/>
          <w:color w:val="000000" w:themeColor="text1"/>
          <w:sz w:val="20"/>
          <w:szCs w:val="20"/>
          <w:lang w:val="es-ES"/>
        </w:rPr>
        <w:t>Los principios de publicidad y transparencia deben orientar la contratación pública</w:t>
      </w:r>
      <w:r w:rsidR="0063526C">
        <w:rPr>
          <w:rFonts w:ascii="Arial" w:hAnsi="Arial" w:eastAsia="Calibri" w:cs="Arial"/>
          <w:color w:val="000000" w:themeColor="text1"/>
          <w:sz w:val="20"/>
          <w:szCs w:val="20"/>
          <w:lang w:val="es-ES"/>
        </w:rPr>
        <w:t>,</w:t>
      </w:r>
      <w:r w:rsidRPr="00890EEC">
        <w:rPr>
          <w:rFonts w:ascii="Arial" w:hAnsi="Arial" w:eastAsia="Calibri" w:cs="Arial"/>
          <w:color w:val="000000" w:themeColor="text1"/>
          <w:sz w:val="20"/>
          <w:szCs w:val="20"/>
          <w:lang w:val="es-ES"/>
        </w:rPr>
        <w:t xml:space="preserve"> garantizando que las diferentes actuaciones desplegadas en el proceso de selección y en el desarrollo contractual puedan ser conocidas por el público en general. Así mismo, el principio de publicidad admite </w:t>
      </w:r>
      <w:r>
        <w:rPr>
          <w:rFonts w:ascii="Arial" w:hAnsi="Arial" w:eastAsia="Calibri" w:cs="Arial"/>
          <w:color w:val="000000" w:themeColor="text1"/>
          <w:sz w:val="20"/>
          <w:szCs w:val="20"/>
          <w:lang w:val="es-ES"/>
        </w:rPr>
        <w:t>diversos mecanismos para su</w:t>
      </w:r>
      <w:r w:rsidRPr="00890EEC">
        <w:rPr>
          <w:rFonts w:ascii="Arial" w:hAnsi="Arial" w:eastAsia="Calibri" w:cs="Arial"/>
          <w:color w:val="000000" w:themeColor="text1"/>
          <w:sz w:val="20"/>
          <w:szCs w:val="20"/>
          <w:lang w:val="es-ES"/>
        </w:rPr>
        <w:t xml:space="preserve"> realización y concreción, todo en el marco de una actuación</w:t>
      </w:r>
      <w:r>
        <w:rPr>
          <w:rFonts w:ascii="Arial" w:hAnsi="Arial" w:eastAsia="Calibri" w:cs="Arial"/>
          <w:color w:val="000000" w:themeColor="text1"/>
          <w:sz w:val="20"/>
          <w:szCs w:val="20"/>
          <w:lang w:val="es-ES"/>
        </w:rPr>
        <w:t xml:space="preserve"> contractual</w:t>
      </w:r>
      <w:r w:rsidRPr="00890EEC">
        <w:rPr>
          <w:rFonts w:ascii="Arial" w:hAnsi="Arial" w:eastAsia="Calibri" w:cs="Arial"/>
          <w:color w:val="000000" w:themeColor="text1"/>
          <w:sz w:val="20"/>
          <w:szCs w:val="20"/>
          <w:lang w:val="es-ES"/>
        </w:rPr>
        <w:t xml:space="preserve"> acorde con los fines de la función administrativa</w:t>
      </w:r>
      <w:r>
        <w:rPr>
          <w:rFonts w:ascii="Arial" w:hAnsi="Arial" w:eastAsia="Calibri" w:cs="Arial"/>
          <w:color w:val="000000" w:themeColor="text1"/>
          <w:sz w:val="20"/>
          <w:szCs w:val="20"/>
          <w:lang w:val="es-ES"/>
        </w:rPr>
        <w:t xml:space="preserve"> y el interés general</w:t>
      </w:r>
      <w:r w:rsidRPr="00890EEC">
        <w:rPr>
          <w:rFonts w:ascii="Arial" w:hAnsi="Arial" w:eastAsia="Calibri" w:cs="Arial"/>
          <w:color w:val="000000" w:themeColor="text1"/>
          <w:sz w:val="20"/>
          <w:szCs w:val="20"/>
          <w:lang w:val="es-ES"/>
        </w:rPr>
        <w:t>.</w:t>
      </w:r>
    </w:p>
    <w:p w:rsidRPr="00C12EE0" w:rsidR="00290041" w:rsidP="00290041" w:rsidRDefault="00290041" w14:paraId="73DFED8E" w14:textId="77777777">
      <w:pPr>
        <w:tabs>
          <w:tab w:val="left" w:pos="426"/>
        </w:tabs>
        <w:spacing w:line="276" w:lineRule="auto"/>
        <w:jc w:val="both"/>
        <w:rPr>
          <w:rFonts w:ascii="Arial" w:hAnsi="Arial" w:eastAsia="Calibri" w:cs="Arial"/>
          <w:color w:val="000000" w:themeColor="text1"/>
          <w:sz w:val="22"/>
          <w:lang w:val="es-ES"/>
        </w:rPr>
      </w:pPr>
    </w:p>
    <w:p w:rsidRPr="00C12EE0" w:rsidR="00290041" w:rsidP="1E7AE801" w:rsidRDefault="00D76B77" w14:paraId="38CABEE0" w14:textId="2F1D17DC">
      <w:pPr>
        <w:pStyle w:val="Normal"/>
        <w:tabs>
          <w:tab w:val="left" w:pos="426"/>
        </w:tabs>
        <w:spacing w:line="276" w:lineRule="auto"/>
        <w:jc w:val="both"/>
        <w:rPr>
          <w:rFonts w:ascii="Arial" w:hAnsi="Arial" w:eastAsia="Calibri" w:cs="Arial"/>
          <w:b w:val="1"/>
          <w:bCs w:val="1"/>
          <w:color w:val="000000" w:themeColor="text1"/>
          <w:sz w:val="22"/>
          <w:szCs w:val="22"/>
          <w:lang w:val="es-ES"/>
        </w:rPr>
      </w:pPr>
      <w:r w:rsidRPr="1E7AE801" w:rsidR="00D76B77">
        <w:rPr>
          <w:rFonts w:ascii="Arial" w:hAnsi="Arial" w:eastAsia="Calibri" w:cs="Arial"/>
          <w:b w:val="1"/>
          <w:bCs w:val="1"/>
          <w:color w:val="000000" w:themeColor="text1" w:themeTint="FF" w:themeShade="FF"/>
          <w:sz w:val="22"/>
          <w:szCs w:val="22"/>
          <w:lang w:val="es-ES"/>
        </w:rPr>
        <w:t>CONTRATACIÓN DE MÍNIMA CUANTÍA</w:t>
      </w:r>
      <w:r w:rsidRPr="1E7AE801" w:rsidR="00290041">
        <w:rPr>
          <w:rFonts w:ascii="Arial" w:hAnsi="Arial" w:eastAsia="Calibri" w:cs="Arial"/>
          <w:b w:val="1"/>
          <w:bCs w:val="1"/>
          <w:color w:val="000000" w:themeColor="text1" w:themeTint="FF" w:themeShade="FF"/>
          <w:sz w:val="22"/>
          <w:szCs w:val="22"/>
          <w:lang w:val="es-ES"/>
        </w:rPr>
        <w:t xml:space="preserve"> –</w:t>
      </w:r>
      <w:r w:rsidRPr="1E7AE801" w:rsidR="000E780F">
        <w:rPr>
          <w:rFonts w:ascii="Arial" w:hAnsi="Arial" w:eastAsia="Calibri" w:cs="Arial"/>
          <w:b w:val="1"/>
          <w:bCs w:val="1"/>
          <w:color w:val="000000" w:themeColor="text1" w:themeTint="FF" w:themeShade="FF"/>
          <w:sz w:val="22"/>
          <w:szCs w:val="22"/>
          <w:lang w:val="es-ES"/>
        </w:rPr>
        <w:t xml:space="preserve"> </w:t>
      </w:r>
      <w:r w:rsidRPr="1E7AE801" w:rsidR="00D76B77">
        <w:rPr>
          <w:rFonts w:ascii="Arial" w:hAnsi="Arial" w:eastAsia="Calibri" w:cs="Arial"/>
          <w:b w:val="1"/>
          <w:bCs w:val="1"/>
          <w:color w:val="000000" w:themeColor="text1" w:themeTint="FF" w:themeShade="FF"/>
          <w:sz w:val="22"/>
          <w:szCs w:val="22"/>
          <w:lang w:val="es-ES"/>
        </w:rPr>
        <w:t xml:space="preserve">Principio de publicidad – SECOP I </w:t>
      </w:r>
      <w:r w:rsidRPr="1E7AE801" w:rsidR="1EF9ECC5">
        <w:rPr>
          <w:rFonts w:ascii="Arial" w:hAnsi="Arial" w:eastAsia="Calibri" w:cs="Arial"/>
          <w:b w:val="1"/>
          <w:bCs w:val="1"/>
          <w:color w:val="000000" w:themeColor="text1" w:themeTint="FF" w:themeShade="FF"/>
          <w:sz w:val="22"/>
          <w:szCs w:val="22"/>
          <w:lang w:val="es-ES"/>
        </w:rPr>
        <w:t xml:space="preserve"> –  SECOP II </w:t>
      </w:r>
    </w:p>
    <w:p w:rsidRPr="00C12EE0" w:rsidR="00290041" w:rsidP="00290041" w:rsidRDefault="00290041" w14:paraId="0FD92EDB" w14:textId="77777777">
      <w:pPr>
        <w:tabs>
          <w:tab w:val="left" w:pos="426"/>
        </w:tabs>
        <w:spacing w:line="276" w:lineRule="auto"/>
        <w:jc w:val="both"/>
        <w:rPr>
          <w:rFonts w:ascii="Arial" w:hAnsi="Arial" w:eastAsia="Calibri" w:cs="Arial"/>
          <w:b/>
          <w:color w:val="000000" w:themeColor="text1"/>
          <w:sz w:val="22"/>
          <w:lang w:val="es-ES"/>
        </w:rPr>
      </w:pPr>
    </w:p>
    <w:p w:rsidR="009F419B" w:rsidP="00D76B77" w:rsidRDefault="00984EEC" w14:paraId="1C954DDB" w14:textId="3F545936">
      <w:pPr>
        <w:tabs>
          <w:tab w:val="left" w:pos="426"/>
        </w:tabs>
        <w:jc w:val="both"/>
        <w:rPr>
          <w:rFonts w:ascii="Arial" w:hAnsi="Arial" w:eastAsia="Calibri" w:cs="Arial"/>
          <w:color w:val="000000" w:themeColor="text1"/>
          <w:sz w:val="20"/>
          <w:szCs w:val="20"/>
          <w:lang w:val="es-ES"/>
        </w:rPr>
      </w:pPr>
      <w:r w:rsidRPr="00984EEC">
        <w:rPr>
          <w:rFonts w:ascii="Arial" w:hAnsi="Arial" w:eastAsia="Calibri" w:cs="Arial"/>
          <w:color w:val="000000" w:themeColor="text1"/>
          <w:sz w:val="20"/>
          <w:szCs w:val="20"/>
          <w:lang w:val="es-ES"/>
        </w:rPr>
        <w:t xml:space="preserve">Aunque </w:t>
      </w:r>
      <w:r>
        <w:rPr>
          <w:rFonts w:ascii="Arial" w:hAnsi="Arial" w:eastAsia="Calibri" w:cs="Arial"/>
          <w:color w:val="000000" w:themeColor="text1"/>
          <w:sz w:val="20"/>
          <w:szCs w:val="20"/>
          <w:lang w:val="es-ES"/>
        </w:rPr>
        <w:t>no existe norma</w:t>
      </w:r>
      <w:r w:rsidRPr="00984EEC">
        <w:rPr>
          <w:rFonts w:ascii="Arial" w:hAnsi="Arial" w:eastAsia="Calibri" w:cs="Arial"/>
          <w:color w:val="000000" w:themeColor="text1"/>
          <w:sz w:val="20"/>
          <w:szCs w:val="20"/>
          <w:lang w:val="es-ES"/>
        </w:rPr>
        <w:t xml:space="preserve"> expresa que</w:t>
      </w:r>
      <w:r>
        <w:rPr>
          <w:rFonts w:ascii="Arial" w:hAnsi="Arial" w:eastAsia="Calibri" w:cs="Arial"/>
          <w:color w:val="000000" w:themeColor="text1"/>
          <w:sz w:val="20"/>
          <w:szCs w:val="20"/>
          <w:lang w:val="es-ES"/>
        </w:rPr>
        <w:t xml:space="preserve"> indique la necesidad de</w:t>
      </w:r>
      <w:r w:rsidRPr="00984EEC">
        <w:rPr>
          <w:rFonts w:ascii="Arial" w:hAnsi="Arial" w:eastAsia="Calibri" w:cs="Arial"/>
          <w:color w:val="000000" w:themeColor="text1"/>
          <w:sz w:val="20"/>
          <w:szCs w:val="20"/>
          <w:lang w:val="es-ES"/>
        </w:rPr>
        <w:t xml:space="preserve"> adelantar una audiencia pública para la apertura de sobres dentro del proceso de selección de mínima cuantía, debe </w:t>
      </w:r>
      <w:r w:rsidR="00401AC4">
        <w:rPr>
          <w:rFonts w:ascii="Arial" w:hAnsi="Arial" w:eastAsia="Calibri" w:cs="Arial"/>
          <w:color w:val="000000" w:themeColor="text1"/>
          <w:sz w:val="20"/>
          <w:szCs w:val="20"/>
          <w:lang w:val="es-ES"/>
        </w:rPr>
        <w:t>cumplirse</w:t>
      </w:r>
      <w:r w:rsidRPr="00984EEC">
        <w:rPr>
          <w:rFonts w:ascii="Arial" w:hAnsi="Arial" w:eastAsia="Calibri" w:cs="Arial"/>
          <w:color w:val="000000" w:themeColor="text1"/>
          <w:sz w:val="20"/>
          <w:szCs w:val="20"/>
          <w:lang w:val="es-ES"/>
        </w:rPr>
        <w:t xml:space="preserve"> la Circular Externa Única proferida por la Agencia Nacional de Contratación Pública – Colombia Compra Eficiente</w:t>
      </w:r>
      <w:r w:rsidR="00401AC4">
        <w:rPr>
          <w:rFonts w:ascii="Arial" w:hAnsi="Arial" w:eastAsia="Calibri" w:cs="Arial"/>
          <w:color w:val="000000" w:themeColor="text1"/>
          <w:sz w:val="20"/>
          <w:szCs w:val="20"/>
          <w:lang w:val="es-ES"/>
        </w:rPr>
        <w:t>. Esta</w:t>
      </w:r>
      <w:r w:rsidRPr="00984EEC">
        <w:rPr>
          <w:rFonts w:ascii="Arial" w:hAnsi="Arial" w:eastAsia="Calibri" w:cs="Arial"/>
          <w:color w:val="000000" w:themeColor="text1"/>
          <w:sz w:val="20"/>
          <w:szCs w:val="20"/>
          <w:lang w:val="es-ES"/>
        </w:rPr>
        <w:t xml:space="preserve"> indica que aquellos procesos que se adelanten mediante publicación en SECOP I requieren que la apertura de ofertas se realice en presencia de proponentes o veedores y la elaboración de un acta de cierre, mientras que los procesos adelantados </w:t>
      </w:r>
      <w:r w:rsidR="006C0B0D">
        <w:rPr>
          <w:rFonts w:ascii="Arial" w:hAnsi="Arial" w:eastAsia="Calibri" w:cs="Arial"/>
          <w:color w:val="000000" w:themeColor="text1"/>
          <w:sz w:val="20"/>
          <w:szCs w:val="20"/>
          <w:lang w:val="es-ES"/>
        </w:rPr>
        <w:t>en</w:t>
      </w:r>
      <w:r w:rsidR="0082181F">
        <w:rPr>
          <w:rFonts w:ascii="Arial" w:hAnsi="Arial" w:eastAsia="Calibri" w:cs="Arial"/>
          <w:color w:val="000000" w:themeColor="text1"/>
          <w:sz w:val="20"/>
          <w:szCs w:val="20"/>
          <w:lang w:val="es-ES"/>
        </w:rPr>
        <w:t xml:space="preserve"> el</w:t>
      </w:r>
      <w:r w:rsidRPr="00984EEC">
        <w:rPr>
          <w:rFonts w:ascii="Arial" w:hAnsi="Arial" w:eastAsia="Calibri" w:cs="Arial"/>
          <w:color w:val="000000" w:themeColor="text1"/>
          <w:sz w:val="20"/>
          <w:szCs w:val="20"/>
          <w:lang w:val="es-ES"/>
        </w:rPr>
        <w:t xml:space="preserve"> SECOP II no requieren de dicha asistencia, pues la publicación de la lista de oferentes hace las veces de acta de cierre. Así mismo debe tenerse en cuenta que en la actualidad, </w:t>
      </w:r>
      <w:r w:rsidR="004606D3">
        <w:rPr>
          <w:rFonts w:ascii="Arial" w:hAnsi="Arial" w:eastAsia="Calibri" w:cs="Arial"/>
          <w:color w:val="000000" w:themeColor="text1"/>
          <w:sz w:val="20"/>
          <w:szCs w:val="20"/>
          <w:lang w:val="es-ES"/>
        </w:rPr>
        <w:t>por regla general</w:t>
      </w:r>
      <w:r w:rsidR="00FD1F14">
        <w:rPr>
          <w:rFonts w:ascii="Arial" w:hAnsi="Arial" w:eastAsia="Calibri" w:cs="Arial"/>
          <w:color w:val="000000" w:themeColor="text1"/>
          <w:sz w:val="20"/>
          <w:szCs w:val="20"/>
          <w:lang w:val="es-ES"/>
        </w:rPr>
        <w:t>,</w:t>
      </w:r>
      <w:r w:rsidR="004606D3">
        <w:rPr>
          <w:rFonts w:ascii="Arial" w:hAnsi="Arial" w:eastAsia="Calibri" w:cs="Arial"/>
          <w:color w:val="000000" w:themeColor="text1"/>
          <w:sz w:val="20"/>
          <w:szCs w:val="20"/>
          <w:lang w:val="es-ES"/>
        </w:rPr>
        <w:t xml:space="preserve"> los procesos contractuales</w:t>
      </w:r>
      <w:r w:rsidRPr="00984EEC">
        <w:rPr>
          <w:rFonts w:ascii="Arial" w:hAnsi="Arial" w:eastAsia="Calibri" w:cs="Arial"/>
          <w:color w:val="000000" w:themeColor="text1"/>
          <w:sz w:val="20"/>
          <w:szCs w:val="20"/>
          <w:lang w:val="es-ES"/>
        </w:rPr>
        <w:t xml:space="preserve"> deben adelantarse </w:t>
      </w:r>
      <w:r w:rsidR="0082181F">
        <w:rPr>
          <w:rFonts w:ascii="Arial" w:hAnsi="Arial" w:eastAsia="Calibri" w:cs="Arial"/>
          <w:color w:val="000000" w:themeColor="text1"/>
          <w:sz w:val="20"/>
          <w:szCs w:val="20"/>
          <w:lang w:val="es-ES"/>
        </w:rPr>
        <w:t>en el</w:t>
      </w:r>
      <w:r w:rsidRPr="00984EEC">
        <w:rPr>
          <w:rFonts w:ascii="Arial" w:hAnsi="Arial" w:eastAsia="Calibri" w:cs="Arial"/>
          <w:color w:val="000000" w:themeColor="text1"/>
          <w:sz w:val="20"/>
          <w:szCs w:val="20"/>
          <w:lang w:val="es-ES"/>
        </w:rPr>
        <w:t xml:space="preserve"> SECOP II y, al tramitarse por esta plataforma, se podrá prescindir de la audiencia pública de selección</w:t>
      </w:r>
      <w:r w:rsidRPr="00690181" w:rsidR="00290041">
        <w:rPr>
          <w:rFonts w:ascii="Arial" w:hAnsi="Arial" w:eastAsia="Calibri" w:cs="Arial"/>
          <w:color w:val="000000" w:themeColor="text1"/>
          <w:sz w:val="20"/>
          <w:szCs w:val="20"/>
          <w:lang w:val="es-ES"/>
        </w:rPr>
        <w:t xml:space="preserve">. </w:t>
      </w:r>
    </w:p>
    <w:p w:rsidR="00D76B77" w:rsidRDefault="00D76B77" w14:paraId="012B5481" w14:textId="6B43B72B">
      <w:pPr>
        <w:spacing w:after="160" w:line="259" w:lineRule="auto"/>
        <w:rPr>
          <w:rFonts w:ascii="Arial" w:hAnsi="Arial" w:eastAsia="Calibri" w:cs="Arial"/>
          <w:color w:val="000000" w:themeColor="text1"/>
          <w:sz w:val="20"/>
          <w:szCs w:val="20"/>
          <w:lang w:val="es-ES"/>
        </w:rPr>
      </w:pPr>
      <w:r>
        <w:rPr>
          <w:rFonts w:ascii="Arial" w:hAnsi="Arial" w:eastAsia="Calibri" w:cs="Arial"/>
          <w:color w:val="000000" w:themeColor="text1"/>
          <w:sz w:val="20"/>
          <w:szCs w:val="20"/>
          <w:lang w:val="es-ES"/>
        </w:rPr>
        <w:br w:type="page"/>
      </w:r>
    </w:p>
    <w:p w:rsidRPr="00D76B77" w:rsidR="00D76B77" w:rsidP="00D76B77" w:rsidRDefault="00D76B77" w14:paraId="1FD6E152" w14:textId="77777777">
      <w:pPr>
        <w:tabs>
          <w:tab w:val="left" w:pos="426"/>
        </w:tabs>
        <w:jc w:val="both"/>
        <w:rPr>
          <w:rFonts w:ascii="Arial" w:hAnsi="Arial" w:eastAsia="Calibri" w:cs="Arial"/>
          <w:color w:val="000000" w:themeColor="text1"/>
          <w:sz w:val="20"/>
          <w:szCs w:val="20"/>
          <w:lang w:val="es-ES"/>
        </w:rPr>
      </w:pPr>
    </w:p>
    <w:p w:rsidRPr="006C15D5" w:rsidR="001A01C9" w:rsidP="001A01C9" w:rsidRDefault="001A01C9" w14:paraId="28A22265" w14:textId="2725090D">
      <w:pPr>
        <w:rPr>
          <w:rFonts w:ascii="Arial" w:hAnsi="Arial" w:cs="Arial"/>
          <w:b/>
          <w:color w:val="000000" w:themeColor="text1"/>
          <w:sz w:val="22"/>
        </w:rPr>
      </w:pPr>
      <w:r w:rsidRPr="006C15D5">
        <w:rPr>
          <w:rFonts w:ascii="Arial" w:hAnsi="Arial" w:cs="Arial"/>
          <w:color w:val="000000" w:themeColor="text1"/>
          <w:sz w:val="22"/>
        </w:rPr>
        <w:t xml:space="preserve">Bogotá D.C., </w:t>
      </w:r>
      <w:r w:rsidRPr="008134B5" w:rsidR="008134B5">
        <w:rPr>
          <w:rFonts w:ascii="Arial" w:hAnsi="Arial" w:cs="Arial"/>
          <w:b/>
          <w:color w:val="000000" w:themeColor="text1"/>
          <w:sz w:val="22"/>
        </w:rPr>
        <w:t>15/12/2020 Hora 16:25:13s</w:t>
      </w:r>
    </w:p>
    <w:p w:rsidR="001A01C9" w:rsidP="001A01C9" w:rsidRDefault="001A01C9" w14:paraId="6F0E3509" w14:textId="77777777">
      <w:pPr>
        <w:jc w:val="right"/>
        <w:rPr>
          <w:rFonts w:ascii="Arial" w:hAnsi="Arial" w:cs="Arial"/>
          <w:b/>
          <w:color w:val="000000" w:themeColor="text1"/>
          <w:sz w:val="22"/>
        </w:rPr>
      </w:pPr>
    </w:p>
    <w:p w:rsidRPr="006C15D5" w:rsidR="001A01C9" w:rsidP="001A01C9" w:rsidRDefault="001A01C9" w14:paraId="0F158AE4" w14:textId="45DC2542">
      <w:pPr>
        <w:jc w:val="right"/>
        <w:rPr>
          <w:rFonts w:ascii="Arial" w:hAnsi="Arial" w:cs="Arial"/>
          <w:b/>
          <w:color w:val="000000" w:themeColor="text1"/>
          <w:sz w:val="22"/>
        </w:rPr>
      </w:pPr>
      <w:r w:rsidRPr="006C15D5">
        <w:rPr>
          <w:rFonts w:ascii="Arial" w:hAnsi="Arial" w:cs="Arial"/>
          <w:b/>
          <w:color w:val="000000" w:themeColor="text1"/>
          <w:sz w:val="22"/>
        </w:rPr>
        <w:t xml:space="preserve">N° Radicado: </w:t>
      </w:r>
      <w:r w:rsidRPr="008134B5" w:rsidR="008134B5">
        <w:rPr>
          <w:rFonts w:ascii="Arial" w:hAnsi="Arial" w:cs="Arial"/>
          <w:b/>
          <w:color w:val="000000" w:themeColor="text1"/>
          <w:sz w:val="22"/>
        </w:rPr>
        <w:t>2202013000012019</w:t>
      </w:r>
    </w:p>
    <w:p w:rsidRPr="00C12EE0" w:rsidR="004A303C" w:rsidP="004A303C" w:rsidRDefault="004A303C" w14:paraId="5F8F52AC" w14:textId="77777777">
      <w:pPr>
        <w:rPr>
          <w:rFonts w:ascii="Arial" w:hAnsi="Arial" w:eastAsia="Calibri" w:cs="Arial"/>
          <w:color w:val="000000" w:themeColor="text1"/>
          <w:sz w:val="22"/>
          <w:lang w:val="es-ES"/>
        </w:rPr>
      </w:pPr>
    </w:p>
    <w:p w:rsidRPr="00C12EE0" w:rsidR="004A303C" w:rsidP="004A303C" w:rsidRDefault="004A303C" w14:paraId="186386F3" w14:textId="77777777">
      <w:pPr>
        <w:rPr>
          <w:rFonts w:ascii="Arial" w:hAnsi="Arial" w:eastAsia="Calibri" w:cs="Arial"/>
          <w:color w:val="000000" w:themeColor="text1"/>
          <w:sz w:val="22"/>
          <w:lang w:val="es-ES"/>
        </w:rPr>
      </w:pPr>
    </w:p>
    <w:p w:rsidRPr="00C12EE0" w:rsidR="004A303C" w:rsidP="004A303C" w:rsidRDefault="004A303C" w14:paraId="3D3CD26C" w14:textId="287FC4A8">
      <w:pPr>
        <w:outlineLvl w:val="0"/>
        <w:rPr>
          <w:rFonts w:ascii="Arial" w:hAnsi="Arial" w:eastAsia="Calibri" w:cs="Arial"/>
          <w:color w:val="000000" w:themeColor="text1"/>
          <w:sz w:val="22"/>
          <w:lang w:val="es-ES"/>
        </w:rPr>
      </w:pPr>
      <w:r w:rsidRPr="00C12EE0">
        <w:rPr>
          <w:rFonts w:ascii="Arial" w:hAnsi="Arial" w:eastAsia="Calibri" w:cs="Arial"/>
          <w:color w:val="000000" w:themeColor="text1"/>
          <w:sz w:val="22"/>
          <w:lang w:val="es-ES"/>
        </w:rPr>
        <w:t>Señor</w:t>
      </w:r>
      <w:r w:rsidRPr="00C12EE0" w:rsidR="00E1734A">
        <w:rPr>
          <w:rFonts w:ascii="Arial" w:hAnsi="Arial" w:eastAsia="Calibri" w:cs="Arial"/>
          <w:color w:val="000000" w:themeColor="text1"/>
          <w:sz w:val="22"/>
          <w:lang w:val="es-ES"/>
        </w:rPr>
        <w:t>a</w:t>
      </w:r>
    </w:p>
    <w:p w:rsidRPr="00C12EE0" w:rsidR="004A303C" w:rsidP="004A303C" w:rsidRDefault="009F419B" w14:paraId="2926E06B" w14:textId="7A132777">
      <w:pPr>
        <w:rPr>
          <w:rFonts w:ascii="Arial" w:hAnsi="Arial" w:eastAsia="Calibri" w:cs="Arial"/>
          <w:b/>
          <w:color w:val="000000" w:themeColor="text1"/>
          <w:sz w:val="22"/>
          <w:lang w:val="es-ES"/>
        </w:rPr>
      </w:pPr>
      <w:r>
        <w:rPr>
          <w:rFonts w:ascii="Arial" w:hAnsi="Arial" w:eastAsia="Calibri" w:cs="Arial"/>
          <w:b/>
          <w:color w:val="000000" w:themeColor="text1"/>
          <w:sz w:val="22"/>
          <w:lang w:val="es-ES"/>
        </w:rPr>
        <w:t>Alejandra Mueses Chacua</w:t>
      </w:r>
    </w:p>
    <w:p w:rsidRPr="00C12EE0" w:rsidR="00E1734A" w:rsidP="004A303C" w:rsidRDefault="009F419B" w14:paraId="6C9D915A" w14:textId="5A1F7E06">
      <w:pPr>
        <w:rPr>
          <w:rFonts w:ascii="Arial" w:hAnsi="Arial" w:eastAsia="Calibri" w:cs="Arial"/>
          <w:color w:val="000000" w:themeColor="text1"/>
          <w:sz w:val="22"/>
          <w:lang w:val="es-ES"/>
        </w:rPr>
      </w:pPr>
      <w:r>
        <w:rPr>
          <w:rFonts w:ascii="Arial" w:hAnsi="Arial" w:eastAsia="Calibri" w:cs="Arial"/>
          <w:color w:val="000000" w:themeColor="text1"/>
          <w:sz w:val="22"/>
          <w:lang w:val="es-ES"/>
        </w:rPr>
        <w:t>Ipiales, Nariño</w:t>
      </w:r>
    </w:p>
    <w:p w:rsidRPr="00C12EE0" w:rsidR="004A303C" w:rsidP="004A303C" w:rsidRDefault="004A303C" w14:paraId="537C2E2E" w14:textId="77777777">
      <w:pPr>
        <w:rPr>
          <w:rFonts w:ascii="Arial" w:hAnsi="Arial" w:eastAsia="Calibri" w:cs="Arial"/>
          <w:color w:val="000000" w:themeColor="text1"/>
          <w:sz w:val="22"/>
          <w:lang w:val="es-ES"/>
        </w:rPr>
      </w:pPr>
      <w:bookmarkStart w:name="_GoBack" w:id="2"/>
    </w:p>
    <w:bookmarkEnd w:id="2"/>
    <w:p w:rsidRPr="00C12EE0" w:rsidR="004A303C" w:rsidP="004A303C" w:rsidRDefault="004A303C" w14:paraId="5E047539" w14:textId="542102A4">
      <w:pPr>
        <w:ind w:firstLine="2694"/>
        <w:outlineLvl w:val="0"/>
        <w:rPr>
          <w:rFonts w:ascii="Arial" w:hAnsi="Arial" w:eastAsia="Calibri" w:cs="Arial"/>
          <w:b/>
          <w:color w:val="000000" w:themeColor="text1"/>
          <w:sz w:val="22"/>
          <w:lang w:val="es-ES"/>
        </w:rPr>
      </w:pPr>
      <w:r w:rsidRPr="00C12EE0">
        <w:rPr>
          <w:rFonts w:ascii="Arial" w:hAnsi="Arial" w:eastAsia="Calibri" w:cs="Arial"/>
          <w:b/>
          <w:color w:val="000000" w:themeColor="text1"/>
          <w:sz w:val="22"/>
          <w:lang w:val="es-ES"/>
        </w:rPr>
        <w:t xml:space="preserve">Concepto </w:t>
      </w:r>
      <w:r w:rsidR="00A11DBF">
        <w:rPr>
          <w:rFonts w:ascii="Arial" w:hAnsi="Arial" w:eastAsia="Calibri" w:cs="Arial"/>
          <w:b/>
          <w:color w:val="000000" w:themeColor="text1"/>
          <w:sz w:val="22"/>
          <w:lang w:val="es-ES"/>
        </w:rPr>
        <w:t xml:space="preserve">C – 711 y </w:t>
      </w:r>
      <w:r w:rsidRPr="00C12EE0">
        <w:rPr>
          <w:rFonts w:ascii="Arial" w:hAnsi="Arial" w:eastAsia="Calibri" w:cs="Arial"/>
          <w:b/>
          <w:color w:val="000000" w:themeColor="text1"/>
          <w:sz w:val="22"/>
          <w:lang w:val="es-ES"/>
        </w:rPr>
        <w:t xml:space="preserve">C – </w:t>
      </w:r>
      <w:r w:rsidR="009F419B">
        <w:rPr>
          <w:rFonts w:ascii="Arial" w:hAnsi="Arial" w:eastAsia="Calibri" w:cs="Arial"/>
          <w:b/>
          <w:color w:val="000000" w:themeColor="text1"/>
          <w:sz w:val="22"/>
          <w:lang w:val="es-ES"/>
        </w:rPr>
        <w:t>738</w:t>
      </w:r>
      <w:r w:rsidRPr="00C12EE0">
        <w:rPr>
          <w:rFonts w:ascii="Arial" w:hAnsi="Arial" w:eastAsia="Calibri" w:cs="Arial"/>
          <w:b/>
          <w:color w:val="000000" w:themeColor="text1"/>
          <w:sz w:val="22"/>
          <w:lang w:val="es-ES"/>
        </w:rPr>
        <w:t xml:space="preserve"> de 2020</w:t>
      </w:r>
    </w:p>
    <w:p w:rsidRPr="00C12EE0" w:rsidR="004A303C" w:rsidP="004A303C" w:rsidRDefault="004A303C" w14:paraId="6C11F5BA" w14:textId="77777777">
      <w:pPr>
        <w:rPr>
          <w:rFonts w:ascii="Arial" w:hAnsi="Arial" w:eastAsia="Calibri" w:cs="Arial"/>
          <w:color w:val="000000" w:themeColor="text1"/>
          <w:sz w:val="22"/>
          <w:lang w:val="es-ES"/>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C12EE0" w:rsidR="004A303C" w:rsidTr="00A52EA7" w14:paraId="1A0E95A2" w14:textId="77777777">
        <w:tc>
          <w:tcPr>
            <w:tcW w:w="2689" w:type="dxa"/>
            <w:hideMark/>
          </w:tcPr>
          <w:p w:rsidRPr="00C12EE0" w:rsidR="004A303C" w:rsidP="00E85BE0" w:rsidRDefault="004A303C" w14:paraId="080CE19A" w14:textId="77777777">
            <w:pPr>
              <w:rPr>
                <w:rFonts w:ascii="Arial" w:hAnsi="Arial" w:eastAsia="Calibri" w:cs="Arial"/>
                <w:color w:val="000000" w:themeColor="text1"/>
                <w:sz w:val="22"/>
                <w:lang w:val="es-ES"/>
              </w:rPr>
            </w:pPr>
            <w:r w:rsidRPr="00C12EE0">
              <w:rPr>
                <w:rFonts w:ascii="Arial" w:hAnsi="Arial" w:eastAsia="Calibri" w:cs="Arial"/>
                <w:b/>
                <w:color w:val="000000" w:themeColor="text1"/>
                <w:sz w:val="22"/>
                <w:lang w:val="es-ES"/>
              </w:rPr>
              <w:t>Temas:</w:t>
            </w:r>
            <w:r w:rsidRPr="00C12EE0">
              <w:rPr>
                <w:rFonts w:ascii="Arial" w:hAnsi="Arial" w:eastAsia="Calibri" w:cs="Arial"/>
                <w:color w:val="000000" w:themeColor="text1"/>
                <w:sz w:val="22"/>
                <w:lang w:val="es-ES"/>
              </w:rPr>
              <w:t xml:space="preserve">           </w:t>
            </w:r>
          </w:p>
          <w:p w:rsidRPr="00C12EE0" w:rsidR="004A303C" w:rsidP="00E85BE0" w:rsidRDefault="004A303C" w14:paraId="71377C53" w14:textId="77777777">
            <w:pPr>
              <w:rPr>
                <w:rFonts w:ascii="Arial" w:hAnsi="Arial" w:eastAsia="Calibri" w:cs="Arial"/>
                <w:color w:val="000000" w:themeColor="text1"/>
                <w:sz w:val="22"/>
                <w:lang w:val="es-ES"/>
              </w:rPr>
            </w:pPr>
            <w:r w:rsidRPr="00C12EE0">
              <w:rPr>
                <w:rFonts w:ascii="Arial" w:hAnsi="Arial" w:eastAsia="Calibri" w:cs="Arial"/>
                <w:color w:val="000000" w:themeColor="text1"/>
                <w:sz w:val="22"/>
                <w:lang w:val="es-ES"/>
              </w:rPr>
              <w:t xml:space="preserve">                           </w:t>
            </w:r>
          </w:p>
        </w:tc>
        <w:tc>
          <w:tcPr>
            <w:tcW w:w="6237" w:type="dxa"/>
            <w:hideMark/>
          </w:tcPr>
          <w:p w:rsidRPr="00C12EE0" w:rsidR="004A303C" w:rsidP="00290041" w:rsidRDefault="00D76B77" w14:paraId="78A982DF" w14:textId="05D8DA84">
            <w:pPr>
              <w:jc w:val="both"/>
              <w:rPr>
                <w:rFonts w:ascii="Arial" w:hAnsi="Arial" w:eastAsia="Calibri" w:cs="Arial"/>
                <w:color w:val="000000" w:themeColor="text1"/>
                <w:sz w:val="22"/>
                <w:lang w:val="es-ES"/>
              </w:rPr>
            </w:pPr>
            <w:r>
              <w:rPr>
                <w:rFonts w:ascii="Arial" w:hAnsi="Arial" w:eastAsia="Calibri" w:cs="Arial"/>
                <w:color w:val="000000" w:themeColor="text1"/>
                <w:sz w:val="22"/>
                <w:lang w:val="es-ES"/>
              </w:rPr>
              <w:t>CONTRATACIÓN DE MÍNIMA CUANTÍA</w:t>
            </w:r>
            <w:r w:rsidRPr="00C12EE0" w:rsidR="00175C4A">
              <w:rPr>
                <w:rFonts w:ascii="Arial" w:hAnsi="Arial" w:eastAsia="Calibri" w:cs="Arial"/>
                <w:color w:val="000000" w:themeColor="text1"/>
                <w:sz w:val="22"/>
                <w:lang w:val="es-ES"/>
              </w:rPr>
              <w:t xml:space="preserve"> </w:t>
            </w:r>
            <w:r w:rsidRPr="00C12EE0" w:rsidR="00290041">
              <w:rPr>
                <w:rFonts w:ascii="Arial" w:hAnsi="Arial" w:eastAsia="Calibri" w:cs="Arial"/>
                <w:color w:val="000000" w:themeColor="text1"/>
                <w:sz w:val="22"/>
                <w:lang w:val="es-ES"/>
              </w:rPr>
              <w:t xml:space="preserve">– </w:t>
            </w:r>
            <w:r>
              <w:rPr>
                <w:rFonts w:ascii="Arial" w:hAnsi="Arial" w:eastAsia="Calibri" w:cs="Arial"/>
                <w:color w:val="000000" w:themeColor="text1"/>
                <w:sz w:val="22"/>
                <w:lang w:val="es-ES"/>
              </w:rPr>
              <w:t>Procedimiento general</w:t>
            </w:r>
            <w:r w:rsidRPr="00C12EE0" w:rsidR="0033211E">
              <w:rPr>
                <w:rFonts w:ascii="Arial" w:hAnsi="Arial" w:eastAsia="Calibri" w:cs="Arial"/>
                <w:color w:val="000000" w:themeColor="text1"/>
                <w:sz w:val="22"/>
                <w:lang w:val="es-ES"/>
              </w:rPr>
              <w:t xml:space="preserve"> </w:t>
            </w:r>
            <w:r w:rsidRPr="00C12EE0" w:rsidR="00290041">
              <w:rPr>
                <w:rFonts w:ascii="Arial" w:hAnsi="Arial" w:eastAsia="Calibri" w:cs="Arial"/>
                <w:color w:val="000000" w:themeColor="text1"/>
                <w:sz w:val="22"/>
                <w:lang w:val="es-ES"/>
              </w:rPr>
              <w:t>/</w:t>
            </w:r>
            <w:r w:rsidRPr="00C12EE0" w:rsidR="0033211E">
              <w:rPr>
                <w:rFonts w:ascii="Arial" w:hAnsi="Arial" w:eastAsia="Calibri" w:cs="Arial"/>
                <w:color w:val="000000" w:themeColor="text1"/>
                <w:sz w:val="22"/>
                <w:lang w:val="es-ES"/>
              </w:rPr>
              <w:t xml:space="preserve"> </w:t>
            </w:r>
            <w:r>
              <w:rPr>
                <w:rFonts w:ascii="Arial" w:hAnsi="Arial" w:eastAsia="Calibri" w:cs="Arial"/>
                <w:color w:val="000000" w:themeColor="text1"/>
                <w:sz w:val="22"/>
                <w:lang w:val="es-ES"/>
              </w:rPr>
              <w:t>CONTRATACIÓN DE MÍNIMA CUANTÍA</w:t>
            </w:r>
            <w:r w:rsidRPr="00C12EE0" w:rsidR="00290041">
              <w:rPr>
                <w:rFonts w:ascii="Arial" w:hAnsi="Arial" w:eastAsia="Calibri" w:cs="Arial"/>
                <w:color w:val="000000" w:themeColor="text1"/>
                <w:sz w:val="22"/>
                <w:lang w:val="es-ES"/>
              </w:rPr>
              <w:t xml:space="preserve"> – </w:t>
            </w:r>
            <w:r>
              <w:rPr>
                <w:rFonts w:ascii="Arial" w:hAnsi="Arial" w:eastAsia="Calibri" w:cs="Arial"/>
                <w:color w:val="000000" w:themeColor="text1"/>
                <w:sz w:val="22"/>
                <w:lang w:val="es-ES"/>
              </w:rPr>
              <w:t>Apertura de sobres</w:t>
            </w:r>
            <w:r w:rsidRPr="00C12EE0" w:rsidR="0033211E">
              <w:rPr>
                <w:rFonts w:ascii="Arial" w:hAnsi="Arial" w:eastAsia="Calibri" w:cs="Arial"/>
                <w:color w:val="000000" w:themeColor="text1"/>
                <w:sz w:val="22"/>
                <w:lang w:val="es-ES"/>
              </w:rPr>
              <w:t xml:space="preserve"> </w:t>
            </w:r>
            <w:r w:rsidRPr="00C12EE0" w:rsidR="00290041">
              <w:rPr>
                <w:rFonts w:ascii="Arial" w:hAnsi="Arial" w:eastAsia="Calibri" w:cs="Arial"/>
                <w:color w:val="000000" w:themeColor="text1"/>
                <w:sz w:val="22"/>
                <w:lang w:val="es-ES"/>
              </w:rPr>
              <w:t xml:space="preserve">/ </w:t>
            </w:r>
            <w:r>
              <w:rPr>
                <w:rFonts w:ascii="Arial" w:hAnsi="Arial" w:eastAsia="Calibri" w:cs="Arial"/>
                <w:color w:val="000000" w:themeColor="text1"/>
                <w:sz w:val="22"/>
                <w:lang w:val="es-ES"/>
              </w:rPr>
              <w:t>PRINCIPIO DE PUBLICIDAD –</w:t>
            </w:r>
            <w:r w:rsidRPr="00C12EE0" w:rsidR="00E1734A">
              <w:rPr>
                <w:rFonts w:ascii="Arial" w:hAnsi="Arial" w:eastAsia="Calibri" w:cs="Arial"/>
                <w:color w:val="000000" w:themeColor="text1"/>
                <w:sz w:val="22"/>
                <w:lang w:val="es-ES"/>
              </w:rPr>
              <w:t xml:space="preserve"> </w:t>
            </w:r>
            <w:r>
              <w:rPr>
                <w:rFonts w:ascii="Arial" w:hAnsi="Arial" w:eastAsia="Calibri" w:cs="Arial"/>
                <w:color w:val="000000" w:themeColor="text1"/>
                <w:sz w:val="22"/>
                <w:lang w:val="es-ES"/>
              </w:rPr>
              <w:t xml:space="preserve">Pluralidad de mecanismos </w:t>
            </w:r>
            <w:r w:rsidRPr="00C12EE0" w:rsidR="00E1734A">
              <w:rPr>
                <w:rFonts w:ascii="Arial" w:hAnsi="Arial" w:eastAsia="Calibri" w:cs="Arial"/>
                <w:color w:val="000000" w:themeColor="text1"/>
                <w:sz w:val="22"/>
                <w:lang w:val="es-ES"/>
              </w:rPr>
              <w:t xml:space="preserve">/ </w:t>
            </w:r>
            <w:r>
              <w:rPr>
                <w:rFonts w:ascii="Arial" w:hAnsi="Arial" w:eastAsia="Calibri" w:cs="Arial"/>
                <w:color w:val="000000" w:themeColor="text1"/>
                <w:sz w:val="22"/>
                <w:lang w:val="es-ES"/>
              </w:rPr>
              <w:t>CONTRATACIÓN DE MÍNIMA CUANTÍA</w:t>
            </w:r>
            <w:r w:rsidRPr="00C12EE0" w:rsidR="00E1734A">
              <w:rPr>
                <w:rFonts w:ascii="Arial" w:hAnsi="Arial" w:eastAsia="Calibri" w:cs="Arial"/>
                <w:color w:val="000000" w:themeColor="text1"/>
                <w:sz w:val="22"/>
                <w:lang w:val="es-ES"/>
              </w:rPr>
              <w:t xml:space="preserve"> –</w:t>
            </w:r>
            <w:r>
              <w:rPr>
                <w:rFonts w:ascii="Arial" w:hAnsi="Arial" w:eastAsia="Calibri" w:cs="Arial"/>
                <w:color w:val="000000" w:themeColor="text1"/>
                <w:sz w:val="22"/>
                <w:lang w:val="es-ES"/>
              </w:rPr>
              <w:t xml:space="preserve"> Principio de publicidad – SECOP I y II</w:t>
            </w:r>
            <w:r w:rsidRPr="00C12EE0" w:rsidR="000F3652">
              <w:rPr>
                <w:rFonts w:ascii="Arial" w:hAnsi="Arial" w:eastAsia="Calibri" w:cs="Arial"/>
                <w:color w:val="000000" w:themeColor="text1"/>
                <w:sz w:val="22"/>
                <w:lang w:val="es-ES"/>
              </w:rPr>
              <w:t>.</w:t>
            </w:r>
          </w:p>
        </w:tc>
      </w:tr>
      <w:tr w:rsidRPr="00C12EE0" w:rsidR="004A303C" w:rsidTr="00A52EA7" w14:paraId="4A23AD64" w14:textId="77777777">
        <w:tc>
          <w:tcPr>
            <w:tcW w:w="2689" w:type="dxa"/>
          </w:tcPr>
          <w:p w:rsidRPr="00C12EE0" w:rsidR="004A303C" w:rsidP="00E85BE0" w:rsidRDefault="004A303C" w14:paraId="3C8F1BA1" w14:textId="77777777">
            <w:pPr>
              <w:spacing w:before="120"/>
              <w:rPr>
                <w:rFonts w:ascii="Arial" w:hAnsi="Arial" w:eastAsia="Calibri" w:cs="Arial"/>
                <w:b/>
                <w:color w:val="000000" w:themeColor="text1"/>
                <w:sz w:val="22"/>
                <w:lang w:val="es-ES"/>
              </w:rPr>
            </w:pPr>
            <w:r w:rsidRPr="00C12EE0">
              <w:rPr>
                <w:rFonts w:ascii="Arial" w:hAnsi="Arial" w:eastAsia="Calibri" w:cs="Arial"/>
                <w:b/>
                <w:color w:val="000000" w:themeColor="text1"/>
                <w:sz w:val="22"/>
                <w:lang w:val="es-ES"/>
              </w:rPr>
              <w:t>Radicación:</w:t>
            </w:r>
            <w:r w:rsidRPr="00C12EE0">
              <w:rPr>
                <w:rFonts w:ascii="Arial" w:hAnsi="Arial" w:eastAsia="Calibri" w:cs="Arial"/>
                <w:color w:val="000000" w:themeColor="text1"/>
                <w:sz w:val="22"/>
                <w:lang w:val="es-ES"/>
              </w:rPr>
              <w:t xml:space="preserve">                              </w:t>
            </w:r>
          </w:p>
        </w:tc>
        <w:tc>
          <w:tcPr>
            <w:tcW w:w="6237" w:type="dxa"/>
          </w:tcPr>
          <w:p w:rsidRPr="00C12EE0" w:rsidR="004A303C" w:rsidP="00E1734A" w:rsidRDefault="004A303C" w14:paraId="5923B6AB" w14:textId="397148BB">
            <w:pPr>
              <w:spacing w:before="120"/>
              <w:jc w:val="both"/>
              <w:rPr>
                <w:rFonts w:ascii="Arial" w:hAnsi="Arial" w:eastAsia="Calibri" w:cs="Arial"/>
                <w:color w:val="000000" w:themeColor="text1"/>
                <w:sz w:val="22"/>
                <w:lang w:val="es-ES"/>
              </w:rPr>
            </w:pPr>
            <w:r w:rsidRPr="00C12EE0">
              <w:rPr>
                <w:rFonts w:ascii="Arial" w:hAnsi="Arial" w:eastAsia="Calibri" w:cs="Arial"/>
                <w:color w:val="000000" w:themeColor="text1"/>
                <w:sz w:val="22"/>
                <w:lang w:val="es-ES"/>
              </w:rPr>
              <w:t>Respuesta a consulta</w:t>
            </w:r>
            <w:r w:rsidRPr="00C12EE0" w:rsidR="00E1734A">
              <w:rPr>
                <w:rFonts w:ascii="Arial" w:hAnsi="Arial" w:eastAsia="Calibri" w:cs="Arial"/>
                <w:color w:val="000000" w:themeColor="text1"/>
                <w:sz w:val="22"/>
                <w:lang w:val="es-ES"/>
              </w:rPr>
              <w:t xml:space="preserve"> </w:t>
            </w:r>
            <w:r w:rsidRPr="008D55F2" w:rsidR="008D55F2">
              <w:rPr>
                <w:rFonts w:ascii="Arial" w:hAnsi="Arial" w:eastAsia="Calibri" w:cs="Arial"/>
                <w:color w:val="000000" w:themeColor="text1"/>
                <w:sz w:val="22"/>
                <w:lang w:val="es-ES"/>
              </w:rPr>
              <w:t>420201200000994</w:t>
            </w:r>
            <w:r w:rsidR="00A11DBF">
              <w:rPr>
                <w:rFonts w:ascii="Arial" w:hAnsi="Arial" w:eastAsia="Calibri" w:cs="Arial"/>
                <w:color w:val="000000" w:themeColor="text1"/>
                <w:sz w:val="22"/>
                <w:lang w:val="es-ES"/>
              </w:rPr>
              <w:t xml:space="preserve">2, </w:t>
            </w:r>
            <w:r w:rsidRPr="008D55F2" w:rsidR="00A11DBF">
              <w:rPr>
                <w:rFonts w:ascii="Arial" w:hAnsi="Arial" w:eastAsia="Calibri" w:cs="Arial"/>
                <w:color w:val="000000" w:themeColor="text1"/>
                <w:sz w:val="22"/>
                <w:lang w:val="es-ES"/>
              </w:rPr>
              <w:t>4202012000009943</w:t>
            </w:r>
            <w:r w:rsidR="00A11DBF">
              <w:rPr>
                <w:rFonts w:ascii="Arial" w:hAnsi="Arial" w:eastAsia="Calibri" w:cs="Arial"/>
                <w:color w:val="000000" w:themeColor="text1"/>
                <w:sz w:val="22"/>
                <w:lang w:val="es-ES"/>
              </w:rPr>
              <w:t xml:space="preserve"> </w:t>
            </w:r>
            <w:r w:rsidRPr="00A11DBF" w:rsidR="00A11DBF">
              <w:rPr>
                <w:rFonts w:ascii="Arial" w:hAnsi="Arial" w:eastAsia="Calibri" w:cs="Arial"/>
                <w:color w:val="000000" w:themeColor="text1"/>
                <w:sz w:val="22"/>
                <w:lang w:val="es-ES"/>
              </w:rPr>
              <w:t>P20201203000393</w:t>
            </w:r>
          </w:p>
        </w:tc>
      </w:tr>
      <w:tr w:rsidRPr="00C12EE0" w:rsidR="004A303C" w:rsidTr="00A52EA7" w14:paraId="0E9AFD66" w14:textId="77777777">
        <w:tc>
          <w:tcPr>
            <w:tcW w:w="2689" w:type="dxa"/>
          </w:tcPr>
          <w:p w:rsidRPr="00C12EE0" w:rsidR="003C5826" w:rsidP="00E85BE0" w:rsidRDefault="003C5826" w14:paraId="55BFA50D" w14:textId="5E180700">
            <w:pPr>
              <w:spacing w:before="120"/>
              <w:rPr>
                <w:rFonts w:ascii="Arial" w:hAnsi="Arial" w:eastAsia="Calibri" w:cs="Arial"/>
                <w:b/>
                <w:noProof/>
                <w:color w:val="000000" w:themeColor="text1"/>
                <w:sz w:val="22"/>
                <w:lang w:val="es-ES"/>
              </w:rPr>
            </w:pPr>
          </w:p>
        </w:tc>
        <w:tc>
          <w:tcPr>
            <w:tcW w:w="6237" w:type="dxa"/>
          </w:tcPr>
          <w:p w:rsidRPr="00C12EE0" w:rsidR="004A303C" w:rsidP="00E85BE0" w:rsidRDefault="004A303C" w14:paraId="342BC7C1" w14:textId="77777777">
            <w:pPr>
              <w:spacing w:before="120"/>
              <w:jc w:val="both"/>
              <w:rPr>
                <w:rFonts w:ascii="Arial" w:hAnsi="Arial" w:eastAsia="Calibri" w:cs="Arial"/>
                <w:noProof/>
                <w:color w:val="000000" w:themeColor="text1"/>
                <w:sz w:val="22"/>
                <w:lang w:val="es-ES"/>
              </w:rPr>
            </w:pPr>
          </w:p>
        </w:tc>
      </w:tr>
    </w:tbl>
    <w:p w:rsidRPr="00C12EE0" w:rsidR="004A303C" w:rsidP="004A303C" w:rsidRDefault="004A303C" w14:paraId="50C16B71" w14:textId="56ACA759">
      <w:pPr>
        <w:rPr>
          <w:rFonts w:ascii="Arial" w:hAnsi="Arial" w:eastAsia="Calibri" w:cs="Arial"/>
          <w:color w:val="000000" w:themeColor="text1"/>
          <w:sz w:val="22"/>
          <w:lang w:val="es-ES"/>
        </w:rPr>
      </w:pPr>
      <w:r w:rsidRPr="00C12EE0">
        <w:rPr>
          <w:rFonts w:ascii="Arial" w:hAnsi="Arial" w:eastAsia="Calibri" w:cs="Arial"/>
          <w:color w:val="000000" w:themeColor="text1"/>
          <w:sz w:val="22"/>
          <w:lang w:val="es-ES"/>
        </w:rPr>
        <w:t>Estimad</w:t>
      </w:r>
      <w:r w:rsidR="001A01C9">
        <w:rPr>
          <w:rFonts w:ascii="Arial" w:hAnsi="Arial" w:eastAsia="Calibri" w:cs="Arial"/>
          <w:color w:val="000000" w:themeColor="text1"/>
          <w:sz w:val="22"/>
          <w:lang w:val="es-ES"/>
        </w:rPr>
        <w:t>a</w:t>
      </w:r>
      <w:r w:rsidRPr="00C12EE0">
        <w:rPr>
          <w:rFonts w:ascii="Arial" w:hAnsi="Arial" w:eastAsia="Calibri" w:cs="Arial"/>
          <w:color w:val="000000" w:themeColor="text1"/>
          <w:sz w:val="22"/>
          <w:lang w:val="es-ES"/>
        </w:rPr>
        <w:t xml:space="preserve"> señor</w:t>
      </w:r>
      <w:r w:rsidRPr="00C12EE0" w:rsidR="00E1734A">
        <w:rPr>
          <w:rFonts w:ascii="Arial" w:hAnsi="Arial" w:eastAsia="Calibri" w:cs="Arial"/>
          <w:color w:val="000000" w:themeColor="text1"/>
          <w:sz w:val="22"/>
          <w:lang w:val="es-ES"/>
        </w:rPr>
        <w:t>a</w:t>
      </w:r>
      <w:r w:rsidRPr="00C12EE0">
        <w:rPr>
          <w:rFonts w:ascii="Arial" w:hAnsi="Arial" w:eastAsia="Calibri" w:cs="Arial"/>
          <w:color w:val="000000" w:themeColor="text1"/>
          <w:sz w:val="22"/>
          <w:lang w:val="es-ES"/>
        </w:rPr>
        <w:t xml:space="preserve"> </w:t>
      </w:r>
      <w:r w:rsidR="003C5826">
        <w:rPr>
          <w:rFonts w:ascii="Arial" w:hAnsi="Arial" w:eastAsia="Calibri" w:cs="Arial"/>
          <w:color w:val="000000" w:themeColor="text1"/>
          <w:sz w:val="22"/>
          <w:lang w:val="es-ES"/>
        </w:rPr>
        <w:t>Mueses</w:t>
      </w:r>
      <w:r w:rsidRPr="00C12EE0">
        <w:rPr>
          <w:rFonts w:ascii="Arial" w:hAnsi="Arial" w:eastAsia="Calibri" w:cs="Arial"/>
          <w:color w:val="000000" w:themeColor="text1"/>
          <w:sz w:val="22"/>
          <w:lang w:val="es-ES"/>
        </w:rPr>
        <w:t>:</w:t>
      </w:r>
      <w:r w:rsidRPr="008D55F2" w:rsidR="008D55F2">
        <w:t xml:space="preserve"> </w:t>
      </w:r>
    </w:p>
    <w:p w:rsidRPr="00C12EE0" w:rsidR="004A303C" w:rsidP="004A303C" w:rsidRDefault="004A303C" w14:paraId="2743BE98" w14:textId="77777777">
      <w:pPr>
        <w:rPr>
          <w:rFonts w:ascii="Arial" w:hAnsi="Arial" w:eastAsia="Calibri" w:cs="Arial"/>
          <w:color w:val="000000" w:themeColor="text1"/>
          <w:sz w:val="22"/>
          <w:lang w:val="es-ES"/>
        </w:rPr>
      </w:pPr>
    </w:p>
    <w:p w:rsidRPr="00C12EE0" w:rsidR="004A303C" w:rsidP="004A303C" w:rsidRDefault="004A303C" w14:paraId="595A07C2" w14:textId="7F4EC849">
      <w:pPr>
        <w:spacing w:line="276" w:lineRule="auto"/>
        <w:jc w:val="both"/>
        <w:rPr>
          <w:rFonts w:ascii="Arial" w:hAnsi="Arial" w:eastAsia="Calibri" w:cs="Arial"/>
          <w:color w:val="000000" w:themeColor="text1"/>
          <w:sz w:val="22"/>
          <w:lang w:val="es-ES"/>
        </w:rPr>
      </w:pPr>
      <w:r w:rsidRPr="00C12EE0">
        <w:rPr>
          <w:rFonts w:ascii="Arial" w:hAnsi="Arial" w:eastAsia="Calibri" w:cs="Arial"/>
          <w:color w:val="000000" w:themeColor="text1"/>
          <w:sz w:val="22"/>
          <w:lang w:val="es-ES"/>
        </w:rPr>
        <w:t>En ejercicio de la competencia otorgada p</w:t>
      </w:r>
      <w:r w:rsidRPr="00C12EE0" w:rsidR="004213D4">
        <w:rPr>
          <w:rFonts w:ascii="Arial" w:hAnsi="Arial" w:eastAsia="Calibri" w:cs="Arial"/>
          <w:color w:val="000000" w:themeColor="text1"/>
          <w:sz w:val="22"/>
          <w:lang w:val="es-ES"/>
        </w:rPr>
        <w:t>or los artículos 11, numeral 8º;</w:t>
      </w:r>
      <w:r w:rsidRPr="00C12EE0">
        <w:rPr>
          <w:rFonts w:ascii="Arial" w:hAnsi="Arial" w:eastAsia="Calibri" w:cs="Arial"/>
          <w:color w:val="000000" w:themeColor="text1"/>
          <w:sz w:val="22"/>
          <w:lang w:val="es-ES"/>
        </w:rPr>
        <w:t xml:space="preserve"> y 3º, numeral 5º, del Decreto Ley 4170 de 2011, la Agencia Nacional de Contratación Pública − Colombia Compra Eficiente responde su consulta del 5 de octubre de 2020. </w:t>
      </w:r>
    </w:p>
    <w:p w:rsidRPr="00C12EE0" w:rsidR="00B763D2" w:rsidP="004A303C" w:rsidRDefault="00B763D2" w14:paraId="41BF9DC3" w14:textId="77777777">
      <w:pPr>
        <w:spacing w:line="276" w:lineRule="auto"/>
        <w:jc w:val="both"/>
        <w:rPr>
          <w:rFonts w:ascii="Arial" w:hAnsi="Arial" w:eastAsia="Calibri" w:cs="Arial"/>
          <w:color w:val="000000" w:themeColor="text1"/>
          <w:sz w:val="22"/>
          <w:lang w:val="es-ES"/>
        </w:rPr>
      </w:pPr>
    </w:p>
    <w:p w:rsidRPr="00C12EE0" w:rsidR="004A303C" w:rsidP="004A303C" w:rsidRDefault="004A303C" w14:paraId="6DE8907D" w14:textId="77777777">
      <w:pPr>
        <w:pStyle w:val="Prrafodelista"/>
        <w:numPr>
          <w:ilvl w:val="0"/>
          <w:numId w:val="1"/>
        </w:numPr>
        <w:tabs>
          <w:tab w:val="left" w:pos="284"/>
        </w:tabs>
        <w:spacing w:line="276" w:lineRule="auto"/>
        <w:ind w:left="0" w:firstLine="0"/>
        <w:jc w:val="both"/>
        <w:rPr>
          <w:rFonts w:ascii="Arial" w:hAnsi="Arial" w:eastAsia="Calibri" w:cs="Arial"/>
          <w:b/>
          <w:color w:val="000000" w:themeColor="text1"/>
          <w:sz w:val="22"/>
          <w:lang w:val="es-ES"/>
        </w:rPr>
      </w:pPr>
      <w:r w:rsidRPr="00C12EE0">
        <w:rPr>
          <w:rFonts w:ascii="Arial" w:hAnsi="Arial" w:eastAsia="Calibri" w:cs="Arial"/>
          <w:b/>
          <w:color w:val="000000" w:themeColor="text1"/>
          <w:sz w:val="22"/>
          <w:lang w:val="es-ES"/>
        </w:rPr>
        <w:t xml:space="preserve">Problemas planteados </w:t>
      </w:r>
    </w:p>
    <w:p w:rsidRPr="00C12EE0" w:rsidR="004A303C" w:rsidP="004A303C" w:rsidRDefault="004A303C" w14:paraId="0DFC04A6" w14:textId="77777777">
      <w:pPr>
        <w:tabs>
          <w:tab w:val="left" w:pos="426"/>
        </w:tabs>
        <w:spacing w:line="276" w:lineRule="auto"/>
        <w:jc w:val="both"/>
        <w:rPr>
          <w:rFonts w:ascii="Arial" w:hAnsi="Arial" w:eastAsia="Calibri" w:cs="Arial"/>
          <w:b/>
          <w:color w:val="000000" w:themeColor="text1"/>
          <w:sz w:val="22"/>
          <w:lang w:val="es-ES"/>
        </w:rPr>
      </w:pPr>
    </w:p>
    <w:p w:rsidR="009F419B" w:rsidP="004A303C" w:rsidRDefault="009F419B" w14:paraId="20853EF3" w14:textId="77777777">
      <w:pPr>
        <w:tabs>
          <w:tab w:val="left" w:pos="426"/>
        </w:tabs>
        <w:spacing w:line="276" w:lineRule="auto"/>
        <w:jc w:val="both"/>
        <w:rPr>
          <w:rFonts w:ascii="Arial" w:hAnsi="Arial" w:eastAsia="Calibri" w:cs="Arial"/>
          <w:color w:val="000000" w:themeColor="text1"/>
          <w:sz w:val="22"/>
          <w:lang w:val="es-ES"/>
        </w:rPr>
      </w:pPr>
      <w:r>
        <w:rPr>
          <w:rFonts w:ascii="Arial" w:hAnsi="Arial" w:eastAsia="Calibri" w:cs="Arial"/>
          <w:color w:val="000000" w:themeColor="text1"/>
          <w:sz w:val="22"/>
          <w:lang w:val="es-ES"/>
        </w:rPr>
        <w:t>Usted realiza la siguiente pregunta</w:t>
      </w:r>
      <w:r w:rsidRPr="00C12EE0" w:rsidR="00E86AC7">
        <w:rPr>
          <w:rFonts w:ascii="Arial" w:hAnsi="Arial" w:eastAsia="Calibri" w:cs="Arial"/>
          <w:color w:val="000000" w:themeColor="text1"/>
          <w:sz w:val="22"/>
          <w:lang w:val="es-ES"/>
        </w:rPr>
        <w:t xml:space="preserve">: </w:t>
      </w:r>
    </w:p>
    <w:p w:rsidR="009F419B" w:rsidP="004A303C" w:rsidRDefault="009F419B" w14:paraId="7295B38C" w14:textId="77777777">
      <w:pPr>
        <w:tabs>
          <w:tab w:val="left" w:pos="426"/>
        </w:tabs>
        <w:spacing w:line="276" w:lineRule="auto"/>
        <w:jc w:val="both"/>
        <w:rPr>
          <w:rFonts w:ascii="Arial" w:hAnsi="Arial" w:eastAsia="Calibri" w:cs="Arial"/>
          <w:color w:val="000000" w:themeColor="text1"/>
          <w:sz w:val="22"/>
          <w:lang w:val="es-ES"/>
        </w:rPr>
      </w:pPr>
    </w:p>
    <w:p w:rsidRPr="009F419B" w:rsidR="004A303C" w:rsidP="008350A2" w:rsidRDefault="003C5826" w14:paraId="10E0DC0E" w14:textId="32CCB703">
      <w:pPr>
        <w:tabs>
          <w:tab w:val="left" w:pos="426"/>
        </w:tabs>
        <w:ind w:left="709" w:right="709"/>
        <w:jc w:val="both"/>
        <w:rPr>
          <w:rFonts w:ascii="Arial" w:hAnsi="Arial" w:eastAsia="Calibri" w:cs="Arial"/>
          <w:color w:val="000000" w:themeColor="text1"/>
          <w:sz w:val="21"/>
          <w:szCs w:val="21"/>
          <w:lang w:val="es-ES"/>
        </w:rPr>
      </w:pPr>
      <w:r w:rsidRPr="009F419B">
        <w:rPr>
          <w:rFonts w:ascii="Arial" w:hAnsi="Arial" w:eastAsia="Calibri" w:cs="Arial"/>
          <w:color w:val="000000" w:themeColor="text1"/>
          <w:sz w:val="21"/>
          <w:szCs w:val="21"/>
          <w:lang w:val="es-ES"/>
        </w:rPr>
        <w:t>«DEBEN (sic) o no DEBEN (sic) realizar la apertura en público de las ofertas o sobres económicos que contienen las propuestas en el proceso de mínima cuantía. Esto con el objetivo de amparar a los proponentes, interesados y sobre todo que se logre garantizar la transparencia en los procesos venideros».</w:t>
      </w:r>
    </w:p>
    <w:p w:rsidRPr="003C5826" w:rsidR="003C5826" w:rsidP="004A303C" w:rsidRDefault="003C5826" w14:paraId="36C8426D" w14:textId="77777777">
      <w:pPr>
        <w:tabs>
          <w:tab w:val="left" w:pos="426"/>
        </w:tabs>
        <w:spacing w:line="276" w:lineRule="auto"/>
        <w:jc w:val="both"/>
        <w:rPr>
          <w:rFonts w:ascii="Arial" w:hAnsi="Arial" w:eastAsia="Calibri" w:cs="Arial"/>
          <w:color w:val="000000" w:themeColor="text1"/>
          <w:sz w:val="22"/>
          <w:lang w:val="es-ES"/>
        </w:rPr>
      </w:pPr>
    </w:p>
    <w:p w:rsidRPr="00C12EE0" w:rsidR="004A303C" w:rsidP="004A303C" w:rsidRDefault="004A303C" w14:paraId="1D66CE98" w14:textId="26BE3845">
      <w:pPr>
        <w:pStyle w:val="Prrafodelista"/>
        <w:numPr>
          <w:ilvl w:val="0"/>
          <w:numId w:val="1"/>
        </w:numPr>
        <w:tabs>
          <w:tab w:val="left" w:pos="426"/>
        </w:tabs>
        <w:spacing w:line="276" w:lineRule="auto"/>
        <w:ind w:left="284" w:hanging="284"/>
        <w:jc w:val="both"/>
        <w:rPr>
          <w:rFonts w:ascii="Arial" w:hAnsi="Arial" w:eastAsia="Calibri" w:cs="Arial"/>
          <w:b/>
          <w:color w:val="000000" w:themeColor="text1"/>
          <w:sz w:val="22"/>
          <w:lang w:val="es-ES"/>
        </w:rPr>
      </w:pPr>
      <w:r w:rsidRPr="00C12EE0">
        <w:rPr>
          <w:rFonts w:ascii="Arial" w:hAnsi="Arial" w:eastAsia="Calibri" w:cs="Arial"/>
          <w:b/>
          <w:color w:val="000000" w:themeColor="text1"/>
          <w:sz w:val="22"/>
          <w:lang w:val="es-ES"/>
        </w:rPr>
        <w:t>Consideraciones</w:t>
      </w:r>
    </w:p>
    <w:p w:rsidRPr="009B71CE" w:rsidR="004A303C" w:rsidP="009B71CE" w:rsidRDefault="004A303C" w14:paraId="2C4F68D0" w14:textId="77777777">
      <w:pPr>
        <w:spacing w:line="276" w:lineRule="auto"/>
        <w:jc w:val="both"/>
        <w:rPr>
          <w:rFonts w:ascii="Arial" w:hAnsi="Arial" w:eastAsia="Calibri" w:cs="Arial"/>
          <w:color w:val="000000" w:themeColor="text1"/>
          <w:sz w:val="22"/>
        </w:rPr>
      </w:pPr>
    </w:p>
    <w:p w:rsidRPr="009B71CE" w:rsidR="004A303C" w:rsidP="009B71CE" w:rsidRDefault="00427211" w14:paraId="0252589D" w14:textId="3725DC5F">
      <w:pPr>
        <w:spacing w:line="276" w:lineRule="auto"/>
        <w:jc w:val="both"/>
        <w:rPr>
          <w:rFonts w:ascii="Arial" w:hAnsi="Arial" w:eastAsia="Calibri" w:cs="Arial"/>
          <w:color w:val="000000" w:themeColor="text1"/>
          <w:sz w:val="22"/>
        </w:rPr>
      </w:pPr>
      <w:r>
        <w:rPr>
          <w:rFonts w:ascii="Arial" w:hAnsi="Arial" w:eastAsia="Calibri" w:cs="Arial"/>
          <w:color w:val="000000" w:themeColor="text1"/>
          <w:sz w:val="22"/>
        </w:rPr>
        <w:t>Para</w:t>
      </w:r>
      <w:r w:rsidRPr="009B71CE" w:rsidR="009C495F">
        <w:rPr>
          <w:rFonts w:ascii="Arial" w:hAnsi="Arial" w:eastAsia="Calibri" w:cs="Arial"/>
          <w:color w:val="000000" w:themeColor="text1"/>
          <w:sz w:val="22"/>
        </w:rPr>
        <w:t xml:space="preserve"> </w:t>
      </w:r>
      <w:r w:rsidRPr="009B71CE" w:rsidR="000B7FDC">
        <w:rPr>
          <w:rFonts w:ascii="Arial" w:hAnsi="Arial" w:eastAsia="Calibri" w:cs="Arial"/>
          <w:color w:val="000000" w:themeColor="text1"/>
          <w:sz w:val="22"/>
        </w:rPr>
        <w:t>absolver los interrogantes planteados</w:t>
      </w:r>
      <w:r w:rsidRPr="009B71CE" w:rsidR="004A303C">
        <w:rPr>
          <w:rFonts w:ascii="Arial" w:hAnsi="Arial" w:eastAsia="Calibri" w:cs="Arial"/>
          <w:color w:val="000000" w:themeColor="text1"/>
          <w:sz w:val="22"/>
        </w:rPr>
        <w:t>, esta dependencia analizará</w:t>
      </w:r>
      <w:r w:rsidRPr="009B71CE" w:rsidR="0033211E">
        <w:rPr>
          <w:rFonts w:ascii="Arial" w:hAnsi="Arial" w:eastAsia="Calibri" w:cs="Arial"/>
          <w:color w:val="000000" w:themeColor="text1"/>
          <w:sz w:val="22"/>
        </w:rPr>
        <w:t xml:space="preserve">: </w:t>
      </w:r>
      <w:r w:rsidRPr="009B71CE" w:rsidR="002667CE">
        <w:rPr>
          <w:rFonts w:ascii="Arial" w:hAnsi="Arial" w:eastAsia="Calibri" w:cs="Arial"/>
          <w:color w:val="000000" w:themeColor="text1"/>
          <w:sz w:val="22"/>
        </w:rPr>
        <w:t xml:space="preserve">i) </w:t>
      </w:r>
      <w:r w:rsidR="004B4320">
        <w:rPr>
          <w:rFonts w:ascii="Arial" w:hAnsi="Arial" w:eastAsia="Calibri" w:cs="Arial"/>
          <w:color w:val="000000" w:themeColor="text1"/>
          <w:sz w:val="22"/>
        </w:rPr>
        <w:t xml:space="preserve">la </w:t>
      </w:r>
      <w:r w:rsidR="00F93D41">
        <w:rPr>
          <w:rFonts w:ascii="Arial" w:hAnsi="Arial" w:eastAsia="Calibri" w:cs="Arial"/>
          <w:color w:val="000000" w:themeColor="text1"/>
          <w:sz w:val="22"/>
        </w:rPr>
        <w:t>normativa general que regula e</w:t>
      </w:r>
      <w:r w:rsidR="00EA1BE2">
        <w:rPr>
          <w:rFonts w:ascii="Arial" w:hAnsi="Arial" w:eastAsia="Calibri" w:cs="Arial"/>
          <w:color w:val="000000" w:themeColor="text1"/>
          <w:sz w:val="22"/>
        </w:rPr>
        <w:t>l proceso de selección</w:t>
      </w:r>
      <w:r>
        <w:rPr>
          <w:rFonts w:ascii="Arial" w:hAnsi="Arial" w:eastAsia="Calibri" w:cs="Arial"/>
          <w:color w:val="000000" w:themeColor="text1"/>
          <w:sz w:val="22"/>
        </w:rPr>
        <w:t xml:space="preserve"> de mínima cuantía</w:t>
      </w:r>
      <w:r w:rsidRPr="009B71CE" w:rsidR="00D82C49">
        <w:rPr>
          <w:rFonts w:ascii="Arial" w:hAnsi="Arial" w:eastAsia="Calibri" w:cs="Arial"/>
          <w:color w:val="000000" w:themeColor="text1"/>
          <w:sz w:val="22"/>
        </w:rPr>
        <w:t>;</w:t>
      </w:r>
      <w:r>
        <w:rPr>
          <w:rFonts w:ascii="Arial" w:hAnsi="Arial" w:eastAsia="Calibri" w:cs="Arial"/>
          <w:color w:val="000000" w:themeColor="text1"/>
          <w:sz w:val="22"/>
        </w:rPr>
        <w:t xml:space="preserve"> </w:t>
      </w:r>
      <w:r w:rsidRPr="009B71CE" w:rsidR="002667CE">
        <w:rPr>
          <w:rFonts w:ascii="Arial" w:hAnsi="Arial" w:eastAsia="Calibri" w:cs="Arial"/>
          <w:color w:val="000000" w:themeColor="text1"/>
          <w:sz w:val="22"/>
        </w:rPr>
        <w:t xml:space="preserve">ii) </w:t>
      </w:r>
      <w:r>
        <w:rPr>
          <w:rFonts w:ascii="Arial" w:hAnsi="Arial" w:eastAsia="Calibri" w:cs="Arial"/>
          <w:color w:val="000000" w:themeColor="text1"/>
          <w:sz w:val="22"/>
        </w:rPr>
        <w:t xml:space="preserve">los requisitos para la apertura de sobres </w:t>
      </w:r>
      <w:r w:rsidR="007B3820">
        <w:rPr>
          <w:rFonts w:ascii="Arial" w:hAnsi="Arial" w:eastAsia="Calibri" w:cs="Arial"/>
          <w:color w:val="000000" w:themeColor="text1"/>
          <w:sz w:val="22"/>
        </w:rPr>
        <w:t>dentro de la modalidad de</w:t>
      </w:r>
      <w:r>
        <w:rPr>
          <w:rFonts w:ascii="Arial" w:hAnsi="Arial" w:eastAsia="Calibri" w:cs="Arial"/>
          <w:color w:val="000000" w:themeColor="text1"/>
          <w:sz w:val="22"/>
        </w:rPr>
        <w:t xml:space="preserve"> selección de mínima cuantía</w:t>
      </w:r>
      <w:r w:rsidR="00E33C19">
        <w:rPr>
          <w:rFonts w:ascii="Arial" w:hAnsi="Arial" w:eastAsia="Calibri" w:cs="Arial"/>
          <w:color w:val="000000" w:themeColor="text1"/>
          <w:sz w:val="22"/>
        </w:rPr>
        <w:t xml:space="preserve"> y</w:t>
      </w:r>
      <w:r>
        <w:rPr>
          <w:rFonts w:ascii="Arial" w:hAnsi="Arial" w:eastAsia="Calibri" w:cs="Arial"/>
          <w:color w:val="000000" w:themeColor="text1"/>
          <w:sz w:val="22"/>
        </w:rPr>
        <w:t xml:space="preserve"> iii) </w:t>
      </w:r>
      <w:r w:rsidR="00A32EF1">
        <w:rPr>
          <w:rFonts w:ascii="Arial" w:hAnsi="Arial" w:eastAsia="Calibri" w:cs="Arial"/>
          <w:color w:val="000000" w:themeColor="text1"/>
          <w:sz w:val="22"/>
        </w:rPr>
        <w:t>las generalidades y la concreción de los principios de publicidad y transparencia en los procesos de mínima cuantía.</w:t>
      </w:r>
      <w:r w:rsidRPr="009B71CE" w:rsidR="008130B6">
        <w:rPr>
          <w:rFonts w:ascii="Arial" w:hAnsi="Arial" w:eastAsia="Calibri" w:cs="Arial"/>
          <w:color w:val="000000" w:themeColor="text1"/>
          <w:sz w:val="22"/>
        </w:rPr>
        <w:t xml:space="preserve"> </w:t>
      </w:r>
    </w:p>
    <w:p w:rsidRPr="009B71CE" w:rsidR="005E3620" w:rsidP="008350A2" w:rsidRDefault="00595BCC" w14:paraId="40606687" w14:textId="437990B3">
      <w:pPr>
        <w:spacing w:before="120" w:line="276" w:lineRule="auto"/>
        <w:jc w:val="both"/>
        <w:rPr>
          <w:rFonts w:ascii="Arial" w:hAnsi="Arial" w:eastAsia="Calibri" w:cs="Arial"/>
          <w:color w:val="000000" w:themeColor="text1"/>
          <w:sz w:val="22"/>
        </w:rPr>
      </w:pPr>
      <w:r w:rsidRPr="009B71CE">
        <w:rPr>
          <w:rFonts w:ascii="Arial" w:hAnsi="Arial" w:eastAsia="Calibri" w:cs="Arial"/>
          <w:color w:val="000000" w:themeColor="text1"/>
          <w:sz w:val="22"/>
        </w:rPr>
        <w:lastRenderedPageBreak/>
        <w:tab/>
      </w:r>
      <w:r w:rsidRPr="009B71CE" w:rsidR="004A303C">
        <w:rPr>
          <w:rFonts w:ascii="Arial" w:hAnsi="Arial" w:eastAsia="Calibri" w:cs="Arial"/>
          <w:color w:val="000000" w:themeColor="text1"/>
          <w:sz w:val="22"/>
        </w:rPr>
        <w:t>El asunto en mención ha sido abordado previamente por la Agencia Nacional de Contratación Pública – Colombia Co</w:t>
      </w:r>
      <w:r w:rsidRPr="009B71CE" w:rsidR="002667CE">
        <w:rPr>
          <w:rFonts w:ascii="Arial" w:hAnsi="Arial" w:eastAsia="Calibri" w:cs="Arial"/>
          <w:color w:val="000000" w:themeColor="text1"/>
          <w:sz w:val="22"/>
        </w:rPr>
        <w:t xml:space="preserve">mpra Eficiente en los conceptos </w:t>
      </w:r>
      <w:r w:rsidRPr="004C4A9B" w:rsidR="004C4A9B">
        <w:rPr>
          <w:rFonts w:ascii="Arial" w:hAnsi="Arial" w:eastAsia="Calibri" w:cs="Arial"/>
          <w:color w:val="000000" w:themeColor="text1"/>
          <w:sz w:val="22"/>
          <w:lang w:val="es-ES"/>
        </w:rPr>
        <w:t>4201913000005162</w:t>
      </w:r>
      <w:r w:rsidR="00000689">
        <w:rPr>
          <w:rFonts w:ascii="Arial" w:hAnsi="Arial" w:eastAsia="Calibri" w:cs="Arial"/>
          <w:color w:val="000000" w:themeColor="text1"/>
          <w:sz w:val="22"/>
          <w:lang w:val="es-ES"/>
        </w:rPr>
        <w:t xml:space="preserve"> del 9 de septiembre de 2019</w:t>
      </w:r>
      <w:r w:rsidR="004C4A9B">
        <w:rPr>
          <w:rFonts w:ascii="Arial" w:hAnsi="Arial" w:eastAsia="Calibri" w:cs="Arial"/>
          <w:color w:val="000000" w:themeColor="text1"/>
          <w:sz w:val="22"/>
        </w:rPr>
        <w:t xml:space="preserve">, </w:t>
      </w:r>
      <w:r w:rsidRPr="004C4A9B" w:rsidR="004C4A9B">
        <w:rPr>
          <w:rFonts w:ascii="Arial" w:hAnsi="Arial" w:eastAsia="Calibri" w:cs="Arial"/>
          <w:color w:val="000000" w:themeColor="text1"/>
          <w:sz w:val="22"/>
          <w:lang w:val="es-ES"/>
        </w:rPr>
        <w:t>4201912000005935 del 25 de noviembre de 2019</w:t>
      </w:r>
      <w:r w:rsidR="004C4A9B">
        <w:rPr>
          <w:rFonts w:ascii="Arial" w:hAnsi="Arial" w:eastAsia="Calibri" w:cs="Arial"/>
          <w:color w:val="000000" w:themeColor="text1"/>
          <w:sz w:val="22"/>
        </w:rPr>
        <w:t xml:space="preserve"> y </w:t>
      </w:r>
      <w:r w:rsidRPr="004C4A9B" w:rsidR="004C4A9B">
        <w:rPr>
          <w:rFonts w:ascii="Arial" w:hAnsi="Arial" w:eastAsia="Calibri" w:cs="Arial"/>
          <w:color w:val="000000" w:themeColor="text1"/>
          <w:sz w:val="22"/>
          <w:lang w:val="es-ES"/>
        </w:rPr>
        <w:t>C–575 de 2020</w:t>
      </w:r>
      <w:r w:rsidRPr="009B71CE" w:rsidR="009877E9">
        <w:rPr>
          <w:rFonts w:ascii="Arial" w:hAnsi="Arial" w:eastAsia="Calibri" w:cs="Arial"/>
          <w:color w:val="000000" w:themeColor="text1"/>
          <w:sz w:val="22"/>
        </w:rPr>
        <w:t>.</w:t>
      </w:r>
      <w:r w:rsidR="00355A99">
        <w:rPr>
          <w:rFonts w:ascii="Arial" w:hAnsi="Arial" w:eastAsia="Calibri" w:cs="Arial"/>
          <w:color w:val="000000" w:themeColor="text1"/>
          <w:sz w:val="22"/>
        </w:rPr>
        <w:t xml:space="preserve"> Las ideas expuestas en tales oportunidades se reiteran a continuación.</w:t>
      </w:r>
      <w:r w:rsidRPr="009B71CE" w:rsidR="009877E9">
        <w:rPr>
          <w:rFonts w:ascii="Arial" w:hAnsi="Arial" w:eastAsia="Calibri" w:cs="Arial"/>
          <w:color w:val="000000" w:themeColor="text1"/>
          <w:sz w:val="22"/>
        </w:rPr>
        <w:t xml:space="preserve"> </w:t>
      </w:r>
    </w:p>
    <w:p w:rsidRPr="00C12EE0" w:rsidR="004A303C" w:rsidP="004A303C" w:rsidRDefault="004A303C" w14:paraId="1F7E8681" w14:textId="77777777">
      <w:pPr>
        <w:tabs>
          <w:tab w:val="left" w:pos="426"/>
        </w:tabs>
        <w:spacing w:line="276" w:lineRule="auto"/>
        <w:jc w:val="both"/>
        <w:rPr>
          <w:rFonts w:ascii="Arial" w:hAnsi="Arial" w:eastAsia="Calibri" w:cs="Arial"/>
          <w:b/>
          <w:color w:val="000000" w:themeColor="text1"/>
          <w:sz w:val="22"/>
          <w:lang w:val="es-ES"/>
        </w:rPr>
      </w:pPr>
    </w:p>
    <w:p w:rsidRPr="00C12EE0" w:rsidR="004A303C" w:rsidP="00DB32EE" w:rsidRDefault="00714BFA" w14:paraId="53FAD07D" w14:textId="4283EF65">
      <w:pPr>
        <w:pStyle w:val="Prrafodelista"/>
        <w:numPr>
          <w:ilvl w:val="1"/>
          <w:numId w:val="6"/>
        </w:numPr>
        <w:tabs>
          <w:tab w:val="left" w:pos="426"/>
        </w:tabs>
        <w:spacing w:line="276" w:lineRule="auto"/>
        <w:ind w:left="426" w:hanging="426"/>
        <w:jc w:val="both"/>
        <w:rPr>
          <w:rFonts w:ascii="Arial" w:hAnsi="Arial" w:eastAsia="Calibri" w:cs="Arial"/>
          <w:b/>
          <w:color w:val="000000" w:themeColor="text1"/>
          <w:sz w:val="22"/>
          <w:lang w:val="es-ES"/>
        </w:rPr>
      </w:pPr>
      <w:r w:rsidRPr="00C12EE0">
        <w:rPr>
          <w:rFonts w:ascii="Arial" w:hAnsi="Arial" w:eastAsia="Calibri" w:cs="Arial"/>
          <w:b/>
          <w:color w:val="000000" w:themeColor="text1"/>
          <w:sz w:val="22"/>
          <w:lang w:val="es-ES"/>
        </w:rPr>
        <w:t>Marco normativo</w:t>
      </w:r>
    </w:p>
    <w:p w:rsidR="005B03D8" w:rsidP="00BC7D91" w:rsidRDefault="005B03D8" w14:paraId="3D70FBB9" w14:textId="73330B8D">
      <w:pPr>
        <w:tabs>
          <w:tab w:val="left" w:pos="426"/>
        </w:tabs>
        <w:spacing w:line="276" w:lineRule="auto"/>
        <w:jc w:val="both"/>
        <w:rPr>
          <w:rFonts w:ascii="Arial" w:hAnsi="Arial" w:eastAsia="Calibri" w:cs="Arial"/>
          <w:color w:val="000000" w:themeColor="text1"/>
          <w:sz w:val="22"/>
        </w:rPr>
      </w:pPr>
    </w:p>
    <w:p w:rsidR="002E45E1" w:rsidP="002E45E1" w:rsidRDefault="004F7733" w14:paraId="72F54944" w14:textId="249BFEE3">
      <w:pPr>
        <w:tabs>
          <w:tab w:val="left" w:pos="709"/>
        </w:tabs>
        <w:spacing w:line="276" w:lineRule="auto"/>
        <w:jc w:val="both"/>
        <w:rPr>
          <w:rFonts w:ascii="Arial" w:hAnsi="Arial" w:eastAsia="Calibri" w:cs="Arial"/>
          <w:color w:val="000000" w:themeColor="text1"/>
          <w:sz w:val="22"/>
        </w:rPr>
      </w:pPr>
      <w:r>
        <w:rPr>
          <w:rFonts w:ascii="Arial" w:hAnsi="Arial" w:eastAsia="Calibri" w:cs="Arial"/>
          <w:color w:val="000000" w:themeColor="text1"/>
          <w:sz w:val="22"/>
        </w:rPr>
        <w:t>L</w:t>
      </w:r>
      <w:r w:rsidRPr="004C4A9B" w:rsidR="004C4A9B">
        <w:rPr>
          <w:rFonts w:ascii="Arial" w:hAnsi="Arial" w:eastAsia="Calibri" w:cs="Arial"/>
          <w:color w:val="000000" w:themeColor="text1"/>
          <w:sz w:val="22"/>
        </w:rPr>
        <w:t xml:space="preserve">a Ley 1150 de 2007 determinó las modalidades de selección aplicables en materia de contratación pública a través de su artículo segundo. </w:t>
      </w:r>
      <w:r w:rsidR="007B3820">
        <w:rPr>
          <w:rFonts w:ascii="Arial" w:hAnsi="Arial" w:eastAsia="Calibri" w:cs="Arial"/>
          <w:color w:val="000000" w:themeColor="text1"/>
          <w:sz w:val="22"/>
        </w:rPr>
        <w:t>L</w:t>
      </w:r>
      <w:r w:rsidRPr="004C4A9B" w:rsidR="004C4A9B">
        <w:rPr>
          <w:rFonts w:ascii="Arial" w:hAnsi="Arial" w:eastAsia="Calibri" w:cs="Arial"/>
          <w:color w:val="000000" w:themeColor="text1"/>
          <w:sz w:val="22"/>
        </w:rPr>
        <w:t>a norma</w:t>
      </w:r>
      <w:r w:rsidR="007B3820">
        <w:rPr>
          <w:rFonts w:ascii="Arial" w:hAnsi="Arial" w:eastAsia="Calibri" w:cs="Arial"/>
          <w:color w:val="000000" w:themeColor="text1"/>
          <w:sz w:val="22"/>
        </w:rPr>
        <w:t xml:space="preserve"> referida</w:t>
      </w:r>
      <w:r w:rsidRPr="004C4A9B" w:rsidR="004C4A9B">
        <w:rPr>
          <w:rFonts w:ascii="Arial" w:hAnsi="Arial" w:eastAsia="Calibri" w:cs="Arial"/>
          <w:color w:val="000000" w:themeColor="text1"/>
          <w:sz w:val="22"/>
        </w:rPr>
        <w:t xml:space="preserve"> indicó que «[…] la escogencia del contratista se efectuará por regla general </w:t>
      </w:r>
      <w:r w:rsidR="008C634D">
        <w:rPr>
          <w:rFonts w:ascii="Arial" w:hAnsi="Arial" w:eastAsia="Calibri" w:cs="Arial"/>
          <w:color w:val="000000" w:themeColor="text1"/>
          <w:sz w:val="22"/>
        </w:rPr>
        <w:t>bajo la modalidad</w:t>
      </w:r>
      <w:r w:rsidRPr="004C4A9B" w:rsidR="004C4A9B">
        <w:rPr>
          <w:rFonts w:ascii="Arial" w:hAnsi="Arial" w:eastAsia="Calibri" w:cs="Arial"/>
          <w:color w:val="000000" w:themeColor="text1"/>
          <w:sz w:val="22"/>
        </w:rPr>
        <w:t xml:space="preserve"> de licitación pública, con las excepciones que se señalan en los numerales 2, 3 y 4 del presente artículo». Por su parte, el numeral quinto de</w:t>
      </w:r>
      <w:r w:rsidR="002E45E1">
        <w:rPr>
          <w:rFonts w:ascii="Arial" w:hAnsi="Arial" w:eastAsia="Calibri" w:cs="Arial"/>
          <w:color w:val="000000" w:themeColor="text1"/>
          <w:sz w:val="22"/>
        </w:rPr>
        <w:t>l citado artículo segundo</w:t>
      </w:r>
      <w:r w:rsidRPr="004C4A9B" w:rsidR="004C4A9B">
        <w:rPr>
          <w:rFonts w:ascii="Arial" w:hAnsi="Arial" w:eastAsia="Calibri" w:cs="Arial"/>
          <w:color w:val="000000" w:themeColor="text1"/>
          <w:sz w:val="22"/>
        </w:rPr>
        <w:t xml:space="preserve">, modificado por el artículo 94 de la Ley 1474 de 2011, reguló la modalidad de contratación </w:t>
      </w:r>
      <w:r w:rsidR="00AE37A4">
        <w:rPr>
          <w:rFonts w:ascii="Arial" w:hAnsi="Arial" w:eastAsia="Calibri" w:cs="Arial"/>
          <w:color w:val="000000" w:themeColor="text1"/>
          <w:sz w:val="22"/>
        </w:rPr>
        <w:t>de</w:t>
      </w:r>
      <w:r w:rsidRPr="004C4A9B" w:rsidR="00AE37A4">
        <w:rPr>
          <w:rFonts w:ascii="Arial" w:hAnsi="Arial" w:eastAsia="Calibri" w:cs="Arial"/>
          <w:color w:val="000000" w:themeColor="text1"/>
          <w:sz w:val="22"/>
        </w:rPr>
        <w:t xml:space="preserve"> </w:t>
      </w:r>
      <w:r w:rsidRPr="004C4A9B" w:rsidR="004C4A9B">
        <w:rPr>
          <w:rFonts w:ascii="Arial" w:hAnsi="Arial" w:eastAsia="Calibri" w:cs="Arial"/>
          <w:color w:val="000000" w:themeColor="text1"/>
          <w:sz w:val="22"/>
        </w:rPr>
        <w:t xml:space="preserve">mínima cuantía, determinando </w:t>
      </w:r>
      <w:r w:rsidR="002E45E1">
        <w:rPr>
          <w:rFonts w:ascii="Arial" w:hAnsi="Arial" w:eastAsia="Calibri" w:cs="Arial"/>
          <w:color w:val="000000" w:themeColor="text1"/>
          <w:sz w:val="22"/>
        </w:rPr>
        <w:t>mandatos especiales para su procedimiento</w:t>
      </w:r>
      <w:r w:rsidR="00A44602">
        <w:rPr>
          <w:rFonts w:ascii="Arial" w:hAnsi="Arial" w:eastAsia="Calibri" w:cs="Arial"/>
          <w:color w:val="000000" w:themeColor="text1"/>
          <w:sz w:val="22"/>
        </w:rPr>
        <w:t>.</w:t>
      </w:r>
      <w:r w:rsidR="005E3620">
        <w:rPr>
          <w:rFonts w:ascii="Arial" w:hAnsi="Arial" w:eastAsia="Calibri" w:cs="Arial"/>
          <w:color w:val="000000" w:themeColor="text1"/>
          <w:sz w:val="22"/>
        </w:rPr>
        <w:t xml:space="preserve"> </w:t>
      </w:r>
      <w:r w:rsidR="00A44602">
        <w:rPr>
          <w:rFonts w:ascii="Arial" w:hAnsi="Arial" w:eastAsia="Calibri" w:cs="Arial"/>
          <w:color w:val="000000" w:themeColor="text1"/>
          <w:sz w:val="22"/>
        </w:rPr>
        <w:t xml:space="preserve">También </w:t>
      </w:r>
      <w:r w:rsidR="005E3620">
        <w:rPr>
          <w:rFonts w:ascii="Arial" w:hAnsi="Arial" w:eastAsia="Calibri" w:cs="Arial"/>
          <w:color w:val="000000" w:themeColor="text1"/>
          <w:sz w:val="22"/>
        </w:rPr>
        <w:t xml:space="preserve">proscribió </w:t>
      </w:r>
      <w:r w:rsidR="00A44602">
        <w:rPr>
          <w:rFonts w:ascii="Arial" w:hAnsi="Arial" w:eastAsia="Calibri" w:cs="Arial"/>
          <w:color w:val="000000" w:themeColor="text1"/>
          <w:sz w:val="22"/>
        </w:rPr>
        <w:t xml:space="preserve">que </w:t>
      </w:r>
      <w:r w:rsidR="005E3620">
        <w:rPr>
          <w:rFonts w:ascii="Arial" w:hAnsi="Arial" w:eastAsia="Calibri" w:cs="Arial"/>
          <w:color w:val="000000" w:themeColor="text1"/>
          <w:sz w:val="22"/>
        </w:rPr>
        <w:t>este tipo de contratación</w:t>
      </w:r>
      <w:r w:rsidRPr="004C4A9B" w:rsidR="004C4A9B">
        <w:rPr>
          <w:rFonts w:ascii="Arial" w:hAnsi="Arial" w:eastAsia="Calibri" w:cs="Arial"/>
          <w:color w:val="000000" w:themeColor="text1"/>
          <w:sz w:val="22"/>
        </w:rPr>
        <w:t xml:space="preserve"> tiene lugar cuando el valor del instrumento a celebrar no supera el diez por ciento de la menor cuantía prevista para la entidad contratante.</w:t>
      </w:r>
    </w:p>
    <w:p w:rsidR="002E45E1" w:rsidP="008350A2" w:rsidRDefault="002E45E1" w14:paraId="31985197" w14:textId="59A95EB9">
      <w:pPr>
        <w:tabs>
          <w:tab w:val="left" w:pos="709"/>
        </w:tabs>
        <w:spacing w:before="120" w:line="276" w:lineRule="auto"/>
        <w:jc w:val="both"/>
        <w:rPr>
          <w:rFonts w:ascii="Arial" w:hAnsi="Arial" w:eastAsia="Calibri" w:cs="Arial"/>
          <w:color w:val="000000" w:themeColor="text1"/>
          <w:sz w:val="22"/>
        </w:rPr>
      </w:pPr>
      <w:r>
        <w:rPr>
          <w:rFonts w:ascii="Arial" w:hAnsi="Arial" w:eastAsia="Calibri" w:cs="Arial"/>
          <w:color w:val="000000" w:themeColor="text1"/>
          <w:sz w:val="22"/>
        </w:rPr>
        <w:tab/>
      </w:r>
      <w:r w:rsidR="00391429">
        <w:rPr>
          <w:rFonts w:ascii="Arial" w:hAnsi="Arial" w:eastAsia="Calibri" w:cs="Arial"/>
          <w:color w:val="000000" w:themeColor="text1"/>
          <w:sz w:val="22"/>
        </w:rPr>
        <w:t xml:space="preserve">En cuanto al proceso de selección para la </w:t>
      </w:r>
      <w:r w:rsidR="005E3620">
        <w:rPr>
          <w:rFonts w:ascii="Arial" w:hAnsi="Arial" w:eastAsia="Calibri" w:cs="Arial"/>
          <w:color w:val="000000" w:themeColor="text1"/>
          <w:sz w:val="22"/>
        </w:rPr>
        <w:t>modalidad</w:t>
      </w:r>
      <w:r w:rsidR="00391429">
        <w:rPr>
          <w:rFonts w:ascii="Arial" w:hAnsi="Arial" w:eastAsia="Calibri" w:cs="Arial"/>
          <w:color w:val="000000" w:themeColor="text1"/>
          <w:sz w:val="22"/>
        </w:rPr>
        <w:t xml:space="preserve"> de mínima cuantía </w:t>
      </w:r>
      <w:r w:rsidR="005E3620">
        <w:rPr>
          <w:rFonts w:ascii="Arial" w:hAnsi="Arial" w:eastAsia="Calibri" w:cs="Arial"/>
          <w:color w:val="000000" w:themeColor="text1"/>
          <w:sz w:val="22"/>
        </w:rPr>
        <w:t xml:space="preserve">se destaca que </w:t>
      </w:r>
      <w:r w:rsidR="00391429">
        <w:rPr>
          <w:rFonts w:ascii="Arial" w:hAnsi="Arial" w:eastAsia="Calibri" w:cs="Arial"/>
          <w:color w:val="000000" w:themeColor="text1"/>
          <w:sz w:val="22"/>
        </w:rPr>
        <w:t xml:space="preserve">la entidad estatal debe </w:t>
      </w:r>
      <w:r w:rsidR="00955F59">
        <w:rPr>
          <w:rFonts w:ascii="Arial" w:hAnsi="Arial" w:eastAsia="Calibri" w:cs="Arial"/>
          <w:color w:val="000000" w:themeColor="text1"/>
          <w:sz w:val="22"/>
        </w:rPr>
        <w:t>obedecer</w:t>
      </w:r>
      <w:r w:rsidR="00391429">
        <w:rPr>
          <w:rFonts w:ascii="Arial" w:hAnsi="Arial" w:eastAsia="Calibri" w:cs="Arial"/>
          <w:color w:val="000000" w:themeColor="text1"/>
          <w:sz w:val="22"/>
        </w:rPr>
        <w:t xml:space="preserve"> los preceptos contenidos en el Decreto 1082 de 2015</w:t>
      </w:r>
      <w:r w:rsidR="00955F59">
        <w:rPr>
          <w:rFonts w:ascii="Arial" w:hAnsi="Arial" w:eastAsia="Calibri" w:cs="Arial"/>
          <w:color w:val="000000" w:themeColor="text1"/>
          <w:sz w:val="22"/>
        </w:rPr>
        <w:t>. En tal sentido, debe</w:t>
      </w:r>
      <w:r w:rsidR="00391429">
        <w:rPr>
          <w:rFonts w:ascii="Arial" w:hAnsi="Arial" w:eastAsia="Calibri" w:cs="Arial"/>
          <w:color w:val="000000" w:themeColor="text1"/>
          <w:sz w:val="22"/>
        </w:rPr>
        <w:t xml:space="preserve"> adelanta</w:t>
      </w:r>
      <w:r w:rsidR="00955F59">
        <w:rPr>
          <w:rFonts w:ascii="Arial" w:hAnsi="Arial" w:eastAsia="Calibri" w:cs="Arial"/>
          <w:color w:val="000000" w:themeColor="text1"/>
          <w:sz w:val="22"/>
        </w:rPr>
        <w:t>r</w:t>
      </w:r>
      <w:r w:rsidR="00391429">
        <w:rPr>
          <w:rFonts w:ascii="Arial" w:hAnsi="Arial" w:eastAsia="Calibri" w:cs="Arial"/>
          <w:color w:val="000000" w:themeColor="text1"/>
          <w:sz w:val="22"/>
        </w:rPr>
        <w:t xml:space="preserve"> estudios previos que permitan describir </w:t>
      </w:r>
      <w:r w:rsidRPr="00391429" w:rsidR="00391429">
        <w:rPr>
          <w:rFonts w:ascii="Arial" w:hAnsi="Arial" w:eastAsia="Calibri" w:cs="Arial"/>
          <w:color w:val="000000" w:themeColor="text1"/>
          <w:sz w:val="22"/>
          <w:lang w:val="es-CO"/>
        </w:rPr>
        <w:t xml:space="preserve">la necesidad a satisfacer, el objeto de la </w:t>
      </w:r>
      <w:r w:rsidRPr="00391429" w:rsidR="0027334D">
        <w:rPr>
          <w:rFonts w:ascii="Arial" w:hAnsi="Arial" w:eastAsia="Calibri" w:cs="Arial"/>
          <w:color w:val="000000" w:themeColor="text1"/>
          <w:sz w:val="22"/>
          <w:lang w:val="es-CO"/>
        </w:rPr>
        <w:t>contratación</w:t>
      </w:r>
      <w:r w:rsidRPr="00391429" w:rsidR="00391429">
        <w:rPr>
          <w:rFonts w:ascii="Arial" w:hAnsi="Arial" w:eastAsia="Calibri" w:cs="Arial"/>
          <w:color w:val="000000" w:themeColor="text1"/>
          <w:sz w:val="22"/>
          <w:lang w:val="es-CO"/>
        </w:rPr>
        <w:t xml:space="preserve">, las condiciones </w:t>
      </w:r>
      <w:r w:rsidRPr="00391429" w:rsidR="0027334D">
        <w:rPr>
          <w:rFonts w:ascii="Arial" w:hAnsi="Arial" w:eastAsia="Calibri" w:cs="Arial"/>
          <w:color w:val="000000" w:themeColor="text1"/>
          <w:sz w:val="22"/>
          <w:lang w:val="es-CO"/>
        </w:rPr>
        <w:t>técnicas</w:t>
      </w:r>
      <w:r w:rsidRPr="00391429" w:rsidR="00391429">
        <w:rPr>
          <w:rFonts w:ascii="Arial" w:hAnsi="Arial" w:eastAsia="Calibri" w:cs="Arial"/>
          <w:color w:val="000000" w:themeColor="text1"/>
          <w:sz w:val="22"/>
          <w:lang w:val="es-CO"/>
        </w:rPr>
        <w:t xml:space="preserve">, el valor, el plazo de </w:t>
      </w:r>
      <w:r w:rsidRPr="00391429" w:rsidR="0027334D">
        <w:rPr>
          <w:rFonts w:ascii="Arial" w:hAnsi="Arial" w:eastAsia="Calibri" w:cs="Arial"/>
          <w:color w:val="000000" w:themeColor="text1"/>
          <w:sz w:val="22"/>
          <w:lang w:val="es-CO"/>
        </w:rPr>
        <w:t>ejecución</w:t>
      </w:r>
      <w:r w:rsidRPr="00391429" w:rsidR="00391429">
        <w:rPr>
          <w:rFonts w:ascii="Arial" w:hAnsi="Arial" w:eastAsia="Calibri" w:cs="Arial"/>
          <w:color w:val="000000" w:themeColor="text1"/>
          <w:sz w:val="22"/>
          <w:lang w:val="es-CO"/>
        </w:rPr>
        <w:t xml:space="preserve"> y el certificado de disponibilidad</w:t>
      </w:r>
      <w:r w:rsidR="00955F59">
        <w:rPr>
          <w:rFonts w:ascii="Arial" w:hAnsi="Arial" w:eastAsia="Calibri" w:cs="Arial"/>
          <w:color w:val="000000" w:themeColor="text1"/>
          <w:sz w:val="22"/>
          <w:lang w:val="es-CO"/>
        </w:rPr>
        <w:t xml:space="preserve"> presupuestal</w:t>
      </w:r>
      <w:r w:rsidR="00391429">
        <w:rPr>
          <w:rStyle w:val="Refdenotaalpie"/>
          <w:rFonts w:ascii="Arial" w:hAnsi="Arial" w:eastAsia="Calibri" w:cs="Arial"/>
          <w:color w:val="000000" w:themeColor="text1"/>
          <w:sz w:val="22"/>
          <w:lang w:val="es-CO"/>
        </w:rPr>
        <w:footnoteReference w:id="2"/>
      </w:r>
      <w:r w:rsidR="00391429">
        <w:rPr>
          <w:rFonts w:ascii="Arial" w:hAnsi="Arial" w:eastAsia="Calibri" w:cs="Arial"/>
          <w:color w:val="000000" w:themeColor="text1"/>
          <w:sz w:val="22"/>
          <w:lang w:val="es-CO"/>
        </w:rPr>
        <w:t xml:space="preserve">. Así mismo, </w:t>
      </w:r>
      <w:r w:rsidR="00B640E5">
        <w:rPr>
          <w:rFonts w:ascii="Arial" w:hAnsi="Arial" w:eastAsia="Calibri" w:cs="Arial"/>
          <w:color w:val="000000" w:themeColor="text1"/>
          <w:sz w:val="22"/>
          <w:lang w:val="es-CO"/>
        </w:rPr>
        <w:t xml:space="preserve">de acuerdo con </w:t>
      </w:r>
      <w:r w:rsidR="00795884">
        <w:rPr>
          <w:rFonts w:ascii="Arial" w:hAnsi="Arial" w:eastAsia="Calibri" w:cs="Arial"/>
          <w:color w:val="000000" w:themeColor="text1"/>
          <w:sz w:val="22"/>
          <w:lang w:val="es-CO"/>
        </w:rPr>
        <w:t>el artículo segundo de la</w:t>
      </w:r>
      <w:r w:rsidR="00B640E5">
        <w:rPr>
          <w:rFonts w:ascii="Arial" w:hAnsi="Arial" w:eastAsia="Calibri" w:cs="Arial"/>
          <w:color w:val="000000" w:themeColor="text1"/>
          <w:sz w:val="22"/>
          <w:lang w:val="es-CO"/>
        </w:rPr>
        <w:t xml:space="preserve"> Ley 1150 de 2007, </w:t>
      </w:r>
      <w:r>
        <w:rPr>
          <w:rFonts w:ascii="Arial" w:hAnsi="Arial" w:eastAsia="Calibri" w:cs="Arial"/>
          <w:color w:val="000000" w:themeColor="text1"/>
          <w:sz w:val="22"/>
        </w:rPr>
        <w:t xml:space="preserve">debe </w:t>
      </w:r>
      <w:r w:rsidR="00B640E5">
        <w:rPr>
          <w:rFonts w:ascii="Arial" w:hAnsi="Arial" w:eastAsia="Calibri" w:cs="Arial"/>
          <w:color w:val="000000" w:themeColor="text1"/>
          <w:sz w:val="22"/>
        </w:rPr>
        <w:t>seguir</w:t>
      </w:r>
      <w:r>
        <w:rPr>
          <w:rFonts w:ascii="Arial" w:hAnsi="Arial" w:eastAsia="Calibri" w:cs="Arial"/>
          <w:color w:val="000000" w:themeColor="text1"/>
          <w:sz w:val="22"/>
        </w:rPr>
        <w:t xml:space="preserve"> el siguiente procedimiento general: </w:t>
      </w:r>
    </w:p>
    <w:p w:rsidR="00391429" w:rsidP="002E45E1" w:rsidRDefault="00391429" w14:paraId="1AA985D5" w14:textId="77777777">
      <w:pPr>
        <w:tabs>
          <w:tab w:val="left" w:pos="709"/>
        </w:tabs>
        <w:spacing w:line="276" w:lineRule="auto"/>
        <w:jc w:val="both"/>
        <w:rPr>
          <w:rFonts w:ascii="Arial" w:hAnsi="Arial" w:eastAsia="Calibri" w:cs="Arial"/>
          <w:color w:val="000000" w:themeColor="text1"/>
          <w:sz w:val="22"/>
        </w:rPr>
      </w:pPr>
    </w:p>
    <w:p w:rsidRPr="00391429" w:rsidR="002E45E1" w:rsidP="00391429" w:rsidRDefault="002E45E1" w14:paraId="18789334" w14:textId="7919FB05">
      <w:pPr>
        <w:tabs>
          <w:tab w:val="left" w:pos="709"/>
        </w:tabs>
        <w:ind w:left="709" w:right="709"/>
        <w:jc w:val="both"/>
        <w:rPr>
          <w:rFonts w:ascii="Arial" w:hAnsi="Arial" w:eastAsia="Calibri" w:cs="Arial"/>
          <w:color w:val="000000" w:themeColor="text1"/>
          <w:sz w:val="21"/>
          <w:szCs w:val="21"/>
          <w:lang w:val="es-CO"/>
        </w:rPr>
      </w:pPr>
      <w:r w:rsidRPr="002E45E1">
        <w:rPr>
          <w:rFonts w:ascii="Arial" w:hAnsi="Arial" w:eastAsia="Calibri" w:cs="Arial"/>
          <w:color w:val="000000" w:themeColor="text1"/>
          <w:sz w:val="21"/>
          <w:szCs w:val="21"/>
          <w:lang w:val="es-CO"/>
        </w:rPr>
        <w:t>a) Se publicará una invitación, por un término no inferior a un día hábil, en la cual se señalará el objeto a contratar, el presupuesto destinado para tal fin, así como las condiciones técnicas exigidas; b) El término previsto en la invitación para presentar la oferta no podrá ser inferior a un día hábil; c) La entidad seleccionará, mediante comunicación de aceptación de la oferta, la propuesta con el menor precio, siempre y cuando cumpla con las condiciones exigidas; d) La comunicación de aceptación junto con la oferta constituyen para todos los efectos el contrato celebrado, con base en lo cual se efectuará el respectivo registro presupuestal.</w:t>
      </w:r>
    </w:p>
    <w:p w:rsidR="00391429" w:rsidP="002E45E1" w:rsidRDefault="00391429" w14:paraId="0FF690AD" w14:textId="77777777">
      <w:pPr>
        <w:tabs>
          <w:tab w:val="left" w:pos="709"/>
        </w:tabs>
        <w:spacing w:line="276" w:lineRule="auto"/>
        <w:jc w:val="both"/>
        <w:rPr>
          <w:rFonts w:ascii="Arial" w:hAnsi="Arial" w:eastAsia="Calibri" w:cs="Arial"/>
          <w:color w:val="000000" w:themeColor="text1"/>
          <w:sz w:val="22"/>
        </w:rPr>
      </w:pPr>
    </w:p>
    <w:p w:rsidR="004C4A9B" w:rsidP="002E45E1" w:rsidRDefault="00B640E5" w14:paraId="084F0DEC" w14:textId="7196D32D">
      <w:pPr>
        <w:tabs>
          <w:tab w:val="left" w:pos="709"/>
        </w:tabs>
        <w:spacing w:line="276" w:lineRule="auto"/>
        <w:jc w:val="both"/>
        <w:rPr>
          <w:rFonts w:ascii="Arial" w:hAnsi="Arial" w:eastAsia="Calibri" w:cs="Arial"/>
          <w:color w:val="000000" w:themeColor="text1"/>
          <w:sz w:val="22"/>
        </w:rPr>
      </w:pPr>
      <w:r>
        <w:rPr>
          <w:rFonts w:ascii="Arial" w:hAnsi="Arial" w:eastAsia="Calibri" w:cs="Arial"/>
          <w:color w:val="000000" w:themeColor="text1"/>
          <w:sz w:val="22"/>
        </w:rPr>
        <w:tab/>
      </w:r>
      <w:r w:rsidRPr="004C4A9B" w:rsidR="004C4A9B">
        <w:rPr>
          <w:rFonts w:ascii="Arial" w:hAnsi="Arial" w:eastAsia="Calibri" w:cs="Arial"/>
          <w:color w:val="000000" w:themeColor="text1"/>
          <w:sz w:val="22"/>
        </w:rPr>
        <w:t xml:space="preserve">En estos casos, tal como </w:t>
      </w:r>
      <w:r w:rsidR="005E3620">
        <w:rPr>
          <w:rFonts w:ascii="Arial" w:hAnsi="Arial" w:eastAsia="Calibri" w:cs="Arial"/>
          <w:color w:val="000000" w:themeColor="text1"/>
          <w:sz w:val="22"/>
        </w:rPr>
        <w:t>indica</w:t>
      </w:r>
      <w:r w:rsidRPr="004C4A9B" w:rsidR="004C4A9B">
        <w:rPr>
          <w:rFonts w:ascii="Arial" w:hAnsi="Arial" w:eastAsia="Calibri" w:cs="Arial"/>
          <w:color w:val="000000" w:themeColor="text1"/>
          <w:sz w:val="22"/>
        </w:rPr>
        <w:t xml:space="preserve"> el Manual de la Modalidad de Selección de Mínima Cuantía</w:t>
      </w:r>
      <w:r>
        <w:rPr>
          <w:rFonts w:ascii="Arial" w:hAnsi="Arial" w:eastAsia="Calibri" w:cs="Arial"/>
          <w:color w:val="000000" w:themeColor="text1"/>
          <w:sz w:val="22"/>
        </w:rPr>
        <w:t xml:space="preserve"> desarrollado por la </w:t>
      </w:r>
      <w:r w:rsidRPr="009B71CE">
        <w:rPr>
          <w:rFonts w:ascii="Arial" w:hAnsi="Arial" w:eastAsia="Calibri" w:cs="Arial"/>
          <w:color w:val="000000" w:themeColor="text1"/>
          <w:sz w:val="22"/>
        </w:rPr>
        <w:t>Agencia Nacional de Contratación Pública – Colombia Compra Eficiente</w:t>
      </w:r>
      <w:r w:rsidRPr="004C4A9B" w:rsidR="004C4A9B">
        <w:rPr>
          <w:rFonts w:ascii="Arial" w:hAnsi="Arial" w:eastAsia="Calibri" w:cs="Arial"/>
          <w:color w:val="000000" w:themeColor="text1"/>
          <w:sz w:val="22"/>
        </w:rPr>
        <w:t>, el valor de la oferta constituye el único factor de selección</w:t>
      </w:r>
      <w:r w:rsidR="002C163C">
        <w:rPr>
          <w:rFonts w:ascii="Arial" w:hAnsi="Arial" w:eastAsia="Calibri" w:cs="Arial"/>
          <w:color w:val="000000" w:themeColor="text1"/>
          <w:sz w:val="22"/>
        </w:rPr>
        <w:t>.</w:t>
      </w:r>
      <w:r w:rsidRPr="004C4A9B" w:rsidR="004C4A9B">
        <w:rPr>
          <w:rFonts w:ascii="Arial" w:hAnsi="Arial" w:eastAsia="Calibri" w:cs="Arial"/>
          <w:color w:val="000000" w:themeColor="text1"/>
          <w:sz w:val="22"/>
        </w:rPr>
        <w:t xml:space="preserve"> </w:t>
      </w:r>
      <w:r w:rsidR="002C163C">
        <w:rPr>
          <w:rFonts w:ascii="Arial" w:hAnsi="Arial" w:eastAsia="Calibri" w:cs="Arial"/>
          <w:color w:val="000000" w:themeColor="text1"/>
          <w:sz w:val="22"/>
        </w:rPr>
        <w:t>P</w:t>
      </w:r>
      <w:r w:rsidRPr="004C4A9B" w:rsidR="004C4A9B">
        <w:rPr>
          <w:rFonts w:ascii="Arial" w:hAnsi="Arial" w:eastAsia="Calibri" w:cs="Arial"/>
          <w:color w:val="000000" w:themeColor="text1"/>
          <w:sz w:val="22"/>
        </w:rPr>
        <w:t xml:space="preserve">or </w:t>
      </w:r>
      <w:r w:rsidR="002C163C">
        <w:rPr>
          <w:rFonts w:ascii="Arial" w:hAnsi="Arial" w:eastAsia="Calibri" w:cs="Arial"/>
          <w:color w:val="000000" w:themeColor="text1"/>
          <w:sz w:val="22"/>
        </w:rPr>
        <w:t>esta razón</w:t>
      </w:r>
      <w:r w:rsidRPr="004C4A9B" w:rsidR="004C4A9B">
        <w:rPr>
          <w:rFonts w:ascii="Arial" w:hAnsi="Arial" w:eastAsia="Calibri" w:cs="Arial"/>
          <w:color w:val="000000" w:themeColor="text1"/>
          <w:sz w:val="22"/>
        </w:rPr>
        <w:t xml:space="preserve"> «no hay lugar a puntajes para evaluar las ofertas sobre las características del objeto a contratar, su calidad o condiciones».</w:t>
      </w:r>
      <w:r w:rsidR="00D76B77">
        <w:rPr>
          <w:rFonts w:ascii="Arial" w:hAnsi="Arial" w:eastAsia="Calibri" w:cs="Arial"/>
          <w:color w:val="000000" w:themeColor="text1"/>
          <w:sz w:val="22"/>
        </w:rPr>
        <w:t xml:space="preserve"> </w:t>
      </w:r>
      <w:r w:rsidR="00D76B77">
        <w:rPr>
          <w:rFonts w:ascii="Arial" w:hAnsi="Arial" w:eastAsia="Calibri" w:cs="Arial"/>
          <w:color w:val="000000" w:themeColor="text1"/>
          <w:sz w:val="22"/>
          <w:lang w:val="es-ES"/>
        </w:rPr>
        <w:t>Así</w:t>
      </w:r>
      <w:r w:rsidRPr="00780786" w:rsidR="00D76B77">
        <w:rPr>
          <w:rFonts w:ascii="Arial" w:hAnsi="Arial" w:eastAsia="Calibri" w:cs="Arial"/>
          <w:color w:val="000000" w:themeColor="text1"/>
          <w:sz w:val="22"/>
          <w:lang w:val="es-ES"/>
        </w:rPr>
        <w:t xml:space="preserve">, el factor de selección es único y objetivo, por lo que no compete </w:t>
      </w:r>
      <w:r w:rsidRPr="00780786" w:rsidR="00D76B77">
        <w:rPr>
          <w:rFonts w:ascii="Arial" w:hAnsi="Arial" w:eastAsia="Calibri" w:cs="Arial"/>
          <w:color w:val="000000" w:themeColor="text1"/>
          <w:sz w:val="22"/>
          <w:lang w:val="es-ES"/>
        </w:rPr>
        <w:lastRenderedPageBreak/>
        <w:t>a la entidad asignar puntaje a las ofertas presentadas</w:t>
      </w:r>
      <w:r w:rsidR="004B383C">
        <w:rPr>
          <w:rFonts w:ascii="Arial" w:hAnsi="Arial" w:eastAsia="Calibri" w:cs="Arial"/>
          <w:color w:val="000000" w:themeColor="text1"/>
          <w:sz w:val="22"/>
          <w:lang w:val="es-ES"/>
        </w:rPr>
        <w:t>,</w:t>
      </w:r>
      <w:r w:rsidRPr="00780786" w:rsidR="00D76B77">
        <w:rPr>
          <w:rFonts w:ascii="Arial" w:hAnsi="Arial" w:eastAsia="Calibri" w:cs="Arial"/>
          <w:color w:val="000000" w:themeColor="text1"/>
          <w:sz w:val="22"/>
          <w:lang w:val="es-ES"/>
        </w:rPr>
        <w:t xml:space="preserve"> ya que el punto de referencia viene dado por el menor valor de la oferta que cumpla con las condiciones de la invitación</w:t>
      </w:r>
      <w:r w:rsidR="00D76B77">
        <w:rPr>
          <w:rStyle w:val="Refdenotaalpie"/>
          <w:rFonts w:ascii="Arial" w:hAnsi="Arial" w:eastAsia="Calibri" w:cs="Arial"/>
          <w:color w:val="000000" w:themeColor="text1"/>
          <w:sz w:val="22"/>
          <w:lang w:val="es-ES"/>
        </w:rPr>
        <w:footnoteReference w:id="3"/>
      </w:r>
      <w:r w:rsidR="00D76B77">
        <w:rPr>
          <w:rFonts w:ascii="Arial" w:hAnsi="Arial" w:eastAsia="Calibri" w:cs="Arial"/>
          <w:color w:val="000000" w:themeColor="text1"/>
          <w:sz w:val="22"/>
          <w:lang w:val="es-ES"/>
        </w:rPr>
        <w:t>.</w:t>
      </w:r>
    </w:p>
    <w:p w:rsidRPr="00C12EE0" w:rsidR="004C4A9B" w:rsidP="00BC7D91" w:rsidRDefault="004C4A9B" w14:paraId="31622B21" w14:textId="77777777">
      <w:pPr>
        <w:tabs>
          <w:tab w:val="left" w:pos="426"/>
        </w:tabs>
        <w:spacing w:line="276" w:lineRule="auto"/>
        <w:jc w:val="both"/>
        <w:rPr>
          <w:rFonts w:ascii="Arial" w:hAnsi="Arial" w:eastAsia="Calibri" w:cs="Arial"/>
          <w:color w:val="000000" w:themeColor="text1"/>
          <w:sz w:val="22"/>
          <w:lang w:val="es-ES"/>
        </w:rPr>
      </w:pPr>
    </w:p>
    <w:p w:rsidRPr="00C12EE0" w:rsidR="0061316D" w:rsidP="00DD2618" w:rsidRDefault="00B640E5" w14:paraId="7B044C76" w14:textId="423050B8">
      <w:pPr>
        <w:pStyle w:val="Prrafodelista"/>
        <w:numPr>
          <w:ilvl w:val="1"/>
          <w:numId w:val="6"/>
        </w:numPr>
        <w:tabs>
          <w:tab w:val="left" w:pos="426"/>
        </w:tabs>
        <w:spacing w:line="276" w:lineRule="auto"/>
        <w:ind w:left="426" w:hanging="426"/>
        <w:jc w:val="both"/>
        <w:rPr>
          <w:rFonts w:ascii="Arial" w:hAnsi="Arial" w:eastAsia="Calibri" w:cs="Arial"/>
          <w:b/>
          <w:color w:val="000000" w:themeColor="text1"/>
          <w:sz w:val="22"/>
          <w:lang w:val="es-ES"/>
        </w:rPr>
      </w:pPr>
      <w:r>
        <w:rPr>
          <w:rFonts w:ascii="Arial" w:hAnsi="Arial" w:eastAsia="Calibri" w:cs="Arial"/>
          <w:b/>
          <w:color w:val="000000" w:themeColor="text1"/>
          <w:sz w:val="22"/>
          <w:lang w:val="es-ES"/>
        </w:rPr>
        <w:t>Requisitos para la apertura de sobres en los procesos de contratación de mínima cuantía</w:t>
      </w:r>
      <w:r w:rsidRPr="00C12EE0" w:rsidR="00EF6B0E">
        <w:rPr>
          <w:rFonts w:ascii="Arial" w:hAnsi="Arial" w:eastAsia="Calibri" w:cs="Arial"/>
          <w:b/>
          <w:color w:val="000000" w:themeColor="text1"/>
          <w:sz w:val="22"/>
          <w:lang w:val="es-ES"/>
        </w:rPr>
        <w:t xml:space="preserve"> </w:t>
      </w:r>
    </w:p>
    <w:p w:rsidRPr="00C12EE0" w:rsidR="0061316D" w:rsidP="0061316D" w:rsidRDefault="0061316D" w14:paraId="6EF6515C" w14:textId="77777777">
      <w:pPr>
        <w:spacing w:line="276" w:lineRule="auto"/>
        <w:jc w:val="both"/>
        <w:rPr>
          <w:rFonts w:ascii="Arial" w:hAnsi="Arial" w:cs="Arial"/>
          <w:color w:val="000000" w:themeColor="text1"/>
          <w:sz w:val="22"/>
          <w:lang w:val="es-ES"/>
        </w:rPr>
      </w:pPr>
    </w:p>
    <w:p w:rsidRPr="00B640E5" w:rsidR="00B640E5" w:rsidP="008350A2" w:rsidRDefault="00D74B4E" w14:paraId="627AAFA6" w14:textId="6927B3EB">
      <w:pPr>
        <w:spacing w:line="276" w:lineRule="auto"/>
        <w:jc w:val="both"/>
        <w:rPr>
          <w:rFonts w:ascii="Arial" w:hAnsi="Arial" w:eastAsia="Calibri" w:cs="Arial"/>
          <w:color w:val="000000" w:themeColor="text1"/>
          <w:sz w:val="22"/>
          <w:lang w:val="es-CO"/>
        </w:rPr>
      </w:pPr>
      <w:r>
        <w:rPr>
          <w:rFonts w:ascii="Arial" w:hAnsi="Arial" w:eastAsia="Calibri" w:cs="Arial"/>
          <w:color w:val="000000" w:themeColor="text1"/>
          <w:sz w:val="22"/>
          <w:lang w:val="es-ES"/>
        </w:rPr>
        <w:t>C</w:t>
      </w:r>
      <w:r w:rsidR="00B640E5">
        <w:rPr>
          <w:rFonts w:ascii="Arial" w:hAnsi="Arial" w:eastAsia="Calibri" w:cs="Arial"/>
          <w:color w:val="000000" w:themeColor="text1"/>
          <w:sz w:val="22"/>
          <w:lang w:val="es-ES"/>
        </w:rPr>
        <w:t>omo se observó anteriormente</w:t>
      </w:r>
      <w:r w:rsidRPr="00B640E5" w:rsidR="00B640E5">
        <w:rPr>
          <w:rFonts w:ascii="Arial" w:hAnsi="Arial" w:eastAsia="Calibri" w:cs="Arial"/>
          <w:color w:val="000000" w:themeColor="text1"/>
          <w:sz w:val="22"/>
          <w:lang w:val="es-ES"/>
        </w:rPr>
        <w:t xml:space="preserve">, una vez efectuados los estudios previos y agotados los trámites de invitación y presentación de ofertas, el literal </w:t>
      </w:r>
      <w:r w:rsidR="00B640E5">
        <w:rPr>
          <w:rFonts w:ascii="Arial" w:hAnsi="Arial" w:eastAsia="Calibri" w:cs="Arial"/>
          <w:color w:val="000000" w:themeColor="text1"/>
          <w:sz w:val="22"/>
          <w:lang w:val="es-ES"/>
        </w:rPr>
        <w:t>c</w:t>
      </w:r>
      <w:r w:rsidR="00846A0C">
        <w:rPr>
          <w:rFonts w:ascii="Arial" w:hAnsi="Arial" w:eastAsia="Calibri" w:cs="Arial"/>
          <w:color w:val="000000" w:themeColor="text1"/>
          <w:sz w:val="22"/>
          <w:lang w:val="es-ES"/>
        </w:rPr>
        <w:t>)</w:t>
      </w:r>
      <w:r w:rsidRPr="00B640E5" w:rsidR="00B640E5">
        <w:rPr>
          <w:rFonts w:ascii="Arial" w:hAnsi="Arial" w:eastAsia="Calibri" w:cs="Arial"/>
          <w:color w:val="000000" w:themeColor="text1"/>
          <w:sz w:val="22"/>
          <w:lang w:val="es-ES"/>
        </w:rPr>
        <w:t xml:space="preserve"> del numeral quinto del artículo segundo de la Ley 1150 de 2007 </w:t>
      </w:r>
      <w:r w:rsidR="007D6CEF">
        <w:rPr>
          <w:rFonts w:ascii="Arial" w:hAnsi="Arial" w:eastAsia="Calibri" w:cs="Arial"/>
          <w:color w:val="000000" w:themeColor="text1"/>
          <w:sz w:val="22"/>
          <w:lang w:val="es-ES"/>
        </w:rPr>
        <w:t>establece</w:t>
      </w:r>
      <w:r w:rsidRPr="00B640E5" w:rsidR="00B640E5">
        <w:rPr>
          <w:rFonts w:ascii="Arial" w:hAnsi="Arial" w:eastAsia="Calibri" w:cs="Arial"/>
          <w:color w:val="000000" w:themeColor="text1"/>
          <w:sz w:val="22"/>
          <w:lang w:val="es-ES"/>
        </w:rPr>
        <w:t xml:space="preserve"> que</w:t>
      </w:r>
      <w:r>
        <w:rPr>
          <w:rFonts w:ascii="Arial" w:hAnsi="Arial" w:eastAsia="Calibri" w:cs="Arial"/>
          <w:color w:val="000000" w:themeColor="text1"/>
          <w:sz w:val="22"/>
          <w:lang w:val="es-ES"/>
        </w:rPr>
        <w:t xml:space="preserve"> en la modalidad de mínima cuantía </w:t>
      </w:r>
      <w:r w:rsidRPr="00B640E5" w:rsidR="00B640E5">
        <w:rPr>
          <w:rFonts w:ascii="Arial" w:hAnsi="Arial" w:eastAsia="Calibri" w:cs="Arial"/>
          <w:color w:val="000000" w:themeColor="text1"/>
          <w:sz w:val="22"/>
          <w:lang w:val="es-ES"/>
        </w:rPr>
        <w:t>la entidad convocante «seleccionará, mediante comunicación de aceptación de la oferta, la propuesta con el menor precio, siempre y cuando cumpla con las condiciones exigidas […]». </w:t>
      </w:r>
    </w:p>
    <w:p w:rsidR="00B640E5" w:rsidP="008350A2" w:rsidRDefault="00B640E5" w14:paraId="14D7B73D" w14:textId="53D51C60">
      <w:pPr>
        <w:spacing w:before="120" w:line="276" w:lineRule="auto"/>
        <w:jc w:val="both"/>
        <w:rPr>
          <w:rFonts w:ascii="Arial" w:hAnsi="Arial" w:eastAsia="Calibri" w:cs="Arial"/>
          <w:color w:val="000000" w:themeColor="text1"/>
          <w:sz w:val="22"/>
          <w:lang w:val="es-ES"/>
        </w:rPr>
      </w:pPr>
      <w:r w:rsidRPr="00B640E5">
        <w:rPr>
          <w:rFonts w:ascii="Arial" w:hAnsi="Arial" w:eastAsia="Calibri" w:cs="Arial"/>
          <w:color w:val="000000" w:themeColor="text1"/>
          <w:sz w:val="22"/>
          <w:lang w:val="es-ES"/>
        </w:rPr>
        <w:t> </w:t>
      </w:r>
      <w:r>
        <w:rPr>
          <w:rFonts w:ascii="Arial" w:hAnsi="Arial" w:eastAsia="Calibri" w:cs="Arial"/>
          <w:color w:val="000000" w:themeColor="text1"/>
          <w:sz w:val="22"/>
          <w:lang w:val="es-CO"/>
        </w:rPr>
        <w:tab/>
      </w:r>
      <w:r>
        <w:rPr>
          <w:rFonts w:ascii="Arial" w:hAnsi="Arial" w:eastAsia="Calibri" w:cs="Arial"/>
          <w:color w:val="000000" w:themeColor="text1"/>
          <w:sz w:val="22"/>
          <w:lang w:val="es-CO"/>
        </w:rPr>
        <w:t xml:space="preserve">Así, </w:t>
      </w:r>
      <w:r>
        <w:rPr>
          <w:rFonts w:ascii="Arial" w:hAnsi="Arial" w:eastAsia="Calibri" w:cs="Arial"/>
          <w:color w:val="000000" w:themeColor="text1"/>
          <w:sz w:val="22"/>
          <w:lang w:val="es-ES"/>
        </w:rPr>
        <w:t>d</w:t>
      </w:r>
      <w:r w:rsidRPr="00B640E5">
        <w:rPr>
          <w:rFonts w:ascii="Arial" w:hAnsi="Arial" w:eastAsia="Calibri" w:cs="Arial"/>
          <w:color w:val="000000" w:themeColor="text1"/>
          <w:sz w:val="22"/>
          <w:lang w:val="es-ES"/>
        </w:rPr>
        <w:t xml:space="preserve">e la lectura de la norma no se desprenden requisitos adicionales para </w:t>
      </w:r>
      <w:r w:rsidR="00984EEC">
        <w:rPr>
          <w:rFonts w:ascii="Arial" w:hAnsi="Arial" w:eastAsia="Calibri" w:cs="Arial"/>
          <w:color w:val="000000" w:themeColor="text1"/>
          <w:sz w:val="22"/>
          <w:lang w:val="es-ES"/>
        </w:rPr>
        <w:t xml:space="preserve">efectos de </w:t>
      </w:r>
      <w:r w:rsidR="009865AB">
        <w:rPr>
          <w:rFonts w:ascii="Arial" w:hAnsi="Arial" w:eastAsia="Calibri" w:cs="Arial"/>
          <w:color w:val="000000" w:themeColor="text1"/>
          <w:sz w:val="22"/>
          <w:lang w:val="es-ES"/>
        </w:rPr>
        <w:t xml:space="preserve">la </w:t>
      </w:r>
      <w:r w:rsidR="00984EEC">
        <w:rPr>
          <w:rFonts w:ascii="Arial" w:hAnsi="Arial" w:eastAsia="Calibri" w:cs="Arial"/>
          <w:color w:val="000000" w:themeColor="text1"/>
          <w:sz w:val="22"/>
          <w:lang w:val="es-ES"/>
        </w:rPr>
        <w:t>selección</w:t>
      </w:r>
      <w:r w:rsidR="009865AB">
        <w:rPr>
          <w:rFonts w:ascii="Arial" w:hAnsi="Arial" w:eastAsia="Calibri" w:cs="Arial"/>
          <w:color w:val="000000" w:themeColor="text1"/>
          <w:sz w:val="22"/>
          <w:lang w:val="es-ES"/>
        </w:rPr>
        <w:t>.</w:t>
      </w:r>
      <w:r w:rsidRPr="00B640E5">
        <w:rPr>
          <w:rFonts w:ascii="Arial" w:hAnsi="Arial" w:eastAsia="Calibri" w:cs="Arial"/>
          <w:color w:val="000000" w:themeColor="text1"/>
          <w:sz w:val="22"/>
          <w:lang w:val="es-ES"/>
        </w:rPr>
        <w:t xml:space="preserve"> </w:t>
      </w:r>
      <w:r w:rsidR="009865AB">
        <w:rPr>
          <w:rFonts w:ascii="Arial" w:hAnsi="Arial" w:eastAsia="Calibri" w:cs="Arial"/>
          <w:color w:val="000000" w:themeColor="text1"/>
          <w:sz w:val="22"/>
          <w:lang w:val="es-ES"/>
        </w:rPr>
        <w:t>E</w:t>
      </w:r>
      <w:r w:rsidRPr="00B640E5">
        <w:rPr>
          <w:rFonts w:ascii="Arial" w:hAnsi="Arial" w:eastAsia="Calibri" w:cs="Arial"/>
          <w:color w:val="000000" w:themeColor="text1"/>
          <w:sz w:val="22"/>
          <w:lang w:val="es-ES"/>
        </w:rPr>
        <w:t xml:space="preserve">s decir, no existe una disposición expresa que obligue a las </w:t>
      </w:r>
      <w:r w:rsidR="009865AB">
        <w:rPr>
          <w:rFonts w:ascii="Arial" w:hAnsi="Arial" w:eastAsia="Calibri" w:cs="Arial"/>
          <w:color w:val="000000" w:themeColor="text1"/>
          <w:sz w:val="22"/>
          <w:lang w:val="es-ES"/>
        </w:rPr>
        <w:t>e</w:t>
      </w:r>
      <w:r w:rsidRPr="00B640E5">
        <w:rPr>
          <w:rFonts w:ascii="Arial" w:hAnsi="Arial" w:eastAsia="Calibri" w:cs="Arial"/>
          <w:color w:val="000000" w:themeColor="text1"/>
          <w:sz w:val="22"/>
          <w:lang w:val="es-ES"/>
        </w:rPr>
        <w:t xml:space="preserve">ntidades </w:t>
      </w:r>
      <w:r w:rsidR="009865AB">
        <w:rPr>
          <w:rFonts w:ascii="Arial" w:hAnsi="Arial" w:eastAsia="Calibri" w:cs="Arial"/>
          <w:color w:val="000000" w:themeColor="text1"/>
          <w:sz w:val="22"/>
          <w:lang w:val="es-ES"/>
        </w:rPr>
        <w:t>e</w:t>
      </w:r>
      <w:r w:rsidRPr="00B640E5">
        <w:rPr>
          <w:rFonts w:ascii="Arial" w:hAnsi="Arial" w:eastAsia="Calibri" w:cs="Arial"/>
          <w:color w:val="000000" w:themeColor="text1"/>
          <w:sz w:val="22"/>
          <w:lang w:val="es-ES"/>
        </w:rPr>
        <w:t xml:space="preserve">statales a efectuar este procedimiento </w:t>
      </w:r>
      <w:r w:rsidR="009E58F3">
        <w:rPr>
          <w:rFonts w:ascii="Arial" w:hAnsi="Arial" w:eastAsia="Calibri" w:cs="Arial"/>
          <w:color w:val="000000" w:themeColor="text1"/>
          <w:sz w:val="22"/>
          <w:lang w:val="es-ES"/>
        </w:rPr>
        <w:t>en</w:t>
      </w:r>
      <w:r w:rsidR="006C0B0D">
        <w:rPr>
          <w:rFonts w:ascii="Arial" w:hAnsi="Arial" w:eastAsia="Calibri" w:cs="Arial"/>
          <w:color w:val="000000" w:themeColor="text1"/>
          <w:sz w:val="22"/>
          <w:lang w:val="es-ES"/>
        </w:rPr>
        <w:t xml:space="preserve"> </w:t>
      </w:r>
      <w:r w:rsidRPr="00B640E5">
        <w:rPr>
          <w:rFonts w:ascii="Arial" w:hAnsi="Arial" w:eastAsia="Calibri" w:cs="Arial"/>
          <w:color w:val="000000" w:themeColor="text1"/>
          <w:sz w:val="22"/>
          <w:lang w:val="es-ES"/>
        </w:rPr>
        <w:t>audiencia pública</w:t>
      </w:r>
      <w:r>
        <w:rPr>
          <w:rFonts w:ascii="Arial" w:hAnsi="Arial" w:eastAsia="Calibri" w:cs="Arial"/>
          <w:color w:val="000000" w:themeColor="text1"/>
          <w:sz w:val="22"/>
          <w:lang w:val="es-ES"/>
        </w:rPr>
        <w:t xml:space="preserve">. </w:t>
      </w:r>
      <w:r w:rsidR="0000179F">
        <w:rPr>
          <w:rFonts w:ascii="Arial" w:hAnsi="Arial" w:eastAsia="Calibri" w:cs="Arial"/>
          <w:color w:val="000000" w:themeColor="text1"/>
          <w:sz w:val="22"/>
          <w:lang w:val="es-ES"/>
        </w:rPr>
        <w:t xml:space="preserve">La </w:t>
      </w:r>
      <w:r w:rsidRPr="009B71CE" w:rsidR="0000179F">
        <w:rPr>
          <w:rFonts w:ascii="Arial" w:hAnsi="Arial" w:eastAsia="Calibri" w:cs="Arial"/>
          <w:color w:val="000000" w:themeColor="text1"/>
          <w:sz w:val="22"/>
        </w:rPr>
        <w:t>Agencia Nacional de Contratación Pública – Colombia Compra Eficiente</w:t>
      </w:r>
      <w:r w:rsidR="0000179F">
        <w:rPr>
          <w:rFonts w:ascii="Arial" w:hAnsi="Arial" w:eastAsia="Calibri" w:cs="Arial"/>
          <w:color w:val="000000" w:themeColor="text1"/>
          <w:sz w:val="22"/>
        </w:rPr>
        <w:t xml:space="preserve"> ha mencionado que: </w:t>
      </w:r>
    </w:p>
    <w:p w:rsidR="00B640E5" w:rsidP="00B640E5" w:rsidRDefault="00B640E5" w14:paraId="64D9EE8A" w14:textId="17A1059E">
      <w:pPr>
        <w:spacing w:line="276" w:lineRule="auto"/>
        <w:jc w:val="both"/>
        <w:rPr>
          <w:rFonts w:ascii="Arial" w:hAnsi="Arial" w:eastAsia="Calibri" w:cs="Arial"/>
          <w:color w:val="000000" w:themeColor="text1"/>
          <w:sz w:val="22"/>
          <w:lang w:val="es-ES"/>
        </w:rPr>
      </w:pPr>
    </w:p>
    <w:p w:rsidRPr="00B640E5" w:rsidR="00790DCE" w:rsidP="00B640E5" w:rsidRDefault="00B640E5" w14:paraId="74A3B5BC" w14:textId="7CFEAF54">
      <w:pPr>
        <w:ind w:left="706" w:right="706"/>
        <w:jc w:val="both"/>
        <w:rPr>
          <w:rFonts w:ascii="Arial" w:hAnsi="Arial" w:eastAsia="Calibri" w:cs="Arial"/>
          <w:color w:val="000000" w:themeColor="text1"/>
          <w:sz w:val="21"/>
          <w:szCs w:val="21"/>
        </w:rPr>
      </w:pPr>
      <w:r>
        <w:rPr>
          <w:rFonts w:ascii="Arial" w:hAnsi="Arial" w:eastAsia="Calibri" w:cs="Arial"/>
          <w:color w:val="000000" w:themeColor="text1"/>
          <w:sz w:val="21"/>
          <w:szCs w:val="21"/>
        </w:rPr>
        <w:t>[…]</w:t>
      </w:r>
      <w:r w:rsidRPr="00B640E5">
        <w:rPr>
          <w:rFonts w:ascii="Arial" w:hAnsi="Arial" w:eastAsia="Calibri" w:cs="Arial"/>
          <w:color w:val="000000" w:themeColor="text1"/>
          <w:sz w:val="21"/>
          <w:szCs w:val="21"/>
        </w:rPr>
        <w:t xml:space="preserve"> la normativa del sistema de compra </w:t>
      </w:r>
      <w:r w:rsidRPr="00B640E5" w:rsidR="000C547E">
        <w:rPr>
          <w:rFonts w:ascii="Arial" w:hAnsi="Arial" w:eastAsia="Calibri" w:cs="Arial"/>
          <w:color w:val="000000" w:themeColor="text1"/>
          <w:sz w:val="21"/>
          <w:szCs w:val="21"/>
        </w:rPr>
        <w:t>publica</w:t>
      </w:r>
      <w:r w:rsidRPr="00B640E5">
        <w:rPr>
          <w:rFonts w:ascii="Arial" w:hAnsi="Arial" w:eastAsia="Calibri" w:cs="Arial"/>
          <w:color w:val="000000" w:themeColor="text1"/>
          <w:sz w:val="21"/>
          <w:szCs w:val="21"/>
        </w:rPr>
        <w:t xml:space="preserve"> no establece ni el momento en el cual las entidades estatales deben realizar el cierre de sus procesos de </w:t>
      </w:r>
      <w:r w:rsidRPr="00B640E5" w:rsidR="000C547E">
        <w:rPr>
          <w:rFonts w:ascii="Arial" w:hAnsi="Arial" w:eastAsia="Calibri" w:cs="Arial"/>
          <w:color w:val="000000" w:themeColor="text1"/>
          <w:sz w:val="21"/>
          <w:szCs w:val="21"/>
        </w:rPr>
        <w:t>contratación</w:t>
      </w:r>
      <w:r w:rsidRPr="00B640E5">
        <w:rPr>
          <w:rFonts w:ascii="Arial" w:hAnsi="Arial" w:eastAsia="Calibri" w:cs="Arial"/>
          <w:color w:val="000000" w:themeColor="text1"/>
          <w:sz w:val="21"/>
          <w:szCs w:val="21"/>
        </w:rPr>
        <w:t xml:space="preserve"> y la apertura de las ofertas, ni tampoco si la apertura de las ofertas debe hacerse en presencia de los oferentes o acto </w:t>
      </w:r>
      <w:r w:rsidRPr="00B640E5" w:rsidR="000C547E">
        <w:rPr>
          <w:rFonts w:ascii="Arial" w:hAnsi="Arial" w:eastAsia="Calibri" w:cs="Arial"/>
          <w:color w:val="000000" w:themeColor="text1"/>
          <w:sz w:val="21"/>
          <w:szCs w:val="21"/>
        </w:rPr>
        <w:t>público</w:t>
      </w:r>
      <w:r w:rsidRPr="00B640E5">
        <w:rPr>
          <w:rFonts w:ascii="Arial" w:hAnsi="Arial" w:eastAsia="Calibri" w:cs="Arial"/>
          <w:color w:val="000000" w:themeColor="text1"/>
          <w:sz w:val="21"/>
          <w:szCs w:val="21"/>
        </w:rPr>
        <w:t xml:space="preserve">. Esto significa que la norma no previó esta </w:t>
      </w:r>
      <w:r w:rsidRPr="00B640E5" w:rsidR="000C547E">
        <w:rPr>
          <w:rFonts w:ascii="Arial" w:hAnsi="Arial" w:eastAsia="Calibri" w:cs="Arial"/>
          <w:color w:val="000000" w:themeColor="text1"/>
          <w:sz w:val="21"/>
          <w:szCs w:val="21"/>
        </w:rPr>
        <w:t>actuación</w:t>
      </w:r>
      <w:r w:rsidRPr="00B640E5">
        <w:rPr>
          <w:rFonts w:ascii="Arial" w:hAnsi="Arial" w:eastAsia="Calibri" w:cs="Arial"/>
          <w:color w:val="000000" w:themeColor="text1"/>
          <w:sz w:val="21"/>
          <w:szCs w:val="21"/>
        </w:rPr>
        <w:t xml:space="preserve">, y que de manera expresa no existe esta </w:t>
      </w:r>
      <w:r w:rsidRPr="00B640E5" w:rsidR="000C547E">
        <w:rPr>
          <w:rFonts w:ascii="Arial" w:hAnsi="Arial" w:eastAsia="Calibri" w:cs="Arial"/>
          <w:color w:val="000000" w:themeColor="text1"/>
          <w:sz w:val="21"/>
          <w:szCs w:val="21"/>
        </w:rPr>
        <w:t>obligación</w:t>
      </w:r>
      <w:r w:rsidRPr="00B640E5" w:rsidR="00790DCE">
        <w:rPr>
          <w:rStyle w:val="Refdenotaalpie"/>
          <w:rFonts w:ascii="Arial" w:hAnsi="Arial" w:cs="Arial"/>
          <w:color w:val="000000" w:themeColor="text1"/>
          <w:sz w:val="21"/>
          <w:szCs w:val="21"/>
          <w:lang w:val="es-ES"/>
        </w:rPr>
        <w:footnoteReference w:id="4"/>
      </w:r>
      <w:r w:rsidRPr="00B640E5" w:rsidR="00790DCE">
        <w:rPr>
          <w:rFonts w:ascii="Arial" w:hAnsi="Arial" w:cs="Arial"/>
          <w:color w:val="000000" w:themeColor="text1"/>
          <w:sz w:val="21"/>
          <w:szCs w:val="21"/>
          <w:lang w:val="es-ES"/>
        </w:rPr>
        <w:t xml:space="preserve">. </w:t>
      </w:r>
    </w:p>
    <w:p w:rsidR="005354F7" w:rsidP="005354F7" w:rsidRDefault="005354F7" w14:paraId="054C82F1" w14:textId="77777777">
      <w:pPr>
        <w:spacing w:line="276" w:lineRule="auto"/>
        <w:ind w:firstLine="708"/>
        <w:jc w:val="both"/>
        <w:rPr>
          <w:rFonts w:ascii="Arial" w:hAnsi="Arial" w:cs="Arial"/>
          <w:color w:val="000000" w:themeColor="text1"/>
          <w:sz w:val="22"/>
        </w:rPr>
      </w:pPr>
    </w:p>
    <w:p w:rsidR="000A7D23" w:rsidP="009B71CE" w:rsidRDefault="00690FFC" w14:paraId="013317A3" w14:textId="2304160B">
      <w:pPr>
        <w:spacing w:line="276" w:lineRule="auto"/>
        <w:ind w:firstLine="706"/>
        <w:jc w:val="both"/>
        <w:rPr>
          <w:rFonts w:ascii="Arial" w:hAnsi="Arial" w:eastAsia="Calibri" w:cs="Arial"/>
          <w:color w:val="000000" w:themeColor="text1"/>
          <w:sz w:val="22"/>
        </w:rPr>
      </w:pPr>
      <w:r>
        <w:rPr>
          <w:rFonts w:ascii="Arial" w:hAnsi="Arial" w:eastAsia="Calibri" w:cs="Arial"/>
          <w:color w:val="000000" w:themeColor="text1"/>
          <w:sz w:val="22"/>
        </w:rPr>
        <w:t xml:space="preserve">Debe tenerse en cuenta que, a pesar de no existir norma expresa que </w:t>
      </w:r>
      <w:r w:rsidR="005267F6">
        <w:rPr>
          <w:rFonts w:ascii="Arial" w:hAnsi="Arial" w:eastAsia="Calibri" w:cs="Arial"/>
          <w:color w:val="000000" w:themeColor="text1"/>
          <w:sz w:val="22"/>
        </w:rPr>
        <w:t>establezca</w:t>
      </w:r>
      <w:r>
        <w:rPr>
          <w:rFonts w:ascii="Arial" w:hAnsi="Arial" w:eastAsia="Calibri" w:cs="Arial"/>
          <w:color w:val="000000" w:themeColor="text1"/>
          <w:sz w:val="22"/>
        </w:rPr>
        <w:t xml:space="preserve"> la obligación de apertura de sobres </w:t>
      </w:r>
      <w:r w:rsidR="006C0B0D">
        <w:rPr>
          <w:rFonts w:ascii="Arial" w:hAnsi="Arial" w:eastAsia="Calibri" w:cs="Arial"/>
          <w:color w:val="000000" w:themeColor="text1"/>
          <w:sz w:val="22"/>
        </w:rPr>
        <w:t>en el marco de una diligencia o</w:t>
      </w:r>
      <w:r>
        <w:rPr>
          <w:rFonts w:ascii="Arial" w:hAnsi="Arial" w:eastAsia="Calibri" w:cs="Arial"/>
          <w:color w:val="000000" w:themeColor="text1"/>
          <w:sz w:val="22"/>
        </w:rPr>
        <w:t xml:space="preserve"> audiencia pública</w:t>
      </w:r>
      <w:r w:rsidR="00B640E5">
        <w:rPr>
          <w:rFonts w:ascii="Arial" w:hAnsi="Arial" w:eastAsia="Calibri" w:cs="Arial"/>
          <w:color w:val="000000" w:themeColor="text1"/>
          <w:sz w:val="22"/>
        </w:rPr>
        <w:t>,</w:t>
      </w:r>
      <w:r>
        <w:rPr>
          <w:rFonts w:ascii="Arial" w:hAnsi="Arial" w:eastAsia="Calibri" w:cs="Arial"/>
          <w:color w:val="000000" w:themeColor="text1"/>
          <w:sz w:val="22"/>
        </w:rPr>
        <w:t xml:space="preserve"> se han desarrollado mecanismos tendientes a garantizar los principios de publicidad, transparencia y selección objetiva en el marco de la contratación pública. </w:t>
      </w:r>
      <w:r w:rsidR="00CB3071">
        <w:rPr>
          <w:rFonts w:ascii="Arial" w:hAnsi="Arial" w:eastAsia="Calibri" w:cs="Arial"/>
          <w:color w:val="000000" w:themeColor="text1"/>
          <w:sz w:val="22"/>
        </w:rPr>
        <w:t xml:space="preserve">Para este efecto, </w:t>
      </w:r>
      <w:r w:rsidRPr="00A60561" w:rsidR="00A60561">
        <w:rPr>
          <w:rFonts w:ascii="Arial" w:hAnsi="Arial" w:eastAsia="Calibri" w:cs="Arial"/>
          <w:color w:val="000000" w:themeColor="text1"/>
          <w:sz w:val="22"/>
        </w:rPr>
        <w:t>el artículo tercero de la Ley 1150 de 2007</w:t>
      </w:r>
      <w:r w:rsidR="00D476F8">
        <w:rPr>
          <w:rFonts w:ascii="Arial" w:hAnsi="Arial" w:eastAsia="Calibri" w:cs="Arial"/>
          <w:color w:val="000000" w:themeColor="text1"/>
          <w:sz w:val="22"/>
        </w:rPr>
        <w:t>,</w:t>
      </w:r>
      <w:r w:rsidRPr="00A60561" w:rsidR="00A60561">
        <w:rPr>
          <w:rFonts w:ascii="Arial" w:hAnsi="Arial" w:eastAsia="Calibri" w:cs="Arial"/>
          <w:color w:val="000000" w:themeColor="text1"/>
          <w:sz w:val="22"/>
        </w:rPr>
        <w:t xml:space="preserve"> autorizó la creación del Sistema Electrónico para la Contratación Pública – SECOP</w:t>
      </w:r>
      <w:r w:rsidR="00D476F8">
        <w:rPr>
          <w:rFonts w:ascii="Arial" w:hAnsi="Arial" w:eastAsia="Calibri" w:cs="Arial"/>
          <w:color w:val="000000" w:themeColor="text1"/>
          <w:sz w:val="22"/>
        </w:rPr>
        <w:t>,</w:t>
      </w:r>
      <w:r w:rsidRPr="00A60561" w:rsidR="00A60561">
        <w:rPr>
          <w:rFonts w:ascii="Arial" w:hAnsi="Arial" w:eastAsia="Calibri" w:cs="Arial"/>
          <w:color w:val="000000" w:themeColor="text1"/>
          <w:sz w:val="22"/>
        </w:rPr>
        <w:t xml:space="preserve"> cuya finalidad, entre otras, es la de ofrecer publicidad y transparencia a todos los contratos en los que participe una entidad estatal</w:t>
      </w:r>
      <w:r w:rsidR="006172A3">
        <w:rPr>
          <w:rFonts w:ascii="Arial" w:hAnsi="Arial" w:eastAsia="Calibri" w:cs="Arial"/>
          <w:color w:val="000000" w:themeColor="text1"/>
          <w:sz w:val="22"/>
        </w:rPr>
        <w:t xml:space="preserve">, aspecto puntual al que nos referiremos </w:t>
      </w:r>
      <w:r w:rsidR="00A60561">
        <w:rPr>
          <w:rFonts w:ascii="Arial" w:hAnsi="Arial" w:eastAsia="Calibri" w:cs="Arial"/>
          <w:color w:val="000000" w:themeColor="text1"/>
          <w:sz w:val="22"/>
        </w:rPr>
        <w:t>más adelante.</w:t>
      </w:r>
    </w:p>
    <w:p w:rsidR="00B640E5" w:rsidP="008350A2" w:rsidRDefault="000A7D23" w14:paraId="1F5C056F" w14:textId="71E0D367">
      <w:pPr>
        <w:spacing w:before="120" w:line="276" w:lineRule="auto"/>
        <w:ind w:firstLine="709"/>
        <w:jc w:val="both"/>
        <w:rPr>
          <w:rFonts w:ascii="Arial" w:hAnsi="Arial" w:eastAsia="Calibri" w:cs="Arial"/>
          <w:color w:val="000000" w:themeColor="text1"/>
          <w:sz w:val="22"/>
        </w:rPr>
      </w:pPr>
      <w:r>
        <w:rPr>
          <w:rFonts w:ascii="Arial" w:hAnsi="Arial" w:eastAsia="Calibri" w:cs="Arial"/>
          <w:color w:val="000000" w:themeColor="text1"/>
          <w:sz w:val="22"/>
        </w:rPr>
        <w:t>En otras palabras, si bien la realización de audiencias en la modalidad de mínima cuantía</w:t>
      </w:r>
      <w:r w:rsidRPr="0099629A" w:rsidR="0099629A">
        <w:rPr>
          <w:rFonts w:ascii="Arial" w:hAnsi="Arial" w:eastAsia="Calibri" w:cs="Arial"/>
          <w:color w:val="000000" w:themeColor="text1"/>
          <w:sz w:val="22"/>
        </w:rPr>
        <w:t xml:space="preserve"> </w:t>
      </w:r>
      <w:r w:rsidR="0099629A">
        <w:rPr>
          <w:rFonts w:ascii="Arial" w:hAnsi="Arial" w:eastAsia="Calibri" w:cs="Arial"/>
          <w:color w:val="000000" w:themeColor="text1"/>
          <w:sz w:val="22"/>
        </w:rPr>
        <w:t>no es obligatoria</w:t>
      </w:r>
      <w:r>
        <w:rPr>
          <w:rFonts w:ascii="Arial" w:hAnsi="Arial" w:eastAsia="Calibri" w:cs="Arial"/>
          <w:color w:val="000000" w:themeColor="text1"/>
          <w:sz w:val="22"/>
        </w:rPr>
        <w:t>, las entidades estatales pueden adoptar buenas prácticas contractuales que garanticen la participación ciudadana y la transparencia</w:t>
      </w:r>
      <w:r w:rsidR="008A0075">
        <w:rPr>
          <w:rFonts w:ascii="Arial" w:hAnsi="Arial" w:eastAsia="Calibri" w:cs="Arial"/>
          <w:color w:val="000000" w:themeColor="text1"/>
          <w:sz w:val="22"/>
        </w:rPr>
        <w:t>, haciendo público el momento de la apertura de los sobres. Sin embargo, no pueden crear etapas distintas a las establecidas en el Estatuto General de Contratación de la Administración Pública y en el reglamento.</w:t>
      </w:r>
      <w:r w:rsidR="00A60561">
        <w:rPr>
          <w:rFonts w:ascii="Arial" w:hAnsi="Arial" w:eastAsia="Calibri" w:cs="Arial"/>
          <w:color w:val="000000" w:themeColor="text1"/>
          <w:sz w:val="22"/>
        </w:rPr>
        <w:t xml:space="preserve"> </w:t>
      </w:r>
    </w:p>
    <w:p w:rsidR="00B640E5" w:rsidP="00A60561" w:rsidRDefault="00B640E5" w14:paraId="1A370E94" w14:textId="79358C53">
      <w:pPr>
        <w:spacing w:line="276" w:lineRule="auto"/>
        <w:jc w:val="both"/>
        <w:rPr>
          <w:rFonts w:ascii="Arial" w:hAnsi="Arial" w:eastAsia="Calibri" w:cs="Arial"/>
          <w:color w:val="000000" w:themeColor="text1"/>
          <w:sz w:val="22"/>
        </w:rPr>
      </w:pPr>
    </w:p>
    <w:p w:rsidRPr="00C12EE0" w:rsidR="00A60561" w:rsidP="00A60561" w:rsidRDefault="00A60561" w14:paraId="3AEFC040" w14:textId="7C20E031">
      <w:pPr>
        <w:pStyle w:val="Prrafodelista"/>
        <w:numPr>
          <w:ilvl w:val="1"/>
          <w:numId w:val="6"/>
        </w:numPr>
        <w:tabs>
          <w:tab w:val="left" w:pos="426"/>
        </w:tabs>
        <w:spacing w:line="276" w:lineRule="auto"/>
        <w:ind w:left="426" w:hanging="426"/>
        <w:jc w:val="both"/>
        <w:rPr>
          <w:rFonts w:ascii="Arial" w:hAnsi="Arial" w:eastAsia="Calibri" w:cs="Arial"/>
          <w:b/>
          <w:color w:val="000000" w:themeColor="text1"/>
          <w:sz w:val="22"/>
          <w:lang w:val="es-ES"/>
        </w:rPr>
      </w:pPr>
      <w:r>
        <w:rPr>
          <w:rFonts w:ascii="Arial" w:hAnsi="Arial" w:eastAsia="Calibri" w:cs="Arial"/>
          <w:b/>
          <w:color w:val="000000" w:themeColor="text1"/>
          <w:sz w:val="22"/>
          <w:lang w:val="es-ES"/>
        </w:rPr>
        <w:t>Principios de publicidad y transparencia en</w:t>
      </w:r>
      <w:r w:rsidR="00780786">
        <w:rPr>
          <w:rFonts w:ascii="Arial" w:hAnsi="Arial" w:eastAsia="Calibri" w:cs="Arial"/>
          <w:b/>
          <w:color w:val="000000" w:themeColor="text1"/>
          <w:sz w:val="22"/>
          <w:lang w:val="es-ES"/>
        </w:rPr>
        <w:t xml:space="preserve"> los procesos de contratación pública</w:t>
      </w:r>
      <w:r w:rsidRPr="00C12EE0">
        <w:rPr>
          <w:rFonts w:ascii="Arial" w:hAnsi="Arial" w:eastAsia="Calibri" w:cs="Arial"/>
          <w:b/>
          <w:color w:val="000000" w:themeColor="text1"/>
          <w:sz w:val="22"/>
          <w:lang w:val="es-ES"/>
        </w:rPr>
        <w:t xml:space="preserve"> </w:t>
      </w:r>
    </w:p>
    <w:p w:rsidRPr="00C12EE0" w:rsidR="00A60561" w:rsidP="00A60561" w:rsidRDefault="00A60561" w14:paraId="1AAF2B06" w14:textId="77777777">
      <w:pPr>
        <w:spacing w:line="276" w:lineRule="auto"/>
        <w:jc w:val="both"/>
        <w:rPr>
          <w:rFonts w:ascii="Arial" w:hAnsi="Arial" w:cs="Arial"/>
          <w:color w:val="000000" w:themeColor="text1"/>
          <w:sz w:val="22"/>
          <w:lang w:val="es-ES"/>
        </w:rPr>
      </w:pPr>
    </w:p>
    <w:p w:rsidR="00D82C39" w:rsidP="008350A2" w:rsidRDefault="00D22223" w14:paraId="1DED19C5" w14:textId="3501D5D7">
      <w:pPr>
        <w:spacing w:line="276" w:lineRule="auto"/>
        <w:jc w:val="both"/>
        <w:rPr>
          <w:rFonts w:ascii="Arial" w:hAnsi="Arial" w:eastAsia="Calibri" w:cs="Arial"/>
          <w:color w:val="000000" w:themeColor="text1"/>
          <w:sz w:val="22"/>
          <w:lang w:val="es-ES"/>
        </w:rPr>
      </w:pPr>
      <w:r>
        <w:rPr>
          <w:rFonts w:ascii="Arial" w:hAnsi="Arial" w:eastAsia="Calibri" w:cs="Arial"/>
          <w:color w:val="000000" w:themeColor="text1"/>
          <w:sz w:val="22"/>
          <w:lang w:val="es-ES"/>
        </w:rPr>
        <w:t>En relación con</w:t>
      </w:r>
      <w:r w:rsidRPr="00780786" w:rsidR="00780786">
        <w:rPr>
          <w:rFonts w:ascii="Arial" w:hAnsi="Arial" w:eastAsia="Calibri" w:cs="Arial"/>
          <w:color w:val="000000" w:themeColor="text1"/>
          <w:sz w:val="22"/>
          <w:lang w:val="es-ES"/>
        </w:rPr>
        <w:t xml:space="preserve"> la consulta planteada, resulta relevante determinar cómo operan los principios de publicidad y transparencia en el marco de los procesos de selección de mínima cuantía. Al respecto, </w:t>
      </w:r>
      <w:r w:rsidR="00780786">
        <w:rPr>
          <w:rFonts w:ascii="Arial" w:hAnsi="Arial" w:eastAsia="Calibri" w:cs="Arial"/>
          <w:color w:val="000000" w:themeColor="text1"/>
          <w:sz w:val="22"/>
          <w:lang w:val="es-ES"/>
        </w:rPr>
        <w:t>la Agencia Nacional de Contratación Pública – Colombia Compra Eficiente ha indicado</w:t>
      </w:r>
      <w:r w:rsidRPr="00780786" w:rsidR="00780786">
        <w:rPr>
          <w:rFonts w:ascii="Arial" w:hAnsi="Arial" w:eastAsia="Calibri" w:cs="Arial"/>
          <w:color w:val="000000" w:themeColor="text1"/>
          <w:sz w:val="22"/>
          <w:lang w:val="es-ES"/>
        </w:rPr>
        <w:t xml:space="preserve"> que</w:t>
      </w:r>
      <w:r w:rsidR="00D61C53">
        <w:rPr>
          <w:rFonts w:ascii="Arial" w:hAnsi="Arial" w:eastAsia="Calibri" w:cs="Arial"/>
          <w:color w:val="000000" w:themeColor="text1"/>
          <w:sz w:val="22"/>
          <w:lang w:val="es-ES"/>
        </w:rPr>
        <w:t>:</w:t>
      </w:r>
    </w:p>
    <w:p w:rsidR="00D82C39" w:rsidP="00780786" w:rsidRDefault="00D82C39" w14:paraId="7116BB0B" w14:textId="77777777">
      <w:pPr>
        <w:spacing w:line="276" w:lineRule="auto"/>
        <w:ind w:firstLine="709"/>
        <w:jc w:val="both"/>
        <w:rPr>
          <w:rFonts w:ascii="Arial" w:hAnsi="Arial" w:eastAsia="Calibri" w:cs="Arial"/>
          <w:color w:val="000000" w:themeColor="text1"/>
          <w:sz w:val="22"/>
          <w:lang w:val="es-ES"/>
        </w:rPr>
      </w:pPr>
    </w:p>
    <w:p w:rsidRPr="00D82C39" w:rsidR="00780786" w:rsidP="00D82C39" w:rsidRDefault="00780786" w14:paraId="287E0094" w14:textId="1E8CE2FF">
      <w:pPr>
        <w:ind w:left="709" w:right="709"/>
        <w:jc w:val="both"/>
        <w:rPr>
          <w:rFonts w:ascii="Arial" w:hAnsi="Arial" w:eastAsia="Calibri" w:cs="Arial"/>
          <w:color w:val="000000" w:themeColor="text1"/>
          <w:sz w:val="19"/>
          <w:szCs w:val="19"/>
          <w:lang w:val="es-CO"/>
        </w:rPr>
      </w:pPr>
      <w:r w:rsidRPr="00D82C39">
        <w:rPr>
          <w:rFonts w:ascii="Arial" w:hAnsi="Arial" w:eastAsia="Calibri" w:cs="Arial"/>
          <w:color w:val="000000" w:themeColor="text1"/>
          <w:sz w:val="19"/>
          <w:szCs w:val="19"/>
          <w:lang w:val="es-ES"/>
        </w:rPr>
        <w:t>el principio de transparencia y el de publicidad se encuentran unidos desde el propio Estatuto General de Contratación Pública, de manera que, en virtud del principio de transparencia, las actuaciones desplegadas durante el proceso de selección de contratistas serán públicas. Con todo, el principio de transparencia guarda estrecha relación con otros principios que orientan la contratación pública, como el de igualdad, imparcialidad y selección objetiva</w:t>
      </w:r>
      <w:r w:rsidRPr="00D82C39">
        <w:rPr>
          <w:rStyle w:val="Refdenotaalpie"/>
          <w:rFonts w:ascii="Arial" w:hAnsi="Arial" w:cs="Arial"/>
          <w:color w:val="000000" w:themeColor="text1"/>
          <w:sz w:val="19"/>
          <w:szCs w:val="19"/>
          <w:lang w:val="es-ES"/>
        </w:rPr>
        <w:footnoteReference w:id="5"/>
      </w:r>
      <w:r w:rsidRPr="00D82C39">
        <w:rPr>
          <w:rFonts w:ascii="Arial" w:hAnsi="Arial" w:eastAsia="Calibri" w:cs="Arial"/>
          <w:color w:val="000000" w:themeColor="text1"/>
          <w:sz w:val="19"/>
          <w:szCs w:val="19"/>
          <w:lang w:val="es-ES"/>
        </w:rPr>
        <w:t>.  </w:t>
      </w:r>
    </w:p>
    <w:p w:rsidR="00D82C39" w:rsidP="00780786" w:rsidRDefault="00D82C39" w14:paraId="312F7717" w14:textId="77777777">
      <w:pPr>
        <w:spacing w:line="276" w:lineRule="auto"/>
        <w:ind w:firstLine="709"/>
        <w:jc w:val="both"/>
        <w:rPr>
          <w:rFonts w:ascii="Arial" w:hAnsi="Arial" w:eastAsia="Calibri" w:cs="Arial"/>
          <w:color w:val="000000" w:themeColor="text1"/>
          <w:sz w:val="22"/>
          <w:lang w:val="es-ES"/>
        </w:rPr>
      </w:pPr>
    </w:p>
    <w:p w:rsidRPr="00780786" w:rsidR="00780786" w:rsidP="00780786" w:rsidRDefault="00780786" w14:paraId="756C1550" w14:textId="22757379">
      <w:pPr>
        <w:spacing w:line="276" w:lineRule="auto"/>
        <w:ind w:firstLine="709"/>
        <w:jc w:val="both"/>
        <w:rPr>
          <w:rFonts w:ascii="Arial" w:hAnsi="Arial" w:eastAsia="Calibri" w:cs="Arial"/>
          <w:color w:val="000000" w:themeColor="text1"/>
          <w:sz w:val="22"/>
          <w:lang w:val="es-CO"/>
        </w:rPr>
      </w:pPr>
      <w:r w:rsidRPr="00780786">
        <w:rPr>
          <w:rFonts w:ascii="Arial" w:hAnsi="Arial" w:eastAsia="Calibri" w:cs="Arial"/>
          <w:color w:val="000000" w:themeColor="text1"/>
          <w:sz w:val="22"/>
          <w:lang w:val="es-ES"/>
        </w:rPr>
        <w:t xml:space="preserve">A su vez, </w:t>
      </w:r>
      <w:r w:rsidR="00D82C39">
        <w:rPr>
          <w:rFonts w:ascii="Arial" w:hAnsi="Arial" w:eastAsia="Calibri" w:cs="Arial"/>
          <w:color w:val="000000" w:themeColor="text1"/>
          <w:sz w:val="22"/>
          <w:lang w:val="es-ES"/>
        </w:rPr>
        <w:t>se</w:t>
      </w:r>
      <w:r w:rsidRPr="00780786">
        <w:rPr>
          <w:rFonts w:ascii="Arial" w:hAnsi="Arial" w:eastAsia="Calibri" w:cs="Arial"/>
          <w:color w:val="000000" w:themeColor="text1"/>
          <w:sz w:val="22"/>
          <w:lang w:val="es-ES"/>
        </w:rPr>
        <w:t xml:space="preserve"> ha </w:t>
      </w:r>
      <w:r w:rsidR="001F18EA">
        <w:rPr>
          <w:rFonts w:ascii="Arial" w:hAnsi="Arial" w:eastAsia="Calibri" w:cs="Arial"/>
          <w:color w:val="000000" w:themeColor="text1"/>
          <w:sz w:val="22"/>
          <w:lang w:val="es-ES"/>
        </w:rPr>
        <w:t>señalado</w:t>
      </w:r>
      <w:r w:rsidR="00D82C39">
        <w:rPr>
          <w:rStyle w:val="Refdenotaalpie"/>
          <w:rFonts w:ascii="Arial" w:hAnsi="Arial" w:eastAsia="Calibri" w:cs="Arial"/>
          <w:color w:val="000000" w:themeColor="text1"/>
          <w:sz w:val="22"/>
          <w:lang w:val="es-ES"/>
        </w:rPr>
        <w:footnoteReference w:id="6"/>
      </w:r>
      <w:r w:rsidRPr="00780786">
        <w:rPr>
          <w:rFonts w:ascii="Arial" w:hAnsi="Arial" w:eastAsia="Calibri" w:cs="Arial"/>
          <w:color w:val="000000" w:themeColor="text1"/>
          <w:sz w:val="22"/>
          <w:lang w:val="es-ES"/>
        </w:rPr>
        <w:t xml:space="preserve"> que el desarrollo del principio de publicidad admite diversas formas de realización</w:t>
      </w:r>
      <w:r w:rsidR="00D61C53">
        <w:rPr>
          <w:rFonts w:ascii="Arial" w:hAnsi="Arial" w:eastAsia="Calibri" w:cs="Arial"/>
          <w:color w:val="000000" w:themeColor="text1"/>
          <w:sz w:val="22"/>
          <w:lang w:val="es-ES"/>
        </w:rPr>
        <w:t>;</w:t>
      </w:r>
      <w:r w:rsidRPr="00780786">
        <w:rPr>
          <w:rFonts w:ascii="Arial" w:hAnsi="Arial" w:eastAsia="Calibri" w:cs="Arial"/>
          <w:color w:val="000000" w:themeColor="text1"/>
          <w:sz w:val="22"/>
          <w:lang w:val="es-ES"/>
        </w:rPr>
        <w:t xml:space="preserve"> cuestión que debe ser determinada por la autoridad legislativa. En esta medida y en relación con la consulta concreta, es posible observar que, aunque la norma no determina expresamente la celebración de una audiencia para la apertura de sobres, este mecanismo no es el único mediante el cual puede garantizarse el principio de transparencia dentro de un proceso de selección de mínima cuantía.  </w:t>
      </w:r>
    </w:p>
    <w:p w:rsidR="00780786" w:rsidP="008350A2" w:rsidRDefault="008972CE" w14:paraId="4E7A9546" w14:textId="63C12B8F">
      <w:pPr>
        <w:spacing w:before="120" w:line="276" w:lineRule="auto"/>
        <w:ind w:firstLine="709"/>
        <w:jc w:val="both"/>
        <w:rPr>
          <w:rFonts w:ascii="Arial" w:hAnsi="Arial" w:eastAsia="Calibri" w:cs="Arial"/>
          <w:color w:val="000000" w:themeColor="text1"/>
          <w:sz w:val="22"/>
          <w:lang w:val="es-ES"/>
        </w:rPr>
      </w:pPr>
      <w:r>
        <w:rPr>
          <w:rFonts w:ascii="Arial" w:hAnsi="Arial" w:eastAsia="Calibri" w:cs="Arial"/>
          <w:color w:val="000000" w:themeColor="text1"/>
          <w:sz w:val="22"/>
          <w:lang w:val="es-ES"/>
        </w:rPr>
        <w:t>D</w:t>
      </w:r>
      <w:r w:rsidRPr="00780786" w:rsidR="00780786">
        <w:rPr>
          <w:rFonts w:ascii="Arial" w:hAnsi="Arial" w:eastAsia="Calibri" w:cs="Arial"/>
          <w:color w:val="000000" w:themeColor="text1"/>
          <w:sz w:val="22"/>
          <w:lang w:val="es-ES"/>
        </w:rPr>
        <w:t>ebe tenerse en cuenta que</w:t>
      </w:r>
      <w:r w:rsidR="00560F2A">
        <w:rPr>
          <w:rFonts w:ascii="Arial" w:hAnsi="Arial" w:eastAsia="Calibri" w:cs="Arial"/>
          <w:color w:val="000000" w:themeColor="text1"/>
          <w:sz w:val="22"/>
          <w:lang w:val="es-ES"/>
        </w:rPr>
        <w:t>,</w:t>
      </w:r>
      <w:r w:rsidR="00A32EF1">
        <w:rPr>
          <w:rFonts w:ascii="Arial" w:hAnsi="Arial" w:eastAsia="Calibri" w:cs="Arial"/>
          <w:color w:val="000000" w:themeColor="text1"/>
          <w:sz w:val="22"/>
          <w:lang w:val="es-ES"/>
        </w:rPr>
        <w:t xml:space="preserve"> </w:t>
      </w:r>
      <w:r w:rsidRPr="00780786" w:rsidR="00A32EF1">
        <w:rPr>
          <w:rFonts w:ascii="Arial" w:hAnsi="Arial" w:eastAsia="Calibri" w:cs="Arial"/>
          <w:color w:val="000000" w:themeColor="text1"/>
          <w:sz w:val="22"/>
          <w:lang w:val="es-ES"/>
        </w:rPr>
        <w:t>en aras de garantizar el principio de publicidad, las entidades estatales se encuentran obligadas a publicar en el Sistema Electrónico de Contratación Pública – SECOP los documentos del proceso y los actos administrativos del proceso de contratación</w:t>
      </w:r>
      <w:r w:rsidR="00A32EF1">
        <w:rPr>
          <w:rStyle w:val="Refdenotaalpie"/>
          <w:rFonts w:ascii="Arial" w:hAnsi="Arial" w:eastAsia="Calibri" w:cs="Arial"/>
          <w:color w:val="000000" w:themeColor="text1"/>
          <w:sz w:val="22"/>
          <w:lang w:val="es-ES"/>
        </w:rPr>
        <w:footnoteReference w:id="7"/>
      </w:r>
      <w:r w:rsidRPr="00780786" w:rsidR="00780786">
        <w:rPr>
          <w:rFonts w:ascii="Arial" w:hAnsi="Arial" w:eastAsia="Calibri" w:cs="Arial"/>
          <w:color w:val="000000" w:themeColor="text1"/>
          <w:sz w:val="22"/>
          <w:lang w:val="es-ES"/>
        </w:rPr>
        <w:t>. </w:t>
      </w:r>
    </w:p>
    <w:p w:rsidRPr="00780786" w:rsidR="00A32EF1" w:rsidP="00780786" w:rsidRDefault="00A32EF1" w14:paraId="3940BB38" w14:textId="77777777">
      <w:pPr>
        <w:spacing w:line="276" w:lineRule="auto"/>
        <w:ind w:firstLine="709"/>
        <w:jc w:val="both"/>
        <w:rPr>
          <w:rFonts w:ascii="Arial" w:hAnsi="Arial" w:eastAsia="Calibri" w:cs="Arial"/>
          <w:color w:val="000000" w:themeColor="text1"/>
          <w:sz w:val="22"/>
          <w:lang w:val="es-CO"/>
        </w:rPr>
      </w:pPr>
    </w:p>
    <w:p w:rsidRPr="00C12EE0" w:rsidR="00A32EF1" w:rsidP="00A32EF1" w:rsidRDefault="00A32EF1" w14:paraId="27FF5C68" w14:textId="0EDB9EAF">
      <w:pPr>
        <w:pStyle w:val="Prrafodelista"/>
        <w:numPr>
          <w:ilvl w:val="1"/>
          <w:numId w:val="6"/>
        </w:numPr>
        <w:tabs>
          <w:tab w:val="left" w:pos="426"/>
        </w:tabs>
        <w:spacing w:line="276" w:lineRule="auto"/>
        <w:ind w:left="426" w:hanging="426"/>
        <w:jc w:val="both"/>
        <w:rPr>
          <w:rFonts w:ascii="Arial" w:hAnsi="Arial" w:eastAsia="Calibri" w:cs="Arial"/>
          <w:b/>
          <w:color w:val="000000" w:themeColor="text1"/>
          <w:sz w:val="22"/>
          <w:lang w:val="es-ES"/>
        </w:rPr>
      </w:pPr>
      <w:r>
        <w:rPr>
          <w:rFonts w:ascii="Arial" w:hAnsi="Arial" w:eastAsia="Calibri" w:cs="Arial"/>
          <w:b/>
          <w:color w:val="000000" w:themeColor="text1"/>
          <w:sz w:val="22"/>
          <w:lang w:val="es-ES"/>
        </w:rPr>
        <w:t xml:space="preserve">Concreción del principio de publicidad en los procesos de contratación de mínima cuantía </w:t>
      </w:r>
    </w:p>
    <w:p w:rsidRPr="00C12EE0" w:rsidR="00A32EF1" w:rsidP="00A32EF1" w:rsidRDefault="00A32EF1" w14:paraId="0A88C8F7" w14:textId="77777777">
      <w:pPr>
        <w:spacing w:line="276" w:lineRule="auto"/>
        <w:jc w:val="both"/>
        <w:rPr>
          <w:rFonts w:ascii="Arial" w:hAnsi="Arial" w:cs="Arial"/>
          <w:color w:val="000000" w:themeColor="text1"/>
          <w:sz w:val="22"/>
          <w:lang w:val="es-ES"/>
        </w:rPr>
      </w:pPr>
    </w:p>
    <w:p w:rsidRPr="008350A2" w:rsidR="00156DA9" w:rsidP="008350A2" w:rsidRDefault="007802D1" w14:paraId="5ED04FAF" w14:textId="11C8EB8B">
      <w:pPr>
        <w:spacing w:line="276" w:lineRule="auto"/>
        <w:jc w:val="both"/>
        <w:rPr>
          <w:rFonts w:ascii="Arial" w:hAnsi="Arial" w:eastAsia="Calibri" w:cs="Arial"/>
          <w:color w:val="000000" w:themeColor="text1"/>
          <w:sz w:val="22"/>
          <w:lang w:val="es-ES"/>
        </w:rPr>
      </w:pPr>
      <w:r>
        <w:rPr>
          <w:rFonts w:ascii="Arial" w:hAnsi="Arial" w:eastAsia="Calibri" w:cs="Arial"/>
          <w:color w:val="000000" w:themeColor="text1"/>
          <w:sz w:val="22"/>
          <w:lang w:val="es-ES"/>
        </w:rPr>
        <w:t>A</w:t>
      </w:r>
      <w:r w:rsidRPr="00A32EF1" w:rsidR="00A32EF1">
        <w:rPr>
          <w:rFonts w:ascii="Arial" w:hAnsi="Arial" w:eastAsia="Calibri" w:cs="Arial"/>
          <w:color w:val="000000" w:themeColor="text1"/>
          <w:sz w:val="22"/>
          <w:lang w:val="es-ES"/>
        </w:rPr>
        <w:t>unque la normativa</w:t>
      </w:r>
      <w:r>
        <w:rPr>
          <w:rFonts w:ascii="Arial" w:hAnsi="Arial" w:eastAsia="Calibri" w:cs="Arial"/>
          <w:color w:val="000000" w:themeColor="text1"/>
          <w:sz w:val="22"/>
          <w:lang w:val="es-ES"/>
        </w:rPr>
        <w:t xml:space="preserve"> vigente</w:t>
      </w:r>
      <w:r w:rsidRPr="00A32EF1" w:rsidR="00A32EF1">
        <w:rPr>
          <w:rFonts w:ascii="Arial" w:hAnsi="Arial" w:eastAsia="Calibri" w:cs="Arial"/>
          <w:color w:val="000000" w:themeColor="text1"/>
          <w:sz w:val="22"/>
          <w:lang w:val="es-ES"/>
        </w:rPr>
        <w:t xml:space="preserve"> no determina de manera expresa que se deba adelantar una audiencia para la apertura de sobres dentro de los procesos de mínima cuantía, la Circular Externa Única proferida por la Agencia Nacional de Contratación Pública – Colombia Compra Eficiente ha fijado un criterio para determinar la necesidad de dicha </w:t>
      </w:r>
      <w:r w:rsidR="00152ABD">
        <w:rPr>
          <w:rFonts w:ascii="Arial" w:hAnsi="Arial" w:eastAsia="Calibri" w:cs="Arial"/>
          <w:color w:val="000000" w:themeColor="text1"/>
          <w:sz w:val="22"/>
          <w:lang w:val="es-ES"/>
        </w:rPr>
        <w:t>etapa</w:t>
      </w:r>
      <w:r w:rsidR="00964BFE">
        <w:rPr>
          <w:rFonts w:ascii="Arial" w:hAnsi="Arial" w:eastAsia="Calibri" w:cs="Arial"/>
          <w:color w:val="000000" w:themeColor="text1"/>
          <w:sz w:val="22"/>
          <w:lang w:val="es-ES"/>
        </w:rPr>
        <w:t xml:space="preserve"> o actuación</w:t>
      </w:r>
      <w:r w:rsidRPr="00A32EF1" w:rsidR="00A32EF1">
        <w:rPr>
          <w:rFonts w:ascii="Arial" w:hAnsi="Arial" w:eastAsia="Calibri" w:cs="Arial"/>
          <w:color w:val="000000" w:themeColor="text1"/>
          <w:sz w:val="22"/>
          <w:lang w:val="es-ES"/>
        </w:rPr>
        <w:t xml:space="preserve">, en </w:t>
      </w:r>
      <w:r w:rsidR="008972CE">
        <w:rPr>
          <w:rFonts w:ascii="Arial" w:hAnsi="Arial" w:eastAsia="Calibri" w:cs="Arial"/>
          <w:color w:val="000000" w:themeColor="text1"/>
          <w:sz w:val="22"/>
          <w:lang w:val="es-ES"/>
        </w:rPr>
        <w:t xml:space="preserve">el marco de los diferentes mecanismos previstos para </w:t>
      </w:r>
      <w:r w:rsidRPr="00A32EF1" w:rsidR="00A32EF1">
        <w:rPr>
          <w:rFonts w:ascii="Arial" w:hAnsi="Arial" w:eastAsia="Calibri" w:cs="Arial"/>
          <w:color w:val="000000" w:themeColor="text1"/>
          <w:sz w:val="22"/>
          <w:lang w:val="es-ES"/>
        </w:rPr>
        <w:t xml:space="preserve">de garantizar el principio de publicidad. La referida circular indica que aquellos procesos que se adelanten mediante publicación en SECOP I requieren que la apertura de ofertas se realice en presencia de proponentes o </w:t>
      </w:r>
      <w:r w:rsidRPr="00A32EF1" w:rsidR="00A32EF1">
        <w:rPr>
          <w:rFonts w:ascii="Arial" w:hAnsi="Arial" w:eastAsia="Calibri" w:cs="Arial"/>
          <w:color w:val="000000" w:themeColor="text1"/>
          <w:sz w:val="22"/>
          <w:lang w:val="es-ES"/>
        </w:rPr>
        <w:lastRenderedPageBreak/>
        <w:t>veedores y la elaboración de un acta de cierre</w:t>
      </w:r>
      <w:r w:rsidR="00D83D20">
        <w:rPr>
          <w:rFonts w:ascii="Arial" w:hAnsi="Arial" w:eastAsia="Calibri" w:cs="Arial"/>
          <w:color w:val="000000" w:themeColor="text1"/>
          <w:sz w:val="22"/>
          <w:lang w:val="es-ES"/>
        </w:rPr>
        <w:t>.</w:t>
      </w:r>
      <w:r w:rsidRPr="00A32EF1" w:rsidR="00A32EF1">
        <w:rPr>
          <w:rFonts w:ascii="Arial" w:hAnsi="Arial" w:eastAsia="Calibri" w:cs="Arial"/>
          <w:color w:val="000000" w:themeColor="text1"/>
          <w:sz w:val="22"/>
          <w:lang w:val="es-ES"/>
        </w:rPr>
        <w:t xml:space="preserve"> </w:t>
      </w:r>
      <w:r w:rsidR="00D83D20">
        <w:rPr>
          <w:rFonts w:ascii="Arial" w:hAnsi="Arial" w:eastAsia="Calibri" w:cs="Arial"/>
          <w:color w:val="000000" w:themeColor="text1"/>
          <w:sz w:val="22"/>
          <w:lang w:val="es-ES"/>
        </w:rPr>
        <w:t>Por otra parte,</w:t>
      </w:r>
      <w:r w:rsidRPr="00A32EF1" w:rsidR="00A32EF1">
        <w:rPr>
          <w:rFonts w:ascii="Arial" w:hAnsi="Arial" w:eastAsia="Calibri" w:cs="Arial"/>
          <w:color w:val="000000" w:themeColor="text1"/>
          <w:sz w:val="22"/>
          <w:lang w:val="es-ES"/>
        </w:rPr>
        <w:t xml:space="preserve"> los procesos adelantados a través de SECOP II no requieren de dicha asistencia, pues la publicación de la lista de oferentes hace las veces de acta de cierre.  </w:t>
      </w:r>
    </w:p>
    <w:p w:rsidR="004035E1" w:rsidP="008350A2" w:rsidRDefault="00A32EF1" w14:paraId="6DA56C75" w14:textId="653CDB64">
      <w:pPr>
        <w:spacing w:before="120" w:line="276" w:lineRule="auto"/>
        <w:ind w:firstLine="709"/>
        <w:jc w:val="both"/>
        <w:rPr>
          <w:rFonts w:ascii="Arial" w:hAnsi="Arial" w:eastAsia="Calibri" w:cs="Arial"/>
          <w:color w:val="000000" w:themeColor="text1"/>
          <w:sz w:val="22"/>
          <w:lang w:val="es-ES"/>
        </w:rPr>
      </w:pPr>
      <w:r w:rsidRPr="00A32EF1">
        <w:rPr>
          <w:rFonts w:ascii="Arial" w:hAnsi="Arial" w:eastAsia="Calibri" w:cs="Arial"/>
          <w:color w:val="000000" w:themeColor="text1"/>
          <w:sz w:val="22"/>
          <w:lang w:val="es-ES"/>
        </w:rPr>
        <w:t>Lo anterior tiene que ver con la naturaleza de uno y otro módulo</w:t>
      </w:r>
      <w:r w:rsidR="00D76B77">
        <w:rPr>
          <w:rStyle w:val="Refdenotaalpie"/>
          <w:rFonts w:ascii="Arial" w:hAnsi="Arial" w:eastAsia="Calibri" w:cs="Arial"/>
          <w:color w:val="000000" w:themeColor="text1"/>
          <w:sz w:val="22"/>
          <w:lang w:val="es-ES"/>
        </w:rPr>
        <w:footnoteReference w:id="8"/>
      </w:r>
      <w:r w:rsidR="00D76B77">
        <w:rPr>
          <w:rFonts w:ascii="Arial" w:hAnsi="Arial" w:eastAsia="Calibri" w:cs="Arial"/>
          <w:color w:val="000000" w:themeColor="text1"/>
          <w:sz w:val="22"/>
          <w:lang w:val="es-ES"/>
        </w:rPr>
        <w:t xml:space="preserve">, </w:t>
      </w:r>
      <w:r w:rsidRPr="00A32EF1">
        <w:rPr>
          <w:rFonts w:ascii="Arial" w:hAnsi="Arial" w:eastAsia="Calibri" w:cs="Arial"/>
          <w:color w:val="000000" w:themeColor="text1"/>
          <w:sz w:val="22"/>
          <w:lang w:val="es-ES"/>
        </w:rPr>
        <w:t>pues el SECOP I es una plataforma meramente informativa, es decir que el proceso de contratación tiene lugar fuera de ella</w:t>
      </w:r>
      <w:r w:rsidR="004035E1">
        <w:rPr>
          <w:rFonts w:ascii="Arial" w:hAnsi="Arial" w:eastAsia="Calibri" w:cs="Arial"/>
          <w:color w:val="000000" w:themeColor="text1"/>
          <w:sz w:val="22"/>
          <w:lang w:val="es-ES"/>
        </w:rPr>
        <w:t>.</w:t>
      </w:r>
      <w:r w:rsidRPr="00A32EF1">
        <w:rPr>
          <w:rFonts w:ascii="Arial" w:hAnsi="Arial" w:eastAsia="Calibri" w:cs="Arial"/>
          <w:color w:val="000000" w:themeColor="text1"/>
          <w:sz w:val="22"/>
          <w:lang w:val="es-ES"/>
        </w:rPr>
        <w:t xml:space="preserve"> </w:t>
      </w:r>
      <w:r w:rsidR="004035E1">
        <w:rPr>
          <w:rFonts w:ascii="Arial" w:hAnsi="Arial" w:eastAsia="Calibri" w:cs="Arial"/>
          <w:color w:val="000000" w:themeColor="text1"/>
          <w:sz w:val="22"/>
          <w:lang w:val="es-ES"/>
        </w:rPr>
        <w:t>En cambio,</w:t>
      </w:r>
      <w:r w:rsidRPr="00A32EF1">
        <w:rPr>
          <w:rFonts w:ascii="Arial" w:hAnsi="Arial" w:eastAsia="Calibri" w:cs="Arial"/>
          <w:color w:val="000000" w:themeColor="text1"/>
          <w:sz w:val="22"/>
          <w:lang w:val="es-ES"/>
        </w:rPr>
        <w:t xml:space="preserve"> el SECOP II es una plataforma transaccional </w:t>
      </w:r>
      <w:r w:rsidR="006C0B0D">
        <w:rPr>
          <w:rFonts w:ascii="Arial" w:hAnsi="Arial" w:eastAsia="Calibri" w:cs="Arial"/>
          <w:color w:val="000000" w:themeColor="text1"/>
          <w:sz w:val="22"/>
          <w:lang w:val="es-ES"/>
        </w:rPr>
        <w:t>por medio</w:t>
      </w:r>
      <w:r w:rsidRPr="00A32EF1">
        <w:rPr>
          <w:rFonts w:ascii="Arial" w:hAnsi="Arial" w:eastAsia="Calibri" w:cs="Arial"/>
          <w:color w:val="000000" w:themeColor="text1"/>
          <w:sz w:val="22"/>
          <w:lang w:val="es-ES"/>
        </w:rPr>
        <w:t xml:space="preserve"> de la cual se surte, en su totalidad, el proceso contractual, cumpliendo así con la publicidad que rige la actuación administrativa y la contratación estatal. </w:t>
      </w:r>
    </w:p>
    <w:p w:rsidRPr="00156DA9" w:rsidR="00A32EF1" w:rsidP="008350A2" w:rsidRDefault="00A32EF1" w14:paraId="58F2F780" w14:textId="74EEDC52">
      <w:pPr>
        <w:spacing w:before="120" w:line="276" w:lineRule="auto"/>
        <w:ind w:firstLine="709"/>
        <w:jc w:val="both"/>
        <w:rPr>
          <w:rFonts w:ascii="Arial" w:hAnsi="Arial" w:eastAsia="Calibri" w:cs="Arial"/>
          <w:color w:val="000000" w:themeColor="text1"/>
          <w:sz w:val="22"/>
          <w:lang w:val="es-CO"/>
        </w:rPr>
      </w:pPr>
      <w:r w:rsidRPr="00A32EF1">
        <w:rPr>
          <w:rFonts w:ascii="Arial" w:hAnsi="Arial" w:eastAsia="Calibri" w:cs="Arial"/>
          <w:color w:val="000000" w:themeColor="text1"/>
          <w:sz w:val="22"/>
          <w:lang w:val="es-ES"/>
        </w:rPr>
        <w:t xml:space="preserve">Sin embargo, es importante </w:t>
      </w:r>
      <w:r w:rsidR="007B3A06">
        <w:rPr>
          <w:rFonts w:ascii="Arial" w:hAnsi="Arial" w:eastAsia="Calibri" w:cs="Arial"/>
          <w:color w:val="000000" w:themeColor="text1"/>
          <w:sz w:val="22"/>
          <w:lang w:val="es-ES"/>
        </w:rPr>
        <w:t xml:space="preserve">señalar </w:t>
      </w:r>
      <w:r w:rsidRPr="00A32EF1">
        <w:rPr>
          <w:rFonts w:ascii="Arial" w:hAnsi="Arial" w:eastAsia="Calibri" w:cs="Arial"/>
          <w:color w:val="000000" w:themeColor="text1"/>
          <w:sz w:val="22"/>
          <w:lang w:val="es-ES"/>
        </w:rPr>
        <w:t>que, con base en la Circular No. 1</w:t>
      </w:r>
      <w:r w:rsidR="00753AC2">
        <w:rPr>
          <w:rFonts w:ascii="Arial" w:hAnsi="Arial" w:eastAsia="Calibri" w:cs="Arial"/>
          <w:color w:val="000000" w:themeColor="text1"/>
          <w:sz w:val="22"/>
          <w:lang w:val="es-ES"/>
        </w:rPr>
        <w:t xml:space="preserve"> y 2</w:t>
      </w:r>
      <w:r w:rsidRPr="00A32EF1">
        <w:rPr>
          <w:rFonts w:ascii="Arial" w:hAnsi="Arial" w:eastAsia="Calibri" w:cs="Arial"/>
          <w:color w:val="000000" w:themeColor="text1"/>
          <w:sz w:val="22"/>
          <w:lang w:val="es-ES"/>
        </w:rPr>
        <w:t xml:space="preserve"> de 2019</w:t>
      </w:r>
      <w:r w:rsidR="007316DE">
        <w:rPr>
          <w:rFonts w:ascii="Arial" w:hAnsi="Arial" w:eastAsia="Calibri" w:cs="Arial"/>
          <w:color w:val="000000" w:themeColor="text1"/>
          <w:sz w:val="22"/>
          <w:lang w:val="es-ES"/>
        </w:rPr>
        <w:t>, así como en la Circular No. 3 de 2020</w:t>
      </w:r>
      <w:r w:rsidRPr="00A32EF1">
        <w:rPr>
          <w:rFonts w:ascii="Arial" w:hAnsi="Arial" w:eastAsia="Calibri" w:cs="Arial"/>
          <w:color w:val="000000" w:themeColor="text1"/>
          <w:sz w:val="22"/>
          <w:lang w:val="es-ES"/>
        </w:rPr>
        <w:t xml:space="preserve">, </w:t>
      </w:r>
      <w:r w:rsidR="007316DE">
        <w:rPr>
          <w:rFonts w:ascii="Arial" w:hAnsi="Arial" w:eastAsia="Calibri" w:cs="Arial"/>
          <w:color w:val="000000" w:themeColor="text1"/>
          <w:sz w:val="22"/>
          <w:lang w:val="es-ES"/>
        </w:rPr>
        <w:t>algunas entidades estatales</w:t>
      </w:r>
      <w:r w:rsidRPr="00A32EF1">
        <w:rPr>
          <w:rFonts w:ascii="Arial" w:hAnsi="Arial" w:eastAsia="Calibri" w:cs="Arial"/>
          <w:color w:val="000000" w:themeColor="text1"/>
          <w:sz w:val="22"/>
          <w:lang w:val="es-ES"/>
        </w:rPr>
        <w:t xml:space="preserve"> tienen la obligación de gestionar sus procesos de contratación exclusivamente en el SECOP II</w:t>
      </w:r>
      <w:r w:rsidR="00767B48">
        <w:rPr>
          <w:rFonts w:ascii="Arial" w:hAnsi="Arial" w:eastAsia="Calibri" w:cs="Arial"/>
          <w:color w:val="000000" w:themeColor="text1"/>
          <w:sz w:val="22"/>
          <w:lang w:val="es-ES"/>
        </w:rPr>
        <w:t>, entre ellos el de mínima cuantía.</w:t>
      </w:r>
      <w:r w:rsidRPr="00A32EF1">
        <w:rPr>
          <w:rFonts w:ascii="Arial" w:hAnsi="Arial" w:eastAsia="Calibri" w:cs="Arial"/>
          <w:color w:val="000000" w:themeColor="text1"/>
          <w:sz w:val="22"/>
          <w:lang w:val="es-ES"/>
        </w:rPr>
        <w:t xml:space="preserve"> </w:t>
      </w:r>
    </w:p>
    <w:p w:rsidRPr="009B71CE" w:rsidR="00A32EF1" w:rsidP="00A32EF1" w:rsidRDefault="00A32EF1" w14:paraId="36AA0156" w14:textId="77777777">
      <w:pPr>
        <w:spacing w:line="276" w:lineRule="auto"/>
        <w:jc w:val="both"/>
        <w:rPr>
          <w:rFonts w:ascii="Arial" w:hAnsi="Arial" w:eastAsia="Calibri" w:cs="Arial"/>
          <w:color w:val="000000" w:themeColor="text1"/>
          <w:sz w:val="22"/>
        </w:rPr>
      </w:pPr>
    </w:p>
    <w:p w:rsidRPr="002976B6" w:rsidR="00081913" w:rsidP="002976B6" w:rsidRDefault="0061316D" w14:paraId="1A9EE859" w14:textId="103916B8">
      <w:pPr>
        <w:pStyle w:val="Prrafodelista"/>
        <w:numPr>
          <w:ilvl w:val="0"/>
          <w:numId w:val="1"/>
        </w:numPr>
        <w:tabs>
          <w:tab w:val="left" w:pos="426"/>
        </w:tabs>
        <w:spacing w:line="276" w:lineRule="auto"/>
        <w:ind w:left="284" w:hanging="284"/>
        <w:jc w:val="both"/>
        <w:rPr>
          <w:rFonts w:ascii="Arial" w:hAnsi="Arial" w:eastAsia="Calibri" w:cs="Arial"/>
          <w:b/>
          <w:color w:val="000000" w:themeColor="text1"/>
          <w:sz w:val="22"/>
          <w:lang w:val="es-ES"/>
        </w:rPr>
      </w:pPr>
      <w:r w:rsidRPr="002976B6">
        <w:rPr>
          <w:rFonts w:ascii="Arial" w:hAnsi="Arial" w:eastAsia="Calibri" w:cs="Arial"/>
          <w:b/>
          <w:color w:val="000000" w:themeColor="text1"/>
          <w:sz w:val="22"/>
          <w:lang w:val="es-ES"/>
        </w:rPr>
        <w:t xml:space="preserve">Respuestas </w:t>
      </w:r>
    </w:p>
    <w:p w:rsidR="005354F7" w:rsidP="005354F7" w:rsidRDefault="005354F7" w14:paraId="37264DC8" w14:textId="77777777">
      <w:pPr>
        <w:tabs>
          <w:tab w:val="left" w:pos="426"/>
        </w:tabs>
        <w:spacing w:line="276" w:lineRule="auto"/>
        <w:jc w:val="both"/>
        <w:rPr>
          <w:rFonts w:ascii="Arial" w:hAnsi="Arial" w:eastAsia="Calibri" w:cs="Arial"/>
          <w:color w:val="000000" w:themeColor="text1"/>
          <w:sz w:val="22"/>
          <w:lang w:val="es-ES"/>
        </w:rPr>
      </w:pPr>
    </w:p>
    <w:p w:rsidRPr="00D76B77" w:rsidR="005354F7" w:rsidP="00D76B77" w:rsidRDefault="00D76B77" w14:paraId="45AE6AE5" w14:textId="3C995DCA">
      <w:pPr>
        <w:tabs>
          <w:tab w:val="left" w:pos="426"/>
        </w:tabs>
        <w:ind w:left="709" w:right="709"/>
        <w:jc w:val="both"/>
        <w:rPr>
          <w:rFonts w:ascii="Arial" w:hAnsi="Arial" w:eastAsia="Calibri" w:cs="Arial"/>
          <w:color w:val="000000" w:themeColor="text1"/>
          <w:sz w:val="19"/>
          <w:szCs w:val="19"/>
        </w:rPr>
      </w:pPr>
      <w:r>
        <w:rPr>
          <w:rFonts w:ascii="Arial" w:hAnsi="Arial" w:eastAsia="Calibri" w:cs="Arial"/>
          <w:color w:val="000000" w:themeColor="text1"/>
          <w:sz w:val="19"/>
          <w:szCs w:val="19"/>
        </w:rPr>
        <w:t>«</w:t>
      </w:r>
      <w:r w:rsidRPr="00D76B77">
        <w:rPr>
          <w:rFonts w:ascii="Arial" w:hAnsi="Arial" w:eastAsia="Calibri" w:cs="Arial"/>
          <w:color w:val="000000" w:themeColor="text1"/>
          <w:sz w:val="19"/>
          <w:szCs w:val="19"/>
        </w:rPr>
        <w:t>DEBEN (sic) o no DEBEN (sic) realizar la apertura en público de las ofertas o sobres económicos que contienen las propuestas en el proceso de mínima cuantía. Esto con el objetivo de amparar a los proponentes, interesados y sobre todo que se logre garantizar la transparencia en los procesos venideros</w:t>
      </w:r>
      <w:r>
        <w:rPr>
          <w:rFonts w:ascii="Arial" w:hAnsi="Arial" w:eastAsia="Calibri" w:cs="Arial"/>
          <w:color w:val="000000" w:themeColor="text1"/>
          <w:sz w:val="19"/>
          <w:szCs w:val="19"/>
        </w:rPr>
        <w:t>».</w:t>
      </w:r>
    </w:p>
    <w:p w:rsidRPr="00C12EE0" w:rsidR="005354F7" w:rsidP="00A13AE6" w:rsidRDefault="005354F7" w14:paraId="32C21051" w14:textId="77777777">
      <w:pPr>
        <w:tabs>
          <w:tab w:val="left" w:pos="426"/>
        </w:tabs>
        <w:spacing w:line="276" w:lineRule="auto"/>
        <w:jc w:val="both"/>
        <w:rPr>
          <w:rFonts w:ascii="Arial" w:hAnsi="Arial" w:eastAsia="Calibri" w:cs="Arial"/>
          <w:color w:val="000000" w:themeColor="text1"/>
          <w:sz w:val="22"/>
          <w:lang w:val="es-ES"/>
        </w:rPr>
      </w:pPr>
    </w:p>
    <w:p w:rsidR="00790DCE" w:rsidP="00045B9D" w:rsidRDefault="008972CE" w14:paraId="1D27EC4E" w14:textId="7E93A67D">
      <w:pPr>
        <w:spacing w:line="276" w:lineRule="auto"/>
        <w:jc w:val="both"/>
        <w:rPr>
          <w:rFonts w:ascii="Arial" w:hAnsi="Arial" w:eastAsia="Calibri" w:cs="Arial"/>
          <w:color w:val="000000" w:themeColor="text1"/>
          <w:sz w:val="22"/>
          <w:lang w:val="es-ES"/>
        </w:rPr>
      </w:pPr>
      <w:r>
        <w:rPr>
          <w:rFonts w:ascii="Arial" w:hAnsi="Arial" w:eastAsia="Calibri" w:cs="Arial"/>
          <w:color w:val="000000" w:themeColor="text1"/>
          <w:sz w:val="22"/>
          <w:lang w:val="es-ES"/>
        </w:rPr>
        <w:t xml:space="preserve">En concepto de esta Agencia, la necesidad de adelantar apertura en público de las ofertas presentadas en el marco del proceso de mínima </w:t>
      </w:r>
      <w:r w:rsidR="002976B6">
        <w:rPr>
          <w:rFonts w:ascii="Arial" w:hAnsi="Arial" w:eastAsia="Calibri" w:cs="Arial"/>
          <w:color w:val="000000" w:themeColor="text1"/>
          <w:sz w:val="22"/>
          <w:lang w:val="es-ES"/>
        </w:rPr>
        <w:t>cuantía</w:t>
      </w:r>
      <w:r>
        <w:rPr>
          <w:rFonts w:ascii="Arial" w:hAnsi="Arial" w:eastAsia="Calibri" w:cs="Arial"/>
          <w:color w:val="000000" w:themeColor="text1"/>
          <w:sz w:val="22"/>
          <w:lang w:val="es-ES"/>
        </w:rPr>
        <w:t xml:space="preserve"> dependerá de la plataforma </w:t>
      </w:r>
      <w:r w:rsidR="007233A3">
        <w:rPr>
          <w:rFonts w:ascii="Arial" w:hAnsi="Arial" w:eastAsia="Calibri" w:cs="Arial"/>
          <w:color w:val="000000" w:themeColor="text1"/>
          <w:sz w:val="22"/>
          <w:lang w:val="es-ES"/>
        </w:rPr>
        <w:t xml:space="preserve">que </w:t>
      </w:r>
      <w:r w:rsidR="00206315">
        <w:rPr>
          <w:rFonts w:ascii="Arial" w:hAnsi="Arial" w:eastAsia="Calibri" w:cs="Arial"/>
          <w:color w:val="000000" w:themeColor="text1"/>
          <w:sz w:val="22"/>
          <w:lang w:val="es-ES"/>
        </w:rPr>
        <w:t>deba surtirse</w:t>
      </w:r>
      <w:r w:rsidR="007233A3">
        <w:rPr>
          <w:rFonts w:ascii="Arial" w:hAnsi="Arial" w:eastAsia="Calibri" w:cs="Arial"/>
          <w:color w:val="000000" w:themeColor="text1"/>
          <w:sz w:val="22"/>
          <w:lang w:val="es-ES"/>
        </w:rPr>
        <w:t xml:space="preserve"> para adelantar </w:t>
      </w:r>
      <w:r>
        <w:rPr>
          <w:rFonts w:ascii="Arial" w:hAnsi="Arial" w:eastAsia="Calibri" w:cs="Arial"/>
          <w:color w:val="000000" w:themeColor="text1"/>
          <w:sz w:val="22"/>
          <w:lang w:val="es-ES"/>
        </w:rPr>
        <w:t xml:space="preserve">el respectivo trámite contractual. Así, en caso de que este deba tramitarse </w:t>
      </w:r>
      <w:r w:rsidR="006C0B0D">
        <w:rPr>
          <w:rFonts w:ascii="Arial" w:hAnsi="Arial" w:eastAsia="Calibri" w:cs="Arial"/>
          <w:color w:val="000000" w:themeColor="text1"/>
          <w:sz w:val="22"/>
          <w:lang w:val="es-ES"/>
        </w:rPr>
        <w:t xml:space="preserve">en </w:t>
      </w:r>
      <w:r>
        <w:rPr>
          <w:rFonts w:ascii="Arial" w:hAnsi="Arial" w:eastAsia="Calibri" w:cs="Arial"/>
          <w:color w:val="000000" w:themeColor="text1"/>
          <w:sz w:val="22"/>
          <w:lang w:val="es-ES"/>
        </w:rPr>
        <w:t>el SECOP I, es necesario realizar la apertura pública de sobres, mientras que para aquellos procesos tramitados dentro del SECOP II, la publicación de los oferentes dentro de esta plataforma hará</w:t>
      </w:r>
      <w:r w:rsidR="00206315">
        <w:rPr>
          <w:rFonts w:ascii="Arial" w:hAnsi="Arial" w:eastAsia="Calibri" w:cs="Arial"/>
          <w:color w:val="000000" w:themeColor="text1"/>
          <w:sz w:val="22"/>
          <w:lang w:val="es-ES"/>
        </w:rPr>
        <w:t xml:space="preserve"> las</w:t>
      </w:r>
      <w:r>
        <w:rPr>
          <w:rFonts w:ascii="Arial" w:hAnsi="Arial" w:eastAsia="Calibri" w:cs="Arial"/>
          <w:color w:val="000000" w:themeColor="text1"/>
          <w:sz w:val="22"/>
          <w:lang w:val="es-ES"/>
        </w:rPr>
        <w:t xml:space="preserve"> veces de acta de cierre. En </w:t>
      </w:r>
      <w:r w:rsidR="00391E76">
        <w:rPr>
          <w:rFonts w:ascii="Arial" w:hAnsi="Arial" w:eastAsia="Calibri" w:cs="Arial"/>
          <w:color w:val="000000" w:themeColor="text1"/>
          <w:sz w:val="22"/>
          <w:lang w:val="es-ES"/>
        </w:rPr>
        <w:t>ambos casos</w:t>
      </w:r>
      <w:r>
        <w:rPr>
          <w:rFonts w:ascii="Arial" w:hAnsi="Arial" w:eastAsia="Calibri" w:cs="Arial"/>
          <w:color w:val="000000" w:themeColor="text1"/>
          <w:sz w:val="22"/>
          <w:lang w:val="es-ES"/>
        </w:rPr>
        <w:t xml:space="preserve">, se </w:t>
      </w:r>
      <w:r w:rsidR="00ED311E">
        <w:rPr>
          <w:rFonts w:ascii="Arial" w:hAnsi="Arial" w:eastAsia="Calibri" w:cs="Arial"/>
          <w:color w:val="000000" w:themeColor="text1"/>
          <w:sz w:val="22"/>
          <w:lang w:val="es-ES"/>
        </w:rPr>
        <w:t>garantiza</w:t>
      </w:r>
      <w:r>
        <w:rPr>
          <w:rFonts w:ascii="Arial" w:hAnsi="Arial" w:eastAsia="Calibri" w:cs="Arial"/>
          <w:color w:val="000000" w:themeColor="text1"/>
          <w:sz w:val="22"/>
          <w:lang w:val="es-ES"/>
        </w:rPr>
        <w:t xml:space="preserve"> </w:t>
      </w:r>
      <w:r w:rsidR="00ED311E">
        <w:rPr>
          <w:rFonts w:ascii="Arial" w:hAnsi="Arial" w:eastAsia="Calibri" w:cs="Arial"/>
          <w:color w:val="000000" w:themeColor="text1"/>
          <w:sz w:val="22"/>
          <w:lang w:val="es-ES"/>
        </w:rPr>
        <w:t>e</w:t>
      </w:r>
      <w:r>
        <w:rPr>
          <w:rFonts w:ascii="Arial" w:hAnsi="Arial" w:eastAsia="Calibri" w:cs="Arial"/>
          <w:color w:val="000000" w:themeColor="text1"/>
          <w:sz w:val="22"/>
          <w:lang w:val="es-ES"/>
        </w:rPr>
        <w:t>l principio de publicidad</w:t>
      </w:r>
      <w:r w:rsidR="00ED311E">
        <w:rPr>
          <w:rFonts w:ascii="Arial" w:hAnsi="Arial" w:eastAsia="Calibri" w:cs="Arial"/>
          <w:color w:val="000000" w:themeColor="text1"/>
          <w:sz w:val="22"/>
          <w:lang w:val="es-ES"/>
        </w:rPr>
        <w:t>,</w:t>
      </w:r>
      <w:r>
        <w:rPr>
          <w:rFonts w:ascii="Arial" w:hAnsi="Arial" w:eastAsia="Calibri" w:cs="Arial"/>
          <w:color w:val="000000" w:themeColor="text1"/>
          <w:sz w:val="22"/>
          <w:lang w:val="es-ES"/>
        </w:rPr>
        <w:t xml:space="preserve"> el cual </w:t>
      </w:r>
      <w:r w:rsidR="00041B90">
        <w:rPr>
          <w:rFonts w:ascii="Arial" w:hAnsi="Arial" w:eastAsia="Calibri" w:cs="Arial"/>
          <w:color w:val="000000" w:themeColor="text1"/>
          <w:sz w:val="22"/>
          <w:lang w:val="es-ES"/>
        </w:rPr>
        <w:t xml:space="preserve">puede materializarse </w:t>
      </w:r>
      <w:r w:rsidR="00D17B2B">
        <w:rPr>
          <w:rFonts w:ascii="Arial" w:hAnsi="Arial" w:eastAsia="Calibri" w:cs="Arial"/>
          <w:color w:val="000000" w:themeColor="text1"/>
          <w:sz w:val="22"/>
          <w:lang w:val="es-ES"/>
        </w:rPr>
        <w:t>mediante la implementación de distintos mecanismos</w:t>
      </w:r>
      <w:r w:rsidR="00653CDE">
        <w:rPr>
          <w:rFonts w:ascii="Arial" w:hAnsi="Arial" w:eastAsia="Calibri" w:cs="Arial"/>
          <w:color w:val="000000" w:themeColor="text1"/>
          <w:sz w:val="22"/>
          <w:lang w:val="es-ES"/>
        </w:rPr>
        <w:t>, sin que tenga una única forma de concreción</w:t>
      </w:r>
      <w:r>
        <w:rPr>
          <w:rFonts w:ascii="Arial" w:hAnsi="Arial" w:eastAsia="Calibri" w:cs="Arial"/>
          <w:color w:val="000000" w:themeColor="text1"/>
          <w:sz w:val="22"/>
          <w:lang w:val="es-ES"/>
        </w:rPr>
        <w:t xml:space="preserve">. </w:t>
      </w:r>
    </w:p>
    <w:p w:rsidRPr="00C12EE0" w:rsidR="008972CE" w:rsidP="008350A2" w:rsidRDefault="008972CE" w14:paraId="5BC41C50" w14:textId="1C828082">
      <w:pPr>
        <w:spacing w:before="120" w:line="276" w:lineRule="auto"/>
        <w:ind w:firstLine="709"/>
        <w:jc w:val="both"/>
        <w:rPr>
          <w:rFonts w:ascii="Arial" w:hAnsi="Arial" w:eastAsia="Calibri" w:cs="Arial"/>
          <w:color w:val="000000" w:themeColor="text1"/>
          <w:sz w:val="22"/>
          <w:lang w:val="es-ES"/>
        </w:rPr>
      </w:pPr>
      <w:r>
        <w:rPr>
          <w:rFonts w:ascii="Arial" w:hAnsi="Arial" w:eastAsia="Calibri" w:cs="Arial"/>
          <w:color w:val="000000" w:themeColor="text1"/>
          <w:sz w:val="22"/>
          <w:lang w:val="es-ES"/>
        </w:rPr>
        <w:t xml:space="preserve">Finalmente, es </w:t>
      </w:r>
      <w:r w:rsidR="00683779">
        <w:rPr>
          <w:rFonts w:ascii="Arial" w:hAnsi="Arial" w:eastAsia="Calibri" w:cs="Arial"/>
          <w:color w:val="000000" w:themeColor="text1"/>
          <w:sz w:val="22"/>
          <w:lang w:val="es-ES"/>
        </w:rPr>
        <w:t>fundamental</w:t>
      </w:r>
      <w:r>
        <w:rPr>
          <w:rFonts w:ascii="Arial" w:hAnsi="Arial" w:eastAsia="Calibri" w:cs="Arial"/>
          <w:color w:val="000000" w:themeColor="text1"/>
          <w:sz w:val="22"/>
          <w:lang w:val="es-ES"/>
        </w:rPr>
        <w:t xml:space="preserve"> tener en cuenta que </w:t>
      </w:r>
      <w:r w:rsidR="00D62396">
        <w:rPr>
          <w:rFonts w:ascii="Arial" w:hAnsi="Arial" w:eastAsia="Calibri" w:cs="Arial"/>
          <w:color w:val="000000" w:themeColor="text1"/>
          <w:sz w:val="22"/>
          <w:lang w:val="es-ES"/>
        </w:rPr>
        <w:t xml:space="preserve">para </w:t>
      </w:r>
      <w:r>
        <w:rPr>
          <w:rFonts w:ascii="Arial" w:hAnsi="Arial" w:eastAsia="Calibri" w:cs="Arial"/>
          <w:color w:val="000000" w:themeColor="text1"/>
          <w:sz w:val="22"/>
          <w:lang w:val="es-ES"/>
        </w:rPr>
        <w:t xml:space="preserve">las entidades estatales </w:t>
      </w:r>
      <w:r w:rsidR="00D62396">
        <w:rPr>
          <w:rFonts w:ascii="Arial" w:hAnsi="Arial" w:eastAsia="Calibri" w:cs="Arial"/>
          <w:color w:val="000000" w:themeColor="text1"/>
          <w:sz w:val="22"/>
          <w:lang w:val="es-ES"/>
        </w:rPr>
        <w:t xml:space="preserve">que </w:t>
      </w:r>
      <w:r>
        <w:rPr>
          <w:rFonts w:ascii="Arial" w:hAnsi="Arial" w:eastAsia="Calibri" w:cs="Arial"/>
          <w:color w:val="000000" w:themeColor="text1"/>
          <w:sz w:val="22"/>
          <w:lang w:val="es-ES"/>
        </w:rPr>
        <w:t xml:space="preserve">se encuentran obligadas a tramitar sus procesos de contratación </w:t>
      </w:r>
      <w:r w:rsidR="006C0B0D">
        <w:rPr>
          <w:rFonts w:ascii="Arial" w:hAnsi="Arial" w:eastAsia="Calibri" w:cs="Arial"/>
          <w:color w:val="000000" w:themeColor="text1"/>
          <w:sz w:val="22"/>
          <w:lang w:val="es-ES"/>
        </w:rPr>
        <w:t xml:space="preserve">dentro de la </w:t>
      </w:r>
      <w:r w:rsidR="009E58F3">
        <w:rPr>
          <w:rFonts w:ascii="Arial" w:hAnsi="Arial" w:eastAsia="Calibri" w:cs="Arial"/>
          <w:color w:val="000000" w:themeColor="text1"/>
          <w:sz w:val="22"/>
          <w:lang w:val="es-ES"/>
        </w:rPr>
        <w:t>plataforma SECOP</w:t>
      </w:r>
      <w:r>
        <w:rPr>
          <w:rFonts w:ascii="Arial" w:hAnsi="Arial" w:eastAsia="Calibri" w:cs="Arial"/>
          <w:color w:val="000000" w:themeColor="text1"/>
          <w:sz w:val="22"/>
          <w:lang w:val="es-ES"/>
        </w:rPr>
        <w:t xml:space="preserve"> II, este</w:t>
      </w:r>
      <w:r w:rsidR="00D62396">
        <w:rPr>
          <w:rFonts w:ascii="Arial" w:hAnsi="Arial" w:eastAsia="Calibri" w:cs="Arial"/>
          <w:color w:val="000000" w:themeColor="text1"/>
          <w:sz w:val="22"/>
          <w:lang w:val="es-ES"/>
        </w:rPr>
        <w:t xml:space="preserve"> es</w:t>
      </w:r>
      <w:r>
        <w:rPr>
          <w:rFonts w:ascii="Arial" w:hAnsi="Arial" w:eastAsia="Calibri" w:cs="Arial"/>
          <w:color w:val="000000" w:themeColor="text1"/>
          <w:sz w:val="22"/>
          <w:lang w:val="es-ES"/>
        </w:rPr>
        <w:t xml:space="preserve"> el mecanismo que garantiza la transparencia en el marco de la contratación pública y permite que las entidades y la ciudadanía en general audite</w:t>
      </w:r>
      <w:r w:rsidR="00B31DFC">
        <w:rPr>
          <w:rFonts w:ascii="Arial" w:hAnsi="Arial" w:eastAsia="Calibri" w:cs="Arial"/>
          <w:color w:val="000000" w:themeColor="text1"/>
          <w:sz w:val="22"/>
          <w:lang w:val="es-ES"/>
        </w:rPr>
        <w:t>n</w:t>
      </w:r>
      <w:r>
        <w:rPr>
          <w:rFonts w:ascii="Arial" w:hAnsi="Arial" w:eastAsia="Calibri" w:cs="Arial"/>
          <w:color w:val="000000" w:themeColor="text1"/>
          <w:sz w:val="22"/>
          <w:lang w:val="es-ES"/>
        </w:rPr>
        <w:t xml:space="preserve"> esta actividad estatal. </w:t>
      </w:r>
    </w:p>
    <w:p w:rsidR="006268FE" w:rsidP="004A303C" w:rsidRDefault="006268FE" w14:paraId="1E3F984A" w14:textId="77777777">
      <w:pPr>
        <w:spacing w:before="120" w:line="276" w:lineRule="auto"/>
        <w:jc w:val="both"/>
        <w:rPr>
          <w:rFonts w:ascii="Arial" w:hAnsi="Arial" w:eastAsia="Calibri" w:cs="Arial"/>
          <w:color w:val="000000" w:themeColor="text1"/>
          <w:sz w:val="22"/>
          <w:lang w:val="es-ES"/>
        </w:rPr>
      </w:pPr>
    </w:p>
    <w:p w:rsidRPr="00C12EE0" w:rsidR="004A303C" w:rsidP="004A303C" w:rsidRDefault="004A303C" w14:paraId="66ADC695" w14:textId="3345F7C9">
      <w:pPr>
        <w:spacing w:before="120" w:line="276" w:lineRule="auto"/>
        <w:jc w:val="both"/>
        <w:rPr>
          <w:rFonts w:ascii="Arial" w:hAnsi="Arial" w:eastAsia="Calibri" w:cs="Arial"/>
          <w:color w:val="000000" w:themeColor="text1"/>
          <w:sz w:val="22"/>
          <w:lang w:val="es-ES"/>
        </w:rPr>
      </w:pPr>
      <w:r w:rsidRPr="00C12EE0">
        <w:rPr>
          <w:rFonts w:ascii="Arial" w:hAnsi="Arial" w:eastAsia="Calibri" w:cs="Arial"/>
          <w:color w:val="000000" w:themeColor="text1"/>
          <w:sz w:val="22"/>
          <w:lang w:val="es-ES"/>
        </w:rPr>
        <w:t>Este concepto tiene el alcance previsto en el artículo 28 del Código de Procedimiento Administrativo y de lo Contencioso Administrativo.</w:t>
      </w:r>
    </w:p>
    <w:p w:rsidRPr="00C12EE0" w:rsidR="004A303C" w:rsidP="004A303C" w:rsidRDefault="004A303C" w14:paraId="33A82DBA" w14:textId="77777777">
      <w:pPr>
        <w:ind w:firstLine="709"/>
        <w:jc w:val="both"/>
        <w:rPr>
          <w:rFonts w:ascii="Arial" w:hAnsi="Arial" w:eastAsia="Calibri" w:cs="Arial"/>
          <w:color w:val="000000" w:themeColor="text1"/>
          <w:sz w:val="22"/>
          <w:lang w:val="es-ES"/>
        </w:rPr>
      </w:pPr>
    </w:p>
    <w:p w:rsidRPr="002F5479" w:rsidR="001A01C9" w:rsidP="001A01C9" w:rsidRDefault="001A01C9" w14:paraId="0D07124E" w14:textId="09EDB88F">
      <w:pPr>
        <w:jc w:val="both"/>
        <w:rPr>
          <w:rFonts w:ascii="Arial" w:hAnsi="Arial" w:eastAsia="Times New Roman" w:cs="Arial"/>
          <w:color w:val="000000" w:themeColor="text1"/>
          <w:sz w:val="22"/>
          <w:lang w:val="es-CO" w:eastAsia="es-CO"/>
        </w:rPr>
      </w:pPr>
      <w:r w:rsidRPr="002F5479">
        <w:rPr>
          <w:rFonts w:ascii="Arial" w:hAnsi="Arial" w:eastAsia="Times New Roman" w:cs="Arial"/>
          <w:color w:val="000000" w:themeColor="text1"/>
          <w:sz w:val="22"/>
          <w:lang w:val="es-CO" w:eastAsia="es-CO"/>
        </w:rPr>
        <w:t>Atentamente,</w:t>
      </w:r>
    </w:p>
    <w:p w:rsidRPr="002F5479" w:rsidR="001A01C9" w:rsidP="001A01C9" w:rsidRDefault="001A01C9" w14:paraId="6355F980" w14:textId="77777777">
      <w:pPr>
        <w:jc w:val="center"/>
        <w:rPr>
          <w:rFonts w:ascii="Arial" w:hAnsi="Arial" w:eastAsia="Times New Roman" w:cs="Arial"/>
          <w:color w:val="000000" w:themeColor="text1"/>
          <w:sz w:val="18"/>
          <w:szCs w:val="20"/>
          <w:lang w:val="es-CO" w:eastAsia="es-CO"/>
        </w:rPr>
      </w:pPr>
    </w:p>
    <w:p w:rsidRPr="002F5479" w:rsidR="001A01C9" w:rsidP="001A01C9" w:rsidRDefault="001E2439" w14:paraId="7451820E" w14:textId="062C661D">
      <w:pPr>
        <w:jc w:val="center"/>
        <w:rPr>
          <w:rFonts w:ascii="Arial" w:hAnsi="Arial" w:eastAsia="Times New Roman" w:cs="Arial"/>
          <w:color w:val="000000" w:themeColor="text1"/>
          <w:sz w:val="18"/>
          <w:szCs w:val="20"/>
          <w:lang w:val="es-CO" w:eastAsia="es-CO"/>
        </w:rPr>
      </w:pPr>
      <w:r w:rsidR="001E2439">
        <w:drawing>
          <wp:inline wp14:editId="1EF9ECC5" wp14:anchorId="7056081A">
            <wp:extent cx="2886075" cy="1279056"/>
            <wp:effectExtent l="0" t="0" r="0" b="0"/>
            <wp:docPr id="1" name="Imagen 1" title=""/>
            <wp:cNvGraphicFramePr>
              <a:graphicFrameLocks noChangeAspect="1"/>
            </wp:cNvGraphicFramePr>
            <a:graphic>
              <a:graphicData uri="http://schemas.openxmlformats.org/drawingml/2006/picture">
                <pic:pic>
                  <pic:nvPicPr>
                    <pic:cNvPr id="0" name="Imagen 1"/>
                    <pic:cNvPicPr/>
                  </pic:nvPicPr>
                  <pic:blipFill>
                    <a:blip r:embed="R2028639f194e412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886075" cy="1279056"/>
                    </a:xfrm>
                    <a:prstGeom prst="rect">
                      <a:avLst/>
                    </a:prstGeom>
                  </pic:spPr>
                </pic:pic>
              </a:graphicData>
            </a:graphic>
          </wp:inline>
        </w:drawing>
      </w:r>
      <w:r>
        <w:br/>
      </w:r>
    </w:p>
    <w:p w:rsidRPr="002F5479" w:rsidR="001A01C9" w:rsidP="001A01C9" w:rsidRDefault="001A01C9" w14:paraId="75F75C20" w14:textId="77777777">
      <w:pPr>
        <w:jc w:val="center"/>
        <w:rPr>
          <w:rFonts w:ascii="Arial" w:hAnsi="Arial" w:eastAsia="Times New Roman" w:cs="Arial"/>
          <w:color w:val="000000" w:themeColor="text1"/>
          <w:sz w:val="18"/>
          <w:szCs w:val="20"/>
          <w:lang w:val="es-CO"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2F5479" w:rsidR="001A01C9" w:rsidTr="005703FB" w14:paraId="6FB813BF" w14:textId="77777777">
        <w:trPr>
          <w:trHeight w:val="315"/>
        </w:trPr>
        <w:tc>
          <w:tcPr>
            <w:tcW w:w="812" w:type="dxa"/>
            <w:vAlign w:val="center"/>
            <w:hideMark/>
          </w:tcPr>
          <w:p w:rsidRPr="002F5479" w:rsidR="001A01C9" w:rsidP="005703FB" w:rsidRDefault="001A01C9" w14:paraId="2D96405F" w14:textId="77777777">
            <w:pPr>
              <w:rPr>
                <w:rFonts w:ascii="Arial" w:hAnsi="Arial" w:eastAsia="Times New Roman" w:cs="Arial"/>
                <w:color w:val="000000" w:themeColor="text1"/>
                <w:sz w:val="16"/>
                <w:szCs w:val="16"/>
                <w:lang w:val="es-CO" w:eastAsia="es-ES"/>
              </w:rPr>
            </w:pPr>
            <w:r w:rsidRPr="002F5479">
              <w:rPr>
                <w:rFonts w:ascii="Arial" w:hAnsi="Arial" w:eastAsia="Times New Roman" w:cs="Arial"/>
                <w:color w:val="000000" w:themeColor="text1"/>
                <w:sz w:val="16"/>
                <w:szCs w:val="16"/>
                <w:lang w:val="es-CO" w:eastAsia="es-ES"/>
              </w:rPr>
              <w:t>Elaboró:</w:t>
            </w:r>
          </w:p>
        </w:tc>
        <w:tc>
          <w:tcPr>
            <w:tcW w:w="4413" w:type="dxa"/>
            <w:tcBorders>
              <w:top w:val="nil"/>
              <w:left w:val="nil"/>
              <w:bottom w:val="dotted" w:color="7F7F7F" w:themeColor="text1" w:themeTint="80" w:sz="4" w:space="0"/>
              <w:right w:val="nil"/>
            </w:tcBorders>
            <w:vAlign w:val="center"/>
            <w:hideMark/>
          </w:tcPr>
          <w:p w:rsidRPr="002F5479" w:rsidR="001A01C9" w:rsidP="005703FB" w:rsidRDefault="001A01C9" w14:paraId="78304304" w14:textId="77777777">
            <w:pPr>
              <w:rPr>
                <w:rFonts w:ascii="Arial" w:hAnsi="Arial" w:eastAsia="Times New Roman" w:cs="Arial"/>
                <w:color w:val="000000" w:themeColor="text1"/>
                <w:sz w:val="16"/>
                <w:szCs w:val="16"/>
                <w:lang w:val="es-CO" w:eastAsia="es-ES"/>
              </w:rPr>
            </w:pPr>
            <w:r>
              <w:rPr>
                <w:rFonts w:ascii="Arial" w:hAnsi="Arial" w:eastAsia="Times New Roman" w:cs="Arial"/>
                <w:color w:val="000000" w:themeColor="text1"/>
                <w:sz w:val="16"/>
                <w:szCs w:val="16"/>
                <w:lang w:val="es-CO" w:eastAsia="es-ES"/>
              </w:rPr>
              <w:t>Guillermo Escolar Flórez</w:t>
            </w:r>
          </w:p>
          <w:p w:rsidRPr="002F5479" w:rsidR="001A01C9" w:rsidP="005703FB" w:rsidRDefault="001A01C9" w14:paraId="6E87EDBB" w14:textId="77777777">
            <w:pPr>
              <w:rPr>
                <w:rFonts w:ascii="Arial" w:hAnsi="Arial" w:eastAsia="Times New Roman" w:cs="Arial"/>
                <w:color w:val="000000" w:themeColor="text1"/>
                <w:sz w:val="16"/>
                <w:szCs w:val="16"/>
                <w:lang w:val="es-CO" w:eastAsia="es-ES"/>
              </w:rPr>
            </w:pPr>
            <w:r w:rsidRPr="002F5479">
              <w:rPr>
                <w:rFonts w:ascii="Arial" w:hAnsi="Arial" w:eastAsia="Times New Roman" w:cs="Arial"/>
                <w:color w:val="000000" w:themeColor="text1"/>
                <w:sz w:val="16"/>
                <w:szCs w:val="16"/>
                <w:lang w:val="es-CO" w:eastAsia="es-ES"/>
              </w:rPr>
              <w:t>Contratista de la Subdirección de Gestión Contractual</w:t>
            </w:r>
          </w:p>
        </w:tc>
      </w:tr>
      <w:tr w:rsidRPr="002F5479" w:rsidR="001A01C9" w:rsidTr="005703FB" w14:paraId="2A1FA96E" w14:textId="77777777">
        <w:trPr>
          <w:trHeight w:val="330"/>
        </w:trPr>
        <w:tc>
          <w:tcPr>
            <w:tcW w:w="812" w:type="dxa"/>
            <w:vAlign w:val="center"/>
            <w:hideMark/>
          </w:tcPr>
          <w:p w:rsidRPr="002F5479" w:rsidR="001A01C9" w:rsidP="005703FB" w:rsidRDefault="001A01C9" w14:paraId="03DA6720" w14:textId="77777777">
            <w:pPr>
              <w:rPr>
                <w:rFonts w:ascii="Arial" w:hAnsi="Arial" w:eastAsia="Times New Roman" w:cs="Arial"/>
                <w:color w:val="000000" w:themeColor="text1"/>
                <w:sz w:val="16"/>
                <w:szCs w:val="16"/>
                <w:lang w:val="es-CO" w:eastAsia="es-ES"/>
              </w:rPr>
            </w:pPr>
            <w:r w:rsidRPr="002F5479">
              <w:rPr>
                <w:rFonts w:ascii="Arial" w:hAnsi="Arial" w:eastAsia="Times New Roman" w:cs="Arial"/>
                <w:color w:val="000000" w:themeColor="text1"/>
                <w:sz w:val="16"/>
                <w:szCs w:val="16"/>
                <w:lang w:val="es-CO"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2F5479" w:rsidR="001A01C9" w:rsidP="005703FB" w:rsidRDefault="001A01C9" w14:paraId="6CB2D6EB" w14:textId="77777777">
            <w:pPr>
              <w:rPr>
                <w:rFonts w:ascii="Arial" w:hAnsi="Arial" w:eastAsia="Times New Roman" w:cs="Arial"/>
                <w:color w:val="000000" w:themeColor="text1"/>
                <w:sz w:val="16"/>
                <w:szCs w:val="16"/>
                <w:lang w:val="es-CO" w:eastAsia="es-ES"/>
              </w:rPr>
            </w:pPr>
            <w:r>
              <w:rPr>
                <w:rFonts w:ascii="Arial" w:hAnsi="Arial" w:eastAsia="Times New Roman" w:cs="Arial"/>
                <w:color w:val="000000" w:themeColor="text1"/>
                <w:sz w:val="16"/>
                <w:szCs w:val="16"/>
                <w:lang w:val="es-CO" w:eastAsia="es-ES"/>
              </w:rPr>
              <w:t>Cristian Andrés Díaz Díez</w:t>
            </w:r>
          </w:p>
          <w:p w:rsidRPr="002F5479" w:rsidR="001A01C9" w:rsidP="005703FB" w:rsidRDefault="001A01C9" w14:paraId="23EBDA3A" w14:textId="77777777">
            <w:pPr>
              <w:rPr>
                <w:rFonts w:ascii="Arial" w:hAnsi="Arial" w:eastAsia="Times New Roman" w:cs="Arial"/>
                <w:color w:val="000000" w:themeColor="text1"/>
                <w:sz w:val="16"/>
                <w:szCs w:val="16"/>
                <w:lang w:val="es-CO" w:eastAsia="es-ES"/>
              </w:rPr>
            </w:pPr>
            <w:r>
              <w:rPr>
                <w:rFonts w:ascii="Arial" w:hAnsi="Arial" w:eastAsia="Times New Roman" w:cs="Arial"/>
                <w:color w:val="000000" w:themeColor="text1"/>
                <w:sz w:val="16"/>
                <w:szCs w:val="16"/>
                <w:lang w:val="es-CO" w:eastAsia="es-ES"/>
              </w:rPr>
              <w:t>Contratista de la Subdirección de Gestión Contractual</w:t>
            </w:r>
          </w:p>
        </w:tc>
      </w:tr>
      <w:tr w:rsidRPr="002F5479" w:rsidR="001A01C9" w:rsidTr="005703FB" w14:paraId="77848BFB" w14:textId="77777777">
        <w:trPr>
          <w:trHeight w:val="300"/>
        </w:trPr>
        <w:tc>
          <w:tcPr>
            <w:tcW w:w="812" w:type="dxa"/>
            <w:vAlign w:val="center"/>
            <w:hideMark/>
          </w:tcPr>
          <w:p w:rsidRPr="002F5479" w:rsidR="001A01C9" w:rsidP="005703FB" w:rsidRDefault="001A01C9" w14:paraId="1BB3A9F2" w14:textId="77777777">
            <w:pPr>
              <w:rPr>
                <w:rFonts w:ascii="Arial" w:hAnsi="Arial" w:eastAsia="Times New Roman" w:cs="Arial"/>
                <w:color w:val="000000" w:themeColor="text1"/>
                <w:sz w:val="16"/>
                <w:szCs w:val="16"/>
                <w:lang w:val="es-CO" w:eastAsia="es-ES"/>
              </w:rPr>
            </w:pPr>
            <w:r w:rsidRPr="002F5479">
              <w:rPr>
                <w:rFonts w:ascii="Arial" w:hAnsi="Arial" w:eastAsia="Times New Roman" w:cs="Arial"/>
                <w:color w:val="000000" w:themeColor="text1"/>
                <w:sz w:val="16"/>
                <w:szCs w:val="16"/>
                <w:lang w:val="es-CO"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2F5479" w:rsidR="001A01C9" w:rsidP="005703FB" w:rsidRDefault="001A01C9" w14:paraId="568B593E" w14:textId="77777777">
            <w:pPr>
              <w:rPr>
                <w:rFonts w:ascii="Arial" w:hAnsi="Arial" w:eastAsia="Times New Roman" w:cs="Arial"/>
                <w:color w:val="000000" w:themeColor="text1"/>
                <w:sz w:val="16"/>
                <w:szCs w:val="16"/>
                <w:lang w:val="es-CO" w:eastAsia="es-ES"/>
              </w:rPr>
            </w:pPr>
            <w:r>
              <w:rPr>
                <w:rFonts w:ascii="Arial" w:hAnsi="Arial" w:eastAsia="Times New Roman" w:cs="Arial"/>
                <w:color w:val="000000" w:themeColor="text1"/>
                <w:sz w:val="16"/>
                <w:szCs w:val="16"/>
                <w:lang w:val="es-CO" w:eastAsia="es-ES"/>
              </w:rPr>
              <w:t>Jorge Augusto Tirado Navarro</w:t>
            </w:r>
          </w:p>
          <w:p w:rsidRPr="002F5479" w:rsidR="001A01C9" w:rsidP="005703FB" w:rsidRDefault="001A01C9" w14:paraId="3AEB7F6F" w14:textId="77777777">
            <w:pPr>
              <w:rPr>
                <w:rFonts w:ascii="Arial" w:hAnsi="Arial" w:eastAsia="Times New Roman" w:cs="Arial"/>
                <w:color w:val="000000" w:themeColor="text1"/>
                <w:sz w:val="16"/>
                <w:szCs w:val="16"/>
                <w:lang w:val="es-CO" w:eastAsia="es-ES"/>
              </w:rPr>
            </w:pPr>
            <w:r>
              <w:rPr>
                <w:rFonts w:ascii="Arial" w:hAnsi="Arial" w:eastAsia="Times New Roman" w:cs="Arial"/>
                <w:color w:val="000000" w:themeColor="text1"/>
                <w:sz w:val="16"/>
                <w:szCs w:val="16"/>
                <w:lang w:val="es-CO" w:eastAsia="es-ES"/>
              </w:rPr>
              <w:t>Subdirector de Gestión Contractual</w:t>
            </w:r>
          </w:p>
        </w:tc>
      </w:tr>
    </w:tbl>
    <w:p w:rsidRPr="00C12EE0" w:rsidR="004A303C" w:rsidP="004A303C" w:rsidRDefault="004A303C" w14:paraId="55EF1794" w14:textId="77777777">
      <w:pPr>
        <w:jc w:val="both"/>
        <w:rPr>
          <w:rFonts w:ascii="Arial" w:hAnsi="Arial" w:eastAsia="Times New Roman" w:cs="Arial"/>
          <w:color w:val="000000" w:themeColor="text1"/>
          <w:sz w:val="22"/>
          <w:lang w:val="es-ES" w:eastAsia="es-CO"/>
        </w:rPr>
      </w:pPr>
    </w:p>
    <w:bookmarkEnd w:id="0"/>
    <w:bookmarkEnd w:id="1"/>
    <w:p w:rsidRPr="00C12EE0" w:rsidR="004A303C" w:rsidP="004A303C" w:rsidRDefault="004A303C" w14:paraId="50686EE4" w14:textId="26747F57">
      <w:pPr>
        <w:jc w:val="center"/>
        <w:rPr>
          <w:rFonts w:ascii="Arial" w:hAnsi="Arial" w:eastAsia="Times New Roman" w:cs="Arial"/>
          <w:noProof/>
          <w:color w:val="000000" w:themeColor="text1"/>
          <w:sz w:val="18"/>
          <w:szCs w:val="20"/>
          <w:lang w:val="es-ES" w:eastAsia="es-CO"/>
        </w:rPr>
      </w:pPr>
    </w:p>
    <w:p w:rsidRPr="00C12EE0" w:rsidR="004A303C" w:rsidP="004A303C" w:rsidRDefault="004A303C" w14:paraId="517310C5" w14:textId="77777777">
      <w:pPr>
        <w:jc w:val="center"/>
        <w:rPr>
          <w:rFonts w:ascii="Arial" w:hAnsi="Arial" w:eastAsia="Times New Roman" w:cs="Arial"/>
          <w:noProof/>
          <w:color w:val="000000" w:themeColor="text1"/>
          <w:sz w:val="18"/>
          <w:szCs w:val="20"/>
          <w:lang w:val="es-ES" w:eastAsia="es-CO"/>
        </w:rPr>
      </w:pPr>
    </w:p>
    <w:p w:rsidRPr="00C12EE0" w:rsidR="004A303C" w:rsidP="004A303C" w:rsidRDefault="004A303C" w14:paraId="6E19AB5B" w14:textId="77777777">
      <w:pPr>
        <w:rPr>
          <w:rFonts w:ascii="Arial" w:hAnsi="Arial" w:cs="Arial"/>
          <w:noProof/>
          <w:color w:val="000000" w:themeColor="text1"/>
          <w:lang w:val="es-ES"/>
        </w:rPr>
      </w:pPr>
    </w:p>
    <w:p w:rsidRPr="00C12EE0" w:rsidR="004A303C" w:rsidP="004A303C" w:rsidRDefault="004A303C" w14:paraId="69CFB0A7" w14:textId="77777777">
      <w:pPr>
        <w:rPr>
          <w:noProof/>
          <w:color w:val="000000" w:themeColor="text1"/>
          <w:lang w:val="es-ES"/>
        </w:rPr>
      </w:pPr>
    </w:p>
    <w:p w:rsidRPr="00043E01" w:rsidR="00BD6605" w:rsidP="00043E01" w:rsidRDefault="00BD6605" w14:paraId="24167416" w14:textId="74CF23E6">
      <w:pPr>
        <w:spacing w:after="160" w:line="259" w:lineRule="auto"/>
        <w:rPr>
          <w:color w:val="000000" w:themeColor="text1"/>
          <w:lang w:val="es-ES"/>
        </w:rPr>
      </w:pPr>
    </w:p>
    <w:sectPr w:rsidRPr="00043E01" w:rsidR="00BD6605" w:rsidSect="00E90B5D">
      <w:headerReference w:type="default" r:id="rId9"/>
      <w:footerReference w:type="default" r:id="rId10"/>
      <w:pgSz w:w="12240" w:h="15840" w:orient="portrait"/>
      <w:pgMar w:top="2041" w:right="1701" w:bottom="1418" w:left="156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5A5" w:rsidP="004A303C" w:rsidRDefault="00F235A5" w14:paraId="7A74B1F4" w14:textId="77777777">
      <w:r>
        <w:separator/>
      </w:r>
    </w:p>
  </w:endnote>
  <w:endnote w:type="continuationSeparator" w:id="0">
    <w:p w:rsidR="00F235A5" w:rsidP="004A303C" w:rsidRDefault="00F235A5" w14:paraId="300EB97E" w14:textId="77777777">
      <w:r>
        <w:continuationSeparator/>
      </w:r>
    </w:p>
  </w:endnote>
  <w:endnote w:type="continuationNotice" w:id="1">
    <w:p w:rsidR="00F235A5" w:rsidRDefault="00F235A5" w14:paraId="4D24221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B763D2" w:rsidP="00E85BE0" w:rsidRDefault="00B763D2" w14:paraId="3A88BB9E" w14:textId="77777777">
    <w:pPr>
      <w:pStyle w:val="Sinespaciado"/>
      <w:jc w:val="right"/>
      <w:rPr>
        <w:rFonts w:ascii="Arial" w:hAnsi="Arial" w:cs="Arial"/>
        <w:sz w:val="18"/>
        <w:szCs w:val="18"/>
      </w:rPr>
    </w:pPr>
  </w:p>
  <w:p w:rsidR="00B763D2" w:rsidP="00E85BE0" w:rsidRDefault="00B763D2" w14:paraId="2A927604" w14:textId="77777777">
    <w:pPr>
      <w:pStyle w:val="Sinespaciado"/>
      <w:jc w:val="right"/>
      <w:rPr>
        <w:rFonts w:ascii="Arial" w:hAnsi="Arial" w:cs="Arial"/>
        <w:sz w:val="18"/>
        <w:szCs w:val="18"/>
      </w:rPr>
    </w:pPr>
  </w:p>
  <w:p w:rsidRPr="008217B7" w:rsidR="00B763D2" w:rsidP="00E85BE0" w:rsidRDefault="00B763D2" w14:paraId="4FC63438" w14:textId="7777777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rsidR="00B763D2" w:rsidP="00E85BE0" w:rsidRDefault="00B763D2" w14:paraId="01CE2E1A" w14:textId="77777777">
    <w:pPr>
      <w:pStyle w:val="Piedepgina"/>
      <w:jc w:val="center"/>
      <w:rPr>
        <w:lang w:val="es-ES"/>
      </w:rPr>
    </w:pPr>
    <w:r w:rsidR="1E7AE801">
      <w:drawing>
        <wp:inline wp14:editId="20DE47E1" wp14:anchorId="718D15A4">
          <wp:extent cx="3700130" cy="519139"/>
          <wp:effectExtent l="0" t="0" r="0" b="0"/>
          <wp:docPr id="14" name="Imagen 14" title=""/>
          <wp:cNvGraphicFramePr>
            <a:graphicFrameLocks noChangeAspect="1"/>
          </wp:cNvGraphicFramePr>
          <a:graphic>
            <a:graphicData uri="http://schemas.openxmlformats.org/drawingml/2006/picture">
              <pic:pic>
                <pic:nvPicPr>
                  <pic:cNvPr id="0" name="Imagen 14"/>
                  <pic:cNvPicPr/>
                </pic:nvPicPr>
                <pic:blipFill>
                  <a:blip r:embed="Rf2fae9b46ae946c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Pr="00E756AC" w:rsidR="00B763D2" w:rsidP="00E85BE0" w:rsidRDefault="00B763D2" w14:paraId="5DCB422F" w14:textId="77777777">
    <w:pPr>
      <w:pStyle w:val="Piedepgina"/>
      <w:jc w:val="center"/>
      <w:rPr>
        <w:sz w:val="18"/>
        <w:szCs w:val="18"/>
        <w:lang w:val="es-ES"/>
      </w:rPr>
    </w:pPr>
  </w:p>
  <w:p w:rsidRPr="00E756AC" w:rsidR="00B763D2" w:rsidP="00E85BE0" w:rsidRDefault="00B763D2" w14:paraId="59B6DB65" w14:textId="7777777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5A5" w:rsidP="004A303C" w:rsidRDefault="00F235A5" w14:paraId="449796EB" w14:textId="77777777">
      <w:r>
        <w:separator/>
      </w:r>
    </w:p>
  </w:footnote>
  <w:footnote w:type="continuationSeparator" w:id="0">
    <w:p w:rsidR="00F235A5" w:rsidP="004A303C" w:rsidRDefault="00F235A5" w14:paraId="4D525699" w14:textId="77777777">
      <w:r>
        <w:continuationSeparator/>
      </w:r>
    </w:p>
  </w:footnote>
  <w:footnote w:type="continuationNotice" w:id="1">
    <w:p w:rsidR="00F235A5" w:rsidRDefault="00F235A5" w14:paraId="714B0093" w14:textId="77777777"/>
  </w:footnote>
  <w:footnote w:id="2">
    <w:p w:rsidRPr="00D76B77" w:rsidR="00391429" w:rsidP="008350A2" w:rsidRDefault="00391429" w14:paraId="68C6E483" w14:textId="5891A80F">
      <w:pPr>
        <w:pStyle w:val="Textonotapie"/>
        <w:ind w:firstLine="708"/>
        <w:jc w:val="both"/>
        <w:rPr>
          <w:rFonts w:ascii="Arial" w:hAnsi="Arial" w:cs="Arial"/>
          <w:sz w:val="19"/>
          <w:szCs w:val="19"/>
          <w:lang w:val="es-ES"/>
        </w:rPr>
      </w:pPr>
      <w:r w:rsidRPr="00D76B77">
        <w:rPr>
          <w:rStyle w:val="Refdenotaalpie"/>
          <w:rFonts w:ascii="Arial" w:hAnsi="Arial" w:cs="Arial"/>
          <w:sz w:val="19"/>
          <w:szCs w:val="19"/>
        </w:rPr>
        <w:footnoteRef/>
      </w:r>
      <w:r w:rsidRPr="00D76B77">
        <w:rPr>
          <w:rFonts w:ascii="Arial" w:hAnsi="Arial" w:cs="Arial"/>
          <w:sz w:val="19"/>
          <w:szCs w:val="19"/>
        </w:rPr>
        <w:t xml:space="preserve"> </w:t>
      </w:r>
      <w:r w:rsidRPr="00D76B77">
        <w:rPr>
          <w:rFonts w:ascii="Arial" w:hAnsi="Arial" w:cs="Arial"/>
          <w:sz w:val="19"/>
          <w:szCs w:val="19"/>
          <w:lang w:val="es-ES"/>
        </w:rPr>
        <w:t xml:space="preserve">Artículo 2.2.1.2.1.5.1, Decreto 1082 de 2015. </w:t>
      </w:r>
    </w:p>
  </w:footnote>
  <w:footnote w:id="3">
    <w:p w:rsidRPr="00D76B77" w:rsidR="00D76B77" w:rsidP="008350A2" w:rsidRDefault="00D76B77" w14:paraId="264D2433" w14:textId="730905E1">
      <w:pPr>
        <w:pStyle w:val="Textonotapie"/>
        <w:ind w:firstLine="708"/>
        <w:jc w:val="both"/>
        <w:rPr>
          <w:rFonts w:ascii="Arial" w:hAnsi="Arial" w:cs="Arial"/>
          <w:sz w:val="19"/>
          <w:szCs w:val="19"/>
          <w:lang w:val="es-ES"/>
        </w:rPr>
      </w:pPr>
      <w:r w:rsidRPr="00D76B77">
        <w:rPr>
          <w:rStyle w:val="Refdenotaalpie"/>
          <w:rFonts w:ascii="Arial" w:hAnsi="Arial" w:cs="Arial"/>
          <w:sz w:val="19"/>
          <w:szCs w:val="19"/>
        </w:rPr>
        <w:footnoteRef/>
      </w:r>
      <w:r w:rsidRPr="00D76B77">
        <w:rPr>
          <w:rFonts w:ascii="Arial" w:hAnsi="Arial" w:cs="Arial"/>
          <w:sz w:val="19"/>
          <w:szCs w:val="19"/>
        </w:rPr>
        <w:t xml:space="preserve"> </w:t>
      </w:r>
      <w:r w:rsidRPr="00D76B77">
        <w:rPr>
          <w:rFonts w:ascii="Arial" w:hAnsi="Arial" w:cs="Arial"/>
          <w:sz w:val="19"/>
          <w:szCs w:val="19"/>
          <w:lang w:val="es-ES"/>
        </w:rPr>
        <w:t>Artículo 2.2.1.2.1.5.2 del Decreto 1082 de 2015</w:t>
      </w:r>
    </w:p>
  </w:footnote>
  <w:footnote w:id="4">
    <w:p w:rsidRPr="00D76B77" w:rsidR="00B763D2" w:rsidP="00560F2A" w:rsidRDefault="00B763D2" w14:paraId="0F93B299" w14:textId="019007BC">
      <w:pPr>
        <w:pStyle w:val="Textonotapie"/>
        <w:ind w:firstLine="708"/>
        <w:jc w:val="both"/>
        <w:rPr>
          <w:rFonts w:ascii="Arial" w:hAnsi="Arial" w:cs="Arial"/>
          <w:color w:val="000000" w:themeColor="text1"/>
          <w:sz w:val="19"/>
          <w:szCs w:val="19"/>
        </w:rPr>
      </w:pPr>
      <w:r w:rsidRPr="00D76B77">
        <w:rPr>
          <w:rStyle w:val="Refdenotaalpie"/>
          <w:rFonts w:ascii="Arial" w:hAnsi="Arial" w:cs="Arial"/>
          <w:color w:val="000000" w:themeColor="text1"/>
          <w:sz w:val="19"/>
          <w:szCs w:val="19"/>
        </w:rPr>
        <w:footnoteRef/>
      </w:r>
      <w:r w:rsidRPr="00D76B77">
        <w:rPr>
          <w:rFonts w:ascii="Arial" w:hAnsi="Arial" w:cs="Arial"/>
          <w:color w:val="000000" w:themeColor="text1"/>
          <w:sz w:val="19"/>
          <w:szCs w:val="19"/>
        </w:rPr>
        <w:t xml:space="preserve"> </w:t>
      </w:r>
      <w:r w:rsidRPr="00D76B77" w:rsidR="00B640E5">
        <w:rPr>
          <w:rFonts w:ascii="Arial" w:hAnsi="Arial" w:cs="Arial"/>
          <w:color w:val="000000" w:themeColor="text1"/>
          <w:sz w:val="19"/>
          <w:szCs w:val="19"/>
        </w:rPr>
        <w:t>Agencia Nacional de Contratación Pública - Colombia Compra Eficiente</w:t>
      </w:r>
      <w:r w:rsidRPr="00D76B77" w:rsidR="00B640E5">
        <w:rPr>
          <w:rFonts w:ascii="Arial" w:hAnsi="Arial" w:cs="Arial"/>
          <w:color w:val="000000" w:themeColor="text1"/>
          <w:sz w:val="19"/>
          <w:szCs w:val="19"/>
          <w:lang w:val="es-CO"/>
        </w:rPr>
        <w:t>, Concepto 4201913000005162</w:t>
      </w:r>
      <w:r w:rsidR="00E41D91">
        <w:rPr>
          <w:rFonts w:ascii="Arial" w:hAnsi="Arial" w:cs="Arial"/>
          <w:color w:val="000000" w:themeColor="text1"/>
          <w:sz w:val="19"/>
          <w:szCs w:val="19"/>
          <w:lang w:val="es-CO"/>
        </w:rPr>
        <w:t xml:space="preserve"> </w:t>
      </w:r>
      <w:r w:rsidRPr="00E41D91" w:rsidR="00E41D91">
        <w:rPr>
          <w:rFonts w:ascii="Arial" w:hAnsi="Arial" w:cs="Arial"/>
          <w:color w:val="000000" w:themeColor="text1"/>
          <w:sz w:val="19"/>
          <w:szCs w:val="19"/>
          <w:lang w:val="es-CO"/>
        </w:rPr>
        <w:t>del 9 de septiembre de 2019</w:t>
      </w:r>
      <w:r w:rsidRPr="00D76B77">
        <w:rPr>
          <w:rFonts w:ascii="Arial" w:hAnsi="Arial" w:cs="Arial"/>
          <w:color w:val="000000" w:themeColor="text1"/>
          <w:sz w:val="19"/>
          <w:szCs w:val="19"/>
        </w:rPr>
        <w:t xml:space="preserve">. </w:t>
      </w:r>
    </w:p>
  </w:footnote>
  <w:footnote w:id="5">
    <w:p w:rsidRPr="00D76B77" w:rsidR="00780786" w:rsidRDefault="00780786" w14:paraId="4A852FAA" w14:textId="219482C2">
      <w:pPr>
        <w:pStyle w:val="Textonotapie"/>
        <w:ind w:firstLine="708"/>
        <w:jc w:val="both"/>
        <w:rPr>
          <w:rFonts w:ascii="Arial" w:hAnsi="Arial" w:cs="Arial"/>
          <w:color w:val="000000" w:themeColor="text1"/>
          <w:sz w:val="19"/>
          <w:szCs w:val="19"/>
          <w:lang w:val="es-CO"/>
        </w:rPr>
      </w:pPr>
      <w:r w:rsidRPr="00D76B77">
        <w:rPr>
          <w:rStyle w:val="Refdenotaalpie"/>
          <w:rFonts w:ascii="Arial" w:hAnsi="Arial" w:cs="Arial"/>
          <w:color w:val="000000" w:themeColor="text1"/>
          <w:sz w:val="19"/>
          <w:szCs w:val="19"/>
        </w:rPr>
        <w:footnoteRef/>
      </w:r>
      <w:r w:rsidRPr="00D76B77">
        <w:rPr>
          <w:rFonts w:ascii="Arial" w:hAnsi="Arial" w:cs="Arial"/>
          <w:color w:val="000000" w:themeColor="text1"/>
          <w:sz w:val="19"/>
          <w:szCs w:val="19"/>
        </w:rPr>
        <w:t xml:space="preserve"> Agencia Nacional de Contratación Pública - Colombia Compra Eficiente</w:t>
      </w:r>
      <w:r w:rsidRPr="00D76B77">
        <w:rPr>
          <w:rFonts w:ascii="Arial" w:hAnsi="Arial" w:cs="Arial"/>
          <w:color w:val="000000" w:themeColor="text1"/>
          <w:sz w:val="19"/>
          <w:szCs w:val="19"/>
          <w:lang w:val="es-CO"/>
        </w:rPr>
        <w:t>, Concepto 4201912000005935 del 25 de noviembre de 2019.</w:t>
      </w:r>
    </w:p>
  </w:footnote>
  <w:footnote w:id="6">
    <w:p w:rsidRPr="00D76B77" w:rsidR="00D82C39" w:rsidP="008350A2" w:rsidRDefault="00D82C39" w14:paraId="00D1A724" w14:textId="2C12B85C">
      <w:pPr>
        <w:pStyle w:val="Textonotapie"/>
        <w:ind w:firstLine="708"/>
        <w:jc w:val="both"/>
        <w:rPr>
          <w:rFonts w:ascii="Arial" w:hAnsi="Arial" w:cs="Arial"/>
          <w:sz w:val="19"/>
          <w:szCs w:val="19"/>
          <w:lang w:val="es-ES"/>
        </w:rPr>
      </w:pPr>
      <w:r w:rsidRPr="00D76B77">
        <w:rPr>
          <w:rStyle w:val="Refdenotaalpie"/>
          <w:rFonts w:ascii="Arial" w:hAnsi="Arial" w:cs="Arial"/>
          <w:sz w:val="19"/>
          <w:szCs w:val="19"/>
        </w:rPr>
        <w:footnoteRef/>
      </w:r>
      <w:r w:rsidRPr="00D76B77">
        <w:rPr>
          <w:rFonts w:ascii="Arial" w:hAnsi="Arial" w:cs="Arial"/>
          <w:sz w:val="19"/>
          <w:szCs w:val="19"/>
        </w:rPr>
        <w:t xml:space="preserve"> </w:t>
      </w:r>
      <w:r w:rsidRPr="00D76B77">
        <w:rPr>
          <w:rFonts w:ascii="Arial" w:hAnsi="Arial" w:cs="Arial"/>
          <w:sz w:val="19"/>
          <w:szCs w:val="19"/>
          <w:lang w:val="es-ES"/>
        </w:rPr>
        <w:t>Ibídem.</w:t>
      </w:r>
    </w:p>
  </w:footnote>
  <w:footnote w:id="7">
    <w:p w:rsidRPr="00D76B77" w:rsidR="00A32EF1" w:rsidP="008350A2" w:rsidRDefault="00A32EF1" w14:paraId="3A8ECC9E" w14:textId="1A7A48D3">
      <w:pPr>
        <w:pStyle w:val="Textonotapie"/>
        <w:ind w:firstLine="708"/>
        <w:jc w:val="both"/>
        <w:rPr>
          <w:rFonts w:ascii="Arial" w:hAnsi="Arial" w:cs="Arial"/>
          <w:sz w:val="19"/>
          <w:szCs w:val="19"/>
          <w:lang w:val="es-ES"/>
        </w:rPr>
      </w:pPr>
      <w:r w:rsidRPr="00D76B77">
        <w:rPr>
          <w:rStyle w:val="Refdenotaalpie"/>
          <w:rFonts w:ascii="Arial" w:hAnsi="Arial" w:cs="Arial"/>
          <w:sz w:val="19"/>
          <w:szCs w:val="19"/>
        </w:rPr>
        <w:footnoteRef/>
      </w:r>
      <w:r w:rsidRPr="00D76B77">
        <w:rPr>
          <w:rFonts w:ascii="Arial" w:hAnsi="Arial" w:cs="Arial"/>
          <w:sz w:val="19"/>
          <w:szCs w:val="19"/>
        </w:rPr>
        <w:t xml:space="preserve"> Ley 1150 de 2007 y artículo 2.2.1.1.1.7.1 del Decreto 1082 de 2015. </w:t>
      </w:r>
    </w:p>
  </w:footnote>
  <w:footnote w:id="8">
    <w:p w:rsidRPr="00D76B77" w:rsidR="00D76B77" w:rsidP="008350A2" w:rsidRDefault="00D76B77" w14:paraId="1A6E7452" w14:textId="5892A23F">
      <w:pPr>
        <w:pStyle w:val="Textonotapie"/>
        <w:ind w:firstLine="708"/>
        <w:jc w:val="both"/>
        <w:rPr>
          <w:rFonts w:ascii="Arial" w:hAnsi="Arial" w:cs="Arial"/>
          <w:sz w:val="19"/>
          <w:szCs w:val="19"/>
          <w:lang w:val="es-ES"/>
        </w:rPr>
      </w:pPr>
      <w:r w:rsidRPr="00D76B77">
        <w:rPr>
          <w:rStyle w:val="Refdenotaalpie"/>
          <w:rFonts w:ascii="Arial" w:hAnsi="Arial" w:cs="Arial"/>
          <w:sz w:val="19"/>
          <w:szCs w:val="19"/>
        </w:rPr>
        <w:footnoteRef/>
      </w:r>
      <w:r w:rsidRPr="00D76B77">
        <w:rPr>
          <w:rFonts w:ascii="Arial" w:hAnsi="Arial" w:cs="Arial"/>
          <w:sz w:val="19"/>
          <w:szCs w:val="19"/>
        </w:rPr>
        <w:t xml:space="preserve"> </w:t>
      </w:r>
      <w:r w:rsidRPr="00D76B77">
        <w:rPr>
          <w:rFonts w:ascii="Arial" w:hAnsi="Arial" w:cs="Arial"/>
          <w:color w:val="000000" w:themeColor="text1"/>
          <w:sz w:val="19"/>
          <w:szCs w:val="19"/>
        </w:rPr>
        <w:t>Agencia Nacional de Contratación Pública - Colombia Compra Eficiente</w:t>
      </w:r>
      <w:r w:rsidRPr="00D76B77">
        <w:rPr>
          <w:rFonts w:ascii="Arial" w:hAnsi="Arial" w:cs="Arial"/>
          <w:color w:val="000000" w:themeColor="text1"/>
          <w:sz w:val="19"/>
          <w:szCs w:val="19"/>
          <w:lang w:val="es-CO"/>
        </w:rPr>
        <w:t xml:space="preserve">, Concepto C – 575 de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B763D2" w:rsidRDefault="00B763D2" w14:paraId="20A93E02" w14:textId="77777777">
    <w:pPr>
      <w:pStyle w:val="Encabezado"/>
    </w:pPr>
    <w:r>
      <w:rPr>
        <w:noProof/>
        <w:lang w:val="es-CO" w:eastAsia="es-CO"/>
      </w:rPr>
      <w:drawing>
        <wp:anchor distT="0" distB="0" distL="114300" distR="114300" simplePos="0" relativeHeight="251658240" behindDoc="1" locked="0" layoutInCell="1" allowOverlap="1" wp14:anchorId="70175C09" wp14:editId="4B32A91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1E7AE801">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3FA27F4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A452347"/>
    <w:multiLevelType w:val="multilevel"/>
    <w:tmpl w:val="0112688E"/>
    <w:lvl w:ilvl="0" w:tplc="A7DC4FB4">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83B27F9"/>
    <w:multiLevelType w:val="multilevel"/>
    <w:tmpl w:val="7DB04486"/>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5DC52852"/>
    <w:multiLevelType w:val="hybrid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A306FC5"/>
    <w:multiLevelType w:val="multilevel"/>
    <w:tmpl w:val="EFF64480"/>
    <w:lvl w:ilvl="0" w:tplc="05CA5CE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8" w15:restartNumberingAfterBreak="0">
    <w:nsid w:val="7AA67E27"/>
    <w:multiLevelType w:val="hybridMultilevel"/>
    <w:tmpl w:val="52E238A8"/>
    <w:lvl w:ilvl="0" w:tplc="2BC6AB2C">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1"/>
  </w:num>
  <w:num w:numId="9">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22"/>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3C"/>
    <w:rsid w:val="00000689"/>
    <w:rsid w:val="0000179F"/>
    <w:rsid w:val="0000294F"/>
    <w:rsid w:val="00020FA4"/>
    <w:rsid w:val="000234B2"/>
    <w:rsid w:val="00026B88"/>
    <w:rsid w:val="00041B90"/>
    <w:rsid w:val="00043E01"/>
    <w:rsid w:val="00045B9D"/>
    <w:rsid w:val="0004614C"/>
    <w:rsid w:val="00052BB5"/>
    <w:rsid w:val="00074C85"/>
    <w:rsid w:val="0007586B"/>
    <w:rsid w:val="000778DE"/>
    <w:rsid w:val="00080163"/>
    <w:rsid w:val="00081913"/>
    <w:rsid w:val="00084F44"/>
    <w:rsid w:val="00087EDA"/>
    <w:rsid w:val="000919DA"/>
    <w:rsid w:val="000A0AEC"/>
    <w:rsid w:val="000A6F43"/>
    <w:rsid w:val="000A7D23"/>
    <w:rsid w:val="000B660E"/>
    <w:rsid w:val="000B7FDC"/>
    <w:rsid w:val="000C547E"/>
    <w:rsid w:val="000C770E"/>
    <w:rsid w:val="000D071C"/>
    <w:rsid w:val="000E780F"/>
    <w:rsid w:val="000F17B6"/>
    <w:rsid w:val="000F3652"/>
    <w:rsid w:val="000F4D89"/>
    <w:rsid w:val="000F61D3"/>
    <w:rsid w:val="0011698D"/>
    <w:rsid w:val="00126C92"/>
    <w:rsid w:val="00146B60"/>
    <w:rsid w:val="00152ABD"/>
    <w:rsid w:val="00156DA9"/>
    <w:rsid w:val="00162EC2"/>
    <w:rsid w:val="00163A8B"/>
    <w:rsid w:val="00170558"/>
    <w:rsid w:val="001708CF"/>
    <w:rsid w:val="00175C4A"/>
    <w:rsid w:val="001848B8"/>
    <w:rsid w:val="00186E11"/>
    <w:rsid w:val="00196BD7"/>
    <w:rsid w:val="001A01C9"/>
    <w:rsid w:val="001A5F93"/>
    <w:rsid w:val="001B0195"/>
    <w:rsid w:val="001B5526"/>
    <w:rsid w:val="001C359E"/>
    <w:rsid w:val="001D52ED"/>
    <w:rsid w:val="001E2439"/>
    <w:rsid w:val="001E6963"/>
    <w:rsid w:val="001E7FCB"/>
    <w:rsid w:val="001F18EA"/>
    <w:rsid w:val="001F6F91"/>
    <w:rsid w:val="00206315"/>
    <w:rsid w:val="0023044E"/>
    <w:rsid w:val="00237EAB"/>
    <w:rsid w:val="00241F51"/>
    <w:rsid w:val="00263F2A"/>
    <w:rsid w:val="002662DD"/>
    <w:rsid w:val="002667CE"/>
    <w:rsid w:val="002719AA"/>
    <w:rsid w:val="0027334D"/>
    <w:rsid w:val="00274556"/>
    <w:rsid w:val="00284E35"/>
    <w:rsid w:val="00290041"/>
    <w:rsid w:val="00292E8C"/>
    <w:rsid w:val="002976B6"/>
    <w:rsid w:val="002A2F5B"/>
    <w:rsid w:val="002A3E6C"/>
    <w:rsid w:val="002A4F7A"/>
    <w:rsid w:val="002A6CA3"/>
    <w:rsid w:val="002B1CB3"/>
    <w:rsid w:val="002B750E"/>
    <w:rsid w:val="002C163C"/>
    <w:rsid w:val="002C593D"/>
    <w:rsid w:val="002C62F1"/>
    <w:rsid w:val="002D3BFE"/>
    <w:rsid w:val="002E45E1"/>
    <w:rsid w:val="002E55FC"/>
    <w:rsid w:val="0030206E"/>
    <w:rsid w:val="003112D3"/>
    <w:rsid w:val="00313F62"/>
    <w:rsid w:val="003273B8"/>
    <w:rsid w:val="0033211E"/>
    <w:rsid w:val="003343B3"/>
    <w:rsid w:val="0033514B"/>
    <w:rsid w:val="00344DD9"/>
    <w:rsid w:val="00355A99"/>
    <w:rsid w:val="003643A9"/>
    <w:rsid w:val="00366846"/>
    <w:rsid w:val="0037511A"/>
    <w:rsid w:val="0037569C"/>
    <w:rsid w:val="003820E3"/>
    <w:rsid w:val="003828A9"/>
    <w:rsid w:val="00382D76"/>
    <w:rsid w:val="00391429"/>
    <w:rsid w:val="00391E76"/>
    <w:rsid w:val="003B1604"/>
    <w:rsid w:val="003B5D12"/>
    <w:rsid w:val="003C5826"/>
    <w:rsid w:val="003D57A2"/>
    <w:rsid w:val="003D6A8A"/>
    <w:rsid w:val="0040004C"/>
    <w:rsid w:val="00401AC4"/>
    <w:rsid w:val="004035E1"/>
    <w:rsid w:val="00405C93"/>
    <w:rsid w:val="00411EEE"/>
    <w:rsid w:val="004213D4"/>
    <w:rsid w:val="00426F03"/>
    <w:rsid w:val="00427211"/>
    <w:rsid w:val="004315F6"/>
    <w:rsid w:val="00447009"/>
    <w:rsid w:val="004606D3"/>
    <w:rsid w:val="0046502B"/>
    <w:rsid w:val="004A0BC2"/>
    <w:rsid w:val="004A0E99"/>
    <w:rsid w:val="004A303C"/>
    <w:rsid w:val="004A743C"/>
    <w:rsid w:val="004B383C"/>
    <w:rsid w:val="004B4320"/>
    <w:rsid w:val="004C17CF"/>
    <w:rsid w:val="004C4A9B"/>
    <w:rsid w:val="004C500A"/>
    <w:rsid w:val="004F7733"/>
    <w:rsid w:val="0050205C"/>
    <w:rsid w:val="005052D5"/>
    <w:rsid w:val="00510272"/>
    <w:rsid w:val="0051547E"/>
    <w:rsid w:val="00523EB9"/>
    <w:rsid w:val="005267F6"/>
    <w:rsid w:val="00532821"/>
    <w:rsid w:val="005354F7"/>
    <w:rsid w:val="00560F2A"/>
    <w:rsid w:val="005703FB"/>
    <w:rsid w:val="00580F88"/>
    <w:rsid w:val="00595BCC"/>
    <w:rsid w:val="005A15FD"/>
    <w:rsid w:val="005B03D8"/>
    <w:rsid w:val="005D2346"/>
    <w:rsid w:val="005E3620"/>
    <w:rsid w:val="005E57FA"/>
    <w:rsid w:val="0060708B"/>
    <w:rsid w:val="0061316D"/>
    <w:rsid w:val="0061417E"/>
    <w:rsid w:val="00615E46"/>
    <w:rsid w:val="006172A3"/>
    <w:rsid w:val="006220FB"/>
    <w:rsid w:val="006268FE"/>
    <w:rsid w:val="00626F3F"/>
    <w:rsid w:val="00633132"/>
    <w:rsid w:val="00633255"/>
    <w:rsid w:val="0063526C"/>
    <w:rsid w:val="00653CDE"/>
    <w:rsid w:val="00660ED0"/>
    <w:rsid w:val="006627DA"/>
    <w:rsid w:val="00671A2C"/>
    <w:rsid w:val="00674877"/>
    <w:rsid w:val="00683779"/>
    <w:rsid w:val="00690181"/>
    <w:rsid w:val="00690FFC"/>
    <w:rsid w:val="00691DAE"/>
    <w:rsid w:val="00694AC0"/>
    <w:rsid w:val="006A3CBE"/>
    <w:rsid w:val="006C0B0D"/>
    <w:rsid w:val="006D695A"/>
    <w:rsid w:val="006E2AF0"/>
    <w:rsid w:val="006E3695"/>
    <w:rsid w:val="006E7476"/>
    <w:rsid w:val="007077FC"/>
    <w:rsid w:val="0070780B"/>
    <w:rsid w:val="00714BFA"/>
    <w:rsid w:val="00720247"/>
    <w:rsid w:val="007233A3"/>
    <w:rsid w:val="007316DE"/>
    <w:rsid w:val="0073221D"/>
    <w:rsid w:val="00736F1A"/>
    <w:rsid w:val="00741F7D"/>
    <w:rsid w:val="00753AC2"/>
    <w:rsid w:val="00757312"/>
    <w:rsid w:val="0075788C"/>
    <w:rsid w:val="00767B48"/>
    <w:rsid w:val="007802D1"/>
    <w:rsid w:val="00780786"/>
    <w:rsid w:val="0078185D"/>
    <w:rsid w:val="00786AF8"/>
    <w:rsid w:val="00790DCE"/>
    <w:rsid w:val="00795884"/>
    <w:rsid w:val="00795AE7"/>
    <w:rsid w:val="007A72A5"/>
    <w:rsid w:val="007B0DE5"/>
    <w:rsid w:val="007B1ED2"/>
    <w:rsid w:val="007B3820"/>
    <w:rsid w:val="007B3A06"/>
    <w:rsid w:val="007B4A37"/>
    <w:rsid w:val="007C3FDB"/>
    <w:rsid w:val="007C4836"/>
    <w:rsid w:val="007D6CEF"/>
    <w:rsid w:val="007E7A95"/>
    <w:rsid w:val="00812EBD"/>
    <w:rsid w:val="008130B6"/>
    <w:rsid w:val="008134B5"/>
    <w:rsid w:val="00814493"/>
    <w:rsid w:val="0082181F"/>
    <w:rsid w:val="0082262F"/>
    <w:rsid w:val="00830A43"/>
    <w:rsid w:val="008350A2"/>
    <w:rsid w:val="00837D0A"/>
    <w:rsid w:val="00841841"/>
    <w:rsid w:val="0084278C"/>
    <w:rsid w:val="00844558"/>
    <w:rsid w:val="00845E33"/>
    <w:rsid w:val="00846A0C"/>
    <w:rsid w:val="00850582"/>
    <w:rsid w:val="0087352E"/>
    <w:rsid w:val="00877AF6"/>
    <w:rsid w:val="0088150A"/>
    <w:rsid w:val="00890EEC"/>
    <w:rsid w:val="0089592C"/>
    <w:rsid w:val="008972CE"/>
    <w:rsid w:val="008A0075"/>
    <w:rsid w:val="008B4A12"/>
    <w:rsid w:val="008B5924"/>
    <w:rsid w:val="008C1AC0"/>
    <w:rsid w:val="008C634D"/>
    <w:rsid w:val="008D55F2"/>
    <w:rsid w:val="00900935"/>
    <w:rsid w:val="00905BED"/>
    <w:rsid w:val="009153B0"/>
    <w:rsid w:val="009413FD"/>
    <w:rsid w:val="00941EA5"/>
    <w:rsid w:val="00953624"/>
    <w:rsid w:val="00955F59"/>
    <w:rsid w:val="00964BFE"/>
    <w:rsid w:val="009775B0"/>
    <w:rsid w:val="00984EEC"/>
    <w:rsid w:val="009865AB"/>
    <w:rsid w:val="009877E9"/>
    <w:rsid w:val="00987CA8"/>
    <w:rsid w:val="0099629A"/>
    <w:rsid w:val="00996310"/>
    <w:rsid w:val="009A32C4"/>
    <w:rsid w:val="009A466F"/>
    <w:rsid w:val="009A6777"/>
    <w:rsid w:val="009A7E72"/>
    <w:rsid w:val="009B0897"/>
    <w:rsid w:val="009B71CE"/>
    <w:rsid w:val="009C495F"/>
    <w:rsid w:val="009C538B"/>
    <w:rsid w:val="009D10E5"/>
    <w:rsid w:val="009D147B"/>
    <w:rsid w:val="009D6CCB"/>
    <w:rsid w:val="009E58F3"/>
    <w:rsid w:val="009F419B"/>
    <w:rsid w:val="009F69D6"/>
    <w:rsid w:val="00A11DBF"/>
    <w:rsid w:val="00A1286F"/>
    <w:rsid w:val="00A13AE6"/>
    <w:rsid w:val="00A14317"/>
    <w:rsid w:val="00A25613"/>
    <w:rsid w:val="00A2588C"/>
    <w:rsid w:val="00A32EF1"/>
    <w:rsid w:val="00A443F2"/>
    <w:rsid w:val="00A44602"/>
    <w:rsid w:val="00A52EA7"/>
    <w:rsid w:val="00A60561"/>
    <w:rsid w:val="00A70580"/>
    <w:rsid w:val="00A7212B"/>
    <w:rsid w:val="00A84CE9"/>
    <w:rsid w:val="00A93A09"/>
    <w:rsid w:val="00A93C16"/>
    <w:rsid w:val="00AB7D21"/>
    <w:rsid w:val="00AC00C6"/>
    <w:rsid w:val="00AC5D0E"/>
    <w:rsid w:val="00AD276D"/>
    <w:rsid w:val="00AD3702"/>
    <w:rsid w:val="00AE115B"/>
    <w:rsid w:val="00AE37A4"/>
    <w:rsid w:val="00AF321F"/>
    <w:rsid w:val="00AF75F2"/>
    <w:rsid w:val="00B032F0"/>
    <w:rsid w:val="00B07AE6"/>
    <w:rsid w:val="00B20B62"/>
    <w:rsid w:val="00B23F21"/>
    <w:rsid w:val="00B31DFC"/>
    <w:rsid w:val="00B42055"/>
    <w:rsid w:val="00B536D9"/>
    <w:rsid w:val="00B640E5"/>
    <w:rsid w:val="00B763D2"/>
    <w:rsid w:val="00B81517"/>
    <w:rsid w:val="00BA2754"/>
    <w:rsid w:val="00BB6E86"/>
    <w:rsid w:val="00BC7D91"/>
    <w:rsid w:val="00BD3931"/>
    <w:rsid w:val="00BD5EBA"/>
    <w:rsid w:val="00BD6605"/>
    <w:rsid w:val="00BF72BC"/>
    <w:rsid w:val="00C12EE0"/>
    <w:rsid w:val="00C1629E"/>
    <w:rsid w:val="00C171BD"/>
    <w:rsid w:val="00C412D4"/>
    <w:rsid w:val="00C44F4D"/>
    <w:rsid w:val="00C71673"/>
    <w:rsid w:val="00C8250C"/>
    <w:rsid w:val="00C840DC"/>
    <w:rsid w:val="00C9479C"/>
    <w:rsid w:val="00CA110B"/>
    <w:rsid w:val="00CB258A"/>
    <w:rsid w:val="00CB3071"/>
    <w:rsid w:val="00CC46F2"/>
    <w:rsid w:val="00CC6496"/>
    <w:rsid w:val="00CC7133"/>
    <w:rsid w:val="00CD73F8"/>
    <w:rsid w:val="00CE2500"/>
    <w:rsid w:val="00D0172E"/>
    <w:rsid w:val="00D03164"/>
    <w:rsid w:val="00D134A9"/>
    <w:rsid w:val="00D15AFA"/>
    <w:rsid w:val="00D17B2B"/>
    <w:rsid w:val="00D21CB5"/>
    <w:rsid w:val="00D22223"/>
    <w:rsid w:val="00D2594A"/>
    <w:rsid w:val="00D35A42"/>
    <w:rsid w:val="00D43A34"/>
    <w:rsid w:val="00D47012"/>
    <w:rsid w:val="00D476F8"/>
    <w:rsid w:val="00D572EA"/>
    <w:rsid w:val="00D61C53"/>
    <w:rsid w:val="00D62396"/>
    <w:rsid w:val="00D64977"/>
    <w:rsid w:val="00D720E3"/>
    <w:rsid w:val="00D74B4E"/>
    <w:rsid w:val="00D76B23"/>
    <w:rsid w:val="00D76B77"/>
    <w:rsid w:val="00D82C39"/>
    <w:rsid w:val="00D82C49"/>
    <w:rsid w:val="00D83D20"/>
    <w:rsid w:val="00DA37E4"/>
    <w:rsid w:val="00DB32EE"/>
    <w:rsid w:val="00DD2618"/>
    <w:rsid w:val="00DE0524"/>
    <w:rsid w:val="00DE0E07"/>
    <w:rsid w:val="00DE4418"/>
    <w:rsid w:val="00E154AF"/>
    <w:rsid w:val="00E1734A"/>
    <w:rsid w:val="00E33C19"/>
    <w:rsid w:val="00E41D91"/>
    <w:rsid w:val="00E42383"/>
    <w:rsid w:val="00E45586"/>
    <w:rsid w:val="00E46A6C"/>
    <w:rsid w:val="00E52247"/>
    <w:rsid w:val="00E549C6"/>
    <w:rsid w:val="00E8375A"/>
    <w:rsid w:val="00E85BE0"/>
    <w:rsid w:val="00E8651C"/>
    <w:rsid w:val="00E86AC7"/>
    <w:rsid w:val="00E90B5D"/>
    <w:rsid w:val="00EA1BE2"/>
    <w:rsid w:val="00EA6591"/>
    <w:rsid w:val="00ED0A3C"/>
    <w:rsid w:val="00ED311E"/>
    <w:rsid w:val="00ED34D6"/>
    <w:rsid w:val="00EE13E5"/>
    <w:rsid w:val="00EE3E61"/>
    <w:rsid w:val="00EF6B0E"/>
    <w:rsid w:val="00F235A5"/>
    <w:rsid w:val="00F35E41"/>
    <w:rsid w:val="00F375E4"/>
    <w:rsid w:val="00F43280"/>
    <w:rsid w:val="00F43897"/>
    <w:rsid w:val="00F51EA6"/>
    <w:rsid w:val="00F65227"/>
    <w:rsid w:val="00F93D41"/>
    <w:rsid w:val="00FA220E"/>
    <w:rsid w:val="00FB633E"/>
    <w:rsid w:val="00FC4D0C"/>
    <w:rsid w:val="00FD1F14"/>
    <w:rsid w:val="00FE0E9C"/>
    <w:rsid w:val="00FF4428"/>
    <w:rsid w:val="00FF5A98"/>
    <w:rsid w:val="1E7AE801"/>
    <w:rsid w:val="1EF9EC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A877"/>
  <w15:chartTrackingRefBased/>
  <w15:docId w15:val="{04B1DE76-1C90-614D-9EB5-51036B7756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A303C"/>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4A303C"/>
    <w:pPr>
      <w:tabs>
        <w:tab w:val="center" w:pos="4419"/>
        <w:tab w:val="right" w:pos="8838"/>
      </w:tabs>
    </w:pPr>
  </w:style>
  <w:style w:type="character" w:styleId="PiedepginaCar" w:customStyle="1">
    <w:name w:val="Pie de página Car"/>
    <w:basedOn w:val="Fuentedeprrafopredeter"/>
    <w:link w:val="Piedepgina"/>
    <w:uiPriority w:val="99"/>
    <w:rsid w:val="004A303C"/>
    <w:rPr>
      <w:sz w:val="24"/>
      <w:lang w:val="es-MX"/>
    </w:rPr>
  </w:style>
  <w:style w:type="paragraph" w:styleId="Encabezado">
    <w:name w:val="header"/>
    <w:basedOn w:val="Normal"/>
    <w:link w:val="EncabezadoCar"/>
    <w:uiPriority w:val="99"/>
    <w:unhideWhenUsed/>
    <w:rsid w:val="004A303C"/>
    <w:pPr>
      <w:tabs>
        <w:tab w:val="center" w:pos="4252"/>
        <w:tab w:val="right" w:pos="8504"/>
      </w:tabs>
    </w:pPr>
  </w:style>
  <w:style w:type="character" w:styleId="EncabezadoCar" w:customStyle="1">
    <w:name w:val="Encabezado Car"/>
    <w:basedOn w:val="Fuentedeprrafopredeter"/>
    <w:link w:val="Encabezado"/>
    <w:uiPriority w:val="99"/>
    <w:rsid w:val="004A303C"/>
    <w:rPr>
      <w:sz w:val="24"/>
      <w:lang w:val="es-MX"/>
    </w:rPr>
  </w:style>
  <w:style w:type="table" w:styleId="Tablaconcuadrcula">
    <w:name w:val="Table Grid"/>
    <w:basedOn w:val="Tablanormal"/>
    <w:uiPriority w:val="39"/>
    <w:rsid w:val="004A30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4A303C"/>
    <w:pPr>
      <w:ind w:left="720"/>
      <w:contextualSpacing/>
    </w:pPr>
  </w:style>
  <w:style w:type="paragraph" w:styleId="Sinespaciado">
    <w:name w:val="No Spacing"/>
    <w:uiPriority w:val="1"/>
    <w:qFormat/>
    <w:rsid w:val="004A303C"/>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A303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A303C"/>
    <w:rPr>
      <w:sz w:val="20"/>
      <w:szCs w:val="20"/>
    </w:rPr>
  </w:style>
  <w:style w:type="character" w:styleId="TextonotapieCar1" w:customStyle="1">
    <w:name w:val="Texto nota pie Car1"/>
    <w:basedOn w:val="Fuentedeprrafopredeter"/>
    <w:uiPriority w:val="99"/>
    <w:semiHidden/>
    <w:rsid w:val="004A303C"/>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303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4A303C"/>
    <w:rPr>
      <w:vertAlign w:val="superscript"/>
    </w:rPr>
  </w:style>
  <w:style w:type="paragraph" w:styleId="InviasNormal" w:customStyle="1">
    <w:name w:val="Invias Normal"/>
    <w:basedOn w:val="Normal"/>
    <w:link w:val="InviasNormalCar"/>
    <w:qFormat/>
    <w:rsid w:val="004A303C"/>
    <w:pPr>
      <w:tabs>
        <w:tab w:val="left" w:pos="-142"/>
      </w:tabs>
      <w:autoSpaceDE w:val="0"/>
      <w:autoSpaceDN w:val="0"/>
      <w:adjustRightInd w:val="0"/>
      <w:spacing w:before="120" w:after="240"/>
      <w:jc w:val="both"/>
    </w:pPr>
    <w:rPr>
      <w:rFonts w:ascii="Arial Narrow" w:hAnsi="Arial Narrow" w:eastAsia="Times New Roman" w:cs="Times New Roman"/>
      <w:color w:val="3B3838" w:themeColor="background2" w:themeShade="40"/>
      <w:szCs w:val="24"/>
      <w:lang w:val="x-none" w:eastAsia="es-ES"/>
    </w:rPr>
  </w:style>
  <w:style w:type="character" w:styleId="InviasNormalCar" w:customStyle="1">
    <w:name w:val="Invias Normal Car"/>
    <w:link w:val="InviasNormal"/>
    <w:locked/>
    <w:rsid w:val="004A303C"/>
    <w:rPr>
      <w:rFonts w:ascii="Arial Narrow" w:hAnsi="Arial Narrow" w:eastAsia="Times New Roman" w:cs="Times New Roman"/>
      <w:color w:val="3B3838" w:themeColor="background2" w:themeShade="40"/>
      <w:sz w:val="24"/>
      <w:szCs w:val="24"/>
      <w:lang w:val="x-none" w:eastAsia="es-ES"/>
    </w:rPr>
  </w:style>
  <w:style w:type="paragraph" w:styleId="Invias-VietaNumerada" w:customStyle="1">
    <w:name w:val="Invias-Viñeta Numerada"/>
    <w:next w:val="Normal"/>
    <w:link w:val="Invias-VietaNumeradaCar"/>
    <w:uiPriority w:val="99"/>
    <w:qFormat/>
    <w:rsid w:val="004A303C"/>
    <w:pPr>
      <w:spacing w:before="240" w:after="120" w:line="240" w:lineRule="auto"/>
      <w:jc w:val="both"/>
    </w:pPr>
    <w:rPr>
      <w:rFonts w:ascii="Arial Narrow" w:hAnsi="Arial Narrow" w:eastAsia="Times New Roman" w:cs="Times New Roman"/>
      <w:sz w:val="24"/>
      <w:szCs w:val="24"/>
      <w:lang w:val="en-US" w:eastAsia="es-ES"/>
    </w:rPr>
  </w:style>
  <w:style w:type="character" w:styleId="Invias-VietaNumeradaCar" w:customStyle="1">
    <w:name w:val="Invias-Viñeta Numerada Car"/>
    <w:link w:val="Invias-VietaNumerada"/>
    <w:uiPriority w:val="99"/>
    <w:locked/>
    <w:rsid w:val="004A303C"/>
    <w:rPr>
      <w:rFonts w:ascii="Arial Narrow" w:hAnsi="Arial Narrow" w:eastAsia="Times New Roman" w:cs="Times New Roman"/>
      <w:sz w:val="24"/>
      <w:szCs w:val="24"/>
      <w:lang w:val="en-US" w:eastAsia="es-ES"/>
    </w:rPr>
  </w:style>
  <w:style w:type="character" w:styleId="Refdecomentario">
    <w:name w:val="annotation reference"/>
    <w:basedOn w:val="Fuentedeprrafopredeter"/>
    <w:uiPriority w:val="99"/>
    <w:semiHidden/>
    <w:unhideWhenUsed/>
    <w:rsid w:val="004A303C"/>
    <w:rPr>
      <w:sz w:val="16"/>
      <w:szCs w:val="16"/>
    </w:rPr>
  </w:style>
  <w:style w:type="paragraph" w:styleId="Textocomentario">
    <w:name w:val="annotation text"/>
    <w:basedOn w:val="Normal"/>
    <w:link w:val="TextocomentarioCar"/>
    <w:uiPriority w:val="99"/>
    <w:semiHidden/>
    <w:unhideWhenUsed/>
    <w:rsid w:val="004A303C"/>
    <w:rPr>
      <w:sz w:val="20"/>
      <w:szCs w:val="20"/>
    </w:rPr>
  </w:style>
  <w:style w:type="character" w:styleId="TextocomentarioCar" w:customStyle="1">
    <w:name w:val="Texto comentario Car"/>
    <w:basedOn w:val="Fuentedeprrafopredeter"/>
    <w:link w:val="Textocomentario"/>
    <w:uiPriority w:val="99"/>
    <w:semiHidden/>
    <w:rsid w:val="004A303C"/>
    <w:rPr>
      <w:sz w:val="20"/>
      <w:szCs w:val="20"/>
      <w:lang w:val="es-MX"/>
    </w:rPr>
  </w:style>
  <w:style w:type="paragraph" w:styleId="Textodeglobo">
    <w:name w:val="Balloon Text"/>
    <w:basedOn w:val="Normal"/>
    <w:link w:val="TextodegloboCar"/>
    <w:uiPriority w:val="99"/>
    <w:semiHidden/>
    <w:unhideWhenUsed/>
    <w:rsid w:val="004A303C"/>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4A303C"/>
    <w:rPr>
      <w:rFonts w:ascii="Segoe UI" w:hAnsi="Segoe UI" w:cs="Segoe UI"/>
      <w:sz w:val="18"/>
      <w:szCs w:val="18"/>
      <w:lang w:val="es-MX"/>
    </w:rPr>
  </w:style>
  <w:style w:type="paragraph" w:styleId="Asuntodelcomentario">
    <w:name w:val="annotation subject"/>
    <w:basedOn w:val="Textocomentario"/>
    <w:next w:val="Textocomentario"/>
    <w:link w:val="AsuntodelcomentarioCar"/>
    <w:uiPriority w:val="99"/>
    <w:semiHidden/>
    <w:unhideWhenUsed/>
    <w:rsid w:val="00FF5A98"/>
    <w:rPr>
      <w:b/>
      <w:bCs/>
    </w:rPr>
  </w:style>
  <w:style w:type="character" w:styleId="AsuntodelcomentarioCar" w:customStyle="1">
    <w:name w:val="Asunto del comentario Car"/>
    <w:basedOn w:val="TextocomentarioCar"/>
    <w:link w:val="Asuntodelcomentario"/>
    <w:uiPriority w:val="99"/>
    <w:semiHidden/>
    <w:rsid w:val="00FF5A98"/>
    <w:rPr>
      <w:b/>
      <w:bCs/>
      <w:sz w:val="20"/>
      <w:szCs w:val="20"/>
      <w:lang w:val="es-MX"/>
    </w:rPr>
  </w:style>
  <w:style w:type="paragraph" w:styleId="Revisin">
    <w:name w:val="Revision"/>
    <w:hidden/>
    <w:uiPriority w:val="99"/>
    <w:semiHidden/>
    <w:rsid w:val="00087EDA"/>
    <w:pPr>
      <w:spacing w:after="0" w:line="240" w:lineRule="auto"/>
    </w:pPr>
    <w:rPr>
      <w:sz w:val="24"/>
      <w:lang w:val="es-MX"/>
    </w:rPr>
  </w:style>
  <w:style w:type="paragraph" w:styleId="Textoindependiente">
    <w:name w:val="Body Text"/>
    <w:basedOn w:val="Normal"/>
    <w:link w:val="TextoindependienteCar"/>
    <w:uiPriority w:val="1"/>
    <w:qFormat/>
    <w:rsid w:val="00FE0E9C"/>
    <w:pPr>
      <w:widowControl w:val="0"/>
      <w:autoSpaceDE w:val="0"/>
      <w:autoSpaceDN w:val="0"/>
    </w:pPr>
    <w:rPr>
      <w:rFonts w:ascii="Arial" w:hAnsi="Arial" w:eastAsia="Arial" w:cs="Arial"/>
      <w:sz w:val="22"/>
      <w:lang w:val="es-ES"/>
    </w:rPr>
  </w:style>
  <w:style w:type="character" w:styleId="TextoindependienteCar" w:customStyle="1">
    <w:name w:val="Texto independiente Car"/>
    <w:basedOn w:val="Fuentedeprrafopredeter"/>
    <w:link w:val="Textoindependiente"/>
    <w:uiPriority w:val="1"/>
    <w:rsid w:val="00FE0E9C"/>
    <w:rPr>
      <w:rFonts w:ascii="Arial" w:hAnsi="Arial" w:eastAsia="Arial" w:cs="Arial"/>
      <w:lang w:val="es-ES"/>
    </w:rPr>
  </w:style>
  <w:style w:type="paragraph" w:styleId="Appelnotedebasde" w:customStyle="1">
    <w:name w:val="Appel note de bas de..."/>
    <w:basedOn w:val="Normal"/>
    <w:link w:val="Refdenotaalpie"/>
    <w:uiPriority w:val="99"/>
    <w:rsid w:val="003D57A2"/>
    <w:pPr>
      <w:spacing w:after="160" w:line="240" w:lineRule="exact"/>
    </w:pPr>
    <w:rPr>
      <w:sz w:val="22"/>
      <w:vertAlign w:val="superscript"/>
      <w:lang w:val="es-CO"/>
    </w:rPr>
  </w:style>
  <w:style w:type="paragraph" w:styleId="NormalWeb">
    <w:name w:val="Normal (Web)"/>
    <w:basedOn w:val="Normal"/>
    <w:uiPriority w:val="99"/>
    <w:semiHidden/>
    <w:unhideWhenUsed/>
    <w:rsid w:val="008D55F2"/>
    <w:pPr>
      <w:spacing w:before="100" w:beforeAutospacing="1" w:after="100" w:afterAutospacing="1"/>
    </w:pPr>
    <w:rPr>
      <w:rFonts w:ascii="Times New Roman" w:hAnsi="Times New Roman" w:eastAsia="Times New Roman" w:cs="Times New Roman"/>
      <w:szCs w:val="24"/>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2711">
      <w:bodyDiv w:val="1"/>
      <w:marLeft w:val="0"/>
      <w:marRight w:val="0"/>
      <w:marTop w:val="0"/>
      <w:marBottom w:val="0"/>
      <w:divBdr>
        <w:top w:val="none" w:sz="0" w:space="0" w:color="auto"/>
        <w:left w:val="none" w:sz="0" w:space="0" w:color="auto"/>
        <w:bottom w:val="none" w:sz="0" w:space="0" w:color="auto"/>
        <w:right w:val="none" w:sz="0" w:space="0" w:color="auto"/>
      </w:divBdr>
      <w:divsChild>
        <w:div w:id="1292249121">
          <w:marLeft w:val="0"/>
          <w:marRight w:val="0"/>
          <w:marTop w:val="0"/>
          <w:marBottom w:val="0"/>
          <w:divBdr>
            <w:top w:val="none" w:sz="0" w:space="0" w:color="auto"/>
            <w:left w:val="none" w:sz="0" w:space="0" w:color="auto"/>
            <w:bottom w:val="none" w:sz="0" w:space="0" w:color="auto"/>
            <w:right w:val="none" w:sz="0" w:space="0" w:color="auto"/>
          </w:divBdr>
          <w:divsChild>
            <w:div w:id="101531277">
              <w:marLeft w:val="0"/>
              <w:marRight w:val="0"/>
              <w:marTop w:val="0"/>
              <w:marBottom w:val="0"/>
              <w:divBdr>
                <w:top w:val="none" w:sz="0" w:space="0" w:color="auto"/>
                <w:left w:val="none" w:sz="0" w:space="0" w:color="auto"/>
                <w:bottom w:val="none" w:sz="0" w:space="0" w:color="auto"/>
                <w:right w:val="none" w:sz="0" w:space="0" w:color="auto"/>
              </w:divBdr>
              <w:divsChild>
                <w:div w:id="12530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06419">
      <w:bodyDiv w:val="1"/>
      <w:marLeft w:val="0"/>
      <w:marRight w:val="0"/>
      <w:marTop w:val="0"/>
      <w:marBottom w:val="0"/>
      <w:divBdr>
        <w:top w:val="none" w:sz="0" w:space="0" w:color="auto"/>
        <w:left w:val="none" w:sz="0" w:space="0" w:color="auto"/>
        <w:bottom w:val="none" w:sz="0" w:space="0" w:color="auto"/>
        <w:right w:val="none" w:sz="0" w:space="0" w:color="auto"/>
      </w:divBdr>
    </w:div>
    <w:div w:id="597062925">
      <w:bodyDiv w:val="1"/>
      <w:marLeft w:val="0"/>
      <w:marRight w:val="0"/>
      <w:marTop w:val="0"/>
      <w:marBottom w:val="0"/>
      <w:divBdr>
        <w:top w:val="none" w:sz="0" w:space="0" w:color="auto"/>
        <w:left w:val="none" w:sz="0" w:space="0" w:color="auto"/>
        <w:bottom w:val="none" w:sz="0" w:space="0" w:color="auto"/>
        <w:right w:val="none" w:sz="0" w:space="0" w:color="auto"/>
      </w:divBdr>
      <w:divsChild>
        <w:div w:id="467166092">
          <w:marLeft w:val="0"/>
          <w:marRight w:val="0"/>
          <w:marTop w:val="0"/>
          <w:marBottom w:val="0"/>
          <w:divBdr>
            <w:top w:val="none" w:sz="0" w:space="0" w:color="auto"/>
            <w:left w:val="none" w:sz="0" w:space="0" w:color="auto"/>
            <w:bottom w:val="none" w:sz="0" w:space="0" w:color="auto"/>
            <w:right w:val="none" w:sz="0" w:space="0" w:color="auto"/>
          </w:divBdr>
          <w:divsChild>
            <w:div w:id="1258949003">
              <w:marLeft w:val="0"/>
              <w:marRight w:val="0"/>
              <w:marTop w:val="0"/>
              <w:marBottom w:val="0"/>
              <w:divBdr>
                <w:top w:val="none" w:sz="0" w:space="0" w:color="auto"/>
                <w:left w:val="none" w:sz="0" w:space="0" w:color="auto"/>
                <w:bottom w:val="none" w:sz="0" w:space="0" w:color="auto"/>
                <w:right w:val="none" w:sz="0" w:space="0" w:color="auto"/>
              </w:divBdr>
              <w:divsChild>
                <w:div w:id="1420255911">
                  <w:marLeft w:val="0"/>
                  <w:marRight w:val="0"/>
                  <w:marTop w:val="0"/>
                  <w:marBottom w:val="0"/>
                  <w:divBdr>
                    <w:top w:val="none" w:sz="0" w:space="0" w:color="auto"/>
                    <w:left w:val="none" w:sz="0" w:space="0" w:color="auto"/>
                    <w:bottom w:val="none" w:sz="0" w:space="0" w:color="auto"/>
                    <w:right w:val="none" w:sz="0" w:space="0" w:color="auto"/>
                  </w:divBdr>
                  <w:divsChild>
                    <w:div w:id="10463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83073">
      <w:bodyDiv w:val="1"/>
      <w:marLeft w:val="0"/>
      <w:marRight w:val="0"/>
      <w:marTop w:val="0"/>
      <w:marBottom w:val="0"/>
      <w:divBdr>
        <w:top w:val="none" w:sz="0" w:space="0" w:color="auto"/>
        <w:left w:val="none" w:sz="0" w:space="0" w:color="auto"/>
        <w:bottom w:val="none" w:sz="0" w:space="0" w:color="auto"/>
        <w:right w:val="none" w:sz="0" w:space="0" w:color="auto"/>
      </w:divBdr>
    </w:div>
    <w:div w:id="1044478238">
      <w:bodyDiv w:val="1"/>
      <w:marLeft w:val="0"/>
      <w:marRight w:val="0"/>
      <w:marTop w:val="0"/>
      <w:marBottom w:val="0"/>
      <w:divBdr>
        <w:top w:val="none" w:sz="0" w:space="0" w:color="auto"/>
        <w:left w:val="none" w:sz="0" w:space="0" w:color="auto"/>
        <w:bottom w:val="none" w:sz="0" w:space="0" w:color="auto"/>
        <w:right w:val="none" w:sz="0" w:space="0" w:color="auto"/>
      </w:divBdr>
      <w:divsChild>
        <w:div w:id="10649287">
          <w:marLeft w:val="0"/>
          <w:marRight w:val="0"/>
          <w:marTop w:val="0"/>
          <w:marBottom w:val="0"/>
          <w:divBdr>
            <w:top w:val="none" w:sz="0" w:space="0" w:color="auto"/>
            <w:left w:val="none" w:sz="0" w:space="0" w:color="auto"/>
            <w:bottom w:val="none" w:sz="0" w:space="0" w:color="auto"/>
            <w:right w:val="none" w:sz="0" w:space="0" w:color="auto"/>
          </w:divBdr>
        </w:div>
        <w:div w:id="216285996">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05466950">
              <w:marLeft w:val="0"/>
              <w:marRight w:val="0"/>
              <w:marTop w:val="0"/>
              <w:marBottom w:val="0"/>
              <w:divBdr>
                <w:top w:val="none" w:sz="0" w:space="0" w:color="auto"/>
                <w:left w:val="none" w:sz="0" w:space="0" w:color="auto"/>
                <w:bottom w:val="none" w:sz="0" w:space="0" w:color="auto"/>
                <w:right w:val="none" w:sz="0" w:space="0" w:color="auto"/>
              </w:divBdr>
            </w:div>
            <w:div w:id="262300085">
              <w:marLeft w:val="0"/>
              <w:marRight w:val="0"/>
              <w:marTop w:val="0"/>
              <w:marBottom w:val="0"/>
              <w:divBdr>
                <w:top w:val="none" w:sz="0" w:space="0" w:color="auto"/>
                <w:left w:val="none" w:sz="0" w:space="0" w:color="auto"/>
                <w:bottom w:val="none" w:sz="0" w:space="0" w:color="auto"/>
                <w:right w:val="none" w:sz="0" w:space="0" w:color="auto"/>
              </w:divBdr>
            </w:div>
            <w:div w:id="372310677">
              <w:marLeft w:val="0"/>
              <w:marRight w:val="0"/>
              <w:marTop w:val="0"/>
              <w:marBottom w:val="0"/>
              <w:divBdr>
                <w:top w:val="none" w:sz="0" w:space="0" w:color="auto"/>
                <w:left w:val="none" w:sz="0" w:space="0" w:color="auto"/>
                <w:bottom w:val="none" w:sz="0" w:space="0" w:color="auto"/>
                <w:right w:val="none" w:sz="0" w:space="0" w:color="auto"/>
              </w:divBdr>
            </w:div>
            <w:div w:id="425197833">
              <w:marLeft w:val="0"/>
              <w:marRight w:val="0"/>
              <w:marTop w:val="0"/>
              <w:marBottom w:val="0"/>
              <w:divBdr>
                <w:top w:val="none" w:sz="0" w:space="0" w:color="auto"/>
                <w:left w:val="none" w:sz="0" w:space="0" w:color="auto"/>
                <w:bottom w:val="none" w:sz="0" w:space="0" w:color="auto"/>
                <w:right w:val="none" w:sz="0" w:space="0" w:color="auto"/>
              </w:divBdr>
            </w:div>
            <w:div w:id="429860390">
              <w:marLeft w:val="0"/>
              <w:marRight w:val="0"/>
              <w:marTop w:val="0"/>
              <w:marBottom w:val="0"/>
              <w:divBdr>
                <w:top w:val="none" w:sz="0" w:space="0" w:color="auto"/>
                <w:left w:val="none" w:sz="0" w:space="0" w:color="auto"/>
                <w:bottom w:val="none" w:sz="0" w:space="0" w:color="auto"/>
                <w:right w:val="none" w:sz="0" w:space="0" w:color="auto"/>
              </w:divBdr>
            </w:div>
            <w:div w:id="430126091">
              <w:marLeft w:val="0"/>
              <w:marRight w:val="0"/>
              <w:marTop w:val="0"/>
              <w:marBottom w:val="0"/>
              <w:divBdr>
                <w:top w:val="none" w:sz="0" w:space="0" w:color="auto"/>
                <w:left w:val="none" w:sz="0" w:space="0" w:color="auto"/>
                <w:bottom w:val="none" w:sz="0" w:space="0" w:color="auto"/>
                <w:right w:val="none" w:sz="0" w:space="0" w:color="auto"/>
              </w:divBdr>
            </w:div>
            <w:div w:id="862014406">
              <w:marLeft w:val="0"/>
              <w:marRight w:val="0"/>
              <w:marTop w:val="0"/>
              <w:marBottom w:val="0"/>
              <w:divBdr>
                <w:top w:val="none" w:sz="0" w:space="0" w:color="auto"/>
                <w:left w:val="none" w:sz="0" w:space="0" w:color="auto"/>
                <w:bottom w:val="none" w:sz="0" w:space="0" w:color="auto"/>
                <w:right w:val="none" w:sz="0" w:space="0" w:color="auto"/>
              </w:divBdr>
            </w:div>
            <w:div w:id="1054891165">
              <w:marLeft w:val="0"/>
              <w:marRight w:val="0"/>
              <w:marTop w:val="0"/>
              <w:marBottom w:val="0"/>
              <w:divBdr>
                <w:top w:val="none" w:sz="0" w:space="0" w:color="auto"/>
                <w:left w:val="none" w:sz="0" w:space="0" w:color="auto"/>
                <w:bottom w:val="none" w:sz="0" w:space="0" w:color="auto"/>
                <w:right w:val="none" w:sz="0" w:space="0" w:color="auto"/>
              </w:divBdr>
            </w:div>
            <w:div w:id="1161196413">
              <w:marLeft w:val="0"/>
              <w:marRight w:val="0"/>
              <w:marTop w:val="0"/>
              <w:marBottom w:val="0"/>
              <w:divBdr>
                <w:top w:val="none" w:sz="0" w:space="0" w:color="auto"/>
                <w:left w:val="none" w:sz="0" w:space="0" w:color="auto"/>
                <w:bottom w:val="none" w:sz="0" w:space="0" w:color="auto"/>
                <w:right w:val="none" w:sz="0" w:space="0" w:color="auto"/>
              </w:divBdr>
            </w:div>
            <w:div w:id="1239827266">
              <w:marLeft w:val="0"/>
              <w:marRight w:val="0"/>
              <w:marTop w:val="0"/>
              <w:marBottom w:val="0"/>
              <w:divBdr>
                <w:top w:val="none" w:sz="0" w:space="0" w:color="auto"/>
                <w:left w:val="none" w:sz="0" w:space="0" w:color="auto"/>
                <w:bottom w:val="none" w:sz="0" w:space="0" w:color="auto"/>
                <w:right w:val="none" w:sz="0" w:space="0" w:color="auto"/>
              </w:divBdr>
            </w:div>
            <w:div w:id="1257716663">
              <w:marLeft w:val="0"/>
              <w:marRight w:val="0"/>
              <w:marTop w:val="0"/>
              <w:marBottom w:val="0"/>
              <w:divBdr>
                <w:top w:val="none" w:sz="0" w:space="0" w:color="auto"/>
                <w:left w:val="none" w:sz="0" w:space="0" w:color="auto"/>
                <w:bottom w:val="none" w:sz="0" w:space="0" w:color="auto"/>
                <w:right w:val="none" w:sz="0" w:space="0" w:color="auto"/>
              </w:divBdr>
            </w:div>
            <w:div w:id="1505702511">
              <w:marLeft w:val="0"/>
              <w:marRight w:val="0"/>
              <w:marTop w:val="0"/>
              <w:marBottom w:val="0"/>
              <w:divBdr>
                <w:top w:val="none" w:sz="0" w:space="0" w:color="auto"/>
                <w:left w:val="none" w:sz="0" w:space="0" w:color="auto"/>
                <w:bottom w:val="none" w:sz="0" w:space="0" w:color="auto"/>
                <w:right w:val="none" w:sz="0" w:space="0" w:color="auto"/>
              </w:divBdr>
            </w:div>
            <w:div w:id="1569802047">
              <w:marLeft w:val="0"/>
              <w:marRight w:val="0"/>
              <w:marTop w:val="0"/>
              <w:marBottom w:val="0"/>
              <w:divBdr>
                <w:top w:val="none" w:sz="0" w:space="0" w:color="auto"/>
                <w:left w:val="none" w:sz="0" w:space="0" w:color="auto"/>
                <w:bottom w:val="none" w:sz="0" w:space="0" w:color="auto"/>
                <w:right w:val="none" w:sz="0" w:space="0" w:color="auto"/>
              </w:divBdr>
            </w:div>
            <w:div w:id="1583641395">
              <w:marLeft w:val="0"/>
              <w:marRight w:val="0"/>
              <w:marTop w:val="0"/>
              <w:marBottom w:val="0"/>
              <w:divBdr>
                <w:top w:val="none" w:sz="0" w:space="0" w:color="auto"/>
                <w:left w:val="none" w:sz="0" w:space="0" w:color="auto"/>
                <w:bottom w:val="none" w:sz="0" w:space="0" w:color="auto"/>
                <w:right w:val="none" w:sz="0" w:space="0" w:color="auto"/>
              </w:divBdr>
            </w:div>
            <w:div w:id="1686663696">
              <w:marLeft w:val="0"/>
              <w:marRight w:val="0"/>
              <w:marTop w:val="0"/>
              <w:marBottom w:val="0"/>
              <w:divBdr>
                <w:top w:val="none" w:sz="0" w:space="0" w:color="auto"/>
                <w:left w:val="none" w:sz="0" w:space="0" w:color="auto"/>
                <w:bottom w:val="none" w:sz="0" w:space="0" w:color="auto"/>
                <w:right w:val="none" w:sz="0" w:space="0" w:color="auto"/>
              </w:divBdr>
            </w:div>
            <w:div w:id="1693065941">
              <w:marLeft w:val="0"/>
              <w:marRight w:val="0"/>
              <w:marTop w:val="0"/>
              <w:marBottom w:val="0"/>
              <w:divBdr>
                <w:top w:val="none" w:sz="0" w:space="0" w:color="auto"/>
                <w:left w:val="none" w:sz="0" w:space="0" w:color="auto"/>
                <w:bottom w:val="none" w:sz="0" w:space="0" w:color="auto"/>
                <w:right w:val="none" w:sz="0" w:space="0" w:color="auto"/>
              </w:divBdr>
            </w:div>
            <w:div w:id="2091389844">
              <w:marLeft w:val="0"/>
              <w:marRight w:val="0"/>
              <w:marTop w:val="0"/>
              <w:marBottom w:val="0"/>
              <w:divBdr>
                <w:top w:val="none" w:sz="0" w:space="0" w:color="auto"/>
                <w:left w:val="none" w:sz="0" w:space="0" w:color="auto"/>
                <w:bottom w:val="none" w:sz="0" w:space="0" w:color="auto"/>
                <w:right w:val="none" w:sz="0" w:space="0" w:color="auto"/>
              </w:divBdr>
            </w:div>
            <w:div w:id="2106418412">
              <w:marLeft w:val="0"/>
              <w:marRight w:val="0"/>
              <w:marTop w:val="0"/>
              <w:marBottom w:val="0"/>
              <w:divBdr>
                <w:top w:val="none" w:sz="0" w:space="0" w:color="auto"/>
                <w:left w:val="none" w:sz="0" w:space="0" w:color="auto"/>
                <w:bottom w:val="none" w:sz="0" w:space="0" w:color="auto"/>
                <w:right w:val="none" w:sz="0" w:space="0" w:color="auto"/>
              </w:divBdr>
            </w:div>
            <w:div w:id="21362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70392">
      <w:bodyDiv w:val="1"/>
      <w:marLeft w:val="0"/>
      <w:marRight w:val="0"/>
      <w:marTop w:val="0"/>
      <w:marBottom w:val="0"/>
      <w:divBdr>
        <w:top w:val="none" w:sz="0" w:space="0" w:color="auto"/>
        <w:left w:val="none" w:sz="0" w:space="0" w:color="auto"/>
        <w:bottom w:val="none" w:sz="0" w:space="0" w:color="auto"/>
        <w:right w:val="none" w:sz="0" w:space="0" w:color="auto"/>
      </w:divBdr>
      <w:divsChild>
        <w:div w:id="1473863538">
          <w:marLeft w:val="0"/>
          <w:marRight w:val="0"/>
          <w:marTop w:val="0"/>
          <w:marBottom w:val="0"/>
          <w:divBdr>
            <w:top w:val="none" w:sz="0" w:space="0" w:color="auto"/>
            <w:left w:val="none" w:sz="0" w:space="0" w:color="auto"/>
            <w:bottom w:val="none" w:sz="0" w:space="0" w:color="auto"/>
            <w:right w:val="none" w:sz="0" w:space="0" w:color="auto"/>
          </w:divBdr>
          <w:divsChild>
            <w:div w:id="2136946944">
              <w:marLeft w:val="0"/>
              <w:marRight w:val="0"/>
              <w:marTop w:val="0"/>
              <w:marBottom w:val="0"/>
              <w:divBdr>
                <w:top w:val="none" w:sz="0" w:space="0" w:color="auto"/>
                <w:left w:val="none" w:sz="0" w:space="0" w:color="auto"/>
                <w:bottom w:val="none" w:sz="0" w:space="0" w:color="auto"/>
                <w:right w:val="none" w:sz="0" w:space="0" w:color="auto"/>
              </w:divBdr>
              <w:divsChild>
                <w:div w:id="12159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87140">
      <w:bodyDiv w:val="1"/>
      <w:marLeft w:val="0"/>
      <w:marRight w:val="0"/>
      <w:marTop w:val="0"/>
      <w:marBottom w:val="0"/>
      <w:divBdr>
        <w:top w:val="none" w:sz="0" w:space="0" w:color="auto"/>
        <w:left w:val="none" w:sz="0" w:space="0" w:color="auto"/>
        <w:bottom w:val="none" w:sz="0" w:space="0" w:color="auto"/>
        <w:right w:val="none" w:sz="0" w:space="0" w:color="auto"/>
      </w:divBdr>
      <w:divsChild>
        <w:div w:id="1210609036">
          <w:marLeft w:val="0"/>
          <w:marRight w:val="0"/>
          <w:marTop w:val="0"/>
          <w:marBottom w:val="0"/>
          <w:divBdr>
            <w:top w:val="none" w:sz="0" w:space="0" w:color="auto"/>
            <w:left w:val="none" w:sz="0" w:space="0" w:color="auto"/>
            <w:bottom w:val="none" w:sz="0" w:space="0" w:color="auto"/>
            <w:right w:val="none" w:sz="0" w:space="0" w:color="auto"/>
          </w:divBdr>
          <w:divsChild>
            <w:div w:id="830946884">
              <w:marLeft w:val="0"/>
              <w:marRight w:val="0"/>
              <w:marTop w:val="0"/>
              <w:marBottom w:val="0"/>
              <w:divBdr>
                <w:top w:val="none" w:sz="0" w:space="0" w:color="auto"/>
                <w:left w:val="none" w:sz="0" w:space="0" w:color="auto"/>
                <w:bottom w:val="none" w:sz="0" w:space="0" w:color="auto"/>
                <w:right w:val="none" w:sz="0" w:space="0" w:color="auto"/>
              </w:divBdr>
              <w:divsChild>
                <w:div w:id="175578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5918">
      <w:bodyDiv w:val="1"/>
      <w:marLeft w:val="0"/>
      <w:marRight w:val="0"/>
      <w:marTop w:val="0"/>
      <w:marBottom w:val="0"/>
      <w:divBdr>
        <w:top w:val="none" w:sz="0" w:space="0" w:color="auto"/>
        <w:left w:val="none" w:sz="0" w:space="0" w:color="auto"/>
        <w:bottom w:val="none" w:sz="0" w:space="0" w:color="auto"/>
        <w:right w:val="none" w:sz="0" w:space="0" w:color="auto"/>
      </w:divBdr>
    </w:div>
    <w:div w:id="1714770298">
      <w:bodyDiv w:val="1"/>
      <w:marLeft w:val="0"/>
      <w:marRight w:val="0"/>
      <w:marTop w:val="0"/>
      <w:marBottom w:val="0"/>
      <w:divBdr>
        <w:top w:val="none" w:sz="0" w:space="0" w:color="auto"/>
        <w:left w:val="none" w:sz="0" w:space="0" w:color="auto"/>
        <w:bottom w:val="none" w:sz="0" w:space="0" w:color="auto"/>
        <w:right w:val="none" w:sz="0" w:space="0" w:color="auto"/>
      </w:divBdr>
      <w:divsChild>
        <w:div w:id="1210074139">
          <w:marLeft w:val="0"/>
          <w:marRight w:val="0"/>
          <w:marTop w:val="0"/>
          <w:marBottom w:val="0"/>
          <w:divBdr>
            <w:top w:val="none" w:sz="0" w:space="0" w:color="auto"/>
            <w:left w:val="none" w:sz="0" w:space="0" w:color="auto"/>
            <w:bottom w:val="none" w:sz="0" w:space="0" w:color="auto"/>
            <w:right w:val="none" w:sz="0" w:space="0" w:color="auto"/>
          </w:divBdr>
          <w:divsChild>
            <w:div w:id="1390492164">
              <w:marLeft w:val="0"/>
              <w:marRight w:val="0"/>
              <w:marTop w:val="0"/>
              <w:marBottom w:val="0"/>
              <w:divBdr>
                <w:top w:val="none" w:sz="0" w:space="0" w:color="auto"/>
                <w:left w:val="none" w:sz="0" w:space="0" w:color="auto"/>
                <w:bottom w:val="none" w:sz="0" w:space="0" w:color="auto"/>
                <w:right w:val="none" w:sz="0" w:space="0" w:color="auto"/>
              </w:divBdr>
              <w:divsChild>
                <w:div w:id="16189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696293">
      <w:bodyDiv w:val="1"/>
      <w:marLeft w:val="0"/>
      <w:marRight w:val="0"/>
      <w:marTop w:val="0"/>
      <w:marBottom w:val="0"/>
      <w:divBdr>
        <w:top w:val="none" w:sz="0" w:space="0" w:color="auto"/>
        <w:left w:val="none" w:sz="0" w:space="0" w:color="auto"/>
        <w:bottom w:val="none" w:sz="0" w:space="0" w:color="auto"/>
        <w:right w:val="none" w:sz="0" w:space="0" w:color="auto"/>
      </w:divBdr>
    </w:div>
    <w:div w:id="1935628122">
      <w:bodyDiv w:val="1"/>
      <w:marLeft w:val="0"/>
      <w:marRight w:val="0"/>
      <w:marTop w:val="0"/>
      <w:marBottom w:val="0"/>
      <w:divBdr>
        <w:top w:val="none" w:sz="0" w:space="0" w:color="auto"/>
        <w:left w:val="none" w:sz="0" w:space="0" w:color="auto"/>
        <w:bottom w:val="none" w:sz="0" w:space="0" w:color="auto"/>
        <w:right w:val="none" w:sz="0" w:space="0" w:color="auto"/>
      </w:divBdr>
      <w:divsChild>
        <w:div w:id="1896354820">
          <w:marLeft w:val="0"/>
          <w:marRight w:val="0"/>
          <w:marTop w:val="0"/>
          <w:marBottom w:val="0"/>
          <w:divBdr>
            <w:top w:val="none" w:sz="0" w:space="0" w:color="auto"/>
            <w:left w:val="none" w:sz="0" w:space="0" w:color="auto"/>
            <w:bottom w:val="none" w:sz="0" w:space="0" w:color="auto"/>
            <w:right w:val="none" w:sz="0" w:space="0" w:color="auto"/>
          </w:divBdr>
          <w:divsChild>
            <w:div w:id="1052384724">
              <w:marLeft w:val="0"/>
              <w:marRight w:val="0"/>
              <w:marTop w:val="0"/>
              <w:marBottom w:val="0"/>
              <w:divBdr>
                <w:top w:val="none" w:sz="0" w:space="0" w:color="auto"/>
                <w:left w:val="none" w:sz="0" w:space="0" w:color="auto"/>
                <w:bottom w:val="none" w:sz="0" w:space="0" w:color="auto"/>
                <w:right w:val="none" w:sz="0" w:space="0" w:color="auto"/>
              </w:divBdr>
              <w:divsChild>
                <w:div w:id="1050109697">
                  <w:marLeft w:val="0"/>
                  <w:marRight w:val="0"/>
                  <w:marTop w:val="0"/>
                  <w:marBottom w:val="0"/>
                  <w:divBdr>
                    <w:top w:val="none" w:sz="0" w:space="0" w:color="auto"/>
                    <w:left w:val="none" w:sz="0" w:space="0" w:color="auto"/>
                    <w:bottom w:val="none" w:sz="0" w:space="0" w:color="auto"/>
                    <w:right w:val="none" w:sz="0" w:space="0" w:color="auto"/>
                  </w:divBdr>
                  <w:divsChild>
                    <w:div w:id="69843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332177">
      <w:bodyDiv w:val="1"/>
      <w:marLeft w:val="0"/>
      <w:marRight w:val="0"/>
      <w:marTop w:val="0"/>
      <w:marBottom w:val="0"/>
      <w:divBdr>
        <w:top w:val="none" w:sz="0" w:space="0" w:color="auto"/>
        <w:left w:val="none" w:sz="0" w:space="0" w:color="auto"/>
        <w:bottom w:val="none" w:sz="0" w:space="0" w:color="auto"/>
        <w:right w:val="none" w:sz="0" w:space="0" w:color="auto"/>
      </w:divBdr>
    </w:div>
    <w:div w:id="197506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Id14" /><Relationship Type="http://schemas.openxmlformats.org/officeDocument/2006/relationships/image" Target="/media/image4.png" Id="R2028639f194e4124" /></Relationships>
</file>

<file path=word/_rels/footer1.xml.rels>&#65279;<?xml version="1.0" encoding="utf-8"?><Relationships xmlns="http://schemas.openxmlformats.org/package/2006/relationships"><Relationship Type="http://schemas.openxmlformats.org/officeDocument/2006/relationships/image" Target="/media/image5.png" Id="Rf2fae9b46ae946c8"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C865A9B-2090-FC4F-83CD-F62E73167D77}">
  <ds:schemaRefs>
    <ds:schemaRef ds:uri="http://schemas.openxmlformats.org/officeDocument/2006/bibliography"/>
  </ds:schemaRefs>
</ds:datastoreItem>
</file>

<file path=customXml/itemProps2.xml><?xml version="1.0" encoding="utf-8"?>
<ds:datastoreItem xmlns:ds="http://schemas.openxmlformats.org/officeDocument/2006/customXml" ds:itemID="{702839B0-5317-4926-B2AB-0B27531CE62E}"/>
</file>

<file path=customXml/itemProps3.xml><?xml version="1.0" encoding="utf-8"?>
<ds:datastoreItem xmlns:ds="http://schemas.openxmlformats.org/officeDocument/2006/customXml" ds:itemID="{F5B5F8D9-EB73-4C95-8E0F-96706AF44F3F}"/>
</file>

<file path=customXml/itemProps4.xml><?xml version="1.0" encoding="utf-8"?>
<ds:datastoreItem xmlns:ds="http://schemas.openxmlformats.org/officeDocument/2006/customXml" ds:itemID="{0504333C-C8F9-4FA7-AE8F-882175596F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Andrea Ramírez Castañeda</dc:creator>
  <keywords/>
  <dc:description/>
  <lastModifiedBy>Nina María Padrón</lastModifiedBy>
  <revision>120</revision>
  <dcterms:created xsi:type="dcterms:W3CDTF">2020-12-15T13:14:00.0000000Z</dcterms:created>
  <dcterms:modified xsi:type="dcterms:W3CDTF">2021-01-12T16:52:07.7062905Z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