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Pr="00B83689" w:rsidR="000920F0" w:rsidP="00F106B5" w:rsidRDefault="000920F0" w14:paraId="6B426F4D" w14:textId="77777777">
      <w:pPr>
        <w:spacing w:line="276" w:lineRule="auto"/>
        <w:jc w:val="right"/>
        <w:rPr>
          <w:rFonts w:ascii="Arial" w:hAnsi="Arial" w:cs="Arial"/>
          <w:bCs/>
          <w:noProof/>
          <w:sz w:val="16"/>
          <w:szCs w:val="16"/>
          <w:lang w:val="es-ES_tradnl" w:eastAsia="es-ES"/>
        </w:rPr>
      </w:pPr>
      <w:bookmarkStart w:name="_Hlk28946138" w:id="0"/>
      <w:bookmarkStart w:name="_Hlk29548183" w:id="1"/>
      <w:bookmarkStart w:name="_Hlk29890381" w:id="2"/>
      <w:r w:rsidRPr="00295D8A">
        <w:rPr>
          <w:rFonts w:ascii="Arial" w:hAnsi="Arial" w:cs="Arial"/>
          <w:b/>
          <w:noProof/>
          <w:sz w:val="21"/>
          <w:szCs w:val="21"/>
          <w:lang w:val="es-ES_tradnl" w:eastAsia="es-ES"/>
        </w:rPr>
        <w:tab/>
      </w:r>
      <w:r w:rsidRPr="00B83689">
        <w:rPr>
          <w:rFonts w:ascii="Arial" w:hAnsi="Arial" w:cs="Arial"/>
          <w:bCs/>
          <w:noProof/>
          <w:sz w:val="16"/>
          <w:szCs w:val="16"/>
          <w:lang w:val="es-ES_tradnl" w:eastAsia="es-ES"/>
        </w:rPr>
        <w:t>CCE-DES-FM-17</w:t>
      </w:r>
    </w:p>
    <w:p w:rsidRPr="00295D8A" w:rsidR="000920F0" w:rsidP="00F106B5" w:rsidRDefault="000920F0" w14:paraId="6EB4D096" w14:textId="77777777">
      <w:pPr>
        <w:spacing w:line="276" w:lineRule="auto"/>
        <w:jc w:val="both"/>
        <w:rPr>
          <w:rFonts w:ascii="Arial" w:hAnsi="Arial" w:cs="Arial"/>
          <w:b/>
          <w:noProof/>
          <w:sz w:val="16"/>
          <w:szCs w:val="16"/>
          <w:lang w:val="es-ES_tradnl"/>
        </w:rPr>
      </w:pPr>
    </w:p>
    <w:p w:rsidRPr="004008EE" w:rsidR="0039355B" w:rsidP="15321B46" w:rsidRDefault="0039355B" w14:paraId="3668CB09" w14:textId="243D35D7">
      <w:pPr>
        <w:jc w:val="both"/>
        <w:rPr>
          <w:rFonts w:ascii="Arial" w:hAnsi="Arial" w:cs="Arial"/>
          <w:b/>
          <w:bCs/>
          <w:sz w:val="22"/>
          <w:lang w:val="es-ES"/>
        </w:rPr>
      </w:pPr>
      <w:r w:rsidRPr="004008EE">
        <w:rPr>
          <w:rFonts w:ascii="Arial" w:hAnsi="Arial" w:cs="Arial"/>
          <w:b/>
          <w:bCs/>
          <w:sz w:val="22"/>
          <w:lang w:val="es-ES"/>
        </w:rPr>
        <w:t xml:space="preserve">CONTRATO DE PRESTACIÓN DE SERVICIOS </w:t>
      </w:r>
      <w:r w:rsidRPr="004008EE">
        <w:rPr>
          <w:rFonts w:ascii="Arial" w:hAnsi="Arial" w:cs="Arial"/>
          <w:b/>
          <w:bCs/>
          <w:sz w:val="22"/>
        </w:rPr>
        <w:t>–</w:t>
      </w:r>
      <w:r w:rsidRPr="004008EE">
        <w:rPr>
          <w:rFonts w:ascii="Arial" w:hAnsi="Arial" w:cs="Arial"/>
          <w:b/>
          <w:bCs/>
          <w:sz w:val="22"/>
          <w:lang w:val="es-ES"/>
        </w:rPr>
        <w:t xml:space="preserve"> Concepto </w:t>
      </w:r>
      <w:r w:rsidRPr="004008EE">
        <w:rPr>
          <w:rFonts w:ascii="Arial" w:hAnsi="Arial" w:cs="Arial"/>
          <w:b/>
          <w:bCs/>
          <w:sz w:val="22"/>
        </w:rPr>
        <w:t>–</w:t>
      </w:r>
      <w:r w:rsidRPr="004008EE">
        <w:rPr>
          <w:rFonts w:ascii="Arial" w:hAnsi="Arial" w:cs="Arial"/>
          <w:b/>
          <w:bCs/>
          <w:sz w:val="22"/>
          <w:lang w:val="es-ES"/>
        </w:rPr>
        <w:t xml:space="preserve"> Requisitos </w:t>
      </w:r>
      <w:r w:rsidRPr="004008EE">
        <w:rPr>
          <w:rFonts w:ascii="Arial" w:hAnsi="Arial" w:cs="Arial"/>
          <w:b/>
          <w:bCs/>
          <w:sz w:val="22"/>
        </w:rPr>
        <w:t>–</w:t>
      </w:r>
      <w:r w:rsidRPr="004008EE">
        <w:rPr>
          <w:rFonts w:ascii="Arial" w:hAnsi="Arial" w:cs="Arial"/>
          <w:b/>
          <w:bCs/>
          <w:sz w:val="22"/>
          <w:lang w:val="es-ES"/>
        </w:rPr>
        <w:t xml:space="preserve"> Límites </w:t>
      </w:r>
      <w:r w:rsidRPr="004008EE" w:rsidR="3EA8FA14">
        <w:rPr>
          <w:rFonts w:ascii="Arial" w:hAnsi="Arial" w:cs="Arial"/>
          <w:b/>
          <w:bCs/>
          <w:sz w:val="22"/>
        </w:rPr>
        <w:t>–</w:t>
      </w:r>
      <w:r w:rsidRPr="004008EE" w:rsidR="000732C7">
        <w:rPr>
          <w:rFonts w:ascii="Arial" w:hAnsi="Arial" w:cs="Arial"/>
          <w:b/>
          <w:bCs/>
          <w:sz w:val="22"/>
        </w:rPr>
        <w:t xml:space="preserve"> </w:t>
      </w:r>
      <w:r w:rsidRPr="004008EE" w:rsidR="3EA8FA14">
        <w:rPr>
          <w:rFonts w:ascii="Arial" w:hAnsi="Arial" w:cs="Arial"/>
          <w:b/>
          <w:bCs/>
          <w:sz w:val="22"/>
          <w:lang w:val="es-ES"/>
        </w:rPr>
        <w:t>C</w:t>
      </w:r>
      <w:r w:rsidRPr="004008EE">
        <w:rPr>
          <w:rFonts w:ascii="Arial" w:hAnsi="Arial" w:cs="Arial"/>
          <w:b/>
          <w:bCs/>
          <w:sz w:val="22"/>
          <w:lang w:val="es-ES"/>
        </w:rPr>
        <w:t>elebración</w:t>
      </w:r>
    </w:p>
    <w:p w:rsidRPr="004008EE" w:rsidR="0039355B" w:rsidP="0039355B" w:rsidRDefault="0039355B" w14:paraId="6D41F2B5" w14:textId="77777777">
      <w:pPr>
        <w:jc w:val="both"/>
        <w:rPr>
          <w:rFonts w:ascii="Arial" w:hAnsi="Arial" w:cs="Arial"/>
          <w:sz w:val="20"/>
          <w:szCs w:val="20"/>
          <w:lang w:val="es-ES"/>
        </w:rPr>
      </w:pPr>
    </w:p>
    <w:p w:rsidRPr="006C04B6" w:rsidR="000720AC" w:rsidP="0039355B" w:rsidRDefault="0039355B" w14:paraId="4498C201" w14:textId="71860475">
      <w:pPr>
        <w:jc w:val="both"/>
        <w:rPr>
          <w:rFonts w:ascii="Arial" w:hAnsi="Arial" w:cs="Arial"/>
          <w:sz w:val="20"/>
          <w:szCs w:val="20"/>
          <w:lang w:val="es-ES"/>
        </w:rPr>
      </w:pPr>
      <w:r w:rsidRPr="004008EE">
        <w:rPr>
          <w:rFonts w:ascii="Arial" w:hAnsi="Arial" w:cs="Arial"/>
          <w:sz w:val="20"/>
          <w:szCs w:val="20"/>
          <w:lang w:val="es-ES"/>
        </w:rPr>
        <w:t>El contrato de prestación de servicios profesionales es uno de los tipos contractuales consagrados en el Estatuto General de Contratación de la Administración Pública, que pueden celebrar las entidades estatales. En tal sentido, se trata de un contrato típico, ya que se encuentra definido en la ley. Sus principales características son: i) Solo puede celebrarse para realizar «actividades relacionadas con la administración o funcionamiento de la entidad», es decir, que hagan parte de su giro ordinario o quehacer cotidiano</w:t>
      </w:r>
      <w:r w:rsidR="00F369A7">
        <w:rPr>
          <w:rFonts w:ascii="Arial" w:hAnsi="Arial" w:cs="Arial"/>
          <w:sz w:val="20"/>
          <w:szCs w:val="20"/>
          <w:lang w:val="es-ES"/>
        </w:rPr>
        <w:t>.</w:t>
      </w:r>
      <w:r w:rsidRPr="004008EE">
        <w:rPr>
          <w:rFonts w:ascii="Arial" w:hAnsi="Arial" w:cs="Arial"/>
          <w:sz w:val="20"/>
          <w:szCs w:val="20"/>
          <w:lang w:val="es-ES"/>
        </w:rPr>
        <w:t xml:space="preserve"> </w:t>
      </w:r>
      <w:proofErr w:type="spellStart"/>
      <w:r w:rsidRPr="004008EE">
        <w:rPr>
          <w:rFonts w:ascii="Arial" w:hAnsi="Arial" w:cs="Arial"/>
          <w:sz w:val="20"/>
          <w:szCs w:val="20"/>
          <w:lang w:val="es-ES"/>
        </w:rPr>
        <w:t>ii</w:t>
      </w:r>
      <w:proofErr w:type="spellEnd"/>
      <w:r w:rsidRPr="004008EE">
        <w:rPr>
          <w:rFonts w:ascii="Arial" w:hAnsi="Arial" w:cs="Arial"/>
          <w:sz w:val="20"/>
          <w:szCs w:val="20"/>
          <w:lang w:val="es-ES"/>
        </w:rPr>
        <w:t xml:space="preserve">) </w:t>
      </w:r>
      <w:r w:rsidR="00F369A7">
        <w:rPr>
          <w:rFonts w:ascii="Arial" w:hAnsi="Arial" w:cs="Arial"/>
          <w:sz w:val="20"/>
          <w:szCs w:val="20"/>
          <w:lang w:val="es-ES"/>
        </w:rPr>
        <w:t>A</w:t>
      </w:r>
      <w:r w:rsidRPr="004008EE">
        <w:rPr>
          <w:rFonts w:ascii="Arial" w:hAnsi="Arial" w:cs="Arial"/>
          <w:sz w:val="20"/>
          <w:szCs w:val="20"/>
          <w:lang w:val="es-ES"/>
        </w:rPr>
        <w:t>dmite que se suscriba tanto con personas naturales, como con personas jurídicas. Sin embargo, cuando pretenda celebrarse con una persona natural, la entidad estatal debe justificar en los estudios previos que las actividades que buscan encomendarse a aquella «no puedan realizarse con personal de planta o requieran conocimientos especializados»</w:t>
      </w:r>
      <w:r w:rsidR="00F369A7">
        <w:rPr>
          <w:rFonts w:ascii="Arial" w:hAnsi="Arial" w:cs="Arial"/>
          <w:sz w:val="20"/>
          <w:szCs w:val="20"/>
          <w:lang w:val="es-ES"/>
        </w:rPr>
        <w:t>.</w:t>
      </w:r>
      <w:r w:rsidRPr="004008EE">
        <w:rPr>
          <w:rFonts w:ascii="Arial" w:hAnsi="Arial" w:cs="Arial"/>
          <w:sz w:val="20"/>
          <w:szCs w:val="20"/>
          <w:lang w:val="es-ES"/>
        </w:rPr>
        <w:t xml:space="preserve"> </w:t>
      </w:r>
      <w:proofErr w:type="spellStart"/>
      <w:r w:rsidRPr="004008EE">
        <w:rPr>
          <w:rFonts w:ascii="Arial" w:hAnsi="Arial" w:cs="Arial"/>
          <w:sz w:val="20"/>
          <w:szCs w:val="20"/>
          <w:lang w:val="es-ES"/>
        </w:rPr>
        <w:t>iii</w:t>
      </w:r>
      <w:proofErr w:type="spellEnd"/>
      <w:r w:rsidRPr="004008EE">
        <w:rPr>
          <w:rFonts w:ascii="Arial" w:hAnsi="Arial" w:cs="Arial"/>
          <w:sz w:val="20"/>
          <w:szCs w:val="20"/>
          <w:lang w:val="es-ES"/>
        </w:rPr>
        <w:t xml:space="preserve">) </w:t>
      </w:r>
      <w:r w:rsidR="00F369A7">
        <w:rPr>
          <w:rFonts w:ascii="Arial" w:hAnsi="Arial" w:cs="Arial"/>
          <w:sz w:val="20"/>
          <w:szCs w:val="20"/>
          <w:lang w:val="es-ES"/>
        </w:rPr>
        <w:t>S</w:t>
      </w:r>
      <w:r w:rsidRPr="004008EE">
        <w:rPr>
          <w:rFonts w:ascii="Arial" w:hAnsi="Arial" w:cs="Arial"/>
          <w:sz w:val="20"/>
          <w:szCs w:val="20"/>
          <w:lang w:val="es-ES"/>
        </w:rPr>
        <w:t xml:space="preserve">i bien se celebra para obtener la prestación personal de un servicio, se diferencian del contrato de trabajo en que quien celebra el contrato de prestación de servicios profesionales debe mantener autonomía e independencia en la ejecución de la labor, lo que significa que no puede existir la </w:t>
      </w:r>
      <w:r w:rsidRPr="004008EE">
        <w:rPr>
          <w:rFonts w:ascii="Arial" w:hAnsi="Arial" w:cs="Arial"/>
          <w:i/>
          <w:sz w:val="20"/>
          <w:szCs w:val="20"/>
          <w:lang w:val="es-ES"/>
        </w:rPr>
        <w:t>subordinación y dependencia</w:t>
      </w:r>
      <w:r w:rsidRPr="004008EE">
        <w:rPr>
          <w:rFonts w:ascii="Arial" w:hAnsi="Arial" w:cs="Arial"/>
          <w:sz w:val="20"/>
          <w:szCs w:val="20"/>
          <w:lang w:val="es-ES"/>
        </w:rPr>
        <w:t xml:space="preserve"> que es uno de los elementos constitutivos del vínculo laboral</w:t>
      </w:r>
      <w:r w:rsidR="00F369A7">
        <w:rPr>
          <w:rFonts w:ascii="Arial" w:hAnsi="Arial" w:cs="Arial"/>
          <w:sz w:val="20"/>
          <w:szCs w:val="20"/>
          <w:lang w:val="es-ES"/>
        </w:rPr>
        <w:t>.</w:t>
      </w:r>
      <w:r w:rsidRPr="004008EE">
        <w:rPr>
          <w:rFonts w:ascii="Arial" w:hAnsi="Arial" w:cs="Arial"/>
          <w:sz w:val="20"/>
          <w:szCs w:val="20"/>
          <w:lang w:val="es-ES"/>
        </w:rPr>
        <w:t xml:space="preserve"> </w:t>
      </w:r>
      <w:proofErr w:type="spellStart"/>
      <w:r w:rsidRPr="004008EE">
        <w:rPr>
          <w:rFonts w:ascii="Arial" w:hAnsi="Arial" w:cs="Arial"/>
          <w:sz w:val="20"/>
          <w:szCs w:val="20"/>
          <w:lang w:val="es-ES"/>
        </w:rPr>
        <w:t>iv</w:t>
      </w:r>
      <w:proofErr w:type="spellEnd"/>
      <w:r w:rsidRPr="004008EE">
        <w:rPr>
          <w:rFonts w:ascii="Arial" w:hAnsi="Arial" w:cs="Arial"/>
          <w:sz w:val="20"/>
          <w:szCs w:val="20"/>
          <w:lang w:val="es-ES"/>
        </w:rPr>
        <w:t xml:space="preserve">) </w:t>
      </w:r>
      <w:r w:rsidR="00F369A7">
        <w:rPr>
          <w:rFonts w:ascii="Arial" w:hAnsi="Arial" w:cs="Arial"/>
          <w:sz w:val="20"/>
          <w:szCs w:val="20"/>
          <w:lang w:val="es-ES"/>
        </w:rPr>
        <w:t>D</w:t>
      </w:r>
      <w:r w:rsidRPr="004008EE">
        <w:rPr>
          <w:rFonts w:ascii="Arial" w:hAnsi="Arial" w:cs="Arial"/>
          <w:sz w:val="20"/>
          <w:szCs w:val="20"/>
          <w:lang w:val="es-ES"/>
        </w:rPr>
        <w:t>ebe ser temporal</w:t>
      </w:r>
      <w:r w:rsidR="00F369A7">
        <w:rPr>
          <w:rFonts w:ascii="Arial" w:hAnsi="Arial" w:cs="Arial"/>
          <w:sz w:val="20"/>
          <w:szCs w:val="20"/>
          <w:lang w:val="es-ES"/>
        </w:rPr>
        <w:t>.</w:t>
      </w:r>
      <w:r w:rsidRPr="004008EE">
        <w:rPr>
          <w:rFonts w:ascii="Arial" w:hAnsi="Arial" w:cs="Arial"/>
          <w:sz w:val="20"/>
          <w:szCs w:val="20"/>
          <w:lang w:val="es-ES"/>
        </w:rPr>
        <w:t xml:space="preserve"> v) </w:t>
      </w:r>
      <w:r w:rsidR="00F369A7">
        <w:rPr>
          <w:rFonts w:ascii="Arial" w:hAnsi="Arial" w:cs="Arial"/>
          <w:sz w:val="20"/>
          <w:szCs w:val="20"/>
          <w:lang w:val="es-ES"/>
        </w:rPr>
        <w:t>H</w:t>
      </w:r>
      <w:r w:rsidRPr="004008EE">
        <w:rPr>
          <w:rFonts w:ascii="Arial" w:hAnsi="Arial" w:cs="Arial"/>
          <w:sz w:val="20"/>
          <w:szCs w:val="20"/>
          <w:lang w:val="es-ES"/>
        </w:rPr>
        <w:t xml:space="preserve">acen parte del género denominado </w:t>
      </w:r>
      <w:r w:rsidRPr="004008EE">
        <w:rPr>
          <w:rFonts w:ascii="Arial" w:hAnsi="Arial" w:cs="Arial"/>
          <w:i/>
          <w:sz w:val="20"/>
          <w:szCs w:val="20"/>
          <w:lang w:val="es-ES"/>
        </w:rPr>
        <w:t>contratos de prestación de servicios</w:t>
      </w:r>
      <w:r w:rsidRPr="004008EE">
        <w:rPr>
          <w:rFonts w:ascii="Arial" w:hAnsi="Arial" w:cs="Arial"/>
          <w:sz w:val="20"/>
          <w:szCs w:val="20"/>
          <w:lang w:val="es-ES"/>
        </w:rPr>
        <w:t>, dentro del cual también se ubican, como especies, los contratos de prestación de servicios de apoyo a la gestión y los contratos de prestación de servicios artísticos</w:t>
      </w:r>
      <w:r w:rsidR="00D01A82">
        <w:rPr>
          <w:rFonts w:ascii="Arial" w:hAnsi="Arial" w:cs="Arial"/>
          <w:sz w:val="20"/>
          <w:szCs w:val="20"/>
          <w:lang w:val="es-ES"/>
        </w:rPr>
        <w:t>.</w:t>
      </w:r>
      <w:r w:rsidRPr="004008EE">
        <w:rPr>
          <w:rFonts w:ascii="Arial" w:hAnsi="Arial" w:cs="Arial"/>
          <w:sz w:val="20"/>
          <w:szCs w:val="20"/>
          <w:lang w:val="es-ES"/>
        </w:rPr>
        <w:t xml:space="preserve"> vi) </w:t>
      </w:r>
      <w:r w:rsidR="00D01A82">
        <w:rPr>
          <w:rFonts w:ascii="Arial" w:hAnsi="Arial" w:cs="Arial"/>
          <w:sz w:val="20"/>
          <w:szCs w:val="20"/>
          <w:lang w:val="es-ES"/>
        </w:rPr>
        <w:t>S</w:t>
      </w:r>
      <w:r w:rsidRPr="004008EE">
        <w:rPr>
          <w:rFonts w:ascii="Arial" w:hAnsi="Arial" w:cs="Arial"/>
          <w:sz w:val="20"/>
          <w:szCs w:val="20"/>
          <w:lang w:val="es-ES"/>
        </w:rPr>
        <w:t xml:space="preserve">u celebración debe realizarse a </w:t>
      </w:r>
      <w:r w:rsidRPr="006C04B6">
        <w:rPr>
          <w:rFonts w:ascii="Arial" w:hAnsi="Arial" w:cs="Arial"/>
          <w:sz w:val="20"/>
          <w:szCs w:val="20"/>
          <w:lang w:val="es-ES"/>
        </w:rPr>
        <w:t>través de la modalidad de contratación directa</w:t>
      </w:r>
      <w:r w:rsidR="00D01A82">
        <w:rPr>
          <w:rFonts w:ascii="Arial" w:hAnsi="Arial" w:cs="Arial"/>
          <w:sz w:val="20"/>
          <w:szCs w:val="20"/>
          <w:lang w:val="es-ES"/>
        </w:rPr>
        <w:t>.</w:t>
      </w:r>
      <w:r w:rsidRPr="006C04B6">
        <w:rPr>
          <w:rFonts w:ascii="Arial" w:hAnsi="Arial" w:cs="Arial"/>
          <w:sz w:val="20"/>
          <w:szCs w:val="20"/>
          <w:lang w:val="es-ES"/>
        </w:rPr>
        <w:t xml:space="preserve"> </w:t>
      </w:r>
      <w:proofErr w:type="spellStart"/>
      <w:r w:rsidRPr="006C04B6">
        <w:rPr>
          <w:rFonts w:ascii="Arial" w:hAnsi="Arial" w:cs="Arial"/>
          <w:sz w:val="20"/>
          <w:szCs w:val="20"/>
          <w:lang w:val="es-ES"/>
        </w:rPr>
        <w:t>vii</w:t>
      </w:r>
      <w:proofErr w:type="spellEnd"/>
      <w:r w:rsidRPr="006C04B6">
        <w:rPr>
          <w:rFonts w:ascii="Arial" w:hAnsi="Arial" w:cs="Arial"/>
          <w:sz w:val="20"/>
          <w:szCs w:val="20"/>
          <w:lang w:val="es-ES"/>
        </w:rPr>
        <w:t xml:space="preserve">) </w:t>
      </w:r>
      <w:r w:rsidR="00D01A82">
        <w:rPr>
          <w:rFonts w:ascii="Arial" w:hAnsi="Arial" w:cs="Arial"/>
          <w:sz w:val="20"/>
          <w:szCs w:val="20"/>
          <w:lang w:val="es-ES"/>
        </w:rPr>
        <w:t>P</w:t>
      </w:r>
      <w:r w:rsidRPr="006C04B6">
        <w:rPr>
          <w:rFonts w:ascii="Arial" w:hAnsi="Arial" w:cs="Arial"/>
          <w:sz w:val="20"/>
          <w:szCs w:val="20"/>
          <w:lang w:val="es-ES"/>
        </w:rPr>
        <w:t>ara su celebración no se requiere la expedición del acto administrativo de justificación de la contratación directa</w:t>
      </w:r>
      <w:r w:rsidR="00D01A82">
        <w:rPr>
          <w:rFonts w:ascii="Arial" w:hAnsi="Arial" w:cs="Arial"/>
          <w:sz w:val="20"/>
          <w:szCs w:val="20"/>
          <w:lang w:val="es-ES"/>
        </w:rPr>
        <w:t>.</w:t>
      </w:r>
      <w:r w:rsidRPr="006C04B6">
        <w:rPr>
          <w:rFonts w:ascii="Arial" w:hAnsi="Arial" w:cs="Arial"/>
          <w:sz w:val="20"/>
          <w:szCs w:val="20"/>
          <w:lang w:val="es-ES"/>
        </w:rPr>
        <w:t xml:space="preserve"> </w:t>
      </w:r>
      <w:proofErr w:type="spellStart"/>
      <w:r w:rsidRPr="006C04B6">
        <w:rPr>
          <w:rFonts w:ascii="Arial" w:hAnsi="Arial" w:cs="Arial"/>
          <w:sz w:val="20"/>
          <w:szCs w:val="20"/>
          <w:lang w:val="es-ES"/>
        </w:rPr>
        <w:t>viii</w:t>
      </w:r>
      <w:proofErr w:type="spellEnd"/>
      <w:r w:rsidRPr="006C04B6">
        <w:rPr>
          <w:rFonts w:ascii="Arial" w:hAnsi="Arial" w:cs="Arial"/>
          <w:sz w:val="20"/>
          <w:szCs w:val="20"/>
          <w:lang w:val="es-ES"/>
        </w:rPr>
        <w:t xml:space="preserve">) </w:t>
      </w:r>
      <w:r w:rsidR="00D01A82">
        <w:rPr>
          <w:rFonts w:ascii="Arial" w:hAnsi="Arial" w:cs="Arial"/>
          <w:sz w:val="20"/>
          <w:szCs w:val="20"/>
          <w:lang w:val="es-ES"/>
        </w:rPr>
        <w:t>A</w:t>
      </w:r>
      <w:r w:rsidRPr="006C04B6">
        <w:rPr>
          <w:rFonts w:ascii="Arial" w:hAnsi="Arial" w:cs="Arial"/>
          <w:sz w:val="20"/>
          <w:szCs w:val="20"/>
          <w:lang w:val="es-ES"/>
        </w:rPr>
        <w:t>dmite el pacto de cláusulas excepcionales</w:t>
      </w:r>
      <w:r w:rsidR="00D01A82">
        <w:rPr>
          <w:rFonts w:ascii="Arial" w:hAnsi="Arial" w:cs="Arial"/>
          <w:sz w:val="20"/>
          <w:szCs w:val="20"/>
          <w:lang w:val="es-ES"/>
        </w:rPr>
        <w:t>.</w:t>
      </w:r>
      <w:r w:rsidRPr="006C04B6">
        <w:rPr>
          <w:rFonts w:ascii="Arial" w:hAnsi="Arial" w:cs="Arial"/>
          <w:sz w:val="20"/>
          <w:szCs w:val="20"/>
          <w:lang w:val="es-ES"/>
        </w:rPr>
        <w:t xml:space="preserve"> </w:t>
      </w:r>
      <w:proofErr w:type="spellStart"/>
      <w:r w:rsidRPr="006C04B6">
        <w:rPr>
          <w:rFonts w:ascii="Arial" w:hAnsi="Arial" w:cs="Arial"/>
          <w:sz w:val="20"/>
          <w:szCs w:val="20"/>
          <w:lang w:val="es-ES"/>
        </w:rPr>
        <w:t>ix</w:t>
      </w:r>
      <w:proofErr w:type="spellEnd"/>
      <w:r w:rsidRPr="006C04B6">
        <w:rPr>
          <w:rFonts w:ascii="Arial" w:hAnsi="Arial" w:cs="Arial"/>
          <w:sz w:val="20"/>
          <w:szCs w:val="20"/>
          <w:lang w:val="es-ES"/>
        </w:rPr>
        <w:t xml:space="preserve">) </w:t>
      </w:r>
      <w:r w:rsidR="00D01A82">
        <w:rPr>
          <w:rFonts w:ascii="Arial" w:hAnsi="Arial" w:cs="Arial"/>
          <w:sz w:val="20"/>
          <w:szCs w:val="20"/>
          <w:lang w:val="es-ES"/>
        </w:rPr>
        <w:t>E</w:t>
      </w:r>
      <w:r w:rsidRPr="006C04B6">
        <w:rPr>
          <w:rFonts w:ascii="Arial" w:hAnsi="Arial" w:cs="Arial"/>
          <w:sz w:val="20"/>
          <w:szCs w:val="20"/>
          <w:lang w:val="es-ES"/>
        </w:rPr>
        <w:t>n él no es obligatoria la liquidación</w:t>
      </w:r>
      <w:r w:rsidR="00D01A82">
        <w:rPr>
          <w:rFonts w:ascii="Arial" w:hAnsi="Arial" w:cs="Arial"/>
          <w:sz w:val="20"/>
          <w:szCs w:val="20"/>
          <w:lang w:val="es-ES"/>
        </w:rPr>
        <w:t>.</w:t>
      </w:r>
      <w:r w:rsidRPr="006C04B6">
        <w:rPr>
          <w:rFonts w:ascii="Arial" w:hAnsi="Arial" w:cs="Arial"/>
          <w:sz w:val="20"/>
          <w:szCs w:val="20"/>
          <w:lang w:val="es-ES"/>
        </w:rPr>
        <w:t xml:space="preserve"> x) </w:t>
      </w:r>
      <w:r w:rsidR="00D01A82">
        <w:rPr>
          <w:rFonts w:ascii="Arial" w:hAnsi="Arial" w:cs="Arial"/>
          <w:sz w:val="20"/>
          <w:szCs w:val="20"/>
          <w:lang w:val="es-ES"/>
        </w:rPr>
        <w:t>P</w:t>
      </w:r>
      <w:r w:rsidRPr="006C04B6">
        <w:rPr>
          <w:rFonts w:ascii="Arial" w:hAnsi="Arial" w:cs="Arial"/>
          <w:sz w:val="20"/>
          <w:szCs w:val="20"/>
          <w:lang w:val="es-ES"/>
        </w:rPr>
        <w:t>ara su celebración no se requiere inscripción en el Registro Único de Proponentes (RUP)</w:t>
      </w:r>
      <w:r w:rsidR="00D01A82">
        <w:rPr>
          <w:rFonts w:ascii="Arial" w:hAnsi="Arial" w:cs="Arial"/>
          <w:sz w:val="20"/>
          <w:szCs w:val="20"/>
          <w:lang w:val="es-ES"/>
        </w:rPr>
        <w:t>.</w:t>
      </w:r>
      <w:r w:rsidRPr="006C04B6">
        <w:rPr>
          <w:rFonts w:ascii="Arial" w:hAnsi="Arial" w:cs="Arial"/>
          <w:sz w:val="20"/>
          <w:szCs w:val="20"/>
          <w:lang w:val="es-ES"/>
        </w:rPr>
        <w:t xml:space="preserve"> xi) </w:t>
      </w:r>
      <w:r w:rsidR="00D01A82">
        <w:rPr>
          <w:rFonts w:ascii="Arial" w:hAnsi="Arial" w:cs="Arial"/>
          <w:sz w:val="20"/>
          <w:szCs w:val="20"/>
          <w:lang w:val="es-ES"/>
        </w:rPr>
        <w:t>E</w:t>
      </w:r>
      <w:r w:rsidRPr="006C04B6">
        <w:rPr>
          <w:rFonts w:ascii="Arial" w:hAnsi="Arial" w:cs="Arial"/>
          <w:sz w:val="20"/>
          <w:szCs w:val="20"/>
          <w:lang w:val="es-ES"/>
        </w:rPr>
        <w:t>n él no son necesarias las garantías.</w:t>
      </w:r>
    </w:p>
    <w:p w:rsidRPr="006C04B6" w:rsidR="000720AC" w:rsidP="0039355B" w:rsidRDefault="000720AC" w14:paraId="34144695" w14:textId="08E48B30">
      <w:pPr>
        <w:jc w:val="both"/>
        <w:rPr>
          <w:rFonts w:ascii="Arial" w:hAnsi="Arial" w:cs="Arial"/>
          <w:sz w:val="20"/>
          <w:szCs w:val="20"/>
          <w:lang w:val="es-ES"/>
        </w:rPr>
      </w:pPr>
    </w:p>
    <w:p w:rsidRPr="006C04B6" w:rsidR="000720AC" w:rsidP="000720AC" w:rsidRDefault="000720AC" w14:paraId="07801922" w14:textId="77777777">
      <w:pPr>
        <w:jc w:val="both"/>
        <w:rPr>
          <w:rFonts w:ascii="Arial" w:hAnsi="Arial" w:cs="Arial"/>
          <w:b/>
          <w:bCs/>
          <w:sz w:val="22"/>
          <w:lang w:val="es-ES"/>
        </w:rPr>
      </w:pPr>
      <w:r w:rsidRPr="006C04B6">
        <w:rPr>
          <w:rFonts w:ascii="Arial" w:hAnsi="Arial" w:cs="Arial"/>
          <w:b/>
          <w:bCs/>
          <w:sz w:val="22"/>
          <w:lang w:val="es-ES"/>
        </w:rPr>
        <w:t xml:space="preserve">LIQUIDACIÓN DEL CONTRATO – Noción </w:t>
      </w:r>
    </w:p>
    <w:p w:rsidRPr="006C04B6" w:rsidR="000720AC" w:rsidP="000720AC" w:rsidRDefault="000720AC" w14:paraId="5850D00B" w14:textId="77777777">
      <w:pPr>
        <w:pStyle w:val="Textoindependiente"/>
        <w:ind w:left="181" w:right="108"/>
        <w:jc w:val="both"/>
        <w:rPr>
          <w:b/>
          <w:bCs/>
          <w:lang w:val="es-MX"/>
        </w:rPr>
      </w:pPr>
    </w:p>
    <w:p w:rsidRPr="006C04B6" w:rsidR="000720AC" w:rsidP="000720AC" w:rsidRDefault="000720AC" w14:paraId="2F4A13A8" w14:textId="3D65F331">
      <w:pPr>
        <w:jc w:val="both"/>
        <w:rPr>
          <w:rFonts w:ascii="Arial" w:hAnsi="Arial" w:cs="Arial"/>
          <w:sz w:val="20"/>
          <w:szCs w:val="20"/>
          <w:lang w:val="es-ES"/>
        </w:rPr>
      </w:pPr>
      <w:r w:rsidRPr="006C04B6">
        <w:rPr>
          <w:rFonts w:ascii="Arial" w:hAnsi="Arial" w:cs="Arial"/>
          <w:sz w:val="20"/>
          <w:szCs w:val="20"/>
          <w:lang w:val="es-ES"/>
        </w:rPr>
        <w:t>La fase de liquidación de los contratos estatales es el momento en el cual las partes realizan el balance de la ejecución del acuerdo de voluntades. Dicho balance, según el artículo 60 de la Ley 80 de 1993, tiene como objetivo que tanto el contratante como el contratista se declaren a paz y salvo</w:t>
      </w:r>
      <w:r w:rsidR="0001321B">
        <w:rPr>
          <w:rFonts w:ascii="Arial" w:hAnsi="Arial" w:cs="Arial"/>
          <w:sz w:val="20"/>
          <w:szCs w:val="20"/>
          <w:lang w:val="es-ES"/>
        </w:rPr>
        <w:t>, pudiendo</w:t>
      </w:r>
      <w:r w:rsidRPr="006C04B6">
        <w:rPr>
          <w:rFonts w:ascii="Arial" w:hAnsi="Arial" w:cs="Arial"/>
          <w:sz w:val="20"/>
          <w:szCs w:val="20"/>
          <w:lang w:val="es-ES"/>
        </w:rPr>
        <w:t xml:space="preserve"> </w:t>
      </w:r>
      <w:r w:rsidRPr="006C04B6" w:rsidR="0001321B">
        <w:rPr>
          <w:rFonts w:ascii="Arial" w:hAnsi="Arial" w:cs="Arial"/>
          <w:sz w:val="20"/>
          <w:szCs w:val="20"/>
          <w:lang w:val="es-ES"/>
        </w:rPr>
        <w:t>utiliza</w:t>
      </w:r>
      <w:r w:rsidR="0001321B">
        <w:rPr>
          <w:rFonts w:ascii="Arial" w:hAnsi="Arial" w:cs="Arial"/>
          <w:sz w:val="20"/>
          <w:szCs w:val="20"/>
          <w:lang w:val="es-ES"/>
        </w:rPr>
        <w:t>r</w:t>
      </w:r>
      <w:r w:rsidRPr="006C04B6" w:rsidR="0001321B">
        <w:rPr>
          <w:rFonts w:ascii="Arial" w:hAnsi="Arial" w:cs="Arial"/>
          <w:sz w:val="20"/>
          <w:szCs w:val="20"/>
          <w:lang w:val="es-ES"/>
        </w:rPr>
        <w:t xml:space="preserve"> </w:t>
      </w:r>
      <w:r w:rsidRPr="006C04B6">
        <w:rPr>
          <w:rFonts w:ascii="Arial" w:hAnsi="Arial" w:cs="Arial"/>
          <w:sz w:val="20"/>
          <w:szCs w:val="20"/>
          <w:lang w:val="es-ES"/>
        </w:rPr>
        <w:t xml:space="preserve">los instrumentos de la conciliación y la transacción, entre otros. </w:t>
      </w:r>
    </w:p>
    <w:p w:rsidRPr="006C04B6" w:rsidR="006C04B6" w:rsidP="000720AC" w:rsidRDefault="006C04B6" w14:paraId="7F068971" w14:textId="77777777">
      <w:pPr>
        <w:jc w:val="both"/>
        <w:rPr>
          <w:rFonts w:ascii="Arial" w:hAnsi="Arial" w:cs="Arial"/>
          <w:sz w:val="20"/>
          <w:szCs w:val="20"/>
          <w:lang w:val="es-ES"/>
        </w:rPr>
      </w:pPr>
    </w:p>
    <w:p w:rsidRPr="006C04B6" w:rsidR="000720AC" w:rsidP="000720AC" w:rsidRDefault="006C04B6" w14:paraId="47E0EFD1" w14:textId="7C36E248">
      <w:pPr>
        <w:jc w:val="both"/>
        <w:rPr>
          <w:rFonts w:ascii="Arial" w:hAnsi="Arial" w:cs="Arial"/>
          <w:sz w:val="20"/>
          <w:szCs w:val="20"/>
          <w:lang w:val="es-ES"/>
        </w:rPr>
      </w:pPr>
      <w:r w:rsidRPr="006C04B6">
        <w:rPr>
          <w:rFonts w:ascii="Arial" w:hAnsi="Arial" w:cs="Arial"/>
          <w:sz w:val="20"/>
          <w:szCs w:val="20"/>
          <w:lang w:val="es-ES"/>
        </w:rPr>
        <w:t xml:space="preserve">[…] </w:t>
      </w:r>
      <w:r w:rsidRPr="006C04B6" w:rsidR="000720AC">
        <w:rPr>
          <w:rFonts w:ascii="Arial" w:hAnsi="Arial" w:cs="Arial"/>
          <w:sz w:val="20"/>
          <w:szCs w:val="20"/>
          <w:lang w:val="es-ES"/>
        </w:rPr>
        <w:t>La liquidación del contrato estatal implica una actuación posterior a la terminación normal o anormal del acuerdo.</w:t>
      </w:r>
    </w:p>
    <w:p w:rsidRPr="006C04B6" w:rsidR="006C04B6" w:rsidP="000720AC" w:rsidRDefault="006C04B6" w14:paraId="6093D8F8" w14:textId="22F782D4">
      <w:pPr>
        <w:jc w:val="both"/>
        <w:rPr>
          <w:rFonts w:ascii="Arial" w:hAnsi="Arial" w:cs="Arial"/>
          <w:sz w:val="20"/>
          <w:szCs w:val="20"/>
          <w:lang w:val="es-ES"/>
        </w:rPr>
      </w:pPr>
    </w:p>
    <w:p w:rsidRPr="006C04B6" w:rsidR="006C04B6" w:rsidP="006C04B6" w:rsidRDefault="006C04B6" w14:paraId="44435C78" w14:textId="77777777">
      <w:pPr>
        <w:jc w:val="both"/>
        <w:rPr>
          <w:rFonts w:ascii="Arial" w:hAnsi="Arial" w:cs="Arial"/>
          <w:b/>
          <w:bCs/>
          <w:sz w:val="22"/>
          <w:lang w:val="es-ES"/>
        </w:rPr>
      </w:pPr>
      <w:r w:rsidRPr="006C04B6">
        <w:rPr>
          <w:rFonts w:ascii="Arial" w:hAnsi="Arial" w:cs="Arial"/>
          <w:b/>
          <w:bCs/>
          <w:sz w:val="22"/>
          <w:lang w:val="es-ES"/>
        </w:rPr>
        <w:t xml:space="preserve">LIQUIDACIÓN DEL CONTRATO – Excepción – Contrato de prestación de servicios </w:t>
      </w:r>
    </w:p>
    <w:p w:rsidRPr="006C04B6" w:rsidR="006C04B6" w:rsidP="006C04B6" w:rsidRDefault="006C04B6" w14:paraId="673F31EC" w14:textId="77777777">
      <w:pPr>
        <w:pStyle w:val="Textoindependiente"/>
        <w:ind w:left="100" w:right="384"/>
        <w:jc w:val="both"/>
      </w:pPr>
    </w:p>
    <w:p w:rsidR="006C04B6" w:rsidP="006C04B6" w:rsidRDefault="006C04B6" w14:paraId="7E6B0BC3" w14:textId="0B2F6DDB">
      <w:pPr>
        <w:jc w:val="both"/>
        <w:rPr>
          <w:rFonts w:ascii="Arial" w:hAnsi="Arial" w:cs="Arial"/>
          <w:sz w:val="20"/>
          <w:szCs w:val="20"/>
          <w:lang w:val="es-ES"/>
        </w:rPr>
      </w:pPr>
      <w:r w:rsidRPr="006C04B6">
        <w:rPr>
          <w:rFonts w:ascii="Arial" w:hAnsi="Arial" w:cs="Arial"/>
          <w:sz w:val="20"/>
          <w:szCs w:val="20"/>
          <w:lang w:val="es-ES"/>
        </w:rPr>
        <w:t>Sobre el mencionado artículo 60 de la Ley 80 de 1993, como se observó, establece que «[…] La liquidación a que se refiere el presente artículo no será obligatoria en los contratos de prestación de servicios profesionales y de apoyo a la gestión». En ese sentido, se exceptúa a los contratos de prestación de servicios profesionales y de apoyo a la gestión del deber de liquidación, pero las entidades</w:t>
      </w:r>
      <w:r w:rsidR="00135DC7">
        <w:rPr>
          <w:rFonts w:ascii="Arial" w:hAnsi="Arial" w:cs="Arial"/>
          <w:sz w:val="20"/>
          <w:szCs w:val="20"/>
          <w:lang w:val="es-ES"/>
        </w:rPr>
        <w:t>,</w:t>
      </w:r>
      <w:r w:rsidRPr="006C04B6">
        <w:rPr>
          <w:rFonts w:ascii="Arial" w:hAnsi="Arial" w:cs="Arial"/>
          <w:sz w:val="20"/>
          <w:szCs w:val="20"/>
          <w:lang w:val="es-ES"/>
        </w:rPr>
        <w:t xml:space="preserve"> en </w:t>
      </w:r>
      <w:r w:rsidR="00135DC7">
        <w:rPr>
          <w:rFonts w:ascii="Arial" w:hAnsi="Arial" w:cs="Arial"/>
          <w:sz w:val="20"/>
          <w:szCs w:val="20"/>
          <w:lang w:val="es-ES"/>
        </w:rPr>
        <w:t xml:space="preserve">ejercicio de </w:t>
      </w:r>
      <w:r w:rsidRPr="006C04B6">
        <w:rPr>
          <w:rFonts w:ascii="Arial" w:hAnsi="Arial" w:cs="Arial"/>
          <w:sz w:val="20"/>
          <w:szCs w:val="20"/>
          <w:lang w:val="es-ES"/>
        </w:rPr>
        <w:t xml:space="preserve">su autonomía y de considerarlo necesario, pueden liquidar </w:t>
      </w:r>
      <w:r w:rsidR="00135DC7">
        <w:rPr>
          <w:rFonts w:ascii="Arial" w:hAnsi="Arial" w:cs="Arial"/>
          <w:sz w:val="20"/>
          <w:szCs w:val="20"/>
          <w:lang w:val="es-ES"/>
        </w:rPr>
        <w:t>tales</w:t>
      </w:r>
      <w:r w:rsidRPr="006C04B6">
        <w:rPr>
          <w:rFonts w:ascii="Arial" w:hAnsi="Arial" w:cs="Arial"/>
          <w:sz w:val="20"/>
          <w:szCs w:val="20"/>
          <w:lang w:val="es-ES"/>
        </w:rPr>
        <w:t xml:space="preserve"> contrato</w:t>
      </w:r>
      <w:r w:rsidR="00135DC7">
        <w:rPr>
          <w:rFonts w:ascii="Arial" w:hAnsi="Arial" w:cs="Arial"/>
          <w:sz w:val="20"/>
          <w:szCs w:val="20"/>
          <w:lang w:val="es-ES"/>
        </w:rPr>
        <w:t>s</w:t>
      </w:r>
      <w:r w:rsidRPr="006C04B6">
        <w:rPr>
          <w:rFonts w:ascii="Arial" w:hAnsi="Arial" w:cs="Arial"/>
          <w:sz w:val="20"/>
          <w:szCs w:val="20"/>
          <w:lang w:val="es-ES"/>
        </w:rPr>
        <w:t>, ya que la norma los exceptúa, pero no lo prohíbe.</w:t>
      </w:r>
    </w:p>
    <w:p w:rsidR="006C04B6" w:rsidP="006C04B6" w:rsidRDefault="006C04B6" w14:paraId="083C5FCA" w14:textId="0F336F46">
      <w:pPr>
        <w:jc w:val="both"/>
        <w:rPr>
          <w:rFonts w:ascii="Arial" w:hAnsi="Arial" w:cs="Arial"/>
          <w:sz w:val="20"/>
          <w:szCs w:val="20"/>
          <w:lang w:val="es-ES"/>
        </w:rPr>
      </w:pPr>
    </w:p>
    <w:p w:rsidR="006C04B6" w:rsidP="006C04B6" w:rsidRDefault="006C04B6" w14:paraId="1731E4D6" w14:textId="28D871DB">
      <w:pPr>
        <w:jc w:val="both"/>
        <w:rPr>
          <w:rFonts w:ascii="Arial" w:hAnsi="Arial" w:cs="Arial"/>
          <w:b/>
          <w:bCs/>
          <w:sz w:val="22"/>
          <w:lang w:val="es-ES"/>
        </w:rPr>
      </w:pPr>
      <w:r>
        <w:rPr>
          <w:rFonts w:ascii="Arial" w:hAnsi="Arial" w:cs="Arial"/>
          <w:b/>
          <w:bCs/>
          <w:sz w:val="22"/>
          <w:lang w:val="es-ES"/>
        </w:rPr>
        <w:t>GARANTÍAS</w:t>
      </w:r>
      <w:r w:rsidRPr="006C04B6">
        <w:rPr>
          <w:rFonts w:ascii="Arial" w:hAnsi="Arial" w:cs="Arial"/>
          <w:b/>
          <w:bCs/>
          <w:sz w:val="22"/>
          <w:lang w:val="es-ES"/>
        </w:rPr>
        <w:t xml:space="preserve"> – Excepción – Contrato de prestación de servicios </w:t>
      </w:r>
    </w:p>
    <w:p w:rsidRPr="006C04B6" w:rsidR="002D57A3" w:rsidP="006C04B6" w:rsidRDefault="002D57A3" w14:paraId="1294BA0D" w14:textId="77777777">
      <w:pPr>
        <w:jc w:val="both"/>
        <w:rPr>
          <w:rFonts w:ascii="Arial" w:hAnsi="Arial" w:cs="Arial"/>
          <w:b/>
          <w:bCs/>
          <w:sz w:val="22"/>
          <w:lang w:val="es-ES"/>
        </w:rPr>
      </w:pPr>
    </w:p>
    <w:p w:rsidRPr="002D57A3" w:rsidR="002D57A3" w:rsidP="002D57A3" w:rsidRDefault="002D57A3" w14:paraId="0D041F10" w14:textId="77777777">
      <w:pPr>
        <w:jc w:val="both"/>
        <w:rPr>
          <w:rFonts w:ascii="Arial" w:hAnsi="Arial" w:cs="Arial"/>
          <w:sz w:val="20"/>
          <w:szCs w:val="20"/>
          <w:lang w:val="es-ES"/>
        </w:rPr>
      </w:pPr>
      <w:r w:rsidRPr="002D57A3">
        <w:rPr>
          <w:rFonts w:ascii="Arial" w:hAnsi="Arial" w:cs="Arial"/>
          <w:sz w:val="20"/>
          <w:szCs w:val="20"/>
          <w:lang w:val="es-ES"/>
        </w:rPr>
        <w:t xml:space="preserve">Por otra parte, el artículo 2.2.1.2.1.4.5. del Decreto 1082 de 2015 establece que «En la contratación directa la exigencia de garantías establecidas en la Sección 3, que comprende los artículos </w:t>
      </w:r>
      <w:r w:rsidRPr="002D57A3">
        <w:rPr>
          <w:rFonts w:ascii="Arial" w:hAnsi="Arial" w:cs="Arial"/>
          <w:sz w:val="20"/>
          <w:szCs w:val="20"/>
          <w:lang w:val="es-ES"/>
        </w:rPr>
        <w:lastRenderedPageBreak/>
        <w:t>2.2.1.2.3.1.1 al 2.2.1.2.3.5.1.del presente decreto no es obligatoria y la justificación para exigirlas o no debe estar en los estudios y documentos previos».</w:t>
      </w:r>
    </w:p>
    <w:p w:rsidR="002D57A3" w:rsidP="002D57A3" w:rsidRDefault="002D57A3" w14:paraId="2AD9BD6B" w14:textId="77777777">
      <w:pPr>
        <w:jc w:val="both"/>
        <w:rPr>
          <w:rFonts w:ascii="Arial" w:hAnsi="Arial" w:cs="Arial"/>
          <w:sz w:val="20"/>
          <w:szCs w:val="20"/>
          <w:lang w:val="es-ES"/>
        </w:rPr>
      </w:pPr>
    </w:p>
    <w:p w:rsidRPr="002D57A3" w:rsidR="002D57A3" w:rsidP="002D57A3" w:rsidRDefault="002D57A3" w14:paraId="72284DE6" w14:textId="038545F7">
      <w:pPr>
        <w:jc w:val="both"/>
        <w:rPr>
          <w:rFonts w:ascii="Arial" w:hAnsi="Arial" w:cs="Arial"/>
          <w:sz w:val="20"/>
          <w:szCs w:val="20"/>
          <w:lang w:val="es-ES"/>
        </w:rPr>
      </w:pPr>
      <w:r w:rsidRPr="002D57A3">
        <w:rPr>
          <w:rFonts w:ascii="Arial" w:hAnsi="Arial" w:cs="Arial"/>
          <w:sz w:val="20"/>
          <w:szCs w:val="20"/>
          <w:lang w:val="es-ES"/>
        </w:rPr>
        <w:t>Significa que no necesariamente los contratos de prestación de servicios profesionales y apoyo a la gestión deben contar con garantías. Por lo tanto, no siempre se da el supuesto para que sea obligatoria la constancia de cierre. Pero de acuerdo con la norma, la entidad puede justificar la exigencia de garantías en el estudio previo y si se exigen, puede darse el supuesto que señala la norma para la obligación de dejar constancia del cierre del expediente.</w:t>
      </w:r>
    </w:p>
    <w:p w:rsidRPr="00295D8A" w:rsidR="000720AC" w:rsidP="000720AC" w:rsidRDefault="000720AC" w14:paraId="1B5D1253" w14:textId="77777777">
      <w:pPr>
        <w:pStyle w:val="Textoindependiente"/>
        <w:ind w:left="181" w:right="108"/>
        <w:jc w:val="both"/>
      </w:pPr>
    </w:p>
    <w:p w:rsidRPr="002D57A3" w:rsidR="000720AC" w:rsidP="000720AC" w:rsidRDefault="000720AC" w14:paraId="5C94B51F" w14:textId="30E650CE">
      <w:pPr>
        <w:jc w:val="both"/>
        <w:rPr>
          <w:rFonts w:ascii="Arial" w:hAnsi="Arial" w:cs="Arial"/>
          <w:b/>
          <w:bCs/>
          <w:sz w:val="22"/>
          <w:lang w:val="es-ES"/>
        </w:rPr>
      </w:pPr>
      <w:r w:rsidRPr="002D57A3">
        <w:rPr>
          <w:rFonts w:ascii="Arial" w:hAnsi="Arial" w:cs="Arial"/>
          <w:b/>
          <w:bCs/>
          <w:sz w:val="22"/>
          <w:lang w:val="es-ES"/>
        </w:rPr>
        <w:t>EXPEDIENTE CONTRACTUAL – Cierre – Deber – Entidad estatal</w:t>
      </w:r>
      <w:r w:rsidRPr="002D57A3" w:rsidR="006C04B6">
        <w:rPr>
          <w:rFonts w:ascii="Arial" w:hAnsi="Arial" w:cs="Arial"/>
          <w:b/>
          <w:bCs/>
          <w:sz w:val="22"/>
          <w:lang w:val="es-ES"/>
        </w:rPr>
        <w:t xml:space="preserve"> – Contrato de prestación de servicios</w:t>
      </w:r>
    </w:p>
    <w:p w:rsidRPr="00295D8A" w:rsidR="000720AC" w:rsidP="000720AC" w:rsidRDefault="000720AC" w14:paraId="4FF53E3A" w14:textId="77777777">
      <w:pPr>
        <w:pStyle w:val="Textoindependiente"/>
        <w:ind w:left="181" w:right="108"/>
        <w:jc w:val="both"/>
      </w:pPr>
    </w:p>
    <w:p w:rsidRPr="00295D8A" w:rsidR="000720AC" w:rsidP="000720AC" w:rsidRDefault="002D57A3" w14:paraId="0E611A5B" w14:textId="58EBC962">
      <w:pPr>
        <w:jc w:val="both"/>
        <w:rPr>
          <w:rFonts w:ascii="Arial" w:hAnsi="Arial" w:cs="Arial"/>
          <w:sz w:val="20"/>
          <w:szCs w:val="20"/>
          <w:highlight w:val="yellow"/>
          <w:lang w:val="es-ES"/>
        </w:rPr>
      </w:pPr>
      <w:r w:rsidRPr="002D57A3">
        <w:rPr>
          <w:rFonts w:ascii="Arial" w:hAnsi="Arial" w:cs="Arial"/>
          <w:sz w:val="20"/>
          <w:szCs w:val="20"/>
          <w:lang w:val="es-ES"/>
        </w:rPr>
        <w:t>En ese sentido, respecto del cierre del expediente en los contratos de prestación de servicios, es un trámite posterior a la liquidación y depende de la existencia de garantías de calidad, estabilidad o mantenimiento</w:t>
      </w:r>
      <w:r w:rsidR="006A67F3">
        <w:rPr>
          <w:rFonts w:ascii="Arial" w:hAnsi="Arial" w:cs="Arial"/>
          <w:sz w:val="20"/>
          <w:szCs w:val="20"/>
          <w:lang w:val="es-ES"/>
        </w:rPr>
        <w:t>.</w:t>
      </w:r>
      <w:r w:rsidRPr="002D57A3">
        <w:rPr>
          <w:rFonts w:ascii="Arial" w:hAnsi="Arial" w:cs="Arial"/>
          <w:sz w:val="20"/>
          <w:szCs w:val="20"/>
          <w:lang w:val="es-ES"/>
        </w:rPr>
        <w:t xml:space="preserve"> </w:t>
      </w:r>
      <w:r w:rsidR="006A67F3">
        <w:rPr>
          <w:rFonts w:ascii="Arial" w:hAnsi="Arial" w:cs="Arial"/>
          <w:sz w:val="20"/>
          <w:szCs w:val="20"/>
          <w:lang w:val="es-ES"/>
        </w:rPr>
        <w:t>S</w:t>
      </w:r>
      <w:r w:rsidRPr="002D57A3">
        <w:rPr>
          <w:rFonts w:ascii="Arial" w:hAnsi="Arial" w:cs="Arial"/>
          <w:sz w:val="20"/>
          <w:szCs w:val="20"/>
          <w:lang w:val="es-ES"/>
        </w:rPr>
        <w:t>in embargo</w:t>
      </w:r>
      <w:r w:rsidR="006A67F3">
        <w:rPr>
          <w:rFonts w:ascii="Arial" w:hAnsi="Arial" w:cs="Arial"/>
          <w:sz w:val="20"/>
          <w:szCs w:val="20"/>
          <w:lang w:val="es-ES"/>
        </w:rPr>
        <w:t>,</w:t>
      </w:r>
      <w:r w:rsidRPr="002D57A3">
        <w:rPr>
          <w:rFonts w:ascii="Arial" w:hAnsi="Arial" w:cs="Arial"/>
          <w:sz w:val="20"/>
          <w:szCs w:val="20"/>
          <w:lang w:val="es-ES"/>
        </w:rPr>
        <w:t xml:space="preserve"> las garantías no son obligatorias en este tipo de contrato y la entidad debe justificar su exigencia en el estudio previo. Por ende, si la entidad exige garantías</w:t>
      </w:r>
      <w:r w:rsidR="00D94FAE">
        <w:rPr>
          <w:rFonts w:ascii="Arial" w:hAnsi="Arial" w:cs="Arial"/>
          <w:sz w:val="20"/>
          <w:szCs w:val="20"/>
          <w:lang w:val="es-ES"/>
        </w:rPr>
        <w:t xml:space="preserve"> de calidad</w:t>
      </w:r>
      <w:r w:rsidRPr="002D57A3">
        <w:rPr>
          <w:rFonts w:ascii="Arial" w:hAnsi="Arial" w:cs="Arial"/>
          <w:sz w:val="20"/>
          <w:szCs w:val="20"/>
          <w:lang w:val="es-ES"/>
        </w:rPr>
        <w:t>, el cierre del expediente será obligatorio en este tipo de contrato. Por otra parte, a pesar de no ser obligatoria la liquidación del contrato de prestación de servicios, la entidad puede decidir de manera autónoma y como responsable de su actividad contractual, liquidar el contrato, pero esto no es un supuesto que haga obligatoria la realización del cierre del expediente de acuerdo con el artículo 2.2.1.1.2.4.3. del Decreto 1082 de 2015.</w:t>
      </w:r>
    </w:p>
    <w:p w:rsidRPr="00295D8A" w:rsidR="00597B94" w:rsidP="00C46F19" w:rsidRDefault="00597B94" w14:paraId="1C23EB2F" w14:textId="219BFDB9">
      <w:pPr>
        <w:pStyle w:val="Default"/>
        <w:rPr>
          <w:color w:val="auto"/>
        </w:rPr>
      </w:pPr>
    </w:p>
    <w:p w:rsidRPr="00295D8A" w:rsidR="000720AC" w:rsidP="00C46F19" w:rsidRDefault="000720AC" w14:paraId="786169C3" w14:textId="77777777">
      <w:pPr>
        <w:pStyle w:val="Default"/>
        <w:rPr>
          <w:color w:val="auto"/>
        </w:rPr>
      </w:pPr>
    </w:p>
    <w:p w:rsidRPr="00295D8A" w:rsidR="00C90033" w:rsidP="73627830" w:rsidRDefault="00C90033" w14:paraId="734692E5" w14:textId="2FDBFC03">
      <w:pPr>
        <w:spacing w:line="276" w:lineRule="auto"/>
        <w:rPr>
          <w:rFonts w:ascii="Arial" w:hAnsi="Arial" w:cs="Arial"/>
          <w:b w:val="1"/>
          <w:bCs w:val="1"/>
          <w:sz w:val="22"/>
          <w:szCs w:val="22"/>
          <w:lang w:val="es-CO"/>
        </w:rPr>
      </w:pPr>
      <w:r w:rsidRPr="73627830" w:rsidR="00C90033">
        <w:rPr>
          <w:rFonts w:ascii="Arial" w:hAnsi="Arial" w:cs="Arial"/>
          <w:sz w:val="22"/>
          <w:szCs w:val="22"/>
        </w:rPr>
        <w:t xml:space="preserve">Bogotá D.C., </w:t>
      </w:r>
      <w:r w:rsidRPr="73627830" w:rsidR="1322E657">
        <w:rPr>
          <w:rFonts w:ascii="Arial" w:hAnsi="Arial" w:cs="Arial"/>
          <w:b w:val="1"/>
          <w:bCs w:val="1"/>
          <w:sz w:val="22"/>
          <w:szCs w:val="22"/>
        </w:rPr>
        <w:t>16/12/2020</w:t>
      </w:r>
    </w:p>
    <w:p w:rsidRPr="00295D8A" w:rsidR="00A457BC" w:rsidP="73627830" w:rsidRDefault="00C90033" w14:paraId="78398E7C" w14:textId="1F5C9D80">
      <w:pPr>
        <w:pStyle w:val="Normal"/>
        <w:bidi w:val="0"/>
        <w:spacing w:before="0" w:beforeAutospacing="off" w:after="0" w:afterAutospacing="off" w:line="240" w:lineRule="auto"/>
        <w:ind w:left="0" w:right="0"/>
        <w:jc w:val="right"/>
        <w:rPr>
          <w:rFonts w:ascii="Arial" w:hAnsi="Arial" w:cs="Arial"/>
          <w:b w:val="1"/>
          <w:bCs w:val="1"/>
          <w:sz w:val="22"/>
          <w:szCs w:val="22"/>
        </w:rPr>
      </w:pPr>
      <w:proofErr w:type="spellStart"/>
      <w:r w:rsidRPr="73627830" w:rsidR="00C90033">
        <w:rPr>
          <w:rFonts w:ascii="Arial" w:hAnsi="Arial" w:cs="Arial"/>
          <w:b w:val="1"/>
          <w:bCs w:val="1"/>
          <w:sz w:val="22"/>
          <w:szCs w:val="22"/>
        </w:rPr>
        <w:t>N°</w:t>
      </w:r>
      <w:proofErr w:type="spellEnd"/>
      <w:r w:rsidRPr="73627830" w:rsidR="00C90033">
        <w:rPr>
          <w:rFonts w:ascii="Arial" w:hAnsi="Arial" w:cs="Arial"/>
          <w:b w:val="1"/>
          <w:bCs w:val="1"/>
          <w:sz w:val="22"/>
          <w:szCs w:val="22"/>
        </w:rPr>
        <w:t xml:space="preserve"> Radicado:</w:t>
      </w:r>
      <w:r w:rsidRPr="73627830" w:rsidR="00C90033">
        <w:rPr>
          <w:rFonts w:ascii="Arial" w:hAnsi="Arial" w:eastAsia="Calibri" w:cs="Arial"/>
          <w:b w:val="1"/>
          <w:bCs w:val="1"/>
          <w:sz w:val="22"/>
          <w:szCs w:val="22"/>
        </w:rPr>
        <w:t xml:space="preserve"> </w:t>
      </w:r>
      <w:hyperlink r:id="R686bd1108b0246a9">
        <w:r w:rsidRPr="73627830" w:rsidR="5C7C1796">
          <w:rPr>
            <w:rFonts w:ascii="Arial" w:hAnsi="Arial" w:eastAsia="Calibri" w:cs="Arial"/>
            <w:b w:val="1"/>
            <w:bCs w:val="1"/>
            <w:noProof w:val="0"/>
            <w:sz w:val="22"/>
            <w:szCs w:val="22"/>
            <w:lang w:val="es-MX"/>
          </w:rPr>
          <w:t>2202013000012026</w:t>
        </w:r>
      </w:hyperlink>
    </w:p>
    <w:p w:rsidRPr="00295D8A" w:rsidR="000920F0" w:rsidP="00F106B5" w:rsidRDefault="000920F0" w14:paraId="06C9ADFA" w14:textId="7867A51C">
      <w:pPr>
        <w:tabs>
          <w:tab w:val="left" w:pos="3374"/>
        </w:tabs>
        <w:spacing w:line="276" w:lineRule="auto"/>
        <w:rPr>
          <w:rFonts w:ascii="Arial" w:hAnsi="Arial" w:cs="Arial"/>
          <w:noProof/>
          <w:sz w:val="22"/>
          <w:lang w:val="es-ES_tradnl"/>
        </w:rPr>
      </w:pPr>
    </w:p>
    <w:p w:rsidRPr="00295D8A" w:rsidR="00597B94" w:rsidP="00F106B5" w:rsidRDefault="00597B94" w14:paraId="55FA24EE" w14:textId="77777777">
      <w:pPr>
        <w:tabs>
          <w:tab w:val="left" w:pos="3374"/>
        </w:tabs>
        <w:spacing w:line="276" w:lineRule="auto"/>
        <w:rPr>
          <w:rFonts w:ascii="Arial" w:hAnsi="Arial" w:cs="Arial"/>
          <w:noProof/>
          <w:sz w:val="22"/>
          <w:lang w:val="es-ES_tradnl"/>
        </w:rPr>
      </w:pPr>
    </w:p>
    <w:p w:rsidRPr="00295D8A" w:rsidR="00C15D32" w:rsidP="00875A80" w:rsidRDefault="00C15D32" w14:paraId="5655AC15" w14:textId="4A5EED71">
      <w:pPr>
        <w:rPr>
          <w:rFonts w:ascii="Arial" w:hAnsi="Arial" w:cs="Arial"/>
          <w:bCs/>
          <w:noProof/>
          <w:sz w:val="22"/>
          <w:lang w:val="es-ES_tradnl"/>
        </w:rPr>
      </w:pPr>
      <w:r w:rsidRPr="00295D8A">
        <w:rPr>
          <w:rFonts w:ascii="Arial" w:hAnsi="Arial" w:cs="Arial"/>
          <w:bCs/>
          <w:noProof/>
          <w:sz w:val="22"/>
          <w:lang w:val="es-ES_tradnl"/>
        </w:rPr>
        <w:t>Señor</w:t>
      </w:r>
      <w:r w:rsidRPr="00295D8A" w:rsidR="00DE6469">
        <w:rPr>
          <w:rFonts w:ascii="Arial" w:hAnsi="Arial" w:cs="Arial"/>
          <w:bCs/>
          <w:noProof/>
          <w:sz w:val="22"/>
          <w:lang w:val="es-ES_tradnl"/>
        </w:rPr>
        <w:t>a</w:t>
      </w:r>
    </w:p>
    <w:p w:rsidRPr="00295D8A" w:rsidR="00A457BC" w:rsidP="00875A80" w:rsidRDefault="00DE6469" w14:paraId="53A242A5" w14:textId="3F8A6102">
      <w:pPr>
        <w:rPr>
          <w:rFonts w:ascii="Arial" w:hAnsi="Arial" w:cs="Arial"/>
          <w:b/>
          <w:noProof/>
          <w:sz w:val="22"/>
          <w:lang w:val="es-ES_tradnl"/>
        </w:rPr>
      </w:pPr>
      <w:r w:rsidRPr="00295D8A">
        <w:rPr>
          <w:rFonts w:ascii="Arial" w:hAnsi="Arial" w:cs="Arial"/>
          <w:b/>
          <w:noProof/>
          <w:sz w:val="22"/>
          <w:lang w:val="es-ES_tradnl"/>
        </w:rPr>
        <w:t>Paola Torres</w:t>
      </w:r>
    </w:p>
    <w:p w:rsidRPr="00295D8A" w:rsidR="000920F0" w:rsidP="00875A80" w:rsidRDefault="00DE6469" w14:paraId="188163AF" w14:textId="51B72AA3">
      <w:pPr>
        <w:rPr>
          <w:rFonts w:ascii="Arial" w:hAnsi="Arial" w:cs="Arial"/>
          <w:noProof/>
          <w:sz w:val="22"/>
          <w:lang w:val="es-ES_tradnl"/>
        </w:rPr>
      </w:pPr>
      <w:r w:rsidRPr="00295D8A">
        <w:rPr>
          <w:rFonts w:ascii="Arial" w:hAnsi="Arial" w:cs="Arial"/>
          <w:noProof/>
          <w:sz w:val="22"/>
          <w:lang w:val="es-ES_tradnl"/>
        </w:rPr>
        <w:t>Ciudad</w:t>
      </w:r>
    </w:p>
    <w:p w:rsidRPr="00295D8A" w:rsidR="00597B94" w:rsidP="00597B94" w:rsidRDefault="00597B94" w14:paraId="200CDA3A" w14:textId="281CB45F">
      <w:pPr>
        <w:rPr>
          <w:rFonts w:ascii="Arial" w:hAnsi="Arial" w:cs="Arial"/>
          <w:noProof/>
          <w:sz w:val="22"/>
          <w:lang w:val="es-ES_tradnl"/>
        </w:rPr>
      </w:pPr>
    </w:p>
    <w:p w:rsidRPr="00295D8A" w:rsidR="00597B94" w:rsidP="00597B94" w:rsidRDefault="00597B94" w14:paraId="7040570F" w14:textId="77777777">
      <w:pPr>
        <w:rPr>
          <w:rFonts w:ascii="Arial" w:hAnsi="Arial" w:cs="Arial"/>
          <w:noProof/>
          <w:sz w:val="22"/>
          <w:lang w:val="es-ES_tradnl"/>
        </w:rPr>
      </w:pPr>
    </w:p>
    <w:p w:rsidRPr="00295D8A" w:rsidR="000920F0" w:rsidP="00A33107" w:rsidRDefault="00597B94" w14:paraId="36D9E2A1" w14:textId="30EDD914">
      <w:pPr>
        <w:rPr>
          <w:rFonts w:ascii="Arial" w:hAnsi="Arial" w:cs="Arial"/>
          <w:b/>
          <w:noProof/>
          <w:sz w:val="22"/>
          <w:lang w:val="es-ES_tradnl"/>
        </w:rPr>
      </w:pPr>
      <w:r w:rsidRPr="00295D8A">
        <w:rPr>
          <w:rFonts w:ascii="Arial" w:hAnsi="Arial" w:cs="Arial"/>
          <w:b/>
          <w:noProof/>
          <w:sz w:val="22"/>
          <w:lang w:val="es-ES_tradnl"/>
        </w:rPr>
        <w:t xml:space="preserve">                                            </w:t>
      </w:r>
      <w:r w:rsidRPr="00295D8A" w:rsidR="000920F0">
        <w:rPr>
          <w:rFonts w:ascii="Arial" w:hAnsi="Arial" w:cs="Arial"/>
          <w:b/>
          <w:noProof/>
          <w:sz w:val="22"/>
          <w:lang w:val="es-ES_tradnl"/>
        </w:rPr>
        <w:t xml:space="preserve">Concepto C </w:t>
      </w:r>
      <w:r w:rsidRPr="00295D8A" w:rsidR="007F6877">
        <w:rPr>
          <w:rFonts w:ascii="Arial" w:hAnsi="Arial" w:cs="Arial"/>
          <w:b/>
          <w:noProof/>
          <w:sz w:val="22"/>
          <w:lang w:val="es-ES_tradnl"/>
        </w:rPr>
        <w:t>–</w:t>
      </w:r>
      <w:r w:rsidRPr="00295D8A" w:rsidR="000920F0">
        <w:rPr>
          <w:rFonts w:ascii="Arial" w:hAnsi="Arial" w:cs="Arial"/>
          <w:b/>
          <w:noProof/>
          <w:sz w:val="22"/>
          <w:lang w:val="es-ES_tradnl"/>
        </w:rPr>
        <w:t xml:space="preserve"> </w:t>
      </w:r>
      <w:r w:rsidRPr="00295D8A" w:rsidR="0078331C">
        <w:rPr>
          <w:rFonts w:ascii="Arial" w:hAnsi="Arial" w:cs="Arial"/>
          <w:b/>
          <w:noProof/>
          <w:sz w:val="22"/>
          <w:lang w:val="es-ES_tradnl"/>
        </w:rPr>
        <w:t>739</w:t>
      </w:r>
      <w:r w:rsidRPr="00295D8A" w:rsidR="00D27700">
        <w:rPr>
          <w:rFonts w:ascii="Arial" w:hAnsi="Arial" w:cs="Arial"/>
          <w:b/>
          <w:noProof/>
          <w:sz w:val="22"/>
          <w:lang w:val="es-ES_tradnl"/>
        </w:rPr>
        <w:t xml:space="preserve"> </w:t>
      </w:r>
      <w:r w:rsidRPr="00295D8A" w:rsidR="000920F0">
        <w:rPr>
          <w:rFonts w:ascii="Arial" w:hAnsi="Arial" w:cs="Arial"/>
          <w:b/>
          <w:noProof/>
          <w:sz w:val="22"/>
          <w:lang w:val="es-ES_tradnl"/>
        </w:rPr>
        <w:t>de 2020</w:t>
      </w:r>
    </w:p>
    <w:p w:rsidRPr="00295D8A" w:rsidR="000920F0" w:rsidP="00875A80" w:rsidRDefault="000920F0" w14:paraId="5FD7FADA" w14:textId="77777777">
      <w:pPr>
        <w:rPr>
          <w:rFonts w:ascii="Arial" w:hAnsi="Arial" w:cs="Arial"/>
          <w:noProof/>
          <w:sz w:val="22"/>
          <w:lang w:val="es-ES_tradnl"/>
        </w:rPr>
      </w:pPr>
    </w:p>
    <w:tbl>
      <w:tblPr>
        <w:tblStyle w:val="Tablaconcuadrcula"/>
        <w:tblW w:w="892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2689"/>
        <w:gridCol w:w="6237"/>
      </w:tblGrid>
      <w:tr w:rsidRPr="00295D8A" w:rsidR="00295D8A" w:rsidTr="0041420E" w14:paraId="16CF89C4" w14:textId="77777777">
        <w:trPr>
          <w:trHeight w:val="591"/>
        </w:trPr>
        <w:tc>
          <w:tcPr>
            <w:tcW w:w="2689" w:type="dxa"/>
            <w:hideMark/>
          </w:tcPr>
          <w:p w:rsidRPr="00295D8A" w:rsidR="000920F0" w:rsidP="0041420E" w:rsidRDefault="000920F0" w14:paraId="76A5E400" w14:textId="4F5E41B5">
            <w:pPr>
              <w:rPr>
                <w:rFonts w:ascii="Arial" w:hAnsi="Arial" w:cs="Arial"/>
                <w:noProof/>
                <w:sz w:val="22"/>
                <w:lang w:val="es-ES_tradnl"/>
              </w:rPr>
            </w:pPr>
            <w:r w:rsidRPr="00295D8A">
              <w:rPr>
                <w:rFonts w:ascii="Arial" w:hAnsi="Arial" w:cs="Arial"/>
                <w:b/>
                <w:noProof/>
                <w:sz w:val="22"/>
                <w:lang w:val="es-ES_tradnl"/>
              </w:rPr>
              <w:t>Temas:</w:t>
            </w:r>
            <w:r w:rsidRPr="00295D8A">
              <w:rPr>
                <w:rFonts w:ascii="Arial" w:hAnsi="Arial" w:cs="Arial"/>
                <w:noProof/>
                <w:sz w:val="22"/>
                <w:lang w:val="es-ES_tradnl"/>
              </w:rPr>
              <w:t xml:space="preserve">        </w:t>
            </w:r>
          </w:p>
        </w:tc>
        <w:tc>
          <w:tcPr>
            <w:tcW w:w="6237" w:type="dxa"/>
            <w:hideMark/>
          </w:tcPr>
          <w:p w:rsidRPr="00295D8A" w:rsidR="000920F0" w:rsidP="00A33107" w:rsidRDefault="000732C7" w14:paraId="5528BC60" w14:textId="68A426BD">
            <w:pPr>
              <w:pStyle w:val="Prrafodelista"/>
              <w:spacing w:after="120"/>
              <w:ind w:left="0"/>
              <w:jc w:val="both"/>
              <w:rPr>
                <w:rFonts w:ascii="Arial" w:hAnsi="Arial" w:cs="Arial"/>
                <w:b/>
                <w:bCs/>
                <w:noProof/>
                <w:sz w:val="22"/>
                <w:highlight w:val="yellow"/>
                <w:lang w:val="es-ES_tradnl"/>
              </w:rPr>
            </w:pPr>
            <w:r w:rsidRPr="002D57A3">
              <w:rPr>
                <w:rFonts w:ascii="Arial" w:hAnsi="Arial" w:cs="Arial"/>
                <w:noProof/>
                <w:sz w:val="22"/>
                <w:lang w:val="es-ES_tradnl"/>
              </w:rPr>
              <w:t>CONTRATO DE PRESTACIÓN DE SERVICIOS – Concepto – Requisitos – Límites – Celebración</w:t>
            </w:r>
            <w:r w:rsidRPr="002D57A3" w:rsidR="006C04B6">
              <w:rPr>
                <w:rFonts w:ascii="Arial" w:hAnsi="Arial" w:cs="Arial"/>
                <w:noProof/>
                <w:sz w:val="22"/>
                <w:lang w:val="es-ES_tradnl"/>
              </w:rPr>
              <w:t xml:space="preserve"> / LIQUIDACIÓN DEL CONTRATO – Noción / LIQUIDACIÓN DEL CONTRATO – Excepción – Contrato de prestación de servicios / </w:t>
            </w:r>
            <w:r w:rsidRPr="002D57A3" w:rsidR="002D57A3">
              <w:rPr>
                <w:rFonts w:ascii="Arial" w:hAnsi="Arial" w:cs="Arial"/>
                <w:noProof/>
                <w:sz w:val="22"/>
                <w:lang w:val="es-ES_tradnl"/>
              </w:rPr>
              <w:t>GARANTÍAS – Excepción – Contrato de prestación de servicios /</w:t>
            </w:r>
            <w:r w:rsidR="002D57A3">
              <w:rPr>
                <w:rFonts w:ascii="Arial" w:hAnsi="Arial" w:cs="Arial"/>
                <w:noProof/>
                <w:sz w:val="22"/>
                <w:lang w:val="es-ES_tradnl"/>
              </w:rPr>
              <w:t xml:space="preserve"> </w:t>
            </w:r>
            <w:r w:rsidRPr="00CD7776" w:rsidR="00CD7776">
              <w:rPr>
                <w:rFonts w:ascii="Arial" w:hAnsi="Arial" w:cs="Arial"/>
                <w:noProof/>
                <w:sz w:val="22"/>
                <w:lang w:val="es-ES_tradnl"/>
              </w:rPr>
              <w:t>EXPEDIENTE CONTRACTUAL – Cierre – Deber – Entidad estatal – Contrato de prestación de servicios</w:t>
            </w:r>
          </w:p>
        </w:tc>
      </w:tr>
      <w:tr w:rsidRPr="00295D8A" w:rsidR="00295D8A" w:rsidTr="0041420E" w14:paraId="5C0B4203" w14:textId="77777777">
        <w:tc>
          <w:tcPr>
            <w:tcW w:w="2689" w:type="dxa"/>
          </w:tcPr>
          <w:p w:rsidRPr="00295D8A" w:rsidR="000920F0" w:rsidP="0041420E" w:rsidRDefault="000920F0" w14:paraId="32E4E458" w14:textId="77777777">
            <w:pPr>
              <w:rPr>
                <w:rFonts w:ascii="Arial" w:hAnsi="Arial" w:cs="Arial"/>
                <w:b/>
                <w:noProof/>
                <w:sz w:val="22"/>
                <w:lang w:val="es-ES_tradnl"/>
              </w:rPr>
            </w:pPr>
            <w:r w:rsidRPr="00295D8A">
              <w:rPr>
                <w:rFonts w:ascii="Arial" w:hAnsi="Arial" w:cs="Arial"/>
                <w:b/>
                <w:noProof/>
                <w:sz w:val="22"/>
                <w:lang w:val="es-ES_tradnl"/>
              </w:rPr>
              <w:t>Radicación:</w:t>
            </w:r>
            <w:r w:rsidRPr="00295D8A">
              <w:rPr>
                <w:rFonts w:ascii="Arial" w:hAnsi="Arial" w:cs="Arial"/>
                <w:noProof/>
                <w:sz w:val="22"/>
                <w:lang w:val="es-ES_tradnl"/>
              </w:rPr>
              <w:t xml:space="preserve">                              </w:t>
            </w:r>
          </w:p>
        </w:tc>
        <w:tc>
          <w:tcPr>
            <w:tcW w:w="6237" w:type="dxa"/>
          </w:tcPr>
          <w:p w:rsidRPr="00295D8A" w:rsidR="000920F0" w:rsidP="0041420E" w:rsidRDefault="000920F0" w14:paraId="1218CA08" w14:textId="4E937779">
            <w:pPr>
              <w:jc w:val="both"/>
              <w:rPr>
                <w:rFonts w:ascii="Arial" w:hAnsi="Arial" w:cs="Arial"/>
                <w:noProof/>
                <w:sz w:val="22"/>
                <w:lang w:val="es-ES_tradnl"/>
              </w:rPr>
            </w:pPr>
            <w:r w:rsidRPr="00295D8A">
              <w:rPr>
                <w:rFonts w:ascii="Arial" w:hAnsi="Arial" w:cs="Arial"/>
                <w:noProof/>
                <w:sz w:val="22"/>
                <w:lang w:val="es-ES_tradnl"/>
              </w:rPr>
              <w:t>Respuesta a consulta</w:t>
            </w:r>
            <w:r w:rsidRPr="00295D8A" w:rsidR="00EC35C7">
              <w:rPr>
                <w:rFonts w:ascii="Arial" w:hAnsi="Arial" w:cs="Arial"/>
                <w:noProof/>
                <w:sz w:val="22"/>
                <w:lang w:val="es-ES_tradnl"/>
              </w:rPr>
              <w:t xml:space="preserve"> </w:t>
            </w:r>
            <w:r w:rsidRPr="00295D8A">
              <w:rPr>
                <w:rFonts w:ascii="Arial" w:hAnsi="Arial" w:cs="Arial"/>
                <w:noProof/>
                <w:sz w:val="22"/>
                <w:lang w:val="es-ES_tradnl"/>
              </w:rPr>
              <w:t xml:space="preserve"># </w:t>
            </w:r>
            <w:r w:rsidRPr="00295D8A" w:rsidR="00914791">
              <w:rPr>
                <w:rFonts w:ascii="Arial" w:hAnsi="Arial" w:cs="Arial"/>
                <w:noProof/>
                <w:sz w:val="22"/>
                <w:lang w:val="es-ES_tradnl"/>
              </w:rPr>
              <w:t>42020130000</w:t>
            </w:r>
            <w:r w:rsidRPr="00295D8A" w:rsidR="0078331C">
              <w:rPr>
                <w:rFonts w:ascii="Arial" w:hAnsi="Arial" w:cs="Arial"/>
                <w:noProof/>
                <w:sz w:val="22"/>
                <w:lang w:val="es-ES_tradnl"/>
              </w:rPr>
              <w:t>10040</w:t>
            </w:r>
          </w:p>
        </w:tc>
      </w:tr>
    </w:tbl>
    <w:p w:rsidRPr="00295D8A" w:rsidR="000920F0" w:rsidP="00875A80" w:rsidRDefault="000920F0" w14:paraId="36F05444" w14:textId="77777777">
      <w:pPr>
        <w:jc w:val="both"/>
        <w:rPr>
          <w:rFonts w:ascii="Arial" w:hAnsi="Arial" w:cs="Arial"/>
          <w:noProof/>
          <w:sz w:val="22"/>
          <w:lang w:val="es-ES_tradnl"/>
        </w:rPr>
      </w:pPr>
    </w:p>
    <w:p w:rsidRPr="00295D8A" w:rsidR="000920F0" w:rsidP="00875A80" w:rsidRDefault="000920F0" w14:paraId="3CDD931D" w14:textId="77777777">
      <w:pPr>
        <w:rPr>
          <w:rFonts w:ascii="Arial" w:hAnsi="Arial" w:cs="Arial"/>
          <w:noProof/>
          <w:sz w:val="22"/>
          <w:lang w:val="es-ES_tradnl"/>
        </w:rPr>
      </w:pPr>
    </w:p>
    <w:p w:rsidRPr="00295D8A" w:rsidR="000920F0" w:rsidP="00875A80" w:rsidRDefault="00C15D32" w14:paraId="1B619448" w14:textId="5B43A315">
      <w:pPr>
        <w:rPr>
          <w:rFonts w:ascii="Arial" w:hAnsi="Arial" w:cs="Arial"/>
          <w:noProof/>
          <w:sz w:val="22"/>
          <w:lang w:val="es-ES_tradnl"/>
        </w:rPr>
      </w:pPr>
      <w:r w:rsidRPr="00295D8A">
        <w:rPr>
          <w:rFonts w:ascii="Arial" w:hAnsi="Arial" w:cs="Arial"/>
          <w:noProof/>
          <w:sz w:val="22"/>
          <w:lang w:val="es-ES_tradnl"/>
        </w:rPr>
        <w:t>Estimad</w:t>
      </w:r>
      <w:r w:rsidRPr="00295D8A" w:rsidR="00DE6469">
        <w:rPr>
          <w:rFonts w:ascii="Arial" w:hAnsi="Arial" w:cs="Arial"/>
          <w:noProof/>
          <w:sz w:val="22"/>
          <w:lang w:val="es-ES_tradnl"/>
        </w:rPr>
        <w:t>a</w:t>
      </w:r>
      <w:r w:rsidRPr="00295D8A">
        <w:rPr>
          <w:rFonts w:ascii="Arial" w:hAnsi="Arial" w:cs="Arial"/>
          <w:noProof/>
          <w:sz w:val="22"/>
          <w:lang w:val="es-ES_tradnl"/>
        </w:rPr>
        <w:t xml:space="preserve"> </w:t>
      </w:r>
      <w:r w:rsidRPr="00295D8A" w:rsidR="005A2B7F">
        <w:rPr>
          <w:rFonts w:ascii="Arial" w:hAnsi="Arial" w:cs="Arial"/>
          <w:noProof/>
          <w:sz w:val="22"/>
          <w:lang w:val="es-ES_tradnl"/>
        </w:rPr>
        <w:t>señor</w:t>
      </w:r>
      <w:r w:rsidRPr="00295D8A" w:rsidR="00DE6469">
        <w:rPr>
          <w:rFonts w:ascii="Arial" w:hAnsi="Arial" w:cs="Arial"/>
          <w:noProof/>
          <w:sz w:val="22"/>
          <w:lang w:val="es-ES_tradnl"/>
        </w:rPr>
        <w:t>a</w:t>
      </w:r>
      <w:r w:rsidRPr="00295D8A" w:rsidR="005A2B7F">
        <w:rPr>
          <w:rFonts w:ascii="Arial" w:hAnsi="Arial" w:cs="Arial"/>
          <w:noProof/>
          <w:sz w:val="22"/>
          <w:lang w:val="es-ES_tradnl"/>
        </w:rPr>
        <w:t xml:space="preserve"> </w:t>
      </w:r>
      <w:r w:rsidRPr="00295D8A" w:rsidR="00DE6469">
        <w:rPr>
          <w:rFonts w:ascii="Arial" w:hAnsi="Arial" w:cs="Arial"/>
          <w:noProof/>
          <w:sz w:val="22"/>
          <w:lang w:val="es-ES_tradnl"/>
        </w:rPr>
        <w:t>Torres</w:t>
      </w:r>
      <w:r w:rsidRPr="00295D8A">
        <w:rPr>
          <w:rFonts w:ascii="Arial" w:hAnsi="Arial" w:cs="Arial"/>
          <w:noProof/>
          <w:sz w:val="22"/>
          <w:lang w:val="es-ES_tradnl"/>
        </w:rPr>
        <w:t>,</w:t>
      </w:r>
    </w:p>
    <w:p w:rsidRPr="00295D8A" w:rsidR="000920F0" w:rsidP="00F106B5" w:rsidRDefault="000920F0" w14:paraId="09825258" w14:textId="77777777">
      <w:pPr>
        <w:spacing w:line="276" w:lineRule="auto"/>
        <w:rPr>
          <w:rFonts w:ascii="Arial" w:hAnsi="Arial" w:cs="Arial"/>
          <w:noProof/>
          <w:sz w:val="22"/>
          <w:lang w:val="es-ES_tradnl"/>
        </w:rPr>
      </w:pPr>
    </w:p>
    <w:p w:rsidRPr="00295D8A" w:rsidR="004B7D75" w:rsidP="004B7D75" w:rsidRDefault="004B7D75" w14:paraId="1941402D" w14:textId="5D1CB6CF">
      <w:pPr>
        <w:spacing w:line="276" w:lineRule="auto"/>
        <w:jc w:val="both"/>
        <w:rPr>
          <w:rFonts w:ascii="Arial" w:hAnsi="Arial" w:cs="Arial"/>
          <w:sz w:val="22"/>
        </w:rPr>
      </w:pPr>
      <w:r w:rsidRPr="00295D8A">
        <w:rPr>
          <w:rFonts w:ascii="Arial" w:hAnsi="Arial" w:cs="Arial"/>
          <w:sz w:val="22"/>
        </w:rPr>
        <w:lastRenderedPageBreak/>
        <w:t xml:space="preserve">En ejercicio de la competencia otorgada por el numeral 8 del artículo 11 y el numeral 5 del artículo 3 del Decreto Ley 4170 de 2011, la Agencia Nacional de Contratación Pública ― Colombia Compra Eficiente responde su consulta del </w:t>
      </w:r>
      <w:r w:rsidRPr="00295D8A" w:rsidR="004F4E70">
        <w:rPr>
          <w:rFonts w:ascii="Arial" w:hAnsi="Arial" w:cs="Arial"/>
          <w:sz w:val="22"/>
        </w:rPr>
        <w:t>4</w:t>
      </w:r>
      <w:r w:rsidRPr="00295D8A">
        <w:rPr>
          <w:rFonts w:ascii="Arial" w:hAnsi="Arial" w:cs="Arial"/>
          <w:sz w:val="22"/>
        </w:rPr>
        <w:t xml:space="preserve"> de </w:t>
      </w:r>
      <w:r w:rsidRPr="00295D8A" w:rsidR="004F4E70">
        <w:rPr>
          <w:rFonts w:ascii="Arial" w:hAnsi="Arial" w:cs="Arial"/>
          <w:sz w:val="22"/>
        </w:rPr>
        <w:t>noviembre</w:t>
      </w:r>
      <w:r w:rsidRPr="00295D8A">
        <w:rPr>
          <w:rFonts w:ascii="Arial" w:hAnsi="Arial" w:cs="Arial"/>
          <w:sz w:val="22"/>
        </w:rPr>
        <w:t xml:space="preserve"> del año 2020. </w:t>
      </w:r>
    </w:p>
    <w:p w:rsidRPr="00295D8A" w:rsidR="000920F0" w:rsidP="00F106B5" w:rsidRDefault="000920F0" w14:paraId="28C2ECB0" w14:textId="77777777">
      <w:pPr>
        <w:tabs>
          <w:tab w:val="left" w:pos="426"/>
        </w:tabs>
        <w:spacing w:line="276" w:lineRule="auto"/>
        <w:jc w:val="both"/>
        <w:rPr>
          <w:rFonts w:ascii="Arial" w:hAnsi="Arial" w:cs="Arial"/>
          <w:noProof/>
          <w:sz w:val="22"/>
          <w:lang w:val="es-ES_tradnl"/>
        </w:rPr>
      </w:pPr>
    </w:p>
    <w:p w:rsidRPr="00295D8A" w:rsidR="000920F0" w:rsidP="00F106B5" w:rsidRDefault="00317242" w14:paraId="58FEF0FB" w14:textId="47041351">
      <w:pPr>
        <w:pStyle w:val="Prrafodelista"/>
        <w:tabs>
          <w:tab w:val="left" w:pos="284"/>
        </w:tabs>
        <w:spacing w:line="276" w:lineRule="auto"/>
        <w:ind w:left="0"/>
        <w:jc w:val="both"/>
        <w:rPr>
          <w:rFonts w:ascii="Arial" w:hAnsi="Arial" w:eastAsia="Calibri" w:cs="Arial"/>
          <w:b/>
          <w:noProof/>
          <w:sz w:val="22"/>
          <w:lang w:val="es-ES_tradnl"/>
        </w:rPr>
      </w:pPr>
      <w:bookmarkStart w:name="_Hlk50978304" w:id="3"/>
      <w:r w:rsidRPr="00295D8A">
        <w:rPr>
          <w:rFonts w:ascii="Arial" w:hAnsi="Arial" w:eastAsia="Calibri" w:cs="Arial"/>
          <w:b/>
          <w:noProof/>
          <w:sz w:val="22"/>
          <w:lang w:val="es-ES_tradnl"/>
        </w:rPr>
        <w:t xml:space="preserve">1. </w:t>
      </w:r>
      <w:r w:rsidRPr="00295D8A" w:rsidR="000920F0">
        <w:rPr>
          <w:rFonts w:ascii="Arial" w:hAnsi="Arial" w:eastAsia="Calibri" w:cs="Arial"/>
          <w:b/>
          <w:noProof/>
          <w:sz w:val="22"/>
          <w:lang w:val="es-ES_tradnl"/>
        </w:rPr>
        <w:t>Problema planteado</w:t>
      </w:r>
    </w:p>
    <w:p w:rsidRPr="00295D8A" w:rsidR="000920F0" w:rsidP="00F106B5" w:rsidRDefault="000920F0" w14:paraId="476FAD3E" w14:textId="30ED6726">
      <w:pPr>
        <w:tabs>
          <w:tab w:val="left" w:pos="426"/>
        </w:tabs>
        <w:spacing w:line="276" w:lineRule="auto"/>
        <w:jc w:val="both"/>
        <w:rPr>
          <w:rFonts w:ascii="Arial" w:hAnsi="Arial" w:cs="Arial"/>
          <w:b/>
          <w:noProof/>
          <w:sz w:val="22"/>
          <w:lang w:val="es-ES_tradnl"/>
        </w:rPr>
      </w:pPr>
    </w:p>
    <w:p w:rsidRPr="00295D8A" w:rsidR="00AF080A" w:rsidP="00C24E53" w:rsidRDefault="000920F0" w14:paraId="6BF59965" w14:textId="227782AB">
      <w:pPr>
        <w:tabs>
          <w:tab w:val="left" w:pos="426"/>
        </w:tabs>
        <w:spacing w:line="276" w:lineRule="auto"/>
        <w:jc w:val="both"/>
        <w:rPr>
          <w:rFonts w:ascii="Arial" w:hAnsi="Arial" w:cs="Arial"/>
          <w:noProof/>
          <w:sz w:val="22"/>
          <w:lang w:val="es-ES_tradnl"/>
        </w:rPr>
      </w:pPr>
      <w:r w:rsidRPr="00295D8A">
        <w:rPr>
          <w:rFonts w:ascii="Arial" w:hAnsi="Arial" w:cs="Arial"/>
          <w:noProof/>
          <w:sz w:val="22"/>
          <w:lang w:val="es-ES_tradnl"/>
        </w:rPr>
        <w:t xml:space="preserve">Usted </w:t>
      </w:r>
      <w:r w:rsidRPr="00295D8A" w:rsidR="00D3720F">
        <w:rPr>
          <w:rFonts w:ascii="Arial" w:hAnsi="Arial" w:cs="Arial"/>
          <w:noProof/>
          <w:sz w:val="22"/>
          <w:lang w:val="es-ES_tradnl"/>
        </w:rPr>
        <w:t>formuló</w:t>
      </w:r>
      <w:r w:rsidRPr="00295D8A">
        <w:rPr>
          <w:rFonts w:ascii="Arial" w:hAnsi="Arial" w:cs="Arial"/>
          <w:noProof/>
          <w:sz w:val="22"/>
          <w:lang w:val="es-ES_tradnl"/>
        </w:rPr>
        <w:t xml:space="preserve"> la siguiente </w:t>
      </w:r>
      <w:r w:rsidRPr="00295D8A" w:rsidR="00EB66DA">
        <w:rPr>
          <w:rFonts w:ascii="Arial" w:hAnsi="Arial" w:cs="Arial"/>
          <w:noProof/>
          <w:sz w:val="22"/>
          <w:lang w:val="es-ES_tradnl"/>
        </w:rPr>
        <w:t>pregunta</w:t>
      </w:r>
      <w:r w:rsidRPr="00295D8A">
        <w:rPr>
          <w:rFonts w:ascii="Arial" w:hAnsi="Arial" w:cs="Arial"/>
          <w:noProof/>
          <w:sz w:val="22"/>
          <w:lang w:val="es-ES_tradnl"/>
        </w:rPr>
        <w:t xml:space="preserve">: </w:t>
      </w:r>
      <w:r w:rsidRPr="00295D8A" w:rsidR="000D2573">
        <w:rPr>
          <w:rFonts w:ascii="Arial" w:hAnsi="Arial" w:cs="Arial"/>
          <w:noProof/>
          <w:sz w:val="22"/>
          <w:lang w:val="es-ES_tradnl"/>
        </w:rPr>
        <w:t>«</w:t>
      </w:r>
      <w:r w:rsidRPr="00295D8A" w:rsidR="003C3FB8">
        <w:rPr>
          <w:rFonts w:ascii="Arial" w:hAnsi="Arial" w:cs="Arial"/>
          <w:noProof/>
          <w:sz w:val="22"/>
          <w:lang w:val="es-ES_tradnl"/>
        </w:rPr>
        <w:t xml:space="preserve">Por medio del presente me permito solicitar se emita concepto jurídico, en relación con la obligatoriedad de realizar el cierre del expediente del Proceso de Contratación para los contratos de prestación de servicios y apoyo a la gestión. </w:t>
      </w:r>
      <w:r w:rsidRPr="00295D8A" w:rsidR="00914791">
        <w:rPr>
          <w:rFonts w:ascii="Arial" w:hAnsi="Arial" w:cs="Arial"/>
          <w:noProof/>
          <w:sz w:val="22"/>
          <w:lang w:val="es-ES_tradnl"/>
        </w:rPr>
        <w:t>[…]</w:t>
      </w:r>
      <w:r w:rsidRPr="00295D8A" w:rsidR="000D2573">
        <w:rPr>
          <w:rFonts w:ascii="Arial" w:hAnsi="Arial" w:cs="Arial"/>
          <w:noProof/>
          <w:sz w:val="22"/>
          <w:lang w:val="es-ES_tradnl"/>
        </w:rPr>
        <w:t>»</w:t>
      </w:r>
      <w:r w:rsidRPr="00295D8A" w:rsidR="003C3FB8">
        <w:rPr>
          <w:rFonts w:ascii="Arial" w:hAnsi="Arial" w:cs="Arial"/>
          <w:noProof/>
          <w:sz w:val="22"/>
          <w:lang w:val="es-ES_tradnl"/>
        </w:rPr>
        <w:t>; teniendo en cuenta que en estos contratos no es obligatoria la liquidación y que el cierre del expediente se sujeta al vencimiento de las garantías señaladas en el artículo 2.2.1.1.2.4.3. del Decreto 1082 de 2015</w:t>
      </w:r>
      <w:r w:rsidRPr="00295D8A" w:rsidR="000D2573">
        <w:rPr>
          <w:rFonts w:ascii="Arial" w:hAnsi="Arial" w:cs="Arial"/>
          <w:noProof/>
          <w:sz w:val="22"/>
          <w:lang w:val="es-ES_tradnl"/>
        </w:rPr>
        <w:t>.</w:t>
      </w:r>
    </w:p>
    <w:bookmarkEnd w:id="3"/>
    <w:p w:rsidRPr="00295D8A" w:rsidR="00AD5641" w:rsidP="00F106B5" w:rsidRDefault="00AD5641" w14:paraId="1E4E2AE9" w14:textId="77777777">
      <w:pPr>
        <w:tabs>
          <w:tab w:val="left" w:pos="426"/>
        </w:tabs>
        <w:spacing w:line="276" w:lineRule="auto"/>
        <w:jc w:val="both"/>
        <w:rPr>
          <w:rFonts w:ascii="Arial" w:hAnsi="Arial" w:cs="Arial"/>
          <w:noProof/>
          <w:sz w:val="22"/>
          <w:lang w:val="es-ES_tradnl"/>
        </w:rPr>
      </w:pPr>
    </w:p>
    <w:p w:rsidRPr="00295D8A" w:rsidR="000920F0" w:rsidP="00F106B5" w:rsidRDefault="000920F0" w14:paraId="79882F8B" w14:textId="77777777">
      <w:pPr>
        <w:tabs>
          <w:tab w:val="left" w:pos="426"/>
        </w:tabs>
        <w:spacing w:line="276" w:lineRule="auto"/>
        <w:jc w:val="both"/>
        <w:rPr>
          <w:rFonts w:ascii="Arial" w:hAnsi="Arial" w:cs="Arial"/>
          <w:b/>
          <w:noProof/>
          <w:sz w:val="22"/>
          <w:lang w:val="es-ES_tradnl"/>
        </w:rPr>
      </w:pPr>
      <w:r w:rsidRPr="00295D8A">
        <w:rPr>
          <w:rFonts w:ascii="Arial" w:hAnsi="Arial" w:cs="Arial"/>
          <w:b/>
          <w:noProof/>
          <w:sz w:val="22"/>
          <w:lang w:val="es-ES_tradnl"/>
        </w:rPr>
        <w:t>2. Consideraciones</w:t>
      </w:r>
    </w:p>
    <w:bookmarkEnd w:id="0"/>
    <w:bookmarkEnd w:id="1"/>
    <w:p w:rsidRPr="00295D8A" w:rsidR="000920F0" w:rsidP="00F106B5" w:rsidRDefault="000920F0" w14:paraId="7894E838" w14:textId="77777777">
      <w:pPr>
        <w:spacing w:line="276" w:lineRule="auto"/>
        <w:jc w:val="both"/>
        <w:rPr>
          <w:rFonts w:ascii="Arial" w:hAnsi="Arial" w:cs="Arial"/>
          <w:noProof/>
          <w:sz w:val="22"/>
          <w:lang w:val="es-ES_tradnl"/>
        </w:rPr>
      </w:pPr>
    </w:p>
    <w:p w:rsidRPr="00373E13" w:rsidR="004B645B" w:rsidP="00373E13" w:rsidRDefault="000920F0" w14:paraId="6FB7DC94" w14:textId="643A0369">
      <w:pPr>
        <w:spacing w:line="276" w:lineRule="auto"/>
        <w:jc w:val="both"/>
        <w:rPr>
          <w:rFonts w:ascii="Arial" w:hAnsi="Arial" w:cs="Arial"/>
          <w:noProof/>
          <w:sz w:val="22"/>
          <w:lang w:val="es-ES_tradnl"/>
        </w:rPr>
      </w:pPr>
      <w:r w:rsidRPr="00373E13">
        <w:rPr>
          <w:rFonts w:ascii="Arial" w:hAnsi="Arial" w:cs="Arial"/>
          <w:noProof/>
          <w:sz w:val="22"/>
          <w:lang w:val="es-ES_tradnl"/>
        </w:rPr>
        <w:t>Para resolver esta consulta se an</w:t>
      </w:r>
      <w:r w:rsidRPr="00373E13" w:rsidR="00AE7CA2">
        <w:rPr>
          <w:rFonts w:ascii="Arial" w:hAnsi="Arial" w:cs="Arial"/>
          <w:noProof/>
          <w:sz w:val="22"/>
          <w:lang w:val="es-ES_tradnl"/>
        </w:rPr>
        <w:t>a</w:t>
      </w:r>
      <w:r w:rsidRPr="00373E13">
        <w:rPr>
          <w:rFonts w:ascii="Arial" w:hAnsi="Arial" w:cs="Arial"/>
          <w:noProof/>
          <w:sz w:val="22"/>
          <w:lang w:val="es-ES_tradnl"/>
        </w:rPr>
        <w:t>li</w:t>
      </w:r>
      <w:r w:rsidRPr="00373E13" w:rsidR="00AE7CA2">
        <w:rPr>
          <w:rFonts w:ascii="Arial" w:hAnsi="Arial" w:cs="Arial"/>
          <w:noProof/>
          <w:sz w:val="22"/>
          <w:lang w:val="es-ES_tradnl"/>
        </w:rPr>
        <w:t>zarán</w:t>
      </w:r>
      <w:r w:rsidRPr="00373E13">
        <w:rPr>
          <w:rFonts w:ascii="Arial" w:hAnsi="Arial" w:cs="Arial"/>
          <w:noProof/>
          <w:sz w:val="22"/>
          <w:lang w:val="es-ES_tradnl"/>
        </w:rPr>
        <w:t xml:space="preserve"> los siguientes temas: i)</w:t>
      </w:r>
      <w:r w:rsidRPr="00373E13" w:rsidR="00B07589">
        <w:rPr>
          <w:rFonts w:ascii="Arial" w:hAnsi="Arial" w:cs="Arial"/>
          <w:noProof/>
          <w:sz w:val="22"/>
          <w:lang w:val="es-ES_tradnl"/>
        </w:rPr>
        <w:t xml:space="preserve"> </w:t>
      </w:r>
      <w:r w:rsidRPr="00373E13" w:rsidR="00D855EC">
        <w:rPr>
          <w:rFonts w:ascii="Arial" w:hAnsi="Arial" w:cs="Arial"/>
          <w:noProof/>
          <w:sz w:val="22"/>
          <w:lang w:val="es-ES_tradnl"/>
        </w:rPr>
        <w:t>características</w:t>
      </w:r>
      <w:r w:rsidRPr="00373E13" w:rsidR="00B07589">
        <w:rPr>
          <w:rFonts w:ascii="Arial" w:hAnsi="Arial" w:cs="Arial"/>
          <w:noProof/>
          <w:sz w:val="22"/>
          <w:lang w:val="es-ES_tradnl"/>
        </w:rPr>
        <w:t xml:space="preserve"> del contrato de prestación de servicios profesionales</w:t>
      </w:r>
      <w:r w:rsidRPr="00373E13" w:rsidR="00FA4E11">
        <w:rPr>
          <w:rFonts w:ascii="Arial" w:hAnsi="Arial" w:cs="Arial"/>
          <w:noProof/>
          <w:sz w:val="22"/>
          <w:lang w:val="es-ES_tradnl"/>
        </w:rPr>
        <w:t xml:space="preserve"> y de apoyo a la gestión</w:t>
      </w:r>
      <w:r w:rsidRPr="00373E13" w:rsidR="00D64A4A">
        <w:rPr>
          <w:rFonts w:ascii="Arial" w:hAnsi="Arial" w:cs="Arial"/>
          <w:noProof/>
          <w:sz w:val="22"/>
          <w:lang w:val="es-ES_tradnl"/>
        </w:rPr>
        <w:t>,</w:t>
      </w:r>
      <w:r w:rsidRPr="00373E13" w:rsidR="009A4DDF">
        <w:rPr>
          <w:rFonts w:ascii="Arial" w:hAnsi="Arial" w:cs="Arial"/>
          <w:noProof/>
          <w:sz w:val="22"/>
          <w:lang w:val="es-ES_tradnl"/>
        </w:rPr>
        <w:t xml:space="preserve"> ii) </w:t>
      </w:r>
      <w:r w:rsidRPr="00373E13" w:rsidR="00D64A4A">
        <w:rPr>
          <w:rFonts w:ascii="Arial" w:hAnsi="Arial" w:cs="Arial"/>
          <w:noProof/>
          <w:sz w:val="22"/>
          <w:lang w:val="es-ES_tradnl"/>
        </w:rPr>
        <w:t xml:space="preserve">la obligatoriedad del cierre del expediente para este tipo de contrato y iii) </w:t>
      </w:r>
      <w:r w:rsidRPr="00373E13" w:rsidR="00575B3D">
        <w:rPr>
          <w:rFonts w:ascii="Arial" w:hAnsi="Arial" w:cs="Arial"/>
          <w:noProof/>
          <w:sz w:val="22"/>
          <w:lang w:val="es-ES_tradnl"/>
        </w:rPr>
        <w:t>l</w:t>
      </w:r>
      <w:r w:rsidRPr="00373E13" w:rsidR="00D855EC">
        <w:rPr>
          <w:rFonts w:ascii="Arial" w:hAnsi="Arial" w:cs="Arial"/>
          <w:noProof/>
          <w:sz w:val="22"/>
          <w:lang w:val="es-ES_tradnl"/>
        </w:rPr>
        <w:t>a</w:t>
      </w:r>
      <w:r w:rsidRPr="00373E13" w:rsidR="00575B3D">
        <w:rPr>
          <w:rFonts w:ascii="Arial" w:hAnsi="Arial" w:cs="Arial"/>
          <w:noProof/>
          <w:sz w:val="22"/>
          <w:lang w:val="es-ES_tradnl"/>
        </w:rPr>
        <w:t>s</w:t>
      </w:r>
      <w:r w:rsidRPr="00373E13" w:rsidR="00D855EC">
        <w:rPr>
          <w:rFonts w:ascii="Arial" w:hAnsi="Arial" w:cs="Arial"/>
          <w:noProof/>
          <w:sz w:val="22"/>
          <w:lang w:val="es-ES_tradnl"/>
        </w:rPr>
        <w:t xml:space="preserve"> condiciones </w:t>
      </w:r>
      <w:r w:rsidRPr="00373E13" w:rsidR="00775F71">
        <w:rPr>
          <w:rFonts w:ascii="Arial" w:hAnsi="Arial" w:cs="Arial"/>
          <w:noProof/>
          <w:sz w:val="22"/>
          <w:lang w:val="es-ES_tradnl"/>
        </w:rPr>
        <w:t>de</w:t>
      </w:r>
      <w:r w:rsidRPr="00373E13" w:rsidR="00D855EC">
        <w:rPr>
          <w:rFonts w:ascii="Arial" w:hAnsi="Arial" w:cs="Arial"/>
          <w:noProof/>
          <w:sz w:val="22"/>
          <w:lang w:val="es-ES_tradnl"/>
        </w:rPr>
        <w:t xml:space="preserve"> liquida</w:t>
      </w:r>
      <w:r w:rsidRPr="00373E13" w:rsidR="00775F71">
        <w:rPr>
          <w:rFonts w:ascii="Arial" w:hAnsi="Arial" w:cs="Arial"/>
          <w:noProof/>
          <w:sz w:val="22"/>
          <w:lang w:val="es-ES_tradnl"/>
        </w:rPr>
        <w:t>ción</w:t>
      </w:r>
      <w:r w:rsidRPr="00373E13" w:rsidR="00D855EC">
        <w:rPr>
          <w:rFonts w:ascii="Arial" w:hAnsi="Arial" w:cs="Arial"/>
          <w:noProof/>
          <w:sz w:val="22"/>
          <w:lang w:val="es-ES_tradnl"/>
        </w:rPr>
        <w:t xml:space="preserve"> y exig</w:t>
      </w:r>
      <w:r w:rsidRPr="00373E13" w:rsidR="00775F71">
        <w:rPr>
          <w:rFonts w:ascii="Arial" w:hAnsi="Arial" w:cs="Arial"/>
          <w:noProof/>
          <w:sz w:val="22"/>
          <w:lang w:val="es-ES_tradnl"/>
        </w:rPr>
        <w:t>encia de</w:t>
      </w:r>
      <w:r w:rsidRPr="00373E13" w:rsidR="00D855EC">
        <w:rPr>
          <w:rFonts w:ascii="Arial" w:hAnsi="Arial" w:cs="Arial"/>
          <w:noProof/>
          <w:sz w:val="22"/>
          <w:lang w:val="es-ES_tradnl"/>
        </w:rPr>
        <w:t xml:space="preserve"> garantías</w:t>
      </w:r>
      <w:r w:rsidRPr="00373E13" w:rsidR="00870D79">
        <w:rPr>
          <w:rFonts w:ascii="Arial" w:hAnsi="Arial" w:cs="Arial"/>
          <w:noProof/>
          <w:sz w:val="22"/>
          <w:lang w:val="es-ES_tradnl"/>
        </w:rPr>
        <w:t>.</w:t>
      </w:r>
    </w:p>
    <w:p w:rsidRPr="00373E13" w:rsidR="00082186" w:rsidP="00373E13" w:rsidRDefault="00082186" w14:paraId="0AEC4393" w14:textId="483E6A02">
      <w:pPr>
        <w:spacing w:before="120" w:line="276" w:lineRule="auto"/>
        <w:ind w:firstLine="709"/>
        <w:jc w:val="both"/>
        <w:rPr>
          <w:rFonts w:ascii="Arial" w:hAnsi="Arial" w:cs="Arial"/>
          <w:noProof/>
          <w:sz w:val="22"/>
          <w:lang w:val="es-ES_tradnl"/>
        </w:rPr>
      </w:pPr>
      <w:r w:rsidRPr="00373E13">
        <w:rPr>
          <w:rFonts w:ascii="Arial" w:hAnsi="Arial" w:cs="Arial"/>
          <w:noProof/>
          <w:sz w:val="22"/>
          <w:lang w:val="es-ES_tradnl"/>
        </w:rPr>
        <w:t xml:space="preserve">La </w:t>
      </w:r>
      <w:r w:rsidRPr="00373E13" w:rsidR="000018D4">
        <w:rPr>
          <w:rFonts w:ascii="Arial" w:hAnsi="Arial" w:cs="Arial"/>
          <w:sz w:val="22"/>
        </w:rPr>
        <w:t>Agencia Nacional de Contratación Pública ― Colombia Compra Eficiente</w:t>
      </w:r>
      <w:r w:rsidRPr="00373E13" w:rsidR="000018D4">
        <w:rPr>
          <w:rFonts w:ascii="Arial" w:hAnsi="Arial" w:cs="Arial"/>
          <w:noProof/>
          <w:sz w:val="22"/>
          <w:lang w:val="es-ES_tradnl"/>
        </w:rPr>
        <w:t xml:space="preserve"> </w:t>
      </w:r>
      <w:r w:rsidRPr="00373E13">
        <w:rPr>
          <w:rFonts w:ascii="Arial" w:hAnsi="Arial" w:cs="Arial"/>
          <w:noProof/>
          <w:sz w:val="22"/>
          <w:lang w:val="es-ES_tradnl"/>
        </w:rPr>
        <w:t xml:space="preserve">se pronunció sobre </w:t>
      </w:r>
      <w:r w:rsidRPr="00373E13" w:rsidR="000018D4">
        <w:rPr>
          <w:rFonts w:ascii="Arial" w:hAnsi="Arial" w:cs="Arial"/>
          <w:noProof/>
          <w:sz w:val="22"/>
          <w:lang w:val="es-ES_tradnl"/>
        </w:rPr>
        <w:t>el contrato de prestación de servicios profesionales y de apoyo a la gestión</w:t>
      </w:r>
      <w:r w:rsidRPr="00373E13">
        <w:rPr>
          <w:rFonts w:ascii="Arial" w:hAnsi="Arial" w:cs="Arial"/>
          <w:noProof/>
          <w:sz w:val="22"/>
          <w:lang w:val="es-ES_tradnl"/>
        </w:rPr>
        <w:t xml:space="preserve"> en los conceptos con radicado</w:t>
      </w:r>
      <w:r w:rsidRPr="00373E13" w:rsidR="00B40151">
        <w:rPr>
          <w:rFonts w:ascii="Arial" w:hAnsi="Arial" w:cs="Arial"/>
          <w:noProof/>
          <w:sz w:val="22"/>
          <w:lang w:val="es-ES_tradnl"/>
        </w:rPr>
        <w:t>s No.</w:t>
      </w:r>
      <w:r w:rsidRPr="00373E13">
        <w:rPr>
          <w:rFonts w:ascii="Arial" w:hAnsi="Arial" w:cs="Arial"/>
          <w:noProof/>
          <w:sz w:val="22"/>
          <w:lang w:val="es-ES_tradnl"/>
        </w:rPr>
        <w:t xml:space="preserve"> C-138, C-005, C-006 y C-018 del 11 de mayo de 2020; C-175</w:t>
      </w:r>
      <w:r w:rsidRPr="00373E13" w:rsidR="005079BF">
        <w:rPr>
          <w:rFonts w:ascii="Arial" w:hAnsi="Arial" w:cs="Arial"/>
          <w:noProof/>
          <w:sz w:val="22"/>
          <w:lang w:val="es-ES_tradnl"/>
        </w:rPr>
        <w:t xml:space="preserve">, </w:t>
      </w:r>
      <w:r w:rsidRPr="00373E13">
        <w:rPr>
          <w:rFonts w:ascii="Arial" w:hAnsi="Arial" w:cs="Arial"/>
          <w:noProof/>
          <w:sz w:val="22"/>
          <w:lang w:val="es-ES_tradnl"/>
        </w:rPr>
        <w:t>C-320</w:t>
      </w:r>
      <w:r w:rsidRPr="00373E13" w:rsidR="00804199">
        <w:rPr>
          <w:rFonts w:ascii="Arial" w:hAnsi="Arial" w:cs="Arial"/>
          <w:noProof/>
          <w:sz w:val="22"/>
          <w:lang w:val="es-ES_tradnl"/>
        </w:rPr>
        <w:t xml:space="preserve">, </w:t>
      </w:r>
      <w:r w:rsidRPr="00373E13" w:rsidR="005079BF">
        <w:rPr>
          <w:rFonts w:ascii="Arial" w:hAnsi="Arial" w:cs="Arial"/>
          <w:noProof/>
          <w:sz w:val="22"/>
          <w:lang w:val="es-ES_tradnl"/>
        </w:rPr>
        <w:t>C-053</w:t>
      </w:r>
      <w:r w:rsidRPr="00373E13" w:rsidR="005D6180">
        <w:rPr>
          <w:rFonts w:ascii="Arial" w:hAnsi="Arial" w:cs="Arial"/>
          <w:noProof/>
          <w:sz w:val="22"/>
          <w:lang w:val="es-ES_tradnl"/>
        </w:rPr>
        <w:t xml:space="preserve">, </w:t>
      </w:r>
      <w:r w:rsidRPr="00373E13" w:rsidR="00544B92">
        <w:rPr>
          <w:rFonts w:ascii="Arial" w:hAnsi="Arial" w:cs="Arial"/>
          <w:noProof/>
          <w:sz w:val="22"/>
          <w:lang w:val="es-ES_tradnl"/>
        </w:rPr>
        <w:t>C-255</w:t>
      </w:r>
      <w:r w:rsidRPr="00373E13" w:rsidR="003C0712">
        <w:rPr>
          <w:rFonts w:ascii="Arial" w:hAnsi="Arial" w:cs="Arial"/>
          <w:noProof/>
          <w:sz w:val="22"/>
          <w:lang w:val="es-ES_tradnl"/>
        </w:rPr>
        <w:t xml:space="preserve">, </w:t>
      </w:r>
      <w:r w:rsidRPr="00373E13" w:rsidR="005D6180">
        <w:rPr>
          <w:rFonts w:ascii="Arial" w:hAnsi="Arial" w:cs="Arial"/>
          <w:noProof/>
          <w:sz w:val="22"/>
          <w:lang w:val="es-ES_tradnl"/>
        </w:rPr>
        <w:t>C-282</w:t>
      </w:r>
      <w:r w:rsidRPr="00373E13" w:rsidR="00544B92">
        <w:rPr>
          <w:rFonts w:ascii="Arial" w:hAnsi="Arial" w:cs="Arial"/>
          <w:noProof/>
          <w:sz w:val="22"/>
          <w:lang w:val="es-ES_tradnl"/>
        </w:rPr>
        <w:t xml:space="preserve"> </w:t>
      </w:r>
      <w:r w:rsidRPr="00373E13" w:rsidR="003C0712">
        <w:rPr>
          <w:rFonts w:ascii="Arial" w:hAnsi="Arial" w:cs="Arial"/>
          <w:noProof/>
          <w:sz w:val="22"/>
          <w:lang w:val="es-ES_tradnl"/>
        </w:rPr>
        <w:t xml:space="preserve">y C-293 </w:t>
      </w:r>
      <w:r w:rsidRPr="00373E13">
        <w:rPr>
          <w:rFonts w:ascii="Arial" w:hAnsi="Arial" w:cs="Arial"/>
          <w:noProof/>
          <w:sz w:val="22"/>
          <w:lang w:val="es-ES_tradnl"/>
        </w:rPr>
        <w:t>del 12 de mayo de 2020</w:t>
      </w:r>
      <w:r w:rsidRPr="00373E13" w:rsidR="0018017A">
        <w:rPr>
          <w:rFonts w:ascii="Arial" w:hAnsi="Arial" w:cs="Arial"/>
          <w:noProof/>
          <w:sz w:val="22"/>
          <w:lang w:val="es-ES_tradnl"/>
        </w:rPr>
        <w:t xml:space="preserve">, C-288 del </w:t>
      </w:r>
      <w:r w:rsidRPr="00373E13" w:rsidR="00F44916">
        <w:rPr>
          <w:rFonts w:ascii="Arial" w:hAnsi="Arial" w:cs="Arial"/>
          <w:noProof/>
          <w:sz w:val="22"/>
          <w:lang w:val="es-ES_tradnl"/>
        </w:rPr>
        <w:t>27 de mayo de 2020</w:t>
      </w:r>
      <w:r w:rsidRPr="00373E13" w:rsidR="00E0222A">
        <w:rPr>
          <w:rFonts w:ascii="Arial" w:hAnsi="Arial" w:cs="Arial"/>
          <w:noProof/>
          <w:sz w:val="22"/>
          <w:lang w:val="es-ES_tradnl"/>
        </w:rPr>
        <w:t xml:space="preserve">, </w:t>
      </w:r>
      <w:r w:rsidRPr="00373E13" w:rsidR="00F44916">
        <w:rPr>
          <w:rFonts w:ascii="Arial" w:hAnsi="Arial" w:cs="Arial"/>
          <w:noProof/>
          <w:sz w:val="22"/>
          <w:lang w:val="es-ES_tradnl"/>
        </w:rPr>
        <w:t>C-345 del 13 de mayo de 2020</w:t>
      </w:r>
      <w:r w:rsidRPr="00373E13" w:rsidR="00841B8A">
        <w:rPr>
          <w:rFonts w:ascii="Arial" w:hAnsi="Arial" w:cs="Arial"/>
          <w:noProof/>
          <w:sz w:val="22"/>
          <w:lang w:val="es-ES_tradnl"/>
        </w:rPr>
        <w:t xml:space="preserve">, </w:t>
      </w:r>
      <w:r w:rsidRPr="00373E13" w:rsidR="00E0222A">
        <w:rPr>
          <w:rFonts w:ascii="Arial" w:hAnsi="Arial" w:cs="Arial"/>
          <w:noProof/>
          <w:sz w:val="22"/>
          <w:lang w:val="es-ES_tradnl"/>
        </w:rPr>
        <w:t>C-484 del 6 de agosto de 2020</w:t>
      </w:r>
      <w:r w:rsidRPr="00373E13" w:rsidR="00841B8A">
        <w:rPr>
          <w:rFonts w:ascii="Arial" w:hAnsi="Arial" w:cs="Arial"/>
          <w:noProof/>
          <w:sz w:val="22"/>
          <w:lang w:val="es-ES_tradnl"/>
        </w:rPr>
        <w:t xml:space="preserve"> y C-608 del 1 de octubre de 2020</w:t>
      </w:r>
      <w:r w:rsidRPr="00373E13" w:rsidR="004C69A1">
        <w:rPr>
          <w:rFonts w:ascii="Arial" w:hAnsi="Arial" w:cs="Arial"/>
          <w:noProof/>
          <w:sz w:val="22"/>
          <w:lang w:val="es-ES_tradnl"/>
        </w:rPr>
        <w:t>.</w:t>
      </w:r>
      <w:r w:rsidRPr="00373E13" w:rsidR="00435E15">
        <w:rPr>
          <w:rFonts w:ascii="Arial" w:hAnsi="Arial" w:cs="Arial"/>
          <w:noProof/>
          <w:sz w:val="22"/>
          <w:lang w:val="es-ES_tradnl"/>
        </w:rPr>
        <w:t xml:space="preserve"> </w:t>
      </w:r>
      <w:r w:rsidR="00BD531D">
        <w:rPr>
          <w:rFonts w:ascii="Arial" w:hAnsi="Arial" w:cs="Arial"/>
          <w:noProof/>
          <w:sz w:val="22"/>
          <w:lang w:val="es-ES_tradnl"/>
        </w:rPr>
        <w:t>De igual forma</w:t>
      </w:r>
      <w:r w:rsidRPr="00373E13" w:rsidR="00435E15">
        <w:rPr>
          <w:rFonts w:ascii="Arial" w:hAnsi="Arial" w:cs="Arial"/>
          <w:noProof/>
          <w:sz w:val="22"/>
          <w:lang w:val="es-ES_tradnl"/>
        </w:rPr>
        <w:t xml:space="preserve">, </w:t>
      </w:r>
      <w:r w:rsidR="00B34437">
        <w:rPr>
          <w:rFonts w:ascii="Arial" w:hAnsi="Arial" w:cs="Arial"/>
          <w:noProof/>
          <w:sz w:val="22"/>
          <w:lang w:val="es-ES_tradnl"/>
        </w:rPr>
        <w:t xml:space="preserve">la Agencia </w:t>
      </w:r>
      <w:r w:rsidRPr="00373E13" w:rsidR="00435E15">
        <w:rPr>
          <w:rFonts w:ascii="Arial" w:hAnsi="Arial" w:cs="Arial"/>
          <w:noProof/>
          <w:sz w:val="22"/>
          <w:lang w:val="es-ES_tradnl"/>
        </w:rPr>
        <w:t xml:space="preserve">trató el tema de </w:t>
      </w:r>
      <w:r w:rsidR="005F0567">
        <w:rPr>
          <w:rFonts w:ascii="Arial" w:hAnsi="Arial" w:cs="Arial"/>
          <w:noProof/>
          <w:sz w:val="22"/>
          <w:lang w:val="es-ES_tradnl"/>
        </w:rPr>
        <w:t xml:space="preserve">la </w:t>
      </w:r>
      <w:r w:rsidRPr="00373E13" w:rsidR="00435E15">
        <w:rPr>
          <w:rFonts w:ascii="Arial" w:hAnsi="Arial" w:cs="Arial"/>
          <w:noProof/>
          <w:sz w:val="22"/>
          <w:lang w:val="es-ES_tradnl"/>
        </w:rPr>
        <w:t>liquidación del contrato</w:t>
      </w:r>
      <w:r w:rsidRPr="00373E13" w:rsidR="000D31C7">
        <w:rPr>
          <w:rFonts w:ascii="Arial" w:hAnsi="Arial" w:cs="Arial"/>
          <w:noProof/>
          <w:sz w:val="22"/>
          <w:lang w:val="es-ES_tradnl"/>
        </w:rPr>
        <w:t xml:space="preserve"> de prestación de servicios profesionales y de apoyo a la gesión</w:t>
      </w:r>
      <w:r w:rsidRPr="00373E13" w:rsidR="00435E15">
        <w:rPr>
          <w:rFonts w:ascii="Arial" w:hAnsi="Arial" w:cs="Arial"/>
          <w:noProof/>
          <w:sz w:val="22"/>
          <w:lang w:val="es-ES_tradnl"/>
        </w:rPr>
        <w:t xml:space="preserve"> y </w:t>
      </w:r>
      <w:r w:rsidRPr="00373E13" w:rsidR="000D31C7">
        <w:rPr>
          <w:rFonts w:ascii="Arial" w:hAnsi="Arial" w:cs="Arial"/>
          <w:noProof/>
          <w:sz w:val="22"/>
          <w:lang w:val="es-ES_tradnl"/>
        </w:rPr>
        <w:t xml:space="preserve">el </w:t>
      </w:r>
      <w:r w:rsidRPr="00373E13" w:rsidR="00435E15">
        <w:rPr>
          <w:rFonts w:ascii="Arial" w:hAnsi="Arial" w:cs="Arial"/>
          <w:noProof/>
          <w:sz w:val="22"/>
          <w:lang w:val="es-ES_tradnl"/>
        </w:rPr>
        <w:t>cierre del expediente en los conceptos No. 4201912000004390 del 14 de agosto de 2019,</w:t>
      </w:r>
      <w:r w:rsidRPr="00373E13" w:rsidR="004C69A1">
        <w:rPr>
          <w:rFonts w:ascii="Arial" w:hAnsi="Arial" w:cs="Arial"/>
          <w:noProof/>
          <w:sz w:val="22"/>
          <w:lang w:val="es-ES_tradnl"/>
        </w:rPr>
        <w:t xml:space="preserve"> </w:t>
      </w:r>
      <w:r w:rsidRPr="00373E13" w:rsidR="00435E15">
        <w:rPr>
          <w:rFonts w:ascii="Arial" w:hAnsi="Arial" w:cs="Arial"/>
          <w:noProof/>
          <w:sz w:val="22"/>
          <w:lang w:val="es-ES_tradnl"/>
        </w:rPr>
        <w:t xml:space="preserve">4201912000005860 del 30 de septiembre de 2019 y 4201913000006142 del 7 de octubre de 2019. </w:t>
      </w:r>
      <w:r w:rsidRPr="00373E13" w:rsidR="004C69A1">
        <w:rPr>
          <w:rFonts w:ascii="Arial" w:hAnsi="Arial" w:cs="Arial"/>
          <w:noProof/>
          <w:sz w:val="22"/>
          <w:lang w:val="es-ES_tradnl"/>
        </w:rPr>
        <w:t>La tesis expuesta en estos conceptos se reitera</w:t>
      </w:r>
      <w:r w:rsidRPr="00373E13">
        <w:rPr>
          <w:rFonts w:ascii="Arial" w:hAnsi="Arial" w:cs="Arial"/>
          <w:noProof/>
          <w:sz w:val="22"/>
          <w:lang w:val="es-ES_tradnl"/>
        </w:rPr>
        <w:t xml:space="preserve"> a continuación:</w:t>
      </w:r>
    </w:p>
    <w:p w:rsidRPr="00373E13" w:rsidR="00B45B98" w:rsidP="00373E13" w:rsidRDefault="00B45B98" w14:paraId="5F5B0B70" w14:textId="77777777">
      <w:pPr>
        <w:spacing w:line="276" w:lineRule="auto"/>
        <w:jc w:val="both"/>
        <w:rPr>
          <w:rFonts w:ascii="Arial" w:hAnsi="Arial" w:cs="Arial"/>
          <w:b/>
          <w:noProof/>
          <w:sz w:val="22"/>
          <w:lang w:val="es-ES_tradnl"/>
        </w:rPr>
      </w:pPr>
    </w:p>
    <w:p w:rsidRPr="00373E13" w:rsidR="00C55CE9" w:rsidP="00373E13" w:rsidRDefault="00C55CE9" w14:paraId="5F11D670" w14:textId="59E62267">
      <w:pPr>
        <w:spacing w:line="276" w:lineRule="auto"/>
        <w:jc w:val="both"/>
        <w:rPr>
          <w:rFonts w:ascii="Arial" w:hAnsi="Arial" w:cs="Arial"/>
          <w:b/>
          <w:bCs/>
          <w:noProof/>
          <w:sz w:val="22"/>
          <w:lang w:val="es-ES_tradnl"/>
        </w:rPr>
      </w:pPr>
      <w:r w:rsidRPr="00373E13">
        <w:rPr>
          <w:rFonts w:ascii="Arial" w:hAnsi="Arial" w:cs="Arial"/>
          <w:b/>
          <w:bCs/>
          <w:noProof/>
          <w:sz w:val="22"/>
          <w:lang w:val="es-ES_tradnl"/>
        </w:rPr>
        <w:t>2.1. Contrato de prestación de servicios profesionales</w:t>
      </w:r>
      <w:r w:rsidRPr="00373E13" w:rsidR="00FA4E11">
        <w:rPr>
          <w:rFonts w:ascii="Arial" w:hAnsi="Arial" w:cs="Arial"/>
          <w:b/>
          <w:bCs/>
          <w:noProof/>
          <w:sz w:val="22"/>
          <w:lang w:val="es-ES_tradnl"/>
        </w:rPr>
        <w:t xml:space="preserve"> y de apoyo a la gestión</w:t>
      </w:r>
      <w:r w:rsidRPr="00373E13">
        <w:rPr>
          <w:rFonts w:ascii="Arial" w:hAnsi="Arial" w:cs="Arial"/>
          <w:b/>
          <w:bCs/>
          <w:noProof/>
          <w:sz w:val="22"/>
          <w:lang w:val="es-ES_tradnl"/>
        </w:rPr>
        <w:t>. Requisitos y límites para celebra</w:t>
      </w:r>
      <w:r w:rsidRPr="00373E13" w:rsidR="00D3720F">
        <w:rPr>
          <w:rFonts w:ascii="Arial" w:hAnsi="Arial" w:cs="Arial"/>
          <w:b/>
          <w:bCs/>
          <w:noProof/>
          <w:sz w:val="22"/>
          <w:lang w:val="es-ES_tradnl"/>
        </w:rPr>
        <w:t>rlo</w:t>
      </w:r>
    </w:p>
    <w:p w:rsidRPr="00373E13" w:rsidR="00C55CE9" w:rsidP="00373E13" w:rsidRDefault="00C55CE9" w14:paraId="4A5C6313" w14:textId="77777777">
      <w:pPr>
        <w:spacing w:line="276" w:lineRule="auto"/>
        <w:jc w:val="both"/>
        <w:rPr>
          <w:rFonts w:ascii="Arial" w:hAnsi="Arial" w:cs="Arial"/>
          <w:noProof/>
          <w:sz w:val="22"/>
          <w:lang w:val="es-ES_tradnl"/>
        </w:rPr>
      </w:pPr>
    </w:p>
    <w:p w:rsidRPr="00373E13" w:rsidR="00C55CE9" w:rsidP="00373E13" w:rsidRDefault="00C55CE9" w14:paraId="5551A851" w14:textId="44B01B50">
      <w:pPr>
        <w:spacing w:line="276" w:lineRule="auto"/>
        <w:jc w:val="both"/>
        <w:rPr>
          <w:rFonts w:ascii="Arial" w:hAnsi="Arial" w:cs="Arial"/>
          <w:noProof/>
          <w:sz w:val="22"/>
          <w:lang w:val="es-ES_tradnl"/>
        </w:rPr>
      </w:pPr>
      <w:r w:rsidRPr="00373E13">
        <w:rPr>
          <w:rFonts w:ascii="Arial" w:hAnsi="Arial" w:cs="Arial"/>
          <w:noProof/>
          <w:sz w:val="22"/>
          <w:lang w:val="es-ES_tradnl"/>
        </w:rPr>
        <w:t>El contrato de prestación de servicios profesionales es un</w:t>
      </w:r>
      <w:r w:rsidRPr="00373E13" w:rsidR="00D3720F">
        <w:rPr>
          <w:rFonts w:ascii="Arial" w:hAnsi="Arial" w:cs="Arial"/>
          <w:noProof/>
          <w:sz w:val="22"/>
          <w:lang w:val="es-ES_tradnl"/>
        </w:rPr>
        <w:t xml:space="preserve"> tipo de negocio </w:t>
      </w:r>
      <w:r w:rsidRPr="00373E13" w:rsidR="0037229F">
        <w:rPr>
          <w:rFonts w:ascii="Arial" w:hAnsi="Arial" w:cs="Arial"/>
          <w:noProof/>
          <w:sz w:val="22"/>
          <w:lang w:val="es-ES_tradnl"/>
        </w:rPr>
        <w:t>previsto</w:t>
      </w:r>
      <w:r w:rsidRPr="00373E13">
        <w:rPr>
          <w:rFonts w:ascii="Arial" w:hAnsi="Arial" w:cs="Arial"/>
          <w:noProof/>
          <w:sz w:val="22"/>
          <w:lang w:val="es-ES_tradnl"/>
        </w:rPr>
        <w:t xml:space="preserve"> en el Estatuto General de Contratación de la Administración Pública</w:t>
      </w:r>
      <w:r w:rsidRPr="00373E13" w:rsidR="00D246C2">
        <w:rPr>
          <w:rFonts w:ascii="Arial" w:hAnsi="Arial" w:cs="Arial"/>
          <w:noProof/>
          <w:sz w:val="22"/>
          <w:lang w:val="es-ES_tradnl"/>
        </w:rPr>
        <w:t>,</w:t>
      </w:r>
      <w:r w:rsidRPr="00373E13">
        <w:rPr>
          <w:rFonts w:ascii="Arial" w:hAnsi="Arial" w:cs="Arial"/>
          <w:noProof/>
          <w:sz w:val="22"/>
          <w:lang w:val="es-ES_tradnl"/>
        </w:rPr>
        <w:t xml:space="preserve"> que puede</w:t>
      </w:r>
      <w:r w:rsidRPr="00373E13" w:rsidR="00D3720F">
        <w:rPr>
          <w:rFonts w:ascii="Arial" w:hAnsi="Arial" w:cs="Arial"/>
          <w:noProof/>
          <w:sz w:val="22"/>
          <w:lang w:val="es-ES_tradnl"/>
        </w:rPr>
        <w:t>n</w:t>
      </w:r>
      <w:r w:rsidRPr="00373E13">
        <w:rPr>
          <w:rFonts w:ascii="Arial" w:hAnsi="Arial" w:cs="Arial"/>
          <w:noProof/>
          <w:sz w:val="22"/>
          <w:lang w:val="es-ES_tradnl"/>
        </w:rPr>
        <w:t xml:space="preserve"> celebrar las entidades estatales. Se trata de un contrato típico</w:t>
      </w:r>
      <w:r w:rsidR="00BC10B9">
        <w:rPr>
          <w:rFonts w:ascii="Arial" w:hAnsi="Arial" w:cs="Arial"/>
          <w:noProof/>
          <w:sz w:val="22"/>
          <w:lang w:val="es-ES_tradnl"/>
        </w:rPr>
        <w:t xml:space="preserve"> que </w:t>
      </w:r>
      <w:r w:rsidRPr="00373E13">
        <w:rPr>
          <w:rFonts w:ascii="Arial" w:hAnsi="Arial" w:cs="Arial"/>
          <w:noProof/>
          <w:sz w:val="22"/>
          <w:lang w:val="es-ES_tradnl"/>
        </w:rPr>
        <w:t xml:space="preserve"> </w:t>
      </w:r>
      <w:r w:rsidRPr="00373E13" w:rsidR="00D246C2">
        <w:rPr>
          <w:rFonts w:ascii="Arial" w:hAnsi="Arial" w:cs="Arial"/>
          <w:noProof/>
          <w:sz w:val="22"/>
          <w:lang w:val="es-ES_tradnl"/>
        </w:rPr>
        <w:t>está</w:t>
      </w:r>
      <w:r w:rsidRPr="00373E13">
        <w:rPr>
          <w:rFonts w:ascii="Arial" w:hAnsi="Arial" w:cs="Arial"/>
          <w:noProof/>
          <w:sz w:val="22"/>
          <w:lang w:val="es-ES_tradnl"/>
        </w:rPr>
        <w:t xml:space="preserve"> definido </w:t>
      </w:r>
      <w:r w:rsidRPr="00373E13" w:rsidR="00D246C2">
        <w:rPr>
          <w:rFonts w:ascii="Arial" w:hAnsi="Arial" w:cs="Arial"/>
          <w:noProof/>
          <w:sz w:val="22"/>
          <w:lang w:val="es-ES_tradnl"/>
        </w:rPr>
        <w:t>en</w:t>
      </w:r>
      <w:r w:rsidRPr="00373E13">
        <w:rPr>
          <w:rFonts w:ascii="Arial" w:hAnsi="Arial" w:cs="Arial"/>
          <w:noProof/>
          <w:sz w:val="22"/>
          <w:lang w:val="es-ES_tradnl"/>
        </w:rPr>
        <w:t xml:space="preserve"> el artículo 32</w:t>
      </w:r>
      <w:r w:rsidRPr="00373E13" w:rsidR="00D246C2">
        <w:rPr>
          <w:rFonts w:ascii="Arial" w:hAnsi="Arial" w:cs="Arial"/>
          <w:noProof/>
          <w:sz w:val="22"/>
          <w:lang w:val="es-ES_tradnl"/>
        </w:rPr>
        <w:t>.</w:t>
      </w:r>
      <w:r w:rsidRPr="00373E13">
        <w:rPr>
          <w:rFonts w:ascii="Arial" w:hAnsi="Arial" w:cs="Arial"/>
          <w:noProof/>
          <w:sz w:val="22"/>
          <w:lang w:val="es-ES_tradnl"/>
        </w:rPr>
        <w:t xml:space="preserve">3 de la Ley 80 de 1993, </w:t>
      </w:r>
      <w:r w:rsidRPr="00373E13" w:rsidR="00D246C2">
        <w:rPr>
          <w:rFonts w:ascii="Arial" w:hAnsi="Arial" w:cs="Arial"/>
          <w:noProof/>
          <w:sz w:val="22"/>
          <w:lang w:val="es-ES_tradnl"/>
        </w:rPr>
        <w:t xml:space="preserve">que </w:t>
      </w:r>
      <w:r w:rsidRPr="00373E13">
        <w:rPr>
          <w:rFonts w:ascii="Arial" w:hAnsi="Arial" w:cs="Arial"/>
          <w:noProof/>
          <w:sz w:val="22"/>
          <w:lang w:val="es-ES_tradnl"/>
        </w:rPr>
        <w:t>establece:</w:t>
      </w:r>
    </w:p>
    <w:p w:rsidRPr="00295D8A" w:rsidR="00C55CE9" w:rsidP="00F106B5" w:rsidRDefault="00C55CE9" w14:paraId="38B31227" w14:textId="77777777">
      <w:pPr>
        <w:spacing w:line="276" w:lineRule="auto"/>
        <w:jc w:val="both"/>
        <w:rPr>
          <w:rFonts w:ascii="Arial" w:hAnsi="Arial" w:cs="Arial"/>
          <w:noProof/>
          <w:sz w:val="22"/>
          <w:lang w:val="es-ES_tradnl"/>
        </w:rPr>
      </w:pPr>
    </w:p>
    <w:p w:rsidRPr="00295D8A" w:rsidR="00C55CE9" w:rsidP="0087751D" w:rsidRDefault="00D246C2" w14:paraId="5E520875" w14:textId="6EEDBCEF">
      <w:pPr>
        <w:spacing w:after="120"/>
        <w:ind w:left="709" w:right="709"/>
        <w:jc w:val="both"/>
        <w:rPr>
          <w:rFonts w:ascii="Arial" w:hAnsi="Arial" w:cs="Arial"/>
          <w:noProof/>
          <w:sz w:val="21"/>
          <w:szCs w:val="21"/>
          <w:lang w:val="es-ES_tradnl"/>
        </w:rPr>
      </w:pPr>
      <w:r w:rsidRPr="00295D8A">
        <w:rPr>
          <w:rFonts w:ascii="Arial" w:hAnsi="Arial" w:cs="Arial"/>
          <w:noProof/>
          <w:sz w:val="21"/>
          <w:szCs w:val="21"/>
          <w:lang w:val="es-ES_tradnl"/>
        </w:rPr>
        <w:t xml:space="preserve">3. </w:t>
      </w:r>
      <w:r w:rsidRPr="00295D8A" w:rsidR="00C55CE9">
        <w:rPr>
          <w:rFonts w:ascii="Arial" w:hAnsi="Arial" w:cs="Arial"/>
          <w:noProof/>
          <w:sz w:val="21"/>
          <w:szCs w:val="21"/>
          <w:lang w:val="es-ES_tradnl"/>
        </w:rPr>
        <w:t xml:space="preserve">Son contratos de prestación de servicios los que celebren las entidades estatales para desarrollar actividades relacionadas con la administración o </w:t>
      </w:r>
      <w:r w:rsidRPr="00295D8A" w:rsidR="00C55CE9">
        <w:rPr>
          <w:rFonts w:ascii="Arial" w:hAnsi="Arial" w:cs="Arial"/>
          <w:noProof/>
          <w:sz w:val="21"/>
          <w:szCs w:val="21"/>
          <w:lang w:val="es-ES_tradnl"/>
        </w:rPr>
        <w:lastRenderedPageBreak/>
        <w:t>funcionamiento de la entidad. Estos contratos sólo podrán celebrarse con personas naturales cuando dichas actividades no puedan realizarse con personal de planta o requieran conocimientos especializados.</w:t>
      </w:r>
    </w:p>
    <w:p w:rsidRPr="00295D8A" w:rsidR="00C55CE9" w:rsidP="006B5D02" w:rsidRDefault="00C55CE9" w14:paraId="0C1B58CF" w14:textId="77777777">
      <w:pPr>
        <w:ind w:left="709" w:right="709"/>
        <w:jc w:val="both"/>
        <w:rPr>
          <w:rFonts w:ascii="Arial" w:hAnsi="Arial" w:cs="Arial"/>
          <w:noProof/>
          <w:sz w:val="21"/>
          <w:szCs w:val="21"/>
          <w:lang w:val="es-ES_tradnl"/>
        </w:rPr>
      </w:pPr>
      <w:r w:rsidRPr="00295D8A">
        <w:rPr>
          <w:rFonts w:ascii="Arial" w:hAnsi="Arial" w:cs="Arial"/>
          <w:noProof/>
          <w:sz w:val="21"/>
          <w:szCs w:val="21"/>
          <w:lang w:val="es-ES_tradnl"/>
        </w:rPr>
        <w:t>En ningún caso estos contratos generan relación laboral ni prestaciones sociales y se celebrarán por el término estrictamente indispensable.</w:t>
      </w:r>
    </w:p>
    <w:p w:rsidRPr="00295D8A" w:rsidR="00C55CE9" w:rsidP="00F106B5" w:rsidRDefault="00C55CE9" w14:paraId="102AAAAF" w14:textId="77777777">
      <w:pPr>
        <w:pStyle w:val="Prrafodelista"/>
        <w:tabs>
          <w:tab w:val="left" w:pos="284"/>
        </w:tabs>
        <w:spacing w:line="276" w:lineRule="auto"/>
        <w:ind w:left="0"/>
        <w:jc w:val="both"/>
        <w:rPr>
          <w:rFonts w:ascii="Arial" w:hAnsi="Arial" w:eastAsia="Calibri" w:cs="Arial"/>
          <w:b/>
          <w:noProof/>
          <w:sz w:val="22"/>
          <w:lang w:val="es-ES_tradnl"/>
        </w:rPr>
      </w:pPr>
    </w:p>
    <w:p w:rsidRPr="00295D8A" w:rsidR="00C55CE9" w:rsidP="00F106B5" w:rsidRDefault="00D246C2" w14:paraId="4FE2B8DD" w14:textId="69A1C857">
      <w:pPr>
        <w:spacing w:line="276" w:lineRule="auto"/>
        <w:ind w:firstLine="709"/>
        <w:jc w:val="both"/>
        <w:rPr>
          <w:rFonts w:ascii="Arial" w:hAnsi="Arial" w:cs="Arial"/>
          <w:noProof/>
          <w:sz w:val="22"/>
          <w:lang w:val="es-ES_tradnl"/>
        </w:rPr>
      </w:pPr>
      <w:r w:rsidRPr="00295D8A">
        <w:rPr>
          <w:rFonts w:ascii="Arial" w:hAnsi="Arial" w:cs="Arial"/>
          <w:noProof/>
          <w:sz w:val="22"/>
          <w:lang w:val="es-ES_tradnl"/>
        </w:rPr>
        <w:t>Su</w:t>
      </w:r>
      <w:r w:rsidRPr="00295D8A" w:rsidR="00C55CE9">
        <w:rPr>
          <w:rFonts w:ascii="Arial" w:hAnsi="Arial" w:cs="Arial"/>
          <w:noProof/>
          <w:sz w:val="22"/>
          <w:lang w:val="es-ES_tradnl"/>
        </w:rPr>
        <w:t xml:space="preserve"> celebración se </w:t>
      </w:r>
      <w:r w:rsidRPr="00295D8A" w:rsidR="00D3720F">
        <w:rPr>
          <w:rFonts w:ascii="Arial" w:hAnsi="Arial" w:cs="Arial"/>
          <w:noProof/>
          <w:sz w:val="22"/>
          <w:lang w:val="es-ES_tradnl"/>
        </w:rPr>
        <w:t>formaliza</w:t>
      </w:r>
      <w:r w:rsidRPr="00295D8A">
        <w:rPr>
          <w:rFonts w:ascii="Arial" w:hAnsi="Arial" w:cs="Arial"/>
          <w:noProof/>
          <w:sz w:val="22"/>
          <w:lang w:val="es-ES_tradnl"/>
        </w:rPr>
        <w:t xml:space="preserve"> </w:t>
      </w:r>
      <w:r w:rsidRPr="00295D8A" w:rsidR="00C55CE9">
        <w:rPr>
          <w:rFonts w:ascii="Arial" w:hAnsi="Arial" w:cs="Arial"/>
          <w:noProof/>
          <w:sz w:val="22"/>
          <w:lang w:val="es-ES_tradnl"/>
        </w:rPr>
        <w:t>a través de la modalidad de contratación directa</w:t>
      </w:r>
      <w:r w:rsidRPr="00295D8A">
        <w:rPr>
          <w:rFonts w:ascii="Arial" w:hAnsi="Arial" w:cs="Arial"/>
          <w:noProof/>
          <w:sz w:val="22"/>
          <w:lang w:val="es-ES_tradnl"/>
        </w:rPr>
        <w:t>, como lo dispone</w:t>
      </w:r>
      <w:r w:rsidRPr="00295D8A" w:rsidR="00C55CE9">
        <w:rPr>
          <w:rFonts w:ascii="Arial" w:hAnsi="Arial" w:cs="Arial"/>
          <w:noProof/>
          <w:sz w:val="22"/>
          <w:lang w:val="es-ES_tradnl"/>
        </w:rPr>
        <w:t xml:space="preserve"> el artículo 2, numeral 4º, literal h)</w:t>
      </w:r>
      <w:r w:rsidRPr="00295D8A">
        <w:rPr>
          <w:rFonts w:ascii="Arial" w:hAnsi="Arial" w:cs="Arial"/>
          <w:noProof/>
          <w:sz w:val="22"/>
          <w:lang w:val="es-ES_tradnl"/>
        </w:rPr>
        <w:t>,</w:t>
      </w:r>
      <w:r w:rsidRPr="00295D8A" w:rsidR="00C55CE9">
        <w:rPr>
          <w:rFonts w:ascii="Arial" w:hAnsi="Arial" w:cs="Arial"/>
          <w:noProof/>
          <w:sz w:val="22"/>
          <w:lang w:val="es-ES_tradnl"/>
        </w:rPr>
        <w:t xml:space="preserve"> de la Ley 1150 de 2007:</w:t>
      </w:r>
    </w:p>
    <w:p w:rsidRPr="00295D8A" w:rsidR="00C55CE9" w:rsidP="00F106B5" w:rsidRDefault="00C55CE9" w14:paraId="47DAE674" w14:textId="77777777">
      <w:pPr>
        <w:spacing w:line="276" w:lineRule="auto"/>
        <w:ind w:firstLine="709"/>
        <w:jc w:val="both"/>
        <w:rPr>
          <w:rFonts w:ascii="Arial" w:hAnsi="Arial" w:cs="Arial"/>
          <w:noProof/>
          <w:sz w:val="22"/>
          <w:lang w:val="es-ES_tradnl"/>
        </w:rPr>
      </w:pPr>
    </w:p>
    <w:p w:rsidRPr="00295D8A" w:rsidR="00C55CE9" w:rsidP="006B5D02" w:rsidRDefault="00C55CE9" w14:paraId="33C7C6C2" w14:textId="77777777">
      <w:pPr>
        <w:ind w:left="709" w:right="709"/>
        <w:jc w:val="both"/>
        <w:rPr>
          <w:rFonts w:ascii="Arial" w:hAnsi="Arial" w:cs="Arial"/>
          <w:noProof/>
          <w:sz w:val="21"/>
          <w:szCs w:val="21"/>
          <w:lang w:val="es-ES_tradnl"/>
        </w:rPr>
      </w:pPr>
      <w:r w:rsidRPr="00295D8A">
        <w:rPr>
          <w:rFonts w:ascii="Arial" w:hAnsi="Arial" w:cs="Arial"/>
          <w:noProof/>
          <w:sz w:val="21"/>
          <w:szCs w:val="21"/>
          <w:lang w:val="es-ES_tradnl"/>
        </w:rPr>
        <w:t>[…]</w:t>
      </w:r>
    </w:p>
    <w:p w:rsidRPr="00295D8A" w:rsidR="00C55CE9" w:rsidP="0087751D" w:rsidRDefault="00C55CE9" w14:paraId="1141A8A7" w14:textId="317603C7">
      <w:pPr>
        <w:spacing w:after="120"/>
        <w:ind w:left="709" w:right="709"/>
        <w:jc w:val="both"/>
        <w:rPr>
          <w:rFonts w:ascii="Arial" w:hAnsi="Arial" w:cs="Arial"/>
          <w:noProof/>
          <w:sz w:val="21"/>
          <w:szCs w:val="21"/>
          <w:lang w:val="es-ES_tradnl"/>
        </w:rPr>
      </w:pPr>
      <w:r w:rsidRPr="00295D8A">
        <w:rPr>
          <w:rFonts w:ascii="Arial" w:hAnsi="Arial" w:cs="Arial"/>
          <w:noProof/>
          <w:sz w:val="21"/>
          <w:szCs w:val="21"/>
          <w:lang w:val="es-ES_tradnl"/>
        </w:rPr>
        <w:t>Contratación directa. La modalidad de selección de contratación directa, solamente procederá en los siguientes casos:</w:t>
      </w:r>
    </w:p>
    <w:p w:rsidRPr="00295D8A" w:rsidR="00C55CE9" w:rsidP="006B5D02" w:rsidRDefault="00C55CE9" w14:paraId="1EEFCCC9" w14:textId="77777777">
      <w:pPr>
        <w:ind w:left="709" w:right="709"/>
        <w:jc w:val="both"/>
        <w:rPr>
          <w:rFonts w:ascii="Arial" w:hAnsi="Arial" w:cs="Arial"/>
          <w:noProof/>
          <w:sz w:val="21"/>
          <w:szCs w:val="21"/>
          <w:lang w:val="es-ES_tradnl"/>
        </w:rPr>
      </w:pPr>
      <w:r w:rsidRPr="00295D8A">
        <w:rPr>
          <w:rFonts w:ascii="Arial" w:hAnsi="Arial" w:cs="Arial"/>
          <w:noProof/>
          <w:sz w:val="21"/>
          <w:szCs w:val="21"/>
          <w:lang w:val="es-ES_tradnl"/>
        </w:rPr>
        <w:t>[…]</w:t>
      </w:r>
    </w:p>
    <w:p w:rsidRPr="00295D8A" w:rsidR="00C55CE9" w:rsidP="006B5D02" w:rsidRDefault="00C55CE9" w14:paraId="709004BF" w14:textId="3B372C37">
      <w:pPr>
        <w:ind w:left="709" w:right="709"/>
        <w:jc w:val="both"/>
        <w:rPr>
          <w:rFonts w:ascii="Arial" w:hAnsi="Arial" w:cs="Arial"/>
          <w:noProof/>
          <w:sz w:val="21"/>
          <w:szCs w:val="21"/>
          <w:lang w:val="es-ES_tradnl"/>
        </w:rPr>
      </w:pPr>
      <w:r w:rsidRPr="00295D8A">
        <w:rPr>
          <w:rFonts w:ascii="Arial" w:hAnsi="Arial" w:cs="Arial"/>
          <w:noProof/>
          <w:sz w:val="21"/>
          <w:szCs w:val="21"/>
          <w:lang w:val="es-ES_tradnl"/>
        </w:rPr>
        <w:t>h) Para la prestación de servicios profesionales y de apoyo a la gestión, o para la ejecución de trabajos artísticos que sólo puedan encomendarse a determinadas personas naturales</w:t>
      </w:r>
    </w:p>
    <w:p w:rsidRPr="00295D8A" w:rsidR="00C55CE9" w:rsidP="00F106B5" w:rsidRDefault="00C55CE9" w14:paraId="60130966" w14:textId="77777777">
      <w:pPr>
        <w:spacing w:line="276" w:lineRule="auto"/>
        <w:ind w:right="709"/>
        <w:jc w:val="both"/>
        <w:rPr>
          <w:rFonts w:ascii="Arial" w:hAnsi="Arial" w:cs="Arial"/>
          <w:noProof/>
          <w:sz w:val="22"/>
          <w:lang w:val="es-ES_tradnl"/>
        </w:rPr>
      </w:pPr>
    </w:p>
    <w:p w:rsidRPr="00295D8A" w:rsidR="00C55CE9" w:rsidP="00F106B5" w:rsidRDefault="00C55CE9" w14:paraId="555C6B31" w14:textId="1A09F722">
      <w:pPr>
        <w:spacing w:line="276" w:lineRule="auto"/>
        <w:ind w:firstLine="709"/>
        <w:jc w:val="both"/>
        <w:rPr>
          <w:rFonts w:ascii="Arial" w:hAnsi="Arial" w:cs="Arial"/>
          <w:noProof/>
          <w:sz w:val="22"/>
          <w:lang w:val="es-ES_tradnl"/>
        </w:rPr>
      </w:pPr>
      <w:r w:rsidRPr="00295D8A">
        <w:rPr>
          <w:rFonts w:ascii="Arial" w:hAnsi="Arial" w:cs="Arial"/>
          <w:noProof/>
          <w:sz w:val="22"/>
          <w:lang w:val="es-ES_tradnl"/>
        </w:rPr>
        <w:t>A partir de est</w:t>
      </w:r>
      <w:r w:rsidRPr="00295D8A" w:rsidR="004A6646">
        <w:rPr>
          <w:rFonts w:ascii="Arial" w:hAnsi="Arial" w:cs="Arial"/>
          <w:noProof/>
          <w:sz w:val="22"/>
          <w:lang w:val="es-ES_tradnl"/>
        </w:rPr>
        <w:t>a</w:t>
      </w:r>
      <w:r w:rsidRPr="00295D8A">
        <w:rPr>
          <w:rFonts w:ascii="Arial" w:hAnsi="Arial" w:cs="Arial"/>
          <w:noProof/>
          <w:sz w:val="22"/>
          <w:lang w:val="es-ES_tradnl"/>
        </w:rPr>
        <w:t xml:space="preserve">s </w:t>
      </w:r>
      <w:r w:rsidRPr="00295D8A" w:rsidR="004A6646">
        <w:rPr>
          <w:rFonts w:ascii="Arial" w:hAnsi="Arial" w:cs="Arial"/>
          <w:noProof/>
          <w:sz w:val="22"/>
          <w:lang w:val="es-ES_tradnl"/>
        </w:rPr>
        <w:t>disposiciones</w:t>
      </w:r>
      <w:r w:rsidRPr="00295D8A">
        <w:rPr>
          <w:rFonts w:ascii="Arial" w:hAnsi="Arial" w:cs="Arial"/>
          <w:noProof/>
          <w:sz w:val="22"/>
          <w:lang w:val="es-ES_tradnl"/>
        </w:rPr>
        <w:t>,</w:t>
      </w:r>
      <w:r w:rsidRPr="00295D8A" w:rsidR="004A6646">
        <w:rPr>
          <w:rFonts w:ascii="Arial" w:hAnsi="Arial" w:cs="Arial"/>
          <w:noProof/>
          <w:sz w:val="22"/>
          <w:lang w:val="es-ES_tradnl"/>
        </w:rPr>
        <w:t xml:space="preserve"> entre </w:t>
      </w:r>
      <w:r w:rsidRPr="00295D8A">
        <w:rPr>
          <w:rFonts w:ascii="Arial" w:hAnsi="Arial" w:cs="Arial"/>
          <w:noProof/>
          <w:sz w:val="22"/>
          <w:lang w:val="es-ES_tradnl"/>
        </w:rPr>
        <w:t>otr</w:t>
      </w:r>
      <w:r w:rsidRPr="00295D8A" w:rsidR="004A6646">
        <w:rPr>
          <w:rFonts w:ascii="Arial" w:hAnsi="Arial" w:cs="Arial"/>
          <w:noProof/>
          <w:sz w:val="22"/>
          <w:lang w:val="es-ES_tradnl"/>
        </w:rPr>
        <w:t>a</w:t>
      </w:r>
      <w:r w:rsidRPr="00295D8A">
        <w:rPr>
          <w:rFonts w:ascii="Arial" w:hAnsi="Arial" w:cs="Arial"/>
          <w:noProof/>
          <w:sz w:val="22"/>
          <w:lang w:val="es-ES_tradnl"/>
        </w:rPr>
        <w:t xml:space="preserve">s de </w:t>
      </w:r>
      <w:r w:rsidRPr="00295D8A" w:rsidR="004A6646">
        <w:rPr>
          <w:rFonts w:ascii="Arial" w:hAnsi="Arial" w:cs="Arial"/>
          <w:noProof/>
          <w:sz w:val="22"/>
          <w:lang w:val="es-ES_tradnl"/>
        </w:rPr>
        <w:t xml:space="preserve">rango </w:t>
      </w:r>
      <w:r w:rsidRPr="00295D8A">
        <w:rPr>
          <w:rFonts w:ascii="Arial" w:hAnsi="Arial" w:cs="Arial"/>
          <w:noProof/>
          <w:sz w:val="22"/>
          <w:lang w:val="es-ES_tradnl"/>
        </w:rPr>
        <w:t xml:space="preserve">legal y reglamentario que complementan su regulación, y de los pronunciamientos judiciales más destacados, es posible </w:t>
      </w:r>
      <w:r w:rsidRPr="00295D8A" w:rsidR="00903913">
        <w:rPr>
          <w:rFonts w:ascii="Arial" w:hAnsi="Arial" w:cs="Arial"/>
          <w:noProof/>
          <w:sz w:val="22"/>
          <w:lang w:val="es-ES_tradnl"/>
        </w:rPr>
        <w:t>resaltar</w:t>
      </w:r>
      <w:r w:rsidRPr="00295D8A">
        <w:rPr>
          <w:rFonts w:ascii="Arial" w:hAnsi="Arial" w:cs="Arial"/>
          <w:noProof/>
          <w:sz w:val="22"/>
          <w:lang w:val="es-ES_tradnl"/>
        </w:rPr>
        <w:t xml:space="preserve"> las siguientes características</w:t>
      </w:r>
      <w:r w:rsidRPr="00295D8A" w:rsidR="004A6646">
        <w:rPr>
          <w:rFonts w:ascii="Arial" w:hAnsi="Arial" w:cs="Arial"/>
          <w:noProof/>
          <w:sz w:val="22"/>
          <w:lang w:val="es-ES_tradnl"/>
        </w:rPr>
        <w:t xml:space="preserve"> de este contrato</w:t>
      </w:r>
      <w:r w:rsidRPr="00295D8A">
        <w:rPr>
          <w:rFonts w:ascii="Arial" w:hAnsi="Arial" w:cs="Arial"/>
          <w:noProof/>
          <w:sz w:val="22"/>
          <w:lang w:val="es-ES_tradnl"/>
        </w:rPr>
        <w:t>:</w:t>
      </w:r>
    </w:p>
    <w:p w:rsidRPr="00295D8A" w:rsidR="00C55CE9" w:rsidP="00F106B5" w:rsidRDefault="00C55CE9" w14:paraId="5589082C" w14:textId="77777777">
      <w:pPr>
        <w:spacing w:before="120" w:after="120" w:line="276" w:lineRule="auto"/>
        <w:ind w:firstLine="709"/>
        <w:jc w:val="both"/>
        <w:rPr>
          <w:rFonts w:ascii="Arial" w:hAnsi="Arial" w:cs="Arial"/>
          <w:noProof/>
          <w:sz w:val="22"/>
          <w:lang w:val="es-ES_tradnl"/>
        </w:rPr>
      </w:pPr>
      <w:r w:rsidRPr="00295D8A">
        <w:rPr>
          <w:rFonts w:ascii="Arial" w:hAnsi="Arial" w:cs="Arial"/>
          <w:noProof/>
          <w:sz w:val="22"/>
          <w:lang w:val="es-ES_tradnl"/>
        </w:rPr>
        <w:t>i) Solo puede celebrarse para realizar «actividades relacionadas con la administración o funcionamiento de la entidad», es decir, que hagan parte de su giro ordinario o quehacer cotidiano.</w:t>
      </w:r>
    </w:p>
    <w:p w:rsidRPr="00295D8A" w:rsidR="00C55CE9" w:rsidP="00F106B5" w:rsidRDefault="00C55CE9" w14:paraId="050B63DE" w14:textId="331498F1">
      <w:pPr>
        <w:spacing w:before="120" w:after="120" w:line="276" w:lineRule="auto"/>
        <w:ind w:firstLine="709"/>
        <w:jc w:val="both"/>
        <w:rPr>
          <w:rFonts w:ascii="Arial" w:hAnsi="Arial" w:cs="Arial"/>
          <w:noProof/>
          <w:sz w:val="22"/>
          <w:lang w:val="es-ES_tradnl"/>
        </w:rPr>
      </w:pPr>
      <w:r w:rsidRPr="00295D8A">
        <w:rPr>
          <w:rFonts w:ascii="Arial" w:hAnsi="Arial" w:cs="Arial"/>
          <w:noProof/>
          <w:sz w:val="22"/>
          <w:lang w:val="es-ES_tradnl"/>
        </w:rPr>
        <w:t>ii) Admite que se suscriba con personas naturales</w:t>
      </w:r>
      <w:r w:rsidRPr="00295D8A" w:rsidR="004A6646">
        <w:rPr>
          <w:rFonts w:ascii="Arial" w:hAnsi="Arial" w:cs="Arial"/>
          <w:noProof/>
          <w:sz w:val="22"/>
          <w:lang w:val="es-ES_tradnl"/>
        </w:rPr>
        <w:t xml:space="preserve"> o </w:t>
      </w:r>
      <w:r w:rsidRPr="00295D8A">
        <w:rPr>
          <w:rFonts w:ascii="Arial" w:hAnsi="Arial" w:cs="Arial"/>
          <w:noProof/>
          <w:sz w:val="22"/>
          <w:lang w:val="es-ES_tradnl"/>
        </w:rPr>
        <w:t xml:space="preserve">jurídicas. Sin embargo, cuando </w:t>
      </w:r>
      <w:r w:rsidRPr="00295D8A" w:rsidR="004A6646">
        <w:rPr>
          <w:rFonts w:ascii="Arial" w:hAnsi="Arial" w:cs="Arial"/>
          <w:noProof/>
          <w:sz w:val="22"/>
          <w:lang w:val="es-ES_tradnl"/>
        </w:rPr>
        <w:t>se</w:t>
      </w:r>
      <w:r w:rsidRPr="00295D8A">
        <w:rPr>
          <w:rFonts w:ascii="Arial" w:hAnsi="Arial" w:cs="Arial"/>
          <w:noProof/>
          <w:sz w:val="22"/>
          <w:lang w:val="es-ES_tradnl"/>
        </w:rPr>
        <w:t xml:space="preserve"> celebr</w:t>
      </w:r>
      <w:r w:rsidRPr="00295D8A" w:rsidR="004A6646">
        <w:rPr>
          <w:rFonts w:ascii="Arial" w:hAnsi="Arial" w:cs="Arial"/>
          <w:noProof/>
          <w:sz w:val="22"/>
          <w:lang w:val="es-ES_tradnl"/>
        </w:rPr>
        <w:t xml:space="preserve">e </w:t>
      </w:r>
      <w:r w:rsidRPr="00295D8A">
        <w:rPr>
          <w:rFonts w:ascii="Arial" w:hAnsi="Arial" w:cs="Arial"/>
          <w:noProof/>
          <w:sz w:val="22"/>
          <w:lang w:val="es-ES_tradnl"/>
        </w:rPr>
        <w:t xml:space="preserve">con </w:t>
      </w:r>
      <w:r w:rsidRPr="00295D8A" w:rsidR="004A6646">
        <w:rPr>
          <w:rFonts w:ascii="Arial" w:hAnsi="Arial" w:cs="Arial"/>
          <w:noProof/>
          <w:sz w:val="22"/>
          <w:lang w:val="es-ES_tradnl"/>
        </w:rPr>
        <w:t>aqu</w:t>
      </w:r>
      <w:r w:rsidR="003C77FB">
        <w:rPr>
          <w:rFonts w:ascii="Arial" w:hAnsi="Arial" w:cs="Arial"/>
          <w:noProof/>
          <w:sz w:val="22"/>
          <w:lang w:val="es-ES_tradnl"/>
        </w:rPr>
        <w:t>e</w:t>
      </w:r>
      <w:r w:rsidRPr="00295D8A" w:rsidR="004A6646">
        <w:rPr>
          <w:rFonts w:ascii="Arial" w:hAnsi="Arial" w:cs="Arial"/>
          <w:noProof/>
          <w:sz w:val="22"/>
          <w:lang w:val="es-ES_tradnl"/>
        </w:rPr>
        <w:t>llas</w:t>
      </w:r>
      <w:r w:rsidRPr="00295D8A" w:rsidR="00903913">
        <w:rPr>
          <w:rFonts w:ascii="Arial" w:hAnsi="Arial" w:cs="Arial"/>
          <w:noProof/>
          <w:sz w:val="22"/>
          <w:lang w:val="es-ES_tradnl"/>
        </w:rPr>
        <w:t>,</w:t>
      </w:r>
      <w:r w:rsidRPr="00295D8A" w:rsidR="004A6646">
        <w:rPr>
          <w:rFonts w:ascii="Arial" w:hAnsi="Arial" w:cs="Arial"/>
          <w:noProof/>
          <w:sz w:val="22"/>
          <w:lang w:val="es-ES_tradnl"/>
        </w:rPr>
        <w:t xml:space="preserve"> </w:t>
      </w:r>
      <w:r w:rsidRPr="00295D8A">
        <w:rPr>
          <w:rFonts w:ascii="Arial" w:hAnsi="Arial" w:cs="Arial"/>
          <w:noProof/>
          <w:sz w:val="22"/>
          <w:lang w:val="es-ES_tradnl"/>
        </w:rPr>
        <w:t>la entidad estatal debe justificar</w:t>
      </w:r>
      <w:r w:rsidRPr="00295D8A" w:rsidR="004A6646">
        <w:rPr>
          <w:rFonts w:ascii="Arial" w:hAnsi="Arial" w:cs="Arial"/>
          <w:noProof/>
          <w:sz w:val="22"/>
          <w:lang w:val="es-ES_tradnl"/>
        </w:rPr>
        <w:t>,</w:t>
      </w:r>
      <w:r w:rsidRPr="00295D8A">
        <w:rPr>
          <w:rFonts w:ascii="Arial" w:hAnsi="Arial" w:cs="Arial"/>
          <w:noProof/>
          <w:sz w:val="22"/>
          <w:lang w:val="es-ES_tradnl"/>
        </w:rPr>
        <w:t xml:space="preserve"> en los estudios previos</w:t>
      </w:r>
      <w:r w:rsidRPr="00295D8A" w:rsidR="004A6646">
        <w:rPr>
          <w:rFonts w:ascii="Arial" w:hAnsi="Arial" w:cs="Arial"/>
          <w:noProof/>
          <w:sz w:val="22"/>
          <w:lang w:val="es-ES_tradnl"/>
        </w:rPr>
        <w:t>,</w:t>
      </w:r>
      <w:r w:rsidRPr="00295D8A">
        <w:rPr>
          <w:rFonts w:ascii="Arial" w:hAnsi="Arial" w:cs="Arial"/>
          <w:noProof/>
          <w:sz w:val="22"/>
          <w:lang w:val="es-ES_tradnl"/>
        </w:rPr>
        <w:t xml:space="preserve"> que las actividades «no puedan realizarse con personal de planta o requieran conocimientos especializados». Esto sucede en varios eventos, por </w:t>
      </w:r>
      <w:r w:rsidRPr="00295D8A" w:rsidR="002C31BC">
        <w:rPr>
          <w:rFonts w:ascii="Arial" w:hAnsi="Arial" w:cs="Arial"/>
          <w:noProof/>
          <w:sz w:val="22"/>
          <w:lang w:val="es-ES_tradnl"/>
        </w:rPr>
        <w:t>ejemplo,</w:t>
      </w:r>
      <w:r w:rsidRPr="00295D8A" w:rsidR="004A6646">
        <w:rPr>
          <w:rFonts w:ascii="Arial" w:hAnsi="Arial" w:cs="Arial"/>
          <w:noProof/>
          <w:sz w:val="22"/>
          <w:lang w:val="es-ES_tradnl"/>
        </w:rPr>
        <w:t xml:space="preserve"> cuando </w:t>
      </w:r>
      <w:r w:rsidRPr="00295D8A">
        <w:rPr>
          <w:rFonts w:ascii="Arial" w:hAnsi="Arial" w:cs="Arial"/>
          <w:noProof/>
          <w:sz w:val="22"/>
          <w:lang w:val="es-ES_tradnl"/>
        </w:rPr>
        <w:t xml:space="preserve">no exista personal de planta para </w:t>
      </w:r>
      <w:r w:rsidRPr="00295D8A" w:rsidR="004A6646">
        <w:rPr>
          <w:rFonts w:ascii="Arial" w:hAnsi="Arial" w:cs="Arial"/>
          <w:noProof/>
          <w:sz w:val="22"/>
          <w:lang w:val="es-ES_tradnl"/>
        </w:rPr>
        <w:t>ejecutar las la</w:t>
      </w:r>
      <w:r w:rsidRPr="00295D8A">
        <w:rPr>
          <w:rFonts w:ascii="Arial" w:hAnsi="Arial" w:cs="Arial"/>
          <w:noProof/>
          <w:sz w:val="22"/>
          <w:lang w:val="es-ES_tradnl"/>
        </w:rPr>
        <w:t xml:space="preserve">bores; </w:t>
      </w:r>
      <w:r w:rsidRPr="00295D8A" w:rsidR="004A6646">
        <w:rPr>
          <w:rFonts w:ascii="Arial" w:hAnsi="Arial" w:cs="Arial"/>
          <w:noProof/>
          <w:sz w:val="22"/>
          <w:lang w:val="es-ES_tradnl"/>
        </w:rPr>
        <w:t xml:space="preserve">o </w:t>
      </w:r>
      <w:r w:rsidRPr="00295D8A">
        <w:rPr>
          <w:rFonts w:ascii="Arial" w:hAnsi="Arial" w:cs="Arial"/>
          <w:noProof/>
          <w:sz w:val="22"/>
          <w:lang w:val="es-ES_tradnl"/>
        </w:rPr>
        <w:t>exist</w:t>
      </w:r>
      <w:r w:rsidRPr="00295D8A" w:rsidR="004A6646">
        <w:rPr>
          <w:rFonts w:ascii="Arial" w:hAnsi="Arial" w:cs="Arial"/>
          <w:noProof/>
          <w:sz w:val="22"/>
          <w:lang w:val="es-ES_tradnl"/>
        </w:rPr>
        <w:t xml:space="preserve">iendo </w:t>
      </w:r>
      <w:r w:rsidRPr="00295D8A">
        <w:rPr>
          <w:rFonts w:ascii="Arial" w:hAnsi="Arial" w:cs="Arial"/>
          <w:noProof/>
          <w:sz w:val="22"/>
          <w:lang w:val="es-ES_tradnl"/>
        </w:rPr>
        <w:t xml:space="preserve">está sobrecargado de trabajo, </w:t>
      </w:r>
      <w:r w:rsidRPr="00295D8A" w:rsidR="004A6646">
        <w:rPr>
          <w:rFonts w:ascii="Arial" w:hAnsi="Arial" w:cs="Arial"/>
          <w:noProof/>
          <w:sz w:val="22"/>
          <w:lang w:val="es-ES_tradnl"/>
        </w:rPr>
        <w:t xml:space="preserve">necesitando </w:t>
      </w:r>
      <w:r w:rsidRPr="00295D8A">
        <w:rPr>
          <w:rFonts w:ascii="Arial" w:hAnsi="Arial" w:cs="Arial"/>
          <w:noProof/>
          <w:sz w:val="22"/>
          <w:lang w:val="es-ES_tradnl"/>
        </w:rPr>
        <w:t xml:space="preserve">apoyo externo; o </w:t>
      </w:r>
      <w:r w:rsidRPr="00295D8A" w:rsidR="004A6646">
        <w:rPr>
          <w:rFonts w:ascii="Arial" w:hAnsi="Arial" w:cs="Arial"/>
          <w:noProof/>
          <w:sz w:val="22"/>
          <w:lang w:val="es-ES_tradnl"/>
        </w:rPr>
        <w:t>habiendo p</w:t>
      </w:r>
      <w:r w:rsidRPr="00295D8A">
        <w:rPr>
          <w:rFonts w:ascii="Arial" w:hAnsi="Arial" w:cs="Arial"/>
          <w:noProof/>
          <w:sz w:val="22"/>
          <w:lang w:val="es-ES_tradnl"/>
        </w:rPr>
        <w:t xml:space="preserve">ersonal de planta, </w:t>
      </w:r>
      <w:r w:rsidRPr="00295D8A" w:rsidR="004A6646">
        <w:rPr>
          <w:rFonts w:ascii="Arial" w:hAnsi="Arial" w:cs="Arial"/>
          <w:noProof/>
          <w:sz w:val="22"/>
          <w:lang w:val="es-ES_tradnl"/>
        </w:rPr>
        <w:t xml:space="preserve">carece de la </w:t>
      </w:r>
      <w:r w:rsidRPr="00295D8A">
        <w:rPr>
          <w:rFonts w:ascii="Arial" w:hAnsi="Arial" w:cs="Arial"/>
          <w:noProof/>
          <w:sz w:val="22"/>
          <w:lang w:val="es-ES_tradnl"/>
        </w:rPr>
        <w:t>experticia o conocimiento especializado</w:t>
      </w:r>
      <w:r w:rsidRPr="00295D8A" w:rsidR="004A6646">
        <w:rPr>
          <w:rFonts w:ascii="Arial" w:hAnsi="Arial" w:cs="Arial"/>
          <w:noProof/>
          <w:sz w:val="22"/>
          <w:lang w:val="es-ES_tradnl"/>
        </w:rPr>
        <w:t>,</w:t>
      </w:r>
      <w:r w:rsidRPr="00295D8A">
        <w:rPr>
          <w:rFonts w:ascii="Arial" w:hAnsi="Arial" w:cs="Arial"/>
          <w:noProof/>
          <w:sz w:val="22"/>
          <w:lang w:val="es-ES_tradnl"/>
        </w:rPr>
        <w:t xml:space="preserve"> razón</w:t>
      </w:r>
      <w:r w:rsidRPr="00295D8A" w:rsidR="004A6646">
        <w:rPr>
          <w:rFonts w:ascii="Arial" w:hAnsi="Arial" w:cs="Arial"/>
          <w:noProof/>
          <w:sz w:val="22"/>
          <w:lang w:val="es-ES_tradnl"/>
        </w:rPr>
        <w:t xml:space="preserve"> por</w:t>
      </w:r>
      <w:r w:rsidRPr="00295D8A" w:rsidR="00903913">
        <w:rPr>
          <w:rFonts w:ascii="Arial" w:hAnsi="Arial" w:cs="Arial"/>
          <w:noProof/>
          <w:sz w:val="22"/>
          <w:lang w:val="es-ES_tradnl"/>
        </w:rPr>
        <w:t xml:space="preserve"> </w:t>
      </w:r>
      <w:r w:rsidRPr="00295D8A" w:rsidR="004A6646">
        <w:rPr>
          <w:rFonts w:ascii="Arial" w:hAnsi="Arial" w:cs="Arial"/>
          <w:noProof/>
          <w:sz w:val="22"/>
          <w:lang w:val="es-ES_tradnl"/>
        </w:rPr>
        <w:t>la cual es n</w:t>
      </w:r>
      <w:r w:rsidRPr="00295D8A">
        <w:rPr>
          <w:rFonts w:ascii="Arial" w:hAnsi="Arial" w:cs="Arial"/>
          <w:noProof/>
          <w:sz w:val="22"/>
          <w:lang w:val="es-ES_tradnl"/>
        </w:rPr>
        <w:t xml:space="preserve">ecesario contratar los servicios de una persona natural que </w:t>
      </w:r>
      <w:r w:rsidRPr="00295D8A" w:rsidR="004A6646">
        <w:rPr>
          <w:rFonts w:ascii="Arial" w:hAnsi="Arial" w:cs="Arial"/>
          <w:noProof/>
          <w:sz w:val="22"/>
          <w:lang w:val="es-ES_tradnl"/>
        </w:rPr>
        <w:t>tenga el</w:t>
      </w:r>
      <w:r w:rsidRPr="00295D8A">
        <w:rPr>
          <w:rFonts w:ascii="Arial" w:hAnsi="Arial" w:cs="Arial"/>
          <w:noProof/>
          <w:sz w:val="22"/>
          <w:lang w:val="es-ES_tradnl"/>
        </w:rPr>
        <w:t xml:space="preserve"> conocimiento y </w:t>
      </w:r>
      <w:r w:rsidRPr="00295D8A" w:rsidR="004A6646">
        <w:rPr>
          <w:rFonts w:ascii="Arial" w:hAnsi="Arial" w:cs="Arial"/>
          <w:noProof/>
          <w:sz w:val="22"/>
          <w:lang w:val="es-ES_tradnl"/>
        </w:rPr>
        <w:t xml:space="preserve">la </w:t>
      </w:r>
      <w:r w:rsidRPr="00295D8A">
        <w:rPr>
          <w:rFonts w:ascii="Arial" w:hAnsi="Arial" w:cs="Arial"/>
          <w:noProof/>
          <w:sz w:val="22"/>
          <w:lang w:val="es-ES_tradnl"/>
        </w:rPr>
        <w:t>experiencia en el tema.</w:t>
      </w:r>
    </w:p>
    <w:p w:rsidRPr="00295D8A" w:rsidR="00903913" w:rsidP="00F106B5" w:rsidRDefault="00C55CE9" w14:paraId="4A5EAB0D" w14:textId="73908BEE">
      <w:pPr>
        <w:spacing w:before="120" w:after="120" w:line="276" w:lineRule="auto"/>
        <w:ind w:firstLine="709"/>
        <w:jc w:val="both"/>
        <w:rPr>
          <w:rFonts w:ascii="Arial" w:hAnsi="Arial" w:cs="Arial"/>
          <w:noProof/>
          <w:sz w:val="22"/>
          <w:lang w:val="es-ES_tradnl"/>
        </w:rPr>
      </w:pPr>
      <w:r w:rsidRPr="00295D8A">
        <w:rPr>
          <w:rFonts w:ascii="Arial" w:hAnsi="Arial" w:cs="Arial"/>
          <w:noProof/>
          <w:sz w:val="22"/>
          <w:lang w:val="es-ES_tradnl"/>
        </w:rPr>
        <w:t>iii) Si bien se celebran para obtener la prestación personal de un servicio, se diferencian del contrato de trabajo</w:t>
      </w:r>
      <w:r w:rsidRPr="00295D8A">
        <w:rPr>
          <w:rStyle w:val="Refdenotaalpie"/>
          <w:rFonts w:ascii="Arial" w:hAnsi="Arial" w:cs="Arial"/>
          <w:noProof/>
          <w:sz w:val="22"/>
          <w:lang w:val="es-ES_tradnl"/>
        </w:rPr>
        <w:footnoteReference w:id="2"/>
      </w:r>
      <w:r w:rsidRPr="00295D8A">
        <w:rPr>
          <w:rFonts w:ascii="Arial" w:hAnsi="Arial" w:cs="Arial"/>
          <w:noProof/>
          <w:sz w:val="22"/>
          <w:lang w:val="es-ES_tradnl"/>
        </w:rPr>
        <w:t xml:space="preserve"> en que quien celebra el contrato de prestación de servicios debe mantener autonomía e independencia en la ejecución de la labor, lo que </w:t>
      </w:r>
      <w:r w:rsidRPr="00295D8A">
        <w:rPr>
          <w:rFonts w:ascii="Arial" w:hAnsi="Arial" w:cs="Arial"/>
          <w:noProof/>
          <w:sz w:val="22"/>
          <w:lang w:val="es-ES_tradnl"/>
        </w:rPr>
        <w:lastRenderedPageBreak/>
        <w:t xml:space="preserve">significa que no </w:t>
      </w:r>
      <w:r w:rsidRPr="00295D8A" w:rsidR="004A6646">
        <w:rPr>
          <w:rFonts w:ascii="Arial" w:hAnsi="Arial" w:cs="Arial"/>
          <w:noProof/>
          <w:sz w:val="22"/>
          <w:lang w:val="es-ES_tradnl"/>
        </w:rPr>
        <w:t>debe</w:t>
      </w:r>
      <w:r w:rsidRPr="00295D8A">
        <w:rPr>
          <w:rFonts w:ascii="Arial" w:hAnsi="Arial" w:cs="Arial"/>
          <w:noProof/>
          <w:sz w:val="22"/>
          <w:lang w:val="es-ES_tradnl"/>
        </w:rPr>
        <w:t xml:space="preserve"> existir </w:t>
      </w:r>
      <w:r w:rsidRPr="00295D8A">
        <w:rPr>
          <w:rFonts w:ascii="Arial" w:hAnsi="Arial" w:cs="Arial"/>
          <w:i/>
          <w:noProof/>
          <w:sz w:val="22"/>
          <w:lang w:val="es-ES_tradnl"/>
        </w:rPr>
        <w:t xml:space="preserve">subordinación </w:t>
      </w:r>
      <w:r w:rsidRPr="00295D8A" w:rsidR="00903913">
        <w:rPr>
          <w:rFonts w:ascii="Arial" w:hAnsi="Arial" w:cs="Arial"/>
          <w:iCs/>
          <w:noProof/>
          <w:sz w:val="22"/>
          <w:lang w:val="es-ES_tradnl"/>
        </w:rPr>
        <w:t>ni</w:t>
      </w:r>
      <w:r w:rsidRPr="00295D8A">
        <w:rPr>
          <w:rFonts w:ascii="Arial" w:hAnsi="Arial" w:cs="Arial"/>
          <w:i/>
          <w:noProof/>
          <w:sz w:val="22"/>
          <w:lang w:val="es-ES_tradnl"/>
        </w:rPr>
        <w:t xml:space="preserve"> dependencia</w:t>
      </w:r>
      <w:r w:rsidRPr="00295D8A">
        <w:rPr>
          <w:rFonts w:ascii="Arial" w:hAnsi="Arial" w:cs="Arial"/>
          <w:iCs/>
          <w:noProof/>
          <w:sz w:val="22"/>
          <w:lang w:val="es-ES_tradnl"/>
        </w:rPr>
        <w:t>,</w:t>
      </w:r>
      <w:r w:rsidRPr="00295D8A">
        <w:rPr>
          <w:rFonts w:ascii="Arial" w:hAnsi="Arial" w:cs="Arial"/>
          <w:noProof/>
          <w:sz w:val="22"/>
          <w:lang w:val="es-ES_tradnl"/>
        </w:rPr>
        <w:t xml:space="preserve"> que es uno de los elementos constitutivos del vínculo laboral. </w:t>
      </w:r>
      <w:r w:rsidRPr="00295D8A" w:rsidR="00903913">
        <w:rPr>
          <w:rFonts w:ascii="Arial" w:hAnsi="Arial" w:cs="Arial"/>
          <w:noProof/>
          <w:sz w:val="22"/>
          <w:lang w:val="es-ES_tradnl"/>
        </w:rPr>
        <w:t>P</w:t>
      </w:r>
      <w:r w:rsidRPr="00295D8A">
        <w:rPr>
          <w:rFonts w:ascii="Arial" w:hAnsi="Arial" w:cs="Arial"/>
          <w:noProof/>
          <w:sz w:val="22"/>
          <w:lang w:val="es-ES_tradnl"/>
        </w:rPr>
        <w:t>or e</w:t>
      </w:r>
      <w:r w:rsidRPr="00295D8A" w:rsidR="004A6646">
        <w:rPr>
          <w:rFonts w:ascii="Arial" w:hAnsi="Arial" w:cs="Arial"/>
          <w:noProof/>
          <w:sz w:val="22"/>
          <w:lang w:val="es-ES_tradnl"/>
        </w:rPr>
        <w:t>s</w:t>
      </w:r>
      <w:r w:rsidRPr="00295D8A">
        <w:rPr>
          <w:rFonts w:ascii="Arial" w:hAnsi="Arial" w:cs="Arial"/>
          <w:noProof/>
          <w:sz w:val="22"/>
          <w:lang w:val="es-ES_tradnl"/>
        </w:rPr>
        <w:t>o</w:t>
      </w:r>
      <w:r w:rsidRPr="00295D8A" w:rsidR="00903913">
        <w:rPr>
          <w:rFonts w:ascii="Arial" w:hAnsi="Arial" w:cs="Arial"/>
          <w:noProof/>
          <w:sz w:val="22"/>
          <w:lang w:val="es-ES_tradnl"/>
        </w:rPr>
        <w:t xml:space="preserve">, </w:t>
      </w:r>
      <w:r w:rsidRPr="00295D8A">
        <w:rPr>
          <w:rFonts w:ascii="Arial" w:hAnsi="Arial" w:cs="Arial"/>
          <w:noProof/>
          <w:sz w:val="22"/>
          <w:lang w:val="es-ES_tradnl"/>
        </w:rPr>
        <w:t xml:space="preserve">el artículo 32, numeral 3º, de la Ley 80 de 1993 establece que «En ningún caso estos contratos generan relación laboral ni prestaciones sociales», inciso que más que un enunciado que aluda al «ser» se refiere al «deber ser», pues debe interpretarse en el sentido de que los contratos de prestación de servicios profesionales </w:t>
      </w:r>
      <w:r w:rsidRPr="00295D8A">
        <w:rPr>
          <w:rFonts w:ascii="Arial" w:hAnsi="Arial" w:cs="Arial"/>
          <w:i/>
          <w:noProof/>
          <w:sz w:val="22"/>
          <w:lang w:val="es-ES_tradnl"/>
        </w:rPr>
        <w:t>no pueden</w:t>
      </w:r>
      <w:r w:rsidRPr="00295D8A">
        <w:rPr>
          <w:rFonts w:ascii="Arial" w:hAnsi="Arial" w:cs="Arial"/>
          <w:noProof/>
          <w:sz w:val="22"/>
          <w:lang w:val="es-ES_tradnl"/>
        </w:rPr>
        <w:t xml:space="preserve"> generar relación laboral, ni dar lugar a que las entidades estatales paguen por su cuenta los aportes al Sistema de Seguridad Social Integral del contratista</w:t>
      </w:r>
      <w:r w:rsidR="00C05D8E">
        <w:rPr>
          <w:rFonts w:ascii="Arial" w:hAnsi="Arial" w:cs="Arial"/>
          <w:noProof/>
          <w:sz w:val="22"/>
          <w:lang w:val="es-ES_tradnl"/>
        </w:rPr>
        <w:t>. Tal como</w:t>
      </w:r>
      <w:r w:rsidRPr="00295D8A">
        <w:rPr>
          <w:rFonts w:ascii="Arial" w:hAnsi="Arial" w:cs="Arial"/>
          <w:noProof/>
          <w:sz w:val="22"/>
          <w:lang w:val="es-ES_tradnl"/>
        </w:rPr>
        <w:t xml:space="preserve"> se indicó, no puede existir subordinación y dependencia; entonces, la relación laboral está proscrita y el contratista </w:t>
      </w:r>
      <w:r w:rsidRPr="00295D8A" w:rsidR="004A6646">
        <w:rPr>
          <w:rFonts w:ascii="Arial" w:hAnsi="Arial" w:cs="Arial"/>
          <w:noProof/>
          <w:sz w:val="22"/>
          <w:lang w:val="es-ES_tradnl"/>
        </w:rPr>
        <w:t xml:space="preserve">es </w:t>
      </w:r>
      <w:r w:rsidRPr="00295D8A">
        <w:rPr>
          <w:rFonts w:ascii="Arial" w:hAnsi="Arial" w:cs="Arial"/>
          <w:noProof/>
          <w:sz w:val="22"/>
          <w:lang w:val="es-ES_tradnl"/>
        </w:rPr>
        <w:t>quien, como «trabajador independiente» –como lo califican las normas de</w:t>
      </w:r>
      <w:r w:rsidRPr="00295D8A" w:rsidR="004A6646">
        <w:rPr>
          <w:rFonts w:ascii="Arial" w:hAnsi="Arial" w:cs="Arial"/>
          <w:noProof/>
          <w:sz w:val="22"/>
          <w:lang w:val="es-ES_tradnl"/>
        </w:rPr>
        <w:t xml:space="preserve"> la</w:t>
      </w:r>
      <w:r w:rsidRPr="00295D8A">
        <w:rPr>
          <w:rFonts w:ascii="Arial" w:hAnsi="Arial" w:cs="Arial"/>
          <w:noProof/>
          <w:sz w:val="22"/>
          <w:lang w:val="es-ES_tradnl"/>
        </w:rPr>
        <w:t xml:space="preserve"> seguridad social– debe cotizar por su cuenta y riesgo al Sistema de Seguridad Social Integral</w:t>
      </w:r>
      <w:r w:rsidRPr="00295D8A">
        <w:rPr>
          <w:rStyle w:val="Refdenotaalpie"/>
          <w:rFonts w:ascii="Arial" w:hAnsi="Arial" w:cs="Arial"/>
          <w:noProof/>
          <w:sz w:val="22"/>
          <w:lang w:val="es-ES_tradnl"/>
        </w:rPr>
        <w:footnoteReference w:id="3"/>
      </w:r>
      <w:r w:rsidRPr="00295D8A">
        <w:rPr>
          <w:rFonts w:ascii="Arial" w:hAnsi="Arial" w:cs="Arial"/>
          <w:noProof/>
          <w:sz w:val="22"/>
          <w:lang w:val="es-ES_tradnl"/>
        </w:rPr>
        <w:t xml:space="preserve">. </w:t>
      </w:r>
    </w:p>
    <w:p w:rsidRPr="00295D8A" w:rsidR="00C55CE9" w:rsidP="00F106B5" w:rsidRDefault="00903913" w14:paraId="2102F3FF" w14:textId="0B55240C">
      <w:pPr>
        <w:spacing w:before="120" w:after="120" w:line="276" w:lineRule="auto"/>
        <w:ind w:firstLine="709"/>
        <w:jc w:val="both"/>
        <w:rPr>
          <w:rFonts w:ascii="Arial" w:hAnsi="Arial" w:cs="Arial"/>
          <w:noProof/>
          <w:sz w:val="22"/>
          <w:lang w:val="es-ES_tradnl"/>
        </w:rPr>
      </w:pPr>
      <w:r w:rsidRPr="00295D8A">
        <w:rPr>
          <w:rFonts w:ascii="Arial" w:hAnsi="Arial" w:cs="Arial"/>
          <w:noProof/>
          <w:sz w:val="22"/>
          <w:lang w:val="es-ES_tradnl"/>
        </w:rPr>
        <w:t>A</w:t>
      </w:r>
      <w:r w:rsidRPr="00295D8A" w:rsidR="00C55CE9">
        <w:rPr>
          <w:rFonts w:ascii="Arial" w:hAnsi="Arial" w:cs="Arial"/>
          <w:noProof/>
          <w:sz w:val="22"/>
          <w:lang w:val="es-ES_tradnl"/>
        </w:rPr>
        <w:t xml:space="preserve"> pesar de este mandato deontológico, </w:t>
      </w:r>
      <w:r w:rsidRPr="00295D8A" w:rsidR="004A6646">
        <w:rPr>
          <w:rFonts w:ascii="Arial" w:hAnsi="Arial" w:cs="Arial"/>
          <w:noProof/>
          <w:sz w:val="22"/>
          <w:lang w:val="es-ES_tradnl"/>
        </w:rPr>
        <w:t xml:space="preserve">es posible que </w:t>
      </w:r>
      <w:r w:rsidRPr="00295D8A" w:rsidR="00C55CE9">
        <w:rPr>
          <w:rFonts w:ascii="Arial" w:hAnsi="Arial" w:cs="Arial"/>
          <w:noProof/>
          <w:sz w:val="22"/>
          <w:lang w:val="es-ES_tradnl"/>
        </w:rPr>
        <w:t xml:space="preserve">en la práctica </w:t>
      </w:r>
      <w:r w:rsidRPr="00295D8A" w:rsidR="004A6646">
        <w:rPr>
          <w:rFonts w:ascii="Arial" w:hAnsi="Arial" w:cs="Arial"/>
          <w:noProof/>
          <w:sz w:val="22"/>
          <w:lang w:val="es-ES_tradnl"/>
        </w:rPr>
        <w:t>se configure</w:t>
      </w:r>
      <w:r w:rsidRPr="00295D8A" w:rsidR="00C55CE9">
        <w:rPr>
          <w:rFonts w:ascii="Arial" w:hAnsi="Arial" w:cs="Arial"/>
          <w:noProof/>
          <w:sz w:val="22"/>
          <w:lang w:val="es-ES_tradnl"/>
        </w:rPr>
        <w:t xml:space="preserve"> </w:t>
      </w:r>
      <w:r w:rsidRPr="00295D8A" w:rsidR="004A6646">
        <w:rPr>
          <w:rFonts w:ascii="Arial" w:hAnsi="Arial" w:cs="Arial"/>
          <w:noProof/>
          <w:sz w:val="22"/>
          <w:lang w:val="es-ES_tradnl"/>
        </w:rPr>
        <w:t>una</w:t>
      </w:r>
      <w:r w:rsidRPr="00295D8A" w:rsidR="00C55CE9">
        <w:rPr>
          <w:rFonts w:ascii="Arial" w:hAnsi="Arial" w:cs="Arial"/>
          <w:noProof/>
          <w:sz w:val="22"/>
          <w:lang w:val="es-ES_tradnl"/>
        </w:rPr>
        <w:t xml:space="preserve"> relación laboral, pues</w:t>
      </w:r>
      <w:r w:rsidRPr="00295D8A" w:rsidR="004A6646">
        <w:rPr>
          <w:rFonts w:ascii="Arial" w:hAnsi="Arial" w:cs="Arial"/>
          <w:noProof/>
          <w:sz w:val="22"/>
          <w:lang w:val="es-ES_tradnl"/>
        </w:rPr>
        <w:t xml:space="preserve"> </w:t>
      </w:r>
      <w:r w:rsidRPr="00295D8A" w:rsidR="00C55CE9">
        <w:rPr>
          <w:rFonts w:ascii="Arial" w:hAnsi="Arial" w:cs="Arial"/>
          <w:noProof/>
          <w:sz w:val="22"/>
          <w:lang w:val="es-ES_tradnl"/>
        </w:rPr>
        <w:t xml:space="preserve">el contrato de trabajo es </w:t>
      </w:r>
      <w:r w:rsidRPr="00295D8A" w:rsidR="004A6646">
        <w:rPr>
          <w:rFonts w:ascii="Arial" w:hAnsi="Arial" w:cs="Arial"/>
          <w:i/>
          <w:iCs/>
          <w:noProof/>
          <w:sz w:val="22"/>
          <w:lang w:val="es-ES_tradnl"/>
        </w:rPr>
        <w:t>de</w:t>
      </w:r>
      <w:r w:rsidRPr="00295D8A" w:rsidR="00C55CE9">
        <w:rPr>
          <w:rFonts w:ascii="Arial" w:hAnsi="Arial" w:cs="Arial"/>
          <w:i/>
          <w:iCs/>
          <w:noProof/>
          <w:sz w:val="22"/>
          <w:lang w:val="es-ES_tradnl"/>
        </w:rPr>
        <w:t xml:space="preserve"> </w:t>
      </w:r>
      <w:r w:rsidRPr="00295D8A" w:rsidR="00C55CE9">
        <w:rPr>
          <w:rFonts w:ascii="Arial" w:hAnsi="Arial" w:cs="Arial"/>
          <w:i/>
          <w:noProof/>
          <w:sz w:val="22"/>
          <w:lang w:val="es-ES_tradnl"/>
        </w:rPr>
        <w:t>realidad</w:t>
      </w:r>
      <w:r w:rsidRPr="00295D8A" w:rsidR="00C55CE9">
        <w:rPr>
          <w:rFonts w:ascii="Arial" w:hAnsi="Arial" w:cs="Arial"/>
          <w:noProof/>
          <w:sz w:val="22"/>
          <w:lang w:val="es-ES_tradnl"/>
        </w:rPr>
        <w:t>,</w:t>
      </w:r>
      <w:r w:rsidRPr="00295D8A" w:rsidR="004A6646">
        <w:rPr>
          <w:rFonts w:ascii="Arial" w:hAnsi="Arial" w:cs="Arial"/>
          <w:noProof/>
          <w:sz w:val="22"/>
          <w:lang w:val="es-ES_tradnl"/>
        </w:rPr>
        <w:t xml:space="preserve"> y</w:t>
      </w:r>
      <w:r w:rsidRPr="00295D8A" w:rsidR="00C55CE9">
        <w:rPr>
          <w:rFonts w:ascii="Arial" w:hAnsi="Arial" w:cs="Arial"/>
          <w:noProof/>
          <w:sz w:val="22"/>
          <w:lang w:val="es-ES_tradnl"/>
        </w:rPr>
        <w:t xml:space="preserve"> para perfecciona</w:t>
      </w:r>
      <w:r w:rsidRPr="00295D8A" w:rsidR="004A6646">
        <w:rPr>
          <w:rFonts w:ascii="Arial" w:hAnsi="Arial" w:cs="Arial"/>
          <w:noProof/>
          <w:sz w:val="22"/>
          <w:lang w:val="es-ES_tradnl"/>
        </w:rPr>
        <w:t>rlo</w:t>
      </w:r>
      <w:r w:rsidRPr="00295D8A" w:rsidR="00C55CE9">
        <w:rPr>
          <w:rFonts w:ascii="Arial" w:hAnsi="Arial" w:cs="Arial"/>
          <w:noProof/>
          <w:sz w:val="22"/>
          <w:lang w:val="es-ES_tradnl"/>
        </w:rPr>
        <w:t xml:space="preserve"> rige el principio de prevalencia de la realidad sobre las formalidades. </w:t>
      </w:r>
      <w:r w:rsidRPr="00295D8A" w:rsidR="00087989">
        <w:rPr>
          <w:rFonts w:ascii="Arial" w:hAnsi="Arial" w:cs="Arial"/>
          <w:noProof/>
          <w:sz w:val="22"/>
          <w:lang w:val="es-ES_tradnl"/>
        </w:rPr>
        <w:t xml:space="preserve">En el sentido anterior, </w:t>
      </w:r>
      <w:r w:rsidRPr="00295D8A" w:rsidR="00C55CE9">
        <w:rPr>
          <w:rFonts w:ascii="Arial" w:hAnsi="Arial" w:cs="Arial"/>
          <w:noProof/>
          <w:sz w:val="22"/>
          <w:lang w:val="es-ES_tradnl"/>
        </w:rPr>
        <w:t xml:space="preserve">la Corte Constitucional declaró la </w:t>
      </w:r>
      <w:r w:rsidRPr="00295D8A" w:rsidR="00087989">
        <w:rPr>
          <w:rFonts w:ascii="Arial" w:hAnsi="Arial" w:cs="Arial"/>
          <w:noProof/>
          <w:sz w:val="22"/>
          <w:lang w:val="es-ES_tradnl"/>
        </w:rPr>
        <w:t>exequibilidad</w:t>
      </w:r>
      <w:r w:rsidRPr="00295D8A" w:rsidR="00C55CE9">
        <w:rPr>
          <w:rFonts w:ascii="Arial" w:hAnsi="Arial" w:cs="Arial"/>
          <w:noProof/>
          <w:sz w:val="22"/>
          <w:lang w:val="es-ES_tradnl"/>
        </w:rPr>
        <w:t xml:space="preserve"> condicionada del segundo inciso del numeral 3º del artículo 32, indicando que «las expresiones acusadas del numeral 3</w:t>
      </w:r>
      <w:r w:rsidRPr="00295D8A" w:rsidR="00087989">
        <w:rPr>
          <w:rFonts w:ascii="Arial" w:hAnsi="Arial" w:cs="Arial"/>
          <w:noProof/>
          <w:sz w:val="22"/>
          <w:lang w:val="es-ES_tradnl"/>
        </w:rPr>
        <w:t xml:space="preserve">º </w:t>
      </w:r>
      <w:r w:rsidRPr="00295D8A" w:rsidR="00C55CE9">
        <w:rPr>
          <w:rFonts w:ascii="Arial" w:hAnsi="Arial" w:cs="Arial"/>
          <w:noProof/>
          <w:sz w:val="22"/>
          <w:lang w:val="es-ES_tradnl"/>
        </w:rPr>
        <w:t>del artículo 32 de la Ley 80 de 1993, no vulneran los preceptos constitucionales, razón por la cual deberán ser declaradas exequibles, salvo que se acredite por parte del contratista la existencia de una relación laboral subordinada»</w:t>
      </w:r>
      <w:r w:rsidRPr="00295D8A" w:rsidR="00C55CE9">
        <w:rPr>
          <w:rStyle w:val="Refdenotaalpie"/>
          <w:rFonts w:ascii="Arial" w:hAnsi="Arial" w:cs="Arial"/>
          <w:noProof/>
          <w:sz w:val="22"/>
          <w:lang w:val="es-ES_tradnl"/>
        </w:rPr>
        <w:footnoteReference w:id="4"/>
      </w:r>
      <w:r w:rsidRPr="00295D8A" w:rsidR="00C55CE9">
        <w:rPr>
          <w:rFonts w:ascii="Arial" w:hAnsi="Arial" w:cs="Arial"/>
          <w:noProof/>
          <w:sz w:val="22"/>
          <w:lang w:val="es-ES_tradnl"/>
        </w:rPr>
        <w:t>.</w:t>
      </w:r>
    </w:p>
    <w:p w:rsidRPr="00295D8A" w:rsidR="00C55CE9" w:rsidP="00F106B5" w:rsidRDefault="00C55CE9" w14:paraId="095747E5" w14:textId="6DF2EB95">
      <w:pPr>
        <w:spacing w:line="276" w:lineRule="auto"/>
        <w:ind w:firstLine="709"/>
        <w:jc w:val="both"/>
        <w:rPr>
          <w:rFonts w:ascii="Arial" w:hAnsi="Arial" w:cs="Arial"/>
          <w:noProof/>
          <w:sz w:val="22"/>
          <w:lang w:val="es-ES_tradnl"/>
        </w:rPr>
      </w:pPr>
      <w:r w:rsidRPr="00295D8A">
        <w:rPr>
          <w:rFonts w:ascii="Arial" w:hAnsi="Arial" w:cs="Arial"/>
          <w:noProof/>
          <w:sz w:val="22"/>
          <w:lang w:val="es-ES_tradnl"/>
        </w:rPr>
        <w:t xml:space="preserve">iv) Deben ser temporales. Así lo </w:t>
      </w:r>
      <w:r w:rsidRPr="00295D8A" w:rsidR="00903913">
        <w:rPr>
          <w:rFonts w:ascii="Arial" w:hAnsi="Arial" w:cs="Arial"/>
          <w:noProof/>
          <w:sz w:val="22"/>
          <w:lang w:val="es-ES_tradnl"/>
        </w:rPr>
        <w:t>consider</w:t>
      </w:r>
      <w:r w:rsidRPr="00295D8A" w:rsidR="00087989">
        <w:rPr>
          <w:rFonts w:ascii="Arial" w:hAnsi="Arial" w:cs="Arial"/>
          <w:noProof/>
          <w:sz w:val="22"/>
          <w:lang w:val="es-ES_tradnl"/>
        </w:rPr>
        <w:t>ó</w:t>
      </w:r>
      <w:r w:rsidRPr="00295D8A">
        <w:rPr>
          <w:rFonts w:ascii="Arial" w:hAnsi="Arial" w:cs="Arial"/>
          <w:noProof/>
          <w:sz w:val="22"/>
          <w:lang w:val="es-ES_tradnl"/>
        </w:rPr>
        <w:t xml:space="preserve"> la Corte Constitucional</w:t>
      </w:r>
      <w:r w:rsidRPr="00295D8A" w:rsidR="00087989">
        <w:rPr>
          <w:rFonts w:ascii="Arial" w:hAnsi="Arial" w:cs="Arial"/>
          <w:noProof/>
          <w:sz w:val="22"/>
          <w:lang w:val="es-ES_tradnl"/>
        </w:rPr>
        <w:t>,</w:t>
      </w:r>
      <w:r w:rsidRPr="00295D8A">
        <w:rPr>
          <w:rFonts w:ascii="Arial" w:hAnsi="Arial" w:cs="Arial"/>
          <w:noProof/>
          <w:sz w:val="22"/>
          <w:lang w:val="es-ES_tradnl"/>
        </w:rPr>
        <w:t xml:space="preserve"> en la misma providencia a la que se aludió </w:t>
      </w:r>
      <w:r w:rsidRPr="00295D8A" w:rsidR="00087989">
        <w:rPr>
          <w:rFonts w:ascii="Arial" w:hAnsi="Arial" w:cs="Arial"/>
          <w:noProof/>
          <w:sz w:val="22"/>
          <w:lang w:val="es-ES_tradnl"/>
        </w:rPr>
        <w:t>antes</w:t>
      </w:r>
      <w:r w:rsidRPr="00295D8A">
        <w:rPr>
          <w:rFonts w:ascii="Arial" w:hAnsi="Arial" w:cs="Arial"/>
          <w:noProof/>
          <w:sz w:val="22"/>
          <w:lang w:val="es-ES_tradnl"/>
        </w:rPr>
        <w:t>, expresando que:</w:t>
      </w:r>
    </w:p>
    <w:p w:rsidRPr="00295D8A" w:rsidR="00C55CE9" w:rsidP="00F106B5" w:rsidRDefault="00C55CE9" w14:paraId="746DCFE4" w14:textId="77777777">
      <w:pPr>
        <w:spacing w:line="276" w:lineRule="auto"/>
        <w:ind w:firstLine="709"/>
        <w:jc w:val="both"/>
        <w:rPr>
          <w:rFonts w:ascii="Arial" w:hAnsi="Arial" w:cs="Arial"/>
          <w:noProof/>
          <w:sz w:val="22"/>
          <w:lang w:val="es-ES_tradnl"/>
        </w:rPr>
      </w:pPr>
    </w:p>
    <w:p w:rsidRPr="00295D8A" w:rsidR="00C55CE9" w:rsidP="006B5D02" w:rsidRDefault="00C55CE9" w14:paraId="33CD4468" w14:textId="77777777">
      <w:pPr>
        <w:ind w:left="709" w:right="709"/>
        <w:jc w:val="both"/>
        <w:rPr>
          <w:rFonts w:ascii="Arial" w:hAnsi="Arial" w:cs="Arial"/>
          <w:noProof/>
          <w:sz w:val="21"/>
          <w:szCs w:val="21"/>
          <w:lang w:val="es-ES_tradnl"/>
        </w:rPr>
      </w:pPr>
      <w:r w:rsidRPr="00295D8A">
        <w:rPr>
          <w:rFonts w:ascii="Arial" w:hAnsi="Arial" w:cs="Arial"/>
          <w:noProof/>
          <w:sz w:val="21"/>
          <w:szCs w:val="21"/>
          <w:lang w:val="es-ES_tradnl"/>
        </w:rPr>
        <w:t xml:space="preserve">La vigencia del contrato es temporal y, por lo tanto, su duración debe ser por tiempo limitado y el indispensable para ejecutar el objeto contractual convenido. En el caso de que las actividades con ellos atendidas demanden una </w:t>
      </w:r>
      <w:r w:rsidRPr="00295D8A">
        <w:rPr>
          <w:rFonts w:ascii="Arial" w:hAnsi="Arial" w:cs="Arial"/>
          <w:noProof/>
          <w:sz w:val="21"/>
          <w:szCs w:val="21"/>
          <w:lang w:val="es-ES_tradnl"/>
        </w:rPr>
        <w:lastRenderedPageBreak/>
        <w:t>permanencia mayor e indefinida, excediendo su carácter excepcional y temporal para convertirse en ordinario y permanente, será necesario que la respectiva entidad adopte las medidas y provisiones pertinentes a fin de que se dé cabal cumplimiento a lo previsto en el artículo 122 de la Carta Política, según el cual se requiere que el empleo público quede contemplado en la respectiva planta y previstos sus emolumentos en el presupuesto correspondiente</w:t>
      </w:r>
      <w:r w:rsidRPr="00295D8A">
        <w:rPr>
          <w:rStyle w:val="Refdenotaalpie"/>
          <w:rFonts w:ascii="Arial" w:hAnsi="Arial" w:cs="Arial"/>
          <w:noProof/>
          <w:sz w:val="21"/>
          <w:szCs w:val="21"/>
          <w:lang w:val="es-ES_tradnl"/>
        </w:rPr>
        <w:footnoteReference w:id="5"/>
      </w:r>
      <w:r w:rsidRPr="00295D8A">
        <w:rPr>
          <w:rFonts w:ascii="Arial" w:hAnsi="Arial" w:cs="Arial"/>
          <w:noProof/>
          <w:sz w:val="21"/>
          <w:szCs w:val="21"/>
          <w:lang w:val="es-ES_tradnl"/>
        </w:rPr>
        <w:t>.</w:t>
      </w:r>
    </w:p>
    <w:p w:rsidRPr="00295D8A" w:rsidR="00C55CE9" w:rsidP="00F106B5" w:rsidRDefault="00C55CE9" w14:paraId="64C616E1" w14:textId="77777777">
      <w:pPr>
        <w:spacing w:line="276" w:lineRule="auto"/>
        <w:ind w:firstLine="709"/>
        <w:jc w:val="both"/>
        <w:rPr>
          <w:rFonts w:ascii="Arial" w:hAnsi="Arial" w:cs="Arial"/>
          <w:noProof/>
          <w:sz w:val="22"/>
          <w:lang w:val="es-ES_tradnl"/>
        </w:rPr>
      </w:pPr>
    </w:p>
    <w:p w:rsidRPr="00295D8A" w:rsidR="00C55CE9" w:rsidP="00F106B5" w:rsidRDefault="00C55CE9" w14:paraId="1E68B26C" w14:textId="3165A541">
      <w:pPr>
        <w:spacing w:line="276" w:lineRule="auto"/>
        <w:ind w:firstLine="709"/>
        <w:jc w:val="both"/>
        <w:rPr>
          <w:rFonts w:ascii="Arial" w:hAnsi="Arial" w:cs="Arial"/>
          <w:noProof/>
          <w:sz w:val="22"/>
          <w:lang w:val="es-ES_tradnl"/>
        </w:rPr>
      </w:pPr>
      <w:r w:rsidRPr="00295D8A">
        <w:rPr>
          <w:rFonts w:ascii="Arial" w:hAnsi="Arial" w:cs="Arial"/>
          <w:noProof/>
          <w:sz w:val="22"/>
          <w:lang w:val="es-ES_tradnl"/>
        </w:rPr>
        <w:t xml:space="preserve">v) </w:t>
      </w:r>
      <w:r w:rsidRPr="00295D8A" w:rsidR="00087989">
        <w:rPr>
          <w:rFonts w:ascii="Arial" w:hAnsi="Arial" w:cs="Arial"/>
          <w:noProof/>
          <w:sz w:val="22"/>
          <w:lang w:val="es-ES_tradnl"/>
        </w:rPr>
        <w:t>El</w:t>
      </w:r>
      <w:r w:rsidRPr="00295D8A">
        <w:rPr>
          <w:rFonts w:ascii="Arial" w:hAnsi="Arial" w:cs="Arial"/>
          <w:noProof/>
          <w:sz w:val="22"/>
          <w:lang w:val="es-ES_tradnl"/>
        </w:rPr>
        <w:t xml:space="preserve"> contrato de prestación de servicios profesionales hace parte del género </w:t>
      </w:r>
      <w:r w:rsidRPr="00295D8A">
        <w:rPr>
          <w:rFonts w:ascii="Arial" w:hAnsi="Arial" w:cs="Arial"/>
          <w:i/>
          <w:noProof/>
          <w:sz w:val="22"/>
          <w:lang w:val="es-ES_tradnl"/>
        </w:rPr>
        <w:t>contrato de prestación de servicios</w:t>
      </w:r>
      <w:r w:rsidRPr="00295D8A">
        <w:rPr>
          <w:rFonts w:ascii="Arial" w:hAnsi="Arial" w:cs="Arial"/>
          <w:noProof/>
          <w:sz w:val="22"/>
          <w:lang w:val="es-ES_tradnl"/>
        </w:rPr>
        <w:t xml:space="preserve">, </w:t>
      </w:r>
      <w:r w:rsidRPr="00295D8A" w:rsidR="00087989">
        <w:rPr>
          <w:rFonts w:ascii="Arial" w:hAnsi="Arial" w:cs="Arial"/>
          <w:noProof/>
          <w:sz w:val="22"/>
          <w:lang w:val="es-ES_tradnl"/>
        </w:rPr>
        <w:t>al</w:t>
      </w:r>
      <w:r w:rsidRPr="00295D8A">
        <w:rPr>
          <w:rFonts w:ascii="Arial" w:hAnsi="Arial" w:cs="Arial"/>
          <w:noProof/>
          <w:sz w:val="22"/>
          <w:lang w:val="es-ES_tradnl"/>
        </w:rPr>
        <w:t xml:space="preserve"> cual</w:t>
      </w:r>
      <w:r w:rsidRPr="00295D8A" w:rsidR="00087989">
        <w:rPr>
          <w:rFonts w:ascii="Arial" w:hAnsi="Arial" w:cs="Arial"/>
          <w:noProof/>
          <w:sz w:val="22"/>
          <w:lang w:val="es-ES_tradnl"/>
        </w:rPr>
        <w:t xml:space="preserve"> también pertenece</w:t>
      </w:r>
      <w:r w:rsidRPr="00295D8A">
        <w:rPr>
          <w:rFonts w:ascii="Arial" w:hAnsi="Arial" w:cs="Arial"/>
          <w:noProof/>
          <w:sz w:val="22"/>
          <w:lang w:val="es-ES_tradnl"/>
        </w:rPr>
        <w:t xml:space="preserve">, como especie, </w:t>
      </w:r>
      <w:r w:rsidRPr="00295D8A" w:rsidR="00087989">
        <w:rPr>
          <w:rFonts w:ascii="Arial" w:hAnsi="Arial" w:cs="Arial"/>
          <w:noProof/>
          <w:sz w:val="22"/>
          <w:lang w:val="es-ES_tradnl"/>
        </w:rPr>
        <w:t>e</w:t>
      </w:r>
      <w:r w:rsidRPr="00295D8A">
        <w:rPr>
          <w:rFonts w:ascii="Arial" w:hAnsi="Arial" w:cs="Arial"/>
          <w:noProof/>
          <w:sz w:val="22"/>
          <w:lang w:val="es-ES_tradnl"/>
        </w:rPr>
        <w:t>l contrato de prestación de servicios de apoyo a la gestión</w:t>
      </w:r>
      <w:r w:rsidRPr="00295D8A">
        <w:rPr>
          <w:rStyle w:val="Refdenotaalpie"/>
          <w:rFonts w:ascii="Arial" w:hAnsi="Arial" w:cs="Arial"/>
          <w:noProof/>
          <w:sz w:val="22"/>
          <w:lang w:val="es-ES_tradnl"/>
        </w:rPr>
        <w:footnoteReference w:id="6"/>
      </w:r>
      <w:r w:rsidRPr="00295D8A">
        <w:rPr>
          <w:rFonts w:ascii="Arial" w:hAnsi="Arial" w:cs="Arial"/>
          <w:noProof/>
          <w:sz w:val="22"/>
          <w:lang w:val="es-ES_tradnl"/>
        </w:rPr>
        <w:t xml:space="preserve">. La diferencia entre el contrato de prestación de servicios </w:t>
      </w:r>
      <w:r w:rsidRPr="00295D8A">
        <w:rPr>
          <w:rFonts w:ascii="Arial" w:hAnsi="Arial" w:cs="Arial"/>
          <w:i/>
          <w:noProof/>
          <w:sz w:val="22"/>
          <w:lang w:val="es-ES_tradnl"/>
        </w:rPr>
        <w:t>profesionales</w:t>
      </w:r>
      <w:r w:rsidRPr="00295D8A">
        <w:rPr>
          <w:rFonts w:ascii="Arial" w:hAnsi="Arial" w:cs="Arial"/>
          <w:noProof/>
          <w:sz w:val="22"/>
          <w:lang w:val="es-ES_tradnl"/>
        </w:rPr>
        <w:t xml:space="preserve"> con la otra especie del género radica en su contenido intelectual</w:t>
      </w:r>
      <w:r w:rsidRPr="00295D8A" w:rsidR="00087989">
        <w:rPr>
          <w:rFonts w:ascii="Arial" w:hAnsi="Arial" w:cs="Arial"/>
          <w:noProof/>
          <w:sz w:val="22"/>
          <w:lang w:val="es-ES_tradnl"/>
        </w:rPr>
        <w:t>,</w:t>
      </w:r>
      <w:r w:rsidRPr="00295D8A">
        <w:rPr>
          <w:rFonts w:ascii="Arial" w:hAnsi="Arial" w:cs="Arial"/>
          <w:noProof/>
          <w:sz w:val="22"/>
          <w:lang w:val="es-ES_tradnl"/>
        </w:rPr>
        <w:t xml:space="preserve"> y en la formación que se exige para desempeñar la labor. Así lo consideró el Consejo de Estado</w:t>
      </w:r>
      <w:r w:rsidRPr="00295D8A" w:rsidR="00087989">
        <w:rPr>
          <w:rFonts w:ascii="Arial" w:hAnsi="Arial" w:cs="Arial"/>
          <w:noProof/>
          <w:sz w:val="22"/>
          <w:lang w:val="es-ES_tradnl"/>
        </w:rPr>
        <w:t>,</w:t>
      </w:r>
      <w:r w:rsidRPr="00295D8A">
        <w:rPr>
          <w:rFonts w:ascii="Arial" w:hAnsi="Arial" w:cs="Arial"/>
          <w:noProof/>
          <w:sz w:val="22"/>
          <w:lang w:val="es-ES_tradnl"/>
        </w:rPr>
        <w:t xml:space="preserve"> en </w:t>
      </w:r>
      <w:r w:rsidRPr="00295D8A" w:rsidR="00087989">
        <w:rPr>
          <w:rFonts w:ascii="Arial" w:hAnsi="Arial" w:cs="Arial"/>
          <w:noProof/>
          <w:sz w:val="22"/>
          <w:lang w:val="es-ES_tradnl"/>
        </w:rPr>
        <w:t xml:space="preserve">la </w:t>
      </w:r>
      <w:r w:rsidRPr="00295D8A">
        <w:rPr>
          <w:rFonts w:ascii="Arial" w:hAnsi="Arial" w:cs="Arial"/>
          <w:noProof/>
          <w:sz w:val="22"/>
          <w:lang w:val="es-ES_tradnl"/>
        </w:rPr>
        <w:t>sentencia de unificación del 2 de diciembre de 2013, al indicar, respecto del contrato de prestación de servicios profesionales, que:</w:t>
      </w:r>
    </w:p>
    <w:p w:rsidRPr="00295D8A" w:rsidR="00C55CE9" w:rsidP="00F106B5" w:rsidRDefault="00C55CE9" w14:paraId="3191964D" w14:textId="77777777">
      <w:pPr>
        <w:spacing w:line="276" w:lineRule="auto"/>
        <w:ind w:firstLine="709"/>
        <w:jc w:val="both"/>
        <w:rPr>
          <w:rFonts w:ascii="Arial" w:hAnsi="Arial" w:cs="Arial"/>
          <w:noProof/>
          <w:sz w:val="22"/>
          <w:lang w:val="es-ES_tradnl"/>
        </w:rPr>
      </w:pPr>
    </w:p>
    <w:p w:rsidRPr="00295D8A" w:rsidR="002C1EEC" w:rsidP="0087751D" w:rsidRDefault="00C55CE9" w14:paraId="598C9355" w14:textId="1DC03C69">
      <w:pPr>
        <w:spacing w:after="120"/>
        <w:ind w:left="709" w:right="709"/>
        <w:jc w:val="both"/>
        <w:rPr>
          <w:rFonts w:ascii="Arial" w:hAnsi="Arial" w:cs="Arial"/>
          <w:noProof/>
          <w:sz w:val="21"/>
          <w:szCs w:val="21"/>
          <w:lang w:val="es-ES_tradnl"/>
        </w:rPr>
      </w:pPr>
      <w:r w:rsidRPr="00295D8A">
        <w:rPr>
          <w:rFonts w:ascii="Arial" w:hAnsi="Arial" w:cs="Arial"/>
          <w:noProof/>
          <w:sz w:val="21"/>
          <w:szCs w:val="21"/>
          <w:lang w:val="es-ES_tradnl"/>
        </w:rPr>
        <w:t>Su objeto está determinado por el desarrollo de actividades identificables e intangibles que impliquen el desempeño de un esfuerzo o actividad, tendiente a satisfacer necesidades de las entidades estatales en lo relacionado con la gestión administrativa o funcionamiento que ellas requieran, bien sea acompañándolas, apoyándolas o soportándolas, con conocimientos especializados siempre y cuando dichos objetos estén encomendados a personas consideradas legalmente como profesionales. Se caracteriza por demandar un conocimiento intelectivo cualificado: el saber profesional</w:t>
      </w:r>
      <w:r w:rsidRPr="00295D8A" w:rsidR="002C1EEC">
        <w:rPr>
          <w:rFonts w:ascii="Arial" w:hAnsi="Arial" w:cs="Arial"/>
          <w:noProof/>
          <w:sz w:val="21"/>
          <w:szCs w:val="21"/>
          <w:lang w:val="es-ES_tradnl"/>
        </w:rPr>
        <w:t>.</w:t>
      </w:r>
    </w:p>
    <w:p w:rsidRPr="00295D8A" w:rsidR="00C55CE9" w:rsidP="006B5D02" w:rsidRDefault="002C1EEC" w14:paraId="393FE33C" w14:textId="1AB16FF6">
      <w:pPr>
        <w:ind w:left="709" w:right="709"/>
        <w:jc w:val="both"/>
        <w:rPr>
          <w:rFonts w:ascii="Arial" w:hAnsi="Arial" w:cs="Arial"/>
          <w:noProof/>
          <w:sz w:val="21"/>
          <w:szCs w:val="21"/>
          <w:lang w:val="es-ES_tradnl"/>
        </w:rPr>
      </w:pPr>
      <w:r w:rsidRPr="00295D8A">
        <w:rPr>
          <w:rFonts w:ascii="Arial" w:hAnsi="Arial" w:cs="Arial"/>
          <w:noProof/>
          <w:sz w:val="21"/>
          <w:szCs w:val="21"/>
          <w:lang w:val="es-ES_tradnl"/>
        </w:rPr>
        <w:t xml:space="preserve">Dentro de su objeto contractual pueden tener lugar actividades operativas, logísticas o asistenciales, siempre que satisfaga los requisitos antes </w:t>
      </w:r>
      <w:r w:rsidRPr="00295D8A">
        <w:rPr>
          <w:rFonts w:ascii="Arial" w:hAnsi="Arial" w:cs="Arial"/>
          <w:noProof/>
          <w:sz w:val="21"/>
          <w:szCs w:val="21"/>
          <w:lang w:val="es-ES_tradnl"/>
        </w:rPr>
        <w:lastRenderedPageBreak/>
        <w:t>mencionados y sea acorde con las necesidades de la Administración y el principio de planeación</w:t>
      </w:r>
      <w:r w:rsidRPr="00295D8A" w:rsidR="00C55CE9">
        <w:rPr>
          <w:rStyle w:val="Refdenotaalpie"/>
          <w:rFonts w:ascii="Arial" w:hAnsi="Arial" w:cs="Arial"/>
          <w:noProof/>
          <w:sz w:val="21"/>
          <w:szCs w:val="21"/>
          <w:lang w:val="es-ES_tradnl"/>
        </w:rPr>
        <w:footnoteReference w:id="7"/>
      </w:r>
      <w:r w:rsidRPr="00295D8A" w:rsidR="00C55CE9">
        <w:rPr>
          <w:rFonts w:ascii="Arial" w:hAnsi="Arial" w:cs="Arial"/>
          <w:noProof/>
          <w:sz w:val="21"/>
          <w:szCs w:val="21"/>
          <w:lang w:val="es-ES_tradnl"/>
        </w:rPr>
        <w:t>.</w:t>
      </w:r>
    </w:p>
    <w:p w:rsidRPr="00295D8A" w:rsidR="00C55CE9" w:rsidP="00F106B5" w:rsidRDefault="00C55CE9" w14:paraId="62FD57C6" w14:textId="77777777">
      <w:pPr>
        <w:spacing w:line="276" w:lineRule="auto"/>
        <w:ind w:firstLine="709"/>
        <w:jc w:val="both"/>
        <w:rPr>
          <w:rFonts w:ascii="Arial" w:hAnsi="Arial" w:cs="Arial"/>
          <w:noProof/>
          <w:sz w:val="22"/>
          <w:lang w:val="es-ES_tradnl"/>
        </w:rPr>
      </w:pPr>
    </w:p>
    <w:p w:rsidRPr="00295D8A" w:rsidR="00C55CE9" w:rsidP="00F106B5" w:rsidRDefault="00087989" w14:paraId="2C1D451C" w14:textId="5C549A21">
      <w:pPr>
        <w:spacing w:line="276" w:lineRule="auto"/>
        <w:ind w:firstLine="709"/>
        <w:jc w:val="both"/>
        <w:rPr>
          <w:rFonts w:ascii="Arial" w:hAnsi="Arial" w:cs="Arial"/>
          <w:noProof/>
          <w:sz w:val="22"/>
          <w:lang w:val="es-ES_tradnl"/>
        </w:rPr>
      </w:pPr>
      <w:r w:rsidRPr="00295D8A">
        <w:rPr>
          <w:rFonts w:ascii="Arial" w:hAnsi="Arial" w:cs="Arial"/>
          <w:noProof/>
          <w:sz w:val="22"/>
          <w:lang w:val="es-ES_tradnl"/>
        </w:rPr>
        <w:t>Ese o</w:t>
      </w:r>
      <w:r w:rsidRPr="00295D8A" w:rsidR="00C55CE9">
        <w:rPr>
          <w:rFonts w:ascii="Arial" w:hAnsi="Arial" w:cs="Arial"/>
          <w:noProof/>
          <w:sz w:val="22"/>
          <w:lang w:val="es-ES_tradnl"/>
        </w:rPr>
        <w:t>bjeto, según la sentencia, se diferencia del objeto del contrato de prestación de servicios de apoyo a la gestión, porque en este</w:t>
      </w:r>
      <w:r w:rsidRPr="00295D8A">
        <w:rPr>
          <w:rFonts w:ascii="Arial" w:hAnsi="Arial" w:cs="Arial"/>
          <w:noProof/>
          <w:sz w:val="22"/>
          <w:lang w:val="es-ES_tradnl"/>
        </w:rPr>
        <w:t xml:space="preserve"> no se requieren </w:t>
      </w:r>
      <w:r w:rsidRPr="00295D8A" w:rsidR="007E724B">
        <w:rPr>
          <w:rFonts w:ascii="Arial" w:hAnsi="Arial" w:cs="Arial"/>
          <w:noProof/>
          <w:sz w:val="22"/>
          <w:lang w:val="es-ES_tradnl"/>
        </w:rPr>
        <w:t>conocimientos profesionales</w:t>
      </w:r>
      <w:r w:rsidRPr="00295D8A">
        <w:rPr>
          <w:rFonts w:ascii="Arial" w:hAnsi="Arial" w:cs="Arial"/>
          <w:noProof/>
          <w:sz w:val="22"/>
          <w:lang w:val="es-ES_tradnl"/>
        </w:rPr>
        <w:t xml:space="preserve"> para ejecutar la actividad</w:t>
      </w:r>
      <w:r w:rsidR="003373A4">
        <w:rPr>
          <w:rFonts w:ascii="Arial" w:hAnsi="Arial" w:cs="Arial"/>
          <w:noProof/>
          <w:sz w:val="22"/>
          <w:lang w:val="es-ES_tradnl"/>
        </w:rPr>
        <w:t>. Así lo sostuvo el Consejo de Estado:</w:t>
      </w:r>
    </w:p>
    <w:p w:rsidRPr="00295D8A" w:rsidR="00C55CE9" w:rsidP="00F106B5" w:rsidRDefault="00C55CE9" w14:paraId="79F11883" w14:textId="77777777">
      <w:pPr>
        <w:spacing w:line="276" w:lineRule="auto"/>
        <w:ind w:firstLine="709"/>
        <w:jc w:val="both"/>
        <w:rPr>
          <w:rFonts w:ascii="Arial" w:hAnsi="Arial" w:cs="Arial"/>
          <w:noProof/>
          <w:sz w:val="22"/>
          <w:lang w:val="es-ES_tradnl"/>
        </w:rPr>
      </w:pPr>
    </w:p>
    <w:p w:rsidRPr="00295D8A" w:rsidR="00C55CE9" w:rsidP="0087751D" w:rsidRDefault="00C55CE9" w14:paraId="724BB9F0" w14:textId="3ED9EF56">
      <w:pPr>
        <w:spacing w:after="120"/>
        <w:ind w:left="709" w:right="709"/>
        <w:jc w:val="both"/>
        <w:rPr>
          <w:rFonts w:ascii="Arial" w:hAnsi="Arial" w:cs="Arial"/>
          <w:noProof/>
          <w:sz w:val="21"/>
          <w:szCs w:val="21"/>
          <w:lang w:val="es-ES_tradnl"/>
        </w:rPr>
      </w:pPr>
      <w:r w:rsidRPr="00295D8A">
        <w:rPr>
          <w:rFonts w:ascii="Arial" w:hAnsi="Arial" w:cs="Arial"/>
          <w:noProof/>
          <w:sz w:val="21"/>
          <w:szCs w:val="21"/>
          <w:lang w:val="es-ES_tradnl"/>
        </w:rPr>
        <w:t>Su objeto contractual participa de las características encaminadas a desarrollar actividades identificables e intangibles. Hay lugar a su celebración en aquellos casos en donde las necesidades de la Administración no demanden la presencia de personal profesional.</w:t>
      </w:r>
    </w:p>
    <w:p w:rsidRPr="00295D8A" w:rsidR="00C55CE9" w:rsidP="0087751D" w:rsidRDefault="00C55CE9" w14:paraId="69938CF0" w14:textId="49BF9075">
      <w:pPr>
        <w:spacing w:after="120"/>
        <w:ind w:left="709" w:right="709"/>
        <w:jc w:val="both"/>
        <w:rPr>
          <w:rFonts w:ascii="Arial" w:hAnsi="Arial" w:cs="Arial"/>
          <w:noProof/>
          <w:sz w:val="21"/>
          <w:szCs w:val="21"/>
          <w:lang w:val="es-ES_tradnl"/>
        </w:rPr>
      </w:pPr>
      <w:r w:rsidRPr="00295D8A">
        <w:rPr>
          <w:rFonts w:ascii="Arial" w:hAnsi="Arial" w:cs="Arial"/>
          <w:noProof/>
          <w:sz w:val="21"/>
          <w:szCs w:val="21"/>
          <w:lang w:val="es-ES_tradnl"/>
        </w:rPr>
        <w:t xml:space="preserve">Aunque también se caracteriza por el desempeño de actividad intelectiva, ésta </w:t>
      </w:r>
      <w:r w:rsidRPr="00295D8A" w:rsidR="00DD5FCE">
        <w:rPr>
          <w:rFonts w:ascii="Arial" w:hAnsi="Arial" w:cs="Arial"/>
          <w:noProof/>
          <w:sz w:val="21"/>
          <w:szCs w:val="21"/>
          <w:lang w:val="es-ES_tradnl"/>
        </w:rPr>
        <w:t>se enmarca en</w:t>
      </w:r>
      <w:r w:rsidRPr="00295D8A">
        <w:rPr>
          <w:rFonts w:ascii="Arial" w:hAnsi="Arial" w:cs="Arial"/>
          <w:noProof/>
          <w:sz w:val="21"/>
          <w:szCs w:val="21"/>
          <w:lang w:val="es-ES_tradnl"/>
        </w:rPr>
        <w:t xml:space="preserve"> un saber propiamente técnico; igualmente involucra actividades en donde prima el esfuerzo físico o mecánico, en donde no se requiere de personal profesional.</w:t>
      </w:r>
    </w:p>
    <w:p w:rsidRPr="00295D8A" w:rsidR="00C55CE9" w:rsidP="006B5D02" w:rsidRDefault="00C55CE9" w14:paraId="3EE41A7C" w14:textId="77777777">
      <w:pPr>
        <w:ind w:left="709" w:right="709"/>
        <w:jc w:val="both"/>
        <w:rPr>
          <w:rFonts w:ascii="Arial" w:hAnsi="Arial" w:cs="Arial"/>
          <w:noProof/>
          <w:sz w:val="21"/>
          <w:szCs w:val="21"/>
          <w:lang w:val="es-ES_tradnl"/>
        </w:rPr>
      </w:pPr>
      <w:r w:rsidRPr="00295D8A">
        <w:rPr>
          <w:rFonts w:ascii="Arial" w:hAnsi="Arial" w:cs="Arial"/>
          <w:noProof/>
          <w:sz w:val="21"/>
          <w:szCs w:val="21"/>
          <w:lang w:val="es-ES_tradnl"/>
        </w:rPr>
        <w:t>Dentro de su objeto contractual pueden tener lugar actividades operativas, logísticas o asistenciales, siempre que satisfaga los requisitos antes mencionados y sea acorde con las necesidades de la Administración y el principio de planeación</w:t>
      </w:r>
      <w:r w:rsidRPr="00295D8A">
        <w:rPr>
          <w:rStyle w:val="Refdenotaalpie"/>
          <w:rFonts w:ascii="Arial" w:hAnsi="Arial" w:cs="Arial"/>
          <w:noProof/>
          <w:sz w:val="21"/>
          <w:szCs w:val="21"/>
          <w:lang w:val="es-ES_tradnl"/>
        </w:rPr>
        <w:footnoteReference w:id="8"/>
      </w:r>
      <w:r w:rsidRPr="00295D8A">
        <w:rPr>
          <w:rFonts w:ascii="Arial" w:hAnsi="Arial" w:cs="Arial"/>
          <w:noProof/>
          <w:sz w:val="21"/>
          <w:szCs w:val="21"/>
          <w:lang w:val="es-ES_tradnl"/>
        </w:rPr>
        <w:t>.</w:t>
      </w:r>
    </w:p>
    <w:p w:rsidRPr="00295D8A" w:rsidR="00C55CE9" w:rsidP="00F106B5" w:rsidRDefault="00C55CE9" w14:paraId="4FD8DE7D" w14:textId="77777777">
      <w:pPr>
        <w:spacing w:line="276" w:lineRule="auto"/>
        <w:ind w:firstLine="709"/>
        <w:jc w:val="both"/>
        <w:rPr>
          <w:rFonts w:ascii="Arial" w:hAnsi="Arial" w:cs="Arial"/>
          <w:noProof/>
          <w:sz w:val="22"/>
          <w:lang w:val="es-ES_tradnl"/>
        </w:rPr>
      </w:pPr>
    </w:p>
    <w:p w:rsidRPr="00295D8A" w:rsidR="00C55CE9" w:rsidP="00F106B5" w:rsidRDefault="00C55CE9" w14:paraId="4DDC3A46" w14:textId="34A9BF8D">
      <w:pPr>
        <w:spacing w:line="276" w:lineRule="auto"/>
        <w:ind w:firstLine="709"/>
        <w:jc w:val="both"/>
        <w:rPr>
          <w:rFonts w:ascii="Arial" w:hAnsi="Arial" w:cs="Arial"/>
          <w:noProof/>
          <w:sz w:val="22"/>
          <w:lang w:val="es-ES_tradnl"/>
        </w:rPr>
      </w:pPr>
      <w:r w:rsidRPr="00295D8A">
        <w:rPr>
          <w:rFonts w:ascii="Arial" w:hAnsi="Arial" w:cs="Arial"/>
          <w:noProof/>
          <w:sz w:val="22"/>
          <w:lang w:val="es-ES_tradnl"/>
        </w:rPr>
        <w:t xml:space="preserve">En relación con el contrato de prestación de servicios artísticos que solo pueden encomendarse a determinadas personas naturales, el fallo </w:t>
      </w:r>
      <w:r w:rsidRPr="00295D8A" w:rsidR="00477519">
        <w:rPr>
          <w:rFonts w:ascii="Arial" w:hAnsi="Arial" w:cs="Arial"/>
          <w:noProof/>
          <w:sz w:val="22"/>
          <w:lang w:val="es-ES_tradnl"/>
        </w:rPr>
        <w:t xml:space="preserve">explica </w:t>
      </w:r>
      <w:r w:rsidRPr="00295D8A">
        <w:rPr>
          <w:rFonts w:ascii="Arial" w:hAnsi="Arial" w:cs="Arial"/>
          <w:noProof/>
          <w:sz w:val="22"/>
          <w:lang w:val="es-ES_tradnl"/>
        </w:rPr>
        <w:t>que:</w:t>
      </w:r>
    </w:p>
    <w:p w:rsidRPr="00295D8A" w:rsidR="00C55CE9" w:rsidP="00F106B5" w:rsidRDefault="00C55CE9" w14:paraId="14B4799B" w14:textId="77777777">
      <w:pPr>
        <w:spacing w:line="276" w:lineRule="auto"/>
        <w:ind w:left="709" w:right="709"/>
        <w:jc w:val="both"/>
        <w:rPr>
          <w:rFonts w:ascii="Arial" w:hAnsi="Arial" w:cs="Arial"/>
          <w:noProof/>
          <w:sz w:val="21"/>
          <w:szCs w:val="21"/>
          <w:lang w:val="es-ES_tradnl"/>
        </w:rPr>
      </w:pPr>
    </w:p>
    <w:p w:rsidRPr="00295D8A" w:rsidR="00C55CE9" w:rsidP="006B5D02" w:rsidRDefault="00C55CE9" w14:paraId="6AA9F18B" w14:textId="77777777">
      <w:pPr>
        <w:ind w:left="709" w:right="709"/>
        <w:jc w:val="both"/>
        <w:rPr>
          <w:rFonts w:ascii="Arial" w:hAnsi="Arial" w:cs="Arial"/>
          <w:noProof/>
          <w:sz w:val="21"/>
          <w:szCs w:val="21"/>
          <w:lang w:val="es-ES_tradnl"/>
        </w:rPr>
      </w:pPr>
      <w:r w:rsidRPr="00295D8A">
        <w:rPr>
          <w:rFonts w:ascii="Arial" w:hAnsi="Arial" w:cs="Arial"/>
          <w:noProof/>
          <w:sz w:val="21"/>
          <w:szCs w:val="21"/>
          <w:lang w:val="es-ES_tradnl"/>
        </w:rPr>
        <w:t>Tienen lugar dentro de esta categoría los contratos de prestación de servicios que tengan por objeto la ejecución de trabajos artísticos, esto es, trabajos que corresponden al conjunto de creaciones humanas que expresan una especial visión del mundo, tanto real como imaginaria, y que sólo pueda celebrarse con determinadas personas naturales, lo que implica que el contratista debe ser un artista, esto es, una persona reconocidas como realizador o productor de arte o trabajos artísticos</w:t>
      </w:r>
      <w:r w:rsidRPr="00295D8A">
        <w:rPr>
          <w:rStyle w:val="Refdenotaalpie"/>
          <w:rFonts w:ascii="Arial" w:hAnsi="Arial" w:cs="Arial"/>
          <w:noProof/>
          <w:sz w:val="21"/>
          <w:szCs w:val="21"/>
          <w:lang w:val="es-ES_tradnl"/>
        </w:rPr>
        <w:footnoteReference w:id="9"/>
      </w:r>
      <w:r w:rsidRPr="00295D8A">
        <w:rPr>
          <w:rFonts w:ascii="Arial" w:hAnsi="Arial" w:cs="Arial"/>
          <w:noProof/>
          <w:sz w:val="21"/>
          <w:szCs w:val="21"/>
          <w:lang w:val="es-ES_tradnl"/>
        </w:rPr>
        <w:t>.</w:t>
      </w:r>
    </w:p>
    <w:p w:rsidRPr="00295D8A" w:rsidR="00C55CE9" w:rsidP="00F106B5" w:rsidRDefault="00C55CE9" w14:paraId="14A45138" w14:textId="77777777">
      <w:pPr>
        <w:spacing w:line="276" w:lineRule="auto"/>
        <w:ind w:left="709" w:right="709"/>
        <w:jc w:val="both"/>
        <w:rPr>
          <w:rFonts w:ascii="Arial" w:hAnsi="Arial" w:cs="Arial"/>
          <w:noProof/>
          <w:sz w:val="21"/>
          <w:szCs w:val="21"/>
          <w:lang w:val="es-ES_tradnl"/>
        </w:rPr>
      </w:pPr>
    </w:p>
    <w:p w:rsidRPr="00295D8A" w:rsidR="00B473D1" w:rsidP="00F106B5" w:rsidRDefault="00C55CE9" w14:paraId="3A08B026" w14:textId="77777777">
      <w:pPr>
        <w:spacing w:after="120" w:line="276" w:lineRule="auto"/>
        <w:ind w:firstLine="709"/>
        <w:jc w:val="both"/>
        <w:rPr>
          <w:rFonts w:ascii="Arial" w:hAnsi="Arial" w:cs="Arial"/>
          <w:noProof/>
          <w:sz w:val="22"/>
          <w:lang w:val="es-ES_tradnl"/>
        </w:rPr>
      </w:pPr>
      <w:r w:rsidRPr="00295D8A">
        <w:rPr>
          <w:rFonts w:ascii="Arial" w:hAnsi="Arial" w:cs="Arial"/>
          <w:noProof/>
          <w:sz w:val="22"/>
          <w:lang w:val="es-ES_tradnl"/>
        </w:rPr>
        <w:t>vi) S</w:t>
      </w:r>
      <w:r w:rsidRPr="00295D8A" w:rsidR="00477519">
        <w:rPr>
          <w:rFonts w:ascii="Arial" w:hAnsi="Arial" w:cs="Arial"/>
          <w:noProof/>
          <w:sz w:val="22"/>
          <w:lang w:val="es-ES_tradnl"/>
        </w:rPr>
        <w:t>e</w:t>
      </w:r>
      <w:r w:rsidRPr="00295D8A">
        <w:rPr>
          <w:rFonts w:ascii="Arial" w:hAnsi="Arial" w:cs="Arial"/>
          <w:noProof/>
          <w:sz w:val="22"/>
          <w:lang w:val="es-ES_tradnl"/>
        </w:rPr>
        <w:t xml:space="preserve"> celebra</w:t>
      </w:r>
      <w:r w:rsidRPr="00295D8A" w:rsidR="00477519">
        <w:rPr>
          <w:rFonts w:ascii="Arial" w:hAnsi="Arial" w:cs="Arial"/>
          <w:noProof/>
          <w:sz w:val="22"/>
          <w:lang w:val="es-ES_tradnl"/>
        </w:rPr>
        <w:t>n a</w:t>
      </w:r>
      <w:r w:rsidRPr="00295D8A">
        <w:rPr>
          <w:rFonts w:ascii="Arial" w:hAnsi="Arial" w:cs="Arial"/>
          <w:noProof/>
          <w:sz w:val="22"/>
          <w:lang w:val="es-ES_tradnl"/>
        </w:rPr>
        <w:t xml:space="preserve"> través de la modalidad de contratación directa, independientemente de la cuantía y del tipo de servicio profesional, siempre que </w:t>
      </w:r>
      <w:r w:rsidRPr="00295D8A" w:rsidR="00B473D1">
        <w:rPr>
          <w:rFonts w:ascii="Arial" w:hAnsi="Arial" w:cs="Arial"/>
          <w:noProof/>
          <w:sz w:val="22"/>
          <w:lang w:val="es-ES_tradnl"/>
        </w:rPr>
        <w:t xml:space="preserve">su objeto </w:t>
      </w:r>
      <w:r w:rsidRPr="00295D8A">
        <w:rPr>
          <w:rFonts w:ascii="Arial" w:hAnsi="Arial" w:cs="Arial"/>
          <w:noProof/>
          <w:sz w:val="22"/>
          <w:lang w:val="es-ES_tradnl"/>
        </w:rPr>
        <w:t xml:space="preserve">no </w:t>
      </w:r>
      <w:r w:rsidRPr="00295D8A" w:rsidR="00B473D1">
        <w:rPr>
          <w:rFonts w:ascii="Arial" w:hAnsi="Arial" w:cs="Arial"/>
          <w:noProof/>
          <w:sz w:val="22"/>
          <w:lang w:val="es-ES_tradnl"/>
        </w:rPr>
        <w:t>sea la</w:t>
      </w:r>
      <w:r w:rsidRPr="00295D8A">
        <w:rPr>
          <w:rFonts w:ascii="Arial" w:hAnsi="Arial" w:cs="Arial"/>
          <w:noProof/>
          <w:sz w:val="22"/>
          <w:lang w:val="es-ES_tradnl"/>
        </w:rPr>
        <w:t xml:space="preserve"> consultoría, pues, como lo indicó el Consejo de Estado en la sentencia de unificación jurisprudencial, si bien en ambos existe un componente intelectual</w:t>
      </w:r>
      <w:r w:rsidRPr="00295D8A" w:rsidR="00B473D1">
        <w:rPr>
          <w:rFonts w:ascii="Arial" w:hAnsi="Arial" w:cs="Arial"/>
          <w:noProof/>
          <w:sz w:val="22"/>
          <w:lang w:val="es-ES_tradnl"/>
        </w:rPr>
        <w:t xml:space="preserve"> y</w:t>
      </w:r>
      <w:r w:rsidRPr="00295D8A">
        <w:rPr>
          <w:rFonts w:ascii="Arial" w:hAnsi="Arial" w:cs="Arial"/>
          <w:noProof/>
          <w:sz w:val="22"/>
          <w:lang w:val="es-ES_tradnl"/>
        </w:rPr>
        <w:t xml:space="preserve"> profesional, </w:t>
      </w:r>
      <w:r w:rsidRPr="00295D8A">
        <w:rPr>
          <w:rFonts w:ascii="Arial" w:hAnsi="Arial" w:cs="Arial"/>
          <w:noProof/>
          <w:sz w:val="22"/>
          <w:lang w:val="es-ES_tradnl"/>
        </w:rPr>
        <w:lastRenderedPageBreak/>
        <w:t xml:space="preserve">el objeto del contrato de consultoría es especial y debe celebrarse, por regla general, </w:t>
      </w:r>
      <w:r w:rsidRPr="00295D8A" w:rsidR="00B473D1">
        <w:rPr>
          <w:rFonts w:ascii="Arial" w:hAnsi="Arial" w:cs="Arial"/>
          <w:noProof/>
          <w:sz w:val="22"/>
          <w:lang w:val="es-ES_tradnl"/>
        </w:rPr>
        <w:t>mediante un</w:t>
      </w:r>
      <w:r w:rsidRPr="00295D8A">
        <w:rPr>
          <w:rFonts w:ascii="Arial" w:hAnsi="Arial" w:cs="Arial"/>
          <w:noProof/>
          <w:sz w:val="22"/>
          <w:lang w:val="es-ES_tradnl"/>
        </w:rPr>
        <w:t xml:space="preserve"> concurso de méritos</w:t>
      </w:r>
      <w:r w:rsidRPr="00295D8A">
        <w:rPr>
          <w:rStyle w:val="Refdenotaalpie"/>
          <w:rFonts w:ascii="Arial" w:hAnsi="Arial" w:cs="Arial"/>
          <w:noProof/>
          <w:sz w:val="22"/>
          <w:lang w:val="es-ES_tradnl"/>
        </w:rPr>
        <w:footnoteReference w:id="10"/>
      </w:r>
      <w:r w:rsidRPr="00295D8A">
        <w:rPr>
          <w:rFonts w:ascii="Arial" w:hAnsi="Arial" w:cs="Arial"/>
          <w:noProof/>
          <w:sz w:val="22"/>
          <w:lang w:val="es-ES_tradnl"/>
        </w:rPr>
        <w:t xml:space="preserve">. </w:t>
      </w:r>
    </w:p>
    <w:p w:rsidRPr="00295D8A" w:rsidR="00C55CE9" w:rsidP="00F106B5" w:rsidRDefault="00037F2A" w14:paraId="7ECC7E26" w14:textId="2B62C568">
      <w:pPr>
        <w:spacing w:after="120" w:line="276" w:lineRule="auto"/>
        <w:ind w:firstLine="709"/>
        <w:jc w:val="both"/>
        <w:rPr>
          <w:rFonts w:ascii="Arial" w:hAnsi="Arial" w:cs="Arial"/>
          <w:noProof/>
          <w:sz w:val="22"/>
          <w:lang w:val="es-ES_tradnl"/>
        </w:rPr>
      </w:pPr>
      <w:r>
        <w:rPr>
          <w:rFonts w:ascii="Arial" w:hAnsi="Arial" w:cs="Arial"/>
          <w:noProof/>
          <w:sz w:val="22"/>
          <w:lang w:val="es-ES_tradnl"/>
        </w:rPr>
        <w:t>Debe aclararse que</w:t>
      </w:r>
      <w:r w:rsidR="00351423">
        <w:rPr>
          <w:rFonts w:ascii="Arial" w:hAnsi="Arial" w:cs="Arial"/>
          <w:noProof/>
          <w:sz w:val="22"/>
          <w:lang w:val="es-ES_tradnl"/>
        </w:rPr>
        <w:t xml:space="preserve"> no</w:t>
      </w:r>
      <w:r w:rsidRPr="00295D8A" w:rsidR="00C55CE9">
        <w:rPr>
          <w:rFonts w:ascii="Arial" w:hAnsi="Arial" w:cs="Arial"/>
          <w:noProof/>
          <w:sz w:val="22"/>
          <w:lang w:val="es-ES_tradnl"/>
        </w:rPr>
        <w:t xml:space="preserve"> suscribirse un contrato de prestación de servicios profesionales para ejecut</w:t>
      </w:r>
      <w:r w:rsidRPr="00295D8A" w:rsidR="00B473D1">
        <w:rPr>
          <w:rFonts w:ascii="Arial" w:hAnsi="Arial" w:cs="Arial"/>
          <w:noProof/>
          <w:sz w:val="22"/>
          <w:lang w:val="es-ES_tradnl"/>
        </w:rPr>
        <w:t xml:space="preserve">ar </w:t>
      </w:r>
      <w:r w:rsidRPr="00295D8A" w:rsidR="00C55CE9">
        <w:rPr>
          <w:rFonts w:ascii="Arial" w:hAnsi="Arial" w:cs="Arial"/>
          <w:noProof/>
          <w:sz w:val="22"/>
          <w:lang w:val="es-ES_tradnl"/>
        </w:rPr>
        <w:t>labores que se enmarcan en</w:t>
      </w:r>
      <w:r w:rsidRPr="00295D8A" w:rsidR="00B473D1">
        <w:rPr>
          <w:rFonts w:ascii="Arial" w:hAnsi="Arial" w:cs="Arial"/>
          <w:noProof/>
          <w:sz w:val="22"/>
          <w:lang w:val="es-ES_tradnl"/>
        </w:rPr>
        <w:t xml:space="preserve"> </w:t>
      </w:r>
      <w:r w:rsidRPr="00295D8A" w:rsidR="00C55CE9">
        <w:rPr>
          <w:rFonts w:ascii="Arial" w:hAnsi="Arial" w:cs="Arial"/>
          <w:noProof/>
          <w:sz w:val="22"/>
          <w:lang w:val="es-ES_tradnl"/>
        </w:rPr>
        <w:t xml:space="preserve">los otros contratos tipificados en el artículo 32 de la Ley 80 de 1993, como, por ejemplo, </w:t>
      </w:r>
      <w:r w:rsidRPr="00295D8A" w:rsidR="00B473D1">
        <w:rPr>
          <w:rFonts w:ascii="Arial" w:hAnsi="Arial" w:cs="Arial"/>
          <w:noProof/>
          <w:sz w:val="22"/>
          <w:lang w:val="es-ES_tradnl"/>
        </w:rPr>
        <w:t>la</w:t>
      </w:r>
      <w:r w:rsidRPr="00295D8A" w:rsidR="00C55CE9">
        <w:rPr>
          <w:rFonts w:ascii="Arial" w:hAnsi="Arial" w:cs="Arial"/>
          <w:noProof/>
          <w:sz w:val="22"/>
          <w:lang w:val="es-ES_tradnl"/>
        </w:rPr>
        <w:t xml:space="preserve"> constru</w:t>
      </w:r>
      <w:r w:rsidRPr="00295D8A" w:rsidR="00B473D1">
        <w:rPr>
          <w:rFonts w:ascii="Arial" w:hAnsi="Arial" w:cs="Arial"/>
          <w:noProof/>
          <w:sz w:val="22"/>
          <w:lang w:val="es-ES_tradnl"/>
        </w:rPr>
        <w:t xml:space="preserve">cción de </w:t>
      </w:r>
      <w:r w:rsidRPr="00295D8A" w:rsidR="00C55CE9">
        <w:rPr>
          <w:rFonts w:ascii="Arial" w:hAnsi="Arial" w:cs="Arial"/>
          <w:noProof/>
          <w:sz w:val="22"/>
          <w:lang w:val="es-ES_tradnl"/>
        </w:rPr>
        <w:t>una obra.</w:t>
      </w:r>
    </w:p>
    <w:p w:rsidRPr="00295D8A" w:rsidR="00C55CE9" w:rsidP="00F106B5" w:rsidRDefault="00C55CE9" w14:paraId="0610697A" w14:textId="50A6AE17">
      <w:pPr>
        <w:spacing w:before="120" w:after="120" w:line="276" w:lineRule="auto"/>
        <w:ind w:firstLine="709"/>
        <w:jc w:val="both"/>
        <w:rPr>
          <w:rFonts w:ascii="Arial" w:hAnsi="Arial" w:cs="Arial"/>
          <w:noProof/>
          <w:sz w:val="22"/>
          <w:lang w:val="es-ES_tradnl"/>
        </w:rPr>
      </w:pPr>
      <w:r w:rsidRPr="00295D8A">
        <w:rPr>
          <w:rFonts w:ascii="Arial" w:hAnsi="Arial" w:cs="Arial"/>
          <w:noProof/>
          <w:sz w:val="22"/>
          <w:lang w:val="es-ES_tradnl"/>
        </w:rPr>
        <w:t>vii) Para celebra</w:t>
      </w:r>
      <w:r w:rsidRPr="00295D8A" w:rsidR="00B473D1">
        <w:rPr>
          <w:rFonts w:ascii="Arial" w:hAnsi="Arial" w:cs="Arial"/>
          <w:noProof/>
          <w:sz w:val="22"/>
          <w:lang w:val="es-ES_tradnl"/>
        </w:rPr>
        <w:t>rlo</w:t>
      </w:r>
      <w:r w:rsidRPr="00295D8A">
        <w:rPr>
          <w:rFonts w:ascii="Arial" w:hAnsi="Arial" w:cs="Arial"/>
          <w:noProof/>
          <w:sz w:val="22"/>
          <w:lang w:val="es-ES_tradnl"/>
        </w:rPr>
        <w:t xml:space="preserve"> no se requiere expedi</w:t>
      </w:r>
      <w:r w:rsidRPr="00295D8A" w:rsidR="00B473D1">
        <w:rPr>
          <w:rFonts w:ascii="Arial" w:hAnsi="Arial" w:cs="Arial"/>
          <w:noProof/>
          <w:sz w:val="22"/>
          <w:lang w:val="es-ES_tradnl"/>
        </w:rPr>
        <w:t>r un</w:t>
      </w:r>
      <w:r w:rsidRPr="00295D8A">
        <w:rPr>
          <w:rFonts w:ascii="Arial" w:hAnsi="Arial" w:cs="Arial"/>
          <w:noProof/>
          <w:sz w:val="22"/>
          <w:lang w:val="es-ES_tradnl"/>
        </w:rPr>
        <w:t xml:space="preserve"> acto administrativo de justificación de la contratación directa</w:t>
      </w:r>
      <w:r w:rsidRPr="00295D8A">
        <w:rPr>
          <w:rStyle w:val="Refdenotaalpie"/>
          <w:rFonts w:ascii="Arial" w:hAnsi="Arial" w:cs="Arial"/>
          <w:noProof/>
          <w:sz w:val="22"/>
          <w:lang w:val="es-ES_tradnl"/>
        </w:rPr>
        <w:footnoteReference w:id="11"/>
      </w:r>
      <w:r w:rsidRPr="00295D8A">
        <w:rPr>
          <w:rFonts w:ascii="Arial" w:hAnsi="Arial" w:cs="Arial"/>
          <w:noProof/>
          <w:sz w:val="22"/>
          <w:lang w:val="es-ES_tradnl"/>
        </w:rPr>
        <w:t>.</w:t>
      </w:r>
    </w:p>
    <w:p w:rsidRPr="00295D8A" w:rsidR="00C55CE9" w:rsidP="00F106B5" w:rsidRDefault="00C55CE9" w14:paraId="3EAB0F90" w14:textId="073BEE44">
      <w:pPr>
        <w:spacing w:before="120" w:after="120" w:line="276" w:lineRule="auto"/>
        <w:ind w:firstLine="709"/>
        <w:jc w:val="both"/>
        <w:rPr>
          <w:rFonts w:ascii="Arial" w:hAnsi="Arial" w:cs="Arial"/>
          <w:noProof/>
          <w:sz w:val="22"/>
          <w:lang w:val="es-ES_tradnl"/>
        </w:rPr>
      </w:pPr>
      <w:r w:rsidRPr="00295D8A">
        <w:rPr>
          <w:rFonts w:ascii="Arial" w:hAnsi="Arial" w:cs="Arial"/>
          <w:noProof/>
          <w:sz w:val="22"/>
          <w:lang w:val="es-ES_tradnl"/>
        </w:rPr>
        <w:t xml:space="preserve">viii) </w:t>
      </w:r>
      <w:r w:rsidRPr="00295D8A" w:rsidR="00716793">
        <w:rPr>
          <w:rFonts w:ascii="Arial" w:hAnsi="Arial" w:cs="Arial"/>
          <w:noProof/>
          <w:sz w:val="22"/>
          <w:lang w:val="es-ES_tradnl"/>
        </w:rPr>
        <w:t>El contrato a</w:t>
      </w:r>
      <w:r w:rsidRPr="00295D8A">
        <w:rPr>
          <w:rFonts w:ascii="Arial" w:hAnsi="Arial" w:cs="Arial"/>
          <w:noProof/>
          <w:sz w:val="22"/>
          <w:lang w:val="es-ES_tradnl"/>
        </w:rPr>
        <w:t xml:space="preserve">dmite </w:t>
      </w:r>
      <w:r w:rsidRPr="00295D8A" w:rsidR="00716793">
        <w:rPr>
          <w:rFonts w:ascii="Arial" w:hAnsi="Arial" w:cs="Arial"/>
          <w:noProof/>
          <w:sz w:val="22"/>
          <w:lang w:val="es-ES_tradnl"/>
        </w:rPr>
        <w:t>la inclusión</w:t>
      </w:r>
      <w:r w:rsidRPr="00295D8A">
        <w:rPr>
          <w:rFonts w:ascii="Arial" w:hAnsi="Arial" w:cs="Arial"/>
          <w:noProof/>
          <w:sz w:val="22"/>
          <w:lang w:val="es-ES_tradnl"/>
        </w:rPr>
        <w:t xml:space="preserve"> de cláusulas excepcionales. </w:t>
      </w:r>
      <w:r w:rsidRPr="00295D8A" w:rsidR="00716793">
        <w:rPr>
          <w:rFonts w:ascii="Arial" w:hAnsi="Arial" w:cs="Arial"/>
          <w:noProof/>
          <w:sz w:val="22"/>
          <w:lang w:val="es-ES_tradnl"/>
        </w:rPr>
        <w:t>En</w:t>
      </w:r>
      <w:r w:rsidRPr="00295D8A">
        <w:rPr>
          <w:rFonts w:ascii="Arial" w:hAnsi="Arial" w:cs="Arial"/>
          <w:noProof/>
          <w:sz w:val="22"/>
          <w:lang w:val="es-ES_tradnl"/>
        </w:rPr>
        <w:t xml:space="preserve"> los contratos de prestación de servicios profesionales se puede </w:t>
      </w:r>
      <w:r w:rsidRPr="00295D8A" w:rsidR="00716793">
        <w:rPr>
          <w:rFonts w:ascii="Arial" w:hAnsi="Arial" w:cs="Arial"/>
          <w:noProof/>
          <w:sz w:val="22"/>
          <w:lang w:val="es-ES_tradnl"/>
        </w:rPr>
        <w:t>pactar</w:t>
      </w:r>
      <w:r w:rsidRPr="00295D8A">
        <w:rPr>
          <w:rFonts w:ascii="Arial" w:hAnsi="Arial" w:cs="Arial"/>
          <w:noProof/>
          <w:sz w:val="22"/>
          <w:lang w:val="es-ES_tradnl"/>
        </w:rPr>
        <w:t xml:space="preserve"> la caducidad, la modificación, interpretación o terminación unilateral, como </w:t>
      </w:r>
      <w:r w:rsidRPr="00295D8A" w:rsidR="00716793">
        <w:rPr>
          <w:rFonts w:ascii="Arial" w:hAnsi="Arial" w:cs="Arial"/>
          <w:noProof/>
          <w:sz w:val="22"/>
          <w:lang w:val="es-ES_tradnl"/>
        </w:rPr>
        <w:t xml:space="preserve">acuerdos o </w:t>
      </w:r>
      <w:r w:rsidRPr="00295D8A">
        <w:rPr>
          <w:rFonts w:ascii="Arial" w:hAnsi="Arial" w:cs="Arial"/>
          <w:noProof/>
          <w:sz w:val="22"/>
          <w:lang w:val="es-ES_tradnl"/>
        </w:rPr>
        <w:t xml:space="preserve">elementos accidentales, </w:t>
      </w:r>
      <w:r w:rsidRPr="00295D8A" w:rsidR="00716793">
        <w:rPr>
          <w:rFonts w:ascii="Arial" w:hAnsi="Arial" w:cs="Arial"/>
          <w:noProof/>
          <w:sz w:val="22"/>
          <w:lang w:val="es-ES_tradnl"/>
        </w:rPr>
        <w:t xml:space="preserve">así que </w:t>
      </w:r>
      <w:r w:rsidRPr="00295D8A">
        <w:rPr>
          <w:rFonts w:ascii="Arial" w:hAnsi="Arial" w:cs="Arial"/>
          <w:noProof/>
          <w:sz w:val="22"/>
          <w:lang w:val="es-ES_tradnl"/>
        </w:rPr>
        <w:t>para ejercer</w:t>
      </w:r>
      <w:r w:rsidRPr="00295D8A" w:rsidR="00716793">
        <w:rPr>
          <w:rFonts w:ascii="Arial" w:hAnsi="Arial" w:cs="Arial"/>
          <w:noProof/>
          <w:sz w:val="22"/>
          <w:lang w:val="es-ES_tradnl"/>
        </w:rPr>
        <w:t xml:space="preserve"> estas </w:t>
      </w:r>
      <w:r w:rsidRPr="00295D8A">
        <w:rPr>
          <w:rFonts w:ascii="Arial" w:hAnsi="Arial" w:cs="Arial"/>
          <w:noProof/>
          <w:sz w:val="22"/>
          <w:lang w:val="es-ES_tradnl"/>
        </w:rPr>
        <w:t>exorbitancias deb</w:t>
      </w:r>
      <w:r w:rsidRPr="00295D8A" w:rsidR="00716793">
        <w:rPr>
          <w:rFonts w:ascii="Arial" w:hAnsi="Arial" w:cs="Arial"/>
          <w:noProof/>
          <w:sz w:val="22"/>
          <w:lang w:val="es-ES_tradnl"/>
        </w:rPr>
        <w:t>en i</w:t>
      </w:r>
      <w:r w:rsidRPr="00295D8A">
        <w:rPr>
          <w:rFonts w:ascii="Arial" w:hAnsi="Arial" w:cs="Arial"/>
          <w:noProof/>
          <w:sz w:val="22"/>
          <w:lang w:val="es-ES_tradnl"/>
        </w:rPr>
        <w:t>nclui</w:t>
      </w:r>
      <w:r w:rsidRPr="00295D8A" w:rsidR="00716793">
        <w:rPr>
          <w:rFonts w:ascii="Arial" w:hAnsi="Arial" w:cs="Arial"/>
          <w:noProof/>
          <w:sz w:val="22"/>
          <w:lang w:val="es-ES_tradnl"/>
        </w:rPr>
        <w:t xml:space="preserve">rse </w:t>
      </w:r>
      <w:r w:rsidRPr="00295D8A">
        <w:rPr>
          <w:rFonts w:ascii="Arial" w:hAnsi="Arial" w:cs="Arial"/>
          <w:noProof/>
          <w:sz w:val="22"/>
          <w:lang w:val="es-ES_tradnl"/>
        </w:rPr>
        <w:t xml:space="preserve">expresamente, </w:t>
      </w:r>
      <w:r w:rsidRPr="00295D8A" w:rsidR="00716793">
        <w:rPr>
          <w:rFonts w:ascii="Arial" w:hAnsi="Arial" w:cs="Arial"/>
          <w:noProof/>
          <w:sz w:val="22"/>
          <w:lang w:val="es-ES_tradnl"/>
        </w:rPr>
        <w:t>por</w:t>
      </w:r>
      <w:r w:rsidRPr="00295D8A">
        <w:rPr>
          <w:rFonts w:ascii="Arial" w:hAnsi="Arial" w:cs="Arial"/>
          <w:noProof/>
          <w:sz w:val="22"/>
          <w:lang w:val="es-ES_tradnl"/>
        </w:rPr>
        <w:t>que no se entienden pactadas por naturaleza. Así se infiere del artículo 14, numeral 2º, de la Ley 80 de 1993</w:t>
      </w:r>
      <w:r w:rsidRPr="00295D8A">
        <w:rPr>
          <w:rStyle w:val="Refdenotaalpie"/>
          <w:rFonts w:ascii="Arial" w:hAnsi="Arial" w:cs="Arial"/>
          <w:noProof/>
          <w:sz w:val="22"/>
          <w:lang w:val="es-ES_tradnl"/>
        </w:rPr>
        <w:footnoteReference w:id="12"/>
      </w:r>
      <w:r w:rsidRPr="00295D8A">
        <w:rPr>
          <w:rFonts w:ascii="Arial" w:hAnsi="Arial" w:cs="Arial"/>
          <w:noProof/>
          <w:sz w:val="22"/>
          <w:lang w:val="es-ES_tradnl"/>
        </w:rPr>
        <w:t>.</w:t>
      </w:r>
    </w:p>
    <w:p w:rsidRPr="00295D8A" w:rsidR="00C55CE9" w:rsidP="00F106B5" w:rsidRDefault="00C55CE9" w14:paraId="4380E187" w14:textId="0C7222C4">
      <w:pPr>
        <w:spacing w:before="120" w:after="120" w:line="276" w:lineRule="auto"/>
        <w:ind w:firstLine="709"/>
        <w:jc w:val="both"/>
        <w:rPr>
          <w:rFonts w:ascii="Arial" w:hAnsi="Arial" w:cs="Arial"/>
          <w:noProof/>
          <w:sz w:val="22"/>
          <w:lang w:val="es-ES_tradnl"/>
        </w:rPr>
      </w:pPr>
      <w:r w:rsidRPr="00295D8A">
        <w:rPr>
          <w:rFonts w:ascii="Arial" w:hAnsi="Arial" w:cs="Arial"/>
          <w:noProof/>
          <w:sz w:val="22"/>
          <w:lang w:val="es-ES_tradnl"/>
        </w:rPr>
        <w:lastRenderedPageBreak/>
        <w:t xml:space="preserve">ix) </w:t>
      </w:r>
      <w:r w:rsidRPr="00295D8A" w:rsidR="00B73E50">
        <w:rPr>
          <w:rFonts w:ascii="Arial" w:hAnsi="Arial" w:cs="Arial"/>
          <w:noProof/>
          <w:sz w:val="22"/>
          <w:lang w:val="es-ES_tradnl"/>
        </w:rPr>
        <w:t>No</w:t>
      </w:r>
      <w:r w:rsidRPr="00295D8A">
        <w:rPr>
          <w:rFonts w:ascii="Arial" w:hAnsi="Arial" w:cs="Arial"/>
          <w:noProof/>
          <w:sz w:val="22"/>
          <w:lang w:val="es-ES_tradnl"/>
        </w:rPr>
        <w:t xml:space="preserve"> es obligatori</w:t>
      </w:r>
      <w:r w:rsidRPr="00295D8A" w:rsidR="00B73E50">
        <w:rPr>
          <w:rFonts w:ascii="Arial" w:hAnsi="Arial" w:cs="Arial"/>
          <w:noProof/>
          <w:sz w:val="22"/>
          <w:lang w:val="es-ES_tradnl"/>
        </w:rPr>
        <w:t xml:space="preserve">o </w:t>
      </w:r>
      <w:r w:rsidRPr="00295D8A">
        <w:rPr>
          <w:rFonts w:ascii="Arial" w:hAnsi="Arial" w:cs="Arial"/>
          <w:noProof/>
          <w:sz w:val="22"/>
          <w:lang w:val="es-ES_tradnl"/>
        </w:rPr>
        <w:t>liquida</w:t>
      </w:r>
      <w:r w:rsidRPr="00295D8A" w:rsidR="00B73E50">
        <w:rPr>
          <w:rFonts w:ascii="Arial" w:hAnsi="Arial" w:cs="Arial"/>
          <w:noProof/>
          <w:sz w:val="22"/>
          <w:lang w:val="es-ES_tradnl"/>
        </w:rPr>
        <w:t>r estos contratos</w:t>
      </w:r>
      <w:r w:rsidRPr="00295D8A">
        <w:rPr>
          <w:rFonts w:ascii="Arial" w:hAnsi="Arial" w:cs="Arial"/>
          <w:noProof/>
          <w:sz w:val="22"/>
          <w:lang w:val="es-ES_tradnl"/>
        </w:rPr>
        <w:t xml:space="preserve">, </w:t>
      </w:r>
      <w:r w:rsidRPr="00295D8A" w:rsidR="00B73E50">
        <w:rPr>
          <w:rFonts w:ascii="Arial" w:hAnsi="Arial" w:cs="Arial"/>
          <w:noProof/>
          <w:sz w:val="22"/>
          <w:lang w:val="es-ES_tradnl"/>
        </w:rPr>
        <w:t xml:space="preserve">como </w:t>
      </w:r>
      <w:r w:rsidRPr="00295D8A">
        <w:rPr>
          <w:rFonts w:ascii="Arial" w:hAnsi="Arial" w:cs="Arial"/>
          <w:noProof/>
          <w:sz w:val="22"/>
          <w:lang w:val="es-ES_tradnl"/>
        </w:rPr>
        <w:t>lo establec</w:t>
      </w:r>
      <w:r w:rsidRPr="00295D8A" w:rsidR="00B73E50">
        <w:rPr>
          <w:rFonts w:ascii="Arial" w:hAnsi="Arial" w:cs="Arial"/>
          <w:noProof/>
          <w:sz w:val="22"/>
          <w:lang w:val="es-ES_tradnl"/>
        </w:rPr>
        <w:t>e</w:t>
      </w:r>
      <w:r w:rsidRPr="00295D8A">
        <w:rPr>
          <w:rFonts w:ascii="Arial" w:hAnsi="Arial" w:cs="Arial"/>
          <w:noProof/>
          <w:sz w:val="22"/>
          <w:lang w:val="es-ES_tradnl"/>
        </w:rPr>
        <w:t xml:space="preserve"> el artículo 217 del Decreto 019 de 2012, que modificó el artículo 60 de la Ley 80 de 1993</w:t>
      </w:r>
      <w:r w:rsidRPr="00295D8A">
        <w:rPr>
          <w:rStyle w:val="Refdenotaalpie"/>
          <w:rFonts w:ascii="Arial" w:hAnsi="Arial" w:cs="Arial"/>
          <w:noProof/>
          <w:sz w:val="22"/>
          <w:lang w:val="es-ES_tradnl"/>
        </w:rPr>
        <w:footnoteReference w:id="13"/>
      </w:r>
      <w:r w:rsidRPr="00295D8A">
        <w:rPr>
          <w:rFonts w:ascii="Arial" w:hAnsi="Arial" w:cs="Arial"/>
          <w:noProof/>
          <w:sz w:val="22"/>
          <w:lang w:val="es-ES_tradnl"/>
        </w:rPr>
        <w:t>.</w:t>
      </w:r>
    </w:p>
    <w:p w:rsidRPr="00295D8A" w:rsidR="00C55CE9" w:rsidP="00F106B5" w:rsidRDefault="00C55CE9" w14:paraId="4258C632" w14:textId="015423CC">
      <w:pPr>
        <w:spacing w:before="120" w:after="120" w:line="276" w:lineRule="auto"/>
        <w:ind w:firstLine="709"/>
        <w:jc w:val="both"/>
        <w:rPr>
          <w:rFonts w:ascii="Arial" w:hAnsi="Arial" w:cs="Arial"/>
          <w:noProof/>
          <w:sz w:val="22"/>
          <w:lang w:val="es-ES_tradnl"/>
        </w:rPr>
      </w:pPr>
      <w:r w:rsidRPr="00295D8A">
        <w:rPr>
          <w:rFonts w:ascii="Arial" w:hAnsi="Arial" w:cs="Arial"/>
          <w:noProof/>
          <w:sz w:val="22"/>
          <w:lang w:val="es-ES_tradnl"/>
        </w:rPr>
        <w:t>x) Para celebra</w:t>
      </w:r>
      <w:r w:rsidRPr="00295D8A" w:rsidR="003133D1">
        <w:rPr>
          <w:rFonts w:ascii="Arial" w:hAnsi="Arial" w:cs="Arial"/>
          <w:noProof/>
          <w:sz w:val="22"/>
          <w:lang w:val="es-ES_tradnl"/>
        </w:rPr>
        <w:t>rlos</w:t>
      </w:r>
      <w:r w:rsidRPr="00295D8A">
        <w:rPr>
          <w:rFonts w:ascii="Arial" w:hAnsi="Arial" w:cs="Arial"/>
          <w:noProof/>
          <w:sz w:val="22"/>
          <w:lang w:val="es-ES_tradnl"/>
        </w:rPr>
        <w:t xml:space="preserve"> no se requiere </w:t>
      </w:r>
      <w:r w:rsidRPr="00295D8A" w:rsidR="005024CA">
        <w:rPr>
          <w:rFonts w:ascii="Arial" w:hAnsi="Arial" w:cs="Arial"/>
          <w:noProof/>
          <w:sz w:val="22"/>
          <w:lang w:val="es-ES_tradnl"/>
        </w:rPr>
        <w:t xml:space="preserve">estar </w:t>
      </w:r>
      <w:r w:rsidRPr="00295D8A">
        <w:rPr>
          <w:rFonts w:ascii="Arial" w:hAnsi="Arial" w:cs="Arial"/>
          <w:noProof/>
          <w:sz w:val="22"/>
          <w:lang w:val="es-ES_tradnl"/>
        </w:rPr>
        <w:t>inscri</w:t>
      </w:r>
      <w:r w:rsidRPr="00295D8A" w:rsidR="005024CA">
        <w:rPr>
          <w:rFonts w:ascii="Arial" w:hAnsi="Arial" w:cs="Arial"/>
          <w:noProof/>
          <w:sz w:val="22"/>
          <w:lang w:val="es-ES_tradnl"/>
        </w:rPr>
        <w:t xml:space="preserve">to </w:t>
      </w:r>
      <w:r w:rsidRPr="00295D8A">
        <w:rPr>
          <w:rFonts w:ascii="Arial" w:hAnsi="Arial" w:cs="Arial"/>
          <w:noProof/>
          <w:sz w:val="22"/>
          <w:lang w:val="es-ES_tradnl"/>
        </w:rPr>
        <w:t xml:space="preserve">en el Registro Único de Proponentes </w:t>
      </w:r>
      <w:r w:rsidRPr="00295D8A" w:rsidR="005024CA">
        <w:rPr>
          <w:rFonts w:ascii="Arial" w:hAnsi="Arial" w:cs="Arial"/>
          <w:noProof/>
          <w:sz w:val="22"/>
          <w:lang w:val="es-ES_tradnl"/>
        </w:rPr>
        <w:t>–</w:t>
      </w:r>
      <w:r w:rsidRPr="00295D8A">
        <w:rPr>
          <w:rFonts w:ascii="Arial" w:hAnsi="Arial" w:cs="Arial"/>
          <w:noProof/>
          <w:sz w:val="22"/>
          <w:lang w:val="es-ES_tradnl"/>
        </w:rPr>
        <w:t>RUP</w:t>
      </w:r>
      <w:r w:rsidRPr="00295D8A" w:rsidR="005024CA">
        <w:rPr>
          <w:rFonts w:ascii="Arial" w:hAnsi="Arial" w:cs="Arial"/>
          <w:noProof/>
          <w:sz w:val="22"/>
          <w:lang w:val="es-ES_tradnl"/>
        </w:rPr>
        <w:t>–</w:t>
      </w:r>
      <w:r w:rsidRPr="00295D8A">
        <w:rPr>
          <w:rFonts w:ascii="Arial" w:hAnsi="Arial" w:cs="Arial"/>
          <w:noProof/>
          <w:sz w:val="22"/>
          <w:lang w:val="es-ES_tradnl"/>
        </w:rPr>
        <w:t xml:space="preserve">, </w:t>
      </w:r>
      <w:r w:rsidRPr="00295D8A" w:rsidR="003133D1">
        <w:rPr>
          <w:rFonts w:ascii="Arial" w:hAnsi="Arial" w:cs="Arial"/>
          <w:noProof/>
          <w:sz w:val="22"/>
          <w:lang w:val="es-ES_tradnl"/>
        </w:rPr>
        <w:t>como</w:t>
      </w:r>
      <w:r w:rsidRPr="00295D8A">
        <w:rPr>
          <w:rFonts w:ascii="Arial" w:hAnsi="Arial" w:cs="Arial"/>
          <w:noProof/>
          <w:sz w:val="22"/>
          <w:lang w:val="es-ES_tradnl"/>
        </w:rPr>
        <w:t xml:space="preserve"> lo </w:t>
      </w:r>
      <w:r w:rsidRPr="00295D8A" w:rsidR="003133D1">
        <w:rPr>
          <w:rFonts w:ascii="Arial" w:hAnsi="Arial" w:cs="Arial"/>
          <w:noProof/>
          <w:sz w:val="22"/>
          <w:lang w:val="es-ES_tradnl"/>
        </w:rPr>
        <w:t xml:space="preserve">expresa </w:t>
      </w:r>
      <w:r w:rsidRPr="00295D8A">
        <w:rPr>
          <w:rFonts w:ascii="Arial" w:hAnsi="Arial" w:cs="Arial"/>
          <w:noProof/>
          <w:sz w:val="22"/>
          <w:lang w:val="es-ES_tradnl"/>
        </w:rPr>
        <w:t>el artículo 6 de la Ley 1150 de 2007</w:t>
      </w:r>
      <w:r w:rsidRPr="00295D8A">
        <w:rPr>
          <w:rStyle w:val="Refdenotaalpie"/>
          <w:rFonts w:ascii="Arial" w:hAnsi="Arial" w:cs="Arial"/>
          <w:noProof/>
          <w:sz w:val="22"/>
          <w:lang w:val="es-ES_tradnl"/>
        </w:rPr>
        <w:footnoteReference w:id="14"/>
      </w:r>
      <w:r w:rsidRPr="00295D8A">
        <w:rPr>
          <w:rFonts w:ascii="Arial" w:hAnsi="Arial" w:cs="Arial"/>
          <w:noProof/>
          <w:sz w:val="22"/>
          <w:lang w:val="es-ES_tradnl"/>
        </w:rPr>
        <w:t>.</w:t>
      </w:r>
    </w:p>
    <w:p w:rsidRPr="00295D8A" w:rsidR="009A7DDF" w:rsidP="00A33107" w:rsidRDefault="00C55CE9" w14:paraId="44512243" w14:textId="68C6D2F8">
      <w:pPr>
        <w:spacing w:line="276" w:lineRule="auto"/>
        <w:ind w:firstLine="708"/>
        <w:jc w:val="both"/>
        <w:rPr>
          <w:rFonts w:ascii="Arial" w:hAnsi="Arial" w:cs="Arial"/>
          <w:noProof/>
          <w:sz w:val="22"/>
          <w:lang w:val="es-ES_tradnl"/>
        </w:rPr>
      </w:pPr>
      <w:r w:rsidRPr="00295D8A">
        <w:rPr>
          <w:rFonts w:ascii="Arial" w:hAnsi="Arial" w:cs="Arial"/>
          <w:noProof/>
          <w:sz w:val="22"/>
          <w:lang w:val="es-ES_tradnl"/>
        </w:rPr>
        <w:t xml:space="preserve">xi) </w:t>
      </w:r>
      <w:r w:rsidRPr="00295D8A" w:rsidR="005024CA">
        <w:rPr>
          <w:rFonts w:ascii="Arial" w:hAnsi="Arial" w:cs="Arial"/>
          <w:noProof/>
          <w:sz w:val="22"/>
          <w:lang w:val="es-ES_tradnl"/>
        </w:rPr>
        <w:t>N</w:t>
      </w:r>
      <w:r w:rsidRPr="00295D8A">
        <w:rPr>
          <w:rFonts w:ascii="Arial" w:hAnsi="Arial" w:cs="Arial"/>
          <w:noProof/>
          <w:sz w:val="22"/>
          <w:lang w:val="es-ES_tradnl"/>
        </w:rPr>
        <w:t xml:space="preserve">o </w:t>
      </w:r>
      <w:r w:rsidRPr="00295D8A" w:rsidR="005C6619">
        <w:rPr>
          <w:rFonts w:ascii="Arial" w:hAnsi="Arial" w:cs="Arial"/>
          <w:noProof/>
          <w:sz w:val="22"/>
          <w:lang w:val="es-ES_tradnl"/>
        </w:rPr>
        <w:t>es</w:t>
      </w:r>
      <w:r w:rsidRPr="00295D8A">
        <w:rPr>
          <w:rFonts w:ascii="Arial" w:hAnsi="Arial" w:cs="Arial"/>
          <w:noProof/>
          <w:sz w:val="22"/>
          <w:lang w:val="es-ES_tradnl"/>
        </w:rPr>
        <w:t xml:space="preserve"> necesari</w:t>
      </w:r>
      <w:r w:rsidRPr="00295D8A" w:rsidR="005C6619">
        <w:rPr>
          <w:rFonts w:ascii="Arial" w:hAnsi="Arial" w:cs="Arial"/>
          <w:noProof/>
          <w:sz w:val="22"/>
          <w:lang w:val="es-ES_tradnl"/>
        </w:rPr>
        <w:t>o que el Estado exija garantías</w:t>
      </w:r>
      <w:r w:rsidRPr="00295D8A">
        <w:rPr>
          <w:rStyle w:val="Refdenotaalpie"/>
          <w:rFonts w:ascii="Arial" w:hAnsi="Arial" w:cs="Arial"/>
          <w:noProof/>
          <w:sz w:val="22"/>
          <w:lang w:val="es-ES_tradnl"/>
        </w:rPr>
        <w:footnoteReference w:id="15"/>
      </w:r>
      <w:r w:rsidRPr="00295D8A">
        <w:rPr>
          <w:rFonts w:ascii="Arial" w:hAnsi="Arial" w:cs="Arial"/>
          <w:noProof/>
          <w:sz w:val="22"/>
          <w:lang w:val="es-ES_tradnl"/>
        </w:rPr>
        <w:t>.</w:t>
      </w:r>
    </w:p>
    <w:p w:rsidRPr="00295D8A" w:rsidR="009A7DDF" w:rsidP="00A457BC" w:rsidRDefault="009A7DDF" w14:paraId="3F04A827" w14:textId="77777777">
      <w:pPr>
        <w:spacing w:line="276" w:lineRule="auto"/>
        <w:jc w:val="both"/>
        <w:rPr>
          <w:rFonts w:ascii="Arial" w:hAnsi="Arial" w:cs="Arial"/>
          <w:noProof/>
          <w:sz w:val="22"/>
          <w:lang w:val="es-ES_tradnl"/>
        </w:rPr>
      </w:pPr>
    </w:p>
    <w:p w:rsidRPr="00295D8A" w:rsidR="00A457BC" w:rsidP="00A457BC" w:rsidRDefault="00A457BC" w14:paraId="4AC7FAE4" w14:textId="410FFCC9">
      <w:pPr>
        <w:spacing w:line="276" w:lineRule="auto"/>
        <w:jc w:val="both"/>
        <w:rPr>
          <w:rFonts w:ascii="Arial" w:hAnsi="Arial" w:cs="Arial"/>
          <w:b/>
          <w:bCs/>
          <w:sz w:val="22"/>
        </w:rPr>
      </w:pPr>
      <w:r w:rsidRPr="00295D8A">
        <w:rPr>
          <w:rFonts w:ascii="Arial" w:hAnsi="Arial" w:cs="Arial"/>
          <w:b/>
          <w:bCs/>
          <w:sz w:val="22"/>
        </w:rPr>
        <w:t>2.2. C</w:t>
      </w:r>
      <w:r w:rsidRPr="00295D8A" w:rsidR="00B375CA">
        <w:rPr>
          <w:rFonts w:ascii="Arial" w:hAnsi="Arial" w:cs="Arial"/>
          <w:b/>
          <w:bCs/>
          <w:sz w:val="22"/>
        </w:rPr>
        <w:t xml:space="preserve">ierre del expediente en los contratos </w:t>
      </w:r>
      <w:r w:rsidRPr="00295D8A" w:rsidR="00B375CA">
        <w:rPr>
          <w:rFonts w:ascii="Arial" w:hAnsi="Arial" w:cs="Arial"/>
          <w:b/>
          <w:bCs/>
          <w:noProof/>
          <w:sz w:val="22"/>
          <w:lang w:val="es-ES_tradnl"/>
        </w:rPr>
        <w:t>de prestación de servicios profesionales y de apoyo a la gestión</w:t>
      </w:r>
    </w:p>
    <w:p w:rsidRPr="00295D8A" w:rsidR="00A457BC" w:rsidP="00A457BC" w:rsidRDefault="00A457BC" w14:paraId="74F0D76A" w14:textId="77777777">
      <w:pPr>
        <w:spacing w:line="276" w:lineRule="auto"/>
        <w:jc w:val="both"/>
        <w:rPr>
          <w:rFonts w:ascii="Arial" w:hAnsi="Arial" w:cs="Arial"/>
          <w:b/>
          <w:bCs/>
          <w:sz w:val="22"/>
        </w:rPr>
      </w:pPr>
    </w:p>
    <w:p w:rsidRPr="001375C4" w:rsidR="00671A48" w:rsidP="001375C4" w:rsidRDefault="00671A48" w14:paraId="37F36046" w14:textId="21914421">
      <w:pPr>
        <w:pStyle w:val="paragraph"/>
        <w:spacing w:before="0" w:beforeAutospacing="0" w:after="120" w:afterAutospacing="0" w:line="276" w:lineRule="auto"/>
        <w:jc w:val="both"/>
        <w:textAlignment w:val="baseline"/>
        <w:rPr>
          <w:rStyle w:val="eop"/>
          <w:rFonts w:ascii="Arial" w:hAnsi="Arial" w:cs="Arial"/>
          <w:sz w:val="22"/>
          <w:szCs w:val="22"/>
        </w:rPr>
      </w:pPr>
      <w:r w:rsidRPr="001375C4">
        <w:rPr>
          <w:rStyle w:val="normaltextrun"/>
          <w:rFonts w:ascii="Arial" w:hAnsi="Arial" w:cs="Arial"/>
          <w:sz w:val="22"/>
          <w:szCs w:val="22"/>
        </w:rPr>
        <w:t>Durante la ejecución y después de la terminación de los contratos estatales se pueden presentar ciertas actuaciones que la entidad estatal debe realizar por mandato legal, o que debe</w:t>
      </w:r>
      <w:r w:rsidRPr="001375C4" w:rsidR="008F180C">
        <w:rPr>
          <w:rStyle w:val="normaltextrun"/>
          <w:rFonts w:ascii="Arial" w:hAnsi="Arial" w:cs="Arial"/>
          <w:sz w:val="22"/>
          <w:szCs w:val="22"/>
        </w:rPr>
        <w:t>n</w:t>
      </w:r>
      <w:r w:rsidRPr="001375C4">
        <w:rPr>
          <w:rStyle w:val="normaltextrun"/>
          <w:rFonts w:ascii="Arial" w:hAnsi="Arial" w:cs="Arial"/>
          <w:sz w:val="22"/>
          <w:szCs w:val="22"/>
        </w:rPr>
        <w:t xml:space="preserve"> </w:t>
      </w:r>
      <w:r w:rsidR="006A06C5">
        <w:rPr>
          <w:rStyle w:val="normaltextrun"/>
          <w:rFonts w:ascii="Arial" w:hAnsi="Arial" w:cs="Arial"/>
          <w:sz w:val="22"/>
          <w:szCs w:val="22"/>
        </w:rPr>
        <w:t>adelantar</w:t>
      </w:r>
      <w:r w:rsidRPr="001375C4" w:rsidR="006A06C5">
        <w:rPr>
          <w:rStyle w:val="normaltextrun"/>
          <w:rFonts w:ascii="Arial" w:hAnsi="Arial" w:cs="Arial"/>
          <w:sz w:val="22"/>
          <w:szCs w:val="22"/>
        </w:rPr>
        <w:t xml:space="preserve"> </w:t>
      </w:r>
      <w:r w:rsidRPr="001375C4">
        <w:rPr>
          <w:rStyle w:val="normaltextrun"/>
          <w:rFonts w:ascii="Arial" w:hAnsi="Arial" w:cs="Arial"/>
          <w:sz w:val="22"/>
          <w:szCs w:val="22"/>
        </w:rPr>
        <w:t xml:space="preserve">las partes del contrato en virtud del acuerdo de voluntades. Algunas de estas actuaciones </w:t>
      </w:r>
      <w:r w:rsidR="00CB60EC">
        <w:rPr>
          <w:rStyle w:val="normaltextrun"/>
          <w:rFonts w:ascii="Arial" w:hAnsi="Arial" w:cs="Arial"/>
          <w:sz w:val="22"/>
          <w:szCs w:val="22"/>
        </w:rPr>
        <w:t>son</w:t>
      </w:r>
      <w:r w:rsidRPr="001375C4">
        <w:rPr>
          <w:rStyle w:val="normaltextrun"/>
          <w:rFonts w:ascii="Arial" w:hAnsi="Arial" w:cs="Arial"/>
          <w:sz w:val="22"/>
          <w:szCs w:val="22"/>
        </w:rPr>
        <w:t>: i) acta de recibo final del contrato; </w:t>
      </w:r>
      <w:proofErr w:type="spellStart"/>
      <w:r w:rsidRPr="001375C4">
        <w:rPr>
          <w:rStyle w:val="normaltextrun"/>
          <w:rFonts w:ascii="Arial" w:hAnsi="Arial" w:cs="Arial"/>
          <w:sz w:val="22"/>
          <w:szCs w:val="22"/>
        </w:rPr>
        <w:t>ii</w:t>
      </w:r>
      <w:proofErr w:type="spellEnd"/>
      <w:r w:rsidRPr="001375C4">
        <w:rPr>
          <w:rStyle w:val="normaltextrun"/>
          <w:rFonts w:ascii="Arial" w:hAnsi="Arial" w:cs="Arial"/>
          <w:sz w:val="22"/>
          <w:szCs w:val="22"/>
        </w:rPr>
        <w:t>) acta de liquidación y </w:t>
      </w:r>
      <w:proofErr w:type="spellStart"/>
      <w:r w:rsidRPr="001375C4">
        <w:rPr>
          <w:rStyle w:val="normaltextrun"/>
          <w:rFonts w:ascii="Arial" w:hAnsi="Arial" w:cs="Arial"/>
          <w:sz w:val="22"/>
          <w:szCs w:val="22"/>
        </w:rPr>
        <w:t>iii</w:t>
      </w:r>
      <w:proofErr w:type="spellEnd"/>
      <w:r w:rsidRPr="001375C4">
        <w:rPr>
          <w:rStyle w:val="normaltextrun"/>
          <w:rFonts w:ascii="Arial" w:hAnsi="Arial" w:cs="Arial"/>
          <w:sz w:val="22"/>
          <w:szCs w:val="22"/>
        </w:rPr>
        <w:t>) constancia de cierre del expediente</w:t>
      </w:r>
      <w:r w:rsidR="00CB60EC">
        <w:rPr>
          <w:rStyle w:val="normaltextrun"/>
          <w:rFonts w:ascii="Arial" w:hAnsi="Arial" w:cs="Arial"/>
          <w:sz w:val="22"/>
          <w:szCs w:val="22"/>
        </w:rPr>
        <w:t>.</w:t>
      </w:r>
      <w:r w:rsidRPr="001375C4">
        <w:rPr>
          <w:rStyle w:val="normaltextrun"/>
          <w:rFonts w:ascii="Arial" w:hAnsi="Arial" w:cs="Arial"/>
          <w:sz w:val="22"/>
          <w:szCs w:val="22"/>
        </w:rPr>
        <w:t xml:space="preserve"> </w:t>
      </w:r>
      <w:r w:rsidR="00CB60EC">
        <w:rPr>
          <w:rStyle w:val="normaltextrun"/>
          <w:rFonts w:ascii="Arial" w:hAnsi="Arial" w:cs="Arial"/>
          <w:sz w:val="22"/>
          <w:szCs w:val="22"/>
        </w:rPr>
        <w:t>E</w:t>
      </w:r>
      <w:r w:rsidRPr="001375C4" w:rsidR="009D1CC6">
        <w:rPr>
          <w:rStyle w:val="normaltextrun"/>
          <w:rFonts w:ascii="Arial" w:hAnsi="Arial" w:cs="Arial"/>
          <w:sz w:val="22"/>
          <w:szCs w:val="22"/>
        </w:rPr>
        <w:t>st</w:t>
      </w:r>
      <w:r w:rsidRPr="001375C4" w:rsidR="005657A2">
        <w:rPr>
          <w:rStyle w:val="normaltextrun"/>
          <w:rFonts w:ascii="Arial" w:hAnsi="Arial" w:cs="Arial"/>
          <w:sz w:val="22"/>
          <w:szCs w:val="22"/>
        </w:rPr>
        <w:t>a</w:t>
      </w:r>
      <w:r w:rsidRPr="001375C4" w:rsidR="009D1CC6">
        <w:rPr>
          <w:rStyle w:val="normaltextrun"/>
          <w:rFonts w:ascii="Arial" w:hAnsi="Arial" w:cs="Arial"/>
          <w:sz w:val="22"/>
          <w:szCs w:val="22"/>
        </w:rPr>
        <w:t xml:space="preserve"> últim</w:t>
      </w:r>
      <w:r w:rsidRPr="001375C4" w:rsidR="005657A2">
        <w:rPr>
          <w:rStyle w:val="normaltextrun"/>
          <w:rFonts w:ascii="Arial" w:hAnsi="Arial" w:cs="Arial"/>
          <w:sz w:val="22"/>
          <w:szCs w:val="22"/>
        </w:rPr>
        <w:t>a</w:t>
      </w:r>
      <w:r w:rsidRPr="001375C4" w:rsidR="009D1CC6">
        <w:rPr>
          <w:rStyle w:val="normaltextrun"/>
          <w:rFonts w:ascii="Arial" w:hAnsi="Arial" w:cs="Arial"/>
          <w:sz w:val="22"/>
          <w:szCs w:val="22"/>
        </w:rPr>
        <w:t xml:space="preserve"> </w:t>
      </w:r>
      <w:r w:rsidRPr="001375C4" w:rsidR="005657A2">
        <w:rPr>
          <w:rStyle w:val="normaltextrun"/>
          <w:rFonts w:ascii="Arial" w:hAnsi="Arial" w:cs="Arial"/>
          <w:sz w:val="22"/>
          <w:szCs w:val="22"/>
        </w:rPr>
        <w:t>se</w:t>
      </w:r>
      <w:r w:rsidRPr="001375C4" w:rsidR="009D1CC6">
        <w:rPr>
          <w:rStyle w:val="normaltextrun"/>
          <w:rFonts w:ascii="Arial" w:hAnsi="Arial" w:cs="Arial"/>
          <w:sz w:val="22"/>
          <w:szCs w:val="22"/>
        </w:rPr>
        <w:t xml:space="preserve"> evaluar</w:t>
      </w:r>
      <w:r w:rsidRPr="001375C4" w:rsidR="005657A2">
        <w:rPr>
          <w:rStyle w:val="normaltextrun"/>
          <w:rFonts w:ascii="Arial" w:hAnsi="Arial" w:cs="Arial"/>
          <w:sz w:val="22"/>
          <w:szCs w:val="22"/>
        </w:rPr>
        <w:t>á</w:t>
      </w:r>
      <w:r w:rsidRPr="001375C4" w:rsidR="009D1CC6">
        <w:rPr>
          <w:rStyle w:val="normaltextrun"/>
          <w:rFonts w:ascii="Arial" w:hAnsi="Arial" w:cs="Arial"/>
          <w:sz w:val="22"/>
          <w:szCs w:val="22"/>
        </w:rPr>
        <w:t xml:space="preserve"> </w:t>
      </w:r>
      <w:r w:rsidRPr="001375C4">
        <w:rPr>
          <w:rStyle w:val="normaltextrun"/>
          <w:rFonts w:ascii="Arial" w:hAnsi="Arial" w:cs="Arial"/>
          <w:sz w:val="22"/>
          <w:szCs w:val="22"/>
        </w:rPr>
        <w:t>a continuación</w:t>
      </w:r>
      <w:r w:rsidR="00CB60EC">
        <w:rPr>
          <w:rStyle w:val="normaltextrun"/>
          <w:rFonts w:ascii="Arial" w:hAnsi="Arial" w:cs="Arial"/>
          <w:sz w:val="22"/>
          <w:szCs w:val="22"/>
        </w:rPr>
        <w:t>,</w:t>
      </w:r>
      <w:r w:rsidRPr="001375C4">
        <w:rPr>
          <w:rStyle w:val="normaltextrun"/>
          <w:rFonts w:ascii="Arial" w:hAnsi="Arial" w:cs="Arial"/>
          <w:sz w:val="22"/>
          <w:szCs w:val="22"/>
        </w:rPr>
        <w:t xml:space="preserve"> para responder su consulta.</w:t>
      </w:r>
      <w:r w:rsidRPr="001375C4">
        <w:rPr>
          <w:rStyle w:val="eop"/>
          <w:rFonts w:ascii="Arial" w:hAnsi="Arial" w:cs="Arial"/>
          <w:sz w:val="22"/>
          <w:szCs w:val="22"/>
        </w:rPr>
        <w:t> </w:t>
      </w:r>
    </w:p>
    <w:p w:rsidRPr="001375C4" w:rsidR="00770ADC" w:rsidP="001375C4" w:rsidRDefault="00770ADC" w14:paraId="6E9989B8" w14:textId="46C3B63F">
      <w:pPr>
        <w:pStyle w:val="paragraph"/>
        <w:spacing w:before="0" w:beforeAutospacing="0" w:after="120" w:afterAutospacing="0" w:line="276" w:lineRule="auto"/>
        <w:ind w:firstLine="708"/>
        <w:jc w:val="both"/>
        <w:textAlignment w:val="baseline"/>
        <w:rPr>
          <w:rFonts w:ascii="Arial" w:hAnsi="Arial" w:cs="Arial"/>
          <w:sz w:val="18"/>
          <w:szCs w:val="18"/>
        </w:rPr>
      </w:pPr>
      <w:r w:rsidRPr="001375C4">
        <w:rPr>
          <w:rStyle w:val="normaltextrun"/>
          <w:rFonts w:ascii="Arial" w:hAnsi="Arial" w:cs="Arial"/>
          <w:sz w:val="22"/>
          <w:szCs w:val="22"/>
        </w:rPr>
        <w:t>El cierre del expediente de acuerdo con el artículo 2.2.1.1.2.4.3. del Decreto 1082 de 2015</w:t>
      </w:r>
      <w:r w:rsidRPr="001375C4">
        <w:rPr>
          <w:rStyle w:val="Refdenotaalpie"/>
          <w:rFonts w:ascii="Arial" w:hAnsi="Arial" w:cs="Arial"/>
          <w:sz w:val="22"/>
          <w:szCs w:val="22"/>
        </w:rPr>
        <w:footnoteReference w:id="16"/>
      </w:r>
      <w:r w:rsidRPr="001375C4">
        <w:rPr>
          <w:rStyle w:val="normaltextrun"/>
          <w:rFonts w:ascii="Arial" w:hAnsi="Arial" w:cs="Arial"/>
          <w:sz w:val="22"/>
          <w:szCs w:val="22"/>
        </w:rPr>
        <w:t> es un acto de trámite que debe realizar la entidad estatal</w:t>
      </w:r>
      <w:r w:rsidRPr="001375C4" w:rsidR="00920089">
        <w:rPr>
          <w:rStyle w:val="normaltextrun"/>
          <w:rFonts w:ascii="Arial" w:hAnsi="Arial" w:cs="Arial"/>
          <w:sz w:val="22"/>
          <w:szCs w:val="22"/>
        </w:rPr>
        <w:t xml:space="preserve"> de forma posterior a la </w:t>
      </w:r>
      <w:r w:rsidRPr="001375C4" w:rsidR="00920089">
        <w:rPr>
          <w:rStyle w:val="normaltextrun"/>
          <w:rFonts w:ascii="Arial" w:hAnsi="Arial" w:cs="Arial"/>
          <w:sz w:val="22"/>
          <w:szCs w:val="22"/>
        </w:rPr>
        <w:lastRenderedPageBreak/>
        <w:t>liquidación del contrato</w:t>
      </w:r>
      <w:r w:rsidRPr="001375C4" w:rsidR="00417023">
        <w:rPr>
          <w:rStyle w:val="normaltextrun"/>
          <w:rFonts w:ascii="Arial" w:hAnsi="Arial" w:cs="Arial"/>
          <w:sz w:val="22"/>
          <w:szCs w:val="22"/>
        </w:rPr>
        <w:t>,</w:t>
      </w:r>
      <w:r w:rsidRPr="001375C4" w:rsidR="00920089">
        <w:rPr>
          <w:rStyle w:val="normaltextrun"/>
          <w:rFonts w:ascii="Arial" w:hAnsi="Arial" w:cs="Arial"/>
          <w:sz w:val="22"/>
          <w:szCs w:val="22"/>
        </w:rPr>
        <w:t xml:space="preserve"> y</w:t>
      </w:r>
      <w:r w:rsidRPr="001375C4">
        <w:rPr>
          <w:rStyle w:val="normaltextrun"/>
          <w:rFonts w:ascii="Arial" w:hAnsi="Arial" w:cs="Arial"/>
          <w:sz w:val="22"/>
          <w:szCs w:val="22"/>
        </w:rPr>
        <w:t xml:space="preserve"> cuando han vencido las garantías de calidad, estabilidad y mantenimiento, o las condiciones de disposición final o recuperación ambiental de las obras o bienes. </w:t>
      </w:r>
      <w:r w:rsidRPr="001375C4">
        <w:rPr>
          <w:rStyle w:val="eop"/>
          <w:rFonts w:ascii="Arial" w:hAnsi="Arial" w:cs="Arial"/>
          <w:sz w:val="22"/>
          <w:szCs w:val="22"/>
        </w:rPr>
        <w:t> </w:t>
      </w:r>
    </w:p>
    <w:p w:rsidRPr="001375C4" w:rsidR="00770ADC" w:rsidP="001375C4" w:rsidRDefault="00770ADC" w14:paraId="13455C78" w14:textId="5CEF61EE">
      <w:pPr>
        <w:pStyle w:val="paragraph"/>
        <w:spacing w:before="0" w:beforeAutospacing="0" w:after="120" w:afterAutospacing="0" w:line="276" w:lineRule="auto"/>
        <w:jc w:val="both"/>
        <w:textAlignment w:val="baseline"/>
        <w:rPr>
          <w:rFonts w:ascii="Arial" w:hAnsi="Arial" w:cs="Arial"/>
          <w:sz w:val="18"/>
          <w:szCs w:val="18"/>
        </w:rPr>
      </w:pPr>
      <w:r w:rsidRPr="001375C4">
        <w:rPr>
          <w:rStyle w:val="eop"/>
          <w:rFonts w:ascii="Arial" w:hAnsi="Arial" w:cs="Arial"/>
          <w:sz w:val="22"/>
          <w:szCs w:val="22"/>
        </w:rPr>
        <w:t> </w:t>
      </w:r>
      <w:r w:rsidRPr="001375C4">
        <w:rPr>
          <w:rStyle w:val="eop"/>
          <w:rFonts w:ascii="Arial" w:hAnsi="Arial" w:cs="Arial"/>
          <w:sz w:val="22"/>
          <w:szCs w:val="22"/>
        </w:rPr>
        <w:tab/>
      </w:r>
      <w:r w:rsidRPr="001375C4">
        <w:rPr>
          <w:rStyle w:val="normaltextrun"/>
          <w:rFonts w:ascii="Arial" w:hAnsi="Arial" w:cs="Arial"/>
          <w:sz w:val="22"/>
          <w:szCs w:val="22"/>
        </w:rPr>
        <w:t>En este sentido, el Decreto 1082 de 2015 contempló solo el vencimiento de dos tipos de amparos para realizar el cierre del expediente, más no previó o consideró la necesidad de incorporar todos los amparos previstos en el artículo 2.2.1.2.3.1.7. del Decreto 1082 de 2015</w:t>
      </w:r>
      <w:r w:rsidRPr="001375C4">
        <w:rPr>
          <w:rStyle w:val="Refdenotaalpie"/>
          <w:rFonts w:ascii="Arial" w:hAnsi="Arial" w:cs="Arial"/>
          <w:sz w:val="22"/>
          <w:szCs w:val="22"/>
        </w:rPr>
        <w:footnoteReference w:id="17"/>
      </w:r>
      <w:r w:rsidRPr="001375C4">
        <w:rPr>
          <w:rStyle w:val="normaltextrun"/>
          <w:rFonts w:ascii="Arial" w:hAnsi="Arial" w:cs="Arial"/>
          <w:sz w:val="22"/>
          <w:szCs w:val="22"/>
        </w:rPr>
        <w:t>. Por lo tanto, ante este vacío de la norma</w:t>
      </w:r>
      <w:r w:rsidR="00F74474">
        <w:rPr>
          <w:rStyle w:val="normaltextrun"/>
          <w:rFonts w:ascii="Arial" w:hAnsi="Arial" w:cs="Arial"/>
          <w:sz w:val="22"/>
          <w:szCs w:val="22"/>
        </w:rPr>
        <w:t>,</w:t>
      </w:r>
      <w:r w:rsidRPr="001375C4">
        <w:rPr>
          <w:rStyle w:val="normaltextrun"/>
          <w:rFonts w:ascii="Arial" w:hAnsi="Arial" w:cs="Arial"/>
          <w:sz w:val="22"/>
          <w:szCs w:val="22"/>
        </w:rPr>
        <w:t xml:space="preserve"> debe tenerse en cuenta que a los amparos de estabilidad y calidad de la obra, el Decreto 1082 de 2015 les otorgó un término de vencimiento mayor</w:t>
      </w:r>
      <w:r w:rsidRPr="001375C4">
        <w:rPr>
          <w:rStyle w:val="Refdenotaalpie"/>
          <w:rFonts w:ascii="Arial" w:hAnsi="Arial" w:cs="Arial"/>
          <w:sz w:val="22"/>
          <w:szCs w:val="22"/>
        </w:rPr>
        <w:footnoteReference w:id="18"/>
      </w:r>
      <w:r w:rsidRPr="001375C4">
        <w:rPr>
          <w:rStyle w:val="normaltextrun"/>
          <w:rFonts w:ascii="Arial" w:hAnsi="Arial" w:cs="Arial"/>
          <w:sz w:val="22"/>
          <w:szCs w:val="22"/>
        </w:rPr>
        <w:t>, razón por la cual se entiende que para el cierre del expediente debe estar vencid</w:t>
      </w:r>
      <w:r w:rsidR="004008EE">
        <w:rPr>
          <w:rStyle w:val="normaltextrun"/>
          <w:rFonts w:ascii="Arial" w:hAnsi="Arial" w:cs="Arial"/>
          <w:sz w:val="22"/>
          <w:szCs w:val="22"/>
        </w:rPr>
        <w:t>o</w:t>
      </w:r>
      <w:r w:rsidRPr="001375C4">
        <w:rPr>
          <w:rStyle w:val="normaltextrun"/>
          <w:rFonts w:ascii="Arial" w:hAnsi="Arial" w:cs="Arial"/>
          <w:sz w:val="22"/>
          <w:szCs w:val="22"/>
        </w:rPr>
        <w:t>.</w:t>
      </w:r>
      <w:r w:rsidRPr="001375C4">
        <w:rPr>
          <w:rStyle w:val="eop"/>
          <w:rFonts w:ascii="Arial" w:hAnsi="Arial" w:cs="Arial"/>
          <w:sz w:val="22"/>
          <w:szCs w:val="22"/>
        </w:rPr>
        <w:t> </w:t>
      </w:r>
    </w:p>
    <w:p w:rsidR="00295D8A" w:rsidP="001375C4" w:rsidRDefault="00770ADC" w14:paraId="1CD5665A" w14:textId="58AA4B8D">
      <w:pPr>
        <w:pStyle w:val="paragraph"/>
        <w:spacing w:before="0" w:beforeAutospacing="0" w:after="120" w:afterAutospacing="0" w:line="276" w:lineRule="auto"/>
        <w:ind w:firstLine="709"/>
        <w:jc w:val="both"/>
        <w:textAlignment w:val="baseline"/>
        <w:rPr>
          <w:rStyle w:val="normaltextrun"/>
          <w:rFonts w:ascii="Arial" w:hAnsi="Arial" w:cs="Arial"/>
          <w:sz w:val="22"/>
          <w:szCs w:val="22"/>
        </w:rPr>
      </w:pPr>
      <w:r w:rsidRPr="001375C4">
        <w:rPr>
          <w:rStyle w:val="normaltextrun"/>
          <w:rFonts w:ascii="Arial" w:hAnsi="Arial" w:cs="Arial"/>
          <w:sz w:val="22"/>
          <w:szCs w:val="22"/>
        </w:rPr>
        <w:t>En síntesis, el cierre del expediente es una constancia administrativa que culmina la actuación contractual</w:t>
      </w:r>
      <w:r w:rsidRPr="001375C4">
        <w:rPr>
          <w:rStyle w:val="Refdenotaalpie"/>
          <w:rFonts w:ascii="Arial" w:hAnsi="Arial" w:cs="Arial"/>
          <w:sz w:val="22"/>
          <w:szCs w:val="22"/>
        </w:rPr>
        <w:footnoteReference w:id="19"/>
      </w:r>
      <w:r w:rsidR="00545E73">
        <w:rPr>
          <w:rStyle w:val="normaltextrun"/>
          <w:rFonts w:ascii="Arial" w:hAnsi="Arial" w:cs="Arial"/>
          <w:sz w:val="22"/>
          <w:szCs w:val="22"/>
        </w:rPr>
        <w:t>.</w:t>
      </w:r>
      <w:r w:rsidRPr="001375C4">
        <w:rPr>
          <w:rStyle w:val="normaltextrun"/>
          <w:rFonts w:ascii="Arial" w:hAnsi="Arial" w:cs="Arial"/>
          <w:sz w:val="22"/>
          <w:szCs w:val="22"/>
        </w:rPr>
        <w:t xml:space="preserve"> </w:t>
      </w:r>
      <w:r w:rsidR="00545E73">
        <w:rPr>
          <w:rStyle w:val="normaltextrun"/>
          <w:rFonts w:ascii="Arial" w:hAnsi="Arial" w:cs="Arial"/>
          <w:sz w:val="22"/>
          <w:szCs w:val="22"/>
        </w:rPr>
        <w:t>E</w:t>
      </w:r>
      <w:r w:rsidRPr="001375C4">
        <w:rPr>
          <w:rStyle w:val="normaltextrun"/>
          <w:rFonts w:ascii="Arial" w:hAnsi="Arial" w:cs="Arial"/>
          <w:sz w:val="22"/>
          <w:szCs w:val="22"/>
        </w:rPr>
        <w:t>l cierre debe llevarse a cabo una vez vencidas dichas garantías. </w:t>
      </w:r>
      <w:r w:rsidRPr="001375C4" w:rsidR="00295D8A">
        <w:rPr>
          <w:rStyle w:val="normaltextrun"/>
          <w:rFonts w:ascii="Arial" w:hAnsi="Arial" w:cs="Arial"/>
          <w:sz w:val="22"/>
          <w:szCs w:val="22"/>
        </w:rPr>
        <w:t>En todo caso, en aquellos eventos en los cuales no hay garantía de calidad, estabilidad o mantenimiento, no existe obligación reglamentaria de dejar constancia del cierre del expediente. </w:t>
      </w:r>
    </w:p>
    <w:p w:rsidRPr="001375C4" w:rsidR="00CE5088" w:rsidP="001375C4" w:rsidRDefault="00551653" w14:paraId="63C7E8D1" w14:textId="2C90FA56">
      <w:pPr>
        <w:pStyle w:val="paragraph"/>
        <w:spacing w:before="0" w:beforeAutospacing="0" w:after="120" w:afterAutospacing="0" w:line="276" w:lineRule="auto"/>
        <w:ind w:firstLine="709"/>
        <w:jc w:val="both"/>
        <w:textAlignment w:val="baseline"/>
        <w:rPr>
          <w:rStyle w:val="normaltextrun"/>
          <w:rFonts w:ascii="Arial" w:hAnsi="Arial" w:cs="Arial"/>
          <w:sz w:val="22"/>
          <w:szCs w:val="22"/>
        </w:rPr>
      </w:pPr>
      <w:r>
        <w:rPr>
          <w:rStyle w:val="normaltextrun"/>
          <w:rFonts w:ascii="Arial" w:hAnsi="Arial" w:cs="Arial"/>
          <w:sz w:val="22"/>
          <w:szCs w:val="22"/>
        </w:rPr>
        <w:t>Aunque no es necesario –como se verá más adelante–, e</w:t>
      </w:r>
      <w:r w:rsidR="00CE5088">
        <w:rPr>
          <w:rStyle w:val="normaltextrun"/>
          <w:rFonts w:ascii="Arial" w:hAnsi="Arial" w:cs="Arial"/>
          <w:sz w:val="22"/>
          <w:szCs w:val="22"/>
        </w:rPr>
        <w:t xml:space="preserve">n los contratos de prestación de servicios profesionales podría estipularse la exigencia de garantía de calidad </w:t>
      </w:r>
      <w:r w:rsidR="00CE5088">
        <w:rPr>
          <w:rStyle w:val="normaltextrun"/>
          <w:rFonts w:ascii="Arial" w:hAnsi="Arial" w:cs="Arial"/>
          <w:sz w:val="22"/>
          <w:szCs w:val="22"/>
        </w:rPr>
        <w:lastRenderedPageBreak/>
        <w:t>del servicio</w:t>
      </w:r>
      <w:r w:rsidR="003E1853">
        <w:rPr>
          <w:rStyle w:val="Refdenotaalpie"/>
          <w:rFonts w:ascii="Arial" w:hAnsi="Arial" w:cs="Arial"/>
          <w:sz w:val="22"/>
          <w:szCs w:val="22"/>
        </w:rPr>
        <w:footnoteReference w:id="20"/>
      </w:r>
      <w:r>
        <w:rPr>
          <w:rStyle w:val="normaltextrun"/>
          <w:rFonts w:ascii="Arial" w:hAnsi="Arial" w:cs="Arial"/>
          <w:sz w:val="22"/>
          <w:szCs w:val="22"/>
        </w:rPr>
        <w:t>. En tal sentido,</w:t>
      </w:r>
      <w:r w:rsidR="005A0CC4">
        <w:rPr>
          <w:rStyle w:val="normaltextrun"/>
          <w:rFonts w:ascii="Arial" w:hAnsi="Arial" w:cs="Arial"/>
          <w:sz w:val="22"/>
          <w:szCs w:val="22"/>
        </w:rPr>
        <w:t xml:space="preserve"> también debería hacerse el cierre del expediente, al vencimiento del término de dicha garantía</w:t>
      </w:r>
      <w:r w:rsidR="005A0CC4">
        <w:rPr>
          <w:rStyle w:val="Refdenotaalpie"/>
          <w:rFonts w:ascii="Arial" w:hAnsi="Arial" w:cs="Arial"/>
          <w:sz w:val="22"/>
          <w:szCs w:val="22"/>
        </w:rPr>
        <w:footnoteReference w:id="21"/>
      </w:r>
      <w:r w:rsidR="005A0CC4">
        <w:rPr>
          <w:rStyle w:val="normaltextrun"/>
          <w:rFonts w:ascii="Arial" w:hAnsi="Arial" w:cs="Arial"/>
          <w:sz w:val="22"/>
          <w:szCs w:val="22"/>
        </w:rPr>
        <w:t>.</w:t>
      </w:r>
    </w:p>
    <w:p w:rsidRPr="001375C4" w:rsidR="00770ADC" w:rsidP="001375C4" w:rsidRDefault="006F344A" w14:paraId="2458A395" w14:textId="651F1EF3">
      <w:pPr>
        <w:pStyle w:val="paragraph"/>
        <w:spacing w:before="0" w:beforeAutospacing="0" w:after="120" w:afterAutospacing="0" w:line="276" w:lineRule="auto"/>
        <w:ind w:firstLine="708"/>
        <w:jc w:val="both"/>
        <w:textAlignment w:val="baseline"/>
        <w:rPr>
          <w:rStyle w:val="normaltextrun"/>
          <w:rFonts w:ascii="Arial" w:hAnsi="Arial" w:cs="Arial"/>
          <w:sz w:val="22"/>
          <w:szCs w:val="22"/>
        </w:rPr>
      </w:pPr>
      <w:r>
        <w:rPr>
          <w:rStyle w:val="normaltextrun"/>
          <w:rFonts w:ascii="Arial" w:hAnsi="Arial" w:cs="Arial"/>
          <w:sz w:val="22"/>
          <w:szCs w:val="22"/>
        </w:rPr>
        <w:t>S</w:t>
      </w:r>
      <w:r w:rsidRPr="001375C4" w:rsidR="00770ADC">
        <w:rPr>
          <w:rStyle w:val="normaltextrun"/>
          <w:rFonts w:ascii="Arial" w:hAnsi="Arial" w:cs="Arial"/>
          <w:sz w:val="22"/>
          <w:szCs w:val="22"/>
        </w:rPr>
        <w:t xml:space="preserve">obre el cierre del expediente del contrato estatal que no fue objeto de liquidación, procede citar lo expuesto por </w:t>
      </w:r>
      <w:r>
        <w:rPr>
          <w:rStyle w:val="normaltextrun"/>
          <w:rFonts w:ascii="Arial" w:hAnsi="Arial" w:cs="Arial"/>
          <w:sz w:val="22"/>
          <w:szCs w:val="22"/>
        </w:rPr>
        <w:t xml:space="preserve">la </w:t>
      </w:r>
      <w:r w:rsidRPr="001375C4" w:rsidR="00770ADC">
        <w:rPr>
          <w:rStyle w:val="normaltextrun"/>
          <w:rFonts w:ascii="Arial" w:hAnsi="Arial" w:cs="Arial"/>
          <w:sz w:val="22"/>
          <w:szCs w:val="22"/>
        </w:rPr>
        <w:t>Sala de Consulta y Servicio Civil del Consejo de Estado, donde expuso lo siguiente:</w:t>
      </w:r>
    </w:p>
    <w:p w:rsidRPr="001375C4" w:rsidR="00770ADC" w:rsidP="001375C4" w:rsidRDefault="00770ADC" w14:paraId="778847AB" w14:textId="77777777">
      <w:pPr>
        <w:pStyle w:val="Textoindependiente"/>
        <w:spacing w:after="120"/>
        <w:jc w:val="both"/>
      </w:pPr>
    </w:p>
    <w:p w:rsidRPr="00A348B5" w:rsidR="00770ADC" w:rsidP="001375C4" w:rsidRDefault="00770ADC" w14:paraId="42326DD5" w14:textId="361F30FF">
      <w:pPr>
        <w:ind w:left="709" w:right="709"/>
        <w:jc w:val="both"/>
        <w:rPr>
          <w:rFonts w:ascii="Arial" w:hAnsi="Arial" w:cs="Arial"/>
          <w:i/>
          <w:iCs/>
          <w:sz w:val="21"/>
          <w:szCs w:val="21"/>
        </w:rPr>
      </w:pPr>
      <w:r w:rsidRPr="001375C4">
        <w:rPr>
          <w:rFonts w:ascii="Arial" w:hAnsi="Arial" w:cs="Arial"/>
          <w:sz w:val="21"/>
          <w:szCs w:val="21"/>
        </w:rPr>
        <w:t xml:space="preserve">Una interpretación sistemática y finalista de la norma, permite concluir que el trámite del cierre del expediente del proceso de contratación procede cuando se ha efectuado la liquidación del contrato, a efectos de dejar las constancias sobre el vencimiento de las garantías y la condición de los bienes y obras desde la perspectiva ambiental, </w:t>
      </w:r>
      <w:r w:rsidRPr="00A348B5">
        <w:rPr>
          <w:rFonts w:ascii="Arial" w:hAnsi="Arial" w:cs="Arial"/>
          <w:i/>
          <w:iCs/>
          <w:sz w:val="21"/>
          <w:szCs w:val="21"/>
        </w:rPr>
        <w:t>y también en los casos en los cuales no se haya efectuado dicha liquidación, a efectos de dejar constancia sobre el punto final de la actuación contractual.</w:t>
      </w:r>
    </w:p>
    <w:p w:rsidRPr="00A348B5" w:rsidR="00770ADC" w:rsidP="001375C4" w:rsidRDefault="001375C4" w14:paraId="23AC6C9B" w14:textId="7A7D0A54">
      <w:pPr>
        <w:pStyle w:val="Textoindependiente"/>
        <w:ind w:left="709" w:right="709"/>
        <w:jc w:val="both"/>
        <w:rPr>
          <w:i/>
          <w:iCs/>
          <w:sz w:val="21"/>
          <w:szCs w:val="21"/>
        </w:rPr>
      </w:pPr>
      <w:r w:rsidRPr="00A348B5">
        <w:rPr>
          <w:i/>
          <w:iCs/>
          <w:sz w:val="21"/>
          <w:szCs w:val="21"/>
        </w:rPr>
        <w:t>[…]</w:t>
      </w:r>
    </w:p>
    <w:p w:rsidRPr="001375C4" w:rsidR="00770ADC" w:rsidP="001375C4" w:rsidRDefault="00770ADC" w14:paraId="28CF4330" w14:textId="77777777">
      <w:pPr>
        <w:pStyle w:val="Textoindependiente"/>
        <w:ind w:left="709" w:right="709"/>
        <w:jc w:val="both"/>
        <w:rPr>
          <w:sz w:val="21"/>
          <w:szCs w:val="21"/>
        </w:rPr>
      </w:pPr>
    </w:p>
    <w:p w:rsidRPr="001375C4" w:rsidR="00770ADC" w:rsidP="001375C4" w:rsidRDefault="00770ADC" w14:paraId="325149DA" w14:textId="77777777">
      <w:pPr>
        <w:pStyle w:val="Textoindependiente"/>
        <w:ind w:left="709" w:right="709"/>
        <w:jc w:val="both"/>
        <w:rPr>
          <w:sz w:val="21"/>
          <w:szCs w:val="21"/>
        </w:rPr>
      </w:pPr>
      <w:r w:rsidRPr="001375C4">
        <w:rPr>
          <w:sz w:val="21"/>
          <w:szCs w:val="21"/>
        </w:rPr>
        <w:t>[L]as entidades pueden y deben proceder al cierre y archivo del expediente del proceso de contratación, en los términos citados, incluso en aquellos casos en los cuales no se haya efectuado la liquidación del contrato, como un tipo de constancia, que en forma alguna puede constituirse en una liquidación extemporánea del contrato o revivir términos que ya precluyeron, pues cualquier acto en este sentido estaría afectado de</w:t>
      </w:r>
      <w:r w:rsidRPr="001375C4">
        <w:rPr>
          <w:spacing w:val="-11"/>
          <w:sz w:val="21"/>
          <w:szCs w:val="21"/>
        </w:rPr>
        <w:t xml:space="preserve"> </w:t>
      </w:r>
      <w:r w:rsidRPr="001375C4">
        <w:rPr>
          <w:sz w:val="21"/>
          <w:szCs w:val="21"/>
        </w:rPr>
        <w:t>nulidad.</w:t>
      </w:r>
    </w:p>
    <w:p w:rsidRPr="001375C4" w:rsidR="00770ADC" w:rsidP="001375C4" w:rsidRDefault="00770ADC" w14:paraId="738AF99F" w14:textId="77777777">
      <w:pPr>
        <w:pStyle w:val="Textoindependiente"/>
        <w:ind w:left="709" w:right="709"/>
        <w:jc w:val="both"/>
        <w:rPr>
          <w:sz w:val="21"/>
          <w:szCs w:val="21"/>
        </w:rPr>
      </w:pPr>
    </w:p>
    <w:p w:rsidRPr="001375C4" w:rsidR="00770ADC" w:rsidP="001375C4" w:rsidRDefault="00770ADC" w14:paraId="35974944" w14:textId="18213CFD">
      <w:pPr>
        <w:pStyle w:val="Textoindependiente"/>
        <w:ind w:left="709" w:right="709"/>
        <w:jc w:val="both"/>
        <w:rPr>
          <w:sz w:val="21"/>
          <w:szCs w:val="21"/>
        </w:rPr>
      </w:pPr>
      <w:r w:rsidRPr="001375C4">
        <w:rPr>
          <w:sz w:val="21"/>
          <w:szCs w:val="21"/>
        </w:rPr>
        <w:t>En efecto, el archivo del expediente debe entenderse como una actuación interna y de trámite, que no comporta la expedición de un acto administrativo de carácter contractual, en el que se puedan determinar las obligaciones a cargo de cada una de las partes; acto para cuya expedición no existiría competencia de la entidad dada su extemporaneidad. (</w:t>
      </w:r>
      <w:r w:rsidR="004604D5">
        <w:rPr>
          <w:sz w:val="21"/>
          <w:szCs w:val="21"/>
        </w:rPr>
        <w:t>Cursiva</w:t>
      </w:r>
      <w:r w:rsidRPr="001375C4" w:rsidR="004604D5">
        <w:rPr>
          <w:sz w:val="21"/>
          <w:szCs w:val="21"/>
        </w:rPr>
        <w:t xml:space="preserve"> </w:t>
      </w:r>
      <w:r w:rsidRPr="001375C4">
        <w:rPr>
          <w:sz w:val="21"/>
          <w:szCs w:val="21"/>
        </w:rPr>
        <w:t>fuera de</w:t>
      </w:r>
      <w:r w:rsidRPr="001375C4">
        <w:rPr>
          <w:spacing w:val="-17"/>
          <w:sz w:val="21"/>
          <w:szCs w:val="21"/>
        </w:rPr>
        <w:t xml:space="preserve"> </w:t>
      </w:r>
      <w:r w:rsidRPr="001375C4">
        <w:rPr>
          <w:sz w:val="21"/>
          <w:szCs w:val="21"/>
        </w:rPr>
        <w:t>texto)</w:t>
      </w:r>
      <w:r w:rsidRPr="001375C4" w:rsidR="00F554B9">
        <w:rPr>
          <w:rStyle w:val="Refdenotaalpie"/>
          <w:sz w:val="21"/>
          <w:szCs w:val="21"/>
        </w:rPr>
        <w:footnoteReference w:id="22"/>
      </w:r>
    </w:p>
    <w:p w:rsidRPr="001375C4" w:rsidR="00770ADC" w:rsidP="001375C4" w:rsidRDefault="00770ADC" w14:paraId="07E27CF7" w14:textId="77777777">
      <w:pPr>
        <w:pStyle w:val="Textoindependiente"/>
        <w:spacing w:after="120"/>
        <w:jc w:val="both"/>
      </w:pPr>
    </w:p>
    <w:p w:rsidRPr="001375C4" w:rsidR="00770ADC" w:rsidP="00A348B5" w:rsidRDefault="00770ADC" w14:paraId="16E0B93E" w14:textId="0969C6B6">
      <w:pPr>
        <w:pStyle w:val="paragraph"/>
        <w:spacing w:before="0" w:beforeAutospacing="0" w:after="0" w:afterAutospacing="0" w:line="276" w:lineRule="auto"/>
        <w:ind w:firstLine="709"/>
        <w:jc w:val="both"/>
        <w:textAlignment w:val="baseline"/>
        <w:rPr>
          <w:rStyle w:val="normaltextrun"/>
          <w:rFonts w:ascii="Arial" w:hAnsi="Arial" w:eastAsia="Arial" w:cs="Arial"/>
          <w:sz w:val="22"/>
          <w:szCs w:val="22"/>
          <w:lang w:val="es-ES" w:eastAsia="en-US"/>
        </w:rPr>
      </w:pPr>
      <w:r w:rsidRPr="001375C4">
        <w:rPr>
          <w:rStyle w:val="normaltextrun"/>
          <w:rFonts w:ascii="Arial" w:hAnsi="Arial" w:cs="Arial"/>
          <w:sz w:val="22"/>
          <w:szCs w:val="22"/>
        </w:rPr>
        <w:t>En consecuencia, corresponde a las entidades estatales proceder con el cierre del expediente contractual, con independencia de si se liquidó o no el acuerdo de voluntades, al ser una actuación interna de la administración</w:t>
      </w:r>
      <w:r w:rsidRPr="001375C4" w:rsidR="001375C4">
        <w:rPr>
          <w:rStyle w:val="normaltextrun"/>
          <w:rFonts w:ascii="Arial" w:hAnsi="Arial" w:cs="Arial"/>
          <w:sz w:val="22"/>
          <w:szCs w:val="22"/>
        </w:rPr>
        <w:t>.</w:t>
      </w:r>
      <w:r w:rsidR="006F344A">
        <w:rPr>
          <w:rStyle w:val="normaltextrun"/>
          <w:rFonts w:ascii="Arial" w:hAnsi="Arial" w:cs="Arial"/>
          <w:sz w:val="22"/>
          <w:szCs w:val="22"/>
        </w:rPr>
        <w:t xml:space="preserve"> A continuación, se tratará la liquidación y </w:t>
      </w:r>
      <w:r w:rsidR="006F344A">
        <w:rPr>
          <w:rStyle w:val="normaltextrun"/>
          <w:rFonts w:ascii="Arial" w:hAnsi="Arial" w:cs="Arial"/>
          <w:sz w:val="22"/>
          <w:szCs w:val="22"/>
        </w:rPr>
        <w:lastRenderedPageBreak/>
        <w:t xml:space="preserve">exigencia de garantías en los contratos de prestación de servicios profesionales y de apoyo a la gestión, teniendo en cuenta que </w:t>
      </w:r>
      <w:r w:rsidR="009A2502">
        <w:rPr>
          <w:rStyle w:val="normaltextrun"/>
          <w:rFonts w:ascii="Arial" w:hAnsi="Arial" w:cs="Arial"/>
          <w:sz w:val="22"/>
          <w:szCs w:val="22"/>
        </w:rPr>
        <w:t xml:space="preserve">estos asuntos </w:t>
      </w:r>
      <w:r w:rsidR="006F344A">
        <w:rPr>
          <w:rStyle w:val="normaltextrun"/>
          <w:rFonts w:ascii="Arial" w:hAnsi="Arial" w:cs="Arial"/>
          <w:sz w:val="22"/>
          <w:szCs w:val="22"/>
        </w:rPr>
        <w:t>se relacionan con el cierre del expediente</w:t>
      </w:r>
      <w:r w:rsidR="009A2502">
        <w:rPr>
          <w:rStyle w:val="normaltextrun"/>
          <w:rFonts w:ascii="Arial" w:hAnsi="Arial" w:cs="Arial"/>
          <w:sz w:val="22"/>
          <w:szCs w:val="22"/>
        </w:rPr>
        <w:t>, tema</w:t>
      </w:r>
      <w:r w:rsidR="006F344A">
        <w:rPr>
          <w:rStyle w:val="normaltextrun"/>
          <w:rFonts w:ascii="Arial" w:hAnsi="Arial" w:cs="Arial"/>
          <w:sz w:val="22"/>
          <w:szCs w:val="22"/>
        </w:rPr>
        <w:t xml:space="preserve"> que es objeto de su consulta. </w:t>
      </w:r>
    </w:p>
    <w:p w:rsidRPr="00295D8A" w:rsidR="009A2502" w:rsidP="00616FD5" w:rsidRDefault="009A2502" w14:paraId="132DF3FA" w14:textId="77777777">
      <w:pPr>
        <w:pStyle w:val="Ttulo1"/>
        <w:tabs>
          <w:tab w:val="left" w:pos="561"/>
        </w:tabs>
        <w:ind w:left="0" w:right="108" w:firstLine="0"/>
        <w:jc w:val="both"/>
      </w:pPr>
    </w:p>
    <w:p w:rsidRPr="00295D8A" w:rsidR="00616FD5" w:rsidP="00616FD5" w:rsidRDefault="009A2502" w14:paraId="6023D529" w14:textId="3E73152C">
      <w:pPr>
        <w:pStyle w:val="Ttulo1"/>
        <w:tabs>
          <w:tab w:val="left" w:pos="561"/>
        </w:tabs>
        <w:ind w:left="0" w:right="108" w:firstLine="0"/>
        <w:jc w:val="both"/>
      </w:pPr>
      <w:r>
        <w:t>2.3.</w:t>
      </w:r>
      <w:r w:rsidRPr="00295D8A" w:rsidR="00616FD5">
        <w:t xml:space="preserve"> La liquidación </w:t>
      </w:r>
      <w:r w:rsidRPr="00295D8A" w:rsidR="00770ADC">
        <w:t xml:space="preserve">y exigencia de garantías en el contrato </w:t>
      </w:r>
      <w:r w:rsidRPr="00295D8A" w:rsidR="00770ADC">
        <w:rPr>
          <w:noProof/>
          <w:lang w:val="es-ES_tradnl"/>
        </w:rPr>
        <w:t>de prestación de servicios profesionales y de apoyo a la gestión</w:t>
      </w:r>
    </w:p>
    <w:p w:rsidRPr="00295D8A" w:rsidR="00616FD5" w:rsidP="00616FD5" w:rsidRDefault="00616FD5" w14:paraId="59B55E75" w14:textId="77777777">
      <w:pPr>
        <w:pStyle w:val="Textoindependiente"/>
        <w:ind w:right="108"/>
        <w:jc w:val="both"/>
        <w:rPr>
          <w:b/>
          <w:bCs/>
        </w:rPr>
      </w:pPr>
    </w:p>
    <w:p w:rsidRPr="00295D8A" w:rsidR="00616FD5" w:rsidP="00616FD5" w:rsidRDefault="00616FD5" w14:paraId="1DF5A32B" w14:textId="600015D2">
      <w:pPr>
        <w:pStyle w:val="Textoindependiente"/>
        <w:spacing w:line="276" w:lineRule="auto"/>
        <w:ind w:right="108"/>
        <w:jc w:val="both"/>
      </w:pPr>
      <w:r w:rsidRPr="00295D8A">
        <w:t>La fase de liquidación de los contratos estatales es el momento en el cual las partes realizan el balance de la ejecución del acuerdo de voluntades. Dicho balance, según el artículo 60 de la Ley 80 de 1993, tiene como objetivo que tanto el contratante como el contratista se declaren a paz y salvo</w:t>
      </w:r>
      <w:r w:rsidR="00D42C78">
        <w:t>,</w:t>
      </w:r>
      <w:r w:rsidRPr="00295D8A">
        <w:t xml:space="preserve"> </w:t>
      </w:r>
      <w:r w:rsidR="00D42C78">
        <w:t xml:space="preserve">pudiendo </w:t>
      </w:r>
      <w:r w:rsidRPr="00295D8A" w:rsidR="00D42C78">
        <w:t>utiliza</w:t>
      </w:r>
      <w:r w:rsidR="00D42C78">
        <w:t>r</w:t>
      </w:r>
      <w:r w:rsidRPr="00295D8A" w:rsidR="00D42C78">
        <w:t xml:space="preserve"> </w:t>
      </w:r>
      <w:r w:rsidRPr="00295D8A">
        <w:t>los instrumentos de la conciliación y la transacción, entre otros. En efecto, el artículo 60 de la Ley 80 de 1993 dispone:</w:t>
      </w:r>
    </w:p>
    <w:p w:rsidRPr="00295D8A" w:rsidR="00616FD5" w:rsidP="00616FD5" w:rsidRDefault="00616FD5" w14:paraId="73817B57" w14:textId="77777777">
      <w:pPr>
        <w:pStyle w:val="Textoindependiente"/>
        <w:ind w:right="108"/>
        <w:jc w:val="both"/>
      </w:pPr>
    </w:p>
    <w:p w:rsidR="00EC152A" w:rsidP="00295D8A" w:rsidRDefault="00616FD5" w14:paraId="6D86F6B6" w14:textId="77777777">
      <w:pPr>
        <w:pStyle w:val="Textoindependiente"/>
        <w:ind w:left="709" w:right="709"/>
        <w:jc w:val="both"/>
        <w:rPr>
          <w:sz w:val="21"/>
          <w:szCs w:val="21"/>
        </w:rPr>
      </w:pPr>
      <w:r w:rsidRPr="00295D8A">
        <w:rPr>
          <w:sz w:val="21"/>
          <w:szCs w:val="21"/>
        </w:rPr>
        <w:t>Los contratos de tracto sucesivo</w:t>
      </w:r>
      <w:r w:rsidRPr="00295D8A">
        <w:rPr>
          <w:rStyle w:val="Refdenotaalpie"/>
          <w:sz w:val="21"/>
          <w:szCs w:val="21"/>
        </w:rPr>
        <w:footnoteReference w:id="23"/>
      </w:r>
      <w:r w:rsidRPr="00295D8A">
        <w:rPr>
          <w:sz w:val="21"/>
          <w:szCs w:val="21"/>
        </w:rPr>
        <w:t xml:space="preserve">, aquellos cuya ejecución o cumplimiento se prolongue en el tiempo y los demás que lo requieran, serán objeto de liquidación. </w:t>
      </w:r>
    </w:p>
    <w:p w:rsidR="00EC152A" w:rsidP="00295D8A" w:rsidRDefault="00EC152A" w14:paraId="204D78A8" w14:textId="77777777">
      <w:pPr>
        <w:pStyle w:val="Textoindependiente"/>
        <w:ind w:left="709" w:right="709"/>
        <w:jc w:val="both"/>
        <w:rPr>
          <w:sz w:val="21"/>
          <w:szCs w:val="21"/>
        </w:rPr>
      </w:pPr>
    </w:p>
    <w:p w:rsidR="00EC152A" w:rsidP="00295D8A" w:rsidRDefault="00616FD5" w14:paraId="3084C2C2" w14:textId="77777777">
      <w:pPr>
        <w:pStyle w:val="Textoindependiente"/>
        <w:ind w:left="709" w:right="709"/>
        <w:jc w:val="both"/>
        <w:rPr>
          <w:sz w:val="21"/>
          <w:szCs w:val="21"/>
        </w:rPr>
      </w:pPr>
      <w:r w:rsidRPr="00295D8A">
        <w:rPr>
          <w:sz w:val="21"/>
          <w:szCs w:val="21"/>
        </w:rPr>
        <w:t xml:space="preserve">También en esta etapa las partes acordarán los ajustes, revisiones y reconocimientos a que haya lugar. </w:t>
      </w:r>
    </w:p>
    <w:p w:rsidR="00EC152A" w:rsidP="00295D8A" w:rsidRDefault="00EC152A" w14:paraId="09AFDBAC" w14:textId="77777777">
      <w:pPr>
        <w:pStyle w:val="Textoindependiente"/>
        <w:ind w:left="709" w:right="709"/>
        <w:jc w:val="both"/>
        <w:rPr>
          <w:sz w:val="21"/>
          <w:szCs w:val="21"/>
        </w:rPr>
      </w:pPr>
    </w:p>
    <w:p w:rsidR="00EC152A" w:rsidP="00295D8A" w:rsidRDefault="00616FD5" w14:paraId="052DFCA9" w14:textId="77777777">
      <w:pPr>
        <w:pStyle w:val="Textoindependiente"/>
        <w:ind w:left="709" w:right="709"/>
        <w:jc w:val="both"/>
        <w:rPr>
          <w:sz w:val="21"/>
          <w:szCs w:val="21"/>
        </w:rPr>
      </w:pPr>
      <w:r w:rsidRPr="00295D8A">
        <w:rPr>
          <w:sz w:val="21"/>
          <w:szCs w:val="21"/>
        </w:rPr>
        <w:t xml:space="preserve">En el acta de liquidación constarán los acuerdos, conciliaciones y transacciones a que llegaren las partes para poner fin a las divergencias presentadas y poder declararse a paz y salvo. </w:t>
      </w:r>
    </w:p>
    <w:p w:rsidR="00EC152A" w:rsidP="00295D8A" w:rsidRDefault="00EC152A" w14:paraId="257681C5" w14:textId="77777777">
      <w:pPr>
        <w:pStyle w:val="Textoindependiente"/>
        <w:ind w:left="709" w:right="709"/>
        <w:jc w:val="both"/>
        <w:rPr>
          <w:sz w:val="21"/>
          <w:szCs w:val="21"/>
        </w:rPr>
      </w:pPr>
    </w:p>
    <w:p w:rsidR="00E72688" w:rsidP="00295D8A" w:rsidRDefault="00616FD5" w14:paraId="2D5B4731" w14:textId="77777777">
      <w:pPr>
        <w:pStyle w:val="Textoindependiente"/>
        <w:ind w:left="709" w:right="709"/>
        <w:jc w:val="both"/>
        <w:rPr>
          <w:sz w:val="21"/>
          <w:szCs w:val="21"/>
        </w:rPr>
      </w:pPr>
      <w:r w:rsidRPr="00295D8A">
        <w:rPr>
          <w:sz w:val="21"/>
          <w:szCs w:val="21"/>
        </w:rPr>
        <w:t xml:space="preserve">Para la liquidación se exigirá al contratista la extensión o ampliación, si es del caso, de la garantía del contrato a la estabilidad de la obra, a la calidad del bien o servicio suministrado, a la provisión de repuestos y accesorios, al pago de salarios, prestaciones e indemnizaciones, a la responsabilidad civil y, en general, para avalar las obligaciones que deba cumplir con posterioridad a la extinción del contrato. </w:t>
      </w:r>
    </w:p>
    <w:p w:rsidR="00E72688" w:rsidP="00295D8A" w:rsidRDefault="00E72688" w14:paraId="692A7902" w14:textId="77777777">
      <w:pPr>
        <w:pStyle w:val="Textoindependiente"/>
        <w:ind w:left="709" w:right="709"/>
        <w:jc w:val="both"/>
        <w:rPr>
          <w:sz w:val="21"/>
          <w:szCs w:val="21"/>
        </w:rPr>
      </w:pPr>
    </w:p>
    <w:p w:rsidRPr="00295D8A" w:rsidR="00616FD5" w:rsidP="00295D8A" w:rsidRDefault="00616FD5" w14:paraId="4965A6D3" w14:textId="21C6F825">
      <w:pPr>
        <w:pStyle w:val="Textoindependiente"/>
        <w:ind w:left="709" w:right="709"/>
        <w:jc w:val="both"/>
        <w:rPr>
          <w:sz w:val="21"/>
          <w:szCs w:val="21"/>
        </w:rPr>
      </w:pPr>
      <w:r w:rsidRPr="00295D8A">
        <w:rPr>
          <w:sz w:val="21"/>
          <w:szCs w:val="21"/>
        </w:rPr>
        <w:t>La liquidación a que se refiere el presente artículo no será obligatoria en los contratos de prestación de servicios profesionales y de apoyo a la gestión.</w:t>
      </w:r>
    </w:p>
    <w:p w:rsidRPr="00295D8A" w:rsidR="00616FD5" w:rsidP="00616FD5" w:rsidRDefault="00616FD5" w14:paraId="5BBDCDFC" w14:textId="77777777">
      <w:pPr>
        <w:pStyle w:val="Textoindependiente"/>
        <w:jc w:val="both"/>
      </w:pPr>
    </w:p>
    <w:p w:rsidRPr="00283535" w:rsidR="00616FD5" w:rsidP="00283535" w:rsidRDefault="00616FD5" w14:paraId="1B941484" w14:textId="7E51F526">
      <w:pPr>
        <w:pStyle w:val="paragraph"/>
        <w:spacing w:before="0" w:beforeAutospacing="0" w:after="120" w:afterAutospacing="0" w:line="276" w:lineRule="auto"/>
        <w:ind w:firstLine="709"/>
        <w:jc w:val="both"/>
        <w:textAlignment w:val="baseline"/>
        <w:rPr>
          <w:rStyle w:val="normaltextrun"/>
          <w:rFonts w:ascii="Arial" w:hAnsi="Arial" w:cs="Arial"/>
          <w:sz w:val="22"/>
          <w:szCs w:val="22"/>
        </w:rPr>
      </w:pPr>
      <w:r w:rsidRPr="00283535">
        <w:rPr>
          <w:rStyle w:val="normaltextrun"/>
          <w:rFonts w:ascii="Arial" w:hAnsi="Arial" w:cs="Arial"/>
          <w:sz w:val="22"/>
          <w:szCs w:val="22"/>
        </w:rPr>
        <w:lastRenderedPageBreak/>
        <w:t>La liquidación del contrato estatal implica una actuación posterior a la terminación normal</w:t>
      </w:r>
      <w:r w:rsidRPr="00283535">
        <w:rPr>
          <w:rStyle w:val="normaltextrun"/>
          <w:rFonts w:ascii="Arial" w:hAnsi="Arial" w:cs="Arial"/>
          <w:sz w:val="22"/>
          <w:szCs w:val="22"/>
          <w:vertAlign w:val="superscript"/>
        </w:rPr>
        <w:footnoteReference w:id="24"/>
      </w:r>
      <w:r w:rsidRPr="00283535">
        <w:rPr>
          <w:rStyle w:val="normaltextrun"/>
          <w:rFonts w:ascii="Arial" w:hAnsi="Arial" w:cs="Arial"/>
          <w:sz w:val="22"/>
          <w:szCs w:val="22"/>
          <w:vertAlign w:val="superscript"/>
        </w:rPr>
        <w:t xml:space="preserve"> </w:t>
      </w:r>
      <w:r w:rsidRPr="00283535">
        <w:rPr>
          <w:rStyle w:val="normaltextrun"/>
          <w:rFonts w:ascii="Arial" w:hAnsi="Arial" w:cs="Arial"/>
          <w:sz w:val="22"/>
          <w:szCs w:val="22"/>
        </w:rPr>
        <w:t>o anormal</w:t>
      </w:r>
      <w:r w:rsidRPr="00283535">
        <w:rPr>
          <w:rStyle w:val="normaltextrun"/>
          <w:rFonts w:ascii="Arial" w:hAnsi="Arial" w:cs="Arial"/>
          <w:sz w:val="22"/>
          <w:szCs w:val="22"/>
          <w:vertAlign w:val="superscript"/>
        </w:rPr>
        <w:footnoteReference w:id="25"/>
      </w:r>
      <w:r w:rsidRPr="00283535">
        <w:rPr>
          <w:rStyle w:val="normaltextrun"/>
          <w:rFonts w:ascii="Arial" w:hAnsi="Arial" w:cs="Arial"/>
          <w:sz w:val="22"/>
          <w:szCs w:val="22"/>
          <w:vertAlign w:val="superscript"/>
        </w:rPr>
        <w:t xml:space="preserve"> </w:t>
      </w:r>
      <w:r w:rsidRPr="00283535">
        <w:rPr>
          <w:rStyle w:val="normaltextrun"/>
          <w:rFonts w:ascii="Arial" w:hAnsi="Arial" w:cs="Arial"/>
          <w:sz w:val="22"/>
          <w:szCs w:val="22"/>
        </w:rPr>
        <w:t xml:space="preserve">del acuerdo. Según la Sección Tercera del Consejo de Estado, la liquidación es la actuación </w:t>
      </w:r>
      <w:r w:rsidR="00283535">
        <w:rPr>
          <w:rStyle w:val="normaltextrun"/>
          <w:rFonts w:ascii="Arial" w:hAnsi="Arial" w:cs="Arial"/>
          <w:sz w:val="22"/>
          <w:szCs w:val="22"/>
        </w:rPr>
        <w:t>«</w:t>
      </w:r>
      <w:r w:rsidRPr="00283535">
        <w:rPr>
          <w:rStyle w:val="normaltextrun"/>
          <w:rFonts w:ascii="Arial" w:hAnsi="Arial" w:cs="Arial"/>
          <w:sz w:val="22"/>
          <w:szCs w:val="22"/>
        </w:rPr>
        <w:t>mediante la cual lo que se busca es determinar si existen prestaciones, obligaciones o derechos a cargo o en favor de cada una de las partes, para de ésta forma realizar un balance final o un corte definitivo de las cuentas derivadas de la relación negocial, definiéndose en últimas quién le debe a quién y cuánto, bien por las partes de común acuerdo, por la administración unilateralmente o en su caso por el juez, es decir para dar así finiquito y paz y salvo a la relación negocial</w:t>
      </w:r>
      <w:r w:rsidR="00283535">
        <w:rPr>
          <w:rStyle w:val="normaltextrun"/>
          <w:rFonts w:ascii="Arial" w:hAnsi="Arial" w:cs="Arial"/>
          <w:sz w:val="22"/>
          <w:szCs w:val="22"/>
        </w:rPr>
        <w:t>»</w:t>
      </w:r>
      <w:r w:rsidR="00283535">
        <w:rPr>
          <w:rStyle w:val="Refdenotaalpie"/>
          <w:rFonts w:ascii="Arial" w:hAnsi="Arial" w:cs="Arial"/>
          <w:sz w:val="22"/>
          <w:szCs w:val="22"/>
        </w:rPr>
        <w:footnoteReference w:id="26"/>
      </w:r>
      <w:r w:rsidRPr="00283535">
        <w:rPr>
          <w:rStyle w:val="normaltextrun"/>
          <w:rFonts w:ascii="Arial" w:hAnsi="Arial" w:cs="Arial"/>
          <w:sz w:val="22"/>
          <w:szCs w:val="22"/>
        </w:rPr>
        <w:t>.</w:t>
      </w:r>
    </w:p>
    <w:p w:rsidR="00E1277F" w:rsidP="00E1277F" w:rsidRDefault="00C05BB1" w14:paraId="3E198160" w14:textId="30B7F9E8">
      <w:pPr>
        <w:pStyle w:val="paragraph"/>
        <w:spacing w:before="0" w:beforeAutospacing="0" w:after="120" w:afterAutospacing="0" w:line="276" w:lineRule="auto"/>
        <w:ind w:firstLine="709"/>
        <w:jc w:val="both"/>
        <w:textAlignment w:val="baseline"/>
        <w:rPr>
          <w:rStyle w:val="normaltextrun"/>
          <w:rFonts w:ascii="Arial" w:hAnsi="Arial" w:cs="Arial"/>
          <w:sz w:val="22"/>
          <w:szCs w:val="22"/>
        </w:rPr>
      </w:pPr>
      <w:r>
        <w:rPr>
          <w:rStyle w:val="eop"/>
          <w:rFonts w:ascii="Arial" w:hAnsi="Arial" w:cs="Arial"/>
          <w:sz w:val="22"/>
          <w:szCs w:val="22"/>
        </w:rPr>
        <w:t>E</w:t>
      </w:r>
      <w:r w:rsidR="00E2690F">
        <w:rPr>
          <w:rStyle w:val="eop"/>
          <w:rFonts w:ascii="Arial" w:hAnsi="Arial" w:cs="Arial"/>
          <w:sz w:val="22"/>
          <w:szCs w:val="22"/>
        </w:rPr>
        <w:t xml:space="preserve">l mencionado </w:t>
      </w:r>
      <w:r w:rsidRPr="00295D8A" w:rsidR="00671A48">
        <w:rPr>
          <w:rStyle w:val="normaltextrun"/>
          <w:rFonts w:ascii="Arial" w:hAnsi="Arial" w:cs="Arial"/>
          <w:sz w:val="22"/>
          <w:szCs w:val="22"/>
        </w:rPr>
        <w:t>artículo 60 de la Ley 80 de 1993,</w:t>
      </w:r>
      <w:r w:rsidR="009C6DAA">
        <w:rPr>
          <w:rStyle w:val="normaltextrun"/>
          <w:rFonts w:ascii="Arial" w:hAnsi="Arial" w:cs="Arial"/>
          <w:sz w:val="22"/>
          <w:szCs w:val="22"/>
        </w:rPr>
        <w:t xml:space="preserve"> </w:t>
      </w:r>
      <w:r w:rsidRPr="009C6DAA" w:rsidR="009C6DAA">
        <w:rPr>
          <w:rStyle w:val="normaltextrun"/>
          <w:rFonts w:ascii="Arial" w:hAnsi="Arial" w:cs="Arial"/>
          <w:sz w:val="22"/>
          <w:szCs w:val="22"/>
        </w:rPr>
        <w:t>modificado por el artículo 217 del Decreto 19 de 2012</w:t>
      </w:r>
      <w:r w:rsidR="009C6DAA">
        <w:rPr>
          <w:rStyle w:val="normaltextrun"/>
          <w:rFonts w:ascii="Arial" w:hAnsi="Arial" w:cs="Arial"/>
          <w:sz w:val="22"/>
          <w:szCs w:val="22"/>
        </w:rPr>
        <w:t>,</w:t>
      </w:r>
      <w:r w:rsidRPr="00295D8A" w:rsidR="00671A48">
        <w:rPr>
          <w:rStyle w:val="normaltextrun"/>
          <w:rFonts w:ascii="Arial" w:hAnsi="Arial" w:cs="Arial"/>
          <w:sz w:val="22"/>
          <w:szCs w:val="22"/>
        </w:rPr>
        <w:t xml:space="preserve"> </w:t>
      </w:r>
      <w:r w:rsidR="00B12934">
        <w:rPr>
          <w:rStyle w:val="normaltextrun"/>
          <w:rFonts w:ascii="Arial" w:hAnsi="Arial" w:cs="Arial"/>
          <w:sz w:val="22"/>
          <w:szCs w:val="22"/>
        </w:rPr>
        <w:t xml:space="preserve">como se observó, </w:t>
      </w:r>
      <w:r w:rsidRPr="00295D8A" w:rsidR="00671A48">
        <w:rPr>
          <w:rStyle w:val="normaltextrun"/>
          <w:rFonts w:ascii="Arial" w:hAnsi="Arial" w:cs="Arial"/>
          <w:sz w:val="22"/>
          <w:szCs w:val="22"/>
        </w:rPr>
        <w:t xml:space="preserve">establece que </w:t>
      </w:r>
      <w:r w:rsidRPr="00295D8A" w:rsidR="00C34CD8">
        <w:rPr>
          <w:rStyle w:val="eop"/>
          <w:rFonts w:ascii="Arial" w:hAnsi="Arial" w:cs="Arial"/>
          <w:sz w:val="22"/>
          <w:szCs w:val="22"/>
        </w:rPr>
        <w:t>«[…]</w:t>
      </w:r>
      <w:r w:rsidRPr="00295D8A" w:rsidR="00C34CD8">
        <w:rPr>
          <w:rFonts w:ascii="Arial" w:hAnsi="Arial" w:cs="Arial"/>
        </w:rPr>
        <w:t xml:space="preserve"> </w:t>
      </w:r>
      <w:r w:rsidRPr="00295D8A" w:rsidR="00C34CD8">
        <w:rPr>
          <w:rStyle w:val="eop"/>
          <w:rFonts w:ascii="Arial" w:hAnsi="Arial" w:cs="Arial"/>
          <w:sz w:val="22"/>
          <w:szCs w:val="22"/>
        </w:rPr>
        <w:t xml:space="preserve">La liquidación a que se refiere el presente artículo no será obligatoria en los contratos de prestación de servicios profesionales y de apoyo a </w:t>
      </w:r>
      <w:r w:rsidR="00E2690F">
        <w:rPr>
          <w:rStyle w:val="eop"/>
          <w:rFonts w:ascii="Arial" w:hAnsi="Arial" w:cs="Arial"/>
          <w:sz w:val="22"/>
          <w:szCs w:val="22"/>
        </w:rPr>
        <w:t>la</w:t>
      </w:r>
      <w:r w:rsidRPr="00295D8A" w:rsidR="00C34CD8">
        <w:rPr>
          <w:rStyle w:val="eop"/>
          <w:rFonts w:ascii="Arial" w:hAnsi="Arial" w:cs="Arial"/>
          <w:sz w:val="22"/>
          <w:szCs w:val="22"/>
        </w:rPr>
        <w:t xml:space="preserve"> gestión».</w:t>
      </w:r>
      <w:r w:rsidRPr="00295D8A" w:rsidR="00E1277F">
        <w:rPr>
          <w:rStyle w:val="normaltextrun"/>
          <w:rFonts w:ascii="Arial" w:hAnsi="Arial" w:cs="Arial"/>
          <w:sz w:val="22"/>
          <w:szCs w:val="22"/>
        </w:rPr>
        <w:t> </w:t>
      </w:r>
      <w:r w:rsidR="00B12934">
        <w:rPr>
          <w:rStyle w:val="normaltextrun"/>
          <w:rFonts w:ascii="Arial" w:hAnsi="Arial" w:cs="Arial"/>
          <w:sz w:val="22"/>
          <w:szCs w:val="22"/>
        </w:rPr>
        <w:t xml:space="preserve">En ese sentido, se </w:t>
      </w:r>
      <w:r w:rsidRPr="00295D8A" w:rsidR="00E1277F">
        <w:rPr>
          <w:rStyle w:val="normaltextrun"/>
          <w:rFonts w:ascii="Arial" w:hAnsi="Arial" w:cs="Arial"/>
          <w:sz w:val="22"/>
          <w:szCs w:val="22"/>
        </w:rPr>
        <w:t>exceptúa a los contratos de prestación de servicios profesionales y de apoyo a la gestión del deber de liquidación, pero las entidades</w:t>
      </w:r>
      <w:r w:rsidR="009C6DAA">
        <w:rPr>
          <w:rStyle w:val="normaltextrun"/>
          <w:rFonts w:ascii="Arial" w:hAnsi="Arial" w:cs="Arial"/>
          <w:sz w:val="22"/>
          <w:szCs w:val="22"/>
        </w:rPr>
        <w:t>,</w:t>
      </w:r>
      <w:r w:rsidRPr="00295D8A" w:rsidR="00E1277F">
        <w:rPr>
          <w:rStyle w:val="normaltextrun"/>
          <w:rFonts w:ascii="Arial" w:hAnsi="Arial" w:cs="Arial"/>
          <w:sz w:val="22"/>
          <w:szCs w:val="22"/>
        </w:rPr>
        <w:t xml:space="preserve"> en</w:t>
      </w:r>
      <w:r w:rsidR="009C6DAA">
        <w:rPr>
          <w:rStyle w:val="normaltextrun"/>
          <w:rFonts w:ascii="Arial" w:hAnsi="Arial" w:cs="Arial"/>
          <w:sz w:val="22"/>
          <w:szCs w:val="22"/>
        </w:rPr>
        <w:t xml:space="preserve"> ejercicio de</w:t>
      </w:r>
      <w:r w:rsidRPr="00295D8A" w:rsidR="00E1277F">
        <w:rPr>
          <w:rStyle w:val="normaltextrun"/>
          <w:rFonts w:ascii="Arial" w:hAnsi="Arial" w:cs="Arial"/>
          <w:sz w:val="22"/>
          <w:szCs w:val="22"/>
        </w:rPr>
        <w:t xml:space="preserve"> su autonomía y de considerarlo necesario, pueden liquidar dicho</w:t>
      </w:r>
      <w:r w:rsidR="009C6DAA">
        <w:rPr>
          <w:rStyle w:val="normaltextrun"/>
          <w:rFonts w:ascii="Arial" w:hAnsi="Arial" w:cs="Arial"/>
          <w:sz w:val="22"/>
          <w:szCs w:val="22"/>
        </w:rPr>
        <w:t>s</w:t>
      </w:r>
      <w:r w:rsidRPr="00295D8A" w:rsidR="00E1277F">
        <w:rPr>
          <w:rStyle w:val="normaltextrun"/>
          <w:rFonts w:ascii="Arial" w:hAnsi="Arial" w:cs="Arial"/>
          <w:sz w:val="22"/>
          <w:szCs w:val="22"/>
        </w:rPr>
        <w:t xml:space="preserve"> contrato</w:t>
      </w:r>
      <w:r w:rsidR="009C6DAA">
        <w:rPr>
          <w:rStyle w:val="normaltextrun"/>
          <w:rFonts w:ascii="Arial" w:hAnsi="Arial" w:cs="Arial"/>
          <w:sz w:val="22"/>
          <w:szCs w:val="22"/>
        </w:rPr>
        <w:t>s</w:t>
      </w:r>
      <w:r w:rsidRPr="00295D8A" w:rsidR="00E1277F">
        <w:rPr>
          <w:rStyle w:val="normaltextrun"/>
          <w:rFonts w:ascii="Arial" w:hAnsi="Arial" w:cs="Arial"/>
          <w:sz w:val="22"/>
          <w:szCs w:val="22"/>
        </w:rPr>
        <w:t>, ya que la norma los exceptúa, pero no lo prohíbe.</w:t>
      </w:r>
    </w:p>
    <w:p w:rsidRPr="00295D8A" w:rsidR="00E1277F" w:rsidP="00E1277F" w:rsidRDefault="00E1277F" w14:paraId="2DD44BB0" w14:textId="5396AE2E">
      <w:pPr>
        <w:pStyle w:val="paragraph"/>
        <w:spacing w:before="0" w:beforeAutospacing="0" w:after="120" w:afterAutospacing="0" w:line="276" w:lineRule="auto"/>
        <w:ind w:firstLine="709"/>
        <w:jc w:val="both"/>
        <w:textAlignment w:val="baseline"/>
        <w:rPr>
          <w:rStyle w:val="normaltextrun"/>
          <w:rFonts w:ascii="Arial" w:hAnsi="Arial" w:cs="Arial"/>
          <w:sz w:val="22"/>
          <w:szCs w:val="22"/>
        </w:rPr>
      </w:pPr>
      <w:r w:rsidRPr="00295D8A">
        <w:rPr>
          <w:rStyle w:val="normaltextrun"/>
          <w:rFonts w:ascii="Arial" w:hAnsi="Arial" w:cs="Arial"/>
          <w:sz w:val="22"/>
          <w:szCs w:val="22"/>
        </w:rPr>
        <w:t>Ahora bien, si la entidad decide pactar la obligatoriedad de la liquidación del contrato de prestación de servicios profesionales y de apoyo a la gestión, o si la realiza, esto por sí mismo no hace obligatoria la constancia de cierre, porque para ello se deben cumplir los requisitos del artículo 2.2.1.1.2.4.3. del Decreto 1082 de 2015. La liquidación no es un presupuesto que active dicha obligación</w:t>
      </w:r>
      <w:r w:rsidR="00B12934">
        <w:rPr>
          <w:rStyle w:val="normaltextrun"/>
          <w:rFonts w:ascii="Arial" w:hAnsi="Arial" w:cs="Arial"/>
          <w:sz w:val="22"/>
          <w:szCs w:val="22"/>
        </w:rPr>
        <w:t xml:space="preserve">, lo cual fue reafirmado por el Consejo de Estado en el </w:t>
      </w:r>
      <w:r w:rsidRPr="00B12934" w:rsidR="00B12934">
        <w:rPr>
          <w:rStyle w:val="normaltextrun"/>
          <w:rFonts w:ascii="Arial" w:hAnsi="Arial" w:cs="Arial"/>
          <w:sz w:val="22"/>
          <w:szCs w:val="22"/>
        </w:rPr>
        <w:t>Concepto 2253 del 8 de marzo de 2017</w:t>
      </w:r>
      <w:r w:rsidR="00B12934">
        <w:rPr>
          <w:rStyle w:val="normaltextrun"/>
          <w:rFonts w:ascii="Arial" w:hAnsi="Arial" w:cs="Arial"/>
          <w:sz w:val="22"/>
          <w:szCs w:val="22"/>
        </w:rPr>
        <w:t>, citado</w:t>
      </w:r>
      <w:r w:rsidRPr="00295D8A">
        <w:rPr>
          <w:rStyle w:val="normaltextrun"/>
          <w:rFonts w:ascii="Arial" w:hAnsi="Arial" w:cs="Arial"/>
          <w:sz w:val="22"/>
          <w:szCs w:val="22"/>
        </w:rPr>
        <w:t>.</w:t>
      </w:r>
    </w:p>
    <w:p w:rsidRPr="00295D8A" w:rsidR="00295D8A" w:rsidP="00295D8A" w:rsidRDefault="00295D8A" w14:paraId="50166812" w14:textId="52F49192">
      <w:pPr>
        <w:pStyle w:val="paragraph"/>
        <w:spacing w:before="0" w:beforeAutospacing="0" w:after="120" w:afterAutospacing="0" w:line="276" w:lineRule="auto"/>
        <w:ind w:firstLine="709"/>
        <w:jc w:val="both"/>
        <w:textAlignment w:val="baseline"/>
        <w:rPr>
          <w:rStyle w:val="normaltextrun"/>
          <w:rFonts w:ascii="Arial" w:hAnsi="Arial" w:cs="Arial"/>
          <w:sz w:val="22"/>
          <w:szCs w:val="22"/>
        </w:rPr>
      </w:pPr>
      <w:r w:rsidRPr="00295D8A">
        <w:rPr>
          <w:rStyle w:val="normaltextrun"/>
          <w:rFonts w:ascii="Arial" w:hAnsi="Arial" w:cs="Arial"/>
          <w:sz w:val="22"/>
          <w:szCs w:val="22"/>
        </w:rPr>
        <w:t> Por otra parte, el artículo 2.2.1.2.1.4.5. del</w:t>
      </w:r>
      <w:r w:rsidR="00E1277F">
        <w:rPr>
          <w:rStyle w:val="normaltextrun"/>
          <w:rFonts w:ascii="Arial" w:hAnsi="Arial" w:cs="Arial"/>
          <w:sz w:val="22"/>
          <w:szCs w:val="22"/>
        </w:rPr>
        <w:t xml:space="preserve"> </w:t>
      </w:r>
      <w:r w:rsidRPr="00295D8A">
        <w:rPr>
          <w:rStyle w:val="normaltextrun"/>
          <w:rFonts w:ascii="Arial" w:hAnsi="Arial" w:cs="Arial"/>
          <w:sz w:val="22"/>
          <w:szCs w:val="22"/>
        </w:rPr>
        <w:t>Decreto</w:t>
      </w:r>
      <w:r w:rsidR="00E1277F">
        <w:rPr>
          <w:rStyle w:val="normaltextrun"/>
          <w:rFonts w:ascii="Arial" w:hAnsi="Arial" w:cs="Arial"/>
          <w:sz w:val="22"/>
          <w:szCs w:val="22"/>
        </w:rPr>
        <w:t xml:space="preserve"> 1082 de 2015</w:t>
      </w:r>
      <w:r w:rsidRPr="00295D8A">
        <w:rPr>
          <w:rStyle w:val="normaltextrun"/>
          <w:rFonts w:ascii="Arial" w:hAnsi="Arial" w:cs="Arial"/>
          <w:sz w:val="22"/>
          <w:szCs w:val="22"/>
        </w:rPr>
        <w:t xml:space="preserve"> establece que</w:t>
      </w:r>
      <w:r w:rsidR="00E1277F">
        <w:rPr>
          <w:rStyle w:val="normaltextrun"/>
          <w:rFonts w:ascii="Arial" w:hAnsi="Arial" w:cs="Arial"/>
          <w:sz w:val="22"/>
          <w:szCs w:val="22"/>
        </w:rPr>
        <w:t xml:space="preserve"> «</w:t>
      </w:r>
      <w:r w:rsidRPr="00295D8A">
        <w:rPr>
          <w:rStyle w:val="normaltextrun"/>
          <w:rFonts w:ascii="Arial" w:hAnsi="Arial" w:cs="Arial"/>
          <w:sz w:val="22"/>
          <w:szCs w:val="22"/>
        </w:rPr>
        <w:t>En la contratación directa la exigencia de garantías establecidas en la Sección 3, que comprende los artículos 2.2.1.2.3.1.1 al 2.2.1.2.3.5.1.del presente decreto no es obligatoria y la justificación para exigirlas o no debe estar en los estudios y documentos previos</w:t>
      </w:r>
      <w:r w:rsidR="00E1277F">
        <w:rPr>
          <w:rStyle w:val="normaltextrun"/>
          <w:rFonts w:ascii="Arial" w:hAnsi="Arial" w:cs="Arial"/>
          <w:sz w:val="22"/>
          <w:szCs w:val="22"/>
        </w:rPr>
        <w:t>»</w:t>
      </w:r>
      <w:r w:rsidRPr="00295D8A">
        <w:rPr>
          <w:rStyle w:val="normaltextrun"/>
          <w:rFonts w:ascii="Arial" w:hAnsi="Arial" w:cs="Arial"/>
          <w:sz w:val="22"/>
          <w:szCs w:val="22"/>
        </w:rPr>
        <w:t>.</w:t>
      </w:r>
    </w:p>
    <w:p w:rsidRPr="00295D8A" w:rsidR="00295D8A" w:rsidP="00EC0A6A" w:rsidRDefault="00295D8A" w14:paraId="06A367CA" w14:textId="67EB347E">
      <w:pPr>
        <w:pStyle w:val="paragraph"/>
        <w:spacing w:before="0" w:beforeAutospacing="0" w:after="0" w:afterAutospacing="0" w:line="276" w:lineRule="auto"/>
        <w:ind w:firstLine="709"/>
        <w:jc w:val="both"/>
        <w:textAlignment w:val="baseline"/>
        <w:rPr>
          <w:rStyle w:val="normaltextrun"/>
          <w:rFonts w:ascii="Arial" w:hAnsi="Arial" w:cs="Arial"/>
          <w:sz w:val="22"/>
          <w:szCs w:val="22"/>
        </w:rPr>
      </w:pPr>
      <w:r w:rsidRPr="00295D8A">
        <w:rPr>
          <w:rStyle w:val="normaltextrun"/>
          <w:rFonts w:ascii="Arial" w:hAnsi="Arial" w:cs="Arial"/>
          <w:sz w:val="22"/>
          <w:szCs w:val="22"/>
        </w:rPr>
        <w:t> Significa que no necesariamente los contratos de prestación de servicios profesionales y apoyo a la gestión deben contar con garantías. Por lo tanto, no siempre se da el supuesto para que sea obligatoria la constancia de cierre. Pero de acuerdo con la norma, la entidad puede justificar la exigencia de garantías en el estudio previo y si se exige</w:t>
      </w:r>
      <w:r w:rsidR="00B308CC">
        <w:rPr>
          <w:rStyle w:val="normaltextrun"/>
          <w:rFonts w:ascii="Arial" w:hAnsi="Arial" w:cs="Arial"/>
          <w:sz w:val="22"/>
          <w:szCs w:val="22"/>
        </w:rPr>
        <w:t xml:space="preserve"> </w:t>
      </w:r>
      <w:r w:rsidR="00B308CC">
        <w:rPr>
          <w:rStyle w:val="normaltextrun"/>
          <w:rFonts w:ascii="Arial" w:hAnsi="Arial" w:cs="Arial"/>
          <w:sz w:val="22"/>
          <w:szCs w:val="22"/>
        </w:rPr>
        <w:lastRenderedPageBreak/>
        <w:t>la garant</w:t>
      </w:r>
      <w:r w:rsidR="003E5578">
        <w:rPr>
          <w:rStyle w:val="normaltextrun"/>
          <w:rFonts w:ascii="Arial" w:hAnsi="Arial" w:cs="Arial"/>
          <w:sz w:val="22"/>
          <w:szCs w:val="22"/>
        </w:rPr>
        <w:t>í</w:t>
      </w:r>
      <w:r w:rsidR="00B308CC">
        <w:rPr>
          <w:rStyle w:val="normaltextrun"/>
          <w:rFonts w:ascii="Arial" w:hAnsi="Arial" w:cs="Arial"/>
          <w:sz w:val="22"/>
          <w:szCs w:val="22"/>
        </w:rPr>
        <w:t>a de calidad</w:t>
      </w:r>
      <w:r w:rsidRPr="00295D8A">
        <w:rPr>
          <w:rStyle w:val="normaltextrun"/>
          <w:rFonts w:ascii="Arial" w:hAnsi="Arial" w:cs="Arial"/>
          <w:sz w:val="22"/>
          <w:szCs w:val="22"/>
        </w:rPr>
        <w:t>, puede darse el supuesto que señala la norma para la obligación de dejar constancia del cierre del expediente.</w:t>
      </w:r>
    </w:p>
    <w:p w:rsidR="00E1277F" w:rsidP="00EC0A6A" w:rsidRDefault="00E1277F" w14:paraId="18AD1BF6" w14:textId="77777777">
      <w:pPr>
        <w:pStyle w:val="paragraph"/>
        <w:spacing w:before="0" w:beforeAutospacing="0" w:after="0" w:afterAutospacing="0" w:line="276" w:lineRule="auto"/>
        <w:jc w:val="both"/>
        <w:textAlignment w:val="baseline"/>
        <w:rPr>
          <w:rStyle w:val="normaltextrun"/>
          <w:rFonts w:ascii="Arial" w:hAnsi="Arial" w:cs="Arial"/>
          <w:sz w:val="22"/>
          <w:szCs w:val="22"/>
        </w:rPr>
      </w:pPr>
    </w:p>
    <w:p w:rsidRPr="00295D8A" w:rsidR="000920F0" w:rsidP="00EC0A6A" w:rsidRDefault="000920F0" w14:paraId="2980998C" w14:textId="01399245">
      <w:pPr>
        <w:pStyle w:val="paragraph"/>
        <w:spacing w:before="0" w:beforeAutospacing="0" w:after="0" w:afterAutospacing="0" w:line="276" w:lineRule="auto"/>
        <w:jc w:val="both"/>
        <w:textAlignment w:val="baseline"/>
        <w:rPr>
          <w:rFonts w:ascii="Arial" w:hAnsi="Arial" w:cs="Arial"/>
          <w:noProof/>
          <w:sz w:val="22"/>
          <w:lang w:val="es-ES_tradnl"/>
        </w:rPr>
      </w:pPr>
      <w:r w:rsidRPr="00295D8A">
        <w:rPr>
          <w:rFonts w:ascii="Arial" w:hAnsi="Arial" w:cs="Arial"/>
          <w:b/>
          <w:noProof/>
          <w:sz w:val="22"/>
          <w:lang w:val="es-ES_tradnl"/>
        </w:rPr>
        <w:t>3.</w:t>
      </w:r>
      <w:r w:rsidRPr="00295D8A" w:rsidR="0049042F">
        <w:rPr>
          <w:rFonts w:ascii="Arial" w:hAnsi="Arial" w:cs="Arial"/>
          <w:b/>
          <w:noProof/>
          <w:sz w:val="22"/>
          <w:lang w:val="es-ES_tradnl"/>
        </w:rPr>
        <w:t xml:space="preserve"> </w:t>
      </w:r>
      <w:r w:rsidRPr="00295D8A">
        <w:rPr>
          <w:rFonts w:ascii="Arial" w:hAnsi="Arial" w:cs="Arial"/>
          <w:b/>
          <w:noProof/>
          <w:sz w:val="22"/>
          <w:lang w:val="es-ES_tradnl"/>
        </w:rPr>
        <w:t>Respuesta</w:t>
      </w:r>
    </w:p>
    <w:p w:rsidRPr="00295D8A" w:rsidR="000920F0" w:rsidP="00EC0A6A" w:rsidRDefault="000920F0" w14:paraId="458F619B" w14:textId="77777777">
      <w:pPr>
        <w:spacing w:line="276" w:lineRule="auto"/>
        <w:ind w:left="709" w:right="709"/>
        <w:jc w:val="both"/>
        <w:rPr>
          <w:rFonts w:ascii="Arial" w:hAnsi="Arial" w:cs="Arial"/>
          <w:i/>
          <w:noProof/>
          <w:sz w:val="22"/>
          <w:lang w:val="es-ES_tradnl"/>
        </w:rPr>
      </w:pPr>
    </w:p>
    <w:p w:rsidRPr="00295D8A" w:rsidR="00DD002F" w:rsidP="00EC0A6A" w:rsidRDefault="003C3FB8" w14:paraId="2964CDB7" w14:textId="4FB0CAB2">
      <w:pPr>
        <w:ind w:left="709" w:right="709"/>
        <w:jc w:val="both"/>
        <w:rPr>
          <w:rFonts w:ascii="Arial" w:hAnsi="Arial" w:cs="Arial"/>
          <w:noProof/>
          <w:sz w:val="21"/>
          <w:szCs w:val="21"/>
          <w:lang w:val="es-ES_tradnl"/>
        </w:rPr>
      </w:pPr>
      <w:r w:rsidRPr="005F2C66">
        <w:rPr>
          <w:rFonts w:ascii="Arial" w:hAnsi="Arial" w:cs="Arial"/>
          <w:noProof/>
          <w:sz w:val="21"/>
          <w:szCs w:val="21"/>
          <w:lang w:val="es-ES_tradnl"/>
        </w:rPr>
        <w:t>«Por medio del presente me permito solicitar se emita concepto jurídico, en relación con la obligatoriedad de realizar el cierre del expediente del Proceso de Contratación para los contratos de prestación de servicios y apoyo a la gestión. […]»; teniendo en cuenta que en estos contratos no es obligatoria la liquidación y que el cierre del expediente se sujeta al vencimiento de las garantías señaladas en el artículo 2.2.1.1.2.4.3. del Decreto 1082 de 2015.</w:t>
      </w:r>
    </w:p>
    <w:p w:rsidRPr="00295D8A" w:rsidR="002F6312" w:rsidP="00DD002F" w:rsidRDefault="002F6312" w14:paraId="43B89C99" w14:textId="77777777">
      <w:pPr>
        <w:spacing w:line="276" w:lineRule="auto"/>
        <w:jc w:val="both"/>
        <w:rPr>
          <w:rFonts w:ascii="Arial" w:hAnsi="Arial" w:cs="Arial"/>
          <w:noProof/>
          <w:sz w:val="22"/>
          <w:lang w:val="es-ES_tradnl"/>
        </w:rPr>
      </w:pPr>
    </w:p>
    <w:p w:rsidRPr="00295D8A" w:rsidR="00B80A0C" w:rsidP="00295D8A" w:rsidRDefault="006A3B75" w14:paraId="38661563" w14:textId="3BE6E18D">
      <w:pPr>
        <w:spacing w:after="120" w:line="276" w:lineRule="auto"/>
        <w:jc w:val="both"/>
        <w:rPr>
          <w:rStyle w:val="eop"/>
          <w:rFonts w:ascii="Arial" w:hAnsi="Arial" w:cs="Arial"/>
          <w:sz w:val="22"/>
          <w:shd w:val="clear" w:color="auto" w:fill="FFFFFF"/>
        </w:rPr>
      </w:pPr>
      <w:r>
        <w:rPr>
          <w:rStyle w:val="normaltextrun"/>
          <w:rFonts w:ascii="Arial" w:hAnsi="Arial" w:cs="Arial"/>
          <w:sz w:val="22"/>
          <w:shd w:val="clear" w:color="auto" w:fill="FFFFFF"/>
        </w:rPr>
        <w:t>E</w:t>
      </w:r>
      <w:r w:rsidRPr="00295D8A" w:rsidR="00DC6019">
        <w:rPr>
          <w:rStyle w:val="normaltextrun"/>
          <w:rFonts w:ascii="Arial" w:hAnsi="Arial" w:cs="Arial"/>
          <w:sz w:val="22"/>
          <w:shd w:val="clear" w:color="auto" w:fill="FFFFFF"/>
        </w:rPr>
        <w:t>l cierre del expediente tiene como finalidad dejar constancia de la finalización del proceso contractual</w:t>
      </w:r>
      <w:r w:rsidR="00B308CC">
        <w:rPr>
          <w:rStyle w:val="normaltextrun"/>
          <w:rFonts w:ascii="Arial" w:hAnsi="Arial" w:cs="Arial"/>
          <w:sz w:val="22"/>
          <w:shd w:val="clear" w:color="auto" w:fill="FFFFFF"/>
        </w:rPr>
        <w:t>.</w:t>
      </w:r>
      <w:r w:rsidRPr="00295D8A" w:rsidR="00DC6019">
        <w:rPr>
          <w:rStyle w:val="normaltextrun"/>
          <w:rFonts w:ascii="Arial" w:hAnsi="Arial" w:cs="Arial"/>
          <w:sz w:val="22"/>
          <w:shd w:val="clear" w:color="auto" w:fill="FFFFFF"/>
        </w:rPr>
        <w:t xml:space="preserve"> </w:t>
      </w:r>
      <w:r w:rsidR="00B308CC">
        <w:rPr>
          <w:rStyle w:val="normaltextrun"/>
          <w:rFonts w:ascii="Arial" w:hAnsi="Arial" w:cs="Arial"/>
          <w:sz w:val="22"/>
          <w:shd w:val="clear" w:color="auto" w:fill="FFFFFF"/>
        </w:rPr>
        <w:t>P</w:t>
      </w:r>
      <w:r w:rsidRPr="00295D8A" w:rsidR="00DC6019">
        <w:rPr>
          <w:rStyle w:val="normaltextrun"/>
          <w:rFonts w:ascii="Arial" w:hAnsi="Arial" w:cs="Arial"/>
          <w:sz w:val="22"/>
          <w:shd w:val="clear" w:color="auto" w:fill="FFFFFF"/>
        </w:rPr>
        <w:t xml:space="preserve">or lo tanto, se entiende que no debe quedar ningún trámite ni garantía vigente para que se pueda realizar el respectivo cierre, </w:t>
      </w:r>
      <w:r>
        <w:rPr>
          <w:rStyle w:val="normaltextrun"/>
          <w:rFonts w:ascii="Arial" w:hAnsi="Arial" w:cs="Arial"/>
          <w:sz w:val="22"/>
          <w:shd w:val="clear" w:color="auto" w:fill="FFFFFF"/>
        </w:rPr>
        <w:t>y</w:t>
      </w:r>
      <w:r w:rsidRPr="00295D8A" w:rsidR="00DC6019">
        <w:rPr>
          <w:rStyle w:val="normaltextrun"/>
          <w:rFonts w:ascii="Arial" w:hAnsi="Arial" w:cs="Arial"/>
          <w:sz w:val="22"/>
          <w:shd w:val="clear" w:color="auto" w:fill="FFFFFF"/>
        </w:rPr>
        <w:t xml:space="preserve"> este debe hacerse después del vencimiento de </w:t>
      </w:r>
      <w:r w:rsidR="00C00B13">
        <w:rPr>
          <w:rStyle w:val="normaltextrun"/>
          <w:rFonts w:ascii="Arial" w:hAnsi="Arial" w:cs="Arial"/>
          <w:sz w:val="22"/>
          <w:shd w:val="clear" w:color="auto" w:fill="FFFFFF"/>
        </w:rPr>
        <w:t>las</w:t>
      </w:r>
      <w:r w:rsidRPr="00295D8A" w:rsidR="00DC6019">
        <w:rPr>
          <w:rStyle w:val="normaltextrun"/>
          <w:rFonts w:ascii="Arial" w:hAnsi="Arial" w:cs="Arial"/>
          <w:sz w:val="22"/>
          <w:shd w:val="clear" w:color="auto" w:fill="FFFFFF"/>
        </w:rPr>
        <w:t xml:space="preserve"> garantía</w:t>
      </w:r>
      <w:r w:rsidR="00C00B13">
        <w:rPr>
          <w:rStyle w:val="normaltextrun"/>
          <w:rFonts w:ascii="Arial" w:hAnsi="Arial" w:cs="Arial"/>
          <w:sz w:val="22"/>
          <w:shd w:val="clear" w:color="auto" w:fill="FFFFFF"/>
        </w:rPr>
        <w:t>s mencionadas</w:t>
      </w:r>
      <w:r w:rsidR="003A3CF0">
        <w:rPr>
          <w:rStyle w:val="normaltextrun"/>
          <w:rFonts w:ascii="Arial" w:hAnsi="Arial" w:cs="Arial"/>
          <w:sz w:val="22"/>
          <w:shd w:val="clear" w:color="auto" w:fill="FFFFFF"/>
        </w:rPr>
        <w:t xml:space="preserve"> en el</w:t>
      </w:r>
      <w:r w:rsidRPr="00295D8A" w:rsidR="00DC6019">
        <w:rPr>
          <w:rStyle w:val="normaltextrun"/>
          <w:rFonts w:ascii="Arial" w:hAnsi="Arial" w:cs="Arial"/>
          <w:sz w:val="22"/>
          <w:shd w:val="clear" w:color="auto" w:fill="FFFFFF"/>
        </w:rPr>
        <w:t xml:space="preserve"> </w:t>
      </w:r>
      <w:r w:rsidRPr="003A3CF0" w:rsidR="003A3CF0">
        <w:rPr>
          <w:rStyle w:val="normaltextrun"/>
          <w:rFonts w:ascii="Arial" w:hAnsi="Arial" w:cs="Arial"/>
          <w:sz w:val="22"/>
          <w:shd w:val="clear" w:color="auto" w:fill="FFFFFF"/>
        </w:rPr>
        <w:t>artículo 2.2.1.1.2.4.3. del Decreto 1082 de 2015</w:t>
      </w:r>
      <w:r w:rsidRPr="00295D8A" w:rsidR="00DC6019">
        <w:rPr>
          <w:rStyle w:val="normaltextrun"/>
          <w:rFonts w:ascii="Arial" w:hAnsi="Arial" w:cs="Arial"/>
          <w:sz w:val="22"/>
          <w:shd w:val="clear" w:color="auto" w:fill="FFFFFF"/>
        </w:rPr>
        <w:t>. </w:t>
      </w:r>
      <w:r w:rsidRPr="00295D8A" w:rsidR="00DC6019">
        <w:rPr>
          <w:rStyle w:val="eop"/>
          <w:rFonts w:ascii="Arial" w:hAnsi="Arial" w:cs="Arial"/>
          <w:sz w:val="22"/>
          <w:shd w:val="clear" w:color="auto" w:fill="FFFFFF"/>
        </w:rPr>
        <w:t> </w:t>
      </w:r>
    </w:p>
    <w:p w:rsidRPr="00295D8A" w:rsidR="00DC6019" w:rsidP="00295D8A" w:rsidRDefault="00A64A3E" w14:paraId="69DCF215" w14:textId="1E114ED7">
      <w:pPr>
        <w:spacing w:after="120" w:line="276" w:lineRule="auto"/>
        <w:ind w:firstLine="708"/>
        <w:jc w:val="both"/>
        <w:rPr>
          <w:rStyle w:val="eop"/>
          <w:rFonts w:ascii="Arial" w:hAnsi="Arial" w:cs="Arial"/>
          <w:sz w:val="22"/>
          <w:shd w:val="clear" w:color="auto" w:fill="FFFFFF"/>
        </w:rPr>
      </w:pPr>
      <w:r w:rsidRPr="00295D8A">
        <w:rPr>
          <w:rFonts w:ascii="Arial" w:hAnsi="Arial" w:cs="Arial"/>
          <w:sz w:val="22"/>
          <w:shd w:val="clear" w:color="auto" w:fill="FFFFFF"/>
        </w:rPr>
        <w:t xml:space="preserve">En ese sentido, respecto del cierre del expediente en los contratos de prestación de servicios, depende de la existencia de </w:t>
      </w:r>
      <w:r w:rsidR="00CA6AE8">
        <w:rPr>
          <w:rFonts w:ascii="Arial" w:hAnsi="Arial" w:cs="Arial"/>
          <w:sz w:val="22"/>
          <w:shd w:val="clear" w:color="auto" w:fill="FFFFFF"/>
        </w:rPr>
        <w:t xml:space="preserve">la </w:t>
      </w:r>
      <w:r w:rsidRPr="00295D8A">
        <w:rPr>
          <w:rFonts w:ascii="Arial" w:hAnsi="Arial" w:cs="Arial"/>
          <w:sz w:val="22"/>
          <w:shd w:val="clear" w:color="auto" w:fill="FFFFFF"/>
        </w:rPr>
        <w:t>garantía de calidad</w:t>
      </w:r>
      <w:r w:rsidR="00CA6AE8">
        <w:rPr>
          <w:rFonts w:ascii="Arial" w:hAnsi="Arial" w:cs="Arial"/>
          <w:sz w:val="22"/>
          <w:shd w:val="clear" w:color="auto" w:fill="FFFFFF"/>
        </w:rPr>
        <w:t>. S</w:t>
      </w:r>
      <w:r w:rsidRPr="00295D8A">
        <w:rPr>
          <w:rFonts w:ascii="Arial" w:hAnsi="Arial" w:cs="Arial"/>
          <w:sz w:val="22"/>
          <w:shd w:val="clear" w:color="auto" w:fill="FFFFFF"/>
        </w:rPr>
        <w:t>in embargo</w:t>
      </w:r>
      <w:r w:rsidR="00CA6AE8">
        <w:rPr>
          <w:rFonts w:ascii="Arial" w:hAnsi="Arial" w:cs="Arial"/>
          <w:sz w:val="22"/>
          <w:shd w:val="clear" w:color="auto" w:fill="FFFFFF"/>
        </w:rPr>
        <w:t>,</w:t>
      </w:r>
      <w:r w:rsidRPr="00295D8A">
        <w:rPr>
          <w:rFonts w:ascii="Arial" w:hAnsi="Arial" w:cs="Arial"/>
          <w:sz w:val="22"/>
          <w:shd w:val="clear" w:color="auto" w:fill="FFFFFF"/>
        </w:rPr>
        <w:t> las garantías no son obligatorias en este tipo de contrato y la entidad debe justificar su exigencia en el estudio previo.</w:t>
      </w:r>
      <w:r w:rsidR="00FE306B">
        <w:rPr>
          <w:rFonts w:ascii="Arial" w:hAnsi="Arial" w:cs="Arial"/>
          <w:sz w:val="22"/>
          <w:shd w:val="clear" w:color="auto" w:fill="FFFFFF"/>
        </w:rPr>
        <w:t xml:space="preserve"> Por ende, si la entidad exige garantía</w:t>
      </w:r>
      <w:r w:rsidR="00205305">
        <w:rPr>
          <w:rFonts w:ascii="Arial" w:hAnsi="Arial" w:cs="Arial"/>
          <w:sz w:val="22"/>
          <w:shd w:val="clear" w:color="auto" w:fill="FFFFFF"/>
        </w:rPr>
        <w:t xml:space="preserve"> de calidad</w:t>
      </w:r>
      <w:r w:rsidR="00FE306B">
        <w:rPr>
          <w:rFonts w:ascii="Arial" w:hAnsi="Arial" w:cs="Arial"/>
          <w:sz w:val="22"/>
          <w:shd w:val="clear" w:color="auto" w:fill="FFFFFF"/>
        </w:rPr>
        <w:t>, el cierre del expediente será obligatorio en este tipo de contrato.</w:t>
      </w:r>
      <w:r w:rsidRPr="00295D8A">
        <w:rPr>
          <w:rFonts w:ascii="Arial" w:hAnsi="Arial" w:cs="Arial"/>
          <w:sz w:val="22"/>
          <w:shd w:val="clear" w:color="auto" w:fill="FFFFFF"/>
        </w:rPr>
        <w:t xml:space="preserve"> Por otra parte, a pesar de no ser obligatoria la liquidación del contrato de prestación de servicios, la entidad puede decidir de manera autónoma y como responsable de su actividad contractual, liquidar el contrato, pero est</w:t>
      </w:r>
      <w:r w:rsidR="00205305">
        <w:rPr>
          <w:rFonts w:ascii="Arial" w:hAnsi="Arial" w:cs="Arial"/>
          <w:sz w:val="22"/>
          <w:shd w:val="clear" w:color="auto" w:fill="FFFFFF"/>
        </w:rPr>
        <w:t>e</w:t>
      </w:r>
      <w:r w:rsidRPr="00295D8A">
        <w:rPr>
          <w:rFonts w:ascii="Arial" w:hAnsi="Arial" w:cs="Arial"/>
          <w:sz w:val="22"/>
          <w:shd w:val="clear" w:color="auto" w:fill="FFFFFF"/>
        </w:rPr>
        <w:t xml:space="preserve"> no es un supuesto que haga </w:t>
      </w:r>
      <w:r w:rsidR="00205305">
        <w:rPr>
          <w:rFonts w:ascii="Arial" w:hAnsi="Arial" w:cs="Arial"/>
          <w:sz w:val="22"/>
          <w:shd w:val="clear" w:color="auto" w:fill="FFFFFF"/>
        </w:rPr>
        <w:t xml:space="preserve">necesariamente </w:t>
      </w:r>
      <w:r w:rsidRPr="00295D8A">
        <w:rPr>
          <w:rFonts w:ascii="Arial" w:hAnsi="Arial" w:cs="Arial"/>
          <w:sz w:val="22"/>
          <w:shd w:val="clear" w:color="auto" w:fill="FFFFFF"/>
        </w:rPr>
        <w:t>obligatoria la realización del cierre del expediente</w:t>
      </w:r>
      <w:r w:rsidR="00205305">
        <w:rPr>
          <w:rFonts w:ascii="Arial" w:hAnsi="Arial" w:cs="Arial"/>
          <w:sz w:val="22"/>
          <w:shd w:val="clear" w:color="auto" w:fill="FFFFFF"/>
        </w:rPr>
        <w:t>,</w:t>
      </w:r>
      <w:r w:rsidRPr="00295D8A">
        <w:rPr>
          <w:rFonts w:ascii="Arial" w:hAnsi="Arial" w:cs="Arial"/>
          <w:sz w:val="22"/>
          <w:shd w:val="clear" w:color="auto" w:fill="FFFFFF"/>
        </w:rPr>
        <w:t xml:space="preserve"> de acuerdo con el artículo 2.2.1.1.2.4.3. del Decreto 1082 de 2015.</w:t>
      </w:r>
    </w:p>
    <w:p w:rsidRPr="00295D8A" w:rsidR="00DC6019" w:rsidP="00A33107" w:rsidRDefault="00DC6019" w14:paraId="1CACDE18" w14:textId="77777777">
      <w:pPr>
        <w:spacing w:after="120" w:line="276" w:lineRule="auto"/>
        <w:jc w:val="both"/>
        <w:rPr>
          <w:rFonts w:ascii="Arial" w:hAnsi="Arial" w:cs="Arial"/>
          <w:noProof/>
          <w:sz w:val="22"/>
          <w:lang w:val="es-ES_tradnl"/>
        </w:rPr>
      </w:pPr>
    </w:p>
    <w:p w:rsidRPr="00295D8A" w:rsidR="000920F0" w:rsidP="00B80A0C" w:rsidRDefault="000920F0" w14:paraId="544609D3" w14:textId="3CFF1235">
      <w:pPr>
        <w:spacing w:line="276" w:lineRule="auto"/>
        <w:jc w:val="both"/>
        <w:rPr>
          <w:rFonts w:ascii="Arial" w:hAnsi="Arial" w:cs="Arial"/>
          <w:noProof/>
          <w:sz w:val="22"/>
          <w:lang w:val="es-ES_tradnl"/>
        </w:rPr>
      </w:pPr>
      <w:r w:rsidRPr="00295D8A">
        <w:rPr>
          <w:rFonts w:ascii="Arial" w:hAnsi="Arial" w:cs="Arial"/>
          <w:noProof/>
          <w:sz w:val="22"/>
          <w:lang w:val="es-ES_tradnl"/>
        </w:rPr>
        <w:t>Este concepto tiene el alcance previsto en el artículo 28 del Código de Procedimiento Administrativo y de lo Contencioso Administrativo</w:t>
      </w:r>
      <w:r w:rsidRPr="00295D8A" w:rsidR="00A568E5">
        <w:rPr>
          <w:rFonts w:ascii="Arial" w:hAnsi="Arial" w:cs="Arial"/>
          <w:noProof/>
          <w:sz w:val="22"/>
          <w:lang w:val="es-ES_tradnl"/>
        </w:rPr>
        <w:t>.</w:t>
      </w:r>
    </w:p>
    <w:p w:rsidRPr="00295D8A" w:rsidR="00150A83" w:rsidP="00F106B5" w:rsidRDefault="00150A83" w14:paraId="72B1ECAA" w14:textId="77777777">
      <w:pPr>
        <w:spacing w:line="276" w:lineRule="auto"/>
        <w:jc w:val="both"/>
        <w:rPr>
          <w:rFonts w:ascii="Arial" w:hAnsi="Arial" w:cs="Arial"/>
          <w:noProof/>
          <w:sz w:val="22"/>
          <w:lang w:val="es-ES_tradnl"/>
        </w:rPr>
      </w:pPr>
    </w:p>
    <w:p w:rsidRPr="00295D8A" w:rsidR="000920F0" w:rsidP="00F106B5" w:rsidRDefault="000920F0" w14:paraId="2A352265" w14:textId="77777777">
      <w:pPr>
        <w:spacing w:line="276" w:lineRule="auto"/>
        <w:jc w:val="both"/>
        <w:rPr>
          <w:rFonts w:ascii="Arial" w:hAnsi="Arial" w:cs="Arial"/>
          <w:noProof/>
          <w:sz w:val="22"/>
          <w:lang w:val="es-ES_tradnl"/>
        </w:rPr>
      </w:pPr>
      <w:r w:rsidRPr="00295D8A">
        <w:rPr>
          <w:rFonts w:ascii="Arial" w:hAnsi="Arial" w:cs="Arial"/>
          <w:noProof/>
          <w:lang w:val="en-US"/>
        </w:rPr>
        <mc:AlternateContent>
          <mc:Choice Requires="wps">
            <w:drawing>
              <wp:anchor distT="0" distB="0" distL="114300" distR="114300" simplePos="0" relativeHeight="251658240" behindDoc="0" locked="0" layoutInCell="1" allowOverlap="1" wp14:anchorId="580C3C28" wp14:editId="686CAA36">
                <wp:simplePos x="0" y="0"/>
                <wp:positionH relativeFrom="page">
                  <wp:posOffset>1514475</wp:posOffset>
                </wp:positionH>
                <wp:positionV relativeFrom="paragraph">
                  <wp:posOffset>10160</wp:posOffset>
                </wp:positionV>
                <wp:extent cx="4686300" cy="0"/>
                <wp:effectExtent l="0" t="0" r="0" b="0"/>
                <wp:wrapNone/>
                <wp:docPr id="1" name="Conector recto 1"/>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id="Conector recto 1"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o:spid="_x0000_s1026" strokecolor="#dbdbdb" from="119.25pt,.8pt" to="488.25pt,.8pt" w14:anchorId="53B0AB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">
                <w10:wrap anchorx="page"/>
              </v:line>
            </w:pict>
          </mc:Fallback>
        </mc:AlternateContent>
      </w:r>
    </w:p>
    <w:p w:rsidRPr="00295D8A" w:rsidR="00033726" w:rsidP="00033726" w:rsidRDefault="00033726" w14:paraId="5D16A13B" w14:textId="77777777">
      <w:pPr>
        <w:rPr>
          <w:rFonts w:ascii="Arial" w:hAnsi="Arial" w:eastAsia="Times New Roman" w:cs="Arial"/>
          <w:sz w:val="22"/>
          <w:lang w:val="es-CO" w:eastAsia="es-CO"/>
        </w:rPr>
      </w:pPr>
      <w:bookmarkStart w:name="_Hlk50986665" w:id="4"/>
      <w:bookmarkStart w:name="_Hlk55258198" w:id="5"/>
      <w:bookmarkEnd w:id="2"/>
      <w:r w:rsidRPr="00295D8A">
        <w:rPr>
          <w:rFonts w:ascii="Arial" w:hAnsi="Arial" w:cs="Arial"/>
          <w:sz w:val="22"/>
          <w:lang w:eastAsia="es-CO"/>
        </w:rPr>
        <w:t>Atentamente,</w:t>
      </w:r>
    </w:p>
    <w:p w:rsidRPr="00295D8A" w:rsidR="00033726" w:rsidP="00033726" w:rsidRDefault="00033726" w14:paraId="48343DC8" w14:textId="77777777">
      <w:pPr>
        <w:rPr>
          <w:rFonts w:ascii="Arial" w:hAnsi="Arial" w:cs="Arial"/>
          <w:sz w:val="22"/>
          <w:lang w:eastAsia="es-CO"/>
        </w:rPr>
      </w:pPr>
    </w:p>
    <w:p w:rsidRPr="00295D8A" w:rsidR="00033726" w:rsidP="7215BA1A" w:rsidRDefault="00033726" w14:paraId="17330A55" w14:textId="1A7C32E2">
      <w:pPr>
        <w:pStyle w:val="Normal"/>
        <w:jc w:val="center"/>
      </w:pPr>
      <w:r w:rsidR="341A808E">
        <w:drawing>
          <wp:inline wp14:editId="44286762" wp14:anchorId="4B7D7518">
            <wp:extent cx="2886075" cy="1276350"/>
            <wp:effectExtent l="0" t="0" r="0" b="0"/>
            <wp:docPr id="1512416296" name="" title=""/>
            <wp:cNvGraphicFramePr>
              <a:graphicFrameLocks noChangeAspect="1"/>
            </wp:cNvGraphicFramePr>
            <a:graphic>
              <a:graphicData uri="http://schemas.openxmlformats.org/drawingml/2006/picture">
                <pic:pic>
                  <pic:nvPicPr>
                    <pic:cNvPr id="0" name=""/>
                    <pic:cNvPicPr/>
                  </pic:nvPicPr>
                  <pic:blipFill>
                    <a:blip r:embed="R045a6f411ac249a1">
                      <a:extLst>
                        <a:ext xmlns:a="http://schemas.openxmlformats.org/drawingml/2006/main" uri="{28A0092B-C50C-407E-A947-70E740481C1C}">
                          <a14:useLocalDpi val="0"/>
                        </a:ext>
                      </a:extLst>
                    </a:blip>
                    <a:stretch>
                      <a:fillRect/>
                    </a:stretch>
                  </pic:blipFill>
                  <pic:spPr>
                    <a:xfrm>
                      <a:off x="0" y="0"/>
                      <a:ext cx="2886075" cy="1276350"/>
                    </a:xfrm>
                    <a:prstGeom prst="rect">
                      <a:avLst/>
                    </a:prstGeom>
                  </pic:spPr>
                </pic:pic>
              </a:graphicData>
            </a:graphic>
          </wp:inline>
        </w:drawing>
      </w:r>
    </w:p>
    <w:p w:rsidRPr="00295D8A" w:rsidR="00033726" w:rsidP="00033726" w:rsidRDefault="00033726" w14:paraId="1C202F34" w14:textId="77777777">
      <w:pPr>
        <w:jc w:val="center"/>
        <w:rPr>
          <w:rFonts w:ascii="Arial" w:hAnsi="Arial" w:cs="Arial"/>
          <w:sz w:val="18"/>
          <w:szCs w:val="20"/>
          <w:lang w:eastAsia="es-CO"/>
        </w:rPr>
      </w:pPr>
    </w:p>
    <w:p w:rsidRPr="00295D8A" w:rsidR="00033726" w:rsidP="00033726" w:rsidRDefault="00033726" w14:paraId="19BFACF1" w14:textId="77777777">
      <w:pPr>
        <w:jc w:val="center"/>
        <w:rPr>
          <w:rFonts w:ascii="Arial" w:hAnsi="Arial" w:cs="Arial"/>
          <w:sz w:val="18"/>
          <w:szCs w:val="20"/>
          <w:lang w:eastAsia="es-CO"/>
        </w:rPr>
      </w:pPr>
    </w:p>
    <w:tbl>
      <w:tblPr>
        <w:tblStyle w:val="Tablaconcuadrcula"/>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12"/>
        <w:gridCol w:w="4413"/>
      </w:tblGrid>
      <w:tr w:rsidRPr="00295D8A" w:rsidR="00295D8A" w:rsidTr="00D14CDD" w14:paraId="6B2C663A" w14:textId="77777777">
        <w:trPr>
          <w:trHeight w:val="315"/>
        </w:trPr>
        <w:tc>
          <w:tcPr>
            <w:tcW w:w="488" w:type="dxa"/>
            <w:vAlign w:val="center"/>
            <w:hideMark/>
          </w:tcPr>
          <w:p w:rsidRPr="00295D8A" w:rsidR="00033726" w:rsidP="00D14CDD" w:rsidRDefault="00033726" w14:paraId="695A653A" w14:textId="77777777">
            <w:pPr>
              <w:rPr>
                <w:rFonts w:ascii="Arial" w:hAnsi="Arial" w:cs="Arial"/>
                <w:sz w:val="16"/>
                <w:szCs w:val="16"/>
                <w:lang w:eastAsia="es-ES"/>
              </w:rPr>
            </w:pPr>
            <w:r w:rsidRPr="00295D8A">
              <w:rPr>
                <w:rFonts w:ascii="Arial" w:hAnsi="Arial" w:cs="Arial"/>
                <w:sz w:val="16"/>
                <w:szCs w:val="16"/>
                <w:lang w:eastAsia="es-ES"/>
              </w:rPr>
              <w:t>Elaboró:</w:t>
            </w:r>
          </w:p>
        </w:tc>
        <w:tc>
          <w:tcPr>
            <w:tcW w:w="4413" w:type="dxa"/>
            <w:tcBorders>
              <w:top w:val="nil"/>
              <w:left w:val="nil"/>
              <w:bottom w:val="dotted" w:color="7F7F7F" w:themeColor="text1" w:themeTint="80" w:sz="4" w:space="0"/>
              <w:right w:val="nil"/>
            </w:tcBorders>
            <w:vAlign w:val="center"/>
            <w:hideMark/>
          </w:tcPr>
          <w:p w:rsidRPr="00295D8A" w:rsidR="00033726" w:rsidP="00D14CDD" w:rsidRDefault="00033726" w14:paraId="4BEA4D71" w14:textId="77777777">
            <w:pPr>
              <w:rPr>
                <w:rFonts w:ascii="Arial" w:hAnsi="Arial" w:cs="Arial"/>
                <w:sz w:val="16"/>
                <w:szCs w:val="16"/>
                <w:lang w:eastAsia="es-ES"/>
              </w:rPr>
            </w:pPr>
            <w:r w:rsidRPr="00295D8A">
              <w:rPr>
                <w:rFonts w:ascii="Arial" w:hAnsi="Arial" w:cs="Arial"/>
                <w:sz w:val="16"/>
                <w:szCs w:val="16"/>
                <w:lang w:eastAsia="es-ES"/>
              </w:rPr>
              <w:t>Ximena Ríos López</w:t>
            </w:r>
          </w:p>
          <w:p w:rsidRPr="00295D8A" w:rsidR="00033726" w:rsidP="00D14CDD" w:rsidRDefault="00033726" w14:paraId="76A9CD0D" w14:textId="77777777">
            <w:pPr>
              <w:rPr>
                <w:rFonts w:ascii="Arial" w:hAnsi="Arial" w:cs="Arial"/>
                <w:sz w:val="16"/>
                <w:szCs w:val="16"/>
                <w:lang w:eastAsia="es-ES"/>
              </w:rPr>
            </w:pPr>
            <w:r w:rsidRPr="00295D8A">
              <w:rPr>
                <w:rFonts w:ascii="Arial" w:hAnsi="Arial" w:cs="Arial"/>
                <w:sz w:val="16"/>
                <w:szCs w:val="16"/>
                <w:lang w:eastAsia="es-ES"/>
              </w:rPr>
              <w:t>Gestor T1-11</w:t>
            </w:r>
          </w:p>
        </w:tc>
      </w:tr>
      <w:tr w:rsidRPr="00295D8A" w:rsidR="00295D8A" w:rsidTr="00D14CDD" w14:paraId="24F7903D" w14:textId="77777777">
        <w:trPr>
          <w:trHeight w:val="330"/>
        </w:trPr>
        <w:tc>
          <w:tcPr>
            <w:tcW w:w="488" w:type="dxa"/>
            <w:vAlign w:val="center"/>
            <w:hideMark/>
          </w:tcPr>
          <w:p w:rsidRPr="00295D8A" w:rsidR="00033726" w:rsidP="00D14CDD" w:rsidRDefault="00033726" w14:paraId="215ABEAD" w14:textId="77777777">
            <w:pPr>
              <w:rPr>
                <w:rFonts w:ascii="Arial" w:hAnsi="Arial" w:cs="Arial"/>
                <w:sz w:val="16"/>
                <w:szCs w:val="16"/>
                <w:lang w:eastAsia="es-ES"/>
              </w:rPr>
            </w:pPr>
            <w:r w:rsidRPr="00295D8A">
              <w:rPr>
                <w:rFonts w:ascii="Arial" w:hAnsi="Arial" w:cs="Arial"/>
                <w:sz w:val="16"/>
                <w:szCs w:val="16"/>
                <w:lang w:eastAsia="es-ES"/>
              </w:rPr>
              <w:t>Revisó:</w:t>
            </w:r>
          </w:p>
        </w:tc>
        <w:tc>
          <w:tcPr>
            <w:tcW w:w="4413" w:type="dxa"/>
            <w:tcBorders>
              <w:top w:val="dotted" w:color="7F7F7F" w:themeColor="text1" w:themeTint="80" w:sz="4" w:space="0"/>
              <w:left w:val="nil"/>
              <w:bottom w:val="dotted" w:color="7F7F7F" w:themeColor="text1" w:themeTint="80" w:sz="4" w:space="0"/>
              <w:right w:val="nil"/>
            </w:tcBorders>
            <w:vAlign w:val="center"/>
            <w:hideMark/>
          </w:tcPr>
          <w:p w:rsidRPr="00295D8A" w:rsidR="00033726" w:rsidP="00D14CDD" w:rsidRDefault="00033726" w14:paraId="3151B336" w14:textId="77777777">
            <w:pPr>
              <w:rPr>
                <w:rFonts w:ascii="Arial" w:hAnsi="Arial" w:cs="Arial"/>
                <w:sz w:val="16"/>
                <w:szCs w:val="16"/>
                <w:lang w:eastAsia="es-ES"/>
              </w:rPr>
            </w:pPr>
            <w:r w:rsidRPr="00295D8A">
              <w:rPr>
                <w:rFonts w:ascii="Arial" w:hAnsi="Arial" w:cs="Arial"/>
                <w:sz w:val="16"/>
                <w:szCs w:val="16"/>
                <w:lang w:eastAsia="es-ES"/>
              </w:rPr>
              <w:t>Cristian Andrés Díaz Díez</w:t>
            </w:r>
          </w:p>
          <w:p w:rsidRPr="00295D8A" w:rsidR="00033726" w:rsidP="00D14CDD" w:rsidRDefault="00033726" w14:paraId="2654F995" w14:textId="77777777">
            <w:pPr>
              <w:rPr>
                <w:rFonts w:ascii="Arial" w:hAnsi="Arial" w:cs="Arial"/>
                <w:sz w:val="16"/>
                <w:szCs w:val="16"/>
                <w:lang w:eastAsia="es-ES"/>
              </w:rPr>
            </w:pPr>
            <w:r w:rsidRPr="00295D8A">
              <w:rPr>
                <w:rFonts w:ascii="Arial" w:hAnsi="Arial" w:cs="Arial"/>
                <w:sz w:val="16"/>
                <w:szCs w:val="16"/>
                <w:lang w:eastAsia="es-ES"/>
              </w:rPr>
              <w:t>Contratista de la Subdirección de Gestión Contractual</w:t>
            </w:r>
          </w:p>
        </w:tc>
      </w:tr>
      <w:tr w:rsidRPr="00295D8A" w:rsidR="00295D8A" w:rsidTr="00D14CDD" w14:paraId="12FFD112" w14:textId="77777777">
        <w:trPr>
          <w:trHeight w:val="300"/>
        </w:trPr>
        <w:tc>
          <w:tcPr>
            <w:tcW w:w="488" w:type="dxa"/>
            <w:vAlign w:val="center"/>
            <w:hideMark/>
          </w:tcPr>
          <w:p w:rsidRPr="00295D8A" w:rsidR="00033726" w:rsidP="00D14CDD" w:rsidRDefault="00033726" w14:paraId="48653619" w14:textId="77777777">
            <w:pPr>
              <w:rPr>
                <w:rFonts w:ascii="Arial" w:hAnsi="Arial" w:cs="Arial"/>
                <w:sz w:val="16"/>
                <w:szCs w:val="16"/>
                <w:lang w:eastAsia="es-ES"/>
              </w:rPr>
            </w:pPr>
            <w:r w:rsidRPr="00295D8A">
              <w:rPr>
                <w:rFonts w:ascii="Arial" w:hAnsi="Arial" w:cs="Arial"/>
                <w:sz w:val="16"/>
                <w:szCs w:val="16"/>
                <w:lang w:eastAsia="es-ES"/>
              </w:rPr>
              <w:t>Aprobó:</w:t>
            </w:r>
          </w:p>
        </w:tc>
        <w:tc>
          <w:tcPr>
            <w:tcW w:w="4413" w:type="dxa"/>
            <w:tcBorders>
              <w:top w:val="dotted" w:color="7F7F7F" w:themeColor="text1" w:themeTint="80" w:sz="4" w:space="0"/>
              <w:left w:val="nil"/>
              <w:bottom w:val="dotted" w:color="7F7F7F" w:themeColor="text1" w:themeTint="80" w:sz="4" w:space="0"/>
              <w:right w:val="nil"/>
            </w:tcBorders>
            <w:vAlign w:val="center"/>
            <w:hideMark/>
          </w:tcPr>
          <w:p w:rsidRPr="00295D8A" w:rsidR="00033726" w:rsidP="00D14CDD" w:rsidRDefault="00033726" w14:paraId="6DD930ED" w14:textId="77777777">
            <w:pPr>
              <w:rPr>
                <w:rFonts w:ascii="Arial" w:hAnsi="Arial" w:cs="Arial"/>
                <w:sz w:val="16"/>
                <w:szCs w:val="16"/>
                <w:lang w:eastAsia="es-ES"/>
              </w:rPr>
            </w:pPr>
            <w:r w:rsidRPr="00295D8A">
              <w:rPr>
                <w:rFonts w:ascii="Arial" w:hAnsi="Arial" w:cs="Arial"/>
                <w:sz w:val="16"/>
                <w:szCs w:val="16"/>
                <w:lang w:eastAsia="es-ES"/>
              </w:rPr>
              <w:t>Jorge Augusto Tirado Navarro</w:t>
            </w:r>
          </w:p>
          <w:p w:rsidRPr="00295D8A" w:rsidR="00033726" w:rsidP="00D14CDD" w:rsidRDefault="00033726" w14:paraId="4036D7C1" w14:textId="77777777">
            <w:pPr>
              <w:rPr>
                <w:rFonts w:ascii="Arial" w:hAnsi="Arial" w:cs="Arial"/>
                <w:sz w:val="16"/>
                <w:szCs w:val="16"/>
                <w:lang w:eastAsia="es-ES"/>
              </w:rPr>
            </w:pPr>
            <w:r w:rsidRPr="00295D8A">
              <w:rPr>
                <w:rFonts w:ascii="Arial" w:hAnsi="Arial" w:cs="Arial"/>
                <w:sz w:val="16"/>
                <w:szCs w:val="16"/>
                <w:lang w:eastAsia="es-ES"/>
              </w:rPr>
              <w:t>Subdirector de Gestión Contractual</w:t>
            </w:r>
          </w:p>
        </w:tc>
      </w:tr>
      <w:tr w:rsidRPr="00295D8A" w:rsidR="00033726" w:rsidTr="00D14CDD" w14:paraId="3AD4D574" w14:textId="77777777">
        <w:trPr>
          <w:trHeight w:val="300"/>
        </w:trPr>
        <w:tc>
          <w:tcPr>
            <w:tcW w:w="488" w:type="dxa"/>
            <w:vAlign w:val="center"/>
            <w:hideMark/>
          </w:tcPr>
          <w:p w:rsidRPr="00295D8A" w:rsidR="00033726" w:rsidP="00D14CDD" w:rsidRDefault="00033726" w14:paraId="7B045DBA" w14:textId="77777777">
            <w:pPr>
              <w:rPr>
                <w:rFonts w:ascii="Arial" w:hAnsi="Arial" w:cs="Arial"/>
                <w:sz w:val="16"/>
                <w:szCs w:val="16"/>
                <w:lang w:eastAsia="es-ES"/>
              </w:rPr>
            </w:pPr>
            <w:r w:rsidRPr="00295D8A">
              <w:rPr>
                <w:rFonts w:ascii="Arial" w:hAnsi="Arial" w:cs="Arial"/>
                <w:sz w:val="16"/>
                <w:szCs w:val="16"/>
                <w:lang w:eastAsia="es-ES"/>
              </w:rPr>
              <w:t>Anexo:</w:t>
            </w:r>
          </w:p>
        </w:tc>
        <w:tc>
          <w:tcPr>
            <w:tcW w:w="4413" w:type="dxa"/>
            <w:tcBorders>
              <w:top w:val="dotted" w:color="7F7F7F" w:themeColor="text1" w:themeTint="80" w:sz="4" w:space="0"/>
              <w:left w:val="nil"/>
              <w:bottom w:val="dotted" w:color="7F7F7F" w:themeColor="text1" w:themeTint="80" w:sz="4" w:space="0"/>
              <w:right w:val="nil"/>
            </w:tcBorders>
            <w:vAlign w:val="center"/>
            <w:hideMark/>
          </w:tcPr>
          <w:p w:rsidRPr="00295D8A" w:rsidR="00033726" w:rsidP="00D14CDD" w:rsidRDefault="00033726" w14:paraId="718C9FA1" w14:textId="77777777">
            <w:pPr>
              <w:rPr>
                <w:rFonts w:ascii="Arial" w:hAnsi="Arial" w:cs="Arial"/>
                <w:sz w:val="16"/>
                <w:szCs w:val="16"/>
                <w:lang w:eastAsia="es-ES"/>
              </w:rPr>
            </w:pPr>
            <w:r w:rsidRPr="00295D8A">
              <w:rPr>
                <w:rFonts w:ascii="Arial" w:hAnsi="Arial" w:cs="Arial"/>
                <w:sz w:val="16"/>
                <w:szCs w:val="16"/>
                <w:lang w:eastAsia="es-ES"/>
              </w:rPr>
              <w:t>0</w:t>
            </w:r>
          </w:p>
        </w:tc>
        <w:bookmarkEnd w:id="4"/>
      </w:tr>
      <w:bookmarkEnd w:id="5"/>
    </w:tbl>
    <w:p w:rsidRPr="00295D8A" w:rsidR="00914791" w:rsidP="00914791" w:rsidRDefault="00914791" w14:paraId="74D61BE9" w14:textId="77777777">
      <w:pPr>
        <w:jc w:val="both"/>
        <w:rPr>
          <w:rFonts w:ascii="Arial" w:hAnsi="Arial" w:cs="Arial"/>
          <w:sz w:val="22"/>
        </w:rPr>
      </w:pPr>
    </w:p>
    <w:p w:rsidRPr="00295D8A" w:rsidR="007B0854" w:rsidP="00914791" w:rsidRDefault="007B0854" w14:paraId="7EBF297E" w14:textId="77777777">
      <w:pPr>
        <w:pStyle w:val="NormalWeb"/>
        <w:spacing w:before="0" w:beforeAutospacing="0" w:after="0" w:afterAutospacing="0" w:line="276" w:lineRule="auto"/>
        <w:jc w:val="both"/>
        <w:rPr>
          <w:rFonts w:ascii="Arial" w:hAnsi="Arial" w:cs="Arial"/>
          <w:noProof/>
          <w:lang w:val="es-ES_tradnl"/>
        </w:rPr>
      </w:pPr>
    </w:p>
    <w:sectPr w:rsidRPr="00295D8A" w:rsidR="007B0854" w:rsidSect="004A34D2">
      <w:headerReference w:type="default" r:id="rId12"/>
      <w:footerReference w:type="default" r:id="rId13"/>
      <w:pgSz w:w="12240" w:h="15840" w:orient="portrait"/>
      <w:pgMar w:top="1779" w:right="1750" w:bottom="1276"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2236FF" w:rsidRDefault="002236FF" w14:paraId="7FD4429F" w14:textId="77777777">
      <w:r>
        <w:separator/>
      </w:r>
    </w:p>
  </w:endnote>
  <w:endnote w:type="continuationSeparator" w:id="0">
    <w:p w:rsidR="002236FF" w:rsidRDefault="002236FF" w14:paraId="3F602D3D" w14:textId="77777777">
      <w:r>
        <w:continuationSeparator/>
      </w:r>
    </w:p>
  </w:endnote>
  <w:endnote w:type="continuationNotice" w:id="1">
    <w:p w:rsidR="002236FF" w:rsidRDefault="002236FF" w14:paraId="0C9A0B41"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F44916" w:rsidP="00856133" w:rsidRDefault="00F44916" w14:paraId="16D70032" w14:textId="77777777">
    <w:pPr>
      <w:pStyle w:val="Sinespaciado"/>
      <w:jc w:val="right"/>
      <w:rPr>
        <w:rFonts w:ascii="Arial" w:hAnsi="Arial" w:cs="Arial"/>
        <w:sz w:val="18"/>
        <w:szCs w:val="18"/>
      </w:rPr>
    </w:pPr>
  </w:p>
  <w:p w:rsidRPr="008217B7" w:rsidR="00F44916" w:rsidP="00856133" w:rsidRDefault="00F44916" w14:paraId="512F463F" w14:textId="54B3CCBC">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31</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31</w:t>
    </w:r>
    <w:r w:rsidRPr="00084B97">
      <w:rPr>
        <w:rFonts w:ascii="Arial" w:hAnsi="Arial" w:cs="Arial"/>
        <w:b/>
        <w:bCs/>
        <w:color w:val="7F7F7F" w:themeColor="text1" w:themeTint="80"/>
        <w:sz w:val="16"/>
        <w:szCs w:val="16"/>
      </w:rPr>
      <w:fldChar w:fldCharType="end"/>
    </w:r>
  </w:p>
  <w:p w:rsidR="00F44916" w:rsidP="00856133" w:rsidRDefault="00F44916" w14:paraId="1DA6AEB0" w14:textId="77777777">
    <w:pPr>
      <w:pStyle w:val="Piedepgina"/>
      <w:jc w:val="center"/>
      <w:rPr>
        <w:lang w:val="es-ES"/>
      </w:rPr>
    </w:pPr>
    <w:r w:rsidR="7215BA1A">
      <w:drawing>
        <wp:inline wp14:editId="54B332D1" wp14:anchorId="6A1C2C0F">
          <wp:extent cx="3700130" cy="519139"/>
          <wp:effectExtent l="0" t="0" r="0" b="0"/>
          <wp:docPr id="361331055" name="Imagen 3" title=""/>
          <wp:cNvGraphicFramePr>
            <a:graphicFrameLocks noChangeAspect="1"/>
          </wp:cNvGraphicFramePr>
          <a:graphic>
            <a:graphicData uri="http://schemas.openxmlformats.org/drawingml/2006/picture">
              <pic:pic>
                <pic:nvPicPr>
                  <pic:cNvPr id="0" name="Imagen 3"/>
                  <pic:cNvPicPr/>
                </pic:nvPicPr>
                <pic:blipFill>
                  <a:blip r:embed="R53079fd8f9c64dae">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3700130" cy="519139"/>
                  </a:xfrm>
                  <a:prstGeom prst="rect">
                    <a:avLst/>
                  </a:prstGeom>
                </pic:spPr>
              </pic:pic>
            </a:graphicData>
          </a:graphic>
        </wp:inline>
      </w:drawing>
    </w:r>
  </w:p>
  <w:p w:rsidR="00F44916" w:rsidP="00856133" w:rsidRDefault="00F44916" w14:paraId="1E885A93" w14:textId="77777777">
    <w:pPr>
      <w:pStyle w:val="Piedepgina"/>
      <w:jc w:val="center"/>
      <w:rPr>
        <w:lang w:val="es-ES"/>
      </w:rPr>
    </w:pPr>
  </w:p>
  <w:p w:rsidRPr="007B0854" w:rsidR="00F44916" w:rsidP="00856133" w:rsidRDefault="00F44916" w14:paraId="70077B90" w14:textId="77777777">
    <w:pPr>
      <w:pStyle w:val="Piedepgina"/>
      <w:jc w:val="center"/>
      <w:rPr>
        <w:lang w:val="es-ES"/>
      </w:rPr>
    </w:pPr>
  </w:p>
  <w:p w:rsidRPr="00856133" w:rsidR="00F44916" w:rsidP="00856133" w:rsidRDefault="00F44916" w14:paraId="6C0EFC49" w14:textId="777777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2236FF" w:rsidRDefault="002236FF" w14:paraId="0C0ED9AB" w14:textId="77777777">
      <w:r>
        <w:separator/>
      </w:r>
    </w:p>
  </w:footnote>
  <w:footnote w:type="continuationSeparator" w:id="0">
    <w:p w:rsidR="002236FF" w:rsidRDefault="002236FF" w14:paraId="7F810D41" w14:textId="77777777">
      <w:r>
        <w:continuationSeparator/>
      </w:r>
    </w:p>
  </w:footnote>
  <w:footnote w:type="continuationNotice" w:id="1">
    <w:p w:rsidR="002236FF" w:rsidRDefault="002236FF" w14:paraId="6AB0877E" w14:textId="77777777"/>
  </w:footnote>
  <w:footnote w:id="2">
    <w:p w:rsidRPr="00283535" w:rsidR="00F44916" w:rsidP="003A6EA8" w:rsidRDefault="00F44916" w14:paraId="5A8658A4" w14:textId="77777777">
      <w:pPr>
        <w:pStyle w:val="Textonotapie"/>
        <w:ind w:firstLine="709"/>
        <w:jc w:val="both"/>
        <w:rPr>
          <w:rFonts w:ascii="Arial" w:hAnsi="Arial" w:cs="Arial"/>
          <w:sz w:val="19"/>
          <w:szCs w:val="19"/>
          <w:lang w:val="es-ES"/>
        </w:rPr>
      </w:pPr>
      <w:r w:rsidRPr="00283535">
        <w:rPr>
          <w:rStyle w:val="Refdenotaalpie"/>
          <w:rFonts w:ascii="Arial" w:hAnsi="Arial" w:cs="Arial"/>
          <w:sz w:val="19"/>
          <w:szCs w:val="19"/>
        </w:rPr>
        <w:footnoteRef/>
      </w:r>
      <w:r w:rsidRPr="00283535">
        <w:rPr>
          <w:rFonts w:ascii="Arial" w:hAnsi="Arial" w:cs="Arial"/>
          <w:sz w:val="19"/>
          <w:szCs w:val="19"/>
        </w:rPr>
        <w:t xml:space="preserve"> </w:t>
      </w:r>
      <w:r w:rsidRPr="00283535">
        <w:rPr>
          <w:rFonts w:ascii="Arial" w:hAnsi="Arial" w:cs="Arial"/>
          <w:sz w:val="19"/>
          <w:szCs w:val="19"/>
          <w:lang w:val="es-ES"/>
        </w:rPr>
        <w:t>El artículo 22 del Código Sustantivo del Trabajo establece: «1. Contrato de trabajo es aquel por el cual una persona natural se obliga a prestar un servicio personal a otra persona, natural o jurídica, bajo la continuada dependencia o subordinación de la segunda y mediante remuneración.</w:t>
      </w:r>
    </w:p>
    <w:p w:rsidRPr="00283535" w:rsidR="00F44916" w:rsidP="003A6EA8" w:rsidRDefault="00F44916" w14:paraId="6F0375D3" w14:textId="77777777">
      <w:pPr>
        <w:pStyle w:val="Textonotapie"/>
        <w:ind w:firstLine="709"/>
        <w:jc w:val="both"/>
        <w:rPr>
          <w:rFonts w:ascii="Arial" w:hAnsi="Arial" w:cs="Arial"/>
          <w:sz w:val="19"/>
          <w:szCs w:val="19"/>
          <w:lang w:val="es-ES"/>
        </w:rPr>
      </w:pPr>
      <w:r w:rsidRPr="00283535">
        <w:rPr>
          <w:rFonts w:ascii="Arial" w:hAnsi="Arial" w:cs="Arial"/>
          <w:sz w:val="19"/>
          <w:szCs w:val="19"/>
          <w:lang w:val="es-ES"/>
        </w:rPr>
        <w:t>»2. Quien presta el servicio se denomina trabajador, quien lo recibe y remunera, empleador, y la remuneración, cualquiera que sea su forma, salario».</w:t>
      </w:r>
    </w:p>
    <w:p w:rsidRPr="00283535" w:rsidR="00F44916" w:rsidP="003A6EA8" w:rsidRDefault="00F44916" w14:paraId="72CC0F38" w14:textId="77777777">
      <w:pPr>
        <w:pStyle w:val="Textonotapie"/>
        <w:ind w:firstLine="709"/>
        <w:jc w:val="both"/>
        <w:rPr>
          <w:rFonts w:ascii="Arial" w:hAnsi="Arial" w:cs="Arial"/>
          <w:sz w:val="19"/>
          <w:szCs w:val="19"/>
          <w:lang w:val="es-ES"/>
        </w:rPr>
      </w:pPr>
    </w:p>
  </w:footnote>
  <w:footnote w:id="3">
    <w:p w:rsidRPr="00283535" w:rsidR="00F44916" w:rsidP="003A6EA8" w:rsidRDefault="00F44916" w14:paraId="1970C305" w14:textId="77777777">
      <w:pPr>
        <w:pStyle w:val="Textonotapie"/>
        <w:ind w:firstLine="709"/>
        <w:jc w:val="both"/>
        <w:rPr>
          <w:rFonts w:ascii="Arial" w:hAnsi="Arial" w:cs="Arial"/>
          <w:sz w:val="19"/>
          <w:szCs w:val="19"/>
          <w:lang w:val="es-ES"/>
        </w:rPr>
      </w:pPr>
      <w:r w:rsidRPr="00283535">
        <w:rPr>
          <w:rStyle w:val="Refdenotaalpie"/>
          <w:rFonts w:ascii="Arial" w:hAnsi="Arial" w:cs="Arial"/>
          <w:sz w:val="19"/>
          <w:szCs w:val="19"/>
        </w:rPr>
        <w:footnoteRef/>
      </w:r>
      <w:r w:rsidRPr="00283535">
        <w:rPr>
          <w:rFonts w:ascii="Arial" w:hAnsi="Arial" w:cs="Arial"/>
          <w:sz w:val="19"/>
          <w:szCs w:val="19"/>
        </w:rPr>
        <w:t xml:space="preserve"> </w:t>
      </w:r>
      <w:r w:rsidRPr="00283535">
        <w:rPr>
          <w:rFonts w:ascii="Arial" w:hAnsi="Arial" w:cs="Arial"/>
          <w:sz w:val="19"/>
          <w:szCs w:val="19"/>
          <w:lang w:val="es-ES"/>
        </w:rPr>
        <w:t>En efecto, el artículo 244 de la Ley 1955 de 2015 dispone, en lo pertinente: «Los trabajadores independientes con ingresos netos iguales o superiores a 1 salario mínimo legal mensual vigente que celebren contratos de prestación de servicios personales, cotizarán mes vencido al Sistema de Seguridad Social Integral, sobre una base mínima del 40% del valor mensualizado del contrato, sin incluir el valor del Impuesto al Valor Agregado (IVA).</w:t>
      </w:r>
    </w:p>
    <w:p w:rsidRPr="00283535" w:rsidR="00F44916" w:rsidP="003A6EA8" w:rsidRDefault="00F44916" w14:paraId="15F64B0B" w14:textId="77777777">
      <w:pPr>
        <w:pStyle w:val="Textonotapie"/>
        <w:ind w:firstLine="709"/>
        <w:jc w:val="both"/>
        <w:rPr>
          <w:rFonts w:ascii="Arial" w:hAnsi="Arial" w:cs="Arial"/>
          <w:sz w:val="19"/>
          <w:szCs w:val="19"/>
          <w:lang w:val="es-ES"/>
        </w:rPr>
      </w:pPr>
      <w:r w:rsidRPr="00283535">
        <w:rPr>
          <w:rFonts w:ascii="Arial" w:hAnsi="Arial" w:cs="Arial"/>
          <w:sz w:val="19"/>
          <w:szCs w:val="19"/>
          <w:lang w:val="es-ES"/>
        </w:rPr>
        <w:t>»Los independientes por cuenta propia y los trabajadores independientes con contratos diferentes a prestación de servicios personales con ingresos netos iguales o superiores a un (1) salario mínimo legal mensual vigente efectuarán su cotización mes vencido, sobre una base mínima de cotización del 40% del valor mensualizado de los ingresos, sin incluir el valor del Impuesto al Valor Agregado (IVA). En estos casos será procedente la imputación de costos y deducciones siempre que se cumplan los criterios determinados en el artículo 107 del Estatuto Tributario y sin exceder los valores incluidos en la declaración de renta de la respectiva vigencia.</w:t>
      </w:r>
    </w:p>
    <w:p w:rsidRPr="00283535" w:rsidR="00F44916" w:rsidP="003A6EA8" w:rsidRDefault="00F44916" w14:paraId="24A9AFA0" w14:textId="77777777">
      <w:pPr>
        <w:pStyle w:val="Textonotapie"/>
        <w:ind w:firstLine="709"/>
        <w:jc w:val="both"/>
        <w:rPr>
          <w:rFonts w:ascii="Arial" w:hAnsi="Arial" w:cs="Arial"/>
          <w:sz w:val="19"/>
          <w:szCs w:val="19"/>
          <w:lang w:val="es-ES"/>
        </w:rPr>
      </w:pPr>
      <w:r w:rsidRPr="00283535">
        <w:rPr>
          <w:rFonts w:ascii="Arial" w:hAnsi="Arial" w:cs="Arial"/>
          <w:sz w:val="19"/>
          <w:szCs w:val="19"/>
          <w:lang w:val="es-ES"/>
        </w:rPr>
        <w:t>»El Gobierno nacional reglamentará el mecanismo para realizar la mensualización de que trata el presente artículo.</w:t>
      </w:r>
    </w:p>
    <w:p w:rsidR="005E124C" w:rsidP="003A6EA8" w:rsidRDefault="00F44916" w14:paraId="1C06F854" w14:textId="1A7A971E">
      <w:pPr>
        <w:pStyle w:val="Textonotapie"/>
        <w:ind w:firstLine="709"/>
        <w:jc w:val="both"/>
        <w:rPr>
          <w:rFonts w:ascii="Arial" w:hAnsi="Arial" w:cs="Arial"/>
          <w:sz w:val="19"/>
          <w:szCs w:val="19"/>
          <w:lang w:val="es-ES"/>
        </w:rPr>
      </w:pPr>
      <w:r w:rsidRPr="00283535">
        <w:rPr>
          <w:rFonts w:ascii="Arial" w:hAnsi="Arial" w:cs="Arial"/>
          <w:sz w:val="19"/>
          <w:szCs w:val="19"/>
          <w:lang w:val="es-ES"/>
        </w:rPr>
        <w:t>[…]».</w:t>
      </w:r>
    </w:p>
    <w:p w:rsidRPr="00283535" w:rsidR="00373E13" w:rsidP="003A6EA8" w:rsidRDefault="00373E13" w14:paraId="6C0416AA" w14:textId="77777777">
      <w:pPr>
        <w:pStyle w:val="Textonotapie"/>
        <w:ind w:firstLine="709"/>
        <w:jc w:val="both"/>
        <w:rPr>
          <w:rFonts w:ascii="Arial" w:hAnsi="Arial" w:cs="Arial"/>
          <w:sz w:val="19"/>
          <w:szCs w:val="19"/>
          <w:lang w:val="es-ES"/>
        </w:rPr>
      </w:pPr>
    </w:p>
  </w:footnote>
  <w:footnote w:id="4">
    <w:p w:rsidRPr="00283535" w:rsidR="00F44916" w:rsidP="003A6EA8" w:rsidRDefault="00F44916" w14:paraId="5F738C9E" w14:textId="1873D157">
      <w:pPr>
        <w:pStyle w:val="Textonotapie"/>
        <w:ind w:firstLine="709"/>
        <w:jc w:val="both"/>
        <w:rPr>
          <w:rFonts w:ascii="Arial" w:hAnsi="Arial" w:cs="Arial"/>
          <w:sz w:val="19"/>
          <w:szCs w:val="19"/>
          <w:lang w:val="es-ES"/>
        </w:rPr>
      </w:pPr>
      <w:r w:rsidRPr="00283535">
        <w:rPr>
          <w:rStyle w:val="Refdenotaalpie"/>
          <w:rFonts w:ascii="Arial" w:hAnsi="Arial" w:cs="Arial"/>
          <w:sz w:val="19"/>
          <w:szCs w:val="19"/>
        </w:rPr>
        <w:footnoteRef/>
      </w:r>
      <w:r w:rsidRPr="00283535">
        <w:rPr>
          <w:rFonts w:ascii="Arial" w:hAnsi="Arial" w:cs="Arial"/>
          <w:sz w:val="19"/>
          <w:szCs w:val="19"/>
        </w:rPr>
        <w:t xml:space="preserve"> </w:t>
      </w:r>
      <w:r w:rsidRPr="00283535">
        <w:rPr>
          <w:rFonts w:ascii="Arial" w:hAnsi="Arial" w:cs="Arial"/>
          <w:sz w:val="19"/>
          <w:szCs w:val="19"/>
          <w:lang w:val="es-ES"/>
        </w:rPr>
        <w:t>Corte Constitucional. Sentencia C-154 de 1997. MP: Hernando Herrera Vergara.</w:t>
      </w:r>
    </w:p>
    <w:p w:rsidRPr="00283535" w:rsidR="00F44916" w:rsidP="003A6EA8" w:rsidRDefault="00F44916" w14:paraId="6EE66D80" w14:textId="77777777">
      <w:pPr>
        <w:pStyle w:val="Textonotapie"/>
        <w:ind w:firstLine="709"/>
        <w:jc w:val="both"/>
        <w:rPr>
          <w:rFonts w:ascii="Arial" w:hAnsi="Arial" w:cs="Arial"/>
          <w:sz w:val="19"/>
          <w:szCs w:val="19"/>
          <w:lang w:val="es-ES"/>
        </w:rPr>
      </w:pPr>
    </w:p>
  </w:footnote>
  <w:footnote w:id="5">
    <w:p w:rsidRPr="00283535" w:rsidR="00F44916" w:rsidP="003A6EA8" w:rsidRDefault="00F44916" w14:paraId="1903BB1E" w14:textId="77777777">
      <w:pPr>
        <w:pStyle w:val="Textonotapie"/>
        <w:ind w:firstLine="709"/>
        <w:jc w:val="both"/>
        <w:rPr>
          <w:rFonts w:ascii="Arial" w:hAnsi="Arial" w:cs="Arial"/>
          <w:sz w:val="19"/>
          <w:szCs w:val="19"/>
          <w:lang w:val="es-ES"/>
        </w:rPr>
      </w:pPr>
      <w:r w:rsidRPr="00283535">
        <w:rPr>
          <w:rStyle w:val="Refdenotaalpie"/>
          <w:rFonts w:ascii="Arial" w:hAnsi="Arial" w:cs="Arial"/>
          <w:sz w:val="19"/>
          <w:szCs w:val="19"/>
        </w:rPr>
        <w:footnoteRef/>
      </w:r>
      <w:r w:rsidRPr="00283535">
        <w:rPr>
          <w:rFonts w:ascii="Arial" w:hAnsi="Arial" w:cs="Arial"/>
          <w:sz w:val="19"/>
          <w:szCs w:val="19"/>
        </w:rPr>
        <w:t xml:space="preserve"> </w:t>
      </w:r>
      <w:r w:rsidRPr="00283535">
        <w:rPr>
          <w:rFonts w:ascii="Arial" w:hAnsi="Arial" w:cs="Arial"/>
          <w:sz w:val="19"/>
          <w:szCs w:val="19"/>
          <w:lang w:val="es-ES"/>
        </w:rPr>
        <w:t>Ibíd.</w:t>
      </w:r>
    </w:p>
    <w:p w:rsidRPr="00283535" w:rsidR="00F44916" w:rsidP="003A6EA8" w:rsidRDefault="00F44916" w14:paraId="3F2E2BDD" w14:textId="77777777">
      <w:pPr>
        <w:pStyle w:val="Textonotapie"/>
        <w:ind w:firstLine="709"/>
        <w:jc w:val="both"/>
        <w:rPr>
          <w:rFonts w:ascii="Arial" w:hAnsi="Arial" w:cs="Arial"/>
          <w:sz w:val="19"/>
          <w:szCs w:val="19"/>
          <w:lang w:val="es-ES"/>
        </w:rPr>
      </w:pPr>
    </w:p>
  </w:footnote>
  <w:footnote w:id="6">
    <w:p w:rsidRPr="00283535" w:rsidR="00F44916" w:rsidP="003A6EA8" w:rsidRDefault="00F44916" w14:paraId="69559F70" w14:textId="77777777">
      <w:pPr>
        <w:pStyle w:val="Textonotapie"/>
        <w:ind w:firstLine="709"/>
        <w:jc w:val="both"/>
        <w:rPr>
          <w:rFonts w:ascii="Arial" w:hAnsi="Arial" w:cs="Arial"/>
          <w:sz w:val="19"/>
          <w:szCs w:val="19"/>
          <w:lang w:val="es-ES"/>
        </w:rPr>
      </w:pPr>
      <w:r w:rsidRPr="00283535">
        <w:rPr>
          <w:rStyle w:val="Refdenotaalpie"/>
          <w:rFonts w:ascii="Arial" w:hAnsi="Arial" w:cs="Arial"/>
          <w:sz w:val="19"/>
          <w:szCs w:val="19"/>
        </w:rPr>
        <w:footnoteRef/>
      </w:r>
      <w:r w:rsidRPr="00283535">
        <w:rPr>
          <w:rFonts w:ascii="Arial" w:hAnsi="Arial" w:cs="Arial"/>
          <w:sz w:val="19"/>
          <w:szCs w:val="19"/>
        </w:rPr>
        <w:t xml:space="preserve"> </w:t>
      </w:r>
      <w:r w:rsidRPr="00283535">
        <w:rPr>
          <w:rFonts w:ascii="Arial" w:hAnsi="Arial" w:cs="Arial"/>
          <w:sz w:val="19"/>
          <w:szCs w:val="19"/>
          <w:lang w:val="es-ES"/>
        </w:rPr>
        <w:t>El Decreto 1082 de 2015 lo establece así: «Artículo 2.2.1.2.1.4.9. Contratos de prestación de servicios profesionales y de apoyo a la gestión, o para la ejecución de trabajos artísticos que solo pueden encomendarse a determinadas personas naturales. Las Entidades Estatales pueden contratar bajo la modalidad de contratación directa la prestación de servicios profesionales y de apoyo a la gestión con la persona natural o jurídica que esté en capacidad de ejecutar el objeto del contrato, siempre y cuando la Entidad Estatal verifique la idoneidad o experiencia requerida y relacionada con el área de que se trate. En este caso, no es necesario que la Entidad Estatal haya obtenido previamente varias ofertas, de lo cual el ordenador del gasto debe dejar constancia escrita.</w:t>
      </w:r>
    </w:p>
    <w:p w:rsidRPr="00283535" w:rsidR="00F44916" w:rsidP="003A6EA8" w:rsidRDefault="00F44916" w14:paraId="6C02BEDC" w14:textId="77777777">
      <w:pPr>
        <w:pStyle w:val="Textonotapie"/>
        <w:ind w:firstLine="709"/>
        <w:jc w:val="both"/>
        <w:rPr>
          <w:rFonts w:ascii="Arial" w:hAnsi="Arial" w:cs="Arial"/>
          <w:sz w:val="19"/>
          <w:szCs w:val="19"/>
          <w:lang w:val="es-ES"/>
        </w:rPr>
      </w:pPr>
      <w:r w:rsidRPr="00283535">
        <w:rPr>
          <w:rFonts w:ascii="Arial" w:hAnsi="Arial" w:cs="Arial"/>
          <w:sz w:val="19"/>
          <w:szCs w:val="19"/>
          <w:lang w:val="es-ES"/>
        </w:rPr>
        <w:t>»Los servicios profesionales y de apoyo a la gestión corresponden a aquellos de naturaleza intelectual diferentes a los de consultoría que se derivan del cumplimiento de las funciones de la Entidad Estatal, así como los relacionados con actividades operativas, logísticas, o asistenciales.</w:t>
      </w:r>
    </w:p>
    <w:p w:rsidR="005E124C" w:rsidP="003A6EA8" w:rsidRDefault="00F44916" w14:paraId="13F2DB99" w14:textId="73E65D82">
      <w:pPr>
        <w:pStyle w:val="Textonotapie"/>
        <w:ind w:firstLine="709"/>
        <w:jc w:val="both"/>
        <w:rPr>
          <w:rFonts w:ascii="Arial" w:hAnsi="Arial" w:cs="Arial"/>
          <w:sz w:val="19"/>
          <w:szCs w:val="19"/>
          <w:lang w:val="es-ES"/>
        </w:rPr>
      </w:pPr>
      <w:r w:rsidRPr="00283535">
        <w:rPr>
          <w:rFonts w:ascii="Arial" w:hAnsi="Arial" w:cs="Arial"/>
          <w:sz w:val="19"/>
          <w:szCs w:val="19"/>
          <w:lang w:val="es-ES"/>
        </w:rPr>
        <w:t>»La Entidad Estatal, para la contratación de trabajos artísticos que solamente puedan en­comendarse a determinadas personas naturales, debe justificar esta situación en los estudios y documentos previos».</w:t>
      </w:r>
    </w:p>
    <w:p w:rsidRPr="00283535" w:rsidR="00373E13" w:rsidP="003A6EA8" w:rsidRDefault="00373E13" w14:paraId="679E37D7" w14:textId="77777777">
      <w:pPr>
        <w:pStyle w:val="Textonotapie"/>
        <w:ind w:firstLine="709"/>
        <w:jc w:val="both"/>
        <w:rPr>
          <w:rFonts w:ascii="Arial" w:hAnsi="Arial" w:cs="Arial"/>
          <w:sz w:val="19"/>
          <w:szCs w:val="19"/>
          <w:lang w:val="es-ES"/>
        </w:rPr>
      </w:pPr>
    </w:p>
  </w:footnote>
  <w:footnote w:id="7">
    <w:p w:rsidRPr="00283535" w:rsidR="00F44916" w:rsidP="003A6EA8" w:rsidRDefault="00F44916" w14:paraId="78AE401D" w14:textId="77777777">
      <w:pPr>
        <w:pStyle w:val="Textonotapie"/>
        <w:ind w:firstLine="709"/>
        <w:jc w:val="both"/>
        <w:rPr>
          <w:rFonts w:ascii="Arial" w:hAnsi="Arial" w:cs="Arial"/>
          <w:sz w:val="19"/>
          <w:szCs w:val="19"/>
          <w:lang w:val="es-ES"/>
        </w:rPr>
      </w:pPr>
      <w:r w:rsidRPr="00283535">
        <w:rPr>
          <w:rStyle w:val="Refdenotaalpie"/>
          <w:rFonts w:ascii="Arial" w:hAnsi="Arial" w:cs="Arial"/>
          <w:sz w:val="19"/>
          <w:szCs w:val="19"/>
        </w:rPr>
        <w:footnoteRef/>
      </w:r>
      <w:r w:rsidRPr="00283535">
        <w:rPr>
          <w:rFonts w:ascii="Arial" w:hAnsi="Arial" w:cs="Arial"/>
          <w:sz w:val="19"/>
          <w:szCs w:val="19"/>
        </w:rPr>
        <w:t xml:space="preserve"> </w:t>
      </w:r>
      <w:r w:rsidRPr="00283535">
        <w:rPr>
          <w:rFonts w:ascii="Arial" w:hAnsi="Arial" w:cs="Arial"/>
          <w:sz w:val="19"/>
          <w:szCs w:val="19"/>
          <w:lang w:val="es-ES"/>
        </w:rPr>
        <w:t>Consejo de Estado. Sección Tercera. Subsección C. Sentencia del 2 de diciembre de 2013. Exp. 41719. Consejero Ponente: Jaime Orlando Santofimio Gamboa.</w:t>
      </w:r>
    </w:p>
    <w:p w:rsidRPr="00283535" w:rsidR="00F44916" w:rsidP="003A6EA8" w:rsidRDefault="00F44916" w14:paraId="4FDE8568" w14:textId="77777777">
      <w:pPr>
        <w:pStyle w:val="Textonotapie"/>
        <w:ind w:firstLine="709"/>
        <w:jc w:val="both"/>
        <w:rPr>
          <w:rFonts w:ascii="Arial" w:hAnsi="Arial" w:cs="Arial"/>
          <w:sz w:val="19"/>
          <w:szCs w:val="19"/>
          <w:lang w:val="es-ES"/>
        </w:rPr>
      </w:pPr>
    </w:p>
  </w:footnote>
  <w:footnote w:id="8">
    <w:p w:rsidRPr="00283535" w:rsidR="00F44916" w:rsidP="003A6EA8" w:rsidRDefault="00F44916" w14:paraId="26B0BDC6" w14:textId="77777777">
      <w:pPr>
        <w:pStyle w:val="Textonotapie"/>
        <w:ind w:firstLine="709"/>
        <w:jc w:val="both"/>
        <w:rPr>
          <w:rFonts w:ascii="Arial" w:hAnsi="Arial" w:cs="Arial"/>
          <w:sz w:val="19"/>
          <w:szCs w:val="19"/>
          <w:lang w:val="es-ES"/>
        </w:rPr>
      </w:pPr>
      <w:r w:rsidRPr="00283535">
        <w:rPr>
          <w:rStyle w:val="Refdenotaalpie"/>
          <w:rFonts w:ascii="Arial" w:hAnsi="Arial" w:cs="Arial"/>
          <w:sz w:val="19"/>
          <w:szCs w:val="19"/>
        </w:rPr>
        <w:footnoteRef/>
      </w:r>
      <w:r w:rsidRPr="00283535">
        <w:rPr>
          <w:rFonts w:ascii="Arial" w:hAnsi="Arial" w:cs="Arial"/>
          <w:sz w:val="19"/>
          <w:szCs w:val="19"/>
        </w:rPr>
        <w:t xml:space="preserve"> </w:t>
      </w:r>
      <w:r w:rsidRPr="00283535">
        <w:rPr>
          <w:rFonts w:ascii="Arial" w:hAnsi="Arial" w:cs="Arial"/>
          <w:sz w:val="19"/>
          <w:szCs w:val="19"/>
          <w:lang w:val="es-ES"/>
        </w:rPr>
        <w:t>Ibíd.</w:t>
      </w:r>
    </w:p>
    <w:p w:rsidRPr="00283535" w:rsidR="00F44916" w:rsidP="003A6EA8" w:rsidRDefault="00F44916" w14:paraId="656D2A59" w14:textId="77777777">
      <w:pPr>
        <w:pStyle w:val="Textonotapie"/>
        <w:jc w:val="both"/>
        <w:rPr>
          <w:rFonts w:ascii="Arial" w:hAnsi="Arial" w:cs="Arial"/>
          <w:sz w:val="19"/>
          <w:szCs w:val="19"/>
          <w:lang w:val="es-ES"/>
        </w:rPr>
      </w:pPr>
    </w:p>
  </w:footnote>
  <w:footnote w:id="9">
    <w:p w:rsidRPr="00283535" w:rsidR="00F44916" w:rsidP="003A6EA8" w:rsidRDefault="00F44916" w14:paraId="27FE74DF" w14:textId="77777777">
      <w:pPr>
        <w:pStyle w:val="Textonotapie"/>
        <w:ind w:firstLine="709"/>
        <w:jc w:val="both"/>
        <w:rPr>
          <w:rFonts w:ascii="Arial" w:hAnsi="Arial" w:cs="Arial"/>
          <w:sz w:val="19"/>
          <w:szCs w:val="19"/>
          <w:lang w:val="es-ES"/>
        </w:rPr>
      </w:pPr>
      <w:r w:rsidRPr="00283535">
        <w:rPr>
          <w:rStyle w:val="Refdenotaalpie"/>
          <w:rFonts w:ascii="Arial" w:hAnsi="Arial" w:cs="Arial"/>
          <w:sz w:val="19"/>
          <w:szCs w:val="19"/>
        </w:rPr>
        <w:footnoteRef/>
      </w:r>
      <w:r w:rsidRPr="00283535">
        <w:rPr>
          <w:rFonts w:ascii="Arial" w:hAnsi="Arial" w:cs="Arial"/>
          <w:sz w:val="19"/>
          <w:szCs w:val="19"/>
        </w:rPr>
        <w:t xml:space="preserve"> </w:t>
      </w:r>
      <w:r w:rsidRPr="00283535">
        <w:rPr>
          <w:rFonts w:ascii="Arial" w:hAnsi="Arial" w:cs="Arial"/>
          <w:sz w:val="19"/>
          <w:szCs w:val="19"/>
          <w:lang w:val="es-ES"/>
        </w:rPr>
        <w:t>Ibíd.</w:t>
      </w:r>
    </w:p>
    <w:p w:rsidRPr="00283535" w:rsidR="00F44916" w:rsidP="003A6EA8" w:rsidRDefault="00F44916" w14:paraId="67D64F00" w14:textId="77777777">
      <w:pPr>
        <w:pStyle w:val="Textonotapie"/>
        <w:ind w:firstLine="709"/>
        <w:jc w:val="both"/>
        <w:rPr>
          <w:rFonts w:ascii="Arial" w:hAnsi="Arial" w:cs="Arial"/>
          <w:sz w:val="19"/>
          <w:szCs w:val="19"/>
          <w:lang w:val="es-ES"/>
        </w:rPr>
      </w:pPr>
    </w:p>
  </w:footnote>
  <w:footnote w:id="10">
    <w:p w:rsidRPr="00283535" w:rsidR="00F44916" w:rsidP="003A6EA8" w:rsidRDefault="00F44916" w14:paraId="23A1917D" w14:textId="77777777">
      <w:pPr>
        <w:pStyle w:val="Textonotapie"/>
        <w:ind w:firstLine="709"/>
        <w:jc w:val="both"/>
        <w:rPr>
          <w:rFonts w:ascii="Arial" w:hAnsi="Arial" w:cs="Arial"/>
          <w:sz w:val="19"/>
          <w:szCs w:val="19"/>
          <w:lang w:val="es-ES"/>
        </w:rPr>
      </w:pPr>
      <w:r w:rsidRPr="00283535">
        <w:rPr>
          <w:rStyle w:val="Refdenotaalpie"/>
          <w:rFonts w:ascii="Arial" w:hAnsi="Arial" w:cs="Arial"/>
          <w:sz w:val="19"/>
          <w:szCs w:val="19"/>
        </w:rPr>
        <w:footnoteRef/>
      </w:r>
      <w:r w:rsidRPr="00283535">
        <w:rPr>
          <w:rFonts w:ascii="Arial" w:hAnsi="Arial" w:cs="Arial"/>
          <w:sz w:val="19"/>
          <w:szCs w:val="19"/>
        </w:rPr>
        <w:t xml:space="preserve"> </w:t>
      </w:r>
      <w:r w:rsidRPr="00283535">
        <w:rPr>
          <w:rFonts w:ascii="Arial" w:hAnsi="Arial" w:cs="Arial"/>
          <w:sz w:val="19"/>
          <w:szCs w:val="19"/>
          <w:lang w:val="es-ES"/>
        </w:rPr>
        <w:t>Ibíd. En efecto, el numeral 2º del artículo 32 de la Ley 80 de 1993 define el contrato de consultoría así: «Son contratos de consultoría los que celebren las entidades estatales referidos a los estudios necesarios para la ejecución de proyectos de inversión, estudios de diagnóstico, prefactibilidad o factibilidad para programas o proyectos específicos, así como a las asesorías técnicas de coordinación, control y supervisión.</w:t>
      </w:r>
    </w:p>
    <w:p w:rsidRPr="00283535" w:rsidR="00F44916" w:rsidP="003A6EA8" w:rsidRDefault="00F44916" w14:paraId="08571DC3" w14:textId="77777777">
      <w:pPr>
        <w:pStyle w:val="Textonotapie"/>
        <w:ind w:firstLine="709"/>
        <w:jc w:val="both"/>
        <w:rPr>
          <w:rFonts w:ascii="Arial" w:hAnsi="Arial" w:cs="Arial"/>
          <w:sz w:val="19"/>
          <w:szCs w:val="19"/>
          <w:lang w:val="es-ES"/>
        </w:rPr>
      </w:pPr>
      <w:r w:rsidRPr="00283535">
        <w:rPr>
          <w:rFonts w:ascii="Arial" w:hAnsi="Arial" w:cs="Arial"/>
          <w:sz w:val="19"/>
          <w:szCs w:val="19"/>
          <w:lang w:val="es-ES"/>
        </w:rPr>
        <w:t>»Son también contratos de consultoría los que tienen por objeto la interventoría, asesoría, gerencia de obra o de proyectos, dirección, programación y la ejecución de diseños, planos, anteproyectos y proyectos.</w:t>
      </w:r>
    </w:p>
    <w:p w:rsidRPr="00283535" w:rsidR="00F44916" w:rsidP="003A6EA8" w:rsidRDefault="00F44916" w14:paraId="340D605F" w14:textId="52717C37">
      <w:pPr>
        <w:pStyle w:val="Textonotapie"/>
        <w:ind w:firstLine="709"/>
        <w:jc w:val="both"/>
        <w:rPr>
          <w:rFonts w:ascii="Arial" w:hAnsi="Arial" w:cs="Arial"/>
          <w:sz w:val="19"/>
          <w:szCs w:val="19"/>
          <w:lang w:val="es-ES"/>
        </w:rPr>
      </w:pPr>
      <w:r w:rsidRPr="00283535">
        <w:rPr>
          <w:rFonts w:ascii="Arial" w:hAnsi="Arial" w:cs="Arial"/>
          <w:sz w:val="19"/>
          <w:szCs w:val="19"/>
          <w:lang w:val="es-ES"/>
        </w:rPr>
        <w:t>»Ninguna orden del interventor de una obra podrá darse verbalmente. Es obligatorio para el interventor entregar por escrito sus órdenes o sugerencias y ellas deben enmarcarse dentro de los términos del respectivo contrato».</w:t>
      </w:r>
    </w:p>
    <w:p w:rsidRPr="00283535" w:rsidR="005E124C" w:rsidP="003A6EA8" w:rsidRDefault="005E124C" w14:paraId="66B731AE" w14:textId="77777777">
      <w:pPr>
        <w:pStyle w:val="Textonotapie"/>
        <w:ind w:firstLine="709"/>
        <w:jc w:val="both"/>
        <w:rPr>
          <w:rFonts w:ascii="Arial" w:hAnsi="Arial" w:cs="Arial"/>
          <w:sz w:val="19"/>
          <w:szCs w:val="19"/>
          <w:lang w:val="es-ES"/>
        </w:rPr>
      </w:pPr>
    </w:p>
  </w:footnote>
  <w:footnote w:id="11">
    <w:p w:rsidRPr="00283535" w:rsidR="00F44916" w:rsidP="003A6EA8" w:rsidRDefault="00F44916" w14:paraId="0036F41B" w14:textId="3F681847">
      <w:pPr>
        <w:pStyle w:val="Textonotapie"/>
        <w:ind w:firstLine="709"/>
        <w:jc w:val="both"/>
        <w:rPr>
          <w:rFonts w:ascii="Arial" w:hAnsi="Arial" w:cs="Arial"/>
          <w:sz w:val="19"/>
          <w:szCs w:val="19"/>
          <w:lang w:val="es-ES"/>
        </w:rPr>
      </w:pPr>
      <w:r w:rsidRPr="00283535">
        <w:rPr>
          <w:rStyle w:val="Refdenotaalpie"/>
          <w:rFonts w:ascii="Arial" w:hAnsi="Arial" w:cs="Arial"/>
          <w:sz w:val="19"/>
          <w:szCs w:val="19"/>
        </w:rPr>
        <w:footnoteRef/>
      </w:r>
      <w:r w:rsidRPr="00283535">
        <w:rPr>
          <w:rFonts w:ascii="Arial" w:hAnsi="Arial" w:cs="Arial"/>
          <w:sz w:val="19"/>
          <w:szCs w:val="19"/>
        </w:rPr>
        <w:t xml:space="preserve"> </w:t>
      </w:r>
      <w:r w:rsidRPr="00283535">
        <w:rPr>
          <w:rFonts w:ascii="Arial" w:hAnsi="Arial" w:cs="Arial"/>
          <w:sz w:val="19"/>
          <w:szCs w:val="19"/>
          <w:lang w:val="es-ES"/>
        </w:rPr>
        <w:t>Así lo dispone el artículo 2.2.1.2.1.4.1. del Decreto 1082 de 2015: «La Entidad Estatal debe señalar en un acto administrativo la justificación para contratar bajo la modalidad de contratación directa, el cual debe contener:</w:t>
      </w:r>
    </w:p>
    <w:p w:rsidRPr="00283535" w:rsidR="00F44916" w:rsidP="003A6EA8" w:rsidRDefault="00F44916" w14:paraId="573F703F" w14:textId="77777777">
      <w:pPr>
        <w:pStyle w:val="Textonotapie"/>
        <w:ind w:firstLine="709"/>
        <w:jc w:val="both"/>
        <w:rPr>
          <w:rFonts w:ascii="Arial" w:hAnsi="Arial" w:cs="Arial"/>
          <w:sz w:val="19"/>
          <w:szCs w:val="19"/>
          <w:lang w:val="es-ES"/>
        </w:rPr>
      </w:pPr>
      <w:r w:rsidRPr="00283535">
        <w:rPr>
          <w:rFonts w:ascii="Arial" w:hAnsi="Arial" w:cs="Arial"/>
          <w:sz w:val="19"/>
          <w:szCs w:val="19"/>
          <w:lang w:val="es-ES"/>
        </w:rPr>
        <w:t>»1. La causal que invoca para contratar directamente.</w:t>
      </w:r>
    </w:p>
    <w:p w:rsidRPr="00283535" w:rsidR="00F44916" w:rsidP="003A6EA8" w:rsidRDefault="00F44916" w14:paraId="37C202D2" w14:textId="77777777">
      <w:pPr>
        <w:pStyle w:val="Textonotapie"/>
        <w:ind w:firstLine="709"/>
        <w:jc w:val="both"/>
        <w:rPr>
          <w:rFonts w:ascii="Arial" w:hAnsi="Arial" w:cs="Arial"/>
          <w:sz w:val="19"/>
          <w:szCs w:val="19"/>
          <w:lang w:val="es-ES"/>
        </w:rPr>
      </w:pPr>
      <w:r w:rsidRPr="00283535">
        <w:rPr>
          <w:rFonts w:ascii="Arial" w:hAnsi="Arial" w:cs="Arial"/>
          <w:sz w:val="19"/>
          <w:szCs w:val="19"/>
          <w:lang w:val="es-ES"/>
        </w:rPr>
        <w:t>»2. El objeto del contrato.</w:t>
      </w:r>
    </w:p>
    <w:p w:rsidRPr="00283535" w:rsidR="00F44916" w:rsidP="003A6EA8" w:rsidRDefault="00F44916" w14:paraId="28F303AA" w14:textId="77777777">
      <w:pPr>
        <w:pStyle w:val="Textonotapie"/>
        <w:ind w:firstLine="709"/>
        <w:jc w:val="both"/>
        <w:rPr>
          <w:rFonts w:ascii="Arial" w:hAnsi="Arial" w:cs="Arial"/>
          <w:sz w:val="19"/>
          <w:szCs w:val="19"/>
          <w:lang w:val="es-ES"/>
        </w:rPr>
      </w:pPr>
      <w:r w:rsidRPr="00283535">
        <w:rPr>
          <w:rFonts w:ascii="Arial" w:hAnsi="Arial" w:cs="Arial"/>
          <w:sz w:val="19"/>
          <w:szCs w:val="19"/>
          <w:lang w:val="es-ES"/>
        </w:rPr>
        <w:t>»3. El presupuesto para la contratación y las condiciones que exigirá al contratista.</w:t>
      </w:r>
    </w:p>
    <w:p w:rsidRPr="00283535" w:rsidR="00F44916" w:rsidP="003A6EA8" w:rsidRDefault="00F44916" w14:paraId="0DE04E47" w14:textId="77777777">
      <w:pPr>
        <w:pStyle w:val="Textonotapie"/>
        <w:ind w:firstLine="709"/>
        <w:jc w:val="both"/>
        <w:rPr>
          <w:rFonts w:ascii="Arial" w:hAnsi="Arial" w:cs="Arial"/>
          <w:sz w:val="19"/>
          <w:szCs w:val="19"/>
          <w:lang w:val="es-ES"/>
        </w:rPr>
      </w:pPr>
      <w:r w:rsidRPr="00283535">
        <w:rPr>
          <w:rFonts w:ascii="Arial" w:hAnsi="Arial" w:cs="Arial"/>
          <w:sz w:val="19"/>
          <w:szCs w:val="19"/>
          <w:lang w:val="es-ES"/>
        </w:rPr>
        <w:t>»4. El lugar en el cual los interesados pueden consultar los estudios y documentos previos.</w:t>
      </w:r>
    </w:p>
    <w:p w:rsidRPr="00283535" w:rsidR="00F44916" w:rsidP="003A6EA8" w:rsidRDefault="00F44916" w14:paraId="1AE9D956" w14:textId="177832A3">
      <w:pPr>
        <w:pStyle w:val="Textonotapie"/>
        <w:ind w:firstLine="709"/>
        <w:jc w:val="both"/>
        <w:rPr>
          <w:rFonts w:ascii="Arial" w:hAnsi="Arial" w:cs="Arial"/>
          <w:sz w:val="19"/>
          <w:szCs w:val="19"/>
          <w:lang w:val="es-ES"/>
        </w:rPr>
      </w:pPr>
      <w:r w:rsidRPr="00283535">
        <w:rPr>
          <w:rFonts w:ascii="Arial" w:hAnsi="Arial" w:cs="Arial"/>
          <w:sz w:val="19"/>
          <w:szCs w:val="19"/>
          <w:lang w:val="es-ES"/>
        </w:rPr>
        <w:t>»Este acto administrativo no es necesario cuando el contrato a celebrar es de prestación de servicios profesionales y de apoyo a la gestión, y para los contratos de que tratan los literales (a) y (b) del artículo 2.2.1.2.1.4.3 del presente decreto».</w:t>
      </w:r>
    </w:p>
  </w:footnote>
  <w:footnote w:id="12">
    <w:p w:rsidRPr="00283535" w:rsidR="00F44916" w:rsidP="003A6EA8" w:rsidRDefault="00F44916" w14:paraId="17F9762D" w14:textId="77777777">
      <w:pPr>
        <w:pStyle w:val="Textonotapie"/>
        <w:ind w:firstLine="709"/>
        <w:jc w:val="both"/>
        <w:rPr>
          <w:rFonts w:ascii="Arial" w:hAnsi="Arial" w:cs="Arial"/>
          <w:sz w:val="19"/>
          <w:szCs w:val="19"/>
        </w:rPr>
      </w:pPr>
    </w:p>
    <w:p w:rsidRPr="00283535" w:rsidR="00F44916" w:rsidP="003A6EA8" w:rsidRDefault="00F44916" w14:paraId="18436C05" w14:textId="64652997">
      <w:pPr>
        <w:pStyle w:val="Textonotapie"/>
        <w:ind w:firstLine="709"/>
        <w:jc w:val="both"/>
        <w:rPr>
          <w:rFonts w:ascii="Arial" w:hAnsi="Arial" w:cs="Arial"/>
          <w:sz w:val="19"/>
          <w:szCs w:val="19"/>
          <w:lang w:val="es-ES"/>
        </w:rPr>
      </w:pPr>
      <w:r w:rsidRPr="00283535">
        <w:rPr>
          <w:rStyle w:val="Refdenotaalpie"/>
          <w:rFonts w:ascii="Arial" w:hAnsi="Arial" w:cs="Arial"/>
          <w:sz w:val="19"/>
          <w:szCs w:val="19"/>
        </w:rPr>
        <w:footnoteRef/>
      </w:r>
      <w:r w:rsidRPr="00283535">
        <w:rPr>
          <w:rFonts w:ascii="Arial" w:hAnsi="Arial" w:cs="Arial"/>
          <w:sz w:val="19"/>
          <w:szCs w:val="19"/>
        </w:rPr>
        <w:t xml:space="preserve"> </w:t>
      </w:r>
      <w:r w:rsidRPr="00283535">
        <w:rPr>
          <w:rFonts w:ascii="Arial" w:hAnsi="Arial" w:cs="Arial"/>
          <w:sz w:val="19"/>
          <w:szCs w:val="19"/>
          <w:lang w:val="es-ES"/>
        </w:rPr>
        <w:t xml:space="preserve">La norma expresa: «Art. 14. </w:t>
      </w:r>
      <w:r w:rsidRPr="00283535">
        <w:rPr>
          <w:rFonts w:ascii="Arial" w:hAnsi="Arial" w:cs="Arial"/>
          <w:sz w:val="19"/>
          <w:szCs w:val="19"/>
        </w:rPr>
        <w:t>P</w:t>
      </w:r>
      <w:r w:rsidRPr="00283535">
        <w:rPr>
          <w:rFonts w:ascii="Arial" w:hAnsi="Arial" w:cs="Arial"/>
          <w:sz w:val="19"/>
          <w:szCs w:val="19"/>
          <w:lang w:val="es-ES"/>
        </w:rPr>
        <w:t>ara el cumplimiento de los fines de la contratación, las entidades estatales al celebrar un contrato:</w:t>
      </w:r>
    </w:p>
    <w:p w:rsidRPr="00283535" w:rsidR="00F44916" w:rsidP="003A6EA8" w:rsidRDefault="00F44916" w14:paraId="6D93C2FF" w14:textId="77777777">
      <w:pPr>
        <w:pStyle w:val="Textonotapie"/>
        <w:ind w:firstLine="709"/>
        <w:jc w:val="both"/>
        <w:rPr>
          <w:rFonts w:ascii="Arial" w:hAnsi="Arial" w:cs="Arial"/>
          <w:sz w:val="19"/>
          <w:szCs w:val="19"/>
          <w:lang w:val="es-ES"/>
        </w:rPr>
      </w:pPr>
      <w:r w:rsidRPr="00283535">
        <w:rPr>
          <w:rFonts w:ascii="Arial" w:hAnsi="Arial" w:cs="Arial"/>
          <w:sz w:val="19"/>
          <w:szCs w:val="19"/>
          <w:lang w:val="es-ES"/>
        </w:rPr>
        <w:t>[…]</w:t>
      </w:r>
    </w:p>
    <w:p w:rsidRPr="00283535" w:rsidR="00F44916" w:rsidP="003A6EA8" w:rsidRDefault="00F44916" w14:paraId="58AC9FE7" w14:textId="77777777">
      <w:pPr>
        <w:pStyle w:val="Textonotapie"/>
        <w:ind w:firstLine="709"/>
        <w:jc w:val="both"/>
        <w:rPr>
          <w:rFonts w:ascii="Arial" w:hAnsi="Arial" w:cs="Arial"/>
          <w:sz w:val="19"/>
          <w:szCs w:val="19"/>
          <w:lang w:val="es-ES"/>
        </w:rPr>
      </w:pPr>
      <w:r w:rsidRPr="00283535">
        <w:rPr>
          <w:rFonts w:ascii="Arial" w:hAnsi="Arial" w:cs="Arial"/>
          <w:sz w:val="19"/>
          <w:szCs w:val="19"/>
          <w:lang w:val="es-ES"/>
        </w:rPr>
        <w:t>»2o. Pactarán las cláusulas excepcionales al derecho común de terminación, interpretación y modificación unilaterales, de sometimiento a las leyes nacionales y de caducidad en los contratos que tengan por objeto el ejercicio de una actividad que constituya monopolio estatal, la prestación de servicios públicos o la explotación y concesión de bienes del Estado, así como en los contratos de obra. En los contratos de explotación y concesión de bienes del Estado se incluirá la cláusula de reversión.</w:t>
      </w:r>
    </w:p>
    <w:p w:rsidRPr="00283535" w:rsidR="00F44916" w:rsidP="003A6EA8" w:rsidRDefault="00F44916" w14:paraId="717F5714" w14:textId="77777777">
      <w:pPr>
        <w:pStyle w:val="Textonotapie"/>
        <w:ind w:firstLine="709"/>
        <w:jc w:val="both"/>
        <w:rPr>
          <w:rFonts w:ascii="Arial" w:hAnsi="Arial" w:cs="Arial"/>
          <w:sz w:val="19"/>
          <w:szCs w:val="19"/>
          <w:lang w:val="es-ES"/>
        </w:rPr>
      </w:pPr>
      <w:r w:rsidRPr="00283535">
        <w:rPr>
          <w:rFonts w:ascii="Arial" w:hAnsi="Arial" w:cs="Arial"/>
          <w:sz w:val="19"/>
          <w:szCs w:val="19"/>
          <w:lang w:val="es-ES"/>
        </w:rPr>
        <w:t>»Las entidades estatales podrán pactar estas cláusulas en los contratos de suministro y de prestación de servicios.</w:t>
      </w:r>
    </w:p>
    <w:p w:rsidRPr="00283535" w:rsidR="00F44916" w:rsidP="003A6EA8" w:rsidRDefault="00F44916" w14:paraId="3D3C8544" w14:textId="77777777">
      <w:pPr>
        <w:pStyle w:val="Textonotapie"/>
        <w:ind w:firstLine="709"/>
        <w:jc w:val="both"/>
        <w:rPr>
          <w:rFonts w:ascii="Arial" w:hAnsi="Arial" w:cs="Arial"/>
          <w:sz w:val="19"/>
          <w:szCs w:val="19"/>
          <w:lang w:val="es-ES"/>
        </w:rPr>
      </w:pPr>
      <w:r w:rsidRPr="00283535">
        <w:rPr>
          <w:rFonts w:ascii="Arial" w:hAnsi="Arial" w:cs="Arial"/>
          <w:sz w:val="19"/>
          <w:szCs w:val="19"/>
          <w:lang w:val="es-ES"/>
        </w:rPr>
        <w:t>[…]».</w:t>
      </w:r>
    </w:p>
    <w:p w:rsidRPr="00283535" w:rsidR="00F44916" w:rsidP="003A6EA8" w:rsidRDefault="00F44916" w14:paraId="55D143DD" w14:textId="77777777">
      <w:pPr>
        <w:pStyle w:val="Textonotapie"/>
        <w:ind w:firstLine="709"/>
        <w:jc w:val="both"/>
        <w:rPr>
          <w:rFonts w:ascii="Arial" w:hAnsi="Arial" w:cs="Arial"/>
          <w:sz w:val="19"/>
          <w:szCs w:val="19"/>
          <w:lang w:val="es-ES"/>
        </w:rPr>
      </w:pPr>
    </w:p>
  </w:footnote>
  <w:footnote w:id="13">
    <w:p w:rsidRPr="00283535" w:rsidR="00F44916" w:rsidP="003A6EA8" w:rsidRDefault="00F44916" w14:paraId="58255E09" w14:textId="77777777">
      <w:pPr>
        <w:pStyle w:val="Textonotapie"/>
        <w:ind w:firstLine="709"/>
        <w:jc w:val="both"/>
        <w:rPr>
          <w:rFonts w:ascii="Arial" w:hAnsi="Arial" w:cs="Arial"/>
          <w:sz w:val="19"/>
          <w:szCs w:val="19"/>
          <w:lang w:val="es-ES"/>
        </w:rPr>
      </w:pPr>
      <w:r w:rsidRPr="00283535">
        <w:rPr>
          <w:rStyle w:val="Refdenotaalpie"/>
          <w:rFonts w:ascii="Arial" w:hAnsi="Arial" w:cs="Arial"/>
          <w:sz w:val="19"/>
          <w:szCs w:val="19"/>
        </w:rPr>
        <w:footnoteRef/>
      </w:r>
      <w:r w:rsidRPr="00283535">
        <w:rPr>
          <w:rFonts w:ascii="Arial" w:hAnsi="Arial" w:cs="Arial"/>
          <w:sz w:val="19"/>
          <w:szCs w:val="19"/>
        </w:rPr>
        <w:t xml:space="preserve"> </w:t>
      </w:r>
      <w:r w:rsidRPr="00283535">
        <w:rPr>
          <w:rFonts w:ascii="Arial" w:hAnsi="Arial" w:cs="Arial"/>
          <w:sz w:val="19"/>
          <w:szCs w:val="19"/>
          <w:lang w:val="es-ES"/>
        </w:rPr>
        <w:t>La norma dispone: «La liquidación a que se refiere el presente artículo no será obligatoria en los contratos de prestación de servicios profesionales y de apoyo a la gestión».</w:t>
      </w:r>
    </w:p>
    <w:p w:rsidRPr="00283535" w:rsidR="00F44916" w:rsidP="003A6EA8" w:rsidRDefault="00F44916" w14:paraId="2C955690" w14:textId="77777777">
      <w:pPr>
        <w:pStyle w:val="Textonotapie"/>
        <w:ind w:firstLine="709"/>
        <w:jc w:val="both"/>
        <w:rPr>
          <w:rFonts w:ascii="Arial" w:hAnsi="Arial" w:cs="Arial"/>
          <w:sz w:val="19"/>
          <w:szCs w:val="19"/>
          <w:lang w:val="es-ES"/>
        </w:rPr>
      </w:pPr>
    </w:p>
  </w:footnote>
  <w:footnote w:id="14">
    <w:p w:rsidRPr="00283535" w:rsidR="00F44916" w:rsidP="003A6EA8" w:rsidRDefault="00F44916" w14:paraId="78269D3D" w14:textId="2C06EE79">
      <w:pPr>
        <w:pStyle w:val="Textonotapie"/>
        <w:ind w:firstLine="709"/>
        <w:jc w:val="both"/>
        <w:rPr>
          <w:rFonts w:ascii="Arial" w:hAnsi="Arial" w:cs="Arial"/>
          <w:sz w:val="19"/>
          <w:szCs w:val="19"/>
        </w:rPr>
      </w:pPr>
      <w:r w:rsidRPr="00283535">
        <w:rPr>
          <w:rStyle w:val="Refdenotaalpie"/>
          <w:rFonts w:ascii="Arial" w:hAnsi="Arial" w:cs="Arial"/>
          <w:sz w:val="19"/>
          <w:szCs w:val="19"/>
        </w:rPr>
        <w:footnoteRef/>
      </w:r>
      <w:r w:rsidRPr="00283535">
        <w:rPr>
          <w:rFonts w:ascii="Arial" w:hAnsi="Arial" w:cs="Arial"/>
          <w:sz w:val="19"/>
          <w:szCs w:val="19"/>
        </w:rPr>
        <w:t xml:space="preserve"> Según dicho artículo: «Art. 6. Todas las personas naturales o jurídicas nacionales o extranjeras domiciliadas o con sucursal en Colombia, que aspiren a celebrar contratos con las entidades estatales, se inscribirán en el Registro Único de Proponentes del Registro Único Empresarial de la Cámara de Comercio con jurisdicción en su domicilio principal.</w:t>
      </w:r>
    </w:p>
    <w:p w:rsidRPr="00283535" w:rsidR="00F44916" w:rsidP="003A6EA8" w:rsidRDefault="00F44916" w14:paraId="7C6B1F93" w14:textId="77777777">
      <w:pPr>
        <w:pStyle w:val="Textonotapie"/>
        <w:ind w:firstLine="709"/>
        <w:jc w:val="both"/>
        <w:rPr>
          <w:rFonts w:ascii="Arial" w:hAnsi="Arial" w:cs="Arial"/>
          <w:sz w:val="19"/>
          <w:szCs w:val="19"/>
        </w:rPr>
      </w:pPr>
      <w:r w:rsidRPr="00283535">
        <w:rPr>
          <w:rFonts w:ascii="Arial" w:hAnsi="Arial" w:cs="Arial"/>
          <w:sz w:val="19"/>
          <w:szCs w:val="19"/>
        </w:rPr>
        <w:t>»No se requerirá de este registro, ni de clasificación, en los casos de contratación directa; contratos para la prestación de servicios de salud; contratos de mínima cuantía; enajenación de bienes del Estado; contratos que tengan por objeto la adquisición de productos de origen o destinación agropecuaria que se ofrezcan en bolsas de productos legalmente constituidas; los actos y contratos que tengan por objeto directo las actividades comerciales e industriales propias de las empresas industriales y comerciales del Estado y las sociedades de economía mixta y los contratos de concesión de cualquier índole. En los casos anteriormente señalados, corresponderá a las entidades contratantes cumplir con la labor de verificación de las condiciones de los proponentes.</w:t>
      </w:r>
    </w:p>
    <w:p w:rsidRPr="00283535" w:rsidR="00F44916" w:rsidP="003A6EA8" w:rsidRDefault="00F44916" w14:paraId="34A73254" w14:textId="77777777">
      <w:pPr>
        <w:pStyle w:val="Textonotapie"/>
        <w:ind w:firstLine="709"/>
        <w:jc w:val="both"/>
        <w:rPr>
          <w:rFonts w:ascii="Arial" w:hAnsi="Arial" w:cs="Arial"/>
          <w:sz w:val="19"/>
          <w:szCs w:val="19"/>
        </w:rPr>
      </w:pPr>
      <w:r w:rsidRPr="00283535">
        <w:rPr>
          <w:rFonts w:ascii="Arial" w:hAnsi="Arial" w:cs="Arial"/>
          <w:sz w:val="19"/>
          <w:szCs w:val="19"/>
        </w:rPr>
        <w:t>[…]».</w:t>
      </w:r>
    </w:p>
    <w:p w:rsidRPr="00283535" w:rsidR="00F44916" w:rsidP="003A6EA8" w:rsidRDefault="00F44916" w14:paraId="0D4297F6" w14:textId="77777777">
      <w:pPr>
        <w:pStyle w:val="Textonotapie"/>
        <w:ind w:firstLine="709"/>
        <w:jc w:val="both"/>
        <w:rPr>
          <w:rFonts w:ascii="Arial" w:hAnsi="Arial" w:cs="Arial"/>
          <w:sz w:val="19"/>
          <w:szCs w:val="19"/>
          <w:lang w:val="es-ES"/>
        </w:rPr>
      </w:pPr>
    </w:p>
  </w:footnote>
  <w:footnote w:id="15">
    <w:p w:rsidRPr="00283535" w:rsidR="009A65FE" w:rsidP="003A6EA8" w:rsidRDefault="00F44916" w14:paraId="17BC48E8" w14:textId="7972CC57">
      <w:pPr>
        <w:pStyle w:val="Textonotapie"/>
        <w:ind w:firstLine="709"/>
        <w:jc w:val="both"/>
        <w:rPr>
          <w:rFonts w:ascii="Arial" w:hAnsi="Arial" w:cs="Arial"/>
          <w:sz w:val="19"/>
          <w:szCs w:val="19"/>
          <w:lang w:val="es-ES"/>
        </w:rPr>
      </w:pPr>
      <w:r w:rsidRPr="00283535">
        <w:rPr>
          <w:rStyle w:val="Refdenotaalpie"/>
          <w:rFonts w:ascii="Arial" w:hAnsi="Arial" w:cs="Arial"/>
          <w:sz w:val="19"/>
          <w:szCs w:val="19"/>
        </w:rPr>
        <w:footnoteRef/>
      </w:r>
      <w:r w:rsidRPr="00283535">
        <w:rPr>
          <w:rFonts w:ascii="Arial" w:hAnsi="Arial" w:cs="Arial"/>
          <w:sz w:val="19"/>
          <w:szCs w:val="19"/>
        </w:rPr>
        <w:t xml:space="preserve"> </w:t>
      </w:r>
      <w:r w:rsidRPr="00283535">
        <w:rPr>
          <w:rFonts w:ascii="Arial" w:hAnsi="Arial" w:cs="Arial"/>
          <w:sz w:val="19"/>
          <w:szCs w:val="19"/>
          <w:lang w:val="es-ES"/>
        </w:rPr>
        <w:t>Así lo establece el Decreto 1082 de 2015: «Artículo 2.2.1.2.1.4.5. No obligatoriedad de garantías. En la contratación directa la exigencia de garantías establecidas en la Sección 3, que comprende los artículos 2.2.1.2.3.1.1 al 2.2.1.2.3.5.1. del presente decreto no es obligatoria y la justificación para exigirlas o no debe estar en los estudios y documentos previos».</w:t>
      </w:r>
    </w:p>
  </w:footnote>
  <w:footnote w:id="16">
    <w:p w:rsidRPr="00283535" w:rsidR="00770ADC" w:rsidP="003A6EA8" w:rsidRDefault="00770ADC" w14:paraId="40A3D5E4" w14:textId="77777777">
      <w:pPr>
        <w:pStyle w:val="Textonotapie"/>
        <w:ind w:firstLine="708"/>
        <w:jc w:val="both"/>
        <w:rPr>
          <w:rFonts w:ascii="Arial" w:hAnsi="Arial" w:cs="Arial"/>
          <w:sz w:val="19"/>
          <w:szCs w:val="19"/>
        </w:rPr>
      </w:pPr>
    </w:p>
    <w:p w:rsidRPr="00283535" w:rsidR="00770ADC" w:rsidP="003A6EA8" w:rsidRDefault="00770ADC" w14:paraId="6851581A" w14:textId="77777777">
      <w:pPr>
        <w:pStyle w:val="Textonotapie"/>
        <w:ind w:firstLine="708"/>
        <w:jc w:val="both"/>
        <w:rPr>
          <w:rFonts w:ascii="Arial" w:hAnsi="Arial" w:cs="Arial"/>
          <w:sz w:val="19"/>
          <w:szCs w:val="19"/>
        </w:rPr>
      </w:pPr>
      <w:r w:rsidRPr="00283535">
        <w:rPr>
          <w:rStyle w:val="Refdenotaalpie"/>
          <w:rFonts w:ascii="Arial" w:hAnsi="Arial" w:cs="Arial"/>
          <w:sz w:val="19"/>
          <w:szCs w:val="19"/>
        </w:rPr>
        <w:footnoteRef/>
      </w:r>
      <w:r w:rsidRPr="00283535">
        <w:rPr>
          <w:rFonts w:ascii="Arial" w:hAnsi="Arial" w:cs="Arial"/>
          <w:sz w:val="19"/>
          <w:szCs w:val="19"/>
        </w:rPr>
        <w:t xml:space="preserve"> «Artículo 2.2.1.1.2.4.3. Obligaciones posteriores a la liquidación. Vencidos los términos de las garantías de calidad, estabilidad y mantenimiento, o las condiciones de disposición final o recuperación ambiental de las obras o bienes, la Entidad Estatal debe dejar constancia del cierre del expediente del Proceso de Contratación».</w:t>
      </w:r>
    </w:p>
    <w:p w:rsidRPr="00283535" w:rsidR="00770ADC" w:rsidP="003A6EA8" w:rsidRDefault="00770ADC" w14:paraId="13ADDA34" w14:textId="77777777">
      <w:pPr>
        <w:pStyle w:val="Textonotapie"/>
        <w:ind w:firstLine="708"/>
        <w:jc w:val="both"/>
        <w:rPr>
          <w:rFonts w:ascii="Arial" w:hAnsi="Arial" w:cs="Arial"/>
          <w:sz w:val="19"/>
          <w:szCs w:val="19"/>
          <w:lang w:val="es-CO"/>
        </w:rPr>
      </w:pPr>
    </w:p>
  </w:footnote>
  <w:footnote w:id="17">
    <w:p w:rsidRPr="00283535" w:rsidR="00770ADC" w:rsidP="003A6EA8" w:rsidRDefault="00770ADC" w14:paraId="0F98C0EE" w14:textId="77777777">
      <w:pPr>
        <w:pStyle w:val="Textonotapie"/>
        <w:ind w:firstLine="708"/>
        <w:jc w:val="both"/>
        <w:rPr>
          <w:rFonts w:ascii="Arial" w:hAnsi="Arial" w:cs="Arial"/>
          <w:sz w:val="19"/>
          <w:szCs w:val="19"/>
        </w:rPr>
      </w:pPr>
      <w:r w:rsidRPr="00283535">
        <w:rPr>
          <w:rStyle w:val="Refdenotaalpie"/>
          <w:rFonts w:ascii="Arial" w:hAnsi="Arial" w:cs="Arial"/>
          <w:sz w:val="19"/>
          <w:szCs w:val="19"/>
        </w:rPr>
        <w:footnoteRef/>
      </w:r>
      <w:r w:rsidRPr="00283535">
        <w:rPr>
          <w:rFonts w:ascii="Arial" w:hAnsi="Arial" w:cs="Arial"/>
          <w:sz w:val="19"/>
          <w:szCs w:val="19"/>
        </w:rPr>
        <w:t xml:space="preserve"> Artículo 2.2.1.2.3.1.7. Garantía de cumplimiento.</w:t>
      </w:r>
    </w:p>
    <w:p w:rsidRPr="00283535" w:rsidR="00770ADC" w:rsidP="003A6EA8" w:rsidRDefault="00770ADC" w14:paraId="722E1B3D" w14:textId="77777777">
      <w:pPr>
        <w:pStyle w:val="Textonotapie"/>
        <w:jc w:val="both"/>
        <w:rPr>
          <w:rFonts w:ascii="Arial" w:hAnsi="Arial" w:cs="Arial"/>
          <w:sz w:val="19"/>
          <w:szCs w:val="19"/>
          <w:lang w:val="es-CO"/>
        </w:rPr>
      </w:pPr>
    </w:p>
  </w:footnote>
  <w:footnote w:id="18">
    <w:p w:rsidRPr="00283535" w:rsidR="00770ADC" w:rsidP="003A6EA8" w:rsidRDefault="00770ADC" w14:paraId="6DD7D683" w14:textId="77777777">
      <w:pPr>
        <w:pStyle w:val="Textonotapie"/>
        <w:ind w:firstLine="708"/>
        <w:jc w:val="both"/>
        <w:rPr>
          <w:rFonts w:ascii="Arial" w:hAnsi="Arial" w:cs="Arial"/>
          <w:sz w:val="19"/>
          <w:szCs w:val="19"/>
        </w:rPr>
      </w:pPr>
      <w:r w:rsidRPr="00283535">
        <w:rPr>
          <w:rStyle w:val="Refdenotaalpie"/>
          <w:rFonts w:ascii="Arial" w:hAnsi="Arial" w:cs="Arial"/>
          <w:sz w:val="19"/>
          <w:szCs w:val="19"/>
        </w:rPr>
        <w:footnoteRef/>
      </w:r>
      <w:r w:rsidRPr="00283535">
        <w:rPr>
          <w:rFonts w:ascii="Arial" w:hAnsi="Arial" w:cs="Arial"/>
          <w:sz w:val="19"/>
          <w:szCs w:val="19"/>
        </w:rPr>
        <w:t xml:space="preserve"> «Artículo 2.2.1.2.3.1.14. Suficiencia de la garantía de estabilidad y calidad de la obra. Esta garantía debe estar vigente por un término no inferior a cinco (5) años contados a partir de la fecha en la cual la Entidad Estatal recibe a satisfacción la obra».</w:t>
      </w:r>
    </w:p>
    <w:p w:rsidRPr="00283535" w:rsidR="00770ADC" w:rsidP="003A6EA8" w:rsidRDefault="00770ADC" w14:paraId="0C4D5A67" w14:textId="77777777">
      <w:pPr>
        <w:pStyle w:val="Textonotapie"/>
        <w:jc w:val="both"/>
        <w:rPr>
          <w:rFonts w:ascii="Arial" w:hAnsi="Arial" w:cs="Arial"/>
          <w:sz w:val="19"/>
          <w:szCs w:val="19"/>
          <w:lang w:val="es-CO"/>
        </w:rPr>
      </w:pPr>
    </w:p>
  </w:footnote>
  <w:footnote w:id="19">
    <w:p w:rsidRPr="00283535" w:rsidR="00770ADC" w:rsidP="003A6EA8" w:rsidRDefault="00770ADC" w14:paraId="0E91C9CF" w14:textId="77777777">
      <w:pPr>
        <w:pStyle w:val="Textonotapie"/>
        <w:ind w:firstLine="708"/>
        <w:jc w:val="both"/>
        <w:rPr>
          <w:rFonts w:ascii="Arial" w:hAnsi="Arial" w:cs="Arial"/>
          <w:sz w:val="19"/>
          <w:szCs w:val="19"/>
        </w:rPr>
      </w:pPr>
      <w:r w:rsidRPr="00283535">
        <w:rPr>
          <w:rStyle w:val="Refdenotaalpie"/>
          <w:rFonts w:ascii="Arial" w:hAnsi="Arial" w:cs="Arial"/>
          <w:sz w:val="19"/>
          <w:szCs w:val="19"/>
        </w:rPr>
        <w:footnoteRef/>
      </w:r>
      <w:r w:rsidRPr="00283535">
        <w:rPr>
          <w:rFonts w:ascii="Arial" w:hAnsi="Arial" w:cs="Arial"/>
          <w:sz w:val="19"/>
          <w:szCs w:val="19"/>
        </w:rPr>
        <w:t xml:space="preserve"> La Sala de Consulta y Servicio Civil del Consejo de Estado, en Concepto del 8 de marzo de 2017. Radicado No. 2298 y con ponencia del Consejero Edgar González, manifestó respecto del trámite del cierre del expediente del Proceso de Contratación que: «[…] procede cuando se ha efectuado la liquidación del contrato, a efectos de dejar las constancias sobre el vencimiento de las garantías y la condición de los bienes y obras desde la perspectiva ambiental, y también en los casos en los cuales no se haya efectuado dicha liquidación, a efectos de dejar constancia sobre el punto final de la actuación contractual».</w:t>
      </w:r>
    </w:p>
    <w:p w:rsidRPr="00283535" w:rsidR="00770ADC" w:rsidP="003A6EA8" w:rsidRDefault="00770ADC" w14:paraId="09F7BA02" w14:textId="77777777">
      <w:pPr>
        <w:pStyle w:val="Textonotapie"/>
        <w:ind w:firstLine="708"/>
        <w:jc w:val="both"/>
        <w:rPr>
          <w:rFonts w:ascii="Arial" w:hAnsi="Arial" w:cs="Arial"/>
          <w:sz w:val="19"/>
          <w:szCs w:val="19"/>
          <w:lang w:val="es-CO"/>
        </w:rPr>
      </w:pPr>
    </w:p>
  </w:footnote>
  <w:footnote w:id="20">
    <w:p w:rsidR="003E1853" w:rsidP="00551653" w:rsidRDefault="003E1853" w14:paraId="493B6929" w14:textId="1699FF63">
      <w:pPr>
        <w:pStyle w:val="Textonotapie"/>
        <w:ind w:firstLine="709"/>
        <w:jc w:val="both"/>
        <w:rPr>
          <w:rFonts w:ascii="Arial" w:hAnsi="Arial" w:cs="Arial"/>
          <w:sz w:val="19"/>
          <w:szCs w:val="19"/>
          <w:lang w:val="es-ES"/>
        </w:rPr>
      </w:pPr>
      <w:r w:rsidRPr="00A348B5">
        <w:rPr>
          <w:rStyle w:val="Refdenotaalpie"/>
          <w:rFonts w:ascii="Arial" w:hAnsi="Arial" w:cs="Arial"/>
          <w:sz w:val="19"/>
          <w:szCs w:val="19"/>
        </w:rPr>
        <w:footnoteRef/>
      </w:r>
      <w:r w:rsidRPr="00A348B5">
        <w:rPr>
          <w:rFonts w:ascii="Arial" w:hAnsi="Arial" w:cs="Arial"/>
          <w:sz w:val="19"/>
          <w:szCs w:val="19"/>
        </w:rPr>
        <w:t xml:space="preserve"> </w:t>
      </w:r>
      <w:r w:rsidRPr="00A348B5">
        <w:rPr>
          <w:rFonts w:ascii="Arial" w:hAnsi="Arial" w:cs="Arial"/>
          <w:sz w:val="19"/>
          <w:szCs w:val="19"/>
          <w:lang w:val="es-ES"/>
        </w:rPr>
        <w:t xml:space="preserve">Según el </w:t>
      </w:r>
      <w:r w:rsidRPr="00A348B5" w:rsidR="007D4460">
        <w:rPr>
          <w:rFonts w:ascii="Arial" w:hAnsi="Arial" w:cs="Arial"/>
          <w:sz w:val="19"/>
          <w:szCs w:val="19"/>
          <w:lang w:val="es-ES"/>
        </w:rPr>
        <w:t xml:space="preserve">numeral 6 del </w:t>
      </w:r>
      <w:r w:rsidRPr="00A348B5">
        <w:rPr>
          <w:rFonts w:ascii="Arial" w:hAnsi="Arial" w:cs="Arial"/>
          <w:sz w:val="19"/>
          <w:szCs w:val="19"/>
          <w:lang w:val="es-ES"/>
        </w:rPr>
        <w:t xml:space="preserve">artículo </w:t>
      </w:r>
      <w:r w:rsidRPr="00A348B5" w:rsidR="007D4460">
        <w:rPr>
          <w:rFonts w:ascii="Arial" w:hAnsi="Arial" w:cs="Arial"/>
          <w:sz w:val="19"/>
          <w:szCs w:val="19"/>
          <w:lang w:val="es-ES"/>
        </w:rPr>
        <w:t>2.2.1.2.3.1.7. del Decreto 1082 del 2015: «Este amparo cubre a la Entidad Estatal por los perjuicios deri­vados de la deficiente calidad del servicio prestado».</w:t>
      </w:r>
    </w:p>
    <w:p w:rsidRPr="00A348B5" w:rsidR="00AD2AE0" w:rsidP="00A348B5" w:rsidRDefault="00AD2AE0" w14:paraId="2CE7282C" w14:textId="77777777">
      <w:pPr>
        <w:pStyle w:val="Textonotapie"/>
        <w:ind w:firstLine="709"/>
        <w:jc w:val="both"/>
        <w:rPr>
          <w:rFonts w:ascii="Arial" w:hAnsi="Arial" w:cs="Arial"/>
          <w:sz w:val="19"/>
          <w:szCs w:val="19"/>
          <w:lang w:val="es-CO"/>
        </w:rPr>
      </w:pPr>
    </w:p>
  </w:footnote>
  <w:footnote w:id="21">
    <w:p w:rsidRPr="00A348B5" w:rsidR="00AD2AE0" w:rsidP="00A348B5" w:rsidRDefault="005A0CC4" w14:paraId="028B9284" w14:textId="635CD1D3">
      <w:pPr>
        <w:ind w:firstLine="709"/>
        <w:jc w:val="both"/>
        <w:rPr>
          <w:rFonts w:ascii="Arial" w:hAnsi="Arial" w:cs="Arial" w:eastAsiaTheme="minorHAnsi"/>
          <w:sz w:val="19"/>
          <w:szCs w:val="19"/>
          <w:lang w:val="es-ES"/>
        </w:rPr>
      </w:pPr>
      <w:r w:rsidRPr="00A348B5">
        <w:rPr>
          <w:rStyle w:val="Refdenotaalpie"/>
          <w:rFonts w:ascii="Arial" w:hAnsi="Arial" w:cs="Arial"/>
          <w:sz w:val="19"/>
          <w:szCs w:val="19"/>
        </w:rPr>
        <w:footnoteRef/>
      </w:r>
      <w:r w:rsidRPr="00A348B5">
        <w:rPr>
          <w:rFonts w:ascii="Arial" w:hAnsi="Arial" w:cs="Arial"/>
          <w:sz w:val="19"/>
          <w:szCs w:val="19"/>
        </w:rPr>
        <w:t xml:space="preserve"> </w:t>
      </w:r>
      <w:r w:rsidR="008B5359">
        <w:rPr>
          <w:rFonts w:ascii="Arial" w:hAnsi="Arial" w:cs="Arial"/>
          <w:sz w:val="19"/>
          <w:szCs w:val="19"/>
        </w:rPr>
        <w:t xml:space="preserve">En cuanto al término de esta garantía, el Decreto 1082 de 2015 dispone: </w:t>
      </w:r>
      <w:r w:rsidRPr="00A348B5" w:rsidR="00AD2AE0">
        <w:rPr>
          <w:rFonts w:ascii="Arial" w:hAnsi="Arial" w:cs="Arial"/>
          <w:sz w:val="19"/>
          <w:szCs w:val="19"/>
          <w:lang w:val="es-ES"/>
        </w:rPr>
        <w:t>«</w:t>
      </w:r>
      <w:r w:rsidRPr="00A348B5" w:rsidR="00AD2AE0">
        <w:rPr>
          <w:rFonts w:ascii="Arial" w:hAnsi="Arial" w:cs="Arial" w:eastAsiaTheme="minorHAnsi"/>
          <w:sz w:val="19"/>
          <w:szCs w:val="19"/>
          <w:lang w:val="es-ES"/>
        </w:rPr>
        <w:t>Artículo 2.2.1.2.3.1.15. Suficiencia de la garantía de calidad del servicio. La Entidad Estatal debe determinar el valor y el plazo de la garantía de acuerdo con el objeto, el valor, la naturaleza y las obligaciones contenidas en el contrato. En los contratos de interventoría, la vigencia de este amparo debe ser igual al plazo de la garantía de estabilidad del contrato principal en cumplimiento del parágrafo del artículo 85 de la Ley 1474 de 2011».</w:t>
      </w:r>
    </w:p>
    <w:p w:rsidRPr="00AD2AE0" w:rsidR="005A0CC4" w:rsidRDefault="005A0CC4" w14:paraId="50E08EEE" w14:textId="3F8089DA">
      <w:pPr>
        <w:pStyle w:val="Textonotapie"/>
      </w:pPr>
    </w:p>
  </w:footnote>
  <w:footnote w:id="22">
    <w:p w:rsidR="00F554B9" w:rsidP="00F554B9" w:rsidRDefault="00F554B9" w14:paraId="67506CBA" w14:textId="68A0242E">
      <w:pPr>
        <w:pStyle w:val="Textonotapie"/>
        <w:ind w:firstLine="708"/>
        <w:jc w:val="both"/>
        <w:rPr>
          <w:rFonts w:ascii="Arial" w:hAnsi="Arial" w:cs="Arial"/>
          <w:sz w:val="19"/>
          <w:szCs w:val="19"/>
        </w:rPr>
      </w:pPr>
      <w:r w:rsidRPr="00283535">
        <w:rPr>
          <w:rStyle w:val="Refdenotaalpie"/>
          <w:rFonts w:ascii="Arial" w:hAnsi="Arial" w:cs="Arial"/>
          <w:sz w:val="19"/>
          <w:szCs w:val="19"/>
        </w:rPr>
        <w:footnoteRef/>
      </w:r>
      <w:r w:rsidRPr="00283535">
        <w:rPr>
          <w:rStyle w:val="normaltextrun"/>
          <w:rFonts w:ascii="Arial" w:hAnsi="Arial" w:cs="Arial"/>
          <w:sz w:val="19"/>
          <w:szCs w:val="19"/>
        </w:rPr>
        <w:t xml:space="preserve"> </w:t>
      </w:r>
      <w:r w:rsidRPr="00283535">
        <w:rPr>
          <w:rFonts w:ascii="Arial" w:hAnsi="Arial" w:cs="Arial"/>
          <w:sz w:val="19"/>
          <w:szCs w:val="19"/>
        </w:rPr>
        <w:t xml:space="preserve">Consejo de Estado. Sala de Consulta y Servicio Civil. Concepto 2253 del 8 de marzo de 2017. C.P. Édgar González López. </w:t>
      </w:r>
    </w:p>
    <w:p w:rsidRPr="00283535" w:rsidR="00283535" w:rsidP="00F554B9" w:rsidRDefault="00283535" w14:paraId="6298D9D1" w14:textId="77777777">
      <w:pPr>
        <w:pStyle w:val="Textonotapie"/>
        <w:ind w:firstLine="708"/>
        <w:jc w:val="both"/>
        <w:rPr>
          <w:rFonts w:ascii="Arial" w:hAnsi="Arial" w:cs="Arial"/>
          <w:sz w:val="19"/>
          <w:szCs w:val="19"/>
          <w:lang w:val="es-CO"/>
        </w:rPr>
      </w:pPr>
    </w:p>
  </w:footnote>
  <w:footnote w:id="23">
    <w:p w:rsidRPr="00283535" w:rsidR="00616FD5" w:rsidP="00283535" w:rsidRDefault="00616FD5" w14:paraId="56B42E77" w14:textId="77777777">
      <w:pPr>
        <w:pStyle w:val="Textonotapie"/>
        <w:ind w:firstLine="708"/>
        <w:jc w:val="both"/>
        <w:rPr>
          <w:rFonts w:ascii="Arial" w:hAnsi="Arial" w:cs="Arial"/>
          <w:sz w:val="19"/>
          <w:szCs w:val="19"/>
        </w:rPr>
      </w:pPr>
      <w:r w:rsidRPr="00283535">
        <w:rPr>
          <w:rStyle w:val="Refdenotaalpie"/>
          <w:rFonts w:ascii="Arial" w:hAnsi="Arial" w:cs="Arial"/>
          <w:sz w:val="19"/>
          <w:szCs w:val="19"/>
        </w:rPr>
        <w:footnoteRef/>
      </w:r>
      <w:r w:rsidRPr="00283535">
        <w:rPr>
          <w:rFonts w:ascii="Arial" w:hAnsi="Arial" w:cs="Arial"/>
          <w:sz w:val="19"/>
          <w:szCs w:val="19"/>
        </w:rPr>
        <w:t xml:space="preserve"> Es decir, aquellos de ejecución sucesiva o de cumplimiento escalonado de obligaciones que no pueden ser cumplidas en el mismo instante en que el acuerdo nace a la vida jurídica, bien por su naturaleza o por la voluntad de las partes, como sucede con los contratos de arrendamiento o los de concesión.</w:t>
      </w:r>
    </w:p>
    <w:p w:rsidRPr="00283535" w:rsidR="00616FD5" w:rsidP="003A6EA8" w:rsidRDefault="00616FD5" w14:paraId="5967624C" w14:textId="77777777">
      <w:pPr>
        <w:pStyle w:val="Textonotapie"/>
        <w:ind w:left="181" w:right="108"/>
        <w:jc w:val="both"/>
        <w:rPr>
          <w:rFonts w:ascii="Arial" w:hAnsi="Arial" w:cs="Arial"/>
          <w:sz w:val="19"/>
          <w:szCs w:val="19"/>
        </w:rPr>
      </w:pPr>
    </w:p>
  </w:footnote>
  <w:footnote w:id="24">
    <w:p w:rsidRPr="00283535" w:rsidR="00616FD5" w:rsidP="003A6EA8" w:rsidRDefault="00616FD5" w14:paraId="6E32D9FE" w14:textId="77777777">
      <w:pPr>
        <w:ind w:left="181" w:right="108" w:firstLine="707"/>
        <w:jc w:val="both"/>
        <w:rPr>
          <w:rFonts w:ascii="Arial" w:hAnsi="Arial" w:cs="Arial"/>
          <w:sz w:val="19"/>
          <w:szCs w:val="19"/>
        </w:rPr>
      </w:pPr>
      <w:r w:rsidRPr="00283535">
        <w:rPr>
          <w:rStyle w:val="Refdenotaalpie"/>
          <w:rFonts w:ascii="Arial" w:hAnsi="Arial" w:cs="Arial"/>
          <w:sz w:val="19"/>
          <w:szCs w:val="19"/>
        </w:rPr>
        <w:footnoteRef/>
      </w:r>
      <w:r w:rsidRPr="00283535">
        <w:rPr>
          <w:rFonts w:ascii="Arial" w:hAnsi="Arial" w:cs="Arial"/>
          <w:sz w:val="19"/>
          <w:szCs w:val="19"/>
        </w:rPr>
        <w:t xml:space="preserve"> Vencimiento del plazo de ejecución, cumplimiento del objeto o el acaecimiento de la condición resolutoria expresa, pactada por las partes.</w:t>
      </w:r>
    </w:p>
    <w:p w:rsidRPr="00283535" w:rsidR="00616FD5" w:rsidP="003A6EA8" w:rsidRDefault="00616FD5" w14:paraId="2FE1E40E" w14:textId="77777777">
      <w:pPr>
        <w:ind w:left="181" w:right="108" w:firstLine="707"/>
        <w:jc w:val="both"/>
        <w:rPr>
          <w:rFonts w:ascii="Arial" w:hAnsi="Arial" w:cs="Arial"/>
          <w:sz w:val="19"/>
          <w:szCs w:val="19"/>
        </w:rPr>
      </w:pPr>
    </w:p>
  </w:footnote>
  <w:footnote w:id="25">
    <w:p w:rsidRPr="00283535" w:rsidR="00616FD5" w:rsidP="003A6EA8" w:rsidRDefault="00616FD5" w14:paraId="07F6AD74" w14:textId="7EAC6BB8">
      <w:pPr>
        <w:ind w:left="181" w:right="108" w:firstLine="707"/>
        <w:jc w:val="both"/>
        <w:rPr>
          <w:rFonts w:ascii="Arial" w:hAnsi="Arial" w:cs="Arial"/>
          <w:sz w:val="19"/>
          <w:szCs w:val="19"/>
        </w:rPr>
      </w:pPr>
      <w:r w:rsidRPr="00283535">
        <w:rPr>
          <w:rStyle w:val="Refdenotaalpie"/>
          <w:rFonts w:ascii="Arial" w:hAnsi="Arial" w:cs="Arial"/>
          <w:sz w:val="19"/>
          <w:szCs w:val="19"/>
        </w:rPr>
        <w:footnoteRef/>
      </w:r>
      <w:r w:rsidRPr="00283535">
        <w:rPr>
          <w:rFonts w:ascii="Arial" w:hAnsi="Arial" w:cs="Arial"/>
          <w:sz w:val="19"/>
          <w:szCs w:val="19"/>
        </w:rPr>
        <w:t xml:space="preserve"> Declaratoria de caducidad, terminación unilateral, mutuo acuerdo, renuncia del contratista (cuando hay una modificación unilateral altere en un 20 % o más el valor inicial del contrato o cuando sobreviene una inhabilidad o incompatibilidad y no se pueda ceder el contrato) o evento de fuerza mayor.</w:t>
      </w:r>
    </w:p>
    <w:p w:rsidRPr="00283535" w:rsidR="00283535" w:rsidP="003A6EA8" w:rsidRDefault="00283535" w14:paraId="37AD6010" w14:textId="77777777">
      <w:pPr>
        <w:ind w:left="181" w:right="108" w:firstLine="707"/>
        <w:jc w:val="both"/>
        <w:rPr>
          <w:rFonts w:ascii="Arial" w:hAnsi="Arial" w:cs="Arial"/>
          <w:sz w:val="19"/>
          <w:szCs w:val="19"/>
        </w:rPr>
      </w:pPr>
    </w:p>
  </w:footnote>
  <w:footnote w:id="26">
    <w:p w:rsidR="00283535" w:rsidP="00283535" w:rsidRDefault="00283535" w14:paraId="61C5231D" w14:textId="3E0C4013">
      <w:pPr>
        <w:ind w:left="181" w:right="108" w:firstLine="707"/>
        <w:jc w:val="both"/>
        <w:rPr>
          <w:rStyle w:val="normaltextrun"/>
          <w:rFonts w:ascii="Arial" w:hAnsi="Arial" w:cs="Arial"/>
          <w:sz w:val="19"/>
          <w:szCs w:val="19"/>
        </w:rPr>
      </w:pPr>
      <w:r w:rsidRPr="00283535">
        <w:rPr>
          <w:rStyle w:val="Refdenotaalpie"/>
          <w:rFonts w:ascii="Arial" w:hAnsi="Arial" w:cs="Arial"/>
          <w:sz w:val="19"/>
          <w:szCs w:val="19"/>
        </w:rPr>
        <w:footnoteRef/>
      </w:r>
      <w:r w:rsidRPr="00283535">
        <w:rPr>
          <w:rFonts w:ascii="Arial" w:hAnsi="Arial" w:cs="Arial"/>
          <w:sz w:val="19"/>
          <w:szCs w:val="19"/>
        </w:rPr>
        <w:t xml:space="preserve"> </w:t>
      </w:r>
      <w:r>
        <w:rPr>
          <w:rFonts w:ascii="Arial" w:hAnsi="Arial" w:cs="Arial"/>
          <w:sz w:val="19"/>
          <w:szCs w:val="19"/>
        </w:rPr>
        <w:t xml:space="preserve">Consejo de Estado. Sección tercera. Sentencia </w:t>
      </w:r>
      <w:r w:rsidRPr="00283535">
        <w:rPr>
          <w:rStyle w:val="normaltextrun"/>
          <w:rFonts w:ascii="Arial" w:hAnsi="Arial" w:cs="Arial"/>
          <w:sz w:val="19"/>
          <w:szCs w:val="19"/>
        </w:rPr>
        <w:t>del 10 de noviembre de 2016</w:t>
      </w:r>
      <w:r>
        <w:rPr>
          <w:rStyle w:val="normaltextrun"/>
          <w:rFonts w:ascii="Arial" w:hAnsi="Arial" w:cs="Arial"/>
          <w:sz w:val="19"/>
          <w:szCs w:val="19"/>
        </w:rPr>
        <w:t>. Exp.</w:t>
      </w:r>
      <w:r w:rsidRPr="00283535">
        <w:rPr>
          <w:rStyle w:val="normaltextrun"/>
          <w:rFonts w:ascii="Arial" w:hAnsi="Arial" w:cs="Arial"/>
          <w:sz w:val="19"/>
          <w:szCs w:val="19"/>
        </w:rPr>
        <w:t xml:space="preserve"> 56.179</w:t>
      </w:r>
      <w:r>
        <w:rPr>
          <w:rStyle w:val="normaltextrun"/>
          <w:rFonts w:ascii="Arial" w:hAnsi="Arial" w:cs="Arial"/>
          <w:sz w:val="19"/>
          <w:szCs w:val="19"/>
        </w:rPr>
        <w:t xml:space="preserve">. C.P. </w:t>
      </w:r>
      <w:r w:rsidRPr="00283535">
        <w:rPr>
          <w:rStyle w:val="normaltextrun"/>
          <w:rFonts w:ascii="Arial" w:hAnsi="Arial" w:cs="Arial"/>
          <w:sz w:val="19"/>
          <w:szCs w:val="19"/>
        </w:rPr>
        <w:t>Jaime Orlando Santofimio Gamboa</w:t>
      </w:r>
      <w:r>
        <w:rPr>
          <w:rStyle w:val="normaltextrun"/>
          <w:rFonts w:ascii="Arial" w:hAnsi="Arial" w:cs="Arial"/>
          <w:sz w:val="19"/>
          <w:szCs w:val="19"/>
        </w:rPr>
        <w:t>.</w:t>
      </w:r>
    </w:p>
    <w:p w:rsidRPr="00283535" w:rsidR="00B12934" w:rsidP="00283535" w:rsidRDefault="00B12934" w14:paraId="77030060" w14:textId="77777777">
      <w:pPr>
        <w:ind w:left="181" w:right="108" w:firstLine="707"/>
        <w:jc w:val="both"/>
        <w:rPr>
          <w:rFonts w:ascii="Arial" w:hAnsi="Arial" w:cs="Arial"/>
          <w:sz w:val="19"/>
          <w:szCs w:val="19"/>
          <w:lang w:val="es-C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F44916" w:rsidRDefault="00F44916" w14:paraId="6520770B" w14:textId="1A2BB94C">
    <w:pPr>
      <w:pStyle w:val="Encabezado"/>
    </w:pPr>
    <w:r>
      <w:rPr>
        <w:noProof/>
        <w:lang w:val="en-US"/>
      </w:rPr>
      <w:drawing>
        <wp:anchor distT="0" distB="0" distL="114300" distR="114300" simplePos="0" relativeHeight="251658240" behindDoc="1" locked="0" layoutInCell="1" allowOverlap="1" wp14:anchorId="1A706351" wp14:editId="1962F15F">
          <wp:simplePos x="0" y="0"/>
          <wp:positionH relativeFrom="column">
            <wp:posOffset>4382219</wp:posOffset>
          </wp:positionH>
          <wp:positionV relativeFrom="paragraph">
            <wp:posOffset>232997</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73627830">
      <w:rPr/>
      <w:t/>
    </w:r>
    <w:r w:rsidR="7215BA1A">
      <w:rPr/>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48E84652"/>
    <w:lvl w:ilvl="0">
      <w:start w:val="1"/>
      <w:numFmt w:val="decimal"/>
      <w:lvlText w:val="%1."/>
      <w:lvlJc w:val="left"/>
      <w:pPr>
        <w:ind w:left="6601" w:hanging="360"/>
      </w:pPr>
      <w:rPr>
        <w:b/>
        <w:color w:val="404040" w:themeColor="text1" w:themeTint="BF"/>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7F83371"/>
    <w:multiLevelType w:val="hybridMultilevel"/>
    <w:tmpl w:val="CE289002"/>
    <w:lvl w:ilvl="0" w:tplc="F3FA661C">
      <w:start w:val="1"/>
      <w:numFmt w:val="lowerRoman"/>
      <w:lvlText w:val="%1)"/>
      <w:lvlJc w:val="left"/>
      <w:pPr>
        <w:ind w:left="1429" w:hanging="720"/>
      </w:pPr>
      <w:rPr>
        <w:rFonts w:hint="default"/>
      </w:rPr>
    </w:lvl>
    <w:lvl w:ilvl="1" w:tplc="040A0019" w:tentative="1">
      <w:start w:val="1"/>
      <w:numFmt w:val="lowerLetter"/>
      <w:lvlText w:val="%2."/>
      <w:lvlJc w:val="left"/>
      <w:pPr>
        <w:ind w:left="1789" w:hanging="360"/>
      </w:pPr>
    </w:lvl>
    <w:lvl w:ilvl="2" w:tplc="040A001B" w:tentative="1">
      <w:start w:val="1"/>
      <w:numFmt w:val="lowerRoman"/>
      <w:lvlText w:val="%3."/>
      <w:lvlJc w:val="right"/>
      <w:pPr>
        <w:ind w:left="2509" w:hanging="180"/>
      </w:pPr>
    </w:lvl>
    <w:lvl w:ilvl="3" w:tplc="040A000F" w:tentative="1">
      <w:start w:val="1"/>
      <w:numFmt w:val="decimal"/>
      <w:lvlText w:val="%4."/>
      <w:lvlJc w:val="left"/>
      <w:pPr>
        <w:ind w:left="3229" w:hanging="360"/>
      </w:pPr>
    </w:lvl>
    <w:lvl w:ilvl="4" w:tplc="040A0019" w:tentative="1">
      <w:start w:val="1"/>
      <w:numFmt w:val="lowerLetter"/>
      <w:lvlText w:val="%5."/>
      <w:lvlJc w:val="left"/>
      <w:pPr>
        <w:ind w:left="3949" w:hanging="360"/>
      </w:pPr>
    </w:lvl>
    <w:lvl w:ilvl="5" w:tplc="040A001B" w:tentative="1">
      <w:start w:val="1"/>
      <w:numFmt w:val="lowerRoman"/>
      <w:lvlText w:val="%6."/>
      <w:lvlJc w:val="right"/>
      <w:pPr>
        <w:ind w:left="4669" w:hanging="180"/>
      </w:pPr>
    </w:lvl>
    <w:lvl w:ilvl="6" w:tplc="040A000F" w:tentative="1">
      <w:start w:val="1"/>
      <w:numFmt w:val="decimal"/>
      <w:lvlText w:val="%7."/>
      <w:lvlJc w:val="left"/>
      <w:pPr>
        <w:ind w:left="5389" w:hanging="360"/>
      </w:pPr>
    </w:lvl>
    <w:lvl w:ilvl="7" w:tplc="040A0019" w:tentative="1">
      <w:start w:val="1"/>
      <w:numFmt w:val="lowerLetter"/>
      <w:lvlText w:val="%8."/>
      <w:lvlJc w:val="left"/>
      <w:pPr>
        <w:ind w:left="6109" w:hanging="360"/>
      </w:pPr>
    </w:lvl>
    <w:lvl w:ilvl="8" w:tplc="040A001B" w:tentative="1">
      <w:start w:val="1"/>
      <w:numFmt w:val="lowerRoman"/>
      <w:lvlText w:val="%9."/>
      <w:lvlJc w:val="right"/>
      <w:pPr>
        <w:ind w:left="6829" w:hanging="180"/>
      </w:pPr>
    </w:lvl>
  </w:abstractNum>
  <w:abstractNum w:abstractNumId="2" w15:restartNumberingAfterBreak="0">
    <w:nsid w:val="310D7E6C"/>
    <w:multiLevelType w:val="multilevel"/>
    <w:tmpl w:val="836404E2"/>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3" w15:restartNumberingAfterBreak="0">
    <w:nsid w:val="31B41044"/>
    <w:multiLevelType w:val="hybridMultilevel"/>
    <w:tmpl w:val="836404E2"/>
    <w:lvl w:ilvl="0" w:tplc="0C0A0001">
      <w:start w:val="1"/>
      <w:numFmt w:val="bullet"/>
      <w:lvlText w:val=""/>
      <w:lvlJc w:val="left"/>
      <w:pPr>
        <w:ind w:left="720" w:hanging="360"/>
      </w:pPr>
      <w:rPr>
        <w:rFonts w:hint="default" w:ascii="Symbol" w:hAnsi="Symbol"/>
      </w:rPr>
    </w:lvl>
    <w:lvl w:ilvl="1" w:tplc="0C0A0003" w:tentative="1">
      <w:start w:val="1"/>
      <w:numFmt w:val="bullet"/>
      <w:lvlText w:val="o"/>
      <w:lvlJc w:val="left"/>
      <w:pPr>
        <w:ind w:left="1440" w:hanging="360"/>
      </w:pPr>
      <w:rPr>
        <w:rFonts w:hint="default" w:ascii="Courier New" w:hAnsi="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rPr>
    </w:lvl>
    <w:lvl w:ilvl="8" w:tplc="0C0A0005" w:tentative="1">
      <w:start w:val="1"/>
      <w:numFmt w:val="bullet"/>
      <w:lvlText w:val=""/>
      <w:lvlJc w:val="left"/>
      <w:pPr>
        <w:ind w:left="6480" w:hanging="360"/>
      </w:pPr>
      <w:rPr>
        <w:rFonts w:hint="default" w:ascii="Wingdings" w:hAnsi="Wingdings"/>
      </w:rPr>
    </w:lvl>
  </w:abstractNum>
  <w:abstractNum w:abstractNumId="4" w15:restartNumberingAfterBreak="0">
    <w:nsid w:val="482459AB"/>
    <w:multiLevelType w:val="hybridMultilevel"/>
    <w:tmpl w:val="F7E4801A"/>
    <w:lvl w:ilvl="0" w:tplc="07686820">
      <w:start w:val="1"/>
      <w:numFmt w:val="bullet"/>
      <w:lvlText w:val=""/>
      <w:lvlJc w:val="left"/>
      <w:pPr>
        <w:ind w:left="720" w:hanging="360"/>
      </w:pPr>
      <w:rPr>
        <w:rFonts w:hint="default" w:ascii="Wingdings" w:hAnsi="Wingdings"/>
        <w:color w:val="0E63A8"/>
        <w:sz w:val="28"/>
      </w:rPr>
    </w:lvl>
    <w:lvl w:ilvl="1" w:tplc="0C0A0003" w:tentative="1">
      <w:start w:val="1"/>
      <w:numFmt w:val="bullet"/>
      <w:lvlText w:val="o"/>
      <w:lvlJc w:val="left"/>
      <w:pPr>
        <w:ind w:left="1440" w:hanging="360"/>
      </w:pPr>
      <w:rPr>
        <w:rFonts w:hint="default" w:ascii="Courier New" w:hAnsi="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rPr>
    </w:lvl>
    <w:lvl w:ilvl="8" w:tplc="0C0A0005" w:tentative="1">
      <w:start w:val="1"/>
      <w:numFmt w:val="bullet"/>
      <w:lvlText w:val=""/>
      <w:lvlJc w:val="left"/>
      <w:pPr>
        <w:ind w:left="6480" w:hanging="360"/>
      </w:pPr>
      <w:rPr>
        <w:rFonts w:hint="default" w:ascii="Wingdings" w:hAnsi="Wingdings"/>
      </w:rPr>
    </w:lvl>
  </w:abstractNum>
  <w:abstractNum w:abstractNumId="5" w15:restartNumberingAfterBreak="0">
    <w:nsid w:val="59112A3E"/>
    <w:multiLevelType w:val="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6" w15:restartNumberingAfterBreak="0">
    <w:nsid w:val="6BFF7097"/>
    <w:multiLevelType w:val="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7" w15:restartNumberingAfterBreak="0">
    <w:nsid w:val="77DF7927"/>
    <w:multiLevelType w:val="multilevel"/>
    <w:tmpl w:val="C7C66B9A"/>
    <w:lvl w:ilvl="0">
      <w:start w:val="1"/>
      <w:numFmt w:val="decimal"/>
      <w:lvlText w:val="%1."/>
      <w:lvlJc w:val="left"/>
      <w:pPr>
        <w:ind w:left="540" w:hanging="360"/>
      </w:pPr>
      <w:rPr>
        <w:rFonts w:hint="default" w:ascii="Arial" w:hAnsi="Arial" w:eastAsia="Arial" w:cs="Arial"/>
        <w:b/>
        <w:bCs/>
        <w:color w:val="auto"/>
        <w:spacing w:val="-8"/>
        <w:w w:val="100"/>
        <w:sz w:val="22"/>
        <w:szCs w:val="22"/>
        <w:lang w:val="es-ES" w:eastAsia="en-US" w:bidi="ar-SA"/>
      </w:rPr>
    </w:lvl>
    <w:lvl w:ilvl="1">
      <w:start w:val="1"/>
      <w:numFmt w:val="decimal"/>
      <w:lvlText w:val="%1.%2"/>
      <w:lvlJc w:val="left"/>
      <w:pPr>
        <w:ind w:left="560" w:hanging="380"/>
      </w:pPr>
      <w:rPr>
        <w:rFonts w:hint="default" w:ascii="Arial" w:hAnsi="Arial" w:eastAsia="Arial" w:cs="Arial"/>
        <w:b/>
        <w:bCs/>
        <w:color w:val="auto"/>
        <w:spacing w:val="-1"/>
        <w:w w:val="100"/>
        <w:sz w:val="22"/>
        <w:szCs w:val="22"/>
        <w:lang w:val="es-ES" w:eastAsia="en-US" w:bidi="ar-SA"/>
      </w:rPr>
    </w:lvl>
    <w:lvl w:ilvl="2">
      <w:numFmt w:val="bullet"/>
      <w:lvlText w:val="•"/>
      <w:lvlJc w:val="left"/>
      <w:pPr>
        <w:ind w:left="1522" w:hanging="380"/>
      </w:pPr>
      <w:rPr>
        <w:rFonts w:hint="default"/>
        <w:lang w:val="es-ES" w:eastAsia="en-US" w:bidi="ar-SA"/>
      </w:rPr>
    </w:lvl>
    <w:lvl w:ilvl="3">
      <w:numFmt w:val="bullet"/>
      <w:lvlText w:val="•"/>
      <w:lvlJc w:val="left"/>
      <w:pPr>
        <w:ind w:left="2484" w:hanging="380"/>
      </w:pPr>
      <w:rPr>
        <w:rFonts w:hint="default"/>
        <w:lang w:val="es-ES" w:eastAsia="en-US" w:bidi="ar-SA"/>
      </w:rPr>
    </w:lvl>
    <w:lvl w:ilvl="4">
      <w:numFmt w:val="bullet"/>
      <w:lvlText w:val="•"/>
      <w:lvlJc w:val="left"/>
      <w:pPr>
        <w:ind w:left="3446" w:hanging="380"/>
      </w:pPr>
      <w:rPr>
        <w:rFonts w:hint="default"/>
        <w:lang w:val="es-ES" w:eastAsia="en-US" w:bidi="ar-SA"/>
      </w:rPr>
    </w:lvl>
    <w:lvl w:ilvl="5">
      <w:numFmt w:val="bullet"/>
      <w:lvlText w:val="•"/>
      <w:lvlJc w:val="left"/>
      <w:pPr>
        <w:ind w:left="4408" w:hanging="380"/>
      </w:pPr>
      <w:rPr>
        <w:rFonts w:hint="default"/>
        <w:lang w:val="es-ES" w:eastAsia="en-US" w:bidi="ar-SA"/>
      </w:rPr>
    </w:lvl>
    <w:lvl w:ilvl="6">
      <w:numFmt w:val="bullet"/>
      <w:lvlText w:val="•"/>
      <w:lvlJc w:val="left"/>
      <w:pPr>
        <w:ind w:left="5371" w:hanging="380"/>
      </w:pPr>
      <w:rPr>
        <w:rFonts w:hint="default"/>
        <w:lang w:val="es-ES" w:eastAsia="en-US" w:bidi="ar-SA"/>
      </w:rPr>
    </w:lvl>
    <w:lvl w:ilvl="7">
      <w:numFmt w:val="bullet"/>
      <w:lvlText w:val="•"/>
      <w:lvlJc w:val="left"/>
      <w:pPr>
        <w:ind w:left="6333" w:hanging="380"/>
      </w:pPr>
      <w:rPr>
        <w:rFonts w:hint="default"/>
        <w:lang w:val="es-ES" w:eastAsia="en-US" w:bidi="ar-SA"/>
      </w:rPr>
    </w:lvl>
    <w:lvl w:ilvl="8">
      <w:numFmt w:val="bullet"/>
      <w:lvlText w:val="•"/>
      <w:lvlJc w:val="left"/>
      <w:pPr>
        <w:ind w:left="7295" w:hanging="380"/>
      </w:pPr>
      <w:rPr>
        <w:rFonts w:hint="default"/>
        <w:lang w:val="es-ES" w:eastAsia="en-US" w:bidi="ar-SA"/>
      </w:rPr>
    </w:lvl>
  </w:abstractNum>
  <w:num w:numId="1">
    <w:abstractNumId w:val="3"/>
  </w:num>
  <w:num w:numId="2">
    <w:abstractNumId w:val="2"/>
  </w:num>
  <w:num w:numId="3">
    <w:abstractNumId w:val="4"/>
  </w:num>
  <w:num w:numId="4">
    <w:abstractNumId w:val="5"/>
  </w:num>
  <w:num w:numId="5">
    <w:abstractNumId w:val="6"/>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trackRevisions w:val="false"/>
  <w:zoom w:percent="100"/>
  <w:activeWritingStyle w:lang="es-ES" w:vendorID="64" w:dllVersion="4096" w:nlCheck="1" w:checkStyle="0" w:appName="MSWord"/>
  <w:activeWritingStyle w:lang="es-ES_tradnl" w:vendorID="64" w:dllVersion="4096" w:nlCheck="1" w:checkStyle="0" w:appName="MSWord"/>
  <w:activeWritingStyle w:lang="en-US" w:vendorID="64" w:dllVersion="4096" w:nlCheck="1" w:checkStyle="0" w:appName="MSWord"/>
  <w:activeWritingStyle w:lang="es-ES" w:vendorID="64" w:dllVersion="6" w:nlCheck="1" w:checkStyle="0" w:appName="MSWord"/>
  <w:activeWritingStyle w:lang="es-ES_tradnl" w:vendorID="64" w:dllVersion="6" w:nlCheck="1" w:checkStyle="0" w:appName="MSWord"/>
  <w:activeWritingStyle w:lang="es-ES_tradnl" w:vendorID="64" w:dllVersion="0" w:nlCheck="1" w:checkStyle="0" w:appName="MSWord"/>
  <w:activeWritingStyle w:lang="es-ES" w:vendorID="64" w:dllVersion="0" w:nlCheck="1" w:checkStyle="0" w:appName="MSWord"/>
  <w:activeWritingStyle w:lang="es-MX" w:vendorID="64" w:dllVersion="0" w:nlCheck="1" w:checkStyle="0" w:appName="MSWord"/>
  <w:activeWritingStyle w:lang="es-MX" w:vendorID="64" w:dllVersion="4096" w:nlCheck="1" w:checkStyle="0" w:appName="MSWord"/>
  <w:activeWritingStyle w:lang="es-CO" w:vendorID="64" w:dllVersion="0" w:nlCheck="1" w:checkStyle="0" w:appName="MSWord"/>
  <w:attachedTemplate r:id="rId1"/>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9BA"/>
    <w:rsid w:val="000018D4"/>
    <w:rsid w:val="0000280E"/>
    <w:rsid w:val="00002841"/>
    <w:rsid w:val="00002B30"/>
    <w:rsid w:val="00004E4A"/>
    <w:rsid w:val="00005A24"/>
    <w:rsid w:val="00007092"/>
    <w:rsid w:val="000073AC"/>
    <w:rsid w:val="0001011E"/>
    <w:rsid w:val="00010B21"/>
    <w:rsid w:val="0001178C"/>
    <w:rsid w:val="00011C19"/>
    <w:rsid w:val="00012D3B"/>
    <w:rsid w:val="0001321B"/>
    <w:rsid w:val="000144E5"/>
    <w:rsid w:val="00014B1D"/>
    <w:rsid w:val="0001587F"/>
    <w:rsid w:val="0002058B"/>
    <w:rsid w:val="0002128D"/>
    <w:rsid w:val="00022B41"/>
    <w:rsid w:val="00022C2B"/>
    <w:rsid w:val="0002438E"/>
    <w:rsid w:val="000245BA"/>
    <w:rsid w:val="00025F0D"/>
    <w:rsid w:val="000263B0"/>
    <w:rsid w:val="00030FC5"/>
    <w:rsid w:val="00033726"/>
    <w:rsid w:val="00034AA9"/>
    <w:rsid w:val="00036094"/>
    <w:rsid w:val="000362E6"/>
    <w:rsid w:val="00037F2A"/>
    <w:rsid w:val="00040923"/>
    <w:rsid w:val="00040E6F"/>
    <w:rsid w:val="00043668"/>
    <w:rsid w:val="00043881"/>
    <w:rsid w:val="0004453E"/>
    <w:rsid w:val="00044758"/>
    <w:rsid w:val="000448CC"/>
    <w:rsid w:val="000453DC"/>
    <w:rsid w:val="00046C88"/>
    <w:rsid w:val="00047C18"/>
    <w:rsid w:val="00047DDF"/>
    <w:rsid w:val="00057438"/>
    <w:rsid w:val="00057FB3"/>
    <w:rsid w:val="00060D9A"/>
    <w:rsid w:val="00062624"/>
    <w:rsid w:val="00062FA1"/>
    <w:rsid w:val="0006305C"/>
    <w:rsid w:val="000649D4"/>
    <w:rsid w:val="000651AE"/>
    <w:rsid w:val="00065EB9"/>
    <w:rsid w:val="00066090"/>
    <w:rsid w:val="00066567"/>
    <w:rsid w:val="000678DE"/>
    <w:rsid w:val="00071C82"/>
    <w:rsid w:val="000720AC"/>
    <w:rsid w:val="000732C7"/>
    <w:rsid w:val="000765A3"/>
    <w:rsid w:val="0007666B"/>
    <w:rsid w:val="000775E4"/>
    <w:rsid w:val="00082182"/>
    <w:rsid w:val="00082186"/>
    <w:rsid w:val="000835DB"/>
    <w:rsid w:val="00083D0E"/>
    <w:rsid w:val="00084818"/>
    <w:rsid w:val="00085C37"/>
    <w:rsid w:val="00086610"/>
    <w:rsid w:val="000867ED"/>
    <w:rsid w:val="00087989"/>
    <w:rsid w:val="000920F0"/>
    <w:rsid w:val="000942EB"/>
    <w:rsid w:val="00094748"/>
    <w:rsid w:val="00097D3C"/>
    <w:rsid w:val="000A000F"/>
    <w:rsid w:val="000A0247"/>
    <w:rsid w:val="000A0343"/>
    <w:rsid w:val="000A4286"/>
    <w:rsid w:val="000A6AAF"/>
    <w:rsid w:val="000A6F0A"/>
    <w:rsid w:val="000B103F"/>
    <w:rsid w:val="000B2324"/>
    <w:rsid w:val="000B324A"/>
    <w:rsid w:val="000C14AA"/>
    <w:rsid w:val="000C23C7"/>
    <w:rsid w:val="000C397B"/>
    <w:rsid w:val="000C6CCE"/>
    <w:rsid w:val="000C786A"/>
    <w:rsid w:val="000C798F"/>
    <w:rsid w:val="000D1FBC"/>
    <w:rsid w:val="000D2573"/>
    <w:rsid w:val="000D30D4"/>
    <w:rsid w:val="000D31C7"/>
    <w:rsid w:val="000D387A"/>
    <w:rsid w:val="000D47EF"/>
    <w:rsid w:val="000D48CC"/>
    <w:rsid w:val="000D7615"/>
    <w:rsid w:val="000D7BBD"/>
    <w:rsid w:val="000E1284"/>
    <w:rsid w:val="000E1CDD"/>
    <w:rsid w:val="000E2E43"/>
    <w:rsid w:val="000E450F"/>
    <w:rsid w:val="000E7D7E"/>
    <w:rsid w:val="000F0898"/>
    <w:rsid w:val="000F14E8"/>
    <w:rsid w:val="000F19EF"/>
    <w:rsid w:val="000F1F4B"/>
    <w:rsid w:val="000F6DA0"/>
    <w:rsid w:val="00101394"/>
    <w:rsid w:val="001014F5"/>
    <w:rsid w:val="00103915"/>
    <w:rsid w:val="001078E6"/>
    <w:rsid w:val="00111960"/>
    <w:rsid w:val="001160B0"/>
    <w:rsid w:val="001162A5"/>
    <w:rsid w:val="001200ED"/>
    <w:rsid w:val="0012087D"/>
    <w:rsid w:val="00120B80"/>
    <w:rsid w:val="00121D3B"/>
    <w:rsid w:val="00122B23"/>
    <w:rsid w:val="001245D4"/>
    <w:rsid w:val="00124E57"/>
    <w:rsid w:val="00135A40"/>
    <w:rsid w:val="00135DC7"/>
    <w:rsid w:val="001375C4"/>
    <w:rsid w:val="00137646"/>
    <w:rsid w:val="00137A61"/>
    <w:rsid w:val="00137FFA"/>
    <w:rsid w:val="001438ED"/>
    <w:rsid w:val="001448E6"/>
    <w:rsid w:val="00146025"/>
    <w:rsid w:val="00146856"/>
    <w:rsid w:val="00147224"/>
    <w:rsid w:val="00150A83"/>
    <w:rsid w:val="00152274"/>
    <w:rsid w:val="001522B6"/>
    <w:rsid w:val="0015343F"/>
    <w:rsid w:val="001543F8"/>
    <w:rsid w:val="00154B53"/>
    <w:rsid w:val="00155245"/>
    <w:rsid w:val="00155DAE"/>
    <w:rsid w:val="00155DD9"/>
    <w:rsid w:val="00156BE4"/>
    <w:rsid w:val="00162380"/>
    <w:rsid w:val="00165A21"/>
    <w:rsid w:val="00166C46"/>
    <w:rsid w:val="00167BF1"/>
    <w:rsid w:val="00171104"/>
    <w:rsid w:val="00171CF4"/>
    <w:rsid w:val="00175A64"/>
    <w:rsid w:val="0018017A"/>
    <w:rsid w:val="00181C2A"/>
    <w:rsid w:val="00183388"/>
    <w:rsid w:val="00184CBC"/>
    <w:rsid w:val="00186338"/>
    <w:rsid w:val="00190812"/>
    <w:rsid w:val="00192F9B"/>
    <w:rsid w:val="00195EF5"/>
    <w:rsid w:val="00196BE5"/>
    <w:rsid w:val="001975AC"/>
    <w:rsid w:val="001A00E2"/>
    <w:rsid w:val="001A153A"/>
    <w:rsid w:val="001A393A"/>
    <w:rsid w:val="001A4318"/>
    <w:rsid w:val="001A5507"/>
    <w:rsid w:val="001A680B"/>
    <w:rsid w:val="001B1847"/>
    <w:rsid w:val="001B1ECB"/>
    <w:rsid w:val="001B23CE"/>
    <w:rsid w:val="001B45E7"/>
    <w:rsid w:val="001C0A60"/>
    <w:rsid w:val="001C0AF7"/>
    <w:rsid w:val="001C16CC"/>
    <w:rsid w:val="001C39DF"/>
    <w:rsid w:val="001C4570"/>
    <w:rsid w:val="001C5E73"/>
    <w:rsid w:val="001D0260"/>
    <w:rsid w:val="001D0A63"/>
    <w:rsid w:val="001D1883"/>
    <w:rsid w:val="001D33D1"/>
    <w:rsid w:val="001D5240"/>
    <w:rsid w:val="001D60DA"/>
    <w:rsid w:val="001D7FE6"/>
    <w:rsid w:val="001E04BA"/>
    <w:rsid w:val="001E1B39"/>
    <w:rsid w:val="001E1E4A"/>
    <w:rsid w:val="001E2D6F"/>
    <w:rsid w:val="001E40C6"/>
    <w:rsid w:val="001E5ACA"/>
    <w:rsid w:val="001E6B77"/>
    <w:rsid w:val="001F083C"/>
    <w:rsid w:val="001F1672"/>
    <w:rsid w:val="001F515E"/>
    <w:rsid w:val="001F59D8"/>
    <w:rsid w:val="001F5FEF"/>
    <w:rsid w:val="00200B89"/>
    <w:rsid w:val="00200C0F"/>
    <w:rsid w:val="002021C7"/>
    <w:rsid w:val="00202B7A"/>
    <w:rsid w:val="002031DB"/>
    <w:rsid w:val="002047E9"/>
    <w:rsid w:val="00205305"/>
    <w:rsid w:val="00205850"/>
    <w:rsid w:val="00206852"/>
    <w:rsid w:val="00207041"/>
    <w:rsid w:val="00211C31"/>
    <w:rsid w:val="00213804"/>
    <w:rsid w:val="0021714E"/>
    <w:rsid w:val="00220681"/>
    <w:rsid w:val="002236FF"/>
    <w:rsid w:val="00224722"/>
    <w:rsid w:val="00227E56"/>
    <w:rsid w:val="002301F1"/>
    <w:rsid w:val="002304C1"/>
    <w:rsid w:val="002315AE"/>
    <w:rsid w:val="00232ECE"/>
    <w:rsid w:val="0023384B"/>
    <w:rsid w:val="00233A64"/>
    <w:rsid w:val="002346F8"/>
    <w:rsid w:val="00234B84"/>
    <w:rsid w:val="00236F7F"/>
    <w:rsid w:val="0024212A"/>
    <w:rsid w:val="002436DD"/>
    <w:rsid w:val="002456DF"/>
    <w:rsid w:val="00250966"/>
    <w:rsid w:val="00251667"/>
    <w:rsid w:val="002518A6"/>
    <w:rsid w:val="0025429B"/>
    <w:rsid w:val="0025531C"/>
    <w:rsid w:val="00256C1D"/>
    <w:rsid w:val="00261AAE"/>
    <w:rsid w:val="0026505D"/>
    <w:rsid w:val="002654B9"/>
    <w:rsid w:val="00266568"/>
    <w:rsid w:val="002668CC"/>
    <w:rsid w:val="00270911"/>
    <w:rsid w:val="00270A17"/>
    <w:rsid w:val="00270C9A"/>
    <w:rsid w:val="00272F3C"/>
    <w:rsid w:val="00273961"/>
    <w:rsid w:val="0027401B"/>
    <w:rsid w:val="0027497E"/>
    <w:rsid w:val="00276DFC"/>
    <w:rsid w:val="002806D0"/>
    <w:rsid w:val="0028218D"/>
    <w:rsid w:val="00282A6B"/>
    <w:rsid w:val="00283535"/>
    <w:rsid w:val="0029116C"/>
    <w:rsid w:val="00292D21"/>
    <w:rsid w:val="002934B2"/>
    <w:rsid w:val="0029572E"/>
    <w:rsid w:val="00295D8A"/>
    <w:rsid w:val="002A0F0D"/>
    <w:rsid w:val="002A0F0F"/>
    <w:rsid w:val="002A19C4"/>
    <w:rsid w:val="002A294A"/>
    <w:rsid w:val="002A2CD3"/>
    <w:rsid w:val="002A7C42"/>
    <w:rsid w:val="002B03E5"/>
    <w:rsid w:val="002B17C5"/>
    <w:rsid w:val="002B446C"/>
    <w:rsid w:val="002B6286"/>
    <w:rsid w:val="002B709B"/>
    <w:rsid w:val="002C1EEC"/>
    <w:rsid w:val="002C31BC"/>
    <w:rsid w:val="002C57F2"/>
    <w:rsid w:val="002C68B3"/>
    <w:rsid w:val="002D05DE"/>
    <w:rsid w:val="002D2FF2"/>
    <w:rsid w:val="002D3B38"/>
    <w:rsid w:val="002D57A3"/>
    <w:rsid w:val="002D5D61"/>
    <w:rsid w:val="002D5FFC"/>
    <w:rsid w:val="002D665A"/>
    <w:rsid w:val="002E0C71"/>
    <w:rsid w:val="002E13E0"/>
    <w:rsid w:val="002E1993"/>
    <w:rsid w:val="002E1A34"/>
    <w:rsid w:val="002E424E"/>
    <w:rsid w:val="002E479E"/>
    <w:rsid w:val="002E4EFE"/>
    <w:rsid w:val="002E6F80"/>
    <w:rsid w:val="002F1143"/>
    <w:rsid w:val="002F1FE0"/>
    <w:rsid w:val="002F231E"/>
    <w:rsid w:val="002F23C9"/>
    <w:rsid w:val="002F6312"/>
    <w:rsid w:val="002F6F49"/>
    <w:rsid w:val="0030118B"/>
    <w:rsid w:val="003033BA"/>
    <w:rsid w:val="00305329"/>
    <w:rsid w:val="00306222"/>
    <w:rsid w:val="00306763"/>
    <w:rsid w:val="003074FD"/>
    <w:rsid w:val="00307E45"/>
    <w:rsid w:val="003102F2"/>
    <w:rsid w:val="00310C43"/>
    <w:rsid w:val="00311A86"/>
    <w:rsid w:val="0031275A"/>
    <w:rsid w:val="003133D1"/>
    <w:rsid w:val="00313974"/>
    <w:rsid w:val="00315651"/>
    <w:rsid w:val="00315A1D"/>
    <w:rsid w:val="00317242"/>
    <w:rsid w:val="003174A5"/>
    <w:rsid w:val="00317949"/>
    <w:rsid w:val="00317BB7"/>
    <w:rsid w:val="00321B8E"/>
    <w:rsid w:val="00325979"/>
    <w:rsid w:val="00326BEF"/>
    <w:rsid w:val="003277AE"/>
    <w:rsid w:val="00327E0D"/>
    <w:rsid w:val="00331A72"/>
    <w:rsid w:val="00331CE3"/>
    <w:rsid w:val="00333156"/>
    <w:rsid w:val="00333CDE"/>
    <w:rsid w:val="003342B2"/>
    <w:rsid w:val="003355DA"/>
    <w:rsid w:val="0033597E"/>
    <w:rsid w:val="003373A4"/>
    <w:rsid w:val="00340AD3"/>
    <w:rsid w:val="00340C37"/>
    <w:rsid w:val="0034119F"/>
    <w:rsid w:val="00341911"/>
    <w:rsid w:val="00341BE6"/>
    <w:rsid w:val="00343194"/>
    <w:rsid w:val="00343AB2"/>
    <w:rsid w:val="003461EA"/>
    <w:rsid w:val="0034680A"/>
    <w:rsid w:val="003477C1"/>
    <w:rsid w:val="00351423"/>
    <w:rsid w:val="00352ABF"/>
    <w:rsid w:val="00352FB2"/>
    <w:rsid w:val="0035397A"/>
    <w:rsid w:val="0035419A"/>
    <w:rsid w:val="0035582B"/>
    <w:rsid w:val="00355E89"/>
    <w:rsid w:val="00356A34"/>
    <w:rsid w:val="00361348"/>
    <w:rsid w:val="0036167C"/>
    <w:rsid w:val="00362709"/>
    <w:rsid w:val="00363BC9"/>
    <w:rsid w:val="003643E8"/>
    <w:rsid w:val="00366AA6"/>
    <w:rsid w:val="0037114A"/>
    <w:rsid w:val="0037229F"/>
    <w:rsid w:val="00373E13"/>
    <w:rsid w:val="003743B6"/>
    <w:rsid w:val="00374F3E"/>
    <w:rsid w:val="003762EE"/>
    <w:rsid w:val="00376854"/>
    <w:rsid w:val="0037781B"/>
    <w:rsid w:val="003829B3"/>
    <w:rsid w:val="003839D0"/>
    <w:rsid w:val="00385978"/>
    <w:rsid w:val="00385DDF"/>
    <w:rsid w:val="00386456"/>
    <w:rsid w:val="00390BDB"/>
    <w:rsid w:val="00390F08"/>
    <w:rsid w:val="00391F77"/>
    <w:rsid w:val="00392A2E"/>
    <w:rsid w:val="0039355B"/>
    <w:rsid w:val="0039398A"/>
    <w:rsid w:val="00393DF4"/>
    <w:rsid w:val="003946F7"/>
    <w:rsid w:val="003950F3"/>
    <w:rsid w:val="00396696"/>
    <w:rsid w:val="00396ABB"/>
    <w:rsid w:val="003976AE"/>
    <w:rsid w:val="003A03E8"/>
    <w:rsid w:val="003A1A92"/>
    <w:rsid w:val="003A266D"/>
    <w:rsid w:val="003A3B32"/>
    <w:rsid w:val="003A3CF0"/>
    <w:rsid w:val="003A581E"/>
    <w:rsid w:val="003A5E4E"/>
    <w:rsid w:val="003A6BA0"/>
    <w:rsid w:val="003A6EA8"/>
    <w:rsid w:val="003A789C"/>
    <w:rsid w:val="003B03BF"/>
    <w:rsid w:val="003B0BB1"/>
    <w:rsid w:val="003B49A4"/>
    <w:rsid w:val="003B4D4F"/>
    <w:rsid w:val="003B7211"/>
    <w:rsid w:val="003B75E6"/>
    <w:rsid w:val="003C0712"/>
    <w:rsid w:val="003C3A87"/>
    <w:rsid w:val="003C3FB8"/>
    <w:rsid w:val="003C5458"/>
    <w:rsid w:val="003C564B"/>
    <w:rsid w:val="003C5A2E"/>
    <w:rsid w:val="003C77FB"/>
    <w:rsid w:val="003D1833"/>
    <w:rsid w:val="003D5FFB"/>
    <w:rsid w:val="003E1061"/>
    <w:rsid w:val="003E1853"/>
    <w:rsid w:val="003E21E7"/>
    <w:rsid w:val="003E5578"/>
    <w:rsid w:val="003F0256"/>
    <w:rsid w:val="003F2762"/>
    <w:rsid w:val="003F466C"/>
    <w:rsid w:val="003F551E"/>
    <w:rsid w:val="003F5E2E"/>
    <w:rsid w:val="003F5F01"/>
    <w:rsid w:val="003F6DB8"/>
    <w:rsid w:val="003F7100"/>
    <w:rsid w:val="004008EE"/>
    <w:rsid w:val="004026AA"/>
    <w:rsid w:val="00402FFB"/>
    <w:rsid w:val="00403195"/>
    <w:rsid w:val="0040416B"/>
    <w:rsid w:val="00405F6D"/>
    <w:rsid w:val="00412B33"/>
    <w:rsid w:val="00412C94"/>
    <w:rsid w:val="00412E29"/>
    <w:rsid w:val="0041405F"/>
    <w:rsid w:val="0041420E"/>
    <w:rsid w:val="00414B36"/>
    <w:rsid w:val="00414EE8"/>
    <w:rsid w:val="00415E4F"/>
    <w:rsid w:val="00417023"/>
    <w:rsid w:val="004206A4"/>
    <w:rsid w:val="00421CA0"/>
    <w:rsid w:val="0042704E"/>
    <w:rsid w:val="0042797D"/>
    <w:rsid w:val="00427D74"/>
    <w:rsid w:val="004301E2"/>
    <w:rsid w:val="00433063"/>
    <w:rsid w:val="004336EA"/>
    <w:rsid w:val="004345E3"/>
    <w:rsid w:val="004348A1"/>
    <w:rsid w:val="00434F99"/>
    <w:rsid w:val="00435530"/>
    <w:rsid w:val="00435E15"/>
    <w:rsid w:val="00436F07"/>
    <w:rsid w:val="00437E23"/>
    <w:rsid w:val="00440DC5"/>
    <w:rsid w:val="00440E07"/>
    <w:rsid w:val="004422D6"/>
    <w:rsid w:val="00442D02"/>
    <w:rsid w:val="00443588"/>
    <w:rsid w:val="0044423C"/>
    <w:rsid w:val="004473DB"/>
    <w:rsid w:val="00450066"/>
    <w:rsid w:val="00454FD6"/>
    <w:rsid w:val="00455DB2"/>
    <w:rsid w:val="00457DF1"/>
    <w:rsid w:val="004604D5"/>
    <w:rsid w:val="00460842"/>
    <w:rsid w:val="00460ED0"/>
    <w:rsid w:val="00461501"/>
    <w:rsid w:val="00461F68"/>
    <w:rsid w:val="00462ECE"/>
    <w:rsid w:val="00464784"/>
    <w:rsid w:val="004649F4"/>
    <w:rsid w:val="00465EED"/>
    <w:rsid w:val="00467068"/>
    <w:rsid w:val="00470363"/>
    <w:rsid w:val="00474F64"/>
    <w:rsid w:val="00476602"/>
    <w:rsid w:val="00477519"/>
    <w:rsid w:val="00482AC2"/>
    <w:rsid w:val="004832BF"/>
    <w:rsid w:val="00483432"/>
    <w:rsid w:val="0048439B"/>
    <w:rsid w:val="0048447C"/>
    <w:rsid w:val="00485259"/>
    <w:rsid w:val="0049042F"/>
    <w:rsid w:val="00491763"/>
    <w:rsid w:val="004938A8"/>
    <w:rsid w:val="00494839"/>
    <w:rsid w:val="00494F71"/>
    <w:rsid w:val="004959F8"/>
    <w:rsid w:val="00495D77"/>
    <w:rsid w:val="0049660B"/>
    <w:rsid w:val="00497A1D"/>
    <w:rsid w:val="004A267D"/>
    <w:rsid w:val="004A278C"/>
    <w:rsid w:val="004A29A5"/>
    <w:rsid w:val="004A2B18"/>
    <w:rsid w:val="004A34D2"/>
    <w:rsid w:val="004A512D"/>
    <w:rsid w:val="004A611F"/>
    <w:rsid w:val="004A6646"/>
    <w:rsid w:val="004B0D78"/>
    <w:rsid w:val="004B1158"/>
    <w:rsid w:val="004B1821"/>
    <w:rsid w:val="004B3D99"/>
    <w:rsid w:val="004B445E"/>
    <w:rsid w:val="004B5235"/>
    <w:rsid w:val="004B5922"/>
    <w:rsid w:val="004B5C3C"/>
    <w:rsid w:val="004B6246"/>
    <w:rsid w:val="004B645B"/>
    <w:rsid w:val="004B794D"/>
    <w:rsid w:val="004B7B59"/>
    <w:rsid w:val="004B7D75"/>
    <w:rsid w:val="004C0279"/>
    <w:rsid w:val="004C0932"/>
    <w:rsid w:val="004C0BB2"/>
    <w:rsid w:val="004C3EDA"/>
    <w:rsid w:val="004C69A1"/>
    <w:rsid w:val="004C6C72"/>
    <w:rsid w:val="004D0CB0"/>
    <w:rsid w:val="004D11C2"/>
    <w:rsid w:val="004D3CCE"/>
    <w:rsid w:val="004D4C8F"/>
    <w:rsid w:val="004D5609"/>
    <w:rsid w:val="004D718B"/>
    <w:rsid w:val="004D7EC4"/>
    <w:rsid w:val="004E16E5"/>
    <w:rsid w:val="004E4D0D"/>
    <w:rsid w:val="004E4E22"/>
    <w:rsid w:val="004E7149"/>
    <w:rsid w:val="004E750B"/>
    <w:rsid w:val="004F0AF3"/>
    <w:rsid w:val="004F1B23"/>
    <w:rsid w:val="004F3091"/>
    <w:rsid w:val="004F4E70"/>
    <w:rsid w:val="004F58AE"/>
    <w:rsid w:val="004F5C0B"/>
    <w:rsid w:val="00501C7C"/>
    <w:rsid w:val="005024CA"/>
    <w:rsid w:val="00502628"/>
    <w:rsid w:val="00502D15"/>
    <w:rsid w:val="005037D6"/>
    <w:rsid w:val="00504448"/>
    <w:rsid w:val="00507356"/>
    <w:rsid w:val="005079BF"/>
    <w:rsid w:val="0051074C"/>
    <w:rsid w:val="00512B03"/>
    <w:rsid w:val="00513AF2"/>
    <w:rsid w:val="0051777B"/>
    <w:rsid w:val="00517808"/>
    <w:rsid w:val="00520772"/>
    <w:rsid w:val="00520794"/>
    <w:rsid w:val="00521AC4"/>
    <w:rsid w:val="00523448"/>
    <w:rsid w:val="0052435B"/>
    <w:rsid w:val="00525274"/>
    <w:rsid w:val="00526515"/>
    <w:rsid w:val="00527802"/>
    <w:rsid w:val="00527C35"/>
    <w:rsid w:val="00530BAB"/>
    <w:rsid w:val="005311CA"/>
    <w:rsid w:val="005313B9"/>
    <w:rsid w:val="00531C8E"/>
    <w:rsid w:val="00534450"/>
    <w:rsid w:val="00535C77"/>
    <w:rsid w:val="0054061C"/>
    <w:rsid w:val="00540BDD"/>
    <w:rsid w:val="005414AC"/>
    <w:rsid w:val="00542C19"/>
    <w:rsid w:val="00543102"/>
    <w:rsid w:val="0054413A"/>
    <w:rsid w:val="00544B92"/>
    <w:rsid w:val="00545E73"/>
    <w:rsid w:val="0054651C"/>
    <w:rsid w:val="00547F13"/>
    <w:rsid w:val="00550C02"/>
    <w:rsid w:val="00551312"/>
    <w:rsid w:val="00551653"/>
    <w:rsid w:val="00552067"/>
    <w:rsid w:val="00553B5D"/>
    <w:rsid w:val="005542DB"/>
    <w:rsid w:val="005544D0"/>
    <w:rsid w:val="0055487B"/>
    <w:rsid w:val="00555055"/>
    <w:rsid w:val="005550A3"/>
    <w:rsid w:val="005564CA"/>
    <w:rsid w:val="00560A4E"/>
    <w:rsid w:val="00562490"/>
    <w:rsid w:val="005657A2"/>
    <w:rsid w:val="00565C7E"/>
    <w:rsid w:val="00566225"/>
    <w:rsid w:val="00566E6A"/>
    <w:rsid w:val="005705F7"/>
    <w:rsid w:val="0057076F"/>
    <w:rsid w:val="005725DF"/>
    <w:rsid w:val="005731D0"/>
    <w:rsid w:val="0057359F"/>
    <w:rsid w:val="00575217"/>
    <w:rsid w:val="00575B3D"/>
    <w:rsid w:val="00576724"/>
    <w:rsid w:val="00576733"/>
    <w:rsid w:val="00577071"/>
    <w:rsid w:val="00581EBC"/>
    <w:rsid w:val="0058647D"/>
    <w:rsid w:val="00586679"/>
    <w:rsid w:val="005870DF"/>
    <w:rsid w:val="00587E9D"/>
    <w:rsid w:val="0059076C"/>
    <w:rsid w:val="00593DB1"/>
    <w:rsid w:val="00593FE9"/>
    <w:rsid w:val="00597889"/>
    <w:rsid w:val="00597B42"/>
    <w:rsid w:val="00597B94"/>
    <w:rsid w:val="005A07BD"/>
    <w:rsid w:val="005A09E8"/>
    <w:rsid w:val="005A0CC4"/>
    <w:rsid w:val="005A2022"/>
    <w:rsid w:val="005A2B7F"/>
    <w:rsid w:val="005A5DA1"/>
    <w:rsid w:val="005B01B5"/>
    <w:rsid w:val="005B26EB"/>
    <w:rsid w:val="005B338A"/>
    <w:rsid w:val="005B4444"/>
    <w:rsid w:val="005B50FB"/>
    <w:rsid w:val="005B61E8"/>
    <w:rsid w:val="005B64E3"/>
    <w:rsid w:val="005B74E2"/>
    <w:rsid w:val="005C19F3"/>
    <w:rsid w:val="005C280F"/>
    <w:rsid w:val="005C2A6C"/>
    <w:rsid w:val="005C47CD"/>
    <w:rsid w:val="005C60EB"/>
    <w:rsid w:val="005C6619"/>
    <w:rsid w:val="005C66D8"/>
    <w:rsid w:val="005C7BC1"/>
    <w:rsid w:val="005D1E83"/>
    <w:rsid w:val="005D2381"/>
    <w:rsid w:val="005D3C8F"/>
    <w:rsid w:val="005D47B2"/>
    <w:rsid w:val="005D6180"/>
    <w:rsid w:val="005D78E7"/>
    <w:rsid w:val="005E124C"/>
    <w:rsid w:val="005E1400"/>
    <w:rsid w:val="005E15AC"/>
    <w:rsid w:val="005E414D"/>
    <w:rsid w:val="005E74B0"/>
    <w:rsid w:val="005E7E46"/>
    <w:rsid w:val="005F0567"/>
    <w:rsid w:val="005F2058"/>
    <w:rsid w:val="005F2C66"/>
    <w:rsid w:val="005F51D1"/>
    <w:rsid w:val="005F5643"/>
    <w:rsid w:val="005F591C"/>
    <w:rsid w:val="005F735D"/>
    <w:rsid w:val="005F7503"/>
    <w:rsid w:val="00604F5A"/>
    <w:rsid w:val="00606144"/>
    <w:rsid w:val="006103E8"/>
    <w:rsid w:val="00612107"/>
    <w:rsid w:val="00613798"/>
    <w:rsid w:val="006137DC"/>
    <w:rsid w:val="00614030"/>
    <w:rsid w:val="00614E0B"/>
    <w:rsid w:val="006160D2"/>
    <w:rsid w:val="00616FD5"/>
    <w:rsid w:val="00620BF2"/>
    <w:rsid w:val="00623442"/>
    <w:rsid w:val="0063024C"/>
    <w:rsid w:val="00630415"/>
    <w:rsid w:val="006310DC"/>
    <w:rsid w:val="006313A5"/>
    <w:rsid w:val="006324F8"/>
    <w:rsid w:val="006326DB"/>
    <w:rsid w:val="00632865"/>
    <w:rsid w:val="00632E60"/>
    <w:rsid w:val="00633357"/>
    <w:rsid w:val="00634551"/>
    <w:rsid w:val="006359C0"/>
    <w:rsid w:val="00636DBA"/>
    <w:rsid w:val="006376C9"/>
    <w:rsid w:val="00640DDA"/>
    <w:rsid w:val="00640E32"/>
    <w:rsid w:val="006420D0"/>
    <w:rsid w:val="006423F5"/>
    <w:rsid w:val="00642EA9"/>
    <w:rsid w:val="006462AE"/>
    <w:rsid w:val="00646B5C"/>
    <w:rsid w:val="00647FE6"/>
    <w:rsid w:val="00654420"/>
    <w:rsid w:val="00654A2F"/>
    <w:rsid w:val="00654A4D"/>
    <w:rsid w:val="00655371"/>
    <w:rsid w:val="00655762"/>
    <w:rsid w:val="00656BDD"/>
    <w:rsid w:val="00656FCA"/>
    <w:rsid w:val="00660CC8"/>
    <w:rsid w:val="006616E6"/>
    <w:rsid w:val="00661EC2"/>
    <w:rsid w:val="00664B5C"/>
    <w:rsid w:val="006650DF"/>
    <w:rsid w:val="00665D69"/>
    <w:rsid w:val="006673CF"/>
    <w:rsid w:val="00667FF9"/>
    <w:rsid w:val="00671A48"/>
    <w:rsid w:val="00671E09"/>
    <w:rsid w:val="00675CDD"/>
    <w:rsid w:val="00675F48"/>
    <w:rsid w:val="00675FF8"/>
    <w:rsid w:val="006760DE"/>
    <w:rsid w:val="0067611C"/>
    <w:rsid w:val="006773B5"/>
    <w:rsid w:val="00680A59"/>
    <w:rsid w:val="006815A1"/>
    <w:rsid w:val="0068257A"/>
    <w:rsid w:val="00682E0D"/>
    <w:rsid w:val="00683856"/>
    <w:rsid w:val="00685162"/>
    <w:rsid w:val="00686AA5"/>
    <w:rsid w:val="00686E3A"/>
    <w:rsid w:val="00690B55"/>
    <w:rsid w:val="006913CA"/>
    <w:rsid w:val="00691DF1"/>
    <w:rsid w:val="00696576"/>
    <w:rsid w:val="00697665"/>
    <w:rsid w:val="006977A6"/>
    <w:rsid w:val="006A06C5"/>
    <w:rsid w:val="006A22FE"/>
    <w:rsid w:val="006A25C9"/>
    <w:rsid w:val="006A3B75"/>
    <w:rsid w:val="006A5068"/>
    <w:rsid w:val="006A63E2"/>
    <w:rsid w:val="006A67F3"/>
    <w:rsid w:val="006A6B4A"/>
    <w:rsid w:val="006A7981"/>
    <w:rsid w:val="006A7FD0"/>
    <w:rsid w:val="006B0790"/>
    <w:rsid w:val="006B2A4B"/>
    <w:rsid w:val="006B2A81"/>
    <w:rsid w:val="006B3A45"/>
    <w:rsid w:val="006B4DEC"/>
    <w:rsid w:val="006B58E4"/>
    <w:rsid w:val="006B5D02"/>
    <w:rsid w:val="006B74EF"/>
    <w:rsid w:val="006C01CD"/>
    <w:rsid w:val="006C04B6"/>
    <w:rsid w:val="006C1787"/>
    <w:rsid w:val="006C2EDF"/>
    <w:rsid w:val="006C45E1"/>
    <w:rsid w:val="006C4C2C"/>
    <w:rsid w:val="006C4D46"/>
    <w:rsid w:val="006D1C63"/>
    <w:rsid w:val="006D6A68"/>
    <w:rsid w:val="006D7687"/>
    <w:rsid w:val="006E0572"/>
    <w:rsid w:val="006E19F4"/>
    <w:rsid w:val="006E3D5D"/>
    <w:rsid w:val="006E5E5D"/>
    <w:rsid w:val="006E69B8"/>
    <w:rsid w:val="006E71B6"/>
    <w:rsid w:val="006E73B1"/>
    <w:rsid w:val="006F344A"/>
    <w:rsid w:val="006F3FD3"/>
    <w:rsid w:val="006F6AE7"/>
    <w:rsid w:val="007026A8"/>
    <w:rsid w:val="007031C5"/>
    <w:rsid w:val="00703690"/>
    <w:rsid w:val="00703DDF"/>
    <w:rsid w:val="00705025"/>
    <w:rsid w:val="00705631"/>
    <w:rsid w:val="00714CC7"/>
    <w:rsid w:val="0071524A"/>
    <w:rsid w:val="007155E0"/>
    <w:rsid w:val="00716793"/>
    <w:rsid w:val="007171C0"/>
    <w:rsid w:val="007204C0"/>
    <w:rsid w:val="00720B31"/>
    <w:rsid w:val="007217EF"/>
    <w:rsid w:val="00725873"/>
    <w:rsid w:val="007265C3"/>
    <w:rsid w:val="00726AEA"/>
    <w:rsid w:val="00730FCA"/>
    <w:rsid w:val="007318D8"/>
    <w:rsid w:val="0073240F"/>
    <w:rsid w:val="007330DE"/>
    <w:rsid w:val="0073340B"/>
    <w:rsid w:val="00734381"/>
    <w:rsid w:val="00734538"/>
    <w:rsid w:val="007349F3"/>
    <w:rsid w:val="0073550A"/>
    <w:rsid w:val="00736105"/>
    <w:rsid w:val="00736292"/>
    <w:rsid w:val="007369E4"/>
    <w:rsid w:val="007379DB"/>
    <w:rsid w:val="00737AD0"/>
    <w:rsid w:val="00742AFC"/>
    <w:rsid w:val="00742B02"/>
    <w:rsid w:val="00742DD2"/>
    <w:rsid w:val="00745301"/>
    <w:rsid w:val="00746C26"/>
    <w:rsid w:val="0075277F"/>
    <w:rsid w:val="00752D13"/>
    <w:rsid w:val="0075345C"/>
    <w:rsid w:val="00754152"/>
    <w:rsid w:val="00754EC0"/>
    <w:rsid w:val="0075647A"/>
    <w:rsid w:val="00757117"/>
    <w:rsid w:val="00760C7C"/>
    <w:rsid w:val="007634AD"/>
    <w:rsid w:val="00763B06"/>
    <w:rsid w:val="00763DF0"/>
    <w:rsid w:val="00766562"/>
    <w:rsid w:val="00770749"/>
    <w:rsid w:val="00770ADC"/>
    <w:rsid w:val="00771BA7"/>
    <w:rsid w:val="00773EE9"/>
    <w:rsid w:val="00773EFA"/>
    <w:rsid w:val="007751AB"/>
    <w:rsid w:val="0077581F"/>
    <w:rsid w:val="00775C7C"/>
    <w:rsid w:val="00775F71"/>
    <w:rsid w:val="00777B18"/>
    <w:rsid w:val="00780F3A"/>
    <w:rsid w:val="0078122E"/>
    <w:rsid w:val="00781432"/>
    <w:rsid w:val="0078331C"/>
    <w:rsid w:val="00786FA5"/>
    <w:rsid w:val="00790165"/>
    <w:rsid w:val="00792CCD"/>
    <w:rsid w:val="00795F60"/>
    <w:rsid w:val="007A00AB"/>
    <w:rsid w:val="007A1640"/>
    <w:rsid w:val="007A3087"/>
    <w:rsid w:val="007A3365"/>
    <w:rsid w:val="007A3575"/>
    <w:rsid w:val="007A36F7"/>
    <w:rsid w:val="007A3878"/>
    <w:rsid w:val="007A45E1"/>
    <w:rsid w:val="007A4F9B"/>
    <w:rsid w:val="007B0854"/>
    <w:rsid w:val="007B26EA"/>
    <w:rsid w:val="007B350C"/>
    <w:rsid w:val="007B5E4D"/>
    <w:rsid w:val="007C0482"/>
    <w:rsid w:val="007C2BF6"/>
    <w:rsid w:val="007C4999"/>
    <w:rsid w:val="007C5B45"/>
    <w:rsid w:val="007C67B5"/>
    <w:rsid w:val="007C6D53"/>
    <w:rsid w:val="007C745C"/>
    <w:rsid w:val="007D1800"/>
    <w:rsid w:val="007D28D9"/>
    <w:rsid w:val="007D4460"/>
    <w:rsid w:val="007D4E2C"/>
    <w:rsid w:val="007E0012"/>
    <w:rsid w:val="007E07F7"/>
    <w:rsid w:val="007E13BA"/>
    <w:rsid w:val="007E724B"/>
    <w:rsid w:val="007E7D01"/>
    <w:rsid w:val="007F21B2"/>
    <w:rsid w:val="007F306F"/>
    <w:rsid w:val="007F3261"/>
    <w:rsid w:val="007F3788"/>
    <w:rsid w:val="007F40CD"/>
    <w:rsid w:val="007F5CD2"/>
    <w:rsid w:val="007F6877"/>
    <w:rsid w:val="007F6E86"/>
    <w:rsid w:val="007F72CB"/>
    <w:rsid w:val="008020B4"/>
    <w:rsid w:val="00802410"/>
    <w:rsid w:val="008029C5"/>
    <w:rsid w:val="00802E04"/>
    <w:rsid w:val="00803C53"/>
    <w:rsid w:val="00804199"/>
    <w:rsid w:val="00810BC2"/>
    <w:rsid w:val="00810F70"/>
    <w:rsid w:val="008112AE"/>
    <w:rsid w:val="008118F4"/>
    <w:rsid w:val="00812B27"/>
    <w:rsid w:val="00813D99"/>
    <w:rsid w:val="008150DF"/>
    <w:rsid w:val="0082268C"/>
    <w:rsid w:val="0083119B"/>
    <w:rsid w:val="00834E72"/>
    <w:rsid w:val="00836AFD"/>
    <w:rsid w:val="00836C3A"/>
    <w:rsid w:val="00836EAB"/>
    <w:rsid w:val="00837248"/>
    <w:rsid w:val="00837349"/>
    <w:rsid w:val="00840D0A"/>
    <w:rsid w:val="00841B8A"/>
    <w:rsid w:val="00845BC2"/>
    <w:rsid w:val="00845C82"/>
    <w:rsid w:val="00847A9D"/>
    <w:rsid w:val="00847F78"/>
    <w:rsid w:val="0085092D"/>
    <w:rsid w:val="00852147"/>
    <w:rsid w:val="00854321"/>
    <w:rsid w:val="00854646"/>
    <w:rsid w:val="008546F7"/>
    <w:rsid w:val="00856133"/>
    <w:rsid w:val="00856268"/>
    <w:rsid w:val="008563D1"/>
    <w:rsid w:val="00860B70"/>
    <w:rsid w:val="00870D79"/>
    <w:rsid w:val="00874D84"/>
    <w:rsid w:val="00875A80"/>
    <w:rsid w:val="008765F0"/>
    <w:rsid w:val="00876A9D"/>
    <w:rsid w:val="0087751D"/>
    <w:rsid w:val="00877CD6"/>
    <w:rsid w:val="0088101C"/>
    <w:rsid w:val="0088206E"/>
    <w:rsid w:val="0088233B"/>
    <w:rsid w:val="008828E7"/>
    <w:rsid w:val="0088385C"/>
    <w:rsid w:val="00884C8B"/>
    <w:rsid w:val="0088563B"/>
    <w:rsid w:val="008856AE"/>
    <w:rsid w:val="0088659A"/>
    <w:rsid w:val="00886DDE"/>
    <w:rsid w:val="00890EC8"/>
    <w:rsid w:val="00891978"/>
    <w:rsid w:val="00892103"/>
    <w:rsid w:val="00893313"/>
    <w:rsid w:val="00893744"/>
    <w:rsid w:val="00893A01"/>
    <w:rsid w:val="00895A43"/>
    <w:rsid w:val="008A1527"/>
    <w:rsid w:val="008A1750"/>
    <w:rsid w:val="008A1B06"/>
    <w:rsid w:val="008A2636"/>
    <w:rsid w:val="008A4B60"/>
    <w:rsid w:val="008B0FF2"/>
    <w:rsid w:val="008B1E24"/>
    <w:rsid w:val="008B2021"/>
    <w:rsid w:val="008B404F"/>
    <w:rsid w:val="008B4FA2"/>
    <w:rsid w:val="008B5359"/>
    <w:rsid w:val="008B5AED"/>
    <w:rsid w:val="008B6437"/>
    <w:rsid w:val="008B7DB2"/>
    <w:rsid w:val="008C0C45"/>
    <w:rsid w:val="008C36A1"/>
    <w:rsid w:val="008C3A55"/>
    <w:rsid w:val="008C7603"/>
    <w:rsid w:val="008C7B34"/>
    <w:rsid w:val="008D082E"/>
    <w:rsid w:val="008D0D41"/>
    <w:rsid w:val="008D218F"/>
    <w:rsid w:val="008D41C2"/>
    <w:rsid w:val="008D4AE8"/>
    <w:rsid w:val="008D55EA"/>
    <w:rsid w:val="008D6B63"/>
    <w:rsid w:val="008D7FDF"/>
    <w:rsid w:val="008E07D2"/>
    <w:rsid w:val="008E12EE"/>
    <w:rsid w:val="008E1C15"/>
    <w:rsid w:val="008E2789"/>
    <w:rsid w:val="008E3D79"/>
    <w:rsid w:val="008E4385"/>
    <w:rsid w:val="008E58E3"/>
    <w:rsid w:val="008E6270"/>
    <w:rsid w:val="008E76C6"/>
    <w:rsid w:val="008F1674"/>
    <w:rsid w:val="008F180C"/>
    <w:rsid w:val="008F4F08"/>
    <w:rsid w:val="008F67B0"/>
    <w:rsid w:val="008F6974"/>
    <w:rsid w:val="00900C60"/>
    <w:rsid w:val="00900CC0"/>
    <w:rsid w:val="00901F74"/>
    <w:rsid w:val="00902980"/>
    <w:rsid w:val="00903913"/>
    <w:rsid w:val="00904433"/>
    <w:rsid w:val="009047C5"/>
    <w:rsid w:val="009049F3"/>
    <w:rsid w:val="00906117"/>
    <w:rsid w:val="00906DF7"/>
    <w:rsid w:val="00911AE7"/>
    <w:rsid w:val="00911B55"/>
    <w:rsid w:val="00914791"/>
    <w:rsid w:val="00914BEA"/>
    <w:rsid w:val="00914CA9"/>
    <w:rsid w:val="0091733A"/>
    <w:rsid w:val="00917D09"/>
    <w:rsid w:val="00920089"/>
    <w:rsid w:val="009207A6"/>
    <w:rsid w:val="00921E06"/>
    <w:rsid w:val="00921E2E"/>
    <w:rsid w:val="00922B83"/>
    <w:rsid w:val="00924B30"/>
    <w:rsid w:val="00924EBF"/>
    <w:rsid w:val="0092615F"/>
    <w:rsid w:val="00927EAE"/>
    <w:rsid w:val="00931EF5"/>
    <w:rsid w:val="009321E6"/>
    <w:rsid w:val="009329C1"/>
    <w:rsid w:val="0093326F"/>
    <w:rsid w:val="009333DD"/>
    <w:rsid w:val="00934245"/>
    <w:rsid w:val="009343E2"/>
    <w:rsid w:val="00940D6B"/>
    <w:rsid w:val="00943849"/>
    <w:rsid w:val="00943ED3"/>
    <w:rsid w:val="00943FE7"/>
    <w:rsid w:val="00945B7C"/>
    <w:rsid w:val="00947C29"/>
    <w:rsid w:val="00951797"/>
    <w:rsid w:val="0095285B"/>
    <w:rsid w:val="00952EDF"/>
    <w:rsid w:val="0095385A"/>
    <w:rsid w:val="00956410"/>
    <w:rsid w:val="00961031"/>
    <w:rsid w:val="0096486A"/>
    <w:rsid w:val="00964E9B"/>
    <w:rsid w:val="00965839"/>
    <w:rsid w:val="00966C75"/>
    <w:rsid w:val="0097005F"/>
    <w:rsid w:val="009743FB"/>
    <w:rsid w:val="00975738"/>
    <w:rsid w:val="00976237"/>
    <w:rsid w:val="009768F4"/>
    <w:rsid w:val="00977307"/>
    <w:rsid w:val="009777A2"/>
    <w:rsid w:val="009823A4"/>
    <w:rsid w:val="00983F83"/>
    <w:rsid w:val="009840CC"/>
    <w:rsid w:val="00985247"/>
    <w:rsid w:val="009863F1"/>
    <w:rsid w:val="00987DD3"/>
    <w:rsid w:val="00990A5A"/>
    <w:rsid w:val="00993037"/>
    <w:rsid w:val="00994999"/>
    <w:rsid w:val="009969F2"/>
    <w:rsid w:val="009973A4"/>
    <w:rsid w:val="00997EA9"/>
    <w:rsid w:val="009A0F89"/>
    <w:rsid w:val="009A1C7B"/>
    <w:rsid w:val="009A1DB3"/>
    <w:rsid w:val="009A2502"/>
    <w:rsid w:val="009A2E9B"/>
    <w:rsid w:val="009A36E4"/>
    <w:rsid w:val="009A4877"/>
    <w:rsid w:val="009A4DDF"/>
    <w:rsid w:val="009A5FB7"/>
    <w:rsid w:val="009A65FE"/>
    <w:rsid w:val="009A69D9"/>
    <w:rsid w:val="009A7DDF"/>
    <w:rsid w:val="009B223B"/>
    <w:rsid w:val="009B38BA"/>
    <w:rsid w:val="009B7BFB"/>
    <w:rsid w:val="009B7D69"/>
    <w:rsid w:val="009C1B12"/>
    <w:rsid w:val="009C1F9A"/>
    <w:rsid w:val="009C5436"/>
    <w:rsid w:val="009C5B56"/>
    <w:rsid w:val="009C68C5"/>
    <w:rsid w:val="009C6DAA"/>
    <w:rsid w:val="009D169F"/>
    <w:rsid w:val="009D17E4"/>
    <w:rsid w:val="009D1CC6"/>
    <w:rsid w:val="009D2970"/>
    <w:rsid w:val="009D4284"/>
    <w:rsid w:val="009D4A95"/>
    <w:rsid w:val="009D51AB"/>
    <w:rsid w:val="009D5694"/>
    <w:rsid w:val="009D65AE"/>
    <w:rsid w:val="009D71D6"/>
    <w:rsid w:val="009D72B1"/>
    <w:rsid w:val="009D768B"/>
    <w:rsid w:val="009E134A"/>
    <w:rsid w:val="009E2F26"/>
    <w:rsid w:val="009E3931"/>
    <w:rsid w:val="009E58DB"/>
    <w:rsid w:val="009F3049"/>
    <w:rsid w:val="009F387C"/>
    <w:rsid w:val="009F4F5C"/>
    <w:rsid w:val="009F7878"/>
    <w:rsid w:val="00A00480"/>
    <w:rsid w:val="00A009C1"/>
    <w:rsid w:val="00A018CF"/>
    <w:rsid w:val="00A0366E"/>
    <w:rsid w:val="00A037EA"/>
    <w:rsid w:val="00A03FFA"/>
    <w:rsid w:val="00A04EE6"/>
    <w:rsid w:val="00A064D1"/>
    <w:rsid w:val="00A0747C"/>
    <w:rsid w:val="00A131D8"/>
    <w:rsid w:val="00A14ED6"/>
    <w:rsid w:val="00A14FEA"/>
    <w:rsid w:val="00A15652"/>
    <w:rsid w:val="00A15E6A"/>
    <w:rsid w:val="00A17D5A"/>
    <w:rsid w:val="00A20899"/>
    <w:rsid w:val="00A24560"/>
    <w:rsid w:val="00A252F8"/>
    <w:rsid w:val="00A25924"/>
    <w:rsid w:val="00A3135A"/>
    <w:rsid w:val="00A31FAF"/>
    <w:rsid w:val="00A33107"/>
    <w:rsid w:val="00A34538"/>
    <w:rsid w:val="00A348B5"/>
    <w:rsid w:val="00A35DB0"/>
    <w:rsid w:val="00A366C0"/>
    <w:rsid w:val="00A37325"/>
    <w:rsid w:val="00A4284F"/>
    <w:rsid w:val="00A44ADA"/>
    <w:rsid w:val="00A457BC"/>
    <w:rsid w:val="00A46B58"/>
    <w:rsid w:val="00A502C3"/>
    <w:rsid w:val="00A55589"/>
    <w:rsid w:val="00A55593"/>
    <w:rsid w:val="00A568E5"/>
    <w:rsid w:val="00A6031B"/>
    <w:rsid w:val="00A60F23"/>
    <w:rsid w:val="00A6135D"/>
    <w:rsid w:val="00A61BAB"/>
    <w:rsid w:val="00A63214"/>
    <w:rsid w:val="00A63550"/>
    <w:rsid w:val="00A637F0"/>
    <w:rsid w:val="00A64A3E"/>
    <w:rsid w:val="00A64D34"/>
    <w:rsid w:val="00A66B56"/>
    <w:rsid w:val="00A66CB6"/>
    <w:rsid w:val="00A67701"/>
    <w:rsid w:val="00A70D3C"/>
    <w:rsid w:val="00A7259A"/>
    <w:rsid w:val="00A7306C"/>
    <w:rsid w:val="00A74421"/>
    <w:rsid w:val="00A80531"/>
    <w:rsid w:val="00A80657"/>
    <w:rsid w:val="00A80A35"/>
    <w:rsid w:val="00A8155D"/>
    <w:rsid w:val="00A81A2A"/>
    <w:rsid w:val="00A82798"/>
    <w:rsid w:val="00A83FAF"/>
    <w:rsid w:val="00A846F0"/>
    <w:rsid w:val="00A872E4"/>
    <w:rsid w:val="00A90376"/>
    <w:rsid w:val="00A911F3"/>
    <w:rsid w:val="00A92F8F"/>
    <w:rsid w:val="00A94854"/>
    <w:rsid w:val="00A963E6"/>
    <w:rsid w:val="00A965EF"/>
    <w:rsid w:val="00A97BA9"/>
    <w:rsid w:val="00AA0108"/>
    <w:rsid w:val="00AA2FA4"/>
    <w:rsid w:val="00AA442B"/>
    <w:rsid w:val="00AA5DE7"/>
    <w:rsid w:val="00AB019E"/>
    <w:rsid w:val="00AB0CF9"/>
    <w:rsid w:val="00AB22AC"/>
    <w:rsid w:val="00AB519E"/>
    <w:rsid w:val="00AB71ED"/>
    <w:rsid w:val="00AC284A"/>
    <w:rsid w:val="00AC2F83"/>
    <w:rsid w:val="00AC4A88"/>
    <w:rsid w:val="00AC604E"/>
    <w:rsid w:val="00AC7AF0"/>
    <w:rsid w:val="00AD0301"/>
    <w:rsid w:val="00AD1BC5"/>
    <w:rsid w:val="00AD2AE0"/>
    <w:rsid w:val="00AD2F6D"/>
    <w:rsid w:val="00AD44F4"/>
    <w:rsid w:val="00AD4D7E"/>
    <w:rsid w:val="00AD5641"/>
    <w:rsid w:val="00AD73B1"/>
    <w:rsid w:val="00AD7629"/>
    <w:rsid w:val="00AD7A70"/>
    <w:rsid w:val="00AE2836"/>
    <w:rsid w:val="00AE496A"/>
    <w:rsid w:val="00AE7CA2"/>
    <w:rsid w:val="00AF0146"/>
    <w:rsid w:val="00AF080A"/>
    <w:rsid w:val="00AF13C5"/>
    <w:rsid w:val="00AF1ECB"/>
    <w:rsid w:val="00AF379D"/>
    <w:rsid w:val="00AF3B59"/>
    <w:rsid w:val="00AF3C31"/>
    <w:rsid w:val="00AF5311"/>
    <w:rsid w:val="00AF6C24"/>
    <w:rsid w:val="00B009B4"/>
    <w:rsid w:val="00B018FE"/>
    <w:rsid w:val="00B02308"/>
    <w:rsid w:val="00B03B42"/>
    <w:rsid w:val="00B050FF"/>
    <w:rsid w:val="00B061F8"/>
    <w:rsid w:val="00B07589"/>
    <w:rsid w:val="00B105C8"/>
    <w:rsid w:val="00B113BF"/>
    <w:rsid w:val="00B12934"/>
    <w:rsid w:val="00B1340D"/>
    <w:rsid w:val="00B13824"/>
    <w:rsid w:val="00B13A80"/>
    <w:rsid w:val="00B14412"/>
    <w:rsid w:val="00B14514"/>
    <w:rsid w:val="00B1474F"/>
    <w:rsid w:val="00B14DB7"/>
    <w:rsid w:val="00B16D71"/>
    <w:rsid w:val="00B21C77"/>
    <w:rsid w:val="00B22E22"/>
    <w:rsid w:val="00B2375A"/>
    <w:rsid w:val="00B246F2"/>
    <w:rsid w:val="00B251F5"/>
    <w:rsid w:val="00B254BA"/>
    <w:rsid w:val="00B26B41"/>
    <w:rsid w:val="00B27137"/>
    <w:rsid w:val="00B308CC"/>
    <w:rsid w:val="00B30B07"/>
    <w:rsid w:val="00B34319"/>
    <w:rsid w:val="00B34437"/>
    <w:rsid w:val="00B34CA4"/>
    <w:rsid w:val="00B35A49"/>
    <w:rsid w:val="00B36042"/>
    <w:rsid w:val="00B375CA"/>
    <w:rsid w:val="00B40151"/>
    <w:rsid w:val="00B417C9"/>
    <w:rsid w:val="00B42A23"/>
    <w:rsid w:val="00B42F19"/>
    <w:rsid w:val="00B442BB"/>
    <w:rsid w:val="00B448AF"/>
    <w:rsid w:val="00B45B98"/>
    <w:rsid w:val="00B473D1"/>
    <w:rsid w:val="00B50B3D"/>
    <w:rsid w:val="00B525CB"/>
    <w:rsid w:val="00B5723A"/>
    <w:rsid w:val="00B615BB"/>
    <w:rsid w:val="00B61EAF"/>
    <w:rsid w:val="00B628C8"/>
    <w:rsid w:val="00B63CB2"/>
    <w:rsid w:val="00B64914"/>
    <w:rsid w:val="00B67830"/>
    <w:rsid w:val="00B734AF"/>
    <w:rsid w:val="00B73E50"/>
    <w:rsid w:val="00B7415E"/>
    <w:rsid w:val="00B7625C"/>
    <w:rsid w:val="00B76CDB"/>
    <w:rsid w:val="00B80A0C"/>
    <w:rsid w:val="00B81B4F"/>
    <w:rsid w:val="00B83689"/>
    <w:rsid w:val="00B83959"/>
    <w:rsid w:val="00B83E31"/>
    <w:rsid w:val="00B85CB0"/>
    <w:rsid w:val="00B86742"/>
    <w:rsid w:val="00B86E19"/>
    <w:rsid w:val="00B9214A"/>
    <w:rsid w:val="00B9228C"/>
    <w:rsid w:val="00B924AA"/>
    <w:rsid w:val="00B93C15"/>
    <w:rsid w:val="00B93EB4"/>
    <w:rsid w:val="00B94453"/>
    <w:rsid w:val="00B955E0"/>
    <w:rsid w:val="00B96EEB"/>
    <w:rsid w:val="00B972C9"/>
    <w:rsid w:val="00BA2A4A"/>
    <w:rsid w:val="00BA2D3A"/>
    <w:rsid w:val="00BA5331"/>
    <w:rsid w:val="00BA7E88"/>
    <w:rsid w:val="00BB094C"/>
    <w:rsid w:val="00BB20AF"/>
    <w:rsid w:val="00BB343D"/>
    <w:rsid w:val="00BB4442"/>
    <w:rsid w:val="00BB52CB"/>
    <w:rsid w:val="00BB6594"/>
    <w:rsid w:val="00BB6E3C"/>
    <w:rsid w:val="00BC00B1"/>
    <w:rsid w:val="00BC10B9"/>
    <w:rsid w:val="00BC2E1A"/>
    <w:rsid w:val="00BC3CF6"/>
    <w:rsid w:val="00BC4624"/>
    <w:rsid w:val="00BC4A98"/>
    <w:rsid w:val="00BC5927"/>
    <w:rsid w:val="00BD115B"/>
    <w:rsid w:val="00BD1CED"/>
    <w:rsid w:val="00BD28D5"/>
    <w:rsid w:val="00BD531D"/>
    <w:rsid w:val="00BD78FE"/>
    <w:rsid w:val="00BE020D"/>
    <w:rsid w:val="00BE051B"/>
    <w:rsid w:val="00BE15CF"/>
    <w:rsid w:val="00BE2414"/>
    <w:rsid w:val="00BE30AE"/>
    <w:rsid w:val="00BF0AE6"/>
    <w:rsid w:val="00BF1286"/>
    <w:rsid w:val="00BF1C20"/>
    <w:rsid w:val="00BF1F2C"/>
    <w:rsid w:val="00BF3F8D"/>
    <w:rsid w:val="00BF5F64"/>
    <w:rsid w:val="00BF616F"/>
    <w:rsid w:val="00C00B13"/>
    <w:rsid w:val="00C00EE1"/>
    <w:rsid w:val="00C03C90"/>
    <w:rsid w:val="00C04442"/>
    <w:rsid w:val="00C05BB1"/>
    <w:rsid w:val="00C05D8E"/>
    <w:rsid w:val="00C1022B"/>
    <w:rsid w:val="00C10447"/>
    <w:rsid w:val="00C1187E"/>
    <w:rsid w:val="00C142C8"/>
    <w:rsid w:val="00C15D32"/>
    <w:rsid w:val="00C166F7"/>
    <w:rsid w:val="00C205DB"/>
    <w:rsid w:val="00C2159E"/>
    <w:rsid w:val="00C216A9"/>
    <w:rsid w:val="00C21D03"/>
    <w:rsid w:val="00C24E53"/>
    <w:rsid w:val="00C253B9"/>
    <w:rsid w:val="00C25B27"/>
    <w:rsid w:val="00C309EC"/>
    <w:rsid w:val="00C3265D"/>
    <w:rsid w:val="00C32FA9"/>
    <w:rsid w:val="00C3420D"/>
    <w:rsid w:val="00C34CD8"/>
    <w:rsid w:val="00C34E5D"/>
    <w:rsid w:val="00C3799C"/>
    <w:rsid w:val="00C41CC9"/>
    <w:rsid w:val="00C44B05"/>
    <w:rsid w:val="00C45264"/>
    <w:rsid w:val="00C46F19"/>
    <w:rsid w:val="00C518B8"/>
    <w:rsid w:val="00C53893"/>
    <w:rsid w:val="00C539EC"/>
    <w:rsid w:val="00C53B49"/>
    <w:rsid w:val="00C55CE9"/>
    <w:rsid w:val="00C57F52"/>
    <w:rsid w:val="00C60A6C"/>
    <w:rsid w:val="00C61FA4"/>
    <w:rsid w:val="00C6215B"/>
    <w:rsid w:val="00C62DB7"/>
    <w:rsid w:val="00C63E6D"/>
    <w:rsid w:val="00C6470F"/>
    <w:rsid w:val="00C64854"/>
    <w:rsid w:val="00C660E1"/>
    <w:rsid w:val="00C66325"/>
    <w:rsid w:val="00C6742E"/>
    <w:rsid w:val="00C6749A"/>
    <w:rsid w:val="00C676B2"/>
    <w:rsid w:val="00C70828"/>
    <w:rsid w:val="00C70B6F"/>
    <w:rsid w:val="00C743E9"/>
    <w:rsid w:val="00C75CF1"/>
    <w:rsid w:val="00C76B72"/>
    <w:rsid w:val="00C84725"/>
    <w:rsid w:val="00C90033"/>
    <w:rsid w:val="00C9033A"/>
    <w:rsid w:val="00C92C93"/>
    <w:rsid w:val="00C93D81"/>
    <w:rsid w:val="00CA3AC3"/>
    <w:rsid w:val="00CA474A"/>
    <w:rsid w:val="00CA4E1C"/>
    <w:rsid w:val="00CA6A4C"/>
    <w:rsid w:val="00CA6AE8"/>
    <w:rsid w:val="00CA6D91"/>
    <w:rsid w:val="00CB0646"/>
    <w:rsid w:val="00CB2848"/>
    <w:rsid w:val="00CB4647"/>
    <w:rsid w:val="00CB48B2"/>
    <w:rsid w:val="00CB4F58"/>
    <w:rsid w:val="00CB5153"/>
    <w:rsid w:val="00CB60EC"/>
    <w:rsid w:val="00CC00CD"/>
    <w:rsid w:val="00CC1E8F"/>
    <w:rsid w:val="00CC2908"/>
    <w:rsid w:val="00CC5461"/>
    <w:rsid w:val="00CC5C83"/>
    <w:rsid w:val="00CC6744"/>
    <w:rsid w:val="00CC704B"/>
    <w:rsid w:val="00CD0EFB"/>
    <w:rsid w:val="00CD1D8A"/>
    <w:rsid w:val="00CD2FA0"/>
    <w:rsid w:val="00CD56AA"/>
    <w:rsid w:val="00CD66DC"/>
    <w:rsid w:val="00CD76F0"/>
    <w:rsid w:val="00CD7776"/>
    <w:rsid w:val="00CE1E9A"/>
    <w:rsid w:val="00CE5088"/>
    <w:rsid w:val="00CE65B0"/>
    <w:rsid w:val="00CE68C6"/>
    <w:rsid w:val="00CE762D"/>
    <w:rsid w:val="00CF29EA"/>
    <w:rsid w:val="00CF2ABC"/>
    <w:rsid w:val="00CF40C0"/>
    <w:rsid w:val="00CF478D"/>
    <w:rsid w:val="00CF6D74"/>
    <w:rsid w:val="00D0147E"/>
    <w:rsid w:val="00D01A82"/>
    <w:rsid w:val="00D035F8"/>
    <w:rsid w:val="00D05420"/>
    <w:rsid w:val="00D06915"/>
    <w:rsid w:val="00D06ADE"/>
    <w:rsid w:val="00D1574C"/>
    <w:rsid w:val="00D15B6E"/>
    <w:rsid w:val="00D16312"/>
    <w:rsid w:val="00D16E39"/>
    <w:rsid w:val="00D2246B"/>
    <w:rsid w:val="00D234DF"/>
    <w:rsid w:val="00D246C2"/>
    <w:rsid w:val="00D27700"/>
    <w:rsid w:val="00D305BD"/>
    <w:rsid w:val="00D30743"/>
    <w:rsid w:val="00D32D01"/>
    <w:rsid w:val="00D32E17"/>
    <w:rsid w:val="00D32EBE"/>
    <w:rsid w:val="00D345B5"/>
    <w:rsid w:val="00D34731"/>
    <w:rsid w:val="00D3720F"/>
    <w:rsid w:val="00D40D8E"/>
    <w:rsid w:val="00D40FAB"/>
    <w:rsid w:val="00D41158"/>
    <w:rsid w:val="00D41D66"/>
    <w:rsid w:val="00D42C78"/>
    <w:rsid w:val="00D4348E"/>
    <w:rsid w:val="00D44FB5"/>
    <w:rsid w:val="00D4574F"/>
    <w:rsid w:val="00D4699F"/>
    <w:rsid w:val="00D50075"/>
    <w:rsid w:val="00D51603"/>
    <w:rsid w:val="00D52820"/>
    <w:rsid w:val="00D52B6D"/>
    <w:rsid w:val="00D5365B"/>
    <w:rsid w:val="00D54877"/>
    <w:rsid w:val="00D553D7"/>
    <w:rsid w:val="00D567A9"/>
    <w:rsid w:val="00D6034C"/>
    <w:rsid w:val="00D6361B"/>
    <w:rsid w:val="00D64A4A"/>
    <w:rsid w:val="00D65DDA"/>
    <w:rsid w:val="00D709EF"/>
    <w:rsid w:val="00D72E9D"/>
    <w:rsid w:val="00D73430"/>
    <w:rsid w:val="00D747D7"/>
    <w:rsid w:val="00D74C23"/>
    <w:rsid w:val="00D74C57"/>
    <w:rsid w:val="00D77187"/>
    <w:rsid w:val="00D82CE5"/>
    <w:rsid w:val="00D8507B"/>
    <w:rsid w:val="00D855EC"/>
    <w:rsid w:val="00D85B4F"/>
    <w:rsid w:val="00D914DA"/>
    <w:rsid w:val="00D91B83"/>
    <w:rsid w:val="00D91DB7"/>
    <w:rsid w:val="00D9271F"/>
    <w:rsid w:val="00D936D0"/>
    <w:rsid w:val="00D93E4B"/>
    <w:rsid w:val="00D9433E"/>
    <w:rsid w:val="00D94DAE"/>
    <w:rsid w:val="00D94FAE"/>
    <w:rsid w:val="00D95624"/>
    <w:rsid w:val="00D97469"/>
    <w:rsid w:val="00DA0439"/>
    <w:rsid w:val="00DA0775"/>
    <w:rsid w:val="00DA311A"/>
    <w:rsid w:val="00DA5AB1"/>
    <w:rsid w:val="00DA6FB5"/>
    <w:rsid w:val="00DA7425"/>
    <w:rsid w:val="00DB11B2"/>
    <w:rsid w:val="00DB1204"/>
    <w:rsid w:val="00DB3B65"/>
    <w:rsid w:val="00DB5599"/>
    <w:rsid w:val="00DB5918"/>
    <w:rsid w:val="00DB6907"/>
    <w:rsid w:val="00DB710D"/>
    <w:rsid w:val="00DC08E1"/>
    <w:rsid w:val="00DC1AB6"/>
    <w:rsid w:val="00DC36CE"/>
    <w:rsid w:val="00DC3CF1"/>
    <w:rsid w:val="00DC3EF6"/>
    <w:rsid w:val="00DC53D7"/>
    <w:rsid w:val="00DC5DE5"/>
    <w:rsid w:val="00DC6019"/>
    <w:rsid w:val="00DC62E5"/>
    <w:rsid w:val="00DD002F"/>
    <w:rsid w:val="00DD514A"/>
    <w:rsid w:val="00DD5FCE"/>
    <w:rsid w:val="00DD6C69"/>
    <w:rsid w:val="00DD6C91"/>
    <w:rsid w:val="00DD735D"/>
    <w:rsid w:val="00DE057F"/>
    <w:rsid w:val="00DE100A"/>
    <w:rsid w:val="00DE1A24"/>
    <w:rsid w:val="00DE3119"/>
    <w:rsid w:val="00DE3771"/>
    <w:rsid w:val="00DE53B3"/>
    <w:rsid w:val="00DE540F"/>
    <w:rsid w:val="00DE63CA"/>
    <w:rsid w:val="00DE6469"/>
    <w:rsid w:val="00DF09A8"/>
    <w:rsid w:val="00DF107A"/>
    <w:rsid w:val="00DF167C"/>
    <w:rsid w:val="00DF198C"/>
    <w:rsid w:val="00DF236B"/>
    <w:rsid w:val="00DF3197"/>
    <w:rsid w:val="00DF3271"/>
    <w:rsid w:val="00DF42F1"/>
    <w:rsid w:val="00DF59D6"/>
    <w:rsid w:val="00DF7ACB"/>
    <w:rsid w:val="00E01639"/>
    <w:rsid w:val="00E01F0B"/>
    <w:rsid w:val="00E0222A"/>
    <w:rsid w:val="00E03888"/>
    <w:rsid w:val="00E05934"/>
    <w:rsid w:val="00E07BC7"/>
    <w:rsid w:val="00E10A23"/>
    <w:rsid w:val="00E1123E"/>
    <w:rsid w:val="00E1209F"/>
    <w:rsid w:val="00E126C1"/>
    <w:rsid w:val="00E1277F"/>
    <w:rsid w:val="00E129E9"/>
    <w:rsid w:val="00E13AB8"/>
    <w:rsid w:val="00E13C3F"/>
    <w:rsid w:val="00E14CEA"/>
    <w:rsid w:val="00E1511F"/>
    <w:rsid w:val="00E16BBA"/>
    <w:rsid w:val="00E173AD"/>
    <w:rsid w:val="00E17E1B"/>
    <w:rsid w:val="00E20955"/>
    <w:rsid w:val="00E214DF"/>
    <w:rsid w:val="00E242B9"/>
    <w:rsid w:val="00E25651"/>
    <w:rsid w:val="00E25D1B"/>
    <w:rsid w:val="00E267C6"/>
    <w:rsid w:val="00E2690F"/>
    <w:rsid w:val="00E26CA4"/>
    <w:rsid w:val="00E275BF"/>
    <w:rsid w:val="00E32050"/>
    <w:rsid w:val="00E32500"/>
    <w:rsid w:val="00E3337D"/>
    <w:rsid w:val="00E33B62"/>
    <w:rsid w:val="00E351A3"/>
    <w:rsid w:val="00E36BCA"/>
    <w:rsid w:val="00E36C78"/>
    <w:rsid w:val="00E3785C"/>
    <w:rsid w:val="00E429C3"/>
    <w:rsid w:val="00E42F19"/>
    <w:rsid w:val="00E437AE"/>
    <w:rsid w:val="00E476B7"/>
    <w:rsid w:val="00E5140F"/>
    <w:rsid w:val="00E51569"/>
    <w:rsid w:val="00E51ECE"/>
    <w:rsid w:val="00E53698"/>
    <w:rsid w:val="00E5448D"/>
    <w:rsid w:val="00E5489A"/>
    <w:rsid w:val="00E56F95"/>
    <w:rsid w:val="00E60ADC"/>
    <w:rsid w:val="00E63F16"/>
    <w:rsid w:val="00E64032"/>
    <w:rsid w:val="00E641C8"/>
    <w:rsid w:val="00E64347"/>
    <w:rsid w:val="00E64E54"/>
    <w:rsid w:val="00E66D8E"/>
    <w:rsid w:val="00E71BA4"/>
    <w:rsid w:val="00E72688"/>
    <w:rsid w:val="00E728F0"/>
    <w:rsid w:val="00E72932"/>
    <w:rsid w:val="00E773CD"/>
    <w:rsid w:val="00E822B0"/>
    <w:rsid w:val="00E86340"/>
    <w:rsid w:val="00E86589"/>
    <w:rsid w:val="00E86805"/>
    <w:rsid w:val="00E932D4"/>
    <w:rsid w:val="00E932EF"/>
    <w:rsid w:val="00E93D64"/>
    <w:rsid w:val="00E93F32"/>
    <w:rsid w:val="00E9469D"/>
    <w:rsid w:val="00E97868"/>
    <w:rsid w:val="00E97974"/>
    <w:rsid w:val="00E97A9B"/>
    <w:rsid w:val="00EA0062"/>
    <w:rsid w:val="00EA1D29"/>
    <w:rsid w:val="00EA2E32"/>
    <w:rsid w:val="00EA49E7"/>
    <w:rsid w:val="00EA5627"/>
    <w:rsid w:val="00EA7FF3"/>
    <w:rsid w:val="00EB0CD1"/>
    <w:rsid w:val="00EB2207"/>
    <w:rsid w:val="00EB31E8"/>
    <w:rsid w:val="00EB39F0"/>
    <w:rsid w:val="00EB3CC9"/>
    <w:rsid w:val="00EB4517"/>
    <w:rsid w:val="00EB4E60"/>
    <w:rsid w:val="00EB61CA"/>
    <w:rsid w:val="00EB66BC"/>
    <w:rsid w:val="00EB66DA"/>
    <w:rsid w:val="00EB77D4"/>
    <w:rsid w:val="00EC0496"/>
    <w:rsid w:val="00EC0612"/>
    <w:rsid w:val="00EC0A6A"/>
    <w:rsid w:val="00EC152A"/>
    <w:rsid w:val="00EC1EEA"/>
    <w:rsid w:val="00EC35C7"/>
    <w:rsid w:val="00EC4003"/>
    <w:rsid w:val="00EC69AE"/>
    <w:rsid w:val="00ED0712"/>
    <w:rsid w:val="00ED1923"/>
    <w:rsid w:val="00ED1CBE"/>
    <w:rsid w:val="00ED23DD"/>
    <w:rsid w:val="00ED41FD"/>
    <w:rsid w:val="00ED4F9F"/>
    <w:rsid w:val="00ED520C"/>
    <w:rsid w:val="00EE21CC"/>
    <w:rsid w:val="00EE2FB0"/>
    <w:rsid w:val="00EE461A"/>
    <w:rsid w:val="00EE4899"/>
    <w:rsid w:val="00EE5B35"/>
    <w:rsid w:val="00EE5BFD"/>
    <w:rsid w:val="00EE5D34"/>
    <w:rsid w:val="00EE6725"/>
    <w:rsid w:val="00EE759C"/>
    <w:rsid w:val="00EE7F0C"/>
    <w:rsid w:val="00EF0630"/>
    <w:rsid w:val="00EF16B4"/>
    <w:rsid w:val="00EF1743"/>
    <w:rsid w:val="00EF2AB2"/>
    <w:rsid w:val="00EF2B13"/>
    <w:rsid w:val="00EF2DE9"/>
    <w:rsid w:val="00EF51AA"/>
    <w:rsid w:val="00EF74C8"/>
    <w:rsid w:val="00EF795E"/>
    <w:rsid w:val="00F0016A"/>
    <w:rsid w:val="00F00368"/>
    <w:rsid w:val="00F00C5A"/>
    <w:rsid w:val="00F043F9"/>
    <w:rsid w:val="00F069A3"/>
    <w:rsid w:val="00F06DDB"/>
    <w:rsid w:val="00F07E74"/>
    <w:rsid w:val="00F106B5"/>
    <w:rsid w:val="00F11757"/>
    <w:rsid w:val="00F118CE"/>
    <w:rsid w:val="00F125C1"/>
    <w:rsid w:val="00F12FEC"/>
    <w:rsid w:val="00F2171E"/>
    <w:rsid w:val="00F24737"/>
    <w:rsid w:val="00F26416"/>
    <w:rsid w:val="00F265D4"/>
    <w:rsid w:val="00F337D5"/>
    <w:rsid w:val="00F33ED0"/>
    <w:rsid w:val="00F35235"/>
    <w:rsid w:val="00F35EF3"/>
    <w:rsid w:val="00F369A7"/>
    <w:rsid w:val="00F37C95"/>
    <w:rsid w:val="00F40429"/>
    <w:rsid w:val="00F44108"/>
    <w:rsid w:val="00F442A2"/>
    <w:rsid w:val="00F44916"/>
    <w:rsid w:val="00F44975"/>
    <w:rsid w:val="00F44C8B"/>
    <w:rsid w:val="00F456F9"/>
    <w:rsid w:val="00F458C6"/>
    <w:rsid w:val="00F46458"/>
    <w:rsid w:val="00F4653A"/>
    <w:rsid w:val="00F46984"/>
    <w:rsid w:val="00F471A4"/>
    <w:rsid w:val="00F47476"/>
    <w:rsid w:val="00F47546"/>
    <w:rsid w:val="00F50DDA"/>
    <w:rsid w:val="00F51A49"/>
    <w:rsid w:val="00F54047"/>
    <w:rsid w:val="00F5470E"/>
    <w:rsid w:val="00F548D5"/>
    <w:rsid w:val="00F554B9"/>
    <w:rsid w:val="00F572FA"/>
    <w:rsid w:val="00F60F4D"/>
    <w:rsid w:val="00F6177E"/>
    <w:rsid w:val="00F63C52"/>
    <w:rsid w:val="00F646C8"/>
    <w:rsid w:val="00F64A14"/>
    <w:rsid w:val="00F6506D"/>
    <w:rsid w:val="00F70AE0"/>
    <w:rsid w:val="00F71F95"/>
    <w:rsid w:val="00F727D9"/>
    <w:rsid w:val="00F72FBA"/>
    <w:rsid w:val="00F740F2"/>
    <w:rsid w:val="00F74230"/>
    <w:rsid w:val="00F74474"/>
    <w:rsid w:val="00F74527"/>
    <w:rsid w:val="00F75589"/>
    <w:rsid w:val="00F755D0"/>
    <w:rsid w:val="00F768DE"/>
    <w:rsid w:val="00F77649"/>
    <w:rsid w:val="00F8136F"/>
    <w:rsid w:val="00F8234B"/>
    <w:rsid w:val="00F84899"/>
    <w:rsid w:val="00F84B03"/>
    <w:rsid w:val="00F84BB3"/>
    <w:rsid w:val="00F859F0"/>
    <w:rsid w:val="00F865F7"/>
    <w:rsid w:val="00F87C4D"/>
    <w:rsid w:val="00F92088"/>
    <w:rsid w:val="00F94599"/>
    <w:rsid w:val="00FA04B9"/>
    <w:rsid w:val="00FA09F6"/>
    <w:rsid w:val="00FA0FF5"/>
    <w:rsid w:val="00FA1BED"/>
    <w:rsid w:val="00FA2B40"/>
    <w:rsid w:val="00FA4E11"/>
    <w:rsid w:val="00FA579D"/>
    <w:rsid w:val="00FA5E74"/>
    <w:rsid w:val="00FA6021"/>
    <w:rsid w:val="00FA7233"/>
    <w:rsid w:val="00FB2446"/>
    <w:rsid w:val="00FB42D2"/>
    <w:rsid w:val="00FB6205"/>
    <w:rsid w:val="00FC2A12"/>
    <w:rsid w:val="00FC2A7E"/>
    <w:rsid w:val="00FC2DE9"/>
    <w:rsid w:val="00FC3402"/>
    <w:rsid w:val="00FC3C08"/>
    <w:rsid w:val="00FC7738"/>
    <w:rsid w:val="00FD1D04"/>
    <w:rsid w:val="00FD2262"/>
    <w:rsid w:val="00FD3007"/>
    <w:rsid w:val="00FD38C9"/>
    <w:rsid w:val="00FD4D51"/>
    <w:rsid w:val="00FD5AF7"/>
    <w:rsid w:val="00FD75F3"/>
    <w:rsid w:val="00FD79B7"/>
    <w:rsid w:val="00FE141E"/>
    <w:rsid w:val="00FE2AAC"/>
    <w:rsid w:val="00FE306B"/>
    <w:rsid w:val="00FE3140"/>
    <w:rsid w:val="00FE49F4"/>
    <w:rsid w:val="00FE6739"/>
    <w:rsid w:val="00FF131D"/>
    <w:rsid w:val="00FF1902"/>
    <w:rsid w:val="00FF25AA"/>
    <w:rsid w:val="00FF3F79"/>
    <w:rsid w:val="00FF4DDD"/>
    <w:rsid w:val="00FF537A"/>
    <w:rsid w:val="0DF18D41"/>
    <w:rsid w:val="1322E657"/>
    <w:rsid w:val="15321B46"/>
    <w:rsid w:val="16634891"/>
    <w:rsid w:val="16AF01CE"/>
    <w:rsid w:val="1A3EA139"/>
    <w:rsid w:val="1D413D81"/>
    <w:rsid w:val="341A808E"/>
    <w:rsid w:val="3EA8FA14"/>
    <w:rsid w:val="4BAA55B2"/>
    <w:rsid w:val="5C7C1796"/>
    <w:rsid w:val="5F9EF4B8"/>
    <w:rsid w:val="6DEB363A"/>
    <w:rsid w:val="7215BA1A"/>
    <w:rsid w:val="73627830"/>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457BC"/>
    <w:pPr>
      <w:spacing w:after="0" w:line="240" w:lineRule="auto"/>
    </w:pPr>
    <w:rPr>
      <w:rFonts w:ascii="Calibri" w:hAnsi="Calibri" w:eastAsia="Calibri" w:cs="Times New Roman"/>
      <w:sz w:val="24"/>
      <w:lang w:val="es-MX"/>
    </w:rPr>
  </w:style>
  <w:style w:type="paragraph" w:styleId="Ttulo1">
    <w:name w:val="heading 1"/>
    <w:basedOn w:val="Normal"/>
    <w:link w:val="Ttulo1Car"/>
    <w:uiPriority w:val="1"/>
    <w:qFormat/>
    <w:rsid w:val="00616FD5"/>
    <w:pPr>
      <w:widowControl w:val="0"/>
      <w:autoSpaceDE w:val="0"/>
      <w:autoSpaceDN w:val="0"/>
      <w:ind w:left="540" w:hanging="361"/>
      <w:outlineLvl w:val="0"/>
    </w:pPr>
    <w:rPr>
      <w:rFonts w:ascii="Arial" w:hAnsi="Arial" w:eastAsia="Arial" w:cs="Arial"/>
      <w:b/>
      <w:bCs/>
      <w:sz w:val="22"/>
      <w:lang w:val="es-ES"/>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rPr>
      <w:rFonts w:asciiTheme="minorHAnsi" w:hAnsiTheme="minorHAnsi" w:eastAsiaTheme="minorHAnsi" w:cstheme="minorBidi"/>
    </w:rPr>
  </w:style>
  <w:style w:type="character" w:styleId="PiedepginaCar" w:customStyle="1">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eastAsiaTheme="minorHAnsi"/>
      <w:sz w:val="16"/>
      <w:szCs w:val="16"/>
    </w:rPr>
  </w:style>
  <w:style w:type="character" w:styleId="TextodegloboCar" w:customStyle="1">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rPr>
      <w:rFonts w:asciiTheme="minorHAnsi" w:hAnsiTheme="minorHAnsi" w:eastAsiaTheme="minorHAnsi" w:cstheme="minorBidi"/>
    </w:rPr>
  </w:style>
  <w:style w:type="character" w:styleId="EncabezadoCar" w:customStyle="1">
    <w:name w:val="Encabezado Car"/>
    <w:basedOn w:val="Fuentedeprrafopredeter"/>
    <w:link w:val="Encabezado"/>
    <w:uiPriority w:val="99"/>
    <w:rsid w:val="009047C5"/>
    <w:rPr>
      <w:sz w:val="24"/>
      <w:lang w:val="es-MX"/>
    </w:rPr>
  </w:style>
  <w:style w:type="table" w:styleId="Tablaconcuadrcula">
    <w:name w:val="Table Grid"/>
    <w:basedOn w:val="Tablanormal"/>
    <w:uiPriority w:val="39"/>
    <w:rsid w:val="009047C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rPr>
      <w:rFonts w:asciiTheme="minorHAnsi" w:hAnsiTheme="minorHAnsi" w:eastAsiaTheme="minorHAnsi" w:cstheme="minorBidi"/>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rFonts w:asciiTheme="minorHAnsi" w:hAnsiTheme="minorHAnsi" w:eastAsiaTheme="minorHAnsi" w:cstheme="minorBidi"/>
      <w:sz w:val="20"/>
      <w:szCs w:val="20"/>
    </w:rPr>
  </w:style>
  <w:style w:type="character" w:styleId="TextocomentarioCar" w:customStyle="1">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styleId="AsuntodelcomentarioCar" w:customStyle="1">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rFonts w:ascii="Times New Roman" w:hAnsi="Times New Roman" w:eastAsia="Times New Roman"/>
      <w:szCs w:val="24"/>
      <w:lang w:val="es-CO" w:eastAsia="es-CO"/>
    </w:rPr>
  </w:style>
  <w:style w:type="paragraph" w:styleId="Sinespaciado">
    <w:name w:val="No Spacing"/>
    <w:uiPriority w:val="1"/>
    <w:qFormat/>
    <w:rsid w:val="007B0854"/>
    <w:pPr>
      <w:spacing w:after="0" w:line="240" w:lineRule="auto"/>
    </w:pPr>
    <w:rPr>
      <w:sz w:val="24"/>
      <w:lang w:val="es-MX"/>
    </w:rPr>
  </w:style>
  <w:style w:type="character" w:styleId="TextonotapieCar" w:customStyle="1">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
    <w:basedOn w:val="Normal"/>
    <w:link w:val="TextonotapieCar"/>
    <w:uiPriority w:val="99"/>
    <w:unhideWhenUsed/>
    <w:qFormat/>
    <w:rsid w:val="007B0854"/>
    <w:rPr>
      <w:rFonts w:asciiTheme="minorHAnsi" w:hAnsiTheme="minorHAnsi" w:eastAsiaTheme="minorHAnsi" w:cstheme="minorBidi"/>
      <w:sz w:val="20"/>
      <w:szCs w:val="20"/>
    </w:rPr>
  </w:style>
  <w:style w:type="character" w:styleId="TextonotapieCar1" w:customStyle="1">
    <w:name w:val="Texto nota pie Car1"/>
    <w:basedOn w:val="Fuentedeprrafopredeter"/>
    <w:uiPriority w:val="99"/>
    <w:semiHidden/>
    <w:rsid w:val="007B0854"/>
    <w:rPr>
      <w:sz w:val="20"/>
      <w:szCs w:val="20"/>
      <w:lang w:val="es-MX"/>
    </w:rPr>
  </w:style>
  <w:style w:type="character" w:styleId="PrrafodelistaCar" w:customStyle="1">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styleId="Capitulo1" w:customStyle="1">
    <w:name w:val="Capitulo 1"/>
    <w:basedOn w:val="Normal"/>
    <w:qFormat/>
    <w:rsid w:val="007B0854"/>
    <w:pPr>
      <w:keepNext/>
      <w:spacing w:before="120" w:after="200" w:line="276" w:lineRule="auto"/>
      <w:ind w:left="720" w:hanging="360"/>
      <w:outlineLvl w:val="1"/>
    </w:pPr>
    <w:rPr>
      <w:rFonts w:ascii="Arial" w:hAnsi="Arial" w:eastAsia="Times New Roman"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Footnote symbol,Footnote,Ref. de nota al pie2,Pie de pagina"/>
    <w:basedOn w:val="Fuentedeprrafopredeter"/>
    <w:uiPriority w:val="99"/>
    <w:unhideWhenUsed/>
    <w:qFormat/>
    <w:rsid w:val="007B0854"/>
    <w:rPr>
      <w:vertAlign w:val="superscript"/>
    </w:rPr>
  </w:style>
  <w:style w:type="character" w:styleId="NormalWebCar" w:customStyle="1">
    <w:name w:val="Normal (Web) Car"/>
    <w:link w:val="NormalWeb"/>
    <w:uiPriority w:val="99"/>
    <w:rsid w:val="000920F0"/>
    <w:rPr>
      <w:rFonts w:ascii="Times New Roman" w:hAnsi="Times New Roman" w:eastAsia="Times New Roman" w:cs="Times New Roman"/>
      <w:sz w:val="24"/>
      <w:szCs w:val="24"/>
      <w:lang w:eastAsia="es-CO"/>
    </w:rPr>
  </w:style>
  <w:style w:type="character" w:styleId="Mencinsinresolver1" w:customStyle="1">
    <w:name w:val="Mención sin resolver1"/>
    <w:basedOn w:val="Fuentedeprrafopredeter"/>
    <w:uiPriority w:val="99"/>
    <w:rsid w:val="00901F74"/>
    <w:rPr>
      <w:color w:val="605E5C"/>
      <w:shd w:val="clear" w:color="auto" w:fill="E1DFDD"/>
    </w:rPr>
  </w:style>
  <w:style w:type="paragraph" w:styleId="Revisin">
    <w:name w:val="Revision"/>
    <w:hidden/>
    <w:uiPriority w:val="99"/>
    <w:semiHidden/>
    <w:rsid w:val="004D0CB0"/>
    <w:pPr>
      <w:spacing w:after="0" w:line="240" w:lineRule="auto"/>
    </w:pPr>
    <w:rPr>
      <w:sz w:val="24"/>
      <w:lang w:val="es-MX"/>
    </w:rPr>
  </w:style>
  <w:style w:type="paragraph" w:styleId="Default" w:customStyle="1">
    <w:name w:val="Default"/>
    <w:rsid w:val="00C46F19"/>
    <w:pPr>
      <w:autoSpaceDE w:val="0"/>
      <w:autoSpaceDN w:val="0"/>
      <w:adjustRightInd w:val="0"/>
      <w:spacing w:after="0" w:line="240" w:lineRule="auto"/>
    </w:pPr>
    <w:rPr>
      <w:rFonts w:ascii="Arial" w:hAnsi="Arial" w:cs="Arial"/>
      <w:color w:val="000000"/>
      <w:sz w:val="24"/>
      <w:szCs w:val="24"/>
    </w:rPr>
  </w:style>
  <w:style w:type="character" w:styleId="normaltextrun" w:customStyle="1">
    <w:name w:val="normaltextrun"/>
    <w:basedOn w:val="Fuentedeprrafopredeter"/>
    <w:rsid w:val="00A457BC"/>
  </w:style>
  <w:style w:type="paragraph" w:styleId="paragraph" w:customStyle="1">
    <w:name w:val="paragraph"/>
    <w:basedOn w:val="Normal"/>
    <w:rsid w:val="00671A48"/>
    <w:pPr>
      <w:spacing w:before="100" w:beforeAutospacing="1" w:after="100" w:afterAutospacing="1"/>
    </w:pPr>
    <w:rPr>
      <w:rFonts w:ascii="Times New Roman" w:hAnsi="Times New Roman" w:eastAsia="Times New Roman"/>
      <w:szCs w:val="24"/>
      <w:lang w:val="es-CO" w:eastAsia="es-CO"/>
    </w:rPr>
  </w:style>
  <w:style w:type="character" w:styleId="eop" w:customStyle="1">
    <w:name w:val="eop"/>
    <w:basedOn w:val="Fuentedeprrafopredeter"/>
    <w:rsid w:val="00671A48"/>
  </w:style>
  <w:style w:type="character" w:styleId="superscript" w:customStyle="1">
    <w:name w:val="superscript"/>
    <w:basedOn w:val="Fuentedeprrafopredeter"/>
    <w:rsid w:val="00671A48"/>
  </w:style>
  <w:style w:type="paragraph" w:styleId="Textonotaalfinal">
    <w:name w:val="endnote text"/>
    <w:basedOn w:val="Normal"/>
    <w:link w:val="TextonotaalfinalCar"/>
    <w:uiPriority w:val="99"/>
    <w:semiHidden/>
    <w:unhideWhenUsed/>
    <w:rsid w:val="00306222"/>
    <w:rPr>
      <w:sz w:val="20"/>
      <w:szCs w:val="20"/>
    </w:rPr>
  </w:style>
  <w:style w:type="character" w:styleId="TextonotaalfinalCar" w:customStyle="1">
    <w:name w:val="Texto nota al final Car"/>
    <w:basedOn w:val="Fuentedeprrafopredeter"/>
    <w:link w:val="Textonotaalfinal"/>
    <w:uiPriority w:val="99"/>
    <w:semiHidden/>
    <w:rsid w:val="00306222"/>
    <w:rPr>
      <w:rFonts w:ascii="Calibri" w:hAnsi="Calibri" w:eastAsia="Calibri" w:cs="Times New Roman"/>
      <w:sz w:val="20"/>
      <w:szCs w:val="20"/>
      <w:lang w:val="es-MX"/>
    </w:rPr>
  </w:style>
  <w:style w:type="character" w:styleId="Refdenotaalfinal">
    <w:name w:val="endnote reference"/>
    <w:basedOn w:val="Fuentedeprrafopredeter"/>
    <w:uiPriority w:val="99"/>
    <w:semiHidden/>
    <w:unhideWhenUsed/>
    <w:rsid w:val="00306222"/>
    <w:rPr>
      <w:vertAlign w:val="superscript"/>
    </w:rPr>
  </w:style>
  <w:style w:type="character" w:styleId="Ttulo1Car" w:customStyle="1">
    <w:name w:val="Título 1 Car"/>
    <w:basedOn w:val="Fuentedeprrafopredeter"/>
    <w:link w:val="Ttulo1"/>
    <w:uiPriority w:val="1"/>
    <w:rsid w:val="00616FD5"/>
    <w:rPr>
      <w:rFonts w:ascii="Arial" w:hAnsi="Arial" w:eastAsia="Arial" w:cs="Arial"/>
      <w:b/>
      <w:bCs/>
      <w:lang w:val="es-ES"/>
    </w:rPr>
  </w:style>
  <w:style w:type="paragraph" w:styleId="Textoindependiente">
    <w:name w:val="Body Text"/>
    <w:basedOn w:val="Normal"/>
    <w:link w:val="TextoindependienteCar"/>
    <w:uiPriority w:val="1"/>
    <w:qFormat/>
    <w:rsid w:val="00616FD5"/>
    <w:pPr>
      <w:widowControl w:val="0"/>
      <w:autoSpaceDE w:val="0"/>
      <w:autoSpaceDN w:val="0"/>
    </w:pPr>
    <w:rPr>
      <w:rFonts w:ascii="Arial" w:hAnsi="Arial" w:eastAsia="Arial" w:cs="Arial"/>
      <w:sz w:val="22"/>
      <w:lang w:val="es-ES"/>
    </w:rPr>
  </w:style>
  <w:style w:type="character" w:styleId="TextoindependienteCar" w:customStyle="1">
    <w:name w:val="Texto independiente Car"/>
    <w:basedOn w:val="Fuentedeprrafopredeter"/>
    <w:link w:val="Textoindependiente"/>
    <w:uiPriority w:val="1"/>
    <w:rsid w:val="00616FD5"/>
    <w:rPr>
      <w:rFonts w:ascii="Arial" w:hAnsi="Arial" w:eastAsia="Arial" w:cs="Arial"/>
      <w:lang w:val="es-ES"/>
    </w:rPr>
  </w:style>
  <w:style w:type="paragraph" w:styleId="xxmsonormal" w:customStyle="1">
    <w:name w:val="x_x_msonormal"/>
    <w:basedOn w:val="Normal"/>
    <w:rsid w:val="00A64A3E"/>
    <w:pPr>
      <w:spacing w:before="100" w:beforeAutospacing="1" w:after="100" w:afterAutospacing="1"/>
    </w:pPr>
    <w:rPr>
      <w:rFonts w:ascii="Times New Roman" w:hAnsi="Times New Roman" w:eastAsia="Times New Roman"/>
      <w:szCs w:val="24"/>
      <w:lang w:val="es-CO" w:eastAsia="es-CO"/>
    </w:rPr>
  </w:style>
  <w:style w:type="paragraph" w:styleId="xxxxmsobodytext" w:customStyle="1">
    <w:name w:val="x_x_xxmsobodytext"/>
    <w:basedOn w:val="Normal"/>
    <w:rsid w:val="00A64A3E"/>
    <w:pPr>
      <w:spacing w:before="100" w:beforeAutospacing="1" w:after="100" w:afterAutospacing="1"/>
    </w:pPr>
    <w:rPr>
      <w:rFonts w:ascii="Times New Roman" w:hAnsi="Times New Roman" w:eastAsia="Times New Roman"/>
      <w:szCs w:val="24"/>
      <w:lang w:val="es-CO" w:eastAsia="es-CO"/>
    </w:rPr>
  </w:style>
  <w:style w:type="paragraph" w:styleId="xxxxmsonormal" w:customStyle="1">
    <w:name w:val="x_x_xxmsonormal"/>
    <w:basedOn w:val="Normal"/>
    <w:rsid w:val="00A64A3E"/>
    <w:pPr>
      <w:spacing w:before="100" w:beforeAutospacing="1" w:after="100" w:afterAutospacing="1"/>
    </w:pPr>
    <w:rPr>
      <w:rFonts w:ascii="Times New Roman" w:hAnsi="Times New Roman" w:eastAsia="Times New Roman"/>
      <w:szCs w:val="24"/>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87012">
      <w:bodyDiv w:val="1"/>
      <w:marLeft w:val="0"/>
      <w:marRight w:val="0"/>
      <w:marTop w:val="0"/>
      <w:marBottom w:val="0"/>
      <w:divBdr>
        <w:top w:val="none" w:sz="0" w:space="0" w:color="auto"/>
        <w:left w:val="none" w:sz="0" w:space="0" w:color="auto"/>
        <w:bottom w:val="none" w:sz="0" w:space="0" w:color="auto"/>
        <w:right w:val="none" w:sz="0" w:space="0" w:color="auto"/>
      </w:divBdr>
      <w:divsChild>
        <w:div w:id="177045463">
          <w:marLeft w:val="0"/>
          <w:marRight w:val="0"/>
          <w:marTop w:val="0"/>
          <w:marBottom w:val="0"/>
          <w:divBdr>
            <w:top w:val="none" w:sz="0" w:space="0" w:color="auto"/>
            <w:left w:val="none" w:sz="0" w:space="0" w:color="auto"/>
            <w:bottom w:val="none" w:sz="0" w:space="0" w:color="auto"/>
            <w:right w:val="none" w:sz="0" w:space="0" w:color="auto"/>
          </w:divBdr>
          <w:divsChild>
            <w:div w:id="1020086607">
              <w:marLeft w:val="0"/>
              <w:marRight w:val="0"/>
              <w:marTop w:val="0"/>
              <w:marBottom w:val="0"/>
              <w:divBdr>
                <w:top w:val="none" w:sz="0" w:space="0" w:color="auto"/>
                <w:left w:val="none" w:sz="0" w:space="0" w:color="auto"/>
                <w:bottom w:val="none" w:sz="0" w:space="0" w:color="auto"/>
                <w:right w:val="none" w:sz="0" w:space="0" w:color="auto"/>
              </w:divBdr>
              <w:divsChild>
                <w:div w:id="2085568655">
                  <w:marLeft w:val="0"/>
                  <w:marRight w:val="0"/>
                  <w:marTop w:val="0"/>
                  <w:marBottom w:val="0"/>
                  <w:divBdr>
                    <w:top w:val="none" w:sz="0" w:space="0" w:color="auto"/>
                    <w:left w:val="none" w:sz="0" w:space="0" w:color="auto"/>
                    <w:bottom w:val="none" w:sz="0" w:space="0" w:color="auto"/>
                    <w:right w:val="none" w:sz="0" w:space="0" w:color="auto"/>
                  </w:divBdr>
                  <w:divsChild>
                    <w:div w:id="113463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476465">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70323335">
      <w:bodyDiv w:val="1"/>
      <w:marLeft w:val="0"/>
      <w:marRight w:val="0"/>
      <w:marTop w:val="0"/>
      <w:marBottom w:val="0"/>
      <w:divBdr>
        <w:top w:val="none" w:sz="0" w:space="0" w:color="auto"/>
        <w:left w:val="none" w:sz="0" w:space="0" w:color="auto"/>
        <w:bottom w:val="none" w:sz="0" w:space="0" w:color="auto"/>
        <w:right w:val="none" w:sz="0" w:space="0" w:color="auto"/>
      </w:divBdr>
    </w:div>
    <w:div w:id="86537261">
      <w:bodyDiv w:val="1"/>
      <w:marLeft w:val="0"/>
      <w:marRight w:val="0"/>
      <w:marTop w:val="0"/>
      <w:marBottom w:val="0"/>
      <w:divBdr>
        <w:top w:val="none" w:sz="0" w:space="0" w:color="auto"/>
        <w:left w:val="none" w:sz="0" w:space="0" w:color="auto"/>
        <w:bottom w:val="none" w:sz="0" w:space="0" w:color="auto"/>
        <w:right w:val="none" w:sz="0" w:space="0" w:color="auto"/>
      </w:divBdr>
    </w:div>
    <w:div w:id="96368908">
      <w:bodyDiv w:val="1"/>
      <w:marLeft w:val="0"/>
      <w:marRight w:val="0"/>
      <w:marTop w:val="0"/>
      <w:marBottom w:val="0"/>
      <w:divBdr>
        <w:top w:val="none" w:sz="0" w:space="0" w:color="auto"/>
        <w:left w:val="none" w:sz="0" w:space="0" w:color="auto"/>
        <w:bottom w:val="none" w:sz="0" w:space="0" w:color="auto"/>
        <w:right w:val="none" w:sz="0" w:space="0" w:color="auto"/>
      </w:divBdr>
    </w:div>
    <w:div w:id="156846338">
      <w:bodyDiv w:val="1"/>
      <w:marLeft w:val="0"/>
      <w:marRight w:val="0"/>
      <w:marTop w:val="0"/>
      <w:marBottom w:val="0"/>
      <w:divBdr>
        <w:top w:val="none" w:sz="0" w:space="0" w:color="auto"/>
        <w:left w:val="none" w:sz="0" w:space="0" w:color="auto"/>
        <w:bottom w:val="none" w:sz="0" w:space="0" w:color="auto"/>
        <w:right w:val="none" w:sz="0" w:space="0" w:color="auto"/>
      </w:divBdr>
    </w:div>
    <w:div w:id="174805232">
      <w:bodyDiv w:val="1"/>
      <w:marLeft w:val="0"/>
      <w:marRight w:val="0"/>
      <w:marTop w:val="0"/>
      <w:marBottom w:val="0"/>
      <w:divBdr>
        <w:top w:val="none" w:sz="0" w:space="0" w:color="auto"/>
        <w:left w:val="none" w:sz="0" w:space="0" w:color="auto"/>
        <w:bottom w:val="none" w:sz="0" w:space="0" w:color="auto"/>
        <w:right w:val="none" w:sz="0" w:space="0" w:color="auto"/>
      </w:divBdr>
    </w:div>
    <w:div w:id="184948185">
      <w:bodyDiv w:val="1"/>
      <w:marLeft w:val="0"/>
      <w:marRight w:val="0"/>
      <w:marTop w:val="0"/>
      <w:marBottom w:val="0"/>
      <w:divBdr>
        <w:top w:val="none" w:sz="0" w:space="0" w:color="auto"/>
        <w:left w:val="none" w:sz="0" w:space="0" w:color="auto"/>
        <w:bottom w:val="none" w:sz="0" w:space="0" w:color="auto"/>
        <w:right w:val="none" w:sz="0" w:space="0" w:color="auto"/>
      </w:divBdr>
    </w:div>
    <w:div w:id="229654869">
      <w:bodyDiv w:val="1"/>
      <w:marLeft w:val="0"/>
      <w:marRight w:val="0"/>
      <w:marTop w:val="0"/>
      <w:marBottom w:val="0"/>
      <w:divBdr>
        <w:top w:val="none" w:sz="0" w:space="0" w:color="auto"/>
        <w:left w:val="none" w:sz="0" w:space="0" w:color="auto"/>
        <w:bottom w:val="none" w:sz="0" w:space="0" w:color="auto"/>
        <w:right w:val="none" w:sz="0" w:space="0" w:color="auto"/>
      </w:divBdr>
    </w:div>
    <w:div w:id="251934702">
      <w:bodyDiv w:val="1"/>
      <w:marLeft w:val="0"/>
      <w:marRight w:val="0"/>
      <w:marTop w:val="0"/>
      <w:marBottom w:val="0"/>
      <w:divBdr>
        <w:top w:val="none" w:sz="0" w:space="0" w:color="auto"/>
        <w:left w:val="none" w:sz="0" w:space="0" w:color="auto"/>
        <w:bottom w:val="none" w:sz="0" w:space="0" w:color="auto"/>
        <w:right w:val="none" w:sz="0" w:space="0" w:color="auto"/>
      </w:divBdr>
    </w:div>
    <w:div w:id="278876812">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321470353">
      <w:bodyDiv w:val="1"/>
      <w:marLeft w:val="0"/>
      <w:marRight w:val="0"/>
      <w:marTop w:val="0"/>
      <w:marBottom w:val="0"/>
      <w:divBdr>
        <w:top w:val="none" w:sz="0" w:space="0" w:color="auto"/>
        <w:left w:val="none" w:sz="0" w:space="0" w:color="auto"/>
        <w:bottom w:val="none" w:sz="0" w:space="0" w:color="auto"/>
        <w:right w:val="none" w:sz="0" w:space="0" w:color="auto"/>
      </w:divBdr>
    </w:div>
    <w:div w:id="331641372">
      <w:bodyDiv w:val="1"/>
      <w:marLeft w:val="0"/>
      <w:marRight w:val="0"/>
      <w:marTop w:val="0"/>
      <w:marBottom w:val="0"/>
      <w:divBdr>
        <w:top w:val="none" w:sz="0" w:space="0" w:color="auto"/>
        <w:left w:val="none" w:sz="0" w:space="0" w:color="auto"/>
        <w:bottom w:val="none" w:sz="0" w:space="0" w:color="auto"/>
        <w:right w:val="none" w:sz="0" w:space="0" w:color="auto"/>
      </w:divBdr>
    </w:div>
    <w:div w:id="486940016">
      <w:bodyDiv w:val="1"/>
      <w:marLeft w:val="0"/>
      <w:marRight w:val="0"/>
      <w:marTop w:val="0"/>
      <w:marBottom w:val="0"/>
      <w:divBdr>
        <w:top w:val="none" w:sz="0" w:space="0" w:color="auto"/>
        <w:left w:val="none" w:sz="0" w:space="0" w:color="auto"/>
        <w:bottom w:val="none" w:sz="0" w:space="0" w:color="auto"/>
        <w:right w:val="none" w:sz="0" w:space="0" w:color="auto"/>
      </w:divBdr>
    </w:div>
    <w:div w:id="494228281">
      <w:bodyDiv w:val="1"/>
      <w:marLeft w:val="0"/>
      <w:marRight w:val="0"/>
      <w:marTop w:val="0"/>
      <w:marBottom w:val="0"/>
      <w:divBdr>
        <w:top w:val="none" w:sz="0" w:space="0" w:color="auto"/>
        <w:left w:val="none" w:sz="0" w:space="0" w:color="auto"/>
        <w:bottom w:val="none" w:sz="0" w:space="0" w:color="auto"/>
        <w:right w:val="none" w:sz="0" w:space="0" w:color="auto"/>
      </w:divBdr>
      <w:divsChild>
        <w:div w:id="91052880">
          <w:marLeft w:val="0"/>
          <w:marRight w:val="0"/>
          <w:marTop w:val="0"/>
          <w:marBottom w:val="0"/>
          <w:divBdr>
            <w:top w:val="none" w:sz="0" w:space="0" w:color="auto"/>
            <w:left w:val="none" w:sz="0" w:space="0" w:color="auto"/>
            <w:bottom w:val="none" w:sz="0" w:space="0" w:color="auto"/>
            <w:right w:val="none" w:sz="0" w:space="0" w:color="auto"/>
          </w:divBdr>
          <w:divsChild>
            <w:div w:id="133302900">
              <w:marLeft w:val="0"/>
              <w:marRight w:val="0"/>
              <w:marTop w:val="0"/>
              <w:marBottom w:val="0"/>
              <w:divBdr>
                <w:top w:val="none" w:sz="0" w:space="0" w:color="auto"/>
                <w:left w:val="none" w:sz="0" w:space="0" w:color="auto"/>
                <w:bottom w:val="none" w:sz="0" w:space="0" w:color="auto"/>
                <w:right w:val="none" w:sz="0" w:space="0" w:color="auto"/>
              </w:divBdr>
              <w:divsChild>
                <w:div w:id="568854489">
                  <w:marLeft w:val="0"/>
                  <w:marRight w:val="0"/>
                  <w:marTop w:val="0"/>
                  <w:marBottom w:val="0"/>
                  <w:divBdr>
                    <w:top w:val="none" w:sz="0" w:space="0" w:color="auto"/>
                    <w:left w:val="none" w:sz="0" w:space="0" w:color="auto"/>
                    <w:bottom w:val="none" w:sz="0" w:space="0" w:color="auto"/>
                    <w:right w:val="none" w:sz="0" w:space="0" w:color="auto"/>
                  </w:divBdr>
                  <w:divsChild>
                    <w:div w:id="1533348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9125763">
      <w:bodyDiv w:val="1"/>
      <w:marLeft w:val="0"/>
      <w:marRight w:val="0"/>
      <w:marTop w:val="0"/>
      <w:marBottom w:val="0"/>
      <w:divBdr>
        <w:top w:val="none" w:sz="0" w:space="0" w:color="auto"/>
        <w:left w:val="none" w:sz="0" w:space="0" w:color="auto"/>
        <w:bottom w:val="none" w:sz="0" w:space="0" w:color="auto"/>
        <w:right w:val="none" w:sz="0" w:space="0" w:color="auto"/>
      </w:divBdr>
    </w:div>
    <w:div w:id="580607808">
      <w:bodyDiv w:val="1"/>
      <w:marLeft w:val="0"/>
      <w:marRight w:val="0"/>
      <w:marTop w:val="0"/>
      <w:marBottom w:val="0"/>
      <w:divBdr>
        <w:top w:val="none" w:sz="0" w:space="0" w:color="auto"/>
        <w:left w:val="none" w:sz="0" w:space="0" w:color="auto"/>
        <w:bottom w:val="none" w:sz="0" w:space="0" w:color="auto"/>
        <w:right w:val="none" w:sz="0" w:space="0" w:color="auto"/>
      </w:divBdr>
    </w:div>
    <w:div w:id="612252676">
      <w:bodyDiv w:val="1"/>
      <w:marLeft w:val="0"/>
      <w:marRight w:val="0"/>
      <w:marTop w:val="0"/>
      <w:marBottom w:val="0"/>
      <w:divBdr>
        <w:top w:val="none" w:sz="0" w:space="0" w:color="auto"/>
        <w:left w:val="none" w:sz="0" w:space="0" w:color="auto"/>
        <w:bottom w:val="none" w:sz="0" w:space="0" w:color="auto"/>
        <w:right w:val="none" w:sz="0" w:space="0" w:color="auto"/>
      </w:divBdr>
      <w:divsChild>
        <w:div w:id="1281229350">
          <w:marLeft w:val="0"/>
          <w:marRight w:val="0"/>
          <w:marTop w:val="0"/>
          <w:marBottom w:val="0"/>
          <w:divBdr>
            <w:top w:val="none" w:sz="0" w:space="0" w:color="auto"/>
            <w:left w:val="none" w:sz="0" w:space="0" w:color="auto"/>
            <w:bottom w:val="none" w:sz="0" w:space="0" w:color="auto"/>
            <w:right w:val="none" w:sz="0" w:space="0" w:color="auto"/>
          </w:divBdr>
        </w:div>
        <w:div w:id="1760786229">
          <w:marLeft w:val="0"/>
          <w:marRight w:val="0"/>
          <w:marTop w:val="0"/>
          <w:marBottom w:val="0"/>
          <w:divBdr>
            <w:top w:val="none" w:sz="0" w:space="0" w:color="auto"/>
            <w:left w:val="none" w:sz="0" w:space="0" w:color="auto"/>
            <w:bottom w:val="none" w:sz="0" w:space="0" w:color="auto"/>
            <w:right w:val="none" w:sz="0" w:space="0" w:color="auto"/>
          </w:divBdr>
        </w:div>
        <w:div w:id="1565526537">
          <w:marLeft w:val="0"/>
          <w:marRight w:val="0"/>
          <w:marTop w:val="0"/>
          <w:marBottom w:val="0"/>
          <w:divBdr>
            <w:top w:val="none" w:sz="0" w:space="0" w:color="auto"/>
            <w:left w:val="none" w:sz="0" w:space="0" w:color="auto"/>
            <w:bottom w:val="none" w:sz="0" w:space="0" w:color="auto"/>
            <w:right w:val="none" w:sz="0" w:space="0" w:color="auto"/>
          </w:divBdr>
        </w:div>
        <w:div w:id="62025465">
          <w:marLeft w:val="0"/>
          <w:marRight w:val="0"/>
          <w:marTop w:val="0"/>
          <w:marBottom w:val="0"/>
          <w:divBdr>
            <w:top w:val="none" w:sz="0" w:space="0" w:color="auto"/>
            <w:left w:val="none" w:sz="0" w:space="0" w:color="auto"/>
            <w:bottom w:val="none" w:sz="0" w:space="0" w:color="auto"/>
            <w:right w:val="none" w:sz="0" w:space="0" w:color="auto"/>
          </w:divBdr>
        </w:div>
        <w:div w:id="1991130831">
          <w:marLeft w:val="0"/>
          <w:marRight w:val="0"/>
          <w:marTop w:val="0"/>
          <w:marBottom w:val="0"/>
          <w:divBdr>
            <w:top w:val="none" w:sz="0" w:space="0" w:color="auto"/>
            <w:left w:val="none" w:sz="0" w:space="0" w:color="auto"/>
            <w:bottom w:val="none" w:sz="0" w:space="0" w:color="auto"/>
            <w:right w:val="none" w:sz="0" w:space="0" w:color="auto"/>
          </w:divBdr>
        </w:div>
        <w:div w:id="847059627">
          <w:marLeft w:val="0"/>
          <w:marRight w:val="0"/>
          <w:marTop w:val="0"/>
          <w:marBottom w:val="0"/>
          <w:divBdr>
            <w:top w:val="none" w:sz="0" w:space="0" w:color="auto"/>
            <w:left w:val="none" w:sz="0" w:space="0" w:color="auto"/>
            <w:bottom w:val="none" w:sz="0" w:space="0" w:color="auto"/>
            <w:right w:val="none" w:sz="0" w:space="0" w:color="auto"/>
          </w:divBdr>
        </w:div>
        <w:div w:id="365570852">
          <w:marLeft w:val="0"/>
          <w:marRight w:val="0"/>
          <w:marTop w:val="0"/>
          <w:marBottom w:val="0"/>
          <w:divBdr>
            <w:top w:val="none" w:sz="0" w:space="0" w:color="auto"/>
            <w:left w:val="none" w:sz="0" w:space="0" w:color="auto"/>
            <w:bottom w:val="none" w:sz="0" w:space="0" w:color="auto"/>
            <w:right w:val="none" w:sz="0" w:space="0" w:color="auto"/>
          </w:divBdr>
        </w:div>
        <w:div w:id="389959568">
          <w:marLeft w:val="0"/>
          <w:marRight w:val="0"/>
          <w:marTop w:val="0"/>
          <w:marBottom w:val="0"/>
          <w:divBdr>
            <w:top w:val="none" w:sz="0" w:space="0" w:color="auto"/>
            <w:left w:val="none" w:sz="0" w:space="0" w:color="auto"/>
            <w:bottom w:val="none" w:sz="0" w:space="0" w:color="auto"/>
            <w:right w:val="none" w:sz="0" w:space="0" w:color="auto"/>
          </w:divBdr>
        </w:div>
        <w:div w:id="1472016851">
          <w:marLeft w:val="0"/>
          <w:marRight w:val="0"/>
          <w:marTop w:val="0"/>
          <w:marBottom w:val="0"/>
          <w:divBdr>
            <w:top w:val="none" w:sz="0" w:space="0" w:color="auto"/>
            <w:left w:val="none" w:sz="0" w:space="0" w:color="auto"/>
            <w:bottom w:val="none" w:sz="0" w:space="0" w:color="auto"/>
            <w:right w:val="none" w:sz="0" w:space="0" w:color="auto"/>
          </w:divBdr>
        </w:div>
        <w:div w:id="254287878">
          <w:marLeft w:val="0"/>
          <w:marRight w:val="0"/>
          <w:marTop w:val="0"/>
          <w:marBottom w:val="0"/>
          <w:divBdr>
            <w:top w:val="none" w:sz="0" w:space="0" w:color="auto"/>
            <w:left w:val="none" w:sz="0" w:space="0" w:color="auto"/>
            <w:bottom w:val="none" w:sz="0" w:space="0" w:color="auto"/>
            <w:right w:val="none" w:sz="0" w:space="0" w:color="auto"/>
          </w:divBdr>
        </w:div>
        <w:div w:id="676082288">
          <w:marLeft w:val="0"/>
          <w:marRight w:val="0"/>
          <w:marTop w:val="0"/>
          <w:marBottom w:val="0"/>
          <w:divBdr>
            <w:top w:val="none" w:sz="0" w:space="0" w:color="auto"/>
            <w:left w:val="none" w:sz="0" w:space="0" w:color="auto"/>
            <w:bottom w:val="none" w:sz="0" w:space="0" w:color="auto"/>
            <w:right w:val="none" w:sz="0" w:space="0" w:color="auto"/>
          </w:divBdr>
        </w:div>
        <w:div w:id="2099783964">
          <w:marLeft w:val="0"/>
          <w:marRight w:val="0"/>
          <w:marTop w:val="0"/>
          <w:marBottom w:val="0"/>
          <w:divBdr>
            <w:top w:val="none" w:sz="0" w:space="0" w:color="auto"/>
            <w:left w:val="none" w:sz="0" w:space="0" w:color="auto"/>
            <w:bottom w:val="none" w:sz="0" w:space="0" w:color="auto"/>
            <w:right w:val="none" w:sz="0" w:space="0" w:color="auto"/>
          </w:divBdr>
        </w:div>
        <w:div w:id="668563821">
          <w:marLeft w:val="0"/>
          <w:marRight w:val="0"/>
          <w:marTop w:val="0"/>
          <w:marBottom w:val="0"/>
          <w:divBdr>
            <w:top w:val="none" w:sz="0" w:space="0" w:color="auto"/>
            <w:left w:val="none" w:sz="0" w:space="0" w:color="auto"/>
            <w:bottom w:val="none" w:sz="0" w:space="0" w:color="auto"/>
            <w:right w:val="none" w:sz="0" w:space="0" w:color="auto"/>
          </w:divBdr>
        </w:div>
        <w:div w:id="1874222203">
          <w:marLeft w:val="0"/>
          <w:marRight w:val="0"/>
          <w:marTop w:val="0"/>
          <w:marBottom w:val="0"/>
          <w:divBdr>
            <w:top w:val="none" w:sz="0" w:space="0" w:color="auto"/>
            <w:left w:val="none" w:sz="0" w:space="0" w:color="auto"/>
            <w:bottom w:val="none" w:sz="0" w:space="0" w:color="auto"/>
            <w:right w:val="none" w:sz="0" w:space="0" w:color="auto"/>
          </w:divBdr>
        </w:div>
        <w:div w:id="1901552411">
          <w:marLeft w:val="0"/>
          <w:marRight w:val="0"/>
          <w:marTop w:val="0"/>
          <w:marBottom w:val="0"/>
          <w:divBdr>
            <w:top w:val="none" w:sz="0" w:space="0" w:color="auto"/>
            <w:left w:val="none" w:sz="0" w:space="0" w:color="auto"/>
            <w:bottom w:val="none" w:sz="0" w:space="0" w:color="auto"/>
            <w:right w:val="none" w:sz="0" w:space="0" w:color="auto"/>
          </w:divBdr>
        </w:div>
        <w:div w:id="747338983">
          <w:marLeft w:val="0"/>
          <w:marRight w:val="0"/>
          <w:marTop w:val="0"/>
          <w:marBottom w:val="0"/>
          <w:divBdr>
            <w:top w:val="none" w:sz="0" w:space="0" w:color="auto"/>
            <w:left w:val="none" w:sz="0" w:space="0" w:color="auto"/>
            <w:bottom w:val="none" w:sz="0" w:space="0" w:color="auto"/>
            <w:right w:val="none" w:sz="0" w:space="0" w:color="auto"/>
          </w:divBdr>
        </w:div>
        <w:div w:id="1681929628">
          <w:marLeft w:val="0"/>
          <w:marRight w:val="0"/>
          <w:marTop w:val="0"/>
          <w:marBottom w:val="0"/>
          <w:divBdr>
            <w:top w:val="none" w:sz="0" w:space="0" w:color="auto"/>
            <w:left w:val="none" w:sz="0" w:space="0" w:color="auto"/>
            <w:bottom w:val="none" w:sz="0" w:space="0" w:color="auto"/>
            <w:right w:val="none" w:sz="0" w:space="0" w:color="auto"/>
          </w:divBdr>
        </w:div>
        <w:div w:id="673924336">
          <w:marLeft w:val="0"/>
          <w:marRight w:val="0"/>
          <w:marTop w:val="0"/>
          <w:marBottom w:val="0"/>
          <w:divBdr>
            <w:top w:val="none" w:sz="0" w:space="0" w:color="auto"/>
            <w:left w:val="none" w:sz="0" w:space="0" w:color="auto"/>
            <w:bottom w:val="none" w:sz="0" w:space="0" w:color="auto"/>
            <w:right w:val="none" w:sz="0" w:space="0" w:color="auto"/>
          </w:divBdr>
        </w:div>
        <w:div w:id="1502505793">
          <w:marLeft w:val="0"/>
          <w:marRight w:val="0"/>
          <w:marTop w:val="0"/>
          <w:marBottom w:val="0"/>
          <w:divBdr>
            <w:top w:val="none" w:sz="0" w:space="0" w:color="auto"/>
            <w:left w:val="none" w:sz="0" w:space="0" w:color="auto"/>
            <w:bottom w:val="none" w:sz="0" w:space="0" w:color="auto"/>
            <w:right w:val="none" w:sz="0" w:space="0" w:color="auto"/>
          </w:divBdr>
        </w:div>
        <w:div w:id="849375375">
          <w:marLeft w:val="0"/>
          <w:marRight w:val="0"/>
          <w:marTop w:val="0"/>
          <w:marBottom w:val="0"/>
          <w:divBdr>
            <w:top w:val="none" w:sz="0" w:space="0" w:color="auto"/>
            <w:left w:val="none" w:sz="0" w:space="0" w:color="auto"/>
            <w:bottom w:val="none" w:sz="0" w:space="0" w:color="auto"/>
            <w:right w:val="none" w:sz="0" w:space="0" w:color="auto"/>
          </w:divBdr>
        </w:div>
        <w:div w:id="1149394905">
          <w:marLeft w:val="0"/>
          <w:marRight w:val="0"/>
          <w:marTop w:val="0"/>
          <w:marBottom w:val="0"/>
          <w:divBdr>
            <w:top w:val="none" w:sz="0" w:space="0" w:color="auto"/>
            <w:left w:val="none" w:sz="0" w:space="0" w:color="auto"/>
            <w:bottom w:val="none" w:sz="0" w:space="0" w:color="auto"/>
            <w:right w:val="none" w:sz="0" w:space="0" w:color="auto"/>
          </w:divBdr>
        </w:div>
        <w:div w:id="576090831">
          <w:marLeft w:val="0"/>
          <w:marRight w:val="0"/>
          <w:marTop w:val="0"/>
          <w:marBottom w:val="0"/>
          <w:divBdr>
            <w:top w:val="none" w:sz="0" w:space="0" w:color="auto"/>
            <w:left w:val="none" w:sz="0" w:space="0" w:color="auto"/>
            <w:bottom w:val="none" w:sz="0" w:space="0" w:color="auto"/>
            <w:right w:val="none" w:sz="0" w:space="0" w:color="auto"/>
          </w:divBdr>
        </w:div>
      </w:divsChild>
    </w:div>
    <w:div w:id="630938460">
      <w:bodyDiv w:val="1"/>
      <w:marLeft w:val="0"/>
      <w:marRight w:val="0"/>
      <w:marTop w:val="0"/>
      <w:marBottom w:val="0"/>
      <w:divBdr>
        <w:top w:val="none" w:sz="0" w:space="0" w:color="auto"/>
        <w:left w:val="none" w:sz="0" w:space="0" w:color="auto"/>
        <w:bottom w:val="none" w:sz="0" w:space="0" w:color="auto"/>
        <w:right w:val="none" w:sz="0" w:space="0" w:color="auto"/>
      </w:divBdr>
    </w:div>
    <w:div w:id="634288312">
      <w:bodyDiv w:val="1"/>
      <w:marLeft w:val="0"/>
      <w:marRight w:val="0"/>
      <w:marTop w:val="0"/>
      <w:marBottom w:val="0"/>
      <w:divBdr>
        <w:top w:val="none" w:sz="0" w:space="0" w:color="auto"/>
        <w:left w:val="none" w:sz="0" w:space="0" w:color="auto"/>
        <w:bottom w:val="none" w:sz="0" w:space="0" w:color="auto"/>
        <w:right w:val="none" w:sz="0" w:space="0" w:color="auto"/>
      </w:divBdr>
    </w:div>
    <w:div w:id="716660526">
      <w:bodyDiv w:val="1"/>
      <w:marLeft w:val="0"/>
      <w:marRight w:val="0"/>
      <w:marTop w:val="0"/>
      <w:marBottom w:val="0"/>
      <w:divBdr>
        <w:top w:val="none" w:sz="0" w:space="0" w:color="auto"/>
        <w:left w:val="none" w:sz="0" w:space="0" w:color="auto"/>
        <w:bottom w:val="none" w:sz="0" w:space="0" w:color="auto"/>
        <w:right w:val="none" w:sz="0" w:space="0" w:color="auto"/>
      </w:divBdr>
    </w:div>
    <w:div w:id="724717256">
      <w:bodyDiv w:val="1"/>
      <w:marLeft w:val="0"/>
      <w:marRight w:val="0"/>
      <w:marTop w:val="0"/>
      <w:marBottom w:val="0"/>
      <w:divBdr>
        <w:top w:val="none" w:sz="0" w:space="0" w:color="auto"/>
        <w:left w:val="none" w:sz="0" w:space="0" w:color="auto"/>
        <w:bottom w:val="none" w:sz="0" w:space="0" w:color="auto"/>
        <w:right w:val="none" w:sz="0" w:space="0" w:color="auto"/>
      </w:divBdr>
      <w:divsChild>
        <w:div w:id="1042556098">
          <w:marLeft w:val="0"/>
          <w:marRight w:val="0"/>
          <w:marTop w:val="0"/>
          <w:marBottom w:val="0"/>
          <w:divBdr>
            <w:top w:val="none" w:sz="0" w:space="0" w:color="auto"/>
            <w:left w:val="none" w:sz="0" w:space="0" w:color="auto"/>
            <w:bottom w:val="none" w:sz="0" w:space="0" w:color="auto"/>
            <w:right w:val="none" w:sz="0" w:space="0" w:color="auto"/>
          </w:divBdr>
          <w:divsChild>
            <w:div w:id="1050760329">
              <w:marLeft w:val="0"/>
              <w:marRight w:val="0"/>
              <w:marTop w:val="0"/>
              <w:marBottom w:val="0"/>
              <w:divBdr>
                <w:top w:val="none" w:sz="0" w:space="0" w:color="auto"/>
                <w:left w:val="none" w:sz="0" w:space="0" w:color="auto"/>
                <w:bottom w:val="none" w:sz="0" w:space="0" w:color="auto"/>
                <w:right w:val="none" w:sz="0" w:space="0" w:color="auto"/>
              </w:divBdr>
              <w:divsChild>
                <w:div w:id="638269492">
                  <w:marLeft w:val="0"/>
                  <w:marRight w:val="0"/>
                  <w:marTop w:val="0"/>
                  <w:marBottom w:val="0"/>
                  <w:divBdr>
                    <w:top w:val="none" w:sz="0" w:space="0" w:color="auto"/>
                    <w:left w:val="none" w:sz="0" w:space="0" w:color="auto"/>
                    <w:bottom w:val="none" w:sz="0" w:space="0" w:color="auto"/>
                    <w:right w:val="none" w:sz="0" w:space="0" w:color="auto"/>
                  </w:divBdr>
                  <w:divsChild>
                    <w:div w:id="1149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2292648">
      <w:bodyDiv w:val="1"/>
      <w:marLeft w:val="0"/>
      <w:marRight w:val="0"/>
      <w:marTop w:val="0"/>
      <w:marBottom w:val="0"/>
      <w:divBdr>
        <w:top w:val="none" w:sz="0" w:space="0" w:color="auto"/>
        <w:left w:val="none" w:sz="0" w:space="0" w:color="auto"/>
        <w:bottom w:val="none" w:sz="0" w:space="0" w:color="auto"/>
        <w:right w:val="none" w:sz="0" w:space="0" w:color="auto"/>
      </w:divBdr>
    </w:div>
    <w:div w:id="773130067">
      <w:bodyDiv w:val="1"/>
      <w:marLeft w:val="0"/>
      <w:marRight w:val="0"/>
      <w:marTop w:val="0"/>
      <w:marBottom w:val="0"/>
      <w:divBdr>
        <w:top w:val="none" w:sz="0" w:space="0" w:color="auto"/>
        <w:left w:val="none" w:sz="0" w:space="0" w:color="auto"/>
        <w:bottom w:val="none" w:sz="0" w:space="0" w:color="auto"/>
        <w:right w:val="none" w:sz="0" w:space="0" w:color="auto"/>
      </w:divBdr>
      <w:divsChild>
        <w:div w:id="1260412852">
          <w:marLeft w:val="0"/>
          <w:marRight w:val="0"/>
          <w:marTop w:val="0"/>
          <w:marBottom w:val="0"/>
          <w:divBdr>
            <w:top w:val="none" w:sz="0" w:space="0" w:color="auto"/>
            <w:left w:val="none" w:sz="0" w:space="0" w:color="auto"/>
            <w:bottom w:val="none" w:sz="0" w:space="0" w:color="auto"/>
            <w:right w:val="none" w:sz="0" w:space="0" w:color="auto"/>
          </w:divBdr>
          <w:divsChild>
            <w:div w:id="196508913">
              <w:marLeft w:val="0"/>
              <w:marRight w:val="0"/>
              <w:marTop w:val="0"/>
              <w:marBottom w:val="0"/>
              <w:divBdr>
                <w:top w:val="none" w:sz="0" w:space="0" w:color="auto"/>
                <w:left w:val="none" w:sz="0" w:space="0" w:color="auto"/>
                <w:bottom w:val="none" w:sz="0" w:space="0" w:color="auto"/>
                <w:right w:val="none" w:sz="0" w:space="0" w:color="auto"/>
              </w:divBdr>
              <w:divsChild>
                <w:div w:id="552547799">
                  <w:marLeft w:val="0"/>
                  <w:marRight w:val="0"/>
                  <w:marTop w:val="0"/>
                  <w:marBottom w:val="0"/>
                  <w:divBdr>
                    <w:top w:val="none" w:sz="0" w:space="0" w:color="auto"/>
                    <w:left w:val="none" w:sz="0" w:space="0" w:color="auto"/>
                    <w:bottom w:val="none" w:sz="0" w:space="0" w:color="auto"/>
                    <w:right w:val="none" w:sz="0" w:space="0" w:color="auto"/>
                  </w:divBdr>
                  <w:divsChild>
                    <w:div w:id="43294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596036">
      <w:bodyDiv w:val="1"/>
      <w:marLeft w:val="0"/>
      <w:marRight w:val="0"/>
      <w:marTop w:val="0"/>
      <w:marBottom w:val="0"/>
      <w:divBdr>
        <w:top w:val="none" w:sz="0" w:space="0" w:color="auto"/>
        <w:left w:val="none" w:sz="0" w:space="0" w:color="auto"/>
        <w:bottom w:val="none" w:sz="0" w:space="0" w:color="auto"/>
        <w:right w:val="none" w:sz="0" w:space="0" w:color="auto"/>
      </w:divBdr>
    </w:div>
    <w:div w:id="790320981">
      <w:bodyDiv w:val="1"/>
      <w:marLeft w:val="0"/>
      <w:marRight w:val="0"/>
      <w:marTop w:val="0"/>
      <w:marBottom w:val="0"/>
      <w:divBdr>
        <w:top w:val="none" w:sz="0" w:space="0" w:color="auto"/>
        <w:left w:val="none" w:sz="0" w:space="0" w:color="auto"/>
        <w:bottom w:val="none" w:sz="0" w:space="0" w:color="auto"/>
        <w:right w:val="none" w:sz="0" w:space="0" w:color="auto"/>
      </w:divBdr>
      <w:divsChild>
        <w:div w:id="1997878097">
          <w:marLeft w:val="0"/>
          <w:marRight w:val="0"/>
          <w:marTop w:val="0"/>
          <w:marBottom w:val="0"/>
          <w:divBdr>
            <w:top w:val="none" w:sz="0" w:space="0" w:color="auto"/>
            <w:left w:val="none" w:sz="0" w:space="0" w:color="auto"/>
            <w:bottom w:val="none" w:sz="0" w:space="0" w:color="auto"/>
            <w:right w:val="none" w:sz="0" w:space="0" w:color="auto"/>
          </w:divBdr>
          <w:divsChild>
            <w:div w:id="1843425114">
              <w:marLeft w:val="0"/>
              <w:marRight w:val="0"/>
              <w:marTop w:val="0"/>
              <w:marBottom w:val="0"/>
              <w:divBdr>
                <w:top w:val="none" w:sz="0" w:space="0" w:color="auto"/>
                <w:left w:val="none" w:sz="0" w:space="0" w:color="auto"/>
                <w:bottom w:val="none" w:sz="0" w:space="0" w:color="auto"/>
                <w:right w:val="none" w:sz="0" w:space="0" w:color="auto"/>
              </w:divBdr>
              <w:divsChild>
                <w:div w:id="86384608">
                  <w:marLeft w:val="0"/>
                  <w:marRight w:val="0"/>
                  <w:marTop w:val="0"/>
                  <w:marBottom w:val="0"/>
                  <w:divBdr>
                    <w:top w:val="none" w:sz="0" w:space="0" w:color="auto"/>
                    <w:left w:val="none" w:sz="0" w:space="0" w:color="auto"/>
                    <w:bottom w:val="none" w:sz="0" w:space="0" w:color="auto"/>
                    <w:right w:val="none" w:sz="0" w:space="0" w:color="auto"/>
                  </w:divBdr>
                  <w:divsChild>
                    <w:div w:id="113502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734055">
      <w:bodyDiv w:val="1"/>
      <w:marLeft w:val="0"/>
      <w:marRight w:val="0"/>
      <w:marTop w:val="0"/>
      <w:marBottom w:val="0"/>
      <w:divBdr>
        <w:top w:val="none" w:sz="0" w:space="0" w:color="auto"/>
        <w:left w:val="none" w:sz="0" w:space="0" w:color="auto"/>
        <w:bottom w:val="none" w:sz="0" w:space="0" w:color="auto"/>
        <w:right w:val="none" w:sz="0" w:space="0" w:color="auto"/>
      </w:divBdr>
    </w:div>
    <w:div w:id="932515811">
      <w:bodyDiv w:val="1"/>
      <w:marLeft w:val="0"/>
      <w:marRight w:val="0"/>
      <w:marTop w:val="0"/>
      <w:marBottom w:val="0"/>
      <w:divBdr>
        <w:top w:val="none" w:sz="0" w:space="0" w:color="auto"/>
        <w:left w:val="none" w:sz="0" w:space="0" w:color="auto"/>
        <w:bottom w:val="none" w:sz="0" w:space="0" w:color="auto"/>
        <w:right w:val="none" w:sz="0" w:space="0" w:color="auto"/>
      </w:divBdr>
    </w:div>
    <w:div w:id="983122116">
      <w:bodyDiv w:val="1"/>
      <w:marLeft w:val="0"/>
      <w:marRight w:val="0"/>
      <w:marTop w:val="0"/>
      <w:marBottom w:val="0"/>
      <w:divBdr>
        <w:top w:val="none" w:sz="0" w:space="0" w:color="auto"/>
        <w:left w:val="none" w:sz="0" w:space="0" w:color="auto"/>
        <w:bottom w:val="none" w:sz="0" w:space="0" w:color="auto"/>
        <w:right w:val="none" w:sz="0" w:space="0" w:color="auto"/>
      </w:divBdr>
      <w:divsChild>
        <w:div w:id="274680265">
          <w:marLeft w:val="0"/>
          <w:marRight w:val="0"/>
          <w:marTop w:val="0"/>
          <w:marBottom w:val="0"/>
          <w:divBdr>
            <w:top w:val="none" w:sz="0" w:space="0" w:color="auto"/>
            <w:left w:val="none" w:sz="0" w:space="0" w:color="auto"/>
            <w:bottom w:val="none" w:sz="0" w:space="0" w:color="auto"/>
            <w:right w:val="none" w:sz="0" w:space="0" w:color="auto"/>
          </w:divBdr>
          <w:divsChild>
            <w:div w:id="2065912344">
              <w:marLeft w:val="0"/>
              <w:marRight w:val="0"/>
              <w:marTop w:val="0"/>
              <w:marBottom w:val="0"/>
              <w:divBdr>
                <w:top w:val="none" w:sz="0" w:space="0" w:color="auto"/>
                <w:left w:val="none" w:sz="0" w:space="0" w:color="auto"/>
                <w:bottom w:val="none" w:sz="0" w:space="0" w:color="auto"/>
                <w:right w:val="none" w:sz="0" w:space="0" w:color="auto"/>
              </w:divBdr>
              <w:divsChild>
                <w:div w:id="1104039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629355">
      <w:bodyDiv w:val="1"/>
      <w:marLeft w:val="0"/>
      <w:marRight w:val="0"/>
      <w:marTop w:val="0"/>
      <w:marBottom w:val="0"/>
      <w:divBdr>
        <w:top w:val="none" w:sz="0" w:space="0" w:color="auto"/>
        <w:left w:val="none" w:sz="0" w:space="0" w:color="auto"/>
        <w:bottom w:val="none" w:sz="0" w:space="0" w:color="auto"/>
        <w:right w:val="none" w:sz="0" w:space="0" w:color="auto"/>
      </w:divBdr>
    </w:div>
    <w:div w:id="993220301">
      <w:bodyDiv w:val="1"/>
      <w:marLeft w:val="0"/>
      <w:marRight w:val="0"/>
      <w:marTop w:val="0"/>
      <w:marBottom w:val="0"/>
      <w:divBdr>
        <w:top w:val="none" w:sz="0" w:space="0" w:color="auto"/>
        <w:left w:val="none" w:sz="0" w:space="0" w:color="auto"/>
        <w:bottom w:val="none" w:sz="0" w:space="0" w:color="auto"/>
        <w:right w:val="none" w:sz="0" w:space="0" w:color="auto"/>
      </w:divBdr>
    </w:div>
    <w:div w:id="996416141">
      <w:bodyDiv w:val="1"/>
      <w:marLeft w:val="0"/>
      <w:marRight w:val="0"/>
      <w:marTop w:val="0"/>
      <w:marBottom w:val="0"/>
      <w:divBdr>
        <w:top w:val="none" w:sz="0" w:space="0" w:color="auto"/>
        <w:left w:val="none" w:sz="0" w:space="0" w:color="auto"/>
        <w:bottom w:val="none" w:sz="0" w:space="0" w:color="auto"/>
        <w:right w:val="none" w:sz="0" w:space="0" w:color="auto"/>
      </w:divBdr>
    </w:div>
    <w:div w:id="1004742548">
      <w:bodyDiv w:val="1"/>
      <w:marLeft w:val="0"/>
      <w:marRight w:val="0"/>
      <w:marTop w:val="0"/>
      <w:marBottom w:val="0"/>
      <w:divBdr>
        <w:top w:val="none" w:sz="0" w:space="0" w:color="auto"/>
        <w:left w:val="none" w:sz="0" w:space="0" w:color="auto"/>
        <w:bottom w:val="none" w:sz="0" w:space="0" w:color="auto"/>
        <w:right w:val="none" w:sz="0" w:space="0" w:color="auto"/>
      </w:divBdr>
      <w:divsChild>
        <w:div w:id="1424839724">
          <w:marLeft w:val="0"/>
          <w:marRight w:val="0"/>
          <w:marTop w:val="0"/>
          <w:marBottom w:val="0"/>
          <w:divBdr>
            <w:top w:val="none" w:sz="0" w:space="0" w:color="auto"/>
            <w:left w:val="none" w:sz="0" w:space="0" w:color="auto"/>
            <w:bottom w:val="none" w:sz="0" w:space="0" w:color="auto"/>
            <w:right w:val="none" w:sz="0" w:space="0" w:color="auto"/>
          </w:divBdr>
          <w:divsChild>
            <w:div w:id="972058484">
              <w:marLeft w:val="0"/>
              <w:marRight w:val="0"/>
              <w:marTop w:val="0"/>
              <w:marBottom w:val="0"/>
              <w:divBdr>
                <w:top w:val="none" w:sz="0" w:space="0" w:color="auto"/>
                <w:left w:val="none" w:sz="0" w:space="0" w:color="auto"/>
                <w:bottom w:val="none" w:sz="0" w:space="0" w:color="auto"/>
                <w:right w:val="none" w:sz="0" w:space="0" w:color="auto"/>
              </w:divBdr>
              <w:divsChild>
                <w:div w:id="1507550600">
                  <w:marLeft w:val="0"/>
                  <w:marRight w:val="0"/>
                  <w:marTop w:val="0"/>
                  <w:marBottom w:val="0"/>
                  <w:divBdr>
                    <w:top w:val="none" w:sz="0" w:space="0" w:color="auto"/>
                    <w:left w:val="none" w:sz="0" w:space="0" w:color="auto"/>
                    <w:bottom w:val="none" w:sz="0" w:space="0" w:color="auto"/>
                    <w:right w:val="none" w:sz="0" w:space="0" w:color="auto"/>
                  </w:divBdr>
                  <w:divsChild>
                    <w:div w:id="165603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853041">
      <w:bodyDiv w:val="1"/>
      <w:marLeft w:val="0"/>
      <w:marRight w:val="0"/>
      <w:marTop w:val="0"/>
      <w:marBottom w:val="0"/>
      <w:divBdr>
        <w:top w:val="none" w:sz="0" w:space="0" w:color="auto"/>
        <w:left w:val="none" w:sz="0" w:space="0" w:color="auto"/>
        <w:bottom w:val="none" w:sz="0" w:space="0" w:color="auto"/>
        <w:right w:val="none" w:sz="0" w:space="0" w:color="auto"/>
      </w:divBdr>
    </w:div>
    <w:div w:id="1051729835">
      <w:bodyDiv w:val="1"/>
      <w:marLeft w:val="0"/>
      <w:marRight w:val="0"/>
      <w:marTop w:val="0"/>
      <w:marBottom w:val="0"/>
      <w:divBdr>
        <w:top w:val="none" w:sz="0" w:space="0" w:color="auto"/>
        <w:left w:val="none" w:sz="0" w:space="0" w:color="auto"/>
        <w:bottom w:val="none" w:sz="0" w:space="0" w:color="auto"/>
        <w:right w:val="none" w:sz="0" w:space="0" w:color="auto"/>
      </w:divBdr>
      <w:divsChild>
        <w:div w:id="947155884">
          <w:marLeft w:val="0"/>
          <w:marRight w:val="0"/>
          <w:marTop w:val="0"/>
          <w:marBottom w:val="0"/>
          <w:divBdr>
            <w:top w:val="none" w:sz="0" w:space="0" w:color="auto"/>
            <w:left w:val="none" w:sz="0" w:space="0" w:color="auto"/>
            <w:bottom w:val="none" w:sz="0" w:space="0" w:color="auto"/>
            <w:right w:val="none" w:sz="0" w:space="0" w:color="auto"/>
          </w:divBdr>
          <w:divsChild>
            <w:div w:id="1909341863">
              <w:marLeft w:val="0"/>
              <w:marRight w:val="0"/>
              <w:marTop w:val="0"/>
              <w:marBottom w:val="0"/>
              <w:divBdr>
                <w:top w:val="none" w:sz="0" w:space="0" w:color="auto"/>
                <w:left w:val="none" w:sz="0" w:space="0" w:color="auto"/>
                <w:bottom w:val="none" w:sz="0" w:space="0" w:color="auto"/>
                <w:right w:val="none" w:sz="0" w:space="0" w:color="auto"/>
              </w:divBdr>
              <w:divsChild>
                <w:div w:id="211812458">
                  <w:marLeft w:val="0"/>
                  <w:marRight w:val="0"/>
                  <w:marTop w:val="0"/>
                  <w:marBottom w:val="0"/>
                  <w:divBdr>
                    <w:top w:val="none" w:sz="0" w:space="0" w:color="auto"/>
                    <w:left w:val="none" w:sz="0" w:space="0" w:color="auto"/>
                    <w:bottom w:val="none" w:sz="0" w:space="0" w:color="auto"/>
                    <w:right w:val="none" w:sz="0" w:space="0" w:color="auto"/>
                  </w:divBdr>
                  <w:divsChild>
                    <w:div w:id="45147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0612814">
      <w:bodyDiv w:val="1"/>
      <w:marLeft w:val="0"/>
      <w:marRight w:val="0"/>
      <w:marTop w:val="0"/>
      <w:marBottom w:val="0"/>
      <w:divBdr>
        <w:top w:val="none" w:sz="0" w:space="0" w:color="auto"/>
        <w:left w:val="none" w:sz="0" w:space="0" w:color="auto"/>
        <w:bottom w:val="none" w:sz="0" w:space="0" w:color="auto"/>
        <w:right w:val="none" w:sz="0" w:space="0" w:color="auto"/>
      </w:divBdr>
    </w:div>
    <w:div w:id="1109936679">
      <w:bodyDiv w:val="1"/>
      <w:marLeft w:val="0"/>
      <w:marRight w:val="0"/>
      <w:marTop w:val="0"/>
      <w:marBottom w:val="0"/>
      <w:divBdr>
        <w:top w:val="none" w:sz="0" w:space="0" w:color="auto"/>
        <w:left w:val="none" w:sz="0" w:space="0" w:color="auto"/>
        <w:bottom w:val="none" w:sz="0" w:space="0" w:color="auto"/>
        <w:right w:val="none" w:sz="0" w:space="0" w:color="auto"/>
      </w:divBdr>
    </w:div>
    <w:div w:id="1118646902">
      <w:bodyDiv w:val="1"/>
      <w:marLeft w:val="0"/>
      <w:marRight w:val="0"/>
      <w:marTop w:val="0"/>
      <w:marBottom w:val="0"/>
      <w:divBdr>
        <w:top w:val="none" w:sz="0" w:space="0" w:color="auto"/>
        <w:left w:val="none" w:sz="0" w:space="0" w:color="auto"/>
        <w:bottom w:val="none" w:sz="0" w:space="0" w:color="auto"/>
        <w:right w:val="none" w:sz="0" w:space="0" w:color="auto"/>
      </w:divBdr>
    </w:div>
    <w:div w:id="1164275818">
      <w:bodyDiv w:val="1"/>
      <w:marLeft w:val="0"/>
      <w:marRight w:val="0"/>
      <w:marTop w:val="0"/>
      <w:marBottom w:val="0"/>
      <w:divBdr>
        <w:top w:val="none" w:sz="0" w:space="0" w:color="auto"/>
        <w:left w:val="none" w:sz="0" w:space="0" w:color="auto"/>
        <w:bottom w:val="none" w:sz="0" w:space="0" w:color="auto"/>
        <w:right w:val="none" w:sz="0" w:space="0" w:color="auto"/>
      </w:divBdr>
    </w:div>
    <w:div w:id="1314407250">
      <w:bodyDiv w:val="1"/>
      <w:marLeft w:val="0"/>
      <w:marRight w:val="0"/>
      <w:marTop w:val="0"/>
      <w:marBottom w:val="0"/>
      <w:divBdr>
        <w:top w:val="none" w:sz="0" w:space="0" w:color="auto"/>
        <w:left w:val="none" w:sz="0" w:space="0" w:color="auto"/>
        <w:bottom w:val="none" w:sz="0" w:space="0" w:color="auto"/>
        <w:right w:val="none" w:sz="0" w:space="0" w:color="auto"/>
      </w:divBdr>
    </w:div>
    <w:div w:id="1331103864">
      <w:bodyDiv w:val="1"/>
      <w:marLeft w:val="0"/>
      <w:marRight w:val="0"/>
      <w:marTop w:val="0"/>
      <w:marBottom w:val="0"/>
      <w:divBdr>
        <w:top w:val="none" w:sz="0" w:space="0" w:color="auto"/>
        <w:left w:val="none" w:sz="0" w:space="0" w:color="auto"/>
        <w:bottom w:val="none" w:sz="0" w:space="0" w:color="auto"/>
        <w:right w:val="none" w:sz="0" w:space="0" w:color="auto"/>
      </w:divBdr>
    </w:div>
    <w:div w:id="1348092929">
      <w:bodyDiv w:val="1"/>
      <w:marLeft w:val="0"/>
      <w:marRight w:val="0"/>
      <w:marTop w:val="0"/>
      <w:marBottom w:val="0"/>
      <w:divBdr>
        <w:top w:val="none" w:sz="0" w:space="0" w:color="auto"/>
        <w:left w:val="none" w:sz="0" w:space="0" w:color="auto"/>
        <w:bottom w:val="none" w:sz="0" w:space="0" w:color="auto"/>
        <w:right w:val="none" w:sz="0" w:space="0" w:color="auto"/>
      </w:divBdr>
    </w:div>
    <w:div w:id="1430813612">
      <w:bodyDiv w:val="1"/>
      <w:marLeft w:val="0"/>
      <w:marRight w:val="0"/>
      <w:marTop w:val="0"/>
      <w:marBottom w:val="0"/>
      <w:divBdr>
        <w:top w:val="none" w:sz="0" w:space="0" w:color="auto"/>
        <w:left w:val="none" w:sz="0" w:space="0" w:color="auto"/>
        <w:bottom w:val="none" w:sz="0" w:space="0" w:color="auto"/>
        <w:right w:val="none" w:sz="0" w:space="0" w:color="auto"/>
      </w:divBdr>
    </w:div>
    <w:div w:id="1458714824">
      <w:bodyDiv w:val="1"/>
      <w:marLeft w:val="0"/>
      <w:marRight w:val="0"/>
      <w:marTop w:val="0"/>
      <w:marBottom w:val="0"/>
      <w:divBdr>
        <w:top w:val="none" w:sz="0" w:space="0" w:color="auto"/>
        <w:left w:val="none" w:sz="0" w:space="0" w:color="auto"/>
        <w:bottom w:val="none" w:sz="0" w:space="0" w:color="auto"/>
        <w:right w:val="none" w:sz="0" w:space="0" w:color="auto"/>
      </w:divBdr>
    </w:div>
    <w:div w:id="1477264318">
      <w:bodyDiv w:val="1"/>
      <w:marLeft w:val="0"/>
      <w:marRight w:val="0"/>
      <w:marTop w:val="0"/>
      <w:marBottom w:val="0"/>
      <w:divBdr>
        <w:top w:val="none" w:sz="0" w:space="0" w:color="auto"/>
        <w:left w:val="none" w:sz="0" w:space="0" w:color="auto"/>
        <w:bottom w:val="none" w:sz="0" w:space="0" w:color="auto"/>
        <w:right w:val="none" w:sz="0" w:space="0" w:color="auto"/>
      </w:divBdr>
    </w:div>
    <w:div w:id="1519465003">
      <w:bodyDiv w:val="1"/>
      <w:marLeft w:val="0"/>
      <w:marRight w:val="0"/>
      <w:marTop w:val="0"/>
      <w:marBottom w:val="0"/>
      <w:divBdr>
        <w:top w:val="none" w:sz="0" w:space="0" w:color="auto"/>
        <w:left w:val="none" w:sz="0" w:space="0" w:color="auto"/>
        <w:bottom w:val="none" w:sz="0" w:space="0" w:color="auto"/>
        <w:right w:val="none" w:sz="0" w:space="0" w:color="auto"/>
      </w:divBdr>
    </w:div>
    <w:div w:id="1655915158">
      <w:bodyDiv w:val="1"/>
      <w:marLeft w:val="0"/>
      <w:marRight w:val="0"/>
      <w:marTop w:val="0"/>
      <w:marBottom w:val="0"/>
      <w:divBdr>
        <w:top w:val="none" w:sz="0" w:space="0" w:color="auto"/>
        <w:left w:val="none" w:sz="0" w:space="0" w:color="auto"/>
        <w:bottom w:val="none" w:sz="0" w:space="0" w:color="auto"/>
        <w:right w:val="none" w:sz="0" w:space="0" w:color="auto"/>
      </w:divBdr>
    </w:div>
    <w:div w:id="1658680677">
      <w:bodyDiv w:val="1"/>
      <w:marLeft w:val="0"/>
      <w:marRight w:val="0"/>
      <w:marTop w:val="0"/>
      <w:marBottom w:val="0"/>
      <w:divBdr>
        <w:top w:val="none" w:sz="0" w:space="0" w:color="auto"/>
        <w:left w:val="none" w:sz="0" w:space="0" w:color="auto"/>
        <w:bottom w:val="none" w:sz="0" w:space="0" w:color="auto"/>
        <w:right w:val="none" w:sz="0" w:space="0" w:color="auto"/>
      </w:divBdr>
    </w:div>
    <w:div w:id="1662541294">
      <w:bodyDiv w:val="1"/>
      <w:marLeft w:val="0"/>
      <w:marRight w:val="0"/>
      <w:marTop w:val="0"/>
      <w:marBottom w:val="0"/>
      <w:divBdr>
        <w:top w:val="none" w:sz="0" w:space="0" w:color="auto"/>
        <w:left w:val="none" w:sz="0" w:space="0" w:color="auto"/>
        <w:bottom w:val="none" w:sz="0" w:space="0" w:color="auto"/>
        <w:right w:val="none" w:sz="0" w:space="0" w:color="auto"/>
      </w:divBdr>
    </w:div>
    <w:div w:id="1688369097">
      <w:bodyDiv w:val="1"/>
      <w:marLeft w:val="0"/>
      <w:marRight w:val="0"/>
      <w:marTop w:val="0"/>
      <w:marBottom w:val="0"/>
      <w:divBdr>
        <w:top w:val="none" w:sz="0" w:space="0" w:color="auto"/>
        <w:left w:val="none" w:sz="0" w:space="0" w:color="auto"/>
        <w:bottom w:val="none" w:sz="0" w:space="0" w:color="auto"/>
        <w:right w:val="none" w:sz="0" w:space="0" w:color="auto"/>
      </w:divBdr>
    </w:div>
    <w:div w:id="1702705312">
      <w:bodyDiv w:val="1"/>
      <w:marLeft w:val="0"/>
      <w:marRight w:val="0"/>
      <w:marTop w:val="0"/>
      <w:marBottom w:val="0"/>
      <w:divBdr>
        <w:top w:val="none" w:sz="0" w:space="0" w:color="auto"/>
        <w:left w:val="none" w:sz="0" w:space="0" w:color="auto"/>
        <w:bottom w:val="none" w:sz="0" w:space="0" w:color="auto"/>
        <w:right w:val="none" w:sz="0" w:space="0" w:color="auto"/>
      </w:divBdr>
    </w:div>
    <w:div w:id="1725786698">
      <w:bodyDiv w:val="1"/>
      <w:marLeft w:val="0"/>
      <w:marRight w:val="0"/>
      <w:marTop w:val="0"/>
      <w:marBottom w:val="0"/>
      <w:divBdr>
        <w:top w:val="none" w:sz="0" w:space="0" w:color="auto"/>
        <w:left w:val="none" w:sz="0" w:space="0" w:color="auto"/>
        <w:bottom w:val="none" w:sz="0" w:space="0" w:color="auto"/>
        <w:right w:val="none" w:sz="0" w:space="0" w:color="auto"/>
      </w:divBdr>
    </w:div>
    <w:div w:id="1770006728">
      <w:bodyDiv w:val="1"/>
      <w:marLeft w:val="0"/>
      <w:marRight w:val="0"/>
      <w:marTop w:val="0"/>
      <w:marBottom w:val="0"/>
      <w:divBdr>
        <w:top w:val="none" w:sz="0" w:space="0" w:color="auto"/>
        <w:left w:val="none" w:sz="0" w:space="0" w:color="auto"/>
        <w:bottom w:val="none" w:sz="0" w:space="0" w:color="auto"/>
        <w:right w:val="none" w:sz="0" w:space="0" w:color="auto"/>
      </w:divBdr>
    </w:div>
    <w:div w:id="1835103771">
      <w:bodyDiv w:val="1"/>
      <w:marLeft w:val="0"/>
      <w:marRight w:val="0"/>
      <w:marTop w:val="0"/>
      <w:marBottom w:val="0"/>
      <w:divBdr>
        <w:top w:val="none" w:sz="0" w:space="0" w:color="auto"/>
        <w:left w:val="none" w:sz="0" w:space="0" w:color="auto"/>
        <w:bottom w:val="none" w:sz="0" w:space="0" w:color="auto"/>
        <w:right w:val="none" w:sz="0" w:space="0" w:color="auto"/>
      </w:divBdr>
    </w:div>
    <w:div w:id="1842817058">
      <w:bodyDiv w:val="1"/>
      <w:marLeft w:val="0"/>
      <w:marRight w:val="0"/>
      <w:marTop w:val="0"/>
      <w:marBottom w:val="0"/>
      <w:divBdr>
        <w:top w:val="none" w:sz="0" w:space="0" w:color="auto"/>
        <w:left w:val="none" w:sz="0" w:space="0" w:color="auto"/>
        <w:bottom w:val="none" w:sz="0" w:space="0" w:color="auto"/>
        <w:right w:val="none" w:sz="0" w:space="0" w:color="auto"/>
      </w:divBdr>
    </w:div>
    <w:div w:id="1870796094">
      <w:bodyDiv w:val="1"/>
      <w:marLeft w:val="0"/>
      <w:marRight w:val="0"/>
      <w:marTop w:val="0"/>
      <w:marBottom w:val="0"/>
      <w:divBdr>
        <w:top w:val="none" w:sz="0" w:space="0" w:color="auto"/>
        <w:left w:val="none" w:sz="0" w:space="0" w:color="auto"/>
        <w:bottom w:val="none" w:sz="0" w:space="0" w:color="auto"/>
        <w:right w:val="none" w:sz="0" w:space="0" w:color="auto"/>
      </w:divBdr>
      <w:divsChild>
        <w:div w:id="1892426390">
          <w:marLeft w:val="0"/>
          <w:marRight w:val="0"/>
          <w:marTop w:val="0"/>
          <w:marBottom w:val="0"/>
          <w:divBdr>
            <w:top w:val="none" w:sz="0" w:space="0" w:color="auto"/>
            <w:left w:val="none" w:sz="0" w:space="0" w:color="auto"/>
            <w:bottom w:val="none" w:sz="0" w:space="0" w:color="auto"/>
            <w:right w:val="none" w:sz="0" w:space="0" w:color="auto"/>
          </w:divBdr>
        </w:div>
        <w:div w:id="1905334454">
          <w:marLeft w:val="0"/>
          <w:marRight w:val="0"/>
          <w:marTop w:val="0"/>
          <w:marBottom w:val="0"/>
          <w:divBdr>
            <w:top w:val="none" w:sz="0" w:space="0" w:color="auto"/>
            <w:left w:val="none" w:sz="0" w:space="0" w:color="auto"/>
            <w:bottom w:val="none" w:sz="0" w:space="0" w:color="auto"/>
            <w:right w:val="none" w:sz="0" w:space="0" w:color="auto"/>
          </w:divBdr>
        </w:div>
        <w:div w:id="1353535254">
          <w:marLeft w:val="0"/>
          <w:marRight w:val="0"/>
          <w:marTop w:val="0"/>
          <w:marBottom w:val="0"/>
          <w:divBdr>
            <w:top w:val="none" w:sz="0" w:space="0" w:color="auto"/>
            <w:left w:val="none" w:sz="0" w:space="0" w:color="auto"/>
            <w:bottom w:val="none" w:sz="0" w:space="0" w:color="auto"/>
            <w:right w:val="none" w:sz="0" w:space="0" w:color="auto"/>
          </w:divBdr>
          <w:divsChild>
            <w:div w:id="176769600">
              <w:marLeft w:val="0"/>
              <w:marRight w:val="0"/>
              <w:marTop w:val="0"/>
              <w:marBottom w:val="0"/>
              <w:divBdr>
                <w:top w:val="none" w:sz="0" w:space="0" w:color="auto"/>
                <w:left w:val="none" w:sz="0" w:space="0" w:color="auto"/>
                <w:bottom w:val="none" w:sz="0" w:space="0" w:color="auto"/>
                <w:right w:val="none" w:sz="0" w:space="0" w:color="auto"/>
              </w:divBdr>
            </w:div>
            <w:div w:id="306512801">
              <w:marLeft w:val="0"/>
              <w:marRight w:val="0"/>
              <w:marTop w:val="0"/>
              <w:marBottom w:val="0"/>
              <w:divBdr>
                <w:top w:val="none" w:sz="0" w:space="0" w:color="auto"/>
                <w:left w:val="none" w:sz="0" w:space="0" w:color="auto"/>
                <w:bottom w:val="none" w:sz="0" w:space="0" w:color="auto"/>
                <w:right w:val="none" w:sz="0" w:space="0" w:color="auto"/>
              </w:divBdr>
            </w:div>
            <w:div w:id="1090346847">
              <w:marLeft w:val="0"/>
              <w:marRight w:val="0"/>
              <w:marTop w:val="0"/>
              <w:marBottom w:val="0"/>
              <w:divBdr>
                <w:top w:val="none" w:sz="0" w:space="0" w:color="auto"/>
                <w:left w:val="none" w:sz="0" w:space="0" w:color="auto"/>
                <w:bottom w:val="none" w:sz="0" w:space="0" w:color="auto"/>
                <w:right w:val="none" w:sz="0" w:space="0" w:color="auto"/>
              </w:divBdr>
            </w:div>
            <w:div w:id="1404529556">
              <w:marLeft w:val="0"/>
              <w:marRight w:val="0"/>
              <w:marTop w:val="0"/>
              <w:marBottom w:val="0"/>
              <w:divBdr>
                <w:top w:val="none" w:sz="0" w:space="0" w:color="auto"/>
                <w:left w:val="none" w:sz="0" w:space="0" w:color="auto"/>
                <w:bottom w:val="none" w:sz="0" w:space="0" w:color="auto"/>
                <w:right w:val="none" w:sz="0" w:space="0" w:color="auto"/>
              </w:divBdr>
            </w:div>
            <w:div w:id="1868325006">
              <w:marLeft w:val="0"/>
              <w:marRight w:val="0"/>
              <w:marTop w:val="0"/>
              <w:marBottom w:val="0"/>
              <w:divBdr>
                <w:top w:val="none" w:sz="0" w:space="0" w:color="auto"/>
                <w:left w:val="none" w:sz="0" w:space="0" w:color="auto"/>
                <w:bottom w:val="none" w:sz="0" w:space="0" w:color="auto"/>
                <w:right w:val="none" w:sz="0" w:space="0" w:color="auto"/>
              </w:divBdr>
              <w:divsChild>
                <w:div w:id="1173840064">
                  <w:marLeft w:val="0"/>
                  <w:marRight w:val="0"/>
                  <w:marTop w:val="0"/>
                  <w:marBottom w:val="0"/>
                  <w:divBdr>
                    <w:top w:val="none" w:sz="0" w:space="0" w:color="auto"/>
                    <w:left w:val="none" w:sz="0" w:space="0" w:color="auto"/>
                    <w:bottom w:val="none" w:sz="0" w:space="0" w:color="auto"/>
                    <w:right w:val="none" w:sz="0" w:space="0" w:color="auto"/>
                  </w:divBdr>
                </w:div>
                <w:div w:id="1201817814">
                  <w:marLeft w:val="0"/>
                  <w:marRight w:val="0"/>
                  <w:marTop w:val="0"/>
                  <w:marBottom w:val="0"/>
                  <w:divBdr>
                    <w:top w:val="none" w:sz="0" w:space="0" w:color="auto"/>
                    <w:left w:val="none" w:sz="0" w:space="0" w:color="auto"/>
                    <w:bottom w:val="none" w:sz="0" w:space="0" w:color="auto"/>
                    <w:right w:val="none" w:sz="0" w:space="0" w:color="auto"/>
                  </w:divBdr>
                </w:div>
                <w:div w:id="123936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674467">
          <w:marLeft w:val="0"/>
          <w:marRight w:val="0"/>
          <w:marTop w:val="0"/>
          <w:marBottom w:val="0"/>
          <w:divBdr>
            <w:top w:val="none" w:sz="0" w:space="0" w:color="auto"/>
            <w:left w:val="none" w:sz="0" w:space="0" w:color="auto"/>
            <w:bottom w:val="none" w:sz="0" w:space="0" w:color="auto"/>
            <w:right w:val="none" w:sz="0" w:space="0" w:color="auto"/>
          </w:divBdr>
          <w:divsChild>
            <w:div w:id="535235039">
              <w:marLeft w:val="0"/>
              <w:marRight w:val="0"/>
              <w:marTop w:val="0"/>
              <w:marBottom w:val="0"/>
              <w:divBdr>
                <w:top w:val="none" w:sz="0" w:space="0" w:color="auto"/>
                <w:left w:val="none" w:sz="0" w:space="0" w:color="auto"/>
                <w:bottom w:val="none" w:sz="0" w:space="0" w:color="auto"/>
                <w:right w:val="none" w:sz="0" w:space="0" w:color="auto"/>
              </w:divBdr>
            </w:div>
          </w:divsChild>
        </w:div>
        <w:div w:id="1774281518">
          <w:marLeft w:val="0"/>
          <w:marRight w:val="0"/>
          <w:marTop w:val="0"/>
          <w:marBottom w:val="0"/>
          <w:divBdr>
            <w:top w:val="none" w:sz="0" w:space="0" w:color="auto"/>
            <w:left w:val="none" w:sz="0" w:space="0" w:color="auto"/>
            <w:bottom w:val="none" w:sz="0" w:space="0" w:color="auto"/>
            <w:right w:val="none" w:sz="0" w:space="0" w:color="auto"/>
          </w:divBdr>
        </w:div>
      </w:divsChild>
    </w:div>
    <w:div w:id="1916821798">
      <w:bodyDiv w:val="1"/>
      <w:marLeft w:val="0"/>
      <w:marRight w:val="0"/>
      <w:marTop w:val="0"/>
      <w:marBottom w:val="0"/>
      <w:divBdr>
        <w:top w:val="none" w:sz="0" w:space="0" w:color="auto"/>
        <w:left w:val="none" w:sz="0" w:space="0" w:color="auto"/>
        <w:bottom w:val="none" w:sz="0" w:space="0" w:color="auto"/>
        <w:right w:val="none" w:sz="0" w:space="0" w:color="auto"/>
      </w:divBdr>
    </w:div>
    <w:div w:id="1937326111">
      <w:bodyDiv w:val="1"/>
      <w:marLeft w:val="0"/>
      <w:marRight w:val="0"/>
      <w:marTop w:val="0"/>
      <w:marBottom w:val="0"/>
      <w:divBdr>
        <w:top w:val="none" w:sz="0" w:space="0" w:color="auto"/>
        <w:left w:val="none" w:sz="0" w:space="0" w:color="auto"/>
        <w:bottom w:val="none" w:sz="0" w:space="0" w:color="auto"/>
        <w:right w:val="none" w:sz="0" w:space="0" w:color="auto"/>
      </w:divBdr>
    </w:div>
    <w:div w:id="1944996504">
      <w:bodyDiv w:val="1"/>
      <w:marLeft w:val="0"/>
      <w:marRight w:val="0"/>
      <w:marTop w:val="0"/>
      <w:marBottom w:val="0"/>
      <w:divBdr>
        <w:top w:val="none" w:sz="0" w:space="0" w:color="auto"/>
        <w:left w:val="none" w:sz="0" w:space="0" w:color="auto"/>
        <w:bottom w:val="none" w:sz="0" w:space="0" w:color="auto"/>
        <w:right w:val="none" w:sz="0" w:space="0" w:color="auto"/>
      </w:divBdr>
    </w:div>
    <w:div w:id="1964462997">
      <w:bodyDiv w:val="1"/>
      <w:marLeft w:val="0"/>
      <w:marRight w:val="0"/>
      <w:marTop w:val="0"/>
      <w:marBottom w:val="0"/>
      <w:divBdr>
        <w:top w:val="none" w:sz="0" w:space="0" w:color="auto"/>
        <w:left w:val="none" w:sz="0" w:space="0" w:color="auto"/>
        <w:bottom w:val="none" w:sz="0" w:space="0" w:color="auto"/>
        <w:right w:val="none" w:sz="0" w:space="0" w:color="auto"/>
      </w:divBdr>
      <w:divsChild>
        <w:div w:id="1548371332">
          <w:marLeft w:val="0"/>
          <w:marRight w:val="0"/>
          <w:marTop w:val="0"/>
          <w:marBottom w:val="0"/>
          <w:divBdr>
            <w:top w:val="none" w:sz="0" w:space="0" w:color="auto"/>
            <w:left w:val="none" w:sz="0" w:space="0" w:color="auto"/>
            <w:bottom w:val="none" w:sz="0" w:space="0" w:color="auto"/>
            <w:right w:val="none" w:sz="0" w:space="0" w:color="auto"/>
          </w:divBdr>
          <w:divsChild>
            <w:div w:id="951404768">
              <w:marLeft w:val="0"/>
              <w:marRight w:val="0"/>
              <w:marTop w:val="0"/>
              <w:marBottom w:val="0"/>
              <w:divBdr>
                <w:top w:val="none" w:sz="0" w:space="0" w:color="auto"/>
                <w:left w:val="none" w:sz="0" w:space="0" w:color="auto"/>
                <w:bottom w:val="none" w:sz="0" w:space="0" w:color="auto"/>
                <w:right w:val="none" w:sz="0" w:space="0" w:color="auto"/>
              </w:divBdr>
              <w:divsChild>
                <w:div w:id="484277932">
                  <w:marLeft w:val="0"/>
                  <w:marRight w:val="0"/>
                  <w:marTop w:val="0"/>
                  <w:marBottom w:val="0"/>
                  <w:divBdr>
                    <w:top w:val="none" w:sz="0" w:space="0" w:color="auto"/>
                    <w:left w:val="none" w:sz="0" w:space="0" w:color="auto"/>
                    <w:bottom w:val="none" w:sz="0" w:space="0" w:color="auto"/>
                    <w:right w:val="none" w:sz="0" w:space="0" w:color="auto"/>
                  </w:divBdr>
                  <w:divsChild>
                    <w:div w:id="133314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6373801">
      <w:bodyDiv w:val="1"/>
      <w:marLeft w:val="0"/>
      <w:marRight w:val="0"/>
      <w:marTop w:val="0"/>
      <w:marBottom w:val="0"/>
      <w:divBdr>
        <w:top w:val="none" w:sz="0" w:space="0" w:color="auto"/>
        <w:left w:val="none" w:sz="0" w:space="0" w:color="auto"/>
        <w:bottom w:val="none" w:sz="0" w:space="0" w:color="auto"/>
        <w:right w:val="none" w:sz="0" w:space="0" w:color="auto"/>
      </w:divBdr>
    </w:div>
    <w:div w:id="2043246377">
      <w:bodyDiv w:val="1"/>
      <w:marLeft w:val="0"/>
      <w:marRight w:val="0"/>
      <w:marTop w:val="0"/>
      <w:marBottom w:val="0"/>
      <w:divBdr>
        <w:top w:val="none" w:sz="0" w:space="0" w:color="auto"/>
        <w:left w:val="none" w:sz="0" w:space="0" w:color="auto"/>
        <w:bottom w:val="none" w:sz="0" w:space="0" w:color="auto"/>
        <w:right w:val="none" w:sz="0" w:space="0" w:color="auto"/>
      </w:divBdr>
      <w:divsChild>
        <w:div w:id="1052119888">
          <w:marLeft w:val="0"/>
          <w:marRight w:val="0"/>
          <w:marTop w:val="0"/>
          <w:marBottom w:val="0"/>
          <w:divBdr>
            <w:top w:val="none" w:sz="0" w:space="0" w:color="auto"/>
            <w:left w:val="none" w:sz="0" w:space="0" w:color="auto"/>
            <w:bottom w:val="none" w:sz="0" w:space="0" w:color="auto"/>
            <w:right w:val="none" w:sz="0" w:space="0" w:color="auto"/>
          </w:divBdr>
          <w:divsChild>
            <w:div w:id="153254725">
              <w:marLeft w:val="0"/>
              <w:marRight w:val="0"/>
              <w:marTop w:val="0"/>
              <w:marBottom w:val="0"/>
              <w:divBdr>
                <w:top w:val="none" w:sz="0" w:space="0" w:color="auto"/>
                <w:left w:val="none" w:sz="0" w:space="0" w:color="auto"/>
                <w:bottom w:val="none" w:sz="0" w:space="0" w:color="auto"/>
                <w:right w:val="none" w:sz="0" w:space="0" w:color="auto"/>
              </w:divBdr>
              <w:divsChild>
                <w:div w:id="172648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727232">
      <w:bodyDiv w:val="1"/>
      <w:marLeft w:val="0"/>
      <w:marRight w:val="0"/>
      <w:marTop w:val="0"/>
      <w:marBottom w:val="0"/>
      <w:divBdr>
        <w:top w:val="none" w:sz="0" w:space="0" w:color="auto"/>
        <w:left w:val="none" w:sz="0" w:space="0" w:color="auto"/>
        <w:bottom w:val="none" w:sz="0" w:space="0" w:color="auto"/>
        <w:right w:val="none" w:sz="0" w:space="0" w:color="auto"/>
      </w:divBdr>
    </w:div>
    <w:div w:id="2109690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 Type="http://schemas.openxmlformats.org/officeDocument/2006/relationships/hyperlink" Target="http://poxta2.colombiacompra.gov.co/sites/docs/_layouts/15/listform.aspx?PageType=6&amp;ListId={41406f67-8aaf-444a-8f23-f6b9ad006b34}&amp;ID=119986" TargetMode="External" Id="R686bd1108b0246a9" /><Relationship Type="http://schemas.openxmlformats.org/officeDocument/2006/relationships/image" Target="/media/image6.png" Id="R045a6f411ac249a1" /></Relationships>
</file>

<file path=word/_rels/footer1.xml.rels>&#65279;<?xml version="1.0" encoding="utf-8"?><Relationships xmlns="http://schemas.openxmlformats.org/package/2006/relationships"><Relationship Type="http://schemas.openxmlformats.org/officeDocument/2006/relationships/image" Target="/media/image7.png" Id="R53079fd8f9c64dae" /></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0D93D6-04F6-426B-A9B5-869CEDF749DF}">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828E3366-8303-4425-ACBB-3212F0211B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3AA56C-E1D9-E949-9CC8-1EB26DFB44A5}">
  <ds:schemaRefs>
    <ds:schemaRef ds:uri="http://schemas.openxmlformats.org/officeDocument/2006/bibliography"/>
  </ds:schemaRefs>
</ds:datastoreItem>
</file>

<file path=customXml/itemProps4.xml><?xml version="1.0" encoding="utf-8"?>
<ds:datastoreItem xmlns:ds="http://schemas.openxmlformats.org/officeDocument/2006/customXml" ds:itemID="{108AACCB-338D-4E1C-91B3-8763C3BB18FA}">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Respuesta a consultas</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RESPUESTA DIRECCIÓN CONTRACTUAL</dc:title>
  <dc:creator>Ximena Alejandra Cabezas Valencia</dc:creator>
  <lastModifiedBy>Nina María Padrón</lastModifiedBy>
  <revision>28</revision>
  <dcterms:created xsi:type="dcterms:W3CDTF">2020-12-15T18:51:00.0000000Z</dcterms:created>
  <dcterms:modified xsi:type="dcterms:W3CDTF">2021-01-12T16:55:05.7727015Z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