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FC414" w14:textId="77777777" w:rsidR="00C442CF" w:rsidRPr="00ED53AD" w:rsidRDefault="00C442CF" w:rsidP="00C442CF">
      <w:pPr>
        <w:jc w:val="right"/>
        <w:rPr>
          <w:rFonts w:ascii="Arial" w:hAnsi="Arial" w:cs="Arial"/>
          <w:b/>
          <w:bCs/>
          <w:sz w:val="16"/>
          <w:szCs w:val="16"/>
          <w:lang w:val="es-ES_tradnl" w:eastAsia="es-ES"/>
        </w:rPr>
      </w:pPr>
      <w:bookmarkStart w:id="0" w:name="_Hlk47949675"/>
      <w:r w:rsidRPr="00ED53AD">
        <w:rPr>
          <w:rFonts w:ascii="Arial" w:hAnsi="Arial" w:cs="Arial"/>
          <w:b/>
          <w:bCs/>
          <w:sz w:val="16"/>
          <w:szCs w:val="16"/>
          <w:lang w:val="es-ES_tradnl" w:eastAsia="es-ES"/>
        </w:rPr>
        <w:t>CCE-DES-FM-17</w:t>
      </w:r>
    </w:p>
    <w:p w14:paraId="10F22130" w14:textId="77777777" w:rsidR="00C442CF" w:rsidRPr="00ED53AD" w:rsidRDefault="00C442CF" w:rsidP="00C442CF">
      <w:pPr>
        <w:jc w:val="right"/>
        <w:rPr>
          <w:rFonts w:ascii="Arial" w:eastAsia="Calibri" w:hAnsi="Arial" w:cs="Arial"/>
          <w:b/>
          <w:bCs/>
          <w:sz w:val="22"/>
          <w:lang w:val="es-ES_tradnl"/>
        </w:rPr>
      </w:pPr>
    </w:p>
    <w:bookmarkEnd w:id="0"/>
    <w:p w14:paraId="33EFF3D2" w14:textId="77777777" w:rsidR="00C442CF" w:rsidRPr="00ED53AD" w:rsidRDefault="00C442CF" w:rsidP="00C442CF">
      <w:pPr>
        <w:jc w:val="both"/>
        <w:textAlignment w:val="baseline"/>
        <w:rPr>
          <w:rFonts w:ascii="Segoe UI" w:hAnsi="Segoe UI" w:cs="Segoe UI"/>
          <w:sz w:val="18"/>
          <w:szCs w:val="18"/>
          <w:lang w:val="es-ES_tradnl" w:eastAsia="es-ES_tradnl"/>
        </w:rPr>
      </w:pPr>
      <w:r w:rsidRPr="00ED53AD">
        <w:rPr>
          <w:rFonts w:ascii="Arial" w:hAnsi="Arial" w:cs="Arial"/>
          <w:b/>
          <w:bCs/>
          <w:sz w:val="22"/>
          <w:lang w:val="es-ES_tradnl" w:eastAsia="es-ES_tradnl"/>
        </w:rPr>
        <w:t>DECRETO 092 DE 2017 – Artículo 355 ― Constitución Política ― Convenios de asociación ― Artículo 96 – Ley 489 de 1998</w:t>
      </w:r>
      <w:r w:rsidRPr="00ED53AD">
        <w:rPr>
          <w:rFonts w:ascii="Arial" w:hAnsi="Arial" w:cs="Arial"/>
          <w:sz w:val="22"/>
          <w:lang w:val="es-ES_tradnl" w:eastAsia="es-ES_tradnl"/>
        </w:rPr>
        <w:t> </w:t>
      </w:r>
    </w:p>
    <w:p w14:paraId="1769A0C6" w14:textId="77777777" w:rsidR="00C442CF" w:rsidRPr="00ED53AD" w:rsidRDefault="00C442CF" w:rsidP="00C442CF">
      <w:pPr>
        <w:textAlignment w:val="baseline"/>
        <w:rPr>
          <w:rFonts w:ascii="Segoe UI" w:hAnsi="Segoe UI" w:cs="Segoe UI"/>
          <w:sz w:val="18"/>
          <w:szCs w:val="18"/>
          <w:lang w:val="es-ES_tradnl" w:eastAsia="es-ES_tradnl"/>
        </w:rPr>
      </w:pPr>
      <w:r w:rsidRPr="00ED53AD">
        <w:rPr>
          <w:rFonts w:ascii="Arial" w:hAnsi="Arial" w:cs="Arial"/>
          <w:sz w:val="20"/>
          <w:szCs w:val="20"/>
          <w:lang w:val="es-ES_tradnl" w:eastAsia="es-ES_tradnl"/>
        </w:rPr>
        <w:t> </w:t>
      </w:r>
    </w:p>
    <w:p w14:paraId="4A498B78" w14:textId="77777777" w:rsidR="00C442CF" w:rsidRPr="00ED53AD" w:rsidRDefault="00C442CF" w:rsidP="00C442CF">
      <w:pPr>
        <w:jc w:val="both"/>
        <w:textAlignment w:val="baseline"/>
        <w:rPr>
          <w:rFonts w:ascii="Segoe UI" w:hAnsi="Segoe UI" w:cs="Segoe UI"/>
          <w:sz w:val="18"/>
          <w:szCs w:val="18"/>
          <w:lang w:val="es-ES_tradnl" w:eastAsia="es-ES_tradnl"/>
        </w:rPr>
      </w:pPr>
      <w:r w:rsidRPr="00ED53AD">
        <w:rPr>
          <w:rFonts w:ascii="Arial" w:hAnsi="Arial" w:cs="Arial"/>
          <w:sz w:val="20"/>
          <w:szCs w:val="20"/>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027855A3" w14:textId="77777777" w:rsidR="00C442CF" w:rsidRPr="00ED53AD" w:rsidRDefault="00C442CF" w:rsidP="00C442CF">
      <w:pPr>
        <w:jc w:val="both"/>
        <w:textAlignment w:val="baseline"/>
        <w:rPr>
          <w:rFonts w:ascii="Segoe UI" w:hAnsi="Segoe UI" w:cs="Segoe UI"/>
          <w:sz w:val="18"/>
          <w:szCs w:val="18"/>
          <w:lang w:val="es-ES_tradnl" w:eastAsia="es-ES_tradnl"/>
        </w:rPr>
      </w:pPr>
      <w:r w:rsidRPr="00ED53AD">
        <w:rPr>
          <w:rFonts w:ascii="Arial" w:hAnsi="Arial" w:cs="Arial"/>
          <w:sz w:val="22"/>
          <w:lang w:val="es-ES_tradnl" w:eastAsia="es-ES_tradnl"/>
        </w:rPr>
        <w:t> </w:t>
      </w:r>
    </w:p>
    <w:p w14:paraId="5D79F5ED" w14:textId="77777777" w:rsidR="00C442CF" w:rsidRPr="00ED53AD" w:rsidRDefault="00C442CF" w:rsidP="00C442CF">
      <w:pPr>
        <w:jc w:val="both"/>
        <w:textAlignment w:val="baseline"/>
        <w:rPr>
          <w:rFonts w:ascii="Segoe UI" w:hAnsi="Segoe UI" w:cs="Segoe UI"/>
          <w:sz w:val="18"/>
          <w:szCs w:val="18"/>
          <w:lang w:val="es-ES_tradnl" w:eastAsia="es-ES_tradnl"/>
        </w:rPr>
      </w:pPr>
      <w:r w:rsidRPr="00ED53AD">
        <w:rPr>
          <w:rFonts w:ascii="Arial" w:hAnsi="Arial" w:cs="Arial"/>
          <w:b/>
          <w:bCs/>
          <w:sz w:val="22"/>
          <w:lang w:val="es-ES_tradnl" w:eastAsia="es-ES_tradnl"/>
        </w:rPr>
        <w:t>CONVENIOS DE ASOCIACIÓN ― Concepto ― Artículo 5 ― Decreto 092 de 2017 </w:t>
      </w:r>
      <w:r w:rsidRPr="00ED53AD">
        <w:rPr>
          <w:rFonts w:ascii="Arial" w:hAnsi="Arial" w:cs="Arial"/>
          <w:sz w:val="22"/>
          <w:lang w:val="es-ES_tradnl" w:eastAsia="es-ES_tradnl"/>
        </w:rPr>
        <w:t> </w:t>
      </w:r>
    </w:p>
    <w:p w14:paraId="2ADC6948" w14:textId="77777777" w:rsidR="00C442CF" w:rsidRPr="00ED53AD" w:rsidRDefault="00C442CF" w:rsidP="00C442CF">
      <w:pPr>
        <w:textAlignment w:val="baseline"/>
        <w:rPr>
          <w:rFonts w:ascii="Segoe UI" w:hAnsi="Segoe UI" w:cs="Segoe UI"/>
          <w:sz w:val="18"/>
          <w:szCs w:val="18"/>
          <w:lang w:val="es-ES_tradnl" w:eastAsia="es-ES_tradnl"/>
        </w:rPr>
      </w:pPr>
      <w:r w:rsidRPr="00ED53AD">
        <w:rPr>
          <w:rFonts w:ascii="Arial" w:hAnsi="Arial" w:cs="Arial"/>
          <w:sz w:val="20"/>
          <w:szCs w:val="20"/>
          <w:lang w:val="es-ES_tradnl" w:eastAsia="es-ES_tradnl"/>
        </w:rPr>
        <w:t> </w:t>
      </w:r>
    </w:p>
    <w:p w14:paraId="64BFB403" w14:textId="77777777" w:rsidR="00C442CF" w:rsidRPr="00ED53AD" w:rsidRDefault="00C442CF" w:rsidP="00C442CF">
      <w:pPr>
        <w:jc w:val="both"/>
        <w:textAlignment w:val="baseline"/>
        <w:rPr>
          <w:rFonts w:ascii="Arial" w:hAnsi="Arial" w:cs="Arial"/>
          <w:sz w:val="20"/>
          <w:szCs w:val="20"/>
          <w:lang w:val="es-ES_tradnl" w:eastAsia="es-ES_tradnl"/>
        </w:rPr>
      </w:pPr>
      <w:r w:rsidRPr="00ED53AD">
        <w:rPr>
          <w:rFonts w:ascii="Arial" w:hAnsi="Arial" w:cs="Arial"/>
          <w:sz w:val="20"/>
          <w:szCs w:val="20"/>
          <w:lang w:val="es-ES_tradnl" w:eastAsia="es-ES_tradnl"/>
        </w:rPr>
        <w:t>Tales convenios «[t]</w:t>
      </w:r>
      <w:proofErr w:type="spellStart"/>
      <w:r w:rsidRPr="00ED53AD">
        <w:rPr>
          <w:rFonts w:ascii="Arial" w:hAnsi="Arial" w:cs="Arial"/>
          <w:sz w:val="20"/>
          <w:szCs w:val="20"/>
          <w:lang w:val="es-ES_tradnl" w:eastAsia="es-ES_tradnl"/>
        </w:rPr>
        <w:t>ienen</w:t>
      </w:r>
      <w:proofErr w:type="spellEnd"/>
      <w:r w:rsidRPr="00ED53AD">
        <w:rPr>
          <w:rFonts w:ascii="Arial" w:hAnsi="Arial" w:cs="Arial"/>
          <w:sz w:val="20"/>
          <w:szCs w:val="20"/>
          <w:lang w:val="es-ES_tradnl" w:eastAsia="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14:paraId="2969D486" w14:textId="77777777" w:rsidR="00C442CF" w:rsidRPr="00ED53AD" w:rsidRDefault="00C442CF" w:rsidP="00C442CF">
      <w:pPr>
        <w:jc w:val="both"/>
        <w:textAlignment w:val="baseline"/>
        <w:rPr>
          <w:rFonts w:ascii="Arial" w:hAnsi="Arial" w:cs="Arial"/>
          <w:sz w:val="20"/>
          <w:szCs w:val="20"/>
          <w:lang w:val="es-ES_tradnl" w:eastAsia="es-ES_tradnl"/>
        </w:rPr>
      </w:pPr>
    </w:p>
    <w:p w14:paraId="5C0ACEB4" w14:textId="77777777" w:rsidR="00C442CF" w:rsidRPr="00ED53AD" w:rsidRDefault="00C442CF" w:rsidP="00C442CF">
      <w:pPr>
        <w:jc w:val="both"/>
        <w:textAlignment w:val="baseline"/>
        <w:rPr>
          <w:rFonts w:ascii="Segoe UI" w:hAnsi="Segoe UI" w:cs="Segoe UI"/>
          <w:sz w:val="18"/>
          <w:szCs w:val="18"/>
          <w:lang w:val="es-ES_tradnl" w:eastAsia="es-ES_tradnl"/>
        </w:rPr>
      </w:pPr>
      <w:r w:rsidRPr="00ED53AD">
        <w:rPr>
          <w:rFonts w:ascii="Arial" w:hAnsi="Arial" w:cs="Arial"/>
          <w:sz w:val="20"/>
          <w:szCs w:val="20"/>
          <w:lang w:val="es-ES_tradnl" w:eastAsia="es-ES_tradnl"/>
        </w:rPr>
        <w:t>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w:t>
      </w:r>
      <w:r w:rsidRPr="00ED53AD">
        <w:rPr>
          <w:lang w:val="es-ES_tradnl"/>
        </w:rPr>
        <w:t xml:space="preserve"> </w:t>
      </w:r>
      <w:r w:rsidRPr="00ED53AD">
        <w:rPr>
          <w:rFonts w:ascii="Arial" w:hAnsi="Arial" w:cs="Arial"/>
          <w:sz w:val="20"/>
          <w:szCs w:val="20"/>
          <w:lang w:val="es-ES_tradnl" w:eastAsia="es-ES_tradnl"/>
        </w:rPr>
        <w:t>Además, es importante resaltar que el convenio de asociación no es conmutativo y, por tanto, la entidad estatal no instruye al contratista para desarrollar los programas o actividades previstas, sino que se asocia con él para el cumplimiento de objetivos comunes. </w:t>
      </w:r>
    </w:p>
    <w:p w14:paraId="25A8A7CF" w14:textId="77777777" w:rsidR="00C442CF" w:rsidRPr="00ED53AD" w:rsidRDefault="00C442CF" w:rsidP="00C442CF">
      <w:pPr>
        <w:jc w:val="both"/>
        <w:rPr>
          <w:rFonts w:ascii="Arial" w:hAnsi="Arial" w:cs="Arial"/>
          <w:sz w:val="20"/>
          <w:szCs w:val="20"/>
          <w:lang w:val="es-ES_tradnl"/>
        </w:rPr>
      </w:pPr>
    </w:p>
    <w:p w14:paraId="523A7090" w14:textId="77777777" w:rsidR="00C442CF" w:rsidRPr="00ED53AD" w:rsidRDefault="00C442CF" w:rsidP="00C442CF">
      <w:pPr>
        <w:jc w:val="both"/>
        <w:rPr>
          <w:rFonts w:ascii="Arial" w:eastAsia="Calibri" w:hAnsi="Arial" w:cs="Arial"/>
          <w:b/>
          <w:bCs/>
          <w:sz w:val="22"/>
          <w:lang w:val="es-ES_tradnl"/>
        </w:rPr>
      </w:pPr>
      <w:r w:rsidRPr="00ED53AD">
        <w:rPr>
          <w:rFonts w:ascii="Arial" w:eastAsia="Calibri" w:hAnsi="Arial" w:cs="Arial"/>
          <w:b/>
          <w:bCs/>
          <w:sz w:val="22"/>
          <w:lang w:val="es-ES_tradnl"/>
        </w:rPr>
        <w:t xml:space="preserve">ESAL – Decreto 92 de 2017 – Criterios – Aplicación </w:t>
      </w:r>
    </w:p>
    <w:p w14:paraId="26FD1F47" w14:textId="77777777" w:rsidR="00C442CF" w:rsidRPr="00ED53AD" w:rsidRDefault="00C442CF" w:rsidP="00C442CF">
      <w:pPr>
        <w:jc w:val="both"/>
        <w:rPr>
          <w:rFonts w:ascii="Arial" w:hAnsi="Arial" w:cs="Arial"/>
          <w:sz w:val="20"/>
          <w:szCs w:val="20"/>
          <w:lang w:val="es-ES_tradnl"/>
        </w:rPr>
      </w:pPr>
    </w:p>
    <w:p w14:paraId="57A5ADE6" w14:textId="77777777" w:rsidR="00C442CF" w:rsidRPr="00ED53AD" w:rsidRDefault="00C442CF" w:rsidP="00C442CF">
      <w:pPr>
        <w:jc w:val="both"/>
        <w:rPr>
          <w:rFonts w:ascii="Arial" w:hAnsi="Arial" w:cs="Arial"/>
          <w:sz w:val="20"/>
          <w:szCs w:val="20"/>
          <w:lang w:val="es-ES_tradnl"/>
        </w:rPr>
      </w:pPr>
      <w:r w:rsidRPr="00ED53AD">
        <w:rPr>
          <w:rFonts w:ascii="Arial" w:hAnsi="Arial" w:cs="Arial"/>
          <w:sz w:val="20"/>
          <w:szCs w:val="20"/>
          <w:lang w:val="es-ES_tradnl"/>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0A0D38DC" w14:textId="77777777" w:rsidR="00C442CF" w:rsidRPr="00ED53AD" w:rsidRDefault="00C442CF" w:rsidP="00C442CF">
      <w:pPr>
        <w:jc w:val="both"/>
        <w:rPr>
          <w:rFonts w:ascii="Arial" w:eastAsia="Calibri" w:hAnsi="Arial" w:cs="Arial"/>
          <w:b/>
          <w:bCs/>
          <w:sz w:val="22"/>
          <w:lang w:val="es-ES_tradnl"/>
        </w:rPr>
      </w:pPr>
    </w:p>
    <w:p w14:paraId="384AFD67" w14:textId="77777777" w:rsidR="00C442CF" w:rsidRPr="00ED53AD" w:rsidRDefault="00C442CF" w:rsidP="00C442CF">
      <w:pPr>
        <w:pStyle w:val="paragraph"/>
        <w:spacing w:before="0" w:beforeAutospacing="0" w:after="0" w:afterAutospacing="0"/>
        <w:jc w:val="both"/>
        <w:textAlignment w:val="baseline"/>
        <w:rPr>
          <w:rFonts w:ascii="Segoe UI" w:hAnsi="Segoe UI" w:cs="Segoe UI"/>
          <w:sz w:val="18"/>
          <w:szCs w:val="18"/>
          <w:lang w:val="es-ES_tradnl"/>
        </w:rPr>
      </w:pPr>
      <w:r w:rsidRPr="00ED53AD">
        <w:rPr>
          <w:rStyle w:val="normaltextrun"/>
          <w:rFonts w:ascii="Arial" w:hAnsi="Arial" w:cs="Arial"/>
          <w:b/>
          <w:bCs/>
          <w:sz w:val="22"/>
          <w:szCs w:val="22"/>
          <w:lang w:val="es-ES_tradnl"/>
        </w:rPr>
        <w:t>CONVENIOS DE ASOCIACIÓN –</w:t>
      </w:r>
      <w:r w:rsidRPr="00ED53AD">
        <w:rPr>
          <w:rStyle w:val="apple-converted-space"/>
          <w:rFonts w:ascii="Arial" w:hAnsi="Arial" w:cs="Arial"/>
          <w:b/>
          <w:bCs/>
          <w:sz w:val="22"/>
          <w:szCs w:val="22"/>
          <w:lang w:val="es-ES_tradnl"/>
        </w:rPr>
        <w:t> </w:t>
      </w:r>
      <w:r w:rsidRPr="00ED53AD">
        <w:rPr>
          <w:rStyle w:val="normaltextrun"/>
          <w:rFonts w:ascii="Arial" w:hAnsi="Arial" w:cs="Arial"/>
          <w:b/>
          <w:bCs/>
          <w:sz w:val="22"/>
          <w:szCs w:val="22"/>
          <w:lang w:val="es-ES_tradnl"/>
        </w:rPr>
        <w:t>Aporte de ESAL</w:t>
      </w:r>
      <w:r w:rsidRPr="00ED53AD">
        <w:rPr>
          <w:rStyle w:val="apple-converted-space"/>
          <w:rFonts w:ascii="Arial" w:hAnsi="Arial" w:cs="Arial"/>
          <w:b/>
          <w:bCs/>
          <w:sz w:val="22"/>
          <w:szCs w:val="22"/>
          <w:lang w:val="es-ES_tradnl"/>
        </w:rPr>
        <w:t> </w:t>
      </w:r>
      <w:r w:rsidRPr="00ED53AD">
        <w:rPr>
          <w:rStyle w:val="normaltextrun"/>
          <w:rFonts w:ascii="Arial" w:hAnsi="Arial" w:cs="Arial"/>
          <w:b/>
          <w:bCs/>
          <w:sz w:val="22"/>
          <w:szCs w:val="22"/>
          <w:lang w:val="es-ES_tradnl"/>
        </w:rPr>
        <w:t>–</w:t>
      </w:r>
      <w:r w:rsidRPr="00ED53AD">
        <w:rPr>
          <w:rStyle w:val="apple-converted-space"/>
          <w:rFonts w:ascii="Arial" w:hAnsi="Arial" w:cs="Arial"/>
          <w:b/>
          <w:bCs/>
          <w:sz w:val="22"/>
          <w:szCs w:val="22"/>
          <w:lang w:val="es-ES_tradnl"/>
        </w:rPr>
        <w:t> </w:t>
      </w:r>
      <w:r w:rsidRPr="00ED53AD">
        <w:rPr>
          <w:rStyle w:val="normaltextrun"/>
          <w:rFonts w:ascii="Arial" w:hAnsi="Arial" w:cs="Arial"/>
          <w:b/>
          <w:bCs/>
          <w:sz w:val="22"/>
          <w:szCs w:val="22"/>
          <w:lang w:val="es-ES_tradnl"/>
        </w:rPr>
        <w:t>Mecanismo de recaudo</w:t>
      </w:r>
      <w:r w:rsidRPr="00ED53AD">
        <w:rPr>
          <w:rStyle w:val="eop"/>
          <w:rFonts w:ascii="Arial" w:hAnsi="Arial" w:cs="Arial"/>
          <w:sz w:val="22"/>
          <w:szCs w:val="22"/>
          <w:lang w:val="es-ES_tradnl"/>
        </w:rPr>
        <w:t> </w:t>
      </w:r>
    </w:p>
    <w:p w14:paraId="2FE83C13" w14:textId="77777777" w:rsidR="00C442CF" w:rsidRPr="00ED53AD" w:rsidRDefault="00C442CF" w:rsidP="00C442CF">
      <w:pPr>
        <w:pStyle w:val="paragraph"/>
        <w:spacing w:before="0" w:beforeAutospacing="0" w:after="0" w:afterAutospacing="0"/>
        <w:jc w:val="both"/>
        <w:textAlignment w:val="baseline"/>
        <w:rPr>
          <w:rFonts w:ascii="Segoe UI" w:hAnsi="Segoe UI" w:cs="Segoe UI"/>
          <w:sz w:val="18"/>
          <w:szCs w:val="18"/>
          <w:lang w:val="es-ES_tradnl"/>
        </w:rPr>
      </w:pPr>
      <w:r w:rsidRPr="00ED53AD">
        <w:rPr>
          <w:rStyle w:val="eop"/>
          <w:rFonts w:ascii="Arial" w:hAnsi="Arial" w:cs="Arial"/>
          <w:sz w:val="20"/>
          <w:szCs w:val="20"/>
          <w:lang w:val="es-ES_tradnl"/>
        </w:rPr>
        <w:t> </w:t>
      </w:r>
    </w:p>
    <w:p w14:paraId="7B556EB4" w14:textId="77777777" w:rsidR="00C442CF" w:rsidRPr="00ED53AD" w:rsidRDefault="00C442CF" w:rsidP="00C442CF">
      <w:pPr>
        <w:pStyle w:val="paragraph"/>
        <w:spacing w:before="0" w:beforeAutospacing="0" w:after="0" w:afterAutospacing="0"/>
        <w:jc w:val="both"/>
        <w:textAlignment w:val="baseline"/>
        <w:rPr>
          <w:rFonts w:ascii="Segoe UI" w:hAnsi="Segoe UI" w:cs="Segoe UI"/>
          <w:sz w:val="18"/>
          <w:szCs w:val="18"/>
          <w:lang w:val="es-ES_tradnl"/>
        </w:rPr>
      </w:pPr>
      <w:r w:rsidRPr="00ED53AD">
        <w:rPr>
          <w:rStyle w:val="normaltextrun"/>
          <w:rFonts w:ascii="Arial" w:hAnsi="Arial" w:cs="Arial"/>
          <w:sz w:val="20"/>
          <w:szCs w:val="20"/>
          <w:lang w:val="es-ES_tradnl"/>
        </w:rPr>
        <w:t xml:space="preserve">En virtud del artículo 5 del Decreto 092 de 2017, las entidades contratantes pueden definir, en ejercicio de su discrecionalidad, de modo autónomo los instrumentos a través de los cuales la ESAL debe realizar los aportes de recursos en dinero y que serán aportados para la ejecución de las actividades del convenio de asociación. A título ilustrativo, en la «Guía para la contratación con entidades privadas sin ánimo de lucro y de reconocida idoneidad», elaborada por Colombia Compra Eficiente, se establece que «[…] la exigencia de recursos en dinero se puede cumplir con </w:t>
      </w:r>
      <w:r w:rsidRPr="00ED53AD">
        <w:rPr>
          <w:rStyle w:val="normaltextrun"/>
          <w:rFonts w:ascii="Arial" w:hAnsi="Arial" w:cs="Arial"/>
          <w:sz w:val="20"/>
          <w:szCs w:val="20"/>
          <w:lang w:val="es-ES_tradnl"/>
        </w:rPr>
        <w:lastRenderedPageBreak/>
        <w:t>instrumentos financieros, jurídicos y contables que sean transables y que tengan liquidez suficiente para ser equivalentes al dinero». De todos modos, se insiste, la entidad contratante puede definir el mecanismo que le parezca más conveniente para el recaudo de los recursos económicos que debe aportar la ESAL.</w:t>
      </w:r>
      <w:r w:rsidRPr="00ED53AD">
        <w:rPr>
          <w:rStyle w:val="eop"/>
          <w:rFonts w:ascii="Arial" w:hAnsi="Arial" w:cs="Arial"/>
          <w:sz w:val="20"/>
          <w:szCs w:val="20"/>
          <w:lang w:val="es-ES_tradnl"/>
        </w:rPr>
        <w:t> </w:t>
      </w:r>
      <w:r w:rsidRPr="00ED53AD">
        <w:rPr>
          <w:rStyle w:val="normaltextrun"/>
          <w:rFonts w:ascii="Arial" w:hAnsi="Arial" w:cs="Arial"/>
          <w:sz w:val="20"/>
          <w:szCs w:val="20"/>
          <w:lang w:val="es-ES_tradnl"/>
        </w:rPr>
        <w:t>Tal libertad de configuración se justifica, por un lado, en la ejecución efectiva del convenio de asociación y, por el otro, en la ausencia de regulación de dicho tema en el Decreto 092 de 2017.</w:t>
      </w:r>
      <w:r w:rsidRPr="00ED53AD">
        <w:rPr>
          <w:rStyle w:val="eop"/>
          <w:rFonts w:ascii="Arial" w:hAnsi="Arial" w:cs="Arial"/>
          <w:sz w:val="20"/>
          <w:szCs w:val="20"/>
          <w:lang w:val="es-ES_tradnl"/>
        </w:rPr>
        <w:t> </w:t>
      </w:r>
    </w:p>
    <w:p w14:paraId="1784EC60" w14:textId="77777777" w:rsidR="00C442CF" w:rsidRPr="00ED53AD" w:rsidRDefault="00C442CF" w:rsidP="00C442CF">
      <w:pPr>
        <w:jc w:val="both"/>
        <w:rPr>
          <w:rFonts w:ascii="Arial" w:eastAsia="Calibri" w:hAnsi="Arial" w:cs="Arial"/>
          <w:sz w:val="22"/>
          <w:szCs w:val="22"/>
          <w:lang w:val="es-ES_tradnl"/>
        </w:rPr>
      </w:pPr>
    </w:p>
    <w:p w14:paraId="616CD173" w14:textId="77777777" w:rsidR="00C442CF" w:rsidRPr="00ED53AD" w:rsidRDefault="00C442CF" w:rsidP="00C442CF">
      <w:pPr>
        <w:spacing w:line="276" w:lineRule="auto"/>
        <w:jc w:val="both"/>
        <w:rPr>
          <w:rFonts w:ascii="Arial" w:hAnsi="Arial" w:cs="Arial"/>
          <w:noProof/>
          <w:sz w:val="22"/>
          <w:szCs w:val="22"/>
          <w:lang w:val="es-ES_tradnl"/>
        </w:rPr>
      </w:pPr>
    </w:p>
    <w:p w14:paraId="26AC19EC" w14:textId="033CDEC2" w:rsidR="00C442CF" w:rsidRPr="00ED53AD" w:rsidRDefault="00C442CF" w:rsidP="00C442CF">
      <w:pPr>
        <w:spacing w:line="276" w:lineRule="auto"/>
        <w:rPr>
          <w:rFonts w:ascii="Arial" w:eastAsia="Calibri" w:hAnsi="Arial" w:cs="Arial"/>
          <w:b/>
          <w:sz w:val="22"/>
          <w:szCs w:val="20"/>
          <w:lang w:val="es-ES_tradnl" w:eastAsia="en-US"/>
        </w:rPr>
      </w:pPr>
      <w:r w:rsidRPr="00ED53AD">
        <w:rPr>
          <w:rFonts w:ascii="Arial" w:eastAsia="Calibri" w:hAnsi="Arial" w:cs="Arial"/>
          <w:sz w:val="22"/>
          <w:szCs w:val="20"/>
          <w:lang w:val="es-ES_tradnl"/>
        </w:rPr>
        <w:t xml:space="preserve">Bogotá D.C., </w:t>
      </w:r>
      <w:r w:rsidRPr="00C442CF">
        <w:rPr>
          <w:rFonts w:ascii="Arial" w:eastAsia="Calibri" w:hAnsi="Arial" w:cs="Arial"/>
          <w:b/>
          <w:sz w:val="22"/>
          <w:szCs w:val="20"/>
          <w:lang w:val="es-ES_tradnl"/>
        </w:rPr>
        <w:t>23/12/2020 Hora 15:23:5s</w:t>
      </w:r>
    </w:p>
    <w:p w14:paraId="336B30DA" w14:textId="3DB3F0C5" w:rsidR="00C442CF" w:rsidRPr="00ED53AD" w:rsidRDefault="00C442CF" w:rsidP="00C442CF">
      <w:pPr>
        <w:jc w:val="right"/>
        <w:rPr>
          <w:rFonts w:ascii="Arial" w:eastAsia="Calibri" w:hAnsi="Arial" w:cs="Arial"/>
          <w:sz w:val="22"/>
          <w:szCs w:val="22"/>
          <w:lang w:val="es-ES_tradnl"/>
        </w:rPr>
      </w:pPr>
      <w:proofErr w:type="spellStart"/>
      <w:r w:rsidRPr="00ED53AD">
        <w:rPr>
          <w:rFonts w:ascii="Arial" w:eastAsia="Calibri" w:hAnsi="Arial" w:cs="Arial"/>
          <w:b/>
          <w:sz w:val="22"/>
          <w:szCs w:val="20"/>
          <w:lang w:val="es-ES_tradnl"/>
        </w:rPr>
        <w:t>N°</w:t>
      </w:r>
      <w:proofErr w:type="spellEnd"/>
      <w:r w:rsidRPr="00ED53AD">
        <w:rPr>
          <w:rFonts w:ascii="Arial" w:eastAsia="Calibri" w:hAnsi="Arial" w:cs="Arial"/>
          <w:b/>
          <w:sz w:val="22"/>
          <w:szCs w:val="20"/>
          <w:lang w:val="es-ES_tradnl"/>
        </w:rPr>
        <w:t xml:space="preserve"> Radicado: </w:t>
      </w:r>
      <w:r w:rsidRPr="00C442CF">
        <w:rPr>
          <w:rFonts w:ascii="Arial" w:eastAsia="Calibri" w:hAnsi="Arial" w:cs="Arial"/>
          <w:b/>
          <w:sz w:val="22"/>
          <w:szCs w:val="20"/>
          <w:lang w:val="es-ES_tradnl"/>
        </w:rPr>
        <w:t>2202013000012076</w:t>
      </w:r>
    </w:p>
    <w:p w14:paraId="323DE4ED" w14:textId="77777777" w:rsidR="00C442CF" w:rsidRPr="00ED53AD" w:rsidRDefault="00C442CF" w:rsidP="00C442CF">
      <w:pPr>
        <w:jc w:val="right"/>
        <w:rPr>
          <w:rFonts w:ascii="Arial" w:hAnsi="Arial" w:cs="Arial"/>
          <w:b/>
          <w:noProof/>
          <w:sz w:val="22"/>
          <w:lang w:val="es-ES_tradnl"/>
        </w:rPr>
      </w:pPr>
    </w:p>
    <w:p w14:paraId="0B8427C0" w14:textId="77777777" w:rsidR="00C442CF" w:rsidRPr="00ED53AD" w:rsidRDefault="00C442CF" w:rsidP="00C442CF">
      <w:pPr>
        <w:jc w:val="right"/>
        <w:rPr>
          <w:rFonts w:ascii="Arial" w:hAnsi="Arial" w:cs="Arial"/>
          <w:b/>
          <w:sz w:val="22"/>
          <w:lang w:val="es-ES_tradnl"/>
        </w:rPr>
      </w:pPr>
    </w:p>
    <w:p w14:paraId="67F5A772" w14:textId="77777777" w:rsidR="00C442CF" w:rsidRPr="00ED53AD" w:rsidRDefault="00C442CF" w:rsidP="00C442CF">
      <w:pPr>
        <w:rPr>
          <w:rFonts w:ascii="Arial" w:hAnsi="Arial" w:cs="Arial"/>
          <w:sz w:val="22"/>
          <w:lang w:val="es-ES_tradnl"/>
        </w:rPr>
      </w:pPr>
      <w:r w:rsidRPr="00ED53AD">
        <w:rPr>
          <w:rFonts w:ascii="Arial" w:hAnsi="Arial" w:cs="Arial"/>
          <w:sz w:val="22"/>
          <w:lang w:val="es-ES_tradnl"/>
        </w:rPr>
        <w:t>Señora</w:t>
      </w:r>
    </w:p>
    <w:p w14:paraId="5625B12E" w14:textId="77777777" w:rsidR="00C442CF" w:rsidRPr="00ED53AD" w:rsidRDefault="00C442CF" w:rsidP="00C442CF">
      <w:pPr>
        <w:rPr>
          <w:rFonts w:ascii="Arial" w:hAnsi="Arial" w:cs="Arial"/>
          <w:b/>
          <w:sz w:val="22"/>
          <w:lang w:val="es-ES_tradnl"/>
        </w:rPr>
      </w:pPr>
      <w:r w:rsidRPr="00ED53AD">
        <w:rPr>
          <w:rFonts w:ascii="Arial" w:hAnsi="Arial" w:cs="Arial"/>
          <w:b/>
          <w:sz w:val="22"/>
          <w:lang w:val="es-ES_tradnl"/>
        </w:rPr>
        <w:t xml:space="preserve">Jessica García Ruiz </w:t>
      </w:r>
    </w:p>
    <w:p w14:paraId="7F0B19B5" w14:textId="77777777" w:rsidR="00C442CF" w:rsidRPr="00ED53AD" w:rsidRDefault="00C442CF" w:rsidP="00C442CF">
      <w:pPr>
        <w:rPr>
          <w:rFonts w:ascii="Arial" w:hAnsi="Arial" w:cs="Arial"/>
          <w:sz w:val="22"/>
          <w:lang w:val="es-ES_tradnl"/>
        </w:rPr>
      </w:pPr>
      <w:r w:rsidRPr="00ED53AD">
        <w:rPr>
          <w:rFonts w:ascii="Arial" w:hAnsi="Arial" w:cs="Arial"/>
          <w:sz w:val="22"/>
          <w:lang w:val="es-ES_tradnl"/>
        </w:rPr>
        <w:t>Bogotá D.C.</w:t>
      </w:r>
    </w:p>
    <w:p w14:paraId="67E63973" w14:textId="77777777" w:rsidR="00C442CF" w:rsidRPr="00ED53AD" w:rsidRDefault="00C442CF" w:rsidP="00C442CF">
      <w:pPr>
        <w:jc w:val="center"/>
        <w:rPr>
          <w:rFonts w:ascii="Arial" w:hAnsi="Arial" w:cs="Arial"/>
          <w:sz w:val="22"/>
          <w:lang w:val="es-ES_tradnl"/>
        </w:rPr>
      </w:pPr>
    </w:p>
    <w:p w14:paraId="0636E4FF" w14:textId="77777777" w:rsidR="00C442CF" w:rsidRPr="00ED53AD" w:rsidRDefault="00C442CF" w:rsidP="00C442CF">
      <w:pPr>
        <w:jc w:val="center"/>
        <w:rPr>
          <w:rFonts w:ascii="Arial" w:hAnsi="Arial" w:cs="Arial"/>
          <w:sz w:val="22"/>
          <w:lang w:val="es-ES_tradnl"/>
        </w:rPr>
      </w:pPr>
    </w:p>
    <w:p w14:paraId="02FBB38D" w14:textId="77777777" w:rsidR="00C442CF" w:rsidRPr="00ED53AD" w:rsidRDefault="00C442CF" w:rsidP="00C442CF">
      <w:pPr>
        <w:ind w:left="2124" w:firstLine="708"/>
        <w:rPr>
          <w:rFonts w:ascii="Arial" w:hAnsi="Arial" w:cs="Arial"/>
          <w:b/>
          <w:bCs/>
          <w:sz w:val="22"/>
          <w:lang w:val="es-ES_tradnl"/>
        </w:rPr>
      </w:pPr>
      <w:r w:rsidRPr="00ED53AD">
        <w:rPr>
          <w:rFonts w:ascii="Arial" w:hAnsi="Arial" w:cs="Arial"/>
          <w:b/>
          <w:bCs/>
          <w:sz w:val="22"/>
          <w:lang w:val="es-ES_tradnl"/>
        </w:rPr>
        <w:t>Concepto C- 749 de 2020</w:t>
      </w:r>
    </w:p>
    <w:p w14:paraId="0D23E272" w14:textId="77777777" w:rsidR="00C442CF" w:rsidRPr="00ED53AD" w:rsidRDefault="00C442CF" w:rsidP="00C442CF">
      <w:pPr>
        <w:ind w:left="2824" w:hanging="2818"/>
        <w:jc w:val="both"/>
        <w:rPr>
          <w:rFonts w:ascii="Arial" w:eastAsia="Calibri" w:hAnsi="Arial" w:cs="Arial"/>
          <w:b/>
          <w:noProof/>
          <w:sz w:val="22"/>
          <w:szCs w:val="22"/>
          <w:lang w:val="es-ES_tradnl" w:eastAsia="en-US"/>
        </w:rPr>
      </w:pPr>
    </w:p>
    <w:p w14:paraId="34B2E810" w14:textId="77777777" w:rsidR="00C442CF" w:rsidRPr="00ED53AD" w:rsidRDefault="00C442CF" w:rsidP="00C442CF">
      <w:pPr>
        <w:spacing w:after="120"/>
        <w:ind w:left="2824" w:hanging="2818"/>
        <w:jc w:val="both"/>
        <w:rPr>
          <w:rFonts w:ascii="Arial" w:eastAsia="Calibri" w:hAnsi="Arial" w:cs="Arial"/>
          <w:bCs/>
          <w:noProof/>
          <w:sz w:val="22"/>
          <w:szCs w:val="22"/>
          <w:lang w:val="es-ES_tradnl" w:eastAsia="en-US"/>
        </w:rPr>
      </w:pPr>
      <w:r w:rsidRPr="00ED53AD">
        <w:rPr>
          <w:rFonts w:ascii="Arial" w:eastAsia="Calibri" w:hAnsi="Arial" w:cs="Arial"/>
          <w:b/>
          <w:noProof/>
          <w:sz w:val="22"/>
          <w:szCs w:val="22"/>
          <w:lang w:val="es-ES_tradnl" w:eastAsia="en-US"/>
        </w:rPr>
        <w:t>Temas</w:t>
      </w:r>
      <w:r w:rsidRPr="00ED53AD">
        <w:rPr>
          <w:rFonts w:ascii="Arial" w:eastAsia="Calibri" w:hAnsi="Arial" w:cs="Arial"/>
          <w:bCs/>
          <w:noProof/>
          <w:sz w:val="22"/>
          <w:szCs w:val="22"/>
          <w:lang w:val="es-ES_tradnl" w:eastAsia="en-US"/>
        </w:rPr>
        <w:t xml:space="preserve">: </w:t>
      </w:r>
      <w:r w:rsidRPr="00ED53AD">
        <w:rPr>
          <w:rFonts w:ascii="Arial" w:eastAsia="Calibri" w:hAnsi="Arial" w:cs="Arial"/>
          <w:bCs/>
          <w:noProof/>
          <w:sz w:val="22"/>
          <w:szCs w:val="22"/>
          <w:lang w:val="es-ES_tradnl" w:eastAsia="en-US"/>
        </w:rPr>
        <w:tab/>
      </w:r>
      <w:r w:rsidRPr="00ED53AD">
        <w:rPr>
          <w:rFonts w:ascii="Arial" w:eastAsia="Calibri" w:hAnsi="Arial" w:cs="Arial"/>
          <w:bCs/>
          <w:noProof/>
          <w:sz w:val="22"/>
          <w:szCs w:val="22"/>
          <w:lang w:val="es-ES_tradnl" w:eastAsia="en-US"/>
        </w:rPr>
        <w:tab/>
        <w:t xml:space="preserve">DECRETO 092 DE 2017– Artículo 355 – Constitución Política – Convenios de Asociación – Artículo 96 – Ley 489 de 1998 / CONVENIOS DE ASOCIACIÓN  – Concepto – artículo 5  – Decreto 092 de 2017 / ESAL  – Decreto 092 de 2017  – Criterios  – Aplicación / CONVENIOS DE ASOACIACIÓN  – Aporte de ESAL  – Mecanismo de recaudo. </w:t>
      </w:r>
    </w:p>
    <w:p w14:paraId="4E7D8492" w14:textId="77777777" w:rsidR="00C442CF" w:rsidRPr="00ED53AD" w:rsidRDefault="00C442CF" w:rsidP="00C442CF">
      <w:pPr>
        <w:ind w:left="2835" w:hanging="2835"/>
        <w:rPr>
          <w:rFonts w:ascii="Arial" w:eastAsia="Calibri" w:hAnsi="Arial" w:cs="Arial"/>
          <w:bCs/>
          <w:noProof/>
          <w:sz w:val="22"/>
          <w:szCs w:val="22"/>
          <w:lang w:val="es-ES_tradnl" w:eastAsia="en-US"/>
        </w:rPr>
      </w:pPr>
      <w:r w:rsidRPr="00ED53AD">
        <w:rPr>
          <w:rFonts w:ascii="Arial" w:eastAsia="Calibri" w:hAnsi="Arial" w:cs="Arial"/>
          <w:b/>
          <w:noProof/>
          <w:sz w:val="22"/>
          <w:szCs w:val="22"/>
          <w:lang w:val="es-ES_tradnl" w:eastAsia="en-US"/>
        </w:rPr>
        <w:t>Radicación</w:t>
      </w:r>
      <w:r w:rsidRPr="00ED53AD">
        <w:rPr>
          <w:rFonts w:ascii="Arial" w:eastAsia="Calibri" w:hAnsi="Arial" w:cs="Arial"/>
          <w:bCs/>
          <w:noProof/>
          <w:sz w:val="22"/>
          <w:szCs w:val="22"/>
          <w:lang w:val="es-ES_tradnl" w:eastAsia="en-US"/>
        </w:rPr>
        <w:t>:</w:t>
      </w:r>
      <w:r w:rsidRPr="00ED53AD">
        <w:rPr>
          <w:rFonts w:ascii="Arial" w:eastAsia="Calibri" w:hAnsi="Arial" w:cs="Arial"/>
          <w:bCs/>
          <w:noProof/>
          <w:sz w:val="22"/>
          <w:szCs w:val="22"/>
          <w:lang w:val="es-ES_tradnl" w:eastAsia="en-US"/>
        </w:rPr>
        <w:tab/>
        <w:t>Respuesta a consulta 4202012000010180</w:t>
      </w:r>
    </w:p>
    <w:p w14:paraId="4053ACAB" w14:textId="77777777" w:rsidR="00C442CF" w:rsidRPr="00ED53AD" w:rsidRDefault="00C442CF" w:rsidP="00C442CF">
      <w:pPr>
        <w:rPr>
          <w:rFonts w:ascii="Arial" w:hAnsi="Arial" w:cs="Arial"/>
          <w:sz w:val="22"/>
          <w:lang w:val="es-ES_tradnl"/>
        </w:rPr>
      </w:pPr>
    </w:p>
    <w:p w14:paraId="6513F330" w14:textId="77777777" w:rsidR="00C442CF" w:rsidRPr="00ED53AD" w:rsidRDefault="00C442CF" w:rsidP="00C442CF">
      <w:pPr>
        <w:rPr>
          <w:rFonts w:ascii="Arial" w:hAnsi="Arial" w:cs="Arial"/>
          <w:sz w:val="22"/>
          <w:lang w:val="es-ES_tradnl"/>
        </w:rPr>
      </w:pPr>
    </w:p>
    <w:p w14:paraId="496554D3" w14:textId="77777777" w:rsidR="00C442CF" w:rsidRPr="00ED53AD" w:rsidRDefault="00C442CF" w:rsidP="00C442CF">
      <w:pPr>
        <w:spacing w:line="276" w:lineRule="auto"/>
        <w:rPr>
          <w:rFonts w:ascii="Arial" w:hAnsi="Arial" w:cs="Arial"/>
          <w:sz w:val="22"/>
          <w:lang w:val="es-ES_tradnl"/>
        </w:rPr>
      </w:pPr>
      <w:r w:rsidRPr="00ED53AD">
        <w:rPr>
          <w:rFonts w:ascii="Arial" w:hAnsi="Arial" w:cs="Arial"/>
          <w:sz w:val="22"/>
          <w:lang w:val="es-ES_tradnl"/>
        </w:rPr>
        <w:t>Estimada señora García Ruiz</w:t>
      </w:r>
      <w:r w:rsidRPr="00ED53AD">
        <w:rPr>
          <w:rFonts w:ascii="Arial" w:hAnsi="Arial" w:cs="Arial"/>
          <w:bCs/>
          <w:sz w:val="22"/>
          <w:lang w:val="es-ES_tradnl"/>
        </w:rPr>
        <w:t>,</w:t>
      </w:r>
      <w:r w:rsidRPr="00ED53AD">
        <w:rPr>
          <w:rFonts w:ascii="Arial" w:hAnsi="Arial" w:cs="Arial"/>
          <w:sz w:val="22"/>
          <w:lang w:val="es-ES_tradnl"/>
        </w:rPr>
        <w:t xml:space="preserve"> </w:t>
      </w:r>
    </w:p>
    <w:p w14:paraId="4F73FB11" w14:textId="77777777" w:rsidR="00C442CF" w:rsidRPr="00ED53AD" w:rsidRDefault="00C442CF" w:rsidP="00C442CF">
      <w:pPr>
        <w:spacing w:line="276" w:lineRule="auto"/>
        <w:rPr>
          <w:rFonts w:ascii="Arial" w:hAnsi="Arial" w:cs="Arial"/>
          <w:sz w:val="22"/>
          <w:lang w:val="es-ES_tradnl"/>
        </w:rPr>
      </w:pPr>
    </w:p>
    <w:p w14:paraId="2F73A1E7" w14:textId="77777777" w:rsidR="00C442CF" w:rsidRPr="00ED53AD" w:rsidRDefault="00C442CF" w:rsidP="00C442CF">
      <w:pPr>
        <w:spacing w:line="276" w:lineRule="auto"/>
        <w:jc w:val="both"/>
        <w:rPr>
          <w:rFonts w:ascii="Arial" w:hAnsi="Arial" w:cs="Arial"/>
          <w:sz w:val="22"/>
          <w:lang w:val="es-ES_tradnl"/>
        </w:rPr>
      </w:pPr>
      <w:r w:rsidRPr="00ED53AD">
        <w:rPr>
          <w:rFonts w:ascii="Arial" w:hAnsi="Arial" w:cs="Arial"/>
          <w:sz w:val="22"/>
          <w:lang w:val="es-ES_tradnl"/>
        </w:rPr>
        <w:t>En ejercicio de la competencia otorgada por el numeral 8 del artículo 11 y el numeral 5 del artículo 3 del Decreto Ley 4170 de 2011, la Agencia Nacional de Contratación Pública − Colombia Compra Eficiente responde su consulta del 9 de noviembre de 2020.</w:t>
      </w:r>
    </w:p>
    <w:p w14:paraId="0216F5E3" w14:textId="77777777" w:rsidR="00C442CF" w:rsidRPr="00ED53AD" w:rsidRDefault="00C442CF" w:rsidP="00C442CF">
      <w:pPr>
        <w:rPr>
          <w:rFonts w:ascii="Arial" w:hAnsi="Arial" w:cs="Arial"/>
          <w:sz w:val="22"/>
          <w:lang w:val="es-ES_tradnl"/>
        </w:rPr>
      </w:pPr>
    </w:p>
    <w:p w14:paraId="45E3A635" w14:textId="77777777" w:rsidR="00C442CF" w:rsidRPr="00ED53AD" w:rsidRDefault="00C442CF" w:rsidP="00C442CF">
      <w:pPr>
        <w:pStyle w:val="Prrafodelista"/>
        <w:numPr>
          <w:ilvl w:val="0"/>
          <w:numId w:val="1"/>
        </w:numPr>
        <w:rPr>
          <w:rFonts w:ascii="Arial" w:hAnsi="Arial" w:cs="Arial"/>
          <w:b/>
          <w:sz w:val="22"/>
          <w:lang w:val="es-ES_tradnl"/>
        </w:rPr>
      </w:pPr>
      <w:r w:rsidRPr="00ED53AD">
        <w:rPr>
          <w:rFonts w:ascii="Arial" w:hAnsi="Arial" w:cs="Arial"/>
          <w:b/>
          <w:sz w:val="22"/>
          <w:lang w:val="es-ES_tradnl"/>
        </w:rPr>
        <w:t xml:space="preserve">Problemas planteados </w:t>
      </w:r>
    </w:p>
    <w:p w14:paraId="496C278E" w14:textId="77777777" w:rsidR="00C442CF" w:rsidRPr="00ED53AD" w:rsidRDefault="00C442CF" w:rsidP="00C442CF">
      <w:pPr>
        <w:jc w:val="both"/>
        <w:rPr>
          <w:rFonts w:ascii="Arial" w:hAnsi="Arial" w:cs="Arial"/>
          <w:bCs/>
          <w:sz w:val="22"/>
          <w:lang w:val="es-ES_tradnl"/>
        </w:rPr>
      </w:pPr>
      <w:r w:rsidRPr="00ED53AD">
        <w:rPr>
          <w:rFonts w:ascii="Arial" w:hAnsi="Arial" w:cs="Arial"/>
          <w:bCs/>
          <w:sz w:val="22"/>
          <w:lang w:val="es-ES_tradnl"/>
        </w:rPr>
        <w:t xml:space="preserve">Usted realiza las siguientes preguntas: </w:t>
      </w:r>
    </w:p>
    <w:p w14:paraId="55365D6F" w14:textId="77777777" w:rsidR="00C442CF" w:rsidRPr="00ED53AD" w:rsidRDefault="00C442CF" w:rsidP="00C442CF">
      <w:pPr>
        <w:jc w:val="both"/>
        <w:rPr>
          <w:rFonts w:ascii="Arial" w:hAnsi="Arial" w:cs="Arial"/>
          <w:bCs/>
          <w:sz w:val="22"/>
          <w:lang w:val="es-ES_tradnl"/>
        </w:rPr>
      </w:pPr>
    </w:p>
    <w:p w14:paraId="21AB45EA" w14:textId="77777777" w:rsidR="00C442CF" w:rsidRPr="00ED53AD" w:rsidRDefault="00C442CF" w:rsidP="00C442CF">
      <w:pPr>
        <w:ind w:left="709" w:right="709"/>
        <w:jc w:val="both"/>
        <w:rPr>
          <w:rFonts w:ascii="Arial" w:hAnsi="Arial" w:cs="Arial"/>
          <w:bCs/>
          <w:sz w:val="21"/>
          <w:szCs w:val="21"/>
          <w:lang w:val="es-ES_tradnl"/>
        </w:rPr>
      </w:pPr>
      <w:r w:rsidRPr="00ED53AD">
        <w:rPr>
          <w:rFonts w:ascii="Arial" w:hAnsi="Arial" w:cs="Arial"/>
          <w:sz w:val="21"/>
          <w:szCs w:val="21"/>
          <w:lang w:val="es-ES_tradnl" w:eastAsia="es-ES_tradnl"/>
        </w:rPr>
        <w:t>«1. ¿Cuáles son los instrumentos financieros, jurídicos y contables transables en dinero que menciona la guía y que permite a las entidades estatales verificar que la ESAL cuenta con los recursos que ha manifestado en su propuesta comprometer para la ejecución del convenio? </w:t>
      </w:r>
    </w:p>
    <w:p w14:paraId="42A5ECA3" w14:textId="77777777" w:rsidR="00C442CF" w:rsidRPr="00ED53AD" w:rsidRDefault="00C442CF" w:rsidP="00C442CF">
      <w:pPr>
        <w:ind w:left="709" w:right="709"/>
        <w:jc w:val="both"/>
        <w:textAlignment w:val="baseline"/>
        <w:rPr>
          <w:rFonts w:ascii="Arial" w:hAnsi="Arial" w:cs="Arial"/>
          <w:sz w:val="21"/>
          <w:szCs w:val="21"/>
          <w:lang w:val="es-ES_tradnl" w:eastAsia="es-ES_tradnl"/>
        </w:rPr>
      </w:pPr>
    </w:p>
    <w:p w14:paraId="7273FFC1" w14:textId="77777777" w:rsidR="00C442CF" w:rsidRPr="00ED53AD" w:rsidRDefault="00C442CF" w:rsidP="00C442CF">
      <w:pPr>
        <w:ind w:left="709" w:right="709"/>
        <w:jc w:val="both"/>
        <w:textAlignment w:val="baseline"/>
        <w:rPr>
          <w:rFonts w:ascii="Arial" w:hAnsi="Arial" w:cs="Arial"/>
          <w:sz w:val="21"/>
          <w:szCs w:val="21"/>
          <w:lang w:val="es-ES_tradnl" w:eastAsia="es-ES_tradnl"/>
        </w:rPr>
      </w:pPr>
      <w:r w:rsidRPr="00ED53AD">
        <w:rPr>
          <w:rFonts w:ascii="Arial" w:hAnsi="Arial" w:cs="Arial"/>
          <w:sz w:val="21"/>
          <w:szCs w:val="21"/>
          <w:lang w:val="es-ES_tradnl" w:eastAsia="es-ES_tradnl"/>
        </w:rPr>
        <w:t>«2. ¿Es posible que la ESAL pruebe que cuenta con los recursos mediante los extractos bancarios o con una certificación del revisor fiscal que certifique que cuentan con los recursos a los que se comprometen?</w:t>
      </w:r>
    </w:p>
    <w:p w14:paraId="67278772" w14:textId="77777777" w:rsidR="00C442CF" w:rsidRPr="00ED53AD" w:rsidRDefault="00C442CF" w:rsidP="00C442CF">
      <w:pPr>
        <w:ind w:left="709" w:right="709"/>
        <w:jc w:val="both"/>
        <w:textAlignment w:val="baseline"/>
        <w:rPr>
          <w:rFonts w:ascii="Arial" w:hAnsi="Arial" w:cs="Arial"/>
          <w:sz w:val="21"/>
          <w:szCs w:val="21"/>
          <w:lang w:val="es-ES_tradnl" w:eastAsia="es-ES_tradnl"/>
        </w:rPr>
      </w:pPr>
    </w:p>
    <w:p w14:paraId="728415D3" w14:textId="77777777" w:rsidR="00C442CF" w:rsidRPr="00ED53AD" w:rsidRDefault="00C442CF" w:rsidP="00C442CF">
      <w:pPr>
        <w:ind w:left="709" w:right="709"/>
        <w:jc w:val="both"/>
        <w:textAlignment w:val="baseline"/>
        <w:rPr>
          <w:rFonts w:ascii="Arial" w:hAnsi="Arial" w:cs="Arial"/>
          <w:sz w:val="21"/>
          <w:szCs w:val="21"/>
          <w:lang w:val="es-ES_tradnl" w:eastAsia="es-ES_tradnl"/>
        </w:rPr>
      </w:pPr>
      <w:r w:rsidRPr="00ED53AD">
        <w:rPr>
          <w:rFonts w:ascii="Arial" w:hAnsi="Arial" w:cs="Arial"/>
          <w:sz w:val="21"/>
          <w:szCs w:val="21"/>
          <w:lang w:val="es-ES_tradnl" w:eastAsia="es-ES_tradnl"/>
        </w:rPr>
        <w:t>«3. ¿Es suficiente con la carta de oferta suscrita por el representante legal de la ESAL que fue valorada por la entidad estatal como idónea, donde se comprometa a aportar en dinero los recursos?». </w:t>
      </w:r>
    </w:p>
    <w:p w14:paraId="504631B1" w14:textId="77777777" w:rsidR="00C442CF" w:rsidRPr="00ED53AD" w:rsidRDefault="00C442CF" w:rsidP="00C442CF">
      <w:pPr>
        <w:rPr>
          <w:lang w:val="es-ES_tradnl" w:eastAsia="es-ES_tradnl"/>
        </w:rPr>
      </w:pPr>
    </w:p>
    <w:p w14:paraId="2FED3ED3" w14:textId="77777777" w:rsidR="00C442CF" w:rsidRPr="00ED53AD" w:rsidRDefault="00C442CF" w:rsidP="00C442CF">
      <w:pPr>
        <w:rPr>
          <w:rFonts w:ascii="Arial" w:hAnsi="Arial" w:cs="Arial"/>
          <w:b/>
          <w:sz w:val="22"/>
          <w:lang w:val="es-ES_tradnl"/>
        </w:rPr>
      </w:pPr>
      <w:r w:rsidRPr="00ED53AD">
        <w:rPr>
          <w:rFonts w:ascii="Arial" w:hAnsi="Arial" w:cs="Arial"/>
          <w:b/>
          <w:sz w:val="22"/>
          <w:lang w:val="es-ES_tradnl"/>
        </w:rPr>
        <w:t xml:space="preserve">2. Consideraciones </w:t>
      </w:r>
    </w:p>
    <w:p w14:paraId="3B8FF13B" w14:textId="77777777" w:rsidR="00C442CF" w:rsidRPr="00ED53AD" w:rsidRDefault="00C442CF" w:rsidP="00C442CF">
      <w:pPr>
        <w:spacing w:line="276" w:lineRule="auto"/>
        <w:jc w:val="both"/>
        <w:rPr>
          <w:rFonts w:ascii="Arial" w:hAnsi="Arial" w:cs="Arial"/>
          <w:bCs/>
          <w:sz w:val="22"/>
          <w:lang w:val="es-ES_tradnl"/>
        </w:rPr>
      </w:pPr>
    </w:p>
    <w:p w14:paraId="1C263057" w14:textId="77777777" w:rsidR="00C442CF" w:rsidRPr="00ED53AD" w:rsidRDefault="00C442CF" w:rsidP="00C442CF">
      <w:pPr>
        <w:spacing w:line="276" w:lineRule="auto"/>
        <w:jc w:val="both"/>
        <w:rPr>
          <w:rFonts w:ascii="Arial" w:hAnsi="Arial" w:cs="Arial"/>
          <w:bCs/>
          <w:sz w:val="22"/>
          <w:lang w:val="es-ES_tradnl"/>
        </w:rPr>
      </w:pPr>
      <w:r w:rsidRPr="00ED53AD">
        <w:rPr>
          <w:rFonts w:ascii="Arial" w:hAnsi="Arial" w:cs="Arial"/>
          <w:bCs/>
          <w:sz w:val="22"/>
          <w:lang w:val="es-ES_tradnl"/>
        </w:rPr>
        <w:t xml:space="preserve">Para responder sus preguntas, se estudiarán los siguientes tópicos: i) contratación con ESAL y </w:t>
      </w:r>
      <w:proofErr w:type="spellStart"/>
      <w:r w:rsidRPr="00ED53AD">
        <w:rPr>
          <w:rFonts w:ascii="Arial" w:hAnsi="Arial" w:cs="Arial"/>
          <w:bCs/>
          <w:sz w:val="22"/>
          <w:lang w:val="es-ES_tradnl"/>
        </w:rPr>
        <w:t>ii</w:t>
      </w:r>
      <w:proofErr w:type="spellEnd"/>
      <w:r w:rsidRPr="00ED53AD">
        <w:rPr>
          <w:rFonts w:ascii="Arial" w:hAnsi="Arial" w:cs="Arial"/>
          <w:bCs/>
          <w:sz w:val="22"/>
          <w:lang w:val="es-ES_tradnl"/>
        </w:rPr>
        <w:t xml:space="preserve">) naturaleza de los convenios de asociación, desarrollados por el artículo 5 del Decreto 092 de 2017. </w:t>
      </w:r>
    </w:p>
    <w:p w14:paraId="00192D29" w14:textId="77777777" w:rsidR="00C442CF" w:rsidRPr="00ED53AD" w:rsidRDefault="00C442CF" w:rsidP="00C442CF">
      <w:pPr>
        <w:rPr>
          <w:rFonts w:ascii="Arial" w:hAnsi="Arial" w:cs="Arial"/>
          <w:b/>
          <w:sz w:val="22"/>
          <w:lang w:val="es-ES_tradnl"/>
        </w:rPr>
      </w:pPr>
    </w:p>
    <w:p w14:paraId="60E6302B" w14:textId="77777777" w:rsidR="00C442CF" w:rsidRPr="00ED53AD" w:rsidRDefault="00C442CF" w:rsidP="00C442CF">
      <w:pPr>
        <w:rPr>
          <w:rFonts w:ascii="Arial" w:hAnsi="Arial" w:cs="Arial"/>
          <w:b/>
          <w:sz w:val="22"/>
          <w:lang w:val="es-ES_tradnl"/>
        </w:rPr>
      </w:pPr>
      <w:r w:rsidRPr="00ED53AD">
        <w:rPr>
          <w:rFonts w:ascii="Arial" w:hAnsi="Arial" w:cs="Arial"/>
          <w:b/>
          <w:sz w:val="22"/>
          <w:lang w:val="es-ES_tradnl"/>
        </w:rPr>
        <w:t xml:space="preserve">2.1. Contratación con ESAL y convenios de asociación </w:t>
      </w:r>
    </w:p>
    <w:p w14:paraId="79D2DD40" w14:textId="77777777" w:rsidR="00C442CF" w:rsidRPr="00ED53AD" w:rsidRDefault="00C442CF" w:rsidP="00C442CF">
      <w:pPr>
        <w:jc w:val="both"/>
        <w:textAlignment w:val="baseline"/>
        <w:rPr>
          <w:rFonts w:ascii="Arial" w:hAnsi="Arial" w:cs="Arial"/>
          <w:sz w:val="22"/>
          <w:szCs w:val="22"/>
          <w:lang w:val="es-ES_tradnl" w:eastAsia="es-ES_tradnl"/>
        </w:rPr>
      </w:pPr>
    </w:p>
    <w:p w14:paraId="297EE2DA" w14:textId="77777777" w:rsidR="00C442CF" w:rsidRPr="00ED53AD" w:rsidRDefault="00C442CF" w:rsidP="00C442CF">
      <w:pPr>
        <w:spacing w:line="276" w:lineRule="auto"/>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La Agencia Nacional de Contratación Pública – Colombia Compra Eficiente se ha pronunciado sobre la contratación con entidades privadas sin ánimo de lucro y de reconocida idoneidad –desde ahora ESAL–, en los conceptos del 30 de agosto y el 20 de diciembre de 2019 ─Radicados Nos. 2201913000006394 y 2201913000009467─ y, recientemente, en los conceptos C-081 del 3 de marzo de 2020, C-070  del 4 de marzo de 2020, C-094 del 4 de marzo de 2020, C-228 del 17 de marzo de 2020, C-416 del 3 de julio de 2020 y C-498 del 27 de julio de 2020 ─radicados Nos. 2202013000001573, 4202012000000478, 4202013000000755, 2202013000002007, 2202013000005738 y 2202013000006690─. En esta ocasión se reiteran dichas consideraciones. </w:t>
      </w:r>
    </w:p>
    <w:p w14:paraId="03D18FC1" w14:textId="77777777" w:rsidR="00C442CF" w:rsidRPr="00ED53AD" w:rsidRDefault="00C442CF" w:rsidP="00C442CF">
      <w:pPr>
        <w:spacing w:before="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ED53AD">
        <w:rPr>
          <w:rStyle w:val="Refdenotaalpie"/>
          <w:rFonts w:ascii="Arial" w:hAnsi="Arial" w:cs="Arial"/>
          <w:sz w:val="22"/>
          <w:szCs w:val="22"/>
          <w:lang w:val="es-ES_tradnl" w:eastAsia="es-ES_tradnl"/>
        </w:rPr>
        <w:footnoteReference w:id="1"/>
      </w:r>
      <w:r w:rsidRPr="00ED53AD">
        <w:rPr>
          <w:rFonts w:ascii="Arial" w:hAnsi="Arial" w:cs="Arial"/>
          <w:sz w:val="22"/>
          <w:szCs w:val="22"/>
          <w:lang w:val="es-ES_tradnl" w:eastAsia="es-ES_tradnl"/>
        </w:rPr>
        <w:t>. </w:t>
      </w:r>
    </w:p>
    <w:p w14:paraId="19848854" w14:textId="77777777" w:rsidR="00C442CF" w:rsidRPr="00ED53AD" w:rsidRDefault="00C442CF" w:rsidP="00C442CF">
      <w:pPr>
        <w:spacing w:before="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lastRenderedPageBreak/>
        <w:t>Por otra parte, el artículo 96 de la Ley 489 de 1998</w:t>
      </w:r>
      <w:r w:rsidRPr="00ED53AD">
        <w:rPr>
          <w:rStyle w:val="Refdenotaalpie"/>
          <w:rFonts w:ascii="Arial" w:hAnsi="Arial" w:cs="Arial"/>
          <w:sz w:val="22"/>
          <w:szCs w:val="22"/>
          <w:lang w:val="es-ES_tradnl" w:eastAsia="es-ES_tradnl"/>
        </w:rPr>
        <w:footnoteReference w:id="2"/>
      </w:r>
      <w:r w:rsidRPr="00ED53AD">
        <w:rPr>
          <w:rFonts w:ascii="Arial" w:hAnsi="Arial" w:cs="Arial"/>
          <w:sz w:val="22"/>
          <w:szCs w:val="22"/>
          <w:lang w:val="es-ES_tradnl" w:eastAsia="es-ES_tradnl"/>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0C6EAE40" w14:textId="77777777" w:rsidR="00C442CF" w:rsidRPr="00ED53AD" w:rsidRDefault="00C442CF" w:rsidP="00C442CF">
      <w:pPr>
        <w:spacing w:before="120" w:after="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Parte del desarrollo del artículo 355 de la Constitución Política se produjo a través del Decreto 092 de 2017, el cual tiene como objeto establecer la forma en que las entidades del orden nacional, departamental, distrital y municipal deben contratar con ESAL, con la finalidad de impulsar programas y actividades de interés público acordes con el Plan Nacional o los planes seccionales de Desarrollo. En este orden de ideas, es importante resaltar que el factor que determina la aplicación del Decreto 92 de 2017 no es única y exclusivamente el carácter de las ESAL sino, también, el objeto del convenio que la entidad estatal pretende adelantar. Por tanto, el hecho de que se trate de una ESAL no implica que, necesariamente, deba celebrarse un contrato de colaboración o un convenio de asociación, en los términos del referido decreto.</w:t>
      </w:r>
    </w:p>
    <w:p w14:paraId="0D1F756A" w14:textId="77777777" w:rsidR="00C442CF" w:rsidRPr="00ED53AD" w:rsidRDefault="00C442CF" w:rsidP="00C442CF">
      <w:pPr>
        <w:spacing w:before="120" w:after="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En dicho Decreto 092 de 2017 se prevén las reglas para las contrataciones que realicen las entidades estatales con las ESAL. El Decreto regula dos eventos: i) los contratos de colaboración o de interés público con el fin de impulsar programas y actividades de interés público de acuerdo con el plan nacional o los planes seccionales de desarrollo, en los términos del artículo 355 de la Constitución Política; y </w:t>
      </w:r>
      <w:proofErr w:type="spellStart"/>
      <w:r w:rsidRPr="00ED53AD">
        <w:rPr>
          <w:rFonts w:ascii="Arial" w:hAnsi="Arial" w:cs="Arial"/>
          <w:sz w:val="22"/>
          <w:szCs w:val="22"/>
          <w:lang w:val="es-ES_tradnl" w:eastAsia="es-ES_tradnl"/>
        </w:rPr>
        <w:t>ii</w:t>
      </w:r>
      <w:proofErr w:type="spellEnd"/>
      <w:r w:rsidRPr="00ED53AD">
        <w:rPr>
          <w:rFonts w:ascii="Arial" w:hAnsi="Arial" w:cs="Arial"/>
          <w:sz w:val="22"/>
          <w:szCs w:val="22"/>
          <w:lang w:val="es-ES_tradnl" w:eastAsia="es-ES_tradnl"/>
        </w:rPr>
        <w:t>)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ED53AD">
        <w:rPr>
          <w:rFonts w:ascii="Arial" w:hAnsi="Arial" w:cs="Arial"/>
          <w:i/>
          <w:iCs/>
          <w:sz w:val="22"/>
          <w:szCs w:val="22"/>
          <w:lang w:val="es-ES_tradnl" w:eastAsia="es-ES_tradnl"/>
        </w:rPr>
        <w:t>ibidem</w:t>
      </w:r>
      <w:r w:rsidRPr="00ED53AD">
        <w:rPr>
          <w:rFonts w:ascii="Arial" w:hAnsi="Arial" w:cs="Arial"/>
          <w:sz w:val="22"/>
          <w:szCs w:val="22"/>
          <w:lang w:val="es-ES_tradnl" w:eastAsia="es-ES_tradnl"/>
        </w:rPr>
        <w:t>. Es posible diferenciar, pues, los </w:t>
      </w:r>
      <w:r w:rsidRPr="00ED53AD">
        <w:rPr>
          <w:rFonts w:ascii="Arial" w:hAnsi="Arial" w:cs="Arial"/>
          <w:i/>
          <w:iCs/>
          <w:sz w:val="22"/>
          <w:szCs w:val="22"/>
          <w:lang w:val="es-ES_tradnl" w:eastAsia="es-ES_tradnl"/>
        </w:rPr>
        <w:t xml:space="preserve">convenios de </w:t>
      </w:r>
      <w:r w:rsidRPr="00ED53AD">
        <w:rPr>
          <w:rFonts w:ascii="Arial" w:hAnsi="Arial" w:cs="Arial"/>
          <w:i/>
          <w:iCs/>
          <w:sz w:val="22"/>
          <w:szCs w:val="22"/>
          <w:lang w:val="es-ES_tradnl" w:eastAsia="es-ES_tradnl"/>
        </w:rPr>
        <w:lastRenderedPageBreak/>
        <w:t>asociación</w:t>
      </w:r>
      <w:r w:rsidRPr="00ED53AD">
        <w:rPr>
          <w:rFonts w:ascii="Arial" w:hAnsi="Arial" w:cs="Arial"/>
          <w:sz w:val="22"/>
          <w:szCs w:val="22"/>
          <w:lang w:val="es-ES_tradnl" w:eastAsia="es-ES_tradnl"/>
        </w:rPr>
        <w:t>, regulados en el artículo 5, de los </w:t>
      </w:r>
      <w:r w:rsidRPr="00ED53AD">
        <w:rPr>
          <w:rFonts w:ascii="Arial" w:hAnsi="Arial" w:cs="Arial"/>
          <w:i/>
          <w:iCs/>
          <w:sz w:val="22"/>
          <w:szCs w:val="22"/>
          <w:lang w:val="es-ES_tradnl" w:eastAsia="es-ES_tradnl"/>
        </w:rPr>
        <w:t>contratos de colaboración</w:t>
      </w:r>
      <w:r w:rsidRPr="00ED53AD">
        <w:rPr>
          <w:rFonts w:ascii="Arial" w:hAnsi="Arial" w:cs="Arial"/>
          <w:sz w:val="22"/>
          <w:szCs w:val="22"/>
          <w:lang w:val="es-ES_tradnl" w:eastAsia="es-ES_tradnl"/>
        </w:rPr>
        <w:t>, establecidos en el artículo 2 del Decreto 092 de 2017</w:t>
      </w:r>
      <w:r w:rsidRPr="00ED53AD">
        <w:rPr>
          <w:rStyle w:val="Refdenotaalpie"/>
          <w:rFonts w:ascii="Arial" w:hAnsi="Arial" w:cs="Arial"/>
          <w:sz w:val="22"/>
          <w:szCs w:val="22"/>
          <w:lang w:val="es-ES_tradnl" w:eastAsia="es-ES_tradnl"/>
        </w:rPr>
        <w:footnoteReference w:id="3"/>
      </w:r>
      <w:r w:rsidRPr="00ED53AD">
        <w:rPr>
          <w:rFonts w:ascii="Arial" w:hAnsi="Arial" w:cs="Arial"/>
          <w:sz w:val="22"/>
          <w:szCs w:val="22"/>
          <w:lang w:val="es-ES_tradnl" w:eastAsia="es-ES_tradnl"/>
        </w:rPr>
        <w:t>.  </w:t>
      </w:r>
    </w:p>
    <w:p w14:paraId="0AE824C6" w14:textId="77777777" w:rsidR="00C442CF" w:rsidRPr="00ED53AD" w:rsidRDefault="00C442CF" w:rsidP="00C442CF">
      <w:pPr>
        <w:spacing w:before="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De conformidad con el artículo 96 de la Ley 489 de 1998, los </w:t>
      </w:r>
      <w:r w:rsidRPr="00ED53AD">
        <w:rPr>
          <w:rFonts w:ascii="Arial" w:hAnsi="Arial" w:cs="Arial"/>
          <w:i/>
          <w:iCs/>
          <w:sz w:val="22"/>
          <w:szCs w:val="22"/>
          <w:lang w:val="es-ES_tradnl" w:eastAsia="es-ES_tradnl"/>
        </w:rPr>
        <w:t>convenios de asociación</w:t>
      </w:r>
      <w:r w:rsidRPr="00ED53AD">
        <w:rPr>
          <w:rFonts w:ascii="Arial" w:hAnsi="Arial" w:cs="Arial"/>
          <w:sz w:val="22"/>
          <w:szCs w:val="22"/>
          <w:lang w:val="es-ES_tradnl" w:eastAsia="es-ES_tradnl"/>
        </w:rPr>
        <w:t xml:space="preserve"> pueden ser celebrados por cualquier entidad estatal «cualquiera sea su naturaleza y orden administrativo». Tales convenios</w:t>
      </w:r>
      <w:r w:rsidRPr="00ED53AD">
        <w:rPr>
          <w:rFonts w:ascii="Arial" w:hAnsi="Arial" w:cs="Arial"/>
          <w:i/>
          <w:iCs/>
          <w:sz w:val="22"/>
          <w:szCs w:val="22"/>
          <w:lang w:val="es-ES_tradnl" w:eastAsia="es-ES_tradnl"/>
        </w:rPr>
        <w:t xml:space="preserve"> </w:t>
      </w:r>
      <w:r w:rsidRPr="00ED53AD">
        <w:rPr>
          <w:rFonts w:ascii="Arial" w:hAnsi="Arial" w:cs="Arial"/>
          <w:sz w:val="22"/>
          <w:szCs w:val="22"/>
          <w:lang w:val="es-ES_tradnl" w:eastAsia="es-ES_tradnl"/>
        </w:rPr>
        <w:t>«[t]</w:t>
      </w:r>
      <w:proofErr w:type="spellStart"/>
      <w:r w:rsidRPr="00ED53AD">
        <w:rPr>
          <w:rFonts w:ascii="Arial" w:hAnsi="Arial" w:cs="Arial"/>
          <w:sz w:val="22"/>
          <w:szCs w:val="22"/>
          <w:lang w:val="es-ES_tradnl" w:eastAsia="es-ES_tradnl"/>
        </w:rPr>
        <w:t>ienen</w:t>
      </w:r>
      <w:proofErr w:type="spellEnd"/>
      <w:r w:rsidRPr="00ED53AD">
        <w:rPr>
          <w:rFonts w:ascii="Arial" w:hAnsi="Arial" w:cs="Arial"/>
          <w:sz w:val="22"/>
          <w:szCs w:val="22"/>
          <w:lang w:val="es-ES_tradnl" w:eastAsia="es-ES_tradnl"/>
        </w:rPr>
        <w:t>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D53AD">
        <w:rPr>
          <w:rStyle w:val="Refdenotaalpie"/>
          <w:rFonts w:ascii="Arial" w:hAnsi="Arial" w:cs="Arial"/>
          <w:sz w:val="22"/>
          <w:szCs w:val="22"/>
          <w:lang w:val="es-ES_tradnl" w:eastAsia="es-ES_tradnl"/>
        </w:rPr>
        <w:footnoteReference w:id="4"/>
      </w:r>
      <w:r w:rsidRPr="00ED53AD">
        <w:rPr>
          <w:rFonts w:ascii="Arial" w:hAnsi="Arial" w:cs="Arial"/>
          <w:sz w:val="22"/>
          <w:szCs w:val="22"/>
          <w:lang w:val="es-ES_tradnl" w:eastAsia="es-ES_tradnl"/>
        </w:rPr>
        <w:t>. </w:t>
      </w:r>
    </w:p>
    <w:p w14:paraId="06D77B6D" w14:textId="77777777" w:rsidR="00C442CF" w:rsidRPr="00ED53AD" w:rsidRDefault="00C442CF" w:rsidP="00C442CF">
      <w:pPr>
        <w:spacing w:before="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 xml:space="preserve">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ED53AD">
        <w:rPr>
          <w:rFonts w:ascii="Arial" w:hAnsi="Arial" w:cs="Arial"/>
          <w:sz w:val="22"/>
          <w:szCs w:val="22"/>
          <w:lang w:val="es-ES_tradnl" w:eastAsia="es-ES_tradnl"/>
        </w:rPr>
        <w:t>ii</w:t>
      </w:r>
      <w:proofErr w:type="spellEnd"/>
      <w:r w:rsidRPr="00ED53AD">
        <w:rPr>
          <w:rFonts w:ascii="Arial" w:hAnsi="Arial" w:cs="Arial"/>
          <w:sz w:val="22"/>
          <w:szCs w:val="22"/>
          <w:lang w:val="es-ES_tradnl" w:eastAsia="es-ES_tradnl"/>
        </w:rPr>
        <w:t xml:space="preserve">) tampoco se debe condicionar a que la contratación con las ESAL garantice la optimización de los recursos públicos en términos de eficiencia, eficacia, economía y manejo del riesgo; </w:t>
      </w:r>
      <w:proofErr w:type="spellStart"/>
      <w:r w:rsidRPr="00ED53AD">
        <w:rPr>
          <w:rFonts w:ascii="Arial" w:hAnsi="Arial" w:cs="Arial"/>
          <w:sz w:val="22"/>
          <w:szCs w:val="22"/>
          <w:lang w:val="es-ES_tradnl" w:eastAsia="es-ES_tradnl"/>
        </w:rPr>
        <w:t>iii</w:t>
      </w:r>
      <w:proofErr w:type="spellEnd"/>
      <w:r w:rsidRPr="00ED53AD">
        <w:rPr>
          <w:rFonts w:ascii="Arial" w:hAnsi="Arial" w:cs="Arial"/>
          <w:sz w:val="22"/>
          <w:szCs w:val="22"/>
          <w:lang w:val="es-ES_tradnl" w:eastAsia="es-ES_tradnl"/>
        </w:rPr>
        <w:t xml:space="preserve">) el objeto del contrato debe estar acorde con el plan nacional o seccional de desarrollo. De igual forma, </w:t>
      </w:r>
      <w:proofErr w:type="spellStart"/>
      <w:r w:rsidRPr="00ED53AD">
        <w:rPr>
          <w:rFonts w:ascii="Arial" w:hAnsi="Arial" w:cs="Arial"/>
          <w:sz w:val="22"/>
          <w:szCs w:val="22"/>
          <w:lang w:val="es-ES_tradnl" w:eastAsia="es-ES_tradnl"/>
        </w:rPr>
        <w:t>iv</w:t>
      </w:r>
      <w:proofErr w:type="spellEnd"/>
      <w:r w:rsidRPr="00ED53AD">
        <w:rPr>
          <w:rFonts w:ascii="Arial" w:hAnsi="Arial" w:cs="Arial"/>
          <w:sz w:val="22"/>
          <w:szCs w:val="22"/>
          <w:lang w:val="es-ES_tradnl" w:eastAsia="es-ES_tradnl"/>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Y v) el contrato no establezca una relación conmutativa en el cual haya una contraprestación directa a favor de la entidad, ni instrucciones precisas dadas por esta al contratista para cumplir con el objeto del contrato. </w:t>
      </w:r>
    </w:p>
    <w:p w14:paraId="13A6C09E" w14:textId="77777777" w:rsidR="00C442CF" w:rsidRPr="00ED53AD" w:rsidRDefault="00C442CF" w:rsidP="00C442CF">
      <w:pPr>
        <w:spacing w:before="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 xml:space="preserve">Entonces,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Además, es importante resaltar que el convenio de asociación no es conmutativo y, por tanto, la entidad estatal no instruye al contratista para desarrollar los programas o </w:t>
      </w:r>
      <w:r w:rsidRPr="00ED53AD">
        <w:rPr>
          <w:rFonts w:ascii="Arial" w:hAnsi="Arial" w:cs="Arial"/>
          <w:sz w:val="22"/>
          <w:szCs w:val="22"/>
          <w:lang w:val="es-ES_tradnl" w:eastAsia="es-ES_tradnl"/>
        </w:rPr>
        <w:lastRenderedPageBreak/>
        <w:t>actividades previstas, sino que se asocia con él para el cumplimiento de objetivos comunes.</w:t>
      </w:r>
    </w:p>
    <w:p w14:paraId="7F3833D4" w14:textId="77777777" w:rsidR="00C442CF" w:rsidRPr="00ED53AD" w:rsidRDefault="00C442CF" w:rsidP="00C442CF">
      <w:pPr>
        <w:jc w:val="both"/>
        <w:textAlignment w:val="baseline"/>
        <w:rPr>
          <w:rFonts w:ascii="Segoe UI" w:hAnsi="Segoe UI" w:cs="Segoe UI"/>
          <w:sz w:val="18"/>
          <w:szCs w:val="18"/>
          <w:lang w:val="es-ES_tradnl" w:eastAsia="es-ES_tradnl"/>
        </w:rPr>
      </w:pPr>
    </w:p>
    <w:p w14:paraId="2A294254" w14:textId="77777777" w:rsidR="00C442CF" w:rsidRPr="00ED53AD" w:rsidRDefault="00C442CF" w:rsidP="00C442CF">
      <w:pPr>
        <w:spacing w:line="276" w:lineRule="auto"/>
        <w:jc w:val="both"/>
        <w:textAlignment w:val="baseline"/>
        <w:rPr>
          <w:rFonts w:ascii="Arial" w:hAnsi="Arial" w:cs="Arial"/>
          <w:sz w:val="22"/>
          <w:lang w:val="es-ES_tradnl" w:eastAsia="es-ES_tradnl"/>
        </w:rPr>
      </w:pPr>
      <w:r w:rsidRPr="00ED53AD">
        <w:rPr>
          <w:rFonts w:ascii="Arial" w:hAnsi="Arial" w:cs="Arial"/>
          <w:b/>
          <w:bCs/>
          <w:sz w:val="22"/>
          <w:lang w:val="es-ES_tradnl" w:eastAsia="es-ES_tradnl"/>
        </w:rPr>
        <w:t>2.2. Naturaleza de los convenios de asociación, desarrollados por el artículo 5 del Decreto 092 de 2017</w:t>
      </w:r>
    </w:p>
    <w:p w14:paraId="0BE2632A" w14:textId="77777777" w:rsidR="00C442CF" w:rsidRPr="00ED53AD" w:rsidRDefault="00C442CF" w:rsidP="00C442CF">
      <w:pPr>
        <w:jc w:val="both"/>
        <w:textAlignment w:val="baseline"/>
        <w:rPr>
          <w:rFonts w:ascii="Arial" w:hAnsi="Arial" w:cs="Arial"/>
          <w:sz w:val="22"/>
          <w:szCs w:val="22"/>
          <w:lang w:val="es-ES_tradnl" w:eastAsia="es-ES_tradnl"/>
        </w:rPr>
      </w:pPr>
    </w:p>
    <w:p w14:paraId="07030326" w14:textId="77777777" w:rsidR="00C442CF" w:rsidRPr="00ED53AD" w:rsidRDefault="00C442CF" w:rsidP="00C442CF">
      <w:pPr>
        <w:spacing w:before="120" w:after="120" w:line="276" w:lineRule="auto"/>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El artículo 5 del mencionado Decreto indica que los convenios de asociación que celebren las ESAL y las entidades estatales, para el desarrollo conjunto de actividades relacionadas con los cometidos y funciones que a estas les asigna la ley a los que hace referencia el artículo 96 de la Ley 489 de 1998, no estarán sujetos a competencia cuando la ESAL comprometa recursos en dinero para la ejecución de esas actividades en una proporción no inferior al 30% del valor total del convenio. Es decir, según la normativa aplicable, y 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w:t>
      </w:r>
    </w:p>
    <w:p w14:paraId="199C87D2" w14:textId="77777777" w:rsidR="00C442CF" w:rsidRPr="00ED53AD" w:rsidRDefault="00C442CF" w:rsidP="00C442CF">
      <w:pPr>
        <w:spacing w:line="276" w:lineRule="auto"/>
        <w:ind w:firstLine="708"/>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 xml:space="preserve">Sin embargo, según el mismo artículo 5, si hay más de una ESAL que ofrezca su compromiso de recursos en dinero para el desarrollo conjunto de actividades relacionadas con los cometidos y funciones asignadas por ley a una entidad estatal, en una proporción no inferior al 30% del valor total del convenio, esta última debe seleccionar de forma objetiva a tal entidad y justificar los criterios para tal selección. En este evento, la entidad estatal debe diseñar herramientas que permitan una comparación objetiva de las entidades sin ánimo de lucro para seleccionar objetivamente a aquella que tenga las mejores condiciones para alcanzar el resultado esperado con el proyecto de cooperación. En cualquier caso, la Entidad Estatal no está obligada a estructurar y desarrollar un procedimiento de selección competitivo, pero debe garantizar que hace una selección objetiva en términos de la obtención de los objetivos del convenio de asociación.  </w:t>
      </w:r>
    </w:p>
    <w:p w14:paraId="251353EA" w14:textId="77777777" w:rsidR="00C442CF" w:rsidRPr="00ED53AD" w:rsidRDefault="00C442CF" w:rsidP="00C442CF">
      <w:pPr>
        <w:spacing w:line="276" w:lineRule="auto"/>
        <w:ind w:firstLine="708"/>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De este modo, en estos convenios de asociación no existe contraprestación o pago, sino aportes, los cuales están dirigidos, exclusivamente, a lograr la ejecución del convenio y no a remunerar la actividad o actuaciones del asociado. Y, de todos modos, la entidad debe adelantar un proceso competitivo, salvo cuando la ESAL comprometa recursos en dinero para la ejecución de estas actividades, en una proporción no inferior al 30% del valor total del convenio. </w:t>
      </w:r>
    </w:p>
    <w:p w14:paraId="7186FC91" w14:textId="77777777" w:rsidR="00C442CF" w:rsidRPr="00ED53AD" w:rsidRDefault="00C442CF" w:rsidP="00C442CF">
      <w:pPr>
        <w:spacing w:before="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 xml:space="preserve">El artículo 96 de la Ley 489 de 1998 determina que el convenio busca el desarrollo conjunto de actividades en relación con los cometidos y funciones que la ley les asigna a </w:t>
      </w:r>
      <w:r w:rsidRPr="00ED53AD">
        <w:rPr>
          <w:rFonts w:ascii="Arial" w:hAnsi="Arial" w:cs="Arial"/>
          <w:sz w:val="22"/>
          <w:szCs w:val="22"/>
          <w:lang w:val="es-ES_tradnl" w:eastAsia="es-ES_tradnl"/>
        </w:rPr>
        <w:lastRenderedPageBreak/>
        <w:t xml:space="preserve">las entidades estatales. En otras palabras,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en tal caso las entidades estatales deben asegurarse de que su contratista, es decir, la ESAL, aporte al menos el treinta por ciento del valor del convenio para celebrarlo directamente. </w:t>
      </w:r>
    </w:p>
    <w:p w14:paraId="6294283B" w14:textId="77777777" w:rsidR="00C442CF" w:rsidRPr="00ED53AD" w:rsidRDefault="00C442CF" w:rsidP="00C442CF">
      <w:pPr>
        <w:spacing w:before="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ED53AD">
        <w:rPr>
          <w:rStyle w:val="Refdenotaalpie"/>
          <w:rFonts w:ascii="Arial" w:hAnsi="Arial" w:cs="Arial"/>
          <w:sz w:val="22"/>
          <w:szCs w:val="22"/>
          <w:lang w:val="es-ES_tradnl" w:eastAsia="es-ES_tradnl"/>
        </w:rPr>
        <w:footnoteReference w:id="5"/>
      </w:r>
      <w:r w:rsidRPr="00ED53AD">
        <w:rPr>
          <w:rFonts w:ascii="Arial" w:hAnsi="Arial" w:cs="Arial"/>
          <w:sz w:val="22"/>
          <w:szCs w:val="22"/>
          <w:lang w:val="es-ES_tradnl" w:eastAsia="es-ES_tradnl"/>
        </w:rPr>
        <w:t>. </w:t>
      </w:r>
    </w:p>
    <w:p w14:paraId="68D84C74" w14:textId="77777777" w:rsidR="00C442CF" w:rsidRPr="00ED53AD" w:rsidRDefault="00C442CF" w:rsidP="00C442CF">
      <w:pPr>
        <w:spacing w:before="120" w:after="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La noción «seleccionar de forma objetiva», contenida en la disposición </w:t>
      </w:r>
      <w:r w:rsidRPr="00ED53AD">
        <w:rPr>
          <w:rFonts w:ascii="Arial" w:hAnsi="Arial" w:cs="Arial"/>
          <w:i/>
          <w:iCs/>
          <w:sz w:val="22"/>
          <w:szCs w:val="22"/>
          <w:lang w:val="es-ES_tradnl" w:eastAsia="es-ES_tradnl"/>
        </w:rPr>
        <w:t>sub examine </w:t>
      </w:r>
      <w:r w:rsidRPr="00ED53AD">
        <w:rPr>
          <w:rFonts w:ascii="Arial" w:hAnsi="Arial" w:cs="Arial"/>
          <w:sz w:val="22"/>
          <w:szCs w:val="22"/>
          <w:lang w:val="es-ES_tradnl" w:eastAsia="es-ES_tradnl"/>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 </w:t>
      </w:r>
    </w:p>
    <w:p w14:paraId="4CF9E2FE" w14:textId="77777777" w:rsidR="00C442CF" w:rsidRPr="00ED53AD" w:rsidRDefault="00C442CF" w:rsidP="00C442CF">
      <w:pPr>
        <w:spacing w:before="120" w:after="120" w:line="276" w:lineRule="auto"/>
        <w:ind w:firstLine="709"/>
        <w:jc w:val="both"/>
        <w:textAlignment w:val="baseline"/>
        <w:rPr>
          <w:rFonts w:ascii="Arial" w:hAnsi="Arial" w:cs="Arial"/>
          <w:sz w:val="22"/>
          <w:szCs w:val="22"/>
          <w:lang w:val="es-ES_tradnl" w:eastAsia="es-ES_tradnl"/>
        </w:rPr>
      </w:pPr>
      <w:r w:rsidRPr="00ED53AD">
        <w:rPr>
          <w:rFonts w:ascii="Arial" w:hAnsi="Arial" w:cs="Arial"/>
          <w:sz w:val="22"/>
          <w:szCs w:val="22"/>
          <w:lang w:val="es-ES_tradnl" w:eastAsia="es-ES_tradnl"/>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298616D9" w14:textId="77777777" w:rsidR="00C442CF" w:rsidRPr="00ED53AD" w:rsidRDefault="00C442CF" w:rsidP="00C442CF">
      <w:pPr>
        <w:spacing w:before="120" w:after="120" w:line="276" w:lineRule="auto"/>
        <w:ind w:firstLine="709"/>
        <w:jc w:val="both"/>
        <w:textAlignment w:val="baseline"/>
        <w:rPr>
          <w:rFonts w:ascii="Arial" w:eastAsiaTheme="minorHAnsi" w:hAnsi="Arial" w:cs="Arial"/>
          <w:sz w:val="22"/>
          <w:szCs w:val="22"/>
          <w:lang w:val="es-ES_tradnl" w:eastAsia="en-US"/>
        </w:rPr>
      </w:pPr>
      <w:r w:rsidRPr="00ED53AD">
        <w:rPr>
          <w:rFonts w:ascii="Arial" w:hAnsi="Arial" w:cs="Arial"/>
          <w:sz w:val="22"/>
          <w:szCs w:val="22"/>
          <w:lang w:val="es-ES_tradnl" w:eastAsia="es-ES_tradnl"/>
        </w:rPr>
        <w:t xml:space="preserve">En suma, para la celebración de </w:t>
      </w:r>
      <w:r w:rsidRPr="00ED53AD">
        <w:rPr>
          <w:rFonts w:ascii="Arial" w:hAnsi="Arial" w:cs="Arial"/>
          <w:i/>
          <w:iCs/>
          <w:sz w:val="22"/>
          <w:szCs w:val="22"/>
          <w:lang w:val="es-ES_tradnl" w:eastAsia="es-ES_tradnl"/>
        </w:rPr>
        <w:t>convenios de asociación</w:t>
      </w:r>
      <w:r w:rsidRPr="00ED53AD">
        <w:rPr>
          <w:rFonts w:ascii="Arial" w:hAnsi="Arial" w:cs="Arial"/>
          <w:sz w:val="22"/>
          <w:szCs w:val="22"/>
          <w:lang w:val="es-ES_tradnl" w:eastAsia="es-ES_tradnl"/>
        </w:rPr>
        <w:t xml:space="preserve">, las entidades estatales son autónomas en la configuración del proceso competitivo en desarrollo del artículo 5 del Decreto 092 de 2017. Ya que pueden definir libre y autónomamente el mecanismo de recolección de los recursos en dinero que la ESAL aportará para la ejecución de las actividades del convenio de asociación, Colombia Compra Eficiente, elaboró una guía a título ilustrativo, denominada </w:t>
      </w:r>
      <w:r w:rsidRPr="00ED53AD">
        <w:rPr>
          <w:rFonts w:ascii="Arial" w:eastAsiaTheme="minorHAnsi" w:hAnsi="Arial" w:cs="Arial"/>
          <w:sz w:val="22"/>
          <w:szCs w:val="22"/>
          <w:lang w:val="es-ES_tradnl" w:eastAsia="en-US"/>
        </w:rPr>
        <w:t xml:space="preserve">«Guía para la contratación con entidades privadas sin ánimo </w:t>
      </w:r>
      <w:r w:rsidRPr="00ED53AD">
        <w:rPr>
          <w:rFonts w:ascii="Arial" w:eastAsiaTheme="minorHAnsi" w:hAnsi="Arial" w:cs="Arial"/>
          <w:sz w:val="22"/>
          <w:szCs w:val="22"/>
          <w:lang w:val="es-ES_tradnl" w:eastAsia="en-US"/>
        </w:rPr>
        <w:lastRenderedPageBreak/>
        <w:t xml:space="preserve">de lucro y de reconocida idoneidad», en la que se establece: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w:t>
      </w:r>
    </w:p>
    <w:p w14:paraId="18273DE1" w14:textId="77777777" w:rsidR="00C442CF" w:rsidRPr="00ED53AD" w:rsidRDefault="00C442CF" w:rsidP="00C442CF">
      <w:pPr>
        <w:spacing w:before="120" w:line="276" w:lineRule="auto"/>
        <w:ind w:firstLine="709"/>
        <w:jc w:val="both"/>
        <w:textAlignment w:val="baseline"/>
        <w:rPr>
          <w:rFonts w:ascii="Segoe UI" w:hAnsi="Segoe UI" w:cs="Segoe UI"/>
          <w:sz w:val="18"/>
          <w:szCs w:val="18"/>
          <w:lang w:val="es-ES_tradnl" w:eastAsia="es-ES_tradnl"/>
        </w:rPr>
      </w:pPr>
      <w:r w:rsidRPr="00ED53AD">
        <w:rPr>
          <w:rFonts w:ascii="Arial" w:eastAsiaTheme="minorHAnsi" w:hAnsi="Arial" w:cs="Arial"/>
          <w:sz w:val="22"/>
          <w:szCs w:val="22"/>
          <w:lang w:val="es-ES_tradnl" w:eastAsia="en-US"/>
        </w:rPr>
        <w:t xml:space="preserve"> </w:t>
      </w:r>
      <w:r w:rsidRPr="00ED53AD">
        <w:rPr>
          <w:rFonts w:ascii="Arial" w:hAnsi="Arial" w:cs="Arial"/>
          <w:sz w:val="22"/>
          <w:szCs w:val="22"/>
          <w:lang w:val="es-ES_tradnl" w:eastAsia="es-ES_tradnl"/>
        </w:rPr>
        <w:t>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 </w:t>
      </w:r>
    </w:p>
    <w:p w14:paraId="347D994F" w14:textId="77777777" w:rsidR="00C442CF" w:rsidRPr="00ED53AD" w:rsidRDefault="00C442CF" w:rsidP="00C442CF">
      <w:pPr>
        <w:rPr>
          <w:rFonts w:ascii="Arial" w:hAnsi="Arial" w:cs="Arial"/>
          <w:b/>
          <w:sz w:val="22"/>
          <w:lang w:val="es-ES_tradnl"/>
        </w:rPr>
      </w:pPr>
    </w:p>
    <w:p w14:paraId="516F4ADB" w14:textId="77777777" w:rsidR="00C442CF" w:rsidRPr="00ED53AD" w:rsidRDefault="00C442CF" w:rsidP="00C442CF">
      <w:pPr>
        <w:rPr>
          <w:rFonts w:ascii="Arial" w:eastAsia="Calibri" w:hAnsi="Arial" w:cs="Arial"/>
          <w:b/>
          <w:noProof/>
          <w:sz w:val="22"/>
          <w:lang w:val="es-ES_tradnl"/>
        </w:rPr>
      </w:pPr>
      <w:r w:rsidRPr="00ED53AD">
        <w:rPr>
          <w:rFonts w:ascii="Arial" w:eastAsia="Calibri" w:hAnsi="Arial" w:cs="Arial"/>
          <w:b/>
          <w:noProof/>
          <w:sz w:val="22"/>
          <w:lang w:val="es-ES_tradnl"/>
        </w:rPr>
        <w:t xml:space="preserve">3. Respuesta </w:t>
      </w:r>
    </w:p>
    <w:p w14:paraId="3597A7A0" w14:textId="77777777" w:rsidR="00C442CF" w:rsidRPr="00ED53AD" w:rsidRDefault="00C442CF" w:rsidP="00C442CF">
      <w:pPr>
        <w:ind w:right="760"/>
        <w:rPr>
          <w:rFonts w:ascii="Arial" w:hAnsi="Arial" w:cs="Arial"/>
          <w:sz w:val="22"/>
          <w:lang w:val="es-ES_tradnl"/>
        </w:rPr>
      </w:pPr>
    </w:p>
    <w:p w14:paraId="16066677" w14:textId="77777777" w:rsidR="00C442CF" w:rsidRPr="00ED53AD" w:rsidRDefault="00C442CF" w:rsidP="00C442CF">
      <w:pPr>
        <w:ind w:left="709" w:right="709"/>
        <w:jc w:val="both"/>
        <w:rPr>
          <w:rFonts w:ascii="Arial" w:hAnsi="Arial" w:cs="Arial"/>
          <w:sz w:val="21"/>
          <w:szCs w:val="21"/>
          <w:lang w:val="es-ES_tradnl" w:eastAsia="es-ES_tradnl"/>
        </w:rPr>
      </w:pPr>
      <w:r w:rsidRPr="00ED53AD">
        <w:rPr>
          <w:rFonts w:ascii="Arial" w:hAnsi="Arial" w:cs="Arial"/>
          <w:sz w:val="21"/>
          <w:szCs w:val="21"/>
          <w:lang w:val="es-ES_tradnl" w:eastAsia="es-ES_tradnl"/>
        </w:rPr>
        <w:t>«1 ¿Cuáles son los instrumentos financieros, jurídicos y contables transables en dinero que menciona la guía y que permite a las entidades estatales verificar que la ESAL cuenta con los recursos que ha manifestado en su propuesta comprometer para la ejecución del convenio?»</w:t>
      </w:r>
    </w:p>
    <w:p w14:paraId="0E95A5B2" w14:textId="77777777" w:rsidR="00C442CF" w:rsidRPr="00ED53AD" w:rsidRDefault="00C442CF" w:rsidP="00C442CF">
      <w:pPr>
        <w:ind w:left="709" w:right="709"/>
        <w:jc w:val="both"/>
        <w:rPr>
          <w:rFonts w:ascii="Arial" w:hAnsi="Arial" w:cs="Arial"/>
          <w:sz w:val="21"/>
          <w:szCs w:val="21"/>
          <w:lang w:val="es-ES_tradnl" w:eastAsia="es-ES_tradnl"/>
        </w:rPr>
      </w:pPr>
    </w:p>
    <w:p w14:paraId="1E025590" w14:textId="77777777" w:rsidR="00C442CF" w:rsidRPr="00ED53AD" w:rsidRDefault="00C442CF" w:rsidP="00C442CF">
      <w:pPr>
        <w:ind w:left="708" w:right="709"/>
        <w:jc w:val="both"/>
        <w:rPr>
          <w:rFonts w:ascii="Arial" w:hAnsi="Arial" w:cs="Arial"/>
          <w:sz w:val="21"/>
          <w:szCs w:val="21"/>
          <w:lang w:val="es-ES_tradnl" w:eastAsia="es-ES_tradnl"/>
        </w:rPr>
      </w:pPr>
      <w:r w:rsidRPr="00ED53AD">
        <w:rPr>
          <w:rFonts w:ascii="Arial" w:hAnsi="Arial" w:cs="Arial"/>
          <w:sz w:val="21"/>
          <w:szCs w:val="21"/>
          <w:lang w:val="es-ES_tradnl" w:eastAsia="es-ES_tradnl"/>
        </w:rPr>
        <w:t xml:space="preserve">«2 ¿Es posible que la ESAL pruebe que cuenta con los recursos mediante los extractos bancarios o con una certificación del revisor fiscal que certifique que cuentan con los recursos a los que se comprometen?» </w:t>
      </w:r>
    </w:p>
    <w:p w14:paraId="5A993C1E" w14:textId="77777777" w:rsidR="00C442CF" w:rsidRPr="00ED53AD" w:rsidRDefault="00C442CF" w:rsidP="00C442CF">
      <w:pPr>
        <w:ind w:left="708" w:right="709"/>
        <w:jc w:val="both"/>
        <w:rPr>
          <w:rFonts w:ascii="Arial" w:hAnsi="Arial" w:cs="Arial"/>
          <w:sz w:val="21"/>
          <w:szCs w:val="21"/>
          <w:lang w:val="es-ES_tradnl" w:eastAsia="es-ES_tradnl"/>
        </w:rPr>
      </w:pPr>
    </w:p>
    <w:p w14:paraId="43A43DB0" w14:textId="77777777" w:rsidR="00C442CF" w:rsidRPr="00ED53AD" w:rsidRDefault="00C442CF" w:rsidP="00C442CF">
      <w:pPr>
        <w:ind w:left="709" w:right="709"/>
        <w:jc w:val="both"/>
        <w:rPr>
          <w:rFonts w:ascii="Arial" w:hAnsi="Arial" w:cs="Arial"/>
          <w:bCs/>
          <w:sz w:val="21"/>
          <w:szCs w:val="21"/>
          <w:lang w:val="es-ES_tradnl"/>
        </w:rPr>
      </w:pPr>
      <w:r w:rsidRPr="00ED53AD">
        <w:rPr>
          <w:rFonts w:ascii="Arial" w:hAnsi="Arial" w:cs="Arial"/>
          <w:sz w:val="21"/>
          <w:szCs w:val="21"/>
          <w:lang w:val="es-ES_tradnl" w:eastAsia="es-ES_tradnl"/>
        </w:rPr>
        <w:t>«3 ¿Es suficiente con la carta de oferta suscrita por el representante legal de la ESAL que fue valorada por la entidad estatal como idónea, donde se comprometa a aportar en dinero los recursos?». </w:t>
      </w:r>
    </w:p>
    <w:p w14:paraId="0EDF6D45" w14:textId="77777777" w:rsidR="00C442CF" w:rsidRPr="00ED53AD" w:rsidRDefault="00C442CF" w:rsidP="00C442CF">
      <w:pPr>
        <w:tabs>
          <w:tab w:val="left" w:pos="426"/>
          <w:tab w:val="left" w:pos="709"/>
        </w:tabs>
        <w:jc w:val="both"/>
        <w:rPr>
          <w:rFonts w:ascii="Arial" w:eastAsia="Calibri" w:hAnsi="Arial" w:cs="Arial"/>
          <w:sz w:val="22"/>
          <w:lang w:val="es-ES_tradnl"/>
        </w:rPr>
      </w:pPr>
    </w:p>
    <w:p w14:paraId="2C6FABDC" w14:textId="77777777" w:rsidR="00C442CF" w:rsidRPr="00ED53AD" w:rsidRDefault="00C442CF" w:rsidP="00C442CF">
      <w:pPr>
        <w:autoSpaceDE w:val="0"/>
        <w:autoSpaceDN w:val="0"/>
        <w:adjustRightInd w:val="0"/>
        <w:spacing w:line="276" w:lineRule="auto"/>
        <w:jc w:val="both"/>
        <w:rPr>
          <w:rFonts w:ascii="Arial" w:eastAsiaTheme="minorHAnsi" w:hAnsi="Arial" w:cs="Arial"/>
          <w:sz w:val="22"/>
          <w:szCs w:val="22"/>
          <w:lang w:val="es-ES_tradnl" w:eastAsia="en-US"/>
        </w:rPr>
      </w:pPr>
      <w:r w:rsidRPr="00ED53AD">
        <w:rPr>
          <w:rFonts w:ascii="Arial" w:eastAsiaTheme="minorHAnsi" w:hAnsi="Arial" w:cs="Arial"/>
          <w:sz w:val="22"/>
          <w:szCs w:val="22"/>
          <w:lang w:val="es-ES_tradnl" w:eastAsia="en-US"/>
        </w:rPr>
        <w:t>En virtud del artículo 5 del Decreto 092 de 2017, las entidades contratantes pueden definir, en ejercicio de su discrecionalidad, de modo autónomo los instrumentos a través de los cuales la ESAL debe realizar los aportes de recursos en dinero y que serán aportados para la ejecución de las actividades del convenio de asociación. A título ilustrativo, en la «Guía para la contratación con entidades privadas sin ánimo de lucro y de reconocida idoneidad», elaborada por Colombia Compra Eficiente, se establece que «[…] la exigencia de recursos en dinero se puede cumplir con instrumentos financieros, jurídicos y contables que sean transables y que tengan liquidez suficiente para ser equivalentes al dinero». De todos modos, se insiste, la entidad contratante puede definir, en ejercicio de su discrecionalidad, el mecanismo que le parezca más conveniente para el recaudo de los recursos en dinero que debe aportar la ESAL. </w:t>
      </w:r>
    </w:p>
    <w:p w14:paraId="5320EED0" w14:textId="77777777" w:rsidR="00C442CF" w:rsidRPr="00ED53AD" w:rsidRDefault="00C442CF" w:rsidP="00C442CF">
      <w:pPr>
        <w:autoSpaceDE w:val="0"/>
        <w:autoSpaceDN w:val="0"/>
        <w:adjustRightInd w:val="0"/>
        <w:spacing w:before="120" w:line="276" w:lineRule="auto"/>
        <w:ind w:firstLine="709"/>
        <w:jc w:val="both"/>
        <w:rPr>
          <w:rFonts w:ascii="Arial" w:eastAsiaTheme="minorHAnsi" w:hAnsi="Arial" w:cs="Arial"/>
          <w:sz w:val="22"/>
          <w:szCs w:val="22"/>
          <w:lang w:val="es-ES_tradnl" w:eastAsia="en-US"/>
        </w:rPr>
      </w:pPr>
      <w:r w:rsidRPr="00ED53AD">
        <w:rPr>
          <w:rFonts w:ascii="Arial" w:eastAsiaTheme="minorHAnsi" w:hAnsi="Arial" w:cs="Arial"/>
          <w:sz w:val="22"/>
          <w:szCs w:val="22"/>
          <w:lang w:val="es-ES_tradnl" w:eastAsia="en-US"/>
        </w:rPr>
        <w:t xml:space="preserve">Dicha libertad de configuración se justifica en la ejecución efectiva del convenio de asociación y, por el otro en la ausencia de regulación por parte del Decreto 092 de 2017. De igual manera debe incluirse la regulación otorgada por el artículo 40 de la Ley </w:t>
      </w:r>
      <w:r w:rsidRPr="00ED53AD">
        <w:rPr>
          <w:rFonts w:ascii="Arial" w:eastAsiaTheme="minorHAnsi" w:hAnsi="Arial" w:cs="Arial"/>
          <w:sz w:val="22"/>
          <w:szCs w:val="22"/>
          <w:lang w:val="es-ES_tradnl" w:eastAsia="en-US"/>
        </w:rPr>
        <w:lastRenderedPageBreak/>
        <w:t>80</w:t>
      </w:r>
      <w:r w:rsidRPr="00ED53AD">
        <w:rPr>
          <w:rFonts w:eastAsiaTheme="minorHAnsi"/>
          <w:lang w:val="es-ES_tradnl"/>
        </w:rPr>
        <w:t xml:space="preserve"> </w:t>
      </w:r>
      <w:r w:rsidRPr="00ED53AD">
        <w:rPr>
          <w:rFonts w:ascii="Arial" w:eastAsiaTheme="minorHAnsi" w:hAnsi="Arial" w:cs="Arial"/>
          <w:sz w:val="22"/>
          <w:szCs w:val="22"/>
          <w:lang w:val="es-ES_tradnl" w:eastAsia="en-US"/>
        </w:rPr>
        <w:t>de 1993</w:t>
      </w:r>
      <w:r w:rsidRPr="00ED53AD">
        <w:rPr>
          <w:rStyle w:val="Refdenotaalpie"/>
          <w:rFonts w:ascii="Arial" w:eastAsiaTheme="minorHAnsi" w:hAnsi="Arial" w:cs="Arial"/>
          <w:sz w:val="22"/>
          <w:szCs w:val="22"/>
          <w:lang w:val="es-ES_tradnl" w:eastAsia="en-US"/>
        </w:rPr>
        <w:footnoteReference w:id="6"/>
      </w:r>
      <w:r w:rsidRPr="00ED53AD">
        <w:rPr>
          <w:rFonts w:ascii="Arial" w:eastAsiaTheme="minorHAnsi" w:hAnsi="Arial" w:cs="Arial"/>
          <w:sz w:val="22"/>
          <w:szCs w:val="22"/>
          <w:lang w:val="es-ES_tradnl" w:eastAsia="en-US"/>
        </w:rPr>
        <w:t>, que establece autonomía en los instrumentos financieros idóneos para comprobar el aporte que se realice por parte de la ESAL.</w:t>
      </w:r>
    </w:p>
    <w:p w14:paraId="31767DE0" w14:textId="77777777" w:rsidR="00C442CF" w:rsidRPr="00ED53AD" w:rsidRDefault="00C442CF" w:rsidP="00C442CF">
      <w:pPr>
        <w:autoSpaceDE w:val="0"/>
        <w:autoSpaceDN w:val="0"/>
        <w:adjustRightInd w:val="0"/>
        <w:spacing w:before="120" w:line="276" w:lineRule="auto"/>
        <w:ind w:firstLine="709"/>
        <w:jc w:val="both"/>
        <w:rPr>
          <w:rFonts w:ascii="Arial" w:eastAsiaTheme="minorHAnsi" w:hAnsi="Arial" w:cs="Arial"/>
          <w:sz w:val="22"/>
          <w:szCs w:val="22"/>
          <w:lang w:val="es-ES_tradnl" w:eastAsia="en-US"/>
        </w:rPr>
      </w:pPr>
      <w:r w:rsidRPr="00ED53AD">
        <w:rPr>
          <w:rFonts w:ascii="Arial" w:hAnsi="Arial" w:cs="Arial"/>
          <w:sz w:val="22"/>
          <w:szCs w:val="22"/>
          <w:lang w:val="es-ES_tradnl" w:eastAsia="es-ES_tradnl"/>
        </w:rPr>
        <w:t xml:space="preserve">En los términos del artículo 96 de la Ley 489 de 1998, en </w:t>
      </w:r>
      <w:r w:rsidRPr="00ED53AD">
        <w:rPr>
          <w:rFonts w:ascii="Arial" w:eastAsiaTheme="minorHAnsi" w:hAnsi="Arial" w:cs="Arial"/>
          <w:sz w:val="22"/>
          <w:szCs w:val="22"/>
          <w:lang w:val="es-ES_tradnl" w:eastAsia="en-US"/>
        </w:rPr>
        <w:t>estos convenios deben determinarse con</w:t>
      </w:r>
      <w:r w:rsidRPr="00ED53AD">
        <w:rPr>
          <w:rFonts w:ascii="Arial" w:hAnsi="Arial" w:cs="Arial"/>
          <w:sz w:val="22"/>
          <w:szCs w:val="22"/>
          <w:lang w:val="es-ES_tradnl" w:eastAsia="es-ES_tradnl"/>
        </w:rPr>
        <w:t xml:space="preserve"> </w:t>
      </w:r>
      <w:r w:rsidRPr="00ED53AD">
        <w:rPr>
          <w:rFonts w:ascii="Arial" w:eastAsiaTheme="minorHAnsi" w:hAnsi="Arial" w:cs="Arial"/>
          <w:sz w:val="22"/>
          <w:szCs w:val="22"/>
          <w:lang w:val="es-ES_tradnl" w:eastAsia="en-US"/>
        </w:rPr>
        <w:t xml:space="preserve">precisión temas como el objeto, término, obligaciones de las partes, aportes, coordinación y todos aquellos aspectos que se consideren pertinentes. Entre estos elementos se resalta la exigencia de aportes, que debe interpretarse en el sentido de que las ESAL deben realizar aportes a los convenios que suscriban, los cuales pueden ser en dinero, en porcentajes inferiores o superiores al 30% –según el caso–, o en especie, pero que debe servir para que se desarrollen los objetivos comunes en la asociación. </w:t>
      </w:r>
    </w:p>
    <w:p w14:paraId="29C7CBD3" w14:textId="77777777" w:rsidR="00C442CF" w:rsidRPr="00ED53AD" w:rsidRDefault="00C442CF" w:rsidP="00C442CF">
      <w:pPr>
        <w:tabs>
          <w:tab w:val="left" w:pos="426"/>
          <w:tab w:val="left" w:pos="709"/>
        </w:tabs>
        <w:jc w:val="both"/>
        <w:rPr>
          <w:rFonts w:ascii="Arial" w:eastAsiaTheme="minorHAnsi" w:hAnsi="Arial" w:cs="Arial"/>
          <w:sz w:val="22"/>
          <w:szCs w:val="22"/>
          <w:lang w:val="es-ES_tradnl" w:eastAsia="en-US"/>
        </w:rPr>
      </w:pPr>
    </w:p>
    <w:p w14:paraId="70E32222" w14:textId="77777777" w:rsidR="00C442CF" w:rsidRPr="00ED53AD" w:rsidRDefault="00C442CF" w:rsidP="00C442CF">
      <w:pPr>
        <w:tabs>
          <w:tab w:val="left" w:pos="426"/>
          <w:tab w:val="left" w:pos="709"/>
        </w:tabs>
        <w:jc w:val="both"/>
        <w:rPr>
          <w:rFonts w:ascii="Arial" w:eastAsia="Calibri" w:hAnsi="Arial" w:cs="Arial"/>
          <w:sz w:val="22"/>
          <w:lang w:val="es-ES_tradnl"/>
        </w:rPr>
      </w:pPr>
    </w:p>
    <w:p w14:paraId="54A1734D" w14:textId="77777777" w:rsidR="00C442CF" w:rsidRPr="00ED53AD" w:rsidRDefault="00C442CF" w:rsidP="00C442CF">
      <w:pPr>
        <w:rPr>
          <w:rFonts w:ascii="Arial" w:hAnsi="Arial" w:cs="Arial"/>
          <w:sz w:val="22"/>
          <w:lang w:val="es-ES_tradnl" w:eastAsia="es-CO"/>
        </w:rPr>
      </w:pPr>
      <w:bookmarkStart w:id="1" w:name="_Hlk50986665"/>
      <w:r w:rsidRPr="00ED53AD">
        <w:rPr>
          <w:rFonts w:ascii="Arial" w:hAnsi="Arial" w:cs="Arial"/>
          <w:sz w:val="22"/>
          <w:lang w:val="es-ES_tradnl" w:eastAsia="es-CO"/>
        </w:rPr>
        <w:t>Atentamente,</w:t>
      </w:r>
    </w:p>
    <w:p w14:paraId="50D1420A" w14:textId="62A50BD1" w:rsidR="00C442CF" w:rsidRPr="00ED53AD" w:rsidRDefault="00C442CF" w:rsidP="00C442CF">
      <w:pPr>
        <w:jc w:val="center"/>
        <w:rPr>
          <w:rFonts w:ascii="Arial" w:hAnsi="Arial" w:cs="Arial"/>
          <w:sz w:val="22"/>
          <w:lang w:val="es-ES_tradnl" w:eastAsia="es-CO"/>
        </w:rPr>
      </w:pPr>
      <w:r w:rsidRPr="009A32BC">
        <w:rPr>
          <w:noProof/>
        </w:rPr>
        <w:drawing>
          <wp:inline distT="0" distB="0" distL="0" distR="0" wp14:anchorId="70C3497C" wp14:editId="0EE6FDDB">
            <wp:extent cx="2514600" cy="1114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4600" cy="1114425"/>
                    </a:xfrm>
                    <a:prstGeom prst="rect">
                      <a:avLst/>
                    </a:prstGeom>
                  </pic:spPr>
                </pic:pic>
              </a:graphicData>
            </a:graphic>
          </wp:inline>
        </w:drawing>
      </w:r>
    </w:p>
    <w:p w14:paraId="06DF5726" w14:textId="77777777" w:rsidR="00C442CF" w:rsidRPr="00ED53AD" w:rsidRDefault="00C442CF" w:rsidP="00C442CF">
      <w:pPr>
        <w:jc w:val="center"/>
        <w:rPr>
          <w:rFonts w:ascii="Arial" w:hAnsi="Arial" w:cs="Arial"/>
          <w:sz w:val="18"/>
          <w:szCs w:val="20"/>
          <w:lang w:val="es-ES_tradnl" w:eastAsia="es-CO"/>
        </w:rPr>
      </w:pPr>
    </w:p>
    <w:p w14:paraId="411EF44B" w14:textId="77777777" w:rsidR="00C442CF" w:rsidRPr="00ED53AD" w:rsidRDefault="00C442CF" w:rsidP="00C442CF">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442CF" w:rsidRPr="00C442CF" w14:paraId="0C39E671" w14:textId="77777777" w:rsidTr="00BC16FC">
        <w:trPr>
          <w:trHeight w:val="315"/>
        </w:trPr>
        <w:tc>
          <w:tcPr>
            <w:tcW w:w="812" w:type="dxa"/>
            <w:vAlign w:val="center"/>
            <w:hideMark/>
          </w:tcPr>
          <w:bookmarkEnd w:id="1"/>
          <w:p w14:paraId="5B8EB085" w14:textId="77777777" w:rsidR="00C442CF" w:rsidRPr="00ED53AD" w:rsidRDefault="00C442CF" w:rsidP="00BC16FC">
            <w:pPr>
              <w:spacing w:before="0"/>
              <w:rPr>
                <w:rFonts w:ascii="Arial" w:hAnsi="Arial" w:cs="Arial"/>
                <w:sz w:val="16"/>
                <w:szCs w:val="16"/>
                <w:lang w:val="es-ES_tradnl" w:eastAsia="es-ES"/>
              </w:rPr>
            </w:pPr>
            <w:r w:rsidRPr="00ED53A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C16BEE7" w14:textId="77777777" w:rsidR="00C442CF" w:rsidRPr="00ED53AD" w:rsidRDefault="00C442CF" w:rsidP="00BC16FC">
            <w:pPr>
              <w:spacing w:before="0"/>
              <w:rPr>
                <w:rFonts w:ascii="Arial" w:hAnsi="Arial" w:cs="Arial"/>
                <w:sz w:val="16"/>
                <w:szCs w:val="16"/>
                <w:lang w:val="es-ES_tradnl" w:eastAsia="es-ES"/>
              </w:rPr>
            </w:pPr>
            <w:r w:rsidRPr="00ED53AD">
              <w:rPr>
                <w:rFonts w:ascii="Arial" w:hAnsi="Arial" w:cs="Arial"/>
                <w:sz w:val="16"/>
                <w:szCs w:val="16"/>
                <w:lang w:val="es-ES_tradnl" w:eastAsia="es-ES"/>
              </w:rPr>
              <w:t>Camilo Perdomo Villamil</w:t>
            </w:r>
          </w:p>
          <w:p w14:paraId="5FA65C90" w14:textId="77777777" w:rsidR="00C442CF" w:rsidRPr="00ED53AD" w:rsidRDefault="00C442CF" w:rsidP="00BC16FC">
            <w:pPr>
              <w:spacing w:before="0"/>
              <w:rPr>
                <w:rFonts w:ascii="Arial" w:hAnsi="Arial" w:cs="Arial"/>
                <w:sz w:val="16"/>
                <w:szCs w:val="16"/>
                <w:lang w:val="es-ES_tradnl" w:eastAsia="es-ES"/>
              </w:rPr>
            </w:pPr>
            <w:r w:rsidRPr="00ED53AD">
              <w:rPr>
                <w:rFonts w:ascii="Arial" w:hAnsi="Arial" w:cs="Arial"/>
                <w:sz w:val="16"/>
                <w:szCs w:val="16"/>
                <w:lang w:val="es-ES_tradnl" w:eastAsia="es-ES"/>
              </w:rPr>
              <w:t>Contratista de la Subdirección de Gestión Contractual</w:t>
            </w:r>
          </w:p>
        </w:tc>
      </w:tr>
      <w:tr w:rsidR="00C442CF" w:rsidRPr="00C442CF" w14:paraId="21BF120E" w14:textId="77777777" w:rsidTr="00BC16FC">
        <w:trPr>
          <w:trHeight w:val="330"/>
        </w:trPr>
        <w:tc>
          <w:tcPr>
            <w:tcW w:w="812" w:type="dxa"/>
            <w:vAlign w:val="center"/>
            <w:hideMark/>
          </w:tcPr>
          <w:p w14:paraId="244A46A2" w14:textId="77777777" w:rsidR="00C442CF" w:rsidRPr="00ED53AD" w:rsidRDefault="00C442CF" w:rsidP="00BC16FC">
            <w:pPr>
              <w:spacing w:before="0"/>
              <w:rPr>
                <w:rFonts w:ascii="Arial" w:hAnsi="Arial" w:cs="Arial"/>
                <w:sz w:val="16"/>
                <w:szCs w:val="16"/>
                <w:lang w:val="es-ES_tradnl" w:eastAsia="es-ES"/>
              </w:rPr>
            </w:pPr>
            <w:r w:rsidRPr="00ED53A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847690" w14:textId="77777777" w:rsidR="00C442CF" w:rsidRPr="00ED53AD" w:rsidRDefault="00C442CF" w:rsidP="00BC16FC">
            <w:pPr>
              <w:spacing w:before="0"/>
              <w:rPr>
                <w:rFonts w:ascii="Arial" w:hAnsi="Arial" w:cs="Arial"/>
                <w:sz w:val="16"/>
                <w:szCs w:val="16"/>
                <w:lang w:val="es-ES_tradnl" w:eastAsia="es-ES"/>
              </w:rPr>
            </w:pPr>
            <w:r w:rsidRPr="00ED53AD">
              <w:rPr>
                <w:rFonts w:ascii="Arial" w:hAnsi="Arial" w:cs="Arial"/>
                <w:sz w:val="16"/>
                <w:szCs w:val="16"/>
                <w:lang w:val="es-ES_tradnl" w:eastAsia="es-ES"/>
              </w:rPr>
              <w:t>Cristian Andrés Díaz Díez</w:t>
            </w:r>
          </w:p>
          <w:p w14:paraId="04C5579F" w14:textId="77777777" w:rsidR="00C442CF" w:rsidRPr="00ED53AD" w:rsidRDefault="00C442CF" w:rsidP="00BC16FC">
            <w:pPr>
              <w:spacing w:before="0"/>
              <w:rPr>
                <w:rFonts w:ascii="Arial" w:hAnsi="Arial" w:cs="Arial"/>
                <w:sz w:val="16"/>
                <w:szCs w:val="16"/>
                <w:lang w:val="es-ES_tradnl" w:eastAsia="es-ES"/>
              </w:rPr>
            </w:pPr>
            <w:r w:rsidRPr="00ED53AD">
              <w:rPr>
                <w:rFonts w:ascii="Arial" w:hAnsi="Arial" w:cs="Arial"/>
                <w:sz w:val="16"/>
                <w:szCs w:val="16"/>
                <w:lang w:val="es-ES_tradnl" w:eastAsia="es-ES"/>
              </w:rPr>
              <w:t>Contratista de la Subdirección de Gestión Contractual</w:t>
            </w:r>
          </w:p>
        </w:tc>
      </w:tr>
      <w:tr w:rsidR="00C442CF" w:rsidRPr="00C442CF" w14:paraId="1A9015CC" w14:textId="77777777" w:rsidTr="00BC16FC">
        <w:trPr>
          <w:trHeight w:val="300"/>
        </w:trPr>
        <w:tc>
          <w:tcPr>
            <w:tcW w:w="812" w:type="dxa"/>
            <w:vAlign w:val="center"/>
            <w:hideMark/>
          </w:tcPr>
          <w:p w14:paraId="3A246BC4" w14:textId="77777777" w:rsidR="00C442CF" w:rsidRPr="00ED53AD" w:rsidRDefault="00C442CF" w:rsidP="00BC16FC">
            <w:pPr>
              <w:spacing w:before="0"/>
              <w:rPr>
                <w:rFonts w:ascii="Arial" w:hAnsi="Arial" w:cs="Arial"/>
                <w:sz w:val="16"/>
                <w:szCs w:val="16"/>
                <w:lang w:val="es-ES_tradnl" w:eastAsia="es-ES"/>
              </w:rPr>
            </w:pPr>
            <w:r w:rsidRPr="00ED53A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471F63" w14:textId="77777777" w:rsidR="00C442CF" w:rsidRPr="00ED53AD" w:rsidRDefault="00C442CF" w:rsidP="00BC16FC">
            <w:pPr>
              <w:spacing w:before="0"/>
              <w:rPr>
                <w:rFonts w:ascii="Arial" w:hAnsi="Arial" w:cs="Arial"/>
                <w:sz w:val="16"/>
                <w:szCs w:val="16"/>
                <w:lang w:val="es-ES_tradnl" w:eastAsia="es-ES"/>
              </w:rPr>
            </w:pPr>
            <w:r w:rsidRPr="00ED53AD">
              <w:rPr>
                <w:rFonts w:ascii="Arial" w:hAnsi="Arial" w:cs="Arial"/>
                <w:sz w:val="16"/>
                <w:szCs w:val="16"/>
                <w:lang w:val="es-ES_tradnl" w:eastAsia="es-ES"/>
              </w:rPr>
              <w:t>Jorge Augusto Tirado Navarro</w:t>
            </w:r>
          </w:p>
          <w:p w14:paraId="1D8BE2FF" w14:textId="77777777" w:rsidR="00C442CF" w:rsidRPr="008D050A" w:rsidRDefault="00C442CF" w:rsidP="00BC16FC">
            <w:pPr>
              <w:spacing w:before="0"/>
              <w:rPr>
                <w:rFonts w:ascii="Arial" w:hAnsi="Arial" w:cs="Arial"/>
                <w:sz w:val="16"/>
                <w:szCs w:val="16"/>
                <w:lang w:val="es-ES_tradnl" w:eastAsia="es-ES"/>
              </w:rPr>
            </w:pPr>
            <w:r w:rsidRPr="00ED53AD">
              <w:rPr>
                <w:rFonts w:ascii="Arial" w:hAnsi="Arial" w:cs="Arial"/>
                <w:sz w:val="16"/>
                <w:szCs w:val="16"/>
                <w:lang w:val="es-ES_tradnl" w:eastAsia="es-ES"/>
              </w:rPr>
              <w:t>Subdirector de Gestión Contractual</w:t>
            </w:r>
          </w:p>
        </w:tc>
      </w:tr>
    </w:tbl>
    <w:p w14:paraId="24A0FFB0" w14:textId="77777777" w:rsidR="00C442CF" w:rsidRPr="008D050A" w:rsidRDefault="00C442CF" w:rsidP="00C442CF">
      <w:pPr>
        <w:rPr>
          <w:rFonts w:ascii="Arial" w:hAnsi="Arial" w:cs="Arial"/>
          <w:lang w:val="es-ES_tradnl"/>
        </w:rPr>
      </w:pPr>
    </w:p>
    <w:p w14:paraId="76BE466E" w14:textId="77777777" w:rsidR="00E8729C" w:rsidRPr="00C442CF" w:rsidRDefault="00E8729C">
      <w:pPr>
        <w:rPr>
          <w:lang w:val="es-ES_tradnl"/>
        </w:rPr>
      </w:pPr>
    </w:p>
    <w:sectPr w:rsidR="00E8729C" w:rsidRPr="00C442CF" w:rsidSect="008F0A80">
      <w:headerReference w:type="default" r:id="rId8"/>
      <w:footerReference w:type="default" r:id="rId9"/>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888FE" w14:textId="77777777" w:rsidR="00C442CF" w:rsidRDefault="00C442CF" w:rsidP="00C442CF">
      <w:r>
        <w:separator/>
      </w:r>
    </w:p>
  </w:endnote>
  <w:endnote w:type="continuationSeparator" w:id="0">
    <w:p w14:paraId="3277C5F2" w14:textId="77777777" w:rsidR="00C442CF" w:rsidRDefault="00C442CF"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DAD2" w14:textId="77777777" w:rsidR="008F0A80" w:rsidRPr="008217B7" w:rsidRDefault="00C442CF" w:rsidP="008F0A8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34</w:t>
    </w:r>
    <w:r w:rsidRPr="00084B97">
      <w:rPr>
        <w:rFonts w:ascii="Arial" w:hAnsi="Arial" w:cs="Arial"/>
        <w:b/>
        <w:bCs/>
        <w:color w:val="7F7F7F" w:themeColor="text1" w:themeTint="80"/>
        <w:sz w:val="16"/>
        <w:szCs w:val="16"/>
      </w:rPr>
      <w:fldChar w:fldCharType="end"/>
    </w:r>
  </w:p>
  <w:p w14:paraId="76688CD1" w14:textId="77777777" w:rsidR="008F0A80" w:rsidRDefault="00C442CF" w:rsidP="008F0A80">
    <w:pPr>
      <w:pStyle w:val="Piedepgina"/>
      <w:jc w:val="center"/>
      <w:rPr>
        <w:lang w:val="es-ES"/>
      </w:rPr>
    </w:pPr>
    <w:r>
      <w:rPr>
        <w:noProof/>
      </w:rPr>
      <w:drawing>
        <wp:inline distT="0" distB="0" distL="0" distR="0" wp14:anchorId="6B30801F" wp14:editId="3EB01402">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23EF28A9" w14:textId="77777777" w:rsidR="008F0A80" w:rsidRDefault="00C442CF" w:rsidP="008F0A80">
    <w:pPr>
      <w:pStyle w:val="Piedepgina"/>
      <w:jc w:val="center"/>
      <w:rPr>
        <w:lang w:val="es-ES"/>
      </w:rPr>
    </w:pPr>
  </w:p>
  <w:p w14:paraId="28F7A341" w14:textId="77777777" w:rsidR="008F0A80" w:rsidRPr="007B0854" w:rsidRDefault="00C442CF" w:rsidP="008F0A80">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AEC97" w14:textId="77777777" w:rsidR="00C442CF" w:rsidRDefault="00C442CF" w:rsidP="00C442CF">
      <w:r>
        <w:separator/>
      </w:r>
    </w:p>
  </w:footnote>
  <w:footnote w:type="continuationSeparator" w:id="0">
    <w:p w14:paraId="406BAE2F" w14:textId="77777777" w:rsidR="00C442CF" w:rsidRDefault="00C442CF" w:rsidP="00C442CF">
      <w:r>
        <w:continuationSeparator/>
      </w:r>
    </w:p>
  </w:footnote>
  <w:footnote w:id="1">
    <w:p w14:paraId="27F5E075" w14:textId="77777777" w:rsidR="00C442CF" w:rsidRDefault="00C442CF" w:rsidP="00C442CF">
      <w:pPr>
        <w:ind w:firstLine="709"/>
        <w:jc w:val="both"/>
        <w:rPr>
          <w:rFonts w:ascii="Arial" w:hAnsi="Arial" w:cs="Arial"/>
          <w:color w:val="000000"/>
          <w:sz w:val="19"/>
          <w:szCs w:val="19"/>
          <w:lang w:val="es-CO" w:eastAsia="es-ES_tradnl"/>
        </w:rPr>
      </w:pPr>
      <w:r w:rsidRPr="008C168F">
        <w:rPr>
          <w:rStyle w:val="Refdenotaalpie"/>
          <w:rFonts w:ascii="Arial" w:hAnsi="Arial" w:cs="Arial"/>
          <w:sz w:val="18"/>
          <w:szCs w:val="18"/>
        </w:rPr>
        <w:footnoteRef/>
      </w:r>
      <w:r w:rsidRPr="00F476C4">
        <w:rPr>
          <w:rFonts w:ascii="Arial" w:hAnsi="Arial" w:cs="Arial"/>
          <w:sz w:val="18"/>
          <w:szCs w:val="18"/>
          <w:lang w:val="es-CO"/>
        </w:rPr>
        <w:t xml:space="preserve"> </w:t>
      </w:r>
      <w:r w:rsidRPr="009C6D4D">
        <w:rPr>
          <w:rFonts w:ascii="Arial" w:hAnsi="Arial" w:cs="Arial"/>
          <w:color w:val="000000"/>
          <w:sz w:val="19"/>
          <w:szCs w:val="19"/>
          <w:lang w:val="es-MX" w:eastAsia="es-ES_tradnl"/>
        </w:rPr>
        <w:t>Sobre esta norma</w:t>
      </w:r>
      <w:r>
        <w:rPr>
          <w:rFonts w:ascii="Arial" w:hAnsi="Arial" w:cs="Arial"/>
          <w:color w:val="000000"/>
          <w:sz w:val="19"/>
          <w:szCs w:val="19"/>
          <w:lang w:val="es-MX" w:eastAsia="es-ES_tradnl"/>
        </w:rPr>
        <w:t>,</w:t>
      </w:r>
      <w:r w:rsidRPr="009C6D4D">
        <w:rPr>
          <w:rFonts w:ascii="Arial" w:hAnsi="Arial" w:cs="Arial"/>
          <w:color w:val="000000"/>
          <w:sz w:val="19"/>
          <w:szCs w:val="19"/>
          <w:lang w:val="es-MX" w:eastAsia="es-ES_tradnl"/>
        </w:rPr>
        <w:t xml:space="preserve"> consultar los conceptos del 8 de octubre de 2019, con radicado 2201913000007532, y del 20 de diciembre de 2019, cuyo radicado es el No. 4201913000008240.</w:t>
      </w:r>
      <w:r w:rsidRPr="009C6D4D">
        <w:rPr>
          <w:rFonts w:ascii="Arial" w:hAnsi="Arial" w:cs="Arial"/>
          <w:color w:val="000000"/>
          <w:sz w:val="19"/>
          <w:szCs w:val="19"/>
          <w:lang w:val="es-CO" w:eastAsia="es-ES_tradnl"/>
        </w:rPr>
        <w:t> </w:t>
      </w:r>
    </w:p>
    <w:p w14:paraId="1EB0BDC6" w14:textId="77777777" w:rsidR="00C442CF" w:rsidRPr="009C6D4D" w:rsidRDefault="00C442CF" w:rsidP="00C442CF">
      <w:pPr>
        <w:ind w:firstLine="709"/>
        <w:jc w:val="both"/>
        <w:rPr>
          <w:rFonts w:ascii="Arial" w:hAnsi="Arial" w:cs="Arial"/>
          <w:color w:val="000000"/>
          <w:sz w:val="19"/>
          <w:szCs w:val="19"/>
          <w:lang w:val="es-CO" w:eastAsia="es-ES_tradnl"/>
        </w:rPr>
      </w:pPr>
    </w:p>
  </w:footnote>
  <w:footnote w:id="2">
    <w:p w14:paraId="7D6D2387" w14:textId="77777777" w:rsidR="00C442CF" w:rsidRPr="009C6D4D" w:rsidRDefault="00C442CF" w:rsidP="00C442CF">
      <w:pPr>
        <w:pStyle w:val="paragraph"/>
        <w:ind w:firstLine="709"/>
        <w:jc w:val="both"/>
        <w:textAlignment w:val="baseline"/>
        <w:rPr>
          <w:rFonts w:ascii="Arial" w:hAnsi="Arial" w:cs="Arial"/>
          <w:sz w:val="19"/>
          <w:szCs w:val="19"/>
        </w:rPr>
      </w:pPr>
      <w:r w:rsidRPr="009C6D4D">
        <w:rPr>
          <w:rStyle w:val="Refdenotaalpie"/>
          <w:rFonts w:ascii="Arial" w:hAnsi="Arial" w:cs="Arial"/>
          <w:sz w:val="19"/>
          <w:szCs w:val="19"/>
        </w:rPr>
        <w:footnoteRef/>
      </w:r>
      <w:r w:rsidRPr="009C6D4D">
        <w:rPr>
          <w:rFonts w:ascii="Arial" w:hAnsi="Arial" w:cs="Arial"/>
          <w:sz w:val="19"/>
          <w:szCs w:val="19"/>
        </w:rPr>
        <w:t xml:space="preserve"> </w:t>
      </w:r>
      <w:r w:rsidRPr="009C6D4D">
        <w:rPr>
          <w:rFonts w:ascii="Arial" w:hAnsi="Arial" w:cs="Arial"/>
          <w:color w:val="000000"/>
          <w:sz w:val="19"/>
          <w:szCs w:val="19"/>
          <w:lang w:val="es-MX"/>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r w:rsidRPr="009C6D4D">
        <w:rPr>
          <w:rFonts w:ascii="Arial" w:hAnsi="Arial" w:cs="Arial"/>
          <w:color w:val="000000"/>
          <w:sz w:val="19"/>
          <w:szCs w:val="19"/>
        </w:rPr>
        <w:t> </w:t>
      </w:r>
    </w:p>
    <w:p w14:paraId="5EF8E0A3" w14:textId="77777777" w:rsidR="00C442CF" w:rsidRDefault="00C442CF" w:rsidP="00C442CF">
      <w:pPr>
        <w:ind w:firstLine="709"/>
        <w:jc w:val="both"/>
        <w:textAlignment w:val="baseline"/>
        <w:rPr>
          <w:rFonts w:ascii="Arial" w:hAnsi="Arial" w:cs="Arial"/>
          <w:color w:val="000000"/>
          <w:sz w:val="19"/>
          <w:szCs w:val="19"/>
          <w:lang w:val="es-MX" w:eastAsia="es-ES_tradnl"/>
        </w:rPr>
      </w:pPr>
      <w:r w:rsidRPr="008C168F">
        <w:rPr>
          <w:rFonts w:ascii="Arial" w:hAnsi="Arial" w:cs="Arial"/>
          <w:color w:val="000000"/>
          <w:sz w:val="19"/>
          <w:szCs w:val="19"/>
          <w:lang w:val="es-MX" w:eastAsia="es-ES_tradnl"/>
        </w:rPr>
        <w:t xml:space="preserve"> </w:t>
      </w:r>
      <w:r w:rsidRPr="009C6D4D">
        <w:rPr>
          <w:rFonts w:ascii="Arial" w:hAnsi="Arial" w:cs="Arial"/>
          <w:color w:val="000000"/>
          <w:sz w:val="19"/>
          <w:szCs w:val="19"/>
          <w:lang w:val="es-MX"/>
        </w:rPr>
        <w:t>«</w:t>
      </w:r>
      <w:r w:rsidRPr="008C168F">
        <w:rPr>
          <w:rFonts w:ascii="Arial" w:hAnsi="Arial" w:cs="Arial"/>
          <w:color w:val="000000"/>
          <w:sz w:val="19"/>
          <w:szCs w:val="19"/>
          <w:lang w:val="es-MX" w:eastAsia="es-ES_tradnl"/>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0CCEAAF4" w14:textId="77777777" w:rsidR="00C442CF" w:rsidRPr="009C6D4D" w:rsidRDefault="00C442CF" w:rsidP="00C442CF">
      <w:pPr>
        <w:ind w:firstLine="709"/>
        <w:jc w:val="both"/>
        <w:textAlignment w:val="baseline"/>
        <w:rPr>
          <w:rFonts w:ascii="Arial" w:hAnsi="Arial" w:cs="Arial"/>
          <w:sz w:val="19"/>
          <w:szCs w:val="19"/>
          <w:lang w:val="es-CO" w:eastAsia="es-ES_tradnl"/>
        </w:rPr>
      </w:pPr>
    </w:p>
  </w:footnote>
  <w:footnote w:id="3">
    <w:p w14:paraId="6F810F08" w14:textId="77777777" w:rsidR="00C442CF" w:rsidRPr="009C6D4D" w:rsidRDefault="00C442CF" w:rsidP="00C442CF">
      <w:pPr>
        <w:ind w:firstLine="709"/>
        <w:jc w:val="both"/>
        <w:rPr>
          <w:rFonts w:ascii="Arial" w:hAnsi="Arial" w:cs="Arial"/>
          <w:color w:val="000000"/>
          <w:sz w:val="19"/>
          <w:szCs w:val="19"/>
          <w:shd w:val="clear" w:color="auto" w:fill="FFFFFF"/>
          <w:lang w:val="es-CO" w:eastAsia="es-ES_tradnl"/>
        </w:rPr>
      </w:pPr>
      <w:r w:rsidRPr="009C6D4D">
        <w:rPr>
          <w:rStyle w:val="Refdenotaalpie"/>
          <w:rFonts w:ascii="Arial" w:hAnsi="Arial" w:cs="Arial"/>
          <w:sz w:val="19"/>
          <w:szCs w:val="19"/>
        </w:rPr>
        <w:footnoteRef/>
      </w:r>
      <w:r w:rsidRPr="00F476C4">
        <w:rPr>
          <w:rFonts w:ascii="Arial" w:hAnsi="Arial" w:cs="Arial"/>
          <w:sz w:val="19"/>
          <w:szCs w:val="19"/>
          <w:lang w:val="es-CO"/>
        </w:rPr>
        <w:t xml:space="preserve"> </w:t>
      </w:r>
      <w:r w:rsidRPr="009C6D4D">
        <w:rPr>
          <w:rFonts w:ascii="Arial" w:hAnsi="Arial" w:cs="Arial"/>
          <w:color w:val="000000"/>
          <w:sz w:val="19"/>
          <w:szCs w:val="19"/>
          <w:shd w:val="clear" w:color="auto" w:fill="FFFFFF"/>
          <w:lang w:val="es-CO" w:eastAsia="es-ES_tradnl"/>
        </w:rPr>
        <w:t>En el concepto emitido el 5 de febrero de 2019, dentro del radicado No. 2201913000000663, se dijo: «[l]os convenios de asociación del artículo 5 son distintos a los contratos de colaboración del artículo 2 del Decreto 092 de 2017».</w:t>
      </w:r>
    </w:p>
    <w:p w14:paraId="452A8F2E" w14:textId="77777777" w:rsidR="00C442CF" w:rsidRPr="009C6D4D" w:rsidRDefault="00C442CF" w:rsidP="00C442CF">
      <w:pPr>
        <w:ind w:firstLine="709"/>
        <w:jc w:val="both"/>
        <w:rPr>
          <w:rFonts w:ascii="Arial" w:hAnsi="Arial" w:cs="Arial"/>
          <w:sz w:val="19"/>
          <w:szCs w:val="19"/>
          <w:lang w:val="es-CO" w:eastAsia="es-ES_tradnl"/>
        </w:rPr>
      </w:pPr>
    </w:p>
  </w:footnote>
  <w:footnote w:id="4">
    <w:p w14:paraId="0CC3B97F" w14:textId="77777777" w:rsidR="00C442CF" w:rsidRPr="009C6D4D" w:rsidRDefault="00C442CF" w:rsidP="00C442CF">
      <w:pPr>
        <w:ind w:firstLine="709"/>
        <w:rPr>
          <w:rFonts w:ascii="Arial" w:hAnsi="Arial" w:cs="Arial"/>
          <w:sz w:val="19"/>
          <w:szCs w:val="19"/>
          <w:lang w:val="es-CO" w:eastAsia="es-ES_tradnl"/>
        </w:rPr>
      </w:pPr>
      <w:r w:rsidRPr="009C6D4D">
        <w:rPr>
          <w:rStyle w:val="Refdenotaalpie"/>
          <w:rFonts w:ascii="Arial" w:hAnsi="Arial" w:cs="Arial"/>
          <w:sz w:val="19"/>
          <w:szCs w:val="19"/>
        </w:rPr>
        <w:footnoteRef/>
      </w:r>
      <w:r w:rsidRPr="00F476C4">
        <w:rPr>
          <w:rFonts w:ascii="Arial" w:hAnsi="Arial" w:cs="Arial"/>
          <w:sz w:val="19"/>
          <w:szCs w:val="19"/>
          <w:lang w:val="es-CO"/>
        </w:rPr>
        <w:t xml:space="preserve"> </w:t>
      </w:r>
      <w:r w:rsidRPr="009C6D4D">
        <w:rPr>
          <w:rFonts w:ascii="Arial" w:hAnsi="Arial" w:cs="Arial"/>
          <w:color w:val="000000"/>
          <w:sz w:val="19"/>
          <w:szCs w:val="19"/>
          <w:shd w:val="clear" w:color="auto" w:fill="FFFFFF"/>
          <w:lang w:val="es-CO" w:eastAsia="es-ES_tradnl"/>
        </w:rPr>
        <w:t>Concepto del 3 de septiembre de 2019, emitido en el radicado No. 2201913000006512.</w:t>
      </w:r>
    </w:p>
  </w:footnote>
  <w:footnote w:id="5">
    <w:p w14:paraId="4BAFF230" w14:textId="77777777" w:rsidR="00C442CF" w:rsidRPr="008C168F" w:rsidRDefault="00C442CF" w:rsidP="00C442CF">
      <w:pPr>
        <w:ind w:firstLine="709"/>
        <w:rPr>
          <w:lang w:val="es-ES"/>
        </w:rPr>
      </w:pPr>
      <w:r w:rsidRPr="009C6D4D">
        <w:rPr>
          <w:rStyle w:val="Refdenotaalpie"/>
          <w:rFonts w:ascii="Arial" w:hAnsi="Arial" w:cs="Arial"/>
          <w:sz w:val="19"/>
          <w:szCs w:val="19"/>
        </w:rPr>
        <w:footnoteRef/>
      </w:r>
      <w:r w:rsidRPr="00F476C4">
        <w:rPr>
          <w:rFonts w:ascii="Arial" w:hAnsi="Arial" w:cs="Arial"/>
          <w:sz w:val="19"/>
          <w:szCs w:val="19"/>
          <w:lang w:val="es-CO"/>
        </w:rPr>
        <w:t xml:space="preserve"> </w:t>
      </w:r>
      <w:r w:rsidRPr="009C6D4D">
        <w:rPr>
          <w:rFonts w:ascii="Arial" w:hAnsi="Arial" w:cs="Arial"/>
          <w:color w:val="000000"/>
          <w:sz w:val="19"/>
          <w:szCs w:val="19"/>
          <w:shd w:val="clear" w:color="auto" w:fill="FFFFFF"/>
          <w:lang w:val="es-CO" w:eastAsia="es-ES_tradnl"/>
        </w:rPr>
        <w:t>Concepto del 19 de noviembre de 2019, emitido en el radicado No. 2201913000008611.</w:t>
      </w:r>
    </w:p>
  </w:footnote>
  <w:footnote w:id="6">
    <w:p w14:paraId="37EAE5FE" w14:textId="77777777" w:rsidR="00C442CF" w:rsidRPr="008C168F" w:rsidRDefault="00C442CF" w:rsidP="00C442CF">
      <w:pPr>
        <w:ind w:firstLine="709"/>
        <w:contextualSpacing/>
        <w:jc w:val="both"/>
        <w:rPr>
          <w:rFonts w:ascii="Arial" w:hAnsi="Arial" w:cs="Arial"/>
          <w:color w:val="000000" w:themeColor="text1"/>
          <w:sz w:val="18"/>
          <w:szCs w:val="18"/>
          <w:lang w:val="es-CO" w:eastAsia="es-ES_tradnl"/>
        </w:rPr>
      </w:pPr>
      <w:r w:rsidRPr="009C6D4D">
        <w:rPr>
          <w:rStyle w:val="Refdenotaalpie"/>
          <w:rFonts w:ascii="Arial" w:hAnsi="Arial" w:cs="Arial"/>
          <w:sz w:val="18"/>
          <w:szCs w:val="18"/>
        </w:rPr>
        <w:footnoteRef/>
      </w:r>
      <w:r w:rsidRPr="00F476C4">
        <w:rPr>
          <w:rFonts w:ascii="Arial" w:hAnsi="Arial" w:cs="Arial"/>
          <w:sz w:val="18"/>
          <w:szCs w:val="18"/>
          <w:lang w:val="es-CO"/>
        </w:rPr>
        <w:t xml:space="preserve"> </w:t>
      </w:r>
      <w:r>
        <w:rPr>
          <w:rFonts w:ascii="Arial" w:hAnsi="Arial" w:cs="Arial"/>
          <w:sz w:val="18"/>
          <w:szCs w:val="18"/>
          <w:lang w:val="es-CO"/>
        </w:rPr>
        <w:t>«</w:t>
      </w:r>
      <w:r w:rsidRPr="008C168F">
        <w:rPr>
          <w:rFonts w:ascii="Arial" w:hAnsi="Arial" w:cs="Arial"/>
          <w:color w:val="000000" w:themeColor="text1"/>
          <w:sz w:val="18"/>
          <w:szCs w:val="18"/>
          <w:lang w:val="es-CO" w:eastAsia="es-ES_tradnl"/>
        </w:rPr>
        <w:t xml:space="preserve">Las estipulaciones de los contratos serán las </w:t>
      </w:r>
      <w:proofErr w:type="gramStart"/>
      <w:r w:rsidRPr="008C168F">
        <w:rPr>
          <w:rFonts w:ascii="Arial" w:hAnsi="Arial" w:cs="Arial"/>
          <w:color w:val="000000" w:themeColor="text1"/>
          <w:sz w:val="18"/>
          <w:szCs w:val="18"/>
          <w:lang w:val="es-CO" w:eastAsia="es-ES_tradnl"/>
        </w:rPr>
        <w:t>que</w:t>
      </w:r>
      <w:proofErr w:type="gramEnd"/>
      <w:r w:rsidRPr="008C168F">
        <w:rPr>
          <w:rFonts w:ascii="Arial" w:hAnsi="Arial" w:cs="Arial"/>
          <w:color w:val="000000" w:themeColor="text1"/>
          <w:sz w:val="18"/>
          <w:szCs w:val="18"/>
          <w:lang w:val="es-CO" w:eastAsia="es-ES_tradnl"/>
        </w:rPr>
        <w:t xml:space="preserve"> de acuerdo con las normas civiles, comerciales y las previstas en esta ley, correspondan a su esencia y naturaleza. </w:t>
      </w:r>
    </w:p>
    <w:p w14:paraId="498610D9" w14:textId="77777777" w:rsidR="00C442CF" w:rsidRPr="008C168F" w:rsidRDefault="00C442CF" w:rsidP="00C442CF">
      <w:pPr>
        <w:ind w:firstLine="709"/>
        <w:contextualSpacing/>
        <w:jc w:val="both"/>
        <w:rPr>
          <w:rFonts w:ascii="Arial" w:hAnsi="Arial" w:cs="Arial"/>
          <w:color w:val="000000" w:themeColor="text1"/>
          <w:sz w:val="18"/>
          <w:szCs w:val="18"/>
          <w:lang w:val="es-CO" w:eastAsia="es-ES_tradnl"/>
        </w:rPr>
      </w:pPr>
      <w:r>
        <w:rPr>
          <w:rFonts w:ascii="Arial" w:hAnsi="Arial" w:cs="Arial"/>
          <w:sz w:val="18"/>
          <w:szCs w:val="18"/>
          <w:lang w:val="es-CO"/>
        </w:rPr>
        <w:t>«</w:t>
      </w:r>
      <w:r w:rsidRPr="008C168F">
        <w:rPr>
          <w:rFonts w:ascii="Arial" w:hAnsi="Arial" w:cs="Arial"/>
          <w:color w:val="000000" w:themeColor="text1"/>
          <w:sz w:val="18"/>
          <w:szCs w:val="18"/>
          <w:lang w:val="es-CO" w:eastAsia="es-ES_tradnl"/>
        </w:rPr>
        <w:t>Las entidades podrán celebrar los contratos y acuerdos que permitan la autonomía de la voluntad y requieran el cumplimiento de los fines estatales. </w:t>
      </w:r>
    </w:p>
    <w:p w14:paraId="37412AED" w14:textId="77777777" w:rsidR="00C442CF" w:rsidRPr="009C6D4D" w:rsidRDefault="00C442CF" w:rsidP="00C442CF">
      <w:pPr>
        <w:ind w:firstLine="709"/>
        <w:contextualSpacing/>
        <w:jc w:val="both"/>
        <w:rPr>
          <w:lang w:val="es-ES"/>
        </w:rPr>
      </w:pPr>
      <w:r>
        <w:rPr>
          <w:rFonts w:ascii="Arial" w:hAnsi="Arial" w:cs="Arial"/>
          <w:sz w:val="18"/>
          <w:szCs w:val="18"/>
          <w:lang w:val="es-CO"/>
        </w:rPr>
        <w:t>«</w:t>
      </w:r>
      <w:r w:rsidRPr="008C168F">
        <w:rPr>
          <w:rFonts w:ascii="Arial" w:hAnsi="Arial" w:cs="Arial"/>
          <w:color w:val="000000" w:themeColor="text1"/>
          <w:sz w:val="18"/>
          <w:szCs w:val="18"/>
          <w:lang w:val="es-CO" w:eastAsia="es-ES_tradnl"/>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Pr>
          <w:rFonts w:ascii="Arial" w:hAnsi="Arial" w:cs="Arial"/>
          <w:color w:val="000000" w:themeColor="text1"/>
          <w:sz w:val="18"/>
          <w:szCs w:val="18"/>
          <w:lang w:val="es-CO" w:eastAsia="es-ES_tradnl"/>
        </w:rPr>
        <w:t xml:space="preserve"> [</w:t>
      </w:r>
      <w:r w:rsidRPr="009C6D4D">
        <w:rPr>
          <w:rFonts w:ascii="Arial" w:hAnsi="Arial" w:cs="Arial"/>
          <w:color w:val="000000" w:themeColor="text1"/>
          <w:sz w:val="18"/>
          <w:szCs w:val="18"/>
          <w:lang w:val="es-CO" w:eastAsia="es-ES_tradnl"/>
        </w:rPr>
        <w:t>…</w:t>
      </w:r>
      <w:r>
        <w:rPr>
          <w:rFonts w:ascii="Arial" w:hAnsi="Arial" w:cs="Arial"/>
          <w:color w:val="000000" w:themeColor="text1"/>
          <w:sz w:val="18"/>
          <w:szCs w:val="18"/>
          <w:lang w:val="es-CO" w:eastAsia="es-ES_tradnl"/>
        </w:rPr>
        <w:t>]»</w:t>
      </w:r>
      <w:r w:rsidRPr="009C6D4D">
        <w:rPr>
          <w:rFonts w:ascii="Arial" w:hAnsi="Arial" w:cs="Arial"/>
          <w:color w:val="000000" w:themeColor="text1"/>
          <w:sz w:val="18"/>
          <w:szCs w:val="18"/>
          <w:lang w:val="es-CO" w:eastAsia="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8949F" w14:textId="77777777" w:rsidR="008F0A80" w:rsidRDefault="00C442CF">
    <w:pPr>
      <w:pStyle w:val="Encabezado"/>
    </w:pPr>
    <w:r>
      <w:rPr>
        <w:noProof/>
        <w:lang w:val="es-CO" w:eastAsia="es-CO"/>
      </w:rPr>
      <w:drawing>
        <wp:anchor distT="0" distB="0" distL="114300" distR="114300" simplePos="0" relativeHeight="251659264" behindDoc="1" locked="0" layoutInCell="1" allowOverlap="1" wp14:anchorId="62DFDF39" wp14:editId="4183751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3F77"/>
    <w:multiLevelType w:val="multilevel"/>
    <w:tmpl w:val="345E50D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CF"/>
    <w:rsid w:val="00C442CF"/>
    <w:rsid w:val="00E87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422E"/>
  <w15:chartTrackingRefBased/>
  <w15:docId w15:val="{24CA61A0-0571-4716-ADFE-31F2A786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CF"/>
    <w:pPr>
      <w:spacing w:after="0" w:line="240" w:lineRule="auto"/>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442CF"/>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C442CF"/>
    <w:rPr>
      <w:sz w:val="24"/>
      <w:lang w:val="es-MX"/>
    </w:rPr>
  </w:style>
  <w:style w:type="paragraph" w:styleId="Encabezado">
    <w:name w:val="header"/>
    <w:basedOn w:val="Normal"/>
    <w:link w:val="EncabezadoCar"/>
    <w:uiPriority w:val="99"/>
    <w:unhideWhenUsed/>
    <w:rsid w:val="00C442CF"/>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C442CF"/>
    <w:rPr>
      <w:sz w:val="24"/>
      <w:lang w:val="es-MX"/>
    </w:rPr>
  </w:style>
  <w:style w:type="table" w:styleId="Tablaconcuadrcula">
    <w:name w:val="Table Grid"/>
    <w:basedOn w:val="Tablanormal"/>
    <w:uiPriority w:val="39"/>
    <w:rsid w:val="00C442CF"/>
    <w:pPr>
      <w:spacing w:before="120"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C442CF"/>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442CF"/>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C442CF"/>
    <w:rPr>
      <w:vertAlign w:val="superscript"/>
    </w:rPr>
  </w:style>
  <w:style w:type="paragraph" w:customStyle="1" w:styleId="Appelnotedebasde">
    <w:name w:val="Appel note de bas de..."/>
    <w:basedOn w:val="Normal"/>
    <w:link w:val="Refdenotaalpie"/>
    <w:uiPriority w:val="99"/>
    <w:rsid w:val="00C442CF"/>
    <w:pPr>
      <w:spacing w:after="160" w:line="240" w:lineRule="exact"/>
    </w:pPr>
    <w:rPr>
      <w:rFonts w:asciiTheme="minorHAnsi" w:eastAsiaTheme="minorHAnsi" w:hAnsiTheme="minorHAnsi" w:cstheme="minorBidi"/>
      <w:sz w:val="22"/>
      <w:szCs w:val="22"/>
      <w:vertAlign w:val="superscript"/>
      <w:lang w:val="es-ES" w:eastAsia="en-US"/>
    </w:rPr>
  </w:style>
  <w:style w:type="paragraph" w:customStyle="1" w:styleId="paragraph">
    <w:name w:val="paragraph"/>
    <w:basedOn w:val="Normal"/>
    <w:rsid w:val="00C442CF"/>
    <w:pPr>
      <w:spacing w:before="100" w:beforeAutospacing="1" w:after="100" w:afterAutospacing="1"/>
    </w:pPr>
    <w:rPr>
      <w:lang w:val="es-CO" w:eastAsia="es-ES_tradnl"/>
    </w:rPr>
  </w:style>
  <w:style w:type="character" w:customStyle="1" w:styleId="normaltextrun">
    <w:name w:val="normaltextrun"/>
    <w:basedOn w:val="Fuentedeprrafopredeter"/>
    <w:rsid w:val="00C442CF"/>
  </w:style>
  <w:style w:type="character" w:customStyle="1" w:styleId="apple-converted-space">
    <w:name w:val="apple-converted-space"/>
    <w:basedOn w:val="Fuentedeprrafopredeter"/>
    <w:rsid w:val="00C442CF"/>
  </w:style>
  <w:style w:type="character" w:customStyle="1" w:styleId="eop">
    <w:name w:val="eop"/>
    <w:basedOn w:val="Fuentedeprrafopredeter"/>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5054FD2-541F-494B-BFCD-EA269B9599EC}"/>
</file>

<file path=customXml/itemProps2.xml><?xml version="1.0" encoding="utf-8"?>
<ds:datastoreItem xmlns:ds="http://schemas.openxmlformats.org/officeDocument/2006/customXml" ds:itemID="{B8D1D39C-2C3B-45AE-93B6-D73C2F0EF670}"/>
</file>

<file path=customXml/itemProps3.xml><?xml version="1.0" encoding="utf-8"?>
<ds:datastoreItem xmlns:ds="http://schemas.openxmlformats.org/officeDocument/2006/customXml" ds:itemID="{10C66F69-B3D8-43FF-A01D-64A46CE37834}"/>
</file>

<file path=docProps/app.xml><?xml version="1.0" encoding="utf-8"?>
<Properties xmlns="http://schemas.openxmlformats.org/officeDocument/2006/extended-properties" xmlns:vt="http://schemas.openxmlformats.org/officeDocument/2006/docPropsVTypes">
  <Template>Normal</Template>
  <TotalTime>1</TotalTime>
  <Pages>9</Pages>
  <Words>3210</Words>
  <Characters>17661</Characters>
  <Application>Microsoft Office Word</Application>
  <DocSecurity>0</DocSecurity>
  <Lines>147</Lines>
  <Paragraphs>41</Paragraphs>
  <ScaleCrop>false</ScaleCrop>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Perdomo Villamil</dc:creator>
  <cp:keywords/>
  <dc:description/>
  <cp:lastModifiedBy>Camilo Perdomo Villamil</cp:lastModifiedBy>
  <cp:revision>1</cp:revision>
  <dcterms:created xsi:type="dcterms:W3CDTF">2020-12-24T14:30:00Z</dcterms:created>
  <dcterms:modified xsi:type="dcterms:W3CDTF">2020-12-24T14:31:00Z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