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04C61" w:rsidR="00DD5B04" w:rsidP="00AA7A60" w:rsidRDefault="00B55C69" w14:paraId="40EA575F" w14:textId="28E910D2">
      <w:pPr>
        <w:jc w:val="right"/>
        <w:rPr>
          <w:rFonts w:ascii="Arial" w:hAnsi="Arial" w:eastAsia="Calibri" w:cs="Arial"/>
          <w:b/>
          <w:color w:val="000000" w:themeColor="text1"/>
          <w:sz w:val="20"/>
          <w:szCs w:val="20"/>
          <w:lang w:val="es-ES_tradnl"/>
        </w:rPr>
      </w:pPr>
      <w:bookmarkStart w:name="_Hlk28946138" w:id="0"/>
      <w:bookmarkStart w:name="_Hlk29548183" w:id="1"/>
      <w:r w:rsidRPr="00404C61">
        <w:rPr>
          <w:rFonts w:ascii="Arial" w:hAnsi="Arial" w:cs="Arial"/>
          <w:bCs/>
          <w:color w:val="000000" w:themeColor="text1"/>
          <w:sz w:val="16"/>
          <w:szCs w:val="16"/>
          <w:lang w:val="es-ES_tradnl" w:eastAsia="es-ES"/>
        </w:rPr>
        <w:t>CCE-DES-FM-17</w:t>
      </w:r>
    </w:p>
    <w:bookmarkEnd w:id="0"/>
    <w:bookmarkEnd w:id="1"/>
    <w:p w:rsidRPr="00404C61" w:rsidR="00F02D25" w:rsidP="00E548C3" w:rsidRDefault="00F02D25" w14:paraId="1BED658F" w14:textId="77777777">
      <w:pPr>
        <w:jc w:val="both"/>
        <w:rPr>
          <w:rFonts w:ascii="Arial" w:hAnsi="Arial" w:eastAsia="Calibri" w:cs="Arial"/>
          <w:b/>
          <w:bCs/>
          <w:color w:val="000000" w:themeColor="text1"/>
          <w:sz w:val="22"/>
          <w:lang w:val="es-ES_tradnl"/>
        </w:rPr>
      </w:pPr>
    </w:p>
    <w:p w:rsidRPr="0033016F" w:rsidR="00B95C30" w:rsidP="00B95C30" w:rsidRDefault="00A97C93" w14:paraId="208B97B7" w14:textId="3930BD51">
      <w:pPr>
        <w:jc w:val="both"/>
        <w:rPr>
          <w:rFonts w:ascii="Arial" w:hAnsi="Arial" w:eastAsia="Calibri" w:cs="Arial"/>
          <w:b/>
          <w:sz w:val="22"/>
          <w:lang w:val="es-ES_tradnl"/>
        </w:rPr>
      </w:pPr>
      <w:r>
        <w:rPr>
          <w:rFonts w:ascii="Arial" w:hAnsi="Arial" w:eastAsia="Calibri" w:cs="Arial"/>
          <w:b/>
          <w:sz w:val="22"/>
          <w:lang w:val="es-ES_tradnl"/>
        </w:rPr>
        <w:t>CONTRATO INTERADMINISTRATIVO</w:t>
      </w:r>
      <w:r w:rsidR="00B95C30">
        <w:rPr>
          <w:rFonts w:ascii="Arial" w:hAnsi="Arial" w:eastAsia="Calibri" w:cs="Arial"/>
          <w:b/>
          <w:sz w:val="22"/>
          <w:lang w:val="es-ES_tradnl"/>
        </w:rPr>
        <w:t xml:space="preserve"> </w:t>
      </w:r>
      <w:bookmarkStart w:name="_Hlk39666823" w:id="2"/>
      <w:r w:rsidRPr="006C15D5" w:rsidR="00B95C30">
        <w:rPr>
          <w:rFonts w:ascii="Arial" w:hAnsi="Arial" w:eastAsia="Calibri" w:cs="Arial"/>
          <w:b/>
          <w:color w:val="000000" w:themeColor="text1"/>
          <w:sz w:val="22"/>
        </w:rPr>
        <w:t>–</w:t>
      </w:r>
      <w:bookmarkEnd w:id="2"/>
      <w:r w:rsidR="00B95C30">
        <w:rPr>
          <w:rFonts w:ascii="Arial" w:hAnsi="Arial" w:eastAsia="Calibri" w:cs="Arial"/>
          <w:b/>
          <w:sz w:val="22"/>
          <w:lang w:val="es-ES_tradnl"/>
        </w:rPr>
        <w:t xml:space="preserve"> </w:t>
      </w:r>
      <w:r>
        <w:rPr>
          <w:rFonts w:ascii="Arial" w:hAnsi="Arial" w:eastAsia="Calibri" w:cs="Arial"/>
          <w:b/>
          <w:sz w:val="22"/>
          <w:lang w:val="es-ES_tradnl"/>
        </w:rPr>
        <w:t xml:space="preserve">Concepto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Régimen</w:t>
      </w:r>
      <w:r w:rsidR="00B95C30">
        <w:rPr>
          <w:rFonts w:ascii="Arial" w:hAnsi="Arial" w:eastAsia="Calibri" w:cs="Arial"/>
          <w:b/>
          <w:sz w:val="22"/>
          <w:lang w:val="es-ES_tradnl"/>
        </w:rPr>
        <w:t xml:space="preserve"> </w:t>
      </w:r>
    </w:p>
    <w:p w:rsidRPr="0033016F" w:rsidR="00B95C30" w:rsidP="00B95C30" w:rsidRDefault="00B95C30" w14:paraId="26480898" w14:textId="77777777">
      <w:pPr>
        <w:jc w:val="both"/>
        <w:rPr>
          <w:rFonts w:ascii="Arial" w:hAnsi="Arial" w:eastAsia="Calibri" w:cs="Arial"/>
          <w:sz w:val="20"/>
          <w:szCs w:val="20"/>
          <w:lang w:val="es-ES_tradnl"/>
        </w:rPr>
      </w:pPr>
    </w:p>
    <w:p w:rsidRPr="009F7F32" w:rsidR="009F7F32" w:rsidP="009F7F32" w:rsidRDefault="009F7F32" w14:paraId="02C16286" w14:textId="5A9E7606">
      <w:pPr>
        <w:jc w:val="both"/>
        <w:rPr>
          <w:rFonts w:ascii="Arial" w:hAnsi="Arial" w:eastAsia="Calibri" w:cs="Arial"/>
          <w:sz w:val="20"/>
          <w:szCs w:val="20"/>
          <w:lang w:val="es-ES_tradnl"/>
        </w:rPr>
      </w:pPr>
      <w:r>
        <w:rPr>
          <w:rFonts w:ascii="Arial" w:hAnsi="Arial" w:eastAsia="Calibri" w:cs="Arial"/>
          <w:sz w:val="20"/>
          <w:szCs w:val="20"/>
          <w:lang w:val="es-ES_tradnl"/>
        </w:rPr>
        <w:t>[…]</w:t>
      </w:r>
      <w:r w:rsidRPr="009F7F32">
        <w:rPr>
          <w:rFonts w:ascii="Arial" w:hAnsi="Arial" w:eastAsia="Calibri" w:cs="Arial"/>
          <w:sz w:val="20"/>
          <w:szCs w:val="20"/>
          <w:lang w:val="es-ES_tradnl"/>
        </w:rPr>
        <w:t>, el contrato o convenio interadministrativo es el acuerdo donde concurre la voluntad de dos o más entidades de naturaleza jurídica pública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009F7F32" w:rsidP="009F7F32" w:rsidRDefault="009F7F32" w14:paraId="1715EDCC" w14:textId="77777777">
      <w:pPr>
        <w:jc w:val="both"/>
        <w:rPr>
          <w:rFonts w:ascii="Arial" w:hAnsi="Arial" w:eastAsia="Calibri" w:cs="Arial"/>
          <w:sz w:val="20"/>
          <w:szCs w:val="20"/>
          <w:lang w:val="es-ES_tradnl"/>
        </w:rPr>
      </w:pPr>
    </w:p>
    <w:p w:rsidR="00B95C30" w:rsidP="009F7F32" w:rsidRDefault="009F7F32" w14:paraId="7479C056" w14:textId="7938E77F">
      <w:pPr>
        <w:jc w:val="both"/>
        <w:rPr>
          <w:rFonts w:ascii="Arial" w:hAnsi="Arial" w:eastAsia="Calibri" w:cs="Arial"/>
          <w:sz w:val="20"/>
          <w:szCs w:val="20"/>
          <w:lang w:val="es-ES_tradnl"/>
        </w:rPr>
      </w:pPr>
      <w:r w:rsidRPr="009F7F32">
        <w:rPr>
          <w:rFonts w:ascii="Arial" w:hAnsi="Arial" w:eastAsia="Calibri" w:cs="Arial"/>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En efecto, bien puede una entidad estatal sometida a la Ley 80 de 1993 celebrar esta clase de convenios con una entidad estatal de régimen especial y no por ello dejará de ser un contrato o convenio interadministrativo. En este caso, su ejecución  estará sometida a la Ley 80 de 1993.</w:t>
      </w:r>
    </w:p>
    <w:p w:rsidR="009F7F32" w:rsidP="009F7F32" w:rsidRDefault="009F7F32" w14:paraId="4338E869" w14:textId="2BC66F38">
      <w:pPr>
        <w:spacing w:line="276" w:lineRule="auto"/>
        <w:jc w:val="both"/>
        <w:rPr>
          <w:rFonts w:ascii="Arial" w:hAnsi="Arial" w:cs="Arial"/>
          <w:noProof/>
          <w:color w:val="000000" w:themeColor="text1"/>
          <w:sz w:val="22"/>
        </w:rPr>
      </w:pPr>
    </w:p>
    <w:p w:rsidRPr="0033016F" w:rsidR="00840E88" w:rsidP="00840E88" w:rsidRDefault="00840E88" w14:paraId="490486A4" w14:textId="46C641F4">
      <w:pPr>
        <w:jc w:val="both"/>
        <w:rPr>
          <w:rFonts w:ascii="Arial" w:hAnsi="Arial" w:eastAsia="Calibri" w:cs="Arial"/>
          <w:b/>
          <w:sz w:val="22"/>
          <w:lang w:val="es-ES_tradnl"/>
        </w:rPr>
      </w:pPr>
      <w:r>
        <w:rPr>
          <w:rFonts w:ascii="Arial" w:hAnsi="Arial" w:eastAsia="Calibri" w:cs="Arial"/>
          <w:b/>
          <w:sz w:val="22"/>
          <w:lang w:val="es-ES_tradnl"/>
        </w:rPr>
        <w:t xml:space="preserve">CONTRATACIÓN DIRECTA </w:t>
      </w:r>
      <w:r w:rsidRPr="006C15D5">
        <w:rPr>
          <w:rFonts w:ascii="Arial" w:hAnsi="Arial" w:eastAsia="Calibri" w:cs="Arial"/>
          <w:b/>
          <w:color w:val="000000" w:themeColor="text1"/>
          <w:sz w:val="22"/>
        </w:rPr>
        <w:t>–</w:t>
      </w:r>
      <w:r>
        <w:rPr>
          <w:rFonts w:ascii="Arial" w:hAnsi="Arial" w:eastAsia="Calibri" w:cs="Arial"/>
          <w:b/>
          <w:sz w:val="22"/>
          <w:lang w:val="es-ES_tradnl"/>
        </w:rPr>
        <w:t xml:space="preserve"> Modalidad contractual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Contrato interadministrativo</w:t>
      </w:r>
      <w:r>
        <w:rPr>
          <w:rFonts w:ascii="Arial" w:hAnsi="Arial" w:eastAsia="Calibri" w:cs="Arial"/>
          <w:b/>
          <w:sz w:val="22"/>
          <w:lang w:val="es-ES_tradnl"/>
        </w:rPr>
        <w:t xml:space="preserve"> </w:t>
      </w:r>
    </w:p>
    <w:p w:rsidR="00840E88" w:rsidP="009F7F32" w:rsidRDefault="00840E88" w14:paraId="7EF27D78" w14:textId="77777777">
      <w:pPr>
        <w:spacing w:line="276" w:lineRule="auto"/>
        <w:jc w:val="both"/>
        <w:rPr>
          <w:rFonts w:ascii="Arial" w:hAnsi="Arial" w:cs="Arial"/>
          <w:noProof/>
          <w:color w:val="000000" w:themeColor="text1"/>
          <w:sz w:val="22"/>
          <w:lang w:val="es-ES_tradnl"/>
        </w:rPr>
      </w:pPr>
    </w:p>
    <w:p w:rsidRPr="00840E88" w:rsidR="00840E88" w:rsidP="00840E88" w:rsidRDefault="00840E88" w14:paraId="76A592FA" w14:textId="37C471E9">
      <w:pPr>
        <w:jc w:val="both"/>
        <w:rPr>
          <w:rFonts w:ascii="Arial" w:hAnsi="Arial" w:eastAsia="Calibri" w:cs="Arial"/>
          <w:sz w:val="20"/>
          <w:szCs w:val="20"/>
          <w:lang w:val="es-ES_tradnl"/>
        </w:rPr>
      </w:pPr>
      <w:r w:rsidRPr="00840E88">
        <w:rPr>
          <w:rFonts w:ascii="Arial" w:hAnsi="Arial" w:eastAsia="Calibri" w:cs="Arial"/>
          <w:sz w:val="20"/>
          <w:szCs w:val="20"/>
          <w:lang w:val="es-ES_tradnl"/>
        </w:rPr>
        <w:t>El Estatuto General de Contratación de la Administración Pública establece en principio la contratación directa como la modalidad de selección aplicable para la celebración de los contratos interadministrativos. Se trata de un procedimiento contractual de aplicación restrictiva, esto es, solo procede por las causales señaladas taxativamente en el numeral 4 del artículo 2 de la Ley 1150 de 2007, ya que es una excepción al principio de libre concurrencia y libre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rsidR="00840E88" w:rsidP="009F7F32" w:rsidRDefault="00840E88" w14:paraId="0652C14E" w14:textId="60081BFE">
      <w:pPr>
        <w:spacing w:line="276" w:lineRule="auto"/>
        <w:jc w:val="both"/>
        <w:rPr>
          <w:rFonts w:ascii="Arial" w:hAnsi="Arial" w:cs="Arial"/>
          <w:noProof/>
          <w:color w:val="000000" w:themeColor="text1"/>
          <w:sz w:val="22"/>
        </w:rPr>
      </w:pPr>
    </w:p>
    <w:p w:rsidRPr="0033016F" w:rsidR="00840E88" w:rsidP="00840E88" w:rsidRDefault="00840E88" w14:paraId="129B3F15" w14:textId="06D5BEAB">
      <w:pPr>
        <w:jc w:val="both"/>
        <w:rPr>
          <w:rFonts w:ascii="Arial" w:hAnsi="Arial" w:eastAsia="Calibri" w:cs="Arial"/>
          <w:b/>
          <w:sz w:val="22"/>
          <w:lang w:val="es-ES_tradnl"/>
        </w:rPr>
      </w:pPr>
      <w:r>
        <w:rPr>
          <w:rFonts w:ascii="Arial" w:hAnsi="Arial" w:eastAsia="Calibri" w:cs="Arial"/>
          <w:b/>
          <w:sz w:val="22"/>
          <w:lang w:val="es-ES_tradnl"/>
        </w:rPr>
        <w:t xml:space="preserve">ADICIÓN EN VALOR </w:t>
      </w:r>
      <w:r w:rsidRPr="006C15D5">
        <w:rPr>
          <w:rFonts w:ascii="Arial" w:hAnsi="Arial" w:eastAsia="Calibri" w:cs="Arial"/>
          <w:b/>
          <w:color w:val="000000" w:themeColor="text1"/>
          <w:sz w:val="22"/>
        </w:rPr>
        <w:t>–</w:t>
      </w:r>
      <w:r>
        <w:rPr>
          <w:rFonts w:ascii="Arial" w:hAnsi="Arial" w:eastAsia="Calibri" w:cs="Arial"/>
          <w:b/>
          <w:sz w:val="22"/>
          <w:lang w:val="es-ES_tradnl"/>
        </w:rPr>
        <w:t xml:space="preserve"> Límite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50% </w:t>
      </w:r>
      <w:r>
        <w:rPr>
          <w:rFonts w:ascii="Arial" w:hAnsi="Arial" w:eastAsia="Calibri" w:cs="Arial"/>
          <w:b/>
          <w:sz w:val="22"/>
          <w:lang w:val="es-ES_tradnl"/>
        </w:rPr>
        <w:t xml:space="preserve"> </w:t>
      </w:r>
    </w:p>
    <w:p w:rsidR="00840E88" w:rsidP="00840E88" w:rsidRDefault="00840E88" w14:paraId="68CFB788" w14:textId="77777777">
      <w:pPr>
        <w:spacing w:line="276" w:lineRule="auto"/>
        <w:jc w:val="both"/>
        <w:rPr>
          <w:rFonts w:ascii="Arial" w:hAnsi="Arial" w:cs="Arial"/>
          <w:noProof/>
          <w:color w:val="000000" w:themeColor="text1"/>
          <w:sz w:val="22"/>
          <w:lang w:val="es-ES_tradnl"/>
        </w:rPr>
      </w:pPr>
    </w:p>
    <w:p w:rsidRPr="00840E88" w:rsidR="00840E88" w:rsidP="00840E88" w:rsidRDefault="00840E88" w14:paraId="45551F09" w14:textId="5BE69043">
      <w:pPr>
        <w:jc w:val="both"/>
        <w:rPr>
          <w:rFonts w:ascii="Arial" w:hAnsi="Arial" w:eastAsia="Calibri" w:cs="Arial"/>
          <w:sz w:val="20"/>
          <w:szCs w:val="20"/>
          <w:lang w:val="es-ES_tradnl"/>
        </w:rPr>
      </w:pPr>
      <w:r>
        <w:rPr>
          <w:rFonts w:ascii="Arial" w:hAnsi="Arial" w:eastAsia="Calibri" w:cs="Arial"/>
          <w:sz w:val="20"/>
          <w:szCs w:val="20"/>
          <w:lang w:val="es-ES_tradnl"/>
        </w:rPr>
        <w:t>[…]</w:t>
      </w:r>
      <w:r w:rsidR="00152EDD">
        <w:rPr>
          <w:rFonts w:ascii="Arial" w:hAnsi="Arial" w:eastAsia="Calibri" w:cs="Arial"/>
          <w:sz w:val="20"/>
          <w:szCs w:val="20"/>
          <w:lang w:val="es-ES_tradnl"/>
        </w:rPr>
        <w:t xml:space="preserve"> </w:t>
      </w:r>
      <w:r w:rsidRPr="00840E88">
        <w:rPr>
          <w:rFonts w:ascii="Arial" w:hAnsi="Arial" w:eastAsia="Calibri" w:cs="Arial"/>
          <w:sz w:val="20"/>
          <w:szCs w:val="20"/>
          <w:lang w:val="es-ES_tradnl"/>
        </w:rPr>
        <w:t xml:space="preserve">frente a cualquier incremento del valor inicial del contrato, que es lo que implica una adición, </w:t>
      </w:r>
      <w:r w:rsidR="00441291">
        <w:rPr>
          <w:rFonts w:ascii="Arial" w:hAnsi="Arial" w:eastAsia="Calibri" w:cs="Arial"/>
          <w:sz w:val="20"/>
          <w:szCs w:val="20"/>
          <w:lang w:val="es-ES_tradnl"/>
        </w:rPr>
        <w:t>[…]</w:t>
      </w:r>
      <w:r w:rsidRPr="00840E88">
        <w:rPr>
          <w:rFonts w:ascii="Arial" w:hAnsi="Arial" w:eastAsia="Calibri" w:cs="Arial"/>
          <w:sz w:val="20"/>
          <w:szCs w:val="20"/>
          <w:lang w:val="es-ES_tradnl"/>
        </w:rPr>
        <w:t>,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rsidR="00840E88" w:rsidP="00840E88" w:rsidRDefault="00840E88" w14:paraId="062CDB8D" w14:textId="77777777">
      <w:pPr>
        <w:jc w:val="both"/>
        <w:rPr>
          <w:rFonts w:ascii="Arial" w:hAnsi="Arial" w:eastAsia="Calibri" w:cs="Arial"/>
          <w:sz w:val="20"/>
          <w:szCs w:val="20"/>
          <w:lang w:val="es-ES_tradnl"/>
        </w:rPr>
      </w:pPr>
    </w:p>
    <w:p w:rsidR="00840E88" w:rsidP="00840E88" w:rsidRDefault="00840E88" w14:paraId="3226B930" w14:textId="6525B872">
      <w:pPr>
        <w:jc w:val="both"/>
        <w:rPr>
          <w:rFonts w:ascii="Arial" w:hAnsi="Arial" w:eastAsia="Calibri" w:cs="Arial"/>
          <w:sz w:val="20"/>
          <w:szCs w:val="20"/>
          <w:lang w:val="es-ES_tradnl"/>
        </w:rPr>
      </w:pPr>
      <w:r w:rsidRPr="00840E88">
        <w:rPr>
          <w:rFonts w:ascii="Arial" w:hAnsi="Arial" w:eastAsia="Calibri" w:cs="Arial"/>
          <w:sz w:val="20"/>
          <w:szCs w:val="20"/>
          <w:lang w:val="es-ES_tradnl"/>
        </w:rPr>
        <w:t xml:space="preserve">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esta manera,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w:t>
      </w:r>
      <w:r w:rsidRPr="00840E88">
        <w:rPr>
          <w:rFonts w:ascii="Arial" w:hAnsi="Arial" w:eastAsia="Calibri" w:cs="Arial"/>
          <w:sz w:val="20"/>
          <w:szCs w:val="20"/>
          <w:lang w:val="es-ES_tradnl"/>
        </w:rPr>
        <w:lastRenderedPageBreak/>
        <w:t>existir variación en el valor del salario mínimo la operación sería la misma si se toma el monto en pesos.</w:t>
      </w:r>
    </w:p>
    <w:p w:rsidR="00840E88" w:rsidP="00840E88" w:rsidRDefault="00840E88" w14:paraId="7321E30C" w14:textId="76104A4D">
      <w:pPr>
        <w:jc w:val="both"/>
        <w:rPr>
          <w:rFonts w:ascii="Arial" w:hAnsi="Arial" w:eastAsia="Calibri" w:cs="Arial"/>
          <w:sz w:val="20"/>
          <w:szCs w:val="20"/>
          <w:lang w:val="es-ES_tradnl"/>
        </w:rPr>
      </w:pPr>
    </w:p>
    <w:p w:rsidRPr="0033016F" w:rsidR="00840E88" w:rsidP="6B0A0692" w:rsidRDefault="00840E88" w14:paraId="07AF030C" w14:textId="749C2EE4">
      <w:pPr>
        <w:jc w:val="both"/>
        <w:rPr>
          <w:rFonts w:ascii="Arial" w:hAnsi="Arial" w:eastAsia="Calibri" w:cs="Arial"/>
          <w:b w:val="1"/>
          <w:bCs w:val="1"/>
          <w:color w:val="000000" w:themeColor="text1" w:themeTint="FF" w:themeShade="FF"/>
          <w:sz w:val="22"/>
          <w:szCs w:val="22"/>
          <w:lang w:val="es-ES_tradnl"/>
        </w:rPr>
      </w:pPr>
      <w:r w:rsidRPr="6B0A0692" w:rsidR="00840E88">
        <w:rPr>
          <w:rFonts w:ascii="Arial" w:hAnsi="Arial" w:eastAsia="Calibri" w:cs="Arial"/>
          <w:b w:val="1"/>
          <w:bCs w:val="1"/>
          <w:sz w:val="22"/>
          <w:szCs w:val="22"/>
          <w:lang w:val="es-ES"/>
        </w:rPr>
        <w:t xml:space="preserve">ADICIÓN EN VALOR </w:t>
      </w:r>
      <w:r w:rsidRPr="6B0A0692" w:rsidR="00840E88">
        <w:rPr>
          <w:rFonts w:ascii="Arial" w:hAnsi="Arial" w:eastAsia="Calibri" w:cs="Arial"/>
          <w:b w:val="1"/>
          <w:bCs w:val="1"/>
          <w:color w:val="000000" w:themeColor="text1" w:themeTint="FF" w:themeShade="FF"/>
          <w:sz w:val="22"/>
          <w:szCs w:val="22"/>
        </w:rPr>
        <w:t>–</w:t>
      </w:r>
      <w:r w:rsidRPr="6B0A0692" w:rsidR="00840E88">
        <w:rPr>
          <w:rFonts w:ascii="Arial" w:hAnsi="Arial" w:eastAsia="Calibri" w:cs="Arial"/>
          <w:b w:val="1"/>
          <w:bCs w:val="1"/>
          <w:sz w:val="22"/>
          <w:szCs w:val="22"/>
          <w:lang w:val="es-ES"/>
        </w:rPr>
        <w:t xml:space="preserve"> Límite </w:t>
      </w:r>
      <w:r w:rsidRPr="6B0A0692" w:rsidR="00840E88">
        <w:rPr>
          <w:rFonts w:ascii="Arial" w:hAnsi="Arial" w:eastAsia="Calibri" w:cs="Arial"/>
          <w:b w:val="1"/>
          <w:bCs w:val="1"/>
          <w:color w:val="000000" w:themeColor="text1" w:themeTint="FF" w:themeShade="FF"/>
          <w:sz w:val="22"/>
          <w:szCs w:val="22"/>
        </w:rPr>
        <w:t>–</w:t>
      </w:r>
      <w:r w:rsidRPr="6B0A0692" w:rsidR="00840E88">
        <w:rPr>
          <w:rFonts w:ascii="Arial" w:hAnsi="Arial" w:eastAsia="Calibri" w:cs="Arial"/>
          <w:b w:val="1"/>
          <w:bCs w:val="1"/>
          <w:color w:val="000000" w:themeColor="text1" w:themeTint="FF" w:themeShade="FF"/>
          <w:sz w:val="22"/>
          <w:szCs w:val="22"/>
        </w:rPr>
        <w:t xml:space="preserve"> 50%</w:t>
      </w:r>
      <w:r w:rsidRPr="6B0A0692" w:rsidR="00F14EA9">
        <w:rPr>
          <w:rFonts w:ascii="Arial" w:hAnsi="Arial" w:eastAsia="Calibri" w:cs="Arial"/>
          <w:b w:val="1"/>
          <w:bCs w:val="1"/>
          <w:color w:val="000000" w:themeColor="text1" w:themeTint="FF" w:themeShade="FF"/>
          <w:sz w:val="22"/>
          <w:szCs w:val="22"/>
        </w:rPr>
        <w:t xml:space="preserve"> </w:t>
      </w:r>
      <w:r w:rsidRPr="6B0A0692" w:rsidR="00F14EA9">
        <w:rPr>
          <w:rFonts w:ascii="Arial" w:hAnsi="Arial" w:eastAsia="Calibri" w:cs="Arial"/>
          <w:b w:val="1"/>
          <w:bCs w:val="1"/>
          <w:color w:val="000000" w:themeColor="text1" w:themeTint="FF" w:themeShade="FF"/>
          <w:sz w:val="22"/>
          <w:szCs w:val="22"/>
        </w:rPr>
        <w:t>–</w:t>
      </w:r>
      <w:r w:rsidRPr="6B0A0692" w:rsidR="00F14EA9">
        <w:rPr>
          <w:rFonts w:ascii="Arial" w:hAnsi="Arial" w:eastAsia="Calibri" w:cs="Arial"/>
          <w:b w:val="1"/>
          <w:bCs w:val="1"/>
          <w:color w:val="000000" w:themeColor="text1" w:themeTint="FF" w:themeShade="FF"/>
          <w:sz w:val="22"/>
          <w:szCs w:val="22"/>
        </w:rPr>
        <w:t xml:space="preserve"> </w:t>
      </w:r>
      <w:r w:rsidRPr="6B0A0692" w:rsidR="007E0812">
        <w:rPr>
          <w:rFonts w:ascii="Arial" w:hAnsi="Arial" w:eastAsia="Calibri" w:cs="Arial"/>
          <w:b w:val="1"/>
          <w:bCs w:val="1"/>
          <w:color w:val="000000" w:themeColor="text1" w:themeTint="FF" w:themeShade="FF"/>
          <w:sz w:val="22"/>
          <w:szCs w:val="22"/>
        </w:rPr>
        <w:t>Contrato interadministrativo</w:t>
      </w:r>
    </w:p>
    <w:p w:rsidR="00840E88" w:rsidP="00840E88" w:rsidRDefault="00840E88" w14:paraId="6014896C" w14:textId="77777777">
      <w:pPr>
        <w:spacing w:line="276" w:lineRule="auto"/>
        <w:jc w:val="both"/>
        <w:rPr>
          <w:rFonts w:ascii="Arial" w:hAnsi="Arial" w:cs="Arial"/>
          <w:noProof/>
          <w:color w:val="000000" w:themeColor="text1"/>
          <w:sz w:val="22"/>
          <w:lang w:val="es-ES_tradnl"/>
        </w:rPr>
      </w:pPr>
    </w:p>
    <w:p w:rsidRPr="00F14EA9" w:rsidR="00840E88" w:rsidP="00840E88" w:rsidRDefault="00F14EA9" w14:paraId="69FF716B" w14:textId="57D480A2">
      <w:pPr>
        <w:jc w:val="both"/>
        <w:rPr>
          <w:rFonts w:ascii="Arial" w:hAnsi="Arial" w:eastAsia="Calibri" w:cs="Arial"/>
          <w:sz w:val="20"/>
          <w:szCs w:val="20"/>
        </w:rPr>
      </w:pPr>
      <w:r w:rsidRPr="00F14EA9">
        <w:rPr>
          <w:rFonts w:ascii="Arial" w:hAnsi="Arial" w:eastAsia="Calibri" w:cs="Arial"/>
          <w:sz w:val="20"/>
          <w:szCs w:val="20"/>
        </w:rPr>
        <w:t xml:space="preserve">El límite de la adición en valor previsto en dicho parágrafo se aplica en principio a todos los contratos estatales. Esto </w:t>
      </w:r>
      <w:r w:rsidRPr="00F14EA9">
        <w:rPr>
          <w:rFonts w:ascii="Arial" w:hAnsi="Arial" w:eastAsia="Calibri" w:cs="Arial"/>
          <w:i/>
          <w:iCs/>
          <w:sz w:val="20"/>
          <w:szCs w:val="20"/>
        </w:rPr>
        <w:t>incluye</w:t>
      </w:r>
      <w:r w:rsidRPr="00F14EA9">
        <w:rPr>
          <w:rFonts w:ascii="Arial" w:hAnsi="Arial" w:eastAsia="Calibri" w:cs="Arial"/>
          <w:sz w:val="20"/>
          <w:szCs w:val="20"/>
        </w:rPr>
        <w:t xml:space="preserve"> a los </w:t>
      </w:r>
      <w:r w:rsidRPr="00F14EA9">
        <w:rPr>
          <w:rFonts w:ascii="Arial" w:hAnsi="Arial" w:eastAsia="Calibri" w:cs="Arial"/>
          <w:i/>
          <w:iCs/>
          <w:sz w:val="20"/>
          <w:szCs w:val="20"/>
        </w:rPr>
        <w:t>contratos interadministrativos</w:t>
      </w:r>
      <w:r w:rsidRPr="00F14EA9">
        <w:rPr>
          <w:rFonts w:ascii="Arial" w:hAnsi="Arial" w:eastAsia="Calibri" w:cs="Arial"/>
          <w:sz w:val="20"/>
          <w:szCs w:val="20"/>
        </w:rPr>
        <w:t>, pues no se encuentra un enunciado normativo que los exceptúe. Lo anterior, sin perjuicio de lo que dispone el artículo 85 de la Ley 1474 de 2011, en el sentido de que: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rsidR="00840E88" w:rsidP="00840E88" w:rsidRDefault="00840E88" w14:paraId="3244F8A8" w14:textId="374326DA">
      <w:pPr>
        <w:jc w:val="both"/>
        <w:rPr>
          <w:rFonts w:ascii="Arial" w:hAnsi="Arial" w:eastAsia="Calibri" w:cs="Arial"/>
          <w:sz w:val="20"/>
          <w:szCs w:val="20"/>
          <w:lang w:val="es-ES_tradnl"/>
        </w:rPr>
      </w:pPr>
    </w:p>
    <w:p w:rsidRPr="0033016F" w:rsidR="007E0812" w:rsidP="007E0812" w:rsidRDefault="007E0812" w14:paraId="0B842FC6" w14:textId="49B72E59">
      <w:pPr>
        <w:jc w:val="both"/>
        <w:rPr>
          <w:rFonts w:ascii="Arial" w:hAnsi="Arial" w:eastAsia="Calibri" w:cs="Arial"/>
          <w:b/>
          <w:sz w:val="22"/>
          <w:lang w:val="es-ES_tradnl"/>
        </w:rPr>
      </w:pPr>
      <w:r>
        <w:rPr>
          <w:rFonts w:ascii="Arial" w:hAnsi="Arial" w:eastAsia="Calibri" w:cs="Arial"/>
          <w:b/>
          <w:sz w:val="22"/>
          <w:lang w:val="es-ES_tradnl"/>
        </w:rPr>
        <w:t xml:space="preserve">ADICIÓN EN VALOR </w:t>
      </w:r>
      <w:r w:rsidRPr="006C15D5">
        <w:rPr>
          <w:rFonts w:ascii="Arial" w:hAnsi="Arial" w:eastAsia="Calibri" w:cs="Arial"/>
          <w:b/>
          <w:color w:val="000000" w:themeColor="text1"/>
          <w:sz w:val="22"/>
        </w:rPr>
        <w:t>–</w:t>
      </w:r>
      <w:r>
        <w:rPr>
          <w:rFonts w:ascii="Arial" w:hAnsi="Arial" w:eastAsia="Calibri" w:cs="Arial"/>
          <w:b/>
          <w:sz w:val="22"/>
          <w:lang w:val="es-ES_tradnl"/>
        </w:rPr>
        <w:t xml:space="preserve"> Límite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50%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Contratos de seguro </w:t>
      </w:r>
    </w:p>
    <w:p w:rsidR="007E0812" w:rsidP="00840E88" w:rsidRDefault="007E0812" w14:paraId="04F58321" w14:textId="59B432F2">
      <w:pPr>
        <w:jc w:val="both"/>
        <w:rPr>
          <w:rFonts w:ascii="Arial" w:hAnsi="Arial" w:eastAsia="Calibri" w:cs="Arial"/>
          <w:sz w:val="20"/>
          <w:szCs w:val="20"/>
          <w:lang w:val="es-ES_tradnl"/>
        </w:rPr>
      </w:pPr>
    </w:p>
    <w:p w:rsidR="007E0812" w:rsidP="007E0812" w:rsidRDefault="007E0812" w14:paraId="15553B29" w14:textId="7D00DA10">
      <w:pPr>
        <w:jc w:val="both"/>
        <w:rPr>
          <w:rFonts w:ascii="Arial" w:hAnsi="Arial" w:eastAsia="Calibri" w:cs="Arial"/>
          <w:sz w:val="20"/>
          <w:szCs w:val="20"/>
        </w:rPr>
      </w:pPr>
      <w:r>
        <w:rPr>
          <w:rFonts w:ascii="Arial" w:hAnsi="Arial" w:eastAsia="Calibri" w:cs="Arial"/>
          <w:sz w:val="20"/>
          <w:szCs w:val="20"/>
        </w:rPr>
        <w:t>[…]</w:t>
      </w:r>
      <w:r w:rsidRPr="007E0812">
        <w:rPr>
          <w:rFonts w:ascii="Arial" w:hAnsi="Arial" w:eastAsia="Calibri" w:cs="Arial"/>
          <w:sz w:val="20"/>
          <w:szCs w:val="20"/>
        </w:rPr>
        <w:t xml:space="preserve">, las garantías en la contratación estatal son, por regla general, indivisibles. Por indivisibilidad debe entenderse la exigencia según la cual el contrato debe permanecer amparado por una única garantía de la misma clase durante la vigencia de aquel. Es decir, por una misma garantía única de cumplimiento o por una misma garantía de responsabilidad civil extracontractual, por ejemplo, según el caso. </w:t>
      </w:r>
    </w:p>
    <w:p w:rsidRPr="007E0812" w:rsidR="007E0812" w:rsidP="007E0812" w:rsidRDefault="007E0812" w14:paraId="39AB6E2B" w14:textId="77777777">
      <w:pPr>
        <w:jc w:val="both"/>
        <w:rPr>
          <w:rFonts w:ascii="Arial" w:hAnsi="Arial" w:eastAsia="Calibri" w:cs="Arial"/>
          <w:sz w:val="20"/>
          <w:szCs w:val="20"/>
        </w:rPr>
      </w:pPr>
    </w:p>
    <w:p w:rsidR="007E0812" w:rsidP="007E0812" w:rsidRDefault="007E0812" w14:paraId="71136353" w14:textId="6D7290B6">
      <w:pPr>
        <w:jc w:val="both"/>
        <w:rPr>
          <w:rFonts w:ascii="Arial" w:hAnsi="Arial" w:eastAsia="Calibri" w:cs="Arial"/>
          <w:sz w:val="20"/>
          <w:szCs w:val="20"/>
        </w:rPr>
      </w:pPr>
      <w:r w:rsidRPr="007E0812">
        <w:rPr>
          <w:rFonts w:ascii="Arial" w:hAnsi="Arial" w:eastAsia="Calibri" w:cs="Arial"/>
          <w:sz w:val="20"/>
          <w:szCs w:val="20"/>
        </w:rPr>
        <w:t>Pero, para acatar tal obligación las entidades estatales deben cumplir con una adecuada planeación del contrato interadministrativo que quedará cubierto por la garantía, para, de esta manera, saber con claridad, desde el momento en que adquirirán dicha garantía, cuál será el valor de la prima. En todo caso, al ser el contrato de seguro suscrito por una entidad pública, en calidad de tomadora, un contrato estatal, significa que la prima adicional por la ampliación de dicho seguro también debe respetar la prohibición de adicionarlo en más del 50% del valor inicial. Si bien aquí pareciera presentarse una antinomia entre la regla general de la indivisibilidad de la garantía y la prohibición de adición superando dicho porcentaje, prevalece este último límite, porque es una norma especial aplicable a las adiciones, que no distingue tipologías contractuales.</w:t>
      </w:r>
    </w:p>
    <w:p w:rsidRPr="007E0812" w:rsidR="007E0812" w:rsidP="007E0812" w:rsidRDefault="007E0812" w14:paraId="5F267DC8" w14:textId="77777777">
      <w:pPr>
        <w:jc w:val="both"/>
        <w:rPr>
          <w:rFonts w:ascii="Arial" w:hAnsi="Arial" w:eastAsia="Calibri" w:cs="Arial"/>
          <w:sz w:val="20"/>
          <w:szCs w:val="20"/>
        </w:rPr>
      </w:pPr>
    </w:p>
    <w:p w:rsidR="007E0812" w:rsidP="00B95C30" w:rsidRDefault="007E0812" w14:paraId="16BF33CD" w14:textId="77777777">
      <w:pPr>
        <w:spacing w:line="276" w:lineRule="auto"/>
        <w:jc w:val="both"/>
        <w:rPr>
          <w:rFonts w:ascii="Arial" w:hAnsi="Arial" w:cs="Arial"/>
          <w:noProof/>
          <w:color w:val="000000" w:themeColor="text1"/>
          <w:sz w:val="22"/>
          <w:lang w:val="es-ES_tradnl"/>
        </w:rPr>
      </w:pPr>
    </w:p>
    <w:p w:rsidR="007E0812" w:rsidP="00B95C30" w:rsidRDefault="007E0812" w14:paraId="00CCA15B" w14:textId="77777777">
      <w:pPr>
        <w:spacing w:line="276" w:lineRule="auto"/>
        <w:jc w:val="both"/>
        <w:rPr>
          <w:rFonts w:ascii="Arial" w:hAnsi="Arial" w:cs="Arial"/>
          <w:noProof/>
          <w:color w:val="000000" w:themeColor="text1"/>
          <w:sz w:val="22"/>
          <w:lang w:val="es-ES_tradnl"/>
        </w:rPr>
      </w:pPr>
    </w:p>
    <w:p w:rsidR="007E0812" w:rsidP="00B95C30" w:rsidRDefault="007E0812" w14:paraId="2C9F7BBB" w14:textId="77777777">
      <w:pPr>
        <w:spacing w:line="276" w:lineRule="auto"/>
        <w:jc w:val="both"/>
        <w:rPr>
          <w:rFonts w:ascii="Arial" w:hAnsi="Arial" w:cs="Arial"/>
          <w:noProof/>
          <w:color w:val="000000" w:themeColor="text1"/>
          <w:sz w:val="22"/>
          <w:lang w:val="es-ES_tradnl"/>
        </w:rPr>
      </w:pPr>
    </w:p>
    <w:p w:rsidR="007E0812" w:rsidP="00B95C30" w:rsidRDefault="007E0812" w14:paraId="15DF16B5" w14:textId="77777777">
      <w:pPr>
        <w:spacing w:line="276" w:lineRule="auto"/>
        <w:jc w:val="both"/>
        <w:rPr>
          <w:rFonts w:ascii="Arial" w:hAnsi="Arial" w:cs="Arial"/>
          <w:noProof/>
          <w:color w:val="000000" w:themeColor="text1"/>
          <w:sz w:val="22"/>
          <w:lang w:val="es-ES_tradnl"/>
        </w:rPr>
      </w:pPr>
    </w:p>
    <w:p w:rsidR="007E0812" w:rsidP="00B95C30" w:rsidRDefault="007E0812" w14:paraId="2E8CF058" w14:textId="77777777">
      <w:pPr>
        <w:spacing w:line="276" w:lineRule="auto"/>
        <w:jc w:val="both"/>
        <w:rPr>
          <w:rFonts w:ascii="Arial" w:hAnsi="Arial" w:cs="Arial"/>
          <w:noProof/>
          <w:color w:val="000000" w:themeColor="text1"/>
          <w:sz w:val="22"/>
          <w:lang w:val="es-ES_tradnl"/>
        </w:rPr>
      </w:pPr>
    </w:p>
    <w:p w:rsidR="007E0812" w:rsidP="00B95C30" w:rsidRDefault="007E0812" w14:paraId="78A1E4F5" w14:textId="77777777">
      <w:pPr>
        <w:spacing w:line="276" w:lineRule="auto"/>
        <w:jc w:val="both"/>
        <w:rPr>
          <w:rFonts w:ascii="Arial" w:hAnsi="Arial" w:cs="Arial"/>
          <w:noProof/>
          <w:color w:val="000000" w:themeColor="text1"/>
          <w:sz w:val="22"/>
          <w:lang w:val="es-ES_tradnl"/>
        </w:rPr>
      </w:pPr>
    </w:p>
    <w:p w:rsidR="007E0812" w:rsidP="00B95C30" w:rsidRDefault="007E0812" w14:paraId="34C14D62" w14:textId="77777777">
      <w:pPr>
        <w:spacing w:line="276" w:lineRule="auto"/>
        <w:jc w:val="both"/>
        <w:rPr>
          <w:rFonts w:ascii="Arial" w:hAnsi="Arial" w:cs="Arial"/>
          <w:noProof/>
          <w:color w:val="000000" w:themeColor="text1"/>
          <w:sz w:val="22"/>
          <w:lang w:val="es-ES_tradnl"/>
        </w:rPr>
      </w:pPr>
    </w:p>
    <w:p w:rsidR="007E0812" w:rsidP="00B95C30" w:rsidRDefault="007E0812" w14:paraId="1CEB138E" w14:textId="77777777">
      <w:pPr>
        <w:spacing w:line="276" w:lineRule="auto"/>
        <w:jc w:val="both"/>
        <w:rPr>
          <w:rFonts w:ascii="Arial" w:hAnsi="Arial" w:cs="Arial"/>
          <w:noProof/>
          <w:color w:val="000000" w:themeColor="text1"/>
          <w:sz w:val="22"/>
          <w:lang w:val="es-ES_tradnl"/>
        </w:rPr>
      </w:pPr>
    </w:p>
    <w:p w:rsidR="007E0812" w:rsidP="00B95C30" w:rsidRDefault="007E0812" w14:paraId="73CEA89D" w14:textId="77777777">
      <w:pPr>
        <w:spacing w:line="276" w:lineRule="auto"/>
        <w:jc w:val="both"/>
        <w:rPr>
          <w:rFonts w:ascii="Arial" w:hAnsi="Arial" w:cs="Arial"/>
          <w:noProof/>
          <w:color w:val="000000" w:themeColor="text1"/>
          <w:sz w:val="22"/>
          <w:lang w:val="es-ES_tradnl"/>
        </w:rPr>
      </w:pPr>
    </w:p>
    <w:p w:rsidR="007E0812" w:rsidP="00B95C30" w:rsidRDefault="007E0812" w14:paraId="3AEE319A" w14:textId="77777777">
      <w:pPr>
        <w:spacing w:line="276" w:lineRule="auto"/>
        <w:jc w:val="both"/>
        <w:rPr>
          <w:rFonts w:ascii="Arial" w:hAnsi="Arial" w:cs="Arial"/>
          <w:noProof/>
          <w:color w:val="000000" w:themeColor="text1"/>
          <w:sz w:val="22"/>
          <w:lang w:val="es-ES_tradnl"/>
        </w:rPr>
      </w:pPr>
    </w:p>
    <w:p w:rsidR="007E0812" w:rsidP="00B95C30" w:rsidRDefault="007E0812" w14:paraId="7952B14D" w14:textId="77777777">
      <w:pPr>
        <w:spacing w:line="276" w:lineRule="auto"/>
        <w:jc w:val="both"/>
        <w:rPr>
          <w:rFonts w:ascii="Arial" w:hAnsi="Arial" w:cs="Arial"/>
          <w:noProof/>
          <w:color w:val="000000" w:themeColor="text1"/>
          <w:sz w:val="22"/>
          <w:lang w:val="es-ES_tradnl"/>
        </w:rPr>
      </w:pPr>
    </w:p>
    <w:p w:rsidR="007E0812" w:rsidP="00B95C30" w:rsidRDefault="007E0812" w14:paraId="75CE829C" w14:textId="77777777">
      <w:pPr>
        <w:spacing w:line="276" w:lineRule="auto"/>
        <w:jc w:val="both"/>
        <w:rPr>
          <w:rFonts w:ascii="Arial" w:hAnsi="Arial" w:cs="Arial"/>
          <w:noProof/>
          <w:color w:val="000000" w:themeColor="text1"/>
          <w:sz w:val="22"/>
          <w:lang w:val="es-ES_tradnl"/>
        </w:rPr>
      </w:pPr>
    </w:p>
    <w:p w:rsidR="007E0812" w:rsidP="00B95C30" w:rsidRDefault="007E0812" w14:paraId="50CED49B" w14:textId="77777777">
      <w:pPr>
        <w:spacing w:line="276" w:lineRule="auto"/>
        <w:jc w:val="both"/>
        <w:rPr>
          <w:rFonts w:ascii="Arial" w:hAnsi="Arial" w:cs="Arial"/>
          <w:noProof/>
          <w:color w:val="000000" w:themeColor="text1"/>
          <w:sz w:val="22"/>
          <w:lang w:val="es-ES_tradnl"/>
        </w:rPr>
      </w:pPr>
    </w:p>
    <w:p w:rsidR="007E0812" w:rsidP="00B95C30" w:rsidRDefault="007E0812" w14:paraId="218FECAE" w14:textId="77777777">
      <w:pPr>
        <w:spacing w:line="276" w:lineRule="auto"/>
        <w:jc w:val="both"/>
        <w:rPr>
          <w:rFonts w:ascii="Arial" w:hAnsi="Arial" w:cs="Arial"/>
          <w:noProof/>
          <w:color w:val="000000" w:themeColor="text1"/>
          <w:sz w:val="22"/>
          <w:lang w:val="es-ES_tradnl"/>
        </w:rPr>
      </w:pPr>
    </w:p>
    <w:p w:rsidR="007E0812" w:rsidP="00B95C30" w:rsidRDefault="007E0812" w14:paraId="6A72B95F" w14:textId="77777777">
      <w:pPr>
        <w:spacing w:line="276" w:lineRule="auto"/>
        <w:jc w:val="both"/>
        <w:rPr>
          <w:rFonts w:ascii="Arial" w:hAnsi="Arial" w:cs="Arial"/>
          <w:noProof/>
          <w:color w:val="000000" w:themeColor="text1"/>
          <w:sz w:val="22"/>
          <w:lang w:val="es-ES_tradnl"/>
        </w:rPr>
      </w:pPr>
    </w:p>
    <w:p w:rsidRPr="00404C61" w:rsidR="00B95C30" w:rsidP="1FE2A2F9" w:rsidRDefault="00B95C30" w14:paraId="7DD48F49" w14:textId="58D849AD">
      <w:pPr>
        <w:spacing w:line="276" w:lineRule="auto"/>
        <w:jc w:val="both"/>
        <w:rPr>
          <w:rFonts w:ascii="Arial" w:hAnsi="Arial" w:eastAsia="Calibri" w:cs="Arial"/>
          <w:noProof/>
          <w:color w:val="000000" w:themeColor="text1"/>
          <w:sz w:val="20"/>
          <w:szCs w:val="20"/>
          <w:lang w:val="es-ES"/>
        </w:rPr>
      </w:pPr>
      <w:r w:rsidRPr="1FE2A2F9" w:rsidR="00B95C30">
        <w:rPr>
          <w:rFonts w:ascii="Arial" w:hAnsi="Arial" w:cs="Arial"/>
          <w:noProof/>
          <w:color w:val="000000" w:themeColor="text1" w:themeTint="FF" w:themeShade="FF"/>
          <w:sz w:val="22"/>
          <w:szCs w:val="22"/>
          <w:lang w:val="es-ES"/>
        </w:rPr>
        <w:t xml:space="preserve">Bogotá D.C., </w:t>
      </w:r>
      <w:r w:rsidRPr="1FE2A2F9" w:rsidR="00036CB7">
        <w:rPr>
          <w:rFonts w:ascii="Arial" w:hAnsi="Arial" w:cs="Arial"/>
          <w:b w:val="1"/>
          <w:bCs w:val="1"/>
          <w:noProof/>
          <w:color w:val="000000" w:themeColor="text1" w:themeTint="FF" w:themeShade="FF"/>
          <w:sz w:val="22"/>
          <w:szCs w:val="22"/>
          <w:lang w:val="es-ES"/>
        </w:rPr>
        <w:t>21/12/2020</w:t>
      </w:r>
      <w:r w:rsidRPr="1FE2A2F9" w:rsidR="4F832A24">
        <w:rPr>
          <w:rFonts w:ascii="Arial" w:hAnsi="Arial" w:cs="Arial"/>
          <w:b w:val="1"/>
          <w:bCs w:val="1"/>
          <w:noProof/>
          <w:color w:val="000000" w:themeColor="text1" w:themeTint="FF" w:themeShade="FF"/>
          <w:sz w:val="22"/>
          <w:szCs w:val="22"/>
          <w:lang w:val="es-ES"/>
        </w:rPr>
        <w:t xml:space="preserve"> Hora 10:13:20s</w:t>
      </w:r>
    </w:p>
    <w:p w:rsidRPr="00404C61" w:rsidR="00B95C30" w:rsidP="00B95C30" w:rsidRDefault="00B95C30" w14:paraId="5E89E106" w14:textId="3AE587BF">
      <w:pPr>
        <w:spacing w:line="276" w:lineRule="auto"/>
        <w:jc w:val="right"/>
        <w:rPr>
          <w:rFonts w:ascii="Arial" w:hAnsi="Arial" w:cs="Arial"/>
          <w:b/>
          <w:noProof/>
          <w:color w:val="000000" w:themeColor="text1"/>
          <w:sz w:val="22"/>
          <w:lang w:val="es-ES_tradnl"/>
        </w:rPr>
      </w:pPr>
      <w:r w:rsidRPr="00404C61">
        <w:rPr>
          <w:rFonts w:ascii="Arial" w:hAnsi="Arial" w:cs="Arial"/>
          <w:b/>
          <w:noProof/>
          <w:color w:val="000000" w:themeColor="text1"/>
          <w:sz w:val="22"/>
          <w:lang w:val="es-ES_tradnl"/>
        </w:rPr>
        <w:t>N° Radicado:</w:t>
      </w:r>
      <w:r w:rsidRPr="00252DC2">
        <w:rPr>
          <w:rFonts w:ascii="Arial" w:hAnsi="Arial" w:cs="Arial"/>
          <w:b/>
          <w:bCs/>
          <w:noProof/>
          <w:color w:val="000000" w:themeColor="text1"/>
          <w:sz w:val="22"/>
          <w:lang w:val="es-ES_tradnl"/>
        </w:rPr>
        <w:t xml:space="preserve"> </w:t>
      </w:r>
      <w:r w:rsidR="006367BB">
        <w:rPr>
          <w:rFonts w:ascii="Arial" w:hAnsi="Arial" w:cs="Arial"/>
          <w:b/>
          <w:bCs/>
          <w:noProof/>
          <w:color w:val="000000" w:themeColor="text1"/>
          <w:sz w:val="22"/>
          <w:lang w:val="es-ES_tradnl"/>
        </w:rPr>
        <w:t>22020130000</w:t>
      </w:r>
      <w:r w:rsidR="00800149">
        <w:rPr>
          <w:rFonts w:ascii="Arial" w:hAnsi="Arial" w:cs="Arial"/>
          <w:b/>
          <w:bCs/>
          <w:noProof/>
          <w:color w:val="000000" w:themeColor="text1"/>
          <w:sz w:val="22"/>
          <w:lang w:val="es-ES_tradnl"/>
        </w:rPr>
        <w:t>12048</w:t>
      </w:r>
    </w:p>
    <w:p w:rsidRPr="00404C61" w:rsidR="00B95C30" w:rsidP="00B95C30" w:rsidRDefault="00B95C30" w14:paraId="6A8A869B" w14:textId="77777777">
      <w:pPr>
        <w:jc w:val="both"/>
        <w:rPr>
          <w:rFonts w:ascii="Arial" w:hAnsi="Arial" w:cs="Arial"/>
          <w:b/>
          <w:color w:val="000000" w:themeColor="text1"/>
          <w:sz w:val="22"/>
          <w:lang w:val="es-ES_tradnl"/>
        </w:rPr>
      </w:pPr>
    </w:p>
    <w:p w:rsidRPr="00404C61" w:rsidR="00B95C30" w:rsidP="00B95C30" w:rsidRDefault="00B95C30" w14:paraId="5F5AE9EF" w14:textId="77777777">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Señor</w:t>
      </w:r>
    </w:p>
    <w:p w:rsidRPr="00404C61" w:rsidR="00B95C30" w:rsidP="00B95C30" w:rsidRDefault="004F2B64" w14:paraId="3DCD58CE" w14:textId="361BAC76">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 xml:space="preserve">Eugenio David </w:t>
      </w:r>
      <w:proofErr w:type="spellStart"/>
      <w:r>
        <w:rPr>
          <w:rFonts w:ascii="Arial" w:hAnsi="Arial" w:eastAsia="Calibri" w:cs="Arial"/>
          <w:b/>
          <w:color w:val="000000" w:themeColor="text1"/>
          <w:sz w:val="22"/>
          <w:lang w:val="es-ES_tradnl"/>
        </w:rPr>
        <w:t>Martinelli</w:t>
      </w:r>
      <w:proofErr w:type="spellEnd"/>
    </w:p>
    <w:p w:rsidRPr="00404C61" w:rsidR="00B95C30" w:rsidP="00B95C30" w:rsidRDefault="00B95C30" w14:paraId="09D4AEA8" w14:textId="77777777">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Ciudad</w:t>
      </w:r>
    </w:p>
    <w:p w:rsidRPr="00404C61" w:rsidR="00B95C30" w:rsidP="00B95C30" w:rsidRDefault="00B95C30" w14:paraId="3F3D1203" w14:textId="77777777">
      <w:pPr>
        <w:jc w:val="both"/>
        <w:rPr>
          <w:rFonts w:ascii="Arial" w:hAnsi="Arial" w:eastAsia="Calibri" w:cs="Arial"/>
          <w:color w:val="000000" w:themeColor="text1"/>
          <w:sz w:val="22"/>
          <w:lang w:val="es-ES_tradnl"/>
        </w:rPr>
      </w:pPr>
    </w:p>
    <w:p w:rsidRPr="00404C61" w:rsidR="00B95C30" w:rsidP="00B95C30" w:rsidRDefault="00B95C30" w14:paraId="24E8D2A9" w14:textId="77777777">
      <w:pPr>
        <w:jc w:val="both"/>
        <w:rPr>
          <w:rFonts w:ascii="Arial" w:hAnsi="Arial" w:eastAsia="Calibri" w:cs="Arial"/>
          <w:color w:val="000000" w:themeColor="text1"/>
          <w:sz w:val="22"/>
          <w:lang w:val="es-ES_tradnl"/>
        </w:rPr>
      </w:pPr>
    </w:p>
    <w:p w:rsidRPr="00404C61" w:rsidR="00B95C30" w:rsidP="00B95C30" w:rsidRDefault="00B95C30" w14:paraId="12E66182" w14:textId="3B615124">
      <w:pPr>
        <w:jc w:val="center"/>
        <w:rPr>
          <w:rFonts w:ascii="Arial" w:hAnsi="Arial" w:eastAsia="Calibri" w:cs="Arial"/>
          <w:b/>
          <w:bCs/>
          <w:color w:val="000000" w:themeColor="text1"/>
          <w:sz w:val="22"/>
          <w:lang w:val="es-ES_tradnl"/>
        </w:rPr>
      </w:pPr>
      <w:r w:rsidRPr="005E273D">
        <w:rPr>
          <w:rFonts w:ascii="Arial" w:hAnsi="Arial" w:eastAsia="Calibri" w:cs="Arial"/>
          <w:b/>
          <w:bCs/>
          <w:color w:val="000000" w:themeColor="text1"/>
          <w:sz w:val="22"/>
          <w:lang w:val="es-ES_tradnl"/>
        </w:rPr>
        <w:t xml:space="preserve">Concepto C ‒ </w:t>
      </w:r>
      <w:r>
        <w:rPr>
          <w:rFonts w:ascii="Arial" w:hAnsi="Arial" w:eastAsia="Calibri" w:cs="Arial"/>
          <w:b/>
          <w:bCs/>
          <w:color w:val="000000" w:themeColor="text1"/>
          <w:sz w:val="22"/>
          <w:lang w:val="es-ES_tradnl"/>
        </w:rPr>
        <w:t>750</w:t>
      </w:r>
      <w:r w:rsidRPr="005E273D">
        <w:rPr>
          <w:rFonts w:ascii="Arial" w:hAnsi="Arial" w:eastAsia="Calibri" w:cs="Arial"/>
          <w:b/>
          <w:bCs/>
          <w:color w:val="000000" w:themeColor="text1"/>
          <w:sz w:val="22"/>
          <w:lang w:val="es-ES_tradnl"/>
        </w:rPr>
        <w:t xml:space="preserve"> de 2020</w:t>
      </w:r>
    </w:p>
    <w:p w:rsidRPr="00404C61" w:rsidR="00B95C30" w:rsidP="00B95C30" w:rsidRDefault="00B95C30" w14:paraId="2B376FFA" w14:textId="77777777">
      <w:pPr>
        <w:jc w:val="both"/>
        <w:rPr>
          <w:rFonts w:ascii="Arial" w:hAnsi="Arial" w:eastAsia="Calibri" w:cs="Arial"/>
          <w:color w:val="000000" w:themeColor="text1"/>
          <w:sz w:val="22"/>
          <w:lang w:val="es-ES_tradnl"/>
        </w:rPr>
      </w:pPr>
    </w:p>
    <w:p w:rsidRPr="00404C61" w:rsidR="00B95C30" w:rsidP="00B95C30" w:rsidRDefault="00B95C30" w14:paraId="08CF82B2" w14:textId="77777777">
      <w:pPr>
        <w:jc w:val="both"/>
        <w:rPr>
          <w:rFonts w:ascii="Arial" w:hAnsi="Arial" w:eastAsia="Calibri" w:cs="Arial"/>
          <w:color w:val="000000" w:themeColor="text1"/>
          <w:sz w:val="22"/>
          <w:lang w:val="es-ES_tradnl"/>
        </w:rPr>
      </w:pPr>
    </w:p>
    <w:p w:rsidRPr="00404C61"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04C61" w:rsidR="00B95C30" w:rsidTr="002442D4" w14:paraId="19DFC051" w14:textId="77777777">
        <w:tc>
          <w:tcPr>
            <w:tcW w:w="2689" w:type="dxa"/>
          </w:tcPr>
          <w:p w:rsidRPr="00404C61" w:rsidR="00B95C30" w:rsidP="002442D4" w:rsidRDefault="00B95C30" w14:paraId="6BC0D1AC" w14:textId="77777777">
            <w:pPr>
              <w:jc w:val="both"/>
              <w:rPr>
                <w:rFonts w:ascii="Arial" w:hAnsi="Arial" w:eastAsia="Calibri" w:cs="Arial"/>
                <w:color w:val="000000" w:themeColor="text1"/>
                <w:sz w:val="22"/>
                <w:lang w:val="es-ES_tradnl"/>
              </w:rPr>
            </w:pPr>
            <w:r w:rsidRPr="00404C61">
              <w:rPr>
                <w:rFonts w:ascii="Arial" w:hAnsi="Arial" w:eastAsia="Calibri" w:cs="Arial"/>
                <w:b/>
                <w:color w:val="000000" w:themeColor="text1"/>
                <w:sz w:val="22"/>
                <w:lang w:val="es-ES_tradnl"/>
              </w:rPr>
              <w:t>Temas:</w:t>
            </w:r>
            <w:r w:rsidRPr="00404C61">
              <w:rPr>
                <w:rFonts w:ascii="Arial" w:hAnsi="Arial" w:eastAsia="Calibri" w:cs="Arial"/>
                <w:color w:val="000000" w:themeColor="text1"/>
                <w:sz w:val="22"/>
                <w:lang w:val="es-ES_tradnl"/>
              </w:rPr>
              <w:t xml:space="preserve">                                      </w:t>
            </w:r>
          </w:p>
        </w:tc>
        <w:tc>
          <w:tcPr>
            <w:tcW w:w="6237" w:type="dxa"/>
          </w:tcPr>
          <w:p w:rsidRPr="00404C61" w:rsidR="00B95C30" w:rsidP="002442D4" w:rsidRDefault="001068EB" w14:paraId="5F389CAF" w14:textId="7B191DD9">
            <w:pPr>
              <w:jc w:val="both"/>
              <w:rPr>
                <w:rFonts w:ascii="Arial" w:hAnsi="Arial" w:eastAsia="Calibri" w:cs="Arial"/>
                <w:color w:val="000000" w:themeColor="text1"/>
                <w:sz w:val="22"/>
                <w:lang w:val="es-ES_tradnl"/>
              </w:rPr>
            </w:pPr>
            <w:r w:rsidRPr="001068EB">
              <w:rPr>
                <w:rFonts w:ascii="Arial" w:hAnsi="Arial" w:eastAsia="Calibri" w:cs="Arial"/>
                <w:bCs/>
                <w:sz w:val="22"/>
                <w:lang w:val="es-ES_tradnl"/>
              </w:rPr>
              <w:t>CONTRATO INTERADMINISTRATIVO</w:t>
            </w:r>
            <w:r w:rsidRPr="00D40498" w:rsidR="00B95C30">
              <w:rPr>
                <w:rFonts w:ascii="Arial" w:hAnsi="Arial" w:eastAsia="Calibri" w:cs="Arial"/>
                <w:bCs/>
                <w:sz w:val="22"/>
                <w:lang w:val="es-ES_tradnl"/>
              </w:rPr>
              <w:t xml:space="preserve"> – </w:t>
            </w:r>
            <w:r w:rsidRPr="001068EB">
              <w:rPr>
                <w:rFonts w:ascii="Arial" w:hAnsi="Arial" w:eastAsia="Calibri" w:cs="Arial"/>
                <w:bCs/>
                <w:sz w:val="22"/>
                <w:lang w:val="es-ES_tradnl"/>
              </w:rPr>
              <w:t>Concepto – Régimen</w:t>
            </w:r>
            <w:r w:rsidR="00B95C30">
              <w:rPr>
                <w:rFonts w:ascii="Arial" w:hAnsi="Arial" w:eastAsia="Calibri" w:cs="Arial"/>
                <w:bCs/>
                <w:sz w:val="22"/>
                <w:lang w:val="es-ES_tradnl"/>
              </w:rPr>
              <w:t xml:space="preserve"> / </w:t>
            </w:r>
            <w:r w:rsidRPr="001068EB">
              <w:rPr>
                <w:rFonts w:ascii="Arial" w:hAnsi="Arial" w:eastAsia="Calibri" w:cs="Arial"/>
                <w:bCs/>
                <w:sz w:val="22"/>
                <w:lang w:val="es-ES_tradnl"/>
              </w:rPr>
              <w:t>CONTRATACIÓN DIRECTA – Modalidad contractual – Contrato interadministrativo</w:t>
            </w:r>
            <w:r w:rsidR="005D1051">
              <w:rPr>
                <w:rFonts w:ascii="Arial" w:hAnsi="Arial" w:eastAsia="Calibri" w:cs="Arial"/>
                <w:bCs/>
                <w:sz w:val="22"/>
                <w:lang w:val="es-ES_tradnl"/>
              </w:rPr>
              <w:t xml:space="preserve"> / </w:t>
            </w:r>
            <w:r w:rsidRPr="005D1051" w:rsidR="005D1051">
              <w:rPr>
                <w:rFonts w:ascii="Arial" w:hAnsi="Arial" w:eastAsia="Calibri" w:cs="Arial"/>
                <w:bCs/>
                <w:sz w:val="22"/>
                <w:lang w:val="es-ES_tradnl"/>
              </w:rPr>
              <w:t>ADICIÓN EN VALOR – Límite – 50%</w:t>
            </w:r>
            <w:r w:rsidR="005D1051">
              <w:rPr>
                <w:rFonts w:ascii="Arial" w:hAnsi="Arial" w:eastAsia="Calibri" w:cs="Arial"/>
                <w:bCs/>
                <w:sz w:val="22"/>
                <w:lang w:val="es-ES_tradnl"/>
              </w:rPr>
              <w:t xml:space="preserve"> / </w:t>
            </w:r>
            <w:r w:rsidRPr="005D1051" w:rsidR="005D1051">
              <w:rPr>
                <w:rFonts w:ascii="Arial" w:hAnsi="Arial" w:eastAsia="Calibri" w:cs="Arial"/>
                <w:bCs/>
                <w:sz w:val="22"/>
                <w:lang w:val="es-ES_tradnl"/>
              </w:rPr>
              <w:t>ADICIÓN EN VALOR – Límite – 50% – Contratos interadministrativos</w:t>
            </w:r>
            <w:r w:rsidR="005D1051">
              <w:rPr>
                <w:rFonts w:ascii="Arial" w:hAnsi="Arial" w:eastAsia="Calibri" w:cs="Arial"/>
                <w:bCs/>
                <w:sz w:val="22"/>
                <w:lang w:val="es-ES_tradnl"/>
              </w:rPr>
              <w:t xml:space="preserve"> / </w:t>
            </w:r>
            <w:r w:rsidRPr="005D1051" w:rsidR="005D1051">
              <w:rPr>
                <w:rFonts w:ascii="Arial" w:hAnsi="Arial" w:eastAsia="Calibri" w:cs="Arial"/>
                <w:bCs/>
                <w:sz w:val="22"/>
                <w:lang w:val="es-ES_tradnl"/>
              </w:rPr>
              <w:t>ADICIÓN EN VALOR – Límite – 50% – Contratos de seguro</w:t>
            </w:r>
            <w:r w:rsidRPr="00404C61" w:rsidR="00B95C30">
              <w:rPr>
                <w:rFonts w:ascii="Arial" w:hAnsi="Arial" w:eastAsia="Arial" w:cs="Arial"/>
                <w:sz w:val="22"/>
                <w:lang w:val="es-ES_tradnl"/>
              </w:rPr>
              <w:t>.</w:t>
            </w:r>
          </w:p>
        </w:tc>
      </w:tr>
      <w:tr w:rsidRPr="00404C61" w:rsidR="00B95C30" w:rsidTr="002442D4" w14:paraId="27CD52AB" w14:textId="77777777">
        <w:tc>
          <w:tcPr>
            <w:tcW w:w="2689" w:type="dxa"/>
          </w:tcPr>
          <w:p w:rsidRPr="00404C61" w:rsidR="00B95C30" w:rsidP="002442D4" w:rsidRDefault="001068EB" w14:paraId="37E195A1" w14:textId="41F0D25F">
            <w:pPr>
              <w:spacing w:before="120"/>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 xml:space="preserve"> </w:t>
            </w:r>
            <w:r w:rsidRPr="00404C61" w:rsidR="00B95C30">
              <w:rPr>
                <w:rFonts w:ascii="Arial" w:hAnsi="Arial" w:eastAsia="Calibri" w:cs="Arial"/>
                <w:b/>
                <w:color w:val="000000" w:themeColor="text1"/>
                <w:sz w:val="22"/>
                <w:lang w:val="es-ES_tradnl"/>
              </w:rPr>
              <w:t>Radicación:</w:t>
            </w:r>
            <w:r w:rsidRPr="00404C61" w:rsidR="00B95C30">
              <w:rPr>
                <w:rFonts w:ascii="Arial" w:hAnsi="Arial" w:eastAsia="Calibri" w:cs="Arial"/>
                <w:color w:val="000000" w:themeColor="text1"/>
                <w:sz w:val="22"/>
                <w:lang w:val="es-ES_tradnl"/>
              </w:rPr>
              <w:t xml:space="preserve">                              </w:t>
            </w:r>
          </w:p>
        </w:tc>
        <w:tc>
          <w:tcPr>
            <w:tcW w:w="6237" w:type="dxa"/>
          </w:tcPr>
          <w:p w:rsidRPr="00404C61" w:rsidR="00B95C30" w:rsidP="002442D4" w:rsidRDefault="00B95C30" w14:paraId="64360FC9" w14:textId="1269E0EA">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Respuesta a consulta # </w:t>
            </w:r>
            <w:r w:rsidRPr="00C138BC" w:rsidR="00C138BC">
              <w:rPr>
                <w:rFonts w:ascii="Arial" w:hAnsi="Arial" w:eastAsia="Calibri" w:cs="Arial"/>
                <w:color w:val="000000" w:themeColor="text1"/>
                <w:sz w:val="22"/>
                <w:lang w:val="es-ES_tradnl"/>
              </w:rPr>
              <w:t>4202012000010177</w:t>
            </w:r>
          </w:p>
          <w:p w:rsidRPr="00404C61" w:rsidR="00B95C30" w:rsidP="002442D4" w:rsidRDefault="00B95C30" w14:paraId="09088B1B" w14:textId="77777777">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 </w:t>
            </w:r>
          </w:p>
        </w:tc>
      </w:tr>
    </w:tbl>
    <w:p w:rsidRPr="00404C61" w:rsidR="003C3339" w:rsidP="003C3339" w:rsidRDefault="003C3339" w14:paraId="1CF4AEA0" w14:textId="28CBAF7D">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Estimad</w:t>
      </w:r>
      <w:r>
        <w:rPr>
          <w:rFonts w:ascii="Arial" w:hAnsi="Arial" w:eastAsia="Calibri" w:cs="Arial"/>
          <w:color w:val="000000" w:themeColor="text1"/>
          <w:sz w:val="22"/>
          <w:lang w:val="es-ES_tradnl"/>
        </w:rPr>
        <w:t>o</w:t>
      </w:r>
      <w:r w:rsidRPr="00404C61">
        <w:rPr>
          <w:rFonts w:ascii="Arial" w:hAnsi="Arial" w:eastAsia="Calibri" w:cs="Arial"/>
          <w:color w:val="000000" w:themeColor="text1"/>
          <w:sz w:val="22"/>
          <w:lang w:val="es-ES_tradnl"/>
        </w:rPr>
        <w:t xml:space="preserve"> señor </w:t>
      </w:r>
      <w:proofErr w:type="spellStart"/>
      <w:r>
        <w:rPr>
          <w:rFonts w:ascii="Arial" w:hAnsi="Arial" w:eastAsia="Calibri" w:cs="Arial"/>
          <w:color w:val="000000" w:themeColor="text1"/>
          <w:sz w:val="22"/>
          <w:lang w:val="es-ES_tradnl"/>
        </w:rPr>
        <w:t>Martinelli</w:t>
      </w:r>
      <w:proofErr w:type="spellEnd"/>
      <w:r w:rsidRPr="00404C61">
        <w:rPr>
          <w:rFonts w:ascii="Arial" w:hAnsi="Arial" w:eastAsia="Calibri" w:cs="Arial"/>
          <w:color w:val="000000" w:themeColor="text1"/>
          <w:sz w:val="22"/>
          <w:lang w:val="es-ES_tradnl"/>
        </w:rPr>
        <w:t>:</w:t>
      </w:r>
    </w:p>
    <w:p w:rsidRPr="00404C61" w:rsidR="00DD5B04" w:rsidP="00DF76A2" w:rsidRDefault="00DD5B04" w14:paraId="1EAE5543" w14:textId="77777777">
      <w:pPr>
        <w:jc w:val="both"/>
        <w:rPr>
          <w:rFonts w:ascii="Arial" w:hAnsi="Arial" w:eastAsia="Calibri" w:cs="Arial"/>
          <w:color w:val="000000" w:themeColor="text1"/>
          <w:sz w:val="22"/>
          <w:lang w:val="es-ES_tradnl"/>
        </w:rPr>
      </w:pPr>
    </w:p>
    <w:p w:rsidRPr="00404C61" w:rsidR="00DD5B04" w:rsidP="00DF76A2" w:rsidRDefault="00DD5B04" w14:paraId="2109B2D3" w14:textId="7874DDE5">
      <w:pPr>
        <w:spacing w:line="276" w:lineRule="auto"/>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551BFF">
        <w:rPr>
          <w:rFonts w:ascii="Arial" w:hAnsi="Arial" w:eastAsia="Calibri" w:cs="Arial"/>
          <w:color w:val="000000" w:themeColor="text1"/>
          <w:sz w:val="22"/>
          <w:lang w:val="es-ES_tradnl"/>
        </w:rPr>
        <w:t>9</w:t>
      </w:r>
      <w:r w:rsidRPr="00404C61" w:rsidR="00FD4AF3">
        <w:rPr>
          <w:rFonts w:ascii="Arial" w:hAnsi="Arial" w:eastAsia="Calibri" w:cs="Arial"/>
          <w:color w:val="000000" w:themeColor="text1"/>
          <w:sz w:val="22"/>
          <w:lang w:val="es-ES_tradnl"/>
        </w:rPr>
        <w:t xml:space="preserve"> de </w:t>
      </w:r>
      <w:r w:rsidR="00551BFF">
        <w:rPr>
          <w:rFonts w:ascii="Arial" w:hAnsi="Arial" w:eastAsia="Calibri" w:cs="Arial"/>
          <w:color w:val="000000" w:themeColor="text1"/>
          <w:sz w:val="22"/>
          <w:lang w:val="es-ES_tradnl"/>
        </w:rPr>
        <w:t>noviembre</w:t>
      </w:r>
      <w:r w:rsidRPr="00404C61">
        <w:rPr>
          <w:rFonts w:ascii="Arial" w:hAnsi="Arial" w:eastAsia="Calibri" w:cs="Arial"/>
          <w:color w:val="000000" w:themeColor="text1"/>
          <w:sz w:val="22"/>
          <w:lang w:val="es-ES_tradnl"/>
        </w:rPr>
        <w:t xml:space="preserve"> del</w:t>
      </w:r>
      <w:r w:rsidRPr="00404C61" w:rsidR="007E74BF">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2020</w:t>
      </w:r>
      <w:r w:rsidRPr="00404C61" w:rsidR="00FD4AF3">
        <w:rPr>
          <w:rFonts w:ascii="Arial" w:hAnsi="Arial" w:eastAsia="Calibri" w:cs="Arial"/>
          <w:color w:val="000000" w:themeColor="text1"/>
          <w:sz w:val="22"/>
          <w:lang w:val="es-ES_tradnl"/>
        </w:rPr>
        <w:t>.</w:t>
      </w:r>
    </w:p>
    <w:p w:rsidRPr="00404C61"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404C61"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 xml:space="preserve">Problema planteado </w:t>
      </w:r>
    </w:p>
    <w:p w:rsidRPr="00404C61"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404C61" w:rsidR="00443B55" w:rsidP="0099583D" w:rsidRDefault="00DD5B04" w14:paraId="3C575DE9" w14:textId="48F61693">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Pr="00404C61" w:rsidR="00B422C0">
        <w:rPr>
          <w:rFonts w:ascii="Arial" w:hAnsi="Arial" w:cs="Arial"/>
          <w:color w:val="000000" w:themeColor="text1"/>
          <w:sz w:val="22"/>
          <w:lang w:val="es-ES_tradnl"/>
        </w:rPr>
        <w:t>formula</w:t>
      </w:r>
      <w:r w:rsidRPr="00404C61" w:rsidR="006D46A3">
        <w:rPr>
          <w:rFonts w:ascii="Arial" w:hAnsi="Arial" w:cs="Arial"/>
          <w:color w:val="000000" w:themeColor="text1"/>
          <w:sz w:val="22"/>
          <w:lang w:val="es-ES_tradnl"/>
        </w:rPr>
        <w:t xml:space="preserve"> la</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siguiente</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pregunta</w:t>
      </w:r>
      <w:r w:rsidRPr="00404C61" w:rsidR="00443B55">
        <w:rPr>
          <w:rFonts w:ascii="Arial" w:hAnsi="Arial" w:cs="Arial"/>
          <w:color w:val="000000" w:themeColor="text1"/>
          <w:sz w:val="22"/>
          <w:lang w:val="es-ES_tradnl"/>
        </w:rPr>
        <w:t>s</w:t>
      </w:r>
      <w:r w:rsidRPr="00404C61" w:rsidR="00B422C0">
        <w:rPr>
          <w:rFonts w:ascii="Arial" w:hAnsi="Arial" w:cs="Arial"/>
          <w:color w:val="000000" w:themeColor="text1"/>
          <w:sz w:val="22"/>
          <w:lang w:val="es-ES_tradnl"/>
        </w:rPr>
        <w:t>:</w:t>
      </w:r>
      <w:r w:rsidRPr="00404C61" w:rsidR="007E18DF">
        <w:rPr>
          <w:rFonts w:ascii="Arial" w:hAnsi="Arial" w:cs="Arial"/>
          <w:color w:val="000000" w:themeColor="text1"/>
          <w:sz w:val="22"/>
          <w:lang w:val="es-ES_tradnl"/>
        </w:rPr>
        <w:t xml:space="preserve"> </w:t>
      </w:r>
    </w:p>
    <w:p w:rsidRPr="00404C61" w:rsidR="00443B55" w:rsidP="0099583D" w:rsidRDefault="00443B55" w14:paraId="559EE20C" w14:textId="77777777">
      <w:pPr>
        <w:spacing w:line="276" w:lineRule="auto"/>
        <w:jc w:val="both"/>
        <w:rPr>
          <w:rFonts w:ascii="Arial" w:hAnsi="Arial" w:cs="Arial"/>
          <w:color w:val="000000" w:themeColor="text1"/>
          <w:sz w:val="22"/>
          <w:lang w:val="es-ES_tradnl"/>
        </w:rPr>
      </w:pPr>
    </w:p>
    <w:p w:rsidRPr="00F0435D" w:rsidR="00F0435D" w:rsidP="00F0435D" w:rsidRDefault="00F0435D" w14:paraId="0269D026" w14:textId="2B0DF0AA">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Pr>
          <w:rFonts w:ascii="Arial" w:hAnsi="Arial" w:cs="Arial"/>
          <w:color w:val="000000" w:themeColor="text1"/>
          <w:sz w:val="21"/>
          <w:szCs w:val="21"/>
          <w:lang w:val="es-ES_tradnl"/>
        </w:rPr>
        <w:t>1.</w:t>
      </w:r>
      <w:r>
        <w:rPr>
          <w:rFonts w:ascii="Arial" w:hAnsi="Arial" w:cs="Arial"/>
          <w:color w:val="000000" w:themeColor="text1"/>
          <w:sz w:val="21"/>
          <w:szCs w:val="21"/>
          <w:lang w:val="es-ES_tradnl"/>
        </w:rPr>
        <w:t xml:space="preserve"> </w:t>
      </w:r>
      <w:r w:rsidRPr="00F0435D">
        <w:rPr>
          <w:rFonts w:ascii="Arial" w:hAnsi="Arial" w:cs="Arial"/>
          <w:color w:val="000000" w:themeColor="text1"/>
          <w:sz w:val="21"/>
          <w:szCs w:val="21"/>
          <w:lang w:val="es-ES_tradnl"/>
        </w:rPr>
        <w:t xml:space="preserve">Al convenio interadministrativo le es aplicable la limitante de adición máxima de recursos del 50% sobre el valor inicial establecida en el articulo 40 de la Ley 80 de 1993 o en su defecto se puede superar ese 50%. </w:t>
      </w:r>
    </w:p>
    <w:p w:rsidRPr="00F0435D" w:rsidR="00F0435D" w:rsidP="00F0435D" w:rsidRDefault="00F0435D" w14:paraId="3062E625" w14:textId="77777777">
      <w:pPr>
        <w:ind w:left="709" w:right="709"/>
        <w:jc w:val="both"/>
        <w:rPr>
          <w:rFonts w:ascii="Arial" w:hAnsi="Arial" w:cs="Arial"/>
          <w:color w:val="000000" w:themeColor="text1"/>
          <w:sz w:val="21"/>
          <w:szCs w:val="21"/>
          <w:lang w:val="es-ES_tradnl"/>
        </w:rPr>
      </w:pPr>
    </w:p>
    <w:p w:rsidRPr="00F0435D" w:rsidR="00F0435D" w:rsidP="00F0435D" w:rsidRDefault="00F0435D" w14:paraId="5D23F6F4" w14:textId="60C8EE5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Pr>
          <w:rFonts w:ascii="Arial" w:hAnsi="Arial" w:cs="Arial"/>
          <w:color w:val="000000" w:themeColor="text1"/>
          <w:sz w:val="21"/>
          <w:szCs w:val="21"/>
          <w:lang w:val="es-ES_tradnl"/>
        </w:rPr>
        <w:t xml:space="preserve">2. La disposición establecida en el artículo 40 de la Ley 80 de 1993 le es aplicable al contrato de seguro que suscribe una entidad pública para amparar el cumplimiento de un convenio interadministrativo. </w:t>
      </w:r>
    </w:p>
    <w:p w:rsidRPr="00F0435D" w:rsidR="00F0435D" w:rsidP="00F0435D" w:rsidRDefault="00F0435D" w14:paraId="47C5D37E" w14:textId="77777777">
      <w:pPr>
        <w:ind w:left="709" w:right="709"/>
        <w:jc w:val="both"/>
        <w:rPr>
          <w:rFonts w:ascii="Arial" w:hAnsi="Arial" w:cs="Arial"/>
          <w:color w:val="000000" w:themeColor="text1"/>
          <w:sz w:val="21"/>
          <w:szCs w:val="21"/>
          <w:lang w:val="es-ES_tradnl"/>
        </w:rPr>
      </w:pPr>
    </w:p>
    <w:p w:rsidRPr="00F0435D" w:rsidR="00F0435D" w:rsidP="00F0435D" w:rsidRDefault="00F0435D" w14:paraId="0B4F7559" w14:textId="5CD436B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Pr>
          <w:rFonts w:ascii="Arial" w:hAnsi="Arial" w:cs="Arial"/>
          <w:color w:val="000000" w:themeColor="text1"/>
          <w:sz w:val="21"/>
          <w:szCs w:val="21"/>
          <w:lang w:val="es-ES_tradnl"/>
        </w:rPr>
        <w:t>3.</w:t>
      </w:r>
      <w:r>
        <w:rPr>
          <w:rFonts w:ascii="Arial" w:hAnsi="Arial" w:cs="Arial"/>
          <w:color w:val="000000" w:themeColor="text1"/>
          <w:sz w:val="21"/>
          <w:szCs w:val="21"/>
          <w:lang w:val="es-ES_tradnl"/>
        </w:rPr>
        <w:t xml:space="preserve"> </w:t>
      </w:r>
      <w:r w:rsidRPr="00F0435D">
        <w:rPr>
          <w:rFonts w:ascii="Arial" w:hAnsi="Arial" w:cs="Arial"/>
          <w:color w:val="000000" w:themeColor="text1"/>
          <w:sz w:val="21"/>
          <w:szCs w:val="21"/>
          <w:lang w:val="es-ES_tradnl"/>
        </w:rPr>
        <w:t xml:space="preserve">El pago de las primas derivadas de la ejecución del contrato de seguro que ampara un convenio interadministrativo puede superar el 50% del valor inicialmente pagado por concepto de prima. </w:t>
      </w:r>
    </w:p>
    <w:p w:rsidRPr="00F0435D" w:rsidR="00F0435D" w:rsidP="00F0435D" w:rsidRDefault="00F0435D" w14:paraId="02559261" w14:textId="77777777">
      <w:pPr>
        <w:ind w:left="709" w:right="709"/>
        <w:jc w:val="both"/>
        <w:rPr>
          <w:rFonts w:ascii="Arial" w:hAnsi="Arial" w:cs="Arial"/>
          <w:color w:val="000000" w:themeColor="text1"/>
          <w:sz w:val="21"/>
          <w:szCs w:val="21"/>
          <w:lang w:val="es-ES_tradnl"/>
        </w:rPr>
      </w:pPr>
    </w:p>
    <w:p w:rsidRPr="00A500B1" w:rsidR="008D1A2A" w:rsidP="00F0435D" w:rsidRDefault="00F0435D" w14:paraId="7E8B8948" w14:textId="20EC8CB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Pr>
          <w:rFonts w:ascii="Arial" w:hAnsi="Arial" w:cs="Arial"/>
          <w:color w:val="000000" w:themeColor="text1"/>
          <w:sz w:val="21"/>
          <w:szCs w:val="21"/>
          <w:lang w:val="es-ES_tradnl"/>
        </w:rPr>
        <w:t>4.</w:t>
      </w:r>
      <w:r>
        <w:rPr>
          <w:rFonts w:ascii="Arial" w:hAnsi="Arial" w:cs="Arial"/>
          <w:color w:val="000000" w:themeColor="text1"/>
          <w:sz w:val="21"/>
          <w:szCs w:val="21"/>
          <w:lang w:val="es-ES_tradnl"/>
        </w:rPr>
        <w:t xml:space="preserve"> </w:t>
      </w:r>
      <w:r w:rsidRPr="00F0435D">
        <w:rPr>
          <w:rFonts w:ascii="Arial" w:hAnsi="Arial" w:cs="Arial"/>
          <w:color w:val="000000" w:themeColor="text1"/>
          <w:sz w:val="21"/>
          <w:szCs w:val="21"/>
          <w:lang w:val="es-ES_tradnl"/>
        </w:rPr>
        <w:t xml:space="preserve">De no ser permitido superar el 50% del valor inicialmente pagado por concepto de la prima que ampara un convenio interadministrativo, como opera </w:t>
      </w:r>
      <w:r w:rsidRPr="00F0435D">
        <w:rPr>
          <w:rFonts w:ascii="Arial" w:hAnsi="Arial" w:cs="Arial"/>
          <w:color w:val="000000" w:themeColor="text1"/>
          <w:sz w:val="21"/>
          <w:szCs w:val="21"/>
          <w:lang w:val="es-ES_tradnl"/>
        </w:rPr>
        <w:lastRenderedPageBreak/>
        <w:t>la prohibición de indivisibilidad de la garantía y que</w:t>
      </w:r>
      <w:r>
        <w:rPr>
          <w:rFonts w:ascii="Arial" w:hAnsi="Arial" w:cs="Arial"/>
          <w:color w:val="000000" w:themeColor="text1"/>
          <w:sz w:val="21"/>
          <w:szCs w:val="21"/>
          <w:lang w:val="es-ES_tradnl"/>
        </w:rPr>
        <w:t xml:space="preserve"> (sic)</w:t>
      </w:r>
      <w:r w:rsidRPr="00F0435D">
        <w:rPr>
          <w:rFonts w:ascii="Arial" w:hAnsi="Arial" w:cs="Arial"/>
          <w:color w:val="000000" w:themeColor="text1"/>
          <w:sz w:val="21"/>
          <w:szCs w:val="21"/>
          <w:lang w:val="es-ES_tradnl"/>
        </w:rPr>
        <w:t xml:space="preserve"> pasaría con la cobertura del convenio ante la imposibilidad de poder superar el 50% del valor inicialmente pagado por concepto de prima</w:t>
      </w:r>
      <w:r w:rsidRPr="00A500B1" w:rsidR="00F23759">
        <w:rPr>
          <w:rFonts w:ascii="Arial" w:hAnsi="Arial" w:cs="Arial"/>
          <w:color w:val="000000" w:themeColor="text1"/>
          <w:sz w:val="21"/>
          <w:szCs w:val="21"/>
          <w:lang w:val="es-ES_tradnl"/>
        </w:rPr>
        <w:t>»</w:t>
      </w:r>
      <w:r w:rsidRPr="00A500B1" w:rsidR="00D32A27">
        <w:rPr>
          <w:rFonts w:ascii="Arial" w:hAnsi="Arial" w:cs="Arial"/>
          <w:color w:val="000000" w:themeColor="text1"/>
          <w:sz w:val="21"/>
          <w:szCs w:val="21"/>
          <w:lang w:val="es-ES_tradnl"/>
        </w:rPr>
        <w:t>.</w:t>
      </w:r>
    </w:p>
    <w:p w:rsidRPr="00404C61" w:rsidR="00BE1372" w:rsidP="006A457D" w:rsidRDefault="00BE1372" w14:paraId="0959433F" w14:textId="77777777">
      <w:pPr>
        <w:spacing w:line="276" w:lineRule="auto"/>
        <w:jc w:val="both"/>
        <w:rPr>
          <w:rFonts w:ascii="Arial" w:hAnsi="Arial" w:cs="Arial"/>
          <w:color w:val="000000" w:themeColor="text1"/>
          <w:sz w:val="22"/>
          <w:lang w:val="es-ES_tradnl"/>
        </w:rPr>
      </w:pPr>
    </w:p>
    <w:p w:rsidRPr="00404C61"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Consideraciones</w:t>
      </w:r>
    </w:p>
    <w:p w:rsidRPr="00404C61" w:rsidR="00DD5B04" w:rsidP="00DF76A2" w:rsidRDefault="00DD5B04" w14:paraId="35E25E39" w14:textId="28CA4E22">
      <w:pPr>
        <w:spacing w:line="276" w:lineRule="auto"/>
        <w:jc w:val="both"/>
        <w:rPr>
          <w:rFonts w:ascii="Arial" w:hAnsi="Arial" w:eastAsia="Calibri" w:cs="Arial"/>
          <w:color w:val="000000" w:themeColor="text1"/>
          <w:sz w:val="20"/>
          <w:szCs w:val="20"/>
          <w:lang w:val="es-ES_tradnl"/>
        </w:rPr>
      </w:pPr>
    </w:p>
    <w:p w:rsidRPr="00D047E0" w:rsidR="005C529E" w:rsidP="00B024ED" w:rsidRDefault="005C529E" w14:paraId="20753499" w14:textId="64C1B38A">
      <w:pPr>
        <w:spacing w:line="276" w:lineRule="auto"/>
        <w:contextualSpacing/>
        <w:jc w:val="both"/>
        <w:rPr>
          <w:rFonts w:ascii="Arial" w:hAnsi="Arial" w:eastAsia="Calibri" w:cs="Arial"/>
          <w:color w:val="000000"/>
          <w:sz w:val="22"/>
          <w:lang w:val="es-ES_tradnl" w:eastAsia="en-GB"/>
        </w:rPr>
      </w:pPr>
      <w:r w:rsidRPr="00404C61">
        <w:rPr>
          <w:rFonts w:ascii="Arial" w:hAnsi="Arial" w:eastAsia="Calibri" w:cs="Arial"/>
          <w:color w:val="000000"/>
          <w:sz w:val="22"/>
          <w:lang w:val="es-ES_tradnl" w:eastAsia="en-GB"/>
        </w:rPr>
        <w:t xml:space="preserve">Para abordar </w:t>
      </w:r>
      <w:r w:rsidR="00866495">
        <w:rPr>
          <w:rFonts w:ascii="Arial" w:hAnsi="Arial" w:eastAsia="Calibri" w:cs="Arial"/>
          <w:color w:val="000000"/>
          <w:sz w:val="22"/>
          <w:lang w:val="es-ES_tradnl" w:eastAsia="en-GB"/>
        </w:rPr>
        <w:t>los</w:t>
      </w:r>
      <w:r w:rsidRPr="00404C61">
        <w:rPr>
          <w:rFonts w:ascii="Arial" w:hAnsi="Arial" w:eastAsia="Calibri" w:cs="Arial"/>
          <w:color w:val="000000"/>
          <w:sz w:val="22"/>
          <w:lang w:val="es-ES_tradnl" w:eastAsia="en-GB"/>
        </w:rPr>
        <w:t xml:space="preserve"> interrogante</w:t>
      </w:r>
      <w:r w:rsidR="00866495">
        <w:rPr>
          <w:rFonts w:ascii="Arial" w:hAnsi="Arial" w:eastAsia="Calibri" w:cs="Arial"/>
          <w:color w:val="000000"/>
          <w:sz w:val="22"/>
          <w:lang w:val="es-ES_tradnl" w:eastAsia="en-GB"/>
        </w:rPr>
        <w:t>s</w:t>
      </w:r>
      <w:r w:rsidRPr="00404C61">
        <w:rPr>
          <w:rFonts w:ascii="Arial" w:hAnsi="Arial" w:eastAsia="Calibri" w:cs="Arial"/>
          <w:color w:val="000000"/>
          <w:sz w:val="22"/>
          <w:lang w:val="es-ES_tradnl" w:eastAsia="en-GB"/>
        </w:rPr>
        <w:t xml:space="preserve"> planteado</w:t>
      </w:r>
      <w:r w:rsidR="00866495">
        <w:rPr>
          <w:rFonts w:ascii="Arial" w:hAnsi="Arial" w:eastAsia="Calibri" w:cs="Arial"/>
          <w:color w:val="000000"/>
          <w:sz w:val="22"/>
          <w:lang w:val="es-ES_tradnl" w:eastAsia="en-GB"/>
        </w:rPr>
        <w:t>s</w:t>
      </w:r>
      <w:r w:rsidR="007B303E">
        <w:rPr>
          <w:rFonts w:ascii="Arial" w:hAnsi="Arial" w:eastAsia="Calibri" w:cs="Arial"/>
          <w:color w:val="000000"/>
          <w:sz w:val="22"/>
          <w:lang w:val="es-ES_tradnl" w:eastAsia="en-GB"/>
        </w:rPr>
        <w:t>,</w:t>
      </w:r>
      <w:r w:rsidRPr="00404C61">
        <w:rPr>
          <w:rFonts w:ascii="Arial" w:hAnsi="Arial" w:eastAsia="Calibri" w:cs="Arial"/>
          <w:color w:val="000000"/>
          <w:sz w:val="22"/>
          <w:lang w:val="es-ES_tradnl" w:eastAsia="en-GB"/>
        </w:rPr>
        <w:t xml:space="preserve"> se analizarán los siguientes temas:</w:t>
      </w:r>
      <w:r w:rsidR="00910683">
        <w:rPr>
          <w:rFonts w:ascii="Arial" w:hAnsi="Arial" w:eastAsia="Calibri" w:cs="Arial"/>
          <w:color w:val="000000"/>
          <w:sz w:val="22"/>
          <w:lang w:val="es-ES_tradnl" w:eastAsia="en-GB"/>
        </w:rPr>
        <w:t xml:space="preserve"> </w:t>
      </w:r>
      <w:r w:rsidRPr="00D047E0" w:rsidR="00B024ED">
        <w:rPr>
          <w:rFonts w:ascii="Arial" w:hAnsi="Arial" w:eastAsia="Calibri" w:cs="Arial"/>
          <w:color w:val="000000"/>
          <w:sz w:val="22"/>
          <w:lang w:val="es-ES_tradnl" w:eastAsia="en-GB"/>
        </w:rPr>
        <w:t>i</w:t>
      </w:r>
      <w:r w:rsidR="00D047E0">
        <w:rPr>
          <w:rFonts w:ascii="Arial" w:hAnsi="Arial" w:eastAsia="Calibri" w:cs="Arial"/>
          <w:color w:val="000000"/>
          <w:sz w:val="22"/>
          <w:lang w:val="es-ES_tradnl" w:eastAsia="en-GB"/>
        </w:rPr>
        <w:t xml:space="preserve">) </w:t>
      </w:r>
      <w:r w:rsidR="00985102">
        <w:rPr>
          <w:rFonts w:ascii="Arial" w:hAnsi="Arial" w:eastAsia="Calibri" w:cs="Arial"/>
          <w:color w:val="000000"/>
          <w:sz w:val="22"/>
          <w:lang w:val="es-ES_tradnl" w:eastAsia="en-GB"/>
        </w:rPr>
        <w:t xml:space="preserve">definición y régimen de </w:t>
      </w:r>
      <w:r w:rsidR="00D047E0">
        <w:rPr>
          <w:rFonts w:ascii="Arial" w:hAnsi="Arial" w:eastAsia="Calibri" w:cs="Arial"/>
          <w:color w:val="000000"/>
          <w:sz w:val="22"/>
          <w:lang w:val="es-ES_tradnl" w:eastAsia="en-GB"/>
        </w:rPr>
        <w:t>los contratos interadministrativos, ii)</w:t>
      </w:r>
      <w:r w:rsidR="00985102">
        <w:rPr>
          <w:rFonts w:ascii="Arial" w:hAnsi="Arial" w:eastAsia="Calibri" w:cs="Arial"/>
          <w:color w:val="000000"/>
          <w:sz w:val="22"/>
          <w:lang w:val="es-ES_tradnl" w:eastAsia="en-GB"/>
        </w:rPr>
        <w:t xml:space="preserve"> </w:t>
      </w:r>
      <w:r w:rsidR="00D047E0">
        <w:rPr>
          <w:rFonts w:ascii="Arial" w:hAnsi="Arial" w:eastAsia="Calibri" w:cs="Arial"/>
          <w:color w:val="000000"/>
          <w:sz w:val="22"/>
          <w:lang w:val="es-ES_tradnl" w:eastAsia="en-GB"/>
        </w:rPr>
        <w:t xml:space="preserve">límite </w:t>
      </w:r>
      <w:r w:rsidR="00985102">
        <w:rPr>
          <w:rFonts w:ascii="Arial" w:hAnsi="Arial" w:eastAsia="Calibri" w:cs="Arial"/>
          <w:color w:val="000000"/>
          <w:sz w:val="22"/>
          <w:lang w:val="es-ES_tradnl" w:eastAsia="en-GB"/>
        </w:rPr>
        <w:t>a</w:t>
      </w:r>
      <w:r w:rsidR="00D047E0">
        <w:rPr>
          <w:rFonts w:ascii="Arial" w:hAnsi="Arial" w:eastAsia="Calibri" w:cs="Arial"/>
          <w:color w:val="000000"/>
          <w:sz w:val="22"/>
          <w:lang w:val="es-ES_tradnl" w:eastAsia="en-GB"/>
        </w:rPr>
        <w:t xml:space="preserve"> la adición de los contratos estatales y iii) </w:t>
      </w:r>
      <w:r w:rsidR="00DE1410">
        <w:rPr>
          <w:rFonts w:ascii="Arial" w:hAnsi="Arial" w:eastAsia="Calibri" w:cs="Arial"/>
          <w:color w:val="000000"/>
          <w:sz w:val="22"/>
          <w:lang w:val="es-ES_tradnl" w:eastAsia="en-GB"/>
        </w:rPr>
        <w:t>la aplicación de</w:t>
      </w:r>
      <w:r w:rsidR="00985102">
        <w:rPr>
          <w:rFonts w:ascii="Arial" w:hAnsi="Arial" w:eastAsia="Calibri" w:cs="Arial"/>
          <w:color w:val="000000"/>
          <w:sz w:val="22"/>
          <w:lang w:val="es-ES_tradnl" w:eastAsia="en-GB"/>
        </w:rPr>
        <w:t xml:space="preserve"> dich</w:t>
      </w:r>
      <w:r w:rsidR="008A6DF0">
        <w:rPr>
          <w:rFonts w:ascii="Arial" w:hAnsi="Arial" w:eastAsia="Calibri" w:cs="Arial"/>
          <w:color w:val="000000"/>
          <w:sz w:val="22"/>
          <w:lang w:val="es-ES_tradnl" w:eastAsia="en-GB"/>
        </w:rPr>
        <w:t>a</w:t>
      </w:r>
      <w:r w:rsidR="00985102">
        <w:rPr>
          <w:rFonts w:ascii="Arial" w:hAnsi="Arial" w:eastAsia="Calibri" w:cs="Arial"/>
          <w:color w:val="000000"/>
          <w:sz w:val="22"/>
          <w:lang w:val="es-ES_tradnl" w:eastAsia="en-GB"/>
        </w:rPr>
        <w:t xml:space="preserve"> </w:t>
      </w:r>
      <w:r w:rsidR="008A6DF0">
        <w:rPr>
          <w:rFonts w:ascii="Arial" w:hAnsi="Arial" w:eastAsia="Calibri" w:cs="Arial"/>
          <w:color w:val="000000"/>
          <w:sz w:val="22"/>
          <w:lang w:val="es-ES_tradnl" w:eastAsia="en-GB"/>
        </w:rPr>
        <w:t>restricción</w:t>
      </w:r>
      <w:r w:rsidR="00DE1410">
        <w:rPr>
          <w:rFonts w:ascii="Arial" w:hAnsi="Arial" w:eastAsia="Calibri" w:cs="Arial"/>
          <w:color w:val="000000"/>
          <w:sz w:val="22"/>
          <w:lang w:val="es-ES_tradnl" w:eastAsia="en-GB"/>
        </w:rPr>
        <w:t xml:space="preserve"> </w:t>
      </w:r>
      <w:r w:rsidR="00985102">
        <w:rPr>
          <w:rFonts w:ascii="Arial" w:hAnsi="Arial" w:eastAsia="Calibri" w:cs="Arial"/>
          <w:color w:val="000000"/>
          <w:sz w:val="22"/>
          <w:lang w:val="es-ES_tradnl" w:eastAsia="en-GB"/>
        </w:rPr>
        <w:t>a</w:t>
      </w:r>
      <w:r w:rsidR="00DE1410">
        <w:rPr>
          <w:rFonts w:ascii="Arial" w:hAnsi="Arial" w:eastAsia="Calibri" w:cs="Arial"/>
          <w:color w:val="000000"/>
          <w:sz w:val="22"/>
          <w:lang w:val="es-ES_tradnl" w:eastAsia="en-GB"/>
        </w:rPr>
        <w:t xml:space="preserve"> la adición </w:t>
      </w:r>
      <w:r w:rsidR="00985102">
        <w:rPr>
          <w:rFonts w:ascii="Arial" w:hAnsi="Arial" w:eastAsia="Calibri" w:cs="Arial"/>
          <w:color w:val="000000"/>
          <w:sz w:val="22"/>
          <w:lang w:val="es-ES_tradnl" w:eastAsia="en-GB"/>
        </w:rPr>
        <w:t>de</w:t>
      </w:r>
      <w:r w:rsidR="00DE1410">
        <w:rPr>
          <w:rFonts w:ascii="Arial" w:hAnsi="Arial" w:eastAsia="Calibri" w:cs="Arial"/>
          <w:color w:val="000000"/>
          <w:sz w:val="22"/>
          <w:lang w:val="es-ES_tradnl" w:eastAsia="en-GB"/>
        </w:rPr>
        <w:t xml:space="preserve"> los contratos de seguro que garantizan los contratos interadministrativos.</w:t>
      </w:r>
    </w:p>
    <w:p w:rsidRPr="004427AC" w:rsidR="004427AC" w:rsidP="004427AC" w:rsidRDefault="004427AC" w14:paraId="28C030F4" w14:textId="3059EF10">
      <w:pPr>
        <w:tabs>
          <w:tab w:val="left" w:pos="0"/>
        </w:tabs>
        <w:spacing w:before="120" w:line="276" w:lineRule="auto"/>
        <w:ind w:firstLine="709"/>
        <w:jc w:val="both"/>
        <w:rPr>
          <w:rFonts w:ascii="Arial" w:hAnsi="Arial" w:eastAsia="Calibri" w:cs="Arial"/>
          <w:b/>
          <w:color w:val="000000" w:themeColor="text1"/>
          <w:sz w:val="22"/>
        </w:rPr>
      </w:pPr>
      <w:r w:rsidRPr="00963B42">
        <w:rPr>
          <w:rFonts w:ascii="Arial" w:hAnsi="Arial" w:eastAsia="Calibri" w:cs="Arial"/>
          <w:color w:val="000000" w:themeColor="text1"/>
          <w:sz w:val="22"/>
        </w:rPr>
        <w:t>La Agencia Nacional de Contratación Pública</w:t>
      </w:r>
      <w:r w:rsidR="00772275">
        <w:rPr>
          <w:rFonts w:ascii="Arial" w:hAnsi="Arial" w:eastAsia="Calibri" w:cs="Arial"/>
          <w:color w:val="000000" w:themeColor="text1"/>
          <w:sz w:val="22"/>
        </w:rPr>
        <w:t xml:space="preserve"> – </w:t>
      </w:r>
      <w:r w:rsidRPr="00963B42">
        <w:rPr>
          <w:rFonts w:ascii="Arial" w:hAnsi="Arial" w:eastAsia="Calibri" w:cs="Arial"/>
          <w:color w:val="000000" w:themeColor="text1"/>
          <w:sz w:val="22"/>
        </w:rPr>
        <w:t>Colombia Compra Eficiente, en el concepto con radicado No. 4201913000004536 del 22 de julio de 2019, reiterado y desarrollado en los conceptos identificados con radicado No. 4201913000004446 del 13 de agosto de 2019,</w:t>
      </w:r>
      <w:r w:rsidR="001A0AF8">
        <w:rPr>
          <w:rFonts w:ascii="Arial" w:hAnsi="Arial" w:eastAsia="Calibri" w:cs="Arial"/>
          <w:color w:val="000000" w:themeColor="text1"/>
          <w:sz w:val="22"/>
        </w:rPr>
        <w:t xml:space="preserve"> </w:t>
      </w:r>
      <w:r w:rsidRPr="00963B42">
        <w:rPr>
          <w:rFonts w:ascii="Arial" w:hAnsi="Arial" w:eastAsia="Calibri" w:cs="Arial"/>
          <w:color w:val="000000" w:themeColor="text1"/>
          <w:sz w:val="22"/>
        </w:rPr>
        <w:t>4201912000004954 del 5 de septiembre de 2019 y</w:t>
      </w:r>
      <w:r w:rsidR="001A0AF8">
        <w:rPr>
          <w:rFonts w:ascii="Arial" w:hAnsi="Arial" w:eastAsia="Calibri" w:cs="Arial"/>
          <w:color w:val="000000" w:themeColor="text1"/>
          <w:sz w:val="22"/>
        </w:rPr>
        <w:t xml:space="preserve"> </w:t>
      </w:r>
      <w:r w:rsidRPr="00963B42">
        <w:rPr>
          <w:rFonts w:ascii="Arial" w:hAnsi="Arial" w:eastAsia="Calibri" w:cs="Arial"/>
          <w:color w:val="000000" w:themeColor="text1"/>
          <w:sz w:val="22"/>
        </w:rPr>
        <w:t xml:space="preserve">4201913000007429 del 25 de noviembre de 2019, estudió los </w:t>
      </w:r>
      <w:r w:rsidR="001A0AF8">
        <w:rPr>
          <w:rFonts w:ascii="Arial" w:hAnsi="Arial" w:eastAsia="Calibri" w:cs="Arial"/>
          <w:color w:val="000000" w:themeColor="text1"/>
          <w:sz w:val="22"/>
        </w:rPr>
        <w:t>contratos</w:t>
      </w:r>
      <w:r w:rsidRPr="00963B42">
        <w:rPr>
          <w:rFonts w:ascii="Arial" w:hAnsi="Arial" w:eastAsia="Calibri" w:cs="Arial"/>
          <w:color w:val="000000" w:themeColor="text1"/>
          <w:sz w:val="22"/>
        </w:rPr>
        <w:t xml:space="preserve"> interadministrativos. </w:t>
      </w:r>
      <w:r w:rsidR="005F54DF">
        <w:rPr>
          <w:rFonts w:ascii="Arial" w:hAnsi="Arial" w:eastAsia="Calibri" w:cs="Arial"/>
          <w:color w:val="000000" w:themeColor="text1"/>
          <w:sz w:val="22"/>
        </w:rPr>
        <w:t>M</w:t>
      </w:r>
      <w:r w:rsidRPr="00963B42">
        <w:rPr>
          <w:rFonts w:ascii="Arial" w:hAnsi="Arial" w:eastAsia="Calibri" w:cs="Arial"/>
          <w:color w:val="000000" w:themeColor="text1"/>
          <w:sz w:val="22"/>
        </w:rPr>
        <w:t>ediante Concepto C-023 de 2020, expedido en respuesta a la consulta con radicado 4202012000000001 se abordó nuevamente el tema.</w:t>
      </w:r>
      <w:r w:rsidR="00440096">
        <w:rPr>
          <w:rFonts w:ascii="Arial" w:hAnsi="Arial" w:eastAsia="Calibri" w:cs="Arial"/>
          <w:color w:val="000000" w:themeColor="text1"/>
          <w:sz w:val="22"/>
        </w:rPr>
        <w:t xml:space="preserve"> </w:t>
      </w:r>
      <w:r w:rsidRPr="00440096" w:rsidR="00440096">
        <w:rPr>
          <w:rFonts w:ascii="Arial" w:hAnsi="Arial" w:eastAsia="Calibri" w:cs="Arial"/>
          <w:color w:val="000000" w:themeColor="text1"/>
          <w:sz w:val="22"/>
        </w:rPr>
        <w:t>De otro lado, en los conceptos C–062 del 25 de marzo de 2020, C–100 del 27 de marzo de 2020, C–318 del 28 de mayo de 2020 y C–452 del 28 de julio de 2020 se refirió a la adición de los contratos estatales y sus límites en los contratos regidos por la Ley 80 de 1993, por lo que se reiterarán y ampliarán las consideraciones de dichos conceptos.</w:t>
      </w:r>
      <w:r w:rsidRPr="00963B42">
        <w:rPr>
          <w:rFonts w:ascii="Arial" w:hAnsi="Arial" w:eastAsia="Calibri" w:cs="Arial"/>
          <w:color w:val="000000" w:themeColor="text1"/>
          <w:sz w:val="22"/>
        </w:rPr>
        <w:t xml:space="preserve"> </w:t>
      </w:r>
    </w:p>
    <w:p w:rsidR="004427AC" w:rsidP="00510DE9" w:rsidRDefault="004427AC" w14:paraId="2427DFC4" w14:textId="77777777">
      <w:pPr>
        <w:tabs>
          <w:tab w:val="left" w:pos="0"/>
        </w:tabs>
        <w:jc w:val="both"/>
        <w:rPr>
          <w:rFonts w:ascii="Arial" w:hAnsi="Arial" w:eastAsia="Calibri" w:cs="Arial"/>
          <w:b/>
          <w:color w:val="000000" w:themeColor="text1"/>
          <w:sz w:val="22"/>
        </w:rPr>
      </w:pPr>
    </w:p>
    <w:p w:rsidRPr="00963B42" w:rsidR="00C419F4" w:rsidP="00C419F4" w:rsidRDefault="00C419F4" w14:paraId="5BD851F1" w14:textId="0C2DB4D3">
      <w:pPr>
        <w:spacing w:line="276" w:lineRule="auto"/>
        <w:jc w:val="both"/>
        <w:rPr>
          <w:rFonts w:ascii="Arial" w:hAnsi="Arial" w:eastAsia="Calibri" w:cs="Arial"/>
          <w:b/>
          <w:color w:val="000000" w:themeColor="text1"/>
          <w:sz w:val="22"/>
          <w:lang w:val="es-ES_tradnl"/>
        </w:rPr>
      </w:pPr>
      <w:r w:rsidRPr="00963B42">
        <w:rPr>
          <w:rFonts w:ascii="Arial" w:hAnsi="Arial" w:eastAsia="Calibri" w:cs="Arial"/>
          <w:b/>
          <w:color w:val="000000" w:themeColor="text1"/>
          <w:sz w:val="22"/>
          <w:lang w:val="es-ES_tradnl"/>
        </w:rPr>
        <w:t>2.</w:t>
      </w:r>
      <w:r w:rsidR="00F66282">
        <w:rPr>
          <w:rFonts w:ascii="Arial" w:hAnsi="Arial" w:eastAsia="Calibri" w:cs="Arial"/>
          <w:b/>
          <w:color w:val="000000" w:themeColor="text1"/>
          <w:sz w:val="22"/>
          <w:lang w:val="es-ES_tradnl"/>
        </w:rPr>
        <w:t>1</w:t>
      </w:r>
      <w:r w:rsidRPr="00963B42">
        <w:rPr>
          <w:rFonts w:ascii="Arial" w:hAnsi="Arial" w:eastAsia="Calibri" w:cs="Arial"/>
          <w:b/>
          <w:color w:val="000000" w:themeColor="text1"/>
          <w:sz w:val="22"/>
          <w:lang w:val="es-ES_tradnl"/>
        </w:rPr>
        <w:t>. Contratos interadministrativos. Concepto y régimen jurídico aplicable</w:t>
      </w:r>
    </w:p>
    <w:p w:rsidR="00843698" w:rsidP="00843698" w:rsidRDefault="00843698" w14:paraId="2D2AF61C" w14:textId="77777777">
      <w:pPr>
        <w:spacing w:line="276" w:lineRule="auto"/>
        <w:jc w:val="both"/>
        <w:rPr>
          <w:rFonts w:ascii="Arial" w:hAnsi="Arial" w:eastAsia="Calibri" w:cs="Arial"/>
          <w:color w:val="000000" w:themeColor="text1"/>
          <w:sz w:val="22"/>
        </w:rPr>
      </w:pPr>
    </w:p>
    <w:p w:rsidRPr="00963B42" w:rsidR="00C419F4" w:rsidP="00843698" w:rsidRDefault="00C419F4" w14:paraId="6C92C021" w14:textId="5BECAE1A">
      <w:pPr>
        <w:spacing w:after="120" w:line="276" w:lineRule="auto"/>
        <w:jc w:val="both"/>
        <w:rPr>
          <w:rFonts w:ascii="Arial" w:hAnsi="Arial" w:eastAsia="Calibri" w:cs="Arial"/>
          <w:color w:val="000000" w:themeColor="text1"/>
          <w:sz w:val="22"/>
        </w:rPr>
      </w:pPr>
      <w:r w:rsidRPr="00963B42">
        <w:rPr>
          <w:rFonts w:ascii="Arial" w:hAnsi="Arial" w:eastAsia="Calibri" w:cs="Arial"/>
          <w:color w:val="000000" w:themeColor="text1"/>
          <w:sz w:val="22"/>
        </w:rPr>
        <w:t>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de 1993― se aplica a las entidades estatales relacionadas en el artículo 2</w:t>
      </w:r>
      <w:r w:rsidR="00167503">
        <w:rPr>
          <w:rFonts w:ascii="Arial" w:hAnsi="Arial" w:eastAsia="Calibri" w:cs="Arial"/>
          <w:color w:val="000000" w:themeColor="text1"/>
          <w:sz w:val="22"/>
        </w:rPr>
        <w:t xml:space="preserve"> </w:t>
      </w:r>
      <w:r w:rsidRPr="00963B42">
        <w:rPr>
          <w:rFonts w:ascii="Arial" w:hAnsi="Arial" w:eastAsia="Calibri" w:cs="Arial"/>
          <w:color w:val="000000" w:themeColor="text1"/>
          <w:sz w:val="22"/>
        </w:rPr>
        <w:t xml:space="preserve">y demás normas que lo complementan, con lo cual se puede determinar quiénes deben cumplir los principios y obligaciones señalados en las normas citadas. </w:t>
      </w:r>
    </w:p>
    <w:p w:rsidRPr="00963B42" w:rsidR="00C419F4" w:rsidP="00C419F4" w:rsidRDefault="00C419F4" w14:paraId="54E1B065" w14:textId="77777777">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963B42">
        <w:rPr>
          <w:rStyle w:val="Refdenotaalpie"/>
          <w:rFonts w:ascii="Arial" w:hAnsi="Arial" w:eastAsia="Calibri" w:cs="Arial"/>
          <w:color w:val="000000" w:themeColor="text1"/>
          <w:sz w:val="22"/>
        </w:rPr>
        <w:footnoteReference w:id="2"/>
      </w:r>
      <w:r w:rsidRPr="00963B42">
        <w:rPr>
          <w:rFonts w:ascii="Arial" w:hAnsi="Arial" w:eastAsia="Calibri" w:cs="Arial"/>
          <w:color w:val="000000" w:themeColor="text1"/>
          <w:sz w:val="22"/>
        </w:rPr>
        <w:t xml:space="preserve">. </w:t>
      </w:r>
    </w:p>
    <w:p w:rsidRPr="00963B42" w:rsidR="00C419F4" w:rsidP="00C419F4" w:rsidRDefault="00C419F4" w14:paraId="7138ED94" w14:textId="77777777">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lastRenderedPageBreak/>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rsidRPr="00963B42" w:rsidR="00C419F4" w:rsidP="00C419F4" w:rsidRDefault="00C419F4" w14:paraId="2FFF2D45" w14:textId="558BCF17">
      <w:pPr>
        <w:spacing w:before="120" w:after="120" w:line="276" w:lineRule="auto"/>
        <w:ind w:firstLine="709"/>
        <w:jc w:val="both"/>
        <w:rPr>
          <w:rFonts w:ascii="Arial" w:hAnsi="Arial" w:eastAsia="Calibri" w:cs="Arial"/>
          <w:color w:val="000000" w:themeColor="text1"/>
          <w:sz w:val="22"/>
        </w:rPr>
      </w:pPr>
      <w:r w:rsidRPr="00963B42">
        <w:rPr>
          <w:rFonts w:ascii="Arial" w:hAnsi="Arial" w:eastAsia="Calibri" w:cs="Arial"/>
          <w:color w:val="000000" w:themeColor="text1"/>
          <w:sz w:val="22"/>
        </w:rPr>
        <w:t xml:space="preserve">Sobre la tipología de </w:t>
      </w:r>
      <w:r w:rsidR="00AE1772">
        <w:rPr>
          <w:rFonts w:ascii="Arial" w:hAnsi="Arial" w:eastAsia="Calibri" w:cs="Arial"/>
          <w:color w:val="000000" w:themeColor="text1"/>
          <w:sz w:val="22"/>
        </w:rPr>
        <w:t>contrato</w:t>
      </w:r>
      <w:r w:rsidRPr="00963B42">
        <w:rPr>
          <w:rFonts w:ascii="Arial" w:hAnsi="Arial" w:eastAsia="Calibri" w:cs="Arial"/>
          <w:color w:val="000000" w:themeColor="text1"/>
          <w:sz w:val="22"/>
        </w:rPr>
        <w:t xml:space="preserve"> interadministrativo, </w:t>
      </w:r>
      <w:r w:rsidR="00AE1772">
        <w:rPr>
          <w:rFonts w:ascii="Arial" w:hAnsi="Arial" w:eastAsia="Calibri" w:cs="Arial"/>
          <w:color w:val="000000" w:themeColor="text1"/>
          <w:sz w:val="22"/>
        </w:rPr>
        <w:t xml:space="preserve">cabe señalar que </w:t>
      </w:r>
      <w:r w:rsidRPr="00963B42">
        <w:rPr>
          <w:rFonts w:ascii="Arial" w:hAnsi="Arial" w:eastAsia="Calibri" w:cs="Arial"/>
          <w:color w:val="000000" w:themeColor="text1"/>
          <w:sz w:val="22"/>
        </w:rPr>
        <w:t>fue creado en la Ley 80 de 1993</w:t>
      </w:r>
      <w:r w:rsidR="00EE5454">
        <w:rPr>
          <w:rFonts w:ascii="Arial" w:hAnsi="Arial" w:eastAsia="Calibri" w:cs="Arial"/>
          <w:color w:val="000000" w:themeColor="text1"/>
          <w:sz w:val="22"/>
        </w:rPr>
        <w:t>. A</w:t>
      </w:r>
      <w:r w:rsidRPr="00963B42">
        <w:rPr>
          <w:rFonts w:ascii="Arial" w:hAnsi="Arial" w:eastAsia="Calibri" w:cs="Arial"/>
          <w:color w:val="000000" w:themeColor="text1"/>
          <w:sz w:val="22"/>
        </w:rPr>
        <w:t xml:space="preserve">unque no lo definió ni desarrolló, el Decreto 1082 de 2015, «Por medio del cual se expide el Decreto único reglamentario del sector administrativo de planeación nacional», califica a los convenios o contratos interadministrativos como </w:t>
      </w:r>
      <w:r w:rsidR="006D658F">
        <w:rPr>
          <w:rFonts w:ascii="Arial" w:hAnsi="Arial" w:eastAsia="Calibri" w:cs="Arial"/>
          <w:color w:val="000000" w:themeColor="text1"/>
          <w:sz w:val="22"/>
        </w:rPr>
        <w:t xml:space="preserve">aquellos negocios celebrados </w:t>
      </w:r>
      <w:r w:rsidRPr="00963B42">
        <w:rPr>
          <w:rFonts w:ascii="Arial" w:hAnsi="Arial" w:eastAsia="Calibri" w:cs="Arial"/>
          <w:color w:val="000000" w:themeColor="text1"/>
          <w:sz w:val="22"/>
        </w:rPr>
        <w:t>entre entidades estatales</w:t>
      </w:r>
      <w:r w:rsidRPr="00963B42">
        <w:rPr>
          <w:rStyle w:val="Refdenotaalpie"/>
          <w:rFonts w:ascii="Arial" w:hAnsi="Arial" w:eastAsia="Calibri" w:cs="Arial"/>
          <w:color w:val="000000" w:themeColor="text1"/>
          <w:sz w:val="22"/>
        </w:rPr>
        <w:footnoteReference w:id="3"/>
      </w:r>
      <w:r w:rsidRPr="00963B42">
        <w:rPr>
          <w:rFonts w:ascii="Arial" w:hAnsi="Arial" w:eastAsia="Calibri" w:cs="Arial"/>
          <w:color w:val="000000" w:themeColor="text1"/>
          <w:sz w:val="22"/>
        </w:rPr>
        <w:t>.</w:t>
      </w:r>
    </w:p>
    <w:p w:rsidRPr="00963B42" w:rsidR="00C419F4" w:rsidP="00C419F4" w:rsidRDefault="00C419F4" w14:paraId="6B78761F" w14:textId="1F4B37B6">
      <w:pPr>
        <w:spacing w:before="120" w:after="120" w:line="276" w:lineRule="auto"/>
        <w:jc w:val="both"/>
        <w:rPr>
          <w:rFonts w:ascii="Arial" w:hAnsi="Arial" w:eastAsia="Calibri" w:cs="Arial"/>
          <w:color w:val="000000" w:themeColor="text1"/>
          <w:sz w:val="22"/>
        </w:rPr>
      </w:pPr>
      <w:r w:rsidRPr="00963B42">
        <w:rPr>
          <w:rFonts w:ascii="Arial" w:hAnsi="Arial" w:cs="Arial"/>
          <w:color w:val="000000" w:themeColor="text1"/>
          <w:sz w:val="22"/>
        </w:rPr>
        <w:tab/>
      </w:r>
      <w:r w:rsidRPr="00963B42">
        <w:rPr>
          <w:rFonts w:ascii="Arial" w:hAnsi="Arial" w:eastAsia="Calibri" w:cs="Arial"/>
          <w:color w:val="000000" w:themeColor="text1"/>
          <w:sz w:val="22"/>
        </w:rPr>
        <w:t xml:space="preserve">De acuerdo con lo anterior, el contrato o convenio interadministrativo es el acuerdo donde concurre la voluntad de dos o más </w:t>
      </w:r>
      <w:r w:rsidR="003533F4">
        <w:rPr>
          <w:rFonts w:ascii="Arial" w:hAnsi="Arial" w:eastAsia="Calibri" w:cs="Arial"/>
          <w:color w:val="000000" w:themeColor="text1"/>
          <w:sz w:val="22"/>
        </w:rPr>
        <w:t>entidades</w:t>
      </w:r>
      <w:r w:rsidRPr="00963B42">
        <w:rPr>
          <w:rFonts w:ascii="Arial" w:hAnsi="Arial" w:eastAsia="Calibri" w:cs="Arial"/>
          <w:color w:val="000000" w:themeColor="text1"/>
          <w:sz w:val="22"/>
        </w:rPr>
        <w:t xml:space="preserve"> de </w:t>
      </w:r>
      <w:r w:rsidR="003533F4">
        <w:rPr>
          <w:rFonts w:ascii="Arial" w:hAnsi="Arial" w:eastAsia="Calibri" w:cs="Arial"/>
          <w:color w:val="000000" w:themeColor="text1"/>
          <w:sz w:val="22"/>
        </w:rPr>
        <w:t>naturaleza jurídica pública</w:t>
      </w:r>
      <w:r w:rsidRPr="00963B42">
        <w:rPr>
          <w:rFonts w:ascii="Arial" w:hAnsi="Arial" w:eastAsia="Calibri" w:cs="Arial"/>
          <w:color w:val="000000" w:themeColor="text1"/>
          <w:sz w:val="22"/>
        </w:rPr>
        <w:t xml:space="preserve">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Pr="00963B42" w:rsidR="00C419F4" w:rsidP="00C419F4" w:rsidRDefault="00C419F4" w14:paraId="07587D19" w14:textId="0DC62D83">
      <w:pPr>
        <w:spacing w:before="120" w:after="120" w:line="276" w:lineRule="auto"/>
        <w:ind w:firstLine="708"/>
        <w:jc w:val="both"/>
        <w:rPr>
          <w:rFonts w:ascii="Arial" w:hAnsi="Arial" w:cs="Arial"/>
          <w:color w:val="000000" w:themeColor="text1"/>
          <w:sz w:val="22"/>
        </w:rPr>
      </w:pPr>
      <w:r w:rsidRPr="00963B42">
        <w:rPr>
          <w:rFonts w:ascii="Arial" w:hAnsi="Arial" w:eastAsia="Calibri" w:cs="Arial"/>
          <w:color w:val="000000" w:themeColor="text1"/>
          <w:sz w:val="22"/>
        </w:rPr>
        <w:t>Si bien los contratos o convenios interadministrativos están previstos en la Ley 80 de 1993, en la Ley 1150 de 2007 y en el Decreto en el 1082 de 2015, no quiere decir que solo puedan celebrarse entre entidades estatales que apliquen el régimen de contratación previsto</w:t>
      </w:r>
      <w:r w:rsidR="005A7191">
        <w:rPr>
          <w:rFonts w:ascii="Arial" w:hAnsi="Arial" w:eastAsia="Calibri" w:cs="Arial"/>
          <w:color w:val="000000" w:themeColor="text1"/>
          <w:sz w:val="22"/>
        </w:rPr>
        <w:t xml:space="preserve"> en esa normatividad</w:t>
      </w:r>
      <w:r w:rsidR="00C14639">
        <w:rPr>
          <w:rFonts w:ascii="Arial" w:hAnsi="Arial" w:eastAsia="Calibri" w:cs="Arial"/>
          <w:color w:val="000000" w:themeColor="text1"/>
          <w:sz w:val="22"/>
        </w:rPr>
        <w:t>. En efecto,</w:t>
      </w:r>
      <w:r w:rsidRPr="00963B42">
        <w:rPr>
          <w:rFonts w:ascii="Arial" w:hAnsi="Arial" w:eastAsia="Calibri" w:cs="Arial"/>
          <w:color w:val="000000" w:themeColor="text1"/>
          <w:sz w:val="22"/>
        </w:rPr>
        <w:t xml:space="preserve"> bien puede una entidad estatal </w:t>
      </w:r>
      <w:r w:rsidR="00D8075E">
        <w:rPr>
          <w:rFonts w:ascii="Arial" w:hAnsi="Arial" w:eastAsia="Calibri" w:cs="Arial"/>
          <w:color w:val="000000" w:themeColor="text1"/>
          <w:sz w:val="22"/>
        </w:rPr>
        <w:t>sometida a la</w:t>
      </w:r>
      <w:r w:rsidRPr="00963B42">
        <w:rPr>
          <w:rFonts w:ascii="Arial" w:hAnsi="Arial" w:eastAsia="Calibri" w:cs="Arial"/>
          <w:color w:val="000000" w:themeColor="text1"/>
          <w:sz w:val="22"/>
        </w:rPr>
        <w:t xml:space="preserve"> Ley 80 de 1993 celebrar esta clase de convenios con una entidad estatal de régimen especial y no por ello dejará de ser un contrato o convenio interadministrativo</w:t>
      </w:r>
      <w:r w:rsidR="00C14639">
        <w:rPr>
          <w:rFonts w:ascii="Arial" w:hAnsi="Arial" w:eastAsia="Calibri" w:cs="Arial"/>
          <w:color w:val="000000" w:themeColor="text1"/>
          <w:sz w:val="22"/>
        </w:rPr>
        <w:t>.</w:t>
      </w:r>
      <w:r w:rsidRPr="00963B42">
        <w:rPr>
          <w:rFonts w:ascii="Arial" w:hAnsi="Arial" w:eastAsia="Calibri" w:cs="Arial"/>
          <w:color w:val="000000" w:themeColor="text1"/>
          <w:sz w:val="22"/>
        </w:rPr>
        <w:t xml:space="preserve"> </w:t>
      </w:r>
      <w:r w:rsidR="00C14639">
        <w:rPr>
          <w:rFonts w:ascii="Arial" w:hAnsi="Arial" w:eastAsia="Calibri" w:cs="Arial"/>
          <w:color w:val="000000" w:themeColor="text1"/>
          <w:sz w:val="22"/>
        </w:rPr>
        <w:t>En este caso,</w:t>
      </w:r>
      <w:r w:rsidRPr="00963B42">
        <w:rPr>
          <w:rFonts w:ascii="Arial" w:hAnsi="Arial" w:eastAsia="Calibri" w:cs="Arial"/>
          <w:color w:val="000000" w:themeColor="text1"/>
          <w:sz w:val="22"/>
        </w:rPr>
        <w:t xml:space="preserve"> su ejecución estará sometida a la Ley 80 de 1993</w:t>
      </w:r>
      <w:r w:rsidRPr="00963B42">
        <w:rPr>
          <w:rStyle w:val="Refdenotaalpie"/>
          <w:rFonts w:ascii="Arial" w:hAnsi="Arial" w:eastAsia="Calibri" w:cs="Arial"/>
          <w:color w:val="000000" w:themeColor="text1"/>
          <w:sz w:val="22"/>
        </w:rPr>
        <w:footnoteReference w:id="4"/>
      </w:r>
      <w:r w:rsidRPr="00963B42">
        <w:rPr>
          <w:rFonts w:ascii="Arial" w:hAnsi="Arial" w:eastAsia="Calibri" w:cs="Arial"/>
          <w:color w:val="000000" w:themeColor="text1"/>
          <w:sz w:val="22"/>
        </w:rPr>
        <w:t>.</w:t>
      </w:r>
    </w:p>
    <w:p w:rsidRPr="00963B42" w:rsidR="00C419F4" w:rsidP="00C419F4" w:rsidRDefault="00C419F4" w14:paraId="68C3E90B" w14:textId="1E5C8FA2">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w:t>
      </w:r>
      <w:r w:rsidR="00D34B25">
        <w:rPr>
          <w:rFonts w:ascii="Arial" w:hAnsi="Arial" w:eastAsia="Calibri" w:cs="Arial"/>
          <w:color w:val="000000" w:themeColor="text1"/>
          <w:sz w:val="22"/>
        </w:rPr>
        <w:t>.</w:t>
      </w:r>
      <w:r w:rsidRPr="00963B42">
        <w:rPr>
          <w:rFonts w:ascii="Arial" w:hAnsi="Arial" w:eastAsia="Calibri" w:cs="Arial"/>
          <w:color w:val="000000" w:themeColor="text1"/>
          <w:sz w:val="22"/>
        </w:rPr>
        <w:t xml:space="preserve"> </w:t>
      </w:r>
      <w:r w:rsidR="00D34B25">
        <w:rPr>
          <w:rFonts w:ascii="Arial" w:hAnsi="Arial" w:eastAsia="Calibri" w:cs="Arial"/>
          <w:color w:val="000000" w:themeColor="text1"/>
          <w:sz w:val="22"/>
        </w:rPr>
        <w:t xml:space="preserve">Lo anterior, </w:t>
      </w:r>
      <w:r w:rsidRPr="00963B42">
        <w:rPr>
          <w:rFonts w:ascii="Arial" w:hAnsi="Arial" w:eastAsia="Calibri" w:cs="Arial"/>
          <w:color w:val="000000" w:themeColor="text1"/>
          <w:sz w:val="22"/>
        </w:rPr>
        <w:t xml:space="preserve">a menos que, según las excepciones previstas en dicha Ley, deba adelantarse un </w:t>
      </w:r>
      <w:r w:rsidRPr="00963B42">
        <w:rPr>
          <w:rFonts w:ascii="Arial" w:hAnsi="Arial" w:eastAsia="Calibri" w:cs="Arial"/>
          <w:color w:val="000000" w:themeColor="text1"/>
          <w:sz w:val="22"/>
        </w:rPr>
        <w:lastRenderedPageBreak/>
        <w:t>procedimiento amplio</w:t>
      </w:r>
      <w:r w:rsidRPr="00963B42">
        <w:rPr>
          <w:rStyle w:val="Refdenotaalpie"/>
          <w:rFonts w:ascii="Arial" w:hAnsi="Arial" w:eastAsia="Calibri" w:cs="Arial"/>
          <w:color w:val="000000" w:themeColor="text1"/>
          <w:sz w:val="22"/>
        </w:rPr>
        <w:footnoteReference w:id="5"/>
      </w:r>
      <w:r w:rsidRPr="00963B42">
        <w:rPr>
          <w:rFonts w:ascii="Arial" w:hAnsi="Arial" w:eastAsia="Calibri" w:cs="Arial"/>
          <w:color w:val="000000" w:themeColor="text1"/>
          <w:sz w:val="22"/>
        </w:rPr>
        <w:t>. Nótese que, en este caso, lo que cambia es la modalidad de selección y no la naturaleza de contrato interadministrativo.</w:t>
      </w:r>
    </w:p>
    <w:p w:rsidR="00C649B8" w:rsidP="00C649B8" w:rsidRDefault="00C419F4" w14:paraId="7528922B" w14:textId="77BCB722">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Además, es necesario tener en cuenta que para que un contrato o convenio interadministrativo exista debe cumplir con los siguientes elementos: acuerdo sobre el objeto y la contraprestación y que conste por escrito</w:t>
      </w:r>
      <w:r w:rsidRPr="00963B42">
        <w:rPr>
          <w:rStyle w:val="Refdenotaalpie"/>
          <w:rFonts w:ascii="Arial" w:hAnsi="Arial" w:eastAsia="Calibri" w:cs="Arial"/>
          <w:color w:val="000000" w:themeColor="text1"/>
          <w:sz w:val="22"/>
        </w:rPr>
        <w:footnoteReference w:id="6"/>
      </w:r>
      <w:r w:rsidRPr="00963B42">
        <w:rPr>
          <w:rFonts w:ascii="Arial" w:hAnsi="Arial" w:eastAsia="Calibri" w:cs="Arial"/>
          <w:color w:val="000000" w:themeColor="text1"/>
          <w:sz w:val="22"/>
        </w:rPr>
        <w:t xml:space="preserve">. </w:t>
      </w:r>
      <w:r w:rsidR="00064B3C">
        <w:rPr>
          <w:rFonts w:ascii="Arial" w:hAnsi="Arial" w:eastAsia="Calibri" w:cs="Arial"/>
          <w:color w:val="000000" w:themeColor="text1"/>
          <w:sz w:val="22"/>
        </w:rPr>
        <w:t>Así</w:t>
      </w:r>
      <w:r w:rsidRPr="00963B42">
        <w:rPr>
          <w:rFonts w:ascii="Arial" w:hAnsi="Arial" w:eastAsia="Calibri" w:cs="Arial"/>
          <w:color w:val="000000" w:themeColor="text1"/>
          <w:sz w:val="22"/>
        </w:rPr>
        <w:t>, si ambas partes son entidades estatales, pueden celebrar convenios interadministrativos</w:t>
      </w:r>
      <w:r w:rsidR="005C3773">
        <w:rPr>
          <w:rFonts w:ascii="Arial" w:hAnsi="Arial" w:eastAsia="Calibri" w:cs="Arial"/>
          <w:color w:val="000000" w:themeColor="text1"/>
          <w:sz w:val="22"/>
        </w:rPr>
        <w:t xml:space="preserve"> </w:t>
      </w:r>
      <w:r w:rsidRPr="00963B42">
        <w:rPr>
          <w:rFonts w:ascii="Arial" w:hAnsi="Arial" w:eastAsia="Calibri" w:cs="Arial"/>
          <w:color w:val="000000" w:themeColor="text1"/>
          <w:sz w:val="22"/>
        </w:rPr>
        <w:t>porque las disposiciones que regulan esta tipología hacen referencia a la calidad de los sujetos que intervienen en la contratación, que deben ser entidades estatales o de derecho público.</w:t>
      </w:r>
    </w:p>
    <w:p w:rsidRPr="007A4766" w:rsidR="00C419F4" w:rsidP="007A4766" w:rsidRDefault="00C419F4" w14:paraId="598114F7" w14:textId="2B374779">
      <w:pPr>
        <w:spacing w:before="120" w:line="276" w:lineRule="auto"/>
        <w:ind w:firstLine="709"/>
        <w:jc w:val="both"/>
      </w:pPr>
      <w:r w:rsidRPr="00963B42">
        <w:rPr>
          <w:rFonts w:ascii="Arial" w:hAnsi="Arial" w:eastAsia="Calibri" w:cs="Arial"/>
          <w:color w:val="000000" w:themeColor="text1"/>
          <w:sz w:val="22"/>
        </w:rPr>
        <w:t>Así las cosas, atendiendo a la literalidad de las normas enunciadas, no cabe una interpretación diferente</w:t>
      </w:r>
      <w:r w:rsidRPr="00963B42">
        <w:rPr>
          <w:rStyle w:val="Refdenotaalpie"/>
          <w:rFonts w:ascii="Arial" w:hAnsi="Arial" w:cs="Arial"/>
          <w:color w:val="000000" w:themeColor="text1"/>
          <w:sz w:val="22"/>
        </w:rPr>
        <w:footnoteReference w:id="7"/>
      </w:r>
      <w:r w:rsidRPr="00963B42">
        <w:rPr>
          <w:rFonts w:ascii="Arial" w:hAnsi="Arial" w:eastAsia="Calibri" w:cs="Arial"/>
          <w:color w:val="000000" w:themeColor="text1"/>
          <w:sz w:val="22"/>
        </w:rPr>
        <w:t>, pues de acuerdo con lo anotado</w:t>
      </w:r>
      <w:r w:rsidR="00C649B8">
        <w:rPr>
          <w:rFonts w:ascii="Arial" w:hAnsi="Arial" w:eastAsia="Calibri" w:cs="Arial"/>
          <w:color w:val="000000" w:themeColor="text1"/>
          <w:sz w:val="22"/>
        </w:rPr>
        <w:t>,</w:t>
      </w:r>
      <w:r w:rsidRPr="00963B42">
        <w:rPr>
          <w:rFonts w:ascii="Arial" w:hAnsi="Arial" w:eastAsia="Calibri" w:cs="Arial"/>
          <w:color w:val="000000" w:themeColor="text1"/>
          <w:sz w:val="22"/>
        </w:rPr>
        <w:t xml:space="preserve"> esta clase de acuerdos de voluntades se definen por un criterio orgánico, por lo que uno de sus elementos esenciales es que en los extremos de la relación jurídico negocial concurran personas de derecho público</w:t>
      </w:r>
      <w:r w:rsidRPr="00963B42">
        <w:rPr>
          <w:rStyle w:val="Refdenotaalpie"/>
          <w:rFonts w:ascii="Arial" w:hAnsi="Arial" w:eastAsia="Calibri" w:cs="Arial"/>
          <w:color w:val="000000" w:themeColor="text1"/>
          <w:sz w:val="21"/>
          <w:szCs w:val="21"/>
        </w:rPr>
        <w:footnoteReference w:id="8"/>
      </w:r>
      <w:r w:rsidRPr="00963B42">
        <w:rPr>
          <w:rFonts w:ascii="Arial" w:hAnsi="Arial" w:eastAsia="Calibri" w:cs="Arial"/>
          <w:color w:val="000000" w:themeColor="text1"/>
          <w:sz w:val="21"/>
          <w:szCs w:val="21"/>
        </w:rPr>
        <w:t>.</w:t>
      </w:r>
    </w:p>
    <w:p w:rsidR="007A4766" w:rsidP="007A4766" w:rsidRDefault="00C419F4" w14:paraId="626F8996" w14:textId="77777777">
      <w:pPr>
        <w:spacing w:before="120" w:after="120" w:line="276" w:lineRule="auto"/>
        <w:ind w:firstLine="709"/>
        <w:jc w:val="both"/>
        <w:rPr>
          <w:rFonts w:ascii="Arial" w:hAnsi="Arial" w:eastAsia="Calibri" w:cs="Arial"/>
          <w:color w:val="000000" w:themeColor="text1"/>
          <w:sz w:val="22"/>
        </w:rPr>
      </w:pPr>
      <w:r w:rsidRPr="00963B42">
        <w:rPr>
          <w:rFonts w:ascii="Arial" w:hAnsi="Arial" w:eastAsia="Calibri" w:cs="Arial"/>
          <w:color w:val="000000" w:themeColor="text1"/>
          <w:sz w:val="22"/>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p>
    <w:p w:rsidRPr="00963B42" w:rsidR="00C419F4" w:rsidP="007A4766" w:rsidRDefault="00C419F4" w14:paraId="6463AA98" w14:textId="42559DDF">
      <w:pPr>
        <w:spacing w:before="120" w:after="120" w:line="276" w:lineRule="auto"/>
        <w:ind w:firstLine="709"/>
        <w:jc w:val="both"/>
        <w:rPr>
          <w:rFonts w:ascii="Arial" w:hAnsi="Arial" w:eastAsia="Calibri" w:cs="Arial"/>
          <w:color w:val="000000" w:themeColor="text1"/>
          <w:sz w:val="22"/>
        </w:rPr>
      </w:pPr>
      <w:r w:rsidRPr="00963B42">
        <w:rPr>
          <w:rFonts w:ascii="Arial" w:hAnsi="Arial" w:eastAsia="Calibri" w:cs="Arial"/>
          <w:color w:val="000000" w:themeColor="text1"/>
          <w:sz w:val="22"/>
        </w:rPr>
        <w:t>El Estatuto General de Contratación de la Administración Pública establece</w:t>
      </w:r>
      <w:r w:rsidR="007A4766">
        <w:rPr>
          <w:rFonts w:ascii="Arial" w:hAnsi="Arial" w:eastAsia="Calibri" w:cs="Arial"/>
          <w:color w:val="000000" w:themeColor="text1"/>
          <w:sz w:val="22"/>
        </w:rPr>
        <w:t xml:space="preserve"> en principio</w:t>
      </w:r>
      <w:r w:rsidRPr="00963B42">
        <w:rPr>
          <w:rFonts w:ascii="Arial" w:hAnsi="Arial" w:eastAsia="Calibri" w:cs="Arial"/>
          <w:color w:val="000000" w:themeColor="text1"/>
          <w:sz w:val="22"/>
        </w:rPr>
        <w:t xml:space="preserve"> la contratación directa como la modalidad de selección aplicable para la celebración de los contratos interadministrativos.</w:t>
      </w:r>
      <w:r w:rsidR="007A4766">
        <w:rPr>
          <w:rFonts w:ascii="Arial" w:hAnsi="Arial" w:eastAsia="Calibri" w:cs="Arial"/>
          <w:color w:val="000000" w:themeColor="text1"/>
          <w:sz w:val="22"/>
        </w:rPr>
        <w:t xml:space="preserve"> Se trata de</w:t>
      </w:r>
      <w:r w:rsidRPr="00963B42">
        <w:rPr>
          <w:rFonts w:ascii="Arial" w:hAnsi="Arial" w:eastAsia="Calibri" w:cs="Arial"/>
          <w:color w:val="000000" w:themeColor="text1"/>
          <w:sz w:val="22"/>
        </w:rPr>
        <w:t xml:space="preserve"> </w:t>
      </w:r>
      <w:r w:rsidR="007A4766">
        <w:rPr>
          <w:rFonts w:ascii="Arial" w:hAnsi="Arial" w:eastAsia="Calibri" w:cs="Arial"/>
          <w:color w:val="000000" w:themeColor="text1"/>
          <w:sz w:val="22"/>
        </w:rPr>
        <w:t>un procedimiento contractual</w:t>
      </w:r>
      <w:r w:rsidRPr="00963B42">
        <w:rPr>
          <w:rFonts w:ascii="Arial" w:hAnsi="Arial" w:eastAsia="Calibri" w:cs="Arial"/>
          <w:color w:val="000000" w:themeColor="text1"/>
          <w:sz w:val="22"/>
        </w:rPr>
        <w:t xml:space="preserve"> de aplicación restrictiva, esto es, solo procede por las causales señaladas taxativamente en el numeral 4 del artículo 2 de la Ley 1150 de 2007, ya que es una excepción al principio </w:t>
      </w:r>
      <w:r w:rsidRPr="00963B42">
        <w:rPr>
          <w:rFonts w:ascii="Arial" w:hAnsi="Arial" w:eastAsia="Calibri" w:cs="Arial"/>
          <w:color w:val="000000" w:themeColor="text1"/>
          <w:sz w:val="22"/>
        </w:rPr>
        <w:lastRenderedPageBreak/>
        <w:t>de libre concurrencia y libre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rsidRPr="00963B42" w:rsidR="00C419F4" w:rsidP="00C419F4" w:rsidRDefault="00C419F4" w14:paraId="5E946920" w14:textId="77777777">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rsidRPr="00111B2B" w:rsidR="00415816" w:rsidP="00111B2B" w:rsidRDefault="00C419F4" w14:paraId="1645731E" w14:textId="25074B03">
      <w:pPr>
        <w:spacing w:line="276" w:lineRule="auto"/>
        <w:ind w:firstLine="709"/>
        <w:jc w:val="both"/>
        <w:rPr>
          <w:rFonts w:asciiTheme="minorHAnsi" w:hAnsiTheme="minorHAnsi" w:eastAsiaTheme="minorEastAsia" w:cstheme="minorBidi"/>
          <w:sz w:val="22"/>
          <w:szCs w:val="22"/>
          <w:lang w:eastAsia="es-CO"/>
        </w:rPr>
      </w:pPr>
      <w:r w:rsidRPr="00963B42">
        <w:rPr>
          <w:rFonts w:ascii="Arial" w:hAnsi="Arial" w:eastAsia="Calibri" w:cs="Arial"/>
          <w:color w:val="000000" w:themeColor="text1"/>
          <w:sz w:val="22"/>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w:t>
      </w:r>
      <w:r w:rsidR="00F11D3C">
        <w:rPr>
          <w:rFonts w:ascii="Arial" w:hAnsi="Arial" w:eastAsia="Calibri" w:cs="Arial"/>
          <w:color w:val="000000" w:themeColor="text1"/>
          <w:sz w:val="22"/>
        </w:rPr>
        <w:t>. Por ello,</w:t>
      </w:r>
      <w:r w:rsidRPr="00963B42">
        <w:rPr>
          <w:rFonts w:ascii="Arial" w:hAnsi="Arial" w:eastAsia="Calibri" w:cs="Arial"/>
          <w:color w:val="000000" w:themeColor="text1"/>
          <w:sz w:val="22"/>
        </w:rPr>
        <w:t xml:space="preserve"> s</w:t>
      </w:r>
      <w:r w:rsidR="00331428">
        <w:rPr>
          <w:rFonts w:ascii="Arial" w:hAnsi="Arial" w:eastAsia="Calibri" w:cs="Arial"/>
          <w:color w:val="000000" w:themeColor="text1"/>
          <w:sz w:val="22"/>
        </w:rPr>
        <w:t>o</w:t>
      </w:r>
      <w:r w:rsidRPr="00963B42">
        <w:rPr>
          <w:rFonts w:ascii="Arial" w:hAnsi="Arial" w:eastAsia="Calibri" w:cs="Arial"/>
          <w:color w:val="000000" w:themeColor="text1"/>
          <w:sz w:val="22"/>
        </w:rPr>
        <w:t>lo de manera excepcional escogerán al contratista</w:t>
      </w:r>
      <w:r w:rsidR="00533E3D">
        <w:rPr>
          <w:rFonts w:ascii="Arial" w:hAnsi="Arial" w:eastAsia="Calibri" w:cs="Arial"/>
          <w:color w:val="000000" w:themeColor="text1"/>
          <w:sz w:val="22"/>
        </w:rPr>
        <w:t xml:space="preserve"> mediante </w:t>
      </w:r>
      <w:r w:rsidRPr="00963B42">
        <w:rPr>
          <w:rFonts w:ascii="Arial" w:hAnsi="Arial" w:eastAsia="Calibri" w:cs="Arial"/>
          <w:color w:val="000000" w:themeColor="text1"/>
          <w:sz w:val="22"/>
        </w:rPr>
        <w:t>la modalidad de selección de contratación directa</w:t>
      </w:r>
      <w:r w:rsidRPr="00415816">
        <w:rPr>
          <w:rStyle w:val="Refdenotaalpie"/>
          <w:rFonts w:ascii="Arial" w:hAnsi="Arial" w:cs="Arial"/>
          <w:color w:val="000000" w:themeColor="text1"/>
          <w:sz w:val="21"/>
          <w:szCs w:val="21"/>
        </w:rPr>
        <w:footnoteReference w:id="9"/>
      </w:r>
      <w:r w:rsidRPr="00415816">
        <w:rPr>
          <w:rFonts w:ascii="Arial" w:hAnsi="Arial" w:cs="Arial"/>
          <w:color w:val="000000" w:themeColor="text1"/>
          <w:sz w:val="21"/>
          <w:szCs w:val="21"/>
        </w:rPr>
        <w:t>.</w:t>
      </w:r>
    </w:p>
    <w:p w:rsidRPr="00FF596E" w:rsidR="00C419F4" w:rsidP="00FF596E" w:rsidRDefault="00C419F4" w14:paraId="68FC1158" w14:textId="3AA7E712">
      <w:pPr>
        <w:spacing w:before="120" w:line="276" w:lineRule="auto"/>
        <w:ind w:firstLine="709"/>
        <w:jc w:val="both"/>
      </w:pPr>
      <w:r w:rsidRPr="00963B42">
        <w:rPr>
          <w:rFonts w:ascii="Arial" w:hAnsi="Arial" w:eastAsia="Calibri" w:cs="Arial"/>
          <w:color w:val="000000" w:themeColor="text1"/>
          <w:sz w:val="22"/>
        </w:rPr>
        <w:t>Existe una diferencia fundamental con otras modalidades de selección, y es que en la contratación directa no se otorga puntaje a las ofertas para ponderarlas y elegir el ofrecimiento más favorable, ya que la entidad recibe solo una</w:t>
      </w:r>
      <w:r w:rsidRPr="00963B42">
        <w:rPr>
          <w:rStyle w:val="Refdenotaalpie"/>
          <w:rFonts w:ascii="Arial" w:hAnsi="Arial" w:cs="Arial"/>
          <w:color w:val="000000" w:themeColor="text1"/>
          <w:sz w:val="21"/>
          <w:szCs w:val="21"/>
        </w:rPr>
        <w:footnoteReference w:id="10"/>
      </w:r>
      <w:r w:rsidRPr="00963B42">
        <w:rPr>
          <w:rFonts w:ascii="Arial" w:hAnsi="Arial" w:cs="Arial"/>
          <w:color w:val="000000" w:themeColor="text1"/>
          <w:sz w:val="21"/>
          <w:szCs w:val="21"/>
        </w:rPr>
        <w:t>.</w:t>
      </w:r>
    </w:p>
    <w:p w:rsidRPr="00963B42" w:rsidR="00C419F4" w:rsidP="00FF596E" w:rsidRDefault="00C419F4" w14:paraId="29325D3F" w14:textId="433AE42F">
      <w:pPr>
        <w:spacing w:before="120" w:after="120" w:line="276" w:lineRule="auto"/>
        <w:ind w:firstLine="709"/>
        <w:jc w:val="both"/>
        <w:rPr>
          <w:rFonts w:ascii="Arial" w:hAnsi="Arial" w:eastAsia="Calibri" w:cs="Arial"/>
          <w:color w:val="000000" w:themeColor="text1"/>
          <w:sz w:val="22"/>
        </w:rPr>
      </w:pPr>
      <w:r w:rsidRPr="00963B42">
        <w:rPr>
          <w:rFonts w:ascii="Arial" w:hAnsi="Arial" w:eastAsia="Calibri" w:cs="Arial"/>
          <w:color w:val="000000" w:themeColor="text1"/>
          <w:sz w:val="22"/>
        </w:rPr>
        <w:t>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w:t>
      </w:r>
      <w:r w:rsidR="001965DB">
        <w:rPr>
          <w:rFonts w:ascii="Arial" w:hAnsi="Arial" w:eastAsia="Calibri" w:cs="Arial"/>
          <w:color w:val="000000" w:themeColor="text1"/>
          <w:sz w:val="22"/>
        </w:rPr>
        <w:t>,</w:t>
      </w:r>
      <w:r w:rsidRPr="00963B42">
        <w:rPr>
          <w:rFonts w:ascii="Arial" w:hAnsi="Arial" w:eastAsia="Calibri" w:cs="Arial"/>
          <w:color w:val="000000" w:themeColor="text1"/>
          <w:sz w:val="22"/>
        </w:rPr>
        <w:t xml:space="preserv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w:t>
      </w:r>
      <w:r w:rsidRPr="00963B42">
        <w:rPr>
          <w:rFonts w:ascii="Arial" w:hAnsi="Arial" w:eastAsia="Calibri" w:cs="Arial"/>
          <w:color w:val="000000" w:themeColor="text1"/>
          <w:sz w:val="22"/>
        </w:rPr>
        <w:lastRenderedPageBreak/>
        <w:t>pues en dichos casos la entidad estatal que así lo requiera deberá adelantar una licitación pública, concurso de méritos o selección abreviada</w:t>
      </w:r>
      <w:r w:rsidRPr="00963B42">
        <w:rPr>
          <w:rStyle w:val="Refdenotaalpie"/>
          <w:rFonts w:ascii="Arial" w:hAnsi="Arial" w:eastAsia="Calibri" w:cs="Arial"/>
          <w:color w:val="000000" w:themeColor="text1"/>
          <w:sz w:val="22"/>
        </w:rPr>
        <w:footnoteReference w:id="11"/>
      </w:r>
      <w:r w:rsidRPr="00963B42">
        <w:rPr>
          <w:rFonts w:ascii="Arial" w:hAnsi="Arial" w:eastAsia="Calibri" w:cs="Arial"/>
          <w:color w:val="000000" w:themeColor="text1"/>
          <w:sz w:val="22"/>
        </w:rPr>
        <w:t>.</w:t>
      </w:r>
    </w:p>
    <w:p w:rsidRPr="00963B42" w:rsidR="00C419F4" w:rsidP="00C419F4" w:rsidRDefault="00C419F4" w14:paraId="0C301288" w14:textId="77777777">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rsidRPr="00963B42" w:rsidR="00C419F4" w:rsidP="00C419F4" w:rsidRDefault="00C419F4" w14:paraId="2B439A50" w14:textId="494F115F">
      <w:pPr>
        <w:spacing w:before="120" w:after="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Así las cosas, la Ley no limitó la celebración de contratos interadministrativos a la modalidad de selección de contratación directa</w:t>
      </w:r>
      <w:r w:rsidR="004D106A">
        <w:rPr>
          <w:rFonts w:ascii="Arial" w:hAnsi="Arial" w:eastAsia="Calibri" w:cs="Arial"/>
          <w:color w:val="000000" w:themeColor="text1"/>
          <w:sz w:val="22"/>
        </w:rPr>
        <w:t>.</w:t>
      </w:r>
      <w:r w:rsidRPr="00963B42">
        <w:rPr>
          <w:rFonts w:ascii="Arial" w:hAnsi="Arial" w:eastAsia="Calibri" w:cs="Arial"/>
          <w:color w:val="000000" w:themeColor="text1"/>
          <w:sz w:val="22"/>
        </w:rPr>
        <w:t xml:space="preserve"> </w:t>
      </w:r>
      <w:r w:rsidR="004D106A">
        <w:rPr>
          <w:rFonts w:ascii="Arial" w:hAnsi="Arial" w:eastAsia="Calibri" w:cs="Arial"/>
          <w:color w:val="000000" w:themeColor="text1"/>
          <w:sz w:val="22"/>
        </w:rPr>
        <w:t>S</w:t>
      </w:r>
      <w:r w:rsidRPr="00963B42">
        <w:rPr>
          <w:rFonts w:ascii="Arial" w:hAnsi="Arial" w:eastAsia="Calibri" w:cs="Arial"/>
          <w:color w:val="000000" w:themeColor="text1"/>
          <w:sz w:val="22"/>
        </w:rPr>
        <w:t>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rsidR="00C419F4" w:rsidP="00C419F4" w:rsidRDefault="00C419F4" w14:paraId="5B83BDA9" w14:textId="507EAF02">
      <w:pPr>
        <w:spacing w:before="120" w:line="276" w:lineRule="auto"/>
        <w:ind w:firstLine="708"/>
        <w:jc w:val="both"/>
        <w:rPr>
          <w:rFonts w:ascii="Arial" w:hAnsi="Arial" w:eastAsia="Calibri" w:cs="Arial"/>
          <w:color w:val="000000" w:themeColor="text1"/>
          <w:sz w:val="22"/>
        </w:rPr>
      </w:pPr>
      <w:r w:rsidRPr="00963B42">
        <w:rPr>
          <w:rFonts w:ascii="Arial" w:hAnsi="Arial" w:eastAsia="Calibri" w:cs="Arial"/>
          <w:color w:val="000000" w:themeColor="text1"/>
          <w:sz w:val="22"/>
        </w:rPr>
        <w:t>Finalmente, el artículo 7 de la Ley 1150 de 2007 establece que en los contratos interadministrativos las garantías no serán obligatorias</w:t>
      </w:r>
      <w:r w:rsidRPr="00963B42">
        <w:rPr>
          <w:rStyle w:val="Refdenotaalpie"/>
          <w:rFonts w:ascii="Arial" w:hAnsi="Arial" w:eastAsia="Calibri" w:cs="Arial"/>
          <w:color w:val="000000" w:themeColor="text1"/>
          <w:sz w:val="22"/>
        </w:rPr>
        <w:footnoteReference w:id="12"/>
      </w:r>
      <w:r w:rsidRPr="00963B42">
        <w:rPr>
          <w:rFonts w:ascii="Arial" w:hAnsi="Arial" w:eastAsia="Calibri" w:cs="Arial"/>
          <w:color w:val="000000" w:themeColor="text1"/>
          <w:sz w:val="22"/>
        </w:rPr>
        <w:t xml:space="preserve">. En el mismo sentido, el Decreto </w:t>
      </w:r>
      <w:r w:rsidRPr="00963B42">
        <w:rPr>
          <w:rFonts w:ascii="Arial" w:hAnsi="Arial" w:eastAsia="Calibri" w:cs="Arial"/>
          <w:color w:val="000000" w:themeColor="text1"/>
          <w:sz w:val="22"/>
        </w:rPr>
        <w:lastRenderedPageBreak/>
        <w:t>1082 de 2015 prevé que en los convenios interadministrativos la exigencia de garantías no es obligatoria, y la justificación para exigirlas o no debe estar en los estudios previos</w:t>
      </w:r>
      <w:r w:rsidRPr="00963B42">
        <w:rPr>
          <w:rStyle w:val="Refdenotaalpie"/>
          <w:rFonts w:ascii="Arial" w:hAnsi="Arial" w:eastAsia="Calibri" w:cs="Arial"/>
          <w:color w:val="000000" w:themeColor="text1"/>
          <w:sz w:val="22"/>
        </w:rPr>
        <w:footnoteReference w:id="13"/>
      </w:r>
      <w:r w:rsidRPr="00963B42">
        <w:rPr>
          <w:rFonts w:ascii="Arial" w:hAnsi="Arial" w:eastAsia="Calibri" w:cs="Arial"/>
          <w:color w:val="000000" w:themeColor="text1"/>
          <w:sz w:val="22"/>
        </w:rPr>
        <w:t>.</w:t>
      </w:r>
    </w:p>
    <w:p w:rsidR="00CC21AC" w:rsidP="00F66282" w:rsidRDefault="00CC21AC" w14:paraId="2CCDAF3A" w14:textId="77777777">
      <w:pPr>
        <w:spacing w:line="276" w:lineRule="auto"/>
        <w:jc w:val="both"/>
        <w:rPr>
          <w:rStyle w:val="eop"/>
          <w:rFonts w:ascii="Arial" w:hAnsi="Arial" w:cs="Arial" w:eastAsiaTheme="minorEastAsia"/>
          <w:b/>
          <w:bCs/>
          <w:sz w:val="22"/>
          <w:shd w:val="clear" w:color="auto" w:fill="FFFFFF"/>
        </w:rPr>
      </w:pPr>
    </w:p>
    <w:p w:rsidR="00F66282" w:rsidP="00F66282" w:rsidRDefault="00F66282" w14:paraId="31459E2C" w14:textId="7EC0280E">
      <w:pPr>
        <w:spacing w:line="276" w:lineRule="auto"/>
        <w:jc w:val="both"/>
        <w:rPr>
          <w:rFonts w:ascii="Arial" w:hAnsi="Arial" w:eastAsia="Calibri" w:cs="Arial"/>
          <w:sz w:val="22"/>
        </w:rPr>
      </w:pPr>
      <w:r>
        <w:rPr>
          <w:rStyle w:val="eop"/>
          <w:rFonts w:ascii="Arial" w:hAnsi="Arial" w:cs="Arial" w:eastAsiaTheme="minorEastAsia"/>
          <w:b/>
          <w:bCs/>
          <w:sz w:val="22"/>
          <w:shd w:val="clear" w:color="auto" w:fill="FFFFFF"/>
        </w:rPr>
        <w:t>2.2. Límite a la adición de los contratos estatales regidos por la Ley 80 de 1993</w:t>
      </w:r>
      <w:r w:rsidRPr="002E3DDB">
        <w:rPr>
          <w:rStyle w:val="eop"/>
          <w:rFonts w:ascii="Arial" w:hAnsi="Arial" w:cs="Arial" w:eastAsiaTheme="minorEastAsia"/>
          <w:sz w:val="22"/>
          <w:shd w:val="clear" w:color="auto" w:fill="FFFFFF"/>
        </w:rPr>
        <w:t> </w:t>
      </w:r>
      <w:r w:rsidRPr="002E3DDB">
        <w:rPr>
          <w:rFonts w:ascii="Arial" w:hAnsi="Arial" w:eastAsia="Calibri" w:cs="Arial"/>
          <w:sz w:val="22"/>
        </w:rPr>
        <w:t xml:space="preserve"> </w:t>
      </w:r>
    </w:p>
    <w:p w:rsidR="00F66282" w:rsidP="00F66282" w:rsidRDefault="00F66282" w14:paraId="56D1CEFB" w14:textId="77777777">
      <w:pPr>
        <w:spacing w:line="276" w:lineRule="auto"/>
        <w:jc w:val="both"/>
        <w:rPr>
          <w:rFonts w:ascii="Arial" w:hAnsi="Arial" w:eastAsia="Calibri" w:cs="Arial"/>
          <w:sz w:val="22"/>
        </w:rPr>
      </w:pPr>
    </w:p>
    <w:p w:rsidR="00415816" w:rsidP="00F66282" w:rsidRDefault="00F66282" w14:paraId="1DF69055" w14:textId="01945234">
      <w:pPr>
        <w:spacing w:after="120" w:line="276" w:lineRule="auto"/>
        <w:jc w:val="both"/>
        <w:rPr>
          <w:rFonts w:ascii="Arial" w:hAnsi="Arial" w:eastAsia="Calibri" w:cs="Arial"/>
          <w:sz w:val="22"/>
        </w:rPr>
      </w:pPr>
      <w:r w:rsidRPr="00C91007">
        <w:rPr>
          <w:rFonts w:ascii="Arial" w:hAnsi="Arial" w:eastAsia="Calibri" w:cs="Arial"/>
          <w:sz w:val="22"/>
        </w:rPr>
        <w:t xml:space="preserve">La ejecución de los contratos estatales está sujeta a los avatares propios del paso del tiempo. Así, durante la planeación de estos la Administración se enfrenta a la ardua tarea de estimar y determinar las prestaciones que demanda la satisfacción de la necesidad de interés colectivo que pretende satisfacer. No obstante, en muchas ocasiones, durante la fase de ejecución del contrato las partes identifican alguna de las siguientes situaciones: i) </w:t>
      </w:r>
      <w:r w:rsidR="00A5426D">
        <w:rPr>
          <w:rFonts w:ascii="Arial" w:hAnsi="Arial" w:eastAsia="Calibri" w:cs="Arial"/>
          <w:sz w:val="22"/>
        </w:rPr>
        <w:t>l</w:t>
      </w:r>
      <w:r w:rsidRPr="00C91007">
        <w:rPr>
          <w:rFonts w:ascii="Arial" w:hAnsi="Arial" w:eastAsia="Calibri" w:cs="Arial"/>
          <w:sz w:val="22"/>
        </w:rPr>
        <w:t>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w:t>
      </w:r>
      <w:r w:rsidR="00957F27">
        <w:rPr>
          <w:rFonts w:ascii="Arial" w:hAnsi="Arial" w:eastAsia="Calibri" w:cs="Arial"/>
          <w:sz w:val="22"/>
        </w:rPr>
        <w:t>or</w:t>
      </w:r>
      <w:r w:rsidRPr="00C91007">
        <w:rPr>
          <w:rFonts w:ascii="Arial" w:hAnsi="Arial" w:eastAsia="Calibri" w:cs="Arial"/>
          <w:sz w:val="22"/>
        </w:rPr>
        <w:t xml:space="preserve"> lo que en la práctica las entidades ejecutan «obras extra» o «amplían el alcance» del contrato mediante la celebración de un «contrato adicional». </w:t>
      </w:r>
    </w:p>
    <w:p w:rsidRPr="00C91007" w:rsidR="00F66282" w:rsidP="00415816" w:rsidRDefault="00F66282" w14:paraId="49FE5A96" w14:textId="7C1D5F5E">
      <w:pPr>
        <w:spacing w:after="120" w:line="276" w:lineRule="auto"/>
        <w:ind w:firstLine="709"/>
        <w:jc w:val="both"/>
        <w:rPr>
          <w:rFonts w:ascii="Arial" w:hAnsi="Arial" w:eastAsia="Calibri" w:cs="Arial"/>
          <w:sz w:val="22"/>
        </w:rPr>
      </w:pPr>
      <w:r w:rsidRPr="00C91007">
        <w:rPr>
          <w:rFonts w:ascii="Arial" w:hAnsi="Arial" w:eastAsia="Calibri" w:cs="Arial"/>
          <w:sz w:val="22"/>
        </w:rPr>
        <w:t>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w:t>
      </w:r>
      <w:r>
        <w:rPr>
          <w:rFonts w:ascii="Arial" w:hAnsi="Arial" w:eastAsia="Calibri" w:cs="Arial"/>
          <w:sz w:val="22"/>
        </w:rPr>
        <w:t xml:space="preserve"> </w:t>
      </w:r>
      <w:r w:rsidRPr="00C91007">
        <w:rPr>
          <w:rFonts w:ascii="Arial" w:hAnsi="Arial" w:eastAsia="Calibri" w:cs="Arial"/>
          <w:sz w:val="22"/>
        </w:rPr>
        <w:t>es que frente a cualquier incremento del valor inicial del contrato, que es lo que implica una adición, por cualquiera de los dos supuesto</w:t>
      </w:r>
      <w:r w:rsidR="00DE5BE4">
        <w:rPr>
          <w:rFonts w:ascii="Arial" w:hAnsi="Arial" w:eastAsia="Calibri" w:cs="Arial"/>
          <w:sz w:val="22"/>
        </w:rPr>
        <w:t>s</w:t>
      </w:r>
      <w:r w:rsidRPr="00C91007">
        <w:rPr>
          <w:rFonts w:ascii="Arial" w:hAnsi="Arial" w:eastAsia="Calibri" w:cs="Arial"/>
          <w:sz w:val="22"/>
        </w:rPr>
        <w:t xml:space="preserve">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rsidRPr="00C91007" w:rsidR="00F66282" w:rsidP="00F66282" w:rsidRDefault="00F66282" w14:paraId="3DE5F972" w14:textId="7BC36269">
      <w:pPr>
        <w:spacing w:after="120" w:line="276" w:lineRule="auto"/>
        <w:ind w:firstLine="708"/>
        <w:jc w:val="both"/>
        <w:rPr>
          <w:rFonts w:ascii="Arial" w:hAnsi="Arial" w:eastAsia="Calibri" w:cs="Arial"/>
          <w:sz w:val="22"/>
        </w:rPr>
      </w:pPr>
      <w:r w:rsidRPr="00C91007">
        <w:rPr>
          <w:rFonts w:ascii="Arial" w:hAnsi="Arial" w:eastAsia="Calibri" w:cs="Arial"/>
          <w:sz w:val="22"/>
        </w:rPr>
        <w:t>Dicha norma además de consagrar una prohibición</w:t>
      </w:r>
      <w:r w:rsidR="00690DE9">
        <w:rPr>
          <w:rFonts w:ascii="Arial" w:hAnsi="Arial" w:eastAsia="Calibri" w:cs="Arial"/>
          <w:sz w:val="22"/>
        </w:rPr>
        <w:t>,</w:t>
      </w:r>
      <w:r w:rsidRPr="00C91007">
        <w:rPr>
          <w:rFonts w:ascii="Arial" w:hAnsi="Arial" w:eastAsia="Calibri" w:cs="Arial"/>
          <w:sz w:val="22"/>
        </w:rPr>
        <w:t xml:space="preserve"> trae implícita una autorización, consistente en la posibilidad de adicionar los contratos estatales, siempre que no se supere el tope establecido. Debe tenerse en cuenta que el cálculo del límite debe hacerse en salarios mínimos</w:t>
      </w:r>
      <w:r w:rsidR="00690DE9">
        <w:rPr>
          <w:rFonts w:ascii="Arial" w:hAnsi="Arial" w:eastAsia="Calibri" w:cs="Arial"/>
          <w:sz w:val="22"/>
        </w:rPr>
        <w:t>,</w:t>
      </w:r>
      <w:r w:rsidRPr="00C91007">
        <w:rPr>
          <w:rFonts w:ascii="Arial" w:hAnsi="Arial" w:eastAsia="Calibri" w:cs="Arial"/>
          <w:sz w:val="22"/>
        </w:rPr>
        <w:t xml:space="preserve"> para efectos de que el cálculo del tope sea preciso</w:t>
      </w:r>
      <w:r w:rsidR="002F692F">
        <w:rPr>
          <w:rFonts w:ascii="Arial" w:hAnsi="Arial" w:eastAsia="Calibri" w:cs="Arial"/>
          <w:sz w:val="22"/>
        </w:rPr>
        <w:t>.</w:t>
      </w:r>
      <w:r w:rsidRPr="00C91007">
        <w:rPr>
          <w:rFonts w:ascii="Arial" w:hAnsi="Arial" w:eastAsia="Calibri" w:cs="Arial"/>
          <w:sz w:val="22"/>
        </w:rPr>
        <w:t xml:space="preserve"> </w:t>
      </w:r>
      <w:r w:rsidR="002F692F">
        <w:rPr>
          <w:rFonts w:ascii="Arial" w:hAnsi="Arial" w:eastAsia="Calibri" w:cs="Arial"/>
          <w:sz w:val="22"/>
        </w:rPr>
        <w:t>D</w:t>
      </w:r>
      <w:r w:rsidRPr="00C91007">
        <w:rPr>
          <w:rFonts w:ascii="Arial" w:hAnsi="Arial" w:eastAsia="Calibri" w:cs="Arial"/>
          <w:sz w:val="22"/>
        </w:rPr>
        <w:t xml:space="preserve">e </w:t>
      </w:r>
      <w:r w:rsidR="002F692F">
        <w:rPr>
          <w:rFonts w:ascii="Arial" w:hAnsi="Arial" w:eastAsia="Calibri" w:cs="Arial"/>
          <w:sz w:val="22"/>
        </w:rPr>
        <w:t xml:space="preserve">esta </w:t>
      </w:r>
      <w:r w:rsidRPr="00C91007">
        <w:rPr>
          <w:rFonts w:ascii="Arial" w:hAnsi="Arial" w:eastAsia="Calibri" w:cs="Arial"/>
          <w:sz w:val="22"/>
        </w:rPr>
        <w:t>manera</w:t>
      </w:r>
      <w:r w:rsidR="002F692F">
        <w:rPr>
          <w:rFonts w:ascii="Arial" w:hAnsi="Arial" w:eastAsia="Calibri" w:cs="Arial"/>
          <w:sz w:val="22"/>
        </w:rPr>
        <w:t xml:space="preserve">, </w:t>
      </w:r>
      <w:r w:rsidRPr="00C91007">
        <w:rPr>
          <w:rFonts w:ascii="Arial" w:hAnsi="Arial" w:eastAsia="Calibri" w:cs="Arial"/>
          <w:sz w:val="22"/>
        </w:rPr>
        <w:t xml:space="preserve">para </w:t>
      </w:r>
      <w:r w:rsidRPr="00C91007">
        <w:rPr>
          <w:rFonts w:ascii="Arial" w:hAnsi="Arial" w:eastAsia="Calibri" w:cs="Arial"/>
          <w:sz w:val="22"/>
        </w:rPr>
        <w:lastRenderedPageBreak/>
        <w:t>adicionar un contrato debe dividirse el valor inicial por el salario mínimo vigente al momento de la suscripción del contrato, y luego dividirlo por 2</w:t>
      </w:r>
      <w:r w:rsidR="002F692F">
        <w:rPr>
          <w:rFonts w:ascii="Arial" w:hAnsi="Arial" w:eastAsia="Calibri" w:cs="Arial"/>
          <w:sz w:val="22"/>
        </w:rPr>
        <w:t>.</w:t>
      </w:r>
      <w:r w:rsidRPr="00C91007">
        <w:rPr>
          <w:rFonts w:ascii="Arial" w:hAnsi="Arial" w:eastAsia="Calibri" w:cs="Arial"/>
          <w:sz w:val="22"/>
        </w:rPr>
        <w:t xml:space="preserve"> </w:t>
      </w:r>
      <w:r w:rsidR="002F692F">
        <w:rPr>
          <w:rFonts w:ascii="Arial" w:hAnsi="Arial" w:eastAsia="Calibri" w:cs="Arial"/>
          <w:sz w:val="22"/>
        </w:rPr>
        <w:t>E</w:t>
      </w:r>
      <w:r w:rsidRPr="00C91007">
        <w:rPr>
          <w:rFonts w:ascii="Arial" w:hAnsi="Arial" w:eastAsia="Calibri" w:cs="Arial"/>
          <w:sz w:val="22"/>
        </w:rPr>
        <w:t>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w:t>
      </w:r>
      <w:r w:rsidR="006261CC">
        <w:rPr>
          <w:rFonts w:ascii="Arial" w:hAnsi="Arial" w:eastAsia="Calibri" w:cs="Arial"/>
          <w:sz w:val="22"/>
        </w:rPr>
        <w:t>.</w:t>
      </w:r>
      <w:r w:rsidRPr="00C91007" w:rsidR="00D62217">
        <w:rPr>
          <w:rFonts w:ascii="Arial" w:hAnsi="Arial" w:eastAsia="Calibri" w:cs="Arial"/>
          <w:sz w:val="22"/>
        </w:rPr>
        <w:t xml:space="preserve"> </w:t>
      </w:r>
    </w:p>
    <w:p w:rsidR="00C419F4" w:rsidP="00F66282" w:rsidRDefault="00F66282" w14:paraId="52491D50" w14:textId="4AA53C82">
      <w:pPr>
        <w:spacing w:line="276" w:lineRule="auto"/>
        <w:ind w:firstLine="708"/>
        <w:jc w:val="both"/>
        <w:rPr>
          <w:rFonts w:ascii="Arial" w:hAnsi="Arial" w:eastAsia="Calibri" w:cs="Arial"/>
          <w:sz w:val="22"/>
        </w:rPr>
      </w:pPr>
      <w:r w:rsidRPr="00C91007">
        <w:rPr>
          <w:rFonts w:ascii="Arial" w:hAnsi="Arial" w:eastAsia="Calibri" w:cs="Arial"/>
          <w:sz w:val="22"/>
        </w:rPr>
        <w:t>El razonamiento anterior se soporta en la forma como la Ley 80 estableció el tope para las adiciones, acudiendo a una forma de actualización del valor, de acuerdo a los incrementos que tenga el salario mínimo, lo que resulta especialmente relevante en contratos de larga duración.</w:t>
      </w:r>
    </w:p>
    <w:p w:rsidRPr="00004556" w:rsidR="00705818" w:rsidP="00705818" w:rsidRDefault="00705818" w14:paraId="21B620DB" w14:textId="63F3B7AA">
      <w:pPr>
        <w:shd w:val="clear" w:color="auto" w:fill="FFFFFF"/>
        <w:spacing w:before="120" w:line="276" w:lineRule="auto"/>
        <w:ind w:firstLine="709"/>
        <w:jc w:val="both"/>
        <w:textAlignment w:val="baseline"/>
        <w:rPr>
          <w:rFonts w:ascii="Arial" w:hAnsi="Arial" w:cs="Arial"/>
          <w:color w:val="201F1E"/>
          <w:sz w:val="22"/>
          <w:szCs w:val="22"/>
        </w:rPr>
      </w:pPr>
      <w:r w:rsidRPr="00004556">
        <w:rPr>
          <w:rFonts w:ascii="Arial" w:hAnsi="Arial" w:cs="Arial"/>
          <w:color w:val="000000"/>
          <w:sz w:val="22"/>
          <w:szCs w:val="22"/>
        </w:rPr>
        <w:t xml:space="preserve">Esta regla actualmente tiene una excepción </w:t>
      </w:r>
      <w:r>
        <w:rPr>
          <w:rFonts w:ascii="Arial" w:hAnsi="Arial" w:cs="Arial"/>
          <w:color w:val="000000"/>
          <w:sz w:val="22"/>
          <w:szCs w:val="22"/>
        </w:rPr>
        <w:t>en</w:t>
      </w:r>
      <w:r w:rsidRPr="00004556">
        <w:rPr>
          <w:rFonts w:ascii="Arial" w:hAnsi="Arial" w:cs="Arial"/>
          <w:color w:val="000000"/>
          <w:sz w:val="22"/>
          <w:szCs w:val="22"/>
        </w:rPr>
        <w:t xml:space="preserve"> el artículo 8 del Decreto Legislativo No. 537 de 2020</w:t>
      </w:r>
      <w:r>
        <w:rPr>
          <w:rFonts w:ascii="Arial" w:hAnsi="Arial" w:cs="Arial"/>
          <w:color w:val="000000"/>
          <w:sz w:val="22"/>
          <w:szCs w:val="22"/>
        </w:rPr>
        <w:t>, que permite no tener en cuenta el límite del parágrafo del artículo 40 de la Ley 80 de 1993 en la adición de los contrato</w:t>
      </w:r>
      <w:r w:rsidR="00A744B4">
        <w:rPr>
          <w:rFonts w:ascii="Arial" w:hAnsi="Arial" w:cs="Arial"/>
          <w:color w:val="000000"/>
          <w:sz w:val="22"/>
          <w:szCs w:val="22"/>
        </w:rPr>
        <w:t>s celebrados para gestionar y mitigar la pandemia del COVID-19</w:t>
      </w:r>
      <w:r w:rsidR="00A744B4">
        <w:rPr>
          <w:rStyle w:val="Refdenotaalpie"/>
          <w:rFonts w:ascii="Arial" w:hAnsi="Arial" w:cs="Arial"/>
          <w:color w:val="000000"/>
          <w:sz w:val="22"/>
          <w:szCs w:val="22"/>
        </w:rPr>
        <w:footnoteReference w:id="14"/>
      </w:r>
      <w:r w:rsidR="00A744B4">
        <w:rPr>
          <w:rFonts w:ascii="Arial" w:hAnsi="Arial" w:cs="Arial"/>
          <w:color w:val="000000"/>
          <w:sz w:val="22"/>
          <w:szCs w:val="22"/>
        </w:rPr>
        <w:t>.</w:t>
      </w:r>
    </w:p>
    <w:p w:rsidR="00F66282" w:rsidP="00CC21AC" w:rsidRDefault="00F66282" w14:paraId="46F6C5A5" w14:textId="69C80D93">
      <w:pPr>
        <w:spacing w:line="276" w:lineRule="auto"/>
        <w:jc w:val="both"/>
        <w:rPr>
          <w:rFonts w:ascii="Arial" w:hAnsi="Arial" w:eastAsia="Calibri" w:cs="Arial"/>
          <w:sz w:val="22"/>
        </w:rPr>
      </w:pPr>
    </w:p>
    <w:p w:rsidRPr="006B347D" w:rsidR="00CC21AC" w:rsidP="00CC21AC" w:rsidRDefault="00CC21AC" w14:paraId="3ABDA183" w14:textId="0899C389">
      <w:pPr>
        <w:spacing w:line="276" w:lineRule="auto"/>
        <w:jc w:val="both"/>
        <w:rPr>
          <w:rFonts w:ascii="Arial" w:hAnsi="Arial" w:eastAsia="Calibri" w:cs="Arial"/>
          <w:b/>
          <w:bCs/>
          <w:sz w:val="22"/>
        </w:rPr>
      </w:pPr>
      <w:r w:rsidRPr="006B347D">
        <w:rPr>
          <w:rFonts w:ascii="Arial" w:hAnsi="Arial" w:eastAsia="Calibri" w:cs="Arial"/>
          <w:b/>
          <w:bCs/>
          <w:sz w:val="22"/>
        </w:rPr>
        <w:t>2.3. Aplicación del límite de la adición a los contratos interadministrativos y a los contratos de seguro</w:t>
      </w:r>
      <w:r w:rsidRPr="006B347D" w:rsidR="006B347D">
        <w:rPr>
          <w:rFonts w:ascii="Arial" w:hAnsi="Arial" w:eastAsia="Calibri" w:cs="Arial"/>
          <w:b/>
          <w:bCs/>
          <w:sz w:val="22"/>
        </w:rPr>
        <w:t xml:space="preserve"> que los garantizan</w:t>
      </w:r>
    </w:p>
    <w:p w:rsidRPr="00F66282" w:rsidR="006B347D" w:rsidP="00CC21AC" w:rsidRDefault="006B347D" w14:paraId="0DEF062F" w14:textId="77777777">
      <w:pPr>
        <w:spacing w:line="276" w:lineRule="auto"/>
        <w:jc w:val="both"/>
        <w:rPr>
          <w:rFonts w:ascii="Arial" w:hAnsi="Arial" w:eastAsia="Calibri" w:cs="Arial"/>
          <w:sz w:val="22"/>
        </w:rPr>
      </w:pPr>
    </w:p>
    <w:p w:rsidR="006B347D" w:rsidP="00004556" w:rsidRDefault="006B347D" w14:paraId="4657F84C" w14:textId="10DA6731">
      <w:pPr>
        <w:shd w:val="clear" w:color="auto" w:fill="FFFFFF"/>
        <w:spacing w:line="276" w:lineRule="auto"/>
        <w:jc w:val="both"/>
        <w:textAlignment w:val="baseline"/>
        <w:rPr>
          <w:rFonts w:ascii="Arial" w:hAnsi="Arial" w:cs="Arial"/>
          <w:color w:val="201F1E"/>
          <w:sz w:val="22"/>
          <w:szCs w:val="22"/>
        </w:rPr>
      </w:pPr>
      <w:r w:rsidRPr="006B347D">
        <w:rPr>
          <w:rFonts w:ascii="Arial" w:hAnsi="Arial" w:cs="Arial"/>
          <w:color w:val="000000"/>
          <w:sz w:val="22"/>
          <w:szCs w:val="22"/>
        </w:rPr>
        <w:t xml:space="preserve">Según se indicó, </w:t>
      </w:r>
      <w:r>
        <w:rPr>
          <w:rFonts w:ascii="Arial" w:hAnsi="Arial" w:cs="Arial"/>
          <w:color w:val="000000"/>
          <w:sz w:val="22"/>
          <w:szCs w:val="22"/>
        </w:rPr>
        <w:t>e</w:t>
      </w:r>
      <w:r w:rsidRPr="00004556" w:rsidR="00004556">
        <w:rPr>
          <w:rFonts w:ascii="Arial" w:hAnsi="Arial" w:cs="Arial"/>
          <w:color w:val="000000"/>
          <w:sz w:val="22"/>
          <w:szCs w:val="22"/>
        </w:rPr>
        <w:t xml:space="preserve">l Estatuto General de Contratación de la Administración Pública establece que la licitación pública es, por regla general, la modalidad que debe adelantarse para seleccionar al futuro contratista. Sin embargo, prevé algunas excepciones. En tal sentido, indica en el artículo 2, numeral 4º, literal c), de la Ley 1150 de 2007, que las entidades estatales pueden celebrar contratos interadministrativos, siempre que las obligaciones que se deriven de estos guarden consonancia con el objeto de la entidad contratista. </w:t>
      </w:r>
      <w:r w:rsidR="008E2E2B">
        <w:rPr>
          <w:rFonts w:ascii="Arial" w:hAnsi="Arial" w:cs="Arial"/>
          <w:color w:val="000000"/>
          <w:sz w:val="22"/>
          <w:szCs w:val="22"/>
        </w:rPr>
        <w:t>De igual forma,</w:t>
      </w:r>
      <w:r w:rsidR="007B32C0">
        <w:rPr>
          <w:rFonts w:ascii="Arial" w:hAnsi="Arial" w:cs="Arial"/>
          <w:color w:val="000000"/>
          <w:sz w:val="22"/>
          <w:szCs w:val="22"/>
        </w:rPr>
        <w:t xml:space="preserve"> se señaló que e</w:t>
      </w:r>
      <w:r w:rsidRPr="00004556" w:rsidR="00004556">
        <w:rPr>
          <w:rFonts w:ascii="Arial" w:hAnsi="Arial" w:cs="Arial"/>
          <w:color w:val="000000"/>
          <w:sz w:val="22"/>
          <w:szCs w:val="22"/>
        </w:rPr>
        <w:t>l contrato interadministrativo se define por la naturaleza de las partes, independientemente del régimen jurídico aplicable. De este modo, lo que se tiene en cuenta para calificar un contrato como interadministrativo es el carácter público o estatal de las partes que lo suscriben.</w:t>
      </w:r>
    </w:p>
    <w:p w:rsidR="006B347D" w:rsidP="006B347D" w:rsidRDefault="00004556" w14:paraId="2000E4C9" w14:textId="6870F819">
      <w:pPr>
        <w:shd w:val="clear" w:color="auto" w:fill="FFFFFF"/>
        <w:spacing w:before="120" w:line="276" w:lineRule="auto"/>
        <w:ind w:firstLine="709"/>
        <w:jc w:val="both"/>
        <w:textAlignment w:val="baseline"/>
        <w:rPr>
          <w:rFonts w:ascii="Arial" w:hAnsi="Arial" w:cs="Arial"/>
          <w:color w:val="000000"/>
          <w:sz w:val="22"/>
          <w:szCs w:val="22"/>
        </w:rPr>
      </w:pPr>
      <w:r w:rsidRPr="00004556">
        <w:rPr>
          <w:rFonts w:ascii="Arial" w:hAnsi="Arial" w:cs="Arial"/>
          <w:color w:val="000000"/>
          <w:sz w:val="22"/>
          <w:szCs w:val="22"/>
        </w:rPr>
        <w:t>Si la entidad estatal contratante se rige en su actividad contractual por las disposiciones del Estatuto General de Contratación de la Administración Pública, tanto la </w:t>
      </w:r>
      <w:r w:rsidRPr="00004556">
        <w:rPr>
          <w:rFonts w:ascii="Arial" w:hAnsi="Arial" w:cs="Arial"/>
          <w:i/>
          <w:iCs/>
          <w:color w:val="000000"/>
          <w:sz w:val="22"/>
          <w:szCs w:val="22"/>
        </w:rPr>
        <w:t>celebración</w:t>
      </w:r>
      <w:r w:rsidRPr="00004556">
        <w:rPr>
          <w:rFonts w:ascii="Arial" w:hAnsi="Arial" w:cs="Arial"/>
          <w:color w:val="000000"/>
          <w:sz w:val="22"/>
          <w:szCs w:val="22"/>
        </w:rPr>
        <w:t>, como la </w:t>
      </w:r>
      <w:r w:rsidRPr="00004556">
        <w:rPr>
          <w:rFonts w:ascii="Arial" w:hAnsi="Arial" w:cs="Arial"/>
          <w:i/>
          <w:iCs/>
          <w:color w:val="000000"/>
          <w:sz w:val="22"/>
          <w:szCs w:val="22"/>
        </w:rPr>
        <w:t>ejecución </w:t>
      </w:r>
      <w:r w:rsidRPr="00004556">
        <w:rPr>
          <w:rFonts w:ascii="Arial" w:hAnsi="Arial" w:cs="Arial"/>
          <w:color w:val="000000"/>
          <w:sz w:val="22"/>
          <w:szCs w:val="22"/>
        </w:rPr>
        <w:t xml:space="preserve">de los contratos interadministrativos, debe respetar los principios y reglas contenidos en la Ley 80 de 1993, en la Ley 1150 de 2007, en el Decreto 1082 de 2015 y en las demás normas complementarias. </w:t>
      </w:r>
      <w:r w:rsidR="00377027">
        <w:rPr>
          <w:rFonts w:ascii="Arial" w:hAnsi="Arial" w:cs="Arial"/>
          <w:color w:val="000000"/>
          <w:sz w:val="22"/>
          <w:szCs w:val="22"/>
        </w:rPr>
        <w:t xml:space="preserve">Además, </w:t>
      </w:r>
      <w:r w:rsidR="00FE1768">
        <w:rPr>
          <w:rFonts w:ascii="Arial" w:hAnsi="Arial" w:cs="Arial"/>
          <w:color w:val="000000"/>
          <w:sz w:val="22"/>
          <w:szCs w:val="22"/>
        </w:rPr>
        <w:t xml:space="preserve">también se precisó que, </w:t>
      </w:r>
      <w:r w:rsidR="00FE1768">
        <w:rPr>
          <w:rFonts w:ascii="Arial" w:hAnsi="Arial" w:cs="Arial"/>
          <w:color w:val="000000"/>
          <w:sz w:val="22"/>
          <w:szCs w:val="22"/>
        </w:rPr>
        <w:lastRenderedPageBreak/>
        <w:t>s</w:t>
      </w:r>
      <w:r w:rsidRPr="00004556">
        <w:rPr>
          <w:rFonts w:ascii="Arial" w:hAnsi="Arial" w:cs="Arial"/>
          <w:color w:val="000000"/>
          <w:sz w:val="22"/>
          <w:szCs w:val="22"/>
        </w:rPr>
        <w:t>alvo pacto en contrario, las garantías no se requieren en los co</w:t>
      </w:r>
      <w:r w:rsidRPr="00004556">
        <w:rPr>
          <w:rFonts w:ascii="Arial" w:hAnsi="Arial" w:cs="Arial"/>
          <w:color w:val="000000"/>
          <w:sz w:val="22"/>
          <w:szCs w:val="22"/>
          <w:bdr w:val="none" w:color="auto" w:sz="0" w:space="0" w:frame="1"/>
        </w:rPr>
        <w:t>ntratos interadministrativos, seg</w:t>
      </w:r>
      <w:r w:rsidRPr="00004556">
        <w:rPr>
          <w:rFonts w:ascii="Arial" w:hAnsi="Arial" w:cs="Arial"/>
          <w:color w:val="000000"/>
          <w:sz w:val="22"/>
          <w:szCs w:val="22"/>
        </w:rPr>
        <w:t>ún el último inciso del artículo 7 de la Ley 1150 de 2007.</w:t>
      </w:r>
    </w:p>
    <w:p w:rsidR="009376FB" w:rsidP="009376FB" w:rsidRDefault="00B335E4" w14:paraId="71CA1FE6" w14:textId="5B018C52">
      <w:pPr>
        <w:shd w:val="clear" w:color="auto" w:fill="FFFFFF"/>
        <w:spacing w:before="120" w:line="276" w:lineRule="auto"/>
        <w:ind w:firstLine="709"/>
        <w:jc w:val="both"/>
        <w:textAlignment w:val="baseline"/>
        <w:rPr>
          <w:rFonts w:ascii="Arial" w:hAnsi="Arial" w:cs="Arial"/>
          <w:color w:val="000000"/>
          <w:sz w:val="22"/>
          <w:szCs w:val="22"/>
        </w:rPr>
      </w:pPr>
      <w:r>
        <w:rPr>
          <w:rFonts w:ascii="Arial" w:hAnsi="Arial" w:cs="Arial"/>
          <w:color w:val="000000"/>
          <w:sz w:val="22"/>
          <w:szCs w:val="22"/>
        </w:rPr>
        <w:t>Pues bien, como se expresó, e</w:t>
      </w:r>
      <w:r w:rsidRPr="00004556" w:rsidR="00004556">
        <w:rPr>
          <w:rFonts w:ascii="Arial" w:hAnsi="Arial" w:cs="Arial"/>
          <w:color w:val="000000"/>
          <w:sz w:val="22"/>
          <w:szCs w:val="22"/>
        </w:rPr>
        <w:t>n el Estatuto General de Contratación de la Administración Pública</w:t>
      </w:r>
      <w:r>
        <w:rPr>
          <w:rFonts w:ascii="Arial" w:hAnsi="Arial" w:cs="Arial"/>
          <w:color w:val="000000"/>
          <w:sz w:val="22"/>
          <w:szCs w:val="22"/>
        </w:rPr>
        <w:t xml:space="preserve"> </w:t>
      </w:r>
      <w:r w:rsidRPr="00004556" w:rsidR="00004556">
        <w:rPr>
          <w:rFonts w:ascii="Arial" w:hAnsi="Arial" w:cs="Arial"/>
          <w:color w:val="000000"/>
          <w:sz w:val="22"/>
          <w:szCs w:val="22"/>
        </w:rPr>
        <w:t>se encuentra la prohibición de adicionar los contratos estatales más allá del límite que el legislador ha consagrado en el parágrafo del artículo 40 de la Ley 80 de 1993.</w:t>
      </w:r>
    </w:p>
    <w:p w:rsidR="009376FB" w:rsidP="009376FB" w:rsidRDefault="00004556" w14:paraId="17F801CE" w14:textId="044DD1FF">
      <w:pPr>
        <w:shd w:val="clear" w:color="auto" w:fill="FFFFFF"/>
        <w:spacing w:before="120" w:line="276" w:lineRule="auto"/>
        <w:ind w:firstLine="709"/>
        <w:jc w:val="both"/>
        <w:textAlignment w:val="baseline"/>
        <w:rPr>
          <w:rFonts w:ascii="Arial" w:hAnsi="Arial" w:cs="Arial"/>
          <w:color w:val="201F1E"/>
          <w:sz w:val="22"/>
          <w:szCs w:val="22"/>
        </w:rPr>
      </w:pPr>
      <w:r w:rsidRPr="00004556">
        <w:rPr>
          <w:rFonts w:ascii="Arial" w:hAnsi="Arial" w:cs="Arial"/>
          <w:color w:val="000000"/>
          <w:sz w:val="22"/>
          <w:szCs w:val="22"/>
        </w:rPr>
        <w:t xml:space="preserve">El límite de la adición en valor previsto en </w:t>
      </w:r>
      <w:r w:rsidR="00FE1768">
        <w:rPr>
          <w:rFonts w:ascii="Arial" w:hAnsi="Arial" w:cs="Arial"/>
          <w:color w:val="000000"/>
          <w:sz w:val="22"/>
          <w:szCs w:val="22"/>
        </w:rPr>
        <w:t>dicho</w:t>
      </w:r>
      <w:r w:rsidRPr="00004556">
        <w:rPr>
          <w:rFonts w:ascii="Arial" w:hAnsi="Arial" w:cs="Arial"/>
          <w:color w:val="000000"/>
          <w:sz w:val="22"/>
          <w:szCs w:val="22"/>
        </w:rPr>
        <w:t xml:space="preserve"> parágrafo se aplica en principio a todos los contratos estatales. Esto </w:t>
      </w:r>
      <w:r w:rsidRPr="00FE1768">
        <w:rPr>
          <w:rFonts w:ascii="Arial" w:hAnsi="Arial" w:cs="Arial"/>
          <w:i/>
          <w:iCs/>
          <w:color w:val="000000"/>
          <w:sz w:val="22"/>
          <w:szCs w:val="22"/>
        </w:rPr>
        <w:t>incluye</w:t>
      </w:r>
      <w:r w:rsidRPr="00004556">
        <w:rPr>
          <w:rFonts w:ascii="Arial" w:hAnsi="Arial" w:cs="Arial"/>
          <w:color w:val="000000"/>
          <w:sz w:val="22"/>
          <w:szCs w:val="22"/>
        </w:rPr>
        <w:t xml:space="preserve"> a los </w:t>
      </w:r>
      <w:r w:rsidRPr="00FE1768">
        <w:rPr>
          <w:rFonts w:ascii="Arial" w:hAnsi="Arial" w:cs="Arial"/>
          <w:i/>
          <w:iCs/>
          <w:color w:val="000000"/>
          <w:sz w:val="22"/>
          <w:szCs w:val="22"/>
        </w:rPr>
        <w:t>contratos interadministrativos</w:t>
      </w:r>
      <w:r w:rsidRPr="00004556">
        <w:rPr>
          <w:rFonts w:ascii="Arial" w:hAnsi="Arial" w:cs="Arial"/>
          <w:color w:val="000000"/>
          <w:sz w:val="22"/>
          <w:szCs w:val="22"/>
        </w:rPr>
        <w:t xml:space="preserve">, pues no se encuentra un enunciado normativo que los exceptúe. Lo anterior, sin perjuicio de lo que dispone el artículo 85 de la Ley 1474 de 2011, en el sentido de que: </w:t>
      </w:r>
      <w:r w:rsidR="009376FB">
        <w:rPr>
          <w:rFonts w:ascii="Arial" w:hAnsi="Arial" w:cs="Arial"/>
          <w:color w:val="000000"/>
          <w:sz w:val="22"/>
          <w:szCs w:val="22"/>
        </w:rPr>
        <w:t>«</w:t>
      </w:r>
      <w:r w:rsidRPr="00004556">
        <w:rPr>
          <w:rFonts w:ascii="Arial" w:hAnsi="Arial" w:cs="Arial"/>
          <w:color w:val="000000"/>
          <w:sz w:val="22"/>
          <w:szCs w:val="22"/>
        </w:rPr>
        <w:t>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r w:rsidR="009376FB">
        <w:rPr>
          <w:rFonts w:ascii="Arial" w:hAnsi="Arial" w:cs="Arial"/>
          <w:color w:val="000000"/>
          <w:sz w:val="22"/>
          <w:szCs w:val="22"/>
        </w:rPr>
        <w:t>»</w:t>
      </w:r>
      <w:r w:rsidRPr="00004556">
        <w:rPr>
          <w:rFonts w:ascii="Arial" w:hAnsi="Arial" w:cs="Arial"/>
          <w:color w:val="000000"/>
          <w:sz w:val="22"/>
          <w:szCs w:val="22"/>
        </w:rPr>
        <w:t>.</w:t>
      </w:r>
    </w:p>
    <w:p w:rsidR="009376FB" w:rsidP="009376FB" w:rsidRDefault="00004556" w14:paraId="220DAB19" w14:textId="53823F05">
      <w:pPr>
        <w:shd w:val="clear" w:color="auto" w:fill="FFFFFF"/>
        <w:spacing w:before="120" w:line="276" w:lineRule="auto"/>
        <w:ind w:firstLine="709"/>
        <w:jc w:val="both"/>
        <w:textAlignment w:val="baseline"/>
        <w:rPr>
          <w:rFonts w:ascii="Arial" w:hAnsi="Arial" w:cs="Arial"/>
          <w:color w:val="201F1E"/>
          <w:sz w:val="22"/>
          <w:szCs w:val="22"/>
        </w:rPr>
      </w:pPr>
      <w:r w:rsidRPr="00004556">
        <w:rPr>
          <w:rFonts w:ascii="Arial" w:hAnsi="Arial" w:cs="Arial"/>
          <w:color w:val="000000"/>
          <w:sz w:val="22"/>
          <w:szCs w:val="22"/>
        </w:rPr>
        <w:t xml:space="preserve">En los contratos de seguro suscritos por las entidades estatales regidas por el Estatuto General de Contratación de la Administración Pública –actuando en calidad de tomadoras–, las partes no se encuentran tampoco exoneradas del deber de cumplir el mandato del parágrafo del artículo 40 de la Ley 80 de 1993, pues se reitera, dicha norma no distingue tipologías contractuales. Además, tampoco se halla una disposición especial que diga que tal limitante no se aplique a </w:t>
      </w:r>
      <w:r w:rsidR="00ED69BA">
        <w:rPr>
          <w:rFonts w:ascii="Arial" w:hAnsi="Arial" w:cs="Arial"/>
          <w:color w:val="000000"/>
          <w:sz w:val="22"/>
          <w:szCs w:val="22"/>
        </w:rPr>
        <w:t>los</w:t>
      </w:r>
      <w:r w:rsidRPr="00004556">
        <w:rPr>
          <w:rFonts w:ascii="Arial" w:hAnsi="Arial" w:cs="Arial"/>
          <w:color w:val="000000"/>
          <w:sz w:val="22"/>
          <w:szCs w:val="22"/>
        </w:rPr>
        <w:t xml:space="preserve"> contratos de seguro.</w:t>
      </w:r>
    </w:p>
    <w:p w:rsidR="0057221F" w:rsidP="0057221F" w:rsidRDefault="009376FB" w14:paraId="738445F7" w14:textId="77777777">
      <w:pPr>
        <w:shd w:val="clear" w:color="auto" w:fill="FFFFFF"/>
        <w:spacing w:before="120" w:line="276" w:lineRule="auto"/>
        <w:ind w:firstLine="709"/>
        <w:jc w:val="both"/>
        <w:textAlignment w:val="baseline"/>
        <w:rPr>
          <w:rFonts w:ascii="Arial" w:hAnsi="Arial" w:cs="Arial"/>
          <w:color w:val="000000"/>
          <w:sz w:val="22"/>
          <w:szCs w:val="22"/>
        </w:rPr>
      </w:pPr>
      <w:r>
        <w:rPr>
          <w:rFonts w:ascii="Arial" w:hAnsi="Arial" w:cs="Arial"/>
          <w:color w:val="201F1E"/>
          <w:sz w:val="22"/>
          <w:szCs w:val="22"/>
        </w:rPr>
        <w:t xml:space="preserve">Por otra parte, </w:t>
      </w:r>
      <w:r>
        <w:rPr>
          <w:rFonts w:ascii="Arial" w:hAnsi="Arial" w:cs="Arial"/>
          <w:color w:val="000000"/>
          <w:sz w:val="22"/>
          <w:szCs w:val="22"/>
        </w:rPr>
        <w:t>e</w:t>
      </w:r>
      <w:r w:rsidRPr="00004556" w:rsidR="00004556">
        <w:rPr>
          <w:rFonts w:ascii="Arial" w:hAnsi="Arial" w:cs="Arial"/>
          <w:color w:val="000000"/>
          <w:sz w:val="22"/>
          <w:szCs w:val="22"/>
        </w:rPr>
        <w:t xml:space="preserve">l tercer inciso del artículo 7 de la Ley 1150 de 2007 depositó en el gobierno nacional la facultad de señalar </w:t>
      </w:r>
      <w:r>
        <w:rPr>
          <w:rFonts w:ascii="Arial" w:hAnsi="Arial" w:cs="Arial"/>
          <w:color w:val="000000"/>
          <w:sz w:val="22"/>
          <w:szCs w:val="22"/>
        </w:rPr>
        <w:t>«</w:t>
      </w:r>
      <w:r w:rsidRPr="00004556" w:rsidR="00004556">
        <w:rPr>
          <w:rFonts w:ascii="Arial" w:hAnsi="Arial" w:cs="Arial"/>
          <w:color w:val="000000"/>
          <w:sz w:val="22"/>
          <w:szCs w:val="22"/>
        </w:rPr>
        <w:t>[...]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r>
        <w:rPr>
          <w:rFonts w:ascii="Arial" w:hAnsi="Arial" w:cs="Arial"/>
          <w:color w:val="000000"/>
          <w:sz w:val="22"/>
          <w:szCs w:val="22"/>
        </w:rPr>
        <w:t>»</w:t>
      </w:r>
      <w:r>
        <w:rPr>
          <w:rStyle w:val="Refdenotaalpie"/>
          <w:rFonts w:ascii="Arial" w:hAnsi="Arial" w:cs="Arial"/>
          <w:color w:val="000000"/>
          <w:sz w:val="22"/>
          <w:szCs w:val="22"/>
        </w:rPr>
        <w:footnoteReference w:id="15"/>
      </w:r>
      <w:r w:rsidRPr="00004556" w:rsidR="00004556">
        <w:rPr>
          <w:rFonts w:ascii="Arial" w:hAnsi="Arial" w:cs="Arial"/>
          <w:color w:val="000000"/>
          <w:sz w:val="22"/>
          <w:szCs w:val="22"/>
        </w:rPr>
        <w:t>.</w:t>
      </w:r>
    </w:p>
    <w:p w:rsidR="006123C0" w:rsidP="0057221F" w:rsidRDefault="00004556" w14:paraId="387ACE5E" w14:textId="77777777">
      <w:pPr>
        <w:shd w:val="clear" w:color="auto" w:fill="FFFFFF"/>
        <w:spacing w:before="120" w:line="276" w:lineRule="auto"/>
        <w:ind w:firstLine="709"/>
        <w:jc w:val="both"/>
        <w:textAlignment w:val="baseline"/>
        <w:rPr>
          <w:rFonts w:ascii="Arial" w:hAnsi="Arial" w:cs="Arial"/>
          <w:color w:val="000000"/>
          <w:sz w:val="22"/>
          <w:szCs w:val="22"/>
          <w:bdr w:val="none" w:color="auto" w:sz="0" w:space="0" w:frame="1"/>
        </w:rPr>
      </w:pPr>
      <w:r w:rsidRPr="00004556">
        <w:rPr>
          <w:rFonts w:ascii="Arial" w:hAnsi="Arial" w:cs="Arial"/>
          <w:color w:val="000000"/>
          <w:sz w:val="22"/>
          <w:szCs w:val="22"/>
          <w:bdr w:val="none" w:color="auto" w:sz="0" w:space="0" w:frame="1"/>
        </w:rPr>
        <w:lastRenderedPageBreak/>
        <w:t xml:space="preserve">Así pues, las garantías en la contratación estatal son, por regla general, indivisibles. Por indivisibilidad debe entenderse la exigencia según la cual el contrato debe permanecer amparado por una única garantía de la misma clase durante la vigencia de aquel. Es decir, por una misma garantía única de cumplimiento o por una misma garantía de responsabilidad civil extracontractual, por ejemplo, según el caso. </w:t>
      </w:r>
    </w:p>
    <w:p w:rsidRPr="00004556" w:rsidR="00004556" w:rsidP="0057221F" w:rsidRDefault="00004556" w14:paraId="54807D52" w14:textId="73EAC038">
      <w:pPr>
        <w:shd w:val="clear" w:color="auto" w:fill="FFFFFF"/>
        <w:spacing w:before="120" w:line="276" w:lineRule="auto"/>
        <w:ind w:firstLine="709"/>
        <w:jc w:val="both"/>
        <w:textAlignment w:val="baseline"/>
        <w:rPr>
          <w:rFonts w:ascii="Arial" w:hAnsi="Arial" w:cs="Arial"/>
          <w:color w:val="201F1E"/>
          <w:sz w:val="22"/>
          <w:szCs w:val="22"/>
        </w:rPr>
      </w:pPr>
      <w:r w:rsidRPr="00004556">
        <w:rPr>
          <w:rFonts w:ascii="Arial" w:hAnsi="Arial" w:cs="Arial"/>
          <w:color w:val="000000"/>
          <w:sz w:val="22"/>
          <w:szCs w:val="22"/>
          <w:bdr w:val="none" w:color="auto" w:sz="0" w:space="0" w:frame="1"/>
        </w:rPr>
        <w:t xml:space="preserve">Pero, para </w:t>
      </w:r>
      <w:r w:rsidR="006123C0">
        <w:rPr>
          <w:rFonts w:ascii="Arial" w:hAnsi="Arial" w:cs="Arial"/>
          <w:color w:val="000000"/>
          <w:sz w:val="22"/>
          <w:szCs w:val="22"/>
          <w:bdr w:val="none" w:color="auto" w:sz="0" w:space="0" w:frame="1"/>
        </w:rPr>
        <w:t>acatar</w:t>
      </w:r>
      <w:r w:rsidRPr="00004556">
        <w:rPr>
          <w:rFonts w:ascii="Arial" w:hAnsi="Arial" w:cs="Arial"/>
          <w:color w:val="000000"/>
          <w:sz w:val="22"/>
          <w:szCs w:val="22"/>
          <w:bdr w:val="none" w:color="auto" w:sz="0" w:space="0" w:frame="1"/>
        </w:rPr>
        <w:t xml:space="preserve"> tal obligación las entidades estatales deben cumplir con una adecuada planeación del contrato interadministrativo que quedará cubierto por la garantía, para, de esta manera, saber con claridad, desde el momento en que adquirirán dicha garantía, cuál será el valor de la prima. En todo caso, al ser el contrato de seguro suscrito por una entidad pública, en calidad de tomadora, un contrato estatal, significa que la prima adicional por la ampliación de dicho seguro también debe respetar la prohibición de adicionarlo en más del 50% del valor inicial. Si bien aquí pareciera presentarse una antinomia entre la regla general de la indivisibilidad de la garantía y la prohibición de adición superando dicho porcentaje, prevalece este último límite, porque es una norma especial aplicable a las adiciones, que no distingue tipologías contractuales. </w:t>
      </w:r>
    </w:p>
    <w:p w:rsidRPr="00B02EB3" w:rsidR="00004556" w:rsidP="00510DE9" w:rsidRDefault="00004556" w14:paraId="5716FC05" w14:textId="77777777">
      <w:pPr>
        <w:tabs>
          <w:tab w:val="left" w:pos="0"/>
        </w:tabs>
        <w:jc w:val="both"/>
        <w:rPr>
          <w:rFonts w:ascii="Arial" w:hAnsi="Arial" w:eastAsia="Calibri" w:cs="Arial"/>
          <w:b/>
          <w:color w:val="000000" w:themeColor="text1"/>
          <w:sz w:val="22"/>
        </w:rPr>
      </w:pPr>
    </w:p>
    <w:p w:rsidRPr="00404C61" w:rsidR="00DD5B04" w:rsidP="00510DE9" w:rsidRDefault="004177A6" w14:paraId="37CA9805" w14:textId="5E12DF66">
      <w:pPr>
        <w:tabs>
          <w:tab w:val="left" w:pos="0"/>
        </w:tabs>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3</w:t>
      </w:r>
      <w:r w:rsidRPr="00404C61" w:rsidR="00B011A9">
        <w:rPr>
          <w:rFonts w:ascii="Arial" w:hAnsi="Arial" w:eastAsia="Calibri" w:cs="Arial"/>
          <w:b/>
          <w:color w:val="000000" w:themeColor="text1"/>
          <w:sz w:val="22"/>
          <w:lang w:val="es-ES_tradnl"/>
        </w:rPr>
        <w:t xml:space="preserve">. </w:t>
      </w:r>
      <w:r w:rsidRPr="00404C61" w:rsidR="00DD5B04">
        <w:rPr>
          <w:rFonts w:ascii="Arial" w:hAnsi="Arial" w:eastAsia="Calibri" w:cs="Arial"/>
          <w:b/>
          <w:color w:val="000000" w:themeColor="text1"/>
          <w:sz w:val="22"/>
          <w:lang w:val="es-ES_tradnl"/>
        </w:rPr>
        <w:t>Respuesta</w:t>
      </w:r>
      <w:r w:rsidR="00CC71D3">
        <w:rPr>
          <w:rFonts w:ascii="Arial" w:hAnsi="Arial" w:eastAsia="Calibri" w:cs="Arial"/>
          <w:b/>
          <w:color w:val="000000" w:themeColor="text1"/>
          <w:sz w:val="22"/>
          <w:lang w:val="es-ES_tradnl"/>
        </w:rPr>
        <w:t>s</w:t>
      </w:r>
    </w:p>
    <w:p w:rsidRPr="00404C61"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F0435D" w:rsidR="00F0435D" w:rsidP="00F0435D" w:rsidRDefault="00F0435D" w14:paraId="0B6A8ACA" w14:textId="2656D3B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Pr>
          <w:rFonts w:ascii="Arial" w:hAnsi="Arial" w:cs="Arial"/>
          <w:color w:val="000000" w:themeColor="text1"/>
          <w:sz w:val="21"/>
          <w:szCs w:val="21"/>
          <w:lang w:val="es-ES_tradnl"/>
        </w:rPr>
        <w:t>1.</w:t>
      </w:r>
      <w:r>
        <w:rPr>
          <w:rFonts w:ascii="Arial" w:hAnsi="Arial" w:cs="Arial"/>
          <w:color w:val="000000" w:themeColor="text1"/>
          <w:sz w:val="21"/>
          <w:szCs w:val="21"/>
          <w:lang w:val="es-ES_tradnl"/>
        </w:rPr>
        <w:t xml:space="preserve"> </w:t>
      </w:r>
      <w:r w:rsidRPr="00F0435D">
        <w:rPr>
          <w:rFonts w:ascii="Arial" w:hAnsi="Arial" w:cs="Arial"/>
          <w:color w:val="000000" w:themeColor="text1"/>
          <w:sz w:val="21"/>
          <w:szCs w:val="21"/>
          <w:lang w:val="es-ES_tradnl"/>
        </w:rPr>
        <w:t>Al convenio interadministrativo le es aplicable la limitante de adición máxima de recursos del 50% sobre el valor inicial establecida en el articulo 40 de la Ley 80 de 1993 o en su defecto se puede superar ese 50%</w:t>
      </w:r>
      <w:r w:rsidR="00E63107">
        <w:rPr>
          <w:rFonts w:ascii="Arial" w:hAnsi="Arial" w:cs="Arial"/>
          <w:color w:val="000000" w:themeColor="text1"/>
          <w:sz w:val="21"/>
          <w:szCs w:val="21"/>
          <w:lang w:val="es-ES_tradnl"/>
        </w:rPr>
        <w:t>»</w:t>
      </w:r>
      <w:r w:rsidRPr="00F0435D">
        <w:rPr>
          <w:rFonts w:ascii="Arial" w:hAnsi="Arial" w:cs="Arial"/>
          <w:color w:val="000000" w:themeColor="text1"/>
          <w:sz w:val="21"/>
          <w:szCs w:val="21"/>
          <w:lang w:val="es-ES_tradnl"/>
        </w:rPr>
        <w:t xml:space="preserve">. </w:t>
      </w:r>
    </w:p>
    <w:p w:rsidR="00F0435D" w:rsidP="00687A14" w:rsidRDefault="00F0435D" w14:paraId="115B2DF8" w14:textId="1B79FB09">
      <w:pPr>
        <w:ind w:right="709"/>
        <w:jc w:val="both"/>
        <w:rPr>
          <w:rFonts w:ascii="Arial" w:hAnsi="Arial" w:cs="Arial"/>
          <w:color w:val="000000" w:themeColor="text1"/>
          <w:sz w:val="21"/>
          <w:szCs w:val="21"/>
          <w:lang w:val="es-ES_tradnl"/>
        </w:rPr>
      </w:pPr>
    </w:p>
    <w:p w:rsidRPr="00687A14" w:rsidR="00687A14" w:rsidP="00687A14" w:rsidRDefault="00687A14" w14:paraId="22186F78" w14:textId="01748D27">
      <w:pPr>
        <w:shd w:val="clear" w:color="auto" w:fill="FFFFFF"/>
        <w:spacing w:line="276" w:lineRule="auto"/>
        <w:jc w:val="both"/>
        <w:textAlignment w:val="baseline"/>
        <w:rPr>
          <w:rFonts w:ascii="Arial" w:hAnsi="Arial" w:cs="Arial"/>
          <w:color w:val="000000"/>
          <w:sz w:val="22"/>
          <w:szCs w:val="22"/>
          <w:shd w:val="clear" w:color="auto" w:fill="FFFFFF"/>
        </w:rPr>
      </w:pPr>
      <w:r w:rsidRPr="00687A14">
        <w:rPr>
          <w:rFonts w:ascii="Arial" w:hAnsi="Arial" w:cs="Arial"/>
          <w:color w:val="000000"/>
          <w:sz w:val="22"/>
          <w:szCs w:val="22"/>
          <w:shd w:val="clear" w:color="auto" w:fill="FFFFFF"/>
        </w:rPr>
        <w:t xml:space="preserve">El parágrafo del artículo 40 de la Ley 80 de 1993 no efectúa distinción alguna </w:t>
      </w:r>
      <w:r w:rsidR="007B4558">
        <w:rPr>
          <w:rFonts w:ascii="Arial" w:hAnsi="Arial" w:cs="Arial"/>
          <w:color w:val="000000"/>
          <w:sz w:val="22"/>
          <w:szCs w:val="22"/>
          <w:shd w:val="clear" w:color="auto" w:fill="FFFFFF"/>
        </w:rPr>
        <w:t>de</w:t>
      </w:r>
      <w:r w:rsidRPr="00687A14">
        <w:rPr>
          <w:rFonts w:ascii="Arial" w:hAnsi="Arial" w:cs="Arial"/>
          <w:color w:val="000000"/>
          <w:sz w:val="22"/>
          <w:szCs w:val="22"/>
          <w:shd w:val="clear" w:color="auto" w:fill="FFFFFF"/>
        </w:rPr>
        <w:t xml:space="preserve"> tipologías contractuales. Por tanto, dicha prohibición también se aplica a los contratos interadministrativos en los cuales actúa como contratante una entidad sometida al Estatuto General de Contratación de la Administración Pública, sin perjuicio de lo establecido en el artículo 85 de la Ley 1474 de 2011 y en el artículo 8 del Decreto Legislativo No. 537 de 2020.  </w:t>
      </w:r>
    </w:p>
    <w:p w:rsidRPr="00687A14" w:rsidR="00687A14" w:rsidP="00687A14" w:rsidRDefault="00687A14" w14:paraId="31A0549F" w14:textId="77777777">
      <w:pPr>
        <w:ind w:right="709"/>
        <w:jc w:val="both"/>
        <w:rPr>
          <w:rFonts w:ascii="Arial" w:hAnsi="Arial" w:cs="Arial"/>
          <w:color w:val="000000" w:themeColor="text1"/>
          <w:sz w:val="21"/>
          <w:szCs w:val="21"/>
        </w:rPr>
      </w:pPr>
    </w:p>
    <w:p w:rsidRPr="00F0435D" w:rsidR="00F0435D" w:rsidP="00F0435D" w:rsidRDefault="00E63107" w14:paraId="71FF3A9D" w14:textId="02C8557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Pr="00F0435D" w:rsidR="00F0435D">
        <w:rPr>
          <w:rFonts w:ascii="Arial" w:hAnsi="Arial" w:cs="Arial"/>
          <w:color w:val="000000" w:themeColor="text1"/>
          <w:sz w:val="21"/>
          <w:szCs w:val="21"/>
          <w:lang w:val="es-ES_tradnl"/>
        </w:rPr>
        <w:t>2. La disposición establecida en el artículo 40 de la Ley 80 de 1993 le es aplicable al contrato de seguro que suscribe una entidad pública para amparar el cumplimiento de un convenio interadministrativo</w:t>
      </w:r>
      <w:r>
        <w:rPr>
          <w:rFonts w:ascii="Arial" w:hAnsi="Arial" w:cs="Arial"/>
          <w:color w:val="000000" w:themeColor="text1"/>
          <w:sz w:val="21"/>
          <w:szCs w:val="21"/>
          <w:lang w:val="es-ES_tradnl"/>
        </w:rPr>
        <w:t>»</w:t>
      </w:r>
      <w:r w:rsidRPr="00F0435D" w:rsidR="00F0435D">
        <w:rPr>
          <w:rFonts w:ascii="Arial" w:hAnsi="Arial" w:cs="Arial"/>
          <w:color w:val="000000" w:themeColor="text1"/>
          <w:sz w:val="21"/>
          <w:szCs w:val="21"/>
          <w:lang w:val="es-ES_tradnl"/>
        </w:rPr>
        <w:t xml:space="preserve">. </w:t>
      </w:r>
    </w:p>
    <w:p w:rsidR="00F0435D" w:rsidP="00F0435D" w:rsidRDefault="00F0435D" w14:paraId="677889BA" w14:textId="3870ACB3">
      <w:pPr>
        <w:ind w:left="709" w:right="709"/>
        <w:jc w:val="both"/>
        <w:rPr>
          <w:rFonts w:ascii="Arial" w:hAnsi="Arial" w:cs="Arial"/>
          <w:color w:val="000000" w:themeColor="text1"/>
          <w:sz w:val="21"/>
          <w:szCs w:val="21"/>
          <w:lang w:val="es-ES_tradnl"/>
        </w:rPr>
      </w:pPr>
    </w:p>
    <w:p w:rsidRPr="00803700" w:rsidR="00803700" w:rsidP="00803700" w:rsidRDefault="00803700" w14:paraId="3BBA71FA" w14:textId="40E15FCB">
      <w:pPr>
        <w:shd w:val="clear" w:color="auto" w:fill="FFFFFF"/>
        <w:spacing w:line="276" w:lineRule="auto"/>
        <w:jc w:val="both"/>
        <w:textAlignment w:val="baseline"/>
        <w:rPr>
          <w:rFonts w:ascii="Arial" w:hAnsi="Arial" w:cs="Arial"/>
          <w:color w:val="000000"/>
          <w:sz w:val="22"/>
          <w:szCs w:val="22"/>
          <w:shd w:val="clear" w:color="auto" w:fill="FFFFFF"/>
        </w:rPr>
      </w:pPr>
      <w:r w:rsidRPr="00803700">
        <w:rPr>
          <w:rFonts w:ascii="Arial" w:hAnsi="Arial" w:cs="Arial"/>
          <w:color w:val="000000"/>
          <w:sz w:val="22"/>
          <w:szCs w:val="22"/>
          <w:shd w:val="clear" w:color="auto" w:fill="FFFFFF"/>
        </w:rPr>
        <w:t>Se reitera lo dicho en la respuesta anterior. Al no existir una excepción para los contratos de seguro, la prohibición establecida en el parágrafo del artículo 40 también les resulta aplicable a tales negocios jurídicos</w:t>
      </w:r>
      <w:r w:rsidR="002E4F23">
        <w:rPr>
          <w:rFonts w:ascii="Arial" w:hAnsi="Arial" w:cs="Arial"/>
          <w:color w:val="000000"/>
          <w:sz w:val="22"/>
          <w:szCs w:val="22"/>
          <w:shd w:val="clear" w:color="auto" w:fill="FFFFFF"/>
        </w:rPr>
        <w:t>, cuando actúa como tomadora una entidad estatal sometida al Estatuto General de Contratación de la Administración Pública.</w:t>
      </w:r>
    </w:p>
    <w:p w:rsidRPr="00803700" w:rsidR="00803700" w:rsidP="00803700" w:rsidRDefault="00803700" w14:paraId="559E2305" w14:textId="77777777">
      <w:pPr>
        <w:ind w:right="709"/>
        <w:jc w:val="both"/>
        <w:rPr>
          <w:rFonts w:ascii="Arial" w:hAnsi="Arial" w:cs="Arial"/>
          <w:color w:val="000000" w:themeColor="text1"/>
          <w:sz w:val="21"/>
          <w:szCs w:val="21"/>
        </w:rPr>
      </w:pPr>
    </w:p>
    <w:p w:rsidRPr="00F0435D" w:rsidR="00F0435D" w:rsidP="00F0435D" w:rsidRDefault="00E63107" w14:paraId="1648859B" w14:textId="11E84394">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sidR="00F0435D">
        <w:rPr>
          <w:rFonts w:ascii="Arial" w:hAnsi="Arial" w:cs="Arial"/>
          <w:color w:val="000000" w:themeColor="text1"/>
          <w:sz w:val="21"/>
          <w:szCs w:val="21"/>
          <w:lang w:val="es-ES_tradnl"/>
        </w:rPr>
        <w:t>3.</w:t>
      </w:r>
      <w:r w:rsidR="00F0435D">
        <w:rPr>
          <w:rFonts w:ascii="Arial" w:hAnsi="Arial" w:cs="Arial"/>
          <w:color w:val="000000" w:themeColor="text1"/>
          <w:sz w:val="21"/>
          <w:szCs w:val="21"/>
          <w:lang w:val="es-ES_tradnl"/>
        </w:rPr>
        <w:t xml:space="preserve"> </w:t>
      </w:r>
      <w:r w:rsidRPr="00F0435D" w:rsidR="00F0435D">
        <w:rPr>
          <w:rFonts w:ascii="Arial" w:hAnsi="Arial" w:cs="Arial"/>
          <w:color w:val="000000" w:themeColor="text1"/>
          <w:sz w:val="21"/>
          <w:szCs w:val="21"/>
          <w:lang w:val="es-ES_tradnl"/>
        </w:rPr>
        <w:t>El pago de las primas derivadas de la ejecución del contrato de seguro que ampara un convenio interadministrativo puede superar el 50% del valor inicialmente pagado por concepto de prima</w:t>
      </w:r>
      <w:r>
        <w:rPr>
          <w:rFonts w:ascii="Arial" w:hAnsi="Arial" w:cs="Arial"/>
          <w:color w:val="000000" w:themeColor="text1"/>
          <w:sz w:val="21"/>
          <w:szCs w:val="21"/>
          <w:lang w:val="es-ES_tradnl"/>
        </w:rPr>
        <w:t>»</w:t>
      </w:r>
      <w:r w:rsidRPr="00F0435D" w:rsidR="00F0435D">
        <w:rPr>
          <w:rFonts w:ascii="Arial" w:hAnsi="Arial" w:cs="Arial"/>
          <w:color w:val="000000" w:themeColor="text1"/>
          <w:sz w:val="21"/>
          <w:szCs w:val="21"/>
          <w:lang w:val="es-ES_tradnl"/>
        </w:rPr>
        <w:t xml:space="preserve">. </w:t>
      </w:r>
    </w:p>
    <w:p w:rsidR="00F0435D" w:rsidP="00F0435D" w:rsidRDefault="00F0435D" w14:paraId="773A4766" w14:textId="7349800D">
      <w:pPr>
        <w:ind w:left="709" w:right="709"/>
        <w:jc w:val="both"/>
        <w:rPr>
          <w:rFonts w:ascii="Arial" w:hAnsi="Arial" w:cs="Arial"/>
          <w:color w:val="000000" w:themeColor="text1"/>
          <w:sz w:val="21"/>
          <w:szCs w:val="21"/>
          <w:lang w:val="es-ES_tradnl"/>
        </w:rPr>
      </w:pPr>
    </w:p>
    <w:p w:rsidR="006837B2" w:rsidP="006837B2" w:rsidRDefault="006837B2" w14:paraId="65C2594C" w14:textId="54DA2E25">
      <w:pPr>
        <w:shd w:val="clear" w:color="auto" w:fill="FFFFFF"/>
        <w:spacing w:line="276" w:lineRule="auto"/>
        <w:jc w:val="both"/>
        <w:textAlignment w:val="baseline"/>
        <w:rPr>
          <w:rFonts w:ascii="Arial" w:hAnsi="Arial" w:cs="Arial"/>
          <w:color w:val="000000"/>
          <w:sz w:val="22"/>
          <w:szCs w:val="22"/>
          <w:shd w:val="clear" w:color="auto" w:fill="FFFFFF"/>
        </w:rPr>
      </w:pPr>
      <w:r w:rsidRPr="006837B2">
        <w:rPr>
          <w:rFonts w:ascii="Arial" w:hAnsi="Arial" w:cs="Arial"/>
          <w:color w:val="000000"/>
          <w:sz w:val="22"/>
          <w:szCs w:val="22"/>
          <w:shd w:val="clear" w:color="auto" w:fill="FFFFFF"/>
        </w:rPr>
        <w:t>Por regla general no, con fundamento en lo dicho anteriormente.</w:t>
      </w:r>
    </w:p>
    <w:p w:rsidRPr="006837B2" w:rsidR="00F23393" w:rsidP="006837B2" w:rsidRDefault="00F23393" w14:paraId="5129356E" w14:textId="77777777">
      <w:pPr>
        <w:shd w:val="clear" w:color="auto" w:fill="FFFFFF"/>
        <w:spacing w:line="276" w:lineRule="auto"/>
        <w:jc w:val="both"/>
        <w:textAlignment w:val="baseline"/>
        <w:rPr>
          <w:rFonts w:ascii="Arial" w:hAnsi="Arial" w:cs="Arial"/>
          <w:color w:val="000000"/>
          <w:sz w:val="22"/>
          <w:szCs w:val="22"/>
          <w:shd w:val="clear" w:color="auto" w:fill="FFFFFF"/>
        </w:rPr>
      </w:pPr>
    </w:p>
    <w:p w:rsidRPr="00F0435D" w:rsidR="00636BE4" w:rsidP="00F0435D" w:rsidRDefault="00E63107" w14:paraId="6A1A6920" w14:textId="2DCFA81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0435D" w:rsidR="00F0435D">
        <w:rPr>
          <w:rFonts w:ascii="Arial" w:hAnsi="Arial" w:cs="Arial"/>
          <w:color w:val="000000" w:themeColor="text1"/>
          <w:sz w:val="21"/>
          <w:szCs w:val="21"/>
          <w:lang w:val="es-ES_tradnl"/>
        </w:rPr>
        <w:t>4.</w:t>
      </w:r>
      <w:r w:rsidR="00F0435D">
        <w:rPr>
          <w:rFonts w:ascii="Arial" w:hAnsi="Arial" w:cs="Arial"/>
          <w:color w:val="000000" w:themeColor="text1"/>
          <w:sz w:val="21"/>
          <w:szCs w:val="21"/>
          <w:lang w:val="es-ES_tradnl"/>
        </w:rPr>
        <w:t xml:space="preserve"> </w:t>
      </w:r>
      <w:r w:rsidRPr="00F0435D" w:rsidR="00F0435D">
        <w:rPr>
          <w:rFonts w:ascii="Arial" w:hAnsi="Arial" w:cs="Arial"/>
          <w:color w:val="000000" w:themeColor="text1"/>
          <w:sz w:val="21"/>
          <w:szCs w:val="21"/>
          <w:lang w:val="es-ES_tradnl"/>
        </w:rPr>
        <w:t>De no ser permitido superar el 50% del valor inicialmente pagado por concepto de la prima que ampara un convenio interadministrativo, como opera la prohibición de indivisibilidad de la garantía y que</w:t>
      </w:r>
      <w:r w:rsidR="00F0435D">
        <w:rPr>
          <w:rFonts w:ascii="Arial" w:hAnsi="Arial" w:cs="Arial"/>
          <w:color w:val="000000" w:themeColor="text1"/>
          <w:sz w:val="21"/>
          <w:szCs w:val="21"/>
          <w:lang w:val="es-ES_tradnl"/>
        </w:rPr>
        <w:t xml:space="preserve"> (sic)</w:t>
      </w:r>
      <w:r w:rsidRPr="00F0435D" w:rsidR="00F0435D">
        <w:rPr>
          <w:rFonts w:ascii="Arial" w:hAnsi="Arial" w:cs="Arial"/>
          <w:color w:val="000000" w:themeColor="text1"/>
          <w:sz w:val="21"/>
          <w:szCs w:val="21"/>
          <w:lang w:val="es-ES_tradnl"/>
        </w:rPr>
        <w:t xml:space="preserve"> pasaría con la cobertura del convenio ante la imposibilidad de poder superar el 50% del valor inicialmente pagado por concepto de prima</w:t>
      </w:r>
      <w:r w:rsidRPr="00A500B1" w:rsidR="00F0435D">
        <w:rPr>
          <w:rFonts w:ascii="Arial" w:hAnsi="Arial" w:cs="Arial"/>
          <w:color w:val="000000" w:themeColor="text1"/>
          <w:sz w:val="21"/>
          <w:szCs w:val="21"/>
          <w:lang w:val="es-ES_tradnl"/>
        </w:rPr>
        <w:t>».</w:t>
      </w:r>
    </w:p>
    <w:p w:rsidR="00636BE4" w:rsidP="00DF76A2" w:rsidRDefault="00636BE4" w14:paraId="4A10534E" w14:textId="4F87268A">
      <w:pPr>
        <w:spacing w:line="276" w:lineRule="auto"/>
        <w:jc w:val="both"/>
        <w:rPr>
          <w:rFonts w:ascii="Arial" w:hAnsi="Arial" w:cs="Arial"/>
          <w:color w:val="000000" w:themeColor="text1"/>
          <w:sz w:val="22"/>
        </w:rPr>
      </w:pPr>
    </w:p>
    <w:p w:rsidR="006837B2" w:rsidP="006837B2" w:rsidRDefault="006837B2" w14:paraId="5463BB44" w14:textId="615DBB76">
      <w:pPr>
        <w:spacing w:line="276" w:lineRule="auto"/>
        <w:jc w:val="both"/>
        <w:rPr>
          <w:rFonts w:ascii="Arial" w:hAnsi="Arial" w:cs="Arial"/>
          <w:color w:val="000000" w:themeColor="text1"/>
          <w:sz w:val="22"/>
        </w:rPr>
      </w:pPr>
      <w:r w:rsidRPr="006837B2">
        <w:rPr>
          <w:rFonts w:ascii="Arial" w:hAnsi="Arial" w:cs="Arial"/>
          <w:color w:val="000000" w:themeColor="text1"/>
          <w:sz w:val="22"/>
        </w:rPr>
        <w:t>Al ser el contrato de seguro suscrito por una entidad pública</w:t>
      </w:r>
      <w:r w:rsidR="00D17951">
        <w:rPr>
          <w:rFonts w:ascii="Arial" w:hAnsi="Arial" w:cs="Arial"/>
          <w:color w:val="000000" w:themeColor="text1"/>
          <w:sz w:val="22"/>
        </w:rPr>
        <w:t xml:space="preserve"> que se rige por la Ley 80 de 1993</w:t>
      </w:r>
      <w:r w:rsidRPr="006837B2">
        <w:rPr>
          <w:rFonts w:ascii="Arial" w:hAnsi="Arial" w:cs="Arial"/>
          <w:color w:val="000000" w:themeColor="text1"/>
          <w:sz w:val="22"/>
        </w:rPr>
        <w:t xml:space="preserve">, en calidad de tomadora, un </w:t>
      </w:r>
      <w:r w:rsidRPr="00D17951">
        <w:rPr>
          <w:rFonts w:ascii="Arial" w:hAnsi="Arial" w:cs="Arial"/>
          <w:i/>
          <w:iCs/>
          <w:color w:val="000000" w:themeColor="text1"/>
          <w:sz w:val="22"/>
        </w:rPr>
        <w:t>contrato estatal</w:t>
      </w:r>
      <w:r w:rsidRPr="006837B2">
        <w:rPr>
          <w:rFonts w:ascii="Arial" w:hAnsi="Arial" w:cs="Arial"/>
          <w:color w:val="000000" w:themeColor="text1"/>
          <w:sz w:val="22"/>
        </w:rPr>
        <w:t xml:space="preserve">, significa que la prima adicional por la ampliación de dicho seguro también debe respetar la prohibición de adicionarlo en más del 50% del valor inicial. Si bien aquí pareciera presentarse una antinomia entre la regla general de la indivisibilidad de la garantía y la prohibición de adición superando dicho porcentaje, prevalece este último límite, porque es una norma especial aplicable a las adiciones, que no distingue tipologías contractuales. </w:t>
      </w:r>
    </w:p>
    <w:p w:rsidR="006837B2" w:rsidP="006837B2" w:rsidRDefault="006837B2" w14:paraId="44CA7927" w14:textId="550C3F13">
      <w:pPr>
        <w:spacing w:before="120" w:line="276" w:lineRule="auto"/>
        <w:ind w:firstLine="709"/>
        <w:jc w:val="both"/>
        <w:rPr>
          <w:rFonts w:ascii="Arial" w:hAnsi="Arial" w:cs="Arial"/>
          <w:color w:val="000000" w:themeColor="text1"/>
          <w:sz w:val="22"/>
        </w:rPr>
      </w:pPr>
      <w:r w:rsidRPr="006837B2">
        <w:rPr>
          <w:rFonts w:ascii="Arial" w:hAnsi="Arial" w:cs="Arial"/>
          <w:color w:val="000000" w:themeColor="text1"/>
          <w:sz w:val="22"/>
        </w:rPr>
        <w:t>El asunto de la cobertura debe analizarse en el caso concreto, según la naturaleza de los amparos y la vigencia del contrato garantizado. Lo anterior, por cuanto, la Agencia Nacional de Contratación Pública –</w:t>
      </w:r>
      <w:r w:rsidR="00551098">
        <w:rPr>
          <w:rFonts w:ascii="Arial" w:hAnsi="Arial" w:cs="Arial"/>
          <w:color w:val="000000" w:themeColor="text1"/>
          <w:sz w:val="22"/>
        </w:rPr>
        <w:t xml:space="preserve"> </w:t>
      </w:r>
      <w:r w:rsidRPr="006837B2">
        <w:rPr>
          <w:rFonts w:ascii="Arial" w:hAnsi="Arial" w:cs="Arial"/>
          <w:color w:val="000000" w:themeColor="text1"/>
          <w:sz w:val="22"/>
        </w:rPr>
        <w:t>Colombia Compra Eficiente solo tiene competencia para la interpretación de normas de alcance general y no para emitir dictámenes sobre supuestos concretos.</w:t>
      </w:r>
    </w:p>
    <w:p w:rsidR="006837B2" w:rsidP="006837B2" w:rsidRDefault="006837B2" w14:paraId="0EDE6064" w14:textId="524539E2">
      <w:pPr>
        <w:spacing w:before="120" w:line="276" w:lineRule="auto"/>
        <w:ind w:firstLine="709"/>
        <w:jc w:val="both"/>
        <w:rPr>
          <w:rFonts w:ascii="Arial" w:hAnsi="Arial" w:cs="Arial"/>
          <w:color w:val="000000" w:themeColor="text1"/>
          <w:sz w:val="22"/>
        </w:rPr>
      </w:pPr>
      <w:r w:rsidRPr="006837B2">
        <w:rPr>
          <w:rFonts w:ascii="Arial" w:hAnsi="Arial" w:cs="Arial"/>
          <w:color w:val="000000" w:themeColor="text1"/>
          <w:sz w:val="22"/>
        </w:rPr>
        <w:t>En todo caso, debe tenerse en cuenta que el último inciso del artículo 7 de la Ley 1150 de 2007 establece que las garantías no serán obligatorias en los contratos interadministrativos, salvo que las partes haya hecho un pacto en contrario.</w:t>
      </w:r>
    </w:p>
    <w:p w:rsidRPr="00636BE4" w:rsidR="006837B2" w:rsidP="006837B2" w:rsidRDefault="006837B2" w14:paraId="00C262D2" w14:textId="77777777">
      <w:pPr>
        <w:spacing w:line="276" w:lineRule="auto"/>
        <w:jc w:val="both"/>
        <w:rPr>
          <w:rFonts w:ascii="Arial" w:hAnsi="Arial" w:cs="Arial"/>
          <w:color w:val="000000" w:themeColor="text1"/>
          <w:sz w:val="22"/>
        </w:rPr>
      </w:pPr>
    </w:p>
    <w:p w:rsidRPr="00404C61" w:rsidR="00DD5B04" w:rsidP="00DF76A2" w:rsidRDefault="00DD5B04" w14:paraId="7B2C921D" w14:textId="75AF4134">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404C61"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rsidRPr="00404C61"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425C43" w:rsidP="6B0A0692" w:rsidRDefault="00425C43" w14:paraId="5CBAE239" w14:textId="076065EA">
      <w:pPr>
        <w:pStyle w:val="Normal"/>
        <w:jc w:val="center"/>
      </w:pPr>
      <w:r w:rsidR="1105B69E">
        <w:drawing>
          <wp:inline wp14:editId="368759DF" wp14:anchorId="064B15E4">
            <wp:extent cx="2381250" cy="1057275"/>
            <wp:effectExtent l="0" t="0" r="0" b="0"/>
            <wp:docPr id="2132179647" name="" title=""/>
            <wp:cNvGraphicFramePr>
              <a:graphicFrameLocks noChangeAspect="1"/>
            </wp:cNvGraphicFramePr>
            <a:graphic>
              <a:graphicData uri="http://schemas.openxmlformats.org/drawingml/2006/picture">
                <pic:pic>
                  <pic:nvPicPr>
                    <pic:cNvPr id="0" name=""/>
                    <pic:cNvPicPr/>
                  </pic:nvPicPr>
                  <pic:blipFill>
                    <a:blip r:embed="R5806e8ac767d484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81250" cy="1057275"/>
                    </a:xfrm>
                    <a:prstGeom prst="rect">
                      <a:avLst/>
                    </a:prstGeom>
                  </pic:spPr>
                </pic:pic>
              </a:graphicData>
            </a:graphic>
          </wp:inline>
        </w:drawing>
      </w:r>
    </w:p>
    <w:p w:rsidRPr="00404C61"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04C61" w:rsidR="00DD5B04" w:rsidTr="00083F1B" w14:paraId="0C7DC5F7" w14:textId="77777777">
        <w:trPr>
          <w:trHeight w:val="315"/>
        </w:trPr>
        <w:tc>
          <w:tcPr>
            <w:tcW w:w="812" w:type="dxa"/>
            <w:vAlign w:val="center"/>
            <w:hideMark/>
          </w:tcPr>
          <w:p w:rsidRPr="00404C61" w:rsidR="00DD5B04" w:rsidP="00DF76A2" w:rsidRDefault="00DD5B04" w14:paraId="5BDB1AC9"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404C61" w:rsidR="00DD5B04" w:rsidP="00DF76A2" w:rsidRDefault="00DD5B04" w14:paraId="7F9F79B1"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Cristian Andrés Díaz Díez</w:t>
            </w:r>
          </w:p>
          <w:p w:rsidRPr="00404C61" w:rsidR="00DD5B04" w:rsidP="00DF76A2" w:rsidRDefault="00DD5B04" w14:paraId="240C71FD" w14:textId="31312C95">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Contratista</w:t>
            </w:r>
            <w:r w:rsidRPr="00404C61" w:rsidR="00FF0050">
              <w:rPr>
                <w:rFonts w:ascii="Arial" w:hAnsi="Arial" w:cs="Arial"/>
                <w:color w:val="000000" w:themeColor="text1"/>
                <w:sz w:val="16"/>
                <w:szCs w:val="16"/>
                <w:lang w:val="es-ES_tradnl" w:eastAsia="es-ES"/>
              </w:rPr>
              <w:t xml:space="preserve"> de la </w:t>
            </w:r>
            <w:r w:rsidRPr="00404C61">
              <w:rPr>
                <w:rFonts w:ascii="Arial" w:hAnsi="Arial" w:cs="Arial"/>
                <w:color w:val="000000" w:themeColor="text1"/>
                <w:sz w:val="16"/>
                <w:szCs w:val="16"/>
                <w:lang w:val="es-ES_tradnl" w:eastAsia="es-ES"/>
              </w:rPr>
              <w:t>Subdirección de Gestión Contractual</w:t>
            </w:r>
          </w:p>
        </w:tc>
      </w:tr>
      <w:tr w:rsidRPr="00404C61" w:rsidR="00DD5B04" w:rsidTr="00083F1B" w14:paraId="2F8FD650" w14:textId="77777777">
        <w:trPr>
          <w:trHeight w:val="330"/>
        </w:trPr>
        <w:tc>
          <w:tcPr>
            <w:tcW w:w="812" w:type="dxa"/>
            <w:vAlign w:val="center"/>
            <w:hideMark/>
          </w:tcPr>
          <w:p w:rsidRPr="00404C61" w:rsidR="00DD5B04" w:rsidP="00DF76A2" w:rsidRDefault="00DD5B04" w14:paraId="50203A0B"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C05A61" w:rsidP="00C05A61" w:rsidRDefault="00C05A61" w14:paraId="31F77323" w14:textId="52219A2C">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8164BF">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rsidRPr="00404C61" w:rsidR="00DD5B04" w:rsidP="00C05A61" w:rsidRDefault="00C05A61" w14:paraId="130B3228" w14:textId="7D08C1BB">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r w:rsidRPr="00404C61" w:rsidR="00DD5B04" w:rsidTr="00083F1B" w14:paraId="0FCBCA4A" w14:textId="77777777">
        <w:trPr>
          <w:trHeight w:val="300"/>
        </w:trPr>
        <w:tc>
          <w:tcPr>
            <w:tcW w:w="812" w:type="dxa"/>
            <w:vAlign w:val="center"/>
            <w:hideMark/>
          </w:tcPr>
          <w:p w:rsidRPr="00404C61" w:rsidR="00DD5B04" w:rsidP="00DF76A2" w:rsidRDefault="00DD5B04" w14:paraId="3C1D943A"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6A55EE" w:rsidP="00DF76A2" w:rsidRDefault="00C05A61" w14:paraId="7180A172" w14:textId="1F153864">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8164BF">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w:t>
            </w:r>
            <w:r w:rsidR="008164BF">
              <w:rPr>
                <w:rFonts w:ascii="Arial" w:hAnsi="Arial" w:cs="Arial"/>
                <w:color w:val="000000" w:themeColor="text1"/>
                <w:sz w:val="16"/>
                <w:szCs w:val="16"/>
                <w:lang w:val="es-ES_tradnl" w:eastAsia="es-ES"/>
              </w:rPr>
              <w:t xml:space="preserve"> </w:t>
            </w:r>
            <w:r w:rsidRPr="00404C61">
              <w:rPr>
                <w:rFonts w:ascii="Arial" w:hAnsi="Arial" w:cs="Arial"/>
                <w:color w:val="000000" w:themeColor="text1"/>
                <w:sz w:val="16"/>
                <w:szCs w:val="16"/>
                <w:lang w:val="es-ES_tradnl" w:eastAsia="es-ES"/>
              </w:rPr>
              <w:t>Navarro</w:t>
            </w:r>
          </w:p>
          <w:p w:rsidRPr="00404C61" w:rsidR="00DD5B04" w:rsidP="00DF76A2" w:rsidRDefault="00DD5B04" w14:paraId="1ADC483B" w14:textId="77CBA2AF">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bl>
    <w:p w:rsidRPr="00404C61" w:rsidR="00746E08" w:rsidP="00215B8E" w:rsidRDefault="00746E08" w14:paraId="35B56F46" w14:textId="77777777">
      <w:pPr>
        <w:jc w:val="both"/>
        <w:rPr>
          <w:rFonts w:ascii="Arial" w:hAnsi="Arial" w:cs="Arial"/>
          <w:lang w:val="es-ES_tradnl"/>
        </w:rPr>
      </w:pPr>
    </w:p>
    <w:sectPr w:rsidRPr="00404C61"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03BE" w:rsidRDefault="008203BE" w14:paraId="15D0DE36" w14:textId="77777777">
      <w:r>
        <w:separator/>
      </w:r>
    </w:p>
  </w:endnote>
  <w:endnote w:type="continuationSeparator" w:id="0">
    <w:p w:rsidR="008203BE" w:rsidRDefault="008203BE" w14:paraId="0205B078" w14:textId="77777777">
      <w:r>
        <w:continuationSeparator/>
      </w:r>
    </w:p>
  </w:endnote>
  <w:endnote w:type="continuationNotice" w:id="1">
    <w:p w:rsidR="008203BE" w:rsidRDefault="008203BE" w14:paraId="1A997E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1FE2A2F9">
      <w:drawing>
        <wp:inline wp14:editId="6B30D350"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26f92589f5c146d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03BE" w:rsidRDefault="008203BE" w14:paraId="3B22B959" w14:textId="77777777">
      <w:r>
        <w:separator/>
      </w:r>
    </w:p>
  </w:footnote>
  <w:footnote w:type="continuationSeparator" w:id="0">
    <w:p w:rsidR="008203BE" w:rsidRDefault="008203BE" w14:paraId="6F91CF04" w14:textId="77777777">
      <w:r>
        <w:continuationSeparator/>
      </w:r>
    </w:p>
  </w:footnote>
  <w:footnote w:type="continuationNotice" w:id="1">
    <w:p w:rsidR="008203BE" w:rsidRDefault="008203BE" w14:paraId="2032C7C9" w14:textId="77777777"/>
  </w:footnote>
  <w:footnote w:id="2">
    <w:p w:rsidRPr="00825B43" w:rsidR="00C419F4" w:rsidP="00825B43" w:rsidRDefault="00C419F4" w14:paraId="04C7BFA4"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rsidRPr="00825B43" w:rsidR="00C419F4" w:rsidP="00825B43" w:rsidRDefault="00C419F4" w14:paraId="7E0F9EE3" w14:textId="77777777">
      <w:pPr>
        <w:pStyle w:val="Textonotapie"/>
        <w:ind w:firstLine="709"/>
        <w:jc w:val="both"/>
        <w:rPr>
          <w:rFonts w:ascii="Arial" w:hAnsi="Arial" w:cs="Arial"/>
          <w:color w:val="000000" w:themeColor="text1"/>
          <w:sz w:val="19"/>
          <w:szCs w:val="19"/>
          <w:lang w:val="es-ES"/>
        </w:rPr>
      </w:pPr>
    </w:p>
  </w:footnote>
  <w:footnote w:id="3">
    <w:p w:rsidRPr="00825B43" w:rsidR="00C419F4" w:rsidP="00825B43" w:rsidRDefault="00C419F4" w14:paraId="384F6007"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825B43" w:rsidR="00C419F4" w:rsidP="00825B43" w:rsidRDefault="00C419F4" w14:paraId="5823C63B" w14:textId="77777777">
      <w:pPr>
        <w:pStyle w:val="Textonotapie"/>
        <w:ind w:firstLine="709"/>
        <w:jc w:val="both"/>
        <w:rPr>
          <w:rFonts w:ascii="Arial" w:hAnsi="Arial" w:cs="Arial"/>
          <w:color w:val="000000" w:themeColor="text1"/>
          <w:sz w:val="19"/>
          <w:szCs w:val="19"/>
        </w:rPr>
      </w:pPr>
      <w:r w:rsidRPr="00825B43">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825B43" w:rsidR="00C419F4" w:rsidP="00825B43" w:rsidRDefault="00C419F4" w14:paraId="6F78AF88" w14:textId="77777777">
      <w:pPr>
        <w:pStyle w:val="Textonotapie"/>
        <w:ind w:firstLine="709"/>
        <w:jc w:val="both"/>
        <w:rPr>
          <w:rFonts w:ascii="Arial" w:hAnsi="Arial" w:cs="Arial"/>
          <w:color w:val="000000" w:themeColor="text1"/>
          <w:sz w:val="19"/>
          <w:szCs w:val="19"/>
        </w:rPr>
      </w:pPr>
    </w:p>
  </w:footnote>
  <w:footnote w:id="4">
    <w:p w:rsidRPr="00825B43" w:rsidR="00C419F4" w:rsidP="00825B43" w:rsidRDefault="00C419F4" w14:paraId="03F2D60B" w14:textId="77777777">
      <w:pPr>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Style w:val="Refdenotaalpie"/>
          <w:rFonts w:ascii="Arial" w:hAnsi="Arial" w:cs="Arial"/>
          <w:color w:val="000000" w:themeColor="text1"/>
          <w:sz w:val="19"/>
          <w:szCs w:val="19"/>
        </w:rPr>
        <w:t xml:space="preserve"> </w:t>
      </w:r>
      <w:r w:rsidRPr="00825B43">
        <w:rPr>
          <w:rFonts w:ascii="Arial" w:hAnsi="Arial" w:cs="Arial"/>
          <w:color w:val="000000" w:themeColor="text1"/>
          <w:sz w:val="19"/>
          <w:szCs w:val="19"/>
        </w:rPr>
        <w:t>Ley 1150 de 2007, artículo 2, literal 4, numeral c, modificada por el artículo 92 de la Ley 1474 de 2011.</w:t>
      </w:r>
    </w:p>
    <w:p w:rsidRPr="00825B43" w:rsidR="00C419F4" w:rsidP="00825B43" w:rsidRDefault="00C419F4" w14:paraId="160A0B30" w14:textId="77777777">
      <w:pPr>
        <w:ind w:firstLine="709"/>
        <w:jc w:val="both"/>
        <w:rPr>
          <w:rFonts w:ascii="Arial" w:hAnsi="Arial" w:cs="Arial"/>
          <w:color w:val="000000" w:themeColor="text1"/>
          <w:sz w:val="19"/>
          <w:szCs w:val="19"/>
        </w:rPr>
      </w:pPr>
    </w:p>
  </w:footnote>
  <w:footnote w:id="5">
    <w:p w:rsidRPr="00825B43" w:rsidR="00C419F4" w:rsidP="00825B43" w:rsidRDefault="00C419F4" w14:paraId="1A5BE3D7" w14:textId="77777777">
      <w:pPr>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Style w:val="Refdenotaalpie"/>
          <w:rFonts w:ascii="Arial" w:hAnsi="Arial" w:cs="Arial"/>
          <w:color w:val="000000" w:themeColor="text1"/>
          <w:sz w:val="19"/>
          <w:szCs w:val="19"/>
        </w:rPr>
        <w:t xml:space="preserve"> </w:t>
      </w:r>
      <w:r w:rsidRPr="00825B43">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825B43" w:rsidR="00C419F4" w:rsidP="00825B43" w:rsidRDefault="00C419F4" w14:paraId="524079CF" w14:textId="77777777">
      <w:pPr>
        <w:ind w:firstLine="709"/>
        <w:jc w:val="both"/>
        <w:rPr>
          <w:rFonts w:ascii="Arial" w:hAnsi="Arial" w:cs="Arial"/>
          <w:color w:val="000000" w:themeColor="text1"/>
          <w:sz w:val="19"/>
          <w:szCs w:val="19"/>
        </w:rPr>
      </w:pPr>
    </w:p>
  </w:footnote>
  <w:footnote w:id="6">
    <w:p w:rsidRPr="00825B43" w:rsidR="00C419F4" w:rsidP="00825B43" w:rsidRDefault="00C419F4" w14:paraId="0E8DD7B7"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rsidRPr="00825B43" w:rsidR="00C419F4" w:rsidP="00825B43" w:rsidRDefault="00C419F4" w14:paraId="72992EF7" w14:textId="77777777">
      <w:pPr>
        <w:pStyle w:val="Textonotapie"/>
        <w:ind w:firstLine="709"/>
        <w:jc w:val="both"/>
        <w:rPr>
          <w:rFonts w:ascii="Arial" w:hAnsi="Arial" w:cs="Arial"/>
          <w:color w:val="000000" w:themeColor="text1"/>
          <w:sz w:val="19"/>
          <w:szCs w:val="19"/>
        </w:rPr>
      </w:pPr>
      <w:r w:rsidRPr="00825B43">
        <w:rPr>
          <w:rFonts w:ascii="Arial" w:hAnsi="Arial" w:cs="Arial"/>
          <w:color w:val="000000" w:themeColor="text1"/>
          <w:sz w:val="19"/>
          <w:szCs w:val="19"/>
        </w:rPr>
        <w:t>[…]».</w:t>
      </w:r>
    </w:p>
    <w:p w:rsidRPr="00825B43" w:rsidR="00C419F4" w:rsidP="00825B43" w:rsidRDefault="00C419F4" w14:paraId="79ABAF5D" w14:textId="77777777">
      <w:pPr>
        <w:pStyle w:val="Textonotapie"/>
        <w:ind w:firstLine="709"/>
        <w:jc w:val="both"/>
        <w:rPr>
          <w:rFonts w:ascii="Arial" w:hAnsi="Arial" w:cs="Arial"/>
          <w:color w:val="000000" w:themeColor="text1"/>
          <w:sz w:val="19"/>
          <w:szCs w:val="19"/>
          <w:lang w:val="es-ES"/>
        </w:rPr>
      </w:pPr>
    </w:p>
  </w:footnote>
  <w:footnote w:id="7">
    <w:p w:rsidRPr="00825B43" w:rsidR="00C419F4" w:rsidP="00825B43" w:rsidRDefault="00C419F4" w14:paraId="4A7389E1"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Código Civil: «Artículo 27. Cuando el sentido de la ley sea claro, no se desatenderá su tenor a pretexto de consultar su espíritu».</w:t>
      </w:r>
    </w:p>
    <w:p w:rsidRPr="00825B43" w:rsidR="00C419F4" w:rsidP="00825B43" w:rsidRDefault="00C419F4" w14:paraId="4D7D69C2" w14:textId="77777777">
      <w:pPr>
        <w:pStyle w:val="Textonotapie"/>
        <w:ind w:firstLine="709"/>
        <w:jc w:val="both"/>
        <w:rPr>
          <w:rFonts w:ascii="Arial" w:hAnsi="Arial" w:cs="Arial"/>
          <w:color w:val="000000" w:themeColor="text1"/>
          <w:sz w:val="19"/>
          <w:szCs w:val="19"/>
          <w:lang w:val="es-ES"/>
        </w:rPr>
      </w:pPr>
    </w:p>
  </w:footnote>
  <w:footnote w:id="8">
    <w:p w:rsidRPr="00825B43" w:rsidR="00C419F4" w:rsidP="00825B43" w:rsidRDefault="00C419F4" w14:paraId="5F4F1C54"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rsidRPr="00825B43" w:rsidR="00C419F4" w:rsidP="00825B43" w:rsidRDefault="00C419F4" w14:paraId="78FEAF15" w14:textId="77777777">
      <w:pPr>
        <w:pStyle w:val="Textonotapie"/>
        <w:ind w:firstLine="709"/>
        <w:jc w:val="both"/>
        <w:rPr>
          <w:rFonts w:ascii="Arial" w:hAnsi="Arial" w:cs="Arial"/>
          <w:color w:val="000000" w:themeColor="text1"/>
          <w:sz w:val="19"/>
          <w:szCs w:val="19"/>
          <w:lang w:val="es-ES"/>
        </w:rPr>
      </w:pPr>
    </w:p>
  </w:footnote>
  <w:footnote w:id="9">
    <w:p w:rsidRPr="00825B43" w:rsidR="00C419F4" w:rsidP="00825B43" w:rsidRDefault="00C419F4" w14:paraId="5D8FC066"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Consejo de Estado. Sentencia del 29 de agosto de 2007. Radicado No. 15.305. Consejero Ponente: Mauricio Fajardo Gómez.</w:t>
      </w:r>
    </w:p>
    <w:p w:rsidRPr="00825B43" w:rsidR="00C419F4" w:rsidP="00825B43" w:rsidRDefault="00C419F4" w14:paraId="6ED4E7FC" w14:textId="77777777">
      <w:pPr>
        <w:pStyle w:val="Textonotapie"/>
        <w:ind w:firstLine="709"/>
        <w:jc w:val="both"/>
        <w:rPr>
          <w:rFonts w:ascii="Arial" w:hAnsi="Arial" w:cs="Arial"/>
          <w:color w:val="000000" w:themeColor="text1"/>
          <w:sz w:val="19"/>
          <w:szCs w:val="19"/>
        </w:rPr>
      </w:pPr>
    </w:p>
  </w:footnote>
  <w:footnote w:id="10">
    <w:p w:rsidRPr="00825B43" w:rsidR="00C419F4" w:rsidP="00825B43" w:rsidRDefault="00C419F4" w14:paraId="78D4B411"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rsidRPr="00825B43" w:rsidR="00C419F4" w:rsidP="00825B43" w:rsidRDefault="00C419F4" w14:paraId="130CE465" w14:textId="77777777">
      <w:pPr>
        <w:pStyle w:val="Textonotapie"/>
        <w:ind w:firstLine="709"/>
        <w:jc w:val="both"/>
        <w:rPr>
          <w:rFonts w:ascii="Arial" w:hAnsi="Arial" w:cs="Arial"/>
          <w:color w:val="000000" w:themeColor="text1"/>
          <w:sz w:val="19"/>
          <w:szCs w:val="19"/>
        </w:rPr>
      </w:pPr>
    </w:p>
  </w:footnote>
  <w:footnote w:id="11">
    <w:p w:rsidRPr="00825B43" w:rsidR="00C419F4" w:rsidP="00825B43" w:rsidRDefault="00C419F4" w14:paraId="70A29FAD"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825B43" w:rsidR="00C419F4" w:rsidP="00825B43" w:rsidRDefault="00C419F4" w14:paraId="29D49766" w14:textId="77777777">
      <w:pPr>
        <w:pStyle w:val="Textonotapie"/>
        <w:ind w:firstLine="709"/>
        <w:jc w:val="both"/>
        <w:rPr>
          <w:rFonts w:ascii="Arial" w:hAnsi="Arial" w:cs="Arial"/>
          <w:color w:val="000000" w:themeColor="text1"/>
          <w:sz w:val="19"/>
          <w:szCs w:val="19"/>
        </w:rPr>
      </w:pPr>
      <w:r w:rsidRPr="00825B43">
        <w:rPr>
          <w:rFonts w:ascii="Arial" w:hAnsi="Arial" w:cs="Arial"/>
          <w:color w:val="000000" w:themeColor="text1"/>
          <w:sz w:val="19"/>
          <w:szCs w:val="19"/>
        </w:rPr>
        <w:t>[...]».</w:t>
      </w:r>
    </w:p>
    <w:p w:rsidRPr="00825B43" w:rsidR="00C419F4" w:rsidP="00825B43" w:rsidRDefault="00C419F4" w14:paraId="5BC0FF17" w14:textId="77777777">
      <w:pPr>
        <w:pStyle w:val="Textonotapie"/>
        <w:ind w:firstLine="709"/>
        <w:jc w:val="both"/>
        <w:rPr>
          <w:rFonts w:ascii="Arial" w:hAnsi="Arial" w:cs="Arial"/>
          <w:color w:val="000000" w:themeColor="text1"/>
          <w:sz w:val="19"/>
          <w:szCs w:val="19"/>
        </w:rPr>
      </w:pPr>
    </w:p>
  </w:footnote>
  <w:footnote w:id="12">
    <w:p w:rsidRPr="00825B43" w:rsidR="00C419F4" w:rsidP="00825B43" w:rsidRDefault="00C419F4" w14:paraId="160709CC"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Ley 150 de 2007: «Artículo 7. De las garantías en la contratación. </w:t>
      </w:r>
    </w:p>
    <w:p w:rsidRPr="00825B43" w:rsidR="00C419F4" w:rsidP="00825B43" w:rsidRDefault="00C419F4" w14:paraId="270F94ED" w14:textId="77777777">
      <w:pPr>
        <w:pStyle w:val="Textonotapie"/>
        <w:ind w:firstLine="709"/>
        <w:jc w:val="both"/>
        <w:rPr>
          <w:rFonts w:ascii="Arial" w:hAnsi="Arial" w:cs="Arial"/>
          <w:color w:val="000000" w:themeColor="text1"/>
          <w:sz w:val="19"/>
          <w:szCs w:val="19"/>
        </w:rPr>
      </w:pPr>
      <w:r w:rsidRPr="00825B43">
        <w:rPr>
          <w:rFonts w:ascii="Arial" w:hAnsi="Arial" w:cs="Arial"/>
          <w:color w:val="000000" w:themeColor="text1"/>
          <w:sz w:val="19"/>
          <w:szCs w:val="19"/>
        </w:rPr>
        <w:t xml:space="preserve">[…] </w:t>
      </w:r>
    </w:p>
    <w:p w:rsidRPr="00825B43" w:rsidR="00C419F4" w:rsidP="00825B43" w:rsidRDefault="00C419F4" w14:paraId="1BD11C52" w14:textId="77777777">
      <w:pPr>
        <w:pStyle w:val="Textonotapie"/>
        <w:ind w:firstLine="709"/>
        <w:jc w:val="both"/>
        <w:rPr>
          <w:rFonts w:ascii="Arial" w:hAnsi="Arial" w:cs="Arial"/>
          <w:color w:val="000000" w:themeColor="text1"/>
          <w:sz w:val="19"/>
          <w:szCs w:val="19"/>
        </w:rPr>
      </w:pPr>
      <w:r w:rsidRPr="00825B43">
        <w:rPr>
          <w:rFonts w:ascii="Arial" w:hAnsi="Arial" w:cs="Arial"/>
          <w:color w:val="000000" w:themeColor="text1"/>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Pr="00825B43" w:rsidR="00C419F4" w:rsidP="00825B43" w:rsidRDefault="00C419F4" w14:paraId="40382F8F" w14:textId="77777777">
      <w:pPr>
        <w:pStyle w:val="Textonotapie"/>
        <w:ind w:firstLine="709"/>
        <w:jc w:val="both"/>
        <w:rPr>
          <w:rFonts w:ascii="Arial" w:hAnsi="Arial" w:cs="Arial"/>
          <w:color w:val="000000" w:themeColor="text1"/>
          <w:sz w:val="19"/>
          <w:szCs w:val="19"/>
        </w:rPr>
      </w:pPr>
      <w:r w:rsidRPr="00825B43">
        <w:rPr>
          <w:rFonts w:ascii="Arial" w:hAnsi="Arial" w:cs="Arial"/>
          <w:color w:val="000000" w:themeColor="text1"/>
          <w:sz w:val="19"/>
          <w:szCs w:val="19"/>
        </w:rPr>
        <w:t>[…]».</w:t>
      </w:r>
    </w:p>
  </w:footnote>
  <w:footnote w:id="13">
    <w:p w:rsidRPr="00825B43" w:rsidR="00C419F4" w:rsidP="00825B43" w:rsidRDefault="00C419F4" w14:paraId="46855C83" w14:textId="77777777">
      <w:pPr>
        <w:pStyle w:val="Textonotapie"/>
        <w:ind w:firstLine="709"/>
        <w:jc w:val="both"/>
        <w:rPr>
          <w:rFonts w:ascii="Arial" w:hAnsi="Arial" w:cs="Arial"/>
          <w:color w:val="000000" w:themeColor="text1"/>
          <w:sz w:val="19"/>
          <w:szCs w:val="19"/>
        </w:rPr>
      </w:pPr>
    </w:p>
    <w:p w:rsidRPr="00825B43" w:rsidR="00C419F4" w:rsidP="00825B43" w:rsidRDefault="00C419F4" w14:paraId="053AE616" w14:textId="77777777">
      <w:pPr>
        <w:pStyle w:val="Textonotapie"/>
        <w:ind w:firstLine="709"/>
        <w:jc w:val="both"/>
        <w:rPr>
          <w:rFonts w:ascii="Arial" w:hAnsi="Arial" w:cs="Arial"/>
          <w:color w:val="000000" w:themeColor="text1"/>
          <w:sz w:val="19"/>
          <w:szCs w:val="19"/>
        </w:rPr>
      </w:pPr>
      <w:r w:rsidRPr="00825B43">
        <w:rPr>
          <w:rStyle w:val="Refdenotaalpie"/>
          <w:rFonts w:ascii="Arial" w:hAnsi="Arial" w:cs="Arial"/>
          <w:color w:val="000000" w:themeColor="text1"/>
          <w:sz w:val="19"/>
          <w:szCs w:val="19"/>
        </w:rPr>
        <w:footnoteRef/>
      </w:r>
      <w:r w:rsidRPr="00825B43">
        <w:rPr>
          <w:rFonts w:ascii="Arial" w:hAnsi="Arial" w:cs="Arial"/>
          <w:color w:val="000000" w:themeColor="text1"/>
          <w:sz w:val="19"/>
          <w:szCs w:val="19"/>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rsidRPr="00825B43" w:rsidR="00C419F4" w:rsidP="00825B43" w:rsidRDefault="00C419F4" w14:paraId="3F997AF6" w14:textId="77777777">
      <w:pPr>
        <w:pStyle w:val="Textonotapie"/>
        <w:ind w:firstLine="709"/>
        <w:jc w:val="both"/>
        <w:rPr>
          <w:rFonts w:ascii="Arial" w:hAnsi="Arial" w:cs="Arial"/>
          <w:color w:val="000000" w:themeColor="text1"/>
          <w:sz w:val="19"/>
          <w:szCs w:val="19"/>
        </w:rPr>
      </w:pPr>
    </w:p>
    <w:p w:rsidRPr="00825B43" w:rsidR="00C419F4" w:rsidP="00825B43" w:rsidRDefault="00C419F4" w14:paraId="7E0F0635" w14:textId="77777777">
      <w:pPr>
        <w:pStyle w:val="Textonotapie"/>
        <w:ind w:firstLine="709"/>
        <w:jc w:val="both"/>
        <w:rPr>
          <w:rFonts w:ascii="Arial" w:hAnsi="Arial" w:cs="Arial"/>
          <w:color w:val="000000" w:themeColor="text1"/>
          <w:sz w:val="19"/>
          <w:szCs w:val="19"/>
          <w:lang w:val="es-ES"/>
        </w:rPr>
      </w:pPr>
    </w:p>
  </w:footnote>
  <w:footnote w:id="14">
    <w:p w:rsidRPr="00825B43" w:rsidR="00A744B4" w:rsidP="00825B43" w:rsidRDefault="00A744B4" w14:paraId="17D9E90D" w14:textId="5E6EC490">
      <w:pPr>
        <w:pStyle w:val="Textonotapie"/>
        <w:ind w:firstLine="709"/>
        <w:jc w:val="both"/>
        <w:rPr>
          <w:rFonts w:ascii="Arial" w:hAnsi="Arial" w:cs="Arial"/>
          <w:sz w:val="19"/>
          <w:szCs w:val="19"/>
          <w:lang w:val="es-ES"/>
        </w:rPr>
      </w:pPr>
      <w:r w:rsidRPr="00825B43">
        <w:rPr>
          <w:rStyle w:val="Refdenotaalpie"/>
          <w:rFonts w:ascii="Arial" w:hAnsi="Arial" w:cs="Arial"/>
          <w:sz w:val="19"/>
          <w:szCs w:val="19"/>
        </w:rPr>
        <w:footnoteRef/>
      </w:r>
      <w:r w:rsidRPr="00825B43">
        <w:rPr>
          <w:rFonts w:ascii="Arial" w:hAnsi="Arial" w:cs="Arial"/>
          <w:sz w:val="19"/>
          <w:szCs w:val="19"/>
        </w:rPr>
        <w:t xml:space="preserve"> </w:t>
      </w:r>
      <w:r w:rsidRPr="00825B43">
        <w:rPr>
          <w:rFonts w:ascii="Arial" w:hAnsi="Arial" w:cs="Arial"/>
          <w:sz w:val="19"/>
          <w:szCs w:val="19"/>
          <w:lang w:val="es-ES"/>
        </w:rPr>
        <w:t xml:space="preserve">En efecto, el </w:t>
      </w:r>
      <w:r w:rsidRPr="00825B43">
        <w:rPr>
          <w:rFonts w:ascii="Arial" w:hAnsi="Arial" w:cs="Arial"/>
          <w:color w:val="000000"/>
          <w:sz w:val="19"/>
          <w:szCs w:val="19"/>
        </w:rPr>
        <w:t>artículo 8 del Decreto Legislativo No. 537 de 2020 dispone: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footnote>
  <w:footnote w:id="15">
    <w:p w:rsidRPr="00825B43" w:rsidR="009376FB" w:rsidP="00825B43" w:rsidRDefault="009376FB" w14:paraId="4A235899" w14:textId="1DBB921E">
      <w:pPr>
        <w:pStyle w:val="Textonotapie"/>
        <w:ind w:firstLine="709"/>
        <w:jc w:val="both"/>
        <w:rPr>
          <w:rFonts w:ascii="Arial" w:hAnsi="Arial" w:cs="Arial"/>
          <w:sz w:val="19"/>
          <w:szCs w:val="19"/>
        </w:rPr>
      </w:pPr>
      <w:r w:rsidRPr="00825B43">
        <w:rPr>
          <w:rStyle w:val="Refdenotaalpie"/>
          <w:rFonts w:ascii="Arial" w:hAnsi="Arial" w:cs="Arial"/>
          <w:sz w:val="19"/>
          <w:szCs w:val="19"/>
        </w:rPr>
        <w:footnoteRef/>
      </w:r>
      <w:r w:rsidRPr="00825B43">
        <w:rPr>
          <w:rFonts w:ascii="Arial" w:hAnsi="Arial" w:cs="Arial"/>
          <w:sz w:val="19"/>
          <w:szCs w:val="19"/>
        </w:rPr>
        <w:t xml:space="preserve"> En cumplimiento de dicha potestad, el artículo 2.2.1.2.3.1.3. del Decreto 1082 de 2015 estableció lo siguiente:</w:t>
      </w:r>
    </w:p>
    <w:p w:rsidRPr="00825B43" w:rsidR="009376FB" w:rsidP="00825B43" w:rsidRDefault="009376FB" w14:paraId="490AC7D0" w14:textId="6B6315A5">
      <w:pPr>
        <w:pStyle w:val="Textonotapie"/>
        <w:ind w:firstLine="709"/>
        <w:jc w:val="both"/>
        <w:rPr>
          <w:rFonts w:ascii="Arial" w:hAnsi="Arial" w:cs="Arial"/>
          <w:sz w:val="19"/>
          <w:szCs w:val="19"/>
        </w:rPr>
      </w:pPr>
      <w:r w:rsidRPr="00825B43">
        <w:rPr>
          <w:rFonts w:ascii="Arial" w:hAnsi="Arial" w:cs="Arial"/>
          <w:sz w:val="19"/>
          <w:szCs w:val="19"/>
        </w:rPr>
        <w:t>«Artículo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w:t>
      </w:r>
    </w:p>
    <w:p w:rsidRPr="00825B43" w:rsidR="009376FB" w:rsidP="00825B43" w:rsidRDefault="009376FB" w14:paraId="70566F6B" w14:textId="53A9F3AB">
      <w:pPr>
        <w:pStyle w:val="Textonotapie"/>
        <w:ind w:firstLine="709"/>
        <w:jc w:val="both"/>
        <w:rPr>
          <w:rFonts w:ascii="Arial" w:hAnsi="Arial" w:cs="Arial"/>
          <w:sz w:val="19"/>
          <w:szCs w:val="19"/>
        </w:rPr>
      </w:pPr>
      <w:r w:rsidRPr="00825B43">
        <w:rPr>
          <w:rFonts w:ascii="Arial" w:hAnsi="Arial" w:cs="Arial"/>
          <w:sz w:val="19"/>
          <w:szCs w:val="19"/>
        </w:rPr>
        <w:t>»En consecuencia, la Entidad Estatal en los pliegos de condiciones para la Contratación debe indicar las garantías que exige en cada Etapa del Contrato o cada Periodo Contractual así:</w:t>
      </w:r>
    </w:p>
    <w:p w:rsidRPr="00825B43" w:rsidR="009376FB" w:rsidP="00825B43" w:rsidRDefault="009376FB" w14:paraId="1507C197" w14:textId="271BC4F9">
      <w:pPr>
        <w:pStyle w:val="Textonotapie"/>
        <w:ind w:firstLine="709"/>
        <w:jc w:val="both"/>
        <w:rPr>
          <w:rFonts w:ascii="Arial" w:hAnsi="Arial" w:cs="Arial"/>
          <w:sz w:val="19"/>
          <w:szCs w:val="19"/>
        </w:rPr>
      </w:pPr>
      <w:r w:rsidRPr="00825B43">
        <w:rPr>
          <w:rFonts w:ascii="Arial" w:hAnsi="Arial" w:cs="Arial"/>
          <w:sz w:val="19"/>
          <w:szCs w:val="19"/>
        </w:rPr>
        <w:t>»1. La Entidad Estatal debe exigir una garantía independiente para cada Etapa del Contrato o cada Periodo Contractual o cada unidad funcional en el caso de las Asociaciones Público Privadas, cuya vigencia debe ser por lo menos la misma establecida para la Etapa del Contrato o Periodo Contractual respectivo.</w:t>
      </w:r>
    </w:p>
    <w:p w:rsidRPr="00825B43" w:rsidR="009376FB" w:rsidP="00825B43" w:rsidRDefault="009376FB" w14:paraId="7006468A" w14:textId="0D8B229C">
      <w:pPr>
        <w:pStyle w:val="Textonotapie"/>
        <w:ind w:firstLine="709"/>
        <w:jc w:val="both"/>
        <w:rPr>
          <w:rFonts w:ascii="Arial" w:hAnsi="Arial" w:cs="Arial"/>
          <w:sz w:val="19"/>
          <w:szCs w:val="19"/>
        </w:rPr>
      </w:pPr>
      <w:r w:rsidRPr="00825B43">
        <w:rPr>
          <w:rFonts w:ascii="Arial" w:hAnsi="Arial" w:cs="Arial"/>
          <w:sz w:val="19"/>
          <w:szCs w:val="19"/>
        </w:rPr>
        <w:t>»2.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w:t>
      </w:r>
    </w:p>
    <w:p w:rsidRPr="00825B43" w:rsidR="009376FB" w:rsidP="00825B43" w:rsidRDefault="009376FB" w14:paraId="47743906" w14:textId="2C0D45BA">
      <w:pPr>
        <w:pStyle w:val="Textonotapie"/>
        <w:ind w:firstLine="709"/>
        <w:jc w:val="both"/>
        <w:rPr>
          <w:rFonts w:ascii="Arial" w:hAnsi="Arial" w:cs="Arial"/>
          <w:sz w:val="19"/>
          <w:szCs w:val="19"/>
        </w:rPr>
      </w:pPr>
      <w:r w:rsidRPr="00825B43">
        <w:rPr>
          <w:rFonts w:ascii="Arial" w:hAnsi="Arial" w:cs="Arial"/>
          <w:sz w:val="19"/>
          <w:szCs w:val="19"/>
        </w:rPr>
        <w:t>»3.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w:t>
      </w:r>
    </w:p>
    <w:p w:rsidRPr="00825B43" w:rsidR="009376FB" w:rsidP="00825B43" w:rsidRDefault="009376FB" w14:paraId="151CEE6A" w14:textId="5EFF75B3">
      <w:pPr>
        <w:pStyle w:val="Textonotapie"/>
        <w:ind w:firstLine="709"/>
        <w:jc w:val="both"/>
        <w:rPr>
          <w:rFonts w:ascii="Arial" w:hAnsi="Arial" w:cs="Arial"/>
          <w:sz w:val="19"/>
          <w:szCs w:val="19"/>
          <w:lang w:val="es-CO"/>
        </w:rPr>
      </w:pPr>
      <w:r w:rsidRPr="00825B43">
        <w:rPr>
          <w:rFonts w:ascii="Arial" w:hAnsi="Arial" w:cs="Arial"/>
          <w:sz w:val="19"/>
          <w:szCs w:val="19"/>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w:t>
      </w:r>
      <w:r w:rsidRPr="00825B43" w:rsidR="00825B43">
        <w:rPr>
          <w:rFonts w:ascii="Arial" w:hAnsi="Arial" w:cs="Arial"/>
          <w:sz w:val="19"/>
          <w:szCs w:val="19"/>
        </w:rPr>
        <w:t xml:space="preserve"> </w:t>
      </w:r>
      <w:r w:rsidRPr="00825B43">
        <w:rPr>
          <w:rFonts w:ascii="Arial" w:hAnsi="Arial" w:cs="Arial"/>
          <w:sz w:val="19"/>
          <w:szCs w:val="19"/>
        </w:rPr>
        <w:t>mencionada y el contratista no obtiene una nueva garantía, queda obligado a garantizar la Etapa del Contrato o el Periodo Contractual subsiguiente</w:t>
      </w:r>
      <w:r w:rsidRPr="00825B43" w:rsidR="00825B43">
        <w:rPr>
          <w:rFonts w:ascii="Arial" w:hAnsi="Arial" w:cs="Arial"/>
          <w:sz w:val="19"/>
          <w:szCs w:val="19"/>
        </w:rPr>
        <w:t>»</w:t>
      </w:r>
      <w:r w:rsidRPr="00825B4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B0A0692">
      <w:rPr/>
      <w:t/>
    </w:r>
    <w:r w:rsidR="1FE2A2F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hybrid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22"/>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D3"/>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5E1"/>
    <w:rsid w:val="0003236E"/>
    <w:rsid w:val="0003339A"/>
    <w:rsid w:val="000341F2"/>
    <w:rsid w:val="00036CB7"/>
    <w:rsid w:val="00036E03"/>
    <w:rsid w:val="0004094D"/>
    <w:rsid w:val="00041029"/>
    <w:rsid w:val="0004149B"/>
    <w:rsid w:val="00042961"/>
    <w:rsid w:val="00042C25"/>
    <w:rsid w:val="00042D03"/>
    <w:rsid w:val="00043086"/>
    <w:rsid w:val="000430A0"/>
    <w:rsid w:val="00043D3B"/>
    <w:rsid w:val="0004418C"/>
    <w:rsid w:val="00044204"/>
    <w:rsid w:val="000449D4"/>
    <w:rsid w:val="00046717"/>
    <w:rsid w:val="00046A63"/>
    <w:rsid w:val="00046C09"/>
    <w:rsid w:val="0004716A"/>
    <w:rsid w:val="00047385"/>
    <w:rsid w:val="000473E8"/>
    <w:rsid w:val="000504DE"/>
    <w:rsid w:val="00051074"/>
    <w:rsid w:val="00052EA0"/>
    <w:rsid w:val="000536E3"/>
    <w:rsid w:val="0005474D"/>
    <w:rsid w:val="00055CB9"/>
    <w:rsid w:val="00056F66"/>
    <w:rsid w:val="0005702F"/>
    <w:rsid w:val="00061D06"/>
    <w:rsid w:val="00062CDD"/>
    <w:rsid w:val="000640AF"/>
    <w:rsid w:val="00064940"/>
    <w:rsid w:val="00064B3C"/>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5B70"/>
    <w:rsid w:val="0009617E"/>
    <w:rsid w:val="000979CF"/>
    <w:rsid w:val="000A03C8"/>
    <w:rsid w:val="000A06C4"/>
    <w:rsid w:val="000A0861"/>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260"/>
    <w:rsid w:val="000C3B77"/>
    <w:rsid w:val="000C4F49"/>
    <w:rsid w:val="000C5861"/>
    <w:rsid w:val="000C639D"/>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6AF"/>
    <w:rsid w:val="000F4403"/>
    <w:rsid w:val="000F4E17"/>
    <w:rsid w:val="000F6578"/>
    <w:rsid w:val="000F7E8F"/>
    <w:rsid w:val="000F7FBB"/>
    <w:rsid w:val="001000FB"/>
    <w:rsid w:val="00102605"/>
    <w:rsid w:val="00102686"/>
    <w:rsid w:val="00103915"/>
    <w:rsid w:val="00103EA0"/>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EA"/>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EDC"/>
    <w:rsid w:val="00127F6D"/>
    <w:rsid w:val="00130355"/>
    <w:rsid w:val="00131B5A"/>
    <w:rsid w:val="00132EFD"/>
    <w:rsid w:val="00133AED"/>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600"/>
    <w:rsid w:val="00160D4E"/>
    <w:rsid w:val="00161E62"/>
    <w:rsid w:val="00161F1C"/>
    <w:rsid w:val="0016200B"/>
    <w:rsid w:val="00163D7A"/>
    <w:rsid w:val="00164281"/>
    <w:rsid w:val="00167503"/>
    <w:rsid w:val="001676A9"/>
    <w:rsid w:val="00167A50"/>
    <w:rsid w:val="00167DF5"/>
    <w:rsid w:val="00170001"/>
    <w:rsid w:val="00172198"/>
    <w:rsid w:val="00172612"/>
    <w:rsid w:val="00172817"/>
    <w:rsid w:val="001734E3"/>
    <w:rsid w:val="001742BF"/>
    <w:rsid w:val="00175E49"/>
    <w:rsid w:val="001805C1"/>
    <w:rsid w:val="00180A2E"/>
    <w:rsid w:val="001813AF"/>
    <w:rsid w:val="001829CD"/>
    <w:rsid w:val="00182F01"/>
    <w:rsid w:val="0018519B"/>
    <w:rsid w:val="00185AFE"/>
    <w:rsid w:val="00185E78"/>
    <w:rsid w:val="00187177"/>
    <w:rsid w:val="00187ABD"/>
    <w:rsid w:val="0019087A"/>
    <w:rsid w:val="00191C5A"/>
    <w:rsid w:val="00191CEB"/>
    <w:rsid w:val="00191E63"/>
    <w:rsid w:val="00192D68"/>
    <w:rsid w:val="0019388B"/>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068D"/>
    <w:rsid w:val="001D12D1"/>
    <w:rsid w:val="001D15DF"/>
    <w:rsid w:val="001D31A0"/>
    <w:rsid w:val="001D338E"/>
    <w:rsid w:val="001D56E9"/>
    <w:rsid w:val="001D796A"/>
    <w:rsid w:val="001D7A84"/>
    <w:rsid w:val="001D7C79"/>
    <w:rsid w:val="001E1CC4"/>
    <w:rsid w:val="001E1D38"/>
    <w:rsid w:val="001E4258"/>
    <w:rsid w:val="001E70FB"/>
    <w:rsid w:val="001E780A"/>
    <w:rsid w:val="001F0FA0"/>
    <w:rsid w:val="001F1349"/>
    <w:rsid w:val="001F1863"/>
    <w:rsid w:val="001F2281"/>
    <w:rsid w:val="001F2356"/>
    <w:rsid w:val="001F2A68"/>
    <w:rsid w:val="001F4773"/>
    <w:rsid w:val="001F5008"/>
    <w:rsid w:val="001F56AA"/>
    <w:rsid w:val="001F58AA"/>
    <w:rsid w:val="001F5EF6"/>
    <w:rsid w:val="001F657F"/>
    <w:rsid w:val="001F6FB6"/>
    <w:rsid w:val="001F7978"/>
    <w:rsid w:val="001F7A0E"/>
    <w:rsid w:val="00200114"/>
    <w:rsid w:val="0020022E"/>
    <w:rsid w:val="0020054E"/>
    <w:rsid w:val="00201F1E"/>
    <w:rsid w:val="0020299B"/>
    <w:rsid w:val="00202E44"/>
    <w:rsid w:val="002037AA"/>
    <w:rsid w:val="00203FE3"/>
    <w:rsid w:val="002042D8"/>
    <w:rsid w:val="00204515"/>
    <w:rsid w:val="00204E6B"/>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6C6"/>
    <w:rsid w:val="002D37C1"/>
    <w:rsid w:val="002D444B"/>
    <w:rsid w:val="002D4A45"/>
    <w:rsid w:val="002D4B42"/>
    <w:rsid w:val="002D5A1B"/>
    <w:rsid w:val="002D65BC"/>
    <w:rsid w:val="002E055C"/>
    <w:rsid w:val="002E1050"/>
    <w:rsid w:val="002E18E5"/>
    <w:rsid w:val="002E1953"/>
    <w:rsid w:val="002E2D7D"/>
    <w:rsid w:val="002E3D76"/>
    <w:rsid w:val="002E40A1"/>
    <w:rsid w:val="002E48EC"/>
    <w:rsid w:val="002E4B44"/>
    <w:rsid w:val="002E4ECB"/>
    <w:rsid w:val="002E4F23"/>
    <w:rsid w:val="002E7847"/>
    <w:rsid w:val="002F240B"/>
    <w:rsid w:val="002F2F50"/>
    <w:rsid w:val="002F3601"/>
    <w:rsid w:val="002F45F6"/>
    <w:rsid w:val="002F6588"/>
    <w:rsid w:val="002F692F"/>
    <w:rsid w:val="002F7B66"/>
    <w:rsid w:val="00300CB4"/>
    <w:rsid w:val="00300E24"/>
    <w:rsid w:val="003033BA"/>
    <w:rsid w:val="003043A3"/>
    <w:rsid w:val="00304BD4"/>
    <w:rsid w:val="0030500A"/>
    <w:rsid w:val="003052EB"/>
    <w:rsid w:val="00305FCB"/>
    <w:rsid w:val="003063C3"/>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3881"/>
    <w:rsid w:val="00325D98"/>
    <w:rsid w:val="0032682A"/>
    <w:rsid w:val="00327A5C"/>
    <w:rsid w:val="0033092C"/>
    <w:rsid w:val="0033122A"/>
    <w:rsid w:val="00331428"/>
    <w:rsid w:val="003315AC"/>
    <w:rsid w:val="00331932"/>
    <w:rsid w:val="00333A88"/>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3F4"/>
    <w:rsid w:val="003536F6"/>
    <w:rsid w:val="00353DD5"/>
    <w:rsid w:val="0035422F"/>
    <w:rsid w:val="00355131"/>
    <w:rsid w:val="00361A59"/>
    <w:rsid w:val="00363348"/>
    <w:rsid w:val="00363857"/>
    <w:rsid w:val="00363D59"/>
    <w:rsid w:val="003640F7"/>
    <w:rsid w:val="00365D3A"/>
    <w:rsid w:val="003664FF"/>
    <w:rsid w:val="00366BD2"/>
    <w:rsid w:val="003670B8"/>
    <w:rsid w:val="003706F2"/>
    <w:rsid w:val="0037124F"/>
    <w:rsid w:val="00373827"/>
    <w:rsid w:val="0037401C"/>
    <w:rsid w:val="0037507B"/>
    <w:rsid w:val="00375C7C"/>
    <w:rsid w:val="00377027"/>
    <w:rsid w:val="00377135"/>
    <w:rsid w:val="00380272"/>
    <w:rsid w:val="003805DB"/>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2EF3"/>
    <w:rsid w:val="003B534F"/>
    <w:rsid w:val="003B5391"/>
    <w:rsid w:val="003B65D7"/>
    <w:rsid w:val="003B65E0"/>
    <w:rsid w:val="003B6BD4"/>
    <w:rsid w:val="003B6F4D"/>
    <w:rsid w:val="003B6FE7"/>
    <w:rsid w:val="003C0D1F"/>
    <w:rsid w:val="003C116A"/>
    <w:rsid w:val="003C1AF4"/>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B2E"/>
    <w:rsid w:val="003D484D"/>
    <w:rsid w:val="003D49CB"/>
    <w:rsid w:val="003D6B8F"/>
    <w:rsid w:val="003D7566"/>
    <w:rsid w:val="003E09BB"/>
    <w:rsid w:val="003E159D"/>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1C05"/>
    <w:rsid w:val="003F300D"/>
    <w:rsid w:val="003F391F"/>
    <w:rsid w:val="003F4599"/>
    <w:rsid w:val="003F45E1"/>
    <w:rsid w:val="003F4F6C"/>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D9A"/>
    <w:rsid w:val="00415194"/>
    <w:rsid w:val="00415816"/>
    <w:rsid w:val="00415B88"/>
    <w:rsid w:val="00415D32"/>
    <w:rsid w:val="004160A2"/>
    <w:rsid w:val="004170D7"/>
    <w:rsid w:val="004177A6"/>
    <w:rsid w:val="00417EFD"/>
    <w:rsid w:val="004200EE"/>
    <w:rsid w:val="004209D2"/>
    <w:rsid w:val="00421BD2"/>
    <w:rsid w:val="00421E00"/>
    <w:rsid w:val="00421FCB"/>
    <w:rsid w:val="00422DCA"/>
    <w:rsid w:val="004235F6"/>
    <w:rsid w:val="00423F9F"/>
    <w:rsid w:val="00425C43"/>
    <w:rsid w:val="004273FA"/>
    <w:rsid w:val="00430186"/>
    <w:rsid w:val="0043269A"/>
    <w:rsid w:val="004333C2"/>
    <w:rsid w:val="00434787"/>
    <w:rsid w:val="00434C13"/>
    <w:rsid w:val="0043683F"/>
    <w:rsid w:val="00436F40"/>
    <w:rsid w:val="004370FA"/>
    <w:rsid w:val="00440096"/>
    <w:rsid w:val="00440DB0"/>
    <w:rsid w:val="00440FAD"/>
    <w:rsid w:val="00441291"/>
    <w:rsid w:val="004420AB"/>
    <w:rsid w:val="004422D6"/>
    <w:rsid w:val="004427AC"/>
    <w:rsid w:val="00442D4D"/>
    <w:rsid w:val="0044374D"/>
    <w:rsid w:val="00443B55"/>
    <w:rsid w:val="00443D27"/>
    <w:rsid w:val="004459B1"/>
    <w:rsid w:val="00446037"/>
    <w:rsid w:val="0044642F"/>
    <w:rsid w:val="0044772C"/>
    <w:rsid w:val="00450846"/>
    <w:rsid w:val="00451A52"/>
    <w:rsid w:val="0045271D"/>
    <w:rsid w:val="00452755"/>
    <w:rsid w:val="00452803"/>
    <w:rsid w:val="004529C6"/>
    <w:rsid w:val="00452EAD"/>
    <w:rsid w:val="004534D1"/>
    <w:rsid w:val="00454548"/>
    <w:rsid w:val="00454717"/>
    <w:rsid w:val="00455047"/>
    <w:rsid w:val="00455354"/>
    <w:rsid w:val="0045558D"/>
    <w:rsid w:val="00456970"/>
    <w:rsid w:val="00456BB1"/>
    <w:rsid w:val="00456DDB"/>
    <w:rsid w:val="00460915"/>
    <w:rsid w:val="00460946"/>
    <w:rsid w:val="004614A9"/>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8EE"/>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2B27"/>
    <w:rsid w:val="004C3929"/>
    <w:rsid w:val="004C5EF0"/>
    <w:rsid w:val="004C7226"/>
    <w:rsid w:val="004C74C9"/>
    <w:rsid w:val="004C7D70"/>
    <w:rsid w:val="004D02F9"/>
    <w:rsid w:val="004D03FE"/>
    <w:rsid w:val="004D0446"/>
    <w:rsid w:val="004D0F95"/>
    <w:rsid w:val="004D106A"/>
    <w:rsid w:val="004D36AF"/>
    <w:rsid w:val="004D3BD1"/>
    <w:rsid w:val="004D4BA1"/>
    <w:rsid w:val="004D584D"/>
    <w:rsid w:val="004D6826"/>
    <w:rsid w:val="004E023F"/>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2B64"/>
    <w:rsid w:val="004F3764"/>
    <w:rsid w:val="004F3EEF"/>
    <w:rsid w:val="004F5930"/>
    <w:rsid w:val="004F5F0C"/>
    <w:rsid w:val="004F6121"/>
    <w:rsid w:val="004F6161"/>
    <w:rsid w:val="004F66BC"/>
    <w:rsid w:val="004F6C26"/>
    <w:rsid w:val="004F7AC9"/>
    <w:rsid w:val="0050062F"/>
    <w:rsid w:val="0050284E"/>
    <w:rsid w:val="005075CA"/>
    <w:rsid w:val="0051074C"/>
    <w:rsid w:val="00510DE9"/>
    <w:rsid w:val="005111E2"/>
    <w:rsid w:val="00511231"/>
    <w:rsid w:val="00512C4F"/>
    <w:rsid w:val="00513042"/>
    <w:rsid w:val="00513399"/>
    <w:rsid w:val="00513AF2"/>
    <w:rsid w:val="00514575"/>
    <w:rsid w:val="00514C03"/>
    <w:rsid w:val="00514D67"/>
    <w:rsid w:val="00515515"/>
    <w:rsid w:val="0051635C"/>
    <w:rsid w:val="00516C5B"/>
    <w:rsid w:val="00517612"/>
    <w:rsid w:val="00517CFB"/>
    <w:rsid w:val="00520899"/>
    <w:rsid w:val="00520922"/>
    <w:rsid w:val="005209FC"/>
    <w:rsid w:val="005224E5"/>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3E3D"/>
    <w:rsid w:val="005346AD"/>
    <w:rsid w:val="00534EFB"/>
    <w:rsid w:val="00534F60"/>
    <w:rsid w:val="00536053"/>
    <w:rsid w:val="005369E6"/>
    <w:rsid w:val="005371AC"/>
    <w:rsid w:val="00537672"/>
    <w:rsid w:val="0053772F"/>
    <w:rsid w:val="00537B77"/>
    <w:rsid w:val="0054275A"/>
    <w:rsid w:val="00542BD7"/>
    <w:rsid w:val="00543084"/>
    <w:rsid w:val="0054413A"/>
    <w:rsid w:val="00544288"/>
    <w:rsid w:val="005446BB"/>
    <w:rsid w:val="00545E30"/>
    <w:rsid w:val="00546C9B"/>
    <w:rsid w:val="00547BF6"/>
    <w:rsid w:val="00551098"/>
    <w:rsid w:val="00551598"/>
    <w:rsid w:val="0055162B"/>
    <w:rsid w:val="00551BFF"/>
    <w:rsid w:val="00551D68"/>
    <w:rsid w:val="00552B3E"/>
    <w:rsid w:val="005551AA"/>
    <w:rsid w:val="005564CA"/>
    <w:rsid w:val="005568EA"/>
    <w:rsid w:val="00557140"/>
    <w:rsid w:val="00560C87"/>
    <w:rsid w:val="00560F51"/>
    <w:rsid w:val="00561249"/>
    <w:rsid w:val="0056182B"/>
    <w:rsid w:val="00561AF3"/>
    <w:rsid w:val="00561E0B"/>
    <w:rsid w:val="00562141"/>
    <w:rsid w:val="00562D86"/>
    <w:rsid w:val="00564704"/>
    <w:rsid w:val="00564712"/>
    <w:rsid w:val="005657A8"/>
    <w:rsid w:val="00566866"/>
    <w:rsid w:val="00567AB8"/>
    <w:rsid w:val="00570A26"/>
    <w:rsid w:val="0057221F"/>
    <w:rsid w:val="00572539"/>
    <w:rsid w:val="0057337D"/>
    <w:rsid w:val="00573504"/>
    <w:rsid w:val="00574708"/>
    <w:rsid w:val="00574D81"/>
    <w:rsid w:val="005756AA"/>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A7191"/>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954"/>
    <w:rsid w:val="005C1C0B"/>
    <w:rsid w:val="005C2011"/>
    <w:rsid w:val="005C3773"/>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E363B"/>
    <w:rsid w:val="005F305B"/>
    <w:rsid w:val="005F3361"/>
    <w:rsid w:val="005F3B47"/>
    <w:rsid w:val="005F4481"/>
    <w:rsid w:val="005F49AF"/>
    <w:rsid w:val="005F4A58"/>
    <w:rsid w:val="005F54DF"/>
    <w:rsid w:val="005F5888"/>
    <w:rsid w:val="005F5984"/>
    <w:rsid w:val="005F6CE2"/>
    <w:rsid w:val="005F72E9"/>
    <w:rsid w:val="00600473"/>
    <w:rsid w:val="006013C9"/>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2470"/>
    <w:rsid w:val="00622725"/>
    <w:rsid w:val="006231AA"/>
    <w:rsid w:val="00623482"/>
    <w:rsid w:val="00623AC2"/>
    <w:rsid w:val="006261CC"/>
    <w:rsid w:val="006266D7"/>
    <w:rsid w:val="00626D42"/>
    <w:rsid w:val="00626EE3"/>
    <w:rsid w:val="006274AD"/>
    <w:rsid w:val="00627532"/>
    <w:rsid w:val="006302AA"/>
    <w:rsid w:val="006310C3"/>
    <w:rsid w:val="0063161E"/>
    <w:rsid w:val="00631BB5"/>
    <w:rsid w:val="00631DD0"/>
    <w:rsid w:val="00633DBF"/>
    <w:rsid w:val="00634122"/>
    <w:rsid w:val="00635E32"/>
    <w:rsid w:val="006365DE"/>
    <w:rsid w:val="006367BB"/>
    <w:rsid w:val="00636BE4"/>
    <w:rsid w:val="00637802"/>
    <w:rsid w:val="00637836"/>
    <w:rsid w:val="00637C26"/>
    <w:rsid w:val="00637F44"/>
    <w:rsid w:val="00641078"/>
    <w:rsid w:val="00641242"/>
    <w:rsid w:val="00642A32"/>
    <w:rsid w:val="006433D5"/>
    <w:rsid w:val="00646B20"/>
    <w:rsid w:val="00646D0F"/>
    <w:rsid w:val="00647DCC"/>
    <w:rsid w:val="00647EFA"/>
    <w:rsid w:val="00650027"/>
    <w:rsid w:val="00651C47"/>
    <w:rsid w:val="00652E70"/>
    <w:rsid w:val="0065339A"/>
    <w:rsid w:val="00653469"/>
    <w:rsid w:val="00654A38"/>
    <w:rsid w:val="00655301"/>
    <w:rsid w:val="00655371"/>
    <w:rsid w:val="00656C4B"/>
    <w:rsid w:val="006573EA"/>
    <w:rsid w:val="00661029"/>
    <w:rsid w:val="0066135A"/>
    <w:rsid w:val="0066272D"/>
    <w:rsid w:val="00662F39"/>
    <w:rsid w:val="006635A0"/>
    <w:rsid w:val="00664351"/>
    <w:rsid w:val="00665968"/>
    <w:rsid w:val="00665BF7"/>
    <w:rsid w:val="00666178"/>
    <w:rsid w:val="0066639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32B8"/>
    <w:rsid w:val="006837B2"/>
    <w:rsid w:val="00683800"/>
    <w:rsid w:val="00684C8A"/>
    <w:rsid w:val="00684CF5"/>
    <w:rsid w:val="0068553E"/>
    <w:rsid w:val="00685E7B"/>
    <w:rsid w:val="00686551"/>
    <w:rsid w:val="0068730C"/>
    <w:rsid w:val="00687504"/>
    <w:rsid w:val="00687A14"/>
    <w:rsid w:val="00690839"/>
    <w:rsid w:val="006908DB"/>
    <w:rsid w:val="00690DE9"/>
    <w:rsid w:val="00691DE9"/>
    <w:rsid w:val="00691EAA"/>
    <w:rsid w:val="00693772"/>
    <w:rsid w:val="00694160"/>
    <w:rsid w:val="00695C0C"/>
    <w:rsid w:val="00696A05"/>
    <w:rsid w:val="00697665"/>
    <w:rsid w:val="00697C9A"/>
    <w:rsid w:val="00697E68"/>
    <w:rsid w:val="006A0274"/>
    <w:rsid w:val="006A23A2"/>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47D"/>
    <w:rsid w:val="006B3E19"/>
    <w:rsid w:val="006B4488"/>
    <w:rsid w:val="006B67AC"/>
    <w:rsid w:val="006B786A"/>
    <w:rsid w:val="006B7E4E"/>
    <w:rsid w:val="006C003A"/>
    <w:rsid w:val="006C2454"/>
    <w:rsid w:val="006C255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58F"/>
    <w:rsid w:val="006D6A12"/>
    <w:rsid w:val="006D712D"/>
    <w:rsid w:val="006D7687"/>
    <w:rsid w:val="006D7D1F"/>
    <w:rsid w:val="006D7D8A"/>
    <w:rsid w:val="006E0572"/>
    <w:rsid w:val="006E05D8"/>
    <w:rsid w:val="006E08EE"/>
    <w:rsid w:val="006E155A"/>
    <w:rsid w:val="006E39D1"/>
    <w:rsid w:val="006E437F"/>
    <w:rsid w:val="006E4D5B"/>
    <w:rsid w:val="006E602F"/>
    <w:rsid w:val="006E7275"/>
    <w:rsid w:val="006E77B8"/>
    <w:rsid w:val="006F15CC"/>
    <w:rsid w:val="006F4147"/>
    <w:rsid w:val="006F4315"/>
    <w:rsid w:val="006F4CB0"/>
    <w:rsid w:val="006F4F78"/>
    <w:rsid w:val="006F547E"/>
    <w:rsid w:val="006F5CCF"/>
    <w:rsid w:val="0070138A"/>
    <w:rsid w:val="0070157E"/>
    <w:rsid w:val="007030D4"/>
    <w:rsid w:val="00703B61"/>
    <w:rsid w:val="00703E11"/>
    <w:rsid w:val="00704102"/>
    <w:rsid w:val="0070461C"/>
    <w:rsid w:val="0070552A"/>
    <w:rsid w:val="00705631"/>
    <w:rsid w:val="00705818"/>
    <w:rsid w:val="00705F62"/>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623A"/>
    <w:rsid w:val="00746420"/>
    <w:rsid w:val="00746E08"/>
    <w:rsid w:val="00746E3D"/>
    <w:rsid w:val="007473B9"/>
    <w:rsid w:val="00747C96"/>
    <w:rsid w:val="00750075"/>
    <w:rsid w:val="007502EC"/>
    <w:rsid w:val="00750382"/>
    <w:rsid w:val="0075094E"/>
    <w:rsid w:val="00750FA8"/>
    <w:rsid w:val="00750FB5"/>
    <w:rsid w:val="007522E8"/>
    <w:rsid w:val="00752C34"/>
    <w:rsid w:val="00753BAC"/>
    <w:rsid w:val="00754A0B"/>
    <w:rsid w:val="007552DB"/>
    <w:rsid w:val="00755B08"/>
    <w:rsid w:val="00755DD0"/>
    <w:rsid w:val="0075647A"/>
    <w:rsid w:val="00756A2F"/>
    <w:rsid w:val="007573E1"/>
    <w:rsid w:val="0075749E"/>
    <w:rsid w:val="00757B2D"/>
    <w:rsid w:val="00757BAD"/>
    <w:rsid w:val="00757D62"/>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4E7"/>
    <w:rsid w:val="0077768C"/>
    <w:rsid w:val="00777696"/>
    <w:rsid w:val="00777FF4"/>
    <w:rsid w:val="00780251"/>
    <w:rsid w:val="00780293"/>
    <w:rsid w:val="007804FE"/>
    <w:rsid w:val="00780F32"/>
    <w:rsid w:val="0078122E"/>
    <w:rsid w:val="00781939"/>
    <w:rsid w:val="00781D29"/>
    <w:rsid w:val="007825EF"/>
    <w:rsid w:val="00782D2C"/>
    <w:rsid w:val="00782FC2"/>
    <w:rsid w:val="00785BBB"/>
    <w:rsid w:val="00786FAD"/>
    <w:rsid w:val="00787D90"/>
    <w:rsid w:val="00787F5E"/>
    <w:rsid w:val="00790164"/>
    <w:rsid w:val="00790A24"/>
    <w:rsid w:val="00790A37"/>
    <w:rsid w:val="00790A60"/>
    <w:rsid w:val="0079146D"/>
    <w:rsid w:val="00791C32"/>
    <w:rsid w:val="00791FF0"/>
    <w:rsid w:val="007923D0"/>
    <w:rsid w:val="007930D3"/>
    <w:rsid w:val="0079381F"/>
    <w:rsid w:val="007948F5"/>
    <w:rsid w:val="00795647"/>
    <w:rsid w:val="007963F6"/>
    <w:rsid w:val="00796E80"/>
    <w:rsid w:val="007979AD"/>
    <w:rsid w:val="00797A9C"/>
    <w:rsid w:val="007A0EAB"/>
    <w:rsid w:val="007A2341"/>
    <w:rsid w:val="007A38A1"/>
    <w:rsid w:val="007A3BBE"/>
    <w:rsid w:val="007A4766"/>
    <w:rsid w:val="007B0313"/>
    <w:rsid w:val="007B0854"/>
    <w:rsid w:val="007B1D1B"/>
    <w:rsid w:val="007B303E"/>
    <w:rsid w:val="007B32C0"/>
    <w:rsid w:val="007B32F7"/>
    <w:rsid w:val="007B3659"/>
    <w:rsid w:val="007B4558"/>
    <w:rsid w:val="007B4632"/>
    <w:rsid w:val="007B46A2"/>
    <w:rsid w:val="007B4828"/>
    <w:rsid w:val="007B4B2D"/>
    <w:rsid w:val="007B4D4A"/>
    <w:rsid w:val="007B5428"/>
    <w:rsid w:val="007B6C64"/>
    <w:rsid w:val="007B6EC8"/>
    <w:rsid w:val="007B6F81"/>
    <w:rsid w:val="007B7EA2"/>
    <w:rsid w:val="007C097D"/>
    <w:rsid w:val="007C1672"/>
    <w:rsid w:val="007C3570"/>
    <w:rsid w:val="007C3F3B"/>
    <w:rsid w:val="007C4241"/>
    <w:rsid w:val="007C55FF"/>
    <w:rsid w:val="007C5AFE"/>
    <w:rsid w:val="007C6339"/>
    <w:rsid w:val="007C7C43"/>
    <w:rsid w:val="007C7F0D"/>
    <w:rsid w:val="007D1134"/>
    <w:rsid w:val="007D23F7"/>
    <w:rsid w:val="007D2566"/>
    <w:rsid w:val="007D2C18"/>
    <w:rsid w:val="007D2D74"/>
    <w:rsid w:val="007D3693"/>
    <w:rsid w:val="007D481A"/>
    <w:rsid w:val="007D58C5"/>
    <w:rsid w:val="007D5DE8"/>
    <w:rsid w:val="007D7CFC"/>
    <w:rsid w:val="007E0812"/>
    <w:rsid w:val="007E18DF"/>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0149"/>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C35"/>
    <w:rsid w:val="00807F69"/>
    <w:rsid w:val="008100F7"/>
    <w:rsid w:val="00810206"/>
    <w:rsid w:val="00811898"/>
    <w:rsid w:val="008124D8"/>
    <w:rsid w:val="00813A7B"/>
    <w:rsid w:val="00813F04"/>
    <w:rsid w:val="00815DA5"/>
    <w:rsid w:val="00816221"/>
    <w:rsid w:val="008164BF"/>
    <w:rsid w:val="0081766B"/>
    <w:rsid w:val="008203BE"/>
    <w:rsid w:val="00820705"/>
    <w:rsid w:val="00820CBF"/>
    <w:rsid w:val="00820FA8"/>
    <w:rsid w:val="008212FD"/>
    <w:rsid w:val="00821489"/>
    <w:rsid w:val="008217B7"/>
    <w:rsid w:val="0082239B"/>
    <w:rsid w:val="0082292E"/>
    <w:rsid w:val="00822D06"/>
    <w:rsid w:val="0082348D"/>
    <w:rsid w:val="008236BE"/>
    <w:rsid w:val="008241CE"/>
    <w:rsid w:val="00825240"/>
    <w:rsid w:val="00825B43"/>
    <w:rsid w:val="00827CC0"/>
    <w:rsid w:val="00831026"/>
    <w:rsid w:val="0083119B"/>
    <w:rsid w:val="00831BAE"/>
    <w:rsid w:val="00832216"/>
    <w:rsid w:val="00832CD0"/>
    <w:rsid w:val="00833430"/>
    <w:rsid w:val="0083417F"/>
    <w:rsid w:val="00835143"/>
    <w:rsid w:val="00835741"/>
    <w:rsid w:val="00836E74"/>
    <w:rsid w:val="00836EAB"/>
    <w:rsid w:val="00837673"/>
    <w:rsid w:val="00837937"/>
    <w:rsid w:val="00837D82"/>
    <w:rsid w:val="00840893"/>
    <w:rsid w:val="00840E88"/>
    <w:rsid w:val="008423EC"/>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0AEF"/>
    <w:rsid w:val="0086122C"/>
    <w:rsid w:val="00861310"/>
    <w:rsid w:val="00861F53"/>
    <w:rsid w:val="0086394E"/>
    <w:rsid w:val="00863F8A"/>
    <w:rsid w:val="00863FE3"/>
    <w:rsid w:val="00864241"/>
    <w:rsid w:val="0086468A"/>
    <w:rsid w:val="008650BE"/>
    <w:rsid w:val="0086633B"/>
    <w:rsid w:val="00866495"/>
    <w:rsid w:val="00866931"/>
    <w:rsid w:val="00867512"/>
    <w:rsid w:val="0087033C"/>
    <w:rsid w:val="008715ED"/>
    <w:rsid w:val="008717D8"/>
    <w:rsid w:val="00871E3C"/>
    <w:rsid w:val="00872F97"/>
    <w:rsid w:val="0087356A"/>
    <w:rsid w:val="00874607"/>
    <w:rsid w:val="00874915"/>
    <w:rsid w:val="00874B89"/>
    <w:rsid w:val="00875403"/>
    <w:rsid w:val="00875434"/>
    <w:rsid w:val="00876215"/>
    <w:rsid w:val="00876815"/>
    <w:rsid w:val="00877932"/>
    <w:rsid w:val="008808C7"/>
    <w:rsid w:val="0088106B"/>
    <w:rsid w:val="0088107D"/>
    <w:rsid w:val="00881E64"/>
    <w:rsid w:val="00882E39"/>
    <w:rsid w:val="008850EB"/>
    <w:rsid w:val="00886DF2"/>
    <w:rsid w:val="00886FB9"/>
    <w:rsid w:val="00887C79"/>
    <w:rsid w:val="0089107B"/>
    <w:rsid w:val="008913CC"/>
    <w:rsid w:val="008914AE"/>
    <w:rsid w:val="008919CF"/>
    <w:rsid w:val="00891F84"/>
    <w:rsid w:val="008928EC"/>
    <w:rsid w:val="00892E5D"/>
    <w:rsid w:val="008935CF"/>
    <w:rsid w:val="00894BB1"/>
    <w:rsid w:val="0089582D"/>
    <w:rsid w:val="008959C6"/>
    <w:rsid w:val="0089606D"/>
    <w:rsid w:val="00896129"/>
    <w:rsid w:val="0089774F"/>
    <w:rsid w:val="00897875"/>
    <w:rsid w:val="00897B8F"/>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0A7E"/>
    <w:rsid w:val="008B1BF5"/>
    <w:rsid w:val="008B263F"/>
    <w:rsid w:val="008B47A6"/>
    <w:rsid w:val="008B672C"/>
    <w:rsid w:val="008C0743"/>
    <w:rsid w:val="008C0B4C"/>
    <w:rsid w:val="008C11F0"/>
    <w:rsid w:val="008C1DBA"/>
    <w:rsid w:val="008C24E7"/>
    <w:rsid w:val="008C2500"/>
    <w:rsid w:val="008C2CAC"/>
    <w:rsid w:val="008C3E2A"/>
    <w:rsid w:val="008C45BD"/>
    <w:rsid w:val="008C4B19"/>
    <w:rsid w:val="008C62D4"/>
    <w:rsid w:val="008C6B89"/>
    <w:rsid w:val="008D18AA"/>
    <w:rsid w:val="008D1A2A"/>
    <w:rsid w:val="008D35D9"/>
    <w:rsid w:val="008D3B85"/>
    <w:rsid w:val="008D462D"/>
    <w:rsid w:val="008D66CA"/>
    <w:rsid w:val="008D69B1"/>
    <w:rsid w:val="008D7338"/>
    <w:rsid w:val="008E0012"/>
    <w:rsid w:val="008E0DF7"/>
    <w:rsid w:val="008E0FAD"/>
    <w:rsid w:val="008E1347"/>
    <w:rsid w:val="008E16E0"/>
    <w:rsid w:val="008E1C15"/>
    <w:rsid w:val="008E28BD"/>
    <w:rsid w:val="008E2E2B"/>
    <w:rsid w:val="008E38B4"/>
    <w:rsid w:val="008E3BA4"/>
    <w:rsid w:val="008E44AB"/>
    <w:rsid w:val="008E5179"/>
    <w:rsid w:val="008E6598"/>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05202"/>
    <w:rsid w:val="00910683"/>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3396"/>
    <w:rsid w:val="00923F56"/>
    <w:rsid w:val="00925743"/>
    <w:rsid w:val="00927E8D"/>
    <w:rsid w:val="00927F23"/>
    <w:rsid w:val="009307CD"/>
    <w:rsid w:val="00931451"/>
    <w:rsid w:val="009314FA"/>
    <w:rsid w:val="0093194F"/>
    <w:rsid w:val="00931BF3"/>
    <w:rsid w:val="00931C55"/>
    <w:rsid w:val="00933333"/>
    <w:rsid w:val="0093349A"/>
    <w:rsid w:val="00933FCB"/>
    <w:rsid w:val="00934E69"/>
    <w:rsid w:val="00937401"/>
    <w:rsid w:val="009376FB"/>
    <w:rsid w:val="00937D6B"/>
    <w:rsid w:val="00940477"/>
    <w:rsid w:val="00940876"/>
    <w:rsid w:val="00940A53"/>
    <w:rsid w:val="00940F3C"/>
    <w:rsid w:val="009410E0"/>
    <w:rsid w:val="009444B4"/>
    <w:rsid w:val="00946A24"/>
    <w:rsid w:val="009470D4"/>
    <w:rsid w:val="00947337"/>
    <w:rsid w:val="00953018"/>
    <w:rsid w:val="009533E2"/>
    <w:rsid w:val="00953554"/>
    <w:rsid w:val="0095385A"/>
    <w:rsid w:val="0095780A"/>
    <w:rsid w:val="009579E4"/>
    <w:rsid w:val="00957AA4"/>
    <w:rsid w:val="00957F27"/>
    <w:rsid w:val="00960BDB"/>
    <w:rsid w:val="0096147D"/>
    <w:rsid w:val="00961E5F"/>
    <w:rsid w:val="009625C6"/>
    <w:rsid w:val="009629B5"/>
    <w:rsid w:val="00962A50"/>
    <w:rsid w:val="00964138"/>
    <w:rsid w:val="00964B3F"/>
    <w:rsid w:val="00964C98"/>
    <w:rsid w:val="00971441"/>
    <w:rsid w:val="009715D4"/>
    <w:rsid w:val="0097494E"/>
    <w:rsid w:val="00974B58"/>
    <w:rsid w:val="009761ED"/>
    <w:rsid w:val="0098022F"/>
    <w:rsid w:val="009810DE"/>
    <w:rsid w:val="009822D7"/>
    <w:rsid w:val="009827E6"/>
    <w:rsid w:val="0098427D"/>
    <w:rsid w:val="00984567"/>
    <w:rsid w:val="00985102"/>
    <w:rsid w:val="009865D5"/>
    <w:rsid w:val="00987C77"/>
    <w:rsid w:val="00990345"/>
    <w:rsid w:val="00990701"/>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6D6"/>
    <w:rsid w:val="009B2E29"/>
    <w:rsid w:val="009B422F"/>
    <w:rsid w:val="009B46BC"/>
    <w:rsid w:val="009B4D1A"/>
    <w:rsid w:val="009B558B"/>
    <w:rsid w:val="009B6D21"/>
    <w:rsid w:val="009C181C"/>
    <w:rsid w:val="009C1C7F"/>
    <w:rsid w:val="009C28A2"/>
    <w:rsid w:val="009C3239"/>
    <w:rsid w:val="009C3828"/>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4529"/>
    <w:rsid w:val="009D604F"/>
    <w:rsid w:val="009D61BB"/>
    <w:rsid w:val="009D6410"/>
    <w:rsid w:val="009D68BB"/>
    <w:rsid w:val="009D7ADB"/>
    <w:rsid w:val="009E0703"/>
    <w:rsid w:val="009E16DA"/>
    <w:rsid w:val="009E1CD4"/>
    <w:rsid w:val="009E2391"/>
    <w:rsid w:val="009E476A"/>
    <w:rsid w:val="009E4E05"/>
    <w:rsid w:val="009E55BE"/>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585B"/>
    <w:rsid w:val="00A15C19"/>
    <w:rsid w:val="00A16809"/>
    <w:rsid w:val="00A17EA2"/>
    <w:rsid w:val="00A20264"/>
    <w:rsid w:val="00A20997"/>
    <w:rsid w:val="00A21454"/>
    <w:rsid w:val="00A22025"/>
    <w:rsid w:val="00A22498"/>
    <w:rsid w:val="00A22571"/>
    <w:rsid w:val="00A24560"/>
    <w:rsid w:val="00A25B0F"/>
    <w:rsid w:val="00A25BBB"/>
    <w:rsid w:val="00A30368"/>
    <w:rsid w:val="00A3043A"/>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500B1"/>
    <w:rsid w:val="00A50A4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68BA"/>
    <w:rsid w:val="00A66FA7"/>
    <w:rsid w:val="00A67E16"/>
    <w:rsid w:val="00A703CC"/>
    <w:rsid w:val="00A70C5C"/>
    <w:rsid w:val="00A71EA7"/>
    <w:rsid w:val="00A730AD"/>
    <w:rsid w:val="00A73D64"/>
    <w:rsid w:val="00A74216"/>
    <w:rsid w:val="00A744B4"/>
    <w:rsid w:val="00A751E3"/>
    <w:rsid w:val="00A75504"/>
    <w:rsid w:val="00A77168"/>
    <w:rsid w:val="00A7723B"/>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BDE"/>
    <w:rsid w:val="00A94FCA"/>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CFD"/>
    <w:rsid w:val="00AB49BC"/>
    <w:rsid w:val="00AB4DEE"/>
    <w:rsid w:val="00AB4E32"/>
    <w:rsid w:val="00AB724B"/>
    <w:rsid w:val="00AB726C"/>
    <w:rsid w:val="00AB72B4"/>
    <w:rsid w:val="00AC02AA"/>
    <w:rsid w:val="00AC0537"/>
    <w:rsid w:val="00AC0A84"/>
    <w:rsid w:val="00AC2A0B"/>
    <w:rsid w:val="00AC2BEE"/>
    <w:rsid w:val="00AC2E53"/>
    <w:rsid w:val="00AC484F"/>
    <w:rsid w:val="00AC4B20"/>
    <w:rsid w:val="00AC56F2"/>
    <w:rsid w:val="00AC71C3"/>
    <w:rsid w:val="00AD1EFA"/>
    <w:rsid w:val="00AD2072"/>
    <w:rsid w:val="00AD2DBD"/>
    <w:rsid w:val="00AD2FBF"/>
    <w:rsid w:val="00AD455D"/>
    <w:rsid w:val="00AD463C"/>
    <w:rsid w:val="00AD4F60"/>
    <w:rsid w:val="00AD5044"/>
    <w:rsid w:val="00AD5114"/>
    <w:rsid w:val="00AD6236"/>
    <w:rsid w:val="00AD7770"/>
    <w:rsid w:val="00AE1772"/>
    <w:rsid w:val="00AE1990"/>
    <w:rsid w:val="00AE25E8"/>
    <w:rsid w:val="00AE2AD4"/>
    <w:rsid w:val="00AE2CA7"/>
    <w:rsid w:val="00AE2F1D"/>
    <w:rsid w:val="00AE6582"/>
    <w:rsid w:val="00AE6DC5"/>
    <w:rsid w:val="00AE7686"/>
    <w:rsid w:val="00AE799A"/>
    <w:rsid w:val="00AF0E81"/>
    <w:rsid w:val="00AF117A"/>
    <w:rsid w:val="00AF19DF"/>
    <w:rsid w:val="00AF26CF"/>
    <w:rsid w:val="00AF4E92"/>
    <w:rsid w:val="00AF5C9B"/>
    <w:rsid w:val="00AF5D53"/>
    <w:rsid w:val="00AF5E2D"/>
    <w:rsid w:val="00AF644B"/>
    <w:rsid w:val="00AF6CA6"/>
    <w:rsid w:val="00AF6EB6"/>
    <w:rsid w:val="00AF7796"/>
    <w:rsid w:val="00B011A9"/>
    <w:rsid w:val="00B024ED"/>
    <w:rsid w:val="00B02EB3"/>
    <w:rsid w:val="00B033F8"/>
    <w:rsid w:val="00B03C1E"/>
    <w:rsid w:val="00B04400"/>
    <w:rsid w:val="00B04835"/>
    <w:rsid w:val="00B05A55"/>
    <w:rsid w:val="00B05DE1"/>
    <w:rsid w:val="00B06595"/>
    <w:rsid w:val="00B10109"/>
    <w:rsid w:val="00B1085E"/>
    <w:rsid w:val="00B10FD1"/>
    <w:rsid w:val="00B12735"/>
    <w:rsid w:val="00B13C48"/>
    <w:rsid w:val="00B13E35"/>
    <w:rsid w:val="00B13EC0"/>
    <w:rsid w:val="00B14102"/>
    <w:rsid w:val="00B14D32"/>
    <w:rsid w:val="00B1557C"/>
    <w:rsid w:val="00B155DC"/>
    <w:rsid w:val="00B15766"/>
    <w:rsid w:val="00B1666A"/>
    <w:rsid w:val="00B1686D"/>
    <w:rsid w:val="00B17447"/>
    <w:rsid w:val="00B1771D"/>
    <w:rsid w:val="00B17B91"/>
    <w:rsid w:val="00B20209"/>
    <w:rsid w:val="00B203C9"/>
    <w:rsid w:val="00B2088D"/>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5E4"/>
    <w:rsid w:val="00B33C23"/>
    <w:rsid w:val="00B345B4"/>
    <w:rsid w:val="00B348B1"/>
    <w:rsid w:val="00B34A28"/>
    <w:rsid w:val="00B35046"/>
    <w:rsid w:val="00B35B6A"/>
    <w:rsid w:val="00B37657"/>
    <w:rsid w:val="00B37B07"/>
    <w:rsid w:val="00B4046F"/>
    <w:rsid w:val="00B41D39"/>
    <w:rsid w:val="00B422C0"/>
    <w:rsid w:val="00B424C6"/>
    <w:rsid w:val="00B426CA"/>
    <w:rsid w:val="00B426E1"/>
    <w:rsid w:val="00B4387A"/>
    <w:rsid w:val="00B44746"/>
    <w:rsid w:val="00B44854"/>
    <w:rsid w:val="00B458D0"/>
    <w:rsid w:val="00B4792C"/>
    <w:rsid w:val="00B47D87"/>
    <w:rsid w:val="00B50CAE"/>
    <w:rsid w:val="00B512AD"/>
    <w:rsid w:val="00B5196C"/>
    <w:rsid w:val="00B525CB"/>
    <w:rsid w:val="00B52697"/>
    <w:rsid w:val="00B54D8F"/>
    <w:rsid w:val="00B55857"/>
    <w:rsid w:val="00B55C69"/>
    <w:rsid w:val="00B56851"/>
    <w:rsid w:val="00B56D6E"/>
    <w:rsid w:val="00B572F7"/>
    <w:rsid w:val="00B57B9D"/>
    <w:rsid w:val="00B57DA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353B"/>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90A49"/>
    <w:rsid w:val="00B91B8E"/>
    <w:rsid w:val="00B92531"/>
    <w:rsid w:val="00B92618"/>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5FDD"/>
    <w:rsid w:val="00BC68B4"/>
    <w:rsid w:val="00BD0140"/>
    <w:rsid w:val="00BD02CC"/>
    <w:rsid w:val="00BD2063"/>
    <w:rsid w:val="00BD33D9"/>
    <w:rsid w:val="00BD38C5"/>
    <w:rsid w:val="00BD3DEA"/>
    <w:rsid w:val="00BD3E97"/>
    <w:rsid w:val="00BD40E4"/>
    <w:rsid w:val="00BD52FE"/>
    <w:rsid w:val="00BD62CF"/>
    <w:rsid w:val="00BD78FE"/>
    <w:rsid w:val="00BE0149"/>
    <w:rsid w:val="00BE0767"/>
    <w:rsid w:val="00BE12D7"/>
    <w:rsid w:val="00BE1372"/>
    <w:rsid w:val="00BE1775"/>
    <w:rsid w:val="00BE18DA"/>
    <w:rsid w:val="00BE26C0"/>
    <w:rsid w:val="00BE3442"/>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3305"/>
    <w:rsid w:val="00C03515"/>
    <w:rsid w:val="00C03738"/>
    <w:rsid w:val="00C037A6"/>
    <w:rsid w:val="00C043F5"/>
    <w:rsid w:val="00C044E3"/>
    <w:rsid w:val="00C04BDB"/>
    <w:rsid w:val="00C052C6"/>
    <w:rsid w:val="00C05A61"/>
    <w:rsid w:val="00C06CCF"/>
    <w:rsid w:val="00C1159D"/>
    <w:rsid w:val="00C1233E"/>
    <w:rsid w:val="00C12FB3"/>
    <w:rsid w:val="00C138BC"/>
    <w:rsid w:val="00C13D85"/>
    <w:rsid w:val="00C14639"/>
    <w:rsid w:val="00C14E82"/>
    <w:rsid w:val="00C14FF6"/>
    <w:rsid w:val="00C1641B"/>
    <w:rsid w:val="00C165FC"/>
    <w:rsid w:val="00C176D5"/>
    <w:rsid w:val="00C2082C"/>
    <w:rsid w:val="00C20EB0"/>
    <w:rsid w:val="00C21005"/>
    <w:rsid w:val="00C220B6"/>
    <w:rsid w:val="00C22D7C"/>
    <w:rsid w:val="00C22DDE"/>
    <w:rsid w:val="00C2338B"/>
    <w:rsid w:val="00C237DD"/>
    <w:rsid w:val="00C238F4"/>
    <w:rsid w:val="00C23A99"/>
    <w:rsid w:val="00C245EE"/>
    <w:rsid w:val="00C24AE1"/>
    <w:rsid w:val="00C24B8D"/>
    <w:rsid w:val="00C24BD7"/>
    <w:rsid w:val="00C25813"/>
    <w:rsid w:val="00C27143"/>
    <w:rsid w:val="00C27490"/>
    <w:rsid w:val="00C27D37"/>
    <w:rsid w:val="00C309E8"/>
    <w:rsid w:val="00C32017"/>
    <w:rsid w:val="00C325CD"/>
    <w:rsid w:val="00C3322E"/>
    <w:rsid w:val="00C33B90"/>
    <w:rsid w:val="00C34B5F"/>
    <w:rsid w:val="00C358D4"/>
    <w:rsid w:val="00C36785"/>
    <w:rsid w:val="00C3711C"/>
    <w:rsid w:val="00C37256"/>
    <w:rsid w:val="00C37A7B"/>
    <w:rsid w:val="00C37FFE"/>
    <w:rsid w:val="00C40B50"/>
    <w:rsid w:val="00C419E3"/>
    <w:rsid w:val="00C419F4"/>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37E0"/>
    <w:rsid w:val="00C53D24"/>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9B8"/>
    <w:rsid w:val="00C64A64"/>
    <w:rsid w:val="00C65151"/>
    <w:rsid w:val="00C66119"/>
    <w:rsid w:val="00C66292"/>
    <w:rsid w:val="00C672A3"/>
    <w:rsid w:val="00C672F1"/>
    <w:rsid w:val="00C673D0"/>
    <w:rsid w:val="00C6742E"/>
    <w:rsid w:val="00C70012"/>
    <w:rsid w:val="00C71E2A"/>
    <w:rsid w:val="00C733BA"/>
    <w:rsid w:val="00C760DC"/>
    <w:rsid w:val="00C8082B"/>
    <w:rsid w:val="00C81A88"/>
    <w:rsid w:val="00C81D46"/>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A0031"/>
    <w:rsid w:val="00CA0413"/>
    <w:rsid w:val="00CA043A"/>
    <w:rsid w:val="00CA1691"/>
    <w:rsid w:val="00CA41E7"/>
    <w:rsid w:val="00CA5812"/>
    <w:rsid w:val="00CA5BD4"/>
    <w:rsid w:val="00CA5C14"/>
    <w:rsid w:val="00CA76FC"/>
    <w:rsid w:val="00CA7E7B"/>
    <w:rsid w:val="00CB0236"/>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21AC"/>
    <w:rsid w:val="00CC2514"/>
    <w:rsid w:val="00CC2F69"/>
    <w:rsid w:val="00CC315F"/>
    <w:rsid w:val="00CC3D38"/>
    <w:rsid w:val="00CC40C3"/>
    <w:rsid w:val="00CC4E5D"/>
    <w:rsid w:val="00CC50AE"/>
    <w:rsid w:val="00CC61CA"/>
    <w:rsid w:val="00CC69EC"/>
    <w:rsid w:val="00CC71D3"/>
    <w:rsid w:val="00CC743D"/>
    <w:rsid w:val="00CD050A"/>
    <w:rsid w:val="00CD205D"/>
    <w:rsid w:val="00CD2A22"/>
    <w:rsid w:val="00CD2B50"/>
    <w:rsid w:val="00CD4506"/>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61A9"/>
    <w:rsid w:val="00CF73F8"/>
    <w:rsid w:val="00CF7928"/>
    <w:rsid w:val="00CF7CA2"/>
    <w:rsid w:val="00D00A8E"/>
    <w:rsid w:val="00D00DE0"/>
    <w:rsid w:val="00D00F79"/>
    <w:rsid w:val="00D012BF"/>
    <w:rsid w:val="00D01760"/>
    <w:rsid w:val="00D0368E"/>
    <w:rsid w:val="00D03D2D"/>
    <w:rsid w:val="00D03E7B"/>
    <w:rsid w:val="00D0401A"/>
    <w:rsid w:val="00D047E0"/>
    <w:rsid w:val="00D04FFB"/>
    <w:rsid w:val="00D058E9"/>
    <w:rsid w:val="00D05FAB"/>
    <w:rsid w:val="00D0612A"/>
    <w:rsid w:val="00D1060D"/>
    <w:rsid w:val="00D10E7C"/>
    <w:rsid w:val="00D11182"/>
    <w:rsid w:val="00D11807"/>
    <w:rsid w:val="00D11DB3"/>
    <w:rsid w:val="00D12D82"/>
    <w:rsid w:val="00D1306E"/>
    <w:rsid w:val="00D134CD"/>
    <w:rsid w:val="00D140B7"/>
    <w:rsid w:val="00D14B5F"/>
    <w:rsid w:val="00D14E13"/>
    <w:rsid w:val="00D14F23"/>
    <w:rsid w:val="00D16740"/>
    <w:rsid w:val="00D16A8B"/>
    <w:rsid w:val="00D16E39"/>
    <w:rsid w:val="00D17951"/>
    <w:rsid w:val="00D17AD8"/>
    <w:rsid w:val="00D2104A"/>
    <w:rsid w:val="00D21BB5"/>
    <w:rsid w:val="00D21FFC"/>
    <w:rsid w:val="00D223B6"/>
    <w:rsid w:val="00D223E8"/>
    <w:rsid w:val="00D22DC8"/>
    <w:rsid w:val="00D2531C"/>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B7E"/>
    <w:rsid w:val="00D52E2F"/>
    <w:rsid w:val="00D52F59"/>
    <w:rsid w:val="00D53E3E"/>
    <w:rsid w:val="00D55904"/>
    <w:rsid w:val="00D5616F"/>
    <w:rsid w:val="00D57940"/>
    <w:rsid w:val="00D60327"/>
    <w:rsid w:val="00D61526"/>
    <w:rsid w:val="00D61F81"/>
    <w:rsid w:val="00D62217"/>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75E"/>
    <w:rsid w:val="00D80D4C"/>
    <w:rsid w:val="00D8184D"/>
    <w:rsid w:val="00D81A7B"/>
    <w:rsid w:val="00D8223C"/>
    <w:rsid w:val="00D82B57"/>
    <w:rsid w:val="00D82CE5"/>
    <w:rsid w:val="00D8342C"/>
    <w:rsid w:val="00D85494"/>
    <w:rsid w:val="00D85D61"/>
    <w:rsid w:val="00D8616D"/>
    <w:rsid w:val="00D8711B"/>
    <w:rsid w:val="00D90683"/>
    <w:rsid w:val="00D915C8"/>
    <w:rsid w:val="00D9310B"/>
    <w:rsid w:val="00D93726"/>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3CC"/>
    <w:rsid w:val="00DB12D4"/>
    <w:rsid w:val="00DB14F0"/>
    <w:rsid w:val="00DB1745"/>
    <w:rsid w:val="00DB1AFF"/>
    <w:rsid w:val="00DB219A"/>
    <w:rsid w:val="00DB4292"/>
    <w:rsid w:val="00DB6E46"/>
    <w:rsid w:val="00DB7117"/>
    <w:rsid w:val="00DB7760"/>
    <w:rsid w:val="00DB7DD4"/>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A13"/>
    <w:rsid w:val="00DD5B04"/>
    <w:rsid w:val="00DD5D97"/>
    <w:rsid w:val="00DD5EC6"/>
    <w:rsid w:val="00DD605F"/>
    <w:rsid w:val="00DD72A0"/>
    <w:rsid w:val="00DD735D"/>
    <w:rsid w:val="00DE0159"/>
    <w:rsid w:val="00DE064A"/>
    <w:rsid w:val="00DE082D"/>
    <w:rsid w:val="00DE1410"/>
    <w:rsid w:val="00DE3119"/>
    <w:rsid w:val="00DE3FF0"/>
    <w:rsid w:val="00DE4105"/>
    <w:rsid w:val="00DE5189"/>
    <w:rsid w:val="00DE5BE4"/>
    <w:rsid w:val="00DE7108"/>
    <w:rsid w:val="00DE78D1"/>
    <w:rsid w:val="00DF0263"/>
    <w:rsid w:val="00DF0EB4"/>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07225"/>
    <w:rsid w:val="00E109DD"/>
    <w:rsid w:val="00E11229"/>
    <w:rsid w:val="00E114CA"/>
    <w:rsid w:val="00E1397F"/>
    <w:rsid w:val="00E13AB8"/>
    <w:rsid w:val="00E1482E"/>
    <w:rsid w:val="00E16382"/>
    <w:rsid w:val="00E1699C"/>
    <w:rsid w:val="00E16E75"/>
    <w:rsid w:val="00E1746D"/>
    <w:rsid w:val="00E2012A"/>
    <w:rsid w:val="00E205A2"/>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37A28"/>
    <w:rsid w:val="00E40430"/>
    <w:rsid w:val="00E40690"/>
    <w:rsid w:val="00E4143A"/>
    <w:rsid w:val="00E424C8"/>
    <w:rsid w:val="00E4251D"/>
    <w:rsid w:val="00E43D00"/>
    <w:rsid w:val="00E445E4"/>
    <w:rsid w:val="00E457CB"/>
    <w:rsid w:val="00E45D47"/>
    <w:rsid w:val="00E45DE4"/>
    <w:rsid w:val="00E45E63"/>
    <w:rsid w:val="00E50A7B"/>
    <w:rsid w:val="00E50B0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429"/>
    <w:rsid w:val="00E61ABB"/>
    <w:rsid w:val="00E623E6"/>
    <w:rsid w:val="00E630C0"/>
    <w:rsid w:val="00E63107"/>
    <w:rsid w:val="00E634E6"/>
    <w:rsid w:val="00E63DCE"/>
    <w:rsid w:val="00E64700"/>
    <w:rsid w:val="00E65074"/>
    <w:rsid w:val="00E65E70"/>
    <w:rsid w:val="00E66087"/>
    <w:rsid w:val="00E66D79"/>
    <w:rsid w:val="00E66FF9"/>
    <w:rsid w:val="00E67856"/>
    <w:rsid w:val="00E679C8"/>
    <w:rsid w:val="00E724E7"/>
    <w:rsid w:val="00E72B41"/>
    <w:rsid w:val="00E7347B"/>
    <w:rsid w:val="00E73D03"/>
    <w:rsid w:val="00E77AF5"/>
    <w:rsid w:val="00E823F9"/>
    <w:rsid w:val="00E82C1F"/>
    <w:rsid w:val="00E83671"/>
    <w:rsid w:val="00E84A71"/>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2744"/>
    <w:rsid w:val="00EA37B9"/>
    <w:rsid w:val="00EA39F7"/>
    <w:rsid w:val="00EA3DC2"/>
    <w:rsid w:val="00EA434E"/>
    <w:rsid w:val="00EA4757"/>
    <w:rsid w:val="00EA4B6C"/>
    <w:rsid w:val="00EA560B"/>
    <w:rsid w:val="00EA5669"/>
    <w:rsid w:val="00EA63EF"/>
    <w:rsid w:val="00EB0A89"/>
    <w:rsid w:val="00EB1573"/>
    <w:rsid w:val="00EB1910"/>
    <w:rsid w:val="00EB2E97"/>
    <w:rsid w:val="00EB4AE1"/>
    <w:rsid w:val="00EB52F4"/>
    <w:rsid w:val="00EB5779"/>
    <w:rsid w:val="00EB67F1"/>
    <w:rsid w:val="00EB72CD"/>
    <w:rsid w:val="00EB749A"/>
    <w:rsid w:val="00EB76B6"/>
    <w:rsid w:val="00EB7D8A"/>
    <w:rsid w:val="00EC05E2"/>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43A2"/>
    <w:rsid w:val="00ED4967"/>
    <w:rsid w:val="00ED5140"/>
    <w:rsid w:val="00ED538C"/>
    <w:rsid w:val="00ED5771"/>
    <w:rsid w:val="00ED587F"/>
    <w:rsid w:val="00ED5964"/>
    <w:rsid w:val="00ED623F"/>
    <w:rsid w:val="00ED69BA"/>
    <w:rsid w:val="00ED72E9"/>
    <w:rsid w:val="00ED732E"/>
    <w:rsid w:val="00ED77F0"/>
    <w:rsid w:val="00ED7FBC"/>
    <w:rsid w:val="00EE0253"/>
    <w:rsid w:val="00EE0297"/>
    <w:rsid w:val="00EE13DA"/>
    <w:rsid w:val="00EE1668"/>
    <w:rsid w:val="00EE366D"/>
    <w:rsid w:val="00EE5454"/>
    <w:rsid w:val="00EE59B5"/>
    <w:rsid w:val="00EE5FB7"/>
    <w:rsid w:val="00EE7B54"/>
    <w:rsid w:val="00EE7C88"/>
    <w:rsid w:val="00EE7C8B"/>
    <w:rsid w:val="00EF0209"/>
    <w:rsid w:val="00EF0EA4"/>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1D3C"/>
    <w:rsid w:val="00F12262"/>
    <w:rsid w:val="00F12AF8"/>
    <w:rsid w:val="00F12C52"/>
    <w:rsid w:val="00F148B7"/>
    <w:rsid w:val="00F14AE5"/>
    <w:rsid w:val="00F14EA9"/>
    <w:rsid w:val="00F15505"/>
    <w:rsid w:val="00F15BFF"/>
    <w:rsid w:val="00F213A0"/>
    <w:rsid w:val="00F21D54"/>
    <w:rsid w:val="00F23113"/>
    <w:rsid w:val="00F23255"/>
    <w:rsid w:val="00F23393"/>
    <w:rsid w:val="00F23759"/>
    <w:rsid w:val="00F24644"/>
    <w:rsid w:val="00F257EA"/>
    <w:rsid w:val="00F26F33"/>
    <w:rsid w:val="00F300A8"/>
    <w:rsid w:val="00F30400"/>
    <w:rsid w:val="00F3079E"/>
    <w:rsid w:val="00F3399B"/>
    <w:rsid w:val="00F346ED"/>
    <w:rsid w:val="00F34945"/>
    <w:rsid w:val="00F34E1E"/>
    <w:rsid w:val="00F3570C"/>
    <w:rsid w:val="00F368FF"/>
    <w:rsid w:val="00F37068"/>
    <w:rsid w:val="00F37F3F"/>
    <w:rsid w:val="00F40992"/>
    <w:rsid w:val="00F41596"/>
    <w:rsid w:val="00F41D8B"/>
    <w:rsid w:val="00F42121"/>
    <w:rsid w:val="00F424B3"/>
    <w:rsid w:val="00F428B1"/>
    <w:rsid w:val="00F428B4"/>
    <w:rsid w:val="00F4345D"/>
    <w:rsid w:val="00F4387B"/>
    <w:rsid w:val="00F45B91"/>
    <w:rsid w:val="00F46639"/>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24A7"/>
    <w:rsid w:val="00F62AB6"/>
    <w:rsid w:val="00F65A3C"/>
    <w:rsid w:val="00F66282"/>
    <w:rsid w:val="00F67D8B"/>
    <w:rsid w:val="00F70961"/>
    <w:rsid w:val="00F71397"/>
    <w:rsid w:val="00F722F9"/>
    <w:rsid w:val="00F72389"/>
    <w:rsid w:val="00F72516"/>
    <w:rsid w:val="00F735E5"/>
    <w:rsid w:val="00F73E80"/>
    <w:rsid w:val="00F7469C"/>
    <w:rsid w:val="00F7492E"/>
    <w:rsid w:val="00F74945"/>
    <w:rsid w:val="00F749A3"/>
    <w:rsid w:val="00F74AE8"/>
    <w:rsid w:val="00F76C11"/>
    <w:rsid w:val="00F77021"/>
    <w:rsid w:val="00F77797"/>
    <w:rsid w:val="00F77E61"/>
    <w:rsid w:val="00F815AC"/>
    <w:rsid w:val="00F83B33"/>
    <w:rsid w:val="00F840BF"/>
    <w:rsid w:val="00F843DF"/>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DAC"/>
    <w:rsid w:val="00FD04AE"/>
    <w:rsid w:val="00FD1890"/>
    <w:rsid w:val="00FD1994"/>
    <w:rsid w:val="00FD3508"/>
    <w:rsid w:val="00FD393C"/>
    <w:rsid w:val="00FD43BB"/>
    <w:rsid w:val="00FD4AF3"/>
    <w:rsid w:val="00FD798D"/>
    <w:rsid w:val="00FE141E"/>
    <w:rsid w:val="00FE144E"/>
    <w:rsid w:val="00FE1768"/>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96E"/>
    <w:rsid w:val="00FF5B59"/>
    <w:rsid w:val="00FF5BFD"/>
    <w:rsid w:val="00FF6095"/>
    <w:rsid w:val="00FF62FE"/>
    <w:rsid w:val="00FF6553"/>
    <w:rsid w:val="00FF7A39"/>
    <w:rsid w:val="1105B69E"/>
    <w:rsid w:val="1FE2A2F9"/>
    <w:rsid w:val="4F832A24"/>
    <w:rsid w:val="62759E47"/>
    <w:rsid w:val="6B0A069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5806e8ac767d484a" /></Relationships>
</file>

<file path=word/_rels/footer1.xml.rels>&#65279;<?xml version="1.0" encoding="utf-8"?><Relationships xmlns="http://schemas.openxmlformats.org/package/2006/relationships"><Relationship Type="http://schemas.openxmlformats.org/officeDocument/2006/relationships/image" Target="/media/image6.png" Id="R26f92589f5c146d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67</revision>
  <lastPrinted>2020-01-30T15:05:00.0000000Z</lastPrinted>
  <dcterms:created xsi:type="dcterms:W3CDTF">2020-12-20T21:23:00.0000000Z</dcterms:created>
  <dcterms:modified xsi:type="dcterms:W3CDTF">2021-01-12T19:47:02.9085900Z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