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0BD61" w14:textId="77777777" w:rsidR="000F3626" w:rsidRDefault="000F3626" w:rsidP="000F3626">
      <w:pPr>
        <w:jc w:val="right"/>
        <w:rPr>
          <w:rFonts w:ascii="Arial" w:hAnsi="Arial" w:cs="Arial"/>
          <w:b/>
          <w:color w:val="000000" w:themeColor="text1"/>
          <w:sz w:val="16"/>
          <w:szCs w:val="16"/>
          <w:lang w:val="es-ES" w:eastAsia="es-ES"/>
        </w:rPr>
      </w:pPr>
      <w:bookmarkStart w:id="0" w:name="_Hlk28946138"/>
      <w:bookmarkStart w:id="1" w:name="_Hlk29548183"/>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r>
      <w:r>
        <w:rPr>
          <w:rFonts w:ascii="Arial" w:hAnsi="Arial" w:cs="Arial"/>
          <w:b/>
          <w:color w:val="000000" w:themeColor="text1"/>
          <w:sz w:val="16"/>
          <w:szCs w:val="16"/>
          <w:lang w:val="es-ES" w:eastAsia="es-ES"/>
        </w:rPr>
        <w:tab/>
        <w:t xml:space="preserve">  CCE-DES-FM-17</w:t>
      </w:r>
    </w:p>
    <w:p w14:paraId="57FE35A9" w14:textId="77777777" w:rsidR="000F3626" w:rsidRDefault="000F3626" w:rsidP="000F3626">
      <w:pPr>
        <w:jc w:val="right"/>
        <w:rPr>
          <w:rFonts w:ascii="Arial" w:hAnsi="Arial" w:cs="Arial"/>
          <w:b/>
          <w:color w:val="000000" w:themeColor="text1"/>
          <w:sz w:val="16"/>
          <w:szCs w:val="16"/>
          <w:lang w:val="es-ES" w:eastAsia="es-ES"/>
        </w:rPr>
      </w:pPr>
    </w:p>
    <w:p w14:paraId="4E5D8550" w14:textId="77777777" w:rsidR="000F3626" w:rsidRDefault="000F3626" w:rsidP="000F3626">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w:t>
      </w:r>
    </w:p>
    <w:p w14:paraId="74D01DA2" w14:textId="77777777" w:rsidR="000F3626" w:rsidRDefault="000F3626" w:rsidP="000F3626">
      <w:pPr>
        <w:jc w:val="both"/>
        <w:rPr>
          <w:rFonts w:ascii="Arial" w:eastAsia="Calibri" w:hAnsi="Arial" w:cs="Arial"/>
          <w:bCs/>
          <w:color w:val="000000" w:themeColor="text1"/>
          <w:sz w:val="20"/>
          <w:szCs w:val="20"/>
          <w:lang w:val="es-ES"/>
        </w:rPr>
      </w:pPr>
    </w:p>
    <w:p w14:paraId="598B5444" w14:textId="7782FC44" w:rsidR="004A1778" w:rsidRPr="004A1778" w:rsidRDefault="004A1778" w:rsidP="004A1778">
      <w:pPr>
        <w:tabs>
          <w:tab w:val="left" w:pos="426"/>
        </w:tabs>
        <w:spacing w:after="120"/>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512C9549" w14:textId="7AB0F448" w:rsidR="004A1778" w:rsidRPr="004A1778" w:rsidRDefault="004A1778" w:rsidP="004A1778">
      <w:pPr>
        <w:tabs>
          <w:tab w:val="left" w:pos="426"/>
        </w:tabs>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 xml:space="preserve">Estas finalidades reciben diferentes nombres en los diversos contextos en los que se utilizan,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14:paraId="30FB6F48" w14:textId="77777777" w:rsidR="000F3626" w:rsidRDefault="000F3626" w:rsidP="004A1778">
      <w:pPr>
        <w:jc w:val="both"/>
        <w:rPr>
          <w:rFonts w:ascii="Arial" w:eastAsia="Calibri" w:hAnsi="Arial" w:cs="Arial"/>
          <w:bCs/>
          <w:color w:val="000000" w:themeColor="text1"/>
          <w:sz w:val="20"/>
          <w:szCs w:val="20"/>
          <w:lang w:val="es-ES"/>
        </w:rPr>
      </w:pPr>
    </w:p>
    <w:p w14:paraId="38E8DB93" w14:textId="77777777" w:rsidR="000F3626" w:rsidRDefault="000F3626" w:rsidP="004A177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 xml:space="preserve">CONTRATACIÓN ESTATAL – Políticas horizontales – Incentivos contractuales </w:t>
      </w:r>
    </w:p>
    <w:p w14:paraId="583C55A4" w14:textId="77777777" w:rsidR="000F3626" w:rsidRDefault="000F3626" w:rsidP="004A1778">
      <w:pPr>
        <w:jc w:val="both"/>
        <w:rPr>
          <w:rFonts w:ascii="Arial" w:eastAsia="Calibri" w:hAnsi="Arial" w:cs="Arial"/>
          <w:bCs/>
          <w:color w:val="000000" w:themeColor="text1"/>
          <w:sz w:val="20"/>
          <w:szCs w:val="20"/>
          <w:lang w:val="es-ES"/>
        </w:rPr>
      </w:pPr>
    </w:p>
    <w:p w14:paraId="1CC9D0CE" w14:textId="7198777F" w:rsidR="004A1778" w:rsidRPr="004A1778" w:rsidRDefault="004A1778" w:rsidP="004A1778">
      <w:pPr>
        <w:tabs>
          <w:tab w:val="left" w:pos="709"/>
        </w:tabs>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 xml:space="preserve">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44C39C5E" w14:textId="77777777" w:rsidR="000F3626" w:rsidRDefault="000F3626" w:rsidP="004A1778">
      <w:pPr>
        <w:jc w:val="both"/>
        <w:rPr>
          <w:rFonts w:ascii="Arial" w:eastAsia="Calibri" w:hAnsi="Arial" w:cs="Arial"/>
          <w:bCs/>
          <w:color w:val="000000" w:themeColor="text1"/>
          <w:sz w:val="20"/>
          <w:szCs w:val="20"/>
          <w:lang w:val="es-ES"/>
        </w:rPr>
      </w:pPr>
    </w:p>
    <w:p w14:paraId="1F52A4D5" w14:textId="77777777" w:rsidR="000F3626" w:rsidRDefault="000F3626" w:rsidP="004A177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Política horizontal – Criterio de desempate – Ley 2040 de 2020</w:t>
      </w:r>
    </w:p>
    <w:p w14:paraId="408A3B52" w14:textId="77777777" w:rsidR="000F3626" w:rsidRDefault="000F3626" w:rsidP="004A1778">
      <w:pPr>
        <w:jc w:val="both"/>
        <w:rPr>
          <w:rFonts w:ascii="Arial" w:eastAsia="Calibri" w:hAnsi="Arial" w:cs="Arial"/>
          <w:bCs/>
          <w:color w:val="000000" w:themeColor="text1"/>
          <w:sz w:val="20"/>
          <w:szCs w:val="20"/>
          <w:lang w:val="es-ES"/>
        </w:rPr>
      </w:pPr>
    </w:p>
    <w:p w14:paraId="4E2C479D" w14:textId="77777777" w:rsidR="004A1778" w:rsidRPr="004A1778" w:rsidRDefault="004A1778" w:rsidP="004A1778">
      <w:pPr>
        <w:spacing w:after="120"/>
        <w:jc w:val="both"/>
        <w:rPr>
          <w:rFonts w:ascii="Arial" w:hAnsi="Arial" w:cs="Arial"/>
          <w:color w:val="000000" w:themeColor="text1"/>
          <w:sz w:val="20"/>
          <w:szCs w:val="20"/>
          <w:lang w:val="es-ES"/>
        </w:rPr>
      </w:pPr>
      <w:r w:rsidRPr="004A1778">
        <w:rPr>
          <w:rFonts w:ascii="Arial" w:hAnsi="Arial" w:cs="Arial"/>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13C43E76" w14:textId="7EC22FCE" w:rsidR="004A1778" w:rsidRPr="004A1778" w:rsidRDefault="004A1778" w:rsidP="004A1778">
      <w:pPr>
        <w:jc w:val="both"/>
        <w:rPr>
          <w:rFonts w:ascii="Arial" w:hAnsi="Arial" w:cs="Arial"/>
          <w:color w:val="000000" w:themeColor="text1"/>
          <w:sz w:val="20"/>
          <w:szCs w:val="20"/>
          <w:lang w:val="es-ES"/>
        </w:rPr>
      </w:pPr>
      <w:r w:rsidRPr="004A1778">
        <w:rPr>
          <w:rFonts w:ascii="Arial" w:hAnsi="Arial" w:cs="Arial"/>
          <w:color w:val="000000" w:themeColor="text1"/>
          <w:sz w:val="20"/>
          <w:szCs w:val="20"/>
          <w:lang w:val="es-ES"/>
        </w:rPr>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dirigidos a cumplir su finalidad: incrementar la empleabilidad de los adultos mayores, lo que a la postre, se espera, se traducirá en mayor empleo para este sector vulnerable de la población. </w:t>
      </w:r>
    </w:p>
    <w:p w14:paraId="297D0144" w14:textId="77777777" w:rsidR="000F3626" w:rsidRDefault="000F3626" w:rsidP="004A1778">
      <w:pPr>
        <w:jc w:val="both"/>
        <w:rPr>
          <w:rFonts w:ascii="Arial" w:eastAsia="Calibri" w:hAnsi="Arial" w:cs="Arial"/>
          <w:bCs/>
          <w:color w:val="000000" w:themeColor="text1"/>
          <w:sz w:val="20"/>
          <w:szCs w:val="20"/>
          <w:lang w:val="es-ES"/>
        </w:rPr>
      </w:pPr>
    </w:p>
    <w:p w14:paraId="3BA6460D" w14:textId="77777777" w:rsidR="000F3626" w:rsidRDefault="000F3626" w:rsidP="004A1778">
      <w:pPr>
        <w:jc w:val="both"/>
        <w:rPr>
          <w:rFonts w:ascii="Arial" w:eastAsia="Calibri" w:hAnsi="Arial" w:cs="Arial"/>
          <w:b/>
          <w:bCs/>
          <w:color w:val="000000" w:themeColor="text1"/>
          <w:sz w:val="22"/>
          <w:szCs w:val="22"/>
          <w:lang w:val="es-ES"/>
        </w:rPr>
      </w:pPr>
      <w:r>
        <w:rPr>
          <w:rFonts w:ascii="Arial" w:eastAsia="Calibri" w:hAnsi="Arial" w:cs="Arial"/>
          <w:b/>
          <w:bCs/>
          <w:color w:val="000000" w:themeColor="text1"/>
          <w:sz w:val="22"/>
          <w:szCs w:val="22"/>
          <w:lang w:val="es-ES"/>
        </w:rPr>
        <w:t>INCENTIVOS CONTRACTUALES – Empleabilidad de adultos mayores – Criterio de desempate – Necesidad del reglamento</w:t>
      </w:r>
    </w:p>
    <w:p w14:paraId="74DA2AF9" w14:textId="77777777" w:rsidR="000F3626" w:rsidRDefault="000F3626" w:rsidP="004A1778">
      <w:pPr>
        <w:jc w:val="both"/>
        <w:rPr>
          <w:rFonts w:ascii="Arial" w:eastAsia="Calibri" w:hAnsi="Arial" w:cs="Arial"/>
          <w:bCs/>
          <w:color w:val="000000" w:themeColor="text1"/>
          <w:sz w:val="20"/>
          <w:szCs w:val="20"/>
          <w:lang w:val="es-ES"/>
        </w:rPr>
      </w:pPr>
    </w:p>
    <w:p w14:paraId="222C859F" w14:textId="4115D330" w:rsidR="004A1778" w:rsidRDefault="004A1778" w:rsidP="004A1778">
      <w:pPr>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El criterio de desempate creado es una de las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14:paraId="7D53A3D0" w14:textId="0CC0586E" w:rsidR="00CB63FA" w:rsidRDefault="00CB63FA" w:rsidP="004A1778">
      <w:pPr>
        <w:jc w:val="both"/>
        <w:rPr>
          <w:rFonts w:ascii="Arial" w:eastAsia="Calibri" w:hAnsi="Arial" w:cs="Arial"/>
          <w:color w:val="000000" w:themeColor="text1"/>
          <w:sz w:val="20"/>
          <w:szCs w:val="20"/>
          <w:lang w:val="es-ES"/>
        </w:rPr>
      </w:pPr>
    </w:p>
    <w:p w14:paraId="64ABB9A9" w14:textId="77777777" w:rsidR="00CB63FA" w:rsidRDefault="00CB63FA" w:rsidP="00CB63FA">
      <w:pPr>
        <w:jc w:val="both"/>
        <w:rPr>
          <w:rFonts w:ascii="Arial" w:eastAsia="Calibri" w:hAnsi="Arial" w:cs="Arial"/>
          <w:color w:val="000000" w:themeColor="text1"/>
          <w:sz w:val="20"/>
          <w:szCs w:val="20"/>
          <w:lang w:val="es-ES"/>
        </w:rPr>
      </w:pPr>
    </w:p>
    <w:p w14:paraId="7793BE67" w14:textId="4EC3259F" w:rsidR="00CA1085" w:rsidRDefault="00CA1085" w:rsidP="00CB63FA">
      <w:pPr>
        <w:jc w:val="both"/>
        <w:rPr>
          <w:rFonts w:ascii="Arial" w:eastAsia="Calibri" w:hAnsi="Arial" w:cs="Arial"/>
          <w:b/>
          <w:bCs/>
          <w:color w:val="000000" w:themeColor="text1"/>
          <w:sz w:val="22"/>
          <w:szCs w:val="22"/>
          <w:lang w:val="es-ES"/>
        </w:rPr>
      </w:pPr>
      <w:r w:rsidRPr="00CA1085">
        <w:rPr>
          <w:rFonts w:ascii="Arial" w:eastAsia="Calibri" w:hAnsi="Arial" w:cs="Arial"/>
          <w:b/>
          <w:bCs/>
          <w:color w:val="000000" w:themeColor="text1"/>
          <w:sz w:val="22"/>
          <w:szCs w:val="22"/>
          <w:lang w:val="es-ES"/>
        </w:rPr>
        <w:lastRenderedPageBreak/>
        <w:t xml:space="preserve">REGLAMENTO – Necesidad − Efectivo cumplimiento </w:t>
      </w:r>
      <w:r w:rsidR="00215F4F">
        <w:rPr>
          <w:rFonts w:ascii="Arial" w:eastAsia="Calibri" w:hAnsi="Arial" w:cs="Arial"/>
          <w:b/>
          <w:bCs/>
          <w:color w:val="000000" w:themeColor="text1"/>
          <w:sz w:val="22"/>
          <w:szCs w:val="22"/>
          <w:lang w:val="es-ES"/>
        </w:rPr>
        <w:t>–</w:t>
      </w:r>
      <w:r w:rsidRPr="00CA1085">
        <w:rPr>
          <w:rFonts w:ascii="Arial" w:eastAsia="Calibri" w:hAnsi="Arial" w:cs="Arial"/>
          <w:b/>
          <w:bCs/>
          <w:color w:val="000000" w:themeColor="text1"/>
          <w:sz w:val="22"/>
          <w:szCs w:val="22"/>
          <w:lang w:val="es-ES"/>
        </w:rPr>
        <w:t xml:space="preserve"> Ley</w:t>
      </w:r>
      <w:r w:rsidR="00215F4F">
        <w:rPr>
          <w:rFonts w:ascii="Arial" w:eastAsia="Calibri" w:hAnsi="Arial" w:cs="Arial"/>
          <w:b/>
          <w:bCs/>
          <w:color w:val="000000" w:themeColor="text1"/>
          <w:sz w:val="22"/>
          <w:szCs w:val="22"/>
          <w:lang w:val="es-ES"/>
        </w:rPr>
        <w:t xml:space="preserve"> </w:t>
      </w:r>
      <w:r w:rsidRPr="00CA1085">
        <w:rPr>
          <w:rFonts w:ascii="Arial" w:eastAsia="Calibri" w:hAnsi="Arial" w:cs="Arial"/>
          <w:b/>
          <w:bCs/>
          <w:color w:val="000000" w:themeColor="text1"/>
          <w:sz w:val="22"/>
          <w:szCs w:val="22"/>
          <w:lang w:val="es-ES"/>
        </w:rPr>
        <w:t>2040 de 2020</w:t>
      </w:r>
    </w:p>
    <w:p w14:paraId="6184912F" w14:textId="77777777" w:rsidR="00CA1085" w:rsidRDefault="00CA1085" w:rsidP="00CB63FA">
      <w:pPr>
        <w:jc w:val="both"/>
        <w:rPr>
          <w:rFonts w:ascii="Arial" w:eastAsia="Calibri" w:hAnsi="Arial" w:cs="Arial"/>
          <w:b/>
          <w:bCs/>
          <w:color w:val="000000" w:themeColor="text1"/>
          <w:sz w:val="22"/>
          <w:szCs w:val="22"/>
          <w:lang w:val="es-ES"/>
        </w:rPr>
      </w:pPr>
    </w:p>
    <w:p w14:paraId="741697B9" w14:textId="79FC5CE4" w:rsidR="00CB63FA" w:rsidRPr="00CB63FA" w:rsidRDefault="00CB63FA" w:rsidP="00CB63FA">
      <w:pPr>
        <w:jc w:val="both"/>
        <w:rPr>
          <w:rFonts w:ascii="Arial" w:eastAsia="Calibri" w:hAnsi="Arial" w:cs="Arial"/>
          <w:color w:val="000000" w:themeColor="text1"/>
          <w:sz w:val="20"/>
          <w:szCs w:val="20"/>
          <w:lang w:val="es-ES"/>
        </w:rPr>
      </w:pPr>
      <w:r w:rsidRPr="00CB63FA">
        <w:rPr>
          <w:rFonts w:ascii="Arial" w:eastAsia="Calibri" w:hAnsi="Arial" w:cs="Arial"/>
          <w:color w:val="000000" w:themeColor="text1"/>
          <w:sz w:val="20"/>
          <w:szCs w:val="20"/>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14:paraId="4A0D1CCC" w14:textId="77777777" w:rsidR="00CB63FA" w:rsidRPr="004A1778" w:rsidRDefault="00CB63FA" w:rsidP="004A1778">
      <w:pPr>
        <w:jc w:val="both"/>
        <w:rPr>
          <w:rFonts w:ascii="Arial" w:eastAsia="Calibri" w:hAnsi="Arial" w:cs="Arial"/>
          <w:color w:val="000000" w:themeColor="text1"/>
          <w:sz w:val="20"/>
          <w:szCs w:val="20"/>
          <w:lang w:val="es-ES"/>
        </w:rPr>
      </w:pPr>
    </w:p>
    <w:p w14:paraId="6DB17B8B" w14:textId="77777777" w:rsidR="004A1778" w:rsidRDefault="004A1778" w:rsidP="000F3626">
      <w:pPr>
        <w:rPr>
          <w:rFonts w:ascii="Arial" w:hAnsi="Arial" w:cs="Arial"/>
          <w:color w:val="000000" w:themeColor="text1"/>
          <w:sz w:val="22"/>
          <w:lang w:val="es-ES"/>
        </w:rPr>
      </w:pPr>
    </w:p>
    <w:p w14:paraId="50FC6E44" w14:textId="77777777" w:rsidR="00253153" w:rsidRPr="00253153" w:rsidRDefault="00253153" w:rsidP="00253153">
      <w:pPr>
        <w:rPr>
          <w:rFonts w:ascii="Arial" w:hAnsi="Arial" w:cs="Arial"/>
          <w:b/>
          <w:bCs/>
          <w:sz w:val="22"/>
          <w:szCs w:val="22"/>
        </w:rPr>
      </w:pPr>
      <w:r w:rsidRPr="00253153">
        <w:rPr>
          <w:rFonts w:ascii="Arial" w:hAnsi="Arial" w:cs="Arial"/>
          <w:sz w:val="22"/>
          <w:szCs w:val="22"/>
        </w:rPr>
        <w:t xml:space="preserve">Bogotá D.C., </w:t>
      </w:r>
      <w:r w:rsidRPr="00253153">
        <w:rPr>
          <w:rFonts w:ascii="Arial" w:hAnsi="Arial" w:cs="Arial"/>
          <w:b/>
          <w:bCs/>
          <w:sz w:val="22"/>
          <w:szCs w:val="22"/>
        </w:rPr>
        <w:t xml:space="preserve">12/11/2020 Hora 9:55:2s </w:t>
      </w:r>
    </w:p>
    <w:p w14:paraId="213F5EDE" w14:textId="21764331" w:rsidR="000F3626" w:rsidRPr="00253153" w:rsidRDefault="00253153" w:rsidP="00253153">
      <w:pPr>
        <w:jc w:val="right"/>
        <w:rPr>
          <w:rFonts w:ascii="Arial" w:hAnsi="Arial" w:cs="Arial"/>
          <w:b/>
          <w:bCs/>
          <w:color w:val="000000" w:themeColor="text1"/>
          <w:sz w:val="22"/>
          <w:szCs w:val="22"/>
          <w:lang w:val="es-MX"/>
        </w:rPr>
      </w:pPr>
      <w:proofErr w:type="spellStart"/>
      <w:r w:rsidRPr="00253153">
        <w:rPr>
          <w:rFonts w:ascii="Arial" w:hAnsi="Arial" w:cs="Arial"/>
          <w:b/>
          <w:bCs/>
          <w:sz w:val="22"/>
          <w:szCs w:val="22"/>
        </w:rPr>
        <w:t>N°</w:t>
      </w:r>
      <w:proofErr w:type="spellEnd"/>
      <w:r w:rsidRPr="00253153">
        <w:rPr>
          <w:rFonts w:ascii="Arial" w:hAnsi="Arial" w:cs="Arial"/>
          <w:b/>
          <w:bCs/>
          <w:sz w:val="22"/>
          <w:szCs w:val="22"/>
        </w:rPr>
        <w:t xml:space="preserve"> Radicado: 2202013000011242</w:t>
      </w:r>
    </w:p>
    <w:p w14:paraId="081ED24B" w14:textId="7F1EFAC5" w:rsidR="00253153" w:rsidRDefault="00253153" w:rsidP="000F3626">
      <w:pPr>
        <w:rPr>
          <w:rFonts w:asciiTheme="minorBidi" w:eastAsia="Calibri" w:hAnsiTheme="minorBidi" w:cstheme="minorBidi"/>
          <w:color w:val="000000" w:themeColor="text1"/>
          <w:sz w:val="22"/>
          <w:szCs w:val="22"/>
          <w:lang w:val="es-ES"/>
        </w:rPr>
      </w:pPr>
    </w:p>
    <w:p w14:paraId="62875020" w14:textId="77777777" w:rsidR="00253153" w:rsidRDefault="00253153" w:rsidP="000F3626">
      <w:pPr>
        <w:rPr>
          <w:rFonts w:asciiTheme="minorBidi" w:eastAsia="Calibri" w:hAnsiTheme="minorBidi" w:cstheme="minorBidi"/>
          <w:color w:val="000000" w:themeColor="text1"/>
          <w:sz w:val="22"/>
          <w:szCs w:val="22"/>
          <w:lang w:val="es-ES"/>
        </w:rPr>
      </w:pPr>
    </w:p>
    <w:p w14:paraId="17271C2E" w14:textId="0A1FFC4D" w:rsidR="000F3626" w:rsidRPr="00857D30" w:rsidRDefault="000F3626" w:rsidP="000F3626">
      <w:pPr>
        <w:rPr>
          <w:rFonts w:asciiTheme="minorBidi" w:eastAsia="Calibri" w:hAnsiTheme="minorBidi" w:cstheme="minorBidi"/>
          <w:color w:val="000000" w:themeColor="text1"/>
          <w:sz w:val="22"/>
          <w:szCs w:val="22"/>
          <w:lang w:val="es-ES"/>
        </w:rPr>
      </w:pPr>
      <w:r w:rsidRPr="00857D30">
        <w:rPr>
          <w:rFonts w:asciiTheme="minorBidi" w:eastAsia="Calibri" w:hAnsiTheme="minorBidi" w:cstheme="minorBidi"/>
          <w:color w:val="000000" w:themeColor="text1"/>
          <w:sz w:val="22"/>
          <w:szCs w:val="22"/>
          <w:lang w:val="es-ES"/>
        </w:rPr>
        <w:t>Señora</w:t>
      </w:r>
    </w:p>
    <w:p w14:paraId="5270C6A9" w14:textId="77777777" w:rsidR="000F3626" w:rsidRPr="00857D30" w:rsidRDefault="000F3626" w:rsidP="000F3626">
      <w:pPr>
        <w:rPr>
          <w:rFonts w:asciiTheme="minorBidi" w:hAnsiTheme="minorBidi" w:cstheme="minorBidi"/>
          <w:b/>
          <w:bCs/>
          <w:sz w:val="22"/>
          <w:szCs w:val="22"/>
        </w:rPr>
      </w:pPr>
      <w:r w:rsidRPr="00857D30">
        <w:rPr>
          <w:rFonts w:asciiTheme="minorBidi" w:hAnsiTheme="minorBidi" w:cstheme="minorBidi"/>
          <w:b/>
          <w:bCs/>
          <w:sz w:val="22"/>
          <w:szCs w:val="22"/>
        </w:rPr>
        <w:t xml:space="preserve">Nancy Coral </w:t>
      </w:r>
    </w:p>
    <w:p w14:paraId="4B8212D7" w14:textId="77777777" w:rsidR="000F3626" w:rsidRPr="00857D30" w:rsidRDefault="000F3626" w:rsidP="000F3626">
      <w:pPr>
        <w:rPr>
          <w:rFonts w:asciiTheme="minorBidi" w:hAnsiTheme="minorBidi" w:cstheme="minorBidi"/>
          <w:sz w:val="22"/>
          <w:szCs w:val="22"/>
        </w:rPr>
      </w:pPr>
      <w:r w:rsidRPr="00857D30">
        <w:rPr>
          <w:rFonts w:asciiTheme="minorBidi" w:hAnsiTheme="minorBidi" w:cstheme="minorBidi"/>
          <w:sz w:val="22"/>
          <w:szCs w:val="22"/>
        </w:rPr>
        <w:t xml:space="preserve">Directora Ejecutiva – Representante Legal </w:t>
      </w:r>
    </w:p>
    <w:p w14:paraId="5819ACF4" w14:textId="77777777" w:rsidR="000F3626" w:rsidRPr="00857D30" w:rsidRDefault="000F3626" w:rsidP="000F3626">
      <w:pPr>
        <w:rPr>
          <w:rFonts w:asciiTheme="minorBidi" w:hAnsiTheme="minorBidi" w:cstheme="minorBidi"/>
          <w:b/>
          <w:bCs/>
          <w:sz w:val="22"/>
          <w:szCs w:val="22"/>
        </w:rPr>
      </w:pPr>
      <w:r w:rsidRPr="00857D30">
        <w:rPr>
          <w:rFonts w:asciiTheme="minorBidi" w:hAnsiTheme="minorBidi" w:cstheme="minorBidi"/>
          <w:sz w:val="22"/>
          <w:szCs w:val="22"/>
        </w:rPr>
        <w:t>Fundación Contratación Estatal Transparente</w:t>
      </w:r>
    </w:p>
    <w:p w14:paraId="6C0CE73A" w14:textId="77777777" w:rsidR="000F3626" w:rsidRPr="00857D30" w:rsidRDefault="000F3626" w:rsidP="000F3626">
      <w:pPr>
        <w:rPr>
          <w:rFonts w:asciiTheme="minorBidi" w:eastAsia="Calibri" w:hAnsiTheme="minorBidi" w:cstheme="minorBidi"/>
          <w:color w:val="000000" w:themeColor="text1"/>
          <w:sz w:val="22"/>
          <w:szCs w:val="22"/>
          <w:lang w:val="es-ES"/>
        </w:rPr>
      </w:pPr>
      <w:r w:rsidRPr="00857D30">
        <w:rPr>
          <w:rFonts w:asciiTheme="minorBidi" w:eastAsia="Calibri" w:hAnsiTheme="minorBidi" w:cstheme="minorBidi"/>
          <w:color w:val="000000" w:themeColor="text1"/>
          <w:sz w:val="22"/>
          <w:szCs w:val="22"/>
          <w:lang w:val="es-ES"/>
        </w:rPr>
        <w:t>Bogotá D.C.</w:t>
      </w:r>
    </w:p>
    <w:p w14:paraId="460F8D10" w14:textId="77777777" w:rsidR="000F3626" w:rsidRDefault="000F3626" w:rsidP="000F3626">
      <w:pPr>
        <w:rPr>
          <w:rFonts w:ascii="Arial" w:eastAsia="Calibri" w:hAnsi="Arial" w:cs="Arial"/>
          <w:color w:val="000000" w:themeColor="text1"/>
          <w:sz w:val="22"/>
          <w:lang w:val="es-ES"/>
        </w:rPr>
      </w:pPr>
    </w:p>
    <w:p w14:paraId="5DA3755A" w14:textId="77777777" w:rsidR="000F3626" w:rsidRDefault="000F3626" w:rsidP="000F3626">
      <w:pPr>
        <w:rPr>
          <w:rFonts w:ascii="Arial" w:eastAsia="Calibri" w:hAnsi="Arial" w:cs="Arial"/>
          <w:color w:val="000000" w:themeColor="text1"/>
          <w:sz w:val="22"/>
          <w:lang w:val="es-ES"/>
        </w:rPr>
      </w:pPr>
    </w:p>
    <w:p w14:paraId="62D9F607" w14:textId="77777777" w:rsidR="000F3626" w:rsidRDefault="000F3626" w:rsidP="000F3626">
      <w:pPr>
        <w:ind w:firstLine="2694"/>
        <w:rPr>
          <w:rFonts w:ascii="Arial" w:eastAsia="Calibri" w:hAnsi="Arial" w:cs="Arial"/>
          <w:b/>
          <w:color w:val="000000" w:themeColor="text1"/>
          <w:sz w:val="22"/>
          <w:lang w:val="es-ES"/>
        </w:rPr>
      </w:pPr>
      <w:r>
        <w:rPr>
          <w:rFonts w:ascii="Arial" w:eastAsia="Calibri" w:hAnsi="Arial" w:cs="Arial"/>
          <w:b/>
          <w:color w:val="000000" w:themeColor="text1"/>
          <w:sz w:val="22"/>
          <w:lang w:val="es-ES"/>
        </w:rPr>
        <w:t>Concepto C – 664 de 2020</w:t>
      </w:r>
    </w:p>
    <w:p w14:paraId="5EC05FCE" w14:textId="77777777" w:rsidR="000F3626" w:rsidRDefault="000F3626" w:rsidP="000F3626">
      <w:pPr>
        <w:rPr>
          <w:rFonts w:ascii="Arial" w:eastAsia="Calibri" w:hAnsi="Arial" w:cs="Arial"/>
          <w:color w:val="000000" w:themeColor="text1"/>
          <w:sz w:val="22"/>
          <w:lang w:val="es-ES"/>
        </w:rPr>
      </w:pPr>
    </w:p>
    <w:tbl>
      <w:tblPr>
        <w:tblStyle w:val="Tablaconcuadrcula"/>
        <w:tblW w:w="8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3626" w14:paraId="3E0379C2" w14:textId="77777777" w:rsidTr="009D08A0">
        <w:tc>
          <w:tcPr>
            <w:tcW w:w="2689" w:type="dxa"/>
            <w:hideMark/>
          </w:tcPr>
          <w:p w14:paraId="152845F1" w14:textId="77777777" w:rsidR="000F3626" w:rsidRDefault="000F3626" w:rsidP="009D08A0">
            <w:pPr>
              <w:rPr>
                <w:rFonts w:ascii="Arial" w:eastAsia="Calibri" w:hAnsi="Arial" w:cs="Arial"/>
                <w:color w:val="000000" w:themeColor="text1"/>
                <w:sz w:val="22"/>
                <w:lang w:val="es-ES"/>
              </w:rPr>
            </w:pPr>
            <w:r>
              <w:rPr>
                <w:rFonts w:ascii="Arial" w:eastAsia="Calibri" w:hAnsi="Arial" w:cs="Arial"/>
                <w:b/>
                <w:color w:val="000000" w:themeColor="text1"/>
                <w:sz w:val="22"/>
                <w:lang w:val="es-ES"/>
              </w:rPr>
              <w:t>Temas:</w:t>
            </w:r>
            <w:r>
              <w:rPr>
                <w:rFonts w:ascii="Arial" w:eastAsia="Calibri" w:hAnsi="Arial" w:cs="Arial"/>
                <w:color w:val="000000" w:themeColor="text1"/>
                <w:sz w:val="22"/>
                <w:lang w:val="es-ES"/>
              </w:rPr>
              <w:t xml:space="preserve">           </w:t>
            </w:r>
          </w:p>
          <w:p w14:paraId="450FFBCD" w14:textId="77777777" w:rsidR="000F3626" w:rsidRDefault="000F3626" w:rsidP="009D08A0">
            <w:pPr>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p>
        </w:tc>
        <w:tc>
          <w:tcPr>
            <w:tcW w:w="6237" w:type="dxa"/>
            <w:hideMark/>
          </w:tcPr>
          <w:p w14:paraId="113BCBBB" w14:textId="77777777" w:rsidR="000F3626" w:rsidRDefault="000F3626" w:rsidP="009D08A0">
            <w:pPr>
              <w:spacing w:after="12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tc>
      </w:tr>
      <w:tr w:rsidR="000F3626" w14:paraId="2839414D" w14:textId="77777777" w:rsidTr="009D08A0">
        <w:trPr>
          <w:trHeight w:val="95"/>
        </w:trPr>
        <w:tc>
          <w:tcPr>
            <w:tcW w:w="2689" w:type="dxa"/>
            <w:hideMark/>
          </w:tcPr>
          <w:p w14:paraId="2662E37E" w14:textId="77777777" w:rsidR="000F3626" w:rsidRDefault="000F3626" w:rsidP="009D08A0">
            <w:pPr>
              <w:spacing w:before="60"/>
              <w:rPr>
                <w:rFonts w:ascii="Arial" w:eastAsia="Calibri" w:hAnsi="Arial" w:cs="Arial"/>
                <w:b/>
                <w:color w:val="000000" w:themeColor="text1"/>
                <w:sz w:val="22"/>
                <w:lang w:val="es-ES"/>
              </w:rPr>
            </w:pPr>
            <w:r>
              <w:rPr>
                <w:rFonts w:ascii="Arial" w:eastAsia="Calibri" w:hAnsi="Arial" w:cs="Arial"/>
                <w:b/>
                <w:color w:val="000000" w:themeColor="text1"/>
                <w:sz w:val="22"/>
                <w:lang w:val="es-ES"/>
              </w:rPr>
              <w:t>Radicación:</w:t>
            </w:r>
            <w:r>
              <w:rPr>
                <w:rFonts w:ascii="Arial" w:eastAsia="Calibri" w:hAnsi="Arial" w:cs="Arial"/>
                <w:color w:val="000000" w:themeColor="text1"/>
                <w:sz w:val="22"/>
                <w:lang w:val="es-ES"/>
              </w:rPr>
              <w:t xml:space="preserve">                              </w:t>
            </w:r>
          </w:p>
        </w:tc>
        <w:tc>
          <w:tcPr>
            <w:tcW w:w="6237" w:type="dxa"/>
            <w:hideMark/>
          </w:tcPr>
          <w:p w14:paraId="3ABE0E59" w14:textId="77777777" w:rsidR="000F3626" w:rsidRPr="003A36B7" w:rsidRDefault="000F3626" w:rsidP="009D08A0">
            <w:pPr>
              <w:spacing w:before="60"/>
              <w:jc w:val="both"/>
              <w:rPr>
                <w:rFonts w:asciiTheme="minorBidi" w:eastAsia="Calibri" w:hAnsiTheme="minorBidi" w:cstheme="minorBidi"/>
                <w:color w:val="000000" w:themeColor="text1"/>
                <w:sz w:val="22"/>
                <w:szCs w:val="22"/>
                <w:lang w:val="es-ES"/>
              </w:rPr>
            </w:pPr>
            <w:r w:rsidRPr="003A36B7">
              <w:rPr>
                <w:rFonts w:asciiTheme="minorBidi" w:eastAsia="Calibri" w:hAnsiTheme="minorBidi" w:cstheme="minorBidi"/>
                <w:color w:val="000000" w:themeColor="text1"/>
                <w:sz w:val="22"/>
                <w:szCs w:val="22"/>
                <w:lang w:val="es-ES"/>
              </w:rPr>
              <w:t xml:space="preserve">Respuesta a la consulta # </w:t>
            </w:r>
            <w:r w:rsidRPr="00D47497">
              <w:rPr>
                <w:rFonts w:asciiTheme="minorBidi" w:eastAsia="Calibri" w:hAnsiTheme="minorBidi" w:cstheme="minorBidi"/>
                <w:color w:val="000000" w:themeColor="text1"/>
                <w:sz w:val="22"/>
                <w:szCs w:val="22"/>
                <w:lang w:val="es-ES"/>
              </w:rPr>
              <w:t>4202013000008981</w:t>
            </w:r>
            <w:r w:rsidRPr="003A36B7">
              <w:rPr>
                <w:rFonts w:asciiTheme="minorBidi" w:hAnsiTheme="minorBidi" w:cstheme="minorBidi"/>
                <w:sz w:val="22"/>
                <w:szCs w:val="22"/>
              </w:rPr>
              <w:t xml:space="preserve"> </w:t>
            </w:r>
          </w:p>
        </w:tc>
      </w:tr>
    </w:tbl>
    <w:p w14:paraId="378B0010" w14:textId="77777777" w:rsidR="000F3626" w:rsidRDefault="000F3626" w:rsidP="000F3626">
      <w:pPr>
        <w:jc w:val="both"/>
        <w:rPr>
          <w:rFonts w:ascii="Arial" w:eastAsia="Calibri" w:hAnsi="Arial" w:cs="Arial"/>
          <w:color w:val="000000" w:themeColor="text1"/>
          <w:sz w:val="22"/>
          <w:lang w:val="es-ES"/>
        </w:rPr>
      </w:pPr>
    </w:p>
    <w:p w14:paraId="6A8E3E86" w14:textId="77777777" w:rsidR="000F3626" w:rsidRDefault="000F3626" w:rsidP="000F3626">
      <w:pPr>
        <w:jc w:val="both"/>
        <w:rPr>
          <w:rFonts w:ascii="Arial" w:eastAsia="Calibri" w:hAnsi="Arial" w:cs="Arial"/>
          <w:color w:val="000000" w:themeColor="text1"/>
          <w:sz w:val="22"/>
          <w:lang w:val="es-ES"/>
        </w:rPr>
      </w:pPr>
    </w:p>
    <w:p w14:paraId="6E019D47" w14:textId="4A2606E4" w:rsidR="000F3626" w:rsidRPr="000F3626" w:rsidRDefault="000F3626" w:rsidP="000F3626">
      <w:pPr>
        <w:rPr>
          <w:rFonts w:ascii="Arial" w:hAnsi="Arial" w:cs="Arial"/>
          <w:b/>
          <w:bCs/>
          <w:sz w:val="22"/>
          <w:szCs w:val="22"/>
        </w:rPr>
      </w:pPr>
      <w:r w:rsidRPr="000F3626">
        <w:rPr>
          <w:rFonts w:ascii="Arial" w:eastAsia="Calibri" w:hAnsi="Arial" w:cs="Arial"/>
          <w:color w:val="000000" w:themeColor="text1"/>
          <w:sz w:val="22"/>
          <w:szCs w:val="22"/>
          <w:lang w:val="es-ES"/>
        </w:rPr>
        <w:t>Estimada señora</w:t>
      </w:r>
      <w:r w:rsidRPr="000F3626">
        <w:rPr>
          <w:rFonts w:ascii="Arial" w:hAnsi="Arial" w:cs="Arial"/>
          <w:sz w:val="22"/>
          <w:szCs w:val="22"/>
        </w:rPr>
        <w:t xml:space="preserve"> Coral:</w:t>
      </w:r>
    </w:p>
    <w:p w14:paraId="4EFB9DA2" w14:textId="77777777" w:rsidR="000F3626" w:rsidRPr="000F3626" w:rsidRDefault="000F3626" w:rsidP="000F3626">
      <w:pPr>
        <w:rPr>
          <w:rFonts w:ascii="Arial" w:eastAsia="Calibri" w:hAnsi="Arial" w:cs="Arial"/>
          <w:color w:val="000000" w:themeColor="text1"/>
          <w:sz w:val="22"/>
          <w:szCs w:val="22"/>
          <w:lang w:val="es-ES"/>
        </w:rPr>
      </w:pPr>
    </w:p>
    <w:p w14:paraId="25DB3EF9" w14:textId="4B887E7D" w:rsidR="000F3626" w:rsidRPr="000F3626" w:rsidRDefault="000F3626" w:rsidP="000F3626">
      <w:pPr>
        <w:spacing w:line="276" w:lineRule="auto"/>
        <w:jc w:val="both"/>
        <w:rPr>
          <w:rFonts w:ascii="Arial" w:eastAsia="Calibri" w:hAnsi="Arial" w:cs="Arial"/>
          <w:color w:val="000000" w:themeColor="text1"/>
          <w:sz w:val="22"/>
          <w:szCs w:val="22"/>
          <w:lang w:val="es-ES"/>
        </w:rPr>
      </w:pPr>
      <w:r w:rsidRPr="000F3626">
        <w:rPr>
          <w:rFonts w:ascii="Arial" w:eastAsia="Calibri" w:hAnsi="Arial" w:cs="Arial"/>
          <w:color w:val="000000" w:themeColor="text1"/>
          <w:sz w:val="22"/>
          <w:szCs w:val="22"/>
          <w:lang w:val="es-ES"/>
        </w:rPr>
        <w:t xml:space="preserve">En ejercicio de la competencia otorgada por los artículos 11, numeral 8º, y 3º, numeral 5º, del Decreto Ley 4170 de 2011, la Agencia Nacional de Contratación Pública – Colombia Compra Eficiente responde su consulta del 6 de septiembre de 2020. Esta consulta fue trasladada por la </w:t>
      </w:r>
      <w:r w:rsidRPr="000F3626">
        <w:rPr>
          <w:rFonts w:ascii="Arial" w:hAnsi="Arial" w:cs="Arial"/>
          <w:sz w:val="22"/>
          <w:szCs w:val="22"/>
        </w:rPr>
        <w:t>Empresa Metro de Bogotá S.A, mediante radicado No. EXTS20-0003936 del 6 de octubre de 2020.</w:t>
      </w:r>
    </w:p>
    <w:p w14:paraId="670B983E" w14:textId="77777777" w:rsidR="000F3626" w:rsidRDefault="000F3626" w:rsidP="000F3626">
      <w:pPr>
        <w:spacing w:line="276" w:lineRule="auto"/>
        <w:jc w:val="both"/>
        <w:rPr>
          <w:rFonts w:ascii="Arial" w:eastAsia="Calibri" w:hAnsi="Arial" w:cs="Arial"/>
          <w:color w:val="000000" w:themeColor="text1"/>
          <w:sz w:val="22"/>
          <w:lang w:val="es-ES"/>
        </w:rPr>
      </w:pPr>
    </w:p>
    <w:p w14:paraId="42DC6ECC" w14:textId="77777777" w:rsidR="000F3626" w:rsidRDefault="000F3626" w:rsidP="000F3626">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Problemas planteados </w:t>
      </w:r>
    </w:p>
    <w:p w14:paraId="1D934DA5" w14:textId="77777777" w:rsidR="000F3626" w:rsidRPr="003949FD" w:rsidRDefault="000F3626" w:rsidP="000F3626">
      <w:pPr>
        <w:tabs>
          <w:tab w:val="left" w:pos="426"/>
        </w:tabs>
        <w:spacing w:line="276" w:lineRule="auto"/>
        <w:jc w:val="both"/>
        <w:rPr>
          <w:rFonts w:ascii="Arial" w:eastAsia="Calibri" w:hAnsi="Arial" w:cs="Arial"/>
          <w:b/>
          <w:color w:val="000000" w:themeColor="text1"/>
          <w:sz w:val="22"/>
          <w:szCs w:val="22"/>
          <w:lang w:val="es-ES"/>
        </w:rPr>
      </w:pPr>
    </w:p>
    <w:p w14:paraId="37167BFF" w14:textId="2D8C91DE" w:rsidR="000F3626" w:rsidRPr="003949FD" w:rsidRDefault="004B2574" w:rsidP="003949FD">
      <w:pPr>
        <w:spacing w:line="276" w:lineRule="auto"/>
        <w:jc w:val="both"/>
        <w:rPr>
          <w:rFonts w:ascii="Arial" w:hAnsi="Arial" w:cs="Arial"/>
          <w:sz w:val="22"/>
          <w:szCs w:val="22"/>
        </w:rPr>
      </w:pPr>
      <w:r w:rsidRPr="003949FD">
        <w:rPr>
          <w:rFonts w:ascii="Arial" w:hAnsi="Arial" w:cs="Arial"/>
          <w:sz w:val="22"/>
          <w:szCs w:val="22"/>
          <w:lang w:val="es-ES"/>
        </w:rPr>
        <w:t xml:space="preserve">Usted </w:t>
      </w:r>
      <w:r w:rsidR="00CF6900">
        <w:rPr>
          <w:rFonts w:ascii="Arial" w:hAnsi="Arial" w:cs="Arial"/>
          <w:sz w:val="22"/>
          <w:szCs w:val="22"/>
          <w:lang w:val="es-ES"/>
        </w:rPr>
        <w:t>presentó una</w:t>
      </w:r>
      <w:r w:rsidR="00CF6900" w:rsidRPr="003949FD">
        <w:rPr>
          <w:rFonts w:ascii="Arial" w:hAnsi="Arial" w:cs="Arial"/>
          <w:sz w:val="22"/>
          <w:szCs w:val="22"/>
          <w:lang w:val="es-ES"/>
        </w:rPr>
        <w:t xml:space="preserve"> </w:t>
      </w:r>
      <w:r w:rsidRPr="003949FD">
        <w:rPr>
          <w:rFonts w:ascii="Arial" w:hAnsi="Arial" w:cs="Arial"/>
          <w:sz w:val="22"/>
          <w:szCs w:val="22"/>
          <w:lang w:val="es-ES"/>
        </w:rPr>
        <w:t xml:space="preserve">consulta a la </w:t>
      </w:r>
      <w:r w:rsidRPr="003949FD">
        <w:rPr>
          <w:rFonts w:ascii="Arial" w:hAnsi="Arial" w:cs="Arial"/>
          <w:sz w:val="22"/>
          <w:szCs w:val="22"/>
        </w:rPr>
        <w:t>Empresa Metro de Bogotá S.A</w:t>
      </w:r>
      <w:r w:rsidR="000F3626" w:rsidRPr="003949FD">
        <w:rPr>
          <w:rFonts w:ascii="Arial" w:hAnsi="Arial" w:cs="Arial"/>
          <w:sz w:val="22"/>
          <w:szCs w:val="22"/>
        </w:rPr>
        <w:t>,</w:t>
      </w:r>
      <w:r w:rsidRPr="003949FD">
        <w:rPr>
          <w:rFonts w:ascii="Arial" w:hAnsi="Arial" w:cs="Arial"/>
          <w:sz w:val="22"/>
          <w:szCs w:val="22"/>
        </w:rPr>
        <w:t xml:space="preserve"> en la que manifiesta y expone unas consideraciones jurídicas referentes al orden de los criterios de desempate</w:t>
      </w:r>
      <w:r w:rsidR="003949FD" w:rsidRPr="003949FD">
        <w:rPr>
          <w:rFonts w:ascii="Arial" w:hAnsi="Arial" w:cs="Arial"/>
          <w:sz w:val="22"/>
          <w:szCs w:val="22"/>
        </w:rPr>
        <w:t xml:space="preserve">, </w:t>
      </w:r>
      <w:r w:rsidR="003949FD" w:rsidRPr="003949FD">
        <w:rPr>
          <w:rFonts w:ascii="Arial" w:hAnsi="Arial" w:cs="Arial"/>
          <w:sz w:val="22"/>
          <w:szCs w:val="22"/>
        </w:rPr>
        <w:lastRenderedPageBreak/>
        <w:t>para solicitar concretamente, «el cumplimiento de los artículos 2º, 6º y 13 de la Constitución Nacional y el artículo 3° de la Ley 2040 de 2020 incluyendo en el lugar que le corresponde dentro de los factores de desempate […]»</w:t>
      </w:r>
      <w:r w:rsidRPr="003949FD">
        <w:rPr>
          <w:rFonts w:ascii="Arial" w:hAnsi="Arial" w:cs="Arial"/>
          <w:sz w:val="22"/>
          <w:szCs w:val="22"/>
        </w:rPr>
        <w:t xml:space="preserve"> </w:t>
      </w:r>
    </w:p>
    <w:p w14:paraId="749FC34B" w14:textId="77777777" w:rsidR="000F3626" w:rsidRPr="009A76BA" w:rsidRDefault="000F3626" w:rsidP="000F3626">
      <w:pPr>
        <w:jc w:val="both"/>
        <w:rPr>
          <w:rFonts w:asciiTheme="minorBidi" w:hAnsiTheme="minorBidi" w:cstheme="minorBidi"/>
        </w:rPr>
      </w:pPr>
    </w:p>
    <w:p w14:paraId="30141666" w14:textId="77777777" w:rsidR="000F3626" w:rsidRDefault="000F3626" w:rsidP="000F3626">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Consideraciones</w:t>
      </w:r>
    </w:p>
    <w:p w14:paraId="0DAC0E2A" w14:textId="77777777" w:rsidR="000F3626" w:rsidRDefault="000F3626" w:rsidP="000F3626">
      <w:pPr>
        <w:tabs>
          <w:tab w:val="left" w:pos="426"/>
        </w:tabs>
        <w:spacing w:line="276" w:lineRule="auto"/>
        <w:jc w:val="both"/>
        <w:rPr>
          <w:rFonts w:ascii="Arial" w:eastAsia="Calibri" w:hAnsi="Arial" w:cs="Arial"/>
          <w:b/>
          <w:color w:val="000000" w:themeColor="text1"/>
          <w:sz w:val="22"/>
          <w:lang w:val="es-ES"/>
        </w:rPr>
      </w:pPr>
    </w:p>
    <w:p w14:paraId="1CA82332" w14:textId="04C4B084" w:rsidR="000F3626" w:rsidRDefault="000F3626" w:rsidP="000F3626">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Para resolver los interrogantes planteados en la consulta, </w:t>
      </w:r>
      <w:r w:rsidR="00CF6900">
        <w:rPr>
          <w:rFonts w:ascii="Arial" w:eastAsia="Calibri" w:hAnsi="Arial" w:cs="Arial"/>
          <w:color w:val="000000" w:themeColor="text1"/>
          <w:sz w:val="22"/>
          <w:lang w:val="es-ES"/>
        </w:rPr>
        <w:t>se considera necesario</w:t>
      </w:r>
      <w:r>
        <w:rPr>
          <w:rFonts w:ascii="Arial" w:eastAsia="Calibri" w:hAnsi="Arial" w:cs="Arial"/>
          <w:color w:val="000000" w:themeColor="text1"/>
          <w:sz w:val="22"/>
          <w:lang w:val="es-ES"/>
        </w:rPr>
        <w:t xml:space="preserv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14:paraId="795B0901" w14:textId="77777777" w:rsidR="000F3626" w:rsidRDefault="000F3626" w:rsidP="000F3626">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14:paraId="34757562" w14:textId="0ED1B262" w:rsidR="000F3626" w:rsidRDefault="00CF6900" w:rsidP="000F3626">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De otro lado</w:t>
      </w:r>
      <w:r w:rsidR="000F3626">
        <w:rPr>
          <w:rFonts w:ascii="Arial" w:eastAsia="Calibri" w:hAnsi="Arial" w:cs="Arial"/>
          <w:color w:val="000000" w:themeColor="text1"/>
          <w:sz w:val="22"/>
          <w:lang w:val="es-ES"/>
        </w:rPr>
        <w:t xml:space="preserve">, </w:t>
      </w:r>
      <w:r w:rsidR="000F3626">
        <w:rPr>
          <w:rFonts w:ascii="Arial" w:eastAsia="Calibri" w:hAnsi="Arial" w:cs="Arial"/>
          <w:bCs/>
          <w:sz w:val="22"/>
          <w:lang w:val="es-ES"/>
        </w:rPr>
        <w:t xml:space="preserve">en el concepto con radicado No. 4201912000004631 del 31 de julio de 2019, reiterado y desarrollado en los conceptos No. </w:t>
      </w:r>
      <w:r w:rsidR="000F3626">
        <w:rPr>
          <w:rFonts w:ascii="Arial" w:eastAsia="Calibri" w:hAnsi="Arial" w:cs="Arial"/>
          <w:sz w:val="22"/>
          <w:lang w:val="es-ES"/>
        </w:rPr>
        <w:t xml:space="preserve">4201913000005084 del 23 de julio de 2019, 4201913000004446 del 13 de agosto de 2019, 4201912000005689 del 16 de septiembre de 2019, </w:t>
      </w:r>
      <w:r w:rsidR="000F3626">
        <w:rPr>
          <w:rFonts w:ascii="Arial" w:hAnsi="Arial" w:cs="Arial"/>
          <w:sz w:val="22"/>
          <w:lang w:val="es-ES"/>
        </w:rPr>
        <w:t>4201913000006373 del 18 de septiembre de 2019,</w:t>
      </w:r>
      <w:r w:rsidR="000F3626">
        <w:rPr>
          <w:rFonts w:ascii="Arial" w:eastAsia="Calibri" w:hAnsi="Arial" w:cs="Arial"/>
          <w:sz w:val="22"/>
          <w:lang w:val="es-ES"/>
        </w:rPr>
        <w:t xml:space="preserve"> </w:t>
      </w:r>
      <w:r>
        <w:rPr>
          <w:rFonts w:ascii="Arial" w:eastAsia="Calibri" w:hAnsi="Arial" w:cs="Arial"/>
          <w:sz w:val="22"/>
          <w:lang w:val="es-ES"/>
        </w:rPr>
        <w:t xml:space="preserve">4201912000006258 del 3 de octubre de 2019, </w:t>
      </w:r>
      <w:r w:rsidR="000F3626">
        <w:rPr>
          <w:rFonts w:ascii="Arial" w:eastAsia="Calibri" w:hAnsi="Arial" w:cs="Arial"/>
          <w:sz w:val="22"/>
          <w:lang w:val="es-ES"/>
        </w:rPr>
        <w:t xml:space="preserve">4201913000006154 del 10 de octubre de 2019, </w:t>
      </w:r>
      <w:r w:rsidR="000F3626">
        <w:rPr>
          <w:rFonts w:ascii="Arial" w:hAnsi="Arial" w:cs="Arial"/>
          <w:sz w:val="22"/>
          <w:lang w:val="es-ES"/>
        </w:rPr>
        <w:t>4201912000007756 del 16 de noviembre de 2019,</w:t>
      </w:r>
      <w:r w:rsidR="000F3626">
        <w:rPr>
          <w:rFonts w:ascii="Arial" w:eastAsia="Calibri" w:hAnsi="Arial" w:cs="Arial"/>
          <w:sz w:val="22"/>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14:paraId="1924FA8F" w14:textId="46CEDDE9" w:rsidR="000F3626" w:rsidRDefault="00CF6900" w:rsidP="000F3626">
      <w:pPr>
        <w:spacing w:after="120" w:line="276" w:lineRule="auto"/>
        <w:ind w:firstLine="708"/>
        <w:jc w:val="both"/>
        <w:rPr>
          <w:rFonts w:ascii="Arial" w:eastAsia="Calibri" w:hAnsi="Arial" w:cs="Arial"/>
          <w:sz w:val="22"/>
          <w:lang w:val="es-ES"/>
        </w:rPr>
      </w:pPr>
      <w:r>
        <w:rPr>
          <w:rFonts w:ascii="Arial" w:eastAsia="Calibri" w:hAnsi="Arial" w:cs="Arial"/>
          <w:color w:val="000000" w:themeColor="text1"/>
          <w:sz w:val="22"/>
          <w:lang w:val="es-ES"/>
        </w:rPr>
        <w:t>En similar sentido</w:t>
      </w:r>
      <w:r w:rsidR="000F3626">
        <w:rPr>
          <w:rFonts w:ascii="Arial" w:eastAsia="Calibri" w:hAnsi="Arial" w:cs="Arial"/>
          <w:color w:val="000000" w:themeColor="text1"/>
          <w:sz w:val="22"/>
          <w:lang w:val="es-ES"/>
        </w:rPr>
        <w:t xml:space="preserve">, esta Agencia ha estudiado los incentivos en materia de </w:t>
      </w:r>
      <w:proofErr w:type="spellStart"/>
      <w:r w:rsidR="000F3626">
        <w:rPr>
          <w:rFonts w:ascii="Arial" w:eastAsia="Calibri" w:hAnsi="Arial" w:cs="Arial"/>
          <w:color w:val="000000" w:themeColor="text1"/>
          <w:sz w:val="22"/>
          <w:lang w:val="es-ES"/>
        </w:rPr>
        <w:t>Mipymes</w:t>
      </w:r>
      <w:proofErr w:type="spellEnd"/>
      <w:r w:rsidR="000F3626">
        <w:rPr>
          <w:rFonts w:ascii="Arial" w:eastAsia="Calibri" w:hAnsi="Arial" w:cs="Arial"/>
          <w:color w:val="000000" w:themeColor="text1"/>
          <w:sz w:val="22"/>
          <w:lang w:val="es-ES"/>
        </w:rPr>
        <w:t xml:space="preserve"> en los conceptos del 5 y el 20 de agosto de 2019 –radicados Nos. 2201913000005596 y 2201913000006007–, y recientemente en los conceptos CU–021 del 21 de febrero de 2020, C–050 del 25 de febrero de 2020, C–058 del 25 de febrero de 2018, C–092 del 4 de marzo de 2020, C–083 del 11 de marzo de 2020, C–045 del 17 de marzo de 2020, C–197 del 26 de marzo de </w:t>
      </w:r>
      <w:r w:rsidR="000F3626">
        <w:rPr>
          <w:rFonts w:ascii="Arial" w:eastAsia="Calibri" w:hAnsi="Arial" w:cs="Arial"/>
          <w:sz w:val="22"/>
          <w:lang w:val="es-ES"/>
        </w:rPr>
        <w:t xml:space="preserve">2020, C–258 del 17 de abril de 2020, C–214 del 21 de abril de 2020, C–302 del 12 de junio de 2020 y C–482 del 27 de julio de 2020. </w:t>
      </w:r>
    </w:p>
    <w:p w14:paraId="3AACFE24" w14:textId="2E554558" w:rsidR="000F3626" w:rsidRDefault="000F3626" w:rsidP="000F3626">
      <w:pPr>
        <w:spacing w:line="276" w:lineRule="auto"/>
        <w:ind w:firstLine="708"/>
        <w:jc w:val="both"/>
        <w:rPr>
          <w:rFonts w:asciiTheme="minorBidi" w:eastAsia="Calibri" w:hAnsiTheme="minorBidi" w:cstheme="minorBidi"/>
          <w:color w:val="000000" w:themeColor="text1"/>
          <w:sz w:val="22"/>
          <w:szCs w:val="22"/>
          <w:lang w:val="es-ES"/>
        </w:rPr>
      </w:pPr>
      <w:r>
        <w:rPr>
          <w:rFonts w:ascii="Arial" w:eastAsia="Calibri" w:hAnsi="Arial" w:cs="Arial"/>
          <w:sz w:val="22"/>
          <w:szCs w:val="22"/>
          <w:lang w:val="es-ES"/>
        </w:rPr>
        <w:t xml:space="preserve">Por último, en los conceptos con radicados </w:t>
      </w:r>
      <w:r>
        <w:rPr>
          <w:rFonts w:ascii="Arial" w:eastAsia="Arial" w:hAnsi="Arial" w:cs="Arial"/>
          <w:sz w:val="22"/>
          <w:szCs w:val="22"/>
          <w:lang w:val="es-ES"/>
        </w:rPr>
        <w:t>C</w:t>
      </w:r>
      <w:r>
        <w:rPr>
          <w:rFonts w:ascii="Arial" w:eastAsia="Calibri" w:hAnsi="Arial" w:cs="Arial"/>
          <w:color w:val="000000" w:themeColor="text1"/>
          <w:sz w:val="22"/>
          <w:szCs w:val="22"/>
          <w:lang w:val="es-ES"/>
        </w:rPr>
        <w:t>–</w:t>
      </w:r>
      <w:r>
        <w:rPr>
          <w:rFonts w:ascii="Arial" w:eastAsia="Arial" w:hAnsi="Arial" w:cs="Arial"/>
          <w:sz w:val="22"/>
          <w:szCs w:val="22"/>
          <w:lang w:val="es-ES"/>
        </w:rPr>
        <w:t>514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516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535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537 del 26 de agosto de 2020, C</w:t>
      </w:r>
      <w:r w:rsidR="00CF6900">
        <w:rPr>
          <w:rFonts w:ascii="Arial" w:eastAsia="Arial" w:hAnsi="Arial" w:cs="Arial"/>
          <w:sz w:val="22"/>
          <w:szCs w:val="22"/>
          <w:lang w:val="es-ES"/>
        </w:rPr>
        <w:t>–</w:t>
      </w:r>
      <w:r>
        <w:rPr>
          <w:rFonts w:ascii="Arial" w:eastAsia="Arial" w:hAnsi="Arial" w:cs="Arial"/>
          <w:sz w:val="22"/>
          <w:szCs w:val="22"/>
          <w:lang w:val="es-ES"/>
        </w:rPr>
        <w:t>538 del 26 de agosto de 2020, C</w:t>
      </w:r>
      <w:r>
        <w:rPr>
          <w:rFonts w:ascii="Arial" w:eastAsia="Calibri" w:hAnsi="Arial" w:cs="Arial"/>
          <w:color w:val="000000" w:themeColor="text1"/>
          <w:sz w:val="22"/>
          <w:szCs w:val="22"/>
          <w:lang w:val="es-ES"/>
        </w:rPr>
        <w:t>–</w:t>
      </w:r>
      <w:r>
        <w:rPr>
          <w:rFonts w:ascii="Arial" w:eastAsia="Arial" w:hAnsi="Arial" w:cs="Arial"/>
          <w:sz w:val="22"/>
          <w:szCs w:val="22"/>
          <w:lang w:val="es-ES"/>
        </w:rPr>
        <w:t xml:space="preserve">568 del 26 de agosto de 2020, </w:t>
      </w:r>
      <w:r>
        <w:rPr>
          <w:rFonts w:ascii="Arial" w:eastAsia="Arial" w:hAnsi="Arial" w:cs="Arial"/>
          <w:sz w:val="22"/>
          <w:szCs w:val="22"/>
        </w:rPr>
        <w:t>C</w:t>
      </w:r>
      <w:r>
        <w:rPr>
          <w:rFonts w:ascii="Arial" w:eastAsia="Calibri" w:hAnsi="Arial" w:cs="Arial"/>
          <w:color w:val="000000" w:themeColor="text1"/>
          <w:sz w:val="22"/>
          <w:szCs w:val="22"/>
          <w:lang w:val="es-ES"/>
        </w:rPr>
        <w:t>–</w:t>
      </w:r>
      <w:r>
        <w:rPr>
          <w:rFonts w:ascii="Arial" w:eastAsia="Arial" w:hAnsi="Arial" w:cs="Arial"/>
          <w:sz w:val="22"/>
          <w:szCs w:val="22"/>
        </w:rPr>
        <w:t xml:space="preserve">572 del 27 de </w:t>
      </w:r>
      <w:r>
        <w:rPr>
          <w:rFonts w:ascii="Arial" w:eastAsia="Arial" w:hAnsi="Arial" w:cs="Arial"/>
          <w:sz w:val="22"/>
          <w:szCs w:val="22"/>
        </w:rPr>
        <w:lastRenderedPageBreak/>
        <w:t>agosto de 2020</w:t>
      </w:r>
      <w:r w:rsidR="003949FD">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sz w:val="22"/>
          <w:szCs w:val="22"/>
          <w:lang w:val="es-MX"/>
        </w:rPr>
        <w:t>C</w:t>
      </w:r>
      <w:r w:rsidR="00CF6900">
        <w:rPr>
          <w:rFonts w:ascii="Arial" w:eastAsia="Arial" w:hAnsi="Arial" w:cs="Arial"/>
          <w:sz w:val="22"/>
          <w:szCs w:val="22"/>
          <w:lang w:val="es-MX"/>
        </w:rPr>
        <w:t>–</w:t>
      </w:r>
      <w:r>
        <w:rPr>
          <w:rFonts w:ascii="Arial" w:eastAsia="Arial" w:hAnsi="Arial" w:cs="Arial"/>
          <w:sz w:val="22"/>
          <w:szCs w:val="22"/>
          <w:lang w:val="es-MX"/>
        </w:rPr>
        <w:t>582 del 28 de agosto de 2020</w:t>
      </w:r>
      <w:r w:rsidR="003949FD">
        <w:rPr>
          <w:rFonts w:ascii="Arial" w:eastAsia="Arial" w:hAnsi="Arial" w:cs="Arial"/>
          <w:sz w:val="22"/>
          <w:szCs w:val="22"/>
          <w:lang w:val="es-MX"/>
        </w:rPr>
        <w:t xml:space="preserve"> y </w:t>
      </w:r>
      <w:r w:rsidR="0044146B">
        <w:rPr>
          <w:rFonts w:ascii="Arial" w:eastAsia="Arial" w:hAnsi="Arial" w:cs="Arial"/>
          <w:sz w:val="22"/>
          <w:szCs w:val="22"/>
          <w:lang w:val="es-MX"/>
        </w:rPr>
        <w:t>C</w:t>
      </w:r>
      <w:r w:rsidR="00CF6900">
        <w:rPr>
          <w:rFonts w:ascii="Arial" w:eastAsia="Arial" w:hAnsi="Arial" w:cs="Arial"/>
          <w:sz w:val="22"/>
          <w:szCs w:val="22"/>
          <w:lang w:val="es-MX"/>
        </w:rPr>
        <w:t>–</w:t>
      </w:r>
      <w:r w:rsidR="0044146B">
        <w:rPr>
          <w:rFonts w:ascii="Arial" w:eastAsia="Arial" w:hAnsi="Arial" w:cs="Arial"/>
          <w:sz w:val="22"/>
          <w:szCs w:val="22"/>
          <w:lang w:val="es-MX"/>
        </w:rPr>
        <w:t xml:space="preserve">624 del 21 de septiembre de 2020, </w:t>
      </w:r>
      <w:r>
        <w:rPr>
          <w:rFonts w:ascii="Arial" w:eastAsia="Arial" w:hAnsi="Arial" w:cs="Arial"/>
          <w:sz w:val="22"/>
          <w:szCs w:val="22"/>
          <w:lang w:val="es-MX"/>
        </w:rPr>
        <w:t xml:space="preserve">esta agencia estudió </w:t>
      </w:r>
      <w:r>
        <w:rPr>
          <w:rFonts w:ascii="Arial" w:eastAsia="Calibri" w:hAnsi="Arial" w:cs="Arial"/>
          <w:color w:val="000000" w:themeColor="text1"/>
          <w:sz w:val="22"/>
          <w:lang w:val="es-ES"/>
        </w:rPr>
        <w:t xml:space="preserve">el artículo 3º de la Ley 2040 de 2020, que adiciona un parágrafo al artículo 12 de la Ley 1150 de 2007, establece un criterio de desempate en los procesos de </w:t>
      </w:r>
      <w:r>
        <w:rPr>
          <w:rFonts w:asciiTheme="minorBidi" w:eastAsia="Calibri" w:hAnsiTheme="minorBidi" w:cstheme="minorBidi"/>
          <w:color w:val="000000" w:themeColor="text1"/>
          <w:sz w:val="22"/>
          <w:szCs w:val="22"/>
          <w:lang w:val="es-ES"/>
        </w:rPr>
        <w:t>contratación a favor de los oferentes que tengan vinculado el mayor porcentaje de personas mayores que no sean beneficiarias de la pensión de vejez, familiar o de sobrevivencia y que hayan cumplido el requisito de edad de pensión establecido en la ley. Las tesis desarrolladas en los anteriores conceptos se reiteran a continuación:</w:t>
      </w:r>
    </w:p>
    <w:p w14:paraId="199E7BC7" w14:textId="0D83EF5D" w:rsidR="000F3626" w:rsidRDefault="000F3626" w:rsidP="000F3626">
      <w:pPr>
        <w:spacing w:line="276" w:lineRule="auto"/>
        <w:ind w:firstLine="708"/>
        <w:jc w:val="both"/>
        <w:rPr>
          <w:rFonts w:ascii="Arial" w:eastAsia="Calibri" w:hAnsi="Arial" w:cs="Arial"/>
          <w:b/>
          <w:color w:val="000000" w:themeColor="text1"/>
          <w:sz w:val="22"/>
          <w:lang w:val="es-ES"/>
        </w:rPr>
      </w:pPr>
    </w:p>
    <w:p w14:paraId="19828AA5" w14:textId="77777777" w:rsidR="00535A56" w:rsidRDefault="00535A56" w:rsidP="000F3626">
      <w:pPr>
        <w:spacing w:line="276" w:lineRule="auto"/>
        <w:ind w:firstLine="708"/>
        <w:jc w:val="both"/>
        <w:rPr>
          <w:rFonts w:ascii="Arial" w:eastAsia="Calibri" w:hAnsi="Arial" w:cs="Arial"/>
          <w:b/>
          <w:color w:val="000000" w:themeColor="text1"/>
          <w:sz w:val="22"/>
          <w:lang w:val="es-ES"/>
        </w:rPr>
      </w:pPr>
    </w:p>
    <w:p w14:paraId="6FFF4CD1" w14:textId="77777777" w:rsidR="000F3626" w:rsidRDefault="000F3626" w:rsidP="000F3626">
      <w:pPr>
        <w:tabs>
          <w:tab w:val="left" w:pos="426"/>
        </w:tabs>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2.1. Políticas horizontales e incentivos contractuales</w:t>
      </w:r>
    </w:p>
    <w:p w14:paraId="3032F1BA" w14:textId="77777777" w:rsidR="000F3626" w:rsidRDefault="000F3626" w:rsidP="000F3626">
      <w:pPr>
        <w:tabs>
          <w:tab w:val="left" w:pos="426"/>
        </w:tabs>
        <w:spacing w:line="276" w:lineRule="auto"/>
        <w:jc w:val="both"/>
        <w:rPr>
          <w:rFonts w:ascii="Arial" w:eastAsia="Calibri" w:hAnsi="Arial" w:cs="Arial"/>
          <w:b/>
          <w:color w:val="000000" w:themeColor="text1"/>
          <w:sz w:val="22"/>
          <w:lang w:val="es-ES"/>
        </w:rPr>
      </w:pPr>
    </w:p>
    <w:p w14:paraId="2D703387" w14:textId="77777777" w:rsidR="000F3626" w:rsidRDefault="000F3626" w:rsidP="000F3626">
      <w:pPr>
        <w:tabs>
          <w:tab w:val="left" w:pos="426"/>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Pr>
          <w:rStyle w:val="Refdenotaalpie"/>
          <w:rFonts w:ascii="Arial" w:eastAsia="Calibri" w:hAnsi="Arial" w:cs="Arial"/>
          <w:color w:val="000000" w:themeColor="text1"/>
          <w:sz w:val="22"/>
          <w:lang w:val="es-ES"/>
        </w:rPr>
        <w:footnoteReference w:id="1"/>
      </w:r>
      <w:r>
        <w:rPr>
          <w:rFonts w:ascii="Arial" w:eastAsia="Calibri" w:hAnsi="Arial" w:cs="Arial"/>
          <w:color w:val="000000" w:themeColor="text1"/>
          <w:sz w:val="22"/>
          <w:lang w:val="es-ES"/>
        </w:rPr>
        <w:t>.</w:t>
      </w:r>
    </w:p>
    <w:p w14:paraId="44759C68" w14:textId="77777777" w:rsidR="000F3626" w:rsidRDefault="000F3626" w:rsidP="000F3626">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Estas finalidades reciben diferentes nombres en los diversos contextos en los que se utilizan, algunos recurren al nombre de políticas secundarias, finalidades paralelas, o políticas colaterales u horizontales en materia de contratación</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14:paraId="6EFE1DDE" w14:textId="667174EA" w:rsidR="000F3626" w:rsidRDefault="000F3626" w:rsidP="000F3626">
      <w:pPr>
        <w:tabs>
          <w:tab w:val="left" w:pos="426"/>
        </w:tabs>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resulte adjudicatario, o como criterio de desempate, entre otras</w:t>
      </w:r>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 xml:space="preserve">. </w:t>
      </w:r>
    </w:p>
    <w:p w14:paraId="25CCB08E" w14:textId="299F17C4" w:rsidR="000F3626" w:rsidRDefault="000F3626" w:rsidP="000F3626">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Para </w:t>
      </w:r>
      <w:r w:rsidR="00CF6900">
        <w:rPr>
          <w:rFonts w:ascii="Arial" w:eastAsia="Calibri" w:hAnsi="Arial" w:cs="Arial"/>
          <w:color w:val="000000" w:themeColor="text1"/>
          <w:sz w:val="22"/>
          <w:lang w:val="es-ES"/>
        </w:rPr>
        <w:t xml:space="preserve">una mejor </w:t>
      </w:r>
      <w:r>
        <w:rPr>
          <w:rFonts w:ascii="Arial" w:eastAsia="Calibri" w:hAnsi="Arial" w:cs="Arial"/>
          <w:color w:val="000000" w:themeColor="text1"/>
          <w:sz w:val="22"/>
          <w:lang w:val="es-ES"/>
        </w:rPr>
        <w:t xml:space="preserve">comprensión, es necesario distinguir entre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 horizontal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incentivo contractual</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La </w:t>
      </w:r>
      <w:r w:rsidR="00E3193A">
        <w:rPr>
          <w:rFonts w:ascii="Arial" w:eastAsia="Calibri" w:hAnsi="Arial" w:cs="Arial"/>
          <w:color w:val="000000" w:themeColor="text1"/>
          <w:sz w:val="22"/>
          <w:lang w:val="es-ES"/>
        </w:rPr>
        <w:t>«</w:t>
      </w:r>
      <w:r>
        <w:rPr>
          <w:rFonts w:ascii="Arial" w:eastAsia="Calibri" w:hAnsi="Arial" w:cs="Arial"/>
          <w:color w:val="000000" w:themeColor="text1"/>
          <w:sz w:val="22"/>
          <w:lang w:val="es-ES"/>
        </w:rPr>
        <w:t>política horizontal</w:t>
      </w:r>
      <w:r w:rsidR="00E3193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como se dijo, consiste en el fin constitucional o legal legítimamente perseguido por el Estado, para cuya consecución se </w:t>
      </w:r>
      <w:r>
        <w:rPr>
          <w:rFonts w:ascii="Arial" w:eastAsia="Calibri" w:hAnsi="Arial" w:cs="Arial"/>
          <w:color w:val="000000" w:themeColor="text1"/>
          <w:sz w:val="22"/>
          <w:lang w:val="es-ES"/>
        </w:rPr>
        <w:lastRenderedPageBreak/>
        <w:t xml:space="preserve">apoya en la contratación estatal como instrumento, aun cuando no se trate del objetivo directo y principal de esta actividad administrativa. Por su parte, el </w:t>
      </w:r>
      <w:r w:rsidR="00E3193A">
        <w:rPr>
          <w:rFonts w:ascii="Arial" w:eastAsia="Calibri" w:hAnsi="Arial" w:cs="Arial"/>
          <w:color w:val="000000" w:themeColor="text1"/>
          <w:sz w:val="22"/>
          <w:lang w:val="es-ES"/>
        </w:rPr>
        <w:t>«</w:t>
      </w:r>
      <w:r>
        <w:rPr>
          <w:rFonts w:ascii="Arial" w:eastAsia="Calibri" w:hAnsi="Arial" w:cs="Arial"/>
          <w:color w:val="000000" w:themeColor="text1"/>
          <w:sz w:val="22"/>
          <w:lang w:val="es-ES"/>
        </w:rPr>
        <w:t>incentivo</w:t>
      </w:r>
      <w:r w:rsidR="00E3193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corresponde a la herramienta utilizada para garantizar aquellos fines</w:t>
      </w:r>
      <w:r>
        <w:rPr>
          <w:rStyle w:val="Refdenotaalpie"/>
          <w:rFonts w:ascii="Arial" w:eastAsia="Calibri" w:hAnsi="Arial" w:cs="Arial"/>
          <w:color w:val="000000" w:themeColor="text1"/>
          <w:sz w:val="22"/>
          <w:lang w:val="es-ES"/>
        </w:rPr>
        <w:footnoteReference w:id="4"/>
      </w:r>
      <w:r>
        <w:rPr>
          <w:rFonts w:ascii="Arial" w:eastAsia="Calibri" w:hAnsi="Arial" w:cs="Arial"/>
          <w:color w:val="000000" w:themeColor="text1"/>
          <w:sz w:val="22"/>
          <w:lang w:val="es-ES"/>
        </w:rPr>
        <w:t xml:space="preserve">, como es el caso, se reitera, de los criterios de desempate, puntaje adicional o convocatorias reservadas.  </w:t>
      </w:r>
    </w:p>
    <w:p w14:paraId="389E086F" w14:textId="575F7D1D" w:rsidR="000F3626" w:rsidRDefault="000F3626" w:rsidP="000F3626">
      <w:pPr>
        <w:tabs>
          <w:tab w:val="left" w:pos="709"/>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00E3193A">
        <w:rPr>
          <w:rFonts w:ascii="Arial" w:eastAsia="Calibri" w:hAnsi="Arial" w:cs="Arial"/>
          <w:color w:val="000000" w:themeColor="text1"/>
          <w:sz w:val="22"/>
          <w:lang w:val="es-ES"/>
        </w:rPr>
        <w:t>En relación con este aspecto</w:t>
      </w:r>
      <w:r>
        <w:rPr>
          <w:rFonts w:ascii="Arial" w:eastAsia="Calibri" w:hAnsi="Arial" w:cs="Arial"/>
          <w:color w:val="000000" w:themeColor="text1"/>
          <w:sz w:val="22"/>
          <w:lang w:val="es-ES"/>
        </w:rPr>
        <w:t xml:space="preserve">, interesa decir que la adopción de medidas tendientes a satisfacer necesidades adicionales, o políticas horizontales, no puede contrariar las disposiciones normativas que admiten su implementación. Por esa razón: </w:t>
      </w:r>
    </w:p>
    <w:p w14:paraId="21B663CA"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p>
    <w:p w14:paraId="6D1F1193"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Pr>
          <w:rStyle w:val="Refdenotaalpie"/>
          <w:rFonts w:ascii="Arial" w:eastAsia="Calibri" w:hAnsi="Arial" w:cs="Arial"/>
          <w:color w:val="000000" w:themeColor="text1"/>
          <w:sz w:val="21"/>
          <w:szCs w:val="21"/>
          <w:lang w:val="es-ES"/>
        </w:rPr>
        <w:footnoteReference w:id="5"/>
      </w:r>
      <w:r>
        <w:rPr>
          <w:rFonts w:ascii="Arial" w:eastAsia="Calibri" w:hAnsi="Arial" w:cs="Arial"/>
          <w:color w:val="000000" w:themeColor="text1"/>
          <w:sz w:val="21"/>
          <w:szCs w:val="21"/>
          <w:lang w:val="es-ES"/>
        </w:rPr>
        <w:t>.</w:t>
      </w:r>
    </w:p>
    <w:p w14:paraId="5BF22265"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p>
    <w:p w14:paraId="731E6F67" w14:textId="77777777" w:rsidR="000F3626" w:rsidRDefault="000F3626" w:rsidP="000F3626">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Pr>
          <w:rFonts w:ascii="Arial" w:eastAsia="Calibri" w:hAnsi="Arial" w:cs="Arial"/>
          <w:color w:val="000000" w:themeColor="text1"/>
          <w:sz w:val="22"/>
          <w:lang w:val="es-ES"/>
        </w:rPr>
        <w:tab/>
        <w:t xml:space="preserve"> </w:t>
      </w:r>
    </w:p>
    <w:p w14:paraId="71A4C624" w14:textId="6B2CEC28" w:rsidR="000F3626" w:rsidRDefault="000F3626" w:rsidP="000F3626">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A </w:t>
      </w:r>
      <w:proofErr w:type="gramStart"/>
      <w:r>
        <w:rPr>
          <w:rFonts w:ascii="Arial" w:eastAsia="Calibri" w:hAnsi="Arial" w:cs="Arial"/>
          <w:color w:val="000000" w:themeColor="text1"/>
          <w:sz w:val="22"/>
          <w:lang w:val="es-ES"/>
        </w:rPr>
        <w:t>continuación</w:t>
      </w:r>
      <w:proofErr w:type="gramEnd"/>
      <w:r>
        <w:rPr>
          <w:rFonts w:ascii="Arial" w:eastAsia="Calibri" w:hAnsi="Arial" w:cs="Arial"/>
          <w:color w:val="000000" w:themeColor="text1"/>
          <w:sz w:val="22"/>
          <w:lang w:val="es-ES"/>
        </w:rPr>
        <w:t xml:space="preserve"> se expondrán, brevemente, algunos casos de </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políticas horizontales</w:t>
      </w:r>
      <w:r>
        <w:rPr>
          <w:rFonts w:ascii="Verdana" w:eastAsia="Calibri" w:hAnsi="Verdana" w:cs="Arial"/>
          <w:color w:val="000000" w:themeColor="text1"/>
          <w:sz w:val="22"/>
          <w:lang w:val="es-ES"/>
        </w:rPr>
        <w:t>»</w:t>
      </w:r>
      <w:r>
        <w:rPr>
          <w:rFonts w:ascii="Arial" w:eastAsia="Calibri" w:hAnsi="Arial" w:cs="Arial"/>
          <w:color w:val="000000" w:themeColor="text1"/>
          <w:sz w:val="22"/>
          <w:lang w:val="es-ES"/>
        </w:rPr>
        <w:t xml:space="preserve">, así como los incentivos utilizados para materializarlas en el ordenamiento colombiano, que preexisten </w:t>
      </w:r>
      <w:r w:rsidR="0056722C">
        <w:rPr>
          <w:rFonts w:ascii="Arial" w:eastAsia="Calibri" w:hAnsi="Arial" w:cs="Arial"/>
          <w:color w:val="000000" w:themeColor="text1"/>
          <w:sz w:val="22"/>
          <w:lang w:val="es-ES"/>
        </w:rPr>
        <w:t xml:space="preserve">a </w:t>
      </w:r>
      <w:r>
        <w:rPr>
          <w:rFonts w:ascii="Arial" w:eastAsia="Calibri" w:hAnsi="Arial" w:cs="Arial"/>
          <w:color w:val="000000" w:themeColor="text1"/>
          <w:sz w:val="22"/>
          <w:lang w:val="es-ES"/>
        </w:rPr>
        <w:t xml:space="preserve">la expedición de la Ley 2040 de 2020. </w:t>
      </w:r>
    </w:p>
    <w:p w14:paraId="59523981" w14:textId="77777777" w:rsidR="000F3626" w:rsidRDefault="000F3626" w:rsidP="000F3626">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14:paraId="4274EF64" w14:textId="77777777" w:rsidR="000F3626" w:rsidRDefault="000F3626" w:rsidP="000F3626">
      <w:pPr>
        <w:ind w:left="709" w:right="709"/>
        <w:jc w:val="both"/>
        <w:rPr>
          <w:rFonts w:ascii="Arial" w:hAnsi="Arial" w:cs="Arial"/>
          <w:color w:val="000000" w:themeColor="text1"/>
          <w:sz w:val="21"/>
          <w:szCs w:val="21"/>
          <w:lang w:val="es-ES"/>
        </w:rPr>
      </w:pPr>
    </w:p>
    <w:p w14:paraId="1B10ADE4" w14:textId="77777777" w:rsidR="000F3626" w:rsidRDefault="000F3626" w:rsidP="000F3626">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Pr>
          <w:rFonts w:ascii="Arial" w:hAnsi="Arial" w:cs="Arial"/>
          <w:iCs/>
          <w:color w:val="000000" w:themeColor="text1"/>
          <w:sz w:val="21"/>
          <w:szCs w:val="21"/>
          <w:lang w:val="es-ES"/>
        </w:rPr>
        <w:t> </w:t>
      </w:r>
      <w:r>
        <w:rPr>
          <w:rFonts w:ascii="Arial" w:hAnsi="Arial" w:cs="Arial"/>
          <w:color w:val="000000" w:themeColor="text1"/>
          <w:sz w:val="21"/>
          <w:szCs w:val="21"/>
          <w:lang w:val="es-ES"/>
        </w:rPr>
        <w:t>no obligue a solicitar más de una propuesta, adoptarán criterios objetivos que permitan apoyar a la industria nacional</w:t>
      </w:r>
      <w:r>
        <w:rPr>
          <w:rFonts w:ascii="Arial" w:hAnsi="Arial" w:cs="Arial"/>
          <w:color w:val="000000" w:themeColor="text1"/>
          <w:sz w:val="22"/>
          <w:lang w:val="es-ES"/>
        </w:rPr>
        <w:t xml:space="preserve">. </w:t>
      </w:r>
    </w:p>
    <w:p w14:paraId="69EBC025" w14:textId="77777777" w:rsidR="000F3626" w:rsidRDefault="000F3626" w:rsidP="000F3626">
      <w:pPr>
        <w:spacing w:line="276" w:lineRule="auto"/>
        <w:ind w:right="709"/>
        <w:jc w:val="both"/>
        <w:rPr>
          <w:rFonts w:ascii="Arial" w:hAnsi="Arial" w:cs="Arial"/>
          <w:color w:val="000000" w:themeColor="text1"/>
          <w:sz w:val="22"/>
          <w:lang w:val="es-ES"/>
        </w:rPr>
      </w:pPr>
    </w:p>
    <w:p w14:paraId="14372DC0" w14:textId="5B3655F7" w:rsidR="000F3626" w:rsidRDefault="0056722C" w:rsidP="000F3626">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En desarrollo de lo anterior</w:t>
      </w:r>
      <w:r w:rsidR="000F3626">
        <w:rPr>
          <w:rFonts w:ascii="Arial" w:hAnsi="Arial" w:cs="Arial"/>
          <w:color w:val="000000" w:themeColor="text1"/>
          <w:sz w:val="22"/>
          <w:lang w:val="es-ES"/>
        </w:rPr>
        <w:t xml:space="preserve">, el artículo 2 de la misma ley, de forma expresa, determina </w:t>
      </w:r>
      <w:r>
        <w:rPr>
          <w:rFonts w:ascii="Arial" w:hAnsi="Arial" w:cs="Arial"/>
          <w:color w:val="000000" w:themeColor="text1"/>
          <w:sz w:val="22"/>
          <w:lang w:val="es-ES"/>
        </w:rPr>
        <w:t xml:space="preserve">los rangos de </w:t>
      </w:r>
      <w:r w:rsidR="000F3626">
        <w:rPr>
          <w:rFonts w:ascii="Arial" w:hAnsi="Arial" w:cs="Arial"/>
          <w:color w:val="000000" w:themeColor="text1"/>
          <w:sz w:val="22"/>
          <w:lang w:val="es-ES"/>
        </w:rPr>
        <w:t xml:space="preserve">puntaje que las entidades deben incluir dentro de los criterios de calificación de las propuestas para promover la industria colombiana: </w:t>
      </w:r>
    </w:p>
    <w:p w14:paraId="23E2DE37" w14:textId="77777777" w:rsidR="000F3626" w:rsidRDefault="000F3626" w:rsidP="000F3626">
      <w:pPr>
        <w:jc w:val="both"/>
        <w:rPr>
          <w:rFonts w:ascii="Arial" w:hAnsi="Arial" w:cs="Arial"/>
          <w:color w:val="000000" w:themeColor="text1"/>
          <w:sz w:val="22"/>
          <w:lang w:val="es-ES"/>
        </w:rPr>
      </w:pPr>
    </w:p>
    <w:p w14:paraId="5173B80D" w14:textId="77777777" w:rsidR="000F3626" w:rsidRDefault="000F3626" w:rsidP="000F3626">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Las entidades de que trata el artículo 1º asignarán, dentro de los criterios de calificación de las propuestas, un puntaje comprendido entre el diez </w:t>
      </w:r>
      <w:r>
        <w:rPr>
          <w:rFonts w:ascii="Arial" w:hAnsi="Arial" w:cs="Arial"/>
          <w:color w:val="000000" w:themeColor="text1"/>
          <w:sz w:val="22"/>
          <w:lang w:val="es-ES"/>
        </w:rPr>
        <w:t>[</w:t>
      </w:r>
      <w:r>
        <w:rPr>
          <w:rFonts w:ascii="Arial" w:hAnsi="Arial" w:cs="Arial"/>
          <w:color w:val="000000" w:themeColor="text1"/>
          <w:sz w:val="21"/>
          <w:szCs w:val="21"/>
          <w:lang w:val="es-ES"/>
        </w:rPr>
        <w:t>10</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veinte por ciento </w:t>
      </w:r>
      <w:r>
        <w:rPr>
          <w:rFonts w:ascii="Arial" w:hAnsi="Arial" w:cs="Arial"/>
          <w:color w:val="000000" w:themeColor="text1"/>
          <w:sz w:val="22"/>
          <w:lang w:val="es-ES"/>
        </w:rPr>
        <w:t>[</w:t>
      </w:r>
      <w:r>
        <w:rPr>
          <w:rFonts w:ascii="Arial" w:hAnsi="Arial" w:cs="Arial"/>
          <w:color w:val="000000" w:themeColor="text1"/>
          <w:sz w:val="21"/>
          <w:szCs w:val="21"/>
          <w:lang w:val="es-ES"/>
        </w:rPr>
        <w:t>20%</w:t>
      </w:r>
      <w:r>
        <w:rPr>
          <w:rFonts w:ascii="Arial" w:hAnsi="Arial" w:cs="Arial"/>
          <w:color w:val="000000" w:themeColor="text1"/>
          <w:sz w:val="22"/>
          <w:lang w:val="es-ES"/>
        </w:rPr>
        <w:t>]</w:t>
      </w:r>
      <w:r>
        <w:rPr>
          <w:rFonts w:ascii="Arial" w:hAnsi="Arial" w:cs="Arial"/>
          <w:color w:val="000000" w:themeColor="text1"/>
          <w:sz w:val="21"/>
          <w:szCs w:val="21"/>
          <w:lang w:val="es-ES"/>
        </w:rPr>
        <w:t>, para estimular la industria colombiana cuando los proponentes oferten bienes o servicios nacionales.</w:t>
      </w:r>
    </w:p>
    <w:p w14:paraId="5F689CEB" w14:textId="77777777" w:rsidR="000F3626" w:rsidRDefault="000F3626" w:rsidP="000F3626">
      <w:pPr>
        <w:ind w:left="709" w:right="709"/>
        <w:jc w:val="both"/>
        <w:rPr>
          <w:rFonts w:ascii="Arial" w:hAnsi="Arial" w:cs="Arial"/>
          <w:color w:val="000000" w:themeColor="text1"/>
          <w:sz w:val="21"/>
          <w:szCs w:val="21"/>
          <w:lang w:val="es-ES"/>
        </w:rPr>
      </w:pPr>
    </w:p>
    <w:p w14:paraId="4B58C72D" w14:textId="77777777" w:rsidR="000F3626" w:rsidRDefault="000F3626" w:rsidP="000F3626">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Tratándose de bienes o servicios extranjeros, la entidad contratante establecerá un puntaje comprendido entre el cinco </w:t>
      </w:r>
      <w:r>
        <w:rPr>
          <w:rFonts w:ascii="Arial" w:hAnsi="Arial" w:cs="Arial"/>
          <w:color w:val="000000" w:themeColor="text1"/>
          <w:sz w:val="22"/>
          <w:lang w:val="es-ES"/>
        </w:rPr>
        <w:t>[</w:t>
      </w:r>
      <w:r>
        <w:rPr>
          <w:rFonts w:ascii="Arial" w:hAnsi="Arial" w:cs="Arial"/>
          <w:color w:val="000000" w:themeColor="text1"/>
          <w:sz w:val="21"/>
          <w:szCs w:val="21"/>
          <w:lang w:val="es-ES"/>
        </w:rPr>
        <w:t>5</w:t>
      </w:r>
      <w:r>
        <w:rPr>
          <w:rFonts w:ascii="Arial" w:hAnsi="Arial" w:cs="Arial"/>
          <w:color w:val="000000" w:themeColor="text1"/>
          <w:sz w:val="22"/>
          <w:lang w:val="es-ES"/>
        </w:rPr>
        <w:t>]</w:t>
      </w:r>
      <w:r>
        <w:rPr>
          <w:rFonts w:ascii="Arial" w:hAnsi="Arial" w:cs="Arial"/>
          <w:color w:val="000000" w:themeColor="text1"/>
          <w:sz w:val="21"/>
          <w:szCs w:val="21"/>
          <w:lang w:val="es-ES"/>
        </w:rPr>
        <w:t xml:space="preserve"> y el quince por ciento </w:t>
      </w:r>
      <w:r>
        <w:rPr>
          <w:rFonts w:ascii="Arial" w:hAnsi="Arial" w:cs="Arial"/>
          <w:color w:val="000000" w:themeColor="text1"/>
          <w:sz w:val="22"/>
          <w:lang w:val="es-ES"/>
        </w:rPr>
        <w:t>[</w:t>
      </w:r>
      <w:r>
        <w:rPr>
          <w:rFonts w:ascii="Arial" w:hAnsi="Arial" w:cs="Arial"/>
          <w:color w:val="000000" w:themeColor="text1"/>
          <w:sz w:val="21"/>
          <w:szCs w:val="21"/>
          <w:lang w:val="es-ES"/>
        </w:rPr>
        <w:t>15%</w:t>
      </w:r>
      <w:r>
        <w:rPr>
          <w:rFonts w:ascii="Arial" w:hAnsi="Arial" w:cs="Arial"/>
          <w:color w:val="000000" w:themeColor="text1"/>
          <w:sz w:val="22"/>
          <w:lang w:val="es-ES"/>
        </w:rPr>
        <w:t>]</w:t>
      </w:r>
      <w:r>
        <w:rPr>
          <w:rFonts w:ascii="Arial" w:hAnsi="Arial" w:cs="Arial"/>
          <w:color w:val="000000" w:themeColor="text1"/>
          <w:sz w:val="21"/>
          <w:szCs w:val="21"/>
          <w:lang w:val="es-ES"/>
        </w:rPr>
        <w:t>, para incentivar la incorporación de componente colombiano de bienes y servicios profesionales, técnicos y operativos</w:t>
      </w:r>
      <w:r>
        <w:rPr>
          <w:rFonts w:ascii="Arial" w:hAnsi="Arial" w:cs="Arial"/>
          <w:color w:val="000000" w:themeColor="text1"/>
          <w:sz w:val="22"/>
          <w:lang w:val="es-ES"/>
        </w:rPr>
        <w:t>.</w:t>
      </w:r>
    </w:p>
    <w:p w14:paraId="27DDE117" w14:textId="77777777" w:rsidR="000F3626" w:rsidRDefault="000F3626" w:rsidP="000F3626">
      <w:pPr>
        <w:jc w:val="both"/>
        <w:rPr>
          <w:rFonts w:ascii="Arial" w:hAnsi="Arial" w:cs="Arial"/>
          <w:color w:val="000000" w:themeColor="text1"/>
          <w:sz w:val="22"/>
          <w:lang w:val="es-ES"/>
        </w:rPr>
      </w:pPr>
    </w:p>
    <w:p w14:paraId="0610FDBC" w14:textId="6B5ABE0E" w:rsidR="000F3626" w:rsidRDefault="0056722C" w:rsidP="000F3626">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Como se observa</w:t>
      </w:r>
      <w:r w:rsidR="000F3626">
        <w:rPr>
          <w:rFonts w:ascii="Arial" w:hAnsi="Arial" w:cs="Arial"/>
          <w:color w:val="000000" w:themeColor="text1"/>
          <w:sz w:val="22"/>
          <w:lang w:val="es-ES"/>
        </w:rPr>
        <w:t>, la norma establece dos supuestos para asignar puntaje. Por un lado, se encuentran los proponentes que oferten bienes o servicios nacionales y los proponentes que tienen trato nacional producto de los acuerdos comerciales suscritos por Colombia con otros Estados</w:t>
      </w:r>
      <w:r w:rsidR="000F3626">
        <w:rPr>
          <w:rStyle w:val="Refdenotaalpie"/>
          <w:rFonts w:ascii="Arial" w:hAnsi="Arial" w:cs="Arial"/>
          <w:color w:val="000000" w:themeColor="text1"/>
          <w:sz w:val="22"/>
          <w:lang w:val="es-ES"/>
        </w:rPr>
        <w:footnoteReference w:id="6"/>
      </w:r>
      <w:r w:rsidR="000F3626">
        <w:rPr>
          <w:rFonts w:ascii="Arial" w:hAnsi="Arial" w:cs="Arial"/>
          <w:color w:val="000000" w:themeColor="text1"/>
          <w:sz w:val="22"/>
          <w:lang w:val="es-ES"/>
        </w:rPr>
        <w:t>. Por otro lado</w:t>
      </w:r>
      <w:r>
        <w:rPr>
          <w:rFonts w:ascii="Arial" w:hAnsi="Arial" w:cs="Arial"/>
          <w:color w:val="000000" w:themeColor="text1"/>
          <w:sz w:val="22"/>
          <w:lang w:val="es-ES"/>
        </w:rPr>
        <w:t>,</w:t>
      </w:r>
      <w:r w:rsidR="000F3626">
        <w:rPr>
          <w:rFonts w:ascii="Arial" w:hAnsi="Arial" w:cs="Arial"/>
          <w:color w:val="000000" w:themeColor="text1"/>
          <w:sz w:val="22"/>
          <w:lang w:val="es-ES"/>
        </w:rPr>
        <w:t xml:space="preserve"> están los proponentes extranjeros que no tengan trato nacional y oferten incorpora</w:t>
      </w:r>
      <w:r>
        <w:rPr>
          <w:rFonts w:ascii="Arial" w:hAnsi="Arial" w:cs="Arial"/>
          <w:color w:val="000000" w:themeColor="text1"/>
          <w:sz w:val="22"/>
          <w:lang w:val="es-ES"/>
        </w:rPr>
        <w:t>r</w:t>
      </w:r>
      <w:r w:rsidR="000F3626">
        <w:rPr>
          <w:rFonts w:ascii="Arial" w:hAnsi="Arial" w:cs="Arial"/>
          <w:color w:val="000000" w:themeColor="text1"/>
          <w:sz w:val="22"/>
          <w:lang w:val="es-ES"/>
        </w:rPr>
        <w:t xml:space="preserve"> componente colombiano de bienes o servicios. </w:t>
      </w:r>
    </w:p>
    <w:p w14:paraId="54E2C89F" w14:textId="133A04D7" w:rsidR="000F3626" w:rsidRDefault="0056722C" w:rsidP="000F3626">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En armonía con lo anterior</w:t>
      </w:r>
      <w:r w:rsidR="000F3626">
        <w:rPr>
          <w:rFonts w:ascii="Arial" w:hAnsi="Arial" w:cs="Arial"/>
          <w:color w:val="000000" w:themeColor="text1"/>
          <w:sz w:val="22"/>
          <w:lang w:val="es-ES"/>
        </w:rPr>
        <w:t>,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000F3626">
        <w:rPr>
          <w:rStyle w:val="Refdenotaalpie"/>
          <w:rFonts w:ascii="Arial" w:hAnsi="Arial" w:cs="Arial"/>
          <w:color w:val="000000" w:themeColor="text1"/>
          <w:sz w:val="22"/>
          <w:lang w:val="es-ES"/>
        </w:rPr>
        <w:footnoteReference w:id="7"/>
      </w:r>
      <w:r w:rsidR="000F3626">
        <w:rPr>
          <w:rFonts w:ascii="Arial" w:hAnsi="Arial" w:cs="Arial"/>
          <w:color w:val="000000" w:themeColor="text1"/>
          <w:sz w:val="22"/>
          <w:lang w:val="es-ES"/>
        </w:rPr>
        <w:t xml:space="preserve">. </w:t>
      </w:r>
    </w:p>
    <w:p w14:paraId="1B3765DD" w14:textId="33D8795C" w:rsidR="000F3626" w:rsidRDefault="0056722C" w:rsidP="000F3626">
      <w:pPr>
        <w:spacing w:line="276" w:lineRule="auto"/>
        <w:ind w:firstLine="709"/>
        <w:jc w:val="both"/>
        <w:rPr>
          <w:rFonts w:ascii="Arial" w:hAnsi="Arial" w:cs="Arial"/>
          <w:sz w:val="22"/>
          <w:lang w:val="es-ES"/>
        </w:rPr>
      </w:pPr>
      <w:r>
        <w:rPr>
          <w:rFonts w:ascii="Arial" w:hAnsi="Arial" w:cs="Arial"/>
          <w:color w:val="000000" w:themeColor="text1"/>
          <w:sz w:val="22"/>
          <w:lang w:val="es-ES"/>
        </w:rPr>
        <w:t>En relación con otro incentivo</w:t>
      </w:r>
      <w:r w:rsidR="000F3626">
        <w:rPr>
          <w:rFonts w:ascii="Arial" w:hAnsi="Arial" w:cs="Arial"/>
          <w:color w:val="000000" w:themeColor="text1"/>
          <w:sz w:val="22"/>
          <w:lang w:val="es-ES"/>
        </w:rPr>
        <w:t xml:space="preserve">, </w:t>
      </w:r>
      <w:r w:rsidR="000F3626">
        <w:rPr>
          <w:rFonts w:ascii="Arial" w:hAnsi="Arial" w:cs="Arial"/>
          <w:sz w:val="22"/>
          <w:lang w:val="es-ES"/>
        </w:rPr>
        <w:t>la Ley 1618 de 2013 estableció disposiciones para garantizar el ejercicio de los derechos de personas en condición de discapacidad</w:t>
      </w:r>
      <w:r w:rsidR="000F3626">
        <w:rPr>
          <w:rStyle w:val="Refdenotaalpie"/>
          <w:rFonts w:ascii="Arial" w:hAnsi="Arial" w:cs="Arial"/>
          <w:sz w:val="21"/>
          <w:szCs w:val="21"/>
          <w:lang w:val="es-ES"/>
        </w:rPr>
        <w:footnoteReference w:id="8"/>
      </w:r>
      <w:r w:rsidR="000F3626">
        <w:rPr>
          <w:rFonts w:ascii="Arial" w:hAnsi="Arial" w:cs="Arial"/>
          <w:sz w:val="21"/>
          <w:szCs w:val="21"/>
          <w:lang w:val="es-ES"/>
        </w:rPr>
        <w:t>. El</w:t>
      </w:r>
      <w:r w:rsidR="000F3626">
        <w:rPr>
          <w:rFonts w:ascii="Arial" w:hAnsi="Arial" w:cs="Arial"/>
          <w:sz w:val="22"/>
          <w:lang w:val="es-ES"/>
        </w:rPr>
        <w:t xml:space="preserve"> artículo 13 </w:t>
      </w:r>
      <w:r w:rsidR="000F3626">
        <w:rPr>
          <w:rFonts w:ascii="Arial" w:hAnsi="Arial" w:cs="Arial"/>
          <w:i/>
          <w:iCs/>
          <w:sz w:val="22"/>
          <w:lang w:val="es-ES"/>
        </w:rPr>
        <w:t xml:space="preserve">ibídem </w:t>
      </w:r>
      <w:r w:rsidR="000F3626">
        <w:rPr>
          <w:rFonts w:ascii="Arial" w:hAnsi="Arial" w:cs="Arial"/>
          <w:sz w:val="22"/>
          <w:lang w:val="es-ES"/>
        </w:rPr>
        <w:t>ordenó al Gobierno Nacional expedir un reglamento que determinara la metodología mediante la cual se otorgaría el puntaje adicional a las empresas que en su planta de personal cuenten con personal en situación de discapacidad:</w:t>
      </w:r>
    </w:p>
    <w:p w14:paraId="374B8A8E" w14:textId="77777777" w:rsidR="000F3626" w:rsidRDefault="000F3626" w:rsidP="000F3626">
      <w:pPr>
        <w:jc w:val="both"/>
        <w:rPr>
          <w:rFonts w:ascii="Arial" w:hAnsi="Arial" w:cs="Arial"/>
          <w:sz w:val="22"/>
          <w:lang w:val="es-ES"/>
        </w:rPr>
      </w:pPr>
    </w:p>
    <w:p w14:paraId="680F370F" w14:textId="77777777" w:rsidR="000F3626" w:rsidRDefault="000F3626" w:rsidP="000F3626">
      <w:pPr>
        <w:ind w:left="709" w:right="709"/>
        <w:jc w:val="both"/>
        <w:rPr>
          <w:rFonts w:ascii="Arial" w:hAnsi="Arial" w:cs="Arial"/>
          <w:sz w:val="21"/>
          <w:szCs w:val="21"/>
          <w:lang w:val="es-ES"/>
        </w:rPr>
      </w:pPr>
      <w:r>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w:t>
      </w:r>
      <w:r>
        <w:rPr>
          <w:rFonts w:ascii="Arial" w:hAnsi="Arial" w:cs="Arial"/>
          <w:sz w:val="21"/>
          <w:szCs w:val="21"/>
          <w:lang w:val="es-ES"/>
        </w:rPr>
        <w:lastRenderedPageBreak/>
        <w:t xml:space="preserve">el Ministerio de Trabajo o quien haga sus veces y demás entidades competentes establecerán entre otras, las siguientes medidas: </w:t>
      </w:r>
    </w:p>
    <w:p w14:paraId="2AC0339C" w14:textId="77777777" w:rsidR="000F3626" w:rsidRDefault="000F3626" w:rsidP="000F3626">
      <w:pPr>
        <w:ind w:left="709" w:right="709"/>
        <w:jc w:val="both"/>
        <w:rPr>
          <w:rFonts w:ascii="Arial" w:hAnsi="Arial" w:cs="Arial"/>
          <w:sz w:val="21"/>
          <w:szCs w:val="21"/>
          <w:lang w:val="es-ES"/>
        </w:rPr>
      </w:pPr>
    </w:p>
    <w:p w14:paraId="2A88B680" w14:textId="77777777" w:rsidR="000F3626" w:rsidRDefault="000F3626" w:rsidP="000F3626">
      <w:pPr>
        <w:ind w:left="709" w:right="709"/>
        <w:jc w:val="both"/>
        <w:rPr>
          <w:rFonts w:ascii="Arial" w:hAnsi="Arial" w:cs="Arial"/>
          <w:sz w:val="21"/>
          <w:szCs w:val="21"/>
          <w:lang w:val="es-ES"/>
        </w:rPr>
      </w:pPr>
      <w:r>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59CE0345" w14:textId="77777777" w:rsidR="000F3626" w:rsidRDefault="000F3626" w:rsidP="000F3626">
      <w:pPr>
        <w:ind w:left="709" w:right="709"/>
        <w:jc w:val="both"/>
        <w:rPr>
          <w:rFonts w:ascii="Arial" w:hAnsi="Arial" w:cs="Arial"/>
          <w:sz w:val="21"/>
          <w:szCs w:val="21"/>
          <w:lang w:val="es-ES"/>
        </w:rPr>
      </w:pPr>
      <w:r>
        <w:rPr>
          <w:rFonts w:ascii="Arial" w:hAnsi="Arial" w:cs="Arial"/>
          <w:sz w:val="21"/>
          <w:szCs w:val="21"/>
          <w:lang w:val="es-ES"/>
        </w:rPr>
        <w:t>[…]</w:t>
      </w:r>
    </w:p>
    <w:p w14:paraId="4F6065CD" w14:textId="77777777" w:rsidR="000F3626" w:rsidRDefault="000F3626" w:rsidP="000F3626">
      <w:pPr>
        <w:ind w:left="709" w:right="709"/>
        <w:jc w:val="both"/>
        <w:rPr>
          <w:rFonts w:ascii="Arial" w:hAnsi="Arial" w:cs="Arial"/>
          <w:sz w:val="21"/>
          <w:szCs w:val="21"/>
          <w:lang w:val="es-ES"/>
        </w:rPr>
      </w:pPr>
    </w:p>
    <w:p w14:paraId="402E4D5A" w14:textId="77777777" w:rsidR="000F3626" w:rsidRDefault="000F3626" w:rsidP="000F3626">
      <w:pPr>
        <w:ind w:left="708" w:right="709"/>
        <w:jc w:val="both"/>
        <w:rPr>
          <w:rFonts w:ascii="Arial" w:hAnsi="Arial" w:cs="Arial"/>
          <w:sz w:val="21"/>
          <w:szCs w:val="21"/>
          <w:lang w:val="es-ES"/>
        </w:rPr>
      </w:pPr>
      <w:r>
        <w:rPr>
          <w:rFonts w:ascii="Arial" w:hAnsi="Arial" w:cs="Arial"/>
          <w:sz w:val="21"/>
          <w:szCs w:val="21"/>
          <w:lang w:val="es-ES"/>
        </w:rPr>
        <w:t xml:space="preserve">8. Los </w:t>
      </w:r>
      <w:proofErr w:type="gramStart"/>
      <w:r>
        <w:rPr>
          <w:rFonts w:ascii="Arial" w:hAnsi="Arial" w:cs="Arial"/>
          <w:sz w:val="21"/>
          <w:szCs w:val="21"/>
          <w:lang w:val="es-ES"/>
        </w:rPr>
        <w:t>gobiernos nacional</w:t>
      </w:r>
      <w:proofErr w:type="gramEnd"/>
      <w:r>
        <w:rPr>
          <w:rFonts w:ascii="Arial"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14:paraId="4B5A5468" w14:textId="77777777" w:rsidR="000F3626" w:rsidRDefault="000F3626" w:rsidP="000F3626">
      <w:pPr>
        <w:ind w:left="708" w:right="709"/>
        <w:jc w:val="both"/>
        <w:rPr>
          <w:rFonts w:ascii="Arial" w:hAnsi="Arial" w:cs="Arial"/>
          <w:sz w:val="21"/>
          <w:szCs w:val="21"/>
          <w:lang w:val="es-ES"/>
        </w:rPr>
      </w:pPr>
    </w:p>
    <w:p w14:paraId="6364E409" w14:textId="77777777" w:rsidR="000F3626" w:rsidRDefault="000F3626" w:rsidP="000F3626">
      <w:pPr>
        <w:spacing w:after="120" w:line="276" w:lineRule="auto"/>
        <w:ind w:firstLine="708"/>
        <w:jc w:val="both"/>
        <w:rPr>
          <w:rFonts w:ascii="Arial" w:hAnsi="Arial" w:cs="Arial"/>
          <w:sz w:val="22"/>
          <w:lang w:val="es-ES"/>
        </w:rPr>
      </w:pPr>
      <w:r>
        <w:rPr>
          <w:rFonts w:ascii="Arial" w:hAnsi="Arial" w:cs="Arial"/>
          <w:sz w:val="22"/>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14:paraId="308D0756" w14:textId="12B47C51" w:rsidR="000F3626" w:rsidRDefault="000F3626" w:rsidP="004A1778">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Finalmente, </w:t>
      </w:r>
      <w:r w:rsidR="0056722C">
        <w:rPr>
          <w:rFonts w:ascii="Arial" w:hAnsi="Arial" w:cs="Arial"/>
          <w:color w:val="000000" w:themeColor="text1"/>
          <w:sz w:val="22"/>
          <w:lang w:val="es-ES"/>
        </w:rPr>
        <w:t xml:space="preserve">frente a otro incentivo, </w:t>
      </w:r>
      <w:r>
        <w:rPr>
          <w:rFonts w:ascii="Arial" w:hAnsi="Arial" w:cs="Arial"/>
          <w:color w:val="000000" w:themeColor="text1"/>
          <w:sz w:val="22"/>
          <w:lang w:val="es-ES"/>
        </w:rPr>
        <w:t>el art</w:t>
      </w:r>
      <w:r w:rsidR="007C370C">
        <w:rPr>
          <w:rFonts w:ascii="Arial" w:hAnsi="Arial" w:cs="Arial"/>
          <w:color w:val="000000" w:themeColor="text1"/>
          <w:sz w:val="22"/>
          <w:lang w:val="es-ES"/>
        </w:rPr>
        <w:t>í</w:t>
      </w:r>
      <w:r>
        <w:rPr>
          <w:rFonts w:ascii="Arial" w:hAnsi="Arial" w:cs="Arial"/>
          <w:color w:val="000000" w:themeColor="text1"/>
          <w:sz w:val="22"/>
          <w:lang w:val="es-ES"/>
        </w:rPr>
        <w:t xml:space="preserve">culo 12 la Ley 1150 de 2007, modificado por el artículo 32 de la Ley 1450 de 2011, estableció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contratación pública, en los siguientes términos:</w:t>
      </w:r>
    </w:p>
    <w:p w14:paraId="2D5F2E75" w14:textId="77777777" w:rsidR="000F3626" w:rsidRDefault="000F3626" w:rsidP="000F3626">
      <w:pPr>
        <w:jc w:val="both"/>
        <w:rPr>
          <w:rFonts w:ascii="Arial" w:hAnsi="Arial" w:cs="Arial"/>
          <w:color w:val="000000" w:themeColor="text1"/>
          <w:sz w:val="22"/>
          <w:lang w:val="es-ES"/>
        </w:rPr>
      </w:pPr>
    </w:p>
    <w:p w14:paraId="37860B88" w14:textId="77777777" w:rsidR="000F3626" w:rsidRDefault="000F3626" w:rsidP="000F3626">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Pr>
          <w:rFonts w:ascii="Arial" w:hAnsi="Arial" w:cs="Arial"/>
          <w:i/>
          <w:iCs/>
          <w:color w:val="000000" w:themeColor="text1"/>
          <w:sz w:val="21"/>
          <w:szCs w:val="21"/>
          <w:lang w:val="es-ES"/>
        </w:rPr>
        <w:t xml:space="preserve">las entidades estatales adopten en beneficio de las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Pr>
          <w:rFonts w:ascii="Arial" w:hAnsi="Arial" w:cs="Arial"/>
          <w:i/>
          <w:iCs/>
          <w:color w:val="000000" w:themeColor="text1"/>
          <w:sz w:val="21"/>
          <w:szCs w:val="21"/>
          <w:lang w:val="es-ES"/>
        </w:rPr>
        <w:t>Mipymes</w:t>
      </w:r>
      <w:proofErr w:type="spellEnd"/>
      <w:r>
        <w:rPr>
          <w:rFonts w:ascii="Arial" w:hAnsi="Arial" w:cs="Arial"/>
          <w:i/>
          <w:iCs/>
          <w:color w:val="000000" w:themeColor="text1"/>
          <w:sz w:val="21"/>
          <w:szCs w:val="21"/>
          <w:lang w:val="es-ES"/>
        </w:rPr>
        <w:t xml:space="preserve"> que haya sido determinado en el reglamento </w:t>
      </w:r>
      <w:r>
        <w:rPr>
          <w:rFonts w:ascii="Arial" w:hAnsi="Arial" w:cs="Arial"/>
          <w:color w:val="000000" w:themeColor="text1"/>
          <w:sz w:val="21"/>
          <w:szCs w:val="21"/>
          <w:lang w:val="es-ES"/>
        </w:rPr>
        <w:t>[…] (Cursivas fuera de texto).</w:t>
      </w:r>
    </w:p>
    <w:p w14:paraId="2C752FC2" w14:textId="77777777" w:rsidR="000F3626" w:rsidRDefault="000F3626" w:rsidP="000F3626">
      <w:pPr>
        <w:ind w:left="709" w:right="709"/>
        <w:jc w:val="both"/>
        <w:rPr>
          <w:rFonts w:ascii="Arial" w:hAnsi="Arial" w:cs="Arial"/>
          <w:color w:val="000000" w:themeColor="text1"/>
          <w:sz w:val="22"/>
          <w:lang w:val="es-ES"/>
        </w:rPr>
      </w:pPr>
    </w:p>
    <w:p w14:paraId="26B5E6AB" w14:textId="3111E440" w:rsidR="000F3626" w:rsidRDefault="000F3626" w:rsidP="000F3626">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El Decreto 1082 de 2015 reglamentó la norma transcrita, adoptando medidas para incentivar a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la contratación pública. Dentro de estas medidas se destacan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y la «limitación territorial»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contenidas, respectivamente, en los artículos 2.2.1.2.4.2.2. y 2.2.1.2.4.2.3. Este último </w:t>
      </w:r>
      <w:r w:rsidR="0056722C">
        <w:rPr>
          <w:rFonts w:ascii="Arial" w:hAnsi="Arial" w:cs="Arial"/>
          <w:color w:val="000000" w:themeColor="text1"/>
          <w:sz w:val="22"/>
          <w:lang w:val="es-ES"/>
        </w:rPr>
        <w:t xml:space="preserve">establece </w:t>
      </w:r>
      <w:r>
        <w:rPr>
          <w:rFonts w:ascii="Arial" w:hAnsi="Arial" w:cs="Arial"/>
          <w:color w:val="000000" w:themeColor="text1"/>
          <w:sz w:val="22"/>
          <w:lang w:val="es-ES"/>
        </w:rPr>
        <w:t>lo siguiente:</w:t>
      </w:r>
    </w:p>
    <w:p w14:paraId="2B5EE2A6" w14:textId="77777777" w:rsidR="000F3626" w:rsidRDefault="000F3626" w:rsidP="000F3626">
      <w:pPr>
        <w:ind w:firstLine="709"/>
        <w:jc w:val="both"/>
        <w:rPr>
          <w:rFonts w:ascii="Arial" w:hAnsi="Arial" w:cs="Arial"/>
          <w:color w:val="000000" w:themeColor="text1"/>
          <w:sz w:val="22"/>
          <w:lang w:val="es-ES"/>
        </w:rPr>
      </w:pPr>
    </w:p>
    <w:p w14:paraId="7229BA71" w14:textId="77777777" w:rsidR="000F3626" w:rsidRDefault="000F3626" w:rsidP="000F3626">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lastRenderedPageBreak/>
        <w:t xml:space="preserve">Las Entidades Estatales pueden realizar convocatorias limitadas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45E26D79" w14:textId="77777777" w:rsidR="000F3626" w:rsidRDefault="000F3626" w:rsidP="000F3626">
      <w:pPr>
        <w:ind w:left="709" w:right="760"/>
        <w:jc w:val="both"/>
        <w:rPr>
          <w:rFonts w:ascii="Arial" w:hAnsi="Arial" w:cs="Arial"/>
          <w:color w:val="000000" w:themeColor="text1"/>
          <w:sz w:val="21"/>
          <w:szCs w:val="21"/>
          <w:lang w:val="es-ES"/>
        </w:rPr>
      </w:pPr>
    </w:p>
    <w:p w14:paraId="1A8E8E81" w14:textId="77777777" w:rsidR="000F3626" w:rsidRDefault="000F3626" w:rsidP="000F3626">
      <w:pPr>
        <w:ind w:right="760"/>
        <w:jc w:val="both"/>
        <w:rPr>
          <w:rFonts w:ascii="Arial" w:hAnsi="Arial" w:cs="Arial"/>
          <w:color w:val="000000" w:themeColor="text1"/>
          <w:sz w:val="22"/>
          <w:lang w:val="es-ES"/>
        </w:rPr>
      </w:pPr>
      <w:r>
        <w:rPr>
          <w:rFonts w:ascii="Arial" w:hAnsi="Arial" w:cs="Arial"/>
          <w:color w:val="000000" w:themeColor="text1"/>
          <w:sz w:val="22"/>
          <w:lang w:val="es-ES"/>
        </w:rPr>
        <w:t>El artículo 2.2.1.2.4.2.2., por su parte, dispone que:</w:t>
      </w:r>
    </w:p>
    <w:p w14:paraId="69FDB2A4" w14:textId="77777777" w:rsidR="000F3626" w:rsidRDefault="000F3626" w:rsidP="000F3626">
      <w:pPr>
        <w:ind w:left="709" w:right="760"/>
        <w:jc w:val="both"/>
        <w:rPr>
          <w:rFonts w:ascii="Arial" w:hAnsi="Arial" w:cs="Arial"/>
          <w:color w:val="000000" w:themeColor="text1"/>
          <w:sz w:val="21"/>
          <w:szCs w:val="21"/>
          <w:lang w:val="es-ES"/>
        </w:rPr>
      </w:pPr>
    </w:p>
    <w:p w14:paraId="44BB3E3B" w14:textId="77777777" w:rsidR="000F3626" w:rsidRDefault="000F3626" w:rsidP="000F3626">
      <w:pPr>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La Entidad Estatal debe limitar a las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5E4F328D" w14:textId="77777777" w:rsidR="000F3626" w:rsidRDefault="000F3626" w:rsidP="000F3626">
      <w:pPr>
        <w:ind w:left="709" w:right="760"/>
        <w:jc w:val="both"/>
        <w:rPr>
          <w:rFonts w:ascii="Arial" w:hAnsi="Arial" w:cs="Arial"/>
          <w:color w:val="000000" w:themeColor="text1"/>
          <w:sz w:val="21"/>
          <w:szCs w:val="21"/>
          <w:lang w:val="es-ES"/>
        </w:rPr>
      </w:pPr>
    </w:p>
    <w:p w14:paraId="1F533240" w14:textId="77777777" w:rsidR="000F3626" w:rsidRDefault="000F3626" w:rsidP="000F3626">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55BB91B9" w14:textId="77777777" w:rsidR="000F3626" w:rsidRDefault="000F3626" w:rsidP="000F3626">
      <w:pPr>
        <w:pStyle w:val="Prrafodelista"/>
        <w:ind w:left="709" w:right="760"/>
        <w:jc w:val="both"/>
        <w:rPr>
          <w:rFonts w:ascii="Arial" w:hAnsi="Arial" w:cs="Arial"/>
          <w:color w:val="000000" w:themeColor="text1"/>
          <w:sz w:val="21"/>
          <w:szCs w:val="21"/>
          <w:lang w:val="es-ES"/>
        </w:rPr>
      </w:pPr>
    </w:p>
    <w:p w14:paraId="17D24332" w14:textId="77777777" w:rsidR="000F3626" w:rsidRDefault="000F3626" w:rsidP="000F3626">
      <w:pPr>
        <w:pStyle w:val="Prrafodelista"/>
        <w:ind w:left="709" w:right="760"/>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2. La Entidad Estatal ha recibido solicitudes de por lo menos tres (3)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para limitar la convocatoria a </w:t>
      </w:r>
      <w:proofErr w:type="spellStart"/>
      <w:r>
        <w:rPr>
          <w:rFonts w:ascii="Arial" w:hAnsi="Arial" w:cs="Arial"/>
          <w:color w:val="000000" w:themeColor="text1"/>
          <w:sz w:val="21"/>
          <w:szCs w:val="21"/>
          <w:lang w:val="es-ES"/>
        </w:rPr>
        <w:t>Mipyme</w:t>
      </w:r>
      <w:proofErr w:type="spellEnd"/>
      <w:r>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78689899" w14:textId="77777777" w:rsidR="000F3626" w:rsidRDefault="000F3626" w:rsidP="000F3626">
      <w:pPr>
        <w:jc w:val="both"/>
        <w:rPr>
          <w:rFonts w:ascii="Arial" w:hAnsi="Arial" w:cs="Arial"/>
          <w:color w:val="000000" w:themeColor="text1"/>
          <w:sz w:val="20"/>
          <w:szCs w:val="20"/>
          <w:lang w:val="es-ES"/>
        </w:rPr>
      </w:pPr>
    </w:p>
    <w:p w14:paraId="5FB311B4" w14:textId="34C62031" w:rsidR="000F3626" w:rsidRDefault="000F3626" w:rsidP="000F3626">
      <w:pPr>
        <w:spacing w:after="120"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Puede decirse, entonces, que el Decreto 1082 de 2015 regula la limitación de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en dos normas distintas, las cuales, sin embargo, deben leerse conjunta y armónicamente. Por un lado, una disposición prevé los requisitos generales para que la entidad limite sus convocatorias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y por el otro</w:t>
      </w:r>
      <w:r w:rsidR="007C370C">
        <w:rPr>
          <w:rFonts w:ascii="Arial" w:hAnsi="Arial" w:cs="Arial"/>
          <w:color w:val="000000" w:themeColor="text1"/>
          <w:sz w:val="22"/>
          <w:lang w:val="es-ES"/>
        </w:rPr>
        <w:t>,</w:t>
      </w:r>
      <w:r>
        <w:rPr>
          <w:rFonts w:ascii="Arial" w:hAnsi="Arial" w:cs="Arial"/>
          <w:color w:val="000000" w:themeColor="text1"/>
          <w:sz w:val="22"/>
          <w:lang w:val="es-ES"/>
        </w:rPr>
        <w:t xml:space="preserve"> se establece la posibilidad de regular la convocatoria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domiciliadas en los departamentos o municipios donde se ejecutará el contrato. </w:t>
      </w:r>
    </w:p>
    <w:p w14:paraId="73BB046C" w14:textId="1C666396" w:rsidR="000F3626" w:rsidRDefault="000F3626" w:rsidP="000F3626">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señalados, a modo enunciativo, las políticas se han materializado otorgando puntos adicionales o mediante la modalidad de contratación reservada o limitada –para el caso de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No obstante, los incentivos contractuales </w:t>
      </w:r>
      <w:r w:rsidR="0056722C">
        <w:rPr>
          <w:rFonts w:ascii="Arial" w:hAnsi="Arial" w:cs="Arial"/>
          <w:color w:val="000000" w:themeColor="text1"/>
          <w:sz w:val="22"/>
          <w:lang w:val="es-ES"/>
        </w:rPr>
        <w:t>expuestos a modo de ejemplo no se agotan allí, pues en adición a ellos,</w:t>
      </w:r>
      <w:r>
        <w:rPr>
          <w:rFonts w:ascii="Arial" w:eastAsia="Calibri" w:hAnsi="Arial" w:cs="Arial"/>
          <w:color w:val="000000" w:themeColor="text1"/>
          <w:sz w:val="22"/>
          <w:lang w:val="es-ES"/>
        </w:rPr>
        <w:t xml:space="preserve"> el ordenamiento prevé un</w:t>
      </w:r>
      <w:r w:rsidR="0056722C">
        <w:rPr>
          <w:rFonts w:ascii="Arial" w:eastAsia="Calibri" w:hAnsi="Arial" w:cs="Arial"/>
          <w:color w:val="000000" w:themeColor="text1"/>
          <w:sz w:val="22"/>
          <w:lang w:val="es-ES"/>
        </w:rPr>
        <w:t>a modalidad de incentivo</w:t>
      </w:r>
      <w:r>
        <w:rPr>
          <w:rFonts w:ascii="Arial" w:eastAsia="Calibri" w:hAnsi="Arial" w:cs="Arial"/>
          <w:color w:val="000000" w:themeColor="text1"/>
          <w:sz w:val="22"/>
          <w:lang w:val="es-ES"/>
        </w:rPr>
        <w:t xml:space="preserve"> </w:t>
      </w:r>
      <w:r w:rsidR="0056722C">
        <w:rPr>
          <w:rFonts w:ascii="Arial" w:eastAsia="Calibri" w:hAnsi="Arial" w:cs="Arial"/>
          <w:color w:val="000000" w:themeColor="text1"/>
          <w:sz w:val="22"/>
          <w:lang w:val="es-ES"/>
        </w:rPr>
        <w:t>distinto</w:t>
      </w:r>
      <w:r>
        <w:rPr>
          <w:rFonts w:ascii="Arial" w:eastAsia="Calibri" w:hAnsi="Arial" w:cs="Arial"/>
          <w:color w:val="000000" w:themeColor="text1"/>
          <w:sz w:val="22"/>
          <w:lang w:val="es-ES"/>
        </w:rPr>
        <w:t xml:space="preserve">: los criterios de desempate. En este sentido, el artículo 2.2.1.1.2.2.9. del Decreto 1082 de 2015 dispone: </w:t>
      </w:r>
    </w:p>
    <w:p w14:paraId="68A5A1DC" w14:textId="77777777" w:rsidR="000F3626" w:rsidRDefault="000F3626" w:rsidP="000F3626">
      <w:pPr>
        <w:spacing w:line="276" w:lineRule="auto"/>
        <w:ind w:firstLine="709"/>
        <w:jc w:val="both"/>
        <w:rPr>
          <w:rFonts w:ascii="Arial" w:eastAsiaTheme="minorHAnsi" w:hAnsi="Arial" w:cs="Arial"/>
          <w:color w:val="000000" w:themeColor="text1"/>
          <w:sz w:val="22"/>
          <w:lang w:val="es-ES"/>
        </w:rPr>
      </w:pPr>
    </w:p>
    <w:p w14:paraId="353F743A" w14:textId="77777777" w:rsidR="000F3626" w:rsidRDefault="000F3626" w:rsidP="000F3626">
      <w:pPr>
        <w:tabs>
          <w:tab w:val="left" w:pos="1276"/>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E5A9FD9"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55B32C4F"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55B7C2CA"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05B8B566"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lastRenderedPageBreak/>
        <w:t>1.    Preferir la oferta de bienes o servicios nacionales frente a la oferta de bienes o servicios extranjeros.</w:t>
      </w:r>
    </w:p>
    <w:p w14:paraId="1A13C0C1"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02D67685"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2.    Preferir las ofertas presentada por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w:t>
      </w:r>
    </w:p>
    <w:p w14:paraId="788D8DF3"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698BA7FA"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3.    Preferir la oferta presentada por un consorcio, unión temporal o promesa de sociedad futura siempre que: (a) esté conformado por al menos una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nacional que tenga una participación de por lo menos el veinticinco por ciento (25%); (b)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xml:space="preserve"> aporte mínimo el veinticinco por ciento (25%) de la experiencia acreditada en la oferta; y (c) ni la </w:t>
      </w:r>
      <w:proofErr w:type="spellStart"/>
      <w:r>
        <w:rPr>
          <w:rFonts w:ascii="Arial" w:eastAsia="Calibri" w:hAnsi="Arial" w:cs="Arial"/>
          <w:color w:val="000000" w:themeColor="text1"/>
          <w:sz w:val="21"/>
          <w:szCs w:val="21"/>
          <w:lang w:val="es-ES"/>
        </w:rPr>
        <w:t>Mipyme</w:t>
      </w:r>
      <w:proofErr w:type="spellEnd"/>
      <w:r>
        <w:rPr>
          <w:rFonts w:ascii="Arial" w:eastAsia="Calibri" w:hAnsi="Arial" w:cs="Arial"/>
          <w:color w:val="000000" w:themeColor="text1"/>
          <w:sz w:val="21"/>
          <w:szCs w:val="21"/>
          <w:lang w:val="es-ES"/>
        </w:rPr>
        <w:t>, ni sus accionistas, socios o representantes legales sean empleados, socios o accionistas de los miembros del consorcio, unión temporal o promesa de sociedad futura.</w:t>
      </w:r>
    </w:p>
    <w:p w14:paraId="2DB8069A"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07E20130"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4.    Preferir la propuesta presentada por el oferente que acredite en las condiciones establecidas en la ley que por lo menos el diez por ciento (10%) de su nómina está en condición de discapacidad a la que se refiere la </w:t>
      </w:r>
      <w:r>
        <w:rPr>
          <w:rFonts w:ascii="Arial" w:eastAsia="Calibri" w:hAnsi="Arial" w:cs="Arial"/>
          <w:sz w:val="21"/>
          <w:szCs w:val="21"/>
          <w:lang w:val="es-ES"/>
        </w:rPr>
        <w:t>Ley 361 de 1997</w:t>
      </w:r>
      <w:r>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4544D9B"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p>
    <w:p w14:paraId="3131EB82" w14:textId="77777777" w:rsidR="000F3626" w:rsidRDefault="000F3626" w:rsidP="000F3626">
      <w:pPr>
        <w:tabs>
          <w:tab w:val="left" w:pos="709"/>
        </w:tabs>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6324968B" w14:textId="40B38D75" w:rsidR="000F3626" w:rsidRDefault="000F3626" w:rsidP="0056722C">
      <w:pPr>
        <w:spacing w:line="276" w:lineRule="auto"/>
        <w:jc w:val="both"/>
        <w:rPr>
          <w:rFonts w:ascii="Arial" w:hAnsi="Arial" w:cs="Arial"/>
          <w:color w:val="000000" w:themeColor="text1"/>
          <w:sz w:val="22"/>
          <w:lang w:val="es-ES"/>
        </w:rPr>
      </w:pPr>
    </w:p>
    <w:p w14:paraId="434696EC" w14:textId="77E36527" w:rsidR="0056722C" w:rsidRDefault="0056722C" w:rsidP="0056722C">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Como se observa, la norma anterior unifica en un artículo los criterios de desempate que aplican en los procesos contractuales. Expuestos los incentivos anteriores, como contexto necesario para responder la pregunta de la peticionaria, se analizará el artículo 3 de la Ley 2040 de 2020.</w:t>
      </w:r>
    </w:p>
    <w:p w14:paraId="7D62156A" w14:textId="77777777" w:rsidR="0056722C" w:rsidRDefault="0056722C" w:rsidP="004A1778">
      <w:pPr>
        <w:spacing w:line="276" w:lineRule="auto"/>
        <w:jc w:val="both"/>
        <w:rPr>
          <w:rFonts w:ascii="Arial" w:hAnsi="Arial" w:cs="Arial"/>
          <w:color w:val="000000" w:themeColor="text1"/>
          <w:sz w:val="22"/>
          <w:lang w:val="es-ES"/>
        </w:rPr>
      </w:pPr>
    </w:p>
    <w:p w14:paraId="0DB034CE" w14:textId="77777777" w:rsidR="000F3626" w:rsidRDefault="000F3626" w:rsidP="000F3626">
      <w:pPr>
        <w:spacing w:line="276" w:lineRule="auto"/>
        <w:jc w:val="both"/>
        <w:rPr>
          <w:rFonts w:ascii="Arial" w:hAnsi="Arial" w:cs="Arial"/>
          <w:b/>
          <w:color w:val="000000" w:themeColor="text1"/>
          <w:sz w:val="22"/>
          <w:lang w:val="es-ES"/>
        </w:rPr>
      </w:pPr>
      <w:r>
        <w:rPr>
          <w:rFonts w:ascii="Arial" w:hAnsi="Arial" w:cs="Arial"/>
          <w:b/>
          <w:color w:val="000000" w:themeColor="text1"/>
          <w:sz w:val="22"/>
          <w:lang w:val="es-ES"/>
        </w:rPr>
        <w:t>2.2. Criterio de desempate creado por el artículo 3º de la Ley 2040 de 2020: incentivo contractual y política horizontal</w:t>
      </w:r>
    </w:p>
    <w:p w14:paraId="3BE6824D" w14:textId="77777777" w:rsidR="000F3626" w:rsidRDefault="000F3626" w:rsidP="000F3626">
      <w:pPr>
        <w:spacing w:line="276" w:lineRule="auto"/>
        <w:jc w:val="both"/>
        <w:rPr>
          <w:rFonts w:ascii="Arial" w:hAnsi="Arial" w:cs="Arial"/>
          <w:color w:val="000000" w:themeColor="text1"/>
          <w:sz w:val="22"/>
          <w:lang w:val="es-ES"/>
        </w:rPr>
      </w:pPr>
    </w:p>
    <w:p w14:paraId="1521980C" w14:textId="77777777" w:rsidR="000F3626" w:rsidRDefault="000F3626" w:rsidP="000F3626">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44D2B031" w14:textId="1F073BF9" w:rsidR="000F3626" w:rsidRDefault="000F3626" w:rsidP="000F3626">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para el emprendimiento del adulto mayor» para que los adultos mayores puedan poner en marcha </w:t>
      </w:r>
      <w:r>
        <w:rPr>
          <w:rFonts w:ascii="Arial" w:hAnsi="Arial" w:cs="Arial"/>
          <w:color w:val="000000" w:themeColor="text1"/>
          <w:sz w:val="22"/>
          <w:lang w:val="es-ES"/>
        </w:rPr>
        <w:lastRenderedPageBreak/>
        <w:t xml:space="preserve">su propia empresa –artículo 10–. Todos estos son mecanismos </w:t>
      </w:r>
      <w:r w:rsidR="00A04487">
        <w:rPr>
          <w:rFonts w:ascii="Arial" w:hAnsi="Arial" w:cs="Arial"/>
          <w:color w:val="000000" w:themeColor="text1"/>
          <w:sz w:val="22"/>
          <w:lang w:val="es-ES"/>
        </w:rPr>
        <w:t xml:space="preserve">dirigidos a </w:t>
      </w:r>
      <w:r>
        <w:rPr>
          <w:rFonts w:ascii="Arial" w:hAnsi="Arial" w:cs="Arial"/>
          <w:color w:val="000000" w:themeColor="text1"/>
          <w:sz w:val="22"/>
          <w:lang w:val="es-ES"/>
        </w:rPr>
        <w:t xml:space="preserve">cumplir su finalidad: incrementar la empleabilidad de los adultos mayores, lo que a la postre, se espera, se traducirá en mayor empleo para este sector vulnerable de la población. </w:t>
      </w:r>
    </w:p>
    <w:p w14:paraId="61BE2B9B" w14:textId="2434A807" w:rsidR="000F3626" w:rsidRDefault="000F3626" w:rsidP="000F3626">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 xml:space="preserve">La Ley 2040 de 2020, además de las estrategias referidas, contiene un mecanismo que forma parte del Estatuto General de Contratación de la Administración </w:t>
      </w:r>
      <w:proofErr w:type="gramStart"/>
      <w:r>
        <w:rPr>
          <w:rFonts w:ascii="Arial" w:hAnsi="Arial" w:cs="Arial"/>
          <w:color w:val="000000" w:themeColor="text1"/>
          <w:sz w:val="22"/>
          <w:lang w:val="es-ES"/>
        </w:rPr>
        <w:t>Pública</w:t>
      </w:r>
      <w:r w:rsidR="00A04487">
        <w:rPr>
          <w:rFonts w:ascii="Arial" w:hAnsi="Arial" w:cs="Arial"/>
          <w:color w:val="000000" w:themeColor="text1"/>
          <w:sz w:val="22"/>
          <w:lang w:val="es-ES"/>
        </w:rPr>
        <w:t xml:space="preserve">, </w:t>
      </w:r>
      <w:r>
        <w:rPr>
          <w:rFonts w:ascii="Arial" w:hAnsi="Arial" w:cs="Arial"/>
          <w:color w:val="000000" w:themeColor="text1"/>
          <w:sz w:val="22"/>
          <w:lang w:val="es-ES"/>
        </w:rPr>
        <w:t xml:space="preserve"> </w:t>
      </w:r>
      <w:r w:rsidR="00A04487">
        <w:rPr>
          <w:rFonts w:ascii="Arial" w:hAnsi="Arial" w:cs="Arial"/>
          <w:color w:val="000000" w:themeColor="text1"/>
          <w:sz w:val="22"/>
          <w:lang w:val="es-ES"/>
        </w:rPr>
        <w:t>contenido</w:t>
      </w:r>
      <w:proofErr w:type="gramEnd"/>
      <w:r w:rsidR="00A04487">
        <w:rPr>
          <w:rFonts w:ascii="Arial" w:hAnsi="Arial" w:cs="Arial"/>
          <w:color w:val="000000" w:themeColor="text1"/>
          <w:sz w:val="22"/>
          <w:lang w:val="es-ES"/>
        </w:rPr>
        <w:t xml:space="preserve"> en el</w:t>
      </w:r>
      <w:r>
        <w:rPr>
          <w:rFonts w:ascii="Arial" w:hAnsi="Arial" w:cs="Arial"/>
          <w:color w:val="000000" w:themeColor="text1"/>
          <w:sz w:val="22"/>
          <w:lang w:val="es-ES"/>
        </w:rPr>
        <w:t xml:space="preserve"> artículo 3 de dicha ley, que adiciona un parágrafo al artículo 12 de la Ley 1150 de 2007: </w:t>
      </w:r>
    </w:p>
    <w:p w14:paraId="579BB10C" w14:textId="77777777" w:rsidR="000F3626" w:rsidRDefault="000F3626" w:rsidP="000F3626">
      <w:pPr>
        <w:tabs>
          <w:tab w:val="left" w:pos="709"/>
        </w:tabs>
        <w:spacing w:line="276" w:lineRule="auto"/>
        <w:jc w:val="both"/>
        <w:rPr>
          <w:rFonts w:ascii="Arial" w:hAnsi="Arial" w:cs="Arial"/>
          <w:color w:val="000000" w:themeColor="text1"/>
          <w:sz w:val="22"/>
          <w:lang w:val="es-ES"/>
        </w:rPr>
      </w:pPr>
    </w:p>
    <w:p w14:paraId="0AE40E1A"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14:paraId="69FDAEC5"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p>
    <w:p w14:paraId="4426A5AA"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Pr>
          <w:rFonts w:ascii="Arial" w:eastAsia="Calibri" w:hAnsi="Arial" w:cs="Arial"/>
          <w:color w:val="000000" w:themeColor="text1"/>
          <w:sz w:val="21"/>
          <w:szCs w:val="21"/>
          <w:lang w:val="es-ES"/>
        </w:rPr>
        <w:t>la misma</w:t>
      </w:r>
      <w:proofErr w:type="gramEnd"/>
      <w:r>
        <w:rPr>
          <w:rFonts w:ascii="Arial" w:eastAsia="Calibri" w:hAnsi="Arial" w:cs="Arial"/>
          <w:color w:val="000000" w:themeColor="text1"/>
          <w:sz w:val="21"/>
          <w:szCs w:val="21"/>
          <w:lang w:val="es-ES"/>
        </w:rPr>
        <w:t xml:space="preserve">. </w:t>
      </w:r>
    </w:p>
    <w:p w14:paraId="19AE4C64"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p>
    <w:p w14:paraId="4EB565CE"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200F62A2"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p>
    <w:p w14:paraId="0947AFAE" w14:textId="77777777" w:rsidR="000F3626" w:rsidRDefault="000F3626" w:rsidP="000F3626">
      <w:pPr>
        <w:tabs>
          <w:tab w:val="left" w:pos="709"/>
        </w:tabs>
        <w:ind w:left="709" w:right="758"/>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E2B5CFC" w14:textId="77777777" w:rsidR="000F3626" w:rsidRDefault="000F3626" w:rsidP="000F3626">
      <w:pPr>
        <w:tabs>
          <w:tab w:val="left" w:pos="426"/>
        </w:tabs>
        <w:spacing w:line="276" w:lineRule="auto"/>
        <w:jc w:val="both"/>
        <w:rPr>
          <w:rFonts w:ascii="Arial" w:eastAsia="Calibri" w:hAnsi="Arial" w:cs="Arial"/>
          <w:color w:val="000000" w:themeColor="text1"/>
          <w:sz w:val="22"/>
          <w:lang w:val="es-ES"/>
        </w:rPr>
      </w:pPr>
    </w:p>
    <w:p w14:paraId="009B00EC" w14:textId="131EE2B2"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política horizontal perseguida </w:t>
      </w:r>
      <w:r w:rsidR="00A04487">
        <w:rPr>
          <w:rFonts w:ascii="Arial" w:eastAsia="Calibri" w:hAnsi="Arial" w:cs="Arial"/>
          <w:color w:val="000000" w:themeColor="text1"/>
          <w:sz w:val="22"/>
          <w:lang w:val="es-ES"/>
        </w:rPr>
        <w:t xml:space="preserve">consiste en </w:t>
      </w:r>
      <w:r>
        <w:rPr>
          <w:rFonts w:ascii="Arial" w:eastAsia="Calibri" w:hAnsi="Arial" w:cs="Arial"/>
          <w:color w:val="000000" w:themeColor="text1"/>
          <w:sz w:val="22"/>
          <w:lang w:val="es-ES"/>
        </w:rPr>
        <w:t xml:space="preserve">maximizar el número de personas vinculadas laboralmente a empresas contratistas del Estado que hayan cumplido con el requisito de edad y no cuenten con una pensión de vejez, familiar o de sobrevivencia. </w:t>
      </w:r>
    </w:p>
    <w:p w14:paraId="557F1B40" w14:textId="704993E1"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el incentivo, en el esquema de la contratación estatal, </w:t>
      </w:r>
      <w:r w:rsidR="00A04487">
        <w:rPr>
          <w:rFonts w:ascii="Arial" w:eastAsia="Calibri" w:hAnsi="Arial" w:cs="Arial"/>
          <w:color w:val="000000" w:themeColor="text1"/>
          <w:sz w:val="22"/>
          <w:lang w:val="es-ES"/>
        </w:rPr>
        <w:t>consiste en</w:t>
      </w:r>
      <w:r>
        <w:rPr>
          <w:rFonts w:ascii="Arial" w:eastAsia="Calibri" w:hAnsi="Arial" w:cs="Arial"/>
          <w:color w:val="000000" w:themeColor="text1"/>
          <w:sz w:val="22"/>
          <w:lang w:val="es-ES"/>
        </w:rPr>
        <w:t xml:space="preserve"> crea</w:t>
      </w:r>
      <w:r w:rsidR="00A04487">
        <w:rPr>
          <w:rFonts w:ascii="Arial" w:eastAsia="Calibri" w:hAnsi="Arial" w:cs="Arial"/>
          <w:color w:val="000000" w:themeColor="text1"/>
          <w:sz w:val="22"/>
          <w:lang w:val="es-ES"/>
        </w:rPr>
        <w:t>r</w:t>
      </w:r>
      <w:r>
        <w:rPr>
          <w:rFonts w:ascii="Arial" w:eastAsia="Calibri" w:hAnsi="Arial" w:cs="Arial"/>
          <w:color w:val="000000" w:themeColor="text1"/>
          <w:sz w:val="22"/>
          <w:lang w:val="es-ES"/>
        </w:rPr>
        <w:t xml:space="preserv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w:t>
      </w:r>
      <w:r w:rsidR="00A04487">
        <w:rPr>
          <w:rFonts w:ascii="Arial" w:eastAsia="Calibri" w:hAnsi="Arial" w:cs="Arial"/>
          <w:color w:val="000000" w:themeColor="text1"/>
          <w:sz w:val="22"/>
          <w:lang w:val="es-ES"/>
        </w:rPr>
        <w:t xml:space="preserve">sea </w:t>
      </w:r>
      <w:r>
        <w:rPr>
          <w:rFonts w:ascii="Arial" w:eastAsia="Calibri" w:hAnsi="Arial" w:cs="Arial"/>
          <w:color w:val="000000" w:themeColor="text1"/>
          <w:sz w:val="22"/>
          <w:lang w:val="es-ES"/>
        </w:rPr>
        <w:t xml:space="preserve">inferior al año. </w:t>
      </w:r>
    </w:p>
    <w:p w14:paraId="084544F7" w14:textId="305C8DB0"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w:t>
      </w:r>
      <w:r w:rsidR="00217A12">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14:paraId="64736715"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14:paraId="3A46890A" w14:textId="51BB1D24"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Es posible afirmar que, desde el punto de vista del mecanismo, el legislador optó por concretar la política horizontal a través de un criterio de desempate. Ello plantea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3F041A80"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14:paraId="1B79807C"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1F42E2AD"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este asunto debe tenerse en cuenta que las normas jurídicas, por regla general, producen efectos a partir de su promulgación o publicación. De allí se derivan principios tales como la irretroactividad de la ley y su efecto general inmediato</w:t>
      </w:r>
      <w:r>
        <w:rPr>
          <w:rStyle w:val="Refdenotaalpie"/>
          <w:rFonts w:ascii="Arial" w:eastAsia="Calibri" w:hAnsi="Arial" w:cs="Arial"/>
          <w:color w:val="000000" w:themeColor="text1"/>
          <w:sz w:val="22"/>
          <w:lang w:val="es-ES"/>
        </w:rPr>
        <w:footnoteReference w:id="9"/>
      </w:r>
      <w:r>
        <w:rPr>
          <w:rFonts w:ascii="Arial" w:eastAsia="Calibri" w:hAnsi="Arial" w:cs="Arial"/>
          <w:color w:val="000000" w:themeColor="text1"/>
          <w:sz w:val="22"/>
          <w:lang w:val="es-ES"/>
        </w:rPr>
        <w:t xml:space="preserve">. La Ley 2040 de 2020, </w:t>
      </w:r>
      <w:r>
        <w:rPr>
          <w:rFonts w:ascii="Arial" w:eastAsia="Calibri" w:hAnsi="Arial" w:cs="Arial"/>
          <w:color w:val="000000" w:themeColor="text1"/>
          <w:sz w:val="22"/>
          <w:lang w:val="es-ES"/>
        </w:rPr>
        <w:lastRenderedPageBreak/>
        <w:t>en principio, no parece ser la excepción, pues el artículo 12 dispone: «</w:t>
      </w:r>
      <w:r>
        <w:rPr>
          <w:rFonts w:ascii="Arial" w:eastAsia="Calibri" w:hAnsi="Arial" w:cs="Arial"/>
          <w:color w:val="000000" w:themeColor="text1"/>
          <w:sz w:val="22"/>
        </w:rPr>
        <w:t>La presente ley rige a partir del momento de su promulgación y deroga las disposiciones que le sean contrarias</w:t>
      </w:r>
      <w:r>
        <w:rPr>
          <w:rFonts w:ascii="Arial" w:eastAsia="Calibri" w:hAnsi="Arial" w:cs="Arial"/>
          <w:color w:val="000000" w:themeColor="text1"/>
          <w:sz w:val="22"/>
          <w:lang w:val="es-ES"/>
        </w:rPr>
        <w:t>».</w:t>
      </w:r>
    </w:p>
    <w:p w14:paraId="63FEC137"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F4747ED" w14:textId="77777777"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w:t>
      </w:r>
      <w:proofErr w:type="spellStart"/>
      <w:r>
        <w:rPr>
          <w:rFonts w:ascii="Arial" w:eastAsia="Calibri" w:hAnsi="Arial" w:cs="Arial"/>
          <w:color w:val="000000" w:themeColor="text1"/>
          <w:sz w:val="22"/>
          <w:lang w:val="es-ES"/>
        </w:rPr>
        <w:t>asta</w:t>
      </w:r>
      <w:proofErr w:type="spellEnd"/>
      <w:r>
        <w:rPr>
          <w:rFonts w:ascii="Arial" w:eastAsia="Calibri" w:hAnsi="Arial" w:cs="Arial"/>
          <w:color w:val="000000" w:themeColor="text1"/>
          <w:sz w:val="22"/>
          <w:lang w:val="es-ES"/>
        </w:rPr>
        <w:t xml:space="preserve">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14:paraId="2C9F2CFC" w14:textId="77777777" w:rsidR="000F3626" w:rsidRDefault="000F3626" w:rsidP="000F3626">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debe estudiarse si la Ley 2040 de 2020 tiene una condición para empezar a regir, concretamente su criterio de desempate. Hay dos argumentos que dan cuenta de tal condición: el primero </w:t>
      </w:r>
      <w:r>
        <w:rPr>
          <w:rFonts w:ascii="Arial" w:eastAsia="Calibri" w:hAnsi="Arial" w:cs="Arial"/>
          <w:color w:val="000000" w:themeColor="text1"/>
          <w:sz w:val="22"/>
          <w:lang w:val="es-ES"/>
        </w:rPr>
        <w:t>puede encontrarse en los antecedentes legislativos. En ellos</w:t>
      </w:r>
      <w:r>
        <w:rPr>
          <w:rStyle w:val="Refdenotaalpie"/>
          <w:rFonts w:ascii="Arial" w:eastAsia="Calibri" w:hAnsi="Arial" w:cs="Arial"/>
          <w:color w:val="000000" w:themeColor="text1"/>
          <w:sz w:val="22"/>
          <w:lang w:val="es-ES"/>
        </w:rPr>
        <w:footnoteReference w:id="10"/>
      </w:r>
      <w:r>
        <w:rPr>
          <w:rFonts w:ascii="Arial" w:eastAsia="Calibri" w:hAnsi="Arial" w:cs="Arial"/>
          <w:color w:val="000000" w:themeColor="text1"/>
          <w:sz w:val="22"/>
          <w:lang w:val="es-ES"/>
        </w:rPr>
        <w:t xml:space="preserve"> se explica que el proyecto de Ley tenía como objeto incentivar la contratación de adultos mayores a través de varias medidas, y se destaca la «[r]</w:t>
      </w:r>
      <w:proofErr w:type="spellStart"/>
      <w:r>
        <w:rPr>
          <w:rFonts w:ascii="Arial" w:eastAsia="Calibri" w:hAnsi="Arial" w:cs="Arial"/>
          <w:color w:val="000000" w:themeColor="text1"/>
          <w:sz w:val="22"/>
          <w:lang w:val="es-ES"/>
        </w:rPr>
        <w:t>eglamentación</w:t>
      </w:r>
      <w:proofErr w:type="spellEnd"/>
      <w:r>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Pr>
          <w:rStyle w:val="Refdenotaalpie"/>
          <w:rFonts w:ascii="Arial" w:eastAsia="Calibri" w:hAnsi="Arial" w:cs="Arial"/>
          <w:color w:val="000000" w:themeColor="text1"/>
          <w:sz w:val="22"/>
          <w:lang w:val="es-ES"/>
        </w:rPr>
        <w:footnoteReference w:id="11"/>
      </w:r>
      <w:r>
        <w:rPr>
          <w:rFonts w:ascii="Arial" w:eastAsia="Calibri" w:hAnsi="Arial" w:cs="Arial"/>
          <w:color w:val="000000" w:themeColor="text1"/>
          <w:sz w:val="22"/>
          <w:lang w:val="es-ES"/>
        </w:rPr>
        <w:t>.</w:t>
      </w:r>
      <w:r>
        <w:rPr>
          <w:rFonts w:ascii="Verdana" w:eastAsia="Calibri" w:hAnsi="Verdana" w:cs="Arial"/>
          <w:color w:val="000000" w:themeColor="text1"/>
          <w:sz w:val="22"/>
          <w:lang w:val="es-ES"/>
        </w:rPr>
        <w:t xml:space="preserve"> </w:t>
      </w:r>
      <w:r>
        <w:rPr>
          <w:rFonts w:ascii="Arial" w:eastAsia="Calibri" w:hAnsi="Arial" w:cs="Arial"/>
          <w:color w:val="000000" w:themeColor="text1"/>
          <w:sz w:val="22"/>
          <w:lang w:val="es-ES"/>
        </w:rPr>
        <w:t xml:space="preserve"> </w:t>
      </w:r>
    </w:p>
    <w:p w14:paraId="718D89DF" w14:textId="0AC30356"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legislador consideró necesaria la reglamentación para determinar los derechos y obligaciones especiales de los empleadores que se acojan a la </w:t>
      </w:r>
      <w:r w:rsidR="00650234">
        <w:rPr>
          <w:rFonts w:ascii="Arial" w:eastAsia="Calibri" w:hAnsi="Arial" w:cs="Arial"/>
          <w:color w:val="000000" w:themeColor="text1"/>
          <w:sz w:val="22"/>
          <w:lang w:val="es-ES"/>
        </w:rPr>
        <w:t>l</w:t>
      </w:r>
      <w:r>
        <w:rPr>
          <w:rFonts w:ascii="Arial" w:eastAsia="Calibri" w:hAnsi="Arial" w:cs="Arial"/>
          <w:color w:val="000000" w:themeColor="text1"/>
          <w:sz w:val="22"/>
          <w:lang w:val="es-ES"/>
        </w:rPr>
        <w:t xml:space="preserve">ey. El derecho a ser adjudicatario en caso de empate es uno de esos derechos especiales, </w:t>
      </w:r>
      <w:r w:rsidR="007C370C">
        <w:rPr>
          <w:rFonts w:ascii="Arial" w:eastAsia="Calibri" w:hAnsi="Arial" w:cs="Arial"/>
          <w:color w:val="000000" w:themeColor="text1"/>
          <w:sz w:val="22"/>
          <w:lang w:val="es-ES"/>
        </w:rPr>
        <w:t>por lo que</w:t>
      </w:r>
      <w:r>
        <w:rPr>
          <w:rFonts w:ascii="Arial" w:eastAsia="Calibri" w:hAnsi="Arial" w:cs="Arial"/>
          <w:color w:val="000000" w:themeColor="text1"/>
          <w:sz w:val="22"/>
          <w:lang w:val="es-ES"/>
        </w:rPr>
        <w:t xml:space="preserve"> no hay duda de la intención del legislador, atendiendo a los antecedentes de la </w:t>
      </w:r>
      <w:r w:rsidR="00650234">
        <w:rPr>
          <w:rFonts w:ascii="Arial" w:eastAsia="Calibri" w:hAnsi="Arial" w:cs="Arial"/>
          <w:color w:val="000000" w:themeColor="text1"/>
          <w:sz w:val="22"/>
          <w:lang w:val="es-ES"/>
        </w:rPr>
        <w:t>l</w:t>
      </w:r>
      <w:r>
        <w:rPr>
          <w:rFonts w:ascii="Arial" w:eastAsia="Calibri" w:hAnsi="Arial" w:cs="Arial"/>
          <w:color w:val="000000" w:themeColor="text1"/>
          <w:sz w:val="22"/>
          <w:lang w:val="es-ES"/>
        </w:rPr>
        <w:t xml:space="preserve">ey, para que el criterio de desempate estuviera sometido en su vigencia a la condición de la expedición de la reglamentación. </w:t>
      </w:r>
    </w:p>
    <w:p w14:paraId="5DEF3768" w14:textId="7663A7CC" w:rsidR="000F3626" w:rsidRDefault="000F3626" w:rsidP="000F3626">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El segundo argumento procede de la misma </w:t>
      </w:r>
      <w:r w:rsidR="00650234">
        <w:rPr>
          <w:rFonts w:ascii="Arial" w:eastAsia="Calibri" w:hAnsi="Arial" w:cs="Arial"/>
          <w:color w:val="000000" w:themeColor="text1"/>
          <w:sz w:val="22"/>
          <w:szCs w:val="22"/>
          <w:lang w:val="es-ES"/>
        </w:rPr>
        <w:t>l</w:t>
      </w:r>
      <w:r>
        <w:rPr>
          <w:rFonts w:ascii="Arial" w:eastAsia="Calibri" w:hAnsi="Arial" w:cs="Arial"/>
          <w:color w:val="000000" w:themeColor="text1"/>
          <w:sz w:val="22"/>
          <w:szCs w:val="22"/>
          <w:lang w:val="es-ES"/>
        </w:rPr>
        <w:t xml:space="preserve">ey. El artículo 4 de la Ley </w:t>
      </w:r>
      <w:r>
        <w:rPr>
          <w:rFonts w:ascii="Arial" w:eastAsia="Calibri" w:hAnsi="Arial" w:cs="Arial"/>
          <w:color w:val="000000" w:themeColor="text1"/>
          <w:sz w:val="22"/>
          <w:lang w:val="es-ES"/>
        </w:rPr>
        <w:t>2040 de 2020</w:t>
      </w:r>
      <w:r>
        <w:rPr>
          <w:rStyle w:val="Refdenotaalpie"/>
          <w:rFonts w:ascii="Arial" w:eastAsia="Calibri" w:hAnsi="Arial" w:cs="Arial"/>
          <w:color w:val="000000" w:themeColor="text1"/>
          <w:sz w:val="22"/>
          <w:lang w:val="es-ES"/>
        </w:rPr>
        <w:footnoteReference w:id="12"/>
      </w:r>
      <w:r>
        <w:rPr>
          <w:rFonts w:ascii="Arial" w:eastAsia="Calibri" w:hAnsi="Arial" w:cs="Arial"/>
          <w:color w:val="000000" w:themeColor="text1"/>
          <w:sz w:val="22"/>
          <w:lang w:val="es-ES"/>
        </w:rPr>
        <w:t xml:space="preserve"> establece que el Gobierno Nacional, en consulta con el Consejo Nacional del Adulto </w:t>
      </w:r>
      <w:r>
        <w:rPr>
          <w:rFonts w:ascii="Arial" w:eastAsia="Calibri" w:hAnsi="Arial" w:cs="Arial"/>
          <w:color w:val="000000" w:themeColor="text1"/>
          <w:sz w:val="22"/>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tipos de actividades y oficios que pueden asignárseles a los adultos mayores trabajadores cobijados por esta ley; </w:t>
      </w:r>
      <w:proofErr w:type="spellStart"/>
      <w:r>
        <w:rPr>
          <w:rFonts w:ascii="Arial" w:eastAsia="Calibri" w:hAnsi="Arial" w:cs="Arial"/>
          <w:color w:val="000000" w:themeColor="text1"/>
          <w:sz w:val="22"/>
          <w:lang w:val="es-ES"/>
        </w:rPr>
        <w:t>iii</w:t>
      </w:r>
      <w:proofErr w:type="spellEnd"/>
      <w:r>
        <w:rPr>
          <w:rFonts w:ascii="Arial" w:eastAsia="Calibri" w:hAnsi="Arial" w:cs="Arial"/>
          <w:color w:val="000000" w:themeColor="text1"/>
          <w:sz w:val="22"/>
          <w:lang w:val="es-ES"/>
        </w:rPr>
        <w:t xml:space="preserve">) Derechos y obligaciones especiales de las empresas empleadoras que se acojan a esta ley». </w:t>
      </w:r>
    </w:p>
    <w:p w14:paraId="3D2D7350" w14:textId="682927BB" w:rsidR="000F3626" w:rsidRDefault="000F3626" w:rsidP="000F36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criterio de desempate creado es una </w:t>
      </w:r>
      <w:r w:rsidR="00650234">
        <w:rPr>
          <w:rFonts w:ascii="Arial" w:eastAsia="Calibri" w:hAnsi="Arial" w:cs="Arial"/>
          <w:color w:val="000000" w:themeColor="text1"/>
          <w:sz w:val="22"/>
          <w:lang w:val="es-ES"/>
        </w:rPr>
        <w:t xml:space="preserve">de las </w:t>
      </w:r>
      <w:r>
        <w:rPr>
          <w:rFonts w:ascii="Arial" w:eastAsia="Calibri" w:hAnsi="Arial" w:cs="Arial"/>
          <w:color w:val="000000" w:themeColor="text1"/>
          <w:sz w:val="22"/>
          <w:lang w:val="es-ES"/>
        </w:rPr>
        <w:t xml:space="preserve">«estrategias para la promoción del empleo de personas mayores», y requiere reglamentación previa para establecer qué tipo de actividades y oficios pueden desempeñar los adultos mayores, y otorga un derecho especial para las empresas que se acogen a esa </w:t>
      </w:r>
      <w:r w:rsidR="00650234">
        <w:rPr>
          <w:rFonts w:ascii="Arial" w:eastAsia="Calibri" w:hAnsi="Arial" w:cs="Arial"/>
          <w:color w:val="000000" w:themeColor="text1"/>
          <w:sz w:val="22"/>
          <w:lang w:val="es-ES"/>
        </w:rPr>
        <w:t>l</w:t>
      </w:r>
      <w:r>
        <w:rPr>
          <w:rFonts w:ascii="Arial" w:eastAsia="Calibri" w:hAnsi="Arial" w:cs="Arial"/>
          <w:color w:val="000000" w:themeColor="text1"/>
          <w:sz w:val="22"/>
          <w:lang w:val="es-ES"/>
        </w:rPr>
        <w:t>ey, por lo que, según el literal del artículo 4, debe ser objeto de reglamentación por el Gobierno Nacional en un término no mayor a 6 meses.</w:t>
      </w:r>
    </w:p>
    <w:p w14:paraId="13AD986F" w14:textId="4FF5800C" w:rsidR="000F3626" w:rsidRDefault="00650234" w:rsidP="000F3626">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relación con este aspecto</w:t>
      </w:r>
      <w:r w:rsidR="000F3626">
        <w:rPr>
          <w:rFonts w:ascii="Arial" w:eastAsia="Calibri" w:hAnsi="Arial" w:cs="Arial"/>
          <w:color w:val="000000" w:themeColor="text1"/>
          <w:sz w:val="22"/>
          <w:lang w:val="es-ES"/>
        </w:rPr>
        <w:t xml:space="preserve">, es preciso llamar la atención sobre la jurisprudencia. </w:t>
      </w:r>
      <w:r w:rsidR="007C370C">
        <w:rPr>
          <w:rFonts w:ascii="Arial" w:eastAsia="Calibri" w:hAnsi="Arial" w:cs="Arial"/>
          <w:color w:val="000000" w:themeColor="text1"/>
          <w:sz w:val="22"/>
          <w:lang w:val="es-ES"/>
        </w:rPr>
        <w:t>En relación con ese aspecto</w:t>
      </w:r>
      <w:r w:rsidR="000F3626">
        <w:rPr>
          <w:rFonts w:ascii="Arial" w:eastAsia="Calibri" w:hAnsi="Arial" w:cs="Arial"/>
          <w:color w:val="000000" w:themeColor="text1"/>
          <w:sz w:val="22"/>
          <w:lang w:val="es-ES"/>
        </w:rPr>
        <w:t xml:space="preserve">, el Consejo de Estado ha dicho: </w:t>
      </w:r>
    </w:p>
    <w:p w14:paraId="05BDA209" w14:textId="77777777" w:rsidR="000F3626" w:rsidRDefault="000F3626" w:rsidP="000F3626">
      <w:pPr>
        <w:shd w:val="clear" w:color="auto" w:fill="FFFFFF"/>
        <w:ind w:left="709" w:right="760"/>
        <w:jc w:val="both"/>
        <w:rPr>
          <w:rFonts w:ascii="Arial" w:eastAsia="Calibri" w:hAnsi="Arial" w:cs="Arial"/>
          <w:color w:val="000000" w:themeColor="text1"/>
          <w:sz w:val="21"/>
          <w:szCs w:val="21"/>
          <w:lang w:val="es-ES"/>
        </w:rPr>
      </w:pPr>
    </w:p>
    <w:p w14:paraId="56FDE03A" w14:textId="77777777" w:rsidR="000F3626" w:rsidRDefault="000F3626" w:rsidP="000F3626">
      <w:pPr>
        <w:shd w:val="clear" w:color="auto" w:fill="FFFFFF"/>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Pr>
          <w:rFonts w:ascii="Arial" w:eastAsia="Calibri" w:hAnsi="Arial" w:cs="Arial"/>
          <w:color w:val="000000" w:themeColor="text1"/>
          <w:sz w:val="21"/>
          <w:szCs w:val="21"/>
          <w:lang w:val="es-ES"/>
        </w:rPr>
        <w:t>.</w:t>
      </w:r>
    </w:p>
    <w:p w14:paraId="648FEA4F" w14:textId="77777777" w:rsidR="000F3626" w:rsidRDefault="000F3626" w:rsidP="000F3626">
      <w:pPr>
        <w:shd w:val="clear" w:color="auto" w:fill="FFFFFF"/>
        <w:ind w:left="709" w:right="760"/>
        <w:jc w:val="both"/>
        <w:rPr>
          <w:rFonts w:ascii="Arial" w:eastAsia="Calibri" w:hAnsi="Arial" w:cs="Arial"/>
          <w:color w:val="000000" w:themeColor="text1"/>
          <w:sz w:val="21"/>
          <w:szCs w:val="21"/>
          <w:lang w:val="es-ES"/>
        </w:rPr>
      </w:pPr>
    </w:p>
    <w:p w14:paraId="001CBF5B" w14:textId="24860A62" w:rsidR="000F3626" w:rsidRDefault="000F3626" w:rsidP="000F3626">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La referencia hecha en una </w:t>
      </w:r>
      <w:r w:rsidR="00650234">
        <w:rPr>
          <w:rFonts w:ascii="Arial" w:eastAsia="Calibri" w:hAnsi="Arial" w:cs="Arial"/>
          <w:color w:val="000000" w:themeColor="text1"/>
          <w:sz w:val="22"/>
          <w:szCs w:val="22"/>
          <w:lang w:val="es-ES"/>
        </w:rPr>
        <w:t>l</w:t>
      </w:r>
      <w:r>
        <w:rPr>
          <w:rFonts w:ascii="Arial" w:eastAsia="Calibri" w:hAnsi="Arial" w:cs="Arial"/>
          <w:color w:val="000000" w:themeColor="text1"/>
          <w:sz w:val="22"/>
          <w:szCs w:val="22"/>
          <w:lang w:val="es-ES"/>
        </w:rPr>
        <w:t>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w:t>
      </w:r>
      <w:r w:rsidR="00B1549D">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pero cuando ello se analiza con otros elementos que obran en este sentido, como los antecedentes legislativos, sí es </w:t>
      </w:r>
      <w:r>
        <w:rPr>
          <w:rFonts w:ascii="Arial" w:eastAsia="Calibri" w:hAnsi="Arial" w:cs="Arial"/>
          <w:color w:val="000000" w:themeColor="text1"/>
          <w:sz w:val="22"/>
          <w:szCs w:val="22"/>
          <w:lang w:val="es-ES"/>
        </w:rPr>
        <w:lastRenderedPageBreak/>
        <w:t xml:space="preserve">posible utilizar la referencia al reglamento como una prueba de que la </w:t>
      </w:r>
      <w:r w:rsidR="00650234">
        <w:rPr>
          <w:rFonts w:ascii="Arial" w:eastAsia="Calibri" w:hAnsi="Arial" w:cs="Arial"/>
          <w:color w:val="000000" w:themeColor="text1"/>
          <w:sz w:val="22"/>
          <w:szCs w:val="22"/>
          <w:lang w:val="es-ES"/>
        </w:rPr>
        <w:t>l</w:t>
      </w:r>
      <w:r>
        <w:rPr>
          <w:rFonts w:ascii="Arial" w:eastAsia="Calibri" w:hAnsi="Arial" w:cs="Arial"/>
          <w:color w:val="000000" w:themeColor="text1"/>
          <w:sz w:val="22"/>
          <w:szCs w:val="22"/>
          <w:lang w:val="es-ES"/>
        </w:rPr>
        <w:t xml:space="preserve">ey moduló sus efectos en el tiempo y se encuentra sometida a condición. </w:t>
      </w:r>
    </w:p>
    <w:p w14:paraId="69E5B3B0" w14:textId="77777777" w:rsidR="000F3626" w:rsidRDefault="000F3626" w:rsidP="000F3626">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14:paraId="2C2B5888" w14:textId="77777777" w:rsidR="000F3626" w:rsidRDefault="000F3626" w:rsidP="000F3626">
      <w:pPr>
        <w:spacing w:line="276" w:lineRule="auto"/>
        <w:ind w:firstLine="709"/>
        <w:jc w:val="both"/>
        <w:rPr>
          <w:rFonts w:ascii="Arial" w:eastAsia="Calibri" w:hAnsi="Arial" w:cs="Arial"/>
          <w:color w:val="000000" w:themeColor="text1"/>
          <w:sz w:val="22"/>
          <w:lang w:val="es-ES"/>
        </w:rPr>
      </w:pPr>
    </w:p>
    <w:p w14:paraId="15F0295C" w14:textId="77777777" w:rsidR="000F3626" w:rsidRDefault="000F3626" w:rsidP="000F3626">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Pr>
          <w:rFonts w:ascii="Arial" w:hAnsi="Arial" w:cs="Arial"/>
          <w:b/>
          <w:bCs/>
          <w:color w:val="000000" w:themeColor="text1"/>
          <w:sz w:val="22"/>
          <w:lang w:val="es-ES"/>
        </w:rPr>
        <w:t xml:space="preserve">Respuestas </w:t>
      </w:r>
    </w:p>
    <w:p w14:paraId="396F5AA1" w14:textId="77777777" w:rsidR="000F3626" w:rsidRDefault="000F3626" w:rsidP="000F3626">
      <w:pPr>
        <w:ind w:right="709"/>
        <w:jc w:val="both"/>
        <w:rPr>
          <w:rFonts w:ascii="Arial" w:eastAsia="Calibri" w:hAnsi="Arial" w:cs="Arial"/>
          <w:color w:val="000000" w:themeColor="text1"/>
          <w:sz w:val="21"/>
          <w:szCs w:val="21"/>
          <w:lang w:val="es-ES"/>
        </w:rPr>
      </w:pPr>
    </w:p>
    <w:p w14:paraId="7FF4B2C4" w14:textId="08B9D3AC" w:rsidR="000F3626" w:rsidRPr="00956CC4" w:rsidRDefault="000F3626" w:rsidP="000F3626">
      <w:pPr>
        <w:ind w:left="709" w:right="709"/>
        <w:jc w:val="both"/>
        <w:rPr>
          <w:rFonts w:asciiTheme="minorBidi" w:hAnsiTheme="minorBidi" w:cstheme="minorBidi"/>
          <w:sz w:val="21"/>
          <w:szCs w:val="21"/>
        </w:rPr>
      </w:pPr>
      <w:r w:rsidRPr="00956CC4">
        <w:rPr>
          <w:rFonts w:asciiTheme="minorBidi" w:hAnsiTheme="minorBidi" w:cstheme="minorBidi"/>
          <w:sz w:val="21"/>
          <w:szCs w:val="21"/>
        </w:rPr>
        <w:t xml:space="preserve">i) </w:t>
      </w:r>
      <w:r w:rsidR="00614641">
        <w:rPr>
          <w:rFonts w:ascii="Arial" w:hAnsi="Arial" w:cs="Arial"/>
          <w:sz w:val="22"/>
          <w:szCs w:val="22"/>
        </w:rPr>
        <w:t>Usted solicita</w:t>
      </w:r>
      <w:r w:rsidR="00614641" w:rsidRPr="003949FD">
        <w:rPr>
          <w:rFonts w:ascii="Arial" w:hAnsi="Arial" w:cs="Arial"/>
          <w:sz w:val="22"/>
          <w:szCs w:val="22"/>
        </w:rPr>
        <w:t>, «el cumplimiento de los artículos 2º, 6º y 13 de la Constitución Nacional y el artículo 3° de la Ley 2040 de 2020 incluyendo en el lugar que le corresponde dentro de los factores de desempate […]»</w:t>
      </w:r>
    </w:p>
    <w:p w14:paraId="697B1910" w14:textId="77777777" w:rsidR="000F3626" w:rsidRPr="00AD0AA9" w:rsidRDefault="000F3626" w:rsidP="000F3626">
      <w:pPr>
        <w:ind w:left="709" w:right="709"/>
        <w:jc w:val="both"/>
        <w:rPr>
          <w:rFonts w:ascii="Arial" w:eastAsia="Calibri" w:hAnsi="Arial" w:cs="Arial"/>
          <w:color w:val="000000" w:themeColor="text1"/>
          <w:sz w:val="22"/>
          <w:szCs w:val="22"/>
        </w:rPr>
      </w:pPr>
    </w:p>
    <w:p w14:paraId="71DCDC02" w14:textId="77777777" w:rsidR="00C931AD" w:rsidRDefault="00C931AD" w:rsidP="00C931AD">
      <w:pPr>
        <w:spacing w:after="120" w:line="276" w:lineRule="auto"/>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atención a su solicitud, en especial en dar cumplimiento a lo establecido en la Ley 2040 de 2020, «por medio de la cual se adoptan medidas para impulsar el trabajo para adultos mayores y se dictan otras disposiciones», incluyendo el lugar que esta disposición debe ocupar entre los criterios de desempate en los procesos de contratación pública que adelanten las entidades del Estado, </w:t>
      </w:r>
      <w:r>
        <w:rPr>
          <w:rFonts w:ascii="Arial" w:eastAsia="Calibri" w:hAnsi="Arial" w:cs="Arial"/>
          <w:color w:val="000000" w:themeColor="text1"/>
          <w:sz w:val="22"/>
          <w:lang w:val="es-ES"/>
        </w:rPr>
        <w:t xml:space="preserve">se debe manifestar que este criterio de desempate plantea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y los oferentes que hayan vinculado personas en condición de discapacidad, en cierto porcentaje, en su planta de personal.  </w:t>
      </w:r>
    </w:p>
    <w:p w14:paraId="40F11B2F" w14:textId="77777777" w:rsidR="00C931AD" w:rsidRDefault="00C931AD" w:rsidP="00C931A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14:paraId="7CACA79F" w14:textId="77777777" w:rsidR="00C931AD" w:rsidRDefault="00C931AD" w:rsidP="00C931A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14:paraId="06A77EE5" w14:textId="77777777" w:rsidR="00C931AD" w:rsidRDefault="00C931AD" w:rsidP="00C931A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este asunto debe tenerse en cuenta que las normas jurídicas, por regla general, producen efectos a partir de su promulgación o publicación. De allí se derivan principios tales como la irretroactividad de la ley y su efecto general inmediato. La Ley 2040 de 2020, </w:t>
      </w:r>
      <w:r>
        <w:rPr>
          <w:rFonts w:ascii="Arial" w:eastAsia="Calibri" w:hAnsi="Arial" w:cs="Arial"/>
          <w:color w:val="000000" w:themeColor="text1"/>
          <w:sz w:val="22"/>
          <w:lang w:val="es-ES"/>
        </w:rPr>
        <w:lastRenderedPageBreak/>
        <w:t>en principio, no parece ser la excepción, pues el artículo 12 dispone: «</w:t>
      </w:r>
      <w:r>
        <w:rPr>
          <w:rFonts w:ascii="Arial" w:eastAsia="Calibri" w:hAnsi="Arial" w:cs="Arial"/>
          <w:color w:val="000000" w:themeColor="text1"/>
          <w:sz w:val="22"/>
        </w:rPr>
        <w:t>La presente ley rige a partir del momento de su promulgación y deroga las disposiciones que le sean contrarias</w:t>
      </w:r>
      <w:r>
        <w:rPr>
          <w:rFonts w:ascii="Arial" w:eastAsia="Calibri" w:hAnsi="Arial" w:cs="Arial"/>
          <w:color w:val="000000" w:themeColor="text1"/>
          <w:sz w:val="22"/>
          <w:lang w:val="es-ES"/>
        </w:rPr>
        <w:t>».</w:t>
      </w:r>
    </w:p>
    <w:p w14:paraId="62BBBBAE" w14:textId="38B87D8C" w:rsidR="00C931AD" w:rsidRDefault="008912BD" w:rsidP="00C931A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Sin embargo, l</w:t>
      </w:r>
      <w:r w:rsidR="00C931AD">
        <w:rPr>
          <w:rFonts w:ascii="Arial" w:eastAsia="Calibri" w:hAnsi="Arial" w:cs="Arial"/>
          <w:color w:val="000000" w:themeColor="text1"/>
          <w:sz w:val="22"/>
          <w:lang w:val="es-ES"/>
        </w:rPr>
        <w:t xml:space="preserve">as leyes pueden establecer un plazo </w:t>
      </w:r>
      <w:r w:rsidR="00650234">
        <w:rPr>
          <w:rFonts w:ascii="Arial" w:eastAsia="Calibri" w:hAnsi="Arial" w:cs="Arial"/>
          <w:color w:val="000000" w:themeColor="text1"/>
          <w:sz w:val="22"/>
          <w:lang w:val="es-ES"/>
        </w:rPr>
        <w:t xml:space="preserve">o </w:t>
      </w:r>
      <w:r w:rsidR="00C931AD">
        <w:rPr>
          <w:rFonts w:ascii="Arial" w:eastAsia="Calibri" w:hAnsi="Arial" w:cs="Arial"/>
          <w:color w:val="000000" w:themeColor="text1"/>
          <w:sz w:val="22"/>
          <w:lang w:val="es-ES"/>
        </w:rPr>
        <w:t>una condición para modular sus efectos en el tiemp</w:t>
      </w:r>
      <w:r>
        <w:rPr>
          <w:rFonts w:ascii="Arial" w:eastAsia="Calibri" w:hAnsi="Arial" w:cs="Arial"/>
          <w:color w:val="000000" w:themeColor="text1"/>
          <w:sz w:val="22"/>
          <w:lang w:val="es-ES"/>
        </w:rPr>
        <w:t>o, frente a parte de ella o todo su contenido</w:t>
      </w:r>
      <w:r w:rsidR="00C931AD">
        <w:rPr>
          <w:rFonts w:ascii="Arial" w:eastAsia="Calibri" w:hAnsi="Arial" w:cs="Arial"/>
          <w:color w:val="000000" w:themeColor="text1"/>
          <w:sz w:val="22"/>
          <w:lang w:val="es-ES"/>
        </w:rPr>
        <w:t xml:space="preserve">. La condición más usual es someter la vigencia a la expedición de un reglamento, </w:t>
      </w:r>
      <w:r>
        <w:rPr>
          <w:rFonts w:ascii="Arial" w:eastAsia="Calibri" w:hAnsi="Arial" w:cs="Arial"/>
          <w:color w:val="000000" w:themeColor="text1"/>
          <w:sz w:val="22"/>
          <w:lang w:val="es-ES"/>
        </w:rPr>
        <w:t>que es lo que se advierte del</w:t>
      </w:r>
      <w:r w:rsidR="00C931AD">
        <w:rPr>
          <w:rFonts w:ascii="Arial" w:eastAsia="Calibri" w:hAnsi="Arial" w:cs="Arial"/>
          <w:color w:val="000000" w:themeColor="text1"/>
          <w:sz w:val="22"/>
          <w:lang w:val="es-ES"/>
        </w:rPr>
        <w:t xml:space="preserve"> artículo 4 de la Ley 2040 de 2020</w:t>
      </w:r>
      <w:r>
        <w:rPr>
          <w:rFonts w:ascii="Arial" w:eastAsia="Calibri" w:hAnsi="Arial" w:cs="Arial"/>
          <w:color w:val="000000" w:themeColor="text1"/>
          <w:sz w:val="22"/>
          <w:lang w:val="es-ES"/>
        </w:rPr>
        <w:t>, que</w:t>
      </w:r>
      <w:r w:rsidR="00C931AD">
        <w:rPr>
          <w:rFonts w:ascii="Arial" w:eastAsia="Calibri" w:hAnsi="Arial" w:cs="Arial"/>
          <w:color w:val="000000" w:themeColor="text1"/>
          <w:sz w:val="22"/>
          <w:lang w:val="es-ES"/>
        </w:rPr>
        <w:t xml:space="preserve"> expresa la necesidad de contar con un reglamento para cumplir sus disposiciones, sometiendo su vigencia a condición, concretamente para el criterio de desempate de que trata el artículo 3, como se infiere de su contenido y de los antecedentes legislativos</w:t>
      </w:r>
      <w:r>
        <w:rPr>
          <w:rFonts w:ascii="Arial" w:eastAsia="Calibri" w:hAnsi="Arial" w:cs="Arial"/>
          <w:color w:val="000000" w:themeColor="text1"/>
          <w:sz w:val="22"/>
          <w:lang w:val="es-ES"/>
        </w:rPr>
        <w:t xml:space="preserve"> desarrollados en las consideraciones</w:t>
      </w:r>
      <w:r w:rsidR="00C931AD">
        <w:rPr>
          <w:rFonts w:ascii="Arial" w:eastAsia="Calibri" w:hAnsi="Arial" w:cs="Arial"/>
          <w:color w:val="000000" w:themeColor="text1"/>
          <w:sz w:val="22"/>
          <w:lang w:val="es-ES"/>
        </w:rPr>
        <w:t>. Esta conclusión se ajusta a la necesidad de claridad que debe introducir el reglamento, en relación con la articulación y compatibilización del «nuevo criterio de desempate» con los preexistentes en el ordenamiento jurídico.</w:t>
      </w:r>
      <w:r>
        <w:rPr>
          <w:rFonts w:ascii="Arial" w:eastAsia="Calibri" w:hAnsi="Arial" w:cs="Arial"/>
          <w:color w:val="000000" w:themeColor="text1"/>
          <w:sz w:val="22"/>
          <w:lang w:val="es-ES"/>
        </w:rPr>
        <w:t xml:space="preserve"> En tal sentido, para la aplicación de este incentivo es necesario que se expida la reglamentación de que trata dicha ley.</w:t>
      </w:r>
    </w:p>
    <w:p w14:paraId="4FA3BE06" w14:textId="77777777" w:rsidR="00650234" w:rsidRDefault="00650234" w:rsidP="00C931AD">
      <w:pPr>
        <w:spacing w:after="120" w:line="276" w:lineRule="auto"/>
        <w:ind w:firstLine="709"/>
        <w:jc w:val="both"/>
        <w:rPr>
          <w:rFonts w:ascii="Arial" w:eastAsia="Calibri" w:hAnsi="Arial" w:cs="Arial"/>
          <w:color w:val="000000" w:themeColor="text1"/>
          <w:sz w:val="22"/>
          <w:lang w:val="es-ES"/>
        </w:rPr>
      </w:pPr>
    </w:p>
    <w:p w14:paraId="1CBB37DE" w14:textId="77777777" w:rsidR="000F3626" w:rsidRDefault="000F3626" w:rsidP="000F3626">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555B0A93" w14:textId="77777777" w:rsidR="000F3626" w:rsidRDefault="000F3626" w:rsidP="000F3626">
      <w:pPr>
        <w:ind w:firstLine="709"/>
        <w:jc w:val="both"/>
        <w:rPr>
          <w:rFonts w:ascii="Arial" w:eastAsia="Calibri" w:hAnsi="Arial" w:cs="Arial"/>
          <w:color w:val="000000" w:themeColor="text1"/>
          <w:sz w:val="22"/>
          <w:lang w:val="es-ES"/>
        </w:rPr>
      </w:pPr>
    </w:p>
    <w:p w14:paraId="20B19BD2" w14:textId="77777777" w:rsidR="000F3626" w:rsidRDefault="000F3626" w:rsidP="000F3626">
      <w:pPr>
        <w:jc w:val="both"/>
        <w:rPr>
          <w:rFonts w:ascii="Arial" w:hAnsi="Arial" w:cs="Arial"/>
          <w:color w:val="000000" w:themeColor="text1"/>
          <w:sz w:val="22"/>
          <w:lang w:val="es-ES" w:eastAsia="es-CO"/>
        </w:rPr>
      </w:pPr>
      <w:r>
        <w:rPr>
          <w:rFonts w:ascii="Arial" w:hAnsi="Arial" w:cs="Arial"/>
          <w:color w:val="000000" w:themeColor="text1"/>
          <w:sz w:val="22"/>
          <w:lang w:val="es-ES" w:eastAsia="es-CO"/>
        </w:rPr>
        <w:t>Atentamente,</w:t>
      </w:r>
    </w:p>
    <w:bookmarkEnd w:id="0"/>
    <w:bookmarkEnd w:id="1"/>
    <w:p w14:paraId="58B388C6" w14:textId="2C6D401F" w:rsidR="000F3626" w:rsidRDefault="00306A95" w:rsidP="000F3626">
      <w:pPr>
        <w:jc w:val="center"/>
        <w:rPr>
          <w:lang w:val="es-ES"/>
        </w:rPr>
      </w:pPr>
      <w:r>
        <w:rPr>
          <w:rFonts w:ascii="Arial" w:hAnsi="Arial" w:cs="Arial"/>
          <w:noProof/>
          <w:color w:val="000000" w:themeColor="text1"/>
          <w:sz w:val="18"/>
          <w:szCs w:val="20"/>
        </w:rPr>
        <w:drawing>
          <wp:inline distT="0" distB="0" distL="0" distR="0" wp14:anchorId="7641C0BF" wp14:editId="3297F7F3">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A930AB0" w14:textId="77777777" w:rsidR="000F3626" w:rsidRDefault="000F3626" w:rsidP="000F3626">
      <w:pPr>
        <w:jc w:val="center"/>
        <w:rPr>
          <w:lang w:val="es-E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0F3626" w14:paraId="619A4BD5" w14:textId="77777777" w:rsidTr="004A1778">
        <w:trPr>
          <w:trHeight w:val="315"/>
        </w:trPr>
        <w:tc>
          <w:tcPr>
            <w:tcW w:w="812" w:type="dxa"/>
            <w:vAlign w:val="center"/>
            <w:hideMark/>
          </w:tcPr>
          <w:p w14:paraId="760DFE51" w14:textId="77777777"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858" w:type="dxa"/>
            <w:tcBorders>
              <w:top w:val="nil"/>
              <w:left w:val="nil"/>
              <w:bottom w:val="dotted" w:sz="4" w:space="0" w:color="7F7F7F" w:themeColor="text1" w:themeTint="80"/>
              <w:right w:val="nil"/>
            </w:tcBorders>
            <w:vAlign w:val="center"/>
            <w:hideMark/>
          </w:tcPr>
          <w:p w14:paraId="11E25759" w14:textId="77777777"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14:paraId="333DB6CB" w14:textId="77777777"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tc>
      </w:tr>
      <w:tr w:rsidR="000F3626" w14:paraId="06064631" w14:textId="77777777" w:rsidTr="004A1778">
        <w:trPr>
          <w:trHeight w:val="330"/>
        </w:trPr>
        <w:tc>
          <w:tcPr>
            <w:tcW w:w="812" w:type="dxa"/>
            <w:vAlign w:val="center"/>
            <w:hideMark/>
          </w:tcPr>
          <w:p w14:paraId="775C0C28" w14:textId="77777777"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tcPr>
          <w:p w14:paraId="3B4DA2FB" w14:textId="43B754A2" w:rsidR="000F3626" w:rsidRDefault="00C931AD"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Sebastián Ramírez Grisales </w:t>
            </w:r>
          </w:p>
          <w:p w14:paraId="63210D40" w14:textId="0D2BD89C" w:rsidR="00C931AD" w:rsidRDefault="00C931AD" w:rsidP="009D08A0">
            <w:pPr>
              <w:rPr>
                <w:rFonts w:ascii="Arial" w:hAnsi="Arial" w:cs="Arial"/>
                <w:color w:val="000000" w:themeColor="text1"/>
                <w:sz w:val="16"/>
                <w:szCs w:val="16"/>
                <w:lang w:val="es-ES" w:eastAsia="es-ES"/>
              </w:rPr>
            </w:pPr>
            <w:r w:rsidRPr="000906AC">
              <w:rPr>
                <w:rFonts w:ascii="Arial" w:hAnsi="Arial" w:cs="Arial"/>
                <w:sz w:val="16"/>
                <w:szCs w:val="16"/>
                <w:lang w:eastAsia="es-CO"/>
              </w:rPr>
              <w:t>Gestor T</w:t>
            </w:r>
            <w:r w:rsidR="003E555A">
              <w:rPr>
                <w:rFonts w:ascii="Arial" w:hAnsi="Arial" w:cs="Arial"/>
                <w:sz w:val="16"/>
                <w:szCs w:val="16"/>
                <w:lang w:eastAsia="es-CO"/>
              </w:rPr>
              <w:t xml:space="preserve">1 – Grado 15 </w:t>
            </w:r>
            <w:r w:rsidR="003E555A">
              <w:rPr>
                <w:rFonts w:ascii="Arial" w:hAnsi="Arial" w:cs="Arial"/>
                <w:color w:val="000000" w:themeColor="text1"/>
                <w:sz w:val="16"/>
                <w:szCs w:val="16"/>
                <w:lang w:val="es-ES" w:eastAsia="es-ES"/>
              </w:rPr>
              <w:t>Subdirección de Gestión Contractual</w:t>
            </w:r>
          </w:p>
        </w:tc>
      </w:tr>
      <w:tr w:rsidR="000F3626" w14:paraId="324767DA" w14:textId="77777777" w:rsidTr="004A1778">
        <w:trPr>
          <w:trHeight w:val="300"/>
        </w:trPr>
        <w:tc>
          <w:tcPr>
            <w:tcW w:w="812" w:type="dxa"/>
            <w:vAlign w:val="center"/>
            <w:hideMark/>
          </w:tcPr>
          <w:p w14:paraId="39BF7588" w14:textId="77777777"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0B8E935D" w14:textId="662194FD"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Jorge </w:t>
            </w:r>
            <w:r w:rsidR="003E555A">
              <w:rPr>
                <w:rFonts w:ascii="Arial" w:hAnsi="Arial" w:cs="Arial"/>
                <w:color w:val="000000" w:themeColor="text1"/>
                <w:sz w:val="16"/>
                <w:szCs w:val="16"/>
                <w:lang w:val="es-ES" w:eastAsia="es-ES"/>
              </w:rPr>
              <w:t xml:space="preserve">Augusto </w:t>
            </w:r>
            <w:r>
              <w:rPr>
                <w:rFonts w:ascii="Arial" w:hAnsi="Arial" w:cs="Arial"/>
                <w:color w:val="000000" w:themeColor="text1"/>
                <w:sz w:val="16"/>
                <w:szCs w:val="16"/>
                <w:lang w:val="es-ES" w:eastAsia="es-ES"/>
              </w:rPr>
              <w:t>Tirado Navar</w:t>
            </w:r>
            <w:r w:rsidR="00C931AD">
              <w:rPr>
                <w:rFonts w:ascii="Arial" w:hAnsi="Arial" w:cs="Arial"/>
                <w:color w:val="000000" w:themeColor="text1"/>
                <w:sz w:val="16"/>
                <w:szCs w:val="16"/>
                <w:lang w:val="es-ES" w:eastAsia="es-ES"/>
              </w:rPr>
              <w:t>r</w:t>
            </w:r>
            <w:r>
              <w:rPr>
                <w:rFonts w:ascii="Arial" w:hAnsi="Arial" w:cs="Arial"/>
                <w:color w:val="000000" w:themeColor="text1"/>
                <w:sz w:val="16"/>
                <w:szCs w:val="16"/>
                <w:lang w:val="es-ES" w:eastAsia="es-ES"/>
              </w:rPr>
              <w:t>o</w:t>
            </w:r>
          </w:p>
          <w:p w14:paraId="5EEC8216" w14:textId="2E0A0A56" w:rsidR="000F3626" w:rsidRDefault="000F3626" w:rsidP="009D08A0">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w:t>
            </w:r>
            <w:r w:rsidR="003E555A">
              <w:rPr>
                <w:rFonts w:ascii="Arial" w:hAnsi="Arial" w:cs="Arial"/>
                <w:color w:val="000000" w:themeColor="text1"/>
                <w:sz w:val="16"/>
                <w:szCs w:val="16"/>
                <w:lang w:val="es-ES" w:eastAsia="es-ES"/>
              </w:rPr>
              <w:t xml:space="preserve"> ANCP – CCE</w:t>
            </w:r>
          </w:p>
        </w:tc>
      </w:tr>
    </w:tbl>
    <w:p w14:paraId="7867DDAC" w14:textId="77777777" w:rsidR="000F3626" w:rsidRDefault="000F3626" w:rsidP="000F3626">
      <w:pPr>
        <w:rPr>
          <w:color w:val="000000" w:themeColor="text1"/>
          <w:lang w:val="es-ES"/>
        </w:rPr>
      </w:pPr>
    </w:p>
    <w:p w14:paraId="43B01AA0" w14:textId="77777777" w:rsidR="000F3626" w:rsidRPr="003A36B7" w:rsidRDefault="000F3626" w:rsidP="000F3626">
      <w:pPr>
        <w:rPr>
          <w:lang w:val="es-ES"/>
        </w:rPr>
      </w:pPr>
    </w:p>
    <w:p w14:paraId="4E297788" w14:textId="77777777" w:rsidR="00BD0429" w:rsidRPr="000F3626" w:rsidRDefault="00BD0429">
      <w:pPr>
        <w:rPr>
          <w:lang w:val="es-ES"/>
        </w:rPr>
      </w:pPr>
    </w:p>
    <w:sectPr w:rsidR="00BD0429" w:rsidRPr="000F362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376B5" w14:textId="77777777" w:rsidR="0040242C" w:rsidRDefault="0040242C" w:rsidP="000F3626">
      <w:r>
        <w:separator/>
      </w:r>
    </w:p>
  </w:endnote>
  <w:endnote w:type="continuationSeparator" w:id="0">
    <w:p w14:paraId="645A79C8" w14:textId="77777777" w:rsidR="0040242C" w:rsidRDefault="0040242C" w:rsidP="000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330AB" w14:textId="77777777" w:rsidR="003A36B7" w:rsidRDefault="0040242C" w:rsidP="003A36B7">
    <w:pPr>
      <w:pStyle w:val="Sinespaciado"/>
      <w:jc w:val="right"/>
      <w:rPr>
        <w:rFonts w:ascii="Arial" w:hAnsi="Arial" w:cs="Arial"/>
        <w:sz w:val="18"/>
        <w:szCs w:val="18"/>
      </w:rPr>
    </w:pPr>
  </w:p>
  <w:p w14:paraId="75AF0216" w14:textId="77777777" w:rsidR="003A36B7" w:rsidRPr="008217B7" w:rsidRDefault="00C931AD" w:rsidP="003A36B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55EFEA65" w14:textId="77777777" w:rsidR="003A36B7" w:rsidRDefault="00C931AD" w:rsidP="003A36B7">
    <w:pPr>
      <w:pStyle w:val="Piedepgina"/>
      <w:jc w:val="center"/>
      <w:rPr>
        <w:lang w:val="es-ES"/>
      </w:rPr>
    </w:pPr>
    <w:r>
      <w:rPr>
        <w:noProof/>
        <w:lang w:eastAsia="es-CO"/>
      </w:rPr>
      <w:drawing>
        <wp:inline distT="0" distB="0" distL="0" distR="0" wp14:anchorId="4FF51D5D" wp14:editId="097446CA">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E9741" w14:textId="77777777" w:rsidR="0040242C" w:rsidRDefault="0040242C" w:rsidP="000F3626">
      <w:r>
        <w:separator/>
      </w:r>
    </w:p>
  </w:footnote>
  <w:footnote w:type="continuationSeparator" w:id="0">
    <w:p w14:paraId="6AE49FF0" w14:textId="77777777" w:rsidR="0040242C" w:rsidRDefault="0040242C" w:rsidP="000F3626">
      <w:r>
        <w:continuationSeparator/>
      </w:r>
    </w:p>
  </w:footnote>
  <w:footnote w:id="1">
    <w:p w14:paraId="32BB3189" w14:textId="77777777" w:rsidR="000F3626" w:rsidRDefault="000F3626" w:rsidP="000F3626">
      <w:pPr>
        <w:pStyle w:val="Textonotapie"/>
        <w:ind w:firstLine="708"/>
        <w:jc w:val="both"/>
        <w:rPr>
          <w:rFonts w:ascii="Arial" w:hAnsi="Arial" w:cs="Arial"/>
          <w:sz w:val="19"/>
          <w:szCs w:val="19"/>
          <w:lang w:val="en-US"/>
        </w:rPr>
      </w:pPr>
      <w:r>
        <w:rPr>
          <w:rStyle w:val="Refdenotaalpie"/>
          <w:rFonts w:ascii="Arial" w:hAnsi="Arial" w:cs="Arial"/>
          <w:sz w:val="19"/>
          <w:szCs w:val="19"/>
        </w:rPr>
        <w:footnoteRef/>
      </w:r>
      <w:r>
        <w:rPr>
          <w:rFonts w:ascii="Arial" w:hAnsi="Arial" w:cs="Arial"/>
          <w:sz w:val="19"/>
          <w:szCs w:val="19"/>
          <w:lang w:val="en-US"/>
        </w:rPr>
        <w:t xml:space="preserve"> EUROPEAN COMMISSION. Buying Green – A handbook on green procurement, 2016, disponible </w:t>
      </w:r>
      <w:proofErr w:type="spellStart"/>
      <w:r>
        <w:rPr>
          <w:rFonts w:ascii="Arial" w:hAnsi="Arial" w:cs="Arial"/>
          <w:sz w:val="19"/>
          <w:szCs w:val="19"/>
          <w:lang w:val="en-US"/>
        </w:rPr>
        <w:t>en</w:t>
      </w:r>
      <w:proofErr w:type="spellEnd"/>
      <w:r>
        <w:rPr>
          <w:rFonts w:ascii="Arial" w:hAnsi="Arial" w:cs="Arial"/>
          <w:sz w:val="19"/>
          <w:szCs w:val="19"/>
          <w:lang w:val="en-US"/>
        </w:rPr>
        <w:t xml:space="preserve">: https://ec.europa.eu/environment/gpp/pdf/Buying-Green-Handbook-3rd-Edition.pdf  </w:t>
      </w:r>
    </w:p>
    <w:p w14:paraId="52681189" w14:textId="77777777" w:rsidR="000F3626" w:rsidRDefault="000F3626" w:rsidP="000F3626">
      <w:pPr>
        <w:pStyle w:val="Textonotapie"/>
        <w:ind w:firstLine="708"/>
        <w:jc w:val="both"/>
        <w:rPr>
          <w:rFonts w:ascii="Arial" w:hAnsi="Arial" w:cs="Arial"/>
          <w:sz w:val="19"/>
          <w:szCs w:val="19"/>
          <w:lang w:val="en-US"/>
        </w:rPr>
      </w:pPr>
    </w:p>
  </w:footnote>
  <w:footnote w:id="2">
    <w:p w14:paraId="7D759A85" w14:textId="77777777" w:rsidR="000F3626" w:rsidRDefault="000F3626" w:rsidP="000F3626">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lang w:val="es-ES"/>
        </w:rPr>
        <w:t xml:space="preserve"> ARROWSMITH, SUE. </w:t>
      </w:r>
      <w:r>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23B5D3C8" w14:textId="77777777" w:rsidR="000F3626" w:rsidRDefault="000F3626" w:rsidP="000F3626">
      <w:pPr>
        <w:pStyle w:val="Textonotapie"/>
        <w:ind w:firstLine="708"/>
        <w:jc w:val="both"/>
        <w:rPr>
          <w:rFonts w:ascii="Arial" w:hAnsi="Arial" w:cs="Arial"/>
          <w:sz w:val="19"/>
          <w:szCs w:val="19"/>
          <w:lang w:val="es-CO"/>
        </w:rPr>
      </w:pPr>
    </w:p>
  </w:footnote>
  <w:footnote w:id="3">
    <w:p w14:paraId="118A760D" w14:textId="77777777" w:rsidR="000F3626" w:rsidRDefault="000F3626" w:rsidP="000F3626">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proofErr w:type="spellStart"/>
      <w:r>
        <w:rPr>
          <w:rFonts w:ascii="Arial" w:hAnsi="Arial" w:cs="Arial"/>
          <w:sz w:val="19"/>
          <w:szCs w:val="19"/>
          <w:lang w:val="es-CO"/>
        </w:rPr>
        <w:t>Ibídem</w:t>
      </w:r>
      <w:proofErr w:type="spellEnd"/>
      <w:r>
        <w:rPr>
          <w:rFonts w:ascii="Arial" w:hAnsi="Arial" w:cs="Arial"/>
          <w:sz w:val="19"/>
          <w:szCs w:val="19"/>
          <w:lang w:val="es-CO"/>
        </w:rPr>
        <w:t xml:space="preserve">, p. 227. </w:t>
      </w:r>
    </w:p>
    <w:p w14:paraId="07DF94C3" w14:textId="77777777" w:rsidR="000F3626" w:rsidRDefault="000F3626" w:rsidP="000F3626">
      <w:pPr>
        <w:pStyle w:val="Textonotapie"/>
        <w:ind w:firstLine="708"/>
        <w:jc w:val="both"/>
        <w:rPr>
          <w:rFonts w:ascii="Arial" w:hAnsi="Arial" w:cs="Arial"/>
          <w:sz w:val="19"/>
          <w:szCs w:val="19"/>
          <w:lang w:val="es-CO"/>
        </w:rPr>
      </w:pPr>
    </w:p>
  </w:footnote>
  <w:footnote w:id="4">
    <w:p w14:paraId="275AAD9F" w14:textId="320647D1"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CONSEJO DE ESTADO, SALA DE CONSULTA Y SERVICIO CIVIL. Concepto del 8 de marzo de 2017, rad. </w:t>
      </w:r>
      <w:r>
        <w:rPr>
          <w:rFonts w:ascii="Arial" w:hAnsi="Arial" w:cs="Arial"/>
          <w:sz w:val="19"/>
          <w:szCs w:val="19"/>
        </w:rPr>
        <w:t>11001-03-06-000-2016-00102-00</w:t>
      </w:r>
      <w:r w:rsidR="0056722C">
        <w:rPr>
          <w:rFonts w:ascii="Arial" w:hAnsi="Arial" w:cs="Arial"/>
          <w:sz w:val="19"/>
          <w:szCs w:val="19"/>
        </w:rPr>
        <w:t xml:space="preserve"> </w:t>
      </w:r>
      <w:r>
        <w:rPr>
          <w:rFonts w:ascii="Arial" w:hAnsi="Arial" w:cs="Arial"/>
          <w:sz w:val="19"/>
          <w:szCs w:val="19"/>
        </w:rPr>
        <w:t>(2</w:t>
      </w:r>
      <w:r w:rsidR="0056722C">
        <w:rPr>
          <w:rFonts w:ascii="Arial" w:hAnsi="Arial" w:cs="Arial"/>
          <w:sz w:val="19"/>
          <w:szCs w:val="19"/>
        </w:rPr>
        <w:t>.</w:t>
      </w:r>
      <w:r>
        <w:rPr>
          <w:rFonts w:ascii="Arial" w:hAnsi="Arial" w:cs="Arial"/>
          <w:sz w:val="19"/>
          <w:szCs w:val="19"/>
        </w:rPr>
        <w:t xml:space="preserve">298). CP. Édgar González López. </w:t>
      </w:r>
    </w:p>
    <w:p w14:paraId="5CC369C0" w14:textId="77777777" w:rsidR="000F3626" w:rsidRDefault="000F3626" w:rsidP="000F3626">
      <w:pPr>
        <w:pStyle w:val="Textonotapie"/>
        <w:ind w:firstLine="708"/>
        <w:jc w:val="both"/>
        <w:rPr>
          <w:rFonts w:ascii="Arial" w:hAnsi="Arial" w:cs="Arial"/>
          <w:sz w:val="19"/>
          <w:szCs w:val="19"/>
          <w:lang w:val="es-CO"/>
        </w:rPr>
      </w:pPr>
    </w:p>
  </w:footnote>
  <w:footnote w:id="5">
    <w:p w14:paraId="4FBCE568" w14:textId="77777777"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DUQUE BOTERO, Juan David. Contratación pública estratégica, socialmente responsable y competitiva. Bogotá: Tirant Lo Blanch, 2018. p. 52. </w:t>
      </w:r>
    </w:p>
  </w:footnote>
  <w:footnote w:id="6">
    <w:p w14:paraId="1CB9ADE3" w14:textId="77777777" w:rsidR="000F3626" w:rsidRDefault="000F3626" w:rsidP="000F3626">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1A508E8C" w14:textId="77777777" w:rsidR="000F3626" w:rsidRDefault="000F3626" w:rsidP="000F362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1F79435D" w14:textId="77777777" w:rsidR="000F3626" w:rsidRDefault="000F3626" w:rsidP="000F3626">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»La</w:t>
      </w:r>
      <w:proofErr w:type="gramEnd"/>
      <w:r>
        <w:rPr>
          <w:rFonts w:ascii="Arial" w:hAnsi="Arial" w:cs="Arial"/>
          <w:color w:val="000000" w:themeColor="text1"/>
          <w:sz w:val="19"/>
          <w:szCs w:val="19"/>
        </w:rPr>
        <w:t xml:space="preserve">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0A1A0A99" w14:textId="77777777" w:rsidR="000F3626" w:rsidRDefault="000F3626" w:rsidP="000F3626">
      <w:pPr>
        <w:pStyle w:val="Textonotapie"/>
        <w:ind w:firstLine="708"/>
        <w:jc w:val="both"/>
        <w:rPr>
          <w:rFonts w:ascii="Arial" w:hAnsi="Arial" w:cs="Arial"/>
          <w:color w:val="000000" w:themeColor="text1"/>
          <w:sz w:val="19"/>
          <w:szCs w:val="19"/>
          <w:lang w:val="es-ES"/>
        </w:rPr>
      </w:pPr>
    </w:p>
  </w:footnote>
  <w:footnote w:id="7">
    <w:p w14:paraId="241551D2" w14:textId="77777777" w:rsidR="000F3626" w:rsidRDefault="000F3626" w:rsidP="000F3626">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60F0AEA4" w14:textId="77777777" w:rsidR="000F3626" w:rsidRDefault="000F3626" w:rsidP="000F3626">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p>
    <w:p w14:paraId="0C68C31E" w14:textId="77777777" w:rsidR="000F3626" w:rsidRDefault="000F3626" w:rsidP="000F3626">
      <w:pPr>
        <w:pStyle w:val="Textonotapie"/>
        <w:ind w:firstLine="708"/>
        <w:jc w:val="both"/>
        <w:rPr>
          <w:rFonts w:ascii="Arial" w:hAnsi="Arial" w:cs="Arial"/>
          <w:color w:val="000000" w:themeColor="text1"/>
          <w:sz w:val="19"/>
          <w:szCs w:val="19"/>
        </w:rPr>
      </w:pPr>
      <w:proofErr w:type="gramStart"/>
      <w:r>
        <w:rPr>
          <w:rFonts w:ascii="Arial" w:hAnsi="Arial" w:cs="Arial"/>
          <w:color w:val="000000" w:themeColor="text1"/>
          <w:sz w:val="19"/>
          <w:szCs w:val="19"/>
        </w:rPr>
        <w:t>»Servicios</w:t>
      </w:r>
      <w:proofErr w:type="gramEnd"/>
      <w:r>
        <w:rPr>
          <w:rFonts w:ascii="Arial" w:hAnsi="Arial" w:cs="Arial"/>
          <w:color w:val="000000" w:themeColor="text1"/>
          <w:sz w:val="19"/>
          <w:szCs w:val="19"/>
        </w:rPr>
        <w:t xml:space="preserve"> Nacionales: Servicios prestados por personas naturales colombianas o residentes en Colombia o por personas jurídicas constituidas de conformidad con la legislación colombiana».</w:t>
      </w:r>
    </w:p>
    <w:p w14:paraId="2A11FAD7" w14:textId="77777777" w:rsidR="000F3626" w:rsidRDefault="000F3626" w:rsidP="000F3626">
      <w:pPr>
        <w:pStyle w:val="Textonotapie"/>
        <w:ind w:firstLine="708"/>
        <w:jc w:val="both"/>
        <w:rPr>
          <w:rFonts w:ascii="Arial" w:hAnsi="Arial" w:cs="Arial"/>
          <w:color w:val="000000" w:themeColor="text1"/>
          <w:sz w:val="19"/>
          <w:szCs w:val="19"/>
        </w:rPr>
      </w:pPr>
    </w:p>
  </w:footnote>
  <w:footnote w:id="8">
    <w:p w14:paraId="0ED0D2A4" w14:textId="77777777" w:rsidR="000F3626" w:rsidRDefault="000F3626" w:rsidP="000F362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7C2D8A75" w14:textId="2FCDBC5D"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En ese sentido, ver CORTE CONSTITUCIONAL. Sentencia C-619 del 14 de junio de 2001. M.P. Marco Gerardo Monr</w:t>
      </w:r>
      <w:r w:rsidR="007C370C">
        <w:rPr>
          <w:rFonts w:ascii="Arial" w:hAnsi="Arial" w:cs="Arial"/>
          <w:sz w:val="19"/>
          <w:szCs w:val="19"/>
        </w:rPr>
        <w:t>o</w:t>
      </w:r>
      <w:r>
        <w:rPr>
          <w:rFonts w:ascii="Arial" w:hAnsi="Arial" w:cs="Arial"/>
          <w:sz w:val="19"/>
          <w:szCs w:val="19"/>
        </w:rPr>
        <w:t xml:space="preserve">y Cabra. </w:t>
      </w:r>
    </w:p>
    <w:p w14:paraId="7A25A323" w14:textId="77777777" w:rsidR="000F3626" w:rsidRDefault="000F3626" w:rsidP="000F3626">
      <w:pPr>
        <w:pStyle w:val="Textonotapie"/>
        <w:ind w:firstLine="708"/>
        <w:jc w:val="both"/>
        <w:rPr>
          <w:rFonts w:ascii="Arial" w:hAnsi="Arial" w:cs="Arial"/>
          <w:sz w:val="19"/>
          <w:szCs w:val="19"/>
        </w:rPr>
      </w:pPr>
    </w:p>
  </w:footnote>
  <w:footnote w:id="10">
    <w:p w14:paraId="10F060A4" w14:textId="315D9038" w:rsidR="000F3626" w:rsidRDefault="000F3626" w:rsidP="000F362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Gacetas del Congreso</w:t>
      </w:r>
      <w:r w:rsidR="00AA3DF7">
        <w:rPr>
          <w:rFonts w:ascii="Arial" w:hAnsi="Arial" w:cs="Arial"/>
          <w:sz w:val="19"/>
          <w:szCs w:val="19"/>
        </w:rPr>
        <w:t>.</w:t>
      </w:r>
      <w:r>
        <w:rPr>
          <w:rFonts w:ascii="Arial" w:hAnsi="Arial" w:cs="Arial"/>
          <w:sz w:val="19"/>
          <w:szCs w:val="19"/>
        </w:rPr>
        <w:t xml:space="preserve"> 948 de 2018, 192 de 2019, 900 de 2019 y 314 de 2020. </w:t>
      </w:r>
    </w:p>
  </w:footnote>
  <w:footnote w:id="11">
    <w:p w14:paraId="70B82ED8" w14:textId="77777777" w:rsidR="000F3626" w:rsidRDefault="000F3626" w:rsidP="000F3626">
      <w:pPr>
        <w:pStyle w:val="Textonotapie"/>
        <w:ind w:firstLine="708"/>
        <w:jc w:val="both"/>
        <w:rPr>
          <w:rFonts w:ascii="Arial" w:hAnsi="Arial" w:cs="Arial"/>
          <w:sz w:val="19"/>
          <w:szCs w:val="19"/>
        </w:rPr>
      </w:pPr>
    </w:p>
    <w:p w14:paraId="64EA084E" w14:textId="5AD1A044"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Gaceta del Congreso. 314 del miércoles 10 de junio de 2020, </w:t>
      </w:r>
      <w:r w:rsidR="00AA3DF7">
        <w:rPr>
          <w:rFonts w:ascii="Arial" w:hAnsi="Arial" w:cs="Arial"/>
          <w:sz w:val="19"/>
          <w:szCs w:val="19"/>
        </w:rPr>
        <w:t>p.</w:t>
      </w:r>
      <w:r>
        <w:rPr>
          <w:rFonts w:ascii="Arial" w:hAnsi="Arial" w:cs="Arial"/>
          <w:sz w:val="19"/>
          <w:szCs w:val="19"/>
        </w:rPr>
        <w:t xml:space="preserve"> 7.</w:t>
      </w:r>
    </w:p>
    <w:p w14:paraId="014D91A6" w14:textId="77777777" w:rsidR="000F3626" w:rsidRDefault="000F3626" w:rsidP="000F3626">
      <w:pPr>
        <w:pStyle w:val="Textonotapie"/>
        <w:ind w:firstLine="708"/>
        <w:jc w:val="both"/>
        <w:rPr>
          <w:rFonts w:ascii="Arial" w:hAnsi="Arial" w:cs="Arial"/>
          <w:sz w:val="19"/>
          <w:szCs w:val="19"/>
          <w:lang w:val="es-ES"/>
        </w:rPr>
      </w:pPr>
    </w:p>
  </w:footnote>
  <w:footnote w:id="12">
    <w:p w14:paraId="17D943B5" w14:textId="77777777"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w:t>
      </w:r>
      <w:proofErr w:type="spellStart"/>
      <w:r>
        <w:rPr>
          <w:rFonts w:ascii="Arial" w:hAnsi="Arial" w:cs="Arial"/>
          <w:sz w:val="19"/>
          <w:szCs w:val="19"/>
        </w:rPr>
        <w:t>ii</w:t>
      </w:r>
      <w:proofErr w:type="spellEnd"/>
      <w:r>
        <w:rPr>
          <w:rFonts w:ascii="Arial" w:hAnsi="Arial" w:cs="Arial"/>
          <w:sz w:val="19"/>
          <w:szCs w:val="19"/>
        </w:rPr>
        <w:t xml:space="preserve">) tipos de actividades y oficios que pueden asignárseles a los adultos mayores trabajadores cobijados por esta ley; </w:t>
      </w:r>
      <w:proofErr w:type="spellStart"/>
      <w:r>
        <w:rPr>
          <w:rFonts w:ascii="Arial" w:hAnsi="Arial" w:cs="Arial"/>
          <w:sz w:val="19"/>
          <w:szCs w:val="19"/>
        </w:rPr>
        <w:t>iii</w:t>
      </w:r>
      <w:proofErr w:type="spellEnd"/>
      <w:r>
        <w:rPr>
          <w:rFonts w:ascii="Arial" w:hAnsi="Arial" w:cs="Arial"/>
          <w:sz w:val="19"/>
          <w:szCs w:val="19"/>
        </w:rPr>
        <w:t xml:space="preserve">) Derechos y obligaciones especiales de las empresas empleadoras que se acojan a esta ley; </w:t>
      </w:r>
      <w:proofErr w:type="spellStart"/>
      <w:r>
        <w:rPr>
          <w:rFonts w:ascii="Arial" w:hAnsi="Arial" w:cs="Arial"/>
          <w:sz w:val="19"/>
          <w:szCs w:val="19"/>
        </w:rPr>
        <w:t>iv</w:t>
      </w:r>
      <w:proofErr w:type="spellEnd"/>
      <w:r>
        <w:rPr>
          <w:rFonts w:ascii="Arial" w:hAnsi="Arial" w:cs="Arial"/>
          <w:sz w:val="19"/>
          <w:szCs w:val="19"/>
        </w:rPr>
        <w:t xml:space="preserve">) Procedimiento de verificación del cumplimiento de requisitos por parte de las empresas empleadoras. </w:t>
      </w:r>
    </w:p>
    <w:p w14:paraId="0507254A" w14:textId="77777777" w:rsidR="000F3626" w:rsidRDefault="000F3626" w:rsidP="000F3626">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1. Será responsabilidad de las empresas certificar ante el Ministerio del Trabajo el cumplimiento de los requisitos para acceder a los beneficios contemplados por esta ley. </w:t>
      </w:r>
    </w:p>
    <w:p w14:paraId="7E2E3F24" w14:textId="77777777" w:rsidR="000F3626" w:rsidRDefault="000F3626" w:rsidP="000F3626">
      <w:pPr>
        <w:pStyle w:val="Textonotapie"/>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xml:space="preserve">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4F393390" w14:textId="77777777" w:rsidR="000F3626" w:rsidRDefault="000F3626" w:rsidP="000F3626">
      <w:pPr>
        <w:pStyle w:val="Textonotapie"/>
        <w:ind w:firstLine="708"/>
        <w:jc w:val="both"/>
        <w:rPr>
          <w:rFonts w:ascii="Arial" w:hAnsi="Arial" w:cs="Arial"/>
          <w:sz w:val="19"/>
          <w:szCs w:val="19"/>
          <w:lang w:val="es-CO"/>
        </w:rPr>
      </w:pPr>
    </w:p>
  </w:footnote>
  <w:footnote w:id="13">
    <w:p w14:paraId="607BF7B3" w14:textId="77777777" w:rsidR="000F3626" w:rsidRDefault="000F3626" w:rsidP="000F362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Auto de 1 de abril de 2009. </w:t>
      </w:r>
      <w:proofErr w:type="spellStart"/>
      <w:r>
        <w:rPr>
          <w:rFonts w:ascii="Arial" w:hAnsi="Arial" w:cs="Arial"/>
          <w:sz w:val="19"/>
          <w:szCs w:val="19"/>
        </w:rPr>
        <w:t>Exp</w:t>
      </w:r>
      <w:proofErr w:type="spellEnd"/>
      <w:r>
        <w:rPr>
          <w:rFonts w:ascii="Arial" w:hAnsi="Arial" w:cs="Arial"/>
          <w:sz w:val="19"/>
          <w:szCs w:val="19"/>
        </w:rPr>
        <w:t xml:space="preserve">. 36476. M.P. Ruth Stella Correa Palacio.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A6672" w14:textId="77777777" w:rsidR="004A580D" w:rsidRDefault="00C931AD" w:rsidP="003A36B7">
    <w:pPr>
      <w:pStyle w:val="Encabezado"/>
    </w:pPr>
    <w:r>
      <w:rPr>
        <w:noProof/>
        <w:lang w:eastAsia="es-CO"/>
      </w:rPr>
      <w:drawing>
        <wp:anchor distT="0" distB="0" distL="114300" distR="114300" simplePos="0" relativeHeight="251659264" behindDoc="1" locked="0" layoutInCell="1" allowOverlap="1" wp14:anchorId="4D1EDEB2" wp14:editId="34522F80">
          <wp:simplePos x="0" y="0"/>
          <wp:positionH relativeFrom="margin">
            <wp:align>right</wp:align>
          </wp:positionH>
          <wp:positionV relativeFrom="paragraph">
            <wp:posOffset>10160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98E3C6" w14:textId="77777777" w:rsidR="003A36B7" w:rsidRDefault="0040242C" w:rsidP="003A36B7">
    <w:pPr>
      <w:pStyle w:val="Encabezado"/>
    </w:pPr>
  </w:p>
  <w:p w14:paraId="63672441" w14:textId="77777777" w:rsidR="003A36B7" w:rsidRDefault="004024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26"/>
    <w:rsid w:val="00085F5C"/>
    <w:rsid w:val="000F3626"/>
    <w:rsid w:val="00215F4F"/>
    <w:rsid w:val="00217A12"/>
    <w:rsid w:val="00253153"/>
    <w:rsid w:val="002E755A"/>
    <w:rsid w:val="00306A95"/>
    <w:rsid w:val="003949FD"/>
    <w:rsid w:val="003E555A"/>
    <w:rsid w:val="0040242C"/>
    <w:rsid w:val="0044146B"/>
    <w:rsid w:val="00483728"/>
    <w:rsid w:val="004A1778"/>
    <w:rsid w:val="004B2574"/>
    <w:rsid w:val="004C4C24"/>
    <w:rsid w:val="00535A56"/>
    <w:rsid w:val="00542EF6"/>
    <w:rsid w:val="0056722C"/>
    <w:rsid w:val="00614641"/>
    <w:rsid w:val="00650234"/>
    <w:rsid w:val="007B7BE1"/>
    <w:rsid w:val="007C370C"/>
    <w:rsid w:val="007F6A60"/>
    <w:rsid w:val="00836F1B"/>
    <w:rsid w:val="00874E1F"/>
    <w:rsid w:val="008912BD"/>
    <w:rsid w:val="00A04487"/>
    <w:rsid w:val="00AA3DF7"/>
    <w:rsid w:val="00B1549D"/>
    <w:rsid w:val="00BD0429"/>
    <w:rsid w:val="00C931AD"/>
    <w:rsid w:val="00CA1085"/>
    <w:rsid w:val="00CB63FA"/>
    <w:rsid w:val="00CF6900"/>
    <w:rsid w:val="00E3193A"/>
    <w:rsid w:val="00E9760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5679"/>
  <w15:chartTrackingRefBased/>
  <w15:docId w15:val="{2542F83E-0B97-4853-A886-E99D19F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26"/>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0F362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0F3626"/>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0F3626"/>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362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F3626"/>
    <w:pPr>
      <w:ind w:left="720"/>
      <w:contextualSpacing/>
    </w:pPr>
    <w:rPr>
      <w:rFonts w:asciiTheme="minorHAnsi" w:eastAsiaTheme="minorHAnsi" w:hAnsiTheme="minorHAnsi" w:cstheme="minorBidi"/>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semiHidden/>
    <w:unhideWhenUsed/>
    <w:qFormat/>
    <w:rsid w:val="000F3626"/>
    <w:rPr>
      <w:vertAlign w:val="superscript"/>
    </w:rPr>
  </w:style>
  <w:style w:type="table" w:styleId="Tablaconcuadrcula">
    <w:name w:val="Table Grid"/>
    <w:basedOn w:val="Tablanormal"/>
    <w:uiPriority w:val="39"/>
    <w:rsid w:val="000F3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3626"/>
    <w:pPr>
      <w:tabs>
        <w:tab w:val="center" w:pos="4419"/>
        <w:tab w:val="right" w:pos="8838"/>
      </w:tabs>
    </w:pPr>
  </w:style>
  <w:style w:type="character" w:customStyle="1" w:styleId="EncabezadoCar">
    <w:name w:val="Encabezado Car"/>
    <w:basedOn w:val="Fuentedeprrafopredeter"/>
    <w:link w:val="Encabezado"/>
    <w:uiPriority w:val="99"/>
    <w:rsid w:val="000F3626"/>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0F3626"/>
    <w:pPr>
      <w:tabs>
        <w:tab w:val="center" w:pos="4419"/>
        <w:tab w:val="right" w:pos="8838"/>
      </w:tabs>
    </w:pPr>
  </w:style>
  <w:style w:type="character" w:customStyle="1" w:styleId="PiedepginaCar">
    <w:name w:val="Pie de página Car"/>
    <w:basedOn w:val="Fuentedeprrafopredeter"/>
    <w:link w:val="Piedepgina"/>
    <w:uiPriority w:val="99"/>
    <w:rsid w:val="000F3626"/>
    <w:rPr>
      <w:rFonts w:ascii="Times New Roman" w:eastAsia="Times New Roman" w:hAnsi="Times New Roman" w:cs="Times New Roman"/>
      <w:sz w:val="24"/>
      <w:szCs w:val="24"/>
    </w:rPr>
  </w:style>
  <w:style w:type="paragraph" w:styleId="Sinespaciado">
    <w:name w:val="No Spacing"/>
    <w:uiPriority w:val="1"/>
    <w:qFormat/>
    <w:rsid w:val="000F3626"/>
    <w:pPr>
      <w:spacing w:after="0" w:line="240" w:lineRule="auto"/>
    </w:pPr>
    <w:rPr>
      <w:sz w:val="24"/>
      <w:lang w:val="es-MX"/>
    </w:rPr>
  </w:style>
  <w:style w:type="paragraph" w:styleId="Textodeglobo">
    <w:name w:val="Balloon Text"/>
    <w:basedOn w:val="Normal"/>
    <w:link w:val="TextodegloboCar"/>
    <w:uiPriority w:val="99"/>
    <w:semiHidden/>
    <w:unhideWhenUsed/>
    <w:rsid w:val="000F36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626"/>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E555A"/>
    <w:rPr>
      <w:sz w:val="16"/>
      <w:szCs w:val="16"/>
    </w:rPr>
  </w:style>
  <w:style w:type="paragraph" w:styleId="Textocomentario">
    <w:name w:val="annotation text"/>
    <w:basedOn w:val="Normal"/>
    <w:link w:val="TextocomentarioCar"/>
    <w:uiPriority w:val="99"/>
    <w:semiHidden/>
    <w:unhideWhenUsed/>
    <w:rsid w:val="003E555A"/>
    <w:rPr>
      <w:sz w:val="20"/>
      <w:szCs w:val="20"/>
    </w:rPr>
  </w:style>
  <w:style w:type="character" w:customStyle="1" w:styleId="TextocomentarioCar">
    <w:name w:val="Texto comentario Car"/>
    <w:basedOn w:val="Fuentedeprrafopredeter"/>
    <w:link w:val="Textocomentario"/>
    <w:uiPriority w:val="99"/>
    <w:semiHidden/>
    <w:rsid w:val="003E555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555A"/>
    <w:rPr>
      <w:b/>
      <w:bCs/>
    </w:rPr>
  </w:style>
  <w:style w:type="character" w:customStyle="1" w:styleId="AsuntodelcomentarioCar">
    <w:name w:val="Asunto del comentario Car"/>
    <w:basedOn w:val="TextocomentarioCar"/>
    <w:link w:val="Asuntodelcomentario"/>
    <w:uiPriority w:val="99"/>
    <w:semiHidden/>
    <w:rsid w:val="003E55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140AEB5-3890-4A08-B168-2CFD2D86504A}"/>
</file>

<file path=customXml/itemProps2.xml><?xml version="1.0" encoding="utf-8"?>
<ds:datastoreItem xmlns:ds="http://schemas.openxmlformats.org/officeDocument/2006/customXml" ds:itemID="{8966AF2B-8396-4ACD-82E1-456280BE5775}"/>
</file>

<file path=customXml/itemProps3.xml><?xml version="1.0" encoding="utf-8"?>
<ds:datastoreItem xmlns:ds="http://schemas.openxmlformats.org/officeDocument/2006/customXml" ds:itemID="{BF9FB1DE-444D-4598-A56F-1F13034FF8DE}"/>
</file>

<file path=docProps/app.xml><?xml version="1.0" encoding="utf-8"?>
<Properties xmlns="http://schemas.openxmlformats.org/officeDocument/2006/extended-properties" xmlns:vt="http://schemas.openxmlformats.org/officeDocument/2006/docPropsVTypes">
  <Template>Normal</Template>
  <TotalTime>4</TotalTime>
  <Pages>15</Pages>
  <Words>6141</Words>
  <Characters>33781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4</cp:revision>
  <dcterms:created xsi:type="dcterms:W3CDTF">2020-12-03T12:39:00Z</dcterms:created>
  <dcterms:modified xsi:type="dcterms:W3CDTF">2020-12-03T12:44:00Z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