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C4D76" w14:textId="77777777" w:rsidR="00DD689E" w:rsidRPr="00E013AA" w:rsidRDefault="00DD689E" w:rsidP="00DD689E">
      <w:pPr>
        <w:jc w:val="right"/>
        <w:rPr>
          <w:rFonts w:ascii="Arial" w:hAnsi="Arial" w:cs="Arial"/>
          <w:bCs/>
          <w:sz w:val="16"/>
          <w:szCs w:val="16"/>
          <w:lang w:eastAsia="es-ES"/>
        </w:rPr>
      </w:pPr>
      <w:bookmarkStart w:id="0" w:name="_Hlk28946138"/>
      <w:bookmarkStart w:id="1" w:name="_Hlk29548183"/>
      <w:r w:rsidRPr="00E013AA">
        <w:rPr>
          <w:rFonts w:ascii="Arial" w:hAnsi="Arial" w:cs="Arial"/>
          <w:b/>
          <w:sz w:val="16"/>
          <w:szCs w:val="16"/>
          <w:lang w:eastAsia="es-ES"/>
        </w:rPr>
        <w:tab/>
      </w:r>
      <w:r w:rsidRPr="00E013AA">
        <w:rPr>
          <w:rFonts w:ascii="Arial" w:hAnsi="Arial" w:cs="Arial"/>
          <w:bCs/>
          <w:sz w:val="16"/>
          <w:szCs w:val="16"/>
          <w:lang w:eastAsia="es-ES"/>
        </w:rPr>
        <w:t>CCE-DES-FM-17</w:t>
      </w:r>
    </w:p>
    <w:p w14:paraId="6C9475B7" w14:textId="77777777" w:rsidR="00DD689E" w:rsidRPr="00E013AA" w:rsidRDefault="00DD689E" w:rsidP="00DD689E">
      <w:pPr>
        <w:jc w:val="both"/>
        <w:rPr>
          <w:rFonts w:ascii="Arial" w:eastAsia="Calibri" w:hAnsi="Arial" w:cs="Arial"/>
          <w:b/>
          <w:sz w:val="20"/>
          <w:szCs w:val="20"/>
        </w:rPr>
      </w:pPr>
    </w:p>
    <w:p w14:paraId="33EBAFD6" w14:textId="4EF0C39C" w:rsidR="00DD689E" w:rsidRPr="00E013AA" w:rsidRDefault="008363B6" w:rsidP="00DD689E">
      <w:pPr>
        <w:jc w:val="both"/>
        <w:rPr>
          <w:rFonts w:ascii="Arial" w:eastAsia="Calibri" w:hAnsi="Arial" w:cs="Arial"/>
          <w:b/>
          <w:sz w:val="20"/>
          <w:szCs w:val="20"/>
        </w:rPr>
      </w:pPr>
      <w:r>
        <w:rPr>
          <w:rFonts w:ascii="Arial" w:eastAsia="Calibri" w:hAnsi="Arial" w:cs="Arial"/>
          <w:b/>
          <w:sz w:val="22"/>
        </w:rPr>
        <w:t>DOCUMENTOS</w:t>
      </w:r>
      <w:r w:rsidR="00DD689E" w:rsidRPr="00E013AA">
        <w:rPr>
          <w:rFonts w:ascii="Arial" w:eastAsia="Calibri" w:hAnsi="Arial" w:cs="Arial"/>
          <w:b/>
          <w:sz w:val="22"/>
        </w:rPr>
        <w:t xml:space="preserve"> TIPO – </w:t>
      </w:r>
      <w:r>
        <w:rPr>
          <w:rFonts w:ascii="Arial" w:eastAsia="Calibri" w:hAnsi="Arial" w:cs="Arial"/>
          <w:b/>
          <w:sz w:val="22"/>
        </w:rPr>
        <w:t>Ámbito de aplicación – Matriz 1</w:t>
      </w:r>
      <w:r w:rsidR="00DD689E" w:rsidRPr="00E013AA">
        <w:rPr>
          <w:rFonts w:ascii="Arial" w:eastAsia="Calibri" w:hAnsi="Arial" w:cs="Arial"/>
          <w:b/>
          <w:sz w:val="20"/>
          <w:szCs w:val="20"/>
        </w:rPr>
        <w:t xml:space="preserve"> </w:t>
      </w:r>
    </w:p>
    <w:p w14:paraId="73C577AF" w14:textId="77777777" w:rsidR="00DD689E" w:rsidRPr="00E013AA" w:rsidRDefault="00DD689E" w:rsidP="00DD689E">
      <w:pPr>
        <w:jc w:val="both"/>
        <w:rPr>
          <w:rFonts w:ascii="Arial" w:eastAsia="Calibri" w:hAnsi="Arial" w:cs="Arial"/>
          <w:b/>
          <w:sz w:val="20"/>
          <w:szCs w:val="20"/>
        </w:rPr>
      </w:pPr>
    </w:p>
    <w:p w14:paraId="25606177" w14:textId="1FED10C9" w:rsidR="008363B6" w:rsidRPr="00E013AA" w:rsidRDefault="00562540" w:rsidP="008363B6">
      <w:pPr>
        <w:jc w:val="both"/>
        <w:rPr>
          <w:rFonts w:ascii="Arial" w:eastAsia="Calibri" w:hAnsi="Arial" w:cs="Arial"/>
          <w:sz w:val="20"/>
          <w:szCs w:val="20"/>
        </w:rPr>
      </w:pPr>
      <w:r>
        <w:rPr>
          <w:rFonts w:ascii="Arial" w:eastAsia="Calibri" w:hAnsi="Arial" w:cs="Arial"/>
          <w:sz w:val="20"/>
          <w:szCs w:val="20"/>
        </w:rPr>
        <w:t xml:space="preserve">[…] </w:t>
      </w:r>
      <w:r w:rsidR="00D20C0C" w:rsidRPr="00D20C0C">
        <w:rPr>
          <w:rFonts w:ascii="Arial" w:eastAsia="Calibri" w:hAnsi="Arial" w:cs="Arial"/>
          <w:sz w:val="20"/>
          <w:szCs w:val="20"/>
        </w:rPr>
        <w:t>el ámbito de aplicación de los Documentos Tipo de obra pública de infraestructura de transporte, en primer lugar, está determinado por la modalidad de selección procedente, ya que dependiendo de si el proceso de contratación es de licitación pública, selección abreviada de menor cuantía o mínima cuantía, deberán aplicarse los documentos tipo adoptados por las resoluciones Nos. 045 de 2020 , 044 de 2020  o 094 de 2020, respectivamente.</w:t>
      </w:r>
      <w:r w:rsidR="00D20C0C">
        <w:rPr>
          <w:rFonts w:ascii="Arial" w:eastAsia="Calibri" w:hAnsi="Arial" w:cs="Arial"/>
          <w:sz w:val="20"/>
          <w:szCs w:val="20"/>
        </w:rPr>
        <w:t xml:space="preserve"> </w:t>
      </w:r>
      <w:r w:rsidR="00D20C0C" w:rsidRPr="00D20C0C">
        <w:rPr>
          <w:rFonts w:ascii="Arial" w:eastAsia="Calibri" w:hAnsi="Arial" w:cs="Arial"/>
          <w:sz w:val="20"/>
          <w:szCs w:val="20"/>
        </w:rPr>
        <w:t xml:space="preserve">En segundo lugar, para determinar si la entidad regida por el EGCAP está obligada a aplicar los documentos tipo para la respectiva contratación, habrá que determinar si el objeto a contratarse encuadra dentro de los tipos de obra y actividades establecidas dentro de la respectiva Matriz 1, documento que además estandariza los requisitos de experiencia exigibles para cada uno de los objetos contractuales que deben contratarse aplicando Documentos Tipo. En tal sentido, la entidad asociará el objeto contractual a uno de los tipos de obra de infraestructura de transporte relacionados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 </w:t>
      </w:r>
    </w:p>
    <w:p w14:paraId="5E9D07D6" w14:textId="77777777" w:rsidR="00D20C0C" w:rsidRDefault="00D20C0C" w:rsidP="00DD689E">
      <w:pPr>
        <w:jc w:val="both"/>
        <w:rPr>
          <w:rFonts w:ascii="Arial" w:eastAsia="Calibri" w:hAnsi="Arial" w:cs="Arial"/>
          <w:b/>
          <w:sz w:val="22"/>
        </w:rPr>
      </w:pPr>
    </w:p>
    <w:p w14:paraId="055509AD" w14:textId="64A9BBF8" w:rsidR="00DD689E" w:rsidRPr="00E013AA" w:rsidRDefault="00562540" w:rsidP="00DD689E">
      <w:pPr>
        <w:jc w:val="both"/>
        <w:rPr>
          <w:rFonts w:ascii="Arial" w:eastAsia="Calibri" w:hAnsi="Arial" w:cs="Arial"/>
          <w:b/>
          <w:sz w:val="22"/>
        </w:rPr>
      </w:pPr>
      <w:r>
        <w:rPr>
          <w:rFonts w:ascii="Arial" w:eastAsia="Calibri" w:hAnsi="Arial" w:cs="Arial"/>
          <w:b/>
          <w:sz w:val="22"/>
        </w:rPr>
        <w:t>DOCUMENTOS</w:t>
      </w:r>
      <w:r w:rsidRPr="00E013AA">
        <w:rPr>
          <w:rFonts w:ascii="Arial" w:eastAsia="Calibri" w:hAnsi="Arial" w:cs="Arial"/>
          <w:b/>
          <w:sz w:val="22"/>
        </w:rPr>
        <w:t xml:space="preserve"> TIPO – </w:t>
      </w:r>
      <w:r>
        <w:rPr>
          <w:rFonts w:ascii="Arial" w:eastAsia="Calibri" w:hAnsi="Arial" w:cs="Arial"/>
          <w:b/>
          <w:sz w:val="22"/>
        </w:rPr>
        <w:t>Demarcación – Señalización – Mantenimiento de semáforos</w:t>
      </w:r>
    </w:p>
    <w:p w14:paraId="636E68EB" w14:textId="77777777" w:rsidR="00562540" w:rsidRDefault="00562540" w:rsidP="00562540">
      <w:pPr>
        <w:jc w:val="both"/>
        <w:rPr>
          <w:rFonts w:ascii="Arial" w:eastAsia="Calibri" w:hAnsi="Arial" w:cs="Arial"/>
          <w:sz w:val="20"/>
          <w:szCs w:val="20"/>
        </w:rPr>
      </w:pPr>
    </w:p>
    <w:p w14:paraId="43CDF833" w14:textId="64DC4224" w:rsidR="00D20C0C" w:rsidRPr="00D20C0C" w:rsidRDefault="00D20C0C" w:rsidP="00D20C0C">
      <w:pPr>
        <w:jc w:val="both"/>
        <w:rPr>
          <w:rFonts w:ascii="Arial" w:eastAsia="Calibri" w:hAnsi="Arial" w:cs="Arial"/>
          <w:sz w:val="20"/>
          <w:szCs w:val="20"/>
        </w:rPr>
      </w:pPr>
      <w:r>
        <w:rPr>
          <w:rFonts w:ascii="Arial" w:eastAsia="Calibri" w:hAnsi="Arial" w:cs="Arial"/>
          <w:sz w:val="20"/>
          <w:szCs w:val="20"/>
        </w:rPr>
        <w:t>A</w:t>
      </w:r>
      <w:r w:rsidRPr="00D20C0C">
        <w:rPr>
          <w:rFonts w:ascii="Arial" w:eastAsia="Calibri" w:hAnsi="Arial" w:cs="Arial"/>
          <w:sz w:val="20"/>
          <w:szCs w:val="20"/>
        </w:rPr>
        <w:t xml:space="preserve">l referirse a la señalización o demarcación de infraestructura de transporte y espacio público asociado a esta, las actividades de la Matriz 1 arriba señaladas comprenden la instalación de semáforos, por lo que, en principio, deberían aplicarse los documentos tipo. No obstante, el objeto de la consulta obliga precisar el alcance de las actividades de demarcación y señalización en el contexto de los documentos tipo de infraestructura de transporte. En efecto, dicha precisión consiste en que el desarrollo de las actividades 1.4, 1.5, 6.13 y 6.14, comprende la instalación de semáforos o la implementación de los elementos de seguridad vial para cruces semaforizados, pero no el mantenimiento propiamente de dichos elementos, menos </w:t>
      </w:r>
      <w:proofErr w:type="spellStart"/>
      <w:r w:rsidRPr="00D20C0C">
        <w:rPr>
          <w:rFonts w:ascii="Arial" w:eastAsia="Calibri" w:hAnsi="Arial" w:cs="Arial"/>
          <w:sz w:val="20"/>
          <w:szCs w:val="20"/>
        </w:rPr>
        <w:t>aún</w:t>
      </w:r>
      <w:proofErr w:type="spellEnd"/>
      <w:r w:rsidRPr="00D20C0C">
        <w:rPr>
          <w:rFonts w:ascii="Arial" w:eastAsia="Calibri" w:hAnsi="Arial" w:cs="Arial"/>
          <w:sz w:val="20"/>
          <w:szCs w:val="20"/>
        </w:rPr>
        <w:t xml:space="preserve"> tratándose del mantenimiento eminentemente eléctrico. Esto debido a que dichas actividades fueron incluidas en la Matriz 1 en la medida en que su ejecución supone la intervención directa con obra pública de la infraestructura de transporte o espacio público asociado a esta, así como actividades que hacen parte de las labores de mejoramiento según establece la Ley 1682 de 2013 y el Decreto 769 de 2014. Sin embargo, tal inclusión no significa que cualquier actividad que suponga intervenir señales o demarcaciones deba contratarse aplicando documentos tipo.</w:t>
      </w:r>
    </w:p>
    <w:p w14:paraId="492DB278" w14:textId="77777777" w:rsidR="00D20C0C" w:rsidRDefault="00D20C0C" w:rsidP="00D20C0C">
      <w:pPr>
        <w:jc w:val="both"/>
        <w:rPr>
          <w:rFonts w:ascii="Arial" w:eastAsia="Calibri" w:hAnsi="Arial" w:cs="Arial"/>
          <w:sz w:val="20"/>
          <w:szCs w:val="20"/>
        </w:rPr>
      </w:pPr>
    </w:p>
    <w:p w14:paraId="2896F5AC" w14:textId="32C254A1" w:rsidR="00306BD1" w:rsidRDefault="00D20C0C" w:rsidP="00D20C0C">
      <w:pPr>
        <w:jc w:val="both"/>
        <w:rPr>
          <w:rFonts w:ascii="Arial" w:eastAsia="Calibri" w:hAnsi="Arial" w:cs="Arial"/>
          <w:sz w:val="20"/>
          <w:szCs w:val="20"/>
        </w:rPr>
      </w:pPr>
      <w:r w:rsidRPr="00D20C0C">
        <w:rPr>
          <w:rFonts w:ascii="Arial" w:eastAsia="Calibri" w:hAnsi="Arial" w:cs="Arial"/>
          <w:sz w:val="20"/>
          <w:szCs w:val="20"/>
        </w:rPr>
        <w:t>Ciertamente el mantenimiento de semáforos encaja dentro del objeto del contrato de obra pública de acuerdo con el artículo 32.1 de la Ley 80 de 1993  - , ya que a pesar de ser estos dispositivos bienes muebles, responden a los conceptos de inmuebles por adhesión  o por destinación , lo que sitúa su mantenimiento dentro del ámbito del contrato de obra pública. A pesar de lo anterior, de la evidente relación de los semáforos con la infraestructura de transporte y de ser estos considerados como elementos del espacio público , su mantenimiento no fue incluido como una de las actividades que las entidades regidas por el EGCAP deban, obligatoriamente, contratar aplicando documentos tipo.</w:t>
      </w:r>
    </w:p>
    <w:p w14:paraId="73BBAB77" w14:textId="77777777" w:rsidR="00D20C0C" w:rsidRDefault="00D20C0C" w:rsidP="00D20C0C">
      <w:pPr>
        <w:jc w:val="both"/>
        <w:rPr>
          <w:rFonts w:ascii="Arial" w:eastAsia="Calibri" w:hAnsi="Arial" w:cs="Arial"/>
          <w:sz w:val="20"/>
          <w:szCs w:val="20"/>
        </w:rPr>
      </w:pPr>
    </w:p>
    <w:p w14:paraId="64F85077" w14:textId="65AE269D" w:rsidR="003B66DF" w:rsidRDefault="003B66DF" w:rsidP="00562540">
      <w:pPr>
        <w:jc w:val="both"/>
        <w:rPr>
          <w:rFonts w:ascii="Arial" w:eastAsia="Calibri" w:hAnsi="Arial" w:cs="Arial"/>
          <w:sz w:val="20"/>
          <w:szCs w:val="20"/>
        </w:rPr>
      </w:pPr>
      <w:r>
        <w:rPr>
          <w:rFonts w:ascii="Arial" w:eastAsia="Calibri" w:hAnsi="Arial" w:cs="Arial"/>
          <w:b/>
          <w:sz w:val="22"/>
        </w:rPr>
        <w:t>DOCUMENTOS</w:t>
      </w:r>
      <w:r w:rsidRPr="00E013AA">
        <w:rPr>
          <w:rFonts w:ascii="Arial" w:eastAsia="Calibri" w:hAnsi="Arial" w:cs="Arial"/>
          <w:b/>
          <w:sz w:val="22"/>
        </w:rPr>
        <w:t xml:space="preserve"> TIPO –</w:t>
      </w:r>
      <w:r>
        <w:rPr>
          <w:rFonts w:ascii="Arial" w:eastAsia="Calibri" w:hAnsi="Arial" w:cs="Arial"/>
          <w:b/>
          <w:sz w:val="22"/>
        </w:rPr>
        <w:t xml:space="preserve"> Ámbito de aplicación – Bienes y servicios adicionales a la ob</w:t>
      </w:r>
      <w:r w:rsidR="00A51FBE">
        <w:rPr>
          <w:rFonts w:ascii="Arial" w:eastAsia="Calibri" w:hAnsi="Arial" w:cs="Arial"/>
          <w:b/>
          <w:sz w:val="22"/>
        </w:rPr>
        <w:t>ra pública de infraestructura de transporte</w:t>
      </w:r>
    </w:p>
    <w:p w14:paraId="4F7D786C" w14:textId="77777777" w:rsidR="003B66DF" w:rsidRDefault="003B66DF" w:rsidP="00562540">
      <w:pPr>
        <w:jc w:val="both"/>
        <w:rPr>
          <w:rFonts w:ascii="Arial" w:eastAsia="Calibri" w:hAnsi="Arial" w:cs="Arial"/>
          <w:sz w:val="20"/>
          <w:szCs w:val="20"/>
        </w:rPr>
      </w:pPr>
    </w:p>
    <w:p w14:paraId="7E7CAF37" w14:textId="6BF23D14" w:rsidR="00D20C0C" w:rsidRDefault="003B66DF" w:rsidP="00D20C0C">
      <w:pPr>
        <w:jc w:val="both"/>
        <w:rPr>
          <w:rFonts w:ascii="Arial" w:eastAsia="Calibri" w:hAnsi="Arial" w:cs="Arial"/>
          <w:sz w:val="20"/>
          <w:szCs w:val="20"/>
        </w:rPr>
      </w:pPr>
      <w:r>
        <w:rPr>
          <w:rFonts w:ascii="Arial" w:eastAsia="Calibri" w:hAnsi="Arial" w:cs="Arial"/>
          <w:sz w:val="20"/>
          <w:szCs w:val="20"/>
        </w:rPr>
        <w:t xml:space="preserve">[…] </w:t>
      </w:r>
      <w:r w:rsidR="00D20C0C" w:rsidRPr="00D20C0C">
        <w:rPr>
          <w:rFonts w:ascii="Arial" w:eastAsia="Calibri" w:hAnsi="Arial" w:cs="Arial"/>
          <w:sz w:val="20"/>
          <w:szCs w:val="20"/>
        </w:rPr>
        <w:t xml:space="preserve">a pesar de que la contratación de las referidas actividades, en principio se encuentra excluida de la aplicación forzosa de los documentos tipo, estas eventualmente pueden contratarse junto con otras actividades de obra respecto de las que resulte obligatorio aplicar los documentos tipo. Así, por ejemplo, una entidad estatal podría optar por estructurar un contrato de obra pública en cuyo objeto concurran el desarrollo de actividades de mantenimiento de vías urbanas –actividad 6.3– con el mantenimiento eléctrico de semáforos. En estos eventos, las entidades estatales regidas por el EGCAP estarán obligadas a desarrollar los procesos de contratación aplicando los respectivos documentos tipo, situación en la cual actividades excluidas de los documentos tipo como, por ejemplo, el mantenimiento eléctrico de semáforos y la instalación de postes, constituirán servicios adicionales a la obra pública de infraestructura de transporte. Conforme a esto, además de exigir los requisitos de experiencia aplicables al tipo de obra y actividad de infraestructura de transporte según la Matriz 1, la entidad, de conformidad con los artículos 2.2.1.2.6.1.5  -  y 2.2.1.2.6.3.5  del Decreto 1082 de 2015, para los servicios adicionales podrá solicitar los requisitos de experiencia necesarios para la escogencia de un contratista idóneo para su desarrollo, de acuerdo con los criterios señalados en dichos artículos. </w:t>
      </w:r>
    </w:p>
    <w:p w14:paraId="471E259F" w14:textId="77777777" w:rsidR="00D20C0C" w:rsidRDefault="00D20C0C" w:rsidP="00D20C0C">
      <w:pPr>
        <w:jc w:val="both"/>
        <w:rPr>
          <w:rFonts w:ascii="Arial" w:eastAsia="Calibri" w:hAnsi="Arial" w:cs="Arial"/>
          <w:sz w:val="20"/>
          <w:szCs w:val="20"/>
        </w:rPr>
      </w:pPr>
    </w:p>
    <w:p w14:paraId="692FEA0B" w14:textId="5434891B" w:rsidR="00D20C0C" w:rsidRPr="00D20C0C" w:rsidRDefault="00D20C0C" w:rsidP="00D20C0C">
      <w:pPr>
        <w:jc w:val="both"/>
        <w:rPr>
          <w:rFonts w:ascii="Arial" w:eastAsia="Calibri" w:hAnsi="Arial" w:cs="Arial"/>
          <w:sz w:val="20"/>
          <w:szCs w:val="20"/>
        </w:rPr>
      </w:pPr>
      <w:r w:rsidRPr="00D20C0C">
        <w:rPr>
          <w:rFonts w:ascii="Arial" w:eastAsia="Calibri" w:hAnsi="Arial" w:cs="Arial"/>
          <w:sz w:val="20"/>
          <w:szCs w:val="20"/>
        </w:rPr>
        <w:t xml:space="preserve">De conformidad con lo expuesto, existen actividades de obra pública que a pesar de estar relacionadas con la infraestructura de transporte, su contratación no requiere la aplicación de los documentos tipo expedidos mediante las resoluciones 044, 045 y 094 de 2020, como, por ejemplo, el mantenimiento eléctrico de semáforos. Sin embargo, las entidades estatales deben analizar en cada caso particular si el objeto que pretenden contratar supone o no la aplicación de documentos tipo y cuál es el alcance real del mismo, ya que es posible que concurran actividades incluidas dentro de su ámbito de aplicación con otras que no han sido incluidas. En dicho caso, deberán aplicarse los documentos tipo, independientemente de que la totalidad del objeto contractual no esté referido al desarrollo de actividades incluidas en la Matriz 1. </w:t>
      </w:r>
    </w:p>
    <w:p w14:paraId="3CBC560A" w14:textId="77777777" w:rsidR="00562540" w:rsidRDefault="00562540" w:rsidP="00562540">
      <w:pPr>
        <w:jc w:val="both"/>
        <w:rPr>
          <w:rFonts w:ascii="Arial" w:eastAsia="Calibri" w:hAnsi="Arial" w:cs="Arial"/>
          <w:sz w:val="20"/>
          <w:szCs w:val="20"/>
        </w:rPr>
      </w:pPr>
    </w:p>
    <w:p w14:paraId="549D196B" w14:textId="29E512E9" w:rsidR="009559AE" w:rsidRPr="00E013AA" w:rsidRDefault="009559AE" w:rsidP="00DD689E">
      <w:pPr>
        <w:jc w:val="both"/>
        <w:rPr>
          <w:rFonts w:ascii="Arial" w:eastAsia="Calibri" w:hAnsi="Arial" w:cs="Arial"/>
          <w:sz w:val="20"/>
          <w:szCs w:val="20"/>
          <w:highlight w:val="yellow"/>
        </w:rPr>
      </w:pPr>
    </w:p>
    <w:p w14:paraId="541343D8" w14:textId="021E8F16" w:rsidR="009559AE" w:rsidRPr="00E013AA" w:rsidRDefault="009559AE" w:rsidP="00DD689E">
      <w:pPr>
        <w:jc w:val="both"/>
        <w:rPr>
          <w:rFonts w:ascii="Arial" w:eastAsia="Calibri" w:hAnsi="Arial" w:cs="Arial"/>
          <w:sz w:val="20"/>
          <w:szCs w:val="20"/>
          <w:highlight w:val="yellow"/>
        </w:rPr>
      </w:pPr>
    </w:p>
    <w:p w14:paraId="6963FBC2" w14:textId="3BBE273B" w:rsidR="009559AE" w:rsidRPr="00E013AA" w:rsidRDefault="009559AE" w:rsidP="00DD689E">
      <w:pPr>
        <w:jc w:val="both"/>
        <w:rPr>
          <w:rFonts w:ascii="Arial" w:eastAsia="Calibri" w:hAnsi="Arial" w:cs="Arial"/>
          <w:sz w:val="20"/>
          <w:szCs w:val="20"/>
          <w:highlight w:val="yellow"/>
        </w:rPr>
      </w:pPr>
    </w:p>
    <w:p w14:paraId="08F3E68B" w14:textId="0FE00963" w:rsidR="009559AE" w:rsidRPr="00E013AA" w:rsidRDefault="009559AE" w:rsidP="00DD689E">
      <w:pPr>
        <w:jc w:val="both"/>
        <w:rPr>
          <w:rFonts w:ascii="Arial" w:eastAsia="Calibri" w:hAnsi="Arial" w:cs="Arial"/>
          <w:sz w:val="20"/>
          <w:szCs w:val="20"/>
          <w:highlight w:val="yellow"/>
        </w:rPr>
      </w:pPr>
    </w:p>
    <w:p w14:paraId="20D4D8DC" w14:textId="650C4A99" w:rsidR="009559AE" w:rsidRDefault="009559AE" w:rsidP="00DD689E">
      <w:pPr>
        <w:jc w:val="both"/>
        <w:rPr>
          <w:rFonts w:ascii="Arial" w:eastAsia="Calibri" w:hAnsi="Arial" w:cs="Arial"/>
          <w:sz w:val="20"/>
          <w:szCs w:val="20"/>
          <w:highlight w:val="yellow"/>
        </w:rPr>
      </w:pPr>
    </w:p>
    <w:p w14:paraId="2396A933" w14:textId="65E5C64B" w:rsidR="00A51FBE" w:rsidRDefault="00A51FBE" w:rsidP="00DD689E">
      <w:pPr>
        <w:jc w:val="both"/>
        <w:rPr>
          <w:rFonts w:ascii="Arial" w:eastAsia="Calibri" w:hAnsi="Arial" w:cs="Arial"/>
          <w:sz w:val="20"/>
          <w:szCs w:val="20"/>
          <w:highlight w:val="yellow"/>
        </w:rPr>
      </w:pPr>
    </w:p>
    <w:p w14:paraId="3AF51100" w14:textId="6699FA19" w:rsidR="00A51FBE" w:rsidRDefault="00A51FBE" w:rsidP="00DD689E">
      <w:pPr>
        <w:jc w:val="both"/>
        <w:rPr>
          <w:rFonts w:ascii="Arial" w:eastAsia="Calibri" w:hAnsi="Arial" w:cs="Arial"/>
          <w:sz w:val="20"/>
          <w:szCs w:val="20"/>
          <w:highlight w:val="yellow"/>
        </w:rPr>
      </w:pPr>
    </w:p>
    <w:p w14:paraId="3C1C8DC3" w14:textId="2E775545" w:rsidR="00A51FBE" w:rsidRDefault="00A51FBE" w:rsidP="00DD689E">
      <w:pPr>
        <w:jc w:val="both"/>
        <w:rPr>
          <w:rFonts w:ascii="Arial" w:eastAsia="Calibri" w:hAnsi="Arial" w:cs="Arial"/>
          <w:sz w:val="20"/>
          <w:szCs w:val="20"/>
          <w:highlight w:val="yellow"/>
        </w:rPr>
      </w:pPr>
    </w:p>
    <w:p w14:paraId="330F1355" w14:textId="6465607E" w:rsidR="00A51FBE" w:rsidRDefault="00A51FBE" w:rsidP="00DD689E">
      <w:pPr>
        <w:jc w:val="both"/>
        <w:rPr>
          <w:rFonts w:ascii="Arial" w:eastAsia="Calibri" w:hAnsi="Arial" w:cs="Arial"/>
          <w:sz w:val="20"/>
          <w:szCs w:val="20"/>
          <w:highlight w:val="yellow"/>
        </w:rPr>
      </w:pPr>
    </w:p>
    <w:p w14:paraId="2033BFF4" w14:textId="7C57C8FB" w:rsidR="00A51FBE" w:rsidRDefault="00A51FBE" w:rsidP="00DD689E">
      <w:pPr>
        <w:jc w:val="both"/>
        <w:rPr>
          <w:rFonts w:ascii="Arial" w:eastAsia="Calibri" w:hAnsi="Arial" w:cs="Arial"/>
          <w:sz w:val="20"/>
          <w:szCs w:val="20"/>
          <w:highlight w:val="yellow"/>
        </w:rPr>
      </w:pPr>
    </w:p>
    <w:p w14:paraId="4EC6411D" w14:textId="26BCE029" w:rsidR="00A51FBE" w:rsidRDefault="00A51FBE" w:rsidP="00DD689E">
      <w:pPr>
        <w:jc w:val="both"/>
        <w:rPr>
          <w:rFonts w:ascii="Arial" w:eastAsia="Calibri" w:hAnsi="Arial" w:cs="Arial"/>
          <w:sz w:val="20"/>
          <w:szCs w:val="20"/>
          <w:highlight w:val="yellow"/>
        </w:rPr>
      </w:pPr>
    </w:p>
    <w:p w14:paraId="36F04A94" w14:textId="3B69E6C2" w:rsidR="00A51FBE" w:rsidRDefault="00A51FBE" w:rsidP="00DD689E">
      <w:pPr>
        <w:jc w:val="both"/>
        <w:rPr>
          <w:rFonts w:ascii="Arial" w:eastAsia="Calibri" w:hAnsi="Arial" w:cs="Arial"/>
          <w:sz w:val="20"/>
          <w:szCs w:val="20"/>
          <w:highlight w:val="yellow"/>
        </w:rPr>
      </w:pPr>
    </w:p>
    <w:p w14:paraId="68C675E5" w14:textId="20A5AEBB" w:rsidR="00A51FBE" w:rsidRDefault="00A51FBE" w:rsidP="00DD689E">
      <w:pPr>
        <w:jc w:val="both"/>
        <w:rPr>
          <w:rFonts w:ascii="Arial" w:eastAsia="Calibri" w:hAnsi="Arial" w:cs="Arial"/>
          <w:sz w:val="20"/>
          <w:szCs w:val="20"/>
          <w:highlight w:val="yellow"/>
        </w:rPr>
      </w:pPr>
    </w:p>
    <w:p w14:paraId="0F2CFBED" w14:textId="4BC96B38" w:rsidR="00A51FBE" w:rsidRDefault="00A51FBE" w:rsidP="00DD689E">
      <w:pPr>
        <w:jc w:val="both"/>
        <w:rPr>
          <w:rFonts w:ascii="Arial" w:eastAsia="Calibri" w:hAnsi="Arial" w:cs="Arial"/>
          <w:sz w:val="20"/>
          <w:szCs w:val="20"/>
          <w:highlight w:val="yellow"/>
        </w:rPr>
      </w:pPr>
    </w:p>
    <w:p w14:paraId="09231F0F" w14:textId="236B4284" w:rsidR="00A51FBE" w:rsidRDefault="00A51FBE" w:rsidP="00DD689E">
      <w:pPr>
        <w:jc w:val="both"/>
        <w:rPr>
          <w:rFonts w:ascii="Arial" w:eastAsia="Calibri" w:hAnsi="Arial" w:cs="Arial"/>
          <w:sz w:val="20"/>
          <w:szCs w:val="20"/>
          <w:highlight w:val="yellow"/>
        </w:rPr>
      </w:pPr>
    </w:p>
    <w:p w14:paraId="64E3810A" w14:textId="06DA5A97" w:rsidR="00A51FBE" w:rsidRDefault="00A51FBE" w:rsidP="00DD689E">
      <w:pPr>
        <w:jc w:val="both"/>
        <w:rPr>
          <w:rFonts w:ascii="Arial" w:eastAsia="Calibri" w:hAnsi="Arial" w:cs="Arial"/>
          <w:sz w:val="20"/>
          <w:szCs w:val="20"/>
          <w:highlight w:val="yellow"/>
        </w:rPr>
      </w:pPr>
    </w:p>
    <w:p w14:paraId="01D2134C" w14:textId="542909D7" w:rsidR="00A51FBE" w:rsidRDefault="00A51FBE" w:rsidP="00DD689E">
      <w:pPr>
        <w:jc w:val="both"/>
        <w:rPr>
          <w:rFonts w:ascii="Arial" w:eastAsia="Calibri" w:hAnsi="Arial" w:cs="Arial"/>
          <w:sz w:val="20"/>
          <w:szCs w:val="20"/>
          <w:highlight w:val="yellow"/>
        </w:rPr>
      </w:pPr>
    </w:p>
    <w:p w14:paraId="456B5140" w14:textId="77777777" w:rsidR="003651F0" w:rsidRDefault="003651F0" w:rsidP="00DD689E">
      <w:pPr>
        <w:jc w:val="both"/>
        <w:rPr>
          <w:rFonts w:ascii="Arial" w:eastAsia="Calibri" w:hAnsi="Arial" w:cs="Arial"/>
          <w:sz w:val="20"/>
          <w:szCs w:val="20"/>
          <w:highlight w:val="yellow"/>
        </w:rPr>
      </w:pPr>
    </w:p>
    <w:p w14:paraId="3A68D5B3" w14:textId="62DB0D6A" w:rsidR="00A51FBE" w:rsidRDefault="00A51FBE" w:rsidP="00DD689E">
      <w:pPr>
        <w:jc w:val="both"/>
        <w:rPr>
          <w:rFonts w:ascii="Arial" w:eastAsia="Calibri" w:hAnsi="Arial" w:cs="Arial"/>
          <w:sz w:val="20"/>
          <w:szCs w:val="20"/>
          <w:highlight w:val="yellow"/>
        </w:rPr>
      </w:pPr>
    </w:p>
    <w:p w14:paraId="089E901A" w14:textId="460ADAD6" w:rsidR="00A51FBE" w:rsidRDefault="00A51FBE" w:rsidP="00DD689E">
      <w:pPr>
        <w:jc w:val="both"/>
        <w:rPr>
          <w:rFonts w:ascii="Arial" w:eastAsia="Calibri" w:hAnsi="Arial" w:cs="Arial"/>
          <w:sz w:val="20"/>
          <w:szCs w:val="20"/>
          <w:highlight w:val="yellow"/>
        </w:rPr>
      </w:pPr>
    </w:p>
    <w:p w14:paraId="297A0FB9" w14:textId="77777777" w:rsidR="00A51FBE" w:rsidRPr="00E013AA" w:rsidRDefault="00A51FBE" w:rsidP="00DD689E">
      <w:pPr>
        <w:jc w:val="both"/>
        <w:rPr>
          <w:rFonts w:ascii="Arial" w:eastAsia="Calibri" w:hAnsi="Arial" w:cs="Arial"/>
          <w:sz w:val="20"/>
          <w:szCs w:val="20"/>
          <w:highlight w:val="yellow"/>
        </w:rPr>
      </w:pPr>
    </w:p>
    <w:p w14:paraId="107EC2E3" w14:textId="7C88C731" w:rsidR="00DD689E" w:rsidRDefault="00DD689E" w:rsidP="00DD689E">
      <w:pPr>
        <w:jc w:val="both"/>
        <w:rPr>
          <w:rFonts w:ascii="Arial" w:eastAsia="Calibri" w:hAnsi="Arial" w:cs="Arial"/>
          <w:bCs/>
          <w:sz w:val="20"/>
          <w:szCs w:val="20"/>
        </w:rPr>
      </w:pPr>
    </w:p>
    <w:p w14:paraId="264E93F2" w14:textId="2F8E692E" w:rsidR="00D20C0C" w:rsidRDefault="00D20C0C" w:rsidP="00DD689E">
      <w:pPr>
        <w:jc w:val="both"/>
        <w:rPr>
          <w:rFonts w:ascii="Arial" w:eastAsia="Calibri" w:hAnsi="Arial" w:cs="Arial"/>
          <w:bCs/>
          <w:sz w:val="20"/>
          <w:szCs w:val="20"/>
        </w:rPr>
      </w:pPr>
    </w:p>
    <w:p w14:paraId="0565E162" w14:textId="30840DA5" w:rsidR="00D20C0C" w:rsidRDefault="00D20C0C" w:rsidP="00DD689E">
      <w:pPr>
        <w:jc w:val="both"/>
        <w:rPr>
          <w:rFonts w:ascii="Arial" w:eastAsia="Calibri" w:hAnsi="Arial" w:cs="Arial"/>
          <w:bCs/>
          <w:sz w:val="20"/>
          <w:szCs w:val="20"/>
        </w:rPr>
      </w:pPr>
    </w:p>
    <w:p w14:paraId="550C50C0" w14:textId="5482BF79" w:rsidR="00D20C0C" w:rsidRDefault="00D20C0C" w:rsidP="00DD689E">
      <w:pPr>
        <w:jc w:val="both"/>
        <w:rPr>
          <w:rFonts w:ascii="Arial" w:eastAsia="Calibri" w:hAnsi="Arial" w:cs="Arial"/>
          <w:bCs/>
          <w:sz w:val="20"/>
          <w:szCs w:val="20"/>
        </w:rPr>
      </w:pPr>
    </w:p>
    <w:p w14:paraId="36F86A1C" w14:textId="730B9640" w:rsidR="00D20C0C" w:rsidRDefault="00D20C0C" w:rsidP="00DD689E">
      <w:pPr>
        <w:jc w:val="both"/>
        <w:rPr>
          <w:rFonts w:ascii="Arial" w:eastAsia="Calibri" w:hAnsi="Arial" w:cs="Arial"/>
          <w:bCs/>
          <w:sz w:val="20"/>
          <w:szCs w:val="20"/>
        </w:rPr>
      </w:pPr>
    </w:p>
    <w:p w14:paraId="1E900C8A" w14:textId="173DC434" w:rsidR="00D20C0C" w:rsidRDefault="00D20C0C" w:rsidP="00DD689E">
      <w:pPr>
        <w:jc w:val="both"/>
        <w:rPr>
          <w:rFonts w:ascii="Arial" w:eastAsia="Calibri" w:hAnsi="Arial" w:cs="Arial"/>
          <w:bCs/>
          <w:sz w:val="20"/>
          <w:szCs w:val="20"/>
        </w:rPr>
      </w:pPr>
    </w:p>
    <w:p w14:paraId="379CCFF7" w14:textId="15E2FEBD" w:rsidR="00D20C0C" w:rsidRDefault="00D20C0C" w:rsidP="00DD689E">
      <w:pPr>
        <w:jc w:val="both"/>
        <w:rPr>
          <w:rFonts w:ascii="Arial" w:eastAsia="Calibri" w:hAnsi="Arial" w:cs="Arial"/>
          <w:bCs/>
          <w:sz w:val="20"/>
          <w:szCs w:val="20"/>
        </w:rPr>
      </w:pPr>
    </w:p>
    <w:p w14:paraId="4053617E" w14:textId="59CFE787" w:rsidR="00D20C0C" w:rsidRDefault="00D20C0C" w:rsidP="00DD689E">
      <w:pPr>
        <w:jc w:val="both"/>
        <w:rPr>
          <w:rFonts w:ascii="Arial" w:eastAsia="Calibri" w:hAnsi="Arial" w:cs="Arial"/>
          <w:bCs/>
          <w:sz w:val="20"/>
          <w:szCs w:val="20"/>
        </w:rPr>
      </w:pPr>
    </w:p>
    <w:p w14:paraId="17F20E32" w14:textId="77777777" w:rsidR="00D20C0C" w:rsidRPr="00E013AA" w:rsidRDefault="00D20C0C" w:rsidP="00DD689E">
      <w:pPr>
        <w:jc w:val="both"/>
        <w:rPr>
          <w:rFonts w:ascii="Arial" w:eastAsia="Calibri" w:hAnsi="Arial" w:cs="Arial"/>
          <w:bCs/>
          <w:sz w:val="20"/>
          <w:szCs w:val="20"/>
        </w:rPr>
      </w:pPr>
    </w:p>
    <w:p w14:paraId="1EE80541" w14:textId="6B6DCD1F" w:rsidR="006E2BDC" w:rsidRDefault="008A618A" w:rsidP="009559AE">
      <w:pPr>
        <w:autoSpaceDE w:val="0"/>
        <w:autoSpaceDN w:val="0"/>
        <w:adjustRightInd w:val="0"/>
        <w:rPr>
          <w:rFonts w:ascii="Arial" w:hAnsi="Arial" w:cs="Arial"/>
          <w:sz w:val="22"/>
        </w:rPr>
      </w:pPr>
      <w:r>
        <w:rPr>
          <w:rFonts w:ascii="Arial" w:hAnsi="Arial" w:cs="Arial"/>
          <w:noProof/>
          <w:sz w:val="22"/>
        </w:rPr>
        <w:drawing>
          <wp:anchor distT="0" distB="0" distL="114300" distR="114300" simplePos="0" relativeHeight="251658241" behindDoc="0" locked="0" layoutInCell="1" allowOverlap="1" wp14:anchorId="212D9D47" wp14:editId="2E56D882">
            <wp:simplePos x="0" y="0"/>
            <wp:positionH relativeFrom="column">
              <wp:posOffset>3555365</wp:posOffset>
            </wp:positionH>
            <wp:positionV relativeFrom="paragraph">
              <wp:posOffset>0</wp:posOffset>
            </wp:positionV>
            <wp:extent cx="2527300" cy="680295"/>
            <wp:effectExtent l="0" t="0" r="635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300" cy="68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17D50" w14:textId="77777777" w:rsidR="006E2BDC" w:rsidRDefault="006E2BDC" w:rsidP="009559AE">
      <w:pPr>
        <w:autoSpaceDE w:val="0"/>
        <w:autoSpaceDN w:val="0"/>
        <w:adjustRightInd w:val="0"/>
        <w:rPr>
          <w:rFonts w:ascii="Arial" w:hAnsi="Arial" w:cs="Arial"/>
          <w:sz w:val="22"/>
        </w:rPr>
      </w:pPr>
    </w:p>
    <w:p w14:paraId="704EC9C0" w14:textId="1B4532F9" w:rsidR="009559AE" w:rsidRPr="00E013AA" w:rsidRDefault="00C84EBE" w:rsidP="009559AE">
      <w:pPr>
        <w:autoSpaceDE w:val="0"/>
        <w:autoSpaceDN w:val="0"/>
        <w:adjustRightInd w:val="0"/>
        <w:rPr>
          <w:rFonts w:ascii="Arial" w:hAnsi="Arial" w:cs="Arial"/>
          <w:sz w:val="22"/>
        </w:rPr>
      </w:pPr>
      <w:r w:rsidRPr="00C84EBE">
        <w:rPr>
          <w:rFonts w:ascii="Arial" w:hAnsi="Arial" w:cs="Arial"/>
          <w:sz w:val="22"/>
        </w:rPr>
        <w:t>Bogotá, 18 Enero 2021</w:t>
      </w:r>
    </w:p>
    <w:p w14:paraId="7B4D0ADA" w14:textId="099706E9" w:rsidR="009559AE" w:rsidRPr="00E013AA" w:rsidRDefault="009559AE" w:rsidP="009559AE">
      <w:pPr>
        <w:jc w:val="right"/>
        <w:rPr>
          <w:rFonts w:ascii="Arial" w:eastAsia="Calibri" w:hAnsi="Arial" w:cs="Arial"/>
          <w:sz w:val="22"/>
          <w:lang w:val="es-ES"/>
        </w:rPr>
      </w:pPr>
    </w:p>
    <w:p w14:paraId="609920E7" w14:textId="3C175A13" w:rsidR="00DD689E" w:rsidRDefault="00DD689E" w:rsidP="00DD689E">
      <w:pPr>
        <w:rPr>
          <w:rFonts w:ascii="Arial" w:eastAsia="Calibri" w:hAnsi="Arial" w:cs="Arial"/>
          <w:sz w:val="22"/>
        </w:rPr>
      </w:pPr>
    </w:p>
    <w:p w14:paraId="66E7506F" w14:textId="5305A1BE" w:rsidR="00D20C0C" w:rsidRDefault="00D20C0C" w:rsidP="00DD689E">
      <w:pPr>
        <w:rPr>
          <w:rFonts w:ascii="Arial" w:eastAsia="Calibri" w:hAnsi="Arial" w:cs="Arial"/>
          <w:sz w:val="22"/>
        </w:rPr>
      </w:pPr>
    </w:p>
    <w:p w14:paraId="1A1AD3B0" w14:textId="1237BC5D" w:rsidR="00D20C0C" w:rsidRDefault="00D20C0C" w:rsidP="00DD689E">
      <w:pPr>
        <w:rPr>
          <w:rFonts w:ascii="Arial" w:eastAsia="Calibri" w:hAnsi="Arial" w:cs="Arial"/>
          <w:sz w:val="22"/>
        </w:rPr>
      </w:pPr>
    </w:p>
    <w:p w14:paraId="7F4202D0" w14:textId="77777777" w:rsidR="00D20C0C" w:rsidRPr="00E013AA" w:rsidRDefault="00D20C0C" w:rsidP="00DD689E">
      <w:pPr>
        <w:rPr>
          <w:rFonts w:ascii="Arial" w:eastAsia="Calibri" w:hAnsi="Arial" w:cs="Arial"/>
          <w:sz w:val="22"/>
        </w:rPr>
      </w:pPr>
    </w:p>
    <w:p w14:paraId="4DACAAF9" w14:textId="77777777" w:rsidR="00DD689E" w:rsidRPr="00E013AA" w:rsidRDefault="00DD689E" w:rsidP="00DD689E">
      <w:pPr>
        <w:rPr>
          <w:rFonts w:ascii="Arial" w:eastAsia="Calibri" w:hAnsi="Arial" w:cs="Arial"/>
          <w:sz w:val="22"/>
        </w:rPr>
      </w:pPr>
    </w:p>
    <w:p w14:paraId="7427F549" w14:textId="77777777" w:rsidR="00DD689E" w:rsidRPr="00E013AA" w:rsidRDefault="00DD689E" w:rsidP="00DD689E">
      <w:pPr>
        <w:rPr>
          <w:rFonts w:ascii="Arial" w:eastAsia="Calibri" w:hAnsi="Arial" w:cs="Arial"/>
          <w:sz w:val="22"/>
        </w:rPr>
      </w:pPr>
      <w:r w:rsidRPr="00E013AA">
        <w:rPr>
          <w:rFonts w:ascii="Arial" w:eastAsia="Calibri" w:hAnsi="Arial" w:cs="Arial"/>
          <w:sz w:val="22"/>
        </w:rPr>
        <w:t>Señora</w:t>
      </w:r>
    </w:p>
    <w:p w14:paraId="02143D28" w14:textId="699607A4" w:rsidR="00193B53" w:rsidRPr="00E013AA" w:rsidRDefault="00193B53" w:rsidP="00DD689E">
      <w:pPr>
        <w:rPr>
          <w:rFonts w:ascii="Arial" w:eastAsia="Calibri" w:hAnsi="Arial" w:cs="Arial"/>
          <w:b/>
          <w:sz w:val="22"/>
        </w:rPr>
      </w:pPr>
      <w:r w:rsidRPr="00E013AA">
        <w:rPr>
          <w:rFonts w:ascii="Arial" w:eastAsia="Calibri" w:hAnsi="Arial" w:cs="Arial"/>
          <w:b/>
          <w:sz w:val="22"/>
        </w:rPr>
        <w:t xml:space="preserve">Mary </w:t>
      </w:r>
      <w:proofErr w:type="spellStart"/>
      <w:r w:rsidRPr="00E013AA">
        <w:rPr>
          <w:rFonts w:ascii="Arial" w:eastAsia="Calibri" w:hAnsi="Arial" w:cs="Arial"/>
          <w:b/>
          <w:sz w:val="22"/>
        </w:rPr>
        <w:t>Nataly</w:t>
      </w:r>
      <w:proofErr w:type="spellEnd"/>
      <w:r w:rsidRPr="00E013AA">
        <w:rPr>
          <w:rFonts w:ascii="Arial" w:eastAsia="Calibri" w:hAnsi="Arial" w:cs="Arial"/>
          <w:b/>
          <w:sz w:val="22"/>
        </w:rPr>
        <w:t xml:space="preserve"> Cuevas Martínez</w:t>
      </w:r>
    </w:p>
    <w:p w14:paraId="7C56D392" w14:textId="5E2114A2" w:rsidR="00DD689E" w:rsidRPr="00E013AA" w:rsidRDefault="00193B53" w:rsidP="00DD689E">
      <w:pPr>
        <w:rPr>
          <w:rFonts w:ascii="Arial" w:eastAsia="Calibri" w:hAnsi="Arial" w:cs="Arial"/>
          <w:sz w:val="22"/>
        </w:rPr>
      </w:pPr>
      <w:r w:rsidRPr="00E013AA">
        <w:rPr>
          <w:rFonts w:ascii="Arial" w:eastAsia="Calibri" w:hAnsi="Arial" w:cs="Arial"/>
          <w:sz w:val="22"/>
        </w:rPr>
        <w:t>Tunja, Boyacá</w:t>
      </w:r>
    </w:p>
    <w:p w14:paraId="29FF9129" w14:textId="77777777" w:rsidR="00DD689E" w:rsidRPr="00E013AA" w:rsidRDefault="00DD689E" w:rsidP="00DD689E">
      <w:pPr>
        <w:rPr>
          <w:rFonts w:ascii="Arial" w:eastAsia="Calibri" w:hAnsi="Arial" w:cs="Arial"/>
          <w:sz w:val="22"/>
        </w:rPr>
      </w:pPr>
    </w:p>
    <w:p w14:paraId="160F4449" w14:textId="77777777" w:rsidR="00DD689E" w:rsidRPr="00E013AA" w:rsidRDefault="00DD689E" w:rsidP="00DD689E">
      <w:pPr>
        <w:rPr>
          <w:rFonts w:ascii="Arial" w:eastAsia="Calibri" w:hAnsi="Arial" w:cs="Arial"/>
          <w:sz w:val="22"/>
        </w:rPr>
      </w:pPr>
    </w:p>
    <w:p w14:paraId="62BB70B8" w14:textId="6FF6889B" w:rsidR="00DD689E" w:rsidRPr="00E013AA" w:rsidRDefault="00DD689E" w:rsidP="00DD689E">
      <w:pPr>
        <w:ind w:firstLine="2694"/>
        <w:rPr>
          <w:rFonts w:ascii="Arial" w:eastAsia="Calibri" w:hAnsi="Arial" w:cs="Arial"/>
          <w:b/>
          <w:sz w:val="22"/>
        </w:rPr>
      </w:pPr>
      <w:r w:rsidRPr="00E013AA">
        <w:rPr>
          <w:rFonts w:ascii="Arial" w:eastAsia="Calibri" w:hAnsi="Arial" w:cs="Arial"/>
          <w:b/>
          <w:sz w:val="22"/>
        </w:rPr>
        <w:t xml:space="preserve">Concepto C </w:t>
      </w:r>
      <w:r w:rsidR="006E2BDC">
        <w:rPr>
          <w:rFonts w:ascii="Arial" w:eastAsia="Calibri" w:hAnsi="Arial" w:cs="Arial"/>
          <w:b/>
          <w:sz w:val="22"/>
        </w:rPr>
        <w:t>–</w:t>
      </w:r>
      <w:r w:rsidRPr="00E013AA">
        <w:rPr>
          <w:rFonts w:ascii="Arial" w:eastAsia="Calibri" w:hAnsi="Arial" w:cs="Arial"/>
          <w:b/>
          <w:sz w:val="22"/>
        </w:rPr>
        <w:t xml:space="preserve"> </w:t>
      </w:r>
      <w:r w:rsidR="001B458A" w:rsidRPr="00E013AA">
        <w:rPr>
          <w:rFonts w:ascii="Arial" w:eastAsia="Calibri" w:hAnsi="Arial" w:cs="Arial"/>
          <w:b/>
          <w:sz w:val="22"/>
        </w:rPr>
        <w:t>778</w:t>
      </w:r>
      <w:r w:rsidRPr="00E013AA">
        <w:rPr>
          <w:rFonts w:ascii="Arial" w:eastAsia="Calibri" w:hAnsi="Arial" w:cs="Arial"/>
          <w:b/>
          <w:sz w:val="22"/>
        </w:rPr>
        <w:t xml:space="preserve"> de 2020</w:t>
      </w:r>
    </w:p>
    <w:p w14:paraId="4BE038A1" w14:textId="77777777" w:rsidR="00DD689E" w:rsidRPr="00E013AA" w:rsidRDefault="00DD689E" w:rsidP="00DD689E">
      <w:pPr>
        <w:rPr>
          <w:rFonts w:ascii="Arial" w:eastAsia="Calibri" w:hAnsi="Arial" w:cs="Arial"/>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013AA" w:rsidRPr="00E013AA" w14:paraId="3B95AEF2" w14:textId="77777777" w:rsidTr="0084265D">
        <w:tc>
          <w:tcPr>
            <w:tcW w:w="2689" w:type="dxa"/>
            <w:hideMark/>
          </w:tcPr>
          <w:p w14:paraId="73E96701" w14:textId="77777777" w:rsidR="00DD689E" w:rsidRPr="00E013AA" w:rsidRDefault="00DD689E" w:rsidP="0084265D">
            <w:pPr>
              <w:rPr>
                <w:rFonts w:ascii="Arial" w:eastAsia="Calibri" w:hAnsi="Arial" w:cs="Arial"/>
                <w:sz w:val="22"/>
              </w:rPr>
            </w:pPr>
            <w:r w:rsidRPr="00E013AA">
              <w:rPr>
                <w:rFonts w:ascii="Arial" w:eastAsia="Calibri" w:hAnsi="Arial" w:cs="Arial"/>
                <w:b/>
                <w:sz w:val="22"/>
              </w:rPr>
              <w:t>Temas:</w:t>
            </w:r>
            <w:r w:rsidRPr="00E013AA">
              <w:rPr>
                <w:rFonts w:ascii="Arial" w:eastAsia="Calibri" w:hAnsi="Arial" w:cs="Arial"/>
                <w:sz w:val="22"/>
              </w:rPr>
              <w:t xml:space="preserve">           </w:t>
            </w:r>
          </w:p>
          <w:p w14:paraId="5C218E7E" w14:textId="77777777" w:rsidR="00DD689E" w:rsidRPr="00E013AA" w:rsidRDefault="00DD689E" w:rsidP="0084265D">
            <w:pPr>
              <w:rPr>
                <w:rFonts w:ascii="Arial" w:eastAsia="Calibri" w:hAnsi="Arial" w:cs="Arial"/>
                <w:sz w:val="22"/>
              </w:rPr>
            </w:pPr>
            <w:r w:rsidRPr="00E013AA">
              <w:rPr>
                <w:rFonts w:ascii="Arial" w:eastAsia="Calibri" w:hAnsi="Arial" w:cs="Arial"/>
                <w:sz w:val="22"/>
              </w:rPr>
              <w:t xml:space="preserve">                           </w:t>
            </w:r>
          </w:p>
        </w:tc>
        <w:tc>
          <w:tcPr>
            <w:tcW w:w="6237" w:type="dxa"/>
            <w:hideMark/>
          </w:tcPr>
          <w:p w14:paraId="0E645ECE" w14:textId="4FE6C140" w:rsidR="00DD689E" w:rsidRPr="00E013AA" w:rsidRDefault="00A51FBE" w:rsidP="0084265D">
            <w:pPr>
              <w:jc w:val="both"/>
              <w:rPr>
                <w:rFonts w:ascii="Arial" w:eastAsia="Calibri" w:hAnsi="Arial" w:cs="Arial"/>
                <w:sz w:val="22"/>
              </w:rPr>
            </w:pPr>
            <w:r w:rsidRPr="00A51FBE">
              <w:rPr>
                <w:rFonts w:ascii="Arial" w:eastAsia="Calibri" w:hAnsi="Arial" w:cs="Arial"/>
                <w:sz w:val="22"/>
              </w:rPr>
              <w:t>DOCUMENTOS TIPO – Ámbito de aplicación – Matriz 1</w:t>
            </w:r>
            <w:r>
              <w:rPr>
                <w:rFonts w:ascii="Arial" w:eastAsia="Calibri" w:hAnsi="Arial" w:cs="Arial"/>
                <w:sz w:val="22"/>
              </w:rPr>
              <w:t xml:space="preserve"> / </w:t>
            </w:r>
            <w:r w:rsidRPr="00A51FBE">
              <w:rPr>
                <w:rFonts w:ascii="Arial" w:eastAsia="Calibri" w:hAnsi="Arial" w:cs="Arial"/>
                <w:sz w:val="22"/>
              </w:rPr>
              <w:t>DOCUMENTOS TIPO – Demarcación – Señalización – Mantenimiento de semáforos</w:t>
            </w:r>
            <w:r>
              <w:rPr>
                <w:rFonts w:ascii="Arial" w:eastAsia="Calibri" w:hAnsi="Arial" w:cs="Arial"/>
                <w:sz w:val="22"/>
              </w:rPr>
              <w:t xml:space="preserve"> / </w:t>
            </w:r>
            <w:r w:rsidRPr="00A51FBE">
              <w:rPr>
                <w:rFonts w:ascii="Arial" w:eastAsia="Calibri" w:hAnsi="Arial" w:cs="Arial"/>
                <w:sz w:val="22"/>
              </w:rPr>
              <w:t>DOCUMENTOS TIPO – Ámbito de aplicación – Bienes y servicios adicionales a la obra pública de infraestructura de transporte</w:t>
            </w:r>
          </w:p>
        </w:tc>
      </w:tr>
      <w:tr w:rsidR="00E013AA" w:rsidRPr="00E013AA" w14:paraId="05C52BD2" w14:textId="77777777" w:rsidTr="0084265D">
        <w:tc>
          <w:tcPr>
            <w:tcW w:w="2689" w:type="dxa"/>
          </w:tcPr>
          <w:p w14:paraId="786556E6" w14:textId="77777777" w:rsidR="00DD689E" w:rsidRPr="00E013AA" w:rsidRDefault="00DD689E" w:rsidP="0084265D">
            <w:pPr>
              <w:spacing w:before="120"/>
              <w:rPr>
                <w:rFonts w:ascii="Arial" w:eastAsia="Calibri" w:hAnsi="Arial" w:cs="Arial"/>
                <w:b/>
                <w:sz w:val="22"/>
              </w:rPr>
            </w:pPr>
            <w:r w:rsidRPr="00E013AA">
              <w:rPr>
                <w:rFonts w:ascii="Arial" w:eastAsia="Calibri" w:hAnsi="Arial" w:cs="Arial"/>
                <w:b/>
                <w:sz w:val="22"/>
              </w:rPr>
              <w:t>Radicación:</w:t>
            </w:r>
            <w:r w:rsidRPr="00E013AA">
              <w:rPr>
                <w:rFonts w:ascii="Arial" w:eastAsia="Calibri" w:hAnsi="Arial" w:cs="Arial"/>
                <w:sz w:val="22"/>
              </w:rPr>
              <w:t xml:space="preserve">                              </w:t>
            </w:r>
          </w:p>
        </w:tc>
        <w:tc>
          <w:tcPr>
            <w:tcW w:w="6237" w:type="dxa"/>
          </w:tcPr>
          <w:p w14:paraId="62C39F5A" w14:textId="23E43D83" w:rsidR="00DD689E" w:rsidRPr="00E013AA" w:rsidRDefault="00DD689E" w:rsidP="0084265D">
            <w:pPr>
              <w:spacing w:before="120"/>
              <w:jc w:val="both"/>
              <w:rPr>
                <w:rFonts w:ascii="Arial" w:eastAsia="Calibri" w:hAnsi="Arial" w:cs="Arial"/>
                <w:sz w:val="22"/>
              </w:rPr>
            </w:pPr>
            <w:r w:rsidRPr="00E013AA">
              <w:rPr>
                <w:rFonts w:ascii="Arial" w:eastAsia="Calibri" w:hAnsi="Arial" w:cs="Arial"/>
                <w:sz w:val="22"/>
              </w:rPr>
              <w:t xml:space="preserve">Respuesta a consulta </w:t>
            </w:r>
            <w:r w:rsidR="001B458A" w:rsidRPr="00E013AA">
              <w:rPr>
                <w:rFonts w:ascii="Arial" w:eastAsia="Calibri" w:hAnsi="Arial" w:cs="Arial"/>
                <w:sz w:val="22"/>
              </w:rPr>
              <w:t>P20201201000303</w:t>
            </w:r>
          </w:p>
        </w:tc>
      </w:tr>
      <w:tr w:rsidR="00DD689E" w:rsidRPr="00E013AA" w14:paraId="0BA134D4" w14:textId="77777777" w:rsidTr="0084265D">
        <w:tc>
          <w:tcPr>
            <w:tcW w:w="2689" w:type="dxa"/>
          </w:tcPr>
          <w:p w14:paraId="782ECEE2" w14:textId="77777777" w:rsidR="00DD689E" w:rsidRPr="00E013AA" w:rsidRDefault="00DD689E" w:rsidP="0084265D">
            <w:pPr>
              <w:spacing w:before="120"/>
              <w:rPr>
                <w:rFonts w:ascii="Arial" w:eastAsia="Calibri" w:hAnsi="Arial" w:cs="Arial"/>
                <w:b/>
                <w:sz w:val="22"/>
              </w:rPr>
            </w:pPr>
          </w:p>
        </w:tc>
        <w:tc>
          <w:tcPr>
            <w:tcW w:w="6237" w:type="dxa"/>
          </w:tcPr>
          <w:p w14:paraId="36C3ABC3" w14:textId="77777777" w:rsidR="00DD689E" w:rsidRPr="00E013AA" w:rsidRDefault="00DD689E" w:rsidP="0084265D">
            <w:pPr>
              <w:spacing w:before="120"/>
              <w:jc w:val="both"/>
              <w:rPr>
                <w:rFonts w:ascii="Arial" w:eastAsia="Calibri" w:hAnsi="Arial" w:cs="Arial"/>
                <w:sz w:val="22"/>
              </w:rPr>
            </w:pPr>
          </w:p>
        </w:tc>
      </w:tr>
    </w:tbl>
    <w:p w14:paraId="42746C74" w14:textId="77777777" w:rsidR="00DD689E" w:rsidRPr="00E013AA" w:rsidRDefault="00DD689E" w:rsidP="00DD689E">
      <w:pPr>
        <w:jc w:val="both"/>
        <w:rPr>
          <w:rFonts w:ascii="Arial" w:eastAsia="Calibri" w:hAnsi="Arial" w:cs="Arial"/>
          <w:sz w:val="22"/>
        </w:rPr>
      </w:pPr>
    </w:p>
    <w:p w14:paraId="077163E7" w14:textId="73D7738B" w:rsidR="00DD689E" w:rsidRPr="00E013AA" w:rsidRDefault="00DD689E" w:rsidP="00DD689E">
      <w:pPr>
        <w:rPr>
          <w:rFonts w:ascii="Arial" w:eastAsia="Calibri" w:hAnsi="Arial" w:cs="Arial"/>
          <w:sz w:val="22"/>
        </w:rPr>
      </w:pPr>
      <w:r w:rsidRPr="00E013AA">
        <w:rPr>
          <w:rFonts w:ascii="Arial" w:eastAsia="Calibri" w:hAnsi="Arial" w:cs="Arial"/>
          <w:sz w:val="22"/>
        </w:rPr>
        <w:t xml:space="preserve">Estimada señora </w:t>
      </w:r>
      <w:r w:rsidR="001B458A" w:rsidRPr="00E013AA">
        <w:rPr>
          <w:rFonts w:ascii="Arial" w:eastAsia="Calibri" w:hAnsi="Arial" w:cs="Arial"/>
          <w:sz w:val="22"/>
        </w:rPr>
        <w:t>Cuevas</w:t>
      </w:r>
      <w:r w:rsidRPr="00E013AA">
        <w:rPr>
          <w:rFonts w:ascii="Arial" w:eastAsia="Calibri" w:hAnsi="Arial" w:cs="Arial"/>
          <w:sz w:val="22"/>
        </w:rPr>
        <w:t>:</w:t>
      </w:r>
    </w:p>
    <w:p w14:paraId="24124C84" w14:textId="77777777" w:rsidR="00DD689E" w:rsidRPr="00E013AA" w:rsidRDefault="00DD689E" w:rsidP="00DD689E">
      <w:pPr>
        <w:rPr>
          <w:rFonts w:ascii="Arial" w:eastAsia="Calibri" w:hAnsi="Arial" w:cs="Arial"/>
          <w:sz w:val="22"/>
        </w:rPr>
      </w:pPr>
    </w:p>
    <w:p w14:paraId="6D0E353F" w14:textId="1F20352A" w:rsidR="00DD689E" w:rsidRPr="00E013AA" w:rsidRDefault="00DD689E" w:rsidP="00DD689E">
      <w:pPr>
        <w:spacing w:line="276" w:lineRule="auto"/>
        <w:jc w:val="both"/>
        <w:rPr>
          <w:rFonts w:ascii="Arial" w:eastAsia="Calibri" w:hAnsi="Arial" w:cs="Arial"/>
          <w:sz w:val="22"/>
        </w:rPr>
      </w:pPr>
      <w:r w:rsidRPr="00E013AA">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AA7235" w:rsidRPr="00E013AA">
        <w:rPr>
          <w:rFonts w:ascii="Arial" w:eastAsia="Calibri" w:hAnsi="Arial" w:cs="Arial"/>
          <w:sz w:val="22"/>
        </w:rPr>
        <w:t>1</w:t>
      </w:r>
      <w:r w:rsidRPr="00E013AA">
        <w:rPr>
          <w:rFonts w:ascii="Arial" w:eastAsia="Calibri" w:hAnsi="Arial" w:cs="Arial"/>
          <w:sz w:val="22"/>
        </w:rPr>
        <w:t xml:space="preserve"> de </w:t>
      </w:r>
      <w:r w:rsidR="00AA7235" w:rsidRPr="00E013AA">
        <w:rPr>
          <w:rFonts w:ascii="Arial" w:eastAsia="Calibri" w:hAnsi="Arial" w:cs="Arial"/>
          <w:sz w:val="22"/>
        </w:rPr>
        <w:t>dic</w:t>
      </w:r>
      <w:r w:rsidRPr="00E013AA">
        <w:rPr>
          <w:rFonts w:ascii="Arial" w:eastAsia="Calibri" w:hAnsi="Arial" w:cs="Arial"/>
          <w:sz w:val="22"/>
        </w:rPr>
        <w:t xml:space="preserve">iembre de 2020. </w:t>
      </w:r>
    </w:p>
    <w:p w14:paraId="551DB529" w14:textId="77777777" w:rsidR="00DD689E" w:rsidRPr="00E013AA" w:rsidRDefault="00DD689E" w:rsidP="00DD689E">
      <w:pPr>
        <w:spacing w:line="276" w:lineRule="auto"/>
        <w:jc w:val="both"/>
        <w:rPr>
          <w:rFonts w:ascii="Arial" w:eastAsia="Calibri" w:hAnsi="Arial" w:cs="Arial"/>
          <w:sz w:val="22"/>
        </w:rPr>
      </w:pPr>
    </w:p>
    <w:p w14:paraId="6FBBC8B9" w14:textId="374396ED" w:rsidR="00DD689E" w:rsidRPr="00E013AA" w:rsidRDefault="00DD689E" w:rsidP="00DD689E">
      <w:pPr>
        <w:pStyle w:val="ListParagraph"/>
        <w:numPr>
          <w:ilvl w:val="0"/>
          <w:numId w:val="1"/>
        </w:numPr>
        <w:tabs>
          <w:tab w:val="left" w:pos="284"/>
        </w:tabs>
        <w:spacing w:line="276" w:lineRule="auto"/>
        <w:ind w:left="0" w:firstLine="0"/>
        <w:jc w:val="both"/>
        <w:rPr>
          <w:rFonts w:ascii="Arial" w:eastAsia="Calibri" w:hAnsi="Arial" w:cs="Arial"/>
          <w:b/>
          <w:sz w:val="22"/>
        </w:rPr>
      </w:pPr>
      <w:r w:rsidRPr="00E013AA">
        <w:rPr>
          <w:rFonts w:ascii="Arial" w:eastAsia="Calibri" w:hAnsi="Arial" w:cs="Arial"/>
          <w:b/>
          <w:sz w:val="22"/>
        </w:rPr>
        <w:t xml:space="preserve">Problema planteado </w:t>
      </w:r>
    </w:p>
    <w:p w14:paraId="12105174" w14:textId="77777777" w:rsidR="00DD689E" w:rsidRPr="00E013AA" w:rsidRDefault="00DD689E" w:rsidP="00DD689E">
      <w:pPr>
        <w:tabs>
          <w:tab w:val="left" w:pos="426"/>
        </w:tabs>
        <w:spacing w:line="276" w:lineRule="auto"/>
        <w:jc w:val="both"/>
        <w:rPr>
          <w:rFonts w:ascii="Arial" w:eastAsia="Calibri" w:hAnsi="Arial" w:cs="Arial"/>
          <w:b/>
          <w:sz w:val="22"/>
        </w:rPr>
      </w:pPr>
    </w:p>
    <w:p w14:paraId="17118684" w14:textId="3701D592" w:rsidR="00DD689E" w:rsidRPr="00E013AA" w:rsidRDefault="00DD689E" w:rsidP="00760316">
      <w:pPr>
        <w:autoSpaceDE w:val="0"/>
        <w:autoSpaceDN w:val="0"/>
        <w:adjustRightInd w:val="0"/>
        <w:spacing w:line="276" w:lineRule="auto"/>
        <w:jc w:val="both"/>
        <w:rPr>
          <w:rFonts w:ascii="Arial" w:eastAsia="Calibri" w:hAnsi="Arial" w:cs="Arial"/>
          <w:sz w:val="22"/>
        </w:rPr>
      </w:pPr>
      <w:r w:rsidRPr="00E013AA">
        <w:rPr>
          <w:rFonts w:ascii="Arial" w:eastAsia="Calibri" w:hAnsi="Arial" w:cs="Arial"/>
          <w:sz w:val="22"/>
        </w:rPr>
        <w:t xml:space="preserve">Usted </w:t>
      </w:r>
      <w:r w:rsidR="00B337FA">
        <w:rPr>
          <w:rFonts w:ascii="Arial" w:eastAsia="Calibri" w:hAnsi="Arial" w:cs="Arial"/>
          <w:sz w:val="22"/>
        </w:rPr>
        <w:t>realiza la</w:t>
      </w:r>
      <w:r w:rsidR="00350329" w:rsidRPr="00E013AA">
        <w:rPr>
          <w:rFonts w:ascii="Arial" w:eastAsia="Calibri" w:hAnsi="Arial" w:cs="Arial"/>
          <w:sz w:val="22"/>
        </w:rPr>
        <w:t xml:space="preserve"> siguiente</w:t>
      </w:r>
      <w:r w:rsidR="00B337FA">
        <w:rPr>
          <w:rFonts w:ascii="Arial" w:eastAsia="Calibri" w:hAnsi="Arial" w:cs="Arial"/>
          <w:sz w:val="22"/>
        </w:rPr>
        <w:t xml:space="preserve"> pregunta</w:t>
      </w:r>
      <w:r w:rsidR="00760316" w:rsidRPr="00E013AA">
        <w:rPr>
          <w:rFonts w:ascii="Arial" w:eastAsia="Calibri" w:hAnsi="Arial" w:cs="Arial"/>
          <w:sz w:val="22"/>
        </w:rPr>
        <w:t>:</w:t>
      </w:r>
      <w:r w:rsidRPr="00E013AA">
        <w:rPr>
          <w:rFonts w:ascii="Arial" w:eastAsia="Calibri" w:hAnsi="Arial" w:cs="Arial"/>
          <w:sz w:val="22"/>
        </w:rPr>
        <w:t xml:space="preserve"> «[…] </w:t>
      </w:r>
      <w:r w:rsidR="000E1D5D" w:rsidRPr="00E013AA">
        <w:rPr>
          <w:rFonts w:ascii="Arial" w:hAnsi="Arial" w:cs="Arial"/>
          <w:sz w:val="22"/>
          <w:lang w:val="es-CO"/>
        </w:rPr>
        <w:t>Si en un proceso se requiere hacer mantenimiento de un sistema eléctrico de semáforos y fruto de este se requiere instalar un mínimo porcentaje de postes, es decir de un 100% del valor del presupuesto, el 90% son aspectos de mantenimiento y parte eléctrica y electrónica y el 10% pueden ser obras mínimas como instalar algunos postes. ¿Se debe aplicar pliego tipo por ese mínimo componente de obra, o de acuerdo con la matriz de experiencia no aplica pliego tipo.?</w:t>
      </w:r>
      <w:r w:rsidR="00B337FA">
        <w:rPr>
          <w:rFonts w:ascii="Arial" w:hAnsi="Arial" w:cs="Arial"/>
          <w:sz w:val="22"/>
          <w:lang w:val="es-CO"/>
        </w:rPr>
        <w:t xml:space="preserve"> </w:t>
      </w:r>
      <w:r w:rsidR="00760316" w:rsidRPr="00E013AA">
        <w:rPr>
          <w:rFonts w:ascii="Arial" w:hAnsi="Arial" w:cs="Arial"/>
          <w:sz w:val="22"/>
          <w:lang w:val="es-CO"/>
        </w:rPr>
        <w:t>[…]».</w:t>
      </w:r>
    </w:p>
    <w:p w14:paraId="16623259" w14:textId="77777777" w:rsidR="00DD689E" w:rsidRPr="00E013AA" w:rsidRDefault="00DD689E" w:rsidP="002C3A48">
      <w:pPr>
        <w:tabs>
          <w:tab w:val="left" w:pos="709"/>
        </w:tabs>
        <w:spacing w:line="276" w:lineRule="auto"/>
        <w:jc w:val="both"/>
        <w:rPr>
          <w:rFonts w:ascii="Arial" w:eastAsia="Calibri" w:hAnsi="Arial" w:cs="Arial"/>
          <w:sz w:val="22"/>
        </w:rPr>
      </w:pPr>
    </w:p>
    <w:p w14:paraId="5032433E" w14:textId="7436E928" w:rsidR="00DD689E" w:rsidRPr="00E013AA" w:rsidRDefault="00DD689E" w:rsidP="005432F7">
      <w:pPr>
        <w:pStyle w:val="ListParagraph"/>
        <w:numPr>
          <w:ilvl w:val="0"/>
          <w:numId w:val="1"/>
        </w:numPr>
        <w:tabs>
          <w:tab w:val="left" w:pos="426"/>
        </w:tabs>
        <w:ind w:left="284" w:hanging="284"/>
        <w:jc w:val="both"/>
        <w:rPr>
          <w:rFonts w:ascii="Arial" w:eastAsia="Calibri" w:hAnsi="Arial" w:cs="Arial"/>
          <w:b/>
          <w:sz w:val="22"/>
        </w:rPr>
      </w:pPr>
      <w:r w:rsidRPr="00E013AA">
        <w:rPr>
          <w:rFonts w:ascii="Arial" w:eastAsia="Calibri" w:hAnsi="Arial" w:cs="Arial"/>
          <w:b/>
          <w:sz w:val="22"/>
        </w:rPr>
        <w:t>Consideraciones</w:t>
      </w:r>
    </w:p>
    <w:p w14:paraId="799BA860" w14:textId="77777777" w:rsidR="005432F7" w:rsidRPr="00E013AA" w:rsidRDefault="005432F7" w:rsidP="005432F7">
      <w:pPr>
        <w:pStyle w:val="ListParagraph"/>
        <w:tabs>
          <w:tab w:val="left" w:pos="426"/>
        </w:tabs>
        <w:spacing w:line="276" w:lineRule="auto"/>
        <w:ind w:left="284"/>
        <w:jc w:val="both"/>
        <w:rPr>
          <w:rFonts w:ascii="Arial" w:eastAsia="Calibri" w:hAnsi="Arial" w:cs="Arial"/>
          <w:b/>
          <w:sz w:val="22"/>
        </w:rPr>
      </w:pPr>
    </w:p>
    <w:p w14:paraId="334A833B" w14:textId="7E18AE15" w:rsidR="00DD689E" w:rsidRPr="00E013AA" w:rsidRDefault="005432F7" w:rsidP="00862FA4">
      <w:pPr>
        <w:spacing w:after="120" w:line="276" w:lineRule="auto"/>
        <w:jc w:val="both"/>
        <w:rPr>
          <w:rFonts w:ascii="Arial" w:eastAsia="Calibri" w:hAnsi="Arial" w:cs="Arial"/>
          <w:sz w:val="22"/>
        </w:rPr>
      </w:pPr>
      <w:r w:rsidRPr="00E013AA">
        <w:rPr>
          <w:rFonts w:ascii="Arial" w:eastAsia="Calibri" w:hAnsi="Arial" w:cs="Arial"/>
          <w:sz w:val="22"/>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En este orden de ideas, la Agencia </w:t>
      </w:r>
      <w:r w:rsidR="00B337FA">
        <w:rPr>
          <w:rFonts w:ascii="Arial" w:eastAsia="Calibri" w:hAnsi="Arial" w:cs="Arial"/>
          <w:sz w:val="22"/>
        </w:rPr>
        <w:t>carece de</w:t>
      </w:r>
      <w:r w:rsidRPr="00E013AA">
        <w:rPr>
          <w:rFonts w:ascii="Arial" w:eastAsia="Calibri" w:hAnsi="Arial" w:cs="Arial"/>
          <w:sz w:val="22"/>
        </w:rPr>
        <w:t xml:space="preserve"> atribuciones para resolver casos particulares</w:t>
      </w:r>
      <w:r w:rsidR="00254E63" w:rsidRPr="00E013AA">
        <w:rPr>
          <w:rFonts w:ascii="Arial" w:eastAsia="Calibri" w:hAnsi="Arial" w:cs="Arial"/>
          <w:sz w:val="22"/>
        </w:rPr>
        <w:t xml:space="preserve"> </w:t>
      </w:r>
      <w:r w:rsidR="003A4F0D" w:rsidRPr="00E013AA">
        <w:rPr>
          <w:rFonts w:ascii="Arial" w:eastAsia="Calibri" w:hAnsi="Arial" w:cs="Arial"/>
          <w:sz w:val="22"/>
        </w:rPr>
        <w:t xml:space="preserve">o </w:t>
      </w:r>
      <w:r w:rsidR="00C30A4C" w:rsidRPr="00E013AA">
        <w:rPr>
          <w:rFonts w:ascii="Arial" w:eastAsia="Calibri" w:hAnsi="Arial" w:cs="Arial"/>
          <w:sz w:val="22"/>
        </w:rPr>
        <w:t xml:space="preserve">situaciones específicas. En tales términos, se </w:t>
      </w:r>
      <w:r w:rsidR="00B337FA">
        <w:rPr>
          <w:rFonts w:ascii="Arial" w:eastAsia="Calibri" w:hAnsi="Arial" w:cs="Arial"/>
          <w:sz w:val="22"/>
        </w:rPr>
        <w:t>resolverá la</w:t>
      </w:r>
      <w:r w:rsidR="00B86080" w:rsidRPr="00E013AA">
        <w:rPr>
          <w:rFonts w:ascii="Arial" w:eastAsia="Calibri" w:hAnsi="Arial" w:cs="Arial"/>
          <w:sz w:val="22"/>
        </w:rPr>
        <w:t xml:space="preserve"> consulta </w:t>
      </w:r>
      <w:r w:rsidR="007D25C8" w:rsidRPr="00E013AA">
        <w:rPr>
          <w:rFonts w:ascii="Arial" w:eastAsia="Calibri" w:hAnsi="Arial" w:cs="Arial"/>
          <w:sz w:val="22"/>
        </w:rPr>
        <w:t xml:space="preserve">explicando la forma en la que deben interpretarse las normas </w:t>
      </w:r>
      <w:r w:rsidR="00010C71">
        <w:rPr>
          <w:rFonts w:ascii="Arial" w:eastAsia="Calibri" w:hAnsi="Arial" w:cs="Arial"/>
          <w:sz w:val="22"/>
        </w:rPr>
        <w:t>y documentos</w:t>
      </w:r>
      <w:r w:rsidR="002B1C0D" w:rsidRPr="00E013AA">
        <w:rPr>
          <w:rFonts w:ascii="Arial" w:eastAsia="Calibri" w:hAnsi="Arial" w:cs="Arial"/>
          <w:sz w:val="22"/>
        </w:rPr>
        <w:t xml:space="preserve">, de acuerdo </w:t>
      </w:r>
      <w:r w:rsidR="00862FA4" w:rsidRPr="00E013AA">
        <w:rPr>
          <w:rFonts w:ascii="Arial" w:eastAsia="Calibri" w:hAnsi="Arial" w:cs="Arial"/>
          <w:sz w:val="22"/>
        </w:rPr>
        <w:t>con</w:t>
      </w:r>
      <w:r w:rsidR="002B1C0D" w:rsidRPr="00E013AA">
        <w:rPr>
          <w:rFonts w:ascii="Arial" w:eastAsia="Calibri" w:hAnsi="Arial" w:cs="Arial"/>
          <w:sz w:val="22"/>
        </w:rPr>
        <w:t xml:space="preserve"> la posición hermenéutica de esta Agencia, con el alcance señalado por el artículo 28 del Código de Procedimiento Administrati</w:t>
      </w:r>
      <w:r w:rsidR="00862FA4" w:rsidRPr="00E013AA">
        <w:rPr>
          <w:rFonts w:ascii="Arial" w:eastAsia="Calibri" w:hAnsi="Arial" w:cs="Arial"/>
          <w:sz w:val="22"/>
        </w:rPr>
        <w:t>vo y de lo Contencioso Administrativo.</w:t>
      </w:r>
    </w:p>
    <w:p w14:paraId="4C9942E1" w14:textId="0E894B3F" w:rsidR="00DD689E" w:rsidRPr="00E013AA" w:rsidRDefault="00DD689E" w:rsidP="00862FA4">
      <w:pPr>
        <w:spacing w:after="120" w:line="276" w:lineRule="auto"/>
        <w:ind w:firstLine="708"/>
        <w:jc w:val="both"/>
        <w:rPr>
          <w:rFonts w:ascii="Arial" w:eastAsia="Calibri" w:hAnsi="Arial" w:cs="Arial"/>
          <w:sz w:val="22"/>
        </w:rPr>
      </w:pPr>
      <w:r w:rsidRPr="00E013AA">
        <w:rPr>
          <w:rFonts w:ascii="Arial" w:eastAsia="Calibri" w:hAnsi="Arial" w:cs="Arial"/>
          <w:sz w:val="22"/>
        </w:rPr>
        <w:t xml:space="preserve">La Agencia Nacional de Contratación Pública − Colombia Compra Eficiente </w:t>
      </w:r>
      <w:r w:rsidR="00555418" w:rsidRPr="00E013AA">
        <w:rPr>
          <w:rFonts w:ascii="Arial" w:hAnsi="Arial" w:cs="Arial"/>
          <w:sz w:val="22"/>
        </w:rPr>
        <w:t>estudió el ámbito de aplicación de los Documentos Tipo</w:t>
      </w:r>
      <w:r w:rsidRPr="00E013AA">
        <w:rPr>
          <w:rFonts w:ascii="Arial" w:eastAsia="Calibri" w:hAnsi="Arial" w:cs="Arial"/>
          <w:sz w:val="22"/>
        </w:rPr>
        <w:t xml:space="preserve"> en </w:t>
      </w:r>
      <w:r w:rsidR="00AA0134" w:rsidRPr="00E013AA">
        <w:rPr>
          <w:rFonts w:ascii="Arial" w:eastAsia="Calibri" w:hAnsi="Arial" w:cs="Arial"/>
          <w:sz w:val="22"/>
        </w:rPr>
        <w:t xml:space="preserve">los </w:t>
      </w:r>
      <w:r w:rsidR="00555418">
        <w:rPr>
          <w:rFonts w:ascii="Arial" w:eastAsia="Calibri" w:hAnsi="Arial" w:cs="Arial"/>
          <w:sz w:val="22"/>
        </w:rPr>
        <w:t>C</w:t>
      </w:r>
      <w:r w:rsidRPr="00E013AA">
        <w:rPr>
          <w:rFonts w:ascii="Arial" w:eastAsia="Calibri" w:hAnsi="Arial" w:cs="Arial"/>
          <w:sz w:val="22"/>
        </w:rPr>
        <w:t xml:space="preserve">onceptos </w:t>
      </w:r>
      <w:r w:rsidR="004E5B35" w:rsidRPr="00E013AA">
        <w:rPr>
          <w:rFonts w:ascii="Arial" w:hAnsi="Arial" w:cs="Arial"/>
          <w:sz w:val="22"/>
        </w:rPr>
        <w:t>C-144 del 2 de marzo de 2020, C-143 del 8 de marzo de 2020,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 C-640 del 2 de octubre de 2020, C-645 del 6 de noviembre de 2020, C-673 del 11 de noviembre de 2020, C-692 del 27 de noviembre de 2020, entre otros</w:t>
      </w:r>
      <w:r w:rsidRPr="00E013AA">
        <w:rPr>
          <w:rFonts w:ascii="Arial" w:eastAsia="Calibri" w:hAnsi="Arial" w:cs="Arial"/>
          <w:sz w:val="22"/>
        </w:rPr>
        <w:t xml:space="preserve">. </w:t>
      </w:r>
      <w:r w:rsidR="0017377E" w:rsidRPr="00E013AA">
        <w:rPr>
          <w:rFonts w:ascii="Arial" w:eastAsia="Calibri" w:hAnsi="Arial" w:cs="Arial"/>
          <w:sz w:val="22"/>
        </w:rPr>
        <w:t>Algunos de los argumentos expuestos se reiteran</w:t>
      </w:r>
      <w:r w:rsidRPr="00E013AA">
        <w:rPr>
          <w:rFonts w:ascii="Arial" w:eastAsia="Calibri" w:hAnsi="Arial" w:cs="Arial"/>
          <w:sz w:val="22"/>
        </w:rPr>
        <w:t xml:space="preserve"> a continuación.</w:t>
      </w:r>
    </w:p>
    <w:p w14:paraId="6AF631B4" w14:textId="03773326" w:rsidR="00DD689E" w:rsidRDefault="00E013AA" w:rsidP="00D20C0C">
      <w:pPr>
        <w:spacing w:before="120" w:after="120" w:line="276" w:lineRule="auto"/>
        <w:ind w:firstLine="709"/>
        <w:jc w:val="both"/>
        <w:rPr>
          <w:rFonts w:ascii="Arial" w:hAnsi="Arial" w:cs="Arial"/>
          <w:sz w:val="22"/>
        </w:rPr>
      </w:pPr>
      <w:r>
        <w:rPr>
          <w:rFonts w:ascii="Arial" w:hAnsi="Arial" w:cs="Arial"/>
          <w:sz w:val="22"/>
        </w:rPr>
        <w:t>La redacción original del</w:t>
      </w:r>
      <w:r w:rsidR="00DD689E" w:rsidRPr="00E013AA">
        <w:rPr>
          <w:rFonts w:ascii="Arial" w:hAnsi="Arial" w:cs="Arial"/>
          <w:sz w:val="22"/>
        </w:rPr>
        <w:t xml:space="preserve"> artículo 4 de la Ley 1882 de 2018 establec</w:t>
      </w:r>
      <w:r w:rsidR="00B337FA">
        <w:rPr>
          <w:rFonts w:ascii="Arial" w:hAnsi="Arial" w:cs="Arial"/>
          <w:sz w:val="22"/>
        </w:rPr>
        <w:t>ía</w:t>
      </w:r>
      <w:r w:rsidR="00DD689E" w:rsidRPr="00E013AA">
        <w:rPr>
          <w:rFonts w:ascii="Arial" w:hAnsi="Arial" w:cs="Arial"/>
          <w:sz w:val="22"/>
        </w:rPr>
        <w:t xml:space="preserve"> que al Gobierno Nacional le corresponde adoptar los «documentos tipo para los pliegos de condiciones de los procesos de selección de obras públicas» y que estos «</w:t>
      </w:r>
      <w:r w:rsidR="00DD689E" w:rsidRPr="00E013AA">
        <w:rPr>
          <w:rFonts w:ascii="Arial" w:hAnsi="Arial" w:cs="Arial"/>
          <w:i/>
          <w:sz w:val="22"/>
        </w:rPr>
        <w:t>deberán</w:t>
      </w:r>
      <w:r w:rsidR="00DD689E" w:rsidRPr="00E013AA">
        <w:rPr>
          <w:rFonts w:ascii="Arial" w:hAnsi="Arial" w:cs="Arial"/>
          <w:sz w:val="22"/>
        </w:rPr>
        <w:t xml:space="preserve"> ser utilizados por todas las entidades sometidas al Estatuto General de la Contratación de la Administración Pública</w:t>
      </w:r>
      <w:r w:rsidR="001A0CC7">
        <w:rPr>
          <w:rFonts w:ascii="Arial" w:hAnsi="Arial" w:cs="Arial"/>
          <w:sz w:val="22"/>
        </w:rPr>
        <w:t>–EGCAP–</w:t>
      </w:r>
      <w:r w:rsidR="00DD689E" w:rsidRPr="00E013AA">
        <w:rPr>
          <w:rFonts w:ascii="Arial" w:hAnsi="Arial" w:cs="Arial"/>
          <w:sz w:val="22"/>
        </w:rPr>
        <w:t xml:space="preserve"> en los procesos de selección que adelanten». </w:t>
      </w:r>
      <w:r w:rsidR="00B337FA">
        <w:rPr>
          <w:rFonts w:ascii="Arial" w:hAnsi="Arial" w:cs="Arial"/>
          <w:sz w:val="22"/>
        </w:rPr>
        <w:t>F</w:t>
      </w:r>
      <w:r w:rsidR="00DD689E" w:rsidRPr="00E013AA">
        <w:rPr>
          <w:rFonts w:ascii="Arial" w:hAnsi="Arial" w:cs="Arial"/>
          <w:sz w:val="22"/>
        </w:rPr>
        <w:t>rente a su contenido,</w:t>
      </w:r>
      <w:r w:rsidR="00B337FA">
        <w:rPr>
          <w:rFonts w:ascii="Arial" w:hAnsi="Arial" w:cs="Arial"/>
          <w:sz w:val="22"/>
        </w:rPr>
        <w:t xml:space="preserve"> disponía</w:t>
      </w:r>
      <w:r w:rsidR="00DD689E" w:rsidRPr="00E013AA">
        <w:rPr>
          <w:rFonts w:ascii="Arial" w:hAnsi="Arial" w:cs="Arial"/>
          <w:sz w:val="22"/>
        </w:rPr>
        <w:t xml:space="preserve"> que «[d]entro de los documentos tipo el Gobierno adoptará de manera general y con </w:t>
      </w:r>
      <w:r w:rsidR="00DD689E" w:rsidRPr="00E013AA">
        <w:rPr>
          <w:rFonts w:ascii="Arial" w:hAnsi="Arial" w:cs="Arial"/>
          <w:i/>
          <w:sz w:val="22"/>
        </w:rPr>
        <w:t>alcance obligatorio</w:t>
      </w:r>
      <w:r w:rsidR="00DD689E" w:rsidRPr="00E013AA">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Pr>
          <w:rStyle w:val="FootnoteReference"/>
          <w:rFonts w:ascii="Arial" w:hAnsi="Arial" w:cs="Arial"/>
          <w:sz w:val="22"/>
        </w:rPr>
        <w:footnoteReference w:id="2"/>
      </w:r>
      <w:r w:rsidR="00DD689E" w:rsidRPr="00E013AA">
        <w:rPr>
          <w:rFonts w:ascii="Arial" w:hAnsi="Arial" w:cs="Arial"/>
          <w:sz w:val="22"/>
        </w:rPr>
        <w:t>.</w:t>
      </w:r>
    </w:p>
    <w:p w14:paraId="7D2CA97C" w14:textId="547051B6" w:rsidR="00FB05F4" w:rsidRPr="00D20C0C" w:rsidRDefault="00FB05F4" w:rsidP="00D20C0C">
      <w:pPr>
        <w:spacing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Posteriormente</w:t>
      </w:r>
      <w:r w:rsidRPr="002D413A">
        <w:rPr>
          <w:rFonts w:ascii="Arial" w:hAnsi="Arial" w:cs="Arial"/>
          <w:color w:val="0D0D0D" w:themeColor="text1" w:themeTint="F2"/>
          <w:sz w:val="22"/>
        </w:rPr>
        <w:t xml:space="preserve">, el 22 de julio de 2020, el Gobierno Nacional sancionó la Ley 2022, llamada la </w:t>
      </w:r>
      <w:r>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FootnoteReference"/>
          <w:rFonts w:ascii="Arial" w:hAnsi="Arial" w:cs="Arial"/>
          <w:color w:val="0D0D0D" w:themeColor="text1" w:themeTint="F2"/>
          <w:sz w:val="22"/>
        </w:rPr>
        <w:footnoteReference w:id="3"/>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25B99B33" w14:textId="0EF1DFB2" w:rsidR="00F36470" w:rsidRPr="00E013AA" w:rsidRDefault="00FB05F4" w:rsidP="00F36470">
      <w:pPr>
        <w:spacing w:before="120" w:line="276" w:lineRule="auto"/>
        <w:ind w:firstLine="708"/>
        <w:jc w:val="both"/>
        <w:rPr>
          <w:rFonts w:ascii="Arial" w:hAnsi="Arial" w:cs="Arial"/>
          <w:sz w:val="22"/>
          <w:shd w:val="clear" w:color="auto" w:fill="FFFFFF"/>
        </w:rPr>
      </w:pPr>
      <w:r>
        <w:rPr>
          <w:rFonts w:ascii="Arial" w:hAnsi="Arial" w:cs="Arial"/>
          <w:sz w:val="22"/>
        </w:rPr>
        <w:t>En todo caso</w:t>
      </w:r>
      <w:r w:rsidR="00F36470" w:rsidRPr="00E013AA">
        <w:rPr>
          <w:rFonts w:ascii="Arial" w:hAnsi="Arial" w:cs="Arial"/>
          <w:sz w:val="22"/>
        </w:rPr>
        <w:t xml:space="preserve">, </w:t>
      </w:r>
      <w:r>
        <w:rPr>
          <w:rFonts w:ascii="Arial" w:hAnsi="Arial" w:cs="Arial"/>
          <w:sz w:val="22"/>
        </w:rPr>
        <w:t>bajo la redacción inicial del</w:t>
      </w:r>
      <w:r w:rsidRPr="00E013AA">
        <w:rPr>
          <w:rFonts w:ascii="Arial" w:hAnsi="Arial" w:cs="Arial"/>
          <w:sz w:val="22"/>
        </w:rPr>
        <w:t xml:space="preserve"> artículo 4 de la Ley 1882 de 2018</w:t>
      </w:r>
      <w:r>
        <w:rPr>
          <w:rFonts w:ascii="Arial" w:hAnsi="Arial" w:cs="Arial"/>
          <w:sz w:val="22"/>
        </w:rPr>
        <w:t xml:space="preserve">, </w:t>
      </w:r>
      <w:r w:rsidR="00F36470" w:rsidRPr="00E013AA">
        <w:rPr>
          <w:rFonts w:ascii="Arial" w:hAnsi="Arial" w:cs="Arial"/>
          <w:sz w:val="22"/>
        </w:rPr>
        <w:t>el Gobierno Nacional adop</w:t>
      </w:r>
      <w:r w:rsidR="00F36470" w:rsidRPr="00E013AA">
        <w:rPr>
          <w:rFonts w:ascii="Arial" w:hAnsi="Arial" w:cs="Arial"/>
          <w:sz w:val="22"/>
          <w:shd w:val="clear" w:color="auto" w:fill="FFFFFF"/>
        </w:rPr>
        <w:t xml:space="preserve">tó los </w:t>
      </w:r>
      <w:r w:rsidR="009507D1" w:rsidRPr="00E013AA">
        <w:rPr>
          <w:rFonts w:ascii="Arial" w:hAnsi="Arial" w:cs="Arial"/>
          <w:sz w:val="22"/>
          <w:shd w:val="clear" w:color="auto" w:fill="FFFFFF"/>
        </w:rPr>
        <w:t>d</w:t>
      </w:r>
      <w:r w:rsidR="00F36470" w:rsidRPr="00E013AA">
        <w:rPr>
          <w:rFonts w:ascii="Arial" w:hAnsi="Arial" w:cs="Arial"/>
          <w:sz w:val="22"/>
          <w:shd w:val="clear" w:color="auto" w:fill="FFFFFF"/>
        </w:rPr>
        <w:t xml:space="preserve">ocumentos </w:t>
      </w:r>
      <w:r w:rsidR="0018018D" w:rsidRPr="00E013AA">
        <w:rPr>
          <w:rFonts w:ascii="Arial" w:hAnsi="Arial" w:cs="Arial"/>
          <w:sz w:val="22"/>
          <w:shd w:val="clear" w:color="auto" w:fill="FFFFFF"/>
        </w:rPr>
        <w:t>ti</w:t>
      </w:r>
      <w:r w:rsidR="00F36470" w:rsidRPr="00E013AA">
        <w:rPr>
          <w:rFonts w:ascii="Arial" w:hAnsi="Arial" w:cs="Arial"/>
          <w:sz w:val="22"/>
          <w:shd w:val="clear" w:color="auto" w:fill="FFFFFF"/>
        </w:rPr>
        <w:t>po para los pliegos de condiciones de los procesos de selección de licitación de obra pública de infraestructura de transporte, mediante la expedición del Decreto 342 de 2018, el cual adiciona al Decreto 1082 de 2015. Posteriormente, mediante los Decretos 2096 de 2019 y 594 de 2020 se adoptaron los Documentos Tipo de infraestructura de transporte para las modalidades de selección abreviada de menor cuantía y mínima cuantía, respectivamente.</w:t>
      </w:r>
    </w:p>
    <w:p w14:paraId="340FE748" w14:textId="47FB029A" w:rsidR="00DD689E" w:rsidRPr="00E013AA" w:rsidRDefault="00D83F1B" w:rsidP="00DD689E">
      <w:pPr>
        <w:spacing w:before="120" w:line="276" w:lineRule="auto"/>
        <w:ind w:firstLine="708"/>
        <w:jc w:val="both"/>
        <w:rPr>
          <w:rFonts w:ascii="Arial" w:hAnsi="Arial" w:cs="Arial"/>
          <w:sz w:val="22"/>
          <w:shd w:val="clear" w:color="auto" w:fill="FFFFFF"/>
        </w:rPr>
      </w:pPr>
      <w:r w:rsidRPr="00E013AA">
        <w:rPr>
          <w:rFonts w:ascii="Arial" w:hAnsi="Arial" w:cs="Arial"/>
          <w:sz w:val="22"/>
          <w:shd w:val="clear" w:color="auto" w:fill="FFFFFF"/>
        </w:rPr>
        <w:t>Los</w:t>
      </w:r>
      <w:r w:rsidR="00DD689E" w:rsidRPr="00E013AA">
        <w:rPr>
          <w:rFonts w:ascii="Arial" w:hAnsi="Arial" w:cs="Arial"/>
          <w:sz w:val="22"/>
          <w:shd w:val="clear" w:color="auto" w:fill="FFFFFF"/>
        </w:rPr>
        <w:t xml:space="preserve"> artículo</w:t>
      </w:r>
      <w:r w:rsidR="00AC508A" w:rsidRPr="00E013AA">
        <w:rPr>
          <w:rFonts w:ascii="Arial" w:hAnsi="Arial" w:cs="Arial"/>
          <w:sz w:val="22"/>
          <w:shd w:val="clear" w:color="auto" w:fill="FFFFFF"/>
        </w:rPr>
        <w:t>s</w:t>
      </w:r>
      <w:r w:rsidR="00DD689E" w:rsidRPr="00E013AA">
        <w:rPr>
          <w:rFonts w:ascii="Arial" w:hAnsi="Arial" w:cs="Arial"/>
          <w:sz w:val="22"/>
          <w:shd w:val="clear" w:color="auto" w:fill="FFFFFF"/>
        </w:rPr>
        <w:t xml:space="preserve"> 2.2.1.2.6.1.4</w:t>
      </w:r>
      <w:r w:rsidRPr="00E013AA">
        <w:rPr>
          <w:rFonts w:ascii="Arial" w:hAnsi="Arial" w:cs="Arial"/>
          <w:sz w:val="22"/>
          <w:shd w:val="clear" w:color="auto" w:fill="FFFFFF"/>
        </w:rPr>
        <w:t xml:space="preserve">, </w:t>
      </w:r>
      <w:r w:rsidR="008C49B9" w:rsidRPr="00E013AA">
        <w:rPr>
          <w:rFonts w:ascii="Arial" w:hAnsi="Arial" w:cs="Arial"/>
          <w:sz w:val="22"/>
          <w:shd w:val="clear" w:color="auto" w:fill="FFFFFF"/>
        </w:rPr>
        <w:t xml:space="preserve">2.2.1.2.6.2.3 y </w:t>
      </w:r>
      <w:r w:rsidR="00AC508A" w:rsidRPr="00E013AA">
        <w:rPr>
          <w:rFonts w:ascii="Arial" w:hAnsi="Arial" w:cs="Arial"/>
          <w:sz w:val="22"/>
          <w:shd w:val="clear" w:color="auto" w:fill="FFFFFF"/>
        </w:rPr>
        <w:t>2.2.1.2.6.3.4</w:t>
      </w:r>
      <w:r w:rsidR="00DD689E" w:rsidRPr="00E013AA">
        <w:rPr>
          <w:rFonts w:ascii="Arial" w:hAnsi="Arial" w:cs="Arial"/>
          <w:sz w:val="22"/>
          <w:shd w:val="clear" w:color="auto" w:fill="FFFFFF"/>
        </w:rPr>
        <w:t xml:space="preserve"> del Decreto 1082 de 2015 establece</w:t>
      </w:r>
      <w:r w:rsidR="0018018D" w:rsidRPr="00E013AA">
        <w:rPr>
          <w:rFonts w:ascii="Arial" w:hAnsi="Arial" w:cs="Arial"/>
          <w:sz w:val="22"/>
          <w:shd w:val="clear" w:color="auto" w:fill="FFFFFF"/>
        </w:rPr>
        <w:t>n</w:t>
      </w:r>
      <w:r w:rsidR="00DD689E" w:rsidRPr="00E013AA">
        <w:rPr>
          <w:rFonts w:ascii="Arial" w:hAnsi="Arial" w:cs="Arial"/>
          <w:sz w:val="22"/>
          <w:shd w:val="clear" w:color="auto" w:fill="FFFFFF"/>
        </w:rPr>
        <w:t xml:space="preserve"> la inalterabilidad de los </w:t>
      </w:r>
      <w:r w:rsidR="0018018D" w:rsidRPr="00E013AA">
        <w:rPr>
          <w:rFonts w:ascii="Arial" w:hAnsi="Arial" w:cs="Arial"/>
          <w:sz w:val="22"/>
          <w:shd w:val="clear" w:color="auto" w:fill="FFFFFF"/>
        </w:rPr>
        <w:t>d</w:t>
      </w:r>
      <w:r w:rsidR="00DD689E" w:rsidRPr="00E013AA">
        <w:rPr>
          <w:rFonts w:ascii="Arial" w:hAnsi="Arial" w:cs="Arial"/>
          <w:sz w:val="22"/>
          <w:shd w:val="clear" w:color="auto" w:fill="FFFFFF"/>
        </w:rPr>
        <w:t xml:space="preserve">ocumentos </w:t>
      </w:r>
      <w:r w:rsidR="0018018D" w:rsidRPr="00E013AA">
        <w:rPr>
          <w:rFonts w:ascii="Arial" w:hAnsi="Arial" w:cs="Arial"/>
          <w:sz w:val="22"/>
          <w:shd w:val="clear" w:color="auto" w:fill="FFFFFF"/>
        </w:rPr>
        <w:t>t</w:t>
      </w:r>
      <w:r w:rsidR="00DD689E" w:rsidRPr="00E013AA">
        <w:rPr>
          <w:rFonts w:ascii="Arial" w:hAnsi="Arial" w:cs="Arial"/>
          <w:sz w:val="22"/>
          <w:shd w:val="clear" w:color="auto" w:fill="FFFFFF"/>
        </w:rPr>
        <w:t xml:space="preserve">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73A99D31" w14:textId="0322C07E" w:rsidR="00100123" w:rsidRPr="00E013AA" w:rsidRDefault="00DD689E" w:rsidP="00F85DCC">
      <w:pPr>
        <w:spacing w:before="120" w:line="276" w:lineRule="auto"/>
        <w:ind w:firstLine="708"/>
        <w:jc w:val="both"/>
        <w:rPr>
          <w:rFonts w:ascii="Arial" w:hAnsi="Arial" w:cs="Arial"/>
          <w:sz w:val="22"/>
          <w:shd w:val="clear" w:color="auto" w:fill="FFFFFF"/>
        </w:rPr>
      </w:pPr>
      <w:r w:rsidRPr="00E013AA">
        <w:rPr>
          <w:rFonts w:ascii="Arial" w:hAnsi="Arial" w:cs="Arial"/>
          <w:sz w:val="22"/>
          <w:shd w:val="clear" w:color="auto" w:fill="FFFFFF"/>
        </w:rPr>
        <w:t xml:space="preserve">Con el fin de establecer cuáles son los </w:t>
      </w:r>
      <w:r w:rsidR="003B0E6E" w:rsidRPr="00E013AA">
        <w:rPr>
          <w:rFonts w:ascii="Arial" w:hAnsi="Arial" w:cs="Arial"/>
          <w:sz w:val="22"/>
          <w:shd w:val="clear" w:color="auto" w:fill="FFFFFF"/>
        </w:rPr>
        <w:t>d</w:t>
      </w:r>
      <w:r w:rsidRPr="00E013AA">
        <w:rPr>
          <w:rFonts w:ascii="Arial" w:hAnsi="Arial" w:cs="Arial"/>
          <w:sz w:val="22"/>
          <w:shd w:val="clear" w:color="auto" w:fill="FFFFFF"/>
        </w:rPr>
        <w:t xml:space="preserve">ocumentos </w:t>
      </w:r>
      <w:r w:rsidR="003B0E6E" w:rsidRPr="00E013AA">
        <w:rPr>
          <w:rFonts w:ascii="Arial" w:hAnsi="Arial" w:cs="Arial"/>
          <w:sz w:val="22"/>
          <w:shd w:val="clear" w:color="auto" w:fill="FFFFFF"/>
        </w:rPr>
        <w:t>t</w:t>
      </w:r>
      <w:r w:rsidRPr="00E013AA">
        <w:rPr>
          <w:rFonts w:ascii="Arial" w:hAnsi="Arial" w:cs="Arial"/>
          <w:sz w:val="22"/>
          <w:shd w:val="clear" w:color="auto" w:fill="FFFFFF"/>
        </w:rPr>
        <w:t>ipo sujetos a esta disposición, l</w:t>
      </w:r>
      <w:r w:rsidR="00B30892" w:rsidRPr="00E013AA">
        <w:rPr>
          <w:rFonts w:ascii="Arial" w:hAnsi="Arial" w:cs="Arial"/>
          <w:sz w:val="22"/>
          <w:shd w:val="clear" w:color="auto" w:fill="FFFFFF"/>
        </w:rPr>
        <w:t>os</w:t>
      </w:r>
      <w:r w:rsidRPr="00E013AA">
        <w:rPr>
          <w:rFonts w:ascii="Arial" w:hAnsi="Arial" w:cs="Arial"/>
          <w:sz w:val="22"/>
          <w:shd w:val="clear" w:color="auto" w:fill="FFFFFF"/>
        </w:rPr>
        <w:t xml:space="preserve"> artículo</w:t>
      </w:r>
      <w:r w:rsidR="00B30892" w:rsidRPr="00E013AA">
        <w:rPr>
          <w:rFonts w:ascii="Arial" w:hAnsi="Arial" w:cs="Arial"/>
          <w:sz w:val="22"/>
          <w:shd w:val="clear" w:color="auto" w:fill="FFFFFF"/>
        </w:rPr>
        <w:t>s</w:t>
      </w:r>
      <w:r w:rsidRPr="00E013AA">
        <w:rPr>
          <w:rFonts w:ascii="Arial" w:hAnsi="Arial" w:cs="Arial"/>
          <w:sz w:val="22"/>
          <w:shd w:val="clear" w:color="auto" w:fill="FFFFFF"/>
        </w:rPr>
        <w:t xml:space="preserve"> 2.2.1.2.6.1.2</w:t>
      </w:r>
      <w:r w:rsidR="00B30892" w:rsidRPr="00E013AA">
        <w:rPr>
          <w:rFonts w:ascii="Arial" w:hAnsi="Arial" w:cs="Arial"/>
          <w:sz w:val="22"/>
          <w:shd w:val="clear" w:color="auto" w:fill="FFFFFF"/>
        </w:rPr>
        <w:t xml:space="preserve">, </w:t>
      </w:r>
      <w:r w:rsidR="009A4BA7" w:rsidRPr="00E013AA">
        <w:rPr>
          <w:rFonts w:ascii="Arial" w:hAnsi="Arial" w:cs="Arial"/>
          <w:sz w:val="22"/>
          <w:shd w:val="clear" w:color="auto" w:fill="FFFFFF"/>
        </w:rPr>
        <w:t xml:space="preserve">2.2.1.2.6.2.2 y </w:t>
      </w:r>
      <w:r w:rsidR="00174D99" w:rsidRPr="00E013AA">
        <w:rPr>
          <w:rFonts w:ascii="Arial" w:hAnsi="Arial" w:cs="Arial"/>
          <w:sz w:val="22"/>
          <w:shd w:val="clear" w:color="auto" w:fill="FFFFFF"/>
        </w:rPr>
        <w:t>2.2.1.2.6.3.2</w:t>
      </w:r>
      <w:r w:rsidRPr="00E013AA">
        <w:rPr>
          <w:rFonts w:ascii="Arial" w:hAnsi="Arial" w:cs="Arial"/>
          <w:sz w:val="22"/>
          <w:shd w:val="clear" w:color="auto" w:fill="FFFFFF"/>
        </w:rPr>
        <w:t xml:space="preserve"> del Decreto 1082 de 2015 </w:t>
      </w:r>
      <w:r w:rsidR="00E4480A" w:rsidRPr="00E013AA">
        <w:rPr>
          <w:rFonts w:ascii="Arial" w:hAnsi="Arial" w:cs="Arial"/>
          <w:sz w:val="22"/>
          <w:shd w:val="clear" w:color="auto" w:fill="FFFFFF"/>
        </w:rPr>
        <w:t>establecen listados</w:t>
      </w:r>
      <w:r w:rsidRPr="00E013AA">
        <w:rPr>
          <w:rFonts w:ascii="Arial" w:hAnsi="Arial" w:cs="Arial"/>
          <w:sz w:val="22"/>
          <w:shd w:val="clear" w:color="auto" w:fill="FFFFFF"/>
        </w:rPr>
        <w:t xml:space="preserve"> que determina</w:t>
      </w:r>
      <w:r w:rsidR="00174D99" w:rsidRPr="00E013AA">
        <w:rPr>
          <w:rFonts w:ascii="Arial" w:hAnsi="Arial" w:cs="Arial"/>
          <w:sz w:val="22"/>
          <w:shd w:val="clear" w:color="auto" w:fill="FFFFFF"/>
        </w:rPr>
        <w:t>n</w:t>
      </w:r>
      <w:r w:rsidRPr="00E013AA">
        <w:rPr>
          <w:rFonts w:ascii="Arial" w:hAnsi="Arial" w:cs="Arial"/>
          <w:sz w:val="22"/>
          <w:shd w:val="clear" w:color="auto" w:fill="FFFFFF"/>
        </w:rPr>
        <w:t xml:space="preserve"> </w:t>
      </w:r>
      <w:r w:rsidR="003B0E6E" w:rsidRPr="00E013AA">
        <w:rPr>
          <w:rFonts w:ascii="Arial" w:hAnsi="Arial" w:cs="Arial"/>
          <w:sz w:val="22"/>
          <w:shd w:val="clear" w:color="auto" w:fill="FFFFFF"/>
        </w:rPr>
        <w:t>su</w:t>
      </w:r>
      <w:r w:rsidRPr="00E013AA">
        <w:rPr>
          <w:rFonts w:ascii="Arial" w:hAnsi="Arial" w:cs="Arial"/>
          <w:sz w:val="22"/>
          <w:shd w:val="clear" w:color="auto" w:fill="FFFFFF"/>
        </w:rPr>
        <w:t xml:space="preserve"> alcance</w:t>
      </w:r>
      <w:r w:rsidR="00174D99" w:rsidRPr="00E013AA">
        <w:rPr>
          <w:rFonts w:ascii="Arial" w:hAnsi="Arial" w:cs="Arial"/>
          <w:sz w:val="22"/>
          <w:shd w:val="clear" w:color="auto" w:fill="FFFFFF"/>
        </w:rPr>
        <w:t xml:space="preserve"> </w:t>
      </w:r>
      <w:r w:rsidR="003B0E6E" w:rsidRPr="00E013AA">
        <w:rPr>
          <w:rFonts w:ascii="Arial" w:hAnsi="Arial" w:cs="Arial"/>
          <w:sz w:val="22"/>
          <w:shd w:val="clear" w:color="auto" w:fill="FFFFFF"/>
        </w:rPr>
        <w:t xml:space="preserve">en </w:t>
      </w:r>
      <w:r w:rsidR="00174D99" w:rsidRPr="00E013AA">
        <w:rPr>
          <w:rFonts w:ascii="Arial" w:hAnsi="Arial" w:cs="Arial"/>
          <w:sz w:val="22"/>
          <w:shd w:val="clear" w:color="auto" w:fill="FFFFFF"/>
        </w:rPr>
        <w:t>cada una de las modalidades</w:t>
      </w:r>
      <w:r w:rsidR="003B0E6E" w:rsidRPr="00E013AA">
        <w:rPr>
          <w:rFonts w:ascii="Arial" w:hAnsi="Arial" w:cs="Arial"/>
          <w:sz w:val="22"/>
          <w:shd w:val="clear" w:color="auto" w:fill="FFFFFF"/>
        </w:rPr>
        <w:t xml:space="preserve"> de selección referidas</w:t>
      </w:r>
      <w:r w:rsidR="00174D99" w:rsidRPr="00E013AA">
        <w:rPr>
          <w:rFonts w:ascii="Arial" w:hAnsi="Arial" w:cs="Arial"/>
          <w:sz w:val="22"/>
          <w:shd w:val="clear" w:color="auto" w:fill="FFFFFF"/>
        </w:rPr>
        <w:t xml:space="preserve"> </w:t>
      </w:r>
      <w:r w:rsidRPr="00E013AA">
        <w:rPr>
          <w:rFonts w:ascii="Arial" w:hAnsi="Arial" w:cs="Arial"/>
          <w:sz w:val="22"/>
          <w:shd w:val="clear" w:color="auto" w:fill="FFFFFF"/>
        </w:rPr>
        <w:t>e incluye expresamente la «Matriz 1 – Experiencia» ─en adelante Matriz 1─. Por su parte, l</w:t>
      </w:r>
      <w:r w:rsidR="00481800" w:rsidRPr="00E013AA">
        <w:rPr>
          <w:rFonts w:ascii="Arial" w:hAnsi="Arial" w:cs="Arial"/>
          <w:sz w:val="22"/>
          <w:shd w:val="clear" w:color="auto" w:fill="FFFFFF"/>
        </w:rPr>
        <w:t>os</w:t>
      </w:r>
      <w:r w:rsidRPr="00E013AA">
        <w:rPr>
          <w:rFonts w:ascii="Arial" w:hAnsi="Arial" w:cs="Arial"/>
          <w:sz w:val="22"/>
          <w:shd w:val="clear" w:color="auto" w:fill="FFFFFF"/>
        </w:rPr>
        <w:t xml:space="preserve"> artículo</w:t>
      </w:r>
      <w:r w:rsidR="00481800" w:rsidRPr="00E013AA">
        <w:rPr>
          <w:rFonts w:ascii="Arial" w:hAnsi="Arial" w:cs="Arial"/>
          <w:sz w:val="22"/>
          <w:shd w:val="clear" w:color="auto" w:fill="FFFFFF"/>
        </w:rPr>
        <w:t>s</w:t>
      </w:r>
      <w:r w:rsidRPr="00E013AA">
        <w:rPr>
          <w:rFonts w:ascii="Arial" w:hAnsi="Arial" w:cs="Arial"/>
          <w:sz w:val="22"/>
          <w:shd w:val="clear" w:color="auto" w:fill="FFFFFF"/>
        </w:rPr>
        <w:t xml:space="preserve"> 2.2.1.2.6.1.3</w:t>
      </w:r>
      <w:r w:rsidR="00481800" w:rsidRPr="00E013AA">
        <w:rPr>
          <w:rFonts w:ascii="Arial" w:hAnsi="Arial" w:cs="Arial"/>
          <w:sz w:val="22"/>
          <w:shd w:val="clear" w:color="auto" w:fill="FFFFFF"/>
        </w:rPr>
        <w:t>, 2.2.1.2.6.2.3 y</w:t>
      </w:r>
      <w:r w:rsidR="00DC6B0E" w:rsidRPr="00E013AA">
        <w:rPr>
          <w:rFonts w:ascii="Arial" w:hAnsi="Arial" w:cs="Arial"/>
          <w:sz w:val="22"/>
          <w:shd w:val="clear" w:color="auto" w:fill="FFFFFF"/>
        </w:rPr>
        <w:t xml:space="preserve"> </w:t>
      </w:r>
      <w:r w:rsidR="004A0582" w:rsidRPr="00E013AA">
        <w:rPr>
          <w:rFonts w:ascii="Arial" w:hAnsi="Arial" w:cs="Arial"/>
          <w:sz w:val="22"/>
          <w:shd w:val="clear" w:color="auto" w:fill="FFFFFF"/>
        </w:rPr>
        <w:t>2.2.1.2.6.3.3</w:t>
      </w:r>
      <w:r w:rsidRPr="00E013AA">
        <w:rPr>
          <w:rFonts w:ascii="Arial" w:hAnsi="Arial" w:cs="Arial"/>
          <w:sz w:val="22"/>
          <w:shd w:val="clear" w:color="auto" w:fill="FFFFFF"/>
        </w:rPr>
        <w:t xml:space="preserve"> </w:t>
      </w:r>
      <w:r w:rsidRPr="00E013AA">
        <w:rPr>
          <w:rFonts w:ascii="Arial" w:hAnsi="Arial" w:cs="Arial"/>
          <w:i/>
          <w:iCs/>
          <w:sz w:val="22"/>
          <w:shd w:val="clear" w:color="auto" w:fill="FFFFFF"/>
        </w:rPr>
        <w:t xml:space="preserve">ibidem </w:t>
      </w:r>
      <w:r w:rsidRPr="00E013AA">
        <w:rPr>
          <w:rFonts w:ascii="Arial" w:hAnsi="Arial" w:cs="Arial"/>
          <w:sz w:val="22"/>
          <w:shd w:val="clear" w:color="auto" w:fill="FFFFFF"/>
        </w:rPr>
        <w:t>dispone</w:t>
      </w:r>
      <w:r w:rsidR="00B306A5" w:rsidRPr="00E013AA">
        <w:rPr>
          <w:rFonts w:ascii="Arial" w:hAnsi="Arial" w:cs="Arial"/>
          <w:sz w:val="22"/>
          <w:shd w:val="clear" w:color="auto" w:fill="FFFFFF"/>
        </w:rPr>
        <w:t>n</w:t>
      </w:r>
      <w:r w:rsidRPr="00E013AA">
        <w:rPr>
          <w:rFonts w:ascii="Arial" w:hAnsi="Arial" w:cs="Arial"/>
          <w:sz w:val="22"/>
          <w:shd w:val="clear" w:color="auto" w:fill="FFFFFF"/>
        </w:rPr>
        <w:t xml:space="preserve"> que, en el desarrollo e implementación de los documentos, la Agencia Nacional de Contratación Pública – Colombia Compra Eficiente, en coordinación con el Departamento Nacional de Planeación [DNP] y el Ministerio de Transporte, debe</w:t>
      </w:r>
      <w:r w:rsidR="00100123" w:rsidRPr="00E013AA">
        <w:rPr>
          <w:rFonts w:ascii="Arial" w:hAnsi="Arial" w:cs="Arial"/>
          <w:sz w:val="22"/>
          <w:shd w:val="clear" w:color="auto" w:fill="FFFFFF"/>
        </w:rPr>
        <w:t xml:space="preserve"> </w:t>
      </w:r>
      <w:r w:rsidR="00DE4F9F" w:rsidRPr="00E013AA">
        <w:rPr>
          <w:rFonts w:ascii="Arial" w:hAnsi="Arial" w:cs="Arial"/>
          <w:sz w:val="22"/>
          <w:shd w:val="clear" w:color="auto" w:fill="FFFFFF"/>
        </w:rPr>
        <w:t>s</w:t>
      </w:r>
      <w:r w:rsidR="00100123" w:rsidRPr="00E013AA">
        <w:rPr>
          <w:rFonts w:ascii="Arial" w:hAnsi="Arial" w:cs="Arial"/>
          <w:sz w:val="22"/>
          <w:shd w:val="clear" w:color="auto" w:fill="FFFFFF"/>
        </w:rPr>
        <w:t xml:space="preserve">eñalar las actividades sobre las cuales recaerá la verificación de la experiencia de los proponentes, así como los documentos y criterios de acreditación y verificación de experiencia, teniendo en cuenta la cuantía y el tipo de intervención. </w:t>
      </w:r>
      <w:r w:rsidRPr="00E013AA">
        <w:rPr>
          <w:rFonts w:ascii="Arial" w:hAnsi="Arial" w:cs="Arial"/>
          <w:sz w:val="22"/>
          <w:shd w:val="clear" w:color="auto" w:fill="FFFFFF"/>
        </w:rPr>
        <w:t xml:space="preserve"> </w:t>
      </w:r>
    </w:p>
    <w:p w14:paraId="1F463B30" w14:textId="4B4411C0" w:rsidR="00D75B37" w:rsidRPr="00E013AA" w:rsidRDefault="00B306A5" w:rsidP="00D75B37">
      <w:pPr>
        <w:spacing w:before="120" w:line="276" w:lineRule="auto"/>
        <w:ind w:firstLine="708"/>
        <w:jc w:val="both"/>
        <w:rPr>
          <w:rFonts w:ascii="Arial" w:hAnsi="Arial" w:cs="Arial"/>
          <w:sz w:val="22"/>
          <w:shd w:val="clear" w:color="auto" w:fill="FFFFFF"/>
        </w:rPr>
      </w:pPr>
      <w:r w:rsidRPr="00E013AA">
        <w:rPr>
          <w:rFonts w:ascii="Arial" w:hAnsi="Arial" w:cs="Arial"/>
          <w:sz w:val="22"/>
          <w:shd w:val="clear" w:color="auto" w:fill="FFFFFF"/>
        </w:rPr>
        <w:t xml:space="preserve">En cumplimiento de </w:t>
      </w:r>
      <w:r w:rsidR="006A442E" w:rsidRPr="00E013AA">
        <w:rPr>
          <w:rFonts w:ascii="Arial" w:hAnsi="Arial" w:cs="Arial"/>
          <w:sz w:val="22"/>
          <w:shd w:val="clear" w:color="auto" w:fill="FFFFFF"/>
        </w:rPr>
        <w:t xml:space="preserve">tales mandatos, esta Agencia expidió las Resoluciones Nos. 1798 de 2019, 045 de 2020 </w:t>
      </w:r>
      <w:r w:rsidR="00D60689" w:rsidRPr="00E013AA">
        <w:rPr>
          <w:rFonts w:ascii="Arial" w:hAnsi="Arial" w:cs="Arial"/>
          <w:sz w:val="22"/>
          <w:shd w:val="clear" w:color="auto" w:fill="FFFFFF"/>
        </w:rPr>
        <w:t xml:space="preserve">y </w:t>
      </w:r>
      <w:r w:rsidR="00352FF4" w:rsidRPr="00E013AA">
        <w:rPr>
          <w:rFonts w:ascii="Arial" w:hAnsi="Arial" w:cs="Arial"/>
          <w:sz w:val="22"/>
          <w:shd w:val="clear" w:color="auto" w:fill="FFFFFF"/>
        </w:rPr>
        <w:t xml:space="preserve">240 de 2020, </w:t>
      </w:r>
      <w:r w:rsidR="001637F9">
        <w:rPr>
          <w:rFonts w:ascii="Arial" w:hAnsi="Arial" w:cs="Arial"/>
          <w:sz w:val="22"/>
          <w:shd w:val="clear" w:color="auto" w:fill="FFFFFF"/>
        </w:rPr>
        <w:t>mediante</w:t>
      </w:r>
      <w:r w:rsidR="00352FF4" w:rsidRPr="00E013AA">
        <w:rPr>
          <w:rFonts w:ascii="Arial" w:hAnsi="Arial" w:cs="Arial"/>
          <w:sz w:val="22"/>
          <w:shd w:val="clear" w:color="auto" w:fill="FFFFFF"/>
        </w:rPr>
        <w:t xml:space="preserve"> l</w:t>
      </w:r>
      <w:r w:rsidR="001637F9">
        <w:rPr>
          <w:rFonts w:ascii="Arial" w:hAnsi="Arial" w:cs="Arial"/>
          <w:sz w:val="22"/>
          <w:shd w:val="clear" w:color="auto" w:fill="FFFFFF"/>
        </w:rPr>
        <w:t>a</w:t>
      </w:r>
      <w:r w:rsidR="00352FF4" w:rsidRPr="00E013AA">
        <w:rPr>
          <w:rFonts w:ascii="Arial" w:hAnsi="Arial" w:cs="Arial"/>
          <w:sz w:val="22"/>
          <w:shd w:val="clear" w:color="auto" w:fill="FFFFFF"/>
        </w:rPr>
        <w:t>s cuales se desarrollaron e implementaron l</w:t>
      </w:r>
      <w:r w:rsidR="009377AC" w:rsidRPr="00E013AA">
        <w:rPr>
          <w:rFonts w:ascii="Arial" w:hAnsi="Arial" w:cs="Arial"/>
          <w:sz w:val="22"/>
          <w:shd w:val="clear" w:color="auto" w:fill="FFFFFF"/>
        </w:rPr>
        <w:t>as versiones 1, 2 y 3 de los</w:t>
      </w:r>
      <w:r w:rsidR="00352FF4" w:rsidRPr="00E013AA">
        <w:rPr>
          <w:rFonts w:ascii="Arial" w:hAnsi="Arial" w:cs="Arial"/>
          <w:sz w:val="22"/>
          <w:shd w:val="clear" w:color="auto" w:fill="FFFFFF"/>
        </w:rPr>
        <w:t xml:space="preserve"> </w:t>
      </w:r>
      <w:r w:rsidR="00E90278" w:rsidRPr="00E013AA">
        <w:rPr>
          <w:rFonts w:ascii="Arial" w:hAnsi="Arial" w:cs="Arial"/>
          <w:sz w:val="22"/>
          <w:shd w:val="clear" w:color="auto" w:fill="FFFFFF"/>
        </w:rPr>
        <w:t>d</w:t>
      </w:r>
      <w:r w:rsidR="00352FF4" w:rsidRPr="00E013AA">
        <w:rPr>
          <w:rFonts w:ascii="Arial" w:hAnsi="Arial" w:cs="Arial"/>
          <w:sz w:val="22"/>
          <w:shd w:val="clear" w:color="auto" w:fill="FFFFFF"/>
        </w:rPr>
        <w:t xml:space="preserve">ocumentos </w:t>
      </w:r>
      <w:r w:rsidR="00E90278" w:rsidRPr="00E013AA">
        <w:rPr>
          <w:rFonts w:ascii="Arial" w:hAnsi="Arial" w:cs="Arial"/>
          <w:sz w:val="22"/>
          <w:shd w:val="clear" w:color="auto" w:fill="FFFFFF"/>
        </w:rPr>
        <w:t>t</w:t>
      </w:r>
      <w:r w:rsidR="00352FF4" w:rsidRPr="00E013AA">
        <w:rPr>
          <w:rFonts w:ascii="Arial" w:hAnsi="Arial" w:cs="Arial"/>
          <w:sz w:val="22"/>
          <w:shd w:val="clear" w:color="auto" w:fill="FFFFFF"/>
        </w:rPr>
        <w:t>ipo de</w:t>
      </w:r>
      <w:r w:rsidR="001500EE" w:rsidRPr="00E013AA">
        <w:rPr>
          <w:rFonts w:ascii="Arial" w:hAnsi="Arial" w:cs="Arial"/>
          <w:sz w:val="22"/>
          <w:shd w:val="clear" w:color="auto" w:fill="FFFFFF"/>
        </w:rPr>
        <w:t xml:space="preserve"> obra </w:t>
      </w:r>
      <w:r w:rsidR="00E90278" w:rsidRPr="00E013AA">
        <w:rPr>
          <w:rFonts w:ascii="Arial" w:hAnsi="Arial" w:cs="Arial"/>
          <w:sz w:val="22"/>
          <w:shd w:val="clear" w:color="auto" w:fill="FFFFFF"/>
        </w:rPr>
        <w:t xml:space="preserve">licitación de obra </w:t>
      </w:r>
      <w:r w:rsidR="001500EE" w:rsidRPr="00E013AA">
        <w:rPr>
          <w:rFonts w:ascii="Arial" w:hAnsi="Arial" w:cs="Arial"/>
          <w:sz w:val="22"/>
          <w:shd w:val="clear" w:color="auto" w:fill="FFFFFF"/>
        </w:rPr>
        <w:t>pública de</w:t>
      </w:r>
      <w:r w:rsidR="00352FF4" w:rsidRPr="00E013AA">
        <w:rPr>
          <w:rFonts w:ascii="Arial" w:hAnsi="Arial" w:cs="Arial"/>
          <w:sz w:val="22"/>
          <w:shd w:val="clear" w:color="auto" w:fill="FFFFFF"/>
        </w:rPr>
        <w:t xml:space="preserve"> infraestructura de transporte</w:t>
      </w:r>
      <w:r w:rsidR="006B7137" w:rsidRPr="00E013AA">
        <w:rPr>
          <w:rFonts w:ascii="Arial" w:hAnsi="Arial" w:cs="Arial"/>
          <w:sz w:val="22"/>
          <w:shd w:val="clear" w:color="auto" w:fill="FFFFFF"/>
        </w:rPr>
        <w:t xml:space="preserve">. Lo propio se hizo </w:t>
      </w:r>
      <w:r w:rsidR="00FB05F4">
        <w:rPr>
          <w:rFonts w:ascii="Arial" w:hAnsi="Arial" w:cs="Arial"/>
          <w:sz w:val="22"/>
          <w:shd w:val="clear" w:color="auto" w:fill="FFFFFF"/>
        </w:rPr>
        <w:t>por medio</w:t>
      </w:r>
      <w:r w:rsidR="006B7137" w:rsidRPr="00E013AA">
        <w:rPr>
          <w:rFonts w:ascii="Arial" w:hAnsi="Arial" w:cs="Arial"/>
          <w:sz w:val="22"/>
          <w:shd w:val="clear" w:color="auto" w:fill="FFFFFF"/>
        </w:rPr>
        <w:t xml:space="preserve"> de las Resoluciones 044 de 2020</w:t>
      </w:r>
      <w:r w:rsidR="00FB05F4">
        <w:rPr>
          <w:rFonts w:ascii="Arial" w:hAnsi="Arial" w:cs="Arial"/>
          <w:sz w:val="22"/>
          <w:shd w:val="clear" w:color="auto" w:fill="FFFFFF"/>
        </w:rPr>
        <w:t xml:space="preserve"> y 241 de 2020 para las versiones 1 y 2 de los documentos tipo de los </w:t>
      </w:r>
      <w:r w:rsidR="00FB05F4" w:rsidRPr="00E013AA">
        <w:rPr>
          <w:rFonts w:ascii="Arial" w:hAnsi="Arial" w:cs="Arial"/>
          <w:sz w:val="22"/>
          <w:shd w:val="clear" w:color="auto" w:fill="FFFFFF"/>
        </w:rPr>
        <w:t>procedimientos de selección abreviada de menor cuantía</w:t>
      </w:r>
      <w:r w:rsidR="00FB05F4">
        <w:rPr>
          <w:rFonts w:ascii="Arial" w:hAnsi="Arial" w:cs="Arial"/>
          <w:sz w:val="22"/>
          <w:shd w:val="clear" w:color="auto" w:fill="FFFFFF"/>
        </w:rPr>
        <w:t>, así como la Resolución</w:t>
      </w:r>
      <w:r w:rsidR="006B7137" w:rsidRPr="00E013AA">
        <w:rPr>
          <w:rFonts w:ascii="Arial" w:hAnsi="Arial" w:cs="Arial"/>
          <w:sz w:val="22"/>
          <w:shd w:val="clear" w:color="auto" w:fill="FFFFFF"/>
        </w:rPr>
        <w:t xml:space="preserve"> 594 de 2020 para los </w:t>
      </w:r>
      <w:r w:rsidR="00FB05F4">
        <w:rPr>
          <w:rFonts w:ascii="Arial" w:hAnsi="Arial" w:cs="Arial"/>
          <w:sz w:val="22"/>
          <w:shd w:val="clear" w:color="auto" w:fill="FFFFFF"/>
        </w:rPr>
        <w:t>procedimientos de</w:t>
      </w:r>
      <w:r w:rsidR="006B7137" w:rsidRPr="00E013AA">
        <w:rPr>
          <w:rFonts w:ascii="Arial" w:hAnsi="Arial" w:cs="Arial"/>
          <w:sz w:val="22"/>
          <w:shd w:val="clear" w:color="auto" w:fill="FFFFFF"/>
        </w:rPr>
        <w:t xml:space="preserve"> mínima cu</w:t>
      </w:r>
      <w:r w:rsidR="00D75B37" w:rsidRPr="00E013AA">
        <w:rPr>
          <w:rFonts w:ascii="Arial" w:hAnsi="Arial" w:cs="Arial"/>
          <w:sz w:val="22"/>
          <w:shd w:val="clear" w:color="auto" w:fill="FFFFFF"/>
        </w:rPr>
        <w:t>a</w:t>
      </w:r>
      <w:r w:rsidR="006B7137" w:rsidRPr="00E013AA">
        <w:rPr>
          <w:rFonts w:ascii="Arial" w:hAnsi="Arial" w:cs="Arial"/>
          <w:sz w:val="22"/>
          <w:shd w:val="clear" w:color="auto" w:fill="FFFFFF"/>
        </w:rPr>
        <w:t>ntía.</w:t>
      </w:r>
      <w:r w:rsidR="00D75B37" w:rsidRPr="00E013AA">
        <w:rPr>
          <w:rFonts w:ascii="Arial" w:hAnsi="Arial" w:cs="Arial"/>
          <w:sz w:val="22"/>
          <w:shd w:val="clear" w:color="auto" w:fill="FFFFFF"/>
        </w:rPr>
        <w:t xml:space="preserve"> </w:t>
      </w:r>
    </w:p>
    <w:p w14:paraId="2780FE28" w14:textId="59C01409" w:rsidR="00152C0B" w:rsidRPr="00E013AA" w:rsidRDefault="003A4CEB" w:rsidP="00D34B7E">
      <w:pPr>
        <w:spacing w:before="120" w:line="276" w:lineRule="auto"/>
        <w:ind w:firstLine="708"/>
        <w:jc w:val="both"/>
        <w:rPr>
          <w:rFonts w:ascii="Arial" w:hAnsi="Arial" w:cs="Arial"/>
          <w:sz w:val="22"/>
          <w:shd w:val="clear" w:color="auto" w:fill="FFFFFF"/>
        </w:rPr>
      </w:pPr>
      <w:r w:rsidRPr="00E013AA">
        <w:rPr>
          <w:rFonts w:ascii="Arial" w:hAnsi="Arial" w:cs="Arial"/>
          <w:sz w:val="22"/>
          <w:shd w:val="clear" w:color="auto" w:fill="FFFFFF"/>
        </w:rPr>
        <w:t>Ahora bien</w:t>
      </w:r>
      <w:r w:rsidR="001A23B6" w:rsidRPr="00E013AA">
        <w:rPr>
          <w:rFonts w:ascii="Arial" w:hAnsi="Arial" w:cs="Arial"/>
          <w:sz w:val="22"/>
          <w:shd w:val="clear" w:color="auto" w:fill="FFFFFF"/>
        </w:rPr>
        <w:t xml:space="preserve">, </w:t>
      </w:r>
      <w:r w:rsidR="00D34B7E" w:rsidRPr="00E013AA">
        <w:rPr>
          <w:rFonts w:ascii="Arial" w:hAnsi="Arial" w:cs="Arial"/>
          <w:sz w:val="22"/>
          <w:shd w:val="clear" w:color="auto" w:fill="FFFFFF"/>
        </w:rPr>
        <w:t xml:space="preserve">el ámbito de aplicación de </w:t>
      </w:r>
      <w:r w:rsidR="001A23B6" w:rsidRPr="00E013AA">
        <w:rPr>
          <w:rFonts w:ascii="Arial" w:hAnsi="Arial" w:cs="Arial"/>
          <w:sz w:val="22"/>
          <w:shd w:val="clear" w:color="auto" w:fill="FFFFFF"/>
        </w:rPr>
        <w:t>los Documentos Tipo de obra pública de infraestructura de transporte, en primer lugar, está determinado por la modalidad de selección procedente, ya que dependiendo de si el proceso de contratación es de licitación pública, selección abreviada de menor cuantía o mínima cuantía, deberán aplicarse lo</w:t>
      </w:r>
      <w:r w:rsidR="00551E9F" w:rsidRPr="00E013AA">
        <w:rPr>
          <w:rFonts w:ascii="Arial" w:hAnsi="Arial" w:cs="Arial"/>
          <w:sz w:val="22"/>
          <w:shd w:val="clear" w:color="auto" w:fill="FFFFFF"/>
        </w:rPr>
        <w:t>s</w:t>
      </w:r>
      <w:r w:rsidR="001A23B6" w:rsidRPr="00E013AA">
        <w:rPr>
          <w:rFonts w:ascii="Arial" w:hAnsi="Arial" w:cs="Arial"/>
          <w:sz w:val="22"/>
          <w:shd w:val="clear" w:color="auto" w:fill="FFFFFF"/>
        </w:rPr>
        <w:t xml:space="preserve"> </w:t>
      </w:r>
      <w:r w:rsidR="00830D1A" w:rsidRPr="00E013AA">
        <w:rPr>
          <w:rFonts w:ascii="Arial" w:hAnsi="Arial" w:cs="Arial"/>
          <w:sz w:val="22"/>
          <w:shd w:val="clear" w:color="auto" w:fill="FFFFFF"/>
        </w:rPr>
        <w:t>d</w:t>
      </w:r>
      <w:r w:rsidR="001A23B6" w:rsidRPr="00E013AA">
        <w:rPr>
          <w:rFonts w:ascii="Arial" w:hAnsi="Arial" w:cs="Arial"/>
          <w:sz w:val="22"/>
          <w:shd w:val="clear" w:color="auto" w:fill="FFFFFF"/>
        </w:rPr>
        <w:t xml:space="preserve">ocumentos </w:t>
      </w:r>
      <w:r w:rsidR="00830D1A" w:rsidRPr="00E013AA">
        <w:rPr>
          <w:rFonts w:ascii="Arial" w:hAnsi="Arial" w:cs="Arial"/>
          <w:sz w:val="22"/>
          <w:shd w:val="clear" w:color="auto" w:fill="FFFFFF"/>
        </w:rPr>
        <w:t>t</w:t>
      </w:r>
      <w:r w:rsidR="001A23B6" w:rsidRPr="00E013AA">
        <w:rPr>
          <w:rFonts w:ascii="Arial" w:hAnsi="Arial" w:cs="Arial"/>
          <w:sz w:val="22"/>
          <w:shd w:val="clear" w:color="auto" w:fill="FFFFFF"/>
        </w:rPr>
        <w:t xml:space="preserve">ipo adoptados por las </w:t>
      </w:r>
      <w:r w:rsidR="00830D1A" w:rsidRPr="00E013AA">
        <w:rPr>
          <w:rFonts w:ascii="Arial" w:hAnsi="Arial" w:cs="Arial"/>
          <w:sz w:val="22"/>
          <w:shd w:val="clear" w:color="auto" w:fill="FFFFFF"/>
        </w:rPr>
        <w:t>r</w:t>
      </w:r>
      <w:r w:rsidR="001A23B6" w:rsidRPr="00E013AA">
        <w:rPr>
          <w:rFonts w:ascii="Arial" w:hAnsi="Arial" w:cs="Arial"/>
          <w:sz w:val="22"/>
          <w:shd w:val="clear" w:color="auto" w:fill="FFFFFF"/>
        </w:rPr>
        <w:t>esoluciones Nos. 045 de 2020</w:t>
      </w:r>
      <w:r w:rsidR="004C7E95" w:rsidRPr="00E013AA">
        <w:rPr>
          <w:rStyle w:val="FootnoteReference"/>
          <w:rFonts w:ascii="Arial" w:hAnsi="Arial" w:cs="Arial"/>
          <w:sz w:val="22"/>
          <w:shd w:val="clear" w:color="auto" w:fill="FFFFFF"/>
        </w:rPr>
        <w:footnoteReference w:id="4"/>
      </w:r>
      <w:r w:rsidR="001A23B6" w:rsidRPr="00E013AA">
        <w:rPr>
          <w:rFonts w:ascii="Arial" w:hAnsi="Arial" w:cs="Arial"/>
          <w:sz w:val="22"/>
          <w:shd w:val="clear" w:color="auto" w:fill="FFFFFF"/>
        </w:rPr>
        <w:t>, 044 de 2020</w:t>
      </w:r>
      <w:r w:rsidR="00E1090A">
        <w:rPr>
          <w:rStyle w:val="FootnoteReference"/>
          <w:rFonts w:ascii="Arial" w:hAnsi="Arial" w:cs="Arial"/>
          <w:sz w:val="22"/>
          <w:shd w:val="clear" w:color="auto" w:fill="FFFFFF"/>
        </w:rPr>
        <w:footnoteReference w:id="5"/>
      </w:r>
      <w:r w:rsidR="001A23B6" w:rsidRPr="00E013AA">
        <w:rPr>
          <w:rFonts w:ascii="Arial" w:hAnsi="Arial" w:cs="Arial"/>
          <w:sz w:val="22"/>
          <w:shd w:val="clear" w:color="auto" w:fill="FFFFFF"/>
        </w:rPr>
        <w:t xml:space="preserve"> o 094 de 2020, respectivamente.</w:t>
      </w:r>
    </w:p>
    <w:p w14:paraId="2F111683" w14:textId="6E5E9837" w:rsidR="00D15BB2" w:rsidRPr="00E013AA" w:rsidRDefault="009D260E" w:rsidP="0090536D">
      <w:pPr>
        <w:spacing w:before="120" w:after="120" w:line="276" w:lineRule="auto"/>
        <w:ind w:firstLine="709"/>
        <w:jc w:val="both"/>
        <w:rPr>
          <w:rFonts w:ascii="Arial" w:hAnsi="Arial" w:cs="Arial"/>
          <w:sz w:val="22"/>
          <w:shd w:val="clear" w:color="auto" w:fill="FFFFFF"/>
        </w:rPr>
      </w:pPr>
      <w:r w:rsidRPr="00E013AA">
        <w:rPr>
          <w:rFonts w:ascii="Arial" w:hAnsi="Arial" w:cs="Arial"/>
          <w:sz w:val="22"/>
          <w:shd w:val="clear" w:color="auto" w:fill="FFFFFF"/>
        </w:rPr>
        <w:t>En segundo lugar, para determinar si la entidad regida por el EGCAP está obligada a aplicar los documentos tipo para la respectiva contratación, habrá que determinar si el objeto a contratarse encuadra dentro de los tipos de obra y actividades establecidas dentro de la</w:t>
      </w:r>
      <w:r w:rsidR="009E5D4A" w:rsidRPr="00E013AA">
        <w:rPr>
          <w:rFonts w:ascii="Arial" w:hAnsi="Arial" w:cs="Arial"/>
          <w:sz w:val="22"/>
          <w:shd w:val="clear" w:color="auto" w:fill="FFFFFF"/>
        </w:rPr>
        <w:t xml:space="preserve"> respectiva</w:t>
      </w:r>
      <w:r w:rsidRPr="00E013AA">
        <w:rPr>
          <w:rFonts w:ascii="Arial" w:hAnsi="Arial" w:cs="Arial"/>
          <w:sz w:val="22"/>
          <w:shd w:val="clear" w:color="auto" w:fill="FFFFFF"/>
        </w:rPr>
        <w:t xml:space="preserve"> Matriz 1</w:t>
      </w:r>
      <w:r w:rsidR="009E5D4A" w:rsidRPr="00E013AA">
        <w:rPr>
          <w:rFonts w:ascii="Arial" w:hAnsi="Arial" w:cs="Arial"/>
          <w:sz w:val="22"/>
          <w:shd w:val="clear" w:color="auto" w:fill="FFFFFF"/>
        </w:rPr>
        <w:t xml:space="preserve">, documento </w:t>
      </w:r>
      <w:r w:rsidR="00FA04C6" w:rsidRPr="00E013AA">
        <w:rPr>
          <w:rFonts w:ascii="Arial" w:hAnsi="Arial" w:cs="Arial"/>
          <w:sz w:val="22"/>
          <w:shd w:val="clear" w:color="auto" w:fill="FFFFFF"/>
        </w:rPr>
        <w:t>que además estandariza los requisitos de experiencia exigibles para cada uno de los objetos contractuales que deben contratarse aplicando Documentos Tipo</w:t>
      </w:r>
      <w:r w:rsidRPr="00E013AA">
        <w:rPr>
          <w:rFonts w:ascii="Arial" w:hAnsi="Arial" w:cs="Arial"/>
          <w:sz w:val="22"/>
          <w:shd w:val="clear" w:color="auto" w:fill="FFFFFF"/>
        </w:rPr>
        <w:t>. En tal sentido, la entidad</w:t>
      </w:r>
      <w:r w:rsidR="00EA1EE0" w:rsidRPr="00E013AA">
        <w:rPr>
          <w:rFonts w:ascii="Arial" w:hAnsi="Arial" w:cs="Arial"/>
          <w:sz w:val="22"/>
          <w:shd w:val="clear" w:color="auto" w:fill="FFFFFF"/>
        </w:rPr>
        <w:t xml:space="preserve"> </w:t>
      </w:r>
      <w:r w:rsidRPr="00E013AA">
        <w:rPr>
          <w:rFonts w:ascii="Arial" w:hAnsi="Arial" w:cs="Arial"/>
          <w:sz w:val="22"/>
          <w:shd w:val="clear" w:color="auto" w:fill="FFFFFF"/>
        </w:rPr>
        <w:t>asociar</w:t>
      </w:r>
      <w:r w:rsidR="00430C09">
        <w:rPr>
          <w:rFonts w:ascii="Arial" w:hAnsi="Arial" w:cs="Arial"/>
          <w:sz w:val="22"/>
          <w:shd w:val="clear" w:color="auto" w:fill="FFFFFF"/>
        </w:rPr>
        <w:t>á</w:t>
      </w:r>
      <w:r w:rsidRPr="00E013AA">
        <w:rPr>
          <w:rFonts w:ascii="Arial" w:hAnsi="Arial" w:cs="Arial"/>
          <w:sz w:val="22"/>
          <w:shd w:val="clear" w:color="auto" w:fill="FFFFFF"/>
        </w:rPr>
        <w:t xml:space="preserve"> el objeto contractual a uno de los tipos de </w:t>
      </w:r>
      <w:r w:rsidR="00EA1EE0" w:rsidRPr="00E013AA">
        <w:rPr>
          <w:rFonts w:ascii="Arial" w:hAnsi="Arial" w:cs="Arial"/>
          <w:sz w:val="22"/>
          <w:shd w:val="clear" w:color="auto" w:fill="FFFFFF"/>
        </w:rPr>
        <w:t xml:space="preserve">obra de </w:t>
      </w:r>
      <w:r w:rsidRPr="00E013AA">
        <w:rPr>
          <w:rFonts w:ascii="Arial" w:hAnsi="Arial" w:cs="Arial"/>
          <w:sz w:val="22"/>
          <w:shd w:val="clear" w:color="auto" w:fill="FFFFFF"/>
        </w:rPr>
        <w:t xml:space="preserve">infraestructura de transporte </w:t>
      </w:r>
      <w:r w:rsidR="002344F1" w:rsidRPr="00E013AA">
        <w:rPr>
          <w:rFonts w:ascii="Arial" w:hAnsi="Arial" w:cs="Arial"/>
          <w:sz w:val="22"/>
          <w:shd w:val="clear" w:color="auto" w:fill="FFFFFF"/>
        </w:rPr>
        <w:t>relacionados</w:t>
      </w:r>
      <w:r w:rsidRPr="00E013AA">
        <w:rPr>
          <w:rFonts w:ascii="Arial" w:hAnsi="Arial" w:cs="Arial"/>
          <w:sz w:val="22"/>
          <w:shd w:val="clear" w:color="auto" w:fill="FFFFFF"/>
        </w:rPr>
        <w:t xml:space="preserve"> en la Matriz 1, y establecer</w:t>
      </w:r>
      <w:r w:rsidR="00430C09">
        <w:rPr>
          <w:rFonts w:ascii="Arial" w:hAnsi="Arial" w:cs="Arial"/>
          <w:sz w:val="22"/>
          <w:shd w:val="clear" w:color="auto" w:fill="FFFFFF"/>
        </w:rPr>
        <w:t>á</w:t>
      </w:r>
      <w:r w:rsidRPr="00E013AA">
        <w:rPr>
          <w:rFonts w:ascii="Arial" w:hAnsi="Arial" w:cs="Arial"/>
          <w:sz w:val="22"/>
          <w:shd w:val="clear" w:color="auto" w:fill="FFFFFF"/>
        </w:rPr>
        <w:t xml:space="preserve"> si las actividades a desarrollar corresponden a alguna de las señaladas para el correspondiente tipo de infraestructura. </w:t>
      </w:r>
      <w:r w:rsidR="006D75A5" w:rsidRPr="00E013AA">
        <w:rPr>
          <w:rFonts w:ascii="Arial" w:hAnsi="Arial" w:cs="Arial"/>
          <w:sz w:val="22"/>
          <w:shd w:val="clear" w:color="auto" w:fill="FFFFFF"/>
        </w:rPr>
        <w:t xml:space="preserve">De </w:t>
      </w:r>
      <w:r w:rsidR="00FE2DD2" w:rsidRPr="00E013AA">
        <w:rPr>
          <w:rFonts w:ascii="Arial" w:hAnsi="Arial" w:cs="Arial"/>
          <w:sz w:val="22"/>
          <w:shd w:val="clear" w:color="auto" w:fill="FFFFFF"/>
        </w:rPr>
        <w:t xml:space="preserve">estar contemplada la actividad </w:t>
      </w:r>
      <w:r w:rsidR="008E37B1" w:rsidRPr="00E013AA">
        <w:rPr>
          <w:rFonts w:ascii="Arial" w:hAnsi="Arial" w:cs="Arial"/>
          <w:sz w:val="22"/>
          <w:shd w:val="clear" w:color="auto" w:fill="FFFFFF"/>
        </w:rPr>
        <w:t xml:space="preserve">a contratar </w:t>
      </w:r>
      <w:r w:rsidR="00FE2DD2" w:rsidRPr="00E013AA">
        <w:rPr>
          <w:rFonts w:ascii="Arial" w:hAnsi="Arial" w:cs="Arial"/>
          <w:sz w:val="22"/>
          <w:shd w:val="clear" w:color="auto" w:fill="FFFFFF"/>
        </w:rPr>
        <w:t xml:space="preserve">en la Matriz 1, deberán </w:t>
      </w:r>
      <w:r w:rsidR="008E37B1" w:rsidRPr="00E013AA">
        <w:rPr>
          <w:rFonts w:ascii="Arial" w:hAnsi="Arial" w:cs="Arial"/>
          <w:sz w:val="22"/>
          <w:shd w:val="clear" w:color="auto" w:fill="FFFFFF"/>
        </w:rPr>
        <w:t>emplearse</w:t>
      </w:r>
      <w:r w:rsidR="00FE2DD2" w:rsidRPr="00E013AA">
        <w:rPr>
          <w:rFonts w:ascii="Arial" w:hAnsi="Arial" w:cs="Arial"/>
          <w:sz w:val="22"/>
          <w:shd w:val="clear" w:color="auto" w:fill="FFFFFF"/>
        </w:rPr>
        <w:t xml:space="preserve"> los </w:t>
      </w:r>
      <w:r w:rsidR="00194DD5" w:rsidRPr="00E013AA">
        <w:rPr>
          <w:rFonts w:ascii="Arial" w:hAnsi="Arial" w:cs="Arial"/>
          <w:sz w:val="22"/>
          <w:shd w:val="clear" w:color="auto" w:fill="FFFFFF"/>
        </w:rPr>
        <w:t>d</w:t>
      </w:r>
      <w:r w:rsidR="00FE2DD2" w:rsidRPr="00E013AA">
        <w:rPr>
          <w:rFonts w:ascii="Arial" w:hAnsi="Arial" w:cs="Arial"/>
          <w:sz w:val="22"/>
          <w:shd w:val="clear" w:color="auto" w:fill="FFFFFF"/>
        </w:rPr>
        <w:t>ocumento</w:t>
      </w:r>
      <w:r w:rsidR="0024059E">
        <w:rPr>
          <w:rFonts w:ascii="Arial" w:hAnsi="Arial" w:cs="Arial"/>
          <w:sz w:val="22"/>
          <w:shd w:val="clear" w:color="auto" w:fill="FFFFFF"/>
        </w:rPr>
        <w:t>s</w:t>
      </w:r>
      <w:r w:rsidR="00FE2DD2" w:rsidRPr="00E013AA">
        <w:rPr>
          <w:rFonts w:ascii="Arial" w:hAnsi="Arial" w:cs="Arial"/>
          <w:sz w:val="22"/>
          <w:shd w:val="clear" w:color="auto" w:fill="FFFFFF"/>
        </w:rPr>
        <w:t xml:space="preserve"> </w:t>
      </w:r>
      <w:r w:rsidR="00194DD5" w:rsidRPr="00E013AA">
        <w:rPr>
          <w:rFonts w:ascii="Arial" w:hAnsi="Arial" w:cs="Arial"/>
          <w:sz w:val="22"/>
          <w:shd w:val="clear" w:color="auto" w:fill="FFFFFF"/>
        </w:rPr>
        <w:t>t</w:t>
      </w:r>
      <w:r w:rsidR="00FE2DD2" w:rsidRPr="00E013AA">
        <w:rPr>
          <w:rFonts w:ascii="Arial" w:hAnsi="Arial" w:cs="Arial"/>
          <w:sz w:val="22"/>
          <w:shd w:val="clear" w:color="auto" w:fill="FFFFFF"/>
        </w:rPr>
        <w:t>ipo</w:t>
      </w:r>
      <w:r w:rsidR="008E37B1" w:rsidRPr="00E013AA">
        <w:rPr>
          <w:rFonts w:ascii="Arial" w:hAnsi="Arial" w:cs="Arial"/>
          <w:sz w:val="22"/>
          <w:shd w:val="clear" w:color="auto" w:fill="FFFFFF"/>
        </w:rPr>
        <w:t xml:space="preserve"> para el desarrollo del proceso de selección, y aplicarse los requisitos de experiencia </w:t>
      </w:r>
      <w:r w:rsidR="000A21A9" w:rsidRPr="00E013AA">
        <w:rPr>
          <w:rFonts w:ascii="Arial" w:hAnsi="Arial" w:cs="Arial"/>
          <w:sz w:val="22"/>
          <w:shd w:val="clear" w:color="auto" w:fill="FFFFFF"/>
        </w:rPr>
        <w:t xml:space="preserve">establecidos para esta, de acuerdo </w:t>
      </w:r>
      <w:r w:rsidR="006453BB" w:rsidRPr="00E013AA">
        <w:rPr>
          <w:rFonts w:ascii="Arial" w:hAnsi="Arial" w:cs="Arial"/>
          <w:sz w:val="22"/>
          <w:shd w:val="clear" w:color="auto" w:fill="FFFFFF"/>
        </w:rPr>
        <w:t>con</w:t>
      </w:r>
      <w:r w:rsidR="000F2A12" w:rsidRPr="00E013AA">
        <w:rPr>
          <w:rFonts w:ascii="Arial" w:hAnsi="Arial" w:cs="Arial"/>
          <w:sz w:val="22"/>
          <w:shd w:val="clear" w:color="auto" w:fill="FFFFFF"/>
        </w:rPr>
        <w:t xml:space="preserve"> el </w:t>
      </w:r>
      <w:r w:rsidR="000A21A9" w:rsidRPr="00E013AA">
        <w:rPr>
          <w:rFonts w:ascii="Arial" w:hAnsi="Arial" w:cs="Arial"/>
          <w:sz w:val="22"/>
          <w:shd w:val="clear" w:color="auto" w:fill="FFFFFF"/>
        </w:rPr>
        <w:t>rango</w:t>
      </w:r>
      <w:r w:rsidR="0018371B" w:rsidRPr="00E013AA">
        <w:rPr>
          <w:rFonts w:ascii="Arial" w:hAnsi="Arial" w:cs="Arial"/>
          <w:sz w:val="22"/>
          <w:shd w:val="clear" w:color="auto" w:fill="FFFFFF"/>
        </w:rPr>
        <w:t xml:space="preserve"> en el que se encuentre la cuantía del proceso de contratación. </w:t>
      </w:r>
    </w:p>
    <w:p w14:paraId="64A4F6C2" w14:textId="080B47D8" w:rsidR="00521C2C" w:rsidRPr="00E013AA" w:rsidRDefault="0090536D" w:rsidP="00512286">
      <w:pPr>
        <w:tabs>
          <w:tab w:val="left" w:pos="426"/>
        </w:tabs>
        <w:spacing w:after="120" w:line="276" w:lineRule="auto"/>
        <w:jc w:val="both"/>
        <w:rPr>
          <w:rFonts w:ascii="Arial" w:hAnsi="Arial" w:cs="Arial"/>
          <w:sz w:val="22"/>
          <w:shd w:val="clear" w:color="auto" w:fill="FFFFFF"/>
        </w:rPr>
      </w:pPr>
      <w:r w:rsidRPr="00E013AA">
        <w:rPr>
          <w:rFonts w:cstheme="minorHAnsi"/>
          <w:shd w:val="clear" w:color="auto" w:fill="FFFFFF"/>
        </w:rPr>
        <w:tab/>
      </w:r>
      <w:r w:rsidRPr="00E013AA">
        <w:rPr>
          <w:rFonts w:cstheme="minorHAnsi"/>
          <w:shd w:val="clear" w:color="auto" w:fill="FFFFFF"/>
        </w:rPr>
        <w:tab/>
      </w:r>
      <w:r w:rsidR="00521C2C" w:rsidRPr="00E013AA">
        <w:rPr>
          <w:rFonts w:ascii="Arial" w:hAnsi="Arial" w:cs="Arial"/>
          <w:sz w:val="22"/>
          <w:shd w:val="clear" w:color="auto" w:fill="FFFFFF"/>
        </w:rPr>
        <w:t xml:space="preserve">En lo referente a actividades asociadas a la </w:t>
      </w:r>
      <w:r w:rsidR="00521C2C" w:rsidRPr="00E013AA">
        <w:rPr>
          <w:rFonts w:ascii="Arial" w:hAnsi="Arial" w:cs="Arial"/>
          <w:i/>
          <w:iCs/>
          <w:sz w:val="22"/>
          <w:shd w:val="clear" w:color="auto" w:fill="FFFFFF"/>
        </w:rPr>
        <w:t>señalización</w:t>
      </w:r>
      <w:r w:rsidR="00194DD5" w:rsidRPr="00E013AA">
        <w:rPr>
          <w:rFonts w:ascii="Arial" w:hAnsi="Arial" w:cs="Arial"/>
          <w:i/>
          <w:iCs/>
          <w:sz w:val="22"/>
          <w:shd w:val="clear" w:color="auto" w:fill="FFFFFF"/>
        </w:rPr>
        <w:t xml:space="preserve"> </w:t>
      </w:r>
      <w:r w:rsidR="00194DD5" w:rsidRPr="00E013AA">
        <w:rPr>
          <w:rFonts w:ascii="Arial" w:hAnsi="Arial" w:cs="Arial"/>
          <w:sz w:val="22"/>
          <w:shd w:val="clear" w:color="auto" w:fill="FFFFFF"/>
        </w:rPr>
        <w:t>y</w:t>
      </w:r>
      <w:r w:rsidR="00194DD5" w:rsidRPr="00E013AA">
        <w:rPr>
          <w:rFonts w:ascii="Arial" w:hAnsi="Arial" w:cs="Arial"/>
          <w:i/>
          <w:iCs/>
          <w:sz w:val="22"/>
          <w:shd w:val="clear" w:color="auto" w:fill="FFFFFF"/>
        </w:rPr>
        <w:t xml:space="preserve"> demarcación</w:t>
      </w:r>
      <w:r w:rsidR="003964CD" w:rsidRPr="00E013AA">
        <w:rPr>
          <w:rFonts w:ascii="Arial" w:hAnsi="Arial" w:cs="Arial"/>
          <w:i/>
          <w:iCs/>
          <w:sz w:val="22"/>
          <w:shd w:val="clear" w:color="auto" w:fill="FFFFFF"/>
        </w:rPr>
        <w:t xml:space="preserve">, </w:t>
      </w:r>
      <w:r w:rsidR="00B70928" w:rsidRPr="00E013AA">
        <w:rPr>
          <w:rFonts w:ascii="Arial" w:hAnsi="Arial" w:cs="Arial"/>
          <w:sz w:val="22"/>
          <w:shd w:val="clear" w:color="auto" w:fill="FFFFFF"/>
        </w:rPr>
        <w:t xml:space="preserve">la </w:t>
      </w:r>
      <w:r w:rsidR="00430C09">
        <w:rPr>
          <w:rFonts w:ascii="Arial" w:hAnsi="Arial" w:cs="Arial"/>
          <w:sz w:val="22"/>
          <w:shd w:val="clear" w:color="auto" w:fill="FFFFFF"/>
        </w:rPr>
        <w:t>M</w:t>
      </w:r>
      <w:r w:rsidR="00B70928" w:rsidRPr="00E013AA">
        <w:rPr>
          <w:rFonts w:ascii="Arial" w:hAnsi="Arial" w:cs="Arial"/>
          <w:sz w:val="22"/>
          <w:shd w:val="clear" w:color="auto" w:fill="FFFFFF"/>
        </w:rPr>
        <w:t>atri</w:t>
      </w:r>
      <w:r w:rsidR="00430C09">
        <w:rPr>
          <w:rFonts w:ascii="Arial" w:hAnsi="Arial" w:cs="Arial"/>
          <w:sz w:val="22"/>
          <w:shd w:val="clear" w:color="auto" w:fill="FFFFFF"/>
        </w:rPr>
        <w:t>z</w:t>
      </w:r>
      <w:r w:rsidR="00B70928" w:rsidRPr="00E013AA">
        <w:rPr>
          <w:rFonts w:ascii="Arial" w:hAnsi="Arial" w:cs="Arial"/>
          <w:sz w:val="22"/>
          <w:shd w:val="clear" w:color="auto" w:fill="FFFFFF"/>
        </w:rPr>
        <w:t xml:space="preserve"> 1 de los documentos tipo licitación pública –Versión 2–</w:t>
      </w:r>
      <w:r w:rsidR="009F64CF" w:rsidRPr="00E013AA">
        <w:rPr>
          <w:rFonts w:ascii="Arial" w:hAnsi="Arial" w:cs="Arial"/>
          <w:sz w:val="22"/>
          <w:shd w:val="clear" w:color="auto" w:fill="FFFFFF"/>
        </w:rPr>
        <w:t>, selección abreviada de menor cuantía</w:t>
      </w:r>
      <w:r w:rsidR="00E1090A">
        <w:rPr>
          <w:rFonts w:ascii="Arial" w:hAnsi="Arial" w:cs="Arial"/>
          <w:sz w:val="22"/>
          <w:shd w:val="clear" w:color="auto" w:fill="FFFFFF"/>
        </w:rPr>
        <w:t xml:space="preserve"> –Versión 1–</w:t>
      </w:r>
      <w:r w:rsidR="009F64CF" w:rsidRPr="00E013AA">
        <w:rPr>
          <w:rFonts w:ascii="Arial" w:hAnsi="Arial" w:cs="Arial"/>
          <w:sz w:val="22"/>
          <w:shd w:val="clear" w:color="auto" w:fill="FFFFFF"/>
        </w:rPr>
        <w:t xml:space="preserve"> y mínima cuantía, coinciden en señalar para el tipo de obra</w:t>
      </w:r>
      <w:r w:rsidR="00521C2C" w:rsidRPr="00E013AA">
        <w:rPr>
          <w:rFonts w:ascii="Arial" w:hAnsi="Arial" w:cs="Arial"/>
          <w:sz w:val="22"/>
          <w:shd w:val="clear" w:color="auto" w:fill="FFFFFF"/>
        </w:rPr>
        <w:t xml:space="preserve"> «1. OBRAS EN VÍAS PRIMARIAS O SECUNDARIAS»</w:t>
      </w:r>
      <w:r w:rsidR="009F64CF" w:rsidRPr="00E013AA">
        <w:rPr>
          <w:rFonts w:ascii="Arial" w:hAnsi="Arial" w:cs="Arial"/>
          <w:sz w:val="22"/>
          <w:shd w:val="clear" w:color="auto" w:fill="FFFFFF"/>
        </w:rPr>
        <w:t xml:space="preserve"> </w:t>
      </w:r>
      <w:r w:rsidR="00430C09">
        <w:rPr>
          <w:rFonts w:ascii="Arial" w:hAnsi="Arial" w:cs="Arial"/>
          <w:sz w:val="22"/>
          <w:shd w:val="clear" w:color="auto" w:fill="FFFFFF"/>
        </w:rPr>
        <w:t xml:space="preserve">es posible desarrollar </w:t>
      </w:r>
      <w:r w:rsidR="00521C2C" w:rsidRPr="00E013AA">
        <w:rPr>
          <w:rFonts w:ascii="Arial" w:hAnsi="Arial" w:cs="Arial"/>
          <w:sz w:val="22"/>
          <w:shd w:val="clear" w:color="auto" w:fill="FFFFFF"/>
        </w:rPr>
        <w:t>las</w:t>
      </w:r>
      <w:r w:rsidR="00430C09">
        <w:rPr>
          <w:rFonts w:ascii="Arial" w:hAnsi="Arial" w:cs="Arial"/>
          <w:sz w:val="22"/>
          <w:shd w:val="clear" w:color="auto" w:fill="FFFFFF"/>
        </w:rPr>
        <w:t xml:space="preserve"> siguientes</w:t>
      </w:r>
      <w:r w:rsidR="00521C2C" w:rsidRPr="00E013AA">
        <w:rPr>
          <w:rFonts w:ascii="Arial" w:hAnsi="Arial" w:cs="Arial"/>
          <w:sz w:val="22"/>
          <w:shd w:val="clear" w:color="auto" w:fill="FFFFFF"/>
        </w:rPr>
        <w:t xml:space="preserve"> actividades</w:t>
      </w:r>
      <w:r w:rsidR="00430C09">
        <w:rPr>
          <w:rFonts w:ascii="Arial" w:hAnsi="Arial" w:cs="Arial"/>
          <w:sz w:val="22"/>
          <w:shd w:val="clear" w:color="auto" w:fill="FFFFFF"/>
        </w:rPr>
        <w:t>:</w:t>
      </w:r>
      <w:r w:rsidR="00521C2C" w:rsidRPr="00E013AA">
        <w:rPr>
          <w:rFonts w:ascii="Arial" w:hAnsi="Arial" w:cs="Arial"/>
          <w:sz w:val="22"/>
          <w:shd w:val="clear" w:color="auto" w:fill="FFFFFF"/>
        </w:rPr>
        <w:t xml:space="preserve"> «1.4 PROYECTOS DE DEMARCACIÓN O SEÑALIZACIÓN DE INFRAESTRUCTURA DE TRANSPORTE» y «1.5 PROYECTOS DE DEMARCACIÓN O SEÑALIZACIÓN DE ESPACIO PÚBLICO ASOCIADO A LA INFRAESTRUCTURA DE TRANSPORTE». </w:t>
      </w:r>
      <w:r w:rsidR="009F64CF" w:rsidRPr="00E013AA">
        <w:rPr>
          <w:rFonts w:ascii="Arial" w:hAnsi="Arial" w:cs="Arial"/>
          <w:sz w:val="22"/>
          <w:shd w:val="clear" w:color="auto" w:fill="FFFFFF"/>
        </w:rPr>
        <w:t xml:space="preserve">Asimismo, para el </w:t>
      </w:r>
      <w:r w:rsidR="00543E91" w:rsidRPr="00E013AA">
        <w:rPr>
          <w:rFonts w:ascii="Arial" w:hAnsi="Arial" w:cs="Arial"/>
          <w:sz w:val="22"/>
          <w:shd w:val="clear" w:color="auto" w:fill="FFFFFF"/>
        </w:rPr>
        <w:t>tipo de</w:t>
      </w:r>
      <w:r w:rsidR="00194DD5" w:rsidRPr="00E013AA">
        <w:rPr>
          <w:rFonts w:ascii="Arial" w:hAnsi="Arial" w:cs="Arial"/>
          <w:sz w:val="22"/>
          <w:shd w:val="clear" w:color="auto" w:fill="FFFFFF"/>
        </w:rPr>
        <w:t xml:space="preserve"> infraestructura</w:t>
      </w:r>
      <w:r w:rsidR="00543E91" w:rsidRPr="00E013AA">
        <w:rPr>
          <w:rFonts w:ascii="Arial" w:hAnsi="Arial" w:cs="Arial"/>
          <w:sz w:val="22"/>
          <w:shd w:val="clear" w:color="auto" w:fill="FFFFFF"/>
        </w:rPr>
        <w:t xml:space="preserve"> </w:t>
      </w:r>
      <w:r w:rsidR="00430C09">
        <w:rPr>
          <w:rFonts w:ascii="Arial" w:hAnsi="Arial" w:cs="Arial"/>
          <w:sz w:val="22"/>
          <w:shd w:val="clear" w:color="auto" w:fill="FFFFFF"/>
        </w:rPr>
        <w:t>relacionado con</w:t>
      </w:r>
      <w:r w:rsidR="00521C2C" w:rsidRPr="00E013AA">
        <w:rPr>
          <w:rFonts w:ascii="Arial" w:hAnsi="Arial" w:cs="Arial"/>
          <w:sz w:val="22"/>
          <w:shd w:val="clear" w:color="auto" w:fill="FFFFFF"/>
        </w:rPr>
        <w:t xml:space="preserve"> «6. OBRAS DE INFRAESTRUCTURA VIAL URBANA» se contemplan las actividades </w:t>
      </w:r>
      <w:r w:rsidR="00430C09">
        <w:rPr>
          <w:rFonts w:ascii="Arial" w:hAnsi="Arial" w:cs="Arial"/>
          <w:sz w:val="22"/>
          <w:shd w:val="clear" w:color="auto" w:fill="FFFFFF"/>
        </w:rPr>
        <w:t>como</w:t>
      </w:r>
      <w:r w:rsidR="00430C09" w:rsidRPr="00E013AA">
        <w:rPr>
          <w:rFonts w:ascii="Arial" w:hAnsi="Arial" w:cs="Arial"/>
          <w:sz w:val="22"/>
          <w:shd w:val="clear" w:color="auto" w:fill="FFFFFF"/>
        </w:rPr>
        <w:t xml:space="preserve"> </w:t>
      </w:r>
      <w:r w:rsidR="00521C2C" w:rsidRPr="00E013AA">
        <w:rPr>
          <w:rFonts w:ascii="Arial" w:hAnsi="Arial" w:cs="Arial"/>
          <w:sz w:val="22"/>
          <w:shd w:val="clear" w:color="auto" w:fill="FFFFFF"/>
        </w:rPr>
        <w:t>«6.12 PROYECTOS DE DEMARCACIÓN O SEÑALIZACIÓN DE INFRAESTRUCTURA DE TRANSPORTE» y «6.13 PROYECTOS DE DEMARCACIÓN O SEÑALIZACIÓN DE ESPACIO PÚBLICO ASOCIADO A LA INFRAESTRUCTURA DE TRANSPORTE».</w:t>
      </w:r>
    </w:p>
    <w:p w14:paraId="122BAF64" w14:textId="6F2BF937" w:rsidR="00AB33D4" w:rsidRPr="00E013AA" w:rsidRDefault="0027563A" w:rsidP="00D20C0C">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1F2476" w:rsidRPr="00E013AA">
        <w:rPr>
          <w:rFonts w:ascii="Arial" w:hAnsi="Arial" w:cs="Arial"/>
          <w:sz w:val="22"/>
          <w:shd w:val="clear" w:color="auto" w:fill="FFFFFF"/>
        </w:rPr>
        <w:t>En lo referente al concepto de proyectos de semaforización o demarcación</w:t>
      </w:r>
      <w:r w:rsidR="00430C09">
        <w:rPr>
          <w:rFonts w:ascii="Arial" w:hAnsi="Arial" w:cs="Arial"/>
          <w:sz w:val="22"/>
          <w:shd w:val="clear" w:color="auto" w:fill="FFFFFF"/>
        </w:rPr>
        <w:t>,</w:t>
      </w:r>
      <w:r w:rsidR="001F2476" w:rsidRPr="00E013AA">
        <w:rPr>
          <w:rFonts w:ascii="Arial" w:hAnsi="Arial" w:cs="Arial"/>
          <w:sz w:val="22"/>
          <w:shd w:val="clear" w:color="auto" w:fill="FFFFFF"/>
        </w:rPr>
        <w:t xml:space="preserve"> </w:t>
      </w:r>
      <w:r w:rsidR="003F5CB4" w:rsidRPr="00E013AA">
        <w:rPr>
          <w:rFonts w:ascii="Arial" w:hAnsi="Arial" w:cs="Arial"/>
          <w:sz w:val="22"/>
          <w:shd w:val="clear" w:color="auto" w:fill="FFFFFF"/>
        </w:rPr>
        <w:t>el «Anexo 3 – Glosario»</w:t>
      </w:r>
      <w:r w:rsidR="009E21D6" w:rsidRPr="00E013AA">
        <w:rPr>
          <w:rFonts w:ascii="Arial" w:hAnsi="Arial" w:cs="Arial"/>
          <w:sz w:val="22"/>
          <w:shd w:val="clear" w:color="auto" w:fill="FFFFFF"/>
        </w:rPr>
        <w:t xml:space="preserve"> no establece </w:t>
      </w:r>
      <w:r w:rsidR="003C7995">
        <w:rPr>
          <w:rFonts w:ascii="Arial" w:hAnsi="Arial" w:cs="Arial"/>
          <w:sz w:val="22"/>
          <w:shd w:val="clear" w:color="auto" w:fill="FFFFFF"/>
        </w:rPr>
        <w:t>el alcance específico</w:t>
      </w:r>
      <w:r w:rsidR="00430C09">
        <w:rPr>
          <w:rFonts w:ascii="Arial" w:hAnsi="Arial" w:cs="Arial"/>
          <w:sz w:val="22"/>
          <w:shd w:val="clear" w:color="auto" w:fill="FFFFFF"/>
        </w:rPr>
        <w:t xml:space="preserve"> del término.</w:t>
      </w:r>
      <w:r w:rsidR="009E21D6" w:rsidRPr="00E013AA">
        <w:rPr>
          <w:rFonts w:ascii="Arial" w:hAnsi="Arial" w:cs="Arial"/>
          <w:sz w:val="22"/>
          <w:shd w:val="clear" w:color="auto" w:fill="FFFFFF"/>
        </w:rPr>
        <w:t xml:space="preserve"> </w:t>
      </w:r>
      <w:r w:rsidR="00430C09">
        <w:rPr>
          <w:rFonts w:ascii="Arial" w:hAnsi="Arial" w:cs="Arial"/>
          <w:sz w:val="22"/>
          <w:shd w:val="clear" w:color="auto" w:fill="FFFFFF"/>
        </w:rPr>
        <w:t>S</w:t>
      </w:r>
      <w:r w:rsidR="009E21D6" w:rsidRPr="00E013AA">
        <w:rPr>
          <w:rFonts w:ascii="Arial" w:hAnsi="Arial" w:cs="Arial"/>
          <w:sz w:val="22"/>
          <w:shd w:val="clear" w:color="auto" w:fill="FFFFFF"/>
        </w:rPr>
        <w:t xml:space="preserve">in embargo, </w:t>
      </w:r>
      <w:r w:rsidR="003C7995">
        <w:rPr>
          <w:rFonts w:ascii="Arial" w:hAnsi="Arial" w:cs="Arial"/>
          <w:sz w:val="22"/>
          <w:shd w:val="clear" w:color="auto" w:fill="FFFFFF"/>
        </w:rPr>
        <w:t xml:space="preserve">define </w:t>
      </w:r>
      <w:r w:rsidR="009E21D6" w:rsidRPr="00E013AA">
        <w:rPr>
          <w:rFonts w:ascii="Arial" w:hAnsi="Arial" w:cs="Arial"/>
          <w:sz w:val="22"/>
          <w:shd w:val="clear" w:color="auto" w:fill="FFFFFF"/>
        </w:rPr>
        <w:t>los</w:t>
      </w:r>
      <w:r w:rsidR="00AB33D4" w:rsidRPr="00E013AA">
        <w:rPr>
          <w:rFonts w:ascii="Arial" w:hAnsi="Arial" w:cs="Arial"/>
          <w:sz w:val="22"/>
          <w:shd w:val="clear" w:color="auto" w:fill="FFFFFF"/>
        </w:rPr>
        <w:t xml:space="preserve"> concepto</w:t>
      </w:r>
      <w:r w:rsidR="009E21D6" w:rsidRPr="00E013AA">
        <w:rPr>
          <w:rFonts w:ascii="Arial" w:hAnsi="Arial" w:cs="Arial"/>
          <w:sz w:val="22"/>
          <w:shd w:val="clear" w:color="auto" w:fill="FFFFFF"/>
        </w:rPr>
        <w:t>s</w:t>
      </w:r>
      <w:r w:rsidR="00AB33D4" w:rsidRPr="00E013AA">
        <w:rPr>
          <w:rFonts w:ascii="Arial" w:hAnsi="Arial" w:cs="Arial"/>
          <w:sz w:val="22"/>
          <w:shd w:val="clear" w:color="auto" w:fill="FFFFFF"/>
        </w:rPr>
        <w:t xml:space="preserve"> de </w:t>
      </w:r>
      <w:r w:rsidR="00AB33D4" w:rsidRPr="00E013AA">
        <w:rPr>
          <w:rFonts w:ascii="Arial" w:hAnsi="Arial" w:cs="Arial"/>
          <w:i/>
          <w:iCs/>
          <w:sz w:val="22"/>
          <w:shd w:val="clear" w:color="auto" w:fill="FFFFFF"/>
        </w:rPr>
        <w:t>señalización</w:t>
      </w:r>
      <w:r w:rsidR="009E21D6" w:rsidRPr="00E013AA">
        <w:rPr>
          <w:rFonts w:ascii="Arial" w:hAnsi="Arial" w:cs="Arial"/>
          <w:i/>
          <w:iCs/>
          <w:sz w:val="22"/>
          <w:shd w:val="clear" w:color="auto" w:fill="FFFFFF"/>
        </w:rPr>
        <w:t xml:space="preserve"> </w:t>
      </w:r>
      <w:r w:rsidR="009E21D6" w:rsidRPr="00E013AA">
        <w:rPr>
          <w:rFonts w:ascii="Arial" w:hAnsi="Arial" w:cs="Arial"/>
          <w:sz w:val="22"/>
          <w:shd w:val="clear" w:color="auto" w:fill="FFFFFF"/>
        </w:rPr>
        <w:t xml:space="preserve">y </w:t>
      </w:r>
      <w:r w:rsidR="009E21D6" w:rsidRPr="00E013AA">
        <w:rPr>
          <w:rFonts w:ascii="Arial" w:hAnsi="Arial" w:cs="Arial"/>
          <w:i/>
          <w:iCs/>
          <w:sz w:val="22"/>
          <w:shd w:val="clear" w:color="auto" w:fill="FFFFFF"/>
        </w:rPr>
        <w:t>señalización vertical</w:t>
      </w:r>
      <w:r w:rsidR="009E21D6" w:rsidRPr="00E013AA">
        <w:rPr>
          <w:rFonts w:ascii="Arial" w:hAnsi="Arial" w:cs="Arial"/>
          <w:sz w:val="22"/>
          <w:shd w:val="clear" w:color="auto" w:fill="FFFFFF"/>
        </w:rPr>
        <w:t xml:space="preserve"> </w:t>
      </w:r>
      <w:r w:rsidR="003C7995">
        <w:rPr>
          <w:rFonts w:ascii="Arial" w:hAnsi="Arial" w:cs="Arial"/>
          <w:sz w:val="22"/>
          <w:shd w:val="clear" w:color="auto" w:fill="FFFFFF"/>
        </w:rPr>
        <w:t>de la siguiente manera</w:t>
      </w:r>
      <w:r w:rsidR="00AB33D4" w:rsidRPr="00E013AA">
        <w:rPr>
          <w:rFonts w:ascii="Arial" w:hAnsi="Arial" w:cs="Arial"/>
          <w:sz w:val="22"/>
          <w:shd w:val="clear" w:color="auto" w:fill="FFFFFF"/>
        </w:rPr>
        <w:t>:</w:t>
      </w:r>
    </w:p>
    <w:p w14:paraId="30F44B92" w14:textId="77777777" w:rsidR="00AB33D4" w:rsidRPr="00E013AA" w:rsidRDefault="00AB33D4" w:rsidP="00AB33D4">
      <w:pPr>
        <w:tabs>
          <w:tab w:val="left" w:pos="426"/>
        </w:tabs>
        <w:spacing w:line="276" w:lineRule="auto"/>
        <w:ind w:left="709" w:right="709"/>
        <w:jc w:val="both"/>
        <w:rPr>
          <w:rFonts w:ascii="Arial" w:eastAsia="Times New Roman" w:hAnsi="Arial" w:cs="Arial"/>
          <w:sz w:val="21"/>
          <w:szCs w:val="21"/>
          <w:lang w:val="es-CO" w:eastAsia="es-ES"/>
        </w:rPr>
      </w:pPr>
    </w:p>
    <w:p w14:paraId="5ECF7BD2" w14:textId="0504B1B0" w:rsidR="00AB33D4" w:rsidRPr="00E013AA" w:rsidRDefault="00AB33D4" w:rsidP="00D20C0C">
      <w:pPr>
        <w:tabs>
          <w:tab w:val="left" w:pos="426"/>
        </w:tabs>
        <w:spacing w:after="120"/>
        <w:ind w:left="709" w:right="709"/>
        <w:jc w:val="both"/>
        <w:rPr>
          <w:rFonts w:ascii="Arial" w:eastAsia="Times New Roman" w:hAnsi="Arial" w:cs="Arial"/>
          <w:sz w:val="21"/>
          <w:szCs w:val="21"/>
          <w:lang w:val="es-CO" w:eastAsia="es-ES"/>
        </w:rPr>
      </w:pPr>
      <w:r w:rsidRPr="00E013AA">
        <w:rPr>
          <w:rFonts w:ascii="Arial" w:eastAsia="Times New Roman" w:hAnsi="Arial" w:cs="Arial"/>
          <w:sz w:val="21"/>
          <w:szCs w:val="21"/>
          <w:lang w:val="es-CO" w:eastAsia="es-ES"/>
        </w:rPr>
        <w:t>2.89 Señalización: Conjunto de señales destinado a regular el tránsito. Dichas señales pueden ser señales verticales y señalización horizontal o demarcaciones.</w:t>
      </w:r>
    </w:p>
    <w:p w14:paraId="58CE2159" w14:textId="77777777" w:rsidR="00AB33D4" w:rsidRPr="00E013AA" w:rsidRDefault="00AB33D4" w:rsidP="00D20C0C">
      <w:pPr>
        <w:tabs>
          <w:tab w:val="left" w:pos="426"/>
        </w:tabs>
        <w:ind w:left="709" w:right="709"/>
        <w:jc w:val="both"/>
        <w:rPr>
          <w:rFonts w:ascii="Arial" w:eastAsia="Times New Roman" w:hAnsi="Arial" w:cs="Arial"/>
          <w:sz w:val="21"/>
          <w:szCs w:val="21"/>
          <w:lang w:val="es-CO" w:eastAsia="es-ES"/>
        </w:rPr>
      </w:pPr>
      <w:r w:rsidRPr="00E013AA">
        <w:rPr>
          <w:rFonts w:ascii="Arial" w:eastAsia="Times New Roman" w:hAnsi="Arial" w:cs="Arial"/>
          <w:sz w:val="21"/>
          <w:szCs w:val="21"/>
          <w:lang w:val="es-CO" w:eastAsia="es-ES"/>
        </w:rPr>
        <w:t xml:space="preserve">2.90 Señalización Vertical: Dispositivos físicos que indican la forma correcta como deben transitar los usuarios de las vías; se instalan para transmitir órdenes o instrucciones mediante palabras o símbolos.  </w:t>
      </w:r>
    </w:p>
    <w:p w14:paraId="6FF11D00" w14:textId="77777777" w:rsidR="0071221A" w:rsidRPr="00E013AA" w:rsidRDefault="00AB33D4" w:rsidP="00AB33D4">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p>
    <w:p w14:paraId="76E2290C" w14:textId="20216669" w:rsidR="00AB33D4" w:rsidRPr="00E013AA" w:rsidRDefault="0071221A" w:rsidP="00AB33D4">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CD34E7" w:rsidRPr="00E013AA">
        <w:rPr>
          <w:rFonts w:ascii="Arial" w:hAnsi="Arial" w:cs="Arial"/>
          <w:sz w:val="22"/>
          <w:shd w:val="clear" w:color="auto" w:fill="FFFFFF"/>
        </w:rPr>
        <w:tab/>
      </w:r>
      <w:r w:rsidR="00AB33D4" w:rsidRPr="00E013AA">
        <w:rPr>
          <w:rFonts w:ascii="Arial" w:hAnsi="Arial" w:cs="Arial"/>
          <w:sz w:val="22"/>
          <w:shd w:val="clear" w:color="auto" w:fill="FFFFFF"/>
        </w:rPr>
        <w:t>De otra parte, en cuanto a</w:t>
      </w:r>
      <w:r w:rsidR="00A37F8D" w:rsidRPr="00E013AA">
        <w:rPr>
          <w:rFonts w:ascii="Arial" w:hAnsi="Arial" w:cs="Arial"/>
          <w:sz w:val="22"/>
          <w:shd w:val="clear" w:color="auto" w:fill="FFFFFF"/>
        </w:rPr>
        <w:t xml:space="preserve"> los c</w:t>
      </w:r>
      <w:r w:rsidR="00AB33D4" w:rsidRPr="00E013AA">
        <w:rPr>
          <w:rFonts w:ascii="Arial" w:hAnsi="Arial" w:cs="Arial"/>
          <w:sz w:val="22"/>
          <w:shd w:val="clear" w:color="auto" w:fill="FFFFFF"/>
        </w:rPr>
        <w:t>oncepto</w:t>
      </w:r>
      <w:r w:rsidR="00A37F8D" w:rsidRPr="00E013AA">
        <w:rPr>
          <w:rFonts w:ascii="Arial" w:hAnsi="Arial" w:cs="Arial"/>
          <w:sz w:val="22"/>
          <w:shd w:val="clear" w:color="auto" w:fill="FFFFFF"/>
        </w:rPr>
        <w:t xml:space="preserve">s de </w:t>
      </w:r>
      <w:r w:rsidR="00A37F8D" w:rsidRPr="00E013AA">
        <w:rPr>
          <w:rFonts w:ascii="Arial" w:hAnsi="Arial" w:cs="Arial"/>
          <w:i/>
          <w:iCs/>
          <w:sz w:val="22"/>
          <w:shd w:val="clear" w:color="auto" w:fill="FFFFFF"/>
        </w:rPr>
        <w:t>demarcación</w:t>
      </w:r>
      <w:r w:rsidR="00AB33D4" w:rsidRPr="00E013AA">
        <w:rPr>
          <w:rFonts w:ascii="Arial" w:hAnsi="Arial" w:cs="Arial"/>
          <w:sz w:val="22"/>
          <w:shd w:val="clear" w:color="auto" w:fill="FFFFFF"/>
        </w:rPr>
        <w:t xml:space="preserve"> </w:t>
      </w:r>
      <w:r w:rsidR="00A37F8D" w:rsidRPr="00E013AA">
        <w:rPr>
          <w:rFonts w:ascii="Arial" w:hAnsi="Arial" w:cs="Arial"/>
          <w:sz w:val="22"/>
          <w:shd w:val="clear" w:color="auto" w:fill="FFFFFF"/>
        </w:rPr>
        <w:t>y</w:t>
      </w:r>
      <w:r w:rsidR="00AB33D4" w:rsidRPr="00E013AA">
        <w:rPr>
          <w:rFonts w:ascii="Arial" w:hAnsi="Arial" w:cs="Arial"/>
          <w:sz w:val="22"/>
          <w:shd w:val="clear" w:color="auto" w:fill="FFFFFF"/>
        </w:rPr>
        <w:t xml:space="preserve"> </w:t>
      </w:r>
      <w:r w:rsidR="00AB33D4" w:rsidRPr="00E013AA">
        <w:rPr>
          <w:rFonts w:ascii="Arial" w:hAnsi="Arial" w:cs="Arial"/>
          <w:i/>
          <w:iCs/>
          <w:sz w:val="22"/>
          <w:shd w:val="clear" w:color="auto" w:fill="FFFFFF"/>
        </w:rPr>
        <w:t>semáforo</w:t>
      </w:r>
      <w:r w:rsidR="00AB33D4" w:rsidRPr="00E013AA">
        <w:rPr>
          <w:rFonts w:ascii="Arial" w:hAnsi="Arial" w:cs="Arial"/>
          <w:sz w:val="22"/>
          <w:shd w:val="clear" w:color="auto" w:fill="FFFFFF"/>
        </w:rPr>
        <w:t xml:space="preserve">, el </w:t>
      </w:r>
      <w:r w:rsidR="00430C09">
        <w:rPr>
          <w:rFonts w:ascii="Arial" w:hAnsi="Arial" w:cs="Arial"/>
          <w:sz w:val="22"/>
          <w:shd w:val="clear" w:color="auto" w:fill="FFFFFF"/>
        </w:rPr>
        <w:t>«</w:t>
      </w:r>
      <w:r w:rsidR="00AB33D4" w:rsidRPr="00E013AA">
        <w:rPr>
          <w:rFonts w:ascii="Arial" w:hAnsi="Arial" w:cs="Arial"/>
          <w:sz w:val="22"/>
          <w:shd w:val="clear" w:color="auto" w:fill="FFFFFF"/>
        </w:rPr>
        <w:t>Glosario Manual de señalización vial</w:t>
      </w:r>
      <w:r w:rsidR="00430C09">
        <w:rPr>
          <w:rFonts w:ascii="Arial" w:hAnsi="Arial" w:cs="Arial"/>
          <w:sz w:val="22"/>
          <w:shd w:val="clear" w:color="auto" w:fill="FFFFFF"/>
        </w:rPr>
        <w:t>»</w:t>
      </w:r>
      <w:r w:rsidR="00AB33D4" w:rsidRPr="00E013AA">
        <w:rPr>
          <w:rFonts w:ascii="Arial" w:hAnsi="Arial" w:cs="Arial"/>
          <w:sz w:val="22"/>
          <w:shd w:val="clear" w:color="auto" w:fill="FFFFFF"/>
        </w:rPr>
        <w:t xml:space="preserve"> del Instituto Nacional de Vías –Invias–</w:t>
      </w:r>
      <w:r w:rsidR="003C7995">
        <w:rPr>
          <w:rFonts w:ascii="Arial" w:hAnsi="Arial" w:cs="Arial"/>
          <w:sz w:val="22"/>
          <w:shd w:val="clear" w:color="auto" w:fill="FFFFFF"/>
        </w:rPr>
        <w:t xml:space="preserve"> los define en estos términos</w:t>
      </w:r>
      <w:r w:rsidR="00AB33D4" w:rsidRPr="00E013AA">
        <w:rPr>
          <w:rFonts w:ascii="Arial" w:hAnsi="Arial" w:cs="Arial"/>
          <w:sz w:val="22"/>
          <w:shd w:val="clear" w:color="auto" w:fill="FFFFFF"/>
        </w:rPr>
        <w:t xml:space="preserve">: </w:t>
      </w:r>
    </w:p>
    <w:p w14:paraId="039F5B52" w14:textId="137F0BD1" w:rsidR="006C59CF" w:rsidRPr="00E013AA" w:rsidRDefault="006C59CF" w:rsidP="00AB33D4">
      <w:pPr>
        <w:tabs>
          <w:tab w:val="left" w:pos="426"/>
        </w:tabs>
        <w:spacing w:line="276" w:lineRule="auto"/>
        <w:jc w:val="both"/>
        <w:rPr>
          <w:rFonts w:ascii="Arial" w:hAnsi="Arial" w:cs="Arial"/>
          <w:sz w:val="22"/>
          <w:shd w:val="clear" w:color="auto" w:fill="FFFFFF"/>
        </w:rPr>
      </w:pPr>
    </w:p>
    <w:p w14:paraId="2327AF32" w14:textId="3C6289D6" w:rsidR="006C59CF" w:rsidRPr="00E013AA" w:rsidRDefault="006C59CF" w:rsidP="00D332F0">
      <w:pPr>
        <w:tabs>
          <w:tab w:val="left" w:pos="426"/>
        </w:tabs>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Demarcación. Elemento que sirve para diferenciar un área de otra, bien sea mediante color, textura o cambio de material.</w:t>
      </w:r>
    </w:p>
    <w:p w14:paraId="6BEB0D68" w14:textId="2B4E995B" w:rsidR="006C59CF" w:rsidRPr="00E013AA" w:rsidRDefault="006C59CF" w:rsidP="00D20C0C">
      <w:pPr>
        <w:tabs>
          <w:tab w:val="left" w:pos="426"/>
        </w:tabs>
        <w:spacing w:after="120"/>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w:t>
      </w:r>
    </w:p>
    <w:p w14:paraId="0776C083" w14:textId="195E1285" w:rsidR="00AB33D4" w:rsidRPr="00E013AA" w:rsidRDefault="00AB33D4" w:rsidP="00AB33D4">
      <w:pPr>
        <w:tabs>
          <w:tab w:val="left" w:pos="426"/>
        </w:tabs>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 xml:space="preserve">Semáforo. Son dispositivos que proporcionan indicaciones visuales para el control del tránsito de vehículos y peatones en intersecciones. Las indicaciones se hacen a través de luces con lentes de diferentes colores. El color verde corresponde a la indicación de "siga" y el color rojo a "pare", el color amarillo normalmente sirve de transición entre las fases de "siga" y "pare". Los lentes con luces de colores diferentes se ordenan verticalmente en una secuencia convencional y preestablecida de la siguiente manera: rojo, amarillo y verde </w:t>
      </w:r>
      <w:r w:rsidRPr="00E013AA">
        <w:rPr>
          <w:rStyle w:val="FootnoteReference"/>
          <w:rFonts w:ascii="Arial" w:hAnsi="Arial" w:cs="Arial"/>
          <w:sz w:val="21"/>
          <w:szCs w:val="21"/>
          <w:shd w:val="clear" w:color="auto" w:fill="FFFFFF"/>
        </w:rPr>
        <w:footnoteReference w:id="6"/>
      </w:r>
      <w:r w:rsidRPr="00E013AA">
        <w:rPr>
          <w:rFonts w:ascii="Arial" w:hAnsi="Arial" w:cs="Arial"/>
          <w:sz w:val="21"/>
          <w:szCs w:val="21"/>
          <w:shd w:val="clear" w:color="auto" w:fill="FFFFFF"/>
        </w:rPr>
        <w:t>.</w:t>
      </w:r>
    </w:p>
    <w:p w14:paraId="7120A350" w14:textId="77777777" w:rsidR="009E21D6" w:rsidRPr="00E013AA" w:rsidRDefault="0016733C" w:rsidP="006A391C">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9E21D6" w:rsidRPr="00E013AA">
        <w:rPr>
          <w:rFonts w:ascii="Arial" w:hAnsi="Arial" w:cs="Arial"/>
          <w:sz w:val="22"/>
          <w:shd w:val="clear" w:color="auto" w:fill="FFFFFF"/>
        </w:rPr>
        <w:tab/>
      </w:r>
    </w:p>
    <w:p w14:paraId="49875567" w14:textId="6F0D1218" w:rsidR="008D15ED" w:rsidRPr="00E013AA" w:rsidRDefault="00C82700" w:rsidP="006A391C">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FC304F" w:rsidRPr="00E013AA">
        <w:rPr>
          <w:rFonts w:ascii="Arial" w:hAnsi="Arial" w:cs="Arial"/>
          <w:sz w:val="22"/>
          <w:shd w:val="clear" w:color="auto" w:fill="FFFFFF"/>
        </w:rPr>
        <w:t>Por otro lado</w:t>
      </w:r>
      <w:r w:rsidR="00AC6EE0" w:rsidRPr="00E013AA">
        <w:rPr>
          <w:rFonts w:ascii="Arial" w:hAnsi="Arial" w:cs="Arial"/>
          <w:sz w:val="22"/>
          <w:shd w:val="clear" w:color="auto" w:fill="FFFFFF"/>
        </w:rPr>
        <w:t xml:space="preserve">, </w:t>
      </w:r>
      <w:r w:rsidR="000D09C6" w:rsidRPr="00E013AA">
        <w:rPr>
          <w:rFonts w:ascii="Arial" w:hAnsi="Arial" w:cs="Arial"/>
          <w:sz w:val="22"/>
          <w:shd w:val="clear" w:color="auto" w:fill="FFFFFF"/>
        </w:rPr>
        <w:t>s</w:t>
      </w:r>
      <w:r w:rsidR="0016733C" w:rsidRPr="00E013AA">
        <w:rPr>
          <w:rFonts w:ascii="Arial" w:hAnsi="Arial" w:cs="Arial"/>
          <w:sz w:val="22"/>
          <w:shd w:val="clear" w:color="auto" w:fill="FFFFFF"/>
        </w:rPr>
        <w:t xml:space="preserve">obre la obligatoriedad de aplicar </w:t>
      </w:r>
      <w:r w:rsidR="000D09C6" w:rsidRPr="00E013AA">
        <w:rPr>
          <w:rFonts w:ascii="Arial" w:hAnsi="Arial" w:cs="Arial"/>
          <w:sz w:val="22"/>
          <w:shd w:val="clear" w:color="auto" w:fill="FFFFFF"/>
        </w:rPr>
        <w:t>d</w:t>
      </w:r>
      <w:r w:rsidR="0016733C" w:rsidRPr="00E013AA">
        <w:rPr>
          <w:rFonts w:ascii="Arial" w:hAnsi="Arial" w:cs="Arial"/>
          <w:sz w:val="22"/>
          <w:shd w:val="clear" w:color="auto" w:fill="FFFFFF"/>
        </w:rPr>
        <w:t xml:space="preserve">ocumentos </w:t>
      </w:r>
      <w:r w:rsidR="000D09C6" w:rsidRPr="00E013AA">
        <w:rPr>
          <w:rFonts w:ascii="Arial" w:hAnsi="Arial" w:cs="Arial"/>
          <w:sz w:val="22"/>
          <w:shd w:val="clear" w:color="auto" w:fill="FFFFFF"/>
        </w:rPr>
        <w:t>t</w:t>
      </w:r>
      <w:r w:rsidR="0016733C" w:rsidRPr="00E013AA">
        <w:rPr>
          <w:rFonts w:ascii="Arial" w:hAnsi="Arial" w:cs="Arial"/>
          <w:sz w:val="22"/>
          <w:shd w:val="clear" w:color="auto" w:fill="FFFFFF"/>
        </w:rPr>
        <w:t xml:space="preserve">ipo para la contratación de actividades de semaforización se pronunció esta Agencia en el concepto C-597 del </w:t>
      </w:r>
      <w:r w:rsidR="003C30B5" w:rsidRPr="00E013AA">
        <w:rPr>
          <w:rFonts w:ascii="Arial" w:hAnsi="Arial" w:cs="Arial"/>
          <w:sz w:val="22"/>
          <w:shd w:val="clear" w:color="auto" w:fill="FFFFFF"/>
        </w:rPr>
        <w:t>14 de septiembre de 2020</w:t>
      </w:r>
      <w:r w:rsidR="005D7DC4" w:rsidRPr="00E013AA">
        <w:rPr>
          <w:rFonts w:ascii="Arial" w:hAnsi="Arial" w:cs="Arial"/>
          <w:sz w:val="22"/>
          <w:shd w:val="clear" w:color="auto" w:fill="FFFFFF"/>
        </w:rPr>
        <w:t xml:space="preserve">. En </w:t>
      </w:r>
      <w:r w:rsidR="003C7995">
        <w:rPr>
          <w:rFonts w:ascii="Arial" w:hAnsi="Arial" w:cs="Arial"/>
          <w:sz w:val="22"/>
          <w:shd w:val="clear" w:color="auto" w:fill="FFFFFF"/>
        </w:rPr>
        <w:t>este</w:t>
      </w:r>
      <w:r w:rsidR="005D7DC4" w:rsidRPr="00E013AA">
        <w:rPr>
          <w:rFonts w:ascii="Arial" w:hAnsi="Arial" w:cs="Arial"/>
          <w:sz w:val="22"/>
          <w:shd w:val="clear" w:color="auto" w:fill="FFFFFF"/>
        </w:rPr>
        <w:t xml:space="preserve"> concepto se indicó </w:t>
      </w:r>
      <w:r w:rsidR="00183992" w:rsidRPr="00E013AA">
        <w:rPr>
          <w:rFonts w:ascii="Arial" w:hAnsi="Arial" w:cs="Arial"/>
          <w:sz w:val="22"/>
          <w:shd w:val="clear" w:color="auto" w:fill="FFFFFF"/>
        </w:rPr>
        <w:t>que,</w:t>
      </w:r>
      <w:r w:rsidR="005D7DC4" w:rsidRPr="00E013AA">
        <w:rPr>
          <w:rFonts w:ascii="Arial" w:hAnsi="Arial" w:cs="Arial"/>
          <w:sz w:val="22"/>
          <w:shd w:val="clear" w:color="auto" w:fill="FFFFFF"/>
        </w:rPr>
        <w:t xml:space="preserve"> </w:t>
      </w:r>
      <w:r w:rsidR="00966A3E" w:rsidRPr="00E013AA">
        <w:rPr>
          <w:rFonts w:ascii="Arial" w:hAnsi="Arial" w:cs="Arial"/>
          <w:sz w:val="22"/>
          <w:shd w:val="clear" w:color="auto" w:fill="FFFFFF"/>
        </w:rPr>
        <w:t xml:space="preserve">para la contratación de tales actividades </w:t>
      </w:r>
      <w:r w:rsidR="003C7995">
        <w:rPr>
          <w:rFonts w:ascii="Arial" w:hAnsi="Arial" w:cs="Arial"/>
          <w:sz w:val="22"/>
          <w:shd w:val="clear" w:color="auto" w:fill="FFFFFF"/>
        </w:rPr>
        <w:t>–</w:t>
      </w:r>
      <w:r w:rsidR="00966A3E" w:rsidRPr="00E013AA">
        <w:rPr>
          <w:rFonts w:ascii="Arial" w:hAnsi="Arial" w:cs="Arial"/>
          <w:sz w:val="22"/>
          <w:shd w:val="clear" w:color="auto" w:fill="FFFFFF"/>
        </w:rPr>
        <w:t xml:space="preserve">al </w:t>
      </w:r>
      <w:r w:rsidR="000D2773" w:rsidRPr="00E013AA">
        <w:rPr>
          <w:rFonts w:ascii="Arial" w:hAnsi="Arial" w:cs="Arial"/>
          <w:sz w:val="22"/>
          <w:shd w:val="clear" w:color="auto" w:fill="FFFFFF"/>
        </w:rPr>
        <w:t>ser</w:t>
      </w:r>
      <w:r w:rsidR="00C9091D" w:rsidRPr="00E013AA">
        <w:rPr>
          <w:rFonts w:ascii="Arial" w:hAnsi="Arial" w:cs="Arial"/>
          <w:sz w:val="22"/>
          <w:shd w:val="clear" w:color="auto" w:fill="FFFFFF"/>
        </w:rPr>
        <w:t xml:space="preserve"> </w:t>
      </w:r>
      <w:r w:rsidR="000D2773" w:rsidRPr="00E013AA">
        <w:rPr>
          <w:rFonts w:ascii="Arial" w:hAnsi="Arial" w:cs="Arial"/>
          <w:sz w:val="22"/>
          <w:shd w:val="clear" w:color="auto" w:fill="FFFFFF"/>
        </w:rPr>
        <w:t>conexas</w:t>
      </w:r>
      <w:r w:rsidR="00966A3E" w:rsidRPr="00E013AA">
        <w:rPr>
          <w:rFonts w:ascii="Arial" w:hAnsi="Arial" w:cs="Arial"/>
          <w:sz w:val="22"/>
          <w:shd w:val="clear" w:color="auto" w:fill="FFFFFF"/>
        </w:rPr>
        <w:t xml:space="preserve"> a la demarcación</w:t>
      </w:r>
      <w:r w:rsidR="000D2773" w:rsidRPr="00E013AA">
        <w:rPr>
          <w:rFonts w:ascii="Arial" w:hAnsi="Arial" w:cs="Arial"/>
          <w:sz w:val="22"/>
          <w:shd w:val="clear" w:color="auto" w:fill="FFFFFF"/>
        </w:rPr>
        <w:t xml:space="preserve"> y señalización de vías, o de espacio público asociado a infraestructura de transporte</w:t>
      </w:r>
      <w:r w:rsidR="003C7995">
        <w:rPr>
          <w:rFonts w:ascii="Arial" w:hAnsi="Arial" w:cs="Arial"/>
          <w:sz w:val="22"/>
          <w:shd w:val="clear" w:color="auto" w:fill="FFFFFF"/>
        </w:rPr>
        <w:t>–</w:t>
      </w:r>
      <w:r w:rsidR="00C9091D" w:rsidRPr="00E013AA">
        <w:rPr>
          <w:rFonts w:ascii="Arial" w:hAnsi="Arial" w:cs="Arial"/>
          <w:sz w:val="22"/>
          <w:shd w:val="clear" w:color="auto" w:fill="FFFFFF"/>
        </w:rPr>
        <w:t xml:space="preserve"> deben aplicarse los </w:t>
      </w:r>
      <w:r w:rsidR="000E03EA" w:rsidRPr="00E013AA">
        <w:rPr>
          <w:rFonts w:ascii="Arial" w:hAnsi="Arial" w:cs="Arial"/>
          <w:sz w:val="22"/>
          <w:shd w:val="clear" w:color="auto" w:fill="FFFFFF"/>
        </w:rPr>
        <w:t>d</w:t>
      </w:r>
      <w:r w:rsidR="00C9091D" w:rsidRPr="00E013AA">
        <w:rPr>
          <w:rFonts w:ascii="Arial" w:hAnsi="Arial" w:cs="Arial"/>
          <w:sz w:val="22"/>
          <w:shd w:val="clear" w:color="auto" w:fill="FFFFFF"/>
        </w:rPr>
        <w:t xml:space="preserve">ocumentos </w:t>
      </w:r>
      <w:r w:rsidR="000E03EA" w:rsidRPr="00E013AA">
        <w:rPr>
          <w:rFonts w:ascii="Arial" w:hAnsi="Arial" w:cs="Arial"/>
          <w:sz w:val="22"/>
          <w:shd w:val="clear" w:color="auto" w:fill="FFFFFF"/>
        </w:rPr>
        <w:t>t</w:t>
      </w:r>
      <w:r w:rsidR="00C9091D" w:rsidRPr="00E013AA">
        <w:rPr>
          <w:rFonts w:ascii="Arial" w:hAnsi="Arial" w:cs="Arial"/>
          <w:sz w:val="22"/>
          <w:shd w:val="clear" w:color="auto" w:fill="FFFFFF"/>
        </w:rPr>
        <w:t xml:space="preserve">ipo. Al respecto se </w:t>
      </w:r>
      <w:r w:rsidR="003C7995">
        <w:rPr>
          <w:rFonts w:ascii="Arial" w:hAnsi="Arial" w:cs="Arial"/>
          <w:sz w:val="22"/>
          <w:shd w:val="clear" w:color="auto" w:fill="FFFFFF"/>
        </w:rPr>
        <w:t>consideró que</w:t>
      </w:r>
      <w:r w:rsidR="004950F2" w:rsidRPr="00E013AA">
        <w:rPr>
          <w:rFonts w:ascii="Arial" w:hAnsi="Arial" w:cs="Arial"/>
          <w:sz w:val="22"/>
          <w:shd w:val="clear" w:color="auto" w:fill="FFFFFF"/>
        </w:rPr>
        <w:t>:</w:t>
      </w:r>
    </w:p>
    <w:p w14:paraId="2A46DFCD" w14:textId="5CE5C526" w:rsidR="004950F2" w:rsidRPr="00E013AA" w:rsidRDefault="004950F2" w:rsidP="006A391C">
      <w:pPr>
        <w:tabs>
          <w:tab w:val="left" w:pos="426"/>
        </w:tabs>
        <w:spacing w:line="276" w:lineRule="auto"/>
        <w:jc w:val="both"/>
        <w:rPr>
          <w:rFonts w:ascii="Arial" w:hAnsi="Arial" w:cs="Arial"/>
          <w:sz w:val="22"/>
          <w:shd w:val="clear" w:color="auto" w:fill="FFFFFF"/>
        </w:rPr>
      </w:pPr>
    </w:p>
    <w:p w14:paraId="75C92A94" w14:textId="2CAAC59A" w:rsidR="004950F2" w:rsidRPr="00E013AA" w:rsidRDefault="004950F2" w:rsidP="00050047">
      <w:pPr>
        <w:tabs>
          <w:tab w:val="left" w:pos="426"/>
        </w:tabs>
        <w:ind w:left="709" w:right="709"/>
        <w:jc w:val="both"/>
        <w:rPr>
          <w:rFonts w:ascii="Arial" w:hAnsi="Arial" w:cs="Arial"/>
          <w:sz w:val="21"/>
          <w:szCs w:val="21"/>
          <w:shd w:val="clear" w:color="auto" w:fill="FFFFFF"/>
        </w:rPr>
      </w:pPr>
      <w:r w:rsidRPr="00E013AA">
        <w:rPr>
          <w:rFonts w:ascii="Arial" w:hAnsi="Arial" w:cs="Arial"/>
          <w:sz w:val="21"/>
          <w:szCs w:val="21"/>
          <w:shd w:val="clear" w:color="auto" w:fill="FFFFFF"/>
        </w:rPr>
        <w:t>[…]</w:t>
      </w:r>
      <w:r w:rsidR="003C7995">
        <w:rPr>
          <w:rFonts w:ascii="Arial" w:hAnsi="Arial" w:cs="Arial"/>
          <w:sz w:val="21"/>
          <w:szCs w:val="21"/>
          <w:shd w:val="clear" w:color="auto" w:fill="FFFFFF"/>
        </w:rPr>
        <w:t xml:space="preserve"> </w:t>
      </w:r>
      <w:r w:rsidRPr="00E013AA">
        <w:rPr>
          <w:rFonts w:ascii="Arial" w:hAnsi="Arial" w:cs="Arial"/>
          <w:sz w:val="21"/>
          <w:szCs w:val="21"/>
        </w:rPr>
        <w:t xml:space="preserve">«si la obra a realizar es solo de semaforización» sí es obligatorio el uso de los Pliegos Tipo, claro está, siempre que el contrato se ejecute en el contexto de una obra de infraestructura de transporte o de espacio público asociado a infraestructuras de transporte. Tal afirmación se fundamenta, al menos, en dos consideraciones. Primero, en que, desde una perspectiva técnica, la semaforización es una actividad conexa a las labores de demarcación y señalización de la infraestructura de transporte como elementos que permiten organizar las interacciones de los diferentes actores de la movilidad y el tránsito como tal, sobre todo, en el contexto de la seguridad vial y las normas aplicables en dicha materia. Segundo, porque en el Anexo 3-Glosario de los Documentos Tipo, que </w:t>
      </w:r>
      <w:r w:rsidRPr="00E013AA">
        <w:rPr>
          <w:rFonts w:ascii="Arial" w:hAnsi="Arial" w:cs="Arial"/>
          <w:sz w:val="21"/>
          <w:szCs w:val="21"/>
          <w:lang w:val="es-CO"/>
        </w:rPr>
        <w:t xml:space="preserve">delimita el alcance de las expresiones técnicas, </w:t>
      </w:r>
      <w:r w:rsidRPr="00E013AA">
        <w:rPr>
          <w:rFonts w:ascii="Arial" w:hAnsi="Arial" w:cs="Arial"/>
          <w:sz w:val="21"/>
          <w:szCs w:val="21"/>
        </w:rPr>
        <w:t xml:space="preserve">la «señalización» es definida como el «Conjunto de señales destinado a regular el tránsito», las cuales, se agrega, pueden ser «[…] señales verticales y señalización horizontal o demarcaciones», de lo que se sigue que los semáforos son una forma de señalización vertical, teniendo como parámetro que el artículo 2 de la Ley 769 de 2002 lo define como «Dispositivo electromagnético o electrónico </w:t>
      </w:r>
      <w:r w:rsidRPr="00E013AA">
        <w:rPr>
          <w:rFonts w:ascii="Arial" w:hAnsi="Arial" w:cs="Arial"/>
          <w:i/>
          <w:sz w:val="21"/>
          <w:szCs w:val="21"/>
        </w:rPr>
        <w:t>para regular el tránsito</w:t>
      </w:r>
      <w:r w:rsidRPr="00E013AA">
        <w:rPr>
          <w:rFonts w:ascii="Arial" w:hAnsi="Arial" w:cs="Arial"/>
          <w:sz w:val="21"/>
          <w:szCs w:val="21"/>
        </w:rPr>
        <w:t xml:space="preserve"> </w:t>
      </w:r>
      <w:r w:rsidRPr="00E013AA">
        <w:rPr>
          <w:rFonts w:ascii="Arial" w:hAnsi="Arial" w:cs="Arial"/>
          <w:i/>
          <w:sz w:val="21"/>
          <w:szCs w:val="21"/>
        </w:rPr>
        <w:t>de vehículos, peatones</w:t>
      </w:r>
      <w:r w:rsidRPr="00E013AA">
        <w:rPr>
          <w:rFonts w:ascii="Arial" w:hAnsi="Arial" w:cs="Arial"/>
          <w:sz w:val="21"/>
          <w:szCs w:val="21"/>
        </w:rPr>
        <w:t xml:space="preserve"> mediante el uso de señales luminosas»</w:t>
      </w:r>
      <w:r w:rsidR="00D332F0">
        <w:rPr>
          <w:rFonts w:ascii="Arial" w:hAnsi="Arial" w:cs="Arial"/>
          <w:sz w:val="21"/>
          <w:szCs w:val="21"/>
        </w:rPr>
        <w:t xml:space="preserve"> […]</w:t>
      </w:r>
      <w:r w:rsidR="003C7995">
        <w:rPr>
          <w:rFonts w:ascii="Arial" w:hAnsi="Arial" w:cs="Arial"/>
          <w:sz w:val="21"/>
          <w:szCs w:val="21"/>
        </w:rPr>
        <w:t>.</w:t>
      </w:r>
      <w:r w:rsidR="006A391C" w:rsidRPr="00E013AA">
        <w:rPr>
          <w:rStyle w:val="FootnoteReference"/>
          <w:rFonts w:ascii="Arial" w:hAnsi="Arial" w:cs="Arial"/>
          <w:sz w:val="21"/>
          <w:szCs w:val="21"/>
        </w:rPr>
        <w:footnoteReference w:id="7"/>
      </w:r>
    </w:p>
    <w:p w14:paraId="391EA1AA" w14:textId="551819A6" w:rsidR="008D15ED" w:rsidRPr="00E013AA" w:rsidRDefault="00050047" w:rsidP="00050047">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p>
    <w:p w14:paraId="3951B8EF" w14:textId="081F3DF7" w:rsidR="003701D9" w:rsidRPr="00E013AA" w:rsidRDefault="00050047"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472223">
        <w:rPr>
          <w:rFonts w:ascii="Arial" w:hAnsi="Arial" w:cs="Arial"/>
          <w:sz w:val="22"/>
          <w:shd w:val="clear" w:color="auto" w:fill="FFFFFF"/>
        </w:rPr>
        <w:t>A</w:t>
      </w:r>
      <w:r w:rsidR="009778DA" w:rsidRPr="00E013AA">
        <w:rPr>
          <w:rFonts w:ascii="Arial" w:hAnsi="Arial" w:cs="Arial"/>
          <w:sz w:val="22"/>
          <w:shd w:val="clear" w:color="auto" w:fill="FFFFFF"/>
        </w:rPr>
        <w:t>l referi</w:t>
      </w:r>
      <w:r w:rsidR="00923850">
        <w:rPr>
          <w:rFonts w:ascii="Arial" w:hAnsi="Arial" w:cs="Arial"/>
          <w:sz w:val="22"/>
          <w:shd w:val="clear" w:color="auto" w:fill="FFFFFF"/>
        </w:rPr>
        <w:t>r</w:t>
      </w:r>
      <w:r w:rsidR="009778DA" w:rsidRPr="00E013AA">
        <w:rPr>
          <w:rFonts w:ascii="Arial" w:hAnsi="Arial" w:cs="Arial"/>
          <w:sz w:val="22"/>
          <w:shd w:val="clear" w:color="auto" w:fill="FFFFFF"/>
        </w:rPr>
        <w:t>s</w:t>
      </w:r>
      <w:r w:rsidR="00923850">
        <w:rPr>
          <w:rFonts w:ascii="Arial" w:hAnsi="Arial" w:cs="Arial"/>
          <w:sz w:val="22"/>
          <w:shd w:val="clear" w:color="auto" w:fill="FFFFFF"/>
        </w:rPr>
        <w:t>e</w:t>
      </w:r>
      <w:r w:rsidR="009778DA" w:rsidRPr="00E013AA">
        <w:rPr>
          <w:rFonts w:ascii="Arial" w:hAnsi="Arial" w:cs="Arial"/>
          <w:sz w:val="22"/>
          <w:shd w:val="clear" w:color="auto" w:fill="FFFFFF"/>
        </w:rPr>
        <w:t xml:space="preserve"> a</w:t>
      </w:r>
      <w:r w:rsidR="00B13A5A" w:rsidRPr="00E013AA">
        <w:rPr>
          <w:rFonts w:ascii="Arial" w:hAnsi="Arial" w:cs="Arial"/>
          <w:sz w:val="22"/>
          <w:shd w:val="clear" w:color="auto" w:fill="FFFFFF"/>
        </w:rPr>
        <w:t xml:space="preserve"> la </w:t>
      </w:r>
      <w:r w:rsidR="00B13A5A" w:rsidRPr="00E013AA">
        <w:rPr>
          <w:rFonts w:ascii="Arial" w:hAnsi="Arial" w:cs="Arial"/>
          <w:i/>
          <w:iCs/>
          <w:sz w:val="22"/>
          <w:shd w:val="clear" w:color="auto" w:fill="FFFFFF"/>
        </w:rPr>
        <w:t>señalización</w:t>
      </w:r>
      <w:r w:rsidR="00B13A5A" w:rsidRPr="00E013AA">
        <w:rPr>
          <w:rFonts w:ascii="Arial" w:hAnsi="Arial" w:cs="Arial"/>
          <w:sz w:val="22"/>
          <w:shd w:val="clear" w:color="auto" w:fill="FFFFFF"/>
        </w:rPr>
        <w:t xml:space="preserve"> </w:t>
      </w:r>
      <w:r w:rsidR="00612BFC" w:rsidRPr="00E013AA">
        <w:rPr>
          <w:rFonts w:ascii="Arial" w:hAnsi="Arial" w:cs="Arial"/>
          <w:sz w:val="22"/>
          <w:shd w:val="clear" w:color="auto" w:fill="FFFFFF"/>
        </w:rPr>
        <w:t xml:space="preserve">o </w:t>
      </w:r>
      <w:r w:rsidR="00612BFC" w:rsidRPr="00E013AA">
        <w:rPr>
          <w:rFonts w:ascii="Arial" w:hAnsi="Arial" w:cs="Arial"/>
          <w:i/>
          <w:iCs/>
          <w:sz w:val="22"/>
          <w:shd w:val="clear" w:color="auto" w:fill="FFFFFF"/>
        </w:rPr>
        <w:t>demarcación</w:t>
      </w:r>
      <w:r w:rsidR="00612BFC" w:rsidRPr="00E013AA">
        <w:rPr>
          <w:rFonts w:ascii="Arial" w:hAnsi="Arial" w:cs="Arial"/>
          <w:sz w:val="22"/>
          <w:shd w:val="clear" w:color="auto" w:fill="FFFFFF"/>
        </w:rPr>
        <w:t xml:space="preserve"> </w:t>
      </w:r>
      <w:r w:rsidR="00B13A5A" w:rsidRPr="00E013AA">
        <w:rPr>
          <w:rFonts w:ascii="Arial" w:hAnsi="Arial" w:cs="Arial"/>
          <w:sz w:val="22"/>
          <w:shd w:val="clear" w:color="auto" w:fill="FFFFFF"/>
        </w:rPr>
        <w:t xml:space="preserve">de infraestructura de transporte y espacio público asociado a </w:t>
      </w:r>
      <w:r w:rsidR="00832BC5" w:rsidRPr="00E013AA">
        <w:rPr>
          <w:rFonts w:ascii="Arial" w:hAnsi="Arial" w:cs="Arial"/>
          <w:sz w:val="22"/>
          <w:shd w:val="clear" w:color="auto" w:fill="FFFFFF"/>
        </w:rPr>
        <w:t>esta</w:t>
      </w:r>
      <w:r w:rsidR="000309B1" w:rsidRPr="00E013AA">
        <w:rPr>
          <w:rFonts w:ascii="Arial" w:hAnsi="Arial" w:cs="Arial"/>
          <w:sz w:val="22"/>
          <w:shd w:val="clear" w:color="auto" w:fill="FFFFFF"/>
        </w:rPr>
        <w:t>,</w:t>
      </w:r>
      <w:r w:rsidR="00C47F72" w:rsidRPr="00E013AA">
        <w:rPr>
          <w:rFonts w:ascii="Arial" w:hAnsi="Arial" w:cs="Arial"/>
          <w:sz w:val="22"/>
          <w:shd w:val="clear" w:color="auto" w:fill="FFFFFF"/>
        </w:rPr>
        <w:t xml:space="preserve"> </w:t>
      </w:r>
      <w:r w:rsidR="00472223" w:rsidRPr="00E013AA">
        <w:rPr>
          <w:rFonts w:ascii="Arial" w:hAnsi="Arial" w:cs="Arial"/>
          <w:sz w:val="22"/>
          <w:shd w:val="clear" w:color="auto" w:fill="FFFFFF"/>
        </w:rPr>
        <w:t xml:space="preserve">las actividades de </w:t>
      </w:r>
      <w:r w:rsidR="00472223">
        <w:rPr>
          <w:rFonts w:ascii="Arial" w:hAnsi="Arial" w:cs="Arial"/>
          <w:sz w:val="22"/>
          <w:shd w:val="clear" w:color="auto" w:fill="FFFFFF"/>
        </w:rPr>
        <w:t>la Matriz</w:t>
      </w:r>
      <w:r w:rsidR="00472223" w:rsidRPr="00E013AA">
        <w:rPr>
          <w:rFonts w:ascii="Arial" w:hAnsi="Arial" w:cs="Arial"/>
          <w:sz w:val="22"/>
          <w:shd w:val="clear" w:color="auto" w:fill="FFFFFF"/>
        </w:rPr>
        <w:t xml:space="preserve"> 1 arriba señaladas </w:t>
      </w:r>
      <w:r w:rsidR="00C47F72" w:rsidRPr="00E013AA">
        <w:rPr>
          <w:rFonts w:ascii="Arial" w:hAnsi="Arial" w:cs="Arial"/>
          <w:sz w:val="22"/>
          <w:shd w:val="clear" w:color="auto" w:fill="FFFFFF"/>
        </w:rPr>
        <w:t xml:space="preserve">comprenden </w:t>
      </w:r>
      <w:r w:rsidR="008C6774" w:rsidRPr="00E013AA">
        <w:rPr>
          <w:rFonts w:ascii="Arial" w:hAnsi="Arial" w:cs="Arial"/>
          <w:sz w:val="22"/>
          <w:shd w:val="clear" w:color="auto" w:fill="FFFFFF"/>
        </w:rPr>
        <w:t xml:space="preserve">la instalación de </w:t>
      </w:r>
      <w:r w:rsidR="00C47F72" w:rsidRPr="00E013AA">
        <w:rPr>
          <w:rFonts w:ascii="Arial" w:hAnsi="Arial" w:cs="Arial"/>
          <w:sz w:val="22"/>
          <w:shd w:val="clear" w:color="auto" w:fill="FFFFFF"/>
        </w:rPr>
        <w:t>sem</w:t>
      </w:r>
      <w:r w:rsidR="008C6774" w:rsidRPr="00E013AA">
        <w:rPr>
          <w:rFonts w:ascii="Arial" w:hAnsi="Arial" w:cs="Arial"/>
          <w:sz w:val="22"/>
          <w:shd w:val="clear" w:color="auto" w:fill="FFFFFF"/>
        </w:rPr>
        <w:t>áforo</w:t>
      </w:r>
      <w:r w:rsidR="000309B1" w:rsidRPr="00E013AA">
        <w:rPr>
          <w:rFonts w:ascii="Arial" w:hAnsi="Arial" w:cs="Arial"/>
          <w:sz w:val="22"/>
          <w:shd w:val="clear" w:color="auto" w:fill="FFFFFF"/>
        </w:rPr>
        <w:t>s</w:t>
      </w:r>
      <w:r w:rsidR="0066521F" w:rsidRPr="00E013AA">
        <w:rPr>
          <w:rFonts w:ascii="Arial" w:hAnsi="Arial" w:cs="Arial"/>
          <w:sz w:val="22"/>
          <w:shd w:val="clear" w:color="auto" w:fill="FFFFFF"/>
        </w:rPr>
        <w:t>, por lo que</w:t>
      </w:r>
      <w:r w:rsidR="00530A02" w:rsidRPr="00E013AA">
        <w:rPr>
          <w:rFonts w:ascii="Arial" w:hAnsi="Arial" w:cs="Arial"/>
          <w:sz w:val="22"/>
          <w:shd w:val="clear" w:color="auto" w:fill="FFFFFF"/>
        </w:rPr>
        <w:t>, en principio,</w:t>
      </w:r>
      <w:r w:rsidR="00CD37C7">
        <w:rPr>
          <w:rFonts w:ascii="Arial" w:hAnsi="Arial" w:cs="Arial"/>
          <w:sz w:val="22"/>
          <w:shd w:val="clear" w:color="auto" w:fill="FFFFFF"/>
        </w:rPr>
        <w:t xml:space="preserve"> deberían</w:t>
      </w:r>
      <w:r w:rsidR="00530A02" w:rsidRPr="00E013AA">
        <w:rPr>
          <w:rFonts w:ascii="Arial" w:hAnsi="Arial" w:cs="Arial"/>
          <w:sz w:val="22"/>
          <w:shd w:val="clear" w:color="auto" w:fill="FFFFFF"/>
        </w:rPr>
        <w:t xml:space="preserve"> aplicarse los docume</w:t>
      </w:r>
      <w:r w:rsidR="005D38B9" w:rsidRPr="00E013AA">
        <w:rPr>
          <w:rFonts w:ascii="Arial" w:hAnsi="Arial" w:cs="Arial"/>
          <w:sz w:val="22"/>
          <w:shd w:val="clear" w:color="auto" w:fill="FFFFFF"/>
        </w:rPr>
        <w:t>ntos tipo.</w:t>
      </w:r>
      <w:r w:rsidR="00E563C1" w:rsidRPr="00E013AA">
        <w:rPr>
          <w:rFonts w:ascii="Arial" w:hAnsi="Arial" w:cs="Arial"/>
          <w:sz w:val="22"/>
          <w:shd w:val="clear" w:color="auto" w:fill="FFFFFF"/>
        </w:rPr>
        <w:t xml:space="preserve"> </w:t>
      </w:r>
      <w:r w:rsidR="00343B5F" w:rsidRPr="00E013AA">
        <w:rPr>
          <w:rFonts w:ascii="Arial" w:hAnsi="Arial" w:cs="Arial"/>
          <w:sz w:val="22"/>
          <w:shd w:val="clear" w:color="auto" w:fill="FFFFFF"/>
        </w:rPr>
        <w:t xml:space="preserve">No obstante, </w:t>
      </w:r>
      <w:r w:rsidR="005263F3" w:rsidRPr="00E013AA">
        <w:rPr>
          <w:rFonts w:ascii="Arial" w:hAnsi="Arial" w:cs="Arial"/>
          <w:sz w:val="22"/>
          <w:shd w:val="clear" w:color="auto" w:fill="FFFFFF"/>
        </w:rPr>
        <w:t xml:space="preserve">el objeto de la consulta obliga </w:t>
      </w:r>
      <w:r w:rsidR="00D729D4" w:rsidRPr="00E013AA">
        <w:rPr>
          <w:rFonts w:ascii="Arial" w:hAnsi="Arial" w:cs="Arial"/>
          <w:sz w:val="22"/>
          <w:shd w:val="clear" w:color="auto" w:fill="FFFFFF"/>
        </w:rPr>
        <w:t xml:space="preserve">precisar el alcance de las actividades de </w:t>
      </w:r>
      <w:r w:rsidR="00D729D4" w:rsidRPr="00E013AA">
        <w:rPr>
          <w:rFonts w:ascii="Arial" w:hAnsi="Arial" w:cs="Arial"/>
          <w:i/>
          <w:iCs/>
          <w:sz w:val="22"/>
          <w:shd w:val="clear" w:color="auto" w:fill="FFFFFF"/>
        </w:rPr>
        <w:t>demarcación</w:t>
      </w:r>
      <w:r w:rsidR="00D729D4" w:rsidRPr="00E013AA">
        <w:rPr>
          <w:rFonts w:ascii="Arial" w:hAnsi="Arial" w:cs="Arial"/>
          <w:sz w:val="22"/>
          <w:shd w:val="clear" w:color="auto" w:fill="FFFFFF"/>
        </w:rPr>
        <w:t xml:space="preserve"> y </w:t>
      </w:r>
      <w:r w:rsidR="00D729D4" w:rsidRPr="00E013AA">
        <w:rPr>
          <w:rFonts w:ascii="Arial" w:hAnsi="Arial" w:cs="Arial"/>
          <w:i/>
          <w:iCs/>
          <w:sz w:val="22"/>
          <w:shd w:val="clear" w:color="auto" w:fill="FFFFFF"/>
        </w:rPr>
        <w:t>señalización</w:t>
      </w:r>
      <w:r w:rsidR="00D729D4" w:rsidRPr="00E013AA">
        <w:rPr>
          <w:rFonts w:ascii="Arial" w:hAnsi="Arial" w:cs="Arial"/>
          <w:sz w:val="22"/>
          <w:shd w:val="clear" w:color="auto" w:fill="FFFFFF"/>
        </w:rPr>
        <w:t xml:space="preserve"> </w:t>
      </w:r>
      <w:r w:rsidR="00231891" w:rsidRPr="00E013AA">
        <w:rPr>
          <w:rFonts w:ascii="Arial" w:hAnsi="Arial" w:cs="Arial"/>
          <w:sz w:val="22"/>
          <w:shd w:val="clear" w:color="auto" w:fill="FFFFFF"/>
        </w:rPr>
        <w:t xml:space="preserve">en el contexto de </w:t>
      </w:r>
      <w:r w:rsidR="00B326A4" w:rsidRPr="00E013AA">
        <w:rPr>
          <w:rFonts w:ascii="Arial" w:hAnsi="Arial" w:cs="Arial"/>
          <w:sz w:val="22"/>
          <w:shd w:val="clear" w:color="auto" w:fill="FFFFFF"/>
        </w:rPr>
        <w:t xml:space="preserve">los documentos tipo de infraestructura de transporte. </w:t>
      </w:r>
      <w:r w:rsidR="00D0554A">
        <w:rPr>
          <w:rFonts w:ascii="Arial" w:hAnsi="Arial" w:cs="Arial"/>
          <w:sz w:val="22"/>
          <w:shd w:val="clear" w:color="auto" w:fill="FFFFFF"/>
        </w:rPr>
        <w:t>En efecto, d</w:t>
      </w:r>
      <w:r w:rsidR="00B326A4" w:rsidRPr="00E013AA">
        <w:rPr>
          <w:rFonts w:ascii="Arial" w:hAnsi="Arial" w:cs="Arial"/>
          <w:sz w:val="22"/>
          <w:shd w:val="clear" w:color="auto" w:fill="FFFFFF"/>
        </w:rPr>
        <w:t xml:space="preserve">icha precisión </w:t>
      </w:r>
      <w:r w:rsidR="00BA2E6C" w:rsidRPr="00E013AA">
        <w:rPr>
          <w:rFonts w:ascii="Arial" w:hAnsi="Arial" w:cs="Arial"/>
          <w:sz w:val="22"/>
          <w:shd w:val="clear" w:color="auto" w:fill="FFFFFF"/>
        </w:rPr>
        <w:t xml:space="preserve">consiste en que </w:t>
      </w:r>
      <w:r w:rsidR="002B3B1F" w:rsidRPr="00E013AA">
        <w:rPr>
          <w:rFonts w:ascii="Arial" w:hAnsi="Arial" w:cs="Arial"/>
          <w:sz w:val="22"/>
          <w:shd w:val="clear" w:color="auto" w:fill="FFFFFF"/>
        </w:rPr>
        <w:t>el desarrollo de las</w:t>
      </w:r>
      <w:r w:rsidR="00BA2E6C" w:rsidRPr="00E013AA">
        <w:rPr>
          <w:rFonts w:ascii="Arial" w:hAnsi="Arial" w:cs="Arial"/>
          <w:sz w:val="22"/>
          <w:shd w:val="clear" w:color="auto" w:fill="FFFFFF"/>
        </w:rPr>
        <w:t xml:space="preserve"> actividades 1.4, 1.5, </w:t>
      </w:r>
      <w:r w:rsidR="002B3B1F" w:rsidRPr="00E013AA">
        <w:rPr>
          <w:rFonts w:ascii="Arial" w:hAnsi="Arial" w:cs="Arial"/>
          <w:sz w:val="22"/>
          <w:shd w:val="clear" w:color="auto" w:fill="FFFFFF"/>
        </w:rPr>
        <w:t>6.13 y 6.14</w:t>
      </w:r>
      <w:r w:rsidR="00761086" w:rsidRPr="00E013AA">
        <w:rPr>
          <w:rFonts w:ascii="Arial" w:hAnsi="Arial" w:cs="Arial"/>
          <w:sz w:val="22"/>
          <w:shd w:val="clear" w:color="auto" w:fill="FFFFFF"/>
        </w:rPr>
        <w:t xml:space="preserve">, </w:t>
      </w:r>
      <w:r w:rsidR="002B3B1F" w:rsidRPr="00E013AA">
        <w:rPr>
          <w:rFonts w:ascii="Arial" w:hAnsi="Arial" w:cs="Arial"/>
          <w:sz w:val="22"/>
          <w:shd w:val="clear" w:color="auto" w:fill="FFFFFF"/>
        </w:rPr>
        <w:t>comprende</w:t>
      </w:r>
      <w:r w:rsidR="004C0AA0" w:rsidRPr="00E013AA">
        <w:rPr>
          <w:rFonts w:ascii="Arial" w:hAnsi="Arial" w:cs="Arial"/>
          <w:sz w:val="22"/>
          <w:shd w:val="clear" w:color="auto" w:fill="FFFFFF"/>
        </w:rPr>
        <w:t xml:space="preserve"> la</w:t>
      </w:r>
      <w:r w:rsidR="002B3B1F" w:rsidRPr="00E013AA">
        <w:rPr>
          <w:rFonts w:ascii="Arial" w:hAnsi="Arial" w:cs="Arial"/>
          <w:sz w:val="22"/>
          <w:shd w:val="clear" w:color="auto" w:fill="FFFFFF"/>
        </w:rPr>
        <w:t xml:space="preserve"> instalación de </w:t>
      </w:r>
      <w:r w:rsidR="004C0AA0" w:rsidRPr="00E013AA">
        <w:rPr>
          <w:rFonts w:ascii="Arial" w:hAnsi="Arial" w:cs="Arial"/>
          <w:sz w:val="22"/>
          <w:shd w:val="clear" w:color="auto" w:fill="FFFFFF"/>
        </w:rPr>
        <w:t>semáforos</w:t>
      </w:r>
      <w:r w:rsidR="004E4238">
        <w:rPr>
          <w:rFonts w:ascii="Arial" w:hAnsi="Arial" w:cs="Arial"/>
          <w:sz w:val="22"/>
          <w:shd w:val="clear" w:color="auto" w:fill="FFFFFF"/>
        </w:rPr>
        <w:t xml:space="preserve"> o la implementación de los elementos de seguridad vial para cruces semaforizados</w:t>
      </w:r>
      <w:r w:rsidR="004C0AA0" w:rsidRPr="00E013AA">
        <w:rPr>
          <w:rFonts w:ascii="Arial" w:hAnsi="Arial" w:cs="Arial"/>
          <w:sz w:val="22"/>
          <w:shd w:val="clear" w:color="auto" w:fill="FFFFFF"/>
        </w:rPr>
        <w:t>,</w:t>
      </w:r>
      <w:r w:rsidR="00761086" w:rsidRPr="00E013AA">
        <w:rPr>
          <w:rFonts w:ascii="Arial" w:hAnsi="Arial" w:cs="Arial"/>
          <w:sz w:val="22"/>
          <w:shd w:val="clear" w:color="auto" w:fill="FFFFFF"/>
        </w:rPr>
        <w:t xml:space="preserve"> pero no el mantenimiento </w:t>
      </w:r>
      <w:r w:rsidR="004E4238">
        <w:rPr>
          <w:rFonts w:ascii="Arial" w:hAnsi="Arial" w:cs="Arial"/>
          <w:sz w:val="22"/>
          <w:shd w:val="clear" w:color="auto" w:fill="FFFFFF"/>
        </w:rPr>
        <w:t>propiamente de dichos elementos</w:t>
      </w:r>
      <w:r w:rsidR="005C0BCA" w:rsidRPr="00E013AA">
        <w:rPr>
          <w:rFonts w:ascii="Arial" w:hAnsi="Arial" w:cs="Arial"/>
          <w:sz w:val="22"/>
          <w:shd w:val="clear" w:color="auto" w:fill="FFFFFF"/>
        </w:rPr>
        <w:t xml:space="preserve">, menos </w:t>
      </w:r>
      <w:proofErr w:type="spellStart"/>
      <w:r w:rsidR="004E4238" w:rsidRPr="00E013AA">
        <w:rPr>
          <w:rFonts w:ascii="Arial" w:hAnsi="Arial" w:cs="Arial"/>
          <w:sz w:val="22"/>
          <w:shd w:val="clear" w:color="auto" w:fill="FFFFFF"/>
        </w:rPr>
        <w:t>aún</w:t>
      </w:r>
      <w:proofErr w:type="spellEnd"/>
      <w:r w:rsidR="005C0BCA" w:rsidRPr="00E013AA">
        <w:rPr>
          <w:rFonts w:ascii="Arial" w:hAnsi="Arial" w:cs="Arial"/>
          <w:sz w:val="22"/>
          <w:shd w:val="clear" w:color="auto" w:fill="FFFFFF"/>
        </w:rPr>
        <w:t xml:space="preserve"> </w:t>
      </w:r>
      <w:r w:rsidR="00783492">
        <w:rPr>
          <w:rFonts w:ascii="Arial" w:hAnsi="Arial" w:cs="Arial"/>
          <w:sz w:val="22"/>
          <w:shd w:val="clear" w:color="auto" w:fill="FFFFFF"/>
        </w:rPr>
        <w:t>tratándose</w:t>
      </w:r>
      <w:r w:rsidR="00FD270D" w:rsidRPr="00E013AA">
        <w:rPr>
          <w:rFonts w:ascii="Arial" w:hAnsi="Arial" w:cs="Arial"/>
          <w:sz w:val="22"/>
          <w:shd w:val="clear" w:color="auto" w:fill="FFFFFF"/>
        </w:rPr>
        <w:t xml:space="preserve"> </w:t>
      </w:r>
      <w:r w:rsidR="00783492">
        <w:rPr>
          <w:rFonts w:ascii="Arial" w:hAnsi="Arial" w:cs="Arial"/>
          <w:sz w:val="22"/>
          <w:shd w:val="clear" w:color="auto" w:fill="FFFFFF"/>
        </w:rPr>
        <w:t>d</w:t>
      </w:r>
      <w:r w:rsidR="00FD270D" w:rsidRPr="00E013AA">
        <w:rPr>
          <w:rFonts w:ascii="Arial" w:hAnsi="Arial" w:cs="Arial"/>
          <w:sz w:val="22"/>
          <w:shd w:val="clear" w:color="auto" w:fill="FFFFFF"/>
        </w:rPr>
        <w:t xml:space="preserve">el mantenimiento </w:t>
      </w:r>
      <w:r w:rsidR="00AD1494" w:rsidRPr="00E013AA">
        <w:rPr>
          <w:rFonts w:ascii="Arial" w:hAnsi="Arial" w:cs="Arial"/>
          <w:sz w:val="22"/>
          <w:shd w:val="clear" w:color="auto" w:fill="FFFFFF"/>
        </w:rPr>
        <w:t xml:space="preserve">eminentemente </w:t>
      </w:r>
      <w:r w:rsidR="00FD270D" w:rsidRPr="00E013AA">
        <w:rPr>
          <w:rFonts w:ascii="Arial" w:hAnsi="Arial" w:cs="Arial"/>
          <w:sz w:val="22"/>
          <w:shd w:val="clear" w:color="auto" w:fill="FFFFFF"/>
        </w:rPr>
        <w:t xml:space="preserve">eléctrico. Esto debido a que </w:t>
      </w:r>
      <w:r w:rsidR="002021FE" w:rsidRPr="00E013AA">
        <w:rPr>
          <w:rFonts w:ascii="Arial" w:hAnsi="Arial" w:cs="Arial"/>
          <w:sz w:val="22"/>
          <w:shd w:val="clear" w:color="auto" w:fill="FFFFFF"/>
        </w:rPr>
        <w:t>dichas ac</w:t>
      </w:r>
      <w:r w:rsidR="00455685" w:rsidRPr="00E013AA">
        <w:rPr>
          <w:rFonts w:ascii="Arial" w:hAnsi="Arial" w:cs="Arial"/>
          <w:sz w:val="22"/>
          <w:shd w:val="clear" w:color="auto" w:fill="FFFFFF"/>
        </w:rPr>
        <w:t xml:space="preserve">tividades fueron incluidas en la </w:t>
      </w:r>
      <w:r w:rsidR="00D332F0">
        <w:rPr>
          <w:rFonts w:ascii="Arial" w:hAnsi="Arial" w:cs="Arial"/>
          <w:sz w:val="22"/>
          <w:shd w:val="clear" w:color="auto" w:fill="FFFFFF"/>
        </w:rPr>
        <w:t>M</w:t>
      </w:r>
      <w:r w:rsidR="00455685" w:rsidRPr="00E013AA">
        <w:rPr>
          <w:rFonts w:ascii="Arial" w:hAnsi="Arial" w:cs="Arial"/>
          <w:sz w:val="22"/>
          <w:shd w:val="clear" w:color="auto" w:fill="FFFFFF"/>
        </w:rPr>
        <w:t>atri</w:t>
      </w:r>
      <w:r w:rsidR="00D332F0">
        <w:rPr>
          <w:rFonts w:ascii="Arial" w:hAnsi="Arial" w:cs="Arial"/>
          <w:sz w:val="22"/>
          <w:shd w:val="clear" w:color="auto" w:fill="FFFFFF"/>
        </w:rPr>
        <w:t>z</w:t>
      </w:r>
      <w:r w:rsidR="00455685" w:rsidRPr="00E013AA">
        <w:rPr>
          <w:rFonts w:ascii="Arial" w:hAnsi="Arial" w:cs="Arial"/>
          <w:sz w:val="22"/>
          <w:shd w:val="clear" w:color="auto" w:fill="FFFFFF"/>
        </w:rPr>
        <w:t xml:space="preserve"> 1</w:t>
      </w:r>
      <w:r w:rsidR="0046397A" w:rsidRPr="00E013AA">
        <w:rPr>
          <w:rFonts w:ascii="Arial" w:hAnsi="Arial" w:cs="Arial"/>
          <w:sz w:val="22"/>
          <w:shd w:val="clear" w:color="auto" w:fill="FFFFFF"/>
        </w:rPr>
        <w:t xml:space="preserve"> en la medida</w:t>
      </w:r>
      <w:r w:rsidR="006022B6" w:rsidRPr="00E013AA">
        <w:rPr>
          <w:rFonts w:ascii="Arial" w:hAnsi="Arial" w:cs="Arial"/>
          <w:sz w:val="22"/>
          <w:shd w:val="clear" w:color="auto" w:fill="FFFFFF"/>
        </w:rPr>
        <w:t xml:space="preserve"> en</w:t>
      </w:r>
      <w:r w:rsidR="0046397A" w:rsidRPr="00E013AA">
        <w:rPr>
          <w:rFonts w:ascii="Arial" w:hAnsi="Arial" w:cs="Arial"/>
          <w:sz w:val="22"/>
          <w:shd w:val="clear" w:color="auto" w:fill="FFFFFF"/>
        </w:rPr>
        <w:t xml:space="preserve"> que su ejecución supone la intervención</w:t>
      </w:r>
      <w:r w:rsidR="005D6744" w:rsidRPr="00E013AA">
        <w:rPr>
          <w:rFonts w:ascii="Arial" w:hAnsi="Arial" w:cs="Arial"/>
          <w:sz w:val="22"/>
          <w:shd w:val="clear" w:color="auto" w:fill="FFFFFF"/>
        </w:rPr>
        <w:t xml:space="preserve"> directa</w:t>
      </w:r>
      <w:r w:rsidR="0046397A" w:rsidRPr="00E013AA">
        <w:rPr>
          <w:rFonts w:ascii="Arial" w:hAnsi="Arial" w:cs="Arial"/>
          <w:sz w:val="22"/>
          <w:shd w:val="clear" w:color="auto" w:fill="FFFFFF"/>
        </w:rPr>
        <w:t xml:space="preserve"> </w:t>
      </w:r>
      <w:r w:rsidR="006022B6" w:rsidRPr="00E013AA">
        <w:rPr>
          <w:rFonts w:ascii="Arial" w:hAnsi="Arial" w:cs="Arial"/>
          <w:sz w:val="22"/>
          <w:shd w:val="clear" w:color="auto" w:fill="FFFFFF"/>
        </w:rPr>
        <w:t>con obra pública de</w:t>
      </w:r>
      <w:r w:rsidR="005D6744" w:rsidRPr="00E013AA">
        <w:rPr>
          <w:rFonts w:ascii="Arial" w:hAnsi="Arial" w:cs="Arial"/>
          <w:sz w:val="22"/>
          <w:shd w:val="clear" w:color="auto" w:fill="FFFFFF"/>
        </w:rPr>
        <w:t xml:space="preserve"> la</w:t>
      </w:r>
      <w:r w:rsidR="006022B6" w:rsidRPr="00E013AA">
        <w:rPr>
          <w:rFonts w:ascii="Arial" w:hAnsi="Arial" w:cs="Arial"/>
          <w:sz w:val="22"/>
          <w:shd w:val="clear" w:color="auto" w:fill="FFFFFF"/>
        </w:rPr>
        <w:t xml:space="preserve"> </w:t>
      </w:r>
      <w:r w:rsidR="00F1435C" w:rsidRPr="00E013AA">
        <w:rPr>
          <w:rFonts w:ascii="Arial" w:hAnsi="Arial" w:cs="Arial"/>
          <w:sz w:val="22"/>
          <w:shd w:val="clear" w:color="auto" w:fill="FFFFFF"/>
        </w:rPr>
        <w:t xml:space="preserve">infraestructura de transporte </w:t>
      </w:r>
      <w:r w:rsidR="006022B6" w:rsidRPr="00E013AA">
        <w:rPr>
          <w:rFonts w:ascii="Arial" w:hAnsi="Arial" w:cs="Arial"/>
          <w:sz w:val="22"/>
          <w:shd w:val="clear" w:color="auto" w:fill="FFFFFF"/>
        </w:rPr>
        <w:t>o</w:t>
      </w:r>
      <w:r w:rsidR="00F1435C" w:rsidRPr="00E013AA">
        <w:rPr>
          <w:rFonts w:ascii="Arial" w:hAnsi="Arial" w:cs="Arial"/>
          <w:sz w:val="22"/>
          <w:shd w:val="clear" w:color="auto" w:fill="FFFFFF"/>
        </w:rPr>
        <w:t xml:space="preserve"> espacio público </w:t>
      </w:r>
      <w:r w:rsidR="002F6071" w:rsidRPr="00E013AA">
        <w:rPr>
          <w:rFonts w:ascii="Arial" w:hAnsi="Arial" w:cs="Arial"/>
          <w:sz w:val="22"/>
          <w:shd w:val="clear" w:color="auto" w:fill="FFFFFF"/>
        </w:rPr>
        <w:t>asociado a esta</w:t>
      </w:r>
      <w:r w:rsidR="009461AA">
        <w:rPr>
          <w:rFonts w:ascii="Arial" w:hAnsi="Arial" w:cs="Arial"/>
          <w:sz w:val="22"/>
          <w:shd w:val="clear" w:color="auto" w:fill="FFFFFF"/>
        </w:rPr>
        <w:t>,</w:t>
      </w:r>
      <w:r w:rsidR="00B75D34">
        <w:rPr>
          <w:rFonts w:ascii="Arial" w:hAnsi="Arial" w:cs="Arial"/>
          <w:sz w:val="22"/>
          <w:shd w:val="clear" w:color="auto" w:fill="FFFFFF"/>
        </w:rPr>
        <w:t xml:space="preserve"> así como actividades que hacen parte de las labores de mejoramiento según establece la Ley 1682 de 2013</w:t>
      </w:r>
      <w:r w:rsidR="002E71AB">
        <w:rPr>
          <w:rFonts w:ascii="Arial" w:hAnsi="Arial" w:cs="Arial"/>
          <w:sz w:val="22"/>
          <w:shd w:val="clear" w:color="auto" w:fill="FFFFFF"/>
        </w:rPr>
        <w:t xml:space="preserve"> y</w:t>
      </w:r>
      <w:r w:rsidR="00B75D34">
        <w:rPr>
          <w:rFonts w:ascii="Arial" w:hAnsi="Arial" w:cs="Arial"/>
          <w:sz w:val="22"/>
          <w:shd w:val="clear" w:color="auto" w:fill="FFFFFF"/>
        </w:rPr>
        <w:t xml:space="preserve"> el Decreto 769 de 2014</w:t>
      </w:r>
      <w:r w:rsidR="009461AA">
        <w:rPr>
          <w:rFonts w:ascii="Arial" w:hAnsi="Arial" w:cs="Arial"/>
          <w:sz w:val="22"/>
          <w:shd w:val="clear" w:color="auto" w:fill="FFFFFF"/>
        </w:rPr>
        <w:t>. Sin embargo,</w:t>
      </w:r>
      <w:r w:rsidR="000F4DAF" w:rsidRPr="00E013AA">
        <w:rPr>
          <w:rFonts w:ascii="Arial" w:hAnsi="Arial" w:cs="Arial"/>
          <w:sz w:val="22"/>
          <w:shd w:val="clear" w:color="auto" w:fill="FFFFFF"/>
        </w:rPr>
        <w:t xml:space="preserve"> tal inclusión no significa que cualquier </w:t>
      </w:r>
      <w:r w:rsidR="00CF1628" w:rsidRPr="00E013AA">
        <w:rPr>
          <w:rFonts w:ascii="Arial" w:hAnsi="Arial" w:cs="Arial"/>
          <w:sz w:val="22"/>
          <w:shd w:val="clear" w:color="auto" w:fill="FFFFFF"/>
        </w:rPr>
        <w:t>actividad que suponga intervenir señales o demarcaciones deba contratar</w:t>
      </w:r>
      <w:r w:rsidR="00806A36" w:rsidRPr="00E013AA">
        <w:rPr>
          <w:rFonts w:ascii="Arial" w:hAnsi="Arial" w:cs="Arial"/>
          <w:sz w:val="22"/>
          <w:shd w:val="clear" w:color="auto" w:fill="FFFFFF"/>
        </w:rPr>
        <w:t>se aplicando documentos tipo.</w:t>
      </w:r>
    </w:p>
    <w:p w14:paraId="1E9BAAA8" w14:textId="3198E561" w:rsidR="00324D77" w:rsidRPr="00E013AA" w:rsidRDefault="003701D9"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562540">
        <w:rPr>
          <w:rFonts w:ascii="Arial" w:hAnsi="Arial" w:cs="Arial"/>
          <w:sz w:val="22"/>
          <w:shd w:val="clear" w:color="auto" w:fill="FFFFFF"/>
        </w:rPr>
        <w:tab/>
      </w:r>
      <w:r w:rsidR="00806A36" w:rsidRPr="00E013AA">
        <w:rPr>
          <w:rFonts w:ascii="Arial" w:hAnsi="Arial" w:cs="Arial"/>
          <w:sz w:val="22"/>
          <w:shd w:val="clear" w:color="auto" w:fill="FFFFFF"/>
        </w:rPr>
        <w:t>C</w:t>
      </w:r>
      <w:r w:rsidR="00461169" w:rsidRPr="00E013AA">
        <w:rPr>
          <w:rFonts w:ascii="Arial" w:hAnsi="Arial" w:cs="Arial"/>
          <w:sz w:val="22"/>
          <w:shd w:val="clear" w:color="auto" w:fill="FFFFFF"/>
        </w:rPr>
        <w:t>iertamente</w:t>
      </w:r>
      <w:r w:rsidR="00F1107B" w:rsidRPr="00E013AA">
        <w:rPr>
          <w:rFonts w:ascii="Arial" w:hAnsi="Arial" w:cs="Arial"/>
          <w:sz w:val="22"/>
          <w:shd w:val="clear" w:color="auto" w:fill="FFFFFF"/>
        </w:rPr>
        <w:t xml:space="preserve"> </w:t>
      </w:r>
      <w:r w:rsidR="002B77FC" w:rsidRPr="00E013AA">
        <w:rPr>
          <w:rFonts w:ascii="Arial" w:hAnsi="Arial" w:cs="Arial"/>
          <w:sz w:val="22"/>
          <w:shd w:val="clear" w:color="auto" w:fill="FFFFFF"/>
        </w:rPr>
        <w:t xml:space="preserve">el mantenimiento de semáforos encaja </w:t>
      </w:r>
      <w:r w:rsidR="00754BEC" w:rsidRPr="00E013AA">
        <w:rPr>
          <w:rFonts w:ascii="Arial" w:hAnsi="Arial" w:cs="Arial"/>
          <w:sz w:val="22"/>
          <w:shd w:val="clear" w:color="auto" w:fill="FFFFFF"/>
        </w:rPr>
        <w:t xml:space="preserve">dentro del objeto del contrato de obra pública </w:t>
      </w:r>
      <w:r w:rsidR="00BC01A1" w:rsidRPr="00E013AA">
        <w:rPr>
          <w:rFonts w:ascii="Arial" w:hAnsi="Arial" w:cs="Arial"/>
          <w:sz w:val="22"/>
          <w:shd w:val="clear" w:color="auto" w:fill="FFFFFF"/>
        </w:rPr>
        <w:t xml:space="preserve">de acuerdo </w:t>
      </w:r>
      <w:r w:rsidR="00F80D40" w:rsidRPr="00E013AA">
        <w:rPr>
          <w:rFonts w:ascii="Arial" w:hAnsi="Arial" w:cs="Arial"/>
          <w:sz w:val="22"/>
          <w:shd w:val="clear" w:color="auto" w:fill="FFFFFF"/>
        </w:rPr>
        <w:t>con e</w:t>
      </w:r>
      <w:r w:rsidR="00BC01A1" w:rsidRPr="00E013AA">
        <w:rPr>
          <w:rFonts w:ascii="Arial" w:hAnsi="Arial" w:cs="Arial"/>
          <w:sz w:val="22"/>
          <w:shd w:val="clear" w:color="auto" w:fill="FFFFFF"/>
        </w:rPr>
        <w:t>l artículo 32</w:t>
      </w:r>
      <w:r w:rsidR="002E71AB">
        <w:rPr>
          <w:rFonts w:ascii="Arial" w:hAnsi="Arial" w:cs="Arial"/>
          <w:sz w:val="22"/>
          <w:shd w:val="clear" w:color="auto" w:fill="FFFFFF"/>
        </w:rPr>
        <w:t>.</w:t>
      </w:r>
      <w:r w:rsidR="00062F44" w:rsidRPr="00E013AA">
        <w:rPr>
          <w:rFonts w:ascii="Arial" w:hAnsi="Arial" w:cs="Arial"/>
          <w:sz w:val="22"/>
          <w:shd w:val="clear" w:color="auto" w:fill="FFFFFF"/>
        </w:rPr>
        <w:t xml:space="preserve">1 </w:t>
      </w:r>
      <w:r w:rsidR="00BC01A1" w:rsidRPr="00E013AA">
        <w:rPr>
          <w:rFonts w:ascii="Arial" w:hAnsi="Arial" w:cs="Arial"/>
          <w:sz w:val="22"/>
          <w:shd w:val="clear" w:color="auto" w:fill="FFFFFF"/>
        </w:rPr>
        <w:t>de la Ley 80 de 1993</w:t>
      </w:r>
      <w:r w:rsidR="002E71AB">
        <w:rPr>
          <w:rFonts w:ascii="Arial" w:hAnsi="Arial" w:cs="Arial"/>
          <w:sz w:val="22"/>
          <w:shd w:val="clear" w:color="auto" w:fill="FFFFFF"/>
        </w:rPr>
        <w:t xml:space="preserve"> </w:t>
      </w:r>
      <w:r w:rsidR="00CB5AD0" w:rsidRPr="00E013AA">
        <w:rPr>
          <w:rStyle w:val="FootnoteReference"/>
          <w:rFonts w:ascii="Arial" w:hAnsi="Arial" w:cs="Arial"/>
          <w:sz w:val="22"/>
          <w:shd w:val="clear" w:color="auto" w:fill="FFFFFF"/>
        </w:rPr>
        <w:footnoteReference w:id="8"/>
      </w:r>
      <w:r w:rsidR="00813B1E" w:rsidRPr="00E013AA">
        <w:rPr>
          <w:rFonts w:ascii="Arial" w:hAnsi="Arial" w:cs="Arial"/>
          <w:sz w:val="22"/>
          <w:shd w:val="clear" w:color="auto" w:fill="FFFFFF"/>
        </w:rPr>
        <w:t xml:space="preserve"> </w:t>
      </w:r>
      <w:r w:rsidR="00813B1E" w:rsidRPr="00E013AA">
        <w:rPr>
          <w:rFonts w:ascii="Arial" w:hAnsi="Arial" w:cs="Arial"/>
          <w:sz w:val="22"/>
          <w:shd w:val="clear" w:color="auto" w:fill="FFFFFF"/>
          <w:vertAlign w:val="superscript"/>
        </w:rPr>
        <w:t xml:space="preserve">- </w:t>
      </w:r>
      <w:r w:rsidR="00813B1E" w:rsidRPr="00E013AA">
        <w:rPr>
          <w:rStyle w:val="FootnoteReference"/>
          <w:rFonts w:ascii="Arial" w:hAnsi="Arial" w:cs="Arial"/>
          <w:sz w:val="22"/>
          <w:shd w:val="clear" w:color="auto" w:fill="FFFFFF"/>
        </w:rPr>
        <w:footnoteReference w:id="9"/>
      </w:r>
      <w:r w:rsidR="00213824" w:rsidRPr="00E013AA">
        <w:rPr>
          <w:rFonts w:ascii="Arial" w:hAnsi="Arial" w:cs="Arial"/>
          <w:sz w:val="22"/>
          <w:shd w:val="clear" w:color="auto" w:fill="FFFFFF"/>
        </w:rPr>
        <w:t xml:space="preserve">, ya que a pesar de </w:t>
      </w:r>
      <w:r w:rsidR="00247604" w:rsidRPr="00E013AA">
        <w:rPr>
          <w:rFonts w:ascii="Arial" w:hAnsi="Arial" w:cs="Arial"/>
          <w:sz w:val="22"/>
          <w:shd w:val="clear" w:color="auto" w:fill="FFFFFF"/>
        </w:rPr>
        <w:t xml:space="preserve">ser estos dispositivos bienes muebles, </w:t>
      </w:r>
      <w:r w:rsidR="0017154E" w:rsidRPr="00E013AA">
        <w:rPr>
          <w:rFonts w:ascii="Arial" w:hAnsi="Arial" w:cs="Arial"/>
          <w:sz w:val="22"/>
          <w:shd w:val="clear" w:color="auto" w:fill="FFFFFF"/>
        </w:rPr>
        <w:t>responden a los conceptos de inmuebles por adhesión</w:t>
      </w:r>
      <w:r w:rsidR="006F31DD" w:rsidRPr="00E013AA">
        <w:rPr>
          <w:rStyle w:val="FootnoteReference"/>
          <w:rFonts w:ascii="Arial" w:hAnsi="Arial" w:cs="Arial"/>
          <w:sz w:val="22"/>
          <w:shd w:val="clear" w:color="auto" w:fill="FFFFFF"/>
        </w:rPr>
        <w:footnoteReference w:id="10"/>
      </w:r>
      <w:r w:rsidR="0017154E" w:rsidRPr="00E013AA">
        <w:rPr>
          <w:rFonts w:ascii="Arial" w:hAnsi="Arial" w:cs="Arial"/>
          <w:sz w:val="22"/>
          <w:shd w:val="clear" w:color="auto" w:fill="FFFFFF"/>
        </w:rPr>
        <w:t xml:space="preserve"> o por destinación</w:t>
      </w:r>
      <w:r w:rsidR="00E8761C" w:rsidRPr="00E013AA">
        <w:rPr>
          <w:rStyle w:val="FootnoteReference"/>
          <w:rFonts w:ascii="Arial" w:hAnsi="Arial" w:cs="Arial"/>
          <w:sz w:val="22"/>
          <w:shd w:val="clear" w:color="auto" w:fill="FFFFFF"/>
        </w:rPr>
        <w:footnoteReference w:id="11"/>
      </w:r>
      <w:r w:rsidR="0017154E" w:rsidRPr="00E013AA">
        <w:rPr>
          <w:rFonts w:ascii="Arial" w:hAnsi="Arial" w:cs="Arial"/>
          <w:sz w:val="22"/>
          <w:shd w:val="clear" w:color="auto" w:fill="FFFFFF"/>
        </w:rPr>
        <w:t xml:space="preserve">, </w:t>
      </w:r>
      <w:r w:rsidR="00B4699B" w:rsidRPr="00E013AA">
        <w:rPr>
          <w:rFonts w:ascii="Arial" w:hAnsi="Arial" w:cs="Arial"/>
          <w:sz w:val="22"/>
          <w:shd w:val="clear" w:color="auto" w:fill="FFFFFF"/>
        </w:rPr>
        <w:t xml:space="preserve">lo que sitúa su mantenimiento dentro del ámbito del contrato de obra pública. </w:t>
      </w:r>
      <w:r w:rsidR="0000036F" w:rsidRPr="00E013AA">
        <w:rPr>
          <w:rFonts w:ascii="Arial" w:hAnsi="Arial" w:cs="Arial"/>
          <w:sz w:val="22"/>
          <w:shd w:val="clear" w:color="auto" w:fill="FFFFFF"/>
        </w:rPr>
        <w:t xml:space="preserve">A pesar de </w:t>
      </w:r>
      <w:r w:rsidR="00222827" w:rsidRPr="00E013AA">
        <w:rPr>
          <w:rFonts w:ascii="Arial" w:hAnsi="Arial" w:cs="Arial"/>
          <w:sz w:val="22"/>
          <w:shd w:val="clear" w:color="auto" w:fill="FFFFFF"/>
        </w:rPr>
        <w:t>lo anterior</w:t>
      </w:r>
      <w:r w:rsidR="0000036F" w:rsidRPr="00E013AA">
        <w:rPr>
          <w:rFonts w:ascii="Arial" w:hAnsi="Arial" w:cs="Arial"/>
          <w:sz w:val="22"/>
          <w:shd w:val="clear" w:color="auto" w:fill="FFFFFF"/>
        </w:rPr>
        <w:t xml:space="preserve">, de </w:t>
      </w:r>
      <w:r w:rsidR="00A76BFC" w:rsidRPr="00E013AA">
        <w:rPr>
          <w:rFonts w:ascii="Arial" w:hAnsi="Arial" w:cs="Arial"/>
          <w:sz w:val="22"/>
          <w:shd w:val="clear" w:color="auto" w:fill="FFFFFF"/>
        </w:rPr>
        <w:t>la</w:t>
      </w:r>
      <w:r w:rsidR="0000036F" w:rsidRPr="00E013AA">
        <w:rPr>
          <w:rFonts w:ascii="Arial" w:hAnsi="Arial" w:cs="Arial"/>
          <w:sz w:val="22"/>
          <w:shd w:val="clear" w:color="auto" w:fill="FFFFFF"/>
        </w:rPr>
        <w:t xml:space="preserve"> </w:t>
      </w:r>
      <w:r w:rsidR="000D7324" w:rsidRPr="00E013AA">
        <w:rPr>
          <w:rFonts w:ascii="Arial" w:hAnsi="Arial" w:cs="Arial"/>
          <w:sz w:val="22"/>
          <w:shd w:val="clear" w:color="auto" w:fill="FFFFFF"/>
        </w:rPr>
        <w:t>evidente</w:t>
      </w:r>
      <w:r w:rsidR="0000036F" w:rsidRPr="00E013AA">
        <w:rPr>
          <w:rFonts w:ascii="Arial" w:hAnsi="Arial" w:cs="Arial"/>
          <w:sz w:val="22"/>
          <w:shd w:val="clear" w:color="auto" w:fill="FFFFFF"/>
        </w:rPr>
        <w:t xml:space="preserve"> relación </w:t>
      </w:r>
      <w:r w:rsidR="00A76BFC" w:rsidRPr="00E013AA">
        <w:rPr>
          <w:rFonts w:ascii="Arial" w:hAnsi="Arial" w:cs="Arial"/>
          <w:sz w:val="22"/>
          <w:shd w:val="clear" w:color="auto" w:fill="FFFFFF"/>
        </w:rPr>
        <w:t>de los semáforos con</w:t>
      </w:r>
      <w:r w:rsidR="0000036F" w:rsidRPr="00E013AA">
        <w:rPr>
          <w:rFonts w:ascii="Arial" w:hAnsi="Arial" w:cs="Arial"/>
          <w:sz w:val="22"/>
          <w:shd w:val="clear" w:color="auto" w:fill="FFFFFF"/>
        </w:rPr>
        <w:t xml:space="preserve"> </w:t>
      </w:r>
      <w:r w:rsidR="000D7324" w:rsidRPr="00E013AA">
        <w:rPr>
          <w:rFonts w:ascii="Arial" w:hAnsi="Arial" w:cs="Arial"/>
          <w:sz w:val="22"/>
          <w:shd w:val="clear" w:color="auto" w:fill="FFFFFF"/>
        </w:rPr>
        <w:t xml:space="preserve">la infraestructura de transporte y de ser </w:t>
      </w:r>
      <w:r w:rsidR="00A76BFC" w:rsidRPr="00E013AA">
        <w:rPr>
          <w:rFonts w:ascii="Arial" w:hAnsi="Arial" w:cs="Arial"/>
          <w:sz w:val="22"/>
          <w:shd w:val="clear" w:color="auto" w:fill="FFFFFF"/>
        </w:rPr>
        <w:t xml:space="preserve">estos </w:t>
      </w:r>
      <w:r w:rsidR="000D7324" w:rsidRPr="00E013AA">
        <w:rPr>
          <w:rFonts w:ascii="Arial" w:hAnsi="Arial" w:cs="Arial"/>
          <w:sz w:val="22"/>
          <w:shd w:val="clear" w:color="auto" w:fill="FFFFFF"/>
        </w:rPr>
        <w:t>considerados como elementos del espacio público</w:t>
      </w:r>
      <w:r w:rsidR="000D7324" w:rsidRPr="00E013AA">
        <w:rPr>
          <w:rStyle w:val="FootnoteReference"/>
          <w:rFonts w:ascii="Arial" w:hAnsi="Arial" w:cs="Arial"/>
          <w:sz w:val="22"/>
          <w:shd w:val="clear" w:color="auto" w:fill="FFFFFF"/>
        </w:rPr>
        <w:footnoteReference w:id="12"/>
      </w:r>
      <w:r w:rsidR="00A76BFC" w:rsidRPr="00E013AA">
        <w:rPr>
          <w:rFonts w:ascii="Arial" w:hAnsi="Arial" w:cs="Arial"/>
          <w:sz w:val="22"/>
          <w:shd w:val="clear" w:color="auto" w:fill="FFFFFF"/>
        </w:rPr>
        <w:t xml:space="preserve">, </w:t>
      </w:r>
      <w:r w:rsidR="005F341B" w:rsidRPr="00E013AA">
        <w:rPr>
          <w:rFonts w:ascii="Arial" w:hAnsi="Arial" w:cs="Arial"/>
          <w:sz w:val="22"/>
          <w:shd w:val="clear" w:color="auto" w:fill="FFFFFF"/>
        </w:rPr>
        <w:t>su mantenimiento no fue inc</w:t>
      </w:r>
      <w:r w:rsidR="00117E9B" w:rsidRPr="00E013AA">
        <w:rPr>
          <w:rFonts w:ascii="Arial" w:hAnsi="Arial" w:cs="Arial"/>
          <w:sz w:val="22"/>
          <w:shd w:val="clear" w:color="auto" w:fill="FFFFFF"/>
        </w:rPr>
        <w:t>luid</w:t>
      </w:r>
      <w:r w:rsidR="00A47616" w:rsidRPr="00E013AA">
        <w:rPr>
          <w:rFonts w:ascii="Arial" w:hAnsi="Arial" w:cs="Arial"/>
          <w:sz w:val="22"/>
          <w:shd w:val="clear" w:color="auto" w:fill="FFFFFF"/>
        </w:rPr>
        <w:t>o</w:t>
      </w:r>
      <w:r w:rsidR="00117E9B" w:rsidRPr="00E013AA">
        <w:rPr>
          <w:rFonts w:ascii="Arial" w:hAnsi="Arial" w:cs="Arial"/>
          <w:sz w:val="22"/>
          <w:shd w:val="clear" w:color="auto" w:fill="FFFFFF"/>
        </w:rPr>
        <w:t xml:space="preserve"> como una de las actividades que las entidades regidas por el </w:t>
      </w:r>
      <w:r w:rsidR="001E517A" w:rsidRPr="00E013AA">
        <w:rPr>
          <w:rFonts w:ascii="Arial" w:hAnsi="Arial" w:cs="Arial"/>
          <w:sz w:val="22"/>
          <w:shd w:val="clear" w:color="auto" w:fill="FFFFFF"/>
        </w:rPr>
        <w:t>EGCAP</w:t>
      </w:r>
      <w:r w:rsidR="00117E9B" w:rsidRPr="00E013AA">
        <w:rPr>
          <w:rFonts w:ascii="Arial" w:hAnsi="Arial" w:cs="Arial"/>
          <w:sz w:val="22"/>
          <w:shd w:val="clear" w:color="auto" w:fill="FFFFFF"/>
        </w:rPr>
        <w:t xml:space="preserve"> deban, obligatoriamente, contratar aplicando documentos tipo. </w:t>
      </w:r>
    </w:p>
    <w:p w14:paraId="51984BE3" w14:textId="65F6824D" w:rsidR="003701D9" w:rsidRPr="00E013AA" w:rsidRDefault="001E517A"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F01D0A" w:rsidRPr="00E013AA">
        <w:rPr>
          <w:rFonts w:ascii="Arial" w:hAnsi="Arial" w:cs="Arial"/>
          <w:sz w:val="22"/>
          <w:shd w:val="clear" w:color="auto" w:fill="FFFFFF"/>
        </w:rPr>
        <w:tab/>
      </w:r>
      <w:r w:rsidR="00472223">
        <w:rPr>
          <w:rFonts w:ascii="Arial" w:hAnsi="Arial" w:cs="Arial"/>
          <w:sz w:val="22"/>
          <w:shd w:val="clear" w:color="auto" w:fill="FFFFFF"/>
        </w:rPr>
        <w:t>S</w:t>
      </w:r>
      <w:r w:rsidR="00B67CA4" w:rsidRPr="00E013AA">
        <w:rPr>
          <w:rFonts w:ascii="Arial" w:hAnsi="Arial" w:cs="Arial"/>
          <w:sz w:val="22"/>
          <w:shd w:val="clear" w:color="auto" w:fill="FFFFFF"/>
        </w:rPr>
        <w:t xml:space="preserve">i bien las actividades 1.4, 1.5, 6.13 y 6.14 de la </w:t>
      </w:r>
      <w:r w:rsidR="00C2523D">
        <w:rPr>
          <w:rFonts w:ascii="Arial" w:hAnsi="Arial" w:cs="Arial"/>
          <w:sz w:val="22"/>
          <w:shd w:val="clear" w:color="auto" w:fill="FFFFFF"/>
        </w:rPr>
        <w:t>M</w:t>
      </w:r>
      <w:r w:rsidR="00B67CA4" w:rsidRPr="00E013AA">
        <w:rPr>
          <w:rFonts w:ascii="Arial" w:hAnsi="Arial" w:cs="Arial"/>
          <w:sz w:val="22"/>
          <w:shd w:val="clear" w:color="auto" w:fill="FFFFFF"/>
        </w:rPr>
        <w:t>atri</w:t>
      </w:r>
      <w:r w:rsidR="00C2523D">
        <w:rPr>
          <w:rFonts w:ascii="Arial" w:hAnsi="Arial" w:cs="Arial"/>
          <w:sz w:val="22"/>
          <w:shd w:val="clear" w:color="auto" w:fill="FFFFFF"/>
        </w:rPr>
        <w:t>z</w:t>
      </w:r>
      <w:r w:rsidR="00B67CA4" w:rsidRPr="00E013AA">
        <w:rPr>
          <w:rFonts w:ascii="Arial" w:hAnsi="Arial" w:cs="Arial"/>
          <w:sz w:val="22"/>
          <w:shd w:val="clear" w:color="auto" w:fill="FFFFFF"/>
        </w:rPr>
        <w:t xml:space="preserve"> 1</w:t>
      </w:r>
      <w:r w:rsidR="00E22B43" w:rsidRPr="00E013AA">
        <w:rPr>
          <w:rFonts w:ascii="Arial" w:hAnsi="Arial" w:cs="Arial"/>
          <w:sz w:val="22"/>
          <w:shd w:val="clear" w:color="auto" w:fill="FFFFFF"/>
        </w:rPr>
        <w:t xml:space="preserve"> está</w:t>
      </w:r>
      <w:r w:rsidR="00472223">
        <w:rPr>
          <w:rFonts w:ascii="Arial" w:hAnsi="Arial" w:cs="Arial"/>
          <w:sz w:val="22"/>
          <w:shd w:val="clear" w:color="auto" w:fill="FFFFFF"/>
        </w:rPr>
        <w:t>n</w:t>
      </w:r>
      <w:r w:rsidR="00E22B43" w:rsidRPr="00E013AA">
        <w:rPr>
          <w:rFonts w:ascii="Arial" w:hAnsi="Arial" w:cs="Arial"/>
          <w:sz w:val="22"/>
          <w:shd w:val="clear" w:color="auto" w:fill="FFFFFF"/>
        </w:rPr>
        <w:t xml:space="preserve"> relacionadas con la </w:t>
      </w:r>
      <w:r w:rsidR="00E22B43" w:rsidRPr="00E013AA">
        <w:rPr>
          <w:rFonts w:ascii="Arial" w:hAnsi="Arial" w:cs="Arial"/>
          <w:i/>
          <w:iCs/>
          <w:sz w:val="22"/>
          <w:shd w:val="clear" w:color="auto" w:fill="FFFFFF"/>
        </w:rPr>
        <w:t>señalización</w:t>
      </w:r>
      <w:r w:rsidR="00E22B43" w:rsidRPr="00E013AA">
        <w:rPr>
          <w:rFonts w:ascii="Arial" w:hAnsi="Arial" w:cs="Arial"/>
          <w:sz w:val="22"/>
          <w:shd w:val="clear" w:color="auto" w:fill="FFFFFF"/>
        </w:rPr>
        <w:t xml:space="preserve"> y que de acuerdo con </w:t>
      </w:r>
      <w:r w:rsidR="00224158" w:rsidRPr="00E013AA">
        <w:rPr>
          <w:rFonts w:ascii="Arial" w:hAnsi="Arial" w:cs="Arial"/>
          <w:sz w:val="22"/>
          <w:shd w:val="clear" w:color="auto" w:fill="FFFFFF"/>
        </w:rPr>
        <w:t xml:space="preserve">el </w:t>
      </w:r>
      <w:r w:rsidR="00C2523D">
        <w:rPr>
          <w:rFonts w:ascii="Arial" w:hAnsi="Arial" w:cs="Arial"/>
          <w:sz w:val="22"/>
          <w:shd w:val="clear" w:color="auto" w:fill="FFFFFF"/>
        </w:rPr>
        <w:t>C</w:t>
      </w:r>
      <w:r w:rsidR="00224158" w:rsidRPr="00E013AA">
        <w:rPr>
          <w:rFonts w:ascii="Arial" w:hAnsi="Arial" w:cs="Arial"/>
          <w:sz w:val="22"/>
          <w:shd w:val="clear" w:color="auto" w:fill="FFFFFF"/>
        </w:rPr>
        <w:t xml:space="preserve">oncepto C-597 del 14 de septiembre de 2020 </w:t>
      </w:r>
      <w:r w:rsidR="007A191D" w:rsidRPr="00E013AA">
        <w:rPr>
          <w:rFonts w:ascii="Arial" w:hAnsi="Arial" w:cs="Arial"/>
          <w:sz w:val="22"/>
          <w:shd w:val="clear" w:color="auto" w:fill="FFFFFF"/>
        </w:rPr>
        <w:t>ellas comprend</w:t>
      </w:r>
      <w:r w:rsidR="007A191D">
        <w:rPr>
          <w:rFonts w:ascii="Arial" w:hAnsi="Arial" w:cs="Arial"/>
          <w:sz w:val="22"/>
          <w:shd w:val="clear" w:color="auto" w:fill="FFFFFF"/>
        </w:rPr>
        <w:t>en</w:t>
      </w:r>
      <w:r w:rsidR="00224158" w:rsidRPr="00E013AA">
        <w:rPr>
          <w:rFonts w:ascii="Arial" w:hAnsi="Arial" w:cs="Arial"/>
          <w:sz w:val="22"/>
          <w:shd w:val="clear" w:color="auto" w:fill="FFFFFF"/>
        </w:rPr>
        <w:t xml:space="preserve"> la </w:t>
      </w:r>
      <w:r w:rsidR="00224158" w:rsidRPr="00E013AA">
        <w:rPr>
          <w:rFonts w:ascii="Arial" w:hAnsi="Arial" w:cs="Arial"/>
          <w:i/>
          <w:iCs/>
          <w:sz w:val="22"/>
          <w:shd w:val="clear" w:color="auto" w:fill="FFFFFF"/>
        </w:rPr>
        <w:t>semaforización</w:t>
      </w:r>
      <w:r w:rsidR="00740B9B" w:rsidRPr="00E013AA">
        <w:rPr>
          <w:rFonts w:ascii="Arial" w:hAnsi="Arial" w:cs="Arial"/>
          <w:sz w:val="22"/>
          <w:shd w:val="clear" w:color="auto" w:fill="FFFFFF"/>
        </w:rPr>
        <w:t>, e</w:t>
      </w:r>
      <w:r w:rsidR="00D510E4" w:rsidRPr="00E013AA">
        <w:rPr>
          <w:rFonts w:ascii="Arial" w:hAnsi="Arial" w:cs="Arial"/>
          <w:sz w:val="22"/>
          <w:shd w:val="clear" w:color="auto" w:fill="FFFFFF"/>
        </w:rPr>
        <w:t>st</w:t>
      </w:r>
      <w:r w:rsidR="00740B9B" w:rsidRPr="00E013AA">
        <w:rPr>
          <w:rFonts w:ascii="Arial" w:hAnsi="Arial" w:cs="Arial"/>
          <w:sz w:val="22"/>
          <w:shd w:val="clear" w:color="auto" w:fill="FFFFFF"/>
        </w:rPr>
        <w:t xml:space="preserve">o no implica que </w:t>
      </w:r>
      <w:r w:rsidR="00472223">
        <w:rPr>
          <w:rFonts w:ascii="Arial" w:hAnsi="Arial" w:cs="Arial"/>
          <w:sz w:val="22"/>
          <w:shd w:val="clear" w:color="auto" w:fill="FFFFFF"/>
        </w:rPr>
        <w:t xml:space="preserve">los documentos tipo </w:t>
      </w:r>
      <w:r w:rsidR="00680FC7" w:rsidRPr="00E013AA">
        <w:rPr>
          <w:rFonts w:ascii="Arial" w:hAnsi="Arial" w:cs="Arial"/>
          <w:sz w:val="22"/>
          <w:shd w:val="clear" w:color="auto" w:fill="FFFFFF"/>
        </w:rPr>
        <w:t xml:space="preserve">sean aplicables al mantenimiento </w:t>
      </w:r>
      <w:r w:rsidR="00B75D34">
        <w:rPr>
          <w:rFonts w:ascii="Arial" w:hAnsi="Arial" w:cs="Arial"/>
          <w:sz w:val="22"/>
          <w:shd w:val="clear" w:color="auto" w:fill="FFFFFF"/>
        </w:rPr>
        <w:t xml:space="preserve">del sistema eléctrico </w:t>
      </w:r>
      <w:r w:rsidR="00680FC7" w:rsidRPr="00E013AA">
        <w:rPr>
          <w:rFonts w:ascii="Arial" w:hAnsi="Arial" w:cs="Arial"/>
          <w:sz w:val="22"/>
          <w:shd w:val="clear" w:color="auto" w:fill="FFFFFF"/>
        </w:rPr>
        <w:t>de</w:t>
      </w:r>
      <w:r w:rsidR="00B75D34">
        <w:rPr>
          <w:rFonts w:ascii="Arial" w:hAnsi="Arial" w:cs="Arial"/>
          <w:sz w:val="22"/>
          <w:shd w:val="clear" w:color="auto" w:fill="FFFFFF"/>
        </w:rPr>
        <w:t xml:space="preserve"> los</w:t>
      </w:r>
      <w:r w:rsidR="00680FC7" w:rsidRPr="00E013AA">
        <w:rPr>
          <w:rFonts w:ascii="Arial" w:hAnsi="Arial" w:cs="Arial"/>
          <w:sz w:val="22"/>
          <w:shd w:val="clear" w:color="auto" w:fill="FFFFFF"/>
        </w:rPr>
        <w:t xml:space="preserve"> semáforos</w:t>
      </w:r>
      <w:r w:rsidR="00472223">
        <w:rPr>
          <w:rFonts w:ascii="Arial" w:hAnsi="Arial" w:cs="Arial"/>
          <w:sz w:val="22"/>
          <w:shd w:val="clear" w:color="auto" w:fill="FFFFFF"/>
        </w:rPr>
        <w:t>, pues se trata de actividades diferentes</w:t>
      </w:r>
      <w:r w:rsidR="00680FC7" w:rsidRPr="00E013AA">
        <w:rPr>
          <w:rFonts w:ascii="Arial" w:hAnsi="Arial" w:cs="Arial"/>
          <w:sz w:val="22"/>
          <w:shd w:val="clear" w:color="auto" w:fill="FFFFFF"/>
        </w:rPr>
        <w:t xml:space="preserve">. </w:t>
      </w:r>
      <w:r w:rsidR="009609CB" w:rsidRPr="00E013AA">
        <w:rPr>
          <w:rFonts w:ascii="Arial" w:hAnsi="Arial" w:cs="Arial"/>
          <w:sz w:val="22"/>
          <w:shd w:val="clear" w:color="auto" w:fill="FFFFFF"/>
        </w:rPr>
        <w:t>Lo anterior</w:t>
      </w:r>
      <w:r w:rsidR="00680FC7" w:rsidRPr="00E013AA">
        <w:rPr>
          <w:rFonts w:ascii="Arial" w:hAnsi="Arial" w:cs="Arial"/>
          <w:sz w:val="22"/>
          <w:shd w:val="clear" w:color="auto" w:fill="FFFFFF"/>
        </w:rPr>
        <w:t xml:space="preserve"> </w:t>
      </w:r>
      <w:r w:rsidR="009609CB" w:rsidRPr="00E013AA">
        <w:rPr>
          <w:rFonts w:ascii="Arial" w:hAnsi="Arial" w:cs="Arial"/>
          <w:sz w:val="22"/>
          <w:shd w:val="clear" w:color="auto" w:fill="FFFFFF"/>
        </w:rPr>
        <w:t>debido a</w:t>
      </w:r>
      <w:r w:rsidR="00680FC7" w:rsidRPr="00E013AA">
        <w:rPr>
          <w:rFonts w:ascii="Arial" w:hAnsi="Arial" w:cs="Arial"/>
          <w:sz w:val="22"/>
          <w:shd w:val="clear" w:color="auto" w:fill="FFFFFF"/>
        </w:rPr>
        <w:t xml:space="preserve"> que las actividades asociadas a los mencionados numerales de la </w:t>
      </w:r>
      <w:r w:rsidR="00C2523D">
        <w:rPr>
          <w:rFonts w:ascii="Arial" w:hAnsi="Arial" w:cs="Arial"/>
          <w:sz w:val="22"/>
          <w:shd w:val="clear" w:color="auto" w:fill="FFFFFF"/>
        </w:rPr>
        <w:t>M</w:t>
      </w:r>
      <w:r w:rsidR="00680FC7" w:rsidRPr="00E013AA">
        <w:rPr>
          <w:rFonts w:ascii="Arial" w:hAnsi="Arial" w:cs="Arial"/>
          <w:sz w:val="22"/>
          <w:shd w:val="clear" w:color="auto" w:fill="FFFFFF"/>
        </w:rPr>
        <w:t>atri</w:t>
      </w:r>
      <w:r w:rsidR="00C2523D">
        <w:rPr>
          <w:rFonts w:ascii="Arial" w:hAnsi="Arial" w:cs="Arial"/>
          <w:sz w:val="22"/>
          <w:shd w:val="clear" w:color="auto" w:fill="FFFFFF"/>
        </w:rPr>
        <w:t>z</w:t>
      </w:r>
      <w:r w:rsidR="00680FC7" w:rsidRPr="00E013AA">
        <w:rPr>
          <w:rFonts w:ascii="Arial" w:hAnsi="Arial" w:cs="Arial"/>
          <w:sz w:val="22"/>
          <w:shd w:val="clear" w:color="auto" w:fill="FFFFFF"/>
        </w:rPr>
        <w:t xml:space="preserve"> 1</w:t>
      </w:r>
      <w:r w:rsidR="00C2523D">
        <w:rPr>
          <w:rFonts w:ascii="Arial" w:hAnsi="Arial" w:cs="Arial"/>
          <w:sz w:val="22"/>
          <w:shd w:val="clear" w:color="auto" w:fill="FFFFFF"/>
        </w:rPr>
        <w:t xml:space="preserve"> de los Documentos Tipo</w:t>
      </w:r>
      <w:r w:rsidR="003B7AF7" w:rsidRPr="00E013AA">
        <w:rPr>
          <w:rFonts w:ascii="Arial" w:hAnsi="Arial" w:cs="Arial"/>
          <w:sz w:val="22"/>
          <w:shd w:val="clear" w:color="auto" w:fill="FFFFFF"/>
        </w:rPr>
        <w:t xml:space="preserve"> se refieren a la</w:t>
      </w:r>
      <w:r w:rsidR="00691E0D" w:rsidRPr="00E013AA">
        <w:rPr>
          <w:rFonts w:ascii="Arial" w:hAnsi="Arial" w:cs="Arial"/>
          <w:sz w:val="22"/>
          <w:shd w:val="clear" w:color="auto" w:fill="FFFFFF"/>
        </w:rPr>
        <w:t xml:space="preserve"> realización de la demarcación o la instalación de la señalización</w:t>
      </w:r>
      <w:r w:rsidR="005C1188" w:rsidRPr="00E013AA">
        <w:rPr>
          <w:rFonts w:ascii="Arial" w:hAnsi="Arial" w:cs="Arial"/>
          <w:sz w:val="22"/>
          <w:shd w:val="clear" w:color="auto" w:fill="FFFFFF"/>
        </w:rPr>
        <w:t xml:space="preserve">, </w:t>
      </w:r>
      <w:r w:rsidR="00B47DE2" w:rsidRPr="00E013AA">
        <w:rPr>
          <w:rFonts w:ascii="Arial" w:hAnsi="Arial" w:cs="Arial"/>
          <w:sz w:val="22"/>
          <w:shd w:val="clear" w:color="auto" w:fill="FFFFFF"/>
        </w:rPr>
        <w:t>excluyendo el mantenimiento</w:t>
      </w:r>
      <w:r w:rsidR="00615C00" w:rsidRPr="00E013AA">
        <w:rPr>
          <w:rFonts w:ascii="Arial" w:hAnsi="Arial" w:cs="Arial"/>
          <w:sz w:val="22"/>
          <w:shd w:val="clear" w:color="auto" w:fill="FFFFFF"/>
        </w:rPr>
        <w:t xml:space="preserve">. </w:t>
      </w:r>
      <w:r w:rsidR="009609CB" w:rsidRPr="00E013AA">
        <w:rPr>
          <w:rFonts w:ascii="Arial" w:hAnsi="Arial" w:cs="Arial"/>
          <w:sz w:val="22"/>
          <w:shd w:val="clear" w:color="auto" w:fill="FFFFFF"/>
        </w:rPr>
        <w:t>Esto quiere</w:t>
      </w:r>
      <w:r w:rsidR="00B82E87" w:rsidRPr="00E013AA">
        <w:rPr>
          <w:rFonts w:ascii="Arial" w:hAnsi="Arial" w:cs="Arial"/>
          <w:sz w:val="22"/>
          <w:shd w:val="clear" w:color="auto" w:fill="FFFFFF"/>
        </w:rPr>
        <w:t xml:space="preserve"> decir que una actividad como el mantenimiento eléctrico de semáforos se encuentra</w:t>
      </w:r>
      <w:r w:rsidR="00E616AD" w:rsidRPr="00E013AA">
        <w:rPr>
          <w:rFonts w:ascii="Arial" w:hAnsi="Arial" w:cs="Arial"/>
          <w:sz w:val="22"/>
          <w:shd w:val="clear" w:color="auto" w:fill="FFFFFF"/>
        </w:rPr>
        <w:t>, en principio</w:t>
      </w:r>
      <w:r w:rsidR="00F01D0A" w:rsidRPr="00E013AA">
        <w:rPr>
          <w:rFonts w:ascii="Arial" w:hAnsi="Arial" w:cs="Arial"/>
          <w:sz w:val="22"/>
          <w:shd w:val="clear" w:color="auto" w:fill="FFFFFF"/>
        </w:rPr>
        <w:t>,</w:t>
      </w:r>
      <w:r w:rsidR="00E616AD" w:rsidRPr="00E013AA">
        <w:rPr>
          <w:rFonts w:ascii="Arial" w:hAnsi="Arial" w:cs="Arial"/>
          <w:sz w:val="22"/>
          <w:shd w:val="clear" w:color="auto" w:fill="FFFFFF"/>
        </w:rPr>
        <w:t xml:space="preserve"> fuera del ámbito de aplicación obligatoria de los documentos tipo de infraestructura de transporte. </w:t>
      </w:r>
    </w:p>
    <w:p w14:paraId="3DE4DD96" w14:textId="715C859C" w:rsidR="00D77606" w:rsidRPr="00E013AA" w:rsidRDefault="007E20E5"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0C0B40" w:rsidRPr="00E013AA">
        <w:rPr>
          <w:rFonts w:ascii="Arial" w:hAnsi="Arial" w:cs="Arial"/>
          <w:sz w:val="22"/>
          <w:shd w:val="clear" w:color="auto" w:fill="FFFFFF"/>
        </w:rPr>
        <w:tab/>
      </w:r>
      <w:r w:rsidR="00575853" w:rsidRPr="00E013AA">
        <w:rPr>
          <w:rFonts w:ascii="Arial" w:hAnsi="Arial" w:cs="Arial"/>
          <w:sz w:val="22"/>
          <w:shd w:val="clear" w:color="auto" w:fill="FFFFFF"/>
        </w:rPr>
        <w:t>De otra parte</w:t>
      </w:r>
      <w:r w:rsidR="00EE5567" w:rsidRPr="00E013AA">
        <w:rPr>
          <w:rFonts w:ascii="Arial" w:hAnsi="Arial" w:cs="Arial"/>
          <w:sz w:val="22"/>
          <w:shd w:val="clear" w:color="auto" w:fill="FFFFFF"/>
        </w:rPr>
        <w:t xml:space="preserve">, </w:t>
      </w:r>
      <w:r w:rsidR="009B3FF2">
        <w:rPr>
          <w:rFonts w:ascii="Arial" w:hAnsi="Arial" w:cs="Arial"/>
          <w:sz w:val="22"/>
          <w:shd w:val="clear" w:color="auto" w:fill="FFFFFF"/>
        </w:rPr>
        <w:t xml:space="preserve">es necesario precisar que </w:t>
      </w:r>
      <w:r w:rsidR="00552BF5" w:rsidRPr="00E013AA">
        <w:rPr>
          <w:rFonts w:ascii="Arial" w:hAnsi="Arial" w:cs="Arial"/>
          <w:sz w:val="22"/>
          <w:shd w:val="clear" w:color="auto" w:fill="FFFFFF"/>
        </w:rPr>
        <w:t>la instalación de postes</w:t>
      </w:r>
      <w:r w:rsidR="00BA3363" w:rsidRPr="00E013AA">
        <w:rPr>
          <w:rFonts w:ascii="Arial" w:hAnsi="Arial" w:cs="Arial"/>
          <w:sz w:val="22"/>
          <w:shd w:val="clear" w:color="auto" w:fill="FFFFFF"/>
        </w:rPr>
        <w:t xml:space="preserve"> encaja dentro del contrato de obra pública</w:t>
      </w:r>
      <w:r w:rsidR="00C2523D">
        <w:rPr>
          <w:rFonts w:ascii="Arial" w:hAnsi="Arial" w:cs="Arial"/>
          <w:sz w:val="22"/>
          <w:shd w:val="clear" w:color="auto" w:fill="FFFFFF"/>
        </w:rPr>
        <w:t>.</w:t>
      </w:r>
      <w:r w:rsidR="009D4B60" w:rsidRPr="00E013AA">
        <w:rPr>
          <w:rFonts w:ascii="Arial" w:hAnsi="Arial" w:cs="Arial"/>
          <w:sz w:val="22"/>
          <w:shd w:val="clear" w:color="auto" w:fill="FFFFFF"/>
        </w:rPr>
        <w:t xml:space="preserve"> </w:t>
      </w:r>
      <w:r w:rsidR="00C2523D">
        <w:rPr>
          <w:rFonts w:ascii="Arial" w:hAnsi="Arial" w:cs="Arial"/>
          <w:sz w:val="22"/>
          <w:shd w:val="clear" w:color="auto" w:fill="FFFFFF"/>
        </w:rPr>
        <w:t>S</w:t>
      </w:r>
      <w:r w:rsidR="009D4B60" w:rsidRPr="00E013AA">
        <w:rPr>
          <w:rFonts w:ascii="Arial" w:hAnsi="Arial" w:cs="Arial"/>
          <w:sz w:val="22"/>
          <w:shd w:val="clear" w:color="auto" w:fill="FFFFFF"/>
        </w:rPr>
        <w:t>in embargo, esta</w:t>
      </w:r>
      <w:r w:rsidR="00575853" w:rsidRPr="00E013AA">
        <w:rPr>
          <w:rFonts w:ascii="Arial" w:hAnsi="Arial" w:cs="Arial"/>
          <w:sz w:val="22"/>
          <w:shd w:val="clear" w:color="auto" w:fill="FFFFFF"/>
        </w:rPr>
        <w:t xml:space="preserve"> </w:t>
      </w:r>
      <w:r w:rsidR="009B3FF2">
        <w:rPr>
          <w:rFonts w:ascii="Arial" w:hAnsi="Arial" w:cs="Arial"/>
          <w:sz w:val="22"/>
          <w:shd w:val="clear" w:color="auto" w:fill="FFFFFF"/>
        </w:rPr>
        <w:t>actividad</w:t>
      </w:r>
      <w:r w:rsidR="00F87775" w:rsidRPr="00E013AA">
        <w:rPr>
          <w:rFonts w:ascii="Arial" w:hAnsi="Arial" w:cs="Arial"/>
          <w:sz w:val="22"/>
          <w:shd w:val="clear" w:color="auto" w:fill="FFFFFF"/>
        </w:rPr>
        <w:t xml:space="preserve"> no se encuentra incluida dentro de </w:t>
      </w:r>
      <w:r w:rsidR="0095379C" w:rsidRPr="00E013AA">
        <w:rPr>
          <w:rFonts w:ascii="Arial" w:hAnsi="Arial" w:cs="Arial"/>
          <w:sz w:val="22"/>
          <w:shd w:val="clear" w:color="auto" w:fill="FFFFFF"/>
        </w:rPr>
        <w:t xml:space="preserve">la </w:t>
      </w:r>
      <w:r w:rsidR="009B3FF2">
        <w:rPr>
          <w:rFonts w:ascii="Arial" w:hAnsi="Arial" w:cs="Arial"/>
          <w:sz w:val="22"/>
          <w:shd w:val="clear" w:color="auto" w:fill="FFFFFF"/>
        </w:rPr>
        <w:t>M</w:t>
      </w:r>
      <w:r w:rsidR="0095379C" w:rsidRPr="00E013AA">
        <w:rPr>
          <w:rFonts w:ascii="Arial" w:hAnsi="Arial" w:cs="Arial"/>
          <w:sz w:val="22"/>
          <w:shd w:val="clear" w:color="auto" w:fill="FFFFFF"/>
        </w:rPr>
        <w:t>atri</w:t>
      </w:r>
      <w:r w:rsidR="009B3FF2">
        <w:rPr>
          <w:rFonts w:ascii="Arial" w:hAnsi="Arial" w:cs="Arial"/>
          <w:sz w:val="22"/>
          <w:shd w:val="clear" w:color="auto" w:fill="FFFFFF"/>
        </w:rPr>
        <w:t>z</w:t>
      </w:r>
      <w:r w:rsidR="003A3495" w:rsidRPr="00E013AA">
        <w:rPr>
          <w:rFonts w:ascii="Arial" w:hAnsi="Arial" w:cs="Arial"/>
          <w:sz w:val="22"/>
          <w:shd w:val="clear" w:color="auto" w:fill="FFFFFF"/>
        </w:rPr>
        <w:t xml:space="preserve"> 1 de los documentos tipo de infraestructura de transporte</w:t>
      </w:r>
      <w:r w:rsidR="009D4B60" w:rsidRPr="00E013AA">
        <w:rPr>
          <w:rFonts w:ascii="Arial" w:hAnsi="Arial" w:cs="Arial"/>
          <w:sz w:val="22"/>
          <w:shd w:val="clear" w:color="auto" w:fill="FFFFFF"/>
        </w:rPr>
        <w:t>, de lo que se colige que para su contratación no es obligatori</w:t>
      </w:r>
      <w:r w:rsidR="00D77606" w:rsidRPr="00E013AA">
        <w:rPr>
          <w:rFonts w:ascii="Arial" w:hAnsi="Arial" w:cs="Arial"/>
          <w:sz w:val="22"/>
          <w:shd w:val="clear" w:color="auto" w:fill="FFFFFF"/>
        </w:rPr>
        <w:t xml:space="preserve">a la aplicación de estos. </w:t>
      </w:r>
    </w:p>
    <w:p w14:paraId="347A6F45" w14:textId="409F57FF" w:rsidR="00A47FE2" w:rsidRPr="00E013AA" w:rsidRDefault="00D77606"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B82153" w:rsidRPr="00E013AA">
        <w:rPr>
          <w:rFonts w:ascii="Arial" w:hAnsi="Arial" w:cs="Arial"/>
          <w:sz w:val="22"/>
          <w:shd w:val="clear" w:color="auto" w:fill="FFFFFF"/>
        </w:rPr>
        <w:tab/>
      </w:r>
      <w:r w:rsidR="003A3495" w:rsidRPr="00E013AA">
        <w:rPr>
          <w:rFonts w:ascii="Arial" w:hAnsi="Arial" w:cs="Arial"/>
          <w:sz w:val="22"/>
          <w:shd w:val="clear" w:color="auto" w:fill="FFFFFF"/>
        </w:rPr>
        <w:t xml:space="preserve"> </w:t>
      </w:r>
      <w:r w:rsidR="000C0B40" w:rsidRPr="00E013AA">
        <w:rPr>
          <w:rFonts w:ascii="Arial" w:hAnsi="Arial" w:cs="Arial"/>
          <w:sz w:val="22"/>
          <w:shd w:val="clear" w:color="auto" w:fill="FFFFFF"/>
        </w:rPr>
        <w:t xml:space="preserve">Ahora bien, </w:t>
      </w:r>
      <w:r w:rsidR="007369A8" w:rsidRPr="00E013AA">
        <w:rPr>
          <w:rFonts w:ascii="Arial" w:hAnsi="Arial" w:cs="Arial"/>
          <w:sz w:val="22"/>
          <w:shd w:val="clear" w:color="auto" w:fill="FFFFFF"/>
        </w:rPr>
        <w:t xml:space="preserve">a pesar de que </w:t>
      </w:r>
      <w:r w:rsidR="00A8774A" w:rsidRPr="00E013AA">
        <w:rPr>
          <w:rFonts w:ascii="Arial" w:hAnsi="Arial" w:cs="Arial"/>
          <w:sz w:val="22"/>
          <w:shd w:val="clear" w:color="auto" w:fill="FFFFFF"/>
        </w:rPr>
        <w:t xml:space="preserve">la contratación de las referidas actividades, </w:t>
      </w:r>
      <w:r w:rsidR="00081829" w:rsidRPr="00E013AA">
        <w:rPr>
          <w:rFonts w:ascii="Arial" w:hAnsi="Arial" w:cs="Arial"/>
          <w:sz w:val="22"/>
          <w:shd w:val="clear" w:color="auto" w:fill="FFFFFF"/>
        </w:rPr>
        <w:t>en principio se encuentra excluida de la aplicación forzosa de los documentos tipo</w:t>
      </w:r>
      <w:r w:rsidR="00D84B66" w:rsidRPr="00E013AA">
        <w:rPr>
          <w:rFonts w:ascii="Arial" w:hAnsi="Arial" w:cs="Arial"/>
          <w:sz w:val="22"/>
          <w:shd w:val="clear" w:color="auto" w:fill="FFFFFF"/>
        </w:rPr>
        <w:t>, estas eventualmente pueden contrata</w:t>
      </w:r>
      <w:r w:rsidR="00B80915">
        <w:rPr>
          <w:rFonts w:ascii="Arial" w:hAnsi="Arial" w:cs="Arial"/>
          <w:sz w:val="22"/>
          <w:shd w:val="clear" w:color="auto" w:fill="FFFFFF"/>
        </w:rPr>
        <w:t>rse</w:t>
      </w:r>
      <w:r w:rsidR="009F14A4" w:rsidRPr="00E013AA">
        <w:rPr>
          <w:rFonts w:ascii="Arial" w:hAnsi="Arial" w:cs="Arial"/>
          <w:sz w:val="22"/>
          <w:shd w:val="clear" w:color="auto" w:fill="FFFFFF"/>
        </w:rPr>
        <w:t xml:space="preserve"> junto con otras actividades de obra respecto de las que resulte obligatorio aplicar los documentos tipo. </w:t>
      </w:r>
      <w:r w:rsidR="00A12605" w:rsidRPr="00E013AA">
        <w:rPr>
          <w:rFonts w:ascii="Arial" w:hAnsi="Arial" w:cs="Arial"/>
          <w:sz w:val="22"/>
          <w:shd w:val="clear" w:color="auto" w:fill="FFFFFF"/>
        </w:rPr>
        <w:t>Así</w:t>
      </w:r>
      <w:r w:rsidR="00850FFC" w:rsidRPr="00E013AA">
        <w:rPr>
          <w:rFonts w:ascii="Arial" w:hAnsi="Arial" w:cs="Arial"/>
          <w:sz w:val="22"/>
          <w:shd w:val="clear" w:color="auto" w:fill="FFFFFF"/>
        </w:rPr>
        <w:t>,</w:t>
      </w:r>
      <w:r w:rsidR="00A12605" w:rsidRPr="00E013AA">
        <w:rPr>
          <w:rFonts w:ascii="Arial" w:hAnsi="Arial" w:cs="Arial"/>
          <w:sz w:val="22"/>
          <w:shd w:val="clear" w:color="auto" w:fill="FFFFFF"/>
        </w:rPr>
        <w:t xml:space="preserve"> por ejemplo</w:t>
      </w:r>
      <w:r w:rsidR="00850FFC" w:rsidRPr="00E013AA">
        <w:rPr>
          <w:rFonts w:ascii="Arial" w:hAnsi="Arial" w:cs="Arial"/>
          <w:sz w:val="22"/>
          <w:shd w:val="clear" w:color="auto" w:fill="FFFFFF"/>
        </w:rPr>
        <w:t>, una entidad</w:t>
      </w:r>
      <w:r w:rsidR="000A0D5D" w:rsidRPr="00E013AA">
        <w:rPr>
          <w:rFonts w:ascii="Arial" w:hAnsi="Arial" w:cs="Arial"/>
          <w:sz w:val="22"/>
          <w:shd w:val="clear" w:color="auto" w:fill="FFFFFF"/>
        </w:rPr>
        <w:t xml:space="preserve"> estatal</w:t>
      </w:r>
      <w:r w:rsidR="00850FFC" w:rsidRPr="00E013AA">
        <w:rPr>
          <w:rFonts w:ascii="Arial" w:hAnsi="Arial" w:cs="Arial"/>
          <w:sz w:val="22"/>
          <w:shd w:val="clear" w:color="auto" w:fill="FFFFFF"/>
        </w:rPr>
        <w:t xml:space="preserve"> podría optar por estructurar un contrato de obra pública </w:t>
      </w:r>
      <w:r w:rsidR="000A0D5D" w:rsidRPr="00E013AA">
        <w:rPr>
          <w:rFonts w:ascii="Arial" w:hAnsi="Arial" w:cs="Arial"/>
          <w:sz w:val="22"/>
          <w:shd w:val="clear" w:color="auto" w:fill="FFFFFF"/>
        </w:rPr>
        <w:t xml:space="preserve">en </w:t>
      </w:r>
      <w:r w:rsidR="00850FFC" w:rsidRPr="00E013AA">
        <w:rPr>
          <w:rFonts w:ascii="Arial" w:hAnsi="Arial" w:cs="Arial"/>
          <w:sz w:val="22"/>
          <w:shd w:val="clear" w:color="auto" w:fill="FFFFFF"/>
        </w:rPr>
        <w:t>cuyo objeto co</w:t>
      </w:r>
      <w:r w:rsidR="000A0D5D" w:rsidRPr="00E013AA">
        <w:rPr>
          <w:rFonts w:ascii="Arial" w:hAnsi="Arial" w:cs="Arial"/>
          <w:sz w:val="22"/>
          <w:shd w:val="clear" w:color="auto" w:fill="FFFFFF"/>
        </w:rPr>
        <w:t xml:space="preserve">ncurran el desarrollo de actividades de </w:t>
      </w:r>
      <w:r w:rsidR="00865094" w:rsidRPr="00E013AA">
        <w:rPr>
          <w:rFonts w:ascii="Arial" w:hAnsi="Arial" w:cs="Arial"/>
          <w:sz w:val="22"/>
          <w:shd w:val="clear" w:color="auto" w:fill="FFFFFF"/>
        </w:rPr>
        <w:t>mantenimiento</w:t>
      </w:r>
      <w:r w:rsidR="006F0671" w:rsidRPr="00E013AA">
        <w:rPr>
          <w:rFonts w:ascii="Arial" w:hAnsi="Arial" w:cs="Arial"/>
          <w:sz w:val="22"/>
          <w:shd w:val="clear" w:color="auto" w:fill="FFFFFF"/>
        </w:rPr>
        <w:t xml:space="preserve"> de vías urbanas </w:t>
      </w:r>
      <w:r w:rsidR="00FF62C9" w:rsidRPr="00E013AA">
        <w:rPr>
          <w:rFonts w:ascii="Arial" w:hAnsi="Arial" w:cs="Arial"/>
          <w:sz w:val="22"/>
          <w:shd w:val="clear" w:color="auto" w:fill="FFFFFF"/>
        </w:rPr>
        <w:t>–</w:t>
      </w:r>
      <w:r w:rsidR="006F0671" w:rsidRPr="00E013AA">
        <w:rPr>
          <w:rFonts w:ascii="Arial" w:hAnsi="Arial" w:cs="Arial"/>
          <w:sz w:val="22"/>
          <w:shd w:val="clear" w:color="auto" w:fill="FFFFFF"/>
        </w:rPr>
        <w:t xml:space="preserve">actividad </w:t>
      </w:r>
      <w:r w:rsidR="00FF62C9" w:rsidRPr="00E013AA">
        <w:rPr>
          <w:rFonts w:ascii="Arial" w:hAnsi="Arial" w:cs="Arial"/>
          <w:sz w:val="22"/>
          <w:shd w:val="clear" w:color="auto" w:fill="FFFFFF"/>
        </w:rPr>
        <w:t>6.3–</w:t>
      </w:r>
      <w:r w:rsidR="006150F6" w:rsidRPr="00E013AA">
        <w:rPr>
          <w:rFonts w:ascii="Arial" w:hAnsi="Arial" w:cs="Arial"/>
          <w:sz w:val="22"/>
          <w:shd w:val="clear" w:color="auto" w:fill="FFFFFF"/>
        </w:rPr>
        <w:t xml:space="preserve"> con el mantenimiento eléctrico de semáforos</w:t>
      </w:r>
      <w:r w:rsidR="00575E5B" w:rsidRPr="00E013AA">
        <w:rPr>
          <w:rFonts w:ascii="Arial" w:hAnsi="Arial" w:cs="Arial"/>
          <w:sz w:val="22"/>
          <w:shd w:val="clear" w:color="auto" w:fill="FFFFFF"/>
        </w:rPr>
        <w:t xml:space="preserve">. </w:t>
      </w:r>
    </w:p>
    <w:p w14:paraId="1AE36672" w14:textId="5731DDB8" w:rsidR="005E0D96" w:rsidRPr="00E013AA" w:rsidRDefault="005E0D96" w:rsidP="007B3B55">
      <w:pPr>
        <w:tabs>
          <w:tab w:val="left" w:pos="426"/>
        </w:tabs>
        <w:spacing w:after="120" w:line="276" w:lineRule="auto"/>
        <w:jc w:val="both"/>
        <w:rPr>
          <w:rFonts w:ascii="Arial" w:hAnsi="Arial" w:cs="Arial"/>
          <w:sz w:val="22"/>
          <w:shd w:val="clear" w:color="auto" w:fill="FFFFFF"/>
        </w:rPr>
      </w:pPr>
      <w:r w:rsidRPr="00E013AA">
        <w:rPr>
          <w:rFonts w:ascii="Arial" w:hAnsi="Arial" w:cs="Arial"/>
          <w:sz w:val="22"/>
          <w:shd w:val="clear" w:color="auto" w:fill="FFFFFF"/>
        </w:rPr>
        <w:tab/>
      </w:r>
      <w:r w:rsidR="00B82153" w:rsidRPr="00E013AA">
        <w:rPr>
          <w:rFonts w:ascii="Arial" w:hAnsi="Arial" w:cs="Arial"/>
          <w:sz w:val="22"/>
          <w:shd w:val="clear" w:color="auto" w:fill="FFFFFF"/>
        </w:rPr>
        <w:tab/>
      </w:r>
      <w:r w:rsidR="00CB0EC9">
        <w:rPr>
          <w:rFonts w:ascii="Arial" w:hAnsi="Arial" w:cs="Arial"/>
          <w:sz w:val="22"/>
          <w:shd w:val="clear" w:color="auto" w:fill="FFFFFF"/>
        </w:rPr>
        <w:t>En</w:t>
      </w:r>
      <w:r w:rsidRPr="00E013AA">
        <w:rPr>
          <w:rFonts w:ascii="Arial" w:hAnsi="Arial" w:cs="Arial"/>
          <w:sz w:val="22"/>
          <w:shd w:val="clear" w:color="auto" w:fill="FFFFFF"/>
        </w:rPr>
        <w:t xml:space="preserve"> </w:t>
      </w:r>
      <w:r w:rsidR="00CB0EC9">
        <w:rPr>
          <w:rFonts w:ascii="Arial" w:hAnsi="Arial" w:cs="Arial"/>
          <w:sz w:val="22"/>
          <w:shd w:val="clear" w:color="auto" w:fill="FFFFFF"/>
        </w:rPr>
        <w:t xml:space="preserve">estos </w:t>
      </w:r>
      <w:r w:rsidRPr="00E013AA">
        <w:rPr>
          <w:rFonts w:ascii="Arial" w:hAnsi="Arial" w:cs="Arial"/>
          <w:sz w:val="22"/>
          <w:shd w:val="clear" w:color="auto" w:fill="FFFFFF"/>
        </w:rPr>
        <w:t xml:space="preserve">eventos, las entidades </w:t>
      </w:r>
      <w:r w:rsidR="002A125F" w:rsidRPr="00E013AA">
        <w:rPr>
          <w:rFonts w:ascii="Arial" w:hAnsi="Arial" w:cs="Arial"/>
          <w:sz w:val="22"/>
          <w:shd w:val="clear" w:color="auto" w:fill="FFFFFF"/>
        </w:rPr>
        <w:t xml:space="preserve">estatales </w:t>
      </w:r>
      <w:r w:rsidRPr="00E013AA">
        <w:rPr>
          <w:rFonts w:ascii="Arial" w:hAnsi="Arial" w:cs="Arial"/>
          <w:sz w:val="22"/>
          <w:shd w:val="clear" w:color="auto" w:fill="FFFFFF"/>
        </w:rPr>
        <w:t>regidas por el EGCAP</w:t>
      </w:r>
      <w:r w:rsidR="00502F1F" w:rsidRPr="00E013AA">
        <w:rPr>
          <w:rFonts w:ascii="Arial" w:hAnsi="Arial" w:cs="Arial"/>
          <w:sz w:val="22"/>
          <w:shd w:val="clear" w:color="auto" w:fill="FFFFFF"/>
        </w:rPr>
        <w:t xml:space="preserve"> estarán obligadas a desarrollar los procesos de contratación</w:t>
      </w:r>
      <w:r w:rsidR="002A125F" w:rsidRPr="00E013AA">
        <w:rPr>
          <w:rFonts w:ascii="Arial" w:hAnsi="Arial" w:cs="Arial"/>
          <w:sz w:val="22"/>
          <w:shd w:val="clear" w:color="auto" w:fill="FFFFFF"/>
        </w:rPr>
        <w:t xml:space="preserve"> aplicando los respectivos documentos tipo</w:t>
      </w:r>
      <w:r w:rsidR="00CE206E" w:rsidRPr="00E013AA">
        <w:rPr>
          <w:rFonts w:ascii="Arial" w:hAnsi="Arial" w:cs="Arial"/>
          <w:sz w:val="22"/>
          <w:shd w:val="clear" w:color="auto" w:fill="FFFFFF"/>
        </w:rPr>
        <w:t xml:space="preserve">, </w:t>
      </w:r>
      <w:r w:rsidR="00B82153" w:rsidRPr="00E013AA">
        <w:rPr>
          <w:rFonts w:ascii="Arial" w:hAnsi="Arial" w:cs="Arial"/>
          <w:sz w:val="22"/>
          <w:shd w:val="clear" w:color="auto" w:fill="FFFFFF"/>
        </w:rPr>
        <w:t xml:space="preserve">situación en la cual </w:t>
      </w:r>
      <w:r w:rsidR="00343ED4" w:rsidRPr="00E013AA">
        <w:rPr>
          <w:rFonts w:ascii="Arial" w:hAnsi="Arial" w:cs="Arial"/>
          <w:sz w:val="22"/>
          <w:shd w:val="clear" w:color="auto" w:fill="FFFFFF"/>
        </w:rPr>
        <w:t xml:space="preserve">actividades excluidas de los documentos tipo como, por ejemplo, </w:t>
      </w:r>
      <w:r w:rsidR="00B82153" w:rsidRPr="00E013AA">
        <w:rPr>
          <w:rFonts w:ascii="Arial" w:hAnsi="Arial" w:cs="Arial"/>
          <w:sz w:val="22"/>
          <w:shd w:val="clear" w:color="auto" w:fill="FFFFFF"/>
        </w:rPr>
        <w:t xml:space="preserve">el mantenimiento eléctrico de semáforos </w:t>
      </w:r>
      <w:r w:rsidR="00343ED4" w:rsidRPr="00E013AA">
        <w:rPr>
          <w:rFonts w:ascii="Arial" w:hAnsi="Arial" w:cs="Arial"/>
          <w:sz w:val="22"/>
          <w:shd w:val="clear" w:color="auto" w:fill="FFFFFF"/>
        </w:rPr>
        <w:t xml:space="preserve">y </w:t>
      </w:r>
      <w:r w:rsidR="009A4E03" w:rsidRPr="00E013AA">
        <w:rPr>
          <w:rFonts w:ascii="Arial" w:hAnsi="Arial" w:cs="Arial"/>
          <w:sz w:val="22"/>
          <w:shd w:val="clear" w:color="auto" w:fill="FFFFFF"/>
        </w:rPr>
        <w:t xml:space="preserve">la instalación de postes, constituirán servicios adicionales a la obra </w:t>
      </w:r>
      <w:r w:rsidR="004C45D6" w:rsidRPr="00E013AA">
        <w:rPr>
          <w:rFonts w:ascii="Arial" w:hAnsi="Arial" w:cs="Arial"/>
          <w:sz w:val="22"/>
          <w:shd w:val="clear" w:color="auto" w:fill="FFFFFF"/>
        </w:rPr>
        <w:t xml:space="preserve">pública de infraestructura de transporte. </w:t>
      </w:r>
      <w:r w:rsidR="00D85360" w:rsidRPr="00E013AA">
        <w:rPr>
          <w:rFonts w:ascii="Arial" w:hAnsi="Arial" w:cs="Arial"/>
          <w:sz w:val="22"/>
          <w:shd w:val="clear" w:color="auto" w:fill="FFFFFF"/>
        </w:rPr>
        <w:t>Conforme a esto,</w:t>
      </w:r>
      <w:r w:rsidR="004C45D6" w:rsidRPr="00E013AA">
        <w:rPr>
          <w:rFonts w:ascii="Arial" w:hAnsi="Arial" w:cs="Arial"/>
          <w:sz w:val="22"/>
          <w:shd w:val="clear" w:color="auto" w:fill="FFFFFF"/>
        </w:rPr>
        <w:t xml:space="preserve"> </w:t>
      </w:r>
      <w:r w:rsidR="00B2281B" w:rsidRPr="00E013AA">
        <w:rPr>
          <w:rFonts w:ascii="Arial" w:hAnsi="Arial" w:cs="Arial"/>
          <w:sz w:val="22"/>
          <w:shd w:val="clear" w:color="auto" w:fill="FFFFFF"/>
        </w:rPr>
        <w:t>además de exigir los requisitos de experiencia aplicables al</w:t>
      </w:r>
      <w:r w:rsidR="00D85360" w:rsidRPr="00E013AA">
        <w:rPr>
          <w:rFonts w:ascii="Arial" w:hAnsi="Arial" w:cs="Arial"/>
          <w:sz w:val="22"/>
          <w:shd w:val="clear" w:color="auto" w:fill="FFFFFF"/>
        </w:rPr>
        <w:t xml:space="preserve"> tipo de obra y actividad de infraestructura de transporte </w:t>
      </w:r>
      <w:r w:rsidR="00B2281B" w:rsidRPr="00E013AA">
        <w:rPr>
          <w:rFonts w:ascii="Arial" w:hAnsi="Arial" w:cs="Arial"/>
          <w:sz w:val="22"/>
          <w:shd w:val="clear" w:color="auto" w:fill="FFFFFF"/>
        </w:rPr>
        <w:t>según la Matriz 1,</w:t>
      </w:r>
      <w:r w:rsidR="00D85360" w:rsidRPr="00E013AA">
        <w:rPr>
          <w:rFonts w:ascii="Arial" w:hAnsi="Arial" w:cs="Arial"/>
          <w:sz w:val="22"/>
          <w:shd w:val="clear" w:color="auto" w:fill="FFFFFF"/>
        </w:rPr>
        <w:t xml:space="preserve"> la entidad, de conformidad con los artículos </w:t>
      </w:r>
      <w:r w:rsidR="003132BB" w:rsidRPr="00E013AA">
        <w:rPr>
          <w:rFonts w:ascii="Arial" w:hAnsi="Arial" w:cs="Arial"/>
          <w:sz w:val="22"/>
          <w:shd w:val="clear" w:color="auto" w:fill="FFFFFF"/>
        </w:rPr>
        <w:t>2.2.1.2.6.1.5</w:t>
      </w:r>
      <w:r w:rsidR="001474BD" w:rsidRPr="00E013AA">
        <w:rPr>
          <w:rStyle w:val="FootnoteReference"/>
          <w:rFonts w:ascii="Arial" w:hAnsi="Arial" w:cs="Arial"/>
          <w:sz w:val="22"/>
          <w:shd w:val="clear" w:color="auto" w:fill="FFFFFF"/>
        </w:rPr>
        <w:footnoteReference w:id="13"/>
      </w:r>
      <w:r w:rsidR="00157579" w:rsidRPr="00E013AA">
        <w:rPr>
          <w:rFonts w:ascii="Arial" w:hAnsi="Arial" w:cs="Arial"/>
          <w:sz w:val="22"/>
          <w:shd w:val="clear" w:color="auto" w:fill="FFFFFF"/>
        </w:rPr>
        <w:t xml:space="preserve"> </w:t>
      </w:r>
      <w:r w:rsidR="00157579" w:rsidRPr="00E013AA">
        <w:rPr>
          <w:rFonts w:ascii="Arial" w:hAnsi="Arial" w:cs="Arial"/>
          <w:sz w:val="22"/>
          <w:shd w:val="clear" w:color="auto" w:fill="FFFFFF"/>
          <w:vertAlign w:val="superscript"/>
        </w:rPr>
        <w:t>-</w:t>
      </w:r>
      <w:r w:rsidR="00157579" w:rsidRPr="00E013AA">
        <w:rPr>
          <w:rStyle w:val="FootnoteReference"/>
          <w:rFonts w:ascii="Arial" w:hAnsi="Arial" w:cs="Arial"/>
          <w:sz w:val="22"/>
          <w:shd w:val="clear" w:color="auto" w:fill="FFFFFF"/>
        </w:rPr>
        <w:footnoteReference w:id="14"/>
      </w:r>
      <w:r w:rsidR="003132BB" w:rsidRPr="00E013AA">
        <w:rPr>
          <w:rFonts w:ascii="Arial" w:hAnsi="Arial" w:cs="Arial"/>
          <w:sz w:val="22"/>
          <w:shd w:val="clear" w:color="auto" w:fill="FFFFFF"/>
        </w:rPr>
        <w:t xml:space="preserve"> y </w:t>
      </w:r>
      <w:r w:rsidR="003132BB" w:rsidRPr="00E013AA">
        <w:rPr>
          <w:rFonts w:ascii="Arial" w:hAnsi="Arial" w:cs="Arial"/>
          <w:sz w:val="22"/>
        </w:rPr>
        <w:t>2.2.1.2.6.3.5</w:t>
      </w:r>
      <w:r w:rsidR="003132BB" w:rsidRPr="00E013AA">
        <w:rPr>
          <w:rStyle w:val="FootnoteReference"/>
          <w:rFonts w:ascii="Arial" w:hAnsi="Arial" w:cs="Arial"/>
          <w:sz w:val="22"/>
        </w:rPr>
        <w:footnoteReference w:id="15"/>
      </w:r>
      <w:r w:rsidR="003132BB" w:rsidRPr="00E013AA">
        <w:rPr>
          <w:rFonts w:ascii="Arial" w:hAnsi="Arial" w:cs="Arial"/>
          <w:sz w:val="22"/>
        </w:rPr>
        <w:t xml:space="preserve"> </w:t>
      </w:r>
      <w:r w:rsidR="00C34D7A" w:rsidRPr="00E013AA">
        <w:rPr>
          <w:rFonts w:ascii="Arial" w:hAnsi="Arial" w:cs="Arial"/>
          <w:sz w:val="22"/>
        </w:rPr>
        <w:t>del Decreto 1082 de 2015</w:t>
      </w:r>
      <w:r w:rsidR="00A84245" w:rsidRPr="00E013AA">
        <w:rPr>
          <w:rFonts w:ascii="Arial" w:hAnsi="Arial" w:cs="Arial"/>
          <w:sz w:val="22"/>
        </w:rPr>
        <w:t>, para</w:t>
      </w:r>
      <w:r w:rsidR="00465C71" w:rsidRPr="00E013AA">
        <w:rPr>
          <w:rFonts w:ascii="Arial" w:hAnsi="Arial" w:cs="Arial"/>
          <w:sz w:val="22"/>
        </w:rPr>
        <w:t xml:space="preserve"> los servicios adicionales</w:t>
      </w:r>
      <w:r w:rsidR="00465C71" w:rsidRPr="00E013AA">
        <w:rPr>
          <w:rFonts w:ascii="Arial" w:hAnsi="Arial" w:cs="Arial"/>
          <w:sz w:val="22"/>
          <w:shd w:val="clear" w:color="auto" w:fill="FFFFFF"/>
        </w:rPr>
        <w:t xml:space="preserve"> </w:t>
      </w:r>
      <w:r w:rsidR="00D85360" w:rsidRPr="00E013AA">
        <w:rPr>
          <w:rFonts w:ascii="Arial" w:hAnsi="Arial" w:cs="Arial"/>
          <w:sz w:val="22"/>
          <w:shd w:val="clear" w:color="auto" w:fill="FFFFFF"/>
        </w:rPr>
        <w:t>podrá</w:t>
      </w:r>
      <w:r w:rsidR="00B2281B" w:rsidRPr="00E013AA">
        <w:rPr>
          <w:rFonts w:ascii="Arial" w:hAnsi="Arial" w:cs="Arial"/>
          <w:sz w:val="22"/>
          <w:shd w:val="clear" w:color="auto" w:fill="FFFFFF"/>
        </w:rPr>
        <w:t xml:space="preserve"> </w:t>
      </w:r>
      <w:r w:rsidR="004C45D6" w:rsidRPr="00E013AA">
        <w:rPr>
          <w:rFonts w:ascii="Arial" w:hAnsi="Arial" w:cs="Arial"/>
          <w:sz w:val="22"/>
          <w:shd w:val="clear" w:color="auto" w:fill="FFFFFF"/>
        </w:rPr>
        <w:t xml:space="preserve">solicitar los requisitos de experiencia necesarios para la escogencia </w:t>
      </w:r>
      <w:r w:rsidR="00A84245" w:rsidRPr="00E013AA">
        <w:rPr>
          <w:rFonts w:ascii="Arial" w:hAnsi="Arial" w:cs="Arial"/>
          <w:sz w:val="22"/>
          <w:shd w:val="clear" w:color="auto" w:fill="FFFFFF"/>
        </w:rPr>
        <w:t xml:space="preserve">de un contratista idóneo para su desarrollo, de acuerdo </w:t>
      </w:r>
      <w:r w:rsidR="00B018DE">
        <w:rPr>
          <w:rFonts w:ascii="Arial" w:hAnsi="Arial" w:cs="Arial"/>
          <w:sz w:val="22"/>
          <w:shd w:val="clear" w:color="auto" w:fill="FFFFFF"/>
        </w:rPr>
        <w:t xml:space="preserve">con </w:t>
      </w:r>
      <w:r w:rsidR="00A84245" w:rsidRPr="00E013AA">
        <w:rPr>
          <w:rFonts w:ascii="Arial" w:hAnsi="Arial" w:cs="Arial"/>
          <w:sz w:val="22"/>
          <w:shd w:val="clear" w:color="auto" w:fill="FFFFFF"/>
        </w:rPr>
        <w:t xml:space="preserve">los criterios señalados en dichos artículos. </w:t>
      </w:r>
    </w:p>
    <w:p w14:paraId="6EE0D628" w14:textId="23ACA83B" w:rsidR="00F70BC1" w:rsidRPr="00E013AA" w:rsidRDefault="00261089" w:rsidP="00D20C0C">
      <w:pPr>
        <w:tabs>
          <w:tab w:val="left" w:pos="426"/>
        </w:tabs>
        <w:spacing w:line="276" w:lineRule="auto"/>
        <w:jc w:val="both"/>
        <w:rPr>
          <w:rFonts w:ascii="Arial" w:hAnsi="Arial" w:cs="Arial"/>
          <w:sz w:val="22"/>
          <w:shd w:val="clear" w:color="auto" w:fill="FFFFFF"/>
        </w:rPr>
      </w:pPr>
      <w:r w:rsidRPr="00E013AA">
        <w:rPr>
          <w:rFonts w:ascii="Arial" w:hAnsi="Arial" w:cs="Arial"/>
          <w:sz w:val="22"/>
          <w:shd w:val="clear" w:color="auto" w:fill="FFFFFF"/>
        </w:rPr>
        <w:tab/>
      </w:r>
      <w:r w:rsidRPr="00E013AA">
        <w:rPr>
          <w:rFonts w:ascii="Arial" w:hAnsi="Arial" w:cs="Arial"/>
          <w:sz w:val="22"/>
          <w:shd w:val="clear" w:color="auto" w:fill="FFFFFF"/>
        </w:rPr>
        <w:tab/>
      </w:r>
      <w:r w:rsidR="00E849F7" w:rsidRPr="00E013AA">
        <w:rPr>
          <w:rFonts w:ascii="Arial" w:hAnsi="Arial" w:cs="Arial"/>
          <w:sz w:val="22"/>
          <w:shd w:val="clear" w:color="auto" w:fill="FFFFFF"/>
        </w:rPr>
        <w:t xml:space="preserve">De </w:t>
      </w:r>
      <w:r w:rsidR="00B018DE">
        <w:rPr>
          <w:rFonts w:ascii="Arial" w:hAnsi="Arial" w:cs="Arial"/>
          <w:sz w:val="22"/>
          <w:shd w:val="clear" w:color="auto" w:fill="FFFFFF"/>
        </w:rPr>
        <w:t>conformidad</w:t>
      </w:r>
      <w:r w:rsidR="00E849F7" w:rsidRPr="00E013AA">
        <w:rPr>
          <w:rFonts w:ascii="Arial" w:hAnsi="Arial" w:cs="Arial"/>
          <w:sz w:val="22"/>
          <w:shd w:val="clear" w:color="auto" w:fill="FFFFFF"/>
        </w:rPr>
        <w:t xml:space="preserve"> con lo </w:t>
      </w:r>
      <w:r w:rsidR="00B018DE">
        <w:rPr>
          <w:rFonts w:ascii="Arial" w:hAnsi="Arial" w:cs="Arial"/>
          <w:sz w:val="22"/>
          <w:shd w:val="clear" w:color="auto" w:fill="FFFFFF"/>
        </w:rPr>
        <w:t>expuesto</w:t>
      </w:r>
      <w:r w:rsidR="009B6AE8" w:rsidRPr="00E013AA">
        <w:rPr>
          <w:rFonts w:ascii="Arial" w:hAnsi="Arial" w:cs="Arial"/>
          <w:sz w:val="22"/>
          <w:shd w:val="clear" w:color="auto" w:fill="FFFFFF"/>
        </w:rPr>
        <w:t xml:space="preserve">, </w:t>
      </w:r>
      <w:r w:rsidR="0015451F" w:rsidRPr="00E013AA">
        <w:rPr>
          <w:rFonts w:ascii="Arial" w:hAnsi="Arial" w:cs="Arial"/>
          <w:sz w:val="22"/>
          <w:shd w:val="clear" w:color="auto" w:fill="FFFFFF"/>
        </w:rPr>
        <w:t>exist</w:t>
      </w:r>
      <w:r w:rsidR="00E849F7" w:rsidRPr="00E013AA">
        <w:rPr>
          <w:rFonts w:ascii="Arial" w:hAnsi="Arial" w:cs="Arial"/>
          <w:sz w:val="22"/>
          <w:shd w:val="clear" w:color="auto" w:fill="FFFFFF"/>
        </w:rPr>
        <w:t>en</w:t>
      </w:r>
      <w:r w:rsidR="0015451F" w:rsidRPr="00E013AA">
        <w:rPr>
          <w:rFonts w:ascii="Arial" w:hAnsi="Arial" w:cs="Arial"/>
          <w:sz w:val="22"/>
          <w:shd w:val="clear" w:color="auto" w:fill="FFFFFF"/>
        </w:rPr>
        <w:t xml:space="preserve"> actividades</w:t>
      </w:r>
      <w:r w:rsidR="009057E8">
        <w:rPr>
          <w:rFonts w:ascii="Arial" w:hAnsi="Arial" w:cs="Arial"/>
          <w:sz w:val="22"/>
          <w:shd w:val="clear" w:color="auto" w:fill="FFFFFF"/>
        </w:rPr>
        <w:t xml:space="preserve"> de</w:t>
      </w:r>
      <w:r w:rsidR="0015451F" w:rsidRPr="00E013AA">
        <w:rPr>
          <w:rFonts w:ascii="Arial" w:hAnsi="Arial" w:cs="Arial"/>
          <w:sz w:val="22"/>
          <w:shd w:val="clear" w:color="auto" w:fill="FFFFFF"/>
        </w:rPr>
        <w:t xml:space="preserve"> obra pública </w:t>
      </w:r>
      <w:r w:rsidR="00E849F7" w:rsidRPr="00E013AA">
        <w:rPr>
          <w:rFonts w:ascii="Arial" w:hAnsi="Arial" w:cs="Arial"/>
          <w:sz w:val="22"/>
          <w:shd w:val="clear" w:color="auto" w:fill="FFFFFF"/>
        </w:rPr>
        <w:t>que a pesar de estar relaciona</w:t>
      </w:r>
      <w:r w:rsidR="009057E8">
        <w:rPr>
          <w:rFonts w:ascii="Arial" w:hAnsi="Arial" w:cs="Arial"/>
          <w:sz w:val="22"/>
          <w:shd w:val="clear" w:color="auto" w:fill="FFFFFF"/>
        </w:rPr>
        <w:t>da</w:t>
      </w:r>
      <w:r w:rsidR="00E849F7" w:rsidRPr="00E013AA">
        <w:rPr>
          <w:rFonts w:ascii="Arial" w:hAnsi="Arial" w:cs="Arial"/>
          <w:sz w:val="22"/>
          <w:shd w:val="clear" w:color="auto" w:fill="FFFFFF"/>
        </w:rPr>
        <w:t xml:space="preserve">s con la infraestructura de transporte, </w:t>
      </w:r>
      <w:r w:rsidR="00652413" w:rsidRPr="00E013AA">
        <w:rPr>
          <w:rFonts w:ascii="Arial" w:hAnsi="Arial" w:cs="Arial"/>
          <w:sz w:val="22"/>
          <w:shd w:val="clear" w:color="auto" w:fill="FFFFFF"/>
        </w:rPr>
        <w:t xml:space="preserve">su contratación no </w:t>
      </w:r>
      <w:r w:rsidR="00B80915">
        <w:rPr>
          <w:rFonts w:ascii="Arial" w:hAnsi="Arial" w:cs="Arial"/>
          <w:sz w:val="22"/>
          <w:shd w:val="clear" w:color="auto" w:fill="FFFFFF"/>
        </w:rPr>
        <w:t>requiere</w:t>
      </w:r>
      <w:r w:rsidR="00B80915" w:rsidRPr="00E013AA">
        <w:rPr>
          <w:rFonts w:ascii="Arial" w:hAnsi="Arial" w:cs="Arial"/>
          <w:sz w:val="22"/>
          <w:shd w:val="clear" w:color="auto" w:fill="FFFFFF"/>
        </w:rPr>
        <w:t xml:space="preserve"> </w:t>
      </w:r>
      <w:r w:rsidR="00652413" w:rsidRPr="00E013AA">
        <w:rPr>
          <w:rFonts w:ascii="Arial" w:hAnsi="Arial" w:cs="Arial"/>
          <w:sz w:val="22"/>
          <w:shd w:val="clear" w:color="auto" w:fill="FFFFFF"/>
        </w:rPr>
        <w:t xml:space="preserve">la aplicación de los </w:t>
      </w:r>
      <w:r w:rsidR="001C379F" w:rsidRPr="00E013AA">
        <w:rPr>
          <w:rFonts w:ascii="Arial" w:hAnsi="Arial" w:cs="Arial"/>
          <w:sz w:val="22"/>
          <w:shd w:val="clear" w:color="auto" w:fill="FFFFFF"/>
        </w:rPr>
        <w:t>documentos tipo expedidos mediante las resoluciones 044, 045</w:t>
      </w:r>
      <w:r w:rsidR="00CE65AC" w:rsidRPr="00E013AA">
        <w:rPr>
          <w:rFonts w:ascii="Arial" w:hAnsi="Arial" w:cs="Arial"/>
          <w:sz w:val="22"/>
          <w:shd w:val="clear" w:color="auto" w:fill="FFFFFF"/>
        </w:rPr>
        <w:t xml:space="preserve"> y</w:t>
      </w:r>
      <w:r w:rsidR="001C379F" w:rsidRPr="00E013AA">
        <w:rPr>
          <w:rFonts w:ascii="Arial" w:hAnsi="Arial" w:cs="Arial"/>
          <w:sz w:val="22"/>
          <w:shd w:val="clear" w:color="auto" w:fill="FFFFFF"/>
        </w:rPr>
        <w:t xml:space="preserve"> 094</w:t>
      </w:r>
      <w:r w:rsidR="00CE65AC" w:rsidRPr="00E013AA">
        <w:rPr>
          <w:rFonts w:ascii="Arial" w:hAnsi="Arial" w:cs="Arial"/>
          <w:sz w:val="22"/>
          <w:shd w:val="clear" w:color="auto" w:fill="FFFFFF"/>
        </w:rPr>
        <w:t xml:space="preserve"> de 2020, </w:t>
      </w:r>
      <w:r w:rsidR="0030648E" w:rsidRPr="00E013AA">
        <w:rPr>
          <w:rFonts w:ascii="Arial" w:hAnsi="Arial" w:cs="Arial"/>
          <w:sz w:val="22"/>
          <w:shd w:val="clear" w:color="auto" w:fill="FFFFFF"/>
        </w:rPr>
        <w:t>como,</w:t>
      </w:r>
      <w:r w:rsidR="00CE65AC" w:rsidRPr="00E013AA">
        <w:rPr>
          <w:rFonts w:ascii="Arial" w:hAnsi="Arial" w:cs="Arial"/>
          <w:sz w:val="22"/>
          <w:shd w:val="clear" w:color="auto" w:fill="FFFFFF"/>
        </w:rPr>
        <w:t xml:space="preserve"> por ejemplo, el mantenimiento eléctrico de semáforos. </w:t>
      </w:r>
      <w:r w:rsidR="00A06951" w:rsidRPr="00E013AA">
        <w:rPr>
          <w:rFonts w:ascii="Arial" w:hAnsi="Arial" w:cs="Arial"/>
          <w:sz w:val="22"/>
          <w:shd w:val="clear" w:color="auto" w:fill="FFFFFF"/>
        </w:rPr>
        <w:t xml:space="preserve">Sin embargo, las entidades estatales </w:t>
      </w:r>
      <w:r w:rsidR="00B80915">
        <w:rPr>
          <w:rFonts w:ascii="Arial" w:hAnsi="Arial" w:cs="Arial"/>
          <w:sz w:val="22"/>
          <w:shd w:val="clear" w:color="auto" w:fill="FFFFFF"/>
        </w:rPr>
        <w:t>deben</w:t>
      </w:r>
      <w:r w:rsidR="00A06951" w:rsidRPr="00E013AA">
        <w:rPr>
          <w:rFonts w:ascii="Arial" w:hAnsi="Arial" w:cs="Arial"/>
          <w:sz w:val="22"/>
          <w:shd w:val="clear" w:color="auto" w:fill="FFFFFF"/>
        </w:rPr>
        <w:t xml:space="preserve"> analizar en cada caso particular</w:t>
      </w:r>
      <w:r w:rsidR="0030648E" w:rsidRPr="00E013AA">
        <w:rPr>
          <w:rFonts w:ascii="Arial" w:hAnsi="Arial" w:cs="Arial"/>
          <w:sz w:val="22"/>
          <w:shd w:val="clear" w:color="auto" w:fill="FFFFFF"/>
        </w:rPr>
        <w:t xml:space="preserve"> si el objeto que pretenden contratar</w:t>
      </w:r>
      <w:r w:rsidR="00A07AFD" w:rsidRPr="00E013AA">
        <w:rPr>
          <w:rFonts w:ascii="Arial" w:hAnsi="Arial" w:cs="Arial"/>
          <w:sz w:val="22"/>
          <w:shd w:val="clear" w:color="auto" w:fill="FFFFFF"/>
        </w:rPr>
        <w:t xml:space="preserve"> supone o no la aplicación de documentos tipo</w:t>
      </w:r>
      <w:r w:rsidR="007F0426">
        <w:rPr>
          <w:rFonts w:ascii="Arial" w:hAnsi="Arial" w:cs="Arial"/>
          <w:sz w:val="22"/>
          <w:shd w:val="clear" w:color="auto" w:fill="FFFFFF"/>
        </w:rPr>
        <w:t xml:space="preserve"> y cuál es el alcance real del mismo</w:t>
      </w:r>
      <w:r w:rsidR="00A07AFD" w:rsidRPr="00E013AA">
        <w:rPr>
          <w:rFonts w:ascii="Arial" w:hAnsi="Arial" w:cs="Arial"/>
          <w:sz w:val="22"/>
          <w:shd w:val="clear" w:color="auto" w:fill="FFFFFF"/>
        </w:rPr>
        <w:t xml:space="preserve">, ya que es posible que </w:t>
      </w:r>
      <w:r w:rsidR="00F365CC" w:rsidRPr="00E013AA">
        <w:rPr>
          <w:rFonts w:ascii="Arial" w:hAnsi="Arial" w:cs="Arial"/>
          <w:sz w:val="22"/>
          <w:shd w:val="clear" w:color="auto" w:fill="FFFFFF"/>
        </w:rPr>
        <w:t>concurran actividades incluidas dentro de su ámbito de aplicación</w:t>
      </w:r>
      <w:r w:rsidR="005B181A" w:rsidRPr="00E013AA">
        <w:rPr>
          <w:rFonts w:ascii="Arial" w:hAnsi="Arial" w:cs="Arial"/>
          <w:sz w:val="22"/>
          <w:shd w:val="clear" w:color="auto" w:fill="FFFFFF"/>
        </w:rPr>
        <w:t xml:space="preserve"> con otras que no</w:t>
      </w:r>
      <w:r w:rsidR="000A18DD">
        <w:rPr>
          <w:rFonts w:ascii="Arial" w:hAnsi="Arial" w:cs="Arial"/>
          <w:sz w:val="22"/>
          <w:shd w:val="clear" w:color="auto" w:fill="FFFFFF"/>
        </w:rPr>
        <w:t xml:space="preserve"> han sido incluidas. En dicho</w:t>
      </w:r>
      <w:r w:rsidR="005B181A" w:rsidRPr="00E013AA">
        <w:rPr>
          <w:rFonts w:ascii="Arial" w:hAnsi="Arial" w:cs="Arial"/>
          <w:sz w:val="22"/>
          <w:shd w:val="clear" w:color="auto" w:fill="FFFFFF"/>
        </w:rPr>
        <w:t xml:space="preserve"> caso</w:t>
      </w:r>
      <w:r w:rsidR="000A18DD">
        <w:rPr>
          <w:rFonts w:ascii="Arial" w:hAnsi="Arial" w:cs="Arial"/>
          <w:sz w:val="22"/>
          <w:shd w:val="clear" w:color="auto" w:fill="FFFFFF"/>
        </w:rPr>
        <w:t>,</w:t>
      </w:r>
      <w:r w:rsidR="005B181A" w:rsidRPr="00E013AA">
        <w:rPr>
          <w:rFonts w:ascii="Arial" w:hAnsi="Arial" w:cs="Arial"/>
          <w:sz w:val="22"/>
          <w:shd w:val="clear" w:color="auto" w:fill="FFFFFF"/>
        </w:rPr>
        <w:t xml:space="preserve"> deberán aplicarse los documentos tipo, independientemente de que la totalidad del objeto contractual </w:t>
      </w:r>
      <w:r w:rsidR="00455DE4" w:rsidRPr="00E013AA">
        <w:rPr>
          <w:rFonts w:ascii="Arial" w:hAnsi="Arial" w:cs="Arial"/>
          <w:sz w:val="22"/>
          <w:shd w:val="clear" w:color="auto" w:fill="FFFFFF"/>
        </w:rPr>
        <w:t xml:space="preserve">no </w:t>
      </w:r>
      <w:r w:rsidR="007D27F4" w:rsidRPr="00E013AA">
        <w:rPr>
          <w:rFonts w:ascii="Arial" w:hAnsi="Arial" w:cs="Arial"/>
          <w:sz w:val="22"/>
          <w:shd w:val="clear" w:color="auto" w:fill="FFFFFF"/>
        </w:rPr>
        <w:t>esté</w:t>
      </w:r>
      <w:r w:rsidR="00455DE4" w:rsidRPr="00E013AA">
        <w:rPr>
          <w:rFonts w:ascii="Arial" w:hAnsi="Arial" w:cs="Arial"/>
          <w:sz w:val="22"/>
          <w:shd w:val="clear" w:color="auto" w:fill="FFFFFF"/>
        </w:rPr>
        <w:t xml:space="preserve"> referido al desarrollo de actividades incluidas en </w:t>
      </w:r>
      <w:r w:rsidR="00F70BC1" w:rsidRPr="00E013AA">
        <w:rPr>
          <w:rFonts w:ascii="Arial" w:hAnsi="Arial" w:cs="Arial"/>
          <w:sz w:val="22"/>
          <w:shd w:val="clear" w:color="auto" w:fill="FFFFFF"/>
        </w:rPr>
        <w:t xml:space="preserve">la Matriz 1. </w:t>
      </w:r>
    </w:p>
    <w:p w14:paraId="13F35884" w14:textId="4F937B7C" w:rsidR="004E74D7" w:rsidRPr="00E013AA" w:rsidRDefault="00160D2F" w:rsidP="00E20BB2">
      <w:pPr>
        <w:tabs>
          <w:tab w:val="left" w:pos="426"/>
        </w:tabs>
        <w:spacing w:line="276" w:lineRule="auto"/>
        <w:jc w:val="both"/>
        <w:rPr>
          <w:rFonts w:ascii="Arial" w:hAnsi="Arial" w:cs="Arial"/>
          <w:sz w:val="21"/>
          <w:szCs w:val="21"/>
          <w:lang w:val="es-CO"/>
        </w:rPr>
      </w:pPr>
      <w:r w:rsidRPr="00E013AA">
        <w:rPr>
          <w:rFonts w:ascii="Arial" w:hAnsi="Arial" w:cs="Arial"/>
          <w:sz w:val="22"/>
          <w:shd w:val="clear" w:color="auto" w:fill="FFFFFF"/>
        </w:rPr>
        <w:tab/>
      </w:r>
      <w:r w:rsidRPr="00E013AA">
        <w:rPr>
          <w:rFonts w:ascii="Arial" w:hAnsi="Arial" w:cs="Arial"/>
          <w:sz w:val="22"/>
          <w:shd w:val="clear" w:color="auto" w:fill="FFFFFF"/>
        </w:rPr>
        <w:tab/>
      </w:r>
    </w:p>
    <w:p w14:paraId="6B72FAB3" w14:textId="77777777" w:rsidR="00DD689E" w:rsidRPr="00E013AA" w:rsidRDefault="00DD689E" w:rsidP="00DD689E">
      <w:pPr>
        <w:pStyle w:val="ListParagraph"/>
        <w:numPr>
          <w:ilvl w:val="0"/>
          <w:numId w:val="1"/>
        </w:numPr>
        <w:tabs>
          <w:tab w:val="left" w:pos="284"/>
        </w:tabs>
        <w:spacing w:line="276" w:lineRule="auto"/>
        <w:ind w:left="0" w:firstLine="0"/>
        <w:rPr>
          <w:rFonts w:ascii="Arial" w:hAnsi="Arial" w:cs="Arial"/>
          <w:b/>
          <w:bCs/>
          <w:sz w:val="22"/>
          <w:lang w:val="es-CO"/>
        </w:rPr>
      </w:pPr>
      <w:r w:rsidRPr="00E013AA">
        <w:rPr>
          <w:rFonts w:ascii="Arial" w:hAnsi="Arial" w:cs="Arial"/>
          <w:b/>
          <w:bCs/>
          <w:sz w:val="22"/>
          <w:lang w:val="es-CO"/>
        </w:rPr>
        <w:t xml:space="preserve">Respuesta </w:t>
      </w:r>
    </w:p>
    <w:p w14:paraId="35089AD1" w14:textId="77777777" w:rsidR="00DD689E" w:rsidRPr="00E013AA" w:rsidRDefault="00DD689E" w:rsidP="00DD689E">
      <w:pPr>
        <w:spacing w:line="276" w:lineRule="auto"/>
        <w:ind w:right="709"/>
        <w:jc w:val="both"/>
        <w:rPr>
          <w:rFonts w:ascii="Arial" w:hAnsi="Arial" w:cs="Arial"/>
          <w:sz w:val="21"/>
          <w:szCs w:val="21"/>
          <w:lang w:val="es-CO"/>
        </w:rPr>
      </w:pPr>
    </w:p>
    <w:p w14:paraId="1AE4D6E4" w14:textId="5A31E5D6" w:rsidR="00CB1FD3" w:rsidRPr="00E013AA" w:rsidRDefault="00FD799D" w:rsidP="00D20C0C">
      <w:pPr>
        <w:ind w:left="709" w:right="709"/>
        <w:jc w:val="both"/>
        <w:rPr>
          <w:rFonts w:ascii="Arial" w:hAnsi="Arial" w:cs="Arial"/>
          <w:sz w:val="21"/>
          <w:szCs w:val="21"/>
          <w:lang w:val="es-CO"/>
        </w:rPr>
      </w:pPr>
      <w:r w:rsidRPr="00E013AA">
        <w:rPr>
          <w:rFonts w:ascii="Arial" w:eastAsia="Calibri" w:hAnsi="Arial" w:cs="Arial"/>
          <w:sz w:val="21"/>
          <w:szCs w:val="21"/>
        </w:rPr>
        <w:t xml:space="preserve">«[…] </w:t>
      </w:r>
      <w:r w:rsidRPr="00E013AA">
        <w:rPr>
          <w:rFonts w:ascii="Arial" w:hAnsi="Arial" w:cs="Arial"/>
          <w:sz w:val="21"/>
          <w:szCs w:val="21"/>
          <w:lang w:val="es-CO"/>
        </w:rPr>
        <w:t>Si en un proceso se requiere hacer mantenimiento de un sistema eléctrico de semáforos y fruto de este se requiere instalar un mínimo porcentaje de postes, es decir de un 100% del valor del presupuesto, el 90% son aspectos de mantenimiento y parte eléctrica y electrónica y el 10% pueden ser obras mínimas como instalar algunos postes. ¿Se debe aplicar pliego tipo por ese mínimo componente de obra, o de acuerdo con la matriz de experiencia no aplica pliego tipo.?</w:t>
      </w:r>
      <w:r w:rsidR="00F74F9B">
        <w:rPr>
          <w:rFonts w:ascii="Arial" w:hAnsi="Arial" w:cs="Arial"/>
          <w:sz w:val="21"/>
          <w:szCs w:val="21"/>
          <w:lang w:val="es-CO"/>
        </w:rPr>
        <w:t xml:space="preserve"> </w:t>
      </w:r>
      <w:r w:rsidRPr="00E013AA">
        <w:rPr>
          <w:rFonts w:ascii="Arial" w:hAnsi="Arial" w:cs="Arial"/>
          <w:sz w:val="21"/>
          <w:szCs w:val="21"/>
          <w:lang w:val="es-CO"/>
        </w:rPr>
        <w:t>[…]».</w:t>
      </w:r>
    </w:p>
    <w:p w14:paraId="730C7D8D" w14:textId="1849CAFF" w:rsidR="00ED62B5" w:rsidRPr="00E013AA" w:rsidRDefault="00ED62B5" w:rsidP="007C46CC">
      <w:pPr>
        <w:spacing w:line="276" w:lineRule="auto"/>
        <w:jc w:val="both"/>
        <w:rPr>
          <w:rFonts w:ascii="Arial" w:eastAsia="Calibri" w:hAnsi="Arial" w:cs="Arial"/>
          <w:sz w:val="22"/>
        </w:rPr>
      </w:pPr>
    </w:p>
    <w:p w14:paraId="5C08A8EE" w14:textId="65D46C55" w:rsidR="00F91C21" w:rsidRPr="00E013AA" w:rsidRDefault="00F178FF" w:rsidP="000137F2">
      <w:pPr>
        <w:spacing w:after="120" w:line="276" w:lineRule="auto"/>
        <w:jc w:val="both"/>
        <w:rPr>
          <w:rFonts w:ascii="Arial" w:eastAsia="Calibri" w:hAnsi="Arial" w:cs="Arial"/>
          <w:sz w:val="22"/>
        </w:rPr>
      </w:pPr>
      <w:r w:rsidRPr="00E013AA">
        <w:rPr>
          <w:rFonts w:ascii="Arial" w:eastAsia="Calibri" w:hAnsi="Arial" w:cs="Arial"/>
          <w:sz w:val="22"/>
        </w:rPr>
        <w:t xml:space="preserve">Las entidades estatales regidas por el Estatuto General de Contratación de la Administración Pública, de conformidad con el parágrafo 7 del artículo </w:t>
      </w:r>
      <w:r w:rsidR="001C45BA" w:rsidRPr="00E013AA">
        <w:rPr>
          <w:rFonts w:ascii="Arial" w:eastAsia="Calibri" w:hAnsi="Arial" w:cs="Arial"/>
          <w:sz w:val="22"/>
        </w:rPr>
        <w:t>2 de la Ley 1150 de 2007, adicionado por</w:t>
      </w:r>
      <w:r w:rsidR="004570C5" w:rsidRPr="00E013AA">
        <w:rPr>
          <w:rFonts w:ascii="Arial" w:eastAsia="Calibri" w:hAnsi="Arial" w:cs="Arial"/>
          <w:sz w:val="22"/>
        </w:rPr>
        <w:t xml:space="preserve"> la Ley 1882 de 2018 y modificado por la Ley 2022 de 2020, se encuentran obligadas a </w:t>
      </w:r>
      <w:r w:rsidR="00EC0004" w:rsidRPr="00E013AA">
        <w:rPr>
          <w:rFonts w:ascii="Arial" w:eastAsia="Calibri" w:hAnsi="Arial" w:cs="Arial"/>
          <w:sz w:val="22"/>
        </w:rPr>
        <w:t>aplicar los documentos tipo de infraestructura de transporte</w:t>
      </w:r>
      <w:r w:rsidR="009C5B20" w:rsidRPr="00E013AA">
        <w:rPr>
          <w:rFonts w:ascii="Arial" w:eastAsia="Calibri" w:hAnsi="Arial" w:cs="Arial"/>
          <w:sz w:val="22"/>
        </w:rPr>
        <w:t xml:space="preserve"> implementados por esta Agencia</w:t>
      </w:r>
      <w:r w:rsidR="00EC0004" w:rsidRPr="00E013AA">
        <w:rPr>
          <w:rFonts w:ascii="Arial" w:eastAsia="Calibri" w:hAnsi="Arial" w:cs="Arial"/>
          <w:sz w:val="22"/>
        </w:rPr>
        <w:t xml:space="preserve"> para la contratación de obras públicas</w:t>
      </w:r>
      <w:r w:rsidR="00F91C21" w:rsidRPr="00E013AA">
        <w:rPr>
          <w:rFonts w:ascii="Arial" w:eastAsia="Calibri" w:hAnsi="Arial" w:cs="Arial"/>
          <w:sz w:val="22"/>
        </w:rPr>
        <w:t xml:space="preserve"> dirigidas a </w:t>
      </w:r>
      <w:r w:rsidR="00603735" w:rsidRPr="00E013AA">
        <w:rPr>
          <w:rFonts w:ascii="Arial" w:eastAsia="Calibri" w:hAnsi="Arial" w:cs="Arial"/>
          <w:sz w:val="22"/>
        </w:rPr>
        <w:t>intervenir dicha infraestructura. No obstante,</w:t>
      </w:r>
      <w:r w:rsidR="00214062" w:rsidRPr="00E013AA">
        <w:rPr>
          <w:rFonts w:ascii="Arial" w:eastAsia="Calibri" w:hAnsi="Arial" w:cs="Arial"/>
          <w:sz w:val="22"/>
        </w:rPr>
        <w:t xml:space="preserve"> </w:t>
      </w:r>
      <w:r w:rsidR="00603735" w:rsidRPr="00E013AA">
        <w:rPr>
          <w:rFonts w:ascii="Arial" w:eastAsia="Calibri" w:hAnsi="Arial" w:cs="Arial"/>
          <w:sz w:val="22"/>
        </w:rPr>
        <w:t xml:space="preserve">para </w:t>
      </w:r>
      <w:r w:rsidR="00214062" w:rsidRPr="00E013AA">
        <w:rPr>
          <w:rFonts w:ascii="Arial" w:eastAsia="Calibri" w:hAnsi="Arial" w:cs="Arial"/>
          <w:sz w:val="22"/>
        </w:rPr>
        <w:t xml:space="preserve">determinar </w:t>
      </w:r>
      <w:r w:rsidR="00603735" w:rsidRPr="00E013AA">
        <w:rPr>
          <w:rFonts w:ascii="Arial" w:eastAsia="Calibri" w:hAnsi="Arial" w:cs="Arial"/>
          <w:sz w:val="22"/>
        </w:rPr>
        <w:t xml:space="preserve">si </w:t>
      </w:r>
      <w:r w:rsidR="00214062" w:rsidRPr="00E013AA">
        <w:rPr>
          <w:rFonts w:ascii="Arial" w:eastAsia="Calibri" w:hAnsi="Arial" w:cs="Arial"/>
          <w:sz w:val="22"/>
        </w:rPr>
        <w:t xml:space="preserve">deben </w:t>
      </w:r>
      <w:r w:rsidR="00366BE9" w:rsidRPr="00E013AA">
        <w:rPr>
          <w:rFonts w:ascii="Arial" w:eastAsia="Calibri" w:hAnsi="Arial" w:cs="Arial"/>
          <w:sz w:val="22"/>
        </w:rPr>
        <w:t>aplicarse</w:t>
      </w:r>
      <w:r w:rsidR="00F328C3" w:rsidRPr="00E013AA">
        <w:rPr>
          <w:rFonts w:ascii="Arial" w:eastAsia="Calibri" w:hAnsi="Arial" w:cs="Arial"/>
          <w:sz w:val="22"/>
        </w:rPr>
        <w:t xml:space="preserve"> </w:t>
      </w:r>
      <w:r w:rsidR="00214062" w:rsidRPr="00E013AA">
        <w:rPr>
          <w:rFonts w:ascii="Arial" w:eastAsia="Calibri" w:hAnsi="Arial" w:cs="Arial"/>
          <w:sz w:val="22"/>
        </w:rPr>
        <w:t>los documentos tipo adoptados mediante las resoluciones</w:t>
      </w:r>
      <w:r w:rsidR="00F328C3" w:rsidRPr="00E013AA">
        <w:rPr>
          <w:rFonts w:ascii="Arial" w:eastAsia="Calibri" w:hAnsi="Arial" w:cs="Arial"/>
          <w:sz w:val="22"/>
        </w:rPr>
        <w:t xml:space="preserve"> Nos.</w:t>
      </w:r>
      <w:r w:rsidR="00214062" w:rsidRPr="00E013AA">
        <w:rPr>
          <w:rFonts w:ascii="Arial" w:eastAsia="Calibri" w:hAnsi="Arial" w:cs="Arial"/>
          <w:sz w:val="22"/>
        </w:rPr>
        <w:t xml:space="preserve"> 044, 045, 094</w:t>
      </w:r>
      <w:r w:rsidR="00F328C3" w:rsidRPr="00E013AA">
        <w:rPr>
          <w:rFonts w:ascii="Arial" w:eastAsia="Calibri" w:hAnsi="Arial" w:cs="Arial"/>
          <w:sz w:val="22"/>
        </w:rPr>
        <w:t xml:space="preserve"> de 2020, la</w:t>
      </w:r>
      <w:r w:rsidR="00366BE9" w:rsidRPr="00E013AA">
        <w:rPr>
          <w:rFonts w:ascii="Arial" w:eastAsia="Calibri" w:hAnsi="Arial" w:cs="Arial"/>
          <w:sz w:val="22"/>
        </w:rPr>
        <w:t>s entidades deberán verificar que el objeto a contratar</w:t>
      </w:r>
      <w:r w:rsidR="00CE5DC1" w:rsidRPr="00E013AA">
        <w:rPr>
          <w:rFonts w:ascii="Arial" w:eastAsia="Calibri" w:hAnsi="Arial" w:cs="Arial"/>
          <w:sz w:val="22"/>
        </w:rPr>
        <w:t xml:space="preserve"> encuadre dentro de alguna de las actividades señaladas en </w:t>
      </w:r>
      <w:r w:rsidR="00F74F9B">
        <w:rPr>
          <w:rFonts w:ascii="Arial" w:eastAsia="Calibri" w:hAnsi="Arial" w:cs="Arial"/>
          <w:sz w:val="22"/>
        </w:rPr>
        <w:t>la Matriz 1</w:t>
      </w:r>
      <w:r w:rsidR="002806CA" w:rsidRPr="00E013AA">
        <w:rPr>
          <w:rFonts w:ascii="Arial" w:eastAsia="Calibri" w:hAnsi="Arial" w:cs="Arial"/>
          <w:sz w:val="22"/>
        </w:rPr>
        <w:t xml:space="preserve">. De no estar incluidas, en principio no </w:t>
      </w:r>
      <w:r w:rsidR="000137F2" w:rsidRPr="00E013AA">
        <w:rPr>
          <w:rFonts w:ascii="Arial" w:eastAsia="Calibri" w:hAnsi="Arial" w:cs="Arial"/>
          <w:sz w:val="22"/>
        </w:rPr>
        <w:t>será obligatoria la aplicación de los documentos tipo.</w:t>
      </w:r>
      <w:r w:rsidR="00F328C3" w:rsidRPr="00E013AA">
        <w:rPr>
          <w:rFonts w:ascii="Arial" w:eastAsia="Calibri" w:hAnsi="Arial" w:cs="Arial"/>
          <w:sz w:val="22"/>
        </w:rPr>
        <w:t xml:space="preserve"> </w:t>
      </w:r>
    </w:p>
    <w:p w14:paraId="090C3921" w14:textId="1FDCE9F5" w:rsidR="006311D7" w:rsidRDefault="000137F2">
      <w:pPr>
        <w:spacing w:after="120" w:line="276" w:lineRule="auto"/>
        <w:jc w:val="both"/>
        <w:rPr>
          <w:rFonts w:ascii="Arial" w:hAnsi="Arial" w:cs="Arial"/>
          <w:sz w:val="22"/>
          <w:shd w:val="clear" w:color="auto" w:fill="FFFFFF"/>
        </w:rPr>
      </w:pPr>
      <w:r w:rsidRPr="00E013AA">
        <w:rPr>
          <w:rFonts w:ascii="Arial" w:eastAsia="Calibri" w:hAnsi="Arial" w:cs="Arial"/>
          <w:sz w:val="22"/>
        </w:rPr>
        <w:tab/>
        <w:t>Conforme a esto, revisad</w:t>
      </w:r>
      <w:r w:rsidR="00F74F9B">
        <w:rPr>
          <w:rFonts w:ascii="Arial" w:eastAsia="Calibri" w:hAnsi="Arial" w:cs="Arial"/>
          <w:sz w:val="22"/>
        </w:rPr>
        <w:t>a la Matriz</w:t>
      </w:r>
      <w:r w:rsidRPr="00E013AA">
        <w:rPr>
          <w:rFonts w:ascii="Arial" w:eastAsia="Calibri" w:hAnsi="Arial" w:cs="Arial"/>
          <w:sz w:val="22"/>
        </w:rPr>
        <w:t xml:space="preserve"> 1 adoptada mediante las resoluciones </w:t>
      </w:r>
      <w:r w:rsidR="00F74F9B">
        <w:rPr>
          <w:rFonts w:ascii="Arial" w:eastAsia="Calibri" w:hAnsi="Arial" w:cs="Arial"/>
          <w:sz w:val="22"/>
        </w:rPr>
        <w:t>precitadas</w:t>
      </w:r>
      <w:r w:rsidRPr="00E013AA">
        <w:rPr>
          <w:rFonts w:ascii="Arial" w:eastAsia="Calibri" w:hAnsi="Arial" w:cs="Arial"/>
          <w:sz w:val="22"/>
        </w:rPr>
        <w:t>, se advierte que</w:t>
      </w:r>
      <w:r w:rsidR="006D7A62" w:rsidRPr="00E013AA">
        <w:rPr>
          <w:rFonts w:ascii="Arial" w:eastAsia="Calibri" w:hAnsi="Arial" w:cs="Arial"/>
          <w:sz w:val="22"/>
        </w:rPr>
        <w:t xml:space="preserve"> </w:t>
      </w:r>
      <w:r w:rsidR="006C5079" w:rsidRPr="00E013AA">
        <w:rPr>
          <w:rFonts w:ascii="Arial" w:eastAsia="Calibri" w:hAnsi="Arial" w:cs="Arial"/>
          <w:sz w:val="22"/>
        </w:rPr>
        <w:t xml:space="preserve">el </w:t>
      </w:r>
      <w:r w:rsidR="006C5079" w:rsidRPr="00E013AA">
        <w:rPr>
          <w:rFonts w:ascii="Arial" w:eastAsia="Calibri" w:hAnsi="Arial" w:cs="Arial"/>
          <w:i/>
          <w:iCs/>
          <w:sz w:val="22"/>
        </w:rPr>
        <w:t>mantenimiento eléctrico de semáforos</w:t>
      </w:r>
      <w:r w:rsidR="006D7A62" w:rsidRPr="00E013AA">
        <w:rPr>
          <w:rFonts w:ascii="Arial" w:eastAsia="Calibri" w:hAnsi="Arial" w:cs="Arial"/>
          <w:i/>
          <w:iCs/>
          <w:sz w:val="22"/>
        </w:rPr>
        <w:t xml:space="preserve"> </w:t>
      </w:r>
      <w:r w:rsidR="006D7A62" w:rsidRPr="00E013AA">
        <w:rPr>
          <w:rFonts w:ascii="Arial" w:eastAsia="Calibri" w:hAnsi="Arial" w:cs="Arial"/>
          <w:sz w:val="22"/>
        </w:rPr>
        <w:t xml:space="preserve">y la </w:t>
      </w:r>
      <w:r w:rsidR="006D7A62" w:rsidRPr="00E013AA">
        <w:rPr>
          <w:rFonts w:ascii="Arial" w:eastAsia="Calibri" w:hAnsi="Arial" w:cs="Arial"/>
          <w:i/>
          <w:iCs/>
          <w:sz w:val="22"/>
        </w:rPr>
        <w:t>instalación de postes,</w:t>
      </w:r>
      <w:r w:rsidR="007F4022" w:rsidRPr="00E013AA">
        <w:rPr>
          <w:rFonts w:ascii="Arial" w:eastAsia="Calibri" w:hAnsi="Arial" w:cs="Arial"/>
          <w:sz w:val="22"/>
        </w:rPr>
        <w:t xml:space="preserve"> no se subsumen en ninguna de las actividade</w:t>
      </w:r>
      <w:r w:rsidR="0028631B" w:rsidRPr="00E013AA">
        <w:rPr>
          <w:rFonts w:ascii="Arial" w:eastAsia="Calibri" w:hAnsi="Arial" w:cs="Arial"/>
          <w:sz w:val="22"/>
        </w:rPr>
        <w:t xml:space="preserve">s allí </w:t>
      </w:r>
      <w:r w:rsidR="00F74F9B">
        <w:rPr>
          <w:rFonts w:ascii="Arial" w:eastAsia="Calibri" w:hAnsi="Arial" w:cs="Arial"/>
          <w:sz w:val="22"/>
        </w:rPr>
        <w:t>descritas</w:t>
      </w:r>
      <w:r w:rsidR="0028631B" w:rsidRPr="00E013AA">
        <w:rPr>
          <w:rFonts w:ascii="Arial" w:eastAsia="Calibri" w:hAnsi="Arial" w:cs="Arial"/>
          <w:sz w:val="22"/>
        </w:rPr>
        <w:t xml:space="preserve">, por lo que, en principio, su </w:t>
      </w:r>
      <w:r w:rsidR="00016AF9" w:rsidRPr="00E013AA">
        <w:rPr>
          <w:rFonts w:ascii="Arial" w:eastAsia="Calibri" w:hAnsi="Arial" w:cs="Arial"/>
          <w:sz w:val="22"/>
        </w:rPr>
        <w:t>contratación</w:t>
      </w:r>
      <w:r w:rsidR="0028631B" w:rsidRPr="00E013AA">
        <w:rPr>
          <w:rFonts w:ascii="Arial" w:eastAsia="Calibri" w:hAnsi="Arial" w:cs="Arial"/>
          <w:sz w:val="22"/>
        </w:rPr>
        <w:t xml:space="preserve"> no </w:t>
      </w:r>
      <w:r w:rsidR="00F74F9B">
        <w:rPr>
          <w:rFonts w:ascii="Arial" w:eastAsia="Calibri" w:hAnsi="Arial" w:cs="Arial"/>
          <w:sz w:val="22"/>
        </w:rPr>
        <w:t>requiere la aplicación de</w:t>
      </w:r>
      <w:r w:rsidR="00016AF9" w:rsidRPr="00E013AA">
        <w:rPr>
          <w:rFonts w:ascii="Arial" w:eastAsia="Calibri" w:hAnsi="Arial" w:cs="Arial"/>
          <w:sz w:val="22"/>
        </w:rPr>
        <w:t xml:space="preserve"> los documentos tipo de infraestructura de transporte.</w:t>
      </w:r>
      <w:r w:rsidR="0000340B">
        <w:rPr>
          <w:rFonts w:ascii="Arial" w:eastAsia="Calibri" w:hAnsi="Arial" w:cs="Arial"/>
          <w:sz w:val="22"/>
        </w:rPr>
        <w:t xml:space="preserve"> </w:t>
      </w:r>
      <w:r w:rsidR="00F74F9B">
        <w:rPr>
          <w:rFonts w:ascii="Arial" w:eastAsia="Calibri" w:hAnsi="Arial" w:cs="Arial"/>
          <w:sz w:val="22"/>
        </w:rPr>
        <w:t>En todo caso</w:t>
      </w:r>
      <w:r w:rsidR="00016AF9" w:rsidRPr="00E013AA">
        <w:rPr>
          <w:rFonts w:ascii="Arial" w:eastAsia="Calibri" w:hAnsi="Arial" w:cs="Arial"/>
          <w:sz w:val="22"/>
        </w:rPr>
        <w:t xml:space="preserve">, </w:t>
      </w:r>
      <w:r w:rsidR="00DE46BC" w:rsidRPr="00E013AA">
        <w:rPr>
          <w:rFonts w:ascii="Arial" w:hAnsi="Arial" w:cs="Arial"/>
          <w:sz w:val="22"/>
        </w:rPr>
        <w:t>si además de</w:t>
      </w:r>
      <w:r w:rsidR="003759CE" w:rsidRPr="00E013AA">
        <w:rPr>
          <w:rFonts w:ascii="Arial" w:hAnsi="Arial" w:cs="Arial"/>
          <w:sz w:val="22"/>
        </w:rPr>
        <w:t xml:space="preserve"> </w:t>
      </w:r>
      <w:r w:rsidR="00F74F9B">
        <w:rPr>
          <w:rFonts w:ascii="Arial" w:hAnsi="Arial" w:cs="Arial"/>
          <w:sz w:val="22"/>
        </w:rPr>
        <w:t>estas</w:t>
      </w:r>
      <w:r w:rsidR="003759CE" w:rsidRPr="00E013AA">
        <w:rPr>
          <w:rFonts w:ascii="Arial" w:hAnsi="Arial" w:cs="Arial"/>
          <w:sz w:val="22"/>
        </w:rPr>
        <w:t xml:space="preserve"> actividades</w:t>
      </w:r>
      <w:r w:rsidR="00DE46BC" w:rsidRPr="00E013AA">
        <w:rPr>
          <w:rFonts w:ascii="Arial" w:hAnsi="Arial" w:cs="Arial"/>
          <w:sz w:val="22"/>
        </w:rPr>
        <w:t xml:space="preserve">, el desarrollo del objeto contractual involucra la intervención de alguno de los tipos de infraestructura señalados </w:t>
      </w:r>
      <w:r w:rsidR="00F74F9B">
        <w:rPr>
          <w:rFonts w:ascii="Arial" w:hAnsi="Arial" w:cs="Arial"/>
          <w:sz w:val="22"/>
        </w:rPr>
        <w:t>en la Matriz 1</w:t>
      </w:r>
      <w:r w:rsidR="00DE46BC" w:rsidRPr="00E013AA">
        <w:rPr>
          <w:rFonts w:ascii="Arial" w:hAnsi="Arial" w:cs="Arial"/>
          <w:sz w:val="22"/>
        </w:rPr>
        <w:t>, mediante las actividades que esta contempla, la entidad deberá aplicar los documentos tipo de obra pública de infraestructura de transporte</w:t>
      </w:r>
      <w:r w:rsidR="00B17103" w:rsidRPr="00E013AA">
        <w:rPr>
          <w:rFonts w:ascii="Arial" w:hAnsi="Arial" w:cs="Arial"/>
          <w:sz w:val="22"/>
        </w:rPr>
        <w:t>. En este evento,</w:t>
      </w:r>
      <w:r w:rsidR="00DE46BC" w:rsidRPr="00E013AA">
        <w:rPr>
          <w:rFonts w:ascii="Arial" w:hAnsi="Arial" w:cs="Arial"/>
          <w:sz w:val="22"/>
        </w:rPr>
        <w:t xml:space="preserve"> el mantenimiento</w:t>
      </w:r>
      <w:r w:rsidR="00B17103" w:rsidRPr="00E013AA">
        <w:rPr>
          <w:rFonts w:ascii="Arial" w:hAnsi="Arial" w:cs="Arial"/>
          <w:sz w:val="22"/>
        </w:rPr>
        <w:t xml:space="preserve"> </w:t>
      </w:r>
      <w:r w:rsidR="007F0426">
        <w:rPr>
          <w:rFonts w:ascii="Arial" w:hAnsi="Arial" w:cs="Arial"/>
          <w:sz w:val="22"/>
        </w:rPr>
        <w:t xml:space="preserve">eléctrico </w:t>
      </w:r>
      <w:r w:rsidR="00B17103" w:rsidRPr="00E013AA">
        <w:rPr>
          <w:rFonts w:ascii="Arial" w:hAnsi="Arial" w:cs="Arial"/>
          <w:sz w:val="22"/>
        </w:rPr>
        <w:t>de semáforos y la instalación de postes</w:t>
      </w:r>
      <w:r w:rsidR="00DE46BC" w:rsidRPr="00E013AA">
        <w:rPr>
          <w:rFonts w:ascii="Arial" w:hAnsi="Arial" w:cs="Arial"/>
          <w:sz w:val="22"/>
        </w:rPr>
        <w:t xml:space="preserve"> </w:t>
      </w:r>
      <w:r w:rsidR="00DE46BC" w:rsidRPr="00E013AA">
        <w:rPr>
          <w:rFonts w:ascii="Arial" w:hAnsi="Arial" w:cs="Arial"/>
          <w:sz w:val="22"/>
          <w:shd w:val="clear" w:color="auto" w:fill="FFFFFF"/>
        </w:rPr>
        <w:t xml:space="preserve">constituirá un servicio adicional a la obra pública de infraestructura de transporte, en virtud de lo cual la entidad podrá solicitar experiencia adicional de acuerdo con los artículos 2.2.1.2.6.1.5, 2.2.1.2.6.2.3 o 2.2.1.2.6.3.5 del Decreto 1082 de 2015, según corresponda. </w:t>
      </w:r>
    </w:p>
    <w:p w14:paraId="08C6A125" w14:textId="77777777" w:rsidR="00E013AA" w:rsidRPr="00E013AA" w:rsidRDefault="00E013AA" w:rsidP="00E013AA">
      <w:pPr>
        <w:shd w:val="clear" w:color="auto" w:fill="FFFFFF"/>
        <w:spacing w:line="276" w:lineRule="auto"/>
        <w:jc w:val="both"/>
        <w:rPr>
          <w:rFonts w:ascii="Arial" w:eastAsia="Calibri" w:hAnsi="Arial" w:cs="Arial"/>
          <w:sz w:val="22"/>
        </w:rPr>
      </w:pPr>
    </w:p>
    <w:p w14:paraId="5A28E536" w14:textId="1DD9372D" w:rsidR="00E013AA" w:rsidRPr="00E013AA" w:rsidRDefault="00DD689E" w:rsidP="00816001">
      <w:pPr>
        <w:shd w:val="clear" w:color="auto" w:fill="FFFFFF"/>
        <w:spacing w:after="120" w:line="276" w:lineRule="auto"/>
        <w:jc w:val="both"/>
        <w:rPr>
          <w:rFonts w:ascii="Arial" w:hAnsi="Arial" w:cs="Arial"/>
          <w:sz w:val="22"/>
          <w:lang w:val="es-ES_tradnl"/>
        </w:rPr>
      </w:pPr>
      <w:r w:rsidRPr="00E013AA">
        <w:rPr>
          <w:rFonts w:ascii="Arial" w:eastAsia="Calibri" w:hAnsi="Arial" w:cs="Arial"/>
          <w:sz w:val="22"/>
        </w:rPr>
        <w:t>Este concepto tiene el alcance previsto en el artículo 28 del Código de Procedimiento Administrativo y de lo Contencioso Administrativo.</w:t>
      </w:r>
      <w:bookmarkEnd w:id="0"/>
      <w:bookmarkEnd w:id="1"/>
    </w:p>
    <w:p w14:paraId="6DEE1C03" w14:textId="3043DEE2" w:rsidR="00E013AA" w:rsidRPr="00E013AA" w:rsidRDefault="0084265D" w:rsidP="00E013AA">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36CA42AB" wp14:editId="086C674D">
            <wp:extent cx="2514600" cy="11125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2520"/>
                    </a:xfrm>
                    <a:prstGeom prst="rect">
                      <a:avLst/>
                    </a:prstGeom>
                  </pic:spPr>
                </pic:pic>
              </a:graphicData>
            </a:graphic>
          </wp:inline>
        </w:drawing>
      </w:r>
    </w:p>
    <w:p w14:paraId="62B57F4C" w14:textId="77777777" w:rsidR="00E013AA" w:rsidRPr="00E013AA" w:rsidRDefault="00E013AA" w:rsidP="00E013AA">
      <w:pPr>
        <w:jc w:val="center"/>
        <w:rPr>
          <w:rFonts w:ascii="Arial" w:hAnsi="Arial" w:cs="Arial"/>
          <w:sz w:val="18"/>
          <w:szCs w:val="20"/>
          <w:lang w:val="es-ES_tradnl" w:eastAsia="es-CO"/>
        </w:rPr>
      </w:pPr>
    </w:p>
    <w:p w14:paraId="5B9CD413" w14:textId="77777777" w:rsidR="00816001" w:rsidRPr="00E013AA" w:rsidRDefault="00816001" w:rsidP="00E013AA">
      <w:pPr>
        <w:jc w:val="center"/>
        <w:rPr>
          <w:rFonts w:ascii="Arial" w:hAnsi="Arial" w:cs="Arial"/>
          <w:sz w:val="18"/>
          <w:szCs w:val="20"/>
          <w:lang w:val="es-ES_tradnl"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E013AA" w:rsidRPr="00E013AA" w14:paraId="2DE3E864" w14:textId="77777777" w:rsidTr="00E013AA">
        <w:trPr>
          <w:trHeight w:val="315"/>
        </w:trPr>
        <w:tc>
          <w:tcPr>
            <w:tcW w:w="1044" w:type="dxa"/>
            <w:vAlign w:val="center"/>
          </w:tcPr>
          <w:p w14:paraId="4D8B5E72" w14:textId="05830EFF"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76B3297B" w14:textId="77777777"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Alejandro Sarmiento Cantillo</w:t>
            </w:r>
          </w:p>
          <w:p w14:paraId="524B4D5E" w14:textId="77777777"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Gestor T1-11 de la Subdirección de Gestión Contractual</w:t>
            </w:r>
          </w:p>
        </w:tc>
      </w:tr>
      <w:tr w:rsidR="00E013AA" w:rsidRPr="00E013AA" w14:paraId="53A8D10E" w14:textId="77777777" w:rsidTr="00E013AA">
        <w:trPr>
          <w:trHeight w:val="330"/>
        </w:trPr>
        <w:tc>
          <w:tcPr>
            <w:tcW w:w="1044" w:type="dxa"/>
            <w:vMerge w:val="restart"/>
            <w:vAlign w:val="center"/>
          </w:tcPr>
          <w:p w14:paraId="39BDAD2F" w14:textId="6ED231D7"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Revisaron:</w:t>
            </w:r>
          </w:p>
        </w:tc>
        <w:tc>
          <w:tcPr>
            <w:tcW w:w="4413" w:type="dxa"/>
            <w:tcBorders>
              <w:top w:val="dotted" w:sz="4" w:space="0" w:color="7F7F7F" w:themeColor="text1" w:themeTint="80"/>
              <w:left w:val="nil"/>
              <w:bottom w:val="dotted" w:sz="4" w:space="0" w:color="7F7F7F" w:themeColor="text1" w:themeTint="80"/>
              <w:right w:val="nil"/>
            </w:tcBorders>
            <w:vAlign w:val="center"/>
          </w:tcPr>
          <w:p w14:paraId="6E035C5D" w14:textId="261A51B9" w:rsidR="00E013AA" w:rsidRPr="00E013AA" w:rsidRDefault="00E013AA" w:rsidP="0084265D">
            <w:pPr>
              <w:jc w:val="both"/>
              <w:rPr>
                <w:rFonts w:ascii="Arial" w:hAnsi="Arial" w:cs="Arial"/>
                <w:sz w:val="16"/>
                <w:szCs w:val="16"/>
                <w:lang w:val="es-ES_tradnl" w:eastAsia="es-ES"/>
              </w:rPr>
            </w:pPr>
            <w:proofErr w:type="spellStart"/>
            <w:r w:rsidRPr="00E013AA">
              <w:rPr>
                <w:rFonts w:ascii="Arial" w:hAnsi="Arial" w:cs="Arial"/>
                <w:sz w:val="16"/>
                <w:szCs w:val="16"/>
                <w:lang w:val="es-ES_tradnl" w:eastAsia="es-ES"/>
              </w:rPr>
              <w:t>Karlo</w:t>
            </w:r>
            <w:proofErr w:type="spellEnd"/>
            <w:r w:rsidRPr="00E013AA">
              <w:rPr>
                <w:rFonts w:ascii="Arial" w:hAnsi="Arial" w:cs="Arial"/>
                <w:sz w:val="16"/>
                <w:szCs w:val="16"/>
                <w:lang w:val="es-ES_tradnl" w:eastAsia="es-ES"/>
              </w:rPr>
              <w:t xml:space="preserve"> Fernández Cala</w:t>
            </w:r>
          </w:p>
          <w:p w14:paraId="3CA9A842" w14:textId="24647AB0"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Gestor T1-15 de la Dirección General</w:t>
            </w:r>
          </w:p>
        </w:tc>
      </w:tr>
      <w:tr w:rsidR="00E013AA" w:rsidRPr="00E013AA" w14:paraId="539068EF" w14:textId="77777777" w:rsidTr="00E013AA">
        <w:trPr>
          <w:trHeight w:val="330"/>
        </w:trPr>
        <w:tc>
          <w:tcPr>
            <w:tcW w:w="1044" w:type="dxa"/>
            <w:vMerge/>
            <w:vAlign w:val="center"/>
            <w:hideMark/>
          </w:tcPr>
          <w:p w14:paraId="0E385BFB" w14:textId="67C5C0D2" w:rsidR="00E013AA" w:rsidRPr="00E013AA" w:rsidRDefault="00E013AA" w:rsidP="0084265D">
            <w:pPr>
              <w:jc w:val="both"/>
              <w:rPr>
                <w:rFonts w:ascii="Arial" w:hAnsi="Arial" w:cs="Arial"/>
                <w:sz w:val="16"/>
                <w:szCs w:val="16"/>
                <w:lang w:val="es-ES_tradnl" w:eastAsia="es-ES"/>
              </w:rPr>
            </w:pP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2D57DE" w14:textId="1D5F5562"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Juan David Montoya Penagos</w:t>
            </w:r>
          </w:p>
          <w:p w14:paraId="1D90B585" w14:textId="58C58D9A"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 xml:space="preserve">Gestor T1-15 </w:t>
            </w:r>
            <w:r w:rsidR="0000340B" w:rsidRPr="00E013AA">
              <w:rPr>
                <w:rFonts w:ascii="Arial" w:hAnsi="Arial" w:cs="Arial"/>
                <w:sz w:val="16"/>
                <w:szCs w:val="16"/>
                <w:lang w:val="es-ES_tradnl" w:eastAsia="es-ES"/>
              </w:rPr>
              <w:t>de la Subdirección de Gestión Contractual</w:t>
            </w:r>
          </w:p>
        </w:tc>
      </w:tr>
      <w:tr w:rsidR="00E013AA" w:rsidRPr="00E013AA" w14:paraId="57599FAF" w14:textId="77777777" w:rsidTr="00E013AA">
        <w:trPr>
          <w:trHeight w:val="300"/>
        </w:trPr>
        <w:tc>
          <w:tcPr>
            <w:tcW w:w="1044" w:type="dxa"/>
            <w:vAlign w:val="center"/>
            <w:hideMark/>
          </w:tcPr>
          <w:p w14:paraId="66168CD0" w14:textId="77777777"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24E84C" w14:textId="77777777"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Jorge Augusto Tirado Navarro</w:t>
            </w:r>
          </w:p>
          <w:p w14:paraId="44F07231" w14:textId="0A3548EA" w:rsidR="00E013AA" w:rsidRPr="00E013AA" w:rsidRDefault="00E013AA" w:rsidP="0084265D">
            <w:pPr>
              <w:jc w:val="both"/>
              <w:rPr>
                <w:rFonts w:ascii="Arial" w:hAnsi="Arial" w:cs="Arial"/>
                <w:sz w:val="16"/>
                <w:szCs w:val="16"/>
                <w:lang w:val="es-ES_tradnl" w:eastAsia="es-ES"/>
              </w:rPr>
            </w:pPr>
            <w:r w:rsidRPr="00E013AA">
              <w:rPr>
                <w:rFonts w:ascii="Arial" w:hAnsi="Arial" w:cs="Arial"/>
                <w:sz w:val="16"/>
                <w:szCs w:val="16"/>
                <w:lang w:val="es-ES_tradnl" w:eastAsia="es-ES"/>
              </w:rPr>
              <w:t>Subdirector de Gestión Contractual</w:t>
            </w:r>
            <w:r w:rsidR="0000340B">
              <w:rPr>
                <w:rFonts w:ascii="Arial" w:hAnsi="Arial" w:cs="Arial"/>
                <w:sz w:val="16"/>
                <w:szCs w:val="16"/>
                <w:lang w:val="es-ES_tradnl" w:eastAsia="es-ES"/>
              </w:rPr>
              <w:t xml:space="preserve"> ANCP - CCE</w:t>
            </w:r>
          </w:p>
        </w:tc>
      </w:tr>
    </w:tbl>
    <w:p w14:paraId="369F3B10" w14:textId="294E2ABD" w:rsidR="00C02F78" w:rsidRPr="00E013AA" w:rsidRDefault="00C02F78" w:rsidP="00816001">
      <w:pPr>
        <w:spacing w:before="120" w:line="276" w:lineRule="auto"/>
        <w:jc w:val="both"/>
      </w:pPr>
    </w:p>
    <w:sectPr w:rsidR="00C02F78" w:rsidRPr="00E013AA"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8756B" w14:textId="77777777" w:rsidR="00C9667D" w:rsidRDefault="00C9667D" w:rsidP="008C487C">
      <w:r>
        <w:separator/>
      </w:r>
    </w:p>
  </w:endnote>
  <w:endnote w:type="continuationSeparator" w:id="0">
    <w:p w14:paraId="6327765C" w14:textId="77777777" w:rsidR="00C9667D" w:rsidRDefault="00C9667D" w:rsidP="008C487C">
      <w:r>
        <w:continuationSeparator/>
      </w:r>
    </w:p>
  </w:endnote>
  <w:endnote w:type="continuationNotice" w:id="1">
    <w:p w14:paraId="48BF6010" w14:textId="77777777" w:rsidR="005245AA" w:rsidRDefault="00524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E27002" w:rsidRDefault="00E27002" w:rsidP="00C878E1">
    <w:pPr>
      <w:pStyle w:val="NoSpacing"/>
      <w:rPr>
        <w:rFonts w:ascii="Arial" w:hAnsi="Arial" w:cs="Arial"/>
        <w:sz w:val="18"/>
        <w:szCs w:val="18"/>
      </w:rPr>
    </w:pPr>
  </w:p>
  <w:p w14:paraId="3D3EB348" w14:textId="77777777" w:rsidR="00E27002" w:rsidRPr="008217B7" w:rsidRDefault="00E27002" w:rsidP="00AC43E7">
    <w:pPr>
      <w:pStyle w:val="Footer"/>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28179B1" w14:textId="62D5E177" w:rsidR="00E27002" w:rsidRDefault="00E27002" w:rsidP="00C878E1">
    <w:pPr>
      <w:pStyle w:val="Footer"/>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377A4E" w14:textId="77777777" w:rsidR="00EF1F22" w:rsidRPr="00C878E1" w:rsidRDefault="00EF1F22" w:rsidP="00C878E1">
    <w:pPr>
      <w:pStyle w:val="Footer"/>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5888" w14:textId="77777777" w:rsidR="00C9667D" w:rsidRDefault="00C9667D" w:rsidP="008C487C">
      <w:r>
        <w:separator/>
      </w:r>
    </w:p>
  </w:footnote>
  <w:footnote w:type="continuationSeparator" w:id="0">
    <w:p w14:paraId="1FAE9CF6" w14:textId="77777777" w:rsidR="00C9667D" w:rsidRDefault="00C9667D" w:rsidP="008C487C">
      <w:r>
        <w:continuationSeparator/>
      </w:r>
    </w:p>
  </w:footnote>
  <w:footnote w:type="continuationNotice" w:id="1">
    <w:p w14:paraId="33634DEE" w14:textId="77777777" w:rsidR="005245AA" w:rsidRDefault="005245AA"/>
  </w:footnote>
  <w:footnote w:id="2">
    <w:p w14:paraId="05675F27" w14:textId="0CBE6B16" w:rsidR="00E013AA" w:rsidRPr="00AA42EE" w:rsidRDefault="00E013AA" w:rsidP="006A2152">
      <w:pPr>
        <w:pStyle w:val="FootnoteText"/>
        <w:ind w:firstLine="708"/>
        <w:jc w:val="both"/>
        <w:rPr>
          <w:rFonts w:ascii="Arial" w:hAnsi="Arial" w:cs="Arial"/>
          <w:sz w:val="19"/>
          <w:szCs w:val="19"/>
        </w:rPr>
      </w:pPr>
      <w:r w:rsidRPr="00AA42EE">
        <w:rPr>
          <w:rStyle w:val="FootnoteReference"/>
          <w:rFonts w:ascii="Arial" w:hAnsi="Arial" w:cs="Arial"/>
          <w:sz w:val="19"/>
          <w:szCs w:val="19"/>
        </w:rPr>
        <w:footnoteRef/>
      </w:r>
      <w:r w:rsidRPr="00AA42EE">
        <w:rPr>
          <w:rFonts w:ascii="Arial" w:hAnsi="Arial" w:cs="Arial"/>
          <w:sz w:val="19"/>
          <w:szCs w:val="19"/>
        </w:rPr>
        <w:t xml:space="preserve"> </w:t>
      </w:r>
      <w:r w:rsidR="006A2152">
        <w:rPr>
          <w:rFonts w:ascii="Arial" w:hAnsi="Arial" w:cs="Arial"/>
          <w:sz w:val="19"/>
          <w:szCs w:val="19"/>
        </w:rPr>
        <w:t>El artículo 4 de la Ley 1882 de 2020 adici</w:t>
      </w:r>
      <w:r w:rsidR="00B31464">
        <w:rPr>
          <w:rFonts w:ascii="Arial" w:hAnsi="Arial" w:cs="Arial"/>
          <w:sz w:val="19"/>
          <w:szCs w:val="19"/>
        </w:rPr>
        <w:t>o</w:t>
      </w:r>
      <w:r w:rsidR="006A2152">
        <w:rPr>
          <w:rFonts w:ascii="Arial" w:hAnsi="Arial" w:cs="Arial"/>
          <w:sz w:val="19"/>
          <w:szCs w:val="19"/>
        </w:rPr>
        <w:t xml:space="preserve">nó el parágrafo 7 al artículo 2 de la Ley 1150 de 2007, </w:t>
      </w:r>
      <w:r w:rsidR="00B31464">
        <w:rPr>
          <w:rFonts w:ascii="Arial" w:hAnsi="Arial" w:cs="Arial"/>
          <w:sz w:val="19"/>
          <w:szCs w:val="19"/>
        </w:rPr>
        <w:t xml:space="preserve">el cual </w:t>
      </w:r>
      <w:r w:rsidR="00287105" w:rsidRPr="00AA42EE">
        <w:rPr>
          <w:rFonts w:ascii="Arial" w:hAnsi="Arial" w:cs="Arial"/>
          <w:sz w:val="19"/>
          <w:szCs w:val="19"/>
        </w:rPr>
        <w:t>fue</w:t>
      </w:r>
      <w:r w:rsidR="00B31464">
        <w:rPr>
          <w:rFonts w:ascii="Arial" w:hAnsi="Arial" w:cs="Arial"/>
          <w:sz w:val="19"/>
          <w:szCs w:val="19"/>
        </w:rPr>
        <w:t xml:space="preserve"> posteriormente</w:t>
      </w:r>
      <w:r w:rsidR="00287105" w:rsidRPr="00AA42EE">
        <w:rPr>
          <w:rFonts w:ascii="Arial" w:hAnsi="Arial" w:cs="Arial"/>
          <w:sz w:val="19"/>
          <w:szCs w:val="19"/>
        </w:rPr>
        <w:t xml:space="preserve"> modificado por la Ley 2022 de 2020, a través de la cual</w:t>
      </w:r>
      <w:r w:rsidR="005A452D" w:rsidRPr="00AA42EE">
        <w:rPr>
          <w:rFonts w:ascii="Arial" w:hAnsi="Arial" w:cs="Arial"/>
          <w:sz w:val="19"/>
          <w:szCs w:val="19"/>
        </w:rPr>
        <w:t xml:space="preserve"> se atribuyó directamente a la Agencia Nacional de Contratación Pública </w:t>
      </w:r>
      <w:r w:rsidR="001A0CC7" w:rsidRPr="00AA42EE">
        <w:rPr>
          <w:rFonts w:ascii="Arial" w:hAnsi="Arial" w:cs="Arial"/>
          <w:sz w:val="19"/>
          <w:szCs w:val="19"/>
        </w:rPr>
        <w:t>– Colombia Compra Eficiente la competencia para adoptar documentos tipo de aplicación obligatoria para</w:t>
      </w:r>
      <w:r w:rsidR="00AA42EE" w:rsidRPr="00AA42EE">
        <w:rPr>
          <w:rFonts w:ascii="Arial" w:hAnsi="Arial" w:cs="Arial"/>
          <w:sz w:val="19"/>
          <w:szCs w:val="19"/>
        </w:rPr>
        <w:t xml:space="preserve"> las entidades regidas por el EGCAP.</w:t>
      </w:r>
    </w:p>
  </w:footnote>
  <w:footnote w:id="3">
    <w:p w14:paraId="6C89D695" w14:textId="77777777" w:rsidR="00FB05F4" w:rsidRPr="00270009" w:rsidRDefault="00FB05F4" w:rsidP="00FB05F4">
      <w:pPr>
        <w:pStyle w:val="FootnoteText"/>
        <w:ind w:firstLine="708"/>
        <w:jc w:val="both"/>
        <w:rPr>
          <w:rFonts w:ascii="Arial" w:hAnsi="Arial" w:cs="Arial"/>
          <w:sz w:val="19"/>
          <w:szCs w:val="19"/>
        </w:rPr>
      </w:pPr>
      <w:r w:rsidRPr="00270009">
        <w:rPr>
          <w:rStyle w:val="FootnoteReferenc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EF9F99A" w14:textId="77777777" w:rsidR="00FB05F4" w:rsidRPr="00270009" w:rsidRDefault="00FB05F4" w:rsidP="00FB05F4">
      <w:pPr>
        <w:pStyle w:val="FootnoteText"/>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6E9834D" w14:textId="77777777" w:rsidR="00FB05F4" w:rsidRPr="00270009" w:rsidRDefault="00FB05F4" w:rsidP="00FB05F4">
      <w:pPr>
        <w:pStyle w:val="FootnoteText"/>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75F12A3" w14:textId="77777777" w:rsidR="00FB05F4" w:rsidRPr="00270009" w:rsidRDefault="00FB05F4" w:rsidP="00FB05F4">
      <w:pPr>
        <w:pStyle w:val="FootnoteText"/>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55AE61B" w14:textId="77777777" w:rsidR="00FB05F4" w:rsidRPr="00270009" w:rsidRDefault="00FB05F4" w:rsidP="00FB05F4">
      <w:pPr>
        <w:pStyle w:val="FootnoteText"/>
        <w:ind w:firstLine="708"/>
        <w:jc w:val="both"/>
        <w:rPr>
          <w:rFonts w:ascii="Arial" w:hAnsi="Arial" w:cs="Arial"/>
          <w:sz w:val="19"/>
          <w:szCs w:val="19"/>
          <w:lang w:val="es-ES"/>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1CF9D44D" w14:textId="0E581F24" w:rsidR="00E1090A" w:rsidRDefault="004C7E95" w:rsidP="0048544A">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w:t>
      </w:r>
      <w:r w:rsidR="00C523A1" w:rsidRPr="002417D1">
        <w:rPr>
          <w:rFonts w:ascii="Arial" w:hAnsi="Arial" w:cs="Arial"/>
          <w:sz w:val="19"/>
          <w:szCs w:val="19"/>
        </w:rPr>
        <w:t xml:space="preserve">Esta resolución corresponde a la </w:t>
      </w:r>
      <w:r w:rsidR="00347696" w:rsidRPr="002417D1">
        <w:rPr>
          <w:rFonts w:ascii="Arial" w:hAnsi="Arial" w:cs="Arial"/>
          <w:sz w:val="19"/>
          <w:szCs w:val="19"/>
        </w:rPr>
        <w:t>V</w:t>
      </w:r>
      <w:r w:rsidR="00C523A1" w:rsidRPr="002417D1">
        <w:rPr>
          <w:rFonts w:ascii="Arial" w:hAnsi="Arial" w:cs="Arial"/>
          <w:sz w:val="19"/>
          <w:szCs w:val="19"/>
        </w:rPr>
        <w:t>ersión 2 de los Documentos Tipo de licitaci</w:t>
      </w:r>
      <w:r w:rsidR="00AA188C" w:rsidRPr="002417D1">
        <w:rPr>
          <w:rFonts w:ascii="Arial" w:hAnsi="Arial" w:cs="Arial"/>
          <w:sz w:val="19"/>
          <w:szCs w:val="19"/>
        </w:rPr>
        <w:t>ón de obra pública de infraestructura de transporte</w:t>
      </w:r>
      <w:r w:rsidR="006B5145" w:rsidRPr="002417D1">
        <w:rPr>
          <w:rFonts w:ascii="Arial" w:hAnsi="Arial" w:cs="Arial"/>
          <w:sz w:val="19"/>
          <w:szCs w:val="19"/>
        </w:rPr>
        <w:t xml:space="preserve">, los cuales son aplicables a los procesos de selección cuyo aviso de convocatoria se publique a partir del </w:t>
      </w:r>
      <w:r w:rsidR="00142BB5" w:rsidRPr="002417D1">
        <w:rPr>
          <w:rFonts w:ascii="Arial" w:hAnsi="Arial" w:cs="Arial"/>
          <w:sz w:val="19"/>
          <w:szCs w:val="19"/>
        </w:rPr>
        <w:t xml:space="preserve">10 de marzo de 2020. Sin embargo, </w:t>
      </w:r>
      <w:r w:rsidR="009E4F0B">
        <w:rPr>
          <w:rFonts w:ascii="Arial" w:hAnsi="Arial" w:cs="Arial"/>
          <w:sz w:val="19"/>
          <w:szCs w:val="19"/>
        </w:rPr>
        <w:t>se</w:t>
      </w:r>
      <w:r w:rsidR="00347696" w:rsidRPr="002417D1">
        <w:rPr>
          <w:rFonts w:ascii="Arial" w:hAnsi="Arial" w:cs="Arial"/>
          <w:sz w:val="19"/>
          <w:szCs w:val="19"/>
        </w:rPr>
        <w:t xml:space="preserve"> aclara que </w:t>
      </w:r>
      <w:r w:rsidR="00311C1E" w:rsidRPr="002417D1">
        <w:rPr>
          <w:rFonts w:ascii="Arial" w:hAnsi="Arial" w:cs="Arial"/>
          <w:sz w:val="19"/>
          <w:szCs w:val="19"/>
        </w:rPr>
        <w:t>recientemente fue expedida la Resolución 240</w:t>
      </w:r>
      <w:r w:rsidR="00347696" w:rsidRPr="002417D1">
        <w:rPr>
          <w:rFonts w:ascii="Arial" w:hAnsi="Arial" w:cs="Arial"/>
          <w:sz w:val="19"/>
          <w:szCs w:val="19"/>
        </w:rPr>
        <w:t xml:space="preserve"> de 2020, implementando la Versión 3 de estos documentos, la cual es aplicable a los procedimientos cuyo aviso de convocatoria se publique a partir del 1 de enero de 202</w:t>
      </w:r>
      <w:r w:rsidR="009E4F0B">
        <w:rPr>
          <w:rFonts w:ascii="Arial" w:hAnsi="Arial" w:cs="Arial"/>
          <w:sz w:val="19"/>
          <w:szCs w:val="19"/>
        </w:rPr>
        <w:t>1</w:t>
      </w:r>
      <w:r w:rsidR="00347696" w:rsidRPr="002417D1">
        <w:rPr>
          <w:rFonts w:ascii="Arial" w:hAnsi="Arial" w:cs="Arial"/>
          <w:sz w:val="19"/>
          <w:szCs w:val="19"/>
        </w:rPr>
        <w:t xml:space="preserve">. </w:t>
      </w:r>
    </w:p>
    <w:p w14:paraId="0A0FCDF6" w14:textId="64E0BE85" w:rsidR="004C7E95" w:rsidRPr="002417D1" w:rsidRDefault="00AA188C" w:rsidP="0048544A">
      <w:pPr>
        <w:pStyle w:val="FootnoteText"/>
        <w:ind w:firstLine="708"/>
        <w:jc w:val="both"/>
        <w:rPr>
          <w:rFonts w:ascii="Arial" w:hAnsi="Arial" w:cs="Arial"/>
          <w:sz w:val="19"/>
          <w:szCs w:val="19"/>
        </w:rPr>
      </w:pPr>
      <w:r w:rsidRPr="002417D1">
        <w:rPr>
          <w:rFonts w:ascii="Arial" w:hAnsi="Arial" w:cs="Arial"/>
          <w:sz w:val="19"/>
          <w:szCs w:val="19"/>
        </w:rPr>
        <w:t xml:space="preserve"> </w:t>
      </w:r>
    </w:p>
  </w:footnote>
  <w:footnote w:id="5">
    <w:p w14:paraId="38CD70F7" w14:textId="10F5B11B" w:rsidR="00E1090A" w:rsidRDefault="00E1090A" w:rsidP="00D20C0C">
      <w:pPr>
        <w:pStyle w:val="FootnoteText"/>
        <w:ind w:firstLine="708"/>
        <w:jc w:val="both"/>
      </w:pPr>
      <w:r>
        <w:rPr>
          <w:rStyle w:val="FootnoteReference"/>
        </w:rPr>
        <w:footnoteRef/>
      </w:r>
      <w:r>
        <w:t xml:space="preserve"> </w:t>
      </w:r>
      <w:r w:rsidRPr="002417D1">
        <w:rPr>
          <w:rFonts w:ascii="Arial" w:hAnsi="Arial" w:cs="Arial"/>
          <w:sz w:val="19"/>
          <w:szCs w:val="19"/>
        </w:rPr>
        <w:t xml:space="preserve">Esta resolución corresponde a la Versión </w:t>
      </w:r>
      <w:r>
        <w:rPr>
          <w:rFonts w:ascii="Arial" w:hAnsi="Arial" w:cs="Arial"/>
          <w:sz w:val="19"/>
          <w:szCs w:val="19"/>
        </w:rPr>
        <w:t>1</w:t>
      </w:r>
      <w:r w:rsidRPr="002417D1">
        <w:rPr>
          <w:rFonts w:ascii="Arial" w:hAnsi="Arial" w:cs="Arial"/>
          <w:sz w:val="19"/>
          <w:szCs w:val="19"/>
        </w:rPr>
        <w:t xml:space="preserve"> de los Documentos Tipo de licitación de </w:t>
      </w:r>
      <w:r>
        <w:rPr>
          <w:rFonts w:ascii="Arial" w:hAnsi="Arial" w:cs="Arial"/>
          <w:sz w:val="19"/>
          <w:szCs w:val="19"/>
        </w:rPr>
        <w:t xml:space="preserve">selección abreviada para obra pública </w:t>
      </w:r>
      <w:r w:rsidRPr="002417D1">
        <w:rPr>
          <w:rFonts w:ascii="Arial" w:hAnsi="Arial" w:cs="Arial"/>
          <w:sz w:val="19"/>
          <w:szCs w:val="19"/>
        </w:rPr>
        <w:t xml:space="preserve">de infraestructura de transporte, los cuales son aplicables a los procesos de selección cuyo aviso de convocatoria se publique a partir del </w:t>
      </w:r>
      <w:r w:rsidR="009E4F0B">
        <w:rPr>
          <w:rFonts w:ascii="Arial" w:hAnsi="Arial" w:cs="Arial"/>
          <w:sz w:val="19"/>
          <w:szCs w:val="19"/>
        </w:rPr>
        <w:t>17 de febrero</w:t>
      </w:r>
      <w:r w:rsidRPr="002417D1">
        <w:rPr>
          <w:rFonts w:ascii="Arial" w:hAnsi="Arial" w:cs="Arial"/>
          <w:sz w:val="19"/>
          <w:szCs w:val="19"/>
        </w:rPr>
        <w:t xml:space="preserve"> de 2020. Sin embargo, </w:t>
      </w:r>
      <w:r w:rsidR="009E4F0B">
        <w:rPr>
          <w:rFonts w:ascii="Arial" w:hAnsi="Arial" w:cs="Arial"/>
          <w:sz w:val="19"/>
          <w:szCs w:val="19"/>
        </w:rPr>
        <w:t>se</w:t>
      </w:r>
      <w:r w:rsidRPr="002417D1">
        <w:rPr>
          <w:rFonts w:ascii="Arial" w:hAnsi="Arial" w:cs="Arial"/>
          <w:sz w:val="19"/>
          <w:szCs w:val="19"/>
        </w:rPr>
        <w:t xml:space="preserve"> aclara que recientemente </w:t>
      </w:r>
      <w:r w:rsidR="009E4F0B">
        <w:rPr>
          <w:rFonts w:ascii="Arial" w:hAnsi="Arial" w:cs="Arial"/>
          <w:sz w:val="19"/>
          <w:szCs w:val="19"/>
        </w:rPr>
        <w:t>se expidió</w:t>
      </w:r>
      <w:r w:rsidRPr="002417D1">
        <w:rPr>
          <w:rFonts w:ascii="Arial" w:hAnsi="Arial" w:cs="Arial"/>
          <w:sz w:val="19"/>
          <w:szCs w:val="19"/>
        </w:rPr>
        <w:t xml:space="preserve"> la Resolución 24</w:t>
      </w:r>
      <w:r w:rsidR="009E4F0B">
        <w:rPr>
          <w:rFonts w:ascii="Arial" w:hAnsi="Arial" w:cs="Arial"/>
          <w:sz w:val="19"/>
          <w:szCs w:val="19"/>
        </w:rPr>
        <w:t>1</w:t>
      </w:r>
      <w:r w:rsidRPr="002417D1">
        <w:rPr>
          <w:rFonts w:ascii="Arial" w:hAnsi="Arial" w:cs="Arial"/>
          <w:sz w:val="19"/>
          <w:szCs w:val="19"/>
        </w:rPr>
        <w:t xml:space="preserve"> de 2020, implementando la Versión </w:t>
      </w:r>
      <w:r w:rsidR="009E4F0B">
        <w:rPr>
          <w:rFonts w:ascii="Arial" w:hAnsi="Arial" w:cs="Arial"/>
          <w:sz w:val="19"/>
          <w:szCs w:val="19"/>
        </w:rPr>
        <w:t>2</w:t>
      </w:r>
      <w:r w:rsidRPr="002417D1">
        <w:rPr>
          <w:rFonts w:ascii="Arial" w:hAnsi="Arial" w:cs="Arial"/>
          <w:sz w:val="19"/>
          <w:szCs w:val="19"/>
        </w:rPr>
        <w:t xml:space="preserve"> de estos documentos, la cual es aplicable a los procedimientos cuyo aviso de convocatoria se publique a partir del 1 de enero de 202</w:t>
      </w:r>
      <w:r w:rsidR="009E4F0B">
        <w:rPr>
          <w:rFonts w:ascii="Arial" w:hAnsi="Arial" w:cs="Arial"/>
          <w:sz w:val="19"/>
          <w:szCs w:val="19"/>
        </w:rPr>
        <w:t>1</w:t>
      </w:r>
      <w:r w:rsidRPr="002417D1">
        <w:rPr>
          <w:rFonts w:ascii="Arial" w:hAnsi="Arial" w:cs="Arial"/>
          <w:sz w:val="19"/>
          <w:szCs w:val="19"/>
        </w:rPr>
        <w:t xml:space="preserve">. </w:t>
      </w:r>
      <w:r>
        <w:t xml:space="preserve"> </w:t>
      </w:r>
    </w:p>
  </w:footnote>
  <w:footnote w:id="6">
    <w:p w14:paraId="0C600838" w14:textId="65AF5303" w:rsidR="00AB33D4" w:rsidRPr="002417D1" w:rsidRDefault="00AB33D4" w:rsidP="00AB33D4">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Instituto Nacional de Vías –Invias–. Glosario Manual de señalización vial. Recuperado en: </w:t>
      </w:r>
      <w:hyperlink r:id="rId1" w:history="1">
        <w:r w:rsidRPr="002417D1">
          <w:rPr>
            <w:rStyle w:val="Hyperlink"/>
            <w:rFonts w:ascii="Arial" w:hAnsi="Arial" w:cs="Arial"/>
            <w:sz w:val="19"/>
            <w:szCs w:val="19"/>
          </w:rPr>
          <w:t>https://www.invias.gov.co/index.php/servicios-al-ciudadano/glosario/131-glosario-manual-senalizacion-vial</w:t>
        </w:r>
      </w:hyperlink>
    </w:p>
  </w:footnote>
  <w:footnote w:id="7">
    <w:p w14:paraId="525C9970" w14:textId="1268884C" w:rsidR="006A391C" w:rsidRPr="002417D1" w:rsidRDefault="006A391C" w:rsidP="00E906D9">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w:t>
      </w:r>
      <w:r w:rsidR="00A54BFD" w:rsidRPr="002417D1">
        <w:rPr>
          <w:rFonts w:ascii="Arial" w:hAnsi="Arial" w:cs="Arial"/>
          <w:sz w:val="19"/>
          <w:szCs w:val="19"/>
        </w:rPr>
        <w:t xml:space="preserve">Agencia Nacional de Contratación Pública – Colombia Compra Eficiente. Concepto C-597 del 14 de septiembre de 2020. Radicado de entrada No. </w:t>
      </w:r>
      <w:r w:rsidR="00E907F5" w:rsidRPr="002417D1">
        <w:rPr>
          <w:rFonts w:ascii="Arial" w:hAnsi="Arial" w:cs="Arial"/>
          <w:sz w:val="19"/>
          <w:szCs w:val="19"/>
        </w:rPr>
        <w:t xml:space="preserve">4202013000007665. Radicado de salida No. </w:t>
      </w:r>
      <w:r w:rsidR="00D06133" w:rsidRPr="002417D1">
        <w:rPr>
          <w:rFonts w:ascii="Arial" w:hAnsi="Arial" w:cs="Arial"/>
          <w:sz w:val="19"/>
          <w:szCs w:val="19"/>
        </w:rPr>
        <w:t>2202013000008787.</w:t>
      </w:r>
    </w:p>
  </w:footnote>
  <w:footnote w:id="8">
    <w:p w14:paraId="6903F9A8" w14:textId="389F7908" w:rsidR="00D377D3" w:rsidRPr="002417D1" w:rsidRDefault="00CB5AD0" w:rsidP="00654D59">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w:t>
      </w:r>
      <w:r w:rsidR="00D377D3" w:rsidRPr="002417D1">
        <w:rPr>
          <w:rFonts w:ascii="Arial" w:hAnsi="Arial" w:cs="Arial"/>
          <w:sz w:val="19"/>
          <w:szCs w:val="19"/>
        </w:rPr>
        <w:t xml:space="preserve">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3F2446C6" w14:textId="28FD8841" w:rsidR="00D377D3" w:rsidRPr="002417D1" w:rsidRDefault="00D377D3" w:rsidP="00654D59">
      <w:pPr>
        <w:pStyle w:val="FootnoteText"/>
        <w:ind w:firstLine="708"/>
        <w:jc w:val="both"/>
        <w:rPr>
          <w:rFonts w:ascii="Arial" w:hAnsi="Arial" w:cs="Arial"/>
          <w:sz w:val="19"/>
          <w:szCs w:val="19"/>
        </w:rPr>
      </w:pPr>
      <w:r w:rsidRPr="002417D1">
        <w:rPr>
          <w:rFonts w:ascii="Arial" w:hAnsi="Arial" w:cs="Arial"/>
          <w:sz w:val="19"/>
          <w:szCs w:val="19"/>
        </w:rPr>
        <w:t xml:space="preserve">»1o. Contrato de obra. </w:t>
      </w:r>
    </w:p>
    <w:p w14:paraId="0CA4C013" w14:textId="195F0251" w:rsidR="00D377D3" w:rsidRPr="002417D1" w:rsidRDefault="00D377D3" w:rsidP="00654D59">
      <w:pPr>
        <w:pStyle w:val="FootnoteText"/>
        <w:ind w:firstLine="708"/>
        <w:jc w:val="both"/>
        <w:rPr>
          <w:rFonts w:ascii="Arial" w:hAnsi="Arial" w:cs="Arial"/>
          <w:sz w:val="19"/>
          <w:szCs w:val="19"/>
        </w:rPr>
      </w:pPr>
      <w:r w:rsidRPr="002417D1">
        <w:rPr>
          <w:rFonts w:ascii="Arial" w:hAnsi="Arial" w:cs="Arial"/>
          <w:sz w:val="19"/>
          <w:szCs w:val="19"/>
        </w:rPr>
        <w:t xml:space="preserve">»Son contratos de obra los que celebren las entidades estatales para la construcción, mantenimiento, instalación y, en general, para la realización de cualquier otro trabajo material sobre bienes inmuebles, cualquiera que sea la modalidad de ejecución y pago. </w:t>
      </w:r>
    </w:p>
    <w:p w14:paraId="514A5F94" w14:textId="230152ED" w:rsidR="00CB5AD0" w:rsidRPr="002417D1" w:rsidRDefault="00D377D3" w:rsidP="00654D59">
      <w:pPr>
        <w:pStyle w:val="FootnoteText"/>
        <w:ind w:firstLine="708"/>
        <w:jc w:val="both"/>
        <w:rPr>
          <w:rFonts w:ascii="Arial" w:hAnsi="Arial" w:cs="Arial"/>
          <w:sz w:val="19"/>
          <w:szCs w:val="19"/>
        </w:rPr>
      </w:pPr>
      <w:r w:rsidRPr="002417D1">
        <w:rPr>
          <w:rFonts w:ascii="Arial" w:hAnsi="Arial" w:cs="Arial"/>
          <w:sz w:val="19"/>
          <w:szCs w:val="19"/>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 […]</w:t>
      </w:r>
      <w:r w:rsidR="00654D59" w:rsidRPr="002417D1">
        <w:rPr>
          <w:rFonts w:ascii="Arial" w:hAnsi="Arial" w:cs="Arial"/>
          <w:sz w:val="19"/>
          <w:szCs w:val="19"/>
        </w:rPr>
        <w:t>»</w:t>
      </w:r>
      <w:r w:rsidRPr="002417D1">
        <w:rPr>
          <w:rFonts w:ascii="Arial" w:hAnsi="Arial" w:cs="Arial"/>
          <w:sz w:val="19"/>
          <w:szCs w:val="19"/>
        </w:rPr>
        <w:t>.</w:t>
      </w:r>
      <w:r w:rsidR="00CB5AD0" w:rsidRPr="002417D1">
        <w:rPr>
          <w:rFonts w:ascii="Arial" w:hAnsi="Arial" w:cs="Arial"/>
          <w:sz w:val="19"/>
          <w:szCs w:val="19"/>
        </w:rPr>
        <w:t xml:space="preserve"> </w:t>
      </w:r>
    </w:p>
  </w:footnote>
  <w:footnote w:id="9">
    <w:p w14:paraId="01B73E2B" w14:textId="77777777" w:rsidR="00B5750A" w:rsidRPr="002417D1" w:rsidRDefault="00B5750A" w:rsidP="00B5750A">
      <w:pPr>
        <w:pStyle w:val="FootnoteText"/>
        <w:ind w:firstLine="708"/>
        <w:rPr>
          <w:rFonts w:ascii="Arial" w:hAnsi="Arial" w:cs="Arial"/>
          <w:sz w:val="19"/>
          <w:szCs w:val="19"/>
        </w:rPr>
      </w:pPr>
    </w:p>
    <w:p w14:paraId="0FFE343B" w14:textId="687A4656" w:rsidR="00813B1E" w:rsidRDefault="00813B1E" w:rsidP="00B5750A">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00B5750A" w:rsidRPr="002417D1">
        <w:rPr>
          <w:rFonts w:ascii="Arial" w:hAnsi="Arial" w:cs="Arial"/>
          <w:sz w:val="19"/>
          <w:szCs w:val="19"/>
        </w:rPr>
        <w:t xml:space="preserve"> Respecto del objeto del contrato de obra pública esta Agencia ha precisado lo siguiente: «En sentido amplio, dado que la «obra» es un bien que crea la actividad humana, el hecho de que sea «pública» significa que es todo trabajo material en cuya creación o realización interviene el Estado. No obstante, el numeral 1 del artículo 32 de la Ley 80 de 1993 opta por un sentido restringido,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 […]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la demolición o el mantenimiento». Concepto C-332 del 26 de mayo de 2020. Radicado de entrada No. 4202012000003309. Radicado de salida No. 2202013000004131.</w:t>
      </w:r>
    </w:p>
    <w:p w14:paraId="35E9436F" w14:textId="77777777" w:rsidR="002E71AB" w:rsidRPr="002417D1" w:rsidRDefault="002E71AB" w:rsidP="00B5750A">
      <w:pPr>
        <w:pStyle w:val="FootnoteText"/>
        <w:ind w:firstLine="708"/>
        <w:jc w:val="both"/>
        <w:rPr>
          <w:rFonts w:ascii="Arial" w:hAnsi="Arial" w:cs="Arial"/>
          <w:sz w:val="19"/>
          <w:szCs w:val="19"/>
        </w:rPr>
      </w:pPr>
    </w:p>
  </w:footnote>
  <w:footnote w:id="10">
    <w:p w14:paraId="4183B43B" w14:textId="3A21562C" w:rsidR="006F31DD" w:rsidRPr="002417D1" w:rsidRDefault="006F31DD" w:rsidP="0037679B">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Código Civil </w:t>
      </w:r>
      <w:r w:rsidR="0037679B" w:rsidRPr="002417D1">
        <w:rPr>
          <w:rFonts w:ascii="Arial" w:hAnsi="Arial" w:cs="Arial"/>
          <w:sz w:val="19"/>
          <w:szCs w:val="19"/>
        </w:rPr>
        <w:t>«Artículo 657. Inmuebles por adhesión. Las plantas son inmuebles, mientras adhieren al suelo por sus raíces, a menos que estén en macetas o cajones que puedan transportarse de un lugar a otro».</w:t>
      </w:r>
      <w:r w:rsidRPr="002417D1">
        <w:rPr>
          <w:rFonts w:ascii="Arial" w:hAnsi="Arial" w:cs="Arial"/>
          <w:sz w:val="19"/>
          <w:szCs w:val="19"/>
        </w:rPr>
        <w:t xml:space="preserve"> </w:t>
      </w:r>
    </w:p>
  </w:footnote>
  <w:footnote w:id="11">
    <w:p w14:paraId="46EBC9A4" w14:textId="77777777" w:rsidR="00E8761C" w:rsidRPr="002417D1" w:rsidRDefault="00E8761C" w:rsidP="00700891">
      <w:pPr>
        <w:pStyle w:val="FootnoteText"/>
        <w:jc w:val="both"/>
        <w:rPr>
          <w:rFonts w:ascii="Arial" w:hAnsi="Arial" w:cs="Arial"/>
          <w:sz w:val="19"/>
          <w:szCs w:val="19"/>
        </w:rPr>
      </w:pPr>
    </w:p>
    <w:p w14:paraId="3DE30E6C" w14:textId="6663785B" w:rsidR="00700891" w:rsidRPr="002417D1" w:rsidRDefault="00E8761C" w:rsidP="00BC4AB8">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Código Civil «</w:t>
      </w:r>
      <w:r w:rsidR="00700891" w:rsidRPr="002417D1">
        <w:rPr>
          <w:rFonts w:ascii="Arial" w:hAnsi="Arial" w:cs="Arial"/>
          <w:sz w:val="19"/>
          <w:szCs w:val="19"/>
        </w:rPr>
        <w:t xml:space="preserve">Artículo 658. Inmuebles por destinación. Se reputan inmuebles, aunque por su naturaleza no lo sean, las cosas que están permanentemente destinadas al uso, cultivo y beneficio de un inmueble, sin </w:t>
      </w:r>
      <w:r w:rsidR="00BC4AB8" w:rsidRPr="002417D1">
        <w:rPr>
          <w:rFonts w:ascii="Arial" w:hAnsi="Arial" w:cs="Arial"/>
          <w:sz w:val="19"/>
          <w:szCs w:val="19"/>
        </w:rPr>
        <w:t>embargo,</w:t>
      </w:r>
      <w:r w:rsidR="00700891" w:rsidRPr="002417D1">
        <w:rPr>
          <w:rFonts w:ascii="Arial" w:hAnsi="Arial" w:cs="Arial"/>
          <w:sz w:val="19"/>
          <w:szCs w:val="19"/>
        </w:rPr>
        <w:t xml:space="preserve"> de que puedan separarse sin detrimento. Tales son, por ejemplo:</w:t>
      </w:r>
    </w:p>
    <w:p w14:paraId="6BE4AC39" w14:textId="693307E8" w:rsidR="00700891"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»Las losas de un pavimento.</w:t>
      </w:r>
    </w:p>
    <w:p w14:paraId="7ED86EE9" w14:textId="79D74088" w:rsidR="00700891"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»Los tubos de las cañerías.</w:t>
      </w:r>
    </w:p>
    <w:p w14:paraId="0DB1BCEC" w14:textId="4F0CF676" w:rsidR="00700891"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»Los utensilios de labranza o minería, y los animales actualmente destinados al cultivo o beneficio de una finca, con tal que hayan sido puestos en ella por el dueño de la finca.</w:t>
      </w:r>
    </w:p>
    <w:p w14:paraId="5A4453F8" w14:textId="1D4E9404" w:rsidR="00700891"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»Los abonos existentes en ella y destinados por el dueño de la finca a mejorarla.</w:t>
      </w:r>
    </w:p>
    <w:p w14:paraId="28F30AE4" w14:textId="68D530E0" w:rsidR="00700891"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»Las prensas, calderas, cubas, alambiques, toneles y máquinas que forman parte de un establecimiento industrial adherente al suelo y pertenecen al dueño de éste.</w:t>
      </w:r>
    </w:p>
    <w:p w14:paraId="3BE96BAB" w14:textId="5BB278E8" w:rsidR="00E8761C" w:rsidRPr="002417D1" w:rsidRDefault="00700891" w:rsidP="00BC4AB8">
      <w:pPr>
        <w:pStyle w:val="FootnoteText"/>
        <w:ind w:firstLine="708"/>
        <w:jc w:val="both"/>
        <w:rPr>
          <w:rFonts w:ascii="Arial" w:hAnsi="Arial" w:cs="Arial"/>
          <w:sz w:val="19"/>
          <w:szCs w:val="19"/>
        </w:rPr>
      </w:pPr>
      <w:r w:rsidRPr="002417D1">
        <w:rPr>
          <w:rFonts w:ascii="Arial" w:hAnsi="Arial" w:cs="Arial"/>
          <w:sz w:val="19"/>
          <w:szCs w:val="19"/>
        </w:rPr>
        <w:t>»Los animales que se guardan en conejeras, pajareras, estanques, colmenas y cualesquiera otros vivares, con tal que estos adhieran al suelo, o sean parte del suelo mismo o de un edificio».</w:t>
      </w:r>
    </w:p>
  </w:footnote>
  <w:footnote w:id="12">
    <w:p w14:paraId="33A0E55A" w14:textId="77777777" w:rsidR="000D7324" w:rsidRPr="002417D1" w:rsidRDefault="000D7324">
      <w:pPr>
        <w:pStyle w:val="FootnoteText"/>
        <w:rPr>
          <w:rFonts w:ascii="Arial" w:hAnsi="Arial" w:cs="Arial"/>
          <w:sz w:val="19"/>
          <w:szCs w:val="19"/>
        </w:rPr>
      </w:pPr>
    </w:p>
    <w:p w14:paraId="29A61ECF" w14:textId="175FDD24" w:rsidR="000D7324" w:rsidRPr="002417D1" w:rsidRDefault="000D7324" w:rsidP="008B5F69">
      <w:pPr>
        <w:pStyle w:val="FootnoteText"/>
        <w:ind w:firstLine="708"/>
        <w:jc w:val="both"/>
        <w:rPr>
          <w:rFonts w:ascii="Arial" w:hAnsi="Arial" w:cs="Arial"/>
          <w:sz w:val="19"/>
          <w:szCs w:val="19"/>
        </w:rPr>
      </w:pPr>
      <w:r w:rsidRPr="002417D1">
        <w:rPr>
          <w:rStyle w:val="FootnoteReference"/>
          <w:rFonts w:ascii="Arial" w:hAnsi="Arial" w:cs="Arial"/>
          <w:sz w:val="19"/>
          <w:szCs w:val="19"/>
        </w:rPr>
        <w:footnoteRef/>
      </w:r>
      <w:r w:rsidRPr="002417D1">
        <w:rPr>
          <w:rFonts w:ascii="Arial" w:hAnsi="Arial" w:cs="Arial"/>
          <w:sz w:val="19"/>
          <w:szCs w:val="19"/>
        </w:rPr>
        <w:t xml:space="preserve"> Al respecto el Consejo de Estado manifestó lo siguiente</w:t>
      </w:r>
      <w:r w:rsidR="00857AAB" w:rsidRPr="002417D1">
        <w:rPr>
          <w:rFonts w:ascii="Arial" w:hAnsi="Arial" w:cs="Arial"/>
          <w:sz w:val="19"/>
          <w:szCs w:val="19"/>
        </w:rPr>
        <w:t>:</w:t>
      </w:r>
      <w:r w:rsidRPr="002417D1">
        <w:rPr>
          <w:rFonts w:ascii="Arial" w:hAnsi="Arial" w:cs="Arial"/>
          <w:sz w:val="19"/>
          <w:szCs w:val="19"/>
        </w:rPr>
        <w:t xml:space="preserve"> «</w:t>
      </w:r>
      <w:r w:rsidR="008B5F69" w:rsidRPr="002417D1">
        <w:rPr>
          <w:rFonts w:ascii="Arial" w:hAnsi="Arial" w:cs="Arial"/>
          <w:sz w:val="19"/>
          <w:szCs w:val="19"/>
        </w:rPr>
        <w:t xml:space="preserve">Según el artículo 82 de la Constitución Política, el Estado debe velar por la protección de la integridad del espacio público y por su destinación al uso común, el cual prevalece sobre el interés general. En ese orden de ideas, el artículo 5º de la Ley 9ª de 1989 define el espacio público como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 La misma disposición determina que las áreas que se requieren para la circulación, bien sea peatonal o vehicular constituyen espacio público. En efecto, </w:t>
      </w:r>
      <w:r w:rsidR="008B5F69" w:rsidRPr="002417D1">
        <w:rPr>
          <w:rFonts w:ascii="Arial" w:hAnsi="Arial" w:cs="Arial"/>
          <w:i/>
          <w:iCs/>
          <w:sz w:val="19"/>
          <w:szCs w:val="19"/>
        </w:rPr>
        <w:t>es</w:t>
      </w:r>
      <w:r w:rsidR="008B5F69" w:rsidRPr="002417D1">
        <w:rPr>
          <w:rFonts w:ascii="Arial" w:hAnsi="Arial" w:cs="Arial"/>
          <w:sz w:val="19"/>
          <w:szCs w:val="19"/>
        </w:rPr>
        <w:t xml:space="preserve"> claro que las vías vehiculares y peatonales, cuyo uso pertenece a todos los habitantes del territorio nacional son bienes de uso público, los cuales son considerados como elementos constitutivos artificiales del espacio público. A su vez, como quiera que los semáforos y la señalización son elementos componentes del mobiliario urbano, pertenecen al espacio público». Sección Primera</w:t>
      </w:r>
      <w:r w:rsidR="0058785F" w:rsidRPr="002417D1">
        <w:rPr>
          <w:rFonts w:ascii="Arial" w:hAnsi="Arial" w:cs="Arial"/>
          <w:sz w:val="19"/>
          <w:szCs w:val="19"/>
        </w:rPr>
        <w:t xml:space="preserve">. Sentencia del 15 de abril de 2010. Rad. No. 25000-23-25-000-2004-02395-01(AP). C.P. </w:t>
      </w:r>
      <w:r w:rsidR="00BF05C1" w:rsidRPr="002417D1">
        <w:rPr>
          <w:rFonts w:ascii="Arial" w:hAnsi="Arial" w:cs="Arial"/>
          <w:sz w:val="19"/>
          <w:szCs w:val="19"/>
        </w:rPr>
        <w:t xml:space="preserve">Rafael E. </w:t>
      </w:r>
      <w:proofErr w:type="spellStart"/>
      <w:r w:rsidR="00BF05C1" w:rsidRPr="002417D1">
        <w:rPr>
          <w:rFonts w:ascii="Arial" w:hAnsi="Arial" w:cs="Arial"/>
          <w:sz w:val="19"/>
          <w:szCs w:val="19"/>
        </w:rPr>
        <w:t>Ostau</w:t>
      </w:r>
      <w:proofErr w:type="spellEnd"/>
      <w:r w:rsidR="00BF05C1" w:rsidRPr="002417D1">
        <w:rPr>
          <w:rFonts w:ascii="Arial" w:hAnsi="Arial" w:cs="Arial"/>
          <w:sz w:val="19"/>
          <w:szCs w:val="19"/>
        </w:rPr>
        <w:t xml:space="preserve"> de Lafont </w:t>
      </w:r>
      <w:proofErr w:type="spellStart"/>
      <w:r w:rsidR="00BF05C1" w:rsidRPr="002417D1">
        <w:rPr>
          <w:rFonts w:ascii="Arial" w:hAnsi="Arial" w:cs="Arial"/>
          <w:sz w:val="19"/>
          <w:szCs w:val="19"/>
        </w:rPr>
        <w:t>Pianeta</w:t>
      </w:r>
      <w:proofErr w:type="spellEnd"/>
      <w:r w:rsidR="00857AAB" w:rsidRPr="002417D1">
        <w:rPr>
          <w:rFonts w:ascii="Arial" w:hAnsi="Arial" w:cs="Arial"/>
          <w:sz w:val="19"/>
          <w:szCs w:val="19"/>
        </w:rPr>
        <w:t>.</w:t>
      </w:r>
    </w:p>
    <w:p w14:paraId="44AA22B9" w14:textId="0EA6A21E" w:rsidR="000D7324" w:rsidRPr="002417D1" w:rsidRDefault="000D7324">
      <w:pPr>
        <w:pStyle w:val="FootnoteText"/>
        <w:rPr>
          <w:rFonts w:ascii="Arial" w:hAnsi="Arial" w:cs="Arial"/>
          <w:sz w:val="19"/>
          <w:szCs w:val="19"/>
        </w:rPr>
      </w:pPr>
      <w:r w:rsidRPr="002417D1">
        <w:rPr>
          <w:rFonts w:ascii="Arial" w:hAnsi="Arial" w:cs="Arial"/>
          <w:sz w:val="19"/>
          <w:szCs w:val="19"/>
        </w:rPr>
        <w:t xml:space="preserve"> </w:t>
      </w:r>
    </w:p>
  </w:footnote>
  <w:footnote w:id="13">
    <w:p w14:paraId="398F1CD3" w14:textId="3261F401" w:rsidR="00A16FCF" w:rsidRPr="003132BB" w:rsidRDefault="001474BD" w:rsidP="003132BB">
      <w:pPr>
        <w:pStyle w:val="FootnoteText"/>
        <w:ind w:firstLine="708"/>
        <w:jc w:val="both"/>
        <w:rPr>
          <w:rFonts w:ascii="Arial" w:hAnsi="Arial" w:cs="Arial"/>
          <w:sz w:val="19"/>
          <w:szCs w:val="19"/>
        </w:rPr>
      </w:pPr>
      <w:r w:rsidRPr="003132BB">
        <w:rPr>
          <w:rStyle w:val="FootnoteReference"/>
          <w:rFonts w:ascii="Arial" w:hAnsi="Arial" w:cs="Arial"/>
          <w:sz w:val="19"/>
          <w:szCs w:val="19"/>
        </w:rPr>
        <w:footnoteRef/>
      </w:r>
      <w:r w:rsidRPr="003132BB">
        <w:rPr>
          <w:rFonts w:ascii="Arial" w:hAnsi="Arial" w:cs="Arial"/>
          <w:sz w:val="19"/>
          <w:szCs w:val="19"/>
        </w:rPr>
        <w:t xml:space="preserve"> Decreto 1082 de 2015 «</w:t>
      </w:r>
      <w:r w:rsidR="00A16FCF" w:rsidRPr="003132BB">
        <w:rPr>
          <w:rFonts w:ascii="Arial" w:hAnsi="Arial" w:cs="Arial"/>
          <w:sz w:val="19"/>
          <w:szCs w:val="19"/>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5128E70E" w14:textId="38E5C9C2" w:rsidR="00A16FCF" w:rsidRPr="003132BB" w:rsidRDefault="00A16FCF" w:rsidP="003132BB">
      <w:pPr>
        <w:pStyle w:val="FootnoteText"/>
        <w:ind w:firstLine="708"/>
        <w:jc w:val="both"/>
        <w:rPr>
          <w:rFonts w:ascii="Arial" w:hAnsi="Arial" w:cs="Arial"/>
          <w:sz w:val="19"/>
          <w:szCs w:val="19"/>
        </w:rPr>
      </w:pPr>
      <w:r w:rsidRPr="003132BB">
        <w:rPr>
          <w:rFonts w:ascii="Arial" w:hAnsi="Arial" w:cs="Arial"/>
          <w:sz w:val="19"/>
          <w:szCs w:val="19"/>
        </w:rPr>
        <w:t xml:space="preserve">»1. Demostrar en los estudios previos que ha </w:t>
      </w:r>
      <w:r w:rsidR="00326269" w:rsidRPr="003132BB">
        <w:rPr>
          <w:rFonts w:ascii="Arial" w:hAnsi="Arial" w:cs="Arial"/>
          <w:sz w:val="19"/>
          <w:szCs w:val="19"/>
        </w:rPr>
        <w:t>verificado</w:t>
      </w:r>
      <w:r w:rsidRPr="003132BB">
        <w:rPr>
          <w:rFonts w:ascii="Arial" w:hAnsi="Arial" w:cs="Arial"/>
          <w:sz w:val="19"/>
          <w:szCs w:val="19"/>
        </w:rPr>
        <w:t xml:space="preserve">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006D2AB" w14:textId="7EBE59FA" w:rsidR="00A16FCF" w:rsidRPr="003132BB" w:rsidRDefault="00A16FCF" w:rsidP="003132BB">
      <w:pPr>
        <w:pStyle w:val="FootnoteText"/>
        <w:ind w:firstLine="708"/>
        <w:jc w:val="both"/>
        <w:rPr>
          <w:rFonts w:ascii="Arial" w:hAnsi="Arial" w:cs="Arial"/>
          <w:sz w:val="19"/>
          <w:szCs w:val="19"/>
        </w:rPr>
      </w:pPr>
      <w:r w:rsidRPr="003132BB">
        <w:rPr>
          <w:rFonts w:ascii="Arial" w:hAnsi="Arial" w:cs="Arial"/>
          <w:sz w:val="19"/>
          <w:szCs w:val="19"/>
        </w:rPr>
        <w:t>»2. Conservar los requisitos exigidos en los Documentos Tipo.</w:t>
      </w:r>
    </w:p>
    <w:p w14:paraId="5C948E85" w14:textId="2ACCD47F" w:rsidR="00A16FCF" w:rsidRPr="003132BB" w:rsidRDefault="00A16FCF" w:rsidP="003132BB">
      <w:pPr>
        <w:pStyle w:val="FootnoteText"/>
        <w:ind w:firstLine="708"/>
        <w:jc w:val="both"/>
        <w:rPr>
          <w:rFonts w:ascii="Arial" w:hAnsi="Arial" w:cs="Arial"/>
          <w:sz w:val="19"/>
          <w:szCs w:val="19"/>
        </w:rPr>
      </w:pPr>
      <w:r w:rsidRPr="003132BB">
        <w:rPr>
          <w:rFonts w:ascii="Arial" w:hAnsi="Arial" w:cs="Arial"/>
          <w:sz w:val="19"/>
          <w:szCs w:val="19"/>
        </w:rPr>
        <w:t xml:space="preserve">»3. Abstenerse de pedir experiencia exclusiva con entidades estatales, experiencia previa en un territorio especifico, limitada en el tiempo o que incluya volúmenes o cantidades de obra </w:t>
      </w:r>
      <w:r w:rsidR="00326269" w:rsidRPr="003132BB">
        <w:rPr>
          <w:rFonts w:ascii="Arial" w:hAnsi="Arial" w:cs="Arial"/>
          <w:sz w:val="19"/>
          <w:szCs w:val="19"/>
        </w:rPr>
        <w:t>específica</w:t>
      </w:r>
      <w:r w:rsidRPr="003132BB">
        <w:rPr>
          <w:rFonts w:ascii="Arial" w:hAnsi="Arial" w:cs="Arial"/>
          <w:sz w:val="19"/>
          <w:szCs w:val="19"/>
        </w:rPr>
        <w:t>.</w:t>
      </w:r>
    </w:p>
    <w:p w14:paraId="210013C0" w14:textId="609DBBAE" w:rsidR="001474BD" w:rsidRDefault="00A16FCF" w:rsidP="003132BB">
      <w:pPr>
        <w:pStyle w:val="FootnoteText"/>
        <w:ind w:firstLine="708"/>
        <w:jc w:val="both"/>
        <w:rPr>
          <w:rFonts w:ascii="Arial" w:hAnsi="Arial" w:cs="Arial"/>
          <w:sz w:val="19"/>
          <w:szCs w:val="19"/>
        </w:rPr>
      </w:pPr>
      <w:r w:rsidRPr="003132BB">
        <w:rPr>
          <w:rFonts w:ascii="Arial" w:hAnsi="Arial" w:cs="Arial"/>
          <w:sz w:val="19"/>
          <w:szCs w:val="19"/>
        </w:rPr>
        <w:t xml:space="preserve">»4. </w:t>
      </w:r>
      <w:proofErr w:type="spellStart"/>
      <w:r w:rsidRPr="003132BB">
        <w:rPr>
          <w:rFonts w:ascii="Arial" w:hAnsi="Arial" w:cs="Arial"/>
          <w:sz w:val="19"/>
          <w:szCs w:val="19"/>
        </w:rPr>
        <w:t>Clasiﬁcar</w:t>
      </w:r>
      <w:proofErr w:type="spellEnd"/>
      <w:r w:rsidRPr="003132BB">
        <w:rPr>
          <w:rFonts w:ascii="Arial" w:hAnsi="Arial" w:cs="Arial"/>
          <w:sz w:val="19"/>
          <w:szCs w:val="19"/>
        </w:rPr>
        <w:t xml:space="preserve"> la experiencia requerida solo hasta el tercer nivel del </w:t>
      </w:r>
      <w:proofErr w:type="spellStart"/>
      <w:r w:rsidRPr="003132BB">
        <w:rPr>
          <w:rFonts w:ascii="Arial" w:hAnsi="Arial" w:cs="Arial"/>
          <w:sz w:val="19"/>
          <w:szCs w:val="19"/>
        </w:rPr>
        <w:t>Clasiﬁcador</w:t>
      </w:r>
      <w:proofErr w:type="spellEnd"/>
      <w:r w:rsidRPr="003132BB">
        <w:rPr>
          <w:rFonts w:ascii="Arial" w:hAnsi="Arial" w:cs="Arial"/>
          <w:sz w:val="19"/>
          <w:szCs w:val="19"/>
        </w:rPr>
        <w:t xml:space="preserve"> de Bienes y Servicios e incluir exclusivamente los códigos que estén relacionados directamente con el objeto a contratar».</w:t>
      </w:r>
    </w:p>
    <w:p w14:paraId="1E35DCBA" w14:textId="77777777" w:rsidR="00A84245" w:rsidRPr="003132BB" w:rsidRDefault="00A84245" w:rsidP="003132BB">
      <w:pPr>
        <w:pStyle w:val="FootnoteText"/>
        <w:ind w:firstLine="708"/>
        <w:jc w:val="both"/>
        <w:rPr>
          <w:rFonts w:ascii="Arial" w:hAnsi="Arial" w:cs="Arial"/>
          <w:sz w:val="19"/>
          <w:szCs w:val="19"/>
        </w:rPr>
      </w:pPr>
    </w:p>
  </w:footnote>
  <w:footnote w:id="14">
    <w:p w14:paraId="39EFB4DD" w14:textId="4C1BD544" w:rsidR="00157579" w:rsidRPr="006B181A" w:rsidRDefault="00157579" w:rsidP="006B181A">
      <w:pPr>
        <w:pStyle w:val="FootnoteText"/>
        <w:ind w:firstLine="708"/>
        <w:jc w:val="both"/>
        <w:rPr>
          <w:rFonts w:ascii="Arial" w:hAnsi="Arial" w:cs="Arial"/>
          <w:sz w:val="19"/>
          <w:szCs w:val="19"/>
        </w:rPr>
      </w:pPr>
      <w:r w:rsidRPr="006B181A">
        <w:rPr>
          <w:rStyle w:val="FootnoteReference"/>
          <w:rFonts w:ascii="Arial" w:hAnsi="Arial" w:cs="Arial"/>
          <w:sz w:val="19"/>
          <w:szCs w:val="19"/>
        </w:rPr>
        <w:footnoteRef/>
      </w:r>
      <w:r w:rsidR="00264682" w:rsidRPr="006B181A">
        <w:rPr>
          <w:rFonts w:ascii="Arial" w:hAnsi="Arial" w:cs="Arial"/>
          <w:sz w:val="19"/>
          <w:szCs w:val="19"/>
        </w:rPr>
        <w:t xml:space="preserve"> Respecto del procedimiento de selección abreviada de menor cuantía el artículo</w:t>
      </w:r>
      <w:r w:rsidR="006B181A" w:rsidRPr="006B181A">
        <w:rPr>
          <w:rFonts w:ascii="Arial" w:hAnsi="Arial" w:cs="Arial"/>
          <w:sz w:val="19"/>
          <w:szCs w:val="19"/>
        </w:rPr>
        <w:t xml:space="preserve"> 2.2.1.2.6.2.3 del Decreto 1082 de 2015 dispone que: «</w:t>
      </w:r>
      <w:r w:rsidR="009C53AB" w:rsidRPr="006B181A">
        <w:rPr>
          <w:rFonts w:ascii="Arial" w:hAnsi="Arial" w:cs="Arial"/>
          <w:sz w:val="19"/>
          <w:szCs w:val="19"/>
        </w:rPr>
        <w:t>Los artículos 2.2.1.2.6.1 .4. y 2.2.1.2.6.1.5. del presente Decreto aplican para la modalidad de selección abreviada de menor cuantía para la contratación obra pública de infraestructura de transporte</w:t>
      </w:r>
      <w:r w:rsidR="006B181A" w:rsidRPr="006B181A">
        <w:rPr>
          <w:rFonts w:ascii="Arial" w:hAnsi="Arial" w:cs="Arial"/>
          <w:sz w:val="19"/>
          <w:szCs w:val="19"/>
        </w:rPr>
        <w:t>».</w:t>
      </w:r>
      <w:r w:rsidRPr="006B181A">
        <w:rPr>
          <w:rFonts w:ascii="Arial" w:hAnsi="Arial" w:cs="Arial"/>
          <w:sz w:val="19"/>
          <w:szCs w:val="19"/>
        </w:rPr>
        <w:t xml:space="preserve"> </w:t>
      </w:r>
    </w:p>
  </w:footnote>
  <w:footnote w:id="15">
    <w:p w14:paraId="71CAF9CB" w14:textId="77777777" w:rsidR="003132BB" w:rsidRPr="003132BB" w:rsidRDefault="003132BB" w:rsidP="003132BB">
      <w:pPr>
        <w:pStyle w:val="FootnoteText"/>
        <w:ind w:firstLine="708"/>
        <w:jc w:val="both"/>
        <w:rPr>
          <w:rFonts w:ascii="Arial" w:hAnsi="Arial" w:cs="Arial"/>
          <w:sz w:val="19"/>
          <w:szCs w:val="19"/>
        </w:rPr>
      </w:pPr>
    </w:p>
    <w:p w14:paraId="111955B8" w14:textId="1BBC50EE" w:rsidR="003132BB" w:rsidRPr="003132BB" w:rsidRDefault="003132BB" w:rsidP="003132BB">
      <w:pPr>
        <w:pStyle w:val="FootnoteText"/>
        <w:ind w:firstLine="708"/>
        <w:jc w:val="both"/>
        <w:rPr>
          <w:rFonts w:ascii="Arial" w:hAnsi="Arial" w:cs="Arial"/>
          <w:sz w:val="19"/>
          <w:szCs w:val="19"/>
        </w:rPr>
      </w:pPr>
      <w:r w:rsidRPr="003132BB">
        <w:rPr>
          <w:rStyle w:val="FootnoteReference"/>
          <w:rFonts w:ascii="Arial" w:hAnsi="Arial" w:cs="Arial"/>
          <w:sz w:val="19"/>
          <w:szCs w:val="19"/>
        </w:rPr>
        <w:footnoteRef/>
      </w:r>
      <w:r w:rsidRPr="003132BB">
        <w:rPr>
          <w:rFonts w:ascii="Arial" w:hAnsi="Arial" w:cs="Arial"/>
          <w:sz w:val="19"/>
          <w:szCs w:val="19"/>
        </w:rPr>
        <w:t xml:space="preserve"> Decreto 1082 de 2015 «Artículo 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7DCEF173" w14:textId="49A5B187" w:rsidR="003132BB" w:rsidRPr="003132BB" w:rsidRDefault="003132BB" w:rsidP="003132BB">
      <w:pPr>
        <w:pStyle w:val="FootnoteText"/>
        <w:ind w:firstLine="708"/>
        <w:jc w:val="both"/>
        <w:rPr>
          <w:rFonts w:ascii="Arial" w:hAnsi="Arial" w:cs="Arial"/>
          <w:sz w:val="19"/>
          <w:szCs w:val="19"/>
        </w:rPr>
      </w:pPr>
      <w:r w:rsidRPr="003132BB">
        <w:rPr>
          <w:rFonts w:ascii="Arial" w:hAnsi="Arial" w:cs="Arial"/>
          <w:sz w:val="19"/>
          <w:szCs w:val="19"/>
        </w:rPr>
        <w:t xml:space="preserve"> »1.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51076EF7" w14:textId="2D9288BD" w:rsidR="003132BB" w:rsidRPr="003132BB" w:rsidRDefault="003132BB" w:rsidP="003132BB">
      <w:pPr>
        <w:pStyle w:val="FootnoteText"/>
        <w:ind w:firstLine="708"/>
        <w:jc w:val="both"/>
        <w:rPr>
          <w:rFonts w:ascii="Arial" w:hAnsi="Arial" w:cs="Arial"/>
          <w:sz w:val="19"/>
          <w:szCs w:val="19"/>
        </w:rPr>
      </w:pPr>
      <w:r w:rsidRPr="003132BB">
        <w:rPr>
          <w:rFonts w:ascii="Arial" w:hAnsi="Arial" w:cs="Arial"/>
          <w:sz w:val="19"/>
          <w:szCs w:val="19"/>
        </w:rPr>
        <w:t xml:space="preserve"> »2. Conservar los requisitos exigidos en los Documentos Tipo.</w:t>
      </w:r>
    </w:p>
    <w:p w14:paraId="2E139168" w14:textId="7887171F" w:rsidR="003132BB" w:rsidRDefault="003132BB" w:rsidP="003132BB">
      <w:pPr>
        <w:pStyle w:val="FootnoteText"/>
        <w:ind w:firstLine="708"/>
        <w:jc w:val="both"/>
      </w:pPr>
      <w:r w:rsidRPr="003132BB">
        <w:rPr>
          <w:rFonts w:ascii="Arial" w:hAnsi="Arial" w:cs="Arial"/>
          <w:sz w:val="19"/>
          <w:szCs w:val="19"/>
        </w:rPr>
        <w:t xml:space="preserve"> »3. Abstenerse de pedir experiencia exclusiva con entidades estatales, experiencia previa en un territorio específico, limitada en el tiempo o que incluya volúmenes o cantidades de obra específica».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E27002" w:rsidRDefault="00E27002">
    <w:pPr>
      <w:pStyle w:val="Header"/>
    </w:pPr>
    <w:r>
      <w:rPr>
        <w:noProof/>
        <w:lang w:val="es-CO" w:eastAsia="es-CO"/>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16D1FFB"/>
    <w:multiLevelType w:val="hybridMultilevel"/>
    <w:tmpl w:val="399A4B3A"/>
    <w:lvl w:ilvl="0" w:tplc="3F0C0F76">
      <w:start w:val="2"/>
      <w:numFmt w:val="decimal"/>
      <w:lvlText w:val="%1"/>
      <w:lvlJc w:val="left"/>
      <w:pPr>
        <w:ind w:left="360" w:hanging="360"/>
      </w:pPr>
      <w:rPr>
        <w:rFonts w:hint="default"/>
      </w:rPr>
    </w:lvl>
    <w:lvl w:ilvl="1" w:tplc="72DE3F6A">
      <w:start w:val="1"/>
      <w:numFmt w:val="decimal"/>
      <w:lvlText w:val="%1.%2"/>
      <w:lvlJc w:val="left"/>
      <w:pPr>
        <w:ind w:left="786" w:hanging="360"/>
      </w:pPr>
      <w:rPr>
        <w:rFonts w:asciiTheme="minorHAnsi" w:hAnsiTheme="minorHAnsi" w:cstheme="minorHAnsi" w:hint="default"/>
        <w:b/>
        <w:sz w:val="20"/>
        <w:szCs w:val="20"/>
      </w:rPr>
    </w:lvl>
    <w:lvl w:ilvl="2" w:tplc="594E97D6">
      <w:start w:val="1"/>
      <w:numFmt w:val="decimal"/>
      <w:lvlText w:val="%1.%2.%3"/>
      <w:lvlJc w:val="left"/>
      <w:pPr>
        <w:ind w:left="720" w:hanging="720"/>
      </w:pPr>
      <w:rPr>
        <w:rFonts w:hint="default"/>
      </w:rPr>
    </w:lvl>
    <w:lvl w:ilvl="3" w:tplc="566E2820">
      <w:start w:val="1"/>
      <w:numFmt w:val="decimal"/>
      <w:lvlText w:val="%1.%2.%3.%4"/>
      <w:lvlJc w:val="left"/>
      <w:pPr>
        <w:ind w:left="720" w:hanging="720"/>
      </w:pPr>
      <w:rPr>
        <w:rFonts w:hint="default"/>
      </w:rPr>
    </w:lvl>
    <w:lvl w:ilvl="4" w:tplc="A4ECA528">
      <w:start w:val="1"/>
      <w:numFmt w:val="decimal"/>
      <w:lvlText w:val="%1.%2.%3.%4.%5"/>
      <w:lvlJc w:val="left"/>
      <w:pPr>
        <w:ind w:left="1080" w:hanging="1080"/>
      </w:pPr>
      <w:rPr>
        <w:rFonts w:hint="default"/>
      </w:rPr>
    </w:lvl>
    <w:lvl w:ilvl="5" w:tplc="7A52297C">
      <w:start w:val="1"/>
      <w:numFmt w:val="decimal"/>
      <w:lvlText w:val="%1.%2.%3.%4.%5.%6"/>
      <w:lvlJc w:val="left"/>
      <w:pPr>
        <w:ind w:left="1080" w:hanging="1080"/>
      </w:pPr>
      <w:rPr>
        <w:rFonts w:hint="default"/>
      </w:rPr>
    </w:lvl>
    <w:lvl w:ilvl="6" w:tplc="04C68D9E">
      <w:start w:val="1"/>
      <w:numFmt w:val="decimal"/>
      <w:lvlText w:val="%1.%2.%3.%4.%5.%6.%7"/>
      <w:lvlJc w:val="left"/>
      <w:pPr>
        <w:ind w:left="1440" w:hanging="1440"/>
      </w:pPr>
      <w:rPr>
        <w:rFonts w:hint="default"/>
      </w:rPr>
    </w:lvl>
    <w:lvl w:ilvl="7" w:tplc="867264C0">
      <w:start w:val="1"/>
      <w:numFmt w:val="decimal"/>
      <w:lvlText w:val="%1.%2.%3.%4.%5.%6.%7.%8"/>
      <w:lvlJc w:val="left"/>
      <w:pPr>
        <w:ind w:left="1440" w:hanging="1440"/>
      </w:pPr>
      <w:rPr>
        <w:rFonts w:hint="default"/>
      </w:rPr>
    </w:lvl>
    <w:lvl w:ilvl="8" w:tplc="8E98EE94">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036F"/>
    <w:rsid w:val="000003D6"/>
    <w:rsid w:val="00001BE0"/>
    <w:rsid w:val="00001E3D"/>
    <w:rsid w:val="0000340B"/>
    <w:rsid w:val="000047EA"/>
    <w:rsid w:val="00004ED9"/>
    <w:rsid w:val="000072CE"/>
    <w:rsid w:val="000100E8"/>
    <w:rsid w:val="00010A06"/>
    <w:rsid w:val="00010C71"/>
    <w:rsid w:val="00010D30"/>
    <w:rsid w:val="000122AD"/>
    <w:rsid w:val="000137A9"/>
    <w:rsid w:val="000137F2"/>
    <w:rsid w:val="00015B31"/>
    <w:rsid w:val="0001668E"/>
    <w:rsid w:val="00016AF9"/>
    <w:rsid w:val="00021180"/>
    <w:rsid w:val="00023057"/>
    <w:rsid w:val="00024771"/>
    <w:rsid w:val="00030913"/>
    <w:rsid w:val="0003091B"/>
    <w:rsid w:val="000309B1"/>
    <w:rsid w:val="000333A2"/>
    <w:rsid w:val="00034108"/>
    <w:rsid w:val="00034853"/>
    <w:rsid w:val="00035F08"/>
    <w:rsid w:val="0003625C"/>
    <w:rsid w:val="00036E73"/>
    <w:rsid w:val="00037414"/>
    <w:rsid w:val="00040C88"/>
    <w:rsid w:val="00040D6E"/>
    <w:rsid w:val="00042C0C"/>
    <w:rsid w:val="00042F7E"/>
    <w:rsid w:val="000439E9"/>
    <w:rsid w:val="00043A4D"/>
    <w:rsid w:val="000445B5"/>
    <w:rsid w:val="00044FF2"/>
    <w:rsid w:val="000466AC"/>
    <w:rsid w:val="00047050"/>
    <w:rsid w:val="00050047"/>
    <w:rsid w:val="00051D31"/>
    <w:rsid w:val="00054B43"/>
    <w:rsid w:val="00054CA5"/>
    <w:rsid w:val="00054E9A"/>
    <w:rsid w:val="00061E34"/>
    <w:rsid w:val="00061EE4"/>
    <w:rsid w:val="00062B0D"/>
    <w:rsid w:val="00062F44"/>
    <w:rsid w:val="0006519B"/>
    <w:rsid w:val="000665B2"/>
    <w:rsid w:val="00072EB9"/>
    <w:rsid w:val="000757B4"/>
    <w:rsid w:val="000763E2"/>
    <w:rsid w:val="00076F69"/>
    <w:rsid w:val="00081829"/>
    <w:rsid w:val="00083710"/>
    <w:rsid w:val="00086A16"/>
    <w:rsid w:val="00091039"/>
    <w:rsid w:val="00091570"/>
    <w:rsid w:val="00091572"/>
    <w:rsid w:val="00091D8F"/>
    <w:rsid w:val="00091F2D"/>
    <w:rsid w:val="000929DE"/>
    <w:rsid w:val="00092B1A"/>
    <w:rsid w:val="00093E58"/>
    <w:rsid w:val="00094CC6"/>
    <w:rsid w:val="00095C76"/>
    <w:rsid w:val="00097CD6"/>
    <w:rsid w:val="000A0D5D"/>
    <w:rsid w:val="000A18DD"/>
    <w:rsid w:val="000A1DBA"/>
    <w:rsid w:val="000A21A9"/>
    <w:rsid w:val="000A3B96"/>
    <w:rsid w:val="000A4C83"/>
    <w:rsid w:val="000A6338"/>
    <w:rsid w:val="000A6B6F"/>
    <w:rsid w:val="000A70D5"/>
    <w:rsid w:val="000A784F"/>
    <w:rsid w:val="000B4A19"/>
    <w:rsid w:val="000C0B40"/>
    <w:rsid w:val="000C0E39"/>
    <w:rsid w:val="000C3BD4"/>
    <w:rsid w:val="000C3D66"/>
    <w:rsid w:val="000C433C"/>
    <w:rsid w:val="000C4A2C"/>
    <w:rsid w:val="000C51AF"/>
    <w:rsid w:val="000C5830"/>
    <w:rsid w:val="000C5C37"/>
    <w:rsid w:val="000C79F1"/>
    <w:rsid w:val="000D088F"/>
    <w:rsid w:val="000D09C6"/>
    <w:rsid w:val="000D2773"/>
    <w:rsid w:val="000D7324"/>
    <w:rsid w:val="000D77AE"/>
    <w:rsid w:val="000E03EA"/>
    <w:rsid w:val="000E1D5D"/>
    <w:rsid w:val="000E284C"/>
    <w:rsid w:val="000E4A3C"/>
    <w:rsid w:val="000E57DB"/>
    <w:rsid w:val="000E5BB2"/>
    <w:rsid w:val="000E6867"/>
    <w:rsid w:val="000E68C2"/>
    <w:rsid w:val="000F1B34"/>
    <w:rsid w:val="000F1E3D"/>
    <w:rsid w:val="000F211E"/>
    <w:rsid w:val="000F2A12"/>
    <w:rsid w:val="000F4DAF"/>
    <w:rsid w:val="000F7F4E"/>
    <w:rsid w:val="00100123"/>
    <w:rsid w:val="0010054E"/>
    <w:rsid w:val="00100AEC"/>
    <w:rsid w:val="00103CA7"/>
    <w:rsid w:val="001056C0"/>
    <w:rsid w:val="00105A2E"/>
    <w:rsid w:val="00107607"/>
    <w:rsid w:val="00110B59"/>
    <w:rsid w:val="00112597"/>
    <w:rsid w:val="0011538C"/>
    <w:rsid w:val="0011544E"/>
    <w:rsid w:val="00117A4B"/>
    <w:rsid w:val="00117E9B"/>
    <w:rsid w:val="0012074A"/>
    <w:rsid w:val="00120C8D"/>
    <w:rsid w:val="0012181C"/>
    <w:rsid w:val="00123543"/>
    <w:rsid w:val="001240CD"/>
    <w:rsid w:val="00124201"/>
    <w:rsid w:val="00127F76"/>
    <w:rsid w:val="001321AB"/>
    <w:rsid w:val="0013282D"/>
    <w:rsid w:val="00132B72"/>
    <w:rsid w:val="001334CB"/>
    <w:rsid w:val="00136D2A"/>
    <w:rsid w:val="0013709F"/>
    <w:rsid w:val="00140E57"/>
    <w:rsid w:val="00141B19"/>
    <w:rsid w:val="00141C64"/>
    <w:rsid w:val="001427E8"/>
    <w:rsid w:val="00142BB5"/>
    <w:rsid w:val="00142E4E"/>
    <w:rsid w:val="00143498"/>
    <w:rsid w:val="0014462B"/>
    <w:rsid w:val="0014605E"/>
    <w:rsid w:val="00146D5B"/>
    <w:rsid w:val="001474BD"/>
    <w:rsid w:val="001500EE"/>
    <w:rsid w:val="001501ED"/>
    <w:rsid w:val="00151596"/>
    <w:rsid w:val="00152C0B"/>
    <w:rsid w:val="00153CE9"/>
    <w:rsid w:val="0015451F"/>
    <w:rsid w:val="0015466A"/>
    <w:rsid w:val="001573F8"/>
    <w:rsid w:val="00157579"/>
    <w:rsid w:val="00160D2F"/>
    <w:rsid w:val="00162BA0"/>
    <w:rsid w:val="001637F9"/>
    <w:rsid w:val="00163B8D"/>
    <w:rsid w:val="00163EED"/>
    <w:rsid w:val="00164E79"/>
    <w:rsid w:val="00166C81"/>
    <w:rsid w:val="0016733C"/>
    <w:rsid w:val="001700BB"/>
    <w:rsid w:val="0017154E"/>
    <w:rsid w:val="0017377E"/>
    <w:rsid w:val="00174D99"/>
    <w:rsid w:val="0017603D"/>
    <w:rsid w:val="001764B9"/>
    <w:rsid w:val="0018018D"/>
    <w:rsid w:val="00181A3E"/>
    <w:rsid w:val="0018371B"/>
    <w:rsid w:val="00183992"/>
    <w:rsid w:val="00185441"/>
    <w:rsid w:val="001865DB"/>
    <w:rsid w:val="00187893"/>
    <w:rsid w:val="00187A95"/>
    <w:rsid w:val="00193B53"/>
    <w:rsid w:val="00194066"/>
    <w:rsid w:val="001942F8"/>
    <w:rsid w:val="00194C13"/>
    <w:rsid w:val="00194C50"/>
    <w:rsid w:val="00194DD5"/>
    <w:rsid w:val="00196FB5"/>
    <w:rsid w:val="00197301"/>
    <w:rsid w:val="001A0AEB"/>
    <w:rsid w:val="001A0CC7"/>
    <w:rsid w:val="001A0DC8"/>
    <w:rsid w:val="001A23B6"/>
    <w:rsid w:val="001A5B07"/>
    <w:rsid w:val="001B2E5D"/>
    <w:rsid w:val="001B458A"/>
    <w:rsid w:val="001B53BD"/>
    <w:rsid w:val="001B5E36"/>
    <w:rsid w:val="001B78C4"/>
    <w:rsid w:val="001C1D25"/>
    <w:rsid w:val="001C2AE5"/>
    <w:rsid w:val="001C379F"/>
    <w:rsid w:val="001C45BA"/>
    <w:rsid w:val="001D0F54"/>
    <w:rsid w:val="001D38A0"/>
    <w:rsid w:val="001D5ECE"/>
    <w:rsid w:val="001D7073"/>
    <w:rsid w:val="001D7420"/>
    <w:rsid w:val="001E123B"/>
    <w:rsid w:val="001E1735"/>
    <w:rsid w:val="001E1C6D"/>
    <w:rsid w:val="001E20C2"/>
    <w:rsid w:val="001E3F37"/>
    <w:rsid w:val="001E44A9"/>
    <w:rsid w:val="001E517A"/>
    <w:rsid w:val="001E5745"/>
    <w:rsid w:val="001E5DBB"/>
    <w:rsid w:val="001E6251"/>
    <w:rsid w:val="001E685F"/>
    <w:rsid w:val="001E7044"/>
    <w:rsid w:val="001F1051"/>
    <w:rsid w:val="001F1A2D"/>
    <w:rsid w:val="001F2476"/>
    <w:rsid w:val="001F311C"/>
    <w:rsid w:val="001F34A8"/>
    <w:rsid w:val="001F40B2"/>
    <w:rsid w:val="001F4B99"/>
    <w:rsid w:val="001F70F8"/>
    <w:rsid w:val="00200D61"/>
    <w:rsid w:val="00200F92"/>
    <w:rsid w:val="002011E5"/>
    <w:rsid w:val="002021FE"/>
    <w:rsid w:val="002034AD"/>
    <w:rsid w:val="002035FF"/>
    <w:rsid w:val="00203642"/>
    <w:rsid w:val="00203ABB"/>
    <w:rsid w:val="00203BF1"/>
    <w:rsid w:val="00203F46"/>
    <w:rsid w:val="002042F7"/>
    <w:rsid w:val="002050BF"/>
    <w:rsid w:val="00207033"/>
    <w:rsid w:val="00210D66"/>
    <w:rsid w:val="00211C6F"/>
    <w:rsid w:val="00212E91"/>
    <w:rsid w:val="00213824"/>
    <w:rsid w:val="00214062"/>
    <w:rsid w:val="00217339"/>
    <w:rsid w:val="00222204"/>
    <w:rsid w:val="00222827"/>
    <w:rsid w:val="0022306C"/>
    <w:rsid w:val="002239B4"/>
    <w:rsid w:val="00224158"/>
    <w:rsid w:val="00224A68"/>
    <w:rsid w:val="00227C2D"/>
    <w:rsid w:val="00227D08"/>
    <w:rsid w:val="0023008F"/>
    <w:rsid w:val="0023180C"/>
    <w:rsid w:val="00231891"/>
    <w:rsid w:val="002334AC"/>
    <w:rsid w:val="002344F1"/>
    <w:rsid w:val="00234C6C"/>
    <w:rsid w:val="0023576D"/>
    <w:rsid w:val="0023728A"/>
    <w:rsid w:val="00237522"/>
    <w:rsid w:val="0024059E"/>
    <w:rsid w:val="002417D1"/>
    <w:rsid w:val="00244A28"/>
    <w:rsid w:val="002466F4"/>
    <w:rsid w:val="00247604"/>
    <w:rsid w:val="00247EBA"/>
    <w:rsid w:val="0025095A"/>
    <w:rsid w:val="00251322"/>
    <w:rsid w:val="00251547"/>
    <w:rsid w:val="0025208B"/>
    <w:rsid w:val="002532DE"/>
    <w:rsid w:val="00254E63"/>
    <w:rsid w:val="00257DD1"/>
    <w:rsid w:val="00261089"/>
    <w:rsid w:val="00264682"/>
    <w:rsid w:val="00265031"/>
    <w:rsid w:val="0026520C"/>
    <w:rsid w:val="00266277"/>
    <w:rsid w:val="00270009"/>
    <w:rsid w:val="002711ED"/>
    <w:rsid w:val="002723C7"/>
    <w:rsid w:val="00273277"/>
    <w:rsid w:val="0027563A"/>
    <w:rsid w:val="002806CA"/>
    <w:rsid w:val="0028075E"/>
    <w:rsid w:val="002807AD"/>
    <w:rsid w:val="00282D8F"/>
    <w:rsid w:val="00283163"/>
    <w:rsid w:val="0028403E"/>
    <w:rsid w:val="00284C12"/>
    <w:rsid w:val="0028631B"/>
    <w:rsid w:val="00286834"/>
    <w:rsid w:val="00286FAD"/>
    <w:rsid w:val="00287105"/>
    <w:rsid w:val="00295636"/>
    <w:rsid w:val="00296217"/>
    <w:rsid w:val="002969F8"/>
    <w:rsid w:val="00297358"/>
    <w:rsid w:val="002A125F"/>
    <w:rsid w:val="002A153A"/>
    <w:rsid w:val="002A2A80"/>
    <w:rsid w:val="002A6417"/>
    <w:rsid w:val="002A6631"/>
    <w:rsid w:val="002B1C0D"/>
    <w:rsid w:val="002B282F"/>
    <w:rsid w:val="002B3B1F"/>
    <w:rsid w:val="002B45AD"/>
    <w:rsid w:val="002B4B30"/>
    <w:rsid w:val="002B4F96"/>
    <w:rsid w:val="002B56DF"/>
    <w:rsid w:val="002B77FC"/>
    <w:rsid w:val="002B79E1"/>
    <w:rsid w:val="002B7D1F"/>
    <w:rsid w:val="002C004E"/>
    <w:rsid w:val="002C1969"/>
    <w:rsid w:val="002C3A48"/>
    <w:rsid w:val="002C3CAC"/>
    <w:rsid w:val="002C441F"/>
    <w:rsid w:val="002C7599"/>
    <w:rsid w:val="002C7A63"/>
    <w:rsid w:val="002D06BB"/>
    <w:rsid w:val="002D2B71"/>
    <w:rsid w:val="002D413A"/>
    <w:rsid w:val="002E320B"/>
    <w:rsid w:val="002E4348"/>
    <w:rsid w:val="002E5AEA"/>
    <w:rsid w:val="002E67C5"/>
    <w:rsid w:val="002E71AB"/>
    <w:rsid w:val="002E74E6"/>
    <w:rsid w:val="002E7BC2"/>
    <w:rsid w:val="002F1C33"/>
    <w:rsid w:val="002F2152"/>
    <w:rsid w:val="002F2416"/>
    <w:rsid w:val="002F2DB4"/>
    <w:rsid w:val="002F47DB"/>
    <w:rsid w:val="002F6071"/>
    <w:rsid w:val="002F63BB"/>
    <w:rsid w:val="002F6C10"/>
    <w:rsid w:val="002F6DBB"/>
    <w:rsid w:val="002F701E"/>
    <w:rsid w:val="003001AC"/>
    <w:rsid w:val="00300369"/>
    <w:rsid w:val="00300A6A"/>
    <w:rsid w:val="00302F9F"/>
    <w:rsid w:val="00303EC5"/>
    <w:rsid w:val="00304386"/>
    <w:rsid w:val="0030648E"/>
    <w:rsid w:val="00306BD1"/>
    <w:rsid w:val="00307469"/>
    <w:rsid w:val="00311C1E"/>
    <w:rsid w:val="00312203"/>
    <w:rsid w:val="00312A01"/>
    <w:rsid w:val="00312B8F"/>
    <w:rsid w:val="003132BB"/>
    <w:rsid w:val="003154BC"/>
    <w:rsid w:val="003207E2"/>
    <w:rsid w:val="00324D77"/>
    <w:rsid w:val="00326269"/>
    <w:rsid w:val="00326B54"/>
    <w:rsid w:val="0033366E"/>
    <w:rsid w:val="00333783"/>
    <w:rsid w:val="00334E97"/>
    <w:rsid w:val="00335DF1"/>
    <w:rsid w:val="003373C2"/>
    <w:rsid w:val="003401FE"/>
    <w:rsid w:val="00340A7A"/>
    <w:rsid w:val="003417F0"/>
    <w:rsid w:val="00341835"/>
    <w:rsid w:val="00341ECA"/>
    <w:rsid w:val="00343B5F"/>
    <w:rsid w:val="00343ED4"/>
    <w:rsid w:val="00344791"/>
    <w:rsid w:val="003458DF"/>
    <w:rsid w:val="00347696"/>
    <w:rsid w:val="0034786D"/>
    <w:rsid w:val="00350329"/>
    <w:rsid w:val="00350A47"/>
    <w:rsid w:val="00352FF4"/>
    <w:rsid w:val="003535D2"/>
    <w:rsid w:val="00356B57"/>
    <w:rsid w:val="0036125C"/>
    <w:rsid w:val="00364564"/>
    <w:rsid w:val="003651F0"/>
    <w:rsid w:val="003658B3"/>
    <w:rsid w:val="00366BE9"/>
    <w:rsid w:val="003701D9"/>
    <w:rsid w:val="003739F0"/>
    <w:rsid w:val="003759CE"/>
    <w:rsid w:val="0037679B"/>
    <w:rsid w:val="00377282"/>
    <w:rsid w:val="00377CD3"/>
    <w:rsid w:val="00381DFA"/>
    <w:rsid w:val="003825A4"/>
    <w:rsid w:val="003874DD"/>
    <w:rsid w:val="003877AF"/>
    <w:rsid w:val="00387D0F"/>
    <w:rsid w:val="00390DCF"/>
    <w:rsid w:val="003964CD"/>
    <w:rsid w:val="00396821"/>
    <w:rsid w:val="003A06BB"/>
    <w:rsid w:val="003A2944"/>
    <w:rsid w:val="003A3495"/>
    <w:rsid w:val="003A4CEB"/>
    <w:rsid w:val="003A4F0D"/>
    <w:rsid w:val="003A6ADF"/>
    <w:rsid w:val="003B0DEF"/>
    <w:rsid w:val="003B0E6E"/>
    <w:rsid w:val="003B1932"/>
    <w:rsid w:val="003B66DF"/>
    <w:rsid w:val="003B712F"/>
    <w:rsid w:val="003B7185"/>
    <w:rsid w:val="003B7AF7"/>
    <w:rsid w:val="003C01B5"/>
    <w:rsid w:val="003C12E6"/>
    <w:rsid w:val="003C2074"/>
    <w:rsid w:val="003C30B5"/>
    <w:rsid w:val="003C3ADB"/>
    <w:rsid w:val="003C4F6C"/>
    <w:rsid w:val="003C611C"/>
    <w:rsid w:val="003C6749"/>
    <w:rsid w:val="003C6AE8"/>
    <w:rsid w:val="003C7207"/>
    <w:rsid w:val="003C7995"/>
    <w:rsid w:val="003D0670"/>
    <w:rsid w:val="003D0E4A"/>
    <w:rsid w:val="003D0E7D"/>
    <w:rsid w:val="003D11B5"/>
    <w:rsid w:val="003D134C"/>
    <w:rsid w:val="003D4164"/>
    <w:rsid w:val="003D4BD3"/>
    <w:rsid w:val="003D50C3"/>
    <w:rsid w:val="003D69A5"/>
    <w:rsid w:val="003D6FFB"/>
    <w:rsid w:val="003D750E"/>
    <w:rsid w:val="003E0FE1"/>
    <w:rsid w:val="003E14F9"/>
    <w:rsid w:val="003E599A"/>
    <w:rsid w:val="003F309F"/>
    <w:rsid w:val="003F3119"/>
    <w:rsid w:val="003F4452"/>
    <w:rsid w:val="003F4E8A"/>
    <w:rsid w:val="003F5CB4"/>
    <w:rsid w:val="003F6D32"/>
    <w:rsid w:val="003F6D99"/>
    <w:rsid w:val="003F79E9"/>
    <w:rsid w:val="004077AE"/>
    <w:rsid w:val="00411760"/>
    <w:rsid w:val="00412DFA"/>
    <w:rsid w:val="004161D4"/>
    <w:rsid w:val="0041633C"/>
    <w:rsid w:val="0041784E"/>
    <w:rsid w:val="00417922"/>
    <w:rsid w:val="00417F88"/>
    <w:rsid w:val="004208F0"/>
    <w:rsid w:val="00421EA9"/>
    <w:rsid w:val="004266E5"/>
    <w:rsid w:val="00430B5A"/>
    <w:rsid w:val="00430C09"/>
    <w:rsid w:val="00431C20"/>
    <w:rsid w:val="004344F0"/>
    <w:rsid w:val="0043704F"/>
    <w:rsid w:val="00437B43"/>
    <w:rsid w:val="0044207D"/>
    <w:rsid w:val="004439E2"/>
    <w:rsid w:val="00443C94"/>
    <w:rsid w:val="0044500F"/>
    <w:rsid w:val="00447992"/>
    <w:rsid w:val="00447FE5"/>
    <w:rsid w:val="00450213"/>
    <w:rsid w:val="00451231"/>
    <w:rsid w:val="004523FF"/>
    <w:rsid w:val="004526D3"/>
    <w:rsid w:val="00452E90"/>
    <w:rsid w:val="00455685"/>
    <w:rsid w:val="00455DE4"/>
    <w:rsid w:val="00456D35"/>
    <w:rsid w:val="004570C5"/>
    <w:rsid w:val="00457CF2"/>
    <w:rsid w:val="004610DA"/>
    <w:rsid w:val="00461169"/>
    <w:rsid w:val="004617B8"/>
    <w:rsid w:val="00462A87"/>
    <w:rsid w:val="0046397A"/>
    <w:rsid w:val="00463CA6"/>
    <w:rsid w:val="00463E5F"/>
    <w:rsid w:val="00464D59"/>
    <w:rsid w:val="0046504E"/>
    <w:rsid w:val="00465C71"/>
    <w:rsid w:val="00467620"/>
    <w:rsid w:val="00467C7C"/>
    <w:rsid w:val="00472223"/>
    <w:rsid w:val="004758FE"/>
    <w:rsid w:val="00476C17"/>
    <w:rsid w:val="00480836"/>
    <w:rsid w:val="00481800"/>
    <w:rsid w:val="004830C8"/>
    <w:rsid w:val="004837AB"/>
    <w:rsid w:val="00483A2F"/>
    <w:rsid w:val="0048544A"/>
    <w:rsid w:val="004865F9"/>
    <w:rsid w:val="004907D5"/>
    <w:rsid w:val="00490DBF"/>
    <w:rsid w:val="004910BB"/>
    <w:rsid w:val="00491C25"/>
    <w:rsid w:val="00491F16"/>
    <w:rsid w:val="0049357E"/>
    <w:rsid w:val="004950F2"/>
    <w:rsid w:val="0049739C"/>
    <w:rsid w:val="004A0582"/>
    <w:rsid w:val="004A128C"/>
    <w:rsid w:val="004A1C13"/>
    <w:rsid w:val="004A5E72"/>
    <w:rsid w:val="004A6281"/>
    <w:rsid w:val="004A6EE1"/>
    <w:rsid w:val="004B07EC"/>
    <w:rsid w:val="004B1BEE"/>
    <w:rsid w:val="004B2AB8"/>
    <w:rsid w:val="004B4DF6"/>
    <w:rsid w:val="004B5B9E"/>
    <w:rsid w:val="004B6DCF"/>
    <w:rsid w:val="004C0AA0"/>
    <w:rsid w:val="004C0E5D"/>
    <w:rsid w:val="004C3B81"/>
    <w:rsid w:val="004C45D6"/>
    <w:rsid w:val="004C7E95"/>
    <w:rsid w:val="004D05B1"/>
    <w:rsid w:val="004D0B0E"/>
    <w:rsid w:val="004D1293"/>
    <w:rsid w:val="004D1ADE"/>
    <w:rsid w:val="004D770C"/>
    <w:rsid w:val="004E0D21"/>
    <w:rsid w:val="004E370E"/>
    <w:rsid w:val="004E4238"/>
    <w:rsid w:val="004E5B35"/>
    <w:rsid w:val="004E74D7"/>
    <w:rsid w:val="004E7EAE"/>
    <w:rsid w:val="004F12DE"/>
    <w:rsid w:val="004F15CD"/>
    <w:rsid w:val="004F2563"/>
    <w:rsid w:val="004F31BC"/>
    <w:rsid w:val="004F4387"/>
    <w:rsid w:val="004F5D59"/>
    <w:rsid w:val="004F6F82"/>
    <w:rsid w:val="00502F1F"/>
    <w:rsid w:val="005035DB"/>
    <w:rsid w:val="00504AF4"/>
    <w:rsid w:val="00510BF5"/>
    <w:rsid w:val="00510DC0"/>
    <w:rsid w:val="00510EDC"/>
    <w:rsid w:val="00512286"/>
    <w:rsid w:val="00513233"/>
    <w:rsid w:val="005148D1"/>
    <w:rsid w:val="0051698E"/>
    <w:rsid w:val="005204A7"/>
    <w:rsid w:val="00521BA7"/>
    <w:rsid w:val="00521C2C"/>
    <w:rsid w:val="005227FC"/>
    <w:rsid w:val="00523016"/>
    <w:rsid w:val="005237BA"/>
    <w:rsid w:val="005245AA"/>
    <w:rsid w:val="00524924"/>
    <w:rsid w:val="005252E2"/>
    <w:rsid w:val="005263F3"/>
    <w:rsid w:val="00530A02"/>
    <w:rsid w:val="005379AD"/>
    <w:rsid w:val="005401A2"/>
    <w:rsid w:val="005432F7"/>
    <w:rsid w:val="00543E91"/>
    <w:rsid w:val="00544D64"/>
    <w:rsid w:val="00546920"/>
    <w:rsid w:val="0054785D"/>
    <w:rsid w:val="005505C3"/>
    <w:rsid w:val="00550B1C"/>
    <w:rsid w:val="005511D5"/>
    <w:rsid w:val="00551E9F"/>
    <w:rsid w:val="00552A39"/>
    <w:rsid w:val="00552BF5"/>
    <w:rsid w:val="00552D89"/>
    <w:rsid w:val="0055492B"/>
    <w:rsid w:val="00554A31"/>
    <w:rsid w:val="00555418"/>
    <w:rsid w:val="005609D5"/>
    <w:rsid w:val="00562540"/>
    <w:rsid w:val="00563974"/>
    <w:rsid w:val="005678B1"/>
    <w:rsid w:val="00571AD5"/>
    <w:rsid w:val="00572337"/>
    <w:rsid w:val="005725CA"/>
    <w:rsid w:val="00575853"/>
    <w:rsid w:val="00575DC6"/>
    <w:rsid w:val="00575E5B"/>
    <w:rsid w:val="00575FF2"/>
    <w:rsid w:val="005760C8"/>
    <w:rsid w:val="00577CD4"/>
    <w:rsid w:val="00580540"/>
    <w:rsid w:val="0058136D"/>
    <w:rsid w:val="005820AB"/>
    <w:rsid w:val="005849FE"/>
    <w:rsid w:val="00585FB5"/>
    <w:rsid w:val="0058785F"/>
    <w:rsid w:val="00590EE1"/>
    <w:rsid w:val="00591586"/>
    <w:rsid w:val="00592DB1"/>
    <w:rsid w:val="00595363"/>
    <w:rsid w:val="00595A2B"/>
    <w:rsid w:val="005A006F"/>
    <w:rsid w:val="005A17D2"/>
    <w:rsid w:val="005A3C39"/>
    <w:rsid w:val="005A452D"/>
    <w:rsid w:val="005A5E4A"/>
    <w:rsid w:val="005B181A"/>
    <w:rsid w:val="005B367D"/>
    <w:rsid w:val="005B7357"/>
    <w:rsid w:val="005C0BCA"/>
    <w:rsid w:val="005C1188"/>
    <w:rsid w:val="005C1D36"/>
    <w:rsid w:val="005C5055"/>
    <w:rsid w:val="005C5B7C"/>
    <w:rsid w:val="005C6432"/>
    <w:rsid w:val="005C673B"/>
    <w:rsid w:val="005D38B9"/>
    <w:rsid w:val="005D4CDB"/>
    <w:rsid w:val="005D6744"/>
    <w:rsid w:val="005D7DC4"/>
    <w:rsid w:val="005E046C"/>
    <w:rsid w:val="005E0D96"/>
    <w:rsid w:val="005E1AF3"/>
    <w:rsid w:val="005E247C"/>
    <w:rsid w:val="005E3D4F"/>
    <w:rsid w:val="005E7BBC"/>
    <w:rsid w:val="005F12C4"/>
    <w:rsid w:val="005F19B1"/>
    <w:rsid w:val="005F1B57"/>
    <w:rsid w:val="005F3319"/>
    <w:rsid w:val="005F341B"/>
    <w:rsid w:val="005F5D19"/>
    <w:rsid w:val="005F65B9"/>
    <w:rsid w:val="005F6CBF"/>
    <w:rsid w:val="005F7F24"/>
    <w:rsid w:val="006005DC"/>
    <w:rsid w:val="00600E42"/>
    <w:rsid w:val="006018AA"/>
    <w:rsid w:val="006022B6"/>
    <w:rsid w:val="00603735"/>
    <w:rsid w:val="00603C7F"/>
    <w:rsid w:val="0060560A"/>
    <w:rsid w:val="006100F4"/>
    <w:rsid w:val="00612BFC"/>
    <w:rsid w:val="00612D14"/>
    <w:rsid w:val="006135E6"/>
    <w:rsid w:val="006150F6"/>
    <w:rsid w:val="00615C00"/>
    <w:rsid w:val="0061747D"/>
    <w:rsid w:val="006211A5"/>
    <w:rsid w:val="00627239"/>
    <w:rsid w:val="0063031C"/>
    <w:rsid w:val="006311D7"/>
    <w:rsid w:val="00632E10"/>
    <w:rsid w:val="00632EA5"/>
    <w:rsid w:val="00633960"/>
    <w:rsid w:val="00635CBC"/>
    <w:rsid w:val="00637F5E"/>
    <w:rsid w:val="00637F67"/>
    <w:rsid w:val="00644F52"/>
    <w:rsid w:val="006453BB"/>
    <w:rsid w:val="00651A02"/>
    <w:rsid w:val="006520A9"/>
    <w:rsid w:val="00652413"/>
    <w:rsid w:val="006525FD"/>
    <w:rsid w:val="00653B17"/>
    <w:rsid w:val="00654483"/>
    <w:rsid w:val="00654D59"/>
    <w:rsid w:val="00655B1E"/>
    <w:rsid w:val="00655EAE"/>
    <w:rsid w:val="006563B5"/>
    <w:rsid w:val="0065701C"/>
    <w:rsid w:val="006604A6"/>
    <w:rsid w:val="0066276E"/>
    <w:rsid w:val="00662792"/>
    <w:rsid w:val="00664620"/>
    <w:rsid w:val="0066521F"/>
    <w:rsid w:val="00667868"/>
    <w:rsid w:val="00671B54"/>
    <w:rsid w:val="0067265E"/>
    <w:rsid w:val="00673DB8"/>
    <w:rsid w:val="00674A84"/>
    <w:rsid w:val="006754AC"/>
    <w:rsid w:val="00675BFE"/>
    <w:rsid w:val="00676722"/>
    <w:rsid w:val="0067691D"/>
    <w:rsid w:val="00680FC7"/>
    <w:rsid w:val="006818B6"/>
    <w:rsid w:val="006824B8"/>
    <w:rsid w:val="0068288E"/>
    <w:rsid w:val="006832D2"/>
    <w:rsid w:val="006843B8"/>
    <w:rsid w:val="006852EB"/>
    <w:rsid w:val="00687167"/>
    <w:rsid w:val="00691E0D"/>
    <w:rsid w:val="006929BA"/>
    <w:rsid w:val="00692ABF"/>
    <w:rsid w:val="00692BBD"/>
    <w:rsid w:val="00693313"/>
    <w:rsid w:val="0069332A"/>
    <w:rsid w:val="00693389"/>
    <w:rsid w:val="00694188"/>
    <w:rsid w:val="00694209"/>
    <w:rsid w:val="00697718"/>
    <w:rsid w:val="00697A99"/>
    <w:rsid w:val="006A1226"/>
    <w:rsid w:val="006A172E"/>
    <w:rsid w:val="006A2035"/>
    <w:rsid w:val="006A2152"/>
    <w:rsid w:val="006A2267"/>
    <w:rsid w:val="006A3329"/>
    <w:rsid w:val="006A391C"/>
    <w:rsid w:val="006A442E"/>
    <w:rsid w:val="006A7743"/>
    <w:rsid w:val="006B13E2"/>
    <w:rsid w:val="006B150B"/>
    <w:rsid w:val="006B1785"/>
    <w:rsid w:val="006B181A"/>
    <w:rsid w:val="006B317D"/>
    <w:rsid w:val="006B3C67"/>
    <w:rsid w:val="006B3E06"/>
    <w:rsid w:val="006B45AB"/>
    <w:rsid w:val="006B4961"/>
    <w:rsid w:val="006B5145"/>
    <w:rsid w:val="006B6C6A"/>
    <w:rsid w:val="006B7137"/>
    <w:rsid w:val="006B7F25"/>
    <w:rsid w:val="006C1245"/>
    <w:rsid w:val="006C15D5"/>
    <w:rsid w:val="006C1C02"/>
    <w:rsid w:val="006C1EAD"/>
    <w:rsid w:val="006C234F"/>
    <w:rsid w:val="006C2D0C"/>
    <w:rsid w:val="006C3D0C"/>
    <w:rsid w:val="006C5079"/>
    <w:rsid w:val="006C5955"/>
    <w:rsid w:val="006C59CF"/>
    <w:rsid w:val="006C6579"/>
    <w:rsid w:val="006D0131"/>
    <w:rsid w:val="006D0E8A"/>
    <w:rsid w:val="006D12BD"/>
    <w:rsid w:val="006D2335"/>
    <w:rsid w:val="006D268E"/>
    <w:rsid w:val="006D2BE9"/>
    <w:rsid w:val="006D3570"/>
    <w:rsid w:val="006D3624"/>
    <w:rsid w:val="006D39A8"/>
    <w:rsid w:val="006D4376"/>
    <w:rsid w:val="006D4391"/>
    <w:rsid w:val="006D519D"/>
    <w:rsid w:val="006D6A51"/>
    <w:rsid w:val="006D75A5"/>
    <w:rsid w:val="006D7A62"/>
    <w:rsid w:val="006E13EF"/>
    <w:rsid w:val="006E2BDC"/>
    <w:rsid w:val="006E4EE7"/>
    <w:rsid w:val="006E5CAF"/>
    <w:rsid w:val="006E65C2"/>
    <w:rsid w:val="006E6834"/>
    <w:rsid w:val="006F0671"/>
    <w:rsid w:val="006F10B4"/>
    <w:rsid w:val="006F1F66"/>
    <w:rsid w:val="006F31BC"/>
    <w:rsid w:val="006F31DD"/>
    <w:rsid w:val="006F3802"/>
    <w:rsid w:val="006F39D0"/>
    <w:rsid w:val="006F3B66"/>
    <w:rsid w:val="006F3FD5"/>
    <w:rsid w:val="006F4E05"/>
    <w:rsid w:val="006F64D1"/>
    <w:rsid w:val="006F661B"/>
    <w:rsid w:val="006F7746"/>
    <w:rsid w:val="00700891"/>
    <w:rsid w:val="00702DAA"/>
    <w:rsid w:val="0070582B"/>
    <w:rsid w:val="00707A9D"/>
    <w:rsid w:val="00711157"/>
    <w:rsid w:val="007119E2"/>
    <w:rsid w:val="00711E9A"/>
    <w:rsid w:val="0071221A"/>
    <w:rsid w:val="00714800"/>
    <w:rsid w:val="00714B93"/>
    <w:rsid w:val="00715B7E"/>
    <w:rsid w:val="00715F0D"/>
    <w:rsid w:val="00717930"/>
    <w:rsid w:val="0072152F"/>
    <w:rsid w:val="00721C21"/>
    <w:rsid w:val="007229FD"/>
    <w:rsid w:val="00730CDB"/>
    <w:rsid w:val="007323E9"/>
    <w:rsid w:val="00733E62"/>
    <w:rsid w:val="00735037"/>
    <w:rsid w:val="00736945"/>
    <w:rsid w:val="007369A8"/>
    <w:rsid w:val="00736C89"/>
    <w:rsid w:val="00740B9B"/>
    <w:rsid w:val="00740F3A"/>
    <w:rsid w:val="00741965"/>
    <w:rsid w:val="0074421C"/>
    <w:rsid w:val="00745744"/>
    <w:rsid w:val="00745A21"/>
    <w:rsid w:val="007464B2"/>
    <w:rsid w:val="0075032A"/>
    <w:rsid w:val="00750C12"/>
    <w:rsid w:val="00752A7D"/>
    <w:rsid w:val="00754433"/>
    <w:rsid w:val="00754BEC"/>
    <w:rsid w:val="00760316"/>
    <w:rsid w:val="00760C95"/>
    <w:rsid w:val="00761086"/>
    <w:rsid w:val="00763652"/>
    <w:rsid w:val="00763A36"/>
    <w:rsid w:val="00764BF7"/>
    <w:rsid w:val="00764C6A"/>
    <w:rsid w:val="00764EA5"/>
    <w:rsid w:val="007650D8"/>
    <w:rsid w:val="00766030"/>
    <w:rsid w:val="00766CBE"/>
    <w:rsid w:val="00767B80"/>
    <w:rsid w:val="00770D7D"/>
    <w:rsid w:val="00771030"/>
    <w:rsid w:val="00772497"/>
    <w:rsid w:val="007745AE"/>
    <w:rsid w:val="007754C3"/>
    <w:rsid w:val="0077638E"/>
    <w:rsid w:val="007768FE"/>
    <w:rsid w:val="00776E3E"/>
    <w:rsid w:val="00780C18"/>
    <w:rsid w:val="00781F96"/>
    <w:rsid w:val="00783492"/>
    <w:rsid w:val="007902C3"/>
    <w:rsid w:val="00790BB8"/>
    <w:rsid w:val="00791377"/>
    <w:rsid w:val="007915BB"/>
    <w:rsid w:val="00792793"/>
    <w:rsid w:val="00795C86"/>
    <w:rsid w:val="007A01A1"/>
    <w:rsid w:val="007A191D"/>
    <w:rsid w:val="007A45E7"/>
    <w:rsid w:val="007A73BE"/>
    <w:rsid w:val="007B1754"/>
    <w:rsid w:val="007B3B55"/>
    <w:rsid w:val="007B4AAA"/>
    <w:rsid w:val="007C46CC"/>
    <w:rsid w:val="007C6894"/>
    <w:rsid w:val="007D25C8"/>
    <w:rsid w:val="007D27F4"/>
    <w:rsid w:val="007D3035"/>
    <w:rsid w:val="007D35C4"/>
    <w:rsid w:val="007D3B8C"/>
    <w:rsid w:val="007D5652"/>
    <w:rsid w:val="007D62C7"/>
    <w:rsid w:val="007D6B53"/>
    <w:rsid w:val="007D6D97"/>
    <w:rsid w:val="007D6E52"/>
    <w:rsid w:val="007E001D"/>
    <w:rsid w:val="007E0034"/>
    <w:rsid w:val="007E20E5"/>
    <w:rsid w:val="007E7D4E"/>
    <w:rsid w:val="007F0426"/>
    <w:rsid w:val="007F1B9C"/>
    <w:rsid w:val="007F2142"/>
    <w:rsid w:val="007F4022"/>
    <w:rsid w:val="007F5F0C"/>
    <w:rsid w:val="007F7061"/>
    <w:rsid w:val="007F7AC6"/>
    <w:rsid w:val="008007EE"/>
    <w:rsid w:val="008012DE"/>
    <w:rsid w:val="00803061"/>
    <w:rsid w:val="00803FC8"/>
    <w:rsid w:val="008057D4"/>
    <w:rsid w:val="00806A36"/>
    <w:rsid w:val="00807EEE"/>
    <w:rsid w:val="008103E9"/>
    <w:rsid w:val="00812E3D"/>
    <w:rsid w:val="008135F4"/>
    <w:rsid w:val="00813893"/>
    <w:rsid w:val="00813B1E"/>
    <w:rsid w:val="00813F60"/>
    <w:rsid w:val="00814330"/>
    <w:rsid w:val="00815614"/>
    <w:rsid w:val="00816001"/>
    <w:rsid w:val="0082205E"/>
    <w:rsid w:val="0082266E"/>
    <w:rsid w:val="008234E2"/>
    <w:rsid w:val="00824361"/>
    <w:rsid w:val="008250B0"/>
    <w:rsid w:val="00825FD3"/>
    <w:rsid w:val="00826793"/>
    <w:rsid w:val="00830D1A"/>
    <w:rsid w:val="0083146F"/>
    <w:rsid w:val="008327EE"/>
    <w:rsid w:val="00832BC5"/>
    <w:rsid w:val="00833F8E"/>
    <w:rsid w:val="0083539E"/>
    <w:rsid w:val="008363B6"/>
    <w:rsid w:val="00836715"/>
    <w:rsid w:val="00836E71"/>
    <w:rsid w:val="00837EBE"/>
    <w:rsid w:val="0084265D"/>
    <w:rsid w:val="00842E74"/>
    <w:rsid w:val="00843BE5"/>
    <w:rsid w:val="00850FFC"/>
    <w:rsid w:val="00851D9C"/>
    <w:rsid w:val="008535C9"/>
    <w:rsid w:val="008546FE"/>
    <w:rsid w:val="008561E0"/>
    <w:rsid w:val="00856B64"/>
    <w:rsid w:val="00857AAB"/>
    <w:rsid w:val="00857C2F"/>
    <w:rsid w:val="008606FB"/>
    <w:rsid w:val="00860A39"/>
    <w:rsid w:val="00860C93"/>
    <w:rsid w:val="0086177D"/>
    <w:rsid w:val="00862463"/>
    <w:rsid w:val="00862FA4"/>
    <w:rsid w:val="00863DD9"/>
    <w:rsid w:val="00865094"/>
    <w:rsid w:val="00865960"/>
    <w:rsid w:val="00866446"/>
    <w:rsid w:val="0086741B"/>
    <w:rsid w:val="00870933"/>
    <w:rsid w:val="00871568"/>
    <w:rsid w:val="00872D25"/>
    <w:rsid w:val="00874E17"/>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4003"/>
    <w:rsid w:val="008A49FD"/>
    <w:rsid w:val="008A53F2"/>
    <w:rsid w:val="008A5766"/>
    <w:rsid w:val="008A618A"/>
    <w:rsid w:val="008B09B1"/>
    <w:rsid w:val="008B47E8"/>
    <w:rsid w:val="008B5F69"/>
    <w:rsid w:val="008B6430"/>
    <w:rsid w:val="008B7A53"/>
    <w:rsid w:val="008C1100"/>
    <w:rsid w:val="008C24B6"/>
    <w:rsid w:val="008C3ACC"/>
    <w:rsid w:val="008C487C"/>
    <w:rsid w:val="008C49B9"/>
    <w:rsid w:val="008C4C28"/>
    <w:rsid w:val="008C6774"/>
    <w:rsid w:val="008D11E3"/>
    <w:rsid w:val="008D15ED"/>
    <w:rsid w:val="008D2548"/>
    <w:rsid w:val="008D28AD"/>
    <w:rsid w:val="008D3473"/>
    <w:rsid w:val="008D539C"/>
    <w:rsid w:val="008D575A"/>
    <w:rsid w:val="008D7A9D"/>
    <w:rsid w:val="008E0FCC"/>
    <w:rsid w:val="008E21A3"/>
    <w:rsid w:val="008E2FE3"/>
    <w:rsid w:val="008E37B1"/>
    <w:rsid w:val="008E5698"/>
    <w:rsid w:val="008E5F34"/>
    <w:rsid w:val="008E6B88"/>
    <w:rsid w:val="008E7D3F"/>
    <w:rsid w:val="008F00CF"/>
    <w:rsid w:val="008F0E10"/>
    <w:rsid w:val="008F2267"/>
    <w:rsid w:val="008F2F63"/>
    <w:rsid w:val="008F3EE2"/>
    <w:rsid w:val="008F4B08"/>
    <w:rsid w:val="008F5D4C"/>
    <w:rsid w:val="008F67FD"/>
    <w:rsid w:val="008F6D40"/>
    <w:rsid w:val="00900A29"/>
    <w:rsid w:val="0090294C"/>
    <w:rsid w:val="00902F85"/>
    <w:rsid w:val="00903E02"/>
    <w:rsid w:val="00904226"/>
    <w:rsid w:val="0090536D"/>
    <w:rsid w:val="009057E8"/>
    <w:rsid w:val="00905A7E"/>
    <w:rsid w:val="00905B18"/>
    <w:rsid w:val="00905B2F"/>
    <w:rsid w:val="00912254"/>
    <w:rsid w:val="00914C35"/>
    <w:rsid w:val="00920A7F"/>
    <w:rsid w:val="009211CB"/>
    <w:rsid w:val="009231E0"/>
    <w:rsid w:val="00923548"/>
    <w:rsid w:val="00923850"/>
    <w:rsid w:val="00923B70"/>
    <w:rsid w:val="00925293"/>
    <w:rsid w:val="00926241"/>
    <w:rsid w:val="0092642C"/>
    <w:rsid w:val="00926B0D"/>
    <w:rsid w:val="00930B6C"/>
    <w:rsid w:val="00930E4B"/>
    <w:rsid w:val="00931485"/>
    <w:rsid w:val="009377AC"/>
    <w:rsid w:val="00942C91"/>
    <w:rsid w:val="009436DA"/>
    <w:rsid w:val="00943862"/>
    <w:rsid w:val="009444F7"/>
    <w:rsid w:val="0094508D"/>
    <w:rsid w:val="009461AA"/>
    <w:rsid w:val="00946E85"/>
    <w:rsid w:val="0094787E"/>
    <w:rsid w:val="00947C5C"/>
    <w:rsid w:val="009506A7"/>
    <w:rsid w:val="00950763"/>
    <w:rsid w:val="009507D1"/>
    <w:rsid w:val="0095113A"/>
    <w:rsid w:val="00952E50"/>
    <w:rsid w:val="0095379C"/>
    <w:rsid w:val="00954CF5"/>
    <w:rsid w:val="009559AE"/>
    <w:rsid w:val="00956630"/>
    <w:rsid w:val="009605FA"/>
    <w:rsid w:val="009609CB"/>
    <w:rsid w:val="0096646C"/>
    <w:rsid w:val="00966A3E"/>
    <w:rsid w:val="00967230"/>
    <w:rsid w:val="00967B16"/>
    <w:rsid w:val="00972087"/>
    <w:rsid w:val="00972C13"/>
    <w:rsid w:val="0097420F"/>
    <w:rsid w:val="0097456D"/>
    <w:rsid w:val="00974A47"/>
    <w:rsid w:val="00976BF4"/>
    <w:rsid w:val="009778DA"/>
    <w:rsid w:val="00980920"/>
    <w:rsid w:val="009812D7"/>
    <w:rsid w:val="00982E99"/>
    <w:rsid w:val="00990391"/>
    <w:rsid w:val="009910DA"/>
    <w:rsid w:val="009919A4"/>
    <w:rsid w:val="00992151"/>
    <w:rsid w:val="009947D1"/>
    <w:rsid w:val="00994B40"/>
    <w:rsid w:val="00996159"/>
    <w:rsid w:val="009A02A7"/>
    <w:rsid w:val="009A12B9"/>
    <w:rsid w:val="009A3AC9"/>
    <w:rsid w:val="009A4BA7"/>
    <w:rsid w:val="009A4BF0"/>
    <w:rsid w:val="009A4E03"/>
    <w:rsid w:val="009A5212"/>
    <w:rsid w:val="009A5714"/>
    <w:rsid w:val="009A5DA7"/>
    <w:rsid w:val="009A6768"/>
    <w:rsid w:val="009A6A40"/>
    <w:rsid w:val="009A7425"/>
    <w:rsid w:val="009B1AEC"/>
    <w:rsid w:val="009B3540"/>
    <w:rsid w:val="009B3FF2"/>
    <w:rsid w:val="009B47AC"/>
    <w:rsid w:val="009B6AE8"/>
    <w:rsid w:val="009B7329"/>
    <w:rsid w:val="009B73F6"/>
    <w:rsid w:val="009C0F6B"/>
    <w:rsid w:val="009C1FFE"/>
    <w:rsid w:val="009C27A9"/>
    <w:rsid w:val="009C3485"/>
    <w:rsid w:val="009C51FA"/>
    <w:rsid w:val="009C53AB"/>
    <w:rsid w:val="009C5B20"/>
    <w:rsid w:val="009C68EF"/>
    <w:rsid w:val="009D11B7"/>
    <w:rsid w:val="009D16ED"/>
    <w:rsid w:val="009D1D57"/>
    <w:rsid w:val="009D260E"/>
    <w:rsid w:val="009D481A"/>
    <w:rsid w:val="009D4B60"/>
    <w:rsid w:val="009D4F8F"/>
    <w:rsid w:val="009D647C"/>
    <w:rsid w:val="009D79AA"/>
    <w:rsid w:val="009E21D6"/>
    <w:rsid w:val="009E2544"/>
    <w:rsid w:val="009E2770"/>
    <w:rsid w:val="009E467C"/>
    <w:rsid w:val="009E4710"/>
    <w:rsid w:val="009E4A43"/>
    <w:rsid w:val="009E4F0B"/>
    <w:rsid w:val="009E5D4A"/>
    <w:rsid w:val="009E6225"/>
    <w:rsid w:val="009F0069"/>
    <w:rsid w:val="009F14A4"/>
    <w:rsid w:val="009F2261"/>
    <w:rsid w:val="009F3537"/>
    <w:rsid w:val="009F64CF"/>
    <w:rsid w:val="009F6ADC"/>
    <w:rsid w:val="009F78A4"/>
    <w:rsid w:val="009F796E"/>
    <w:rsid w:val="00A00D59"/>
    <w:rsid w:val="00A032F8"/>
    <w:rsid w:val="00A06951"/>
    <w:rsid w:val="00A07AFD"/>
    <w:rsid w:val="00A10347"/>
    <w:rsid w:val="00A12605"/>
    <w:rsid w:val="00A14281"/>
    <w:rsid w:val="00A149F1"/>
    <w:rsid w:val="00A14C36"/>
    <w:rsid w:val="00A158AB"/>
    <w:rsid w:val="00A16FCF"/>
    <w:rsid w:val="00A247C1"/>
    <w:rsid w:val="00A25657"/>
    <w:rsid w:val="00A304BE"/>
    <w:rsid w:val="00A329B6"/>
    <w:rsid w:val="00A35D64"/>
    <w:rsid w:val="00A367A1"/>
    <w:rsid w:val="00A37F8D"/>
    <w:rsid w:val="00A40178"/>
    <w:rsid w:val="00A415D2"/>
    <w:rsid w:val="00A42ADC"/>
    <w:rsid w:val="00A460BA"/>
    <w:rsid w:val="00A46CF8"/>
    <w:rsid w:val="00A46FE1"/>
    <w:rsid w:val="00A47616"/>
    <w:rsid w:val="00A47FE2"/>
    <w:rsid w:val="00A510F6"/>
    <w:rsid w:val="00A51FBE"/>
    <w:rsid w:val="00A54828"/>
    <w:rsid w:val="00A54BFD"/>
    <w:rsid w:val="00A57F74"/>
    <w:rsid w:val="00A618BC"/>
    <w:rsid w:val="00A61A04"/>
    <w:rsid w:val="00A648E0"/>
    <w:rsid w:val="00A64EF4"/>
    <w:rsid w:val="00A651C9"/>
    <w:rsid w:val="00A67D0F"/>
    <w:rsid w:val="00A70699"/>
    <w:rsid w:val="00A70E2D"/>
    <w:rsid w:val="00A73161"/>
    <w:rsid w:val="00A73E40"/>
    <w:rsid w:val="00A740E7"/>
    <w:rsid w:val="00A74621"/>
    <w:rsid w:val="00A76BFC"/>
    <w:rsid w:val="00A80739"/>
    <w:rsid w:val="00A83829"/>
    <w:rsid w:val="00A84245"/>
    <w:rsid w:val="00A862C0"/>
    <w:rsid w:val="00A862CB"/>
    <w:rsid w:val="00A872F7"/>
    <w:rsid w:val="00A8774A"/>
    <w:rsid w:val="00A87EE1"/>
    <w:rsid w:val="00A9000F"/>
    <w:rsid w:val="00A91A20"/>
    <w:rsid w:val="00A9229F"/>
    <w:rsid w:val="00A95100"/>
    <w:rsid w:val="00A95487"/>
    <w:rsid w:val="00A97A15"/>
    <w:rsid w:val="00A97F63"/>
    <w:rsid w:val="00AA0134"/>
    <w:rsid w:val="00AA0652"/>
    <w:rsid w:val="00AA188C"/>
    <w:rsid w:val="00AA2A39"/>
    <w:rsid w:val="00AA2C16"/>
    <w:rsid w:val="00AA42EE"/>
    <w:rsid w:val="00AA574D"/>
    <w:rsid w:val="00AA5AEE"/>
    <w:rsid w:val="00AA615B"/>
    <w:rsid w:val="00AA6272"/>
    <w:rsid w:val="00AA7235"/>
    <w:rsid w:val="00AB0DED"/>
    <w:rsid w:val="00AB1009"/>
    <w:rsid w:val="00AB14AB"/>
    <w:rsid w:val="00AB33D4"/>
    <w:rsid w:val="00AB5263"/>
    <w:rsid w:val="00AC0C81"/>
    <w:rsid w:val="00AC1B48"/>
    <w:rsid w:val="00AC29D6"/>
    <w:rsid w:val="00AC3A94"/>
    <w:rsid w:val="00AC43E7"/>
    <w:rsid w:val="00AC508A"/>
    <w:rsid w:val="00AC5CA2"/>
    <w:rsid w:val="00AC6EE0"/>
    <w:rsid w:val="00AD1456"/>
    <w:rsid w:val="00AD1494"/>
    <w:rsid w:val="00AD1E1B"/>
    <w:rsid w:val="00AD4BD5"/>
    <w:rsid w:val="00AD54C3"/>
    <w:rsid w:val="00AD5B24"/>
    <w:rsid w:val="00AD6BD9"/>
    <w:rsid w:val="00AD7725"/>
    <w:rsid w:val="00AE0018"/>
    <w:rsid w:val="00AE0522"/>
    <w:rsid w:val="00AE44F0"/>
    <w:rsid w:val="00AE668A"/>
    <w:rsid w:val="00AE6858"/>
    <w:rsid w:val="00AE7EF0"/>
    <w:rsid w:val="00AF0A55"/>
    <w:rsid w:val="00AF2EFF"/>
    <w:rsid w:val="00AF387F"/>
    <w:rsid w:val="00AF41B6"/>
    <w:rsid w:val="00AF497F"/>
    <w:rsid w:val="00AF5C62"/>
    <w:rsid w:val="00AF643C"/>
    <w:rsid w:val="00AF6B2F"/>
    <w:rsid w:val="00AF7270"/>
    <w:rsid w:val="00AF727E"/>
    <w:rsid w:val="00AF7D3B"/>
    <w:rsid w:val="00B00055"/>
    <w:rsid w:val="00B00272"/>
    <w:rsid w:val="00B018DE"/>
    <w:rsid w:val="00B06342"/>
    <w:rsid w:val="00B07013"/>
    <w:rsid w:val="00B11F92"/>
    <w:rsid w:val="00B120A7"/>
    <w:rsid w:val="00B12AC6"/>
    <w:rsid w:val="00B13A5A"/>
    <w:rsid w:val="00B13C71"/>
    <w:rsid w:val="00B13EE9"/>
    <w:rsid w:val="00B14450"/>
    <w:rsid w:val="00B14675"/>
    <w:rsid w:val="00B1586E"/>
    <w:rsid w:val="00B17103"/>
    <w:rsid w:val="00B17BC5"/>
    <w:rsid w:val="00B2045A"/>
    <w:rsid w:val="00B20535"/>
    <w:rsid w:val="00B20582"/>
    <w:rsid w:val="00B2158C"/>
    <w:rsid w:val="00B217CA"/>
    <w:rsid w:val="00B2281B"/>
    <w:rsid w:val="00B2444B"/>
    <w:rsid w:val="00B24E57"/>
    <w:rsid w:val="00B26584"/>
    <w:rsid w:val="00B27F95"/>
    <w:rsid w:val="00B306A5"/>
    <w:rsid w:val="00B30892"/>
    <w:rsid w:val="00B30D96"/>
    <w:rsid w:val="00B31464"/>
    <w:rsid w:val="00B326A4"/>
    <w:rsid w:val="00B32C0D"/>
    <w:rsid w:val="00B337FA"/>
    <w:rsid w:val="00B34281"/>
    <w:rsid w:val="00B3678E"/>
    <w:rsid w:val="00B42262"/>
    <w:rsid w:val="00B42B2C"/>
    <w:rsid w:val="00B45E2C"/>
    <w:rsid w:val="00B4699B"/>
    <w:rsid w:val="00B47B91"/>
    <w:rsid w:val="00B47DE2"/>
    <w:rsid w:val="00B5123E"/>
    <w:rsid w:val="00B51B58"/>
    <w:rsid w:val="00B522C4"/>
    <w:rsid w:val="00B52B0E"/>
    <w:rsid w:val="00B52FDB"/>
    <w:rsid w:val="00B5337D"/>
    <w:rsid w:val="00B533F4"/>
    <w:rsid w:val="00B54444"/>
    <w:rsid w:val="00B5750A"/>
    <w:rsid w:val="00B57FC4"/>
    <w:rsid w:val="00B62BEA"/>
    <w:rsid w:val="00B63732"/>
    <w:rsid w:val="00B64B90"/>
    <w:rsid w:val="00B65290"/>
    <w:rsid w:val="00B67CA4"/>
    <w:rsid w:val="00B70928"/>
    <w:rsid w:val="00B70E26"/>
    <w:rsid w:val="00B71364"/>
    <w:rsid w:val="00B726D5"/>
    <w:rsid w:val="00B72758"/>
    <w:rsid w:val="00B7319C"/>
    <w:rsid w:val="00B7517F"/>
    <w:rsid w:val="00B75D34"/>
    <w:rsid w:val="00B777B9"/>
    <w:rsid w:val="00B80915"/>
    <w:rsid w:val="00B80AAD"/>
    <w:rsid w:val="00B82153"/>
    <w:rsid w:val="00B82E87"/>
    <w:rsid w:val="00B86080"/>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2E6C"/>
    <w:rsid w:val="00BA3363"/>
    <w:rsid w:val="00BA7E78"/>
    <w:rsid w:val="00BB0833"/>
    <w:rsid w:val="00BB0EA7"/>
    <w:rsid w:val="00BB4CDF"/>
    <w:rsid w:val="00BB595B"/>
    <w:rsid w:val="00BB59F9"/>
    <w:rsid w:val="00BB5B0E"/>
    <w:rsid w:val="00BC01A1"/>
    <w:rsid w:val="00BC15B8"/>
    <w:rsid w:val="00BC4AB8"/>
    <w:rsid w:val="00BC5279"/>
    <w:rsid w:val="00BC6C4E"/>
    <w:rsid w:val="00BC6DA1"/>
    <w:rsid w:val="00BC7B6A"/>
    <w:rsid w:val="00BD0EAC"/>
    <w:rsid w:val="00BD13DC"/>
    <w:rsid w:val="00BD24C7"/>
    <w:rsid w:val="00BD31AB"/>
    <w:rsid w:val="00BD4AA0"/>
    <w:rsid w:val="00BD58A7"/>
    <w:rsid w:val="00BD6EE4"/>
    <w:rsid w:val="00BE1E33"/>
    <w:rsid w:val="00BE2AD3"/>
    <w:rsid w:val="00BE3096"/>
    <w:rsid w:val="00BE36F7"/>
    <w:rsid w:val="00BE65AD"/>
    <w:rsid w:val="00BF05C1"/>
    <w:rsid w:val="00BF0AF8"/>
    <w:rsid w:val="00BF19F3"/>
    <w:rsid w:val="00BF2443"/>
    <w:rsid w:val="00C01BC4"/>
    <w:rsid w:val="00C02F78"/>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2523D"/>
    <w:rsid w:val="00C30A4C"/>
    <w:rsid w:val="00C30E1E"/>
    <w:rsid w:val="00C31412"/>
    <w:rsid w:val="00C34D7A"/>
    <w:rsid w:val="00C362A0"/>
    <w:rsid w:val="00C365AF"/>
    <w:rsid w:val="00C367CD"/>
    <w:rsid w:val="00C42740"/>
    <w:rsid w:val="00C43C6C"/>
    <w:rsid w:val="00C4526C"/>
    <w:rsid w:val="00C45704"/>
    <w:rsid w:val="00C47F72"/>
    <w:rsid w:val="00C50B1B"/>
    <w:rsid w:val="00C50C99"/>
    <w:rsid w:val="00C523A1"/>
    <w:rsid w:val="00C52801"/>
    <w:rsid w:val="00C5395E"/>
    <w:rsid w:val="00C60C0C"/>
    <w:rsid w:val="00C61C54"/>
    <w:rsid w:val="00C6210F"/>
    <w:rsid w:val="00C62B8E"/>
    <w:rsid w:val="00C630CA"/>
    <w:rsid w:val="00C63833"/>
    <w:rsid w:val="00C703AD"/>
    <w:rsid w:val="00C745C6"/>
    <w:rsid w:val="00C750BA"/>
    <w:rsid w:val="00C7706E"/>
    <w:rsid w:val="00C77811"/>
    <w:rsid w:val="00C826EF"/>
    <w:rsid w:val="00C82700"/>
    <w:rsid w:val="00C8442D"/>
    <w:rsid w:val="00C84EBE"/>
    <w:rsid w:val="00C85287"/>
    <w:rsid w:val="00C85FA6"/>
    <w:rsid w:val="00C871C6"/>
    <w:rsid w:val="00C875AD"/>
    <w:rsid w:val="00C878E1"/>
    <w:rsid w:val="00C9091D"/>
    <w:rsid w:val="00C92ED3"/>
    <w:rsid w:val="00C94D01"/>
    <w:rsid w:val="00C95141"/>
    <w:rsid w:val="00C95AC9"/>
    <w:rsid w:val="00C964DE"/>
    <w:rsid w:val="00C9667D"/>
    <w:rsid w:val="00C969C2"/>
    <w:rsid w:val="00C96F18"/>
    <w:rsid w:val="00C97741"/>
    <w:rsid w:val="00CA4545"/>
    <w:rsid w:val="00CA4843"/>
    <w:rsid w:val="00CA51AC"/>
    <w:rsid w:val="00CA51DE"/>
    <w:rsid w:val="00CA5790"/>
    <w:rsid w:val="00CA634C"/>
    <w:rsid w:val="00CA64F4"/>
    <w:rsid w:val="00CA652B"/>
    <w:rsid w:val="00CA75F5"/>
    <w:rsid w:val="00CA7BFF"/>
    <w:rsid w:val="00CB003C"/>
    <w:rsid w:val="00CB0EC9"/>
    <w:rsid w:val="00CB12E5"/>
    <w:rsid w:val="00CB1FD3"/>
    <w:rsid w:val="00CB59D4"/>
    <w:rsid w:val="00CB5AD0"/>
    <w:rsid w:val="00CB5D1D"/>
    <w:rsid w:val="00CC0C56"/>
    <w:rsid w:val="00CC11B6"/>
    <w:rsid w:val="00CC4245"/>
    <w:rsid w:val="00CD23FE"/>
    <w:rsid w:val="00CD319D"/>
    <w:rsid w:val="00CD33C1"/>
    <w:rsid w:val="00CD34E7"/>
    <w:rsid w:val="00CD37C7"/>
    <w:rsid w:val="00CE15BE"/>
    <w:rsid w:val="00CE206E"/>
    <w:rsid w:val="00CE35D5"/>
    <w:rsid w:val="00CE5DC1"/>
    <w:rsid w:val="00CE65AC"/>
    <w:rsid w:val="00CF09D9"/>
    <w:rsid w:val="00CF1628"/>
    <w:rsid w:val="00CF182A"/>
    <w:rsid w:val="00CF1BF9"/>
    <w:rsid w:val="00CF326B"/>
    <w:rsid w:val="00CF5CC1"/>
    <w:rsid w:val="00CF7D98"/>
    <w:rsid w:val="00D029D8"/>
    <w:rsid w:val="00D02A84"/>
    <w:rsid w:val="00D0300E"/>
    <w:rsid w:val="00D054B2"/>
    <w:rsid w:val="00D0554A"/>
    <w:rsid w:val="00D06133"/>
    <w:rsid w:val="00D0763E"/>
    <w:rsid w:val="00D11186"/>
    <w:rsid w:val="00D12644"/>
    <w:rsid w:val="00D134CC"/>
    <w:rsid w:val="00D142E0"/>
    <w:rsid w:val="00D14450"/>
    <w:rsid w:val="00D14C1E"/>
    <w:rsid w:val="00D14CD0"/>
    <w:rsid w:val="00D15BB2"/>
    <w:rsid w:val="00D20C0C"/>
    <w:rsid w:val="00D20C1D"/>
    <w:rsid w:val="00D24682"/>
    <w:rsid w:val="00D24F06"/>
    <w:rsid w:val="00D25AEF"/>
    <w:rsid w:val="00D279FE"/>
    <w:rsid w:val="00D31785"/>
    <w:rsid w:val="00D32391"/>
    <w:rsid w:val="00D332F0"/>
    <w:rsid w:val="00D333D0"/>
    <w:rsid w:val="00D3380A"/>
    <w:rsid w:val="00D33D6F"/>
    <w:rsid w:val="00D349EE"/>
    <w:rsid w:val="00D34B7E"/>
    <w:rsid w:val="00D35298"/>
    <w:rsid w:val="00D35620"/>
    <w:rsid w:val="00D35C7D"/>
    <w:rsid w:val="00D36296"/>
    <w:rsid w:val="00D36DC3"/>
    <w:rsid w:val="00D377D3"/>
    <w:rsid w:val="00D403E6"/>
    <w:rsid w:val="00D4126F"/>
    <w:rsid w:val="00D418AD"/>
    <w:rsid w:val="00D42C1B"/>
    <w:rsid w:val="00D42FDA"/>
    <w:rsid w:val="00D44227"/>
    <w:rsid w:val="00D44255"/>
    <w:rsid w:val="00D44AE4"/>
    <w:rsid w:val="00D45FB4"/>
    <w:rsid w:val="00D46629"/>
    <w:rsid w:val="00D510E4"/>
    <w:rsid w:val="00D51D54"/>
    <w:rsid w:val="00D523DC"/>
    <w:rsid w:val="00D527DA"/>
    <w:rsid w:val="00D54D35"/>
    <w:rsid w:val="00D54DF5"/>
    <w:rsid w:val="00D554BA"/>
    <w:rsid w:val="00D56D47"/>
    <w:rsid w:val="00D57421"/>
    <w:rsid w:val="00D57835"/>
    <w:rsid w:val="00D60689"/>
    <w:rsid w:val="00D60CF3"/>
    <w:rsid w:val="00D613F3"/>
    <w:rsid w:val="00D6148A"/>
    <w:rsid w:val="00D64C75"/>
    <w:rsid w:val="00D655FB"/>
    <w:rsid w:val="00D70FB4"/>
    <w:rsid w:val="00D729D4"/>
    <w:rsid w:val="00D73854"/>
    <w:rsid w:val="00D73A38"/>
    <w:rsid w:val="00D74A1C"/>
    <w:rsid w:val="00D75B37"/>
    <w:rsid w:val="00D761DB"/>
    <w:rsid w:val="00D77606"/>
    <w:rsid w:val="00D7769B"/>
    <w:rsid w:val="00D815C1"/>
    <w:rsid w:val="00D81A2B"/>
    <w:rsid w:val="00D82E7D"/>
    <w:rsid w:val="00D83F1B"/>
    <w:rsid w:val="00D84B66"/>
    <w:rsid w:val="00D850F4"/>
    <w:rsid w:val="00D85360"/>
    <w:rsid w:val="00D8590B"/>
    <w:rsid w:val="00D85B56"/>
    <w:rsid w:val="00D85C85"/>
    <w:rsid w:val="00D85E33"/>
    <w:rsid w:val="00D8637B"/>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5BAE"/>
    <w:rsid w:val="00DB751D"/>
    <w:rsid w:val="00DC09BD"/>
    <w:rsid w:val="00DC162E"/>
    <w:rsid w:val="00DC35CE"/>
    <w:rsid w:val="00DC3B1E"/>
    <w:rsid w:val="00DC432A"/>
    <w:rsid w:val="00DC4C93"/>
    <w:rsid w:val="00DC679E"/>
    <w:rsid w:val="00DC6B0E"/>
    <w:rsid w:val="00DD0E98"/>
    <w:rsid w:val="00DD14BC"/>
    <w:rsid w:val="00DD259F"/>
    <w:rsid w:val="00DD2E7A"/>
    <w:rsid w:val="00DD4D47"/>
    <w:rsid w:val="00DD565E"/>
    <w:rsid w:val="00DD689E"/>
    <w:rsid w:val="00DE3F87"/>
    <w:rsid w:val="00DE46BC"/>
    <w:rsid w:val="00DE4E0C"/>
    <w:rsid w:val="00DE4F9F"/>
    <w:rsid w:val="00DE5013"/>
    <w:rsid w:val="00DE54BD"/>
    <w:rsid w:val="00DE57DA"/>
    <w:rsid w:val="00DE64DE"/>
    <w:rsid w:val="00DE73B4"/>
    <w:rsid w:val="00DE787B"/>
    <w:rsid w:val="00DE7AB4"/>
    <w:rsid w:val="00DF2E8B"/>
    <w:rsid w:val="00DF4D86"/>
    <w:rsid w:val="00DF63E3"/>
    <w:rsid w:val="00DF664E"/>
    <w:rsid w:val="00DF6B09"/>
    <w:rsid w:val="00E00B41"/>
    <w:rsid w:val="00E013AA"/>
    <w:rsid w:val="00E01D84"/>
    <w:rsid w:val="00E048AB"/>
    <w:rsid w:val="00E052D3"/>
    <w:rsid w:val="00E05344"/>
    <w:rsid w:val="00E05DA1"/>
    <w:rsid w:val="00E104CD"/>
    <w:rsid w:val="00E1090A"/>
    <w:rsid w:val="00E111AA"/>
    <w:rsid w:val="00E137BB"/>
    <w:rsid w:val="00E15A72"/>
    <w:rsid w:val="00E20266"/>
    <w:rsid w:val="00E20BB2"/>
    <w:rsid w:val="00E22194"/>
    <w:rsid w:val="00E22B43"/>
    <w:rsid w:val="00E235DD"/>
    <w:rsid w:val="00E23B80"/>
    <w:rsid w:val="00E261CD"/>
    <w:rsid w:val="00E27002"/>
    <w:rsid w:val="00E30356"/>
    <w:rsid w:val="00E3199C"/>
    <w:rsid w:val="00E321B8"/>
    <w:rsid w:val="00E3352E"/>
    <w:rsid w:val="00E34732"/>
    <w:rsid w:val="00E34885"/>
    <w:rsid w:val="00E40987"/>
    <w:rsid w:val="00E41E74"/>
    <w:rsid w:val="00E42D0B"/>
    <w:rsid w:val="00E43A1A"/>
    <w:rsid w:val="00E441BF"/>
    <w:rsid w:val="00E4480A"/>
    <w:rsid w:val="00E5029D"/>
    <w:rsid w:val="00E51679"/>
    <w:rsid w:val="00E528C8"/>
    <w:rsid w:val="00E54CD1"/>
    <w:rsid w:val="00E563C1"/>
    <w:rsid w:val="00E56980"/>
    <w:rsid w:val="00E56B59"/>
    <w:rsid w:val="00E60E10"/>
    <w:rsid w:val="00E616AD"/>
    <w:rsid w:val="00E6266E"/>
    <w:rsid w:val="00E62D29"/>
    <w:rsid w:val="00E64988"/>
    <w:rsid w:val="00E64A38"/>
    <w:rsid w:val="00E66FFF"/>
    <w:rsid w:val="00E7065A"/>
    <w:rsid w:val="00E719F6"/>
    <w:rsid w:val="00E725EE"/>
    <w:rsid w:val="00E72ACE"/>
    <w:rsid w:val="00E7345E"/>
    <w:rsid w:val="00E73BA9"/>
    <w:rsid w:val="00E756AC"/>
    <w:rsid w:val="00E8168D"/>
    <w:rsid w:val="00E8381A"/>
    <w:rsid w:val="00E83AD0"/>
    <w:rsid w:val="00E847F2"/>
    <w:rsid w:val="00E849F7"/>
    <w:rsid w:val="00E8587D"/>
    <w:rsid w:val="00E87596"/>
    <w:rsid w:val="00E8761C"/>
    <w:rsid w:val="00E87794"/>
    <w:rsid w:val="00E87F69"/>
    <w:rsid w:val="00E90278"/>
    <w:rsid w:val="00E906D9"/>
    <w:rsid w:val="00E907F5"/>
    <w:rsid w:val="00E91295"/>
    <w:rsid w:val="00E9480E"/>
    <w:rsid w:val="00E96355"/>
    <w:rsid w:val="00E96422"/>
    <w:rsid w:val="00E97B21"/>
    <w:rsid w:val="00EA033F"/>
    <w:rsid w:val="00EA1EE0"/>
    <w:rsid w:val="00EA27CD"/>
    <w:rsid w:val="00EA5A59"/>
    <w:rsid w:val="00EA62F1"/>
    <w:rsid w:val="00EA6693"/>
    <w:rsid w:val="00EB331D"/>
    <w:rsid w:val="00EB34E7"/>
    <w:rsid w:val="00EB3D8F"/>
    <w:rsid w:val="00EC0004"/>
    <w:rsid w:val="00EC0B5C"/>
    <w:rsid w:val="00EC3B89"/>
    <w:rsid w:val="00EC634C"/>
    <w:rsid w:val="00ED0FE3"/>
    <w:rsid w:val="00ED1DBA"/>
    <w:rsid w:val="00ED2910"/>
    <w:rsid w:val="00ED3F7E"/>
    <w:rsid w:val="00ED4715"/>
    <w:rsid w:val="00ED47DC"/>
    <w:rsid w:val="00ED62B5"/>
    <w:rsid w:val="00ED7622"/>
    <w:rsid w:val="00ED7ACF"/>
    <w:rsid w:val="00EE3B97"/>
    <w:rsid w:val="00EE5567"/>
    <w:rsid w:val="00EF02BC"/>
    <w:rsid w:val="00EF1F22"/>
    <w:rsid w:val="00EF2CA6"/>
    <w:rsid w:val="00EF2FB1"/>
    <w:rsid w:val="00EF4EAB"/>
    <w:rsid w:val="00EF5B40"/>
    <w:rsid w:val="00EF7502"/>
    <w:rsid w:val="00F00432"/>
    <w:rsid w:val="00F01D0A"/>
    <w:rsid w:val="00F02034"/>
    <w:rsid w:val="00F036E5"/>
    <w:rsid w:val="00F03884"/>
    <w:rsid w:val="00F038A0"/>
    <w:rsid w:val="00F03E21"/>
    <w:rsid w:val="00F0411C"/>
    <w:rsid w:val="00F1107B"/>
    <w:rsid w:val="00F117B1"/>
    <w:rsid w:val="00F128A4"/>
    <w:rsid w:val="00F134F9"/>
    <w:rsid w:val="00F1435C"/>
    <w:rsid w:val="00F163B1"/>
    <w:rsid w:val="00F1742B"/>
    <w:rsid w:val="00F178FF"/>
    <w:rsid w:val="00F21D1D"/>
    <w:rsid w:val="00F232CF"/>
    <w:rsid w:val="00F23CF7"/>
    <w:rsid w:val="00F2461C"/>
    <w:rsid w:val="00F24C62"/>
    <w:rsid w:val="00F24FC8"/>
    <w:rsid w:val="00F26D0F"/>
    <w:rsid w:val="00F316E4"/>
    <w:rsid w:val="00F328C3"/>
    <w:rsid w:val="00F32C44"/>
    <w:rsid w:val="00F331F0"/>
    <w:rsid w:val="00F34138"/>
    <w:rsid w:val="00F34C54"/>
    <w:rsid w:val="00F355BF"/>
    <w:rsid w:val="00F35E57"/>
    <w:rsid w:val="00F36470"/>
    <w:rsid w:val="00F365CC"/>
    <w:rsid w:val="00F42532"/>
    <w:rsid w:val="00F44566"/>
    <w:rsid w:val="00F460A6"/>
    <w:rsid w:val="00F4673F"/>
    <w:rsid w:val="00F47ACE"/>
    <w:rsid w:val="00F47FCE"/>
    <w:rsid w:val="00F501D2"/>
    <w:rsid w:val="00F5266F"/>
    <w:rsid w:val="00F52BC9"/>
    <w:rsid w:val="00F557C0"/>
    <w:rsid w:val="00F56447"/>
    <w:rsid w:val="00F56A1D"/>
    <w:rsid w:val="00F5798C"/>
    <w:rsid w:val="00F61A04"/>
    <w:rsid w:val="00F63954"/>
    <w:rsid w:val="00F64055"/>
    <w:rsid w:val="00F64F40"/>
    <w:rsid w:val="00F6564C"/>
    <w:rsid w:val="00F70BC1"/>
    <w:rsid w:val="00F710C6"/>
    <w:rsid w:val="00F72009"/>
    <w:rsid w:val="00F722BD"/>
    <w:rsid w:val="00F72590"/>
    <w:rsid w:val="00F72873"/>
    <w:rsid w:val="00F73620"/>
    <w:rsid w:val="00F74F9B"/>
    <w:rsid w:val="00F758ED"/>
    <w:rsid w:val="00F80D40"/>
    <w:rsid w:val="00F81854"/>
    <w:rsid w:val="00F85DCC"/>
    <w:rsid w:val="00F87415"/>
    <w:rsid w:val="00F87775"/>
    <w:rsid w:val="00F91C21"/>
    <w:rsid w:val="00F91CF0"/>
    <w:rsid w:val="00F92087"/>
    <w:rsid w:val="00F9481A"/>
    <w:rsid w:val="00F956D1"/>
    <w:rsid w:val="00F9687F"/>
    <w:rsid w:val="00F97F15"/>
    <w:rsid w:val="00FA02E5"/>
    <w:rsid w:val="00FA04C6"/>
    <w:rsid w:val="00FA08DE"/>
    <w:rsid w:val="00FA0CF5"/>
    <w:rsid w:val="00FA2694"/>
    <w:rsid w:val="00FA2B03"/>
    <w:rsid w:val="00FA2D9D"/>
    <w:rsid w:val="00FA3EF2"/>
    <w:rsid w:val="00FA452B"/>
    <w:rsid w:val="00FA770D"/>
    <w:rsid w:val="00FA77B7"/>
    <w:rsid w:val="00FB05F4"/>
    <w:rsid w:val="00FB071D"/>
    <w:rsid w:val="00FB272F"/>
    <w:rsid w:val="00FB328E"/>
    <w:rsid w:val="00FB3430"/>
    <w:rsid w:val="00FB5E18"/>
    <w:rsid w:val="00FB67C7"/>
    <w:rsid w:val="00FC007C"/>
    <w:rsid w:val="00FC1567"/>
    <w:rsid w:val="00FC2626"/>
    <w:rsid w:val="00FC278F"/>
    <w:rsid w:val="00FC304F"/>
    <w:rsid w:val="00FC33B7"/>
    <w:rsid w:val="00FC3766"/>
    <w:rsid w:val="00FC4572"/>
    <w:rsid w:val="00FC5E38"/>
    <w:rsid w:val="00FC755D"/>
    <w:rsid w:val="00FD20B3"/>
    <w:rsid w:val="00FD270D"/>
    <w:rsid w:val="00FD386C"/>
    <w:rsid w:val="00FD3922"/>
    <w:rsid w:val="00FD47D9"/>
    <w:rsid w:val="00FD6452"/>
    <w:rsid w:val="00FD647C"/>
    <w:rsid w:val="00FD799D"/>
    <w:rsid w:val="00FE1B9E"/>
    <w:rsid w:val="00FE211C"/>
    <w:rsid w:val="00FE2B90"/>
    <w:rsid w:val="00FE2DD2"/>
    <w:rsid w:val="00FF0A4E"/>
    <w:rsid w:val="00FF14A6"/>
    <w:rsid w:val="00FF37A3"/>
    <w:rsid w:val="00FF3F9C"/>
    <w:rsid w:val="00FF62C9"/>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070845FA-C35C-4AB4-8520-C8785968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487C"/>
    <w:pPr>
      <w:tabs>
        <w:tab w:val="center" w:pos="4419"/>
        <w:tab w:val="right" w:pos="8838"/>
      </w:tabs>
    </w:pPr>
  </w:style>
  <w:style w:type="character" w:customStyle="1" w:styleId="FooterChar">
    <w:name w:val="Footer Char"/>
    <w:basedOn w:val="DefaultParagraphFont"/>
    <w:link w:val="Footer"/>
    <w:uiPriority w:val="99"/>
    <w:rsid w:val="008C487C"/>
    <w:rPr>
      <w:sz w:val="24"/>
      <w:lang w:val="es-MX"/>
    </w:rPr>
  </w:style>
  <w:style w:type="paragraph" w:styleId="Header">
    <w:name w:val="header"/>
    <w:basedOn w:val="Normal"/>
    <w:link w:val="HeaderChar"/>
    <w:uiPriority w:val="99"/>
    <w:unhideWhenUsed/>
    <w:rsid w:val="008C487C"/>
    <w:pPr>
      <w:tabs>
        <w:tab w:val="center" w:pos="4252"/>
        <w:tab w:val="right" w:pos="8504"/>
      </w:tabs>
    </w:pPr>
  </w:style>
  <w:style w:type="character" w:customStyle="1" w:styleId="HeaderChar">
    <w:name w:val="Header Char"/>
    <w:basedOn w:val="DefaultParagraphFont"/>
    <w:link w:val="Header"/>
    <w:uiPriority w:val="99"/>
    <w:rsid w:val="008C487C"/>
    <w:rPr>
      <w:sz w:val="24"/>
      <w:lang w:val="es-MX"/>
    </w:rPr>
  </w:style>
  <w:style w:type="table" w:styleId="TableGrid">
    <w:name w:val="Table Grid"/>
    <w:basedOn w:val="Table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8C487C"/>
    <w:pPr>
      <w:ind w:left="720"/>
      <w:contextualSpacing/>
    </w:pPr>
  </w:style>
  <w:style w:type="paragraph" w:styleId="NoSpacing">
    <w:name w:val="No Spacing"/>
    <w:uiPriority w:val="1"/>
    <w:qFormat/>
    <w:rsid w:val="008C487C"/>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locked/>
    <w:rsid w:val="008C487C"/>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FootnoteTextChar"/>
    <w:uiPriority w:val="99"/>
    <w:unhideWhenUsed/>
    <w:qFormat/>
    <w:rsid w:val="008C487C"/>
    <w:rPr>
      <w:sz w:val="20"/>
      <w:szCs w:val="20"/>
    </w:rPr>
  </w:style>
  <w:style w:type="character" w:customStyle="1" w:styleId="TextonotapieCar1">
    <w:name w:val="Texto nota pie Car1"/>
    <w:basedOn w:val="DefaultParagraphFont"/>
    <w:uiPriority w:val="99"/>
    <w:semiHidden/>
    <w:rsid w:val="008C487C"/>
    <w:rPr>
      <w:sz w:val="20"/>
      <w:szCs w:val="20"/>
      <w:lang w:val="es-MX"/>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8C487C"/>
    <w:rPr>
      <w:sz w:val="24"/>
      <w:lang w:val="es-MX"/>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
    <w:basedOn w:val="DefaultParagraphFont"/>
    <w:uiPriority w:val="99"/>
    <w:unhideWhenUsed/>
    <w:qFormat/>
    <w:rsid w:val="008C487C"/>
    <w:rPr>
      <w:vertAlign w:val="superscript"/>
    </w:rPr>
  </w:style>
  <w:style w:type="character" w:styleId="Hyperlink">
    <w:name w:val="Hyperlink"/>
    <w:basedOn w:val="DefaultParagraphFont"/>
    <w:uiPriority w:val="99"/>
    <w:unhideWhenUsed/>
    <w:rsid w:val="008C487C"/>
    <w:rPr>
      <w:color w:val="0563C1" w:themeColor="hyperlink"/>
      <w:u w:val="single"/>
    </w:rPr>
  </w:style>
  <w:style w:type="paragraph" w:styleId="BalloonText">
    <w:name w:val="Balloon Text"/>
    <w:basedOn w:val="Normal"/>
    <w:link w:val="BalloonTextChar"/>
    <w:uiPriority w:val="99"/>
    <w:semiHidden/>
    <w:unhideWhenUsed/>
    <w:rsid w:val="00B6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UnresolvedMention">
    <w:name w:val="Unresolved Mention"/>
    <w:basedOn w:val="DefaultParagraphFont"/>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CommentReference">
    <w:name w:val="annotation reference"/>
    <w:basedOn w:val="DefaultParagraphFont"/>
    <w:uiPriority w:val="99"/>
    <w:semiHidden/>
    <w:unhideWhenUsed/>
    <w:rsid w:val="006C15D5"/>
    <w:rPr>
      <w:sz w:val="16"/>
      <w:szCs w:val="16"/>
    </w:rPr>
  </w:style>
  <w:style w:type="paragraph" w:styleId="CommentText">
    <w:name w:val="annotation text"/>
    <w:basedOn w:val="Normal"/>
    <w:link w:val="CommentTextChar"/>
    <w:uiPriority w:val="99"/>
    <w:semiHidden/>
    <w:unhideWhenUsed/>
    <w:rsid w:val="006C15D5"/>
    <w:rPr>
      <w:sz w:val="20"/>
      <w:szCs w:val="20"/>
    </w:rPr>
  </w:style>
  <w:style w:type="character" w:customStyle="1" w:styleId="CommentTextChar">
    <w:name w:val="Comment Text Char"/>
    <w:basedOn w:val="DefaultParagraphFont"/>
    <w:link w:val="CommentText"/>
    <w:uiPriority w:val="99"/>
    <w:semiHidden/>
    <w:rsid w:val="006C15D5"/>
    <w:rPr>
      <w:sz w:val="20"/>
      <w:szCs w:val="20"/>
      <w:lang w:val="es-MX"/>
    </w:rPr>
  </w:style>
  <w:style w:type="paragraph" w:styleId="CommentSubject">
    <w:name w:val="annotation subject"/>
    <w:basedOn w:val="CommentText"/>
    <w:next w:val="CommentText"/>
    <w:link w:val="CommentSubjectChar"/>
    <w:uiPriority w:val="99"/>
    <w:semiHidden/>
    <w:unhideWhenUsed/>
    <w:rsid w:val="006C15D5"/>
    <w:rPr>
      <w:b/>
      <w:bCs/>
    </w:rPr>
  </w:style>
  <w:style w:type="character" w:customStyle="1" w:styleId="CommentSubjectChar">
    <w:name w:val="Comment Subject Char"/>
    <w:basedOn w:val="CommentTextChar"/>
    <w:link w:val="CommentSubject"/>
    <w:uiPriority w:val="99"/>
    <w:semiHidden/>
    <w:rsid w:val="006C15D5"/>
    <w:rPr>
      <w:b/>
      <w:bCs/>
      <w:sz w:val="20"/>
      <w:szCs w:val="20"/>
      <w:lang w:val="es-MX"/>
    </w:rPr>
  </w:style>
  <w:style w:type="paragraph" w:styleId="NormalWeb">
    <w:name w:val="Normal (Web)"/>
    <w:basedOn w:val="Normal"/>
    <w:link w:val="NormalWebCh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Strong">
    <w:name w:val="Strong"/>
    <w:basedOn w:val="DefaultParagraphFont"/>
    <w:uiPriority w:val="22"/>
    <w:qFormat/>
    <w:rsid w:val="00B54444"/>
    <w:rPr>
      <w:b/>
      <w:bCs/>
    </w:rPr>
  </w:style>
  <w:style w:type="character" w:styleId="Emphasis">
    <w:name w:val="Emphasis"/>
    <w:basedOn w:val="DefaultParagraphFont"/>
    <w:uiPriority w:val="20"/>
    <w:qFormat/>
    <w:rsid w:val="00B54444"/>
    <w:rPr>
      <w:i/>
      <w:iCs/>
    </w:rPr>
  </w:style>
  <w:style w:type="paragraph" w:styleId="BodyText">
    <w:name w:val="Body Text"/>
    <w:basedOn w:val="Normal"/>
    <w:link w:val="BodyTextChar"/>
    <w:uiPriority w:val="1"/>
    <w:qFormat/>
    <w:rsid w:val="00813F60"/>
    <w:pPr>
      <w:widowControl w:val="0"/>
      <w:autoSpaceDE w:val="0"/>
      <w:autoSpaceDN w:val="0"/>
    </w:pPr>
    <w:rPr>
      <w:rFonts w:ascii="Arial" w:eastAsia="Arial" w:hAnsi="Arial" w:cs="Arial"/>
      <w:sz w:val="22"/>
      <w:lang w:val="es-ES"/>
    </w:rPr>
  </w:style>
  <w:style w:type="character" w:customStyle="1" w:styleId="BodyTextChar">
    <w:name w:val="Body Text Char"/>
    <w:basedOn w:val="DefaultParagraphFont"/>
    <w:link w:val="BodyText"/>
    <w:uiPriority w:val="1"/>
    <w:rsid w:val="00813F60"/>
    <w:rPr>
      <w:rFonts w:ascii="Arial" w:eastAsia="Arial" w:hAnsi="Arial" w:cs="Arial"/>
      <w:lang w:val="es-ES"/>
    </w:rPr>
  </w:style>
  <w:style w:type="character" w:customStyle="1" w:styleId="NormalWebChar">
    <w:name w:val="Normal (Web) Char"/>
    <w:link w:val="NormalWeb"/>
    <w:uiPriority w:val="99"/>
    <w:rsid w:val="00E013AA"/>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046873969">
      <w:bodyDiv w:val="1"/>
      <w:marLeft w:val="0"/>
      <w:marRight w:val="0"/>
      <w:marTop w:val="0"/>
      <w:marBottom w:val="0"/>
      <w:divBdr>
        <w:top w:val="none" w:sz="0" w:space="0" w:color="auto"/>
        <w:left w:val="none" w:sz="0" w:space="0" w:color="auto"/>
        <w:bottom w:val="none" w:sz="0" w:space="0" w:color="auto"/>
        <w:right w:val="none" w:sz="0" w:space="0" w:color="auto"/>
      </w:divBdr>
    </w:div>
    <w:div w:id="1161192170">
      <w:bodyDiv w:val="1"/>
      <w:marLeft w:val="0"/>
      <w:marRight w:val="0"/>
      <w:marTop w:val="0"/>
      <w:marBottom w:val="0"/>
      <w:divBdr>
        <w:top w:val="none" w:sz="0" w:space="0" w:color="auto"/>
        <w:left w:val="none" w:sz="0" w:space="0" w:color="auto"/>
        <w:bottom w:val="none" w:sz="0" w:space="0" w:color="auto"/>
        <w:right w:val="none" w:sz="0" w:space="0" w:color="auto"/>
      </w:divBdr>
    </w:div>
    <w:div w:id="1181116574">
      <w:bodyDiv w:val="1"/>
      <w:marLeft w:val="0"/>
      <w:marRight w:val="0"/>
      <w:marTop w:val="0"/>
      <w:marBottom w:val="0"/>
      <w:divBdr>
        <w:top w:val="none" w:sz="0" w:space="0" w:color="auto"/>
        <w:left w:val="none" w:sz="0" w:space="0" w:color="auto"/>
        <w:bottom w:val="none" w:sz="0" w:space="0" w:color="auto"/>
        <w:right w:val="none" w:sz="0" w:space="0" w:color="auto"/>
      </w:divBdr>
      <w:divsChild>
        <w:div w:id="1447431584">
          <w:marLeft w:val="0"/>
          <w:marRight w:val="0"/>
          <w:marTop w:val="0"/>
          <w:marBottom w:val="0"/>
          <w:divBdr>
            <w:top w:val="none" w:sz="0" w:space="0" w:color="auto"/>
            <w:left w:val="none" w:sz="0" w:space="0" w:color="auto"/>
            <w:bottom w:val="none" w:sz="0" w:space="0" w:color="auto"/>
            <w:right w:val="none" w:sz="0" w:space="0" w:color="auto"/>
          </w:divBdr>
        </w:div>
      </w:divsChild>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43225501">
      <w:bodyDiv w:val="1"/>
      <w:marLeft w:val="0"/>
      <w:marRight w:val="0"/>
      <w:marTop w:val="0"/>
      <w:marBottom w:val="0"/>
      <w:divBdr>
        <w:top w:val="none" w:sz="0" w:space="0" w:color="auto"/>
        <w:left w:val="none" w:sz="0" w:space="0" w:color="auto"/>
        <w:bottom w:val="none" w:sz="0" w:space="0" w:color="auto"/>
        <w:right w:val="none" w:sz="0" w:space="0" w:color="auto"/>
      </w:divBdr>
      <w:divsChild>
        <w:div w:id="1505827403">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sChild>
                <w:div w:id="1947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0747">
      <w:bodyDiv w:val="1"/>
      <w:marLeft w:val="0"/>
      <w:marRight w:val="0"/>
      <w:marTop w:val="0"/>
      <w:marBottom w:val="0"/>
      <w:divBdr>
        <w:top w:val="none" w:sz="0" w:space="0" w:color="auto"/>
        <w:left w:val="none" w:sz="0" w:space="0" w:color="auto"/>
        <w:bottom w:val="none" w:sz="0" w:space="0" w:color="auto"/>
        <w:right w:val="none" w:sz="0" w:space="0" w:color="auto"/>
      </w:divBdr>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508518152">
      <w:bodyDiv w:val="1"/>
      <w:marLeft w:val="0"/>
      <w:marRight w:val="0"/>
      <w:marTop w:val="0"/>
      <w:marBottom w:val="0"/>
      <w:divBdr>
        <w:top w:val="none" w:sz="0" w:space="0" w:color="auto"/>
        <w:left w:val="none" w:sz="0" w:space="0" w:color="auto"/>
        <w:bottom w:val="none" w:sz="0" w:space="0" w:color="auto"/>
        <w:right w:val="none" w:sz="0" w:space="0" w:color="auto"/>
      </w:divBdr>
      <w:divsChild>
        <w:div w:id="1499617906">
          <w:marLeft w:val="0"/>
          <w:marRight w:val="0"/>
          <w:marTop w:val="0"/>
          <w:marBottom w:val="0"/>
          <w:divBdr>
            <w:top w:val="none" w:sz="0" w:space="0" w:color="auto"/>
            <w:left w:val="none" w:sz="0" w:space="0" w:color="auto"/>
            <w:bottom w:val="none" w:sz="0" w:space="0" w:color="auto"/>
            <w:right w:val="none" w:sz="0" w:space="0" w:color="auto"/>
          </w:divBdr>
        </w:div>
      </w:divsChild>
    </w:div>
    <w:div w:id="1511750199">
      <w:bodyDiv w:val="1"/>
      <w:marLeft w:val="0"/>
      <w:marRight w:val="0"/>
      <w:marTop w:val="0"/>
      <w:marBottom w:val="0"/>
      <w:divBdr>
        <w:top w:val="none" w:sz="0" w:space="0" w:color="auto"/>
        <w:left w:val="none" w:sz="0" w:space="0" w:color="auto"/>
        <w:bottom w:val="none" w:sz="0" w:space="0" w:color="auto"/>
        <w:right w:val="none" w:sz="0" w:space="0" w:color="auto"/>
      </w:divBdr>
    </w:div>
    <w:div w:id="1658070574">
      <w:bodyDiv w:val="1"/>
      <w:marLeft w:val="0"/>
      <w:marRight w:val="0"/>
      <w:marTop w:val="0"/>
      <w:marBottom w:val="0"/>
      <w:divBdr>
        <w:top w:val="none" w:sz="0" w:space="0" w:color="auto"/>
        <w:left w:val="none" w:sz="0" w:space="0" w:color="auto"/>
        <w:bottom w:val="none" w:sz="0" w:space="0" w:color="auto"/>
        <w:right w:val="none" w:sz="0" w:space="0" w:color="auto"/>
      </w:divBdr>
    </w:div>
    <w:div w:id="1716152015">
      <w:bodyDiv w:val="1"/>
      <w:marLeft w:val="0"/>
      <w:marRight w:val="0"/>
      <w:marTop w:val="0"/>
      <w:marBottom w:val="0"/>
      <w:divBdr>
        <w:top w:val="none" w:sz="0" w:space="0" w:color="auto"/>
        <w:left w:val="none" w:sz="0" w:space="0" w:color="auto"/>
        <w:bottom w:val="none" w:sz="0" w:space="0" w:color="auto"/>
        <w:right w:val="none" w:sz="0" w:space="0" w:color="auto"/>
      </w:divBdr>
      <w:divsChild>
        <w:div w:id="2132362447">
          <w:marLeft w:val="0"/>
          <w:marRight w:val="0"/>
          <w:marTop w:val="0"/>
          <w:marBottom w:val="0"/>
          <w:divBdr>
            <w:top w:val="none" w:sz="0" w:space="0" w:color="auto"/>
            <w:left w:val="none" w:sz="0" w:space="0" w:color="auto"/>
            <w:bottom w:val="none" w:sz="0" w:space="0" w:color="auto"/>
            <w:right w:val="none" w:sz="0" w:space="0" w:color="auto"/>
          </w:divBdr>
          <w:divsChild>
            <w:div w:id="933248935">
              <w:marLeft w:val="0"/>
              <w:marRight w:val="0"/>
              <w:marTop w:val="0"/>
              <w:marBottom w:val="0"/>
              <w:divBdr>
                <w:top w:val="none" w:sz="0" w:space="0" w:color="auto"/>
                <w:left w:val="none" w:sz="0" w:space="0" w:color="auto"/>
                <w:bottom w:val="none" w:sz="0" w:space="0" w:color="auto"/>
                <w:right w:val="none" w:sz="0" w:space="0" w:color="auto"/>
              </w:divBdr>
              <w:divsChild>
                <w:div w:id="10406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48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27361966">
      <w:bodyDiv w:val="1"/>
      <w:marLeft w:val="0"/>
      <w:marRight w:val="0"/>
      <w:marTop w:val="0"/>
      <w:marBottom w:val="0"/>
      <w:divBdr>
        <w:top w:val="none" w:sz="0" w:space="0" w:color="auto"/>
        <w:left w:val="none" w:sz="0" w:space="0" w:color="auto"/>
        <w:bottom w:val="none" w:sz="0" w:space="0" w:color="auto"/>
        <w:right w:val="none" w:sz="0" w:space="0" w:color="auto"/>
      </w:divBdr>
      <w:divsChild>
        <w:div w:id="1769345825">
          <w:marLeft w:val="0"/>
          <w:marRight w:val="0"/>
          <w:marTop w:val="0"/>
          <w:marBottom w:val="0"/>
          <w:divBdr>
            <w:top w:val="none" w:sz="0" w:space="0" w:color="auto"/>
            <w:left w:val="none" w:sz="0" w:space="0" w:color="auto"/>
            <w:bottom w:val="none" w:sz="0" w:space="0" w:color="auto"/>
            <w:right w:val="none" w:sz="0" w:space="0" w:color="auto"/>
          </w:divBdr>
          <w:divsChild>
            <w:div w:id="1950889096">
              <w:marLeft w:val="0"/>
              <w:marRight w:val="0"/>
              <w:marTop w:val="0"/>
              <w:marBottom w:val="0"/>
              <w:divBdr>
                <w:top w:val="none" w:sz="0" w:space="0" w:color="auto"/>
                <w:left w:val="none" w:sz="0" w:space="0" w:color="auto"/>
                <w:bottom w:val="none" w:sz="0" w:space="0" w:color="auto"/>
                <w:right w:val="none" w:sz="0" w:space="0" w:color="auto"/>
              </w:divBdr>
              <w:divsChild>
                <w:div w:id="1297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servicios-al-ciudadano/glosario/131-glosario-manual-senalizacion-v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D197F746-F556-104C-B3CB-92DA039D2ABD}">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4164</Words>
  <Characters>23735</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27844</CharactersWithSpaces>
  <SharedDoc>false</SharedDoc>
  <HLinks>
    <vt:vector size="6" baseType="variant">
      <vt:variant>
        <vt:i4>4456521</vt:i4>
      </vt:variant>
      <vt:variant>
        <vt:i4>0</vt:i4>
      </vt:variant>
      <vt:variant>
        <vt:i4>0</vt:i4>
      </vt:variant>
      <vt:variant>
        <vt:i4>5</vt:i4>
      </vt:variant>
      <vt:variant>
        <vt:lpwstr>https://www.invias.gov.co/index.php/servicios-al-ciudadano/glosario/131-glosario-manual-senalizacion-vial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Alejandro Sarmiento</cp:lastModifiedBy>
  <cp:revision>8</cp:revision>
  <cp:lastPrinted>2020-03-17T19:42:00Z</cp:lastPrinted>
  <dcterms:created xsi:type="dcterms:W3CDTF">2021-01-18T19:42:00Z</dcterms:created>
  <dcterms:modified xsi:type="dcterms:W3CDTF">2021-01-19T22:22:00Z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