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8E5CF" w14:textId="506A04BD" w:rsidR="00C56C62" w:rsidRPr="00606E0A" w:rsidRDefault="00C56C62" w:rsidP="00C56C62">
      <w:pPr>
        <w:jc w:val="right"/>
        <w:rPr>
          <w:rFonts w:ascii="Arial" w:hAnsi="Arial" w:cs="Arial"/>
          <w:b/>
          <w:sz w:val="16"/>
          <w:szCs w:val="16"/>
          <w:lang w:eastAsia="es-ES"/>
        </w:rPr>
      </w:pPr>
      <w:bookmarkStart w:id="0" w:name="_Hlk29548183"/>
      <w:bookmarkStart w:id="1" w:name="_Hlk28946138"/>
      <w:r w:rsidRPr="00606E0A">
        <w:rPr>
          <w:rFonts w:ascii="Arial" w:hAnsi="Arial" w:cs="Arial"/>
          <w:b/>
          <w:sz w:val="22"/>
          <w:lang w:eastAsia="es-ES"/>
        </w:rPr>
        <w:tab/>
      </w:r>
      <w:r w:rsidRPr="00606E0A">
        <w:rPr>
          <w:rFonts w:ascii="Arial" w:hAnsi="Arial" w:cs="Arial"/>
          <w:b/>
          <w:sz w:val="16"/>
          <w:szCs w:val="16"/>
          <w:lang w:eastAsia="es-ES"/>
        </w:rPr>
        <w:t>CCE-DES-FM-17</w:t>
      </w:r>
    </w:p>
    <w:p w14:paraId="4E04FF8E" w14:textId="77777777" w:rsidR="00C56C62" w:rsidRPr="00606E0A" w:rsidRDefault="00C56C62" w:rsidP="00C56C62">
      <w:pPr>
        <w:jc w:val="both"/>
        <w:rPr>
          <w:rFonts w:ascii="Arial" w:eastAsia="Calibri" w:hAnsi="Arial" w:cs="Arial"/>
          <w:b/>
          <w:sz w:val="16"/>
          <w:szCs w:val="16"/>
        </w:rPr>
      </w:pPr>
    </w:p>
    <w:p w14:paraId="30CCBDC2" w14:textId="1539A9B7" w:rsidR="00C56C62" w:rsidRPr="00606E0A" w:rsidRDefault="00AF7707" w:rsidP="00931B52">
      <w:pPr>
        <w:jc w:val="both"/>
        <w:rPr>
          <w:rFonts w:ascii="Arial" w:eastAsia="Calibri" w:hAnsi="Arial" w:cs="Arial"/>
          <w:b/>
          <w:sz w:val="22"/>
        </w:rPr>
      </w:pPr>
      <w:r w:rsidRPr="00606E0A">
        <w:rPr>
          <w:rFonts w:ascii="Arial" w:eastAsia="Calibri" w:hAnsi="Arial" w:cs="Arial"/>
          <w:b/>
          <w:sz w:val="22"/>
        </w:rPr>
        <w:t>PRINCIPIO DE PUBLICIDAD – Fundamento constitucional – Desarrollo legal</w:t>
      </w:r>
    </w:p>
    <w:p w14:paraId="399886C8" w14:textId="77777777" w:rsidR="00C56C62" w:rsidRPr="00606E0A" w:rsidRDefault="00C56C62" w:rsidP="00931B52">
      <w:pPr>
        <w:jc w:val="both"/>
        <w:rPr>
          <w:rFonts w:ascii="Arial" w:hAnsi="Arial" w:cs="Arial"/>
          <w:sz w:val="20"/>
          <w:szCs w:val="20"/>
        </w:rPr>
      </w:pPr>
    </w:p>
    <w:p w14:paraId="1FF157AF" w14:textId="5ABA3B92" w:rsidR="00C56C62" w:rsidRPr="00606E0A" w:rsidRDefault="00550200" w:rsidP="00931B52">
      <w:pPr>
        <w:jc w:val="both"/>
        <w:rPr>
          <w:rFonts w:ascii="Arial" w:eastAsia="Calibri" w:hAnsi="Arial" w:cs="Arial"/>
          <w:sz w:val="20"/>
          <w:szCs w:val="20"/>
        </w:rPr>
      </w:pPr>
      <w:r w:rsidRPr="00606E0A">
        <w:rPr>
          <w:rFonts w:ascii="Arial" w:eastAsia="Calibri" w:hAnsi="Arial" w:cs="Arial"/>
          <w:sz w:val="20"/>
          <w:szCs w:val="20"/>
        </w:rPr>
        <w:t>El principio de publicidad de la función administrativa, consagrado en el artículo 209 superior, impone a las autoridades administrativas el deber de dar a conocer sus actos, contratos y decisiones, para que se divulguen y eventualmente se controlen las actuaciones. Para estos efectos, 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p>
    <w:p w14:paraId="7754B3E4" w14:textId="77777777" w:rsidR="00550200" w:rsidRPr="00606E0A" w:rsidRDefault="00550200" w:rsidP="00931B52">
      <w:pPr>
        <w:jc w:val="both"/>
        <w:rPr>
          <w:rFonts w:ascii="Arial" w:eastAsia="Calibri" w:hAnsi="Arial" w:cs="Arial"/>
          <w:sz w:val="20"/>
          <w:szCs w:val="20"/>
        </w:rPr>
      </w:pPr>
    </w:p>
    <w:p w14:paraId="08BDA6D9" w14:textId="6BD9F529" w:rsidR="00C56C62" w:rsidRPr="00606E0A" w:rsidRDefault="00C56C62" w:rsidP="00931B52">
      <w:pPr>
        <w:jc w:val="both"/>
        <w:rPr>
          <w:rFonts w:ascii="Arial" w:eastAsia="Calibri" w:hAnsi="Arial" w:cs="Arial"/>
          <w:b/>
          <w:sz w:val="22"/>
        </w:rPr>
      </w:pPr>
      <w:r w:rsidRPr="00606E0A">
        <w:rPr>
          <w:rFonts w:ascii="Arial" w:eastAsia="Calibri" w:hAnsi="Arial" w:cs="Arial"/>
          <w:b/>
          <w:sz w:val="22"/>
        </w:rPr>
        <w:t xml:space="preserve">PUBLICIDAD SECOP </w:t>
      </w:r>
      <w:r w:rsidR="00931B52" w:rsidRPr="00606E0A">
        <w:rPr>
          <w:rFonts w:ascii="Arial" w:eastAsia="Calibri" w:hAnsi="Arial" w:cs="Arial"/>
          <w:b/>
          <w:sz w:val="22"/>
        </w:rPr>
        <w:t>–</w:t>
      </w:r>
      <w:r w:rsidRPr="00606E0A">
        <w:rPr>
          <w:rFonts w:ascii="Arial" w:eastAsia="Calibri" w:hAnsi="Arial" w:cs="Arial"/>
          <w:b/>
          <w:sz w:val="22"/>
        </w:rPr>
        <w:t xml:space="preserve"> </w:t>
      </w:r>
      <w:r w:rsidR="00C97DC4" w:rsidRPr="00606E0A">
        <w:rPr>
          <w:rFonts w:ascii="Arial" w:eastAsia="Calibri" w:hAnsi="Arial" w:cs="Arial"/>
          <w:b/>
          <w:sz w:val="22"/>
        </w:rPr>
        <w:t xml:space="preserve">Obligatoriedad – </w:t>
      </w:r>
      <w:r w:rsidRPr="00606E0A">
        <w:rPr>
          <w:rFonts w:ascii="Arial" w:eastAsia="Calibri" w:hAnsi="Arial" w:cs="Arial"/>
          <w:b/>
          <w:sz w:val="22"/>
        </w:rPr>
        <w:t>Fundamento normativo</w:t>
      </w:r>
      <w:r w:rsidR="00AF7707" w:rsidRPr="00606E0A">
        <w:rPr>
          <w:rFonts w:ascii="Arial" w:eastAsia="Calibri" w:hAnsi="Arial" w:cs="Arial"/>
          <w:b/>
          <w:sz w:val="22"/>
        </w:rPr>
        <w:t xml:space="preserve"> –</w:t>
      </w:r>
      <w:r w:rsidR="009403BC" w:rsidRPr="00606E0A">
        <w:rPr>
          <w:rFonts w:ascii="Arial" w:eastAsia="Calibri" w:hAnsi="Arial" w:cs="Arial"/>
          <w:b/>
          <w:sz w:val="22"/>
        </w:rPr>
        <w:t xml:space="preserve"> Recursos públicos</w:t>
      </w:r>
    </w:p>
    <w:p w14:paraId="6EB6973D" w14:textId="77777777" w:rsidR="00C56C62" w:rsidRPr="00606E0A" w:rsidRDefault="00C56C62" w:rsidP="00931B52">
      <w:pPr>
        <w:jc w:val="both"/>
        <w:rPr>
          <w:rFonts w:ascii="Arial" w:eastAsia="Calibri" w:hAnsi="Arial" w:cs="Arial"/>
          <w:b/>
          <w:sz w:val="20"/>
          <w:szCs w:val="20"/>
        </w:rPr>
      </w:pPr>
    </w:p>
    <w:p w14:paraId="34548663" w14:textId="341464A9" w:rsidR="00AF7707" w:rsidRPr="00606E0A" w:rsidRDefault="00F154D9" w:rsidP="00AF7707">
      <w:pPr>
        <w:spacing w:after="120"/>
        <w:jc w:val="both"/>
        <w:rPr>
          <w:rFonts w:ascii="Arial" w:hAnsi="Arial" w:cs="Arial"/>
          <w:sz w:val="20"/>
          <w:szCs w:val="20"/>
          <w:lang w:val="es-ES"/>
        </w:rPr>
      </w:pPr>
      <w:r w:rsidRPr="00606E0A">
        <w:rPr>
          <w:rFonts w:ascii="Arial" w:hAnsi="Arial" w:cs="Arial"/>
          <w:sz w:val="20"/>
          <w:szCs w:val="20"/>
          <w:lang w:val="es-ES"/>
        </w:rPr>
        <w:t xml:space="preserve">[…] </w:t>
      </w:r>
      <w:r w:rsidR="00AF7707" w:rsidRPr="00606E0A">
        <w:rPr>
          <w:rFonts w:ascii="Arial" w:hAnsi="Arial" w:cs="Arial"/>
          <w:sz w:val="20"/>
          <w:szCs w:val="20"/>
          <w:lang w:val="es-ES"/>
        </w:rPr>
        <w:t xml:space="preserve">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no se deriva sólo de las Leyes 1150 de 2007, 1712 de 2014 y la Circular Externa Única, sino también de la jurisprudencia del Consejo de Estado. Dentro de las razones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2AED1CB0" w14:textId="358C3C63" w:rsidR="009403BC" w:rsidRPr="00606E0A" w:rsidRDefault="00AF7707" w:rsidP="00AF7707">
      <w:pPr>
        <w:spacing w:after="120"/>
        <w:jc w:val="both"/>
        <w:rPr>
          <w:rFonts w:ascii="Arial" w:hAnsi="Arial" w:cs="Arial"/>
          <w:sz w:val="20"/>
          <w:szCs w:val="20"/>
          <w:lang w:val="es-ES"/>
        </w:rPr>
      </w:pPr>
      <w:r w:rsidRPr="00606E0A">
        <w:rPr>
          <w:rFonts w:ascii="Arial" w:hAnsi="Arial" w:cs="Arial"/>
          <w:sz w:val="20"/>
          <w:szCs w:val="20"/>
          <w:lang w:val="es-ES"/>
        </w:rPr>
        <w:t xml:space="preserve">No obstante, esta Agencia ha precisado que la ejecución de recursos públicos, conforme indica el literal c) del artículo 3 de la Ley 1150 de 2007, no es el único fundamento jurídico de la obligación de las entidades estatales de publicar en el SECOP, comoquiera que tal obligación también surge con ocasión de la calidad de sujeto obligado en el marco de la Ley 1712 de 2014. 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9F514BA" w14:textId="77777777" w:rsidR="00C56C62" w:rsidRPr="00606E0A" w:rsidRDefault="00C56C62" w:rsidP="00931B52">
      <w:pPr>
        <w:jc w:val="both"/>
        <w:rPr>
          <w:rFonts w:ascii="Arial" w:hAnsi="Arial" w:cs="Arial"/>
          <w:b/>
          <w:sz w:val="22"/>
        </w:rPr>
      </w:pPr>
    </w:p>
    <w:p w14:paraId="0B74F7F5" w14:textId="3540ECD1" w:rsidR="0034177C" w:rsidRPr="00606E0A" w:rsidRDefault="005606EF" w:rsidP="00931B52">
      <w:pPr>
        <w:jc w:val="both"/>
        <w:rPr>
          <w:rFonts w:ascii="Arial" w:hAnsi="Arial" w:cs="Arial"/>
          <w:b/>
          <w:sz w:val="21"/>
          <w:szCs w:val="21"/>
        </w:rPr>
      </w:pPr>
      <w:r w:rsidRPr="00606E0A">
        <w:rPr>
          <w:rFonts w:ascii="Arial" w:hAnsi="Arial" w:cs="Arial"/>
          <w:b/>
          <w:sz w:val="22"/>
        </w:rPr>
        <w:softHyphen/>
        <w:t>SECOP – Publicación</w:t>
      </w:r>
      <w:r w:rsidR="0089041F" w:rsidRPr="00606E0A">
        <w:rPr>
          <w:rFonts w:ascii="Arial" w:hAnsi="Arial" w:cs="Arial"/>
          <w:b/>
          <w:sz w:val="22"/>
        </w:rPr>
        <w:t xml:space="preserve"> </w:t>
      </w:r>
      <w:r w:rsidR="00931B52" w:rsidRPr="00606E0A">
        <w:rPr>
          <w:rFonts w:ascii="Arial" w:eastAsia="Calibri" w:hAnsi="Arial" w:cs="Arial"/>
          <w:b/>
          <w:sz w:val="22"/>
        </w:rPr>
        <w:t>–</w:t>
      </w:r>
      <w:r w:rsidR="0089041F" w:rsidRPr="00606E0A">
        <w:rPr>
          <w:rFonts w:ascii="Arial" w:eastAsia="Calibri" w:hAnsi="Arial" w:cs="Arial"/>
          <w:b/>
          <w:sz w:val="22"/>
        </w:rPr>
        <w:t xml:space="preserve"> </w:t>
      </w:r>
      <w:r w:rsidR="00571F9C" w:rsidRPr="00606E0A">
        <w:rPr>
          <w:rFonts w:ascii="Arial" w:hAnsi="Arial" w:cs="Arial"/>
          <w:b/>
          <w:sz w:val="22"/>
        </w:rPr>
        <w:t>Contratos sin erogación presupuestal</w:t>
      </w:r>
      <w:r w:rsidR="00571F9C" w:rsidRPr="00606E0A">
        <w:rPr>
          <w:rFonts w:ascii="Arial" w:hAnsi="Arial" w:cs="Arial"/>
          <w:b/>
          <w:sz w:val="21"/>
          <w:szCs w:val="21"/>
        </w:rPr>
        <w:t xml:space="preserve"> </w:t>
      </w:r>
    </w:p>
    <w:p w14:paraId="133DD2D6" w14:textId="77777777" w:rsidR="00571F9C" w:rsidRPr="00606E0A" w:rsidRDefault="00571F9C" w:rsidP="00931B52">
      <w:pPr>
        <w:jc w:val="both"/>
        <w:rPr>
          <w:rFonts w:ascii="Arial" w:hAnsi="Arial" w:cs="Arial"/>
          <w:b/>
          <w:sz w:val="21"/>
          <w:szCs w:val="21"/>
        </w:rPr>
      </w:pPr>
    </w:p>
    <w:p w14:paraId="2E713110" w14:textId="5AB7980E" w:rsidR="00F2433E" w:rsidRPr="00606E0A" w:rsidRDefault="00571F9C" w:rsidP="00F2433E">
      <w:pPr>
        <w:spacing w:after="120"/>
        <w:jc w:val="both"/>
        <w:rPr>
          <w:rFonts w:ascii="Arial" w:hAnsi="Arial" w:cs="Arial"/>
          <w:sz w:val="20"/>
          <w:szCs w:val="20"/>
        </w:rPr>
      </w:pPr>
      <w:r w:rsidRPr="00606E0A">
        <w:rPr>
          <w:rFonts w:ascii="Arial" w:hAnsi="Arial" w:cs="Arial"/>
          <w:sz w:val="20"/>
          <w:szCs w:val="20"/>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606E0A">
        <w:rPr>
          <w:rFonts w:ascii="Arial" w:hAnsi="Arial" w:cs="Arial"/>
          <w:sz w:val="20"/>
          <w:szCs w:val="20"/>
        </w:rPr>
        <w:t>autoridades públicas</w:t>
      </w:r>
      <w:proofErr w:type="gramEnd"/>
      <w:r w:rsidRPr="00606E0A">
        <w:rPr>
          <w:rFonts w:ascii="Arial" w:hAnsi="Arial" w:cs="Arial"/>
          <w:sz w:val="20"/>
          <w:szCs w:val="20"/>
        </w:rPr>
        <w:t xml:space="preserve"> en el ejercicio de las funciones administrativas que la ley les otorga. No obstante, es necesario aclarar que la norma no impone como requisito que se deba publicar en el SECOP, únicamente cuando se ejecuten recursos públicos, ya que el deber de publicidad es amplio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w:t>
      </w:r>
    </w:p>
    <w:p w14:paraId="50513437" w14:textId="564D07BB" w:rsidR="005606EF" w:rsidRPr="00606E0A" w:rsidRDefault="005606EF" w:rsidP="00F2433E">
      <w:pPr>
        <w:spacing w:after="120"/>
        <w:jc w:val="both"/>
        <w:rPr>
          <w:rFonts w:ascii="Arial" w:hAnsi="Arial" w:cs="Arial"/>
          <w:sz w:val="20"/>
          <w:szCs w:val="20"/>
        </w:rPr>
      </w:pPr>
    </w:p>
    <w:p w14:paraId="1CE606F2" w14:textId="77777777" w:rsidR="005606EF" w:rsidRPr="00606E0A" w:rsidRDefault="005606EF" w:rsidP="00F2433E">
      <w:pPr>
        <w:spacing w:after="120"/>
        <w:jc w:val="both"/>
        <w:rPr>
          <w:rFonts w:ascii="Arial" w:hAnsi="Arial" w:cs="Arial"/>
          <w:sz w:val="20"/>
          <w:szCs w:val="20"/>
        </w:rPr>
      </w:pPr>
    </w:p>
    <w:p w14:paraId="0C5BB255" w14:textId="10CDEB97" w:rsidR="00571F9C" w:rsidRPr="00606E0A" w:rsidRDefault="00571F9C" w:rsidP="005606EF">
      <w:pPr>
        <w:jc w:val="both"/>
        <w:rPr>
          <w:rFonts w:ascii="Arial" w:hAnsi="Arial" w:cs="Arial"/>
          <w:sz w:val="20"/>
          <w:szCs w:val="20"/>
        </w:rPr>
      </w:pPr>
      <w:r w:rsidRPr="00606E0A">
        <w:rPr>
          <w:rFonts w:ascii="Arial" w:hAnsi="Arial" w:cs="Arial"/>
          <w:sz w:val="20"/>
          <w:szCs w:val="20"/>
        </w:rPr>
        <w:t>Además, es preciso analizar en detalle el artículo 3 de la Ley 1150 de 2007 citado, ya que al observar la literalidad de la norma se señala la obligación de que la actividad contractual de las entidades se publique en el SECOP, sin que esta, necesariamente, involucre recursos públicos; por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w:t>
      </w:r>
      <w:r w:rsidR="005606EF" w:rsidRPr="00606E0A">
        <w:rPr>
          <w:rFonts w:ascii="Arial" w:hAnsi="Arial" w:cs="Arial"/>
          <w:sz w:val="20"/>
          <w:szCs w:val="20"/>
        </w:rPr>
        <w:t xml:space="preserve"> </w:t>
      </w:r>
      <w:r w:rsidR="00F94A7D" w:rsidRPr="00606E0A">
        <w:rPr>
          <w:rFonts w:ascii="Arial" w:hAnsi="Arial" w:cs="Arial"/>
          <w:sz w:val="20"/>
          <w:szCs w:val="20"/>
        </w:rPr>
        <w:t>[…]</w:t>
      </w:r>
      <w:r w:rsidR="005606EF" w:rsidRPr="00606E0A">
        <w:rPr>
          <w:rFonts w:ascii="Arial" w:hAnsi="Arial" w:cs="Arial"/>
          <w:sz w:val="20"/>
          <w:szCs w:val="20"/>
        </w:rPr>
        <w:t xml:space="preserve"> </w:t>
      </w:r>
      <w:r w:rsidRPr="00606E0A">
        <w:rPr>
          <w:rFonts w:ascii="Arial" w:hAnsi="Arial" w:cs="Arial"/>
          <w:sz w:val="20"/>
          <w:szCs w:val="20"/>
        </w:rPr>
        <w:t xml:space="preserve">Así, analizando las normas sobre publicidad en el SECOP, se concluye que no existen disposiciones de las que se pueda inferir el interés de la ley en exigir la publicación de los actos que evidencien la ejecución de recursos públicos, puesto que su objetivo es general y se refiere a la actividad precontractual, contractual y </w:t>
      </w:r>
      <w:proofErr w:type="spellStart"/>
      <w:r w:rsidRPr="00606E0A">
        <w:rPr>
          <w:rFonts w:ascii="Arial" w:hAnsi="Arial" w:cs="Arial"/>
          <w:sz w:val="20"/>
          <w:szCs w:val="20"/>
        </w:rPr>
        <w:t>poscontractual</w:t>
      </w:r>
      <w:proofErr w:type="spellEnd"/>
      <w:r w:rsidRPr="00606E0A">
        <w:rPr>
          <w:rFonts w:ascii="Arial" w:hAnsi="Arial" w:cs="Arial"/>
          <w:sz w:val="20"/>
          <w:szCs w:val="20"/>
        </w:rPr>
        <w:t xml:space="preserve"> de las entidades, sin que pueda existir una interpretación diferente, debido a la finalidad de la ley respecto de la ciudadanía y su derecho a conocer las decision</w:t>
      </w:r>
      <w:r w:rsidR="0089041F" w:rsidRPr="00606E0A">
        <w:rPr>
          <w:rFonts w:ascii="Arial" w:hAnsi="Arial" w:cs="Arial"/>
          <w:sz w:val="20"/>
          <w:szCs w:val="20"/>
        </w:rPr>
        <w:t>es de la Administración pública</w:t>
      </w:r>
      <w:r w:rsidRPr="00606E0A">
        <w:rPr>
          <w:rFonts w:ascii="Arial" w:hAnsi="Arial" w:cs="Arial"/>
          <w:sz w:val="20"/>
          <w:szCs w:val="20"/>
        </w:rPr>
        <w:t xml:space="preserve">. </w:t>
      </w:r>
    </w:p>
    <w:p w14:paraId="46D3C5D7" w14:textId="251B9B36" w:rsidR="005606EF" w:rsidRPr="00606E0A" w:rsidRDefault="005606EF" w:rsidP="005606EF">
      <w:pPr>
        <w:jc w:val="both"/>
        <w:rPr>
          <w:rFonts w:ascii="Arial" w:hAnsi="Arial" w:cs="Arial"/>
          <w:sz w:val="20"/>
          <w:szCs w:val="20"/>
        </w:rPr>
      </w:pPr>
    </w:p>
    <w:p w14:paraId="2F1E3A04" w14:textId="3AF5D2C5" w:rsidR="005606EF" w:rsidRPr="00606E0A" w:rsidRDefault="000C7BFB" w:rsidP="005606EF">
      <w:pPr>
        <w:jc w:val="both"/>
        <w:rPr>
          <w:rFonts w:ascii="Arial" w:hAnsi="Arial" w:cs="Arial"/>
          <w:b/>
          <w:bCs/>
          <w:sz w:val="22"/>
        </w:rPr>
      </w:pPr>
      <w:r w:rsidRPr="00606E0A">
        <w:rPr>
          <w:rFonts w:ascii="Arial" w:hAnsi="Arial" w:cs="Arial"/>
          <w:b/>
          <w:bCs/>
          <w:sz w:val="22"/>
        </w:rPr>
        <w:t>SECOP – Publicación – Régimen aplicable – Contratos – Arrendamiento – Comodato – Administración</w:t>
      </w:r>
    </w:p>
    <w:p w14:paraId="18CD469C" w14:textId="161A8659" w:rsidR="005606EF" w:rsidRPr="00606E0A" w:rsidRDefault="005606EF" w:rsidP="005606EF">
      <w:pPr>
        <w:jc w:val="both"/>
        <w:rPr>
          <w:rFonts w:ascii="Arial" w:hAnsi="Arial" w:cs="Arial"/>
          <w:sz w:val="20"/>
          <w:szCs w:val="20"/>
        </w:rPr>
      </w:pPr>
    </w:p>
    <w:p w14:paraId="5F094CED" w14:textId="45068953" w:rsidR="005606EF" w:rsidRPr="00606E0A" w:rsidRDefault="005606EF" w:rsidP="005606EF">
      <w:pPr>
        <w:spacing w:after="120"/>
        <w:jc w:val="both"/>
        <w:rPr>
          <w:rFonts w:ascii="Arial" w:hAnsi="Arial" w:cs="Arial"/>
          <w:sz w:val="20"/>
          <w:szCs w:val="20"/>
        </w:rPr>
      </w:pPr>
      <w:r w:rsidRPr="00606E0A">
        <w:rPr>
          <w:rFonts w:ascii="Arial" w:hAnsi="Arial" w:cs="Arial"/>
          <w:sz w:val="20"/>
          <w:szCs w:val="20"/>
        </w:rPr>
        <w:t xml:space="preserve">[La] publicidad de los contratos estatales debe realizarse a través de SECOP, independientemente de </w:t>
      </w:r>
      <w:proofErr w:type="spellStart"/>
      <w:r w:rsidRPr="00606E0A">
        <w:rPr>
          <w:rFonts w:ascii="Arial" w:hAnsi="Arial" w:cs="Arial"/>
          <w:sz w:val="20"/>
          <w:szCs w:val="20"/>
        </w:rPr>
        <w:t>cual</w:t>
      </w:r>
      <w:proofErr w:type="spellEnd"/>
      <w:r w:rsidRPr="00606E0A">
        <w:rPr>
          <w:rFonts w:ascii="Arial" w:hAnsi="Arial" w:cs="Arial"/>
          <w:sz w:val="20"/>
          <w:szCs w:val="20"/>
        </w:rPr>
        <w:t xml:space="preserve"> sea el régimen aplicable al contrato o que este implique o no la erogación de recursos públicos, comoquiera que las referidas normas no sujetan la obligación de publicar en dicha plataforma a tales condiciones. Esto en la medida en que, independientemente de que se realice alguna erogación o se apliquen normas de derecho privado, los contratos estatales involucran un interés público, por lo que deben publicarse en el SECOP que fue el mecanismo establecido por el legislador y el reglamento para garantizar que se cumplan los principios de publicidad y transparencia respecto de los estos.</w:t>
      </w:r>
    </w:p>
    <w:p w14:paraId="12A0B63D" w14:textId="5DD5E5DC" w:rsidR="005606EF" w:rsidRPr="00606E0A" w:rsidRDefault="005606EF" w:rsidP="005606EF">
      <w:pPr>
        <w:jc w:val="both"/>
        <w:rPr>
          <w:rFonts w:ascii="Arial" w:hAnsi="Arial" w:cs="Arial"/>
          <w:sz w:val="20"/>
          <w:szCs w:val="20"/>
        </w:rPr>
      </w:pPr>
      <w:r w:rsidRPr="00606E0A">
        <w:rPr>
          <w:rFonts w:ascii="Arial" w:hAnsi="Arial" w:cs="Arial"/>
          <w:sz w:val="20"/>
          <w:szCs w:val="20"/>
        </w:rPr>
        <w:t>De acuerdo con lo anterior, las entidades estatales están obligadas a publicar en el SECOP I sus actuaciones contractuales. En el caso de las entidades incluidas en el Anexo 1 de la Circular No. 01 de 2019, la obligación de dar publicidad a la contratación implica realizar la gestión contractual a través del SECOP II, plataforma de naturaleza transaccional en la que el proceso de formación del contrato y su suscripción suceden de forma electrónica, dándose publicidad a cada actuación conforme se va produciendo, sin que sea necesario adelantar el proceso en medio físico, ni realizar publicaciones adicionales.</w:t>
      </w:r>
    </w:p>
    <w:p w14:paraId="7055B454" w14:textId="77777777" w:rsidR="005606EF" w:rsidRPr="00606E0A" w:rsidRDefault="005606EF" w:rsidP="005606EF">
      <w:pPr>
        <w:jc w:val="both"/>
        <w:rPr>
          <w:rFonts w:ascii="Arial" w:hAnsi="Arial" w:cs="Arial"/>
          <w:b/>
          <w:bCs/>
          <w:sz w:val="22"/>
        </w:rPr>
      </w:pPr>
    </w:p>
    <w:p w14:paraId="2EF17F3E" w14:textId="77777777" w:rsidR="007E43DE" w:rsidRDefault="007E43DE" w:rsidP="00501F00">
      <w:pPr>
        <w:rPr>
          <w:rFonts w:ascii="Arial" w:eastAsia="Calibri" w:hAnsi="Arial" w:cs="Arial"/>
          <w:sz w:val="22"/>
          <w:szCs w:val="20"/>
        </w:rPr>
      </w:pPr>
    </w:p>
    <w:p w14:paraId="2233F417" w14:textId="6998F403" w:rsidR="007E43DE" w:rsidRDefault="007E43DE" w:rsidP="00501F00">
      <w:pPr>
        <w:rPr>
          <w:rFonts w:ascii="Arial" w:eastAsia="Calibri" w:hAnsi="Arial" w:cs="Arial"/>
          <w:sz w:val="22"/>
          <w:szCs w:val="20"/>
        </w:rPr>
      </w:pPr>
    </w:p>
    <w:p w14:paraId="2BD60FF3" w14:textId="4E2EB697" w:rsidR="0038305A" w:rsidRDefault="0038305A" w:rsidP="00501F00">
      <w:pPr>
        <w:rPr>
          <w:rFonts w:ascii="Arial" w:eastAsia="Calibri" w:hAnsi="Arial" w:cs="Arial"/>
          <w:sz w:val="22"/>
          <w:szCs w:val="20"/>
        </w:rPr>
      </w:pPr>
    </w:p>
    <w:p w14:paraId="711FAC79" w14:textId="67289431" w:rsidR="0038305A" w:rsidRDefault="0038305A" w:rsidP="00501F00">
      <w:pPr>
        <w:rPr>
          <w:rFonts w:ascii="Arial" w:eastAsia="Calibri" w:hAnsi="Arial" w:cs="Arial"/>
          <w:sz w:val="22"/>
          <w:szCs w:val="20"/>
        </w:rPr>
      </w:pPr>
    </w:p>
    <w:p w14:paraId="1ACA0DEB" w14:textId="5484BC59" w:rsidR="0038305A" w:rsidRDefault="0038305A" w:rsidP="00501F00">
      <w:pPr>
        <w:rPr>
          <w:rFonts w:ascii="Arial" w:eastAsia="Calibri" w:hAnsi="Arial" w:cs="Arial"/>
          <w:sz w:val="22"/>
          <w:szCs w:val="20"/>
        </w:rPr>
      </w:pPr>
    </w:p>
    <w:p w14:paraId="033A8338" w14:textId="76C8A97F" w:rsidR="0038305A" w:rsidRDefault="0038305A" w:rsidP="00501F00">
      <w:pPr>
        <w:rPr>
          <w:rFonts w:ascii="Arial" w:eastAsia="Calibri" w:hAnsi="Arial" w:cs="Arial"/>
          <w:sz w:val="22"/>
          <w:szCs w:val="20"/>
        </w:rPr>
      </w:pPr>
    </w:p>
    <w:p w14:paraId="0B1B6926" w14:textId="359D9286" w:rsidR="0038305A" w:rsidRDefault="0038305A" w:rsidP="00501F00">
      <w:pPr>
        <w:rPr>
          <w:rFonts w:ascii="Arial" w:eastAsia="Calibri" w:hAnsi="Arial" w:cs="Arial"/>
          <w:sz w:val="22"/>
          <w:szCs w:val="20"/>
        </w:rPr>
      </w:pPr>
    </w:p>
    <w:p w14:paraId="790AEF99" w14:textId="3396C761" w:rsidR="0038305A" w:rsidRDefault="0038305A" w:rsidP="00501F00">
      <w:pPr>
        <w:rPr>
          <w:rFonts w:ascii="Arial" w:eastAsia="Calibri" w:hAnsi="Arial" w:cs="Arial"/>
          <w:sz w:val="22"/>
          <w:szCs w:val="20"/>
        </w:rPr>
      </w:pPr>
    </w:p>
    <w:p w14:paraId="3A6BA563" w14:textId="4EB495F0" w:rsidR="0038305A" w:rsidRDefault="0038305A" w:rsidP="00501F00">
      <w:pPr>
        <w:rPr>
          <w:rFonts w:ascii="Arial" w:eastAsia="Calibri" w:hAnsi="Arial" w:cs="Arial"/>
          <w:sz w:val="22"/>
          <w:szCs w:val="20"/>
        </w:rPr>
      </w:pPr>
    </w:p>
    <w:p w14:paraId="00E90344" w14:textId="062EEA79" w:rsidR="0038305A" w:rsidRDefault="0038305A" w:rsidP="00501F00">
      <w:pPr>
        <w:rPr>
          <w:rFonts w:ascii="Arial" w:eastAsia="Calibri" w:hAnsi="Arial" w:cs="Arial"/>
          <w:sz w:val="22"/>
          <w:szCs w:val="20"/>
        </w:rPr>
      </w:pPr>
    </w:p>
    <w:p w14:paraId="50E5E239" w14:textId="1E2487DF" w:rsidR="0038305A" w:rsidRDefault="0038305A" w:rsidP="00501F00">
      <w:pPr>
        <w:rPr>
          <w:rFonts w:ascii="Arial" w:eastAsia="Calibri" w:hAnsi="Arial" w:cs="Arial"/>
          <w:sz w:val="22"/>
          <w:szCs w:val="20"/>
        </w:rPr>
      </w:pPr>
    </w:p>
    <w:p w14:paraId="7A7D4475" w14:textId="32B84387" w:rsidR="0038305A" w:rsidRDefault="0038305A" w:rsidP="00501F00">
      <w:pPr>
        <w:rPr>
          <w:rFonts w:ascii="Arial" w:eastAsia="Calibri" w:hAnsi="Arial" w:cs="Arial"/>
          <w:sz w:val="22"/>
          <w:szCs w:val="20"/>
        </w:rPr>
      </w:pPr>
    </w:p>
    <w:p w14:paraId="620351CE" w14:textId="34663BC8" w:rsidR="0038305A" w:rsidRDefault="0038305A" w:rsidP="00501F00">
      <w:pPr>
        <w:rPr>
          <w:rFonts w:ascii="Arial" w:eastAsia="Calibri" w:hAnsi="Arial" w:cs="Arial"/>
          <w:sz w:val="22"/>
          <w:szCs w:val="20"/>
        </w:rPr>
      </w:pPr>
    </w:p>
    <w:p w14:paraId="5110295E" w14:textId="740FE073" w:rsidR="0038305A" w:rsidRDefault="0038305A" w:rsidP="00501F00">
      <w:pPr>
        <w:rPr>
          <w:rFonts w:ascii="Arial" w:eastAsia="Calibri" w:hAnsi="Arial" w:cs="Arial"/>
          <w:sz w:val="22"/>
          <w:szCs w:val="20"/>
        </w:rPr>
      </w:pPr>
    </w:p>
    <w:p w14:paraId="20228BCC" w14:textId="6859D9DD" w:rsidR="0038305A" w:rsidRDefault="0038305A" w:rsidP="00501F00">
      <w:pPr>
        <w:rPr>
          <w:rFonts w:ascii="Arial" w:eastAsia="Calibri" w:hAnsi="Arial" w:cs="Arial"/>
          <w:sz w:val="22"/>
          <w:szCs w:val="20"/>
        </w:rPr>
      </w:pPr>
    </w:p>
    <w:p w14:paraId="5A07DB6F" w14:textId="4348F6C7" w:rsidR="0038305A" w:rsidRDefault="0038305A" w:rsidP="00501F00">
      <w:pPr>
        <w:rPr>
          <w:rFonts w:ascii="Arial" w:eastAsia="Calibri" w:hAnsi="Arial" w:cs="Arial"/>
          <w:sz w:val="22"/>
          <w:szCs w:val="20"/>
        </w:rPr>
      </w:pPr>
      <w:r>
        <w:rPr>
          <w:rFonts w:ascii="Arial" w:eastAsia="Calibri" w:hAnsi="Arial" w:cs="Arial"/>
          <w:noProof/>
          <w:sz w:val="22"/>
        </w:rPr>
        <w:lastRenderedPageBreak/>
        <w:drawing>
          <wp:anchor distT="0" distB="0" distL="114300" distR="114300" simplePos="0" relativeHeight="251658240" behindDoc="0" locked="0" layoutInCell="1" allowOverlap="1" wp14:anchorId="3A07CDEE" wp14:editId="2C529496">
            <wp:simplePos x="0" y="0"/>
            <wp:positionH relativeFrom="column">
              <wp:posOffset>3441065</wp:posOffset>
            </wp:positionH>
            <wp:positionV relativeFrom="paragraph">
              <wp:posOffset>12065</wp:posOffset>
            </wp:positionV>
            <wp:extent cx="2806700" cy="74422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E3C1E" w14:textId="0CFFC8EB" w:rsidR="0038305A" w:rsidRDefault="0038305A" w:rsidP="00501F00">
      <w:pPr>
        <w:rPr>
          <w:rFonts w:ascii="Arial" w:eastAsia="Calibri" w:hAnsi="Arial" w:cs="Arial"/>
          <w:sz w:val="22"/>
          <w:szCs w:val="20"/>
        </w:rPr>
      </w:pPr>
    </w:p>
    <w:p w14:paraId="6A3B554C" w14:textId="374F59D0" w:rsidR="0038305A" w:rsidRDefault="0038305A" w:rsidP="00501F00">
      <w:pPr>
        <w:rPr>
          <w:rFonts w:ascii="Arial" w:eastAsia="Calibri" w:hAnsi="Arial" w:cs="Arial"/>
          <w:sz w:val="22"/>
          <w:szCs w:val="20"/>
        </w:rPr>
      </w:pPr>
    </w:p>
    <w:p w14:paraId="374C5766" w14:textId="5E3EE2BC" w:rsidR="00501F00" w:rsidRPr="00606E0A" w:rsidRDefault="00501F00" w:rsidP="00501F00">
      <w:pPr>
        <w:jc w:val="right"/>
        <w:rPr>
          <w:rFonts w:ascii="Arial" w:eastAsia="Calibri" w:hAnsi="Arial" w:cs="Arial"/>
          <w:b/>
          <w:sz w:val="22"/>
          <w:szCs w:val="20"/>
        </w:rPr>
      </w:pPr>
    </w:p>
    <w:p w14:paraId="5F259A3E" w14:textId="4C7DEB2A" w:rsidR="006D3E29" w:rsidRDefault="006D3E29" w:rsidP="009800B1">
      <w:pPr>
        <w:rPr>
          <w:rFonts w:ascii="Arial" w:eastAsia="Calibri" w:hAnsi="Arial" w:cs="Arial"/>
          <w:sz w:val="22"/>
        </w:rPr>
      </w:pPr>
    </w:p>
    <w:p w14:paraId="15B37F14" w14:textId="221EED6C" w:rsidR="00185E23" w:rsidRDefault="00185E23" w:rsidP="009800B1">
      <w:pPr>
        <w:rPr>
          <w:rFonts w:ascii="Arial" w:eastAsia="Calibri" w:hAnsi="Arial" w:cs="Arial"/>
          <w:sz w:val="22"/>
        </w:rPr>
      </w:pPr>
    </w:p>
    <w:p w14:paraId="1EDAB37A" w14:textId="77777777" w:rsidR="00185E23" w:rsidRPr="00185E23" w:rsidRDefault="00185E23" w:rsidP="00185E23">
      <w:pPr>
        <w:jc w:val="right"/>
        <w:rPr>
          <w:rFonts w:ascii="Arial" w:eastAsia="Calibri" w:hAnsi="Arial" w:cs="Arial"/>
          <w:b/>
          <w:bCs/>
          <w:sz w:val="22"/>
        </w:rPr>
      </w:pPr>
      <w:r w:rsidRPr="00185E23">
        <w:rPr>
          <w:rFonts w:ascii="Arial" w:eastAsia="Calibri" w:hAnsi="Arial" w:cs="Arial"/>
          <w:b/>
          <w:bCs/>
          <w:sz w:val="22"/>
        </w:rPr>
        <w:t>CCE-DES-FM-17</w:t>
      </w:r>
    </w:p>
    <w:p w14:paraId="178702D5" w14:textId="47241F6B" w:rsidR="00185E23" w:rsidRDefault="00185E23" w:rsidP="00185E23">
      <w:pPr>
        <w:rPr>
          <w:rFonts w:ascii="Arial" w:eastAsia="Calibri" w:hAnsi="Arial" w:cs="Arial"/>
          <w:sz w:val="22"/>
        </w:rPr>
      </w:pPr>
      <w:r w:rsidRPr="00185E23">
        <w:rPr>
          <w:rFonts w:ascii="Arial" w:eastAsia="Calibri" w:hAnsi="Arial" w:cs="Arial"/>
          <w:sz w:val="22"/>
        </w:rPr>
        <w:t xml:space="preserve">Bogotá, 18 </w:t>
      </w:r>
      <w:proofErr w:type="gramStart"/>
      <w:r w:rsidRPr="00185E23">
        <w:rPr>
          <w:rFonts w:ascii="Arial" w:eastAsia="Calibri" w:hAnsi="Arial" w:cs="Arial"/>
          <w:sz w:val="22"/>
        </w:rPr>
        <w:t>Enero</w:t>
      </w:r>
      <w:proofErr w:type="gramEnd"/>
      <w:r w:rsidRPr="00185E23">
        <w:rPr>
          <w:rFonts w:ascii="Arial" w:eastAsia="Calibri" w:hAnsi="Arial" w:cs="Arial"/>
          <w:sz w:val="22"/>
        </w:rPr>
        <w:t xml:space="preserve"> 2021</w:t>
      </w:r>
    </w:p>
    <w:p w14:paraId="3D90D863" w14:textId="77777777" w:rsidR="00185E23" w:rsidRDefault="00185E23" w:rsidP="009800B1">
      <w:pPr>
        <w:rPr>
          <w:rFonts w:ascii="Arial" w:eastAsia="Calibri" w:hAnsi="Arial" w:cs="Arial"/>
          <w:sz w:val="22"/>
        </w:rPr>
      </w:pPr>
    </w:p>
    <w:p w14:paraId="1956E376" w14:textId="32B84767" w:rsidR="007E43DE" w:rsidRPr="00606E0A" w:rsidRDefault="007E43DE" w:rsidP="009800B1">
      <w:pPr>
        <w:rPr>
          <w:rFonts w:ascii="Arial" w:eastAsia="Calibri" w:hAnsi="Arial" w:cs="Arial"/>
          <w:sz w:val="22"/>
        </w:rPr>
      </w:pPr>
    </w:p>
    <w:p w14:paraId="2B166DFC" w14:textId="57E33A85" w:rsidR="00A37FB6" w:rsidRPr="00606E0A" w:rsidRDefault="00FD50BB" w:rsidP="00000F60">
      <w:pPr>
        <w:spacing w:line="276" w:lineRule="auto"/>
        <w:rPr>
          <w:rFonts w:ascii="Arial" w:eastAsia="Calibri" w:hAnsi="Arial" w:cs="Arial"/>
          <w:sz w:val="22"/>
        </w:rPr>
      </w:pPr>
      <w:r w:rsidRPr="00606E0A">
        <w:rPr>
          <w:rFonts w:ascii="Arial" w:eastAsia="Calibri" w:hAnsi="Arial" w:cs="Arial"/>
          <w:sz w:val="22"/>
        </w:rPr>
        <w:t>Señor</w:t>
      </w:r>
    </w:p>
    <w:p w14:paraId="43D2FD73" w14:textId="3EA2744C" w:rsidR="00227F66" w:rsidRPr="00606E0A" w:rsidRDefault="00227F66" w:rsidP="00000F60">
      <w:pPr>
        <w:spacing w:line="276" w:lineRule="auto"/>
        <w:rPr>
          <w:rFonts w:ascii="Arial" w:eastAsia="Calibri" w:hAnsi="Arial" w:cs="Arial"/>
          <w:b/>
          <w:sz w:val="22"/>
        </w:rPr>
      </w:pPr>
      <w:r w:rsidRPr="00606E0A">
        <w:rPr>
          <w:rFonts w:ascii="Arial" w:eastAsia="Calibri" w:hAnsi="Arial" w:cs="Arial"/>
          <w:b/>
          <w:sz w:val="22"/>
        </w:rPr>
        <w:t xml:space="preserve">Jorge Hernando </w:t>
      </w:r>
      <w:proofErr w:type="spellStart"/>
      <w:r w:rsidRPr="00606E0A">
        <w:rPr>
          <w:rFonts w:ascii="Arial" w:eastAsia="Calibri" w:hAnsi="Arial" w:cs="Arial"/>
          <w:b/>
          <w:sz w:val="22"/>
        </w:rPr>
        <w:t>Motoa</w:t>
      </w:r>
      <w:proofErr w:type="spellEnd"/>
      <w:r w:rsidRPr="00606E0A">
        <w:rPr>
          <w:rFonts w:ascii="Arial" w:eastAsia="Calibri" w:hAnsi="Arial" w:cs="Arial"/>
          <w:b/>
          <w:sz w:val="22"/>
        </w:rPr>
        <w:t xml:space="preserve"> Gómez</w:t>
      </w:r>
    </w:p>
    <w:p w14:paraId="359C48BE" w14:textId="28DE091E" w:rsidR="00A37FB6" w:rsidRDefault="00842FB9" w:rsidP="00000F60">
      <w:pPr>
        <w:spacing w:line="276" w:lineRule="auto"/>
        <w:rPr>
          <w:rFonts w:ascii="Arial" w:eastAsia="Calibri" w:hAnsi="Arial" w:cs="Arial"/>
          <w:sz w:val="22"/>
        </w:rPr>
      </w:pPr>
      <w:r w:rsidRPr="00606E0A">
        <w:rPr>
          <w:rFonts w:ascii="Arial" w:eastAsia="Calibri" w:hAnsi="Arial" w:cs="Arial"/>
          <w:sz w:val="22"/>
        </w:rPr>
        <w:t>Cali, Valle del Cauca</w:t>
      </w:r>
    </w:p>
    <w:p w14:paraId="69109532" w14:textId="3C387C13" w:rsidR="007E43DE" w:rsidRDefault="007E43DE" w:rsidP="009800B1">
      <w:pPr>
        <w:rPr>
          <w:rFonts w:ascii="Arial" w:eastAsia="Calibri" w:hAnsi="Arial" w:cs="Arial"/>
          <w:sz w:val="22"/>
        </w:rPr>
      </w:pPr>
    </w:p>
    <w:p w14:paraId="5DFCC7BB" w14:textId="77777777" w:rsidR="007E43DE" w:rsidRPr="00606E0A" w:rsidRDefault="007E43DE" w:rsidP="009800B1">
      <w:pPr>
        <w:rPr>
          <w:rFonts w:ascii="Arial" w:eastAsia="Calibri" w:hAnsi="Arial" w:cs="Arial"/>
          <w:sz w:val="22"/>
        </w:rPr>
      </w:pPr>
    </w:p>
    <w:p w14:paraId="479F6A3A" w14:textId="5FF56E77" w:rsidR="00A37FB6" w:rsidRPr="00606E0A" w:rsidRDefault="007E43DE" w:rsidP="009800B1">
      <w:pPr>
        <w:spacing w:line="276" w:lineRule="auto"/>
        <w:rPr>
          <w:rFonts w:ascii="Arial" w:eastAsia="Calibri" w:hAnsi="Arial" w:cs="Arial"/>
          <w:b/>
          <w:sz w:val="22"/>
        </w:rPr>
      </w:pPr>
      <w:r>
        <w:rPr>
          <w:rFonts w:ascii="Arial" w:eastAsia="Calibri" w:hAnsi="Arial" w:cs="Arial"/>
          <w:b/>
          <w:sz w:val="22"/>
        </w:rPr>
        <w:t xml:space="preserve">                                            </w:t>
      </w:r>
      <w:r w:rsidR="00FD50BB" w:rsidRPr="00606E0A">
        <w:rPr>
          <w:rFonts w:ascii="Arial" w:eastAsia="Calibri" w:hAnsi="Arial" w:cs="Arial"/>
          <w:b/>
          <w:sz w:val="22"/>
        </w:rPr>
        <w:t xml:space="preserve">Concepto C </w:t>
      </w:r>
      <w:r w:rsidRPr="009800B1">
        <w:rPr>
          <w:rFonts w:ascii="Arial" w:eastAsia="Calibri" w:hAnsi="Arial" w:cs="Arial"/>
          <w:b/>
          <w:bCs/>
          <w:sz w:val="22"/>
        </w:rPr>
        <w:t>–</w:t>
      </w:r>
      <w:r w:rsidR="00FD50BB" w:rsidRPr="00606E0A">
        <w:rPr>
          <w:rFonts w:ascii="Arial" w:eastAsia="Calibri" w:hAnsi="Arial" w:cs="Arial"/>
          <w:sz w:val="22"/>
        </w:rPr>
        <w:t xml:space="preserve"> </w:t>
      </w:r>
      <w:r w:rsidR="00501F00" w:rsidRPr="00606E0A">
        <w:rPr>
          <w:rFonts w:ascii="Arial" w:eastAsia="Calibri" w:hAnsi="Arial" w:cs="Arial"/>
          <w:b/>
          <w:sz w:val="22"/>
        </w:rPr>
        <w:t>780</w:t>
      </w:r>
      <w:r w:rsidR="00A37FB6" w:rsidRPr="00606E0A">
        <w:rPr>
          <w:rFonts w:ascii="Arial" w:eastAsia="Calibri" w:hAnsi="Arial" w:cs="Arial"/>
          <w:b/>
          <w:sz w:val="22"/>
        </w:rPr>
        <w:t xml:space="preserve"> de 2020</w:t>
      </w:r>
    </w:p>
    <w:p w14:paraId="1DD1E46F" w14:textId="77777777" w:rsidR="006D3E29" w:rsidRPr="00606E0A" w:rsidRDefault="006D3E29" w:rsidP="00000F60">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06E0A" w:rsidRPr="00606E0A" w14:paraId="20C2FA60" w14:textId="77777777" w:rsidTr="2016903C">
        <w:trPr>
          <w:trHeight w:val="573"/>
        </w:trPr>
        <w:tc>
          <w:tcPr>
            <w:tcW w:w="2689" w:type="dxa"/>
            <w:hideMark/>
          </w:tcPr>
          <w:p w14:paraId="2A9459AB" w14:textId="77777777" w:rsidR="00A37FB6" w:rsidRPr="00606E0A" w:rsidRDefault="00A37FB6" w:rsidP="00000F60">
            <w:pPr>
              <w:spacing w:line="276" w:lineRule="auto"/>
              <w:rPr>
                <w:rFonts w:ascii="Arial" w:eastAsia="Calibri" w:hAnsi="Arial" w:cs="Arial"/>
                <w:sz w:val="22"/>
              </w:rPr>
            </w:pPr>
            <w:r w:rsidRPr="00606E0A">
              <w:rPr>
                <w:rFonts w:ascii="Arial" w:eastAsia="Calibri" w:hAnsi="Arial" w:cs="Arial"/>
                <w:b/>
                <w:sz w:val="22"/>
              </w:rPr>
              <w:t>Temas:</w:t>
            </w:r>
            <w:r w:rsidRPr="00606E0A">
              <w:rPr>
                <w:rFonts w:ascii="Arial" w:eastAsia="Calibri" w:hAnsi="Arial" w:cs="Arial"/>
                <w:sz w:val="22"/>
              </w:rPr>
              <w:t xml:space="preserve">           </w:t>
            </w:r>
          </w:p>
          <w:p w14:paraId="1840BCE8" w14:textId="77777777" w:rsidR="00A37FB6" w:rsidRPr="00606E0A" w:rsidRDefault="00A37FB6" w:rsidP="00000F60">
            <w:pPr>
              <w:spacing w:line="276" w:lineRule="auto"/>
              <w:rPr>
                <w:rFonts w:ascii="Arial" w:eastAsia="Calibri" w:hAnsi="Arial" w:cs="Arial"/>
                <w:sz w:val="22"/>
              </w:rPr>
            </w:pPr>
            <w:r w:rsidRPr="00606E0A">
              <w:rPr>
                <w:rFonts w:ascii="Arial" w:eastAsia="Calibri" w:hAnsi="Arial" w:cs="Arial"/>
                <w:sz w:val="22"/>
              </w:rPr>
              <w:t xml:space="preserve">                           </w:t>
            </w:r>
          </w:p>
        </w:tc>
        <w:tc>
          <w:tcPr>
            <w:tcW w:w="6237" w:type="dxa"/>
            <w:hideMark/>
          </w:tcPr>
          <w:p w14:paraId="069BC436" w14:textId="7433672E" w:rsidR="00A37FB6" w:rsidRPr="00606E0A" w:rsidRDefault="000C7BFB" w:rsidP="009800B1">
            <w:pPr>
              <w:spacing w:after="120" w:line="276" w:lineRule="auto"/>
              <w:jc w:val="both"/>
              <w:rPr>
                <w:rFonts w:ascii="Arial" w:eastAsia="Calibri" w:hAnsi="Arial" w:cs="Arial"/>
                <w:sz w:val="22"/>
              </w:rPr>
            </w:pPr>
            <w:r w:rsidRPr="00606E0A">
              <w:rPr>
                <w:rFonts w:ascii="Arial" w:eastAsia="Calibri" w:hAnsi="Arial" w:cs="Arial"/>
                <w:sz w:val="22"/>
              </w:rPr>
              <w:t xml:space="preserve">PRINCIPIO DE PUBLICIDAD – Fundamento constitucional – Desarrollo legal / PUBLICIDAD SECOP – Obligatoriedad – Fundamento normativo – Recursos públicos / SECOP – Publicación – Contratos sin erogación presupuestal / SECOP – Publicación – Régimen aplicable – Contratos – Arrendamiento – Comodato – Administración </w:t>
            </w:r>
          </w:p>
        </w:tc>
      </w:tr>
      <w:tr w:rsidR="00606E0A" w:rsidRPr="00606E0A" w14:paraId="62473A71" w14:textId="77777777" w:rsidTr="2016903C">
        <w:tc>
          <w:tcPr>
            <w:tcW w:w="2689" w:type="dxa"/>
          </w:tcPr>
          <w:p w14:paraId="730BF589" w14:textId="77777777" w:rsidR="00A37FB6" w:rsidRPr="00606E0A" w:rsidRDefault="00A37FB6" w:rsidP="00000F60">
            <w:pPr>
              <w:spacing w:line="276" w:lineRule="auto"/>
              <w:rPr>
                <w:rFonts w:ascii="Arial" w:eastAsia="Calibri" w:hAnsi="Arial" w:cs="Arial"/>
                <w:b/>
                <w:sz w:val="22"/>
              </w:rPr>
            </w:pPr>
            <w:r w:rsidRPr="00606E0A">
              <w:rPr>
                <w:rFonts w:ascii="Arial" w:eastAsia="Calibri" w:hAnsi="Arial" w:cs="Arial"/>
                <w:b/>
                <w:sz w:val="22"/>
              </w:rPr>
              <w:t>Radicación:</w:t>
            </w:r>
            <w:r w:rsidRPr="00606E0A">
              <w:rPr>
                <w:rFonts w:ascii="Arial" w:eastAsia="Calibri" w:hAnsi="Arial" w:cs="Arial"/>
                <w:sz w:val="22"/>
              </w:rPr>
              <w:t xml:space="preserve">                              </w:t>
            </w:r>
          </w:p>
        </w:tc>
        <w:tc>
          <w:tcPr>
            <w:tcW w:w="6237" w:type="dxa"/>
          </w:tcPr>
          <w:p w14:paraId="2CD77F9B" w14:textId="2EF2E39A" w:rsidR="00A37FB6" w:rsidRPr="00606E0A" w:rsidRDefault="00A37FB6" w:rsidP="00000F60">
            <w:pPr>
              <w:spacing w:line="276" w:lineRule="auto"/>
              <w:jc w:val="both"/>
              <w:rPr>
                <w:rFonts w:ascii="Arial" w:eastAsia="Calibri" w:hAnsi="Arial" w:cs="Arial"/>
                <w:sz w:val="22"/>
              </w:rPr>
            </w:pPr>
            <w:r w:rsidRPr="00606E0A">
              <w:rPr>
                <w:rFonts w:ascii="Arial" w:eastAsia="Calibri" w:hAnsi="Arial" w:cs="Arial"/>
                <w:sz w:val="22"/>
              </w:rPr>
              <w:t xml:space="preserve">Respuesta a consulta </w:t>
            </w:r>
            <w:r w:rsidR="008814CA" w:rsidRPr="00606E0A">
              <w:rPr>
                <w:rFonts w:ascii="Arial" w:eastAsia="Calibri" w:hAnsi="Arial" w:cs="Arial"/>
                <w:sz w:val="22"/>
              </w:rPr>
              <w:t>P20201202000334</w:t>
            </w:r>
            <w:r w:rsidR="00BA5206">
              <w:rPr>
                <w:rFonts w:ascii="Arial" w:eastAsia="Calibri" w:hAnsi="Arial" w:cs="Arial"/>
                <w:sz w:val="22"/>
              </w:rPr>
              <w:t xml:space="preserve"> y </w:t>
            </w:r>
            <w:r w:rsidR="00BA5206" w:rsidRPr="00BA5206">
              <w:rPr>
                <w:rFonts w:ascii="Arial" w:eastAsia="Calibri" w:hAnsi="Arial" w:cs="Arial"/>
                <w:sz w:val="22"/>
              </w:rPr>
              <w:t>P20210105000054</w:t>
            </w:r>
            <w:r w:rsidR="00BA5206">
              <w:rPr>
                <w:rFonts w:ascii="Arial" w:eastAsia="Calibri" w:hAnsi="Arial" w:cs="Arial"/>
                <w:sz w:val="22"/>
              </w:rPr>
              <w:t xml:space="preserve"> (Acumulados)</w:t>
            </w:r>
          </w:p>
        </w:tc>
      </w:tr>
    </w:tbl>
    <w:p w14:paraId="66080189" w14:textId="4266CEBA" w:rsidR="2016903C" w:rsidRDefault="2016903C"/>
    <w:p w14:paraId="6199F8C9" w14:textId="4E7A7AB9" w:rsidR="00A37FB6" w:rsidRPr="00606E0A" w:rsidRDefault="00A37FB6" w:rsidP="00000F60">
      <w:pPr>
        <w:spacing w:line="276" w:lineRule="auto"/>
        <w:jc w:val="both"/>
        <w:rPr>
          <w:rFonts w:ascii="Arial" w:eastAsia="Calibri" w:hAnsi="Arial" w:cs="Arial"/>
          <w:sz w:val="22"/>
        </w:rPr>
      </w:pPr>
    </w:p>
    <w:p w14:paraId="4BC2E14D" w14:textId="77777777" w:rsidR="003D097D" w:rsidRPr="00606E0A" w:rsidRDefault="003D097D" w:rsidP="00000F60">
      <w:pPr>
        <w:spacing w:line="276" w:lineRule="auto"/>
        <w:jc w:val="both"/>
        <w:rPr>
          <w:rFonts w:ascii="Arial" w:eastAsia="Calibri" w:hAnsi="Arial" w:cs="Arial"/>
          <w:sz w:val="22"/>
        </w:rPr>
      </w:pPr>
    </w:p>
    <w:p w14:paraId="3216C844" w14:textId="5555DD25" w:rsidR="00A37FB6" w:rsidRPr="00606E0A" w:rsidRDefault="00FD50BB" w:rsidP="00000F60">
      <w:pPr>
        <w:spacing w:line="276" w:lineRule="auto"/>
        <w:rPr>
          <w:rFonts w:ascii="Arial" w:eastAsia="Calibri" w:hAnsi="Arial" w:cs="Arial"/>
          <w:sz w:val="22"/>
        </w:rPr>
      </w:pPr>
      <w:r w:rsidRPr="00606E0A">
        <w:rPr>
          <w:rFonts w:ascii="Arial" w:eastAsia="Calibri" w:hAnsi="Arial" w:cs="Arial"/>
          <w:sz w:val="22"/>
        </w:rPr>
        <w:t>Estimad</w:t>
      </w:r>
      <w:r w:rsidR="008814CA" w:rsidRPr="00606E0A">
        <w:rPr>
          <w:rFonts w:ascii="Arial" w:eastAsia="Calibri" w:hAnsi="Arial" w:cs="Arial"/>
          <w:sz w:val="22"/>
        </w:rPr>
        <w:t>o</w:t>
      </w:r>
      <w:r w:rsidRPr="00606E0A">
        <w:rPr>
          <w:rFonts w:ascii="Arial" w:eastAsia="Calibri" w:hAnsi="Arial" w:cs="Arial"/>
          <w:sz w:val="22"/>
        </w:rPr>
        <w:t xml:space="preserve"> señor </w:t>
      </w:r>
      <w:proofErr w:type="spellStart"/>
      <w:r w:rsidR="008814CA" w:rsidRPr="00606E0A">
        <w:rPr>
          <w:rFonts w:ascii="Arial" w:eastAsia="Calibri" w:hAnsi="Arial" w:cs="Arial"/>
          <w:sz w:val="22"/>
        </w:rPr>
        <w:t>Motoa</w:t>
      </w:r>
      <w:proofErr w:type="spellEnd"/>
      <w:r w:rsidRPr="00606E0A">
        <w:rPr>
          <w:rFonts w:ascii="Arial" w:eastAsia="Calibri" w:hAnsi="Arial" w:cs="Arial"/>
          <w:sz w:val="22"/>
        </w:rPr>
        <w:t xml:space="preserve">, </w:t>
      </w:r>
    </w:p>
    <w:p w14:paraId="2F0DA2F5" w14:textId="77777777" w:rsidR="00A37FB6" w:rsidRPr="00606E0A" w:rsidRDefault="00A37FB6" w:rsidP="00000F60">
      <w:pPr>
        <w:spacing w:line="276" w:lineRule="auto"/>
        <w:rPr>
          <w:rFonts w:ascii="Arial" w:eastAsia="Calibri" w:hAnsi="Arial" w:cs="Arial"/>
          <w:sz w:val="22"/>
        </w:rPr>
      </w:pPr>
    </w:p>
    <w:p w14:paraId="39316B12" w14:textId="4D37A9C6" w:rsidR="00A37FB6" w:rsidRPr="00606E0A" w:rsidRDefault="00A37FB6" w:rsidP="00D72D8A">
      <w:pPr>
        <w:spacing w:line="276" w:lineRule="auto"/>
        <w:ind w:right="49"/>
        <w:jc w:val="both"/>
        <w:rPr>
          <w:rFonts w:ascii="Arial" w:eastAsia="Calibri" w:hAnsi="Arial" w:cs="Arial"/>
          <w:sz w:val="22"/>
        </w:rPr>
      </w:pPr>
      <w:r w:rsidRPr="00606E0A">
        <w:rPr>
          <w:rFonts w:ascii="Arial" w:eastAsia="Calibri" w:hAnsi="Arial" w:cs="Arial"/>
          <w:sz w:val="22"/>
        </w:rPr>
        <w:t xml:space="preserve">La Agencia Nacional de Contratación Pública Colombia </w:t>
      </w:r>
      <w:r w:rsidR="004863FE">
        <w:rPr>
          <w:rFonts w:ascii="Arial" w:eastAsia="Calibri" w:hAnsi="Arial" w:cs="Arial"/>
          <w:sz w:val="22"/>
        </w:rPr>
        <w:t xml:space="preserve">– </w:t>
      </w:r>
      <w:r w:rsidRPr="00606E0A">
        <w:rPr>
          <w:rFonts w:ascii="Arial" w:eastAsia="Calibri" w:hAnsi="Arial" w:cs="Arial"/>
          <w:sz w:val="22"/>
        </w:rPr>
        <w:t xml:space="preserve">Compra Eficiente responde </w:t>
      </w:r>
      <w:proofErr w:type="gramStart"/>
      <w:r w:rsidRPr="00606E0A">
        <w:rPr>
          <w:rFonts w:ascii="Arial" w:eastAsia="Calibri" w:hAnsi="Arial" w:cs="Arial"/>
          <w:sz w:val="22"/>
        </w:rPr>
        <w:t>su</w:t>
      </w:r>
      <w:r w:rsidR="004119FB">
        <w:rPr>
          <w:rFonts w:ascii="Arial" w:eastAsia="Calibri" w:hAnsi="Arial" w:cs="Arial"/>
          <w:sz w:val="22"/>
        </w:rPr>
        <w:t>s</w:t>
      </w:r>
      <w:r w:rsidRPr="00606E0A">
        <w:rPr>
          <w:rFonts w:ascii="Arial" w:eastAsia="Calibri" w:hAnsi="Arial" w:cs="Arial"/>
          <w:sz w:val="22"/>
        </w:rPr>
        <w:t xml:space="preserve"> consulta</w:t>
      </w:r>
      <w:proofErr w:type="gramEnd"/>
      <w:r w:rsidRPr="00606E0A">
        <w:rPr>
          <w:rFonts w:ascii="Arial" w:eastAsia="Calibri" w:hAnsi="Arial" w:cs="Arial"/>
          <w:sz w:val="22"/>
        </w:rPr>
        <w:t xml:space="preserve"> del </w:t>
      </w:r>
      <w:r w:rsidR="00C01EE4" w:rsidRPr="00606E0A">
        <w:rPr>
          <w:rFonts w:ascii="Arial" w:eastAsia="Calibri" w:hAnsi="Arial" w:cs="Arial"/>
          <w:sz w:val="22"/>
        </w:rPr>
        <w:t>2</w:t>
      </w:r>
      <w:r w:rsidR="00887CC3" w:rsidRPr="00606E0A">
        <w:rPr>
          <w:rFonts w:ascii="Arial" w:eastAsia="Calibri" w:hAnsi="Arial" w:cs="Arial"/>
          <w:sz w:val="22"/>
        </w:rPr>
        <w:t xml:space="preserve"> de </w:t>
      </w:r>
      <w:r w:rsidR="00C01EE4" w:rsidRPr="00606E0A">
        <w:rPr>
          <w:rFonts w:ascii="Arial" w:eastAsia="Calibri" w:hAnsi="Arial" w:cs="Arial"/>
          <w:sz w:val="22"/>
        </w:rPr>
        <w:t>diciembre</w:t>
      </w:r>
      <w:r w:rsidR="00887CC3" w:rsidRPr="00606E0A">
        <w:rPr>
          <w:rFonts w:ascii="Arial" w:eastAsia="Calibri" w:hAnsi="Arial" w:cs="Arial"/>
          <w:sz w:val="22"/>
        </w:rPr>
        <w:t xml:space="preserve"> de 2020</w:t>
      </w:r>
      <w:r w:rsidR="004119FB">
        <w:rPr>
          <w:rFonts w:ascii="Arial" w:eastAsia="Calibri" w:hAnsi="Arial" w:cs="Arial"/>
          <w:sz w:val="22"/>
        </w:rPr>
        <w:t xml:space="preserve"> y del 5 de enero de 2021</w:t>
      </w:r>
      <w:r w:rsidRPr="00606E0A">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606E0A" w:rsidRDefault="00A37FB6" w:rsidP="00D72D8A">
      <w:pPr>
        <w:spacing w:line="276" w:lineRule="auto"/>
        <w:jc w:val="both"/>
        <w:rPr>
          <w:rFonts w:ascii="Arial" w:eastAsia="Calibri" w:hAnsi="Arial" w:cs="Arial"/>
          <w:sz w:val="22"/>
        </w:rPr>
      </w:pPr>
    </w:p>
    <w:p w14:paraId="737E2623" w14:textId="698888C7" w:rsidR="00A37FB6" w:rsidRPr="00606E0A" w:rsidRDefault="00A37FB6" w:rsidP="00D72D8A">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606E0A">
        <w:rPr>
          <w:rFonts w:ascii="Arial" w:eastAsia="Calibri" w:hAnsi="Arial" w:cs="Arial"/>
          <w:b/>
          <w:sz w:val="22"/>
        </w:rPr>
        <w:t>Pro</w:t>
      </w:r>
      <w:r w:rsidR="0089041F" w:rsidRPr="00606E0A">
        <w:rPr>
          <w:rFonts w:ascii="Arial" w:eastAsia="Calibri" w:hAnsi="Arial" w:cs="Arial"/>
          <w:b/>
          <w:sz w:val="22"/>
        </w:rPr>
        <w:t>blema planteado</w:t>
      </w:r>
    </w:p>
    <w:p w14:paraId="498A026D" w14:textId="77777777" w:rsidR="00A37FB6" w:rsidRPr="00606E0A" w:rsidRDefault="00A37FB6" w:rsidP="00D72D8A">
      <w:pPr>
        <w:tabs>
          <w:tab w:val="left" w:pos="426"/>
        </w:tabs>
        <w:spacing w:line="276" w:lineRule="auto"/>
        <w:jc w:val="both"/>
        <w:rPr>
          <w:rFonts w:ascii="Arial" w:eastAsia="Calibri" w:hAnsi="Arial" w:cs="Arial"/>
          <w:b/>
          <w:sz w:val="22"/>
        </w:rPr>
      </w:pPr>
    </w:p>
    <w:p w14:paraId="30066FBB" w14:textId="1774555F" w:rsidR="00C01EE4" w:rsidRPr="009800B1" w:rsidRDefault="00C01EE4" w:rsidP="009800B1">
      <w:pPr>
        <w:spacing w:after="120" w:line="276" w:lineRule="auto"/>
        <w:jc w:val="both"/>
        <w:rPr>
          <w:rFonts w:ascii="Arial" w:hAnsi="Arial" w:cs="Arial"/>
          <w:sz w:val="22"/>
          <w:lang w:val="es-CO"/>
        </w:rPr>
      </w:pPr>
      <w:r w:rsidRPr="000F660F">
        <w:rPr>
          <w:rFonts w:ascii="Arial" w:eastAsia="Calibri" w:hAnsi="Arial" w:cs="Arial"/>
          <w:sz w:val="22"/>
        </w:rPr>
        <w:t>Usted plantea las siguientes preguntas:</w:t>
      </w:r>
      <w:r w:rsidR="00CF560A" w:rsidRPr="000F660F">
        <w:rPr>
          <w:rFonts w:ascii="Arial" w:eastAsia="Calibri" w:hAnsi="Arial" w:cs="Arial"/>
          <w:sz w:val="22"/>
        </w:rPr>
        <w:t xml:space="preserve"> </w:t>
      </w:r>
      <w:bookmarkStart w:id="2" w:name="_Hlk61869720"/>
      <w:r w:rsidR="004863FE" w:rsidRPr="009800B1">
        <w:rPr>
          <w:rFonts w:ascii="Arial" w:eastAsia="Calibri" w:hAnsi="Arial" w:cs="Arial"/>
          <w:sz w:val="22"/>
        </w:rPr>
        <w:t xml:space="preserve">i) </w:t>
      </w:r>
      <w:r w:rsidR="002A7C10" w:rsidRPr="009800B1">
        <w:rPr>
          <w:rFonts w:ascii="Arial" w:eastAsia="Calibri" w:hAnsi="Arial" w:cs="Arial"/>
          <w:sz w:val="22"/>
        </w:rPr>
        <w:t>«</w:t>
      </w:r>
      <w:r w:rsidR="00775E8D" w:rsidRPr="009800B1">
        <w:rPr>
          <w:rFonts w:ascii="Arial" w:eastAsia="Calibri" w:hAnsi="Arial" w:cs="Arial"/>
          <w:sz w:val="22"/>
        </w:rPr>
        <w:t>[…]</w:t>
      </w:r>
      <w:r w:rsidR="002A7C10" w:rsidRPr="009800B1">
        <w:rPr>
          <w:rFonts w:ascii="Arial" w:hAnsi="Arial" w:cs="Arial"/>
          <w:sz w:val="22"/>
          <w:lang w:val="es-CO"/>
        </w:rPr>
        <w:t xml:space="preserve"> Siendo que el contrato de comodato es civil, esencialmente gratuito y lo por</w:t>
      </w:r>
      <w:r w:rsidR="00C60E34" w:rsidRPr="009800B1">
        <w:rPr>
          <w:rFonts w:ascii="Arial" w:hAnsi="Arial" w:cs="Arial"/>
          <w:sz w:val="22"/>
          <w:lang w:val="es-CO"/>
        </w:rPr>
        <w:t xml:space="preserve"> </w:t>
      </w:r>
      <w:r w:rsidR="002A7C10" w:rsidRPr="009800B1">
        <w:rPr>
          <w:rFonts w:ascii="Arial" w:hAnsi="Arial" w:cs="Arial"/>
          <w:sz w:val="22"/>
          <w:lang w:val="es-CO"/>
        </w:rPr>
        <w:t>tanto no compromete recursos públicos ni bienes públicos porque no salen del</w:t>
      </w:r>
      <w:r w:rsidR="00C60E34" w:rsidRPr="009800B1">
        <w:rPr>
          <w:rFonts w:ascii="Arial" w:hAnsi="Arial" w:cs="Arial"/>
          <w:sz w:val="22"/>
          <w:lang w:val="es-CO"/>
        </w:rPr>
        <w:t xml:space="preserve"> </w:t>
      </w:r>
      <w:r w:rsidR="002A7C10" w:rsidRPr="009800B1">
        <w:rPr>
          <w:rFonts w:ascii="Arial" w:hAnsi="Arial" w:cs="Arial"/>
          <w:sz w:val="22"/>
          <w:lang w:val="es-CO"/>
        </w:rPr>
        <w:t>patrimonio de la entidad estatal, ni tiene como objeto contractual la adquisición de</w:t>
      </w:r>
      <w:r w:rsidR="00C60E34" w:rsidRPr="009800B1">
        <w:rPr>
          <w:rFonts w:ascii="Arial" w:hAnsi="Arial" w:cs="Arial"/>
          <w:sz w:val="22"/>
          <w:lang w:val="es-CO"/>
        </w:rPr>
        <w:t xml:space="preserve"> </w:t>
      </w:r>
      <w:r w:rsidR="002A7C10" w:rsidRPr="009800B1">
        <w:rPr>
          <w:rFonts w:ascii="Arial" w:hAnsi="Arial" w:cs="Arial"/>
          <w:sz w:val="22"/>
          <w:lang w:val="es-CO"/>
        </w:rPr>
        <w:t xml:space="preserve">bienes o la contratación de servicios, ¿cuál es el fundamento legal, en </w:t>
      </w:r>
      <w:r w:rsidR="002A7C10" w:rsidRPr="009800B1">
        <w:rPr>
          <w:rFonts w:ascii="Arial" w:hAnsi="Arial" w:cs="Arial"/>
          <w:sz w:val="22"/>
          <w:lang w:val="es-CO"/>
        </w:rPr>
        <w:lastRenderedPageBreak/>
        <w:t>cumplimiento del requisito de publicidad, para que la plataforma exija su publicación como condición para su eficacia y ejecución en lugar de publicar en la página web de la entidad territorial?</w:t>
      </w:r>
      <w:r w:rsidR="004863FE" w:rsidRPr="009800B1">
        <w:rPr>
          <w:rFonts w:ascii="Arial" w:hAnsi="Arial" w:cs="Arial"/>
          <w:sz w:val="22"/>
          <w:lang w:val="es-CO"/>
        </w:rPr>
        <w:t>».</w:t>
      </w:r>
    </w:p>
    <w:p w14:paraId="37B18ADE" w14:textId="2E61AAFE" w:rsidR="004863FE" w:rsidRPr="009800B1" w:rsidRDefault="004863FE" w:rsidP="009800B1">
      <w:pPr>
        <w:autoSpaceDE w:val="0"/>
        <w:autoSpaceDN w:val="0"/>
        <w:adjustRightInd w:val="0"/>
        <w:spacing w:after="120" w:line="276" w:lineRule="auto"/>
        <w:jc w:val="both"/>
        <w:rPr>
          <w:rFonts w:ascii="Arial" w:hAnsi="Arial" w:cs="Arial"/>
          <w:sz w:val="22"/>
          <w:lang w:val="es-CO"/>
        </w:rPr>
      </w:pPr>
      <w:proofErr w:type="spellStart"/>
      <w:r w:rsidRPr="009800B1">
        <w:rPr>
          <w:rFonts w:ascii="Arial" w:hAnsi="Arial" w:cs="Arial"/>
          <w:sz w:val="22"/>
          <w:lang w:val="es-CO"/>
        </w:rPr>
        <w:t>ii</w:t>
      </w:r>
      <w:proofErr w:type="spellEnd"/>
      <w:r w:rsidRPr="009800B1">
        <w:rPr>
          <w:rFonts w:ascii="Arial" w:hAnsi="Arial" w:cs="Arial"/>
          <w:sz w:val="22"/>
          <w:lang w:val="es-CO"/>
        </w:rPr>
        <w:t>) «</w:t>
      </w:r>
      <w:r w:rsidR="00C3269F" w:rsidRPr="009800B1">
        <w:rPr>
          <w:rFonts w:ascii="Arial" w:hAnsi="Arial" w:cs="Arial"/>
          <w:sz w:val="22"/>
          <w:lang w:val="es-CO"/>
        </w:rPr>
        <w:t>Siendo que el contrato de arrendamiento es propio del derecho privado, bilateral,</w:t>
      </w:r>
      <w:r w:rsidR="00C60E34" w:rsidRPr="009800B1">
        <w:rPr>
          <w:rFonts w:ascii="Arial" w:hAnsi="Arial" w:cs="Arial"/>
          <w:sz w:val="22"/>
          <w:lang w:val="es-CO"/>
        </w:rPr>
        <w:t xml:space="preserve"> </w:t>
      </w:r>
      <w:r w:rsidR="00C3269F" w:rsidRPr="009800B1">
        <w:rPr>
          <w:rFonts w:ascii="Arial" w:hAnsi="Arial" w:cs="Arial"/>
          <w:sz w:val="22"/>
          <w:lang w:val="es-CO"/>
        </w:rPr>
        <w:t>conmutativo y de tracto sucesivo, que no compromete recursos ni bienes públicos</w:t>
      </w:r>
      <w:r w:rsidR="00775E8D" w:rsidRPr="009800B1">
        <w:rPr>
          <w:rFonts w:ascii="Arial" w:hAnsi="Arial" w:cs="Arial"/>
          <w:sz w:val="22"/>
          <w:lang w:val="es-CO"/>
        </w:rPr>
        <w:t xml:space="preserve"> </w:t>
      </w:r>
      <w:r w:rsidR="00C3269F" w:rsidRPr="009800B1">
        <w:rPr>
          <w:rFonts w:ascii="Arial" w:hAnsi="Arial" w:cs="Arial"/>
          <w:sz w:val="22"/>
          <w:lang w:val="es-CO"/>
        </w:rPr>
        <w:t>porque no salen del patrimonio de la entidad estatal, ni tiene como objeto contractual la adquisición de bienes o la contratación de servicios, ¿cuál es el fundamento legal, en cumplimiento del requisito de publicidad, para que la plataforma exija su publicación como condición para su eficacia y ejecución en lugar de publicar en la página web de la entidad territorial?</w:t>
      </w:r>
      <w:r w:rsidRPr="009800B1">
        <w:rPr>
          <w:rFonts w:ascii="Arial" w:hAnsi="Arial" w:cs="Arial"/>
          <w:sz w:val="22"/>
          <w:lang w:val="es-CO"/>
        </w:rPr>
        <w:t>».</w:t>
      </w:r>
    </w:p>
    <w:p w14:paraId="44C7C94D" w14:textId="73E9A8F6" w:rsidR="00C60E34" w:rsidRPr="009800B1" w:rsidRDefault="004863FE" w:rsidP="009800B1">
      <w:pPr>
        <w:autoSpaceDE w:val="0"/>
        <w:autoSpaceDN w:val="0"/>
        <w:adjustRightInd w:val="0"/>
        <w:spacing w:line="276" w:lineRule="auto"/>
        <w:jc w:val="both"/>
        <w:rPr>
          <w:rFonts w:ascii="Arial" w:hAnsi="Arial" w:cs="Arial"/>
          <w:sz w:val="22"/>
          <w:lang w:val="es-CO"/>
        </w:rPr>
      </w:pPr>
      <w:proofErr w:type="spellStart"/>
      <w:r w:rsidRPr="009800B1">
        <w:rPr>
          <w:rFonts w:ascii="Arial" w:hAnsi="Arial" w:cs="Arial"/>
          <w:sz w:val="22"/>
          <w:lang w:val="es-CO"/>
        </w:rPr>
        <w:t>iii</w:t>
      </w:r>
      <w:proofErr w:type="spellEnd"/>
      <w:r w:rsidRPr="009800B1">
        <w:rPr>
          <w:rFonts w:ascii="Arial" w:eastAsia="Calibri" w:hAnsi="Arial" w:cs="Arial"/>
          <w:sz w:val="22"/>
        </w:rPr>
        <w:t>) «</w:t>
      </w:r>
      <w:r w:rsidR="00775E8D" w:rsidRPr="009800B1">
        <w:rPr>
          <w:rFonts w:ascii="Arial" w:hAnsi="Arial" w:cs="Arial"/>
          <w:sz w:val="22"/>
          <w:lang w:val="es-CO"/>
        </w:rPr>
        <w:t>Siendo el contrato de administración un contrato civil atípico, de colaboración, derivado del contrato de mandato, propio del derecho privado, bilateral, conmutativo, de tracto sucesivo, en el que el contratista puede contratar a nombre propio sin que obligue al contratante, que no compromete recursos públicos ni estos quedan por fuera del patrimonio de la entidad estatal, ni tiene como objeto contractual la adquisición de bienes o la contratación de servicios, ¿cuál es el fundamento legal, en cumplimiento del requisito de publicidad, para que la plataforma exija su publicación como condición para su eficacia y ejecución en lugar de publicar en la página web de la entidad territorial? […]»</w:t>
      </w:r>
      <w:r w:rsidR="0038787D" w:rsidRPr="009800B1">
        <w:rPr>
          <w:rFonts w:ascii="Arial" w:hAnsi="Arial" w:cs="Arial"/>
          <w:sz w:val="22"/>
          <w:lang w:val="es-CO"/>
        </w:rPr>
        <w:t>.</w:t>
      </w:r>
    </w:p>
    <w:bookmarkEnd w:id="2"/>
    <w:p w14:paraId="55C128A4" w14:textId="33DB630C" w:rsidR="00C3269F" w:rsidRPr="00606E0A" w:rsidRDefault="00C3269F" w:rsidP="00D72D8A">
      <w:pPr>
        <w:tabs>
          <w:tab w:val="left" w:pos="426"/>
        </w:tabs>
        <w:spacing w:line="276" w:lineRule="auto"/>
        <w:jc w:val="both"/>
        <w:rPr>
          <w:rFonts w:ascii="Arial" w:eastAsia="Calibri" w:hAnsi="Arial" w:cs="Arial"/>
          <w:sz w:val="22"/>
        </w:rPr>
      </w:pPr>
    </w:p>
    <w:p w14:paraId="15AE44EF" w14:textId="77777777" w:rsidR="0095371E" w:rsidRPr="00606E0A" w:rsidRDefault="00A37FB6" w:rsidP="00D72D8A">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606E0A">
        <w:rPr>
          <w:rFonts w:ascii="Arial" w:eastAsia="Calibri" w:hAnsi="Arial" w:cs="Arial"/>
          <w:b/>
          <w:sz w:val="22"/>
        </w:rPr>
        <w:t>Consideraciones</w:t>
      </w:r>
      <w:bookmarkEnd w:id="0"/>
      <w:bookmarkEnd w:id="1"/>
    </w:p>
    <w:p w14:paraId="1ED8AAAD" w14:textId="77777777" w:rsidR="0095371E" w:rsidRPr="00606E0A" w:rsidRDefault="0095371E" w:rsidP="00D72D8A">
      <w:pPr>
        <w:tabs>
          <w:tab w:val="left" w:pos="426"/>
        </w:tabs>
        <w:spacing w:line="276" w:lineRule="auto"/>
        <w:jc w:val="both"/>
        <w:rPr>
          <w:rFonts w:ascii="Arial" w:eastAsia="Calibri" w:hAnsi="Arial" w:cs="Arial"/>
          <w:b/>
          <w:sz w:val="20"/>
          <w:szCs w:val="20"/>
        </w:rPr>
      </w:pPr>
    </w:p>
    <w:p w14:paraId="434BC043" w14:textId="77777777" w:rsidR="00617688" w:rsidRDefault="0077775A" w:rsidP="004A02CB">
      <w:pPr>
        <w:spacing w:after="120" w:line="276" w:lineRule="auto"/>
        <w:jc w:val="both"/>
        <w:rPr>
          <w:rFonts w:ascii="Arial" w:eastAsia="Calibri" w:hAnsi="Arial" w:cs="Arial"/>
          <w:bCs/>
          <w:sz w:val="22"/>
        </w:rPr>
      </w:pPr>
      <w:r w:rsidRPr="00606E0A">
        <w:rPr>
          <w:rFonts w:ascii="Arial" w:hAnsi="Arial" w:cs="Arial"/>
          <w:sz w:val="22"/>
        </w:rPr>
        <w:t xml:space="preserve">La Agencia Nacional de Contratación Pública – Colombia Compra Eficiente en el concepto con radicado </w:t>
      </w:r>
      <w:r w:rsidRPr="00606E0A">
        <w:rPr>
          <w:rFonts w:ascii="Arial" w:eastAsia="Calibri" w:hAnsi="Arial" w:cs="Arial"/>
          <w:bCs/>
          <w:sz w:val="22"/>
        </w:rPr>
        <w:t xml:space="preserve">No. 4201913000005397 del 9 de agosto de 2019, estudió temas relativos a la publicidad de la actuaciones contractuales de las entidades de régimen exceptuado en el SECOP, posición que fue reiterada en las consultas con radicados Nos. 4201912000006611 del 25 de septiembre de 2019, </w:t>
      </w:r>
      <w:r w:rsidRPr="00606E0A">
        <w:rPr>
          <w:rFonts w:ascii="Arial" w:hAnsi="Arial" w:cs="Arial"/>
          <w:sz w:val="22"/>
        </w:rPr>
        <w:t xml:space="preserve">4201913000006847 del 4 de octubre de 2019, </w:t>
      </w:r>
      <w:r w:rsidRPr="00606E0A">
        <w:rPr>
          <w:rFonts w:ascii="Arial" w:eastAsia="Calibri" w:hAnsi="Arial" w:cs="Arial"/>
          <w:bCs/>
          <w:sz w:val="22"/>
        </w:rPr>
        <w:t xml:space="preserve">4201912000007762 del 18 de noviembre de 2019, y finalmente en la consulta 4201912000007828 del 13 de noviembre de 2019, los cuales fueron objeto de unificación en el concepto CU-003 del 15 de enero de 2020. </w:t>
      </w:r>
    </w:p>
    <w:p w14:paraId="14F8C5EB" w14:textId="6603EBA3" w:rsidR="0077775A" w:rsidRPr="00606E0A" w:rsidRDefault="0077775A" w:rsidP="009800B1">
      <w:pPr>
        <w:spacing w:after="120" w:line="276" w:lineRule="auto"/>
        <w:ind w:firstLine="708"/>
        <w:jc w:val="both"/>
        <w:rPr>
          <w:rFonts w:ascii="Arial" w:hAnsi="Arial" w:cs="Arial"/>
          <w:sz w:val="22"/>
        </w:rPr>
      </w:pPr>
      <w:r w:rsidRPr="00606E0A">
        <w:rPr>
          <w:rFonts w:ascii="Arial" w:eastAsia="Calibri" w:hAnsi="Arial" w:cs="Arial"/>
          <w:bCs/>
          <w:sz w:val="22"/>
        </w:rPr>
        <w:t xml:space="preserve">Dicho concepto unificado fue reiterado en los conceptos </w:t>
      </w:r>
      <w:r w:rsidRPr="00606E0A">
        <w:rPr>
          <w:rFonts w:ascii="Arial" w:hAnsi="Arial" w:cs="Arial"/>
          <w:sz w:val="22"/>
        </w:rPr>
        <w:t xml:space="preserve">C-079 del 5 de febrero de 2020, C-116 del 18 de febrero de 2020, C-061 del 3 de marzo de 2020, C-072 del 4 de marzo de 2020, C-088 del 3 de marzo de 2020, C-087 del 4 de marzo de 2020, C-110 del 16 de marzo de 2020, C-147 del 17 de marzo de 2020,C-149 del 24 de marzo de 2020, C-197 del 26 de marzo de 2020, C-158 del 3 de abril de 2020, C-265 del 3 de abril de 2020, C-170 del 6 de abril de 2020, C-172 del 6 de abril de 2020, C-176 del 6 de abril de 2020, C-264 del 7 de abril de 2020, C-249 del 15 de abril de 2020, C-270 del 15 de abril de 2020, C-190 del 16 de abril de 2020, C-271 del 22 de abril de 2020, C-009 del 27 de abril de 2020, C-011 del 27 de abril de 2020, C-272 del 27 de abril de 2020, C-015 del 29 de abril 2020, C-295 del 30 de abril de 2020, C-312 del 6 de mayo de 2020, C-298 del 20 de mayo de 2020, C-035 del 26 de mayo de 2020, C-346 del 26 de mayo de 2020, C-336 del 2 de junio </w:t>
      </w:r>
      <w:r w:rsidRPr="00606E0A">
        <w:rPr>
          <w:rFonts w:ascii="Arial" w:hAnsi="Arial" w:cs="Arial"/>
          <w:sz w:val="22"/>
        </w:rPr>
        <w:lastRenderedPageBreak/>
        <w:t xml:space="preserve">de 2020, C-306 del 4 de junio de 2020, 369 del 4 de junio de 2020, C-399 del 23 de junio de 2020, C-372 del 30 de junio de 2020,  C-437 del 6 de julio de 2020, C-468 del 24 de julio de 2020, C-494 del 4 de agosto de 2020, C-449 del 5 de agosto de 2020, C-559 del 25 de agosto de 2020, C-562 del 25 de agosto de 2020, C-574 del 27 de agosto de 2020 y C-575 del 27 de agosto de 2020. </w:t>
      </w:r>
    </w:p>
    <w:p w14:paraId="26CD85D0" w14:textId="3F73B93C" w:rsidR="0077775A" w:rsidRPr="00606E0A" w:rsidRDefault="0077775A" w:rsidP="004A02CB">
      <w:pPr>
        <w:spacing w:line="276" w:lineRule="auto"/>
        <w:ind w:firstLine="708"/>
        <w:jc w:val="both"/>
        <w:rPr>
          <w:rFonts w:ascii="Arial" w:hAnsi="Arial" w:cs="Arial"/>
          <w:sz w:val="22"/>
        </w:rPr>
      </w:pPr>
      <w:r w:rsidRPr="00606E0A">
        <w:rPr>
          <w:rFonts w:ascii="Arial" w:hAnsi="Arial" w:cs="Arial"/>
          <w:sz w:val="22"/>
        </w:rPr>
        <w:t xml:space="preserve">De otra parte, en </w:t>
      </w:r>
      <w:r w:rsidRPr="00606E0A">
        <w:rPr>
          <w:rFonts w:ascii="Arial" w:eastAsia="Calibri" w:hAnsi="Arial" w:cs="Arial"/>
          <w:sz w:val="22"/>
          <w:lang w:val="es-ES"/>
        </w:rPr>
        <w:t xml:space="preserve">los conceptos C-046 del 19 de febrero de 2020, C-095 del 16 de marzo de 2020, C-197 del 26 de marzo de 2020, C-170 del 6 de abril de 2020, C-172 del 6 de abril de 2020, C-176  del 6 de abril de 2020, C-009 del 27 de abril de 2020, y C-015 del 29 de abril de 2020, se estudiaron temas como el SECOP I como medio de publicidad de las actuaciones contractuales, la naturaleza transaccional y obligatoriedad de SECOP II, así como los documentos que deben publicarse en estas plataformas. En los conceptos con radicados Nos. 4201912000007253 del 4 de diciembre de 2019, reiterado en el concepto con radicado No. 4201912000007289 de la misma fecha, así como en el C-336 del 2 de junio de 2020, se realizaron consideraciones relativas a la publicidad en SECOP en lo concerniente a las entidades regidas por el Estatuto General de Contratación de la Administración Pública. Todos estos conceptos fueron </w:t>
      </w:r>
      <w:r w:rsidR="000F660F">
        <w:rPr>
          <w:rFonts w:ascii="Arial" w:eastAsia="Calibri" w:hAnsi="Arial" w:cs="Arial"/>
          <w:sz w:val="22"/>
          <w:lang w:val="es-ES"/>
        </w:rPr>
        <w:t>unificados</w:t>
      </w:r>
      <w:r w:rsidRPr="00606E0A">
        <w:rPr>
          <w:rFonts w:ascii="Arial" w:eastAsia="Calibri" w:hAnsi="Arial" w:cs="Arial"/>
          <w:sz w:val="22"/>
          <w:lang w:val="es-ES"/>
        </w:rPr>
        <w:t xml:space="preserve"> en el concepto CU-367 del </w:t>
      </w:r>
      <w:r w:rsidRPr="00606E0A">
        <w:rPr>
          <w:rFonts w:ascii="Arial" w:hAnsi="Arial" w:cs="Arial"/>
          <w:sz w:val="22"/>
        </w:rPr>
        <w:t>23 de julio de 2020,  el cual fue reiterado en los conceptos C-433 del 24 de julio de 2020, C-474 del 24 de julio de 2020, C-504 del 31 de julio de 2020, C-508 del 31 de julio de 2020, C-521 del 11 de agosto de 2020, C-543 del 19 de agosto de 2020, C-544 del 21 de agosto de 2020, C-604 del 9 de septiembre de 2020, C-554 del 17 de septiembre de 2020, C-672 del 11 de noviembre de 2020, C-661 del 17 de noviembre de 2020 y C-680 del 18 de noviembre de 2020.</w:t>
      </w:r>
      <w:r w:rsidR="000F660F">
        <w:rPr>
          <w:rFonts w:ascii="Arial" w:hAnsi="Arial" w:cs="Arial"/>
          <w:sz w:val="22"/>
        </w:rPr>
        <w:t xml:space="preserve"> </w:t>
      </w:r>
      <w:r w:rsidR="000F660F">
        <w:rPr>
          <w:rFonts w:ascii="Arial" w:eastAsia="Calibri" w:hAnsi="Arial" w:cs="Arial"/>
          <w:sz w:val="22"/>
        </w:rPr>
        <w:t>La tesis desarrollada en estos conceptos se reitera a continuación:</w:t>
      </w:r>
      <w:r w:rsidRPr="00606E0A">
        <w:rPr>
          <w:rFonts w:ascii="Arial" w:hAnsi="Arial" w:cs="Arial"/>
          <w:sz w:val="22"/>
        </w:rPr>
        <w:t xml:space="preserve"> </w:t>
      </w:r>
    </w:p>
    <w:p w14:paraId="3E08B349" w14:textId="77777777" w:rsidR="003D71AC" w:rsidRPr="00606E0A" w:rsidRDefault="003D71AC" w:rsidP="003D71AC">
      <w:pPr>
        <w:tabs>
          <w:tab w:val="left" w:pos="426"/>
        </w:tabs>
        <w:spacing w:line="276" w:lineRule="auto"/>
        <w:jc w:val="both"/>
        <w:rPr>
          <w:rFonts w:ascii="Arial" w:eastAsia="Calibri" w:hAnsi="Arial" w:cs="Arial"/>
          <w:sz w:val="22"/>
        </w:rPr>
      </w:pPr>
    </w:p>
    <w:p w14:paraId="5760358C" w14:textId="77777777" w:rsidR="00DA39FC" w:rsidRPr="00606E0A" w:rsidRDefault="00DA39FC" w:rsidP="00DA39FC">
      <w:pPr>
        <w:tabs>
          <w:tab w:val="left" w:pos="426"/>
        </w:tabs>
        <w:jc w:val="both"/>
        <w:rPr>
          <w:rFonts w:ascii="Arial" w:eastAsia="Calibri" w:hAnsi="Arial" w:cs="Arial"/>
          <w:b/>
          <w:sz w:val="22"/>
          <w:lang w:val="es-ES"/>
        </w:rPr>
      </w:pPr>
      <w:r w:rsidRPr="00606E0A">
        <w:rPr>
          <w:rFonts w:ascii="Arial" w:eastAsia="Calibri" w:hAnsi="Arial" w:cs="Arial"/>
          <w:b/>
          <w:sz w:val="22"/>
          <w:lang w:val="es-ES"/>
        </w:rPr>
        <w:t xml:space="preserve">2.1. Publicidad de los contratos en el Sistema Electrónico de Contratación Pública –SECOP– </w:t>
      </w:r>
    </w:p>
    <w:p w14:paraId="20F31720" w14:textId="77777777" w:rsidR="00DA39FC" w:rsidRPr="00606E0A" w:rsidRDefault="00DA39FC" w:rsidP="00DA39FC">
      <w:pPr>
        <w:tabs>
          <w:tab w:val="left" w:pos="426"/>
        </w:tabs>
        <w:jc w:val="both"/>
        <w:rPr>
          <w:rFonts w:ascii="Arial" w:eastAsia="Calibri" w:hAnsi="Arial" w:cs="Arial"/>
          <w:b/>
          <w:sz w:val="22"/>
          <w:lang w:val="es-ES"/>
        </w:rPr>
      </w:pPr>
    </w:p>
    <w:p w14:paraId="28CAE33E" w14:textId="21BC6A18" w:rsidR="00DA39FC" w:rsidRPr="00606E0A" w:rsidRDefault="00DA39FC" w:rsidP="00DA39FC">
      <w:pPr>
        <w:spacing w:after="120" w:line="276" w:lineRule="auto"/>
        <w:jc w:val="both"/>
        <w:rPr>
          <w:rFonts w:ascii="Arial" w:eastAsia="Calibri" w:hAnsi="Arial" w:cs="Arial"/>
          <w:sz w:val="22"/>
          <w:lang w:val="es-ES"/>
        </w:rPr>
      </w:pPr>
      <w:r w:rsidRPr="00606E0A">
        <w:rPr>
          <w:rFonts w:ascii="Arial" w:eastAsia="Calibri" w:hAnsi="Arial" w:cs="Arial"/>
          <w:sz w:val="22"/>
          <w:lang w:val="es-ES"/>
        </w:rPr>
        <w:t>El principio de publicidad</w:t>
      </w:r>
      <w:r w:rsidR="003D12D1" w:rsidRPr="00606E0A">
        <w:rPr>
          <w:rFonts w:ascii="Arial" w:eastAsia="Calibri" w:hAnsi="Arial" w:cs="Arial"/>
          <w:sz w:val="22"/>
          <w:lang w:val="es-ES"/>
        </w:rPr>
        <w:t xml:space="preserve"> de la función administrativa, consagrado en el artículo 209 superior</w:t>
      </w:r>
      <w:r w:rsidR="003D12D1" w:rsidRPr="00606E0A">
        <w:rPr>
          <w:rStyle w:val="Refdenotaalpie"/>
          <w:rFonts w:ascii="Arial" w:eastAsia="Calibri" w:hAnsi="Arial" w:cs="Arial"/>
          <w:sz w:val="22"/>
          <w:lang w:val="es-ES"/>
        </w:rPr>
        <w:footnoteReference w:id="1"/>
      </w:r>
      <w:r w:rsidR="003D12D1" w:rsidRPr="00606E0A">
        <w:rPr>
          <w:rFonts w:ascii="Arial" w:eastAsia="Calibri" w:hAnsi="Arial" w:cs="Arial"/>
          <w:sz w:val="22"/>
          <w:lang w:val="es-ES"/>
        </w:rPr>
        <w:t>,</w:t>
      </w:r>
      <w:r w:rsidRPr="00606E0A">
        <w:rPr>
          <w:rFonts w:ascii="Arial" w:eastAsia="Calibri" w:hAnsi="Arial" w:cs="Arial"/>
          <w:sz w:val="22"/>
          <w:lang w:val="es-ES"/>
        </w:rPr>
        <w:t xml:space="preserve"> impone a las autoridades administrativas el deber de dar a conocer sus actos, contratos y decisiones, para que se divulguen y eventualmente se controlen las actuaciones</w:t>
      </w:r>
      <w:r w:rsidRPr="00606E0A">
        <w:rPr>
          <w:rStyle w:val="Refdenotaalpie"/>
          <w:rFonts w:ascii="Arial" w:eastAsia="Calibri" w:hAnsi="Arial" w:cs="Arial"/>
          <w:sz w:val="22"/>
          <w:lang w:val="es-ES"/>
        </w:rPr>
        <w:footnoteReference w:id="2"/>
      </w:r>
      <w:r w:rsidRPr="00606E0A">
        <w:rPr>
          <w:rFonts w:ascii="Arial" w:eastAsia="Calibri" w:hAnsi="Arial" w:cs="Arial"/>
          <w:sz w:val="22"/>
          <w:lang w:val="es-ES"/>
        </w:rPr>
        <w:t xml:space="preserve">. Para estos efectos, el literal c) del artículo 3 de la Ley 1150 de 2007 establece </w:t>
      </w:r>
      <w:r w:rsidRPr="00606E0A">
        <w:rPr>
          <w:rFonts w:ascii="Arial" w:eastAsia="Calibri" w:hAnsi="Arial" w:cs="Arial"/>
          <w:sz w:val="22"/>
          <w:lang w:val="es-ES"/>
        </w:rPr>
        <w:lastRenderedPageBreak/>
        <w:t>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606E0A">
        <w:rPr>
          <w:rStyle w:val="Refdenotaalpie"/>
          <w:rFonts w:ascii="Arial" w:eastAsia="Calibri" w:hAnsi="Arial" w:cs="Arial"/>
          <w:sz w:val="22"/>
          <w:lang w:val="es-ES"/>
        </w:rPr>
        <w:footnoteReference w:id="3"/>
      </w:r>
      <w:r w:rsidRPr="00606E0A">
        <w:rPr>
          <w:rFonts w:ascii="Arial" w:eastAsia="Calibri" w:hAnsi="Arial" w:cs="Arial"/>
          <w:sz w:val="22"/>
          <w:lang w:val="es-ES"/>
        </w:rPr>
        <w:t xml:space="preserve">. </w:t>
      </w:r>
    </w:p>
    <w:p w14:paraId="0A7C9958" w14:textId="77777777" w:rsidR="00DA39FC" w:rsidRPr="00606E0A" w:rsidRDefault="00DA39FC" w:rsidP="00DA39FC">
      <w:pPr>
        <w:spacing w:after="120" w:line="276" w:lineRule="auto"/>
        <w:ind w:firstLine="709"/>
        <w:jc w:val="both"/>
        <w:rPr>
          <w:rFonts w:ascii="Arial" w:eastAsia="Calibri" w:hAnsi="Arial" w:cs="Arial"/>
          <w:sz w:val="22"/>
          <w:lang w:val="es-ES"/>
        </w:rPr>
      </w:pPr>
      <w:r w:rsidRPr="00606E0A">
        <w:rPr>
          <w:rFonts w:ascii="Arial" w:hAnsi="Arial" w:cs="Arial"/>
          <w:sz w:val="22"/>
          <w:lang w:val="es-ES"/>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606E0A">
        <w:rPr>
          <w:rStyle w:val="Refdenotaalpie"/>
          <w:rFonts w:ascii="Arial" w:hAnsi="Arial" w:cs="Arial"/>
          <w:sz w:val="22"/>
          <w:lang w:val="es-ES"/>
        </w:rPr>
        <w:footnoteReference w:id="4"/>
      </w:r>
      <w:r w:rsidRPr="00606E0A">
        <w:rPr>
          <w:rFonts w:ascii="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91373F2" w14:textId="77777777" w:rsidR="00DA39FC" w:rsidRPr="00606E0A" w:rsidRDefault="00DA39FC" w:rsidP="009800B1">
      <w:pPr>
        <w:pStyle w:val="NormalWeb"/>
        <w:spacing w:before="0" w:beforeAutospacing="0" w:after="120" w:afterAutospacing="0" w:line="276" w:lineRule="auto"/>
        <w:ind w:firstLine="709"/>
        <w:jc w:val="both"/>
        <w:rPr>
          <w:rFonts w:ascii="Arial" w:eastAsiaTheme="minorHAnsi" w:hAnsi="Arial" w:cs="Arial"/>
          <w:sz w:val="22"/>
          <w:szCs w:val="22"/>
          <w:lang w:eastAsia="en-US"/>
        </w:rPr>
      </w:pPr>
      <w:r w:rsidRPr="00606E0A">
        <w:rPr>
          <w:rFonts w:ascii="Arial" w:eastAsiaTheme="minorHAnsi" w:hAnsi="Arial" w:cs="Arial"/>
          <w:sz w:val="22"/>
          <w:szCs w:val="22"/>
          <w:lang w:eastAsia="en-US"/>
        </w:rPr>
        <w:t>La ley citada establece, en el literal e) del artículo 9, que los sujetos obligados, que son todas las entidades públicas</w:t>
      </w:r>
      <w:r w:rsidRPr="00606E0A">
        <w:rPr>
          <w:rStyle w:val="Refdenotaalpie"/>
          <w:rFonts w:ascii="Arial" w:eastAsiaTheme="minorHAnsi" w:hAnsi="Arial" w:cs="Arial"/>
          <w:sz w:val="22"/>
          <w:szCs w:val="22"/>
          <w:lang w:eastAsia="en-US"/>
        </w:rPr>
        <w:footnoteReference w:id="5"/>
      </w:r>
      <w:r w:rsidRPr="00606E0A">
        <w:rPr>
          <w:rFonts w:ascii="Arial" w:eastAsiaTheme="minorHAnsi" w:hAnsi="Arial" w:cs="Arial"/>
          <w:sz w:val="22"/>
          <w:szCs w:val="22"/>
          <w:lang w:eastAsia="en-US"/>
        </w:rPr>
        <w:t>, deben publicar la información relativa a su contratación. Esta obligación fue desarrollada por el Decreto Único Reglamentario 1081 de 2015</w:t>
      </w:r>
      <w:r w:rsidRPr="00606E0A">
        <w:rPr>
          <w:rStyle w:val="Refdenotaalpie"/>
          <w:rFonts w:ascii="Arial" w:eastAsiaTheme="minorHAnsi" w:hAnsi="Arial" w:cs="Arial"/>
          <w:sz w:val="22"/>
          <w:szCs w:val="22"/>
          <w:lang w:eastAsia="en-US"/>
        </w:rPr>
        <w:footnoteReference w:id="6"/>
      </w:r>
      <w:r w:rsidRPr="00606E0A">
        <w:rPr>
          <w:rFonts w:ascii="Arial" w:eastAsiaTheme="minorHAnsi" w:hAnsi="Arial" w:cs="Arial"/>
          <w:sz w:val="22"/>
          <w:szCs w:val="22"/>
          <w:lang w:eastAsia="en-US"/>
        </w:rPr>
        <w:t xml:space="preserve">, el cual </w:t>
      </w:r>
      <w:r w:rsidRPr="00606E0A">
        <w:rPr>
          <w:rFonts w:ascii="Arial" w:eastAsiaTheme="minorHAnsi" w:hAnsi="Arial" w:cs="Arial"/>
          <w:sz w:val="22"/>
          <w:szCs w:val="22"/>
          <w:lang w:eastAsia="en-US"/>
        </w:rPr>
        <w:lastRenderedPageBreak/>
        <w:t>dispuso que la publicación de la información contractual de los sujetos obligados, que contratan con cargo a recursos públicos, debe hacerse en el Sistema Electrónico de Contratación Pública –</w:t>
      </w:r>
      <w:r w:rsidRPr="00606E0A">
        <w:rPr>
          <w:rFonts w:ascii="Arial" w:eastAsiaTheme="minorHAnsi" w:hAnsi="Arial" w:cs="Arial"/>
          <w:sz w:val="22"/>
          <w:szCs w:val="22"/>
          <w:lang w:eastAsia="en-US"/>
        </w:rPr>
        <w:softHyphen/>
        <w:t xml:space="preserve"> </w:t>
      </w:r>
      <w:r w:rsidRPr="00606E0A">
        <w:rPr>
          <w:rFonts w:ascii="Arial" w:eastAsiaTheme="minorHAnsi" w:hAnsi="Arial" w:cs="Arial"/>
          <w:sz w:val="22"/>
          <w:szCs w:val="22"/>
          <w:lang w:eastAsia="en-US"/>
        </w:rPr>
        <w:softHyphen/>
        <w:t>SECOP.</w:t>
      </w:r>
    </w:p>
    <w:p w14:paraId="2A5406D9" w14:textId="77777777" w:rsidR="00DA39FC" w:rsidRPr="00606E0A" w:rsidRDefault="00DA39FC" w:rsidP="00DA39FC">
      <w:pPr>
        <w:spacing w:after="120" w:line="276" w:lineRule="auto"/>
        <w:ind w:firstLine="709"/>
        <w:jc w:val="both"/>
        <w:rPr>
          <w:rFonts w:ascii="Arial" w:hAnsi="Arial" w:cs="Arial"/>
          <w:sz w:val="22"/>
          <w:lang w:val="es-ES"/>
        </w:rPr>
      </w:pPr>
      <w:r w:rsidRPr="00606E0A">
        <w:rPr>
          <w:rFonts w:ascii="Arial" w:hAnsi="Arial" w:cs="Arial"/>
          <w:sz w:val="22"/>
          <w:lang w:val="es-ES"/>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749776F0" w14:textId="77777777" w:rsidR="00DA39FC" w:rsidRPr="00606E0A" w:rsidRDefault="00DA39FC" w:rsidP="00DA39FC">
      <w:pPr>
        <w:spacing w:after="120" w:line="276" w:lineRule="auto"/>
        <w:ind w:firstLine="709"/>
        <w:jc w:val="both"/>
        <w:rPr>
          <w:rFonts w:ascii="Arial" w:eastAsia="Calibri" w:hAnsi="Arial" w:cs="Arial"/>
          <w:sz w:val="22"/>
          <w:lang w:val="es-ES"/>
        </w:rPr>
      </w:pPr>
      <w:r w:rsidRPr="00606E0A">
        <w:rPr>
          <w:rFonts w:ascii="Arial" w:eastAsia="Calibri" w:hAnsi="Arial" w:cs="Arial"/>
          <w:sz w:val="22"/>
          <w:lang w:val="es-E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606E0A">
        <w:rPr>
          <w:rStyle w:val="Refdenotaalpie"/>
          <w:rFonts w:ascii="Arial" w:eastAsia="Calibri" w:hAnsi="Arial" w:cs="Arial"/>
          <w:sz w:val="22"/>
          <w:lang w:val="es-ES"/>
        </w:rPr>
        <w:footnoteReference w:id="7"/>
      </w:r>
      <w:r w:rsidRPr="00606E0A">
        <w:rPr>
          <w:rFonts w:ascii="Arial" w:eastAsia="Calibri" w:hAnsi="Arial" w:cs="Arial"/>
          <w:sz w:val="22"/>
          <w:lang w:val="es-ES"/>
        </w:rPr>
        <w:t>.</w:t>
      </w:r>
    </w:p>
    <w:p w14:paraId="71BAD9A8" w14:textId="77777777" w:rsidR="00DA39FC" w:rsidRPr="00606E0A" w:rsidRDefault="00DA39FC" w:rsidP="00DA39FC">
      <w:pPr>
        <w:spacing w:after="120" w:line="276" w:lineRule="auto"/>
        <w:ind w:firstLine="709"/>
        <w:jc w:val="both"/>
        <w:rPr>
          <w:rFonts w:ascii="Arial" w:hAnsi="Arial" w:cs="Arial"/>
          <w:sz w:val="22"/>
          <w:lang w:val="es-ES"/>
        </w:rPr>
      </w:pPr>
      <w:r w:rsidRPr="00606E0A">
        <w:rPr>
          <w:rFonts w:ascii="Arial" w:hAnsi="Arial" w:cs="Arial"/>
          <w:sz w:val="22"/>
          <w:lang w:val="es-ES"/>
        </w:rPr>
        <w:t>En el año 2013, la Agencia Nacional de Contratación Pública – Colombia Compra Eficiente,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606E0A">
        <w:rPr>
          <w:rStyle w:val="Refdenotaalpie"/>
          <w:rFonts w:ascii="Arial" w:hAnsi="Arial" w:cs="Arial"/>
          <w:sz w:val="22"/>
          <w:lang w:val="es-ES"/>
        </w:rPr>
        <w:footnoteReference w:id="8"/>
      </w:r>
      <w:r w:rsidRPr="00606E0A">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283D07A1" w14:textId="77777777" w:rsidR="00DA39FC" w:rsidRPr="00606E0A" w:rsidRDefault="00DA39FC" w:rsidP="00DA39FC">
      <w:pPr>
        <w:spacing w:line="276" w:lineRule="auto"/>
        <w:ind w:firstLine="709"/>
        <w:jc w:val="both"/>
        <w:rPr>
          <w:rFonts w:ascii="Arial" w:hAnsi="Arial" w:cs="Arial"/>
          <w:sz w:val="22"/>
          <w:lang w:val="es-ES"/>
        </w:rPr>
      </w:pPr>
      <w:r w:rsidRPr="00606E0A">
        <w:rPr>
          <w:rFonts w:ascii="Arial" w:hAnsi="Arial" w:cs="Arial"/>
          <w:sz w:val="22"/>
          <w:lang w:val="es-ES"/>
        </w:rPr>
        <w:t>El debate sobre la obligatoriedad o no de publicar en el SECOP, para las entidades con régimen especial de contratación,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485A803B" w14:textId="77777777" w:rsidR="00DA39FC" w:rsidRPr="00606E0A" w:rsidRDefault="00DA39FC" w:rsidP="00DA39FC">
      <w:pPr>
        <w:spacing w:line="276" w:lineRule="auto"/>
        <w:jc w:val="both"/>
        <w:rPr>
          <w:rFonts w:ascii="Arial" w:hAnsi="Arial" w:cs="Arial"/>
          <w:sz w:val="22"/>
          <w:lang w:val="es-ES"/>
        </w:rPr>
      </w:pPr>
    </w:p>
    <w:p w14:paraId="52F641FB" w14:textId="77777777" w:rsidR="00DA39FC" w:rsidRPr="00606E0A" w:rsidRDefault="00DA39FC" w:rsidP="00DA39FC">
      <w:pPr>
        <w:tabs>
          <w:tab w:val="left" w:pos="3885"/>
        </w:tabs>
        <w:ind w:left="709" w:right="709"/>
        <w:jc w:val="both"/>
        <w:rPr>
          <w:rFonts w:ascii="Arial" w:hAnsi="Arial" w:cs="Arial"/>
          <w:sz w:val="21"/>
          <w:szCs w:val="21"/>
          <w:lang w:val="es-ES"/>
        </w:rPr>
      </w:pPr>
      <w:r w:rsidRPr="00606E0A">
        <w:rPr>
          <w:rFonts w:ascii="Arial" w:hAnsi="Arial" w:cs="Arial"/>
          <w:sz w:val="21"/>
          <w:szCs w:val="21"/>
          <w:lang w:val="es-ES"/>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C4E1F43" w14:textId="77777777" w:rsidR="00DA39FC" w:rsidRPr="00606E0A" w:rsidRDefault="00DA39FC" w:rsidP="00DA39FC">
      <w:pPr>
        <w:tabs>
          <w:tab w:val="left" w:pos="3885"/>
        </w:tabs>
        <w:ind w:left="709" w:right="709"/>
        <w:jc w:val="both"/>
        <w:rPr>
          <w:rFonts w:ascii="Arial" w:hAnsi="Arial" w:cs="Arial"/>
          <w:sz w:val="21"/>
          <w:szCs w:val="21"/>
          <w:lang w:val="es-ES"/>
        </w:rPr>
      </w:pPr>
    </w:p>
    <w:p w14:paraId="6C122873" w14:textId="77777777" w:rsidR="00DA39FC" w:rsidRPr="00606E0A" w:rsidRDefault="00DA39FC" w:rsidP="00DA39FC">
      <w:pPr>
        <w:tabs>
          <w:tab w:val="left" w:pos="3885"/>
        </w:tabs>
        <w:ind w:left="709" w:right="709"/>
        <w:jc w:val="both"/>
        <w:rPr>
          <w:rFonts w:ascii="Arial" w:hAnsi="Arial" w:cs="Arial"/>
          <w:sz w:val="21"/>
          <w:szCs w:val="21"/>
          <w:lang w:val="es-ES"/>
        </w:rPr>
      </w:pPr>
      <w:r w:rsidRPr="00606E0A">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606E0A">
        <w:rPr>
          <w:rFonts w:ascii="Arial" w:hAnsi="Arial" w:cs="Arial"/>
          <w:sz w:val="21"/>
          <w:szCs w:val="21"/>
          <w:lang w:val="es-ES"/>
        </w:rPr>
        <w:t>en razón de</w:t>
      </w:r>
      <w:proofErr w:type="gramEnd"/>
      <w:r w:rsidRPr="00606E0A">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FA6BF30" w14:textId="77777777" w:rsidR="00DA39FC" w:rsidRPr="00606E0A" w:rsidRDefault="00DA39FC" w:rsidP="00DA39FC">
      <w:pPr>
        <w:tabs>
          <w:tab w:val="left" w:pos="3885"/>
        </w:tabs>
        <w:ind w:left="709" w:right="709"/>
        <w:jc w:val="both"/>
        <w:rPr>
          <w:rFonts w:ascii="Arial" w:hAnsi="Arial" w:cs="Arial"/>
          <w:sz w:val="21"/>
          <w:szCs w:val="21"/>
          <w:lang w:val="es-ES"/>
        </w:rPr>
      </w:pPr>
      <w:r w:rsidRPr="00606E0A">
        <w:rPr>
          <w:rFonts w:ascii="Arial" w:hAnsi="Arial" w:cs="Arial"/>
          <w:sz w:val="21"/>
          <w:szCs w:val="21"/>
          <w:lang w:val="es-ES"/>
        </w:rPr>
        <w:t>[…]</w:t>
      </w:r>
    </w:p>
    <w:p w14:paraId="0B014E36" w14:textId="77777777" w:rsidR="00DA39FC" w:rsidRPr="00606E0A" w:rsidRDefault="00DA39FC" w:rsidP="00DA39FC">
      <w:pPr>
        <w:tabs>
          <w:tab w:val="left" w:pos="3885"/>
        </w:tabs>
        <w:ind w:left="709" w:right="709"/>
        <w:jc w:val="both"/>
        <w:rPr>
          <w:rFonts w:ascii="Arial" w:hAnsi="Arial" w:cs="Arial"/>
          <w:sz w:val="21"/>
          <w:szCs w:val="21"/>
          <w:lang w:val="es-ES"/>
        </w:rPr>
      </w:pPr>
    </w:p>
    <w:p w14:paraId="4C2222D1" w14:textId="77777777" w:rsidR="00DA39FC" w:rsidRPr="00606E0A" w:rsidRDefault="00DA39FC" w:rsidP="00DA39FC">
      <w:pPr>
        <w:tabs>
          <w:tab w:val="left" w:pos="3885"/>
        </w:tabs>
        <w:ind w:left="709" w:right="709"/>
        <w:jc w:val="both"/>
        <w:rPr>
          <w:rFonts w:ascii="Arial" w:hAnsi="Arial" w:cs="Arial"/>
          <w:sz w:val="21"/>
          <w:szCs w:val="21"/>
          <w:lang w:val="es-ES"/>
        </w:rPr>
      </w:pPr>
      <w:r w:rsidRPr="00606E0A">
        <w:rPr>
          <w:rFonts w:ascii="Arial" w:hAnsi="Arial" w:cs="Arial"/>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606E0A">
        <w:rPr>
          <w:rStyle w:val="Refdenotaalpie"/>
          <w:rFonts w:ascii="Arial" w:hAnsi="Arial" w:cs="Arial"/>
          <w:sz w:val="21"/>
          <w:szCs w:val="21"/>
          <w:lang w:val="es-ES"/>
        </w:rPr>
        <w:footnoteReference w:id="9"/>
      </w:r>
      <w:r w:rsidRPr="00606E0A">
        <w:rPr>
          <w:rStyle w:val="Refdenotaalpie"/>
          <w:rFonts w:ascii="Arial" w:hAnsi="Arial" w:cs="Arial"/>
          <w:sz w:val="21"/>
          <w:szCs w:val="21"/>
          <w:lang w:val="es-ES"/>
        </w:rPr>
        <w:t>.</w:t>
      </w:r>
    </w:p>
    <w:p w14:paraId="549E846A" w14:textId="77777777" w:rsidR="00DA39FC" w:rsidRPr="00606E0A" w:rsidRDefault="00DA39FC" w:rsidP="00DA39FC">
      <w:pPr>
        <w:tabs>
          <w:tab w:val="left" w:pos="3885"/>
        </w:tabs>
        <w:spacing w:line="276" w:lineRule="auto"/>
        <w:ind w:left="709" w:right="709"/>
        <w:jc w:val="both"/>
        <w:rPr>
          <w:rFonts w:ascii="Arial" w:hAnsi="Arial" w:cs="Arial"/>
          <w:sz w:val="21"/>
          <w:szCs w:val="21"/>
          <w:lang w:val="es-ES"/>
        </w:rPr>
      </w:pPr>
    </w:p>
    <w:p w14:paraId="604AC434" w14:textId="77777777" w:rsidR="00DA39FC" w:rsidRPr="00606E0A" w:rsidRDefault="00DA39FC" w:rsidP="00DA39FC">
      <w:pPr>
        <w:spacing w:line="276" w:lineRule="auto"/>
        <w:ind w:firstLine="708"/>
        <w:jc w:val="both"/>
        <w:rPr>
          <w:rFonts w:ascii="Arial" w:hAnsi="Arial" w:cs="Arial"/>
          <w:sz w:val="22"/>
          <w:lang w:val="es-ES"/>
        </w:rPr>
      </w:pPr>
      <w:r w:rsidRPr="00606E0A">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en relación con el deber de publicidad de estos, el Consejo de Estado sostuvo: </w:t>
      </w:r>
    </w:p>
    <w:p w14:paraId="2F55D5BC" w14:textId="77777777" w:rsidR="00DA39FC" w:rsidRPr="00606E0A" w:rsidRDefault="00DA39FC" w:rsidP="00DA39FC">
      <w:pPr>
        <w:ind w:firstLine="708"/>
        <w:jc w:val="both"/>
        <w:rPr>
          <w:rFonts w:ascii="Arial" w:hAnsi="Arial" w:cs="Arial"/>
          <w:sz w:val="22"/>
          <w:lang w:val="es-ES"/>
        </w:rPr>
      </w:pPr>
    </w:p>
    <w:p w14:paraId="0AF554C8" w14:textId="77777777" w:rsidR="00DA39FC" w:rsidRPr="00606E0A" w:rsidRDefault="00DA39FC" w:rsidP="00DA39FC">
      <w:pPr>
        <w:ind w:left="709" w:right="709"/>
        <w:jc w:val="both"/>
        <w:rPr>
          <w:rFonts w:ascii="Arial" w:hAnsi="Arial" w:cs="Arial"/>
          <w:sz w:val="21"/>
          <w:szCs w:val="21"/>
          <w:lang w:val="es-ES"/>
        </w:rPr>
      </w:pPr>
      <w:r w:rsidRPr="00606E0A">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00C23B13" w14:textId="77777777" w:rsidR="00DA39FC" w:rsidRPr="00606E0A" w:rsidRDefault="00DA39FC" w:rsidP="00DA39FC">
      <w:pPr>
        <w:spacing w:line="276" w:lineRule="auto"/>
        <w:ind w:leftChars="295" w:left="708" w:right="709"/>
        <w:jc w:val="both"/>
        <w:rPr>
          <w:rFonts w:ascii="Arial" w:hAnsi="Arial" w:cs="Arial"/>
          <w:sz w:val="21"/>
          <w:szCs w:val="21"/>
          <w:lang w:val="es-ES"/>
        </w:rPr>
      </w:pPr>
    </w:p>
    <w:p w14:paraId="36610725" w14:textId="77777777" w:rsidR="00DA39FC" w:rsidRPr="00606E0A" w:rsidRDefault="00DA39FC" w:rsidP="00DA39FC">
      <w:pPr>
        <w:spacing w:after="120" w:line="276" w:lineRule="auto"/>
        <w:ind w:firstLine="709"/>
        <w:jc w:val="both"/>
        <w:rPr>
          <w:rFonts w:ascii="Arial" w:hAnsi="Arial" w:cs="Arial"/>
          <w:sz w:val="22"/>
          <w:lang w:val="es-ES"/>
        </w:rPr>
      </w:pPr>
      <w:r w:rsidRPr="00606E0A">
        <w:rPr>
          <w:rFonts w:ascii="Arial" w:hAnsi="Arial" w:cs="Arial"/>
          <w:sz w:val="22"/>
          <w:lang w:val="es-ES"/>
        </w:rPr>
        <w:lastRenderedPageBreak/>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no se deriva sólo de las Leyes 1150 de 2007, 1712 de 2014 y la Circular Externa Única, sino también de la jurisprudencia del Consejo de Estado. </w:t>
      </w:r>
    </w:p>
    <w:p w14:paraId="351E8555" w14:textId="2EE3E17F" w:rsidR="00DA39FC" w:rsidRPr="00606E0A" w:rsidRDefault="003F117D" w:rsidP="00DA39FC">
      <w:pPr>
        <w:spacing w:line="276" w:lineRule="auto"/>
        <w:ind w:firstLine="708"/>
        <w:jc w:val="both"/>
        <w:rPr>
          <w:rFonts w:ascii="Arial" w:hAnsi="Arial" w:cs="Arial"/>
          <w:sz w:val="22"/>
          <w:lang w:val="es-ES"/>
        </w:rPr>
      </w:pPr>
      <w:r>
        <w:rPr>
          <w:rFonts w:ascii="Arial" w:hAnsi="Arial" w:cs="Arial"/>
          <w:sz w:val="22"/>
          <w:lang w:val="es-ES"/>
        </w:rPr>
        <w:t>Adicionalmente</w:t>
      </w:r>
      <w:r w:rsidR="00DA39FC" w:rsidRPr="00606E0A">
        <w:rPr>
          <w:rFonts w:ascii="Arial" w:hAnsi="Arial" w:cs="Arial"/>
          <w:sz w:val="22"/>
          <w:lang w:val="es-ES"/>
        </w:rPr>
        <w:t>, esta Agencia ha precisado que la ejecución de recursos públicos, conforme indica el literal c) del artículo 3 de la Ley 1150 de 2007, no es el único fundamento jurídico de la obligación de las entidades estatales de publicar en el SECOP, comoquiera que tal obligación también surge con ocasión de la calidad de sujeto obligado en el marco de la Ley 1712 de 2014</w:t>
      </w:r>
      <w:r w:rsidR="00DA39FC" w:rsidRPr="00606E0A">
        <w:rPr>
          <w:rStyle w:val="Refdenotaalpie"/>
          <w:rFonts w:ascii="Arial" w:hAnsi="Arial" w:cs="Arial"/>
          <w:sz w:val="22"/>
          <w:lang w:val="es-ES"/>
        </w:rPr>
        <w:footnoteReference w:id="10"/>
      </w:r>
      <w:r w:rsidR="00DA39FC" w:rsidRPr="00606E0A">
        <w:rPr>
          <w:rFonts w:ascii="Arial" w:hAnsi="Arial" w:cs="Arial"/>
          <w:sz w:val="22"/>
          <w:lang w:val="es-ES"/>
        </w:rPr>
        <w:t>.</w:t>
      </w:r>
    </w:p>
    <w:p w14:paraId="6EEDE88A" w14:textId="77777777" w:rsidR="00DA39FC" w:rsidRPr="00606E0A" w:rsidRDefault="00DA39FC" w:rsidP="00DA39FC">
      <w:pPr>
        <w:spacing w:before="120" w:after="120" w:line="276" w:lineRule="auto"/>
        <w:ind w:firstLine="709"/>
        <w:jc w:val="both"/>
        <w:rPr>
          <w:rFonts w:ascii="Arial" w:eastAsia="Calibri" w:hAnsi="Arial" w:cs="Arial"/>
          <w:sz w:val="22"/>
          <w:lang w:val="es-ES"/>
        </w:rPr>
      </w:pPr>
      <w:r w:rsidRPr="00606E0A">
        <w:rPr>
          <w:rFonts w:ascii="Arial" w:eastAsia="Calibri" w:hAnsi="Arial" w:cs="Arial"/>
          <w:sz w:val="22"/>
          <w:lang w:val="es-ES"/>
        </w:rPr>
        <w:t xml:space="preserve"> 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37FEEE18" w14:textId="021FAE19" w:rsidR="00DA39FC" w:rsidRDefault="00DA39FC" w:rsidP="00DA39FC">
      <w:pPr>
        <w:spacing w:before="120" w:line="276" w:lineRule="auto"/>
        <w:ind w:firstLine="709"/>
        <w:jc w:val="both"/>
        <w:rPr>
          <w:rFonts w:ascii="Arial" w:eastAsia="Calibri" w:hAnsi="Arial" w:cs="Arial"/>
          <w:sz w:val="22"/>
          <w:lang w:val="es-ES"/>
        </w:rPr>
      </w:pPr>
      <w:r w:rsidRPr="00606E0A">
        <w:rPr>
          <w:rFonts w:ascii="Arial" w:eastAsia="Calibri" w:hAnsi="Arial" w:cs="Arial"/>
          <w:sz w:val="22"/>
          <w:lang w:val="es-ES"/>
        </w:rPr>
        <w:t>Posteriormente, el Decreto reglamentario 103 de 2015, «Por el cual se reglamenta parcialmente la Ley 1712 de 2014 y se dictan otras disposiciones»</w:t>
      </w:r>
      <w:r w:rsidRPr="00606E0A">
        <w:rPr>
          <w:rStyle w:val="Refdenotaalpie"/>
          <w:rFonts w:ascii="Arial" w:eastAsia="Calibri" w:hAnsi="Arial" w:cs="Arial"/>
          <w:sz w:val="22"/>
          <w:lang w:val="es-ES"/>
        </w:rPr>
        <w:footnoteReference w:id="11"/>
      </w:r>
      <w:r w:rsidRPr="00606E0A">
        <w:rPr>
          <w:rFonts w:ascii="Arial" w:eastAsia="Calibri" w:hAnsi="Arial" w:cs="Arial"/>
          <w:sz w:val="22"/>
          <w:lang w:val="es-ES"/>
        </w:rPr>
        <w:t xml:space="preserve">, en el artículo 8, señala, de forma enunciativa, que se debe publicar la información relativa a la ejecución del </w:t>
      </w:r>
      <w:r w:rsidRPr="00606E0A">
        <w:rPr>
          <w:rFonts w:ascii="Arial" w:eastAsia="Calibri" w:hAnsi="Arial" w:cs="Arial"/>
          <w:sz w:val="22"/>
          <w:lang w:val="es-ES"/>
        </w:rPr>
        <w:lastRenderedPageBreak/>
        <w:t>contrato, como las aprobaciones, autorizaciones, requerimientos o informes del supervisor o interventor, que aprueben la ejecución del contrato</w:t>
      </w:r>
      <w:r w:rsidRPr="00606E0A">
        <w:rPr>
          <w:rFonts w:ascii="Arial" w:eastAsia="Calibri" w:hAnsi="Arial" w:cs="Arial"/>
          <w:sz w:val="22"/>
          <w:vertAlign w:val="superscript"/>
          <w:lang w:val="es-ES"/>
        </w:rPr>
        <w:footnoteReference w:id="12"/>
      </w:r>
      <w:r w:rsidRPr="00606E0A">
        <w:rPr>
          <w:rFonts w:ascii="Arial" w:eastAsia="Calibri" w:hAnsi="Arial" w:cs="Arial"/>
          <w:sz w:val="22"/>
          <w:lang w:val="es-ES"/>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606E0A">
        <w:rPr>
          <w:rFonts w:ascii="Arial" w:eastAsia="Calibri" w:hAnsi="Arial" w:cs="Arial"/>
          <w:sz w:val="22"/>
          <w:vertAlign w:val="superscript"/>
          <w:lang w:val="es-ES"/>
        </w:rPr>
        <w:footnoteReference w:id="13"/>
      </w:r>
      <w:r w:rsidRPr="00606E0A">
        <w:rPr>
          <w:rFonts w:ascii="Arial" w:eastAsia="Calibri" w:hAnsi="Arial" w:cs="Arial"/>
          <w:sz w:val="22"/>
          <w:lang w:val="es-ES"/>
        </w:rPr>
        <w:t>. Finalmente, el artículo 10 establece la obligación que tienen las entidades de publicar en el SECOP el Plan Anual de Adquisiciones</w:t>
      </w:r>
      <w:r w:rsidRPr="00606E0A">
        <w:rPr>
          <w:rFonts w:ascii="Arial" w:eastAsia="Calibri" w:hAnsi="Arial" w:cs="Arial"/>
          <w:sz w:val="22"/>
          <w:vertAlign w:val="superscript"/>
          <w:lang w:val="es-ES"/>
        </w:rPr>
        <w:footnoteReference w:id="14"/>
      </w:r>
      <w:r w:rsidRPr="00606E0A">
        <w:rPr>
          <w:rFonts w:ascii="Arial" w:eastAsia="Calibri" w:hAnsi="Arial" w:cs="Arial"/>
          <w:sz w:val="22"/>
          <w:lang w:val="es-ES"/>
        </w:rPr>
        <w:t xml:space="preserve">.  </w:t>
      </w:r>
    </w:p>
    <w:p w14:paraId="1466B79F" w14:textId="77777777" w:rsidR="000F660F" w:rsidRPr="00606E0A" w:rsidRDefault="000F660F" w:rsidP="009800B1">
      <w:pPr>
        <w:spacing w:line="276" w:lineRule="auto"/>
        <w:ind w:firstLine="709"/>
        <w:jc w:val="both"/>
        <w:rPr>
          <w:rFonts w:ascii="Arial" w:eastAsia="Calibri" w:hAnsi="Arial" w:cs="Arial"/>
          <w:sz w:val="22"/>
          <w:lang w:val="es-ES"/>
        </w:rPr>
      </w:pPr>
    </w:p>
    <w:p w14:paraId="5AAEF876" w14:textId="6E46E481" w:rsidR="00431061" w:rsidRPr="00606E0A" w:rsidRDefault="0029097B" w:rsidP="004434A8">
      <w:pPr>
        <w:tabs>
          <w:tab w:val="left" w:pos="426"/>
        </w:tabs>
        <w:spacing w:line="276" w:lineRule="auto"/>
        <w:jc w:val="both"/>
        <w:rPr>
          <w:rFonts w:ascii="Arial" w:eastAsia="Calibri" w:hAnsi="Arial" w:cs="Arial"/>
          <w:b/>
          <w:sz w:val="22"/>
        </w:rPr>
      </w:pPr>
      <w:r w:rsidRPr="00606E0A">
        <w:rPr>
          <w:rFonts w:ascii="Arial" w:eastAsia="Calibri" w:hAnsi="Arial" w:cs="Arial"/>
          <w:b/>
          <w:sz w:val="22"/>
        </w:rPr>
        <w:t>2.2</w:t>
      </w:r>
      <w:r w:rsidR="0095371E" w:rsidRPr="00606E0A">
        <w:rPr>
          <w:rFonts w:ascii="Arial" w:eastAsia="Calibri" w:hAnsi="Arial" w:cs="Arial"/>
          <w:b/>
          <w:sz w:val="22"/>
        </w:rPr>
        <w:t xml:space="preserve">. </w:t>
      </w:r>
      <w:r w:rsidR="005970D8" w:rsidRPr="00606E0A">
        <w:rPr>
          <w:rFonts w:ascii="Arial" w:eastAsia="Calibri" w:hAnsi="Arial" w:cs="Arial"/>
          <w:b/>
          <w:sz w:val="22"/>
        </w:rPr>
        <w:t xml:space="preserve">El SECOP como mecanismo para garantizar </w:t>
      </w:r>
      <w:r w:rsidR="006A4805" w:rsidRPr="00606E0A">
        <w:rPr>
          <w:rFonts w:ascii="Arial" w:eastAsia="Calibri" w:hAnsi="Arial" w:cs="Arial"/>
          <w:b/>
          <w:sz w:val="22"/>
        </w:rPr>
        <w:t xml:space="preserve">el principio de publicidad en la contratación estatal </w:t>
      </w:r>
    </w:p>
    <w:p w14:paraId="1F6F421C" w14:textId="77777777" w:rsidR="007B2EA0" w:rsidRPr="00606E0A" w:rsidRDefault="007B2EA0" w:rsidP="007B2EA0">
      <w:pPr>
        <w:spacing w:line="276" w:lineRule="auto"/>
        <w:jc w:val="both"/>
        <w:rPr>
          <w:rFonts w:ascii="Arial" w:eastAsia="Calibri" w:hAnsi="Arial" w:cs="Arial"/>
          <w:sz w:val="22"/>
        </w:rPr>
      </w:pPr>
    </w:p>
    <w:p w14:paraId="6A857C45" w14:textId="605D2291" w:rsidR="00431061" w:rsidRPr="00606E0A" w:rsidRDefault="00C124F1" w:rsidP="006A4805">
      <w:pPr>
        <w:spacing w:after="120" w:line="276" w:lineRule="auto"/>
        <w:jc w:val="both"/>
        <w:rPr>
          <w:rFonts w:ascii="Arial" w:eastAsia="Calibri" w:hAnsi="Arial" w:cs="Arial"/>
          <w:sz w:val="22"/>
        </w:rPr>
      </w:pPr>
      <w:r w:rsidRPr="00606E0A">
        <w:rPr>
          <w:rFonts w:ascii="Arial" w:eastAsia="Calibri" w:hAnsi="Arial" w:cs="Arial"/>
          <w:sz w:val="22"/>
        </w:rPr>
        <w:t>E</w:t>
      </w:r>
      <w:r w:rsidR="00431061" w:rsidRPr="00606E0A">
        <w:rPr>
          <w:rFonts w:ascii="Arial" w:eastAsia="Calibri" w:hAnsi="Arial" w:cs="Arial"/>
          <w:sz w:val="22"/>
        </w:rPr>
        <w:t>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00431061" w:rsidRPr="00606E0A">
        <w:rPr>
          <w:rFonts w:ascii="Arial" w:eastAsia="Calibri" w:hAnsi="Arial" w:cs="Arial"/>
          <w:sz w:val="22"/>
          <w:vertAlign w:val="superscript"/>
        </w:rPr>
        <w:footnoteReference w:id="15"/>
      </w:r>
      <w:r w:rsidR="00431061" w:rsidRPr="00606E0A">
        <w:rPr>
          <w:rFonts w:ascii="Arial" w:eastAsia="Calibri" w:hAnsi="Arial" w:cs="Arial"/>
          <w:sz w:val="22"/>
        </w:rPr>
        <w:t xml:space="preserve">. Este sistema debe contar con la </w:t>
      </w:r>
      <w:r w:rsidR="00431061" w:rsidRPr="00606E0A">
        <w:rPr>
          <w:rFonts w:ascii="Arial" w:eastAsia="Calibri" w:hAnsi="Arial" w:cs="Arial"/>
          <w:sz w:val="22"/>
        </w:rPr>
        <w:lastRenderedPageBreak/>
        <w:t>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2DDD226C" w14:textId="130647B2" w:rsidR="0029097B" w:rsidRPr="00606E0A" w:rsidRDefault="00431061" w:rsidP="00CD2C1C">
      <w:pPr>
        <w:spacing w:before="120" w:after="120" w:line="276" w:lineRule="auto"/>
        <w:ind w:firstLine="709"/>
        <w:jc w:val="both"/>
        <w:rPr>
          <w:rFonts w:ascii="Arial" w:eastAsia="Calibri" w:hAnsi="Arial" w:cs="Arial"/>
          <w:sz w:val="22"/>
        </w:rPr>
      </w:pPr>
      <w:r w:rsidRPr="00606E0A">
        <w:rPr>
          <w:rFonts w:ascii="Arial" w:eastAsia="Calibri" w:hAnsi="Arial" w:cs="Arial"/>
          <w:sz w:val="22"/>
        </w:rPr>
        <w:t>La norma citada genera un cambio en la contratación pública, donde las actuaciones de las entidades se realizaban por escrito y en papel, y ahora se c</w:t>
      </w:r>
      <w:r w:rsidR="009F73C0" w:rsidRPr="00606E0A">
        <w:rPr>
          <w:rFonts w:ascii="Arial" w:eastAsia="Calibri" w:hAnsi="Arial" w:cs="Arial"/>
          <w:sz w:val="22"/>
        </w:rPr>
        <w:t>uenta con</w:t>
      </w:r>
      <w:r w:rsidRPr="00606E0A">
        <w:rPr>
          <w:rFonts w:ascii="Arial" w:eastAsia="Calibri" w:hAnsi="Arial" w:cs="Arial"/>
          <w:sz w:val="22"/>
        </w:rPr>
        <w:t xml:space="preserve"> un mecanismo eficiente que reduce costos para que se cumpla el principio de publicidad, como un deber de las </w:t>
      </w:r>
      <w:proofErr w:type="gramStart"/>
      <w:r w:rsidRPr="00606E0A">
        <w:rPr>
          <w:rFonts w:ascii="Arial" w:eastAsia="Calibri" w:hAnsi="Arial" w:cs="Arial"/>
          <w:sz w:val="22"/>
        </w:rPr>
        <w:t>autoridades públicas</w:t>
      </w:r>
      <w:proofErr w:type="gramEnd"/>
      <w:r w:rsidRPr="00606E0A">
        <w:rPr>
          <w:rFonts w:ascii="Arial" w:eastAsia="Calibri" w:hAnsi="Arial" w:cs="Arial"/>
          <w:sz w:val="22"/>
        </w:rPr>
        <w:t xml:space="preserve"> en el ejercicio de las funciones administrativas que la ley les otorga. No obstante, es necesario aclarar que la norma no impone como requisito que</w:t>
      </w:r>
      <w:r w:rsidR="00663E70" w:rsidRPr="00606E0A">
        <w:rPr>
          <w:rFonts w:ascii="Arial" w:eastAsia="Calibri" w:hAnsi="Arial" w:cs="Arial"/>
          <w:sz w:val="22"/>
        </w:rPr>
        <w:t xml:space="preserve"> únicamente</w:t>
      </w:r>
      <w:r w:rsidRPr="00606E0A">
        <w:rPr>
          <w:rFonts w:ascii="Arial" w:eastAsia="Calibri" w:hAnsi="Arial" w:cs="Arial"/>
          <w:sz w:val="22"/>
        </w:rPr>
        <w:t xml:space="preserve"> se deba </w:t>
      </w:r>
      <w:r w:rsidR="00663E70" w:rsidRPr="00606E0A">
        <w:rPr>
          <w:rFonts w:ascii="Arial" w:eastAsia="Calibri" w:hAnsi="Arial" w:cs="Arial"/>
          <w:sz w:val="22"/>
        </w:rPr>
        <w:t xml:space="preserve">publicar en el SECOP </w:t>
      </w:r>
      <w:r w:rsidRPr="00606E0A">
        <w:rPr>
          <w:rFonts w:ascii="Arial" w:eastAsia="Calibri" w:hAnsi="Arial" w:cs="Arial"/>
          <w:sz w:val="22"/>
        </w:rPr>
        <w:t>cuando se ejecuten recursos públicos, ya que el deber de publicidad es amplio</w:t>
      </w:r>
      <w:r w:rsidR="00D31EFF">
        <w:rPr>
          <w:rFonts w:ascii="Arial" w:eastAsia="Calibri" w:hAnsi="Arial" w:cs="Arial"/>
          <w:sz w:val="22"/>
        </w:rPr>
        <w:t>. Esto</w:t>
      </w:r>
      <w:r w:rsidRPr="00606E0A">
        <w:rPr>
          <w:rFonts w:ascii="Arial" w:eastAsia="Calibri" w:hAnsi="Arial" w:cs="Arial"/>
          <w:sz w:val="22"/>
        </w:rPr>
        <w:t xml:space="preserve"> teniendo en cuenta que </w:t>
      </w:r>
      <w:r w:rsidR="00D31EFF">
        <w:rPr>
          <w:rFonts w:ascii="Arial" w:eastAsia="Calibri" w:hAnsi="Arial" w:cs="Arial"/>
          <w:sz w:val="22"/>
        </w:rPr>
        <w:t xml:space="preserve">la obligación </w:t>
      </w:r>
      <w:r w:rsidRPr="00606E0A">
        <w:rPr>
          <w:rFonts w:ascii="Arial" w:eastAsia="Calibri" w:hAnsi="Arial" w:cs="Arial"/>
          <w:sz w:val="22"/>
        </w:rPr>
        <w:t xml:space="preserve">está </w:t>
      </w:r>
      <w:r w:rsidR="00D31EFF">
        <w:rPr>
          <w:rFonts w:ascii="Arial" w:eastAsia="Calibri" w:hAnsi="Arial" w:cs="Arial"/>
          <w:sz w:val="22"/>
        </w:rPr>
        <w:t>prevista</w:t>
      </w:r>
      <w:r w:rsidRPr="00606E0A">
        <w:rPr>
          <w:rFonts w:ascii="Arial" w:eastAsia="Calibri" w:hAnsi="Arial" w:cs="Arial"/>
          <w:sz w:val="22"/>
        </w:rPr>
        <w:t xml:space="preserve"> en una norma que aplica a las entidades, sin que sea relevante en el cumplimiento de este deber la ejecución o no de recursos públicos</w:t>
      </w:r>
      <w:r w:rsidR="0029097B" w:rsidRPr="00606E0A">
        <w:rPr>
          <w:rFonts w:ascii="Arial" w:eastAsia="Calibri" w:hAnsi="Arial" w:cs="Arial"/>
          <w:sz w:val="22"/>
        </w:rPr>
        <w:t>.</w:t>
      </w:r>
    </w:p>
    <w:p w14:paraId="0C97C115" w14:textId="2C1C7FF5" w:rsidR="00D31EFF" w:rsidRDefault="00431061" w:rsidP="00CD2C1C">
      <w:pPr>
        <w:spacing w:before="120" w:after="120" w:line="276" w:lineRule="auto"/>
        <w:ind w:firstLine="708"/>
        <w:jc w:val="both"/>
        <w:rPr>
          <w:rFonts w:ascii="Arial" w:eastAsia="Calibri" w:hAnsi="Arial" w:cs="Arial"/>
          <w:sz w:val="22"/>
        </w:rPr>
      </w:pPr>
      <w:r w:rsidRPr="00606E0A">
        <w:rPr>
          <w:rFonts w:ascii="Arial" w:eastAsia="Calibri" w:hAnsi="Arial" w:cs="Arial"/>
          <w:sz w:val="22"/>
        </w:rPr>
        <w:t>Además, es preciso analizar en detalle el artículo</w:t>
      </w:r>
      <w:r w:rsidR="00663E70" w:rsidRPr="00606E0A">
        <w:rPr>
          <w:rFonts w:ascii="Arial" w:eastAsia="Calibri" w:hAnsi="Arial" w:cs="Arial"/>
          <w:sz w:val="22"/>
        </w:rPr>
        <w:t xml:space="preserve"> 3 de la Ley 1150 de 2007</w:t>
      </w:r>
      <w:r w:rsidR="003D71AC" w:rsidRPr="00606E0A">
        <w:rPr>
          <w:rFonts w:ascii="Arial" w:eastAsia="Calibri" w:hAnsi="Arial" w:cs="Arial"/>
          <w:sz w:val="22"/>
        </w:rPr>
        <w:t>, ya que prescribe</w:t>
      </w:r>
      <w:r w:rsidRPr="00606E0A">
        <w:rPr>
          <w:rFonts w:ascii="Arial" w:eastAsia="Calibri" w:hAnsi="Arial" w:cs="Arial"/>
          <w:sz w:val="22"/>
        </w:rPr>
        <w:t xml:space="preserve"> la obligación de que la actividad contractual de las entidades se publique en el SEC</w:t>
      </w:r>
      <w:r w:rsidR="004434A8" w:rsidRPr="00606E0A">
        <w:rPr>
          <w:rFonts w:ascii="Arial" w:eastAsia="Calibri" w:hAnsi="Arial" w:cs="Arial"/>
          <w:sz w:val="22"/>
        </w:rPr>
        <w:t>OP, sin que esta, necesaria y exclusivamente</w:t>
      </w:r>
      <w:r w:rsidRPr="00606E0A">
        <w:rPr>
          <w:rFonts w:ascii="Arial" w:eastAsia="Calibri" w:hAnsi="Arial" w:cs="Arial"/>
          <w:sz w:val="22"/>
        </w:rPr>
        <w:t>, involucre recursos públicos</w:t>
      </w:r>
      <w:r w:rsidR="005B315A">
        <w:rPr>
          <w:rFonts w:ascii="Arial" w:eastAsia="Calibri" w:hAnsi="Arial" w:cs="Arial"/>
          <w:sz w:val="22"/>
        </w:rPr>
        <w:t>.</w:t>
      </w:r>
      <w:r w:rsidRPr="00606E0A">
        <w:rPr>
          <w:rFonts w:ascii="Arial" w:eastAsia="Calibri" w:hAnsi="Arial" w:cs="Arial"/>
          <w:sz w:val="22"/>
        </w:rPr>
        <w:t xml:space="preserve"> </w:t>
      </w:r>
      <w:r w:rsidR="005B315A">
        <w:rPr>
          <w:rFonts w:ascii="Arial" w:eastAsia="Calibri" w:hAnsi="Arial" w:cs="Arial"/>
          <w:sz w:val="22"/>
        </w:rPr>
        <w:t>P</w:t>
      </w:r>
      <w:r w:rsidRPr="00606E0A">
        <w:rPr>
          <w:rFonts w:ascii="Arial" w:eastAsia="Calibri" w:hAnsi="Arial" w:cs="Arial"/>
          <w:sz w:val="22"/>
        </w:rPr>
        <w:t>or el contrario, la norma es general al referirse a los actos derivados de las etapas de un procedimiento contractual, lo cual hace énfasis en que el objetivo de la ley es la contratación que realizan las entidades, y no únicamente los recursos públicos que se ejecuten para la satisfacción de las necesidades.</w:t>
      </w:r>
      <w:r w:rsidR="00D31EFF">
        <w:rPr>
          <w:rFonts w:ascii="Arial" w:eastAsia="Calibri" w:hAnsi="Arial" w:cs="Arial"/>
          <w:sz w:val="22"/>
        </w:rPr>
        <w:t xml:space="preserve"> Esto</w:t>
      </w:r>
      <w:r w:rsidRPr="00606E0A">
        <w:rPr>
          <w:rFonts w:ascii="Arial" w:eastAsia="Calibri" w:hAnsi="Arial" w:cs="Arial"/>
          <w:sz w:val="22"/>
        </w:rPr>
        <w:t xml:space="preserve"> debe armonizar</w:t>
      </w:r>
      <w:r w:rsidR="00D31EFF">
        <w:rPr>
          <w:rFonts w:ascii="Arial" w:eastAsia="Calibri" w:hAnsi="Arial" w:cs="Arial"/>
          <w:sz w:val="22"/>
        </w:rPr>
        <w:t>se</w:t>
      </w:r>
      <w:r w:rsidRPr="00606E0A">
        <w:rPr>
          <w:rFonts w:ascii="Arial" w:eastAsia="Calibri" w:hAnsi="Arial" w:cs="Arial"/>
          <w:sz w:val="22"/>
        </w:rPr>
        <w:t xml:space="preserve"> con el artículo 2.2.1.1.1.7.1.</w:t>
      </w:r>
      <w:r w:rsidR="003D71AC" w:rsidRPr="00606E0A">
        <w:rPr>
          <w:rFonts w:ascii="Arial" w:eastAsia="Calibri" w:hAnsi="Arial" w:cs="Arial"/>
          <w:sz w:val="22"/>
        </w:rPr>
        <w:t xml:space="preserve"> del Decreto 1082 de 2015, que</w:t>
      </w:r>
      <w:r w:rsidRPr="00606E0A">
        <w:rPr>
          <w:rFonts w:ascii="Arial" w:eastAsia="Calibri" w:hAnsi="Arial" w:cs="Arial"/>
          <w:sz w:val="22"/>
        </w:rPr>
        <w:t xml:space="preserve"> relacionan los documentos que se deben publicar en el SECOP, sin que se haga referencia a aquellos actos que ejecuten recursos públicos</w:t>
      </w:r>
      <w:r w:rsidR="00D31EFF">
        <w:rPr>
          <w:rFonts w:ascii="Arial" w:eastAsia="Calibri" w:hAnsi="Arial" w:cs="Arial"/>
          <w:sz w:val="22"/>
        </w:rPr>
        <w:t xml:space="preserve">. </w:t>
      </w:r>
    </w:p>
    <w:p w14:paraId="5AC96C51" w14:textId="2A9AB829" w:rsidR="00431061" w:rsidRPr="00606E0A" w:rsidRDefault="00431061" w:rsidP="00CD2C1C">
      <w:pPr>
        <w:spacing w:before="120" w:after="120" w:line="276" w:lineRule="auto"/>
        <w:ind w:firstLine="708"/>
        <w:jc w:val="both"/>
        <w:rPr>
          <w:rFonts w:ascii="Arial" w:eastAsia="Calibri" w:hAnsi="Arial" w:cs="Arial"/>
          <w:sz w:val="22"/>
        </w:rPr>
      </w:pPr>
      <w:r w:rsidRPr="00606E0A">
        <w:rPr>
          <w:rFonts w:ascii="Arial" w:eastAsia="Calibri" w:hAnsi="Arial" w:cs="Arial"/>
          <w:sz w:val="22"/>
        </w:rPr>
        <w:t>Así, analizando las normas sobre publicidad en el SECOP, se concluye que no existen disposiciones de las que se pueda inferir el interés de la ley en exigir la publicac</w:t>
      </w:r>
      <w:r w:rsidR="003D71AC" w:rsidRPr="00606E0A">
        <w:rPr>
          <w:rFonts w:ascii="Arial" w:eastAsia="Calibri" w:hAnsi="Arial" w:cs="Arial"/>
          <w:sz w:val="22"/>
        </w:rPr>
        <w:t xml:space="preserve">ión </w:t>
      </w:r>
      <w:r w:rsidR="004434A8" w:rsidRPr="00606E0A">
        <w:rPr>
          <w:rFonts w:ascii="Arial" w:eastAsia="Calibri" w:hAnsi="Arial" w:cs="Arial"/>
          <w:sz w:val="22"/>
        </w:rPr>
        <w:t xml:space="preserve">exclusiva </w:t>
      </w:r>
      <w:r w:rsidR="003D71AC" w:rsidRPr="00606E0A">
        <w:rPr>
          <w:rFonts w:ascii="Arial" w:eastAsia="Calibri" w:hAnsi="Arial" w:cs="Arial"/>
          <w:sz w:val="22"/>
        </w:rPr>
        <w:t xml:space="preserve">de los actos que comprometan </w:t>
      </w:r>
      <w:r w:rsidRPr="00606E0A">
        <w:rPr>
          <w:rFonts w:ascii="Arial" w:eastAsia="Calibri" w:hAnsi="Arial" w:cs="Arial"/>
          <w:sz w:val="22"/>
        </w:rPr>
        <w:t xml:space="preserve">la ejecución de recursos públicos, puesto que su objetivo es general y se refiere a la actividad precontractual, contractual y </w:t>
      </w:r>
      <w:proofErr w:type="spellStart"/>
      <w:r w:rsidRPr="00606E0A">
        <w:rPr>
          <w:rFonts w:ascii="Arial" w:eastAsia="Calibri" w:hAnsi="Arial" w:cs="Arial"/>
          <w:sz w:val="22"/>
        </w:rPr>
        <w:t>poscontractual</w:t>
      </w:r>
      <w:proofErr w:type="spellEnd"/>
      <w:r w:rsidRPr="00606E0A">
        <w:rPr>
          <w:rFonts w:ascii="Arial" w:eastAsia="Calibri" w:hAnsi="Arial" w:cs="Arial"/>
          <w:sz w:val="22"/>
        </w:rPr>
        <w:t xml:space="preserve"> de las entidades, sin que </w:t>
      </w:r>
      <w:r w:rsidR="003D71AC" w:rsidRPr="00606E0A">
        <w:rPr>
          <w:rFonts w:ascii="Arial" w:eastAsia="Calibri" w:hAnsi="Arial" w:cs="Arial"/>
          <w:sz w:val="22"/>
        </w:rPr>
        <w:t>quepa</w:t>
      </w:r>
      <w:r w:rsidRPr="00606E0A">
        <w:rPr>
          <w:rFonts w:ascii="Arial" w:eastAsia="Calibri" w:hAnsi="Arial" w:cs="Arial"/>
          <w:sz w:val="22"/>
        </w:rPr>
        <w:t xml:space="preserve"> interpretación diferente, debido a la finalidad de la ley </w:t>
      </w:r>
      <w:r w:rsidRPr="00606E0A">
        <w:rPr>
          <w:rFonts w:ascii="Arial" w:eastAsia="Calibri" w:hAnsi="Arial" w:cs="Arial"/>
          <w:sz w:val="22"/>
        </w:rPr>
        <w:lastRenderedPageBreak/>
        <w:t>respecto de la ciudadanía y su derecho a conocer las decisiones de la Administración pública.</w:t>
      </w:r>
    </w:p>
    <w:p w14:paraId="7C4D537D" w14:textId="36691C99" w:rsidR="00431061" w:rsidRPr="00606E0A" w:rsidRDefault="00431061" w:rsidP="003D71AC">
      <w:pPr>
        <w:spacing w:line="276" w:lineRule="auto"/>
        <w:ind w:firstLine="708"/>
        <w:jc w:val="both"/>
        <w:rPr>
          <w:rFonts w:ascii="Arial" w:eastAsia="Calibri" w:hAnsi="Arial" w:cs="Arial"/>
          <w:sz w:val="22"/>
        </w:rPr>
      </w:pPr>
      <w:r w:rsidRPr="00606E0A">
        <w:rPr>
          <w:rFonts w:ascii="Arial" w:eastAsia="Calibri" w:hAnsi="Arial" w:cs="Arial"/>
          <w:sz w:val="22"/>
        </w:rPr>
        <w:t>La Corte Constitucional</w:t>
      </w:r>
      <w:r w:rsidR="003D71AC" w:rsidRPr="00606E0A">
        <w:rPr>
          <w:rFonts w:ascii="Arial" w:eastAsia="Calibri" w:hAnsi="Arial" w:cs="Arial"/>
          <w:sz w:val="22"/>
        </w:rPr>
        <w:t xml:space="preserve"> </w:t>
      </w:r>
      <w:r w:rsidRPr="00606E0A">
        <w:rPr>
          <w:rFonts w:ascii="Arial" w:eastAsia="Calibri" w:hAnsi="Arial" w:cs="Arial"/>
          <w:sz w:val="22"/>
        </w:rPr>
        <w:t>hizo énfasis en la transición de la actividad contractual impresa</w:t>
      </w:r>
      <w:r w:rsidR="003D71AC" w:rsidRPr="00606E0A">
        <w:rPr>
          <w:rFonts w:ascii="Arial" w:eastAsia="Calibri" w:hAnsi="Arial" w:cs="Arial"/>
          <w:sz w:val="22"/>
        </w:rPr>
        <w:t>,</w:t>
      </w:r>
      <w:r w:rsidRPr="00606E0A">
        <w:rPr>
          <w:rFonts w:ascii="Arial" w:eastAsia="Calibri" w:hAnsi="Arial" w:cs="Arial"/>
          <w:sz w:val="22"/>
        </w:rPr>
        <w:t xml:space="preserve"> que se publicaba en el Diario Único de Contratación, a una contratación pública electrónica desarrollada mediante el SECOP:</w:t>
      </w:r>
    </w:p>
    <w:p w14:paraId="3D88CA1D" w14:textId="77777777" w:rsidR="00431061" w:rsidRPr="00606E0A" w:rsidRDefault="00431061" w:rsidP="003D71AC">
      <w:pPr>
        <w:spacing w:line="276" w:lineRule="auto"/>
        <w:jc w:val="both"/>
        <w:rPr>
          <w:rFonts w:ascii="Arial" w:eastAsia="Calibri" w:hAnsi="Arial" w:cs="Arial"/>
          <w:sz w:val="22"/>
        </w:rPr>
      </w:pPr>
    </w:p>
    <w:p w14:paraId="43BE7CFF" w14:textId="77777777" w:rsidR="00431061" w:rsidRPr="00606E0A" w:rsidRDefault="00431061" w:rsidP="007976A9">
      <w:pPr>
        <w:ind w:left="708" w:right="680"/>
        <w:jc w:val="both"/>
        <w:rPr>
          <w:rFonts w:ascii="Arial" w:eastAsia="Calibri" w:hAnsi="Arial" w:cs="Arial"/>
          <w:sz w:val="21"/>
          <w:szCs w:val="21"/>
        </w:rPr>
      </w:pPr>
      <w:r w:rsidRPr="00606E0A">
        <w:rPr>
          <w:rFonts w:ascii="Arial" w:eastAsia="Calibri" w:hAnsi="Arial" w:cs="Arial"/>
          <w:sz w:val="21"/>
          <w:szCs w:val="21"/>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w:t>
      </w:r>
      <w:r w:rsidRPr="00606E0A">
        <w:rPr>
          <w:rFonts w:ascii="Arial" w:hAnsi="Arial" w:cs="Arial"/>
        </w:rPr>
        <w:t xml:space="preserve"> </w:t>
      </w:r>
      <w:r w:rsidRPr="00606E0A">
        <w:rPr>
          <w:rFonts w:ascii="Arial" w:eastAsia="Calibri" w:hAnsi="Arial" w:cs="Arial"/>
          <w:sz w:val="21"/>
          <w:szCs w:val="21"/>
        </w:rPr>
        <w:t>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 estatal.</w:t>
      </w:r>
    </w:p>
    <w:p w14:paraId="7DCE20E5" w14:textId="77777777" w:rsidR="00431061" w:rsidRPr="00606E0A" w:rsidRDefault="00431061" w:rsidP="007976A9">
      <w:pPr>
        <w:ind w:left="708" w:right="680"/>
        <w:jc w:val="both"/>
        <w:rPr>
          <w:rFonts w:ascii="Arial" w:eastAsia="Calibri" w:hAnsi="Arial" w:cs="Arial"/>
          <w:sz w:val="21"/>
          <w:szCs w:val="21"/>
        </w:rPr>
      </w:pPr>
    </w:p>
    <w:p w14:paraId="3A69BD4A" w14:textId="797ADC7D" w:rsidR="008521A9" w:rsidRPr="00606E0A" w:rsidRDefault="00431061" w:rsidP="007976A9">
      <w:pPr>
        <w:ind w:left="708" w:right="680"/>
        <w:jc w:val="both"/>
        <w:rPr>
          <w:rFonts w:ascii="Arial" w:eastAsia="Calibri" w:hAnsi="Arial" w:cs="Arial"/>
          <w:sz w:val="21"/>
          <w:szCs w:val="21"/>
        </w:rPr>
      </w:pPr>
      <w:r w:rsidRPr="00606E0A">
        <w:rPr>
          <w:rFonts w:ascii="Arial" w:eastAsia="Calibri" w:hAnsi="Arial" w:cs="Arial"/>
          <w:sz w:val="21"/>
          <w:szCs w:val="21"/>
        </w:rPr>
        <w:t>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Y, de conteras, suple algunas de las limitaciones de las que adolecía el Diario Único de Contratación, en términos de cobertura geográfica, de cantidad de ejemplares y de posibilidad de acceso por parte de la ciudadanía</w:t>
      </w:r>
      <w:r w:rsidR="007976A9" w:rsidRPr="00606E0A">
        <w:rPr>
          <w:rStyle w:val="Refdenotaalpie"/>
          <w:rFonts w:ascii="Arial" w:eastAsia="Calibri" w:hAnsi="Arial" w:cs="Arial"/>
          <w:sz w:val="22"/>
        </w:rPr>
        <w:footnoteReference w:id="16"/>
      </w:r>
      <w:r w:rsidRPr="00606E0A">
        <w:rPr>
          <w:rFonts w:ascii="Arial" w:eastAsia="Calibri" w:hAnsi="Arial" w:cs="Arial"/>
          <w:sz w:val="21"/>
          <w:szCs w:val="21"/>
        </w:rPr>
        <w:t>.</w:t>
      </w:r>
    </w:p>
    <w:p w14:paraId="139FD327" w14:textId="7A308A2D" w:rsidR="004434A8" w:rsidRPr="00606E0A" w:rsidRDefault="004434A8" w:rsidP="003D71AC">
      <w:pPr>
        <w:spacing w:line="276" w:lineRule="auto"/>
        <w:ind w:left="708" w:right="680"/>
        <w:jc w:val="both"/>
        <w:rPr>
          <w:rFonts w:ascii="Arial" w:eastAsia="Calibri" w:hAnsi="Arial" w:cs="Arial"/>
          <w:sz w:val="21"/>
          <w:szCs w:val="21"/>
        </w:rPr>
      </w:pPr>
    </w:p>
    <w:p w14:paraId="2C8614A9" w14:textId="5C659D37" w:rsidR="00715395" w:rsidRPr="00606E0A" w:rsidRDefault="002117D7" w:rsidP="00A64458">
      <w:pPr>
        <w:spacing w:line="276" w:lineRule="auto"/>
        <w:ind w:right="49" w:firstLine="708"/>
        <w:jc w:val="both"/>
        <w:rPr>
          <w:rFonts w:ascii="Arial" w:eastAsia="Calibri" w:hAnsi="Arial" w:cs="Arial"/>
          <w:sz w:val="22"/>
        </w:rPr>
      </w:pPr>
      <w:r w:rsidRPr="00606E0A">
        <w:rPr>
          <w:rFonts w:ascii="Arial" w:eastAsia="Calibri" w:hAnsi="Arial" w:cs="Arial"/>
          <w:sz w:val="22"/>
        </w:rPr>
        <w:t xml:space="preserve">De acuerdo con lo anterior, </w:t>
      </w:r>
      <w:r w:rsidR="001F20C2" w:rsidRPr="00606E0A">
        <w:rPr>
          <w:rFonts w:ascii="Arial" w:eastAsia="Calibri" w:hAnsi="Arial" w:cs="Arial"/>
          <w:sz w:val="22"/>
        </w:rPr>
        <w:t>sobre la obligatoriedad de publicar en el SECOP contratos de arrendamiento</w:t>
      </w:r>
      <w:r w:rsidR="00A64458" w:rsidRPr="00606E0A">
        <w:rPr>
          <w:rFonts w:ascii="Arial" w:eastAsia="Calibri" w:hAnsi="Arial" w:cs="Arial"/>
          <w:sz w:val="22"/>
        </w:rPr>
        <w:t xml:space="preserve"> y de comodato</w:t>
      </w:r>
      <w:r w:rsidR="001F20C2" w:rsidRPr="00606E0A">
        <w:rPr>
          <w:rFonts w:ascii="Arial" w:eastAsia="Calibri" w:hAnsi="Arial" w:cs="Arial"/>
          <w:sz w:val="22"/>
        </w:rPr>
        <w:t xml:space="preserve"> ya se ha</w:t>
      </w:r>
      <w:r w:rsidR="00715395" w:rsidRPr="00606E0A">
        <w:rPr>
          <w:rFonts w:ascii="Arial" w:eastAsia="Calibri" w:hAnsi="Arial" w:cs="Arial"/>
          <w:sz w:val="22"/>
        </w:rPr>
        <w:t>bía</w:t>
      </w:r>
      <w:r w:rsidR="001F20C2" w:rsidRPr="00606E0A">
        <w:rPr>
          <w:rFonts w:ascii="Arial" w:eastAsia="Calibri" w:hAnsi="Arial" w:cs="Arial"/>
          <w:sz w:val="22"/>
        </w:rPr>
        <w:t xml:space="preserve"> pronunciado esta Agencia en el concepto C-087</w:t>
      </w:r>
      <w:r w:rsidR="000A4299" w:rsidRPr="00606E0A">
        <w:rPr>
          <w:rFonts w:ascii="Arial" w:eastAsia="Calibri" w:hAnsi="Arial" w:cs="Arial"/>
          <w:sz w:val="22"/>
        </w:rPr>
        <w:t xml:space="preserve"> del 4 marzo de 2020, </w:t>
      </w:r>
      <w:r w:rsidR="00715395" w:rsidRPr="00606E0A">
        <w:rPr>
          <w:rFonts w:ascii="Arial" w:eastAsia="Calibri" w:hAnsi="Arial" w:cs="Arial"/>
          <w:sz w:val="22"/>
        </w:rPr>
        <w:t xml:space="preserve">en el que al responder a la pregunta «¿Se debe publicar en el SECOP II los contratos de arrendamiento o comodato donde el municipio no desembolsa recursos?» </w:t>
      </w:r>
      <w:r w:rsidR="005B315A">
        <w:rPr>
          <w:rFonts w:ascii="Arial" w:eastAsia="Calibri" w:hAnsi="Arial" w:cs="Arial"/>
          <w:sz w:val="22"/>
        </w:rPr>
        <w:t>consideró que</w:t>
      </w:r>
      <w:r w:rsidR="00715395" w:rsidRPr="00606E0A">
        <w:rPr>
          <w:rFonts w:ascii="Arial" w:eastAsia="Calibri" w:hAnsi="Arial" w:cs="Arial"/>
          <w:sz w:val="22"/>
        </w:rPr>
        <w:t>:</w:t>
      </w:r>
    </w:p>
    <w:p w14:paraId="7C7BACB4" w14:textId="77777777" w:rsidR="00715395" w:rsidRPr="00606E0A" w:rsidRDefault="00715395" w:rsidP="00A64458">
      <w:pPr>
        <w:spacing w:line="276" w:lineRule="auto"/>
        <w:ind w:right="49" w:firstLine="708"/>
        <w:jc w:val="both"/>
        <w:rPr>
          <w:rFonts w:ascii="Arial" w:eastAsia="Calibri" w:hAnsi="Arial" w:cs="Arial"/>
          <w:sz w:val="22"/>
        </w:rPr>
      </w:pPr>
    </w:p>
    <w:p w14:paraId="3331E62C" w14:textId="03203843" w:rsidR="002117D7" w:rsidRPr="00606E0A" w:rsidRDefault="00A83C68" w:rsidP="00A83C68">
      <w:pPr>
        <w:ind w:left="709" w:right="709"/>
        <w:jc w:val="both"/>
        <w:rPr>
          <w:rFonts w:ascii="Arial" w:eastAsia="Calibri" w:hAnsi="Arial" w:cs="Arial"/>
          <w:sz w:val="21"/>
          <w:szCs w:val="21"/>
        </w:rPr>
      </w:pPr>
      <w:r w:rsidRPr="00606E0A">
        <w:rPr>
          <w:rFonts w:ascii="Arial" w:eastAsia="Calibri" w:hAnsi="Arial" w:cs="Arial"/>
          <w:sz w:val="21"/>
          <w:szCs w:val="21"/>
        </w:rPr>
        <w:t>[…]</w:t>
      </w:r>
      <w:r w:rsidR="00715395" w:rsidRPr="00606E0A">
        <w:rPr>
          <w:rFonts w:ascii="Arial" w:eastAsia="Calibri" w:hAnsi="Arial" w:cs="Arial"/>
          <w:sz w:val="21"/>
          <w:szCs w:val="21"/>
        </w:rPr>
        <w:t xml:space="preserve"> la obligatoriedad de publicar las actuaciones contractuales de las entidades no está sujeta a la ejecución de recursos públicos, por ende, las entidades deben publicar los documentos relacionados con sus procedimientos contractuales, que según el artículo 2.2.1.1.1.3.1. del Decreto 1082 de 2015, incluyen el </w:t>
      </w:r>
      <w:r w:rsidR="00715395" w:rsidRPr="00606E0A">
        <w:rPr>
          <w:rFonts w:ascii="Arial" w:eastAsia="Calibri" w:hAnsi="Arial" w:cs="Arial"/>
          <w:sz w:val="21"/>
          <w:szCs w:val="21"/>
        </w:rPr>
        <w:lastRenderedPageBreak/>
        <w:t>contrato y cualquier otro documento expedido por la entidad en el desarrollo de esa actividad</w:t>
      </w:r>
      <w:r w:rsidRPr="00606E0A">
        <w:rPr>
          <w:rStyle w:val="Refdenotaalpie"/>
          <w:rFonts w:ascii="Arial" w:eastAsia="Calibri" w:hAnsi="Arial" w:cs="Arial"/>
          <w:sz w:val="21"/>
          <w:szCs w:val="21"/>
        </w:rPr>
        <w:footnoteReference w:id="17"/>
      </w:r>
      <w:r w:rsidR="00715395" w:rsidRPr="00606E0A">
        <w:rPr>
          <w:rFonts w:ascii="Arial" w:eastAsia="Calibri" w:hAnsi="Arial" w:cs="Arial"/>
          <w:sz w:val="21"/>
          <w:szCs w:val="21"/>
        </w:rPr>
        <w:t>.</w:t>
      </w:r>
    </w:p>
    <w:p w14:paraId="739FBA1E" w14:textId="51B41958" w:rsidR="002117D7" w:rsidRPr="00606E0A" w:rsidRDefault="002117D7" w:rsidP="003D71AC">
      <w:pPr>
        <w:spacing w:line="276" w:lineRule="auto"/>
        <w:ind w:left="708" w:right="680"/>
        <w:jc w:val="both"/>
        <w:rPr>
          <w:rFonts w:ascii="Arial" w:eastAsia="Calibri" w:hAnsi="Arial" w:cs="Arial"/>
          <w:sz w:val="21"/>
          <w:szCs w:val="21"/>
        </w:rPr>
      </w:pPr>
    </w:p>
    <w:p w14:paraId="075CF52D" w14:textId="468C4E7D" w:rsidR="00A259FF" w:rsidRPr="00606E0A" w:rsidRDefault="00A259FF" w:rsidP="00A259FF">
      <w:pPr>
        <w:spacing w:after="120" w:line="276" w:lineRule="auto"/>
        <w:ind w:firstLine="709"/>
        <w:jc w:val="both"/>
        <w:rPr>
          <w:rFonts w:ascii="Arial" w:eastAsia="Calibri" w:hAnsi="Arial" w:cs="Arial"/>
          <w:sz w:val="22"/>
        </w:rPr>
      </w:pPr>
      <w:r w:rsidRPr="00606E0A">
        <w:rPr>
          <w:rFonts w:ascii="Arial" w:eastAsia="Calibri" w:hAnsi="Arial" w:cs="Arial"/>
          <w:sz w:val="22"/>
        </w:rPr>
        <w:t>Debe precisarse que la calidad de contrato estatal obedece a un criterio eminentemente orgánico</w:t>
      </w:r>
      <w:r w:rsidR="0058027D" w:rsidRPr="00606E0A">
        <w:rPr>
          <w:rStyle w:val="Refdenotaalpie"/>
          <w:rFonts w:ascii="Arial" w:eastAsia="Calibri" w:hAnsi="Arial" w:cs="Arial"/>
          <w:sz w:val="22"/>
        </w:rPr>
        <w:footnoteReference w:id="18"/>
      </w:r>
      <w:r w:rsidRPr="00606E0A">
        <w:rPr>
          <w:rFonts w:ascii="Arial" w:eastAsia="Calibri" w:hAnsi="Arial" w:cs="Arial"/>
          <w:sz w:val="22"/>
        </w:rPr>
        <w:t xml:space="preserve">, por lo que son todos aquellos celebrados por alguna de entidad estatal, de las cuales, las enlistadas en el artículo 2 de la Ley 80 de 1993, están obligadas a aplicar las normas contenidas en dicha ley. No obstante, la Ley 80 de 1993, la Ley 1150 de 1993 y su reglamentación, no constituyen un conjunto de normas que por </w:t>
      </w:r>
      <w:r w:rsidR="007976A9" w:rsidRPr="00606E0A">
        <w:rPr>
          <w:rFonts w:ascii="Arial" w:eastAsia="Calibri" w:hAnsi="Arial" w:cs="Arial"/>
          <w:sz w:val="22"/>
        </w:rPr>
        <w:t>sí</w:t>
      </w:r>
      <w:r w:rsidRPr="00606E0A">
        <w:rPr>
          <w:rFonts w:ascii="Arial" w:eastAsia="Calibri" w:hAnsi="Arial" w:cs="Arial"/>
          <w:sz w:val="22"/>
        </w:rPr>
        <w:t xml:space="preserve"> solas gobiernen el grueso de las relaciones contractuales de las entidades estatales</w:t>
      </w:r>
      <w:r w:rsidR="005B315A">
        <w:rPr>
          <w:rFonts w:ascii="Arial" w:eastAsia="Calibri" w:hAnsi="Arial" w:cs="Arial"/>
          <w:sz w:val="22"/>
        </w:rPr>
        <w:t xml:space="preserve"> </w:t>
      </w:r>
      <w:r w:rsidRPr="00606E0A">
        <w:rPr>
          <w:rFonts w:ascii="Arial" w:eastAsia="Calibri" w:hAnsi="Arial" w:cs="Arial"/>
          <w:sz w:val="22"/>
        </w:rPr>
        <w:t xml:space="preserve">–de acuerdo con el artículo 2 </w:t>
      </w:r>
      <w:r w:rsidRPr="00606E0A">
        <w:rPr>
          <w:rFonts w:ascii="Arial" w:eastAsia="Calibri" w:hAnsi="Arial" w:cs="Arial"/>
          <w:i/>
          <w:iCs/>
          <w:sz w:val="22"/>
        </w:rPr>
        <w:t>Ibídem</w:t>
      </w:r>
      <w:r w:rsidRPr="00606E0A">
        <w:rPr>
          <w:rFonts w:ascii="Arial" w:eastAsia="Calibri" w:hAnsi="Arial" w:cs="Arial"/>
          <w:sz w:val="22"/>
        </w:rPr>
        <w:t>–</w:t>
      </w:r>
      <w:r w:rsidR="00982D3C">
        <w:rPr>
          <w:rFonts w:ascii="Arial" w:eastAsia="Calibri" w:hAnsi="Arial" w:cs="Arial"/>
          <w:sz w:val="22"/>
        </w:rPr>
        <w:t>. Por el contrario, c</w:t>
      </w:r>
      <w:r w:rsidRPr="00606E0A">
        <w:rPr>
          <w:rFonts w:ascii="Arial" w:eastAsia="Calibri" w:hAnsi="Arial" w:cs="Arial"/>
          <w:sz w:val="22"/>
        </w:rPr>
        <w:t xml:space="preserve">onstituyen </w:t>
      </w:r>
      <w:r w:rsidR="00982D3C">
        <w:rPr>
          <w:rFonts w:ascii="Arial" w:eastAsia="Calibri" w:hAnsi="Arial" w:cs="Arial"/>
          <w:sz w:val="22"/>
        </w:rPr>
        <w:t xml:space="preserve">una </w:t>
      </w:r>
      <w:r w:rsidRPr="00606E0A">
        <w:rPr>
          <w:rFonts w:ascii="Arial" w:eastAsia="Calibri" w:hAnsi="Arial" w:cs="Arial"/>
          <w:sz w:val="22"/>
        </w:rPr>
        <w:t>serie de reglas y principios que deben aplicarse de manera prevalente en los contratos que celebren dichos entes, pero que deben complementarse con el derecho privado, –tal como se desprende de los artículos 13 y 40 de la Ley 80 de 1993</w:t>
      </w:r>
      <w:r w:rsidR="007976A9" w:rsidRPr="00606E0A">
        <w:rPr>
          <w:rStyle w:val="Refdenotaalpie"/>
          <w:rFonts w:ascii="Arial" w:eastAsia="Calibri" w:hAnsi="Arial" w:cs="Arial"/>
          <w:sz w:val="22"/>
        </w:rPr>
        <w:footnoteReference w:id="19"/>
      </w:r>
      <w:r w:rsidRPr="00606E0A">
        <w:rPr>
          <w:rFonts w:ascii="Arial" w:eastAsia="Calibri" w:hAnsi="Arial" w:cs="Arial"/>
          <w:sz w:val="22"/>
        </w:rPr>
        <w:t>– ámbito jurídico del que surgen la gran mayoría de tipologías contractuales celebradas por las entidades públicas.</w:t>
      </w:r>
    </w:p>
    <w:p w14:paraId="09C2C49A" w14:textId="0FABE196" w:rsidR="00A259FF" w:rsidRPr="00606E0A" w:rsidRDefault="00A259FF" w:rsidP="00A259FF">
      <w:pPr>
        <w:spacing w:after="120" w:line="276" w:lineRule="auto"/>
        <w:ind w:firstLine="709"/>
        <w:jc w:val="both"/>
        <w:rPr>
          <w:rFonts w:ascii="Arial" w:eastAsia="Calibri" w:hAnsi="Arial" w:cs="Arial"/>
          <w:sz w:val="22"/>
        </w:rPr>
      </w:pPr>
      <w:r w:rsidRPr="00606E0A">
        <w:rPr>
          <w:rFonts w:ascii="Arial" w:eastAsia="Calibri" w:hAnsi="Arial" w:cs="Arial"/>
          <w:sz w:val="22"/>
        </w:rPr>
        <w:t xml:space="preserve">De acuerdo con esto, las 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w:t>
      </w:r>
      <w:r w:rsidR="00CE667F">
        <w:rPr>
          <w:rFonts w:ascii="Arial" w:eastAsia="Calibri" w:hAnsi="Arial" w:cs="Arial"/>
          <w:sz w:val="22"/>
        </w:rPr>
        <w:t xml:space="preserve">en su </w:t>
      </w:r>
      <w:r w:rsidRPr="00606E0A">
        <w:rPr>
          <w:rFonts w:ascii="Arial" w:eastAsia="Calibri" w:hAnsi="Arial" w:cs="Arial"/>
          <w:sz w:val="22"/>
        </w:rPr>
        <w:t>mayor</w:t>
      </w:r>
      <w:r w:rsidR="00CE667F">
        <w:rPr>
          <w:rFonts w:ascii="Arial" w:eastAsia="Calibri" w:hAnsi="Arial" w:cs="Arial"/>
          <w:sz w:val="22"/>
        </w:rPr>
        <w:t>ía</w:t>
      </w:r>
      <w:r w:rsidRPr="00606E0A">
        <w:rPr>
          <w:rFonts w:ascii="Arial" w:eastAsia="Calibri" w:hAnsi="Arial" w:cs="Arial"/>
          <w:sz w:val="22"/>
        </w:rPr>
        <w:t xml:space="preserve"> </w:t>
      </w:r>
      <w:r w:rsidRPr="00606E0A">
        <w:rPr>
          <w:rFonts w:ascii="Arial" w:eastAsia="Calibri" w:hAnsi="Arial" w:cs="Arial"/>
          <w:sz w:val="22"/>
        </w:rPr>
        <w:lastRenderedPageBreak/>
        <w:t xml:space="preserve">normas de derecho privado, lo que de ninguna manera desvirtúa la calidad de estatal de dichos contratos. </w:t>
      </w:r>
    </w:p>
    <w:p w14:paraId="053D15F8" w14:textId="0DEF59AD" w:rsidR="002117D7" w:rsidRPr="00606E0A" w:rsidRDefault="00A259FF" w:rsidP="005F03EB">
      <w:pPr>
        <w:spacing w:line="276" w:lineRule="auto"/>
        <w:ind w:firstLine="709"/>
        <w:jc w:val="both"/>
        <w:rPr>
          <w:rFonts w:ascii="Arial" w:eastAsia="Calibri" w:hAnsi="Arial" w:cs="Arial"/>
          <w:sz w:val="22"/>
        </w:rPr>
      </w:pPr>
      <w:r w:rsidRPr="00606E0A">
        <w:rPr>
          <w:rFonts w:ascii="Arial" w:eastAsia="Calibri" w:hAnsi="Arial" w:cs="Arial"/>
          <w:sz w:val="22"/>
        </w:rPr>
        <w:t xml:space="preserve">Dicha calidad de contrato estatal tampoco depende de que la relación contractual implique o no la erogación de recursos públicos, ya que, se </w:t>
      </w:r>
      <w:r w:rsidR="00AA71EF">
        <w:rPr>
          <w:rFonts w:ascii="Arial" w:eastAsia="Calibri" w:hAnsi="Arial" w:cs="Arial"/>
          <w:sz w:val="22"/>
        </w:rPr>
        <w:t>re</w:t>
      </w:r>
      <w:r w:rsidRPr="00606E0A">
        <w:rPr>
          <w:rFonts w:ascii="Arial" w:eastAsia="Calibri" w:hAnsi="Arial" w:cs="Arial"/>
          <w:sz w:val="22"/>
        </w:rPr>
        <w:t xml:space="preserv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En razón a dicho interés, el legislador </w:t>
      </w:r>
      <w:r w:rsidR="00AA71EF">
        <w:rPr>
          <w:rFonts w:ascii="Arial" w:eastAsia="Calibri" w:hAnsi="Arial" w:cs="Arial"/>
          <w:sz w:val="22"/>
        </w:rPr>
        <w:t xml:space="preserve">mediante </w:t>
      </w:r>
      <w:r w:rsidRPr="00606E0A">
        <w:rPr>
          <w:rFonts w:ascii="Arial" w:eastAsia="Calibri" w:hAnsi="Arial" w:cs="Arial"/>
          <w:sz w:val="22"/>
        </w:rPr>
        <w:t>el artículo 3 de la Ley 1150 de 2007 y la normativa de la transparencia y el acceso a la información pública, materializa los principios de publicidad y transparencia en el ámbito de la contratación estatal, estableciendo el SECOP como medio de publicidad principal de las actuaciones contractuales públicas</w:t>
      </w:r>
      <w:r w:rsidR="00C913D9" w:rsidRPr="00606E0A">
        <w:rPr>
          <w:rFonts w:ascii="Arial" w:eastAsia="Calibri" w:hAnsi="Arial" w:cs="Arial"/>
          <w:sz w:val="22"/>
        </w:rPr>
        <w:t>.</w:t>
      </w:r>
      <w:r w:rsidRPr="00606E0A">
        <w:rPr>
          <w:rFonts w:ascii="Arial" w:eastAsia="Calibri" w:hAnsi="Arial" w:cs="Arial"/>
          <w:sz w:val="22"/>
        </w:rPr>
        <w:t xml:space="preserve"> </w:t>
      </w:r>
    </w:p>
    <w:p w14:paraId="6B4CEA48" w14:textId="77777777" w:rsidR="005F03EB" w:rsidRPr="00606E0A" w:rsidRDefault="005F03EB" w:rsidP="005F03EB">
      <w:pPr>
        <w:spacing w:line="276" w:lineRule="auto"/>
        <w:jc w:val="both"/>
        <w:rPr>
          <w:rFonts w:ascii="Arial" w:eastAsia="Calibri" w:hAnsi="Arial" w:cs="Arial"/>
          <w:b/>
          <w:bCs/>
          <w:sz w:val="21"/>
          <w:szCs w:val="21"/>
        </w:rPr>
      </w:pPr>
    </w:p>
    <w:p w14:paraId="200F9167" w14:textId="616C1461" w:rsidR="00431061" w:rsidRPr="00606E0A" w:rsidRDefault="0029097B" w:rsidP="004434A8">
      <w:pPr>
        <w:spacing w:line="276" w:lineRule="auto"/>
        <w:jc w:val="both"/>
        <w:rPr>
          <w:rFonts w:ascii="Arial" w:eastAsia="Calibri" w:hAnsi="Arial" w:cs="Arial"/>
          <w:b/>
          <w:sz w:val="22"/>
        </w:rPr>
      </w:pPr>
      <w:r w:rsidRPr="00606E0A">
        <w:rPr>
          <w:rFonts w:ascii="Arial" w:eastAsia="Calibri" w:hAnsi="Arial" w:cs="Arial"/>
          <w:b/>
          <w:sz w:val="22"/>
        </w:rPr>
        <w:t xml:space="preserve">3. </w:t>
      </w:r>
      <w:r w:rsidR="00431061" w:rsidRPr="00606E0A">
        <w:rPr>
          <w:rFonts w:ascii="Arial" w:eastAsia="Calibri" w:hAnsi="Arial" w:cs="Arial"/>
          <w:b/>
          <w:sz w:val="22"/>
        </w:rPr>
        <w:t>Respuesta</w:t>
      </w:r>
    </w:p>
    <w:p w14:paraId="1049DBA9" w14:textId="6A047C97" w:rsidR="00431061" w:rsidRDefault="00431061" w:rsidP="004434A8">
      <w:pPr>
        <w:spacing w:line="276" w:lineRule="auto"/>
        <w:jc w:val="both"/>
        <w:rPr>
          <w:rFonts w:ascii="Arial" w:eastAsia="Calibri" w:hAnsi="Arial" w:cs="Arial"/>
          <w:sz w:val="22"/>
          <w:highlight w:val="yellow"/>
        </w:rPr>
      </w:pPr>
    </w:p>
    <w:p w14:paraId="0F6503B0" w14:textId="77777777" w:rsidR="00D31EFF" w:rsidRPr="009800B1" w:rsidRDefault="00D31EFF" w:rsidP="009800B1">
      <w:pPr>
        <w:spacing w:after="120"/>
        <w:ind w:left="709" w:right="709"/>
        <w:jc w:val="both"/>
        <w:rPr>
          <w:rFonts w:ascii="Arial" w:eastAsia="Calibri" w:hAnsi="Arial" w:cs="Arial"/>
          <w:sz w:val="21"/>
          <w:szCs w:val="21"/>
        </w:rPr>
      </w:pPr>
      <w:r w:rsidRPr="009800B1">
        <w:rPr>
          <w:rFonts w:ascii="Arial" w:eastAsia="Calibri" w:hAnsi="Arial" w:cs="Arial"/>
          <w:sz w:val="21"/>
          <w:szCs w:val="21"/>
        </w:rPr>
        <w:t>i) «[…] Siendo que el contrato de comodato es civil, esencialmente gratuito y lo por tanto no compromete recursos públicos ni bienes públicos porque no salen del patrimonio de la entidad estatal, ni tiene como objeto contractual la adquisición de bienes o la contratación de servicios, ¿cuál es el fundamento legal, en cumplimiento del requisito de publicidad, para que la plataforma exija su publicación como condición para su eficacia y ejecución en lugar de publicar en la página web de la entidad territorial?».</w:t>
      </w:r>
    </w:p>
    <w:p w14:paraId="314B22FF" w14:textId="77777777" w:rsidR="00D31EFF" w:rsidRPr="009800B1" w:rsidRDefault="00D31EFF" w:rsidP="009800B1">
      <w:pPr>
        <w:spacing w:after="120"/>
        <w:ind w:left="709" w:right="709"/>
        <w:jc w:val="both"/>
        <w:rPr>
          <w:rFonts w:ascii="Arial" w:eastAsia="Calibri" w:hAnsi="Arial" w:cs="Arial"/>
          <w:sz w:val="21"/>
          <w:szCs w:val="21"/>
        </w:rPr>
      </w:pPr>
      <w:proofErr w:type="spellStart"/>
      <w:r w:rsidRPr="009800B1">
        <w:rPr>
          <w:rFonts w:ascii="Arial" w:eastAsia="Calibri" w:hAnsi="Arial" w:cs="Arial"/>
          <w:sz w:val="21"/>
          <w:szCs w:val="21"/>
        </w:rPr>
        <w:t>ii</w:t>
      </w:r>
      <w:proofErr w:type="spellEnd"/>
      <w:r w:rsidRPr="009800B1">
        <w:rPr>
          <w:rFonts w:ascii="Arial" w:eastAsia="Calibri" w:hAnsi="Arial" w:cs="Arial"/>
          <w:sz w:val="21"/>
          <w:szCs w:val="21"/>
        </w:rPr>
        <w:t>) «Siendo que el contrato de arrendamiento es propio del derecho privado, bilateral, conmutativo y de tracto sucesivo, que no compromete recursos ni bienes públicos porque no salen del patrimonio de la entidad estatal, ni tiene como objeto contractual la adquisición de bienes o la contratación de servicios, ¿cuál es el fundamento legal, en cumplimiento del requisito de publicidad, para que la plataforma exija su publicación como condición para su eficacia y ejecución en lugar de publicar en la página web de la entidad territorial?».</w:t>
      </w:r>
    </w:p>
    <w:p w14:paraId="492CAF01" w14:textId="2A8A62FC" w:rsidR="00D31EFF" w:rsidRPr="009800B1" w:rsidRDefault="00D31EFF" w:rsidP="009800B1">
      <w:pPr>
        <w:ind w:left="709" w:right="709"/>
        <w:jc w:val="both"/>
        <w:rPr>
          <w:rFonts w:ascii="Arial" w:eastAsia="Calibri" w:hAnsi="Arial" w:cs="Arial"/>
          <w:sz w:val="21"/>
          <w:szCs w:val="21"/>
          <w:highlight w:val="yellow"/>
        </w:rPr>
      </w:pPr>
      <w:proofErr w:type="spellStart"/>
      <w:r w:rsidRPr="009800B1">
        <w:rPr>
          <w:rFonts w:ascii="Arial" w:eastAsia="Calibri" w:hAnsi="Arial" w:cs="Arial"/>
          <w:sz w:val="21"/>
          <w:szCs w:val="21"/>
        </w:rPr>
        <w:t>iii</w:t>
      </w:r>
      <w:proofErr w:type="spellEnd"/>
      <w:r w:rsidRPr="009800B1">
        <w:rPr>
          <w:rFonts w:ascii="Arial" w:eastAsia="Calibri" w:hAnsi="Arial" w:cs="Arial"/>
          <w:sz w:val="21"/>
          <w:szCs w:val="21"/>
        </w:rPr>
        <w:t>) «Siendo el contrato de administración un contrato civil atípico, de colaboración, derivado del contrato de mandato, propio del derecho privado, bilateral, conmutativo, de tracto sucesivo, en el que el contratista puede contratar a nombre propio sin que obligue al contratante, que no compromete recursos públicos ni estos quedan por fuera del patrimonio de la entidad estatal, ni tiene como objeto contractual la adquisición de bienes o la contratación de servicios, ¿cuál es el fundamento legal, en cumplimiento del requisito de publicidad, para que la plataforma exija su publicación como condición para su eficacia y ejecución en lugar de publicar en la página web de la entidad territorial? […]».</w:t>
      </w:r>
    </w:p>
    <w:p w14:paraId="043E6DBC" w14:textId="77777777" w:rsidR="00D31EFF" w:rsidRPr="00606E0A" w:rsidRDefault="00D31EFF" w:rsidP="004434A8">
      <w:pPr>
        <w:spacing w:line="276" w:lineRule="auto"/>
        <w:jc w:val="both"/>
        <w:rPr>
          <w:rFonts w:ascii="Arial" w:eastAsia="Calibri" w:hAnsi="Arial" w:cs="Arial"/>
          <w:sz w:val="22"/>
          <w:highlight w:val="yellow"/>
        </w:rPr>
      </w:pPr>
    </w:p>
    <w:p w14:paraId="11E1D41C" w14:textId="3AEE8107" w:rsidR="004874BE" w:rsidRPr="00606E0A" w:rsidRDefault="003C16AC" w:rsidP="009942D4">
      <w:pPr>
        <w:spacing w:after="120" w:line="276" w:lineRule="auto"/>
        <w:jc w:val="both"/>
        <w:rPr>
          <w:rFonts w:ascii="Arial" w:eastAsia="Calibri" w:hAnsi="Arial" w:cs="Arial"/>
          <w:sz w:val="22"/>
        </w:rPr>
      </w:pPr>
      <w:r w:rsidRPr="00606E0A">
        <w:rPr>
          <w:rFonts w:ascii="Arial" w:eastAsia="Calibri" w:hAnsi="Arial" w:cs="Arial"/>
          <w:sz w:val="22"/>
        </w:rPr>
        <w:t>El f</w:t>
      </w:r>
      <w:r w:rsidR="00686383" w:rsidRPr="00606E0A">
        <w:rPr>
          <w:rFonts w:ascii="Arial" w:eastAsia="Calibri" w:hAnsi="Arial" w:cs="Arial"/>
          <w:sz w:val="22"/>
        </w:rPr>
        <w:t xml:space="preserve">undamento jurídico de la obligación de </w:t>
      </w:r>
      <w:r w:rsidR="00623010" w:rsidRPr="00606E0A">
        <w:rPr>
          <w:rFonts w:ascii="Arial" w:eastAsia="Calibri" w:hAnsi="Arial" w:cs="Arial"/>
          <w:sz w:val="22"/>
        </w:rPr>
        <w:t>publicar</w:t>
      </w:r>
      <w:r w:rsidR="00686383" w:rsidRPr="00606E0A">
        <w:rPr>
          <w:rFonts w:ascii="Arial" w:eastAsia="Calibri" w:hAnsi="Arial" w:cs="Arial"/>
          <w:sz w:val="22"/>
        </w:rPr>
        <w:t xml:space="preserve"> </w:t>
      </w:r>
      <w:r w:rsidR="009C2765" w:rsidRPr="00606E0A">
        <w:rPr>
          <w:rFonts w:ascii="Arial" w:eastAsia="Calibri" w:hAnsi="Arial" w:cs="Arial"/>
          <w:sz w:val="22"/>
        </w:rPr>
        <w:t xml:space="preserve">en el SECOP las actuaciones contractuales de las entidades estatales, deriva, en primer </w:t>
      </w:r>
      <w:r w:rsidR="00506809" w:rsidRPr="00606E0A">
        <w:rPr>
          <w:rFonts w:ascii="Arial" w:eastAsia="Calibri" w:hAnsi="Arial" w:cs="Arial"/>
          <w:sz w:val="22"/>
        </w:rPr>
        <w:t>lugar,</w:t>
      </w:r>
      <w:r w:rsidR="009C2765" w:rsidRPr="00606E0A">
        <w:rPr>
          <w:rFonts w:ascii="Arial" w:eastAsia="Calibri" w:hAnsi="Arial" w:cs="Arial"/>
          <w:sz w:val="22"/>
        </w:rPr>
        <w:t xml:space="preserve"> del principio de publicidad de la función </w:t>
      </w:r>
      <w:r w:rsidR="00896260" w:rsidRPr="00606E0A">
        <w:rPr>
          <w:rFonts w:ascii="Arial" w:eastAsia="Calibri" w:hAnsi="Arial" w:cs="Arial"/>
          <w:sz w:val="22"/>
        </w:rPr>
        <w:t xml:space="preserve">administrativa </w:t>
      </w:r>
      <w:r w:rsidR="003316CD" w:rsidRPr="00606E0A">
        <w:rPr>
          <w:rFonts w:ascii="Arial" w:eastAsia="Calibri" w:hAnsi="Arial" w:cs="Arial"/>
          <w:sz w:val="22"/>
        </w:rPr>
        <w:t>consagrado en el artículo 209 de la Constitución Política</w:t>
      </w:r>
      <w:r w:rsidR="001678BB" w:rsidRPr="00606E0A">
        <w:rPr>
          <w:rFonts w:ascii="Arial" w:eastAsia="Calibri" w:hAnsi="Arial" w:cs="Arial"/>
          <w:sz w:val="22"/>
        </w:rPr>
        <w:t xml:space="preserve">. </w:t>
      </w:r>
      <w:r w:rsidR="002E173C" w:rsidRPr="00606E0A">
        <w:rPr>
          <w:rFonts w:ascii="Arial" w:eastAsia="Calibri" w:hAnsi="Arial" w:cs="Arial"/>
          <w:sz w:val="22"/>
        </w:rPr>
        <w:t xml:space="preserve">Dicho </w:t>
      </w:r>
      <w:r w:rsidR="002E173C" w:rsidRPr="00606E0A">
        <w:rPr>
          <w:rFonts w:ascii="Arial" w:eastAsia="Calibri" w:hAnsi="Arial" w:cs="Arial"/>
          <w:sz w:val="22"/>
        </w:rPr>
        <w:lastRenderedPageBreak/>
        <w:t>principio fue desarrollado por el legislado</w:t>
      </w:r>
      <w:r w:rsidR="000C67D9" w:rsidRPr="00606E0A">
        <w:rPr>
          <w:rFonts w:ascii="Arial" w:eastAsia="Calibri" w:hAnsi="Arial" w:cs="Arial"/>
          <w:sz w:val="22"/>
        </w:rPr>
        <w:t>r</w:t>
      </w:r>
      <w:r w:rsidR="002E173C" w:rsidRPr="00606E0A">
        <w:rPr>
          <w:rFonts w:ascii="Arial" w:eastAsia="Calibri" w:hAnsi="Arial" w:cs="Arial"/>
          <w:sz w:val="22"/>
        </w:rPr>
        <w:t xml:space="preserve"> en el ámbito de la contratación estatal </w:t>
      </w:r>
      <w:r w:rsidR="002E0BF8">
        <w:rPr>
          <w:rFonts w:ascii="Arial" w:eastAsia="Calibri" w:hAnsi="Arial" w:cs="Arial"/>
          <w:sz w:val="22"/>
        </w:rPr>
        <w:t>mediante</w:t>
      </w:r>
      <w:r w:rsidR="002E173C" w:rsidRPr="00606E0A">
        <w:rPr>
          <w:rFonts w:ascii="Arial" w:eastAsia="Calibri" w:hAnsi="Arial" w:cs="Arial"/>
          <w:sz w:val="22"/>
        </w:rPr>
        <w:t xml:space="preserve"> el </w:t>
      </w:r>
      <w:r w:rsidR="00127437" w:rsidRPr="00606E0A">
        <w:rPr>
          <w:rFonts w:ascii="Arial" w:eastAsia="Calibri" w:hAnsi="Arial" w:cs="Arial"/>
          <w:sz w:val="22"/>
        </w:rPr>
        <w:t xml:space="preserve">artículo 3 de la Ley 1150 de 2007, </w:t>
      </w:r>
      <w:r w:rsidR="00336A0A" w:rsidRPr="00606E0A">
        <w:rPr>
          <w:rFonts w:ascii="Arial" w:eastAsia="Calibri" w:hAnsi="Arial" w:cs="Arial"/>
          <w:sz w:val="22"/>
        </w:rPr>
        <w:t>el artículo 11, literal g de la Ley 1712 de 2014</w:t>
      </w:r>
      <w:r w:rsidR="009942D4" w:rsidRPr="00606E0A">
        <w:rPr>
          <w:rFonts w:ascii="Arial" w:eastAsia="Calibri" w:hAnsi="Arial" w:cs="Arial"/>
          <w:sz w:val="22"/>
        </w:rPr>
        <w:t xml:space="preserve"> y </w:t>
      </w:r>
      <w:r w:rsidR="000C67D9" w:rsidRPr="00606E0A">
        <w:rPr>
          <w:rFonts w:ascii="Arial" w:eastAsia="Calibri" w:hAnsi="Arial" w:cs="Arial"/>
          <w:sz w:val="22"/>
        </w:rPr>
        <w:t xml:space="preserve">su </w:t>
      </w:r>
      <w:r w:rsidR="009942D4" w:rsidRPr="00606E0A">
        <w:rPr>
          <w:rFonts w:ascii="Arial" w:eastAsia="Calibri" w:hAnsi="Arial" w:cs="Arial"/>
          <w:sz w:val="22"/>
        </w:rPr>
        <w:t xml:space="preserve">reglamentación, normas que obligan a que la publicidad de los contratos celebrados por las entidades estatales se realice a través del SECOP. </w:t>
      </w:r>
    </w:p>
    <w:p w14:paraId="2BB0B4E7" w14:textId="327CBA4C" w:rsidR="00CD2C1C" w:rsidRPr="00606E0A" w:rsidRDefault="009942D4" w:rsidP="009800B1">
      <w:pPr>
        <w:spacing w:after="120" w:line="276" w:lineRule="auto"/>
        <w:jc w:val="both"/>
        <w:rPr>
          <w:rFonts w:ascii="Arial" w:eastAsia="Calibri" w:hAnsi="Arial" w:cs="Arial"/>
          <w:sz w:val="22"/>
        </w:rPr>
      </w:pPr>
      <w:r w:rsidRPr="00606E0A">
        <w:rPr>
          <w:rFonts w:ascii="Arial" w:eastAsia="Calibri" w:hAnsi="Arial" w:cs="Arial"/>
          <w:sz w:val="22"/>
        </w:rPr>
        <w:tab/>
      </w:r>
      <w:r w:rsidR="00664AAF" w:rsidRPr="00606E0A">
        <w:rPr>
          <w:rFonts w:ascii="Arial" w:eastAsia="Calibri" w:hAnsi="Arial" w:cs="Arial"/>
          <w:sz w:val="22"/>
        </w:rPr>
        <w:t>Dicha publicidad de los contratos estatales debe realizarse a través de SECOP</w:t>
      </w:r>
      <w:r w:rsidR="00D625C6" w:rsidRPr="00606E0A">
        <w:rPr>
          <w:rFonts w:ascii="Arial" w:eastAsia="Calibri" w:hAnsi="Arial" w:cs="Arial"/>
          <w:sz w:val="22"/>
        </w:rPr>
        <w:t xml:space="preserve">, independientemente del </w:t>
      </w:r>
      <w:r w:rsidR="00C661E3" w:rsidRPr="00606E0A">
        <w:rPr>
          <w:rFonts w:ascii="Arial" w:eastAsia="Calibri" w:hAnsi="Arial" w:cs="Arial"/>
          <w:sz w:val="22"/>
        </w:rPr>
        <w:t xml:space="preserve">régimen aplicable al contrato o que este implique o no la erogación de recursos públicos, </w:t>
      </w:r>
      <w:r w:rsidR="00731006" w:rsidRPr="00606E0A">
        <w:rPr>
          <w:rFonts w:ascii="Arial" w:eastAsia="Calibri" w:hAnsi="Arial" w:cs="Arial"/>
          <w:sz w:val="22"/>
        </w:rPr>
        <w:t xml:space="preserve">comoquiera que las referidas normas no sujetan la obligación de publicar </w:t>
      </w:r>
      <w:r w:rsidR="000D5B29" w:rsidRPr="00606E0A">
        <w:rPr>
          <w:rFonts w:ascii="Arial" w:eastAsia="Calibri" w:hAnsi="Arial" w:cs="Arial"/>
          <w:sz w:val="22"/>
        </w:rPr>
        <w:t xml:space="preserve">en dicha plataforma </w:t>
      </w:r>
      <w:r w:rsidR="00731006" w:rsidRPr="00606E0A">
        <w:rPr>
          <w:rFonts w:ascii="Arial" w:eastAsia="Calibri" w:hAnsi="Arial" w:cs="Arial"/>
          <w:sz w:val="22"/>
        </w:rPr>
        <w:t>a tales condiciones. Esto en la medida en que</w:t>
      </w:r>
      <w:r w:rsidR="000D5B29" w:rsidRPr="00606E0A">
        <w:rPr>
          <w:rFonts w:ascii="Arial" w:eastAsia="Calibri" w:hAnsi="Arial" w:cs="Arial"/>
          <w:sz w:val="22"/>
        </w:rPr>
        <w:t>,</w:t>
      </w:r>
      <w:r w:rsidR="00731006" w:rsidRPr="00606E0A">
        <w:rPr>
          <w:rFonts w:ascii="Arial" w:eastAsia="Calibri" w:hAnsi="Arial" w:cs="Arial"/>
          <w:sz w:val="22"/>
        </w:rPr>
        <w:t xml:space="preserve"> independientemente de que se realice alguna erogación </w:t>
      </w:r>
      <w:r w:rsidR="003D06B1" w:rsidRPr="00606E0A">
        <w:rPr>
          <w:rFonts w:ascii="Arial" w:eastAsia="Calibri" w:hAnsi="Arial" w:cs="Arial"/>
          <w:sz w:val="22"/>
        </w:rPr>
        <w:t>o se apliquen normas de derecho privado, los contratos estatales involucran un interés público</w:t>
      </w:r>
      <w:r w:rsidR="00FA66B7" w:rsidRPr="00606E0A">
        <w:rPr>
          <w:rFonts w:ascii="Arial" w:eastAsia="Calibri" w:hAnsi="Arial" w:cs="Arial"/>
          <w:sz w:val="22"/>
        </w:rPr>
        <w:t xml:space="preserve">, por lo que deben publicarse en el SECOP </w:t>
      </w:r>
      <w:r w:rsidR="00CF451C" w:rsidRPr="00606E0A">
        <w:rPr>
          <w:rFonts w:ascii="Arial" w:eastAsia="Calibri" w:hAnsi="Arial" w:cs="Arial"/>
          <w:sz w:val="22"/>
        </w:rPr>
        <w:t>que fue el mecanismo establecido por el legislador y el reglamento para garantizar que se cumplan los principios de publicidad y transparencia respecto de los estos.</w:t>
      </w:r>
      <w:r w:rsidR="00085B77">
        <w:rPr>
          <w:rFonts w:ascii="Arial" w:eastAsia="Calibri" w:hAnsi="Arial" w:cs="Arial"/>
          <w:sz w:val="22"/>
        </w:rPr>
        <w:t xml:space="preserve"> En consecuencia</w:t>
      </w:r>
      <w:r w:rsidR="00F34A47" w:rsidRPr="00606E0A">
        <w:rPr>
          <w:rFonts w:ascii="Arial" w:eastAsia="Calibri" w:hAnsi="Arial" w:cs="Arial"/>
          <w:sz w:val="22"/>
        </w:rPr>
        <w:t xml:space="preserve">, los contratos de arrendamiento, comodato o administración que tengan como parte a una entidad estatal, deberán publicarse en el SECOP independientemente del régimen </w:t>
      </w:r>
      <w:r w:rsidR="00085B77">
        <w:rPr>
          <w:rFonts w:ascii="Arial" w:eastAsia="Calibri" w:hAnsi="Arial" w:cs="Arial"/>
          <w:sz w:val="22"/>
        </w:rPr>
        <w:t>aplicable</w:t>
      </w:r>
      <w:r w:rsidR="00F34A47" w:rsidRPr="00606E0A">
        <w:rPr>
          <w:rFonts w:ascii="Arial" w:eastAsia="Calibri" w:hAnsi="Arial" w:cs="Arial"/>
          <w:sz w:val="22"/>
        </w:rPr>
        <w:t xml:space="preserve"> </w:t>
      </w:r>
      <w:r w:rsidR="00AF1E26" w:rsidRPr="00606E0A">
        <w:rPr>
          <w:rFonts w:ascii="Arial" w:eastAsia="Calibri" w:hAnsi="Arial" w:cs="Arial"/>
          <w:sz w:val="22"/>
        </w:rPr>
        <w:t>o que impliquen o no erogación de recursos públicos</w:t>
      </w:r>
      <w:r w:rsidR="002052E6" w:rsidRPr="00606E0A">
        <w:rPr>
          <w:rFonts w:ascii="Arial" w:eastAsia="Calibri" w:hAnsi="Arial" w:cs="Arial"/>
          <w:sz w:val="22"/>
        </w:rPr>
        <w:t>.</w:t>
      </w:r>
    </w:p>
    <w:p w14:paraId="4B6D03EC" w14:textId="77777777" w:rsidR="00606E0A" w:rsidRPr="00606E0A" w:rsidRDefault="00606E0A" w:rsidP="00606E0A">
      <w:pPr>
        <w:shd w:val="clear" w:color="auto" w:fill="FFFFFF"/>
        <w:spacing w:line="276" w:lineRule="auto"/>
        <w:jc w:val="both"/>
        <w:rPr>
          <w:rFonts w:ascii="Arial" w:eastAsia="Calibri" w:hAnsi="Arial" w:cs="Arial"/>
          <w:sz w:val="22"/>
        </w:rPr>
      </w:pPr>
    </w:p>
    <w:p w14:paraId="48A95292" w14:textId="40C3516A" w:rsidR="00606E0A" w:rsidRPr="00606E0A" w:rsidRDefault="00A37FB6" w:rsidP="00606E0A">
      <w:pPr>
        <w:shd w:val="clear" w:color="auto" w:fill="FFFFFF"/>
        <w:spacing w:after="120" w:line="276" w:lineRule="auto"/>
        <w:jc w:val="both"/>
        <w:rPr>
          <w:rFonts w:ascii="Arial" w:hAnsi="Arial" w:cs="Arial"/>
          <w:sz w:val="22"/>
          <w:lang w:val="es-ES_tradnl"/>
        </w:rPr>
      </w:pPr>
      <w:r w:rsidRPr="00606E0A">
        <w:rPr>
          <w:rFonts w:ascii="Arial" w:eastAsia="Calibri" w:hAnsi="Arial" w:cs="Arial"/>
          <w:sz w:val="22"/>
        </w:rPr>
        <w:t>Este concepto tiene el alcance previsto en el artículo 28 del Código de Procedimiento Administrativo y de lo Contencioso Administrativo.</w:t>
      </w:r>
    </w:p>
    <w:p w14:paraId="2D87C5DC" w14:textId="54D1B020" w:rsidR="00606E0A" w:rsidRPr="00606E0A" w:rsidRDefault="0023226E" w:rsidP="0023226E">
      <w:pPr>
        <w:pStyle w:val="NormalWeb"/>
        <w:spacing w:before="0" w:beforeAutospacing="0" w:after="0" w:afterAutospacing="0" w:line="276" w:lineRule="auto"/>
        <w:jc w:val="center"/>
        <w:rPr>
          <w:rFonts w:ascii="Arial" w:hAnsi="Arial" w:cs="Arial"/>
          <w:sz w:val="18"/>
          <w:szCs w:val="20"/>
          <w:lang w:val="es-ES_tradnl"/>
        </w:rPr>
      </w:pPr>
      <w:r>
        <w:rPr>
          <w:noProof/>
        </w:rPr>
        <w:drawing>
          <wp:inline distT="0" distB="0" distL="0" distR="0" wp14:anchorId="373CD6C2" wp14:editId="4C55FC98">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047297" cy="905774"/>
                    </a:xfrm>
                    <a:prstGeom prst="rect">
                      <a:avLst/>
                    </a:prstGeom>
                  </pic:spPr>
                </pic:pic>
              </a:graphicData>
            </a:graphic>
          </wp:inline>
        </w:drawing>
      </w:r>
    </w:p>
    <w:p w14:paraId="4CBE62E9" w14:textId="77777777" w:rsidR="00606E0A" w:rsidRPr="00606E0A" w:rsidRDefault="00606E0A" w:rsidP="00606E0A">
      <w:pPr>
        <w:jc w:val="center"/>
        <w:rPr>
          <w:rFonts w:ascii="Arial" w:hAnsi="Arial" w:cs="Arial"/>
          <w:sz w:val="18"/>
          <w:szCs w:val="20"/>
          <w:lang w:val="es-ES_tradnl" w:eastAsia="es-CO"/>
        </w:rPr>
      </w:pPr>
    </w:p>
    <w:p w14:paraId="3EE56441" w14:textId="77777777" w:rsidR="00606E0A" w:rsidRPr="00606E0A" w:rsidRDefault="00606E0A" w:rsidP="00606E0A">
      <w:pPr>
        <w:jc w:val="center"/>
        <w:rPr>
          <w:rFonts w:ascii="Arial" w:hAnsi="Arial" w:cs="Arial"/>
          <w:sz w:val="18"/>
          <w:szCs w:val="20"/>
          <w:lang w:val="es-ES_tradnl" w:eastAsia="es-CO"/>
        </w:rPr>
      </w:pPr>
    </w:p>
    <w:p w14:paraId="0143E2C4" w14:textId="77777777" w:rsidR="00606E0A" w:rsidRPr="00606E0A" w:rsidRDefault="00606E0A" w:rsidP="00606E0A">
      <w:pPr>
        <w:jc w:val="center"/>
        <w:rPr>
          <w:rFonts w:ascii="Arial" w:hAnsi="Arial" w:cs="Arial"/>
          <w:sz w:val="18"/>
          <w:szCs w:val="20"/>
          <w:lang w:val="es-ES_tradnl" w:eastAsia="es-CO"/>
        </w:rPr>
      </w:pPr>
    </w:p>
    <w:p w14:paraId="245F21D1" w14:textId="77777777" w:rsidR="00606E0A" w:rsidRPr="00606E0A" w:rsidRDefault="00606E0A" w:rsidP="00606E0A">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606E0A" w:rsidRPr="00606E0A" w14:paraId="6A086098" w14:textId="77777777" w:rsidTr="00525CE9">
        <w:trPr>
          <w:trHeight w:val="315"/>
        </w:trPr>
        <w:tc>
          <w:tcPr>
            <w:tcW w:w="1044" w:type="dxa"/>
            <w:vAlign w:val="center"/>
          </w:tcPr>
          <w:p w14:paraId="6E7B28D8"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05DAD9CA"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Alejandro Sarmiento Cantillo</w:t>
            </w:r>
          </w:p>
          <w:p w14:paraId="37E1BC7A"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Gestor T1-11 de la Subdirección de Gestión Contractual</w:t>
            </w:r>
          </w:p>
        </w:tc>
      </w:tr>
      <w:tr w:rsidR="00606E0A" w:rsidRPr="00606E0A" w14:paraId="43DD2ACD" w14:textId="77777777" w:rsidTr="00525CE9">
        <w:trPr>
          <w:trHeight w:val="330"/>
        </w:trPr>
        <w:tc>
          <w:tcPr>
            <w:tcW w:w="1044" w:type="dxa"/>
            <w:vAlign w:val="center"/>
            <w:hideMark/>
          </w:tcPr>
          <w:p w14:paraId="50A0BEE5" w14:textId="0606CEAF"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C83E4B"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Juan David Montoya Penagos</w:t>
            </w:r>
          </w:p>
          <w:p w14:paraId="3A0A9AB0"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Gestor T1-15 de la Dirección General</w:t>
            </w:r>
          </w:p>
        </w:tc>
      </w:tr>
      <w:tr w:rsidR="00606E0A" w:rsidRPr="00606E0A" w14:paraId="32B72D5E" w14:textId="77777777" w:rsidTr="00525CE9">
        <w:trPr>
          <w:trHeight w:val="300"/>
        </w:trPr>
        <w:tc>
          <w:tcPr>
            <w:tcW w:w="1044" w:type="dxa"/>
            <w:vAlign w:val="center"/>
            <w:hideMark/>
          </w:tcPr>
          <w:p w14:paraId="16BFE4A6"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B3768A" w14:textId="77777777"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Jorge Augusto Tirado Navarro</w:t>
            </w:r>
          </w:p>
          <w:p w14:paraId="31D77BDA" w14:textId="63C77988" w:rsidR="00606E0A" w:rsidRPr="00606E0A" w:rsidRDefault="00606E0A" w:rsidP="00525CE9">
            <w:pPr>
              <w:jc w:val="both"/>
              <w:rPr>
                <w:rFonts w:ascii="Arial" w:hAnsi="Arial" w:cs="Arial"/>
                <w:sz w:val="16"/>
                <w:szCs w:val="16"/>
                <w:lang w:val="es-ES_tradnl" w:eastAsia="es-ES"/>
              </w:rPr>
            </w:pPr>
            <w:r w:rsidRPr="00606E0A">
              <w:rPr>
                <w:rFonts w:ascii="Arial" w:hAnsi="Arial" w:cs="Arial"/>
                <w:sz w:val="16"/>
                <w:szCs w:val="16"/>
                <w:lang w:val="es-ES_tradnl" w:eastAsia="es-ES"/>
              </w:rPr>
              <w:t>Subdirector de Gestión Contractual</w:t>
            </w:r>
            <w:r w:rsidR="00085B77">
              <w:rPr>
                <w:rFonts w:ascii="Arial" w:hAnsi="Arial" w:cs="Arial"/>
                <w:sz w:val="16"/>
                <w:szCs w:val="16"/>
                <w:lang w:val="es-ES_tradnl" w:eastAsia="es-ES"/>
              </w:rPr>
              <w:t xml:space="preserve"> ANCP – CCE</w:t>
            </w:r>
          </w:p>
        </w:tc>
      </w:tr>
    </w:tbl>
    <w:p w14:paraId="7EBF297E" w14:textId="38543A74" w:rsidR="007B0854" w:rsidRPr="00606E0A" w:rsidRDefault="007B0854" w:rsidP="00606E0A">
      <w:pPr>
        <w:spacing w:before="120" w:after="120" w:line="276" w:lineRule="auto"/>
        <w:jc w:val="both"/>
        <w:rPr>
          <w:rFonts w:ascii="Arial" w:eastAsia="Times New Roman" w:hAnsi="Arial" w:cs="Arial"/>
          <w:sz w:val="18"/>
          <w:szCs w:val="18"/>
          <w:lang w:val="es-ES_tradnl" w:eastAsia="es-CO"/>
        </w:rPr>
      </w:pPr>
    </w:p>
    <w:sectPr w:rsidR="007B0854" w:rsidRPr="00606E0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8CEF" w14:textId="77777777" w:rsidR="00F15505" w:rsidRDefault="00F15505">
      <w:r>
        <w:separator/>
      </w:r>
    </w:p>
  </w:endnote>
  <w:endnote w:type="continuationSeparator" w:id="0">
    <w:p w14:paraId="18985E04" w14:textId="77777777" w:rsidR="00F15505" w:rsidRDefault="00F1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6649B1DF"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591E60">
      <w:rPr>
        <w:rFonts w:ascii="Arial" w:hAnsi="Arial" w:cs="Arial"/>
        <w:b/>
        <w:bCs/>
        <w:noProof/>
        <w:color w:val="7F7F7F" w:themeColor="text1" w:themeTint="80"/>
        <w:sz w:val="16"/>
        <w:szCs w:val="16"/>
      </w:rPr>
      <w:t>3</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591E60">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2016903C" w:rsidP="00322937">
    <w:pPr>
      <w:pStyle w:val="Piedepgina"/>
      <w:jc w:val="center"/>
      <w:rPr>
        <w:lang w:val="es-ES"/>
      </w:rPr>
    </w:pPr>
    <w:r>
      <w:rPr>
        <w:noProof/>
      </w:rPr>
      <w:drawing>
        <wp:inline distT="0" distB="0" distL="0" distR="0" wp14:anchorId="608B196D" wp14:editId="2C12003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9F49F" w14:textId="77777777" w:rsidR="00F15505" w:rsidRDefault="00F15505">
      <w:r>
        <w:separator/>
      </w:r>
    </w:p>
  </w:footnote>
  <w:footnote w:type="continuationSeparator" w:id="0">
    <w:p w14:paraId="631D8CAB" w14:textId="77777777" w:rsidR="00F15505" w:rsidRDefault="00F15505">
      <w:r>
        <w:continuationSeparator/>
      </w:r>
    </w:p>
  </w:footnote>
  <w:footnote w:id="1">
    <w:p w14:paraId="39961384" w14:textId="55DB1BCF" w:rsidR="00377B90" w:rsidRPr="00606E0A" w:rsidRDefault="003D12D1" w:rsidP="00606E0A">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w:t>
      </w:r>
      <w:r w:rsidR="00377B90" w:rsidRPr="00606E0A">
        <w:rPr>
          <w:rFonts w:ascii="Arial" w:hAnsi="Arial" w:cs="Arial"/>
          <w:sz w:val="18"/>
          <w:szCs w:val="18"/>
        </w:rPr>
        <w:t>Constitución Política de Colombia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543EDE87" w14:textId="25BAF659" w:rsidR="003D12D1" w:rsidRPr="00606E0A" w:rsidRDefault="00377B90" w:rsidP="00606E0A">
      <w:pPr>
        <w:pStyle w:val="Textonotapie"/>
        <w:ind w:firstLine="708"/>
        <w:jc w:val="both"/>
        <w:rPr>
          <w:rFonts w:ascii="Arial" w:hAnsi="Arial" w:cs="Arial"/>
          <w:sz w:val="18"/>
          <w:szCs w:val="18"/>
        </w:rPr>
      </w:pPr>
      <w:r w:rsidRPr="00606E0A">
        <w:rPr>
          <w:rFonts w:ascii="Arial" w:hAnsi="Arial" w:cs="Arial"/>
          <w:sz w:val="18"/>
          <w:szCs w:val="18"/>
        </w:rPr>
        <w:t>»Las autoridades administrativas deben coordinar sus actuaciones para el adecuado cumplimiento de los fines del Estado. La administración pública, en todos sus órdenes, tendrá un control interno que se ejercerá en los términos que señale la ley».</w:t>
      </w:r>
    </w:p>
  </w:footnote>
  <w:footnote w:id="2">
    <w:p w14:paraId="05E6F045" w14:textId="77777777" w:rsidR="00377B90" w:rsidRPr="00606E0A" w:rsidRDefault="00377B90" w:rsidP="00606E0A">
      <w:pPr>
        <w:pStyle w:val="Textonotapie"/>
        <w:ind w:firstLine="708"/>
        <w:jc w:val="both"/>
        <w:rPr>
          <w:rFonts w:ascii="Arial" w:hAnsi="Arial" w:cs="Arial"/>
          <w:sz w:val="18"/>
          <w:szCs w:val="18"/>
        </w:rPr>
      </w:pPr>
    </w:p>
    <w:p w14:paraId="4A00E137" w14:textId="04F200A9" w:rsidR="00DA39FC" w:rsidRPr="00606E0A" w:rsidRDefault="00DA39FC" w:rsidP="00606E0A">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Para la Corte Constitucional, el principio de publicidad es la garantía que tienen las personas de conocer las actuaciones judiciales y administrativas y con base en ese conocimiento tener la posibilidad de exigir que se surtan conforme a la ley: «El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 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 Corte Constitucional. Sentencia C- 341 del 4 de junio de 2014. M. P. Mauricio González Cuervo.</w:t>
      </w:r>
    </w:p>
    <w:p w14:paraId="53100525" w14:textId="77777777" w:rsidR="004C5B97" w:rsidRPr="00606E0A" w:rsidRDefault="004C5B97" w:rsidP="00606E0A">
      <w:pPr>
        <w:pStyle w:val="Textonotapie"/>
        <w:ind w:firstLine="708"/>
        <w:jc w:val="both"/>
        <w:rPr>
          <w:rFonts w:ascii="Arial" w:hAnsi="Arial" w:cs="Arial"/>
          <w:sz w:val="18"/>
          <w:szCs w:val="18"/>
          <w:lang w:val="es-CO"/>
        </w:rPr>
      </w:pPr>
    </w:p>
  </w:footnote>
  <w:footnote w:id="3">
    <w:p w14:paraId="1ECCD44C"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2F92EDE"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»Lo anterior, sin perjuicio de las publicaciones previstas en el numeral 3 del artículo 30 de la Ley 80 de 1993.</w:t>
      </w:r>
    </w:p>
    <w:p w14:paraId="1C87CA86"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20714249"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p>
    <w:p w14:paraId="3408A890"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»c) Contará con la información oficial de la contratación realizada con dineros públicos, para lo cual establecerá los patrones a que haya lugar y se encargará de su difusión a través de canales electrónico».</w:t>
      </w:r>
    </w:p>
    <w:p w14:paraId="4B375F13" w14:textId="77777777" w:rsidR="00DA39FC" w:rsidRPr="00606E0A" w:rsidRDefault="00DA39FC" w:rsidP="00606E0A">
      <w:pPr>
        <w:pStyle w:val="Textonotapie"/>
        <w:ind w:firstLine="708"/>
        <w:jc w:val="both"/>
        <w:rPr>
          <w:rFonts w:ascii="Arial" w:hAnsi="Arial" w:cs="Arial"/>
          <w:color w:val="000000" w:themeColor="text1"/>
          <w:sz w:val="18"/>
          <w:szCs w:val="18"/>
        </w:rPr>
      </w:pPr>
    </w:p>
  </w:footnote>
  <w:footnote w:id="4">
    <w:p w14:paraId="26472FAD"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3FCB62C" w14:textId="77777777" w:rsidR="00DA39FC" w:rsidRPr="00606E0A" w:rsidRDefault="00DA39FC" w:rsidP="00606E0A">
      <w:pPr>
        <w:pStyle w:val="Textonotapie"/>
        <w:ind w:firstLine="708"/>
        <w:jc w:val="both"/>
        <w:rPr>
          <w:rFonts w:ascii="Arial" w:hAnsi="Arial" w:cs="Arial"/>
          <w:color w:val="000000" w:themeColor="text1"/>
          <w:sz w:val="18"/>
          <w:szCs w:val="18"/>
        </w:rPr>
      </w:pPr>
    </w:p>
  </w:footnote>
  <w:footnote w:id="5">
    <w:p w14:paraId="60E583E8"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600257E3"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4F27BED" w14:textId="77777777" w:rsidR="00DA39FC" w:rsidRPr="00606E0A" w:rsidRDefault="00DA39FC" w:rsidP="00606E0A">
      <w:pPr>
        <w:pStyle w:val="Textonotapie"/>
        <w:ind w:firstLine="708"/>
        <w:jc w:val="both"/>
        <w:rPr>
          <w:rFonts w:ascii="Arial" w:hAnsi="Arial" w:cs="Arial"/>
          <w:color w:val="000000" w:themeColor="text1"/>
          <w:sz w:val="18"/>
          <w:szCs w:val="18"/>
        </w:rPr>
      </w:pPr>
    </w:p>
  </w:footnote>
  <w:footnote w:id="6">
    <w:p w14:paraId="7589127A" w14:textId="77777777" w:rsidR="00DA39FC" w:rsidRPr="00606E0A" w:rsidRDefault="00DA39FC" w:rsidP="00606E0A">
      <w:pPr>
        <w:pStyle w:val="Textonotapie"/>
        <w:ind w:firstLine="709"/>
        <w:jc w:val="both"/>
        <w:rPr>
          <w:rFonts w:ascii="Arial" w:hAnsi="Arial" w:cs="Arial"/>
          <w:color w:val="000000" w:themeColor="text1"/>
          <w:sz w:val="18"/>
          <w:szCs w:val="18"/>
        </w:rPr>
      </w:pPr>
      <w:r w:rsidRPr="00606E0A">
        <w:rPr>
          <w:rFonts w:ascii="Arial" w:hAnsi="Arial" w:cs="Arial"/>
          <w:color w:val="000000" w:themeColor="text1"/>
          <w:sz w:val="18"/>
          <w:szCs w:val="18"/>
          <w:vertAlign w:val="superscript"/>
          <w:lang w:eastAsia="es-ES"/>
        </w:rPr>
        <w:footnoteRef/>
      </w:r>
      <w:r w:rsidRPr="00606E0A">
        <w:rPr>
          <w:rFonts w:ascii="Arial" w:hAnsi="Arial" w:cs="Arial"/>
          <w:color w:val="000000" w:themeColor="text1"/>
          <w:sz w:val="18"/>
          <w:szCs w:val="18"/>
          <w:vertAlign w:val="superscript"/>
          <w:lang w:eastAsia="es-ES"/>
        </w:rPr>
        <w:t xml:space="preserve"> </w:t>
      </w:r>
      <w:r w:rsidRPr="00606E0A">
        <w:rPr>
          <w:rFonts w:ascii="Arial" w:hAnsi="Arial" w:cs="Arial"/>
          <w:color w:val="000000" w:themeColor="text1"/>
          <w:sz w:val="18"/>
          <w:szCs w:val="18"/>
          <w:lang w:eastAsia="es-ES"/>
        </w:rPr>
        <w:t>«</w:t>
      </w:r>
      <w:r w:rsidRPr="00606E0A">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696DB4B" w14:textId="77777777" w:rsidR="00DA39FC" w:rsidRPr="00606E0A" w:rsidRDefault="00DA39FC" w:rsidP="00606E0A">
      <w:pPr>
        <w:pStyle w:val="Textonotapie"/>
        <w:ind w:firstLine="709"/>
        <w:jc w:val="both"/>
        <w:rPr>
          <w:rFonts w:ascii="Arial" w:hAnsi="Arial" w:cs="Arial"/>
          <w:color w:val="000000" w:themeColor="text1"/>
          <w:sz w:val="18"/>
          <w:szCs w:val="18"/>
          <w:lang w:eastAsia="es-ES"/>
        </w:rPr>
      </w:pPr>
      <w:r w:rsidRPr="00606E0A">
        <w:rPr>
          <w:rFonts w:ascii="Arial" w:hAnsi="Arial" w:cs="Arial"/>
          <w:color w:val="000000" w:themeColor="text1"/>
          <w:sz w:val="18"/>
          <w:szCs w:val="18"/>
        </w:rPr>
        <w:t>[…].</w:t>
      </w:r>
    </w:p>
    <w:p w14:paraId="04678139" w14:textId="77777777" w:rsidR="00DA39FC" w:rsidRPr="00606E0A" w:rsidRDefault="00DA39FC" w:rsidP="00606E0A">
      <w:pPr>
        <w:pStyle w:val="Textonotapie"/>
        <w:ind w:firstLine="709"/>
        <w:jc w:val="both"/>
        <w:rPr>
          <w:rFonts w:ascii="Arial" w:hAnsi="Arial" w:cs="Arial"/>
          <w:color w:val="000000" w:themeColor="text1"/>
          <w:sz w:val="18"/>
          <w:szCs w:val="18"/>
          <w:lang w:eastAsia="es-ES"/>
        </w:rPr>
      </w:pPr>
      <w:r w:rsidRPr="00606E0A">
        <w:rPr>
          <w:rFonts w:ascii="Arial" w:hAnsi="Arial" w:cs="Arial"/>
          <w:color w:val="000000" w:themeColor="text1"/>
          <w:sz w:val="18"/>
          <w:szCs w:val="18"/>
          <w:lang w:eastAsia="es-ES"/>
        </w:rPr>
        <w:t>«Los sujetos obligados que contratan con recursos públicos y recursos privados, deben publicar la información de su gestión contractual con cargo a recursos públicos en el Sistema Electrónico para la Contratación Pública [SECOP]».</w:t>
      </w:r>
    </w:p>
    <w:p w14:paraId="11D52B4C" w14:textId="77777777" w:rsidR="00DA39FC" w:rsidRPr="00606E0A" w:rsidRDefault="00DA39FC" w:rsidP="00606E0A">
      <w:pPr>
        <w:pStyle w:val="Textonotapie"/>
        <w:ind w:firstLine="709"/>
        <w:jc w:val="both"/>
        <w:rPr>
          <w:rFonts w:ascii="Arial" w:hAnsi="Arial" w:cs="Arial"/>
          <w:color w:val="000000" w:themeColor="text1"/>
          <w:sz w:val="18"/>
          <w:szCs w:val="18"/>
          <w:lang w:eastAsia="es-ES"/>
        </w:rPr>
      </w:pPr>
    </w:p>
  </w:footnote>
  <w:footnote w:id="7">
    <w:p w14:paraId="39EAAFF1" w14:textId="77777777" w:rsidR="00DA39FC" w:rsidRPr="00606E0A" w:rsidRDefault="00DA39FC" w:rsidP="00606E0A">
      <w:pPr>
        <w:pStyle w:val="Textonotapie"/>
        <w:ind w:firstLine="708"/>
        <w:jc w:val="both"/>
        <w:rPr>
          <w:rFonts w:ascii="Arial" w:hAnsi="Arial" w:cs="Arial"/>
          <w:color w:val="000000" w:themeColor="text1"/>
          <w:sz w:val="18"/>
          <w:szCs w:val="18"/>
          <w:lang w:eastAsia="es-ES"/>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C</w:t>
      </w:r>
      <w:r w:rsidRPr="00606E0A">
        <w:rPr>
          <w:rFonts w:ascii="Arial" w:hAnsi="Arial" w:cs="Arial"/>
          <w:color w:val="000000" w:themeColor="text1"/>
          <w:sz w:val="18"/>
          <w:szCs w:val="18"/>
          <w:lang w:eastAsia="es-ES"/>
        </w:rPr>
        <w:t>orte Constitucional. Sentencia C─274 de 9 de mayo de 2013. M.P. María Victoria Calle Correa.</w:t>
      </w:r>
    </w:p>
    <w:p w14:paraId="7B6C8644"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lang w:eastAsia="es-ES"/>
        </w:rPr>
        <w:t xml:space="preserve"> </w:t>
      </w:r>
    </w:p>
  </w:footnote>
  <w:footnote w:id="8">
    <w:p w14:paraId="0D67D71E" w14:textId="77777777" w:rsidR="00DA39FC" w:rsidRPr="00606E0A" w:rsidRDefault="00DA39FC" w:rsidP="00606E0A">
      <w:pPr>
        <w:pStyle w:val="Textonotapie"/>
        <w:ind w:firstLine="708"/>
        <w:jc w:val="both"/>
        <w:rPr>
          <w:rFonts w:ascii="Arial" w:hAnsi="Arial" w:cs="Arial"/>
          <w:color w:val="000000" w:themeColor="text1"/>
          <w:sz w:val="18"/>
          <w:szCs w:val="18"/>
          <w:lang w:val="es-CO"/>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9">
    <w:p w14:paraId="63B4497A"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Consejo de Estado. Sección Tercera. Subsección C. Auto del 14 de agosto de 2017. Exp. 58.820. C.P. Jaime Orlando Santofimio Gamboa. </w:t>
      </w:r>
    </w:p>
    <w:p w14:paraId="1673B446" w14:textId="77777777" w:rsidR="00DA39FC" w:rsidRPr="00606E0A" w:rsidRDefault="00DA39FC" w:rsidP="00606E0A">
      <w:pPr>
        <w:pStyle w:val="Textonotapie"/>
        <w:ind w:firstLine="708"/>
        <w:jc w:val="both"/>
        <w:rPr>
          <w:rFonts w:ascii="Arial" w:hAnsi="Arial" w:cs="Arial"/>
          <w:color w:val="000000" w:themeColor="text1"/>
          <w:sz w:val="18"/>
          <w:szCs w:val="18"/>
          <w:lang w:val="es-CO"/>
        </w:rPr>
      </w:pPr>
    </w:p>
  </w:footnote>
  <w:footnote w:id="10">
    <w:p w14:paraId="6FD7AAEF" w14:textId="77777777" w:rsidR="00DA39FC" w:rsidRPr="00606E0A" w:rsidRDefault="00DA39FC" w:rsidP="00606E0A">
      <w:pPr>
        <w:pStyle w:val="Textonotapie"/>
        <w:ind w:firstLine="708"/>
        <w:jc w:val="both"/>
        <w:rPr>
          <w:rFonts w:ascii="Arial" w:hAnsi="Arial" w:cs="Arial"/>
          <w:sz w:val="18"/>
          <w:szCs w:val="18"/>
          <w:lang w:val="es-CO"/>
        </w:rPr>
      </w:pPr>
      <w:r w:rsidRPr="00606E0A">
        <w:rPr>
          <w:rStyle w:val="Refdenotaalpie"/>
          <w:rFonts w:ascii="Arial" w:hAnsi="Arial" w:cs="Arial"/>
          <w:sz w:val="18"/>
          <w:szCs w:val="18"/>
        </w:rPr>
        <w:footnoteRef/>
      </w:r>
      <w:r w:rsidRPr="00606E0A">
        <w:rPr>
          <w:rFonts w:ascii="Arial" w:hAnsi="Arial" w:cs="Arial"/>
          <w:sz w:val="18"/>
          <w:szCs w:val="18"/>
        </w:rPr>
        <w:t xml:space="preserve"> </w:t>
      </w:r>
      <w:r w:rsidRPr="00606E0A">
        <w:rPr>
          <w:rFonts w:ascii="Arial" w:hAnsi="Arial" w:cs="Arial"/>
          <w:sz w:val="18"/>
          <w:szCs w:val="18"/>
          <w:lang w:val="es-CO"/>
        </w:rPr>
        <w:t xml:space="preserve">Ley 1712 de 2014 </w:t>
      </w:r>
      <w:r w:rsidRPr="00606E0A">
        <w:rPr>
          <w:rFonts w:ascii="Arial" w:hAnsi="Arial" w:cs="Arial"/>
          <w:sz w:val="18"/>
          <w:szCs w:val="18"/>
        </w:rPr>
        <w:t>«</w:t>
      </w:r>
      <w:r w:rsidRPr="00606E0A">
        <w:rPr>
          <w:rFonts w:ascii="Arial" w:hAnsi="Arial" w:cs="Arial"/>
          <w:sz w:val="18"/>
          <w:szCs w:val="18"/>
          <w:lang w:val="es-CO"/>
        </w:rPr>
        <w:t xml:space="preserve">Artículo 5°. Ámbito de aplicación. Las disposiciones de esta ley serán aplicables a las siguientes personas en calidad de sujetos obligados:  </w:t>
      </w:r>
    </w:p>
    <w:p w14:paraId="3FC573EE"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»a) Toda entidad pública, incluyendo las pertenecientes a todas las Ramas del Poder Público, en todos los niveles de la estructura estatal, central o descentralizada por servicios o territorialmente, en los órdenes nacional, departamental, municipal y distrital.  </w:t>
      </w:r>
    </w:p>
    <w:p w14:paraId="14FD5AE3"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»b) Los órganos, organismos y entidades estatales independientes o autónomos y de control.  </w:t>
      </w:r>
    </w:p>
    <w:p w14:paraId="56947FBE"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»c) Las personas naturales y jurídicas, públicas o privadas, que presten función pública, que presten servicios públicos respecto de la información directamente relacionada con la prestación del servicio público.  </w:t>
      </w:r>
    </w:p>
    <w:p w14:paraId="19F58E97"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»d) Cualquier persona natural, jurídica o dependencia de persona jurídica que desempeñe función pública o de autoridad pública, respecto de la información directamente relacionada con el desempeño de su función.  </w:t>
      </w:r>
    </w:p>
    <w:p w14:paraId="7C6C0647"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»e) Las empresas públicas creadas por ley, las empresas del Estado y sociedades en que este tenga participación.  </w:t>
      </w:r>
    </w:p>
    <w:p w14:paraId="5739C050"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»f) Los partidos o movimientos políticos y los grupos significativos de ciudadanos.  </w:t>
      </w:r>
    </w:p>
    <w:p w14:paraId="5D9393E7"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»g) Las entidades que administren instituciones parafiscales, fondos o recursos de naturaleza u origen público.  </w:t>
      </w:r>
    </w:p>
    <w:p w14:paraId="019DF2C4"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w:t>
      </w:r>
    </w:p>
    <w:p w14:paraId="2377079F" w14:textId="77777777" w:rsidR="00DA39FC" w:rsidRPr="00606E0A" w:rsidRDefault="00DA39FC" w:rsidP="00606E0A">
      <w:pPr>
        <w:pStyle w:val="Textonotapie"/>
        <w:ind w:firstLine="708"/>
        <w:jc w:val="both"/>
        <w:rPr>
          <w:rFonts w:ascii="Arial" w:hAnsi="Arial" w:cs="Arial"/>
          <w:sz w:val="18"/>
          <w:szCs w:val="18"/>
          <w:lang w:val="es-CO"/>
        </w:rPr>
      </w:pPr>
      <w:r w:rsidRPr="00606E0A">
        <w:rPr>
          <w:rFonts w:ascii="Arial" w:hAnsi="Arial" w:cs="Arial"/>
          <w:sz w:val="18"/>
          <w:szCs w:val="18"/>
          <w:lang w:val="es-CO"/>
        </w:rPr>
        <w:t xml:space="preserve">»Parágrafo 1°. No serán sujetos obligados aquellas personas naturales o jurídicas de carácter privado que sean usuarios de información pública». </w:t>
      </w:r>
    </w:p>
    <w:p w14:paraId="286C1E01" w14:textId="77777777" w:rsidR="00DA39FC" w:rsidRPr="00606E0A" w:rsidRDefault="00DA39FC" w:rsidP="00606E0A">
      <w:pPr>
        <w:pStyle w:val="Textonotapie"/>
        <w:ind w:firstLine="708"/>
        <w:jc w:val="both"/>
        <w:rPr>
          <w:rFonts w:ascii="Arial" w:hAnsi="Arial" w:cs="Arial"/>
          <w:sz w:val="18"/>
          <w:szCs w:val="18"/>
          <w:lang w:val="es-CO"/>
        </w:rPr>
      </w:pPr>
    </w:p>
  </w:footnote>
  <w:footnote w:id="11">
    <w:p w14:paraId="56C7D707" w14:textId="6C962E4F" w:rsidR="00DA39FC" w:rsidRPr="00606E0A" w:rsidRDefault="00DA39FC" w:rsidP="00606E0A">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Norma compilada en el Decreto 1081 de 2015. </w:t>
      </w:r>
    </w:p>
    <w:p w14:paraId="587B72D3" w14:textId="77777777" w:rsidR="00AA3B8A" w:rsidRPr="00606E0A" w:rsidRDefault="00AA3B8A" w:rsidP="00606E0A">
      <w:pPr>
        <w:pStyle w:val="Textonotapie"/>
        <w:ind w:firstLine="708"/>
        <w:jc w:val="both"/>
        <w:rPr>
          <w:rFonts w:ascii="Arial" w:hAnsi="Arial" w:cs="Arial"/>
          <w:sz w:val="18"/>
          <w:szCs w:val="18"/>
          <w:lang w:val="es-CO"/>
        </w:rPr>
      </w:pPr>
    </w:p>
  </w:footnote>
  <w:footnote w:id="12">
    <w:p w14:paraId="4B9114C0"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17D5ECCF" w14:textId="77777777" w:rsidR="00DA39FC" w:rsidRPr="00606E0A" w:rsidRDefault="00DA39FC" w:rsidP="00606E0A">
      <w:pPr>
        <w:pStyle w:val="Textonotapie"/>
        <w:ind w:firstLine="708"/>
        <w:jc w:val="both"/>
        <w:rPr>
          <w:rFonts w:ascii="Arial" w:hAnsi="Arial" w:cs="Arial"/>
          <w:color w:val="000000" w:themeColor="text1"/>
          <w:sz w:val="18"/>
          <w:szCs w:val="18"/>
        </w:rPr>
      </w:pPr>
    </w:p>
  </w:footnote>
  <w:footnote w:id="13">
    <w:p w14:paraId="04EA79A0"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24899FC" w14:textId="77777777" w:rsidR="00DA39FC" w:rsidRPr="00606E0A" w:rsidRDefault="00DA39FC" w:rsidP="00606E0A">
      <w:pPr>
        <w:pStyle w:val="Textonotapie"/>
        <w:ind w:firstLine="708"/>
        <w:jc w:val="both"/>
        <w:rPr>
          <w:rFonts w:ascii="Arial" w:hAnsi="Arial" w:cs="Arial"/>
          <w:color w:val="000000" w:themeColor="text1"/>
          <w:sz w:val="18"/>
          <w:szCs w:val="18"/>
        </w:rPr>
      </w:pPr>
    </w:p>
  </w:footnote>
  <w:footnote w:id="14">
    <w:p w14:paraId="26482E7E"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3A2C585D"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»Los sujetos obligados que no contratan con cargo a recursos públicos no están obligados a publicar su Plan Anual de Adquisiciones.</w:t>
      </w:r>
    </w:p>
    <w:p w14:paraId="5246B14A"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7D0C44FD" w14:textId="77777777" w:rsidR="00DA39FC" w:rsidRPr="00606E0A" w:rsidRDefault="00DA39F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p w14:paraId="5ABF8755" w14:textId="77777777" w:rsidR="00DA39FC" w:rsidRPr="00606E0A" w:rsidRDefault="00DA39FC" w:rsidP="00606E0A">
      <w:pPr>
        <w:pStyle w:val="Textonotapie"/>
        <w:ind w:firstLine="708"/>
        <w:jc w:val="both"/>
        <w:rPr>
          <w:rFonts w:ascii="Arial" w:hAnsi="Arial" w:cs="Arial"/>
          <w:color w:val="000000" w:themeColor="text1"/>
          <w:sz w:val="18"/>
          <w:szCs w:val="18"/>
        </w:rPr>
      </w:pPr>
    </w:p>
  </w:footnote>
  <w:footnote w:id="15">
    <w:p w14:paraId="7DDACFEB" w14:textId="05FD7C9F" w:rsidR="00431061" w:rsidRPr="00606E0A" w:rsidRDefault="00431061" w:rsidP="00606E0A">
      <w:pPr>
        <w:pStyle w:val="Textonotapie"/>
        <w:ind w:firstLine="708"/>
        <w:jc w:val="both"/>
        <w:rPr>
          <w:rFonts w:ascii="Arial" w:hAnsi="Arial" w:cs="Arial"/>
          <w:color w:val="000000" w:themeColor="text1"/>
          <w:sz w:val="18"/>
          <w:szCs w:val="18"/>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Ley 1150 de 2007: </w:t>
      </w:r>
      <w:r w:rsidR="00772376" w:rsidRPr="00606E0A">
        <w:rPr>
          <w:rFonts w:ascii="Arial" w:hAnsi="Arial" w:cs="Arial"/>
          <w:color w:val="000000" w:themeColor="text1"/>
          <w:sz w:val="18"/>
          <w:szCs w:val="18"/>
        </w:rPr>
        <w:t>«</w:t>
      </w:r>
      <w:r w:rsidRPr="00606E0A">
        <w:rPr>
          <w:rFonts w:ascii="Arial" w:hAnsi="Arial" w:cs="Arial"/>
          <w:color w:val="000000" w:themeColor="text1"/>
          <w:sz w:val="18"/>
          <w:szCs w:val="18"/>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FA16475" w14:textId="192FEF0B" w:rsidR="00431061" w:rsidRPr="00606E0A" w:rsidRDefault="003D71AC" w:rsidP="00606E0A">
      <w:pPr>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Lo anterior, sin perjuicio de las publicaciones previstas en el numeral 3 del artículo 30 de la Ley 80 de 1993.</w:t>
      </w:r>
    </w:p>
    <w:p w14:paraId="1D97D90A" w14:textId="5EAC9C47" w:rsidR="00431061" w:rsidRPr="00606E0A" w:rsidRDefault="003D71A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Con el fin de materializar los objetivos a que se refiere el inciso anterior, el Gobierno Nacional desarrollará el Sistema Electrónico para la Contratación Pública, Secop, el cual:</w:t>
      </w:r>
    </w:p>
    <w:p w14:paraId="2EB26CFC" w14:textId="4DEEC954" w:rsidR="00431061" w:rsidRPr="00606E0A" w:rsidRDefault="003D71A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a) Dispondrá de las funcionalidades tecnológicas para realizar procesos de contratación electrónicos bajo los métodos de selección señalados en el artículo 2o de la presente ley según lo defina el reglamento;</w:t>
      </w:r>
    </w:p>
    <w:p w14:paraId="72BD14E4" w14:textId="43B96BDF" w:rsidR="00431061" w:rsidRPr="00606E0A" w:rsidRDefault="003D71A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b) Servirá de punto único de ingreso de información y de generación de reportes para las entidades estatales y la ciudadanía;</w:t>
      </w:r>
    </w:p>
    <w:p w14:paraId="5AD7642A" w14:textId="2940BCB0" w:rsidR="00431061" w:rsidRPr="00606E0A" w:rsidRDefault="003D71AC"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c) Contará con la información oficial de la contratación realizada con dineros públicos, para lo cual establecerá los patrones a que haya lugar y se encargará de su difusión a través de canales electrónicos y;</w:t>
      </w:r>
    </w:p>
    <w:p w14:paraId="4D0C0D23" w14:textId="3E199722" w:rsidR="00431061" w:rsidRPr="00606E0A" w:rsidRDefault="001F5BB4" w:rsidP="00606E0A">
      <w:pPr>
        <w:pStyle w:val="Textonotapie"/>
        <w:ind w:firstLine="708"/>
        <w:jc w:val="both"/>
        <w:rPr>
          <w:rFonts w:ascii="Arial" w:hAnsi="Arial" w:cs="Arial"/>
          <w:color w:val="000000" w:themeColor="text1"/>
          <w:sz w:val="18"/>
          <w:szCs w:val="18"/>
        </w:rPr>
      </w:pPr>
      <w:r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 xml:space="preserve">d) Integrará el Registro </w:t>
      </w:r>
      <w:r w:rsidR="00B02B6C" w:rsidRPr="00606E0A">
        <w:rPr>
          <w:rFonts w:ascii="Arial" w:hAnsi="Arial" w:cs="Arial"/>
          <w:color w:val="000000" w:themeColor="text1"/>
          <w:sz w:val="18"/>
          <w:szCs w:val="18"/>
        </w:rPr>
        <w:t>Único</w:t>
      </w:r>
      <w:r w:rsidR="00431061" w:rsidRPr="00606E0A">
        <w:rPr>
          <w:rFonts w:ascii="Arial" w:hAnsi="Arial" w:cs="Arial"/>
          <w:color w:val="000000" w:themeColor="text1"/>
          <w:sz w:val="18"/>
          <w:szCs w:val="18"/>
        </w:rPr>
        <w:t xml:space="preserve"> Empresarial de las Cámaras de Comercio, el Diario </w:t>
      </w:r>
      <w:r w:rsidR="003D71AC" w:rsidRPr="00606E0A">
        <w:rPr>
          <w:rFonts w:ascii="Arial" w:hAnsi="Arial" w:cs="Arial"/>
          <w:color w:val="000000" w:themeColor="text1"/>
          <w:sz w:val="18"/>
          <w:szCs w:val="18"/>
        </w:rPr>
        <w:t>Único</w:t>
      </w:r>
      <w:r w:rsidR="00431061" w:rsidRPr="00606E0A">
        <w:rPr>
          <w:rFonts w:ascii="Arial" w:hAnsi="Arial" w:cs="Arial"/>
          <w:color w:val="000000" w:themeColor="text1"/>
          <w:sz w:val="18"/>
          <w:szCs w:val="18"/>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w:t>
      </w:r>
      <w:r w:rsidR="003D71AC" w:rsidRPr="00606E0A">
        <w:rPr>
          <w:rFonts w:ascii="Arial" w:hAnsi="Arial" w:cs="Arial"/>
          <w:color w:val="000000" w:themeColor="text1"/>
          <w:sz w:val="18"/>
          <w:szCs w:val="18"/>
        </w:rPr>
        <w:t>iscal a la contratación pública</w:t>
      </w:r>
      <w:r w:rsidR="00772376" w:rsidRPr="00606E0A">
        <w:rPr>
          <w:rFonts w:ascii="Arial" w:hAnsi="Arial" w:cs="Arial"/>
          <w:color w:val="000000" w:themeColor="text1"/>
          <w:sz w:val="18"/>
          <w:szCs w:val="18"/>
        </w:rPr>
        <w:t>»</w:t>
      </w:r>
      <w:r w:rsidR="00431061" w:rsidRPr="00606E0A">
        <w:rPr>
          <w:rFonts w:ascii="Arial" w:hAnsi="Arial" w:cs="Arial"/>
          <w:color w:val="000000" w:themeColor="text1"/>
          <w:sz w:val="18"/>
          <w:szCs w:val="18"/>
        </w:rPr>
        <w:t>.</w:t>
      </w:r>
    </w:p>
    <w:p w14:paraId="6260D021" w14:textId="77777777" w:rsidR="00431061" w:rsidRPr="00606E0A" w:rsidRDefault="00431061" w:rsidP="00606E0A">
      <w:pPr>
        <w:pStyle w:val="Textonotapie"/>
        <w:jc w:val="both"/>
        <w:rPr>
          <w:rFonts w:ascii="Arial" w:hAnsi="Arial" w:cs="Arial"/>
          <w:color w:val="000000" w:themeColor="text1"/>
          <w:sz w:val="18"/>
          <w:szCs w:val="18"/>
        </w:rPr>
      </w:pPr>
    </w:p>
  </w:footnote>
  <w:footnote w:id="16">
    <w:p w14:paraId="7969AF7A" w14:textId="78C708CC" w:rsidR="007976A9" w:rsidRPr="00606E0A" w:rsidRDefault="007976A9" w:rsidP="00606E0A">
      <w:pPr>
        <w:pStyle w:val="Textonotapie"/>
        <w:ind w:firstLine="708"/>
        <w:jc w:val="both"/>
        <w:rPr>
          <w:rFonts w:ascii="Arial" w:hAnsi="Arial" w:cs="Arial"/>
          <w:color w:val="000000" w:themeColor="text1"/>
          <w:sz w:val="18"/>
          <w:szCs w:val="18"/>
          <w:lang w:val="es-CO"/>
        </w:rPr>
      </w:pPr>
      <w:r w:rsidRPr="00606E0A">
        <w:rPr>
          <w:rStyle w:val="Refdenotaalpie"/>
          <w:rFonts w:ascii="Arial" w:hAnsi="Arial" w:cs="Arial"/>
          <w:color w:val="000000" w:themeColor="text1"/>
          <w:sz w:val="18"/>
          <w:szCs w:val="18"/>
        </w:rPr>
        <w:footnoteRef/>
      </w:r>
      <w:r w:rsidRPr="00606E0A">
        <w:rPr>
          <w:rFonts w:ascii="Arial" w:hAnsi="Arial" w:cs="Arial"/>
          <w:color w:val="000000" w:themeColor="text1"/>
          <w:sz w:val="18"/>
          <w:szCs w:val="18"/>
        </w:rPr>
        <w:t xml:space="preserve"> Corte Constitucional. </w:t>
      </w:r>
      <w:r w:rsidRPr="00606E0A">
        <w:rPr>
          <w:rFonts w:ascii="Arial" w:hAnsi="Arial" w:cs="Arial"/>
          <w:color w:val="000000" w:themeColor="text1"/>
          <w:sz w:val="18"/>
          <w:szCs w:val="18"/>
          <w:lang w:val="es-CO"/>
        </w:rPr>
        <w:t xml:space="preserve">Sentencia C 711 del 11 de marzo de 2011. M.P. Mauricio González Cuervo. </w:t>
      </w:r>
    </w:p>
    <w:p w14:paraId="06A9731F" w14:textId="77777777" w:rsidR="001678BB" w:rsidRPr="00606E0A" w:rsidRDefault="001678BB" w:rsidP="00606E0A">
      <w:pPr>
        <w:pStyle w:val="Textonotapie"/>
        <w:ind w:firstLine="708"/>
        <w:jc w:val="both"/>
        <w:rPr>
          <w:rFonts w:ascii="Arial" w:hAnsi="Arial" w:cs="Arial"/>
          <w:color w:val="000000" w:themeColor="text1"/>
          <w:sz w:val="18"/>
          <w:szCs w:val="18"/>
          <w:lang w:val="es-CO"/>
        </w:rPr>
      </w:pPr>
    </w:p>
  </w:footnote>
  <w:footnote w:id="17">
    <w:p w14:paraId="061B0C61" w14:textId="1F41D748" w:rsidR="00A83C68" w:rsidRPr="00606E0A" w:rsidRDefault="00A83C68" w:rsidP="00606E0A">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w:t>
      </w:r>
      <w:r w:rsidR="00DF223E" w:rsidRPr="00606E0A">
        <w:rPr>
          <w:rFonts w:ascii="Arial" w:hAnsi="Arial" w:cs="Arial"/>
          <w:sz w:val="18"/>
          <w:szCs w:val="18"/>
        </w:rPr>
        <w:t xml:space="preserve">Agencia Nacional de Contratación Pública – Colombia Compra Eficiente. </w:t>
      </w:r>
      <w:r w:rsidR="00553194" w:rsidRPr="00606E0A">
        <w:rPr>
          <w:rFonts w:ascii="Arial" w:hAnsi="Arial" w:cs="Arial"/>
          <w:sz w:val="18"/>
          <w:szCs w:val="18"/>
        </w:rPr>
        <w:t xml:space="preserve">Concepto C-087 del del 4 de marzo de 2020. Radicado de entrada No. </w:t>
      </w:r>
      <w:r w:rsidR="00694B72" w:rsidRPr="00606E0A">
        <w:rPr>
          <w:rFonts w:ascii="Arial" w:hAnsi="Arial" w:cs="Arial"/>
          <w:sz w:val="18"/>
          <w:szCs w:val="18"/>
        </w:rPr>
        <w:t xml:space="preserve">4202012000000579. Radicado de salida No. </w:t>
      </w:r>
      <w:r w:rsidR="00DF223E" w:rsidRPr="00606E0A">
        <w:rPr>
          <w:rFonts w:ascii="Arial" w:hAnsi="Arial" w:cs="Arial"/>
          <w:sz w:val="18"/>
          <w:szCs w:val="18"/>
        </w:rPr>
        <w:t>2202013000001598.</w:t>
      </w:r>
    </w:p>
  </w:footnote>
  <w:footnote w:id="18">
    <w:p w14:paraId="328FFB94" w14:textId="77777777" w:rsidR="0058027D" w:rsidRPr="00606E0A" w:rsidRDefault="0058027D" w:rsidP="00606E0A">
      <w:pPr>
        <w:pStyle w:val="Textonotapie"/>
        <w:jc w:val="both"/>
        <w:rPr>
          <w:rFonts w:ascii="Arial" w:hAnsi="Arial" w:cs="Arial"/>
          <w:sz w:val="18"/>
          <w:szCs w:val="18"/>
        </w:rPr>
      </w:pPr>
    </w:p>
    <w:p w14:paraId="3EA2753C" w14:textId="309285F4" w:rsidR="0058027D" w:rsidRPr="00606E0A" w:rsidRDefault="0058027D" w:rsidP="00606E0A">
      <w:pPr>
        <w:pStyle w:val="Textonotapie"/>
        <w:ind w:firstLine="708"/>
        <w:jc w:val="both"/>
        <w:rPr>
          <w:rFonts w:ascii="Arial" w:hAnsi="Arial" w:cs="Arial"/>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w:t>
      </w:r>
      <w:r w:rsidR="00FF54D5" w:rsidRPr="00606E0A">
        <w:rPr>
          <w:rFonts w:ascii="Arial" w:hAnsi="Arial" w:cs="Arial"/>
          <w:sz w:val="18"/>
          <w:szCs w:val="18"/>
        </w:rPr>
        <w:t>Ley 80 de 1993 «</w:t>
      </w:r>
      <w:r w:rsidR="00FF3F5C" w:rsidRPr="00606E0A">
        <w:rPr>
          <w:rStyle w:val="Textoennegrita"/>
          <w:rFonts w:ascii="Arial" w:hAnsi="Arial" w:cs="Arial"/>
          <w:b w:val="0"/>
          <w:bCs w:val="0"/>
          <w:color w:val="000000"/>
          <w:sz w:val="18"/>
          <w:szCs w:val="18"/>
        </w:rPr>
        <w:t>Articulo 32. De los contratos estatales</w:t>
      </w:r>
      <w:r w:rsidR="00FF54D5" w:rsidRPr="00606E0A">
        <w:rPr>
          <w:rStyle w:val="Textoennegrita"/>
          <w:rFonts w:ascii="Arial" w:hAnsi="Arial" w:cs="Arial"/>
          <w:color w:val="000000"/>
          <w:sz w:val="18"/>
          <w:szCs w:val="18"/>
        </w:rPr>
        <w:t>. </w:t>
      </w:r>
      <w:r w:rsidR="00FF54D5" w:rsidRPr="00606E0A">
        <w:rPr>
          <w:rFonts w:ascii="Arial" w:hAnsi="Arial" w:cs="Arial"/>
          <w:color w:val="000000"/>
          <w:sz w:val="18"/>
          <w:szCs w:val="18"/>
        </w:rPr>
        <w:t>Son contratos estatales todos los actos jurídicos generadores de obligaciones que celebren las entidades a que se refiere el presente estatuto, previstos en el derecho privado o en disposiciones especiales, o derivados del ejercicio de la autonomía de la voluntad</w:t>
      </w:r>
      <w:r w:rsidR="00FF3F5C" w:rsidRPr="00606E0A">
        <w:rPr>
          <w:rFonts w:ascii="Arial" w:hAnsi="Arial" w:cs="Arial"/>
          <w:color w:val="000000"/>
          <w:sz w:val="18"/>
          <w:szCs w:val="18"/>
        </w:rPr>
        <w:t xml:space="preserve"> […]».</w:t>
      </w:r>
    </w:p>
  </w:footnote>
  <w:footnote w:id="19">
    <w:p w14:paraId="02FF6944" w14:textId="5246D15A" w:rsidR="00F73006" w:rsidRPr="00606E0A" w:rsidRDefault="007976A9" w:rsidP="00606E0A">
      <w:pPr>
        <w:pStyle w:val="NormalWeb"/>
        <w:spacing w:before="0" w:beforeAutospacing="0" w:after="0" w:afterAutospacing="0"/>
        <w:ind w:firstLine="708"/>
        <w:jc w:val="both"/>
        <w:rPr>
          <w:rFonts w:ascii="Arial" w:hAnsi="Arial" w:cs="Arial"/>
          <w:color w:val="000000"/>
          <w:sz w:val="18"/>
          <w:szCs w:val="18"/>
        </w:rPr>
      </w:pPr>
      <w:r w:rsidRPr="00606E0A">
        <w:rPr>
          <w:rStyle w:val="Refdenotaalpie"/>
          <w:rFonts w:ascii="Arial" w:hAnsi="Arial" w:cs="Arial"/>
          <w:sz w:val="18"/>
          <w:szCs w:val="18"/>
        </w:rPr>
        <w:footnoteRef/>
      </w:r>
      <w:r w:rsidRPr="00606E0A">
        <w:rPr>
          <w:rFonts w:ascii="Arial" w:hAnsi="Arial" w:cs="Arial"/>
          <w:sz w:val="18"/>
          <w:szCs w:val="18"/>
        </w:rPr>
        <w:t xml:space="preserve"> </w:t>
      </w:r>
      <w:r w:rsidR="00697B99" w:rsidRPr="00606E0A">
        <w:rPr>
          <w:rFonts w:ascii="Arial" w:hAnsi="Arial" w:cs="Arial"/>
          <w:sz w:val="18"/>
          <w:szCs w:val="18"/>
        </w:rPr>
        <w:t>Ley 80 de 1993 «</w:t>
      </w:r>
      <w:r w:rsidR="00F73006" w:rsidRPr="00606E0A">
        <w:rPr>
          <w:rFonts w:ascii="Arial" w:hAnsi="Arial" w:cs="Arial"/>
          <w:color w:val="000000"/>
          <w:sz w:val="18"/>
          <w:szCs w:val="18"/>
        </w:rPr>
        <w:t>Artículo 13</w:t>
      </w:r>
      <w:r w:rsidR="00F73006" w:rsidRPr="00606E0A">
        <w:rPr>
          <w:rFonts w:ascii="Arial" w:hAnsi="Arial" w:cs="Arial"/>
          <w:b/>
          <w:bCs/>
          <w:color w:val="000000"/>
          <w:sz w:val="18"/>
          <w:szCs w:val="18"/>
        </w:rPr>
        <w:t xml:space="preserve">. </w:t>
      </w:r>
      <w:r w:rsidR="00F73006" w:rsidRPr="00606E0A">
        <w:rPr>
          <w:rFonts w:ascii="Arial" w:hAnsi="Arial" w:cs="Arial"/>
          <w:color w:val="000000"/>
          <w:sz w:val="18"/>
          <w:szCs w:val="18"/>
        </w:rPr>
        <w:t>De la normatividad aplicable a los contratos estatales. Los contratos que celebren las entidades a que se refiere el artículo 2o. del presente estatuto se regirán por las disposiciones comerciales y civiles pertinentes, salvo en las materias particularmente reguladas en esta ley. </w:t>
      </w:r>
    </w:p>
    <w:p w14:paraId="1B7E8D8D" w14:textId="5CEC8675" w:rsidR="00F73006" w:rsidRPr="00F73006" w:rsidRDefault="00F73006" w:rsidP="00606E0A">
      <w:pPr>
        <w:jc w:val="both"/>
        <w:rPr>
          <w:rFonts w:ascii="Arial" w:eastAsia="Times New Roman" w:hAnsi="Arial" w:cs="Arial"/>
          <w:color w:val="000000"/>
          <w:sz w:val="18"/>
          <w:szCs w:val="18"/>
          <w:lang w:val="es-CO" w:eastAsia="es-CO"/>
        </w:rPr>
      </w:pPr>
      <w:r w:rsidRPr="00F73006">
        <w:rPr>
          <w:rFonts w:ascii="Arial" w:eastAsia="Times New Roman" w:hAnsi="Arial" w:cs="Arial"/>
          <w:color w:val="000000"/>
          <w:sz w:val="18"/>
          <w:szCs w:val="18"/>
          <w:lang w:val="es-CO" w:eastAsia="es-CO"/>
        </w:rPr>
        <w:t> </w:t>
      </w:r>
      <w:r w:rsidR="00697B99" w:rsidRPr="00606E0A">
        <w:rPr>
          <w:rFonts w:ascii="Arial" w:eastAsia="Times New Roman" w:hAnsi="Arial" w:cs="Arial"/>
          <w:color w:val="000000"/>
          <w:sz w:val="18"/>
          <w:szCs w:val="18"/>
          <w:lang w:val="es-CO" w:eastAsia="es-CO"/>
        </w:rPr>
        <w:tab/>
        <w:t>»</w:t>
      </w:r>
      <w:r w:rsidRPr="00F73006">
        <w:rPr>
          <w:rFonts w:ascii="Arial" w:eastAsia="Times New Roman" w:hAnsi="Arial" w:cs="Arial"/>
          <w:color w:val="000000"/>
          <w:sz w:val="18"/>
          <w:szCs w:val="18"/>
          <w:lang w:val="es-CO" w:eastAsia="es-CO"/>
        </w:rPr>
        <w:t>Los contratos celebrados en el exterior se podrán regir en su ejecución por las reglas del país en donde se hayan suscrito, a menos que deban cumplirse en Colombia. </w:t>
      </w:r>
    </w:p>
    <w:p w14:paraId="33E9577E" w14:textId="25EAEACC" w:rsidR="00F73006" w:rsidRPr="00F73006" w:rsidRDefault="00F73006" w:rsidP="00606E0A">
      <w:pPr>
        <w:jc w:val="both"/>
        <w:rPr>
          <w:rFonts w:ascii="Arial" w:eastAsia="Times New Roman" w:hAnsi="Arial" w:cs="Arial"/>
          <w:color w:val="000000"/>
          <w:sz w:val="18"/>
          <w:szCs w:val="18"/>
          <w:lang w:val="es-CO" w:eastAsia="es-CO"/>
        </w:rPr>
      </w:pPr>
      <w:r w:rsidRPr="00F73006">
        <w:rPr>
          <w:rFonts w:ascii="Arial" w:eastAsia="Times New Roman" w:hAnsi="Arial" w:cs="Arial"/>
          <w:color w:val="000000"/>
          <w:sz w:val="18"/>
          <w:szCs w:val="18"/>
          <w:lang w:val="es-CO" w:eastAsia="es-CO"/>
        </w:rPr>
        <w:t>  </w:t>
      </w:r>
      <w:r w:rsidR="00697B99" w:rsidRPr="00606E0A">
        <w:rPr>
          <w:rFonts w:ascii="Arial" w:eastAsia="Times New Roman" w:hAnsi="Arial" w:cs="Arial"/>
          <w:color w:val="000000"/>
          <w:sz w:val="18"/>
          <w:szCs w:val="18"/>
          <w:lang w:val="es-CO" w:eastAsia="es-CO"/>
        </w:rPr>
        <w:tab/>
        <w:t>»</w:t>
      </w:r>
      <w:r w:rsidRPr="00F73006">
        <w:rPr>
          <w:rFonts w:ascii="Arial" w:eastAsia="Times New Roman" w:hAnsi="Arial" w:cs="Arial"/>
          <w:color w:val="000000"/>
          <w:sz w:val="18"/>
          <w:szCs w:val="18"/>
          <w:lang w:val="es-CO" w:eastAsia="es-CO"/>
        </w:rPr>
        <w:t>Los contratos que se celebren en Colombia y deban ejecutarse o cumplirse en el extranjero, podrán someterse a la ley extranjera. </w:t>
      </w:r>
    </w:p>
    <w:p w14:paraId="3FB9FEE2" w14:textId="488903CE" w:rsidR="00F73006" w:rsidRPr="00606E0A" w:rsidRDefault="00F73006" w:rsidP="00606E0A">
      <w:pPr>
        <w:pStyle w:val="NormalWeb"/>
        <w:spacing w:before="0" w:beforeAutospacing="0" w:after="0" w:afterAutospacing="0"/>
        <w:ind w:firstLine="708"/>
        <w:jc w:val="both"/>
        <w:rPr>
          <w:rFonts w:ascii="Arial" w:hAnsi="Arial" w:cs="Arial"/>
          <w:sz w:val="18"/>
          <w:szCs w:val="18"/>
        </w:rPr>
      </w:pPr>
      <w:r w:rsidRPr="00606E0A">
        <w:rPr>
          <w:rFonts w:ascii="Arial" w:hAnsi="Arial" w:cs="Arial"/>
          <w:sz w:val="18"/>
          <w:szCs w:val="18"/>
        </w:rPr>
        <w:t>[…]</w:t>
      </w:r>
    </w:p>
    <w:p w14:paraId="19633186" w14:textId="642C1A90" w:rsidR="0033115D" w:rsidRPr="00606E0A" w:rsidRDefault="00F73006" w:rsidP="00606E0A">
      <w:pPr>
        <w:pStyle w:val="NormalWeb"/>
        <w:spacing w:before="0" w:beforeAutospacing="0" w:after="0" w:afterAutospacing="0"/>
        <w:ind w:firstLine="708"/>
        <w:jc w:val="both"/>
        <w:rPr>
          <w:rFonts w:ascii="Arial" w:hAnsi="Arial" w:cs="Arial"/>
          <w:color w:val="000000"/>
          <w:sz w:val="18"/>
          <w:szCs w:val="18"/>
        </w:rPr>
      </w:pPr>
      <w:r w:rsidRPr="00606E0A">
        <w:rPr>
          <w:rFonts w:ascii="Arial" w:hAnsi="Arial" w:cs="Arial"/>
          <w:b/>
          <w:bCs/>
          <w:color w:val="000000"/>
          <w:sz w:val="18"/>
          <w:szCs w:val="18"/>
        </w:rPr>
        <w:t>»</w:t>
      </w:r>
      <w:r w:rsidRPr="00606E0A">
        <w:rPr>
          <w:rFonts w:ascii="Arial" w:hAnsi="Arial" w:cs="Arial"/>
          <w:color w:val="000000"/>
          <w:sz w:val="18"/>
          <w:szCs w:val="18"/>
        </w:rPr>
        <w:t>Artículo 40. Del contenido del contrato estatal</w:t>
      </w:r>
      <w:r w:rsidR="0033115D" w:rsidRPr="00606E0A">
        <w:rPr>
          <w:rFonts w:ascii="Arial" w:hAnsi="Arial" w:cs="Arial"/>
          <w:color w:val="000000"/>
          <w:sz w:val="18"/>
          <w:szCs w:val="18"/>
        </w:rPr>
        <w:t>. Las estipulaciones de los contratos serán las que de acuerdo con las normas civiles, comerciales y las previstas en esta ley, correspondan a su esencia y naturaleza. </w:t>
      </w:r>
    </w:p>
    <w:p w14:paraId="0CA0125F" w14:textId="24033354" w:rsidR="0033115D" w:rsidRPr="0033115D" w:rsidRDefault="0033115D" w:rsidP="00606E0A">
      <w:pPr>
        <w:jc w:val="both"/>
        <w:rPr>
          <w:rFonts w:ascii="Arial" w:eastAsia="Times New Roman" w:hAnsi="Arial" w:cs="Arial"/>
          <w:color w:val="000000"/>
          <w:sz w:val="18"/>
          <w:szCs w:val="18"/>
          <w:lang w:val="es-CO" w:eastAsia="es-CO"/>
        </w:rPr>
      </w:pPr>
      <w:r w:rsidRPr="0033115D">
        <w:rPr>
          <w:rFonts w:ascii="Arial" w:eastAsia="Times New Roman" w:hAnsi="Arial" w:cs="Arial"/>
          <w:color w:val="000000"/>
          <w:sz w:val="18"/>
          <w:szCs w:val="18"/>
          <w:lang w:val="es-CO" w:eastAsia="es-CO"/>
        </w:rPr>
        <w:t>  </w:t>
      </w:r>
      <w:r w:rsidR="00697B99" w:rsidRPr="00606E0A">
        <w:rPr>
          <w:rFonts w:ascii="Arial" w:eastAsia="Times New Roman" w:hAnsi="Arial" w:cs="Arial"/>
          <w:color w:val="000000"/>
          <w:sz w:val="18"/>
          <w:szCs w:val="18"/>
          <w:lang w:val="es-CO" w:eastAsia="es-CO"/>
        </w:rPr>
        <w:tab/>
        <w:t>»</w:t>
      </w:r>
      <w:r w:rsidRPr="0033115D">
        <w:rPr>
          <w:rFonts w:ascii="Arial" w:eastAsia="Times New Roman" w:hAnsi="Arial" w:cs="Arial"/>
          <w:color w:val="000000"/>
          <w:sz w:val="18"/>
          <w:szCs w:val="18"/>
          <w:lang w:val="es-CO" w:eastAsia="es-CO"/>
        </w:rPr>
        <w:t>Las entidades podrán celebrar los contratos y acuerdos que permitan la autonomía de la voluntad y requieran el cumplimiento de los fines estatales. </w:t>
      </w:r>
    </w:p>
    <w:p w14:paraId="782B938E" w14:textId="501AA22A" w:rsidR="0033115D" w:rsidRPr="0033115D" w:rsidRDefault="0033115D" w:rsidP="00606E0A">
      <w:pPr>
        <w:jc w:val="both"/>
        <w:rPr>
          <w:rFonts w:ascii="Arial" w:eastAsia="Times New Roman" w:hAnsi="Arial" w:cs="Arial"/>
          <w:color w:val="000000"/>
          <w:sz w:val="18"/>
          <w:szCs w:val="18"/>
          <w:lang w:val="es-CO" w:eastAsia="es-CO"/>
        </w:rPr>
      </w:pPr>
      <w:r w:rsidRPr="0033115D">
        <w:rPr>
          <w:rFonts w:ascii="Arial" w:eastAsia="Times New Roman" w:hAnsi="Arial" w:cs="Arial"/>
          <w:color w:val="000000"/>
          <w:sz w:val="18"/>
          <w:szCs w:val="18"/>
          <w:lang w:val="es-CO" w:eastAsia="es-CO"/>
        </w:rPr>
        <w:t>  </w:t>
      </w:r>
      <w:r w:rsidR="00697B99" w:rsidRPr="00606E0A">
        <w:rPr>
          <w:rFonts w:ascii="Arial" w:eastAsia="Times New Roman" w:hAnsi="Arial" w:cs="Arial"/>
          <w:color w:val="000000"/>
          <w:sz w:val="18"/>
          <w:szCs w:val="18"/>
          <w:lang w:val="es-CO" w:eastAsia="es-CO"/>
        </w:rPr>
        <w:t xml:space="preserve"> </w:t>
      </w:r>
      <w:r w:rsidR="00697B99" w:rsidRPr="00606E0A">
        <w:rPr>
          <w:rFonts w:ascii="Arial" w:eastAsia="Times New Roman" w:hAnsi="Arial" w:cs="Arial"/>
          <w:color w:val="000000"/>
          <w:sz w:val="18"/>
          <w:szCs w:val="18"/>
          <w:lang w:val="es-CO" w:eastAsia="es-CO"/>
        </w:rPr>
        <w:tab/>
        <w:t>»</w:t>
      </w:r>
      <w:r w:rsidRPr="0033115D">
        <w:rPr>
          <w:rFonts w:ascii="Arial" w:eastAsia="Times New Roman" w:hAnsi="Arial" w:cs="Arial"/>
          <w:color w:val="000000"/>
          <w:sz w:val="18"/>
          <w:szCs w:val="18"/>
          <w:lang w:val="es-CO" w:eastAsia="es-CO"/>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3CCCF0D3" w14:textId="705F72A5" w:rsidR="0033115D" w:rsidRPr="0033115D" w:rsidRDefault="0033115D" w:rsidP="00606E0A">
      <w:pPr>
        <w:jc w:val="both"/>
        <w:rPr>
          <w:rFonts w:ascii="Arial" w:eastAsia="Times New Roman" w:hAnsi="Arial" w:cs="Arial"/>
          <w:color w:val="000000"/>
          <w:sz w:val="18"/>
          <w:szCs w:val="18"/>
          <w:lang w:val="es-CO" w:eastAsia="es-CO"/>
        </w:rPr>
      </w:pPr>
      <w:r w:rsidRPr="0033115D">
        <w:rPr>
          <w:rFonts w:ascii="Arial" w:eastAsia="Times New Roman" w:hAnsi="Arial" w:cs="Arial"/>
          <w:color w:val="000000"/>
          <w:sz w:val="18"/>
          <w:szCs w:val="18"/>
          <w:lang w:val="es-CO" w:eastAsia="es-CO"/>
        </w:rPr>
        <w:t>  </w:t>
      </w:r>
      <w:r w:rsidR="00697B99" w:rsidRPr="00606E0A">
        <w:rPr>
          <w:rFonts w:ascii="Arial" w:eastAsia="Times New Roman" w:hAnsi="Arial" w:cs="Arial"/>
          <w:color w:val="000000"/>
          <w:sz w:val="18"/>
          <w:szCs w:val="18"/>
          <w:lang w:val="es-CO" w:eastAsia="es-CO"/>
        </w:rPr>
        <w:tab/>
        <w:t>»</w:t>
      </w:r>
      <w:r w:rsidRPr="0033115D">
        <w:rPr>
          <w:rFonts w:ascii="Arial" w:eastAsia="Times New Roman" w:hAnsi="Arial" w:cs="Arial"/>
          <w:color w:val="000000"/>
          <w:sz w:val="18"/>
          <w:szCs w:val="18"/>
          <w:lang w:val="es-CO" w:eastAsia="es-CO"/>
        </w:rPr>
        <w:t>En los contratos de empréstito o cualquier otra forma de financiación de organismos multilaterales, podrán incluirse las previsiones y particularidades contempladas en los reglamentos de tales entidades, que no sean contrarias a la Constitución o a la ley</w:t>
      </w:r>
      <w:r w:rsidR="00FF54D5" w:rsidRPr="00606E0A">
        <w:rPr>
          <w:rFonts w:ascii="Arial" w:eastAsia="Times New Roman" w:hAnsi="Arial" w:cs="Arial"/>
          <w:color w:val="000000"/>
          <w:sz w:val="18"/>
          <w:szCs w:val="18"/>
          <w:lang w:val="es-CO" w:eastAsia="es-CO"/>
        </w:rPr>
        <w:t xml:space="preserve"> […]</w:t>
      </w:r>
      <w:r w:rsidR="00697B99" w:rsidRPr="00606E0A">
        <w:rPr>
          <w:rFonts w:ascii="Arial" w:eastAsia="Times New Roman" w:hAnsi="Arial" w:cs="Arial"/>
          <w:color w:val="000000"/>
          <w:sz w:val="18"/>
          <w:szCs w:val="18"/>
          <w:lang w:val="es-CO" w:eastAsia="es-CO"/>
        </w:rPr>
        <w:t>»</w:t>
      </w:r>
      <w:r w:rsidRPr="0033115D">
        <w:rPr>
          <w:rFonts w:ascii="Arial" w:eastAsia="Times New Roman" w:hAnsi="Arial" w:cs="Arial"/>
          <w:color w:val="000000"/>
          <w:sz w:val="18"/>
          <w:szCs w:val="18"/>
          <w:lang w:val="es-CO" w:eastAsia="es-CO"/>
        </w:rPr>
        <w:t>. </w:t>
      </w:r>
    </w:p>
    <w:p w14:paraId="5A372EBB" w14:textId="1D3FA187" w:rsidR="007976A9" w:rsidRPr="00606E0A" w:rsidRDefault="007976A9" w:rsidP="00606E0A">
      <w:pPr>
        <w:pStyle w:val="Textonotapie"/>
        <w:ind w:firstLine="708"/>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D74E54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hybridMultilevel"/>
    <w:tmpl w:val="836404E2"/>
    <w:lvl w:ilvl="0" w:tplc="DD6C154E">
      <w:start w:val="1"/>
      <w:numFmt w:val="bullet"/>
      <w:lvlText w:val=""/>
      <w:lvlJc w:val="left"/>
      <w:pPr>
        <w:ind w:left="720" w:hanging="360"/>
      </w:pPr>
      <w:rPr>
        <w:rFonts w:ascii="Symbol" w:hAnsi="Symbol" w:hint="default"/>
      </w:rPr>
    </w:lvl>
    <w:lvl w:ilvl="1" w:tplc="9DA428A6">
      <w:start w:val="1"/>
      <w:numFmt w:val="bullet"/>
      <w:lvlText w:val="o"/>
      <w:lvlJc w:val="left"/>
      <w:pPr>
        <w:ind w:left="1440" w:hanging="360"/>
      </w:pPr>
      <w:rPr>
        <w:rFonts w:ascii="Courier New" w:hAnsi="Courier New" w:hint="default"/>
      </w:rPr>
    </w:lvl>
    <w:lvl w:ilvl="2" w:tplc="E376C224">
      <w:start w:val="1"/>
      <w:numFmt w:val="bullet"/>
      <w:lvlText w:val=""/>
      <w:lvlJc w:val="left"/>
      <w:pPr>
        <w:ind w:left="2160" w:hanging="360"/>
      </w:pPr>
      <w:rPr>
        <w:rFonts w:ascii="Wingdings" w:hAnsi="Wingdings" w:hint="default"/>
      </w:rPr>
    </w:lvl>
    <w:lvl w:ilvl="3" w:tplc="879E55D0">
      <w:start w:val="1"/>
      <w:numFmt w:val="bullet"/>
      <w:lvlText w:val=""/>
      <w:lvlJc w:val="left"/>
      <w:pPr>
        <w:ind w:left="2880" w:hanging="360"/>
      </w:pPr>
      <w:rPr>
        <w:rFonts w:ascii="Symbol" w:hAnsi="Symbol" w:hint="default"/>
      </w:rPr>
    </w:lvl>
    <w:lvl w:ilvl="4" w:tplc="886C2238">
      <w:start w:val="1"/>
      <w:numFmt w:val="bullet"/>
      <w:lvlText w:val="o"/>
      <w:lvlJc w:val="left"/>
      <w:pPr>
        <w:ind w:left="3600" w:hanging="360"/>
      </w:pPr>
      <w:rPr>
        <w:rFonts w:ascii="Courier New" w:hAnsi="Courier New" w:hint="default"/>
      </w:rPr>
    </w:lvl>
    <w:lvl w:ilvl="5" w:tplc="44504736">
      <w:start w:val="1"/>
      <w:numFmt w:val="bullet"/>
      <w:lvlText w:val=""/>
      <w:lvlJc w:val="left"/>
      <w:pPr>
        <w:ind w:left="4320" w:hanging="360"/>
      </w:pPr>
      <w:rPr>
        <w:rFonts w:ascii="Wingdings" w:hAnsi="Wingdings" w:hint="default"/>
      </w:rPr>
    </w:lvl>
    <w:lvl w:ilvl="6" w:tplc="6D44224A">
      <w:start w:val="1"/>
      <w:numFmt w:val="bullet"/>
      <w:lvlText w:val=""/>
      <w:lvlJc w:val="left"/>
      <w:pPr>
        <w:ind w:left="5040" w:hanging="360"/>
      </w:pPr>
      <w:rPr>
        <w:rFonts w:ascii="Symbol" w:hAnsi="Symbol" w:hint="default"/>
      </w:rPr>
    </w:lvl>
    <w:lvl w:ilvl="7" w:tplc="C30AF17C">
      <w:start w:val="1"/>
      <w:numFmt w:val="bullet"/>
      <w:lvlText w:val="o"/>
      <w:lvlJc w:val="left"/>
      <w:pPr>
        <w:ind w:left="5760" w:hanging="360"/>
      </w:pPr>
      <w:rPr>
        <w:rFonts w:ascii="Courier New" w:hAnsi="Courier New" w:hint="default"/>
      </w:rPr>
    </w:lvl>
    <w:lvl w:ilvl="8" w:tplc="BBA8CA16">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hybridMultilevel"/>
    <w:tmpl w:val="614E70D0"/>
    <w:lvl w:ilvl="0" w:tplc="01CA1560">
      <w:start w:val="1"/>
      <w:numFmt w:val="decimal"/>
      <w:lvlText w:val="%1."/>
      <w:lvlJc w:val="left"/>
      <w:pPr>
        <w:ind w:left="360" w:hanging="360"/>
      </w:pPr>
      <w:rPr>
        <w:rFonts w:hint="default"/>
        <w:b/>
        <w:sz w:val="22"/>
      </w:rPr>
    </w:lvl>
    <w:lvl w:ilvl="1" w:tplc="4E882680">
      <w:start w:val="1"/>
      <w:numFmt w:val="decimal"/>
      <w:isLgl/>
      <w:lvlText w:val="%1.%2"/>
      <w:lvlJc w:val="left"/>
      <w:pPr>
        <w:ind w:left="360" w:hanging="360"/>
      </w:pPr>
      <w:rPr>
        <w:rFonts w:hint="default"/>
      </w:rPr>
    </w:lvl>
    <w:lvl w:ilvl="2" w:tplc="782EFD8C">
      <w:start w:val="1"/>
      <w:numFmt w:val="decimal"/>
      <w:isLgl/>
      <w:lvlText w:val="%1.%2.%3"/>
      <w:lvlJc w:val="left"/>
      <w:pPr>
        <w:ind w:left="720" w:hanging="720"/>
      </w:pPr>
      <w:rPr>
        <w:rFonts w:hint="default"/>
      </w:rPr>
    </w:lvl>
    <w:lvl w:ilvl="3" w:tplc="98E88E54">
      <w:start w:val="1"/>
      <w:numFmt w:val="decimal"/>
      <w:isLgl/>
      <w:lvlText w:val="%1.%2.%3.%4"/>
      <w:lvlJc w:val="left"/>
      <w:pPr>
        <w:ind w:left="720" w:hanging="720"/>
      </w:pPr>
      <w:rPr>
        <w:rFonts w:hint="default"/>
      </w:rPr>
    </w:lvl>
    <w:lvl w:ilvl="4" w:tplc="AD32C2AC">
      <w:start w:val="1"/>
      <w:numFmt w:val="decimal"/>
      <w:isLgl/>
      <w:lvlText w:val="%1.%2.%3.%4.%5"/>
      <w:lvlJc w:val="left"/>
      <w:pPr>
        <w:ind w:left="1080" w:hanging="1080"/>
      </w:pPr>
      <w:rPr>
        <w:rFonts w:hint="default"/>
      </w:rPr>
    </w:lvl>
    <w:lvl w:ilvl="5" w:tplc="F7DA1346">
      <w:start w:val="1"/>
      <w:numFmt w:val="decimal"/>
      <w:isLgl/>
      <w:lvlText w:val="%1.%2.%3.%4.%5.%6"/>
      <w:lvlJc w:val="left"/>
      <w:pPr>
        <w:ind w:left="1080" w:hanging="1080"/>
      </w:pPr>
      <w:rPr>
        <w:rFonts w:hint="default"/>
      </w:rPr>
    </w:lvl>
    <w:lvl w:ilvl="6" w:tplc="E6B2CE20">
      <w:start w:val="1"/>
      <w:numFmt w:val="decimal"/>
      <w:isLgl/>
      <w:lvlText w:val="%1.%2.%3.%4.%5.%6.%7"/>
      <w:lvlJc w:val="left"/>
      <w:pPr>
        <w:ind w:left="1440" w:hanging="1440"/>
      </w:pPr>
      <w:rPr>
        <w:rFonts w:hint="default"/>
      </w:rPr>
    </w:lvl>
    <w:lvl w:ilvl="7" w:tplc="609C9E4A">
      <w:start w:val="1"/>
      <w:numFmt w:val="decimal"/>
      <w:isLgl/>
      <w:lvlText w:val="%1.%2.%3.%4.%5.%6.%7.%8"/>
      <w:lvlJc w:val="left"/>
      <w:pPr>
        <w:ind w:left="1440" w:hanging="1440"/>
      </w:pPr>
      <w:rPr>
        <w:rFonts w:hint="default"/>
      </w:rPr>
    </w:lvl>
    <w:lvl w:ilvl="8" w:tplc="044C4CF2">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F60"/>
    <w:rsid w:val="00010021"/>
    <w:rsid w:val="00045635"/>
    <w:rsid w:val="00084429"/>
    <w:rsid w:val="00084B97"/>
    <w:rsid w:val="00085B77"/>
    <w:rsid w:val="000942EB"/>
    <w:rsid w:val="000A4299"/>
    <w:rsid w:val="000B103F"/>
    <w:rsid w:val="000B16CC"/>
    <w:rsid w:val="000C67D9"/>
    <w:rsid w:val="000C7BFB"/>
    <w:rsid w:val="000D03F4"/>
    <w:rsid w:val="000D5B29"/>
    <w:rsid w:val="000E7826"/>
    <w:rsid w:val="000F14E8"/>
    <w:rsid w:val="000F660F"/>
    <w:rsid w:val="00103915"/>
    <w:rsid w:val="00122B23"/>
    <w:rsid w:val="001248E4"/>
    <w:rsid w:val="00127437"/>
    <w:rsid w:val="00137FFA"/>
    <w:rsid w:val="001600D4"/>
    <w:rsid w:val="001678BB"/>
    <w:rsid w:val="001806AB"/>
    <w:rsid w:val="00185E23"/>
    <w:rsid w:val="001B0444"/>
    <w:rsid w:val="001C4187"/>
    <w:rsid w:val="001F20C2"/>
    <w:rsid w:val="001F5BB4"/>
    <w:rsid w:val="002052E6"/>
    <w:rsid w:val="0020632A"/>
    <w:rsid w:val="002110EB"/>
    <w:rsid w:val="00211338"/>
    <w:rsid w:val="002117D7"/>
    <w:rsid w:val="00221AFA"/>
    <w:rsid w:val="00227F66"/>
    <w:rsid w:val="0023226E"/>
    <w:rsid w:val="00234B84"/>
    <w:rsid w:val="0029097B"/>
    <w:rsid w:val="002A59ED"/>
    <w:rsid w:val="002A7C10"/>
    <w:rsid w:val="002B4DF4"/>
    <w:rsid w:val="002C4C0C"/>
    <w:rsid w:val="002C7425"/>
    <w:rsid w:val="002E0BF8"/>
    <w:rsid w:val="002E173C"/>
    <w:rsid w:val="003033BA"/>
    <w:rsid w:val="00316431"/>
    <w:rsid w:val="00322937"/>
    <w:rsid w:val="0033115D"/>
    <w:rsid w:val="003316CD"/>
    <w:rsid w:val="00336A0A"/>
    <w:rsid w:val="0034177C"/>
    <w:rsid w:val="003464D2"/>
    <w:rsid w:val="0034680A"/>
    <w:rsid w:val="00353DD5"/>
    <w:rsid w:val="00376573"/>
    <w:rsid w:val="00377B90"/>
    <w:rsid w:val="00380461"/>
    <w:rsid w:val="0038305A"/>
    <w:rsid w:val="00386456"/>
    <w:rsid w:val="0038787D"/>
    <w:rsid w:val="003A0878"/>
    <w:rsid w:val="003A41D9"/>
    <w:rsid w:val="003A581E"/>
    <w:rsid w:val="003C16AC"/>
    <w:rsid w:val="003C3A6D"/>
    <w:rsid w:val="003C7C3E"/>
    <w:rsid w:val="003D06B1"/>
    <w:rsid w:val="003D097D"/>
    <w:rsid w:val="003D12D1"/>
    <w:rsid w:val="003D71AC"/>
    <w:rsid w:val="003E54C7"/>
    <w:rsid w:val="003F117D"/>
    <w:rsid w:val="0040051A"/>
    <w:rsid w:val="004119FB"/>
    <w:rsid w:val="00423F9F"/>
    <w:rsid w:val="00430BAE"/>
    <w:rsid w:val="00431061"/>
    <w:rsid w:val="00431F1F"/>
    <w:rsid w:val="004422D6"/>
    <w:rsid w:val="004434A8"/>
    <w:rsid w:val="004863FE"/>
    <w:rsid w:val="004874BE"/>
    <w:rsid w:val="00490873"/>
    <w:rsid w:val="0049241A"/>
    <w:rsid w:val="00493E6F"/>
    <w:rsid w:val="004A02CB"/>
    <w:rsid w:val="004A34D2"/>
    <w:rsid w:val="004B4B4D"/>
    <w:rsid w:val="004C5B97"/>
    <w:rsid w:val="00501F00"/>
    <w:rsid w:val="00506809"/>
    <w:rsid w:val="0051074C"/>
    <w:rsid w:val="00513AF2"/>
    <w:rsid w:val="0054413A"/>
    <w:rsid w:val="00550200"/>
    <w:rsid w:val="00553194"/>
    <w:rsid w:val="005564CA"/>
    <w:rsid w:val="005606EF"/>
    <w:rsid w:val="00560905"/>
    <w:rsid w:val="0056182B"/>
    <w:rsid w:val="00571F9C"/>
    <w:rsid w:val="005756AA"/>
    <w:rsid w:val="0058027D"/>
    <w:rsid w:val="00591E60"/>
    <w:rsid w:val="005927D5"/>
    <w:rsid w:val="005970D8"/>
    <w:rsid w:val="005A146F"/>
    <w:rsid w:val="005B315A"/>
    <w:rsid w:val="005D51FA"/>
    <w:rsid w:val="005D791B"/>
    <w:rsid w:val="005E49D7"/>
    <w:rsid w:val="005F03EB"/>
    <w:rsid w:val="005F1A34"/>
    <w:rsid w:val="00606E0A"/>
    <w:rsid w:val="00614817"/>
    <w:rsid w:val="00617688"/>
    <w:rsid w:val="00623010"/>
    <w:rsid w:val="00633DBF"/>
    <w:rsid w:val="00655371"/>
    <w:rsid w:val="006610D6"/>
    <w:rsid w:val="00663E70"/>
    <w:rsid w:val="00664AAF"/>
    <w:rsid w:val="006775E6"/>
    <w:rsid w:val="00686383"/>
    <w:rsid w:val="00694B72"/>
    <w:rsid w:val="00697665"/>
    <w:rsid w:val="00697B99"/>
    <w:rsid w:val="006A18C3"/>
    <w:rsid w:val="006A4805"/>
    <w:rsid w:val="006A7CB5"/>
    <w:rsid w:val="006A7FD0"/>
    <w:rsid w:val="006B3F45"/>
    <w:rsid w:val="006C6EE9"/>
    <w:rsid w:val="006D2A3A"/>
    <w:rsid w:val="006D3E29"/>
    <w:rsid w:val="006D7687"/>
    <w:rsid w:val="006E048E"/>
    <w:rsid w:val="006E0572"/>
    <w:rsid w:val="007035A8"/>
    <w:rsid w:val="00705631"/>
    <w:rsid w:val="00715395"/>
    <w:rsid w:val="00715EAA"/>
    <w:rsid w:val="00731006"/>
    <w:rsid w:val="00742DD2"/>
    <w:rsid w:val="007440F8"/>
    <w:rsid w:val="00747C96"/>
    <w:rsid w:val="0075094E"/>
    <w:rsid w:val="007522E8"/>
    <w:rsid w:val="0075647A"/>
    <w:rsid w:val="007634AD"/>
    <w:rsid w:val="00772376"/>
    <w:rsid w:val="00774D10"/>
    <w:rsid w:val="00775E8D"/>
    <w:rsid w:val="0077775A"/>
    <w:rsid w:val="0078122E"/>
    <w:rsid w:val="00795647"/>
    <w:rsid w:val="007976A9"/>
    <w:rsid w:val="007A3E34"/>
    <w:rsid w:val="007B0854"/>
    <w:rsid w:val="007B2EA0"/>
    <w:rsid w:val="007D668F"/>
    <w:rsid w:val="007E43DE"/>
    <w:rsid w:val="007F6B46"/>
    <w:rsid w:val="007F72CB"/>
    <w:rsid w:val="008217B7"/>
    <w:rsid w:val="0083119B"/>
    <w:rsid w:val="00836EAB"/>
    <w:rsid w:val="00842FB9"/>
    <w:rsid w:val="0085092D"/>
    <w:rsid w:val="00850F79"/>
    <w:rsid w:val="008521A9"/>
    <w:rsid w:val="008814CA"/>
    <w:rsid w:val="008836D6"/>
    <w:rsid w:val="00887CC3"/>
    <w:rsid w:val="0089041F"/>
    <w:rsid w:val="00896260"/>
    <w:rsid w:val="0089774F"/>
    <w:rsid w:val="008A7567"/>
    <w:rsid w:val="008B0E5D"/>
    <w:rsid w:val="008C76FC"/>
    <w:rsid w:val="008D4D61"/>
    <w:rsid w:val="008E1C15"/>
    <w:rsid w:val="008F538E"/>
    <w:rsid w:val="009047C5"/>
    <w:rsid w:val="00931B52"/>
    <w:rsid w:val="009403BC"/>
    <w:rsid w:val="0094665A"/>
    <w:rsid w:val="0095371E"/>
    <w:rsid w:val="0095385A"/>
    <w:rsid w:val="00961BE5"/>
    <w:rsid w:val="009800B1"/>
    <w:rsid w:val="00982D3C"/>
    <w:rsid w:val="009942D4"/>
    <w:rsid w:val="009A472A"/>
    <w:rsid w:val="009C2765"/>
    <w:rsid w:val="009C48D5"/>
    <w:rsid w:val="009D011E"/>
    <w:rsid w:val="009F59C2"/>
    <w:rsid w:val="009F73C0"/>
    <w:rsid w:val="00A227B7"/>
    <w:rsid w:val="00A24560"/>
    <w:rsid w:val="00A259FF"/>
    <w:rsid w:val="00A34538"/>
    <w:rsid w:val="00A357D4"/>
    <w:rsid w:val="00A37FB6"/>
    <w:rsid w:val="00A61B53"/>
    <w:rsid w:val="00A64458"/>
    <w:rsid w:val="00A83C68"/>
    <w:rsid w:val="00A84509"/>
    <w:rsid w:val="00A9699A"/>
    <w:rsid w:val="00AA08E7"/>
    <w:rsid w:val="00AA3B8A"/>
    <w:rsid w:val="00AA442B"/>
    <w:rsid w:val="00AA669D"/>
    <w:rsid w:val="00AA71EF"/>
    <w:rsid w:val="00AF1E26"/>
    <w:rsid w:val="00AF7707"/>
    <w:rsid w:val="00B02B6C"/>
    <w:rsid w:val="00B02ED5"/>
    <w:rsid w:val="00B13EC0"/>
    <w:rsid w:val="00B22E22"/>
    <w:rsid w:val="00B525CB"/>
    <w:rsid w:val="00B63872"/>
    <w:rsid w:val="00B63CB2"/>
    <w:rsid w:val="00B64EDB"/>
    <w:rsid w:val="00B66B43"/>
    <w:rsid w:val="00B87E5A"/>
    <w:rsid w:val="00B91B8E"/>
    <w:rsid w:val="00B9792D"/>
    <w:rsid w:val="00BA0B65"/>
    <w:rsid w:val="00BA2AA9"/>
    <w:rsid w:val="00BA5206"/>
    <w:rsid w:val="00BB43A8"/>
    <w:rsid w:val="00BC171C"/>
    <w:rsid w:val="00BD78FE"/>
    <w:rsid w:val="00BF2AAC"/>
    <w:rsid w:val="00BF6B7E"/>
    <w:rsid w:val="00C01EE4"/>
    <w:rsid w:val="00C124F1"/>
    <w:rsid w:val="00C26940"/>
    <w:rsid w:val="00C3269F"/>
    <w:rsid w:val="00C3579F"/>
    <w:rsid w:val="00C50A18"/>
    <w:rsid w:val="00C56C62"/>
    <w:rsid w:val="00C60E34"/>
    <w:rsid w:val="00C661E3"/>
    <w:rsid w:val="00C811B7"/>
    <w:rsid w:val="00C8525F"/>
    <w:rsid w:val="00C913D9"/>
    <w:rsid w:val="00C97DC4"/>
    <w:rsid w:val="00CA328F"/>
    <w:rsid w:val="00CB2DC6"/>
    <w:rsid w:val="00CB41EB"/>
    <w:rsid w:val="00CC00CD"/>
    <w:rsid w:val="00CD2C1C"/>
    <w:rsid w:val="00CD5992"/>
    <w:rsid w:val="00CE667F"/>
    <w:rsid w:val="00CF451C"/>
    <w:rsid w:val="00CF560A"/>
    <w:rsid w:val="00D01760"/>
    <w:rsid w:val="00D13C7B"/>
    <w:rsid w:val="00D16E39"/>
    <w:rsid w:val="00D212B2"/>
    <w:rsid w:val="00D223B6"/>
    <w:rsid w:val="00D31EFF"/>
    <w:rsid w:val="00D41813"/>
    <w:rsid w:val="00D42773"/>
    <w:rsid w:val="00D53229"/>
    <w:rsid w:val="00D60327"/>
    <w:rsid w:val="00D625C6"/>
    <w:rsid w:val="00D72D8A"/>
    <w:rsid w:val="00D72E9D"/>
    <w:rsid w:val="00D82CE5"/>
    <w:rsid w:val="00DA2F90"/>
    <w:rsid w:val="00DA39FC"/>
    <w:rsid w:val="00DA5241"/>
    <w:rsid w:val="00DA5AB1"/>
    <w:rsid w:val="00DB6E73"/>
    <w:rsid w:val="00DC62E5"/>
    <w:rsid w:val="00DD735D"/>
    <w:rsid w:val="00DE3119"/>
    <w:rsid w:val="00DF223E"/>
    <w:rsid w:val="00DF236B"/>
    <w:rsid w:val="00E13AB8"/>
    <w:rsid w:val="00E14740"/>
    <w:rsid w:val="00E25CB3"/>
    <w:rsid w:val="00E33B62"/>
    <w:rsid w:val="00E355CB"/>
    <w:rsid w:val="00E4143A"/>
    <w:rsid w:val="00E54D28"/>
    <w:rsid w:val="00EB605E"/>
    <w:rsid w:val="00EE59B5"/>
    <w:rsid w:val="00F020D8"/>
    <w:rsid w:val="00F138A4"/>
    <w:rsid w:val="00F15391"/>
    <w:rsid w:val="00F154D9"/>
    <w:rsid w:val="00F15505"/>
    <w:rsid w:val="00F2433E"/>
    <w:rsid w:val="00F34A47"/>
    <w:rsid w:val="00F568AD"/>
    <w:rsid w:val="00F61BF4"/>
    <w:rsid w:val="00F62029"/>
    <w:rsid w:val="00F64C11"/>
    <w:rsid w:val="00F73006"/>
    <w:rsid w:val="00F84899"/>
    <w:rsid w:val="00F859F0"/>
    <w:rsid w:val="00F94A7D"/>
    <w:rsid w:val="00F95332"/>
    <w:rsid w:val="00FA66B7"/>
    <w:rsid w:val="00FC3F5E"/>
    <w:rsid w:val="00FD1841"/>
    <w:rsid w:val="00FD50BB"/>
    <w:rsid w:val="00FE00B8"/>
    <w:rsid w:val="00FE0AAC"/>
    <w:rsid w:val="00FE141E"/>
    <w:rsid w:val="00FE42ED"/>
    <w:rsid w:val="00FE7E8F"/>
    <w:rsid w:val="00FF3F5C"/>
    <w:rsid w:val="00FF54D5"/>
    <w:rsid w:val="201690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B43"/>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DA39FC"/>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31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2289097">
      <w:bodyDiv w:val="1"/>
      <w:marLeft w:val="0"/>
      <w:marRight w:val="0"/>
      <w:marTop w:val="0"/>
      <w:marBottom w:val="0"/>
      <w:divBdr>
        <w:top w:val="none" w:sz="0" w:space="0" w:color="auto"/>
        <w:left w:val="none" w:sz="0" w:space="0" w:color="auto"/>
        <w:bottom w:val="none" w:sz="0" w:space="0" w:color="auto"/>
        <w:right w:val="none" w:sz="0" w:space="0" w:color="auto"/>
      </w:divBdr>
      <w:divsChild>
        <w:div w:id="940995188">
          <w:marLeft w:val="0"/>
          <w:marRight w:val="0"/>
          <w:marTop w:val="0"/>
          <w:marBottom w:val="0"/>
          <w:divBdr>
            <w:top w:val="none" w:sz="0" w:space="0" w:color="auto"/>
            <w:left w:val="none" w:sz="0" w:space="0" w:color="auto"/>
            <w:bottom w:val="none" w:sz="0" w:space="0" w:color="auto"/>
            <w:right w:val="none" w:sz="0" w:space="0" w:color="auto"/>
          </w:divBdr>
        </w:div>
      </w:divsChild>
    </w:div>
    <w:div w:id="13568174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48539777">
      <w:bodyDiv w:val="1"/>
      <w:marLeft w:val="0"/>
      <w:marRight w:val="0"/>
      <w:marTop w:val="0"/>
      <w:marBottom w:val="0"/>
      <w:divBdr>
        <w:top w:val="none" w:sz="0" w:space="0" w:color="auto"/>
        <w:left w:val="none" w:sz="0" w:space="0" w:color="auto"/>
        <w:bottom w:val="none" w:sz="0" w:space="0" w:color="auto"/>
        <w:right w:val="none" w:sz="0" w:space="0" w:color="auto"/>
      </w:divBdr>
    </w:div>
    <w:div w:id="1396781755">
      <w:bodyDiv w:val="1"/>
      <w:marLeft w:val="0"/>
      <w:marRight w:val="0"/>
      <w:marTop w:val="0"/>
      <w:marBottom w:val="0"/>
      <w:divBdr>
        <w:top w:val="none" w:sz="0" w:space="0" w:color="auto"/>
        <w:left w:val="none" w:sz="0" w:space="0" w:color="auto"/>
        <w:bottom w:val="none" w:sz="0" w:space="0" w:color="auto"/>
        <w:right w:val="none" w:sz="0" w:space="0" w:color="auto"/>
      </w:divBdr>
    </w:div>
    <w:div w:id="1402483555">
      <w:bodyDiv w:val="1"/>
      <w:marLeft w:val="0"/>
      <w:marRight w:val="0"/>
      <w:marTop w:val="0"/>
      <w:marBottom w:val="0"/>
      <w:divBdr>
        <w:top w:val="none" w:sz="0" w:space="0" w:color="auto"/>
        <w:left w:val="none" w:sz="0" w:space="0" w:color="auto"/>
        <w:bottom w:val="none" w:sz="0" w:space="0" w:color="auto"/>
        <w:right w:val="none" w:sz="0" w:space="0" w:color="auto"/>
      </w:divBdr>
      <w:divsChild>
        <w:div w:id="410663662">
          <w:marLeft w:val="0"/>
          <w:marRight w:val="0"/>
          <w:marTop w:val="0"/>
          <w:marBottom w:val="0"/>
          <w:divBdr>
            <w:top w:val="none" w:sz="0" w:space="0" w:color="auto"/>
            <w:left w:val="none" w:sz="0" w:space="0" w:color="auto"/>
            <w:bottom w:val="none" w:sz="0" w:space="0" w:color="auto"/>
            <w:right w:val="none" w:sz="0" w:space="0" w:color="auto"/>
          </w:divBdr>
        </w:div>
      </w:divsChild>
    </w:div>
    <w:div w:id="15624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C4BFD-3A28-4C94-A886-01F0B0B2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37CEC-7ED8-4437-B66C-0E7D21C319D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31376DB-B90F-46FD-8FC7-CD0ABE4BC7B2}">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5079</Words>
  <Characters>27935</Characters>
  <Application>Microsoft Office Word</Application>
  <DocSecurity>0</DocSecurity>
  <Lines>232</Lines>
  <Paragraphs>65</Paragraphs>
  <ScaleCrop>false</ScaleCrop>
  <Company/>
  <LinksUpToDate>false</LinksUpToDate>
  <CharactersWithSpaces>32949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6</cp:revision>
  <cp:lastPrinted>2020-03-02T18:04:00Z</cp:lastPrinted>
  <dcterms:created xsi:type="dcterms:W3CDTF">2021-01-18T22:19:00Z</dcterms:created>
  <dcterms:modified xsi:type="dcterms:W3CDTF">2021-01-20T14:39:00Z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