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11E56" w14:textId="5D728F4A" w:rsidR="003C3359" w:rsidRDefault="003C3359" w:rsidP="003C3359">
      <w:pPr>
        <w:jc w:val="right"/>
        <w:rPr>
          <w:rFonts w:ascii="Arial" w:hAnsi="Arial" w:cs="Arial"/>
          <w:b/>
          <w:sz w:val="16"/>
          <w:szCs w:val="16"/>
          <w:lang w:eastAsia="es-ES"/>
        </w:rPr>
      </w:pPr>
      <w:bookmarkStart w:id="0" w:name="_Hlk28946138"/>
      <w:bookmarkStart w:id="1" w:name="_Hlk29548183"/>
      <w:bookmarkStart w:id="2" w:name="_Hlk57025660"/>
      <w:r w:rsidRPr="00196BCD">
        <w:rPr>
          <w:rFonts w:ascii="Arial" w:hAnsi="Arial" w:cs="Arial"/>
          <w:b/>
          <w:sz w:val="16"/>
          <w:szCs w:val="16"/>
          <w:lang w:eastAsia="es-ES"/>
        </w:rPr>
        <w:tab/>
        <w:t>CCE-DES-FM-17</w:t>
      </w:r>
    </w:p>
    <w:p w14:paraId="0EF00478" w14:textId="77777777" w:rsidR="004D4C99" w:rsidRPr="00196BCD" w:rsidRDefault="004D4C99" w:rsidP="003C3359">
      <w:pPr>
        <w:jc w:val="right"/>
        <w:rPr>
          <w:rFonts w:ascii="Arial" w:hAnsi="Arial" w:cs="Arial"/>
          <w:b/>
          <w:sz w:val="16"/>
          <w:szCs w:val="16"/>
          <w:lang w:eastAsia="es-ES"/>
        </w:rPr>
      </w:pPr>
    </w:p>
    <w:bookmarkEnd w:id="0"/>
    <w:bookmarkEnd w:id="1"/>
    <w:p w14:paraId="6C690DBA" w14:textId="77777777" w:rsidR="007B5077" w:rsidRPr="00EB32BF" w:rsidRDefault="007B5077" w:rsidP="007B5077">
      <w:pPr>
        <w:rPr>
          <w:rFonts w:ascii="Arial" w:eastAsia="Calibri" w:hAnsi="Arial" w:cs="Arial"/>
          <w:b/>
          <w:sz w:val="22"/>
          <w:lang w:val="es-ES_tradnl"/>
        </w:rPr>
      </w:pPr>
      <w:r w:rsidRPr="00EB32BF">
        <w:rPr>
          <w:rFonts w:ascii="Arial" w:eastAsia="Calibri" w:hAnsi="Arial" w:cs="Arial"/>
          <w:b/>
          <w:sz w:val="22"/>
          <w:lang w:val="es-ES_tradnl"/>
        </w:rPr>
        <w:t>ESTUDIOS PREVIOS – Planeación contractual</w:t>
      </w:r>
    </w:p>
    <w:p w14:paraId="15408C43" w14:textId="77777777" w:rsidR="007B5077" w:rsidRPr="0043375B" w:rsidRDefault="007B5077" w:rsidP="007B5077">
      <w:pPr>
        <w:rPr>
          <w:rFonts w:ascii="Arial" w:eastAsia="Calibri" w:hAnsi="Arial" w:cs="Arial"/>
          <w:b/>
          <w:sz w:val="20"/>
          <w:szCs w:val="20"/>
          <w:lang w:val="es-ES_tradnl"/>
        </w:rPr>
      </w:pPr>
    </w:p>
    <w:p w14:paraId="6851AB32" w14:textId="77777777" w:rsidR="007B5077" w:rsidRPr="00BA119B" w:rsidRDefault="007B5077" w:rsidP="007B5077">
      <w:pPr>
        <w:jc w:val="both"/>
        <w:rPr>
          <w:sz w:val="20"/>
          <w:szCs w:val="20"/>
        </w:rPr>
      </w:pPr>
      <w:r w:rsidRPr="00BA119B">
        <w:rPr>
          <w:rFonts w:ascii="Arial" w:eastAsia="Calibri" w:hAnsi="Arial" w:cs="Arial"/>
          <w:bCs/>
          <w:sz w:val="20"/>
          <w:szCs w:val="20"/>
          <w:lang w:val="es-ES_tradn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p>
    <w:p w14:paraId="20219A99" w14:textId="77777777" w:rsidR="007B5077" w:rsidRDefault="007B5077" w:rsidP="007B5077">
      <w:pPr>
        <w:jc w:val="both"/>
        <w:rPr>
          <w:rFonts w:asciiTheme="minorBidi" w:hAnsiTheme="minorBidi"/>
          <w:sz w:val="20"/>
          <w:szCs w:val="20"/>
        </w:rPr>
      </w:pPr>
    </w:p>
    <w:p w14:paraId="4434959B" w14:textId="77777777" w:rsidR="007B5077" w:rsidRPr="00EB32BF" w:rsidRDefault="007B5077" w:rsidP="007B5077">
      <w:pPr>
        <w:jc w:val="both"/>
        <w:rPr>
          <w:rFonts w:ascii="Arial" w:eastAsia="Calibri" w:hAnsi="Arial" w:cs="Arial"/>
          <w:b/>
          <w:sz w:val="22"/>
          <w:lang w:val="es-ES_tradnl"/>
        </w:rPr>
      </w:pPr>
      <w:r w:rsidRPr="00EB32BF">
        <w:rPr>
          <w:rFonts w:ascii="Arial" w:eastAsia="Calibri" w:hAnsi="Arial" w:cs="Arial"/>
          <w:b/>
          <w:sz w:val="22"/>
          <w:lang w:val="es-ES_tradnl"/>
        </w:rPr>
        <w:t xml:space="preserve">ESTUDIOS PREVIOS – Oportunidad – Etapa precontractual </w:t>
      </w:r>
    </w:p>
    <w:p w14:paraId="305C33BA" w14:textId="77777777" w:rsidR="007B5077" w:rsidRDefault="007B5077" w:rsidP="007B5077">
      <w:pPr>
        <w:jc w:val="both"/>
        <w:rPr>
          <w:rFonts w:asciiTheme="minorBidi" w:hAnsiTheme="minorBidi"/>
          <w:sz w:val="20"/>
          <w:szCs w:val="20"/>
        </w:rPr>
      </w:pPr>
    </w:p>
    <w:p w14:paraId="5C3926EF" w14:textId="77777777" w:rsidR="007B5077" w:rsidRPr="00BA119B" w:rsidRDefault="007B5077" w:rsidP="007B5077">
      <w:pPr>
        <w:ind w:right="105"/>
        <w:jc w:val="both"/>
        <w:rPr>
          <w:rFonts w:asciiTheme="minorBidi" w:hAnsiTheme="minorBidi"/>
          <w:sz w:val="20"/>
          <w:szCs w:val="20"/>
        </w:rPr>
      </w:pPr>
      <w:r w:rsidRPr="00BA119B">
        <w:rPr>
          <w:rFonts w:asciiTheme="minorBidi" w:hAnsiTheme="minorBidi"/>
          <w:sz w:val="20"/>
          <w:szCs w:val="20"/>
        </w:rPr>
        <w:t>De lo explicado se desprende que los estudios y documentos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pactado.</w:t>
      </w:r>
    </w:p>
    <w:p w14:paraId="179779CA" w14:textId="77777777" w:rsidR="007B5077" w:rsidRDefault="007B5077" w:rsidP="007B5077">
      <w:pPr>
        <w:jc w:val="both"/>
        <w:rPr>
          <w:rFonts w:ascii="Arial" w:eastAsia="Calibri" w:hAnsi="Arial" w:cs="Arial"/>
          <w:b/>
          <w:sz w:val="22"/>
          <w:lang w:val="es-ES_tradnl"/>
        </w:rPr>
      </w:pPr>
    </w:p>
    <w:p w14:paraId="2928017E" w14:textId="77777777" w:rsidR="007B5077" w:rsidRPr="00196BCD" w:rsidRDefault="007B5077" w:rsidP="007B5077">
      <w:pPr>
        <w:jc w:val="both"/>
        <w:rPr>
          <w:rFonts w:ascii="Arial" w:eastAsia="Calibri" w:hAnsi="Arial" w:cs="Arial"/>
          <w:b/>
          <w:sz w:val="22"/>
          <w:lang w:val="es-ES_tradnl"/>
        </w:rPr>
      </w:pPr>
      <w:r w:rsidRPr="00196BCD">
        <w:rPr>
          <w:rFonts w:ascii="Arial" w:eastAsia="Calibri" w:hAnsi="Arial" w:cs="Arial"/>
          <w:b/>
          <w:sz w:val="22"/>
          <w:lang w:val="es-ES_tradnl"/>
        </w:rPr>
        <w:t xml:space="preserve">ESTUDIOS DEL SECTOR </w:t>
      </w:r>
      <w:r w:rsidRPr="00196BCD">
        <w:rPr>
          <w:rFonts w:ascii="Arial" w:eastAsia="Calibri" w:hAnsi="Arial" w:cs="Arial"/>
          <w:b/>
          <w:sz w:val="22"/>
        </w:rPr>
        <w:t>–</w:t>
      </w:r>
      <w:r w:rsidRPr="00196BCD">
        <w:rPr>
          <w:rFonts w:ascii="Arial" w:eastAsia="Calibri" w:hAnsi="Arial" w:cs="Arial"/>
          <w:b/>
          <w:sz w:val="22"/>
          <w:lang w:val="es-ES_tradnl"/>
        </w:rPr>
        <w:t xml:space="preserve"> Manifestación </w:t>
      </w:r>
      <w:r w:rsidRPr="00196BCD">
        <w:rPr>
          <w:rFonts w:ascii="Arial" w:eastAsia="Calibri" w:hAnsi="Arial" w:cs="Arial"/>
          <w:b/>
          <w:sz w:val="22"/>
        </w:rPr>
        <w:t xml:space="preserve">– </w:t>
      </w:r>
      <w:r w:rsidRPr="00196BCD">
        <w:rPr>
          <w:rFonts w:ascii="Arial" w:eastAsia="Calibri" w:hAnsi="Arial" w:cs="Arial"/>
          <w:b/>
          <w:sz w:val="22"/>
          <w:lang w:val="es-ES_tradnl"/>
        </w:rPr>
        <w:t xml:space="preserve">Principio de planeación </w:t>
      </w:r>
    </w:p>
    <w:p w14:paraId="7ECE00B5" w14:textId="77777777" w:rsidR="007B5077" w:rsidRPr="00196BCD" w:rsidRDefault="007B5077" w:rsidP="007B5077">
      <w:pPr>
        <w:jc w:val="both"/>
        <w:rPr>
          <w:rFonts w:ascii="Arial" w:eastAsia="Calibri" w:hAnsi="Arial" w:cs="Arial"/>
          <w:sz w:val="20"/>
          <w:szCs w:val="20"/>
          <w:lang w:val="es-ES_tradnl"/>
        </w:rPr>
      </w:pPr>
    </w:p>
    <w:p w14:paraId="3FFE19F6" w14:textId="77777777" w:rsidR="007B5077" w:rsidRPr="00196BCD" w:rsidRDefault="007B5077" w:rsidP="007B5077">
      <w:pPr>
        <w:tabs>
          <w:tab w:val="left" w:pos="426"/>
        </w:tabs>
        <w:spacing w:after="120"/>
        <w:jc w:val="both"/>
        <w:rPr>
          <w:rFonts w:ascii="Arial" w:eastAsia="Calibri" w:hAnsi="Arial" w:cs="Arial"/>
          <w:sz w:val="20"/>
          <w:szCs w:val="20"/>
          <w:lang w:val="es-ES"/>
        </w:rPr>
      </w:pPr>
      <w:r w:rsidRPr="00196BCD">
        <w:rPr>
          <w:rFonts w:ascii="Arial" w:eastAsia="Calibri" w:hAnsi="Arial" w:cs="Arial"/>
          <w:sz w:val="20"/>
          <w:szCs w:val="20"/>
          <w:lang w:val="es-ES"/>
        </w:rPr>
        <w:t>[…] 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a la hora de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1236D61A" w14:textId="77777777" w:rsidR="007B5077" w:rsidRPr="00196BCD" w:rsidRDefault="007B5077" w:rsidP="007B5077">
      <w:pPr>
        <w:tabs>
          <w:tab w:val="left" w:pos="426"/>
        </w:tabs>
        <w:jc w:val="both"/>
        <w:rPr>
          <w:rFonts w:ascii="Arial" w:eastAsia="Calibri" w:hAnsi="Arial" w:cs="Arial"/>
          <w:sz w:val="20"/>
          <w:lang w:val="es-ES_tradnl"/>
        </w:rPr>
      </w:pPr>
      <w:r>
        <w:rPr>
          <w:rFonts w:ascii="Arial" w:eastAsia="Calibri" w:hAnsi="Arial" w:cs="Arial"/>
          <w:sz w:val="20"/>
          <w:lang w:val="es-ES_tradnl"/>
        </w:rPr>
        <w:t xml:space="preserve">[…] </w:t>
      </w:r>
      <w:r w:rsidRPr="00196BCD">
        <w:rPr>
          <w:rFonts w:ascii="Arial" w:eastAsia="Calibri" w:hAnsi="Arial" w:cs="Arial"/>
          <w:sz w:val="20"/>
          <w:lang w:val="es-ES_tradnl"/>
        </w:rPr>
        <w:t>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5CC04DDA" w14:textId="77777777" w:rsidR="007B5077" w:rsidRPr="00196BCD" w:rsidRDefault="007B5077" w:rsidP="007B5077">
      <w:pPr>
        <w:tabs>
          <w:tab w:val="left" w:pos="426"/>
        </w:tabs>
        <w:jc w:val="both"/>
        <w:rPr>
          <w:rFonts w:ascii="Arial" w:eastAsia="Calibri" w:hAnsi="Arial" w:cs="Arial"/>
          <w:b/>
          <w:bCs/>
          <w:sz w:val="22"/>
          <w:szCs w:val="24"/>
          <w:lang w:val="es-CO"/>
        </w:rPr>
      </w:pPr>
    </w:p>
    <w:p w14:paraId="58779D0E" w14:textId="77777777" w:rsidR="007B5077" w:rsidRPr="00196BCD" w:rsidRDefault="007B5077" w:rsidP="007B5077">
      <w:pPr>
        <w:tabs>
          <w:tab w:val="left" w:pos="426"/>
        </w:tabs>
        <w:jc w:val="both"/>
        <w:rPr>
          <w:rFonts w:ascii="Arial" w:eastAsia="Calibri" w:hAnsi="Arial" w:cs="Arial"/>
          <w:b/>
          <w:bCs/>
          <w:sz w:val="22"/>
          <w:szCs w:val="24"/>
          <w:lang w:val="es-CO"/>
        </w:rPr>
      </w:pPr>
      <w:r w:rsidRPr="00196BCD">
        <w:rPr>
          <w:rFonts w:ascii="Arial" w:eastAsia="Calibri" w:hAnsi="Arial" w:cs="Arial"/>
          <w:b/>
          <w:bCs/>
          <w:sz w:val="22"/>
          <w:szCs w:val="24"/>
          <w:lang w:val="es-CO"/>
        </w:rPr>
        <w:t>DOCUMENTOS TIPO – Estudio del sector –</w:t>
      </w:r>
      <w:r>
        <w:rPr>
          <w:rFonts w:ascii="Arial" w:eastAsia="Calibri" w:hAnsi="Arial" w:cs="Arial"/>
          <w:b/>
          <w:bCs/>
          <w:sz w:val="22"/>
          <w:szCs w:val="24"/>
          <w:lang w:val="es-CO"/>
        </w:rPr>
        <w:t xml:space="preserve"> R</w:t>
      </w:r>
      <w:r w:rsidRPr="00196BCD">
        <w:rPr>
          <w:rFonts w:ascii="Arial" w:eastAsia="Calibri" w:hAnsi="Arial" w:cs="Arial"/>
          <w:b/>
          <w:bCs/>
          <w:sz w:val="22"/>
          <w:szCs w:val="24"/>
          <w:lang w:val="es-CO"/>
        </w:rPr>
        <w:t>equisitos habilitantes</w:t>
      </w:r>
      <w:r>
        <w:rPr>
          <w:rFonts w:ascii="Arial" w:eastAsia="Calibri" w:hAnsi="Arial" w:cs="Arial"/>
          <w:b/>
          <w:bCs/>
          <w:sz w:val="22"/>
          <w:szCs w:val="24"/>
          <w:lang w:val="es-CO"/>
        </w:rPr>
        <w:t xml:space="preserve"> – Determinación</w:t>
      </w:r>
    </w:p>
    <w:p w14:paraId="7FD0FB66" w14:textId="77777777" w:rsidR="007B5077" w:rsidRPr="00196BCD" w:rsidRDefault="007B5077" w:rsidP="007B5077">
      <w:pPr>
        <w:tabs>
          <w:tab w:val="left" w:pos="426"/>
        </w:tabs>
        <w:jc w:val="both"/>
        <w:rPr>
          <w:rFonts w:ascii="Arial" w:eastAsia="Calibri" w:hAnsi="Arial" w:cs="Arial"/>
          <w:sz w:val="20"/>
          <w:lang w:val="es-CO"/>
        </w:rPr>
      </w:pPr>
    </w:p>
    <w:p w14:paraId="0F4965AE" w14:textId="77777777" w:rsidR="007B5077" w:rsidRPr="00BA119B" w:rsidRDefault="007B5077" w:rsidP="007B5077">
      <w:pPr>
        <w:jc w:val="both"/>
        <w:rPr>
          <w:rFonts w:ascii="Arial" w:hAnsi="Arial" w:cs="Arial"/>
          <w:sz w:val="20"/>
          <w:szCs w:val="20"/>
          <w:lang w:val="es-CO"/>
        </w:rPr>
      </w:pPr>
      <w:r w:rsidRPr="00BA119B">
        <w:rPr>
          <w:rFonts w:ascii="Arial" w:hAnsi="Arial" w:cs="Arial"/>
          <w:sz w:val="20"/>
          <w:szCs w:val="20"/>
          <w:lang w:val="es-CO"/>
        </w:rPr>
        <w:t xml:space="preserve">En ese entendido, si bien el artículo 2.2.1.1.1.6.2 del Decreto de 2015 establece que uno de los factores, en virtud del cual deben determinarse los requisitos habilitantes aplicables para los procesos de contratación, es el análisis o estudio del sector económico. Tratándose de procesos en los que resulte obligatoria la aplicación de documentos tipo, tal determinación está limitada a las entidades por cuenta de la obligatoriedad e inalterabilidad de estos requisitos. Por ello, una interpretación integradora de lo dispuesto en el artículo 4 de la Ley 1882 de 2018 y los artículos </w:t>
      </w:r>
      <w:r w:rsidRPr="00BA119B">
        <w:rPr>
          <w:rFonts w:ascii="Arial" w:hAnsi="Arial" w:cs="Arial"/>
          <w:sz w:val="20"/>
          <w:szCs w:val="20"/>
          <w:lang w:val="es-ES"/>
        </w:rPr>
        <w:t xml:space="preserve">2.2.1.2.6.1.4, 2.2.1.2.6.2.3 y 2.2.1.2.6.3.4 del Decreto 1082 de 2015, permite concluir que </w:t>
      </w:r>
      <w:r w:rsidRPr="00BA119B">
        <w:rPr>
          <w:rFonts w:ascii="Arial" w:hAnsi="Arial" w:cs="Arial"/>
          <w:sz w:val="20"/>
          <w:szCs w:val="20"/>
          <w:lang w:val="es-CO"/>
        </w:rPr>
        <w:t>en la aplicación del artículo 2.2.1.1.1.6.2 las entidades encuentran reducido su ámbito de discrecionalidad, por lo que deben ceñirse a los parámetros establecidos en los documentos tipo para determinar los requisitos habilitantes.</w:t>
      </w:r>
    </w:p>
    <w:p w14:paraId="0DCE6DCD" w14:textId="77777777" w:rsidR="007B5077" w:rsidRDefault="007B5077" w:rsidP="007B5077">
      <w:pPr>
        <w:tabs>
          <w:tab w:val="left" w:pos="426"/>
        </w:tabs>
        <w:jc w:val="both"/>
        <w:rPr>
          <w:rFonts w:ascii="Arial" w:eastAsia="Calibri" w:hAnsi="Arial" w:cs="Arial"/>
          <w:b/>
          <w:bCs/>
          <w:sz w:val="22"/>
          <w:szCs w:val="24"/>
          <w:lang w:val="es-CO"/>
        </w:rPr>
      </w:pPr>
      <w:r w:rsidRPr="00196BCD">
        <w:rPr>
          <w:rFonts w:ascii="Arial" w:eastAsia="Calibri" w:hAnsi="Arial" w:cs="Arial"/>
          <w:b/>
          <w:bCs/>
          <w:sz w:val="22"/>
          <w:szCs w:val="24"/>
          <w:lang w:val="es-CO"/>
        </w:rPr>
        <w:lastRenderedPageBreak/>
        <w:t>ESTUDIO DEL SECTOR –</w:t>
      </w:r>
      <w:r>
        <w:rPr>
          <w:rFonts w:ascii="Arial" w:eastAsia="Calibri" w:hAnsi="Arial" w:cs="Arial"/>
          <w:b/>
          <w:bCs/>
          <w:sz w:val="22"/>
          <w:szCs w:val="24"/>
          <w:lang w:val="es-CO"/>
        </w:rPr>
        <w:t xml:space="preserve"> </w:t>
      </w:r>
      <w:r w:rsidRPr="00196BCD">
        <w:rPr>
          <w:rFonts w:ascii="Arial" w:eastAsia="Calibri" w:hAnsi="Arial" w:cs="Arial"/>
          <w:b/>
          <w:bCs/>
          <w:sz w:val="22"/>
          <w:szCs w:val="24"/>
          <w:lang w:val="es-CO"/>
        </w:rPr>
        <w:t xml:space="preserve">Documento </w:t>
      </w:r>
      <w:r>
        <w:rPr>
          <w:rFonts w:ascii="Arial" w:eastAsia="Calibri" w:hAnsi="Arial" w:cs="Arial"/>
          <w:b/>
          <w:bCs/>
          <w:sz w:val="22"/>
          <w:szCs w:val="24"/>
          <w:lang w:val="es-CO"/>
        </w:rPr>
        <w:t>t</w:t>
      </w:r>
      <w:r w:rsidRPr="00196BCD">
        <w:rPr>
          <w:rFonts w:ascii="Arial" w:eastAsia="Calibri" w:hAnsi="Arial" w:cs="Arial"/>
          <w:b/>
          <w:bCs/>
          <w:sz w:val="22"/>
          <w:szCs w:val="24"/>
          <w:lang w:val="es-CO"/>
        </w:rPr>
        <w:t>ipo</w:t>
      </w:r>
      <w:r>
        <w:rPr>
          <w:rFonts w:ascii="Arial" w:eastAsia="Calibri" w:hAnsi="Arial" w:cs="Arial"/>
          <w:b/>
          <w:bCs/>
          <w:sz w:val="22"/>
          <w:szCs w:val="24"/>
          <w:lang w:val="es-CO"/>
        </w:rPr>
        <w:t xml:space="preserve"> – Alcance</w:t>
      </w:r>
    </w:p>
    <w:p w14:paraId="4356FDAE" w14:textId="77777777" w:rsidR="007B5077" w:rsidRPr="00196BCD" w:rsidRDefault="007B5077" w:rsidP="007B5077">
      <w:pPr>
        <w:tabs>
          <w:tab w:val="left" w:pos="426"/>
        </w:tabs>
        <w:jc w:val="both"/>
        <w:rPr>
          <w:rFonts w:ascii="Arial" w:eastAsia="Calibri" w:hAnsi="Arial" w:cs="Arial"/>
          <w:b/>
          <w:bCs/>
          <w:sz w:val="22"/>
          <w:szCs w:val="24"/>
          <w:lang w:val="es-CO"/>
        </w:rPr>
      </w:pPr>
    </w:p>
    <w:p w14:paraId="7B4EDC7E" w14:textId="77777777" w:rsidR="007B5077" w:rsidRPr="00BA119B" w:rsidRDefault="007B5077" w:rsidP="007B5077">
      <w:pPr>
        <w:tabs>
          <w:tab w:val="left" w:pos="426"/>
        </w:tabs>
        <w:spacing w:after="120"/>
        <w:jc w:val="both"/>
        <w:rPr>
          <w:rFonts w:ascii="Arial" w:hAnsi="Arial" w:cs="Arial"/>
          <w:i/>
          <w:iCs/>
          <w:sz w:val="20"/>
          <w:szCs w:val="20"/>
        </w:rPr>
      </w:pPr>
      <w:r w:rsidRPr="00BA119B">
        <w:rPr>
          <w:rFonts w:ascii="Arial" w:hAnsi="Arial" w:cs="Arial"/>
          <w:sz w:val="20"/>
          <w:szCs w:val="20"/>
          <w:lang w:val="es-CO"/>
        </w:rPr>
        <w:t xml:space="preserve">[…] </w:t>
      </w:r>
      <w:r w:rsidRPr="00BA119B">
        <w:rPr>
          <w:rFonts w:ascii="Arial" w:hAnsi="Arial" w:cs="Arial"/>
          <w:sz w:val="20"/>
          <w:szCs w:val="20"/>
        </w:rPr>
        <w:t xml:space="preserve">los procedimientos para selección de contratistas de obra pública de infraestructura de transporte en las modalidades de licitación pública, selección abreviada de menor cuantía y mínima cuantía adelantados con documentos tipo, a pesar de contar con requisitos habilitantes e índices financieros previamente acotados por dichos documentos, con efectos obligatorios y carácter inalterable, no se encuentran exentos de la obligación de realizar tanto los estudios previos como un análisis del sector en el que tendrá lugar la contratación. Lo anterior, necesariamente requiere aplicar los </w:t>
      </w:r>
      <w:r w:rsidRPr="00BA119B">
        <w:rPr>
          <w:rFonts w:ascii="Arial" w:hAnsi="Arial" w:cs="Arial"/>
          <w:sz w:val="20"/>
          <w:szCs w:val="20"/>
          <w:lang w:val="es-CO"/>
        </w:rPr>
        <w:t xml:space="preserve">artículos 2.2.1.1.2.1.1 y </w:t>
      </w:r>
      <w:r w:rsidRPr="00BA119B">
        <w:rPr>
          <w:rFonts w:ascii="Arial" w:hAnsi="Arial" w:cs="Arial"/>
          <w:sz w:val="20"/>
          <w:szCs w:val="20"/>
        </w:rPr>
        <w:t xml:space="preserve">2.2.1.1.1.6.1 del Decreto 1082 del 2015, evidenciando el cumplimiento de estos requisitos dentro de los </w:t>
      </w:r>
      <w:r w:rsidRPr="00BA119B">
        <w:rPr>
          <w:rFonts w:ascii="Arial" w:hAnsi="Arial" w:cs="Arial"/>
          <w:i/>
          <w:iCs/>
          <w:sz w:val="20"/>
          <w:szCs w:val="20"/>
        </w:rPr>
        <w:t>Documentos del Proceso.</w:t>
      </w:r>
    </w:p>
    <w:p w14:paraId="1B6DB746" w14:textId="77777777" w:rsidR="007B5077" w:rsidRPr="00196BCD" w:rsidRDefault="007B5077" w:rsidP="007B5077">
      <w:pPr>
        <w:tabs>
          <w:tab w:val="left" w:pos="426"/>
        </w:tabs>
        <w:jc w:val="both"/>
        <w:rPr>
          <w:rFonts w:ascii="Arial" w:eastAsia="Calibri" w:hAnsi="Arial" w:cs="Arial"/>
          <w:sz w:val="20"/>
          <w:lang w:val="es-CO"/>
        </w:rPr>
      </w:pPr>
      <w:r>
        <w:rPr>
          <w:rFonts w:ascii="Arial" w:eastAsia="Calibri" w:hAnsi="Arial" w:cs="Arial"/>
          <w:sz w:val="20"/>
        </w:rPr>
        <w:t>[…] l</w:t>
      </w:r>
      <w:r w:rsidRPr="00196BCD">
        <w:rPr>
          <w:rFonts w:ascii="Arial" w:eastAsia="Calibri" w:hAnsi="Arial" w:cs="Arial"/>
          <w:sz w:val="20"/>
        </w:rPr>
        <w:t>a información producto de este análisis, si bien no le servirá a las entidades para determinar los requisitos habilitantes e índices financieros, si permitirá por ejemplo tener un antecedente del compromiso presupuestal que involucra el contrato, realizar el análisis de los riesgos, determinar si una oferta contienes precios artificialmente bajos, sustentar la escogencia de los factores de calidad, determinar la posibilidad de que en un proceso los proponentes acrediten la experiencia de los integrantes de su grupo empresarial o la necesidad de exigir garantías en los procesos de mínima cuantía.</w:t>
      </w:r>
    </w:p>
    <w:p w14:paraId="45EEEDD3" w14:textId="77777777" w:rsidR="00EB32BF" w:rsidRPr="00331868" w:rsidRDefault="00EB32BF" w:rsidP="007B5077">
      <w:pPr>
        <w:pStyle w:val="Default"/>
        <w:rPr>
          <w:color w:val="auto"/>
          <w:sz w:val="22"/>
          <w:szCs w:val="22"/>
          <w:lang w:val="es-ES"/>
        </w:rPr>
      </w:pPr>
    </w:p>
    <w:p w14:paraId="27E409E6" w14:textId="77777777" w:rsidR="003C3359" w:rsidRPr="007967EB" w:rsidRDefault="003C3359" w:rsidP="00767A93">
      <w:pPr>
        <w:autoSpaceDE w:val="0"/>
        <w:autoSpaceDN w:val="0"/>
        <w:adjustRightInd w:val="0"/>
        <w:rPr>
          <w:rFonts w:ascii="Arial" w:hAnsi="Arial" w:cs="Arial"/>
          <w:color w:val="000000"/>
          <w:sz w:val="22"/>
          <w:lang w:val="es-CO"/>
        </w:rPr>
      </w:pPr>
    </w:p>
    <w:p w14:paraId="7981A60B" w14:textId="77777777" w:rsidR="007967EB" w:rsidRPr="007967EB" w:rsidRDefault="007967EB" w:rsidP="003C3359">
      <w:pPr>
        <w:rPr>
          <w:rFonts w:ascii="Arial" w:hAnsi="Arial" w:cs="Arial"/>
          <w:b/>
          <w:bCs/>
        </w:rPr>
      </w:pPr>
      <w:r w:rsidRPr="007967EB">
        <w:rPr>
          <w:rFonts w:ascii="Arial" w:hAnsi="Arial" w:cs="Arial"/>
        </w:rPr>
        <w:t xml:space="preserve">Bogotá D.C., 23/11/2020 </w:t>
      </w:r>
      <w:r w:rsidRPr="007967EB">
        <w:rPr>
          <w:rFonts w:ascii="Arial" w:hAnsi="Arial" w:cs="Arial"/>
          <w:b/>
          <w:bCs/>
        </w:rPr>
        <w:t xml:space="preserve">Hora 12:37:29s </w:t>
      </w:r>
    </w:p>
    <w:p w14:paraId="4D4D99D9" w14:textId="25D1B7B7" w:rsidR="00B13EF7" w:rsidRPr="007967EB" w:rsidRDefault="007967EB" w:rsidP="007967EB">
      <w:pPr>
        <w:jc w:val="right"/>
        <w:rPr>
          <w:rFonts w:ascii="Arial" w:eastAsia="Calibri" w:hAnsi="Arial" w:cs="Arial"/>
          <w:b/>
          <w:bCs/>
          <w:sz w:val="22"/>
          <w:szCs w:val="20"/>
          <w:lang w:val="es-CO"/>
        </w:rPr>
      </w:pPr>
      <w:proofErr w:type="spellStart"/>
      <w:r w:rsidRPr="007967EB">
        <w:rPr>
          <w:rFonts w:ascii="Arial" w:hAnsi="Arial" w:cs="Arial"/>
          <w:b/>
          <w:bCs/>
        </w:rPr>
        <w:t>N°</w:t>
      </w:r>
      <w:proofErr w:type="spellEnd"/>
      <w:r w:rsidRPr="007967EB">
        <w:rPr>
          <w:rFonts w:ascii="Arial" w:hAnsi="Arial" w:cs="Arial"/>
          <w:b/>
          <w:bCs/>
        </w:rPr>
        <w:t xml:space="preserve"> Radicado: 2202013000011543</w:t>
      </w:r>
    </w:p>
    <w:p w14:paraId="537F152F" w14:textId="77777777" w:rsidR="00F05E06" w:rsidRDefault="00F05E06" w:rsidP="003C3359">
      <w:pPr>
        <w:rPr>
          <w:rFonts w:ascii="Arial" w:eastAsia="Calibri" w:hAnsi="Arial" w:cs="Arial"/>
          <w:sz w:val="22"/>
          <w:szCs w:val="20"/>
          <w:lang w:val="es-CO"/>
        </w:rPr>
      </w:pPr>
    </w:p>
    <w:p w14:paraId="3A5876C1" w14:textId="4EE1F3AA" w:rsidR="003C3359" w:rsidRPr="005E7C4D" w:rsidRDefault="003C3359" w:rsidP="003C3359">
      <w:pPr>
        <w:rPr>
          <w:rFonts w:ascii="Arial" w:eastAsia="Calibri" w:hAnsi="Arial" w:cs="Arial"/>
          <w:sz w:val="22"/>
          <w:szCs w:val="20"/>
          <w:lang w:val="es-CO"/>
        </w:rPr>
      </w:pPr>
      <w:r w:rsidRPr="005E7C4D">
        <w:rPr>
          <w:rFonts w:ascii="Arial" w:eastAsia="Calibri" w:hAnsi="Arial" w:cs="Arial"/>
          <w:sz w:val="22"/>
          <w:szCs w:val="20"/>
          <w:lang w:val="es-CO"/>
        </w:rPr>
        <w:t>Señor</w:t>
      </w:r>
      <w:r w:rsidR="005E7C4D">
        <w:rPr>
          <w:rFonts w:ascii="Arial" w:eastAsia="Calibri" w:hAnsi="Arial" w:cs="Arial"/>
          <w:sz w:val="22"/>
          <w:szCs w:val="20"/>
          <w:lang w:val="es-CO"/>
        </w:rPr>
        <w:t>a</w:t>
      </w:r>
    </w:p>
    <w:p w14:paraId="6ED0AA2B" w14:textId="313535FE" w:rsidR="003C3359" w:rsidRPr="00331868" w:rsidRDefault="00F05E06" w:rsidP="003C3359">
      <w:pPr>
        <w:rPr>
          <w:rFonts w:ascii="Arial" w:hAnsi="Arial" w:cs="Arial"/>
          <w:b/>
          <w:bCs/>
          <w:sz w:val="22"/>
        </w:rPr>
      </w:pPr>
      <w:r w:rsidRPr="00331868">
        <w:rPr>
          <w:rFonts w:ascii="Arial" w:hAnsi="Arial" w:cs="Arial"/>
          <w:b/>
          <w:bCs/>
          <w:sz w:val="22"/>
        </w:rPr>
        <w:t>Adriana Gómez</w:t>
      </w:r>
    </w:p>
    <w:p w14:paraId="3890C074" w14:textId="485AF9AC" w:rsidR="003C3359" w:rsidRPr="00331868" w:rsidRDefault="005E7C4D" w:rsidP="003C3359">
      <w:pPr>
        <w:rPr>
          <w:rFonts w:ascii="Arial" w:eastAsia="Calibri" w:hAnsi="Arial" w:cs="Arial"/>
          <w:sz w:val="22"/>
          <w:lang w:val="es-CO"/>
        </w:rPr>
      </w:pPr>
      <w:r w:rsidRPr="00331868">
        <w:rPr>
          <w:rFonts w:ascii="Arial" w:eastAsia="Calibri" w:hAnsi="Arial" w:cs="Arial"/>
          <w:sz w:val="22"/>
          <w:lang w:val="es-CO"/>
        </w:rPr>
        <w:t>Cajicá, Cundinamarca</w:t>
      </w:r>
    </w:p>
    <w:p w14:paraId="2433F011" w14:textId="4D5C8FF4" w:rsidR="003C3359" w:rsidRDefault="003C3359" w:rsidP="003C3359">
      <w:pPr>
        <w:rPr>
          <w:rFonts w:ascii="Arial" w:eastAsia="Calibri" w:hAnsi="Arial" w:cs="Arial"/>
          <w:sz w:val="22"/>
          <w:szCs w:val="20"/>
          <w:lang w:val="es-CO"/>
        </w:rPr>
      </w:pPr>
    </w:p>
    <w:p w14:paraId="730B6259" w14:textId="77777777" w:rsidR="00F05E06" w:rsidRPr="005E7C4D" w:rsidRDefault="00F05E06" w:rsidP="003C3359">
      <w:pPr>
        <w:rPr>
          <w:rFonts w:ascii="Arial" w:eastAsia="Calibri" w:hAnsi="Arial" w:cs="Arial"/>
          <w:sz w:val="22"/>
          <w:szCs w:val="20"/>
          <w:lang w:val="es-CO"/>
        </w:rPr>
      </w:pPr>
    </w:p>
    <w:p w14:paraId="778D926A" w14:textId="5A0D66EA" w:rsidR="003C3359" w:rsidRPr="00CE4F94" w:rsidRDefault="003C3359" w:rsidP="003C3359">
      <w:pPr>
        <w:rPr>
          <w:rFonts w:ascii="Arial" w:eastAsia="Calibri" w:hAnsi="Arial" w:cs="Arial"/>
          <w:b/>
          <w:sz w:val="22"/>
          <w:lang w:val="pt-BR"/>
        </w:rPr>
      </w:pPr>
      <w:r w:rsidRPr="005E7C4D">
        <w:rPr>
          <w:rFonts w:ascii="Arial" w:eastAsia="Calibri" w:hAnsi="Arial" w:cs="Arial"/>
          <w:b/>
          <w:sz w:val="22"/>
          <w:lang w:val="es-CO"/>
        </w:rPr>
        <w:t xml:space="preserve">                                            </w:t>
      </w:r>
      <w:r w:rsidRPr="00CE4F94">
        <w:rPr>
          <w:rFonts w:ascii="Arial" w:eastAsia="Calibri" w:hAnsi="Arial" w:cs="Arial"/>
          <w:b/>
          <w:sz w:val="22"/>
          <w:lang w:val="pt-BR"/>
        </w:rPr>
        <w:t xml:space="preserve">Concepto </w:t>
      </w:r>
      <w:r w:rsidR="005E7C4D" w:rsidRPr="005E7C4D">
        <w:rPr>
          <w:rFonts w:ascii="Arial" w:eastAsia="Calibri" w:hAnsi="Arial" w:cs="Arial"/>
          <w:b/>
          <w:sz w:val="22"/>
          <w:lang w:val="pt-BR"/>
        </w:rPr>
        <w:t>C</w:t>
      </w:r>
      <w:r w:rsidR="005E7C4D">
        <w:rPr>
          <w:rFonts w:ascii="Arial" w:eastAsia="Calibri" w:hAnsi="Arial" w:cs="Arial"/>
          <w:b/>
          <w:sz w:val="22"/>
          <w:lang w:val="pt-BR"/>
        </w:rPr>
        <w:t>−</w:t>
      </w:r>
      <w:r w:rsidR="005E7C4D" w:rsidRPr="005E7C4D">
        <w:rPr>
          <w:rFonts w:ascii="Arial" w:eastAsia="Calibri" w:hAnsi="Arial" w:cs="Arial"/>
          <w:b/>
          <w:sz w:val="22"/>
          <w:lang w:val="pt-BR"/>
        </w:rPr>
        <w:t>671</w:t>
      </w:r>
      <w:r w:rsidR="005E7C4D">
        <w:rPr>
          <w:rFonts w:ascii="Arial" w:eastAsia="Calibri" w:hAnsi="Arial" w:cs="Arial"/>
          <w:b/>
          <w:sz w:val="22"/>
          <w:lang w:val="pt-BR"/>
        </w:rPr>
        <w:t xml:space="preserve"> de 2020</w:t>
      </w:r>
    </w:p>
    <w:p w14:paraId="0D36EF56" w14:textId="77777777" w:rsidR="003C3359" w:rsidRPr="00CE4F94" w:rsidRDefault="003C3359" w:rsidP="003C3359">
      <w:pPr>
        <w:rPr>
          <w:rFonts w:ascii="Arial" w:eastAsia="Calibri" w:hAnsi="Arial" w:cs="Arial"/>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C3359" w:rsidRPr="00196BCD" w14:paraId="73BEDB9A" w14:textId="77777777" w:rsidTr="00BB6D66">
        <w:tc>
          <w:tcPr>
            <w:tcW w:w="2689" w:type="dxa"/>
            <w:hideMark/>
          </w:tcPr>
          <w:p w14:paraId="0F886F6A" w14:textId="77777777" w:rsidR="003C3359" w:rsidRPr="00196BCD" w:rsidRDefault="003C3359" w:rsidP="00BB6D66">
            <w:pPr>
              <w:rPr>
                <w:rFonts w:ascii="Arial" w:eastAsia="Calibri" w:hAnsi="Arial" w:cs="Arial"/>
                <w:sz w:val="22"/>
              </w:rPr>
            </w:pPr>
            <w:r w:rsidRPr="00196BCD">
              <w:rPr>
                <w:rFonts w:ascii="Arial" w:eastAsia="Calibri" w:hAnsi="Arial" w:cs="Arial"/>
                <w:b/>
                <w:sz w:val="22"/>
              </w:rPr>
              <w:t>Temas:</w:t>
            </w:r>
            <w:r w:rsidRPr="00196BCD">
              <w:rPr>
                <w:rFonts w:ascii="Arial" w:eastAsia="Calibri" w:hAnsi="Arial" w:cs="Arial"/>
                <w:sz w:val="22"/>
              </w:rPr>
              <w:t xml:space="preserve">           </w:t>
            </w:r>
          </w:p>
          <w:p w14:paraId="0026FFB1" w14:textId="77777777" w:rsidR="003C3359" w:rsidRPr="00196BCD" w:rsidRDefault="003C3359" w:rsidP="00BB6D66">
            <w:pPr>
              <w:rPr>
                <w:rFonts w:ascii="Arial" w:eastAsia="Calibri" w:hAnsi="Arial" w:cs="Arial"/>
                <w:sz w:val="22"/>
              </w:rPr>
            </w:pPr>
            <w:r w:rsidRPr="00196BCD">
              <w:rPr>
                <w:rFonts w:ascii="Arial" w:eastAsia="Calibri" w:hAnsi="Arial" w:cs="Arial"/>
                <w:sz w:val="22"/>
              </w:rPr>
              <w:t xml:space="preserve">                           </w:t>
            </w:r>
          </w:p>
        </w:tc>
        <w:tc>
          <w:tcPr>
            <w:tcW w:w="6237" w:type="dxa"/>
            <w:hideMark/>
          </w:tcPr>
          <w:p w14:paraId="0214339E" w14:textId="77777777" w:rsidR="00767A93" w:rsidRPr="00A45CF9" w:rsidRDefault="00767A93" w:rsidP="00767A93">
            <w:pPr>
              <w:jc w:val="both"/>
              <w:rPr>
                <w:rFonts w:ascii="Arial" w:eastAsia="Calibri" w:hAnsi="Arial" w:cs="Arial"/>
                <w:bCs/>
                <w:sz w:val="22"/>
                <w:szCs w:val="24"/>
                <w:lang w:val="es-CO"/>
              </w:rPr>
            </w:pPr>
            <w:r w:rsidRPr="00A45CF9">
              <w:rPr>
                <w:rFonts w:ascii="Arial" w:eastAsia="Calibri" w:hAnsi="Arial" w:cs="Arial"/>
                <w:bCs/>
                <w:sz w:val="22"/>
                <w:lang w:val="es-ES_tradnl"/>
              </w:rPr>
              <w:t xml:space="preserve">ESTUDIOS PREVIOS – Planeación contractual / ESTUDIOS PREVIOS – Oportunidad – Etapa precontractual / ESTUDIOS DEL SECTOR </w:t>
            </w:r>
            <w:r w:rsidRPr="00A45CF9">
              <w:rPr>
                <w:rFonts w:ascii="Arial" w:eastAsia="Calibri" w:hAnsi="Arial" w:cs="Arial"/>
                <w:bCs/>
                <w:sz w:val="22"/>
              </w:rPr>
              <w:t>–</w:t>
            </w:r>
            <w:r w:rsidRPr="00A45CF9">
              <w:rPr>
                <w:rFonts w:ascii="Arial" w:eastAsia="Calibri" w:hAnsi="Arial" w:cs="Arial"/>
                <w:bCs/>
                <w:sz w:val="22"/>
                <w:lang w:val="es-ES_tradnl"/>
              </w:rPr>
              <w:t xml:space="preserve"> Manifestación </w:t>
            </w:r>
            <w:r w:rsidRPr="00A45CF9">
              <w:rPr>
                <w:rFonts w:ascii="Arial" w:eastAsia="Calibri" w:hAnsi="Arial" w:cs="Arial"/>
                <w:bCs/>
                <w:sz w:val="22"/>
              </w:rPr>
              <w:t xml:space="preserve">– </w:t>
            </w:r>
            <w:r w:rsidRPr="00A45CF9">
              <w:rPr>
                <w:rFonts w:ascii="Arial" w:eastAsia="Calibri" w:hAnsi="Arial" w:cs="Arial"/>
                <w:bCs/>
                <w:sz w:val="22"/>
                <w:lang w:val="es-ES_tradnl"/>
              </w:rPr>
              <w:t xml:space="preserve">Principio de planeación / </w:t>
            </w:r>
            <w:r w:rsidRPr="00A45CF9">
              <w:rPr>
                <w:rFonts w:ascii="Arial" w:eastAsia="Calibri" w:hAnsi="Arial" w:cs="Arial"/>
                <w:bCs/>
                <w:sz w:val="22"/>
                <w:szCs w:val="24"/>
                <w:lang w:val="es-CO"/>
              </w:rPr>
              <w:t>DOCUMENTOS TIPO – Estudio del sector – Requisitos habilitantes – Determinación / ESTUDIO DEL SECTOR – Documento tipo – Alcance</w:t>
            </w:r>
          </w:p>
          <w:p w14:paraId="732BD608" w14:textId="461DA818" w:rsidR="003C3359" w:rsidRPr="00EE34D7" w:rsidRDefault="003C3359" w:rsidP="00331868">
            <w:pPr>
              <w:spacing w:after="120"/>
              <w:jc w:val="both"/>
              <w:rPr>
                <w:rFonts w:ascii="Arial" w:eastAsia="Calibri" w:hAnsi="Arial" w:cs="Arial"/>
                <w:bCs/>
                <w:sz w:val="22"/>
                <w:lang w:val="es-CO"/>
              </w:rPr>
            </w:pPr>
          </w:p>
        </w:tc>
      </w:tr>
      <w:tr w:rsidR="003C3359" w:rsidRPr="00196BCD" w14:paraId="519E31E8" w14:textId="77777777" w:rsidTr="00BB6D66">
        <w:tc>
          <w:tcPr>
            <w:tcW w:w="2689" w:type="dxa"/>
          </w:tcPr>
          <w:p w14:paraId="7BFBA458" w14:textId="77777777" w:rsidR="003C3359" w:rsidRPr="00196BCD" w:rsidRDefault="003C3359" w:rsidP="00BB6D66">
            <w:pPr>
              <w:rPr>
                <w:rFonts w:ascii="Arial" w:eastAsia="Calibri" w:hAnsi="Arial" w:cs="Arial"/>
                <w:b/>
                <w:sz w:val="22"/>
              </w:rPr>
            </w:pPr>
            <w:r w:rsidRPr="00196BCD">
              <w:rPr>
                <w:rFonts w:ascii="Arial" w:eastAsia="Calibri" w:hAnsi="Arial" w:cs="Arial"/>
                <w:b/>
                <w:sz w:val="22"/>
              </w:rPr>
              <w:t>Radicación:</w:t>
            </w:r>
            <w:r w:rsidRPr="00196BCD">
              <w:rPr>
                <w:rFonts w:ascii="Arial" w:eastAsia="Calibri" w:hAnsi="Arial" w:cs="Arial"/>
                <w:sz w:val="22"/>
              </w:rPr>
              <w:t xml:space="preserve">                              </w:t>
            </w:r>
          </w:p>
        </w:tc>
        <w:tc>
          <w:tcPr>
            <w:tcW w:w="6237" w:type="dxa"/>
          </w:tcPr>
          <w:p w14:paraId="7FDCB87B" w14:textId="4582AE4D" w:rsidR="003C3359" w:rsidRPr="005E7C4D" w:rsidRDefault="003C3359" w:rsidP="00BB6D66">
            <w:pPr>
              <w:jc w:val="both"/>
              <w:rPr>
                <w:rFonts w:ascii="Arial" w:eastAsia="Calibri" w:hAnsi="Arial" w:cs="Arial"/>
                <w:sz w:val="22"/>
              </w:rPr>
            </w:pPr>
            <w:r w:rsidRPr="005E7C4D">
              <w:rPr>
                <w:rFonts w:ascii="Arial" w:eastAsia="Calibri" w:hAnsi="Arial" w:cs="Arial"/>
                <w:sz w:val="22"/>
              </w:rPr>
              <w:t xml:space="preserve">Respuesta a consulta # </w:t>
            </w:r>
            <w:r w:rsidR="005E7C4D" w:rsidRPr="005E7C4D">
              <w:rPr>
                <w:rFonts w:ascii="Arial" w:hAnsi="Arial" w:cs="Arial"/>
                <w:sz w:val="22"/>
              </w:rPr>
              <w:t>4202012000009046</w:t>
            </w:r>
          </w:p>
        </w:tc>
      </w:tr>
    </w:tbl>
    <w:p w14:paraId="3CED686C" w14:textId="77777777" w:rsidR="003C3359" w:rsidRPr="00196BCD" w:rsidRDefault="003C3359" w:rsidP="003C3359">
      <w:pPr>
        <w:jc w:val="both"/>
        <w:rPr>
          <w:rFonts w:ascii="Arial" w:eastAsia="Calibri" w:hAnsi="Arial" w:cs="Arial"/>
          <w:sz w:val="22"/>
        </w:rPr>
      </w:pPr>
    </w:p>
    <w:p w14:paraId="7ACBDA96" w14:textId="77777777" w:rsidR="003C3359" w:rsidRPr="00196BCD" w:rsidRDefault="003C3359" w:rsidP="003C3359">
      <w:pPr>
        <w:jc w:val="both"/>
        <w:rPr>
          <w:rFonts w:ascii="Arial" w:eastAsia="Calibri" w:hAnsi="Arial" w:cs="Arial"/>
          <w:sz w:val="22"/>
        </w:rPr>
      </w:pPr>
    </w:p>
    <w:p w14:paraId="798DA726" w14:textId="7299194D" w:rsidR="003C3359" w:rsidRPr="00196BCD" w:rsidRDefault="003C3359" w:rsidP="003C3359">
      <w:pPr>
        <w:rPr>
          <w:rFonts w:ascii="Arial" w:eastAsia="Calibri" w:hAnsi="Arial" w:cs="Arial"/>
          <w:sz w:val="22"/>
        </w:rPr>
      </w:pPr>
      <w:r w:rsidRPr="00196BCD">
        <w:rPr>
          <w:rFonts w:ascii="Arial" w:eastAsia="Calibri" w:hAnsi="Arial" w:cs="Arial"/>
          <w:sz w:val="22"/>
        </w:rPr>
        <w:t>Estimad</w:t>
      </w:r>
      <w:r w:rsidR="005E7C4D">
        <w:rPr>
          <w:rFonts w:ascii="Arial" w:eastAsia="Calibri" w:hAnsi="Arial" w:cs="Arial"/>
          <w:sz w:val="22"/>
        </w:rPr>
        <w:t xml:space="preserve">a </w:t>
      </w:r>
      <w:r w:rsidRPr="00196BCD">
        <w:rPr>
          <w:rFonts w:ascii="Arial" w:eastAsia="Calibri" w:hAnsi="Arial" w:cs="Arial"/>
          <w:sz w:val="22"/>
        </w:rPr>
        <w:t>señor</w:t>
      </w:r>
      <w:r w:rsidR="005E7C4D">
        <w:rPr>
          <w:rFonts w:ascii="Arial" w:eastAsia="Calibri" w:hAnsi="Arial" w:cs="Arial"/>
          <w:sz w:val="22"/>
        </w:rPr>
        <w:t>a</w:t>
      </w:r>
      <w:r w:rsidRPr="00196BCD">
        <w:rPr>
          <w:rFonts w:ascii="Arial" w:eastAsia="Calibri" w:hAnsi="Arial" w:cs="Arial"/>
          <w:sz w:val="22"/>
        </w:rPr>
        <w:t xml:space="preserve"> </w:t>
      </w:r>
      <w:r w:rsidR="005E7C4D">
        <w:rPr>
          <w:rFonts w:ascii="Arial" w:eastAsia="Calibri" w:hAnsi="Arial" w:cs="Arial"/>
          <w:sz w:val="22"/>
        </w:rPr>
        <w:t>Gómez</w:t>
      </w:r>
      <w:r w:rsidR="00073E4C">
        <w:rPr>
          <w:rFonts w:ascii="Arial" w:eastAsia="Calibri" w:hAnsi="Arial" w:cs="Arial"/>
          <w:sz w:val="22"/>
        </w:rPr>
        <w:t>:</w:t>
      </w:r>
    </w:p>
    <w:p w14:paraId="4A5243FB" w14:textId="77777777" w:rsidR="003C3359" w:rsidRPr="00196BCD" w:rsidRDefault="003C3359" w:rsidP="003C3359">
      <w:pPr>
        <w:rPr>
          <w:rFonts w:ascii="Arial" w:eastAsia="Calibri" w:hAnsi="Arial" w:cs="Arial"/>
          <w:sz w:val="22"/>
        </w:rPr>
      </w:pPr>
    </w:p>
    <w:p w14:paraId="5106D2AB" w14:textId="3BD6648D" w:rsidR="003C3359" w:rsidRPr="00196BCD" w:rsidRDefault="003C3359" w:rsidP="003C3359">
      <w:pPr>
        <w:spacing w:line="276" w:lineRule="auto"/>
        <w:ind w:right="51"/>
        <w:jc w:val="both"/>
        <w:rPr>
          <w:rFonts w:ascii="Arial" w:hAnsi="Arial" w:cs="Arial"/>
          <w:sz w:val="22"/>
        </w:rPr>
      </w:pPr>
      <w:r w:rsidRPr="00196BCD">
        <w:rPr>
          <w:rFonts w:ascii="Arial" w:hAnsi="Arial" w:cs="Arial"/>
          <w:sz w:val="22"/>
        </w:rPr>
        <w:t xml:space="preserve">La Agencia Nacional de Contratación Pública </w:t>
      </w:r>
      <w:r w:rsidR="0013461C">
        <w:rPr>
          <w:rFonts w:ascii="Arial" w:hAnsi="Arial" w:cs="Arial"/>
          <w:sz w:val="22"/>
        </w:rPr>
        <w:t xml:space="preserve">– </w:t>
      </w:r>
      <w:r w:rsidRPr="00196BCD">
        <w:rPr>
          <w:rFonts w:ascii="Arial" w:hAnsi="Arial" w:cs="Arial"/>
          <w:sz w:val="22"/>
        </w:rPr>
        <w:t xml:space="preserve">Colombia Compra Eficiente responde su consulta del </w:t>
      </w:r>
      <w:r w:rsidR="005E7C4D">
        <w:rPr>
          <w:rFonts w:ascii="Arial" w:hAnsi="Arial" w:cs="Arial"/>
          <w:sz w:val="22"/>
        </w:rPr>
        <w:t>7</w:t>
      </w:r>
      <w:r w:rsidRPr="00196BCD">
        <w:rPr>
          <w:rFonts w:ascii="Arial" w:hAnsi="Arial" w:cs="Arial"/>
          <w:sz w:val="22"/>
        </w:rPr>
        <w:t xml:space="preserve"> de </w:t>
      </w:r>
      <w:r w:rsidR="005E7C4D">
        <w:rPr>
          <w:rFonts w:ascii="Arial" w:hAnsi="Arial" w:cs="Arial"/>
          <w:sz w:val="22"/>
        </w:rPr>
        <w:t xml:space="preserve">octubre </w:t>
      </w:r>
      <w:r w:rsidRPr="00196BCD">
        <w:rPr>
          <w:rFonts w:ascii="Arial" w:hAnsi="Arial" w:cs="Arial"/>
          <w:sz w:val="22"/>
        </w:rPr>
        <w:t xml:space="preserve">de 2020, en ejercicio de la competencia otorgada por el numeral 8 del artículo 11 y el numeral 5 del artículo 3 del Decreto Ley 4170 de 2011. </w:t>
      </w:r>
    </w:p>
    <w:p w14:paraId="0DCCC5D6" w14:textId="77777777" w:rsidR="003C3359" w:rsidRPr="00196BCD" w:rsidRDefault="003C3359" w:rsidP="003C3359">
      <w:pPr>
        <w:pStyle w:val="Prrafodelista"/>
        <w:tabs>
          <w:tab w:val="left" w:pos="284"/>
        </w:tabs>
        <w:spacing w:line="276" w:lineRule="auto"/>
        <w:ind w:left="0"/>
        <w:jc w:val="both"/>
        <w:rPr>
          <w:rFonts w:ascii="Arial" w:hAnsi="Arial" w:cs="Arial"/>
          <w:sz w:val="22"/>
        </w:rPr>
      </w:pPr>
    </w:p>
    <w:p w14:paraId="03CE62CF" w14:textId="77777777" w:rsidR="003C3359" w:rsidRPr="00196BCD" w:rsidRDefault="003C3359" w:rsidP="003C3359">
      <w:pPr>
        <w:pStyle w:val="Prrafodelista"/>
        <w:tabs>
          <w:tab w:val="left" w:pos="284"/>
        </w:tabs>
        <w:spacing w:line="276" w:lineRule="auto"/>
        <w:ind w:left="0"/>
        <w:jc w:val="both"/>
        <w:rPr>
          <w:rFonts w:ascii="Arial" w:eastAsia="Calibri" w:hAnsi="Arial" w:cs="Arial"/>
          <w:b/>
          <w:sz w:val="22"/>
        </w:rPr>
      </w:pPr>
      <w:r w:rsidRPr="00196BCD">
        <w:rPr>
          <w:rFonts w:ascii="Arial" w:eastAsia="Calibri" w:hAnsi="Arial" w:cs="Arial"/>
          <w:b/>
          <w:sz w:val="22"/>
        </w:rPr>
        <w:t>1.</w:t>
      </w:r>
      <w:r w:rsidRPr="00196BCD">
        <w:rPr>
          <w:rFonts w:ascii="Arial" w:eastAsia="Calibri" w:hAnsi="Arial" w:cs="Arial"/>
          <w:sz w:val="22"/>
        </w:rPr>
        <w:t xml:space="preserve"> </w:t>
      </w:r>
      <w:r w:rsidRPr="00196BCD">
        <w:rPr>
          <w:rFonts w:ascii="Arial" w:eastAsia="Calibri" w:hAnsi="Arial" w:cs="Arial"/>
          <w:b/>
          <w:sz w:val="22"/>
        </w:rPr>
        <w:t xml:space="preserve">Problemas planteados </w:t>
      </w:r>
    </w:p>
    <w:p w14:paraId="1FB15E4B" w14:textId="77777777" w:rsidR="003C3359" w:rsidRPr="00196BCD" w:rsidRDefault="003C3359" w:rsidP="003C3359">
      <w:pPr>
        <w:pStyle w:val="Prrafodelista"/>
        <w:tabs>
          <w:tab w:val="left" w:pos="284"/>
        </w:tabs>
        <w:spacing w:before="120" w:line="276" w:lineRule="auto"/>
        <w:ind w:left="0"/>
        <w:jc w:val="both"/>
        <w:rPr>
          <w:rFonts w:ascii="Arial" w:eastAsia="Calibri" w:hAnsi="Arial" w:cs="Arial"/>
          <w:b/>
          <w:sz w:val="22"/>
        </w:rPr>
      </w:pPr>
    </w:p>
    <w:p w14:paraId="727B1479" w14:textId="3C2302CA" w:rsidR="003C3359" w:rsidRPr="004E4A61" w:rsidRDefault="003C3359" w:rsidP="003C3359">
      <w:pPr>
        <w:tabs>
          <w:tab w:val="left" w:pos="426"/>
        </w:tabs>
        <w:spacing w:line="276" w:lineRule="auto"/>
        <w:jc w:val="both"/>
        <w:rPr>
          <w:rFonts w:asciiTheme="minorBidi" w:eastAsia="Calibri" w:hAnsiTheme="minorBidi"/>
          <w:sz w:val="22"/>
        </w:rPr>
      </w:pPr>
      <w:r w:rsidRPr="004E4A61">
        <w:rPr>
          <w:rFonts w:asciiTheme="minorBidi" w:eastAsia="Calibri" w:hAnsiTheme="minorBidi"/>
          <w:sz w:val="22"/>
        </w:rPr>
        <w:lastRenderedPageBreak/>
        <w:t xml:space="preserve">Usted realiza la siguiente pregunta: </w:t>
      </w:r>
      <w:bookmarkStart w:id="3" w:name="_Hlk44676122"/>
      <w:bookmarkStart w:id="4" w:name="_Hlk34854961"/>
      <w:proofErr w:type="gramStart"/>
      <w:r w:rsidRPr="004E4A61">
        <w:rPr>
          <w:rFonts w:asciiTheme="minorBidi" w:eastAsia="Calibri" w:hAnsiTheme="minorBidi"/>
          <w:sz w:val="22"/>
        </w:rPr>
        <w:t>si «[…]</w:t>
      </w:r>
      <w:r w:rsidR="004E4A61" w:rsidRPr="004E4A61">
        <w:rPr>
          <w:rFonts w:asciiTheme="minorBidi" w:eastAsia="Calibri" w:hAnsiTheme="minorBidi"/>
          <w:sz w:val="22"/>
        </w:rPr>
        <w:t xml:space="preserve"> </w:t>
      </w:r>
      <w:r w:rsidR="004E4A61" w:rsidRPr="004E4A61">
        <w:rPr>
          <w:rFonts w:asciiTheme="minorBidi" w:hAnsiTheme="minorBidi"/>
          <w:sz w:val="22"/>
        </w:rPr>
        <w:t>SE DEBE ADELSNTAR (sic) ESTUDIO DEL</w:t>
      </w:r>
      <w:r w:rsidR="004E4A61">
        <w:rPr>
          <w:rFonts w:asciiTheme="minorBidi" w:hAnsiTheme="minorBidi"/>
          <w:sz w:val="22"/>
        </w:rPr>
        <w:t xml:space="preserve"> </w:t>
      </w:r>
      <w:r w:rsidR="004E4A61" w:rsidRPr="004E4A61">
        <w:rPr>
          <w:rFonts w:asciiTheme="minorBidi" w:hAnsiTheme="minorBidi"/>
          <w:sz w:val="22"/>
        </w:rPr>
        <w:t>SECTOR ECONOMICO (sic) Y ESTUDIO PREVIO PARA LOS PLIEGOS TIPO DE VIAS</w:t>
      </w:r>
      <w:r w:rsidR="00B13EF7">
        <w:rPr>
          <w:rFonts w:asciiTheme="minorBidi" w:hAnsiTheme="minorBidi"/>
          <w:sz w:val="22"/>
        </w:rPr>
        <w:t xml:space="preserve"> (sic)</w:t>
      </w:r>
      <w:r w:rsidR="004E4A61" w:rsidRPr="004E4A61">
        <w:rPr>
          <w:rFonts w:asciiTheme="minorBidi" w:hAnsiTheme="minorBidi"/>
          <w:sz w:val="22"/>
        </w:rPr>
        <w:t>?</w:t>
      </w:r>
      <w:proofErr w:type="gramEnd"/>
      <w:r w:rsidRPr="004E4A61">
        <w:rPr>
          <w:rFonts w:asciiTheme="minorBidi" w:eastAsia="Calibri" w:hAnsiTheme="minorBidi"/>
          <w:sz w:val="22"/>
        </w:rPr>
        <w:t>».</w:t>
      </w:r>
      <w:bookmarkEnd w:id="3"/>
      <w:r w:rsidRPr="004E4A61">
        <w:rPr>
          <w:rFonts w:asciiTheme="minorBidi" w:eastAsia="Calibri" w:hAnsiTheme="minorBidi"/>
          <w:sz w:val="22"/>
        </w:rPr>
        <w:t xml:space="preserve"> </w:t>
      </w:r>
      <w:bookmarkEnd w:id="4"/>
    </w:p>
    <w:p w14:paraId="76CD4CC1" w14:textId="77777777" w:rsidR="003C3359" w:rsidRPr="00196BCD" w:rsidRDefault="003C3359" w:rsidP="003C3359">
      <w:pPr>
        <w:tabs>
          <w:tab w:val="left" w:pos="426"/>
        </w:tabs>
        <w:spacing w:line="276" w:lineRule="auto"/>
        <w:jc w:val="both"/>
        <w:rPr>
          <w:rFonts w:ascii="Arial" w:eastAsia="Calibri" w:hAnsi="Arial" w:cs="Arial"/>
          <w:sz w:val="22"/>
        </w:rPr>
      </w:pPr>
    </w:p>
    <w:p w14:paraId="3D069069" w14:textId="77777777" w:rsidR="003C3359" w:rsidRPr="00196BCD" w:rsidRDefault="003C3359" w:rsidP="003C3359">
      <w:pPr>
        <w:tabs>
          <w:tab w:val="left" w:pos="426"/>
        </w:tabs>
        <w:spacing w:line="276" w:lineRule="auto"/>
        <w:jc w:val="both"/>
        <w:rPr>
          <w:rFonts w:ascii="Arial" w:eastAsia="Calibri" w:hAnsi="Arial" w:cs="Arial"/>
          <w:b/>
          <w:sz w:val="22"/>
        </w:rPr>
      </w:pPr>
      <w:r w:rsidRPr="00196BCD">
        <w:rPr>
          <w:rFonts w:ascii="Arial" w:eastAsia="Calibri" w:hAnsi="Arial" w:cs="Arial"/>
          <w:b/>
          <w:sz w:val="22"/>
        </w:rPr>
        <w:t>2.</w:t>
      </w:r>
      <w:r w:rsidRPr="00196BCD">
        <w:rPr>
          <w:rFonts w:ascii="Arial" w:eastAsia="Calibri" w:hAnsi="Arial" w:cs="Arial"/>
          <w:sz w:val="22"/>
        </w:rPr>
        <w:t xml:space="preserve"> </w:t>
      </w:r>
      <w:r w:rsidRPr="00196BCD">
        <w:rPr>
          <w:rFonts w:ascii="Arial" w:eastAsia="Calibri" w:hAnsi="Arial" w:cs="Arial"/>
          <w:b/>
          <w:sz w:val="22"/>
        </w:rPr>
        <w:t>Consideraciones</w:t>
      </w:r>
    </w:p>
    <w:p w14:paraId="3FDECF35" w14:textId="77777777" w:rsidR="003C3359" w:rsidRPr="00196BCD" w:rsidRDefault="003C3359" w:rsidP="003C3359">
      <w:pPr>
        <w:pStyle w:val="Prrafodelista"/>
        <w:tabs>
          <w:tab w:val="left" w:pos="284"/>
        </w:tabs>
        <w:spacing w:line="276" w:lineRule="auto"/>
        <w:ind w:left="0"/>
        <w:jc w:val="both"/>
        <w:rPr>
          <w:rFonts w:ascii="Arial" w:eastAsia="Calibri" w:hAnsi="Arial" w:cs="Arial"/>
          <w:b/>
          <w:sz w:val="22"/>
        </w:rPr>
      </w:pPr>
    </w:p>
    <w:p w14:paraId="61BFED88" w14:textId="0C546475" w:rsidR="003C3359" w:rsidRDefault="003C3359" w:rsidP="005E7C4D">
      <w:pPr>
        <w:spacing w:after="120" w:line="276" w:lineRule="auto"/>
        <w:jc w:val="both"/>
        <w:rPr>
          <w:rFonts w:ascii="Arial" w:eastAsia="Calibri" w:hAnsi="Arial" w:cs="Arial"/>
          <w:sz w:val="22"/>
          <w:lang w:val="es-ES_tradnl"/>
        </w:rPr>
      </w:pPr>
      <w:r w:rsidRPr="00196BCD">
        <w:rPr>
          <w:rFonts w:ascii="Arial" w:eastAsia="Calibri" w:hAnsi="Arial" w:cs="Arial"/>
          <w:sz w:val="22"/>
          <w:lang w:val="es-ES_tradnl"/>
        </w:rPr>
        <w:t xml:space="preserve">Para desarrollar los problemas planteados, se analizarán los siguientes temas: i) </w:t>
      </w:r>
      <w:r w:rsidR="00C42590">
        <w:rPr>
          <w:rFonts w:ascii="Arial" w:eastAsia="Calibri" w:hAnsi="Arial" w:cs="Arial"/>
          <w:sz w:val="22"/>
          <w:lang w:val="es-ES_tradnl"/>
        </w:rPr>
        <w:t xml:space="preserve">estudios previos y </w:t>
      </w:r>
      <w:r w:rsidRPr="00196BCD">
        <w:rPr>
          <w:rFonts w:ascii="Arial" w:eastAsia="Calibri" w:hAnsi="Arial" w:cs="Arial"/>
          <w:sz w:val="22"/>
          <w:lang w:val="es-ES_tradnl"/>
        </w:rPr>
        <w:t xml:space="preserve">estudios del sector en el Estatuto General de Contratación y </w:t>
      </w:r>
      <w:proofErr w:type="spellStart"/>
      <w:r w:rsidRPr="00196BCD">
        <w:rPr>
          <w:rFonts w:ascii="Arial" w:eastAsia="Calibri" w:hAnsi="Arial" w:cs="Arial"/>
          <w:sz w:val="22"/>
          <w:lang w:val="es-ES_tradnl"/>
        </w:rPr>
        <w:t>ii</w:t>
      </w:r>
      <w:proofErr w:type="spellEnd"/>
      <w:r w:rsidRPr="00196BCD">
        <w:rPr>
          <w:rFonts w:ascii="Arial" w:eastAsia="Calibri" w:hAnsi="Arial" w:cs="Arial"/>
          <w:sz w:val="22"/>
          <w:lang w:val="es-ES_tradnl"/>
        </w:rPr>
        <w:t>) alcance del estudio del sector</w:t>
      </w:r>
      <w:r w:rsidR="00C42590">
        <w:rPr>
          <w:rFonts w:ascii="Arial" w:eastAsia="Calibri" w:hAnsi="Arial" w:cs="Arial"/>
          <w:sz w:val="22"/>
          <w:lang w:val="es-ES_tradnl"/>
        </w:rPr>
        <w:t xml:space="preserve"> y estudios previos</w:t>
      </w:r>
      <w:r w:rsidRPr="00196BCD">
        <w:rPr>
          <w:rFonts w:ascii="Arial" w:eastAsia="Calibri" w:hAnsi="Arial" w:cs="Arial"/>
          <w:sz w:val="22"/>
          <w:lang w:val="es-ES_tradnl"/>
        </w:rPr>
        <w:t xml:space="preserve"> en procesos de selección con documentos tipo.</w:t>
      </w:r>
      <w:r>
        <w:rPr>
          <w:rFonts w:ascii="Arial" w:eastAsia="Calibri" w:hAnsi="Arial" w:cs="Arial"/>
          <w:sz w:val="22"/>
          <w:lang w:val="es-ES_tradnl"/>
        </w:rPr>
        <w:t xml:space="preserve">  </w:t>
      </w:r>
    </w:p>
    <w:p w14:paraId="1B086CF9" w14:textId="68713B8D" w:rsidR="003C3359" w:rsidRPr="00196BCD" w:rsidRDefault="003C3359" w:rsidP="00331868">
      <w:pPr>
        <w:spacing w:line="276" w:lineRule="auto"/>
        <w:ind w:firstLine="708"/>
        <w:jc w:val="both"/>
        <w:rPr>
          <w:rFonts w:ascii="Arial" w:eastAsia="Calibri" w:hAnsi="Arial" w:cs="Arial"/>
          <w:bCs/>
          <w:sz w:val="22"/>
          <w:lang w:val="es-ES_tradnl"/>
        </w:rPr>
      </w:pPr>
      <w:r w:rsidRPr="004E4A61">
        <w:rPr>
          <w:rFonts w:ascii="Arial" w:eastAsia="Calibri" w:hAnsi="Arial" w:cs="Arial"/>
          <w:sz w:val="22"/>
          <w:lang w:val="es-ES_tradnl"/>
        </w:rPr>
        <w:t xml:space="preserve">Para abordar </w:t>
      </w:r>
      <w:r w:rsidR="0013461C">
        <w:rPr>
          <w:rFonts w:ascii="Arial" w:eastAsia="Calibri" w:hAnsi="Arial" w:cs="Arial"/>
          <w:sz w:val="22"/>
          <w:lang w:val="es-ES_tradnl"/>
        </w:rPr>
        <w:t>estos</w:t>
      </w:r>
      <w:r w:rsidR="0013461C" w:rsidRPr="004E4A61">
        <w:rPr>
          <w:rFonts w:ascii="Arial" w:eastAsia="Calibri" w:hAnsi="Arial" w:cs="Arial"/>
          <w:sz w:val="22"/>
          <w:lang w:val="es-ES_tradnl"/>
        </w:rPr>
        <w:t xml:space="preserve"> </w:t>
      </w:r>
      <w:r w:rsidRPr="004E4A61">
        <w:rPr>
          <w:rFonts w:ascii="Arial" w:eastAsia="Calibri" w:hAnsi="Arial" w:cs="Arial"/>
          <w:sz w:val="22"/>
          <w:lang w:val="es-ES_tradnl"/>
        </w:rPr>
        <w:t xml:space="preserve">aspectos se reiterarán consideraciones expuestas en los </w:t>
      </w:r>
      <w:r w:rsidR="00697B55">
        <w:rPr>
          <w:rFonts w:ascii="Arial" w:eastAsia="Calibri" w:hAnsi="Arial" w:cs="Arial"/>
          <w:sz w:val="22"/>
          <w:lang w:val="es-ES_tradnl"/>
        </w:rPr>
        <w:t>C</w:t>
      </w:r>
      <w:r w:rsidRPr="004E4A61">
        <w:rPr>
          <w:rFonts w:ascii="Arial" w:eastAsia="Calibri" w:hAnsi="Arial" w:cs="Arial"/>
          <w:sz w:val="22"/>
          <w:lang w:val="es-ES_tradnl"/>
        </w:rPr>
        <w:t>onceptos</w:t>
      </w:r>
      <w:r w:rsidR="00C42590">
        <w:rPr>
          <w:rFonts w:ascii="Arial" w:eastAsia="Calibri" w:hAnsi="Arial" w:cs="Arial"/>
          <w:sz w:val="22"/>
          <w:lang w:val="es-ES_tradnl"/>
        </w:rPr>
        <w:t xml:space="preserve"> </w:t>
      </w:r>
      <w:r w:rsidR="00C42590" w:rsidRPr="003E24E5">
        <w:rPr>
          <w:rFonts w:ascii="Arial" w:eastAsia="Calibri" w:hAnsi="Arial" w:cs="Arial"/>
          <w:sz w:val="22"/>
          <w:lang w:val="es-ES_tradnl"/>
        </w:rPr>
        <w:t>2202013000000037</w:t>
      </w:r>
      <w:r w:rsidR="00697B55">
        <w:rPr>
          <w:rFonts w:ascii="Arial" w:eastAsia="Calibri" w:hAnsi="Arial" w:cs="Arial"/>
          <w:sz w:val="22"/>
          <w:lang w:val="es-ES_tradnl"/>
        </w:rPr>
        <w:t xml:space="preserve"> </w:t>
      </w:r>
      <w:r w:rsidR="00C42590" w:rsidRPr="003E24E5">
        <w:rPr>
          <w:rFonts w:ascii="Arial" w:eastAsia="Calibri" w:hAnsi="Arial" w:cs="Arial"/>
          <w:sz w:val="22"/>
          <w:lang w:val="es-ES_tradnl"/>
        </w:rPr>
        <w:t>del 7 de enero de 2020</w:t>
      </w:r>
      <w:r w:rsidR="0014258F">
        <w:rPr>
          <w:rFonts w:ascii="Arial" w:eastAsia="Calibri" w:hAnsi="Arial" w:cs="Arial"/>
          <w:sz w:val="22"/>
          <w:lang w:val="es-ES_tradnl"/>
        </w:rPr>
        <w:t xml:space="preserve"> y</w:t>
      </w:r>
      <w:r w:rsidRPr="004E4A61">
        <w:rPr>
          <w:rFonts w:ascii="Arial" w:eastAsia="Calibri" w:hAnsi="Arial" w:cs="Arial"/>
          <w:sz w:val="22"/>
          <w:lang w:val="es-ES_tradnl"/>
        </w:rPr>
        <w:t xml:space="preserve"> C-223 del 29 de abril de 2020 –radicado No. 2202013000003261– sobre la regulación de los estudios</w:t>
      </w:r>
      <w:r w:rsidR="00C42590">
        <w:rPr>
          <w:rFonts w:ascii="Arial" w:eastAsia="Calibri" w:hAnsi="Arial" w:cs="Arial"/>
          <w:sz w:val="22"/>
          <w:lang w:val="es-ES_tradnl"/>
        </w:rPr>
        <w:t xml:space="preserve"> previos y del sector</w:t>
      </w:r>
      <w:r w:rsidRPr="004E4A61">
        <w:rPr>
          <w:rFonts w:ascii="Arial" w:eastAsia="Calibri" w:hAnsi="Arial" w:cs="Arial"/>
          <w:sz w:val="22"/>
          <w:lang w:val="es-ES_tradnl"/>
        </w:rPr>
        <w:t xml:space="preserve"> en el Estatuto General de Contratación de la Administración Pública</w:t>
      </w:r>
      <w:r w:rsidR="0014258F">
        <w:rPr>
          <w:rFonts w:ascii="Arial" w:eastAsia="Calibri" w:hAnsi="Arial" w:cs="Arial"/>
          <w:sz w:val="22"/>
          <w:lang w:val="es-ES_tradnl"/>
        </w:rPr>
        <w:t xml:space="preserve">. Igualmente, se </w:t>
      </w:r>
      <w:r w:rsidR="00163928">
        <w:rPr>
          <w:rFonts w:ascii="Arial" w:eastAsia="Calibri" w:hAnsi="Arial" w:cs="Arial"/>
          <w:sz w:val="22"/>
          <w:lang w:val="es-ES_tradnl"/>
        </w:rPr>
        <w:t>reiteran</w:t>
      </w:r>
      <w:r w:rsidR="0014258F">
        <w:rPr>
          <w:rFonts w:ascii="Arial" w:eastAsia="Calibri" w:hAnsi="Arial" w:cs="Arial"/>
          <w:sz w:val="22"/>
          <w:lang w:val="es-ES_tradnl"/>
        </w:rPr>
        <w:t xml:space="preserve"> los Conceptos</w:t>
      </w:r>
      <w:r w:rsidRPr="004E4A61">
        <w:rPr>
          <w:rFonts w:ascii="Arial" w:eastAsia="Calibri" w:hAnsi="Arial" w:cs="Arial"/>
          <w:sz w:val="22"/>
          <w:lang w:val="es-ES_tradnl"/>
        </w:rPr>
        <w:t xml:space="preserve"> C-387 del 23 de junio de 2020 –radicado No. 2202013000005289–, </w:t>
      </w:r>
      <w:r w:rsidRPr="004E4A61">
        <w:rPr>
          <w:rFonts w:ascii="Arial" w:eastAsia="Calibri" w:hAnsi="Arial" w:cs="Arial"/>
          <w:color w:val="0B1107" w:themeColor="accent6" w:themeShade="1A"/>
          <w:sz w:val="22"/>
        </w:rPr>
        <w:t xml:space="preserve">C-415 del 7 de </w:t>
      </w:r>
      <w:r w:rsidR="004E4A61" w:rsidRPr="004E4A61">
        <w:rPr>
          <w:rFonts w:ascii="Arial" w:eastAsia="Calibri" w:hAnsi="Arial" w:cs="Arial"/>
          <w:color w:val="0B1107" w:themeColor="accent6" w:themeShade="1A"/>
          <w:sz w:val="22"/>
        </w:rPr>
        <w:t>julio</w:t>
      </w:r>
      <w:r w:rsidR="0014258F">
        <w:rPr>
          <w:rFonts w:ascii="Arial" w:eastAsia="Calibri" w:hAnsi="Arial" w:cs="Arial"/>
          <w:color w:val="0B1107" w:themeColor="accent6" w:themeShade="1A"/>
          <w:sz w:val="22"/>
        </w:rPr>
        <w:t xml:space="preserve"> </w:t>
      </w:r>
      <w:r w:rsidRPr="004E4A61">
        <w:rPr>
          <w:rFonts w:ascii="Arial" w:eastAsia="Calibri" w:hAnsi="Arial" w:cs="Arial"/>
          <w:sz w:val="22"/>
          <w:lang w:val="es-ES_tradnl"/>
        </w:rPr>
        <w:t xml:space="preserve">–radicado No. </w:t>
      </w:r>
      <w:r w:rsidRPr="004E4A61">
        <w:rPr>
          <w:rFonts w:ascii="Arial" w:hAnsi="Arial" w:cs="Arial"/>
          <w:color w:val="000000"/>
          <w:sz w:val="22"/>
          <w:lang w:val="es-CO"/>
        </w:rPr>
        <w:t>2202013000005931</w:t>
      </w:r>
      <w:r w:rsidR="0014258F">
        <w:rPr>
          <w:rFonts w:ascii="Arial" w:hAnsi="Arial" w:cs="Arial"/>
          <w:color w:val="000000"/>
          <w:sz w:val="22"/>
          <w:lang w:val="es-CO"/>
        </w:rPr>
        <w:t>–</w:t>
      </w:r>
      <w:r w:rsidR="00163928">
        <w:rPr>
          <w:rFonts w:ascii="Arial" w:eastAsia="Calibri" w:hAnsi="Arial" w:cs="Arial"/>
          <w:color w:val="0B1107" w:themeColor="accent6" w:themeShade="1A"/>
          <w:sz w:val="22"/>
        </w:rPr>
        <w:t>,</w:t>
      </w:r>
      <w:r w:rsidRPr="004E4A61">
        <w:rPr>
          <w:rFonts w:ascii="Arial" w:eastAsia="Calibri" w:hAnsi="Arial" w:cs="Arial"/>
          <w:color w:val="0B1107" w:themeColor="accent6" w:themeShade="1A"/>
          <w:sz w:val="22"/>
        </w:rPr>
        <w:t xml:space="preserve"> </w:t>
      </w:r>
      <w:r w:rsidRPr="004E4A61">
        <w:rPr>
          <w:rFonts w:ascii="Arial" w:eastAsia="Calibri" w:hAnsi="Arial" w:cs="Arial"/>
          <w:sz w:val="22"/>
          <w:lang w:val="es-CO"/>
        </w:rPr>
        <w:t>C</w:t>
      </w:r>
      <w:r w:rsidR="004E4A61" w:rsidRPr="004E4A61">
        <w:rPr>
          <w:rFonts w:ascii="Arial" w:eastAsia="Calibri" w:hAnsi="Arial" w:cs="Arial"/>
          <w:sz w:val="22"/>
          <w:lang w:val="es-CO"/>
        </w:rPr>
        <w:t>-</w:t>
      </w:r>
      <w:r w:rsidRPr="004E4A61">
        <w:rPr>
          <w:rFonts w:ascii="Arial" w:eastAsia="Calibri" w:hAnsi="Arial" w:cs="Arial"/>
          <w:sz w:val="22"/>
          <w:lang w:val="es-CO"/>
        </w:rPr>
        <w:t>443 del</w:t>
      </w:r>
      <w:r w:rsidR="004E4A61" w:rsidRPr="004E4A61">
        <w:rPr>
          <w:rFonts w:ascii="Arial" w:eastAsia="Calibri" w:hAnsi="Arial" w:cs="Arial"/>
          <w:sz w:val="22"/>
          <w:lang w:val="es-CO"/>
        </w:rPr>
        <w:t xml:space="preserve"> 7 de julio de 2020 </w:t>
      </w:r>
      <w:r w:rsidR="0014258F">
        <w:rPr>
          <w:rFonts w:ascii="Arial" w:eastAsia="Calibri" w:hAnsi="Arial" w:cs="Arial"/>
          <w:sz w:val="22"/>
          <w:lang w:val="es-CO"/>
        </w:rPr>
        <w:t>–</w:t>
      </w:r>
      <w:r w:rsidR="004E4A61" w:rsidRPr="004E4A61">
        <w:rPr>
          <w:rFonts w:ascii="Arial" w:eastAsia="Calibri" w:hAnsi="Arial" w:cs="Arial"/>
          <w:sz w:val="22"/>
          <w:lang w:val="es-ES_tradnl"/>
        </w:rPr>
        <w:t>radicado No.</w:t>
      </w:r>
      <w:r w:rsidR="004E4A61" w:rsidRPr="004E4A61">
        <w:rPr>
          <w:rFonts w:ascii="Arial" w:hAnsi="Arial" w:cs="Arial"/>
          <w:color w:val="000000"/>
          <w:sz w:val="22"/>
          <w:lang w:val="es-CO"/>
        </w:rPr>
        <w:t xml:space="preserve"> 2202013000005933</w:t>
      </w:r>
      <w:r w:rsidR="0014258F">
        <w:rPr>
          <w:rFonts w:ascii="Arial" w:hAnsi="Arial" w:cs="Arial"/>
          <w:color w:val="000000"/>
          <w:sz w:val="22"/>
          <w:lang w:val="es-CO"/>
        </w:rPr>
        <w:t xml:space="preserve">– </w:t>
      </w:r>
      <w:r w:rsidR="00163928">
        <w:rPr>
          <w:rFonts w:ascii="Arial" w:hAnsi="Arial" w:cs="Arial"/>
          <w:color w:val="000000"/>
          <w:sz w:val="22"/>
          <w:lang w:val="es-CO"/>
        </w:rPr>
        <w:t xml:space="preserve">y C-387 del 23 de junio de 2020 –radicado No. </w:t>
      </w:r>
      <w:r w:rsidR="00163928">
        <w:rPr>
          <w:rStyle w:val="normaltextrun"/>
          <w:rFonts w:ascii="Arial" w:hAnsi="Arial" w:cs="Arial"/>
          <w:color w:val="000000"/>
          <w:sz w:val="22"/>
          <w:shd w:val="clear" w:color="auto" w:fill="FFFFFF"/>
        </w:rPr>
        <w:t xml:space="preserve">4202013000004275–, </w:t>
      </w:r>
      <w:r w:rsidR="0014258F">
        <w:rPr>
          <w:rFonts w:ascii="Arial" w:hAnsi="Arial" w:cs="Arial"/>
          <w:color w:val="000000"/>
          <w:sz w:val="22"/>
          <w:lang w:val="es-CO"/>
        </w:rPr>
        <w:t>en los cuales esta Subdirección</w:t>
      </w:r>
      <w:r w:rsidR="0014258F">
        <w:rPr>
          <w:rFonts w:ascii="Arial" w:eastAsia="Calibri" w:hAnsi="Arial" w:cs="Arial"/>
          <w:sz w:val="22"/>
          <w:lang w:val="es-ES_tradnl"/>
        </w:rPr>
        <w:t xml:space="preserve"> analizó</w:t>
      </w:r>
      <w:r>
        <w:rPr>
          <w:rFonts w:ascii="Arial" w:eastAsia="Calibri" w:hAnsi="Arial" w:cs="Arial"/>
          <w:sz w:val="22"/>
          <w:lang w:val="es-ES_tradnl"/>
        </w:rPr>
        <w:t xml:space="preserve"> el alcance de los estudios del sector en procesos adelantados con documentos tipo.</w:t>
      </w:r>
    </w:p>
    <w:p w14:paraId="2D495BE2" w14:textId="77777777" w:rsidR="003C3359" w:rsidRPr="00196BCD" w:rsidRDefault="003C3359" w:rsidP="003C3359">
      <w:pPr>
        <w:spacing w:line="276" w:lineRule="auto"/>
        <w:jc w:val="both"/>
        <w:rPr>
          <w:rFonts w:ascii="Arial" w:eastAsia="Calibri" w:hAnsi="Arial" w:cs="Arial"/>
          <w:sz w:val="22"/>
          <w:lang w:val="es-ES_tradnl"/>
        </w:rPr>
      </w:pPr>
      <w:r w:rsidRPr="00196BCD">
        <w:rPr>
          <w:rFonts w:ascii="Arial" w:eastAsia="Calibri" w:hAnsi="Arial" w:cs="Arial"/>
          <w:sz w:val="22"/>
          <w:lang w:val="es-ES_tradnl"/>
        </w:rPr>
        <w:t xml:space="preserve"> </w:t>
      </w:r>
    </w:p>
    <w:p w14:paraId="7256B541" w14:textId="66E24EA1" w:rsidR="003C3359" w:rsidRPr="00196BCD" w:rsidRDefault="003C3359" w:rsidP="003C3359">
      <w:pPr>
        <w:spacing w:line="276" w:lineRule="auto"/>
        <w:jc w:val="both"/>
        <w:rPr>
          <w:rFonts w:ascii="Arial" w:eastAsia="Calibri" w:hAnsi="Arial" w:cs="Arial"/>
          <w:b/>
          <w:bCs/>
          <w:sz w:val="22"/>
          <w:lang w:val="es-ES_tradnl"/>
        </w:rPr>
      </w:pPr>
      <w:bookmarkStart w:id="5" w:name="_Hlk36022667"/>
      <w:r w:rsidRPr="00196BCD">
        <w:rPr>
          <w:rFonts w:ascii="Arial" w:eastAsia="Calibri" w:hAnsi="Arial" w:cs="Arial"/>
          <w:b/>
          <w:bCs/>
          <w:sz w:val="22"/>
          <w:lang w:val="es-ES_tradnl"/>
        </w:rPr>
        <w:t xml:space="preserve">2.2. Estudios </w:t>
      </w:r>
      <w:r w:rsidR="00F049A2">
        <w:rPr>
          <w:rFonts w:ascii="Arial" w:eastAsia="Calibri" w:hAnsi="Arial" w:cs="Arial"/>
          <w:b/>
          <w:bCs/>
          <w:sz w:val="22"/>
          <w:lang w:val="es-ES_tradnl"/>
        </w:rPr>
        <w:t>previos y del</w:t>
      </w:r>
      <w:r w:rsidRPr="00196BCD">
        <w:rPr>
          <w:rFonts w:ascii="Arial" w:eastAsia="Calibri" w:hAnsi="Arial" w:cs="Arial"/>
          <w:b/>
          <w:bCs/>
          <w:sz w:val="22"/>
          <w:lang w:val="es-ES_tradnl"/>
        </w:rPr>
        <w:t xml:space="preserve"> sector en el Estatuto General de Contratación de la Administración Pública   </w:t>
      </w:r>
      <w:bookmarkEnd w:id="5"/>
    </w:p>
    <w:p w14:paraId="03747BBF" w14:textId="77777777" w:rsidR="003C3359" w:rsidRPr="00196BCD" w:rsidRDefault="003C3359" w:rsidP="003C3359">
      <w:pPr>
        <w:spacing w:line="276" w:lineRule="auto"/>
        <w:jc w:val="both"/>
        <w:rPr>
          <w:rFonts w:ascii="Arial" w:eastAsia="Calibri" w:hAnsi="Arial" w:cs="Arial"/>
          <w:b/>
          <w:bCs/>
          <w:sz w:val="22"/>
          <w:lang w:val="es-ES_tradnl"/>
        </w:rPr>
      </w:pPr>
    </w:p>
    <w:p w14:paraId="12F8204F" w14:textId="0CFB666E" w:rsidR="00F049A2" w:rsidRPr="00196BCD" w:rsidRDefault="00F049A2" w:rsidP="00331868">
      <w:pPr>
        <w:spacing w:line="276" w:lineRule="auto"/>
        <w:jc w:val="both"/>
      </w:pPr>
      <w:bookmarkStart w:id="6" w:name="_Hlk54011258"/>
      <w:r w:rsidRPr="00196BCD">
        <w:rPr>
          <w:rFonts w:ascii="Arial" w:eastAsia="Calibri" w:hAnsi="Arial" w:cs="Arial"/>
          <w:bCs/>
          <w:sz w:val="22"/>
          <w:lang w:val="es-ES_tradnl"/>
        </w:rPr>
        <w:t xml:space="preserve">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w:t>
      </w:r>
      <w:r w:rsidR="008F1F13">
        <w:rPr>
          <w:rFonts w:ascii="Arial" w:eastAsia="Calibri" w:hAnsi="Arial" w:cs="Arial"/>
          <w:bCs/>
          <w:sz w:val="22"/>
          <w:lang w:val="es-ES_tradnl"/>
        </w:rPr>
        <w:t>Lo anterior con la finalidad de realizar la</w:t>
      </w:r>
      <w:r w:rsidRPr="00196BCD">
        <w:rPr>
          <w:rFonts w:ascii="Arial" w:eastAsia="Calibri" w:hAnsi="Arial" w:cs="Arial"/>
          <w:bCs/>
          <w:sz w:val="22"/>
          <w:lang w:val="es-ES_tradnl"/>
        </w:rPr>
        <w:t xml:space="preserve"> escogencia diligente de la mejor oferta, para beneficiar los intereses y fines públicos inmersos en la contratación de las entidades estatales</w:t>
      </w:r>
      <w:bookmarkEnd w:id="6"/>
      <w:r w:rsidRPr="00196BCD">
        <w:rPr>
          <w:rFonts w:ascii="Arial" w:eastAsia="Calibri" w:hAnsi="Arial" w:cs="Arial"/>
          <w:bCs/>
          <w:sz w:val="21"/>
          <w:szCs w:val="21"/>
          <w:lang w:val="es-ES_tradnl"/>
        </w:rPr>
        <w:t>.</w:t>
      </w:r>
    </w:p>
    <w:p w14:paraId="53FC3DA8" w14:textId="239532A6" w:rsidR="00F049A2" w:rsidRPr="00196BCD" w:rsidRDefault="00F049A2" w:rsidP="00F049A2">
      <w:pPr>
        <w:pStyle w:val="Sinespaciado"/>
        <w:spacing w:before="120" w:line="276" w:lineRule="auto"/>
        <w:ind w:firstLine="708"/>
        <w:jc w:val="both"/>
        <w:rPr>
          <w:rFonts w:ascii="Arial" w:hAnsi="Arial" w:cs="Arial"/>
          <w:bCs/>
          <w:sz w:val="22"/>
          <w:lang w:val="es-ES"/>
        </w:rPr>
      </w:pPr>
      <w:r w:rsidRPr="00196BCD">
        <w:rPr>
          <w:rFonts w:ascii="Arial" w:hAnsi="Arial" w:cs="Arial"/>
          <w:bCs/>
          <w:sz w:val="22"/>
        </w:rPr>
        <w:t xml:space="preserve">El Estatuto General de Contratación de la Administración Pública contiene disposiciones que </w:t>
      </w:r>
      <w:r w:rsidR="008F1F13">
        <w:rPr>
          <w:rFonts w:ascii="Arial" w:hAnsi="Arial" w:cs="Arial"/>
          <w:bCs/>
          <w:sz w:val="22"/>
        </w:rPr>
        <w:t>exigen a</w:t>
      </w:r>
      <w:r w:rsidRPr="00196BCD">
        <w:rPr>
          <w:rFonts w:ascii="Arial" w:hAnsi="Arial" w:cs="Arial"/>
          <w:bCs/>
          <w:sz w:val="22"/>
        </w:rPr>
        <w:t xml:space="preserve">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0ED63066" w14:textId="77777777" w:rsidR="00F049A2" w:rsidRPr="00196BCD" w:rsidRDefault="00F049A2" w:rsidP="00F049A2">
      <w:pPr>
        <w:pStyle w:val="Sinespaciado"/>
        <w:spacing w:line="276" w:lineRule="auto"/>
        <w:ind w:firstLine="708"/>
        <w:jc w:val="both"/>
        <w:rPr>
          <w:rFonts w:ascii="Arial" w:hAnsi="Arial" w:cs="Arial"/>
          <w:bCs/>
          <w:sz w:val="22"/>
          <w:lang w:val="es-ES"/>
        </w:rPr>
      </w:pPr>
    </w:p>
    <w:p w14:paraId="4A0B6EC7" w14:textId="77777777" w:rsidR="00F049A2" w:rsidRPr="00196BCD" w:rsidRDefault="00F049A2" w:rsidP="00F049A2">
      <w:pPr>
        <w:pStyle w:val="Sinespaciado"/>
        <w:ind w:left="709" w:right="709"/>
        <w:jc w:val="both"/>
        <w:rPr>
          <w:rFonts w:ascii="Arial" w:hAnsi="Arial" w:cs="Arial"/>
          <w:sz w:val="21"/>
          <w:szCs w:val="21"/>
        </w:rPr>
      </w:pPr>
      <w:r w:rsidRPr="00196BCD">
        <w:rPr>
          <w:rFonts w:ascii="Arial" w:hAnsi="Arial" w:cs="Arial"/>
          <w:sz w:val="21"/>
          <w:szCs w:val="21"/>
        </w:rPr>
        <w:lastRenderedPageBreak/>
        <w:t>7o. La conveniencia o inconveniencia del objeto a contratar y las autorizaciones y aprobaciones para ello, se analizarán o impartirán con antelación al inicio del proceso de selección del contratista o al de la firma del contrato, según el caso.</w:t>
      </w:r>
    </w:p>
    <w:p w14:paraId="33A5AB33" w14:textId="77777777" w:rsidR="00F049A2" w:rsidRPr="00196BCD" w:rsidRDefault="00F049A2" w:rsidP="00F049A2">
      <w:pPr>
        <w:pStyle w:val="Sinespaciado"/>
        <w:spacing w:after="120"/>
        <w:ind w:left="709" w:right="709"/>
        <w:jc w:val="both"/>
        <w:rPr>
          <w:rFonts w:ascii="Arial" w:hAnsi="Arial" w:cs="Arial"/>
          <w:sz w:val="21"/>
          <w:szCs w:val="21"/>
        </w:rPr>
      </w:pPr>
      <w:r w:rsidRPr="00196BCD">
        <w:rPr>
          <w:rFonts w:ascii="Arial" w:hAnsi="Arial" w:cs="Arial"/>
          <w:sz w:val="21"/>
          <w:szCs w:val="21"/>
        </w:rPr>
        <w:t>[…]</w:t>
      </w:r>
    </w:p>
    <w:p w14:paraId="75A5945F" w14:textId="77777777" w:rsidR="00F049A2" w:rsidRPr="00196BCD" w:rsidRDefault="00F049A2" w:rsidP="00F049A2">
      <w:pPr>
        <w:pStyle w:val="Sinespaciado"/>
        <w:spacing w:after="120"/>
        <w:ind w:left="709" w:right="709"/>
        <w:jc w:val="both"/>
        <w:rPr>
          <w:rFonts w:ascii="Arial" w:hAnsi="Arial" w:cs="Arial"/>
          <w:sz w:val="21"/>
          <w:szCs w:val="21"/>
        </w:rPr>
      </w:pPr>
      <w:r w:rsidRPr="00196BCD">
        <w:rPr>
          <w:rFonts w:ascii="Arial" w:hAnsi="Arial" w:cs="Arial"/>
          <w:sz w:val="21"/>
          <w:szCs w:val="21"/>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6C3A0056" w14:textId="77777777" w:rsidR="00F049A2" w:rsidRPr="00196BCD" w:rsidRDefault="00F049A2" w:rsidP="00F049A2">
      <w:pPr>
        <w:pStyle w:val="Sinespaciado"/>
        <w:spacing w:after="120"/>
        <w:ind w:left="709" w:right="709"/>
        <w:jc w:val="both"/>
        <w:rPr>
          <w:rFonts w:ascii="Arial" w:hAnsi="Arial" w:cs="Arial"/>
          <w:sz w:val="21"/>
          <w:szCs w:val="21"/>
        </w:rPr>
      </w:pPr>
      <w:r w:rsidRPr="00196BCD">
        <w:rPr>
          <w:rFonts w:ascii="Arial" w:hAnsi="Arial" w:cs="Arial"/>
          <w:sz w:val="21"/>
          <w:szCs w:val="21"/>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082BDEF4" w14:textId="77777777" w:rsidR="00F049A2" w:rsidRPr="00196BCD" w:rsidRDefault="00F049A2" w:rsidP="00C0116A">
      <w:pPr>
        <w:spacing w:after="120"/>
        <w:ind w:left="709" w:right="709"/>
        <w:jc w:val="both"/>
        <w:rPr>
          <w:rFonts w:ascii="Arial" w:hAnsi="Arial" w:cs="Arial"/>
          <w:sz w:val="21"/>
          <w:szCs w:val="21"/>
        </w:rPr>
      </w:pPr>
      <w:r w:rsidRPr="00196BCD">
        <w:rPr>
          <w:rFonts w:ascii="Arial" w:hAnsi="Arial" w:cs="Arial"/>
          <w:sz w:val="21"/>
          <w:szCs w:val="21"/>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3AC559D0" w14:textId="603E732A" w:rsidR="00F049A2" w:rsidRDefault="00F049A2" w:rsidP="00331868">
      <w:pPr>
        <w:ind w:left="709" w:right="709"/>
        <w:jc w:val="both"/>
        <w:rPr>
          <w:rFonts w:ascii="Arial" w:hAnsi="Arial" w:cs="Arial"/>
          <w:sz w:val="21"/>
          <w:szCs w:val="21"/>
        </w:rPr>
      </w:pPr>
      <w:r w:rsidRPr="00196BCD">
        <w:rPr>
          <w:rFonts w:ascii="Arial" w:hAnsi="Arial" w:cs="Arial"/>
          <w:sz w:val="21"/>
          <w:szCs w:val="21"/>
        </w:rPr>
        <w:t xml:space="preserve">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w:t>
      </w:r>
      <w:r w:rsidRPr="00FF3BFC">
        <w:rPr>
          <w:rFonts w:ascii="Arial" w:hAnsi="Arial" w:cs="Arial"/>
          <w:sz w:val="21"/>
          <w:szCs w:val="21"/>
        </w:rPr>
        <w:t xml:space="preserve">por ellas </w:t>
      </w:r>
      <w:proofErr w:type="gramStart"/>
      <w:r w:rsidRPr="00FF3BFC">
        <w:rPr>
          <w:rFonts w:ascii="Arial" w:hAnsi="Arial" w:cs="Arial"/>
          <w:sz w:val="21"/>
          <w:szCs w:val="21"/>
        </w:rPr>
        <w:t>celebrados</w:t>
      </w:r>
      <w:r w:rsidR="00C0116A">
        <w:rPr>
          <w:rFonts w:ascii="Arial" w:hAnsi="Arial" w:cs="Arial"/>
          <w:sz w:val="21"/>
          <w:szCs w:val="21"/>
        </w:rPr>
        <w:t>[</w:t>
      </w:r>
      <w:proofErr w:type="gramEnd"/>
      <w:r w:rsidR="00C0116A">
        <w:rPr>
          <w:rFonts w:ascii="Arial" w:hAnsi="Arial" w:cs="Arial"/>
          <w:sz w:val="21"/>
          <w:szCs w:val="21"/>
        </w:rPr>
        <w:t>…]</w:t>
      </w:r>
      <w:r w:rsidRPr="00FF3BFC">
        <w:rPr>
          <w:rFonts w:ascii="Arial" w:hAnsi="Arial" w:cs="Arial"/>
          <w:sz w:val="21"/>
          <w:szCs w:val="21"/>
        </w:rPr>
        <w:t>.</w:t>
      </w:r>
    </w:p>
    <w:p w14:paraId="6C867509" w14:textId="77777777" w:rsidR="00C42590" w:rsidRPr="00331868" w:rsidRDefault="00C42590" w:rsidP="00331868">
      <w:pPr>
        <w:spacing w:line="276" w:lineRule="auto"/>
        <w:ind w:left="709" w:right="709"/>
        <w:jc w:val="both"/>
        <w:rPr>
          <w:rFonts w:ascii="Arial" w:hAnsi="Arial" w:cs="Arial"/>
          <w:sz w:val="22"/>
        </w:rPr>
      </w:pPr>
    </w:p>
    <w:p w14:paraId="40135A8D" w14:textId="791C71F8" w:rsidR="00F049A2" w:rsidRPr="00FA2F7F" w:rsidRDefault="00F049A2" w:rsidP="00331868">
      <w:pPr>
        <w:spacing w:after="120" w:line="276" w:lineRule="auto"/>
        <w:ind w:firstLine="709"/>
        <w:jc w:val="both"/>
        <w:rPr>
          <w:rFonts w:ascii="Arial" w:hAnsi="Arial" w:cs="Arial"/>
          <w:sz w:val="22"/>
        </w:rPr>
      </w:pPr>
      <w:r w:rsidRPr="00FA2F7F">
        <w:rPr>
          <w:rFonts w:ascii="Arial" w:hAnsi="Arial" w:cs="Arial"/>
          <w:sz w:val="22"/>
        </w:rPr>
        <w:t xml:space="preserve">Lo anterior le permitirá a la entidad estatal identificar </w:t>
      </w:r>
      <w:r w:rsidR="005562C7">
        <w:rPr>
          <w:rFonts w:ascii="Arial" w:hAnsi="Arial" w:cs="Arial"/>
          <w:sz w:val="22"/>
        </w:rPr>
        <w:t xml:space="preserve">desde el punto de </w:t>
      </w:r>
      <w:r w:rsidR="005164A9">
        <w:rPr>
          <w:rFonts w:ascii="Arial" w:hAnsi="Arial" w:cs="Arial"/>
          <w:sz w:val="22"/>
        </w:rPr>
        <w:t xml:space="preserve">vista </w:t>
      </w:r>
      <w:r w:rsidR="005164A9" w:rsidRPr="00FA2F7F">
        <w:rPr>
          <w:rFonts w:ascii="Arial" w:hAnsi="Arial" w:cs="Arial"/>
          <w:sz w:val="22"/>
        </w:rPr>
        <w:t>técnico</w:t>
      </w:r>
      <w:r w:rsidRPr="00FA2F7F">
        <w:rPr>
          <w:rFonts w:ascii="Arial" w:hAnsi="Arial" w:cs="Arial"/>
          <w:sz w:val="22"/>
        </w:rPr>
        <w:t xml:space="preserve"> y </w:t>
      </w:r>
      <w:r w:rsidR="005562C7">
        <w:rPr>
          <w:rFonts w:ascii="Arial" w:hAnsi="Arial" w:cs="Arial"/>
          <w:sz w:val="22"/>
        </w:rPr>
        <w:t>financiero</w:t>
      </w:r>
      <w:r w:rsidR="005562C7" w:rsidRPr="00FA2F7F">
        <w:rPr>
          <w:rFonts w:ascii="Arial" w:hAnsi="Arial" w:cs="Arial"/>
          <w:sz w:val="22"/>
        </w:rPr>
        <w:t xml:space="preserve"> </w:t>
      </w:r>
      <w:r w:rsidRPr="00FA2F7F">
        <w:rPr>
          <w:rFonts w:ascii="Arial" w:hAnsi="Arial" w:cs="Arial"/>
          <w:sz w:val="22"/>
        </w:rPr>
        <w:t xml:space="preserve">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w:t>
      </w:r>
      <w:r w:rsidR="005562C7">
        <w:rPr>
          <w:rFonts w:ascii="Arial" w:hAnsi="Arial" w:cs="Arial"/>
          <w:sz w:val="22"/>
        </w:rPr>
        <w:t>«</w:t>
      </w:r>
      <w:r w:rsidRPr="00FA2F7F">
        <w:rPr>
          <w:rFonts w:ascii="Arial" w:hAnsi="Arial" w:cs="Arial"/>
          <w:sz w:val="22"/>
        </w:rPr>
        <w:t>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005562C7">
        <w:rPr>
          <w:rFonts w:ascii="Arial" w:hAnsi="Arial" w:cs="Arial"/>
          <w:sz w:val="22"/>
        </w:rPr>
        <w:t>»</w:t>
      </w:r>
      <w:r w:rsidRPr="00B60926">
        <w:rPr>
          <w:rFonts w:asciiTheme="minorBidi" w:hAnsiTheme="minorBidi"/>
          <w:sz w:val="22"/>
          <w:vertAlign w:val="superscript"/>
        </w:rPr>
        <w:footnoteReference w:id="1"/>
      </w:r>
      <w:r>
        <w:rPr>
          <w:rFonts w:ascii="Arial" w:hAnsi="Arial" w:cs="Arial"/>
          <w:sz w:val="22"/>
        </w:rPr>
        <w:t>.</w:t>
      </w:r>
    </w:p>
    <w:p w14:paraId="4185B2D5" w14:textId="535AF25A" w:rsidR="00F049A2" w:rsidRPr="00FA2F7F" w:rsidRDefault="00F049A2" w:rsidP="00F049A2">
      <w:pPr>
        <w:spacing w:line="276" w:lineRule="auto"/>
        <w:ind w:firstLine="709"/>
        <w:jc w:val="both"/>
        <w:rPr>
          <w:rFonts w:ascii="Arial" w:hAnsi="Arial" w:cs="Arial"/>
          <w:sz w:val="22"/>
        </w:rPr>
      </w:pPr>
      <w:r w:rsidRPr="00FA2F7F">
        <w:rPr>
          <w:rFonts w:ascii="Arial" w:hAnsi="Arial" w:cs="Arial"/>
          <w:sz w:val="22"/>
        </w:rPr>
        <w:t xml:space="preserve">Con base en la norma enunciada de la Ley 80 de 1993, el Decreto Único Reglamentario del Sector Administrativo de Planeación Nacional </w:t>
      </w:r>
      <w:r w:rsidR="00357EF3">
        <w:rPr>
          <w:rFonts w:ascii="Arial" w:hAnsi="Arial" w:cs="Arial"/>
          <w:sz w:val="22"/>
        </w:rPr>
        <w:t>–</w:t>
      </w:r>
      <w:r w:rsidRPr="00FA2F7F">
        <w:rPr>
          <w:rFonts w:ascii="Arial" w:hAnsi="Arial" w:cs="Arial"/>
          <w:sz w:val="22"/>
        </w:rPr>
        <w:t>Decreto 1082 de 2015</w:t>
      </w:r>
      <w:r w:rsidR="00357EF3">
        <w:rPr>
          <w:rFonts w:ascii="Arial" w:hAnsi="Arial" w:cs="Arial"/>
          <w:sz w:val="22"/>
        </w:rPr>
        <w:t>–</w:t>
      </w:r>
      <w:r w:rsidRPr="00FA2F7F">
        <w:rPr>
          <w:rFonts w:ascii="Arial" w:hAnsi="Arial" w:cs="Arial"/>
          <w:sz w:val="22"/>
        </w:rPr>
        <w:t>, establece en el artículo 2.2.1.1.2.1.1. el contenido mínimo de los estudios y documentos previos:</w:t>
      </w:r>
    </w:p>
    <w:p w14:paraId="412A6687" w14:textId="77777777" w:rsidR="00F049A2" w:rsidRPr="00C0116A" w:rsidRDefault="00F049A2" w:rsidP="0086436E">
      <w:pPr>
        <w:pStyle w:val="Textoindependiente"/>
        <w:spacing w:before="3"/>
        <w:ind w:left="709" w:right="709"/>
      </w:pPr>
    </w:p>
    <w:p w14:paraId="6F223C86" w14:textId="063D421F" w:rsidR="00F049A2" w:rsidRPr="00B502E2" w:rsidRDefault="00F049A2" w:rsidP="0086436E">
      <w:pPr>
        <w:spacing w:after="120"/>
        <w:ind w:left="709" w:right="709"/>
        <w:jc w:val="both"/>
        <w:rPr>
          <w:rFonts w:ascii="Arial" w:hAnsi="Arial" w:cs="Arial"/>
          <w:sz w:val="21"/>
          <w:szCs w:val="21"/>
        </w:rPr>
      </w:pPr>
      <w:r w:rsidRPr="00B502E2">
        <w:rPr>
          <w:rFonts w:ascii="Arial" w:hAnsi="Arial" w:cs="Arial"/>
          <w:sz w:val="21"/>
          <w:szCs w:val="21"/>
        </w:rPr>
        <w:t xml:space="preserve">Artículo 2.2.1.1.2.1.1. Estudios y documentos previos. Los estudios y documentos previos son el soporte para elaborar el proyecto de pliegos, los </w:t>
      </w:r>
      <w:r w:rsidRPr="00B502E2">
        <w:rPr>
          <w:rFonts w:ascii="Arial" w:hAnsi="Arial" w:cs="Arial"/>
          <w:sz w:val="21"/>
          <w:szCs w:val="21"/>
        </w:rPr>
        <w:lastRenderedPageBreak/>
        <w:t>pliegos de condiciones, y el contrato. Deben permanecer a disposición del público durante el desarrollo del Proceso de Contratación y contener los siguientes elementos, además de los indicados para cada modalidad de</w:t>
      </w:r>
      <w:r w:rsidRPr="00B502E2">
        <w:rPr>
          <w:rFonts w:ascii="Arial" w:hAnsi="Arial" w:cs="Arial"/>
          <w:spacing w:val="-15"/>
          <w:sz w:val="21"/>
          <w:szCs w:val="21"/>
        </w:rPr>
        <w:t xml:space="preserve"> </w:t>
      </w:r>
      <w:r w:rsidRPr="00B502E2">
        <w:rPr>
          <w:rFonts w:ascii="Arial" w:hAnsi="Arial" w:cs="Arial"/>
          <w:sz w:val="21"/>
          <w:szCs w:val="21"/>
        </w:rPr>
        <w:t>selección:</w:t>
      </w:r>
    </w:p>
    <w:p w14:paraId="28D70C9D" w14:textId="4A272721" w:rsidR="00F049A2" w:rsidRPr="00C0116A" w:rsidRDefault="00357EF3" w:rsidP="00331868">
      <w:pPr>
        <w:pStyle w:val="Prrafodelista"/>
        <w:widowControl w:val="0"/>
        <w:tabs>
          <w:tab w:val="left" w:pos="1223"/>
        </w:tabs>
        <w:autoSpaceDE w:val="0"/>
        <w:autoSpaceDN w:val="0"/>
        <w:spacing w:after="120"/>
        <w:ind w:left="709" w:right="709"/>
        <w:contextualSpacing w:val="0"/>
        <w:jc w:val="both"/>
        <w:rPr>
          <w:rFonts w:ascii="Arial" w:hAnsi="Arial" w:cs="Arial"/>
          <w:sz w:val="21"/>
          <w:szCs w:val="21"/>
        </w:rPr>
      </w:pPr>
      <w:r>
        <w:rPr>
          <w:rFonts w:ascii="Arial" w:hAnsi="Arial" w:cs="Arial"/>
          <w:sz w:val="21"/>
          <w:szCs w:val="21"/>
        </w:rPr>
        <w:t xml:space="preserve">1. </w:t>
      </w:r>
      <w:r w:rsidR="00F049A2" w:rsidRPr="00C0116A">
        <w:rPr>
          <w:rFonts w:ascii="Arial" w:hAnsi="Arial" w:cs="Arial"/>
          <w:sz w:val="21"/>
          <w:szCs w:val="21"/>
        </w:rPr>
        <w:t>La descripción de la necesidad que la Entidad Estatal pretende satisfacer con el Proceso de</w:t>
      </w:r>
      <w:r w:rsidR="00F049A2" w:rsidRPr="00C0116A">
        <w:rPr>
          <w:rFonts w:ascii="Arial" w:hAnsi="Arial" w:cs="Arial"/>
          <w:spacing w:val="-2"/>
          <w:sz w:val="21"/>
          <w:szCs w:val="21"/>
        </w:rPr>
        <w:t xml:space="preserve"> </w:t>
      </w:r>
      <w:r w:rsidR="00F049A2" w:rsidRPr="00C0116A">
        <w:rPr>
          <w:rFonts w:ascii="Arial" w:hAnsi="Arial" w:cs="Arial"/>
          <w:sz w:val="21"/>
          <w:szCs w:val="21"/>
        </w:rPr>
        <w:t>Contratación.</w:t>
      </w:r>
    </w:p>
    <w:p w14:paraId="5D0BBAB3" w14:textId="49A0E3AC" w:rsidR="00F049A2" w:rsidRPr="00B502E2" w:rsidRDefault="00357EF3" w:rsidP="00331868">
      <w:pPr>
        <w:pStyle w:val="Prrafodelista"/>
        <w:widowControl w:val="0"/>
        <w:tabs>
          <w:tab w:val="left" w:pos="1283"/>
        </w:tabs>
        <w:autoSpaceDE w:val="0"/>
        <w:autoSpaceDN w:val="0"/>
        <w:spacing w:after="120"/>
        <w:ind w:left="709" w:right="709"/>
        <w:contextualSpacing w:val="0"/>
        <w:jc w:val="both"/>
        <w:rPr>
          <w:rFonts w:ascii="Arial" w:hAnsi="Arial" w:cs="Arial"/>
          <w:sz w:val="21"/>
          <w:szCs w:val="21"/>
        </w:rPr>
      </w:pPr>
      <w:r>
        <w:rPr>
          <w:rFonts w:ascii="Arial" w:hAnsi="Arial" w:cs="Arial"/>
          <w:sz w:val="21"/>
          <w:szCs w:val="21"/>
        </w:rPr>
        <w:t xml:space="preserve">2. </w:t>
      </w:r>
      <w:r w:rsidR="00F049A2" w:rsidRPr="00B502E2">
        <w:rPr>
          <w:rFonts w:ascii="Arial" w:hAnsi="Arial" w:cs="Arial"/>
          <w:sz w:val="21"/>
          <w:szCs w:val="21"/>
        </w:rPr>
        <w:t>El objeto a contratar, con sus especificaciones, las autorizaciones, permisos y licencias requeridos para su ejecución, y cuando el contrato incluye diseño y construcción, los documentos técnicos para el desarrollo del</w:t>
      </w:r>
      <w:r w:rsidR="00F049A2" w:rsidRPr="00B502E2">
        <w:rPr>
          <w:rFonts w:ascii="Arial" w:hAnsi="Arial" w:cs="Arial"/>
          <w:spacing w:val="-12"/>
          <w:sz w:val="21"/>
          <w:szCs w:val="21"/>
        </w:rPr>
        <w:t xml:space="preserve"> </w:t>
      </w:r>
      <w:r w:rsidR="00F049A2" w:rsidRPr="00B502E2">
        <w:rPr>
          <w:rFonts w:ascii="Arial" w:hAnsi="Arial" w:cs="Arial"/>
          <w:sz w:val="21"/>
          <w:szCs w:val="21"/>
        </w:rPr>
        <w:t>proyecto.</w:t>
      </w:r>
    </w:p>
    <w:p w14:paraId="1FF1D619" w14:textId="63104301" w:rsidR="00F049A2" w:rsidRPr="00C0116A" w:rsidRDefault="00357EF3" w:rsidP="00331868">
      <w:pPr>
        <w:pStyle w:val="Prrafodelista"/>
        <w:widowControl w:val="0"/>
        <w:tabs>
          <w:tab w:val="left" w:pos="1378"/>
        </w:tabs>
        <w:autoSpaceDE w:val="0"/>
        <w:autoSpaceDN w:val="0"/>
        <w:spacing w:after="120"/>
        <w:ind w:left="709" w:right="709"/>
        <w:contextualSpacing w:val="0"/>
        <w:jc w:val="both"/>
        <w:rPr>
          <w:rFonts w:ascii="Arial" w:hAnsi="Arial" w:cs="Arial"/>
          <w:sz w:val="21"/>
          <w:szCs w:val="21"/>
        </w:rPr>
      </w:pPr>
      <w:r>
        <w:rPr>
          <w:sz w:val="21"/>
          <w:szCs w:val="21"/>
        </w:rPr>
        <w:t xml:space="preserve">3. </w:t>
      </w:r>
      <w:r w:rsidR="00F049A2" w:rsidRPr="00C0116A">
        <w:rPr>
          <w:rFonts w:ascii="Arial" w:hAnsi="Arial" w:cs="Arial"/>
          <w:sz w:val="21"/>
          <w:szCs w:val="21"/>
        </w:rPr>
        <w:t>La modalidad de selección del contratista y su justificación, incluyendo los fundamentos jurídicos.</w:t>
      </w:r>
    </w:p>
    <w:p w14:paraId="2C98BC18" w14:textId="0AA8AAC2" w:rsidR="00F049A2" w:rsidRPr="00C0116A" w:rsidRDefault="00357EF3" w:rsidP="00331868">
      <w:pPr>
        <w:pStyle w:val="Prrafodelista"/>
        <w:widowControl w:val="0"/>
        <w:tabs>
          <w:tab w:val="left" w:pos="1273"/>
        </w:tabs>
        <w:autoSpaceDE w:val="0"/>
        <w:autoSpaceDN w:val="0"/>
        <w:spacing w:after="120"/>
        <w:ind w:left="709" w:right="709"/>
        <w:contextualSpacing w:val="0"/>
        <w:jc w:val="both"/>
        <w:rPr>
          <w:rFonts w:ascii="Arial" w:hAnsi="Arial" w:cs="Arial"/>
          <w:sz w:val="21"/>
          <w:szCs w:val="21"/>
        </w:rPr>
      </w:pPr>
      <w:r>
        <w:rPr>
          <w:rFonts w:ascii="Arial" w:hAnsi="Arial" w:cs="Arial"/>
          <w:sz w:val="21"/>
          <w:szCs w:val="21"/>
        </w:rPr>
        <w:t xml:space="preserve">4. </w:t>
      </w:r>
      <w:r w:rsidR="00F049A2" w:rsidRPr="00C0116A">
        <w:rPr>
          <w:rFonts w:ascii="Arial" w:hAnsi="Arial" w:cs="Arial"/>
          <w:sz w:val="21"/>
          <w:szCs w:val="21"/>
        </w:rPr>
        <w:t>El valor estimado del contrato y la justificación del mismo. Cuando el valor del contrato esté determinado por precios unitarios, la Entidad Estatal debe incluir la forma</w:t>
      </w:r>
      <w:r w:rsidR="00F049A2" w:rsidRPr="00C0116A">
        <w:rPr>
          <w:rFonts w:ascii="Arial" w:hAnsi="Arial" w:cs="Arial"/>
          <w:spacing w:val="8"/>
          <w:sz w:val="21"/>
          <w:szCs w:val="21"/>
        </w:rPr>
        <w:t xml:space="preserve"> </w:t>
      </w:r>
      <w:r w:rsidR="00F049A2" w:rsidRPr="00C0116A">
        <w:rPr>
          <w:rFonts w:ascii="Arial" w:hAnsi="Arial" w:cs="Arial"/>
          <w:sz w:val="21"/>
          <w:szCs w:val="21"/>
        </w:rPr>
        <w:t>como</w:t>
      </w:r>
      <w:r w:rsidR="00F049A2" w:rsidRPr="00C0116A">
        <w:rPr>
          <w:rFonts w:ascii="Arial" w:hAnsi="Arial" w:cs="Arial"/>
          <w:spacing w:val="7"/>
          <w:sz w:val="21"/>
          <w:szCs w:val="21"/>
        </w:rPr>
        <w:t xml:space="preserve"> </w:t>
      </w:r>
      <w:r w:rsidR="00F049A2" w:rsidRPr="00C0116A">
        <w:rPr>
          <w:rFonts w:ascii="Arial" w:hAnsi="Arial" w:cs="Arial"/>
          <w:sz w:val="21"/>
          <w:szCs w:val="21"/>
        </w:rPr>
        <w:t>los</w:t>
      </w:r>
      <w:r w:rsidR="00F049A2" w:rsidRPr="00C0116A">
        <w:rPr>
          <w:rFonts w:ascii="Arial" w:hAnsi="Arial" w:cs="Arial"/>
          <w:spacing w:val="9"/>
          <w:sz w:val="21"/>
          <w:szCs w:val="21"/>
        </w:rPr>
        <w:t xml:space="preserve"> </w:t>
      </w:r>
      <w:r w:rsidR="00F049A2" w:rsidRPr="00C0116A">
        <w:rPr>
          <w:rFonts w:ascii="Arial" w:hAnsi="Arial" w:cs="Arial"/>
          <w:sz w:val="21"/>
          <w:szCs w:val="21"/>
        </w:rPr>
        <w:t>calculó</w:t>
      </w:r>
      <w:r w:rsidR="00F049A2" w:rsidRPr="00C0116A">
        <w:rPr>
          <w:rFonts w:ascii="Arial" w:hAnsi="Arial" w:cs="Arial"/>
          <w:spacing w:val="14"/>
          <w:sz w:val="21"/>
          <w:szCs w:val="21"/>
        </w:rPr>
        <w:t xml:space="preserve"> </w:t>
      </w:r>
      <w:r w:rsidR="00F049A2" w:rsidRPr="00C0116A">
        <w:rPr>
          <w:rFonts w:ascii="Arial" w:hAnsi="Arial" w:cs="Arial"/>
          <w:sz w:val="21"/>
          <w:szCs w:val="21"/>
        </w:rPr>
        <w:t>y</w:t>
      </w:r>
      <w:r w:rsidR="00F049A2" w:rsidRPr="00C0116A">
        <w:rPr>
          <w:rFonts w:ascii="Arial" w:hAnsi="Arial" w:cs="Arial"/>
          <w:spacing w:val="7"/>
          <w:sz w:val="21"/>
          <w:szCs w:val="21"/>
        </w:rPr>
        <w:t xml:space="preserve"> </w:t>
      </w:r>
      <w:r w:rsidR="00F049A2" w:rsidRPr="00C0116A">
        <w:rPr>
          <w:rFonts w:ascii="Arial" w:hAnsi="Arial" w:cs="Arial"/>
          <w:sz w:val="21"/>
          <w:szCs w:val="21"/>
        </w:rPr>
        <w:t>soportar</w:t>
      </w:r>
      <w:r w:rsidR="00F049A2" w:rsidRPr="00C0116A">
        <w:rPr>
          <w:rFonts w:ascii="Arial" w:hAnsi="Arial" w:cs="Arial"/>
          <w:spacing w:val="10"/>
          <w:sz w:val="21"/>
          <w:szCs w:val="21"/>
        </w:rPr>
        <w:t xml:space="preserve"> </w:t>
      </w:r>
      <w:r w:rsidR="00F049A2" w:rsidRPr="00C0116A">
        <w:rPr>
          <w:rFonts w:ascii="Arial" w:hAnsi="Arial" w:cs="Arial"/>
          <w:sz w:val="21"/>
          <w:szCs w:val="21"/>
        </w:rPr>
        <w:t>sus</w:t>
      </w:r>
      <w:r w:rsidR="00F049A2" w:rsidRPr="00C0116A">
        <w:rPr>
          <w:rFonts w:ascii="Arial" w:hAnsi="Arial" w:cs="Arial"/>
          <w:spacing w:val="9"/>
          <w:sz w:val="21"/>
          <w:szCs w:val="21"/>
        </w:rPr>
        <w:t xml:space="preserve"> </w:t>
      </w:r>
      <w:r w:rsidR="00F049A2" w:rsidRPr="00C0116A">
        <w:rPr>
          <w:rFonts w:ascii="Arial" w:hAnsi="Arial" w:cs="Arial"/>
          <w:sz w:val="21"/>
          <w:szCs w:val="21"/>
        </w:rPr>
        <w:t>cálculos</w:t>
      </w:r>
      <w:r w:rsidR="00F049A2" w:rsidRPr="00C0116A">
        <w:rPr>
          <w:rFonts w:ascii="Arial" w:hAnsi="Arial" w:cs="Arial"/>
          <w:spacing w:val="12"/>
          <w:sz w:val="21"/>
          <w:szCs w:val="21"/>
        </w:rPr>
        <w:t xml:space="preserve"> </w:t>
      </w:r>
      <w:r w:rsidR="00F049A2" w:rsidRPr="00C0116A">
        <w:rPr>
          <w:rFonts w:ascii="Arial" w:hAnsi="Arial" w:cs="Arial"/>
          <w:sz w:val="21"/>
          <w:szCs w:val="21"/>
        </w:rPr>
        <w:t>de</w:t>
      </w:r>
      <w:r w:rsidR="00F049A2" w:rsidRPr="00C0116A">
        <w:rPr>
          <w:rFonts w:ascii="Arial" w:hAnsi="Arial" w:cs="Arial"/>
          <w:spacing w:val="11"/>
          <w:sz w:val="21"/>
          <w:szCs w:val="21"/>
        </w:rPr>
        <w:t xml:space="preserve"> </w:t>
      </w:r>
      <w:r w:rsidR="00F049A2" w:rsidRPr="00C0116A">
        <w:rPr>
          <w:rFonts w:ascii="Arial" w:hAnsi="Arial" w:cs="Arial"/>
          <w:sz w:val="21"/>
          <w:szCs w:val="21"/>
        </w:rPr>
        <w:t>presupuesto</w:t>
      </w:r>
      <w:r w:rsidR="00F049A2" w:rsidRPr="00C0116A">
        <w:rPr>
          <w:rFonts w:ascii="Arial" w:hAnsi="Arial" w:cs="Arial"/>
          <w:spacing w:val="10"/>
          <w:sz w:val="21"/>
          <w:szCs w:val="21"/>
        </w:rPr>
        <w:t xml:space="preserve"> </w:t>
      </w:r>
      <w:r w:rsidR="00F049A2" w:rsidRPr="00C0116A">
        <w:rPr>
          <w:rFonts w:ascii="Arial" w:hAnsi="Arial" w:cs="Arial"/>
          <w:sz w:val="21"/>
          <w:szCs w:val="21"/>
        </w:rPr>
        <w:t>en</w:t>
      </w:r>
      <w:r w:rsidR="00F049A2" w:rsidRPr="00C0116A">
        <w:rPr>
          <w:rFonts w:ascii="Arial" w:hAnsi="Arial" w:cs="Arial"/>
          <w:spacing w:val="8"/>
          <w:sz w:val="21"/>
          <w:szCs w:val="21"/>
        </w:rPr>
        <w:t xml:space="preserve"> </w:t>
      </w:r>
      <w:r w:rsidR="00F049A2" w:rsidRPr="00C0116A">
        <w:rPr>
          <w:rFonts w:ascii="Arial" w:hAnsi="Arial" w:cs="Arial"/>
          <w:sz w:val="21"/>
          <w:szCs w:val="21"/>
        </w:rPr>
        <w:t>la</w:t>
      </w:r>
      <w:r w:rsidR="00F049A2" w:rsidRPr="00C0116A">
        <w:rPr>
          <w:rFonts w:ascii="Arial" w:hAnsi="Arial" w:cs="Arial"/>
          <w:spacing w:val="11"/>
          <w:sz w:val="21"/>
          <w:szCs w:val="21"/>
        </w:rPr>
        <w:t xml:space="preserve"> </w:t>
      </w:r>
      <w:r w:rsidR="00F049A2" w:rsidRPr="00C0116A">
        <w:rPr>
          <w:rFonts w:ascii="Arial" w:hAnsi="Arial" w:cs="Arial"/>
          <w:sz w:val="21"/>
          <w:szCs w:val="21"/>
        </w:rPr>
        <w:t>estimación</w:t>
      </w:r>
      <w:r w:rsidR="00F049A2" w:rsidRPr="00C0116A">
        <w:rPr>
          <w:rFonts w:ascii="Arial" w:hAnsi="Arial" w:cs="Arial"/>
          <w:spacing w:val="11"/>
          <w:sz w:val="21"/>
          <w:szCs w:val="21"/>
        </w:rPr>
        <w:t xml:space="preserve"> </w:t>
      </w:r>
      <w:r w:rsidR="00F049A2" w:rsidRPr="00C0116A">
        <w:rPr>
          <w:rFonts w:ascii="Arial" w:hAnsi="Arial" w:cs="Arial"/>
          <w:sz w:val="21"/>
          <w:szCs w:val="21"/>
        </w:rPr>
        <w:t>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w:t>
      </w:r>
    </w:p>
    <w:p w14:paraId="62CFD61E" w14:textId="01E7752D" w:rsidR="00357EF3" w:rsidRPr="00331868" w:rsidRDefault="00357EF3" w:rsidP="00331868">
      <w:pPr>
        <w:widowControl w:val="0"/>
        <w:tabs>
          <w:tab w:val="left" w:pos="1217"/>
        </w:tabs>
        <w:autoSpaceDE w:val="0"/>
        <w:autoSpaceDN w:val="0"/>
        <w:spacing w:after="120"/>
        <w:ind w:left="709" w:right="709"/>
        <w:rPr>
          <w:rFonts w:ascii="Arial" w:hAnsi="Arial" w:cs="Arial"/>
          <w:sz w:val="21"/>
          <w:szCs w:val="21"/>
        </w:rPr>
      </w:pPr>
      <w:r>
        <w:rPr>
          <w:rFonts w:ascii="Arial" w:hAnsi="Arial" w:cs="Arial"/>
          <w:sz w:val="21"/>
          <w:szCs w:val="21"/>
        </w:rPr>
        <w:t xml:space="preserve">5. </w:t>
      </w:r>
      <w:r w:rsidR="00F049A2" w:rsidRPr="00331868">
        <w:rPr>
          <w:rFonts w:ascii="Arial" w:hAnsi="Arial" w:cs="Arial"/>
          <w:sz w:val="21"/>
          <w:szCs w:val="21"/>
        </w:rPr>
        <w:t>Los criterios para seleccionar la oferta más</w:t>
      </w:r>
      <w:r w:rsidR="00F049A2" w:rsidRPr="00331868">
        <w:rPr>
          <w:rFonts w:ascii="Arial" w:hAnsi="Arial" w:cs="Arial"/>
          <w:spacing w:val="-7"/>
          <w:sz w:val="21"/>
          <w:szCs w:val="21"/>
        </w:rPr>
        <w:t xml:space="preserve"> </w:t>
      </w:r>
      <w:r w:rsidR="00F049A2" w:rsidRPr="00331868">
        <w:rPr>
          <w:rFonts w:ascii="Arial" w:hAnsi="Arial" w:cs="Arial"/>
          <w:sz w:val="21"/>
          <w:szCs w:val="21"/>
        </w:rPr>
        <w:t>favorable.</w:t>
      </w:r>
    </w:p>
    <w:p w14:paraId="7DF751E6" w14:textId="2DD88A72" w:rsidR="00357EF3" w:rsidRPr="00331868" w:rsidRDefault="00357EF3" w:rsidP="00331868">
      <w:pPr>
        <w:widowControl w:val="0"/>
        <w:tabs>
          <w:tab w:val="left" w:pos="1217"/>
        </w:tabs>
        <w:autoSpaceDE w:val="0"/>
        <w:autoSpaceDN w:val="0"/>
        <w:spacing w:after="120"/>
        <w:ind w:left="709" w:right="709"/>
        <w:rPr>
          <w:rFonts w:ascii="Arial" w:hAnsi="Arial" w:cs="Arial"/>
          <w:sz w:val="21"/>
          <w:szCs w:val="21"/>
        </w:rPr>
      </w:pPr>
      <w:r>
        <w:rPr>
          <w:rFonts w:ascii="Arial" w:hAnsi="Arial" w:cs="Arial"/>
          <w:sz w:val="21"/>
          <w:szCs w:val="21"/>
        </w:rPr>
        <w:t xml:space="preserve">6. </w:t>
      </w:r>
      <w:r w:rsidR="00F049A2" w:rsidRPr="00331868">
        <w:rPr>
          <w:rFonts w:ascii="Arial" w:hAnsi="Arial" w:cs="Arial"/>
          <w:sz w:val="21"/>
          <w:szCs w:val="21"/>
        </w:rPr>
        <w:t>El análisis de Riesgo y la forma de</w:t>
      </w:r>
      <w:r w:rsidR="00F049A2" w:rsidRPr="00331868">
        <w:rPr>
          <w:rFonts w:ascii="Arial" w:hAnsi="Arial" w:cs="Arial"/>
          <w:spacing w:val="-8"/>
          <w:sz w:val="21"/>
          <w:szCs w:val="21"/>
        </w:rPr>
        <w:t xml:space="preserve"> </w:t>
      </w:r>
      <w:r w:rsidR="00F049A2" w:rsidRPr="00331868">
        <w:rPr>
          <w:rFonts w:ascii="Arial" w:hAnsi="Arial" w:cs="Arial"/>
          <w:sz w:val="21"/>
          <w:szCs w:val="21"/>
        </w:rPr>
        <w:t>mitigarlo.</w:t>
      </w:r>
    </w:p>
    <w:p w14:paraId="275699BB" w14:textId="6F29DDAE" w:rsidR="00F049A2" w:rsidRPr="00C0116A" w:rsidRDefault="00357EF3" w:rsidP="00331868">
      <w:pPr>
        <w:pStyle w:val="Prrafodelista"/>
        <w:widowControl w:val="0"/>
        <w:tabs>
          <w:tab w:val="left" w:pos="1443"/>
        </w:tabs>
        <w:autoSpaceDE w:val="0"/>
        <w:autoSpaceDN w:val="0"/>
        <w:spacing w:after="120"/>
        <w:ind w:left="709" w:right="709"/>
        <w:contextualSpacing w:val="0"/>
        <w:rPr>
          <w:rFonts w:ascii="Arial" w:hAnsi="Arial" w:cs="Arial"/>
          <w:sz w:val="21"/>
          <w:szCs w:val="21"/>
        </w:rPr>
      </w:pPr>
      <w:r>
        <w:rPr>
          <w:rFonts w:ascii="Arial" w:hAnsi="Arial" w:cs="Arial"/>
          <w:sz w:val="21"/>
          <w:szCs w:val="21"/>
        </w:rPr>
        <w:t xml:space="preserve">7. </w:t>
      </w:r>
      <w:r w:rsidR="00F049A2" w:rsidRPr="00C0116A">
        <w:rPr>
          <w:rFonts w:ascii="Arial" w:hAnsi="Arial" w:cs="Arial"/>
          <w:sz w:val="21"/>
          <w:szCs w:val="21"/>
        </w:rPr>
        <w:t>Las garantías que la Entidad Estatal contempla exigir en el Proceso de Contratación.</w:t>
      </w:r>
    </w:p>
    <w:p w14:paraId="40545933" w14:textId="1D5C6D75" w:rsidR="00F049A2" w:rsidRDefault="00357EF3" w:rsidP="00331868">
      <w:pPr>
        <w:pStyle w:val="Prrafodelista"/>
        <w:widowControl w:val="0"/>
        <w:tabs>
          <w:tab w:val="left" w:pos="1305"/>
        </w:tabs>
        <w:autoSpaceDE w:val="0"/>
        <w:autoSpaceDN w:val="0"/>
        <w:spacing w:after="120"/>
        <w:ind w:left="709" w:right="709"/>
        <w:contextualSpacing w:val="0"/>
        <w:rPr>
          <w:rFonts w:ascii="Arial" w:hAnsi="Arial" w:cs="Arial"/>
          <w:sz w:val="21"/>
          <w:szCs w:val="21"/>
        </w:rPr>
      </w:pPr>
      <w:r>
        <w:rPr>
          <w:rFonts w:ascii="Arial" w:hAnsi="Arial" w:cs="Arial"/>
          <w:sz w:val="21"/>
          <w:szCs w:val="21"/>
        </w:rPr>
        <w:t xml:space="preserve">8. </w:t>
      </w:r>
      <w:r w:rsidR="00F049A2" w:rsidRPr="00B502E2">
        <w:rPr>
          <w:rFonts w:ascii="Arial" w:hAnsi="Arial" w:cs="Arial"/>
          <w:sz w:val="21"/>
          <w:szCs w:val="21"/>
        </w:rPr>
        <w:t>La indicación de si el Proceso de Contratación está cobijado por un Acuerdo Comercial.</w:t>
      </w:r>
    </w:p>
    <w:p w14:paraId="7EEED131" w14:textId="77777777" w:rsidR="00F049A2" w:rsidRPr="00B502E2" w:rsidRDefault="00F049A2" w:rsidP="00F049A2">
      <w:pPr>
        <w:pStyle w:val="Prrafodelista"/>
        <w:widowControl w:val="0"/>
        <w:tabs>
          <w:tab w:val="left" w:pos="1305"/>
        </w:tabs>
        <w:autoSpaceDE w:val="0"/>
        <w:autoSpaceDN w:val="0"/>
        <w:ind w:left="828" w:right="822"/>
        <w:contextualSpacing w:val="0"/>
        <w:rPr>
          <w:rFonts w:ascii="Arial" w:hAnsi="Arial" w:cs="Arial"/>
          <w:sz w:val="21"/>
          <w:szCs w:val="21"/>
        </w:rPr>
      </w:pPr>
    </w:p>
    <w:p w14:paraId="3E365200" w14:textId="77777777" w:rsidR="00503C6F" w:rsidRPr="00821546" w:rsidRDefault="00503C6F" w:rsidP="00503C6F">
      <w:pPr>
        <w:spacing w:after="120" w:line="276" w:lineRule="auto"/>
        <w:ind w:firstLine="709"/>
        <w:jc w:val="both"/>
        <w:rPr>
          <w:rFonts w:asciiTheme="minorBidi" w:hAnsiTheme="minorBidi"/>
          <w:sz w:val="22"/>
        </w:rPr>
      </w:pPr>
      <w:bookmarkStart w:id="7" w:name="_Hlk54011351"/>
      <w:r>
        <w:rPr>
          <w:rFonts w:asciiTheme="minorBidi" w:hAnsiTheme="minorBidi"/>
          <w:sz w:val="22"/>
        </w:rPr>
        <w:t>De esta manera</w:t>
      </w:r>
      <w:r w:rsidRPr="00821546">
        <w:rPr>
          <w:rFonts w:asciiTheme="minorBidi" w:hAnsiTheme="minorBidi"/>
          <w:sz w:val="22"/>
        </w:rPr>
        <w:t>, antes de iniciar un procedimiento de selección, la entidad estatal</w:t>
      </w:r>
      <w:r>
        <w:rPr>
          <w:rFonts w:asciiTheme="minorBidi" w:hAnsiTheme="minorBidi"/>
          <w:sz w:val="22"/>
        </w:rPr>
        <w:t xml:space="preserve"> </w:t>
      </w:r>
      <w:r w:rsidRPr="00821546">
        <w:rPr>
          <w:rFonts w:asciiTheme="minorBidi" w:hAnsiTheme="minorBidi"/>
          <w:sz w:val="22"/>
        </w:rPr>
        <w:t xml:space="preserve">podrá determinar con los estudios previos: i) la verdadera necesidad de la celebración del contrato; </w:t>
      </w:r>
      <w:proofErr w:type="spellStart"/>
      <w:r w:rsidRPr="00821546">
        <w:rPr>
          <w:rFonts w:asciiTheme="minorBidi" w:hAnsiTheme="minorBidi"/>
          <w:sz w:val="22"/>
        </w:rPr>
        <w:t>ii</w:t>
      </w:r>
      <w:proofErr w:type="spellEnd"/>
      <w:r w:rsidRPr="00821546">
        <w:rPr>
          <w:rFonts w:asciiTheme="minorBidi" w:hAnsiTheme="minorBidi"/>
          <w:sz w:val="22"/>
        </w:rPr>
        <w:t xml:space="preserve">) las modalidades existentes para satisfacer esa necesidad y las razones que justifiquen la modalidad o tipo contractual que se escoja; </w:t>
      </w:r>
      <w:proofErr w:type="spellStart"/>
      <w:r w:rsidRPr="00821546">
        <w:rPr>
          <w:rFonts w:asciiTheme="minorBidi" w:hAnsiTheme="minorBidi"/>
          <w:sz w:val="22"/>
        </w:rPr>
        <w:t>iii</w:t>
      </w:r>
      <w:proofErr w:type="spellEnd"/>
      <w:r w:rsidRPr="00821546">
        <w:rPr>
          <w:rFonts w:asciiTheme="minorBidi" w:hAnsiTheme="minorBidi"/>
          <w:sz w:val="22"/>
        </w:rPr>
        <w:t xml:space="preserve">) las calidades, especificaciones, cantidades y demás características que puedan o deban reunir los bienes, las obras, los servicios, etcétera, cuya contratación, se haya determinado necesaria, </w:t>
      </w:r>
      <w:proofErr w:type="spellStart"/>
      <w:r w:rsidRPr="00821546">
        <w:rPr>
          <w:rFonts w:asciiTheme="minorBidi" w:hAnsiTheme="minorBidi"/>
          <w:sz w:val="22"/>
        </w:rPr>
        <w:t>iv</w:t>
      </w:r>
      <w:proofErr w:type="spellEnd"/>
      <w:r w:rsidRPr="00821546">
        <w:rPr>
          <w:rFonts w:asciiTheme="minorBidi" w:hAnsiTheme="minorBidi"/>
          <w:sz w:val="22"/>
        </w:rPr>
        <w:t>) los costos, valores y alternativas que, a precios de mercado reales, podría demandar la celebración y ejecución de</w:t>
      </w:r>
      <w:r>
        <w:rPr>
          <w:rFonts w:asciiTheme="minorBidi" w:hAnsiTheme="minorBidi"/>
          <w:sz w:val="22"/>
        </w:rPr>
        <w:t>l</w:t>
      </w:r>
      <w:r w:rsidRPr="00821546">
        <w:rPr>
          <w:rFonts w:asciiTheme="minorBidi" w:hAnsiTheme="minorBidi"/>
          <w:sz w:val="22"/>
        </w:rPr>
        <w:t xml:space="preserve"> contrato,</w:t>
      </w:r>
      <w:r>
        <w:rPr>
          <w:rFonts w:asciiTheme="minorBidi" w:hAnsiTheme="minorBidi"/>
          <w:sz w:val="22"/>
        </w:rPr>
        <w:t xml:space="preserve"> </w:t>
      </w:r>
      <w:r w:rsidRPr="00821546">
        <w:rPr>
          <w:rFonts w:asciiTheme="minorBidi" w:hAnsiTheme="minorBidi"/>
          <w:sz w:val="22"/>
        </w:rPr>
        <w:t xml:space="preserve">v) la disponibilidad de recursos o la capacidad financiera de la entidad contratante, para asumir las obligaciones de pago </w:t>
      </w:r>
      <w:r>
        <w:rPr>
          <w:rFonts w:asciiTheme="minorBidi" w:hAnsiTheme="minorBidi"/>
          <w:sz w:val="22"/>
        </w:rPr>
        <w:t xml:space="preserve">producto </w:t>
      </w:r>
      <w:r w:rsidRPr="00821546">
        <w:rPr>
          <w:rFonts w:asciiTheme="minorBidi" w:hAnsiTheme="minorBidi"/>
          <w:sz w:val="22"/>
        </w:rPr>
        <w:t>de la celebración de ese pretendido contrato; vi) la existencia y disponibilidad, en el mercado nacional o internacional, de proveedores, constructores, profesionales, etc., en condiciones de atender los requerimientos y satisfacer las necesidades</w:t>
      </w:r>
      <w:r>
        <w:rPr>
          <w:rFonts w:asciiTheme="minorBidi" w:hAnsiTheme="minorBidi"/>
          <w:sz w:val="22"/>
        </w:rPr>
        <w:t xml:space="preserve"> y </w:t>
      </w:r>
      <w:proofErr w:type="spellStart"/>
      <w:r w:rsidRPr="00821546">
        <w:rPr>
          <w:rFonts w:asciiTheme="minorBidi" w:hAnsiTheme="minorBidi"/>
          <w:sz w:val="22"/>
        </w:rPr>
        <w:t>vii</w:t>
      </w:r>
      <w:proofErr w:type="spellEnd"/>
      <w:r w:rsidRPr="00821546">
        <w:rPr>
          <w:rFonts w:asciiTheme="minorBidi" w:hAnsiTheme="minorBidi"/>
          <w:sz w:val="22"/>
        </w:rPr>
        <w:t xml:space="preserve">) los procedimientos, trámites y </w:t>
      </w:r>
      <w:r w:rsidRPr="00821546">
        <w:rPr>
          <w:rFonts w:asciiTheme="minorBidi" w:hAnsiTheme="minorBidi"/>
          <w:sz w:val="22"/>
        </w:rPr>
        <w:lastRenderedPageBreak/>
        <w:t>requisitos que deban satisfacerse, reunirse u obtenerse para llevar a cabo la selección del respectivo contratista y la celebración del contrato que se pretenda celebrar</w:t>
      </w:r>
      <w:r>
        <w:rPr>
          <w:rStyle w:val="Refdenotaalpie"/>
          <w:rFonts w:asciiTheme="minorBidi" w:hAnsiTheme="minorBidi"/>
          <w:sz w:val="22"/>
        </w:rPr>
        <w:footnoteReference w:id="2"/>
      </w:r>
      <w:r w:rsidRPr="00821546">
        <w:rPr>
          <w:rFonts w:asciiTheme="minorBidi" w:hAnsiTheme="minorBidi"/>
          <w:sz w:val="22"/>
        </w:rPr>
        <w:t>.</w:t>
      </w:r>
    </w:p>
    <w:bookmarkEnd w:id="7"/>
    <w:p w14:paraId="5C8CE8EC" w14:textId="049489DD" w:rsidR="00F049A2" w:rsidRDefault="00F049A2" w:rsidP="0086436E">
      <w:pPr>
        <w:spacing w:after="120" w:line="276" w:lineRule="auto"/>
        <w:ind w:firstLine="709"/>
        <w:jc w:val="both"/>
        <w:rPr>
          <w:rFonts w:asciiTheme="minorBidi" w:hAnsiTheme="minorBidi"/>
          <w:sz w:val="22"/>
        </w:rPr>
      </w:pPr>
      <w:r w:rsidRPr="005E2387">
        <w:rPr>
          <w:rFonts w:asciiTheme="minorBidi" w:hAnsiTheme="minorBidi"/>
          <w:sz w:val="22"/>
        </w:rPr>
        <w:t>Cuando las entidades cumplen</w:t>
      </w:r>
      <w:r w:rsidRPr="00FA2F7F">
        <w:rPr>
          <w:rFonts w:asciiTheme="minorBidi" w:hAnsiTheme="minorBidi"/>
          <w:sz w:val="22"/>
        </w:rPr>
        <w:t xml:space="preserve"> con los elementos mínimos establecidos en la norma y aquellos adicionales que identifiquen en la etapa de planeación de los </w:t>
      </w:r>
      <w:r w:rsidRPr="00FA2F7F">
        <w:rPr>
          <w:rFonts w:asciiTheme="minorBidi" w:eastAsia="Calibri" w:hAnsiTheme="minorBidi"/>
          <w:bCs/>
          <w:sz w:val="22"/>
          <w:lang w:val="es-ES_tradnl"/>
        </w:rPr>
        <w:t xml:space="preserve">procedimientos de contratación, permiten que los contratos resultantes cuenten con el sustento técnico, económico y jurídico que </w:t>
      </w:r>
      <w:r w:rsidR="00661514">
        <w:rPr>
          <w:rFonts w:asciiTheme="minorBidi" w:eastAsia="Calibri" w:hAnsiTheme="minorBidi"/>
          <w:bCs/>
          <w:sz w:val="22"/>
          <w:lang w:val="es-ES_tradnl"/>
        </w:rPr>
        <w:t>incidi</w:t>
      </w:r>
      <w:r w:rsidRPr="00FA2F7F">
        <w:rPr>
          <w:rFonts w:asciiTheme="minorBidi" w:eastAsia="Calibri" w:hAnsiTheme="minorBidi"/>
          <w:bCs/>
          <w:sz w:val="22"/>
          <w:lang w:val="es-ES_tradnl"/>
        </w:rPr>
        <w:t xml:space="preserve">rá </w:t>
      </w:r>
      <w:r w:rsidRPr="009B03BB">
        <w:rPr>
          <w:rFonts w:asciiTheme="minorBidi" w:hAnsiTheme="minorBidi"/>
          <w:sz w:val="22"/>
        </w:rPr>
        <w:t xml:space="preserve">en </w:t>
      </w:r>
      <w:r w:rsidR="00661514">
        <w:rPr>
          <w:rFonts w:asciiTheme="minorBidi" w:hAnsiTheme="minorBidi"/>
          <w:sz w:val="22"/>
        </w:rPr>
        <w:t>una</w:t>
      </w:r>
      <w:r w:rsidRPr="009B03BB">
        <w:rPr>
          <w:rFonts w:asciiTheme="minorBidi" w:hAnsiTheme="minorBidi"/>
          <w:sz w:val="22"/>
        </w:rPr>
        <w:t xml:space="preserve"> adecuada ejecución.</w:t>
      </w:r>
    </w:p>
    <w:p w14:paraId="24D0966E" w14:textId="53A3F032" w:rsidR="00F049A2" w:rsidRPr="00EF68D5" w:rsidRDefault="00F049A2" w:rsidP="00F049A2">
      <w:pPr>
        <w:spacing w:line="276" w:lineRule="auto"/>
        <w:ind w:right="103" w:firstLine="708"/>
        <w:jc w:val="both"/>
        <w:rPr>
          <w:rFonts w:asciiTheme="minorBidi" w:hAnsiTheme="minorBidi"/>
          <w:sz w:val="22"/>
        </w:rPr>
      </w:pPr>
      <w:r w:rsidRPr="00EF68D5">
        <w:rPr>
          <w:rFonts w:asciiTheme="minorBidi" w:hAnsiTheme="minorBidi"/>
          <w:sz w:val="22"/>
        </w:rPr>
        <w:t xml:space="preserve">Mas allá del cumplimiento de la normativa, </w:t>
      </w:r>
      <w:r w:rsidR="001D35B6">
        <w:rPr>
          <w:rFonts w:asciiTheme="minorBidi" w:hAnsiTheme="minorBidi"/>
          <w:sz w:val="22"/>
        </w:rPr>
        <w:t>«</w:t>
      </w:r>
      <w:r w:rsidRPr="00EF68D5">
        <w:rPr>
          <w:rFonts w:asciiTheme="minorBidi" w:hAnsiTheme="minorBidi"/>
          <w:sz w:val="22"/>
        </w:rPr>
        <w:t>los estudios y documentos previos son el soporte para elaborar el proyecto de pliegos, los pliegos de condiciones, y el contrato</w:t>
      </w:r>
      <w:r w:rsidR="001D35B6">
        <w:rPr>
          <w:rFonts w:asciiTheme="minorBidi" w:hAnsiTheme="minorBidi"/>
          <w:sz w:val="22"/>
        </w:rPr>
        <w:t>»</w:t>
      </w:r>
      <w:r w:rsidRPr="00EF68D5">
        <w:rPr>
          <w:rStyle w:val="Refdenotaalpie"/>
          <w:rFonts w:asciiTheme="minorBidi" w:hAnsiTheme="minorBidi"/>
          <w:sz w:val="22"/>
        </w:rPr>
        <w:footnoteReference w:id="3"/>
      </w:r>
      <w:r w:rsidRPr="00EF68D5">
        <w:rPr>
          <w:rFonts w:asciiTheme="minorBidi" w:hAnsiTheme="minorBidi"/>
          <w:sz w:val="22"/>
        </w:rPr>
        <w:t xml:space="preserve">, </w:t>
      </w:r>
      <w:r w:rsidR="001D35B6">
        <w:rPr>
          <w:rFonts w:asciiTheme="minorBidi" w:hAnsiTheme="minorBidi"/>
          <w:sz w:val="22"/>
        </w:rPr>
        <w:t>por lo que</w:t>
      </w:r>
      <w:r w:rsidRPr="00EF68D5">
        <w:rPr>
          <w:rFonts w:asciiTheme="minorBidi" w:hAnsiTheme="minorBidi"/>
          <w:sz w:val="22"/>
        </w:rPr>
        <w:t xml:space="preserve"> deben publica</w:t>
      </w:r>
      <w:r w:rsidR="001D35B6">
        <w:rPr>
          <w:rFonts w:asciiTheme="minorBidi" w:hAnsiTheme="minorBidi"/>
          <w:sz w:val="22"/>
        </w:rPr>
        <w:t>rse</w:t>
      </w:r>
      <w:r w:rsidRPr="00EF68D5">
        <w:rPr>
          <w:rFonts w:asciiTheme="minorBidi" w:hAnsiTheme="minorBidi"/>
          <w:sz w:val="22"/>
        </w:rPr>
        <w:t xml:space="preserve"> en la etapa precontract</w:t>
      </w:r>
      <w:r w:rsidR="001D35B6">
        <w:rPr>
          <w:rFonts w:asciiTheme="minorBidi" w:hAnsiTheme="minorBidi"/>
          <w:sz w:val="22"/>
        </w:rPr>
        <w:t>u</w:t>
      </w:r>
      <w:r w:rsidRPr="00EF68D5">
        <w:rPr>
          <w:rFonts w:asciiTheme="minorBidi" w:hAnsiTheme="minorBidi"/>
          <w:sz w:val="22"/>
        </w:rPr>
        <w:t xml:space="preserve">al y </w:t>
      </w:r>
      <w:r w:rsidR="001D35B6">
        <w:rPr>
          <w:rFonts w:asciiTheme="minorBidi" w:hAnsiTheme="minorBidi"/>
          <w:sz w:val="22"/>
        </w:rPr>
        <w:t>sirven</w:t>
      </w:r>
      <w:r w:rsidRPr="00EF68D5">
        <w:rPr>
          <w:rFonts w:asciiTheme="minorBidi" w:hAnsiTheme="minorBidi"/>
          <w:sz w:val="22"/>
        </w:rPr>
        <w:t xml:space="preserve"> de motivación para los documentos expedidos unilateralmente por la entidad estatal tales como el acto administrativo de apertura, los pliegos de condiciones y el acto de adjudicación, entre otros.</w:t>
      </w:r>
    </w:p>
    <w:p w14:paraId="7127B4A1" w14:textId="27C0ABB2" w:rsidR="00F049A2" w:rsidRPr="00EF68D5" w:rsidRDefault="00661514" w:rsidP="0086436E">
      <w:pPr>
        <w:spacing w:after="120" w:line="276" w:lineRule="auto"/>
        <w:ind w:right="105" w:firstLine="709"/>
        <w:jc w:val="both"/>
        <w:rPr>
          <w:rFonts w:asciiTheme="minorBidi" w:hAnsiTheme="minorBidi"/>
          <w:sz w:val="22"/>
        </w:rPr>
      </w:pPr>
      <w:bookmarkStart w:id="9" w:name="_Hlk54011438"/>
      <w:r>
        <w:rPr>
          <w:rFonts w:asciiTheme="minorBidi" w:hAnsiTheme="minorBidi"/>
          <w:sz w:val="22"/>
        </w:rPr>
        <w:t>De lo explicado se desprende</w:t>
      </w:r>
      <w:r w:rsidR="00F049A2" w:rsidRPr="00EF68D5">
        <w:rPr>
          <w:rFonts w:asciiTheme="minorBidi" w:hAnsiTheme="minorBidi"/>
          <w:sz w:val="22"/>
        </w:rPr>
        <w:t xml:space="preserve"> que los estudios y documentos previos son necesarios antes de la celebración del contrato, pues fundamentan las condiciones que la entidad estatal exige en su proceso de contratación</w:t>
      </w:r>
      <w:r w:rsidR="001D35B6">
        <w:rPr>
          <w:rFonts w:asciiTheme="minorBidi" w:hAnsiTheme="minorBidi"/>
          <w:sz w:val="22"/>
        </w:rPr>
        <w:t>.</w:t>
      </w:r>
      <w:r w:rsidR="00F049A2" w:rsidRPr="00EF68D5">
        <w:rPr>
          <w:rFonts w:asciiTheme="minorBidi" w:hAnsiTheme="minorBidi"/>
          <w:sz w:val="22"/>
        </w:rPr>
        <w:t xml:space="preserve"> </w:t>
      </w:r>
      <w:r w:rsidR="001D35B6">
        <w:rPr>
          <w:rFonts w:asciiTheme="minorBidi" w:hAnsiTheme="minorBidi"/>
          <w:sz w:val="22"/>
        </w:rPr>
        <w:t>S</w:t>
      </w:r>
      <w:r w:rsidR="00F049A2" w:rsidRPr="00EF68D5">
        <w:rPr>
          <w:rFonts w:asciiTheme="minorBidi" w:hAnsiTheme="minorBidi"/>
          <w:sz w:val="22"/>
        </w:rPr>
        <w:t>in embargo, luego de la suscripción del contrato la entidad no debe actuar unilateralmente, sino que debe respetar la buena fe contractual y proceder de acuerdo con lo pactado</w:t>
      </w:r>
      <w:bookmarkEnd w:id="9"/>
      <w:r w:rsidR="00F049A2" w:rsidRPr="00EF68D5">
        <w:rPr>
          <w:rStyle w:val="Refdenotaalpie"/>
          <w:rFonts w:asciiTheme="minorBidi" w:hAnsiTheme="minorBidi"/>
          <w:sz w:val="22"/>
        </w:rPr>
        <w:footnoteReference w:id="4"/>
      </w:r>
      <w:r w:rsidR="00F049A2" w:rsidRPr="00EF68D5">
        <w:rPr>
          <w:rFonts w:asciiTheme="minorBidi" w:hAnsiTheme="minorBidi"/>
          <w:sz w:val="22"/>
        </w:rPr>
        <w:t>.</w:t>
      </w:r>
    </w:p>
    <w:p w14:paraId="1B4966F2" w14:textId="77777777" w:rsidR="00F049A2" w:rsidRPr="00EF68D5" w:rsidRDefault="00F049A2" w:rsidP="0086436E">
      <w:pPr>
        <w:spacing w:after="120" w:line="276" w:lineRule="auto"/>
        <w:ind w:right="104" w:firstLine="709"/>
        <w:jc w:val="both"/>
        <w:rPr>
          <w:rFonts w:asciiTheme="minorBidi" w:hAnsiTheme="minorBidi"/>
          <w:sz w:val="22"/>
        </w:rPr>
      </w:pPr>
      <w:r w:rsidRPr="00EF68D5">
        <w:rPr>
          <w:rFonts w:asciiTheme="minorBidi" w:hAnsiTheme="minorBidi"/>
          <w:sz w:val="22"/>
        </w:rPr>
        <w:t xml:space="preserve">El numeral 15 del artículo 25 de la Ley 80 de 1993, antes citado, establece el deber de las entidades de realizar estudios previos en dos momentos específicos: i) previo a la apertura de un proceso de selección y </w:t>
      </w:r>
      <w:proofErr w:type="spellStart"/>
      <w:r w:rsidRPr="00EF68D5">
        <w:rPr>
          <w:rFonts w:asciiTheme="minorBidi" w:hAnsiTheme="minorBidi"/>
          <w:sz w:val="22"/>
        </w:rPr>
        <w:t>ii</w:t>
      </w:r>
      <w:proofErr w:type="spellEnd"/>
      <w:r w:rsidRPr="00EF68D5">
        <w:rPr>
          <w:rFonts w:asciiTheme="minorBidi" w:hAnsiTheme="minorBidi"/>
          <w:sz w:val="22"/>
        </w:rPr>
        <w:t>) previo a la firma del contrato en el caso en que la modalidad de selección sea contratación directa. Por su parte, el reglamento, es decir los artículos 2.2.1.1.1.6.1 y 2.2.1.1.2.1.1 del Decreto 1082 de 2015, no imponen la obligación de emitir estudios y documentos previos en etapas diferentes a la de planeación del contrato.</w:t>
      </w:r>
    </w:p>
    <w:p w14:paraId="69FF1F76" w14:textId="555902C2" w:rsidR="00F049A2" w:rsidRPr="00FA2F7F" w:rsidRDefault="00F049A2" w:rsidP="00331868">
      <w:pPr>
        <w:spacing w:after="120" w:line="276" w:lineRule="auto"/>
        <w:ind w:firstLine="709"/>
        <w:jc w:val="both"/>
        <w:rPr>
          <w:rFonts w:asciiTheme="minorBidi" w:hAnsiTheme="minorBidi"/>
          <w:sz w:val="22"/>
        </w:rPr>
      </w:pPr>
      <w:r w:rsidRPr="009B03BB">
        <w:rPr>
          <w:rFonts w:asciiTheme="minorBidi" w:hAnsiTheme="minorBidi"/>
          <w:sz w:val="22"/>
        </w:rPr>
        <w:t>En cuanto a la</w:t>
      </w:r>
      <w:r w:rsidRPr="00FA2F7F">
        <w:rPr>
          <w:rFonts w:asciiTheme="minorBidi" w:hAnsiTheme="minorBidi"/>
          <w:sz w:val="22"/>
        </w:rPr>
        <w:t xml:space="preserve"> responsabilidad de la elaboración de los estudios y documentos previos, corresponde a </w:t>
      </w:r>
      <w:r w:rsidR="00B96CAC">
        <w:rPr>
          <w:rFonts w:asciiTheme="minorBidi" w:hAnsiTheme="minorBidi"/>
          <w:sz w:val="22"/>
        </w:rPr>
        <w:t>«</w:t>
      </w:r>
      <w:r w:rsidRPr="00FA2F7F">
        <w:rPr>
          <w:rFonts w:asciiTheme="minorBidi" w:hAnsiTheme="minorBidi"/>
          <w:sz w:val="22"/>
        </w:rPr>
        <w:t>la oficina, dependencia o departamento que tenga la necesidad de que se celebre el contrato</w:t>
      </w:r>
      <w:r w:rsidR="00B96CAC">
        <w:rPr>
          <w:rFonts w:asciiTheme="minorBidi" w:hAnsiTheme="minorBidi"/>
          <w:sz w:val="22"/>
        </w:rPr>
        <w:t>»</w:t>
      </w:r>
      <w:r w:rsidRPr="00FA2F7F">
        <w:rPr>
          <w:rFonts w:asciiTheme="minorBidi" w:hAnsiTheme="minorBidi"/>
          <w:sz w:val="22"/>
        </w:rPr>
        <w:t xml:space="preserve">, de acuerdo con </w:t>
      </w:r>
      <w:r w:rsidR="00B96CAC">
        <w:rPr>
          <w:rFonts w:asciiTheme="minorBidi" w:hAnsiTheme="minorBidi"/>
          <w:sz w:val="22"/>
        </w:rPr>
        <w:t>«</w:t>
      </w:r>
      <w:r w:rsidRPr="00FA2F7F">
        <w:rPr>
          <w:rFonts w:asciiTheme="minorBidi" w:hAnsiTheme="minorBidi"/>
          <w:sz w:val="22"/>
        </w:rPr>
        <w:t xml:space="preserve">las instrucciones y procedimientos </w:t>
      </w:r>
      <w:r w:rsidRPr="00FA2F7F">
        <w:rPr>
          <w:rFonts w:asciiTheme="minorBidi" w:hAnsiTheme="minorBidi"/>
          <w:sz w:val="22"/>
        </w:rPr>
        <w:lastRenderedPageBreak/>
        <w:t>establecidos en el Manual de Contratación de la Entidad, en el marco de la Ley y los reglamentos vigentes</w:t>
      </w:r>
      <w:r w:rsidR="00B96CAC">
        <w:rPr>
          <w:rFonts w:asciiTheme="minorBidi" w:hAnsiTheme="minorBidi"/>
          <w:sz w:val="22"/>
        </w:rPr>
        <w:t>»</w:t>
      </w:r>
      <w:r w:rsidRPr="00FA2F7F">
        <w:rPr>
          <w:rStyle w:val="Refdenotaalpie"/>
          <w:rFonts w:asciiTheme="minorBidi" w:hAnsiTheme="minorBidi"/>
          <w:sz w:val="22"/>
        </w:rPr>
        <w:footnoteReference w:id="5"/>
      </w:r>
      <w:r w:rsidRPr="00FA2F7F">
        <w:rPr>
          <w:rFonts w:asciiTheme="minorBidi" w:hAnsiTheme="minorBidi"/>
          <w:sz w:val="22"/>
        </w:rPr>
        <w:t xml:space="preserve">. De esta manera, de acuerdo con la estructura interna de cada entidad, la elaboración de los estudios previos corresponderá al funcionario responsable de la dependencia </w:t>
      </w:r>
      <w:r w:rsidRPr="00FA2F7F">
        <w:rPr>
          <w:rFonts w:asciiTheme="minorBidi" w:hAnsiTheme="minorBidi"/>
          <w:spacing w:val="2"/>
          <w:sz w:val="22"/>
        </w:rPr>
        <w:t xml:space="preserve">con </w:t>
      </w:r>
      <w:r w:rsidRPr="00FA2F7F">
        <w:rPr>
          <w:rFonts w:asciiTheme="minorBidi" w:hAnsiTheme="minorBidi"/>
          <w:sz w:val="22"/>
        </w:rPr>
        <w:t>la necesidad a</w:t>
      </w:r>
      <w:r w:rsidRPr="00FA2F7F">
        <w:rPr>
          <w:rFonts w:asciiTheme="minorBidi" w:hAnsiTheme="minorBidi"/>
          <w:spacing w:val="-4"/>
          <w:sz w:val="22"/>
        </w:rPr>
        <w:t xml:space="preserve"> </w:t>
      </w:r>
      <w:r w:rsidRPr="00FA2F7F">
        <w:rPr>
          <w:rFonts w:asciiTheme="minorBidi" w:hAnsiTheme="minorBidi"/>
          <w:sz w:val="22"/>
        </w:rPr>
        <w:t>satisfacer.</w:t>
      </w:r>
    </w:p>
    <w:p w14:paraId="04756339" w14:textId="0A907F7C" w:rsidR="00F049A2" w:rsidRPr="00196BCD" w:rsidRDefault="00F049A2" w:rsidP="00331868">
      <w:pPr>
        <w:spacing w:line="276" w:lineRule="auto"/>
        <w:ind w:firstLine="708"/>
        <w:jc w:val="both"/>
        <w:rPr>
          <w:rFonts w:ascii="Arial" w:eastAsia="Calibri" w:hAnsi="Arial" w:cs="Arial"/>
          <w:bCs/>
          <w:sz w:val="22"/>
          <w:lang w:val="es-ES_tradnl"/>
        </w:rPr>
      </w:pPr>
      <w:r>
        <w:rPr>
          <w:rFonts w:asciiTheme="minorBidi" w:hAnsiTheme="minorBidi"/>
          <w:sz w:val="22"/>
        </w:rPr>
        <w:t xml:space="preserve">Por otra </w:t>
      </w:r>
      <w:r w:rsidR="0086436E">
        <w:rPr>
          <w:rFonts w:asciiTheme="minorBidi" w:hAnsiTheme="minorBidi"/>
          <w:sz w:val="22"/>
        </w:rPr>
        <w:t>parte,</w:t>
      </w:r>
      <w:r>
        <w:rPr>
          <w:rFonts w:asciiTheme="minorBidi" w:hAnsiTheme="minorBidi"/>
          <w:sz w:val="22"/>
        </w:rPr>
        <w:t xml:space="preserve"> en virtud de los numerales 2 y 4 del </w:t>
      </w:r>
      <w:r w:rsidRPr="00196BCD">
        <w:rPr>
          <w:rFonts w:ascii="Arial" w:hAnsi="Arial" w:cs="Arial"/>
          <w:sz w:val="22"/>
        </w:rPr>
        <w:t xml:space="preserve">artículo 2.2.1.1.2.1.1 del Decreto 1082 de 2015, </w:t>
      </w:r>
      <w:r>
        <w:rPr>
          <w:rFonts w:ascii="Arial" w:hAnsi="Arial" w:cs="Arial"/>
          <w:sz w:val="22"/>
        </w:rPr>
        <w:t xml:space="preserve">la </w:t>
      </w:r>
      <w:r w:rsidRPr="00196BCD">
        <w:rPr>
          <w:rFonts w:ascii="Arial" w:hAnsi="Arial" w:cs="Arial"/>
          <w:sz w:val="22"/>
        </w:rPr>
        <w:t>norma</w:t>
      </w:r>
      <w:r>
        <w:rPr>
          <w:rFonts w:ascii="Arial" w:hAnsi="Arial" w:cs="Arial"/>
          <w:sz w:val="22"/>
        </w:rPr>
        <w:t xml:space="preserve"> </w:t>
      </w:r>
      <w:r w:rsidRPr="00196BCD">
        <w:rPr>
          <w:rFonts w:ascii="Arial" w:hAnsi="Arial" w:cs="Arial"/>
          <w:sz w:val="22"/>
        </w:rPr>
        <w:t>exige que se determine el objeto a contratar con sus especificaciones y se estime el costo que implica la celebración del contrato</w:t>
      </w:r>
      <w:r w:rsidR="00B96CAC">
        <w:rPr>
          <w:rFonts w:ascii="Arial" w:hAnsi="Arial" w:cs="Arial"/>
          <w:sz w:val="22"/>
        </w:rPr>
        <w:t>.</w:t>
      </w:r>
      <w:r w:rsidRPr="00196BCD">
        <w:rPr>
          <w:rFonts w:ascii="Arial" w:hAnsi="Arial" w:cs="Arial"/>
          <w:sz w:val="22"/>
        </w:rPr>
        <w:t xml:space="preserve"> </w:t>
      </w:r>
      <w:r w:rsidRPr="00196BCD">
        <w:rPr>
          <w:rFonts w:ascii="Arial" w:eastAsia="Calibri" w:hAnsi="Arial" w:cs="Arial"/>
          <w:bCs/>
          <w:sz w:val="22"/>
          <w:lang w:val="es-ES_tradnl"/>
        </w:rPr>
        <w:t xml:space="preserve">Para cumplir este objetivo es necesario el estudio del mercado y el análisis del sector económico y de los oferentes, actividad de planeación previa que sirve para identificar aspectos concretos del mercado que pueden afectar el proceso de selección o las condiciones del negocio a realizar a través del proceso de contratación de bienes, obras o servicios. En este sentido, el artículo </w:t>
      </w:r>
      <w:bookmarkStart w:id="10" w:name="_Hlk36117416"/>
      <w:r w:rsidRPr="00196BCD">
        <w:rPr>
          <w:rFonts w:ascii="Arial" w:eastAsia="Calibri" w:hAnsi="Arial" w:cs="Arial"/>
          <w:bCs/>
          <w:sz w:val="22"/>
          <w:lang w:val="es-ES_tradnl"/>
        </w:rPr>
        <w:t>2.2.1.1.1.6.1 del Decreto 1082 de 2015</w:t>
      </w:r>
      <w:bookmarkEnd w:id="10"/>
      <w:r w:rsidRPr="00196BCD">
        <w:rPr>
          <w:rFonts w:ascii="Arial" w:eastAsia="Calibri" w:hAnsi="Arial" w:cs="Arial"/>
          <w:bCs/>
          <w:sz w:val="22"/>
          <w:lang w:val="es-ES_tradnl"/>
        </w:rPr>
        <w:t xml:space="preserve"> dispone </w:t>
      </w:r>
      <w:r>
        <w:rPr>
          <w:rFonts w:ascii="Arial" w:eastAsia="Calibri" w:hAnsi="Arial" w:cs="Arial"/>
          <w:bCs/>
          <w:sz w:val="22"/>
          <w:lang w:val="es-ES_tradnl"/>
        </w:rPr>
        <w:t>que</w:t>
      </w:r>
      <w:r w:rsidRPr="00196BCD">
        <w:rPr>
          <w:rFonts w:ascii="Arial" w:eastAsia="Calibri" w:hAnsi="Arial" w:cs="Arial"/>
          <w:bCs/>
          <w:sz w:val="22"/>
          <w:lang w:val="es-ES_tradnl"/>
        </w:rPr>
        <w:t xml:space="preserv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266C2CDE" w14:textId="77777777" w:rsidR="00F049A2" w:rsidRPr="00196BCD" w:rsidRDefault="00F049A2" w:rsidP="00F049A2">
      <w:pPr>
        <w:spacing w:before="120" w:line="276" w:lineRule="auto"/>
        <w:ind w:firstLine="709"/>
        <w:jc w:val="both"/>
        <w:rPr>
          <w:rFonts w:ascii="Arial" w:eastAsia="Calibri" w:hAnsi="Arial" w:cs="Arial"/>
          <w:bCs/>
          <w:sz w:val="22"/>
          <w:lang w:val="es-ES_tradnl"/>
        </w:rPr>
      </w:pPr>
      <w:r w:rsidRPr="00196BCD">
        <w:rPr>
          <w:rFonts w:ascii="Arial" w:eastAsia="Calibri" w:hAnsi="Arial" w:cs="Arial"/>
          <w:bCs/>
          <w:sz w:val="22"/>
          <w:lang w:val="es-ES_tradnl"/>
        </w:rPr>
        <w:t xml:space="preserve">De acuerdo con la norma citada, </w:t>
      </w:r>
      <w:bookmarkStart w:id="11" w:name="_Hlk36140682"/>
      <w:r w:rsidRPr="00196BCD">
        <w:rPr>
          <w:rFonts w:ascii="Arial" w:eastAsia="Calibri" w:hAnsi="Arial" w:cs="Arial"/>
          <w:bCs/>
          <w:sz w:val="22"/>
          <w:lang w:val="es-ES_tradnl"/>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1F020C1B" w14:textId="77777777" w:rsidR="00F049A2" w:rsidRPr="00196BCD" w:rsidRDefault="00F049A2" w:rsidP="00F049A2">
      <w:pPr>
        <w:spacing w:before="120" w:line="276" w:lineRule="auto"/>
        <w:ind w:firstLine="709"/>
        <w:jc w:val="both"/>
        <w:rPr>
          <w:rFonts w:ascii="Arial" w:eastAsia="Calibri" w:hAnsi="Arial" w:cs="Arial"/>
          <w:bCs/>
          <w:sz w:val="22"/>
          <w:lang w:val="es-ES_tradnl"/>
        </w:rPr>
      </w:pPr>
      <w:r w:rsidRPr="00196BCD">
        <w:rPr>
          <w:rFonts w:ascii="Arial" w:eastAsia="Calibri" w:hAnsi="Arial" w:cs="Arial"/>
          <w:bCs/>
          <w:sz w:val="22"/>
          <w:lang w:val="es-ES_tradnl"/>
        </w:rPr>
        <w:t>Para negociar de manera adecuada, es necesario conocer la estructura de los posibles contratistas, pues permite identificar la forma en la que suplirá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2C9717EA" w14:textId="77777777" w:rsidR="00F049A2" w:rsidRPr="00196BCD" w:rsidRDefault="00F049A2" w:rsidP="00F049A2">
      <w:pPr>
        <w:spacing w:before="120" w:line="276" w:lineRule="auto"/>
        <w:ind w:firstLine="709"/>
        <w:jc w:val="both"/>
        <w:rPr>
          <w:rFonts w:ascii="Arial" w:eastAsia="Calibri" w:hAnsi="Arial" w:cs="Arial"/>
          <w:bCs/>
          <w:sz w:val="22"/>
          <w:lang w:val="es-ES_tradnl"/>
        </w:rPr>
      </w:pPr>
      <w:r w:rsidRPr="00196BCD">
        <w:rPr>
          <w:rFonts w:ascii="Arial" w:eastAsia="Calibri" w:hAnsi="Arial" w:cs="Arial"/>
          <w:bCs/>
          <w:sz w:val="22"/>
          <w:lang w:val="es-ES_tradnl"/>
        </w:rPr>
        <w:lastRenderedPageBreak/>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 contratación. </w:t>
      </w:r>
    </w:p>
    <w:bookmarkEnd w:id="11"/>
    <w:p w14:paraId="3B7D3703" w14:textId="64775B69" w:rsidR="00F049A2" w:rsidRPr="00196BCD" w:rsidRDefault="00F049A2" w:rsidP="00F049A2">
      <w:pPr>
        <w:spacing w:before="120" w:after="120" w:line="276" w:lineRule="auto"/>
        <w:ind w:firstLine="709"/>
        <w:jc w:val="both"/>
        <w:rPr>
          <w:rFonts w:ascii="Arial" w:eastAsia="Calibri" w:hAnsi="Arial" w:cs="Arial"/>
          <w:bCs/>
          <w:sz w:val="22"/>
          <w:lang w:val="es-ES_tradnl"/>
        </w:rPr>
      </w:pPr>
      <w:r w:rsidRPr="00196BCD">
        <w:rPr>
          <w:rFonts w:ascii="Arial" w:eastAsia="Calibri" w:hAnsi="Arial" w:cs="Arial"/>
          <w:bCs/>
          <w:sz w:val="22"/>
          <w:lang w:val="es-ES_tradnl"/>
        </w:rPr>
        <w:t xml:space="preserve">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w:t>
      </w:r>
      <w:r>
        <w:rPr>
          <w:rFonts w:ascii="Arial" w:eastAsia="Calibri" w:hAnsi="Arial" w:cs="Arial"/>
          <w:bCs/>
          <w:sz w:val="22"/>
          <w:lang w:val="es-ES_tradnl"/>
        </w:rPr>
        <w:t>este</w:t>
      </w:r>
      <w:r w:rsidRPr="00196BCD">
        <w:rPr>
          <w:rFonts w:ascii="Arial" w:eastAsia="Calibri" w:hAnsi="Arial" w:cs="Arial"/>
          <w:bCs/>
          <w:sz w:val="22"/>
          <w:lang w:val="es-ES_tradnl"/>
        </w:rPr>
        <w:t xml:space="preserv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4DB4411C" w14:textId="77777777" w:rsidR="00F049A2" w:rsidRPr="00196BCD" w:rsidRDefault="00F049A2" w:rsidP="00F049A2">
      <w:pPr>
        <w:spacing w:line="276" w:lineRule="auto"/>
        <w:ind w:firstLine="708"/>
        <w:jc w:val="both"/>
        <w:rPr>
          <w:rFonts w:ascii="Arial" w:eastAsia="Calibri" w:hAnsi="Arial" w:cs="Arial"/>
          <w:b/>
          <w:bCs/>
          <w:sz w:val="22"/>
          <w:lang w:val="es-ES_tradnl"/>
        </w:rPr>
      </w:pPr>
      <w:r w:rsidRPr="00196BCD">
        <w:rPr>
          <w:rFonts w:ascii="Arial" w:eastAsia="Calibri" w:hAnsi="Arial" w:cs="Arial"/>
          <w:bCs/>
          <w:sz w:val="22"/>
          <w:lang w:val="es-ES_tradnl"/>
        </w:rPr>
        <w:t xml:space="preserve">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La Entidad Estatal debe consignar en los </w:t>
      </w:r>
      <w:r w:rsidRPr="00196BCD">
        <w:rPr>
          <w:rFonts w:ascii="Arial" w:eastAsia="Calibri" w:hAnsi="Arial" w:cs="Arial"/>
          <w:bCs/>
          <w:i/>
          <w:iCs/>
          <w:sz w:val="22"/>
          <w:lang w:val="es-ES_tradnl"/>
        </w:rPr>
        <w:t>Documentos del Proceso</w:t>
      </w:r>
      <w:r w:rsidRPr="00196BCD">
        <w:rPr>
          <w:rFonts w:ascii="Arial" w:eastAsia="Calibri" w:hAnsi="Arial" w:cs="Arial"/>
          <w:bCs/>
          <w:sz w:val="22"/>
          <w:lang w:val="es-ES_tradnl"/>
        </w:rPr>
        <w:t xml:space="preserve">, bien sea en los estudios previos o en la información de soporte de los mismos, los aspectos de que trata el artículo 2.2.1.1.1.6.1 del Decreto 1082 de 2015. </w:t>
      </w:r>
    </w:p>
    <w:p w14:paraId="2C845526" w14:textId="77777777" w:rsidR="003C3359" w:rsidRPr="00196BCD" w:rsidRDefault="003C3359" w:rsidP="003C3359">
      <w:pPr>
        <w:spacing w:line="276" w:lineRule="auto"/>
        <w:jc w:val="both"/>
        <w:rPr>
          <w:rFonts w:ascii="Arial" w:eastAsia="Calibri" w:hAnsi="Arial" w:cs="Arial"/>
          <w:b/>
          <w:bCs/>
          <w:sz w:val="22"/>
          <w:lang w:val="es-ES_tradnl"/>
        </w:rPr>
      </w:pPr>
    </w:p>
    <w:p w14:paraId="6BC3667F" w14:textId="14EA6FCB" w:rsidR="003C3359" w:rsidRPr="00196BCD" w:rsidRDefault="003C3359" w:rsidP="003C3359">
      <w:pPr>
        <w:spacing w:line="276" w:lineRule="auto"/>
        <w:jc w:val="both"/>
        <w:rPr>
          <w:rFonts w:ascii="Arial" w:eastAsia="Calibri" w:hAnsi="Arial" w:cs="Arial"/>
          <w:b/>
          <w:bCs/>
          <w:sz w:val="22"/>
          <w:lang w:val="es-ES_tradnl"/>
        </w:rPr>
      </w:pPr>
      <w:r w:rsidRPr="00196BCD">
        <w:rPr>
          <w:rFonts w:ascii="Arial" w:eastAsia="Calibri" w:hAnsi="Arial" w:cs="Arial"/>
          <w:b/>
          <w:bCs/>
          <w:sz w:val="22"/>
          <w:lang w:val="es-ES_tradnl"/>
        </w:rPr>
        <w:t>2.3. Alcance del estudio del sector</w:t>
      </w:r>
      <w:r w:rsidR="0086436E">
        <w:rPr>
          <w:rFonts w:ascii="Arial" w:eastAsia="Calibri" w:hAnsi="Arial" w:cs="Arial"/>
          <w:b/>
          <w:bCs/>
          <w:sz w:val="22"/>
          <w:lang w:val="es-ES_tradnl"/>
        </w:rPr>
        <w:t xml:space="preserve"> y los estudios previos</w:t>
      </w:r>
      <w:r w:rsidRPr="00196BCD">
        <w:rPr>
          <w:rFonts w:ascii="Arial" w:eastAsia="Calibri" w:hAnsi="Arial" w:cs="Arial"/>
          <w:b/>
          <w:bCs/>
          <w:sz w:val="22"/>
          <w:lang w:val="es-ES_tradnl"/>
        </w:rPr>
        <w:t xml:space="preserve"> en proce</w:t>
      </w:r>
      <w:r>
        <w:rPr>
          <w:rFonts w:ascii="Arial" w:eastAsia="Calibri" w:hAnsi="Arial" w:cs="Arial"/>
          <w:b/>
          <w:bCs/>
          <w:sz w:val="22"/>
          <w:lang w:val="es-ES_tradnl"/>
        </w:rPr>
        <w:t>dimientos</w:t>
      </w:r>
      <w:r w:rsidRPr="00196BCD">
        <w:rPr>
          <w:rFonts w:ascii="Arial" w:eastAsia="Calibri" w:hAnsi="Arial" w:cs="Arial"/>
          <w:b/>
          <w:bCs/>
          <w:sz w:val="22"/>
          <w:lang w:val="es-ES_tradnl"/>
        </w:rPr>
        <w:t xml:space="preserve"> de selección con documentos tipo</w:t>
      </w:r>
    </w:p>
    <w:p w14:paraId="42401238" w14:textId="77777777" w:rsidR="003C3359" w:rsidRPr="00196BCD" w:rsidRDefault="003C3359" w:rsidP="003C3359">
      <w:pPr>
        <w:spacing w:line="276" w:lineRule="auto"/>
        <w:jc w:val="both"/>
        <w:rPr>
          <w:rFonts w:ascii="Arial" w:eastAsia="Calibri" w:hAnsi="Arial" w:cs="Arial"/>
          <w:b/>
          <w:bCs/>
          <w:sz w:val="22"/>
          <w:lang w:val="es-ES_tradnl"/>
        </w:rPr>
      </w:pPr>
    </w:p>
    <w:p w14:paraId="576C9232" w14:textId="360A6563" w:rsidR="003C3359" w:rsidRPr="00196BCD" w:rsidRDefault="003C3359" w:rsidP="00331868">
      <w:pPr>
        <w:pStyle w:val="NormalWeb"/>
        <w:shd w:val="clear" w:color="auto" w:fill="FFFFFF"/>
        <w:spacing w:before="0" w:beforeAutospacing="0" w:after="150" w:afterAutospacing="0" w:line="276" w:lineRule="auto"/>
        <w:jc w:val="both"/>
        <w:rPr>
          <w:rFonts w:eastAsia="Calibri"/>
          <w:b/>
          <w:bCs/>
          <w:lang w:val="es-ES_tradnl"/>
        </w:rPr>
      </w:pPr>
      <w:r w:rsidRPr="00196BCD">
        <w:rPr>
          <w:rFonts w:ascii="Arial" w:hAnsi="Arial" w:cs="Arial"/>
          <w:sz w:val="22"/>
        </w:rPr>
        <w:t xml:space="preserve">El artículo 4 de la Ley 1882 de 2018 establece que </w:t>
      </w:r>
      <w:r w:rsidR="00CD7877">
        <w:rPr>
          <w:rFonts w:ascii="Arial" w:hAnsi="Arial" w:cs="Arial"/>
          <w:color w:val="000000" w:themeColor="text1"/>
          <w:sz w:val="22"/>
          <w:szCs w:val="22"/>
        </w:rPr>
        <w:t>l</w:t>
      </w:r>
      <w:r w:rsidR="00CD7877" w:rsidRPr="00D84B77">
        <w:rPr>
          <w:rFonts w:ascii="Arial" w:hAnsi="Arial" w:cs="Arial"/>
          <w:color w:val="000000" w:themeColor="text1"/>
          <w:sz w:val="22"/>
          <w:szCs w:val="22"/>
        </w:rPr>
        <w:t xml:space="preserve">a Agencia Nacional de Contratación Pública Colombia Compra Eficiente </w:t>
      </w:r>
      <w:r w:rsidR="00CD7877">
        <w:rPr>
          <w:rFonts w:ascii="Arial" w:hAnsi="Arial" w:cs="Arial"/>
          <w:color w:val="000000" w:themeColor="text1"/>
          <w:sz w:val="22"/>
          <w:szCs w:val="22"/>
        </w:rPr>
        <w:t>«</w:t>
      </w:r>
      <w:r w:rsidR="00CD7877" w:rsidRPr="00D84B77">
        <w:rPr>
          <w:rFonts w:ascii="Arial" w:hAnsi="Arial" w:cs="Arial"/>
          <w:color w:val="000000" w:themeColor="text1"/>
          <w:sz w:val="22"/>
          <w:szCs w:val="22"/>
        </w:rPr>
        <w:t>o quien haga sus veces, adoptará documentos tipo</w:t>
      </w:r>
      <w:r w:rsidR="00CD7877">
        <w:rPr>
          <w:rFonts w:ascii="Arial" w:hAnsi="Arial" w:cs="Arial"/>
          <w:color w:val="000000" w:themeColor="text1"/>
          <w:sz w:val="22"/>
          <w:szCs w:val="22"/>
        </w:rPr>
        <w:t>» y que estos</w:t>
      </w:r>
      <w:r w:rsidR="00CD7877" w:rsidRPr="00D84B77">
        <w:rPr>
          <w:rFonts w:ascii="Arial" w:hAnsi="Arial" w:cs="Arial"/>
          <w:color w:val="000000" w:themeColor="text1"/>
          <w:sz w:val="22"/>
          <w:szCs w:val="22"/>
        </w:rPr>
        <w:t xml:space="preserve"> </w:t>
      </w:r>
      <w:r w:rsidR="00CD7877">
        <w:rPr>
          <w:rFonts w:ascii="Arial" w:hAnsi="Arial" w:cs="Arial"/>
          <w:color w:val="000000" w:themeColor="text1"/>
          <w:sz w:val="22"/>
          <w:szCs w:val="22"/>
        </w:rPr>
        <w:t>«</w:t>
      </w:r>
      <w:r w:rsidR="00CD7877" w:rsidRPr="00D84B77">
        <w:rPr>
          <w:rFonts w:ascii="Arial" w:hAnsi="Arial" w:cs="Arial"/>
          <w:color w:val="000000" w:themeColor="text1"/>
          <w:sz w:val="22"/>
          <w:szCs w:val="22"/>
        </w:rPr>
        <w:t>serán de obligatorio cumplimiento en la actividad contractual de todas las entidades sometidas al Estatuto General de Contratación de la Administración Pública</w:t>
      </w:r>
      <w:r w:rsidR="00CD7877">
        <w:rPr>
          <w:rFonts w:ascii="Arial" w:hAnsi="Arial" w:cs="Arial"/>
          <w:color w:val="000000" w:themeColor="text1"/>
          <w:sz w:val="22"/>
          <w:szCs w:val="22"/>
        </w:rPr>
        <w:t>»</w:t>
      </w:r>
      <w:r w:rsidR="00CD7877" w:rsidRPr="00D84B77">
        <w:rPr>
          <w:rFonts w:ascii="Arial" w:hAnsi="Arial" w:cs="Arial"/>
          <w:color w:val="000000" w:themeColor="text1"/>
          <w:sz w:val="22"/>
          <w:szCs w:val="22"/>
        </w:rPr>
        <w:t>.</w:t>
      </w:r>
      <w:r w:rsidR="00CD7877">
        <w:rPr>
          <w:rFonts w:ascii="Arial" w:hAnsi="Arial" w:cs="Arial"/>
          <w:color w:val="000000" w:themeColor="text1"/>
          <w:sz w:val="22"/>
          <w:szCs w:val="22"/>
        </w:rPr>
        <w:t xml:space="preserve"> Adicionalmente, frente a su contenido, dispone que «</w:t>
      </w:r>
      <w:r w:rsidR="00CD7877" w:rsidRPr="00D84B77">
        <w:rPr>
          <w:rFonts w:ascii="Arial" w:hAnsi="Arial" w:cs="Arial"/>
          <w:color w:val="000000" w:themeColor="text1"/>
          <w:sz w:val="22"/>
          <w:szCs w:val="22"/>
        </w:rPr>
        <w:t xml:space="preserve">Dentro de estos documentos tipo, se establecerán los requisitos habilitantes, factores técnicos, económicos y otros factores de escogencia, así como aquellos requisitos que, previa justificación, representen buenas </w:t>
      </w:r>
      <w:r w:rsidR="00CD7877" w:rsidRPr="00D84B77">
        <w:rPr>
          <w:rFonts w:ascii="Arial" w:hAnsi="Arial" w:cs="Arial"/>
          <w:color w:val="000000" w:themeColor="text1"/>
          <w:sz w:val="22"/>
          <w:szCs w:val="22"/>
        </w:rPr>
        <w:lastRenderedPageBreak/>
        <w:t>prácticas contractuales que procuren el adecuado desarrollo de los principios que rigen la contratación pública</w:t>
      </w:r>
      <w:r w:rsidR="00CD7877">
        <w:rPr>
          <w:rFonts w:ascii="Arial" w:hAnsi="Arial" w:cs="Arial"/>
          <w:color w:val="000000" w:themeColor="text1"/>
          <w:sz w:val="22"/>
          <w:szCs w:val="22"/>
        </w:rPr>
        <w:t>»</w:t>
      </w:r>
      <w:r w:rsidR="00CD7877" w:rsidRPr="00D84B77">
        <w:rPr>
          <w:rFonts w:ascii="Arial" w:hAnsi="Arial" w:cs="Arial"/>
          <w:color w:val="000000" w:themeColor="text1"/>
          <w:sz w:val="22"/>
          <w:szCs w:val="22"/>
        </w:rPr>
        <w:t>.</w:t>
      </w:r>
    </w:p>
    <w:p w14:paraId="7B316825" w14:textId="6EBF780C" w:rsidR="003C3359" w:rsidRPr="00196BCD" w:rsidRDefault="003C3359" w:rsidP="003C3359">
      <w:pPr>
        <w:spacing w:before="120" w:after="120" w:line="276" w:lineRule="auto"/>
        <w:ind w:firstLine="705"/>
        <w:jc w:val="both"/>
        <w:rPr>
          <w:rFonts w:ascii="Arial" w:hAnsi="Arial" w:cs="Arial"/>
          <w:sz w:val="22"/>
          <w:lang w:val="es-ES"/>
        </w:rPr>
      </w:pPr>
      <w:r w:rsidRPr="00196BCD">
        <w:rPr>
          <w:rFonts w:ascii="Arial" w:hAnsi="Arial" w:cs="Arial"/>
          <w:sz w:val="22"/>
          <w:lang w:val="es-ES"/>
        </w:rPr>
        <w:t>En ejercicio de la competencia conferida por</w:t>
      </w:r>
      <w:r w:rsidR="00B96CAC">
        <w:rPr>
          <w:rFonts w:ascii="Arial" w:hAnsi="Arial" w:cs="Arial"/>
          <w:sz w:val="22"/>
          <w:lang w:val="es-ES"/>
        </w:rPr>
        <w:t xml:space="preserve"> la redacción inicial</w:t>
      </w:r>
      <w:r w:rsidRPr="00196BCD">
        <w:rPr>
          <w:rFonts w:ascii="Arial" w:hAnsi="Arial" w:cs="Arial"/>
          <w:sz w:val="22"/>
          <w:lang w:val="es-ES"/>
        </w:rPr>
        <w:t xml:space="preserve"> </w:t>
      </w:r>
      <w:r w:rsidR="00B96CAC">
        <w:rPr>
          <w:rFonts w:ascii="Arial" w:hAnsi="Arial" w:cs="Arial"/>
          <w:sz w:val="22"/>
          <w:lang w:val="es-ES"/>
        </w:rPr>
        <w:t>d</w:t>
      </w:r>
      <w:r w:rsidRPr="00196BCD">
        <w:rPr>
          <w:rFonts w:ascii="Arial" w:hAnsi="Arial" w:cs="Arial"/>
          <w:sz w:val="22"/>
          <w:lang w:val="es-ES"/>
        </w:rPr>
        <w:t>el citado parágrafo, el Gobierno Nacional expidió el Decreto 342 de 2019, por medio del que se adoptaron los documentos tipo para licitaci</w:t>
      </w:r>
      <w:r w:rsidR="00B96CAC">
        <w:rPr>
          <w:rFonts w:ascii="Arial" w:hAnsi="Arial" w:cs="Arial"/>
          <w:sz w:val="22"/>
          <w:lang w:val="es-ES"/>
        </w:rPr>
        <w:t>ón</w:t>
      </w:r>
      <w:r w:rsidRPr="00196BCD">
        <w:rPr>
          <w:rFonts w:ascii="Arial" w:hAnsi="Arial" w:cs="Arial"/>
          <w:sz w:val="22"/>
          <w:lang w:val="es-ES"/>
        </w:rPr>
        <w:t xml:space="preserve"> de obra </w:t>
      </w:r>
      <w:r w:rsidR="00B96CAC" w:rsidRPr="00196BCD">
        <w:rPr>
          <w:rFonts w:ascii="Arial" w:hAnsi="Arial" w:cs="Arial"/>
          <w:sz w:val="22"/>
          <w:lang w:val="es-ES"/>
        </w:rPr>
        <w:t xml:space="preserve">pública </w:t>
      </w:r>
      <w:r w:rsidRPr="00196BCD">
        <w:rPr>
          <w:rFonts w:ascii="Arial" w:hAnsi="Arial" w:cs="Arial"/>
          <w:sz w:val="22"/>
          <w:lang w:val="es-ES"/>
        </w:rPr>
        <w:t xml:space="preserve">de infraestructura de transporte, por lo que adicionó </w:t>
      </w:r>
      <w:r w:rsidRPr="00196BCD">
        <w:rPr>
          <w:rFonts w:ascii="Arial" w:hAnsi="Arial" w:cs="Arial"/>
          <w:sz w:val="22"/>
        </w:rPr>
        <w:t>la Sección 6 y la Subsección 1 al Capítulo 2 del Título 1 de la Parte 2 del Libro 2 del Decreto 1082 de 2015, Decreto Único Reglamentario del Sector Administrativo de Planeación Nacional.</w:t>
      </w:r>
      <w:r w:rsidRPr="00196BCD">
        <w:rPr>
          <w:rFonts w:ascii="Arial" w:hAnsi="Arial" w:cs="Arial"/>
          <w:sz w:val="22"/>
          <w:lang w:val="es-ES"/>
        </w:rPr>
        <w:t xml:space="preserve">  Posteriormente el Gobierno Nacional profirió el Decreto 2096 de 2019, el cual adoptó los documentos tipo para procesos de contratación de obra pública de infraestructura de transporte adelantados en la modalidad de selección abreviada de menor cuantía, para lo que se adicionó la Subsección 2 a la Sección 6 </w:t>
      </w:r>
      <w:r w:rsidRPr="00196BCD">
        <w:rPr>
          <w:rFonts w:ascii="Arial" w:hAnsi="Arial" w:cs="Arial"/>
          <w:sz w:val="22"/>
        </w:rPr>
        <w:t xml:space="preserve">del Capítulo 2 del Título 1 de la parte 2 del Libro 2 </w:t>
      </w:r>
      <w:r w:rsidRPr="00196BCD">
        <w:rPr>
          <w:rFonts w:ascii="Arial" w:hAnsi="Arial" w:cs="Arial"/>
          <w:sz w:val="22"/>
          <w:lang w:val="es-ES"/>
        </w:rPr>
        <w:t xml:space="preserve">del Decreto 1082 de 2015. En el mismo sentido, el Gobierno Nacional expidió el Decreto 594 de 2020, por medio de los que se adoptaron documentos tipo para la selección de contratistas de obra pública de infraestructura de transporte en la modalidad de mínima cuantía, modificando el artículo 2.2.1.2.6.1.6. y adicionando la Subsección 3, a la Sección 6, del Capítulo 2, del Título 1, de la Parte 2, del Libro 2 del Decreto 1082 de 2015. </w:t>
      </w:r>
    </w:p>
    <w:p w14:paraId="3175476E" w14:textId="59E7D1E1" w:rsidR="003C3359" w:rsidRPr="00196BCD" w:rsidRDefault="003C3359" w:rsidP="003C3359">
      <w:pPr>
        <w:spacing w:before="120" w:after="120" w:line="276" w:lineRule="auto"/>
        <w:ind w:firstLine="705"/>
        <w:jc w:val="both"/>
        <w:rPr>
          <w:rFonts w:ascii="Arial" w:hAnsi="Arial" w:cs="Arial"/>
          <w:sz w:val="22"/>
          <w:lang w:val="es-ES"/>
        </w:rPr>
      </w:pPr>
      <w:r w:rsidRPr="00196BCD">
        <w:rPr>
          <w:rFonts w:ascii="Arial" w:hAnsi="Arial" w:cs="Arial"/>
          <w:sz w:val="22"/>
          <w:lang w:val="es-ES"/>
        </w:rPr>
        <w:t xml:space="preserve">El desarrollo e implementación de estos documentos tipo fue encomendado a la Agencia Nacional de Contratación Pública – Colombia Compra Eficiente en coordinación con el Ministerio de Transporte y el Departamento Nacional de Planeación. La Agencia ejerció esta competencia expidiendo la Resolución No. 1798 de 2019, referida a procesos de licitación pública –Versión 1–, la cual fue actualizada por la Resolución No. 045 de 2020 –Versión 2–-.  Así mismo se expidieron la Resolución No. 044 de 2020 que implementó los documentos tipo para la modalidad de selección abreviada de menor cuantía, la Resolución </w:t>
      </w:r>
      <w:r w:rsidRPr="00C53637">
        <w:rPr>
          <w:rFonts w:ascii="Arial" w:hAnsi="Arial" w:cs="Arial"/>
          <w:sz w:val="22"/>
          <w:lang w:val="es-ES"/>
        </w:rPr>
        <w:t>No. 094 de 2020, que hizo lo propio respecto de la modalidad de mínima cuantía</w:t>
      </w:r>
      <w:r w:rsidR="00C53637" w:rsidRPr="00C53637">
        <w:rPr>
          <w:rFonts w:ascii="Arial" w:hAnsi="Arial" w:cs="Arial"/>
          <w:sz w:val="22"/>
          <w:lang w:val="es-ES"/>
        </w:rPr>
        <w:t xml:space="preserve"> y por último la resolución No. 116 de 2020</w:t>
      </w:r>
      <w:r w:rsidR="00C53637" w:rsidRPr="00C53637">
        <w:rPr>
          <w:rFonts w:ascii="Arial" w:hAnsi="Arial" w:cs="Arial"/>
          <w:sz w:val="22"/>
        </w:rPr>
        <w:t xml:space="preserve"> que modificó los numerales 4.2.4, 4.2.5 y 4.2.6 de los documentos tipo para los procedimientos de selección de licitación pública – Versión 2 y selección abreviada de menor cuantía de infraestructura de transporte y el Formato 7 – Factor de calidad, y se aclaró el numeral 4.1.4 de los documentos tipo de licitación de obra pública de infraestructura de transporte – Versión 2.</w:t>
      </w:r>
    </w:p>
    <w:p w14:paraId="7B4227B1" w14:textId="77777777" w:rsidR="003C3359" w:rsidRPr="00196BCD" w:rsidRDefault="003C3359" w:rsidP="003C3359">
      <w:pPr>
        <w:spacing w:before="120" w:after="120" w:line="276" w:lineRule="auto"/>
        <w:ind w:firstLine="705"/>
        <w:jc w:val="both"/>
        <w:rPr>
          <w:rFonts w:ascii="Arial" w:hAnsi="Arial" w:cs="Arial"/>
          <w:sz w:val="22"/>
          <w:lang w:val="es-ES"/>
        </w:rPr>
      </w:pPr>
      <w:r w:rsidRPr="00196BCD">
        <w:rPr>
          <w:rFonts w:ascii="Arial" w:hAnsi="Arial" w:cs="Arial"/>
          <w:sz w:val="22"/>
          <w:lang w:val="es-ES"/>
        </w:rPr>
        <w:t xml:space="preserve">Estos documentos contienen parámetros de obligatoria observancia para las entidades estatales regidas el régimen de contratación de la Ley 80 de 1993, que adelanten procesos de selección en las referidas modalidades para la contratación de obra pública de infraestructura de transporte. Conforme a lo anterior, y en desarrollo de lo dispuesto en el artículo 4 de la Ley 1882 de 2018, los documentos tipo adoptados para las referidas modalidades de selección establecieron las condiciones habilitantes aplicables, así como los factores técnicos y económicos de escogencia para los procesos de selección en los que corresponda su aplicación, los cuales son de obligatoria observancia. Estos factores además son inalterables e inmodificables por parte de las entidades a la hora de utilizar los </w:t>
      </w:r>
      <w:r w:rsidRPr="00196BCD">
        <w:rPr>
          <w:rFonts w:ascii="Arial" w:hAnsi="Arial" w:cs="Arial"/>
          <w:sz w:val="22"/>
          <w:lang w:val="es-ES"/>
        </w:rPr>
        <w:lastRenderedPageBreak/>
        <w:t>documentos tipo para adelantar sus procesos de contratación de conformidad con los artículos 2.2.1.2.6.1.4</w:t>
      </w:r>
      <w:r w:rsidRPr="00196BCD">
        <w:rPr>
          <w:rStyle w:val="Refdenotaalpie"/>
          <w:rFonts w:ascii="Arial" w:hAnsi="Arial" w:cs="Arial"/>
          <w:sz w:val="22"/>
          <w:lang w:val="es-ES"/>
        </w:rPr>
        <w:footnoteReference w:id="6"/>
      </w:r>
      <w:r w:rsidRPr="00196BCD">
        <w:rPr>
          <w:rFonts w:ascii="Arial" w:hAnsi="Arial" w:cs="Arial"/>
          <w:sz w:val="22"/>
          <w:lang w:val="es-ES"/>
        </w:rPr>
        <w:t>, 2.2.1.2.6.2.3</w:t>
      </w:r>
      <w:r w:rsidRPr="00196BCD">
        <w:rPr>
          <w:rStyle w:val="Refdenotaalpie"/>
          <w:rFonts w:ascii="Arial" w:hAnsi="Arial" w:cs="Arial"/>
          <w:sz w:val="22"/>
          <w:lang w:val="es-ES"/>
        </w:rPr>
        <w:footnoteReference w:id="7"/>
      </w:r>
      <w:r w:rsidRPr="00196BCD">
        <w:rPr>
          <w:rFonts w:ascii="Arial" w:hAnsi="Arial" w:cs="Arial"/>
          <w:sz w:val="22"/>
          <w:lang w:val="es-ES"/>
        </w:rPr>
        <w:t>. y 2.2.1.2.6.3.4</w:t>
      </w:r>
      <w:r w:rsidRPr="00196BCD">
        <w:rPr>
          <w:rStyle w:val="Refdenotaalpie"/>
          <w:rFonts w:ascii="Arial" w:hAnsi="Arial" w:cs="Arial"/>
          <w:sz w:val="22"/>
          <w:lang w:val="es-ES"/>
        </w:rPr>
        <w:footnoteReference w:id="8"/>
      </w:r>
      <w:r w:rsidRPr="00196BCD">
        <w:rPr>
          <w:rFonts w:ascii="Arial" w:hAnsi="Arial" w:cs="Arial"/>
          <w:sz w:val="22"/>
          <w:lang w:val="es-ES"/>
        </w:rPr>
        <w:t xml:space="preserve"> del Decreto 1082 de 2015.</w:t>
      </w:r>
    </w:p>
    <w:p w14:paraId="33F99E3F" w14:textId="77777777" w:rsidR="003C3359" w:rsidRPr="00196BCD" w:rsidRDefault="003C3359" w:rsidP="003C3359">
      <w:pPr>
        <w:spacing w:before="120" w:after="120" w:line="276" w:lineRule="auto"/>
        <w:jc w:val="both"/>
        <w:rPr>
          <w:rFonts w:ascii="Arial" w:hAnsi="Arial" w:cs="Arial"/>
          <w:sz w:val="22"/>
          <w:lang w:val="es-CO"/>
        </w:rPr>
      </w:pPr>
      <w:r w:rsidRPr="00196BCD">
        <w:rPr>
          <w:rFonts w:ascii="Arial" w:hAnsi="Arial" w:cs="Arial"/>
          <w:sz w:val="22"/>
          <w:lang w:val="es-ES"/>
        </w:rPr>
        <w:tab/>
        <w:t xml:space="preserve">Los documentos tipo estandarizaron los diferentes requisitos habilitantes, estableciendo para los procesos de licitación pública y selección abreviada los siguientes: </w:t>
      </w:r>
      <w:bookmarkStart w:id="12" w:name="_Hlk42169679"/>
      <w:r w:rsidRPr="00196BCD">
        <w:rPr>
          <w:rFonts w:ascii="Arial" w:hAnsi="Arial" w:cs="Arial"/>
          <w:sz w:val="22"/>
          <w:lang w:val="es-CO"/>
        </w:rPr>
        <w:t xml:space="preserve">i) capacidad jurídica; </w:t>
      </w:r>
      <w:proofErr w:type="spellStart"/>
      <w:r w:rsidRPr="00196BCD">
        <w:rPr>
          <w:rFonts w:ascii="Arial" w:hAnsi="Arial" w:cs="Arial"/>
          <w:sz w:val="22"/>
          <w:lang w:val="es-CO"/>
        </w:rPr>
        <w:t>ii</w:t>
      </w:r>
      <w:proofErr w:type="spellEnd"/>
      <w:r w:rsidRPr="00196BCD">
        <w:rPr>
          <w:rFonts w:ascii="Arial" w:hAnsi="Arial" w:cs="Arial"/>
          <w:sz w:val="22"/>
          <w:lang w:val="es-CO"/>
        </w:rPr>
        <w:t xml:space="preserve">) existencia y representación legal; </w:t>
      </w:r>
      <w:proofErr w:type="spellStart"/>
      <w:r w:rsidRPr="00196BCD">
        <w:rPr>
          <w:rFonts w:ascii="Arial" w:hAnsi="Arial" w:cs="Arial"/>
          <w:sz w:val="22"/>
          <w:lang w:val="es-CO"/>
        </w:rPr>
        <w:t>iii</w:t>
      </w:r>
      <w:proofErr w:type="spellEnd"/>
      <w:r w:rsidRPr="00196BCD">
        <w:rPr>
          <w:rFonts w:ascii="Arial" w:hAnsi="Arial" w:cs="Arial"/>
          <w:sz w:val="22"/>
          <w:lang w:val="es-CO"/>
        </w:rPr>
        <w:t xml:space="preserve">) certificación de pagos de seguridad social y aportes legales; </w:t>
      </w:r>
      <w:proofErr w:type="spellStart"/>
      <w:r w:rsidRPr="00196BCD">
        <w:rPr>
          <w:rFonts w:ascii="Arial" w:hAnsi="Arial" w:cs="Arial"/>
          <w:sz w:val="22"/>
          <w:lang w:val="es-CO"/>
        </w:rPr>
        <w:t>iv</w:t>
      </w:r>
      <w:proofErr w:type="spellEnd"/>
      <w:r w:rsidRPr="00196BCD">
        <w:rPr>
          <w:rFonts w:ascii="Arial" w:hAnsi="Arial" w:cs="Arial"/>
          <w:sz w:val="22"/>
          <w:lang w:val="es-CO"/>
        </w:rPr>
        <w:t xml:space="preserve">) experiencia; </w:t>
      </w:r>
      <w:bookmarkEnd w:id="12"/>
      <w:r w:rsidRPr="00196BCD">
        <w:rPr>
          <w:rFonts w:ascii="Arial" w:hAnsi="Arial" w:cs="Arial"/>
          <w:sz w:val="22"/>
          <w:lang w:val="es-CO"/>
        </w:rPr>
        <w:t xml:space="preserve">v) visita al sitio de la obra; vi) capacidad financiera; </w:t>
      </w:r>
      <w:proofErr w:type="spellStart"/>
      <w:r w:rsidRPr="00196BCD">
        <w:rPr>
          <w:rFonts w:ascii="Arial" w:hAnsi="Arial" w:cs="Arial"/>
          <w:sz w:val="22"/>
          <w:lang w:val="es-CO"/>
        </w:rPr>
        <w:t>vii</w:t>
      </w:r>
      <w:proofErr w:type="spellEnd"/>
      <w:r w:rsidRPr="00196BCD">
        <w:rPr>
          <w:rFonts w:ascii="Arial" w:hAnsi="Arial" w:cs="Arial"/>
          <w:sz w:val="22"/>
          <w:lang w:val="es-CO"/>
        </w:rPr>
        <w:t xml:space="preserve">) capital de trabajo; </w:t>
      </w:r>
      <w:proofErr w:type="spellStart"/>
      <w:r w:rsidRPr="00196BCD">
        <w:rPr>
          <w:rFonts w:ascii="Arial" w:hAnsi="Arial" w:cs="Arial"/>
          <w:sz w:val="22"/>
          <w:lang w:val="es-CO"/>
        </w:rPr>
        <w:t>viii</w:t>
      </w:r>
      <w:proofErr w:type="spellEnd"/>
      <w:r w:rsidRPr="00196BCD">
        <w:rPr>
          <w:rFonts w:ascii="Arial" w:hAnsi="Arial" w:cs="Arial"/>
          <w:sz w:val="22"/>
          <w:lang w:val="es-CO"/>
        </w:rPr>
        <w:t xml:space="preserve">) capacidad organizacional; y </w:t>
      </w:r>
      <w:proofErr w:type="spellStart"/>
      <w:r w:rsidRPr="00196BCD">
        <w:rPr>
          <w:rFonts w:ascii="Arial" w:hAnsi="Arial" w:cs="Arial"/>
          <w:sz w:val="22"/>
          <w:lang w:val="es-CO"/>
        </w:rPr>
        <w:t>ix</w:t>
      </w:r>
      <w:proofErr w:type="spellEnd"/>
      <w:r w:rsidRPr="00196BCD">
        <w:rPr>
          <w:rFonts w:ascii="Arial" w:hAnsi="Arial" w:cs="Arial"/>
          <w:sz w:val="22"/>
          <w:lang w:val="es-CO"/>
        </w:rPr>
        <w:t xml:space="preserve">) capacidad residual. Para los procesos de mínima cuantía se fijaron los requisitos de: i) capacidad jurídica; </w:t>
      </w:r>
      <w:proofErr w:type="spellStart"/>
      <w:r w:rsidRPr="00196BCD">
        <w:rPr>
          <w:rFonts w:ascii="Arial" w:hAnsi="Arial" w:cs="Arial"/>
          <w:sz w:val="22"/>
          <w:lang w:val="es-CO"/>
        </w:rPr>
        <w:t>ii</w:t>
      </w:r>
      <w:proofErr w:type="spellEnd"/>
      <w:r w:rsidRPr="00196BCD">
        <w:rPr>
          <w:rFonts w:ascii="Arial" w:hAnsi="Arial" w:cs="Arial"/>
          <w:sz w:val="22"/>
          <w:lang w:val="es-CO"/>
        </w:rPr>
        <w:t xml:space="preserve">) existencia y representación legal; </w:t>
      </w:r>
      <w:proofErr w:type="spellStart"/>
      <w:r w:rsidRPr="00196BCD">
        <w:rPr>
          <w:rFonts w:ascii="Arial" w:hAnsi="Arial" w:cs="Arial"/>
          <w:sz w:val="22"/>
          <w:lang w:val="es-CO"/>
        </w:rPr>
        <w:t>iii</w:t>
      </w:r>
      <w:proofErr w:type="spellEnd"/>
      <w:r w:rsidRPr="00196BCD">
        <w:rPr>
          <w:rFonts w:ascii="Arial" w:hAnsi="Arial" w:cs="Arial"/>
          <w:sz w:val="22"/>
          <w:lang w:val="es-CO"/>
        </w:rPr>
        <w:t xml:space="preserve">) certificación de pagos de seguridad social y aportes legales; </w:t>
      </w:r>
      <w:proofErr w:type="spellStart"/>
      <w:r w:rsidRPr="00196BCD">
        <w:rPr>
          <w:rFonts w:ascii="Arial" w:hAnsi="Arial" w:cs="Arial"/>
          <w:sz w:val="22"/>
          <w:lang w:val="es-CO"/>
        </w:rPr>
        <w:t>iv</w:t>
      </w:r>
      <w:proofErr w:type="spellEnd"/>
      <w:r w:rsidRPr="00196BCD">
        <w:rPr>
          <w:rFonts w:ascii="Arial" w:hAnsi="Arial" w:cs="Arial"/>
          <w:sz w:val="22"/>
          <w:lang w:val="es-CO"/>
        </w:rPr>
        <w:t xml:space="preserve">) experiencia; v) capacidad financiera; y vi) capacidad residual. </w:t>
      </w:r>
    </w:p>
    <w:p w14:paraId="0A38B4ED" w14:textId="77777777" w:rsidR="003C3359" w:rsidRPr="00196BCD" w:rsidRDefault="003C3359" w:rsidP="003C3359">
      <w:pPr>
        <w:spacing w:before="120" w:after="120" w:line="276" w:lineRule="auto"/>
        <w:jc w:val="both"/>
        <w:rPr>
          <w:rFonts w:ascii="Arial" w:hAnsi="Arial" w:cs="Arial"/>
          <w:sz w:val="22"/>
          <w:lang w:val="es-CO"/>
        </w:rPr>
      </w:pPr>
      <w:r w:rsidRPr="00196BCD">
        <w:rPr>
          <w:rFonts w:ascii="Arial" w:hAnsi="Arial" w:cs="Arial"/>
          <w:sz w:val="22"/>
          <w:lang w:val="es-CO"/>
        </w:rPr>
        <w:tab/>
        <w:t>Estos requisitos se encuentran detalladamente regulados por los «Documentos Base o Pliegos Tipo» de las modalidades de licitación pública y selección abreviada, al igual que en la «Invitación» desarrollada para procesos de mínima cuantía. Esta regulación abarca desde la cuantificación del requisito exigible, hasta la forma y documentación mediante los que deben ser acreditados por los proponentes, criterios que, se itera, son inmodificables e inalterables por las entidades.</w:t>
      </w:r>
    </w:p>
    <w:p w14:paraId="3C819A00" w14:textId="77777777" w:rsidR="003C3359" w:rsidRPr="00196BCD" w:rsidRDefault="003C3359" w:rsidP="003C3359">
      <w:pPr>
        <w:spacing w:before="120" w:after="120" w:line="276" w:lineRule="auto"/>
        <w:ind w:firstLine="708"/>
        <w:jc w:val="both"/>
        <w:rPr>
          <w:rFonts w:ascii="Arial" w:hAnsi="Arial" w:cs="Arial"/>
          <w:sz w:val="22"/>
          <w:lang w:val="es-CO"/>
        </w:rPr>
      </w:pPr>
      <w:r w:rsidRPr="00196BCD">
        <w:rPr>
          <w:rFonts w:ascii="Arial" w:hAnsi="Arial" w:cs="Arial"/>
          <w:sz w:val="22"/>
          <w:lang w:val="es-CO"/>
        </w:rPr>
        <w:t xml:space="preserve">En el caso de la experiencia, la «Matriz 1 – Experiencia» establece una metodología para la configuración del requisito exigible respecto del objeto específico de contratación, en función de factores como el tipo de obra, actividad a desarrollar y dimensionamiento de la misma, los cuales, subsumidos en la matriz, dan como resultado el requisito que deberán acreditar los proponentes. </w:t>
      </w:r>
    </w:p>
    <w:p w14:paraId="52FDCACA" w14:textId="77777777" w:rsidR="003C3359" w:rsidRPr="00196BCD" w:rsidRDefault="003C3359" w:rsidP="003C3359">
      <w:pPr>
        <w:spacing w:before="120" w:after="120" w:line="276" w:lineRule="auto"/>
        <w:ind w:firstLine="708"/>
        <w:jc w:val="both"/>
        <w:rPr>
          <w:rFonts w:ascii="Arial" w:hAnsi="Arial" w:cs="Arial"/>
          <w:sz w:val="22"/>
          <w:lang w:val="es-CO"/>
        </w:rPr>
      </w:pPr>
      <w:bookmarkStart w:id="13" w:name="_Hlk56930967"/>
      <w:r w:rsidRPr="00196BCD">
        <w:rPr>
          <w:rFonts w:ascii="Arial" w:hAnsi="Arial" w:cs="Arial"/>
          <w:sz w:val="22"/>
          <w:lang w:val="es-CO"/>
        </w:rPr>
        <w:t xml:space="preserve">De otra parte, en lo que tiene que ver con la capacidad financiera y organizacional, la «Matriz 2 – Indicadores Financieros y Organizacionales» establece los respectivos </w:t>
      </w:r>
      <w:r w:rsidRPr="00196BCD">
        <w:rPr>
          <w:rFonts w:ascii="Arial" w:hAnsi="Arial" w:cs="Arial"/>
          <w:sz w:val="22"/>
          <w:lang w:val="es-CO"/>
        </w:rPr>
        <w:lastRenderedPageBreak/>
        <w:t xml:space="preserve">indicadores con los que deben cumplir proponentes para acreditar estos requisitos habilitantes, mientras que el «Documento Base o Pliego Tipo», y la «Invitación» en el caso de la mínima cuantía, establece las fórmulas para el cálculo de los mismos. </w:t>
      </w:r>
    </w:p>
    <w:p w14:paraId="6D598A96" w14:textId="77A1121C" w:rsidR="003C3359" w:rsidRDefault="003C3359" w:rsidP="003C3359">
      <w:pPr>
        <w:spacing w:before="120" w:after="120" w:line="276" w:lineRule="auto"/>
        <w:ind w:firstLine="708"/>
        <w:jc w:val="both"/>
        <w:rPr>
          <w:rFonts w:ascii="Arial" w:hAnsi="Arial" w:cs="Arial"/>
          <w:sz w:val="22"/>
          <w:lang w:val="es-CO"/>
        </w:rPr>
      </w:pPr>
      <w:r w:rsidRPr="00196BCD">
        <w:rPr>
          <w:rFonts w:ascii="Arial" w:hAnsi="Arial" w:cs="Arial"/>
          <w:sz w:val="22"/>
          <w:lang w:val="es-CO"/>
        </w:rPr>
        <w:t>Conforme a lo anterior, los requisitos habilitantes, entre ellos la experiencia, la capacidad financiera y organizacional, al igual que los indicadores financieros y organizacionales, se encuentran determinados por los documentos tipo</w:t>
      </w:r>
      <w:r w:rsidR="00210561">
        <w:rPr>
          <w:rFonts w:ascii="Arial" w:hAnsi="Arial" w:cs="Arial"/>
          <w:sz w:val="22"/>
          <w:lang w:val="es-CO"/>
        </w:rPr>
        <w:t xml:space="preserve">. Lo anterior, </w:t>
      </w:r>
      <w:r w:rsidRPr="00196BCD">
        <w:rPr>
          <w:rFonts w:ascii="Arial" w:hAnsi="Arial" w:cs="Arial"/>
          <w:sz w:val="22"/>
          <w:lang w:val="es-CO"/>
        </w:rPr>
        <w:t xml:space="preserve">dada </w:t>
      </w:r>
      <w:r w:rsidR="00210561">
        <w:rPr>
          <w:rFonts w:ascii="Arial" w:hAnsi="Arial" w:cs="Arial"/>
          <w:sz w:val="22"/>
          <w:lang w:val="es-CO"/>
        </w:rPr>
        <w:t>la</w:t>
      </w:r>
      <w:r w:rsidRPr="00196BCD">
        <w:rPr>
          <w:rFonts w:ascii="Arial" w:hAnsi="Arial" w:cs="Arial"/>
          <w:sz w:val="22"/>
          <w:lang w:val="es-CO"/>
        </w:rPr>
        <w:t xml:space="preserve"> obligatoria observancia e inalterabilidad, supone un reducido margen de potestad de las entidades estatales en la configuración de estos requisitos, que necesariamente se traduce en una disminución de los esfuerzos que, conforme al principio de planeación, se imponen para la determinación de los requisitos habilitantes para cada proceso de contratación.</w:t>
      </w:r>
    </w:p>
    <w:p w14:paraId="3D896CA0" w14:textId="4464D697" w:rsidR="007E4029" w:rsidRDefault="007E4029" w:rsidP="0063294A">
      <w:pPr>
        <w:spacing w:before="120" w:after="120" w:line="276" w:lineRule="auto"/>
        <w:ind w:firstLine="708"/>
        <w:jc w:val="both"/>
        <w:rPr>
          <w:rFonts w:ascii="Arial" w:hAnsi="Arial" w:cs="Arial"/>
          <w:sz w:val="22"/>
          <w:lang w:val="es-CO"/>
        </w:rPr>
      </w:pPr>
      <w:r w:rsidRPr="00196BCD">
        <w:rPr>
          <w:rFonts w:ascii="Arial" w:hAnsi="Arial" w:cs="Arial"/>
          <w:sz w:val="22"/>
          <w:lang w:val="es-CO"/>
        </w:rPr>
        <w:t>En ese entendido, el artículo 2.2.1.1.1.6.2 del Decreto de 2015</w:t>
      </w:r>
      <w:r w:rsidRPr="00196BCD">
        <w:rPr>
          <w:rStyle w:val="Refdenotaalpie"/>
          <w:rFonts w:ascii="Arial" w:hAnsi="Arial" w:cs="Arial"/>
          <w:sz w:val="22"/>
          <w:lang w:val="es-CO"/>
        </w:rPr>
        <w:footnoteReference w:id="9"/>
      </w:r>
      <w:r w:rsidRPr="00196BCD">
        <w:rPr>
          <w:rFonts w:ascii="Arial" w:hAnsi="Arial" w:cs="Arial"/>
          <w:sz w:val="22"/>
          <w:lang w:val="es-CO"/>
        </w:rPr>
        <w:t xml:space="preserve"> establece que uno de los factores, en virtud del cual deben determinarse los requisitos habilitantes aplicables para los procesos de contratación, es el análisis o estudio del sector económico</w:t>
      </w:r>
      <w:r w:rsidR="0093647A">
        <w:rPr>
          <w:rFonts w:ascii="Arial" w:hAnsi="Arial" w:cs="Arial"/>
          <w:sz w:val="22"/>
          <w:lang w:val="es-CO"/>
        </w:rPr>
        <w:t>.</w:t>
      </w:r>
      <w:r w:rsidRPr="00196BCD">
        <w:rPr>
          <w:rFonts w:ascii="Arial" w:hAnsi="Arial" w:cs="Arial"/>
          <w:sz w:val="22"/>
          <w:lang w:val="es-CO"/>
        </w:rPr>
        <w:t xml:space="preserve"> </w:t>
      </w:r>
      <w:r w:rsidR="00A41885">
        <w:rPr>
          <w:rFonts w:ascii="Arial" w:hAnsi="Arial" w:cs="Arial"/>
          <w:sz w:val="22"/>
          <w:lang w:val="es-CO"/>
        </w:rPr>
        <w:t>T</w:t>
      </w:r>
      <w:r w:rsidRPr="00196BCD">
        <w:rPr>
          <w:rFonts w:ascii="Arial" w:hAnsi="Arial" w:cs="Arial"/>
          <w:sz w:val="22"/>
          <w:lang w:val="es-CO"/>
        </w:rPr>
        <w:t>ratándose de procesos en los que resulte obligatoria la aplicación de documentos tipo, tal determinación está limitada a las entidades por cuenta de la obligatoriedad e inalterabilidad de estos requisitos</w:t>
      </w:r>
      <w:r>
        <w:rPr>
          <w:rFonts w:ascii="Arial" w:hAnsi="Arial" w:cs="Arial"/>
          <w:sz w:val="22"/>
          <w:lang w:val="es-CO"/>
        </w:rPr>
        <w:t>. Por ello,</w:t>
      </w:r>
      <w:r w:rsidRPr="00196BCD">
        <w:rPr>
          <w:rFonts w:ascii="Arial" w:hAnsi="Arial" w:cs="Arial"/>
          <w:sz w:val="22"/>
          <w:lang w:val="es-CO"/>
        </w:rPr>
        <w:t xml:space="preserve"> una interpretación integradora de lo dispuesto en el artículo 4 de la Ley 1882 de 2018</w:t>
      </w:r>
      <w:r>
        <w:rPr>
          <w:rFonts w:ascii="Arial" w:hAnsi="Arial" w:cs="Arial"/>
          <w:sz w:val="22"/>
          <w:lang w:val="es-CO"/>
        </w:rPr>
        <w:t xml:space="preserve"> y los artículos</w:t>
      </w:r>
      <w:r w:rsidRPr="00196BCD">
        <w:rPr>
          <w:rFonts w:ascii="Arial" w:hAnsi="Arial" w:cs="Arial"/>
          <w:sz w:val="22"/>
          <w:lang w:val="es-CO"/>
        </w:rPr>
        <w:t xml:space="preserve"> </w:t>
      </w:r>
      <w:r w:rsidRPr="00196BCD">
        <w:rPr>
          <w:rFonts w:ascii="Arial" w:hAnsi="Arial" w:cs="Arial"/>
          <w:sz w:val="22"/>
          <w:lang w:val="es-ES"/>
        </w:rPr>
        <w:t xml:space="preserve">2.2.1.2.6.1.4, 2.2.1.2.6.2.3 y 2.2.1.2.6.3.4 del Decreto 1082 de 2015, </w:t>
      </w:r>
      <w:r>
        <w:rPr>
          <w:rFonts w:ascii="Arial" w:hAnsi="Arial" w:cs="Arial"/>
          <w:sz w:val="22"/>
          <w:lang w:val="es-ES"/>
        </w:rPr>
        <w:t>permite</w:t>
      </w:r>
      <w:r w:rsidRPr="00196BCD">
        <w:rPr>
          <w:rFonts w:ascii="Arial" w:hAnsi="Arial" w:cs="Arial"/>
          <w:sz w:val="22"/>
          <w:lang w:val="es-ES"/>
        </w:rPr>
        <w:t xml:space="preserve"> concluir que </w:t>
      </w:r>
      <w:r w:rsidRPr="00196BCD">
        <w:rPr>
          <w:rFonts w:ascii="Arial" w:hAnsi="Arial" w:cs="Arial"/>
          <w:sz w:val="22"/>
          <w:lang w:val="es-CO"/>
        </w:rPr>
        <w:t xml:space="preserve">en la aplicación del artículo 2.2.1.1.1.6.2 las entidades </w:t>
      </w:r>
      <w:r>
        <w:rPr>
          <w:rFonts w:ascii="Arial" w:hAnsi="Arial" w:cs="Arial"/>
          <w:sz w:val="22"/>
          <w:lang w:val="es-CO"/>
        </w:rPr>
        <w:t>encuentran reducido</w:t>
      </w:r>
      <w:r w:rsidRPr="00196BCD">
        <w:rPr>
          <w:rFonts w:ascii="Arial" w:hAnsi="Arial" w:cs="Arial"/>
          <w:sz w:val="22"/>
          <w:lang w:val="es-CO"/>
        </w:rPr>
        <w:t xml:space="preserve"> su ámbito de discrecionalidad, por lo que deben ceñirse a los parámetros establecidos en los documentos tipo para determinar los requisitos habilitantes.</w:t>
      </w:r>
    </w:p>
    <w:p w14:paraId="246ACC0A" w14:textId="08B2E8F6" w:rsidR="003C3359" w:rsidRPr="00196BCD" w:rsidRDefault="003C3359" w:rsidP="003C3359">
      <w:pPr>
        <w:spacing w:before="120" w:after="120" w:line="276" w:lineRule="auto"/>
        <w:ind w:firstLine="708"/>
        <w:jc w:val="both"/>
        <w:rPr>
          <w:rFonts w:ascii="Arial" w:hAnsi="Arial" w:cs="Arial"/>
          <w:sz w:val="22"/>
          <w:lang w:val="es-CO"/>
        </w:rPr>
      </w:pPr>
      <w:bookmarkStart w:id="14" w:name="_Hlk56931552"/>
      <w:bookmarkEnd w:id="13"/>
      <w:r w:rsidRPr="00196BCD">
        <w:rPr>
          <w:rFonts w:ascii="Arial" w:hAnsi="Arial" w:cs="Arial"/>
          <w:sz w:val="22"/>
          <w:lang w:val="es-CO"/>
        </w:rPr>
        <w:t>Lo anterior no significa que la determinación de los requisitos habilitantes de los procesos adelantados con documentos tipo se encuentre desprovista de un análisis de las condiciones del sector económico en donde tiene lugar este tipo de contratación</w:t>
      </w:r>
      <w:r w:rsidR="00CD7877">
        <w:rPr>
          <w:rFonts w:ascii="Arial" w:hAnsi="Arial" w:cs="Arial"/>
          <w:sz w:val="22"/>
          <w:lang w:val="es-CO"/>
        </w:rPr>
        <w:t>.</w:t>
      </w:r>
      <w:r w:rsidR="000950AA">
        <w:rPr>
          <w:rFonts w:ascii="Arial" w:hAnsi="Arial" w:cs="Arial"/>
          <w:sz w:val="22"/>
          <w:lang w:val="es-CO"/>
        </w:rPr>
        <w:t xml:space="preserve"> </w:t>
      </w:r>
      <w:r w:rsidR="00CD7877">
        <w:rPr>
          <w:rFonts w:ascii="Arial" w:hAnsi="Arial" w:cs="Arial"/>
          <w:sz w:val="22"/>
          <w:lang w:val="es-CO"/>
        </w:rPr>
        <w:t>P</w:t>
      </w:r>
      <w:r w:rsidRPr="00196BCD">
        <w:rPr>
          <w:rFonts w:ascii="Arial" w:hAnsi="Arial" w:cs="Arial"/>
          <w:sz w:val="22"/>
          <w:lang w:val="es-CO"/>
        </w:rPr>
        <w:t xml:space="preserve">or el contrario, dada la importancia de la materia, este análisis debió ser incorporado al proceso de desarrollo e implementación de estas herramientas, que el Gobierno Nacional a través de los Decretos 342 de 2019, 2096 de 2019 y 594 de 2020, encomendó a autoridades con conocimientos y capacidades técnicas en el sector del transporte y la contratación pública como la el Departamento Nacional de Planeación, el Ministerio de Transporte y la Agencia Nacional de Contratación Pública – Colombia Compra Eficiente.  </w:t>
      </w:r>
    </w:p>
    <w:bookmarkEnd w:id="14"/>
    <w:p w14:paraId="302252EE" w14:textId="41791B0B" w:rsidR="003C3359" w:rsidRPr="00196BCD" w:rsidRDefault="003C3359" w:rsidP="003C3359">
      <w:pPr>
        <w:spacing w:before="120" w:after="120" w:line="276" w:lineRule="auto"/>
        <w:ind w:firstLine="708"/>
        <w:jc w:val="both"/>
        <w:rPr>
          <w:rFonts w:ascii="Arial" w:hAnsi="Arial" w:cs="Arial"/>
          <w:sz w:val="22"/>
          <w:lang w:val="es-CO"/>
        </w:rPr>
      </w:pPr>
      <w:r w:rsidRPr="00196BCD">
        <w:rPr>
          <w:rFonts w:ascii="Arial" w:hAnsi="Arial" w:cs="Arial"/>
          <w:sz w:val="22"/>
          <w:lang w:val="es-CO"/>
        </w:rPr>
        <w:t xml:space="preserve">Ahora bien, tampoco quiere esto decir que las entidades que adelanten procesos con documentos tipo, dada la estandarización de los requisitos habilitantes e indicadores financieros y organizacionales, se encuentren relevadas del deber de realizar </w:t>
      </w:r>
      <w:r w:rsidR="00E862A5">
        <w:rPr>
          <w:rFonts w:ascii="Arial" w:hAnsi="Arial" w:cs="Arial"/>
          <w:sz w:val="22"/>
          <w:lang w:val="es-CO"/>
        </w:rPr>
        <w:t xml:space="preserve">los estudios previos y </w:t>
      </w:r>
      <w:r w:rsidRPr="00196BCD">
        <w:rPr>
          <w:rFonts w:ascii="Arial" w:hAnsi="Arial" w:cs="Arial"/>
          <w:sz w:val="22"/>
          <w:lang w:val="es-CO"/>
        </w:rPr>
        <w:t>el análisis del sector al que se refiere</w:t>
      </w:r>
      <w:r w:rsidR="00E862A5">
        <w:rPr>
          <w:rFonts w:ascii="Arial" w:hAnsi="Arial" w:cs="Arial"/>
          <w:sz w:val="22"/>
          <w:lang w:val="es-CO"/>
        </w:rPr>
        <w:t>n</w:t>
      </w:r>
      <w:r w:rsidRPr="00196BCD">
        <w:rPr>
          <w:rFonts w:ascii="Arial" w:hAnsi="Arial" w:cs="Arial"/>
          <w:sz w:val="22"/>
          <w:lang w:val="es-CO"/>
        </w:rPr>
        <w:t xml:space="preserve"> </w:t>
      </w:r>
      <w:r w:rsidR="00E862A5">
        <w:rPr>
          <w:rFonts w:ascii="Arial" w:hAnsi="Arial" w:cs="Arial"/>
          <w:sz w:val="22"/>
          <w:lang w:val="es-CO"/>
        </w:rPr>
        <w:t>los</w:t>
      </w:r>
      <w:r w:rsidR="00E862A5" w:rsidRPr="00196BCD">
        <w:rPr>
          <w:rFonts w:ascii="Arial" w:hAnsi="Arial" w:cs="Arial"/>
          <w:sz w:val="22"/>
          <w:lang w:val="es-CO"/>
        </w:rPr>
        <w:t xml:space="preserve"> </w:t>
      </w:r>
      <w:r w:rsidRPr="00196BCD">
        <w:rPr>
          <w:rFonts w:ascii="Arial" w:hAnsi="Arial" w:cs="Arial"/>
          <w:sz w:val="22"/>
          <w:lang w:val="es-CO"/>
        </w:rPr>
        <w:t>artículo</w:t>
      </w:r>
      <w:r w:rsidR="00E862A5">
        <w:rPr>
          <w:rFonts w:ascii="Arial" w:hAnsi="Arial" w:cs="Arial"/>
          <w:sz w:val="22"/>
          <w:lang w:val="es-CO"/>
        </w:rPr>
        <w:t xml:space="preserve">s </w:t>
      </w:r>
      <w:r w:rsidR="00E862A5" w:rsidRPr="00E862A5">
        <w:rPr>
          <w:rFonts w:ascii="Arial" w:hAnsi="Arial" w:cs="Arial"/>
          <w:sz w:val="22"/>
          <w:lang w:val="es-CO"/>
        </w:rPr>
        <w:t>2.2.1.1.2.1.1</w:t>
      </w:r>
      <w:r w:rsidR="00E862A5">
        <w:rPr>
          <w:rFonts w:ascii="Arial" w:hAnsi="Arial" w:cs="Arial"/>
          <w:sz w:val="22"/>
          <w:lang w:val="es-CO"/>
        </w:rPr>
        <w:t xml:space="preserve"> y</w:t>
      </w:r>
      <w:r w:rsidRPr="00196BCD">
        <w:rPr>
          <w:rFonts w:ascii="Arial" w:hAnsi="Arial" w:cs="Arial"/>
          <w:sz w:val="22"/>
          <w:lang w:val="es-CO"/>
        </w:rPr>
        <w:t xml:space="preserve"> 2.2.1.1.1.6.1 </w:t>
      </w:r>
      <w:r w:rsidRPr="00196BCD">
        <w:rPr>
          <w:rFonts w:ascii="Arial" w:hAnsi="Arial" w:cs="Arial"/>
          <w:sz w:val="22"/>
          <w:lang w:val="es-CO"/>
        </w:rPr>
        <w:lastRenderedPageBreak/>
        <w:t xml:space="preserve">del Decreto 1082 de 2015, comoquiera que brindar información para la determinación de los requisitos habilitantes e indicadores financieros no es la única finalidad </w:t>
      </w:r>
      <w:r w:rsidR="00E862A5">
        <w:rPr>
          <w:rFonts w:ascii="Arial" w:hAnsi="Arial" w:cs="Arial"/>
          <w:sz w:val="22"/>
          <w:lang w:val="es-CO"/>
        </w:rPr>
        <w:t>de estos estudios</w:t>
      </w:r>
      <w:r w:rsidRPr="00196BCD">
        <w:rPr>
          <w:rFonts w:ascii="Arial" w:hAnsi="Arial" w:cs="Arial"/>
          <w:sz w:val="22"/>
          <w:lang w:val="es-CO"/>
        </w:rPr>
        <w:t>.</w:t>
      </w:r>
    </w:p>
    <w:p w14:paraId="43C9E079" w14:textId="31C43B11" w:rsidR="0024798A" w:rsidRDefault="00E862A5" w:rsidP="003C3359">
      <w:pPr>
        <w:spacing w:before="120" w:after="120" w:line="276" w:lineRule="auto"/>
        <w:ind w:firstLine="708"/>
        <w:jc w:val="both"/>
        <w:rPr>
          <w:rFonts w:ascii="Arial" w:hAnsi="Arial" w:cs="Arial"/>
          <w:sz w:val="22"/>
          <w:lang w:val="es-CO"/>
        </w:rPr>
      </w:pPr>
      <w:bookmarkStart w:id="15" w:name="_Hlk56931794"/>
      <w:r w:rsidRPr="00331868">
        <w:rPr>
          <w:rFonts w:ascii="Arial" w:hAnsi="Arial" w:cs="Arial"/>
          <w:i/>
          <w:iCs/>
          <w:sz w:val="22"/>
          <w:lang w:val="es-CO"/>
        </w:rPr>
        <w:t>Por un lado</w:t>
      </w:r>
      <w:r w:rsidRPr="00210561">
        <w:rPr>
          <w:rFonts w:ascii="Arial" w:hAnsi="Arial" w:cs="Arial"/>
          <w:sz w:val="22"/>
          <w:lang w:val="es-CO"/>
        </w:rPr>
        <w:t>,</w:t>
      </w:r>
      <w:r>
        <w:rPr>
          <w:rFonts w:ascii="Arial" w:hAnsi="Arial" w:cs="Arial"/>
          <w:sz w:val="22"/>
          <w:lang w:val="es-CO"/>
        </w:rPr>
        <w:t xml:space="preserve"> t</w:t>
      </w:r>
      <w:r w:rsidR="003C3359" w:rsidRPr="00196BCD">
        <w:rPr>
          <w:rFonts w:ascii="Arial" w:hAnsi="Arial" w:cs="Arial"/>
          <w:sz w:val="22"/>
          <w:lang w:val="es-CO"/>
        </w:rPr>
        <w:t xml:space="preserve">al como se evidenció en el acápite anterior, el análisis del sector abarca los rubros legal, comercial, financiero, organizacional, técnico y de riesgos del sector en donde tendrá lugar la contratación, permitiendo a las entidades acopiar información importante para el desarrollo de los procesos de contratación, irradiando estos con una aplicación más acentuada del principio de planeación. </w:t>
      </w:r>
      <w:r w:rsidR="0024798A">
        <w:rPr>
          <w:rFonts w:ascii="Arial" w:hAnsi="Arial" w:cs="Arial"/>
          <w:sz w:val="22"/>
          <w:lang w:val="es-CO"/>
        </w:rPr>
        <w:t>P</w:t>
      </w:r>
      <w:r w:rsidR="003C3359" w:rsidRPr="00196BCD">
        <w:rPr>
          <w:rFonts w:ascii="Arial" w:hAnsi="Arial" w:cs="Arial"/>
          <w:sz w:val="22"/>
          <w:lang w:val="es-CO"/>
        </w:rPr>
        <w:t>osturas escépticas tilda</w:t>
      </w:r>
      <w:r w:rsidR="00350510">
        <w:rPr>
          <w:rFonts w:ascii="Arial" w:hAnsi="Arial" w:cs="Arial"/>
          <w:sz w:val="22"/>
          <w:lang w:val="es-CO"/>
        </w:rPr>
        <w:t>n</w:t>
      </w:r>
      <w:r w:rsidR="003C3359" w:rsidRPr="00196BCD">
        <w:rPr>
          <w:rFonts w:ascii="Arial" w:hAnsi="Arial" w:cs="Arial"/>
          <w:sz w:val="22"/>
          <w:lang w:val="es-CO"/>
        </w:rPr>
        <w:t xml:space="preserve"> </w:t>
      </w:r>
      <w:r w:rsidR="0063294A">
        <w:rPr>
          <w:rFonts w:ascii="Arial" w:hAnsi="Arial" w:cs="Arial"/>
          <w:sz w:val="22"/>
          <w:lang w:val="es-CO"/>
        </w:rPr>
        <w:t>e</w:t>
      </w:r>
      <w:r w:rsidR="003C3359" w:rsidRPr="00196BCD">
        <w:rPr>
          <w:rFonts w:ascii="Arial" w:hAnsi="Arial" w:cs="Arial"/>
          <w:sz w:val="22"/>
          <w:lang w:val="es-CO"/>
        </w:rPr>
        <w:t>l análisis del sector de «absurdo e innecesario, amén del agravamiento de la gestión contractual»</w:t>
      </w:r>
      <w:r w:rsidR="003C3359" w:rsidRPr="00196BCD">
        <w:rPr>
          <w:rStyle w:val="Refdenotaalpie"/>
          <w:rFonts w:ascii="Arial" w:hAnsi="Arial" w:cs="Arial"/>
          <w:sz w:val="22"/>
          <w:lang w:val="es-CO"/>
        </w:rPr>
        <w:footnoteReference w:id="10"/>
      </w:r>
      <w:r w:rsidR="003C3359" w:rsidRPr="00196BCD">
        <w:rPr>
          <w:rFonts w:ascii="Arial" w:hAnsi="Arial" w:cs="Arial"/>
          <w:sz w:val="22"/>
          <w:lang w:val="es-CO"/>
        </w:rPr>
        <w:t xml:space="preserve">, </w:t>
      </w:r>
      <w:r w:rsidR="0024798A">
        <w:rPr>
          <w:rFonts w:ascii="Arial" w:hAnsi="Arial" w:cs="Arial"/>
          <w:sz w:val="22"/>
          <w:lang w:val="es-CO"/>
        </w:rPr>
        <w:t xml:space="preserve">pero </w:t>
      </w:r>
      <w:r w:rsidR="003C3359" w:rsidRPr="00196BCD">
        <w:rPr>
          <w:rFonts w:ascii="Arial" w:hAnsi="Arial" w:cs="Arial"/>
          <w:sz w:val="22"/>
          <w:lang w:val="es-CO"/>
        </w:rPr>
        <w:t xml:space="preserve">esta Agencia estima que el análisis del sector </w:t>
      </w:r>
      <w:r w:rsidR="0063294A">
        <w:rPr>
          <w:rFonts w:ascii="Arial" w:hAnsi="Arial" w:cs="Arial"/>
          <w:sz w:val="22"/>
          <w:lang w:val="es-CO"/>
        </w:rPr>
        <w:t xml:space="preserve">es </w:t>
      </w:r>
      <w:r w:rsidR="003C3359" w:rsidRPr="00196BCD">
        <w:rPr>
          <w:rFonts w:ascii="Arial" w:hAnsi="Arial" w:cs="Arial"/>
          <w:sz w:val="22"/>
          <w:lang w:val="es-CO"/>
        </w:rPr>
        <w:t>más que un requisito adicional para el adelantamiento de los procesos contractuales</w:t>
      </w:r>
      <w:r w:rsidR="0024798A">
        <w:rPr>
          <w:rFonts w:ascii="Arial" w:hAnsi="Arial" w:cs="Arial"/>
          <w:sz w:val="22"/>
          <w:lang w:val="es-CO"/>
        </w:rPr>
        <w:t>.</w:t>
      </w:r>
    </w:p>
    <w:p w14:paraId="2FD45040" w14:textId="46BE58D3" w:rsidR="003C3359" w:rsidRPr="00196BCD" w:rsidRDefault="0024798A" w:rsidP="003C3359">
      <w:pPr>
        <w:spacing w:before="120" w:after="120" w:line="276" w:lineRule="auto"/>
        <w:ind w:firstLine="708"/>
        <w:jc w:val="both"/>
        <w:rPr>
          <w:rFonts w:ascii="Arial" w:hAnsi="Arial" w:cs="Arial"/>
          <w:sz w:val="22"/>
          <w:lang w:val="es-CO"/>
        </w:rPr>
      </w:pPr>
      <w:r>
        <w:rPr>
          <w:rFonts w:ascii="Arial" w:hAnsi="Arial" w:cs="Arial"/>
          <w:sz w:val="22"/>
          <w:lang w:val="es-CO"/>
        </w:rPr>
        <w:t>El estudio del sector</w:t>
      </w:r>
      <w:r w:rsidR="003C3359" w:rsidRPr="00196BCD">
        <w:rPr>
          <w:rFonts w:ascii="Arial" w:hAnsi="Arial" w:cs="Arial"/>
          <w:sz w:val="22"/>
          <w:lang w:val="es-CO"/>
        </w:rPr>
        <w:t xml:space="preserve"> visto desde una perspectiva </w:t>
      </w:r>
      <w:proofErr w:type="gramStart"/>
      <w:r w:rsidR="003C3359" w:rsidRPr="00196BCD">
        <w:rPr>
          <w:rFonts w:ascii="Arial" w:hAnsi="Arial" w:cs="Arial"/>
          <w:sz w:val="22"/>
          <w:lang w:val="es-CO"/>
        </w:rPr>
        <w:t>funcional,</w:t>
      </w:r>
      <w:proofErr w:type="gramEnd"/>
      <w:r w:rsidR="003C3359" w:rsidRPr="00196BCD">
        <w:rPr>
          <w:rFonts w:ascii="Arial" w:hAnsi="Arial" w:cs="Arial"/>
          <w:sz w:val="22"/>
          <w:lang w:val="es-CO"/>
        </w:rPr>
        <w:t xml:space="preserve"> constituye un deber que permite que las entidades sitúen la adquisición de los bienes, obras o servicios necesarios para la satisfacción de sus necesidades dentro de las condiciones del mercado en donde se ofrecen</w:t>
      </w:r>
      <w:r w:rsidR="0063294A">
        <w:rPr>
          <w:rFonts w:ascii="Arial" w:hAnsi="Arial" w:cs="Arial"/>
          <w:sz w:val="22"/>
          <w:lang w:val="es-CO"/>
        </w:rPr>
        <w:t>. Lo anterior, les</w:t>
      </w:r>
      <w:r w:rsidR="003C3359" w:rsidRPr="00196BCD">
        <w:rPr>
          <w:rFonts w:ascii="Arial" w:hAnsi="Arial" w:cs="Arial"/>
          <w:sz w:val="22"/>
          <w:lang w:val="es-CO"/>
        </w:rPr>
        <w:t xml:space="preserve"> permit</w:t>
      </w:r>
      <w:r w:rsidR="0063294A">
        <w:rPr>
          <w:rFonts w:ascii="Arial" w:hAnsi="Arial" w:cs="Arial"/>
          <w:sz w:val="22"/>
          <w:lang w:val="es-CO"/>
        </w:rPr>
        <w:t>e</w:t>
      </w:r>
      <w:r w:rsidR="003C3359" w:rsidRPr="00196BCD">
        <w:rPr>
          <w:rFonts w:ascii="Arial" w:hAnsi="Arial" w:cs="Arial"/>
          <w:sz w:val="22"/>
          <w:lang w:val="es-CO"/>
        </w:rPr>
        <w:t xml:space="preserve"> tener un sustento para la decisión de adelantar el proceso de contratación desde el punto de vista de la eficiencia, eficacia y economía. </w:t>
      </w:r>
    </w:p>
    <w:p w14:paraId="7F176E47" w14:textId="42335B59" w:rsidR="003C3359" w:rsidRPr="00196BCD" w:rsidRDefault="003C3359" w:rsidP="003C3359">
      <w:pPr>
        <w:spacing w:before="120" w:after="120" w:line="276" w:lineRule="auto"/>
        <w:ind w:firstLine="708"/>
        <w:jc w:val="both"/>
        <w:rPr>
          <w:rFonts w:ascii="Arial" w:hAnsi="Arial" w:cs="Arial"/>
          <w:sz w:val="22"/>
          <w:lang w:val="es-CO"/>
        </w:rPr>
      </w:pPr>
      <w:r w:rsidRPr="00196BCD">
        <w:rPr>
          <w:rFonts w:ascii="Arial" w:hAnsi="Arial" w:cs="Arial"/>
          <w:sz w:val="22"/>
          <w:lang w:val="es-CO"/>
        </w:rPr>
        <w:t xml:space="preserve">Un ejemplo de la funcionalidad del análisis sector y su importancia en el proceso de contratación lo evidenciamos en su calidad de antecedente </w:t>
      </w:r>
      <w:r w:rsidRPr="00196BCD">
        <w:rPr>
          <w:rFonts w:ascii="Arial" w:eastAsia="Calibri" w:hAnsi="Arial" w:cs="Arial"/>
          <w:sz w:val="22"/>
        </w:rPr>
        <w:t>tanto la disponibilidad como el compromiso presupuestal que involucra cada contrato</w:t>
      </w:r>
      <w:r w:rsidR="00D0386B">
        <w:rPr>
          <w:rFonts w:ascii="Arial" w:eastAsia="Calibri" w:hAnsi="Arial" w:cs="Arial"/>
          <w:sz w:val="22"/>
        </w:rPr>
        <w:t>.</w:t>
      </w:r>
      <w:r w:rsidR="0063294A">
        <w:rPr>
          <w:rFonts w:ascii="Arial" w:eastAsia="Calibri" w:hAnsi="Arial" w:cs="Arial"/>
          <w:sz w:val="22"/>
        </w:rPr>
        <w:t xml:space="preserve"> </w:t>
      </w:r>
      <w:r w:rsidR="00D0386B">
        <w:rPr>
          <w:rFonts w:ascii="Arial" w:eastAsia="Calibri" w:hAnsi="Arial" w:cs="Arial"/>
          <w:sz w:val="22"/>
        </w:rPr>
        <w:t>C</w:t>
      </w:r>
      <w:r w:rsidRPr="00196BCD">
        <w:rPr>
          <w:rFonts w:ascii="Arial" w:eastAsia="Calibri" w:hAnsi="Arial" w:cs="Arial"/>
          <w:sz w:val="22"/>
        </w:rPr>
        <w:t>omo lo evidenció esta Agencia en el concepto C-291 del 18 de mayo de 2020 –radicado No. 2202013000003857–, el «estudio del sector relativo a los bienes, obras o servicios que adquirirá la entidad mediante el proceso contractual, permite conocer el mercado respecto de los proveedores, cadenas de producción, costos, calidad, entre otros</w:t>
      </w:r>
      <w:r w:rsidR="00D0386B">
        <w:rPr>
          <w:rFonts w:ascii="Arial" w:eastAsia="Calibri" w:hAnsi="Arial" w:cs="Arial"/>
          <w:sz w:val="22"/>
        </w:rPr>
        <w:t>.</w:t>
      </w:r>
      <w:r w:rsidRPr="00196BCD">
        <w:rPr>
          <w:rFonts w:ascii="Arial" w:eastAsia="Calibri" w:hAnsi="Arial" w:cs="Arial"/>
          <w:sz w:val="22"/>
        </w:rPr>
        <w:t xml:space="preserve"> </w:t>
      </w:r>
      <w:r w:rsidR="00D0386B">
        <w:rPr>
          <w:rFonts w:ascii="Arial" w:eastAsia="Calibri" w:hAnsi="Arial" w:cs="Arial"/>
          <w:sz w:val="22"/>
        </w:rPr>
        <w:t>Lo anterior</w:t>
      </w:r>
      <w:r w:rsidR="00D0386B" w:rsidRPr="00196BCD">
        <w:rPr>
          <w:rFonts w:ascii="Arial" w:eastAsia="Calibri" w:hAnsi="Arial" w:cs="Arial"/>
          <w:sz w:val="22"/>
        </w:rPr>
        <w:t xml:space="preserve"> </w:t>
      </w:r>
      <w:r w:rsidR="00D0386B">
        <w:rPr>
          <w:rFonts w:ascii="Arial" w:eastAsia="Calibri" w:hAnsi="Arial" w:cs="Arial"/>
          <w:sz w:val="22"/>
        </w:rPr>
        <w:t>permite</w:t>
      </w:r>
      <w:r w:rsidR="00D0386B" w:rsidRPr="00196BCD">
        <w:rPr>
          <w:rFonts w:ascii="Arial" w:eastAsia="Calibri" w:hAnsi="Arial" w:cs="Arial"/>
          <w:sz w:val="22"/>
        </w:rPr>
        <w:t xml:space="preserve"> </w:t>
      </w:r>
      <w:r w:rsidRPr="00196BCD">
        <w:rPr>
          <w:rFonts w:ascii="Arial" w:eastAsia="Calibri" w:hAnsi="Arial" w:cs="Arial"/>
          <w:sz w:val="22"/>
        </w:rPr>
        <w:t>que el presupuesto que se comprometa al proceso corresponda al valor real, y así se cumpla el deber de la entidad de planear y conocer las adquisiciones que pretende realizar, particularmente para estimar el valor del contrato».</w:t>
      </w:r>
    </w:p>
    <w:bookmarkEnd w:id="15"/>
    <w:p w14:paraId="40EEA17D" w14:textId="77777777" w:rsidR="003C3359" w:rsidRPr="00196BCD" w:rsidRDefault="003C3359" w:rsidP="003C3359">
      <w:pPr>
        <w:spacing w:before="120" w:after="120" w:line="276" w:lineRule="auto"/>
        <w:ind w:firstLine="708"/>
        <w:jc w:val="both"/>
        <w:rPr>
          <w:rFonts w:ascii="Arial" w:hAnsi="Arial" w:cs="Arial"/>
          <w:sz w:val="22"/>
          <w:lang w:val="es-CO"/>
        </w:rPr>
      </w:pPr>
      <w:r w:rsidRPr="00196BCD">
        <w:rPr>
          <w:rFonts w:ascii="Arial" w:hAnsi="Arial" w:cs="Arial"/>
          <w:sz w:val="22"/>
          <w:lang w:val="es-CO"/>
        </w:rPr>
        <w:t xml:space="preserve">Otro ejemplo lo constituye el análisis de riesgo y la forma de mitigarlo que, según el numeral 6 del artículo 2.2.1.1.2.1.1 del Decreto 1082 de 2015, debe incorporarse en los estudios y documentos previos. El cumplimiento de este requisito necesariamente debe servirse del estudio producto del análisis del sector, comoquiera que este último debe permitir a las entidades conocer las dinámicas y comportamiento de los riesgos relacionados con el objeto a contratar dentro del respectivo sector, lo que brinda herramientas para determinar las posibles formas y mecanismos mediante los que podrían mitigarse. </w:t>
      </w:r>
    </w:p>
    <w:p w14:paraId="20E9807F" w14:textId="77777777" w:rsidR="00350510" w:rsidRDefault="003C3359" w:rsidP="003C3359">
      <w:pPr>
        <w:spacing w:before="120" w:after="120" w:line="276" w:lineRule="auto"/>
        <w:ind w:firstLine="708"/>
        <w:jc w:val="both"/>
        <w:rPr>
          <w:rFonts w:ascii="Arial" w:hAnsi="Arial" w:cs="Arial"/>
          <w:sz w:val="22"/>
        </w:rPr>
      </w:pPr>
      <w:r w:rsidRPr="00196BCD">
        <w:rPr>
          <w:rFonts w:ascii="Arial" w:hAnsi="Arial" w:cs="Arial"/>
          <w:sz w:val="22"/>
        </w:rPr>
        <w:lastRenderedPageBreak/>
        <w:t>De otra parte, el artículo 2.2.1.1.2.2.4. del Decreto 1082 de 2015</w:t>
      </w:r>
      <w:r w:rsidRPr="00196BCD">
        <w:rPr>
          <w:rFonts w:ascii="Arial" w:hAnsi="Arial" w:cs="Arial"/>
          <w:sz w:val="22"/>
          <w:vertAlign w:val="superscript"/>
        </w:rPr>
        <w:footnoteReference w:id="11"/>
      </w:r>
      <w:r w:rsidRPr="00196BCD">
        <w:rPr>
          <w:rFonts w:ascii="Arial" w:hAnsi="Arial" w:cs="Arial"/>
          <w:sz w:val="22"/>
        </w:rPr>
        <w:t xml:space="preserve">, en el que se regula la metodología para la evaluación y esclarecimiento de ofertas con precios artificialmente bajos, se refiere al artículo 2.2.1.1.1.6.1, que regula el análisis del sector y los rubros que este abarca, situando a este como el principal insumo para llevar </w:t>
      </w:r>
      <w:r>
        <w:rPr>
          <w:rFonts w:ascii="Arial" w:hAnsi="Arial" w:cs="Arial"/>
          <w:sz w:val="22"/>
        </w:rPr>
        <w:t xml:space="preserve">a cabo </w:t>
      </w:r>
      <w:r w:rsidRPr="00196BCD">
        <w:rPr>
          <w:rFonts w:ascii="Arial" w:hAnsi="Arial" w:cs="Arial"/>
          <w:sz w:val="22"/>
        </w:rPr>
        <w:t xml:space="preserve">dicho cometido. En desarrollo de esto, la «Guía para el manejo de ofertas artificialmente bajas en Procesos de Contratación» establece 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w:t>
      </w:r>
    </w:p>
    <w:p w14:paraId="1DB61074" w14:textId="152E0103" w:rsidR="003C3359" w:rsidRPr="00196BCD" w:rsidRDefault="003C3359" w:rsidP="003C3359">
      <w:pPr>
        <w:spacing w:before="120" w:after="120" w:line="276" w:lineRule="auto"/>
        <w:ind w:firstLine="708"/>
        <w:jc w:val="both"/>
        <w:rPr>
          <w:rFonts w:ascii="Arial" w:eastAsia="Yu Mincho" w:hAnsi="Arial" w:cs="Arial"/>
          <w:sz w:val="22"/>
          <w:lang w:eastAsia="es-ES"/>
        </w:rPr>
      </w:pPr>
      <w:r w:rsidRPr="00196BCD">
        <w:rPr>
          <w:rFonts w:ascii="Arial" w:hAnsi="Arial" w:cs="Arial"/>
          <w:sz w:val="22"/>
        </w:rPr>
        <w:t xml:space="preserve">Esto pone de presente otra importante finalidad de la información recolectada en el ejercicio de análisis o estudio del sector, a la cual no fue ajena la expedición de los documentos tipo, los que, particularmente, en el numeral 4.1.3 de los «Documentos Base» para licitación pública y selección abreviada, y en el numeral 5.1.3 de la «Invitación», para procesos de mínima cuantía, hacen expresa referencia a la información del estudio del sector como el más importante insumo para determinar si una oferta es artificialmente baja y dar aplicación al artículo </w:t>
      </w:r>
      <w:r w:rsidRPr="00196BCD">
        <w:rPr>
          <w:rFonts w:ascii="Arial" w:eastAsia="Yu Mincho" w:hAnsi="Arial" w:cs="Arial"/>
          <w:sz w:val="22"/>
          <w:lang w:eastAsia="es-ES"/>
        </w:rPr>
        <w:t>2.2.1.1.2.2.4. del Decreto 1082 de 2015.</w:t>
      </w:r>
    </w:p>
    <w:p w14:paraId="6CA1F606" w14:textId="77777777" w:rsidR="003C3359" w:rsidRPr="00196BCD" w:rsidRDefault="003C3359" w:rsidP="003C3359">
      <w:pPr>
        <w:spacing w:before="120" w:after="120" w:line="276" w:lineRule="auto"/>
        <w:ind w:firstLine="708"/>
        <w:jc w:val="both"/>
        <w:rPr>
          <w:rFonts w:ascii="Arial" w:hAnsi="Arial" w:cs="Arial"/>
          <w:sz w:val="22"/>
        </w:rPr>
      </w:pPr>
      <w:r w:rsidRPr="00196BCD">
        <w:rPr>
          <w:rFonts w:ascii="Arial" w:hAnsi="Arial" w:cs="Arial"/>
          <w:sz w:val="22"/>
          <w:lang w:val="es-CO"/>
        </w:rPr>
        <w:t xml:space="preserve">Otras referencias al estudio del sector en los documentos tipo </w:t>
      </w:r>
      <w:r>
        <w:rPr>
          <w:rFonts w:ascii="Arial" w:hAnsi="Arial" w:cs="Arial"/>
          <w:sz w:val="22"/>
          <w:lang w:val="es-CO"/>
        </w:rPr>
        <w:t>se encuentran</w:t>
      </w:r>
      <w:r w:rsidRPr="00196BCD">
        <w:rPr>
          <w:rFonts w:ascii="Arial" w:hAnsi="Arial" w:cs="Arial"/>
          <w:sz w:val="22"/>
          <w:lang w:val="es-CO"/>
        </w:rPr>
        <w:t xml:space="preserve"> en el numeral 4.2 de los «Documentos Base» para licitación pública y selección abreviada de menor cuantía, en donde se alude a la información del estudio del sector, como sustento de la escogencia por parte de las entidades de los criterios que darán lugar a otorgar el puntaje del factor de calidad que procede en estas modalidades de selección. Asimismo, estos documentos en el numeral 3.5, al igual que la «Invitación» para procesos de mínima cuantía en el numeral 4.5, se refieren al estudio del sector, como una herramienta que sirve para determinar la necesidad de que en un proceso de selección se haga una excepción a la regla general que solo permite a los proponentes acreditar la experiencia que han adquirido por cuenta propia y no la de su matriz, subsidiarias o integrantes del mismo grupo empresarial</w:t>
      </w:r>
      <w:r w:rsidRPr="00196BCD">
        <w:rPr>
          <w:rStyle w:val="Refdenotaalpie"/>
          <w:rFonts w:ascii="Arial" w:hAnsi="Arial" w:cs="Arial"/>
          <w:sz w:val="22"/>
          <w:lang w:val="es-CO"/>
        </w:rPr>
        <w:footnoteReference w:id="12"/>
      </w:r>
      <w:r w:rsidRPr="00196BCD">
        <w:rPr>
          <w:rFonts w:ascii="Arial" w:hAnsi="Arial" w:cs="Arial"/>
          <w:sz w:val="22"/>
          <w:lang w:val="es-CO"/>
        </w:rPr>
        <w:t xml:space="preserve">. Por su parte, el documento de «Invitación» para procesos de mínima cuantía </w:t>
      </w:r>
      <w:r w:rsidRPr="00196BCD">
        <w:rPr>
          <w:rFonts w:ascii="Arial" w:hAnsi="Arial" w:cs="Arial"/>
          <w:sz w:val="22"/>
          <w:lang w:val="es-CO"/>
        </w:rPr>
        <w:lastRenderedPageBreak/>
        <w:t>dispone en su numeral 2.8 que «la entidad debe justificar la inclusión o exclusión de anticipos basada en el estudio del sector y otros estudios que realice», estableciendo además al iniciar el capítulo VIII que la posibilidad de exigir garantías en estos procesos deberá ser consecuencia del «análisis de los riesgos del proceso y del sector económico».</w:t>
      </w:r>
    </w:p>
    <w:p w14:paraId="1C6833C0" w14:textId="4ABF4316" w:rsidR="003C3359" w:rsidRPr="00196BCD" w:rsidRDefault="003C3359" w:rsidP="003C3359">
      <w:pPr>
        <w:spacing w:before="120" w:after="120" w:line="276" w:lineRule="auto"/>
        <w:ind w:firstLine="708"/>
        <w:jc w:val="both"/>
        <w:rPr>
          <w:rFonts w:ascii="Arial" w:hAnsi="Arial" w:cs="Arial"/>
          <w:sz w:val="22"/>
          <w:lang w:val="es-CO"/>
        </w:rPr>
      </w:pPr>
      <w:bookmarkStart w:id="16" w:name="_Hlk56932599"/>
      <w:r w:rsidRPr="00196BCD">
        <w:rPr>
          <w:rFonts w:ascii="Arial" w:hAnsi="Arial" w:cs="Arial"/>
          <w:sz w:val="22"/>
          <w:lang w:val="es-CO"/>
        </w:rPr>
        <w:t xml:space="preserve">Lo dicho hasta aquí ilustra la importancia del análisis o estudio del sector para el desarrollo de los procesos de contratación, como un deber de las entidades en el marco de la planeación de su gestión contractual, cuyo ejercicio permite </w:t>
      </w:r>
      <w:r>
        <w:rPr>
          <w:rFonts w:ascii="Arial" w:hAnsi="Arial" w:cs="Arial"/>
          <w:sz w:val="22"/>
          <w:lang w:val="es-CO"/>
        </w:rPr>
        <w:t>consolidar</w:t>
      </w:r>
      <w:r w:rsidRPr="00196BCD">
        <w:rPr>
          <w:rFonts w:ascii="Arial" w:hAnsi="Arial" w:cs="Arial"/>
          <w:sz w:val="22"/>
          <w:lang w:val="es-CO"/>
        </w:rPr>
        <w:t xml:space="preserve"> información valiosa para la configuración de las condiciones del proce</w:t>
      </w:r>
      <w:r>
        <w:rPr>
          <w:rFonts w:ascii="Arial" w:hAnsi="Arial" w:cs="Arial"/>
          <w:sz w:val="22"/>
          <w:lang w:val="es-CO"/>
        </w:rPr>
        <w:t>dimiento</w:t>
      </w:r>
      <w:r w:rsidRPr="00196BCD">
        <w:rPr>
          <w:rFonts w:ascii="Arial" w:hAnsi="Arial" w:cs="Arial"/>
          <w:sz w:val="22"/>
          <w:lang w:val="es-CO"/>
        </w:rPr>
        <w:t xml:space="preserve"> de contratación, así como para el desarrollo </w:t>
      </w:r>
      <w:proofErr w:type="gramStart"/>
      <w:r w:rsidRPr="00196BCD">
        <w:rPr>
          <w:rFonts w:ascii="Arial" w:hAnsi="Arial" w:cs="Arial"/>
          <w:sz w:val="22"/>
          <w:lang w:val="es-CO"/>
        </w:rPr>
        <w:t>del mismo</w:t>
      </w:r>
      <w:proofErr w:type="gramEnd"/>
      <w:r w:rsidRPr="00196BCD">
        <w:rPr>
          <w:rFonts w:ascii="Arial" w:hAnsi="Arial" w:cs="Arial"/>
          <w:sz w:val="22"/>
          <w:lang w:val="es-CO"/>
        </w:rPr>
        <w:t xml:space="preserve"> en su etapa precontractual</w:t>
      </w:r>
      <w:r w:rsidR="0024798A">
        <w:rPr>
          <w:rFonts w:ascii="Arial" w:hAnsi="Arial" w:cs="Arial"/>
          <w:sz w:val="22"/>
          <w:lang w:val="es-CO"/>
        </w:rPr>
        <w:t>.</w:t>
      </w:r>
      <w:r w:rsidRPr="00196BCD">
        <w:rPr>
          <w:rFonts w:ascii="Arial" w:hAnsi="Arial" w:cs="Arial"/>
          <w:sz w:val="22"/>
          <w:lang w:val="es-CO"/>
        </w:rPr>
        <w:t xml:space="preserve"> </w:t>
      </w:r>
      <w:r w:rsidR="0024798A">
        <w:rPr>
          <w:rFonts w:ascii="Arial" w:hAnsi="Arial" w:cs="Arial"/>
          <w:sz w:val="22"/>
          <w:lang w:val="es-CO"/>
        </w:rPr>
        <w:t xml:space="preserve">El </w:t>
      </w:r>
      <w:r w:rsidR="0024798A" w:rsidRPr="00196BCD">
        <w:rPr>
          <w:rFonts w:ascii="Arial" w:hAnsi="Arial" w:cs="Arial"/>
          <w:sz w:val="22"/>
          <w:lang w:val="es-CO"/>
        </w:rPr>
        <w:t>análisis o estudio del sector</w:t>
      </w:r>
      <w:r w:rsidR="0024798A">
        <w:rPr>
          <w:rFonts w:ascii="Arial" w:hAnsi="Arial" w:cs="Arial"/>
          <w:sz w:val="22"/>
          <w:lang w:val="es-CO"/>
        </w:rPr>
        <w:t>,</w:t>
      </w:r>
      <w:r w:rsidR="0024798A" w:rsidRPr="00196BCD">
        <w:rPr>
          <w:rFonts w:ascii="Arial" w:hAnsi="Arial" w:cs="Arial"/>
          <w:sz w:val="22"/>
          <w:lang w:val="es-CO"/>
        </w:rPr>
        <w:t xml:space="preserve"> </w:t>
      </w:r>
      <w:r w:rsidRPr="00196BCD">
        <w:rPr>
          <w:rFonts w:ascii="Arial" w:hAnsi="Arial" w:cs="Arial"/>
          <w:sz w:val="22"/>
          <w:lang w:val="es-CO"/>
        </w:rPr>
        <w:t xml:space="preserve">al suponer un </w:t>
      </w:r>
      <w:proofErr w:type="gramStart"/>
      <w:r>
        <w:rPr>
          <w:rFonts w:ascii="Arial" w:hAnsi="Arial" w:cs="Arial"/>
          <w:sz w:val="22"/>
          <w:lang w:val="es-CO"/>
        </w:rPr>
        <w:t>análisis</w:t>
      </w:r>
      <w:r w:rsidRPr="00196BCD">
        <w:rPr>
          <w:rFonts w:ascii="Arial" w:hAnsi="Arial" w:cs="Arial"/>
          <w:sz w:val="22"/>
          <w:lang w:val="es-CO"/>
        </w:rPr>
        <w:t xml:space="preserve">  legal</w:t>
      </w:r>
      <w:proofErr w:type="gramEnd"/>
      <w:r w:rsidRPr="00196BCD">
        <w:rPr>
          <w:rFonts w:ascii="Arial" w:hAnsi="Arial" w:cs="Arial"/>
          <w:sz w:val="22"/>
          <w:lang w:val="es-CO"/>
        </w:rPr>
        <w:t>, comercial, financiero, organizacional, técnico y de riesgos del sector en donde tendrá lugar la contratación, implica mucho más que una labor dirigida a la determinación de los requisitos habilitantes e índices financieros aplicables a cada proceso.</w:t>
      </w:r>
    </w:p>
    <w:p w14:paraId="08C4364B" w14:textId="04C7A820" w:rsidR="0024798A" w:rsidRDefault="00E862A5" w:rsidP="0086436E">
      <w:pPr>
        <w:spacing w:after="120" w:line="276" w:lineRule="auto"/>
        <w:ind w:firstLine="709"/>
        <w:jc w:val="both"/>
        <w:rPr>
          <w:rFonts w:ascii="Arial" w:hAnsi="Arial" w:cs="Arial"/>
          <w:sz w:val="22"/>
        </w:rPr>
      </w:pPr>
      <w:bookmarkStart w:id="17" w:name="_Hlk56932814"/>
      <w:bookmarkEnd w:id="16"/>
      <w:r w:rsidRPr="00331868">
        <w:rPr>
          <w:rFonts w:ascii="Arial" w:eastAsiaTheme="minorEastAsia" w:hAnsi="Arial" w:cs="Arial"/>
          <w:i/>
          <w:iCs/>
          <w:sz w:val="22"/>
          <w:lang w:val="es-ES" w:eastAsia="es-CO"/>
        </w:rPr>
        <w:t>Por otra parte</w:t>
      </w:r>
      <w:r>
        <w:rPr>
          <w:rFonts w:ascii="Arial" w:eastAsiaTheme="minorEastAsia" w:hAnsi="Arial" w:cs="Arial"/>
          <w:sz w:val="22"/>
          <w:lang w:val="es-ES" w:eastAsia="es-CO"/>
        </w:rPr>
        <w:t>, e</w:t>
      </w:r>
      <w:r w:rsidR="00F049A2">
        <w:rPr>
          <w:rFonts w:ascii="Arial" w:eastAsiaTheme="minorEastAsia" w:hAnsi="Arial" w:cs="Arial"/>
          <w:sz w:val="22"/>
          <w:lang w:val="es-ES" w:eastAsia="es-CO"/>
        </w:rPr>
        <w:t>n relación con los estudios previos, e</w:t>
      </w:r>
      <w:r w:rsidR="00F049A2" w:rsidRPr="00183CA4">
        <w:rPr>
          <w:rFonts w:ascii="Arial" w:eastAsiaTheme="minorEastAsia" w:hAnsi="Arial" w:cs="Arial"/>
          <w:sz w:val="22"/>
          <w:lang w:val="es-ES" w:eastAsia="es-CO"/>
        </w:rPr>
        <w:t xml:space="preserve">l numeral 1.2.3 del anexo 3− Glosario, define los </w:t>
      </w:r>
      <w:r w:rsidR="00F049A2">
        <w:rPr>
          <w:rFonts w:ascii="Arial" w:hAnsi="Arial" w:cs="Arial"/>
          <w:sz w:val="22"/>
        </w:rPr>
        <w:t>e</w:t>
      </w:r>
      <w:r w:rsidR="00F049A2" w:rsidRPr="00183CA4">
        <w:rPr>
          <w:rFonts w:ascii="Arial" w:hAnsi="Arial" w:cs="Arial"/>
          <w:sz w:val="22"/>
        </w:rPr>
        <w:t xml:space="preserve">studios </w:t>
      </w:r>
      <w:r w:rsidR="00F049A2">
        <w:rPr>
          <w:rFonts w:ascii="Arial" w:hAnsi="Arial" w:cs="Arial"/>
          <w:sz w:val="22"/>
        </w:rPr>
        <w:t>p</w:t>
      </w:r>
      <w:r w:rsidR="00F049A2" w:rsidRPr="00183CA4">
        <w:rPr>
          <w:rFonts w:ascii="Arial" w:hAnsi="Arial" w:cs="Arial"/>
          <w:sz w:val="22"/>
        </w:rPr>
        <w:t xml:space="preserve">revios como «la justificación jurídica, técnica, económica y financiera del proyecto que realiza la Entidad de acuerdo con la Ley 80 de 1993, Ley 1150 de 2007 y el Decreto 1082 de 2015». </w:t>
      </w:r>
    </w:p>
    <w:p w14:paraId="091958DD" w14:textId="7A8980CE" w:rsidR="0024798A" w:rsidRDefault="0063294A" w:rsidP="0086436E">
      <w:pPr>
        <w:spacing w:after="120" w:line="276" w:lineRule="auto"/>
        <w:ind w:firstLine="709"/>
        <w:jc w:val="both"/>
        <w:rPr>
          <w:rFonts w:ascii="Arial" w:hAnsi="Arial" w:cs="Arial"/>
          <w:sz w:val="22"/>
        </w:rPr>
      </w:pPr>
      <w:r>
        <w:rPr>
          <w:rFonts w:ascii="Arial" w:hAnsi="Arial" w:cs="Arial"/>
          <w:sz w:val="22"/>
        </w:rPr>
        <w:t>L</w:t>
      </w:r>
      <w:r w:rsidR="00F049A2" w:rsidRPr="00183CA4">
        <w:rPr>
          <w:rFonts w:ascii="Arial" w:hAnsi="Arial" w:cs="Arial"/>
          <w:sz w:val="22"/>
        </w:rPr>
        <w:t xml:space="preserve">a introducción del «Documentos Base» para licitación pública y selección abreviada de menor cuantía, y la «Invitación», para procesos de mínima cuantía, se refieren a la disponibilidad de los documentos del proceso entre estos los </w:t>
      </w:r>
      <w:r w:rsidR="00F049A2" w:rsidRPr="00CF0681">
        <w:rPr>
          <w:rFonts w:ascii="Arial" w:hAnsi="Arial" w:cs="Arial"/>
          <w:i/>
          <w:iCs/>
          <w:sz w:val="22"/>
        </w:rPr>
        <w:t>estudios previos</w:t>
      </w:r>
      <w:r w:rsidR="00F049A2" w:rsidRPr="00183CA4">
        <w:rPr>
          <w:rFonts w:ascii="Arial" w:hAnsi="Arial" w:cs="Arial"/>
          <w:sz w:val="22"/>
        </w:rPr>
        <w:t xml:space="preserve"> en el Sistema</w:t>
      </w:r>
      <w:r w:rsidR="00F049A2" w:rsidRPr="00183CA4">
        <w:rPr>
          <w:rFonts w:ascii="Arial" w:eastAsia="Arial" w:hAnsi="Arial" w:cs="Arial"/>
          <w:sz w:val="22"/>
        </w:rPr>
        <w:t xml:space="preserve"> </w:t>
      </w:r>
      <w:r w:rsidR="00F049A2" w:rsidRPr="00183CA4">
        <w:rPr>
          <w:rFonts w:ascii="Arial" w:hAnsi="Arial" w:cs="Arial"/>
          <w:sz w:val="22"/>
        </w:rPr>
        <w:t>Electrónico</w:t>
      </w:r>
      <w:r w:rsidR="00F049A2" w:rsidRPr="00183CA4">
        <w:rPr>
          <w:rFonts w:ascii="Arial" w:eastAsia="Arial" w:hAnsi="Arial" w:cs="Arial"/>
          <w:sz w:val="22"/>
        </w:rPr>
        <w:t xml:space="preserve"> </w:t>
      </w:r>
      <w:r w:rsidR="00F049A2" w:rsidRPr="00183CA4">
        <w:rPr>
          <w:rFonts w:ascii="Arial" w:hAnsi="Arial" w:cs="Arial"/>
          <w:sz w:val="22"/>
        </w:rPr>
        <w:t>de</w:t>
      </w:r>
      <w:r w:rsidR="00F049A2" w:rsidRPr="00183CA4">
        <w:rPr>
          <w:rFonts w:ascii="Arial" w:eastAsia="Arial" w:hAnsi="Arial" w:cs="Arial"/>
          <w:sz w:val="22"/>
        </w:rPr>
        <w:t xml:space="preserve"> </w:t>
      </w:r>
      <w:r w:rsidR="00F049A2" w:rsidRPr="00183CA4">
        <w:rPr>
          <w:rFonts w:ascii="Arial" w:hAnsi="Arial" w:cs="Arial"/>
          <w:sz w:val="22"/>
        </w:rPr>
        <w:t>Contratación</w:t>
      </w:r>
      <w:r w:rsidR="00F049A2" w:rsidRPr="00183CA4">
        <w:rPr>
          <w:rFonts w:ascii="Arial" w:eastAsia="Arial" w:hAnsi="Arial" w:cs="Arial"/>
          <w:sz w:val="22"/>
        </w:rPr>
        <w:t xml:space="preserve"> </w:t>
      </w:r>
      <w:r w:rsidR="00F049A2" w:rsidRPr="00183CA4">
        <w:rPr>
          <w:rFonts w:ascii="Arial" w:hAnsi="Arial" w:cs="Arial"/>
          <w:sz w:val="22"/>
        </w:rPr>
        <w:t>Pública</w:t>
      </w:r>
      <w:r w:rsidR="00F049A2" w:rsidRPr="00183CA4">
        <w:rPr>
          <w:rFonts w:ascii="Arial" w:eastAsia="Arial" w:hAnsi="Arial" w:cs="Arial"/>
          <w:sz w:val="22"/>
        </w:rPr>
        <w:t xml:space="preserve"> </w:t>
      </w:r>
      <w:r w:rsidR="00F049A2" w:rsidRPr="00183CA4">
        <w:rPr>
          <w:rFonts w:ascii="Arial" w:hAnsi="Arial" w:cs="Arial"/>
          <w:sz w:val="22"/>
        </w:rPr>
        <w:t>–SECOP–. También, el numeral 1.1 del «Documento base», para licitación pública y selección abreviada de menor cuantía al referirse a la obra pública, establece que «tiene</w:t>
      </w:r>
      <w:r w:rsidR="00F049A2" w:rsidRPr="00183CA4">
        <w:rPr>
          <w:rFonts w:ascii="Arial" w:eastAsia="Arial" w:hAnsi="Arial" w:cs="Arial"/>
          <w:sz w:val="22"/>
        </w:rPr>
        <w:t xml:space="preserve"> </w:t>
      </w:r>
      <w:r w:rsidR="00F049A2" w:rsidRPr="00183CA4">
        <w:rPr>
          <w:rFonts w:ascii="Arial" w:hAnsi="Arial" w:cs="Arial"/>
          <w:sz w:val="22"/>
        </w:rPr>
        <w:t>las especificaciones</w:t>
      </w:r>
      <w:r w:rsidR="00F049A2" w:rsidRPr="00183CA4">
        <w:rPr>
          <w:rFonts w:ascii="Arial" w:eastAsia="Arial" w:hAnsi="Arial" w:cs="Arial"/>
          <w:sz w:val="22"/>
        </w:rPr>
        <w:t xml:space="preserve"> </w:t>
      </w:r>
      <w:r w:rsidR="00F049A2" w:rsidRPr="00183CA4">
        <w:rPr>
          <w:rFonts w:ascii="Arial" w:hAnsi="Arial" w:cs="Arial"/>
          <w:sz w:val="22"/>
        </w:rPr>
        <w:t>técnicas</w:t>
      </w:r>
      <w:r w:rsidR="00F049A2" w:rsidRPr="00183CA4">
        <w:rPr>
          <w:rFonts w:ascii="Arial" w:eastAsia="Arial" w:hAnsi="Arial" w:cs="Arial"/>
          <w:sz w:val="22"/>
        </w:rPr>
        <w:t xml:space="preserve"> </w:t>
      </w:r>
      <w:r w:rsidR="00F049A2" w:rsidRPr="00183CA4">
        <w:rPr>
          <w:rFonts w:ascii="Arial" w:hAnsi="Arial" w:cs="Arial"/>
          <w:sz w:val="22"/>
        </w:rPr>
        <w:t>descritas</w:t>
      </w:r>
      <w:r w:rsidR="00F049A2" w:rsidRPr="00183CA4">
        <w:rPr>
          <w:rFonts w:ascii="Arial" w:eastAsia="Arial" w:hAnsi="Arial" w:cs="Arial"/>
          <w:sz w:val="22"/>
        </w:rPr>
        <w:t xml:space="preserve"> </w:t>
      </w:r>
      <w:r w:rsidR="00F049A2" w:rsidRPr="00183CA4">
        <w:rPr>
          <w:rFonts w:ascii="Arial" w:hAnsi="Arial" w:cs="Arial"/>
          <w:sz w:val="22"/>
        </w:rPr>
        <w:t>en</w:t>
      </w:r>
      <w:r w:rsidR="00F049A2" w:rsidRPr="00183CA4">
        <w:rPr>
          <w:rFonts w:ascii="Arial" w:eastAsia="Arial" w:hAnsi="Arial" w:cs="Arial"/>
          <w:sz w:val="22"/>
        </w:rPr>
        <w:t xml:space="preserve"> </w:t>
      </w:r>
      <w:r w:rsidR="00F049A2" w:rsidRPr="00183CA4">
        <w:rPr>
          <w:rFonts w:ascii="Arial" w:hAnsi="Arial" w:cs="Arial"/>
          <w:sz w:val="22"/>
        </w:rPr>
        <w:t>el</w:t>
      </w:r>
      <w:r w:rsidR="00F049A2" w:rsidRPr="00183CA4">
        <w:rPr>
          <w:rFonts w:ascii="Arial" w:eastAsia="Arial" w:hAnsi="Arial" w:cs="Arial"/>
          <w:sz w:val="22"/>
        </w:rPr>
        <w:t xml:space="preserve"> </w:t>
      </w:r>
      <w:r w:rsidR="00F049A2" w:rsidRPr="00183CA4">
        <w:rPr>
          <w:rFonts w:ascii="Arial" w:hAnsi="Arial" w:cs="Arial"/>
          <w:sz w:val="22"/>
        </w:rPr>
        <w:fldChar w:fldCharType="begin"/>
      </w:r>
      <w:r w:rsidR="00F049A2" w:rsidRPr="00183CA4">
        <w:rPr>
          <w:rFonts w:ascii="Arial" w:hAnsi="Arial" w:cs="Arial"/>
          <w:sz w:val="22"/>
        </w:rPr>
        <w:instrText xml:space="preserve"> REF _Ref511379193 \h  \* MERGEFORMAT </w:instrText>
      </w:r>
      <w:r w:rsidR="00F049A2" w:rsidRPr="00183CA4">
        <w:rPr>
          <w:rFonts w:ascii="Arial" w:hAnsi="Arial" w:cs="Arial"/>
          <w:sz w:val="22"/>
        </w:rPr>
      </w:r>
      <w:r w:rsidR="00F049A2" w:rsidRPr="00183CA4">
        <w:rPr>
          <w:rFonts w:ascii="Arial" w:hAnsi="Arial" w:cs="Arial"/>
          <w:sz w:val="22"/>
        </w:rPr>
        <w:fldChar w:fldCharType="separate"/>
      </w:r>
      <w:r w:rsidR="00F049A2" w:rsidRPr="00183CA4">
        <w:rPr>
          <w:rFonts w:ascii="Arial" w:hAnsi="Arial" w:cs="Arial"/>
          <w:sz w:val="22"/>
        </w:rPr>
        <w:t>Anexo 1 – Anexo Técnico</w:t>
      </w:r>
      <w:r w:rsidR="00F049A2" w:rsidRPr="00183CA4">
        <w:rPr>
          <w:rFonts w:ascii="Arial" w:hAnsi="Arial" w:cs="Arial"/>
          <w:sz w:val="22"/>
        </w:rPr>
        <w:fldChar w:fldCharType="end"/>
      </w:r>
      <w:r w:rsidR="00F049A2" w:rsidRPr="00183CA4">
        <w:rPr>
          <w:rFonts w:ascii="Arial" w:hAnsi="Arial" w:cs="Arial"/>
          <w:sz w:val="22"/>
        </w:rPr>
        <w:t xml:space="preserve"> y el Estudio Previo, los cuales incluyen la descripción de las obras e información técnica […], mientras que la </w:t>
      </w:r>
      <w:r w:rsidR="00F049A2" w:rsidRPr="00183CA4">
        <w:rPr>
          <w:rFonts w:ascii="Arial" w:hAnsi="Arial" w:cs="Arial"/>
          <w:sz w:val="22"/>
          <w:lang w:val="es-CO"/>
        </w:rPr>
        <w:t>«Invitación» para procesos de mínima cuantía en el numeral</w:t>
      </w:r>
      <w:r w:rsidR="00F049A2" w:rsidRPr="00183CA4">
        <w:rPr>
          <w:rFonts w:ascii="Arial" w:hAnsi="Arial" w:cs="Arial"/>
          <w:sz w:val="22"/>
        </w:rPr>
        <w:t xml:space="preserve"> 1.1 consagra que «la</w:t>
      </w:r>
      <w:r w:rsidR="00F049A2" w:rsidRPr="00183CA4">
        <w:rPr>
          <w:rFonts w:ascii="Arial" w:eastAsia="Arial" w:hAnsi="Arial" w:cs="Arial"/>
          <w:sz w:val="22"/>
        </w:rPr>
        <w:t xml:space="preserve"> </w:t>
      </w:r>
      <w:r w:rsidR="00F049A2" w:rsidRPr="00183CA4">
        <w:rPr>
          <w:rFonts w:ascii="Arial" w:hAnsi="Arial" w:cs="Arial"/>
          <w:sz w:val="22"/>
        </w:rPr>
        <w:t>obra</w:t>
      </w:r>
      <w:r w:rsidR="00F049A2" w:rsidRPr="00183CA4">
        <w:rPr>
          <w:rFonts w:ascii="Arial" w:eastAsia="Arial" w:hAnsi="Arial" w:cs="Arial"/>
          <w:sz w:val="22"/>
        </w:rPr>
        <w:t xml:space="preserve"> </w:t>
      </w:r>
      <w:r w:rsidR="00F049A2" w:rsidRPr="00183CA4">
        <w:rPr>
          <w:rFonts w:ascii="Arial" w:hAnsi="Arial" w:cs="Arial"/>
          <w:sz w:val="22"/>
        </w:rPr>
        <w:t>pública</w:t>
      </w:r>
      <w:r w:rsidR="00F049A2" w:rsidRPr="00183CA4">
        <w:rPr>
          <w:rFonts w:ascii="Arial" w:eastAsia="Arial" w:hAnsi="Arial" w:cs="Arial"/>
          <w:sz w:val="22"/>
        </w:rPr>
        <w:t xml:space="preserve"> </w:t>
      </w:r>
      <w:r w:rsidR="00F049A2" w:rsidRPr="00183CA4">
        <w:rPr>
          <w:rFonts w:ascii="Arial" w:hAnsi="Arial" w:cs="Arial"/>
          <w:sz w:val="22"/>
        </w:rPr>
        <w:t>tiene</w:t>
      </w:r>
      <w:r w:rsidR="00F049A2" w:rsidRPr="00183CA4">
        <w:rPr>
          <w:rFonts w:ascii="Arial" w:eastAsia="Arial" w:hAnsi="Arial" w:cs="Arial"/>
          <w:sz w:val="22"/>
        </w:rPr>
        <w:t xml:space="preserve"> </w:t>
      </w:r>
      <w:r w:rsidR="00F049A2" w:rsidRPr="00183CA4">
        <w:rPr>
          <w:rFonts w:ascii="Arial" w:hAnsi="Arial" w:cs="Arial"/>
          <w:sz w:val="22"/>
        </w:rPr>
        <w:t>las especificaciones</w:t>
      </w:r>
      <w:r w:rsidR="00F049A2" w:rsidRPr="00183CA4">
        <w:rPr>
          <w:rFonts w:ascii="Arial" w:eastAsia="Arial" w:hAnsi="Arial" w:cs="Arial"/>
          <w:sz w:val="22"/>
        </w:rPr>
        <w:t xml:space="preserve"> </w:t>
      </w:r>
      <w:r w:rsidR="00F049A2" w:rsidRPr="00183CA4">
        <w:rPr>
          <w:rFonts w:ascii="Arial" w:hAnsi="Arial" w:cs="Arial"/>
          <w:sz w:val="22"/>
        </w:rPr>
        <w:t>técnicas</w:t>
      </w:r>
      <w:r w:rsidR="00F049A2" w:rsidRPr="00183CA4">
        <w:rPr>
          <w:rFonts w:ascii="Arial" w:eastAsia="Arial" w:hAnsi="Arial" w:cs="Arial"/>
          <w:sz w:val="22"/>
        </w:rPr>
        <w:t xml:space="preserve"> </w:t>
      </w:r>
      <w:r w:rsidR="00F049A2" w:rsidRPr="00183CA4">
        <w:rPr>
          <w:rFonts w:ascii="Arial" w:hAnsi="Arial" w:cs="Arial"/>
          <w:sz w:val="22"/>
        </w:rPr>
        <w:t>descritas</w:t>
      </w:r>
      <w:r w:rsidR="00F049A2" w:rsidRPr="00183CA4">
        <w:rPr>
          <w:rFonts w:ascii="Arial" w:eastAsia="Arial" w:hAnsi="Arial" w:cs="Arial"/>
          <w:sz w:val="22"/>
        </w:rPr>
        <w:t xml:space="preserve"> </w:t>
      </w:r>
      <w:r w:rsidR="00F049A2" w:rsidRPr="00183CA4">
        <w:rPr>
          <w:rFonts w:ascii="Arial" w:hAnsi="Arial" w:cs="Arial"/>
          <w:sz w:val="22"/>
        </w:rPr>
        <w:t>en</w:t>
      </w:r>
      <w:r w:rsidR="00F049A2" w:rsidRPr="00183CA4">
        <w:rPr>
          <w:rFonts w:ascii="Arial" w:eastAsia="Arial" w:hAnsi="Arial" w:cs="Arial"/>
          <w:sz w:val="22"/>
        </w:rPr>
        <w:t xml:space="preserve"> </w:t>
      </w:r>
      <w:r w:rsidR="00F049A2" w:rsidRPr="00183CA4">
        <w:rPr>
          <w:rFonts w:ascii="Arial" w:hAnsi="Arial" w:cs="Arial"/>
          <w:sz w:val="22"/>
        </w:rPr>
        <w:t>el</w:t>
      </w:r>
      <w:r w:rsidR="00F049A2" w:rsidRPr="00183CA4">
        <w:rPr>
          <w:rFonts w:ascii="Arial" w:eastAsia="Arial" w:hAnsi="Arial" w:cs="Arial"/>
          <w:sz w:val="22"/>
        </w:rPr>
        <w:t xml:space="preserve"> </w:t>
      </w:r>
      <w:r w:rsidR="00F049A2" w:rsidRPr="00183CA4">
        <w:rPr>
          <w:rFonts w:ascii="Arial" w:hAnsi="Arial" w:cs="Arial"/>
          <w:sz w:val="22"/>
        </w:rPr>
        <w:fldChar w:fldCharType="begin"/>
      </w:r>
      <w:r w:rsidR="00F049A2" w:rsidRPr="00183CA4">
        <w:rPr>
          <w:rFonts w:ascii="Arial" w:hAnsi="Arial" w:cs="Arial"/>
          <w:sz w:val="22"/>
        </w:rPr>
        <w:instrText xml:space="preserve"> REF _Ref511379193 \h  \* MERGEFORMAT </w:instrText>
      </w:r>
      <w:r w:rsidR="00F049A2" w:rsidRPr="00183CA4">
        <w:rPr>
          <w:rFonts w:ascii="Arial" w:hAnsi="Arial" w:cs="Arial"/>
          <w:sz w:val="22"/>
        </w:rPr>
      </w:r>
      <w:r w:rsidR="00F049A2" w:rsidRPr="00183CA4">
        <w:rPr>
          <w:rFonts w:ascii="Arial" w:hAnsi="Arial" w:cs="Arial"/>
          <w:sz w:val="22"/>
        </w:rPr>
        <w:fldChar w:fldCharType="separate"/>
      </w:r>
      <w:r w:rsidR="00F049A2" w:rsidRPr="00183CA4">
        <w:rPr>
          <w:rFonts w:ascii="Arial" w:hAnsi="Arial" w:cs="Arial"/>
          <w:sz w:val="22"/>
        </w:rPr>
        <w:t>Anexo 1 – Anexo Técnico</w:t>
      </w:r>
      <w:r w:rsidR="00F049A2" w:rsidRPr="00183CA4">
        <w:rPr>
          <w:rFonts w:ascii="Arial" w:hAnsi="Arial" w:cs="Arial"/>
          <w:sz w:val="22"/>
        </w:rPr>
        <w:fldChar w:fldCharType="end"/>
      </w:r>
      <w:r w:rsidR="00F049A2" w:rsidRPr="00183CA4">
        <w:rPr>
          <w:rFonts w:ascii="Arial" w:hAnsi="Arial" w:cs="Arial"/>
          <w:sz w:val="22"/>
        </w:rPr>
        <w:t xml:space="preserve"> y el Estudio Previo, los cuales incluyen la descripción de las obras e información técnica […]».</w:t>
      </w:r>
    </w:p>
    <w:p w14:paraId="7800B0F1" w14:textId="081F4CFC" w:rsidR="00F049A2" w:rsidRPr="00183CA4" w:rsidRDefault="00F049A2" w:rsidP="0086436E">
      <w:pPr>
        <w:spacing w:after="120" w:line="276" w:lineRule="auto"/>
        <w:ind w:firstLine="709"/>
        <w:jc w:val="both"/>
        <w:rPr>
          <w:rFonts w:ascii="Arial" w:eastAsia="Arial Narrow" w:hAnsi="Arial" w:cs="Arial"/>
          <w:sz w:val="22"/>
          <w:lang w:eastAsia="es-ES"/>
        </w:rPr>
      </w:pPr>
      <w:r w:rsidRPr="00183CA4">
        <w:rPr>
          <w:rFonts w:ascii="Arial" w:hAnsi="Arial" w:cs="Arial"/>
          <w:sz w:val="22"/>
        </w:rPr>
        <w:t xml:space="preserve">En relación con la acreditación de la experiencia el numeral 3.5 del «Documentos Base» para licitación pública y selección abreviada y 4.5 de «la invitación», para los procesos </w:t>
      </w:r>
      <w:r w:rsidRPr="00183CA4">
        <w:rPr>
          <w:rFonts w:ascii="Arial" w:hAnsi="Arial" w:cs="Arial"/>
          <w:sz w:val="22"/>
          <w:lang w:val="es-CO"/>
        </w:rPr>
        <w:t>de mínima cuantía</w:t>
      </w:r>
      <w:r w:rsidRPr="00183CA4">
        <w:rPr>
          <w:rFonts w:ascii="Arial" w:hAnsi="Arial" w:cs="Arial"/>
          <w:sz w:val="22"/>
        </w:rPr>
        <w:t xml:space="preserve"> señalan que «</w:t>
      </w:r>
      <w:r w:rsidRPr="00183CA4">
        <w:rPr>
          <w:rFonts w:ascii="Arial" w:eastAsia="Arial Narrow" w:hAnsi="Arial" w:cs="Arial"/>
          <w:sz w:val="22"/>
          <w:lang w:eastAsia="es-ES"/>
        </w:rPr>
        <w:t xml:space="preserve">de acuerdo con el estudio de sector es necesario que el proponente acredite la experiencia de su matriz, como en los casos de contratos de franquicia, la entidad estatal debe justificar dicha circunstancia en los </w:t>
      </w:r>
      <w:r w:rsidRPr="00CF0681">
        <w:rPr>
          <w:rFonts w:ascii="Arial" w:eastAsia="Arial Narrow" w:hAnsi="Arial" w:cs="Arial"/>
          <w:i/>
          <w:iCs/>
          <w:sz w:val="22"/>
          <w:lang w:eastAsia="es-ES"/>
        </w:rPr>
        <w:t>estudios y documentos previos</w:t>
      </w:r>
      <w:r w:rsidRPr="00183CA4">
        <w:rPr>
          <w:rFonts w:ascii="Arial" w:eastAsia="Arial Narrow" w:hAnsi="Arial" w:cs="Arial"/>
          <w:sz w:val="22"/>
          <w:lang w:eastAsia="es-ES"/>
        </w:rPr>
        <w:t>».</w:t>
      </w:r>
    </w:p>
    <w:bookmarkEnd w:id="17"/>
    <w:p w14:paraId="4D910835" w14:textId="5FE66348" w:rsidR="00F049A2" w:rsidRPr="00183CA4" w:rsidRDefault="00F049A2" w:rsidP="007F04EE">
      <w:pPr>
        <w:pStyle w:val="clusulas"/>
        <w:numPr>
          <w:ilvl w:val="0"/>
          <w:numId w:val="0"/>
        </w:numPr>
        <w:spacing w:before="0" w:line="276" w:lineRule="auto"/>
        <w:ind w:firstLine="709"/>
        <w:rPr>
          <w:rFonts w:ascii="Arial" w:eastAsia="Times New Roman" w:hAnsi="Arial" w:cs="Arial"/>
          <w:b w:val="0"/>
          <w:sz w:val="22"/>
          <w:lang w:val="es-ES" w:eastAsia="es-CO"/>
        </w:rPr>
      </w:pPr>
      <w:r>
        <w:rPr>
          <w:rFonts w:ascii="Arial" w:eastAsia="Arial Narrow" w:hAnsi="Arial" w:cs="Arial"/>
          <w:b w:val="0"/>
          <w:sz w:val="22"/>
          <w:lang w:eastAsia="es-ES"/>
        </w:rPr>
        <w:lastRenderedPageBreak/>
        <w:t xml:space="preserve">Respecto a </w:t>
      </w:r>
      <w:r w:rsidRPr="00183CA4">
        <w:rPr>
          <w:rFonts w:ascii="Arial" w:eastAsia="Arial Narrow" w:hAnsi="Arial" w:cs="Arial"/>
          <w:b w:val="0"/>
          <w:sz w:val="22"/>
          <w:lang w:eastAsia="es-ES"/>
        </w:rPr>
        <w:t xml:space="preserve">la visita al sitio de la obra </w:t>
      </w:r>
      <w:r w:rsidRPr="00183CA4">
        <w:rPr>
          <w:rFonts w:ascii="Arial" w:eastAsia="Arial" w:hAnsi="Arial" w:cs="Arial"/>
          <w:b w:val="0"/>
          <w:sz w:val="22"/>
        </w:rPr>
        <w:t xml:space="preserve">en el numeral 3.6 </w:t>
      </w:r>
      <w:r w:rsidRPr="00183CA4">
        <w:rPr>
          <w:rFonts w:ascii="Arial" w:hAnsi="Arial" w:cs="Arial"/>
          <w:b w:val="0"/>
          <w:sz w:val="22"/>
        </w:rPr>
        <w:t>del «Documentos Base» para licitación pública y selección abreviada de menor cuantía se</w:t>
      </w:r>
      <w:r w:rsidRPr="00183CA4">
        <w:rPr>
          <w:rFonts w:ascii="Arial" w:eastAsia="Arial" w:hAnsi="Arial" w:cs="Arial"/>
          <w:b w:val="0"/>
          <w:sz w:val="22"/>
        </w:rPr>
        <w:t xml:space="preserve"> establece que «</w:t>
      </w:r>
      <w:r w:rsidRPr="00183CA4">
        <w:rPr>
          <w:rFonts w:ascii="Arial" w:hAnsi="Arial" w:cs="Arial"/>
          <w:b w:val="0"/>
          <w:sz w:val="22"/>
        </w:rPr>
        <w:t xml:space="preserve">[l]a Entidad Estatal deberá incluir este acápite cuando se justifique su necesidad en los </w:t>
      </w:r>
      <w:r w:rsidRPr="00D51CD1">
        <w:rPr>
          <w:rFonts w:ascii="Arial" w:hAnsi="Arial" w:cs="Arial"/>
          <w:b w:val="0"/>
          <w:i/>
          <w:iCs/>
          <w:sz w:val="22"/>
        </w:rPr>
        <w:t>estudios previos</w:t>
      </w:r>
      <w:r w:rsidRPr="00183CA4">
        <w:rPr>
          <w:rFonts w:ascii="Arial" w:hAnsi="Arial" w:cs="Arial"/>
          <w:b w:val="0"/>
          <w:sz w:val="22"/>
        </w:rPr>
        <w:t>». Por otra parte en el numeral 4.1 del «Documentos Base» para licitación pública y selección abreviada de menor cuantía y 5.1 de la «Invitación»</w:t>
      </w:r>
      <w:r w:rsidR="007F04EE">
        <w:rPr>
          <w:rFonts w:ascii="Arial" w:hAnsi="Arial" w:cs="Arial"/>
          <w:b w:val="0"/>
          <w:sz w:val="22"/>
        </w:rPr>
        <w:t xml:space="preserve"> </w:t>
      </w:r>
      <w:r w:rsidR="007F04EE" w:rsidRPr="00183CA4">
        <w:rPr>
          <w:rFonts w:ascii="Arial" w:hAnsi="Arial" w:cs="Arial"/>
          <w:b w:val="0"/>
          <w:sz w:val="22"/>
        </w:rPr>
        <w:t>para los procesos de mínima cuantía</w:t>
      </w:r>
      <w:r w:rsidRPr="00183CA4">
        <w:rPr>
          <w:rFonts w:ascii="Arial" w:hAnsi="Arial" w:cs="Arial"/>
          <w:b w:val="0"/>
          <w:sz w:val="22"/>
        </w:rPr>
        <w:t xml:space="preserve">, señalan que «[s]i existe alguna duda o interrogante sobre la presentación de estos Análisis de Precios Unitarios y el precio de </w:t>
      </w:r>
      <w:r w:rsidRPr="005851F8">
        <w:rPr>
          <w:rFonts w:ascii="Arial" w:hAnsi="Arial" w:cs="Arial"/>
          <w:b w:val="0"/>
          <w:i/>
          <w:iCs/>
          <w:sz w:val="22"/>
        </w:rPr>
        <w:t>estudios</w:t>
      </w:r>
      <w:r w:rsidRPr="00183CA4">
        <w:rPr>
          <w:rFonts w:ascii="Arial" w:hAnsi="Arial" w:cs="Arial"/>
          <w:b w:val="0"/>
          <w:sz w:val="22"/>
        </w:rPr>
        <w:t xml:space="preserve"> publicados por la Entidad, es deber de los Proponente hacerlos conocer» dentro del plazo establecido en el </w:t>
      </w:r>
      <w:r w:rsidRPr="00183CA4">
        <w:rPr>
          <w:rFonts w:ascii="Arial" w:hAnsi="Arial" w:cs="Arial"/>
          <w:b w:val="0"/>
          <w:sz w:val="22"/>
        </w:rPr>
        <w:fldChar w:fldCharType="begin"/>
      </w:r>
      <w:r w:rsidRPr="00183CA4">
        <w:rPr>
          <w:rFonts w:ascii="Arial" w:hAnsi="Arial" w:cs="Arial"/>
          <w:b w:val="0"/>
          <w:sz w:val="22"/>
        </w:rPr>
        <w:instrText xml:space="preserve"> REF _Ref508648948 \h  \* MERGEFORMAT </w:instrText>
      </w:r>
      <w:r w:rsidRPr="00183CA4">
        <w:rPr>
          <w:rFonts w:ascii="Arial" w:hAnsi="Arial" w:cs="Arial"/>
          <w:b w:val="0"/>
          <w:sz w:val="22"/>
        </w:rPr>
      </w:r>
      <w:r w:rsidRPr="00183CA4">
        <w:rPr>
          <w:rFonts w:ascii="Arial" w:hAnsi="Arial" w:cs="Arial"/>
          <w:b w:val="0"/>
          <w:sz w:val="22"/>
        </w:rPr>
        <w:fldChar w:fldCharType="separate"/>
      </w:r>
      <w:r w:rsidRPr="00183CA4">
        <w:rPr>
          <w:rFonts w:ascii="Arial" w:eastAsia="Arial" w:hAnsi="Arial" w:cs="Arial"/>
          <w:b w:val="0"/>
          <w:sz w:val="22"/>
        </w:rPr>
        <w:t>Anexo 2 – Cronograma</w:t>
      </w:r>
      <w:r w:rsidRPr="00183CA4">
        <w:rPr>
          <w:rFonts w:ascii="Arial" w:hAnsi="Arial" w:cs="Arial"/>
          <w:b w:val="0"/>
          <w:sz w:val="22"/>
        </w:rPr>
        <w:fldChar w:fldCharType="end"/>
      </w:r>
      <w:r w:rsidRPr="00183CA4">
        <w:rPr>
          <w:rFonts w:ascii="Arial" w:hAnsi="Arial" w:cs="Arial"/>
          <w:b w:val="0"/>
          <w:sz w:val="22"/>
        </w:rPr>
        <w:t xml:space="preserve"> para licitación pública y selección abreviada y dentro del plazo establecido en el Pacto de Transparencia para los procesos de mínima cuantía. </w:t>
      </w:r>
      <w:r w:rsidRPr="00183CA4">
        <w:rPr>
          <w:rFonts w:ascii="Arial" w:eastAsiaTheme="minorEastAsia" w:hAnsi="Arial" w:cs="Arial"/>
          <w:b w:val="0"/>
          <w:sz w:val="22"/>
          <w:lang w:val="es-ES" w:eastAsia="es-CO"/>
        </w:rPr>
        <w:t>Por último,</w:t>
      </w:r>
      <w:r w:rsidRPr="00183CA4">
        <w:rPr>
          <w:rFonts w:ascii="Arial" w:hAnsi="Arial" w:cs="Arial"/>
          <w:b w:val="0"/>
          <w:sz w:val="22"/>
        </w:rPr>
        <w:t xml:space="preserve"> en relación con el numeral 4.2, para licitación pública y selección abreviada de menor cuantía, se establece que la entidad asignará el puntaje del factor de calidad, de acuerdo a la información que se consigné en «</w:t>
      </w:r>
      <w:r w:rsidRPr="00183CA4">
        <w:rPr>
          <w:rFonts w:ascii="Arial" w:eastAsiaTheme="minorEastAsia" w:hAnsi="Arial" w:cs="Arial"/>
          <w:b w:val="0"/>
          <w:sz w:val="22"/>
          <w:lang w:val="es-ES" w:eastAsia="es-CO"/>
        </w:rPr>
        <w:t xml:space="preserve">en el Estudio del Sector y </w:t>
      </w:r>
      <w:r w:rsidRPr="00A779E3">
        <w:rPr>
          <w:rFonts w:ascii="Arial" w:eastAsiaTheme="minorEastAsia" w:hAnsi="Arial" w:cs="Arial"/>
          <w:b w:val="0"/>
          <w:i/>
          <w:iCs/>
          <w:sz w:val="22"/>
          <w:lang w:val="es-ES" w:eastAsia="es-CO"/>
        </w:rPr>
        <w:t xml:space="preserve">Estudios y </w:t>
      </w:r>
      <w:proofErr w:type="spellStart"/>
      <w:r w:rsidRPr="00A779E3">
        <w:rPr>
          <w:rFonts w:ascii="Arial" w:hAnsi="Arial" w:cs="Arial"/>
          <w:b w:val="0"/>
          <w:i/>
          <w:iCs/>
          <w:sz w:val="22"/>
        </w:rPr>
        <w:t>Document</w:t>
      </w:r>
      <w:proofErr w:type="spellEnd"/>
      <w:r w:rsidRPr="00A779E3">
        <w:rPr>
          <w:rFonts w:ascii="Arial" w:eastAsia="Times New Roman" w:hAnsi="Arial" w:cs="Arial"/>
          <w:b w:val="0"/>
          <w:i/>
          <w:iCs/>
          <w:sz w:val="22"/>
          <w:lang w:val="es-ES" w:eastAsia="es-CO"/>
        </w:rPr>
        <w:t>os Previos</w:t>
      </w:r>
      <w:r w:rsidRPr="00183CA4">
        <w:rPr>
          <w:rFonts w:ascii="Arial" w:eastAsia="Times New Roman" w:hAnsi="Arial" w:cs="Arial"/>
          <w:b w:val="0"/>
          <w:sz w:val="22"/>
          <w:lang w:val="es-ES" w:eastAsia="es-CO"/>
        </w:rPr>
        <w:t xml:space="preserve">». </w:t>
      </w:r>
    </w:p>
    <w:p w14:paraId="4FF4C06E" w14:textId="0A4B1AB0" w:rsidR="00F049A2" w:rsidRDefault="00F049A2" w:rsidP="007F04EE">
      <w:pPr>
        <w:pStyle w:val="clusulas"/>
        <w:numPr>
          <w:ilvl w:val="0"/>
          <w:numId w:val="0"/>
        </w:numPr>
        <w:spacing w:before="0" w:line="276" w:lineRule="auto"/>
        <w:ind w:firstLine="709"/>
        <w:rPr>
          <w:rFonts w:ascii="Arial" w:hAnsi="Arial" w:cs="Arial"/>
          <w:b w:val="0"/>
          <w:sz w:val="22"/>
        </w:rPr>
      </w:pPr>
      <w:r w:rsidRPr="00183CA4">
        <w:rPr>
          <w:rFonts w:ascii="Arial" w:eastAsia="Times New Roman" w:hAnsi="Arial" w:cs="Arial"/>
          <w:b w:val="0"/>
          <w:sz w:val="22"/>
          <w:lang w:val="es-ES" w:eastAsia="es-CO"/>
        </w:rPr>
        <w:t xml:space="preserve">De igual forma </w:t>
      </w:r>
      <w:r>
        <w:rPr>
          <w:rFonts w:ascii="Arial" w:eastAsia="Times New Roman" w:hAnsi="Arial" w:cs="Arial"/>
          <w:b w:val="0"/>
          <w:sz w:val="22"/>
          <w:lang w:val="es-ES" w:eastAsia="es-CO"/>
        </w:rPr>
        <w:t>l</w:t>
      </w:r>
      <w:r w:rsidRPr="00183CA4">
        <w:rPr>
          <w:rFonts w:ascii="Arial" w:eastAsia="Times New Roman" w:hAnsi="Arial" w:cs="Arial"/>
          <w:b w:val="0"/>
          <w:sz w:val="22"/>
          <w:lang w:val="es-ES" w:eastAsia="es-CO"/>
        </w:rPr>
        <w:t>os estudios</w:t>
      </w:r>
      <w:r w:rsidRPr="00183CA4">
        <w:rPr>
          <w:rFonts w:ascii="Arial" w:hAnsi="Arial" w:cs="Arial"/>
          <w:b w:val="0"/>
          <w:sz w:val="22"/>
        </w:rPr>
        <w:t xml:space="preserve"> </w:t>
      </w:r>
      <w:r>
        <w:rPr>
          <w:rFonts w:ascii="Arial" w:hAnsi="Arial" w:cs="Arial"/>
          <w:b w:val="0"/>
          <w:sz w:val="22"/>
        </w:rPr>
        <w:t xml:space="preserve">previos </w:t>
      </w:r>
      <w:r w:rsidRPr="00183CA4">
        <w:rPr>
          <w:rFonts w:ascii="Arial" w:hAnsi="Arial" w:cs="Arial"/>
          <w:b w:val="0"/>
          <w:sz w:val="22"/>
        </w:rPr>
        <w:t xml:space="preserve">se encuentran previstos en el </w:t>
      </w:r>
      <w:r w:rsidR="00D2504D">
        <w:rPr>
          <w:rFonts w:ascii="Arial" w:hAnsi="Arial" w:cs="Arial"/>
          <w:b w:val="0"/>
          <w:sz w:val="22"/>
        </w:rPr>
        <w:t>«</w:t>
      </w:r>
      <w:r w:rsidRPr="00183CA4">
        <w:rPr>
          <w:rFonts w:ascii="Arial" w:hAnsi="Arial" w:cs="Arial"/>
          <w:b w:val="0"/>
          <w:sz w:val="22"/>
        </w:rPr>
        <w:t>Anexo 1</w:t>
      </w:r>
      <w:r w:rsidR="00D2504D">
        <w:rPr>
          <w:rFonts w:ascii="Arial" w:hAnsi="Arial" w:cs="Arial"/>
          <w:b w:val="0"/>
          <w:sz w:val="22"/>
        </w:rPr>
        <w:t>–</w:t>
      </w:r>
      <w:r>
        <w:rPr>
          <w:rFonts w:ascii="Arial" w:hAnsi="Arial" w:cs="Arial"/>
          <w:b w:val="0"/>
          <w:sz w:val="22"/>
        </w:rPr>
        <w:t>A</w:t>
      </w:r>
      <w:r w:rsidRPr="00183CA4">
        <w:rPr>
          <w:rFonts w:ascii="Arial" w:hAnsi="Arial" w:cs="Arial"/>
          <w:b w:val="0"/>
          <w:sz w:val="22"/>
        </w:rPr>
        <w:t>nexo</w:t>
      </w:r>
      <w:r w:rsidR="00D2504D">
        <w:rPr>
          <w:rFonts w:ascii="Arial" w:hAnsi="Arial" w:cs="Arial"/>
          <w:b w:val="0"/>
          <w:sz w:val="22"/>
        </w:rPr>
        <w:t>»</w:t>
      </w:r>
      <w:r w:rsidRPr="00183CA4">
        <w:rPr>
          <w:rFonts w:ascii="Arial" w:hAnsi="Arial" w:cs="Arial"/>
          <w:b w:val="0"/>
          <w:sz w:val="22"/>
        </w:rPr>
        <w:t xml:space="preserve"> técnico de la siguiente manera: i) el numeral 7 </w:t>
      </w:r>
      <w:r w:rsidRPr="00183CA4">
        <w:rPr>
          <w:rFonts w:ascii="Arial" w:hAnsi="Arial" w:cs="Arial"/>
          <w:b w:val="0"/>
          <w:sz w:val="22"/>
          <w:lang w:val="es-ES"/>
        </w:rPr>
        <w:t xml:space="preserve">literal a) </w:t>
      </w:r>
      <w:r w:rsidRPr="00183CA4">
        <w:rPr>
          <w:rFonts w:ascii="Arial" w:hAnsi="Arial" w:cs="Arial"/>
          <w:b w:val="0"/>
          <w:sz w:val="22"/>
        </w:rPr>
        <w:t>para licitación pública y selección abreviada de menor cuantía y 2.10</w:t>
      </w:r>
      <w:r>
        <w:rPr>
          <w:rFonts w:ascii="Arial" w:hAnsi="Arial" w:cs="Arial"/>
          <w:b w:val="0"/>
          <w:sz w:val="22"/>
        </w:rPr>
        <w:t>, literal a)</w:t>
      </w:r>
      <w:r w:rsidRPr="00183CA4">
        <w:rPr>
          <w:rFonts w:ascii="Arial" w:hAnsi="Arial" w:cs="Arial"/>
          <w:b w:val="0"/>
          <w:sz w:val="22"/>
        </w:rPr>
        <w:t xml:space="preserve"> de la «Invitación»,</w:t>
      </w:r>
      <w:r w:rsidRPr="00183CA4">
        <w:rPr>
          <w:rFonts w:ascii="Arial" w:hAnsi="Arial" w:cs="Arial"/>
          <w:b w:val="0"/>
          <w:sz w:val="22"/>
          <w:lang w:val="es-ES"/>
        </w:rPr>
        <w:t xml:space="preserve"> establece</w:t>
      </w:r>
      <w:r>
        <w:rPr>
          <w:rFonts w:ascii="Arial" w:hAnsi="Arial" w:cs="Arial"/>
          <w:b w:val="0"/>
          <w:sz w:val="22"/>
          <w:lang w:val="es-ES"/>
        </w:rPr>
        <w:t>n</w:t>
      </w:r>
      <w:r w:rsidRPr="00183CA4">
        <w:rPr>
          <w:rFonts w:ascii="Arial" w:hAnsi="Arial" w:cs="Arial"/>
          <w:b w:val="0"/>
          <w:sz w:val="22"/>
          <w:lang w:val="es-ES"/>
        </w:rPr>
        <w:t xml:space="preserve"> que «[l]a Entidad deberá incluir requisitos de experiencia proporcionales y adecuados al tipo de obra conforme a lo establecido en los </w:t>
      </w:r>
      <w:r w:rsidRPr="00E55B0E">
        <w:rPr>
          <w:rFonts w:ascii="Arial" w:hAnsi="Arial" w:cs="Arial"/>
          <w:b w:val="0"/>
          <w:i/>
          <w:iCs/>
          <w:sz w:val="22"/>
          <w:lang w:val="es-ES"/>
        </w:rPr>
        <w:t>estudios y documentos previos</w:t>
      </w:r>
      <w:r w:rsidRPr="00183CA4">
        <w:rPr>
          <w:rFonts w:ascii="Arial" w:hAnsi="Arial" w:cs="Arial"/>
          <w:b w:val="0"/>
          <w:sz w:val="22"/>
          <w:lang w:val="es-ES"/>
        </w:rPr>
        <w:t xml:space="preserve"> […]» y </w:t>
      </w:r>
      <w:proofErr w:type="spellStart"/>
      <w:r w:rsidRPr="00183CA4">
        <w:rPr>
          <w:rFonts w:ascii="Arial" w:hAnsi="Arial" w:cs="Arial"/>
          <w:b w:val="0"/>
          <w:sz w:val="22"/>
          <w:lang w:val="es-ES"/>
        </w:rPr>
        <w:t>ii</w:t>
      </w:r>
      <w:proofErr w:type="spellEnd"/>
      <w:r w:rsidRPr="00183CA4">
        <w:rPr>
          <w:rFonts w:ascii="Arial" w:hAnsi="Arial" w:cs="Arial"/>
          <w:b w:val="0"/>
          <w:sz w:val="22"/>
          <w:lang w:val="es-ES"/>
        </w:rPr>
        <w:t>) en el numeral 10</w:t>
      </w:r>
      <w:r w:rsidRPr="00183CA4">
        <w:rPr>
          <w:rFonts w:ascii="Arial" w:hAnsi="Arial" w:cs="Arial"/>
          <w:b w:val="0"/>
          <w:sz w:val="22"/>
        </w:rPr>
        <w:t xml:space="preserve"> para licitación pública y selección abreviada de menor cuantía y 2.13 de la «Invitación», se </w:t>
      </w:r>
      <w:r w:rsidRPr="00183CA4">
        <w:rPr>
          <w:rFonts w:ascii="Arial" w:hAnsi="Arial" w:cs="Arial"/>
          <w:b w:val="0"/>
          <w:sz w:val="22"/>
          <w:lang w:val="es-ES"/>
        </w:rPr>
        <w:t>establece que «[d]</w:t>
      </w:r>
      <w:proofErr w:type="spellStart"/>
      <w:r w:rsidRPr="00183CA4">
        <w:rPr>
          <w:rFonts w:ascii="Arial" w:hAnsi="Arial" w:cs="Arial"/>
          <w:b w:val="0"/>
          <w:sz w:val="22"/>
        </w:rPr>
        <w:t>e</w:t>
      </w:r>
      <w:proofErr w:type="spellEnd"/>
      <w:r w:rsidRPr="00183CA4">
        <w:rPr>
          <w:rFonts w:ascii="Arial" w:hAnsi="Arial" w:cs="Arial"/>
          <w:b w:val="0"/>
          <w:sz w:val="22"/>
        </w:rPr>
        <w:t xml:space="preserve"> ser necesario, según los </w:t>
      </w:r>
      <w:r w:rsidRPr="00F9061C">
        <w:rPr>
          <w:rFonts w:ascii="Arial" w:hAnsi="Arial" w:cs="Arial"/>
          <w:b w:val="0"/>
          <w:i/>
          <w:iCs/>
          <w:sz w:val="22"/>
        </w:rPr>
        <w:t>Estudios Previos</w:t>
      </w:r>
      <w:r w:rsidRPr="00183CA4">
        <w:rPr>
          <w:rFonts w:ascii="Arial" w:hAnsi="Arial" w:cs="Arial"/>
          <w:b w:val="0"/>
          <w:sz w:val="22"/>
        </w:rPr>
        <w:t xml:space="preserve"> son de cargo del Proponente favorecido todos los costos requeridos para colocar y mantener la señalización de obra y las vallas informativas, la iluminación nocturna y demás dispositivos de seguridad y de comunicación y coordinación en los términos definidos por las autoridades competentes».</w:t>
      </w:r>
    </w:p>
    <w:p w14:paraId="7B871A5E" w14:textId="531FFC80" w:rsidR="00F049A2" w:rsidRPr="007F04EE" w:rsidRDefault="00F049A2" w:rsidP="007F04EE">
      <w:pPr>
        <w:pStyle w:val="clusulas"/>
        <w:numPr>
          <w:ilvl w:val="0"/>
          <w:numId w:val="0"/>
        </w:numPr>
        <w:spacing w:before="0" w:line="276" w:lineRule="auto"/>
        <w:ind w:firstLine="709"/>
        <w:rPr>
          <w:rFonts w:ascii="Arial" w:eastAsia="Times New Roman" w:hAnsi="Arial" w:cs="Arial"/>
          <w:b w:val="0"/>
          <w:sz w:val="22"/>
          <w:lang w:val="es-ES" w:eastAsia="es-CO"/>
        </w:rPr>
      </w:pPr>
      <w:r>
        <w:rPr>
          <w:rFonts w:ascii="Arial" w:hAnsi="Arial" w:cs="Arial"/>
          <w:b w:val="0"/>
          <w:sz w:val="22"/>
          <w:lang w:eastAsia="es-ES"/>
        </w:rPr>
        <w:t>E</w:t>
      </w:r>
      <w:r w:rsidRPr="006B5632">
        <w:rPr>
          <w:rFonts w:ascii="Arial" w:hAnsi="Arial" w:cs="Arial"/>
          <w:b w:val="0"/>
          <w:sz w:val="22"/>
          <w:lang w:eastAsia="es-ES"/>
        </w:rPr>
        <w:t xml:space="preserve">n el </w:t>
      </w:r>
      <w:r w:rsidRPr="006B5632">
        <w:rPr>
          <w:rFonts w:ascii="Arial" w:hAnsi="Arial" w:cs="Arial"/>
          <w:b w:val="0"/>
          <w:sz w:val="22"/>
        </w:rPr>
        <w:t>Anexo 5 −</w:t>
      </w:r>
      <w:r>
        <w:rPr>
          <w:rFonts w:ascii="Arial" w:hAnsi="Arial" w:cs="Arial"/>
          <w:b w:val="0"/>
          <w:sz w:val="22"/>
        </w:rPr>
        <w:t>M</w:t>
      </w:r>
      <w:r w:rsidRPr="006B5632">
        <w:rPr>
          <w:rFonts w:ascii="Arial" w:hAnsi="Arial" w:cs="Arial"/>
          <w:b w:val="0"/>
          <w:sz w:val="22"/>
        </w:rPr>
        <w:t>inuta del contrato</w:t>
      </w:r>
      <w:r>
        <w:rPr>
          <w:rFonts w:ascii="Arial" w:hAnsi="Arial" w:cs="Arial"/>
          <w:b w:val="0"/>
          <w:sz w:val="22"/>
        </w:rPr>
        <w:t>,</w:t>
      </w:r>
      <w:r w:rsidRPr="006B5632">
        <w:rPr>
          <w:rFonts w:ascii="Arial" w:hAnsi="Arial" w:cs="Arial"/>
          <w:b w:val="0"/>
          <w:sz w:val="22"/>
        </w:rPr>
        <w:t xml:space="preserve"> para</w:t>
      </w:r>
      <w:r>
        <w:rPr>
          <w:rFonts w:ascii="Arial" w:hAnsi="Arial" w:cs="Arial"/>
          <w:b w:val="0"/>
          <w:sz w:val="22"/>
        </w:rPr>
        <w:t xml:space="preserve"> la</w:t>
      </w:r>
      <w:r w:rsidRPr="006B5632">
        <w:rPr>
          <w:rFonts w:ascii="Arial" w:hAnsi="Arial" w:cs="Arial"/>
          <w:b w:val="0"/>
          <w:sz w:val="22"/>
        </w:rPr>
        <w:t xml:space="preserve"> licitación pública y selección abreviada de menor cuantía, se establece que los estudios previos hacen parte del contrato y </w:t>
      </w:r>
      <w:r w:rsidRPr="007F04EE">
        <w:rPr>
          <w:rFonts w:ascii="Arial" w:hAnsi="Arial" w:cs="Arial"/>
          <w:b w:val="0"/>
          <w:sz w:val="22"/>
        </w:rPr>
        <w:t>«</w:t>
      </w:r>
      <w:r w:rsidRPr="007F04EE">
        <w:rPr>
          <w:rFonts w:ascii="Arial" w:eastAsia="Times New Roman" w:hAnsi="Arial" w:cs="Arial"/>
          <w:b w:val="0"/>
          <w:sz w:val="22"/>
          <w:lang w:val="es-ES" w:eastAsia="es-CO"/>
        </w:rPr>
        <w:t>consecuencia producen sus mismos efectos y obligaciones jurídicas y contractuales […]»</w:t>
      </w:r>
    </w:p>
    <w:p w14:paraId="0D26AB0C" w14:textId="6189708C" w:rsidR="007F04EE" w:rsidRPr="007F04EE" w:rsidRDefault="007F04EE" w:rsidP="007F04EE">
      <w:pPr>
        <w:spacing w:after="120" w:line="276" w:lineRule="auto"/>
        <w:ind w:firstLine="708"/>
        <w:jc w:val="both"/>
        <w:rPr>
          <w:rFonts w:ascii="Arial" w:eastAsia="Times New Roman" w:hAnsi="Arial" w:cs="Arial"/>
          <w:b/>
          <w:sz w:val="22"/>
          <w:lang w:eastAsia="es-CO"/>
        </w:rPr>
      </w:pPr>
      <w:r w:rsidRPr="007F04EE">
        <w:rPr>
          <w:rFonts w:ascii="Arial" w:hAnsi="Arial" w:cs="Arial"/>
          <w:color w:val="000000" w:themeColor="text1"/>
          <w:sz w:val="22"/>
          <w:lang w:eastAsia="es-ES"/>
        </w:rPr>
        <w:t xml:space="preserve">En el numeral 7.1 de la «Invitación» </w:t>
      </w:r>
      <w:r w:rsidRPr="007F04EE">
        <w:rPr>
          <w:rFonts w:ascii="Arial" w:hAnsi="Arial" w:cs="Arial"/>
          <w:sz w:val="22"/>
        </w:rPr>
        <w:t xml:space="preserve">para los procesos </w:t>
      </w:r>
      <w:r w:rsidRPr="007F04EE">
        <w:rPr>
          <w:rFonts w:ascii="Arial" w:hAnsi="Arial" w:cs="Arial"/>
          <w:sz w:val="22"/>
          <w:lang w:val="es-CO"/>
        </w:rPr>
        <w:t>de mínima cuantía</w:t>
      </w:r>
      <w:r w:rsidRPr="007F04EE">
        <w:rPr>
          <w:rFonts w:ascii="Arial" w:hAnsi="Arial" w:cs="Arial"/>
          <w:sz w:val="22"/>
        </w:rPr>
        <w:t xml:space="preserve"> se señala que </w:t>
      </w:r>
      <w:r w:rsidRPr="007F04EE">
        <w:rPr>
          <w:rFonts w:ascii="Arial" w:hAnsi="Arial" w:cs="Arial"/>
          <w:color w:val="000000" w:themeColor="text1"/>
          <w:sz w:val="22"/>
          <w:lang w:eastAsia="es-ES"/>
        </w:rPr>
        <w:t>«Es potestativo de la entidad exigir garantías conforme al artículo 2.2.1.2.1.5.4 del Decreto 1082 de 2015. Si conforme al alcance del proyecto la entidad decide solicitar la garantía de seriedad, debe justificarlo en los estudios previos […]».</w:t>
      </w:r>
    </w:p>
    <w:p w14:paraId="090B8342" w14:textId="77777777" w:rsidR="00F049A2" w:rsidRPr="00FA4DCC" w:rsidRDefault="00F049A2" w:rsidP="00331868">
      <w:pPr>
        <w:pStyle w:val="clusulas"/>
        <w:numPr>
          <w:ilvl w:val="0"/>
          <w:numId w:val="0"/>
        </w:numPr>
        <w:spacing w:before="0" w:after="0" w:line="276" w:lineRule="auto"/>
        <w:ind w:firstLine="709"/>
        <w:rPr>
          <w:rFonts w:ascii="Arial" w:hAnsi="Arial" w:cs="Arial"/>
          <w:b w:val="0"/>
          <w:sz w:val="22"/>
        </w:rPr>
      </w:pPr>
      <w:r w:rsidRPr="00FA4DCC">
        <w:rPr>
          <w:rFonts w:ascii="Arial" w:eastAsia="Times New Roman" w:hAnsi="Arial" w:cs="Arial"/>
          <w:b w:val="0"/>
          <w:sz w:val="22"/>
          <w:lang w:val="es-ES" w:eastAsia="es-CO"/>
        </w:rPr>
        <w:t xml:space="preserve">Por último, en relación con los </w:t>
      </w:r>
      <w:r w:rsidRPr="00FA4DCC">
        <w:rPr>
          <w:rFonts w:ascii="Arial" w:hAnsi="Arial" w:cs="Arial"/>
          <w:b w:val="0"/>
          <w:sz w:val="22"/>
          <w:shd w:val="clear" w:color="auto" w:fill="FFFFFF"/>
          <w:lang w:val="es-ES"/>
        </w:rPr>
        <w:t>b</w:t>
      </w:r>
      <w:proofErr w:type="spellStart"/>
      <w:r w:rsidRPr="00FA4DCC">
        <w:rPr>
          <w:rFonts w:ascii="Arial" w:hAnsi="Arial" w:cs="Arial"/>
          <w:b w:val="0"/>
          <w:sz w:val="22"/>
          <w:shd w:val="clear" w:color="auto" w:fill="FFFFFF"/>
        </w:rPr>
        <w:t>ienes</w:t>
      </w:r>
      <w:proofErr w:type="spellEnd"/>
      <w:r w:rsidRPr="00FA4DCC">
        <w:rPr>
          <w:rFonts w:ascii="Arial" w:hAnsi="Arial" w:cs="Arial"/>
          <w:b w:val="0"/>
          <w:sz w:val="22"/>
          <w:shd w:val="clear" w:color="auto" w:fill="FFFFFF"/>
        </w:rPr>
        <w:t xml:space="preserve"> o servicios adicionales a la obra pública</w:t>
      </w:r>
      <w:r>
        <w:rPr>
          <w:rFonts w:ascii="Arial" w:hAnsi="Arial" w:cs="Arial"/>
          <w:b w:val="0"/>
          <w:sz w:val="22"/>
          <w:shd w:val="clear" w:color="auto" w:fill="FFFFFF"/>
        </w:rPr>
        <w:t xml:space="preserve">, </w:t>
      </w:r>
      <w:r w:rsidRPr="00FA4DCC">
        <w:rPr>
          <w:rFonts w:ascii="Arial" w:hAnsi="Arial" w:cs="Arial"/>
          <w:b w:val="0"/>
          <w:sz w:val="22"/>
        </w:rPr>
        <w:t>en los cuales la entidad haya identificado estos bienes o servicios adicionales y requiera experiencia adicional debe aplicar los criterios definidos en el artículo 2.2.1.2.6.1.5. del Decreto 1082 de 2015, adicionado por el artículo 1 del Decreto 342 de 2019 que</w:t>
      </w:r>
      <w:r w:rsidRPr="00FA4DCC">
        <w:rPr>
          <w:rFonts w:ascii="Arial" w:hAnsi="Arial" w:cs="Arial"/>
          <w:b w:val="0"/>
          <w:spacing w:val="-6"/>
          <w:sz w:val="22"/>
        </w:rPr>
        <w:t xml:space="preserve"> </w:t>
      </w:r>
      <w:r w:rsidRPr="00FA4DCC">
        <w:rPr>
          <w:rFonts w:ascii="Arial" w:hAnsi="Arial" w:cs="Arial"/>
          <w:b w:val="0"/>
          <w:sz w:val="22"/>
        </w:rPr>
        <w:t>dispone:</w:t>
      </w:r>
    </w:p>
    <w:p w14:paraId="19B73F3D" w14:textId="77777777" w:rsidR="00F049A2" w:rsidRPr="00FA4DCC" w:rsidRDefault="00F049A2" w:rsidP="0086436E">
      <w:pPr>
        <w:pStyle w:val="Textoindependiente"/>
        <w:ind w:left="709" w:right="709"/>
      </w:pPr>
    </w:p>
    <w:p w14:paraId="2601CCD8" w14:textId="77777777" w:rsidR="00F049A2" w:rsidRDefault="00F049A2" w:rsidP="0086436E">
      <w:pPr>
        <w:spacing w:after="120"/>
        <w:ind w:left="709" w:right="709"/>
        <w:jc w:val="both"/>
        <w:rPr>
          <w:rFonts w:ascii="Arial" w:hAnsi="Arial" w:cs="Arial"/>
          <w:sz w:val="21"/>
          <w:szCs w:val="21"/>
        </w:rPr>
      </w:pPr>
      <w:r w:rsidRPr="000D04D4">
        <w:rPr>
          <w:rFonts w:ascii="Arial" w:hAnsi="Arial" w:cs="Arial"/>
          <w:sz w:val="21"/>
          <w:szCs w:val="21"/>
        </w:rPr>
        <w:t xml:space="preserve">Artículo 2.2.1.2.6.1.5.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w:t>
      </w:r>
      <w:r w:rsidRPr="000D04D4">
        <w:rPr>
          <w:rFonts w:ascii="Arial" w:hAnsi="Arial" w:cs="Arial"/>
          <w:sz w:val="21"/>
          <w:szCs w:val="21"/>
        </w:rPr>
        <w:lastRenderedPageBreak/>
        <w:t>evaluar la idoneidad respecto de los bienes o servicios ajenos a la obra pública, deberá seguir los siguientes parámetros:</w:t>
      </w:r>
    </w:p>
    <w:p w14:paraId="0F6DF14A" w14:textId="27F62B6F" w:rsidR="00F049A2" w:rsidRDefault="00F049A2" w:rsidP="00D2504D">
      <w:pPr>
        <w:pStyle w:val="Prrafodelista"/>
        <w:widowControl w:val="0"/>
        <w:numPr>
          <w:ilvl w:val="2"/>
          <w:numId w:val="2"/>
        </w:numPr>
        <w:tabs>
          <w:tab w:val="left" w:pos="1101"/>
        </w:tabs>
        <w:autoSpaceDE w:val="0"/>
        <w:autoSpaceDN w:val="0"/>
        <w:ind w:left="709" w:right="709" w:firstLine="0"/>
        <w:contextualSpacing w:val="0"/>
        <w:jc w:val="both"/>
        <w:rPr>
          <w:rFonts w:ascii="Arial" w:hAnsi="Arial" w:cs="Arial"/>
          <w:sz w:val="21"/>
          <w:szCs w:val="21"/>
        </w:rPr>
      </w:pPr>
      <w:r w:rsidRPr="000D04D4">
        <w:rPr>
          <w:rFonts w:ascii="Arial" w:hAnsi="Arial" w:cs="Arial"/>
          <w:sz w:val="21"/>
          <w:szCs w:val="21"/>
        </w:rPr>
        <w:t>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w:t>
      </w:r>
      <w:r w:rsidRPr="000D04D4">
        <w:rPr>
          <w:rFonts w:ascii="Arial" w:hAnsi="Arial" w:cs="Arial"/>
          <w:spacing w:val="-1"/>
          <w:sz w:val="21"/>
          <w:szCs w:val="21"/>
        </w:rPr>
        <w:t xml:space="preserve"> </w:t>
      </w:r>
      <w:r w:rsidRPr="000D04D4">
        <w:rPr>
          <w:rFonts w:ascii="Arial" w:hAnsi="Arial" w:cs="Arial"/>
          <w:sz w:val="21"/>
          <w:szCs w:val="21"/>
        </w:rPr>
        <w:t>contratación […].</w:t>
      </w:r>
    </w:p>
    <w:p w14:paraId="29ED1672" w14:textId="77777777" w:rsidR="00D2504D" w:rsidRPr="00331868" w:rsidRDefault="00D2504D" w:rsidP="00331868">
      <w:pPr>
        <w:pStyle w:val="Prrafodelista"/>
        <w:widowControl w:val="0"/>
        <w:tabs>
          <w:tab w:val="left" w:pos="1101"/>
        </w:tabs>
        <w:autoSpaceDE w:val="0"/>
        <w:autoSpaceDN w:val="0"/>
        <w:spacing w:line="276" w:lineRule="auto"/>
        <w:ind w:left="709" w:right="709"/>
        <w:contextualSpacing w:val="0"/>
        <w:jc w:val="both"/>
        <w:rPr>
          <w:rFonts w:ascii="Arial" w:hAnsi="Arial" w:cs="Arial"/>
          <w:sz w:val="22"/>
        </w:rPr>
      </w:pPr>
    </w:p>
    <w:p w14:paraId="6081FE64" w14:textId="2F319994" w:rsidR="003C3359" w:rsidRPr="00196BCD" w:rsidRDefault="00E862A5" w:rsidP="00331868">
      <w:pPr>
        <w:spacing w:after="120" w:line="276" w:lineRule="auto"/>
        <w:ind w:firstLine="708"/>
        <w:jc w:val="both"/>
        <w:rPr>
          <w:rFonts w:ascii="Arial" w:hAnsi="Arial" w:cs="Arial"/>
          <w:sz w:val="22"/>
        </w:rPr>
      </w:pPr>
      <w:bookmarkStart w:id="18" w:name="_Hlk56933064"/>
      <w:r>
        <w:rPr>
          <w:rFonts w:ascii="Arial" w:hAnsi="Arial" w:cs="Arial"/>
          <w:sz w:val="22"/>
        </w:rPr>
        <w:t>En consecuencia</w:t>
      </w:r>
      <w:r w:rsidR="003C3359" w:rsidRPr="00196BCD">
        <w:rPr>
          <w:rFonts w:ascii="Arial" w:hAnsi="Arial" w:cs="Arial"/>
          <w:sz w:val="22"/>
        </w:rPr>
        <w:t xml:space="preserve">, los procedimientos para selección de contratistas de obra pública de infraestructura de transporte en las modalidades de licitación pública, selección abreviada de menor cuantía y mínima cuantía adelantados con documentos tipo, a pesar de contar con requisitos habilitantes e índices financieros previamente acotados por dichos documentos, </w:t>
      </w:r>
      <w:bookmarkStart w:id="19" w:name="_Hlk56933053"/>
      <w:r w:rsidR="003C3359" w:rsidRPr="00196BCD">
        <w:rPr>
          <w:rFonts w:ascii="Arial" w:hAnsi="Arial" w:cs="Arial"/>
          <w:sz w:val="22"/>
        </w:rPr>
        <w:t>con efectos obligatorios y carácter inalterable</w:t>
      </w:r>
      <w:bookmarkEnd w:id="19"/>
      <w:r w:rsidR="003C3359" w:rsidRPr="00196BCD">
        <w:rPr>
          <w:rFonts w:ascii="Arial" w:hAnsi="Arial" w:cs="Arial"/>
          <w:sz w:val="22"/>
        </w:rPr>
        <w:t xml:space="preserve">, no se encuentran exentos de la obligación de realizar </w:t>
      </w:r>
      <w:r w:rsidR="00D2504D">
        <w:rPr>
          <w:rFonts w:ascii="Arial" w:hAnsi="Arial" w:cs="Arial"/>
          <w:sz w:val="22"/>
        </w:rPr>
        <w:t xml:space="preserve">tanto los estudios previos como </w:t>
      </w:r>
      <w:r w:rsidR="003C3359" w:rsidRPr="00196BCD">
        <w:rPr>
          <w:rFonts w:ascii="Arial" w:hAnsi="Arial" w:cs="Arial"/>
          <w:sz w:val="22"/>
        </w:rPr>
        <w:t>un análisis del sector en el que tendrá lugar la contratación</w:t>
      </w:r>
      <w:r w:rsidR="00983D0D">
        <w:rPr>
          <w:rFonts w:ascii="Arial" w:hAnsi="Arial" w:cs="Arial"/>
          <w:sz w:val="22"/>
        </w:rPr>
        <w:t xml:space="preserve">. Lo anterior, </w:t>
      </w:r>
      <w:r w:rsidR="00983D0D" w:rsidRPr="00196BCD">
        <w:rPr>
          <w:rFonts w:ascii="Arial" w:hAnsi="Arial" w:cs="Arial"/>
          <w:sz w:val="22"/>
        </w:rPr>
        <w:t>necesariamente</w:t>
      </w:r>
      <w:r w:rsidR="00983D0D">
        <w:rPr>
          <w:rFonts w:ascii="Arial" w:hAnsi="Arial" w:cs="Arial"/>
          <w:sz w:val="22"/>
        </w:rPr>
        <w:t xml:space="preserve"> requiere</w:t>
      </w:r>
      <w:r w:rsidR="003C3359" w:rsidRPr="00196BCD">
        <w:rPr>
          <w:rFonts w:ascii="Arial" w:hAnsi="Arial" w:cs="Arial"/>
          <w:sz w:val="22"/>
        </w:rPr>
        <w:t xml:space="preserve"> </w:t>
      </w:r>
      <w:r w:rsidR="00D2504D">
        <w:rPr>
          <w:rFonts w:ascii="Arial" w:hAnsi="Arial" w:cs="Arial"/>
          <w:sz w:val="22"/>
        </w:rPr>
        <w:t xml:space="preserve">aplicar los </w:t>
      </w:r>
      <w:r w:rsidR="003C3359" w:rsidRPr="00196BCD">
        <w:rPr>
          <w:rFonts w:ascii="Arial" w:hAnsi="Arial" w:cs="Arial"/>
          <w:sz w:val="22"/>
          <w:lang w:val="es-CO"/>
        </w:rPr>
        <w:t>artículo</w:t>
      </w:r>
      <w:r w:rsidR="00D2504D">
        <w:rPr>
          <w:rFonts w:ascii="Arial" w:hAnsi="Arial" w:cs="Arial"/>
          <w:sz w:val="22"/>
          <w:lang w:val="es-CO"/>
        </w:rPr>
        <w:t>s</w:t>
      </w:r>
      <w:r w:rsidR="003C3359" w:rsidRPr="00196BCD">
        <w:rPr>
          <w:rFonts w:ascii="Arial" w:hAnsi="Arial" w:cs="Arial"/>
          <w:sz w:val="22"/>
          <w:lang w:val="es-CO"/>
        </w:rPr>
        <w:t xml:space="preserve"> </w:t>
      </w:r>
      <w:r w:rsidR="00D2504D" w:rsidRPr="00D2504D">
        <w:rPr>
          <w:rFonts w:ascii="Arial" w:hAnsi="Arial" w:cs="Arial"/>
          <w:sz w:val="22"/>
          <w:lang w:val="es-CO"/>
        </w:rPr>
        <w:t>2.2.1.1.2.1.1</w:t>
      </w:r>
      <w:r w:rsidR="00D2504D">
        <w:rPr>
          <w:rFonts w:ascii="Arial" w:hAnsi="Arial" w:cs="Arial"/>
          <w:sz w:val="22"/>
          <w:lang w:val="es-CO"/>
        </w:rPr>
        <w:t xml:space="preserve"> y </w:t>
      </w:r>
      <w:r w:rsidR="003C3359" w:rsidRPr="00196BCD">
        <w:rPr>
          <w:rFonts w:ascii="Arial" w:hAnsi="Arial" w:cs="Arial"/>
          <w:sz w:val="22"/>
        </w:rPr>
        <w:t xml:space="preserve">2.2.1.1.1.6.1 del Decreto 1082 del 2015, evidenciando </w:t>
      </w:r>
      <w:r w:rsidR="00D2504D">
        <w:rPr>
          <w:rFonts w:ascii="Arial" w:hAnsi="Arial" w:cs="Arial"/>
          <w:sz w:val="22"/>
        </w:rPr>
        <w:t>el cumplimiento de estos requisitos</w:t>
      </w:r>
      <w:r w:rsidR="003C3359" w:rsidRPr="00196BCD">
        <w:rPr>
          <w:rFonts w:ascii="Arial" w:hAnsi="Arial" w:cs="Arial"/>
          <w:sz w:val="22"/>
        </w:rPr>
        <w:t xml:space="preserve"> dentro de los </w:t>
      </w:r>
      <w:r w:rsidR="003C3359" w:rsidRPr="00196BCD">
        <w:rPr>
          <w:rFonts w:ascii="Arial" w:hAnsi="Arial" w:cs="Arial"/>
          <w:i/>
          <w:iCs/>
          <w:sz w:val="22"/>
        </w:rPr>
        <w:t>Documentos del Proceso.</w:t>
      </w:r>
      <w:r w:rsidR="003C3359" w:rsidRPr="00196BCD">
        <w:rPr>
          <w:rFonts w:ascii="Arial" w:hAnsi="Arial" w:cs="Arial"/>
          <w:sz w:val="22"/>
        </w:rPr>
        <w:t xml:space="preserve"> </w:t>
      </w:r>
      <w:bookmarkEnd w:id="18"/>
    </w:p>
    <w:p w14:paraId="76091D10" w14:textId="7A18F725" w:rsidR="003C3359" w:rsidRPr="00196BCD" w:rsidRDefault="00C42590" w:rsidP="003C3359">
      <w:pPr>
        <w:spacing w:before="120" w:line="276" w:lineRule="auto"/>
        <w:ind w:firstLine="708"/>
        <w:jc w:val="both"/>
        <w:rPr>
          <w:rFonts w:ascii="Arial" w:hAnsi="Arial" w:cs="Arial"/>
          <w:sz w:val="22"/>
        </w:rPr>
      </w:pPr>
      <w:r>
        <w:rPr>
          <w:rFonts w:ascii="Arial" w:hAnsi="Arial" w:cs="Arial"/>
          <w:sz w:val="22"/>
        </w:rPr>
        <w:t>L</w:t>
      </w:r>
      <w:r w:rsidR="003C3359" w:rsidRPr="00196BCD">
        <w:rPr>
          <w:rFonts w:ascii="Arial" w:hAnsi="Arial" w:cs="Arial"/>
          <w:sz w:val="22"/>
        </w:rPr>
        <w:t>a información producto de</w:t>
      </w:r>
      <w:r w:rsidR="003C3359">
        <w:rPr>
          <w:rFonts w:ascii="Arial" w:hAnsi="Arial" w:cs="Arial"/>
          <w:sz w:val="22"/>
        </w:rPr>
        <w:t xml:space="preserve">l </w:t>
      </w:r>
      <w:r w:rsidR="003C3359" w:rsidRPr="00196BCD">
        <w:rPr>
          <w:rFonts w:ascii="Arial" w:hAnsi="Arial" w:cs="Arial"/>
          <w:sz w:val="22"/>
        </w:rPr>
        <w:t>análisis</w:t>
      </w:r>
      <w:r w:rsidR="003C3359">
        <w:rPr>
          <w:rFonts w:ascii="Arial" w:hAnsi="Arial" w:cs="Arial"/>
          <w:sz w:val="22"/>
        </w:rPr>
        <w:t xml:space="preserve"> del sector</w:t>
      </w:r>
      <w:r>
        <w:rPr>
          <w:rFonts w:ascii="Arial" w:hAnsi="Arial" w:cs="Arial"/>
          <w:sz w:val="22"/>
        </w:rPr>
        <w:t xml:space="preserve"> y los estudios previos</w:t>
      </w:r>
      <w:r w:rsidR="003C3359" w:rsidRPr="00196BCD">
        <w:rPr>
          <w:rFonts w:ascii="Arial" w:hAnsi="Arial" w:cs="Arial"/>
          <w:sz w:val="22"/>
        </w:rPr>
        <w:t>, si bien no s</w:t>
      </w:r>
      <w:r w:rsidR="005E3338">
        <w:rPr>
          <w:rFonts w:ascii="Arial" w:hAnsi="Arial" w:cs="Arial"/>
          <w:sz w:val="22"/>
        </w:rPr>
        <w:t>irven</w:t>
      </w:r>
      <w:r w:rsidR="003C3359" w:rsidRPr="00196BCD">
        <w:rPr>
          <w:rFonts w:ascii="Arial" w:hAnsi="Arial" w:cs="Arial"/>
          <w:sz w:val="22"/>
        </w:rPr>
        <w:t xml:space="preserve"> a las entidades para determinar los requisitos habilitantes e índices financieros con el margen de discrecionalidad que les compete en  procesos en los que no se apliquen documento</w:t>
      </w:r>
      <w:r w:rsidR="00AF2A41">
        <w:rPr>
          <w:rFonts w:ascii="Arial" w:hAnsi="Arial" w:cs="Arial"/>
          <w:sz w:val="22"/>
        </w:rPr>
        <w:t>s</w:t>
      </w:r>
      <w:r w:rsidR="003C3359" w:rsidRPr="00196BCD">
        <w:rPr>
          <w:rFonts w:ascii="Arial" w:hAnsi="Arial" w:cs="Arial"/>
          <w:sz w:val="22"/>
        </w:rPr>
        <w:t xml:space="preserve"> tipo, </w:t>
      </w:r>
      <w:r w:rsidR="003C3359">
        <w:rPr>
          <w:rFonts w:ascii="Arial" w:hAnsi="Arial" w:cs="Arial"/>
          <w:sz w:val="22"/>
        </w:rPr>
        <w:t>permite</w:t>
      </w:r>
      <w:r w:rsidR="005E3338">
        <w:rPr>
          <w:rFonts w:ascii="Arial" w:hAnsi="Arial" w:cs="Arial"/>
          <w:sz w:val="22"/>
        </w:rPr>
        <w:t>n</w:t>
      </w:r>
      <w:r w:rsidR="00D2504D">
        <w:rPr>
          <w:rFonts w:ascii="Arial" w:hAnsi="Arial" w:cs="Arial"/>
          <w:sz w:val="22"/>
        </w:rPr>
        <w:t xml:space="preserve"> –entre otros aspectos–</w:t>
      </w:r>
      <w:r w:rsidR="003C3359" w:rsidRPr="00196BCD">
        <w:rPr>
          <w:rFonts w:ascii="Arial" w:hAnsi="Arial" w:cs="Arial"/>
          <w:sz w:val="22"/>
        </w:rPr>
        <w:t xml:space="preserve"> tener un antecedente del compromiso presupuestal que involucra el contrato, realizar el análisis de los riesgos, determinar si una oferta contienes precios artificialmente bajos, sustentar la escogencia de los factores de calidad, determinar la posibilidad de que en un proceso los proponentes acrediten la experiencia de los integrantes de su grupo empresarial</w:t>
      </w:r>
      <w:r w:rsidR="00D2504D">
        <w:rPr>
          <w:rFonts w:ascii="Arial" w:hAnsi="Arial" w:cs="Arial"/>
          <w:sz w:val="22"/>
        </w:rPr>
        <w:t>,</w:t>
      </w:r>
      <w:r w:rsidR="005E3338">
        <w:rPr>
          <w:rFonts w:ascii="Arial" w:hAnsi="Arial" w:cs="Arial"/>
          <w:sz w:val="22"/>
        </w:rPr>
        <w:t xml:space="preserve"> la posibilidad de exigir la visita al sitio de las obras, la definición de requisitos de experiencia adicional, </w:t>
      </w:r>
      <w:r w:rsidR="003C3359" w:rsidRPr="00196BCD">
        <w:rPr>
          <w:rFonts w:ascii="Arial" w:hAnsi="Arial" w:cs="Arial"/>
          <w:sz w:val="22"/>
        </w:rPr>
        <w:t xml:space="preserve"> la necesidad de exigir garantías en los procesos de mínima cuantía</w:t>
      </w:r>
      <w:r w:rsidR="005E3338">
        <w:rPr>
          <w:rFonts w:ascii="Arial" w:hAnsi="Arial" w:cs="Arial"/>
          <w:sz w:val="22"/>
        </w:rPr>
        <w:t>, etc</w:t>
      </w:r>
      <w:r w:rsidR="003C3359" w:rsidRPr="00196BCD">
        <w:rPr>
          <w:rFonts w:ascii="Arial" w:hAnsi="Arial" w:cs="Arial"/>
          <w:sz w:val="22"/>
        </w:rPr>
        <w:t>.</w:t>
      </w:r>
    </w:p>
    <w:p w14:paraId="56ACEDBD" w14:textId="77777777" w:rsidR="003C3359" w:rsidRPr="00196BCD" w:rsidRDefault="003C3359" w:rsidP="003C3359">
      <w:pPr>
        <w:pStyle w:val="Prrafodelista"/>
        <w:tabs>
          <w:tab w:val="left" w:pos="284"/>
        </w:tabs>
        <w:spacing w:line="276" w:lineRule="auto"/>
        <w:ind w:left="0"/>
        <w:jc w:val="both"/>
        <w:rPr>
          <w:rFonts w:ascii="Arial" w:eastAsia="Calibri" w:hAnsi="Arial" w:cs="Arial"/>
          <w:b/>
          <w:sz w:val="22"/>
        </w:rPr>
      </w:pPr>
    </w:p>
    <w:p w14:paraId="43296079" w14:textId="77777777" w:rsidR="003C3359" w:rsidRPr="00196BCD" w:rsidRDefault="003C3359" w:rsidP="003C3359">
      <w:pPr>
        <w:pStyle w:val="Prrafodelista"/>
        <w:tabs>
          <w:tab w:val="left" w:pos="284"/>
        </w:tabs>
        <w:spacing w:before="120" w:line="276" w:lineRule="auto"/>
        <w:ind w:left="0"/>
        <w:jc w:val="both"/>
        <w:rPr>
          <w:rFonts w:ascii="Arial" w:eastAsia="Calibri" w:hAnsi="Arial" w:cs="Arial"/>
          <w:sz w:val="22"/>
        </w:rPr>
      </w:pPr>
      <w:r w:rsidRPr="00196BCD">
        <w:rPr>
          <w:rFonts w:ascii="Arial" w:eastAsia="Calibri" w:hAnsi="Arial" w:cs="Arial"/>
          <w:b/>
          <w:sz w:val="22"/>
        </w:rPr>
        <w:t>3. Respuesta</w:t>
      </w:r>
    </w:p>
    <w:p w14:paraId="2566E29E" w14:textId="77777777" w:rsidR="003C3359" w:rsidRPr="00196BCD" w:rsidRDefault="003C3359" w:rsidP="003C3359">
      <w:pPr>
        <w:tabs>
          <w:tab w:val="left" w:pos="426"/>
        </w:tabs>
        <w:spacing w:line="276" w:lineRule="auto"/>
        <w:ind w:right="709"/>
        <w:jc w:val="both"/>
        <w:rPr>
          <w:rFonts w:ascii="Arial" w:eastAsia="Calibri" w:hAnsi="Arial" w:cs="Arial"/>
          <w:sz w:val="22"/>
        </w:rPr>
      </w:pPr>
    </w:p>
    <w:p w14:paraId="3CEFA202" w14:textId="167F3BC1" w:rsidR="004E4A61" w:rsidRPr="004E4A61" w:rsidRDefault="003C3359" w:rsidP="004E4A61">
      <w:pPr>
        <w:tabs>
          <w:tab w:val="left" w:pos="426"/>
        </w:tabs>
        <w:spacing w:line="276" w:lineRule="auto"/>
        <w:ind w:left="709" w:right="709"/>
        <w:jc w:val="both"/>
        <w:rPr>
          <w:rFonts w:asciiTheme="minorBidi" w:eastAsia="Calibri" w:hAnsiTheme="minorBidi"/>
          <w:sz w:val="22"/>
        </w:rPr>
      </w:pPr>
      <w:r w:rsidRPr="004E4A61">
        <w:rPr>
          <w:rFonts w:ascii="Arial" w:eastAsia="Calibri" w:hAnsi="Arial" w:cs="Arial"/>
          <w:sz w:val="22"/>
        </w:rPr>
        <w:t>«</w:t>
      </w:r>
      <w:r w:rsidR="004E4A61" w:rsidRPr="004E4A61">
        <w:rPr>
          <w:rFonts w:asciiTheme="minorBidi" w:eastAsia="Calibri" w:hAnsiTheme="minorBidi"/>
          <w:sz w:val="22"/>
        </w:rPr>
        <w:t xml:space="preserve">[…] </w:t>
      </w:r>
      <w:r w:rsidR="004E4A61" w:rsidRPr="004E4A61">
        <w:rPr>
          <w:rFonts w:asciiTheme="minorBidi" w:hAnsiTheme="minorBidi"/>
          <w:sz w:val="22"/>
        </w:rPr>
        <w:t>SE DEBE ADELSNTAR (sic) ESTUDIO DEL SECTOR ECONOMICO (sic) Y ESTUDIO PREVIO PARA LOS PLIEGOS TIPO DE VIAS</w:t>
      </w:r>
      <w:r w:rsidR="00B13EF7">
        <w:rPr>
          <w:rFonts w:asciiTheme="minorBidi" w:hAnsiTheme="minorBidi"/>
          <w:sz w:val="22"/>
        </w:rPr>
        <w:t xml:space="preserve"> (sic)</w:t>
      </w:r>
      <w:r w:rsidR="004E4A61" w:rsidRPr="004E4A61">
        <w:rPr>
          <w:rFonts w:asciiTheme="minorBidi" w:hAnsiTheme="minorBidi"/>
          <w:sz w:val="22"/>
        </w:rPr>
        <w:t>?</w:t>
      </w:r>
      <w:r w:rsidR="004E4A61" w:rsidRPr="004E4A61">
        <w:rPr>
          <w:rFonts w:asciiTheme="minorBidi" w:eastAsia="Calibri" w:hAnsiTheme="minorBidi"/>
          <w:sz w:val="22"/>
        </w:rPr>
        <w:t xml:space="preserve">». </w:t>
      </w:r>
    </w:p>
    <w:p w14:paraId="50186018" w14:textId="77777777" w:rsidR="003C3359" w:rsidRPr="00196BCD" w:rsidRDefault="003C3359" w:rsidP="003C3359">
      <w:pPr>
        <w:tabs>
          <w:tab w:val="left" w:pos="709"/>
        </w:tabs>
        <w:spacing w:line="276" w:lineRule="auto"/>
        <w:jc w:val="both"/>
        <w:rPr>
          <w:rFonts w:ascii="Arial" w:eastAsia="Calibri" w:hAnsi="Arial" w:cs="Arial"/>
          <w:sz w:val="22"/>
        </w:rPr>
      </w:pPr>
    </w:p>
    <w:p w14:paraId="522B6909" w14:textId="06B8C651" w:rsidR="003C3359" w:rsidRPr="00196BCD" w:rsidRDefault="003C3359" w:rsidP="003C3359">
      <w:pPr>
        <w:tabs>
          <w:tab w:val="left" w:pos="709"/>
        </w:tabs>
        <w:spacing w:line="276" w:lineRule="auto"/>
        <w:jc w:val="both"/>
        <w:rPr>
          <w:rFonts w:ascii="Arial" w:eastAsia="Calibri" w:hAnsi="Arial" w:cs="Arial"/>
          <w:sz w:val="22"/>
        </w:rPr>
      </w:pPr>
      <w:r w:rsidRPr="00196BCD">
        <w:rPr>
          <w:rFonts w:ascii="Arial" w:eastAsia="Calibri" w:hAnsi="Arial" w:cs="Arial"/>
          <w:sz w:val="22"/>
        </w:rPr>
        <w:t xml:space="preserve">En los procesos para la selección de contratistas de obra pública de infraestructura de transporte en las modalidades de licitación pública, selección abreviada de menor cuantía y mínima cuantía adelantados con documentos tipo, </w:t>
      </w:r>
      <w:r>
        <w:rPr>
          <w:rFonts w:ascii="Arial" w:eastAsia="Calibri" w:hAnsi="Arial" w:cs="Arial"/>
          <w:sz w:val="22"/>
        </w:rPr>
        <w:t>es</w:t>
      </w:r>
      <w:r w:rsidRPr="00196BCD">
        <w:rPr>
          <w:rFonts w:ascii="Arial" w:eastAsia="Calibri" w:hAnsi="Arial" w:cs="Arial"/>
          <w:sz w:val="22"/>
        </w:rPr>
        <w:t xml:space="preserve"> obligatorio </w:t>
      </w:r>
      <w:r>
        <w:rPr>
          <w:rFonts w:ascii="Arial" w:eastAsia="Calibri" w:hAnsi="Arial" w:cs="Arial"/>
          <w:sz w:val="22"/>
        </w:rPr>
        <w:t xml:space="preserve">realizar </w:t>
      </w:r>
      <w:r w:rsidR="00F049A2">
        <w:rPr>
          <w:rFonts w:ascii="Arial" w:eastAsia="Calibri" w:hAnsi="Arial" w:cs="Arial"/>
          <w:sz w:val="22"/>
        </w:rPr>
        <w:t xml:space="preserve">los </w:t>
      </w:r>
      <w:r w:rsidR="00C0116A">
        <w:rPr>
          <w:rFonts w:ascii="Arial" w:eastAsia="Calibri" w:hAnsi="Arial" w:cs="Arial"/>
          <w:sz w:val="22"/>
        </w:rPr>
        <w:t>estudios previos</w:t>
      </w:r>
      <w:r w:rsidR="0086436E">
        <w:rPr>
          <w:rFonts w:ascii="Arial" w:eastAsia="Calibri" w:hAnsi="Arial" w:cs="Arial"/>
          <w:sz w:val="22"/>
        </w:rPr>
        <w:t xml:space="preserve"> y del sector</w:t>
      </w:r>
      <w:r w:rsidR="001469AF">
        <w:rPr>
          <w:rFonts w:ascii="Arial" w:eastAsia="Calibri" w:hAnsi="Arial" w:cs="Arial"/>
          <w:sz w:val="22"/>
        </w:rPr>
        <w:t xml:space="preserve"> con fundamento en los </w:t>
      </w:r>
      <w:r w:rsidR="001469AF" w:rsidRPr="00D2504D">
        <w:rPr>
          <w:rFonts w:ascii="Arial" w:hAnsi="Arial" w:cs="Arial"/>
          <w:sz w:val="22"/>
          <w:lang w:val="es-CO"/>
        </w:rPr>
        <w:t>2.2.1.1.2.1.1</w:t>
      </w:r>
      <w:r w:rsidR="001469AF">
        <w:rPr>
          <w:rFonts w:ascii="Arial" w:hAnsi="Arial" w:cs="Arial"/>
          <w:sz w:val="22"/>
          <w:lang w:val="es-CO"/>
        </w:rPr>
        <w:t xml:space="preserve"> y </w:t>
      </w:r>
      <w:r w:rsidR="001469AF" w:rsidRPr="00196BCD">
        <w:rPr>
          <w:rFonts w:ascii="Arial" w:hAnsi="Arial" w:cs="Arial"/>
          <w:sz w:val="22"/>
        </w:rPr>
        <w:t>2.2.1.1.1.6.1 del Decreto 1082 del 2015</w:t>
      </w:r>
      <w:r w:rsidR="001469AF">
        <w:rPr>
          <w:rFonts w:ascii="Arial" w:eastAsia="Calibri" w:hAnsi="Arial" w:cs="Arial"/>
          <w:sz w:val="22"/>
        </w:rPr>
        <w:t>. Lo anterior, teniendo en cuenta que</w:t>
      </w:r>
      <w:r w:rsidR="0086436E">
        <w:rPr>
          <w:rFonts w:ascii="Arial" w:eastAsia="Calibri" w:hAnsi="Arial" w:cs="Arial"/>
          <w:sz w:val="22"/>
        </w:rPr>
        <w:t xml:space="preserve"> </w:t>
      </w:r>
      <w:r w:rsidR="001469AF">
        <w:rPr>
          <w:rFonts w:ascii="Arial" w:eastAsia="Calibri" w:hAnsi="Arial" w:cs="Arial"/>
          <w:sz w:val="22"/>
        </w:rPr>
        <w:t xml:space="preserve">–pese a la estandarización de las condiciones en estos procesos de selección– </w:t>
      </w:r>
      <w:r w:rsidR="0086436E">
        <w:rPr>
          <w:rFonts w:ascii="Arial" w:eastAsia="Calibri" w:hAnsi="Arial" w:cs="Arial"/>
          <w:sz w:val="22"/>
        </w:rPr>
        <w:t xml:space="preserve">la entidad estatal no se encuentra relevada del deber de </w:t>
      </w:r>
      <w:r w:rsidR="001469AF">
        <w:rPr>
          <w:rFonts w:ascii="Arial" w:eastAsia="Calibri" w:hAnsi="Arial" w:cs="Arial"/>
          <w:sz w:val="22"/>
        </w:rPr>
        <w:t>elaborarlos</w:t>
      </w:r>
      <w:r w:rsidR="00C0116A">
        <w:rPr>
          <w:rFonts w:ascii="Arial" w:eastAsia="Calibri" w:hAnsi="Arial" w:cs="Arial"/>
          <w:sz w:val="22"/>
        </w:rPr>
        <w:t>.</w:t>
      </w:r>
    </w:p>
    <w:p w14:paraId="74010959" w14:textId="799CC80C" w:rsidR="003C3359" w:rsidRDefault="003C3359" w:rsidP="0086436E">
      <w:pPr>
        <w:tabs>
          <w:tab w:val="left" w:pos="709"/>
        </w:tabs>
        <w:spacing w:before="120" w:line="276" w:lineRule="auto"/>
        <w:jc w:val="both"/>
        <w:rPr>
          <w:rStyle w:val="eop"/>
          <w:rFonts w:ascii="Arial" w:hAnsi="Arial" w:cs="Arial"/>
          <w:color w:val="000000"/>
          <w:sz w:val="22"/>
          <w:shd w:val="clear" w:color="auto" w:fill="FFFFFF"/>
        </w:rPr>
      </w:pPr>
      <w:r w:rsidRPr="00196BCD">
        <w:rPr>
          <w:rFonts w:ascii="Arial" w:eastAsia="Calibri" w:hAnsi="Arial" w:cs="Arial"/>
          <w:sz w:val="22"/>
        </w:rPr>
        <w:lastRenderedPageBreak/>
        <w:tab/>
      </w:r>
      <w:r w:rsidR="001469AF">
        <w:rPr>
          <w:rFonts w:ascii="Arial" w:eastAsia="Calibri" w:hAnsi="Arial" w:cs="Arial"/>
          <w:sz w:val="22"/>
        </w:rPr>
        <w:t>Por tanto</w:t>
      </w:r>
      <w:r w:rsidRPr="00196BCD">
        <w:rPr>
          <w:rFonts w:ascii="Arial" w:eastAsia="Calibri" w:hAnsi="Arial" w:cs="Arial"/>
          <w:sz w:val="22"/>
        </w:rPr>
        <w:t xml:space="preserve">, </w:t>
      </w:r>
      <w:r>
        <w:rPr>
          <w:rFonts w:ascii="Arial" w:eastAsia="Calibri" w:hAnsi="Arial" w:cs="Arial"/>
          <w:sz w:val="22"/>
        </w:rPr>
        <w:t>considerando</w:t>
      </w:r>
      <w:r w:rsidRPr="00196BCD">
        <w:rPr>
          <w:rFonts w:ascii="Arial" w:eastAsia="Calibri" w:hAnsi="Arial" w:cs="Arial"/>
          <w:sz w:val="22"/>
        </w:rPr>
        <w:t xml:space="preserve"> la obligatoriedad e inalterabilidad de los requisitos establecidos en los respectivos documentos tipo, les está vedado a las entidades la configuración de requisitos habilitantes e índices financieros y organizacionales distintos de los establecidos en dichos documentos. </w:t>
      </w:r>
      <w:r w:rsidR="005A6151">
        <w:rPr>
          <w:rStyle w:val="normaltextrun"/>
          <w:rFonts w:ascii="Arial" w:hAnsi="Arial" w:cs="Arial"/>
          <w:color w:val="000000"/>
          <w:sz w:val="22"/>
          <w:shd w:val="clear" w:color="auto" w:fill="FFFFFF"/>
        </w:rPr>
        <w:t xml:space="preserve">Sin embargo, la información recolectada en el marco de los estudios previos y del sector permite a las entidades conocer las condiciones </w:t>
      </w:r>
      <w:r w:rsidR="00122D78">
        <w:rPr>
          <w:rStyle w:val="normaltextrun"/>
          <w:rFonts w:ascii="Arial" w:hAnsi="Arial" w:cs="Arial"/>
          <w:color w:val="000000"/>
          <w:sz w:val="22"/>
          <w:shd w:val="clear" w:color="auto" w:fill="FFFFFF"/>
        </w:rPr>
        <w:t>técnicas y de mercado</w:t>
      </w:r>
      <w:r w:rsidR="005A6151">
        <w:rPr>
          <w:rStyle w:val="normaltextrun"/>
          <w:rFonts w:ascii="Arial" w:hAnsi="Arial" w:cs="Arial"/>
          <w:color w:val="000000"/>
          <w:sz w:val="22"/>
          <w:shd w:val="clear" w:color="auto" w:fill="FFFFFF"/>
        </w:rPr>
        <w:t xml:space="preserve"> </w:t>
      </w:r>
      <w:r w:rsidR="00122D78">
        <w:rPr>
          <w:rStyle w:val="normaltextrun"/>
          <w:rFonts w:ascii="Arial" w:hAnsi="Arial" w:cs="Arial"/>
          <w:color w:val="000000"/>
          <w:sz w:val="22"/>
          <w:shd w:val="clear" w:color="auto" w:fill="FFFFFF"/>
        </w:rPr>
        <w:t>del objeto contractual</w:t>
      </w:r>
      <w:r w:rsidR="005A6151">
        <w:rPr>
          <w:rStyle w:val="normaltextrun"/>
          <w:rFonts w:ascii="Arial" w:hAnsi="Arial" w:cs="Arial"/>
          <w:color w:val="000000"/>
          <w:sz w:val="22"/>
          <w:shd w:val="clear" w:color="auto" w:fill="FFFFFF"/>
        </w:rPr>
        <w:t>, sustentando la decisión de adelantar el proceso de selección desde el punto de vista de l</w:t>
      </w:r>
      <w:r w:rsidR="005E3338">
        <w:rPr>
          <w:rStyle w:val="normaltextrun"/>
          <w:rFonts w:ascii="Arial" w:hAnsi="Arial" w:cs="Arial"/>
          <w:color w:val="000000"/>
          <w:sz w:val="22"/>
          <w:shd w:val="clear" w:color="auto" w:fill="FFFFFF"/>
        </w:rPr>
        <w:t>os principios de</w:t>
      </w:r>
      <w:r w:rsidR="005A6151">
        <w:rPr>
          <w:rStyle w:val="normaltextrun"/>
          <w:rFonts w:ascii="Arial" w:hAnsi="Arial" w:cs="Arial"/>
          <w:color w:val="000000"/>
          <w:sz w:val="22"/>
          <w:shd w:val="clear" w:color="auto" w:fill="FFFFFF"/>
        </w:rPr>
        <w:t xml:space="preserve"> eficiencia, eficacia y economía.</w:t>
      </w:r>
      <w:r w:rsidR="005A6151">
        <w:rPr>
          <w:rStyle w:val="eop"/>
          <w:rFonts w:ascii="Arial" w:hAnsi="Arial" w:cs="Arial"/>
          <w:color w:val="000000"/>
          <w:sz w:val="22"/>
          <w:shd w:val="clear" w:color="auto" w:fill="FFFFFF"/>
        </w:rPr>
        <w:t> </w:t>
      </w:r>
    </w:p>
    <w:p w14:paraId="33123371" w14:textId="03A8AFDE" w:rsidR="005E3338" w:rsidRPr="00196BCD" w:rsidRDefault="005E3338" w:rsidP="0086436E">
      <w:pPr>
        <w:tabs>
          <w:tab w:val="left" w:pos="709"/>
        </w:tabs>
        <w:spacing w:before="120" w:line="276" w:lineRule="auto"/>
        <w:jc w:val="both"/>
        <w:rPr>
          <w:rFonts w:ascii="Arial" w:eastAsia="Calibri" w:hAnsi="Arial" w:cs="Arial"/>
          <w:sz w:val="22"/>
        </w:rPr>
      </w:pPr>
      <w:r>
        <w:rPr>
          <w:rStyle w:val="normaltextrun"/>
          <w:rFonts w:ascii="Arial" w:hAnsi="Arial" w:cs="Arial"/>
          <w:color w:val="000000"/>
          <w:sz w:val="22"/>
          <w:shd w:val="clear" w:color="auto" w:fill="FFFFFF"/>
        </w:rPr>
        <w:tab/>
        <w:t xml:space="preserve">Además, según lo determinan las reglas </w:t>
      </w:r>
      <w:r w:rsidR="00122D78">
        <w:rPr>
          <w:rStyle w:val="normaltextrun"/>
          <w:rFonts w:ascii="Arial" w:hAnsi="Arial" w:cs="Arial"/>
          <w:color w:val="000000"/>
          <w:sz w:val="22"/>
          <w:shd w:val="clear" w:color="auto" w:fill="FFFFFF"/>
        </w:rPr>
        <w:t>del</w:t>
      </w:r>
      <w:r>
        <w:rPr>
          <w:rStyle w:val="normaltextrun"/>
          <w:rFonts w:ascii="Arial" w:hAnsi="Arial" w:cs="Arial"/>
          <w:color w:val="000000"/>
          <w:sz w:val="22"/>
          <w:shd w:val="clear" w:color="auto" w:fill="FFFFFF"/>
        </w:rPr>
        <w:t xml:space="preserve"> «Documentos Base» de los procesos de licitación pública y selección abreviada de menor cuantía, así como en la «Invitación» para procesos de mínima cuantía, la información de los estudios previos y el análisis del sector </w:t>
      </w:r>
      <w:r>
        <w:rPr>
          <w:rFonts w:ascii="Arial" w:hAnsi="Arial" w:cs="Arial"/>
          <w:sz w:val="22"/>
        </w:rPr>
        <w:t>permiten –entre otros aspectos–</w:t>
      </w:r>
      <w:r w:rsidRPr="00196BCD">
        <w:rPr>
          <w:rFonts w:ascii="Arial" w:hAnsi="Arial" w:cs="Arial"/>
          <w:sz w:val="22"/>
        </w:rPr>
        <w:t xml:space="preserve"> tener un antecedente del compromiso presupuestal que involucra el contrato, realizar el análisis de los riesgos, determinar si una oferta contienes precios artificialmente bajos, sustentar la escogencia de los factores de calidad, determinar la posibilidad de que en un proceso los proponentes acrediten la experiencia de los integrantes de su grupo empresarial</w:t>
      </w:r>
      <w:r>
        <w:rPr>
          <w:rFonts w:ascii="Arial" w:hAnsi="Arial" w:cs="Arial"/>
          <w:sz w:val="22"/>
        </w:rPr>
        <w:t xml:space="preserve">, la posibilidad de exigir la visita al sitio de las obras, la definición de requisitos de experiencia adicional, </w:t>
      </w:r>
      <w:r w:rsidRPr="00196BCD">
        <w:rPr>
          <w:rFonts w:ascii="Arial" w:hAnsi="Arial" w:cs="Arial"/>
          <w:sz w:val="22"/>
        </w:rPr>
        <w:t xml:space="preserve"> la necesidad de exigir garantías en los procesos de mínima cuantía</w:t>
      </w:r>
      <w:r>
        <w:rPr>
          <w:rFonts w:ascii="Arial" w:hAnsi="Arial" w:cs="Arial"/>
          <w:sz w:val="22"/>
        </w:rPr>
        <w:t>, etc</w:t>
      </w:r>
      <w:r>
        <w:rPr>
          <w:rStyle w:val="normaltextrun"/>
          <w:rFonts w:ascii="Arial" w:hAnsi="Arial" w:cs="Arial"/>
          <w:color w:val="000000"/>
          <w:sz w:val="22"/>
          <w:shd w:val="clear" w:color="auto" w:fill="FFFFFF"/>
        </w:rPr>
        <w:t>.</w:t>
      </w:r>
      <w:r>
        <w:rPr>
          <w:rStyle w:val="eop"/>
          <w:rFonts w:ascii="Arial" w:hAnsi="Arial" w:cs="Arial"/>
          <w:color w:val="000000"/>
          <w:sz w:val="22"/>
          <w:shd w:val="clear" w:color="auto" w:fill="FFFFFF"/>
        </w:rPr>
        <w:t> </w:t>
      </w:r>
    </w:p>
    <w:p w14:paraId="66D08D39" w14:textId="77777777" w:rsidR="003C3359" w:rsidRPr="00196BCD" w:rsidRDefault="003C3359" w:rsidP="00331868">
      <w:pPr>
        <w:tabs>
          <w:tab w:val="left" w:pos="709"/>
        </w:tabs>
        <w:spacing w:after="120" w:line="276" w:lineRule="auto"/>
        <w:jc w:val="both"/>
        <w:rPr>
          <w:rFonts w:ascii="Arial" w:eastAsia="Calibri" w:hAnsi="Arial" w:cs="Arial"/>
          <w:sz w:val="22"/>
        </w:rPr>
      </w:pPr>
    </w:p>
    <w:p w14:paraId="69C6A124" w14:textId="77777777" w:rsidR="003C3359" w:rsidRPr="00196BCD" w:rsidRDefault="003C3359" w:rsidP="003C3359">
      <w:pPr>
        <w:spacing w:line="276" w:lineRule="auto"/>
        <w:jc w:val="both"/>
        <w:rPr>
          <w:rFonts w:ascii="Arial" w:eastAsia="Calibri" w:hAnsi="Arial" w:cs="Arial"/>
          <w:sz w:val="22"/>
        </w:rPr>
      </w:pPr>
      <w:r w:rsidRPr="00196BCD">
        <w:rPr>
          <w:rFonts w:ascii="Arial" w:eastAsia="Calibri" w:hAnsi="Arial" w:cs="Arial"/>
          <w:sz w:val="22"/>
        </w:rPr>
        <w:t>Este concepto tiene el alcance previsto en el artículo 28 del Código de Procedimiento Administrativo y de lo Contencioso Administrativo.</w:t>
      </w:r>
    </w:p>
    <w:p w14:paraId="0420CF54" w14:textId="77777777" w:rsidR="003C3359" w:rsidRPr="00196BCD" w:rsidRDefault="003C3359" w:rsidP="003C3359">
      <w:pPr>
        <w:spacing w:line="276" w:lineRule="auto"/>
        <w:jc w:val="both"/>
        <w:rPr>
          <w:rFonts w:ascii="Arial" w:eastAsia="Calibri" w:hAnsi="Arial" w:cs="Arial"/>
          <w:sz w:val="22"/>
        </w:rPr>
      </w:pPr>
    </w:p>
    <w:p w14:paraId="79BE768B" w14:textId="77777777" w:rsidR="003C3359" w:rsidRPr="00196BCD" w:rsidRDefault="003C3359" w:rsidP="003C3359">
      <w:pPr>
        <w:jc w:val="both"/>
        <w:rPr>
          <w:rFonts w:ascii="Arial" w:eastAsia="Calibri" w:hAnsi="Arial" w:cs="Arial"/>
          <w:sz w:val="22"/>
        </w:rPr>
      </w:pPr>
      <w:r w:rsidRPr="00196BCD">
        <w:rPr>
          <w:noProof/>
          <w:lang w:val="en-US"/>
        </w:rPr>
        <mc:AlternateContent>
          <mc:Choice Requires="wps">
            <w:drawing>
              <wp:anchor distT="0" distB="0" distL="114300" distR="114300" simplePos="0" relativeHeight="251659264" behindDoc="0" locked="0" layoutInCell="1" allowOverlap="1" wp14:anchorId="6A612A49" wp14:editId="2CA0336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3DD1C1A"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AD6B912" w14:textId="77777777" w:rsidR="003C3359" w:rsidRPr="00196BCD" w:rsidRDefault="003C3359" w:rsidP="003C3359">
      <w:pPr>
        <w:rPr>
          <w:rFonts w:ascii="Arial" w:eastAsia="Times New Roman" w:hAnsi="Arial" w:cs="Arial"/>
          <w:sz w:val="22"/>
          <w:lang w:eastAsia="es-CO"/>
        </w:rPr>
      </w:pPr>
      <w:r w:rsidRPr="00196BCD">
        <w:rPr>
          <w:rFonts w:ascii="Arial" w:eastAsia="Times New Roman" w:hAnsi="Arial" w:cs="Arial"/>
          <w:sz w:val="22"/>
          <w:lang w:eastAsia="es-CO"/>
        </w:rPr>
        <w:t>Atentamente,</w:t>
      </w:r>
    </w:p>
    <w:p w14:paraId="3A86A3B5" w14:textId="21E72448" w:rsidR="003C3359" w:rsidRDefault="00181493" w:rsidP="003C3359">
      <w:pPr>
        <w:jc w:val="center"/>
        <w:rPr>
          <w:rFonts w:ascii="Arial" w:eastAsia="Times New Roman" w:hAnsi="Arial" w:cs="Arial"/>
          <w:sz w:val="18"/>
          <w:szCs w:val="20"/>
          <w:lang w:eastAsia="es-CO"/>
        </w:rPr>
      </w:pPr>
      <w:r>
        <w:rPr>
          <w:rFonts w:ascii="Arial" w:hAnsi="Arial" w:cs="Arial"/>
          <w:noProof/>
          <w:color w:val="000000" w:themeColor="text1"/>
          <w:sz w:val="18"/>
          <w:szCs w:val="20"/>
        </w:rPr>
        <w:drawing>
          <wp:inline distT="0" distB="0" distL="0" distR="0" wp14:anchorId="3B6791A2" wp14:editId="0F4AC587">
            <wp:extent cx="2047297" cy="905774"/>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5A432B1F" w14:textId="77777777" w:rsidR="003C3359" w:rsidRPr="00196BCD" w:rsidRDefault="003C3359" w:rsidP="003C3359">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C3359" w:rsidRPr="00196BCD" w14:paraId="14DEB8DC" w14:textId="77777777" w:rsidTr="00BB6D66">
        <w:trPr>
          <w:trHeight w:val="315"/>
        </w:trPr>
        <w:tc>
          <w:tcPr>
            <w:tcW w:w="812" w:type="dxa"/>
            <w:vAlign w:val="center"/>
            <w:hideMark/>
          </w:tcPr>
          <w:p w14:paraId="5DDA3254" w14:textId="77777777" w:rsidR="003C3359" w:rsidRPr="00196BCD" w:rsidRDefault="003C3359" w:rsidP="00BB6D66">
            <w:pPr>
              <w:rPr>
                <w:rFonts w:ascii="Arial" w:eastAsia="Times New Roman" w:hAnsi="Arial" w:cs="Arial"/>
                <w:sz w:val="16"/>
                <w:szCs w:val="16"/>
                <w:lang w:eastAsia="es-ES"/>
              </w:rPr>
            </w:pPr>
            <w:r w:rsidRPr="00196BCD">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6C9BA34" w14:textId="48839F09" w:rsidR="003C3359" w:rsidRPr="00196BCD" w:rsidRDefault="00F049A2" w:rsidP="00BB6D66">
            <w:pPr>
              <w:rPr>
                <w:rFonts w:ascii="Arial" w:eastAsia="Times New Roman" w:hAnsi="Arial" w:cs="Arial"/>
                <w:sz w:val="16"/>
                <w:szCs w:val="16"/>
                <w:lang w:eastAsia="es-ES"/>
              </w:rPr>
            </w:pPr>
            <w:r>
              <w:rPr>
                <w:rFonts w:ascii="Arial" w:eastAsia="Times New Roman" w:hAnsi="Arial" w:cs="Arial"/>
                <w:sz w:val="16"/>
                <w:szCs w:val="16"/>
                <w:lang w:eastAsia="es-ES"/>
              </w:rPr>
              <w:t>Carlos Mario Castrillon Endo</w:t>
            </w:r>
          </w:p>
          <w:p w14:paraId="53F90FC4" w14:textId="77777777" w:rsidR="003C3359" w:rsidRPr="00196BCD" w:rsidRDefault="003C3359" w:rsidP="00BB6D66">
            <w:pPr>
              <w:rPr>
                <w:rFonts w:ascii="Arial" w:eastAsia="Times New Roman" w:hAnsi="Arial" w:cs="Arial"/>
                <w:sz w:val="16"/>
                <w:szCs w:val="16"/>
                <w:lang w:eastAsia="es-ES"/>
              </w:rPr>
            </w:pPr>
            <w:r w:rsidRPr="00196BCD">
              <w:rPr>
                <w:rFonts w:ascii="Arial" w:eastAsia="Times New Roman" w:hAnsi="Arial" w:cs="Arial"/>
                <w:sz w:val="16"/>
                <w:szCs w:val="16"/>
                <w:lang w:eastAsia="es-ES"/>
              </w:rPr>
              <w:t>Contratista</w:t>
            </w:r>
            <w:r>
              <w:rPr>
                <w:rFonts w:ascii="Arial" w:eastAsia="Times New Roman" w:hAnsi="Arial" w:cs="Arial"/>
                <w:sz w:val="16"/>
                <w:szCs w:val="16"/>
                <w:lang w:eastAsia="es-ES"/>
              </w:rPr>
              <w:t xml:space="preserve"> de la</w:t>
            </w:r>
            <w:r w:rsidRPr="00196BCD">
              <w:rPr>
                <w:rFonts w:ascii="Arial" w:eastAsia="Times New Roman" w:hAnsi="Arial" w:cs="Arial"/>
                <w:sz w:val="16"/>
                <w:szCs w:val="16"/>
                <w:lang w:eastAsia="es-ES"/>
              </w:rPr>
              <w:t xml:space="preserve"> Subdirección de Gestión Contractual</w:t>
            </w:r>
          </w:p>
        </w:tc>
      </w:tr>
      <w:tr w:rsidR="003C3359" w:rsidRPr="00196BCD" w14:paraId="3DA70CC7" w14:textId="77777777" w:rsidTr="00BB6D66">
        <w:trPr>
          <w:trHeight w:val="330"/>
        </w:trPr>
        <w:tc>
          <w:tcPr>
            <w:tcW w:w="812" w:type="dxa"/>
            <w:vAlign w:val="center"/>
            <w:hideMark/>
          </w:tcPr>
          <w:p w14:paraId="3F667D8E" w14:textId="77777777" w:rsidR="003C3359" w:rsidRPr="00196BCD" w:rsidRDefault="003C3359" w:rsidP="00BB6D66">
            <w:pPr>
              <w:rPr>
                <w:rFonts w:ascii="Arial" w:eastAsia="Times New Roman" w:hAnsi="Arial" w:cs="Arial"/>
                <w:sz w:val="16"/>
                <w:szCs w:val="16"/>
                <w:lang w:eastAsia="es-ES"/>
              </w:rPr>
            </w:pPr>
            <w:r w:rsidRPr="00196BCD">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29D3E69" w14:textId="77777777" w:rsidR="004E4A61" w:rsidRPr="009C6B45" w:rsidRDefault="004E4A61" w:rsidP="004E4A61">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Juan David Montoya Penagos </w:t>
            </w:r>
          </w:p>
          <w:p w14:paraId="39F9C27D" w14:textId="54C0BB26" w:rsidR="003C3359" w:rsidRPr="00196BCD" w:rsidRDefault="004E4A61" w:rsidP="004E4A61">
            <w:pPr>
              <w:rPr>
                <w:rFonts w:ascii="Arial" w:eastAsia="Times New Roman" w:hAnsi="Arial" w:cs="Arial"/>
                <w:sz w:val="16"/>
                <w:szCs w:val="16"/>
                <w:lang w:eastAsia="es-ES"/>
              </w:rPr>
            </w:pPr>
            <w:r>
              <w:rPr>
                <w:rFonts w:ascii="Arial" w:hAnsi="Arial" w:cs="Arial"/>
                <w:color w:val="000000" w:themeColor="text1"/>
                <w:sz w:val="16"/>
                <w:szCs w:val="16"/>
                <w:lang w:val="es-ES_tradnl" w:eastAsia="es-ES"/>
              </w:rPr>
              <w:t>Gestor T1-15</w:t>
            </w:r>
            <w:r w:rsidR="00122D78">
              <w:rPr>
                <w:rFonts w:ascii="Arial" w:hAnsi="Arial" w:cs="Arial"/>
                <w:color w:val="000000" w:themeColor="text1"/>
                <w:sz w:val="16"/>
                <w:szCs w:val="16"/>
                <w:lang w:val="es-ES_tradnl" w:eastAsia="es-ES"/>
              </w:rPr>
              <w:t xml:space="preserve"> </w:t>
            </w:r>
            <w:r w:rsidR="00122D78">
              <w:rPr>
                <w:rFonts w:ascii="Arial" w:eastAsia="Times New Roman" w:hAnsi="Arial" w:cs="Arial"/>
                <w:sz w:val="16"/>
                <w:szCs w:val="16"/>
                <w:lang w:eastAsia="es-ES"/>
              </w:rPr>
              <w:t>de la</w:t>
            </w:r>
            <w:r w:rsidR="00122D78" w:rsidRPr="00196BCD">
              <w:rPr>
                <w:rFonts w:ascii="Arial" w:eastAsia="Times New Roman" w:hAnsi="Arial" w:cs="Arial"/>
                <w:sz w:val="16"/>
                <w:szCs w:val="16"/>
                <w:lang w:eastAsia="es-ES"/>
              </w:rPr>
              <w:t xml:space="preserve"> Subdirección de Gestión Contractual</w:t>
            </w:r>
          </w:p>
        </w:tc>
      </w:tr>
      <w:tr w:rsidR="003C3359" w:rsidRPr="00196BCD" w14:paraId="5A1EBED8" w14:textId="77777777" w:rsidTr="00BB6D66">
        <w:trPr>
          <w:trHeight w:val="300"/>
        </w:trPr>
        <w:tc>
          <w:tcPr>
            <w:tcW w:w="812" w:type="dxa"/>
            <w:vAlign w:val="center"/>
            <w:hideMark/>
          </w:tcPr>
          <w:p w14:paraId="4CA20030" w14:textId="77777777" w:rsidR="003C3359" w:rsidRPr="00196BCD" w:rsidRDefault="003C3359" w:rsidP="00BB6D66">
            <w:pPr>
              <w:rPr>
                <w:rFonts w:ascii="Arial" w:eastAsia="Times New Roman" w:hAnsi="Arial" w:cs="Arial"/>
                <w:sz w:val="16"/>
                <w:szCs w:val="16"/>
                <w:lang w:eastAsia="es-ES"/>
              </w:rPr>
            </w:pPr>
            <w:r w:rsidRPr="00196BCD">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DEE1FBA" w14:textId="138AE2EC" w:rsidR="003C3359" w:rsidRPr="00196BCD" w:rsidRDefault="004E4A61" w:rsidP="00BB6D66">
            <w:pPr>
              <w:rPr>
                <w:rFonts w:ascii="Arial" w:eastAsia="Times New Roman" w:hAnsi="Arial" w:cs="Arial"/>
                <w:sz w:val="16"/>
                <w:szCs w:val="16"/>
                <w:lang w:eastAsia="es-ES"/>
              </w:rPr>
            </w:pPr>
            <w:r>
              <w:rPr>
                <w:rFonts w:ascii="Arial" w:eastAsia="Times New Roman" w:hAnsi="Arial" w:cs="Arial"/>
                <w:sz w:val="16"/>
                <w:szCs w:val="16"/>
                <w:lang w:eastAsia="es-ES"/>
              </w:rPr>
              <w:t>Jorge Augusto Tirado Navarro</w:t>
            </w:r>
          </w:p>
          <w:p w14:paraId="33443129" w14:textId="77777777" w:rsidR="003C3359" w:rsidRPr="00196BCD" w:rsidRDefault="003C3359" w:rsidP="00BB6D66">
            <w:pPr>
              <w:rPr>
                <w:rFonts w:ascii="Arial" w:eastAsia="Times New Roman" w:hAnsi="Arial" w:cs="Arial"/>
                <w:sz w:val="16"/>
                <w:szCs w:val="16"/>
                <w:lang w:eastAsia="es-ES"/>
              </w:rPr>
            </w:pPr>
            <w:r w:rsidRPr="00196BCD">
              <w:rPr>
                <w:rFonts w:ascii="Arial" w:eastAsia="Times New Roman" w:hAnsi="Arial" w:cs="Arial"/>
                <w:sz w:val="16"/>
                <w:szCs w:val="16"/>
                <w:lang w:eastAsia="es-ES"/>
              </w:rPr>
              <w:t>Subdirector de Gestión Contractual</w:t>
            </w:r>
          </w:p>
        </w:tc>
      </w:tr>
    </w:tbl>
    <w:p w14:paraId="688C5336" w14:textId="77777777" w:rsidR="003C3359" w:rsidRPr="00BB3D2E" w:rsidRDefault="003C3359" w:rsidP="003C3359">
      <w:pPr>
        <w:rPr>
          <w:rFonts w:ascii="Arial" w:eastAsia="Times New Roman" w:hAnsi="Arial" w:cs="Arial"/>
          <w:color w:val="FF0000"/>
          <w:sz w:val="16"/>
          <w:szCs w:val="16"/>
          <w:lang w:eastAsia="es-ES"/>
        </w:rPr>
      </w:pPr>
    </w:p>
    <w:bookmarkEnd w:id="2"/>
    <w:p w14:paraId="30576E91" w14:textId="77777777" w:rsidR="00BD0429" w:rsidRDefault="00BD0429"/>
    <w:sectPr w:rsidR="00BD0429" w:rsidSect="005D791B">
      <w:headerReference w:type="default" r:id="rId9"/>
      <w:footerReference w:type="default" r:id="rId1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74FD8" w14:textId="77777777" w:rsidR="00630003" w:rsidRDefault="00630003" w:rsidP="003C3359">
      <w:r>
        <w:separator/>
      </w:r>
    </w:p>
  </w:endnote>
  <w:endnote w:type="continuationSeparator" w:id="0">
    <w:p w14:paraId="55322897" w14:textId="77777777" w:rsidR="00630003" w:rsidRDefault="00630003" w:rsidP="003C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6EC72" w14:textId="77777777" w:rsidR="00B13EF7" w:rsidRPr="00B13EF7" w:rsidRDefault="00B13EF7" w:rsidP="00FE42ED">
    <w:pPr>
      <w:pStyle w:val="Piedepgina"/>
      <w:jc w:val="right"/>
      <w:rPr>
        <w:rFonts w:ascii="Arial" w:hAnsi="Arial" w:cs="Arial"/>
        <w:bCs/>
        <w:color w:val="7F7F7F" w:themeColor="text1" w:themeTint="80"/>
        <w:sz w:val="20"/>
        <w:szCs w:val="20"/>
      </w:rPr>
    </w:pPr>
  </w:p>
  <w:p w14:paraId="07B2F177" w14:textId="3CE770C9" w:rsidR="00F424EA" w:rsidRPr="008217B7" w:rsidRDefault="00B13EF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76E619C0" w14:textId="77777777" w:rsidR="00F424EA" w:rsidRDefault="00B13EF7" w:rsidP="00322937">
    <w:pPr>
      <w:pStyle w:val="Piedepgina"/>
      <w:jc w:val="center"/>
      <w:rPr>
        <w:lang w:val="es-ES"/>
      </w:rPr>
    </w:pPr>
    <w:r>
      <w:rPr>
        <w:noProof/>
        <w:lang w:val="en-US"/>
      </w:rPr>
      <w:drawing>
        <wp:inline distT="0" distB="0" distL="0" distR="0" wp14:anchorId="36A9CF35" wp14:editId="2B7EF541">
          <wp:extent cx="3700130" cy="519139"/>
          <wp:effectExtent l="0" t="0" r="0" b="0"/>
          <wp:docPr id="20096201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476CB70" w14:textId="77777777" w:rsidR="00F424EA" w:rsidRPr="00B13EF7" w:rsidRDefault="003C6782" w:rsidP="007B0854">
    <w:pPr>
      <w:pStyle w:val="Piedepgina"/>
      <w:jc w:val="center"/>
      <w:rPr>
        <w:sz w:val="20"/>
        <w:szCs w:val="20"/>
        <w:lang w:val="es-ES"/>
      </w:rPr>
    </w:pPr>
  </w:p>
  <w:p w14:paraId="0C678F16" w14:textId="77777777" w:rsidR="00F424EA" w:rsidRPr="00B13EF7" w:rsidRDefault="003C6782"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216DF" w14:textId="77777777" w:rsidR="00630003" w:rsidRDefault="00630003" w:rsidP="003C3359">
      <w:r>
        <w:separator/>
      </w:r>
    </w:p>
  </w:footnote>
  <w:footnote w:type="continuationSeparator" w:id="0">
    <w:p w14:paraId="48F3EA32" w14:textId="77777777" w:rsidR="00630003" w:rsidRDefault="00630003" w:rsidP="003C3359">
      <w:r>
        <w:continuationSeparator/>
      </w:r>
    </w:p>
  </w:footnote>
  <w:footnote w:id="1">
    <w:p w14:paraId="1732B2E7" w14:textId="77777777" w:rsidR="00F049A2" w:rsidRPr="00331868" w:rsidRDefault="00F049A2" w:rsidP="00331868">
      <w:pPr>
        <w:spacing w:line="244" w:lineRule="auto"/>
        <w:ind w:left="120" w:firstLine="707"/>
        <w:rPr>
          <w:rFonts w:ascii="Arial" w:hAnsi="Arial" w:cs="Arial"/>
          <w:sz w:val="19"/>
          <w:szCs w:val="19"/>
        </w:rPr>
      </w:pPr>
      <w:r w:rsidRPr="00331868">
        <w:rPr>
          <w:rStyle w:val="Refdenotaalpie"/>
          <w:rFonts w:ascii="Arial" w:hAnsi="Arial" w:cs="Arial"/>
          <w:sz w:val="19"/>
          <w:szCs w:val="19"/>
        </w:rPr>
        <w:footnoteRef/>
      </w:r>
      <w:r w:rsidRPr="00331868">
        <w:rPr>
          <w:rFonts w:ascii="Arial" w:hAnsi="Arial" w:cs="Arial"/>
          <w:position w:val="6"/>
          <w:sz w:val="19"/>
          <w:szCs w:val="19"/>
        </w:rPr>
        <w:t xml:space="preserve"> </w:t>
      </w:r>
      <w:r w:rsidRPr="00331868">
        <w:rPr>
          <w:rFonts w:ascii="Arial" w:hAnsi="Arial" w:cs="Arial"/>
          <w:sz w:val="19"/>
          <w:szCs w:val="19"/>
        </w:rPr>
        <w:t>DEIK ACOSTAMADIEDO, Carolina, Guía de Contratación Estatal: Deber de planeación y modalidades de selección, Buenos Aires, 2015, p. 59.</w:t>
      </w:r>
    </w:p>
    <w:p w14:paraId="0F0618B2" w14:textId="77777777" w:rsidR="00F049A2" w:rsidRDefault="00F049A2" w:rsidP="00F049A2">
      <w:pPr>
        <w:pStyle w:val="Textonotapie"/>
      </w:pPr>
    </w:p>
  </w:footnote>
  <w:footnote w:id="2">
    <w:p w14:paraId="44F49441" w14:textId="77777777" w:rsidR="00503C6F" w:rsidRDefault="00503C6F" w:rsidP="00503C6F">
      <w:pPr>
        <w:pStyle w:val="Textonotapie"/>
        <w:ind w:firstLine="709"/>
        <w:jc w:val="both"/>
        <w:rPr>
          <w:rFonts w:ascii="Arial" w:hAnsi="Arial" w:cs="Arial"/>
          <w:sz w:val="19"/>
          <w:szCs w:val="19"/>
          <w:lang w:val="pt-BR"/>
        </w:rPr>
      </w:pPr>
      <w:r w:rsidRPr="00F90865">
        <w:rPr>
          <w:rFonts w:ascii="Arial" w:hAnsi="Arial" w:cs="Arial"/>
          <w:sz w:val="19"/>
          <w:szCs w:val="19"/>
          <w:lang w:val="pt-BR"/>
        </w:rPr>
        <w:t xml:space="preserve">   </w:t>
      </w:r>
      <w:r w:rsidRPr="0043375B">
        <w:rPr>
          <w:rStyle w:val="Refdenotaalpie"/>
          <w:rFonts w:ascii="Arial" w:hAnsi="Arial" w:cs="Arial"/>
          <w:sz w:val="19"/>
          <w:szCs w:val="19"/>
        </w:rPr>
        <w:footnoteRef/>
      </w:r>
      <w:r w:rsidRPr="0043375B">
        <w:rPr>
          <w:rFonts w:ascii="Arial" w:hAnsi="Arial" w:cs="Arial"/>
          <w:sz w:val="19"/>
          <w:szCs w:val="19"/>
          <w:lang w:val="pt-BR"/>
        </w:rPr>
        <w:t xml:space="preserve"> Tomado de </w:t>
      </w:r>
      <w:hyperlink r:id="rId1" w:history="1">
        <w:r w:rsidRPr="0043375B">
          <w:rPr>
            <w:rStyle w:val="Hipervnculo"/>
            <w:rFonts w:ascii="Arial" w:hAnsi="Arial" w:cs="Arial"/>
            <w:sz w:val="19"/>
            <w:szCs w:val="19"/>
            <w:lang w:val="pt-BR"/>
          </w:rPr>
          <w:t>https://sintesis.colombiacompra.gov.co/sintesis/9-etapa-precontractual-estudios-previos</w:t>
        </w:r>
      </w:hyperlink>
      <w:r w:rsidRPr="0043375B">
        <w:rPr>
          <w:rFonts w:ascii="Arial" w:hAnsi="Arial" w:cs="Arial"/>
          <w:sz w:val="19"/>
          <w:szCs w:val="19"/>
          <w:lang w:val="pt-BR"/>
        </w:rPr>
        <w:t>.</w:t>
      </w:r>
    </w:p>
    <w:p w14:paraId="75E85BAD" w14:textId="77777777" w:rsidR="00503C6F" w:rsidRPr="0043375B" w:rsidRDefault="00503C6F" w:rsidP="00503C6F">
      <w:pPr>
        <w:pStyle w:val="Textonotapie"/>
        <w:ind w:left="142" w:firstLine="709"/>
        <w:rPr>
          <w:rFonts w:ascii="Arial" w:hAnsi="Arial" w:cs="Arial"/>
          <w:sz w:val="19"/>
          <w:szCs w:val="19"/>
          <w:lang w:val="pt-BR"/>
        </w:rPr>
      </w:pPr>
    </w:p>
  </w:footnote>
  <w:footnote w:id="3">
    <w:p w14:paraId="77EE10CB" w14:textId="123010A8" w:rsidR="00F049A2" w:rsidRPr="00331868" w:rsidRDefault="00F049A2" w:rsidP="00331868">
      <w:pPr>
        <w:pStyle w:val="Textoindependiente"/>
        <w:ind w:right="103" w:firstLine="709"/>
        <w:jc w:val="both"/>
        <w:rPr>
          <w:sz w:val="19"/>
          <w:szCs w:val="19"/>
        </w:rPr>
      </w:pPr>
      <w:r w:rsidRPr="00331868">
        <w:rPr>
          <w:rStyle w:val="Refdenotaalpie"/>
          <w:sz w:val="19"/>
          <w:szCs w:val="19"/>
        </w:rPr>
        <w:footnoteRef/>
      </w:r>
      <w:r w:rsidRPr="00331868">
        <w:rPr>
          <w:sz w:val="19"/>
          <w:szCs w:val="19"/>
        </w:rPr>
        <w:t xml:space="preserve"> </w:t>
      </w:r>
      <w:r w:rsidRPr="00331868">
        <w:rPr>
          <w:position w:val="6"/>
          <w:sz w:val="19"/>
          <w:szCs w:val="19"/>
        </w:rPr>
        <w:t xml:space="preserve"> </w:t>
      </w:r>
      <w:r w:rsidR="001D35B6">
        <w:rPr>
          <w:sz w:val="19"/>
          <w:szCs w:val="19"/>
        </w:rPr>
        <w:t>«</w:t>
      </w:r>
      <w:r w:rsidRPr="00331868">
        <w:rPr>
          <w:sz w:val="19"/>
          <w:szCs w:val="19"/>
        </w:rPr>
        <w:t xml:space="preserve">Artículo </w:t>
      </w:r>
      <w:bookmarkStart w:id="8" w:name="_Hlk54173885"/>
      <w:r w:rsidRPr="00331868">
        <w:rPr>
          <w:sz w:val="19"/>
          <w:szCs w:val="19"/>
        </w:rPr>
        <w:t>2.2.1.1.2.1.1</w:t>
      </w:r>
      <w:bookmarkEnd w:id="8"/>
      <w:r w:rsidRPr="00331868">
        <w:rPr>
          <w:sz w:val="19"/>
          <w:szCs w:val="19"/>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r w:rsidR="001D35B6">
        <w:rPr>
          <w:sz w:val="19"/>
          <w:szCs w:val="19"/>
        </w:rPr>
        <w:t>».</w:t>
      </w:r>
    </w:p>
    <w:p w14:paraId="03073B6E" w14:textId="77777777" w:rsidR="00F049A2" w:rsidRPr="00331868" w:rsidRDefault="00F049A2" w:rsidP="00331868">
      <w:pPr>
        <w:pStyle w:val="Textonotapie"/>
        <w:ind w:firstLine="709"/>
        <w:rPr>
          <w:rFonts w:ascii="Arial" w:hAnsi="Arial" w:cs="Arial"/>
          <w:sz w:val="19"/>
          <w:szCs w:val="19"/>
        </w:rPr>
      </w:pPr>
    </w:p>
  </w:footnote>
  <w:footnote w:id="4">
    <w:p w14:paraId="477F8BDB" w14:textId="4B4D55C9" w:rsidR="00F049A2" w:rsidRPr="00331868" w:rsidRDefault="00F049A2" w:rsidP="00331868">
      <w:pPr>
        <w:pStyle w:val="Textoindependiente"/>
        <w:spacing w:before="1"/>
        <w:ind w:right="108" w:firstLine="709"/>
        <w:jc w:val="both"/>
        <w:rPr>
          <w:sz w:val="19"/>
          <w:szCs w:val="19"/>
        </w:rPr>
      </w:pPr>
      <w:r w:rsidRPr="00331868">
        <w:rPr>
          <w:rStyle w:val="Refdenotaalpie"/>
          <w:sz w:val="19"/>
          <w:szCs w:val="19"/>
        </w:rPr>
        <w:footnoteRef/>
      </w:r>
      <w:r w:rsidRPr="00331868">
        <w:rPr>
          <w:sz w:val="19"/>
          <w:szCs w:val="19"/>
        </w:rPr>
        <w:t xml:space="preserve"> Consejo de Estado, Sala de lo Contencioso Administrativo. Sección Tercera, Subsección B, 31 de agosto de 2011, </w:t>
      </w:r>
      <w:r w:rsidRPr="00331868">
        <w:rPr>
          <w:sz w:val="19"/>
          <w:szCs w:val="19"/>
        </w:rPr>
        <w:t xml:space="preserve">exp. 18080, C.P. Ruth Stella Correa Palacio: </w:t>
      </w:r>
      <w:r w:rsidR="001D35B6">
        <w:rPr>
          <w:sz w:val="19"/>
          <w:szCs w:val="19"/>
        </w:rPr>
        <w:t>«</w:t>
      </w:r>
      <w:r w:rsidRPr="00331868">
        <w:rPr>
          <w:sz w:val="19"/>
          <w:szCs w:val="19"/>
        </w:rPr>
        <w:t>(…)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r w:rsidR="001D35B6">
        <w:rPr>
          <w:sz w:val="19"/>
          <w:szCs w:val="19"/>
        </w:rPr>
        <w:t>»</w:t>
      </w:r>
      <w:r w:rsidRPr="00331868">
        <w:rPr>
          <w:sz w:val="19"/>
          <w:szCs w:val="19"/>
        </w:rPr>
        <w:t>.</w:t>
      </w:r>
    </w:p>
    <w:p w14:paraId="03252070" w14:textId="77777777" w:rsidR="00F049A2" w:rsidRDefault="00F049A2" w:rsidP="00F049A2">
      <w:pPr>
        <w:pStyle w:val="Textonotapie"/>
      </w:pPr>
    </w:p>
  </w:footnote>
  <w:footnote w:id="5">
    <w:p w14:paraId="425A24EE" w14:textId="70E0DCEE" w:rsidR="00F049A2" w:rsidRPr="00331868" w:rsidRDefault="00F049A2" w:rsidP="00331868">
      <w:pPr>
        <w:ind w:left="709"/>
        <w:rPr>
          <w:rFonts w:ascii="Arial" w:hAnsi="Arial" w:cs="Arial"/>
          <w:sz w:val="19"/>
          <w:szCs w:val="19"/>
        </w:rPr>
      </w:pPr>
      <w:r w:rsidRPr="00331868">
        <w:rPr>
          <w:rStyle w:val="Refdenotaalpie"/>
          <w:rFonts w:ascii="Arial" w:hAnsi="Arial" w:cs="Arial"/>
          <w:sz w:val="19"/>
          <w:szCs w:val="19"/>
        </w:rPr>
        <w:footnoteRef/>
      </w:r>
      <w:r w:rsidRPr="00331868">
        <w:rPr>
          <w:rFonts w:ascii="Arial" w:hAnsi="Arial" w:cs="Arial"/>
          <w:sz w:val="19"/>
          <w:szCs w:val="19"/>
        </w:rPr>
        <w:t xml:space="preserve"> </w:t>
      </w:r>
      <w:r w:rsidRPr="00331868">
        <w:rPr>
          <w:rFonts w:ascii="Arial" w:hAnsi="Arial" w:cs="Arial"/>
          <w:i/>
          <w:sz w:val="19"/>
          <w:szCs w:val="19"/>
        </w:rPr>
        <w:t xml:space="preserve">Ibidem, </w:t>
      </w:r>
      <w:r w:rsidR="00B96CAC">
        <w:rPr>
          <w:rFonts w:ascii="Arial" w:hAnsi="Arial" w:cs="Arial"/>
          <w:sz w:val="19"/>
          <w:szCs w:val="19"/>
        </w:rPr>
        <w:t>p</w:t>
      </w:r>
      <w:r w:rsidRPr="00331868">
        <w:rPr>
          <w:rFonts w:ascii="Arial" w:hAnsi="Arial" w:cs="Arial"/>
          <w:sz w:val="19"/>
          <w:szCs w:val="19"/>
        </w:rPr>
        <w:t>. 70.</w:t>
      </w:r>
    </w:p>
    <w:p w14:paraId="174799CE" w14:textId="77777777" w:rsidR="00F049A2" w:rsidRDefault="00F049A2" w:rsidP="00F049A2">
      <w:pPr>
        <w:spacing w:before="78"/>
        <w:ind w:left="828"/>
        <w:rPr>
          <w:sz w:val="22"/>
        </w:rPr>
      </w:pPr>
    </w:p>
  </w:footnote>
  <w:footnote w:id="6">
    <w:p w14:paraId="75189309" w14:textId="77777777" w:rsidR="003C3359" w:rsidRPr="003C5E5D" w:rsidRDefault="003C3359" w:rsidP="003C3359">
      <w:pPr>
        <w:ind w:firstLine="705"/>
        <w:jc w:val="both"/>
        <w:rPr>
          <w:rFonts w:ascii="Arial" w:hAnsi="Arial" w:cs="Arial"/>
          <w:sz w:val="19"/>
          <w:szCs w:val="19"/>
          <w:lang w:val="es-ES"/>
        </w:rPr>
      </w:pPr>
      <w:r w:rsidRPr="003C5E5D">
        <w:rPr>
          <w:rStyle w:val="Refdenotaalpie"/>
          <w:rFonts w:ascii="Arial" w:hAnsi="Arial" w:cs="Arial"/>
          <w:sz w:val="19"/>
          <w:szCs w:val="19"/>
        </w:rPr>
        <w:footnoteRef/>
      </w:r>
      <w:r w:rsidRPr="003C5E5D">
        <w:rPr>
          <w:rFonts w:ascii="Arial" w:hAnsi="Arial" w:cs="Arial"/>
          <w:sz w:val="19"/>
          <w:szCs w:val="19"/>
        </w:rPr>
        <w:t xml:space="preserve"> </w:t>
      </w:r>
      <w:r>
        <w:rPr>
          <w:rFonts w:ascii="Arial" w:hAnsi="Arial" w:cs="Arial"/>
          <w:sz w:val="19"/>
          <w:szCs w:val="19"/>
        </w:rPr>
        <w:t xml:space="preserve">Licitación Pública </w:t>
      </w:r>
      <w:r w:rsidRPr="003C5E5D">
        <w:rPr>
          <w:rFonts w:ascii="Arial" w:hAnsi="Arial" w:cs="Arial"/>
          <w:sz w:val="19"/>
          <w:szCs w:val="19"/>
        </w:rPr>
        <w:t>«</w:t>
      </w:r>
      <w:r w:rsidRPr="003C5E5D">
        <w:rPr>
          <w:rStyle w:val="Textoennegrita"/>
          <w:rFonts w:ascii="Arial" w:hAnsi="Arial" w:cs="Arial"/>
          <w:color w:val="000000"/>
          <w:sz w:val="19"/>
          <w:szCs w:val="19"/>
        </w:rPr>
        <w:t>2.2.1.2.6.1.4. Inalterabilidad de los Documentos Tipo</w:t>
      </w:r>
      <w:r w:rsidRPr="003C5E5D">
        <w:rPr>
          <w:rFonts w:ascii="Arial" w:hAnsi="Arial" w:cs="Arial"/>
          <w:color w:val="000000"/>
          <w:sz w:val="19"/>
          <w:szCs w:val="19"/>
        </w:rPr>
        <w:t>. Las entidades estatales contratantes no podrán incluir o modificar dentro de los Documentos del Proceso las condiciones habilitantes, los factores técnicos y económicos de escogencia y los sistemas de ponderación distintos a los señalados en los Documentos Tipo». </w:t>
      </w:r>
    </w:p>
    <w:p w14:paraId="4ACDB921" w14:textId="77777777" w:rsidR="003C3359" w:rsidRPr="003C5E5D" w:rsidRDefault="003C3359" w:rsidP="003C3359">
      <w:pPr>
        <w:pStyle w:val="Textonotapie"/>
        <w:rPr>
          <w:rFonts w:ascii="Arial" w:hAnsi="Arial" w:cs="Arial"/>
          <w:sz w:val="19"/>
          <w:szCs w:val="19"/>
          <w:lang w:val="es-ES"/>
        </w:rPr>
      </w:pPr>
    </w:p>
  </w:footnote>
  <w:footnote w:id="7">
    <w:p w14:paraId="51440061" w14:textId="77777777" w:rsidR="003C3359" w:rsidRPr="003C5E5D" w:rsidRDefault="003C3359" w:rsidP="003C3359">
      <w:pPr>
        <w:pStyle w:val="Textonotapie"/>
        <w:ind w:firstLine="705"/>
        <w:jc w:val="both"/>
        <w:rPr>
          <w:rFonts w:ascii="Arial" w:hAnsi="Arial" w:cs="Arial"/>
          <w:sz w:val="19"/>
          <w:szCs w:val="19"/>
        </w:rPr>
      </w:pPr>
      <w:r w:rsidRPr="003C5E5D">
        <w:rPr>
          <w:rStyle w:val="Refdenotaalpie"/>
          <w:rFonts w:ascii="Arial" w:hAnsi="Arial" w:cs="Arial"/>
          <w:sz w:val="19"/>
          <w:szCs w:val="19"/>
        </w:rPr>
        <w:footnoteRef/>
      </w:r>
      <w:r w:rsidRPr="003C5E5D">
        <w:rPr>
          <w:rFonts w:ascii="Arial" w:hAnsi="Arial" w:cs="Arial"/>
          <w:sz w:val="19"/>
          <w:szCs w:val="19"/>
        </w:rPr>
        <w:t xml:space="preserve"> «2.2.1.2.6.2.3. Criterios para selección abreviada de menor cuantía. La Agencia Nacional de Contratación Pública -Colombia Compra Eficiente- en coordinación con el Departamento Nacional de Planeación (DNP) y el Ministerio de Transporte, deberán tener en cuenta los parámetros definidos en el artículo 2.2.1.2.6.1.3. del presente decreto para el desarrollo e implementación de Documentos Tipo en la modalidad de selección abreviada de menor cuantía de obra pública de infraestructura de transporte, salvo lo referente al puntaje adicional para proponentes con trabajadores con discapacidad de que tratan los artículos 2.2.1.2.4.2.6, 2.2.1.2.4.2.7, y 2.2.1.2.4.2.8 del presente decreto.   </w:t>
      </w:r>
    </w:p>
    <w:p w14:paraId="38CF5777" w14:textId="77777777" w:rsidR="003C3359" w:rsidRPr="003C5E5D" w:rsidRDefault="003C3359" w:rsidP="003C3359">
      <w:pPr>
        <w:pStyle w:val="Textonotapie"/>
        <w:ind w:firstLine="705"/>
        <w:jc w:val="both"/>
        <w:rPr>
          <w:rFonts w:ascii="Arial" w:hAnsi="Arial" w:cs="Arial"/>
          <w:sz w:val="19"/>
          <w:szCs w:val="19"/>
          <w:lang w:val="es-CO"/>
        </w:rPr>
      </w:pPr>
      <w:r w:rsidRPr="003C5E5D">
        <w:rPr>
          <w:rFonts w:ascii="Arial" w:hAnsi="Arial" w:cs="Arial"/>
          <w:sz w:val="19"/>
          <w:szCs w:val="19"/>
        </w:rPr>
        <w:t xml:space="preserve">»Los artículos 2.2.1.2.6.1.4. y 2.2.1.2.6.1.5. del presente decreto aplican para la modalidad de selección abreviada de menor cuantía para la contratación obra pública de infraestructura de transporte».  </w:t>
      </w:r>
    </w:p>
  </w:footnote>
  <w:footnote w:id="8">
    <w:p w14:paraId="055B3BFD" w14:textId="77777777" w:rsidR="003C3359" w:rsidRDefault="003C3359" w:rsidP="003C3359">
      <w:pPr>
        <w:pStyle w:val="Textonotapie"/>
      </w:pPr>
    </w:p>
    <w:p w14:paraId="1818FE87" w14:textId="77777777" w:rsidR="003C3359" w:rsidRPr="003C5E5D" w:rsidRDefault="003C3359" w:rsidP="003C3359">
      <w:pPr>
        <w:pStyle w:val="Textonotapie"/>
        <w:ind w:firstLine="705"/>
        <w:jc w:val="both"/>
        <w:rPr>
          <w:rFonts w:ascii="Arial" w:hAnsi="Arial" w:cs="Arial"/>
          <w:sz w:val="19"/>
          <w:szCs w:val="19"/>
        </w:rPr>
      </w:pPr>
      <w:r w:rsidRPr="003C5E5D">
        <w:rPr>
          <w:rStyle w:val="Refdenotaalpie"/>
          <w:rFonts w:ascii="Arial" w:hAnsi="Arial" w:cs="Arial"/>
          <w:sz w:val="19"/>
          <w:szCs w:val="19"/>
        </w:rPr>
        <w:footnoteRef/>
      </w:r>
      <w:r w:rsidRPr="003C5E5D">
        <w:rPr>
          <w:rFonts w:ascii="Arial" w:hAnsi="Arial" w:cs="Arial"/>
          <w:sz w:val="19"/>
          <w:szCs w:val="19"/>
        </w:rPr>
        <w:t xml:space="preserve"> Mínima cuantía: «2.2.1.2.6.3.4 Inalterabilidad de los Documentos Tipo. Las entidades estatales contratantes no podrán incluir o modificar dentro de los Documentos del Proceso, condiciones habilitantes y factores económicos de escogencia distintos a los señalados en los Documentos Tipo».</w:t>
      </w:r>
    </w:p>
    <w:p w14:paraId="11E93B91" w14:textId="77777777" w:rsidR="003C3359" w:rsidRPr="003C5E5D" w:rsidRDefault="003C3359" w:rsidP="003C3359">
      <w:pPr>
        <w:pStyle w:val="Textonotapie"/>
        <w:ind w:firstLine="705"/>
        <w:rPr>
          <w:lang w:val="es-CO"/>
        </w:rPr>
      </w:pPr>
      <w:r w:rsidRPr="003C5E5D">
        <w:t xml:space="preserve"> </w:t>
      </w:r>
      <w:r>
        <w:t xml:space="preserve"> </w:t>
      </w:r>
    </w:p>
  </w:footnote>
  <w:footnote w:id="9">
    <w:p w14:paraId="791D5C94" w14:textId="77777777" w:rsidR="007E4029" w:rsidRPr="00277630" w:rsidRDefault="007E4029" w:rsidP="007E4029">
      <w:pPr>
        <w:pStyle w:val="Textonotapie"/>
        <w:ind w:firstLine="705"/>
        <w:jc w:val="both"/>
        <w:rPr>
          <w:rFonts w:ascii="Arial" w:hAnsi="Arial" w:cs="Arial"/>
          <w:sz w:val="19"/>
          <w:szCs w:val="19"/>
          <w:lang w:val="es-CO"/>
        </w:rPr>
      </w:pPr>
      <w:r w:rsidRPr="00277630">
        <w:rPr>
          <w:rStyle w:val="Refdenotaalpie"/>
          <w:rFonts w:ascii="Arial" w:hAnsi="Arial" w:cs="Arial"/>
          <w:sz w:val="19"/>
          <w:szCs w:val="19"/>
        </w:rPr>
        <w:footnoteRef/>
      </w:r>
      <w:r w:rsidRPr="00277630">
        <w:rPr>
          <w:rFonts w:ascii="Arial" w:hAnsi="Arial" w:cs="Arial"/>
          <w:sz w:val="19"/>
          <w:szCs w:val="19"/>
        </w:rPr>
        <w:t xml:space="preserve">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0">
    <w:p w14:paraId="57CADC05" w14:textId="77777777" w:rsidR="003C3359" w:rsidRPr="00AE5E16" w:rsidRDefault="003C3359" w:rsidP="003C3359">
      <w:pPr>
        <w:pStyle w:val="Textonotapie"/>
        <w:ind w:firstLine="705"/>
        <w:jc w:val="both"/>
        <w:rPr>
          <w:rFonts w:ascii="Arial" w:hAnsi="Arial" w:cs="Arial"/>
          <w:sz w:val="19"/>
          <w:szCs w:val="19"/>
        </w:rPr>
      </w:pPr>
      <w:r w:rsidRPr="00AE5E16">
        <w:rPr>
          <w:rStyle w:val="Refdenotaalpie"/>
          <w:rFonts w:ascii="Arial" w:hAnsi="Arial" w:cs="Arial"/>
          <w:sz w:val="19"/>
          <w:szCs w:val="19"/>
        </w:rPr>
        <w:footnoteRef/>
      </w:r>
      <w:r w:rsidRPr="00AE5E16">
        <w:rPr>
          <w:rFonts w:ascii="Arial" w:hAnsi="Arial" w:cs="Arial"/>
          <w:sz w:val="19"/>
          <w:szCs w:val="19"/>
        </w:rPr>
        <w:t xml:space="preserve"> DÁVILA VINUEZA, Luis Guillermo. Régimen jurídico de la contratación estatal. Tercera edición. Editorial Legis, Bogotá, 2016, p. 304 </w:t>
      </w:r>
    </w:p>
    <w:p w14:paraId="1C679D43" w14:textId="77777777" w:rsidR="003C3359" w:rsidRPr="00AE5E16" w:rsidRDefault="003C3359" w:rsidP="003C3359">
      <w:pPr>
        <w:pStyle w:val="Textonotapie"/>
      </w:pPr>
    </w:p>
  </w:footnote>
  <w:footnote w:id="11">
    <w:p w14:paraId="4E08C6F7" w14:textId="77777777" w:rsidR="003C3359" w:rsidRPr="001A6FE9" w:rsidRDefault="003C3359" w:rsidP="003C3359">
      <w:pPr>
        <w:pStyle w:val="Textonotapie"/>
        <w:ind w:firstLine="705"/>
        <w:jc w:val="both"/>
        <w:rPr>
          <w:rFonts w:ascii="Arial" w:hAnsi="Arial" w:cs="Arial"/>
          <w:sz w:val="19"/>
          <w:szCs w:val="19"/>
        </w:rPr>
      </w:pPr>
      <w:r w:rsidRPr="001A6FE9">
        <w:rPr>
          <w:rStyle w:val="Refdenotaalpie"/>
          <w:rFonts w:ascii="Arial" w:hAnsi="Arial" w:cs="Arial"/>
          <w:sz w:val="19"/>
          <w:szCs w:val="19"/>
        </w:rPr>
        <w:footnoteRef/>
      </w:r>
      <w:r w:rsidRPr="001A6FE9">
        <w:rPr>
          <w:rFonts w:ascii="Arial" w:hAnsi="Arial" w:cs="Arial"/>
          <w:sz w:val="19"/>
          <w:szCs w:val="19"/>
        </w:rPr>
        <w:t xml:space="preserve"> «Artículo 2.2.1.1.2.2.4. Oferta con valor artificialmente bajo. 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 </w:t>
      </w:r>
    </w:p>
    <w:p w14:paraId="41C5D157" w14:textId="77777777" w:rsidR="003C3359" w:rsidRPr="001A6FE9" w:rsidRDefault="003C3359" w:rsidP="003C3359">
      <w:pPr>
        <w:pStyle w:val="Textonotapie"/>
        <w:ind w:firstLine="705"/>
        <w:jc w:val="both"/>
        <w:rPr>
          <w:rFonts w:ascii="Arial" w:hAnsi="Arial" w:cs="Arial"/>
          <w:sz w:val="19"/>
          <w:szCs w:val="19"/>
        </w:rPr>
      </w:pPr>
      <w:r w:rsidRPr="001A6FE9">
        <w:rPr>
          <w:rFonts w:ascii="Arial" w:hAnsi="Arial" w:cs="Arial"/>
          <w:sz w:val="19"/>
          <w:szCs w:val="19"/>
        </w:rPr>
        <w:t xml:space="preserve">»Cuando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 </w:t>
      </w:r>
    </w:p>
    <w:p w14:paraId="5CFCC7C0" w14:textId="77777777" w:rsidR="003C3359" w:rsidRPr="001A6FE9" w:rsidRDefault="003C3359" w:rsidP="003C3359">
      <w:pPr>
        <w:pStyle w:val="Textonotapie"/>
        <w:ind w:firstLine="705"/>
        <w:jc w:val="both"/>
        <w:rPr>
          <w:lang w:val="es-CO"/>
        </w:rPr>
      </w:pPr>
      <w:r w:rsidRPr="001A6FE9">
        <w:rPr>
          <w:rFonts w:ascii="Arial" w:hAnsi="Arial" w:cs="Arial"/>
          <w:sz w:val="19"/>
          <w:szCs w:val="19"/>
        </w:rPr>
        <w:t>»En la subasta inversa esta disposición es aplicable sobre el precio obtenido al final de la misma».</w:t>
      </w:r>
    </w:p>
  </w:footnote>
  <w:footnote w:id="12">
    <w:p w14:paraId="68880616" w14:textId="77777777" w:rsidR="003C3359" w:rsidRPr="00671919" w:rsidRDefault="003C3359" w:rsidP="003C3359">
      <w:pPr>
        <w:spacing w:after="120"/>
        <w:ind w:firstLine="708"/>
        <w:jc w:val="both"/>
        <w:rPr>
          <w:rFonts w:ascii="Arial" w:hAnsi="Arial" w:cs="Arial"/>
          <w:sz w:val="19"/>
          <w:szCs w:val="19"/>
          <w:lang w:val="es-CO"/>
        </w:rPr>
      </w:pPr>
      <w:r w:rsidRPr="00671919">
        <w:rPr>
          <w:rStyle w:val="Refdenotaalpie"/>
          <w:rFonts w:ascii="Arial" w:hAnsi="Arial" w:cs="Arial"/>
          <w:sz w:val="19"/>
          <w:szCs w:val="19"/>
        </w:rPr>
        <w:footnoteRef/>
      </w:r>
      <w:r w:rsidRPr="00671919">
        <w:rPr>
          <w:rFonts w:ascii="Arial" w:hAnsi="Arial" w:cs="Arial"/>
          <w:sz w:val="19"/>
          <w:szCs w:val="19"/>
        </w:rPr>
        <w:t xml:space="preserve"> Los referidos documentos disponen «</w:t>
      </w:r>
      <w:r w:rsidRPr="00961031">
        <w:rPr>
          <w:rFonts w:ascii="Arial" w:eastAsia="Times New Roman" w:hAnsi="Arial" w:cs="Arial"/>
          <w:color w:val="565659"/>
          <w:sz w:val="19"/>
          <w:szCs w:val="19"/>
        </w:rPr>
        <w:t>[</w:t>
      </w:r>
      <w:r w:rsidRPr="00961031">
        <w:rPr>
          <w:rFonts w:ascii="Arial" w:eastAsia="Arial" w:hAnsi="Arial" w:cs="Arial"/>
          <w:sz w:val="19"/>
          <w:szCs w:val="19"/>
          <w:lang w:eastAsia="es-ES"/>
        </w:rPr>
        <w:t>Por regla general, el Proponente solo puede acreditar la experiencia que ha obtenido y no la experiencia de su matriz, subsidiarias o integrantes del mismo grupo empresarial. No obstante, si de acuerdo con el estudio de sector es necesario que el Proponente acredite la experiencia de su matriz como en los casos de contratos de franquicia, la Entidad Estatal debe justificar dicha circunstancia en los estudios y documentos previos e indicar en el pliego de condiciones la forma de acreditar la experiencia que no aparece en el RUP]</w:t>
      </w:r>
      <w:r w:rsidRPr="00671919">
        <w:rPr>
          <w:rFonts w:ascii="Arial" w:eastAsia="Arial" w:hAnsi="Arial" w:cs="Arial"/>
          <w:sz w:val="19"/>
          <w:szCs w:val="19"/>
          <w:lang w:eastAsia="es-ES"/>
        </w:rPr>
        <w:t>».</w:t>
      </w:r>
    </w:p>
    <w:p w14:paraId="455E6511" w14:textId="77777777" w:rsidR="003C3359" w:rsidRPr="00671919" w:rsidRDefault="003C3359" w:rsidP="003C3359">
      <w:pPr>
        <w:pStyle w:val="Textonotapie"/>
        <w:ind w:firstLine="705"/>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6C2F7" w14:textId="77777777" w:rsidR="00F424EA" w:rsidRDefault="00B13EF7">
    <w:pPr>
      <w:pStyle w:val="Encabezado"/>
    </w:pPr>
    <w:r>
      <w:rPr>
        <w:noProof/>
        <w:lang w:val="en-US"/>
      </w:rPr>
      <w:drawing>
        <wp:anchor distT="0" distB="0" distL="114300" distR="114300" simplePos="0" relativeHeight="251659264" behindDoc="1" locked="0" layoutInCell="1" allowOverlap="1" wp14:anchorId="33F82844" wp14:editId="522D808F">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E379C"/>
    <w:multiLevelType w:val="hybridMultilevel"/>
    <w:tmpl w:val="9A540D78"/>
    <w:lvl w:ilvl="0" w:tplc="FD265EFA">
      <w:start w:val="1"/>
      <w:numFmt w:val="decimal"/>
      <w:pStyle w:val="clusulas"/>
      <w:lvlText w:val="CLÁUSULA %1."/>
      <w:lvlJc w:val="left"/>
      <w:pPr>
        <w:ind w:left="9150" w:hanging="360"/>
      </w:pPr>
      <w:rPr>
        <w:rFonts w:hint="default"/>
        <w:b/>
        <w:color w:val="AEAAAA" w:themeColor="background2" w:themeShade="BF"/>
        <w:lang w:val="es-MX"/>
      </w:rPr>
    </w:lvl>
    <w:lvl w:ilvl="1" w:tplc="240A0019">
      <w:start w:val="1"/>
      <w:numFmt w:val="lowerLetter"/>
      <w:lvlText w:val="%2."/>
      <w:lvlJc w:val="left"/>
      <w:pPr>
        <w:ind w:left="6327" w:hanging="360"/>
      </w:pPr>
    </w:lvl>
    <w:lvl w:ilvl="2" w:tplc="240A001B">
      <w:start w:val="1"/>
      <w:numFmt w:val="lowerRoman"/>
      <w:lvlText w:val="%3."/>
      <w:lvlJc w:val="right"/>
      <w:pPr>
        <w:ind w:left="7047" w:hanging="180"/>
      </w:pPr>
    </w:lvl>
    <w:lvl w:ilvl="3" w:tplc="240A000F" w:tentative="1">
      <w:start w:val="1"/>
      <w:numFmt w:val="decimal"/>
      <w:lvlText w:val="%4."/>
      <w:lvlJc w:val="left"/>
      <w:pPr>
        <w:ind w:left="7767" w:hanging="360"/>
      </w:pPr>
    </w:lvl>
    <w:lvl w:ilvl="4" w:tplc="240A0019" w:tentative="1">
      <w:start w:val="1"/>
      <w:numFmt w:val="lowerLetter"/>
      <w:lvlText w:val="%5."/>
      <w:lvlJc w:val="left"/>
      <w:pPr>
        <w:ind w:left="8487" w:hanging="360"/>
      </w:pPr>
    </w:lvl>
    <w:lvl w:ilvl="5" w:tplc="240A001B" w:tentative="1">
      <w:start w:val="1"/>
      <w:numFmt w:val="lowerRoman"/>
      <w:lvlText w:val="%6."/>
      <w:lvlJc w:val="right"/>
      <w:pPr>
        <w:ind w:left="9207" w:hanging="180"/>
      </w:pPr>
    </w:lvl>
    <w:lvl w:ilvl="6" w:tplc="240A000F" w:tentative="1">
      <w:start w:val="1"/>
      <w:numFmt w:val="decimal"/>
      <w:lvlText w:val="%7."/>
      <w:lvlJc w:val="left"/>
      <w:pPr>
        <w:ind w:left="9927" w:hanging="360"/>
      </w:pPr>
    </w:lvl>
    <w:lvl w:ilvl="7" w:tplc="240A0019" w:tentative="1">
      <w:start w:val="1"/>
      <w:numFmt w:val="lowerLetter"/>
      <w:lvlText w:val="%8."/>
      <w:lvlJc w:val="left"/>
      <w:pPr>
        <w:ind w:left="10647" w:hanging="360"/>
      </w:pPr>
    </w:lvl>
    <w:lvl w:ilvl="8" w:tplc="240A001B" w:tentative="1">
      <w:start w:val="1"/>
      <w:numFmt w:val="lowerRoman"/>
      <w:lvlText w:val="%9."/>
      <w:lvlJc w:val="right"/>
      <w:pPr>
        <w:ind w:left="11367" w:hanging="180"/>
      </w:pPr>
    </w:lvl>
  </w:abstractNum>
  <w:abstractNum w:abstractNumId="1" w15:restartNumberingAfterBreak="0">
    <w:nsid w:val="36B16D52"/>
    <w:multiLevelType w:val="multilevel"/>
    <w:tmpl w:val="5B2C0596"/>
    <w:lvl w:ilvl="0">
      <w:start w:val="2"/>
      <w:numFmt w:val="decimal"/>
      <w:lvlText w:val="%1"/>
      <w:lvlJc w:val="left"/>
      <w:pPr>
        <w:ind w:left="545" w:hanging="425"/>
      </w:pPr>
      <w:rPr>
        <w:lang w:val="es-ES" w:eastAsia="en-US" w:bidi="ar-SA"/>
      </w:rPr>
    </w:lvl>
    <w:lvl w:ilvl="1">
      <w:start w:val="1"/>
      <w:numFmt w:val="decimal"/>
      <w:lvlText w:val="%1.%2."/>
      <w:lvlJc w:val="left"/>
      <w:pPr>
        <w:ind w:left="545" w:hanging="425"/>
      </w:pPr>
      <w:rPr>
        <w:rFonts w:ascii="Arial" w:eastAsia="Arial" w:hAnsi="Arial" w:cs="Arial" w:hint="default"/>
        <w:b/>
        <w:bCs/>
        <w:color w:val="4E4D4D"/>
        <w:spacing w:val="-1"/>
        <w:w w:val="100"/>
        <w:sz w:val="22"/>
        <w:szCs w:val="22"/>
        <w:lang w:val="es-ES" w:eastAsia="en-US" w:bidi="ar-SA"/>
      </w:rPr>
    </w:lvl>
    <w:lvl w:ilvl="2">
      <w:start w:val="1"/>
      <w:numFmt w:val="decimal"/>
      <w:lvlText w:val="%3."/>
      <w:lvlJc w:val="left"/>
      <w:pPr>
        <w:ind w:left="395" w:hanging="395"/>
      </w:pPr>
      <w:rPr>
        <w:rFonts w:ascii="Arial" w:eastAsia="Arial" w:hAnsi="Arial" w:cs="Arial" w:hint="default"/>
        <w:color w:val="auto"/>
        <w:spacing w:val="-2"/>
        <w:w w:val="100"/>
        <w:sz w:val="20"/>
        <w:szCs w:val="20"/>
        <w:lang w:val="es-ES" w:eastAsia="en-US" w:bidi="ar-SA"/>
      </w:rPr>
    </w:lvl>
    <w:lvl w:ilvl="3">
      <w:numFmt w:val="bullet"/>
      <w:lvlText w:val="•"/>
      <w:lvlJc w:val="left"/>
      <w:pPr>
        <w:ind w:left="2673" w:hanging="395"/>
      </w:pPr>
      <w:rPr>
        <w:lang w:val="es-ES" w:eastAsia="en-US" w:bidi="ar-SA"/>
      </w:rPr>
    </w:lvl>
    <w:lvl w:ilvl="4">
      <w:numFmt w:val="bullet"/>
      <w:lvlText w:val="•"/>
      <w:lvlJc w:val="left"/>
      <w:pPr>
        <w:ind w:left="3600" w:hanging="395"/>
      </w:pPr>
      <w:rPr>
        <w:lang w:val="es-ES" w:eastAsia="en-US" w:bidi="ar-SA"/>
      </w:rPr>
    </w:lvl>
    <w:lvl w:ilvl="5">
      <w:numFmt w:val="bullet"/>
      <w:lvlText w:val="•"/>
      <w:lvlJc w:val="left"/>
      <w:pPr>
        <w:ind w:left="4526" w:hanging="395"/>
      </w:pPr>
      <w:rPr>
        <w:lang w:val="es-ES" w:eastAsia="en-US" w:bidi="ar-SA"/>
      </w:rPr>
    </w:lvl>
    <w:lvl w:ilvl="6">
      <w:numFmt w:val="bullet"/>
      <w:lvlText w:val="•"/>
      <w:lvlJc w:val="left"/>
      <w:pPr>
        <w:ind w:left="5453" w:hanging="395"/>
      </w:pPr>
      <w:rPr>
        <w:lang w:val="es-ES" w:eastAsia="en-US" w:bidi="ar-SA"/>
      </w:rPr>
    </w:lvl>
    <w:lvl w:ilvl="7">
      <w:numFmt w:val="bullet"/>
      <w:lvlText w:val="•"/>
      <w:lvlJc w:val="left"/>
      <w:pPr>
        <w:ind w:left="6380" w:hanging="395"/>
      </w:pPr>
      <w:rPr>
        <w:lang w:val="es-ES" w:eastAsia="en-US" w:bidi="ar-SA"/>
      </w:rPr>
    </w:lvl>
    <w:lvl w:ilvl="8">
      <w:numFmt w:val="bullet"/>
      <w:lvlText w:val="•"/>
      <w:lvlJc w:val="left"/>
      <w:pPr>
        <w:ind w:left="7306" w:hanging="395"/>
      </w:pPr>
      <w:rPr>
        <w:lang w:val="es-ES" w:eastAsia="en-US" w:bidi="ar-SA"/>
      </w:rPr>
    </w:lvl>
  </w:abstractNum>
  <w:abstractNum w:abstractNumId="2" w15:restartNumberingAfterBreak="0">
    <w:nsid w:val="46D644B5"/>
    <w:multiLevelType w:val="hybridMultilevel"/>
    <w:tmpl w:val="9A065CEE"/>
    <w:lvl w:ilvl="0" w:tplc="F8928958">
      <w:start w:val="6"/>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586036A2"/>
    <w:multiLevelType w:val="multilevel"/>
    <w:tmpl w:val="A6185EC2"/>
    <w:lvl w:ilvl="0">
      <w:start w:val="1"/>
      <w:numFmt w:val="decimal"/>
      <w:lvlText w:val="%1."/>
      <w:lvlJc w:val="left"/>
      <w:pPr>
        <w:ind w:left="445" w:hanging="285"/>
      </w:pPr>
      <w:rPr>
        <w:rFonts w:ascii="Arial" w:eastAsia="Arial" w:hAnsi="Arial" w:cs="Arial" w:hint="default"/>
        <w:b/>
        <w:bCs/>
        <w:color w:val="auto"/>
        <w:spacing w:val="-21"/>
        <w:w w:val="100"/>
        <w:sz w:val="22"/>
        <w:szCs w:val="22"/>
        <w:lang w:val="es-ES" w:eastAsia="en-US" w:bidi="ar-SA"/>
      </w:rPr>
    </w:lvl>
    <w:lvl w:ilvl="1">
      <w:start w:val="1"/>
      <w:numFmt w:val="decimal"/>
      <w:lvlText w:val="%1.%2."/>
      <w:lvlJc w:val="left"/>
      <w:pPr>
        <w:ind w:left="870" w:hanging="720"/>
      </w:pPr>
      <w:rPr>
        <w:rFonts w:ascii="Arial" w:eastAsia="Arial" w:hAnsi="Arial" w:cs="Arial" w:hint="default"/>
        <w:b/>
        <w:bCs/>
        <w:color w:val="000000" w:themeColor="text1"/>
        <w:spacing w:val="-4"/>
        <w:w w:val="100"/>
        <w:sz w:val="22"/>
        <w:szCs w:val="22"/>
        <w:lang w:val="es-ES" w:eastAsia="en-US" w:bidi="ar-SA"/>
      </w:rPr>
    </w:lvl>
    <w:lvl w:ilvl="2">
      <w:start w:val="1"/>
      <w:numFmt w:val="decimal"/>
      <w:lvlText w:val="%3."/>
      <w:lvlJc w:val="left"/>
      <w:pPr>
        <w:ind w:left="868" w:hanging="223"/>
      </w:pPr>
      <w:rPr>
        <w:rFonts w:ascii="Arial" w:eastAsia="Arial" w:hAnsi="Arial" w:cs="Arial" w:hint="default"/>
        <w:color w:val="000000" w:themeColor="text1"/>
        <w:spacing w:val="-2"/>
        <w:w w:val="100"/>
        <w:sz w:val="20"/>
        <w:szCs w:val="20"/>
        <w:lang w:val="es-ES" w:eastAsia="en-US" w:bidi="ar-SA"/>
      </w:rPr>
    </w:lvl>
    <w:lvl w:ilvl="3">
      <w:numFmt w:val="bullet"/>
      <w:lvlText w:val="•"/>
      <w:lvlJc w:val="left"/>
      <w:pPr>
        <w:ind w:left="1927" w:hanging="223"/>
      </w:pPr>
      <w:rPr>
        <w:rFonts w:hint="default"/>
        <w:lang w:val="es-ES" w:eastAsia="en-US" w:bidi="ar-SA"/>
      </w:rPr>
    </w:lvl>
    <w:lvl w:ilvl="4">
      <w:numFmt w:val="bullet"/>
      <w:lvlText w:val="•"/>
      <w:lvlJc w:val="left"/>
      <w:pPr>
        <w:ind w:left="2975" w:hanging="223"/>
      </w:pPr>
      <w:rPr>
        <w:rFonts w:hint="default"/>
        <w:lang w:val="es-ES" w:eastAsia="en-US" w:bidi="ar-SA"/>
      </w:rPr>
    </w:lvl>
    <w:lvl w:ilvl="5">
      <w:numFmt w:val="bullet"/>
      <w:lvlText w:val="•"/>
      <w:lvlJc w:val="left"/>
      <w:pPr>
        <w:ind w:left="4022" w:hanging="223"/>
      </w:pPr>
      <w:rPr>
        <w:rFonts w:hint="default"/>
        <w:lang w:val="es-ES" w:eastAsia="en-US" w:bidi="ar-SA"/>
      </w:rPr>
    </w:lvl>
    <w:lvl w:ilvl="6">
      <w:numFmt w:val="bullet"/>
      <w:lvlText w:val="•"/>
      <w:lvlJc w:val="left"/>
      <w:pPr>
        <w:ind w:left="5070" w:hanging="223"/>
      </w:pPr>
      <w:rPr>
        <w:rFonts w:hint="default"/>
        <w:lang w:val="es-ES" w:eastAsia="en-US" w:bidi="ar-SA"/>
      </w:rPr>
    </w:lvl>
    <w:lvl w:ilvl="7">
      <w:numFmt w:val="bullet"/>
      <w:lvlText w:val="•"/>
      <w:lvlJc w:val="left"/>
      <w:pPr>
        <w:ind w:left="6117" w:hanging="223"/>
      </w:pPr>
      <w:rPr>
        <w:rFonts w:hint="default"/>
        <w:lang w:val="es-ES" w:eastAsia="en-US" w:bidi="ar-SA"/>
      </w:rPr>
    </w:lvl>
    <w:lvl w:ilvl="8">
      <w:numFmt w:val="bullet"/>
      <w:lvlText w:val="•"/>
      <w:lvlJc w:val="left"/>
      <w:pPr>
        <w:ind w:left="7165" w:hanging="223"/>
      </w:pPr>
      <w:rPr>
        <w:rFonts w:hint="default"/>
        <w:lang w:val="es-ES" w:eastAsia="en-US" w:bidi="ar-SA"/>
      </w:rPr>
    </w:lvl>
  </w:abstractNum>
  <w:num w:numId="1">
    <w:abstractNumId w:val="0"/>
  </w:num>
  <w:num w:numId="2">
    <w:abstractNumId w:val="3"/>
  </w:num>
  <w:num w:numId="3">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59"/>
    <w:rsid w:val="0006722A"/>
    <w:rsid w:val="00073E4C"/>
    <w:rsid w:val="00085F5C"/>
    <w:rsid w:val="000950AA"/>
    <w:rsid w:val="00113228"/>
    <w:rsid w:val="00122D78"/>
    <w:rsid w:val="0013461C"/>
    <w:rsid w:val="0014258F"/>
    <w:rsid w:val="001469AF"/>
    <w:rsid w:val="00163928"/>
    <w:rsid w:val="00181493"/>
    <w:rsid w:val="001D35B6"/>
    <w:rsid w:val="00210561"/>
    <w:rsid w:val="0024798A"/>
    <w:rsid w:val="002D4D81"/>
    <w:rsid w:val="002E755A"/>
    <w:rsid w:val="00331868"/>
    <w:rsid w:val="00350510"/>
    <w:rsid w:val="00357EF3"/>
    <w:rsid w:val="003A1CEC"/>
    <w:rsid w:val="003C3359"/>
    <w:rsid w:val="003C6782"/>
    <w:rsid w:val="00444197"/>
    <w:rsid w:val="0048534E"/>
    <w:rsid w:val="004D4C99"/>
    <w:rsid w:val="004E4A61"/>
    <w:rsid w:val="00503C6F"/>
    <w:rsid w:val="005164A9"/>
    <w:rsid w:val="005562C7"/>
    <w:rsid w:val="005A6151"/>
    <w:rsid w:val="005E3338"/>
    <w:rsid w:val="005E7C4D"/>
    <w:rsid w:val="00630003"/>
    <w:rsid w:val="0063294A"/>
    <w:rsid w:val="00661514"/>
    <w:rsid w:val="00685ED6"/>
    <w:rsid w:val="00697B55"/>
    <w:rsid w:val="00767A93"/>
    <w:rsid w:val="007967EB"/>
    <w:rsid w:val="007B5077"/>
    <w:rsid w:val="007B7BE1"/>
    <w:rsid w:val="007E4029"/>
    <w:rsid w:val="007F04EE"/>
    <w:rsid w:val="0086436E"/>
    <w:rsid w:val="00874E1F"/>
    <w:rsid w:val="008F1F13"/>
    <w:rsid w:val="0093647A"/>
    <w:rsid w:val="00983D0D"/>
    <w:rsid w:val="009E7AE7"/>
    <w:rsid w:val="00A41885"/>
    <w:rsid w:val="00AF2A41"/>
    <w:rsid w:val="00B13EF7"/>
    <w:rsid w:val="00B95E26"/>
    <w:rsid w:val="00B96CAC"/>
    <w:rsid w:val="00BC1584"/>
    <w:rsid w:val="00BD0429"/>
    <w:rsid w:val="00C0116A"/>
    <w:rsid w:val="00C07C9A"/>
    <w:rsid w:val="00C42590"/>
    <w:rsid w:val="00C53637"/>
    <w:rsid w:val="00C7694E"/>
    <w:rsid w:val="00CD7877"/>
    <w:rsid w:val="00CF1C2D"/>
    <w:rsid w:val="00D0386B"/>
    <w:rsid w:val="00D2504D"/>
    <w:rsid w:val="00D40782"/>
    <w:rsid w:val="00D45579"/>
    <w:rsid w:val="00D60539"/>
    <w:rsid w:val="00E862A5"/>
    <w:rsid w:val="00EB32BF"/>
    <w:rsid w:val="00EE34D7"/>
    <w:rsid w:val="00F049A2"/>
    <w:rsid w:val="00F05E06"/>
    <w:rsid w:val="00F154C5"/>
    <w:rsid w:val="00FA5C8F"/>
    <w:rsid w:val="00FC218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AE1F"/>
  <w15:chartTrackingRefBased/>
  <w15:docId w15:val="{BEDF1D97-9586-42A4-8296-957BBADB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59"/>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3359"/>
    <w:pPr>
      <w:tabs>
        <w:tab w:val="center" w:pos="4419"/>
        <w:tab w:val="right" w:pos="8838"/>
      </w:tabs>
    </w:pPr>
  </w:style>
  <w:style w:type="character" w:customStyle="1" w:styleId="PiedepginaCar">
    <w:name w:val="Pie de página Car"/>
    <w:basedOn w:val="Fuentedeprrafopredeter"/>
    <w:link w:val="Piedepgina"/>
    <w:uiPriority w:val="99"/>
    <w:rsid w:val="003C3359"/>
    <w:rPr>
      <w:sz w:val="24"/>
      <w:lang w:val="es-MX"/>
    </w:rPr>
  </w:style>
  <w:style w:type="paragraph" w:styleId="Encabezado">
    <w:name w:val="header"/>
    <w:basedOn w:val="Normal"/>
    <w:link w:val="EncabezadoCar"/>
    <w:uiPriority w:val="99"/>
    <w:unhideWhenUsed/>
    <w:rsid w:val="003C3359"/>
    <w:pPr>
      <w:tabs>
        <w:tab w:val="center" w:pos="4252"/>
        <w:tab w:val="right" w:pos="8504"/>
      </w:tabs>
    </w:pPr>
  </w:style>
  <w:style w:type="character" w:customStyle="1" w:styleId="EncabezadoCar">
    <w:name w:val="Encabezado Car"/>
    <w:basedOn w:val="Fuentedeprrafopredeter"/>
    <w:link w:val="Encabezado"/>
    <w:uiPriority w:val="99"/>
    <w:rsid w:val="003C3359"/>
    <w:rPr>
      <w:sz w:val="24"/>
      <w:lang w:val="es-MX"/>
    </w:rPr>
  </w:style>
  <w:style w:type="table" w:styleId="Tablaconcuadrcula">
    <w:name w:val="Table Grid"/>
    <w:basedOn w:val="Tablanormal"/>
    <w:uiPriority w:val="59"/>
    <w:rsid w:val="003C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3C3359"/>
    <w:pPr>
      <w:ind w:left="720"/>
      <w:contextualSpacing/>
    </w:pPr>
  </w:style>
  <w:style w:type="paragraph" w:styleId="Sinespaciado">
    <w:name w:val="No Spacing"/>
    <w:aliases w:val="No Indent"/>
    <w:uiPriority w:val="3"/>
    <w:qFormat/>
    <w:rsid w:val="003C3359"/>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335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3C3359"/>
    <w:rPr>
      <w:sz w:val="20"/>
      <w:szCs w:val="20"/>
    </w:rPr>
  </w:style>
  <w:style w:type="character" w:customStyle="1" w:styleId="TextonotapieCar1">
    <w:name w:val="Texto nota pie Car1"/>
    <w:basedOn w:val="Fuentedeprrafopredeter"/>
    <w:uiPriority w:val="99"/>
    <w:semiHidden/>
    <w:rsid w:val="003C3359"/>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3359"/>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uiPriority w:val="99"/>
    <w:unhideWhenUsed/>
    <w:qFormat/>
    <w:rsid w:val="003C3359"/>
    <w:rPr>
      <w:vertAlign w:val="superscript"/>
    </w:rPr>
  </w:style>
  <w:style w:type="paragraph" w:customStyle="1" w:styleId="Default">
    <w:name w:val="Default"/>
    <w:rsid w:val="003C335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3C3359"/>
    <w:rPr>
      <w:b/>
      <w:bCs/>
    </w:rPr>
  </w:style>
  <w:style w:type="paragraph" w:styleId="Textodeglobo">
    <w:name w:val="Balloon Text"/>
    <w:basedOn w:val="Normal"/>
    <w:link w:val="TextodegloboCar"/>
    <w:uiPriority w:val="99"/>
    <w:semiHidden/>
    <w:unhideWhenUsed/>
    <w:rsid w:val="003C33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3359"/>
    <w:rPr>
      <w:rFonts w:ascii="Segoe UI" w:hAnsi="Segoe UI" w:cs="Segoe UI"/>
      <w:sz w:val="18"/>
      <w:szCs w:val="18"/>
      <w:lang w:val="es-MX"/>
    </w:rPr>
  </w:style>
  <w:style w:type="character" w:styleId="Refdecomentario">
    <w:name w:val="annotation reference"/>
    <w:basedOn w:val="Fuentedeprrafopredeter"/>
    <w:uiPriority w:val="99"/>
    <w:semiHidden/>
    <w:unhideWhenUsed/>
    <w:rsid w:val="00B13EF7"/>
    <w:rPr>
      <w:sz w:val="16"/>
      <w:szCs w:val="16"/>
    </w:rPr>
  </w:style>
  <w:style w:type="paragraph" w:styleId="Textocomentario">
    <w:name w:val="annotation text"/>
    <w:basedOn w:val="Normal"/>
    <w:link w:val="TextocomentarioCar"/>
    <w:uiPriority w:val="99"/>
    <w:semiHidden/>
    <w:unhideWhenUsed/>
    <w:rsid w:val="00B13EF7"/>
    <w:rPr>
      <w:sz w:val="20"/>
      <w:szCs w:val="20"/>
    </w:rPr>
  </w:style>
  <w:style w:type="character" w:customStyle="1" w:styleId="TextocomentarioCar">
    <w:name w:val="Texto comentario Car"/>
    <w:basedOn w:val="Fuentedeprrafopredeter"/>
    <w:link w:val="Textocomentario"/>
    <w:uiPriority w:val="99"/>
    <w:semiHidden/>
    <w:rsid w:val="00B13EF7"/>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B13EF7"/>
    <w:rPr>
      <w:b/>
      <w:bCs/>
    </w:rPr>
  </w:style>
  <w:style w:type="character" w:customStyle="1" w:styleId="AsuntodelcomentarioCar">
    <w:name w:val="Asunto del comentario Car"/>
    <w:basedOn w:val="TextocomentarioCar"/>
    <w:link w:val="Asuntodelcomentario"/>
    <w:uiPriority w:val="99"/>
    <w:semiHidden/>
    <w:rsid w:val="00B13EF7"/>
    <w:rPr>
      <w:b/>
      <w:bCs/>
      <w:sz w:val="20"/>
      <w:szCs w:val="20"/>
      <w:lang w:val="es-MX"/>
    </w:rPr>
  </w:style>
  <w:style w:type="paragraph" w:styleId="Textoindependiente">
    <w:name w:val="Body Text"/>
    <w:basedOn w:val="Normal"/>
    <w:link w:val="TextoindependienteCar"/>
    <w:uiPriority w:val="1"/>
    <w:semiHidden/>
    <w:unhideWhenUsed/>
    <w:qFormat/>
    <w:rsid w:val="00F049A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semiHidden/>
    <w:rsid w:val="00F049A2"/>
    <w:rPr>
      <w:rFonts w:ascii="Arial" w:eastAsia="Arial" w:hAnsi="Arial" w:cs="Arial"/>
      <w:lang w:val="es-ES"/>
    </w:rPr>
  </w:style>
  <w:style w:type="paragraph" w:customStyle="1" w:styleId="clusulas">
    <w:name w:val="cláusulas"/>
    <w:basedOn w:val="Normal"/>
    <w:qFormat/>
    <w:rsid w:val="00F049A2"/>
    <w:pPr>
      <w:numPr>
        <w:numId w:val="1"/>
      </w:numPr>
      <w:spacing w:before="120" w:after="120"/>
      <w:jc w:val="both"/>
    </w:pPr>
    <w:rPr>
      <w:b/>
      <w:sz w:val="20"/>
      <w:lang w:val="es-CO"/>
    </w:rPr>
  </w:style>
  <w:style w:type="character" w:customStyle="1" w:styleId="normaltextrun">
    <w:name w:val="normaltextrun"/>
    <w:basedOn w:val="Fuentedeprrafopredeter"/>
    <w:rsid w:val="00163928"/>
  </w:style>
  <w:style w:type="character" w:styleId="Hipervnculo">
    <w:name w:val="Hyperlink"/>
    <w:basedOn w:val="Fuentedeprrafopredeter"/>
    <w:uiPriority w:val="99"/>
    <w:unhideWhenUsed/>
    <w:rsid w:val="001D35B6"/>
    <w:rPr>
      <w:color w:val="0563C1" w:themeColor="hyperlink"/>
      <w:u w:val="single"/>
    </w:rPr>
  </w:style>
  <w:style w:type="character" w:styleId="Mencinsinresolver">
    <w:name w:val="Unresolved Mention"/>
    <w:basedOn w:val="Fuentedeprrafopredeter"/>
    <w:uiPriority w:val="99"/>
    <w:semiHidden/>
    <w:unhideWhenUsed/>
    <w:rsid w:val="001D35B6"/>
    <w:rPr>
      <w:color w:val="605E5C"/>
      <w:shd w:val="clear" w:color="auto" w:fill="E1DFDD"/>
    </w:rPr>
  </w:style>
  <w:style w:type="character" w:customStyle="1" w:styleId="eop">
    <w:name w:val="eop"/>
    <w:basedOn w:val="Fuentedeprrafopredeter"/>
    <w:rsid w:val="005A6151"/>
  </w:style>
  <w:style w:type="paragraph" w:styleId="NormalWeb">
    <w:name w:val="Normal (Web)"/>
    <w:basedOn w:val="Normal"/>
    <w:uiPriority w:val="99"/>
    <w:unhideWhenUsed/>
    <w:rsid w:val="00CD7877"/>
    <w:pPr>
      <w:spacing w:before="100" w:beforeAutospacing="1" w:after="100" w:afterAutospacing="1"/>
    </w:pPr>
    <w:rPr>
      <w:rFonts w:ascii="Times New Roman" w:eastAsia="Times New Roman" w:hAnsi="Times New Roman" w:cs="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sintesis.colombiacompra.gov.co/sintesis/9-etapa-precontractual-estudios-prev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0C302-D305-4D1F-8AF1-11C14776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7114</Words>
  <Characters>39128</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2</cp:revision>
  <dcterms:created xsi:type="dcterms:W3CDTF">2021-01-22T13:47:00Z</dcterms:created>
  <dcterms:modified xsi:type="dcterms:W3CDTF">2021-01-22T13:47:00Z</dcterms:modified>
</cp:coreProperties>
</file>