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B73D58" w:rsidRDefault="00B55C69" w:rsidP="008536BB">
      <w:pPr>
        <w:jc w:val="right"/>
        <w:rPr>
          <w:rFonts w:ascii="Arial" w:eastAsia="Calibri" w:hAnsi="Arial" w:cs="Arial"/>
          <w:b/>
          <w:sz w:val="20"/>
          <w:szCs w:val="20"/>
          <w:lang w:val="es-ES_tradnl"/>
        </w:rPr>
      </w:pPr>
      <w:bookmarkStart w:id="0" w:name="_Hlk28946138"/>
      <w:bookmarkStart w:id="1" w:name="_Hlk29548183"/>
      <w:r w:rsidRPr="00B73D58">
        <w:rPr>
          <w:rFonts w:ascii="Arial" w:hAnsi="Arial" w:cs="Arial"/>
          <w:bCs/>
          <w:sz w:val="16"/>
          <w:szCs w:val="16"/>
          <w:lang w:val="es-ES_tradnl" w:eastAsia="es-ES"/>
        </w:rPr>
        <w:t>CCE-DES-FM-17</w:t>
      </w:r>
      <w:bookmarkEnd w:id="0"/>
      <w:bookmarkEnd w:id="1"/>
    </w:p>
    <w:p w14:paraId="55FBD910" w14:textId="77777777" w:rsidR="008536BB" w:rsidRPr="00B73D58" w:rsidRDefault="008536BB" w:rsidP="00B95C30">
      <w:pPr>
        <w:spacing w:line="276" w:lineRule="auto"/>
        <w:jc w:val="both"/>
        <w:rPr>
          <w:rFonts w:ascii="Arial" w:hAnsi="Arial" w:cs="Arial"/>
          <w:noProof/>
          <w:sz w:val="22"/>
          <w:lang w:val="es-ES_tradnl"/>
        </w:rPr>
      </w:pPr>
    </w:p>
    <w:p w14:paraId="6A654097" w14:textId="523CAACE" w:rsidR="00C978D4" w:rsidRPr="00B73D58" w:rsidRDefault="00272945" w:rsidP="00C978D4">
      <w:pPr>
        <w:jc w:val="both"/>
        <w:rPr>
          <w:rFonts w:ascii="Arial" w:eastAsia="Calibri" w:hAnsi="Arial" w:cs="Arial"/>
          <w:b/>
          <w:sz w:val="22"/>
          <w:lang w:val="es-ES_tradnl"/>
        </w:rPr>
      </w:pPr>
      <w:r w:rsidRPr="00B73D58">
        <w:rPr>
          <w:rFonts w:ascii="Arial" w:eastAsia="Calibri" w:hAnsi="Arial" w:cs="Arial"/>
          <w:b/>
          <w:sz w:val="22"/>
          <w:lang w:val="es-ES_tradnl"/>
        </w:rPr>
        <w:t>SELECCIÓN OBJETIVA</w:t>
      </w:r>
      <w:r w:rsidR="00C978D4" w:rsidRPr="00B73D58">
        <w:rPr>
          <w:rFonts w:ascii="Arial" w:eastAsia="Calibri" w:hAnsi="Arial" w:cs="Arial"/>
          <w:b/>
          <w:sz w:val="22"/>
          <w:lang w:val="es-ES_tradnl"/>
        </w:rPr>
        <w:t xml:space="preserve"> – </w:t>
      </w:r>
      <w:r w:rsidR="00003D39" w:rsidRPr="00B73D58">
        <w:rPr>
          <w:rFonts w:ascii="Arial" w:eastAsia="Calibri" w:hAnsi="Arial" w:cs="Arial"/>
          <w:b/>
          <w:sz w:val="22"/>
          <w:lang w:val="es-ES_tradnl"/>
        </w:rPr>
        <w:t>Contratación estatal</w:t>
      </w:r>
      <w:r w:rsidR="00616D7F" w:rsidRPr="00B73D58">
        <w:rPr>
          <w:rFonts w:ascii="Arial" w:eastAsia="Calibri" w:hAnsi="Arial" w:cs="Arial"/>
          <w:b/>
          <w:sz w:val="22"/>
          <w:lang w:val="es-ES_tradnl"/>
        </w:rPr>
        <w:t xml:space="preserve"> </w:t>
      </w:r>
      <w:r w:rsidR="00C978D4" w:rsidRPr="00B73D58">
        <w:rPr>
          <w:rFonts w:ascii="Arial" w:eastAsia="Calibri" w:hAnsi="Arial" w:cs="Arial"/>
          <w:b/>
          <w:sz w:val="22"/>
          <w:lang w:val="es-ES_tradnl"/>
        </w:rPr>
        <w:t xml:space="preserve">– </w:t>
      </w:r>
      <w:r w:rsidRPr="00B73D58">
        <w:rPr>
          <w:rFonts w:ascii="Arial" w:eastAsia="Calibri" w:hAnsi="Arial" w:cs="Arial"/>
          <w:b/>
          <w:sz w:val="22"/>
          <w:lang w:val="es-ES_tradnl"/>
        </w:rPr>
        <w:t>Concepto</w:t>
      </w:r>
    </w:p>
    <w:p w14:paraId="4AAB8DDD" w14:textId="537B898C" w:rsidR="00C978D4" w:rsidRPr="00B73D58" w:rsidRDefault="00C978D4" w:rsidP="0099531F">
      <w:pPr>
        <w:jc w:val="both"/>
        <w:rPr>
          <w:rFonts w:ascii="Arial" w:eastAsia="Calibri" w:hAnsi="Arial" w:cs="Arial"/>
          <w:b/>
          <w:sz w:val="22"/>
          <w:lang w:val="es-ES_tradnl"/>
        </w:rPr>
      </w:pPr>
    </w:p>
    <w:p w14:paraId="079AD14C" w14:textId="0ECF1E90" w:rsidR="00360F9C" w:rsidRDefault="00BF1E4A" w:rsidP="0099531F">
      <w:pPr>
        <w:jc w:val="both"/>
        <w:rPr>
          <w:rFonts w:ascii="Arial" w:eastAsia="Calibri" w:hAnsi="Arial" w:cs="Arial"/>
          <w:sz w:val="20"/>
          <w:szCs w:val="20"/>
          <w:lang w:val="es-ES_tradnl"/>
        </w:rPr>
      </w:pPr>
      <w:r w:rsidRPr="00BF1E4A">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3AD43847" w14:textId="77777777" w:rsidR="00BF1E4A" w:rsidRPr="00B73D58" w:rsidRDefault="00BF1E4A" w:rsidP="0099531F">
      <w:pPr>
        <w:jc w:val="both"/>
        <w:rPr>
          <w:rFonts w:ascii="Arial" w:eastAsia="Calibri" w:hAnsi="Arial" w:cs="Arial"/>
          <w:b/>
          <w:sz w:val="22"/>
          <w:lang w:val="es-ES_tradnl"/>
        </w:rPr>
      </w:pPr>
    </w:p>
    <w:p w14:paraId="73365DCF" w14:textId="63E2A713" w:rsidR="00272945" w:rsidRPr="00B73D58" w:rsidRDefault="00B54215" w:rsidP="00272945">
      <w:pPr>
        <w:jc w:val="both"/>
        <w:rPr>
          <w:rFonts w:ascii="Arial" w:eastAsia="Calibri" w:hAnsi="Arial" w:cs="Arial"/>
          <w:b/>
          <w:sz w:val="22"/>
          <w:lang w:val="es-ES_tradnl"/>
        </w:rPr>
      </w:pPr>
      <w:r w:rsidRPr="00B73D58">
        <w:rPr>
          <w:rFonts w:ascii="Arial" w:eastAsia="Calibri" w:hAnsi="Arial" w:cs="Arial"/>
          <w:b/>
          <w:sz w:val="22"/>
          <w:lang w:val="es-ES_tradnl"/>
        </w:rPr>
        <w:t>EMPATE</w:t>
      </w:r>
      <w:r w:rsidR="00272945" w:rsidRPr="00B73D58">
        <w:rPr>
          <w:rFonts w:ascii="Arial" w:eastAsia="Calibri" w:hAnsi="Arial" w:cs="Arial"/>
          <w:b/>
          <w:sz w:val="22"/>
          <w:lang w:val="es-ES_tradnl"/>
        </w:rPr>
        <w:t xml:space="preserve"> – </w:t>
      </w:r>
      <w:r w:rsidRPr="00B73D58">
        <w:rPr>
          <w:rFonts w:ascii="Arial" w:eastAsia="Calibri" w:hAnsi="Arial" w:cs="Arial"/>
          <w:b/>
          <w:sz w:val="22"/>
          <w:lang w:val="es-ES_tradnl"/>
        </w:rPr>
        <w:t>Procedimiento de selección</w:t>
      </w:r>
      <w:r w:rsidR="00272945" w:rsidRPr="00B73D58">
        <w:rPr>
          <w:rFonts w:ascii="Arial" w:eastAsia="Calibri" w:hAnsi="Arial" w:cs="Arial"/>
          <w:b/>
          <w:sz w:val="22"/>
          <w:lang w:val="es-ES_tradnl"/>
        </w:rPr>
        <w:t xml:space="preserve"> – Concepto</w:t>
      </w:r>
    </w:p>
    <w:p w14:paraId="182F8CB9" w14:textId="246E5B50" w:rsidR="00272945" w:rsidRPr="00B73D58" w:rsidRDefault="00272945" w:rsidP="0099531F">
      <w:pPr>
        <w:jc w:val="both"/>
        <w:rPr>
          <w:rFonts w:ascii="Arial" w:eastAsia="Calibri" w:hAnsi="Arial" w:cs="Arial"/>
          <w:b/>
          <w:sz w:val="22"/>
          <w:lang w:val="es-ES_tradnl"/>
        </w:rPr>
      </w:pPr>
    </w:p>
    <w:p w14:paraId="07964BD2" w14:textId="36A70734" w:rsidR="00360F9C" w:rsidRPr="00B73D58" w:rsidRDefault="00B54215" w:rsidP="00360F9C">
      <w:pPr>
        <w:jc w:val="both"/>
        <w:rPr>
          <w:rFonts w:ascii="Arial" w:eastAsia="Calibri" w:hAnsi="Arial" w:cs="Arial"/>
          <w:sz w:val="20"/>
          <w:szCs w:val="20"/>
          <w:lang w:val="es-ES_tradnl"/>
        </w:rPr>
      </w:pPr>
      <w:r w:rsidRPr="00B73D58">
        <w:rPr>
          <w:rFonts w:ascii="Arial" w:eastAsia="Calibri" w:hAnsi="Arial" w:cs="Arial"/>
          <w:sz w:val="20"/>
          <w:szCs w:val="20"/>
          <w:lang w:val="es-ES_tradnl"/>
        </w:rPr>
        <w:t>[…]</w:t>
      </w:r>
      <w:r w:rsidR="00BF1E4A">
        <w:rPr>
          <w:rFonts w:ascii="Arial" w:eastAsia="Calibri" w:hAnsi="Arial" w:cs="Arial"/>
          <w:sz w:val="20"/>
          <w:szCs w:val="20"/>
          <w:lang w:val="es-ES_tradnl"/>
        </w:rPr>
        <w:t xml:space="preserve"> </w:t>
      </w:r>
      <w:r w:rsidR="00BF1E4A" w:rsidRPr="00BF1E4A">
        <w:rPr>
          <w:rFonts w:ascii="Arial" w:eastAsia="Calibri" w:hAnsi="Arial" w:cs="Arial"/>
          <w:sz w:val="20"/>
          <w:szCs w:val="20"/>
          <w:lang w:val="es-ES_tradnl"/>
        </w:rPr>
        <w:t>los requisitos habilitantes o de participación, así como los criterios de evaluación o de calificación con puntos, son instrumentos por medio de los cuales se materializa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9DD8E0A" w14:textId="5F79A1BF" w:rsidR="006F71F5" w:rsidRPr="00B73D58" w:rsidRDefault="006F71F5" w:rsidP="00B95C30">
      <w:pPr>
        <w:spacing w:line="276" w:lineRule="auto"/>
        <w:jc w:val="both"/>
        <w:rPr>
          <w:rFonts w:ascii="Arial" w:hAnsi="Arial" w:cs="Arial"/>
          <w:noProof/>
          <w:sz w:val="22"/>
          <w:lang w:val="es-ES_tradnl"/>
        </w:rPr>
      </w:pPr>
    </w:p>
    <w:p w14:paraId="04086EC5" w14:textId="04F7FF6D" w:rsidR="00DF71EA" w:rsidRPr="00B73D58" w:rsidRDefault="00D73881" w:rsidP="00DF71EA">
      <w:pPr>
        <w:jc w:val="both"/>
        <w:rPr>
          <w:rFonts w:ascii="Arial" w:eastAsia="Calibri" w:hAnsi="Arial" w:cs="Arial"/>
          <w:b/>
          <w:sz w:val="22"/>
          <w:lang w:val="es-ES_tradnl"/>
        </w:rPr>
      </w:pPr>
      <w:r w:rsidRPr="00B73D58">
        <w:rPr>
          <w:rFonts w:ascii="Arial" w:eastAsia="Calibri" w:hAnsi="Arial" w:cs="Arial"/>
          <w:b/>
          <w:sz w:val="22"/>
          <w:lang w:val="es-ES_tradnl"/>
        </w:rPr>
        <w:t>FACTORES DE DESEMPATE</w:t>
      </w:r>
      <w:r w:rsidR="00DF71EA" w:rsidRPr="00B73D58">
        <w:rPr>
          <w:rFonts w:ascii="Arial" w:eastAsia="Calibri" w:hAnsi="Arial" w:cs="Arial"/>
          <w:b/>
          <w:sz w:val="22"/>
          <w:lang w:val="es-ES_tradnl"/>
        </w:rPr>
        <w:t xml:space="preserve"> – </w:t>
      </w:r>
      <w:r w:rsidRPr="00B73D58">
        <w:rPr>
          <w:rFonts w:ascii="Arial" w:eastAsia="Calibri" w:hAnsi="Arial" w:cs="Arial"/>
          <w:b/>
          <w:sz w:val="22"/>
          <w:lang w:val="es-ES_tradnl"/>
        </w:rPr>
        <w:t>Características</w:t>
      </w:r>
      <w:r w:rsidR="00DF71EA" w:rsidRPr="00B73D58">
        <w:rPr>
          <w:rFonts w:ascii="Arial" w:eastAsia="Calibri" w:hAnsi="Arial" w:cs="Arial"/>
          <w:b/>
          <w:sz w:val="22"/>
          <w:lang w:val="es-ES_tradnl"/>
        </w:rPr>
        <w:t xml:space="preserve"> – </w:t>
      </w:r>
      <w:r w:rsidRPr="00B73D58">
        <w:rPr>
          <w:rFonts w:ascii="Arial" w:eastAsia="Calibri" w:hAnsi="Arial" w:cs="Arial"/>
          <w:b/>
          <w:sz w:val="22"/>
          <w:lang w:val="es-ES_tradnl"/>
        </w:rPr>
        <w:t>Límites</w:t>
      </w:r>
    </w:p>
    <w:p w14:paraId="583F00A4" w14:textId="390EB1EB" w:rsidR="00DF71EA" w:rsidRPr="00B73D58" w:rsidRDefault="00DF71EA" w:rsidP="00B95C30">
      <w:pPr>
        <w:spacing w:line="276" w:lineRule="auto"/>
        <w:jc w:val="both"/>
        <w:rPr>
          <w:rFonts w:ascii="Arial" w:hAnsi="Arial" w:cs="Arial"/>
          <w:noProof/>
          <w:sz w:val="22"/>
          <w:lang w:val="es-ES_tradnl"/>
        </w:rPr>
      </w:pPr>
    </w:p>
    <w:p w14:paraId="00A4E7A2" w14:textId="77777777" w:rsidR="00BF1E4A" w:rsidRPr="00BF1E4A" w:rsidRDefault="00BF1E4A" w:rsidP="00BF1E4A">
      <w:pPr>
        <w:jc w:val="both"/>
        <w:rPr>
          <w:rFonts w:ascii="Arial" w:eastAsia="Calibri" w:hAnsi="Arial" w:cs="Arial"/>
          <w:sz w:val="20"/>
          <w:szCs w:val="20"/>
          <w:lang w:val="es-ES_tradnl"/>
        </w:rPr>
      </w:pPr>
      <w:r w:rsidRPr="00BF1E4A">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 </w:t>
      </w:r>
    </w:p>
    <w:p w14:paraId="18861FB9" w14:textId="77777777" w:rsidR="00BF1E4A" w:rsidRDefault="00BF1E4A" w:rsidP="00BF1E4A">
      <w:pPr>
        <w:jc w:val="both"/>
        <w:rPr>
          <w:rFonts w:ascii="Arial" w:eastAsia="Calibri" w:hAnsi="Arial" w:cs="Arial"/>
          <w:sz w:val="20"/>
          <w:szCs w:val="20"/>
          <w:lang w:val="es-ES_tradnl"/>
        </w:rPr>
      </w:pPr>
    </w:p>
    <w:p w14:paraId="03CC5C7E" w14:textId="0ABD3AD1" w:rsidR="00D73881" w:rsidRPr="00B73D58" w:rsidRDefault="00BF1E4A" w:rsidP="00BF1E4A">
      <w:pPr>
        <w:jc w:val="both"/>
        <w:rPr>
          <w:rFonts w:ascii="Arial" w:hAnsi="Arial" w:cs="Arial"/>
          <w:noProof/>
          <w:sz w:val="22"/>
          <w:lang w:val="es-ES_tradnl"/>
        </w:rPr>
      </w:pPr>
      <w:r w:rsidRPr="00BF1E4A">
        <w:rPr>
          <w:rFonts w:ascii="Arial" w:eastAsia="Calibri" w:hAnsi="Arial" w:cs="Arial"/>
          <w:sz w:val="20"/>
          <w:szCs w:val="20"/>
          <w:lang w:val="es-ES_tradnl"/>
        </w:rPr>
        <w:t>En tal sentido, la Corte Constitucional explica que cuando la ley establece factores de desempate obligatorios, las entidades estatales no pueden prescindir de su aplicación porque ello podría vulnerar el principio de igualdad, especialmente, cuando algunos de estos criterios surgen como acciones afirmativas para ciertos sectores de la población . Más aún, el Consejo de Estado ha señalado que contravenir los factores de desempate establecidos expresamente genera la nulidad del contrato, conforme al artículo 44, inciso 1º de la Ley 80 de 1993 .</w:t>
      </w:r>
    </w:p>
    <w:p w14:paraId="60BFBD94" w14:textId="415FD511" w:rsidR="00360F9C" w:rsidRDefault="00360F9C" w:rsidP="00B95C30">
      <w:pPr>
        <w:spacing w:line="276" w:lineRule="auto"/>
        <w:jc w:val="both"/>
        <w:rPr>
          <w:rFonts w:ascii="Arial" w:hAnsi="Arial" w:cs="Arial"/>
          <w:noProof/>
          <w:sz w:val="22"/>
          <w:lang w:val="es-ES_tradnl"/>
        </w:rPr>
      </w:pPr>
    </w:p>
    <w:p w14:paraId="147DC84B" w14:textId="387993ED" w:rsidR="00BF1E4A" w:rsidRDefault="00BF1E4A" w:rsidP="00B95C30">
      <w:pPr>
        <w:spacing w:line="276" w:lineRule="auto"/>
        <w:jc w:val="both"/>
        <w:rPr>
          <w:rFonts w:ascii="Arial" w:hAnsi="Arial" w:cs="Arial"/>
          <w:noProof/>
          <w:sz w:val="22"/>
          <w:lang w:val="es-ES_tradnl"/>
        </w:rPr>
      </w:pPr>
    </w:p>
    <w:p w14:paraId="2B2CCB28" w14:textId="77777777" w:rsidR="00BF1E4A" w:rsidRPr="00B73D58" w:rsidRDefault="00BF1E4A" w:rsidP="00B95C30">
      <w:pPr>
        <w:spacing w:line="276" w:lineRule="auto"/>
        <w:jc w:val="both"/>
        <w:rPr>
          <w:rFonts w:ascii="Arial" w:hAnsi="Arial" w:cs="Arial"/>
          <w:noProof/>
          <w:sz w:val="22"/>
          <w:lang w:val="es-ES_tradnl"/>
        </w:rPr>
      </w:pPr>
    </w:p>
    <w:p w14:paraId="7144E95B" w14:textId="25D5C0AA" w:rsidR="00D73881" w:rsidRPr="00B73D58" w:rsidRDefault="00D73881" w:rsidP="00D73881">
      <w:pPr>
        <w:jc w:val="both"/>
        <w:rPr>
          <w:rFonts w:ascii="Arial" w:eastAsia="Calibri" w:hAnsi="Arial" w:cs="Arial"/>
          <w:b/>
          <w:sz w:val="22"/>
          <w:lang w:val="es-ES_tradnl"/>
        </w:rPr>
      </w:pPr>
      <w:r w:rsidRPr="00B73D58">
        <w:rPr>
          <w:rFonts w:ascii="Arial" w:eastAsia="Calibri" w:hAnsi="Arial" w:cs="Arial"/>
          <w:b/>
          <w:sz w:val="22"/>
          <w:lang w:val="es-ES_tradnl"/>
        </w:rPr>
        <w:lastRenderedPageBreak/>
        <w:t xml:space="preserve">LEY DE EMPRENDIMIENTO – Ley 2069 de 2020 – Vigencia </w:t>
      </w:r>
    </w:p>
    <w:p w14:paraId="0D3B8DEB" w14:textId="33C83BCF" w:rsidR="00D73881" w:rsidRPr="00B73D58" w:rsidRDefault="00D73881" w:rsidP="00D73881">
      <w:pPr>
        <w:jc w:val="both"/>
        <w:rPr>
          <w:rFonts w:ascii="Arial" w:eastAsia="Calibri" w:hAnsi="Arial" w:cs="Arial"/>
          <w:b/>
          <w:sz w:val="22"/>
          <w:lang w:val="es-ES_tradnl"/>
        </w:rPr>
      </w:pPr>
    </w:p>
    <w:p w14:paraId="0738C507" w14:textId="77777777" w:rsidR="00BF1E4A" w:rsidRPr="00BF1E4A" w:rsidRDefault="00BF1E4A" w:rsidP="00BF1E4A">
      <w:pPr>
        <w:jc w:val="both"/>
        <w:rPr>
          <w:rFonts w:ascii="Arial" w:eastAsia="Calibri" w:hAnsi="Arial" w:cs="Arial"/>
          <w:sz w:val="20"/>
          <w:szCs w:val="20"/>
          <w:lang w:val="es-ES_tradnl"/>
        </w:rPr>
      </w:pPr>
      <w:r w:rsidRPr="00BF1E4A">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3AEA1621" w14:textId="77777777" w:rsidR="00BF1E4A" w:rsidRDefault="00BF1E4A" w:rsidP="00BF1E4A">
      <w:pPr>
        <w:jc w:val="both"/>
        <w:rPr>
          <w:rFonts w:ascii="Arial" w:eastAsia="Calibri" w:hAnsi="Arial" w:cs="Arial"/>
          <w:sz w:val="20"/>
          <w:szCs w:val="20"/>
          <w:lang w:val="es-ES_tradnl"/>
        </w:rPr>
      </w:pPr>
    </w:p>
    <w:p w14:paraId="7F804BC9" w14:textId="0A3F569A" w:rsidR="00360F9C" w:rsidRPr="00B73D58" w:rsidRDefault="00BF1E4A" w:rsidP="00BF1E4A">
      <w:pPr>
        <w:jc w:val="both"/>
        <w:rPr>
          <w:rFonts w:ascii="Arial" w:eastAsia="Calibri" w:hAnsi="Arial" w:cs="Arial"/>
          <w:b/>
          <w:sz w:val="22"/>
          <w:lang w:val="es-ES_tradnl"/>
        </w:rPr>
      </w:pPr>
      <w:r w:rsidRPr="00BF1E4A">
        <w:rPr>
          <w:rFonts w:ascii="Arial" w:eastAsia="Calibri" w:hAnsi="Arial" w:cs="Arial"/>
          <w:sz w:val="20"/>
          <w:szCs w:val="20"/>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Lo anterior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 así como incentivos a favor de aquellas dentro del sistema de compras y contratación pública . De igual forma, se consagran mecanismos de acceso al financiamiento , se unifican las fuentes de emprendimiento y de desarrollo empresarial, para fortalecer y promover los distintos sectores de la economía  y se prevén medidas de educación para el emprendimiento y la innovación .</w:t>
      </w:r>
    </w:p>
    <w:p w14:paraId="2944B23D" w14:textId="77777777" w:rsidR="00BF1E4A" w:rsidRDefault="00BF1E4A" w:rsidP="00D73881">
      <w:pPr>
        <w:jc w:val="both"/>
        <w:rPr>
          <w:rFonts w:ascii="Arial" w:eastAsia="Calibri" w:hAnsi="Arial" w:cs="Arial"/>
          <w:b/>
          <w:sz w:val="22"/>
          <w:lang w:val="es-ES_tradnl"/>
        </w:rPr>
      </w:pPr>
    </w:p>
    <w:p w14:paraId="5C894141" w14:textId="707A921F" w:rsidR="00D73881" w:rsidRPr="00B73D58" w:rsidRDefault="00D73881" w:rsidP="00D73881">
      <w:pPr>
        <w:jc w:val="both"/>
        <w:rPr>
          <w:rFonts w:ascii="Arial" w:eastAsia="Calibri" w:hAnsi="Arial" w:cs="Arial"/>
          <w:b/>
          <w:sz w:val="22"/>
          <w:lang w:val="es-ES_tradnl"/>
        </w:rPr>
      </w:pPr>
      <w:r w:rsidRPr="00B73D58">
        <w:rPr>
          <w:rFonts w:ascii="Arial" w:eastAsia="Calibri" w:hAnsi="Arial" w:cs="Arial"/>
          <w:b/>
          <w:sz w:val="22"/>
          <w:lang w:val="es-ES_tradnl"/>
        </w:rPr>
        <w:t>FACTORES DE DESEMPATE – Ley 2069 – Artículo 35 – Acreditación</w:t>
      </w:r>
    </w:p>
    <w:p w14:paraId="4D9EB4C1" w14:textId="20D03020" w:rsidR="00D73881" w:rsidRPr="00B73D58" w:rsidRDefault="00D73881" w:rsidP="00B95C30">
      <w:pPr>
        <w:spacing w:line="276" w:lineRule="auto"/>
        <w:jc w:val="both"/>
        <w:rPr>
          <w:rFonts w:ascii="Arial" w:hAnsi="Arial" w:cs="Arial"/>
          <w:noProof/>
          <w:sz w:val="22"/>
          <w:lang w:val="es-ES_tradnl"/>
        </w:rPr>
      </w:pPr>
    </w:p>
    <w:p w14:paraId="22009436" w14:textId="6D086682" w:rsidR="00232DDA" w:rsidRPr="00B73D58" w:rsidRDefault="003C5E8A" w:rsidP="00BF1E4A">
      <w:pPr>
        <w:jc w:val="both"/>
        <w:rPr>
          <w:rFonts w:ascii="Arial" w:hAnsi="Arial" w:cs="Arial"/>
          <w:noProof/>
          <w:sz w:val="22"/>
          <w:lang w:val="es-ES_tradnl"/>
        </w:rPr>
      </w:pPr>
      <w:r w:rsidRPr="00B73D58">
        <w:rPr>
          <w:rFonts w:ascii="Arial" w:eastAsia="Calibri" w:hAnsi="Arial" w:cs="Arial"/>
          <w:sz w:val="20"/>
          <w:szCs w:val="20"/>
          <w:lang w:val="es-ES_tradnl"/>
        </w:rPr>
        <w:t xml:space="preserve">[…] </w:t>
      </w:r>
      <w:r w:rsidR="00BF1E4A" w:rsidRPr="00BF1E4A">
        <w:rPr>
          <w:rFonts w:ascii="Arial" w:eastAsia="Calibri" w:hAnsi="Arial" w:cs="Arial"/>
          <w:sz w:val="20"/>
          <w:szCs w:val="20"/>
          <w:lang w:val="es-ES_tradnl"/>
        </w:rPr>
        <w:t>Los factores de desempate previstos en los numerales 2, 4, 5, 6 y 7 del artículo 35 de la Ley 2069 de 2020 no establecen medios probatorios específicos para acreditar las circunstancias a las que se refieren. Por lo tanto, conforme a los criterios orientadores descritos en el último apartado de este concepto, la entidad contratante debe analizar si el ordenamiento jurídico, en otras disposiciones legales o reglamentarias, exige un documento especial o si, por el contrario, existe libertad probatoria. Este análisis debe realizarse de manera independiente frente a cada numeral. De no existir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w:t>
      </w:r>
    </w:p>
    <w:p w14:paraId="50B87126" w14:textId="4ED99F9D" w:rsidR="00360F9C" w:rsidRPr="00B73D58" w:rsidRDefault="00360F9C" w:rsidP="00B95C30">
      <w:pPr>
        <w:spacing w:line="276" w:lineRule="auto"/>
        <w:jc w:val="both"/>
        <w:rPr>
          <w:rFonts w:ascii="Arial" w:hAnsi="Arial" w:cs="Arial"/>
          <w:noProof/>
          <w:sz w:val="22"/>
          <w:lang w:val="es-ES_tradnl"/>
        </w:rPr>
      </w:pPr>
    </w:p>
    <w:p w14:paraId="0DCD1797" w14:textId="100EAF42" w:rsidR="00360F9C" w:rsidRPr="00B73D58" w:rsidRDefault="00360F9C" w:rsidP="00B95C30">
      <w:pPr>
        <w:spacing w:line="276" w:lineRule="auto"/>
        <w:jc w:val="both"/>
        <w:rPr>
          <w:rFonts w:ascii="Arial" w:hAnsi="Arial" w:cs="Arial"/>
          <w:noProof/>
          <w:sz w:val="22"/>
          <w:lang w:val="es-ES_tradnl"/>
        </w:rPr>
      </w:pPr>
    </w:p>
    <w:p w14:paraId="1E6641AF" w14:textId="53F28DB8" w:rsidR="00360F9C" w:rsidRPr="00B73D58" w:rsidRDefault="00360F9C" w:rsidP="00B95C30">
      <w:pPr>
        <w:spacing w:line="276" w:lineRule="auto"/>
        <w:jc w:val="both"/>
        <w:rPr>
          <w:rFonts w:ascii="Arial" w:hAnsi="Arial" w:cs="Arial"/>
          <w:noProof/>
          <w:sz w:val="22"/>
          <w:lang w:val="es-ES_tradnl"/>
        </w:rPr>
      </w:pPr>
    </w:p>
    <w:p w14:paraId="1B33C00F" w14:textId="76517738" w:rsidR="00360F9C" w:rsidRDefault="00360F9C" w:rsidP="00B95C30">
      <w:pPr>
        <w:spacing w:line="276" w:lineRule="auto"/>
        <w:jc w:val="both"/>
        <w:rPr>
          <w:rFonts w:ascii="Arial" w:hAnsi="Arial" w:cs="Arial"/>
          <w:noProof/>
          <w:sz w:val="22"/>
          <w:lang w:val="es-ES_tradnl"/>
        </w:rPr>
      </w:pPr>
    </w:p>
    <w:p w14:paraId="2E57920F" w14:textId="708B26E2" w:rsidR="00BF1E4A" w:rsidRDefault="00BF1E4A" w:rsidP="00B95C30">
      <w:pPr>
        <w:spacing w:line="276" w:lineRule="auto"/>
        <w:jc w:val="both"/>
        <w:rPr>
          <w:rFonts w:ascii="Arial" w:hAnsi="Arial" w:cs="Arial"/>
          <w:noProof/>
          <w:sz w:val="22"/>
          <w:lang w:val="es-ES_tradnl"/>
        </w:rPr>
      </w:pPr>
    </w:p>
    <w:p w14:paraId="255F9959" w14:textId="77777777" w:rsidR="00BF1E4A" w:rsidRPr="00B73D58" w:rsidRDefault="00BF1E4A" w:rsidP="00B95C30">
      <w:pPr>
        <w:spacing w:line="276" w:lineRule="auto"/>
        <w:jc w:val="both"/>
        <w:rPr>
          <w:rFonts w:ascii="Arial" w:hAnsi="Arial" w:cs="Arial"/>
          <w:noProof/>
          <w:sz w:val="22"/>
          <w:lang w:val="es-ES_tradnl"/>
        </w:rPr>
      </w:pPr>
    </w:p>
    <w:p w14:paraId="7C166FC9" w14:textId="03CB7765" w:rsidR="00360F9C" w:rsidRPr="00B73D58" w:rsidRDefault="00360F9C" w:rsidP="00B95C30">
      <w:pPr>
        <w:spacing w:line="276" w:lineRule="auto"/>
        <w:jc w:val="both"/>
        <w:rPr>
          <w:rFonts w:ascii="Arial" w:hAnsi="Arial" w:cs="Arial"/>
          <w:noProof/>
          <w:sz w:val="22"/>
          <w:lang w:val="es-ES_tradnl"/>
        </w:rPr>
      </w:pPr>
    </w:p>
    <w:p w14:paraId="2FB01D75" w14:textId="1266DB16" w:rsidR="00360F9C" w:rsidRPr="00B73D58" w:rsidRDefault="00360F9C" w:rsidP="00B95C30">
      <w:pPr>
        <w:spacing w:line="276" w:lineRule="auto"/>
        <w:jc w:val="both"/>
        <w:rPr>
          <w:rFonts w:ascii="Arial" w:hAnsi="Arial" w:cs="Arial"/>
          <w:noProof/>
          <w:sz w:val="22"/>
          <w:lang w:val="es-ES_tradnl"/>
        </w:rPr>
      </w:pPr>
    </w:p>
    <w:p w14:paraId="0EEF9CB5" w14:textId="195B8AB2" w:rsidR="00360F9C" w:rsidRPr="00B73D58" w:rsidRDefault="00360F9C" w:rsidP="00B95C30">
      <w:pPr>
        <w:spacing w:line="276" w:lineRule="auto"/>
        <w:jc w:val="both"/>
        <w:rPr>
          <w:rFonts w:ascii="Arial" w:hAnsi="Arial" w:cs="Arial"/>
          <w:noProof/>
          <w:sz w:val="22"/>
          <w:lang w:val="es-ES_tradnl"/>
        </w:rPr>
      </w:pPr>
    </w:p>
    <w:p w14:paraId="67E49851" w14:textId="47B44A78" w:rsidR="00360F9C" w:rsidRPr="00B73D58" w:rsidRDefault="00360F9C" w:rsidP="00B95C30">
      <w:pPr>
        <w:spacing w:line="276" w:lineRule="auto"/>
        <w:jc w:val="both"/>
        <w:rPr>
          <w:rFonts w:ascii="Arial" w:hAnsi="Arial" w:cs="Arial"/>
          <w:noProof/>
          <w:sz w:val="22"/>
          <w:lang w:val="es-ES_tradnl"/>
        </w:rPr>
      </w:pPr>
    </w:p>
    <w:p w14:paraId="6A99BEC6" w14:textId="2738A253" w:rsidR="00360F9C" w:rsidRPr="00B73D58" w:rsidRDefault="00360F9C" w:rsidP="00B95C30">
      <w:pPr>
        <w:spacing w:line="276" w:lineRule="auto"/>
        <w:jc w:val="both"/>
        <w:rPr>
          <w:rFonts w:ascii="Arial" w:hAnsi="Arial" w:cs="Arial"/>
          <w:noProof/>
          <w:sz w:val="22"/>
          <w:lang w:val="es-ES_tradnl"/>
        </w:rPr>
      </w:pPr>
    </w:p>
    <w:p w14:paraId="42B80F50" w14:textId="2A303CA4" w:rsidR="00360F9C" w:rsidRPr="00B73D58" w:rsidRDefault="00360F9C" w:rsidP="00B95C30">
      <w:pPr>
        <w:spacing w:line="276" w:lineRule="auto"/>
        <w:jc w:val="both"/>
        <w:rPr>
          <w:rFonts w:ascii="Arial" w:hAnsi="Arial" w:cs="Arial"/>
          <w:noProof/>
          <w:sz w:val="22"/>
          <w:lang w:val="es-ES_tradnl"/>
        </w:rPr>
      </w:pPr>
    </w:p>
    <w:p w14:paraId="31C83253" w14:textId="7F1C1182" w:rsidR="00360F9C" w:rsidRDefault="00C21E08" w:rsidP="00B95C30">
      <w:pPr>
        <w:spacing w:line="276" w:lineRule="auto"/>
        <w:jc w:val="both"/>
        <w:rPr>
          <w:rFonts w:ascii="Arial" w:hAnsi="Arial" w:cs="Arial"/>
          <w:noProof/>
          <w:sz w:val="22"/>
          <w:lang w:val="es-ES_tradnl"/>
        </w:rPr>
      </w:pPr>
      <w:r>
        <w:rPr>
          <w:rFonts w:ascii="Arial" w:hAnsi="Arial" w:cs="Arial"/>
          <w:b/>
          <w:noProof/>
          <w:sz w:val="22"/>
          <w:lang w:val="es-ES_tradnl"/>
        </w:rPr>
        <w:lastRenderedPageBreak/>
        <w:drawing>
          <wp:anchor distT="0" distB="0" distL="114300" distR="114300" simplePos="0" relativeHeight="251658240" behindDoc="0" locked="0" layoutInCell="1" allowOverlap="1" wp14:anchorId="0084F2B0" wp14:editId="7007162B">
            <wp:simplePos x="0" y="0"/>
            <wp:positionH relativeFrom="column">
              <wp:posOffset>3507105</wp:posOffset>
            </wp:positionH>
            <wp:positionV relativeFrom="paragraph">
              <wp:posOffset>6985</wp:posOffset>
            </wp:positionV>
            <wp:extent cx="2453640" cy="588010"/>
            <wp:effectExtent l="0" t="0" r="3810" b="254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364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98584" w14:textId="3582AE9E" w:rsidR="00BF1E4A" w:rsidRDefault="00BF1E4A" w:rsidP="00B95C30">
      <w:pPr>
        <w:spacing w:line="276" w:lineRule="auto"/>
        <w:jc w:val="both"/>
        <w:rPr>
          <w:rFonts w:ascii="Arial" w:hAnsi="Arial" w:cs="Arial"/>
          <w:noProof/>
          <w:sz w:val="22"/>
          <w:lang w:val="es-ES_tradnl"/>
        </w:rPr>
      </w:pPr>
    </w:p>
    <w:p w14:paraId="1C27246E" w14:textId="3D003A51" w:rsidR="00BF1E4A" w:rsidRPr="00B73D58" w:rsidRDefault="00BF1E4A" w:rsidP="00B95C30">
      <w:pPr>
        <w:spacing w:line="276" w:lineRule="auto"/>
        <w:jc w:val="both"/>
        <w:rPr>
          <w:rFonts w:ascii="Arial" w:hAnsi="Arial" w:cs="Arial"/>
          <w:noProof/>
          <w:sz w:val="22"/>
          <w:lang w:val="es-ES_tradnl"/>
        </w:rPr>
      </w:pPr>
    </w:p>
    <w:p w14:paraId="0A4E8BF6" w14:textId="77777777" w:rsidR="00C21E08" w:rsidRDefault="00C21E08" w:rsidP="00B95C30">
      <w:pPr>
        <w:jc w:val="both"/>
        <w:rPr>
          <w:rFonts w:ascii="Arial" w:hAnsi="Arial" w:cs="Arial"/>
          <w:noProof/>
          <w:sz w:val="22"/>
          <w:lang w:val="es-ES_tradnl"/>
        </w:rPr>
      </w:pPr>
    </w:p>
    <w:p w14:paraId="6A8A869B" w14:textId="429286EA" w:rsidR="00B95C30" w:rsidRDefault="00C21E08" w:rsidP="00B95C30">
      <w:pPr>
        <w:jc w:val="both"/>
        <w:rPr>
          <w:rFonts w:ascii="Arial" w:hAnsi="Arial" w:cs="Arial"/>
          <w:noProof/>
          <w:sz w:val="22"/>
          <w:lang w:val="es-ES_tradnl"/>
        </w:rPr>
      </w:pPr>
      <w:r w:rsidRPr="00C21E08">
        <w:rPr>
          <w:rFonts w:ascii="Arial" w:hAnsi="Arial" w:cs="Arial"/>
          <w:noProof/>
          <w:sz w:val="22"/>
          <w:lang w:val="es-ES_tradnl"/>
        </w:rPr>
        <w:t>Bogotá, 05 Febrero 2021</w:t>
      </w:r>
    </w:p>
    <w:p w14:paraId="58B8BF5F" w14:textId="77777777" w:rsidR="00C21E08" w:rsidRPr="00B73D58" w:rsidRDefault="00C21E08" w:rsidP="00B95C30">
      <w:pPr>
        <w:jc w:val="both"/>
        <w:rPr>
          <w:rFonts w:ascii="Arial" w:hAnsi="Arial" w:cs="Arial"/>
          <w:bCs/>
          <w:sz w:val="22"/>
          <w:lang w:val="es-ES_tradnl"/>
        </w:rPr>
      </w:pPr>
    </w:p>
    <w:p w14:paraId="38C0E4CC" w14:textId="77777777" w:rsidR="00091E5D" w:rsidRPr="00B73D58" w:rsidRDefault="00091E5D" w:rsidP="00B95C30">
      <w:pPr>
        <w:jc w:val="both"/>
        <w:rPr>
          <w:rFonts w:ascii="Arial" w:hAnsi="Arial" w:cs="Arial"/>
          <w:bCs/>
          <w:sz w:val="22"/>
          <w:lang w:val="es-ES_tradnl"/>
        </w:rPr>
      </w:pPr>
    </w:p>
    <w:p w14:paraId="5F5AE9EF" w14:textId="5206A6D3" w:rsidR="00B95C30" w:rsidRPr="00B73D58" w:rsidRDefault="00446F87" w:rsidP="00B95C30">
      <w:pPr>
        <w:jc w:val="both"/>
        <w:rPr>
          <w:rFonts w:ascii="Arial" w:eastAsia="Calibri" w:hAnsi="Arial" w:cs="Arial"/>
          <w:sz w:val="22"/>
          <w:lang w:val="es-ES_tradnl"/>
        </w:rPr>
      </w:pPr>
      <w:r w:rsidRPr="00B73D58">
        <w:rPr>
          <w:rFonts w:ascii="Arial" w:eastAsia="Calibri" w:hAnsi="Arial" w:cs="Arial"/>
          <w:sz w:val="22"/>
          <w:lang w:val="es-ES_tradnl"/>
        </w:rPr>
        <w:t>Doctora</w:t>
      </w:r>
    </w:p>
    <w:p w14:paraId="3DCD58CE" w14:textId="1B18746C" w:rsidR="00B95C30" w:rsidRPr="00B73D58" w:rsidRDefault="00446F87" w:rsidP="00B95C30">
      <w:pPr>
        <w:jc w:val="both"/>
        <w:rPr>
          <w:rFonts w:ascii="Arial" w:eastAsia="Calibri" w:hAnsi="Arial" w:cs="Arial"/>
          <w:b/>
          <w:sz w:val="22"/>
          <w:lang w:val="es-ES_tradnl"/>
        </w:rPr>
      </w:pPr>
      <w:r w:rsidRPr="00B73D58">
        <w:rPr>
          <w:rFonts w:ascii="Arial" w:eastAsia="Calibri" w:hAnsi="Arial" w:cs="Arial"/>
          <w:b/>
          <w:sz w:val="22"/>
          <w:lang w:val="es-ES_tradnl"/>
        </w:rPr>
        <w:t>Helen Ortiz Carvajal</w:t>
      </w:r>
    </w:p>
    <w:p w14:paraId="3F61AFFD" w14:textId="4BCDC456" w:rsidR="00446F87" w:rsidRPr="00B73D58" w:rsidRDefault="00446F87" w:rsidP="00B95C30">
      <w:pPr>
        <w:jc w:val="both"/>
        <w:rPr>
          <w:rFonts w:ascii="Arial" w:eastAsia="Calibri" w:hAnsi="Arial" w:cs="Arial"/>
          <w:b/>
          <w:sz w:val="22"/>
          <w:lang w:val="es-ES_tradnl"/>
        </w:rPr>
      </w:pPr>
      <w:r w:rsidRPr="00B73D58">
        <w:rPr>
          <w:rFonts w:ascii="Arial" w:eastAsia="Calibri" w:hAnsi="Arial" w:cs="Arial"/>
          <w:b/>
          <w:sz w:val="22"/>
          <w:lang w:val="es-ES_tradnl"/>
        </w:rPr>
        <w:t>Directora de contra</w:t>
      </w:r>
      <w:r w:rsidR="000B4CC6" w:rsidRPr="00B73D58">
        <w:rPr>
          <w:rFonts w:ascii="Arial" w:eastAsia="Calibri" w:hAnsi="Arial" w:cs="Arial"/>
          <w:b/>
          <w:sz w:val="22"/>
          <w:lang w:val="es-ES_tradnl"/>
        </w:rPr>
        <w:t>tación</w:t>
      </w:r>
    </w:p>
    <w:p w14:paraId="2FF1FCB2" w14:textId="1B1AB12A" w:rsidR="000B4CC6" w:rsidRPr="00B73D58" w:rsidRDefault="000B4CC6" w:rsidP="00B95C30">
      <w:pPr>
        <w:jc w:val="both"/>
        <w:rPr>
          <w:rFonts w:ascii="Arial" w:eastAsia="Calibri" w:hAnsi="Arial" w:cs="Arial"/>
          <w:b/>
          <w:sz w:val="22"/>
          <w:lang w:val="es-ES_tradnl"/>
        </w:rPr>
      </w:pPr>
      <w:r w:rsidRPr="00B73D58">
        <w:rPr>
          <w:rFonts w:ascii="Arial" w:eastAsia="Calibri" w:hAnsi="Arial" w:cs="Arial"/>
          <w:b/>
          <w:sz w:val="22"/>
          <w:lang w:val="es-ES_tradnl"/>
        </w:rPr>
        <w:t>Instituto Colombiano de Bienestar Familiar</w:t>
      </w:r>
    </w:p>
    <w:p w14:paraId="09D4AEA8" w14:textId="425D182F" w:rsidR="00B95C30" w:rsidRPr="00B73D58" w:rsidRDefault="000B4CC6" w:rsidP="00B95C30">
      <w:pPr>
        <w:jc w:val="both"/>
        <w:rPr>
          <w:rFonts w:ascii="Arial" w:eastAsia="Calibri" w:hAnsi="Arial" w:cs="Arial"/>
          <w:sz w:val="22"/>
          <w:lang w:val="es-ES_tradnl"/>
        </w:rPr>
      </w:pPr>
      <w:r w:rsidRPr="00B73D58">
        <w:rPr>
          <w:rFonts w:ascii="Arial" w:eastAsia="Calibri" w:hAnsi="Arial" w:cs="Arial"/>
          <w:sz w:val="22"/>
          <w:lang w:val="es-ES_tradnl"/>
        </w:rPr>
        <w:t>Bogotá D.C.</w:t>
      </w:r>
    </w:p>
    <w:p w14:paraId="5307F000" w14:textId="77777777" w:rsidR="00232DDA" w:rsidRPr="00B73D58" w:rsidRDefault="00232DDA" w:rsidP="00232DDA">
      <w:pPr>
        <w:rPr>
          <w:rFonts w:ascii="Arial" w:eastAsia="Calibri" w:hAnsi="Arial" w:cs="Arial"/>
          <w:b/>
          <w:bCs/>
          <w:sz w:val="22"/>
          <w:lang w:val="es-ES_tradnl"/>
        </w:rPr>
      </w:pPr>
    </w:p>
    <w:p w14:paraId="75F1DDD5" w14:textId="77777777" w:rsidR="00232DDA" w:rsidRPr="00B73D58" w:rsidRDefault="00232DDA" w:rsidP="00232DDA">
      <w:pPr>
        <w:rPr>
          <w:rFonts w:ascii="Arial" w:eastAsia="Calibri" w:hAnsi="Arial" w:cs="Arial"/>
          <w:b/>
          <w:bCs/>
          <w:sz w:val="22"/>
          <w:lang w:val="es-ES_tradnl"/>
        </w:rPr>
      </w:pPr>
    </w:p>
    <w:p w14:paraId="12E66182" w14:textId="1809F572" w:rsidR="00B95C30" w:rsidRPr="00B73D58" w:rsidRDefault="00232DDA" w:rsidP="00232DDA">
      <w:pPr>
        <w:rPr>
          <w:rFonts w:ascii="Arial" w:eastAsia="Calibri" w:hAnsi="Arial" w:cs="Arial"/>
          <w:b/>
          <w:bCs/>
          <w:sz w:val="22"/>
          <w:lang w:val="es-ES_tradnl"/>
        </w:rPr>
      </w:pPr>
      <w:r w:rsidRPr="00B73D58">
        <w:rPr>
          <w:rFonts w:ascii="Arial" w:eastAsia="Calibri" w:hAnsi="Arial" w:cs="Arial"/>
          <w:b/>
          <w:bCs/>
          <w:sz w:val="22"/>
          <w:lang w:val="es-ES_tradnl"/>
        </w:rPr>
        <w:t xml:space="preserve">                                            </w:t>
      </w:r>
      <w:r w:rsidR="00B95C30" w:rsidRPr="00B73D58">
        <w:rPr>
          <w:rFonts w:ascii="Arial" w:eastAsia="Calibri" w:hAnsi="Arial" w:cs="Arial"/>
          <w:b/>
          <w:bCs/>
          <w:sz w:val="22"/>
          <w:lang w:val="es-ES_tradnl"/>
        </w:rPr>
        <w:t xml:space="preserve">Concepto C ‒ </w:t>
      </w:r>
      <w:r w:rsidR="009D4562">
        <w:rPr>
          <w:rFonts w:ascii="Arial" w:eastAsia="Calibri" w:hAnsi="Arial" w:cs="Arial"/>
          <w:b/>
          <w:bCs/>
          <w:sz w:val="22"/>
          <w:lang w:val="es-ES_tradnl"/>
        </w:rPr>
        <w:t xml:space="preserve">006 </w:t>
      </w:r>
      <w:r w:rsidR="00B95C30" w:rsidRPr="00B73D58">
        <w:rPr>
          <w:rFonts w:ascii="Arial" w:eastAsia="Calibri" w:hAnsi="Arial" w:cs="Arial"/>
          <w:b/>
          <w:bCs/>
          <w:sz w:val="22"/>
          <w:lang w:val="es-ES_tradnl"/>
        </w:rPr>
        <w:t>de 202</w:t>
      </w:r>
      <w:r w:rsidR="003258CC" w:rsidRPr="00B73D58">
        <w:rPr>
          <w:rFonts w:ascii="Arial" w:eastAsia="Calibri" w:hAnsi="Arial" w:cs="Arial"/>
          <w:b/>
          <w:bCs/>
          <w:sz w:val="22"/>
          <w:lang w:val="es-ES_tradnl"/>
        </w:rPr>
        <w:t>1</w:t>
      </w:r>
    </w:p>
    <w:p w14:paraId="1BD594F9" w14:textId="77777777" w:rsidR="00B95C30" w:rsidRPr="00B73D58"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73D58" w:rsidRPr="00B73D58" w14:paraId="19DFC051" w14:textId="77777777" w:rsidTr="008F4163">
        <w:tc>
          <w:tcPr>
            <w:tcW w:w="2689" w:type="dxa"/>
          </w:tcPr>
          <w:p w14:paraId="6BC0D1AC" w14:textId="77777777" w:rsidR="00B95C30" w:rsidRPr="00B73D58" w:rsidRDefault="00B95C30" w:rsidP="008F4163">
            <w:pPr>
              <w:jc w:val="both"/>
              <w:rPr>
                <w:rFonts w:ascii="Arial" w:eastAsia="Calibri" w:hAnsi="Arial" w:cs="Arial"/>
                <w:sz w:val="22"/>
                <w:lang w:val="es-ES_tradnl"/>
              </w:rPr>
            </w:pPr>
            <w:r w:rsidRPr="00B73D58">
              <w:rPr>
                <w:rFonts w:ascii="Arial" w:eastAsia="Calibri" w:hAnsi="Arial" w:cs="Arial"/>
                <w:b/>
                <w:sz w:val="22"/>
                <w:lang w:val="es-ES_tradnl"/>
              </w:rPr>
              <w:t>Temas:</w:t>
            </w:r>
            <w:r w:rsidRPr="00B73D58">
              <w:rPr>
                <w:rFonts w:ascii="Arial" w:eastAsia="Calibri" w:hAnsi="Arial" w:cs="Arial"/>
                <w:sz w:val="22"/>
                <w:lang w:val="es-ES_tradnl"/>
              </w:rPr>
              <w:t xml:space="preserve">                                      </w:t>
            </w:r>
          </w:p>
        </w:tc>
        <w:tc>
          <w:tcPr>
            <w:tcW w:w="6237" w:type="dxa"/>
          </w:tcPr>
          <w:p w14:paraId="5F389CAF" w14:textId="727F0C36" w:rsidR="00B95C30" w:rsidRPr="00B73D58" w:rsidRDefault="008B63FE" w:rsidP="008F4163">
            <w:pPr>
              <w:jc w:val="both"/>
              <w:rPr>
                <w:rFonts w:ascii="Arial" w:eastAsia="Calibri" w:hAnsi="Arial" w:cs="Arial"/>
                <w:sz w:val="22"/>
                <w:lang w:val="es-ES_tradnl"/>
              </w:rPr>
            </w:pPr>
            <w:r w:rsidRPr="00B73D58">
              <w:rPr>
                <w:rFonts w:ascii="Arial" w:eastAsia="Calibri" w:hAnsi="Arial" w:cs="Arial"/>
                <w:bCs/>
                <w:sz w:val="22"/>
                <w:lang w:val="es-ES_tradnl"/>
              </w:rPr>
              <w:t xml:space="preserve">SELECCIÓN OBJETIVA – Contratación estatal – Concepto </w:t>
            </w:r>
            <w:r w:rsidR="00B95C30" w:rsidRPr="00B73D58">
              <w:rPr>
                <w:rFonts w:ascii="Arial" w:eastAsia="Calibri" w:hAnsi="Arial" w:cs="Arial"/>
                <w:bCs/>
                <w:sz w:val="22"/>
                <w:lang w:val="es-ES_tradnl"/>
              </w:rPr>
              <w:t>/</w:t>
            </w:r>
            <w:r w:rsidRPr="00B73D58">
              <w:rPr>
                <w:rFonts w:ascii="Arial" w:eastAsia="Calibri" w:hAnsi="Arial" w:cs="Arial"/>
                <w:bCs/>
                <w:sz w:val="22"/>
                <w:lang w:val="es-ES_tradnl"/>
              </w:rPr>
              <w:t xml:space="preserve"> EMPATE – Procedimiento de selección – Concepto / FACTORES DE DESEMPATE – Características – Límites / LEY DE EMPRENDIMIENTO – Ley 2.069 de 2020 – Vigencia / FACTORES DE DESEMPATE – Ley 2.069 – Artículo 35 – Acreditación</w:t>
            </w:r>
            <w:r w:rsidR="00B95C30" w:rsidRPr="00B73D58">
              <w:rPr>
                <w:rFonts w:ascii="Arial" w:eastAsia="Arial" w:hAnsi="Arial" w:cs="Arial"/>
                <w:sz w:val="22"/>
                <w:lang w:val="es-ES_tradnl"/>
              </w:rPr>
              <w:t>.</w:t>
            </w:r>
          </w:p>
        </w:tc>
      </w:tr>
      <w:tr w:rsidR="00B73D58" w:rsidRPr="00B73D58" w14:paraId="27CD52AB" w14:textId="77777777" w:rsidTr="008F4163">
        <w:tc>
          <w:tcPr>
            <w:tcW w:w="2689" w:type="dxa"/>
          </w:tcPr>
          <w:p w14:paraId="37E195A1" w14:textId="1BA218D5" w:rsidR="00B95C30" w:rsidRPr="00B73D58" w:rsidRDefault="00B95C30" w:rsidP="008F4163">
            <w:pPr>
              <w:spacing w:before="120"/>
              <w:jc w:val="both"/>
              <w:rPr>
                <w:rFonts w:ascii="Arial" w:eastAsia="Calibri" w:hAnsi="Arial" w:cs="Arial"/>
                <w:b/>
                <w:sz w:val="22"/>
                <w:lang w:val="es-ES_tradnl"/>
              </w:rPr>
            </w:pPr>
            <w:r w:rsidRPr="00B73D58">
              <w:rPr>
                <w:rFonts w:ascii="Arial" w:eastAsia="Calibri" w:hAnsi="Arial" w:cs="Arial"/>
                <w:b/>
                <w:sz w:val="22"/>
                <w:lang w:val="es-ES_tradnl"/>
              </w:rPr>
              <w:t>Radicación:</w:t>
            </w:r>
            <w:r w:rsidRPr="00B73D58">
              <w:rPr>
                <w:rFonts w:ascii="Arial" w:eastAsia="Calibri" w:hAnsi="Arial" w:cs="Arial"/>
                <w:sz w:val="22"/>
                <w:lang w:val="es-ES_tradnl"/>
              </w:rPr>
              <w:t xml:space="preserve">                              </w:t>
            </w:r>
          </w:p>
        </w:tc>
        <w:tc>
          <w:tcPr>
            <w:tcW w:w="6237" w:type="dxa"/>
          </w:tcPr>
          <w:p w14:paraId="09088B1B" w14:textId="706D41A7" w:rsidR="00B95C30" w:rsidRPr="00B73D58" w:rsidRDefault="00B95C30" w:rsidP="008F4163">
            <w:pPr>
              <w:spacing w:before="120"/>
              <w:jc w:val="both"/>
              <w:rPr>
                <w:rFonts w:ascii="Arial" w:eastAsia="Calibri" w:hAnsi="Arial" w:cs="Arial"/>
                <w:sz w:val="22"/>
                <w:lang w:val="es-ES_tradnl"/>
              </w:rPr>
            </w:pPr>
            <w:r w:rsidRPr="00B73D58">
              <w:rPr>
                <w:rFonts w:ascii="Arial" w:eastAsia="Calibri" w:hAnsi="Arial" w:cs="Arial"/>
                <w:sz w:val="22"/>
                <w:lang w:val="es-ES_tradnl"/>
              </w:rPr>
              <w:t xml:space="preserve">Respuesta a consulta # </w:t>
            </w:r>
            <w:r w:rsidR="000B4CC6" w:rsidRPr="00B73D58">
              <w:rPr>
                <w:rFonts w:ascii="Arial" w:eastAsia="Calibri" w:hAnsi="Arial" w:cs="Arial"/>
                <w:sz w:val="22"/>
                <w:lang w:val="es-ES_tradnl"/>
              </w:rPr>
              <w:t>P20210122000505</w:t>
            </w:r>
          </w:p>
        </w:tc>
      </w:tr>
    </w:tbl>
    <w:p w14:paraId="7D5C2A2B" w14:textId="77777777" w:rsidR="00232DDA" w:rsidRPr="00B73D58" w:rsidRDefault="00232DDA" w:rsidP="003C3339">
      <w:pPr>
        <w:jc w:val="both"/>
        <w:rPr>
          <w:rFonts w:ascii="Arial" w:eastAsia="Calibri" w:hAnsi="Arial" w:cs="Arial"/>
          <w:sz w:val="22"/>
          <w:lang w:val="es-ES_tradnl"/>
        </w:rPr>
      </w:pPr>
    </w:p>
    <w:p w14:paraId="200B924D" w14:textId="77777777" w:rsidR="00232DDA" w:rsidRPr="00B73D58" w:rsidRDefault="00232DDA" w:rsidP="003C3339">
      <w:pPr>
        <w:jc w:val="both"/>
        <w:rPr>
          <w:rFonts w:ascii="Arial" w:eastAsia="Calibri" w:hAnsi="Arial" w:cs="Arial"/>
          <w:sz w:val="22"/>
          <w:lang w:val="es-ES_tradnl"/>
        </w:rPr>
      </w:pPr>
    </w:p>
    <w:p w14:paraId="1CF4AEA0" w14:textId="4644CC4D" w:rsidR="003C3339" w:rsidRPr="00B73D58" w:rsidRDefault="003C3339" w:rsidP="003C3339">
      <w:pPr>
        <w:jc w:val="both"/>
        <w:rPr>
          <w:rFonts w:ascii="Arial" w:eastAsia="Calibri" w:hAnsi="Arial" w:cs="Arial"/>
          <w:sz w:val="22"/>
          <w:lang w:val="es-ES_tradnl"/>
        </w:rPr>
      </w:pPr>
      <w:r w:rsidRPr="00B73D58">
        <w:rPr>
          <w:rFonts w:ascii="Arial" w:eastAsia="Calibri" w:hAnsi="Arial" w:cs="Arial"/>
          <w:sz w:val="22"/>
          <w:lang w:val="es-ES_tradnl"/>
        </w:rPr>
        <w:t>Estimad</w:t>
      </w:r>
      <w:r w:rsidR="00BE4FBF" w:rsidRPr="00B73D58">
        <w:rPr>
          <w:rFonts w:ascii="Arial" w:eastAsia="Calibri" w:hAnsi="Arial" w:cs="Arial"/>
          <w:sz w:val="22"/>
          <w:lang w:val="es-ES_tradnl"/>
        </w:rPr>
        <w:t>a</w:t>
      </w:r>
      <w:r w:rsidRPr="00B73D58">
        <w:rPr>
          <w:rFonts w:ascii="Arial" w:eastAsia="Calibri" w:hAnsi="Arial" w:cs="Arial"/>
          <w:sz w:val="22"/>
          <w:lang w:val="es-ES_tradnl"/>
        </w:rPr>
        <w:t xml:space="preserve"> </w:t>
      </w:r>
      <w:r w:rsidR="000B4CC6" w:rsidRPr="00B73D58">
        <w:rPr>
          <w:rFonts w:ascii="Arial" w:eastAsia="Calibri" w:hAnsi="Arial" w:cs="Arial"/>
          <w:sz w:val="22"/>
          <w:lang w:val="es-ES_tradnl"/>
        </w:rPr>
        <w:t>Doctora</w:t>
      </w:r>
      <w:r w:rsidR="00BE4FBF" w:rsidRPr="00B73D58">
        <w:rPr>
          <w:rFonts w:ascii="Arial" w:eastAsia="Calibri" w:hAnsi="Arial" w:cs="Arial"/>
          <w:sz w:val="22"/>
          <w:lang w:val="es-ES_tradnl"/>
        </w:rPr>
        <w:t xml:space="preserve"> </w:t>
      </w:r>
      <w:r w:rsidR="000B4CC6" w:rsidRPr="00B73D58">
        <w:rPr>
          <w:rFonts w:ascii="Arial" w:eastAsia="Calibri" w:hAnsi="Arial" w:cs="Arial"/>
          <w:sz w:val="22"/>
          <w:lang w:val="es-ES_tradnl"/>
        </w:rPr>
        <w:t>Ortiz</w:t>
      </w:r>
      <w:r w:rsidRPr="00B73D58">
        <w:rPr>
          <w:rFonts w:ascii="Arial" w:eastAsia="Calibri" w:hAnsi="Arial" w:cs="Arial"/>
          <w:sz w:val="22"/>
          <w:lang w:val="es-ES_tradnl"/>
        </w:rPr>
        <w:t>:</w:t>
      </w:r>
    </w:p>
    <w:p w14:paraId="1EAE5543" w14:textId="77777777" w:rsidR="00DD5B04" w:rsidRPr="00B73D58" w:rsidRDefault="00DD5B04" w:rsidP="00DF76A2">
      <w:pPr>
        <w:jc w:val="both"/>
        <w:rPr>
          <w:rFonts w:ascii="Arial" w:eastAsia="Calibri" w:hAnsi="Arial" w:cs="Arial"/>
          <w:sz w:val="22"/>
          <w:lang w:val="es-ES_tradnl"/>
        </w:rPr>
      </w:pPr>
    </w:p>
    <w:p w14:paraId="2109B2D3" w14:textId="37B27100" w:rsidR="00DD5B04" w:rsidRPr="00B73D58" w:rsidRDefault="00DD5B04" w:rsidP="00DF76A2">
      <w:pPr>
        <w:spacing w:line="276" w:lineRule="auto"/>
        <w:jc w:val="both"/>
        <w:rPr>
          <w:rFonts w:ascii="Arial" w:eastAsia="Calibri" w:hAnsi="Arial" w:cs="Arial"/>
          <w:sz w:val="22"/>
          <w:lang w:val="es-ES_tradnl"/>
        </w:rPr>
      </w:pPr>
      <w:r w:rsidRPr="00B73D58">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73D58">
        <w:rPr>
          <w:rFonts w:ascii="Arial" w:eastAsia="Calibri" w:hAnsi="Arial" w:cs="Arial"/>
          <w:sz w:val="22"/>
          <w:lang w:val="es-ES_tradnl"/>
        </w:rPr>
        <w:t xml:space="preserve"> </w:t>
      </w:r>
      <w:r w:rsidRPr="00B73D58">
        <w:rPr>
          <w:rFonts w:ascii="Arial" w:eastAsia="Calibri" w:hAnsi="Arial" w:cs="Arial"/>
          <w:sz w:val="22"/>
          <w:lang w:val="es-ES_tradnl"/>
        </w:rPr>
        <w:t xml:space="preserve">responde su consulta del </w:t>
      </w:r>
      <w:r w:rsidR="000B4CC6" w:rsidRPr="00B73D58">
        <w:rPr>
          <w:rFonts w:ascii="Arial" w:eastAsia="Calibri" w:hAnsi="Arial" w:cs="Arial"/>
          <w:sz w:val="22"/>
          <w:lang w:val="es-ES_tradnl"/>
        </w:rPr>
        <w:t>22</w:t>
      </w:r>
      <w:r w:rsidR="00FD4AF3" w:rsidRPr="00B73D58">
        <w:rPr>
          <w:rFonts w:ascii="Arial" w:eastAsia="Calibri" w:hAnsi="Arial" w:cs="Arial"/>
          <w:sz w:val="22"/>
          <w:lang w:val="es-ES_tradnl"/>
        </w:rPr>
        <w:t xml:space="preserve"> de </w:t>
      </w:r>
      <w:r w:rsidR="00FB0880" w:rsidRPr="00B73D58">
        <w:rPr>
          <w:rFonts w:ascii="Arial" w:eastAsia="Calibri" w:hAnsi="Arial" w:cs="Arial"/>
          <w:sz w:val="22"/>
          <w:lang w:val="es-ES_tradnl"/>
        </w:rPr>
        <w:t>enero</w:t>
      </w:r>
      <w:r w:rsidRPr="00B73D58">
        <w:rPr>
          <w:rFonts w:ascii="Arial" w:eastAsia="Calibri" w:hAnsi="Arial" w:cs="Arial"/>
          <w:sz w:val="22"/>
          <w:lang w:val="es-ES_tradnl"/>
        </w:rPr>
        <w:t xml:space="preserve"> del</w:t>
      </w:r>
      <w:r w:rsidR="007E74BF" w:rsidRPr="00B73D58">
        <w:rPr>
          <w:rFonts w:ascii="Arial" w:eastAsia="Calibri" w:hAnsi="Arial" w:cs="Arial"/>
          <w:sz w:val="22"/>
          <w:lang w:val="es-ES_tradnl"/>
        </w:rPr>
        <w:t xml:space="preserve"> </w:t>
      </w:r>
      <w:r w:rsidRPr="00B73D58">
        <w:rPr>
          <w:rFonts w:ascii="Arial" w:eastAsia="Calibri" w:hAnsi="Arial" w:cs="Arial"/>
          <w:sz w:val="22"/>
          <w:lang w:val="es-ES_tradnl"/>
        </w:rPr>
        <w:t>202</w:t>
      </w:r>
      <w:r w:rsidR="00FB0880" w:rsidRPr="00B73D58">
        <w:rPr>
          <w:rFonts w:ascii="Arial" w:eastAsia="Calibri" w:hAnsi="Arial" w:cs="Arial"/>
          <w:sz w:val="22"/>
          <w:lang w:val="es-ES_tradnl"/>
        </w:rPr>
        <w:t>1</w:t>
      </w:r>
      <w:r w:rsidR="008C3C57" w:rsidRPr="00B73D58">
        <w:rPr>
          <w:rFonts w:ascii="Arial" w:eastAsia="Calibri" w:hAnsi="Arial" w:cs="Arial"/>
          <w:sz w:val="22"/>
          <w:lang w:val="es-ES_tradnl"/>
        </w:rPr>
        <w:t>.</w:t>
      </w:r>
    </w:p>
    <w:p w14:paraId="0C1E0712" w14:textId="77777777" w:rsidR="00DD5B04" w:rsidRPr="00B73D58" w:rsidRDefault="00DD5B04" w:rsidP="00DF76A2">
      <w:pPr>
        <w:spacing w:line="276" w:lineRule="auto"/>
        <w:jc w:val="both"/>
        <w:rPr>
          <w:rFonts w:ascii="Arial" w:eastAsia="Calibri" w:hAnsi="Arial" w:cs="Arial"/>
          <w:b/>
          <w:sz w:val="22"/>
          <w:lang w:val="es-ES_tradnl"/>
        </w:rPr>
      </w:pPr>
    </w:p>
    <w:p w14:paraId="7701FCC7" w14:textId="642F7908" w:rsidR="00DD5B04" w:rsidRPr="00B73D5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B73D58">
        <w:rPr>
          <w:rFonts w:ascii="Arial" w:eastAsia="Calibri" w:hAnsi="Arial" w:cs="Arial"/>
          <w:b/>
          <w:sz w:val="22"/>
          <w:lang w:val="es-ES_tradnl"/>
        </w:rPr>
        <w:t>Problema</w:t>
      </w:r>
      <w:r w:rsidR="00B66AE7">
        <w:rPr>
          <w:rFonts w:ascii="Arial" w:eastAsia="Calibri" w:hAnsi="Arial" w:cs="Arial"/>
          <w:b/>
          <w:sz w:val="22"/>
          <w:lang w:val="es-ES_tradnl"/>
        </w:rPr>
        <w:t>s</w:t>
      </w:r>
      <w:r w:rsidRPr="00B73D58">
        <w:rPr>
          <w:rFonts w:ascii="Arial" w:eastAsia="Calibri" w:hAnsi="Arial" w:cs="Arial"/>
          <w:b/>
          <w:sz w:val="22"/>
          <w:lang w:val="es-ES_tradnl"/>
        </w:rPr>
        <w:t xml:space="preserve"> planteado</w:t>
      </w:r>
      <w:r w:rsidR="00B66AE7">
        <w:rPr>
          <w:rFonts w:ascii="Arial" w:eastAsia="Calibri" w:hAnsi="Arial" w:cs="Arial"/>
          <w:b/>
          <w:sz w:val="22"/>
          <w:lang w:val="es-ES_tradnl"/>
        </w:rPr>
        <w:t>s</w:t>
      </w:r>
      <w:r w:rsidRPr="00B73D58">
        <w:rPr>
          <w:rFonts w:ascii="Arial" w:eastAsia="Calibri" w:hAnsi="Arial" w:cs="Arial"/>
          <w:b/>
          <w:sz w:val="22"/>
          <w:lang w:val="es-ES_tradnl"/>
        </w:rPr>
        <w:t xml:space="preserve"> </w:t>
      </w:r>
    </w:p>
    <w:p w14:paraId="224B43D3" w14:textId="77777777" w:rsidR="00DD5B04" w:rsidRPr="00B73D58" w:rsidRDefault="00DD5B04" w:rsidP="00DF76A2">
      <w:pPr>
        <w:tabs>
          <w:tab w:val="left" w:pos="426"/>
        </w:tabs>
        <w:spacing w:line="276" w:lineRule="auto"/>
        <w:jc w:val="both"/>
        <w:rPr>
          <w:rFonts w:ascii="Arial" w:eastAsia="Calibri" w:hAnsi="Arial" w:cs="Arial"/>
          <w:b/>
          <w:sz w:val="22"/>
          <w:lang w:val="es-ES_tradnl"/>
        </w:rPr>
      </w:pPr>
    </w:p>
    <w:p w14:paraId="4DF588DA" w14:textId="7A41EB57" w:rsidR="00E9429D" w:rsidRPr="00C62241" w:rsidRDefault="00DD5B04" w:rsidP="00C62241">
      <w:pPr>
        <w:spacing w:line="276" w:lineRule="auto"/>
        <w:jc w:val="both"/>
        <w:rPr>
          <w:rFonts w:ascii="Arial" w:hAnsi="Arial" w:cs="Arial"/>
          <w:sz w:val="22"/>
          <w:szCs w:val="22"/>
          <w:lang w:val="es-ES_tradnl"/>
        </w:rPr>
      </w:pPr>
      <w:r w:rsidRPr="00B73D58">
        <w:rPr>
          <w:rFonts w:ascii="Arial" w:hAnsi="Arial" w:cs="Arial"/>
          <w:sz w:val="22"/>
          <w:lang w:val="es-ES_tradnl"/>
        </w:rPr>
        <w:t xml:space="preserve">Usted </w:t>
      </w:r>
      <w:r w:rsidR="00B66AE7">
        <w:rPr>
          <w:rFonts w:ascii="Arial" w:hAnsi="Arial" w:cs="Arial"/>
          <w:sz w:val="22"/>
          <w:lang w:val="es-ES_tradnl"/>
        </w:rPr>
        <w:t>realiza las siguientes preguntas</w:t>
      </w:r>
      <w:r w:rsidR="00B422C0" w:rsidRPr="00B73D58">
        <w:rPr>
          <w:rFonts w:ascii="Arial" w:hAnsi="Arial" w:cs="Arial"/>
          <w:sz w:val="22"/>
          <w:lang w:val="es-ES_tradnl"/>
        </w:rPr>
        <w:t>:</w:t>
      </w:r>
      <w:r w:rsidR="007E18DF" w:rsidRPr="00B73D58">
        <w:rPr>
          <w:rFonts w:ascii="Arial" w:hAnsi="Arial" w:cs="Arial"/>
          <w:sz w:val="22"/>
          <w:lang w:val="es-ES_tradnl"/>
        </w:rPr>
        <w:t xml:space="preserve"> </w:t>
      </w:r>
      <w:bookmarkStart w:id="2" w:name="_Hlk62740724"/>
      <w:r w:rsidR="00B66AE7" w:rsidRPr="00C62241">
        <w:rPr>
          <w:rFonts w:ascii="Arial" w:hAnsi="Arial" w:cs="Arial"/>
          <w:sz w:val="22"/>
          <w:szCs w:val="22"/>
          <w:lang w:val="es-ES_tradnl"/>
        </w:rPr>
        <w:t xml:space="preserve">i) </w:t>
      </w:r>
      <w:r w:rsidR="00F0435D" w:rsidRPr="00C62241">
        <w:rPr>
          <w:rFonts w:ascii="Arial" w:hAnsi="Arial" w:cs="Arial"/>
          <w:sz w:val="22"/>
          <w:szCs w:val="22"/>
          <w:lang w:val="es-ES_tradnl"/>
        </w:rPr>
        <w:t>«</w:t>
      </w:r>
      <w:r w:rsidR="000B4CC6" w:rsidRPr="00C62241">
        <w:rPr>
          <w:rFonts w:ascii="Arial" w:hAnsi="Arial" w:cs="Arial"/>
          <w:sz w:val="22"/>
          <w:szCs w:val="22"/>
          <w:lang w:val="es-ES_tradnl"/>
        </w:rPr>
        <w:t>¿Cuáles son los documentos idóneos para acreditar los factores de desempate establecidos en los numerales 2,4,5,6 y 7 del artículo 35 de la Ley 2069 del 2020?</w:t>
      </w:r>
      <w:r w:rsidR="00B66AE7" w:rsidRPr="00C62241">
        <w:rPr>
          <w:rFonts w:ascii="Arial" w:hAnsi="Arial" w:cs="Arial"/>
          <w:sz w:val="22"/>
          <w:szCs w:val="22"/>
          <w:lang w:val="es-ES_tradnl"/>
        </w:rPr>
        <w:t>», ii) «</w:t>
      </w:r>
      <w:r w:rsidR="000B4CC6" w:rsidRPr="00C62241">
        <w:rPr>
          <w:rFonts w:ascii="Arial" w:hAnsi="Arial" w:cs="Arial"/>
          <w:sz w:val="22"/>
          <w:szCs w:val="22"/>
          <w:lang w:val="es-ES_tradnl"/>
        </w:rPr>
        <w:t>¿Quiénes son las entidades competentes para expedir la documentación con la cual se acreditarán los factores de desempate establecidos en los numerales 2,4,5,6 y 7 del artículo 35 de la Ley 2069 del 2020?</w:t>
      </w:r>
      <w:r w:rsidR="00B66AE7" w:rsidRPr="00C62241">
        <w:rPr>
          <w:rFonts w:ascii="Arial" w:hAnsi="Arial" w:cs="Arial"/>
          <w:sz w:val="22"/>
          <w:szCs w:val="22"/>
          <w:lang w:val="es-ES_tradnl"/>
        </w:rPr>
        <w:t>»</w:t>
      </w:r>
      <w:bookmarkEnd w:id="2"/>
      <w:r w:rsidR="00B66AE7" w:rsidRPr="00C62241">
        <w:rPr>
          <w:rFonts w:ascii="Arial" w:hAnsi="Arial" w:cs="Arial"/>
          <w:sz w:val="22"/>
          <w:szCs w:val="22"/>
          <w:lang w:val="es-ES_tradnl"/>
        </w:rPr>
        <w:t xml:space="preserve"> y iii) «</w:t>
      </w:r>
      <w:r w:rsidR="000B4CC6" w:rsidRPr="00C62241">
        <w:rPr>
          <w:rFonts w:ascii="Arial" w:hAnsi="Arial" w:cs="Arial"/>
          <w:sz w:val="22"/>
          <w:szCs w:val="22"/>
          <w:lang w:val="es-ES_tradnl"/>
        </w:rPr>
        <w:t>De conformidad con el parágrafo tercero del artículo 35 de la Ley 2069, ¿El Gobierno Nacional expedirá reglamentación para la aplicación del artículo 35 de la Ley 2069 del 2020?</w:t>
      </w:r>
      <w:r w:rsidR="00FF3CC7" w:rsidRPr="00C62241">
        <w:rPr>
          <w:rFonts w:ascii="Arial" w:hAnsi="Arial" w:cs="Arial"/>
          <w:sz w:val="22"/>
          <w:szCs w:val="22"/>
          <w:lang w:val="es-ES_tradnl"/>
        </w:rPr>
        <w:t>»</w:t>
      </w:r>
      <w:r w:rsidR="00E031C3" w:rsidRPr="00C62241">
        <w:rPr>
          <w:rFonts w:ascii="Arial" w:hAnsi="Arial" w:cs="Arial"/>
          <w:sz w:val="22"/>
          <w:szCs w:val="22"/>
          <w:lang w:val="es-ES_tradnl"/>
        </w:rPr>
        <w:t>.</w:t>
      </w:r>
    </w:p>
    <w:p w14:paraId="79D0132C" w14:textId="1B739037" w:rsidR="004275A7" w:rsidRDefault="004275A7" w:rsidP="006A457D">
      <w:pPr>
        <w:spacing w:line="276" w:lineRule="auto"/>
        <w:jc w:val="both"/>
        <w:rPr>
          <w:rFonts w:ascii="Arial" w:hAnsi="Arial" w:cs="Arial"/>
          <w:sz w:val="22"/>
          <w:lang w:val="es-ES_tradnl"/>
        </w:rPr>
      </w:pPr>
    </w:p>
    <w:p w14:paraId="3B705AC8" w14:textId="60578B76" w:rsidR="002B75BB" w:rsidRDefault="002B75BB" w:rsidP="006A457D">
      <w:pPr>
        <w:spacing w:line="276" w:lineRule="auto"/>
        <w:jc w:val="both"/>
        <w:rPr>
          <w:rFonts w:ascii="Arial" w:hAnsi="Arial" w:cs="Arial"/>
          <w:sz w:val="22"/>
          <w:lang w:val="es-ES_tradnl"/>
        </w:rPr>
      </w:pPr>
    </w:p>
    <w:p w14:paraId="198E21C9" w14:textId="77777777" w:rsidR="002B75BB" w:rsidRPr="00B73D58" w:rsidRDefault="002B75BB" w:rsidP="006A457D">
      <w:pPr>
        <w:spacing w:line="276" w:lineRule="auto"/>
        <w:jc w:val="both"/>
        <w:rPr>
          <w:rFonts w:ascii="Arial" w:hAnsi="Arial" w:cs="Arial"/>
          <w:sz w:val="22"/>
          <w:lang w:val="es-ES_tradnl"/>
        </w:rPr>
      </w:pPr>
    </w:p>
    <w:p w14:paraId="124D2DCA" w14:textId="77777777" w:rsidR="00DD5B04" w:rsidRPr="00B73D58"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B73D58">
        <w:rPr>
          <w:rFonts w:ascii="Arial" w:eastAsia="Calibri" w:hAnsi="Arial" w:cs="Arial"/>
          <w:b/>
          <w:sz w:val="22"/>
          <w:lang w:val="es-ES_tradnl"/>
        </w:rPr>
        <w:lastRenderedPageBreak/>
        <w:t>Consideraciones</w:t>
      </w:r>
    </w:p>
    <w:p w14:paraId="7D050D2E" w14:textId="77777777" w:rsidR="00435703" w:rsidRPr="00B73D58" w:rsidRDefault="00435703" w:rsidP="00DF76A2">
      <w:pPr>
        <w:spacing w:line="276" w:lineRule="auto"/>
        <w:jc w:val="both"/>
        <w:rPr>
          <w:rFonts w:ascii="Arial" w:eastAsia="Calibri" w:hAnsi="Arial" w:cs="Arial"/>
          <w:sz w:val="22"/>
          <w:szCs w:val="22"/>
          <w:lang w:val="es-ES_tradnl"/>
        </w:rPr>
      </w:pPr>
    </w:p>
    <w:p w14:paraId="11ED1012" w14:textId="4DEE73F9" w:rsidR="000B4CC6" w:rsidRPr="00B73D58" w:rsidRDefault="000B4CC6" w:rsidP="000B4CC6">
      <w:pPr>
        <w:spacing w:line="276" w:lineRule="auto"/>
        <w:jc w:val="both"/>
        <w:rPr>
          <w:rFonts w:ascii="Arial" w:eastAsia="Calibri" w:hAnsi="Arial" w:cs="Arial"/>
          <w:sz w:val="22"/>
          <w:szCs w:val="22"/>
          <w:lang w:val="es-ES_tradnl"/>
        </w:rPr>
      </w:pPr>
      <w:r w:rsidRPr="00B73D58">
        <w:rPr>
          <w:rFonts w:ascii="Arial" w:eastAsia="Calibri" w:hAnsi="Arial" w:cs="Arial"/>
          <w:sz w:val="22"/>
          <w:szCs w:val="22"/>
          <w:lang w:val="es-ES_tradnl"/>
        </w:rPr>
        <w:t>La Subdirección de Gestión Contractual responderá la consulta, luego de analizar los siguientes temas: i) definición de los criterios de desempate en la contratación estatal, ii) vigencia y ámbito de aplicación de la Ley 2069 de 2020 y iii) factores de desempate consagrados en el artículo 35 de la mencionada Ley.</w:t>
      </w:r>
    </w:p>
    <w:p w14:paraId="4E8E2CB9" w14:textId="77777777" w:rsidR="000B4CC6" w:rsidRPr="00B73D58" w:rsidRDefault="000B4CC6" w:rsidP="000B4CC6">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Algunas de las consideraciones de estos conceptos se reiteran a continuación.</w:t>
      </w:r>
    </w:p>
    <w:p w14:paraId="3F569929" w14:textId="77777777" w:rsidR="000B4CC6" w:rsidRPr="00B73D58" w:rsidRDefault="000B4CC6" w:rsidP="000B4CC6">
      <w:pPr>
        <w:spacing w:line="276" w:lineRule="auto"/>
        <w:jc w:val="both"/>
        <w:rPr>
          <w:rFonts w:ascii="Arial" w:eastAsia="Calibri" w:hAnsi="Arial" w:cs="Arial"/>
          <w:sz w:val="22"/>
          <w:szCs w:val="22"/>
          <w:lang w:val="es-ES_tradnl"/>
        </w:rPr>
      </w:pPr>
    </w:p>
    <w:p w14:paraId="783E9F92" w14:textId="77777777" w:rsidR="000B4CC6" w:rsidRPr="00B73D58" w:rsidRDefault="000B4CC6" w:rsidP="000B4CC6">
      <w:pPr>
        <w:spacing w:line="276" w:lineRule="auto"/>
        <w:jc w:val="both"/>
        <w:rPr>
          <w:rFonts w:ascii="Arial" w:eastAsia="Calibri" w:hAnsi="Arial" w:cs="Arial"/>
          <w:b/>
          <w:bCs/>
          <w:sz w:val="22"/>
          <w:szCs w:val="22"/>
          <w:lang w:val="es-ES_tradnl"/>
        </w:rPr>
      </w:pPr>
      <w:r w:rsidRPr="00B73D58">
        <w:rPr>
          <w:rFonts w:ascii="Arial" w:eastAsia="Calibri" w:hAnsi="Arial" w:cs="Arial"/>
          <w:b/>
          <w:bCs/>
          <w:sz w:val="22"/>
          <w:szCs w:val="22"/>
          <w:lang w:val="es-ES_tradnl"/>
        </w:rPr>
        <w:t>2.1. Factores de desempate en la contratación estatal: concepto y características</w:t>
      </w:r>
    </w:p>
    <w:p w14:paraId="157C908A" w14:textId="77777777" w:rsidR="000B4CC6" w:rsidRPr="00B73D58" w:rsidRDefault="000B4CC6" w:rsidP="000B4CC6">
      <w:pPr>
        <w:spacing w:line="276" w:lineRule="auto"/>
        <w:jc w:val="both"/>
        <w:rPr>
          <w:rFonts w:ascii="Arial" w:eastAsia="Calibri" w:hAnsi="Arial" w:cs="Arial"/>
          <w:sz w:val="22"/>
          <w:szCs w:val="22"/>
          <w:lang w:val="es-ES_tradnl"/>
        </w:rPr>
      </w:pPr>
    </w:p>
    <w:p w14:paraId="66C1B235" w14:textId="7DCE0BC6" w:rsidR="000B4CC6" w:rsidRPr="00B73D58" w:rsidRDefault="000B4CC6" w:rsidP="000B4CC6">
      <w:pPr>
        <w:spacing w:line="276" w:lineRule="auto"/>
        <w:jc w:val="both"/>
        <w:rPr>
          <w:rFonts w:ascii="Arial" w:eastAsia="Calibri" w:hAnsi="Arial" w:cs="Arial"/>
          <w:sz w:val="22"/>
          <w:szCs w:val="22"/>
          <w:lang w:val="es-ES_tradnl"/>
        </w:rPr>
      </w:pPr>
      <w:r w:rsidRPr="00B73D58">
        <w:rPr>
          <w:rFonts w:ascii="Arial" w:eastAsia="Calibri" w:hAnsi="Arial" w:cs="Arial"/>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2FDE7E4F" w14:textId="75D24C1B" w:rsidR="000B4CC6" w:rsidRPr="00B73D58" w:rsidRDefault="000B4CC6" w:rsidP="000B4CC6">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materializa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5A07B7D" w14:textId="712082BF" w:rsidR="000B4CC6" w:rsidRPr="00B73D58" w:rsidRDefault="000B4CC6" w:rsidP="000B4CC6">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lastRenderedPageBreak/>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w:t>
      </w:r>
      <w:r w:rsidR="00D552B3">
        <w:rPr>
          <w:rFonts w:ascii="Arial" w:eastAsia="Calibri" w:hAnsi="Arial" w:cs="Arial"/>
          <w:sz w:val="22"/>
          <w:szCs w:val="22"/>
          <w:lang w:val="es-ES_tradnl"/>
        </w:rPr>
        <w:t>encuentra</w:t>
      </w:r>
      <w:r w:rsidRPr="00B73D58">
        <w:rPr>
          <w:rFonts w:ascii="Arial" w:eastAsia="Calibri" w:hAnsi="Arial" w:cs="Arial"/>
          <w:sz w:val="22"/>
          <w:szCs w:val="22"/>
          <w:lang w:val="es-ES_tradnl"/>
        </w:rPr>
        <w:t xml:space="preserve"> el artículo 35 de la Ley 2069 de 2020. La </w:t>
      </w:r>
      <w:r w:rsidR="0073065B">
        <w:rPr>
          <w:rFonts w:ascii="Arial" w:eastAsia="Calibri" w:hAnsi="Arial" w:cs="Arial"/>
          <w:sz w:val="22"/>
          <w:szCs w:val="22"/>
          <w:lang w:val="es-ES_tradnl"/>
        </w:rPr>
        <w:t>jurisprudencia</w:t>
      </w:r>
      <w:r w:rsidRPr="00B73D58">
        <w:rPr>
          <w:rFonts w:ascii="Arial" w:eastAsia="Calibri" w:hAnsi="Arial" w:cs="Arial"/>
          <w:sz w:val="22"/>
          <w:szCs w:val="22"/>
          <w:lang w:val="es-ES_tradnl"/>
        </w:rPr>
        <w:t xml:space="preserve"> comparte la idea de que los criterios de desempate deben estar establecidos de antemano y constituyen un límite a la discrecionalidad administrativa en los procedimientos de selección. </w:t>
      </w:r>
    </w:p>
    <w:p w14:paraId="78AE1544" w14:textId="46B647DF" w:rsidR="000B4CC6" w:rsidRPr="00B73D58" w:rsidRDefault="000B4CC6" w:rsidP="000B4CC6">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En tal sentido, la Corte Constitucional explica que cuando la ley establece factores de desempate obligatorios, las entidades estatales no pueden prescindir de su aplicación porque ello podría vulnerar el principio de igualdad, especialmente, cuando algunos de estos criterios surgen como acciones afirmativas para ciertos sectores de la población</w:t>
      </w:r>
      <w:r w:rsidRPr="00B73D58">
        <w:rPr>
          <w:rStyle w:val="Refdenotaalpie"/>
          <w:rFonts w:ascii="Arial" w:eastAsia="Calibri" w:hAnsi="Arial" w:cs="Arial"/>
          <w:sz w:val="22"/>
          <w:szCs w:val="22"/>
          <w:lang w:val="es-ES_tradnl"/>
        </w:rPr>
        <w:footnoteReference w:id="2"/>
      </w:r>
      <w:r w:rsidRPr="00B73D58">
        <w:rPr>
          <w:rFonts w:ascii="Arial" w:eastAsia="Calibri" w:hAnsi="Arial" w:cs="Arial"/>
          <w:sz w:val="22"/>
          <w:szCs w:val="22"/>
          <w:lang w:val="es-ES_tradnl"/>
        </w:rPr>
        <w:t xml:space="preserve">. </w:t>
      </w:r>
      <w:r w:rsidR="00D552B3">
        <w:rPr>
          <w:rFonts w:ascii="Arial" w:eastAsia="Calibri" w:hAnsi="Arial" w:cs="Arial"/>
          <w:sz w:val="22"/>
          <w:szCs w:val="22"/>
          <w:lang w:val="es-ES_tradnl"/>
        </w:rPr>
        <w:t xml:space="preserve">Más aún, </w:t>
      </w:r>
      <w:r w:rsidRPr="00B73D58">
        <w:rPr>
          <w:rFonts w:ascii="Arial" w:eastAsia="Calibri" w:hAnsi="Arial" w:cs="Arial"/>
          <w:sz w:val="22"/>
          <w:szCs w:val="22"/>
          <w:lang w:val="es-ES_tradnl"/>
        </w:rPr>
        <w:t>el Consejo de Estado</w:t>
      </w:r>
      <w:r w:rsidR="00D552B3">
        <w:rPr>
          <w:rFonts w:ascii="Arial" w:eastAsia="Calibri" w:hAnsi="Arial" w:cs="Arial"/>
          <w:sz w:val="22"/>
          <w:szCs w:val="22"/>
          <w:lang w:val="es-ES_tradnl"/>
        </w:rPr>
        <w:t xml:space="preserve"> ha señalado que contravenir </w:t>
      </w:r>
      <w:r w:rsidRPr="00B73D58">
        <w:rPr>
          <w:rFonts w:ascii="Arial" w:eastAsia="Calibri" w:hAnsi="Arial" w:cs="Arial"/>
          <w:sz w:val="22"/>
          <w:szCs w:val="22"/>
          <w:lang w:val="es-ES_tradnl"/>
        </w:rPr>
        <w:t>los</w:t>
      </w:r>
      <w:r w:rsidR="00C52A69">
        <w:rPr>
          <w:rFonts w:ascii="Arial" w:eastAsia="Calibri" w:hAnsi="Arial" w:cs="Arial"/>
          <w:sz w:val="22"/>
          <w:szCs w:val="22"/>
          <w:lang w:val="es-ES_tradnl"/>
        </w:rPr>
        <w:t xml:space="preserve"> </w:t>
      </w:r>
      <w:r w:rsidRPr="00B73D58">
        <w:rPr>
          <w:rFonts w:ascii="Arial" w:eastAsia="Calibri" w:hAnsi="Arial" w:cs="Arial"/>
          <w:sz w:val="22"/>
          <w:szCs w:val="22"/>
          <w:lang w:val="es-ES_tradnl"/>
        </w:rPr>
        <w:t xml:space="preserve">factores de desempate establecidos expresamente </w:t>
      </w:r>
      <w:r w:rsidR="00D552B3">
        <w:rPr>
          <w:rFonts w:ascii="Arial" w:eastAsia="Calibri" w:hAnsi="Arial" w:cs="Arial"/>
          <w:sz w:val="22"/>
          <w:szCs w:val="22"/>
          <w:lang w:val="es-ES_tradnl"/>
        </w:rPr>
        <w:t>genera</w:t>
      </w:r>
      <w:r w:rsidRPr="00B73D58">
        <w:rPr>
          <w:rFonts w:ascii="Arial" w:eastAsia="Calibri" w:hAnsi="Arial" w:cs="Arial"/>
          <w:sz w:val="22"/>
          <w:szCs w:val="22"/>
          <w:lang w:val="es-ES_tradnl"/>
        </w:rPr>
        <w:t xml:space="preserve"> la nulidad del contrato, conforme al artículo 44, inciso 1º de la Ley 80 de 1993</w:t>
      </w:r>
      <w:r w:rsidRPr="00B73D58">
        <w:rPr>
          <w:rStyle w:val="Refdenotaalpie"/>
          <w:rFonts w:ascii="Arial" w:eastAsia="Calibri" w:hAnsi="Arial" w:cs="Arial"/>
          <w:sz w:val="22"/>
          <w:szCs w:val="22"/>
          <w:lang w:val="es-ES_tradnl"/>
        </w:rPr>
        <w:footnoteReference w:id="3"/>
      </w:r>
      <w:r w:rsidRPr="00B73D58">
        <w:rPr>
          <w:rFonts w:ascii="Arial" w:eastAsia="Calibri" w:hAnsi="Arial" w:cs="Arial"/>
          <w:sz w:val="22"/>
          <w:szCs w:val="22"/>
          <w:lang w:val="es-ES_tradnl"/>
        </w:rPr>
        <w:t>.</w:t>
      </w:r>
    </w:p>
    <w:p w14:paraId="4972CE02" w14:textId="77777777" w:rsidR="000B4CC6" w:rsidRPr="00B73D58" w:rsidRDefault="000B4CC6" w:rsidP="000B4CC6">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 xml:space="preserve">Ahora bien, en cumplimiento de los principios de reciprocidad y de </w:t>
      </w:r>
      <w:r w:rsidRPr="00B73D58">
        <w:rPr>
          <w:rFonts w:ascii="Arial" w:eastAsia="Calibri" w:hAnsi="Arial" w:cs="Arial"/>
          <w:i/>
          <w:iCs/>
          <w:sz w:val="22"/>
          <w:szCs w:val="22"/>
          <w:lang w:val="es-ES_tradnl"/>
        </w:rPr>
        <w:t>pacta sunt servanda</w:t>
      </w:r>
      <w:r w:rsidRPr="00B73D58">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360F6D09" w14:textId="77777777" w:rsidR="00360F9C" w:rsidRPr="00B73D58" w:rsidRDefault="00360F9C" w:rsidP="000B4CC6">
      <w:pPr>
        <w:spacing w:line="276" w:lineRule="auto"/>
        <w:rPr>
          <w:rFonts w:ascii="Arial" w:eastAsia="Calibri" w:hAnsi="Arial" w:cs="Arial"/>
          <w:sz w:val="22"/>
          <w:szCs w:val="22"/>
          <w:lang w:val="es-ES_tradnl"/>
        </w:rPr>
      </w:pPr>
    </w:p>
    <w:p w14:paraId="03C10197" w14:textId="010D7889" w:rsidR="000B4CC6" w:rsidRPr="00B73D58" w:rsidRDefault="000B4CC6" w:rsidP="000B4CC6">
      <w:pPr>
        <w:spacing w:line="276" w:lineRule="auto"/>
        <w:jc w:val="both"/>
        <w:rPr>
          <w:rFonts w:ascii="Arial" w:eastAsia="Calibri" w:hAnsi="Arial" w:cs="Arial"/>
          <w:b/>
          <w:bCs/>
          <w:sz w:val="22"/>
          <w:szCs w:val="22"/>
          <w:lang w:val="es-ES_tradnl"/>
        </w:rPr>
      </w:pPr>
      <w:r w:rsidRPr="00B73D58">
        <w:rPr>
          <w:rFonts w:ascii="Arial" w:eastAsia="Calibri" w:hAnsi="Arial" w:cs="Arial"/>
          <w:b/>
          <w:bCs/>
          <w:sz w:val="22"/>
          <w:szCs w:val="22"/>
          <w:lang w:val="es-ES_tradnl"/>
        </w:rPr>
        <w:t>2.2. Vigencia y ámbito de aplicación de la Ley 2069 de 2020</w:t>
      </w:r>
    </w:p>
    <w:p w14:paraId="1E66B47B" w14:textId="77777777" w:rsidR="000B4CC6" w:rsidRPr="00B73D58" w:rsidRDefault="000B4CC6" w:rsidP="000B4CC6">
      <w:pPr>
        <w:spacing w:line="276" w:lineRule="auto"/>
        <w:jc w:val="both"/>
        <w:rPr>
          <w:rFonts w:ascii="Arial" w:eastAsia="Calibri" w:hAnsi="Arial" w:cs="Arial"/>
          <w:sz w:val="22"/>
          <w:szCs w:val="22"/>
          <w:lang w:val="es-ES_tradnl"/>
        </w:rPr>
      </w:pPr>
    </w:p>
    <w:p w14:paraId="6526961E" w14:textId="59F007C2" w:rsidR="000B4CC6" w:rsidRPr="00B73D58" w:rsidRDefault="000B4CC6" w:rsidP="000B4CC6">
      <w:pPr>
        <w:spacing w:line="276" w:lineRule="auto"/>
        <w:jc w:val="both"/>
        <w:rPr>
          <w:rFonts w:ascii="Arial" w:eastAsia="Calibri" w:hAnsi="Arial" w:cs="Arial"/>
          <w:sz w:val="22"/>
          <w:szCs w:val="22"/>
          <w:lang w:val="es-ES_tradnl"/>
        </w:rPr>
      </w:pPr>
      <w:r w:rsidRPr="00B73D58">
        <w:rPr>
          <w:rFonts w:ascii="Arial" w:eastAsia="Calibri" w:hAnsi="Arial" w:cs="Arial"/>
          <w:sz w:val="22"/>
          <w:szCs w:val="22"/>
          <w:lang w:val="es-ES_tradnl"/>
        </w:rPr>
        <w:t xml:space="preserve">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w:t>
      </w:r>
      <w:r w:rsidRPr="00B73D58">
        <w:rPr>
          <w:rFonts w:ascii="Arial" w:eastAsia="Calibri" w:hAnsi="Arial" w:cs="Arial"/>
          <w:sz w:val="22"/>
          <w:szCs w:val="22"/>
          <w:lang w:val="es-ES_tradnl"/>
        </w:rPr>
        <w:lastRenderedPageBreak/>
        <w:t>confiere el artículo 189, numeral 11, de la Constitución Política, expida el decreto correspondiente que permita la cumplida ejecución de esta Ley.</w:t>
      </w:r>
    </w:p>
    <w:p w14:paraId="1459E906" w14:textId="3EF644D9" w:rsidR="000B4CC6" w:rsidRPr="00B73D58" w:rsidRDefault="000B4CC6" w:rsidP="000B4CC6">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w:t>
      </w:r>
      <w:r w:rsidR="00D50C55">
        <w:rPr>
          <w:rFonts w:ascii="Arial" w:eastAsia="Calibri" w:hAnsi="Arial" w:cs="Arial"/>
          <w:sz w:val="22"/>
          <w:szCs w:val="22"/>
          <w:lang w:val="es-ES_tradnl"/>
        </w:rPr>
        <w:t>Lo anterior</w:t>
      </w:r>
      <w:r w:rsidRPr="00B73D58">
        <w:rPr>
          <w:rFonts w:ascii="Arial" w:eastAsia="Calibri" w:hAnsi="Arial" w:cs="Arial"/>
          <w:sz w:val="22"/>
          <w:szCs w:val="22"/>
          <w:lang w:val="es-ES_tradnl"/>
        </w:rPr>
        <w:t xml:space="preserve">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B73D58">
        <w:rPr>
          <w:rStyle w:val="Refdenotaalpie"/>
          <w:rFonts w:ascii="Arial" w:eastAsia="Calibri" w:hAnsi="Arial" w:cs="Arial"/>
          <w:sz w:val="22"/>
          <w:szCs w:val="22"/>
          <w:lang w:val="es-ES_tradnl"/>
        </w:rPr>
        <w:footnoteReference w:id="4"/>
      </w:r>
      <w:r w:rsidRPr="00B73D58">
        <w:rPr>
          <w:rFonts w:ascii="Arial" w:eastAsia="Calibri" w:hAnsi="Arial" w:cs="Arial"/>
          <w:sz w:val="22"/>
          <w:szCs w:val="22"/>
          <w:lang w:val="es-ES_tradnl"/>
        </w:rPr>
        <w:t>, así como incentivos a favor de aquellas dentro del sistema de compras y contratación pública</w:t>
      </w:r>
      <w:r w:rsidRPr="00B73D58">
        <w:rPr>
          <w:rStyle w:val="Refdenotaalpie"/>
          <w:rFonts w:ascii="Arial" w:eastAsia="Calibri" w:hAnsi="Arial" w:cs="Arial"/>
          <w:sz w:val="22"/>
          <w:szCs w:val="22"/>
          <w:lang w:val="es-ES_tradnl"/>
        </w:rPr>
        <w:footnoteReference w:id="5"/>
      </w:r>
      <w:r w:rsidRPr="00B73D58">
        <w:rPr>
          <w:rFonts w:ascii="Arial" w:eastAsia="Calibri" w:hAnsi="Arial" w:cs="Arial"/>
          <w:sz w:val="22"/>
          <w:szCs w:val="22"/>
          <w:lang w:val="es-ES_tradnl"/>
        </w:rPr>
        <w:t xml:space="preserve">. </w:t>
      </w:r>
      <w:r w:rsidR="00787368">
        <w:rPr>
          <w:rFonts w:ascii="Arial" w:eastAsia="Calibri" w:hAnsi="Arial" w:cs="Arial"/>
          <w:sz w:val="22"/>
          <w:szCs w:val="22"/>
          <w:lang w:val="es-ES_tradnl"/>
        </w:rPr>
        <w:t>De igual forma,</w:t>
      </w:r>
      <w:r w:rsidRPr="00B73D58">
        <w:rPr>
          <w:rFonts w:ascii="Arial" w:eastAsia="Calibri" w:hAnsi="Arial" w:cs="Arial"/>
          <w:sz w:val="22"/>
          <w:szCs w:val="22"/>
          <w:lang w:val="es-ES_tradnl"/>
        </w:rPr>
        <w:t xml:space="preserve"> se consagran mecanismos de acceso al financiamiento</w:t>
      </w:r>
      <w:r w:rsidRPr="00B73D58">
        <w:rPr>
          <w:rStyle w:val="Refdenotaalpie"/>
          <w:rFonts w:ascii="Arial" w:eastAsia="Calibri" w:hAnsi="Arial" w:cs="Arial"/>
          <w:sz w:val="22"/>
          <w:szCs w:val="22"/>
          <w:lang w:val="es-ES_tradnl"/>
        </w:rPr>
        <w:footnoteReference w:id="6"/>
      </w:r>
      <w:r w:rsidRPr="00B73D58">
        <w:rPr>
          <w:rFonts w:ascii="Arial" w:eastAsia="Calibri" w:hAnsi="Arial" w:cs="Arial"/>
          <w:sz w:val="22"/>
          <w:szCs w:val="22"/>
          <w:lang w:val="es-ES_tradnl"/>
        </w:rPr>
        <w:t>, se unifican las fuentes de emprendimiento y de desarrollo empresarial, para fortalecer y promover los distintos sectores de la economía</w:t>
      </w:r>
      <w:r w:rsidRPr="00B73D58">
        <w:rPr>
          <w:rStyle w:val="Refdenotaalpie"/>
          <w:rFonts w:ascii="Arial" w:eastAsia="Calibri" w:hAnsi="Arial" w:cs="Arial"/>
          <w:sz w:val="22"/>
          <w:szCs w:val="22"/>
          <w:lang w:val="es-ES_tradnl"/>
        </w:rPr>
        <w:footnoteReference w:id="7"/>
      </w:r>
      <w:r w:rsidRPr="00B73D58">
        <w:rPr>
          <w:rFonts w:ascii="Arial" w:eastAsia="Calibri" w:hAnsi="Arial" w:cs="Arial"/>
          <w:sz w:val="22"/>
          <w:szCs w:val="22"/>
          <w:lang w:val="es-ES_tradnl"/>
        </w:rPr>
        <w:t xml:space="preserve"> y se prevén medidas de educación para el emprendimiento y la innovación</w:t>
      </w:r>
      <w:r w:rsidRPr="00B73D58">
        <w:rPr>
          <w:rStyle w:val="Refdenotaalpie"/>
          <w:rFonts w:ascii="Arial" w:eastAsia="Calibri" w:hAnsi="Arial" w:cs="Arial"/>
          <w:sz w:val="22"/>
          <w:szCs w:val="22"/>
          <w:lang w:val="es-ES_tradnl"/>
        </w:rPr>
        <w:footnoteReference w:id="8"/>
      </w:r>
      <w:r w:rsidRPr="00B73D58">
        <w:rPr>
          <w:rFonts w:ascii="Arial" w:eastAsia="Calibri" w:hAnsi="Arial" w:cs="Arial"/>
          <w:sz w:val="22"/>
          <w:szCs w:val="22"/>
          <w:lang w:val="es-ES_tradnl"/>
        </w:rPr>
        <w:t>.</w:t>
      </w:r>
    </w:p>
    <w:p w14:paraId="584D42C6" w14:textId="3CBC5E43" w:rsidR="000B4CC6" w:rsidRPr="00B73D58" w:rsidRDefault="000B4CC6" w:rsidP="000B4CC6">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w:t>
      </w:r>
      <w:r w:rsidR="00F54AD2" w:rsidRPr="00B73D58">
        <w:rPr>
          <w:rFonts w:ascii="Arial" w:eastAsia="Calibri" w:hAnsi="Arial" w:cs="Arial"/>
          <w:sz w:val="22"/>
          <w:szCs w:val="22"/>
          <w:lang w:val="es-ES_tradnl"/>
        </w:rPr>
        <w:t>acreditación de las circunstancias en virtud de las cuales opera</w:t>
      </w:r>
      <w:r w:rsidRPr="00B73D58">
        <w:rPr>
          <w:rFonts w:ascii="Arial" w:eastAsia="Calibri" w:hAnsi="Arial" w:cs="Arial"/>
          <w:sz w:val="22"/>
          <w:szCs w:val="22"/>
          <w:lang w:val="es-ES_tradnl"/>
        </w:rPr>
        <w:t xml:space="preserve"> del artículo 35 de la referida Ley, a </w:t>
      </w:r>
      <w:r w:rsidR="00F54AD2" w:rsidRPr="00B73D58">
        <w:rPr>
          <w:rFonts w:ascii="Arial" w:eastAsia="Calibri" w:hAnsi="Arial" w:cs="Arial"/>
          <w:sz w:val="22"/>
          <w:szCs w:val="22"/>
          <w:lang w:val="es-ES_tradnl"/>
        </w:rPr>
        <w:t>continuación,</w:t>
      </w:r>
      <w:r w:rsidRPr="00B73D58">
        <w:rPr>
          <w:rFonts w:ascii="Arial" w:eastAsia="Calibri" w:hAnsi="Arial" w:cs="Arial"/>
          <w:sz w:val="22"/>
          <w:szCs w:val="22"/>
          <w:lang w:val="es-ES_tradnl"/>
        </w:rPr>
        <w:t xml:space="preserve"> se estudiará el contenido y alcance de dicha norma.  </w:t>
      </w:r>
    </w:p>
    <w:p w14:paraId="76F598EA" w14:textId="7CB2CF6B" w:rsidR="006C189C" w:rsidRDefault="006C189C" w:rsidP="00833ADA">
      <w:pPr>
        <w:spacing w:line="276" w:lineRule="auto"/>
        <w:jc w:val="both"/>
        <w:rPr>
          <w:rFonts w:ascii="Arial" w:eastAsia="Calibri" w:hAnsi="Arial" w:cs="Arial"/>
          <w:sz w:val="22"/>
          <w:szCs w:val="22"/>
          <w:lang w:val="es-ES_tradnl"/>
        </w:rPr>
      </w:pPr>
    </w:p>
    <w:p w14:paraId="72CC2CEF" w14:textId="1DE4D0C6" w:rsidR="002B75BB" w:rsidRDefault="002B75BB" w:rsidP="00833ADA">
      <w:pPr>
        <w:spacing w:line="276" w:lineRule="auto"/>
        <w:jc w:val="both"/>
        <w:rPr>
          <w:rFonts w:ascii="Arial" w:eastAsia="Calibri" w:hAnsi="Arial" w:cs="Arial"/>
          <w:sz w:val="22"/>
          <w:szCs w:val="22"/>
          <w:lang w:val="es-ES_tradnl"/>
        </w:rPr>
      </w:pPr>
    </w:p>
    <w:p w14:paraId="6E2A10D2" w14:textId="77777777" w:rsidR="002B75BB" w:rsidRPr="00B73D58" w:rsidRDefault="002B75BB" w:rsidP="00833ADA">
      <w:pPr>
        <w:spacing w:line="276" w:lineRule="auto"/>
        <w:jc w:val="both"/>
        <w:rPr>
          <w:rFonts w:ascii="Arial" w:eastAsia="Calibri" w:hAnsi="Arial" w:cs="Arial"/>
          <w:sz w:val="22"/>
          <w:szCs w:val="22"/>
          <w:lang w:val="es-ES_tradnl"/>
        </w:rPr>
      </w:pPr>
    </w:p>
    <w:p w14:paraId="2C2833A6" w14:textId="08BC04F6" w:rsidR="00833ADA" w:rsidRPr="00B73D58" w:rsidRDefault="00523F41" w:rsidP="00833ADA">
      <w:pPr>
        <w:spacing w:line="276" w:lineRule="auto"/>
        <w:jc w:val="both"/>
        <w:rPr>
          <w:rFonts w:ascii="Arial" w:eastAsia="Calibri" w:hAnsi="Arial" w:cs="Arial"/>
          <w:b/>
          <w:bCs/>
          <w:sz w:val="22"/>
          <w:szCs w:val="22"/>
          <w:lang w:val="es-ES_tradnl"/>
        </w:rPr>
      </w:pPr>
      <w:r w:rsidRPr="00B73D58">
        <w:rPr>
          <w:rFonts w:ascii="Arial" w:eastAsia="Calibri" w:hAnsi="Arial" w:cs="Arial"/>
          <w:b/>
          <w:bCs/>
          <w:sz w:val="22"/>
          <w:szCs w:val="22"/>
          <w:lang w:val="es-ES_tradnl"/>
        </w:rPr>
        <w:lastRenderedPageBreak/>
        <w:t>2.3.</w:t>
      </w:r>
      <w:r w:rsidR="00833ADA" w:rsidRPr="00B73D58">
        <w:rPr>
          <w:rFonts w:ascii="Arial" w:eastAsia="Calibri" w:hAnsi="Arial" w:cs="Arial"/>
          <w:b/>
          <w:bCs/>
          <w:sz w:val="22"/>
          <w:szCs w:val="22"/>
          <w:lang w:val="es-ES_tradnl"/>
        </w:rPr>
        <w:t xml:space="preserve"> Forma de acreditación de los factores de desempate consagrados en el artículo 35 de la</w:t>
      </w:r>
      <w:r w:rsidR="00755229" w:rsidRPr="00B73D58">
        <w:rPr>
          <w:rFonts w:ascii="Arial" w:eastAsia="Calibri" w:hAnsi="Arial" w:cs="Arial"/>
          <w:b/>
          <w:bCs/>
          <w:sz w:val="22"/>
          <w:szCs w:val="22"/>
          <w:lang w:val="es-ES_tradnl"/>
        </w:rPr>
        <w:t xml:space="preserve"> Ley 2069 de 2020</w:t>
      </w:r>
    </w:p>
    <w:p w14:paraId="39B77F09" w14:textId="77777777" w:rsidR="00FC6DB9" w:rsidRPr="00B73D58" w:rsidRDefault="00FC6DB9" w:rsidP="00271230">
      <w:pPr>
        <w:spacing w:line="276" w:lineRule="auto"/>
        <w:jc w:val="both"/>
        <w:rPr>
          <w:rFonts w:ascii="Arial" w:eastAsia="Calibri" w:hAnsi="Arial" w:cs="Arial"/>
          <w:sz w:val="22"/>
          <w:szCs w:val="22"/>
          <w:lang w:val="es-ES_tradnl"/>
        </w:rPr>
      </w:pPr>
    </w:p>
    <w:p w14:paraId="0FFE41BF" w14:textId="418530E7" w:rsidR="00F54AD2" w:rsidRPr="00B73D58" w:rsidRDefault="00F54AD2" w:rsidP="00F54AD2">
      <w:pPr>
        <w:spacing w:line="276" w:lineRule="auto"/>
        <w:jc w:val="both"/>
        <w:rPr>
          <w:rFonts w:ascii="Arial" w:eastAsia="Calibri" w:hAnsi="Arial" w:cs="Arial"/>
          <w:sz w:val="22"/>
          <w:szCs w:val="22"/>
          <w:lang w:val="es-ES_tradnl"/>
        </w:rPr>
      </w:pPr>
      <w:r w:rsidRPr="00B73D58">
        <w:rPr>
          <w:rFonts w:ascii="Arial" w:eastAsia="Calibri" w:hAnsi="Arial" w:cs="Arial"/>
          <w:sz w:val="22"/>
          <w:szCs w:val="22"/>
          <w:lang w:val="es-ES_tradnl"/>
        </w:rPr>
        <w:t>El artículo 35 de la Ley 2069 de 2020 modifica la regulación de los factores de desempate en la contratación estatal</w:t>
      </w:r>
      <w:r w:rsidRPr="00B73D58">
        <w:rPr>
          <w:rStyle w:val="Refdenotaalpie"/>
          <w:rFonts w:ascii="Arial" w:eastAsia="Calibri" w:hAnsi="Arial" w:cs="Arial"/>
          <w:sz w:val="22"/>
          <w:szCs w:val="22"/>
          <w:lang w:val="es-ES_tradnl"/>
        </w:rPr>
        <w:footnoteReference w:id="9"/>
      </w:r>
      <w:r w:rsidRPr="00B73D58">
        <w:rPr>
          <w:rFonts w:ascii="Arial" w:eastAsia="Calibri" w:hAnsi="Arial" w:cs="Arial"/>
          <w:sz w:val="22"/>
          <w:szCs w:val="22"/>
          <w:lang w:val="es-ES_tradnl"/>
        </w:rPr>
        <w:t>. Respecto de la vigencia de este</w:t>
      </w:r>
      <w:bookmarkStart w:id="3" w:name="_Hlk63008407"/>
      <w:r w:rsidRPr="00BF1E4A">
        <w:rPr>
          <w:rFonts w:ascii="Arial" w:eastAsia="Calibri" w:hAnsi="Arial" w:cs="Arial"/>
          <w:sz w:val="22"/>
          <w:szCs w:val="22"/>
          <w:lang w:val="es-ES_tradnl"/>
        </w:rPr>
        <w:t>,</w:t>
      </w:r>
      <w:r w:rsidR="00FB7FBA" w:rsidRPr="00BF1E4A">
        <w:rPr>
          <w:rFonts w:ascii="Arial" w:eastAsia="Calibri" w:hAnsi="Arial" w:cs="Arial"/>
          <w:sz w:val="22"/>
          <w:szCs w:val="22"/>
          <w:lang w:val="es-ES_tradnl"/>
        </w:rPr>
        <w:t xml:space="preserve"> pese a que el parágrafo 3 </w:t>
      </w:r>
      <w:r w:rsidR="00FB7FBA" w:rsidRPr="00BF1E4A">
        <w:rPr>
          <w:rFonts w:ascii="Arial" w:eastAsia="Calibri" w:hAnsi="Arial" w:cs="Arial"/>
          <w:sz w:val="22"/>
          <w:szCs w:val="22"/>
          <w:lang w:val="es-ES_tradnl"/>
        </w:rPr>
        <w:lastRenderedPageBreak/>
        <w:t xml:space="preserve">dispone que el Gobierno Nacional </w:t>
      </w:r>
      <w:r w:rsidR="0067514D" w:rsidRPr="00BF1E4A">
        <w:rPr>
          <w:rFonts w:ascii="Arial" w:eastAsia="Calibri" w:hAnsi="Arial" w:cs="Arial"/>
          <w:sz w:val="22"/>
          <w:szCs w:val="22"/>
          <w:lang w:val="es-ES_tradnl"/>
        </w:rPr>
        <w:t>podrá regular</w:t>
      </w:r>
      <w:r w:rsidR="00FB7FBA" w:rsidRPr="00BF1E4A">
        <w:rPr>
          <w:rFonts w:ascii="Arial" w:eastAsia="Calibri" w:hAnsi="Arial" w:cs="Arial"/>
          <w:sz w:val="22"/>
          <w:szCs w:val="22"/>
          <w:lang w:val="es-ES_tradnl"/>
        </w:rPr>
        <w:t xml:space="preserve"> los supuestos en que concurr</w:t>
      </w:r>
      <w:r w:rsidR="0067514D" w:rsidRPr="00BF1E4A">
        <w:rPr>
          <w:rFonts w:ascii="Arial" w:eastAsia="Calibri" w:hAnsi="Arial" w:cs="Arial"/>
          <w:sz w:val="22"/>
          <w:szCs w:val="22"/>
          <w:lang w:val="es-ES_tradnl"/>
        </w:rPr>
        <w:t>a</w:t>
      </w:r>
      <w:r w:rsidR="00FB7FBA" w:rsidRPr="00BF1E4A">
        <w:rPr>
          <w:rFonts w:ascii="Arial" w:eastAsia="Calibri" w:hAnsi="Arial" w:cs="Arial"/>
          <w:sz w:val="22"/>
          <w:szCs w:val="22"/>
          <w:lang w:val="es-ES_tradnl"/>
        </w:rPr>
        <w:t>n dos o más factores de desempate</w:t>
      </w:r>
      <w:r w:rsidR="00B0278E" w:rsidRPr="00BF1E4A">
        <w:rPr>
          <w:rFonts w:ascii="Arial" w:eastAsia="Calibri" w:hAnsi="Arial" w:cs="Arial"/>
          <w:sz w:val="22"/>
          <w:szCs w:val="22"/>
          <w:lang w:val="es-ES_tradnl"/>
        </w:rPr>
        <w:t>,</w:t>
      </w:r>
      <w:bookmarkEnd w:id="3"/>
      <w:r w:rsidRPr="00BF1E4A">
        <w:rPr>
          <w:rFonts w:ascii="Arial" w:eastAsia="Calibri" w:hAnsi="Arial" w:cs="Arial"/>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sidRPr="00B73D58">
        <w:rPr>
          <w:rFonts w:ascii="Arial" w:eastAsia="Calibri" w:hAnsi="Arial" w:cs="Arial"/>
          <w:sz w:val="22"/>
          <w:szCs w:val="22"/>
          <w:lang w:val="es-ES_tradnl"/>
        </w:rPr>
        <w:t xml:space="preserve"> </w:t>
      </w:r>
    </w:p>
    <w:p w14:paraId="0607E49B" w14:textId="2CFDC5DD" w:rsidR="0073065B" w:rsidRDefault="00F54AD2" w:rsidP="00F54AD2">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 xml:space="preserve">Por ejemplo, en lo que a las compras públicas se refiere, el parágrafo primero del artículo 30, que alude a la participación de mipymes en procedimientos de mínima cuantía, establece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5D3A5721" w14:textId="1E9C7B0A" w:rsidR="00F54AD2" w:rsidRPr="00B73D58" w:rsidRDefault="00F54AD2" w:rsidP="00F54AD2">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Así mismo, el artículo 31, en el segundo inciso, determina que «El Gobierno Nacional reglamentará la definición de los criterios diferenciales, sobre reglas objetivas que podrán implementar las Entidades Estatales». De</w:t>
      </w:r>
      <w:r w:rsidR="00F83904">
        <w:rPr>
          <w:rFonts w:ascii="Arial" w:eastAsia="Calibri" w:hAnsi="Arial" w:cs="Arial"/>
          <w:sz w:val="22"/>
          <w:szCs w:val="22"/>
          <w:lang w:val="es-ES_tradnl"/>
        </w:rPr>
        <w:t xml:space="preserve"> igual forma</w:t>
      </w:r>
      <w:r w:rsidRPr="00B73D58">
        <w:rPr>
          <w:rFonts w:ascii="Arial" w:eastAsia="Calibri" w:hAnsi="Arial" w:cs="Arial"/>
          <w:sz w:val="22"/>
          <w:szCs w:val="22"/>
          <w:lang w:val="es-ES_tradnl"/>
        </w:rPr>
        <w:t xml:space="preserve">, el parágrafo primero del artículo 32 establece que «La definición de emprendimientos y empresas de mujeres se reglamentará por el gobierno nacional». Por su parte, el inciso cuarto del artículo 12 de la Ley 1150 de 2007, modificado por el artículo 34 de la Ley 2069 de 2020, indica que en los </w:t>
      </w:r>
      <w:r w:rsidRPr="00B73D58">
        <w:rPr>
          <w:rFonts w:ascii="Arial" w:eastAsia="Calibri" w:hAnsi="Arial" w:cs="Arial"/>
          <w:sz w:val="22"/>
          <w:szCs w:val="22"/>
          <w:lang w:val="es-ES_tradnl"/>
        </w:rPr>
        <w:lastRenderedPageBreak/>
        <w:t>pliegos de condiciones las entidades estatales deben prever mecanismos que garanticen la provisión de bienes y servicios por parte de sujetos de especial protección constitucional «[…] en las condiciones que señale el reglamento».</w:t>
      </w:r>
    </w:p>
    <w:p w14:paraId="4718B349" w14:textId="73ADE13B" w:rsidR="00F54AD2" w:rsidRPr="00BF1E4A" w:rsidRDefault="00F54AD2" w:rsidP="00C62241">
      <w:pPr>
        <w:spacing w:before="120" w:line="276" w:lineRule="auto"/>
        <w:ind w:firstLine="708"/>
        <w:jc w:val="both"/>
        <w:rPr>
          <w:rFonts w:ascii="Arial" w:eastAsia="Calibri" w:hAnsi="Arial" w:cs="Arial"/>
          <w:sz w:val="22"/>
          <w:szCs w:val="22"/>
          <w:lang w:val="es-ES_tradnl"/>
        </w:rPr>
      </w:pPr>
      <w:r w:rsidRPr="00B73D58">
        <w:rPr>
          <w:rFonts w:ascii="Arial" w:eastAsia="Calibri" w:hAnsi="Arial" w:cs="Arial"/>
          <w:sz w:val="22"/>
          <w:szCs w:val="22"/>
          <w:lang w:val="es-ES_tradnl"/>
        </w:rPr>
        <w:t>Lo mismo no sucede con el artículo 35</w:t>
      </w:r>
      <w:r w:rsidR="00FB7FBA" w:rsidRPr="00BF1E4A">
        <w:rPr>
          <w:rFonts w:ascii="Arial" w:eastAsia="Calibri" w:hAnsi="Arial" w:cs="Arial"/>
          <w:sz w:val="22"/>
          <w:szCs w:val="22"/>
          <w:lang w:val="es-ES_tradnl"/>
        </w:rPr>
        <w:t xml:space="preserve">. </w:t>
      </w:r>
      <w:bookmarkStart w:id="4" w:name="_Hlk63008482"/>
      <w:r w:rsidR="00FB7FBA" w:rsidRPr="00BF1E4A">
        <w:rPr>
          <w:rFonts w:ascii="Arial" w:eastAsia="Calibri" w:hAnsi="Arial" w:cs="Arial"/>
          <w:sz w:val="22"/>
          <w:szCs w:val="22"/>
          <w:lang w:val="es-ES_tradnl"/>
        </w:rPr>
        <w:t xml:space="preserve">En efecto, </w:t>
      </w:r>
      <w:r w:rsidR="00FB7FBA" w:rsidRPr="00BF1E4A">
        <w:rPr>
          <w:rFonts w:ascii="Arial" w:hAnsi="Arial" w:cs="Arial"/>
          <w:color w:val="000000" w:themeColor="text1"/>
          <w:sz w:val="22"/>
          <w:szCs w:val="22"/>
          <w:lang w:val="es-ES_tradnl"/>
        </w:rPr>
        <w:t>si bien los factores de desempate regulados en el artículo 35 deben aplicarse «</w:t>
      </w:r>
      <w:r w:rsidR="00FB7FBA" w:rsidRPr="00BF1E4A">
        <w:rPr>
          <w:rFonts w:ascii="Arial" w:hAnsi="Arial" w:cs="Arial"/>
          <w:lang w:val="es-ES_tradnl"/>
        </w:rPr>
        <w:t xml:space="preserve">[…] </w:t>
      </w:r>
      <w:r w:rsidR="00FB7FBA" w:rsidRPr="00BF1E4A">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p>
    <w:bookmarkEnd w:id="4"/>
    <w:p w14:paraId="19A2CF90" w14:textId="3C4194A9" w:rsidR="00F54AD2" w:rsidRPr="00B73D58" w:rsidRDefault="00F54AD2" w:rsidP="00F54AD2">
      <w:pPr>
        <w:spacing w:before="120" w:line="276" w:lineRule="auto"/>
        <w:ind w:firstLine="709"/>
        <w:jc w:val="both"/>
        <w:rPr>
          <w:rFonts w:ascii="Arial" w:eastAsia="Calibri" w:hAnsi="Arial" w:cs="Arial"/>
          <w:sz w:val="22"/>
          <w:szCs w:val="22"/>
          <w:lang w:val="es-ES_tradnl"/>
        </w:rPr>
      </w:pPr>
      <w:r w:rsidRPr="00BF1E4A">
        <w:rPr>
          <w:rFonts w:ascii="Arial" w:eastAsia="Calibri" w:hAnsi="Arial" w:cs="Arial"/>
          <w:sz w:val="22"/>
          <w:szCs w:val="22"/>
          <w:lang w:val="es-ES_tradnl"/>
        </w:rPr>
        <w:t>Como se observa se trata de una competencia que, en concordancia con el artículo</w:t>
      </w:r>
      <w:r w:rsidRPr="00B73D58">
        <w:rPr>
          <w:rFonts w:ascii="Arial" w:eastAsia="Calibri" w:hAnsi="Arial" w:cs="Arial"/>
          <w:sz w:val="22"/>
          <w:szCs w:val="22"/>
          <w:lang w:val="es-ES_tradnl"/>
        </w:rPr>
        <w:t xml:space="preserve"> 189.11 superior, el gobierno nacional puede ejercer discrecionalmente para la ejecución de las leyes. Por tanto,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6525352B" w14:textId="3AF0F1C2" w:rsidR="00325AD9" w:rsidRPr="00B73D58" w:rsidRDefault="00F31AAA" w:rsidP="00BB606C">
      <w:pPr>
        <w:spacing w:before="120" w:line="276" w:lineRule="auto"/>
        <w:ind w:firstLine="709"/>
        <w:jc w:val="both"/>
        <w:rPr>
          <w:rFonts w:ascii="Arial" w:hAnsi="Arial" w:cs="Arial"/>
          <w:sz w:val="21"/>
          <w:szCs w:val="21"/>
          <w:lang w:val="es-ES_tradnl"/>
        </w:rPr>
      </w:pPr>
      <w:r w:rsidRPr="00B73D58">
        <w:rPr>
          <w:rFonts w:ascii="Arial" w:eastAsia="Calibri" w:hAnsi="Arial" w:cs="Arial"/>
          <w:sz w:val="22"/>
          <w:szCs w:val="22"/>
          <w:lang w:val="es-ES_tradnl"/>
        </w:rPr>
        <w:t>Después de aclarar</w:t>
      </w:r>
      <w:r w:rsidR="00325AD9" w:rsidRPr="00B73D58">
        <w:rPr>
          <w:rFonts w:ascii="Arial" w:eastAsia="Calibri" w:hAnsi="Arial" w:cs="Arial"/>
          <w:sz w:val="22"/>
          <w:szCs w:val="22"/>
          <w:lang w:val="es-ES_tradnl"/>
        </w:rPr>
        <w:t xml:space="preserve"> que el artículo 35 de la Ley 2069 de 2020 se encuentra vigente </w:t>
      </w:r>
      <w:r w:rsidR="00325AD9" w:rsidRPr="00BF1E4A">
        <w:rPr>
          <w:rFonts w:ascii="Arial" w:eastAsia="Calibri" w:hAnsi="Arial" w:cs="Arial"/>
          <w:sz w:val="22"/>
          <w:szCs w:val="22"/>
          <w:lang w:val="es-ES_tradnl"/>
        </w:rPr>
        <w:t>y que</w:t>
      </w:r>
      <w:r w:rsidR="00FB7FBA" w:rsidRPr="00BF1E4A">
        <w:rPr>
          <w:rFonts w:ascii="Arial" w:eastAsia="Calibri" w:hAnsi="Arial" w:cs="Arial"/>
          <w:sz w:val="22"/>
          <w:szCs w:val="22"/>
          <w:lang w:val="es-ES_tradnl"/>
        </w:rPr>
        <w:t xml:space="preserve"> –sin perjuicio de lo dispuesto en el parágrafo 3 para la</w:t>
      </w:r>
      <w:r w:rsidR="00C52A69" w:rsidRPr="00BF1E4A">
        <w:rPr>
          <w:rFonts w:ascii="Arial" w:eastAsia="Calibri" w:hAnsi="Arial" w:cs="Arial"/>
          <w:sz w:val="22"/>
          <w:szCs w:val="22"/>
          <w:lang w:val="es-ES_tradnl"/>
        </w:rPr>
        <w:t xml:space="preserve"> reglamentación relacionada con la</w:t>
      </w:r>
      <w:r w:rsidR="00FB7FBA" w:rsidRPr="00BF1E4A">
        <w:rPr>
          <w:rFonts w:ascii="Arial" w:eastAsia="Calibri" w:hAnsi="Arial" w:cs="Arial"/>
          <w:sz w:val="22"/>
          <w:szCs w:val="22"/>
          <w:lang w:val="es-ES_tradnl"/>
        </w:rPr>
        <w:t xml:space="preserve"> concurrencia de los factores de desempate–</w:t>
      </w:r>
      <w:r w:rsidR="00325AD9" w:rsidRPr="00BF1E4A">
        <w:rPr>
          <w:rFonts w:ascii="Arial" w:eastAsia="Calibri" w:hAnsi="Arial" w:cs="Arial"/>
          <w:sz w:val="22"/>
          <w:szCs w:val="22"/>
          <w:lang w:val="es-ES_tradnl"/>
        </w:rPr>
        <w:t xml:space="preserve"> no requiere </w:t>
      </w:r>
      <w:r w:rsidRPr="00BF1E4A">
        <w:rPr>
          <w:rFonts w:ascii="Arial" w:eastAsia="Calibri" w:hAnsi="Arial" w:cs="Arial"/>
          <w:sz w:val="22"/>
          <w:szCs w:val="22"/>
          <w:lang w:val="es-ES_tradnl"/>
        </w:rPr>
        <w:t>reglamentación</w:t>
      </w:r>
      <w:r w:rsidR="00325AD9" w:rsidRPr="00BF1E4A">
        <w:rPr>
          <w:rFonts w:ascii="Arial" w:eastAsia="Calibri" w:hAnsi="Arial" w:cs="Arial"/>
          <w:sz w:val="22"/>
          <w:szCs w:val="22"/>
          <w:lang w:val="es-ES_tradnl"/>
        </w:rPr>
        <w:t xml:space="preserve"> previa para que </w:t>
      </w:r>
      <w:r w:rsidR="0041674B" w:rsidRPr="00BF1E4A">
        <w:rPr>
          <w:rFonts w:ascii="Arial" w:eastAsia="Calibri" w:hAnsi="Arial" w:cs="Arial"/>
          <w:sz w:val="22"/>
          <w:szCs w:val="22"/>
          <w:lang w:val="es-ES_tradnl"/>
        </w:rPr>
        <w:t>sea exigible en los procedimientos de selección, es</w:t>
      </w:r>
      <w:r w:rsidR="0041674B" w:rsidRPr="00B73D58">
        <w:rPr>
          <w:rFonts w:ascii="Arial" w:eastAsia="Calibri" w:hAnsi="Arial" w:cs="Arial"/>
          <w:sz w:val="22"/>
          <w:szCs w:val="22"/>
          <w:lang w:val="es-ES_tradnl"/>
        </w:rPr>
        <w:t xml:space="preserve"> menester hacer referencia al objeto de </w:t>
      </w:r>
      <w:r w:rsidR="00A00F5E" w:rsidRPr="00B73D58">
        <w:rPr>
          <w:rFonts w:ascii="Arial" w:eastAsia="Calibri" w:hAnsi="Arial" w:cs="Arial"/>
          <w:sz w:val="22"/>
          <w:szCs w:val="22"/>
          <w:lang w:val="es-ES_tradnl"/>
        </w:rPr>
        <w:t>la</w:t>
      </w:r>
      <w:r w:rsidR="0041674B" w:rsidRPr="00B73D58">
        <w:rPr>
          <w:rFonts w:ascii="Arial" w:eastAsia="Calibri" w:hAnsi="Arial" w:cs="Arial"/>
          <w:sz w:val="22"/>
          <w:szCs w:val="22"/>
          <w:lang w:val="es-ES_tradnl"/>
        </w:rPr>
        <w:t xml:space="preserve"> consulta. En ella se </w:t>
      </w:r>
      <w:r w:rsidR="00A00F5E" w:rsidRPr="00B73D58">
        <w:rPr>
          <w:rFonts w:ascii="Arial" w:eastAsia="Calibri" w:hAnsi="Arial" w:cs="Arial"/>
          <w:sz w:val="22"/>
          <w:szCs w:val="22"/>
          <w:lang w:val="es-ES_tradnl"/>
        </w:rPr>
        <w:t>pregunta quién debe certificar o acreditar las</w:t>
      </w:r>
      <w:r w:rsidR="004938FD" w:rsidRPr="00B73D58">
        <w:rPr>
          <w:rFonts w:ascii="Arial" w:eastAsia="Calibri" w:hAnsi="Arial" w:cs="Arial"/>
          <w:sz w:val="22"/>
          <w:szCs w:val="22"/>
          <w:lang w:val="es-ES_tradnl"/>
        </w:rPr>
        <w:t xml:space="preserve"> circunstancias consagradas en los numerales </w:t>
      </w:r>
      <w:r w:rsidR="004938FD" w:rsidRPr="00B73D58">
        <w:rPr>
          <w:rFonts w:ascii="Arial" w:hAnsi="Arial" w:cs="Arial"/>
          <w:sz w:val="22"/>
          <w:szCs w:val="22"/>
          <w:lang w:val="es-ES_tradnl"/>
        </w:rPr>
        <w:t>2, 4, 5, 6</w:t>
      </w:r>
      <w:r w:rsidR="00331468" w:rsidRPr="00B73D58">
        <w:rPr>
          <w:rFonts w:ascii="Arial" w:hAnsi="Arial" w:cs="Arial"/>
          <w:sz w:val="22"/>
          <w:szCs w:val="22"/>
          <w:lang w:val="es-ES_tradnl"/>
        </w:rPr>
        <w:t xml:space="preserve"> y</w:t>
      </w:r>
      <w:r w:rsidR="004938FD" w:rsidRPr="00B73D58">
        <w:rPr>
          <w:rFonts w:ascii="Arial" w:hAnsi="Arial" w:cs="Arial"/>
          <w:sz w:val="22"/>
          <w:szCs w:val="22"/>
          <w:lang w:val="es-ES_tradnl"/>
        </w:rPr>
        <w:t xml:space="preserve"> 7</w:t>
      </w:r>
      <w:r w:rsidR="00331468" w:rsidRPr="00B73D58">
        <w:rPr>
          <w:rFonts w:ascii="Arial" w:hAnsi="Arial" w:cs="Arial"/>
          <w:sz w:val="22"/>
          <w:szCs w:val="22"/>
          <w:lang w:val="es-ES_tradnl"/>
        </w:rPr>
        <w:t xml:space="preserve"> </w:t>
      </w:r>
      <w:r w:rsidR="004938FD" w:rsidRPr="00B73D58">
        <w:rPr>
          <w:rFonts w:ascii="Arial" w:hAnsi="Arial" w:cs="Arial"/>
          <w:sz w:val="22"/>
          <w:szCs w:val="22"/>
          <w:lang w:val="es-ES_tradnl"/>
        </w:rPr>
        <w:t xml:space="preserve">de dicho artículo. </w:t>
      </w:r>
      <w:r w:rsidR="00BB606C" w:rsidRPr="00B73D58">
        <w:rPr>
          <w:rFonts w:ascii="Arial" w:hAnsi="Arial" w:cs="Arial"/>
          <w:sz w:val="22"/>
          <w:szCs w:val="22"/>
          <w:lang w:val="es-ES_tradnl"/>
        </w:rPr>
        <w:t>Tales circunstancias hacen referencia a los siguientes factores de desempate</w:t>
      </w:r>
      <w:r w:rsidR="00BB606C" w:rsidRPr="00B73D58">
        <w:rPr>
          <w:rFonts w:ascii="Arial" w:hAnsi="Arial" w:cs="Arial"/>
          <w:sz w:val="21"/>
          <w:szCs w:val="21"/>
          <w:lang w:val="es-ES_tradnl"/>
        </w:rPr>
        <w:t>:</w:t>
      </w:r>
    </w:p>
    <w:p w14:paraId="0F63709A" w14:textId="74E372D9" w:rsidR="00BB606C" w:rsidRPr="00B73D58" w:rsidRDefault="00BB606C" w:rsidP="00360F9C">
      <w:pPr>
        <w:spacing w:line="276" w:lineRule="auto"/>
        <w:ind w:firstLine="709"/>
        <w:jc w:val="both"/>
        <w:rPr>
          <w:rFonts w:ascii="Arial" w:hAnsi="Arial" w:cs="Arial"/>
          <w:sz w:val="21"/>
          <w:szCs w:val="21"/>
          <w:lang w:val="es-ES_tradnl"/>
        </w:rPr>
      </w:pPr>
    </w:p>
    <w:p w14:paraId="5F4CC404" w14:textId="7F93D9FD" w:rsidR="00766D49" w:rsidRPr="00B73D58" w:rsidRDefault="00766D49" w:rsidP="007C5C5E">
      <w:pPr>
        <w:spacing w:after="120"/>
        <w:ind w:left="709" w:right="709"/>
        <w:jc w:val="both"/>
        <w:rPr>
          <w:rFonts w:ascii="Arial" w:eastAsia="Calibri" w:hAnsi="Arial" w:cs="Arial"/>
          <w:sz w:val="21"/>
          <w:szCs w:val="21"/>
          <w:lang w:val="es-ES_tradnl"/>
        </w:rPr>
      </w:pPr>
      <w:r w:rsidRPr="00B73D58">
        <w:rPr>
          <w:rFonts w:ascii="Arial" w:eastAsia="Calibri" w:hAnsi="Arial" w:cs="Arial"/>
          <w:sz w:val="21"/>
          <w:szCs w:val="21"/>
          <w:lang w:val="es-ES_tradnl"/>
        </w:rPr>
        <w:t>[…]</w:t>
      </w:r>
    </w:p>
    <w:p w14:paraId="2B7F48FA" w14:textId="661EC135" w:rsidR="00766D49" w:rsidRPr="00B73D58" w:rsidRDefault="00BB606C" w:rsidP="0054726C">
      <w:pPr>
        <w:ind w:left="709" w:right="709"/>
        <w:jc w:val="both"/>
        <w:rPr>
          <w:rFonts w:ascii="Arial" w:eastAsia="Calibri" w:hAnsi="Arial" w:cs="Arial"/>
          <w:sz w:val="21"/>
          <w:szCs w:val="21"/>
          <w:lang w:val="es-ES_tradnl"/>
        </w:rPr>
      </w:pPr>
      <w:r w:rsidRPr="00B73D58">
        <w:rPr>
          <w:rFonts w:ascii="Arial" w:eastAsia="Calibri" w:hAnsi="Arial" w:cs="Arial"/>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4AE922A1" w14:textId="616DAF73" w:rsidR="00766D49" w:rsidRPr="00B73D58" w:rsidRDefault="00766D49" w:rsidP="007C5C5E">
      <w:pPr>
        <w:spacing w:after="120"/>
        <w:ind w:left="709" w:right="709"/>
        <w:jc w:val="both"/>
        <w:rPr>
          <w:rFonts w:ascii="Arial" w:eastAsia="Calibri" w:hAnsi="Arial" w:cs="Arial"/>
          <w:sz w:val="21"/>
          <w:szCs w:val="21"/>
          <w:lang w:val="es-ES_tradnl"/>
        </w:rPr>
      </w:pPr>
      <w:r w:rsidRPr="00B73D58">
        <w:rPr>
          <w:rFonts w:ascii="Arial" w:eastAsia="Calibri" w:hAnsi="Arial" w:cs="Arial"/>
          <w:sz w:val="21"/>
          <w:szCs w:val="21"/>
          <w:lang w:val="es-ES_tradnl"/>
        </w:rPr>
        <w:t>[…]</w:t>
      </w:r>
    </w:p>
    <w:p w14:paraId="22CE685C" w14:textId="6E6A7873" w:rsidR="00766D49" w:rsidRPr="00B73D58" w:rsidRDefault="00BB606C" w:rsidP="007C5C5E">
      <w:pPr>
        <w:spacing w:after="120"/>
        <w:ind w:left="709" w:right="709"/>
        <w:jc w:val="both"/>
        <w:rPr>
          <w:rFonts w:ascii="Arial" w:eastAsia="Calibri" w:hAnsi="Arial" w:cs="Arial"/>
          <w:sz w:val="21"/>
          <w:szCs w:val="21"/>
          <w:lang w:val="es-ES_tradnl"/>
        </w:rPr>
      </w:pPr>
      <w:r w:rsidRPr="00B73D58">
        <w:rPr>
          <w:rFonts w:ascii="Arial" w:eastAsia="Calibri" w:hAnsi="Arial" w:cs="Arial"/>
          <w:sz w:val="21"/>
          <w:szCs w:val="21"/>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556B7CC5" w14:textId="059BCEBD" w:rsidR="00766D49" w:rsidRPr="00B73D58" w:rsidRDefault="00BB606C" w:rsidP="007C5C5E">
      <w:pPr>
        <w:spacing w:after="120"/>
        <w:ind w:left="709" w:right="709"/>
        <w:jc w:val="both"/>
        <w:rPr>
          <w:rFonts w:ascii="Arial" w:eastAsia="Calibri" w:hAnsi="Arial" w:cs="Arial"/>
          <w:sz w:val="21"/>
          <w:szCs w:val="21"/>
          <w:lang w:val="es-ES_tradnl"/>
        </w:rPr>
      </w:pPr>
      <w:r w:rsidRPr="00B73D58">
        <w:rPr>
          <w:rFonts w:ascii="Arial" w:eastAsia="Calibri" w:hAnsi="Arial" w:cs="Arial"/>
          <w:sz w:val="21"/>
          <w:szCs w:val="21"/>
          <w:lang w:val="es-ES_tradnl"/>
        </w:rPr>
        <w:t xml:space="preserve">5. Preferir la propuesta presentada por el oferente que acredite, en las condiciones establecidas en la ley, que por lo menos diez por ciento (10%) de </w:t>
      </w:r>
      <w:r w:rsidRPr="00B73D58">
        <w:rPr>
          <w:rFonts w:ascii="Arial" w:eastAsia="Calibri" w:hAnsi="Arial" w:cs="Arial"/>
          <w:sz w:val="21"/>
          <w:szCs w:val="21"/>
          <w:lang w:val="es-ES_tradnl"/>
        </w:rPr>
        <w:lastRenderedPageBreak/>
        <w:t>su nómina pertenece a población indígena, negra, afrocolombiana, raizal, palanquera, Rrom o gitanas.</w:t>
      </w:r>
    </w:p>
    <w:p w14:paraId="70CB830E" w14:textId="4556DEFC" w:rsidR="00766D49" w:rsidRPr="00B73D58" w:rsidRDefault="00BB606C" w:rsidP="007C5C5E">
      <w:pPr>
        <w:spacing w:after="120"/>
        <w:ind w:left="709" w:right="709"/>
        <w:jc w:val="both"/>
        <w:rPr>
          <w:rFonts w:ascii="Arial" w:eastAsia="Calibri" w:hAnsi="Arial" w:cs="Arial"/>
          <w:sz w:val="21"/>
          <w:szCs w:val="21"/>
          <w:lang w:val="es-ES_tradnl"/>
        </w:rPr>
      </w:pPr>
      <w:r w:rsidRPr="00B73D58">
        <w:rPr>
          <w:rFonts w:ascii="Arial" w:eastAsia="Calibri" w:hAnsi="Arial" w:cs="Arial"/>
          <w:sz w:val="21"/>
          <w:szCs w:val="21"/>
          <w:lang w:val="es-ES_tradnl"/>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38D2E6CF" w14:textId="11B96ED8" w:rsidR="00766D49" w:rsidRPr="00B73D58" w:rsidRDefault="00BB606C" w:rsidP="00331468">
      <w:pPr>
        <w:ind w:left="709" w:right="709"/>
        <w:jc w:val="both"/>
        <w:rPr>
          <w:rFonts w:ascii="Arial" w:eastAsia="Calibri" w:hAnsi="Arial" w:cs="Arial"/>
          <w:sz w:val="21"/>
          <w:szCs w:val="21"/>
          <w:lang w:val="es-ES_tradnl"/>
        </w:rPr>
      </w:pPr>
      <w:r w:rsidRPr="00B73D58">
        <w:rPr>
          <w:rFonts w:ascii="Arial" w:eastAsia="Calibri" w:hAnsi="Arial" w:cs="Arial"/>
          <w:sz w:val="21"/>
          <w:szCs w:val="21"/>
          <w:lang w:val="es-ES_tradnl"/>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r w:rsidR="00331468" w:rsidRPr="00B73D58">
        <w:rPr>
          <w:rFonts w:ascii="Arial" w:eastAsia="Calibri" w:hAnsi="Arial" w:cs="Arial"/>
          <w:sz w:val="21"/>
          <w:szCs w:val="21"/>
          <w:lang w:val="es-ES_tradnl"/>
        </w:rPr>
        <w:t xml:space="preserve"> </w:t>
      </w:r>
      <w:r w:rsidR="00766D49" w:rsidRPr="00B73D58">
        <w:rPr>
          <w:rFonts w:ascii="Arial" w:eastAsia="Calibri" w:hAnsi="Arial" w:cs="Arial"/>
          <w:sz w:val="21"/>
          <w:szCs w:val="21"/>
          <w:lang w:val="es-ES_tradnl"/>
        </w:rPr>
        <w:t>[…]</w:t>
      </w:r>
    </w:p>
    <w:p w14:paraId="5E1207E2" w14:textId="74C55D63" w:rsidR="00766D49" w:rsidRPr="00B73D58" w:rsidRDefault="00766D49" w:rsidP="007C5C5E">
      <w:pPr>
        <w:spacing w:line="276" w:lineRule="auto"/>
        <w:ind w:left="709" w:right="709"/>
        <w:jc w:val="both"/>
        <w:rPr>
          <w:rFonts w:ascii="Arial" w:eastAsia="Calibri" w:hAnsi="Arial" w:cs="Arial"/>
          <w:sz w:val="22"/>
          <w:szCs w:val="22"/>
          <w:lang w:val="es-ES_tradnl"/>
        </w:rPr>
      </w:pPr>
    </w:p>
    <w:p w14:paraId="3F3449C1" w14:textId="11DE19A1" w:rsidR="00766D49" w:rsidRPr="00B73D58" w:rsidRDefault="00DA01E9" w:rsidP="00766D49">
      <w:pPr>
        <w:spacing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 xml:space="preserve">Como se advierte, </w:t>
      </w:r>
      <w:r w:rsidR="00EE12DF" w:rsidRPr="00B73D58">
        <w:rPr>
          <w:rFonts w:ascii="Arial" w:eastAsia="Calibri" w:hAnsi="Arial" w:cs="Arial"/>
          <w:sz w:val="22"/>
          <w:szCs w:val="22"/>
          <w:lang w:val="es-ES_tradnl"/>
        </w:rPr>
        <w:t xml:space="preserve">estos </w:t>
      </w:r>
      <w:r w:rsidRPr="00B73D58">
        <w:rPr>
          <w:rFonts w:ascii="Arial" w:eastAsia="Calibri" w:hAnsi="Arial" w:cs="Arial"/>
          <w:sz w:val="22"/>
          <w:szCs w:val="22"/>
          <w:lang w:val="es-ES_tradnl"/>
        </w:rPr>
        <w:t xml:space="preserve">numerales </w:t>
      </w:r>
      <w:bookmarkStart w:id="5" w:name="_Hlk62459524"/>
      <w:r w:rsidRPr="00B73D58">
        <w:rPr>
          <w:rFonts w:ascii="Arial" w:eastAsia="Calibri" w:hAnsi="Arial" w:cs="Arial"/>
          <w:sz w:val="22"/>
          <w:szCs w:val="22"/>
          <w:lang w:val="es-ES_tradnl"/>
        </w:rPr>
        <w:t xml:space="preserve">no establecen un medio específico para acreditar las circunstancias </w:t>
      </w:r>
      <w:r w:rsidR="00D620A6" w:rsidRPr="00B73D58">
        <w:rPr>
          <w:rFonts w:ascii="Arial" w:eastAsia="Calibri" w:hAnsi="Arial" w:cs="Arial"/>
          <w:sz w:val="22"/>
          <w:szCs w:val="22"/>
          <w:lang w:val="es-ES_tradnl"/>
        </w:rPr>
        <w:t>a las que se refiere</w:t>
      </w:r>
      <w:r w:rsidR="00A210D4" w:rsidRPr="00B73D58">
        <w:rPr>
          <w:rFonts w:ascii="Arial" w:eastAsia="Calibri" w:hAnsi="Arial" w:cs="Arial"/>
          <w:sz w:val="22"/>
          <w:szCs w:val="22"/>
          <w:lang w:val="es-ES_tradnl"/>
        </w:rPr>
        <w:t>n</w:t>
      </w:r>
      <w:r w:rsidR="00D620A6" w:rsidRPr="00B73D58">
        <w:rPr>
          <w:rFonts w:ascii="Arial" w:eastAsia="Calibri" w:hAnsi="Arial" w:cs="Arial"/>
          <w:sz w:val="22"/>
          <w:szCs w:val="22"/>
          <w:lang w:val="es-ES_tradnl"/>
        </w:rPr>
        <w:t xml:space="preserve">. Por lo tanto, corresponde a </w:t>
      </w:r>
      <w:r w:rsidR="00053A00" w:rsidRPr="00B73D58">
        <w:rPr>
          <w:rFonts w:ascii="Arial" w:eastAsia="Calibri" w:hAnsi="Arial" w:cs="Arial"/>
          <w:sz w:val="22"/>
          <w:szCs w:val="22"/>
          <w:lang w:val="es-ES_tradnl"/>
        </w:rPr>
        <w:t>la</w:t>
      </w:r>
      <w:r w:rsidR="00D620A6" w:rsidRPr="00B73D58">
        <w:rPr>
          <w:rFonts w:ascii="Arial" w:eastAsia="Calibri" w:hAnsi="Arial" w:cs="Arial"/>
          <w:sz w:val="22"/>
          <w:szCs w:val="22"/>
          <w:lang w:val="es-ES_tradnl"/>
        </w:rPr>
        <w:t xml:space="preserve"> entidad </w:t>
      </w:r>
      <w:r w:rsidR="00053A00" w:rsidRPr="00B73D58">
        <w:rPr>
          <w:rFonts w:ascii="Arial" w:eastAsia="Calibri" w:hAnsi="Arial" w:cs="Arial"/>
          <w:sz w:val="22"/>
          <w:szCs w:val="22"/>
          <w:lang w:val="es-ES_tradnl"/>
        </w:rPr>
        <w:t xml:space="preserve">contratante </w:t>
      </w:r>
      <w:r w:rsidR="00D620A6" w:rsidRPr="00B73D58">
        <w:rPr>
          <w:rFonts w:ascii="Arial" w:eastAsia="Calibri" w:hAnsi="Arial" w:cs="Arial"/>
          <w:sz w:val="22"/>
          <w:szCs w:val="22"/>
          <w:lang w:val="es-ES_tradnl"/>
        </w:rPr>
        <w:t xml:space="preserve">analizar si </w:t>
      </w:r>
      <w:r w:rsidR="00D7791D" w:rsidRPr="00B73D58">
        <w:rPr>
          <w:rFonts w:ascii="Arial" w:eastAsia="Calibri" w:hAnsi="Arial" w:cs="Arial"/>
          <w:sz w:val="22"/>
          <w:szCs w:val="22"/>
          <w:lang w:val="es-ES_tradnl"/>
        </w:rPr>
        <w:t xml:space="preserve">el ordenamiento jurídico, en otras </w:t>
      </w:r>
      <w:r w:rsidR="00412B1B" w:rsidRPr="00B73D58">
        <w:rPr>
          <w:rFonts w:ascii="Arial" w:eastAsia="Calibri" w:hAnsi="Arial" w:cs="Arial"/>
          <w:sz w:val="22"/>
          <w:szCs w:val="22"/>
          <w:lang w:val="es-ES_tradnl"/>
        </w:rPr>
        <w:t>disposiciones legales o reglamentarias</w:t>
      </w:r>
      <w:r w:rsidR="009957D7" w:rsidRPr="00B73D58">
        <w:rPr>
          <w:rFonts w:ascii="Arial" w:eastAsia="Calibri" w:hAnsi="Arial" w:cs="Arial"/>
          <w:sz w:val="22"/>
          <w:szCs w:val="22"/>
          <w:lang w:val="es-ES_tradnl"/>
        </w:rPr>
        <w:t>,</w:t>
      </w:r>
      <w:r w:rsidR="00412B1B" w:rsidRPr="00B73D58">
        <w:rPr>
          <w:rFonts w:ascii="Arial" w:eastAsia="Calibri" w:hAnsi="Arial" w:cs="Arial"/>
          <w:sz w:val="22"/>
          <w:szCs w:val="22"/>
          <w:lang w:val="es-ES_tradnl"/>
        </w:rPr>
        <w:t xml:space="preserve"> exige un documento especial o si, por el contrario, hay libertad probatoria.</w:t>
      </w:r>
      <w:r w:rsidR="009957D7" w:rsidRPr="00B73D58">
        <w:rPr>
          <w:rFonts w:ascii="Arial" w:eastAsia="Calibri" w:hAnsi="Arial" w:cs="Arial"/>
          <w:sz w:val="22"/>
          <w:szCs w:val="22"/>
          <w:lang w:val="es-ES_tradnl"/>
        </w:rPr>
        <w:t xml:space="preserve"> Este análisis debe realizarse de manera independiente frente a cada numeral.</w:t>
      </w:r>
      <w:r w:rsidR="00BD182E" w:rsidRPr="00B73D58">
        <w:rPr>
          <w:rFonts w:ascii="Arial" w:eastAsia="Calibri" w:hAnsi="Arial" w:cs="Arial"/>
          <w:sz w:val="22"/>
          <w:szCs w:val="22"/>
          <w:lang w:val="es-ES_tradnl"/>
        </w:rPr>
        <w:t xml:space="preserve"> En caso de que no exista </w:t>
      </w:r>
      <w:r w:rsidR="00DA00C3" w:rsidRPr="00B73D58">
        <w:rPr>
          <w:rFonts w:ascii="Arial" w:eastAsia="Calibri" w:hAnsi="Arial" w:cs="Arial"/>
          <w:sz w:val="22"/>
          <w:szCs w:val="22"/>
          <w:lang w:val="es-ES_tradnl"/>
        </w:rPr>
        <w:t>«</w:t>
      </w:r>
      <w:r w:rsidR="00BD182E" w:rsidRPr="00B73D58">
        <w:rPr>
          <w:rFonts w:ascii="Arial" w:eastAsia="Calibri" w:hAnsi="Arial" w:cs="Arial"/>
          <w:sz w:val="22"/>
          <w:szCs w:val="22"/>
          <w:lang w:val="es-ES_tradnl"/>
        </w:rPr>
        <w:t>tarifa legal</w:t>
      </w:r>
      <w:r w:rsidR="00DA00C3" w:rsidRPr="00B73D58">
        <w:rPr>
          <w:rFonts w:ascii="Arial" w:eastAsia="Calibri" w:hAnsi="Arial" w:cs="Arial"/>
          <w:sz w:val="22"/>
          <w:szCs w:val="22"/>
          <w:lang w:val="es-ES_tradnl"/>
        </w:rPr>
        <w:t>»</w:t>
      </w:r>
      <w:r w:rsidR="00EE12DF" w:rsidRPr="00B73D58">
        <w:rPr>
          <w:rFonts w:ascii="Arial" w:eastAsia="Calibri" w:hAnsi="Arial" w:cs="Arial"/>
          <w:sz w:val="22"/>
          <w:szCs w:val="22"/>
          <w:lang w:val="es-ES_tradnl"/>
        </w:rPr>
        <w:t xml:space="preserve">, </w:t>
      </w:r>
      <w:r w:rsidR="00B112D5" w:rsidRPr="00B73D58">
        <w:rPr>
          <w:rFonts w:ascii="Arial" w:eastAsia="Calibri" w:hAnsi="Arial" w:cs="Arial"/>
          <w:sz w:val="22"/>
          <w:szCs w:val="22"/>
          <w:lang w:val="es-ES_tradnl"/>
        </w:rPr>
        <w:t xml:space="preserve">es decir, </w:t>
      </w:r>
      <w:r w:rsidR="00BD2950" w:rsidRPr="00B73D58">
        <w:rPr>
          <w:rFonts w:ascii="Arial" w:eastAsia="Calibri" w:hAnsi="Arial" w:cs="Arial"/>
          <w:sz w:val="22"/>
          <w:szCs w:val="22"/>
          <w:lang w:val="es-ES_tradnl"/>
        </w:rPr>
        <w:t>en el evento en que la ley o el reglamento no defin</w:t>
      </w:r>
      <w:r w:rsidR="00EE12DF" w:rsidRPr="00B73D58">
        <w:rPr>
          <w:rFonts w:ascii="Arial" w:eastAsia="Calibri" w:hAnsi="Arial" w:cs="Arial"/>
          <w:sz w:val="22"/>
          <w:szCs w:val="22"/>
          <w:lang w:val="es-ES_tradnl"/>
        </w:rPr>
        <w:t>an</w:t>
      </w:r>
      <w:r w:rsidR="00BD2950" w:rsidRPr="00B73D58">
        <w:rPr>
          <w:rFonts w:ascii="Arial" w:eastAsia="Calibri" w:hAnsi="Arial" w:cs="Arial"/>
          <w:sz w:val="22"/>
          <w:szCs w:val="22"/>
          <w:lang w:val="es-ES_tradnl"/>
        </w:rPr>
        <w:t xml:space="preserve"> un medio probatorio para acreditar la circunstancia correspondiente, la entidad estatal contratante tiene discrecionalidad para establecer en el pliego de condiciones o en el documento equivalente de qué manera el proponente podrá </w:t>
      </w:r>
      <w:r w:rsidR="00865EAF" w:rsidRPr="00B73D58">
        <w:rPr>
          <w:rFonts w:ascii="Arial" w:eastAsia="Calibri" w:hAnsi="Arial" w:cs="Arial"/>
          <w:sz w:val="22"/>
          <w:szCs w:val="22"/>
          <w:lang w:val="es-ES_tradnl"/>
        </w:rPr>
        <w:t>probar que se halla bajo la condición que permite aplicar la regla de desempate.</w:t>
      </w:r>
      <w:r w:rsidR="006D5DCB" w:rsidRPr="00B73D58">
        <w:rPr>
          <w:rFonts w:ascii="Arial" w:eastAsia="Calibri" w:hAnsi="Arial" w:cs="Arial"/>
          <w:sz w:val="22"/>
          <w:szCs w:val="22"/>
          <w:lang w:val="es-ES_tradnl"/>
        </w:rPr>
        <w:t xml:space="preserve"> Por supuesto, el decreto reglamentario que expida el gobierno nacional para garantizar la cumplida ejecución de la Ley 2069 de 2020 podría establecer los medios de prueba, así como las autoridades encargadas de certificar las circunstancias del artículo 35. </w:t>
      </w:r>
      <w:r w:rsidR="00EE12DF" w:rsidRPr="00B73D58">
        <w:rPr>
          <w:rFonts w:ascii="Arial" w:eastAsia="Calibri" w:hAnsi="Arial" w:cs="Arial"/>
          <w:sz w:val="22"/>
          <w:szCs w:val="22"/>
          <w:lang w:val="es-ES_tradnl"/>
        </w:rPr>
        <w:t>Sin embargo</w:t>
      </w:r>
      <w:r w:rsidR="006D5DCB" w:rsidRPr="00B73D58">
        <w:rPr>
          <w:rFonts w:ascii="Arial" w:eastAsia="Calibri" w:hAnsi="Arial" w:cs="Arial"/>
          <w:sz w:val="22"/>
          <w:szCs w:val="22"/>
          <w:lang w:val="es-ES_tradnl"/>
        </w:rPr>
        <w:t>, mientras ello no suceda, deberá aplicarse el criterio indicado con anterioridad.</w:t>
      </w:r>
    </w:p>
    <w:bookmarkEnd w:id="5"/>
    <w:p w14:paraId="1E089867" w14:textId="6FD9B71B" w:rsidR="00EE12DF" w:rsidRPr="00B73D58" w:rsidRDefault="004567DA" w:rsidP="00336CD9">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 xml:space="preserve">Así, en relación con el numeral 2 del artículo 35, como lo ha indicado la Corte Constitucional, </w:t>
      </w:r>
      <w:r w:rsidR="00974CBD" w:rsidRPr="00B73D58">
        <w:rPr>
          <w:rFonts w:ascii="Arial" w:eastAsia="Calibri" w:hAnsi="Arial" w:cs="Arial"/>
          <w:sz w:val="22"/>
          <w:szCs w:val="22"/>
          <w:lang w:val="es-ES_tradnl"/>
        </w:rPr>
        <w:t xml:space="preserve">«[…]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w:t>
      </w:r>
      <w:r w:rsidR="00974CBD" w:rsidRPr="00B73D58">
        <w:rPr>
          <w:rFonts w:ascii="Arial" w:eastAsia="Calibri" w:hAnsi="Arial" w:cs="Arial"/>
          <w:sz w:val="22"/>
          <w:szCs w:val="22"/>
          <w:lang w:val="es-ES_tradnl"/>
        </w:rPr>
        <w:lastRenderedPageBreak/>
        <w:t>física, sensorial, síquica o mental»</w:t>
      </w:r>
      <w:r w:rsidR="00974CBD" w:rsidRPr="00B73D58">
        <w:rPr>
          <w:rStyle w:val="Refdenotaalpie"/>
          <w:rFonts w:ascii="Arial" w:eastAsia="Calibri" w:hAnsi="Arial" w:cs="Arial"/>
          <w:sz w:val="22"/>
          <w:szCs w:val="22"/>
          <w:lang w:val="es-ES_tradnl"/>
        </w:rPr>
        <w:footnoteReference w:id="10"/>
      </w:r>
      <w:r w:rsidR="00974CBD" w:rsidRPr="00B73D58">
        <w:rPr>
          <w:rFonts w:ascii="Arial" w:eastAsia="Calibri" w:hAnsi="Arial" w:cs="Arial"/>
          <w:sz w:val="22"/>
          <w:szCs w:val="22"/>
          <w:lang w:val="es-ES_tradnl"/>
        </w:rPr>
        <w:t>.</w:t>
      </w:r>
      <w:r w:rsidR="0022609C" w:rsidRPr="00B73D58">
        <w:rPr>
          <w:rFonts w:ascii="Arial" w:eastAsia="Calibri" w:hAnsi="Arial" w:cs="Arial"/>
          <w:sz w:val="22"/>
          <w:szCs w:val="22"/>
          <w:lang w:val="es-ES_tradnl"/>
        </w:rPr>
        <w:t xml:space="preserve"> </w:t>
      </w:r>
      <w:r w:rsidR="00246747" w:rsidRPr="00B73D58">
        <w:rPr>
          <w:rFonts w:ascii="Arial" w:eastAsia="Calibri" w:hAnsi="Arial" w:cs="Arial"/>
          <w:sz w:val="22"/>
          <w:szCs w:val="22"/>
          <w:lang w:val="es-ES_tradnl"/>
        </w:rPr>
        <w:t>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00246747" w:rsidRPr="00B73D58">
        <w:rPr>
          <w:rStyle w:val="Refdenotaalpie"/>
          <w:rFonts w:ascii="Arial" w:eastAsia="Calibri" w:hAnsi="Arial" w:cs="Arial"/>
          <w:sz w:val="22"/>
          <w:szCs w:val="22"/>
          <w:lang w:val="es-ES_tradnl"/>
        </w:rPr>
        <w:footnoteReference w:id="11"/>
      </w:r>
      <w:r w:rsidR="00246747" w:rsidRPr="00B73D58">
        <w:rPr>
          <w:rFonts w:ascii="Arial" w:eastAsia="Calibri" w:hAnsi="Arial" w:cs="Arial"/>
          <w:sz w:val="22"/>
          <w:szCs w:val="22"/>
          <w:lang w:val="es-ES_tradnl"/>
        </w:rPr>
        <w:t>.</w:t>
      </w:r>
    </w:p>
    <w:p w14:paraId="74D61148" w14:textId="53611F93" w:rsidR="00246747" w:rsidRPr="00B73D58" w:rsidRDefault="00246747" w:rsidP="006C0632">
      <w:pPr>
        <w:spacing w:before="120" w:line="276" w:lineRule="auto"/>
        <w:ind w:firstLine="709"/>
        <w:jc w:val="both"/>
        <w:rPr>
          <w:rFonts w:ascii="Arial" w:hAnsi="Arial" w:cs="Arial"/>
          <w:sz w:val="22"/>
          <w:szCs w:val="22"/>
          <w:lang w:val="es-ES_tradnl"/>
        </w:rPr>
      </w:pPr>
      <w:r w:rsidRPr="00B73D58">
        <w:rPr>
          <w:rFonts w:ascii="Arial" w:hAnsi="Arial" w:cs="Arial"/>
          <w:sz w:val="22"/>
          <w:szCs w:val="22"/>
          <w:lang w:val="es-ES_tradnl"/>
        </w:rPr>
        <w:t>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B73D58">
        <w:rPr>
          <w:rStyle w:val="Refdenotaalpie"/>
          <w:rFonts w:ascii="Arial" w:hAnsi="Arial" w:cs="Arial"/>
          <w:sz w:val="22"/>
          <w:szCs w:val="22"/>
          <w:lang w:val="es-ES_tradnl"/>
        </w:rPr>
        <w:footnoteReference w:id="12"/>
      </w:r>
      <w:r w:rsidRPr="00B73D58">
        <w:rPr>
          <w:rFonts w:ascii="Arial" w:hAnsi="Arial" w:cs="Arial"/>
          <w:sz w:val="22"/>
          <w:szCs w:val="22"/>
          <w:lang w:val="es-ES_tradnl"/>
        </w:rPr>
        <w:t xml:space="preserve">. </w:t>
      </w:r>
    </w:p>
    <w:p w14:paraId="5BDB94EE" w14:textId="48777B90" w:rsidR="00BD6D41" w:rsidRPr="00B73D58" w:rsidRDefault="00246747" w:rsidP="006C0632">
      <w:pPr>
        <w:spacing w:before="120" w:line="276" w:lineRule="auto"/>
        <w:ind w:firstLine="709"/>
        <w:jc w:val="both"/>
        <w:rPr>
          <w:rFonts w:ascii="Arial" w:hAnsi="Arial" w:cs="Arial"/>
          <w:sz w:val="22"/>
          <w:szCs w:val="22"/>
          <w:lang w:val="es-ES_tradnl"/>
        </w:rPr>
      </w:pPr>
      <w:r w:rsidRPr="00B73D58">
        <w:rPr>
          <w:rFonts w:ascii="Arial" w:eastAsia="Calibri" w:hAnsi="Arial" w:cs="Arial"/>
          <w:sz w:val="22"/>
          <w:szCs w:val="22"/>
          <w:lang w:val="es-ES_tradnl"/>
        </w:rPr>
        <w:t>Por su parte, e</w:t>
      </w:r>
      <w:r w:rsidR="007651EF" w:rsidRPr="00B73D58">
        <w:rPr>
          <w:rFonts w:ascii="Arial" w:eastAsia="Calibri" w:hAnsi="Arial" w:cs="Arial"/>
          <w:sz w:val="22"/>
          <w:szCs w:val="22"/>
          <w:lang w:val="es-ES_tradnl"/>
        </w:rPr>
        <w:t xml:space="preserve">l artículo 21 de la Ley </w:t>
      </w:r>
      <w:r w:rsidR="00336CD9" w:rsidRPr="00B73D58">
        <w:rPr>
          <w:rFonts w:ascii="Arial" w:eastAsia="Calibri" w:hAnsi="Arial" w:cs="Arial"/>
          <w:sz w:val="22"/>
          <w:szCs w:val="22"/>
          <w:lang w:val="es-ES_tradnl"/>
        </w:rPr>
        <w:t>1257 de 2008</w:t>
      </w:r>
      <w:r w:rsidR="00EE12DF" w:rsidRPr="00B73D58">
        <w:rPr>
          <w:rFonts w:ascii="Arial" w:eastAsia="Calibri" w:hAnsi="Arial" w:cs="Arial"/>
          <w:sz w:val="22"/>
          <w:szCs w:val="22"/>
          <w:lang w:val="es-ES_tradnl"/>
        </w:rPr>
        <w:t>, p</w:t>
      </w:r>
      <w:r w:rsidR="00BE6D73" w:rsidRPr="00B73D58">
        <w:rPr>
          <w:rFonts w:ascii="Arial" w:eastAsia="Calibri" w:hAnsi="Arial" w:cs="Arial"/>
          <w:sz w:val="22"/>
          <w:szCs w:val="22"/>
          <w:lang w:val="es-ES_tradnl"/>
        </w:rPr>
        <w:t>or la cual se dictan normas de sensibilización, prevención y sanción de formas de violencia y discriminación contra las mujeres, se reforman los Códigos Penal, de Procedimiento Penal, la Ley 294 de 1996 y se dictan otras disposiciones</w:t>
      </w:r>
      <w:r w:rsidR="00336CD9" w:rsidRPr="00B73D58">
        <w:rPr>
          <w:rFonts w:ascii="Arial" w:eastAsia="Calibri" w:hAnsi="Arial" w:cs="Arial"/>
          <w:sz w:val="22"/>
          <w:szCs w:val="22"/>
          <w:lang w:val="es-ES_tradnl"/>
        </w:rPr>
        <w:t xml:space="preserve">, </w:t>
      </w:r>
      <w:r w:rsidR="00EE12DF" w:rsidRPr="00B73D58">
        <w:rPr>
          <w:rFonts w:ascii="Arial" w:eastAsia="Calibri" w:hAnsi="Arial" w:cs="Arial"/>
          <w:sz w:val="22"/>
          <w:szCs w:val="22"/>
          <w:lang w:val="es-ES_tradnl"/>
        </w:rPr>
        <w:t>dispone</w:t>
      </w:r>
      <w:r w:rsidR="00336CD9" w:rsidRPr="00B73D58">
        <w:rPr>
          <w:rFonts w:ascii="Arial" w:eastAsia="Calibri" w:hAnsi="Arial" w:cs="Arial"/>
          <w:sz w:val="22"/>
          <w:szCs w:val="22"/>
          <w:lang w:val="es-ES_tradnl"/>
        </w:rPr>
        <w:t xml:space="preserve"> que «Las situaciones de violencia que dan lugar a la atención de las mujeres, sus hijos e hijas, se acreditarán con la medida de protección expedida por la autoridad competente, sin que puedan exigirse requisitos adicionales».</w:t>
      </w:r>
      <w:r w:rsidR="006C0632" w:rsidRPr="00B73D58">
        <w:rPr>
          <w:rFonts w:ascii="Arial" w:eastAsia="Calibri" w:hAnsi="Arial" w:cs="Arial"/>
          <w:sz w:val="22"/>
          <w:szCs w:val="22"/>
          <w:lang w:val="es-ES_tradnl"/>
        </w:rPr>
        <w:t xml:space="preserve"> </w:t>
      </w:r>
      <w:r w:rsidR="00FE076E">
        <w:rPr>
          <w:rFonts w:ascii="Arial" w:hAnsi="Arial" w:cs="Arial"/>
          <w:sz w:val="22"/>
          <w:szCs w:val="22"/>
          <w:lang w:val="es-ES_tradnl"/>
        </w:rPr>
        <w:t>De acuerdo con</w:t>
      </w:r>
      <w:r w:rsidR="006C0632" w:rsidRPr="00B73D58">
        <w:rPr>
          <w:rFonts w:ascii="Arial" w:hAnsi="Arial" w:cs="Arial"/>
          <w:sz w:val="22"/>
          <w:szCs w:val="22"/>
          <w:lang w:val="es-ES_tradnl"/>
        </w:rPr>
        <w:t xml:space="preserve">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p w14:paraId="17D0FB07" w14:textId="2ACC2638" w:rsidR="009A39EE" w:rsidRPr="00B73D58" w:rsidRDefault="00FE076E" w:rsidP="00BD6D41">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lastRenderedPageBreak/>
        <w:t>En relación con</w:t>
      </w:r>
      <w:r w:rsidR="00BB4048" w:rsidRPr="00B73D58">
        <w:rPr>
          <w:rFonts w:ascii="Arial" w:eastAsia="Calibri" w:hAnsi="Arial" w:cs="Arial"/>
          <w:sz w:val="22"/>
          <w:szCs w:val="22"/>
          <w:lang w:val="es-ES_tradnl"/>
        </w:rPr>
        <w:t xml:space="preserve"> lo </w:t>
      </w:r>
      <w:r w:rsidR="00A8236F" w:rsidRPr="00B73D58">
        <w:rPr>
          <w:rFonts w:ascii="Arial" w:eastAsia="Calibri" w:hAnsi="Arial" w:cs="Arial"/>
          <w:sz w:val="22"/>
          <w:szCs w:val="22"/>
          <w:lang w:val="es-ES_tradnl"/>
        </w:rPr>
        <w:t>previsto</w:t>
      </w:r>
      <w:r w:rsidR="00BB4048" w:rsidRPr="00B73D58">
        <w:rPr>
          <w:rFonts w:ascii="Arial" w:eastAsia="Calibri" w:hAnsi="Arial" w:cs="Arial"/>
          <w:sz w:val="22"/>
          <w:szCs w:val="22"/>
          <w:lang w:val="es-ES_tradnl"/>
        </w:rPr>
        <w:t xml:space="preserve"> en el numeral 4</w:t>
      </w:r>
      <w:r w:rsidR="003B1961" w:rsidRPr="00B73D58">
        <w:rPr>
          <w:rFonts w:ascii="Arial" w:eastAsia="Calibri" w:hAnsi="Arial" w:cs="Arial"/>
          <w:sz w:val="22"/>
          <w:szCs w:val="22"/>
          <w:lang w:val="es-ES_tradnl"/>
        </w:rPr>
        <w:t xml:space="preserve"> del artículo en comento, cuando el legislador alude al concepto de «personas mayores»</w:t>
      </w:r>
      <w:r w:rsidR="008509A5" w:rsidRPr="00B73D58">
        <w:rPr>
          <w:rFonts w:ascii="Arial" w:eastAsia="Calibri" w:hAnsi="Arial" w:cs="Arial"/>
          <w:sz w:val="22"/>
          <w:szCs w:val="22"/>
          <w:lang w:val="es-ES_tradnl"/>
        </w:rPr>
        <w:t xml:space="preserve"> que no sean beneficiarias de la pensión de vejez, familiar o de sobrevivencia y que hayan cumplido la edad </w:t>
      </w:r>
      <w:r w:rsidR="00E5428D" w:rsidRPr="00B73D58">
        <w:rPr>
          <w:rFonts w:ascii="Arial" w:eastAsia="Calibri" w:hAnsi="Arial" w:cs="Arial"/>
          <w:sz w:val="22"/>
          <w:szCs w:val="22"/>
          <w:lang w:val="es-ES_tradnl"/>
        </w:rPr>
        <w:t>para obtenerla</w:t>
      </w:r>
      <w:r w:rsidR="003B1961" w:rsidRPr="00B73D58">
        <w:rPr>
          <w:rFonts w:ascii="Arial" w:eastAsia="Calibri" w:hAnsi="Arial" w:cs="Arial"/>
          <w:sz w:val="22"/>
          <w:szCs w:val="22"/>
          <w:lang w:val="es-ES_tradnl"/>
        </w:rPr>
        <w:t>, la interpretación más razonable</w:t>
      </w:r>
      <w:r w:rsidR="008509A5" w:rsidRPr="00B73D58">
        <w:rPr>
          <w:rFonts w:ascii="Arial" w:eastAsia="Calibri" w:hAnsi="Arial" w:cs="Arial"/>
          <w:sz w:val="22"/>
          <w:szCs w:val="22"/>
          <w:lang w:val="es-ES_tradnl"/>
        </w:rPr>
        <w:t xml:space="preserve"> es entender</w:t>
      </w:r>
      <w:r w:rsidR="00E5428D" w:rsidRPr="00B73D58">
        <w:rPr>
          <w:rFonts w:ascii="Arial" w:eastAsia="Calibri" w:hAnsi="Arial" w:cs="Arial"/>
          <w:sz w:val="22"/>
          <w:szCs w:val="22"/>
          <w:lang w:val="es-ES_tradnl"/>
        </w:rPr>
        <w:t xml:space="preserve"> que la norma se refiere al «adulto mayor»</w:t>
      </w:r>
      <w:r w:rsidR="00370AC8" w:rsidRPr="00B73D58">
        <w:rPr>
          <w:rFonts w:ascii="Arial" w:eastAsia="Calibri" w:hAnsi="Arial" w:cs="Arial"/>
          <w:sz w:val="22"/>
          <w:szCs w:val="22"/>
          <w:lang w:val="es-ES_tradnl"/>
        </w:rPr>
        <w:t>. Este concepto lo</w:t>
      </w:r>
      <w:r w:rsidR="00E5428D" w:rsidRPr="00B73D58">
        <w:rPr>
          <w:rFonts w:ascii="Arial" w:eastAsia="Calibri" w:hAnsi="Arial" w:cs="Arial"/>
          <w:sz w:val="22"/>
          <w:szCs w:val="22"/>
          <w:lang w:val="es-ES_tradnl"/>
        </w:rPr>
        <w:t xml:space="preserve"> define el artículo </w:t>
      </w:r>
      <w:r w:rsidR="00BD6D41" w:rsidRPr="00B73D58">
        <w:rPr>
          <w:rFonts w:ascii="Arial" w:eastAsia="Calibri" w:hAnsi="Arial" w:cs="Arial"/>
          <w:sz w:val="22"/>
          <w:szCs w:val="22"/>
          <w:lang w:val="es-ES_tradnl"/>
        </w:rPr>
        <w:t>3 de la Ley 1251 de 2008 –«Por la cual se dictan normas tendientes a procurar la protección, promoción y defensa de los derechos de los adultos mayores»–</w:t>
      </w:r>
      <w:r w:rsidR="00A0056C" w:rsidRPr="00B73D58">
        <w:rPr>
          <w:rFonts w:ascii="Arial" w:eastAsia="Calibri" w:hAnsi="Arial" w:cs="Arial"/>
          <w:sz w:val="22"/>
          <w:szCs w:val="22"/>
          <w:lang w:val="es-ES_tradnl"/>
        </w:rPr>
        <w:t xml:space="preserve"> como «</w:t>
      </w:r>
      <w:r w:rsidR="00A0056C" w:rsidRPr="00B73D58">
        <w:rPr>
          <w:lang w:val="es-ES_tradnl"/>
        </w:rPr>
        <w:t xml:space="preserve">[…] </w:t>
      </w:r>
      <w:r w:rsidR="00A0056C" w:rsidRPr="00B73D58">
        <w:rPr>
          <w:rFonts w:ascii="Arial" w:eastAsia="Calibri" w:hAnsi="Arial" w:cs="Arial"/>
          <w:sz w:val="22"/>
          <w:szCs w:val="22"/>
          <w:lang w:val="es-ES_tradnl"/>
        </w:rPr>
        <w:t>aquella persona que cuenta con sesenta (60) años de edad o más»</w:t>
      </w:r>
      <w:r w:rsidR="0031713F" w:rsidRPr="00B73D58">
        <w:rPr>
          <w:rFonts w:ascii="Arial" w:eastAsia="Calibri" w:hAnsi="Arial" w:cs="Arial"/>
          <w:sz w:val="22"/>
          <w:szCs w:val="22"/>
          <w:lang w:val="es-ES_tradnl"/>
        </w:rPr>
        <w:t xml:space="preserve">, lo cual </w:t>
      </w:r>
      <w:r w:rsidR="00924770" w:rsidRPr="00B73D58">
        <w:rPr>
          <w:rFonts w:ascii="Arial" w:eastAsia="Calibri" w:hAnsi="Arial" w:cs="Arial"/>
          <w:sz w:val="22"/>
          <w:szCs w:val="22"/>
          <w:lang w:val="es-ES_tradnl"/>
        </w:rPr>
        <w:t>se puede acreditar con el documento de identidad</w:t>
      </w:r>
      <w:r w:rsidR="0031713F" w:rsidRPr="00B73D58">
        <w:rPr>
          <w:rFonts w:ascii="Arial" w:eastAsia="Calibri" w:hAnsi="Arial" w:cs="Arial"/>
          <w:sz w:val="22"/>
          <w:szCs w:val="22"/>
          <w:lang w:val="es-ES_tradnl"/>
        </w:rPr>
        <w:t xml:space="preserve"> correspondiente.</w:t>
      </w:r>
    </w:p>
    <w:p w14:paraId="49DB8974" w14:textId="77777777" w:rsidR="00370AC8" w:rsidRPr="00B73D58" w:rsidRDefault="009A39EE" w:rsidP="00E9170E">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 xml:space="preserve">En lo que respecta al numeral 5, </w:t>
      </w:r>
      <w:r w:rsidR="00AF3124" w:rsidRPr="00B73D58">
        <w:rPr>
          <w:rFonts w:ascii="Arial" w:eastAsia="Calibri" w:hAnsi="Arial" w:cs="Arial"/>
          <w:sz w:val="22"/>
          <w:szCs w:val="22"/>
          <w:lang w:val="es-ES_tradnl"/>
        </w:rPr>
        <w:t xml:space="preserve">es decir, </w:t>
      </w:r>
      <w:r w:rsidR="00C37DC1" w:rsidRPr="00B73D58">
        <w:rPr>
          <w:rFonts w:ascii="Arial" w:eastAsia="Calibri" w:hAnsi="Arial" w:cs="Arial"/>
          <w:sz w:val="22"/>
          <w:szCs w:val="22"/>
          <w:lang w:val="es-ES_tradnl"/>
        </w:rPr>
        <w:t xml:space="preserve">a </w:t>
      </w:r>
      <w:r w:rsidRPr="00B73D58">
        <w:rPr>
          <w:rFonts w:ascii="Arial" w:eastAsia="Calibri" w:hAnsi="Arial" w:cs="Arial"/>
          <w:sz w:val="22"/>
          <w:szCs w:val="22"/>
          <w:lang w:val="es-ES_tradnl"/>
        </w:rPr>
        <w:t>la pertenencia a la «</w:t>
      </w:r>
      <w:r w:rsidRPr="00B73D58">
        <w:rPr>
          <w:lang w:val="es-ES_tradnl"/>
        </w:rPr>
        <w:t xml:space="preserve">[…] </w:t>
      </w:r>
      <w:r w:rsidRPr="00B73D58">
        <w:rPr>
          <w:rFonts w:ascii="Arial" w:eastAsia="Calibri" w:hAnsi="Arial" w:cs="Arial"/>
          <w:sz w:val="22"/>
          <w:szCs w:val="22"/>
          <w:lang w:val="es-ES_tradnl"/>
        </w:rPr>
        <w:t>población indígena, negra, afrocolombiana, raizal, palanquera, Rrom o gitanas»</w:t>
      </w:r>
      <w:r w:rsidR="00AF3124" w:rsidRPr="00B73D58">
        <w:rPr>
          <w:rFonts w:ascii="Arial" w:eastAsia="Calibri" w:hAnsi="Arial" w:cs="Arial"/>
          <w:sz w:val="22"/>
          <w:szCs w:val="22"/>
          <w:lang w:val="es-ES_tradnl"/>
        </w:rPr>
        <w:t>, es importante hacer algunas precisiones frente a cada grupo poblacional.</w:t>
      </w:r>
      <w:r w:rsidR="005678F5" w:rsidRPr="00B73D58">
        <w:rPr>
          <w:rFonts w:ascii="Arial" w:eastAsia="Calibri" w:hAnsi="Arial" w:cs="Arial"/>
          <w:sz w:val="22"/>
          <w:szCs w:val="22"/>
          <w:lang w:val="es-ES_tradnl"/>
        </w:rPr>
        <w:t xml:space="preserve"> </w:t>
      </w:r>
      <w:r w:rsidR="00C67C0E" w:rsidRPr="00B73D58">
        <w:rPr>
          <w:rFonts w:ascii="Arial" w:eastAsia="Calibri" w:hAnsi="Arial" w:cs="Arial"/>
          <w:sz w:val="22"/>
          <w:szCs w:val="22"/>
          <w:lang w:val="es-ES_tradnl"/>
        </w:rPr>
        <w:t>El ar</w:t>
      </w:r>
      <w:r w:rsidR="008205AC" w:rsidRPr="00B73D58">
        <w:rPr>
          <w:rFonts w:ascii="Arial" w:eastAsia="Calibri" w:hAnsi="Arial" w:cs="Arial"/>
          <w:sz w:val="22"/>
          <w:szCs w:val="22"/>
          <w:lang w:val="es-ES_tradnl"/>
        </w:rPr>
        <w:t>tículo 1 del Convenio No. 169 de la OIT</w:t>
      </w:r>
      <w:r w:rsidR="0053086F" w:rsidRPr="00B73D58">
        <w:rPr>
          <w:rFonts w:ascii="Arial" w:eastAsia="Calibri" w:hAnsi="Arial" w:cs="Arial"/>
          <w:sz w:val="22"/>
          <w:szCs w:val="22"/>
          <w:lang w:val="es-ES_tradnl"/>
        </w:rPr>
        <w:t xml:space="preserve"> –«Sobre pueblos indígenas y tribales en países independientes</w:t>
      </w:r>
      <w:r w:rsidR="0079776F" w:rsidRPr="00B73D58">
        <w:rPr>
          <w:rFonts w:ascii="Arial" w:eastAsia="Calibri" w:hAnsi="Arial" w:cs="Arial"/>
          <w:sz w:val="22"/>
          <w:szCs w:val="22"/>
          <w:lang w:val="es-ES_tradnl"/>
        </w:rPr>
        <w:t>»</w:t>
      </w:r>
      <w:r w:rsidR="0053086F" w:rsidRPr="00B73D58">
        <w:rPr>
          <w:rFonts w:ascii="Arial" w:eastAsia="Calibri" w:hAnsi="Arial" w:cs="Arial"/>
          <w:sz w:val="22"/>
          <w:szCs w:val="22"/>
          <w:lang w:val="es-ES_tradnl"/>
        </w:rPr>
        <w:t xml:space="preserve">–, aplicable en el ordenamiento jurídico colombiano, caracteriza la </w:t>
      </w:r>
      <w:r w:rsidR="00537A70" w:rsidRPr="00B73D58">
        <w:rPr>
          <w:rFonts w:ascii="Arial" w:eastAsia="Calibri" w:hAnsi="Arial" w:cs="Arial"/>
          <w:sz w:val="22"/>
          <w:szCs w:val="22"/>
          <w:lang w:val="es-ES_tradnl"/>
        </w:rPr>
        <w:t>«</w:t>
      </w:r>
      <w:r w:rsidR="0053086F" w:rsidRPr="00B73D58">
        <w:rPr>
          <w:rFonts w:ascii="Arial" w:eastAsia="Calibri" w:hAnsi="Arial" w:cs="Arial"/>
          <w:sz w:val="22"/>
          <w:szCs w:val="22"/>
          <w:lang w:val="es-ES_tradnl"/>
        </w:rPr>
        <w:t>población indígena</w:t>
      </w:r>
      <w:r w:rsidR="00537A70" w:rsidRPr="00B73D58">
        <w:rPr>
          <w:rFonts w:ascii="Arial" w:eastAsia="Calibri" w:hAnsi="Arial" w:cs="Arial"/>
          <w:sz w:val="22"/>
          <w:szCs w:val="22"/>
          <w:lang w:val="es-ES_tradnl"/>
        </w:rPr>
        <w:t>»</w:t>
      </w:r>
      <w:r w:rsidR="0053086F" w:rsidRPr="00B73D58">
        <w:rPr>
          <w:rFonts w:ascii="Arial" w:eastAsia="Calibri" w:hAnsi="Arial" w:cs="Arial"/>
          <w:sz w:val="22"/>
          <w:szCs w:val="22"/>
          <w:lang w:val="es-ES_tradnl"/>
        </w:rPr>
        <w:t xml:space="preserve"> como</w:t>
      </w:r>
      <w:r w:rsidR="00E9170E" w:rsidRPr="00B73D58">
        <w:rPr>
          <w:rFonts w:ascii="Arial" w:eastAsia="Calibri" w:hAnsi="Arial" w:cs="Arial"/>
          <w:sz w:val="22"/>
          <w:szCs w:val="22"/>
          <w:lang w:val="es-ES_tradnl"/>
        </w:rPr>
        <w:t xml:space="preserve"> aquella que desciende de grupos que</w:t>
      </w:r>
      <w:r w:rsidR="0053086F" w:rsidRPr="00B73D58">
        <w:rPr>
          <w:rFonts w:ascii="Arial" w:eastAsia="Calibri" w:hAnsi="Arial" w:cs="Arial"/>
          <w:sz w:val="22"/>
          <w:szCs w:val="22"/>
          <w:lang w:val="es-ES_tradnl"/>
        </w:rPr>
        <w:t xml:space="preserve"> «</w:t>
      </w:r>
      <w:r w:rsidR="00E9170E" w:rsidRPr="00B73D58">
        <w:rPr>
          <w:rFonts w:ascii="Arial" w:eastAsia="Calibri" w:hAnsi="Arial" w:cs="Arial"/>
          <w:sz w:val="22"/>
          <w:szCs w:val="22"/>
          <w:lang w:val="es-ES_tradnl"/>
        </w:rPr>
        <w:t xml:space="preserve">[…] </w:t>
      </w:r>
      <w:r w:rsidR="0053086F" w:rsidRPr="00B73D58">
        <w:rPr>
          <w:rFonts w:ascii="Arial" w:eastAsia="Calibri" w:hAnsi="Arial" w:cs="Arial"/>
          <w:sz w:val="22"/>
          <w:szCs w:val="22"/>
          <w:lang w:val="es-ES_tradnl"/>
        </w:rPr>
        <w:t>habitaban en el país o en una región geográfica a la que pertenece el país en la época de la conquista o la colonización o del establecimiento de</w:t>
      </w:r>
      <w:r w:rsidR="00E9170E" w:rsidRPr="00B73D58">
        <w:rPr>
          <w:rFonts w:ascii="Arial" w:eastAsia="Calibri" w:hAnsi="Arial" w:cs="Arial"/>
          <w:sz w:val="22"/>
          <w:szCs w:val="22"/>
          <w:lang w:val="es-ES_tradnl"/>
        </w:rPr>
        <w:t xml:space="preserve"> </w:t>
      </w:r>
      <w:r w:rsidR="0053086F" w:rsidRPr="00B73D58">
        <w:rPr>
          <w:rFonts w:ascii="Arial" w:eastAsia="Calibri" w:hAnsi="Arial" w:cs="Arial"/>
          <w:sz w:val="22"/>
          <w:szCs w:val="22"/>
          <w:lang w:val="es-ES_tradnl"/>
        </w:rPr>
        <w:t>las actuales fronteras estatales y que, cualquiera que sea su situación jurídica, conserven</w:t>
      </w:r>
      <w:r w:rsidR="00E9170E" w:rsidRPr="00B73D58">
        <w:rPr>
          <w:rFonts w:ascii="Arial" w:eastAsia="Calibri" w:hAnsi="Arial" w:cs="Arial"/>
          <w:sz w:val="22"/>
          <w:szCs w:val="22"/>
          <w:lang w:val="es-ES_tradnl"/>
        </w:rPr>
        <w:t xml:space="preserve"> </w:t>
      </w:r>
      <w:r w:rsidR="0053086F" w:rsidRPr="00B73D58">
        <w:rPr>
          <w:rFonts w:ascii="Arial" w:eastAsia="Calibri" w:hAnsi="Arial" w:cs="Arial"/>
          <w:sz w:val="22"/>
          <w:szCs w:val="22"/>
          <w:lang w:val="es-ES_tradnl"/>
        </w:rPr>
        <w:t>todas sus propias instituciones sociales, económicas, culturales y políticas, o parte de</w:t>
      </w:r>
      <w:r w:rsidR="00E9170E" w:rsidRPr="00B73D58">
        <w:rPr>
          <w:rFonts w:ascii="Arial" w:eastAsia="Calibri" w:hAnsi="Arial" w:cs="Arial"/>
          <w:sz w:val="22"/>
          <w:szCs w:val="22"/>
          <w:lang w:val="es-ES_tradnl"/>
        </w:rPr>
        <w:t xml:space="preserve"> </w:t>
      </w:r>
      <w:r w:rsidR="0053086F" w:rsidRPr="00B73D58">
        <w:rPr>
          <w:rFonts w:ascii="Arial" w:eastAsia="Calibri" w:hAnsi="Arial" w:cs="Arial"/>
          <w:sz w:val="22"/>
          <w:szCs w:val="22"/>
          <w:lang w:val="es-ES_tradnl"/>
        </w:rPr>
        <w:t>ellas</w:t>
      </w:r>
      <w:r w:rsidR="00BE07A6" w:rsidRPr="00B73D58">
        <w:rPr>
          <w:rFonts w:ascii="Arial" w:eastAsia="Calibri" w:hAnsi="Arial" w:cs="Arial"/>
          <w:sz w:val="22"/>
          <w:szCs w:val="22"/>
          <w:lang w:val="es-ES_tradnl"/>
        </w:rPr>
        <w:t>»</w:t>
      </w:r>
      <w:r w:rsidR="00BE07A6" w:rsidRPr="00B73D58">
        <w:rPr>
          <w:rStyle w:val="Refdenotaalpie"/>
          <w:rFonts w:ascii="Arial" w:eastAsia="Calibri" w:hAnsi="Arial" w:cs="Arial"/>
          <w:sz w:val="22"/>
          <w:szCs w:val="22"/>
          <w:lang w:val="es-ES_tradnl"/>
        </w:rPr>
        <w:footnoteReference w:id="13"/>
      </w:r>
      <w:r w:rsidR="00BE07A6" w:rsidRPr="00B73D58">
        <w:rPr>
          <w:rFonts w:ascii="Arial" w:eastAsia="Calibri" w:hAnsi="Arial" w:cs="Arial"/>
          <w:sz w:val="22"/>
          <w:szCs w:val="22"/>
          <w:lang w:val="es-ES_tradnl"/>
        </w:rPr>
        <w:t xml:space="preserve">. </w:t>
      </w:r>
    </w:p>
    <w:p w14:paraId="3C8736EE" w14:textId="77777777" w:rsidR="00370AC8" w:rsidRPr="00B73D58" w:rsidRDefault="00BE07A6" w:rsidP="00E9170E">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Por su parte, e</w:t>
      </w:r>
      <w:r w:rsidR="005678F5" w:rsidRPr="00B73D58">
        <w:rPr>
          <w:rFonts w:ascii="Arial" w:eastAsia="Calibri" w:hAnsi="Arial" w:cs="Arial"/>
          <w:sz w:val="22"/>
          <w:szCs w:val="22"/>
          <w:lang w:val="es-ES_tradnl"/>
        </w:rPr>
        <w:t xml:space="preserve">l artículo </w:t>
      </w:r>
      <w:r w:rsidR="00C428E7" w:rsidRPr="00B73D58">
        <w:rPr>
          <w:rFonts w:ascii="Arial" w:eastAsia="Calibri" w:hAnsi="Arial" w:cs="Arial"/>
          <w:sz w:val="22"/>
          <w:szCs w:val="22"/>
          <w:lang w:val="es-ES_tradnl"/>
        </w:rPr>
        <w:t xml:space="preserve">2, numeral 5, de la Ley 70 de 1993 dispone que «comunidad negra» </w:t>
      </w:r>
      <w:r w:rsidR="00CB1881" w:rsidRPr="00B73D58">
        <w:rPr>
          <w:rFonts w:ascii="Arial" w:eastAsia="Calibri" w:hAnsi="Arial" w:cs="Arial"/>
          <w:sz w:val="22"/>
          <w:szCs w:val="22"/>
          <w:lang w:val="es-ES_tradnl"/>
        </w:rPr>
        <w:t>«Es el conjunto de familias de ascendencia afrocolombiana que poseen una cultura propia, comparten una historia y tienen sus propias tradiciones y costumbre dentro de la relación compo-poblado, que revelan y conservan conciencia de identidad que las distinguen de otros grupos étnicos».</w:t>
      </w:r>
      <w:r w:rsidR="006E046C" w:rsidRPr="00B73D58">
        <w:rPr>
          <w:rFonts w:ascii="Arial" w:eastAsia="Calibri" w:hAnsi="Arial" w:cs="Arial"/>
          <w:sz w:val="22"/>
          <w:szCs w:val="22"/>
          <w:lang w:val="es-ES_tradnl"/>
        </w:rPr>
        <w:t xml:space="preserve"> </w:t>
      </w:r>
      <w:r w:rsidR="00B771F4" w:rsidRPr="00B73D58">
        <w:rPr>
          <w:rFonts w:ascii="Arial" w:eastAsia="Calibri" w:hAnsi="Arial" w:cs="Arial"/>
          <w:sz w:val="22"/>
          <w:szCs w:val="22"/>
          <w:lang w:val="es-ES_tradnl"/>
        </w:rPr>
        <w:t>De otro lado</w:t>
      </w:r>
      <w:r w:rsidR="006E046C" w:rsidRPr="00B73D58">
        <w:rPr>
          <w:rFonts w:ascii="Arial" w:eastAsia="Calibri" w:hAnsi="Arial" w:cs="Arial"/>
          <w:sz w:val="22"/>
          <w:szCs w:val="22"/>
          <w:lang w:val="es-ES_tradnl"/>
        </w:rPr>
        <w:t>, «La población afrocolombiana está compuesta por hombres y mujeres con una marcada</w:t>
      </w:r>
      <w:r w:rsidR="008C6B97" w:rsidRPr="00B73D58">
        <w:rPr>
          <w:rFonts w:ascii="Arial" w:eastAsia="Calibri" w:hAnsi="Arial" w:cs="Arial"/>
          <w:sz w:val="22"/>
          <w:szCs w:val="22"/>
          <w:lang w:val="es-ES_tradnl"/>
        </w:rPr>
        <w:t xml:space="preserve"> </w:t>
      </w:r>
      <w:r w:rsidR="006E046C" w:rsidRPr="00B73D58">
        <w:rPr>
          <w:rFonts w:ascii="Arial" w:eastAsia="Calibri" w:hAnsi="Arial" w:cs="Arial"/>
          <w:sz w:val="22"/>
          <w:szCs w:val="22"/>
          <w:lang w:val="es-ES_tradnl"/>
        </w:rPr>
        <w:t>ascendencia (lingüística, étnica y cultural) africana. Los y las afrocolombianos (as) son</w:t>
      </w:r>
      <w:r w:rsidR="008C6B97" w:rsidRPr="00B73D58">
        <w:rPr>
          <w:rFonts w:ascii="Arial" w:eastAsia="Calibri" w:hAnsi="Arial" w:cs="Arial"/>
          <w:sz w:val="22"/>
          <w:szCs w:val="22"/>
          <w:lang w:val="es-ES_tradnl"/>
        </w:rPr>
        <w:t xml:space="preserve"> </w:t>
      </w:r>
      <w:r w:rsidR="006E046C" w:rsidRPr="00B73D58">
        <w:rPr>
          <w:rFonts w:ascii="Arial" w:eastAsia="Calibri" w:hAnsi="Arial" w:cs="Arial"/>
          <w:sz w:val="22"/>
          <w:szCs w:val="22"/>
          <w:lang w:val="es-ES_tradnl"/>
        </w:rPr>
        <w:t>algunos de los descendientes de africanos y africanas</w:t>
      </w:r>
      <w:r w:rsidR="003F153A" w:rsidRPr="00B73D58">
        <w:rPr>
          <w:rFonts w:ascii="Arial" w:eastAsia="Calibri" w:hAnsi="Arial" w:cs="Arial"/>
          <w:sz w:val="22"/>
          <w:szCs w:val="22"/>
          <w:lang w:val="es-ES_tradnl"/>
        </w:rPr>
        <w:t xml:space="preserve"> –</w:t>
      </w:r>
      <w:r w:rsidR="006E046C" w:rsidRPr="00B73D58">
        <w:rPr>
          <w:rFonts w:ascii="Arial" w:eastAsia="Calibri" w:hAnsi="Arial" w:cs="Arial"/>
          <w:sz w:val="22"/>
          <w:szCs w:val="22"/>
          <w:lang w:val="es-ES_tradnl"/>
        </w:rPr>
        <w:t>provenientes de diversas</w:t>
      </w:r>
      <w:r w:rsidR="008C6B97" w:rsidRPr="00B73D58">
        <w:rPr>
          <w:rFonts w:ascii="Arial" w:eastAsia="Calibri" w:hAnsi="Arial" w:cs="Arial"/>
          <w:sz w:val="22"/>
          <w:szCs w:val="22"/>
          <w:lang w:val="es-ES_tradnl"/>
        </w:rPr>
        <w:t xml:space="preserve"> </w:t>
      </w:r>
      <w:r w:rsidR="006E046C" w:rsidRPr="00B73D58">
        <w:rPr>
          <w:rFonts w:ascii="Arial" w:eastAsia="Calibri" w:hAnsi="Arial" w:cs="Arial"/>
          <w:sz w:val="22"/>
          <w:szCs w:val="22"/>
          <w:lang w:val="es-ES_tradnl"/>
        </w:rPr>
        <w:t>regiones y etnias de África</w:t>
      </w:r>
      <w:r w:rsidR="003F153A" w:rsidRPr="00B73D58">
        <w:rPr>
          <w:rFonts w:ascii="Arial" w:eastAsia="Calibri" w:hAnsi="Arial" w:cs="Arial"/>
          <w:sz w:val="22"/>
          <w:szCs w:val="22"/>
          <w:lang w:val="es-ES_tradnl"/>
        </w:rPr>
        <w:t>–</w:t>
      </w:r>
      <w:r w:rsidR="006E046C" w:rsidRPr="00B73D58">
        <w:rPr>
          <w:rFonts w:ascii="Arial" w:eastAsia="Calibri" w:hAnsi="Arial" w:cs="Arial"/>
          <w:sz w:val="22"/>
          <w:szCs w:val="22"/>
          <w:lang w:val="es-ES_tradnl"/>
        </w:rPr>
        <w:t xml:space="preserve"> que llegaron al continente americano en calidad de esclavos</w:t>
      </w:r>
      <w:r w:rsidR="008C6B97" w:rsidRPr="00B73D58">
        <w:rPr>
          <w:rFonts w:ascii="Arial" w:eastAsia="Calibri" w:hAnsi="Arial" w:cs="Arial"/>
          <w:sz w:val="22"/>
          <w:szCs w:val="22"/>
          <w:lang w:val="es-ES_tradnl"/>
        </w:rPr>
        <w:t>»</w:t>
      </w:r>
      <w:r w:rsidR="008C6B97" w:rsidRPr="00B73D58">
        <w:rPr>
          <w:rStyle w:val="Refdenotaalpie"/>
          <w:rFonts w:ascii="Arial" w:eastAsia="Calibri" w:hAnsi="Arial" w:cs="Arial"/>
          <w:sz w:val="22"/>
          <w:szCs w:val="22"/>
          <w:lang w:val="es-ES_tradnl"/>
        </w:rPr>
        <w:footnoteReference w:id="14"/>
      </w:r>
      <w:r w:rsidR="006E046C" w:rsidRPr="00B73D58">
        <w:rPr>
          <w:rFonts w:ascii="Arial" w:eastAsia="Calibri" w:hAnsi="Arial" w:cs="Arial"/>
          <w:sz w:val="22"/>
          <w:szCs w:val="22"/>
          <w:lang w:val="es-ES_tradnl"/>
        </w:rPr>
        <w:t>.</w:t>
      </w:r>
      <w:r w:rsidR="00C57C64" w:rsidRPr="00B73D58">
        <w:rPr>
          <w:rFonts w:ascii="Arial" w:eastAsia="Calibri" w:hAnsi="Arial" w:cs="Arial"/>
          <w:sz w:val="22"/>
          <w:szCs w:val="22"/>
          <w:lang w:val="es-ES_tradnl"/>
        </w:rPr>
        <w:t xml:space="preserve"> </w:t>
      </w:r>
    </w:p>
    <w:p w14:paraId="53014E03" w14:textId="23FA9F10" w:rsidR="00370AC8" w:rsidRPr="00B73D58" w:rsidRDefault="00C57C64" w:rsidP="00E9170E">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La «población raizal», «Es la población nativa de las Islas de San Andrés, Providencia Y Santa Catalina descendientes de la unión entre europeos (principalmente ingleses, españoles y holandeses) y esclavos africanos. Se distinguen por su cultura, lengua (creole), creencias religiosas (iglesia bautista) y pasado histórico similar a los pueblos antillanos como Jamaica y Haití»</w:t>
      </w:r>
      <w:r w:rsidRPr="00B73D58">
        <w:rPr>
          <w:rStyle w:val="Refdenotaalpie"/>
          <w:rFonts w:ascii="Arial" w:eastAsia="Calibri" w:hAnsi="Arial" w:cs="Arial"/>
          <w:sz w:val="22"/>
          <w:szCs w:val="22"/>
          <w:lang w:val="es-ES_tradnl"/>
        </w:rPr>
        <w:footnoteReference w:id="15"/>
      </w:r>
      <w:r w:rsidRPr="00B73D58">
        <w:rPr>
          <w:rFonts w:ascii="Arial" w:eastAsia="Calibri" w:hAnsi="Arial" w:cs="Arial"/>
          <w:sz w:val="22"/>
          <w:szCs w:val="22"/>
          <w:lang w:val="es-ES_tradnl"/>
        </w:rPr>
        <w:t xml:space="preserve">. </w:t>
      </w:r>
      <w:r w:rsidR="004F1596" w:rsidRPr="00B73D58">
        <w:rPr>
          <w:rFonts w:ascii="Arial" w:eastAsia="Calibri" w:hAnsi="Arial" w:cs="Arial"/>
          <w:sz w:val="22"/>
          <w:szCs w:val="22"/>
          <w:lang w:val="es-ES_tradnl"/>
        </w:rPr>
        <w:t>La «</w:t>
      </w:r>
      <w:r w:rsidR="009731F4" w:rsidRPr="00B73D58">
        <w:rPr>
          <w:rFonts w:ascii="Arial" w:eastAsia="Calibri" w:hAnsi="Arial" w:cs="Arial"/>
          <w:sz w:val="22"/>
          <w:szCs w:val="22"/>
          <w:lang w:val="es-ES_tradnl"/>
        </w:rPr>
        <w:t>población palenquera» «</w:t>
      </w:r>
      <w:r w:rsidR="009731F4" w:rsidRPr="00B73D58">
        <w:rPr>
          <w:lang w:val="es-ES_tradnl"/>
        </w:rPr>
        <w:t xml:space="preserve">[…] </w:t>
      </w:r>
      <w:r w:rsidR="009731F4" w:rsidRPr="00B73D58">
        <w:rPr>
          <w:rFonts w:ascii="Arial" w:eastAsia="Calibri" w:hAnsi="Arial" w:cs="Arial"/>
          <w:sz w:val="22"/>
          <w:szCs w:val="22"/>
          <w:lang w:val="es-ES_tradnl"/>
        </w:rPr>
        <w:t xml:space="preserve">está </w:t>
      </w:r>
      <w:r w:rsidR="009731F4" w:rsidRPr="00B73D58">
        <w:rPr>
          <w:rFonts w:ascii="Arial" w:eastAsia="Calibri" w:hAnsi="Arial" w:cs="Arial"/>
          <w:sz w:val="22"/>
          <w:szCs w:val="22"/>
          <w:lang w:val="es-ES_tradnl"/>
        </w:rPr>
        <w:lastRenderedPageBreak/>
        <w:t xml:space="preserve">conformada por los descendientes de los esclavizados que mediante actos de resistencia y de libertad, se refugiaron en los territorios de la Costa Norte de Colombia desde el Siglo XV denominados palenques. Existen 4 Palenques reconocidos: San Basilio de Palenque (Mahates – Bolívar), San José de Uré (Córdoba), Jacobo Pérez </w:t>
      </w:r>
      <w:r w:rsidR="00C21E08">
        <w:rPr>
          <w:rFonts w:ascii="Arial" w:eastAsia="Calibri" w:hAnsi="Arial" w:cs="Arial"/>
          <w:sz w:val="22"/>
          <w:szCs w:val="22"/>
          <w:lang w:val="es-ES_tradnl"/>
        </w:rPr>
        <w:t>E</w:t>
      </w:r>
      <w:r w:rsidR="009731F4" w:rsidRPr="00B73D58">
        <w:rPr>
          <w:rFonts w:ascii="Arial" w:eastAsia="Calibri" w:hAnsi="Arial" w:cs="Arial"/>
          <w:sz w:val="22"/>
          <w:szCs w:val="22"/>
          <w:lang w:val="es-ES_tradnl"/>
        </w:rPr>
        <w:t>scobar (Magdalena) y La Libertad (Sucre)»</w:t>
      </w:r>
      <w:r w:rsidR="009731F4" w:rsidRPr="00B73D58">
        <w:rPr>
          <w:rStyle w:val="Refdenotaalpie"/>
          <w:rFonts w:ascii="Arial" w:eastAsia="Calibri" w:hAnsi="Arial" w:cs="Arial"/>
          <w:sz w:val="22"/>
          <w:szCs w:val="22"/>
          <w:lang w:val="es-ES_tradnl"/>
        </w:rPr>
        <w:footnoteReference w:id="16"/>
      </w:r>
      <w:r w:rsidR="009731F4" w:rsidRPr="00B73D58">
        <w:rPr>
          <w:rFonts w:ascii="Arial" w:eastAsia="Calibri" w:hAnsi="Arial" w:cs="Arial"/>
          <w:sz w:val="22"/>
          <w:szCs w:val="22"/>
          <w:lang w:val="es-ES_tradnl"/>
        </w:rPr>
        <w:t>.</w:t>
      </w:r>
      <w:r w:rsidR="00C63DDD" w:rsidRPr="00B73D58">
        <w:rPr>
          <w:rFonts w:ascii="Arial" w:eastAsia="Calibri" w:hAnsi="Arial" w:cs="Arial"/>
          <w:sz w:val="22"/>
          <w:szCs w:val="22"/>
          <w:lang w:val="es-ES_tradnl"/>
        </w:rPr>
        <w:t xml:space="preserve"> </w:t>
      </w:r>
    </w:p>
    <w:p w14:paraId="30E26B3B" w14:textId="2DCB6AE8" w:rsidR="00BD6D41" w:rsidRPr="00B73D58" w:rsidRDefault="00C63DDD" w:rsidP="00E9170E">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En cuanto a</w:t>
      </w:r>
      <w:r w:rsidR="007B21AA" w:rsidRPr="00B73D58">
        <w:rPr>
          <w:rFonts w:ascii="Arial" w:eastAsia="Calibri" w:hAnsi="Arial" w:cs="Arial"/>
          <w:sz w:val="22"/>
          <w:szCs w:val="22"/>
          <w:lang w:val="es-ES_tradnl"/>
        </w:rPr>
        <w:t xml:space="preserve">l Pueblo «Rrom» o «gitano» conviene indicar que, de acuerdo con el </w:t>
      </w:r>
      <w:r w:rsidR="00C2393A" w:rsidRPr="00B73D58">
        <w:rPr>
          <w:rFonts w:ascii="Arial" w:eastAsia="Calibri" w:hAnsi="Arial" w:cs="Arial"/>
          <w:sz w:val="22"/>
          <w:szCs w:val="22"/>
          <w:lang w:val="es-ES_tradnl"/>
        </w:rPr>
        <w:t xml:space="preserve">artículo 6 del </w:t>
      </w:r>
      <w:r w:rsidR="007B21AA" w:rsidRPr="00B73D58">
        <w:rPr>
          <w:rFonts w:ascii="Arial" w:eastAsia="Calibri" w:hAnsi="Arial" w:cs="Arial"/>
          <w:sz w:val="22"/>
          <w:szCs w:val="22"/>
          <w:lang w:val="es-ES_tradnl"/>
        </w:rPr>
        <w:t xml:space="preserve">Decreto </w:t>
      </w:r>
      <w:r w:rsidR="004E7AA1" w:rsidRPr="00B73D58">
        <w:rPr>
          <w:rFonts w:ascii="Arial" w:eastAsia="Calibri" w:hAnsi="Arial" w:cs="Arial"/>
          <w:sz w:val="22"/>
          <w:szCs w:val="22"/>
          <w:lang w:val="es-ES_tradnl"/>
        </w:rPr>
        <w:t>2957</w:t>
      </w:r>
      <w:r w:rsidR="00C2393A" w:rsidRPr="00B73D58">
        <w:rPr>
          <w:rFonts w:ascii="Arial" w:eastAsia="Calibri" w:hAnsi="Arial" w:cs="Arial"/>
          <w:sz w:val="22"/>
          <w:szCs w:val="22"/>
          <w:lang w:val="es-ES_tradnl"/>
        </w:rPr>
        <w:t xml:space="preserve"> </w:t>
      </w:r>
      <w:r w:rsidR="004E7AA1" w:rsidRPr="00B73D58">
        <w:rPr>
          <w:rFonts w:ascii="Arial" w:eastAsia="Calibri" w:hAnsi="Arial" w:cs="Arial"/>
          <w:sz w:val="22"/>
          <w:szCs w:val="22"/>
          <w:lang w:val="es-ES_tradnl"/>
        </w:rPr>
        <w:t>del 6 de agosto de 2010</w:t>
      </w:r>
      <w:r w:rsidR="00C2393A" w:rsidRPr="00B73D58">
        <w:rPr>
          <w:rFonts w:ascii="Arial" w:eastAsia="Calibri" w:hAnsi="Arial" w:cs="Arial"/>
          <w:sz w:val="22"/>
          <w:szCs w:val="22"/>
          <w:lang w:val="es-ES_tradnl"/>
        </w:rPr>
        <w:t>, «El Estado colombiano reconoce a los Rom o Gitanos como un grupo étnico con una identidad cultural propia, que mantiene una conciencia étnica particular, que posee su propia forma de organización social, posee su propia lengua y que ha definido históricamente sus propias instituciones políticas y sociales»</w:t>
      </w:r>
      <w:r w:rsidR="00B41BCA" w:rsidRPr="00B73D58">
        <w:rPr>
          <w:rStyle w:val="Refdenotaalpie"/>
          <w:rFonts w:ascii="Arial" w:eastAsia="Calibri" w:hAnsi="Arial" w:cs="Arial"/>
          <w:sz w:val="22"/>
          <w:szCs w:val="22"/>
          <w:lang w:val="es-ES_tradnl"/>
        </w:rPr>
        <w:footnoteReference w:id="17"/>
      </w:r>
      <w:r w:rsidR="00C2393A" w:rsidRPr="00B73D58">
        <w:rPr>
          <w:rFonts w:ascii="Arial" w:eastAsia="Calibri" w:hAnsi="Arial" w:cs="Arial"/>
          <w:sz w:val="22"/>
          <w:szCs w:val="22"/>
          <w:lang w:val="es-ES_tradnl"/>
        </w:rPr>
        <w:t>.</w:t>
      </w:r>
      <w:r w:rsidR="00B41BCA" w:rsidRPr="00B73D58">
        <w:rPr>
          <w:rFonts w:ascii="Arial" w:eastAsia="Calibri" w:hAnsi="Arial" w:cs="Arial"/>
          <w:sz w:val="22"/>
          <w:szCs w:val="22"/>
          <w:lang w:val="es-ES_tradnl"/>
        </w:rPr>
        <w:t xml:space="preserve"> L</w:t>
      </w:r>
      <w:r w:rsidR="00370AC8" w:rsidRPr="00B73D58">
        <w:rPr>
          <w:rFonts w:ascii="Arial" w:eastAsia="Calibri" w:hAnsi="Arial" w:cs="Arial"/>
          <w:sz w:val="22"/>
          <w:szCs w:val="22"/>
          <w:lang w:val="es-ES_tradnl"/>
        </w:rPr>
        <w:t>o importante es que l</w:t>
      </w:r>
      <w:r w:rsidR="00B41BCA" w:rsidRPr="00B73D58">
        <w:rPr>
          <w:rFonts w:ascii="Arial" w:eastAsia="Calibri" w:hAnsi="Arial" w:cs="Arial"/>
          <w:sz w:val="22"/>
          <w:szCs w:val="22"/>
          <w:lang w:val="es-ES_tradnl"/>
        </w:rPr>
        <w:t>a competencia para la caracterización y registro de</w:t>
      </w:r>
      <w:r w:rsidR="00E61EFF" w:rsidRPr="00B73D58">
        <w:rPr>
          <w:rFonts w:ascii="Arial" w:eastAsia="Calibri" w:hAnsi="Arial" w:cs="Arial"/>
          <w:sz w:val="22"/>
          <w:szCs w:val="22"/>
          <w:lang w:val="es-ES_tradnl"/>
        </w:rPr>
        <w:t xml:space="preserve"> cualquiera</w:t>
      </w:r>
      <w:r w:rsidR="00B41BCA" w:rsidRPr="00B73D58">
        <w:rPr>
          <w:rFonts w:ascii="Arial" w:eastAsia="Calibri" w:hAnsi="Arial" w:cs="Arial"/>
          <w:sz w:val="22"/>
          <w:szCs w:val="22"/>
          <w:lang w:val="es-ES_tradnl"/>
        </w:rPr>
        <w:t xml:space="preserve"> </w:t>
      </w:r>
      <w:r w:rsidR="00E61EFF" w:rsidRPr="00B73D58">
        <w:rPr>
          <w:rFonts w:ascii="Arial" w:eastAsia="Calibri" w:hAnsi="Arial" w:cs="Arial"/>
          <w:sz w:val="22"/>
          <w:szCs w:val="22"/>
          <w:lang w:val="es-ES_tradnl"/>
        </w:rPr>
        <w:t>de</w:t>
      </w:r>
      <w:r w:rsidR="00B41BCA" w:rsidRPr="00B73D58">
        <w:rPr>
          <w:rFonts w:ascii="Arial" w:eastAsia="Calibri" w:hAnsi="Arial" w:cs="Arial"/>
          <w:sz w:val="22"/>
          <w:szCs w:val="22"/>
          <w:lang w:val="es-ES_tradnl"/>
        </w:rPr>
        <w:t xml:space="preserve"> </w:t>
      </w:r>
      <w:r w:rsidR="00E61EFF" w:rsidRPr="00B73D58">
        <w:rPr>
          <w:rFonts w:ascii="Arial" w:eastAsia="Calibri" w:hAnsi="Arial" w:cs="Arial"/>
          <w:sz w:val="22"/>
          <w:szCs w:val="22"/>
          <w:lang w:val="es-ES_tradnl"/>
        </w:rPr>
        <w:t xml:space="preserve">los </w:t>
      </w:r>
      <w:r w:rsidR="00B41BCA" w:rsidRPr="00B73D58">
        <w:rPr>
          <w:rFonts w:ascii="Arial" w:eastAsia="Calibri" w:hAnsi="Arial" w:cs="Arial"/>
          <w:sz w:val="22"/>
          <w:szCs w:val="22"/>
          <w:lang w:val="es-ES_tradnl"/>
        </w:rPr>
        <w:t xml:space="preserve">grupos poblacionales </w:t>
      </w:r>
      <w:r w:rsidR="00E61EFF" w:rsidRPr="00B73D58">
        <w:rPr>
          <w:rFonts w:ascii="Arial" w:eastAsia="Calibri" w:hAnsi="Arial" w:cs="Arial"/>
          <w:sz w:val="22"/>
          <w:szCs w:val="22"/>
          <w:lang w:val="es-ES_tradnl"/>
        </w:rPr>
        <w:t xml:space="preserve">anteriormente mencionados </w:t>
      </w:r>
      <w:r w:rsidR="00B41BCA" w:rsidRPr="00B73D58">
        <w:rPr>
          <w:rFonts w:ascii="Arial" w:eastAsia="Calibri" w:hAnsi="Arial" w:cs="Arial"/>
          <w:sz w:val="22"/>
          <w:szCs w:val="22"/>
          <w:lang w:val="es-ES_tradnl"/>
        </w:rPr>
        <w:t>reside en el Ministerio del Interior</w:t>
      </w:r>
      <w:r w:rsidR="00F80A0A" w:rsidRPr="00B73D58">
        <w:rPr>
          <w:rFonts w:ascii="Arial" w:eastAsia="Calibri" w:hAnsi="Arial" w:cs="Arial"/>
          <w:sz w:val="22"/>
          <w:szCs w:val="22"/>
          <w:lang w:val="es-ES_tradnl"/>
        </w:rPr>
        <w:t>, el Ministerio de Cultura y el Departamento Nacional de Estadística –DANE–, por lo cual se sugiere complementar esta información con dichas entidades</w:t>
      </w:r>
      <w:r w:rsidR="00D61C39" w:rsidRPr="00B73D58">
        <w:rPr>
          <w:rFonts w:ascii="Arial" w:eastAsia="Calibri" w:hAnsi="Arial" w:cs="Arial"/>
          <w:sz w:val="22"/>
          <w:szCs w:val="22"/>
          <w:lang w:val="es-ES_tradnl"/>
        </w:rPr>
        <w:t>.</w:t>
      </w:r>
    </w:p>
    <w:p w14:paraId="0E4B5CD6" w14:textId="1488632F" w:rsidR="00215B01" w:rsidRPr="00B73D58" w:rsidRDefault="006C4B85" w:rsidP="00E9170E">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 xml:space="preserve">Frente al numeral </w:t>
      </w:r>
      <w:r w:rsidR="00DA2E5F" w:rsidRPr="00B73D58">
        <w:rPr>
          <w:rFonts w:ascii="Arial" w:eastAsia="Calibri" w:hAnsi="Arial" w:cs="Arial"/>
          <w:sz w:val="22"/>
          <w:szCs w:val="22"/>
          <w:lang w:val="es-ES_tradnl"/>
        </w:rPr>
        <w:t>6 del artículo 35 de la Ley 2069 de 2020, que se refiere a las</w:t>
      </w:r>
      <w:r w:rsidR="00D61C39" w:rsidRPr="00B73D58">
        <w:rPr>
          <w:rFonts w:ascii="Arial" w:eastAsia="Calibri" w:hAnsi="Arial" w:cs="Arial"/>
          <w:sz w:val="22"/>
          <w:szCs w:val="22"/>
          <w:lang w:val="es-ES_tradnl"/>
        </w:rPr>
        <w:t xml:space="preserve"> propuestas de «personas en proceso de reintegración o reincorporación»</w:t>
      </w:r>
      <w:r w:rsidR="005D209E" w:rsidRPr="00B73D58">
        <w:rPr>
          <w:rFonts w:ascii="Arial" w:eastAsia="Calibri" w:hAnsi="Arial" w:cs="Arial"/>
          <w:sz w:val="22"/>
          <w:szCs w:val="22"/>
          <w:lang w:val="es-ES_tradnl"/>
        </w:rPr>
        <w:t xml:space="preserve">, </w:t>
      </w:r>
      <w:r w:rsidR="00736700" w:rsidRPr="00B73D58">
        <w:rPr>
          <w:rFonts w:ascii="Arial" w:eastAsia="Calibri" w:hAnsi="Arial" w:cs="Arial"/>
          <w:sz w:val="22"/>
          <w:szCs w:val="22"/>
          <w:lang w:val="es-ES_tradnl"/>
        </w:rPr>
        <w:t>vale</w:t>
      </w:r>
      <w:r w:rsidR="00BA20B6" w:rsidRPr="00B73D58">
        <w:rPr>
          <w:rFonts w:ascii="Arial" w:eastAsia="Calibri" w:hAnsi="Arial" w:cs="Arial"/>
          <w:sz w:val="22"/>
          <w:szCs w:val="22"/>
          <w:lang w:val="es-ES_tradnl"/>
        </w:rPr>
        <w:t xml:space="preserve"> señalar que se trata de aquellas personas que hayan pertenecido a grupos al margen de la </w:t>
      </w:r>
      <w:r w:rsidR="0007357C" w:rsidRPr="00B73D58">
        <w:rPr>
          <w:rFonts w:ascii="Arial" w:eastAsia="Calibri" w:hAnsi="Arial" w:cs="Arial"/>
          <w:sz w:val="22"/>
          <w:szCs w:val="22"/>
          <w:lang w:val="es-ES_tradnl"/>
        </w:rPr>
        <w:t>ley y que se encuentren en proceso de reintegración a la sociedad</w:t>
      </w:r>
      <w:r w:rsidR="00535D15" w:rsidRPr="00B73D58">
        <w:rPr>
          <w:rFonts w:ascii="Arial" w:eastAsia="Calibri" w:hAnsi="Arial" w:cs="Arial"/>
          <w:sz w:val="22"/>
          <w:szCs w:val="22"/>
          <w:lang w:val="es-ES_tradnl"/>
        </w:rPr>
        <w:t xml:space="preserve">. La Agencia para la </w:t>
      </w:r>
      <w:r w:rsidR="00ED24E0" w:rsidRPr="00B73D58">
        <w:rPr>
          <w:rFonts w:ascii="Arial" w:eastAsia="Calibri" w:hAnsi="Arial" w:cs="Arial"/>
          <w:sz w:val="22"/>
          <w:szCs w:val="22"/>
          <w:lang w:val="es-ES_tradnl"/>
        </w:rPr>
        <w:t>Reincorporación y</w:t>
      </w:r>
      <w:r w:rsidR="00535D15" w:rsidRPr="00B73D58">
        <w:rPr>
          <w:rFonts w:ascii="Arial" w:eastAsia="Calibri" w:hAnsi="Arial" w:cs="Arial"/>
          <w:sz w:val="22"/>
          <w:szCs w:val="22"/>
          <w:lang w:val="es-ES_tradnl"/>
        </w:rPr>
        <w:t xml:space="preserve"> la Normalización –ARN–</w:t>
      </w:r>
      <w:r w:rsidR="00167D1A" w:rsidRPr="00B73D58">
        <w:rPr>
          <w:rFonts w:ascii="Arial" w:eastAsia="Calibri" w:hAnsi="Arial" w:cs="Arial"/>
          <w:sz w:val="22"/>
          <w:szCs w:val="22"/>
          <w:lang w:val="es-ES_tradnl"/>
        </w:rPr>
        <w:t>, es la «</w:t>
      </w:r>
      <w:r w:rsidR="00167D1A" w:rsidRPr="00B73D58">
        <w:rPr>
          <w:lang w:val="es-ES_tradnl"/>
        </w:rPr>
        <w:t xml:space="preserve">[…] </w:t>
      </w:r>
      <w:r w:rsidR="00167D1A" w:rsidRPr="00B73D58">
        <w:rPr>
          <w:rFonts w:ascii="Arial" w:eastAsia="Calibri" w:hAnsi="Arial" w:cs="Arial"/>
          <w:sz w:val="22"/>
          <w:szCs w:val="22"/>
          <w:lang w:val="es-ES_tradnl"/>
        </w:rPr>
        <w:t xml:space="preserve">entidad adscrita a la Presidencia de la República, que está encargada de coordinar, asesorar y ejecutar </w:t>
      </w:r>
      <w:r w:rsidR="00736700" w:rsidRPr="00B73D58">
        <w:rPr>
          <w:rFonts w:ascii="Arial" w:eastAsia="Calibri" w:hAnsi="Arial" w:cs="Arial"/>
          <w:sz w:val="22"/>
          <w:szCs w:val="22"/>
          <w:lang w:val="es-ES_tradnl"/>
        </w:rPr>
        <w:t>–</w:t>
      </w:r>
      <w:r w:rsidR="00167D1A" w:rsidRPr="00B73D58">
        <w:rPr>
          <w:rFonts w:ascii="Arial" w:eastAsia="Calibri" w:hAnsi="Arial" w:cs="Arial"/>
          <w:sz w:val="22"/>
          <w:szCs w:val="22"/>
          <w:lang w:val="es-ES_tradnl"/>
        </w:rPr>
        <w:t>con otras entidades públicas y privadas</w:t>
      </w:r>
      <w:r w:rsidR="00736700" w:rsidRPr="00B73D58">
        <w:rPr>
          <w:rFonts w:ascii="Arial" w:eastAsia="Calibri" w:hAnsi="Arial" w:cs="Arial"/>
          <w:sz w:val="22"/>
          <w:szCs w:val="22"/>
          <w:lang w:val="es-ES_tradnl"/>
        </w:rPr>
        <w:t>–</w:t>
      </w:r>
      <w:r w:rsidR="00167D1A" w:rsidRPr="00B73D58">
        <w:rPr>
          <w:rFonts w:ascii="Arial" w:eastAsia="Calibri" w:hAnsi="Arial" w:cs="Arial"/>
          <w:sz w:val="22"/>
          <w:szCs w:val="22"/>
          <w:lang w:val="es-ES_tradnl"/>
        </w:rPr>
        <w:t xml:space="preserve"> la Ruta de Reintegración de las personas desmovilizadas de los grupos armados al margen de la ley»</w:t>
      </w:r>
      <w:r w:rsidR="00167D1A" w:rsidRPr="00B73D58">
        <w:rPr>
          <w:rStyle w:val="Refdenotaalpie"/>
          <w:rFonts w:ascii="Arial" w:eastAsia="Calibri" w:hAnsi="Arial" w:cs="Arial"/>
          <w:sz w:val="22"/>
          <w:szCs w:val="22"/>
          <w:lang w:val="es-ES_tradnl"/>
        </w:rPr>
        <w:footnoteReference w:id="18"/>
      </w:r>
      <w:r w:rsidR="00ED24E0" w:rsidRPr="00B73D58">
        <w:rPr>
          <w:rFonts w:ascii="Arial" w:eastAsia="Calibri" w:hAnsi="Arial" w:cs="Arial"/>
          <w:sz w:val="22"/>
          <w:szCs w:val="22"/>
          <w:lang w:val="es-ES_tradnl"/>
        </w:rPr>
        <w:t>. P</w:t>
      </w:r>
      <w:r w:rsidR="00215B01" w:rsidRPr="00B73D58">
        <w:rPr>
          <w:rFonts w:ascii="Arial" w:eastAsia="Calibri" w:hAnsi="Arial" w:cs="Arial"/>
          <w:sz w:val="22"/>
          <w:szCs w:val="22"/>
          <w:lang w:val="es-ES_tradnl"/>
        </w:rPr>
        <w:t>or tanto</w:t>
      </w:r>
      <w:r w:rsidR="00736700" w:rsidRPr="00B73D58">
        <w:rPr>
          <w:rFonts w:ascii="Arial" w:eastAsia="Calibri" w:hAnsi="Arial" w:cs="Arial"/>
          <w:sz w:val="22"/>
          <w:szCs w:val="22"/>
          <w:lang w:val="es-ES_tradnl"/>
        </w:rPr>
        <w:t>,</w:t>
      </w:r>
      <w:r w:rsidR="00215B01" w:rsidRPr="00B73D58">
        <w:rPr>
          <w:rFonts w:ascii="Arial" w:eastAsia="Calibri" w:hAnsi="Arial" w:cs="Arial"/>
          <w:sz w:val="22"/>
          <w:szCs w:val="22"/>
          <w:lang w:val="es-ES_tradnl"/>
        </w:rPr>
        <w:t xml:space="preserve"> ante ella se puede obtener información sobre la acreditación de dicha circunstancia.</w:t>
      </w:r>
    </w:p>
    <w:p w14:paraId="38EB441A" w14:textId="04AE58EC" w:rsidR="00D37BB3" w:rsidRPr="00B73D58" w:rsidRDefault="00331468" w:rsidP="00E9170E">
      <w:pPr>
        <w:spacing w:before="120" w:line="276" w:lineRule="auto"/>
        <w:ind w:firstLine="709"/>
        <w:jc w:val="both"/>
        <w:rPr>
          <w:rFonts w:ascii="Arial" w:eastAsia="Calibri" w:hAnsi="Arial" w:cs="Arial"/>
          <w:sz w:val="22"/>
          <w:szCs w:val="22"/>
          <w:lang w:val="es-ES_tradnl"/>
        </w:rPr>
      </w:pPr>
      <w:r w:rsidRPr="00B73D58">
        <w:rPr>
          <w:rFonts w:ascii="Arial" w:eastAsia="Calibri" w:hAnsi="Arial" w:cs="Arial"/>
          <w:sz w:val="22"/>
          <w:szCs w:val="22"/>
          <w:lang w:val="es-ES_tradnl"/>
        </w:rPr>
        <w:t xml:space="preserve">Finalmente, respecto </w:t>
      </w:r>
      <w:r w:rsidR="00FE076E">
        <w:rPr>
          <w:rFonts w:ascii="Arial" w:eastAsia="Calibri" w:hAnsi="Arial" w:cs="Arial"/>
          <w:sz w:val="22"/>
          <w:szCs w:val="22"/>
          <w:lang w:val="es-ES_tradnl"/>
        </w:rPr>
        <w:t xml:space="preserve">de </w:t>
      </w:r>
      <w:r w:rsidR="00457C82" w:rsidRPr="00B73D58">
        <w:rPr>
          <w:rFonts w:ascii="Arial" w:eastAsia="Calibri" w:hAnsi="Arial" w:cs="Arial"/>
          <w:sz w:val="22"/>
          <w:szCs w:val="22"/>
          <w:lang w:val="es-ES_tradnl"/>
        </w:rPr>
        <w:t>l</w:t>
      </w:r>
      <w:r w:rsidR="00215B01" w:rsidRPr="00B73D58">
        <w:rPr>
          <w:rFonts w:ascii="Arial" w:eastAsia="Calibri" w:hAnsi="Arial" w:cs="Arial"/>
          <w:sz w:val="22"/>
          <w:szCs w:val="22"/>
          <w:lang w:val="es-ES_tradnl"/>
        </w:rPr>
        <w:t xml:space="preserve">as situaciones </w:t>
      </w:r>
      <w:r w:rsidR="00BD337A" w:rsidRPr="00B73D58">
        <w:rPr>
          <w:rFonts w:ascii="Arial" w:eastAsia="Calibri" w:hAnsi="Arial" w:cs="Arial"/>
          <w:sz w:val="22"/>
          <w:szCs w:val="22"/>
          <w:lang w:val="es-ES_tradnl"/>
        </w:rPr>
        <w:t xml:space="preserve">mencionadas en el numeral 7 del artículo 35 de la Ley bajo análisis tienen que ver con </w:t>
      </w:r>
      <w:r w:rsidR="00E127D1" w:rsidRPr="00B73D58">
        <w:rPr>
          <w:rFonts w:ascii="Arial" w:eastAsia="Calibri" w:hAnsi="Arial" w:cs="Arial"/>
          <w:sz w:val="22"/>
          <w:szCs w:val="22"/>
          <w:lang w:val="es-ES_tradnl"/>
        </w:rPr>
        <w:t>las madres cabeza de familia y con las personas en proceso de reincorporación o reintegración, razón por la cual caben las mismas consideraciones hechas frente a los numerales 2 y 6. La participación de estas personas en la forma asociativa –consorcio o unión temporal</w:t>
      </w:r>
      <w:r w:rsidR="00A01C35" w:rsidRPr="00B73D58">
        <w:rPr>
          <w:rFonts w:ascii="Arial" w:eastAsia="Calibri" w:hAnsi="Arial" w:cs="Arial"/>
          <w:sz w:val="22"/>
          <w:szCs w:val="22"/>
          <w:lang w:val="es-ES_tradnl"/>
        </w:rPr>
        <w:t xml:space="preserve">– se debe acreditar en el correspondiente </w:t>
      </w:r>
      <w:r w:rsidR="00A01C35" w:rsidRPr="00B73D58">
        <w:rPr>
          <w:rFonts w:ascii="Arial" w:eastAsia="Calibri" w:hAnsi="Arial" w:cs="Arial"/>
          <w:sz w:val="22"/>
          <w:szCs w:val="22"/>
          <w:lang w:val="es-ES_tradnl"/>
        </w:rPr>
        <w:lastRenderedPageBreak/>
        <w:t>acuerdo privado de constitución del proponente plural y en el certificado de existencia y representación legal, tratándose de personas jurídicas.</w:t>
      </w:r>
    </w:p>
    <w:p w14:paraId="1523A9FF" w14:textId="77777777" w:rsidR="0016204B" w:rsidRPr="00B73D58" w:rsidRDefault="0016204B" w:rsidP="00510DE9">
      <w:pPr>
        <w:tabs>
          <w:tab w:val="left" w:pos="0"/>
        </w:tabs>
        <w:jc w:val="both"/>
        <w:rPr>
          <w:rFonts w:ascii="Arial" w:eastAsia="Calibri" w:hAnsi="Arial" w:cs="Arial"/>
          <w:b/>
          <w:sz w:val="22"/>
          <w:lang w:val="es-ES_tradnl"/>
        </w:rPr>
      </w:pPr>
    </w:p>
    <w:p w14:paraId="37CA9805" w14:textId="2BBD3840" w:rsidR="00DD5B04" w:rsidRPr="00B73D58" w:rsidRDefault="004177A6" w:rsidP="00510DE9">
      <w:pPr>
        <w:tabs>
          <w:tab w:val="left" w:pos="0"/>
        </w:tabs>
        <w:jc w:val="both"/>
        <w:rPr>
          <w:rFonts w:ascii="Arial" w:eastAsia="Calibri" w:hAnsi="Arial" w:cs="Arial"/>
          <w:b/>
          <w:sz w:val="22"/>
          <w:lang w:val="es-ES_tradnl"/>
        </w:rPr>
      </w:pPr>
      <w:r w:rsidRPr="00B73D58">
        <w:rPr>
          <w:rFonts w:ascii="Arial" w:eastAsia="Calibri" w:hAnsi="Arial" w:cs="Arial"/>
          <w:b/>
          <w:sz w:val="22"/>
          <w:lang w:val="es-ES_tradnl"/>
        </w:rPr>
        <w:t>3</w:t>
      </w:r>
      <w:r w:rsidR="00B011A9" w:rsidRPr="00B73D58">
        <w:rPr>
          <w:rFonts w:ascii="Arial" w:eastAsia="Calibri" w:hAnsi="Arial" w:cs="Arial"/>
          <w:b/>
          <w:sz w:val="22"/>
          <w:lang w:val="es-ES_tradnl"/>
        </w:rPr>
        <w:t xml:space="preserve">. </w:t>
      </w:r>
      <w:r w:rsidR="00DD5B04" w:rsidRPr="00B73D58">
        <w:rPr>
          <w:rFonts w:ascii="Arial" w:eastAsia="Calibri" w:hAnsi="Arial" w:cs="Arial"/>
          <w:b/>
          <w:sz w:val="22"/>
          <w:lang w:val="es-ES_tradnl"/>
        </w:rPr>
        <w:t>Respuesta</w:t>
      </w:r>
    </w:p>
    <w:p w14:paraId="0B74D5B8" w14:textId="7F0A7F13" w:rsidR="00C4581D" w:rsidRPr="00B73D58" w:rsidRDefault="00C4581D" w:rsidP="00510DE9">
      <w:pPr>
        <w:tabs>
          <w:tab w:val="left" w:pos="0"/>
        </w:tabs>
        <w:jc w:val="both"/>
        <w:rPr>
          <w:rFonts w:ascii="Arial" w:eastAsia="Calibri" w:hAnsi="Arial" w:cs="Arial"/>
          <w:sz w:val="22"/>
          <w:lang w:val="es-ES_tradnl"/>
        </w:rPr>
      </w:pPr>
    </w:p>
    <w:p w14:paraId="784D37FE" w14:textId="45C042B1" w:rsidR="00B46FED" w:rsidRDefault="00B46FED" w:rsidP="00C62241">
      <w:pPr>
        <w:spacing w:after="120"/>
        <w:ind w:left="709" w:right="709"/>
        <w:jc w:val="both"/>
        <w:rPr>
          <w:rFonts w:ascii="Arial" w:hAnsi="Arial" w:cs="Arial"/>
          <w:sz w:val="21"/>
          <w:szCs w:val="21"/>
          <w:lang w:val="es-ES_tradnl"/>
        </w:rPr>
      </w:pPr>
      <w:r w:rsidRPr="00B46FED">
        <w:rPr>
          <w:rFonts w:ascii="Arial" w:hAnsi="Arial" w:cs="Arial"/>
          <w:sz w:val="21"/>
          <w:szCs w:val="21"/>
          <w:lang w:val="es-ES_tradnl"/>
        </w:rPr>
        <w:t>i) «¿Cuáles son los documentos idóneos para acreditar los factores de desempate establecidos en los numerales 2,4,5,6 y 7 del artículo 35 de la Ley 2069 del 2020?»</w:t>
      </w:r>
      <w:r>
        <w:rPr>
          <w:rFonts w:ascii="Arial" w:hAnsi="Arial" w:cs="Arial"/>
          <w:sz w:val="21"/>
          <w:szCs w:val="21"/>
          <w:lang w:val="es-ES_tradnl"/>
        </w:rPr>
        <w:t>.</w:t>
      </w:r>
    </w:p>
    <w:p w14:paraId="75838D0F" w14:textId="1E1C0427" w:rsidR="00457C82" w:rsidRPr="00B73D58" w:rsidRDefault="00B46FED" w:rsidP="00457C82">
      <w:pPr>
        <w:ind w:left="709" w:right="709"/>
        <w:jc w:val="both"/>
        <w:rPr>
          <w:rFonts w:ascii="Arial" w:hAnsi="Arial" w:cs="Arial"/>
          <w:sz w:val="21"/>
          <w:szCs w:val="21"/>
          <w:lang w:val="es-ES_tradnl"/>
        </w:rPr>
      </w:pPr>
      <w:r w:rsidRPr="00B46FED">
        <w:rPr>
          <w:rFonts w:ascii="Arial" w:hAnsi="Arial" w:cs="Arial"/>
          <w:sz w:val="21"/>
          <w:szCs w:val="21"/>
          <w:lang w:val="es-ES_tradnl"/>
        </w:rPr>
        <w:t>ii) «¿Quiénes son las entidades competentes para expedir la documentación con la cual se acreditarán los factores de desempate establecidos en los numerales 2,4,5,6 y 7 del artículo 35 de la Ley 2069 del 2020?»</w:t>
      </w:r>
      <w:r w:rsidR="00457C82" w:rsidRPr="00B73D58">
        <w:rPr>
          <w:rFonts w:ascii="Arial" w:hAnsi="Arial" w:cs="Arial"/>
          <w:sz w:val="21"/>
          <w:szCs w:val="21"/>
          <w:lang w:val="es-ES_tradnl"/>
        </w:rPr>
        <w:t xml:space="preserve"> </w:t>
      </w:r>
    </w:p>
    <w:p w14:paraId="52A9DECC" w14:textId="77777777" w:rsidR="00457C82" w:rsidRPr="00B73D58" w:rsidRDefault="00457C82" w:rsidP="00457C82">
      <w:pPr>
        <w:spacing w:line="276" w:lineRule="auto"/>
        <w:jc w:val="both"/>
        <w:rPr>
          <w:rFonts w:ascii="Arial" w:eastAsia="Calibri" w:hAnsi="Arial" w:cs="Arial"/>
          <w:sz w:val="22"/>
          <w:szCs w:val="22"/>
          <w:lang w:val="es-ES_tradnl"/>
        </w:rPr>
      </w:pPr>
    </w:p>
    <w:p w14:paraId="4AF7CFFE" w14:textId="057BDB75" w:rsidR="00773B15" w:rsidRPr="00B73D58" w:rsidRDefault="0073065B" w:rsidP="00C62241">
      <w:pPr>
        <w:spacing w:after="120" w:line="276" w:lineRule="auto"/>
        <w:jc w:val="both"/>
        <w:rPr>
          <w:rFonts w:ascii="Arial" w:hAnsi="Arial" w:cs="Arial"/>
          <w:sz w:val="22"/>
          <w:szCs w:val="22"/>
          <w:lang w:val="es-ES_tradnl"/>
        </w:rPr>
      </w:pPr>
      <w:r>
        <w:rPr>
          <w:rFonts w:ascii="Arial" w:eastAsia="Calibri" w:hAnsi="Arial" w:cs="Arial"/>
          <w:sz w:val="22"/>
          <w:szCs w:val="22"/>
          <w:lang w:val="es-ES_tradnl"/>
        </w:rPr>
        <w:t>L</w:t>
      </w:r>
      <w:r w:rsidR="004636CC" w:rsidRPr="00B73D58">
        <w:rPr>
          <w:rFonts w:ascii="Arial" w:eastAsia="Calibri" w:hAnsi="Arial" w:cs="Arial"/>
          <w:sz w:val="22"/>
          <w:szCs w:val="22"/>
          <w:lang w:val="es-ES_tradnl"/>
        </w:rPr>
        <w:t>os</w:t>
      </w:r>
      <w:r>
        <w:rPr>
          <w:rFonts w:ascii="Arial" w:eastAsia="Calibri" w:hAnsi="Arial" w:cs="Arial"/>
          <w:sz w:val="22"/>
          <w:szCs w:val="22"/>
          <w:lang w:val="es-ES_tradnl"/>
        </w:rPr>
        <w:t xml:space="preserve"> factores de desempate previstos en los</w:t>
      </w:r>
      <w:r w:rsidR="004636CC" w:rsidRPr="00B73D58">
        <w:rPr>
          <w:rFonts w:ascii="Arial" w:eastAsia="Calibri" w:hAnsi="Arial" w:cs="Arial"/>
          <w:sz w:val="22"/>
          <w:szCs w:val="22"/>
          <w:lang w:val="es-ES_tradnl"/>
        </w:rPr>
        <w:t xml:space="preserve"> numerales </w:t>
      </w:r>
      <w:r w:rsidR="004636CC" w:rsidRPr="00B73D58">
        <w:rPr>
          <w:rFonts w:ascii="Arial" w:hAnsi="Arial" w:cs="Arial"/>
          <w:sz w:val="22"/>
          <w:szCs w:val="22"/>
          <w:lang w:val="es-ES_tradnl"/>
        </w:rPr>
        <w:t>2, 4, 5, 6</w:t>
      </w:r>
      <w:r w:rsidR="00457C82" w:rsidRPr="00B73D58">
        <w:rPr>
          <w:rFonts w:ascii="Arial" w:hAnsi="Arial" w:cs="Arial"/>
          <w:sz w:val="22"/>
          <w:szCs w:val="22"/>
          <w:lang w:val="es-ES_tradnl"/>
        </w:rPr>
        <w:t xml:space="preserve"> y</w:t>
      </w:r>
      <w:r w:rsidR="004636CC" w:rsidRPr="00B73D58">
        <w:rPr>
          <w:rFonts w:ascii="Arial" w:hAnsi="Arial" w:cs="Arial"/>
          <w:sz w:val="22"/>
          <w:szCs w:val="22"/>
          <w:lang w:val="es-ES_tradnl"/>
        </w:rPr>
        <w:t xml:space="preserve"> 7 del artículo 35 de la Ley 2069 de 2020 </w:t>
      </w:r>
      <w:r w:rsidR="0054726C" w:rsidRPr="00B73D58">
        <w:rPr>
          <w:rFonts w:ascii="Arial" w:hAnsi="Arial" w:cs="Arial"/>
          <w:sz w:val="22"/>
          <w:szCs w:val="22"/>
          <w:lang w:val="es-ES_tradnl"/>
        </w:rPr>
        <w:t>no</w:t>
      </w:r>
      <w:r w:rsidR="00457C82" w:rsidRPr="00B73D58">
        <w:rPr>
          <w:rFonts w:ascii="Arial" w:hAnsi="Arial" w:cs="Arial"/>
          <w:sz w:val="22"/>
          <w:szCs w:val="22"/>
          <w:lang w:val="es-ES_tradnl"/>
        </w:rPr>
        <w:t xml:space="preserve"> </w:t>
      </w:r>
      <w:r w:rsidR="0054726C" w:rsidRPr="00B73D58">
        <w:rPr>
          <w:rFonts w:ascii="Arial" w:hAnsi="Arial" w:cs="Arial"/>
          <w:sz w:val="22"/>
          <w:szCs w:val="22"/>
          <w:lang w:val="es-ES_tradnl"/>
        </w:rPr>
        <w:t xml:space="preserve">establecen </w:t>
      </w:r>
      <w:r w:rsidR="00457C82" w:rsidRPr="00B73D58">
        <w:rPr>
          <w:rFonts w:ascii="Arial" w:hAnsi="Arial" w:cs="Arial"/>
          <w:sz w:val="22"/>
          <w:szCs w:val="22"/>
          <w:lang w:val="es-ES_tradnl"/>
        </w:rPr>
        <w:t>medios</w:t>
      </w:r>
      <w:r w:rsidR="0054726C" w:rsidRPr="00B73D58">
        <w:rPr>
          <w:rFonts w:ascii="Arial" w:hAnsi="Arial" w:cs="Arial"/>
          <w:sz w:val="22"/>
          <w:szCs w:val="22"/>
          <w:lang w:val="es-ES_tradnl"/>
        </w:rPr>
        <w:t xml:space="preserve"> </w:t>
      </w:r>
      <w:r w:rsidR="00FE076E">
        <w:rPr>
          <w:rFonts w:ascii="Arial" w:hAnsi="Arial" w:cs="Arial"/>
          <w:sz w:val="22"/>
          <w:szCs w:val="22"/>
          <w:lang w:val="es-ES_tradnl"/>
        </w:rPr>
        <w:t>probatorios</w:t>
      </w:r>
      <w:r w:rsidR="0054726C" w:rsidRPr="00B73D58">
        <w:rPr>
          <w:rFonts w:ascii="Arial" w:hAnsi="Arial" w:cs="Arial"/>
          <w:sz w:val="22"/>
          <w:szCs w:val="22"/>
          <w:lang w:val="es-ES_tradnl"/>
        </w:rPr>
        <w:t xml:space="preserve"> específico</w:t>
      </w:r>
      <w:r w:rsidR="00457C82" w:rsidRPr="00B73D58">
        <w:rPr>
          <w:rFonts w:ascii="Arial" w:hAnsi="Arial" w:cs="Arial"/>
          <w:sz w:val="22"/>
          <w:szCs w:val="22"/>
          <w:lang w:val="es-ES_tradnl"/>
        </w:rPr>
        <w:t>s</w:t>
      </w:r>
      <w:r w:rsidR="0054726C" w:rsidRPr="00B73D58">
        <w:rPr>
          <w:rFonts w:ascii="Arial" w:hAnsi="Arial" w:cs="Arial"/>
          <w:sz w:val="22"/>
          <w:szCs w:val="22"/>
          <w:lang w:val="es-ES_tradnl"/>
        </w:rPr>
        <w:t xml:space="preserve"> para acreditar las circunstancias a las que se refieren. Por lo tanto, </w:t>
      </w:r>
      <w:r w:rsidR="00887905">
        <w:rPr>
          <w:rFonts w:ascii="Arial" w:hAnsi="Arial" w:cs="Arial"/>
          <w:sz w:val="22"/>
          <w:szCs w:val="22"/>
          <w:lang w:val="es-ES_tradnl"/>
        </w:rPr>
        <w:t xml:space="preserve">conforme a los criterios orientadores descritos en el último apartado de este concepto, </w:t>
      </w:r>
      <w:r w:rsidR="0054726C" w:rsidRPr="00B73D58">
        <w:rPr>
          <w:rFonts w:ascii="Arial" w:hAnsi="Arial" w:cs="Arial"/>
          <w:sz w:val="22"/>
          <w:szCs w:val="22"/>
          <w:lang w:val="es-ES_tradnl"/>
        </w:rPr>
        <w:t>la entidad contratante</w:t>
      </w:r>
      <w:r w:rsidR="00887905">
        <w:rPr>
          <w:rFonts w:ascii="Arial" w:hAnsi="Arial" w:cs="Arial"/>
          <w:sz w:val="22"/>
          <w:szCs w:val="22"/>
          <w:lang w:val="es-ES_tradnl"/>
        </w:rPr>
        <w:t xml:space="preserve"> debe</w:t>
      </w:r>
      <w:r w:rsidR="0054726C" w:rsidRPr="00B73D58">
        <w:rPr>
          <w:rFonts w:ascii="Arial" w:hAnsi="Arial" w:cs="Arial"/>
          <w:sz w:val="22"/>
          <w:szCs w:val="22"/>
          <w:lang w:val="es-ES_tradnl"/>
        </w:rPr>
        <w:t xml:space="preserve"> analizar si el ordenamiento jurídico, en otras disposiciones legales o reglamentarias, exige un documento especial o si, por el contrario, </w:t>
      </w:r>
      <w:r w:rsidR="00E86F92">
        <w:rPr>
          <w:rFonts w:ascii="Arial" w:hAnsi="Arial" w:cs="Arial"/>
          <w:sz w:val="22"/>
          <w:szCs w:val="22"/>
          <w:lang w:val="es-ES_tradnl"/>
        </w:rPr>
        <w:t>existe</w:t>
      </w:r>
      <w:r w:rsidR="0054726C" w:rsidRPr="00B73D58">
        <w:rPr>
          <w:rFonts w:ascii="Arial" w:hAnsi="Arial" w:cs="Arial"/>
          <w:sz w:val="22"/>
          <w:szCs w:val="22"/>
          <w:lang w:val="es-ES_tradnl"/>
        </w:rPr>
        <w:t xml:space="preserve"> libertad probatoria. Este análisis debe realizarse de manera independiente frente a cada numeral. </w:t>
      </w:r>
    </w:p>
    <w:p w14:paraId="599469F9" w14:textId="0D23982B" w:rsidR="004636CC" w:rsidRDefault="00571294" w:rsidP="00CC2530">
      <w:pPr>
        <w:spacing w:line="276" w:lineRule="auto"/>
        <w:ind w:firstLine="709"/>
        <w:jc w:val="both"/>
        <w:rPr>
          <w:rFonts w:ascii="Arial" w:eastAsia="Calibri" w:hAnsi="Arial" w:cs="Arial"/>
          <w:sz w:val="22"/>
          <w:szCs w:val="22"/>
          <w:lang w:val="es-ES_tradnl"/>
        </w:rPr>
      </w:pPr>
      <w:r>
        <w:rPr>
          <w:rFonts w:ascii="Arial" w:hAnsi="Arial" w:cs="Arial"/>
          <w:sz w:val="22"/>
          <w:szCs w:val="22"/>
          <w:lang w:val="es-ES_tradnl"/>
        </w:rPr>
        <w:t>De</w:t>
      </w:r>
      <w:r w:rsidR="0054726C" w:rsidRPr="00B73D58">
        <w:rPr>
          <w:rFonts w:ascii="Arial" w:hAnsi="Arial" w:cs="Arial"/>
          <w:sz w:val="22"/>
          <w:szCs w:val="22"/>
          <w:lang w:val="es-ES_tradnl"/>
        </w:rPr>
        <w:t xml:space="preserve"> no exist</w:t>
      </w:r>
      <w:r>
        <w:rPr>
          <w:rFonts w:ascii="Arial" w:hAnsi="Arial" w:cs="Arial"/>
          <w:sz w:val="22"/>
          <w:szCs w:val="22"/>
          <w:lang w:val="es-ES_tradnl"/>
        </w:rPr>
        <w:t>ir</w:t>
      </w:r>
      <w:r w:rsidR="0054726C" w:rsidRPr="00B73D58">
        <w:rPr>
          <w:rFonts w:ascii="Arial" w:hAnsi="Arial" w:cs="Arial"/>
          <w:sz w:val="22"/>
          <w:szCs w:val="22"/>
          <w:lang w:val="es-ES_tradnl"/>
        </w:rPr>
        <w:t xml:space="preserve">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FE076E">
        <w:rPr>
          <w:rFonts w:ascii="Arial" w:hAnsi="Arial" w:cs="Arial"/>
          <w:sz w:val="22"/>
          <w:szCs w:val="22"/>
          <w:lang w:val="es-ES_tradnl"/>
        </w:rPr>
        <w:t>encuentra</w:t>
      </w:r>
      <w:r w:rsidR="0054726C" w:rsidRPr="00B73D58">
        <w:rPr>
          <w:rFonts w:ascii="Arial" w:hAnsi="Arial" w:cs="Arial"/>
          <w:sz w:val="22"/>
          <w:szCs w:val="22"/>
          <w:lang w:val="es-ES_tradnl"/>
        </w:rPr>
        <w:t xml:space="preserve"> bajo la condición que permite aplicar la regla de desempate</w:t>
      </w:r>
      <w:r w:rsidR="004636CC" w:rsidRPr="00B73D58">
        <w:rPr>
          <w:rFonts w:ascii="Arial" w:eastAsia="Calibri" w:hAnsi="Arial" w:cs="Arial"/>
          <w:sz w:val="22"/>
          <w:szCs w:val="22"/>
          <w:lang w:val="es-ES_tradnl"/>
        </w:rPr>
        <w:t>.</w:t>
      </w:r>
    </w:p>
    <w:p w14:paraId="2FAEBD9A" w14:textId="77777777" w:rsidR="00CC2530" w:rsidRDefault="00CC2530" w:rsidP="00C62241">
      <w:pPr>
        <w:spacing w:line="276" w:lineRule="auto"/>
        <w:ind w:firstLine="709"/>
        <w:jc w:val="both"/>
        <w:rPr>
          <w:rFonts w:ascii="Arial" w:eastAsia="Calibri" w:hAnsi="Arial" w:cs="Arial"/>
          <w:sz w:val="22"/>
          <w:szCs w:val="22"/>
          <w:lang w:val="es-ES_tradnl"/>
        </w:rPr>
      </w:pPr>
    </w:p>
    <w:p w14:paraId="28D97889" w14:textId="6C92F66C" w:rsidR="00CC2530" w:rsidRPr="00C62241" w:rsidRDefault="00B46FED" w:rsidP="005A6D04">
      <w:pPr>
        <w:ind w:left="709" w:right="709"/>
        <w:jc w:val="both"/>
        <w:rPr>
          <w:rFonts w:ascii="Arial" w:eastAsia="Calibri" w:hAnsi="Arial" w:cs="Arial"/>
          <w:sz w:val="21"/>
          <w:szCs w:val="21"/>
          <w:lang w:val="es-ES_tradnl"/>
        </w:rPr>
      </w:pPr>
      <w:r w:rsidRPr="00C62241">
        <w:rPr>
          <w:rFonts w:ascii="Arial" w:eastAsia="Calibri" w:hAnsi="Arial" w:cs="Arial"/>
          <w:sz w:val="21"/>
          <w:szCs w:val="21"/>
          <w:lang w:val="es-ES_tradnl"/>
        </w:rPr>
        <w:t>iii) «De conformidad con el parágrafo tercero del artículo 35 de la Ley 2069, ¿El Gobierno Nacional expedirá reglamentación para la aplicación del artículo 35 de la Ley 2069 del 2020?».</w:t>
      </w:r>
    </w:p>
    <w:p w14:paraId="0E0BA8F3" w14:textId="705D339D" w:rsidR="00CC2530" w:rsidRDefault="00CC2530" w:rsidP="00C62241">
      <w:pPr>
        <w:ind w:left="709" w:right="709"/>
        <w:jc w:val="both"/>
        <w:rPr>
          <w:rFonts w:ascii="Arial" w:eastAsia="Calibri" w:hAnsi="Arial" w:cs="Arial"/>
          <w:sz w:val="22"/>
          <w:szCs w:val="22"/>
          <w:lang w:val="es-ES_tradnl"/>
        </w:rPr>
      </w:pPr>
    </w:p>
    <w:p w14:paraId="7D7D640B" w14:textId="5D0488F1" w:rsidR="00AC2306" w:rsidRPr="00BF1E4A" w:rsidRDefault="001216AB" w:rsidP="00C62241">
      <w:pPr>
        <w:spacing w:after="120" w:line="276" w:lineRule="auto"/>
        <w:jc w:val="both"/>
        <w:rPr>
          <w:rFonts w:ascii="Arial" w:eastAsia="Calibri" w:hAnsi="Arial" w:cs="Arial"/>
          <w:color w:val="000000" w:themeColor="text1"/>
          <w:sz w:val="22"/>
          <w:szCs w:val="22"/>
          <w:lang w:val="es-ES_tradnl"/>
        </w:rPr>
      </w:pPr>
      <w:r w:rsidRPr="00BF1E4A">
        <w:rPr>
          <w:rFonts w:ascii="Arial" w:eastAsia="Calibri" w:hAnsi="Arial" w:cs="Arial"/>
          <w:color w:val="000000" w:themeColor="text1"/>
          <w:sz w:val="22"/>
          <w:szCs w:val="22"/>
          <w:lang w:val="es-ES_tradnl"/>
        </w:rPr>
        <w:t>Sin perjuicio de que</w:t>
      </w:r>
      <w:r w:rsidR="00EB54DE" w:rsidRPr="00BF1E4A">
        <w:rPr>
          <w:rFonts w:ascii="Arial" w:eastAsia="Calibri" w:hAnsi="Arial" w:cs="Arial"/>
          <w:color w:val="000000" w:themeColor="text1"/>
          <w:sz w:val="22"/>
          <w:szCs w:val="22"/>
          <w:lang w:val="es-ES_tradnl"/>
        </w:rPr>
        <w:t xml:space="preserve"> </w:t>
      </w:r>
      <w:r w:rsidRPr="00BF1E4A">
        <w:rPr>
          <w:rFonts w:ascii="Arial" w:eastAsia="Calibri" w:hAnsi="Arial" w:cs="Arial"/>
          <w:color w:val="000000" w:themeColor="text1"/>
          <w:sz w:val="22"/>
          <w:szCs w:val="22"/>
          <w:lang w:val="es-ES_tradnl"/>
        </w:rPr>
        <w:t>el Gobierno Nacional ejerza la potestad reglamentaria para regular los casos en que concurren dos o más de los factores de desempate</w:t>
      </w:r>
      <w:r w:rsidR="00CC2530" w:rsidRPr="00BF1E4A">
        <w:rPr>
          <w:rFonts w:ascii="Arial" w:eastAsia="Calibri" w:hAnsi="Arial" w:cs="Arial"/>
          <w:color w:val="000000" w:themeColor="text1"/>
          <w:sz w:val="22"/>
          <w:szCs w:val="22"/>
          <w:lang w:val="es-ES_tradnl"/>
        </w:rPr>
        <w:t>, se concluye que el artículo 35 de la Ley 2069 de 2020 se encuentra vigente y no requiere de una reglamentación previa para que sea exigible en los procedimientos de selección. En tal sentido, los factores de desempate contemplados en dicha norma rigen desde la fecha de su promulgación, es decir, deben tenerse en cuenta en los procesos de selección que se inicien después del 31 de diciembre de 2020.</w:t>
      </w:r>
      <w:r w:rsidR="00FB7FBA" w:rsidRPr="00BF1E4A">
        <w:rPr>
          <w:rFonts w:ascii="Arial" w:eastAsia="Calibri" w:hAnsi="Arial" w:cs="Arial"/>
          <w:color w:val="000000" w:themeColor="text1"/>
          <w:sz w:val="22"/>
          <w:szCs w:val="22"/>
          <w:lang w:val="es-ES_tradnl"/>
        </w:rPr>
        <w:t xml:space="preserve"> </w:t>
      </w:r>
    </w:p>
    <w:p w14:paraId="5B867AB4" w14:textId="5E6D70A1" w:rsidR="00326920" w:rsidRPr="00B73D58" w:rsidRDefault="00EB54DE" w:rsidP="00326920">
      <w:pPr>
        <w:spacing w:before="120" w:line="276" w:lineRule="auto"/>
        <w:ind w:firstLine="708"/>
        <w:jc w:val="both"/>
        <w:rPr>
          <w:rFonts w:ascii="Arial" w:eastAsia="Calibri" w:hAnsi="Arial" w:cs="Arial"/>
          <w:sz w:val="22"/>
          <w:szCs w:val="22"/>
          <w:lang w:val="es-ES_tradnl"/>
        </w:rPr>
      </w:pPr>
      <w:r w:rsidRPr="00BF1E4A">
        <w:rPr>
          <w:rFonts w:ascii="Arial" w:hAnsi="Arial" w:cs="Arial"/>
          <w:color w:val="000000" w:themeColor="text1"/>
          <w:sz w:val="22"/>
          <w:szCs w:val="22"/>
          <w:lang w:val="es-ES_tradnl"/>
        </w:rPr>
        <w:t>Al respecto, s</w:t>
      </w:r>
      <w:r w:rsidR="00326920" w:rsidRPr="00BF1E4A">
        <w:rPr>
          <w:rFonts w:ascii="Arial" w:hAnsi="Arial" w:cs="Arial"/>
          <w:color w:val="000000" w:themeColor="text1"/>
          <w:sz w:val="22"/>
          <w:szCs w:val="22"/>
          <w:lang w:val="es-ES_tradnl"/>
        </w:rPr>
        <w:t>i bien los factores de desempate regulados en el artículo 35 deben aplicarse «</w:t>
      </w:r>
      <w:r w:rsidR="00326920" w:rsidRPr="00BF1E4A">
        <w:rPr>
          <w:rFonts w:ascii="Arial" w:hAnsi="Arial" w:cs="Arial"/>
          <w:lang w:val="es-ES_tradnl"/>
        </w:rPr>
        <w:t xml:space="preserve">[…] </w:t>
      </w:r>
      <w:r w:rsidR="00326920" w:rsidRPr="00BF1E4A">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w:t>
      </w:r>
      <w:r w:rsidR="00326920" w:rsidRPr="00BF1E4A">
        <w:rPr>
          <w:rFonts w:ascii="Arial" w:hAnsi="Arial" w:cs="Arial"/>
          <w:color w:val="000000" w:themeColor="text1"/>
          <w:sz w:val="22"/>
          <w:szCs w:val="22"/>
          <w:lang w:val="es-ES_tradnl"/>
        </w:rPr>
        <w:lastRenderedPageBreak/>
        <w:t>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00326920" w:rsidRPr="00E87B1F">
        <w:rPr>
          <w:rFonts w:ascii="Arial" w:hAnsi="Arial" w:cs="Arial"/>
          <w:color w:val="000000" w:themeColor="text1"/>
          <w:sz w:val="22"/>
          <w:szCs w:val="22"/>
          <w:lang w:val="es-ES_tradnl"/>
        </w:rPr>
        <w:t xml:space="preserve"> </w:t>
      </w:r>
    </w:p>
    <w:p w14:paraId="4B1643A6" w14:textId="77777777" w:rsidR="00360F9C" w:rsidRPr="00B73D58" w:rsidRDefault="00360F9C" w:rsidP="00B35AC2">
      <w:pPr>
        <w:ind w:right="709"/>
        <w:jc w:val="both"/>
        <w:rPr>
          <w:rFonts w:ascii="Arial" w:hAnsi="Arial" w:cs="Arial"/>
          <w:sz w:val="21"/>
          <w:szCs w:val="21"/>
          <w:lang w:val="es-ES_tradnl"/>
        </w:rPr>
      </w:pPr>
    </w:p>
    <w:p w14:paraId="7B2C921D" w14:textId="0383AF9A" w:rsidR="00DD5B04" w:rsidRPr="00B73D58" w:rsidRDefault="00DD5B04" w:rsidP="00DF76A2">
      <w:pPr>
        <w:spacing w:line="276" w:lineRule="auto"/>
        <w:jc w:val="both"/>
        <w:rPr>
          <w:rFonts w:ascii="Arial" w:hAnsi="Arial" w:cs="Arial"/>
          <w:sz w:val="22"/>
          <w:lang w:val="es-ES_tradnl"/>
        </w:rPr>
      </w:pPr>
      <w:r w:rsidRPr="00B73D58">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B73D58"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692FC307" w14:textId="0482EC8C" w:rsidR="00921304" w:rsidRPr="00B73D58"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B73D58">
        <w:rPr>
          <w:rFonts w:ascii="Arial" w:hAnsi="Arial" w:cs="Arial"/>
          <w:sz w:val="22"/>
          <w:szCs w:val="22"/>
          <w:lang w:val="es-ES_tradnl"/>
        </w:rPr>
        <w:t>Atentamente,</w:t>
      </w:r>
    </w:p>
    <w:p w14:paraId="30AA3DC7" w14:textId="2DDD00F4" w:rsidR="00921304" w:rsidRPr="00B73D58" w:rsidRDefault="00682F37" w:rsidP="00F90C4D">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127A4B76" wp14:editId="78ADB7E5">
            <wp:extent cx="2514600" cy="1114425"/>
            <wp:effectExtent l="0" t="0" r="0" b="9525"/>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B73D58" w:rsidRDefault="00425C43" w:rsidP="00B37657">
      <w:pPr>
        <w:jc w:val="center"/>
        <w:rPr>
          <w:rFonts w:ascii="Arial" w:hAnsi="Arial" w:cs="Arial"/>
          <w:sz w:val="18"/>
          <w:szCs w:val="20"/>
          <w:lang w:val="es-ES_tradnl" w:eastAsia="es-CO"/>
        </w:rPr>
      </w:pPr>
    </w:p>
    <w:p w14:paraId="49730030" w14:textId="217D35F3" w:rsidR="00DD5B04" w:rsidRPr="00B73D58" w:rsidRDefault="00DD5B04" w:rsidP="00B37657">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73D58" w:rsidRPr="00B73D58" w14:paraId="0C7DC5F7" w14:textId="77777777" w:rsidTr="008F4163">
        <w:trPr>
          <w:trHeight w:val="315"/>
        </w:trPr>
        <w:tc>
          <w:tcPr>
            <w:tcW w:w="812" w:type="dxa"/>
            <w:vAlign w:val="center"/>
            <w:hideMark/>
          </w:tcPr>
          <w:p w14:paraId="5BDB1AC9" w14:textId="77777777" w:rsidR="00DD5B04" w:rsidRPr="00B73D58" w:rsidRDefault="00DD5B04" w:rsidP="00DF76A2">
            <w:pPr>
              <w:jc w:val="both"/>
              <w:rPr>
                <w:rFonts w:ascii="Arial" w:hAnsi="Arial" w:cs="Arial"/>
                <w:sz w:val="16"/>
                <w:szCs w:val="16"/>
                <w:lang w:val="es-ES_tradnl" w:eastAsia="es-ES"/>
              </w:rPr>
            </w:pPr>
            <w:r w:rsidRPr="00B73D58">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5FA13AE3" w:rsidR="00DD5B04" w:rsidRPr="00B73D58" w:rsidRDefault="00457C82" w:rsidP="00DF76A2">
            <w:pPr>
              <w:jc w:val="both"/>
              <w:rPr>
                <w:rFonts w:ascii="Arial" w:hAnsi="Arial" w:cs="Arial"/>
                <w:sz w:val="16"/>
                <w:szCs w:val="16"/>
                <w:lang w:val="es-ES_tradnl" w:eastAsia="es-ES"/>
              </w:rPr>
            </w:pPr>
            <w:r w:rsidRPr="00B73D58">
              <w:rPr>
                <w:rFonts w:ascii="Arial" w:hAnsi="Arial" w:cs="Arial"/>
                <w:sz w:val="16"/>
                <w:szCs w:val="16"/>
                <w:lang w:val="es-ES_tradnl" w:eastAsia="es-ES"/>
              </w:rPr>
              <w:t>Alejandro Sarmiento Cantillo</w:t>
            </w:r>
          </w:p>
          <w:p w14:paraId="240C71FD" w14:textId="22BB758F" w:rsidR="00DD5B04" w:rsidRPr="00B73D58" w:rsidRDefault="00457C82" w:rsidP="00DF76A2">
            <w:pPr>
              <w:jc w:val="both"/>
              <w:rPr>
                <w:rFonts w:ascii="Arial" w:hAnsi="Arial" w:cs="Arial"/>
                <w:sz w:val="16"/>
                <w:szCs w:val="16"/>
                <w:lang w:val="es-ES_tradnl" w:eastAsia="es-ES"/>
              </w:rPr>
            </w:pPr>
            <w:r w:rsidRPr="00B73D58">
              <w:rPr>
                <w:rFonts w:ascii="Arial" w:hAnsi="Arial" w:cs="Arial"/>
                <w:sz w:val="16"/>
                <w:szCs w:val="16"/>
                <w:lang w:val="es-ES_tradnl" w:eastAsia="es-ES"/>
              </w:rPr>
              <w:t>Gestor T1-11</w:t>
            </w:r>
            <w:r w:rsidR="00FF0050" w:rsidRPr="00B73D58">
              <w:rPr>
                <w:rFonts w:ascii="Arial" w:hAnsi="Arial" w:cs="Arial"/>
                <w:sz w:val="16"/>
                <w:szCs w:val="16"/>
                <w:lang w:val="es-ES_tradnl" w:eastAsia="es-ES"/>
              </w:rPr>
              <w:t xml:space="preserve"> de la </w:t>
            </w:r>
            <w:r w:rsidR="00DD5B04" w:rsidRPr="00B73D58">
              <w:rPr>
                <w:rFonts w:ascii="Arial" w:hAnsi="Arial" w:cs="Arial"/>
                <w:sz w:val="16"/>
                <w:szCs w:val="16"/>
                <w:lang w:val="es-ES_tradnl" w:eastAsia="es-ES"/>
              </w:rPr>
              <w:t>Subdirección de Gestión Contractual</w:t>
            </w:r>
          </w:p>
        </w:tc>
      </w:tr>
      <w:tr w:rsidR="00B73D58" w:rsidRPr="00B73D58" w14:paraId="2F8FD650" w14:textId="77777777" w:rsidTr="008F4163">
        <w:trPr>
          <w:trHeight w:val="330"/>
        </w:trPr>
        <w:tc>
          <w:tcPr>
            <w:tcW w:w="812" w:type="dxa"/>
            <w:vAlign w:val="center"/>
            <w:hideMark/>
          </w:tcPr>
          <w:p w14:paraId="50203A0B" w14:textId="77777777" w:rsidR="00DD5B04" w:rsidRPr="00B73D58" w:rsidRDefault="00DD5B04" w:rsidP="00DF76A2">
            <w:pPr>
              <w:jc w:val="both"/>
              <w:rPr>
                <w:rFonts w:ascii="Arial" w:hAnsi="Arial" w:cs="Arial"/>
                <w:sz w:val="16"/>
                <w:szCs w:val="16"/>
                <w:lang w:val="es-ES_tradnl" w:eastAsia="es-ES"/>
              </w:rPr>
            </w:pPr>
            <w:r w:rsidRPr="00B73D58">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1ABB4017" w:rsidR="00C05A61" w:rsidRPr="00B73D58" w:rsidRDefault="007D231B" w:rsidP="00C05A61">
            <w:pPr>
              <w:jc w:val="both"/>
              <w:rPr>
                <w:rFonts w:ascii="Arial" w:hAnsi="Arial" w:cs="Arial"/>
                <w:sz w:val="16"/>
                <w:szCs w:val="16"/>
                <w:lang w:val="es-ES_tradnl" w:eastAsia="es-ES"/>
              </w:rPr>
            </w:pPr>
            <w:r w:rsidRPr="00B73D58">
              <w:rPr>
                <w:rFonts w:ascii="Arial" w:hAnsi="Arial" w:cs="Arial"/>
                <w:sz w:val="16"/>
                <w:szCs w:val="16"/>
                <w:lang w:val="es-ES_tradnl" w:eastAsia="es-ES"/>
              </w:rPr>
              <w:t>Juan David Montoya Penagos</w:t>
            </w:r>
          </w:p>
          <w:p w14:paraId="130B3228" w14:textId="31F6F540" w:rsidR="00DD5B04" w:rsidRPr="00B73D58" w:rsidRDefault="00EF5CA8" w:rsidP="00C05A61">
            <w:pPr>
              <w:jc w:val="both"/>
              <w:rPr>
                <w:rFonts w:ascii="Arial" w:hAnsi="Arial" w:cs="Arial"/>
                <w:sz w:val="16"/>
                <w:szCs w:val="16"/>
                <w:lang w:val="es-ES_tradnl" w:eastAsia="es-ES"/>
              </w:rPr>
            </w:pPr>
            <w:r w:rsidRPr="00B73D58">
              <w:rPr>
                <w:rFonts w:ascii="Arial" w:hAnsi="Arial" w:cs="Arial"/>
                <w:sz w:val="16"/>
                <w:szCs w:val="16"/>
                <w:lang w:val="es-ES_tradnl" w:eastAsia="es-ES"/>
              </w:rPr>
              <w:t>Gestor T</w:t>
            </w:r>
            <w:r w:rsidR="00252BA7" w:rsidRPr="00B73D58">
              <w:rPr>
                <w:rFonts w:ascii="Arial" w:hAnsi="Arial" w:cs="Arial"/>
                <w:sz w:val="16"/>
                <w:szCs w:val="16"/>
                <w:lang w:val="es-ES_tradnl" w:eastAsia="es-ES"/>
              </w:rPr>
              <w:t>1</w:t>
            </w:r>
            <w:r w:rsidRPr="00B73D58">
              <w:rPr>
                <w:rFonts w:ascii="Arial" w:hAnsi="Arial" w:cs="Arial"/>
                <w:sz w:val="16"/>
                <w:szCs w:val="16"/>
                <w:lang w:val="es-ES_tradnl" w:eastAsia="es-ES"/>
              </w:rPr>
              <w:t>-15</w:t>
            </w:r>
            <w:r w:rsidR="00252BA7" w:rsidRPr="00B73D58">
              <w:rPr>
                <w:rFonts w:ascii="Arial" w:hAnsi="Arial" w:cs="Arial"/>
                <w:sz w:val="16"/>
                <w:szCs w:val="16"/>
                <w:lang w:val="es-ES_tradnl" w:eastAsia="es-ES"/>
              </w:rPr>
              <w:t xml:space="preserve"> de la Subdirección de Gestión Contractual</w:t>
            </w:r>
          </w:p>
        </w:tc>
      </w:tr>
      <w:tr w:rsidR="00DD5B04" w:rsidRPr="00B73D58" w14:paraId="0FCBCA4A" w14:textId="77777777" w:rsidTr="008F4163">
        <w:trPr>
          <w:trHeight w:val="300"/>
        </w:trPr>
        <w:tc>
          <w:tcPr>
            <w:tcW w:w="812" w:type="dxa"/>
            <w:vAlign w:val="center"/>
            <w:hideMark/>
          </w:tcPr>
          <w:p w14:paraId="3C1D943A" w14:textId="77777777" w:rsidR="00DD5B04" w:rsidRPr="00B73D58" w:rsidRDefault="00DD5B04" w:rsidP="00DF76A2">
            <w:pPr>
              <w:jc w:val="both"/>
              <w:rPr>
                <w:rFonts w:ascii="Arial" w:hAnsi="Arial" w:cs="Arial"/>
                <w:sz w:val="16"/>
                <w:szCs w:val="16"/>
                <w:lang w:val="es-ES_tradnl" w:eastAsia="es-ES"/>
              </w:rPr>
            </w:pPr>
            <w:r w:rsidRPr="00B73D58">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B73D58" w:rsidRDefault="00C05A61" w:rsidP="00DF76A2">
            <w:pPr>
              <w:jc w:val="both"/>
              <w:rPr>
                <w:rFonts w:ascii="Arial" w:hAnsi="Arial" w:cs="Arial"/>
                <w:sz w:val="16"/>
                <w:szCs w:val="16"/>
                <w:lang w:val="es-ES_tradnl" w:eastAsia="es-ES"/>
              </w:rPr>
            </w:pPr>
            <w:r w:rsidRPr="00B73D58">
              <w:rPr>
                <w:rFonts w:ascii="Arial" w:hAnsi="Arial" w:cs="Arial"/>
                <w:sz w:val="16"/>
                <w:szCs w:val="16"/>
                <w:lang w:val="es-ES_tradnl" w:eastAsia="es-ES"/>
              </w:rPr>
              <w:t xml:space="preserve">Jorge </w:t>
            </w:r>
            <w:r w:rsidR="00647A36" w:rsidRPr="00B73D58">
              <w:rPr>
                <w:rFonts w:ascii="Arial" w:hAnsi="Arial" w:cs="Arial"/>
                <w:sz w:val="16"/>
                <w:szCs w:val="16"/>
                <w:lang w:val="es-ES_tradnl" w:eastAsia="es-ES"/>
              </w:rPr>
              <w:t xml:space="preserve">Augusto </w:t>
            </w:r>
            <w:r w:rsidRPr="00B73D58">
              <w:rPr>
                <w:rFonts w:ascii="Arial" w:hAnsi="Arial" w:cs="Arial"/>
                <w:sz w:val="16"/>
                <w:szCs w:val="16"/>
                <w:lang w:val="es-ES_tradnl" w:eastAsia="es-ES"/>
              </w:rPr>
              <w:t>Tirado Navarro</w:t>
            </w:r>
          </w:p>
          <w:p w14:paraId="1ADC483B" w14:textId="685C28C6" w:rsidR="00DD5B04" w:rsidRPr="00B73D58" w:rsidRDefault="00DD5B04" w:rsidP="00DF76A2">
            <w:pPr>
              <w:jc w:val="both"/>
              <w:rPr>
                <w:rFonts w:ascii="Arial" w:hAnsi="Arial" w:cs="Arial"/>
                <w:sz w:val="16"/>
                <w:szCs w:val="16"/>
                <w:lang w:val="es-ES_tradnl" w:eastAsia="es-ES"/>
              </w:rPr>
            </w:pPr>
            <w:r w:rsidRPr="00B73D58">
              <w:rPr>
                <w:rFonts w:ascii="Arial" w:hAnsi="Arial" w:cs="Arial"/>
                <w:sz w:val="16"/>
                <w:szCs w:val="16"/>
                <w:lang w:val="es-ES_tradnl" w:eastAsia="es-ES"/>
              </w:rPr>
              <w:t>Subdirector de Gestión Contractual</w:t>
            </w:r>
            <w:r w:rsidR="00252BA7" w:rsidRPr="00B73D58">
              <w:rPr>
                <w:rFonts w:ascii="Arial" w:hAnsi="Arial" w:cs="Arial"/>
                <w:sz w:val="16"/>
                <w:szCs w:val="16"/>
                <w:lang w:val="es-ES_tradnl" w:eastAsia="es-ES"/>
              </w:rPr>
              <w:t xml:space="preserve"> ANCP – CCE</w:t>
            </w:r>
          </w:p>
        </w:tc>
      </w:tr>
    </w:tbl>
    <w:p w14:paraId="35B56F46" w14:textId="77777777" w:rsidR="00746E08" w:rsidRPr="00B73D58" w:rsidRDefault="00746E08" w:rsidP="00215B8E">
      <w:pPr>
        <w:jc w:val="both"/>
        <w:rPr>
          <w:rFonts w:ascii="Arial" w:hAnsi="Arial" w:cs="Arial"/>
          <w:lang w:val="es-ES_tradnl"/>
        </w:rPr>
      </w:pPr>
    </w:p>
    <w:sectPr w:rsidR="00746E08" w:rsidRPr="00B73D5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F3774" w14:textId="77777777" w:rsidR="00CC3346" w:rsidRDefault="00CC3346">
      <w:r>
        <w:separator/>
      </w:r>
    </w:p>
  </w:endnote>
  <w:endnote w:type="continuationSeparator" w:id="0">
    <w:p w14:paraId="484861ED" w14:textId="77777777" w:rsidR="00CC3346" w:rsidRDefault="00CC3346">
      <w:r>
        <w:continuationSeparator/>
      </w:r>
    </w:p>
  </w:endnote>
  <w:endnote w:type="continuationNotice" w:id="1">
    <w:p w14:paraId="3AD645C8" w14:textId="77777777" w:rsidR="00CC3346" w:rsidRDefault="00CC3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974AB" w14:textId="77777777" w:rsidR="00CC3346" w:rsidRDefault="00CC3346">
      <w:r>
        <w:separator/>
      </w:r>
    </w:p>
  </w:footnote>
  <w:footnote w:type="continuationSeparator" w:id="0">
    <w:p w14:paraId="0D06D60C" w14:textId="77777777" w:rsidR="00CC3346" w:rsidRDefault="00CC3346">
      <w:r>
        <w:continuationSeparator/>
      </w:r>
    </w:p>
  </w:footnote>
  <w:footnote w:type="continuationNotice" w:id="1">
    <w:p w14:paraId="0622D25E" w14:textId="77777777" w:rsidR="00CC3346" w:rsidRDefault="00CC3346"/>
  </w:footnote>
  <w:footnote w:id="2">
    <w:p w14:paraId="21285327" w14:textId="77777777" w:rsidR="000B4CC6" w:rsidRPr="008640C4" w:rsidRDefault="000B4CC6" w:rsidP="000B4CC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230AB664" w14:textId="77777777" w:rsidR="000B4CC6" w:rsidRPr="008640C4" w:rsidRDefault="000B4CC6" w:rsidP="000B4CC6">
      <w:pPr>
        <w:pStyle w:val="Textonotapie"/>
        <w:ind w:firstLine="709"/>
        <w:jc w:val="both"/>
        <w:rPr>
          <w:rFonts w:ascii="Arial" w:hAnsi="Arial" w:cs="Arial"/>
          <w:sz w:val="19"/>
          <w:szCs w:val="19"/>
          <w:lang w:val="es-ES"/>
        </w:rPr>
      </w:pPr>
    </w:p>
  </w:footnote>
  <w:footnote w:id="3">
    <w:p w14:paraId="6D03EF25" w14:textId="77777777" w:rsidR="000B4CC6" w:rsidRPr="008640C4" w:rsidRDefault="000B4CC6" w:rsidP="000B4CC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AFA4FF5" w14:textId="77777777" w:rsidR="000B4CC6" w:rsidRPr="008640C4" w:rsidRDefault="000B4CC6" w:rsidP="000B4CC6">
      <w:pPr>
        <w:pStyle w:val="Textonotapie"/>
        <w:ind w:firstLine="709"/>
        <w:jc w:val="both"/>
        <w:rPr>
          <w:rFonts w:ascii="Arial" w:hAnsi="Arial" w:cs="Arial"/>
          <w:sz w:val="19"/>
          <w:szCs w:val="19"/>
          <w:lang w:val="es-CO"/>
        </w:rPr>
      </w:pPr>
    </w:p>
  </w:footnote>
  <w:footnote w:id="4">
    <w:p w14:paraId="7FDA4B08" w14:textId="77777777" w:rsidR="000B4CC6" w:rsidRPr="008640C4" w:rsidRDefault="000B4CC6" w:rsidP="000B4CC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747D7AB9" w14:textId="77777777" w:rsidR="000B4CC6" w:rsidRPr="008640C4" w:rsidRDefault="000B4CC6" w:rsidP="000B4CC6">
      <w:pPr>
        <w:pStyle w:val="Textonotapie"/>
        <w:ind w:firstLine="709"/>
        <w:jc w:val="both"/>
        <w:rPr>
          <w:rFonts w:ascii="Arial" w:hAnsi="Arial" w:cs="Arial"/>
          <w:sz w:val="19"/>
          <w:szCs w:val="19"/>
          <w:lang w:val="es-ES"/>
        </w:rPr>
      </w:pPr>
    </w:p>
  </w:footnote>
  <w:footnote w:id="5">
    <w:p w14:paraId="0CD9FF20" w14:textId="77777777" w:rsidR="000B4CC6" w:rsidRPr="008640C4" w:rsidRDefault="000B4CC6" w:rsidP="000B4CC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221D221A" w14:textId="77777777" w:rsidR="000B4CC6" w:rsidRPr="008640C4" w:rsidRDefault="000B4CC6" w:rsidP="000B4CC6">
      <w:pPr>
        <w:pStyle w:val="Textonotapie"/>
        <w:ind w:firstLine="709"/>
        <w:jc w:val="both"/>
        <w:rPr>
          <w:rFonts w:ascii="Arial" w:hAnsi="Arial" w:cs="Arial"/>
          <w:sz w:val="19"/>
          <w:szCs w:val="19"/>
          <w:lang w:val="es-ES"/>
        </w:rPr>
      </w:pPr>
    </w:p>
  </w:footnote>
  <w:footnote w:id="6">
    <w:p w14:paraId="52B2111E" w14:textId="77777777" w:rsidR="000B4CC6" w:rsidRPr="008640C4" w:rsidRDefault="000B4CC6" w:rsidP="000B4CC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1447854A" w14:textId="77777777" w:rsidR="000B4CC6" w:rsidRPr="008640C4" w:rsidRDefault="000B4CC6" w:rsidP="000B4CC6">
      <w:pPr>
        <w:pStyle w:val="Textonotapie"/>
        <w:ind w:firstLine="709"/>
        <w:jc w:val="both"/>
        <w:rPr>
          <w:rFonts w:ascii="Arial" w:hAnsi="Arial" w:cs="Arial"/>
          <w:sz w:val="19"/>
          <w:szCs w:val="19"/>
          <w:lang w:val="es-ES"/>
        </w:rPr>
      </w:pPr>
    </w:p>
  </w:footnote>
  <w:footnote w:id="7">
    <w:p w14:paraId="16D1361C" w14:textId="77777777" w:rsidR="000B4CC6" w:rsidRPr="008640C4" w:rsidRDefault="000B4CC6" w:rsidP="000B4CC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73159BEC" w14:textId="77777777" w:rsidR="000B4CC6" w:rsidRPr="008640C4" w:rsidRDefault="000B4CC6" w:rsidP="000B4CC6">
      <w:pPr>
        <w:pStyle w:val="Textonotapie"/>
        <w:ind w:firstLine="709"/>
        <w:jc w:val="both"/>
        <w:rPr>
          <w:rFonts w:ascii="Arial" w:hAnsi="Arial" w:cs="Arial"/>
          <w:sz w:val="19"/>
          <w:szCs w:val="19"/>
          <w:lang w:val="es-ES"/>
        </w:rPr>
      </w:pPr>
    </w:p>
  </w:footnote>
  <w:footnote w:id="8">
    <w:p w14:paraId="1F0B9F14" w14:textId="77777777" w:rsidR="000B4CC6" w:rsidRPr="008640C4" w:rsidRDefault="000B4CC6" w:rsidP="000B4CC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1BE27CF0" w14:textId="77777777" w:rsidR="000B4CC6" w:rsidRPr="008640C4" w:rsidRDefault="000B4CC6" w:rsidP="000B4CC6">
      <w:pPr>
        <w:pStyle w:val="Textonotapie"/>
        <w:ind w:firstLine="709"/>
        <w:jc w:val="both"/>
        <w:rPr>
          <w:rFonts w:ascii="Arial" w:hAnsi="Arial" w:cs="Arial"/>
          <w:sz w:val="19"/>
          <w:szCs w:val="19"/>
          <w:lang w:val="es-ES"/>
        </w:rPr>
      </w:pPr>
    </w:p>
  </w:footnote>
  <w:footnote w:id="9">
    <w:p w14:paraId="16018B33"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 xml:space="preserve">Para un mejor contexto, se transcribe dicho artículo </w:t>
      </w:r>
      <w:r w:rsidRPr="008640C4">
        <w:rPr>
          <w:rFonts w:ascii="Arial" w:hAnsi="Arial" w:cs="Arial"/>
          <w:i/>
          <w:iCs/>
          <w:sz w:val="19"/>
          <w:szCs w:val="19"/>
          <w:lang w:val="es-ES"/>
        </w:rPr>
        <w:t>in extenso</w:t>
      </w:r>
      <w:r w:rsidRPr="008640C4">
        <w:rPr>
          <w:rFonts w:ascii="Arial" w:hAnsi="Arial" w:cs="Arial"/>
          <w:sz w:val="19"/>
          <w:szCs w:val="19"/>
          <w:lang w:val="es-ES"/>
        </w:rPr>
        <w:t>: «</w:t>
      </w:r>
      <w:r w:rsidRPr="008640C4">
        <w:rPr>
          <w:rFonts w:ascii="Arial" w:eastAsia="Calibri" w:hAnsi="Arial" w:cs="Arial"/>
          <w:color w:val="000000" w:themeColor="text1"/>
          <w:sz w:val="19"/>
          <w:szCs w:val="19"/>
          <w:lang w:val="es-ES_tradnl"/>
        </w:rPr>
        <w:t xml:space="preserve">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  </w:t>
      </w:r>
    </w:p>
    <w:p w14:paraId="5445ECBB"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»1. Preferir la oferta de bienes o servicios nacionales frente a la oferta de bienes o servicios extranjeros.</w:t>
      </w:r>
    </w:p>
    <w:p w14:paraId="1997AD89"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6AE90DF3"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9C9116D"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01AE36AD"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»5. Preferir la propuesta presentada por el oferente que acredite, en las condiciones establecidas en la ley, que por lo menos diez por ciento (10%) de su nómina pertenece a población indígena, negra, afrocolombiana, raizal, palanquera, Rrom o gitanas.</w:t>
      </w:r>
    </w:p>
    <w:p w14:paraId="1374478B"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6EE957EB"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08DEBA9A"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»8. Preferir la oferta presentada por una Mipyme o cooperativas o asociaciones mutuales; o un proponente plural constituido por Mipymes, cooperativas o asociaciones mutuales.</w:t>
      </w:r>
    </w:p>
    <w:p w14:paraId="63A94C88"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»9. Preferir la oferta presentada por el proponente plural constituido por micro y/o pequeñas empresas, cooperativas o asociaciones mutuales.</w:t>
      </w:r>
    </w:p>
    <w:p w14:paraId="70E9EC26"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»10. 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5915597A"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»11. Preferir las empresas reconocidas y establecidas como Sociedad de Beneficio e Interés Colectivo o Sociedad BIC, del segmento MIPYMES.</w:t>
      </w:r>
    </w:p>
    <w:p w14:paraId="231677E9"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»12. Utilizar un método aleatorio para seleccionar el oferente, método que deberá haber sido previsto previamente en los Documentos del Proceso.</w:t>
      </w:r>
    </w:p>
    <w:p w14:paraId="3002F046"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»Parágrafo Primero. Los factores de desempate serán aplicables en el caso de las cooperativas y asociaciones mutuales que cumplan con los criterios de clasificación empresarial, definidos por el Decreto 957 de 2019, priorizando aquellas que sean micro, pequeñas o medianas.</w:t>
      </w:r>
    </w:p>
    <w:p w14:paraId="7BC883F8"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»Parágrafo Segundo.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w:t>
      </w:r>
    </w:p>
    <w:p w14:paraId="567BB96D" w14:textId="77777777" w:rsidR="00F54AD2" w:rsidRPr="008640C4" w:rsidRDefault="00F54AD2" w:rsidP="00F54AD2">
      <w:pPr>
        <w:ind w:firstLine="709"/>
        <w:jc w:val="both"/>
        <w:rPr>
          <w:rFonts w:ascii="Arial" w:eastAsia="Calibri" w:hAnsi="Arial" w:cs="Arial"/>
          <w:color w:val="000000" w:themeColor="text1"/>
          <w:sz w:val="19"/>
          <w:szCs w:val="19"/>
          <w:lang w:val="es-ES_tradnl"/>
        </w:rPr>
      </w:pPr>
      <w:r w:rsidRPr="008640C4">
        <w:rPr>
          <w:rFonts w:ascii="Arial" w:eastAsia="Calibri" w:hAnsi="Arial" w:cs="Arial"/>
          <w:color w:val="000000" w:themeColor="text1"/>
          <w:sz w:val="19"/>
          <w:szCs w:val="19"/>
          <w:lang w:val="es-ES_tradnl"/>
        </w:rPr>
        <w:t>»Parágrafo Tercero. El Gobierno Nacional podrá reglamentar la aplicación de factores de desempate en casos en que concurran dos o más de los factores aquí previstos».</w:t>
      </w:r>
    </w:p>
    <w:p w14:paraId="63858002" w14:textId="77777777" w:rsidR="00F54AD2" w:rsidRPr="008640C4" w:rsidRDefault="00F54AD2" w:rsidP="00F54AD2">
      <w:pPr>
        <w:pStyle w:val="Textonotapie"/>
        <w:ind w:firstLine="709"/>
        <w:jc w:val="both"/>
        <w:rPr>
          <w:rFonts w:ascii="Arial" w:hAnsi="Arial" w:cs="Arial"/>
          <w:sz w:val="19"/>
          <w:szCs w:val="19"/>
          <w:lang w:val="es-ES_tradnl"/>
        </w:rPr>
      </w:pPr>
    </w:p>
  </w:footnote>
  <w:footnote w:id="10">
    <w:p w14:paraId="260D678A" w14:textId="1CD5D6B9" w:rsidR="00974CBD" w:rsidRPr="008640C4" w:rsidRDefault="00974CBD" w:rsidP="00390BD9">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0015623B" w:rsidRPr="008640C4">
        <w:rPr>
          <w:rFonts w:ascii="Arial" w:hAnsi="Arial" w:cs="Arial"/>
          <w:sz w:val="19"/>
          <w:szCs w:val="19"/>
          <w:lang w:val="es-ES"/>
        </w:rPr>
        <w:t>Sentencia T-003 de 2018. Magistrada Ponente: Cristina Pardo Schlesinger.</w:t>
      </w:r>
    </w:p>
    <w:p w14:paraId="529B3D57" w14:textId="77777777" w:rsidR="00F62227" w:rsidRPr="008640C4" w:rsidRDefault="00F62227" w:rsidP="00390BD9">
      <w:pPr>
        <w:pStyle w:val="Textonotapie"/>
        <w:ind w:firstLine="709"/>
        <w:jc w:val="both"/>
        <w:rPr>
          <w:rFonts w:ascii="Arial" w:hAnsi="Arial" w:cs="Arial"/>
          <w:sz w:val="19"/>
          <w:szCs w:val="19"/>
          <w:lang w:val="es-CO"/>
        </w:rPr>
      </w:pPr>
    </w:p>
  </w:footnote>
  <w:footnote w:id="11">
    <w:p w14:paraId="0E526A3E" w14:textId="77F17683" w:rsidR="00246747" w:rsidRDefault="00246747" w:rsidP="0024674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Sentencia T-967 de 2014. Magistrada Ponente: Gloria Stella Ortiz Delgado.</w:t>
      </w:r>
    </w:p>
    <w:p w14:paraId="055C88F0" w14:textId="77777777" w:rsidR="00360F9C" w:rsidRPr="008640C4" w:rsidRDefault="00360F9C" w:rsidP="00246747">
      <w:pPr>
        <w:pStyle w:val="Textonotapie"/>
        <w:ind w:firstLine="709"/>
        <w:jc w:val="both"/>
        <w:rPr>
          <w:rFonts w:ascii="Arial" w:hAnsi="Arial" w:cs="Arial"/>
          <w:sz w:val="19"/>
          <w:szCs w:val="19"/>
          <w:lang w:val="es-CO"/>
        </w:rPr>
      </w:pPr>
    </w:p>
  </w:footnote>
  <w:footnote w:id="12">
    <w:p w14:paraId="3F6CC263" w14:textId="77777777" w:rsidR="00246747" w:rsidRPr="00EA10E4" w:rsidRDefault="00246747" w:rsidP="00246747">
      <w:pPr>
        <w:pStyle w:val="Textonotapie"/>
        <w:ind w:firstLine="709"/>
        <w:jc w:val="both"/>
        <w:rPr>
          <w:rFonts w:ascii="Arial" w:hAnsi="Arial" w:cs="Arial"/>
          <w:sz w:val="19"/>
          <w:szCs w:val="19"/>
          <w:lang w:val="es-CO"/>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3">
    <w:p w14:paraId="2452162B" w14:textId="0612EF24" w:rsidR="00BE07A6" w:rsidRPr="008640C4" w:rsidRDefault="00BE07A6" w:rsidP="00390BD9">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 xml:space="preserve">Disponible en: </w:t>
      </w:r>
      <w:r w:rsidR="00264266" w:rsidRPr="008640C4">
        <w:rPr>
          <w:rFonts w:ascii="Arial" w:hAnsi="Arial" w:cs="Arial"/>
          <w:sz w:val="19"/>
          <w:szCs w:val="19"/>
          <w:lang w:val="es-ES"/>
        </w:rPr>
        <w:t>https://www.urosario.edu.co/jurisprudencia/catedra-viva-intercultural/Documentos/CONVENIO-OIT-169.pdf</w:t>
      </w:r>
    </w:p>
  </w:footnote>
  <w:footnote w:id="14">
    <w:p w14:paraId="36877797" w14:textId="77777777" w:rsidR="003F153A" w:rsidRDefault="003F153A" w:rsidP="00390BD9">
      <w:pPr>
        <w:pStyle w:val="Textonotapie"/>
        <w:ind w:firstLine="709"/>
        <w:jc w:val="both"/>
        <w:rPr>
          <w:rFonts w:ascii="Arial" w:hAnsi="Arial" w:cs="Arial"/>
          <w:sz w:val="19"/>
          <w:szCs w:val="19"/>
        </w:rPr>
      </w:pPr>
    </w:p>
    <w:p w14:paraId="02E99471" w14:textId="32104DDA" w:rsidR="008C6B97" w:rsidRPr="008640C4" w:rsidRDefault="008C6B97" w:rsidP="00390BD9">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Ministerio de Cultura. Afrocolombianos</w:t>
      </w:r>
      <w:r w:rsidR="00572421" w:rsidRPr="008640C4">
        <w:rPr>
          <w:rFonts w:ascii="Arial" w:hAnsi="Arial" w:cs="Arial"/>
          <w:sz w:val="19"/>
          <w:szCs w:val="19"/>
          <w:lang w:val="es-ES"/>
        </w:rPr>
        <w:t>, población con huellas de africanía. Disponible en: https://mincultura.gov.co/areas/poblaciones/comunidades-negras-afrocolombianas-raizales-y-palenqueras/Documents/Caracterizaci%C3%B3n%20comunidades%20negras%20y%20afrocolombianas.pdf</w:t>
      </w:r>
    </w:p>
  </w:footnote>
  <w:footnote w:id="15">
    <w:p w14:paraId="63948D08" w14:textId="30808B8E" w:rsidR="00C57C64" w:rsidRPr="008640C4" w:rsidRDefault="00C57C64" w:rsidP="00390BD9">
      <w:pPr>
        <w:pStyle w:val="Textonotapie"/>
        <w:ind w:firstLine="709"/>
        <w:jc w:val="both"/>
        <w:rPr>
          <w:rFonts w:ascii="Arial" w:hAnsi="Arial" w:cs="Arial"/>
          <w:sz w:val="19"/>
          <w:szCs w:val="19"/>
          <w:lang w:val="es-CO"/>
        </w:rPr>
      </w:pPr>
      <w:r w:rsidRPr="008640C4">
        <w:rPr>
          <w:rStyle w:val="Refdenotaalpie"/>
          <w:rFonts w:ascii="Arial" w:hAnsi="Arial" w:cs="Arial"/>
          <w:sz w:val="19"/>
          <w:szCs w:val="19"/>
        </w:rPr>
        <w:footnoteRef/>
      </w:r>
      <w:r w:rsidRPr="008640C4">
        <w:rPr>
          <w:rFonts w:ascii="Arial" w:hAnsi="Arial" w:cs="Arial"/>
          <w:sz w:val="19"/>
          <w:szCs w:val="19"/>
        </w:rPr>
        <w:t xml:space="preserve"> </w:t>
      </w:r>
      <w:r w:rsidR="00E84314" w:rsidRPr="008640C4">
        <w:rPr>
          <w:rFonts w:ascii="Arial" w:hAnsi="Arial" w:cs="Arial"/>
          <w:sz w:val="19"/>
          <w:szCs w:val="19"/>
          <w:lang w:val="es-ES"/>
        </w:rPr>
        <w:t xml:space="preserve">Comunidades negras, afrocolombianas, raizales y palenqueras. Disponible en: </w:t>
      </w:r>
      <w:r w:rsidR="005836D5" w:rsidRPr="008640C4">
        <w:rPr>
          <w:rFonts w:ascii="Arial" w:hAnsi="Arial" w:cs="Arial"/>
          <w:sz w:val="19"/>
          <w:szCs w:val="19"/>
          <w:lang w:val="es-ES"/>
        </w:rPr>
        <w:t>https://www.unidadvictimas.gov.co/es/comunidades-negras-afrocolombianas-raizales-y-palenqueras/277</w:t>
      </w:r>
    </w:p>
  </w:footnote>
  <w:footnote w:id="16">
    <w:p w14:paraId="59CEB1A0" w14:textId="17FA4193" w:rsidR="009731F4" w:rsidRPr="008640C4" w:rsidRDefault="009731F4" w:rsidP="00390BD9">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00AA1AF4" w:rsidRPr="008640C4">
        <w:rPr>
          <w:rFonts w:ascii="Arial" w:hAnsi="Arial" w:cs="Arial"/>
          <w:sz w:val="19"/>
          <w:szCs w:val="19"/>
        </w:rPr>
        <w:t>Ibíd.</w:t>
      </w:r>
    </w:p>
  </w:footnote>
  <w:footnote w:id="17">
    <w:p w14:paraId="58529458" w14:textId="77777777" w:rsidR="003F153A" w:rsidRDefault="003F153A" w:rsidP="00390BD9">
      <w:pPr>
        <w:pStyle w:val="Textonotapie"/>
        <w:ind w:firstLine="709"/>
        <w:jc w:val="both"/>
        <w:rPr>
          <w:rFonts w:ascii="Arial" w:hAnsi="Arial" w:cs="Arial"/>
          <w:sz w:val="19"/>
          <w:szCs w:val="19"/>
        </w:rPr>
      </w:pPr>
    </w:p>
    <w:p w14:paraId="47F3F611" w14:textId="49FE10B7" w:rsidR="00B41BCA" w:rsidRDefault="00B41BCA" w:rsidP="00390BD9">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Según el numeral 3 del artículo 4 del Decreto 2957 de 2010, «Para los Rom,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Rom o Gitano continúa siendo nómada aun cuando no esté realizando desplazamientos permanentemente por cuanto el nomadismo, además, es un estado que hace parte de su espiritualidad e imaginario colectivo».</w:t>
      </w:r>
    </w:p>
    <w:p w14:paraId="32D418CB" w14:textId="77777777" w:rsidR="00360F9C" w:rsidRPr="008640C4" w:rsidRDefault="00360F9C" w:rsidP="00390BD9">
      <w:pPr>
        <w:pStyle w:val="Textonotapie"/>
        <w:ind w:firstLine="709"/>
        <w:jc w:val="both"/>
        <w:rPr>
          <w:rFonts w:ascii="Arial" w:hAnsi="Arial" w:cs="Arial"/>
          <w:sz w:val="19"/>
          <w:szCs w:val="19"/>
          <w:lang w:val="es-CO"/>
        </w:rPr>
      </w:pPr>
    </w:p>
  </w:footnote>
  <w:footnote w:id="18">
    <w:p w14:paraId="2465B14F" w14:textId="4589AC2C" w:rsidR="00167D1A" w:rsidRPr="008640C4" w:rsidRDefault="00167D1A" w:rsidP="00390BD9">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008640C4" w:rsidRPr="008640C4">
        <w:rPr>
          <w:rFonts w:ascii="Arial" w:hAnsi="Arial" w:cs="Arial"/>
          <w:sz w:val="19"/>
          <w:szCs w:val="19"/>
          <w:lang w:val="es-ES"/>
        </w:rPr>
        <w:t>En: http://www.reincorporacion.gov.co/es/agencia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C74"/>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7787"/>
    <w:rsid w:val="000278D2"/>
    <w:rsid w:val="00031364"/>
    <w:rsid w:val="000315E1"/>
    <w:rsid w:val="0003236E"/>
    <w:rsid w:val="0003339A"/>
    <w:rsid w:val="000341F2"/>
    <w:rsid w:val="00035046"/>
    <w:rsid w:val="000351F2"/>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BBB"/>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914D6"/>
    <w:rsid w:val="00091569"/>
    <w:rsid w:val="00091E5D"/>
    <w:rsid w:val="00092CDB"/>
    <w:rsid w:val="00092DCA"/>
    <w:rsid w:val="000942EB"/>
    <w:rsid w:val="00095B70"/>
    <w:rsid w:val="0009617E"/>
    <w:rsid w:val="0009628D"/>
    <w:rsid w:val="0009670F"/>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E6"/>
    <w:rsid w:val="000A5F97"/>
    <w:rsid w:val="000A648E"/>
    <w:rsid w:val="000A73BB"/>
    <w:rsid w:val="000A73E8"/>
    <w:rsid w:val="000A7EF4"/>
    <w:rsid w:val="000B0A15"/>
    <w:rsid w:val="000B103F"/>
    <w:rsid w:val="000B1437"/>
    <w:rsid w:val="000B1470"/>
    <w:rsid w:val="000B244D"/>
    <w:rsid w:val="000B2B86"/>
    <w:rsid w:val="000B3051"/>
    <w:rsid w:val="000B419B"/>
    <w:rsid w:val="000B4CC6"/>
    <w:rsid w:val="000B5781"/>
    <w:rsid w:val="000B5CB1"/>
    <w:rsid w:val="000B75F4"/>
    <w:rsid w:val="000C0185"/>
    <w:rsid w:val="000C0F81"/>
    <w:rsid w:val="000C128D"/>
    <w:rsid w:val="000C17A3"/>
    <w:rsid w:val="000C1D4B"/>
    <w:rsid w:val="000C2DC4"/>
    <w:rsid w:val="000C3260"/>
    <w:rsid w:val="000C346A"/>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CEB"/>
    <w:rsid w:val="000D2563"/>
    <w:rsid w:val="000D25BF"/>
    <w:rsid w:val="000D3FDC"/>
    <w:rsid w:val="000D490B"/>
    <w:rsid w:val="000D4E38"/>
    <w:rsid w:val="000D50DB"/>
    <w:rsid w:val="000D6288"/>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63CF"/>
    <w:rsid w:val="001174C9"/>
    <w:rsid w:val="00117E69"/>
    <w:rsid w:val="00121103"/>
    <w:rsid w:val="001216AB"/>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21B2"/>
    <w:rsid w:val="00152EDD"/>
    <w:rsid w:val="00153491"/>
    <w:rsid w:val="0015361C"/>
    <w:rsid w:val="0015372F"/>
    <w:rsid w:val="00153BFB"/>
    <w:rsid w:val="0015407E"/>
    <w:rsid w:val="0015448E"/>
    <w:rsid w:val="00154A6F"/>
    <w:rsid w:val="00155D08"/>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805C1"/>
    <w:rsid w:val="00180A2E"/>
    <w:rsid w:val="001813AF"/>
    <w:rsid w:val="001829CD"/>
    <w:rsid w:val="00182F01"/>
    <w:rsid w:val="00184219"/>
    <w:rsid w:val="00184F27"/>
    <w:rsid w:val="0018519B"/>
    <w:rsid w:val="00185966"/>
    <w:rsid w:val="00185A2D"/>
    <w:rsid w:val="00185AFE"/>
    <w:rsid w:val="00185E78"/>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A0236"/>
    <w:rsid w:val="001A0915"/>
    <w:rsid w:val="001A0AF8"/>
    <w:rsid w:val="001A1490"/>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3BBA"/>
    <w:rsid w:val="001B449C"/>
    <w:rsid w:val="001B4AA2"/>
    <w:rsid w:val="001B4ADE"/>
    <w:rsid w:val="001B5530"/>
    <w:rsid w:val="001B5712"/>
    <w:rsid w:val="001B5EF8"/>
    <w:rsid w:val="001B71E8"/>
    <w:rsid w:val="001C07C6"/>
    <w:rsid w:val="001C19CD"/>
    <w:rsid w:val="001C22D5"/>
    <w:rsid w:val="001C2515"/>
    <w:rsid w:val="001C26FB"/>
    <w:rsid w:val="001C33C1"/>
    <w:rsid w:val="001C3E30"/>
    <w:rsid w:val="001C3E5C"/>
    <w:rsid w:val="001C5072"/>
    <w:rsid w:val="001C5B2A"/>
    <w:rsid w:val="001C600B"/>
    <w:rsid w:val="001C6898"/>
    <w:rsid w:val="001C6DD8"/>
    <w:rsid w:val="001C7C7B"/>
    <w:rsid w:val="001D068D"/>
    <w:rsid w:val="001D12D1"/>
    <w:rsid w:val="001D15DF"/>
    <w:rsid w:val="001D2EEE"/>
    <w:rsid w:val="001D30F3"/>
    <w:rsid w:val="001D31A0"/>
    <w:rsid w:val="001D338E"/>
    <w:rsid w:val="001D56E9"/>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AC4"/>
    <w:rsid w:val="00201F1E"/>
    <w:rsid w:val="00202761"/>
    <w:rsid w:val="0020299B"/>
    <w:rsid w:val="00202E44"/>
    <w:rsid w:val="002037AA"/>
    <w:rsid w:val="00203FE3"/>
    <w:rsid w:val="002042D8"/>
    <w:rsid w:val="00204515"/>
    <w:rsid w:val="00204BF5"/>
    <w:rsid w:val="00204E6B"/>
    <w:rsid w:val="002053EF"/>
    <w:rsid w:val="002058D4"/>
    <w:rsid w:val="0020632A"/>
    <w:rsid w:val="0020697F"/>
    <w:rsid w:val="0020726E"/>
    <w:rsid w:val="002110EB"/>
    <w:rsid w:val="00211338"/>
    <w:rsid w:val="00211388"/>
    <w:rsid w:val="0021148C"/>
    <w:rsid w:val="00211694"/>
    <w:rsid w:val="0021201A"/>
    <w:rsid w:val="00213237"/>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6055"/>
    <w:rsid w:val="0022609C"/>
    <w:rsid w:val="0022613F"/>
    <w:rsid w:val="00226236"/>
    <w:rsid w:val="002270C9"/>
    <w:rsid w:val="00227A8B"/>
    <w:rsid w:val="0023146B"/>
    <w:rsid w:val="002315A0"/>
    <w:rsid w:val="00231748"/>
    <w:rsid w:val="00231EC7"/>
    <w:rsid w:val="00232DDA"/>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2D5F"/>
    <w:rsid w:val="00242D62"/>
    <w:rsid w:val="002430D0"/>
    <w:rsid w:val="002431D7"/>
    <w:rsid w:val="00244058"/>
    <w:rsid w:val="00245718"/>
    <w:rsid w:val="00245E07"/>
    <w:rsid w:val="00246747"/>
    <w:rsid w:val="00247712"/>
    <w:rsid w:val="00250A9E"/>
    <w:rsid w:val="00250EC6"/>
    <w:rsid w:val="002515C7"/>
    <w:rsid w:val="00251866"/>
    <w:rsid w:val="00251A9F"/>
    <w:rsid w:val="00252492"/>
    <w:rsid w:val="00252B35"/>
    <w:rsid w:val="00252BA7"/>
    <w:rsid w:val="00253070"/>
    <w:rsid w:val="0025316D"/>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DB6"/>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BDB"/>
    <w:rsid w:val="00290781"/>
    <w:rsid w:val="00291784"/>
    <w:rsid w:val="002920DF"/>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7014"/>
    <w:rsid w:val="002B73B0"/>
    <w:rsid w:val="002B75BB"/>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9BB"/>
    <w:rsid w:val="002D1A9B"/>
    <w:rsid w:val="002D20F8"/>
    <w:rsid w:val="002D22BD"/>
    <w:rsid w:val="002D22C5"/>
    <w:rsid w:val="002D302A"/>
    <w:rsid w:val="002D36C6"/>
    <w:rsid w:val="002D37C1"/>
    <w:rsid w:val="002D444B"/>
    <w:rsid w:val="002D46B4"/>
    <w:rsid w:val="002D4A45"/>
    <w:rsid w:val="002D4B42"/>
    <w:rsid w:val="002D4B43"/>
    <w:rsid w:val="002D5A1B"/>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C67"/>
    <w:rsid w:val="002F240B"/>
    <w:rsid w:val="002F2F50"/>
    <w:rsid w:val="002F33EC"/>
    <w:rsid w:val="002F34E3"/>
    <w:rsid w:val="002F3601"/>
    <w:rsid w:val="002F40E2"/>
    <w:rsid w:val="002F45F6"/>
    <w:rsid w:val="002F5A6F"/>
    <w:rsid w:val="002F692F"/>
    <w:rsid w:val="002F7961"/>
    <w:rsid w:val="002F7B66"/>
    <w:rsid w:val="00300CB4"/>
    <w:rsid w:val="00300E24"/>
    <w:rsid w:val="003033BA"/>
    <w:rsid w:val="00303C19"/>
    <w:rsid w:val="003043A3"/>
    <w:rsid w:val="00304BD4"/>
    <w:rsid w:val="0030500A"/>
    <w:rsid w:val="003052EB"/>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885"/>
    <w:rsid w:val="003251A8"/>
    <w:rsid w:val="003254B1"/>
    <w:rsid w:val="003258CC"/>
    <w:rsid w:val="00325AD9"/>
    <w:rsid w:val="00325D98"/>
    <w:rsid w:val="0032682A"/>
    <w:rsid w:val="00326920"/>
    <w:rsid w:val="00327A5C"/>
    <w:rsid w:val="0033092C"/>
    <w:rsid w:val="0033122A"/>
    <w:rsid w:val="00331468"/>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F74"/>
    <w:rsid w:val="003560DB"/>
    <w:rsid w:val="003564DB"/>
    <w:rsid w:val="00356F87"/>
    <w:rsid w:val="00357E83"/>
    <w:rsid w:val="00360CF3"/>
    <w:rsid w:val="00360F9C"/>
    <w:rsid w:val="00361A59"/>
    <w:rsid w:val="00363348"/>
    <w:rsid w:val="00363857"/>
    <w:rsid w:val="00363D59"/>
    <w:rsid w:val="003640F7"/>
    <w:rsid w:val="00365D3A"/>
    <w:rsid w:val="003664FF"/>
    <w:rsid w:val="00366BD2"/>
    <w:rsid w:val="003670B8"/>
    <w:rsid w:val="003704A3"/>
    <w:rsid w:val="003706F2"/>
    <w:rsid w:val="00370AC8"/>
    <w:rsid w:val="0037124F"/>
    <w:rsid w:val="00373827"/>
    <w:rsid w:val="0037401C"/>
    <w:rsid w:val="0037507B"/>
    <w:rsid w:val="00375C7C"/>
    <w:rsid w:val="00377027"/>
    <w:rsid w:val="00377135"/>
    <w:rsid w:val="00380272"/>
    <w:rsid w:val="003805DB"/>
    <w:rsid w:val="0038152A"/>
    <w:rsid w:val="00382BAD"/>
    <w:rsid w:val="003835FD"/>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6"/>
    <w:rsid w:val="003C7CFB"/>
    <w:rsid w:val="003D050B"/>
    <w:rsid w:val="003D0B98"/>
    <w:rsid w:val="003D0C3C"/>
    <w:rsid w:val="003D0DE5"/>
    <w:rsid w:val="003D1351"/>
    <w:rsid w:val="003D21C1"/>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DE1"/>
    <w:rsid w:val="00402EEB"/>
    <w:rsid w:val="004037C2"/>
    <w:rsid w:val="00404041"/>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D6E"/>
    <w:rsid w:val="0042158C"/>
    <w:rsid w:val="00421617"/>
    <w:rsid w:val="00421BD2"/>
    <w:rsid w:val="00421E00"/>
    <w:rsid w:val="00421FCB"/>
    <w:rsid w:val="00422DCA"/>
    <w:rsid w:val="00423D04"/>
    <w:rsid w:val="00423F9F"/>
    <w:rsid w:val="00425C43"/>
    <w:rsid w:val="004273FA"/>
    <w:rsid w:val="004275A7"/>
    <w:rsid w:val="00430186"/>
    <w:rsid w:val="00430F17"/>
    <w:rsid w:val="0043269A"/>
    <w:rsid w:val="004333C2"/>
    <w:rsid w:val="00434787"/>
    <w:rsid w:val="00434C13"/>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500B"/>
    <w:rsid w:val="00446037"/>
    <w:rsid w:val="0044642F"/>
    <w:rsid w:val="00446F87"/>
    <w:rsid w:val="0044772C"/>
    <w:rsid w:val="00450846"/>
    <w:rsid w:val="00451A52"/>
    <w:rsid w:val="0045271D"/>
    <w:rsid w:val="00452755"/>
    <w:rsid w:val="00452803"/>
    <w:rsid w:val="004529C6"/>
    <w:rsid w:val="00452EAD"/>
    <w:rsid w:val="004533D1"/>
    <w:rsid w:val="004534D1"/>
    <w:rsid w:val="00454548"/>
    <w:rsid w:val="00454717"/>
    <w:rsid w:val="00454E98"/>
    <w:rsid w:val="00455004"/>
    <w:rsid w:val="00455047"/>
    <w:rsid w:val="00455354"/>
    <w:rsid w:val="0045558D"/>
    <w:rsid w:val="00455BD3"/>
    <w:rsid w:val="004567DA"/>
    <w:rsid w:val="00456970"/>
    <w:rsid w:val="00456BB1"/>
    <w:rsid w:val="00456CD4"/>
    <w:rsid w:val="00456DDB"/>
    <w:rsid w:val="00456E61"/>
    <w:rsid w:val="00457031"/>
    <w:rsid w:val="00457C82"/>
    <w:rsid w:val="00460915"/>
    <w:rsid w:val="00460946"/>
    <w:rsid w:val="004614A9"/>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0E83"/>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50CB"/>
    <w:rsid w:val="004B578D"/>
    <w:rsid w:val="004B5BE7"/>
    <w:rsid w:val="004B5E2D"/>
    <w:rsid w:val="004B6C07"/>
    <w:rsid w:val="004B74D3"/>
    <w:rsid w:val="004B755E"/>
    <w:rsid w:val="004B788E"/>
    <w:rsid w:val="004B7E5D"/>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5DCB"/>
    <w:rsid w:val="005075CA"/>
    <w:rsid w:val="00507B06"/>
    <w:rsid w:val="00507BF1"/>
    <w:rsid w:val="0051074C"/>
    <w:rsid w:val="00510DE9"/>
    <w:rsid w:val="005111E2"/>
    <w:rsid w:val="00511231"/>
    <w:rsid w:val="00512C4F"/>
    <w:rsid w:val="00513042"/>
    <w:rsid w:val="0051334F"/>
    <w:rsid w:val="00513399"/>
    <w:rsid w:val="005133CC"/>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405"/>
    <w:rsid w:val="00530522"/>
    <w:rsid w:val="005305E5"/>
    <w:rsid w:val="0053086F"/>
    <w:rsid w:val="00530CBA"/>
    <w:rsid w:val="00530F38"/>
    <w:rsid w:val="00531F26"/>
    <w:rsid w:val="0053277C"/>
    <w:rsid w:val="005327C0"/>
    <w:rsid w:val="00533101"/>
    <w:rsid w:val="00533CA9"/>
    <w:rsid w:val="005346AD"/>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26C"/>
    <w:rsid w:val="00547BF6"/>
    <w:rsid w:val="00547FB3"/>
    <w:rsid w:val="00551098"/>
    <w:rsid w:val="00551598"/>
    <w:rsid w:val="0055162B"/>
    <w:rsid w:val="00551A56"/>
    <w:rsid w:val="00551BFF"/>
    <w:rsid w:val="00551D68"/>
    <w:rsid w:val="00551DFF"/>
    <w:rsid w:val="005525C9"/>
    <w:rsid w:val="00552B3E"/>
    <w:rsid w:val="00554D57"/>
    <w:rsid w:val="005551AA"/>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723"/>
    <w:rsid w:val="0056772D"/>
    <w:rsid w:val="005678F5"/>
    <w:rsid w:val="00567AB8"/>
    <w:rsid w:val="00570A26"/>
    <w:rsid w:val="00570CFD"/>
    <w:rsid w:val="00571294"/>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6C4"/>
    <w:rsid w:val="00590F1A"/>
    <w:rsid w:val="00591C03"/>
    <w:rsid w:val="00591E2A"/>
    <w:rsid w:val="005923C4"/>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D04"/>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36D"/>
    <w:rsid w:val="005E1595"/>
    <w:rsid w:val="005E1F1D"/>
    <w:rsid w:val="005E273D"/>
    <w:rsid w:val="005E3278"/>
    <w:rsid w:val="005E363B"/>
    <w:rsid w:val="005E3736"/>
    <w:rsid w:val="005E4B72"/>
    <w:rsid w:val="005E52C9"/>
    <w:rsid w:val="005F305B"/>
    <w:rsid w:val="005F3361"/>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473"/>
    <w:rsid w:val="0060139A"/>
    <w:rsid w:val="006013C9"/>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229"/>
    <w:rsid w:val="00622470"/>
    <w:rsid w:val="00622725"/>
    <w:rsid w:val="006231AA"/>
    <w:rsid w:val="00623482"/>
    <w:rsid w:val="00623AC2"/>
    <w:rsid w:val="00623EBC"/>
    <w:rsid w:val="00625642"/>
    <w:rsid w:val="006266D7"/>
    <w:rsid w:val="00626D42"/>
    <w:rsid w:val="00626EE3"/>
    <w:rsid w:val="006274AD"/>
    <w:rsid w:val="00627519"/>
    <w:rsid w:val="00627532"/>
    <w:rsid w:val="00627ED4"/>
    <w:rsid w:val="006302AA"/>
    <w:rsid w:val="006310C3"/>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33D5"/>
    <w:rsid w:val="00643412"/>
    <w:rsid w:val="00645CEB"/>
    <w:rsid w:val="00646B20"/>
    <w:rsid w:val="00646D0F"/>
    <w:rsid w:val="00647A36"/>
    <w:rsid w:val="00647DCC"/>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C4B"/>
    <w:rsid w:val="006572A7"/>
    <w:rsid w:val="006573EA"/>
    <w:rsid w:val="006606A4"/>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14D"/>
    <w:rsid w:val="006754F8"/>
    <w:rsid w:val="00676127"/>
    <w:rsid w:val="00676AED"/>
    <w:rsid w:val="00677212"/>
    <w:rsid w:val="00677F26"/>
    <w:rsid w:val="006800EE"/>
    <w:rsid w:val="006802A7"/>
    <w:rsid w:val="00680A86"/>
    <w:rsid w:val="006811C9"/>
    <w:rsid w:val="006812CE"/>
    <w:rsid w:val="006826C1"/>
    <w:rsid w:val="00682C89"/>
    <w:rsid w:val="00682F37"/>
    <w:rsid w:val="006832B8"/>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A5A"/>
    <w:rsid w:val="006A44CF"/>
    <w:rsid w:val="006A457D"/>
    <w:rsid w:val="006A4C06"/>
    <w:rsid w:val="006A4D26"/>
    <w:rsid w:val="006A55EE"/>
    <w:rsid w:val="006A575B"/>
    <w:rsid w:val="006A59DE"/>
    <w:rsid w:val="006A64C6"/>
    <w:rsid w:val="006A6655"/>
    <w:rsid w:val="006A6BF9"/>
    <w:rsid w:val="006A7CB5"/>
    <w:rsid w:val="006A7FD0"/>
    <w:rsid w:val="006B025C"/>
    <w:rsid w:val="006B08ED"/>
    <w:rsid w:val="006B2534"/>
    <w:rsid w:val="006B2CB2"/>
    <w:rsid w:val="006B347D"/>
    <w:rsid w:val="006B3E19"/>
    <w:rsid w:val="006B4488"/>
    <w:rsid w:val="006B50C4"/>
    <w:rsid w:val="006B53AE"/>
    <w:rsid w:val="006B58B4"/>
    <w:rsid w:val="006B67AC"/>
    <w:rsid w:val="006B786A"/>
    <w:rsid w:val="006B7E4E"/>
    <w:rsid w:val="006C003A"/>
    <w:rsid w:val="006C0632"/>
    <w:rsid w:val="006C107C"/>
    <w:rsid w:val="006C189C"/>
    <w:rsid w:val="006C2454"/>
    <w:rsid w:val="006C2551"/>
    <w:rsid w:val="006C37CA"/>
    <w:rsid w:val="006C40D2"/>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A12"/>
    <w:rsid w:val="006D712D"/>
    <w:rsid w:val="006D7687"/>
    <w:rsid w:val="006D7D1F"/>
    <w:rsid w:val="006D7D8A"/>
    <w:rsid w:val="006E046C"/>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2869"/>
    <w:rsid w:val="006F36EA"/>
    <w:rsid w:val="006F4147"/>
    <w:rsid w:val="006F4315"/>
    <w:rsid w:val="006F4CB0"/>
    <w:rsid w:val="006F4F78"/>
    <w:rsid w:val="006F547E"/>
    <w:rsid w:val="006F5CCF"/>
    <w:rsid w:val="006F6F04"/>
    <w:rsid w:val="006F71F5"/>
    <w:rsid w:val="007000A6"/>
    <w:rsid w:val="00700610"/>
    <w:rsid w:val="0070138A"/>
    <w:rsid w:val="0070157E"/>
    <w:rsid w:val="007030D4"/>
    <w:rsid w:val="00703279"/>
    <w:rsid w:val="00703B61"/>
    <w:rsid w:val="00703E11"/>
    <w:rsid w:val="00704102"/>
    <w:rsid w:val="0070437C"/>
    <w:rsid w:val="0070461C"/>
    <w:rsid w:val="00705631"/>
    <w:rsid w:val="00705818"/>
    <w:rsid w:val="00705F6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138B"/>
    <w:rsid w:val="00721BFF"/>
    <w:rsid w:val="00723475"/>
    <w:rsid w:val="007236C4"/>
    <w:rsid w:val="00724635"/>
    <w:rsid w:val="00724F21"/>
    <w:rsid w:val="00725134"/>
    <w:rsid w:val="0072554B"/>
    <w:rsid w:val="00725AFD"/>
    <w:rsid w:val="00726603"/>
    <w:rsid w:val="007266AC"/>
    <w:rsid w:val="00727B1D"/>
    <w:rsid w:val="00727DDC"/>
    <w:rsid w:val="0073065B"/>
    <w:rsid w:val="00730CD6"/>
    <w:rsid w:val="00730F74"/>
    <w:rsid w:val="0073114B"/>
    <w:rsid w:val="00732151"/>
    <w:rsid w:val="00734952"/>
    <w:rsid w:val="00734990"/>
    <w:rsid w:val="00734FF5"/>
    <w:rsid w:val="00735B78"/>
    <w:rsid w:val="00735DA7"/>
    <w:rsid w:val="00736700"/>
    <w:rsid w:val="007368B4"/>
    <w:rsid w:val="007378E0"/>
    <w:rsid w:val="00740529"/>
    <w:rsid w:val="00740876"/>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15"/>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368"/>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313"/>
    <w:rsid w:val="007B0854"/>
    <w:rsid w:val="007B0E48"/>
    <w:rsid w:val="007B1D1B"/>
    <w:rsid w:val="007B21AA"/>
    <w:rsid w:val="007B2504"/>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312A"/>
    <w:rsid w:val="007C3570"/>
    <w:rsid w:val="007C3F3B"/>
    <w:rsid w:val="007C4241"/>
    <w:rsid w:val="007C425E"/>
    <w:rsid w:val="007C55FF"/>
    <w:rsid w:val="007C5C5E"/>
    <w:rsid w:val="007C6339"/>
    <w:rsid w:val="007C753F"/>
    <w:rsid w:val="007C7C43"/>
    <w:rsid w:val="007C7F0D"/>
    <w:rsid w:val="007D06E3"/>
    <w:rsid w:val="007D09E4"/>
    <w:rsid w:val="007D1134"/>
    <w:rsid w:val="007D231B"/>
    <w:rsid w:val="007D23F7"/>
    <w:rsid w:val="007D2566"/>
    <w:rsid w:val="007D2C18"/>
    <w:rsid w:val="007D2D74"/>
    <w:rsid w:val="007D3693"/>
    <w:rsid w:val="007D3C6D"/>
    <w:rsid w:val="007D481A"/>
    <w:rsid w:val="007D4ED0"/>
    <w:rsid w:val="007D5648"/>
    <w:rsid w:val="007D58C5"/>
    <w:rsid w:val="007D5DE8"/>
    <w:rsid w:val="007D7CFC"/>
    <w:rsid w:val="007E0812"/>
    <w:rsid w:val="007E18DF"/>
    <w:rsid w:val="007E2C36"/>
    <w:rsid w:val="007E350D"/>
    <w:rsid w:val="007E3ACA"/>
    <w:rsid w:val="007E46AA"/>
    <w:rsid w:val="007E564D"/>
    <w:rsid w:val="007E5C4A"/>
    <w:rsid w:val="007E64D4"/>
    <w:rsid w:val="007E66E9"/>
    <w:rsid w:val="007E69F2"/>
    <w:rsid w:val="007E7432"/>
    <w:rsid w:val="007E74BF"/>
    <w:rsid w:val="007E7D2E"/>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282"/>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6BB"/>
    <w:rsid w:val="00853A3C"/>
    <w:rsid w:val="008548CA"/>
    <w:rsid w:val="00856C06"/>
    <w:rsid w:val="0085790B"/>
    <w:rsid w:val="008579B9"/>
    <w:rsid w:val="00857C95"/>
    <w:rsid w:val="00857E78"/>
    <w:rsid w:val="00860AEF"/>
    <w:rsid w:val="00860B18"/>
    <w:rsid w:val="00860D5E"/>
    <w:rsid w:val="0086122C"/>
    <w:rsid w:val="00861310"/>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0B3"/>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50EB"/>
    <w:rsid w:val="00885228"/>
    <w:rsid w:val="008857E3"/>
    <w:rsid w:val="00886DF2"/>
    <w:rsid w:val="00886FB9"/>
    <w:rsid w:val="00887057"/>
    <w:rsid w:val="00887080"/>
    <w:rsid w:val="00887905"/>
    <w:rsid w:val="00887C79"/>
    <w:rsid w:val="0089107B"/>
    <w:rsid w:val="008913CC"/>
    <w:rsid w:val="008914AE"/>
    <w:rsid w:val="008919CF"/>
    <w:rsid w:val="00891F84"/>
    <w:rsid w:val="00891FC3"/>
    <w:rsid w:val="008928EC"/>
    <w:rsid w:val="00892E5D"/>
    <w:rsid w:val="008935CF"/>
    <w:rsid w:val="0089436B"/>
    <w:rsid w:val="00894436"/>
    <w:rsid w:val="00894BB1"/>
    <w:rsid w:val="008951D0"/>
    <w:rsid w:val="0089582D"/>
    <w:rsid w:val="008959C6"/>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C065F"/>
    <w:rsid w:val="008C0743"/>
    <w:rsid w:val="008C0B4C"/>
    <w:rsid w:val="008C11F0"/>
    <w:rsid w:val="008C1DBA"/>
    <w:rsid w:val="008C1E06"/>
    <w:rsid w:val="008C24E7"/>
    <w:rsid w:val="008C2500"/>
    <w:rsid w:val="008C2CAC"/>
    <w:rsid w:val="008C3C57"/>
    <w:rsid w:val="008C3E2A"/>
    <w:rsid w:val="008C45BD"/>
    <w:rsid w:val="008C4B19"/>
    <w:rsid w:val="008C62D4"/>
    <w:rsid w:val="008C6B89"/>
    <w:rsid w:val="008C6B97"/>
    <w:rsid w:val="008C7EF7"/>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2AE"/>
    <w:rsid w:val="008E0DF7"/>
    <w:rsid w:val="008E0FAD"/>
    <w:rsid w:val="008E11E4"/>
    <w:rsid w:val="008E1252"/>
    <w:rsid w:val="008E1347"/>
    <w:rsid w:val="008E16E0"/>
    <w:rsid w:val="008E1C15"/>
    <w:rsid w:val="008E1C9A"/>
    <w:rsid w:val="008E28BD"/>
    <w:rsid w:val="008E30C4"/>
    <w:rsid w:val="008E38B4"/>
    <w:rsid w:val="008E3BA4"/>
    <w:rsid w:val="008E44AB"/>
    <w:rsid w:val="008E4CAE"/>
    <w:rsid w:val="008E5179"/>
    <w:rsid w:val="008E57FE"/>
    <w:rsid w:val="008E6598"/>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71AB"/>
    <w:rsid w:val="008F7905"/>
    <w:rsid w:val="008F7989"/>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3333"/>
    <w:rsid w:val="0093349A"/>
    <w:rsid w:val="009338BA"/>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55"/>
    <w:rsid w:val="009470D4"/>
    <w:rsid w:val="00947337"/>
    <w:rsid w:val="00947E6E"/>
    <w:rsid w:val="009512FA"/>
    <w:rsid w:val="009516A9"/>
    <w:rsid w:val="00951E57"/>
    <w:rsid w:val="00952350"/>
    <w:rsid w:val="00952505"/>
    <w:rsid w:val="00953018"/>
    <w:rsid w:val="009533E2"/>
    <w:rsid w:val="00953554"/>
    <w:rsid w:val="0095385A"/>
    <w:rsid w:val="00954F3A"/>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3550"/>
    <w:rsid w:val="00964138"/>
    <w:rsid w:val="009648D6"/>
    <w:rsid w:val="00964B3F"/>
    <w:rsid w:val="00964C98"/>
    <w:rsid w:val="00971441"/>
    <w:rsid w:val="009715D4"/>
    <w:rsid w:val="0097179A"/>
    <w:rsid w:val="009731F4"/>
    <w:rsid w:val="009732A4"/>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74"/>
    <w:rsid w:val="009B2E29"/>
    <w:rsid w:val="009B3163"/>
    <w:rsid w:val="009B422F"/>
    <w:rsid w:val="009B46BC"/>
    <w:rsid w:val="009B4D1A"/>
    <w:rsid w:val="009B519D"/>
    <w:rsid w:val="009B558B"/>
    <w:rsid w:val="009B6D21"/>
    <w:rsid w:val="009B78ED"/>
    <w:rsid w:val="009C181C"/>
    <w:rsid w:val="009C1A44"/>
    <w:rsid w:val="009C1C7F"/>
    <w:rsid w:val="009C1EC7"/>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562"/>
    <w:rsid w:val="009D604F"/>
    <w:rsid w:val="009D61BB"/>
    <w:rsid w:val="009D6410"/>
    <w:rsid w:val="009D68BB"/>
    <w:rsid w:val="009D6909"/>
    <w:rsid w:val="009D70C2"/>
    <w:rsid w:val="009D7244"/>
    <w:rsid w:val="009D7ADB"/>
    <w:rsid w:val="009D7B33"/>
    <w:rsid w:val="009E06C3"/>
    <w:rsid w:val="009E0703"/>
    <w:rsid w:val="009E1035"/>
    <w:rsid w:val="009E16DA"/>
    <w:rsid w:val="009E1CD4"/>
    <w:rsid w:val="009E2391"/>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69D"/>
    <w:rsid w:val="009F36FE"/>
    <w:rsid w:val="009F4990"/>
    <w:rsid w:val="009F4F25"/>
    <w:rsid w:val="009F59C2"/>
    <w:rsid w:val="009F7263"/>
    <w:rsid w:val="009F76EA"/>
    <w:rsid w:val="009F78EB"/>
    <w:rsid w:val="009F7DB2"/>
    <w:rsid w:val="009F7F32"/>
    <w:rsid w:val="009F7F58"/>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4560"/>
    <w:rsid w:val="00A25B0F"/>
    <w:rsid w:val="00A25BBB"/>
    <w:rsid w:val="00A27FB6"/>
    <w:rsid w:val="00A30121"/>
    <w:rsid w:val="00A30368"/>
    <w:rsid w:val="00A3043A"/>
    <w:rsid w:val="00A30E02"/>
    <w:rsid w:val="00A30F6A"/>
    <w:rsid w:val="00A31C3E"/>
    <w:rsid w:val="00A34538"/>
    <w:rsid w:val="00A34677"/>
    <w:rsid w:val="00A348E2"/>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9E5"/>
    <w:rsid w:val="00A4414E"/>
    <w:rsid w:val="00A4497A"/>
    <w:rsid w:val="00A44AB5"/>
    <w:rsid w:val="00A44BE8"/>
    <w:rsid w:val="00A44C96"/>
    <w:rsid w:val="00A44CDD"/>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611E"/>
    <w:rsid w:val="00A668BA"/>
    <w:rsid w:val="00A66FA7"/>
    <w:rsid w:val="00A67E16"/>
    <w:rsid w:val="00A67EB1"/>
    <w:rsid w:val="00A703CC"/>
    <w:rsid w:val="00A70C5C"/>
    <w:rsid w:val="00A710A2"/>
    <w:rsid w:val="00A71EA7"/>
    <w:rsid w:val="00A730AD"/>
    <w:rsid w:val="00A73855"/>
    <w:rsid w:val="00A73D64"/>
    <w:rsid w:val="00A74216"/>
    <w:rsid w:val="00A74360"/>
    <w:rsid w:val="00A744B4"/>
    <w:rsid w:val="00A751E3"/>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3BEF"/>
    <w:rsid w:val="00A84443"/>
    <w:rsid w:val="00A8487F"/>
    <w:rsid w:val="00A849A3"/>
    <w:rsid w:val="00A84A0E"/>
    <w:rsid w:val="00A8575D"/>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C19"/>
    <w:rsid w:val="00AB724B"/>
    <w:rsid w:val="00AB726C"/>
    <w:rsid w:val="00AB72B4"/>
    <w:rsid w:val="00AB7A7A"/>
    <w:rsid w:val="00AC02AA"/>
    <w:rsid w:val="00AC0537"/>
    <w:rsid w:val="00AC0A84"/>
    <w:rsid w:val="00AC1508"/>
    <w:rsid w:val="00AC2306"/>
    <w:rsid w:val="00AC2A0B"/>
    <w:rsid w:val="00AC2BEE"/>
    <w:rsid w:val="00AC2E53"/>
    <w:rsid w:val="00AC484F"/>
    <w:rsid w:val="00AC4B20"/>
    <w:rsid w:val="00AC56F2"/>
    <w:rsid w:val="00AC71C3"/>
    <w:rsid w:val="00AD09F7"/>
    <w:rsid w:val="00AD1EFA"/>
    <w:rsid w:val="00AD2072"/>
    <w:rsid w:val="00AD2DBD"/>
    <w:rsid w:val="00AD2FBF"/>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78E"/>
    <w:rsid w:val="00B02EB3"/>
    <w:rsid w:val="00B02FCB"/>
    <w:rsid w:val="00B033F8"/>
    <w:rsid w:val="00B03C1E"/>
    <w:rsid w:val="00B04400"/>
    <w:rsid w:val="00B04835"/>
    <w:rsid w:val="00B05A55"/>
    <w:rsid w:val="00B05DE1"/>
    <w:rsid w:val="00B06595"/>
    <w:rsid w:val="00B06862"/>
    <w:rsid w:val="00B10109"/>
    <w:rsid w:val="00B1085E"/>
    <w:rsid w:val="00B10FD1"/>
    <w:rsid w:val="00B112D5"/>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2E22"/>
    <w:rsid w:val="00B22F5F"/>
    <w:rsid w:val="00B23353"/>
    <w:rsid w:val="00B23813"/>
    <w:rsid w:val="00B23FD9"/>
    <w:rsid w:val="00B24591"/>
    <w:rsid w:val="00B245D5"/>
    <w:rsid w:val="00B245EF"/>
    <w:rsid w:val="00B24C36"/>
    <w:rsid w:val="00B24F94"/>
    <w:rsid w:val="00B25126"/>
    <w:rsid w:val="00B25A52"/>
    <w:rsid w:val="00B25FC3"/>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AC2"/>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6FED"/>
    <w:rsid w:val="00B4792C"/>
    <w:rsid w:val="00B50CAE"/>
    <w:rsid w:val="00B512AD"/>
    <w:rsid w:val="00B5196C"/>
    <w:rsid w:val="00B525CB"/>
    <w:rsid w:val="00B52697"/>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772"/>
    <w:rsid w:val="00B66AE7"/>
    <w:rsid w:val="00B67FBF"/>
    <w:rsid w:val="00B70832"/>
    <w:rsid w:val="00B71376"/>
    <w:rsid w:val="00B716D7"/>
    <w:rsid w:val="00B72110"/>
    <w:rsid w:val="00B727C3"/>
    <w:rsid w:val="00B72B91"/>
    <w:rsid w:val="00B73019"/>
    <w:rsid w:val="00B7315F"/>
    <w:rsid w:val="00B7323A"/>
    <w:rsid w:val="00B7353B"/>
    <w:rsid w:val="00B737FB"/>
    <w:rsid w:val="00B73D58"/>
    <w:rsid w:val="00B73E5D"/>
    <w:rsid w:val="00B73EF3"/>
    <w:rsid w:val="00B7423D"/>
    <w:rsid w:val="00B74D05"/>
    <w:rsid w:val="00B74EF8"/>
    <w:rsid w:val="00B75893"/>
    <w:rsid w:val="00B771F4"/>
    <w:rsid w:val="00B7762A"/>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434"/>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9B"/>
    <w:rsid w:val="00BB0F8E"/>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126F"/>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609"/>
    <w:rsid w:val="00BF0EE8"/>
    <w:rsid w:val="00BF10ED"/>
    <w:rsid w:val="00BF1DD2"/>
    <w:rsid w:val="00BF1E4A"/>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159D"/>
    <w:rsid w:val="00C1233E"/>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1E08"/>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7472"/>
    <w:rsid w:val="00C500F0"/>
    <w:rsid w:val="00C504A7"/>
    <w:rsid w:val="00C506C9"/>
    <w:rsid w:val="00C50A16"/>
    <w:rsid w:val="00C51C9A"/>
    <w:rsid w:val="00C52A69"/>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24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60DC"/>
    <w:rsid w:val="00C8082B"/>
    <w:rsid w:val="00C81A88"/>
    <w:rsid w:val="00C81D46"/>
    <w:rsid w:val="00C82298"/>
    <w:rsid w:val="00C8331F"/>
    <w:rsid w:val="00C833B4"/>
    <w:rsid w:val="00C84284"/>
    <w:rsid w:val="00C84E33"/>
    <w:rsid w:val="00C85C27"/>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6FC"/>
    <w:rsid w:val="00CA7E7B"/>
    <w:rsid w:val="00CB0236"/>
    <w:rsid w:val="00CB1881"/>
    <w:rsid w:val="00CB1969"/>
    <w:rsid w:val="00CB19E3"/>
    <w:rsid w:val="00CB2C3A"/>
    <w:rsid w:val="00CB2D38"/>
    <w:rsid w:val="00CB4137"/>
    <w:rsid w:val="00CB50D0"/>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21AC"/>
    <w:rsid w:val="00CC232E"/>
    <w:rsid w:val="00CC2514"/>
    <w:rsid w:val="00CC2530"/>
    <w:rsid w:val="00CC2D34"/>
    <w:rsid w:val="00CC2F69"/>
    <w:rsid w:val="00CC315F"/>
    <w:rsid w:val="00CC3346"/>
    <w:rsid w:val="00CC3D38"/>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BB5"/>
    <w:rsid w:val="00D21FFC"/>
    <w:rsid w:val="00D223B6"/>
    <w:rsid w:val="00D223E8"/>
    <w:rsid w:val="00D224E1"/>
    <w:rsid w:val="00D22DC8"/>
    <w:rsid w:val="00D2477B"/>
    <w:rsid w:val="00D2522A"/>
    <w:rsid w:val="00D2531C"/>
    <w:rsid w:val="00D25428"/>
    <w:rsid w:val="00D2553E"/>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0C55"/>
    <w:rsid w:val="00D517F6"/>
    <w:rsid w:val="00D51AB7"/>
    <w:rsid w:val="00D51E15"/>
    <w:rsid w:val="00D52B7E"/>
    <w:rsid w:val="00D52E2F"/>
    <w:rsid w:val="00D52F59"/>
    <w:rsid w:val="00D53445"/>
    <w:rsid w:val="00D53E3E"/>
    <w:rsid w:val="00D54620"/>
    <w:rsid w:val="00D552B3"/>
    <w:rsid w:val="00D55904"/>
    <w:rsid w:val="00D5614E"/>
    <w:rsid w:val="00D5616F"/>
    <w:rsid w:val="00D57940"/>
    <w:rsid w:val="00D60327"/>
    <w:rsid w:val="00D61384"/>
    <w:rsid w:val="00D61526"/>
    <w:rsid w:val="00D61C39"/>
    <w:rsid w:val="00D61F81"/>
    <w:rsid w:val="00D620A6"/>
    <w:rsid w:val="00D62BE6"/>
    <w:rsid w:val="00D63766"/>
    <w:rsid w:val="00D63912"/>
    <w:rsid w:val="00D63923"/>
    <w:rsid w:val="00D6451B"/>
    <w:rsid w:val="00D64B57"/>
    <w:rsid w:val="00D651A1"/>
    <w:rsid w:val="00D65DEA"/>
    <w:rsid w:val="00D6650F"/>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E0"/>
    <w:rsid w:val="00D97BD1"/>
    <w:rsid w:val="00DA00C3"/>
    <w:rsid w:val="00DA01E9"/>
    <w:rsid w:val="00DA06B8"/>
    <w:rsid w:val="00DA14A9"/>
    <w:rsid w:val="00DA286D"/>
    <w:rsid w:val="00DA2969"/>
    <w:rsid w:val="00DA29B7"/>
    <w:rsid w:val="00DA2E5F"/>
    <w:rsid w:val="00DA337C"/>
    <w:rsid w:val="00DA4842"/>
    <w:rsid w:val="00DA4C97"/>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F2F"/>
    <w:rsid w:val="00DD2F7A"/>
    <w:rsid w:val="00DD3885"/>
    <w:rsid w:val="00DD5808"/>
    <w:rsid w:val="00DD5946"/>
    <w:rsid w:val="00DD5B04"/>
    <w:rsid w:val="00DD5DAE"/>
    <w:rsid w:val="00DD5EC6"/>
    <w:rsid w:val="00DD605F"/>
    <w:rsid w:val="00DD72A0"/>
    <w:rsid w:val="00DD735D"/>
    <w:rsid w:val="00DD7F7D"/>
    <w:rsid w:val="00DE0159"/>
    <w:rsid w:val="00DE064A"/>
    <w:rsid w:val="00DE06CA"/>
    <w:rsid w:val="00DE082D"/>
    <w:rsid w:val="00DE1410"/>
    <w:rsid w:val="00DE20C6"/>
    <w:rsid w:val="00DE3119"/>
    <w:rsid w:val="00DE3FF0"/>
    <w:rsid w:val="00DE4105"/>
    <w:rsid w:val="00DE5189"/>
    <w:rsid w:val="00DE7108"/>
    <w:rsid w:val="00DE78D1"/>
    <w:rsid w:val="00DE78FF"/>
    <w:rsid w:val="00DF0263"/>
    <w:rsid w:val="00DF0EB4"/>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3137"/>
    <w:rsid w:val="00E23980"/>
    <w:rsid w:val="00E241E9"/>
    <w:rsid w:val="00E257C3"/>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8D"/>
    <w:rsid w:val="00E54534"/>
    <w:rsid w:val="00E548C3"/>
    <w:rsid w:val="00E54F27"/>
    <w:rsid w:val="00E55FF1"/>
    <w:rsid w:val="00E56090"/>
    <w:rsid w:val="00E565B9"/>
    <w:rsid w:val="00E56E7B"/>
    <w:rsid w:val="00E5733B"/>
    <w:rsid w:val="00E5756C"/>
    <w:rsid w:val="00E57811"/>
    <w:rsid w:val="00E601BE"/>
    <w:rsid w:val="00E60B5F"/>
    <w:rsid w:val="00E613AE"/>
    <w:rsid w:val="00E61429"/>
    <w:rsid w:val="00E61ABB"/>
    <w:rsid w:val="00E61EFF"/>
    <w:rsid w:val="00E61FD7"/>
    <w:rsid w:val="00E623E6"/>
    <w:rsid w:val="00E630A2"/>
    <w:rsid w:val="00E630C0"/>
    <w:rsid w:val="00E63107"/>
    <w:rsid w:val="00E6312C"/>
    <w:rsid w:val="00E634E6"/>
    <w:rsid w:val="00E63DCE"/>
    <w:rsid w:val="00E64700"/>
    <w:rsid w:val="00E65074"/>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20F4"/>
    <w:rsid w:val="00E823F9"/>
    <w:rsid w:val="00E82C1F"/>
    <w:rsid w:val="00E83671"/>
    <w:rsid w:val="00E840EE"/>
    <w:rsid w:val="00E84314"/>
    <w:rsid w:val="00E849CA"/>
    <w:rsid w:val="00E84A71"/>
    <w:rsid w:val="00E8556F"/>
    <w:rsid w:val="00E86556"/>
    <w:rsid w:val="00E86D35"/>
    <w:rsid w:val="00E86DC2"/>
    <w:rsid w:val="00E86E32"/>
    <w:rsid w:val="00E86F2E"/>
    <w:rsid w:val="00E86F92"/>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A7CBF"/>
    <w:rsid w:val="00EB0A89"/>
    <w:rsid w:val="00EB1573"/>
    <w:rsid w:val="00EB1910"/>
    <w:rsid w:val="00EB2D83"/>
    <w:rsid w:val="00EB2E97"/>
    <w:rsid w:val="00EB3416"/>
    <w:rsid w:val="00EB4AE1"/>
    <w:rsid w:val="00EB52F4"/>
    <w:rsid w:val="00EB54DE"/>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49D"/>
    <w:rsid w:val="00ED24E0"/>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2DF"/>
    <w:rsid w:val="00EE13DA"/>
    <w:rsid w:val="00EE1668"/>
    <w:rsid w:val="00EE1EDB"/>
    <w:rsid w:val="00EE24E2"/>
    <w:rsid w:val="00EE366D"/>
    <w:rsid w:val="00EE5454"/>
    <w:rsid w:val="00EE59B5"/>
    <w:rsid w:val="00EE5FB7"/>
    <w:rsid w:val="00EE6783"/>
    <w:rsid w:val="00EE7B54"/>
    <w:rsid w:val="00EE7C47"/>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50E9"/>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A9"/>
    <w:rsid w:val="00F15505"/>
    <w:rsid w:val="00F15BFF"/>
    <w:rsid w:val="00F16E4F"/>
    <w:rsid w:val="00F17244"/>
    <w:rsid w:val="00F20ECE"/>
    <w:rsid w:val="00F213A0"/>
    <w:rsid w:val="00F21D54"/>
    <w:rsid w:val="00F21EF4"/>
    <w:rsid w:val="00F23113"/>
    <w:rsid w:val="00F23255"/>
    <w:rsid w:val="00F23393"/>
    <w:rsid w:val="00F23759"/>
    <w:rsid w:val="00F24644"/>
    <w:rsid w:val="00F25947"/>
    <w:rsid w:val="00F262D6"/>
    <w:rsid w:val="00F26F33"/>
    <w:rsid w:val="00F2748A"/>
    <w:rsid w:val="00F300A8"/>
    <w:rsid w:val="00F302C6"/>
    <w:rsid w:val="00F30400"/>
    <w:rsid w:val="00F3079E"/>
    <w:rsid w:val="00F31AAA"/>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2324"/>
    <w:rsid w:val="00F52950"/>
    <w:rsid w:val="00F52C9D"/>
    <w:rsid w:val="00F533F1"/>
    <w:rsid w:val="00F54AD2"/>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904"/>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2C5C"/>
    <w:rsid w:val="00F93DBC"/>
    <w:rsid w:val="00F93E41"/>
    <w:rsid w:val="00F94644"/>
    <w:rsid w:val="00F952E4"/>
    <w:rsid w:val="00F9537B"/>
    <w:rsid w:val="00F96079"/>
    <w:rsid w:val="00F963FC"/>
    <w:rsid w:val="00F97CF1"/>
    <w:rsid w:val="00FA015F"/>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B7FBA"/>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3EA"/>
    <w:rsid w:val="00FC76A9"/>
    <w:rsid w:val="00FC79AB"/>
    <w:rsid w:val="00FC7BE7"/>
    <w:rsid w:val="00FC7DAC"/>
    <w:rsid w:val="00FD005D"/>
    <w:rsid w:val="00FD04AE"/>
    <w:rsid w:val="00FD0DFA"/>
    <w:rsid w:val="00FD1890"/>
    <w:rsid w:val="00FD1994"/>
    <w:rsid w:val="00FD3508"/>
    <w:rsid w:val="00FD393C"/>
    <w:rsid w:val="00FD3AFF"/>
    <w:rsid w:val="00FD43BB"/>
    <w:rsid w:val="00FD4AF3"/>
    <w:rsid w:val="00FD72B1"/>
    <w:rsid w:val="00FD798D"/>
    <w:rsid w:val="00FE076E"/>
    <w:rsid w:val="00FE141E"/>
    <w:rsid w:val="00FE144E"/>
    <w:rsid w:val="00FE1768"/>
    <w:rsid w:val="00FE1DD5"/>
    <w:rsid w:val="00FE24F4"/>
    <w:rsid w:val="00FE2560"/>
    <w:rsid w:val="00FE35D0"/>
    <w:rsid w:val="00FE42ED"/>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22</TotalTime>
  <Pages>15</Pages>
  <Words>5259</Words>
  <Characters>28930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5</cp:revision>
  <cp:lastPrinted>2020-01-30T15:05:00Z</cp:lastPrinted>
  <dcterms:created xsi:type="dcterms:W3CDTF">2021-02-05T14:17:00Z</dcterms:created>
  <dcterms:modified xsi:type="dcterms:W3CDTF">2021-02-05T14:38:00Z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